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16B3" w:rsidRPr="00FA3856" w:rsidRDefault="005B27B5" w:rsidP="00F71EE0">
      <w:pPr>
        <w:jc w:val="both"/>
        <w:rPr>
          <w:b/>
          <w:szCs w:val="20"/>
        </w:rPr>
      </w:pPr>
      <w:r w:rsidRPr="00FA3856">
        <w:rPr>
          <w:b/>
          <w:szCs w:val="20"/>
        </w:rPr>
        <w:t xml:space="preserve">MANUAL DE ORIENTAÇÃO DO LEIAUTE </w:t>
      </w:r>
      <w:r w:rsidR="00EC2D50" w:rsidRPr="00FA3856">
        <w:rPr>
          <w:b/>
          <w:szCs w:val="20"/>
        </w:rPr>
        <w:t xml:space="preserve">DA ESCRITURAÇÃO </w:t>
      </w:r>
      <w:r w:rsidR="0081506D" w:rsidRPr="00FA3856">
        <w:rPr>
          <w:b/>
          <w:szCs w:val="20"/>
        </w:rPr>
        <w:t>CONTÁBIL FISCAL (ECF)</w:t>
      </w:r>
    </w:p>
    <w:p w:rsidR="00D944FE" w:rsidRDefault="00D944FE">
      <w:pPr>
        <w:pStyle w:val="Sumrio1"/>
        <w:rPr>
          <w:rFonts w:asciiTheme="minorHAnsi" w:eastAsiaTheme="minorEastAsia" w:hAnsiTheme="minorHAnsi"/>
          <w:bCs w:val="0"/>
          <w:sz w:val="22"/>
          <w:szCs w:val="22"/>
          <w:lang w:eastAsia="pt-BR"/>
        </w:rPr>
      </w:pPr>
      <w:r>
        <w:rPr>
          <w:rFonts w:eastAsia="Arial Unicode MS"/>
          <w:b/>
          <w:bCs w:val="0"/>
          <w:caps/>
          <w:color w:val="0000CC"/>
          <w:lang w:eastAsia="ar-SA"/>
        </w:rPr>
        <w:fldChar w:fldCharType="begin"/>
      </w:r>
      <w:r>
        <w:rPr>
          <w:rFonts w:eastAsia="Arial Unicode MS"/>
          <w:b/>
          <w:bCs w:val="0"/>
          <w:caps/>
          <w:color w:val="0000CC"/>
          <w:lang w:eastAsia="ar-SA"/>
        </w:rPr>
        <w:instrText xml:space="preserve"> TOC \o "1-5" \u </w:instrText>
      </w:r>
      <w:r>
        <w:rPr>
          <w:rFonts w:eastAsia="Arial Unicode MS"/>
          <w:b/>
          <w:bCs w:val="0"/>
          <w:caps/>
          <w:color w:val="0000CC"/>
          <w:lang w:eastAsia="ar-SA"/>
        </w:rPr>
        <w:fldChar w:fldCharType="separate"/>
      </w:r>
      <w:r>
        <w:t>ESCRITURAÇÃO CONTÁBIL FISCAL (ECF)</w:t>
      </w:r>
      <w:r>
        <w:tab/>
      </w:r>
      <w:r>
        <w:fldChar w:fldCharType="begin"/>
      </w:r>
      <w:r>
        <w:instrText xml:space="preserve"> PAGEREF _Toc479713614 \h </w:instrText>
      </w:r>
      <w:r>
        <w:fldChar w:fldCharType="separate"/>
      </w:r>
      <w:r w:rsidR="00B35FA3">
        <w:t>10</w:t>
      </w:r>
      <w:r>
        <w:fldChar w:fldCharType="end"/>
      </w:r>
    </w:p>
    <w:p w:rsidR="00D944FE" w:rsidRDefault="00D944FE">
      <w:pPr>
        <w:pStyle w:val="Sumrio1"/>
        <w:rPr>
          <w:rFonts w:asciiTheme="minorHAnsi" w:eastAsiaTheme="minorEastAsia" w:hAnsiTheme="minorHAnsi"/>
          <w:bCs w:val="0"/>
          <w:sz w:val="22"/>
          <w:szCs w:val="22"/>
          <w:lang w:eastAsia="pt-BR"/>
        </w:rPr>
      </w:pPr>
      <w:r>
        <w:t>Capítulo 1 – Informações Gerais</w:t>
      </w:r>
      <w:r>
        <w:tab/>
      </w:r>
      <w:r>
        <w:fldChar w:fldCharType="begin"/>
      </w:r>
      <w:r>
        <w:instrText xml:space="preserve"> PAGEREF _Toc479713615 \h </w:instrText>
      </w:r>
      <w:r>
        <w:fldChar w:fldCharType="separate"/>
      </w:r>
      <w:r w:rsidR="00B35FA3">
        <w:t>10</w:t>
      </w:r>
      <w:r>
        <w:fldChar w:fldCharType="end"/>
      </w:r>
    </w:p>
    <w:p w:rsidR="00D944FE" w:rsidRDefault="00D944FE">
      <w:pPr>
        <w:pStyle w:val="Sumrio2"/>
        <w:tabs>
          <w:tab w:val="right" w:leader="dot" w:pos="16260"/>
        </w:tabs>
        <w:rPr>
          <w:rFonts w:asciiTheme="minorHAnsi" w:eastAsiaTheme="minorEastAsia" w:hAnsiTheme="minorHAnsi"/>
          <w:noProof/>
          <w:sz w:val="22"/>
          <w:szCs w:val="22"/>
          <w:lang w:eastAsia="pt-BR"/>
        </w:rPr>
      </w:pPr>
      <w:r>
        <w:rPr>
          <w:noProof/>
        </w:rPr>
        <w:t>1.1. Introdução</w:t>
      </w:r>
      <w:r>
        <w:rPr>
          <w:noProof/>
        </w:rPr>
        <w:tab/>
      </w:r>
      <w:r>
        <w:rPr>
          <w:noProof/>
        </w:rPr>
        <w:fldChar w:fldCharType="begin"/>
      </w:r>
      <w:r>
        <w:rPr>
          <w:noProof/>
        </w:rPr>
        <w:instrText xml:space="preserve"> PAGEREF _Toc479713616 \h </w:instrText>
      </w:r>
      <w:r>
        <w:rPr>
          <w:noProof/>
        </w:rPr>
      </w:r>
      <w:r>
        <w:rPr>
          <w:noProof/>
        </w:rPr>
        <w:fldChar w:fldCharType="separate"/>
      </w:r>
      <w:r w:rsidR="00B35FA3">
        <w:rPr>
          <w:noProof/>
        </w:rPr>
        <w:t>10</w:t>
      </w:r>
      <w:r>
        <w:rPr>
          <w:noProof/>
        </w:rPr>
        <w:fldChar w:fldCharType="end"/>
      </w:r>
    </w:p>
    <w:p w:rsidR="00D944FE" w:rsidRDefault="00D944FE">
      <w:pPr>
        <w:pStyle w:val="Sumrio2"/>
        <w:tabs>
          <w:tab w:val="right" w:leader="dot" w:pos="16260"/>
        </w:tabs>
        <w:rPr>
          <w:rFonts w:asciiTheme="minorHAnsi" w:eastAsiaTheme="minorEastAsia" w:hAnsiTheme="minorHAnsi"/>
          <w:noProof/>
          <w:sz w:val="22"/>
          <w:szCs w:val="22"/>
          <w:lang w:eastAsia="pt-BR"/>
        </w:rPr>
      </w:pPr>
      <w:r>
        <w:rPr>
          <w:noProof/>
        </w:rPr>
        <w:t>1.2. Legislação</w:t>
      </w:r>
      <w:r>
        <w:rPr>
          <w:noProof/>
        </w:rPr>
        <w:tab/>
      </w:r>
      <w:r>
        <w:rPr>
          <w:noProof/>
        </w:rPr>
        <w:fldChar w:fldCharType="begin"/>
      </w:r>
      <w:r>
        <w:rPr>
          <w:noProof/>
        </w:rPr>
        <w:instrText xml:space="preserve"> PAGEREF _Toc479713617 \h </w:instrText>
      </w:r>
      <w:r>
        <w:rPr>
          <w:noProof/>
        </w:rPr>
      </w:r>
      <w:r>
        <w:rPr>
          <w:noProof/>
        </w:rPr>
        <w:fldChar w:fldCharType="separate"/>
      </w:r>
      <w:r w:rsidR="00B35FA3">
        <w:rPr>
          <w:noProof/>
        </w:rPr>
        <w:t>12</w:t>
      </w:r>
      <w:r>
        <w:rPr>
          <w:noProof/>
        </w:rPr>
        <w:fldChar w:fldCharType="end"/>
      </w:r>
    </w:p>
    <w:p w:rsidR="00D944FE" w:rsidRDefault="00D944FE">
      <w:pPr>
        <w:pStyle w:val="Sumrio2"/>
        <w:tabs>
          <w:tab w:val="right" w:leader="dot" w:pos="16260"/>
        </w:tabs>
        <w:rPr>
          <w:rFonts w:asciiTheme="minorHAnsi" w:eastAsiaTheme="minorEastAsia" w:hAnsiTheme="minorHAnsi"/>
          <w:noProof/>
          <w:sz w:val="22"/>
          <w:szCs w:val="22"/>
          <w:lang w:eastAsia="pt-BR"/>
        </w:rPr>
      </w:pPr>
      <w:r>
        <w:rPr>
          <w:noProof/>
        </w:rPr>
        <w:t>1.3. Importação da ECF, Recuperação da ECD e Recuperação da ECF anterior</w:t>
      </w:r>
      <w:r>
        <w:rPr>
          <w:noProof/>
        </w:rPr>
        <w:tab/>
      </w:r>
      <w:r>
        <w:rPr>
          <w:noProof/>
        </w:rPr>
        <w:fldChar w:fldCharType="begin"/>
      </w:r>
      <w:r>
        <w:rPr>
          <w:noProof/>
        </w:rPr>
        <w:instrText xml:space="preserve"> PAGEREF _Toc479713618 \h </w:instrText>
      </w:r>
      <w:r>
        <w:rPr>
          <w:noProof/>
        </w:rPr>
      </w:r>
      <w:r>
        <w:rPr>
          <w:noProof/>
        </w:rPr>
        <w:fldChar w:fldCharType="separate"/>
      </w:r>
      <w:r w:rsidR="00B35FA3">
        <w:rPr>
          <w:noProof/>
        </w:rPr>
        <w:t>12</w:t>
      </w:r>
      <w:r>
        <w:rPr>
          <w:noProof/>
        </w:rPr>
        <w:fldChar w:fldCharType="end"/>
      </w:r>
    </w:p>
    <w:p w:rsidR="00D944FE" w:rsidRDefault="00D944FE">
      <w:pPr>
        <w:pStyle w:val="Sumrio2"/>
        <w:tabs>
          <w:tab w:val="right" w:leader="dot" w:pos="16260"/>
        </w:tabs>
        <w:rPr>
          <w:rFonts w:asciiTheme="minorHAnsi" w:eastAsiaTheme="minorEastAsia" w:hAnsiTheme="minorHAnsi"/>
          <w:noProof/>
          <w:sz w:val="22"/>
          <w:szCs w:val="22"/>
          <w:lang w:eastAsia="pt-BR"/>
        </w:rPr>
      </w:pPr>
      <w:r>
        <w:rPr>
          <w:noProof/>
        </w:rPr>
        <w:t>1.4. Pessoas Jurídicas Imunes e Isentas</w:t>
      </w:r>
      <w:r>
        <w:rPr>
          <w:noProof/>
        </w:rPr>
        <w:tab/>
      </w:r>
      <w:r>
        <w:rPr>
          <w:noProof/>
        </w:rPr>
        <w:fldChar w:fldCharType="begin"/>
      </w:r>
      <w:r>
        <w:rPr>
          <w:noProof/>
        </w:rPr>
        <w:instrText xml:space="preserve"> PAGEREF _Toc479713619 \h </w:instrText>
      </w:r>
      <w:r>
        <w:rPr>
          <w:noProof/>
        </w:rPr>
      </w:r>
      <w:r>
        <w:rPr>
          <w:noProof/>
        </w:rPr>
        <w:fldChar w:fldCharType="separate"/>
      </w:r>
      <w:r w:rsidR="00B35FA3">
        <w:rPr>
          <w:noProof/>
        </w:rPr>
        <w:t>13</w:t>
      </w:r>
      <w:r>
        <w:rPr>
          <w:noProof/>
        </w:rPr>
        <w:fldChar w:fldCharType="end"/>
      </w:r>
    </w:p>
    <w:p w:rsidR="00D944FE" w:rsidRDefault="00D944FE">
      <w:pPr>
        <w:pStyle w:val="Sumrio2"/>
        <w:tabs>
          <w:tab w:val="right" w:leader="dot" w:pos="16260"/>
        </w:tabs>
        <w:rPr>
          <w:rFonts w:asciiTheme="minorHAnsi" w:eastAsiaTheme="minorEastAsia" w:hAnsiTheme="minorHAnsi"/>
          <w:noProof/>
          <w:sz w:val="22"/>
          <w:szCs w:val="22"/>
          <w:lang w:eastAsia="pt-BR"/>
        </w:rPr>
      </w:pPr>
      <w:r>
        <w:rPr>
          <w:noProof/>
        </w:rPr>
        <w:t>1.5. Arquivo da ECF</w:t>
      </w:r>
      <w:r>
        <w:rPr>
          <w:noProof/>
        </w:rPr>
        <w:tab/>
      </w:r>
      <w:r>
        <w:rPr>
          <w:noProof/>
        </w:rPr>
        <w:fldChar w:fldCharType="begin"/>
      </w:r>
      <w:r>
        <w:rPr>
          <w:noProof/>
        </w:rPr>
        <w:instrText xml:space="preserve"> PAGEREF _Toc479713620 \h </w:instrText>
      </w:r>
      <w:r>
        <w:rPr>
          <w:noProof/>
        </w:rPr>
      </w:r>
      <w:r>
        <w:rPr>
          <w:noProof/>
        </w:rPr>
        <w:fldChar w:fldCharType="separate"/>
      </w:r>
      <w:r w:rsidR="00B35FA3">
        <w:rPr>
          <w:noProof/>
        </w:rPr>
        <w:t>13</w:t>
      </w:r>
      <w:r>
        <w:rPr>
          <w:noProof/>
        </w:rPr>
        <w:fldChar w:fldCharType="end"/>
      </w:r>
    </w:p>
    <w:p w:rsidR="00D944FE" w:rsidRDefault="00D944FE">
      <w:pPr>
        <w:pStyle w:val="Sumrio2"/>
        <w:tabs>
          <w:tab w:val="right" w:leader="dot" w:pos="16260"/>
        </w:tabs>
        <w:rPr>
          <w:rFonts w:asciiTheme="minorHAnsi" w:eastAsiaTheme="minorEastAsia" w:hAnsiTheme="minorHAnsi"/>
          <w:noProof/>
          <w:sz w:val="22"/>
          <w:szCs w:val="22"/>
          <w:lang w:eastAsia="pt-BR"/>
        </w:rPr>
      </w:pPr>
      <w:r>
        <w:rPr>
          <w:noProof/>
        </w:rPr>
        <w:t>1.6. Recuperação de ECD Sem Mapeamento para o Plano Referencial</w:t>
      </w:r>
      <w:r>
        <w:rPr>
          <w:noProof/>
        </w:rPr>
        <w:tab/>
      </w:r>
      <w:r>
        <w:rPr>
          <w:noProof/>
        </w:rPr>
        <w:fldChar w:fldCharType="begin"/>
      </w:r>
      <w:r>
        <w:rPr>
          <w:noProof/>
        </w:rPr>
        <w:instrText xml:space="preserve"> PAGEREF _Toc479713621 \h </w:instrText>
      </w:r>
      <w:r>
        <w:rPr>
          <w:noProof/>
        </w:rPr>
      </w:r>
      <w:r>
        <w:rPr>
          <w:noProof/>
        </w:rPr>
        <w:fldChar w:fldCharType="separate"/>
      </w:r>
      <w:r w:rsidR="00B35FA3">
        <w:rPr>
          <w:noProof/>
        </w:rPr>
        <w:t>14</w:t>
      </w:r>
      <w:r>
        <w:rPr>
          <w:noProof/>
        </w:rPr>
        <w:fldChar w:fldCharType="end"/>
      </w:r>
    </w:p>
    <w:p w:rsidR="00D944FE" w:rsidRDefault="00D944FE">
      <w:pPr>
        <w:pStyle w:val="Sumrio2"/>
        <w:tabs>
          <w:tab w:val="right" w:leader="dot" w:pos="16260"/>
        </w:tabs>
        <w:rPr>
          <w:rFonts w:asciiTheme="minorHAnsi" w:eastAsiaTheme="minorEastAsia" w:hAnsiTheme="minorHAnsi"/>
          <w:noProof/>
          <w:sz w:val="22"/>
          <w:szCs w:val="22"/>
          <w:lang w:eastAsia="pt-BR"/>
        </w:rPr>
      </w:pPr>
      <w:r>
        <w:rPr>
          <w:noProof/>
        </w:rPr>
        <w:t>1.7. Recuperação de ECD Com Encerramento do Exercício Diferente dos Encerramentos da ECF</w:t>
      </w:r>
      <w:r>
        <w:rPr>
          <w:noProof/>
        </w:rPr>
        <w:tab/>
      </w:r>
      <w:r>
        <w:rPr>
          <w:noProof/>
        </w:rPr>
        <w:fldChar w:fldCharType="begin"/>
      </w:r>
      <w:r>
        <w:rPr>
          <w:noProof/>
        </w:rPr>
        <w:instrText xml:space="preserve"> PAGEREF _Toc479713622 \h </w:instrText>
      </w:r>
      <w:r>
        <w:rPr>
          <w:noProof/>
        </w:rPr>
      </w:r>
      <w:r>
        <w:rPr>
          <w:noProof/>
        </w:rPr>
        <w:fldChar w:fldCharType="separate"/>
      </w:r>
      <w:r w:rsidR="00B35FA3">
        <w:rPr>
          <w:noProof/>
        </w:rPr>
        <w:t>14</w:t>
      </w:r>
      <w:r>
        <w:rPr>
          <w:noProof/>
        </w:rPr>
        <w:fldChar w:fldCharType="end"/>
      </w:r>
    </w:p>
    <w:p w:rsidR="00D944FE" w:rsidRDefault="00D944FE">
      <w:pPr>
        <w:pStyle w:val="Sumrio2"/>
        <w:tabs>
          <w:tab w:val="right" w:leader="dot" w:pos="16260"/>
        </w:tabs>
        <w:rPr>
          <w:rFonts w:asciiTheme="minorHAnsi" w:eastAsiaTheme="minorEastAsia" w:hAnsiTheme="minorHAnsi"/>
          <w:noProof/>
          <w:sz w:val="22"/>
          <w:szCs w:val="22"/>
          <w:lang w:eastAsia="pt-BR"/>
        </w:rPr>
      </w:pPr>
      <w:r>
        <w:rPr>
          <w:noProof/>
        </w:rPr>
        <w:t>1.8. Registro do Prejuízo Fiscal do Período na Parte B do e-Lalur</w:t>
      </w:r>
      <w:r>
        <w:rPr>
          <w:noProof/>
        </w:rPr>
        <w:tab/>
      </w:r>
      <w:r>
        <w:rPr>
          <w:noProof/>
        </w:rPr>
        <w:fldChar w:fldCharType="begin"/>
      </w:r>
      <w:r>
        <w:rPr>
          <w:noProof/>
        </w:rPr>
        <w:instrText xml:space="preserve"> PAGEREF _Toc479713623 \h </w:instrText>
      </w:r>
      <w:r>
        <w:rPr>
          <w:noProof/>
        </w:rPr>
      </w:r>
      <w:r>
        <w:rPr>
          <w:noProof/>
        </w:rPr>
        <w:fldChar w:fldCharType="separate"/>
      </w:r>
      <w:r w:rsidR="00B35FA3">
        <w:rPr>
          <w:noProof/>
        </w:rPr>
        <w:t>14</w:t>
      </w:r>
      <w:r>
        <w:rPr>
          <w:noProof/>
        </w:rPr>
        <w:fldChar w:fldCharType="end"/>
      </w:r>
    </w:p>
    <w:p w:rsidR="00D944FE" w:rsidRDefault="00D944FE">
      <w:pPr>
        <w:pStyle w:val="Sumrio2"/>
        <w:tabs>
          <w:tab w:val="right" w:leader="dot" w:pos="16260"/>
        </w:tabs>
        <w:rPr>
          <w:rFonts w:asciiTheme="minorHAnsi" w:eastAsiaTheme="minorEastAsia" w:hAnsiTheme="minorHAnsi"/>
          <w:noProof/>
          <w:sz w:val="22"/>
          <w:szCs w:val="22"/>
          <w:lang w:eastAsia="pt-BR"/>
        </w:rPr>
      </w:pPr>
      <w:r>
        <w:rPr>
          <w:noProof/>
        </w:rPr>
        <w:t>1.9. Registro da Base de Cálculo Negativa da CSLL do Período na Parte B do e-Lacs</w:t>
      </w:r>
      <w:r>
        <w:rPr>
          <w:noProof/>
        </w:rPr>
        <w:tab/>
      </w:r>
      <w:r>
        <w:rPr>
          <w:noProof/>
        </w:rPr>
        <w:fldChar w:fldCharType="begin"/>
      </w:r>
      <w:r>
        <w:rPr>
          <w:noProof/>
        </w:rPr>
        <w:instrText xml:space="preserve"> PAGEREF _Toc479713624 \h </w:instrText>
      </w:r>
      <w:r>
        <w:rPr>
          <w:noProof/>
        </w:rPr>
      </w:r>
      <w:r>
        <w:rPr>
          <w:noProof/>
        </w:rPr>
        <w:fldChar w:fldCharType="separate"/>
      </w:r>
      <w:r w:rsidR="00B35FA3">
        <w:rPr>
          <w:noProof/>
        </w:rPr>
        <w:t>15</w:t>
      </w:r>
      <w:r>
        <w:rPr>
          <w:noProof/>
        </w:rPr>
        <w:fldChar w:fldCharType="end"/>
      </w:r>
    </w:p>
    <w:p w:rsidR="00D944FE" w:rsidRDefault="00D944FE">
      <w:pPr>
        <w:pStyle w:val="Sumrio2"/>
        <w:tabs>
          <w:tab w:val="right" w:leader="dot" w:pos="16260"/>
        </w:tabs>
        <w:rPr>
          <w:rFonts w:asciiTheme="minorHAnsi" w:eastAsiaTheme="minorEastAsia" w:hAnsiTheme="minorHAnsi"/>
          <w:noProof/>
          <w:sz w:val="22"/>
          <w:szCs w:val="22"/>
          <w:lang w:eastAsia="pt-BR"/>
        </w:rPr>
      </w:pPr>
      <w:r>
        <w:rPr>
          <w:noProof/>
        </w:rPr>
        <w:t>1.10. Mudança de Contador no Período ou Mudança de Planos de Contas no Período</w:t>
      </w:r>
      <w:r>
        <w:rPr>
          <w:noProof/>
        </w:rPr>
        <w:tab/>
      </w:r>
      <w:r>
        <w:rPr>
          <w:noProof/>
        </w:rPr>
        <w:fldChar w:fldCharType="begin"/>
      </w:r>
      <w:r>
        <w:rPr>
          <w:noProof/>
        </w:rPr>
        <w:instrText xml:space="preserve"> PAGEREF _Toc479713625 \h </w:instrText>
      </w:r>
      <w:r>
        <w:rPr>
          <w:noProof/>
        </w:rPr>
      </w:r>
      <w:r>
        <w:rPr>
          <w:noProof/>
        </w:rPr>
        <w:fldChar w:fldCharType="separate"/>
      </w:r>
      <w:r w:rsidR="00B35FA3">
        <w:rPr>
          <w:noProof/>
        </w:rPr>
        <w:t>15</w:t>
      </w:r>
      <w:r>
        <w:rPr>
          <w:noProof/>
        </w:rPr>
        <w:fldChar w:fldCharType="end"/>
      </w:r>
    </w:p>
    <w:p w:rsidR="00D944FE" w:rsidRDefault="00D944FE">
      <w:pPr>
        <w:pStyle w:val="Sumrio2"/>
        <w:tabs>
          <w:tab w:val="right" w:leader="dot" w:pos="16260"/>
        </w:tabs>
        <w:rPr>
          <w:rFonts w:asciiTheme="minorHAnsi" w:eastAsiaTheme="minorEastAsia" w:hAnsiTheme="minorHAnsi"/>
          <w:noProof/>
          <w:sz w:val="22"/>
          <w:szCs w:val="22"/>
          <w:lang w:eastAsia="pt-BR"/>
        </w:rPr>
      </w:pPr>
      <w:r>
        <w:rPr>
          <w:noProof/>
        </w:rPr>
        <w:t>1.11. Plano de Contas e Mapeamento</w:t>
      </w:r>
      <w:r>
        <w:rPr>
          <w:noProof/>
        </w:rPr>
        <w:tab/>
      </w:r>
      <w:r>
        <w:rPr>
          <w:noProof/>
        </w:rPr>
        <w:fldChar w:fldCharType="begin"/>
      </w:r>
      <w:r>
        <w:rPr>
          <w:noProof/>
        </w:rPr>
        <w:instrText xml:space="preserve"> PAGEREF _Toc479713626 \h </w:instrText>
      </w:r>
      <w:r>
        <w:rPr>
          <w:noProof/>
        </w:rPr>
      </w:r>
      <w:r>
        <w:rPr>
          <w:noProof/>
        </w:rPr>
        <w:fldChar w:fldCharType="separate"/>
      </w:r>
      <w:r w:rsidR="00B35FA3">
        <w:rPr>
          <w:noProof/>
        </w:rPr>
        <w:t>15</w:t>
      </w:r>
      <w:r>
        <w:rPr>
          <w:noProof/>
        </w:rPr>
        <w:fldChar w:fldCharType="end"/>
      </w:r>
    </w:p>
    <w:p w:rsidR="00D944FE" w:rsidRDefault="00D944FE">
      <w:pPr>
        <w:pStyle w:val="Sumrio2"/>
        <w:tabs>
          <w:tab w:val="right" w:leader="dot" w:pos="16260"/>
        </w:tabs>
        <w:rPr>
          <w:rFonts w:asciiTheme="minorHAnsi" w:eastAsiaTheme="minorEastAsia" w:hAnsiTheme="minorHAnsi"/>
          <w:noProof/>
          <w:sz w:val="22"/>
          <w:szCs w:val="22"/>
          <w:lang w:eastAsia="pt-BR"/>
        </w:rPr>
      </w:pPr>
      <w:r>
        <w:rPr>
          <w:noProof/>
        </w:rPr>
        <w:t>1.12. Registros de Planos de Contas Referenciais (L100, L300, P100, P150, U100 e U150)</w:t>
      </w:r>
      <w:r>
        <w:rPr>
          <w:noProof/>
        </w:rPr>
        <w:tab/>
      </w:r>
      <w:r>
        <w:rPr>
          <w:noProof/>
        </w:rPr>
        <w:fldChar w:fldCharType="begin"/>
      </w:r>
      <w:r>
        <w:rPr>
          <w:noProof/>
        </w:rPr>
        <w:instrText xml:space="preserve"> PAGEREF _Toc479713627 \h </w:instrText>
      </w:r>
      <w:r>
        <w:rPr>
          <w:noProof/>
        </w:rPr>
      </w:r>
      <w:r>
        <w:rPr>
          <w:noProof/>
        </w:rPr>
        <w:fldChar w:fldCharType="separate"/>
      </w:r>
      <w:r w:rsidR="00B35FA3">
        <w:rPr>
          <w:noProof/>
        </w:rPr>
        <w:t>16</w:t>
      </w:r>
      <w:r>
        <w:rPr>
          <w:noProof/>
        </w:rPr>
        <w:fldChar w:fldCharType="end"/>
      </w:r>
    </w:p>
    <w:p w:rsidR="00D944FE" w:rsidRDefault="00D944FE">
      <w:pPr>
        <w:pStyle w:val="Sumrio2"/>
        <w:tabs>
          <w:tab w:val="right" w:leader="dot" w:pos="16260"/>
        </w:tabs>
        <w:rPr>
          <w:rFonts w:asciiTheme="minorHAnsi" w:eastAsiaTheme="minorEastAsia" w:hAnsiTheme="minorHAnsi"/>
          <w:noProof/>
          <w:sz w:val="22"/>
          <w:szCs w:val="22"/>
          <w:lang w:eastAsia="pt-BR"/>
        </w:rPr>
      </w:pPr>
      <w:r>
        <w:rPr>
          <w:noProof/>
        </w:rPr>
        <w:t>1.13. Conta “Resultado do Exercício”</w:t>
      </w:r>
      <w:r>
        <w:rPr>
          <w:noProof/>
        </w:rPr>
        <w:tab/>
      </w:r>
      <w:r>
        <w:rPr>
          <w:noProof/>
        </w:rPr>
        <w:fldChar w:fldCharType="begin"/>
      </w:r>
      <w:r>
        <w:rPr>
          <w:noProof/>
        </w:rPr>
        <w:instrText xml:space="preserve"> PAGEREF _Toc479713628 \h </w:instrText>
      </w:r>
      <w:r>
        <w:rPr>
          <w:noProof/>
        </w:rPr>
      </w:r>
      <w:r>
        <w:rPr>
          <w:noProof/>
        </w:rPr>
        <w:fldChar w:fldCharType="separate"/>
      </w:r>
      <w:r w:rsidR="00B35FA3">
        <w:rPr>
          <w:noProof/>
        </w:rPr>
        <w:t>16</w:t>
      </w:r>
      <w:r>
        <w:rPr>
          <w:noProof/>
        </w:rPr>
        <w:fldChar w:fldCharType="end"/>
      </w:r>
    </w:p>
    <w:p w:rsidR="00D944FE" w:rsidRDefault="00D944FE">
      <w:pPr>
        <w:pStyle w:val="Sumrio2"/>
        <w:tabs>
          <w:tab w:val="right" w:leader="dot" w:pos="16260"/>
        </w:tabs>
        <w:rPr>
          <w:rFonts w:asciiTheme="minorHAnsi" w:eastAsiaTheme="minorEastAsia" w:hAnsiTheme="minorHAnsi"/>
          <w:noProof/>
          <w:sz w:val="22"/>
          <w:szCs w:val="22"/>
          <w:lang w:eastAsia="pt-BR"/>
        </w:rPr>
      </w:pPr>
      <w:r>
        <w:rPr>
          <w:noProof/>
        </w:rPr>
        <w:t>1.14. Retificação da ECF</w:t>
      </w:r>
      <w:r>
        <w:rPr>
          <w:noProof/>
        </w:rPr>
        <w:tab/>
      </w:r>
      <w:r>
        <w:rPr>
          <w:noProof/>
        </w:rPr>
        <w:fldChar w:fldCharType="begin"/>
      </w:r>
      <w:r>
        <w:rPr>
          <w:noProof/>
        </w:rPr>
        <w:instrText xml:space="preserve"> PAGEREF _Toc479713629 \h </w:instrText>
      </w:r>
      <w:r>
        <w:rPr>
          <w:noProof/>
        </w:rPr>
      </w:r>
      <w:r>
        <w:rPr>
          <w:noProof/>
        </w:rPr>
        <w:fldChar w:fldCharType="separate"/>
      </w:r>
      <w:r w:rsidR="00B35FA3">
        <w:rPr>
          <w:noProof/>
        </w:rPr>
        <w:t>16</w:t>
      </w:r>
      <w:r>
        <w:rPr>
          <w:noProof/>
        </w:rPr>
        <w:fldChar w:fldCharType="end"/>
      </w:r>
    </w:p>
    <w:p w:rsidR="00D944FE" w:rsidRDefault="00D944FE">
      <w:pPr>
        <w:pStyle w:val="Sumrio2"/>
        <w:tabs>
          <w:tab w:val="right" w:leader="dot" w:pos="16260"/>
        </w:tabs>
        <w:rPr>
          <w:rFonts w:asciiTheme="minorHAnsi" w:eastAsiaTheme="minorEastAsia" w:hAnsiTheme="minorHAnsi"/>
          <w:noProof/>
          <w:sz w:val="22"/>
          <w:szCs w:val="22"/>
          <w:lang w:eastAsia="pt-BR"/>
        </w:rPr>
      </w:pPr>
      <w:r>
        <w:rPr>
          <w:noProof/>
        </w:rPr>
        <w:t>1.15. O que significa a mensagem “Dados atualizados na linha de acordo com a tabela da RFB”?</w:t>
      </w:r>
      <w:r>
        <w:rPr>
          <w:noProof/>
        </w:rPr>
        <w:tab/>
      </w:r>
      <w:r>
        <w:rPr>
          <w:noProof/>
        </w:rPr>
        <w:fldChar w:fldCharType="begin"/>
      </w:r>
      <w:r>
        <w:rPr>
          <w:noProof/>
        </w:rPr>
        <w:instrText xml:space="preserve"> PAGEREF _Toc479713630 \h </w:instrText>
      </w:r>
      <w:r>
        <w:rPr>
          <w:noProof/>
        </w:rPr>
      </w:r>
      <w:r>
        <w:rPr>
          <w:noProof/>
        </w:rPr>
        <w:fldChar w:fldCharType="separate"/>
      </w:r>
      <w:r w:rsidR="00B35FA3">
        <w:rPr>
          <w:noProof/>
        </w:rPr>
        <w:t>16</w:t>
      </w:r>
      <w:r>
        <w:rPr>
          <w:noProof/>
        </w:rPr>
        <w:fldChar w:fldCharType="end"/>
      </w:r>
    </w:p>
    <w:p w:rsidR="00D944FE" w:rsidRDefault="00D944FE">
      <w:pPr>
        <w:pStyle w:val="Sumrio2"/>
        <w:tabs>
          <w:tab w:val="right" w:leader="dot" w:pos="16260"/>
        </w:tabs>
        <w:rPr>
          <w:rFonts w:asciiTheme="minorHAnsi" w:eastAsiaTheme="minorEastAsia" w:hAnsiTheme="minorHAnsi"/>
          <w:noProof/>
          <w:sz w:val="22"/>
          <w:szCs w:val="22"/>
          <w:lang w:eastAsia="pt-BR"/>
        </w:rPr>
      </w:pPr>
      <w:r>
        <w:rPr>
          <w:noProof/>
        </w:rPr>
        <w:t>1.16. Transformação</w:t>
      </w:r>
      <w:r>
        <w:rPr>
          <w:noProof/>
        </w:rPr>
        <w:tab/>
      </w:r>
      <w:r>
        <w:rPr>
          <w:noProof/>
        </w:rPr>
        <w:fldChar w:fldCharType="begin"/>
      </w:r>
      <w:r>
        <w:rPr>
          <w:noProof/>
        </w:rPr>
        <w:instrText xml:space="preserve"> PAGEREF _Toc479713631 \h </w:instrText>
      </w:r>
      <w:r>
        <w:rPr>
          <w:noProof/>
        </w:rPr>
      </w:r>
      <w:r>
        <w:rPr>
          <w:noProof/>
        </w:rPr>
        <w:fldChar w:fldCharType="separate"/>
      </w:r>
      <w:r w:rsidR="00B35FA3">
        <w:rPr>
          <w:noProof/>
        </w:rPr>
        <w:t>18</w:t>
      </w:r>
      <w:r>
        <w:rPr>
          <w:noProof/>
        </w:rPr>
        <w:fldChar w:fldCharType="end"/>
      </w:r>
    </w:p>
    <w:p w:rsidR="00D944FE" w:rsidRDefault="00D944FE">
      <w:pPr>
        <w:pStyle w:val="Sumrio2"/>
        <w:tabs>
          <w:tab w:val="right" w:leader="dot" w:pos="16260"/>
        </w:tabs>
        <w:rPr>
          <w:rFonts w:asciiTheme="minorHAnsi" w:eastAsiaTheme="minorEastAsia" w:hAnsiTheme="minorHAnsi"/>
          <w:noProof/>
          <w:sz w:val="22"/>
          <w:szCs w:val="22"/>
          <w:lang w:eastAsia="pt-BR"/>
        </w:rPr>
      </w:pPr>
      <w:r>
        <w:rPr>
          <w:noProof/>
        </w:rPr>
        <w:t>1.17. Prejuízos Fiscais Acumulados de Períodos Anteriores</w:t>
      </w:r>
      <w:r>
        <w:rPr>
          <w:noProof/>
        </w:rPr>
        <w:tab/>
      </w:r>
      <w:r>
        <w:rPr>
          <w:noProof/>
        </w:rPr>
        <w:fldChar w:fldCharType="begin"/>
      </w:r>
      <w:r>
        <w:rPr>
          <w:noProof/>
        </w:rPr>
        <w:instrText xml:space="preserve"> PAGEREF _Toc479713632 \h </w:instrText>
      </w:r>
      <w:r>
        <w:rPr>
          <w:noProof/>
        </w:rPr>
      </w:r>
      <w:r>
        <w:rPr>
          <w:noProof/>
        </w:rPr>
        <w:fldChar w:fldCharType="separate"/>
      </w:r>
      <w:r w:rsidR="00B35FA3">
        <w:rPr>
          <w:noProof/>
        </w:rPr>
        <w:t>18</w:t>
      </w:r>
      <w:r>
        <w:rPr>
          <w:noProof/>
        </w:rPr>
        <w:fldChar w:fldCharType="end"/>
      </w:r>
    </w:p>
    <w:p w:rsidR="00D944FE" w:rsidRDefault="00D944FE">
      <w:pPr>
        <w:pStyle w:val="Sumrio2"/>
        <w:tabs>
          <w:tab w:val="right" w:leader="dot" w:pos="16260"/>
        </w:tabs>
        <w:rPr>
          <w:rFonts w:asciiTheme="minorHAnsi" w:eastAsiaTheme="minorEastAsia" w:hAnsiTheme="minorHAnsi"/>
          <w:noProof/>
          <w:sz w:val="22"/>
          <w:szCs w:val="22"/>
          <w:lang w:eastAsia="pt-BR"/>
        </w:rPr>
      </w:pPr>
      <w:r>
        <w:rPr>
          <w:noProof/>
        </w:rPr>
        <w:t>1.18. Bases de Cálculo Negativas Acumuladas de Períodos Anteriores</w:t>
      </w:r>
      <w:r>
        <w:rPr>
          <w:noProof/>
        </w:rPr>
        <w:tab/>
      </w:r>
      <w:r>
        <w:rPr>
          <w:noProof/>
        </w:rPr>
        <w:fldChar w:fldCharType="begin"/>
      </w:r>
      <w:r>
        <w:rPr>
          <w:noProof/>
        </w:rPr>
        <w:instrText xml:space="preserve"> PAGEREF _Toc479713633 \h </w:instrText>
      </w:r>
      <w:r>
        <w:rPr>
          <w:noProof/>
        </w:rPr>
      </w:r>
      <w:r>
        <w:rPr>
          <w:noProof/>
        </w:rPr>
        <w:fldChar w:fldCharType="separate"/>
      </w:r>
      <w:r w:rsidR="00B35FA3">
        <w:rPr>
          <w:noProof/>
        </w:rPr>
        <w:t>19</w:t>
      </w:r>
      <w:r>
        <w:rPr>
          <w:noProof/>
        </w:rPr>
        <w:fldChar w:fldCharType="end"/>
      </w:r>
    </w:p>
    <w:p w:rsidR="00D944FE" w:rsidRDefault="00D944FE">
      <w:pPr>
        <w:pStyle w:val="Sumrio2"/>
        <w:tabs>
          <w:tab w:val="right" w:leader="dot" w:pos="16260"/>
        </w:tabs>
        <w:rPr>
          <w:rFonts w:asciiTheme="minorHAnsi" w:eastAsiaTheme="minorEastAsia" w:hAnsiTheme="minorHAnsi"/>
          <w:noProof/>
          <w:sz w:val="22"/>
          <w:szCs w:val="22"/>
          <w:lang w:eastAsia="pt-BR"/>
        </w:rPr>
      </w:pPr>
      <w:r>
        <w:rPr>
          <w:noProof/>
        </w:rPr>
        <w:t>1.19. Situações Especiais de 2014 e Sociedades em Conta de Participação (SCP)</w:t>
      </w:r>
      <w:r>
        <w:rPr>
          <w:noProof/>
        </w:rPr>
        <w:tab/>
      </w:r>
      <w:r>
        <w:rPr>
          <w:noProof/>
        </w:rPr>
        <w:fldChar w:fldCharType="begin"/>
      </w:r>
      <w:r>
        <w:rPr>
          <w:noProof/>
        </w:rPr>
        <w:instrText xml:space="preserve"> PAGEREF _Toc479713634 \h </w:instrText>
      </w:r>
      <w:r>
        <w:rPr>
          <w:noProof/>
        </w:rPr>
      </w:r>
      <w:r>
        <w:rPr>
          <w:noProof/>
        </w:rPr>
        <w:fldChar w:fldCharType="separate"/>
      </w:r>
      <w:r w:rsidR="00B35FA3">
        <w:rPr>
          <w:noProof/>
        </w:rPr>
        <w:t>19</w:t>
      </w:r>
      <w:r>
        <w:rPr>
          <w:noProof/>
        </w:rPr>
        <w:fldChar w:fldCharType="end"/>
      </w:r>
    </w:p>
    <w:p w:rsidR="00D944FE" w:rsidRDefault="00D944FE">
      <w:pPr>
        <w:pStyle w:val="Sumrio2"/>
        <w:tabs>
          <w:tab w:val="right" w:leader="dot" w:pos="16260"/>
        </w:tabs>
        <w:rPr>
          <w:rFonts w:asciiTheme="minorHAnsi" w:eastAsiaTheme="minorEastAsia" w:hAnsiTheme="minorHAnsi"/>
          <w:noProof/>
          <w:sz w:val="22"/>
          <w:szCs w:val="22"/>
          <w:lang w:eastAsia="pt-BR"/>
        </w:rPr>
      </w:pPr>
      <w:r>
        <w:rPr>
          <w:noProof/>
        </w:rPr>
        <w:t>1.20. Contas Contábeis Mapeadas para Mais de um Conta Referencial</w:t>
      </w:r>
      <w:r>
        <w:rPr>
          <w:noProof/>
        </w:rPr>
        <w:tab/>
      </w:r>
      <w:r>
        <w:rPr>
          <w:noProof/>
        </w:rPr>
        <w:fldChar w:fldCharType="begin"/>
      </w:r>
      <w:r>
        <w:rPr>
          <w:noProof/>
        </w:rPr>
        <w:instrText xml:space="preserve"> PAGEREF _Toc479713635 \h </w:instrText>
      </w:r>
      <w:r>
        <w:rPr>
          <w:noProof/>
        </w:rPr>
      </w:r>
      <w:r>
        <w:rPr>
          <w:noProof/>
        </w:rPr>
        <w:fldChar w:fldCharType="separate"/>
      </w:r>
      <w:r w:rsidR="00B35FA3">
        <w:rPr>
          <w:noProof/>
        </w:rPr>
        <w:t>20</w:t>
      </w:r>
      <w:r>
        <w:rPr>
          <w:noProof/>
        </w:rPr>
        <w:fldChar w:fldCharType="end"/>
      </w:r>
    </w:p>
    <w:p w:rsidR="00D944FE" w:rsidRDefault="00D944FE">
      <w:pPr>
        <w:pStyle w:val="Sumrio2"/>
        <w:tabs>
          <w:tab w:val="right" w:leader="dot" w:pos="16260"/>
        </w:tabs>
        <w:rPr>
          <w:rFonts w:asciiTheme="minorHAnsi" w:eastAsiaTheme="minorEastAsia" w:hAnsiTheme="minorHAnsi"/>
          <w:noProof/>
          <w:sz w:val="22"/>
          <w:szCs w:val="22"/>
          <w:lang w:eastAsia="pt-BR"/>
        </w:rPr>
      </w:pPr>
      <w:r>
        <w:rPr>
          <w:noProof/>
        </w:rPr>
        <w:t>1.21. Arquivos da ECF ou da ECD Corrompidos ou Extraviados</w:t>
      </w:r>
      <w:r>
        <w:rPr>
          <w:noProof/>
        </w:rPr>
        <w:tab/>
      </w:r>
      <w:r>
        <w:rPr>
          <w:noProof/>
        </w:rPr>
        <w:fldChar w:fldCharType="begin"/>
      </w:r>
      <w:r>
        <w:rPr>
          <w:noProof/>
        </w:rPr>
        <w:instrText xml:space="preserve"> PAGEREF _Toc479713636 \h </w:instrText>
      </w:r>
      <w:r>
        <w:rPr>
          <w:noProof/>
        </w:rPr>
      </w:r>
      <w:r>
        <w:rPr>
          <w:noProof/>
        </w:rPr>
        <w:fldChar w:fldCharType="separate"/>
      </w:r>
      <w:r w:rsidR="00B35FA3">
        <w:rPr>
          <w:noProof/>
        </w:rPr>
        <w:t>20</w:t>
      </w:r>
      <w:r>
        <w:rPr>
          <w:noProof/>
        </w:rPr>
        <w:fldChar w:fldCharType="end"/>
      </w:r>
    </w:p>
    <w:p w:rsidR="00D944FE" w:rsidRDefault="00D944FE">
      <w:pPr>
        <w:pStyle w:val="Sumrio2"/>
        <w:tabs>
          <w:tab w:val="right" w:leader="dot" w:pos="16260"/>
        </w:tabs>
        <w:rPr>
          <w:rFonts w:asciiTheme="minorHAnsi" w:eastAsiaTheme="minorEastAsia" w:hAnsiTheme="minorHAnsi"/>
          <w:noProof/>
          <w:sz w:val="22"/>
          <w:szCs w:val="22"/>
          <w:lang w:eastAsia="pt-BR"/>
        </w:rPr>
      </w:pPr>
      <w:r>
        <w:rPr>
          <w:noProof/>
        </w:rPr>
        <w:t>1.22. Multa por Atraso na Entrega da ECF ou por Incorreções</w:t>
      </w:r>
      <w:r>
        <w:rPr>
          <w:noProof/>
        </w:rPr>
        <w:tab/>
      </w:r>
      <w:r>
        <w:rPr>
          <w:noProof/>
        </w:rPr>
        <w:fldChar w:fldCharType="begin"/>
      </w:r>
      <w:r>
        <w:rPr>
          <w:noProof/>
        </w:rPr>
        <w:instrText xml:space="preserve"> PAGEREF _Toc479713637 \h </w:instrText>
      </w:r>
      <w:r>
        <w:rPr>
          <w:noProof/>
        </w:rPr>
      </w:r>
      <w:r>
        <w:rPr>
          <w:noProof/>
        </w:rPr>
        <w:fldChar w:fldCharType="separate"/>
      </w:r>
      <w:r w:rsidR="00B35FA3">
        <w:rPr>
          <w:noProof/>
        </w:rPr>
        <w:t>21</w:t>
      </w:r>
      <w:r>
        <w:rPr>
          <w:noProof/>
        </w:rPr>
        <w:fldChar w:fldCharType="end"/>
      </w:r>
    </w:p>
    <w:p w:rsidR="00D944FE" w:rsidRDefault="00D944FE">
      <w:pPr>
        <w:pStyle w:val="Sumrio2"/>
        <w:tabs>
          <w:tab w:val="right" w:leader="dot" w:pos="16260"/>
        </w:tabs>
        <w:rPr>
          <w:rFonts w:asciiTheme="minorHAnsi" w:eastAsiaTheme="minorEastAsia" w:hAnsiTheme="minorHAnsi"/>
          <w:noProof/>
          <w:sz w:val="22"/>
          <w:szCs w:val="22"/>
          <w:lang w:eastAsia="pt-BR"/>
        </w:rPr>
      </w:pPr>
      <w:r>
        <w:rPr>
          <w:noProof/>
        </w:rPr>
        <w:t>1.23. Pessoas Jurídicas Resultantes de Cisão/Fusão ou Remanescentes de Cisão ou que Realizaram Incorporação</w:t>
      </w:r>
      <w:r>
        <w:rPr>
          <w:noProof/>
        </w:rPr>
        <w:tab/>
      </w:r>
      <w:r>
        <w:rPr>
          <w:noProof/>
        </w:rPr>
        <w:fldChar w:fldCharType="begin"/>
      </w:r>
      <w:r>
        <w:rPr>
          <w:noProof/>
        </w:rPr>
        <w:instrText xml:space="preserve"> PAGEREF _Toc479713638 \h </w:instrText>
      </w:r>
      <w:r>
        <w:rPr>
          <w:noProof/>
        </w:rPr>
      </w:r>
      <w:r>
        <w:rPr>
          <w:noProof/>
        </w:rPr>
        <w:fldChar w:fldCharType="separate"/>
      </w:r>
      <w:r w:rsidR="00B35FA3">
        <w:rPr>
          <w:noProof/>
        </w:rPr>
        <w:t>21</w:t>
      </w:r>
      <w:r>
        <w:rPr>
          <w:noProof/>
        </w:rPr>
        <w:fldChar w:fldCharType="end"/>
      </w:r>
    </w:p>
    <w:p w:rsidR="00D944FE" w:rsidRDefault="00D944FE">
      <w:pPr>
        <w:pStyle w:val="Sumrio2"/>
        <w:tabs>
          <w:tab w:val="right" w:leader="dot" w:pos="16260"/>
        </w:tabs>
        <w:rPr>
          <w:rFonts w:asciiTheme="minorHAnsi" w:eastAsiaTheme="minorEastAsia" w:hAnsiTheme="minorHAnsi"/>
          <w:noProof/>
          <w:sz w:val="22"/>
          <w:szCs w:val="22"/>
          <w:lang w:eastAsia="pt-BR"/>
        </w:rPr>
      </w:pPr>
      <w:r>
        <w:rPr>
          <w:noProof/>
        </w:rPr>
        <w:t>1.24. CIO (Comitê Olímpico Internacional), RIO 2016 e Empresas Vinculadas</w:t>
      </w:r>
      <w:r>
        <w:rPr>
          <w:noProof/>
        </w:rPr>
        <w:tab/>
      </w:r>
      <w:r>
        <w:rPr>
          <w:noProof/>
        </w:rPr>
        <w:fldChar w:fldCharType="begin"/>
      </w:r>
      <w:r>
        <w:rPr>
          <w:noProof/>
        </w:rPr>
        <w:instrText xml:space="preserve"> PAGEREF _Toc479713639 \h </w:instrText>
      </w:r>
      <w:r>
        <w:rPr>
          <w:noProof/>
        </w:rPr>
      </w:r>
      <w:r>
        <w:rPr>
          <w:noProof/>
        </w:rPr>
        <w:fldChar w:fldCharType="separate"/>
      </w:r>
      <w:r w:rsidR="00B35FA3">
        <w:rPr>
          <w:noProof/>
        </w:rPr>
        <w:t>22</w:t>
      </w:r>
      <w:r>
        <w:rPr>
          <w:noProof/>
        </w:rPr>
        <w:fldChar w:fldCharType="end"/>
      </w:r>
    </w:p>
    <w:p w:rsidR="00D944FE" w:rsidRDefault="00D944FE">
      <w:pPr>
        <w:pStyle w:val="Sumrio1"/>
        <w:rPr>
          <w:rFonts w:asciiTheme="minorHAnsi" w:eastAsiaTheme="minorEastAsia" w:hAnsiTheme="minorHAnsi"/>
          <w:bCs w:val="0"/>
          <w:sz w:val="22"/>
          <w:szCs w:val="22"/>
          <w:lang w:eastAsia="pt-BR"/>
        </w:rPr>
      </w:pPr>
      <w:r>
        <w:lastRenderedPageBreak/>
        <w:t>Capítulo 2 – Dados Técnicos para Geração do Arquivo da ECF</w:t>
      </w:r>
      <w:r>
        <w:tab/>
      </w:r>
      <w:r>
        <w:fldChar w:fldCharType="begin"/>
      </w:r>
      <w:r>
        <w:instrText xml:space="preserve"> PAGEREF _Toc479713640 \h </w:instrText>
      </w:r>
      <w:r>
        <w:fldChar w:fldCharType="separate"/>
      </w:r>
      <w:r w:rsidR="00B35FA3">
        <w:t>23</w:t>
      </w:r>
      <w:r>
        <w:fldChar w:fldCharType="end"/>
      </w:r>
    </w:p>
    <w:p w:rsidR="00D944FE" w:rsidRDefault="00D944FE">
      <w:pPr>
        <w:pStyle w:val="Sumrio2"/>
        <w:tabs>
          <w:tab w:val="right" w:leader="dot" w:pos="16260"/>
        </w:tabs>
        <w:rPr>
          <w:rFonts w:asciiTheme="minorHAnsi" w:eastAsiaTheme="minorEastAsia" w:hAnsiTheme="minorHAnsi"/>
          <w:noProof/>
          <w:sz w:val="22"/>
          <w:szCs w:val="22"/>
          <w:lang w:eastAsia="pt-BR"/>
        </w:rPr>
      </w:pPr>
      <w:r>
        <w:rPr>
          <w:noProof/>
        </w:rPr>
        <w:t>2.1. Introdução</w:t>
      </w:r>
      <w:r>
        <w:rPr>
          <w:noProof/>
        </w:rPr>
        <w:tab/>
      </w:r>
      <w:r>
        <w:rPr>
          <w:noProof/>
        </w:rPr>
        <w:fldChar w:fldCharType="begin"/>
      </w:r>
      <w:r>
        <w:rPr>
          <w:noProof/>
        </w:rPr>
        <w:instrText xml:space="preserve"> PAGEREF _Toc479713641 \h </w:instrText>
      </w:r>
      <w:r>
        <w:rPr>
          <w:noProof/>
        </w:rPr>
      </w:r>
      <w:r>
        <w:rPr>
          <w:noProof/>
        </w:rPr>
        <w:fldChar w:fldCharType="separate"/>
      </w:r>
      <w:r w:rsidR="00B35FA3">
        <w:rPr>
          <w:noProof/>
        </w:rPr>
        <w:t>23</w:t>
      </w:r>
      <w:r>
        <w:rPr>
          <w:noProof/>
        </w:rPr>
        <w:fldChar w:fldCharType="end"/>
      </w:r>
    </w:p>
    <w:p w:rsidR="00D944FE" w:rsidRDefault="00D944FE">
      <w:pPr>
        <w:pStyle w:val="Sumrio2"/>
        <w:tabs>
          <w:tab w:val="right" w:leader="dot" w:pos="16260"/>
        </w:tabs>
        <w:rPr>
          <w:rFonts w:asciiTheme="minorHAnsi" w:eastAsiaTheme="minorEastAsia" w:hAnsiTheme="minorHAnsi"/>
          <w:noProof/>
          <w:sz w:val="22"/>
          <w:szCs w:val="22"/>
          <w:lang w:eastAsia="pt-BR"/>
        </w:rPr>
      </w:pPr>
      <w:r>
        <w:rPr>
          <w:noProof/>
        </w:rPr>
        <w:t>2.2. Características do Arquivo</w:t>
      </w:r>
      <w:r>
        <w:rPr>
          <w:noProof/>
        </w:rPr>
        <w:tab/>
      </w:r>
      <w:r>
        <w:rPr>
          <w:noProof/>
        </w:rPr>
        <w:fldChar w:fldCharType="begin"/>
      </w:r>
      <w:r>
        <w:rPr>
          <w:noProof/>
        </w:rPr>
        <w:instrText xml:space="preserve"> PAGEREF _Toc479713642 \h </w:instrText>
      </w:r>
      <w:r>
        <w:rPr>
          <w:noProof/>
        </w:rPr>
      </w:r>
      <w:r>
        <w:rPr>
          <w:noProof/>
        </w:rPr>
        <w:fldChar w:fldCharType="separate"/>
      </w:r>
      <w:r w:rsidR="00B35FA3">
        <w:rPr>
          <w:noProof/>
        </w:rPr>
        <w:t>23</w:t>
      </w:r>
      <w:r>
        <w:rPr>
          <w:noProof/>
        </w:rPr>
        <w:fldChar w:fldCharType="end"/>
      </w:r>
    </w:p>
    <w:p w:rsidR="00D944FE" w:rsidRDefault="00D944FE">
      <w:pPr>
        <w:pStyle w:val="Sumrio2"/>
        <w:tabs>
          <w:tab w:val="right" w:leader="dot" w:pos="16260"/>
        </w:tabs>
        <w:rPr>
          <w:rFonts w:asciiTheme="minorHAnsi" w:eastAsiaTheme="minorEastAsia" w:hAnsiTheme="minorHAnsi"/>
          <w:noProof/>
          <w:sz w:val="22"/>
          <w:szCs w:val="22"/>
          <w:lang w:eastAsia="pt-BR"/>
        </w:rPr>
      </w:pPr>
      <w:r>
        <w:rPr>
          <w:noProof/>
        </w:rPr>
        <w:t>2.3. Regras Gerais de Preenchimento</w:t>
      </w:r>
      <w:r>
        <w:rPr>
          <w:noProof/>
        </w:rPr>
        <w:tab/>
      </w:r>
      <w:r>
        <w:rPr>
          <w:noProof/>
        </w:rPr>
        <w:fldChar w:fldCharType="begin"/>
      </w:r>
      <w:r>
        <w:rPr>
          <w:noProof/>
        </w:rPr>
        <w:instrText xml:space="preserve"> PAGEREF _Toc479713643 \h </w:instrText>
      </w:r>
      <w:r>
        <w:rPr>
          <w:noProof/>
        </w:rPr>
      </w:r>
      <w:r>
        <w:rPr>
          <w:noProof/>
        </w:rPr>
        <w:fldChar w:fldCharType="separate"/>
      </w:r>
      <w:r w:rsidR="00B35FA3">
        <w:rPr>
          <w:noProof/>
        </w:rPr>
        <w:t>24</w:t>
      </w:r>
      <w:r>
        <w:rPr>
          <w:noProof/>
        </w:rPr>
        <w:fldChar w:fldCharType="end"/>
      </w:r>
    </w:p>
    <w:p w:rsidR="00D944FE" w:rsidRDefault="00D944FE">
      <w:pPr>
        <w:pStyle w:val="Sumrio3"/>
        <w:tabs>
          <w:tab w:val="right" w:leader="dot" w:pos="16260"/>
        </w:tabs>
        <w:rPr>
          <w:rFonts w:asciiTheme="minorHAnsi" w:eastAsiaTheme="minorEastAsia" w:hAnsiTheme="minorHAnsi"/>
          <w:iCs w:val="0"/>
          <w:noProof/>
          <w:sz w:val="22"/>
          <w:szCs w:val="22"/>
          <w:lang w:eastAsia="pt-BR"/>
        </w:rPr>
      </w:pPr>
      <w:r>
        <w:rPr>
          <w:noProof/>
        </w:rPr>
        <w:t>2.3.1. Formato dos Campos</w:t>
      </w:r>
      <w:r>
        <w:rPr>
          <w:noProof/>
        </w:rPr>
        <w:tab/>
      </w:r>
      <w:r>
        <w:rPr>
          <w:noProof/>
        </w:rPr>
        <w:fldChar w:fldCharType="begin"/>
      </w:r>
      <w:r>
        <w:rPr>
          <w:noProof/>
        </w:rPr>
        <w:instrText xml:space="preserve"> PAGEREF _Toc479713644 \h </w:instrText>
      </w:r>
      <w:r>
        <w:rPr>
          <w:noProof/>
        </w:rPr>
      </w:r>
      <w:r>
        <w:rPr>
          <w:noProof/>
        </w:rPr>
        <w:fldChar w:fldCharType="separate"/>
      </w:r>
      <w:r w:rsidR="00B35FA3">
        <w:rPr>
          <w:noProof/>
        </w:rPr>
        <w:t>24</w:t>
      </w:r>
      <w:r>
        <w:rPr>
          <w:noProof/>
        </w:rPr>
        <w:fldChar w:fldCharType="end"/>
      </w:r>
    </w:p>
    <w:p w:rsidR="00D944FE" w:rsidRDefault="00D944FE">
      <w:pPr>
        <w:pStyle w:val="Sumrio3"/>
        <w:tabs>
          <w:tab w:val="right" w:leader="dot" w:pos="16260"/>
        </w:tabs>
        <w:rPr>
          <w:rFonts w:asciiTheme="minorHAnsi" w:eastAsiaTheme="minorEastAsia" w:hAnsiTheme="minorHAnsi"/>
          <w:iCs w:val="0"/>
          <w:noProof/>
          <w:sz w:val="22"/>
          <w:szCs w:val="22"/>
          <w:lang w:eastAsia="pt-BR"/>
        </w:rPr>
      </w:pPr>
      <w:r>
        <w:rPr>
          <w:noProof/>
        </w:rPr>
        <w:t>2.3.2. Regras de Preenchimento dos Campos com Conteúdo Alfanumérico (C)</w:t>
      </w:r>
      <w:r>
        <w:rPr>
          <w:noProof/>
        </w:rPr>
        <w:tab/>
      </w:r>
      <w:r>
        <w:rPr>
          <w:noProof/>
        </w:rPr>
        <w:fldChar w:fldCharType="begin"/>
      </w:r>
      <w:r>
        <w:rPr>
          <w:noProof/>
        </w:rPr>
        <w:instrText xml:space="preserve"> PAGEREF _Toc479713645 \h </w:instrText>
      </w:r>
      <w:r>
        <w:rPr>
          <w:noProof/>
        </w:rPr>
      </w:r>
      <w:r>
        <w:rPr>
          <w:noProof/>
        </w:rPr>
        <w:fldChar w:fldCharType="separate"/>
      </w:r>
      <w:r w:rsidR="00B35FA3">
        <w:rPr>
          <w:noProof/>
        </w:rPr>
        <w:t>24</w:t>
      </w:r>
      <w:r>
        <w:rPr>
          <w:noProof/>
        </w:rPr>
        <w:fldChar w:fldCharType="end"/>
      </w:r>
    </w:p>
    <w:p w:rsidR="00D944FE" w:rsidRDefault="00D944FE">
      <w:pPr>
        <w:pStyle w:val="Sumrio3"/>
        <w:tabs>
          <w:tab w:val="right" w:leader="dot" w:pos="16260"/>
        </w:tabs>
        <w:rPr>
          <w:rFonts w:asciiTheme="minorHAnsi" w:eastAsiaTheme="minorEastAsia" w:hAnsiTheme="minorHAnsi"/>
          <w:iCs w:val="0"/>
          <w:noProof/>
          <w:sz w:val="22"/>
          <w:szCs w:val="22"/>
          <w:lang w:eastAsia="pt-BR"/>
        </w:rPr>
      </w:pPr>
      <w:r>
        <w:rPr>
          <w:noProof/>
        </w:rPr>
        <w:t>2.3.3. Regras de Preenchimento dos Campos Numéricos (N) com Casas Decimais</w:t>
      </w:r>
      <w:r>
        <w:rPr>
          <w:noProof/>
        </w:rPr>
        <w:tab/>
      </w:r>
      <w:r>
        <w:rPr>
          <w:noProof/>
        </w:rPr>
        <w:fldChar w:fldCharType="begin"/>
      </w:r>
      <w:r>
        <w:rPr>
          <w:noProof/>
        </w:rPr>
        <w:instrText xml:space="preserve"> PAGEREF _Toc479713646 \h </w:instrText>
      </w:r>
      <w:r>
        <w:rPr>
          <w:noProof/>
        </w:rPr>
      </w:r>
      <w:r>
        <w:rPr>
          <w:noProof/>
        </w:rPr>
        <w:fldChar w:fldCharType="separate"/>
      </w:r>
      <w:r w:rsidR="00B35FA3">
        <w:rPr>
          <w:noProof/>
        </w:rPr>
        <w:t>25</w:t>
      </w:r>
      <w:r>
        <w:rPr>
          <w:noProof/>
        </w:rPr>
        <w:fldChar w:fldCharType="end"/>
      </w:r>
    </w:p>
    <w:p w:rsidR="00D944FE" w:rsidRDefault="00D944FE">
      <w:pPr>
        <w:pStyle w:val="Sumrio3"/>
        <w:tabs>
          <w:tab w:val="right" w:leader="dot" w:pos="16260"/>
        </w:tabs>
        <w:rPr>
          <w:rFonts w:asciiTheme="minorHAnsi" w:eastAsiaTheme="minorEastAsia" w:hAnsiTheme="minorHAnsi"/>
          <w:iCs w:val="0"/>
          <w:noProof/>
          <w:sz w:val="22"/>
          <w:szCs w:val="22"/>
          <w:lang w:eastAsia="pt-BR"/>
        </w:rPr>
      </w:pPr>
      <w:r>
        <w:rPr>
          <w:noProof/>
        </w:rPr>
        <w:t>2.3.4. Regras de Preenchimento de Campos Numéricos (N) que Representam Data</w:t>
      </w:r>
      <w:r>
        <w:rPr>
          <w:noProof/>
        </w:rPr>
        <w:tab/>
      </w:r>
      <w:r>
        <w:rPr>
          <w:noProof/>
        </w:rPr>
        <w:fldChar w:fldCharType="begin"/>
      </w:r>
      <w:r>
        <w:rPr>
          <w:noProof/>
        </w:rPr>
        <w:instrText xml:space="preserve"> PAGEREF _Toc479713647 \h </w:instrText>
      </w:r>
      <w:r>
        <w:rPr>
          <w:noProof/>
        </w:rPr>
      </w:r>
      <w:r>
        <w:rPr>
          <w:noProof/>
        </w:rPr>
        <w:fldChar w:fldCharType="separate"/>
      </w:r>
      <w:r w:rsidR="00B35FA3">
        <w:rPr>
          <w:noProof/>
        </w:rPr>
        <w:t>25</w:t>
      </w:r>
      <w:r>
        <w:rPr>
          <w:noProof/>
        </w:rPr>
        <w:fldChar w:fldCharType="end"/>
      </w:r>
    </w:p>
    <w:p w:rsidR="00D944FE" w:rsidRDefault="00D944FE">
      <w:pPr>
        <w:pStyle w:val="Sumrio3"/>
        <w:tabs>
          <w:tab w:val="right" w:leader="dot" w:pos="16260"/>
        </w:tabs>
        <w:rPr>
          <w:rFonts w:asciiTheme="minorHAnsi" w:eastAsiaTheme="minorEastAsia" w:hAnsiTheme="minorHAnsi"/>
          <w:iCs w:val="0"/>
          <w:noProof/>
          <w:sz w:val="22"/>
          <w:szCs w:val="22"/>
          <w:lang w:eastAsia="pt-BR"/>
        </w:rPr>
      </w:pPr>
      <w:r>
        <w:rPr>
          <w:noProof/>
        </w:rPr>
        <w:t>2.3.5. Regras de Preenchimento de Campos Numéricos (N) que Representam Período</w:t>
      </w:r>
      <w:r>
        <w:rPr>
          <w:noProof/>
        </w:rPr>
        <w:tab/>
      </w:r>
      <w:r>
        <w:rPr>
          <w:noProof/>
        </w:rPr>
        <w:fldChar w:fldCharType="begin"/>
      </w:r>
      <w:r>
        <w:rPr>
          <w:noProof/>
        </w:rPr>
        <w:instrText xml:space="preserve"> PAGEREF _Toc479713648 \h </w:instrText>
      </w:r>
      <w:r>
        <w:rPr>
          <w:noProof/>
        </w:rPr>
      </w:r>
      <w:r>
        <w:rPr>
          <w:noProof/>
        </w:rPr>
        <w:fldChar w:fldCharType="separate"/>
      </w:r>
      <w:r w:rsidR="00B35FA3">
        <w:rPr>
          <w:noProof/>
        </w:rPr>
        <w:t>26</w:t>
      </w:r>
      <w:r>
        <w:rPr>
          <w:noProof/>
        </w:rPr>
        <w:fldChar w:fldCharType="end"/>
      </w:r>
    </w:p>
    <w:p w:rsidR="00D944FE" w:rsidRDefault="00D944FE">
      <w:pPr>
        <w:pStyle w:val="Sumrio3"/>
        <w:tabs>
          <w:tab w:val="right" w:leader="dot" w:pos="16260"/>
        </w:tabs>
        <w:rPr>
          <w:rFonts w:asciiTheme="minorHAnsi" w:eastAsiaTheme="minorEastAsia" w:hAnsiTheme="minorHAnsi"/>
          <w:iCs w:val="0"/>
          <w:noProof/>
          <w:sz w:val="22"/>
          <w:szCs w:val="22"/>
          <w:lang w:eastAsia="pt-BR"/>
        </w:rPr>
      </w:pPr>
      <w:r>
        <w:rPr>
          <w:noProof/>
        </w:rPr>
        <w:t>2.3.6. Edição de Campos Identificados Como Cálculos Alteráveis</w:t>
      </w:r>
      <w:r>
        <w:rPr>
          <w:noProof/>
        </w:rPr>
        <w:tab/>
      </w:r>
      <w:r>
        <w:rPr>
          <w:noProof/>
        </w:rPr>
        <w:fldChar w:fldCharType="begin"/>
      </w:r>
      <w:r>
        <w:rPr>
          <w:noProof/>
        </w:rPr>
        <w:instrText xml:space="preserve"> PAGEREF _Toc479713649 \h </w:instrText>
      </w:r>
      <w:r>
        <w:rPr>
          <w:noProof/>
        </w:rPr>
      </w:r>
      <w:r>
        <w:rPr>
          <w:noProof/>
        </w:rPr>
        <w:fldChar w:fldCharType="separate"/>
      </w:r>
      <w:r w:rsidR="00B35FA3">
        <w:rPr>
          <w:noProof/>
        </w:rPr>
        <w:t>26</w:t>
      </w:r>
      <w:r>
        <w:rPr>
          <w:noProof/>
        </w:rPr>
        <w:fldChar w:fldCharType="end"/>
      </w:r>
    </w:p>
    <w:p w:rsidR="00D944FE" w:rsidRDefault="00D944FE">
      <w:pPr>
        <w:pStyle w:val="Sumrio3"/>
        <w:tabs>
          <w:tab w:val="right" w:leader="dot" w:pos="16260"/>
        </w:tabs>
        <w:rPr>
          <w:rFonts w:asciiTheme="minorHAnsi" w:eastAsiaTheme="minorEastAsia" w:hAnsiTheme="minorHAnsi"/>
          <w:iCs w:val="0"/>
          <w:noProof/>
          <w:sz w:val="22"/>
          <w:szCs w:val="22"/>
          <w:lang w:eastAsia="pt-BR"/>
        </w:rPr>
      </w:pPr>
      <w:r w:rsidRPr="001D0DC0">
        <w:rPr>
          <w:noProof/>
          <w:highlight w:val="yellow"/>
        </w:rPr>
        <w:t>2.3.7. Pesquisa nos registros</w:t>
      </w:r>
      <w:r>
        <w:rPr>
          <w:noProof/>
        </w:rPr>
        <w:tab/>
      </w:r>
      <w:r>
        <w:rPr>
          <w:noProof/>
        </w:rPr>
        <w:fldChar w:fldCharType="begin"/>
      </w:r>
      <w:r>
        <w:rPr>
          <w:noProof/>
        </w:rPr>
        <w:instrText xml:space="preserve"> PAGEREF _Toc479713650 \h </w:instrText>
      </w:r>
      <w:r>
        <w:rPr>
          <w:noProof/>
        </w:rPr>
      </w:r>
      <w:r>
        <w:rPr>
          <w:noProof/>
        </w:rPr>
        <w:fldChar w:fldCharType="separate"/>
      </w:r>
      <w:r w:rsidR="00B35FA3">
        <w:rPr>
          <w:noProof/>
        </w:rPr>
        <w:t>26</w:t>
      </w:r>
      <w:r>
        <w:rPr>
          <w:noProof/>
        </w:rPr>
        <w:fldChar w:fldCharType="end"/>
      </w:r>
    </w:p>
    <w:p w:rsidR="00D944FE" w:rsidRDefault="00D944FE">
      <w:pPr>
        <w:pStyle w:val="Sumrio2"/>
        <w:tabs>
          <w:tab w:val="right" w:leader="dot" w:pos="16260"/>
        </w:tabs>
        <w:rPr>
          <w:rFonts w:asciiTheme="minorHAnsi" w:eastAsiaTheme="minorEastAsia" w:hAnsiTheme="minorHAnsi"/>
          <w:noProof/>
          <w:sz w:val="22"/>
          <w:szCs w:val="22"/>
          <w:lang w:eastAsia="pt-BR"/>
        </w:rPr>
      </w:pPr>
      <w:r>
        <w:rPr>
          <w:noProof/>
        </w:rPr>
        <w:t>2.4. Códigos de Identificação</w:t>
      </w:r>
      <w:r>
        <w:rPr>
          <w:noProof/>
        </w:rPr>
        <w:tab/>
      </w:r>
      <w:r>
        <w:rPr>
          <w:noProof/>
        </w:rPr>
        <w:fldChar w:fldCharType="begin"/>
      </w:r>
      <w:r>
        <w:rPr>
          <w:noProof/>
        </w:rPr>
        <w:instrText xml:space="preserve"> PAGEREF _Toc479713651 \h </w:instrText>
      </w:r>
      <w:r>
        <w:rPr>
          <w:noProof/>
        </w:rPr>
      </w:r>
      <w:r>
        <w:rPr>
          <w:noProof/>
        </w:rPr>
        <w:fldChar w:fldCharType="separate"/>
      </w:r>
      <w:r w:rsidR="00B35FA3">
        <w:rPr>
          <w:noProof/>
        </w:rPr>
        <w:t>27</w:t>
      </w:r>
      <w:r>
        <w:rPr>
          <w:noProof/>
        </w:rPr>
        <w:fldChar w:fldCharType="end"/>
      </w:r>
    </w:p>
    <w:p w:rsidR="00D944FE" w:rsidRDefault="00D944FE">
      <w:pPr>
        <w:pStyle w:val="Sumrio2"/>
        <w:tabs>
          <w:tab w:val="right" w:leader="dot" w:pos="16260"/>
        </w:tabs>
        <w:rPr>
          <w:rFonts w:asciiTheme="minorHAnsi" w:eastAsiaTheme="minorEastAsia" w:hAnsiTheme="minorHAnsi"/>
          <w:noProof/>
          <w:sz w:val="22"/>
          <w:szCs w:val="22"/>
          <w:lang w:eastAsia="pt-BR"/>
        </w:rPr>
      </w:pPr>
      <w:r>
        <w:rPr>
          <w:noProof/>
        </w:rPr>
        <w:t>2.5. Tabelas Externas</w:t>
      </w:r>
      <w:r>
        <w:rPr>
          <w:noProof/>
        </w:rPr>
        <w:tab/>
      </w:r>
      <w:r>
        <w:rPr>
          <w:noProof/>
        </w:rPr>
        <w:fldChar w:fldCharType="begin"/>
      </w:r>
      <w:r>
        <w:rPr>
          <w:noProof/>
        </w:rPr>
        <w:instrText xml:space="preserve"> PAGEREF _Toc479713652 \h </w:instrText>
      </w:r>
      <w:r>
        <w:rPr>
          <w:noProof/>
        </w:rPr>
      </w:r>
      <w:r>
        <w:rPr>
          <w:noProof/>
        </w:rPr>
        <w:fldChar w:fldCharType="separate"/>
      </w:r>
      <w:r w:rsidR="00B35FA3">
        <w:rPr>
          <w:noProof/>
        </w:rPr>
        <w:t>28</w:t>
      </w:r>
      <w:r>
        <w:rPr>
          <w:noProof/>
        </w:rPr>
        <w:fldChar w:fldCharType="end"/>
      </w:r>
    </w:p>
    <w:p w:rsidR="00D944FE" w:rsidRDefault="00D944FE">
      <w:pPr>
        <w:pStyle w:val="Sumrio2"/>
        <w:tabs>
          <w:tab w:val="right" w:leader="dot" w:pos="16260"/>
        </w:tabs>
        <w:rPr>
          <w:rFonts w:asciiTheme="minorHAnsi" w:eastAsiaTheme="minorEastAsia" w:hAnsiTheme="minorHAnsi"/>
          <w:noProof/>
          <w:sz w:val="22"/>
          <w:szCs w:val="22"/>
          <w:lang w:eastAsia="pt-BR"/>
        </w:rPr>
      </w:pPr>
      <w:r>
        <w:rPr>
          <w:noProof/>
        </w:rPr>
        <w:t>2.6. Tabelas Internas</w:t>
      </w:r>
      <w:r>
        <w:rPr>
          <w:noProof/>
        </w:rPr>
        <w:tab/>
      </w:r>
      <w:r>
        <w:rPr>
          <w:noProof/>
        </w:rPr>
        <w:fldChar w:fldCharType="begin"/>
      </w:r>
      <w:r>
        <w:rPr>
          <w:noProof/>
        </w:rPr>
        <w:instrText xml:space="preserve"> PAGEREF _Toc479713653 \h </w:instrText>
      </w:r>
      <w:r>
        <w:rPr>
          <w:noProof/>
        </w:rPr>
      </w:r>
      <w:r>
        <w:rPr>
          <w:noProof/>
        </w:rPr>
        <w:fldChar w:fldCharType="separate"/>
      </w:r>
      <w:r w:rsidR="00B35FA3">
        <w:rPr>
          <w:noProof/>
        </w:rPr>
        <w:t>28</w:t>
      </w:r>
      <w:r>
        <w:rPr>
          <w:noProof/>
        </w:rPr>
        <w:fldChar w:fldCharType="end"/>
      </w:r>
    </w:p>
    <w:p w:rsidR="00D944FE" w:rsidRDefault="00D944FE">
      <w:pPr>
        <w:pStyle w:val="Sumrio2"/>
        <w:tabs>
          <w:tab w:val="right" w:leader="dot" w:pos="16260"/>
        </w:tabs>
        <w:rPr>
          <w:rFonts w:asciiTheme="minorHAnsi" w:eastAsiaTheme="minorEastAsia" w:hAnsiTheme="minorHAnsi"/>
          <w:noProof/>
          <w:sz w:val="22"/>
          <w:szCs w:val="22"/>
          <w:lang w:eastAsia="pt-BR"/>
        </w:rPr>
      </w:pPr>
      <w:r>
        <w:rPr>
          <w:noProof/>
        </w:rPr>
        <w:t>2.7. Tabelas Intrínsecas ao Campo</w:t>
      </w:r>
      <w:r>
        <w:rPr>
          <w:noProof/>
        </w:rPr>
        <w:tab/>
      </w:r>
      <w:r>
        <w:rPr>
          <w:noProof/>
        </w:rPr>
        <w:fldChar w:fldCharType="begin"/>
      </w:r>
      <w:r>
        <w:rPr>
          <w:noProof/>
        </w:rPr>
        <w:instrText xml:space="preserve"> PAGEREF _Toc479713654 \h </w:instrText>
      </w:r>
      <w:r>
        <w:rPr>
          <w:noProof/>
        </w:rPr>
      </w:r>
      <w:r>
        <w:rPr>
          <w:noProof/>
        </w:rPr>
        <w:fldChar w:fldCharType="separate"/>
      </w:r>
      <w:r w:rsidR="00B35FA3">
        <w:rPr>
          <w:noProof/>
        </w:rPr>
        <w:t>28</w:t>
      </w:r>
      <w:r>
        <w:rPr>
          <w:noProof/>
        </w:rPr>
        <w:fldChar w:fldCharType="end"/>
      </w:r>
    </w:p>
    <w:p w:rsidR="00D944FE" w:rsidRDefault="00D944FE">
      <w:pPr>
        <w:pStyle w:val="Sumrio2"/>
        <w:tabs>
          <w:tab w:val="right" w:leader="dot" w:pos="16260"/>
        </w:tabs>
        <w:rPr>
          <w:rFonts w:asciiTheme="minorHAnsi" w:eastAsiaTheme="minorEastAsia" w:hAnsiTheme="minorHAnsi"/>
          <w:noProof/>
          <w:sz w:val="22"/>
          <w:szCs w:val="22"/>
          <w:lang w:eastAsia="pt-BR"/>
        </w:rPr>
      </w:pPr>
      <w:r>
        <w:rPr>
          <w:noProof/>
        </w:rPr>
        <w:t>2.8. Tabelas Elaboradas pela Pessoa Jurídica</w:t>
      </w:r>
      <w:r>
        <w:rPr>
          <w:noProof/>
        </w:rPr>
        <w:tab/>
      </w:r>
      <w:r>
        <w:rPr>
          <w:noProof/>
        </w:rPr>
        <w:fldChar w:fldCharType="begin"/>
      </w:r>
      <w:r>
        <w:rPr>
          <w:noProof/>
        </w:rPr>
        <w:instrText xml:space="preserve"> PAGEREF _Toc479713655 \h </w:instrText>
      </w:r>
      <w:r>
        <w:rPr>
          <w:noProof/>
        </w:rPr>
      </w:r>
      <w:r>
        <w:rPr>
          <w:noProof/>
        </w:rPr>
        <w:fldChar w:fldCharType="separate"/>
      </w:r>
      <w:r w:rsidR="00B35FA3">
        <w:rPr>
          <w:noProof/>
        </w:rPr>
        <w:t>29</w:t>
      </w:r>
      <w:r>
        <w:rPr>
          <w:noProof/>
        </w:rPr>
        <w:fldChar w:fldCharType="end"/>
      </w:r>
    </w:p>
    <w:p w:rsidR="00D944FE" w:rsidRDefault="00D944FE">
      <w:pPr>
        <w:pStyle w:val="Sumrio2"/>
        <w:tabs>
          <w:tab w:val="right" w:leader="dot" w:pos="16260"/>
        </w:tabs>
        <w:rPr>
          <w:rFonts w:asciiTheme="minorHAnsi" w:eastAsiaTheme="minorEastAsia" w:hAnsiTheme="minorHAnsi"/>
          <w:noProof/>
          <w:sz w:val="22"/>
          <w:szCs w:val="22"/>
          <w:lang w:eastAsia="pt-BR"/>
        </w:rPr>
      </w:pPr>
      <w:r>
        <w:rPr>
          <w:noProof/>
        </w:rPr>
        <w:t>2.9. Tabelas Dinâmicas e Registros Dinâmicos</w:t>
      </w:r>
      <w:r>
        <w:rPr>
          <w:noProof/>
        </w:rPr>
        <w:tab/>
      </w:r>
      <w:r>
        <w:rPr>
          <w:noProof/>
        </w:rPr>
        <w:fldChar w:fldCharType="begin"/>
      </w:r>
      <w:r>
        <w:rPr>
          <w:noProof/>
        </w:rPr>
        <w:instrText xml:space="preserve"> PAGEREF _Toc479713656 \h </w:instrText>
      </w:r>
      <w:r>
        <w:rPr>
          <w:noProof/>
        </w:rPr>
      </w:r>
      <w:r>
        <w:rPr>
          <w:noProof/>
        </w:rPr>
        <w:fldChar w:fldCharType="separate"/>
      </w:r>
      <w:r w:rsidR="00B35FA3">
        <w:rPr>
          <w:noProof/>
        </w:rPr>
        <w:t>29</w:t>
      </w:r>
      <w:r>
        <w:rPr>
          <w:noProof/>
        </w:rPr>
        <w:fldChar w:fldCharType="end"/>
      </w:r>
    </w:p>
    <w:p w:rsidR="00D944FE" w:rsidRDefault="00D944FE">
      <w:pPr>
        <w:pStyle w:val="Sumrio1"/>
        <w:rPr>
          <w:rFonts w:asciiTheme="minorHAnsi" w:eastAsiaTheme="minorEastAsia" w:hAnsiTheme="minorHAnsi"/>
          <w:bCs w:val="0"/>
          <w:sz w:val="22"/>
          <w:szCs w:val="22"/>
          <w:lang w:eastAsia="pt-BR"/>
        </w:rPr>
      </w:pPr>
      <w:r>
        <w:t>Capítulo 3 – Regras de Validação</w:t>
      </w:r>
      <w:r>
        <w:tab/>
      </w:r>
      <w:r>
        <w:fldChar w:fldCharType="begin"/>
      </w:r>
      <w:r>
        <w:instrText xml:space="preserve"> PAGEREF _Toc479713657 \h </w:instrText>
      </w:r>
      <w:r>
        <w:fldChar w:fldCharType="separate"/>
      </w:r>
      <w:r w:rsidR="00B35FA3">
        <w:t>30</w:t>
      </w:r>
      <w:r>
        <w:fldChar w:fldCharType="end"/>
      </w:r>
    </w:p>
    <w:p w:rsidR="00D944FE" w:rsidRDefault="00D944FE">
      <w:pPr>
        <w:pStyle w:val="Sumrio2"/>
        <w:tabs>
          <w:tab w:val="right" w:leader="dot" w:pos="16260"/>
        </w:tabs>
        <w:rPr>
          <w:rFonts w:asciiTheme="minorHAnsi" w:eastAsiaTheme="minorEastAsia" w:hAnsiTheme="minorHAnsi"/>
          <w:noProof/>
          <w:sz w:val="22"/>
          <w:szCs w:val="22"/>
          <w:lang w:eastAsia="pt-BR"/>
        </w:rPr>
      </w:pPr>
      <w:r>
        <w:rPr>
          <w:noProof/>
        </w:rPr>
        <w:t>Seção 3.1. Regras de Validação de Estrutura – Nível 1.1</w:t>
      </w:r>
      <w:r>
        <w:rPr>
          <w:noProof/>
        </w:rPr>
        <w:tab/>
      </w:r>
      <w:r>
        <w:rPr>
          <w:noProof/>
        </w:rPr>
        <w:fldChar w:fldCharType="begin"/>
      </w:r>
      <w:r>
        <w:rPr>
          <w:noProof/>
        </w:rPr>
        <w:instrText xml:space="preserve"> PAGEREF _Toc479713658 \h </w:instrText>
      </w:r>
      <w:r>
        <w:rPr>
          <w:noProof/>
        </w:rPr>
      </w:r>
      <w:r>
        <w:rPr>
          <w:noProof/>
        </w:rPr>
        <w:fldChar w:fldCharType="separate"/>
      </w:r>
      <w:r w:rsidR="00B35FA3">
        <w:rPr>
          <w:noProof/>
        </w:rPr>
        <w:t>31</w:t>
      </w:r>
      <w:r>
        <w:rPr>
          <w:noProof/>
        </w:rPr>
        <w:fldChar w:fldCharType="end"/>
      </w:r>
    </w:p>
    <w:p w:rsidR="00D944FE" w:rsidRDefault="00D944FE">
      <w:pPr>
        <w:pStyle w:val="Sumrio2"/>
        <w:tabs>
          <w:tab w:val="right" w:leader="dot" w:pos="16260"/>
        </w:tabs>
        <w:rPr>
          <w:rFonts w:asciiTheme="minorHAnsi" w:eastAsiaTheme="minorEastAsia" w:hAnsiTheme="minorHAnsi"/>
          <w:noProof/>
          <w:sz w:val="22"/>
          <w:szCs w:val="22"/>
          <w:lang w:eastAsia="pt-BR"/>
        </w:rPr>
      </w:pPr>
      <w:r>
        <w:rPr>
          <w:noProof/>
        </w:rPr>
        <w:t>Seção 3.2. Regras de Validação de Estrutura – Nível 1.2, Regras de Validação de Campos – Nível 2 e Regras de Validação de Registros – Nível 3</w:t>
      </w:r>
      <w:r>
        <w:rPr>
          <w:noProof/>
        </w:rPr>
        <w:tab/>
      </w:r>
      <w:r>
        <w:rPr>
          <w:noProof/>
        </w:rPr>
        <w:fldChar w:fldCharType="begin"/>
      </w:r>
      <w:r>
        <w:rPr>
          <w:noProof/>
        </w:rPr>
        <w:instrText xml:space="preserve"> PAGEREF _Toc479713659 \h </w:instrText>
      </w:r>
      <w:r>
        <w:rPr>
          <w:noProof/>
        </w:rPr>
      </w:r>
      <w:r>
        <w:rPr>
          <w:noProof/>
        </w:rPr>
        <w:fldChar w:fldCharType="separate"/>
      </w:r>
      <w:r w:rsidR="00B35FA3">
        <w:rPr>
          <w:noProof/>
        </w:rPr>
        <w:t>31</w:t>
      </w:r>
      <w:r>
        <w:rPr>
          <w:noProof/>
        </w:rPr>
        <w:fldChar w:fldCharType="end"/>
      </w:r>
    </w:p>
    <w:p w:rsidR="00D944FE" w:rsidRDefault="00D944FE">
      <w:pPr>
        <w:pStyle w:val="Sumrio1"/>
        <w:rPr>
          <w:rFonts w:asciiTheme="minorHAnsi" w:eastAsiaTheme="minorEastAsia" w:hAnsiTheme="minorHAnsi"/>
          <w:bCs w:val="0"/>
          <w:sz w:val="22"/>
          <w:szCs w:val="22"/>
          <w:lang w:eastAsia="pt-BR"/>
        </w:rPr>
      </w:pPr>
      <w:r>
        <w:t>Capítulo 4 – Blocos e Registros da ECF</w:t>
      </w:r>
      <w:r>
        <w:tab/>
      </w:r>
      <w:r>
        <w:fldChar w:fldCharType="begin"/>
      </w:r>
      <w:r>
        <w:instrText xml:space="preserve"> PAGEREF _Toc479713660 \h </w:instrText>
      </w:r>
      <w:r>
        <w:fldChar w:fldCharType="separate"/>
      </w:r>
      <w:r w:rsidR="00B35FA3">
        <w:t>32</w:t>
      </w:r>
      <w:r>
        <w:fldChar w:fldCharType="end"/>
      </w:r>
    </w:p>
    <w:p w:rsidR="00D944FE" w:rsidRDefault="00D944FE">
      <w:pPr>
        <w:pStyle w:val="Sumrio2"/>
        <w:tabs>
          <w:tab w:val="right" w:leader="dot" w:pos="16260"/>
        </w:tabs>
        <w:rPr>
          <w:rFonts w:asciiTheme="minorHAnsi" w:eastAsiaTheme="minorEastAsia" w:hAnsiTheme="minorHAnsi"/>
          <w:noProof/>
          <w:sz w:val="22"/>
          <w:szCs w:val="22"/>
          <w:lang w:eastAsia="pt-BR"/>
        </w:rPr>
      </w:pPr>
      <w:r>
        <w:rPr>
          <w:noProof/>
        </w:rPr>
        <w:t>4.1. Blocos do Arquivo</w:t>
      </w:r>
      <w:r>
        <w:rPr>
          <w:noProof/>
        </w:rPr>
        <w:tab/>
      </w:r>
      <w:r>
        <w:rPr>
          <w:noProof/>
        </w:rPr>
        <w:fldChar w:fldCharType="begin"/>
      </w:r>
      <w:r>
        <w:rPr>
          <w:noProof/>
        </w:rPr>
        <w:instrText xml:space="preserve"> PAGEREF _Toc479713661 \h </w:instrText>
      </w:r>
      <w:r>
        <w:rPr>
          <w:noProof/>
        </w:rPr>
      </w:r>
      <w:r>
        <w:rPr>
          <w:noProof/>
        </w:rPr>
        <w:fldChar w:fldCharType="separate"/>
      </w:r>
      <w:r w:rsidR="00B35FA3">
        <w:rPr>
          <w:noProof/>
        </w:rPr>
        <w:t>32</w:t>
      </w:r>
      <w:r>
        <w:rPr>
          <w:noProof/>
        </w:rPr>
        <w:fldChar w:fldCharType="end"/>
      </w:r>
    </w:p>
    <w:p w:rsidR="00D944FE" w:rsidRDefault="00D944FE">
      <w:pPr>
        <w:pStyle w:val="Sumrio2"/>
        <w:tabs>
          <w:tab w:val="right" w:leader="dot" w:pos="16260"/>
        </w:tabs>
        <w:rPr>
          <w:rFonts w:asciiTheme="minorHAnsi" w:eastAsiaTheme="minorEastAsia" w:hAnsiTheme="minorHAnsi"/>
          <w:noProof/>
          <w:sz w:val="22"/>
          <w:szCs w:val="22"/>
          <w:lang w:eastAsia="pt-BR"/>
        </w:rPr>
      </w:pPr>
      <w:r>
        <w:rPr>
          <w:noProof/>
        </w:rPr>
        <w:t>4.2. Tabela de Registros</w:t>
      </w:r>
      <w:r>
        <w:rPr>
          <w:noProof/>
        </w:rPr>
        <w:tab/>
      </w:r>
      <w:r>
        <w:rPr>
          <w:noProof/>
        </w:rPr>
        <w:fldChar w:fldCharType="begin"/>
      </w:r>
      <w:r>
        <w:rPr>
          <w:noProof/>
        </w:rPr>
        <w:instrText xml:space="preserve"> PAGEREF _Toc479713662 \h </w:instrText>
      </w:r>
      <w:r>
        <w:rPr>
          <w:noProof/>
        </w:rPr>
      </w:r>
      <w:r>
        <w:rPr>
          <w:noProof/>
        </w:rPr>
        <w:fldChar w:fldCharType="separate"/>
      </w:r>
      <w:r w:rsidR="00B35FA3">
        <w:rPr>
          <w:noProof/>
        </w:rPr>
        <w:t>34</w:t>
      </w:r>
      <w:r>
        <w:rPr>
          <w:noProof/>
        </w:rPr>
        <w:fldChar w:fldCharType="end"/>
      </w:r>
    </w:p>
    <w:p w:rsidR="00D944FE" w:rsidRDefault="00D944FE">
      <w:pPr>
        <w:pStyle w:val="Sumrio2"/>
        <w:tabs>
          <w:tab w:val="right" w:leader="dot" w:pos="16260"/>
        </w:tabs>
        <w:rPr>
          <w:rFonts w:asciiTheme="minorHAnsi" w:eastAsiaTheme="minorEastAsia" w:hAnsiTheme="minorHAnsi"/>
          <w:noProof/>
          <w:sz w:val="22"/>
          <w:szCs w:val="22"/>
          <w:lang w:eastAsia="pt-BR"/>
        </w:rPr>
      </w:pPr>
      <w:r>
        <w:rPr>
          <w:noProof/>
        </w:rPr>
        <w:t>4.3. Campos dos Registros</w:t>
      </w:r>
      <w:r>
        <w:rPr>
          <w:noProof/>
        </w:rPr>
        <w:tab/>
      </w:r>
      <w:r>
        <w:rPr>
          <w:noProof/>
        </w:rPr>
        <w:fldChar w:fldCharType="begin"/>
      </w:r>
      <w:r>
        <w:rPr>
          <w:noProof/>
        </w:rPr>
        <w:instrText xml:space="preserve"> PAGEREF _Toc479713663 \h </w:instrText>
      </w:r>
      <w:r>
        <w:rPr>
          <w:noProof/>
        </w:rPr>
      </w:r>
      <w:r>
        <w:rPr>
          <w:noProof/>
        </w:rPr>
        <w:fldChar w:fldCharType="separate"/>
      </w:r>
      <w:r w:rsidR="00B35FA3">
        <w:rPr>
          <w:noProof/>
        </w:rPr>
        <w:t>60</w:t>
      </w:r>
      <w:r>
        <w:rPr>
          <w:noProof/>
        </w:rPr>
        <w:fldChar w:fldCharType="end"/>
      </w:r>
    </w:p>
    <w:p w:rsidR="00D944FE" w:rsidRDefault="00D944FE">
      <w:pPr>
        <w:pStyle w:val="Sumrio2"/>
        <w:tabs>
          <w:tab w:val="right" w:leader="dot" w:pos="16260"/>
        </w:tabs>
        <w:rPr>
          <w:rFonts w:asciiTheme="minorHAnsi" w:eastAsiaTheme="minorEastAsia" w:hAnsiTheme="minorHAnsi"/>
          <w:noProof/>
          <w:sz w:val="22"/>
          <w:szCs w:val="22"/>
          <w:lang w:eastAsia="pt-BR"/>
        </w:rPr>
      </w:pPr>
      <w:r>
        <w:rPr>
          <w:noProof/>
        </w:rPr>
        <w:t>4.4. Tabelas Externas</w:t>
      </w:r>
      <w:r>
        <w:rPr>
          <w:noProof/>
        </w:rPr>
        <w:tab/>
      </w:r>
      <w:r>
        <w:rPr>
          <w:noProof/>
        </w:rPr>
        <w:fldChar w:fldCharType="begin"/>
      </w:r>
      <w:r>
        <w:rPr>
          <w:noProof/>
        </w:rPr>
        <w:instrText xml:space="preserve"> PAGEREF _Toc479713664 \h </w:instrText>
      </w:r>
      <w:r>
        <w:rPr>
          <w:noProof/>
        </w:rPr>
      </w:r>
      <w:r>
        <w:rPr>
          <w:noProof/>
        </w:rPr>
        <w:fldChar w:fldCharType="separate"/>
      </w:r>
      <w:r w:rsidR="00B35FA3">
        <w:rPr>
          <w:noProof/>
        </w:rPr>
        <w:t>60</w:t>
      </w:r>
      <w:r>
        <w:rPr>
          <w:noProof/>
        </w:rPr>
        <w:fldChar w:fldCharType="end"/>
      </w:r>
    </w:p>
    <w:p w:rsidR="00D944FE" w:rsidRDefault="00D944FE">
      <w:pPr>
        <w:pStyle w:val="Sumrio2"/>
        <w:tabs>
          <w:tab w:val="right" w:leader="dot" w:pos="16260"/>
        </w:tabs>
        <w:rPr>
          <w:rFonts w:asciiTheme="minorHAnsi" w:eastAsiaTheme="minorEastAsia" w:hAnsiTheme="minorHAnsi"/>
          <w:noProof/>
          <w:sz w:val="22"/>
          <w:szCs w:val="22"/>
          <w:lang w:eastAsia="pt-BR"/>
        </w:rPr>
      </w:pPr>
      <w:r>
        <w:rPr>
          <w:noProof/>
        </w:rPr>
        <w:t>4.5. Leiaute dos Registros</w:t>
      </w:r>
      <w:r>
        <w:rPr>
          <w:noProof/>
        </w:rPr>
        <w:tab/>
      </w:r>
      <w:r>
        <w:rPr>
          <w:noProof/>
        </w:rPr>
        <w:fldChar w:fldCharType="begin"/>
      </w:r>
      <w:r>
        <w:rPr>
          <w:noProof/>
        </w:rPr>
        <w:instrText xml:space="preserve"> PAGEREF _Toc479713665 \h </w:instrText>
      </w:r>
      <w:r>
        <w:rPr>
          <w:noProof/>
        </w:rPr>
      </w:r>
      <w:r>
        <w:rPr>
          <w:noProof/>
        </w:rPr>
        <w:fldChar w:fldCharType="separate"/>
      </w:r>
      <w:r w:rsidR="00B35FA3">
        <w:rPr>
          <w:noProof/>
        </w:rPr>
        <w:t>61</w:t>
      </w:r>
      <w:r>
        <w:rPr>
          <w:noProof/>
        </w:rPr>
        <w:fldChar w:fldCharType="end"/>
      </w:r>
    </w:p>
    <w:p w:rsidR="00D944FE" w:rsidRDefault="00D944FE">
      <w:pPr>
        <w:pStyle w:val="Sumrio3"/>
        <w:tabs>
          <w:tab w:val="right" w:leader="dot" w:pos="16260"/>
        </w:tabs>
        <w:rPr>
          <w:rFonts w:asciiTheme="minorHAnsi" w:eastAsiaTheme="minorEastAsia" w:hAnsiTheme="minorHAnsi"/>
          <w:iCs w:val="0"/>
          <w:noProof/>
          <w:sz w:val="22"/>
          <w:szCs w:val="22"/>
          <w:lang w:eastAsia="pt-BR"/>
        </w:rPr>
      </w:pPr>
      <w:r>
        <w:rPr>
          <w:noProof/>
        </w:rPr>
        <w:t>Bloco 0: Abertura, Identificação e Referências</w:t>
      </w:r>
      <w:r>
        <w:rPr>
          <w:noProof/>
        </w:rPr>
        <w:tab/>
      </w:r>
      <w:r>
        <w:rPr>
          <w:noProof/>
        </w:rPr>
        <w:fldChar w:fldCharType="begin"/>
      </w:r>
      <w:r>
        <w:rPr>
          <w:noProof/>
        </w:rPr>
        <w:instrText xml:space="preserve"> PAGEREF _Toc479713666 \h </w:instrText>
      </w:r>
      <w:r>
        <w:rPr>
          <w:noProof/>
        </w:rPr>
      </w:r>
      <w:r>
        <w:rPr>
          <w:noProof/>
        </w:rPr>
        <w:fldChar w:fldCharType="separate"/>
      </w:r>
      <w:r w:rsidR="00B35FA3">
        <w:rPr>
          <w:noProof/>
        </w:rPr>
        <w:t>61</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0000: Abertura do Arquivo Digital e Identificação da Pessoa Jurídica</w:t>
      </w:r>
      <w:r>
        <w:rPr>
          <w:noProof/>
        </w:rPr>
        <w:tab/>
      </w:r>
      <w:r>
        <w:rPr>
          <w:noProof/>
        </w:rPr>
        <w:fldChar w:fldCharType="begin"/>
      </w:r>
      <w:r>
        <w:rPr>
          <w:noProof/>
        </w:rPr>
        <w:instrText xml:space="preserve"> PAGEREF _Toc479713667 \h </w:instrText>
      </w:r>
      <w:r>
        <w:rPr>
          <w:noProof/>
        </w:rPr>
      </w:r>
      <w:r>
        <w:rPr>
          <w:noProof/>
        </w:rPr>
        <w:fldChar w:fldCharType="separate"/>
      </w:r>
      <w:r w:rsidR="00B35FA3">
        <w:rPr>
          <w:noProof/>
        </w:rPr>
        <w:t>61</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lastRenderedPageBreak/>
        <w:t>Registro 0001: Abertura do Bloco 0</w:t>
      </w:r>
      <w:r>
        <w:rPr>
          <w:noProof/>
        </w:rPr>
        <w:tab/>
      </w:r>
      <w:r>
        <w:rPr>
          <w:noProof/>
        </w:rPr>
        <w:fldChar w:fldCharType="begin"/>
      </w:r>
      <w:r>
        <w:rPr>
          <w:noProof/>
        </w:rPr>
        <w:instrText xml:space="preserve"> PAGEREF _Toc479713668 \h </w:instrText>
      </w:r>
      <w:r>
        <w:rPr>
          <w:noProof/>
        </w:rPr>
      </w:r>
      <w:r>
        <w:rPr>
          <w:noProof/>
        </w:rPr>
        <w:fldChar w:fldCharType="separate"/>
      </w:r>
      <w:r w:rsidR="00B35FA3">
        <w:rPr>
          <w:noProof/>
        </w:rPr>
        <w:t>68</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0010: Parâmetros de Tributação</w:t>
      </w:r>
      <w:r>
        <w:rPr>
          <w:noProof/>
        </w:rPr>
        <w:tab/>
      </w:r>
      <w:r>
        <w:rPr>
          <w:noProof/>
        </w:rPr>
        <w:fldChar w:fldCharType="begin"/>
      </w:r>
      <w:r>
        <w:rPr>
          <w:noProof/>
        </w:rPr>
        <w:instrText xml:space="preserve"> PAGEREF _Toc479713669 \h </w:instrText>
      </w:r>
      <w:r>
        <w:rPr>
          <w:noProof/>
        </w:rPr>
      </w:r>
      <w:r>
        <w:rPr>
          <w:noProof/>
        </w:rPr>
        <w:fldChar w:fldCharType="separate"/>
      </w:r>
      <w:r w:rsidR="00B35FA3">
        <w:rPr>
          <w:noProof/>
        </w:rPr>
        <w:t>69</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0020: Parâmetros Complementares</w:t>
      </w:r>
      <w:r>
        <w:rPr>
          <w:noProof/>
        </w:rPr>
        <w:tab/>
      </w:r>
      <w:r>
        <w:rPr>
          <w:noProof/>
        </w:rPr>
        <w:fldChar w:fldCharType="begin"/>
      </w:r>
      <w:r>
        <w:rPr>
          <w:noProof/>
        </w:rPr>
        <w:instrText xml:space="preserve"> PAGEREF _Toc479713670 \h </w:instrText>
      </w:r>
      <w:r>
        <w:rPr>
          <w:noProof/>
        </w:rPr>
      </w:r>
      <w:r>
        <w:rPr>
          <w:noProof/>
        </w:rPr>
        <w:fldChar w:fldCharType="separate"/>
      </w:r>
      <w:r w:rsidR="00B35FA3">
        <w:rPr>
          <w:noProof/>
        </w:rPr>
        <w:t>78</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0021: Parâmetros de Identificação dos Tipos de Programa</w:t>
      </w:r>
      <w:r>
        <w:rPr>
          <w:noProof/>
        </w:rPr>
        <w:tab/>
      </w:r>
      <w:r>
        <w:rPr>
          <w:noProof/>
        </w:rPr>
        <w:fldChar w:fldCharType="begin"/>
      </w:r>
      <w:r>
        <w:rPr>
          <w:noProof/>
        </w:rPr>
        <w:instrText xml:space="preserve"> PAGEREF _Toc479713671 \h </w:instrText>
      </w:r>
      <w:r>
        <w:rPr>
          <w:noProof/>
        </w:rPr>
      </w:r>
      <w:r>
        <w:rPr>
          <w:noProof/>
        </w:rPr>
        <w:fldChar w:fldCharType="separate"/>
      </w:r>
      <w:r w:rsidR="00B35FA3">
        <w:rPr>
          <w:noProof/>
        </w:rPr>
        <w:t>93</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0030: Dados Cadastrais</w:t>
      </w:r>
      <w:r>
        <w:rPr>
          <w:noProof/>
        </w:rPr>
        <w:tab/>
      </w:r>
      <w:r>
        <w:rPr>
          <w:noProof/>
        </w:rPr>
        <w:fldChar w:fldCharType="begin"/>
      </w:r>
      <w:r>
        <w:rPr>
          <w:noProof/>
        </w:rPr>
        <w:instrText xml:space="preserve"> PAGEREF _Toc479713672 \h </w:instrText>
      </w:r>
      <w:r>
        <w:rPr>
          <w:noProof/>
        </w:rPr>
      </w:r>
      <w:r>
        <w:rPr>
          <w:noProof/>
        </w:rPr>
        <w:fldChar w:fldCharType="separate"/>
      </w:r>
      <w:r w:rsidR="00B35FA3">
        <w:rPr>
          <w:noProof/>
        </w:rPr>
        <w:t>97</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0035: Identificação das SCP</w:t>
      </w:r>
      <w:r>
        <w:rPr>
          <w:noProof/>
        </w:rPr>
        <w:tab/>
      </w:r>
      <w:r>
        <w:rPr>
          <w:noProof/>
        </w:rPr>
        <w:fldChar w:fldCharType="begin"/>
      </w:r>
      <w:r>
        <w:rPr>
          <w:noProof/>
        </w:rPr>
        <w:instrText xml:space="preserve"> PAGEREF _Toc479713673 \h </w:instrText>
      </w:r>
      <w:r>
        <w:rPr>
          <w:noProof/>
        </w:rPr>
      </w:r>
      <w:r>
        <w:rPr>
          <w:noProof/>
        </w:rPr>
        <w:fldChar w:fldCharType="separate"/>
      </w:r>
      <w:r w:rsidR="00B35FA3">
        <w:rPr>
          <w:noProof/>
        </w:rPr>
        <w:t>99</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0930: Identificação dos Signatários da ECF</w:t>
      </w:r>
      <w:r>
        <w:rPr>
          <w:noProof/>
        </w:rPr>
        <w:tab/>
      </w:r>
      <w:r>
        <w:rPr>
          <w:noProof/>
        </w:rPr>
        <w:fldChar w:fldCharType="begin"/>
      </w:r>
      <w:r>
        <w:rPr>
          <w:noProof/>
        </w:rPr>
        <w:instrText xml:space="preserve"> PAGEREF _Toc479713674 \h </w:instrText>
      </w:r>
      <w:r>
        <w:rPr>
          <w:noProof/>
        </w:rPr>
      </w:r>
      <w:r>
        <w:rPr>
          <w:noProof/>
        </w:rPr>
        <w:fldChar w:fldCharType="separate"/>
      </w:r>
      <w:r w:rsidR="00B35FA3">
        <w:rPr>
          <w:noProof/>
        </w:rPr>
        <w:t>100</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0990: Encerramento do Bloco 0</w:t>
      </w:r>
      <w:r>
        <w:rPr>
          <w:noProof/>
        </w:rPr>
        <w:tab/>
      </w:r>
      <w:r>
        <w:rPr>
          <w:noProof/>
        </w:rPr>
        <w:fldChar w:fldCharType="begin"/>
      </w:r>
      <w:r>
        <w:rPr>
          <w:noProof/>
        </w:rPr>
        <w:instrText xml:space="preserve"> PAGEREF _Toc479713675 \h </w:instrText>
      </w:r>
      <w:r>
        <w:rPr>
          <w:noProof/>
        </w:rPr>
      </w:r>
      <w:r>
        <w:rPr>
          <w:noProof/>
        </w:rPr>
        <w:fldChar w:fldCharType="separate"/>
      </w:r>
      <w:r w:rsidR="00B35FA3">
        <w:rPr>
          <w:noProof/>
        </w:rPr>
        <w:t>104</w:t>
      </w:r>
      <w:r>
        <w:rPr>
          <w:noProof/>
        </w:rPr>
        <w:fldChar w:fldCharType="end"/>
      </w:r>
    </w:p>
    <w:p w:rsidR="00D944FE" w:rsidRDefault="00D944FE">
      <w:pPr>
        <w:pStyle w:val="Sumrio3"/>
        <w:tabs>
          <w:tab w:val="right" w:leader="dot" w:pos="16260"/>
        </w:tabs>
        <w:rPr>
          <w:rFonts w:asciiTheme="minorHAnsi" w:eastAsiaTheme="minorEastAsia" w:hAnsiTheme="minorHAnsi"/>
          <w:iCs w:val="0"/>
          <w:noProof/>
          <w:sz w:val="22"/>
          <w:szCs w:val="22"/>
          <w:lang w:eastAsia="pt-BR"/>
        </w:rPr>
      </w:pPr>
      <w:r>
        <w:rPr>
          <w:noProof/>
        </w:rPr>
        <w:t>Bloco C: Informações Recuperadas da ECD</w:t>
      </w:r>
      <w:r>
        <w:rPr>
          <w:noProof/>
        </w:rPr>
        <w:tab/>
      </w:r>
      <w:r>
        <w:rPr>
          <w:noProof/>
        </w:rPr>
        <w:fldChar w:fldCharType="begin"/>
      </w:r>
      <w:r>
        <w:rPr>
          <w:noProof/>
        </w:rPr>
        <w:instrText xml:space="preserve"> PAGEREF _Toc479713676 \h </w:instrText>
      </w:r>
      <w:r>
        <w:rPr>
          <w:noProof/>
        </w:rPr>
      </w:r>
      <w:r>
        <w:rPr>
          <w:noProof/>
        </w:rPr>
        <w:fldChar w:fldCharType="separate"/>
      </w:r>
      <w:r w:rsidR="00B35FA3">
        <w:rPr>
          <w:noProof/>
        </w:rPr>
        <w:t>105</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C001: Abertura do Bloco C</w:t>
      </w:r>
      <w:r>
        <w:rPr>
          <w:noProof/>
        </w:rPr>
        <w:tab/>
      </w:r>
      <w:r>
        <w:rPr>
          <w:noProof/>
        </w:rPr>
        <w:fldChar w:fldCharType="begin"/>
      </w:r>
      <w:r>
        <w:rPr>
          <w:noProof/>
        </w:rPr>
        <w:instrText xml:space="preserve"> PAGEREF _Toc479713677 \h </w:instrText>
      </w:r>
      <w:r>
        <w:rPr>
          <w:noProof/>
        </w:rPr>
      </w:r>
      <w:r>
        <w:rPr>
          <w:noProof/>
        </w:rPr>
        <w:fldChar w:fldCharType="separate"/>
      </w:r>
      <w:r w:rsidR="00B35FA3">
        <w:rPr>
          <w:noProof/>
        </w:rPr>
        <w:t>105</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C040: Identificador da ECD</w:t>
      </w:r>
      <w:r>
        <w:rPr>
          <w:noProof/>
        </w:rPr>
        <w:tab/>
      </w:r>
      <w:r>
        <w:rPr>
          <w:noProof/>
        </w:rPr>
        <w:fldChar w:fldCharType="begin"/>
      </w:r>
      <w:r>
        <w:rPr>
          <w:noProof/>
        </w:rPr>
        <w:instrText xml:space="preserve"> PAGEREF _Toc479713678 \h </w:instrText>
      </w:r>
      <w:r>
        <w:rPr>
          <w:noProof/>
        </w:rPr>
      </w:r>
      <w:r>
        <w:rPr>
          <w:noProof/>
        </w:rPr>
        <w:fldChar w:fldCharType="separate"/>
      </w:r>
      <w:r w:rsidR="00B35FA3">
        <w:rPr>
          <w:noProof/>
        </w:rPr>
        <w:t>106</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C050: Plano de Contas da ECD</w:t>
      </w:r>
      <w:r>
        <w:rPr>
          <w:noProof/>
        </w:rPr>
        <w:tab/>
      </w:r>
      <w:r>
        <w:rPr>
          <w:noProof/>
        </w:rPr>
        <w:fldChar w:fldCharType="begin"/>
      </w:r>
      <w:r>
        <w:rPr>
          <w:noProof/>
        </w:rPr>
        <w:instrText xml:space="preserve"> PAGEREF _Toc479713679 \h </w:instrText>
      </w:r>
      <w:r>
        <w:rPr>
          <w:noProof/>
        </w:rPr>
      </w:r>
      <w:r>
        <w:rPr>
          <w:noProof/>
        </w:rPr>
        <w:fldChar w:fldCharType="separate"/>
      </w:r>
      <w:r w:rsidR="00B35FA3">
        <w:rPr>
          <w:noProof/>
        </w:rPr>
        <w:t>107</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C051: Plano de Contas Referencial</w:t>
      </w:r>
      <w:r>
        <w:rPr>
          <w:noProof/>
        </w:rPr>
        <w:tab/>
      </w:r>
      <w:r>
        <w:rPr>
          <w:noProof/>
        </w:rPr>
        <w:fldChar w:fldCharType="begin"/>
      </w:r>
      <w:r>
        <w:rPr>
          <w:noProof/>
        </w:rPr>
        <w:instrText xml:space="preserve"> PAGEREF _Toc479713680 \h </w:instrText>
      </w:r>
      <w:r>
        <w:rPr>
          <w:noProof/>
        </w:rPr>
      </w:r>
      <w:r>
        <w:rPr>
          <w:noProof/>
        </w:rPr>
        <w:fldChar w:fldCharType="separate"/>
      </w:r>
      <w:r w:rsidR="00B35FA3">
        <w:rPr>
          <w:noProof/>
        </w:rPr>
        <w:t>108</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C053: Subcontas Correlatas</w:t>
      </w:r>
      <w:r>
        <w:rPr>
          <w:noProof/>
        </w:rPr>
        <w:tab/>
      </w:r>
      <w:r>
        <w:rPr>
          <w:noProof/>
        </w:rPr>
        <w:fldChar w:fldCharType="begin"/>
      </w:r>
      <w:r>
        <w:rPr>
          <w:noProof/>
        </w:rPr>
        <w:instrText xml:space="preserve"> PAGEREF _Toc479713681 \h </w:instrText>
      </w:r>
      <w:r>
        <w:rPr>
          <w:noProof/>
        </w:rPr>
      </w:r>
      <w:r>
        <w:rPr>
          <w:noProof/>
        </w:rPr>
        <w:fldChar w:fldCharType="separate"/>
      </w:r>
      <w:r w:rsidR="00B35FA3">
        <w:rPr>
          <w:noProof/>
        </w:rPr>
        <w:t>109</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C100: Centro de Custos</w:t>
      </w:r>
      <w:r>
        <w:rPr>
          <w:noProof/>
        </w:rPr>
        <w:tab/>
      </w:r>
      <w:r>
        <w:rPr>
          <w:noProof/>
        </w:rPr>
        <w:fldChar w:fldCharType="begin"/>
      </w:r>
      <w:r>
        <w:rPr>
          <w:noProof/>
        </w:rPr>
        <w:instrText xml:space="preserve"> PAGEREF _Toc479713682 \h </w:instrText>
      </w:r>
      <w:r>
        <w:rPr>
          <w:noProof/>
        </w:rPr>
      </w:r>
      <w:r>
        <w:rPr>
          <w:noProof/>
        </w:rPr>
        <w:fldChar w:fldCharType="separate"/>
      </w:r>
      <w:r w:rsidR="00B35FA3">
        <w:rPr>
          <w:noProof/>
        </w:rPr>
        <w:t>110</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C150: Identificação do Período dos Saldos Periódicos das Contas</w:t>
      </w:r>
      <w:r>
        <w:rPr>
          <w:noProof/>
        </w:rPr>
        <w:tab/>
      </w:r>
      <w:r>
        <w:rPr>
          <w:noProof/>
        </w:rPr>
        <w:fldChar w:fldCharType="begin"/>
      </w:r>
      <w:r>
        <w:rPr>
          <w:noProof/>
        </w:rPr>
        <w:instrText xml:space="preserve"> PAGEREF _Toc479713683 \h </w:instrText>
      </w:r>
      <w:r>
        <w:rPr>
          <w:noProof/>
        </w:rPr>
      </w:r>
      <w:r>
        <w:rPr>
          <w:noProof/>
        </w:rPr>
        <w:fldChar w:fldCharType="separate"/>
      </w:r>
      <w:r w:rsidR="00B35FA3">
        <w:rPr>
          <w:noProof/>
        </w:rPr>
        <w:t>111</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C155: Detalhes dos Saldos Contábeis das Contas</w:t>
      </w:r>
      <w:r>
        <w:rPr>
          <w:noProof/>
        </w:rPr>
        <w:tab/>
      </w:r>
      <w:r>
        <w:rPr>
          <w:noProof/>
        </w:rPr>
        <w:fldChar w:fldCharType="begin"/>
      </w:r>
      <w:r>
        <w:rPr>
          <w:noProof/>
        </w:rPr>
        <w:instrText xml:space="preserve"> PAGEREF _Toc479713684 \h </w:instrText>
      </w:r>
      <w:r>
        <w:rPr>
          <w:noProof/>
        </w:rPr>
      </w:r>
      <w:r>
        <w:rPr>
          <w:noProof/>
        </w:rPr>
        <w:fldChar w:fldCharType="separate"/>
      </w:r>
      <w:r w:rsidR="00B35FA3">
        <w:rPr>
          <w:noProof/>
        </w:rPr>
        <w:t>112</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C157: Transferência de Saldos do Plano de Contas Anterior</w:t>
      </w:r>
      <w:r>
        <w:rPr>
          <w:noProof/>
        </w:rPr>
        <w:tab/>
      </w:r>
      <w:r>
        <w:rPr>
          <w:noProof/>
        </w:rPr>
        <w:fldChar w:fldCharType="begin"/>
      </w:r>
      <w:r>
        <w:rPr>
          <w:noProof/>
        </w:rPr>
        <w:instrText xml:space="preserve"> PAGEREF _Toc479713685 \h </w:instrText>
      </w:r>
      <w:r>
        <w:rPr>
          <w:noProof/>
        </w:rPr>
      </w:r>
      <w:r>
        <w:rPr>
          <w:noProof/>
        </w:rPr>
        <w:fldChar w:fldCharType="separate"/>
      </w:r>
      <w:r w:rsidR="00B35FA3">
        <w:rPr>
          <w:noProof/>
        </w:rPr>
        <w:t>113</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C350: Identificação da Data dos Saldos das Contas de Resultado Antes do Encerramento</w:t>
      </w:r>
      <w:r>
        <w:rPr>
          <w:noProof/>
        </w:rPr>
        <w:tab/>
      </w:r>
      <w:r>
        <w:rPr>
          <w:noProof/>
        </w:rPr>
        <w:fldChar w:fldCharType="begin"/>
      </w:r>
      <w:r>
        <w:rPr>
          <w:noProof/>
        </w:rPr>
        <w:instrText xml:space="preserve"> PAGEREF _Toc479713686 \h </w:instrText>
      </w:r>
      <w:r>
        <w:rPr>
          <w:noProof/>
        </w:rPr>
      </w:r>
      <w:r>
        <w:rPr>
          <w:noProof/>
        </w:rPr>
        <w:fldChar w:fldCharType="separate"/>
      </w:r>
      <w:r w:rsidR="00B35FA3">
        <w:rPr>
          <w:noProof/>
        </w:rPr>
        <w:t>114</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C355: Detalhes dos Saldos das Contas de Resultado Antes do Encerramento</w:t>
      </w:r>
      <w:r>
        <w:rPr>
          <w:noProof/>
        </w:rPr>
        <w:tab/>
      </w:r>
      <w:r>
        <w:rPr>
          <w:noProof/>
        </w:rPr>
        <w:fldChar w:fldCharType="begin"/>
      </w:r>
      <w:r>
        <w:rPr>
          <w:noProof/>
        </w:rPr>
        <w:instrText xml:space="preserve"> PAGEREF _Toc479713687 \h </w:instrText>
      </w:r>
      <w:r>
        <w:rPr>
          <w:noProof/>
        </w:rPr>
      </w:r>
      <w:r>
        <w:rPr>
          <w:noProof/>
        </w:rPr>
        <w:fldChar w:fldCharType="separate"/>
      </w:r>
      <w:r w:rsidR="00B35FA3">
        <w:rPr>
          <w:noProof/>
        </w:rPr>
        <w:t>115</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C990: Encerramento do Bloco C</w:t>
      </w:r>
      <w:r>
        <w:rPr>
          <w:noProof/>
        </w:rPr>
        <w:tab/>
      </w:r>
      <w:r>
        <w:rPr>
          <w:noProof/>
        </w:rPr>
        <w:fldChar w:fldCharType="begin"/>
      </w:r>
      <w:r>
        <w:rPr>
          <w:noProof/>
        </w:rPr>
        <w:instrText xml:space="preserve"> PAGEREF _Toc479713688 \h </w:instrText>
      </w:r>
      <w:r>
        <w:rPr>
          <w:noProof/>
        </w:rPr>
      </w:r>
      <w:r>
        <w:rPr>
          <w:noProof/>
        </w:rPr>
        <w:fldChar w:fldCharType="separate"/>
      </w:r>
      <w:r w:rsidR="00B35FA3">
        <w:rPr>
          <w:noProof/>
        </w:rPr>
        <w:t>116</w:t>
      </w:r>
      <w:r>
        <w:rPr>
          <w:noProof/>
        </w:rPr>
        <w:fldChar w:fldCharType="end"/>
      </w:r>
    </w:p>
    <w:p w:rsidR="00D944FE" w:rsidRDefault="00D944FE">
      <w:pPr>
        <w:pStyle w:val="Sumrio3"/>
        <w:tabs>
          <w:tab w:val="right" w:leader="dot" w:pos="16260"/>
        </w:tabs>
        <w:rPr>
          <w:rFonts w:asciiTheme="minorHAnsi" w:eastAsiaTheme="minorEastAsia" w:hAnsiTheme="minorHAnsi"/>
          <w:iCs w:val="0"/>
          <w:noProof/>
          <w:sz w:val="22"/>
          <w:szCs w:val="22"/>
          <w:lang w:eastAsia="pt-BR"/>
        </w:rPr>
      </w:pPr>
      <w:r>
        <w:rPr>
          <w:noProof/>
        </w:rPr>
        <w:t>Bloco E: Informações Recuperadas da ECF Anterior e Cálculo Fiscal dos Dados Recuperados da ECD</w:t>
      </w:r>
      <w:r>
        <w:rPr>
          <w:noProof/>
        </w:rPr>
        <w:tab/>
      </w:r>
      <w:r>
        <w:rPr>
          <w:noProof/>
        </w:rPr>
        <w:fldChar w:fldCharType="begin"/>
      </w:r>
      <w:r>
        <w:rPr>
          <w:noProof/>
        </w:rPr>
        <w:instrText xml:space="preserve"> PAGEREF _Toc479713689 \h </w:instrText>
      </w:r>
      <w:r>
        <w:rPr>
          <w:noProof/>
        </w:rPr>
      </w:r>
      <w:r>
        <w:rPr>
          <w:noProof/>
        </w:rPr>
        <w:fldChar w:fldCharType="separate"/>
      </w:r>
      <w:r w:rsidR="00B35FA3">
        <w:rPr>
          <w:noProof/>
        </w:rPr>
        <w:t>117</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E001: Abertura do Bloco E</w:t>
      </w:r>
      <w:r>
        <w:rPr>
          <w:noProof/>
        </w:rPr>
        <w:tab/>
      </w:r>
      <w:r>
        <w:rPr>
          <w:noProof/>
        </w:rPr>
        <w:fldChar w:fldCharType="begin"/>
      </w:r>
      <w:r>
        <w:rPr>
          <w:noProof/>
        </w:rPr>
        <w:instrText xml:space="preserve"> PAGEREF _Toc479713690 \h </w:instrText>
      </w:r>
      <w:r>
        <w:rPr>
          <w:noProof/>
        </w:rPr>
      </w:r>
      <w:r>
        <w:rPr>
          <w:noProof/>
        </w:rPr>
        <w:fldChar w:fldCharType="separate"/>
      </w:r>
      <w:r w:rsidR="00B35FA3">
        <w:rPr>
          <w:noProof/>
        </w:rPr>
        <w:t>117</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E010: Saldos Finais Recuperados da ECF Anterior</w:t>
      </w:r>
      <w:r>
        <w:rPr>
          <w:noProof/>
        </w:rPr>
        <w:tab/>
      </w:r>
      <w:r>
        <w:rPr>
          <w:noProof/>
        </w:rPr>
        <w:fldChar w:fldCharType="begin"/>
      </w:r>
      <w:r>
        <w:rPr>
          <w:noProof/>
        </w:rPr>
        <w:instrText xml:space="preserve"> PAGEREF _Toc479713691 \h </w:instrText>
      </w:r>
      <w:r>
        <w:rPr>
          <w:noProof/>
        </w:rPr>
      </w:r>
      <w:r>
        <w:rPr>
          <w:noProof/>
        </w:rPr>
        <w:fldChar w:fldCharType="separate"/>
      </w:r>
      <w:r w:rsidR="00B35FA3">
        <w:rPr>
          <w:noProof/>
        </w:rPr>
        <w:t>118</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E015: Contas Contábeis Mapeadas</w:t>
      </w:r>
      <w:r>
        <w:rPr>
          <w:noProof/>
        </w:rPr>
        <w:tab/>
      </w:r>
      <w:r>
        <w:rPr>
          <w:noProof/>
        </w:rPr>
        <w:fldChar w:fldCharType="begin"/>
      </w:r>
      <w:r>
        <w:rPr>
          <w:noProof/>
        </w:rPr>
        <w:instrText xml:space="preserve"> PAGEREF _Toc479713692 \h </w:instrText>
      </w:r>
      <w:r>
        <w:rPr>
          <w:noProof/>
        </w:rPr>
      </w:r>
      <w:r>
        <w:rPr>
          <w:noProof/>
        </w:rPr>
        <w:fldChar w:fldCharType="separate"/>
      </w:r>
      <w:r w:rsidR="00B35FA3">
        <w:rPr>
          <w:noProof/>
        </w:rPr>
        <w:t>119</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E020: Saldos Finais das Contas na Parte B do e-Lalur da ECF Imediatamente Anterior</w:t>
      </w:r>
      <w:r>
        <w:rPr>
          <w:noProof/>
        </w:rPr>
        <w:tab/>
      </w:r>
      <w:r>
        <w:rPr>
          <w:noProof/>
        </w:rPr>
        <w:fldChar w:fldCharType="begin"/>
      </w:r>
      <w:r>
        <w:rPr>
          <w:noProof/>
        </w:rPr>
        <w:instrText xml:space="preserve"> PAGEREF _Toc479713693 \h </w:instrText>
      </w:r>
      <w:r>
        <w:rPr>
          <w:noProof/>
        </w:rPr>
      </w:r>
      <w:r>
        <w:rPr>
          <w:noProof/>
        </w:rPr>
        <w:fldChar w:fldCharType="separate"/>
      </w:r>
      <w:r w:rsidR="00B35FA3">
        <w:rPr>
          <w:noProof/>
        </w:rPr>
        <w:t>121</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E030: Identificação do Período</w:t>
      </w:r>
      <w:r>
        <w:rPr>
          <w:noProof/>
        </w:rPr>
        <w:tab/>
      </w:r>
      <w:r>
        <w:rPr>
          <w:noProof/>
        </w:rPr>
        <w:fldChar w:fldCharType="begin"/>
      </w:r>
      <w:r>
        <w:rPr>
          <w:noProof/>
        </w:rPr>
        <w:instrText xml:space="preserve"> PAGEREF _Toc479713694 \h </w:instrText>
      </w:r>
      <w:r>
        <w:rPr>
          <w:noProof/>
        </w:rPr>
      </w:r>
      <w:r>
        <w:rPr>
          <w:noProof/>
        </w:rPr>
        <w:fldChar w:fldCharType="separate"/>
      </w:r>
      <w:r w:rsidR="00B35FA3">
        <w:rPr>
          <w:noProof/>
        </w:rPr>
        <w:t>122</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E155: Detalhes dos Saldos Contábeis Calculados com Base nas ECD</w:t>
      </w:r>
      <w:r>
        <w:rPr>
          <w:noProof/>
        </w:rPr>
        <w:tab/>
      </w:r>
      <w:r>
        <w:rPr>
          <w:noProof/>
        </w:rPr>
        <w:fldChar w:fldCharType="begin"/>
      </w:r>
      <w:r>
        <w:rPr>
          <w:noProof/>
        </w:rPr>
        <w:instrText xml:space="preserve"> PAGEREF _Toc479713695 \h </w:instrText>
      </w:r>
      <w:r>
        <w:rPr>
          <w:noProof/>
        </w:rPr>
      </w:r>
      <w:r>
        <w:rPr>
          <w:noProof/>
        </w:rPr>
        <w:fldChar w:fldCharType="separate"/>
      </w:r>
      <w:r w:rsidR="00B35FA3">
        <w:rPr>
          <w:noProof/>
        </w:rPr>
        <w:t>124</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E355: Detalhes dos Saldos das Contas de Resultado Antes do Encerramento</w:t>
      </w:r>
      <w:r>
        <w:rPr>
          <w:noProof/>
        </w:rPr>
        <w:tab/>
      </w:r>
      <w:r>
        <w:rPr>
          <w:noProof/>
        </w:rPr>
        <w:fldChar w:fldCharType="begin"/>
      </w:r>
      <w:r>
        <w:rPr>
          <w:noProof/>
        </w:rPr>
        <w:instrText xml:space="preserve"> PAGEREF _Toc479713696 \h </w:instrText>
      </w:r>
      <w:r>
        <w:rPr>
          <w:noProof/>
        </w:rPr>
      </w:r>
      <w:r>
        <w:rPr>
          <w:noProof/>
        </w:rPr>
        <w:fldChar w:fldCharType="separate"/>
      </w:r>
      <w:r w:rsidR="00B35FA3">
        <w:rPr>
          <w:noProof/>
        </w:rPr>
        <w:t>125</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E990: Encerramento do Bloco E</w:t>
      </w:r>
      <w:r>
        <w:rPr>
          <w:noProof/>
        </w:rPr>
        <w:tab/>
      </w:r>
      <w:r>
        <w:rPr>
          <w:noProof/>
        </w:rPr>
        <w:fldChar w:fldCharType="begin"/>
      </w:r>
      <w:r>
        <w:rPr>
          <w:noProof/>
        </w:rPr>
        <w:instrText xml:space="preserve"> PAGEREF _Toc479713697 \h </w:instrText>
      </w:r>
      <w:r>
        <w:rPr>
          <w:noProof/>
        </w:rPr>
      </w:r>
      <w:r>
        <w:rPr>
          <w:noProof/>
        </w:rPr>
        <w:fldChar w:fldCharType="separate"/>
      </w:r>
      <w:r w:rsidR="00B35FA3">
        <w:rPr>
          <w:noProof/>
        </w:rPr>
        <w:t>126</w:t>
      </w:r>
      <w:r>
        <w:rPr>
          <w:noProof/>
        </w:rPr>
        <w:fldChar w:fldCharType="end"/>
      </w:r>
    </w:p>
    <w:p w:rsidR="00D944FE" w:rsidRDefault="00D944FE">
      <w:pPr>
        <w:pStyle w:val="Sumrio3"/>
        <w:tabs>
          <w:tab w:val="right" w:leader="dot" w:pos="16260"/>
        </w:tabs>
        <w:rPr>
          <w:rFonts w:asciiTheme="minorHAnsi" w:eastAsiaTheme="minorEastAsia" w:hAnsiTheme="minorHAnsi"/>
          <w:iCs w:val="0"/>
          <w:noProof/>
          <w:sz w:val="22"/>
          <w:szCs w:val="22"/>
          <w:lang w:eastAsia="pt-BR"/>
        </w:rPr>
      </w:pPr>
      <w:r>
        <w:rPr>
          <w:noProof/>
        </w:rPr>
        <w:t>Bloco J: Plano de Contas e Mapeamento</w:t>
      </w:r>
      <w:r>
        <w:rPr>
          <w:noProof/>
        </w:rPr>
        <w:tab/>
      </w:r>
      <w:r>
        <w:rPr>
          <w:noProof/>
        </w:rPr>
        <w:fldChar w:fldCharType="begin"/>
      </w:r>
      <w:r>
        <w:rPr>
          <w:noProof/>
        </w:rPr>
        <w:instrText xml:space="preserve"> PAGEREF _Toc479713698 \h </w:instrText>
      </w:r>
      <w:r>
        <w:rPr>
          <w:noProof/>
        </w:rPr>
      </w:r>
      <w:r>
        <w:rPr>
          <w:noProof/>
        </w:rPr>
        <w:fldChar w:fldCharType="separate"/>
      </w:r>
      <w:r w:rsidR="00B35FA3">
        <w:rPr>
          <w:noProof/>
        </w:rPr>
        <w:t>127</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J001: Abertura do Bloco J</w:t>
      </w:r>
      <w:r>
        <w:rPr>
          <w:noProof/>
        </w:rPr>
        <w:tab/>
      </w:r>
      <w:r>
        <w:rPr>
          <w:noProof/>
        </w:rPr>
        <w:fldChar w:fldCharType="begin"/>
      </w:r>
      <w:r>
        <w:rPr>
          <w:noProof/>
        </w:rPr>
        <w:instrText xml:space="preserve"> PAGEREF _Toc479713699 \h </w:instrText>
      </w:r>
      <w:r>
        <w:rPr>
          <w:noProof/>
        </w:rPr>
      </w:r>
      <w:r>
        <w:rPr>
          <w:noProof/>
        </w:rPr>
        <w:fldChar w:fldCharType="separate"/>
      </w:r>
      <w:r w:rsidR="00B35FA3">
        <w:rPr>
          <w:noProof/>
        </w:rPr>
        <w:t>127</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lastRenderedPageBreak/>
        <w:t>Registro J050: Plano de Contas do Contribuinte</w:t>
      </w:r>
      <w:r>
        <w:rPr>
          <w:noProof/>
        </w:rPr>
        <w:tab/>
      </w:r>
      <w:r>
        <w:rPr>
          <w:noProof/>
        </w:rPr>
        <w:fldChar w:fldCharType="begin"/>
      </w:r>
      <w:r>
        <w:rPr>
          <w:noProof/>
        </w:rPr>
        <w:instrText xml:space="preserve"> PAGEREF _Toc479713700 \h </w:instrText>
      </w:r>
      <w:r>
        <w:rPr>
          <w:noProof/>
        </w:rPr>
      </w:r>
      <w:r>
        <w:rPr>
          <w:noProof/>
        </w:rPr>
        <w:fldChar w:fldCharType="separate"/>
      </w:r>
      <w:r w:rsidR="00B35FA3">
        <w:rPr>
          <w:noProof/>
        </w:rPr>
        <w:t>128</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J051: Plano de Contas Referencial</w:t>
      </w:r>
      <w:r>
        <w:rPr>
          <w:noProof/>
        </w:rPr>
        <w:tab/>
      </w:r>
      <w:r>
        <w:rPr>
          <w:noProof/>
        </w:rPr>
        <w:fldChar w:fldCharType="begin"/>
      </w:r>
      <w:r>
        <w:rPr>
          <w:noProof/>
        </w:rPr>
        <w:instrText xml:space="preserve"> PAGEREF _Toc479713701 \h </w:instrText>
      </w:r>
      <w:r>
        <w:rPr>
          <w:noProof/>
        </w:rPr>
      </w:r>
      <w:r>
        <w:rPr>
          <w:noProof/>
        </w:rPr>
        <w:fldChar w:fldCharType="separate"/>
      </w:r>
      <w:r w:rsidR="00B35FA3">
        <w:rPr>
          <w:noProof/>
        </w:rPr>
        <w:t>132</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J053: Subcontas Correlatas</w:t>
      </w:r>
      <w:r>
        <w:rPr>
          <w:noProof/>
        </w:rPr>
        <w:tab/>
      </w:r>
      <w:r>
        <w:rPr>
          <w:noProof/>
        </w:rPr>
        <w:fldChar w:fldCharType="begin"/>
      </w:r>
      <w:r>
        <w:rPr>
          <w:noProof/>
        </w:rPr>
        <w:instrText xml:space="preserve"> PAGEREF _Toc479713702 \h </w:instrText>
      </w:r>
      <w:r>
        <w:rPr>
          <w:noProof/>
        </w:rPr>
      </w:r>
      <w:r>
        <w:rPr>
          <w:noProof/>
        </w:rPr>
        <w:fldChar w:fldCharType="separate"/>
      </w:r>
      <w:r w:rsidR="00B35FA3">
        <w:rPr>
          <w:noProof/>
        </w:rPr>
        <w:t>134</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J100: Centro de Custos</w:t>
      </w:r>
      <w:r>
        <w:rPr>
          <w:noProof/>
        </w:rPr>
        <w:tab/>
      </w:r>
      <w:r>
        <w:rPr>
          <w:noProof/>
        </w:rPr>
        <w:fldChar w:fldCharType="begin"/>
      </w:r>
      <w:r>
        <w:rPr>
          <w:noProof/>
        </w:rPr>
        <w:instrText xml:space="preserve"> PAGEREF _Toc479713703 \h </w:instrText>
      </w:r>
      <w:r>
        <w:rPr>
          <w:noProof/>
        </w:rPr>
      </w:r>
      <w:r>
        <w:rPr>
          <w:noProof/>
        </w:rPr>
        <w:fldChar w:fldCharType="separate"/>
      </w:r>
      <w:r w:rsidR="00B35FA3">
        <w:rPr>
          <w:noProof/>
        </w:rPr>
        <w:t>137</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J990: Encerramento do Bloco J</w:t>
      </w:r>
      <w:r>
        <w:rPr>
          <w:noProof/>
        </w:rPr>
        <w:tab/>
      </w:r>
      <w:r>
        <w:rPr>
          <w:noProof/>
        </w:rPr>
        <w:fldChar w:fldCharType="begin"/>
      </w:r>
      <w:r>
        <w:rPr>
          <w:noProof/>
        </w:rPr>
        <w:instrText xml:space="preserve"> PAGEREF _Toc479713704 \h </w:instrText>
      </w:r>
      <w:r>
        <w:rPr>
          <w:noProof/>
        </w:rPr>
      </w:r>
      <w:r>
        <w:rPr>
          <w:noProof/>
        </w:rPr>
        <w:fldChar w:fldCharType="separate"/>
      </w:r>
      <w:r w:rsidR="00B35FA3">
        <w:rPr>
          <w:noProof/>
        </w:rPr>
        <w:t>138</w:t>
      </w:r>
      <w:r>
        <w:rPr>
          <w:noProof/>
        </w:rPr>
        <w:fldChar w:fldCharType="end"/>
      </w:r>
    </w:p>
    <w:p w:rsidR="00D944FE" w:rsidRDefault="00D944FE">
      <w:pPr>
        <w:pStyle w:val="Sumrio3"/>
        <w:tabs>
          <w:tab w:val="right" w:leader="dot" w:pos="16260"/>
        </w:tabs>
        <w:rPr>
          <w:rFonts w:asciiTheme="minorHAnsi" w:eastAsiaTheme="minorEastAsia" w:hAnsiTheme="minorHAnsi"/>
          <w:iCs w:val="0"/>
          <w:noProof/>
          <w:sz w:val="22"/>
          <w:szCs w:val="22"/>
          <w:lang w:eastAsia="pt-BR"/>
        </w:rPr>
      </w:pPr>
      <w:r>
        <w:rPr>
          <w:noProof/>
        </w:rPr>
        <w:t>Bloco K: Saldos das Contas Contábeis e Referenciais</w:t>
      </w:r>
      <w:r>
        <w:rPr>
          <w:noProof/>
        </w:rPr>
        <w:tab/>
      </w:r>
      <w:r>
        <w:rPr>
          <w:noProof/>
        </w:rPr>
        <w:fldChar w:fldCharType="begin"/>
      </w:r>
      <w:r>
        <w:rPr>
          <w:noProof/>
        </w:rPr>
        <w:instrText xml:space="preserve"> PAGEREF _Toc479713705 \h </w:instrText>
      </w:r>
      <w:r>
        <w:rPr>
          <w:noProof/>
        </w:rPr>
      </w:r>
      <w:r>
        <w:rPr>
          <w:noProof/>
        </w:rPr>
        <w:fldChar w:fldCharType="separate"/>
      </w:r>
      <w:r w:rsidR="00B35FA3">
        <w:rPr>
          <w:noProof/>
        </w:rPr>
        <w:t>139</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K001: Abertura do Bloco K</w:t>
      </w:r>
      <w:r>
        <w:rPr>
          <w:noProof/>
        </w:rPr>
        <w:tab/>
      </w:r>
      <w:r>
        <w:rPr>
          <w:noProof/>
        </w:rPr>
        <w:fldChar w:fldCharType="begin"/>
      </w:r>
      <w:r>
        <w:rPr>
          <w:noProof/>
        </w:rPr>
        <w:instrText xml:space="preserve"> PAGEREF _Toc479713706 \h </w:instrText>
      </w:r>
      <w:r>
        <w:rPr>
          <w:noProof/>
        </w:rPr>
      </w:r>
      <w:r>
        <w:rPr>
          <w:noProof/>
        </w:rPr>
        <w:fldChar w:fldCharType="separate"/>
      </w:r>
      <w:r w:rsidR="00B35FA3">
        <w:rPr>
          <w:noProof/>
        </w:rPr>
        <w:t>139</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K030: Identificação dos Períodos e Formas de Apuração do IRPJ e da CSLL no Ano-Calendário</w:t>
      </w:r>
      <w:r>
        <w:rPr>
          <w:noProof/>
        </w:rPr>
        <w:tab/>
      </w:r>
      <w:r>
        <w:rPr>
          <w:noProof/>
        </w:rPr>
        <w:fldChar w:fldCharType="begin"/>
      </w:r>
      <w:r>
        <w:rPr>
          <w:noProof/>
        </w:rPr>
        <w:instrText xml:space="preserve"> PAGEREF _Toc479713707 \h </w:instrText>
      </w:r>
      <w:r>
        <w:rPr>
          <w:noProof/>
        </w:rPr>
      </w:r>
      <w:r>
        <w:rPr>
          <w:noProof/>
        </w:rPr>
        <w:fldChar w:fldCharType="separate"/>
      </w:r>
      <w:r w:rsidR="00B35FA3">
        <w:rPr>
          <w:noProof/>
        </w:rPr>
        <w:t>140</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K155: Detalhes dos Saldos Contábeis (Depois do Encerramento do Resultado do Período)</w:t>
      </w:r>
      <w:r>
        <w:rPr>
          <w:noProof/>
        </w:rPr>
        <w:tab/>
      </w:r>
      <w:r>
        <w:rPr>
          <w:noProof/>
        </w:rPr>
        <w:fldChar w:fldCharType="begin"/>
      </w:r>
      <w:r>
        <w:rPr>
          <w:noProof/>
        </w:rPr>
        <w:instrText xml:space="preserve"> PAGEREF _Toc479713708 \h </w:instrText>
      </w:r>
      <w:r>
        <w:rPr>
          <w:noProof/>
        </w:rPr>
      </w:r>
      <w:r>
        <w:rPr>
          <w:noProof/>
        </w:rPr>
        <w:fldChar w:fldCharType="separate"/>
      </w:r>
      <w:r w:rsidR="00B35FA3">
        <w:rPr>
          <w:noProof/>
        </w:rPr>
        <w:t>143</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K156: Mapeamento Referencial do Saldo Final</w:t>
      </w:r>
      <w:r>
        <w:rPr>
          <w:noProof/>
        </w:rPr>
        <w:tab/>
      </w:r>
      <w:r>
        <w:rPr>
          <w:noProof/>
        </w:rPr>
        <w:fldChar w:fldCharType="begin"/>
      </w:r>
      <w:r>
        <w:rPr>
          <w:noProof/>
        </w:rPr>
        <w:instrText xml:space="preserve"> PAGEREF _Toc479713709 \h </w:instrText>
      </w:r>
      <w:r>
        <w:rPr>
          <w:noProof/>
        </w:rPr>
      </w:r>
      <w:r>
        <w:rPr>
          <w:noProof/>
        </w:rPr>
        <w:fldChar w:fldCharType="separate"/>
      </w:r>
      <w:r w:rsidR="00B35FA3">
        <w:rPr>
          <w:noProof/>
        </w:rPr>
        <w:t>147</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K355: Saldos Finais das Contas Contábeis de Resultado Antes do Encerramento</w:t>
      </w:r>
      <w:r>
        <w:rPr>
          <w:noProof/>
        </w:rPr>
        <w:tab/>
      </w:r>
      <w:r>
        <w:rPr>
          <w:noProof/>
        </w:rPr>
        <w:fldChar w:fldCharType="begin"/>
      </w:r>
      <w:r>
        <w:rPr>
          <w:noProof/>
        </w:rPr>
        <w:instrText xml:space="preserve"> PAGEREF _Toc479713710 \h </w:instrText>
      </w:r>
      <w:r>
        <w:rPr>
          <w:noProof/>
        </w:rPr>
      </w:r>
      <w:r>
        <w:rPr>
          <w:noProof/>
        </w:rPr>
        <w:fldChar w:fldCharType="separate"/>
      </w:r>
      <w:r w:rsidR="00B35FA3">
        <w:rPr>
          <w:noProof/>
        </w:rPr>
        <w:t>149</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K356: Mapeamento Referencial dos Saldos Finais das Contas Contábeis de Resultado Antes do Encerramento</w:t>
      </w:r>
      <w:r>
        <w:rPr>
          <w:noProof/>
        </w:rPr>
        <w:tab/>
      </w:r>
      <w:r>
        <w:rPr>
          <w:noProof/>
        </w:rPr>
        <w:fldChar w:fldCharType="begin"/>
      </w:r>
      <w:r>
        <w:rPr>
          <w:noProof/>
        </w:rPr>
        <w:instrText xml:space="preserve"> PAGEREF _Toc479713711 \h </w:instrText>
      </w:r>
      <w:r>
        <w:rPr>
          <w:noProof/>
        </w:rPr>
      </w:r>
      <w:r>
        <w:rPr>
          <w:noProof/>
        </w:rPr>
        <w:fldChar w:fldCharType="separate"/>
      </w:r>
      <w:r w:rsidR="00B35FA3">
        <w:rPr>
          <w:noProof/>
        </w:rPr>
        <w:t>151</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K990: Encerramento do Bloco K</w:t>
      </w:r>
      <w:r>
        <w:rPr>
          <w:noProof/>
        </w:rPr>
        <w:tab/>
      </w:r>
      <w:r>
        <w:rPr>
          <w:noProof/>
        </w:rPr>
        <w:fldChar w:fldCharType="begin"/>
      </w:r>
      <w:r>
        <w:rPr>
          <w:noProof/>
        </w:rPr>
        <w:instrText xml:space="preserve"> PAGEREF _Toc479713712 \h </w:instrText>
      </w:r>
      <w:r>
        <w:rPr>
          <w:noProof/>
        </w:rPr>
      </w:r>
      <w:r>
        <w:rPr>
          <w:noProof/>
        </w:rPr>
        <w:fldChar w:fldCharType="separate"/>
      </w:r>
      <w:r w:rsidR="00B35FA3">
        <w:rPr>
          <w:noProof/>
        </w:rPr>
        <w:t>153</w:t>
      </w:r>
      <w:r>
        <w:rPr>
          <w:noProof/>
        </w:rPr>
        <w:fldChar w:fldCharType="end"/>
      </w:r>
    </w:p>
    <w:p w:rsidR="00D944FE" w:rsidRDefault="00D944FE">
      <w:pPr>
        <w:pStyle w:val="Sumrio3"/>
        <w:tabs>
          <w:tab w:val="right" w:leader="dot" w:pos="16260"/>
        </w:tabs>
        <w:rPr>
          <w:rFonts w:asciiTheme="minorHAnsi" w:eastAsiaTheme="minorEastAsia" w:hAnsiTheme="minorHAnsi"/>
          <w:iCs w:val="0"/>
          <w:noProof/>
          <w:sz w:val="22"/>
          <w:szCs w:val="22"/>
          <w:lang w:eastAsia="pt-BR"/>
        </w:rPr>
      </w:pPr>
      <w:r>
        <w:rPr>
          <w:noProof/>
        </w:rPr>
        <w:t>Bloco L: Lucro Líquido – Lucro Real</w:t>
      </w:r>
      <w:r>
        <w:rPr>
          <w:noProof/>
        </w:rPr>
        <w:tab/>
      </w:r>
      <w:r>
        <w:rPr>
          <w:noProof/>
        </w:rPr>
        <w:fldChar w:fldCharType="begin"/>
      </w:r>
      <w:r>
        <w:rPr>
          <w:noProof/>
        </w:rPr>
        <w:instrText xml:space="preserve"> PAGEREF _Toc479713713 \h </w:instrText>
      </w:r>
      <w:r>
        <w:rPr>
          <w:noProof/>
        </w:rPr>
      </w:r>
      <w:r>
        <w:rPr>
          <w:noProof/>
        </w:rPr>
        <w:fldChar w:fldCharType="separate"/>
      </w:r>
      <w:r w:rsidR="00B35FA3">
        <w:rPr>
          <w:noProof/>
        </w:rPr>
        <w:t>154</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L001: Abertura do Bloco L</w:t>
      </w:r>
      <w:r>
        <w:rPr>
          <w:noProof/>
        </w:rPr>
        <w:tab/>
      </w:r>
      <w:r>
        <w:rPr>
          <w:noProof/>
        </w:rPr>
        <w:fldChar w:fldCharType="begin"/>
      </w:r>
      <w:r>
        <w:rPr>
          <w:noProof/>
        </w:rPr>
        <w:instrText xml:space="preserve"> PAGEREF _Toc479713714 \h </w:instrText>
      </w:r>
      <w:r>
        <w:rPr>
          <w:noProof/>
        </w:rPr>
      </w:r>
      <w:r>
        <w:rPr>
          <w:noProof/>
        </w:rPr>
        <w:fldChar w:fldCharType="separate"/>
      </w:r>
      <w:r w:rsidR="00B35FA3">
        <w:rPr>
          <w:noProof/>
        </w:rPr>
        <w:t>212</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L030: Identificação dos Períodos e Formas de Apuração do IRPJ e da CSLL no Ano-Calendário</w:t>
      </w:r>
      <w:r>
        <w:rPr>
          <w:noProof/>
        </w:rPr>
        <w:tab/>
      </w:r>
      <w:r>
        <w:rPr>
          <w:noProof/>
        </w:rPr>
        <w:fldChar w:fldCharType="begin"/>
      </w:r>
      <w:r>
        <w:rPr>
          <w:noProof/>
        </w:rPr>
        <w:instrText xml:space="preserve"> PAGEREF _Toc479713715 \h </w:instrText>
      </w:r>
      <w:r>
        <w:rPr>
          <w:noProof/>
        </w:rPr>
      </w:r>
      <w:r>
        <w:rPr>
          <w:noProof/>
        </w:rPr>
        <w:fldChar w:fldCharType="separate"/>
      </w:r>
      <w:r w:rsidR="00B35FA3">
        <w:rPr>
          <w:noProof/>
        </w:rPr>
        <w:t>213</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L100: Balanço Patrimonial</w:t>
      </w:r>
      <w:r>
        <w:rPr>
          <w:noProof/>
        </w:rPr>
        <w:tab/>
      </w:r>
      <w:r>
        <w:rPr>
          <w:noProof/>
        </w:rPr>
        <w:fldChar w:fldCharType="begin"/>
      </w:r>
      <w:r>
        <w:rPr>
          <w:noProof/>
        </w:rPr>
        <w:instrText xml:space="preserve"> PAGEREF _Toc479713716 \h </w:instrText>
      </w:r>
      <w:r>
        <w:rPr>
          <w:noProof/>
        </w:rPr>
      </w:r>
      <w:r>
        <w:rPr>
          <w:noProof/>
        </w:rPr>
        <w:fldChar w:fldCharType="separate"/>
      </w:r>
      <w:r w:rsidR="00B35FA3">
        <w:rPr>
          <w:noProof/>
        </w:rPr>
        <w:t>216</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L200: Método de Avaliação do Estoque Final</w:t>
      </w:r>
      <w:r>
        <w:rPr>
          <w:noProof/>
        </w:rPr>
        <w:tab/>
      </w:r>
      <w:r>
        <w:rPr>
          <w:noProof/>
        </w:rPr>
        <w:fldChar w:fldCharType="begin"/>
      </w:r>
      <w:r>
        <w:rPr>
          <w:noProof/>
        </w:rPr>
        <w:instrText xml:space="preserve"> PAGEREF _Toc479713717 \h </w:instrText>
      </w:r>
      <w:r>
        <w:rPr>
          <w:noProof/>
        </w:rPr>
      </w:r>
      <w:r>
        <w:rPr>
          <w:noProof/>
        </w:rPr>
        <w:fldChar w:fldCharType="separate"/>
      </w:r>
      <w:r w:rsidR="00B35FA3">
        <w:rPr>
          <w:noProof/>
        </w:rPr>
        <w:t>219</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L210: Informativo da Composição de Custos</w:t>
      </w:r>
      <w:r>
        <w:rPr>
          <w:noProof/>
        </w:rPr>
        <w:tab/>
      </w:r>
      <w:r>
        <w:rPr>
          <w:noProof/>
        </w:rPr>
        <w:fldChar w:fldCharType="begin"/>
      </w:r>
      <w:r>
        <w:rPr>
          <w:noProof/>
        </w:rPr>
        <w:instrText xml:space="preserve"> PAGEREF _Toc479713718 \h </w:instrText>
      </w:r>
      <w:r>
        <w:rPr>
          <w:noProof/>
        </w:rPr>
      </w:r>
      <w:r>
        <w:rPr>
          <w:noProof/>
        </w:rPr>
        <w:fldChar w:fldCharType="separate"/>
      </w:r>
      <w:r w:rsidR="00B35FA3">
        <w:rPr>
          <w:noProof/>
        </w:rPr>
        <w:t>220</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L300: Demonstração do Resultado Líquido no Período Fiscal</w:t>
      </w:r>
      <w:r>
        <w:rPr>
          <w:noProof/>
        </w:rPr>
        <w:tab/>
      </w:r>
      <w:r>
        <w:rPr>
          <w:noProof/>
        </w:rPr>
        <w:fldChar w:fldCharType="begin"/>
      </w:r>
      <w:r>
        <w:rPr>
          <w:noProof/>
        </w:rPr>
        <w:instrText xml:space="preserve"> PAGEREF _Toc479713719 \h </w:instrText>
      </w:r>
      <w:r>
        <w:rPr>
          <w:noProof/>
        </w:rPr>
      </w:r>
      <w:r>
        <w:rPr>
          <w:noProof/>
        </w:rPr>
        <w:fldChar w:fldCharType="separate"/>
      </w:r>
      <w:r w:rsidR="00B35FA3">
        <w:rPr>
          <w:noProof/>
        </w:rPr>
        <w:t>222</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L990: Encerramento do Bloco L</w:t>
      </w:r>
      <w:r>
        <w:rPr>
          <w:noProof/>
        </w:rPr>
        <w:tab/>
      </w:r>
      <w:r>
        <w:rPr>
          <w:noProof/>
        </w:rPr>
        <w:fldChar w:fldCharType="begin"/>
      </w:r>
      <w:r>
        <w:rPr>
          <w:noProof/>
        </w:rPr>
        <w:instrText xml:space="preserve"> PAGEREF _Toc479713720 \h </w:instrText>
      </w:r>
      <w:r>
        <w:rPr>
          <w:noProof/>
        </w:rPr>
      </w:r>
      <w:r>
        <w:rPr>
          <w:noProof/>
        </w:rPr>
        <w:fldChar w:fldCharType="separate"/>
      </w:r>
      <w:r w:rsidR="00B35FA3">
        <w:rPr>
          <w:noProof/>
        </w:rPr>
        <w:t>225</w:t>
      </w:r>
      <w:r>
        <w:rPr>
          <w:noProof/>
        </w:rPr>
        <w:fldChar w:fldCharType="end"/>
      </w:r>
    </w:p>
    <w:p w:rsidR="00D944FE" w:rsidRDefault="00D944FE">
      <w:pPr>
        <w:pStyle w:val="Sumrio3"/>
        <w:tabs>
          <w:tab w:val="right" w:leader="dot" w:pos="16260"/>
        </w:tabs>
        <w:rPr>
          <w:rFonts w:asciiTheme="minorHAnsi" w:eastAsiaTheme="minorEastAsia" w:hAnsiTheme="minorHAnsi"/>
          <w:iCs w:val="0"/>
          <w:noProof/>
          <w:sz w:val="22"/>
          <w:szCs w:val="22"/>
          <w:lang w:eastAsia="pt-BR"/>
        </w:rPr>
      </w:pPr>
      <w:r>
        <w:rPr>
          <w:noProof/>
        </w:rPr>
        <w:t>Bloco M: Livro Eletrônico de Apuração do Lucro Real (e-Lalur) e Livro Eletrônico de Apuração da Base de Cálculo da CSLL (e-Lacs)</w:t>
      </w:r>
      <w:r>
        <w:rPr>
          <w:noProof/>
        </w:rPr>
        <w:tab/>
      </w:r>
      <w:r>
        <w:rPr>
          <w:noProof/>
        </w:rPr>
        <w:fldChar w:fldCharType="begin"/>
      </w:r>
      <w:r>
        <w:rPr>
          <w:noProof/>
        </w:rPr>
        <w:instrText xml:space="preserve"> PAGEREF _Toc479713721 \h </w:instrText>
      </w:r>
      <w:r>
        <w:rPr>
          <w:noProof/>
        </w:rPr>
      </w:r>
      <w:r>
        <w:rPr>
          <w:noProof/>
        </w:rPr>
        <w:fldChar w:fldCharType="separate"/>
      </w:r>
      <w:r w:rsidR="00B35FA3">
        <w:rPr>
          <w:noProof/>
        </w:rPr>
        <w:t>226</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M001: Abertura do Bloco M</w:t>
      </w:r>
      <w:r>
        <w:rPr>
          <w:noProof/>
        </w:rPr>
        <w:tab/>
      </w:r>
      <w:r>
        <w:rPr>
          <w:noProof/>
        </w:rPr>
        <w:fldChar w:fldCharType="begin"/>
      </w:r>
      <w:r>
        <w:rPr>
          <w:noProof/>
        </w:rPr>
        <w:instrText xml:space="preserve"> PAGEREF _Toc479713722 \h </w:instrText>
      </w:r>
      <w:r>
        <w:rPr>
          <w:noProof/>
        </w:rPr>
      </w:r>
      <w:r>
        <w:rPr>
          <w:noProof/>
        </w:rPr>
        <w:fldChar w:fldCharType="separate"/>
      </w:r>
      <w:r w:rsidR="00B35FA3">
        <w:rPr>
          <w:noProof/>
        </w:rPr>
        <w:t>226</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M010: Identificação da Conta na Parte B do e-Lalur e do e-Lacs</w:t>
      </w:r>
      <w:r>
        <w:rPr>
          <w:noProof/>
        </w:rPr>
        <w:tab/>
      </w:r>
      <w:r>
        <w:rPr>
          <w:noProof/>
        </w:rPr>
        <w:fldChar w:fldCharType="begin"/>
      </w:r>
      <w:r>
        <w:rPr>
          <w:noProof/>
        </w:rPr>
        <w:instrText xml:space="preserve"> PAGEREF _Toc479713723 \h </w:instrText>
      </w:r>
      <w:r>
        <w:rPr>
          <w:noProof/>
        </w:rPr>
      </w:r>
      <w:r>
        <w:rPr>
          <w:noProof/>
        </w:rPr>
        <w:fldChar w:fldCharType="separate"/>
      </w:r>
      <w:r w:rsidR="00B35FA3">
        <w:rPr>
          <w:noProof/>
        </w:rPr>
        <w:t>227</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M030: Identificação dos Períodos e Formas de Apuração do IRPJ e da CSLL das Empresas Tributadas pelo Lucro Real</w:t>
      </w:r>
      <w:r>
        <w:rPr>
          <w:noProof/>
        </w:rPr>
        <w:tab/>
      </w:r>
      <w:r>
        <w:rPr>
          <w:noProof/>
        </w:rPr>
        <w:fldChar w:fldCharType="begin"/>
      </w:r>
      <w:r>
        <w:rPr>
          <w:noProof/>
        </w:rPr>
        <w:instrText xml:space="preserve"> PAGEREF _Toc479713724 \h </w:instrText>
      </w:r>
      <w:r>
        <w:rPr>
          <w:noProof/>
        </w:rPr>
      </w:r>
      <w:r>
        <w:rPr>
          <w:noProof/>
        </w:rPr>
        <w:fldChar w:fldCharType="separate"/>
      </w:r>
      <w:r w:rsidR="00B35FA3">
        <w:rPr>
          <w:noProof/>
        </w:rPr>
        <w:t>231</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M300: Demonstração do Lucro Real</w:t>
      </w:r>
      <w:r>
        <w:rPr>
          <w:noProof/>
        </w:rPr>
        <w:tab/>
      </w:r>
      <w:r>
        <w:rPr>
          <w:noProof/>
        </w:rPr>
        <w:fldChar w:fldCharType="begin"/>
      </w:r>
      <w:r>
        <w:rPr>
          <w:noProof/>
        </w:rPr>
        <w:instrText xml:space="preserve"> PAGEREF _Toc479713725 \h </w:instrText>
      </w:r>
      <w:r>
        <w:rPr>
          <w:noProof/>
        </w:rPr>
      </w:r>
      <w:r>
        <w:rPr>
          <w:noProof/>
        </w:rPr>
        <w:fldChar w:fldCharType="separate"/>
      </w:r>
      <w:r w:rsidR="00B35FA3">
        <w:rPr>
          <w:noProof/>
        </w:rPr>
        <w:t>234</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M305: Conta da Parte B do e-Lalur</w:t>
      </w:r>
      <w:r>
        <w:rPr>
          <w:noProof/>
        </w:rPr>
        <w:tab/>
      </w:r>
      <w:r>
        <w:rPr>
          <w:noProof/>
        </w:rPr>
        <w:fldChar w:fldCharType="begin"/>
      </w:r>
      <w:r>
        <w:rPr>
          <w:noProof/>
        </w:rPr>
        <w:instrText xml:space="preserve"> PAGEREF _Toc479713726 \h </w:instrText>
      </w:r>
      <w:r>
        <w:rPr>
          <w:noProof/>
        </w:rPr>
      </w:r>
      <w:r>
        <w:rPr>
          <w:noProof/>
        </w:rPr>
        <w:fldChar w:fldCharType="separate"/>
      </w:r>
      <w:r w:rsidR="00B35FA3">
        <w:rPr>
          <w:noProof/>
        </w:rPr>
        <w:t>241</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M310: Contas Contábeis Relacionadas ao Lançamento da Parte A do e-Lalur</w:t>
      </w:r>
      <w:r>
        <w:rPr>
          <w:noProof/>
        </w:rPr>
        <w:tab/>
      </w:r>
      <w:r>
        <w:rPr>
          <w:noProof/>
        </w:rPr>
        <w:fldChar w:fldCharType="begin"/>
      </w:r>
      <w:r>
        <w:rPr>
          <w:noProof/>
        </w:rPr>
        <w:instrText xml:space="preserve"> PAGEREF _Toc479713727 \h </w:instrText>
      </w:r>
      <w:r>
        <w:rPr>
          <w:noProof/>
        </w:rPr>
      </w:r>
      <w:r>
        <w:rPr>
          <w:noProof/>
        </w:rPr>
        <w:fldChar w:fldCharType="separate"/>
      </w:r>
      <w:r w:rsidR="00B35FA3">
        <w:rPr>
          <w:noProof/>
        </w:rPr>
        <w:t>243</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M312: Números dos Lançamentos Relacionados à Conta Contábil</w:t>
      </w:r>
      <w:r>
        <w:rPr>
          <w:noProof/>
        </w:rPr>
        <w:tab/>
      </w:r>
      <w:r>
        <w:rPr>
          <w:noProof/>
        </w:rPr>
        <w:fldChar w:fldCharType="begin"/>
      </w:r>
      <w:r>
        <w:rPr>
          <w:noProof/>
        </w:rPr>
        <w:instrText xml:space="preserve"> PAGEREF _Toc479713728 \h </w:instrText>
      </w:r>
      <w:r>
        <w:rPr>
          <w:noProof/>
        </w:rPr>
      </w:r>
      <w:r>
        <w:rPr>
          <w:noProof/>
        </w:rPr>
        <w:fldChar w:fldCharType="separate"/>
      </w:r>
      <w:r w:rsidR="00B35FA3">
        <w:rPr>
          <w:noProof/>
        </w:rPr>
        <w:t>245</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M315: Identificação de Processos Judiciais e Administrativos Referentes ao Lançamento</w:t>
      </w:r>
      <w:r>
        <w:rPr>
          <w:noProof/>
        </w:rPr>
        <w:tab/>
      </w:r>
      <w:r>
        <w:rPr>
          <w:noProof/>
        </w:rPr>
        <w:fldChar w:fldCharType="begin"/>
      </w:r>
      <w:r>
        <w:rPr>
          <w:noProof/>
        </w:rPr>
        <w:instrText xml:space="preserve"> PAGEREF _Toc479713729 \h </w:instrText>
      </w:r>
      <w:r>
        <w:rPr>
          <w:noProof/>
        </w:rPr>
      </w:r>
      <w:r>
        <w:rPr>
          <w:noProof/>
        </w:rPr>
        <w:fldChar w:fldCharType="separate"/>
      </w:r>
      <w:r w:rsidR="00B35FA3">
        <w:rPr>
          <w:noProof/>
        </w:rPr>
        <w:t>247</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M350: Demonstração da Base de Cálculo da CSLL</w:t>
      </w:r>
      <w:r>
        <w:rPr>
          <w:noProof/>
        </w:rPr>
        <w:tab/>
      </w:r>
      <w:r>
        <w:rPr>
          <w:noProof/>
        </w:rPr>
        <w:fldChar w:fldCharType="begin"/>
      </w:r>
      <w:r>
        <w:rPr>
          <w:noProof/>
        </w:rPr>
        <w:instrText xml:space="preserve"> PAGEREF _Toc479713730 \h </w:instrText>
      </w:r>
      <w:r>
        <w:rPr>
          <w:noProof/>
        </w:rPr>
      </w:r>
      <w:r>
        <w:rPr>
          <w:noProof/>
        </w:rPr>
        <w:fldChar w:fldCharType="separate"/>
      </w:r>
      <w:r w:rsidR="00B35FA3">
        <w:rPr>
          <w:noProof/>
        </w:rPr>
        <w:t>248</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M355: Conta da Parte B do e-Lacs</w:t>
      </w:r>
      <w:r>
        <w:rPr>
          <w:noProof/>
        </w:rPr>
        <w:tab/>
      </w:r>
      <w:r>
        <w:rPr>
          <w:noProof/>
        </w:rPr>
        <w:fldChar w:fldCharType="begin"/>
      </w:r>
      <w:r>
        <w:rPr>
          <w:noProof/>
        </w:rPr>
        <w:instrText xml:space="preserve"> PAGEREF _Toc479713731 \h </w:instrText>
      </w:r>
      <w:r>
        <w:rPr>
          <w:noProof/>
        </w:rPr>
      </w:r>
      <w:r>
        <w:rPr>
          <w:noProof/>
        </w:rPr>
        <w:fldChar w:fldCharType="separate"/>
      </w:r>
      <w:r w:rsidR="00B35FA3">
        <w:rPr>
          <w:noProof/>
        </w:rPr>
        <w:t>254</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lastRenderedPageBreak/>
        <w:t>Registro M360: Contas Contábeis Relacionadas ao Lançamento da Parte A do e-Lacs</w:t>
      </w:r>
      <w:r>
        <w:rPr>
          <w:noProof/>
        </w:rPr>
        <w:tab/>
      </w:r>
      <w:r>
        <w:rPr>
          <w:noProof/>
        </w:rPr>
        <w:fldChar w:fldCharType="begin"/>
      </w:r>
      <w:r>
        <w:rPr>
          <w:noProof/>
        </w:rPr>
        <w:instrText xml:space="preserve"> PAGEREF _Toc479713732 \h </w:instrText>
      </w:r>
      <w:r>
        <w:rPr>
          <w:noProof/>
        </w:rPr>
      </w:r>
      <w:r>
        <w:rPr>
          <w:noProof/>
        </w:rPr>
        <w:fldChar w:fldCharType="separate"/>
      </w:r>
      <w:r w:rsidR="00B35FA3">
        <w:rPr>
          <w:noProof/>
        </w:rPr>
        <w:t>256</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M362: Números dos Lançamentos Relacionados à Conta Contábil</w:t>
      </w:r>
      <w:r>
        <w:rPr>
          <w:noProof/>
        </w:rPr>
        <w:tab/>
      </w:r>
      <w:r>
        <w:rPr>
          <w:noProof/>
        </w:rPr>
        <w:fldChar w:fldCharType="begin"/>
      </w:r>
      <w:r>
        <w:rPr>
          <w:noProof/>
        </w:rPr>
        <w:instrText xml:space="preserve"> PAGEREF _Toc479713733 \h </w:instrText>
      </w:r>
      <w:r>
        <w:rPr>
          <w:noProof/>
        </w:rPr>
      </w:r>
      <w:r>
        <w:rPr>
          <w:noProof/>
        </w:rPr>
        <w:fldChar w:fldCharType="separate"/>
      </w:r>
      <w:r w:rsidR="00B35FA3">
        <w:rPr>
          <w:noProof/>
        </w:rPr>
        <w:t>258</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M365: Identificação de Processos Judiciais e Administrativos Referentes ao Lançamento</w:t>
      </w:r>
      <w:r>
        <w:rPr>
          <w:noProof/>
        </w:rPr>
        <w:tab/>
      </w:r>
      <w:r>
        <w:rPr>
          <w:noProof/>
        </w:rPr>
        <w:fldChar w:fldCharType="begin"/>
      </w:r>
      <w:r>
        <w:rPr>
          <w:noProof/>
        </w:rPr>
        <w:instrText xml:space="preserve"> PAGEREF _Toc479713734 \h </w:instrText>
      </w:r>
      <w:r>
        <w:rPr>
          <w:noProof/>
        </w:rPr>
      </w:r>
      <w:r>
        <w:rPr>
          <w:noProof/>
        </w:rPr>
        <w:fldChar w:fldCharType="separate"/>
      </w:r>
      <w:r w:rsidR="00B35FA3">
        <w:rPr>
          <w:noProof/>
        </w:rPr>
        <w:t>260</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M410: Lançamento na Conta da Parte B do e-Lalur e do e-Lacs sem Reflexo na Parte A</w:t>
      </w:r>
      <w:r>
        <w:rPr>
          <w:noProof/>
        </w:rPr>
        <w:tab/>
      </w:r>
      <w:r>
        <w:rPr>
          <w:noProof/>
        </w:rPr>
        <w:fldChar w:fldCharType="begin"/>
      </w:r>
      <w:r>
        <w:rPr>
          <w:noProof/>
        </w:rPr>
        <w:instrText xml:space="preserve"> PAGEREF _Toc479713735 \h </w:instrText>
      </w:r>
      <w:r>
        <w:rPr>
          <w:noProof/>
        </w:rPr>
      </w:r>
      <w:r>
        <w:rPr>
          <w:noProof/>
        </w:rPr>
        <w:fldChar w:fldCharType="separate"/>
      </w:r>
      <w:r w:rsidR="00B35FA3">
        <w:rPr>
          <w:noProof/>
        </w:rPr>
        <w:t>261</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M415: Identificação de Processos Judiciais e Administrativos Referentes ao Lançamento</w:t>
      </w:r>
      <w:r>
        <w:rPr>
          <w:noProof/>
        </w:rPr>
        <w:tab/>
      </w:r>
      <w:r>
        <w:rPr>
          <w:noProof/>
        </w:rPr>
        <w:fldChar w:fldCharType="begin"/>
      </w:r>
      <w:r>
        <w:rPr>
          <w:noProof/>
        </w:rPr>
        <w:instrText xml:space="preserve"> PAGEREF _Toc479713736 \h </w:instrText>
      </w:r>
      <w:r>
        <w:rPr>
          <w:noProof/>
        </w:rPr>
      </w:r>
      <w:r>
        <w:rPr>
          <w:noProof/>
        </w:rPr>
        <w:fldChar w:fldCharType="separate"/>
      </w:r>
      <w:r w:rsidR="00B35FA3">
        <w:rPr>
          <w:noProof/>
        </w:rPr>
        <w:t>263</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M500: Controle de Saldos das Contas da Parte B do e-Lalur e do e-Lacs</w:t>
      </w:r>
      <w:r>
        <w:rPr>
          <w:noProof/>
        </w:rPr>
        <w:tab/>
      </w:r>
      <w:r>
        <w:rPr>
          <w:noProof/>
        </w:rPr>
        <w:fldChar w:fldCharType="begin"/>
      </w:r>
      <w:r>
        <w:rPr>
          <w:noProof/>
        </w:rPr>
        <w:instrText xml:space="preserve"> PAGEREF _Toc479713737 \h </w:instrText>
      </w:r>
      <w:r>
        <w:rPr>
          <w:noProof/>
        </w:rPr>
      </w:r>
      <w:r>
        <w:rPr>
          <w:noProof/>
        </w:rPr>
        <w:fldChar w:fldCharType="separate"/>
      </w:r>
      <w:r w:rsidR="00B35FA3">
        <w:rPr>
          <w:noProof/>
        </w:rPr>
        <w:t>264</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M990: Encerramento do Bloco M</w:t>
      </w:r>
      <w:r>
        <w:rPr>
          <w:noProof/>
        </w:rPr>
        <w:tab/>
      </w:r>
      <w:r>
        <w:rPr>
          <w:noProof/>
        </w:rPr>
        <w:fldChar w:fldCharType="begin"/>
      </w:r>
      <w:r>
        <w:rPr>
          <w:noProof/>
        </w:rPr>
        <w:instrText xml:space="preserve"> PAGEREF _Toc479713738 \h </w:instrText>
      </w:r>
      <w:r>
        <w:rPr>
          <w:noProof/>
        </w:rPr>
      </w:r>
      <w:r>
        <w:rPr>
          <w:noProof/>
        </w:rPr>
        <w:fldChar w:fldCharType="separate"/>
      </w:r>
      <w:r w:rsidR="00B35FA3">
        <w:rPr>
          <w:noProof/>
        </w:rPr>
        <w:t>266</w:t>
      </w:r>
      <w:r>
        <w:rPr>
          <w:noProof/>
        </w:rPr>
        <w:fldChar w:fldCharType="end"/>
      </w:r>
    </w:p>
    <w:p w:rsidR="00D944FE" w:rsidRDefault="00D944FE">
      <w:pPr>
        <w:pStyle w:val="Sumrio3"/>
        <w:tabs>
          <w:tab w:val="right" w:leader="dot" w:pos="16260"/>
        </w:tabs>
        <w:rPr>
          <w:rFonts w:asciiTheme="minorHAnsi" w:eastAsiaTheme="minorEastAsia" w:hAnsiTheme="minorHAnsi"/>
          <w:iCs w:val="0"/>
          <w:noProof/>
          <w:sz w:val="22"/>
          <w:szCs w:val="22"/>
          <w:lang w:eastAsia="pt-BR"/>
        </w:rPr>
      </w:pPr>
      <w:r>
        <w:rPr>
          <w:noProof/>
        </w:rPr>
        <w:t>Bloco N: Cálculo do IRPJ e da CSLL – Lucro Real</w:t>
      </w:r>
      <w:r>
        <w:rPr>
          <w:noProof/>
        </w:rPr>
        <w:tab/>
      </w:r>
      <w:r>
        <w:rPr>
          <w:noProof/>
        </w:rPr>
        <w:fldChar w:fldCharType="begin"/>
      </w:r>
      <w:r>
        <w:rPr>
          <w:noProof/>
        </w:rPr>
        <w:instrText xml:space="preserve"> PAGEREF _Toc479713739 \h </w:instrText>
      </w:r>
      <w:r>
        <w:rPr>
          <w:noProof/>
        </w:rPr>
      </w:r>
      <w:r>
        <w:rPr>
          <w:noProof/>
        </w:rPr>
        <w:fldChar w:fldCharType="separate"/>
      </w:r>
      <w:r w:rsidR="00B35FA3">
        <w:rPr>
          <w:noProof/>
        </w:rPr>
        <w:t>267</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N001: Abertura do Bloco N</w:t>
      </w:r>
      <w:r>
        <w:rPr>
          <w:noProof/>
        </w:rPr>
        <w:tab/>
      </w:r>
      <w:r>
        <w:rPr>
          <w:noProof/>
        </w:rPr>
        <w:fldChar w:fldCharType="begin"/>
      </w:r>
      <w:r>
        <w:rPr>
          <w:noProof/>
        </w:rPr>
        <w:instrText xml:space="preserve"> PAGEREF _Toc479713740 \h </w:instrText>
      </w:r>
      <w:r>
        <w:rPr>
          <w:noProof/>
        </w:rPr>
      </w:r>
      <w:r>
        <w:rPr>
          <w:noProof/>
        </w:rPr>
        <w:fldChar w:fldCharType="separate"/>
      </w:r>
      <w:r w:rsidR="00B35FA3">
        <w:rPr>
          <w:noProof/>
        </w:rPr>
        <w:t>267</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N030: Identificação dos Períodos e Formas de Apuração do IRPJ e da CSLL das Empresas Tributadas pelo Lucro Real</w:t>
      </w:r>
      <w:r>
        <w:rPr>
          <w:noProof/>
        </w:rPr>
        <w:tab/>
      </w:r>
      <w:r>
        <w:rPr>
          <w:noProof/>
        </w:rPr>
        <w:fldChar w:fldCharType="begin"/>
      </w:r>
      <w:r>
        <w:rPr>
          <w:noProof/>
        </w:rPr>
        <w:instrText xml:space="preserve"> PAGEREF _Toc479713741 \h </w:instrText>
      </w:r>
      <w:r>
        <w:rPr>
          <w:noProof/>
        </w:rPr>
      </w:r>
      <w:r>
        <w:rPr>
          <w:noProof/>
        </w:rPr>
        <w:fldChar w:fldCharType="separate"/>
      </w:r>
      <w:r w:rsidR="00B35FA3">
        <w:rPr>
          <w:noProof/>
        </w:rPr>
        <w:t>268</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N500: Base de Cálculo do IRPJ Sobre o Lucro Real Após as Compensações de Prejuízos</w:t>
      </w:r>
      <w:r>
        <w:rPr>
          <w:noProof/>
        </w:rPr>
        <w:tab/>
      </w:r>
      <w:r>
        <w:rPr>
          <w:noProof/>
        </w:rPr>
        <w:fldChar w:fldCharType="begin"/>
      </w:r>
      <w:r>
        <w:rPr>
          <w:noProof/>
        </w:rPr>
        <w:instrText xml:space="preserve"> PAGEREF _Toc479713742 \h </w:instrText>
      </w:r>
      <w:r>
        <w:rPr>
          <w:noProof/>
        </w:rPr>
      </w:r>
      <w:r>
        <w:rPr>
          <w:noProof/>
        </w:rPr>
        <w:fldChar w:fldCharType="separate"/>
      </w:r>
      <w:r w:rsidR="00B35FA3">
        <w:rPr>
          <w:noProof/>
        </w:rPr>
        <w:t>271</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N600: Demonstração do Lucro da Exploração</w:t>
      </w:r>
      <w:r>
        <w:rPr>
          <w:noProof/>
        </w:rPr>
        <w:tab/>
      </w:r>
      <w:r>
        <w:rPr>
          <w:noProof/>
        </w:rPr>
        <w:fldChar w:fldCharType="begin"/>
      </w:r>
      <w:r>
        <w:rPr>
          <w:noProof/>
        </w:rPr>
        <w:instrText xml:space="preserve"> PAGEREF _Toc479713743 \h </w:instrText>
      </w:r>
      <w:r>
        <w:rPr>
          <w:noProof/>
        </w:rPr>
      </w:r>
      <w:r>
        <w:rPr>
          <w:noProof/>
        </w:rPr>
        <w:fldChar w:fldCharType="separate"/>
      </w:r>
      <w:r w:rsidR="00B35FA3">
        <w:rPr>
          <w:noProof/>
        </w:rPr>
        <w:t>273</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N610: Cálculo da Isenção e Redução do Imposto Sobre o Lucro Real</w:t>
      </w:r>
      <w:r>
        <w:rPr>
          <w:noProof/>
        </w:rPr>
        <w:tab/>
      </w:r>
      <w:r>
        <w:rPr>
          <w:noProof/>
        </w:rPr>
        <w:fldChar w:fldCharType="begin"/>
      </w:r>
      <w:r>
        <w:rPr>
          <w:noProof/>
        </w:rPr>
        <w:instrText xml:space="preserve"> PAGEREF _Toc479713744 \h </w:instrText>
      </w:r>
      <w:r>
        <w:rPr>
          <w:noProof/>
        </w:rPr>
      </w:r>
      <w:r>
        <w:rPr>
          <w:noProof/>
        </w:rPr>
        <w:fldChar w:fldCharType="separate"/>
      </w:r>
      <w:r w:rsidR="00B35FA3">
        <w:rPr>
          <w:noProof/>
        </w:rPr>
        <w:t>276</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N615: Informações da Base de Cálculo dos Incentivos Fiscais</w:t>
      </w:r>
      <w:r>
        <w:rPr>
          <w:noProof/>
        </w:rPr>
        <w:tab/>
      </w:r>
      <w:r>
        <w:rPr>
          <w:noProof/>
        </w:rPr>
        <w:fldChar w:fldCharType="begin"/>
      </w:r>
      <w:r>
        <w:rPr>
          <w:noProof/>
        </w:rPr>
        <w:instrText xml:space="preserve"> PAGEREF _Toc479713745 \h </w:instrText>
      </w:r>
      <w:r>
        <w:rPr>
          <w:noProof/>
        </w:rPr>
      </w:r>
      <w:r>
        <w:rPr>
          <w:noProof/>
        </w:rPr>
        <w:fldChar w:fldCharType="separate"/>
      </w:r>
      <w:r w:rsidR="00B35FA3">
        <w:rPr>
          <w:noProof/>
        </w:rPr>
        <w:t>280</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N620: Apuração do IRPJ Mensal por Estimativa</w:t>
      </w:r>
      <w:r>
        <w:rPr>
          <w:noProof/>
        </w:rPr>
        <w:tab/>
      </w:r>
      <w:r>
        <w:rPr>
          <w:noProof/>
        </w:rPr>
        <w:fldChar w:fldCharType="begin"/>
      </w:r>
      <w:r>
        <w:rPr>
          <w:noProof/>
        </w:rPr>
        <w:instrText xml:space="preserve"> PAGEREF _Toc479713746 \h </w:instrText>
      </w:r>
      <w:r>
        <w:rPr>
          <w:noProof/>
        </w:rPr>
      </w:r>
      <w:r>
        <w:rPr>
          <w:noProof/>
        </w:rPr>
        <w:fldChar w:fldCharType="separate"/>
      </w:r>
      <w:r w:rsidR="00B35FA3">
        <w:rPr>
          <w:noProof/>
        </w:rPr>
        <w:t>285</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N630: Apuração do IRPJ Com Base no Lucro Real</w:t>
      </w:r>
      <w:r>
        <w:rPr>
          <w:noProof/>
        </w:rPr>
        <w:tab/>
      </w:r>
      <w:r>
        <w:rPr>
          <w:noProof/>
        </w:rPr>
        <w:fldChar w:fldCharType="begin"/>
      </w:r>
      <w:r>
        <w:rPr>
          <w:noProof/>
        </w:rPr>
        <w:instrText xml:space="preserve"> PAGEREF _Toc479713747 \h </w:instrText>
      </w:r>
      <w:r>
        <w:rPr>
          <w:noProof/>
        </w:rPr>
      </w:r>
      <w:r>
        <w:rPr>
          <w:noProof/>
        </w:rPr>
        <w:fldChar w:fldCharType="separate"/>
      </w:r>
      <w:r w:rsidR="00B35FA3">
        <w:rPr>
          <w:noProof/>
        </w:rPr>
        <w:t>287</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N650: Base de Cálculo da CSLL Após as Compensações da Base de Cálculo Negativa</w:t>
      </w:r>
      <w:r>
        <w:rPr>
          <w:noProof/>
        </w:rPr>
        <w:tab/>
      </w:r>
      <w:r>
        <w:rPr>
          <w:noProof/>
        </w:rPr>
        <w:fldChar w:fldCharType="begin"/>
      </w:r>
      <w:r>
        <w:rPr>
          <w:noProof/>
        </w:rPr>
        <w:instrText xml:space="preserve"> PAGEREF _Toc479713748 \h </w:instrText>
      </w:r>
      <w:r>
        <w:rPr>
          <w:noProof/>
        </w:rPr>
      </w:r>
      <w:r>
        <w:rPr>
          <w:noProof/>
        </w:rPr>
        <w:fldChar w:fldCharType="separate"/>
      </w:r>
      <w:r w:rsidR="00B35FA3">
        <w:rPr>
          <w:noProof/>
        </w:rPr>
        <w:t>289</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N660: Apuração da CSLL Mensal por Estimativa</w:t>
      </w:r>
      <w:r>
        <w:rPr>
          <w:noProof/>
        </w:rPr>
        <w:tab/>
      </w:r>
      <w:r>
        <w:rPr>
          <w:noProof/>
        </w:rPr>
        <w:fldChar w:fldCharType="begin"/>
      </w:r>
      <w:r>
        <w:rPr>
          <w:noProof/>
        </w:rPr>
        <w:instrText xml:space="preserve"> PAGEREF _Toc479713749 \h </w:instrText>
      </w:r>
      <w:r>
        <w:rPr>
          <w:noProof/>
        </w:rPr>
      </w:r>
      <w:r>
        <w:rPr>
          <w:noProof/>
        </w:rPr>
        <w:fldChar w:fldCharType="separate"/>
      </w:r>
      <w:r w:rsidR="00B35FA3">
        <w:rPr>
          <w:noProof/>
        </w:rPr>
        <w:t>291</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N670: Apuração da CSLL Com Base no Lucro Real</w:t>
      </w:r>
      <w:r>
        <w:rPr>
          <w:noProof/>
        </w:rPr>
        <w:tab/>
      </w:r>
      <w:r>
        <w:rPr>
          <w:noProof/>
        </w:rPr>
        <w:fldChar w:fldCharType="begin"/>
      </w:r>
      <w:r>
        <w:rPr>
          <w:noProof/>
        </w:rPr>
        <w:instrText xml:space="preserve"> PAGEREF _Toc479713750 \h </w:instrText>
      </w:r>
      <w:r>
        <w:rPr>
          <w:noProof/>
        </w:rPr>
      </w:r>
      <w:r>
        <w:rPr>
          <w:noProof/>
        </w:rPr>
        <w:fldChar w:fldCharType="separate"/>
      </w:r>
      <w:r w:rsidR="00B35FA3">
        <w:rPr>
          <w:noProof/>
        </w:rPr>
        <w:t>295</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N990: Encerramento do Bloco N</w:t>
      </w:r>
      <w:r>
        <w:rPr>
          <w:noProof/>
        </w:rPr>
        <w:tab/>
      </w:r>
      <w:r>
        <w:rPr>
          <w:noProof/>
        </w:rPr>
        <w:fldChar w:fldCharType="begin"/>
      </w:r>
      <w:r>
        <w:rPr>
          <w:noProof/>
        </w:rPr>
        <w:instrText xml:space="preserve"> PAGEREF _Toc479713751 \h </w:instrText>
      </w:r>
      <w:r>
        <w:rPr>
          <w:noProof/>
        </w:rPr>
      </w:r>
      <w:r>
        <w:rPr>
          <w:noProof/>
        </w:rPr>
        <w:fldChar w:fldCharType="separate"/>
      </w:r>
      <w:r w:rsidR="00B35FA3">
        <w:rPr>
          <w:noProof/>
        </w:rPr>
        <w:t>297</w:t>
      </w:r>
      <w:r>
        <w:rPr>
          <w:noProof/>
        </w:rPr>
        <w:fldChar w:fldCharType="end"/>
      </w:r>
    </w:p>
    <w:p w:rsidR="00D944FE" w:rsidRDefault="00D944FE">
      <w:pPr>
        <w:pStyle w:val="Sumrio3"/>
        <w:tabs>
          <w:tab w:val="right" w:leader="dot" w:pos="16260"/>
        </w:tabs>
        <w:rPr>
          <w:rFonts w:asciiTheme="minorHAnsi" w:eastAsiaTheme="minorEastAsia" w:hAnsiTheme="minorHAnsi"/>
          <w:iCs w:val="0"/>
          <w:noProof/>
          <w:sz w:val="22"/>
          <w:szCs w:val="22"/>
          <w:lang w:eastAsia="pt-BR"/>
        </w:rPr>
      </w:pPr>
      <w:r>
        <w:rPr>
          <w:noProof/>
        </w:rPr>
        <w:t>Bloco P: Lucro Presumido</w:t>
      </w:r>
      <w:r>
        <w:rPr>
          <w:noProof/>
        </w:rPr>
        <w:tab/>
      </w:r>
      <w:r>
        <w:rPr>
          <w:noProof/>
        </w:rPr>
        <w:fldChar w:fldCharType="begin"/>
      </w:r>
      <w:r>
        <w:rPr>
          <w:noProof/>
        </w:rPr>
        <w:instrText xml:space="preserve"> PAGEREF _Toc479713752 \h </w:instrText>
      </w:r>
      <w:r>
        <w:rPr>
          <w:noProof/>
        </w:rPr>
      </w:r>
      <w:r>
        <w:rPr>
          <w:noProof/>
        </w:rPr>
        <w:fldChar w:fldCharType="separate"/>
      </w:r>
      <w:r w:rsidR="00B35FA3">
        <w:rPr>
          <w:noProof/>
        </w:rPr>
        <w:t>298</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P001: Abertura do Bloco P</w:t>
      </w:r>
      <w:r>
        <w:rPr>
          <w:noProof/>
        </w:rPr>
        <w:tab/>
      </w:r>
      <w:r>
        <w:rPr>
          <w:noProof/>
        </w:rPr>
        <w:fldChar w:fldCharType="begin"/>
      </w:r>
      <w:r>
        <w:rPr>
          <w:noProof/>
        </w:rPr>
        <w:instrText xml:space="preserve"> PAGEREF _Toc479713753 \h </w:instrText>
      </w:r>
      <w:r>
        <w:rPr>
          <w:noProof/>
        </w:rPr>
      </w:r>
      <w:r>
        <w:rPr>
          <w:noProof/>
        </w:rPr>
        <w:fldChar w:fldCharType="separate"/>
      </w:r>
      <w:r w:rsidR="00B35FA3">
        <w:rPr>
          <w:noProof/>
        </w:rPr>
        <w:t>310</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P030: Identificação dos Períodos e Formas de Apuração do IRPJ e da CSLL das Empresas Tributadas pelo Lucro Presumido</w:t>
      </w:r>
      <w:r>
        <w:rPr>
          <w:noProof/>
        </w:rPr>
        <w:tab/>
      </w:r>
      <w:r>
        <w:rPr>
          <w:noProof/>
        </w:rPr>
        <w:fldChar w:fldCharType="begin"/>
      </w:r>
      <w:r>
        <w:rPr>
          <w:noProof/>
        </w:rPr>
        <w:instrText xml:space="preserve"> PAGEREF _Toc479713754 \h </w:instrText>
      </w:r>
      <w:r>
        <w:rPr>
          <w:noProof/>
        </w:rPr>
      </w:r>
      <w:r>
        <w:rPr>
          <w:noProof/>
        </w:rPr>
        <w:fldChar w:fldCharType="separate"/>
      </w:r>
      <w:r w:rsidR="00B35FA3">
        <w:rPr>
          <w:noProof/>
        </w:rPr>
        <w:t>311</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P100: Balanço Patrimonial</w:t>
      </w:r>
      <w:r>
        <w:rPr>
          <w:noProof/>
        </w:rPr>
        <w:tab/>
      </w:r>
      <w:r>
        <w:rPr>
          <w:noProof/>
        </w:rPr>
        <w:fldChar w:fldCharType="begin"/>
      </w:r>
      <w:r>
        <w:rPr>
          <w:noProof/>
        </w:rPr>
        <w:instrText xml:space="preserve"> PAGEREF _Toc479713755 \h </w:instrText>
      </w:r>
      <w:r>
        <w:rPr>
          <w:noProof/>
        </w:rPr>
      </w:r>
      <w:r>
        <w:rPr>
          <w:noProof/>
        </w:rPr>
        <w:fldChar w:fldCharType="separate"/>
      </w:r>
      <w:r w:rsidR="00B35FA3">
        <w:rPr>
          <w:noProof/>
        </w:rPr>
        <w:t>313</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P130: Demonstração das Receitas Incentivadas do Lucro Presumido</w:t>
      </w:r>
      <w:r>
        <w:rPr>
          <w:noProof/>
        </w:rPr>
        <w:tab/>
      </w:r>
      <w:r>
        <w:rPr>
          <w:noProof/>
        </w:rPr>
        <w:fldChar w:fldCharType="begin"/>
      </w:r>
      <w:r>
        <w:rPr>
          <w:noProof/>
        </w:rPr>
        <w:instrText xml:space="preserve"> PAGEREF _Toc479713756 \h </w:instrText>
      </w:r>
      <w:r>
        <w:rPr>
          <w:noProof/>
        </w:rPr>
      </w:r>
      <w:r>
        <w:rPr>
          <w:noProof/>
        </w:rPr>
        <w:fldChar w:fldCharType="separate"/>
      </w:r>
      <w:r w:rsidR="00B35FA3">
        <w:rPr>
          <w:noProof/>
        </w:rPr>
        <w:t>316</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P150: Demonstrativo do Resultado Líquido no Período Fiscal</w:t>
      </w:r>
      <w:r>
        <w:rPr>
          <w:noProof/>
        </w:rPr>
        <w:tab/>
      </w:r>
      <w:r>
        <w:rPr>
          <w:noProof/>
        </w:rPr>
        <w:fldChar w:fldCharType="begin"/>
      </w:r>
      <w:r>
        <w:rPr>
          <w:noProof/>
        </w:rPr>
        <w:instrText xml:space="preserve"> PAGEREF _Toc479713757 \h </w:instrText>
      </w:r>
      <w:r>
        <w:rPr>
          <w:noProof/>
        </w:rPr>
      </w:r>
      <w:r>
        <w:rPr>
          <w:noProof/>
        </w:rPr>
        <w:fldChar w:fldCharType="separate"/>
      </w:r>
      <w:r w:rsidR="00B35FA3">
        <w:rPr>
          <w:noProof/>
        </w:rPr>
        <w:t>319</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P200: Apuração da Base de Cálculo do IRPJ com Base no Lucro Presumido</w:t>
      </w:r>
      <w:r>
        <w:rPr>
          <w:noProof/>
        </w:rPr>
        <w:tab/>
      </w:r>
      <w:r>
        <w:rPr>
          <w:noProof/>
        </w:rPr>
        <w:fldChar w:fldCharType="begin"/>
      </w:r>
      <w:r>
        <w:rPr>
          <w:noProof/>
        </w:rPr>
        <w:instrText xml:space="preserve"> PAGEREF _Toc479713758 \h </w:instrText>
      </w:r>
      <w:r>
        <w:rPr>
          <w:noProof/>
        </w:rPr>
      </w:r>
      <w:r>
        <w:rPr>
          <w:noProof/>
        </w:rPr>
        <w:fldChar w:fldCharType="separate"/>
      </w:r>
      <w:r w:rsidR="00B35FA3">
        <w:rPr>
          <w:noProof/>
        </w:rPr>
        <w:t>322</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P230: Cálculo da Isenção e Redução do Lucro Presumido</w:t>
      </w:r>
      <w:r>
        <w:rPr>
          <w:noProof/>
        </w:rPr>
        <w:tab/>
      </w:r>
      <w:r>
        <w:rPr>
          <w:noProof/>
        </w:rPr>
        <w:fldChar w:fldCharType="begin"/>
      </w:r>
      <w:r>
        <w:rPr>
          <w:noProof/>
        </w:rPr>
        <w:instrText xml:space="preserve"> PAGEREF _Toc479713759 \h </w:instrText>
      </w:r>
      <w:r>
        <w:rPr>
          <w:noProof/>
        </w:rPr>
      </w:r>
      <w:r>
        <w:rPr>
          <w:noProof/>
        </w:rPr>
        <w:fldChar w:fldCharType="separate"/>
      </w:r>
      <w:r w:rsidR="00B35FA3">
        <w:rPr>
          <w:noProof/>
        </w:rPr>
        <w:t>324</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P300: Cálculo do IRPJ com Base no Lucro Presumido</w:t>
      </w:r>
      <w:r>
        <w:rPr>
          <w:noProof/>
        </w:rPr>
        <w:tab/>
      </w:r>
      <w:r>
        <w:rPr>
          <w:noProof/>
        </w:rPr>
        <w:fldChar w:fldCharType="begin"/>
      </w:r>
      <w:r>
        <w:rPr>
          <w:noProof/>
        </w:rPr>
        <w:instrText xml:space="preserve"> PAGEREF _Toc479713760 \h </w:instrText>
      </w:r>
      <w:r>
        <w:rPr>
          <w:noProof/>
        </w:rPr>
      </w:r>
      <w:r>
        <w:rPr>
          <w:noProof/>
        </w:rPr>
        <w:fldChar w:fldCharType="separate"/>
      </w:r>
      <w:r w:rsidR="00B35FA3">
        <w:rPr>
          <w:noProof/>
        </w:rPr>
        <w:t>326</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P400: Apuração da Base de Cálculo da CSLL com Base no Lucro Presumido</w:t>
      </w:r>
      <w:r>
        <w:rPr>
          <w:noProof/>
        </w:rPr>
        <w:tab/>
      </w:r>
      <w:r>
        <w:rPr>
          <w:noProof/>
        </w:rPr>
        <w:fldChar w:fldCharType="begin"/>
      </w:r>
      <w:r>
        <w:rPr>
          <w:noProof/>
        </w:rPr>
        <w:instrText xml:space="preserve"> PAGEREF _Toc479713761 \h </w:instrText>
      </w:r>
      <w:r>
        <w:rPr>
          <w:noProof/>
        </w:rPr>
      </w:r>
      <w:r>
        <w:rPr>
          <w:noProof/>
        </w:rPr>
        <w:fldChar w:fldCharType="separate"/>
      </w:r>
      <w:r w:rsidR="00B35FA3">
        <w:rPr>
          <w:noProof/>
        </w:rPr>
        <w:t>328</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P500: Cálculo da CSLL com Base no Lucro Presumido</w:t>
      </w:r>
      <w:r>
        <w:rPr>
          <w:noProof/>
        </w:rPr>
        <w:tab/>
      </w:r>
      <w:r>
        <w:rPr>
          <w:noProof/>
        </w:rPr>
        <w:fldChar w:fldCharType="begin"/>
      </w:r>
      <w:r>
        <w:rPr>
          <w:noProof/>
        </w:rPr>
        <w:instrText xml:space="preserve"> PAGEREF _Toc479713762 \h </w:instrText>
      </w:r>
      <w:r>
        <w:rPr>
          <w:noProof/>
        </w:rPr>
      </w:r>
      <w:r>
        <w:rPr>
          <w:noProof/>
        </w:rPr>
        <w:fldChar w:fldCharType="separate"/>
      </w:r>
      <w:r w:rsidR="00B35FA3">
        <w:rPr>
          <w:noProof/>
        </w:rPr>
        <w:t>330</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P990: Encerramento do Bloco P</w:t>
      </w:r>
      <w:r>
        <w:rPr>
          <w:noProof/>
        </w:rPr>
        <w:tab/>
      </w:r>
      <w:r>
        <w:rPr>
          <w:noProof/>
        </w:rPr>
        <w:fldChar w:fldCharType="begin"/>
      </w:r>
      <w:r>
        <w:rPr>
          <w:noProof/>
        </w:rPr>
        <w:instrText xml:space="preserve"> PAGEREF _Toc479713763 \h </w:instrText>
      </w:r>
      <w:r>
        <w:rPr>
          <w:noProof/>
        </w:rPr>
      </w:r>
      <w:r>
        <w:rPr>
          <w:noProof/>
        </w:rPr>
        <w:fldChar w:fldCharType="separate"/>
      </w:r>
      <w:r w:rsidR="00B35FA3">
        <w:rPr>
          <w:noProof/>
        </w:rPr>
        <w:t>332</w:t>
      </w:r>
      <w:r>
        <w:rPr>
          <w:noProof/>
        </w:rPr>
        <w:fldChar w:fldCharType="end"/>
      </w:r>
    </w:p>
    <w:p w:rsidR="00D944FE" w:rsidRDefault="00D944FE">
      <w:pPr>
        <w:pStyle w:val="Sumrio3"/>
        <w:tabs>
          <w:tab w:val="right" w:leader="dot" w:pos="16260"/>
        </w:tabs>
        <w:rPr>
          <w:rFonts w:asciiTheme="minorHAnsi" w:eastAsiaTheme="minorEastAsia" w:hAnsiTheme="minorHAnsi"/>
          <w:iCs w:val="0"/>
          <w:noProof/>
          <w:sz w:val="22"/>
          <w:szCs w:val="22"/>
          <w:lang w:eastAsia="pt-BR"/>
        </w:rPr>
      </w:pPr>
      <w:r>
        <w:rPr>
          <w:noProof/>
        </w:rPr>
        <w:lastRenderedPageBreak/>
        <w:t>Bloco Q: Livro Caixa</w:t>
      </w:r>
      <w:r>
        <w:rPr>
          <w:noProof/>
        </w:rPr>
        <w:tab/>
      </w:r>
      <w:r>
        <w:rPr>
          <w:noProof/>
        </w:rPr>
        <w:fldChar w:fldCharType="begin"/>
      </w:r>
      <w:r>
        <w:rPr>
          <w:noProof/>
        </w:rPr>
        <w:instrText xml:space="preserve"> PAGEREF _Toc479713764 \h </w:instrText>
      </w:r>
      <w:r>
        <w:rPr>
          <w:noProof/>
        </w:rPr>
      </w:r>
      <w:r>
        <w:rPr>
          <w:noProof/>
        </w:rPr>
        <w:fldChar w:fldCharType="separate"/>
      </w:r>
      <w:r w:rsidR="00B35FA3">
        <w:rPr>
          <w:noProof/>
        </w:rPr>
        <w:t>333</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Q001: Abertura do Bloco Q</w:t>
      </w:r>
      <w:r>
        <w:rPr>
          <w:noProof/>
        </w:rPr>
        <w:tab/>
      </w:r>
      <w:r>
        <w:rPr>
          <w:noProof/>
        </w:rPr>
        <w:fldChar w:fldCharType="begin"/>
      </w:r>
      <w:r>
        <w:rPr>
          <w:noProof/>
        </w:rPr>
        <w:instrText xml:space="preserve"> PAGEREF _Toc479713765 \h </w:instrText>
      </w:r>
      <w:r>
        <w:rPr>
          <w:noProof/>
        </w:rPr>
      </w:r>
      <w:r>
        <w:rPr>
          <w:noProof/>
        </w:rPr>
        <w:fldChar w:fldCharType="separate"/>
      </w:r>
      <w:r w:rsidR="00B35FA3">
        <w:rPr>
          <w:noProof/>
        </w:rPr>
        <w:t>333</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Q100: Demonstrativo do Livro Caixa (FACULTATIVO PARA O ANO-CALENDÁRIO 2015/OBRIGATÓRIO A PARTIR DO ANO-CALENDÁRIO 2016)</w:t>
      </w:r>
      <w:r>
        <w:rPr>
          <w:noProof/>
        </w:rPr>
        <w:tab/>
      </w:r>
      <w:r>
        <w:rPr>
          <w:noProof/>
        </w:rPr>
        <w:fldChar w:fldCharType="begin"/>
      </w:r>
      <w:r>
        <w:rPr>
          <w:noProof/>
        </w:rPr>
        <w:instrText xml:space="preserve"> PAGEREF _Toc479713766 \h </w:instrText>
      </w:r>
      <w:r>
        <w:rPr>
          <w:noProof/>
        </w:rPr>
      </w:r>
      <w:r>
        <w:rPr>
          <w:noProof/>
        </w:rPr>
        <w:fldChar w:fldCharType="separate"/>
      </w:r>
      <w:r w:rsidR="00B35FA3">
        <w:rPr>
          <w:noProof/>
        </w:rPr>
        <w:t>334</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Q990: Encerramento do Bloco Q</w:t>
      </w:r>
      <w:r>
        <w:rPr>
          <w:noProof/>
        </w:rPr>
        <w:tab/>
      </w:r>
      <w:r>
        <w:rPr>
          <w:noProof/>
        </w:rPr>
        <w:fldChar w:fldCharType="begin"/>
      </w:r>
      <w:r>
        <w:rPr>
          <w:noProof/>
        </w:rPr>
        <w:instrText xml:space="preserve"> PAGEREF _Toc479713767 \h </w:instrText>
      </w:r>
      <w:r>
        <w:rPr>
          <w:noProof/>
        </w:rPr>
      </w:r>
      <w:r>
        <w:rPr>
          <w:noProof/>
        </w:rPr>
        <w:fldChar w:fldCharType="separate"/>
      </w:r>
      <w:r w:rsidR="00B35FA3">
        <w:rPr>
          <w:noProof/>
        </w:rPr>
        <w:t>336</w:t>
      </w:r>
      <w:r>
        <w:rPr>
          <w:noProof/>
        </w:rPr>
        <w:fldChar w:fldCharType="end"/>
      </w:r>
    </w:p>
    <w:p w:rsidR="00D944FE" w:rsidRDefault="00D944FE">
      <w:pPr>
        <w:pStyle w:val="Sumrio3"/>
        <w:tabs>
          <w:tab w:val="right" w:leader="dot" w:pos="16260"/>
        </w:tabs>
        <w:rPr>
          <w:rFonts w:asciiTheme="minorHAnsi" w:eastAsiaTheme="minorEastAsia" w:hAnsiTheme="minorHAnsi"/>
          <w:iCs w:val="0"/>
          <w:noProof/>
          <w:sz w:val="22"/>
          <w:szCs w:val="22"/>
          <w:lang w:eastAsia="pt-BR"/>
        </w:rPr>
      </w:pPr>
      <w:r>
        <w:rPr>
          <w:noProof/>
        </w:rPr>
        <w:t>Bloco T: Lucro Arbitrado</w:t>
      </w:r>
      <w:r>
        <w:rPr>
          <w:noProof/>
        </w:rPr>
        <w:tab/>
      </w:r>
      <w:r>
        <w:rPr>
          <w:noProof/>
        </w:rPr>
        <w:fldChar w:fldCharType="begin"/>
      </w:r>
      <w:r>
        <w:rPr>
          <w:noProof/>
        </w:rPr>
        <w:instrText xml:space="preserve"> PAGEREF _Toc479713768 \h </w:instrText>
      </w:r>
      <w:r>
        <w:rPr>
          <w:noProof/>
        </w:rPr>
      </w:r>
      <w:r>
        <w:rPr>
          <w:noProof/>
        </w:rPr>
        <w:fldChar w:fldCharType="separate"/>
      </w:r>
      <w:r w:rsidR="00B35FA3">
        <w:rPr>
          <w:noProof/>
        </w:rPr>
        <w:t>337</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T001: Abertura do Bloco T</w:t>
      </w:r>
      <w:r>
        <w:rPr>
          <w:noProof/>
        </w:rPr>
        <w:tab/>
      </w:r>
      <w:r>
        <w:rPr>
          <w:noProof/>
        </w:rPr>
        <w:fldChar w:fldCharType="begin"/>
      </w:r>
      <w:r>
        <w:rPr>
          <w:noProof/>
        </w:rPr>
        <w:instrText xml:space="preserve"> PAGEREF _Toc479713769 \h </w:instrText>
      </w:r>
      <w:r>
        <w:rPr>
          <w:noProof/>
        </w:rPr>
      </w:r>
      <w:r>
        <w:rPr>
          <w:noProof/>
        </w:rPr>
        <w:fldChar w:fldCharType="separate"/>
      </w:r>
      <w:r w:rsidR="00B35FA3">
        <w:rPr>
          <w:noProof/>
        </w:rPr>
        <w:t>346</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T030: Identificação dos Períodos e Formas de Apuração do IRPJ e da CSLL das Empresas Tributadas pelo Lucro Arbitrado</w:t>
      </w:r>
      <w:r>
        <w:rPr>
          <w:noProof/>
        </w:rPr>
        <w:tab/>
      </w:r>
      <w:r>
        <w:rPr>
          <w:noProof/>
        </w:rPr>
        <w:fldChar w:fldCharType="begin"/>
      </w:r>
      <w:r>
        <w:rPr>
          <w:noProof/>
        </w:rPr>
        <w:instrText xml:space="preserve"> PAGEREF _Toc479713770 \h </w:instrText>
      </w:r>
      <w:r>
        <w:rPr>
          <w:noProof/>
        </w:rPr>
      </w:r>
      <w:r>
        <w:rPr>
          <w:noProof/>
        </w:rPr>
        <w:fldChar w:fldCharType="separate"/>
      </w:r>
      <w:r w:rsidR="00B35FA3">
        <w:rPr>
          <w:noProof/>
        </w:rPr>
        <w:t>347</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T120: Apuração da Base de Cálculo do IRPJ com Base no Lucro Arbitrado</w:t>
      </w:r>
      <w:r>
        <w:rPr>
          <w:noProof/>
        </w:rPr>
        <w:tab/>
      </w:r>
      <w:r>
        <w:rPr>
          <w:noProof/>
        </w:rPr>
        <w:fldChar w:fldCharType="begin"/>
      </w:r>
      <w:r>
        <w:rPr>
          <w:noProof/>
        </w:rPr>
        <w:instrText xml:space="preserve"> PAGEREF _Toc479713771 \h </w:instrText>
      </w:r>
      <w:r>
        <w:rPr>
          <w:noProof/>
        </w:rPr>
      </w:r>
      <w:r>
        <w:rPr>
          <w:noProof/>
        </w:rPr>
        <w:fldChar w:fldCharType="separate"/>
      </w:r>
      <w:r w:rsidR="00B35FA3">
        <w:rPr>
          <w:noProof/>
        </w:rPr>
        <w:t>349</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T150: Cálculo do IRPJ com Base no Lucro Arbitrado</w:t>
      </w:r>
      <w:r>
        <w:rPr>
          <w:noProof/>
        </w:rPr>
        <w:tab/>
      </w:r>
      <w:r>
        <w:rPr>
          <w:noProof/>
        </w:rPr>
        <w:fldChar w:fldCharType="begin"/>
      </w:r>
      <w:r>
        <w:rPr>
          <w:noProof/>
        </w:rPr>
        <w:instrText xml:space="preserve"> PAGEREF _Toc479713772 \h </w:instrText>
      </w:r>
      <w:r>
        <w:rPr>
          <w:noProof/>
        </w:rPr>
      </w:r>
      <w:r>
        <w:rPr>
          <w:noProof/>
        </w:rPr>
        <w:fldChar w:fldCharType="separate"/>
      </w:r>
      <w:r w:rsidR="00B35FA3">
        <w:rPr>
          <w:noProof/>
        </w:rPr>
        <w:t>351</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T170: Apuração da Base de Cálculo da CSLL com Base no Lucro Arbitrado</w:t>
      </w:r>
      <w:r>
        <w:rPr>
          <w:noProof/>
        </w:rPr>
        <w:tab/>
      </w:r>
      <w:r>
        <w:rPr>
          <w:noProof/>
        </w:rPr>
        <w:fldChar w:fldCharType="begin"/>
      </w:r>
      <w:r>
        <w:rPr>
          <w:noProof/>
        </w:rPr>
        <w:instrText xml:space="preserve"> PAGEREF _Toc479713773 \h </w:instrText>
      </w:r>
      <w:r>
        <w:rPr>
          <w:noProof/>
        </w:rPr>
      </w:r>
      <w:r>
        <w:rPr>
          <w:noProof/>
        </w:rPr>
        <w:fldChar w:fldCharType="separate"/>
      </w:r>
      <w:r w:rsidR="00B35FA3">
        <w:rPr>
          <w:noProof/>
        </w:rPr>
        <w:t>353</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T181: Cálculo da CSLL com Base no Lucro Arbitrado</w:t>
      </w:r>
      <w:r>
        <w:rPr>
          <w:noProof/>
        </w:rPr>
        <w:tab/>
      </w:r>
      <w:r>
        <w:rPr>
          <w:noProof/>
        </w:rPr>
        <w:fldChar w:fldCharType="begin"/>
      </w:r>
      <w:r>
        <w:rPr>
          <w:noProof/>
        </w:rPr>
        <w:instrText xml:space="preserve"> PAGEREF _Toc479713774 \h </w:instrText>
      </w:r>
      <w:r>
        <w:rPr>
          <w:noProof/>
        </w:rPr>
      </w:r>
      <w:r>
        <w:rPr>
          <w:noProof/>
        </w:rPr>
        <w:fldChar w:fldCharType="separate"/>
      </w:r>
      <w:r w:rsidR="00B35FA3">
        <w:rPr>
          <w:noProof/>
        </w:rPr>
        <w:t>355</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T990: Encerramento do Bloco T</w:t>
      </w:r>
      <w:r>
        <w:rPr>
          <w:noProof/>
        </w:rPr>
        <w:tab/>
      </w:r>
      <w:r>
        <w:rPr>
          <w:noProof/>
        </w:rPr>
        <w:fldChar w:fldCharType="begin"/>
      </w:r>
      <w:r>
        <w:rPr>
          <w:noProof/>
        </w:rPr>
        <w:instrText xml:space="preserve"> PAGEREF _Toc479713775 \h </w:instrText>
      </w:r>
      <w:r>
        <w:rPr>
          <w:noProof/>
        </w:rPr>
      </w:r>
      <w:r>
        <w:rPr>
          <w:noProof/>
        </w:rPr>
        <w:fldChar w:fldCharType="separate"/>
      </w:r>
      <w:r w:rsidR="00B35FA3">
        <w:rPr>
          <w:noProof/>
        </w:rPr>
        <w:t>357</w:t>
      </w:r>
      <w:r>
        <w:rPr>
          <w:noProof/>
        </w:rPr>
        <w:fldChar w:fldCharType="end"/>
      </w:r>
    </w:p>
    <w:p w:rsidR="00D944FE" w:rsidRDefault="00D944FE">
      <w:pPr>
        <w:pStyle w:val="Sumrio3"/>
        <w:tabs>
          <w:tab w:val="right" w:leader="dot" w:pos="16260"/>
        </w:tabs>
        <w:rPr>
          <w:rFonts w:asciiTheme="minorHAnsi" w:eastAsiaTheme="minorEastAsia" w:hAnsiTheme="minorHAnsi"/>
          <w:iCs w:val="0"/>
          <w:noProof/>
          <w:sz w:val="22"/>
          <w:szCs w:val="22"/>
          <w:lang w:eastAsia="pt-BR"/>
        </w:rPr>
      </w:pPr>
      <w:r>
        <w:rPr>
          <w:noProof/>
        </w:rPr>
        <w:t>Bloco U: Imunes e Isentas</w:t>
      </w:r>
      <w:r>
        <w:rPr>
          <w:noProof/>
        </w:rPr>
        <w:tab/>
      </w:r>
      <w:r>
        <w:rPr>
          <w:noProof/>
        </w:rPr>
        <w:fldChar w:fldCharType="begin"/>
      </w:r>
      <w:r>
        <w:rPr>
          <w:noProof/>
        </w:rPr>
        <w:instrText xml:space="preserve"> PAGEREF _Toc479713776 \h </w:instrText>
      </w:r>
      <w:r>
        <w:rPr>
          <w:noProof/>
        </w:rPr>
      </w:r>
      <w:r>
        <w:rPr>
          <w:noProof/>
        </w:rPr>
        <w:fldChar w:fldCharType="separate"/>
      </w:r>
      <w:r w:rsidR="00B35FA3">
        <w:rPr>
          <w:noProof/>
        </w:rPr>
        <w:t>358</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U001: Abertura do Bloco U</w:t>
      </w:r>
      <w:r>
        <w:rPr>
          <w:noProof/>
        </w:rPr>
        <w:tab/>
      </w:r>
      <w:r>
        <w:rPr>
          <w:noProof/>
        </w:rPr>
        <w:fldChar w:fldCharType="begin"/>
      </w:r>
      <w:r>
        <w:rPr>
          <w:noProof/>
        </w:rPr>
        <w:instrText xml:space="preserve"> PAGEREF _Toc479713777 \h </w:instrText>
      </w:r>
      <w:r>
        <w:rPr>
          <w:noProof/>
        </w:rPr>
      </w:r>
      <w:r>
        <w:rPr>
          <w:noProof/>
        </w:rPr>
        <w:fldChar w:fldCharType="separate"/>
      </w:r>
      <w:r w:rsidR="00B35FA3">
        <w:rPr>
          <w:noProof/>
        </w:rPr>
        <w:t>362</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U030: Identificação dos Períodos e Formas de Apuração do IRPJ e da CSLL das Empresas Imunes e Isentas</w:t>
      </w:r>
      <w:r>
        <w:rPr>
          <w:noProof/>
        </w:rPr>
        <w:tab/>
      </w:r>
      <w:r>
        <w:rPr>
          <w:noProof/>
        </w:rPr>
        <w:fldChar w:fldCharType="begin"/>
      </w:r>
      <w:r>
        <w:rPr>
          <w:noProof/>
        </w:rPr>
        <w:instrText xml:space="preserve"> PAGEREF _Toc479713778 \h </w:instrText>
      </w:r>
      <w:r>
        <w:rPr>
          <w:noProof/>
        </w:rPr>
      </w:r>
      <w:r>
        <w:rPr>
          <w:noProof/>
        </w:rPr>
        <w:fldChar w:fldCharType="separate"/>
      </w:r>
      <w:r w:rsidR="00B35FA3">
        <w:rPr>
          <w:noProof/>
        </w:rPr>
        <w:t>363</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U100: Balanço Patrimonial</w:t>
      </w:r>
      <w:r>
        <w:rPr>
          <w:noProof/>
        </w:rPr>
        <w:tab/>
      </w:r>
      <w:r>
        <w:rPr>
          <w:noProof/>
        </w:rPr>
        <w:fldChar w:fldCharType="begin"/>
      </w:r>
      <w:r>
        <w:rPr>
          <w:noProof/>
        </w:rPr>
        <w:instrText xml:space="preserve"> PAGEREF _Toc479713779 \h </w:instrText>
      </w:r>
      <w:r>
        <w:rPr>
          <w:noProof/>
        </w:rPr>
      </w:r>
      <w:r>
        <w:rPr>
          <w:noProof/>
        </w:rPr>
        <w:fldChar w:fldCharType="separate"/>
      </w:r>
      <w:r w:rsidR="00B35FA3">
        <w:rPr>
          <w:noProof/>
        </w:rPr>
        <w:t>365</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U150: Demonstração do Resultado</w:t>
      </w:r>
      <w:r>
        <w:rPr>
          <w:noProof/>
        </w:rPr>
        <w:tab/>
      </w:r>
      <w:r>
        <w:rPr>
          <w:noProof/>
        </w:rPr>
        <w:fldChar w:fldCharType="begin"/>
      </w:r>
      <w:r>
        <w:rPr>
          <w:noProof/>
        </w:rPr>
        <w:instrText xml:space="preserve"> PAGEREF _Toc479713780 \h </w:instrText>
      </w:r>
      <w:r>
        <w:rPr>
          <w:noProof/>
        </w:rPr>
      </w:r>
      <w:r>
        <w:rPr>
          <w:noProof/>
        </w:rPr>
        <w:fldChar w:fldCharType="separate"/>
      </w:r>
      <w:r w:rsidR="00B35FA3">
        <w:rPr>
          <w:noProof/>
        </w:rPr>
        <w:t>369</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U180: Cálculo do IRPJ das Empresas Imunes e Isentas</w:t>
      </w:r>
      <w:r>
        <w:rPr>
          <w:noProof/>
        </w:rPr>
        <w:tab/>
      </w:r>
      <w:r>
        <w:rPr>
          <w:noProof/>
        </w:rPr>
        <w:fldChar w:fldCharType="begin"/>
      </w:r>
      <w:r>
        <w:rPr>
          <w:noProof/>
        </w:rPr>
        <w:instrText xml:space="preserve"> PAGEREF _Toc479713781 \h </w:instrText>
      </w:r>
      <w:r>
        <w:rPr>
          <w:noProof/>
        </w:rPr>
      </w:r>
      <w:r>
        <w:rPr>
          <w:noProof/>
        </w:rPr>
        <w:fldChar w:fldCharType="separate"/>
      </w:r>
      <w:r w:rsidR="00B35FA3">
        <w:rPr>
          <w:noProof/>
        </w:rPr>
        <w:t>372</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U182: Cálculo da Contribuição Social sobre o Lucro Líquido (CSLL) das Empresas Imunes e Isentas</w:t>
      </w:r>
      <w:r>
        <w:rPr>
          <w:noProof/>
        </w:rPr>
        <w:tab/>
      </w:r>
      <w:r>
        <w:rPr>
          <w:noProof/>
        </w:rPr>
        <w:fldChar w:fldCharType="begin"/>
      </w:r>
      <w:r>
        <w:rPr>
          <w:noProof/>
        </w:rPr>
        <w:instrText xml:space="preserve"> PAGEREF _Toc479713782 \h </w:instrText>
      </w:r>
      <w:r>
        <w:rPr>
          <w:noProof/>
        </w:rPr>
      </w:r>
      <w:r>
        <w:rPr>
          <w:noProof/>
        </w:rPr>
        <w:fldChar w:fldCharType="separate"/>
      </w:r>
      <w:r w:rsidR="00B35FA3">
        <w:rPr>
          <w:noProof/>
        </w:rPr>
        <w:t>374</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U990: Encerramento do Bloco U</w:t>
      </w:r>
      <w:r>
        <w:rPr>
          <w:noProof/>
        </w:rPr>
        <w:tab/>
      </w:r>
      <w:r>
        <w:rPr>
          <w:noProof/>
        </w:rPr>
        <w:fldChar w:fldCharType="begin"/>
      </w:r>
      <w:r>
        <w:rPr>
          <w:noProof/>
        </w:rPr>
        <w:instrText xml:space="preserve"> PAGEREF _Toc479713783 \h </w:instrText>
      </w:r>
      <w:r>
        <w:rPr>
          <w:noProof/>
        </w:rPr>
      </w:r>
      <w:r>
        <w:rPr>
          <w:noProof/>
        </w:rPr>
        <w:fldChar w:fldCharType="separate"/>
      </w:r>
      <w:r w:rsidR="00B35FA3">
        <w:rPr>
          <w:noProof/>
        </w:rPr>
        <w:t>376</w:t>
      </w:r>
      <w:r>
        <w:rPr>
          <w:noProof/>
        </w:rPr>
        <w:fldChar w:fldCharType="end"/>
      </w:r>
    </w:p>
    <w:p w:rsidR="00D944FE" w:rsidRPr="00D944FE" w:rsidRDefault="00D944FE">
      <w:pPr>
        <w:pStyle w:val="Sumrio3"/>
        <w:tabs>
          <w:tab w:val="right" w:leader="dot" w:pos="16260"/>
        </w:tabs>
        <w:rPr>
          <w:rFonts w:asciiTheme="minorHAnsi" w:eastAsiaTheme="minorEastAsia" w:hAnsiTheme="minorHAnsi"/>
          <w:iCs w:val="0"/>
          <w:noProof/>
          <w:sz w:val="22"/>
          <w:szCs w:val="22"/>
          <w:lang w:val="en-US" w:eastAsia="pt-BR"/>
        </w:rPr>
      </w:pPr>
      <w:r w:rsidRPr="001D0DC0">
        <w:rPr>
          <w:noProof/>
          <w:lang w:val="en-US"/>
        </w:rPr>
        <w:t>Bloco W: Declaração País-a-País (</w:t>
      </w:r>
      <w:r w:rsidRPr="001D0DC0">
        <w:rPr>
          <w:i/>
          <w:noProof/>
          <w:lang w:val="en-US"/>
        </w:rPr>
        <w:t>Country-by-Country Report</w:t>
      </w:r>
      <w:r w:rsidRPr="001D0DC0">
        <w:rPr>
          <w:noProof/>
          <w:lang w:val="en-US"/>
        </w:rPr>
        <w:t>)</w:t>
      </w:r>
      <w:r w:rsidRPr="00D944FE">
        <w:rPr>
          <w:noProof/>
          <w:lang w:val="en-US"/>
        </w:rPr>
        <w:tab/>
      </w:r>
      <w:r>
        <w:rPr>
          <w:noProof/>
        </w:rPr>
        <w:fldChar w:fldCharType="begin"/>
      </w:r>
      <w:r w:rsidRPr="00D944FE">
        <w:rPr>
          <w:noProof/>
          <w:lang w:val="en-US"/>
        </w:rPr>
        <w:instrText xml:space="preserve"> PAGEREF _Toc479713784 \h </w:instrText>
      </w:r>
      <w:r>
        <w:rPr>
          <w:noProof/>
        </w:rPr>
      </w:r>
      <w:r>
        <w:rPr>
          <w:noProof/>
        </w:rPr>
        <w:fldChar w:fldCharType="separate"/>
      </w:r>
      <w:r w:rsidR="00B35FA3">
        <w:rPr>
          <w:noProof/>
          <w:lang w:val="en-US"/>
        </w:rPr>
        <w:t>377</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W001: Abertura do Bloco W</w:t>
      </w:r>
      <w:r>
        <w:rPr>
          <w:noProof/>
        </w:rPr>
        <w:tab/>
      </w:r>
      <w:r>
        <w:rPr>
          <w:noProof/>
        </w:rPr>
        <w:fldChar w:fldCharType="begin"/>
      </w:r>
      <w:r>
        <w:rPr>
          <w:noProof/>
        </w:rPr>
        <w:instrText xml:space="preserve"> PAGEREF _Toc479713785 \h </w:instrText>
      </w:r>
      <w:r>
        <w:rPr>
          <w:noProof/>
        </w:rPr>
      </w:r>
      <w:r>
        <w:rPr>
          <w:noProof/>
        </w:rPr>
        <w:fldChar w:fldCharType="separate"/>
      </w:r>
      <w:r w:rsidR="00B35FA3">
        <w:rPr>
          <w:noProof/>
        </w:rPr>
        <w:t>381</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W100: Informações sobre o Grupo Multinacional e a Entidade Declarante – Declaração País-a-País</w:t>
      </w:r>
      <w:r>
        <w:rPr>
          <w:noProof/>
        </w:rPr>
        <w:tab/>
      </w:r>
      <w:r>
        <w:rPr>
          <w:noProof/>
        </w:rPr>
        <w:fldChar w:fldCharType="begin"/>
      </w:r>
      <w:r>
        <w:rPr>
          <w:noProof/>
        </w:rPr>
        <w:instrText xml:space="preserve"> PAGEREF _Toc479713786 \h </w:instrText>
      </w:r>
      <w:r>
        <w:rPr>
          <w:noProof/>
        </w:rPr>
      </w:r>
      <w:r>
        <w:rPr>
          <w:noProof/>
        </w:rPr>
        <w:fldChar w:fldCharType="separate"/>
      </w:r>
      <w:r w:rsidR="00B35FA3">
        <w:rPr>
          <w:noProof/>
        </w:rPr>
        <w:t>382</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W200: Declaração País-a-País</w:t>
      </w:r>
      <w:r>
        <w:rPr>
          <w:noProof/>
        </w:rPr>
        <w:tab/>
      </w:r>
      <w:r>
        <w:rPr>
          <w:noProof/>
        </w:rPr>
        <w:fldChar w:fldCharType="begin"/>
      </w:r>
      <w:r>
        <w:rPr>
          <w:noProof/>
        </w:rPr>
        <w:instrText xml:space="preserve"> PAGEREF _Toc479713787 \h </w:instrText>
      </w:r>
      <w:r>
        <w:rPr>
          <w:noProof/>
        </w:rPr>
      </w:r>
      <w:r>
        <w:rPr>
          <w:noProof/>
        </w:rPr>
        <w:fldChar w:fldCharType="separate"/>
      </w:r>
      <w:r w:rsidR="00B35FA3">
        <w:rPr>
          <w:noProof/>
        </w:rPr>
        <w:t>396</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W250: Declaração País-a-País – Entidades Integrantes</w:t>
      </w:r>
      <w:r>
        <w:rPr>
          <w:noProof/>
        </w:rPr>
        <w:tab/>
      </w:r>
      <w:r>
        <w:rPr>
          <w:noProof/>
        </w:rPr>
        <w:fldChar w:fldCharType="begin"/>
      </w:r>
      <w:r>
        <w:rPr>
          <w:noProof/>
        </w:rPr>
        <w:instrText xml:space="preserve"> PAGEREF _Toc479713788 \h </w:instrText>
      </w:r>
      <w:r>
        <w:rPr>
          <w:noProof/>
        </w:rPr>
      </w:r>
      <w:r>
        <w:rPr>
          <w:noProof/>
        </w:rPr>
        <w:fldChar w:fldCharType="separate"/>
      </w:r>
      <w:r w:rsidR="00B35FA3">
        <w:rPr>
          <w:noProof/>
        </w:rPr>
        <w:t>407</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W300: Observações Adicionais – Declaração País-a-País</w:t>
      </w:r>
      <w:r>
        <w:rPr>
          <w:noProof/>
        </w:rPr>
        <w:tab/>
      </w:r>
      <w:r>
        <w:rPr>
          <w:noProof/>
        </w:rPr>
        <w:fldChar w:fldCharType="begin"/>
      </w:r>
      <w:r>
        <w:rPr>
          <w:noProof/>
        </w:rPr>
        <w:instrText xml:space="preserve"> PAGEREF _Toc479713789 \h </w:instrText>
      </w:r>
      <w:r>
        <w:rPr>
          <w:noProof/>
        </w:rPr>
      </w:r>
      <w:r>
        <w:rPr>
          <w:noProof/>
        </w:rPr>
        <w:fldChar w:fldCharType="separate"/>
      </w:r>
      <w:r w:rsidR="00B35FA3">
        <w:rPr>
          <w:noProof/>
        </w:rPr>
        <w:t>413</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W990: Encerramento do Bloco W</w:t>
      </w:r>
      <w:r>
        <w:rPr>
          <w:noProof/>
        </w:rPr>
        <w:tab/>
      </w:r>
      <w:r>
        <w:rPr>
          <w:noProof/>
        </w:rPr>
        <w:fldChar w:fldCharType="begin"/>
      </w:r>
      <w:r>
        <w:rPr>
          <w:noProof/>
        </w:rPr>
        <w:instrText xml:space="preserve"> PAGEREF _Toc479713790 \h </w:instrText>
      </w:r>
      <w:r>
        <w:rPr>
          <w:noProof/>
        </w:rPr>
      </w:r>
      <w:r>
        <w:rPr>
          <w:noProof/>
        </w:rPr>
        <w:fldChar w:fldCharType="separate"/>
      </w:r>
      <w:r w:rsidR="00B35FA3">
        <w:rPr>
          <w:noProof/>
        </w:rPr>
        <w:t>416</w:t>
      </w:r>
      <w:r>
        <w:rPr>
          <w:noProof/>
        </w:rPr>
        <w:fldChar w:fldCharType="end"/>
      </w:r>
    </w:p>
    <w:p w:rsidR="00D944FE" w:rsidRDefault="00D944FE">
      <w:pPr>
        <w:pStyle w:val="Sumrio3"/>
        <w:tabs>
          <w:tab w:val="right" w:leader="dot" w:pos="16260"/>
        </w:tabs>
        <w:rPr>
          <w:rFonts w:asciiTheme="minorHAnsi" w:eastAsiaTheme="minorEastAsia" w:hAnsiTheme="minorHAnsi"/>
          <w:iCs w:val="0"/>
          <w:noProof/>
          <w:sz w:val="22"/>
          <w:szCs w:val="22"/>
          <w:lang w:eastAsia="pt-BR"/>
        </w:rPr>
      </w:pPr>
      <w:r>
        <w:rPr>
          <w:noProof/>
        </w:rPr>
        <w:t>Bloco X: Informações Econômicas</w:t>
      </w:r>
      <w:r>
        <w:rPr>
          <w:noProof/>
        </w:rPr>
        <w:tab/>
      </w:r>
      <w:r>
        <w:rPr>
          <w:noProof/>
        </w:rPr>
        <w:fldChar w:fldCharType="begin"/>
      </w:r>
      <w:r>
        <w:rPr>
          <w:noProof/>
        </w:rPr>
        <w:instrText xml:space="preserve"> PAGEREF _Toc479713791 \h </w:instrText>
      </w:r>
      <w:r>
        <w:rPr>
          <w:noProof/>
        </w:rPr>
      </w:r>
      <w:r>
        <w:rPr>
          <w:noProof/>
        </w:rPr>
        <w:fldChar w:fldCharType="separate"/>
      </w:r>
      <w:r w:rsidR="00B35FA3">
        <w:rPr>
          <w:noProof/>
        </w:rPr>
        <w:t>417</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X001: Abertura do Bloco X</w:t>
      </w:r>
      <w:r>
        <w:rPr>
          <w:noProof/>
        </w:rPr>
        <w:tab/>
      </w:r>
      <w:r>
        <w:rPr>
          <w:noProof/>
        </w:rPr>
        <w:fldChar w:fldCharType="begin"/>
      </w:r>
      <w:r>
        <w:rPr>
          <w:noProof/>
        </w:rPr>
        <w:instrText xml:space="preserve"> PAGEREF _Toc479713792 \h </w:instrText>
      </w:r>
      <w:r>
        <w:rPr>
          <w:noProof/>
        </w:rPr>
      </w:r>
      <w:r>
        <w:rPr>
          <w:noProof/>
        </w:rPr>
        <w:fldChar w:fldCharType="separate"/>
      </w:r>
      <w:r w:rsidR="00B35FA3">
        <w:rPr>
          <w:noProof/>
        </w:rPr>
        <w:t>417</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X280: Atividades Incentivadas – PJ em Geral</w:t>
      </w:r>
      <w:r>
        <w:rPr>
          <w:noProof/>
        </w:rPr>
        <w:tab/>
      </w:r>
      <w:r>
        <w:rPr>
          <w:noProof/>
        </w:rPr>
        <w:fldChar w:fldCharType="begin"/>
      </w:r>
      <w:r>
        <w:rPr>
          <w:noProof/>
        </w:rPr>
        <w:instrText xml:space="preserve"> PAGEREF _Toc479713793 \h </w:instrText>
      </w:r>
      <w:r>
        <w:rPr>
          <w:noProof/>
        </w:rPr>
      </w:r>
      <w:r>
        <w:rPr>
          <w:noProof/>
        </w:rPr>
        <w:fldChar w:fldCharType="separate"/>
      </w:r>
      <w:r w:rsidR="00B35FA3">
        <w:rPr>
          <w:noProof/>
        </w:rPr>
        <w:t>418</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X291: Operações com o Exterior – Pessoa Vinculada/Interposta/País com Tributação Favorecida</w:t>
      </w:r>
      <w:r>
        <w:rPr>
          <w:noProof/>
        </w:rPr>
        <w:tab/>
      </w:r>
      <w:r>
        <w:rPr>
          <w:noProof/>
        </w:rPr>
        <w:fldChar w:fldCharType="begin"/>
      </w:r>
      <w:r>
        <w:rPr>
          <w:noProof/>
        </w:rPr>
        <w:instrText xml:space="preserve"> PAGEREF _Toc479713794 \h </w:instrText>
      </w:r>
      <w:r>
        <w:rPr>
          <w:noProof/>
        </w:rPr>
      </w:r>
      <w:r>
        <w:rPr>
          <w:noProof/>
        </w:rPr>
        <w:fldChar w:fldCharType="separate"/>
      </w:r>
      <w:r w:rsidR="00B35FA3">
        <w:rPr>
          <w:noProof/>
        </w:rPr>
        <w:t>428</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X292: Operações com o Exterior – Pessoa Não Vinculada/Não Interposta/País sem Tributação Favorecida</w:t>
      </w:r>
      <w:r>
        <w:rPr>
          <w:noProof/>
        </w:rPr>
        <w:tab/>
      </w:r>
      <w:r>
        <w:rPr>
          <w:noProof/>
        </w:rPr>
        <w:fldChar w:fldCharType="begin"/>
      </w:r>
      <w:r>
        <w:rPr>
          <w:noProof/>
        </w:rPr>
        <w:instrText xml:space="preserve"> PAGEREF _Toc479713795 \h </w:instrText>
      </w:r>
      <w:r>
        <w:rPr>
          <w:noProof/>
        </w:rPr>
      </w:r>
      <w:r>
        <w:rPr>
          <w:noProof/>
        </w:rPr>
        <w:fldChar w:fldCharType="separate"/>
      </w:r>
      <w:r w:rsidR="00B35FA3">
        <w:rPr>
          <w:noProof/>
        </w:rPr>
        <w:t>431</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lastRenderedPageBreak/>
        <w:t>Registro X300: Operações com o Exterior – Exportações (Entradas de Divisas)</w:t>
      </w:r>
      <w:r>
        <w:rPr>
          <w:noProof/>
        </w:rPr>
        <w:tab/>
      </w:r>
      <w:r>
        <w:rPr>
          <w:noProof/>
        </w:rPr>
        <w:fldChar w:fldCharType="begin"/>
      </w:r>
      <w:r>
        <w:rPr>
          <w:noProof/>
        </w:rPr>
        <w:instrText xml:space="preserve"> PAGEREF _Toc479713796 \h </w:instrText>
      </w:r>
      <w:r>
        <w:rPr>
          <w:noProof/>
        </w:rPr>
      </w:r>
      <w:r>
        <w:rPr>
          <w:noProof/>
        </w:rPr>
        <w:fldChar w:fldCharType="separate"/>
      </w:r>
      <w:r w:rsidR="00B35FA3">
        <w:rPr>
          <w:noProof/>
        </w:rPr>
        <w:t>433</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X310: Operações com o Exterior – Contratantes das Exportações</w:t>
      </w:r>
      <w:r>
        <w:rPr>
          <w:noProof/>
        </w:rPr>
        <w:tab/>
      </w:r>
      <w:r>
        <w:rPr>
          <w:noProof/>
        </w:rPr>
        <w:fldChar w:fldCharType="begin"/>
      </w:r>
      <w:r>
        <w:rPr>
          <w:noProof/>
        </w:rPr>
        <w:instrText xml:space="preserve"> PAGEREF _Toc479713797 \h </w:instrText>
      </w:r>
      <w:r>
        <w:rPr>
          <w:noProof/>
        </w:rPr>
      </w:r>
      <w:r>
        <w:rPr>
          <w:noProof/>
        </w:rPr>
        <w:fldChar w:fldCharType="separate"/>
      </w:r>
      <w:r w:rsidR="00B35FA3">
        <w:rPr>
          <w:noProof/>
        </w:rPr>
        <w:t>445</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X320: Operações com o Exterior – Importações (Saída de Divisas)</w:t>
      </w:r>
      <w:r>
        <w:rPr>
          <w:noProof/>
        </w:rPr>
        <w:tab/>
      </w:r>
      <w:r>
        <w:rPr>
          <w:noProof/>
        </w:rPr>
        <w:fldChar w:fldCharType="begin"/>
      </w:r>
      <w:r>
        <w:rPr>
          <w:noProof/>
        </w:rPr>
        <w:instrText xml:space="preserve"> PAGEREF _Toc479713798 \h </w:instrText>
      </w:r>
      <w:r>
        <w:rPr>
          <w:noProof/>
        </w:rPr>
      </w:r>
      <w:r>
        <w:rPr>
          <w:noProof/>
        </w:rPr>
        <w:fldChar w:fldCharType="separate"/>
      </w:r>
      <w:r w:rsidR="00B35FA3">
        <w:rPr>
          <w:noProof/>
        </w:rPr>
        <w:t>447</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X330: Operações com o Exterior – Contratantes das Importações</w:t>
      </w:r>
      <w:r>
        <w:rPr>
          <w:noProof/>
        </w:rPr>
        <w:tab/>
      </w:r>
      <w:r>
        <w:rPr>
          <w:noProof/>
        </w:rPr>
        <w:fldChar w:fldCharType="begin"/>
      </w:r>
      <w:r>
        <w:rPr>
          <w:noProof/>
        </w:rPr>
        <w:instrText xml:space="preserve"> PAGEREF _Toc479713799 \h </w:instrText>
      </w:r>
      <w:r>
        <w:rPr>
          <w:noProof/>
        </w:rPr>
      </w:r>
      <w:r>
        <w:rPr>
          <w:noProof/>
        </w:rPr>
        <w:fldChar w:fldCharType="separate"/>
      </w:r>
      <w:r w:rsidR="00B35FA3">
        <w:rPr>
          <w:noProof/>
        </w:rPr>
        <w:t>459</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X340: Identificação da Participação no Exterior</w:t>
      </w:r>
      <w:r>
        <w:rPr>
          <w:noProof/>
        </w:rPr>
        <w:tab/>
      </w:r>
      <w:r>
        <w:rPr>
          <w:noProof/>
        </w:rPr>
        <w:fldChar w:fldCharType="begin"/>
      </w:r>
      <w:r>
        <w:rPr>
          <w:noProof/>
        </w:rPr>
        <w:instrText xml:space="preserve"> PAGEREF _Toc479713800 \h </w:instrText>
      </w:r>
      <w:r>
        <w:rPr>
          <w:noProof/>
        </w:rPr>
      </w:r>
      <w:r>
        <w:rPr>
          <w:noProof/>
        </w:rPr>
        <w:fldChar w:fldCharType="separate"/>
      </w:r>
      <w:r w:rsidR="00B35FA3">
        <w:rPr>
          <w:noProof/>
        </w:rPr>
        <w:t>460</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X350: Participações no Exterior – Resultado do Período de Apuração</w:t>
      </w:r>
      <w:r>
        <w:rPr>
          <w:noProof/>
        </w:rPr>
        <w:tab/>
      </w:r>
      <w:r>
        <w:rPr>
          <w:noProof/>
        </w:rPr>
        <w:fldChar w:fldCharType="begin"/>
      </w:r>
      <w:r>
        <w:rPr>
          <w:noProof/>
        </w:rPr>
        <w:instrText xml:space="preserve"> PAGEREF _Toc479713801 \h </w:instrText>
      </w:r>
      <w:r>
        <w:rPr>
          <w:noProof/>
        </w:rPr>
      </w:r>
      <w:r>
        <w:rPr>
          <w:noProof/>
        </w:rPr>
        <w:fldChar w:fldCharType="separate"/>
      </w:r>
      <w:r w:rsidR="00B35FA3">
        <w:rPr>
          <w:noProof/>
        </w:rPr>
        <w:t>464</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X351: Demonstrativo de Resultados e de Imposto Pago no Exterior</w:t>
      </w:r>
      <w:r>
        <w:rPr>
          <w:noProof/>
        </w:rPr>
        <w:tab/>
      </w:r>
      <w:r>
        <w:rPr>
          <w:noProof/>
        </w:rPr>
        <w:fldChar w:fldCharType="begin"/>
      </w:r>
      <w:r>
        <w:rPr>
          <w:noProof/>
        </w:rPr>
        <w:instrText xml:space="preserve"> PAGEREF _Toc479713802 \h </w:instrText>
      </w:r>
      <w:r>
        <w:rPr>
          <w:noProof/>
        </w:rPr>
      </w:r>
      <w:r>
        <w:rPr>
          <w:noProof/>
        </w:rPr>
        <w:fldChar w:fldCharType="separate"/>
      </w:r>
      <w:r w:rsidR="00B35FA3">
        <w:rPr>
          <w:noProof/>
        </w:rPr>
        <w:t>468</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X352: Demonstrativo de Resultados no Exterior Auferidos por Intermédio de Coligadas em Regime de Caixa</w:t>
      </w:r>
      <w:r>
        <w:rPr>
          <w:noProof/>
        </w:rPr>
        <w:tab/>
      </w:r>
      <w:r>
        <w:rPr>
          <w:noProof/>
        </w:rPr>
        <w:fldChar w:fldCharType="begin"/>
      </w:r>
      <w:r>
        <w:rPr>
          <w:noProof/>
        </w:rPr>
        <w:instrText xml:space="preserve"> PAGEREF _Toc479713803 \h </w:instrText>
      </w:r>
      <w:r>
        <w:rPr>
          <w:noProof/>
        </w:rPr>
      </w:r>
      <w:r>
        <w:rPr>
          <w:noProof/>
        </w:rPr>
        <w:fldChar w:fldCharType="separate"/>
      </w:r>
      <w:r w:rsidR="00B35FA3">
        <w:rPr>
          <w:noProof/>
        </w:rPr>
        <w:t>472</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X353: Demonstrativo de Consolidação</w:t>
      </w:r>
      <w:r>
        <w:rPr>
          <w:noProof/>
        </w:rPr>
        <w:tab/>
      </w:r>
      <w:r>
        <w:rPr>
          <w:noProof/>
        </w:rPr>
        <w:fldChar w:fldCharType="begin"/>
      </w:r>
      <w:r>
        <w:rPr>
          <w:noProof/>
        </w:rPr>
        <w:instrText xml:space="preserve"> PAGEREF _Toc479713804 \h </w:instrText>
      </w:r>
      <w:r>
        <w:rPr>
          <w:noProof/>
        </w:rPr>
      </w:r>
      <w:r>
        <w:rPr>
          <w:noProof/>
        </w:rPr>
        <w:fldChar w:fldCharType="separate"/>
      </w:r>
      <w:r w:rsidR="00B35FA3">
        <w:rPr>
          <w:noProof/>
        </w:rPr>
        <w:t>473</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X354: Demonstrativo de Prejuízos Acumulados</w:t>
      </w:r>
      <w:r>
        <w:rPr>
          <w:noProof/>
        </w:rPr>
        <w:tab/>
      </w:r>
      <w:r>
        <w:rPr>
          <w:noProof/>
        </w:rPr>
        <w:fldChar w:fldCharType="begin"/>
      </w:r>
      <w:r>
        <w:rPr>
          <w:noProof/>
        </w:rPr>
        <w:instrText xml:space="preserve"> PAGEREF _Toc479713805 \h </w:instrText>
      </w:r>
      <w:r>
        <w:rPr>
          <w:noProof/>
        </w:rPr>
      </w:r>
      <w:r>
        <w:rPr>
          <w:noProof/>
        </w:rPr>
        <w:fldChar w:fldCharType="separate"/>
      </w:r>
      <w:r w:rsidR="00B35FA3">
        <w:rPr>
          <w:noProof/>
        </w:rPr>
        <w:t>474</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X355: Demonstrativo de Rendas Ativas e Passivas</w:t>
      </w:r>
      <w:r>
        <w:rPr>
          <w:noProof/>
        </w:rPr>
        <w:tab/>
      </w:r>
      <w:r>
        <w:rPr>
          <w:noProof/>
        </w:rPr>
        <w:fldChar w:fldCharType="begin"/>
      </w:r>
      <w:r>
        <w:rPr>
          <w:noProof/>
        </w:rPr>
        <w:instrText xml:space="preserve"> PAGEREF _Toc479713806 \h </w:instrText>
      </w:r>
      <w:r>
        <w:rPr>
          <w:noProof/>
        </w:rPr>
      </w:r>
      <w:r>
        <w:rPr>
          <w:noProof/>
        </w:rPr>
        <w:fldChar w:fldCharType="separate"/>
      </w:r>
      <w:r w:rsidR="00B35FA3">
        <w:rPr>
          <w:noProof/>
        </w:rPr>
        <w:t>475</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X356: Demonstrativo de Estrutura Societária</w:t>
      </w:r>
      <w:r>
        <w:rPr>
          <w:noProof/>
        </w:rPr>
        <w:tab/>
      </w:r>
      <w:r>
        <w:rPr>
          <w:noProof/>
        </w:rPr>
        <w:fldChar w:fldCharType="begin"/>
      </w:r>
      <w:r>
        <w:rPr>
          <w:noProof/>
        </w:rPr>
        <w:instrText xml:space="preserve"> PAGEREF _Toc479713807 \h </w:instrText>
      </w:r>
      <w:r>
        <w:rPr>
          <w:noProof/>
        </w:rPr>
      </w:r>
      <w:r>
        <w:rPr>
          <w:noProof/>
        </w:rPr>
        <w:fldChar w:fldCharType="separate"/>
      </w:r>
      <w:r w:rsidR="00B35FA3">
        <w:rPr>
          <w:noProof/>
        </w:rPr>
        <w:t>478</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X390: Origem e Aplicação de Recursos – Imunes e Isentas</w:t>
      </w:r>
      <w:r>
        <w:rPr>
          <w:noProof/>
        </w:rPr>
        <w:tab/>
      </w:r>
      <w:r>
        <w:rPr>
          <w:noProof/>
        </w:rPr>
        <w:fldChar w:fldCharType="begin"/>
      </w:r>
      <w:r>
        <w:rPr>
          <w:noProof/>
        </w:rPr>
        <w:instrText xml:space="preserve"> PAGEREF _Toc479713808 \h </w:instrText>
      </w:r>
      <w:r>
        <w:rPr>
          <w:noProof/>
        </w:rPr>
      </w:r>
      <w:r>
        <w:rPr>
          <w:noProof/>
        </w:rPr>
        <w:fldChar w:fldCharType="separate"/>
      </w:r>
      <w:r w:rsidR="00B35FA3">
        <w:rPr>
          <w:noProof/>
        </w:rPr>
        <w:t>479</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X400: Comércio Eletrônico e Tecnologia da Informação – Informações das Vendas</w:t>
      </w:r>
      <w:r>
        <w:rPr>
          <w:noProof/>
        </w:rPr>
        <w:tab/>
      </w:r>
      <w:r>
        <w:rPr>
          <w:noProof/>
        </w:rPr>
        <w:fldChar w:fldCharType="begin"/>
      </w:r>
      <w:r>
        <w:rPr>
          <w:noProof/>
        </w:rPr>
        <w:instrText xml:space="preserve"> PAGEREF _Toc479713809 \h </w:instrText>
      </w:r>
      <w:r>
        <w:rPr>
          <w:noProof/>
        </w:rPr>
      </w:r>
      <w:r>
        <w:rPr>
          <w:noProof/>
        </w:rPr>
        <w:fldChar w:fldCharType="separate"/>
      </w:r>
      <w:r w:rsidR="00B35FA3">
        <w:rPr>
          <w:noProof/>
        </w:rPr>
        <w:t>481</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 xml:space="preserve">Registro X410: Comércio Eletrônico – Informação de </w:t>
      </w:r>
      <w:r w:rsidRPr="001D0DC0">
        <w:rPr>
          <w:i/>
          <w:noProof/>
        </w:rPr>
        <w:t>Homepage</w:t>
      </w:r>
      <w:r>
        <w:rPr>
          <w:noProof/>
        </w:rPr>
        <w:t>/Servidor</w:t>
      </w:r>
      <w:r>
        <w:rPr>
          <w:noProof/>
        </w:rPr>
        <w:tab/>
      </w:r>
      <w:r>
        <w:rPr>
          <w:noProof/>
        </w:rPr>
        <w:fldChar w:fldCharType="begin"/>
      </w:r>
      <w:r>
        <w:rPr>
          <w:noProof/>
        </w:rPr>
        <w:instrText xml:space="preserve"> PAGEREF _Toc479713810 \h </w:instrText>
      </w:r>
      <w:r>
        <w:rPr>
          <w:noProof/>
        </w:rPr>
      </w:r>
      <w:r>
        <w:rPr>
          <w:noProof/>
        </w:rPr>
        <w:fldChar w:fldCharType="separate"/>
      </w:r>
      <w:r w:rsidR="00B35FA3">
        <w:rPr>
          <w:noProof/>
        </w:rPr>
        <w:t>484</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 xml:space="preserve">Registro X420: </w:t>
      </w:r>
      <w:r w:rsidRPr="001D0DC0">
        <w:rPr>
          <w:i/>
          <w:noProof/>
        </w:rPr>
        <w:t>Royalties</w:t>
      </w:r>
      <w:r>
        <w:rPr>
          <w:noProof/>
        </w:rPr>
        <w:t xml:space="preserve"> Recebidos ou Pagos a Beneficiários do Brasil e do Exterior</w:t>
      </w:r>
      <w:r>
        <w:rPr>
          <w:noProof/>
        </w:rPr>
        <w:tab/>
      </w:r>
      <w:r>
        <w:rPr>
          <w:noProof/>
        </w:rPr>
        <w:fldChar w:fldCharType="begin"/>
      </w:r>
      <w:r>
        <w:rPr>
          <w:noProof/>
        </w:rPr>
        <w:instrText xml:space="preserve"> PAGEREF _Toc479713811 \h </w:instrText>
      </w:r>
      <w:r>
        <w:rPr>
          <w:noProof/>
        </w:rPr>
      </w:r>
      <w:r>
        <w:rPr>
          <w:noProof/>
        </w:rPr>
        <w:fldChar w:fldCharType="separate"/>
      </w:r>
      <w:r w:rsidR="00B35FA3">
        <w:rPr>
          <w:noProof/>
        </w:rPr>
        <w:t>486</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X430: Rendimentos Relativos a Serviços, Juros e Dividendos Recebidos do Brasil e do Exterior</w:t>
      </w:r>
      <w:r>
        <w:rPr>
          <w:noProof/>
        </w:rPr>
        <w:tab/>
      </w:r>
      <w:r>
        <w:rPr>
          <w:noProof/>
        </w:rPr>
        <w:fldChar w:fldCharType="begin"/>
      </w:r>
      <w:r>
        <w:rPr>
          <w:noProof/>
        </w:rPr>
        <w:instrText xml:space="preserve"> PAGEREF _Toc479713812 \h </w:instrText>
      </w:r>
      <w:r>
        <w:rPr>
          <w:noProof/>
        </w:rPr>
      </w:r>
      <w:r>
        <w:rPr>
          <w:noProof/>
        </w:rPr>
        <w:fldChar w:fldCharType="separate"/>
      </w:r>
      <w:r w:rsidR="00B35FA3">
        <w:rPr>
          <w:noProof/>
        </w:rPr>
        <w:t>493</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X450: Pagamentos/Remessas Relativos a Serviços, Juros e Dividendos Recebidos do Brasil e do Exterior</w:t>
      </w:r>
      <w:r>
        <w:rPr>
          <w:noProof/>
        </w:rPr>
        <w:tab/>
      </w:r>
      <w:r>
        <w:rPr>
          <w:noProof/>
        </w:rPr>
        <w:fldChar w:fldCharType="begin"/>
      </w:r>
      <w:r>
        <w:rPr>
          <w:noProof/>
        </w:rPr>
        <w:instrText xml:space="preserve"> PAGEREF _Toc479713813 \h </w:instrText>
      </w:r>
      <w:r>
        <w:rPr>
          <w:noProof/>
        </w:rPr>
      </w:r>
      <w:r>
        <w:rPr>
          <w:noProof/>
        </w:rPr>
        <w:fldChar w:fldCharType="separate"/>
      </w:r>
      <w:r w:rsidR="00B35FA3">
        <w:rPr>
          <w:noProof/>
        </w:rPr>
        <w:t>500</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X460: Inovação Tecnológica e Desenvolvimento Tecnológico</w:t>
      </w:r>
      <w:r>
        <w:rPr>
          <w:noProof/>
        </w:rPr>
        <w:tab/>
      </w:r>
      <w:r>
        <w:rPr>
          <w:noProof/>
        </w:rPr>
        <w:fldChar w:fldCharType="begin"/>
      </w:r>
      <w:r>
        <w:rPr>
          <w:noProof/>
        </w:rPr>
        <w:instrText xml:space="preserve"> PAGEREF _Toc479713814 \h </w:instrText>
      </w:r>
      <w:r>
        <w:rPr>
          <w:noProof/>
        </w:rPr>
      </w:r>
      <w:r>
        <w:rPr>
          <w:noProof/>
        </w:rPr>
        <w:fldChar w:fldCharType="separate"/>
      </w:r>
      <w:r w:rsidR="00B35FA3">
        <w:rPr>
          <w:noProof/>
        </w:rPr>
        <w:t>508</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X470: Capacitação de Informática e Inclusão Digital</w:t>
      </w:r>
      <w:r>
        <w:rPr>
          <w:noProof/>
        </w:rPr>
        <w:tab/>
      </w:r>
      <w:r>
        <w:rPr>
          <w:noProof/>
        </w:rPr>
        <w:fldChar w:fldCharType="begin"/>
      </w:r>
      <w:r>
        <w:rPr>
          <w:noProof/>
        </w:rPr>
        <w:instrText xml:space="preserve"> PAGEREF _Toc479713815 \h </w:instrText>
      </w:r>
      <w:r>
        <w:rPr>
          <w:noProof/>
        </w:rPr>
      </w:r>
      <w:r>
        <w:rPr>
          <w:noProof/>
        </w:rPr>
        <w:fldChar w:fldCharType="separate"/>
      </w:r>
      <w:r w:rsidR="00B35FA3">
        <w:rPr>
          <w:noProof/>
        </w:rPr>
        <w:t>510</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X480: Repes, Recap, Padis, PATVD, Reidi, Repenec, Reicomp, Retaero, Recine, Resíduos Sólidos, Recopa, Copa do Mundo, Retid, REPNBL-Redes, Reif e Olimpíadas</w:t>
      </w:r>
      <w:r>
        <w:rPr>
          <w:noProof/>
        </w:rPr>
        <w:tab/>
      </w:r>
      <w:r>
        <w:rPr>
          <w:noProof/>
        </w:rPr>
        <w:fldChar w:fldCharType="begin"/>
      </w:r>
      <w:r>
        <w:rPr>
          <w:noProof/>
        </w:rPr>
        <w:instrText xml:space="preserve"> PAGEREF _Toc479713816 \h </w:instrText>
      </w:r>
      <w:r>
        <w:rPr>
          <w:noProof/>
        </w:rPr>
      </w:r>
      <w:r>
        <w:rPr>
          <w:noProof/>
        </w:rPr>
        <w:fldChar w:fldCharType="separate"/>
      </w:r>
      <w:r w:rsidR="00B35FA3">
        <w:rPr>
          <w:noProof/>
        </w:rPr>
        <w:t>512</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X490: Pólo Industrial de Manaus e Amazônia Ocidental</w:t>
      </w:r>
      <w:r>
        <w:rPr>
          <w:noProof/>
        </w:rPr>
        <w:tab/>
      </w:r>
      <w:r>
        <w:rPr>
          <w:noProof/>
        </w:rPr>
        <w:fldChar w:fldCharType="begin"/>
      </w:r>
      <w:r>
        <w:rPr>
          <w:noProof/>
        </w:rPr>
        <w:instrText xml:space="preserve"> PAGEREF _Toc479713817 \h </w:instrText>
      </w:r>
      <w:r>
        <w:rPr>
          <w:noProof/>
        </w:rPr>
      </w:r>
      <w:r>
        <w:rPr>
          <w:noProof/>
        </w:rPr>
        <w:fldChar w:fldCharType="separate"/>
      </w:r>
      <w:r w:rsidR="00B35FA3">
        <w:rPr>
          <w:noProof/>
        </w:rPr>
        <w:t>515</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X500: Zonas de Processamento de Exportação (ZPE)</w:t>
      </w:r>
      <w:r>
        <w:rPr>
          <w:noProof/>
        </w:rPr>
        <w:tab/>
      </w:r>
      <w:r>
        <w:rPr>
          <w:noProof/>
        </w:rPr>
        <w:fldChar w:fldCharType="begin"/>
      </w:r>
      <w:r>
        <w:rPr>
          <w:noProof/>
        </w:rPr>
        <w:instrText xml:space="preserve"> PAGEREF _Toc479713818 \h </w:instrText>
      </w:r>
      <w:r>
        <w:rPr>
          <w:noProof/>
        </w:rPr>
      </w:r>
      <w:r>
        <w:rPr>
          <w:noProof/>
        </w:rPr>
        <w:fldChar w:fldCharType="separate"/>
      </w:r>
      <w:r w:rsidR="00B35FA3">
        <w:rPr>
          <w:noProof/>
        </w:rPr>
        <w:t>517</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X510: Áreas de Livre Comércio (ALC)</w:t>
      </w:r>
      <w:r>
        <w:rPr>
          <w:noProof/>
        </w:rPr>
        <w:tab/>
      </w:r>
      <w:r>
        <w:rPr>
          <w:noProof/>
        </w:rPr>
        <w:fldChar w:fldCharType="begin"/>
      </w:r>
      <w:r>
        <w:rPr>
          <w:noProof/>
        </w:rPr>
        <w:instrText xml:space="preserve"> PAGEREF _Toc479713819 \h </w:instrText>
      </w:r>
      <w:r>
        <w:rPr>
          <w:noProof/>
        </w:rPr>
      </w:r>
      <w:r>
        <w:rPr>
          <w:noProof/>
        </w:rPr>
        <w:fldChar w:fldCharType="separate"/>
      </w:r>
      <w:r w:rsidR="00B35FA3">
        <w:rPr>
          <w:noProof/>
        </w:rPr>
        <w:t>519</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X990: Encerramento do Bloco X</w:t>
      </w:r>
      <w:r>
        <w:rPr>
          <w:noProof/>
        </w:rPr>
        <w:tab/>
      </w:r>
      <w:r>
        <w:rPr>
          <w:noProof/>
        </w:rPr>
        <w:fldChar w:fldCharType="begin"/>
      </w:r>
      <w:r>
        <w:rPr>
          <w:noProof/>
        </w:rPr>
        <w:instrText xml:space="preserve"> PAGEREF _Toc479713820 \h </w:instrText>
      </w:r>
      <w:r>
        <w:rPr>
          <w:noProof/>
        </w:rPr>
      </w:r>
      <w:r>
        <w:rPr>
          <w:noProof/>
        </w:rPr>
        <w:fldChar w:fldCharType="separate"/>
      </w:r>
      <w:r w:rsidR="00B35FA3">
        <w:rPr>
          <w:noProof/>
        </w:rPr>
        <w:t>521</w:t>
      </w:r>
      <w:r>
        <w:rPr>
          <w:noProof/>
        </w:rPr>
        <w:fldChar w:fldCharType="end"/>
      </w:r>
    </w:p>
    <w:p w:rsidR="00D944FE" w:rsidRDefault="00D944FE">
      <w:pPr>
        <w:pStyle w:val="Sumrio3"/>
        <w:tabs>
          <w:tab w:val="right" w:leader="dot" w:pos="16260"/>
        </w:tabs>
        <w:rPr>
          <w:rFonts w:asciiTheme="minorHAnsi" w:eastAsiaTheme="minorEastAsia" w:hAnsiTheme="minorHAnsi"/>
          <w:iCs w:val="0"/>
          <w:noProof/>
          <w:sz w:val="22"/>
          <w:szCs w:val="22"/>
          <w:lang w:eastAsia="pt-BR"/>
        </w:rPr>
      </w:pPr>
      <w:r>
        <w:rPr>
          <w:noProof/>
        </w:rPr>
        <w:t>Bloco Y: Informações Gerais</w:t>
      </w:r>
      <w:r>
        <w:rPr>
          <w:noProof/>
        </w:rPr>
        <w:tab/>
      </w:r>
      <w:r>
        <w:rPr>
          <w:noProof/>
        </w:rPr>
        <w:fldChar w:fldCharType="begin"/>
      </w:r>
      <w:r>
        <w:rPr>
          <w:noProof/>
        </w:rPr>
        <w:instrText xml:space="preserve"> PAGEREF _Toc479713821 \h </w:instrText>
      </w:r>
      <w:r>
        <w:rPr>
          <w:noProof/>
        </w:rPr>
      </w:r>
      <w:r>
        <w:rPr>
          <w:noProof/>
        </w:rPr>
        <w:fldChar w:fldCharType="separate"/>
      </w:r>
      <w:r w:rsidR="00B35FA3">
        <w:rPr>
          <w:noProof/>
        </w:rPr>
        <w:t>522</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Y001: Abertura do Bloco Y</w:t>
      </w:r>
      <w:r>
        <w:rPr>
          <w:noProof/>
        </w:rPr>
        <w:tab/>
      </w:r>
      <w:r>
        <w:rPr>
          <w:noProof/>
        </w:rPr>
        <w:fldChar w:fldCharType="begin"/>
      </w:r>
      <w:r>
        <w:rPr>
          <w:noProof/>
        </w:rPr>
        <w:instrText xml:space="preserve"> PAGEREF _Toc479713822 \h </w:instrText>
      </w:r>
      <w:r>
        <w:rPr>
          <w:noProof/>
        </w:rPr>
      </w:r>
      <w:r>
        <w:rPr>
          <w:noProof/>
        </w:rPr>
        <w:fldChar w:fldCharType="separate"/>
      </w:r>
      <w:r w:rsidR="00B35FA3">
        <w:rPr>
          <w:noProof/>
        </w:rPr>
        <w:t>522</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Y520: Pagamentos/Recebimentos do Exterior ou de Não Residentes</w:t>
      </w:r>
      <w:r>
        <w:rPr>
          <w:noProof/>
        </w:rPr>
        <w:tab/>
      </w:r>
      <w:r>
        <w:rPr>
          <w:noProof/>
        </w:rPr>
        <w:fldChar w:fldCharType="begin"/>
      </w:r>
      <w:r>
        <w:rPr>
          <w:noProof/>
        </w:rPr>
        <w:instrText xml:space="preserve"> PAGEREF _Toc479713823 \h </w:instrText>
      </w:r>
      <w:r>
        <w:rPr>
          <w:noProof/>
        </w:rPr>
      </w:r>
      <w:r>
        <w:rPr>
          <w:noProof/>
        </w:rPr>
        <w:fldChar w:fldCharType="separate"/>
      </w:r>
      <w:r w:rsidR="00B35FA3">
        <w:rPr>
          <w:noProof/>
        </w:rPr>
        <w:t>523</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Y540: Discriminação da Receita de Vendas dos Estabelecimentos por Atividade Econômica</w:t>
      </w:r>
      <w:r>
        <w:rPr>
          <w:noProof/>
        </w:rPr>
        <w:tab/>
      </w:r>
      <w:r>
        <w:rPr>
          <w:noProof/>
        </w:rPr>
        <w:fldChar w:fldCharType="begin"/>
      </w:r>
      <w:r>
        <w:rPr>
          <w:noProof/>
        </w:rPr>
        <w:instrText xml:space="preserve"> PAGEREF _Toc479713824 \h </w:instrText>
      </w:r>
      <w:r>
        <w:rPr>
          <w:noProof/>
        </w:rPr>
      </w:r>
      <w:r>
        <w:rPr>
          <w:noProof/>
        </w:rPr>
        <w:fldChar w:fldCharType="separate"/>
      </w:r>
      <w:r w:rsidR="00B35FA3">
        <w:rPr>
          <w:noProof/>
        </w:rPr>
        <w:t>526</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Y550: Vendas a Comercial Exportadora com Fim Específico de Exportação</w:t>
      </w:r>
      <w:r>
        <w:rPr>
          <w:noProof/>
        </w:rPr>
        <w:tab/>
      </w:r>
      <w:r>
        <w:rPr>
          <w:noProof/>
        </w:rPr>
        <w:fldChar w:fldCharType="begin"/>
      </w:r>
      <w:r>
        <w:rPr>
          <w:noProof/>
        </w:rPr>
        <w:instrText xml:space="preserve"> PAGEREF _Toc479713825 \h </w:instrText>
      </w:r>
      <w:r>
        <w:rPr>
          <w:noProof/>
        </w:rPr>
      </w:r>
      <w:r>
        <w:rPr>
          <w:noProof/>
        </w:rPr>
        <w:fldChar w:fldCharType="separate"/>
      </w:r>
      <w:r w:rsidR="00B35FA3">
        <w:rPr>
          <w:noProof/>
        </w:rPr>
        <w:t>528</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Y560: Detalhamento das Exportações da Comercial Exportadora</w:t>
      </w:r>
      <w:r>
        <w:rPr>
          <w:noProof/>
        </w:rPr>
        <w:tab/>
      </w:r>
      <w:r>
        <w:rPr>
          <w:noProof/>
        </w:rPr>
        <w:fldChar w:fldCharType="begin"/>
      </w:r>
      <w:r>
        <w:rPr>
          <w:noProof/>
        </w:rPr>
        <w:instrText xml:space="preserve"> PAGEREF _Toc479713826 \h </w:instrText>
      </w:r>
      <w:r>
        <w:rPr>
          <w:noProof/>
        </w:rPr>
      </w:r>
      <w:r>
        <w:rPr>
          <w:noProof/>
        </w:rPr>
        <w:fldChar w:fldCharType="separate"/>
      </w:r>
      <w:r w:rsidR="00B35FA3">
        <w:rPr>
          <w:noProof/>
        </w:rPr>
        <w:t>529</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Y570: Demonstrativo do Imposto de Renda e CSLL Retidos na Fonte</w:t>
      </w:r>
      <w:r>
        <w:rPr>
          <w:noProof/>
        </w:rPr>
        <w:tab/>
      </w:r>
      <w:r>
        <w:rPr>
          <w:noProof/>
        </w:rPr>
        <w:fldChar w:fldCharType="begin"/>
      </w:r>
      <w:r>
        <w:rPr>
          <w:noProof/>
        </w:rPr>
        <w:instrText xml:space="preserve"> PAGEREF _Toc479713827 \h </w:instrText>
      </w:r>
      <w:r>
        <w:rPr>
          <w:noProof/>
        </w:rPr>
      </w:r>
      <w:r>
        <w:rPr>
          <w:noProof/>
        </w:rPr>
        <w:fldChar w:fldCharType="separate"/>
      </w:r>
      <w:r w:rsidR="00B35FA3">
        <w:rPr>
          <w:noProof/>
        </w:rPr>
        <w:t>531</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lastRenderedPageBreak/>
        <w:t>Registro Y580: Doações a Campanhas Eleitorais</w:t>
      </w:r>
      <w:r>
        <w:rPr>
          <w:noProof/>
        </w:rPr>
        <w:tab/>
      </w:r>
      <w:r>
        <w:rPr>
          <w:noProof/>
        </w:rPr>
        <w:fldChar w:fldCharType="begin"/>
      </w:r>
      <w:r>
        <w:rPr>
          <w:noProof/>
        </w:rPr>
        <w:instrText xml:space="preserve"> PAGEREF _Toc479713828 \h </w:instrText>
      </w:r>
      <w:r>
        <w:rPr>
          <w:noProof/>
        </w:rPr>
      </w:r>
      <w:r>
        <w:rPr>
          <w:noProof/>
        </w:rPr>
        <w:fldChar w:fldCharType="separate"/>
      </w:r>
      <w:r w:rsidR="00B35FA3">
        <w:rPr>
          <w:noProof/>
        </w:rPr>
        <w:t>535</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Y590: Ativos no Exterior</w:t>
      </w:r>
      <w:r>
        <w:rPr>
          <w:noProof/>
        </w:rPr>
        <w:tab/>
      </w:r>
      <w:r>
        <w:rPr>
          <w:noProof/>
        </w:rPr>
        <w:fldChar w:fldCharType="begin"/>
      </w:r>
      <w:r>
        <w:rPr>
          <w:noProof/>
        </w:rPr>
        <w:instrText xml:space="preserve"> PAGEREF _Toc479713829 \h </w:instrText>
      </w:r>
      <w:r>
        <w:rPr>
          <w:noProof/>
        </w:rPr>
      </w:r>
      <w:r>
        <w:rPr>
          <w:noProof/>
        </w:rPr>
        <w:fldChar w:fldCharType="separate"/>
      </w:r>
      <w:r w:rsidR="00B35FA3">
        <w:rPr>
          <w:noProof/>
        </w:rPr>
        <w:t>537</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Y600: Identificação e Remuneração de Sócios, Titulares, Dirigentes e Conselheiros</w:t>
      </w:r>
      <w:r>
        <w:rPr>
          <w:noProof/>
        </w:rPr>
        <w:tab/>
      </w:r>
      <w:r>
        <w:rPr>
          <w:noProof/>
        </w:rPr>
        <w:fldChar w:fldCharType="begin"/>
      </w:r>
      <w:r>
        <w:rPr>
          <w:noProof/>
        </w:rPr>
        <w:instrText xml:space="preserve"> PAGEREF _Toc479713830 \h </w:instrText>
      </w:r>
      <w:r>
        <w:rPr>
          <w:noProof/>
        </w:rPr>
      </w:r>
      <w:r>
        <w:rPr>
          <w:noProof/>
        </w:rPr>
        <w:fldChar w:fldCharType="separate"/>
      </w:r>
      <w:r w:rsidR="00B35FA3">
        <w:rPr>
          <w:noProof/>
        </w:rPr>
        <w:t>539</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Y612: Identificação e Rendimentos de Dirigentes e Conselheiros – Imunes ou Isentas</w:t>
      </w:r>
      <w:r>
        <w:rPr>
          <w:noProof/>
        </w:rPr>
        <w:tab/>
      </w:r>
      <w:r>
        <w:rPr>
          <w:noProof/>
        </w:rPr>
        <w:fldChar w:fldCharType="begin"/>
      </w:r>
      <w:r>
        <w:rPr>
          <w:noProof/>
        </w:rPr>
        <w:instrText xml:space="preserve"> PAGEREF _Toc479713831 \h </w:instrText>
      </w:r>
      <w:r>
        <w:rPr>
          <w:noProof/>
        </w:rPr>
      </w:r>
      <w:r>
        <w:rPr>
          <w:noProof/>
        </w:rPr>
        <w:fldChar w:fldCharType="separate"/>
      </w:r>
      <w:r w:rsidR="00B35FA3">
        <w:rPr>
          <w:noProof/>
        </w:rPr>
        <w:t>544</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Y620: Participações Avaliadas Pelo Método de Equivalência Patrimonial</w:t>
      </w:r>
      <w:r>
        <w:rPr>
          <w:noProof/>
        </w:rPr>
        <w:tab/>
      </w:r>
      <w:r>
        <w:rPr>
          <w:noProof/>
        </w:rPr>
        <w:fldChar w:fldCharType="begin"/>
      </w:r>
      <w:r>
        <w:rPr>
          <w:noProof/>
        </w:rPr>
        <w:instrText xml:space="preserve"> PAGEREF _Toc479713832 \h </w:instrText>
      </w:r>
      <w:r>
        <w:rPr>
          <w:noProof/>
        </w:rPr>
      </w:r>
      <w:r>
        <w:rPr>
          <w:noProof/>
        </w:rPr>
        <w:fldChar w:fldCharType="separate"/>
      </w:r>
      <w:r w:rsidR="00B35FA3">
        <w:rPr>
          <w:noProof/>
        </w:rPr>
        <w:t>546</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Y630: Fundos/Clubes de Investimento</w:t>
      </w:r>
      <w:r>
        <w:rPr>
          <w:noProof/>
        </w:rPr>
        <w:tab/>
      </w:r>
      <w:r>
        <w:rPr>
          <w:noProof/>
        </w:rPr>
        <w:fldChar w:fldCharType="begin"/>
      </w:r>
      <w:r>
        <w:rPr>
          <w:noProof/>
        </w:rPr>
        <w:instrText xml:space="preserve"> PAGEREF _Toc479713833 \h </w:instrText>
      </w:r>
      <w:r>
        <w:rPr>
          <w:noProof/>
        </w:rPr>
      </w:r>
      <w:r>
        <w:rPr>
          <w:noProof/>
        </w:rPr>
        <w:fldChar w:fldCharType="separate"/>
      </w:r>
      <w:r w:rsidR="00B35FA3">
        <w:rPr>
          <w:noProof/>
        </w:rPr>
        <w:t>551</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Y640: Participações em Consórcios de Empresas</w:t>
      </w:r>
      <w:r>
        <w:rPr>
          <w:noProof/>
        </w:rPr>
        <w:tab/>
      </w:r>
      <w:r>
        <w:rPr>
          <w:noProof/>
        </w:rPr>
        <w:fldChar w:fldCharType="begin"/>
      </w:r>
      <w:r>
        <w:rPr>
          <w:noProof/>
        </w:rPr>
        <w:instrText xml:space="preserve"> PAGEREF _Toc479713834 \h </w:instrText>
      </w:r>
      <w:r>
        <w:rPr>
          <w:noProof/>
        </w:rPr>
      </w:r>
      <w:r>
        <w:rPr>
          <w:noProof/>
        </w:rPr>
        <w:fldChar w:fldCharType="separate"/>
      </w:r>
      <w:r w:rsidR="00B35FA3">
        <w:rPr>
          <w:noProof/>
        </w:rPr>
        <w:t>553</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Y650: Participantes do Consórcio</w:t>
      </w:r>
      <w:r>
        <w:rPr>
          <w:noProof/>
        </w:rPr>
        <w:tab/>
      </w:r>
      <w:r>
        <w:rPr>
          <w:noProof/>
        </w:rPr>
        <w:fldChar w:fldCharType="begin"/>
      </w:r>
      <w:r>
        <w:rPr>
          <w:noProof/>
        </w:rPr>
        <w:instrText xml:space="preserve"> PAGEREF _Toc479713835 \h </w:instrText>
      </w:r>
      <w:r>
        <w:rPr>
          <w:noProof/>
        </w:rPr>
      </w:r>
      <w:r>
        <w:rPr>
          <w:noProof/>
        </w:rPr>
        <w:fldChar w:fldCharType="separate"/>
      </w:r>
      <w:r w:rsidR="00B35FA3">
        <w:rPr>
          <w:noProof/>
        </w:rPr>
        <w:t>555</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Y660: Dados de Sucessoras</w:t>
      </w:r>
      <w:r>
        <w:rPr>
          <w:noProof/>
        </w:rPr>
        <w:tab/>
      </w:r>
      <w:r>
        <w:rPr>
          <w:noProof/>
        </w:rPr>
        <w:fldChar w:fldCharType="begin"/>
      </w:r>
      <w:r>
        <w:rPr>
          <w:noProof/>
        </w:rPr>
        <w:instrText xml:space="preserve"> PAGEREF _Toc479713836 \h </w:instrText>
      </w:r>
      <w:r>
        <w:rPr>
          <w:noProof/>
        </w:rPr>
      </w:r>
      <w:r>
        <w:rPr>
          <w:noProof/>
        </w:rPr>
        <w:fldChar w:fldCharType="separate"/>
      </w:r>
      <w:r w:rsidR="00B35FA3">
        <w:rPr>
          <w:noProof/>
        </w:rPr>
        <w:t>556</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Y671: Outras Informações (Lucro Real)</w:t>
      </w:r>
      <w:r>
        <w:rPr>
          <w:noProof/>
        </w:rPr>
        <w:tab/>
      </w:r>
      <w:r>
        <w:rPr>
          <w:noProof/>
        </w:rPr>
        <w:fldChar w:fldCharType="begin"/>
      </w:r>
      <w:r>
        <w:rPr>
          <w:noProof/>
        </w:rPr>
        <w:instrText xml:space="preserve"> PAGEREF _Toc479713837 \h </w:instrText>
      </w:r>
      <w:r>
        <w:rPr>
          <w:noProof/>
        </w:rPr>
      </w:r>
      <w:r>
        <w:rPr>
          <w:noProof/>
        </w:rPr>
        <w:fldChar w:fldCharType="separate"/>
      </w:r>
      <w:r w:rsidR="00B35FA3">
        <w:rPr>
          <w:noProof/>
        </w:rPr>
        <w:t>558</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Y672: Outras Informações (Lucro Presumido ou Lucro Arbitrado)</w:t>
      </w:r>
      <w:r>
        <w:rPr>
          <w:noProof/>
        </w:rPr>
        <w:tab/>
      </w:r>
      <w:r>
        <w:rPr>
          <w:noProof/>
        </w:rPr>
        <w:fldChar w:fldCharType="begin"/>
      </w:r>
      <w:r>
        <w:rPr>
          <w:noProof/>
        </w:rPr>
        <w:instrText xml:space="preserve"> PAGEREF _Toc479713838 \h </w:instrText>
      </w:r>
      <w:r>
        <w:rPr>
          <w:noProof/>
        </w:rPr>
      </w:r>
      <w:r>
        <w:rPr>
          <w:noProof/>
        </w:rPr>
        <w:fldChar w:fldCharType="separate"/>
      </w:r>
      <w:r w:rsidR="00B35FA3">
        <w:rPr>
          <w:noProof/>
        </w:rPr>
        <w:t>562</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Y680: Mês das Informações de Optantes pelo Refis (Lucro Real, Presumido e Arbitrado)</w:t>
      </w:r>
      <w:r>
        <w:rPr>
          <w:noProof/>
        </w:rPr>
        <w:tab/>
      </w:r>
      <w:r>
        <w:rPr>
          <w:noProof/>
        </w:rPr>
        <w:fldChar w:fldCharType="begin"/>
      </w:r>
      <w:r>
        <w:rPr>
          <w:noProof/>
        </w:rPr>
        <w:instrText xml:space="preserve"> PAGEREF _Toc479713839 \h </w:instrText>
      </w:r>
      <w:r>
        <w:rPr>
          <w:noProof/>
        </w:rPr>
      </w:r>
      <w:r>
        <w:rPr>
          <w:noProof/>
        </w:rPr>
        <w:fldChar w:fldCharType="separate"/>
      </w:r>
      <w:r w:rsidR="00B35FA3">
        <w:rPr>
          <w:noProof/>
        </w:rPr>
        <w:t>567</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Y681: Informações de Optantes pelo Refis (Lucros Real, Presumido e Arbitrado)</w:t>
      </w:r>
      <w:r>
        <w:rPr>
          <w:noProof/>
        </w:rPr>
        <w:tab/>
      </w:r>
      <w:r>
        <w:rPr>
          <w:noProof/>
        </w:rPr>
        <w:fldChar w:fldCharType="begin"/>
      </w:r>
      <w:r>
        <w:rPr>
          <w:noProof/>
        </w:rPr>
        <w:instrText xml:space="preserve"> PAGEREF _Toc479713840 \h </w:instrText>
      </w:r>
      <w:r>
        <w:rPr>
          <w:noProof/>
        </w:rPr>
      </w:r>
      <w:r>
        <w:rPr>
          <w:noProof/>
        </w:rPr>
        <w:fldChar w:fldCharType="separate"/>
      </w:r>
      <w:r w:rsidR="00B35FA3">
        <w:rPr>
          <w:noProof/>
        </w:rPr>
        <w:t>568</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Y682: Informações de Optantes pelo Refis – Imunes ou Isentas</w:t>
      </w:r>
      <w:r>
        <w:rPr>
          <w:noProof/>
        </w:rPr>
        <w:tab/>
      </w:r>
      <w:r>
        <w:rPr>
          <w:noProof/>
        </w:rPr>
        <w:fldChar w:fldCharType="begin"/>
      </w:r>
      <w:r>
        <w:rPr>
          <w:noProof/>
        </w:rPr>
        <w:instrText xml:space="preserve"> PAGEREF _Toc479713841 \h </w:instrText>
      </w:r>
      <w:r>
        <w:rPr>
          <w:noProof/>
        </w:rPr>
      </w:r>
      <w:r>
        <w:rPr>
          <w:noProof/>
        </w:rPr>
        <w:fldChar w:fldCharType="separate"/>
      </w:r>
      <w:r w:rsidR="00B35FA3">
        <w:rPr>
          <w:noProof/>
        </w:rPr>
        <w:t>570</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Y690: Informações de Optantes pelo PAES</w:t>
      </w:r>
      <w:r>
        <w:rPr>
          <w:noProof/>
        </w:rPr>
        <w:tab/>
      </w:r>
      <w:r>
        <w:rPr>
          <w:noProof/>
        </w:rPr>
        <w:fldChar w:fldCharType="begin"/>
      </w:r>
      <w:r>
        <w:rPr>
          <w:noProof/>
        </w:rPr>
        <w:instrText xml:space="preserve"> PAGEREF _Toc479713842 \h </w:instrText>
      </w:r>
      <w:r>
        <w:rPr>
          <w:noProof/>
        </w:rPr>
      </w:r>
      <w:r>
        <w:rPr>
          <w:noProof/>
        </w:rPr>
        <w:fldChar w:fldCharType="separate"/>
      </w:r>
      <w:r w:rsidR="00B35FA3">
        <w:rPr>
          <w:noProof/>
        </w:rPr>
        <w:t>572</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Y720: Informações de Períodos Anteriores</w:t>
      </w:r>
      <w:r>
        <w:rPr>
          <w:noProof/>
        </w:rPr>
        <w:tab/>
      </w:r>
      <w:r>
        <w:rPr>
          <w:noProof/>
        </w:rPr>
        <w:fldChar w:fldCharType="begin"/>
      </w:r>
      <w:r>
        <w:rPr>
          <w:noProof/>
        </w:rPr>
        <w:instrText xml:space="preserve"> PAGEREF _Toc479713843 \h </w:instrText>
      </w:r>
      <w:r>
        <w:rPr>
          <w:noProof/>
        </w:rPr>
      </w:r>
      <w:r>
        <w:rPr>
          <w:noProof/>
        </w:rPr>
        <w:fldChar w:fldCharType="separate"/>
      </w:r>
      <w:r w:rsidR="00B35FA3">
        <w:rPr>
          <w:noProof/>
        </w:rPr>
        <w:t>574</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Y800: Outras Informações</w:t>
      </w:r>
      <w:r>
        <w:rPr>
          <w:noProof/>
        </w:rPr>
        <w:tab/>
      </w:r>
      <w:r>
        <w:rPr>
          <w:noProof/>
        </w:rPr>
        <w:fldChar w:fldCharType="begin"/>
      </w:r>
      <w:r>
        <w:rPr>
          <w:noProof/>
        </w:rPr>
        <w:instrText xml:space="preserve"> PAGEREF _Toc479713844 \h </w:instrText>
      </w:r>
      <w:r>
        <w:rPr>
          <w:noProof/>
        </w:rPr>
      </w:r>
      <w:r>
        <w:rPr>
          <w:noProof/>
        </w:rPr>
        <w:fldChar w:fldCharType="separate"/>
      </w:r>
      <w:r w:rsidR="00B35FA3">
        <w:rPr>
          <w:noProof/>
        </w:rPr>
        <w:t>577</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Y990: Encerramento do Bloco Y</w:t>
      </w:r>
      <w:r>
        <w:rPr>
          <w:noProof/>
        </w:rPr>
        <w:tab/>
      </w:r>
      <w:r>
        <w:rPr>
          <w:noProof/>
        </w:rPr>
        <w:fldChar w:fldCharType="begin"/>
      </w:r>
      <w:r>
        <w:rPr>
          <w:noProof/>
        </w:rPr>
        <w:instrText xml:space="preserve"> PAGEREF _Toc479713845 \h </w:instrText>
      </w:r>
      <w:r>
        <w:rPr>
          <w:noProof/>
        </w:rPr>
      </w:r>
      <w:r>
        <w:rPr>
          <w:noProof/>
        </w:rPr>
        <w:fldChar w:fldCharType="separate"/>
      </w:r>
      <w:r w:rsidR="00B35FA3">
        <w:rPr>
          <w:noProof/>
        </w:rPr>
        <w:t>579</w:t>
      </w:r>
      <w:r>
        <w:rPr>
          <w:noProof/>
        </w:rPr>
        <w:fldChar w:fldCharType="end"/>
      </w:r>
    </w:p>
    <w:p w:rsidR="00D944FE" w:rsidRDefault="00D944FE">
      <w:pPr>
        <w:pStyle w:val="Sumrio3"/>
        <w:tabs>
          <w:tab w:val="right" w:leader="dot" w:pos="16260"/>
        </w:tabs>
        <w:rPr>
          <w:rFonts w:asciiTheme="minorHAnsi" w:eastAsiaTheme="minorEastAsia" w:hAnsiTheme="minorHAnsi"/>
          <w:iCs w:val="0"/>
          <w:noProof/>
          <w:sz w:val="22"/>
          <w:szCs w:val="22"/>
          <w:lang w:eastAsia="pt-BR"/>
        </w:rPr>
      </w:pPr>
      <w:r>
        <w:rPr>
          <w:noProof/>
        </w:rPr>
        <w:t>Bloco 9: Encerramento do Arquivo Digital</w:t>
      </w:r>
      <w:r>
        <w:rPr>
          <w:noProof/>
        </w:rPr>
        <w:tab/>
      </w:r>
      <w:r>
        <w:rPr>
          <w:noProof/>
        </w:rPr>
        <w:fldChar w:fldCharType="begin"/>
      </w:r>
      <w:r>
        <w:rPr>
          <w:noProof/>
        </w:rPr>
        <w:instrText xml:space="preserve"> PAGEREF _Toc479713846 \h </w:instrText>
      </w:r>
      <w:r>
        <w:rPr>
          <w:noProof/>
        </w:rPr>
      </w:r>
      <w:r>
        <w:rPr>
          <w:noProof/>
        </w:rPr>
        <w:fldChar w:fldCharType="separate"/>
      </w:r>
      <w:r w:rsidR="00B35FA3">
        <w:rPr>
          <w:noProof/>
        </w:rPr>
        <w:t>580</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9001: Abertura do Bloco 9</w:t>
      </w:r>
      <w:r>
        <w:rPr>
          <w:noProof/>
        </w:rPr>
        <w:tab/>
      </w:r>
      <w:r>
        <w:rPr>
          <w:noProof/>
        </w:rPr>
        <w:fldChar w:fldCharType="begin"/>
      </w:r>
      <w:r>
        <w:rPr>
          <w:noProof/>
        </w:rPr>
        <w:instrText xml:space="preserve"> PAGEREF _Toc479713847 \h </w:instrText>
      </w:r>
      <w:r>
        <w:rPr>
          <w:noProof/>
        </w:rPr>
      </w:r>
      <w:r>
        <w:rPr>
          <w:noProof/>
        </w:rPr>
        <w:fldChar w:fldCharType="separate"/>
      </w:r>
      <w:r w:rsidR="00B35FA3">
        <w:rPr>
          <w:noProof/>
        </w:rPr>
        <w:t>580</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9100: Avisos da Escrituração</w:t>
      </w:r>
      <w:r>
        <w:rPr>
          <w:noProof/>
        </w:rPr>
        <w:tab/>
      </w:r>
      <w:r>
        <w:rPr>
          <w:noProof/>
        </w:rPr>
        <w:fldChar w:fldCharType="begin"/>
      </w:r>
      <w:r>
        <w:rPr>
          <w:noProof/>
        </w:rPr>
        <w:instrText xml:space="preserve"> PAGEREF _Toc479713848 \h </w:instrText>
      </w:r>
      <w:r>
        <w:rPr>
          <w:noProof/>
        </w:rPr>
      </w:r>
      <w:r>
        <w:rPr>
          <w:noProof/>
        </w:rPr>
        <w:fldChar w:fldCharType="separate"/>
      </w:r>
      <w:r w:rsidR="00B35FA3">
        <w:rPr>
          <w:noProof/>
        </w:rPr>
        <w:t>581</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9900: Registros do Arquivo</w:t>
      </w:r>
      <w:r>
        <w:rPr>
          <w:noProof/>
        </w:rPr>
        <w:tab/>
      </w:r>
      <w:r>
        <w:rPr>
          <w:noProof/>
        </w:rPr>
        <w:fldChar w:fldCharType="begin"/>
      </w:r>
      <w:r>
        <w:rPr>
          <w:noProof/>
        </w:rPr>
        <w:instrText xml:space="preserve"> PAGEREF _Toc479713849 \h </w:instrText>
      </w:r>
      <w:r>
        <w:rPr>
          <w:noProof/>
        </w:rPr>
      </w:r>
      <w:r>
        <w:rPr>
          <w:noProof/>
        </w:rPr>
        <w:fldChar w:fldCharType="separate"/>
      </w:r>
      <w:r w:rsidR="00B35FA3">
        <w:rPr>
          <w:noProof/>
        </w:rPr>
        <w:t>582</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9990: Encerramento do Bloco 9</w:t>
      </w:r>
      <w:r>
        <w:rPr>
          <w:noProof/>
        </w:rPr>
        <w:tab/>
      </w:r>
      <w:r>
        <w:rPr>
          <w:noProof/>
        </w:rPr>
        <w:fldChar w:fldCharType="begin"/>
      </w:r>
      <w:r>
        <w:rPr>
          <w:noProof/>
        </w:rPr>
        <w:instrText xml:space="preserve"> PAGEREF _Toc479713850 \h </w:instrText>
      </w:r>
      <w:r>
        <w:rPr>
          <w:noProof/>
        </w:rPr>
      </w:r>
      <w:r>
        <w:rPr>
          <w:noProof/>
        </w:rPr>
        <w:fldChar w:fldCharType="separate"/>
      </w:r>
      <w:r w:rsidR="00B35FA3">
        <w:rPr>
          <w:noProof/>
        </w:rPr>
        <w:t>584</w:t>
      </w:r>
      <w:r>
        <w:rPr>
          <w:noProof/>
        </w:rPr>
        <w:fldChar w:fldCharType="end"/>
      </w:r>
    </w:p>
    <w:p w:rsidR="00D944FE" w:rsidRDefault="00D944FE">
      <w:pPr>
        <w:pStyle w:val="Sumrio4"/>
        <w:tabs>
          <w:tab w:val="right" w:leader="dot" w:pos="16260"/>
        </w:tabs>
        <w:rPr>
          <w:rFonts w:asciiTheme="minorHAnsi" w:eastAsiaTheme="minorEastAsia" w:hAnsiTheme="minorHAnsi"/>
          <w:noProof/>
          <w:sz w:val="22"/>
          <w:szCs w:val="22"/>
          <w:lang w:eastAsia="pt-BR"/>
        </w:rPr>
      </w:pPr>
      <w:r>
        <w:rPr>
          <w:noProof/>
        </w:rPr>
        <w:t>Registro 9999: Encerramento do Arquivo Digital</w:t>
      </w:r>
      <w:r>
        <w:rPr>
          <w:noProof/>
        </w:rPr>
        <w:tab/>
      </w:r>
      <w:r>
        <w:rPr>
          <w:noProof/>
        </w:rPr>
        <w:fldChar w:fldCharType="begin"/>
      </w:r>
      <w:r>
        <w:rPr>
          <w:noProof/>
        </w:rPr>
        <w:instrText xml:space="preserve"> PAGEREF _Toc479713851 \h </w:instrText>
      </w:r>
      <w:r>
        <w:rPr>
          <w:noProof/>
        </w:rPr>
      </w:r>
      <w:r>
        <w:rPr>
          <w:noProof/>
        </w:rPr>
        <w:fldChar w:fldCharType="separate"/>
      </w:r>
      <w:r w:rsidR="00B35FA3">
        <w:rPr>
          <w:noProof/>
        </w:rPr>
        <w:t>585</w:t>
      </w:r>
      <w:r>
        <w:rPr>
          <w:noProof/>
        </w:rPr>
        <w:fldChar w:fldCharType="end"/>
      </w:r>
    </w:p>
    <w:p w:rsidR="00D944FE" w:rsidRDefault="00D944FE">
      <w:pPr>
        <w:pStyle w:val="Sumrio1"/>
        <w:rPr>
          <w:rFonts w:asciiTheme="minorHAnsi" w:eastAsiaTheme="minorEastAsia" w:hAnsiTheme="minorHAnsi"/>
          <w:bCs w:val="0"/>
          <w:sz w:val="22"/>
          <w:szCs w:val="22"/>
          <w:lang w:eastAsia="pt-BR"/>
        </w:rPr>
      </w:pPr>
      <w:r w:rsidRPr="001D0DC0">
        <w:rPr>
          <w:rFonts w:eastAsia="Arial Unicode MS"/>
          <w:bCs w:val="0"/>
          <w:lang w:eastAsia="ar-SA"/>
        </w:rPr>
        <w:t>Anexo - Alterações do Manual</w:t>
      </w:r>
      <w:r>
        <w:tab/>
      </w:r>
      <w:r>
        <w:fldChar w:fldCharType="begin"/>
      </w:r>
      <w:r>
        <w:instrText xml:space="preserve"> PAGEREF _Toc479713852 \h </w:instrText>
      </w:r>
      <w:r>
        <w:fldChar w:fldCharType="separate"/>
      </w:r>
      <w:r w:rsidR="00B35FA3">
        <w:t>586</w:t>
      </w:r>
      <w:r>
        <w:fldChar w:fldCharType="end"/>
      </w:r>
    </w:p>
    <w:p w:rsidR="00D944FE" w:rsidRDefault="00D944FE">
      <w:pPr>
        <w:pStyle w:val="Sumrio3"/>
        <w:tabs>
          <w:tab w:val="right" w:leader="dot" w:pos="16260"/>
        </w:tabs>
        <w:rPr>
          <w:rFonts w:asciiTheme="minorHAnsi" w:eastAsiaTheme="minorEastAsia" w:hAnsiTheme="minorHAnsi"/>
          <w:iCs w:val="0"/>
          <w:noProof/>
          <w:sz w:val="22"/>
          <w:szCs w:val="22"/>
          <w:lang w:eastAsia="pt-BR"/>
        </w:rPr>
      </w:pPr>
      <w:r w:rsidRPr="001D0DC0">
        <w:rPr>
          <w:noProof/>
          <w:u w:val="single"/>
        </w:rPr>
        <w:t>Alteração no item:</w:t>
      </w:r>
      <w:r w:rsidRPr="001D0DC0">
        <w:rPr>
          <w:noProof/>
        </w:rPr>
        <w:t xml:space="preserve"> </w:t>
      </w:r>
      <w:r>
        <w:rPr>
          <w:noProof/>
        </w:rPr>
        <w:t>2.3.7. Pesquisa nos registros: Inclusão de item.</w:t>
      </w:r>
      <w:r>
        <w:rPr>
          <w:noProof/>
        </w:rPr>
        <w:tab/>
      </w:r>
      <w:r>
        <w:rPr>
          <w:noProof/>
        </w:rPr>
        <w:fldChar w:fldCharType="begin"/>
      </w:r>
      <w:r>
        <w:rPr>
          <w:noProof/>
        </w:rPr>
        <w:instrText xml:space="preserve"> PAGEREF _Toc479713853 \h </w:instrText>
      </w:r>
      <w:r>
        <w:rPr>
          <w:noProof/>
        </w:rPr>
      </w:r>
      <w:r>
        <w:rPr>
          <w:noProof/>
        </w:rPr>
        <w:fldChar w:fldCharType="separate"/>
      </w:r>
      <w:r w:rsidR="00B35FA3">
        <w:rPr>
          <w:noProof/>
        </w:rPr>
        <w:t>586</w:t>
      </w:r>
      <w:r>
        <w:rPr>
          <w:noProof/>
        </w:rPr>
        <w:fldChar w:fldCharType="end"/>
      </w:r>
    </w:p>
    <w:p w:rsidR="00D944FE" w:rsidRDefault="00D944FE">
      <w:pPr>
        <w:pStyle w:val="Sumrio3"/>
        <w:tabs>
          <w:tab w:val="right" w:leader="dot" w:pos="16260"/>
        </w:tabs>
        <w:rPr>
          <w:rFonts w:asciiTheme="minorHAnsi" w:eastAsiaTheme="minorEastAsia" w:hAnsiTheme="minorHAnsi"/>
          <w:iCs w:val="0"/>
          <w:noProof/>
          <w:sz w:val="22"/>
          <w:szCs w:val="22"/>
          <w:lang w:eastAsia="pt-BR"/>
        </w:rPr>
      </w:pPr>
      <w:r w:rsidRPr="001D0DC0">
        <w:rPr>
          <w:noProof/>
          <w:u w:val="single"/>
        </w:rPr>
        <w:t>Alteração no item:</w:t>
      </w:r>
      <w:r w:rsidRPr="001D0DC0">
        <w:rPr>
          <w:noProof/>
        </w:rPr>
        <w:t xml:space="preserve"> </w:t>
      </w:r>
      <w:r>
        <w:rPr>
          <w:noProof/>
        </w:rPr>
        <w:t>Registro 0000: Abertura do Arquivo Digital e Identificação da Pessoa Jurídica: Inclusão de regra.</w:t>
      </w:r>
      <w:r>
        <w:rPr>
          <w:noProof/>
        </w:rPr>
        <w:tab/>
      </w:r>
      <w:r>
        <w:rPr>
          <w:noProof/>
        </w:rPr>
        <w:fldChar w:fldCharType="begin"/>
      </w:r>
      <w:r>
        <w:rPr>
          <w:noProof/>
        </w:rPr>
        <w:instrText xml:space="preserve"> PAGEREF _Toc479713854 \h </w:instrText>
      </w:r>
      <w:r>
        <w:rPr>
          <w:noProof/>
        </w:rPr>
      </w:r>
      <w:r>
        <w:rPr>
          <w:noProof/>
        </w:rPr>
        <w:fldChar w:fldCharType="separate"/>
      </w:r>
      <w:r w:rsidR="00B35FA3">
        <w:rPr>
          <w:noProof/>
        </w:rPr>
        <w:t>586</w:t>
      </w:r>
      <w:r>
        <w:rPr>
          <w:noProof/>
        </w:rPr>
        <w:fldChar w:fldCharType="end"/>
      </w:r>
    </w:p>
    <w:p w:rsidR="00D944FE" w:rsidRDefault="00D944FE">
      <w:pPr>
        <w:pStyle w:val="Sumrio3"/>
        <w:tabs>
          <w:tab w:val="right" w:leader="dot" w:pos="16260"/>
        </w:tabs>
        <w:rPr>
          <w:rFonts w:asciiTheme="minorHAnsi" w:eastAsiaTheme="minorEastAsia" w:hAnsiTheme="minorHAnsi"/>
          <w:iCs w:val="0"/>
          <w:noProof/>
          <w:sz w:val="22"/>
          <w:szCs w:val="22"/>
          <w:lang w:eastAsia="pt-BR"/>
        </w:rPr>
      </w:pPr>
      <w:r w:rsidRPr="001D0DC0">
        <w:rPr>
          <w:noProof/>
          <w:u w:val="single"/>
        </w:rPr>
        <w:t>Alteração no item:</w:t>
      </w:r>
      <w:r w:rsidRPr="001D0DC0">
        <w:rPr>
          <w:noProof/>
        </w:rPr>
        <w:t xml:space="preserve"> </w:t>
      </w:r>
      <w:r>
        <w:rPr>
          <w:noProof/>
        </w:rPr>
        <w:t>Registro 0010: Parâmetros de Tributação: Atualização da descrição do campo.</w:t>
      </w:r>
      <w:r>
        <w:rPr>
          <w:noProof/>
        </w:rPr>
        <w:tab/>
      </w:r>
      <w:r>
        <w:rPr>
          <w:noProof/>
        </w:rPr>
        <w:fldChar w:fldCharType="begin"/>
      </w:r>
      <w:r>
        <w:rPr>
          <w:noProof/>
        </w:rPr>
        <w:instrText xml:space="preserve"> PAGEREF _Toc479713855 \h </w:instrText>
      </w:r>
      <w:r>
        <w:rPr>
          <w:noProof/>
        </w:rPr>
      </w:r>
      <w:r>
        <w:rPr>
          <w:noProof/>
        </w:rPr>
        <w:fldChar w:fldCharType="separate"/>
      </w:r>
      <w:r w:rsidR="00B35FA3">
        <w:rPr>
          <w:noProof/>
        </w:rPr>
        <w:t>586</w:t>
      </w:r>
      <w:r>
        <w:rPr>
          <w:noProof/>
        </w:rPr>
        <w:fldChar w:fldCharType="end"/>
      </w:r>
    </w:p>
    <w:p w:rsidR="00D944FE" w:rsidRDefault="00D944FE">
      <w:pPr>
        <w:pStyle w:val="Sumrio3"/>
        <w:tabs>
          <w:tab w:val="right" w:leader="dot" w:pos="16260"/>
        </w:tabs>
        <w:rPr>
          <w:rFonts w:asciiTheme="minorHAnsi" w:eastAsiaTheme="minorEastAsia" w:hAnsiTheme="minorHAnsi"/>
          <w:iCs w:val="0"/>
          <w:noProof/>
          <w:sz w:val="22"/>
          <w:szCs w:val="22"/>
          <w:lang w:eastAsia="pt-BR"/>
        </w:rPr>
      </w:pPr>
      <w:r w:rsidRPr="001D0DC0">
        <w:rPr>
          <w:noProof/>
          <w:u w:val="single"/>
        </w:rPr>
        <w:t>Alteração no item:</w:t>
      </w:r>
      <w:r w:rsidRPr="001D0DC0">
        <w:rPr>
          <w:noProof/>
        </w:rPr>
        <w:t xml:space="preserve"> </w:t>
      </w:r>
      <w:r>
        <w:rPr>
          <w:noProof/>
        </w:rPr>
        <w:t>Registro L300: Demonstração do Resultado Líquido no Período Fiscal: Inclusão de conta no L300A</w:t>
      </w:r>
      <w:r>
        <w:rPr>
          <w:noProof/>
        </w:rPr>
        <w:tab/>
      </w:r>
      <w:r>
        <w:rPr>
          <w:noProof/>
        </w:rPr>
        <w:fldChar w:fldCharType="begin"/>
      </w:r>
      <w:r>
        <w:rPr>
          <w:noProof/>
        </w:rPr>
        <w:instrText xml:space="preserve"> PAGEREF _Toc479713856 \h </w:instrText>
      </w:r>
      <w:r>
        <w:rPr>
          <w:noProof/>
        </w:rPr>
      </w:r>
      <w:r>
        <w:rPr>
          <w:noProof/>
        </w:rPr>
        <w:fldChar w:fldCharType="separate"/>
      </w:r>
      <w:r w:rsidR="00B35FA3">
        <w:rPr>
          <w:noProof/>
        </w:rPr>
        <w:t>588</w:t>
      </w:r>
      <w:r>
        <w:rPr>
          <w:noProof/>
        </w:rPr>
        <w:fldChar w:fldCharType="end"/>
      </w:r>
    </w:p>
    <w:p w:rsidR="00D944FE" w:rsidRDefault="00D944FE">
      <w:pPr>
        <w:pStyle w:val="Sumrio3"/>
        <w:tabs>
          <w:tab w:val="right" w:leader="dot" w:pos="16260"/>
        </w:tabs>
        <w:rPr>
          <w:rFonts w:asciiTheme="minorHAnsi" w:eastAsiaTheme="minorEastAsia" w:hAnsiTheme="minorHAnsi"/>
          <w:iCs w:val="0"/>
          <w:noProof/>
          <w:sz w:val="22"/>
          <w:szCs w:val="22"/>
          <w:lang w:eastAsia="pt-BR"/>
        </w:rPr>
      </w:pPr>
      <w:r w:rsidRPr="001D0DC0">
        <w:rPr>
          <w:noProof/>
          <w:u w:val="single"/>
        </w:rPr>
        <w:t>Alteração no item:</w:t>
      </w:r>
      <w:r w:rsidRPr="001D0DC0">
        <w:rPr>
          <w:noProof/>
        </w:rPr>
        <w:t xml:space="preserve"> </w:t>
      </w:r>
      <w:r>
        <w:rPr>
          <w:noProof/>
        </w:rPr>
        <w:t>Registro M310: Contas Contábeis Relacionadas ao Lançamento da Parte A do e-Lalur: Inclusão de regra.</w:t>
      </w:r>
      <w:r>
        <w:rPr>
          <w:noProof/>
        </w:rPr>
        <w:tab/>
      </w:r>
      <w:r>
        <w:rPr>
          <w:noProof/>
        </w:rPr>
        <w:fldChar w:fldCharType="begin"/>
      </w:r>
      <w:r>
        <w:rPr>
          <w:noProof/>
        </w:rPr>
        <w:instrText xml:space="preserve"> PAGEREF _Toc479713857 \h </w:instrText>
      </w:r>
      <w:r>
        <w:rPr>
          <w:noProof/>
        </w:rPr>
      </w:r>
      <w:r>
        <w:rPr>
          <w:noProof/>
        </w:rPr>
        <w:fldChar w:fldCharType="separate"/>
      </w:r>
      <w:r w:rsidR="00B35FA3">
        <w:rPr>
          <w:noProof/>
        </w:rPr>
        <w:t>589</w:t>
      </w:r>
      <w:r>
        <w:rPr>
          <w:noProof/>
        </w:rPr>
        <w:fldChar w:fldCharType="end"/>
      </w:r>
    </w:p>
    <w:p w:rsidR="00D944FE" w:rsidRDefault="00D944FE">
      <w:pPr>
        <w:pStyle w:val="Sumrio3"/>
        <w:tabs>
          <w:tab w:val="right" w:leader="dot" w:pos="16260"/>
        </w:tabs>
        <w:rPr>
          <w:rFonts w:asciiTheme="minorHAnsi" w:eastAsiaTheme="minorEastAsia" w:hAnsiTheme="minorHAnsi"/>
          <w:iCs w:val="0"/>
          <w:noProof/>
          <w:sz w:val="22"/>
          <w:szCs w:val="22"/>
          <w:lang w:eastAsia="pt-BR"/>
        </w:rPr>
      </w:pPr>
      <w:r w:rsidRPr="001D0DC0">
        <w:rPr>
          <w:noProof/>
          <w:u w:val="single"/>
        </w:rPr>
        <w:t>Alteração no item:</w:t>
      </w:r>
      <w:r w:rsidRPr="001D0DC0">
        <w:rPr>
          <w:noProof/>
        </w:rPr>
        <w:t xml:space="preserve"> </w:t>
      </w:r>
      <w:r>
        <w:rPr>
          <w:noProof/>
        </w:rPr>
        <w:t>Registro M360: Contas Contábeis Relacionadas ao Lançamento da Parte A do e-Lacs: Inclusão de regra.</w:t>
      </w:r>
      <w:r>
        <w:rPr>
          <w:noProof/>
        </w:rPr>
        <w:tab/>
      </w:r>
      <w:r>
        <w:rPr>
          <w:noProof/>
        </w:rPr>
        <w:fldChar w:fldCharType="begin"/>
      </w:r>
      <w:r>
        <w:rPr>
          <w:noProof/>
        </w:rPr>
        <w:instrText xml:space="preserve"> PAGEREF _Toc479713858 \h </w:instrText>
      </w:r>
      <w:r>
        <w:rPr>
          <w:noProof/>
        </w:rPr>
      </w:r>
      <w:r>
        <w:rPr>
          <w:noProof/>
        </w:rPr>
        <w:fldChar w:fldCharType="separate"/>
      </w:r>
      <w:r w:rsidR="00B35FA3">
        <w:rPr>
          <w:noProof/>
        </w:rPr>
        <w:t>590</w:t>
      </w:r>
      <w:r>
        <w:rPr>
          <w:noProof/>
        </w:rPr>
        <w:fldChar w:fldCharType="end"/>
      </w:r>
    </w:p>
    <w:p w:rsidR="00D944FE" w:rsidRDefault="00D944FE">
      <w:pPr>
        <w:pStyle w:val="Sumrio3"/>
        <w:tabs>
          <w:tab w:val="right" w:leader="dot" w:pos="16260"/>
        </w:tabs>
        <w:rPr>
          <w:rFonts w:asciiTheme="minorHAnsi" w:eastAsiaTheme="minorEastAsia" w:hAnsiTheme="minorHAnsi"/>
          <w:iCs w:val="0"/>
          <w:noProof/>
          <w:sz w:val="22"/>
          <w:szCs w:val="22"/>
          <w:lang w:eastAsia="pt-BR"/>
        </w:rPr>
      </w:pPr>
      <w:r w:rsidRPr="001D0DC0">
        <w:rPr>
          <w:noProof/>
          <w:u w:val="single"/>
        </w:rPr>
        <w:t xml:space="preserve">Alteração no item: </w:t>
      </w:r>
      <w:r>
        <w:rPr>
          <w:noProof/>
        </w:rPr>
        <w:t>Registro W100: Informações sobre o Grupo Multinacional e a Entidade Declarante – Declaração País-a-País: Alteração de regra.</w:t>
      </w:r>
      <w:r>
        <w:rPr>
          <w:noProof/>
        </w:rPr>
        <w:tab/>
      </w:r>
      <w:r>
        <w:rPr>
          <w:noProof/>
        </w:rPr>
        <w:fldChar w:fldCharType="begin"/>
      </w:r>
      <w:r>
        <w:rPr>
          <w:noProof/>
        </w:rPr>
        <w:instrText xml:space="preserve"> PAGEREF _Toc479713859 \h </w:instrText>
      </w:r>
      <w:r>
        <w:rPr>
          <w:noProof/>
        </w:rPr>
      </w:r>
      <w:r>
        <w:rPr>
          <w:noProof/>
        </w:rPr>
        <w:fldChar w:fldCharType="separate"/>
      </w:r>
      <w:r w:rsidR="00B35FA3">
        <w:rPr>
          <w:noProof/>
        </w:rPr>
        <w:t>590</w:t>
      </w:r>
      <w:r>
        <w:rPr>
          <w:noProof/>
        </w:rPr>
        <w:fldChar w:fldCharType="end"/>
      </w:r>
    </w:p>
    <w:p w:rsidR="00D944FE" w:rsidRDefault="00D944FE">
      <w:pPr>
        <w:pStyle w:val="Sumrio3"/>
        <w:tabs>
          <w:tab w:val="right" w:leader="dot" w:pos="16260"/>
        </w:tabs>
        <w:rPr>
          <w:rFonts w:asciiTheme="minorHAnsi" w:eastAsiaTheme="minorEastAsia" w:hAnsiTheme="minorHAnsi"/>
          <w:iCs w:val="0"/>
          <w:noProof/>
          <w:sz w:val="22"/>
          <w:szCs w:val="22"/>
          <w:lang w:eastAsia="pt-BR"/>
        </w:rPr>
      </w:pPr>
      <w:r w:rsidRPr="001D0DC0">
        <w:rPr>
          <w:noProof/>
          <w:u w:val="single"/>
        </w:rPr>
        <w:lastRenderedPageBreak/>
        <w:t>Alteração no item:</w:t>
      </w:r>
      <w:r w:rsidRPr="001D0DC0">
        <w:rPr>
          <w:noProof/>
        </w:rPr>
        <w:t xml:space="preserve"> </w:t>
      </w:r>
      <w:r>
        <w:rPr>
          <w:noProof/>
        </w:rPr>
        <w:t>Registro W200: Declaração País-a-País: Alteração do tipo dos campos de “N” para “NS”.</w:t>
      </w:r>
      <w:r>
        <w:rPr>
          <w:noProof/>
        </w:rPr>
        <w:tab/>
      </w:r>
      <w:r>
        <w:rPr>
          <w:noProof/>
        </w:rPr>
        <w:fldChar w:fldCharType="begin"/>
      </w:r>
      <w:r>
        <w:rPr>
          <w:noProof/>
        </w:rPr>
        <w:instrText xml:space="preserve"> PAGEREF _Toc479713860 \h </w:instrText>
      </w:r>
      <w:r>
        <w:rPr>
          <w:noProof/>
        </w:rPr>
      </w:r>
      <w:r>
        <w:rPr>
          <w:noProof/>
        </w:rPr>
        <w:fldChar w:fldCharType="separate"/>
      </w:r>
      <w:r w:rsidR="00B35FA3">
        <w:rPr>
          <w:noProof/>
        </w:rPr>
        <w:t>590</w:t>
      </w:r>
      <w:r>
        <w:rPr>
          <w:noProof/>
        </w:rPr>
        <w:fldChar w:fldCharType="end"/>
      </w:r>
    </w:p>
    <w:p w:rsidR="00D944FE" w:rsidRDefault="00D944FE">
      <w:pPr>
        <w:pStyle w:val="Sumrio3"/>
        <w:tabs>
          <w:tab w:val="right" w:leader="dot" w:pos="16260"/>
        </w:tabs>
        <w:rPr>
          <w:rFonts w:asciiTheme="minorHAnsi" w:eastAsiaTheme="minorEastAsia" w:hAnsiTheme="minorHAnsi"/>
          <w:iCs w:val="0"/>
          <w:noProof/>
          <w:sz w:val="22"/>
          <w:szCs w:val="22"/>
          <w:lang w:eastAsia="pt-BR"/>
        </w:rPr>
      </w:pPr>
      <w:r w:rsidRPr="001D0DC0">
        <w:rPr>
          <w:noProof/>
          <w:u w:val="single"/>
        </w:rPr>
        <w:t>Alteração no item:</w:t>
      </w:r>
      <w:r w:rsidRPr="001D0DC0">
        <w:rPr>
          <w:noProof/>
        </w:rPr>
        <w:t xml:space="preserve"> </w:t>
      </w:r>
      <w:r>
        <w:rPr>
          <w:noProof/>
        </w:rPr>
        <w:t>Registro W250: Declaração País-a-País – Entidades Integrantes: Alteração do tamanho dos campos.</w:t>
      </w:r>
      <w:r>
        <w:rPr>
          <w:noProof/>
        </w:rPr>
        <w:tab/>
      </w:r>
      <w:r>
        <w:rPr>
          <w:noProof/>
        </w:rPr>
        <w:fldChar w:fldCharType="begin"/>
      </w:r>
      <w:r>
        <w:rPr>
          <w:noProof/>
        </w:rPr>
        <w:instrText xml:space="preserve"> PAGEREF _Toc479713861 \h </w:instrText>
      </w:r>
      <w:r>
        <w:rPr>
          <w:noProof/>
        </w:rPr>
      </w:r>
      <w:r>
        <w:rPr>
          <w:noProof/>
        </w:rPr>
        <w:fldChar w:fldCharType="separate"/>
      </w:r>
      <w:r w:rsidR="00B35FA3">
        <w:rPr>
          <w:noProof/>
        </w:rPr>
        <w:t>590</w:t>
      </w:r>
      <w:r>
        <w:rPr>
          <w:noProof/>
        </w:rPr>
        <w:fldChar w:fldCharType="end"/>
      </w:r>
    </w:p>
    <w:p w:rsidR="00D944FE" w:rsidRDefault="00D944FE">
      <w:pPr>
        <w:pStyle w:val="Sumrio3"/>
        <w:tabs>
          <w:tab w:val="right" w:leader="dot" w:pos="16260"/>
        </w:tabs>
        <w:rPr>
          <w:rFonts w:asciiTheme="minorHAnsi" w:eastAsiaTheme="minorEastAsia" w:hAnsiTheme="minorHAnsi"/>
          <w:iCs w:val="0"/>
          <w:noProof/>
          <w:sz w:val="22"/>
          <w:szCs w:val="22"/>
          <w:lang w:eastAsia="pt-BR"/>
        </w:rPr>
      </w:pPr>
      <w:r w:rsidRPr="001D0DC0">
        <w:rPr>
          <w:noProof/>
          <w:u w:val="single"/>
        </w:rPr>
        <w:t>Alteração no item:</w:t>
      </w:r>
      <w:r>
        <w:rPr>
          <w:noProof/>
        </w:rPr>
        <w:t xml:space="preserve"> Registro X320: Operações com o Exterior – Importações (Saída de Divisas): Inclusão de campo.</w:t>
      </w:r>
      <w:r>
        <w:rPr>
          <w:noProof/>
        </w:rPr>
        <w:tab/>
      </w:r>
      <w:r>
        <w:rPr>
          <w:noProof/>
        </w:rPr>
        <w:fldChar w:fldCharType="begin"/>
      </w:r>
      <w:r>
        <w:rPr>
          <w:noProof/>
        </w:rPr>
        <w:instrText xml:space="preserve"> PAGEREF _Toc479713862 \h </w:instrText>
      </w:r>
      <w:r>
        <w:rPr>
          <w:noProof/>
        </w:rPr>
      </w:r>
      <w:r>
        <w:rPr>
          <w:noProof/>
        </w:rPr>
        <w:fldChar w:fldCharType="separate"/>
      </w:r>
      <w:r w:rsidR="00B35FA3">
        <w:rPr>
          <w:noProof/>
        </w:rPr>
        <w:t>591</w:t>
      </w:r>
      <w:r>
        <w:rPr>
          <w:noProof/>
        </w:rPr>
        <w:fldChar w:fldCharType="end"/>
      </w:r>
    </w:p>
    <w:p w:rsidR="00D944FE" w:rsidRDefault="00D944FE">
      <w:pPr>
        <w:pStyle w:val="Sumrio3"/>
        <w:tabs>
          <w:tab w:val="right" w:leader="dot" w:pos="16260"/>
        </w:tabs>
        <w:rPr>
          <w:rFonts w:asciiTheme="minorHAnsi" w:eastAsiaTheme="minorEastAsia" w:hAnsiTheme="minorHAnsi"/>
          <w:iCs w:val="0"/>
          <w:noProof/>
          <w:sz w:val="22"/>
          <w:szCs w:val="22"/>
          <w:lang w:eastAsia="pt-BR"/>
        </w:rPr>
      </w:pPr>
      <w:r w:rsidRPr="001D0DC0">
        <w:rPr>
          <w:noProof/>
          <w:u w:val="single"/>
        </w:rPr>
        <w:t>Alteração no item:</w:t>
      </w:r>
      <w:r w:rsidRPr="001D0DC0">
        <w:rPr>
          <w:noProof/>
        </w:rPr>
        <w:t xml:space="preserve"> </w:t>
      </w:r>
      <w:r>
        <w:rPr>
          <w:noProof/>
        </w:rPr>
        <w:t>Registro X340: Identificação da Participação no Exterior: Inclusão de campo.</w:t>
      </w:r>
      <w:r>
        <w:rPr>
          <w:noProof/>
        </w:rPr>
        <w:tab/>
      </w:r>
      <w:r>
        <w:rPr>
          <w:noProof/>
        </w:rPr>
        <w:fldChar w:fldCharType="begin"/>
      </w:r>
      <w:r>
        <w:rPr>
          <w:noProof/>
        </w:rPr>
        <w:instrText xml:space="preserve"> PAGEREF _Toc479713863 \h </w:instrText>
      </w:r>
      <w:r>
        <w:rPr>
          <w:noProof/>
        </w:rPr>
      </w:r>
      <w:r>
        <w:rPr>
          <w:noProof/>
        </w:rPr>
        <w:fldChar w:fldCharType="separate"/>
      </w:r>
      <w:r w:rsidR="00B35FA3">
        <w:rPr>
          <w:noProof/>
        </w:rPr>
        <w:t>591</w:t>
      </w:r>
      <w:r>
        <w:rPr>
          <w:noProof/>
        </w:rPr>
        <w:fldChar w:fldCharType="end"/>
      </w:r>
    </w:p>
    <w:p w:rsidR="00D944FE" w:rsidRPr="00FA3856" w:rsidRDefault="00D944FE" w:rsidP="00D944FE">
      <w:pPr>
        <w:rPr>
          <w:szCs w:val="20"/>
        </w:rPr>
      </w:pPr>
      <w:r>
        <w:rPr>
          <w:rFonts w:eastAsia="Arial Unicode MS"/>
          <w:b/>
          <w:bCs/>
          <w:caps/>
          <w:noProof/>
          <w:color w:val="0000CC"/>
          <w:szCs w:val="20"/>
          <w:lang w:eastAsia="ar-SA"/>
        </w:rPr>
        <w:fldChar w:fldCharType="end"/>
      </w:r>
    </w:p>
    <w:p w:rsidR="00D944FE" w:rsidRDefault="00D944FE" w:rsidP="00823C2A">
      <w:pPr>
        <w:pStyle w:val="Ttulo1"/>
      </w:pPr>
      <w:r>
        <w:br w:type="page"/>
      </w:r>
    </w:p>
    <w:p w:rsidR="00EC2D50" w:rsidRPr="00FA3856" w:rsidRDefault="00EC2D50" w:rsidP="00823C2A">
      <w:pPr>
        <w:pStyle w:val="Ttulo1"/>
      </w:pPr>
      <w:bookmarkStart w:id="0" w:name="_Toc479713614"/>
      <w:r w:rsidRPr="00FA3856">
        <w:lastRenderedPageBreak/>
        <w:t xml:space="preserve">ESCRITURAÇÃO </w:t>
      </w:r>
      <w:r w:rsidR="0081506D" w:rsidRPr="00FA3856">
        <w:t>CONTÁBIL FISCAL (ECF)</w:t>
      </w:r>
      <w:bookmarkEnd w:id="0"/>
    </w:p>
    <w:p w:rsidR="00EC2D50" w:rsidRPr="00FA3856" w:rsidRDefault="00EC2D50" w:rsidP="00EC2D50">
      <w:pPr>
        <w:rPr>
          <w:szCs w:val="20"/>
        </w:rPr>
      </w:pPr>
    </w:p>
    <w:p w:rsidR="00E716B3" w:rsidRPr="00FA3856" w:rsidRDefault="00E716B3" w:rsidP="00EC2D50">
      <w:pPr>
        <w:pStyle w:val="Ttulo1"/>
      </w:pPr>
      <w:bookmarkStart w:id="1" w:name="_Toc479713615"/>
      <w:r w:rsidRPr="00FA3856">
        <w:t>Capítulo 1 – Informações Gerais</w:t>
      </w:r>
      <w:bookmarkEnd w:id="1"/>
    </w:p>
    <w:p w:rsidR="00E716B3" w:rsidRDefault="00E716B3" w:rsidP="00EC2D50">
      <w:pPr>
        <w:rPr>
          <w:szCs w:val="20"/>
        </w:rPr>
      </w:pPr>
    </w:p>
    <w:p w:rsidR="009A5247" w:rsidRPr="00E929FE" w:rsidRDefault="009A5247" w:rsidP="009A5247">
      <w:pPr>
        <w:ind w:firstLine="708"/>
        <w:jc w:val="both"/>
        <w:rPr>
          <w:b/>
          <w:bCs/>
          <w:szCs w:val="20"/>
        </w:rPr>
      </w:pPr>
      <w:r w:rsidRPr="00E929FE">
        <w:rPr>
          <w:b/>
          <w:bCs/>
          <w:szCs w:val="20"/>
        </w:rPr>
        <w:t>Este Manual refere-se ao leiaute 3, válido para as situações normais e eventos (</w:t>
      </w:r>
      <w:r w:rsidRPr="00E929FE">
        <w:rPr>
          <w:b/>
          <w:szCs w:val="20"/>
        </w:rPr>
        <w:t>8 – Desenquadramento de Imune/Isenta e 9 – Inclusão no Simples Nacional)</w:t>
      </w:r>
      <w:r w:rsidRPr="00E929FE">
        <w:rPr>
          <w:b/>
          <w:bCs/>
          <w:szCs w:val="20"/>
        </w:rPr>
        <w:t xml:space="preserve"> do ano-calendário 2016; e situações especiais de 2017 (</w:t>
      </w:r>
      <w:r w:rsidRPr="00E929FE">
        <w:rPr>
          <w:b/>
          <w:szCs w:val="20"/>
        </w:rPr>
        <w:t>1 – Extinção; 2 – Fusão; 3 – Incorporação \ Incorporada; 4 – Incorporação \ Incorporadora; 5 – Cisão Total e 6 – Cisão Parcial)</w:t>
      </w:r>
      <w:r w:rsidRPr="00E929FE">
        <w:rPr>
          <w:b/>
          <w:bCs/>
          <w:szCs w:val="20"/>
        </w:rPr>
        <w:t>.</w:t>
      </w:r>
    </w:p>
    <w:p w:rsidR="00BA4160" w:rsidRPr="00E929FE" w:rsidRDefault="00BA4160" w:rsidP="009A5247">
      <w:pPr>
        <w:ind w:firstLine="708"/>
        <w:jc w:val="both"/>
        <w:rPr>
          <w:b/>
          <w:bCs/>
          <w:szCs w:val="20"/>
        </w:rPr>
      </w:pPr>
    </w:p>
    <w:tbl>
      <w:tblPr>
        <w:tblStyle w:val="Tabelacomgrade"/>
        <w:tblW w:w="0" w:type="auto"/>
        <w:jc w:val="center"/>
        <w:tblLook w:val="04A0" w:firstRow="1" w:lastRow="0" w:firstColumn="1" w:lastColumn="0" w:noHBand="0" w:noVBand="1"/>
      </w:tblPr>
      <w:tblGrid>
        <w:gridCol w:w="1111"/>
        <w:gridCol w:w="4616"/>
        <w:gridCol w:w="4616"/>
      </w:tblGrid>
      <w:tr w:rsidR="00BA4160" w:rsidRPr="00E929FE" w:rsidTr="00BA4160">
        <w:trPr>
          <w:jc w:val="center"/>
        </w:trPr>
        <w:tc>
          <w:tcPr>
            <w:tcW w:w="1111" w:type="dxa"/>
          </w:tcPr>
          <w:p w:rsidR="00BA4160" w:rsidRPr="00E929FE" w:rsidRDefault="00BA4160" w:rsidP="00BA4160">
            <w:pPr>
              <w:jc w:val="center"/>
              <w:rPr>
                <w:b/>
              </w:rPr>
            </w:pPr>
            <w:r w:rsidRPr="00E929FE">
              <w:rPr>
                <w:b/>
              </w:rPr>
              <w:t>Leiaute</w:t>
            </w:r>
          </w:p>
        </w:tc>
        <w:tc>
          <w:tcPr>
            <w:tcW w:w="4616" w:type="dxa"/>
          </w:tcPr>
          <w:p w:rsidR="00BA4160" w:rsidRPr="00E929FE" w:rsidRDefault="00BA4160" w:rsidP="00BA4160">
            <w:pPr>
              <w:jc w:val="center"/>
              <w:rPr>
                <w:b/>
              </w:rPr>
            </w:pPr>
            <w:r w:rsidRPr="00E929FE">
              <w:rPr>
                <w:b/>
              </w:rPr>
              <w:t>Período</w:t>
            </w:r>
          </w:p>
        </w:tc>
        <w:tc>
          <w:tcPr>
            <w:tcW w:w="4616" w:type="dxa"/>
          </w:tcPr>
          <w:p w:rsidR="00BA4160" w:rsidRPr="00E929FE" w:rsidRDefault="00BA4160" w:rsidP="00BA4160">
            <w:pPr>
              <w:jc w:val="center"/>
              <w:rPr>
                <w:b/>
              </w:rPr>
            </w:pPr>
            <w:r w:rsidRPr="00E929FE">
              <w:rPr>
                <w:b/>
              </w:rPr>
              <w:t>Manual</w:t>
            </w:r>
          </w:p>
        </w:tc>
      </w:tr>
      <w:tr w:rsidR="00BA4160" w:rsidRPr="00E929FE" w:rsidTr="00BA4160">
        <w:trPr>
          <w:jc w:val="center"/>
        </w:trPr>
        <w:tc>
          <w:tcPr>
            <w:tcW w:w="1111" w:type="dxa"/>
          </w:tcPr>
          <w:p w:rsidR="00BA4160" w:rsidRPr="00E929FE" w:rsidRDefault="00BA4160" w:rsidP="00BA4160">
            <w:pPr>
              <w:jc w:val="both"/>
              <w:rPr>
                <w:b/>
              </w:rPr>
            </w:pPr>
            <w:r w:rsidRPr="00E929FE">
              <w:rPr>
                <w:b/>
              </w:rPr>
              <w:t>Leiaute 1</w:t>
            </w:r>
          </w:p>
        </w:tc>
        <w:tc>
          <w:tcPr>
            <w:tcW w:w="4616" w:type="dxa"/>
          </w:tcPr>
          <w:p w:rsidR="00BA4160" w:rsidRPr="00E929FE" w:rsidRDefault="00BA4160" w:rsidP="00BA4160">
            <w:pPr>
              <w:jc w:val="both"/>
              <w:rPr>
                <w:b/>
              </w:rPr>
            </w:pPr>
            <w:r w:rsidRPr="00E929FE">
              <w:rPr>
                <w:b/>
              </w:rPr>
              <w:t>Ano-calendário 2014 e Situações Especiais de 2015</w:t>
            </w:r>
          </w:p>
        </w:tc>
        <w:tc>
          <w:tcPr>
            <w:tcW w:w="4616" w:type="dxa"/>
          </w:tcPr>
          <w:p w:rsidR="00BA4160" w:rsidRPr="00E929FE" w:rsidRDefault="00BA4160" w:rsidP="00BA4160">
            <w:pPr>
              <w:jc w:val="both"/>
              <w:rPr>
                <w:b/>
              </w:rPr>
            </w:pPr>
            <w:r w:rsidRPr="00E929FE">
              <w:rPr>
                <w:b/>
              </w:rPr>
              <w:t>Ato Declaratório Cofis n</w:t>
            </w:r>
            <w:r w:rsidRPr="00E929FE">
              <w:rPr>
                <w:b/>
                <w:u w:val="single"/>
                <w:vertAlign w:val="superscript"/>
              </w:rPr>
              <w:t>o</w:t>
            </w:r>
            <w:r w:rsidRPr="00E929FE">
              <w:rPr>
                <w:b/>
              </w:rPr>
              <w:t xml:space="preserve"> 60/2015</w:t>
            </w:r>
          </w:p>
        </w:tc>
      </w:tr>
      <w:tr w:rsidR="00BA4160" w:rsidRPr="00E929FE" w:rsidTr="00BA4160">
        <w:trPr>
          <w:jc w:val="center"/>
        </w:trPr>
        <w:tc>
          <w:tcPr>
            <w:tcW w:w="1111" w:type="dxa"/>
          </w:tcPr>
          <w:p w:rsidR="00BA4160" w:rsidRPr="00E929FE" w:rsidRDefault="00BA4160" w:rsidP="00BA4160">
            <w:pPr>
              <w:jc w:val="both"/>
              <w:rPr>
                <w:b/>
              </w:rPr>
            </w:pPr>
            <w:r w:rsidRPr="00E929FE">
              <w:rPr>
                <w:b/>
              </w:rPr>
              <w:t>Leiaute 2</w:t>
            </w:r>
          </w:p>
        </w:tc>
        <w:tc>
          <w:tcPr>
            <w:tcW w:w="4616" w:type="dxa"/>
          </w:tcPr>
          <w:p w:rsidR="00BA4160" w:rsidRPr="00E929FE" w:rsidRDefault="00BA4160" w:rsidP="00BA4160">
            <w:pPr>
              <w:jc w:val="both"/>
              <w:rPr>
                <w:b/>
              </w:rPr>
            </w:pPr>
            <w:r w:rsidRPr="00E929FE">
              <w:rPr>
                <w:b/>
              </w:rPr>
              <w:t>Ano-calendário 2015 e Situações Especiais de 2016</w:t>
            </w:r>
          </w:p>
        </w:tc>
        <w:tc>
          <w:tcPr>
            <w:tcW w:w="4616" w:type="dxa"/>
          </w:tcPr>
          <w:p w:rsidR="00BA4160" w:rsidRPr="00E929FE" w:rsidRDefault="00BA4160" w:rsidP="00BA4160">
            <w:pPr>
              <w:jc w:val="both"/>
              <w:rPr>
                <w:b/>
              </w:rPr>
            </w:pPr>
            <w:r w:rsidRPr="00E929FE">
              <w:rPr>
                <w:b/>
              </w:rPr>
              <w:t>Ato Declaratório Cofis n</w:t>
            </w:r>
            <w:r w:rsidRPr="00E929FE">
              <w:rPr>
                <w:b/>
                <w:u w:val="single"/>
                <w:vertAlign w:val="superscript"/>
              </w:rPr>
              <w:t>o</w:t>
            </w:r>
            <w:r w:rsidRPr="00E929FE">
              <w:rPr>
                <w:b/>
              </w:rPr>
              <w:t xml:space="preserve"> 46/2016</w:t>
            </w:r>
          </w:p>
        </w:tc>
      </w:tr>
      <w:tr w:rsidR="00BA4160" w:rsidTr="00BA4160">
        <w:trPr>
          <w:jc w:val="center"/>
        </w:trPr>
        <w:tc>
          <w:tcPr>
            <w:tcW w:w="1111" w:type="dxa"/>
          </w:tcPr>
          <w:p w:rsidR="00BA4160" w:rsidRPr="009F59E4" w:rsidRDefault="00BA4160" w:rsidP="00BA4160">
            <w:pPr>
              <w:jc w:val="both"/>
              <w:rPr>
                <w:b/>
                <w:highlight w:val="yellow"/>
              </w:rPr>
            </w:pPr>
            <w:r w:rsidRPr="009F59E4">
              <w:rPr>
                <w:b/>
                <w:highlight w:val="yellow"/>
              </w:rPr>
              <w:t>Leiaute 3</w:t>
            </w:r>
          </w:p>
        </w:tc>
        <w:tc>
          <w:tcPr>
            <w:tcW w:w="4616" w:type="dxa"/>
          </w:tcPr>
          <w:p w:rsidR="00BA4160" w:rsidRPr="009F59E4" w:rsidRDefault="00BA4160" w:rsidP="00BA4160">
            <w:pPr>
              <w:jc w:val="both"/>
              <w:rPr>
                <w:b/>
                <w:highlight w:val="yellow"/>
              </w:rPr>
            </w:pPr>
            <w:r w:rsidRPr="009F59E4">
              <w:rPr>
                <w:b/>
                <w:highlight w:val="yellow"/>
              </w:rPr>
              <w:t>Ano-calendário 2016 e Situações Especiais de 2017</w:t>
            </w:r>
          </w:p>
        </w:tc>
        <w:tc>
          <w:tcPr>
            <w:tcW w:w="4616" w:type="dxa"/>
          </w:tcPr>
          <w:p w:rsidR="00BA4160" w:rsidRPr="00E929FE" w:rsidRDefault="00BA4160" w:rsidP="00BA4160">
            <w:pPr>
              <w:jc w:val="both"/>
              <w:rPr>
                <w:b/>
              </w:rPr>
            </w:pPr>
            <w:r w:rsidRPr="009F59E4">
              <w:rPr>
                <w:b/>
                <w:highlight w:val="yellow"/>
              </w:rPr>
              <w:t>Ato Declaratório Cofis n</w:t>
            </w:r>
            <w:r w:rsidRPr="009F59E4">
              <w:rPr>
                <w:b/>
                <w:highlight w:val="yellow"/>
                <w:u w:val="single"/>
                <w:vertAlign w:val="superscript"/>
              </w:rPr>
              <w:t>o</w:t>
            </w:r>
            <w:r w:rsidRPr="009F59E4">
              <w:rPr>
                <w:b/>
                <w:highlight w:val="yellow"/>
              </w:rPr>
              <w:t xml:space="preserve"> </w:t>
            </w:r>
            <w:r w:rsidR="009F59E4" w:rsidRPr="009F59E4">
              <w:rPr>
                <w:b/>
                <w:highlight w:val="yellow"/>
              </w:rPr>
              <w:t>30/2017</w:t>
            </w:r>
          </w:p>
        </w:tc>
      </w:tr>
    </w:tbl>
    <w:p w:rsidR="00BA4160" w:rsidRPr="009A5247" w:rsidRDefault="00BA4160" w:rsidP="009A5247">
      <w:pPr>
        <w:ind w:firstLine="708"/>
        <w:jc w:val="both"/>
        <w:rPr>
          <w:b/>
        </w:rPr>
      </w:pPr>
    </w:p>
    <w:p w:rsidR="009A5247" w:rsidRPr="00FA3856" w:rsidRDefault="009A5247" w:rsidP="00EC2D50">
      <w:pPr>
        <w:rPr>
          <w:szCs w:val="20"/>
        </w:rPr>
      </w:pPr>
    </w:p>
    <w:p w:rsidR="00EC2D50" w:rsidRPr="00FA3856" w:rsidRDefault="002728E0" w:rsidP="00867F54">
      <w:pPr>
        <w:pStyle w:val="Ttulo2"/>
      </w:pPr>
      <w:bookmarkStart w:id="2" w:name="_Toc479713616"/>
      <w:r w:rsidRPr="00FA3856">
        <w:t>1.</w:t>
      </w:r>
      <w:r w:rsidR="00FC5876" w:rsidRPr="00FA3856">
        <w:t xml:space="preserve">1. </w:t>
      </w:r>
      <w:r w:rsidR="00E716B3" w:rsidRPr="00FA3856">
        <w:t>Introdução</w:t>
      </w:r>
      <w:bookmarkEnd w:id="2"/>
    </w:p>
    <w:p w:rsidR="00EC2D50" w:rsidRPr="00FA3856" w:rsidRDefault="00EC2D50" w:rsidP="00EC2D50">
      <w:pPr>
        <w:rPr>
          <w:szCs w:val="20"/>
        </w:rPr>
      </w:pPr>
    </w:p>
    <w:p w:rsidR="00EC1E25" w:rsidRPr="00FA3856" w:rsidRDefault="00EC1E25" w:rsidP="00EC2D50">
      <w:pPr>
        <w:ind w:firstLine="708"/>
        <w:jc w:val="both"/>
        <w:rPr>
          <w:szCs w:val="20"/>
        </w:rPr>
      </w:pPr>
      <w:r w:rsidRPr="00FA3856">
        <w:rPr>
          <w:szCs w:val="20"/>
        </w:rPr>
        <w:t>O Sistema Público de Escrituração Digital (SPED</w:t>
      </w:r>
      <w:r w:rsidR="008409C6" w:rsidRPr="00FA3856">
        <w:rPr>
          <w:szCs w:val="20"/>
        </w:rPr>
        <w:t>) foi instituído pelo Decreto n</w:t>
      </w:r>
      <w:r w:rsidR="008409C6" w:rsidRPr="00FA3856">
        <w:rPr>
          <w:szCs w:val="20"/>
          <w:u w:val="single"/>
          <w:vertAlign w:val="superscript"/>
        </w:rPr>
        <w:t>o</w:t>
      </w:r>
      <w:r w:rsidRPr="00FA3856">
        <w:rPr>
          <w:szCs w:val="20"/>
        </w:rPr>
        <w:t xml:space="preserve"> 6.022, de 22 de janeiro de 2007, </w:t>
      </w:r>
      <w:r w:rsidR="00C758E5" w:rsidRPr="00FA3856">
        <w:rPr>
          <w:szCs w:val="20"/>
        </w:rPr>
        <w:t>com alterações pelo Decreto n</w:t>
      </w:r>
      <w:r w:rsidR="00C758E5" w:rsidRPr="00FA3856">
        <w:rPr>
          <w:szCs w:val="20"/>
          <w:u w:val="single"/>
          <w:vertAlign w:val="superscript"/>
        </w:rPr>
        <w:t>o</w:t>
      </w:r>
      <w:r w:rsidR="00C758E5" w:rsidRPr="00FA3856">
        <w:rPr>
          <w:szCs w:val="20"/>
        </w:rPr>
        <w:t xml:space="preserve"> 7.979, de 8 de abril de 2013, </w:t>
      </w:r>
      <w:r w:rsidRPr="00FA3856">
        <w:rPr>
          <w:szCs w:val="20"/>
        </w:rPr>
        <w:t>que o definiu da seguinte maneira:</w:t>
      </w:r>
    </w:p>
    <w:p w:rsidR="00EC1E25" w:rsidRPr="00FA3856" w:rsidRDefault="00EC1E25" w:rsidP="00EC2D50">
      <w:pPr>
        <w:ind w:firstLine="708"/>
        <w:jc w:val="both"/>
        <w:rPr>
          <w:szCs w:val="20"/>
        </w:rPr>
      </w:pPr>
    </w:p>
    <w:p w:rsidR="00EC1E25" w:rsidRPr="00FA3856" w:rsidRDefault="00C758E5" w:rsidP="00C758E5">
      <w:pPr>
        <w:ind w:firstLine="708"/>
        <w:jc w:val="both"/>
        <w:rPr>
          <w:szCs w:val="20"/>
        </w:rPr>
      </w:pPr>
      <w:r w:rsidRPr="00FA3856">
        <w:rPr>
          <w:szCs w:val="20"/>
        </w:rPr>
        <w:t xml:space="preserve">“O Sped é </w:t>
      </w:r>
      <w:r w:rsidR="00E717E5" w:rsidRPr="00FA3856">
        <w:rPr>
          <w:szCs w:val="20"/>
        </w:rPr>
        <w:t xml:space="preserve">um </w:t>
      </w:r>
      <w:r w:rsidRPr="00FA3856">
        <w:rPr>
          <w:szCs w:val="20"/>
        </w:rPr>
        <w:t xml:space="preserve">instrumento que unifica as atividades de recepção, validação, armazenamento e autenticação de livros e documentos que integram a escrituração contábil e fiscal dos empresários e das pessoas jurídicas, inclusive imunes ou isentas, mediante fluxo único, computadorizado, de </w:t>
      </w:r>
      <w:r w:rsidR="00E00235" w:rsidRPr="00FA3856">
        <w:rPr>
          <w:szCs w:val="20"/>
        </w:rPr>
        <w:t>informações. ”</w:t>
      </w:r>
      <w:r w:rsidRPr="00FA3856">
        <w:rPr>
          <w:szCs w:val="20"/>
        </w:rPr>
        <w:t xml:space="preserve"> (Redação dada pelo Decreto n</w:t>
      </w:r>
      <w:r w:rsidRPr="00FA3856">
        <w:rPr>
          <w:szCs w:val="20"/>
          <w:u w:val="single"/>
          <w:vertAlign w:val="superscript"/>
        </w:rPr>
        <w:t>o</w:t>
      </w:r>
      <w:r w:rsidRPr="00FA3856">
        <w:rPr>
          <w:szCs w:val="20"/>
        </w:rPr>
        <w:t xml:space="preserve"> 7.979, de 8 de abril de </w:t>
      </w:r>
      <w:r w:rsidR="007212CF" w:rsidRPr="00FA3856">
        <w:rPr>
          <w:szCs w:val="20"/>
        </w:rPr>
        <w:t>2013)</w:t>
      </w:r>
    </w:p>
    <w:p w:rsidR="00C758E5" w:rsidRPr="00FA3856" w:rsidRDefault="00C758E5" w:rsidP="00EC2D50">
      <w:pPr>
        <w:ind w:firstLine="708"/>
        <w:jc w:val="both"/>
        <w:rPr>
          <w:szCs w:val="20"/>
        </w:rPr>
      </w:pPr>
    </w:p>
    <w:p w:rsidR="00EC1E25" w:rsidRPr="00FA3856" w:rsidRDefault="00EC1E25" w:rsidP="00EC2D50">
      <w:pPr>
        <w:ind w:firstLine="708"/>
        <w:jc w:val="both"/>
        <w:rPr>
          <w:szCs w:val="20"/>
        </w:rPr>
      </w:pPr>
      <w:r w:rsidRPr="00FA3856">
        <w:rPr>
          <w:szCs w:val="20"/>
        </w:rPr>
        <w:t>O projeto SPED tem como objetivos principais:</w:t>
      </w:r>
    </w:p>
    <w:p w:rsidR="00EC1E25" w:rsidRPr="00FA3856" w:rsidRDefault="00EC1E25" w:rsidP="00EC2D50">
      <w:pPr>
        <w:ind w:firstLine="708"/>
        <w:jc w:val="both"/>
        <w:rPr>
          <w:szCs w:val="20"/>
        </w:rPr>
      </w:pPr>
    </w:p>
    <w:p w:rsidR="00EC1E25" w:rsidRPr="00FA3856" w:rsidRDefault="00E3757E" w:rsidP="00EC2D50">
      <w:pPr>
        <w:ind w:firstLine="708"/>
        <w:jc w:val="both"/>
        <w:rPr>
          <w:szCs w:val="20"/>
        </w:rPr>
      </w:pPr>
      <w:r w:rsidRPr="00FA3856">
        <w:rPr>
          <w:szCs w:val="20"/>
        </w:rPr>
        <w:t>- P</w:t>
      </w:r>
      <w:r w:rsidR="00EC1E25" w:rsidRPr="00FA3856">
        <w:rPr>
          <w:szCs w:val="20"/>
        </w:rPr>
        <w:t>romover a integração dos fiscos, mediante a padronização e compartilhamento das informações contábeis e fiscais, respeitadas as restrições legais de acesso;</w:t>
      </w:r>
    </w:p>
    <w:p w:rsidR="00EC1E25" w:rsidRPr="00FA3856" w:rsidRDefault="00EC1E25" w:rsidP="00EC2D50">
      <w:pPr>
        <w:ind w:firstLine="708"/>
        <w:jc w:val="both"/>
        <w:rPr>
          <w:szCs w:val="20"/>
        </w:rPr>
      </w:pPr>
    </w:p>
    <w:p w:rsidR="00EC1E25" w:rsidRPr="00FA3856" w:rsidRDefault="00E3757E" w:rsidP="00EC2D50">
      <w:pPr>
        <w:ind w:firstLine="708"/>
        <w:jc w:val="both"/>
        <w:rPr>
          <w:szCs w:val="20"/>
        </w:rPr>
      </w:pPr>
      <w:r w:rsidRPr="00FA3856">
        <w:rPr>
          <w:szCs w:val="20"/>
        </w:rPr>
        <w:t>- R</w:t>
      </w:r>
      <w:r w:rsidR="00EC1E25" w:rsidRPr="00FA3856">
        <w:rPr>
          <w:szCs w:val="20"/>
        </w:rPr>
        <w:t>acionalizar e uniformizar as obrigações acessórias para os contribuintes, com o estabelecimento de transmissão única de distintas obrigações acessórias de diferentes órgãos fiscalizadores; e</w:t>
      </w:r>
    </w:p>
    <w:p w:rsidR="00EC1E25" w:rsidRPr="00FA3856" w:rsidRDefault="00EC1E25" w:rsidP="00EC2D50">
      <w:pPr>
        <w:ind w:firstLine="708"/>
        <w:jc w:val="both"/>
        <w:rPr>
          <w:szCs w:val="20"/>
        </w:rPr>
      </w:pPr>
    </w:p>
    <w:p w:rsidR="00EC1E25" w:rsidRPr="00FA3856" w:rsidRDefault="00E3757E" w:rsidP="00EC2D50">
      <w:pPr>
        <w:ind w:firstLine="708"/>
        <w:jc w:val="both"/>
        <w:rPr>
          <w:szCs w:val="20"/>
        </w:rPr>
      </w:pPr>
      <w:r w:rsidRPr="00FA3856">
        <w:rPr>
          <w:szCs w:val="20"/>
        </w:rPr>
        <w:t>- T</w:t>
      </w:r>
      <w:r w:rsidR="00EC1E25" w:rsidRPr="00FA3856">
        <w:rPr>
          <w:szCs w:val="20"/>
        </w:rPr>
        <w:t>ornar mais célere a identificação de ilícitos tributários, com a melhoria do controle dos processos, a rapidez no acesso às informações e a fiscalização mais efetiva das operações com o cruzamento de dados e auditoria eletrônica.</w:t>
      </w:r>
    </w:p>
    <w:p w:rsidR="00EC1E25" w:rsidRPr="00FA3856" w:rsidRDefault="00EC1E25" w:rsidP="00EC2D50">
      <w:pPr>
        <w:ind w:firstLine="708"/>
        <w:jc w:val="both"/>
        <w:rPr>
          <w:szCs w:val="20"/>
        </w:rPr>
      </w:pPr>
    </w:p>
    <w:p w:rsidR="00EC1E25" w:rsidRPr="00FA3856" w:rsidRDefault="00EC1E25" w:rsidP="00EC2D50">
      <w:pPr>
        <w:ind w:firstLine="708"/>
        <w:jc w:val="both"/>
        <w:rPr>
          <w:szCs w:val="20"/>
        </w:rPr>
      </w:pPr>
      <w:r w:rsidRPr="00FA3856">
        <w:rPr>
          <w:szCs w:val="20"/>
        </w:rPr>
        <w:t>São vários os benefícios propiciados pelo SPED, entre eles:</w:t>
      </w:r>
    </w:p>
    <w:p w:rsidR="00F71EE0" w:rsidRPr="00FA3856" w:rsidRDefault="00F71EE0" w:rsidP="00EC2D50">
      <w:pPr>
        <w:ind w:firstLine="708"/>
        <w:jc w:val="both"/>
        <w:rPr>
          <w:szCs w:val="20"/>
        </w:rPr>
      </w:pPr>
    </w:p>
    <w:p w:rsidR="00EC1E25" w:rsidRPr="00FA3856" w:rsidRDefault="00E3757E" w:rsidP="00EC2D50">
      <w:pPr>
        <w:ind w:firstLine="708"/>
        <w:jc w:val="both"/>
        <w:rPr>
          <w:szCs w:val="20"/>
        </w:rPr>
      </w:pPr>
      <w:r w:rsidRPr="00FA3856">
        <w:rPr>
          <w:szCs w:val="20"/>
        </w:rPr>
        <w:t>- D</w:t>
      </w:r>
      <w:r w:rsidR="00EC1E25" w:rsidRPr="00FA3856">
        <w:rPr>
          <w:szCs w:val="20"/>
        </w:rPr>
        <w:t>iminuição do consumo de papel, com redução de custos e preservação do meio ambiente;</w:t>
      </w:r>
    </w:p>
    <w:p w:rsidR="00EC1E25" w:rsidRPr="00FA3856" w:rsidRDefault="00EC1E25" w:rsidP="00EC2D50">
      <w:pPr>
        <w:ind w:firstLine="708"/>
        <w:jc w:val="both"/>
        <w:rPr>
          <w:szCs w:val="20"/>
        </w:rPr>
      </w:pPr>
    </w:p>
    <w:p w:rsidR="00EC1E25" w:rsidRPr="00FA3856" w:rsidRDefault="00E3757E" w:rsidP="00EC2D50">
      <w:pPr>
        <w:ind w:firstLine="708"/>
        <w:jc w:val="both"/>
        <w:rPr>
          <w:szCs w:val="20"/>
        </w:rPr>
      </w:pPr>
      <w:r w:rsidRPr="00FA3856">
        <w:rPr>
          <w:szCs w:val="20"/>
        </w:rPr>
        <w:t>- Re</w:t>
      </w:r>
      <w:r w:rsidR="00EC1E25" w:rsidRPr="00FA3856">
        <w:rPr>
          <w:szCs w:val="20"/>
        </w:rPr>
        <w:t>dução de custos com a racionalização e simplificação das obrigações acessórias;</w:t>
      </w:r>
    </w:p>
    <w:p w:rsidR="00EC1E25" w:rsidRPr="00FA3856" w:rsidRDefault="00EC1E25" w:rsidP="00EC2D50">
      <w:pPr>
        <w:ind w:firstLine="708"/>
        <w:jc w:val="both"/>
        <w:rPr>
          <w:szCs w:val="20"/>
        </w:rPr>
      </w:pPr>
    </w:p>
    <w:p w:rsidR="00EC1E25" w:rsidRPr="00FA3856" w:rsidRDefault="00E3757E" w:rsidP="00EC2D50">
      <w:pPr>
        <w:ind w:firstLine="708"/>
        <w:jc w:val="both"/>
        <w:rPr>
          <w:szCs w:val="20"/>
        </w:rPr>
      </w:pPr>
      <w:r w:rsidRPr="00FA3856">
        <w:rPr>
          <w:szCs w:val="20"/>
        </w:rPr>
        <w:t>- U</w:t>
      </w:r>
      <w:r w:rsidR="00EC1E25" w:rsidRPr="00FA3856">
        <w:rPr>
          <w:szCs w:val="20"/>
        </w:rPr>
        <w:t xml:space="preserve">niformização das informações que </w:t>
      </w:r>
      <w:r w:rsidR="00965F0C" w:rsidRPr="00FA3856">
        <w:rPr>
          <w:szCs w:val="20"/>
        </w:rPr>
        <w:t>o contribuinte presta aos diverso</w:t>
      </w:r>
      <w:r w:rsidR="00EC1E25" w:rsidRPr="00FA3856">
        <w:rPr>
          <w:szCs w:val="20"/>
        </w:rPr>
        <w:t>s entes governamentais;</w:t>
      </w:r>
    </w:p>
    <w:p w:rsidR="00EC1E25" w:rsidRPr="00FA3856" w:rsidRDefault="00EC1E25" w:rsidP="00EC2D50">
      <w:pPr>
        <w:ind w:firstLine="708"/>
        <w:jc w:val="both"/>
        <w:rPr>
          <w:szCs w:val="20"/>
        </w:rPr>
      </w:pPr>
    </w:p>
    <w:p w:rsidR="00EC1E25" w:rsidRPr="00FA3856" w:rsidRDefault="00E3757E" w:rsidP="00EC2D50">
      <w:pPr>
        <w:ind w:firstLine="708"/>
        <w:jc w:val="both"/>
        <w:rPr>
          <w:szCs w:val="20"/>
        </w:rPr>
      </w:pPr>
      <w:r w:rsidRPr="00FA3856">
        <w:rPr>
          <w:szCs w:val="20"/>
        </w:rPr>
        <w:t>- R</w:t>
      </w:r>
      <w:r w:rsidR="00EC1E25" w:rsidRPr="00FA3856">
        <w:rPr>
          <w:szCs w:val="20"/>
        </w:rPr>
        <w:t>edução do envolvimento involuntário em práticas fraudulentas;</w:t>
      </w:r>
    </w:p>
    <w:p w:rsidR="00EC1E25" w:rsidRPr="00FA3856" w:rsidRDefault="00EC1E25" w:rsidP="00EC2D50">
      <w:pPr>
        <w:ind w:firstLine="708"/>
        <w:jc w:val="both"/>
        <w:rPr>
          <w:szCs w:val="20"/>
        </w:rPr>
      </w:pPr>
    </w:p>
    <w:p w:rsidR="00EC1E25" w:rsidRPr="00FA3856" w:rsidRDefault="00E3757E" w:rsidP="00EC2D50">
      <w:pPr>
        <w:ind w:firstLine="708"/>
        <w:jc w:val="both"/>
        <w:rPr>
          <w:szCs w:val="20"/>
        </w:rPr>
      </w:pPr>
      <w:r w:rsidRPr="00FA3856">
        <w:rPr>
          <w:szCs w:val="20"/>
        </w:rPr>
        <w:lastRenderedPageBreak/>
        <w:t xml:space="preserve"> - R</w:t>
      </w:r>
      <w:r w:rsidR="00EC1E25" w:rsidRPr="00FA3856">
        <w:rPr>
          <w:szCs w:val="20"/>
        </w:rPr>
        <w:t>edução do tempo despend</w:t>
      </w:r>
      <w:r w:rsidRPr="00FA3856">
        <w:rPr>
          <w:szCs w:val="20"/>
        </w:rPr>
        <w:t>ido com a presença de auditores-</w:t>
      </w:r>
      <w:r w:rsidR="00EC1E25" w:rsidRPr="00FA3856">
        <w:rPr>
          <w:szCs w:val="20"/>
        </w:rPr>
        <w:t>fiscais nas instalações do contribuinte;</w:t>
      </w:r>
    </w:p>
    <w:p w:rsidR="00EC1E25" w:rsidRPr="00FA3856" w:rsidRDefault="00EC1E25" w:rsidP="00EC2D50">
      <w:pPr>
        <w:ind w:firstLine="708"/>
        <w:jc w:val="both"/>
        <w:rPr>
          <w:szCs w:val="20"/>
        </w:rPr>
      </w:pPr>
    </w:p>
    <w:p w:rsidR="00EC1E25" w:rsidRPr="00FA3856" w:rsidRDefault="00E3757E" w:rsidP="00EC2D50">
      <w:pPr>
        <w:ind w:firstLine="708"/>
        <w:jc w:val="both"/>
        <w:rPr>
          <w:szCs w:val="20"/>
        </w:rPr>
      </w:pPr>
      <w:r w:rsidRPr="00FA3856">
        <w:rPr>
          <w:szCs w:val="20"/>
        </w:rPr>
        <w:t>- S</w:t>
      </w:r>
      <w:r w:rsidR="00EC1E25" w:rsidRPr="00FA3856">
        <w:rPr>
          <w:szCs w:val="20"/>
        </w:rPr>
        <w:t>implificação e agilização dos procedimentos sujeitos ao controle da administração tributária;</w:t>
      </w:r>
    </w:p>
    <w:p w:rsidR="00EE5AAF" w:rsidRPr="00FA3856" w:rsidRDefault="00EE5AAF" w:rsidP="00EC2D50">
      <w:pPr>
        <w:ind w:firstLine="708"/>
        <w:jc w:val="both"/>
        <w:rPr>
          <w:szCs w:val="20"/>
        </w:rPr>
      </w:pPr>
    </w:p>
    <w:p w:rsidR="00EC1E25" w:rsidRPr="00FA3856" w:rsidRDefault="00E3757E" w:rsidP="00EC2D50">
      <w:pPr>
        <w:ind w:firstLine="708"/>
        <w:jc w:val="both"/>
        <w:rPr>
          <w:szCs w:val="20"/>
        </w:rPr>
      </w:pPr>
      <w:r w:rsidRPr="00FA3856">
        <w:rPr>
          <w:szCs w:val="20"/>
        </w:rPr>
        <w:t>- F</w:t>
      </w:r>
      <w:r w:rsidR="00EC1E25" w:rsidRPr="00FA3856">
        <w:rPr>
          <w:szCs w:val="20"/>
        </w:rPr>
        <w:t>ortalecimento do controle e da fiscalização por meio de intercâmbio de informações entre as administrações tributárias;</w:t>
      </w:r>
    </w:p>
    <w:p w:rsidR="00EC1E25" w:rsidRPr="00FA3856" w:rsidRDefault="00EC1E25" w:rsidP="00EC2D50">
      <w:pPr>
        <w:ind w:firstLine="708"/>
        <w:jc w:val="both"/>
        <w:rPr>
          <w:szCs w:val="20"/>
        </w:rPr>
      </w:pPr>
    </w:p>
    <w:p w:rsidR="00EC1E25" w:rsidRPr="00FA3856" w:rsidRDefault="00E3757E" w:rsidP="00EC2D50">
      <w:pPr>
        <w:ind w:firstLine="708"/>
        <w:jc w:val="both"/>
        <w:rPr>
          <w:szCs w:val="20"/>
        </w:rPr>
      </w:pPr>
      <w:r w:rsidRPr="00FA3856">
        <w:rPr>
          <w:szCs w:val="20"/>
        </w:rPr>
        <w:t>- R</w:t>
      </w:r>
      <w:r w:rsidR="00EC1E25" w:rsidRPr="00FA3856">
        <w:rPr>
          <w:szCs w:val="20"/>
        </w:rPr>
        <w:t>apidez no acesso às informações;</w:t>
      </w:r>
    </w:p>
    <w:p w:rsidR="00EC1E25" w:rsidRPr="00FA3856" w:rsidRDefault="00EC1E25" w:rsidP="00EC2D50">
      <w:pPr>
        <w:ind w:firstLine="708"/>
        <w:jc w:val="both"/>
        <w:rPr>
          <w:szCs w:val="20"/>
        </w:rPr>
      </w:pPr>
    </w:p>
    <w:p w:rsidR="00EC1E25" w:rsidRPr="00FA3856" w:rsidRDefault="00E3757E" w:rsidP="00EC2D50">
      <w:pPr>
        <w:ind w:firstLine="708"/>
        <w:jc w:val="both"/>
        <w:rPr>
          <w:szCs w:val="20"/>
        </w:rPr>
      </w:pPr>
      <w:r w:rsidRPr="00FA3856">
        <w:rPr>
          <w:szCs w:val="20"/>
        </w:rPr>
        <w:t>- A</w:t>
      </w:r>
      <w:r w:rsidR="00EC1E25" w:rsidRPr="00FA3856">
        <w:rPr>
          <w:szCs w:val="20"/>
        </w:rPr>
        <w:t>umento da produtividade do auditor</w:t>
      </w:r>
      <w:r w:rsidRPr="00FA3856">
        <w:rPr>
          <w:szCs w:val="20"/>
        </w:rPr>
        <w:t>-fiscal</w:t>
      </w:r>
      <w:r w:rsidR="00EC1E25" w:rsidRPr="00FA3856">
        <w:rPr>
          <w:szCs w:val="20"/>
        </w:rPr>
        <w:t xml:space="preserve"> através da eliminação dos passos para coleta dos arquivos;</w:t>
      </w:r>
    </w:p>
    <w:p w:rsidR="009C74B0" w:rsidRDefault="009C74B0" w:rsidP="00EC2D50">
      <w:pPr>
        <w:ind w:firstLine="708"/>
        <w:jc w:val="both"/>
        <w:rPr>
          <w:szCs w:val="20"/>
        </w:rPr>
      </w:pPr>
    </w:p>
    <w:p w:rsidR="00EC1E25" w:rsidRPr="00FA3856" w:rsidRDefault="00E3757E" w:rsidP="00EC2D50">
      <w:pPr>
        <w:ind w:firstLine="708"/>
        <w:jc w:val="both"/>
        <w:rPr>
          <w:szCs w:val="20"/>
        </w:rPr>
      </w:pPr>
      <w:r w:rsidRPr="00FA3856">
        <w:rPr>
          <w:szCs w:val="20"/>
        </w:rPr>
        <w:t>- P</w:t>
      </w:r>
      <w:r w:rsidR="00EC1E25" w:rsidRPr="00FA3856">
        <w:rPr>
          <w:szCs w:val="20"/>
        </w:rPr>
        <w:t>ossibilidade de troca de informações entre os próprios contribuintes a partir de um leiaute padrão;</w:t>
      </w:r>
    </w:p>
    <w:p w:rsidR="00EC1E25" w:rsidRPr="00FA3856" w:rsidRDefault="00EC1E25" w:rsidP="00EC2D50">
      <w:pPr>
        <w:ind w:firstLine="708"/>
        <w:jc w:val="both"/>
        <w:rPr>
          <w:szCs w:val="20"/>
        </w:rPr>
      </w:pPr>
    </w:p>
    <w:p w:rsidR="00EC1E25" w:rsidRPr="00FA3856" w:rsidRDefault="00E3757E" w:rsidP="00EC2D50">
      <w:pPr>
        <w:ind w:firstLine="708"/>
        <w:jc w:val="both"/>
        <w:rPr>
          <w:szCs w:val="20"/>
        </w:rPr>
      </w:pPr>
      <w:r w:rsidRPr="00FA3856">
        <w:rPr>
          <w:szCs w:val="20"/>
        </w:rPr>
        <w:t>- R</w:t>
      </w:r>
      <w:r w:rsidR="00EC1E25" w:rsidRPr="00FA3856">
        <w:rPr>
          <w:szCs w:val="20"/>
        </w:rPr>
        <w:t>edução de custos administrativos;</w:t>
      </w:r>
    </w:p>
    <w:p w:rsidR="00EC1E25" w:rsidRPr="00FA3856" w:rsidRDefault="00EC1E25" w:rsidP="00EC2D50">
      <w:pPr>
        <w:ind w:firstLine="708"/>
        <w:jc w:val="both"/>
        <w:rPr>
          <w:szCs w:val="20"/>
        </w:rPr>
      </w:pPr>
    </w:p>
    <w:p w:rsidR="00EC1E25" w:rsidRPr="00FA3856" w:rsidRDefault="00E3757E" w:rsidP="00EC2D50">
      <w:pPr>
        <w:ind w:firstLine="708"/>
        <w:jc w:val="both"/>
        <w:rPr>
          <w:szCs w:val="20"/>
        </w:rPr>
      </w:pPr>
      <w:r w:rsidRPr="00FA3856">
        <w:rPr>
          <w:szCs w:val="20"/>
        </w:rPr>
        <w:t>- M</w:t>
      </w:r>
      <w:r w:rsidR="00EC1E25" w:rsidRPr="00FA3856">
        <w:rPr>
          <w:szCs w:val="20"/>
        </w:rPr>
        <w:t>elhoria da qualidade da informação;</w:t>
      </w:r>
    </w:p>
    <w:p w:rsidR="00EC1E25" w:rsidRPr="00FA3856" w:rsidRDefault="00EC1E25" w:rsidP="00EC2D50">
      <w:pPr>
        <w:ind w:firstLine="708"/>
        <w:jc w:val="both"/>
        <w:rPr>
          <w:szCs w:val="20"/>
        </w:rPr>
      </w:pPr>
    </w:p>
    <w:p w:rsidR="00EC1E25" w:rsidRPr="00FA3856" w:rsidRDefault="00E3757E" w:rsidP="00EC2D50">
      <w:pPr>
        <w:ind w:firstLine="708"/>
        <w:jc w:val="both"/>
        <w:rPr>
          <w:szCs w:val="20"/>
        </w:rPr>
      </w:pPr>
      <w:r w:rsidRPr="00FA3856">
        <w:rPr>
          <w:szCs w:val="20"/>
        </w:rPr>
        <w:t>- P</w:t>
      </w:r>
      <w:r w:rsidR="00EC1E25" w:rsidRPr="00FA3856">
        <w:rPr>
          <w:szCs w:val="20"/>
        </w:rPr>
        <w:t>ossibilidade de cruzamento entre os dados contábeis e os fiscais;</w:t>
      </w:r>
    </w:p>
    <w:p w:rsidR="00EC1E25" w:rsidRPr="00FA3856" w:rsidRDefault="00EC1E25" w:rsidP="00EC2D50">
      <w:pPr>
        <w:ind w:firstLine="708"/>
        <w:jc w:val="both"/>
        <w:rPr>
          <w:szCs w:val="20"/>
        </w:rPr>
      </w:pPr>
    </w:p>
    <w:p w:rsidR="00EC1E25" w:rsidRPr="00FA3856" w:rsidRDefault="00E3757E" w:rsidP="00EC2D50">
      <w:pPr>
        <w:ind w:firstLine="708"/>
        <w:jc w:val="both"/>
        <w:rPr>
          <w:szCs w:val="20"/>
        </w:rPr>
      </w:pPr>
      <w:r w:rsidRPr="00FA3856">
        <w:rPr>
          <w:szCs w:val="20"/>
        </w:rPr>
        <w:t>- D</w:t>
      </w:r>
      <w:r w:rsidR="00EC1E25" w:rsidRPr="00FA3856">
        <w:rPr>
          <w:szCs w:val="20"/>
        </w:rPr>
        <w:t>isponibilidade de cópias autênticas e válidas da escrituração para usos distintos e concomitantes;</w:t>
      </w:r>
    </w:p>
    <w:p w:rsidR="00EC1E25" w:rsidRPr="00FA3856" w:rsidRDefault="00EC1E25" w:rsidP="00EC2D50">
      <w:pPr>
        <w:ind w:firstLine="708"/>
        <w:jc w:val="both"/>
        <w:rPr>
          <w:szCs w:val="20"/>
        </w:rPr>
      </w:pPr>
    </w:p>
    <w:p w:rsidR="00EC1E25" w:rsidRPr="00FA3856" w:rsidRDefault="00E3757E" w:rsidP="00EC2D50">
      <w:pPr>
        <w:ind w:firstLine="708"/>
        <w:jc w:val="both"/>
        <w:rPr>
          <w:szCs w:val="20"/>
        </w:rPr>
      </w:pPr>
      <w:r w:rsidRPr="00FA3856">
        <w:rPr>
          <w:szCs w:val="20"/>
        </w:rPr>
        <w:t>- R</w:t>
      </w:r>
      <w:r w:rsidR="00EC1E25" w:rsidRPr="00FA3856">
        <w:rPr>
          <w:szCs w:val="20"/>
        </w:rPr>
        <w:t>edução do "Custo Brasil"; e</w:t>
      </w:r>
    </w:p>
    <w:p w:rsidR="00EC1E25" w:rsidRPr="00FA3856" w:rsidRDefault="00EC1E25" w:rsidP="00EC2D50">
      <w:pPr>
        <w:ind w:firstLine="708"/>
        <w:jc w:val="both"/>
        <w:rPr>
          <w:szCs w:val="20"/>
        </w:rPr>
      </w:pPr>
    </w:p>
    <w:p w:rsidR="00EC1E25" w:rsidRPr="00FA3856" w:rsidRDefault="00E3757E" w:rsidP="00EC2D50">
      <w:pPr>
        <w:ind w:firstLine="708"/>
        <w:jc w:val="both"/>
        <w:rPr>
          <w:szCs w:val="20"/>
        </w:rPr>
      </w:pPr>
      <w:r w:rsidRPr="00FA3856">
        <w:rPr>
          <w:szCs w:val="20"/>
        </w:rPr>
        <w:t>- A</w:t>
      </w:r>
      <w:r w:rsidR="00EC1E25" w:rsidRPr="00FA3856">
        <w:rPr>
          <w:szCs w:val="20"/>
        </w:rPr>
        <w:t>perfeiçoamento do combate à sonegação.</w:t>
      </w:r>
    </w:p>
    <w:p w:rsidR="0025236D" w:rsidRPr="00FA3856" w:rsidRDefault="0025236D" w:rsidP="0081506D">
      <w:pPr>
        <w:ind w:firstLine="708"/>
        <w:jc w:val="both"/>
        <w:rPr>
          <w:szCs w:val="20"/>
        </w:rPr>
      </w:pPr>
    </w:p>
    <w:p w:rsidR="0081506D" w:rsidRDefault="00EC2D50" w:rsidP="0081506D">
      <w:pPr>
        <w:ind w:firstLine="708"/>
        <w:jc w:val="both"/>
        <w:rPr>
          <w:szCs w:val="20"/>
        </w:rPr>
      </w:pPr>
      <w:r w:rsidRPr="00FA3856">
        <w:rPr>
          <w:szCs w:val="20"/>
        </w:rPr>
        <w:t xml:space="preserve">A Escrituração </w:t>
      </w:r>
      <w:r w:rsidR="0081506D" w:rsidRPr="00FA3856">
        <w:rPr>
          <w:szCs w:val="20"/>
        </w:rPr>
        <w:t xml:space="preserve">Contábil </w:t>
      </w:r>
      <w:r w:rsidRPr="00FA3856">
        <w:rPr>
          <w:szCs w:val="20"/>
        </w:rPr>
        <w:t xml:space="preserve">Fiscal </w:t>
      </w:r>
      <w:r w:rsidR="0081506D" w:rsidRPr="00FA3856">
        <w:rPr>
          <w:szCs w:val="20"/>
        </w:rPr>
        <w:t>(ECF</w:t>
      </w:r>
      <w:r w:rsidRPr="00FA3856">
        <w:rPr>
          <w:szCs w:val="20"/>
        </w:rPr>
        <w:t>) substitui</w:t>
      </w:r>
      <w:r w:rsidR="009B7C8B">
        <w:rPr>
          <w:szCs w:val="20"/>
        </w:rPr>
        <w:t>u</w:t>
      </w:r>
      <w:r w:rsidR="0081506D" w:rsidRPr="00FA3856">
        <w:rPr>
          <w:szCs w:val="20"/>
        </w:rPr>
        <w:t xml:space="preserve"> a Declaração de Informações Econômico-Fiscais da Pessoa Jurídica (DIPJ)</w:t>
      </w:r>
      <w:r w:rsidRPr="00FA3856">
        <w:rPr>
          <w:szCs w:val="20"/>
        </w:rPr>
        <w:t>, a partir do ano-calendário 2014, com entrega prevista para</w:t>
      </w:r>
      <w:r w:rsidR="00F73BB4" w:rsidRPr="00FA3856">
        <w:rPr>
          <w:szCs w:val="20"/>
        </w:rPr>
        <w:t xml:space="preserve"> o </w:t>
      </w:r>
      <w:r w:rsidR="00F73BB4" w:rsidRPr="00FA3856">
        <w:rPr>
          <w:b/>
          <w:szCs w:val="20"/>
        </w:rPr>
        <w:t xml:space="preserve">último dia útil do mês de </w:t>
      </w:r>
      <w:r w:rsidR="00D62DFE">
        <w:rPr>
          <w:b/>
          <w:szCs w:val="20"/>
        </w:rPr>
        <w:t>jul</w:t>
      </w:r>
      <w:r w:rsidR="00E9491D" w:rsidRPr="00FA3856">
        <w:rPr>
          <w:b/>
          <w:szCs w:val="20"/>
        </w:rPr>
        <w:t xml:space="preserve">ho </w:t>
      </w:r>
      <w:r w:rsidR="00E3757E" w:rsidRPr="00FA3856">
        <w:rPr>
          <w:b/>
          <w:szCs w:val="20"/>
        </w:rPr>
        <w:t>do ano posterior ao do período da escrituração</w:t>
      </w:r>
      <w:r w:rsidRPr="00FA3856">
        <w:rPr>
          <w:szCs w:val="20"/>
        </w:rPr>
        <w:t xml:space="preserve"> no ambiente do Sistema Público </w:t>
      </w:r>
      <w:r w:rsidR="0081506D" w:rsidRPr="00FA3856">
        <w:rPr>
          <w:szCs w:val="20"/>
        </w:rPr>
        <w:t>de Escrituração Digital (Sped).</w:t>
      </w:r>
      <w:r w:rsidR="00EB69AB" w:rsidRPr="00FA3856">
        <w:rPr>
          <w:szCs w:val="20"/>
        </w:rPr>
        <w:t xml:space="preserve"> </w:t>
      </w:r>
    </w:p>
    <w:p w:rsidR="009C74B0" w:rsidRPr="00FA3856" w:rsidRDefault="009C74B0" w:rsidP="0081506D">
      <w:pPr>
        <w:ind w:firstLine="708"/>
        <w:jc w:val="both"/>
        <w:rPr>
          <w:szCs w:val="20"/>
        </w:rPr>
      </w:pPr>
    </w:p>
    <w:p w:rsidR="00EC2D50" w:rsidRPr="00FA3856" w:rsidRDefault="00F71EE0" w:rsidP="00EC2D50">
      <w:pPr>
        <w:ind w:firstLine="708"/>
        <w:jc w:val="both"/>
        <w:rPr>
          <w:szCs w:val="20"/>
        </w:rPr>
      </w:pPr>
      <w:r w:rsidRPr="00FA3856">
        <w:rPr>
          <w:szCs w:val="20"/>
        </w:rPr>
        <w:t>São</w:t>
      </w:r>
      <w:r w:rsidR="00EC2D50" w:rsidRPr="00FA3856">
        <w:rPr>
          <w:szCs w:val="20"/>
        </w:rPr>
        <w:t xml:space="preserve"> obrigadas ao preenchimento da </w:t>
      </w:r>
      <w:r w:rsidR="0081506D" w:rsidRPr="00FA3856">
        <w:rPr>
          <w:szCs w:val="20"/>
        </w:rPr>
        <w:t xml:space="preserve">ECF </w:t>
      </w:r>
      <w:r w:rsidR="00EC2D50" w:rsidRPr="00FA3856">
        <w:rPr>
          <w:szCs w:val="20"/>
        </w:rPr>
        <w:t>todas as pessoas jurídicas, inclusive imunes e isentas, sejam elas tributadas pelo lucro real, lucr</w:t>
      </w:r>
      <w:r w:rsidR="0081506D" w:rsidRPr="00FA3856">
        <w:rPr>
          <w:szCs w:val="20"/>
        </w:rPr>
        <w:t>o arbitrado ou lucro presumido, exceto:</w:t>
      </w:r>
    </w:p>
    <w:p w:rsidR="0081506D" w:rsidRPr="00FA3856" w:rsidRDefault="0081506D" w:rsidP="00EC2D50">
      <w:pPr>
        <w:ind w:firstLine="708"/>
        <w:jc w:val="both"/>
        <w:rPr>
          <w:szCs w:val="20"/>
        </w:rPr>
      </w:pPr>
    </w:p>
    <w:p w:rsidR="008C12EA" w:rsidRPr="00FA3856" w:rsidRDefault="008C12EA" w:rsidP="008C12EA">
      <w:pPr>
        <w:ind w:firstLine="708"/>
        <w:jc w:val="both"/>
        <w:rPr>
          <w:szCs w:val="20"/>
        </w:rPr>
      </w:pPr>
      <w:r w:rsidRPr="00FA3856">
        <w:rPr>
          <w:szCs w:val="20"/>
        </w:rPr>
        <w:t xml:space="preserve">I - </w:t>
      </w:r>
      <w:r w:rsidR="00E3757E" w:rsidRPr="00FA3856">
        <w:rPr>
          <w:szCs w:val="20"/>
        </w:rPr>
        <w:t>As</w:t>
      </w:r>
      <w:r w:rsidRPr="00FA3856">
        <w:rPr>
          <w:szCs w:val="20"/>
        </w:rPr>
        <w:t xml:space="preserve"> pessoas jurídicas optantes pelo Regime Especial Unificado de Arrecadação de Tributos e Contribuições devidos pelas Microempresas e Empresas de Pequeno Porte (Simples Nacional), de que trata a Lei Complementar nº 123, de 14 de dezembro de 2006;</w:t>
      </w:r>
    </w:p>
    <w:p w:rsidR="008C12EA" w:rsidRPr="00FA3856" w:rsidRDefault="008C12EA" w:rsidP="008C12EA">
      <w:pPr>
        <w:ind w:firstLine="708"/>
        <w:jc w:val="both"/>
        <w:rPr>
          <w:szCs w:val="20"/>
        </w:rPr>
      </w:pPr>
    </w:p>
    <w:p w:rsidR="008C12EA" w:rsidRPr="00FA3856" w:rsidRDefault="008C12EA" w:rsidP="008C12EA">
      <w:pPr>
        <w:ind w:firstLine="708"/>
        <w:jc w:val="both"/>
        <w:rPr>
          <w:szCs w:val="20"/>
        </w:rPr>
      </w:pPr>
      <w:r w:rsidRPr="00FA3856">
        <w:rPr>
          <w:szCs w:val="20"/>
        </w:rPr>
        <w:t xml:space="preserve">II </w:t>
      </w:r>
      <w:r w:rsidR="00E3757E" w:rsidRPr="00FA3856">
        <w:rPr>
          <w:szCs w:val="20"/>
        </w:rPr>
        <w:t>- Os</w:t>
      </w:r>
      <w:r w:rsidRPr="00FA3856">
        <w:rPr>
          <w:szCs w:val="20"/>
        </w:rPr>
        <w:t xml:space="preserve"> órgãos públicos, às autarquias e às fundações públicas;</w:t>
      </w:r>
    </w:p>
    <w:p w:rsidR="008C12EA" w:rsidRPr="00FA3856" w:rsidRDefault="008C12EA" w:rsidP="008C12EA">
      <w:pPr>
        <w:ind w:firstLine="708"/>
        <w:jc w:val="both"/>
        <w:rPr>
          <w:szCs w:val="20"/>
        </w:rPr>
      </w:pPr>
    </w:p>
    <w:p w:rsidR="001A6D89" w:rsidRPr="001A6D89" w:rsidRDefault="00E3757E" w:rsidP="001A6D89">
      <w:pPr>
        <w:ind w:left="708"/>
        <w:jc w:val="both"/>
        <w:rPr>
          <w:szCs w:val="20"/>
        </w:rPr>
      </w:pPr>
      <w:r w:rsidRPr="001A6D89">
        <w:rPr>
          <w:szCs w:val="20"/>
        </w:rPr>
        <w:t>III - A</w:t>
      </w:r>
      <w:r w:rsidR="008C12EA" w:rsidRPr="001A6D89">
        <w:rPr>
          <w:szCs w:val="20"/>
        </w:rPr>
        <w:t xml:space="preserve">s pessoas jurídicas </w:t>
      </w:r>
      <w:r w:rsidR="001A6D89" w:rsidRPr="001A6D89">
        <w:rPr>
          <w:szCs w:val="20"/>
        </w:rPr>
        <w:t>que não tenham efetuado qualquer atividade operacional, não operacional, patrimonial ou financeira, inclusive aplicação no mercado financeiro ou de capitais, durante todo o ano-calendário.</w:t>
      </w:r>
    </w:p>
    <w:p w:rsidR="00EB69AB" w:rsidRPr="00FA3856" w:rsidRDefault="00EB69AB" w:rsidP="00EB69AB">
      <w:pPr>
        <w:jc w:val="both"/>
        <w:rPr>
          <w:b/>
          <w:szCs w:val="20"/>
        </w:rPr>
      </w:pPr>
    </w:p>
    <w:p w:rsidR="00E717E5" w:rsidRPr="00FA3856" w:rsidRDefault="00EC2D50" w:rsidP="008C12EA">
      <w:pPr>
        <w:ind w:firstLine="708"/>
        <w:jc w:val="both"/>
        <w:rPr>
          <w:szCs w:val="20"/>
        </w:rPr>
      </w:pPr>
      <w:r w:rsidRPr="00FA3856">
        <w:rPr>
          <w:szCs w:val="20"/>
        </w:rPr>
        <w:t xml:space="preserve">Há que se ressaltar que, caso a pessoa jurídica tenha Sociedades em Conta de Participação (SCP), cada SCP deverá preencher e transmitir sua própria </w:t>
      </w:r>
      <w:r w:rsidR="0081506D" w:rsidRPr="00FA3856">
        <w:rPr>
          <w:szCs w:val="20"/>
        </w:rPr>
        <w:t>ECF</w:t>
      </w:r>
      <w:r w:rsidRPr="00FA3856">
        <w:rPr>
          <w:szCs w:val="20"/>
        </w:rPr>
        <w:t xml:space="preserve">, utilizando o CNPJ da pessoa jurídica que é sócia ostensiva e </w:t>
      </w:r>
      <w:r w:rsidR="00FE680B">
        <w:rPr>
          <w:szCs w:val="20"/>
        </w:rPr>
        <w:t>o CNPJ</w:t>
      </w:r>
      <w:r w:rsidRPr="00FA3856">
        <w:rPr>
          <w:szCs w:val="20"/>
        </w:rPr>
        <w:t xml:space="preserve"> de cada SC</w:t>
      </w:r>
      <w:r w:rsidR="008C12EA" w:rsidRPr="00FA3856">
        <w:rPr>
          <w:szCs w:val="20"/>
        </w:rPr>
        <w:t xml:space="preserve">P. </w:t>
      </w:r>
    </w:p>
    <w:p w:rsidR="00A5743D" w:rsidRPr="00FA3856" w:rsidRDefault="00A5743D" w:rsidP="008C12EA">
      <w:pPr>
        <w:ind w:firstLine="708"/>
        <w:jc w:val="both"/>
        <w:rPr>
          <w:szCs w:val="20"/>
        </w:rPr>
      </w:pPr>
    </w:p>
    <w:p w:rsidR="00EC2D50" w:rsidRPr="00FA3856" w:rsidRDefault="00EC2D50" w:rsidP="00C84571">
      <w:pPr>
        <w:ind w:firstLine="708"/>
        <w:jc w:val="both"/>
        <w:rPr>
          <w:szCs w:val="20"/>
        </w:rPr>
      </w:pPr>
      <w:r w:rsidRPr="00FA3856">
        <w:rPr>
          <w:szCs w:val="20"/>
        </w:rPr>
        <w:lastRenderedPageBreak/>
        <w:t xml:space="preserve">Uma das inovações da </w:t>
      </w:r>
      <w:r w:rsidR="0081506D" w:rsidRPr="00FA3856">
        <w:rPr>
          <w:szCs w:val="20"/>
        </w:rPr>
        <w:t>ECF</w:t>
      </w:r>
      <w:r w:rsidRPr="00FA3856">
        <w:rPr>
          <w:szCs w:val="20"/>
        </w:rPr>
        <w:t xml:space="preserve"> corresponde, para as empresas obrigadas a entrega da Escrituração Contábil Digital (</w:t>
      </w:r>
      <w:r w:rsidR="0081506D" w:rsidRPr="00FA3856">
        <w:rPr>
          <w:szCs w:val="20"/>
        </w:rPr>
        <w:t>ECD</w:t>
      </w:r>
      <w:r w:rsidR="00E717E5" w:rsidRPr="00FA3856">
        <w:rPr>
          <w:szCs w:val="20"/>
        </w:rPr>
        <w:t xml:space="preserve">), à </w:t>
      </w:r>
      <w:r w:rsidRPr="00FA3856">
        <w:rPr>
          <w:szCs w:val="20"/>
        </w:rPr>
        <w:t xml:space="preserve">utilização dos saldos e contas da </w:t>
      </w:r>
      <w:r w:rsidR="0081506D" w:rsidRPr="00FA3856">
        <w:rPr>
          <w:szCs w:val="20"/>
        </w:rPr>
        <w:t>ECD</w:t>
      </w:r>
      <w:r w:rsidRPr="00FA3856">
        <w:rPr>
          <w:szCs w:val="20"/>
        </w:rPr>
        <w:t xml:space="preserve"> para preenchimento inicial da </w:t>
      </w:r>
      <w:r w:rsidR="0081506D" w:rsidRPr="00FA3856">
        <w:rPr>
          <w:szCs w:val="20"/>
        </w:rPr>
        <w:t>ECF</w:t>
      </w:r>
      <w:r w:rsidRPr="00FA3856">
        <w:rPr>
          <w:szCs w:val="20"/>
        </w:rPr>
        <w:t xml:space="preserve">. Ademais, a </w:t>
      </w:r>
      <w:r w:rsidR="0081506D" w:rsidRPr="00FA3856">
        <w:rPr>
          <w:szCs w:val="20"/>
        </w:rPr>
        <w:t>ECF</w:t>
      </w:r>
      <w:r w:rsidRPr="00FA3856">
        <w:rPr>
          <w:szCs w:val="20"/>
        </w:rPr>
        <w:t xml:space="preserve"> também recuperará os saldos finais das </w:t>
      </w:r>
      <w:r w:rsidR="0081506D" w:rsidRPr="00FA3856">
        <w:rPr>
          <w:szCs w:val="20"/>
        </w:rPr>
        <w:t>ECF anterior</w:t>
      </w:r>
      <w:r w:rsidRPr="00FA3856">
        <w:rPr>
          <w:szCs w:val="20"/>
        </w:rPr>
        <w:t>, a partir do ano-calendário 2015.</w:t>
      </w:r>
      <w:r w:rsidR="008C12EA" w:rsidRPr="00FA3856">
        <w:rPr>
          <w:szCs w:val="20"/>
        </w:rPr>
        <w:t xml:space="preserve"> </w:t>
      </w:r>
      <w:r w:rsidRPr="00FA3856">
        <w:rPr>
          <w:szCs w:val="20"/>
        </w:rPr>
        <w:t xml:space="preserve">Na </w:t>
      </w:r>
      <w:r w:rsidR="0081506D" w:rsidRPr="00FA3856">
        <w:rPr>
          <w:szCs w:val="20"/>
        </w:rPr>
        <w:t>ECF</w:t>
      </w:r>
      <w:r w:rsidRPr="00FA3856">
        <w:rPr>
          <w:szCs w:val="20"/>
        </w:rPr>
        <w:t xml:space="preserve"> haverá o preenchimento e controle, por meio de validações, das partes A e B do Livro Eletrônico de Apuração do Lucro Real (e-Lalur) e do Livro Eletrônico de Apuração da Base de Cálculo da CSLL (e-Lacs). Todos os saldos informados nesses livros também serão controlados e, no caso da parte B, haverá o batimento de saldos de um ano para outro.</w:t>
      </w:r>
    </w:p>
    <w:p w:rsidR="00E9491D" w:rsidRPr="00FA3856" w:rsidRDefault="00E9491D" w:rsidP="006F78E8">
      <w:pPr>
        <w:ind w:firstLine="708"/>
        <w:jc w:val="both"/>
        <w:rPr>
          <w:szCs w:val="20"/>
        </w:rPr>
      </w:pPr>
    </w:p>
    <w:p w:rsidR="00EC2D50" w:rsidRPr="00FA3856" w:rsidRDefault="00F71EE0" w:rsidP="00EC2D50">
      <w:pPr>
        <w:ind w:firstLine="708"/>
        <w:jc w:val="both"/>
        <w:rPr>
          <w:szCs w:val="20"/>
        </w:rPr>
      </w:pPr>
      <w:r w:rsidRPr="00FA3856">
        <w:rPr>
          <w:szCs w:val="20"/>
        </w:rPr>
        <w:t xml:space="preserve">Finalmente, a </w:t>
      </w:r>
      <w:r w:rsidR="0081506D" w:rsidRPr="00FA3856">
        <w:rPr>
          <w:szCs w:val="20"/>
        </w:rPr>
        <w:t>ECF</w:t>
      </w:r>
      <w:r w:rsidRPr="00FA3856">
        <w:rPr>
          <w:szCs w:val="20"/>
        </w:rPr>
        <w:t xml:space="preserve"> </w:t>
      </w:r>
      <w:r w:rsidR="00EC2D50" w:rsidRPr="00FA3856">
        <w:rPr>
          <w:szCs w:val="20"/>
        </w:rPr>
        <w:t>apresentará as fichas de informações econômicas e de informações gerais em novo formato de preenchimento para as empresas.</w:t>
      </w:r>
    </w:p>
    <w:p w:rsidR="00DE7510" w:rsidRPr="00FA3856" w:rsidRDefault="00DE7510" w:rsidP="00EC2D50">
      <w:pPr>
        <w:ind w:firstLine="708"/>
        <w:jc w:val="both"/>
        <w:rPr>
          <w:szCs w:val="20"/>
        </w:rPr>
      </w:pPr>
    </w:p>
    <w:p w:rsidR="00EC1E25" w:rsidRPr="00FA3856" w:rsidRDefault="002728E0" w:rsidP="00867F54">
      <w:pPr>
        <w:pStyle w:val="Ttulo2"/>
      </w:pPr>
      <w:bookmarkStart w:id="3" w:name="_Toc479713617"/>
      <w:r w:rsidRPr="00FA3856">
        <w:t>1.</w:t>
      </w:r>
      <w:r w:rsidR="00FC5876" w:rsidRPr="00FA3856">
        <w:t xml:space="preserve">2. </w:t>
      </w:r>
      <w:r w:rsidR="00EC1E25" w:rsidRPr="00867F54">
        <w:t>Legislação</w:t>
      </w:r>
      <w:bookmarkEnd w:id="3"/>
    </w:p>
    <w:p w:rsidR="00EC1E25" w:rsidRPr="00FA3856" w:rsidRDefault="00EC1E25" w:rsidP="00EC2D50">
      <w:pPr>
        <w:pStyle w:val="NormalWeb"/>
        <w:shd w:val="clear" w:color="auto" w:fill="FFFFFF"/>
        <w:spacing w:before="0" w:after="0"/>
        <w:jc w:val="both"/>
        <w:rPr>
          <w:rFonts w:ascii="Times New Roman" w:hAnsi="Times New Roman" w:cs="Times New Roman"/>
          <w:szCs w:val="20"/>
        </w:rPr>
      </w:pPr>
    </w:p>
    <w:p w:rsidR="00EC1E25" w:rsidRPr="00FA3856" w:rsidRDefault="00754280" w:rsidP="00EC2D50">
      <w:pPr>
        <w:pStyle w:val="NormalWeb"/>
        <w:shd w:val="clear" w:color="auto" w:fill="FFFFFF"/>
        <w:spacing w:before="0" w:after="0"/>
        <w:jc w:val="both"/>
        <w:rPr>
          <w:rFonts w:ascii="Times New Roman" w:hAnsi="Times New Roman" w:cs="Times New Roman"/>
          <w:szCs w:val="20"/>
        </w:rPr>
      </w:pPr>
      <w:r w:rsidRPr="00FA3856">
        <w:rPr>
          <w:rFonts w:ascii="Times New Roman" w:hAnsi="Times New Roman" w:cs="Times New Roman"/>
          <w:szCs w:val="20"/>
        </w:rPr>
        <w:t xml:space="preserve">- </w:t>
      </w:r>
      <w:r w:rsidR="00EC1E25" w:rsidRPr="00FA3856">
        <w:rPr>
          <w:rFonts w:ascii="Times New Roman" w:hAnsi="Times New Roman" w:cs="Times New Roman"/>
          <w:szCs w:val="20"/>
        </w:rPr>
        <w:t>Decreto n</w:t>
      </w:r>
      <w:r w:rsidRPr="00FA3856">
        <w:rPr>
          <w:rFonts w:ascii="Times New Roman" w:hAnsi="Times New Roman" w:cs="Times New Roman"/>
          <w:szCs w:val="20"/>
          <w:u w:val="single"/>
          <w:vertAlign w:val="superscript"/>
        </w:rPr>
        <w:t>o</w:t>
      </w:r>
      <w:r w:rsidR="00EC1E25" w:rsidRPr="00FA3856">
        <w:rPr>
          <w:rFonts w:ascii="Times New Roman" w:hAnsi="Times New Roman" w:cs="Times New Roman"/>
          <w:szCs w:val="20"/>
        </w:rPr>
        <w:t xml:space="preserve"> 6.022, de 22 de janeiro de 2007</w:t>
      </w:r>
      <w:r w:rsidR="00E3757E" w:rsidRPr="00FA3856">
        <w:rPr>
          <w:rFonts w:ascii="Times New Roman" w:hAnsi="Times New Roman" w:cs="Times New Roman"/>
          <w:szCs w:val="20"/>
        </w:rPr>
        <w:t>, e alterações posteriores</w:t>
      </w:r>
      <w:r w:rsidR="00EC1E25" w:rsidRPr="00FA3856">
        <w:rPr>
          <w:rFonts w:ascii="Times New Roman" w:hAnsi="Times New Roman" w:cs="Times New Roman"/>
          <w:szCs w:val="20"/>
        </w:rPr>
        <w:t xml:space="preserve"> – </w:t>
      </w:r>
      <w:r w:rsidRPr="00FA3856">
        <w:rPr>
          <w:rFonts w:ascii="Times New Roman" w:hAnsi="Times New Roman" w:cs="Times New Roman"/>
          <w:szCs w:val="20"/>
        </w:rPr>
        <w:t xml:space="preserve">Instituiu </w:t>
      </w:r>
      <w:r w:rsidR="00EC1E25" w:rsidRPr="00FA3856">
        <w:rPr>
          <w:rFonts w:ascii="Times New Roman" w:hAnsi="Times New Roman" w:cs="Times New Roman"/>
          <w:szCs w:val="20"/>
        </w:rPr>
        <w:t>o Sistema Pú</w:t>
      </w:r>
      <w:r w:rsidR="009C74B0">
        <w:rPr>
          <w:rFonts w:ascii="Times New Roman" w:hAnsi="Times New Roman" w:cs="Times New Roman"/>
          <w:szCs w:val="20"/>
        </w:rPr>
        <w:t>blico de Escrituração Digital (</w:t>
      </w:r>
      <w:r w:rsidR="00EC1E25" w:rsidRPr="00FA3856">
        <w:rPr>
          <w:rFonts w:ascii="Times New Roman" w:hAnsi="Times New Roman" w:cs="Times New Roman"/>
          <w:szCs w:val="20"/>
        </w:rPr>
        <w:t>SPED</w:t>
      </w:r>
      <w:r w:rsidR="009C74B0">
        <w:rPr>
          <w:rFonts w:ascii="Times New Roman" w:hAnsi="Times New Roman" w:cs="Times New Roman"/>
          <w:szCs w:val="20"/>
        </w:rPr>
        <w:t>)</w:t>
      </w:r>
      <w:r w:rsidR="00EC1E25" w:rsidRPr="00FA3856">
        <w:rPr>
          <w:rFonts w:ascii="Times New Roman" w:hAnsi="Times New Roman" w:cs="Times New Roman"/>
          <w:szCs w:val="20"/>
        </w:rPr>
        <w:t xml:space="preserve">. </w:t>
      </w:r>
    </w:p>
    <w:p w:rsidR="00A26429" w:rsidRPr="00FA3856" w:rsidRDefault="00A26429" w:rsidP="00EC2D50">
      <w:pPr>
        <w:pStyle w:val="NormalWeb"/>
        <w:shd w:val="clear" w:color="auto" w:fill="FFFFFF"/>
        <w:spacing w:before="0" w:after="0"/>
        <w:jc w:val="both"/>
        <w:rPr>
          <w:rFonts w:ascii="Times New Roman" w:hAnsi="Times New Roman" w:cs="Times New Roman"/>
          <w:szCs w:val="20"/>
        </w:rPr>
      </w:pPr>
    </w:p>
    <w:p w:rsidR="00A26429" w:rsidRPr="00FA3856" w:rsidRDefault="00A26429" w:rsidP="00EC2D50">
      <w:pPr>
        <w:pStyle w:val="NormalWeb"/>
        <w:shd w:val="clear" w:color="auto" w:fill="FFFFFF"/>
        <w:spacing w:before="0" w:after="0"/>
        <w:jc w:val="both"/>
        <w:rPr>
          <w:rFonts w:ascii="Times New Roman" w:hAnsi="Times New Roman" w:cs="Times New Roman"/>
          <w:szCs w:val="20"/>
        </w:rPr>
      </w:pPr>
      <w:r w:rsidRPr="00FA3856">
        <w:rPr>
          <w:rFonts w:ascii="Times New Roman" w:hAnsi="Times New Roman" w:cs="Times New Roman"/>
          <w:szCs w:val="20"/>
        </w:rPr>
        <w:t>- Instrução Normativa RFB n</w:t>
      </w:r>
      <w:r w:rsidRPr="00FA3856">
        <w:rPr>
          <w:rFonts w:ascii="Times New Roman" w:hAnsi="Times New Roman" w:cs="Times New Roman"/>
          <w:szCs w:val="20"/>
          <w:u w:val="single"/>
          <w:vertAlign w:val="superscript"/>
        </w:rPr>
        <w:t>o</w:t>
      </w:r>
      <w:r w:rsidRPr="00FA3856">
        <w:rPr>
          <w:rFonts w:ascii="Times New Roman" w:hAnsi="Times New Roman" w:cs="Times New Roman"/>
          <w:szCs w:val="20"/>
        </w:rPr>
        <w:t xml:space="preserve"> 1.420, de 19 de dezembro de 2013, e alterações posteriores – Dispõe sobre a Escrituração Contábil Digital (ECD)</w:t>
      </w:r>
      <w:r w:rsidR="00710E8D" w:rsidRPr="00FA3856">
        <w:rPr>
          <w:rFonts w:ascii="Times New Roman" w:hAnsi="Times New Roman" w:cs="Times New Roman"/>
          <w:szCs w:val="20"/>
        </w:rPr>
        <w:t>.</w:t>
      </w:r>
    </w:p>
    <w:p w:rsidR="00754280" w:rsidRPr="00FA3856" w:rsidRDefault="00754280" w:rsidP="00EC2D50">
      <w:pPr>
        <w:pStyle w:val="NormalWeb"/>
        <w:shd w:val="clear" w:color="auto" w:fill="FFFFFF"/>
        <w:spacing w:before="0" w:after="0"/>
        <w:jc w:val="both"/>
        <w:rPr>
          <w:rFonts w:ascii="Times New Roman" w:hAnsi="Times New Roman" w:cs="Times New Roman"/>
          <w:szCs w:val="20"/>
        </w:rPr>
      </w:pPr>
    </w:p>
    <w:p w:rsidR="00767728" w:rsidRDefault="00754280" w:rsidP="00EC2D50">
      <w:pPr>
        <w:pStyle w:val="NormalWeb"/>
        <w:shd w:val="clear" w:color="auto" w:fill="FFFFFF"/>
        <w:spacing w:before="0" w:after="0"/>
        <w:jc w:val="both"/>
        <w:rPr>
          <w:rFonts w:ascii="Times New Roman" w:hAnsi="Times New Roman" w:cs="Times New Roman"/>
          <w:szCs w:val="20"/>
        </w:rPr>
      </w:pPr>
      <w:r w:rsidRPr="00FA3856">
        <w:rPr>
          <w:rFonts w:ascii="Times New Roman" w:hAnsi="Times New Roman" w:cs="Times New Roman"/>
          <w:szCs w:val="20"/>
        </w:rPr>
        <w:t xml:space="preserve">- </w:t>
      </w:r>
      <w:r w:rsidR="00EC1E25" w:rsidRPr="00FA3856">
        <w:rPr>
          <w:rFonts w:ascii="Times New Roman" w:hAnsi="Times New Roman" w:cs="Times New Roman"/>
          <w:szCs w:val="20"/>
        </w:rPr>
        <w:t>Instrução Normativa RFB n</w:t>
      </w:r>
      <w:r w:rsidRPr="00FA3856">
        <w:rPr>
          <w:rFonts w:ascii="Times New Roman" w:hAnsi="Times New Roman" w:cs="Times New Roman"/>
          <w:szCs w:val="20"/>
          <w:u w:val="single"/>
          <w:vertAlign w:val="superscript"/>
        </w:rPr>
        <w:t>o</w:t>
      </w:r>
      <w:r w:rsidR="00EC2D50" w:rsidRPr="00FA3856">
        <w:rPr>
          <w:rFonts w:ascii="Times New Roman" w:hAnsi="Times New Roman" w:cs="Times New Roman"/>
          <w:szCs w:val="20"/>
        </w:rPr>
        <w:t xml:space="preserve"> </w:t>
      </w:r>
      <w:r w:rsidR="005E0CA0" w:rsidRPr="00FA3856">
        <w:rPr>
          <w:rFonts w:ascii="Times New Roman" w:hAnsi="Times New Roman" w:cs="Times New Roman"/>
          <w:szCs w:val="20"/>
        </w:rPr>
        <w:t>1.422, de 19</w:t>
      </w:r>
      <w:r w:rsidR="00EC1E25" w:rsidRPr="00FA3856">
        <w:rPr>
          <w:rFonts w:ascii="Times New Roman" w:hAnsi="Times New Roman" w:cs="Times New Roman"/>
          <w:szCs w:val="20"/>
        </w:rPr>
        <w:t xml:space="preserve"> de </w:t>
      </w:r>
      <w:r w:rsidR="00767728" w:rsidRPr="00FA3856">
        <w:rPr>
          <w:rFonts w:ascii="Times New Roman" w:hAnsi="Times New Roman" w:cs="Times New Roman"/>
          <w:szCs w:val="20"/>
        </w:rPr>
        <w:t>dezembro</w:t>
      </w:r>
      <w:r w:rsidR="00EC2D50" w:rsidRPr="00FA3856">
        <w:rPr>
          <w:rFonts w:ascii="Times New Roman" w:hAnsi="Times New Roman" w:cs="Times New Roman"/>
          <w:szCs w:val="20"/>
        </w:rPr>
        <w:t xml:space="preserve"> de 2013</w:t>
      </w:r>
      <w:r w:rsidR="00E565A1" w:rsidRPr="00FA3856">
        <w:rPr>
          <w:rFonts w:ascii="Times New Roman" w:hAnsi="Times New Roman" w:cs="Times New Roman"/>
          <w:szCs w:val="20"/>
        </w:rPr>
        <w:t>, e alterações posteriores</w:t>
      </w:r>
      <w:r w:rsidR="00EC2D50" w:rsidRPr="00FA3856">
        <w:rPr>
          <w:rFonts w:ascii="Times New Roman" w:hAnsi="Times New Roman" w:cs="Times New Roman"/>
          <w:szCs w:val="20"/>
        </w:rPr>
        <w:t xml:space="preserve"> </w:t>
      </w:r>
      <w:r w:rsidR="009B3457" w:rsidRPr="00FA3856">
        <w:rPr>
          <w:rFonts w:ascii="Times New Roman" w:hAnsi="Times New Roman" w:cs="Times New Roman"/>
          <w:szCs w:val="20"/>
        </w:rPr>
        <w:t xml:space="preserve">– </w:t>
      </w:r>
      <w:r w:rsidR="005E0CA0" w:rsidRPr="00FA3856">
        <w:rPr>
          <w:rFonts w:ascii="Times New Roman" w:hAnsi="Times New Roman" w:cs="Times New Roman"/>
          <w:szCs w:val="20"/>
        </w:rPr>
        <w:t>Dispõe sobre</w:t>
      </w:r>
      <w:r w:rsidR="00EC2D50" w:rsidRPr="00FA3856">
        <w:rPr>
          <w:rFonts w:ascii="Times New Roman" w:hAnsi="Times New Roman" w:cs="Times New Roman"/>
          <w:szCs w:val="20"/>
        </w:rPr>
        <w:t xml:space="preserve"> a Escrituração </w:t>
      </w:r>
      <w:r w:rsidR="00767728" w:rsidRPr="00FA3856">
        <w:rPr>
          <w:rFonts w:ascii="Times New Roman" w:hAnsi="Times New Roman" w:cs="Times New Roman"/>
          <w:szCs w:val="20"/>
        </w:rPr>
        <w:t>Contábil Fiscal (ECF).</w:t>
      </w:r>
    </w:p>
    <w:p w:rsidR="00C47F61" w:rsidRDefault="00C47F61" w:rsidP="00EC2D50">
      <w:pPr>
        <w:pStyle w:val="NormalWeb"/>
        <w:shd w:val="clear" w:color="auto" w:fill="FFFFFF"/>
        <w:spacing w:before="0" w:after="0"/>
        <w:jc w:val="both"/>
        <w:rPr>
          <w:rFonts w:ascii="Times New Roman" w:hAnsi="Times New Roman" w:cs="Times New Roman"/>
          <w:szCs w:val="20"/>
        </w:rPr>
      </w:pPr>
    </w:p>
    <w:p w:rsidR="00710E8D" w:rsidRPr="00FA3856" w:rsidRDefault="00710E8D" w:rsidP="00EC2D50">
      <w:pPr>
        <w:pStyle w:val="NormalWeb"/>
        <w:shd w:val="clear" w:color="auto" w:fill="FFFFFF"/>
        <w:spacing w:before="0" w:after="0"/>
        <w:jc w:val="both"/>
        <w:rPr>
          <w:rFonts w:ascii="Times New Roman" w:hAnsi="Times New Roman" w:cs="Times New Roman"/>
          <w:szCs w:val="20"/>
        </w:rPr>
      </w:pPr>
      <w:r w:rsidRPr="000D10B7">
        <w:rPr>
          <w:rFonts w:ascii="Times New Roman" w:hAnsi="Times New Roman" w:cs="Times New Roman"/>
          <w:szCs w:val="20"/>
          <w:highlight w:val="yellow"/>
        </w:rPr>
        <w:t>- Ato Declaratório Executivo Cofis n</w:t>
      </w:r>
      <w:r w:rsidRPr="000D10B7">
        <w:rPr>
          <w:rFonts w:ascii="Times New Roman" w:hAnsi="Times New Roman" w:cs="Times New Roman"/>
          <w:szCs w:val="20"/>
          <w:highlight w:val="yellow"/>
          <w:u w:val="single"/>
          <w:vertAlign w:val="superscript"/>
        </w:rPr>
        <w:t>o</w:t>
      </w:r>
      <w:r w:rsidR="00F92E2B" w:rsidRPr="000D10B7">
        <w:rPr>
          <w:rFonts w:ascii="Times New Roman" w:hAnsi="Times New Roman" w:cs="Times New Roman"/>
          <w:szCs w:val="20"/>
          <w:highlight w:val="yellow"/>
        </w:rPr>
        <w:t xml:space="preserve"> </w:t>
      </w:r>
      <w:r w:rsidR="009F59E4">
        <w:rPr>
          <w:rFonts w:ascii="Times New Roman" w:hAnsi="Times New Roman" w:cs="Times New Roman"/>
          <w:szCs w:val="20"/>
          <w:highlight w:val="yellow"/>
        </w:rPr>
        <w:t>30</w:t>
      </w:r>
      <w:r w:rsidR="00E66953" w:rsidRPr="000D10B7">
        <w:rPr>
          <w:rFonts w:ascii="Times New Roman" w:hAnsi="Times New Roman" w:cs="Times New Roman"/>
          <w:szCs w:val="20"/>
          <w:highlight w:val="yellow"/>
        </w:rPr>
        <w:t xml:space="preserve">, de </w:t>
      </w:r>
      <w:r w:rsidR="009F59E4">
        <w:rPr>
          <w:rFonts w:ascii="Times New Roman" w:hAnsi="Times New Roman" w:cs="Times New Roman"/>
          <w:szCs w:val="20"/>
          <w:highlight w:val="yellow"/>
        </w:rPr>
        <w:t>3</w:t>
      </w:r>
      <w:r w:rsidRPr="000D10B7">
        <w:rPr>
          <w:rFonts w:ascii="Times New Roman" w:hAnsi="Times New Roman" w:cs="Times New Roman"/>
          <w:szCs w:val="20"/>
          <w:highlight w:val="yellow"/>
        </w:rPr>
        <w:t xml:space="preserve"> de </w:t>
      </w:r>
      <w:r w:rsidR="009F59E4">
        <w:rPr>
          <w:rFonts w:ascii="Times New Roman" w:hAnsi="Times New Roman" w:cs="Times New Roman"/>
          <w:szCs w:val="20"/>
          <w:highlight w:val="yellow"/>
        </w:rPr>
        <w:t>maio</w:t>
      </w:r>
      <w:r w:rsidR="00372EFC">
        <w:rPr>
          <w:rFonts w:ascii="Times New Roman" w:hAnsi="Times New Roman" w:cs="Times New Roman"/>
          <w:szCs w:val="20"/>
          <w:highlight w:val="yellow"/>
        </w:rPr>
        <w:t xml:space="preserve"> </w:t>
      </w:r>
      <w:r w:rsidR="00E929FE">
        <w:rPr>
          <w:rFonts w:ascii="Times New Roman" w:hAnsi="Times New Roman" w:cs="Times New Roman"/>
          <w:szCs w:val="20"/>
          <w:highlight w:val="yellow"/>
        </w:rPr>
        <w:t>de 2017</w:t>
      </w:r>
      <w:r w:rsidRPr="000D10B7">
        <w:rPr>
          <w:rFonts w:ascii="Times New Roman" w:hAnsi="Times New Roman" w:cs="Times New Roman"/>
          <w:szCs w:val="20"/>
          <w:highlight w:val="yellow"/>
        </w:rPr>
        <w:t xml:space="preserve"> – Dispõe sobre o Manual de Orientação do Leiaute da Escrituração Contábil Fiscal (ECF).</w:t>
      </w:r>
    </w:p>
    <w:p w:rsidR="00262A77" w:rsidRPr="00FA3856" w:rsidRDefault="00262A77" w:rsidP="00EC2D50">
      <w:pPr>
        <w:pStyle w:val="NormalWeb"/>
        <w:shd w:val="clear" w:color="auto" w:fill="FFFFFF"/>
        <w:spacing w:before="0" w:after="0"/>
        <w:jc w:val="both"/>
        <w:rPr>
          <w:rFonts w:ascii="Times New Roman" w:hAnsi="Times New Roman" w:cs="Times New Roman"/>
          <w:szCs w:val="20"/>
        </w:rPr>
      </w:pPr>
    </w:p>
    <w:p w:rsidR="00262A77" w:rsidRPr="00FA3856" w:rsidRDefault="00647904" w:rsidP="00867F54">
      <w:pPr>
        <w:pStyle w:val="Ttulo2"/>
      </w:pPr>
      <w:bookmarkStart w:id="4" w:name="_Toc479713618"/>
      <w:r w:rsidRPr="00372EFC">
        <w:t xml:space="preserve">1.3. Importação da ECF, </w:t>
      </w:r>
      <w:r w:rsidR="00262A77" w:rsidRPr="00372EFC">
        <w:t>Recuperação da ECD</w:t>
      </w:r>
      <w:r w:rsidRPr="00372EFC">
        <w:t xml:space="preserve"> e Recuperação da ECF anterior</w:t>
      </w:r>
      <w:bookmarkEnd w:id="4"/>
    </w:p>
    <w:p w:rsidR="00262A77" w:rsidRPr="00FA3856" w:rsidRDefault="00262A77" w:rsidP="00EC2D50">
      <w:pPr>
        <w:pStyle w:val="NormalWeb"/>
        <w:shd w:val="clear" w:color="auto" w:fill="FFFFFF"/>
        <w:spacing w:before="0" w:after="0"/>
        <w:jc w:val="both"/>
        <w:rPr>
          <w:rFonts w:ascii="Times New Roman" w:hAnsi="Times New Roman" w:cs="Times New Roman"/>
          <w:szCs w:val="20"/>
        </w:rPr>
      </w:pPr>
    </w:p>
    <w:p w:rsidR="00262A77" w:rsidRPr="00FA3856" w:rsidRDefault="00262A77" w:rsidP="00262A77">
      <w:pPr>
        <w:pStyle w:val="NormalWeb"/>
        <w:shd w:val="clear" w:color="auto" w:fill="FFFFFF"/>
        <w:spacing w:before="0" w:after="0"/>
        <w:ind w:firstLine="708"/>
        <w:jc w:val="both"/>
        <w:rPr>
          <w:rFonts w:ascii="Times New Roman" w:hAnsi="Times New Roman" w:cs="Times New Roman"/>
          <w:szCs w:val="20"/>
        </w:rPr>
      </w:pPr>
      <w:r w:rsidRPr="00FA3856">
        <w:rPr>
          <w:rFonts w:ascii="Times New Roman" w:hAnsi="Times New Roman" w:cs="Times New Roman"/>
          <w:szCs w:val="20"/>
        </w:rPr>
        <w:t xml:space="preserve">O arquivo da ECD não é importado para a ECF e sim recuperado. Primeiramente, deve ser criada uma ECF no próprio programa ou deve ser importado um arquivo da ECF, para, aí sim, recuperar o arquivo </w:t>
      </w:r>
      <w:r w:rsidR="00710E8D" w:rsidRPr="00FA3856">
        <w:rPr>
          <w:rFonts w:ascii="Times New Roman" w:hAnsi="Times New Roman" w:cs="Times New Roman"/>
          <w:szCs w:val="20"/>
        </w:rPr>
        <w:t xml:space="preserve">da ECD (recuperação de contas, </w:t>
      </w:r>
      <w:r w:rsidRPr="00FA3856">
        <w:rPr>
          <w:rFonts w:ascii="Times New Roman" w:hAnsi="Times New Roman" w:cs="Times New Roman"/>
          <w:szCs w:val="20"/>
        </w:rPr>
        <w:t>saldos</w:t>
      </w:r>
      <w:r w:rsidR="00710E8D" w:rsidRPr="00FA3856">
        <w:rPr>
          <w:rFonts w:ascii="Times New Roman" w:hAnsi="Times New Roman" w:cs="Times New Roman"/>
          <w:szCs w:val="20"/>
        </w:rPr>
        <w:t xml:space="preserve"> e mapeamento, caso tenha sido realizado na ECD</w:t>
      </w:r>
      <w:r w:rsidRPr="00FA3856">
        <w:rPr>
          <w:rFonts w:ascii="Times New Roman" w:hAnsi="Times New Roman" w:cs="Times New Roman"/>
          <w:szCs w:val="20"/>
        </w:rPr>
        <w:t>).</w:t>
      </w:r>
      <w:r w:rsidR="00070696" w:rsidRPr="00FA3856">
        <w:rPr>
          <w:rFonts w:ascii="Times New Roman" w:hAnsi="Times New Roman" w:cs="Times New Roman"/>
          <w:szCs w:val="20"/>
        </w:rPr>
        <w:t xml:space="preserve"> A ECD recuperada deve estar validada, assinada e transmitida.</w:t>
      </w:r>
    </w:p>
    <w:p w:rsidR="00070696" w:rsidRPr="00FA3856" w:rsidRDefault="00070696" w:rsidP="00262A77">
      <w:pPr>
        <w:pStyle w:val="NormalWeb"/>
        <w:shd w:val="clear" w:color="auto" w:fill="FFFFFF"/>
        <w:spacing w:before="0" w:after="0"/>
        <w:ind w:firstLine="708"/>
        <w:jc w:val="both"/>
        <w:rPr>
          <w:rFonts w:ascii="Times New Roman" w:hAnsi="Times New Roman" w:cs="Times New Roman"/>
          <w:szCs w:val="20"/>
        </w:rPr>
      </w:pPr>
    </w:p>
    <w:p w:rsidR="00070696" w:rsidRPr="00FA3856" w:rsidRDefault="00CC26D5" w:rsidP="00262A77">
      <w:pPr>
        <w:pStyle w:val="NormalWeb"/>
        <w:shd w:val="clear" w:color="auto" w:fill="FFFFFF"/>
        <w:spacing w:before="0" w:after="0"/>
        <w:ind w:firstLine="708"/>
        <w:jc w:val="both"/>
        <w:rPr>
          <w:rFonts w:ascii="Times New Roman" w:hAnsi="Times New Roman" w:cs="Times New Roman"/>
          <w:szCs w:val="20"/>
        </w:rPr>
      </w:pPr>
      <w:r w:rsidRPr="00FA3856">
        <w:rPr>
          <w:rFonts w:ascii="Times New Roman" w:hAnsi="Times New Roman" w:cs="Times New Roman"/>
          <w:szCs w:val="20"/>
        </w:rPr>
        <w:t>Para as pesso</w:t>
      </w:r>
      <w:r w:rsidR="00070696" w:rsidRPr="00FA3856">
        <w:rPr>
          <w:rFonts w:ascii="Times New Roman" w:hAnsi="Times New Roman" w:cs="Times New Roman"/>
          <w:szCs w:val="20"/>
        </w:rPr>
        <w:t xml:space="preserve">as jurídicas </w:t>
      </w:r>
      <w:r w:rsidR="00DE6B18" w:rsidRPr="00FA3856">
        <w:rPr>
          <w:rFonts w:ascii="Times New Roman" w:hAnsi="Times New Roman" w:cs="Times New Roman"/>
          <w:szCs w:val="20"/>
        </w:rPr>
        <w:t>t</w:t>
      </w:r>
      <w:r w:rsidR="001D6EF4">
        <w:rPr>
          <w:rFonts w:ascii="Times New Roman" w:hAnsi="Times New Roman" w:cs="Times New Roman"/>
          <w:szCs w:val="20"/>
        </w:rPr>
        <w:t xml:space="preserve">ributadas pelo lucro presumido e </w:t>
      </w:r>
      <w:r w:rsidR="00DE6B18" w:rsidRPr="00FA3856">
        <w:rPr>
          <w:rFonts w:ascii="Times New Roman" w:hAnsi="Times New Roman" w:cs="Times New Roman"/>
          <w:szCs w:val="20"/>
        </w:rPr>
        <w:t xml:space="preserve">imunes ou isentas </w:t>
      </w:r>
      <w:r w:rsidR="00070696" w:rsidRPr="00FA3856">
        <w:rPr>
          <w:rFonts w:ascii="Times New Roman" w:hAnsi="Times New Roman" w:cs="Times New Roman"/>
          <w:szCs w:val="20"/>
        </w:rPr>
        <w:t>obrigadas a entregar a ECD, a recuperação da ECD na ECF é obrigatória. Nesse caso, o</w:t>
      </w:r>
      <w:r w:rsidR="009C74B0">
        <w:rPr>
          <w:rFonts w:ascii="Times New Roman" w:hAnsi="Times New Roman" w:cs="Times New Roman"/>
          <w:szCs w:val="20"/>
        </w:rPr>
        <w:t xml:space="preserve"> campo escrituração –  “</w:t>
      </w:r>
      <w:r w:rsidR="00070696" w:rsidRPr="00FA3856">
        <w:rPr>
          <w:rFonts w:ascii="Times New Roman" w:hAnsi="Times New Roman" w:cs="Times New Roman"/>
          <w:szCs w:val="20"/>
        </w:rPr>
        <w:t>TIP_ESC_PRE</w:t>
      </w:r>
      <w:r w:rsidR="009C74B0">
        <w:rPr>
          <w:rFonts w:ascii="Times New Roman" w:hAnsi="Times New Roman" w:cs="Times New Roman"/>
          <w:szCs w:val="20"/>
        </w:rPr>
        <w:t xml:space="preserve">” – do registro 0010 </w:t>
      </w:r>
      <w:r w:rsidR="00070696" w:rsidRPr="00FA3856">
        <w:rPr>
          <w:rFonts w:ascii="Times New Roman" w:hAnsi="Times New Roman" w:cs="Times New Roman"/>
          <w:szCs w:val="20"/>
        </w:rPr>
        <w:t>deve ser preenchido com “C”</w:t>
      </w:r>
      <w:r w:rsidR="009C74B0">
        <w:rPr>
          <w:rFonts w:ascii="Times New Roman" w:hAnsi="Times New Roman" w:cs="Times New Roman"/>
          <w:szCs w:val="20"/>
        </w:rPr>
        <w:t xml:space="preserve"> (obrigada a entregar a ECD)</w:t>
      </w:r>
      <w:r w:rsidR="00070696" w:rsidRPr="00FA3856">
        <w:rPr>
          <w:rFonts w:ascii="Times New Roman" w:hAnsi="Times New Roman" w:cs="Times New Roman"/>
          <w:szCs w:val="20"/>
        </w:rPr>
        <w:t>.</w:t>
      </w:r>
    </w:p>
    <w:p w:rsidR="00CC26D5" w:rsidRPr="00FA3856" w:rsidRDefault="00CC26D5" w:rsidP="00262A77">
      <w:pPr>
        <w:pStyle w:val="NormalWeb"/>
        <w:shd w:val="clear" w:color="auto" w:fill="FFFFFF"/>
        <w:spacing w:before="0" w:after="0"/>
        <w:ind w:firstLine="708"/>
        <w:jc w:val="both"/>
        <w:rPr>
          <w:rFonts w:ascii="Times New Roman" w:hAnsi="Times New Roman" w:cs="Times New Roman"/>
          <w:szCs w:val="20"/>
        </w:rPr>
      </w:pPr>
    </w:p>
    <w:p w:rsidR="00CC26D5" w:rsidRPr="00FA3856" w:rsidRDefault="00CC26D5" w:rsidP="00262A77">
      <w:pPr>
        <w:pStyle w:val="NormalWeb"/>
        <w:shd w:val="clear" w:color="auto" w:fill="FFFFFF"/>
        <w:spacing w:before="0" w:after="0"/>
        <w:ind w:firstLine="708"/>
        <w:jc w:val="both"/>
        <w:rPr>
          <w:rFonts w:ascii="Times New Roman" w:hAnsi="Times New Roman" w:cs="Times New Roman"/>
          <w:szCs w:val="20"/>
        </w:rPr>
      </w:pPr>
      <w:r w:rsidRPr="00FA3856">
        <w:rPr>
          <w:rFonts w:ascii="Times New Roman" w:hAnsi="Times New Roman" w:cs="Times New Roman"/>
          <w:szCs w:val="20"/>
        </w:rPr>
        <w:t xml:space="preserve">Para as pessoas jurídicas não obrigadas a entregar a ECD, </w:t>
      </w:r>
      <w:r w:rsidR="009C74B0" w:rsidRPr="00FA3856">
        <w:rPr>
          <w:rFonts w:ascii="Times New Roman" w:hAnsi="Times New Roman" w:cs="Times New Roman"/>
          <w:szCs w:val="20"/>
        </w:rPr>
        <w:t>o</w:t>
      </w:r>
      <w:r w:rsidR="009C74B0">
        <w:rPr>
          <w:rFonts w:ascii="Times New Roman" w:hAnsi="Times New Roman" w:cs="Times New Roman"/>
          <w:szCs w:val="20"/>
        </w:rPr>
        <w:t xml:space="preserve"> campo escrituração –  “</w:t>
      </w:r>
      <w:r w:rsidR="009C74B0" w:rsidRPr="00FA3856">
        <w:rPr>
          <w:rFonts w:ascii="Times New Roman" w:hAnsi="Times New Roman" w:cs="Times New Roman"/>
          <w:szCs w:val="20"/>
        </w:rPr>
        <w:t>TIP_ESC_PRE</w:t>
      </w:r>
      <w:r w:rsidR="009C74B0">
        <w:rPr>
          <w:rFonts w:ascii="Times New Roman" w:hAnsi="Times New Roman" w:cs="Times New Roman"/>
          <w:szCs w:val="20"/>
        </w:rPr>
        <w:t xml:space="preserve">” – do registro 0010 </w:t>
      </w:r>
      <w:r w:rsidRPr="00FA3856">
        <w:rPr>
          <w:rFonts w:ascii="Times New Roman" w:hAnsi="Times New Roman" w:cs="Times New Roman"/>
          <w:szCs w:val="20"/>
        </w:rPr>
        <w:t>deve ser preenchido com “L”</w:t>
      </w:r>
      <w:r w:rsidR="009C74B0">
        <w:rPr>
          <w:rFonts w:ascii="Times New Roman" w:hAnsi="Times New Roman" w:cs="Times New Roman"/>
          <w:szCs w:val="20"/>
        </w:rPr>
        <w:t xml:space="preserve"> (não obrigada a entregar a ECD)</w:t>
      </w:r>
      <w:r w:rsidRPr="00FA3856">
        <w:rPr>
          <w:rFonts w:ascii="Times New Roman" w:hAnsi="Times New Roman" w:cs="Times New Roman"/>
          <w:szCs w:val="20"/>
        </w:rPr>
        <w:t>. Nessa situação, os blocos C, E, J e K não serão preenchidos.</w:t>
      </w:r>
    </w:p>
    <w:p w:rsidR="00921621" w:rsidRDefault="00921621" w:rsidP="00262A77">
      <w:pPr>
        <w:pStyle w:val="NormalWeb"/>
        <w:shd w:val="clear" w:color="auto" w:fill="FFFFFF"/>
        <w:spacing w:before="0" w:after="0"/>
        <w:ind w:firstLine="708"/>
        <w:jc w:val="both"/>
        <w:rPr>
          <w:rFonts w:ascii="Times New Roman" w:hAnsi="Times New Roman" w:cs="Times New Roman"/>
          <w:szCs w:val="20"/>
        </w:rPr>
      </w:pPr>
    </w:p>
    <w:p w:rsidR="000D10B7" w:rsidRPr="00892DF6" w:rsidRDefault="000D10B7" w:rsidP="000D10B7">
      <w:pPr>
        <w:pStyle w:val="NormalWeb"/>
        <w:shd w:val="clear" w:color="auto" w:fill="FFFFFF"/>
        <w:spacing w:before="0" w:after="0"/>
        <w:ind w:firstLine="708"/>
        <w:jc w:val="both"/>
        <w:rPr>
          <w:rFonts w:ascii="Times New Roman" w:hAnsi="Times New Roman" w:cs="Times New Roman"/>
          <w:szCs w:val="20"/>
        </w:rPr>
      </w:pPr>
      <w:r w:rsidRPr="00892DF6">
        <w:rPr>
          <w:rFonts w:ascii="Times New Roman" w:hAnsi="Times New Roman" w:cs="Times New Roman"/>
          <w:szCs w:val="20"/>
        </w:rPr>
        <w:t xml:space="preserve">O programa da ECF consegue recuperar mais de um arquivo da ECD, desde que </w:t>
      </w:r>
      <w:r w:rsidR="00E00235" w:rsidRPr="00892DF6">
        <w:rPr>
          <w:rFonts w:ascii="Times New Roman" w:hAnsi="Times New Roman" w:cs="Times New Roman"/>
          <w:szCs w:val="20"/>
        </w:rPr>
        <w:t>os períodos</w:t>
      </w:r>
      <w:r w:rsidRPr="00892DF6">
        <w:rPr>
          <w:rFonts w:ascii="Times New Roman" w:hAnsi="Times New Roman" w:cs="Times New Roman"/>
          <w:szCs w:val="20"/>
        </w:rPr>
        <w:t xml:space="preserve"> dos arquivos da ECD seja</w:t>
      </w:r>
      <w:r w:rsidR="00E00235">
        <w:rPr>
          <w:rFonts w:ascii="Times New Roman" w:hAnsi="Times New Roman" w:cs="Times New Roman"/>
          <w:szCs w:val="20"/>
        </w:rPr>
        <w:t>m</w:t>
      </w:r>
      <w:r w:rsidRPr="00892DF6">
        <w:rPr>
          <w:rFonts w:ascii="Times New Roman" w:hAnsi="Times New Roman" w:cs="Times New Roman"/>
          <w:szCs w:val="20"/>
        </w:rPr>
        <w:t xml:space="preserve"> equivalente</w:t>
      </w:r>
      <w:r w:rsidR="00E00235">
        <w:rPr>
          <w:rFonts w:ascii="Times New Roman" w:hAnsi="Times New Roman" w:cs="Times New Roman"/>
          <w:szCs w:val="20"/>
        </w:rPr>
        <w:t>s</w:t>
      </w:r>
      <w:r w:rsidRPr="00892DF6">
        <w:rPr>
          <w:rFonts w:ascii="Times New Roman" w:hAnsi="Times New Roman" w:cs="Times New Roman"/>
          <w:szCs w:val="20"/>
        </w:rPr>
        <w:t xml:space="preserve"> ao período do arquivo da ECF.</w:t>
      </w:r>
    </w:p>
    <w:p w:rsidR="000D10B7" w:rsidRPr="00892DF6" w:rsidRDefault="000D10B7" w:rsidP="000D10B7">
      <w:pPr>
        <w:pStyle w:val="NormalWeb"/>
        <w:shd w:val="clear" w:color="auto" w:fill="FFFFFF"/>
        <w:spacing w:before="0" w:after="0"/>
        <w:ind w:firstLine="708"/>
        <w:jc w:val="both"/>
        <w:rPr>
          <w:rFonts w:ascii="Times New Roman" w:hAnsi="Times New Roman" w:cs="Times New Roman"/>
          <w:szCs w:val="20"/>
        </w:rPr>
      </w:pPr>
    </w:p>
    <w:p w:rsidR="000D10B7" w:rsidRPr="00892DF6" w:rsidRDefault="000D10B7" w:rsidP="000D10B7">
      <w:pPr>
        <w:pStyle w:val="NormalWeb"/>
        <w:shd w:val="clear" w:color="auto" w:fill="FFFFFF"/>
        <w:spacing w:before="0" w:after="0"/>
        <w:ind w:firstLine="708"/>
        <w:jc w:val="both"/>
        <w:rPr>
          <w:rFonts w:ascii="Times New Roman" w:hAnsi="Times New Roman" w:cs="Times New Roman"/>
          <w:szCs w:val="20"/>
        </w:rPr>
      </w:pPr>
      <w:r w:rsidRPr="00892DF6">
        <w:rPr>
          <w:rFonts w:ascii="Times New Roman" w:hAnsi="Times New Roman" w:cs="Times New Roman"/>
          <w:b/>
          <w:szCs w:val="20"/>
        </w:rPr>
        <w:t>Exemplo</w:t>
      </w:r>
      <w:r w:rsidRPr="00892DF6">
        <w:rPr>
          <w:rFonts w:ascii="Times New Roman" w:hAnsi="Times New Roman" w:cs="Times New Roman"/>
          <w:szCs w:val="20"/>
        </w:rPr>
        <w:t>: Arquivo da ECF - de 01/01/2015 a 31/12/2015</w:t>
      </w:r>
    </w:p>
    <w:p w:rsidR="000D10B7" w:rsidRPr="00892DF6" w:rsidRDefault="000D10B7" w:rsidP="000D10B7">
      <w:pPr>
        <w:pStyle w:val="NormalWeb"/>
        <w:shd w:val="clear" w:color="auto" w:fill="FFFFFF"/>
        <w:spacing w:before="0" w:after="0"/>
        <w:ind w:firstLine="708"/>
        <w:jc w:val="both"/>
        <w:rPr>
          <w:rFonts w:ascii="Times New Roman" w:hAnsi="Times New Roman" w:cs="Times New Roman"/>
          <w:szCs w:val="20"/>
        </w:rPr>
      </w:pPr>
    </w:p>
    <w:p w:rsidR="000D10B7" w:rsidRPr="00892DF6" w:rsidRDefault="000D10B7" w:rsidP="000D10B7">
      <w:pPr>
        <w:pStyle w:val="NormalWeb"/>
        <w:shd w:val="clear" w:color="auto" w:fill="FFFFFF"/>
        <w:spacing w:before="0" w:after="0"/>
        <w:ind w:firstLine="708"/>
        <w:jc w:val="both"/>
        <w:rPr>
          <w:rFonts w:ascii="Times New Roman" w:hAnsi="Times New Roman" w:cs="Times New Roman"/>
          <w:szCs w:val="20"/>
        </w:rPr>
      </w:pPr>
      <w:r w:rsidRPr="00892DF6">
        <w:rPr>
          <w:rFonts w:ascii="Times New Roman" w:hAnsi="Times New Roman" w:cs="Times New Roman"/>
          <w:szCs w:val="20"/>
        </w:rPr>
        <w:t>Arquivos da ECD:</w:t>
      </w:r>
    </w:p>
    <w:p w:rsidR="000D10B7" w:rsidRPr="00892DF6" w:rsidRDefault="000D10B7" w:rsidP="000D10B7">
      <w:pPr>
        <w:pStyle w:val="NormalWeb"/>
        <w:shd w:val="clear" w:color="auto" w:fill="FFFFFF"/>
        <w:spacing w:before="0" w:after="0"/>
        <w:ind w:firstLine="708"/>
        <w:jc w:val="both"/>
        <w:rPr>
          <w:rFonts w:ascii="Times New Roman" w:hAnsi="Times New Roman" w:cs="Times New Roman"/>
          <w:szCs w:val="20"/>
        </w:rPr>
      </w:pPr>
    </w:p>
    <w:p w:rsidR="000D10B7" w:rsidRPr="00892DF6" w:rsidRDefault="000D10B7" w:rsidP="000D10B7">
      <w:pPr>
        <w:pStyle w:val="NormalWeb"/>
        <w:shd w:val="clear" w:color="auto" w:fill="FFFFFF"/>
        <w:spacing w:before="0" w:after="0"/>
        <w:ind w:firstLine="708"/>
        <w:jc w:val="both"/>
        <w:rPr>
          <w:rFonts w:ascii="Times New Roman" w:hAnsi="Times New Roman" w:cs="Times New Roman"/>
          <w:szCs w:val="20"/>
        </w:rPr>
      </w:pPr>
      <w:r w:rsidRPr="00892DF6">
        <w:rPr>
          <w:rFonts w:ascii="Times New Roman" w:hAnsi="Times New Roman" w:cs="Times New Roman"/>
          <w:szCs w:val="20"/>
        </w:rPr>
        <w:t>Arquivo 1 da ECD: de 01/01/2015 a 31/03/2015</w:t>
      </w:r>
    </w:p>
    <w:p w:rsidR="000D10B7" w:rsidRPr="00892DF6" w:rsidRDefault="000D10B7" w:rsidP="000D10B7">
      <w:pPr>
        <w:pStyle w:val="NormalWeb"/>
        <w:shd w:val="clear" w:color="auto" w:fill="FFFFFF"/>
        <w:spacing w:before="0" w:after="0"/>
        <w:ind w:firstLine="708"/>
        <w:jc w:val="both"/>
        <w:rPr>
          <w:rFonts w:ascii="Times New Roman" w:hAnsi="Times New Roman" w:cs="Times New Roman"/>
          <w:szCs w:val="20"/>
        </w:rPr>
      </w:pPr>
      <w:r w:rsidRPr="00892DF6">
        <w:rPr>
          <w:rFonts w:ascii="Times New Roman" w:hAnsi="Times New Roman" w:cs="Times New Roman"/>
          <w:szCs w:val="20"/>
        </w:rPr>
        <w:t>Arquivo 2 da ECD: de 01/04/2015 a 31/08/2015</w:t>
      </w:r>
    </w:p>
    <w:p w:rsidR="000D10B7" w:rsidRPr="00892DF6" w:rsidRDefault="000D10B7" w:rsidP="000D10B7">
      <w:pPr>
        <w:pStyle w:val="NormalWeb"/>
        <w:shd w:val="clear" w:color="auto" w:fill="FFFFFF"/>
        <w:spacing w:before="0" w:after="0"/>
        <w:ind w:firstLine="708"/>
        <w:jc w:val="both"/>
        <w:rPr>
          <w:rFonts w:ascii="Times New Roman" w:hAnsi="Times New Roman" w:cs="Times New Roman"/>
          <w:szCs w:val="20"/>
        </w:rPr>
      </w:pPr>
      <w:r w:rsidRPr="00892DF6">
        <w:rPr>
          <w:rFonts w:ascii="Times New Roman" w:hAnsi="Times New Roman" w:cs="Times New Roman"/>
          <w:szCs w:val="20"/>
        </w:rPr>
        <w:t>Arquivo 3 da ECD: de 01/09/2015 a 31/12/2015</w:t>
      </w:r>
    </w:p>
    <w:p w:rsidR="000D10B7" w:rsidRPr="00892DF6" w:rsidRDefault="000D10B7" w:rsidP="000D10B7">
      <w:pPr>
        <w:pStyle w:val="NormalWeb"/>
        <w:shd w:val="clear" w:color="auto" w:fill="FFFFFF"/>
        <w:spacing w:before="0" w:after="0"/>
        <w:ind w:firstLine="708"/>
        <w:jc w:val="both"/>
        <w:rPr>
          <w:rFonts w:ascii="Times New Roman" w:hAnsi="Times New Roman" w:cs="Times New Roman"/>
          <w:szCs w:val="20"/>
        </w:rPr>
      </w:pPr>
    </w:p>
    <w:p w:rsidR="000D10B7" w:rsidRPr="00647904" w:rsidRDefault="000D10B7" w:rsidP="000D10B7">
      <w:pPr>
        <w:pStyle w:val="NormalWeb"/>
        <w:shd w:val="clear" w:color="auto" w:fill="FFFFFF"/>
        <w:spacing w:before="0" w:after="0"/>
        <w:ind w:firstLine="708"/>
        <w:jc w:val="both"/>
        <w:rPr>
          <w:rFonts w:ascii="Times New Roman" w:hAnsi="Times New Roman" w:cs="Times New Roman"/>
          <w:szCs w:val="20"/>
          <w:highlight w:val="yellow"/>
        </w:rPr>
      </w:pPr>
      <w:r w:rsidRPr="009D46B2">
        <w:rPr>
          <w:rFonts w:ascii="Times New Roman" w:hAnsi="Times New Roman" w:cs="Times New Roman"/>
          <w:szCs w:val="20"/>
        </w:rPr>
        <w:t>Portanto, o programa da ECF conseguirá recuperar os três arquivos da ECD, pois eles correspondem ao mesmo período da ECF (de 01/01/2015 a 31/12/2015).</w:t>
      </w:r>
    </w:p>
    <w:p w:rsidR="009C74B0" w:rsidRDefault="009C74B0" w:rsidP="000D10B7">
      <w:pPr>
        <w:pStyle w:val="NormalWeb"/>
        <w:shd w:val="clear" w:color="auto" w:fill="FFFFFF"/>
        <w:spacing w:before="0" w:after="0"/>
        <w:ind w:firstLine="708"/>
        <w:jc w:val="both"/>
        <w:rPr>
          <w:rFonts w:ascii="Times New Roman" w:hAnsi="Times New Roman" w:cs="Times New Roman"/>
          <w:szCs w:val="20"/>
        </w:rPr>
      </w:pPr>
    </w:p>
    <w:p w:rsidR="00647904" w:rsidRPr="00372EFC" w:rsidRDefault="00647904" w:rsidP="000D10B7">
      <w:pPr>
        <w:pStyle w:val="NormalWeb"/>
        <w:shd w:val="clear" w:color="auto" w:fill="FFFFFF"/>
        <w:spacing w:before="0" w:after="0"/>
        <w:ind w:firstLine="708"/>
        <w:jc w:val="both"/>
        <w:rPr>
          <w:rFonts w:ascii="Times New Roman" w:hAnsi="Times New Roman" w:cs="Times New Roman"/>
          <w:szCs w:val="20"/>
        </w:rPr>
      </w:pPr>
      <w:r w:rsidRPr="00372EFC">
        <w:rPr>
          <w:rFonts w:ascii="Times New Roman" w:hAnsi="Times New Roman" w:cs="Times New Roman"/>
          <w:szCs w:val="20"/>
        </w:rPr>
        <w:lastRenderedPageBreak/>
        <w:t>O programa da ECF também permite a recuperação da ECF de perí</w:t>
      </w:r>
      <w:r w:rsidR="009D46B2" w:rsidRPr="00372EFC">
        <w:rPr>
          <w:rFonts w:ascii="Times New Roman" w:hAnsi="Times New Roman" w:cs="Times New Roman"/>
          <w:szCs w:val="20"/>
        </w:rPr>
        <w:t>o</w:t>
      </w:r>
      <w:r w:rsidRPr="00372EFC">
        <w:rPr>
          <w:rFonts w:ascii="Times New Roman" w:hAnsi="Times New Roman" w:cs="Times New Roman"/>
          <w:szCs w:val="20"/>
        </w:rPr>
        <w:t xml:space="preserve">do </w:t>
      </w:r>
      <w:r w:rsidR="009D46B2" w:rsidRPr="00372EFC">
        <w:rPr>
          <w:rFonts w:ascii="Times New Roman" w:hAnsi="Times New Roman" w:cs="Times New Roman"/>
          <w:szCs w:val="20"/>
        </w:rPr>
        <w:t xml:space="preserve">imediatamente </w:t>
      </w:r>
      <w:r w:rsidRPr="00372EFC">
        <w:rPr>
          <w:rFonts w:ascii="Times New Roman" w:hAnsi="Times New Roman" w:cs="Times New Roman"/>
          <w:szCs w:val="20"/>
        </w:rPr>
        <w:t>anterior transmitida. A recuperação da ECF</w:t>
      </w:r>
      <w:r w:rsidR="009D46B2" w:rsidRPr="00372EFC">
        <w:rPr>
          <w:rFonts w:ascii="Times New Roman" w:hAnsi="Times New Roman" w:cs="Times New Roman"/>
          <w:szCs w:val="20"/>
        </w:rPr>
        <w:t xml:space="preserve"> do período imediatamente</w:t>
      </w:r>
      <w:r w:rsidRPr="00372EFC">
        <w:rPr>
          <w:rFonts w:ascii="Times New Roman" w:hAnsi="Times New Roman" w:cs="Times New Roman"/>
          <w:szCs w:val="20"/>
        </w:rPr>
        <w:t xml:space="preserve"> anterior é obrigatória quando:</w:t>
      </w:r>
    </w:p>
    <w:p w:rsidR="00647904" w:rsidRPr="00372EFC" w:rsidRDefault="00647904" w:rsidP="000D10B7">
      <w:pPr>
        <w:pStyle w:val="NormalWeb"/>
        <w:shd w:val="clear" w:color="auto" w:fill="FFFFFF"/>
        <w:spacing w:before="0" w:after="0"/>
        <w:ind w:firstLine="708"/>
        <w:jc w:val="both"/>
        <w:rPr>
          <w:rFonts w:ascii="Times New Roman" w:hAnsi="Times New Roman" w:cs="Times New Roman"/>
          <w:szCs w:val="20"/>
        </w:rPr>
      </w:pPr>
    </w:p>
    <w:p w:rsidR="00647904" w:rsidRPr="00372EFC" w:rsidRDefault="00647904" w:rsidP="000D10B7">
      <w:pPr>
        <w:pStyle w:val="NormalWeb"/>
        <w:shd w:val="clear" w:color="auto" w:fill="FFFFFF"/>
        <w:spacing w:before="0" w:after="0"/>
        <w:ind w:firstLine="708"/>
        <w:jc w:val="both"/>
        <w:rPr>
          <w:rFonts w:ascii="Times New Roman" w:hAnsi="Times New Roman" w:cs="Times New Roman"/>
          <w:szCs w:val="20"/>
        </w:rPr>
      </w:pPr>
      <w:r w:rsidRPr="00372EFC">
        <w:rPr>
          <w:rFonts w:ascii="Times New Roman" w:hAnsi="Times New Roman" w:cs="Times New Roman"/>
          <w:szCs w:val="20"/>
        </w:rPr>
        <w:t xml:space="preserve">1 – </w:t>
      </w:r>
      <w:r w:rsidR="009D46B2" w:rsidRPr="00372EFC">
        <w:rPr>
          <w:rFonts w:ascii="Times New Roman" w:hAnsi="Times New Roman" w:cs="Times New Roman"/>
          <w:szCs w:val="20"/>
        </w:rPr>
        <w:t>A</w:t>
      </w:r>
      <w:r w:rsidRPr="00372EFC">
        <w:rPr>
          <w:rFonts w:ascii="Times New Roman" w:hAnsi="Times New Roman" w:cs="Times New Roman"/>
          <w:szCs w:val="20"/>
        </w:rPr>
        <w:t xml:space="preserve"> data inicial da ECF (0000.DT_INI) </w:t>
      </w:r>
      <w:r w:rsidR="009D46B2" w:rsidRPr="00372EFC">
        <w:rPr>
          <w:rFonts w:ascii="Times New Roman" w:hAnsi="Times New Roman" w:cs="Times New Roman"/>
          <w:szCs w:val="20"/>
        </w:rPr>
        <w:t xml:space="preserve">do período atual </w:t>
      </w:r>
      <w:r w:rsidRPr="00372EFC">
        <w:rPr>
          <w:rFonts w:ascii="Times New Roman" w:hAnsi="Times New Roman" w:cs="Times New Roman"/>
          <w:szCs w:val="20"/>
        </w:rPr>
        <w:t>for diferente de 01/01/2014; e</w:t>
      </w:r>
    </w:p>
    <w:p w:rsidR="001D6EF4" w:rsidRDefault="001D6EF4" w:rsidP="00647904">
      <w:pPr>
        <w:pStyle w:val="NormalWeb"/>
        <w:shd w:val="clear" w:color="auto" w:fill="FFFFFF"/>
        <w:spacing w:before="0" w:after="0"/>
        <w:ind w:left="708"/>
        <w:jc w:val="both"/>
        <w:rPr>
          <w:rFonts w:ascii="Times New Roman" w:hAnsi="Times New Roman" w:cs="Times New Roman"/>
          <w:szCs w:val="20"/>
        </w:rPr>
      </w:pPr>
    </w:p>
    <w:p w:rsidR="00647904" w:rsidRPr="00372EFC" w:rsidRDefault="00647904" w:rsidP="00647904">
      <w:pPr>
        <w:pStyle w:val="NormalWeb"/>
        <w:shd w:val="clear" w:color="auto" w:fill="FFFFFF"/>
        <w:spacing w:before="0" w:after="0"/>
        <w:ind w:left="708"/>
        <w:jc w:val="both"/>
        <w:rPr>
          <w:rFonts w:ascii="Times New Roman" w:hAnsi="Times New Roman" w:cs="Times New Roman"/>
          <w:szCs w:val="20"/>
        </w:rPr>
      </w:pPr>
      <w:r w:rsidRPr="00372EFC">
        <w:rPr>
          <w:rFonts w:ascii="Times New Roman" w:hAnsi="Times New Roman" w:cs="Times New Roman"/>
          <w:szCs w:val="20"/>
        </w:rPr>
        <w:t>2 – O indicador de situação de início de período (0000.IND_SIT_INI_PER) for igual a “0” (Regular – Início no primeiro dia do ano) ou “2” (Resultante de cisão/fusão ou remanescente de cisão ou realizou incorporação).</w:t>
      </w:r>
    </w:p>
    <w:p w:rsidR="00647904" w:rsidRPr="00647904" w:rsidRDefault="00647904" w:rsidP="00BA4160">
      <w:pPr>
        <w:rPr>
          <w:szCs w:val="20"/>
        </w:rPr>
      </w:pPr>
    </w:p>
    <w:p w:rsidR="00647904" w:rsidRPr="00372EFC" w:rsidRDefault="00647904" w:rsidP="00647904">
      <w:pPr>
        <w:ind w:left="708"/>
        <w:rPr>
          <w:szCs w:val="20"/>
        </w:rPr>
      </w:pPr>
      <w:r w:rsidRPr="00372EFC">
        <w:rPr>
          <w:szCs w:val="20"/>
        </w:rPr>
        <w:t>No momento da transmissão, o erro de não recuperação da ECF anterior ocorrerá de acordo com as seguintes regras:</w:t>
      </w:r>
    </w:p>
    <w:p w:rsidR="00647904" w:rsidRPr="00372EFC" w:rsidRDefault="00647904" w:rsidP="00647904">
      <w:pPr>
        <w:ind w:left="708"/>
        <w:rPr>
          <w:szCs w:val="20"/>
        </w:rPr>
      </w:pPr>
    </w:p>
    <w:p w:rsidR="00647904" w:rsidRPr="00372EFC" w:rsidRDefault="00647904" w:rsidP="001D6EF4">
      <w:pPr>
        <w:ind w:left="708"/>
        <w:jc w:val="both"/>
        <w:rPr>
          <w:szCs w:val="20"/>
        </w:rPr>
      </w:pPr>
      <w:r w:rsidRPr="00372EFC">
        <w:rPr>
          <w:szCs w:val="20"/>
        </w:rPr>
        <w:t xml:space="preserve">- Verifica, quando a forma de tributação for lucro real (0010.FORMA_TRIB = 1), se existe ECF transmitida para a base do Sped de período imediatamente anterior e com o </w:t>
      </w:r>
      <w:r w:rsidRPr="00372EFC">
        <w:rPr>
          <w:i/>
          <w:szCs w:val="20"/>
        </w:rPr>
        <w:t>HASHCODE</w:t>
      </w:r>
      <w:r w:rsidRPr="00372EFC">
        <w:rPr>
          <w:szCs w:val="20"/>
        </w:rPr>
        <w:t xml:space="preserve"> igual ao que foi informado no </w:t>
      </w:r>
      <w:r w:rsidR="0000555D" w:rsidRPr="00372EFC">
        <w:rPr>
          <w:szCs w:val="20"/>
        </w:rPr>
        <w:t xml:space="preserve">campo </w:t>
      </w:r>
      <w:r w:rsidR="0000555D">
        <w:rPr>
          <w:i/>
          <w:szCs w:val="20"/>
        </w:rPr>
        <w:t xml:space="preserve">hascode </w:t>
      </w:r>
      <w:r w:rsidR="0000555D">
        <w:rPr>
          <w:szCs w:val="20"/>
        </w:rPr>
        <w:t>da ECF do período imediatamente anterior a ser recuperado – “</w:t>
      </w:r>
      <w:r w:rsidR="0000555D" w:rsidRPr="00372EFC">
        <w:rPr>
          <w:szCs w:val="20"/>
        </w:rPr>
        <w:t>HASH_ECF_ANTERIOR</w:t>
      </w:r>
      <w:r w:rsidR="0000555D">
        <w:rPr>
          <w:szCs w:val="20"/>
        </w:rPr>
        <w:t>” – do registro 0010</w:t>
      </w:r>
      <w:r w:rsidRPr="00372EFC">
        <w:rPr>
          <w:szCs w:val="20"/>
        </w:rPr>
        <w:t>.</w:t>
      </w:r>
    </w:p>
    <w:p w:rsidR="00647904" w:rsidRPr="00372EFC" w:rsidRDefault="00647904" w:rsidP="001D6EF4">
      <w:pPr>
        <w:ind w:left="708"/>
        <w:jc w:val="both"/>
        <w:rPr>
          <w:szCs w:val="20"/>
        </w:rPr>
      </w:pPr>
    </w:p>
    <w:p w:rsidR="00787CA0" w:rsidRDefault="00647904" w:rsidP="001D6EF4">
      <w:pPr>
        <w:ind w:left="708"/>
        <w:jc w:val="both"/>
        <w:rPr>
          <w:szCs w:val="20"/>
        </w:rPr>
      </w:pPr>
      <w:r w:rsidRPr="00372EFC">
        <w:rPr>
          <w:szCs w:val="20"/>
        </w:rPr>
        <w:t>- Verifica, quando a forma de tributação for lu</w:t>
      </w:r>
      <w:r w:rsidR="00787CA0" w:rsidRPr="00372EFC">
        <w:rPr>
          <w:szCs w:val="20"/>
        </w:rPr>
        <w:t xml:space="preserve">cro real (0010.FORMA_TRIB = 1) e não existe ECF transmitida para a base do Sped de período imediatamente anterior, se o campo </w:t>
      </w:r>
      <w:r w:rsidR="0000555D">
        <w:rPr>
          <w:i/>
          <w:szCs w:val="20"/>
        </w:rPr>
        <w:t xml:space="preserve">hascode </w:t>
      </w:r>
      <w:r w:rsidR="0000555D">
        <w:rPr>
          <w:szCs w:val="20"/>
        </w:rPr>
        <w:t>da ECF do período imediatamente anterior a ser recuperado – “</w:t>
      </w:r>
      <w:r w:rsidR="00787CA0" w:rsidRPr="00372EFC">
        <w:rPr>
          <w:szCs w:val="20"/>
        </w:rPr>
        <w:t>HASH_ECF_ANTERIOR</w:t>
      </w:r>
      <w:r w:rsidR="0000555D">
        <w:rPr>
          <w:szCs w:val="20"/>
        </w:rPr>
        <w:t>” – do registro 0010</w:t>
      </w:r>
      <w:r w:rsidR="00787CA0" w:rsidRPr="00372EFC">
        <w:rPr>
          <w:szCs w:val="20"/>
        </w:rPr>
        <w:t xml:space="preserve"> não está preenchido.</w:t>
      </w:r>
    </w:p>
    <w:p w:rsidR="000D10B7" w:rsidRPr="00FA3856" w:rsidRDefault="000D10B7" w:rsidP="001D6EF4">
      <w:pPr>
        <w:pStyle w:val="NormalWeb"/>
        <w:shd w:val="clear" w:color="auto" w:fill="FFFFFF"/>
        <w:spacing w:before="0" w:after="0"/>
        <w:jc w:val="both"/>
        <w:rPr>
          <w:rFonts w:ascii="Times New Roman" w:hAnsi="Times New Roman" w:cs="Times New Roman"/>
          <w:szCs w:val="20"/>
        </w:rPr>
      </w:pPr>
    </w:p>
    <w:p w:rsidR="00921621" w:rsidRPr="00FA3856" w:rsidRDefault="00921621" w:rsidP="00867F54">
      <w:pPr>
        <w:pStyle w:val="Ttulo2"/>
      </w:pPr>
      <w:bookmarkStart w:id="5" w:name="_Toc479713619"/>
      <w:r w:rsidRPr="00FA3856">
        <w:t>1.4. Pessoas Jurídicas Imunes e Isentas</w:t>
      </w:r>
      <w:bookmarkEnd w:id="5"/>
    </w:p>
    <w:p w:rsidR="008A1B95" w:rsidRPr="00FA3856" w:rsidRDefault="008A1B95" w:rsidP="008A1B95">
      <w:pPr>
        <w:tabs>
          <w:tab w:val="left" w:pos="8175"/>
        </w:tabs>
        <w:rPr>
          <w:color w:val="0000FF"/>
          <w:szCs w:val="20"/>
        </w:rPr>
      </w:pPr>
      <w:r w:rsidRPr="00FA3856">
        <w:rPr>
          <w:color w:val="0000FF"/>
          <w:szCs w:val="20"/>
        </w:rPr>
        <w:tab/>
      </w:r>
      <w:r w:rsidRPr="00FA3856">
        <w:rPr>
          <w:szCs w:val="20"/>
        </w:rPr>
        <w:t xml:space="preserve">  </w:t>
      </w:r>
    </w:p>
    <w:p w:rsidR="008A1B95" w:rsidRPr="00E929FE" w:rsidRDefault="00F92E2B" w:rsidP="008A1B95">
      <w:pPr>
        <w:shd w:val="clear" w:color="auto" w:fill="FFFFFF"/>
        <w:ind w:firstLine="708"/>
        <w:jc w:val="both"/>
        <w:rPr>
          <w:szCs w:val="20"/>
        </w:rPr>
      </w:pPr>
      <w:r w:rsidRPr="00E929FE">
        <w:rPr>
          <w:szCs w:val="20"/>
        </w:rPr>
        <w:t>A partir do ano-calendário 2015, todas as pessoas jurídicas imunes ou isentas estão obrigadas a entregar a ECF.</w:t>
      </w:r>
    </w:p>
    <w:p w:rsidR="00EC2D50" w:rsidRPr="00E929FE" w:rsidRDefault="00EC2D50" w:rsidP="00EC2D50">
      <w:pPr>
        <w:pStyle w:val="NormalWeb"/>
        <w:shd w:val="clear" w:color="auto" w:fill="FFFFFF"/>
        <w:spacing w:before="0" w:after="0"/>
        <w:jc w:val="both"/>
        <w:rPr>
          <w:rFonts w:ascii="Times New Roman" w:hAnsi="Times New Roman" w:cs="Times New Roman"/>
          <w:szCs w:val="20"/>
        </w:rPr>
      </w:pPr>
    </w:p>
    <w:p w:rsidR="00BA3398" w:rsidRPr="00E929FE" w:rsidRDefault="00BA3398" w:rsidP="00BA3398">
      <w:pPr>
        <w:shd w:val="clear" w:color="auto" w:fill="FFFFFF"/>
        <w:ind w:firstLine="708"/>
        <w:jc w:val="both"/>
        <w:rPr>
          <w:szCs w:val="20"/>
        </w:rPr>
      </w:pPr>
      <w:r w:rsidRPr="00E929FE">
        <w:rPr>
          <w:szCs w:val="20"/>
        </w:rPr>
        <w:t>As imunes/isentas (desobrigadas do IRPJ e da CSLL) e que não estejam obrigadas a entregar a ECD deverão preencher os seguintes registros:</w:t>
      </w:r>
    </w:p>
    <w:p w:rsidR="00BA3398" w:rsidRPr="00E929FE" w:rsidRDefault="00BA3398" w:rsidP="00BA3398">
      <w:pPr>
        <w:shd w:val="clear" w:color="auto" w:fill="FFFFFF"/>
        <w:ind w:firstLine="708"/>
        <w:jc w:val="both"/>
        <w:rPr>
          <w:szCs w:val="20"/>
        </w:rPr>
      </w:pPr>
    </w:p>
    <w:p w:rsidR="00BA3398" w:rsidRPr="00E929FE" w:rsidRDefault="00BA3398" w:rsidP="00BA3398">
      <w:pPr>
        <w:shd w:val="clear" w:color="auto" w:fill="FFFFFF"/>
        <w:ind w:firstLine="708"/>
        <w:jc w:val="both"/>
        <w:rPr>
          <w:szCs w:val="20"/>
        </w:rPr>
      </w:pPr>
      <w:r w:rsidRPr="00E929FE">
        <w:rPr>
          <w:szCs w:val="20"/>
        </w:rPr>
        <w:t>Registro 0000: Abertura do Arquivo Digital e Identificação da Pessoa Jurídica</w:t>
      </w:r>
    </w:p>
    <w:p w:rsidR="00BA3398" w:rsidRPr="00E929FE" w:rsidRDefault="00BA3398" w:rsidP="00BA3398">
      <w:pPr>
        <w:shd w:val="clear" w:color="auto" w:fill="FFFFFF"/>
        <w:ind w:firstLine="708"/>
        <w:jc w:val="both"/>
        <w:rPr>
          <w:szCs w:val="20"/>
        </w:rPr>
      </w:pPr>
      <w:r w:rsidRPr="00E929FE">
        <w:rPr>
          <w:szCs w:val="20"/>
        </w:rPr>
        <w:t>Registro 0010: Parâmetros de Tributação</w:t>
      </w:r>
    </w:p>
    <w:p w:rsidR="00BA3398" w:rsidRPr="00E929FE" w:rsidRDefault="00BA3398" w:rsidP="00BA3398">
      <w:pPr>
        <w:shd w:val="clear" w:color="auto" w:fill="FFFFFF"/>
        <w:ind w:firstLine="708"/>
        <w:jc w:val="both"/>
        <w:rPr>
          <w:szCs w:val="20"/>
        </w:rPr>
      </w:pPr>
      <w:r w:rsidRPr="00E929FE">
        <w:rPr>
          <w:szCs w:val="20"/>
        </w:rPr>
        <w:t>Registro 0020: Parâmetros Complementares</w:t>
      </w:r>
    </w:p>
    <w:p w:rsidR="00BA3398" w:rsidRPr="00E929FE" w:rsidRDefault="00BA3398" w:rsidP="00BA3398">
      <w:pPr>
        <w:shd w:val="clear" w:color="auto" w:fill="FFFFFF"/>
        <w:ind w:firstLine="708"/>
        <w:jc w:val="both"/>
        <w:rPr>
          <w:szCs w:val="20"/>
        </w:rPr>
      </w:pPr>
      <w:r w:rsidRPr="00E929FE">
        <w:rPr>
          <w:szCs w:val="20"/>
        </w:rPr>
        <w:t>Registro 0030: Dados Cadastrais</w:t>
      </w:r>
    </w:p>
    <w:p w:rsidR="00BA3398" w:rsidRPr="00E929FE" w:rsidRDefault="00BA3398" w:rsidP="00BA3398">
      <w:pPr>
        <w:shd w:val="clear" w:color="auto" w:fill="FFFFFF"/>
        <w:ind w:firstLine="708"/>
        <w:jc w:val="both"/>
        <w:rPr>
          <w:szCs w:val="20"/>
        </w:rPr>
      </w:pPr>
      <w:r w:rsidRPr="00E929FE">
        <w:rPr>
          <w:szCs w:val="20"/>
        </w:rPr>
        <w:t>Registro 0930: Identificação dos Signatários da ECF</w:t>
      </w:r>
    </w:p>
    <w:p w:rsidR="00BA3398" w:rsidRPr="00E929FE" w:rsidRDefault="00BA3398" w:rsidP="00BA3398">
      <w:pPr>
        <w:shd w:val="clear" w:color="auto" w:fill="FFFFFF"/>
        <w:ind w:firstLine="708"/>
        <w:jc w:val="both"/>
        <w:rPr>
          <w:szCs w:val="20"/>
        </w:rPr>
      </w:pPr>
      <w:r w:rsidRPr="00E929FE">
        <w:rPr>
          <w:szCs w:val="20"/>
        </w:rPr>
        <w:t>Registro X390: Origem e Aplicações de Recursos - Imunes e Isentas</w:t>
      </w:r>
    </w:p>
    <w:p w:rsidR="001D6EF4" w:rsidRPr="00E929FE" w:rsidRDefault="00BA3398" w:rsidP="001D6EF4">
      <w:pPr>
        <w:shd w:val="clear" w:color="auto" w:fill="FFFFFF"/>
        <w:ind w:firstLine="708"/>
        <w:jc w:val="both"/>
        <w:rPr>
          <w:szCs w:val="20"/>
        </w:rPr>
      </w:pPr>
      <w:r w:rsidRPr="00E929FE">
        <w:rPr>
          <w:szCs w:val="20"/>
        </w:rPr>
        <w:t>Registro Y612: Identificação e Rendimentos de Dirigentes, Conselheiros, Sócios ou Titular.</w:t>
      </w:r>
    </w:p>
    <w:p w:rsidR="001D6EF4" w:rsidRPr="00E929FE" w:rsidRDefault="001D6EF4" w:rsidP="001D6EF4">
      <w:pPr>
        <w:shd w:val="clear" w:color="auto" w:fill="FFFFFF"/>
        <w:ind w:firstLine="708"/>
        <w:jc w:val="both"/>
        <w:rPr>
          <w:szCs w:val="20"/>
        </w:rPr>
      </w:pPr>
    </w:p>
    <w:p w:rsidR="001D6EF4" w:rsidRPr="00E929FE" w:rsidRDefault="001D6EF4" w:rsidP="001D6EF4">
      <w:pPr>
        <w:shd w:val="clear" w:color="auto" w:fill="FFFFFF"/>
        <w:ind w:firstLine="708"/>
        <w:jc w:val="both"/>
        <w:rPr>
          <w:b/>
          <w:szCs w:val="20"/>
        </w:rPr>
      </w:pPr>
      <w:r w:rsidRPr="00E929FE">
        <w:rPr>
          <w:b/>
          <w:szCs w:val="20"/>
        </w:rPr>
        <w:t xml:space="preserve">Observação: No caso do registro 0930, para as imunes/isentas que não estejam obrigadas a entregar a ECD, só será exigida a assinatura do representante legal. </w:t>
      </w:r>
      <w:r w:rsidR="0000555D">
        <w:rPr>
          <w:b/>
          <w:szCs w:val="20"/>
        </w:rPr>
        <w:t>Portanto, n</w:t>
      </w:r>
      <w:r w:rsidRPr="00E929FE">
        <w:rPr>
          <w:b/>
          <w:szCs w:val="20"/>
        </w:rPr>
        <w:t>ão será obrigatória a a</w:t>
      </w:r>
      <w:r w:rsidR="0000555D">
        <w:rPr>
          <w:b/>
          <w:szCs w:val="20"/>
        </w:rPr>
        <w:t>ssinatura do contador</w:t>
      </w:r>
      <w:r w:rsidRPr="00E929FE">
        <w:rPr>
          <w:b/>
          <w:szCs w:val="20"/>
        </w:rPr>
        <w:t>.</w:t>
      </w:r>
    </w:p>
    <w:p w:rsidR="00BA3398" w:rsidRPr="00E929FE" w:rsidRDefault="00BA3398" w:rsidP="00BA3398">
      <w:pPr>
        <w:shd w:val="clear" w:color="auto" w:fill="FFFFFF"/>
        <w:ind w:firstLine="708"/>
        <w:jc w:val="both"/>
        <w:rPr>
          <w:szCs w:val="20"/>
        </w:rPr>
      </w:pPr>
    </w:p>
    <w:p w:rsidR="00BA3398" w:rsidRPr="00BA3398" w:rsidRDefault="00BA3398" w:rsidP="00BA3398">
      <w:pPr>
        <w:shd w:val="clear" w:color="auto" w:fill="FFFFFF"/>
        <w:ind w:firstLine="708"/>
        <w:jc w:val="both"/>
        <w:rPr>
          <w:szCs w:val="20"/>
        </w:rPr>
      </w:pPr>
      <w:r w:rsidRPr="00E929FE">
        <w:rPr>
          <w:szCs w:val="20"/>
        </w:rPr>
        <w:t>As imunes/isentas (desobrigadas do IRPJ e da CSLL) e que estejam obrigadas a entregar a ECD, além dos registros acima, também preencherão os blocos C, E, J, K e U (esses blocos serão preenchidos pelo sistema por meio da recuperação dos dados da ECD).</w:t>
      </w:r>
      <w:r w:rsidR="001D6EF4" w:rsidRPr="00E929FE">
        <w:rPr>
          <w:szCs w:val="20"/>
        </w:rPr>
        <w:t xml:space="preserve"> Nessa situação, a assinatura do contador é obrigatória.</w:t>
      </w:r>
    </w:p>
    <w:p w:rsidR="00BA3398" w:rsidRDefault="00BA3398" w:rsidP="00BA3398">
      <w:pPr>
        <w:shd w:val="clear" w:color="auto" w:fill="FFFFFF"/>
        <w:ind w:firstLine="708"/>
        <w:jc w:val="both"/>
        <w:rPr>
          <w:szCs w:val="20"/>
        </w:rPr>
      </w:pPr>
    </w:p>
    <w:p w:rsidR="00CD2D51" w:rsidRPr="00FA3856" w:rsidRDefault="00CD2D51" w:rsidP="00867F54">
      <w:pPr>
        <w:pStyle w:val="Ttulo2"/>
      </w:pPr>
      <w:bookmarkStart w:id="6" w:name="_Toc479713620"/>
      <w:r w:rsidRPr="00FA3856">
        <w:t>1.5. Arquivo da ECF</w:t>
      </w:r>
      <w:bookmarkEnd w:id="6"/>
    </w:p>
    <w:p w:rsidR="00CD2D51" w:rsidRPr="00FA3856" w:rsidRDefault="00CD2D51" w:rsidP="00CD2D51">
      <w:pPr>
        <w:pStyle w:val="NormalWeb"/>
        <w:shd w:val="clear" w:color="auto" w:fill="FFFFFF"/>
        <w:spacing w:before="0" w:after="0"/>
        <w:ind w:firstLine="708"/>
        <w:jc w:val="both"/>
        <w:rPr>
          <w:rFonts w:ascii="Times New Roman" w:hAnsi="Times New Roman" w:cs="Times New Roman"/>
          <w:szCs w:val="20"/>
        </w:rPr>
      </w:pPr>
    </w:p>
    <w:p w:rsidR="00CD2D51" w:rsidRPr="00FA3856" w:rsidRDefault="00CD2D51" w:rsidP="00CD2D51">
      <w:pPr>
        <w:pStyle w:val="NormalWeb"/>
        <w:shd w:val="clear" w:color="auto" w:fill="FFFFFF"/>
        <w:spacing w:before="0" w:after="0"/>
        <w:ind w:firstLine="708"/>
        <w:jc w:val="both"/>
        <w:rPr>
          <w:rFonts w:ascii="Times New Roman" w:hAnsi="Times New Roman" w:cs="Times New Roman"/>
          <w:szCs w:val="20"/>
        </w:rPr>
      </w:pPr>
      <w:r w:rsidRPr="00FA3856">
        <w:rPr>
          <w:rFonts w:ascii="Times New Roman" w:hAnsi="Times New Roman" w:cs="Times New Roman"/>
          <w:szCs w:val="20"/>
        </w:rPr>
        <w:t>Para gerar um arquivo da ECF, crie a ECF no programa</w:t>
      </w:r>
      <w:r w:rsidR="00955E0F" w:rsidRPr="00FA3856">
        <w:rPr>
          <w:rFonts w:ascii="Times New Roman" w:hAnsi="Times New Roman" w:cs="Times New Roman"/>
          <w:szCs w:val="20"/>
        </w:rPr>
        <w:t xml:space="preserve"> (Arquivo/Criar)</w:t>
      </w:r>
      <w:r w:rsidRPr="00FA3856">
        <w:rPr>
          <w:rFonts w:ascii="Times New Roman" w:hAnsi="Times New Roman" w:cs="Times New Roman"/>
          <w:szCs w:val="20"/>
        </w:rPr>
        <w:t xml:space="preserve">, preencha os dados </w:t>
      </w:r>
      <w:r w:rsidR="001D6EF4">
        <w:rPr>
          <w:rFonts w:ascii="Times New Roman" w:hAnsi="Times New Roman" w:cs="Times New Roman"/>
          <w:szCs w:val="20"/>
        </w:rPr>
        <w:t>principais</w:t>
      </w:r>
      <w:r w:rsidRPr="00FA3856">
        <w:rPr>
          <w:rFonts w:ascii="Times New Roman" w:hAnsi="Times New Roman" w:cs="Times New Roman"/>
          <w:szCs w:val="20"/>
        </w:rPr>
        <w:t xml:space="preserve"> e clique em </w:t>
      </w:r>
      <w:r w:rsidR="009D46B2">
        <w:rPr>
          <w:rFonts w:ascii="Times New Roman" w:hAnsi="Times New Roman" w:cs="Times New Roman"/>
          <w:szCs w:val="20"/>
        </w:rPr>
        <w:t>“</w:t>
      </w:r>
      <w:r w:rsidRPr="00FA3856">
        <w:rPr>
          <w:rFonts w:ascii="Times New Roman" w:hAnsi="Times New Roman" w:cs="Times New Roman"/>
          <w:szCs w:val="20"/>
        </w:rPr>
        <w:t>Ferramentas/Exportar Escrituração</w:t>
      </w:r>
      <w:r w:rsidR="009D46B2">
        <w:rPr>
          <w:rFonts w:ascii="Times New Roman" w:hAnsi="Times New Roman" w:cs="Times New Roman"/>
          <w:szCs w:val="20"/>
        </w:rPr>
        <w:t>”</w:t>
      </w:r>
      <w:r w:rsidRPr="00FA3856">
        <w:rPr>
          <w:rFonts w:ascii="Times New Roman" w:hAnsi="Times New Roman" w:cs="Times New Roman"/>
          <w:szCs w:val="20"/>
        </w:rPr>
        <w:t>.</w:t>
      </w:r>
    </w:p>
    <w:p w:rsidR="00F823EC" w:rsidRPr="00FA3856" w:rsidRDefault="00F823EC" w:rsidP="00CD2D51">
      <w:pPr>
        <w:pStyle w:val="NormalWeb"/>
        <w:shd w:val="clear" w:color="auto" w:fill="FFFFFF"/>
        <w:spacing w:before="0" w:after="0"/>
        <w:ind w:firstLine="708"/>
        <w:jc w:val="both"/>
        <w:rPr>
          <w:rFonts w:ascii="Times New Roman" w:hAnsi="Times New Roman" w:cs="Times New Roman"/>
          <w:szCs w:val="20"/>
        </w:rPr>
      </w:pPr>
    </w:p>
    <w:p w:rsidR="00BA3398" w:rsidRDefault="00BA3398">
      <w:pPr>
        <w:spacing w:after="200" w:line="276" w:lineRule="auto"/>
        <w:rPr>
          <w:b/>
          <w:bCs/>
          <w:color w:val="0000FF"/>
          <w:szCs w:val="20"/>
        </w:rPr>
      </w:pPr>
      <w:r>
        <w:rPr>
          <w:color w:val="0000FF"/>
          <w:szCs w:val="20"/>
        </w:rPr>
        <w:br w:type="page"/>
      </w:r>
    </w:p>
    <w:p w:rsidR="00F823EC" w:rsidRPr="00FA3856" w:rsidRDefault="00F823EC" w:rsidP="00867F54">
      <w:pPr>
        <w:pStyle w:val="Ttulo2"/>
      </w:pPr>
      <w:bookmarkStart w:id="7" w:name="_Toc479713621"/>
      <w:r w:rsidRPr="00FA3856">
        <w:lastRenderedPageBreak/>
        <w:t>1.6. Recuperação de ECD Sem Mapeamento para o Plano Referencial</w:t>
      </w:r>
      <w:bookmarkEnd w:id="7"/>
    </w:p>
    <w:p w:rsidR="00F823EC" w:rsidRPr="00FA3856" w:rsidRDefault="00F823EC" w:rsidP="00F823EC">
      <w:pPr>
        <w:pStyle w:val="NormalWeb"/>
        <w:shd w:val="clear" w:color="auto" w:fill="FFFFFF"/>
        <w:spacing w:before="0" w:after="0"/>
        <w:ind w:firstLine="708"/>
        <w:jc w:val="both"/>
        <w:rPr>
          <w:rFonts w:ascii="Times New Roman" w:hAnsi="Times New Roman" w:cs="Times New Roman"/>
          <w:szCs w:val="20"/>
        </w:rPr>
      </w:pPr>
    </w:p>
    <w:p w:rsidR="00F823EC" w:rsidRPr="00FA3856" w:rsidRDefault="00F823EC" w:rsidP="00F823EC">
      <w:pPr>
        <w:pStyle w:val="NormalWeb"/>
        <w:shd w:val="clear" w:color="auto" w:fill="FFFFFF"/>
        <w:spacing w:before="0" w:after="0"/>
        <w:ind w:firstLine="708"/>
        <w:jc w:val="both"/>
        <w:rPr>
          <w:rFonts w:ascii="Times New Roman" w:hAnsi="Times New Roman" w:cs="Times New Roman"/>
          <w:szCs w:val="20"/>
        </w:rPr>
      </w:pPr>
      <w:r w:rsidRPr="00FA3856">
        <w:rPr>
          <w:rFonts w:ascii="Times New Roman" w:hAnsi="Times New Roman" w:cs="Times New Roman"/>
          <w:szCs w:val="20"/>
        </w:rPr>
        <w:t>Para que não seja necessário digitar todo o mapeamento para o plano referencial na ECF, no caso de recuperação de dados da ECD sem o respectivo mapeamento, pode ser seguido o procedimento abaixo:</w:t>
      </w:r>
    </w:p>
    <w:p w:rsidR="00F823EC" w:rsidRPr="00FA3856" w:rsidRDefault="00F823EC" w:rsidP="00F823EC">
      <w:pPr>
        <w:pStyle w:val="NormalWeb"/>
        <w:shd w:val="clear" w:color="auto" w:fill="FFFFFF"/>
        <w:spacing w:before="0" w:after="0"/>
        <w:ind w:left="708"/>
        <w:jc w:val="both"/>
        <w:rPr>
          <w:rFonts w:ascii="Times New Roman" w:hAnsi="Times New Roman" w:cs="Times New Roman"/>
          <w:szCs w:val="20"/>
        </w:rPr>
      </w:pPr>
      <w:r w:rsidRPr="00FA3856">
        <w:rPr>
          <w:rFonts w:ascii="Arial" w:hAnsi="Arial" w:cs="Arial"/>
          <w:color w:val="500050"/>
          <w:sz w:val="27"/>
          <w:szCs w:val="27"/>
        </w:rPr>
        <w:br/>
      </w:r>
      <w:r w:rsidRPr="00FA3856">
        <w:rPr>
          <w:rFonts w:ascii="Times New Roman" w:hAnsi="Times New Roman" w:cs="Times New Roman"/>
          <w:szCs w:val="20"/>
        </w:rPr>
        <w:t>1) Importar a ECF.</w:t>
      </w:r>
    </w:p>
    <w:p w:rsidR="00F823EC" w:rsidRPr="00FA3856" w:rsidRDefault="00F823EC" w:rsidP="00F823EC">
      <w:pPr>
        <w:pStyle w:val="NormalWeb"/>
        <w:shd w:val="clear" w:color="auto" w:fill="FFFFFF"/>
        <w:spacing w:before="0" w:after="0"/>
        <w:ind w:firstLine="708"/>
        <w:jc w:val="both"/>
        <w:rPr>
          <w:rFonts w:ascii="Times New Roman" w:hAnsi="Times New Roman" w:cs="Times New Roman"/>
          <w:szCs w:val="20"/>
        </w:rPr>
      </w:pPr>
    </w:p>
    <w:p w:rsidR="001A6D89" w:rsidRDefault="00F823EC" w:rsidP="00F823EC">
      <w:pPr>
        <w:pStyle w:val="NormalWeb"/>
        <w:shd w:val="clear" w:color="auto" w:fill="FFFFFF"/>
        <w:spacing w:before="0" w:after="0"/>
        <w:ind w:left="708"/>
        <w:jc w:val="both"/>
        <w:rPr>
          <w:rFonts w:ascii="Times New Roman" w:hAnsi="Times New Roman" w:cs="Times New Roman"/>
          <w:szCs w:val="20"/>
        </w:rPr>
      </w:pPr>
      <w:r w:rsidRPr="00FA3856">
        <w:rPr>
          <w:rFonts w:ascii="Times New Roman" w:hAnsi="Times New Roman" w:cs="Times New Roman"/>
          <w:szCs w:val="20"/>
        </w:rPr>
        <w:t>2) Recuperar ECD, marcando a opção "Utilizar os dados recuperados da ECD para preenchimento do balanço e/ou DRE". Com essa opção marcada, o programa da ECF copiará as informações para o bloco J e K, mas não calculará o balanço patrimonial e a DRE, pois não existe mapeamento. Os dados dos registros K155 e K355 estarão de acordo com a ECD.</w:t>
      </w:r>
    </w:p>
    <w:p w:rsidR="00F823EC" w:rsidRPr="00FA3856" w:rsidRDefault="00F823EC" w:rsidP="00F823EC">
      <w:pPr>
        <w:pStyle w:val="NormalWeb"/>
        <w:shd w:val="clear" w:color="auto" w:fill="FFFFFF"/>
        <w:spacing w:before="0" w:after="0"/>
        <w:ind w:left="708"/>
        <w:jc w:val="both"/>
        <w:rPr>
          <w:rFonts w:ascii="Times New Roman" w:hAnsi="Times New Roman" w:cs="Times New Roman"/>
          <w:szCs w:val="20"/>
        </w:rPr>
      </w:pPr>
      <w:r w:rsidRPr="00FA3856">
        <w:rPr>
          <w:rFonts w:ascii="Times New Roman" w:hAnsi="Times New Roman" w:cs="Times New Roman"/>
          <w:szCs w:val="20"/>
        </w:rPr>
        <w:br/>
        <w:t>3) Importar somente o bloco J da ECF com o mapeamento correto. O programa da ECF incluirá o mapeamento nos registros</w:t>
      </w:r>
      <w:r w:rsidR="00B7619F" w:rsidRPr="00FA3856">
        <w:rPr>
          <w:rFonts w:ascii="Times New Roman" w:hAnsi="Times New Roman" w:cs="Times New Roman"/>
          <w:szCs w:val="20"/>
        </w:rPr>
        <w:t xml:space="preserve"> K155/K156 </w:t>
      </w:r>
      <w:r w:rsidRPr="00FA3856">
        <w:rPr>
          <w:rFonts w:ascii="Times New Roman" w:hAnsi="Times New Roman" w:cs="Times New Roman"/>
          <w:szCs w:val="20"/>
        </w:rPr>
        <w:t>e K355</w:t>
      </w:r>
      <w:r w:rsidR="00B7619F" w:rsidRPr="00FA3856">
        <w:rPr>
          <w:rFonts w:ascii="Times New Roman" w:hAnsi="Times New Roman" w:cs="Times New Roman"/>
          <w:szCs w:val="20"/>
        </w:rPr>
        <w:t>/K356</w:t>
      </w:r>
      <w:r w:rsidRPr="00FA3856">
        <w:rPr>
          <w:rFonts w:ascii="Times New Roman" w:hAnsi="Times New Roman" w:cs="Times New Roman"/>
          <w:szCs w:val="20"/>
        </w:rPr>
        <w:t xml:space="preserve"> e, consequentemente, calculará o balanço patrimonial e a DRE utilizando os saldos da ECD e o mapeamento da ECF.</w:t>
      </w:r>
    </w:p>
    <w:p w:rsidR="00002590" w:rsidRPr="00FA3856" w:rsidRDefault="00002590" w:rsidP="006F78E8">
      <w:pPr>
        <w:pStyle w:val="NormalWeb"/>
        <w:shd w:val="clear" w:color="auto" w:fill="FFFFFF"/>
        <w:spacing w:before="0" w:after="0"/>
        <w:jc w:val="both"/>
        <w:rPr>
          <w:rFonts w:ascii="Times New Roman" w:hAnsi="Times New Roman" w:cs="Times New Roman"/>
          <w:szCs w:val="20"/>
        </w:rPr>
      </w:pPr>
    </w:p>
    <w:p w:rsidR="00FC674E" w:rsidRPr="00FA3856" w:rsidRDefault="00FC674E" w:rsidP="00867F54">
      <w:pPr>
        <w:pStyle w:val="Ttulo2"/>
      </w:pPr>
      <w:bookmarkStart w:id="8" w:name="_Toc479713622"/>
      <w:r w:rsidRPr="00FA3856">
        <w:t>1.7. Recuperação de ECD Com Encerramento do Exercício Diferente dos Encerramentos da ECF</w:t>
      </w:r>
      <w:bookmarkEnd w:id="8"/>
    </w:p>
    <w:p w:rsidR="00FC674E" w:rsidRPr="00FA3856" w:rsidRDefault="00FC674E" w:rsidP="00FC674E">
      <w:pPr>
        <w:pStyle w:val="NormalWeb"/>
        <w:shd w:val="clear" w:color="auto" w:fill="FFFFFF"/>
        <w:spacing w:before="0" w:after="0"/>
        <w:ind w:firstLine="708"/>
        <w:jc w:val="both"/>
        <w:rPr>
          <w:rFonts w:ascii="Times New Roman" w:hAnsi="Times New Roman" w:cs="Times New Roman"/>
          <w:szCs w:val="20"/>
        </w:rPr>
      </w:pPr>
    </w:p>
    <w:p w:rsidR="002F2891" w:rsidRPr="00FA3856" w:rsidRDefault="00FC674E" w:rsidP="00FC674E">
      <w:pPr>
        <w:pStyle w:val="NormalWeb"/>
        <w:shd w:val="clear" w:color="auto" w:fill="FFFFFF"/>
        <w:spacing w:before="0" w:after="0"/>
        <w:ind w:left="708"/>
        <w:jc w:val="both"/>
        <w:rPr>
          <w:rFonts w:ascii="Times New Roman" w:hAnsi="Times New Roman" w:cs="Times New Roman"/>
          <w:szCs w:val="20"/>
        </w:rPr>
      </w:pPr>
      <w:r w:rsidRPr="00FA3856">
        <w:rPr>
          <w:rFonts w:ascii="Times New Roman" w:hAnsi="Times New Roman" w:cs="Times New Roman"/>
          <w:szCs w:val="20"/>
        </w:rPr>
        <w:t>Os encerramentos do exercício na ECF seguem o período de apuração do tributo. Por exemplo, se a empresa é do lucro presumido, os encerramento</w:t>
      </w:r>
      <w:r w:rsidR="0000555D">
        <w:rPr>
          <w:rFonts w:ascii="Times New Roman" w:hAnsi="Times New Roman" w:cs="Times New Roman"/>
          <w:szCs w:val="20"/>
        </w:rPr>
        <w:t>s</w:t>
      </w:r>
      <w:r w:rsidRPr="00FA3856">
        <w:rPr>
          <w:rFonts w:ascii="Times New Roman" w:hAnsi="Times New Roman" w:cs="Times New Roman"/>
          <w:szCs w:val="20"/>
        </w:rPr>
        <w:t xml:space="preserve"> do exercício da ECF serão trimestrais. </w:t>
      </w:r>
    </w:p>
    <w:p w:rsidR="002F2891" w:rsidRPr="00FA3856" w:rsidRDefault="002F2891" w:rsidP="00FC674E">
      <w:pPr>
        <w:pStyle w:val="NormalWeb"/>
        <w:shd w:val="clear" w:color="auto" w:fill="FFFFFF"/>
        <w:spacing w:before="0" w:after="0"/>
        <w:ind w:left="708"/>
        <w:jc w:val="both"/>
        <w:rPr>
          <w:rFonts w:ascii="Times New Roman" w:hAnsi="Times New Roman" w:cs="Times New Roman"/>
          <w:szCs w:val="20"/>
        </w:rPr>
      </w:pPr>
    </w:p>
    <w:p w:rsidR="00FC674E" w:rsidRPr="00FA3856" w:rsidRDefault="00FC674E" w:rsidP="001A6D89">
      <w:pPr>
        <w:pStyle w:val="NormalWeb"/>
        <w:shd w:val="clear" w:color="auto" w:fill="FFFFFF"/>
        <w:spacing w:before="0" w:after="0"/>
        <w:ind w:firstLine="708"/>
        <w:jc w:val="both"/>
        <w:rPr>
          <w:rFonts w:ascii="Times New Roman" w:hAnsi="Times New Roman" w:cs="Times New Roman"/>
          <w:szCs w:val="20"/>
        </w:rPr>
      </w:pPr>
      <w:r w:rsidRPr="00FA3856">
        <w:rPr>
          <w:rFonts w:ascii="Times New Roman" w:hAnsi="Times New Roman" w:cs="Times New Roman"/>
          <w:szCs w:val="20"/>
        </w:rPr>
        <w:t xml:space="preserve">Caso a ECD recuperada tenha encerramento diferente (por exemplo, a ECD recuperada tenha apenas um encerramento anual), no momento da validação no programa da ECF, poderá aparecer </w:t>
      </w:r>
      <w:r w:rsidR="009D46B2">
        <w:rPr>
          <w:rFonts w:ascii="Times New Roman" w:hAnsi="Times New Roman" w:cs="Times New Roman"/>
          <w:szCs w:val="20"/>
        </w:rPr>
        <w:t>uma mensagem</w:t>
      </w:r>
      <w:r w:rsidR="002F2891" w:rsidRPr="00FA3856">
        <w:rPr>
          <w:rFonts w:ascii="Times New Roman" w:hAnsi="Times New Roman" w:cs="Times New Roman"/>
          <w:szCs w:val="20"/>
        </w:rPr>
        <w:t xml:space="preserve"> com o valor da diferença entre os saldos finais credores e os saldos iniciais credores. Nesse caso, a pessoa jurídica poderá ajustar os saldos por meio de alteração no</w:t>
      </w:r>
      <w:r w:rsidR="00A36C52" w:rsidRPr="00FA3856">
        <w:rPr>
          <w:rFonts w:ascii="Times New Roman" w:hAnsi="Times New Roman" w:cs="Times New Roman"/>
          <w:szCs w:val="20"/>
        </w:rPr>
        <w:t>s</w:t>
      </w:r>
      <w:r w:rsidR="002F2891" w:rsidRPr="00FA3856">
        <w:rPr>
          <w:rFonts w:ascii="Times New Roman" w:hAnsi="Times New Roman" w:cs="Times New Roman"/>
          <w:szCs w:val="20"/>
        </w:rPr>
        <w:t xml:space="preserve"> registro</w:t>
      </w:r>
      <w:r w:rsidR="00A36C52" w:rsidRPr="00FA3856">
        <w:rPr>
          <w:rFonts w:ascii="Times New Roman" w:hAnsi="Times New Roman" w:cs="Times New Roman"/>
          <w:szCs w:val="20"/>
        </w:rPr>
        <w:t>s</w:t>
      </w:r>
      <w:r w:rsidR="002F2891" w:rsidRPr="00FA3856">
        <w:rPr>
          <w:rFonts w:ascii="Times New Roman" w:hAnsi="Times New Roman" w:cs="Times New Roman"/>
          <w:szCs w:val="20"/>
        </w:rPr>
        <w:t xml:space="preserve"> K155 </w:t>
      </w:r>
      <w:r w:rsidR="00A36C52" w:rsidRPr="00FA3856">
        <w:rPr>
          <w:rFonts w:ascii="Times New Roman" w:hAnsi="Times New Roman" w:cs="Times New Roman"/>
          <w:szCs w:val="20"/>
        </w:rPr>
        <w:t xml:space="preserve">e K355 </w:t>
      </w:r>
      <w:r w:rsidR="002F2891" w:rsidRPr="00FA3856">
        <w:rPr>
          <w:rFonts w:ascii="Times New Roman" w:hAnsi="Times New Roman" w:cs="Times New Roman"/>
          <w:szCs w:val="20"/>
        </w:rPr>
        <w:t xml:space="preserve">(alteração de saldo de uma ou mais contas). </w:t>
      </w:r>
    </w:p>
    <w:p w:rsidR="002F2891" w:rsidRPr="00FA3856" w:rsidRDefault="002F2891" w:rsidP="00FC674E">
      <w:pPr>
        <w:pStyle w:val="NormalWeb"/>
        <w:shd w:val="clear" w:color="auto" w:fill="FFFFFF"/>
        <w:spacing w:before="0" w:after="0"/>
        <w:ind w:left="708"/>
        <w:jc w:val="both"/>
        <w:rPr>
          <w:rFonts w:ascii="Times New Roman" w:hAnsi="Times New Roman" w:cs="Times New Roman"/>
          <w:szCs w:val="20"/>
        </w:rPr>
      </w:pPr>
    </w:p>
    <w:p w:rsidR="006F78E8" w:rsidRPr="00FA3856" w:rsidRDefault="002F2891" w:rsidP="001A6D89">
      <w:pPr>
        <w:pStyle w:val="NormalWeb"/>
        <w:shd w:val="clear" w:color="auto" w:fill="FFFFFF"/>
        <w:spacing w:before="0" w:after="0"/>
        <w:ind w:firstLine="708"/>
        <w:jc w:val="both"/>
        <w:rPr>
          <w:rFonts w:ascii="Times New Roman" w:hAnsi="Times New Roman" w:cs="Times New Roman"/>
          <w:szCs w:val="20"/>
        </w:rPr>
      </w:pPr>
      <w:r w:rsidRPr="00FA3856">
        <w:rPr>
          <w:rFonts w:ascii="Times New Roman" w:hAnsi="Times New Roman" w:cs="Times New Roman"/>
          <w:szCs w:val="20"/>
        </w:rPr>
        <w:t>Também há a opção de criar uma nova conta do plano de contas da pessoa jurídica (J050) para fazer o ajuste. Contudo, neste caso, também será necessário fazer o mapeamento desse conta para o plano de contas referencial (J051).</w:t>
      </w:r>
    </w:p>
    <w:p w:rsidR="00F92E2B" w:rsidRPr="00FA3856" w:rsidRDefault="00F92E2B" w:rsidP="00F92E2B">
      <w:pPr>
        <w:pStyle w:val="NormalWeb"/>
        <w:shd w:val="clear" w:color="auto" w:fill="FFFFFF"/>
        <w:spacing w:before="0" w:after="0"/>
        <w:ind w:left="708"/>
        <w:jc w:val="both"/>
        <w:rPr>
          <w:rFonts w:ascii="Times New Roman" w:hAnsi="Times New Roman" w:cs="Times New Roman"/>
          <w:szCs w:val="20"/>
        </w:rPr>
      </w:pPr>
    </w:p>
    <w:p w:rsidR="000B7532" w:rsidRPr="00FA3856" w:rsidRDefault="000B7532" w:rsidP="00867F54">
      <w:pPr>
        <w:pStyle w:val="Ttulo2"/>
      </w:pPr>
      <w:bookmarkStart w:id="9" w:name="_Toc479713623"/>
      <w:r w:rsidRPr="00FA3856">
        <w:t xml:space="preserve">1.8. Registro do Prejuízo Fiscal do Período na </w:t>
      </w:r>
      <w:r w:rsidR="00E00235" w:rsidRPr="00FA3856">
        <w:t>Parte</w:t>
      </w:r>
      <w:r w:rsidRPr="00FA3856">
        <w:t xml:space="preserve"> B do e-Lalur</w:t>
      </w:r>
      <w:bookmarkEnd w:id="9"/>
    </w:p>
    <w:p w:rsidR="000B7532" w:rsidRPr="00FA3856" w:rsidRDefault="000B7532" w:rsidP="000B7532">
      <w:pPr>
        <w:pStyle w:val="NormalWeb"/>
        <w:shd w:val="clear" w:color="auto" w:fill="FFFFFF"/>
        <w:spacing w:before="0" w:after="0"/>
        <w:ind w:firstLine="708"/>
        <w:jc w:val="both"/>
        <w:rPr>
          <w:rFonts w:ascii="Times New Roman" w:hAnsi="Times New Roman" w:cs="Times New Roman"/>
          <w:szCs w:val="20"/>
        </w:rPr>
      </w:pPr>
    </w:p>
    <w:p w:rsidR="000B7532" w:rsidRPr="00FA3856" w:rsidRDefault="000B7532" w:rsidP="000B7532">
      <w:pPr>
        <w:pStyle w:val="NormalWeb"/>
        <w:shd w:val="clear" w:color="auto" w:fill="FFFFFF"/>
        <w:spacing w:before="0" w:after="0"/>
        <w:ind w:left="708"/>
        <w:jc w:val="both"/>
        <w:rPr>
          <w:rFonts w:ascii="Times New Roman" w:hAnsi="Times New Roman" w:cs="Times New Roman"/>
          <w:szCs w:val="20"/>
        </w:rPr>
      </w:pPr>
      <w:r w:rsidRPr="00FA3856">
        <w:rPr>
          <w:rFonts w:ascii="Times New Roman" w:hAnsi="Times New Roman" w:cs="Times New Roman"/>
          <w:szCs w:val="20"/>
        </w:rPr>
        <w:t>Quando ocorrer um prejuízo fiscal no período (Registro M300), o procedimento a seguir é:</w:t>
      </w:r>
    </w:p>
    <w:p w:rsidR="000B7532" w:rsidRPr="00FA3856" w:rsidRDefault="000B7532" w:rsidP="000B7532">
      <w:pPr>
        <w:pStyle w:val="NormalWeb"/>
        <w:shd w:val="clear" w:color="auto" w:fill="FFFFFF"/>
        <w:spacing w:before="0" w:after="0"/>
        <w:ind w:left="708"/>
        <w:jc w:val="both"/>
        <w:rPr>
          <w:rFonts w:ascii="Times New Roman" w:hAnsi="Times New Roman" w:cs="Times New Roman"/>
          <w:szCs w:val="20"/>
        </w:rPr>
      </w:pPr>
    </w:p>
    <w:p w:rsidR="000B7532" w:rsidRPr="00FA3856" w:rsidRDefault="000B7532" w:rsidP="000B7532">
      <w:pPr>
        <w:pStyle w:val="NormalWeb"/>
        <w:shd w:val="clear" w:color="auto" w:fill="FFFFFF"/>
        <w:spacing w:before="0" w:after="0"/>
        <w:ind w:left="708"/>
        <w:jc w:val="both"/>
        <w:rPr>
          <w:rFonts w:ascii="Times New Roman" w:hAnsi="Times New Roman" w:cs="Times New Roman"/>
          <w:szCs w:val="20"/>
        </w:rPr>
      </w:pPr>
      <w:r w:rsidRPr="00FA3856">
        <w:rPr>
          <w:rFonts w:ascii="Times New Roman" w:hAnsi="Times New Roman" w:cs="Times New Roman"/>
          <w:szCs w:val="20"/>
        </w:rPr>
        <w:t xml:space="preserve"> - Criar uma conta de Prejuízos Fiscais de Períodos Anteriores no registro M010.</w:t>
      </w:r>
    </w:p>
    <w:p w:rsidR="001D6EF4" w:rsidRDefault="001D6EF4" w:rsidP="000B7532">
      <w:pPr>
        <w:pStyle w:val="NormalWeb"/>
        <w:shd w:val="clear" w:color="auto" w:fill="FFFFFF"/>
        <w:spacing w:before="0" w:after="0"/>
        <w:ind w:left="708"/>
        <w:jc w:val="both"/>
        <w:rPr>
          <w:rFonts w:ascii="Times New Roman" w:hAnsi="Times New Roman" w:cs="Times New Roman"/>
          <w:szCs w:val="20"/>
        </w:rPr>
      </w:pPr>
    </w:p>
    <w:p w:rsidR="000B7532" w:rsidRPr="00FA3856" w:rsidRDefault="001D6EF4" w:rsidP="000B7532">
      <w:pPr>
        <w:pStyle w:val="NormalWeb"/>
        <w:shd w:val="clear" w:color="auto" w:fill="FFFFFF"/>
        <w:spacing w:before="0" w:after="0"/>
        <w:ind w:left="708"/>
        <w:jc w:val="both"/>
        <w:rPr>
          <w:rFonts w:ascii="Times New Roman" w:hAnsi="Times New Roman" w:cs="Times New Roman"/>
          <w:szCs w:val="20"/>
        </w:rPr>
      </w:pPr>
      <w:r>
        <w:rPr>
          <w:rFonts w:ascii="Times New Roman" w:hAnsi="Times New Roman" w:cs="Times New Roman"/>
          <w:szCs w:val="20"/>
        </w:rPr>
        <w:t xml:space="preserve"> </w:t>
      </w:r>
      <w:r w:rsidR="000B7532" w:rsidRPr="00FA3856">
        <w:rPr>
          <w:rFonts w:ascii="Times New Roman" w:hAnsi="Times New Roman" w:cs="Times New Roman"/>
          <w:szCs w:val="20"/>
        </w:rPr>
        <w:t xml:space="preserve">- Registrar o saldo do prejuízo fiscal do período no registro M410 </w:t>
      </w:r>
      <w:r w:rsidR="00353955" w:rsidRPr="00FA3856">
        <w:rPr>
          <w:rFonts w:ascii="Times New Roman" w:hAnsi="Times New Roman" w:cs="Times New Roman"/>
          <w:b/>
          <w:szCs w:val="20"/>
        </w:rPr>
        <w:t>(Colocar o indicador de lançame</w:t>
      </w:r>
      <w:r w:rsidR="000B7532" w:rsidRPr="00FA3856">
        <w:rPr>
          <w:rFonts w:ascii="Times New Roman" w:hAnsi="Times New Roman" w:cs="Times New Roman"/>
          <w:b/>
          <w:szCs w:val="20"/>
        </w:rPr>
        <w:t>nto como “PF” – Prejuízo do Período).</w:t>
      </w:r>
    </w:p>
    <w:p w:rsidR="000B7532" w:rsidRPr="00FA3856" w:rsidRDefault="000B7532" w:rsidP="000B7532">
      <w:pPr>
        <w:pStyle w:val="NormalWeb"/>
        <w:shd w:val="clear" w:color="auto" w:fill="FFFFFF"/>
        <w:spacing w:before="0" w:after="0"/>
        <w:ind w:left="708"/>
        <w:jc w:val="both"/>
        <w:rPr>
          <w:rFonts w:ascii="Times New Roman" w:hAnsi="Times New Roman" w:cs="Times New Roman"/>
          <w:szCs w:val="20"/>
        </w:rPr>
      </w:pPr>
    </w:p>
    <w:p w:rsidR="000B7532" w:rsidRDefault="000B7532" w:rsidP="001A6D89">
      <w:pPr>
        <w:pStyle w:val="NormalWeb"/>
        <w:shd w:val="clear" w:color="auto" w:fill="FFFFFF"/>
        <w:spacing w:before="0" w:after="0"/>
        <w:ind w:firstLine="708"/>
        <w:jc w:val="both"/>
        <w:rPr>
          <w:rFonts w:ascii="Times New Roman" w:hAnsi="Times New Roman" w:cs="Times New Roman"/>
          <w:b/>
          <w:szCs w:val="20"/>
        </w:rPr>
      </w:pPr>
      <w:r w:rsidRPr="00FA3856">
        <w:rPr>
          <w:rFonts w:ascii="Times New Roman" w:hAnsi="Times New Roman" w:cs="Times New Roman"/>
          <w:b/>
          <w:szCs w:val="20"/>
        </w:rPr>
        <w:t>Observação: Se houver compensação de prejuízos fiscais em períodos posteriores, deve ser utilizada essa conta criada na parte B para compensação no regist</w:t>
      </w:r>
      <w:r w:rsidR="009D46B2">
        <w:rPr>
          <w:rFonts w:ascii="Times New Roman" w:hAnsi="Times New Roman" w:cs="Times New Roman"/>
          <w:b/>
          <w:szCs w:val="20"/>
        </w:rPr>
        <w:t xml:space="preserve">ro M300 (Linhas de código 173, </w:t>
      </w:r>
      <w:r w:rsidRPr="00FA3856">
        <w:rPr>
          <w:rFonts w:ascii="Times New Roman" w:hAnsi="Times New Roman" w:cs="Times New Roman"/>
          <w:b/>
          <w:szCs w:val="20"/>
        </w:rPr>
        <w:t>174</w:t>
      </w:r>
      <w:r w:rsidR="009D46B2">
        <w:rPr>
          <w:rFonts w:ascii="Times New Roman" w:hAnsi="Times New Roman" w:cs="Times New Roman"/>
          <w:b/>
          <w:szCs w:val="20"/>
        </w:rPr>
        <w:t>, 347 e 348</w:t>
      </w:r>
      <w:r w:rsidRPr="00FA3856">
        <w:rPr>
          <w:rFonts w:ascii="Times New Roman" w:hAnsi="Times New Roman" w:cs="Times New Roman"/>
          <w:b/>
          <w:szCs w:val="20"/>
        </w:rPr>
        <w:t xml:space="preserve"> do M300), com tipo de relacionamento “1” (com conta da parte B).  </w:t>
      </w:r>
    </w:p>
    <w:p w:rsidR="00787CA0" w:rsidRPr="00FA3856" w:rsidRDefault="00787CA0" w:rsidP="001A6D89">
      <w:pPr>
        <w:pStyle w:val="NormalWeb"/>
        <w:shd w:val="clear" w:color="auto" w:fill="FFFFFF"/>
        <w:spacing w:before="0" w:after="0"/>
        <w:ind w:firstLine="708"/>
        <w:jc w:val="both"/>
        <w:rPr>
          <w:rFonts w:ascii="Times New Roman" w:hAnsi="Times New Roman" w:cs="Times New Roman"/>
          <w:b/>
          <w:szCs w:val="20"/>
        </w:rPr>
      </w:pPr>
    </w:p>
    <w:p w:rsidR="00BA3398" w:rsidRDefault="00BA3398">
      <w:pPr>
        <w:spacing w:after="200" w:line="276" w:lineRule="auto"/>
        <w:rPr>
          <w:b/>
          <w:bCs/>
          <w:color w:val="0000FF"/>
          <w:szCs w:val="20"/>
        </w:rPr>
      </w:pPr>
      <w:r>
        <w:rPr>
          <w:color w:val="0000FF"/>
          <w:szCs w:val="20"/>
        </w:rPr>
        <w:br w:type="page"/>
      </w:r>
    </w:p>
    <w:p w:rsidR="00C975CB" w:rsidRPr="00FA3856" w:rsidRDefault="00C975CB" w:rsidP="00867F54">
      <w:pPr>
        <w:pStyle w:val="Ttulo2"/>
      </w:pPr>
      <w:bookmarkStart w:id="10" w:name="_Toc479713624"/>
      <w:r w:rsidRPr="00FA3856">
        <w:lastRenderedPageBreak/>
        <w:t xml:space="preserve">1.9. Registro da Base de Cálculo Negativa da CSLL do Período na </w:t>
      </w:r>
      <w:r w:rsidR="00E00235" w:rsidRPr="00FA3856">
        <w:t>Parte</w:t>
      </w:r>
      <w:r w:rsidRPr="00FA3856">
        <w:t xml:space="preserve"> B do e-Lacs</w:t>
      </w:r>
      <w:bookmarkEnd w:id="10"/>
    </w:p>
    <w:p w:rsidR="00C975CB" w:rsidRPr="00FA3856" w:rsidRDefault="00C975CB" w:rsidP="00C975CB">
      <w:pPr>
        <w:pStyle w:val="NormalWeb"/>
        <w:shd w:val="clear" w:color="auto" w:fill="FFFFFF"/>
        <w:spacing w:before="0" w:after="0"/>
        <w:ind w:firstLine="708"/>
        <w:jc w:val="both"/>
        <w:rPr>
          <w:rFonts w:ascii="Times New Roman" w:hAnsi="Times New Roman" w:cs="Times New Roman"/>
          <w:szCs w:val="20"/>
        </w:rPr>
      </w:pPr>
    </w:p>
    <w:p w:rsidR="00C975CB" w:rsidRPr="00FA3856" w:rsidRDefault="00C975CB" w:rsidP="00C975CB">
      <w:pPr>
        <w:pStyle w:val="NormalWeb"/>
        <w:shd w:val="clear" w:color="auto" w:fill="FFFFFF"/>
        <w:spacing w:before="0" w:after="0"/>
        <w:ind w:left="708"/>
        <w:jc w:val="both"/>
        <w:rPr>
          <w:rFonts w:ascii="Times New Roman" w:hAnsi="Times New Roman" w:cs="Times New Roman"/>
          <w:szCs w:val="20"/>
        </w:rPr>
      </w:pPr>
      <w:r w:rsidRPr="00FA3856">
        <w:rPr>
          <w:rFonts w:ascii="Times New Roman" w:hAnsi="Times New Roman" w:cs="Times New Roman"/>
          <w:szCs w:val="20"/>
        </w:rPr>
        <w:t>Quando ocorrer uma base de cálculo negativa no período (Registro M350), o procedimento a seguir é:</w:t>
      </w:r>
    </w:p>
    <w:p w:rsidR="00C975CB" w:rsidRPr="00FA3856" w:rsidRDefault="00C975CB" w:rsidP="00C975CB">
      <w:pPr>
        <w:pStyle w:val="NormalWeb"/>
        <w:shd w:val="clear" w:color="auto" w:fill="FFFFFF"/>
        <w:spacing w:before="0" w:after="0"/>
        <w:ind w:left="708"/>
        <w:jc w:val="both"/>
        <w:rPr>
          <w:rFonts w:ascii="Times New Roman" w:hAnsi="Times New Roman" w:cs="Times New Roman"/>
          <w:szCs w:val="20"/>
        </w:rPr>
      </w:pPr>
    </w:p>
    <w:p w:rsidR="00C975CB" w:rsidRPr="00FA3856" w:rsidRDefault="00C975CB" w:rsidP="00C975CB">
      <w:pPr>
        <w:pStyle w:val="NormalWeb"/>
        <w:shd w:val="clear" w:color="auto" w:fill="FFFFFF"/>
        <w:spacing w:before="0" w:after="0"/>
        <w:ind w:left="708"/>
        <w:jc w:val="both"/>
        <w:rPr>
          <w:rFonts w:ascii="Times New Roman" w:hAnsi="Times New Roman" w:cs="Times New Roman"/>
          <w:szCs w:val="20"/>
        </w:rPr>
      </w:pPr>
      <w:r w:rsidRPr="00FA3856">
        <w:rPr>
          <w:rFonts w:ascii="Times New Roman" w:hAnsi="Times New Roman" w:cs="Times New Roman"/>
          <w:szCs w:val="20"/>
        </w:rPr>
        <w:t xml:space="preserve"> - Criar uma conta de Base de Cálculo Negativa de Períodos Anteriores no registro M010.</w:t>
      </w:r>
    </w:p>
    <w:p w:rsidR="001D6EF4" w:rsidRDefault="00CD24C1" w:rsidP="00C975CB">
      <w:pPr>
        <w:pStyle w:val="NormalWeb"/>
        <w:shd w:val="clear" w:color="auto" w:fill="FFFFFF"/>
        <w:spacing w:before="0" w:after="0"/>
        <w:ind w:left="708"/>
        <w:jc w:val="both"/>
        <w:rPr>
          <w:rFonts w:ascii="Times New Roman" w:hAnsi="Times New Roman" w:cs="Times New Roman"/>
          <w:szCs w:val="20"/>
        </w:rPr>
      </w:pPr>
      <w:r>
        <w:rPr>
          <w:rFonts w:ascii="Times New Roman" w:hAnsi="Times New Roman" w:cs="Times New Roman"/>
          <w:szCs w:val="20"/>
        </w:rPr>
        <w:t xml:space="preserve"> </w:t>
      </w:r>
    </w:p>
    <w:p w:rsidR="00C975CB" w:rsidRPr="00FA3856" w:rsidRDefault="00C975CB" w:rsidP="00C975CB">
      <w:pPr>
        <w:pStyle w:val="NormalWeb"/>
        <w:shd w:val="clear" w:color="auto" w:fill="FFFFFF"/>
        <w:spacing w:before="0" w:after="0"/>
        <w:ind w:left="708"/>
        <w:jc w:val="both"/>
        <w:rPr>
          <w:rFonts w:ascii="Times New Roman" w:hAnsi="Times New Roman" w:cs="Times New Roman"/>
          <w:szCs w:val="20"/>
        </w:rPr>
      </w:pPr>
      <w:r w:rsidRPr="00FA3856">
        <w:rPr>
          <w:rFonts w:ascii="Times New Roman" w:hAnsi="Times New Roman" w:cs="Times New Roman"/>
          <w:szCs w:val="20"/>
        </w:rPr>
        <w:t xml:space="preserve">- Registrar o saldo do prejuízo fiscal do período no registro M410 </w:t>
      </w:r>
      <w:r w:rsidRPr="00FA3856">
        <w:rPr>
          <w:rFonts w:ascii="Times New Roman" w:hAnsi="Times New Roman" w:cs="Times New Roman"/>
          <w:b/>
          <w:szCs w:val="20"/>
        </w:rPr>
        <w:t>(Colocar o indic</w:t>
      </w:r>
      <w:r w:rsidR="00353955" w:rsidRPr="00FA3856">
        <w:rPr>
          <w:rFonts w:ascii="Times New Roman" w:hAnsi="Times New Roman" w:cs="Times New Roman"/>
          <w:b/>
          <w:szCs w:val="20"/>
        </w:rPr>
        <w:t>ador de lançame</w:t>
      </w:r>
      <w:r w:rsidRPr="00FA3856">
        <w:rPr>
          <w:rFonts w:ascii="Times New Roman" w:hAnsi="Times New Roman" w:cs="Times New Roman"/>
          <w:b/>
          <w:szCs w:val="20"/>
        </w:rPr>
        <w:t>nto como “BC” – Base de Cálculo Negativa da CSLL).</w:t>
      </w:r>
    </w:p>
    <w:p w:rsidR="00C975CB" w:rsidRPr="00FA3856" w:rsidRDefault="00C975CB" w:rsidP="00C975CB">
      <w:pPr>
        <w:pStyle w:val="NormalWeb"/>
        <w:shd w:val="clear" w:color="auto" w:fill="FFFFFF"/>
        <w:spacing w:before="0" w:after="0"/>
        <w:ind w:left="708"/>
        <w:jc w:val="both"/>
        <w:rPr>
          <w:rFonts w:ascii="Times New Roman" w:hAnsi="Times New Roman" w:cs="Times New Roman"/>
          <w:szCs w:val="20"/>
        </w:rPr>
      </w:pPr>
    </w:p>
    <w:p w:rsidR="00C975CB" w:rsidRPr="00FA3856" w:rsidRDefault="00C975CB" w:rsidP="001A6D89">
      <w:pPr>
        <w:pStyle w:val="NormalWeb"/>
        <w:shd w:val="clear" w:color="auto" w:fill="FFFFFF"/>
        <w:spacing w:before="0" w:after="0"/>
        <w:ind w:firstLine="708"/>
        <w:jc w:val="both"/>
        <w:rPr>
          <w:rFonts w:ascii="Times New Roman" w:hAnsi="Times New Roman" w:cs="Times New Roman"/>
          <w:b/>
          <w:szCs w:val="20"/>
        </w:rPr>
      </w:pPr>
      <w:r w:rsidRPr="00FA3856">
        <w:rPr>
          <w:rFonts w:ascii="Times New Roman" w:hAnsi="Times New Roman" w:cs="Times New Roman"/>
          <w:b/>
          <w:szCs w:val="20"/>
        </w:rPr>
        <w:t>Observação: Se houver compensação de base de cálculo negativa da CSLL em períodos posteriores, deve ser utilizada essa conta criada na parte B para compensação no regist</w:t>
      </w:r>
      <w:r w:rsidR="009D46B2">
        <w:rPr>
          <w:rFonts w:ascii="Times New Roman" w:hAnsi="Times New Roman" w:cs="Times New Roman"/>
          <w:b/>
          <w:szCs w:val="20"/>
        </w:rPr>
        <w:t xml:space="preserve">ro M350 (Linhas de código 173, </w:t>
      </w:r>
      <w:r w:rsidRPr="00FA3856">
        <w:rPr>
          <w:rFonts w:ascii="Times New Roman" w:hAnsi="Times New Roman" w:cs="Times New Roman"/>
          <w:b/>
          <w:szCs w:val="20"/>
        </w:rPr>
        <w:t>174</w:t>
      </w:r>
      <w:r w:rsidR="009D46B2">
        <w:rPr>
          <w:rFonts w:ascii="Times New Roman" w:hAnsi="Times New Roman" w:cs="Times New Roman"/>
          <w:b/>
          <w:szCs w:val="20"/>
        </w:rPr>
        <w:t>, 347 e 348</w:t>
      </w:r>
      <w:r w:rsidRPr="00FA3856">
        <w:rPr>
          <w:rFonts w:ascii="Times New Roman" w:hAnsi="Times New Roman" w:cs="Times New Roman"/>
          <w:b/>
          <w:szCs w:val="20"/>
        </w:rPr>
        <w:t xml:space="preserve"> do M350), com tipo de relacionamento “1” (com conta da parte B).  </w:t>
      </w:r>
    </w:p>
    <w:p w:rsidR="00767E3B" w:rsidRPr="00FA3856" w:rsidRDefault="00767E3B" w:rsidP="00C975CB">
      <w:pPr>
        <w:pStyle w:val="NormalWeb"/>
        <w:shd w:val="clear" w:color="auto" w:fill="FFFFFF"/>
        <w:spacing w:before="0" w:after="0"/>
        <w:ind w:left="708"/>
        <w:jc w:val="both"/>
        <w:rPr>
          <w:rFonts w:ascii="Times New Roman" w:hAnsi="Times New Roman" w:cs="Times New Roman"/>
          <w:b/>
          <w:szCs w:val="20"/>
        </w:rPr>
      </w:pPr>
    </w:p>
    <w:p w:rsidR="00767E3B" w:rsidRPr="00FA3856" w:rsidRDefault="00767E3B" w:rsidP="00867F54">
      <w:pPr>
        <w:pStyle w:val="Ttulo2"/>
      </w:pPr>
      <w:bookmarkStart w:id="11" w:name="_Toc479713625"/>
      <w:r w:rsidRPr="00FA3856">
        <w:t>1.10. Mudança de Contador no Período</w:t>
      </w:r>
      <w:r w:rsidR="00647CB4" w:rsidRPr="00FA3856">
        <w:t xml:space="preserve"> ou Mudança de Planos de Contas no Período</w:t>
      </w:r>
      <w:bookmarkEnd w:id="11"/>
    </w:p>
    <w:p w:rsidR="00767E3B" w:rsidRPr="00FA3856" w:rsidRDefault="00767E3B" w:rsidP="00767E3B">
      <w:pPr>
        <w:pStyle w:val="NormalWeb"/>
        <w:shd w:val="clear" w:color="auto" w:fill="FFFFFF"/>
        <w:spacing w:before="0" w:after="0"/>
        <w:ind w:firstLine="708"/>
        <w:jc w:val="both"/>
        <w:rPr>
          <w:rFonts w:ascii="Times New Roman" w:hAnsi="Times New Roman" w:cs="Times New Roman"/>
          <w:szCs w:val="20"/>
        </w:rPr>
      </w:pPr>
    </w:p>
    <w:p w:rsidR="004851B9" w:rsidRDefault="00767E3B" w:rsidP="00C56183">
      <w:pPr>
        <w:pStyle w:val="NormalWeb"/>
        <w:shd w:val="clear" w:color="auto" w:fill="FFFFFF"/>
        <w:spacing w:before="0" w:after="0"/>
        <w:ind w:firstLine="708"/>
        <w:jc w:val="both"/>
        <w:rPr>
          <w:rFonts w:ascii="Times New Roman" w:hAnsi="Times New Roman" w:cs="Times New Roman"/>
          <w:b/>
          <w:szCs w:val="20"/>
        </w:rPr>
      </w:pPr>
      <w:r w:rsidRPr="00FA3856">
        <w:rPr>
          <w:rFonts w:ascii="Times New Roman" w:hAnsi="Times New Roman" w:cs="Times New Roman"/>
          <w:szCs w:val="20"/>
        </w:rPr>
        <w:t xml:space="preserve">Não é possível transmitir duas ou mais ECF caso </w:t>
      </w:r>
      <w:r w:rsidR="001D6EF4">
        <w:rPr>
          <w:rFonts w:ascii="Times New Roman" w:hAnsi="Times New Roman" w:cs="Times New Roman"/>
          <w:szCs w:val="20"/>
        </w:rPr>
        <w:t xml:space="preserve">ocorra </w:t>
      </w:r>
      <w:r w:rsidRPr="00FA3856">
        <w:rPr>
          <w:rFonts w:ascii="Times New Roman" w:hAnsi="Times New Roman" w:cs="Times New Roman"/>
          <w:szCs w:val="20"/>
        </w:rPr>
        <w:t>mudança de contador no período</w:t>
      </w:r>
      <w:r w:rsidR="00647CB4" w:rsidRPr="00FA3856">
        <w:rPr>
          <w:rFonts w:ascii="Times New Roman" w:hAnsi="Times New Roman" w:cs="Times New Roman"/>
          <w:szCs w:val="20"/>
        </w:rPr>
        <w:t xml:space="preserve"> ou mudança de plano de contas no período</w:t>
      </w:r>
      <w:r w:rsidRPr="00FA3856">
        <w:rPr>
          <w:rFonts w:ascii="Times New Roman" w:hAnsi="Times New Roman" w:cs="Times New Roman"/>
          <w:szCs w:val="20"/>
        </w:rPr>
        <w:t>. A ECF deve ser transmitida em arquivo único, a menos que ocorra alguma das si</w:t>
      </w:r>
      <w:r w:rsidR="001A6D89">
        <w:rPr>
          <w:rFonts w:ascii="Times New Roman" w:hAnsi="Times New Roman" w:cs="Times New Roman"/>
          <w:szCs w:val="20"/>
        </w:rPr>
        <w:t>tuações especiais previstas no r</w:t>
      </w:r>
      <w:r w:rsidRPr="00FA3856">
        <w:rPr>
          <w:rFonts w:ascii="Times New Roman" w:hAnsi="Times New Roman" w:cs="Times New Roman"/>
          <w:szCs w:val="20"/>
        </w:rPr>
        <w:t>egistro 0000</w:t>
      </w:r>
      <w:r w:rsidRPr="00FA3856">
        <w:rPr>
          <w:rFonts w:ascii="Times New Roman" w:hAnsi="Times New Roman" w:cs="Times New Roman"/>
          <w:b/>
          <w:szCs w:val="20"/>
        </w:rPr>
        <w:t xml:space="preserve">.  </w:t>
      </w:r>
    </w:p>
    <w:p w:rsidR="004851B9" w:rsidRDefault="004851B9" w:rsidP="00C56183">
      <w:pPr>
        <w:pStyle w:val="NormalWeb"/>
        <w:shd w:val="clear" w:color="auto" w:fill="FFFFFF"/>
        <w:spacing w:before="0" w:after="0"/>
        <w:ind w:firstLine="708"/>
        <w:jc w:val="both"/>
        <w:rPr>
          <w:rFonts w:ascii="Times New Roman" w:hAnsi="Times New Roman" w:cs="Times New Roman"/>
          <w:b/>
          <w:szCs w:val="20"/>
        </w:rPr>
      </w:pPr>
    </w:p>
    <w:p w:rsidR="004851B9" w:rsidRDefault="00C56183" w:rsidP="00C56183">
      <w:pPr>
        <w:pStyle w:val="NormalWeb"/>
        <w:shd w:val="clear" w:color="auto" w:fill="FFFFFF"/>
        <w:spacing w:before="0" w:after="0"/>
        <w:ind w:firstLine="708"/>
        <w:jc w:val="both"/>
        <w:rPr>
          <w:rFonts w:ascii="Times New Roman" w:hAnsi="Times New Roman" w:cs="Times New Roman"/>
          <w:szCs w:val="20"/>
        </w:rPr>
      </w:pPr>
      <w:r w:rsidRPr="00FA3856">
        <w:rPr>
          <w:rFonts w:ascii="Times New Roman" w:hAnsi="Times New Roman" w:cs="Times New Roman"/>
          <w:szCs w:val="20"/>
        </w:rPr>
        <w:t>Caso a entidade tenha que recuperar os dados da ECD, devem ser recuperados os dois arquivos da ECD transmitidos (um para cada contador</w:t>
      </w:r>
      <w:r w:rsidR="00647CB4" w:rsidRPr="00FA3856">
        <w:rPr>
          <w:rFonts w:ascii="Times New Roman" w:hAnsi="Times New Roman" w:cs="Times New Roman"/>
          <w:szCs w:val="20"/>
        </w:rPr>
        <w:t xml:space="preserve"> ou um para cada plano de contas</w:t>
      </w:r>
      <w:r w:rsidRPr="00FA3856">
        <w:rPr>
          <w:rFonts w:ascii="Times New Roman" w:hAnsi="Times New Roman" w:cs="Times New Roman"/>
          <w:szCs w:val="20"/>
        </w:rPr>
        <w:t xml:space="preserve">). </w:t>
      </w:r>
    </w:p>
    <w:p w:rsidR="004851B9" w:rsidRDefault="004851B9" w:rsidP="00C56183">
      <w:pPr>
        <w:pStyle w:val="NormalWeb"/>
        <w:shd w:val="clear" w:color="auto" w:fill="FFFFFF"/>
        <w:spacing w:before="0" w:after="0"/>
        <w:ind w:firstLine="708"/>
        <w:jc w:val="both"/>
        <w:rPr>
          <w:rFonts w:ascii="Times New Roman" w:hAnsi="Times New Roman" w:cs="Times New Roman"/>
          <w:szCs w:val="20"/>
        </w:rPr>
      </w:pPr>
    </w:p>
    <w:p w:rsidR="00C56183" w:rsidRPr="00FA3856" w:rsidRDefault="00C56183" w:rsidP="00C56183">
      <w:pPr>
        <w:pStyle w:val="NormalWeb"/>
        <w:shd w:val="clear" w:color="auto" w:fill="FFFFFF"/>
        <w:spacing w:before="0" w:after="0"/>
        <w:ind w:firstLine="708"/>
        <w:jc w:val="both"/>
        <w:rPr>
          <w:rFonts w:ascii="Times New Roman" w:hAnsi="Times New Roman" w:cs="Times New Roman"/>
          <w:szCs w:val="20"/>
        </w:rPr>
      </w:pPr>
      <w:r w:rsidRPr="00FA3856">
        <w:rPr>
          <w:rFonts w:ascii="Times New Roman" w:hAnsi="Times New Roman" w:cs="Times New Roman"/>
          <w:szCs w:val="20"/>
        </w:rPr>
        <w:t>Contudo, para que a ECF recupere os dados corretamente é necessário que os saldos finais das contas que aparecem no primeiro arquivo (primeiro contador</w:t>
      </w:r>
      <w:r w:rsidR="00647CB4" w:rsidRPr="00FA3856">
        <w:rPr>
          <w:rFonts w:ascii="Times New Roman" w:hAnsi="Times New Roman" w:cs="Times New Roman"/>
          <w:szCs w:val="20"/>
        </w:rPr>
        <w:t xml:space="preserve"> ou primeiro plano de contas</w:t>
      </w:r>
      <w:r w:rsidRPr="00FA3856">
        <w:rPr>
          <w:rFonts w:ascii="Times New Roman" w:hAnsi="Times New Roman" w:cs="Times New Roman"/>
          <w:szCs w:val="20"/>
        </w:rPr>
        <w:t>) sejam iguais aos saldos in</w:t>
      </w:r>
      <w:r w:rsidR="00647CB4" w:rsidRPr="00FA3856">
        <w:rPr>
          <w:rFonts w:ascii="Times New Roman" w:hAnsi="Times New Roman" w:cs="Times New Roman"/>
          <w:szCs w:val="20"/>
        </w:rPr>
        <w:t>i</w:t>
      </w:r>
      <w:r w:rsidRPr="00FA3856">
        <w:rPr>
          <w:rFonts w:ascii="Times New Roman" w:hAnsi="Times New Roman" w:cs="Times New Roman"/>
          <w:szCs w:val="20"/>
        </w:rPr>
        <w:t>ciais dessas mesmas contas que aparecem no segundo arquivo (segundo contador</w:t>
      </w:r>
      <w:r w:rsidR="00647CB4" w:rsidRPr="00FA3856">
        <w:rPr>
          <w:rFonts w:ascii="Times New Roman" w:hAnsi="Times New Roman" w:cs="Times New Roman"/>
          <w:szCs w:val="20"/>
        </w:rPr>
        <w:t xml:space="preserve"> ou segundo plano de contas</w:t>
      </w:r>
      <w:r w:rsidRPr="00FA3856">
        <w:rPr>
          <w:rFonts w:ascii="Times New Roman" w:hAnsi="Times New Roman" w:cs="Times New Roman"/>
          <w:szCs w:val="20"/>
        </w:rPr>
        <w:t>)</w:t>
      </w:r>
      <w:r w:rsidR="009D46B2">
        <w:rPr>
          <w:rFonts w:ascii="Times New Roman" w:hAnsi="Times New Roman" w:cs="Times New Roman"/>
          <w:szCs w:val="20"/>
        </w:rPr>
        <w:t>. Isso pode ser feito, na ECD, por meio do preenchimento do registro I157 (transferência de plano de contas) no segundo arquivo da ECD, conforme instruções do Manual de Orientação do Leiaute da ECD</w:t>
      </w:r>
      <w:r w:rsidRPr="00FA3856">
        <w:rPr>
          <w:rFonts w:ascii="Times New Roman" w:hAnsi="Times New Roman" w:cs="Times New Roman"/>
          <w:szCs w:val="20"/>
        </w:rPr>
        <w:t>. Se isso não ocorrer, a ECF recuperará somente os dados do segundo arquivo e os ajustes necessários deverão ser realizados na própria ECF ou na ECD, por meio de substituição.</w:t>
      </w:r>
    </w:p>
    <w:p w:rsidR="00767E3B" w:rsidRPr="00FA3856" w:rsidRDefault="00767E3B" w:rsidP="00C975CB">
      <w:pPr>
        <w:pStyle w:val="NormalWeb"/>
        <w:shd w:val="clear" w:color="auto" w:fill="FFFFFF"/>
        <w:spacing w:before="0" w:after="0"/>
        <w:ind w:left="708"/>
        <w:jc w:val="both"/>
        <w:rPr>
          <w:rFonts w:ascii="Times New Roman" w:hAnsi="Times New Roman" w:cs="Times New Roman"/>
          <w:b/>
          <w:szCs w:val="20"/>
        </w:rPr>
      </w:pPr>
    </w:p>
    <w:p w:rsidR="00767E3B" w:rsidRPr="00FA3856" w:rsidRDefault="00767E3B" w:rsidP="00867F54">
      <w:pPr>
        <w:pStyle w:val="Ttulo2"/>
      </w:pPr>
      <w:bookmarkStart w:id="12" w:name="_Toc479713626"/>
      <w:r w:rsidRPr="00FA3856">
        <w:t>1.11. P</w:t>
      </w:r>
      <w:r w:rsidR="00EC4FED" w:rsidRPr="00FA3856">
        <w:t xml:space="preserve">lano de Contas e </w:t>
      </w:r>
      <w:r w:rsidRPr="00FA3856">
        <w:t>Mapeamento</w:t>
      </w:r>
      <w:bookmarkEnd w:id="12"/>
    </w:p>
    <w:p w:rsidR="00767E3B" w:rsidRPr="00FA3856" w:rsidRDefault="00767E3B" w:rsidP="00767E3B">
      <w:pPr>
        <w:pStyle w:val="NormalWeb"/>
        <w:shd w:val="clear" w:color="auto" w:fill="FFFFFF"/>
        <w:spacing w:before="0" w:after="0"/>
        <w:ind w:firstLine="708"/>
        <w:jc w:val="both"/>
        <w:rPr>
          <w:rFonts w:ascii="Times New Roman" w:hAnsi="Times New Roman" w:cs="Times New Roman"/>
          <w:szCs w:val="20"/>
        </w:rPr>
      </w:pPr>
    </w:p>
    <w:p w:rsidR="00EC4FED" w:rsidRPr="00FA3856" w:rsidRDefault="00EC4FED" w:rsidP="00767E3B">
      <w:pPr>
        <w:pStyle w:val="NormalWeb"/>
        <w:shd w:val="clear" w:color="auto" w:fill="FFFFFF"/>
        <w:spacing w:before="0" w:after="0"/>
        <w:ind w:firstLine="708"/>
        <w:jc w:val="both"/>
        <w:rPr>
          <w:rFonts w:ascii="Times New Roman" w:hAnsi="Times New Roman" w:cs="Times New Roman"/>
          <w:szCs w:val="20"/>
        </w:rPr>
      </w:pPr>
      <w:r w:rsidRPr="00372EFC">
        <w:rPr>
          <w:rFonts w:ascii="Times New Roman" w:hAnsi="Times New Roman" w:cs="Times New Roman"/>
          <w:szCs w:val="20"/>
        </w:rPr>
        <w:t>A ECF recupera o plano de contas do último período existente na ECD. O plano de contas deve retratar o conjunto e a estrutura de todas as contas passíveis de utilização na contabilidade da entidade.</w:t>
      </w:r>
    </w:p>
    <w:p w:rsidR="00EC4FED" w:rsidRPr="00FA3856" w:rsidRDefault="00EC4FED" w:rsidP="00767E3B">
      <w:pPr>
        <w:pStyle w:val="NormalWeb"/>
        <w:shd w:val="clear" w:color="auto" w:fill="FFFFFF"/>
        <w:spacing w:before="0" w:after="0"/>
        <w:ind w:firstLine="708"/>
        <w:jc w:val="both"/>
        <w:rPr>
          <w:rFonts w:ascii="Times New Roman" w:hAnsi="Times New Roman" w:cs="Times New Roman"/>
          <w:szCs w:val="20"/>
        </w:rPr>
      </w:pPr>
    </w:p>
    <w:p w:rsidR="00767E3B" w:rsidRPr="00FA3856" w:rsidRDefault="00EC4FED" w:rsidP="00767E3B">
      <w:pPr>
        <w:pStyle w:val="NormalWeb"/>
        <w:shd w:val="clear" w:color="auto" w:fill="FFFFFF"/>
        <w:spacing w:before="0" w:after="0"/>
        <w:ind w:firstLine="708"/>
        <w:jc w:val="both"/>
        <w:rPr>
          <w:rFonts w:ascii="Times New Roman" w:hAnsi="Times New Roman" w:cs="Times New Roman"/>
          <w:szCs w:val="20"/>
        </w:rPr>
      </w:pPr>
      <w:r w:rsidRPr="00FA3856">
        <w:rPr>
          <w:rFonts w:ascii="Times New Roman" w:hAnsi="Times New Roman" w:cs="Times New Roman"/>
          <w:szCs w:val="20"/>
        </w:rPr>
        <w:t xml:space="preserve">O </w:t>
      </w:r>
      <w:r w:rsidR="00767E3B" w:rsidRPr="00FA3856">
        <w:rPr>
          <w:rFonts w:ascii="Times New Roman" w:hAnsi="Times New Roman" w:cs="Times New Roman"/>
          <w:szCs w:val="20"/>
        </w:rPr>
        <w:t xml:space="preserve">mapeamento das contas contábeis da entidade para as contas referenciais é feito somente em relação às contas analíticas. Contas sintéticas não devem ser mapeadas.  </w:t>
      </w:r>
    </w:p>
    <w:p w:rsidR="00767E3B" w:rsidRPr="00FA3856" w:rsidRDefault="00767E3B" w:rsidP="00C975CB">
      <w:pPr>
        <w:pStyle w:val="NormalWeb"/>
        <w:shd w:val="clear" w:color="auto" w:fill="FFFFFF"/>
        <w:spacing w:before="0" w:after="0"/>
        <w:ind w:left="708"/>
        <w:jc w:val="both"/>
        <w:rPr>
          <w:rFonts w:ascii="Times New Roman" w:hAnsi="Times New Roman" w:cs="Times New Roman"/>
          <w:b/>
          <w:szCs w:val="20"/>
        </w:rPr>
      </w:pPr>
    </w:p>
    <w:p w:rsidR="009D46B2" w:rsidRDefault="009D46B2">
      <w:pPr>
        <w:spacing w:after="200" w:line="276" w:lineRule="auto"/>
        <w:rPr>
          <w:b/>
          <w:bCs/>
          <w:color w:val="0000FF"/>
          <w:szCs w:val="20"/>
        </w:rPr>
      </w:pPr>
      <w:r>
        <w:rPr>
          <w:color w:val="0000FF"/>
          <w:szCs w:val="20"/>
        </w:rPr>
        <w:br w:type="page"/>
      </w:r>
    </w:p>
    <w:p w:rsidR="00442B28" w:rsidRPr="00FA3856" w:rsidRDefault="00442B28" w:rsidP="00867F54">
      <w:pPr>
        <w:pStyle w:val="Ttulo2"/>
      </w:pPr>
      <w:bookmarkStart w:id="13" w:name="_Toc479713627"/>
      <w:r w:rsidRPr="00FA3856">
        <w:lastRenderedPageBreak/>
        <w:t>1.12. Registros de Planos de Contas Referenciais (L100, L300, P100, P150, U100 e U150)</w:t>
      </w:r>
      <w:bookmarkEnd w:id="13"/>
    </w:p>
    <w:p w:rsidR="00442B28" w:rsidRPr="00FA3856" w:rsidRDefault="00442B28" w:rsidP="00442B28">
      <w:pPr>
        <w:pStyle w:val="NormalWeb"/>
        <w:shd w:val="clear" w:color="auto" w:fill="FFFFFF"/>
        <w:spacing w:before="0" w:after="0"/>
        <w:ind w:firstLine="708"/>
        <w:jc w:val="both"/>
        <w:rPr>
          <w:rFonts w:ascii="Times New Roman" w:hAnsi="Times New Roman" w:cs="Times New Roman"/>
          <w:szCs w:val="20"/>
        </w:rPr>
      </w:pPr>
    </w:p>
    <w:p w:rsidR="00442B28" w:rsidRDefault="00442B28" w:rsidP="00442B28">
      <w:pPr>
        <w:pStyle w:val="NormalWeb"/>
        <w:shd w:val="clear" w:color="auto" w:fill="FFFFFF"/>
        <w:spacing w:before="0" w:after="0"/>
        <w:ind w:firstLine="708"/>
        <w:jc w:val="both"/>
        <w:rPr>
          <w:rFonts w:ascii="Times New Roman" w:hAnsi="Times New Roman" w:cs="Times New Roman"/>
          <w:szCs w:val="20"/>
        </w:rPr>
      </w:pPr>
      <w:r w:rsidRPr="00FA3856">
        <w:rPr>
          <w:rFonts w:ascii="Times New Roman" w:hAnsi="Times New Roman" w:cs="Times New Roman"/>
          <w:szCs w:val="20"/>
        </w:rPr>
        <w:t>Para as pessoas jurídicas que possuem ECD a recuperar e geram o</w:t>
      </w:r>
      <w:r w:rsidR="009D46B2">
        <w:rPr>
          <w:rFonts w:ascii="Times New Roman" w:hAnsi="Times New Roman" w:cs="Times New Roman"/>
          <w:szCs w:val="20"/>
        </w:rPr>
        <w:t xml:space="preserve"> arquivo da ECF para importação;</w:t>
      </w:r>
      <w:r w:rsidRPr="00FA3856">
        <w:rPr>
          <w:rFonts w:ascii="Times New Roman" w:hAnsi="Times New Roman" w:cs="Times New Roman"/>
          <w:szCs w:val="20"/>
        </w:rPr>
        <w:t xml:space="preserve"> os registros L100 e L300, no caso de pessoas jurídicas tributadas pelo lucro real; P100 e P150, no caso de pessoas jurídicas tributadas pelo lucro presumido; U100 e U150, no caso de imunes ou isentas, não devem constar no arquivo da ECF para importação, pois, caso sejam importados, os valores não serão calculados pelo programa da ECF.</w:t>
      </w:r>
    </w:p>
    <w:p w:rsidR="009D46B2" w:rsidRPr="00FA3856" w:rsidRDefault="009D46B2" w:rsidP="00442B28">
      <w:pPr>
        <w:pStyle w:val="NormalWeb"/>
        <w:shd w:val="clear" w:color="auto" w:fill="FFFFFF"/>
        <w:spacing w:before="0" w:after="0"/>
        <w:ind w:firstLine="708"/>
        <w:jc w:val="both"/>
        <w:rPr>
          <w:rFonts w:ascii="Times New Roman" w:hAnsi="Times New Roman" w:cs="Times New Roman"/>
          <w:szCs w:val="20"/>
        </w:rPr>
      </w:pPr>
    </w:p>
    <w:p w:rsidR="00CC26D5" w:rsidRPr="00FA3856" w:rsidRDefault="00CC26D5" w:rsidP="00867F54">
      <w:pPr>
        <w:pStyle w:val="Ttulo2"/>
      </w:pPr>
      <w:bookmarkStart w:id="14" w:name="_Toc479713628"/>
      <w:r w:rsidRPr="00FA3856">
        <w:t>1.13. Conta “Resultado do Exercício”</w:t>
      </w:r>
      <w:bookmarkEnd w:id="14"/>
    </w:p>
    <w:p w:rsidR="00CC26D5" w:rsidRPr="00FA3856" w:rsidRDefault="00CC26D5" w:rsidP="00CC26D5">
      <w:pPr>
        <w:pStyle w:val="NormalWeb"/>
        <w:shd w:val="clear" w:color="auto" w:fill="FFFFFF"/>
        <w:spacing w:before="0" w:after="0"/>
        <w:ind w:firstLine="708"/>
        <w:jc w:val="both"/>
        <w:rPr>
          <w:rFonts w:ascii="Times New Roman" w:hAnsi="Times New Roman" w:cs="Times New Roman"/>
          <w:szCs w:val="20"/>
        </w:rPr>
      </w:pPr>
    </w:p>
    <w:p w:rsidR="00CC26D5" w:rsidRDefault="00C2222A" w:rsidP="00CC26D5">
      <w:pPr>
        <w:pStyle w:val="NormalWeb"/>
        <w:shd w:val="clear" w:color="auto" w:fill="FFFFFF"/>
        <w:spacing w:before="0" w:after="0"/>
        <w:ind w:firstLine="708"/>
        <w:jc w:val="both"/>
        <w:rPr>
          <w:rFonts w:ascii="Times New Roman" w:hAnsi="Times New Roman" w:cs="Times New Roman"/>
          <w:szCs w:val="20"/>
        </w:rPr>
      </w:pPr>
      <w:r w:rsidRPr="00FA3856">
        <w:rPr>
          <w:rFonts w:ascii="Times New Roman" w:hAnsi="Times New Roman" w:cs="Times New Roman"/>
          <w:szCs w:val="20"/>
        </w:rPr>
        <w:t>No plano referencial, a conta “Resultado do Exercício” é sintética, pois representa o resultado da diferença entre as receitas e despesas do período. Caso a entidade utilize uma conta transitória</w:t>
      </w:r>
      <w:r w:rsidR="00162BE7" w:rsidRPr="00FA3856">
        <w:rPr>
          <w:rFonts w:ascii="Times New Roman" w:hAnsi="Times New Roman" w:cs="Times New Roman"/>
          <w:szCs w:val="20"/>
        </w:rPr>
        <w:t xml:space="preserve"> analítica</w:t>
      </w:r>
      <w:r w:rsidRPr="00FA3856">
        <w:rPr>
          <w:rFonts w:ascii="Times New Roman" w:hAnsi="Times New Roman" w:cs="Times New Roman"/>
          <w:szCs w:val="20"/>
        </w:rPr>
        <w:t xml:space="preserve"> “Resultado do Exercício” ou “Apuração do Resultado Exercício” para realizar os lançamentos de transferência dos saldos das receitas e despesas do período, essa conta deverá ter</w:t>
      </w:r>
      <w:r w:rsidR="00E904A0" w:rsidRPr="00FA3856">
        <w:rPr>
          <w:rFonts w:ascii="Times New Roman" w:hAnsi="Times New Roman" w:cs="Times New Roman"/>
          <w:szCs w:val="20"/>
        </w:rPr>
        <w:t xml:space="preserve"> J050.COD_NAT = “09” (O</w:t>
      </w:r>
      <w:r w:rsidR="00162BE7" w:rsidRPr="00FA3856">
        <w:rPr>
          <w:rFonts w:ascii="Times New Roman" w:hAnsi="Times New Roman" w:cs="Times New Roman"/>
          <w:szCs w:val="20"/>
        </w:rPr>
        <w:t>utras) e não deverá ser mapeada</w:t>
      </w:r>
      <w:r w:rsidR="00E904A0" w:rsidRPr="00FA3856">
        <w:rPr>
          <w:rFonts w:ascii="Times New Roman" w:hAnsi="Times New Roman" w:cs="Times New Roman"/>
          <w:szCs w:val="20"/>
        </w:rPr>
        <w:t>. O sistema não permite o mapeamento de contas com código de natureza “09”</w:t>
      </w:r>
      <w:r w:rsidR="00CC26D5" w:rsidRPr="00FA3856">
        <w:rPr>
          <w:rFonts w:ascii="Times New Roman" w:hAnsi="Times New Roman" w:cs="Times New Roman"/>
          <w:szCs w:val="20"/>
        </w:rPr>
        <w:t>.</w:t>
      </w:r>
    </w:p>
    <w:p w:rsidR="00787CA0" w:rsidRPr="00FA3856" w:rsidRDefault="00787CA0" w:rsidP="00CC26D5">
      <w:pPr>
        <w:pStyle w:val="NormalWeb"/>
        <w:shd w:val="clear" w:color="auto" w:fill="FFFFFF"/>
        <w:spacing w:before="0" w:after="0"/>
        <w:ind w:firstLine="708"/>
        <w:jc w:val="both"/>
        <w:rPr>
          <w:rFonts w:ascii="Times New Roman" w:hAnsi="Times New Roman" w:cs="Times New Roman"/>
          <w:szCs w:val="20"/>
        </w:rPr>
      </w:pPr>
    </w:p>
    <w:p w:rsidR="00372EC2" w:rsidRPr="00FA3856" w:rsidRDefault="00372EC2" w:rsidP="00867F54">
      <w:pPr>
        <w:pStyle w:val="Ttulo2"/>
      </w:pPr>
      <w:bookmarkStart w:id="15" w:name="_Toc479713629"/>
      <w:r w:rsidRPr="00FA3856">
        <w:t>1.14. Retificação da ECF</w:t>
      </w:r>
      <w:bookmarkEnd w:id="15"/>
    </w:p>
    <w:p w:rsidR="00372EC2" w:rsidRPr="00FA3856" w:rsidRDefault="00372EC2" w:rsidP="00372EC2">
      <w:pPr>
        <w:pStyle w:val="NormalWeb"/>
        <w:shd w:val="clear" w:color="auto" w:fill="FFFFFF"/>
        <w:spacing w:before="0" w:after="0"/>
        <w:ind w:firstLine="708"/>
        <w:jc w:val="both"/>
        <w:rPr>
          <w:rFonts w:ascii="Times New Roman" w:hAnsi="Times New Roman" w:cs="Times New Roman"/>
          <w:szCs w:val="20"/>
        </w:rPr>
      </w:pPr>
    </w:p>
    <w:p w:rsidR="00B702C1" w:rsidRPr="00FA3856" w:rsidRDefault="00372EC2" w:rsidP="00372EC2">
      <w:pPr>
        <w:pStyle w:val="NormalWeb"/>
        <w:shd w:val="clear" w:color="auto" w:fill="FFFFFF"/>
        <w:spacing w:before="0" w:after="0"/>
        <w:ind w:firstLine="708"/>
        <w:jc w:val="both"/>
        <w:rPr>
          <w:rFonts w:ascii="Times New Roman" w:hAnsi="Times New Roman" w:cs="Times New Roman"/>
          <w:szCs w:val="20"/>
        </w:rPr>
      </w:pPr>
      <w:r w:rsidRPr="00FA3856">
        <w:rPr>
          <w:rFonts w:ascii="Times New Roman" w:hAnsi="Times New Roman" w:cs="Times New Roman"/>
          <w:szCs w:val="20"/>
        </w:rPr>
        <w:t>A r</w:t>
      </w:r>
      <w:r w:rsidR="004A4D2B" w:rsidRPr="00FA3856">
        <w:rPr>
          <w:rFonts w:ascii="Times New Roman" w:hAnsi="Times New Roman" w:cs="Times New Roman"/>
          <w:szCs w:val="20"/>
        </w:rPr>
        <w:t xml:space="preserve">etificação </w:t>
      </w:r>
      <w:r w:rsidRPr="00FA3856">
        <w:rPr>
          <w:rFonts w:ascii="Times New Roman" w:hAnsi="Times New Roman" w:cs="Times New Roman"/>
          <w:szCs w:val="20"/>
        </w:rPr>
        <w:t xml:space="preserve">da ECF poderá ser realizada </w:t>
      </w:r>
      <w:r w:rsidR="004A4D2B" w:rsidRPr="00FA3856">
        <w:rPr>
          <w:rFonts w:ascii="Times New Roman" w:hAnsi="Times New Roman" w:cs="Times New Roman"/>
          <w:szCs w:val="20"/>
        </w:rPr>
        <w:t>em até 5 anos.</w:t>
      </w:r>
    </w:p>
    <w:p w:rsidR="00372EC2" w:rsidRPr="00FA3856" w:rsidRDefault="00372EC2" w:rsidP="00372EC2">
      <w:pPr>
        <w:pStyle w:val="NormalWeb"/>
        <w:shd w:val="clear" w:color="auto" w:fill="FFFFFF"/>
        <w:spacing w:before="0" w:after="0"/>
        <w:ind w:firstLine="708"/>
        <w:jc w:val="both"/>
        <w:rPr>
          <w:rFonts w:ascii="Times New Roman" w:hAnsi="Times New Roman" w:cs="Times New Roman"/>
          <w:szCs w:val="20"/>
        </w:rPr>
      </w:pPr>
    </w:p>
    <w:p w:rsidR="00B702C1" w:rsidRPr="00FA3856" w:rsidRDefault="00B27216" w:rsidP="00372EC2">
      <w:pPr>
        <w:pStyle w:val="NormalWeb"/>
        <w:shd w:val="clear" w:color="auto" w:fill="FFFFFF"/>
        <w:spacing w:before="0" w:after="0"/>
        <w:ind w:firstLine="708"/>
        <w:jc w:val="both"/>
        <w:rPr>
          <w:rFonts w:ascii="Times New Roman" w:hAnsi="Times New Roman" w:cs="Times New Roman"/>
          <w:szCs w:val="20"/>
        </w:rPr>
      </w:pPr>
      <w:r>
        <w:rPr>
          <w:rFonts w:ascii="Times New Roman" w:hAnsi="Times New Roman" w:cs="Times New Roman"/>
          <w:szCs w:val="20"/>
        </w:rPr>
        <w:t xml:space="preserve">Se </w:t>
      </w:r>
      <w:r w:rsidR="004A4D2B" w:rsidRPr="00FA3856">
        <w:rPr>
          <w:rFonts w:ascii="Times New Roman" w:hAnsi="Times New Roman" w:cs="Times New Roman"/>
          <w:szCs w:val="20"/>
        </w:rPr>
        <w:t>a ECF de um ano anterior</w:t>
      </w:r>
      <w:r>
        <w:rPr>
          <w:rFonts w:ascii="Times New Roman" w:hAnsi="Times New Roman" w:cs="Times New Roman"/>
          <w:szCs w:val="20"/>
        </w:rPr>
        <w:t xml:space="preserve"> for retificada</w:t>
      </w:r>
      <w:r w:rsidR="004A4D2B" w:rsidRPr="00FA3856">
        <w:rPr>
          <w:rFonts w:ascii="Times New Roman" w:hAnsi="Times New Roman" w:cs="Times New Roman"/>
          <w:szCs w:val="20"/>
        </w:rPr>
        <w:t>, poderá ser necessário retifi</w:t>
      </w:r>
      <w:r w:rsidR="00372EC2" w:rsidRPr="00FA3856">
        <w:rPr>
          <w:rFonts w:ascii="Times New Roman" w:hAnsi="Times New Roman" w:cs="Times New Roman"/>
          <w:szCs w:val="20"/>
        </w:rPr>
        <w:t>car as ECF dos anos posteriores, em virtude do controle de saldos da ECF.</w:t>
      </w:r>
    </w:p>
    <w:p w:rsidR="00372EC2" w:rsidRPr="00FA3856" w:rsidRDefault="00372EC2" w:rsidP="00372EC2">
      <w:pPr>
        <w:pStyle w:val="NormalWeb"/>
        <w:shd w:val="clear" w:color="auto" w:fill="FFFFFF"/>
        <w:spacing w:before="0" w:after="0"/>
        <w:ind w:firstLine="708"/>
        <w:jc w:val="both"/>
        <w:rPr>
          <w:rFonts w:ascii="Times New Roman" w:hAnsi="Times New Roman" w:cs="Times New Roman"/>
          <w:szCs w:val="20"/>
        </w:rPr>
      </w:pPr>
    </w:p>
    <w:p w:rsidR="00372EC2" w:rsidRPr="00FA3856" w:rsidRDefault="00372EC2" w:rsidP="00372EC2">
      <w:pPr>
        <w:pStyle w:val="NormalWeb"/>
        <w:shd w:val="clear" w:color="auto" w:fill="FFFFFF"/>
        <w:spacing w:before="0" w:after="0"/>
        <w:ind w:firstLine="708"/>
        <w:jc w:val="both"/>
        <w:rPr>
          <w:rFonts w:ascii="Times New Roman" w:hAnsi="Times New Roman" w:cs="Times New Roman"/>
          <w:szCs w:val="20"/>
        </w:rPr>
      </w:pPr>
      <w:r w:rsidRPr="00FA3856">
        <w:rPr>
          <w:rFonts w:ascii="Times New Roman" w:hAnsi="Times New Roman" w:cs="Times New Roman"/>
          <w:szCs w:val="20"/>
        </w:rPr>
        <w:t>Exemplo: Em 01/01/2018, a empresa retificou a ECF do ano-calendário 2014. Nesse caso, a empresa pode ter que retificar as ECF dos anos-calendário 2015 e 2016.</w:t>
      </w:r>
    </w:p>
    <w:p w:rsidR="00D25868" w:rsidRPr="00FA3856" w:rsidRDefault="00D25868" w:rsidP="00372EC2">
      <w:pPr>
        <w:pStyle w:val="NormalWeb"/>
        <w:shd w:val="clear" w:color="auto" w:fill="FFFFFF"/>
        <w:spacing w:before="0" w:after="0"/>
        <w:ind w:firstLine="708"/>
        <w:jc w:val="both"/>
        <w:rPr>
          <w:rFonts w:ascii="Times New Roman" w:hAnsi="Times New Roman" w:cs="Times New Roman"/>
          <w:szCs w:val="20"/>
        </w:rPr>
      </w:pPr>
    </w:p>
    <w:p w:rsidR="00171B8D" w:rsidRPr="00FA3856" w:rsidRDefault="00D25868" w:rsidP="00171B8D">
      <w:pPr>
        <w:ind w:firstLine="708"/>
        <w:jc w:val="both"/>
        <w:rPr>
          <w:bCs/>
          <w:szCs w:val="20"/>
        </w:rPr>
      </w:pPr>
      <w:r w:rsidRPr="00FA3856">
        <w:rPr>
          <w:bCs/>
          <w:szCs w:val="20"/>
        </w:rPr>
        <w:t xml:space="preserve">Para retificação da ECF, é necessário que o campo 12 do registro 0000 (0000.RETIFICADORA) deve estar preenchido com “S” (ECF Retificadora). </w:t>
      </w:r>
      <w:r w:rsidR="00171B8D" w:rsidRPr="00FA3856">
        <w:rPr>
          <w:bCs/>
          <w:szCs w:val="20"/>
        </w:rPr>
        <w:t>O procedimento para retificação é:</w:t>
      </w:r>
    </w:p>
    <w:p w:rsidR="00171B8D" w:rsidRPr="00FA3856" w:rsidRDefault="00171B8D" w:rsidP="00171B8D">
      <w:pPr>
        <w:ind w:firstLine="708"/>
        <w:jc w:val="both"/>
        <w:rPr>
          <w:bCs/>
          <w:szCs w:val="20"/>
        </w:rPr>
      </w:pPr>
    </w:p>
    <w:p w:rsidR="00171B8D" w:rsidRPr="00FA3856" w:rsidRDefault="00171B8D" w:rsidP="00171B8D">
      <w:pPr>
        <w:ind w:firstLine="708"/>
        <w:jc w:val="both"/>
        <w:rPr>
          <w:bCs/>
          <w:szCs w:val="20"/>
        </w:rPr>
      </w:pPr>
      <w:r w:rsidRPr="00FA3856">
        <w:rPr>
          <w:bCs/>
          <w:szCs w:val="20"/>
        </w:rPr>
        <w:t>1 – Exporte o arquivo da ECF original;</w:t>
      </w:r>
    </w:p>
    <w:p w:rsidR="00171B8D" w:rsidRDefault="00171B8D" w:rsidP="00171B8D">
      <w:pPr>
        <w:ind w:firstLine="708"/>
        <w:jc w:val="both"/>
        <w:rPr>
          <w:bCs/>
          <w:szCs w:val="20"/>
        </w:rPr>
      </w:pPr>
      <w:r w:rsidRPr="00FA3856">
        <w:rPr>
          <w:bCs/>
          <w:szCs w:val="20"/>
        </w:rPr>
        <w:t xml:space="preserve">2 – Abra o arquivo da ECF </w:t>
      </w:r>
      <w:r w:rsidR="00B27216">
        <w:rPr>
          <w:bCs/>
          <w:szCs w:val="20"/>
        </w:rPr>
        <w:t>exportado em um programa tipo “Bloco de N</w:t>
      </w:r>
      <w:r w:rsidRPr="00FA3856">
        <w:rPr>
          <w:bCs/>
          <w:szCs w:val="20"/>
        </w:rPr>
        <w:t>otas”;</w:t>
      </w:r>
    </w:p>
    <w:p w:rsidR="00B27216" w:rsidRPr="00B27216" w:rsidRDefault="00B27216" w:rsidP="00B27216">
      <w:pPr>
        <w:autoSpaceDE w:val="0"/>
        <w:spacing w:line="240" w:lineRule="atLeast"/>
        <w:ind w:left="708"/>
        <w:jc w:val="both"/>
        <w:rPr>
          <w:rFonts w:cs="Times New Roman"/>
          <w:szCs w:val="20"/>
        </w:rPr>
      </w:pPr>
      <w:r w:rsidRPr="00892DF6">
        <w:rPr>
          <w:bCs/>
          <w:szCs w:val="20"/>
        </w:rPr>
        <w:t xml:space="preserve">3 – </w:t>
      </w:r>
      <w:r w:rsidRPr="00892DF6">
        <w:rPr>
          <w:rFonts w:cs="Times New Roman"/>
          <w:color w:val="000000"/>
          <w:szCs w:val="20"/>
        </w:rPr>
        <w:t xml:space="preserve">Se o arquivo é o que foi assinado, remova a assinatura. A assinatura é um conjunto de caracteres "estranhos" que fica após o registro 9999. Basta apagar tudo que fica após tal registro. Para fazer isso, edite a escrituração com algum editor de texto </w:t>
      </w:r>
      <w:r w:rsidRPr="00892DF6">
        <w:rPr>
          <w:rFonts w:cs="Times New Roman"/>
          <w:szCs w:val="20"/>
        </w:rPr>
        <w:t>do tipo “Bloco de Notas”.</w:t>
      </w:r>
    </w:p>
    <w:p w:rsidR="00171B8D" w:rsidRPr="00FA3856" w:rsidRDefault="00B27216" w:rsidP="00B27216">
      <w:pPr>
        <w:ind w:firstLine="708"/>
        <w:jc w:val="both"/>
        <w:rPr>
          <w:bCs/>
          <w:szCs w:val="20"/>
        </w:rPr>
      </w:pPr>
      <w:r>
        <w:rPr>
          <w:bCs/>
          <w:szCs w:val="20"/>
        </w:rPr>
        <w:t>4</w:t>
      </w:r>
      <w:r w:rsidR="00171B8D" w:rsidRPr="00FA3856">
        <w:rPr>
          <w:bCs/>
          <w:szCs w:val="20"/>
        </w:rPr>
        <w:t xml:space="preserve"> – Altere com campo 12 do registro 0000 para “S” (ECF retificadora) – também é possível fazer as correções neste momento, mas caso prefira fazer no próprio programa da ECF, salve o arquivo;</w:t>
      </w:r>
    </w:p>
    <w:p w:rsidR="00171B8D" w:rsidRDefault="00B27216" w:rsidP="00171B8D">
      <w:pPr>
        <w:ind w:firstLine="708"/>
        <w:jc w:val="both"/>
        <w:rPr>
          <w:bCs/>
          <w:szCs w:val="20"/>
        </w:rPr>
      </w:pPr>
      <w:r>
        <w:rPr>
          <w:bCs/>
          <w:szCs w:val="20"/>
        </w:rPr>
        <w:t>5</w:t>
      </w:r>
      <w:r w:rsidR="00171B8D" w:rsidRPr="00FA3856">
        <w:rPr>
          <w:bCs/>
          <w:szCs w:val="20"/>
        </w:rPr>
        <w:t xml:space="preserve"> – Importe o arquivo da ECF retificadora;</w:t>
      </w:r>
    </w:p>
    <w:p w:rsidR="00E13425" w:rsidRPr="00FA3856" w:rsidRDefault="00E13425" w:rsidP="00171B8D">
      <w:pPr>
        <w:ind w:firstLine="708"/>
        <w:jc w:val="both"/>
        <w:rPr>
          <w:bCs/>
          <w:szCs w:val="20"/>
        </w:rPr>
      </w:pPr>
      <w:r>
        <w:rPr>
          <w:bCs/>
          <w:szCs w:val="20"/>
        </w:rPr>
        <w:t>6 – Recupere a ECD (se for o caso);</w:t>
      </w:r>
    </w:p>
    <w:p w:rsidR="00171B8D" w:rsidRPr="00FA3856" w:rsidRDefault="00E13425" w:rsidP="00171B8D">
      <w:pPr>
        <w:ind w:firstLine="708"/>
        <w:jc w:val="both"/>
        <w:rPr>
          <w:bCs/>
          <w:szCs w:val="20"/>
        </w:rPr>
      </w:pPr>
      <w:r>
        <w:rPr>
          <w:bCs/>
          <w:szCs w:val="20"/>
        </w:rPr>
        <w:t>7</w:t>
      </w:r>
      <w:r w:rsidR="00171B8D" w:rsidRPr="00FA3856">
        <w:rPr>
          <w:bCs/>
          <w:szCs w:val="20"/>
        </w:rPr>
        <w:t xml:space="preserve"> – Faça a correção dos dados no programa da ECF;</w:t>
      </w:r>
    </w:p>
    <w:p w:rsidR="00171B8D" w:rsidRPr="00FA3856" w:rsidRDefault="00E13425" w:rsidP="00171B8D">
      <w:pPr>
        <w:ind w:firstLine="708"/>
        <w:jc w:val="both"/>
        <w:rPr>
          <w:bCs/>
          <w:szCs w:val="20"/>
        </w:rPr>
      </w:pPr>
      <w:r>
        <w:rPr>
          <w:bCs/>
          <w:szCs w:val="20"/>
        </w:rPr>
        <w:t>8</w:t>
      </w:r>
      <w:r w:rsidR="00171B8D" w:rsidRPr="00FA3856">
        <w:rPr>
          <w:bCs/>
          <w:szCs w:val="20"/>
        </w:rPr>
        <w:t xml:space="preserve"> – Valide;</w:t>
      </w:r>
    </w:p>
    <w:p w:rsidR="00171B8D" w:rsidRPr="00FA3856" w:rsidRDefault="00E13425" w:rsidP="00171B8D">
      <w:pPr>
        <w:ind w:firstLine="708"/>
        <w:jc w:val="both"/>
        <w:rPr>
          <w:bCs/>
          <w:szCs w:val="20"/>
        </w:rPr>
      </w:pPr>
      <w:r>
        <w:rPr>
          <w:bCs/>
          <w:szCs w:val="20"/>
        </w:rPr>
        <w:t>9</w:t>
      </w:r>
      <w:r w:rsidR="00171B8D" w:rsidRPr="00FA3856">
        <w:rPr>
          <w:bCs/>
          <w:szCs w:val="20"/>
        </w:rPr>
        <w:t xml:space="preserve"> – Assine; e</w:t>
      </w:r>
    </w:p>
    <w:p w:rsidR="00171B8D" w:rsidRPr="00FA3856" w:rsidRDefault="00E13425" w:rsidP="00171B8D">
      <w:pPr>
        <w:ind w:firstLine="708"/>
        <w:jc w:val="both"/>
        <w:rPr>
          <w:bCs/>
          <w:szCs w:val="20"/>
        </w:rPr>
      </w:pPr>
      <w:r>
        <w:rPr>
          <w:bCs/>
          <w:szCs w:val="20"/>
        </w:rPr>
        <w:t>10</w:t>
      </w:r>
      <w:r w:rsidR="00171B8D" w:rsidRPr="00FA3856">
        <w:rPr>
          <w:bCs/>
          <w:szCs w:val="20"/>
        </w:rPr>
        <w:t xml:space="preserve"> – Transmita a ECF retificadora.</w:t>
      </w:r>
    </w:p>
    <w:p w:rsidR="00372EC2" w:rsidRPr="00FA3856" w:rsidRDefault="00372EC2" w:rsidP="00171B8D">
      <w:pPr>
        <w:ind w:firstLine="708"/>
        <w:jc w:val="both"/>
        <w:rPr>
          <w:szCs w:val="20"/>
        </w:rPr>
      </w:pPr>
    </w:p>
    <w:p w:rsidR="00372EC2" w:rsidRPr="00FA3856" w:rsidRDefault="00372EC2" w:rsidP="00867F54">
      <w:pPr>
        <w:pStyle w:val="Ttulo2"/>
      </w:pPr>
      <w:bookmarkStart w:id="16" w:name="_Toc479713630"/>
      <w:r w:rsidRPr="00FA3856">
        <w:t>1.15. O que significa a mensagem “Dados atualizados na linha de acordo com a tabela da RFB”?</w:t>
      </w:r>
      <w:bookmarkEnd w:id="16"/>
    </w:p>
    <w:p w:rsidR="00372EC2" w:rsidRPr="00FA3856" w:rsidRDefault="00372EC2" w:rsidP="00372EC2">
      <w:pPr>
        <w:pStyle w:val="NormalWeb"/>
        <w:shd w:val="clear" w:color="auto" w:fill="FFFFFF"/>
        <w:spacing w:before="0" w:after="0"/>
        <w:ind w:firstLine="708"/>
        <w:jc w:val="both"/>
        <w:rPr>
          <w:rFonts w:ascii="Times New Roman" w:hAnsi="Times New Roman" w:cs="Times New Roman"/>
          <w:szCs w:val="20"/>
        </w:rPr>
      </w:pPr>
    </w:p>
    <w:p w:rsidR="00372EC2" w:rsidRPr="00FA3856" w:rsidRDefault="00372EC2" w:rsidP="00372EC2">
      <w:pPr>
        <w:pStyle w:val="NormalWeb"/>
        <w:shd w:val="clear" w:color="auto" w:fill="FFFFFF"/>
        <w:spacing w:before="0" w:after="0"/>
        <w:ind w:firstLine="708"/>
        <w:jc w:val="both"/>
        <w:rPr>
          <w:rFonts w:ascii="Times New Roman" w:hAnsi="Times New Roman" w:cs="Times New Roman"/>
          <w:szCs w:val="20"/>
        </w:rPr>
      </w:pPr>
      <w:r w:rsidRPr="00FA3856">
        <w:rPr>
          <w:rFonts w:ascii="Times New Roman" w:hAnsi="Times New Roman" w:cs="Times New Roman"/>
          <w:szCs w:val="20"/>
        </w:rPr>
        <w:t>No caso de registros com tabelas dinâmicas, a entidade precisa somente informar o código da linha e o valor, além da identificação do registro, pois a descrição é preenchida pelo próprio programa da ECF. Contudo, caso a entidade preencha o campo descrição e ele não esteja exatamente igual à descrição da respectiva tabela do registro no programa, o sistema fará a atualização da descrição e emitirá a mensagem (</w:t>
      </w:r>
      <w:r w:rsidR="00E00235" w:rsidRPr="00FA3856">
        <w:rPr>
          <w:rFonts w:ascii="Times New Roman" w:hAnsi="Times New Roman" w:cs="Times New Roman"/>
          <w:szCs w:val="20"/>
        </w:rPr>
        <w:t>advertência</w:t>
      </w:r>
      <w:r w:rsidRPr="00FA3856">
        <w:rPr>
          <w:rFonts w:ascii="Times New Roman" w:hAnsi="Times New Roman" w:cs="Times New Roman"/>
          <w:szCs w:val="20"/>
        </w:rPr>
        <w:t>) no momento da importação do arquivo da ECF: “Dados atualizados na linha de acordo com a tabela da RFB”.</w:t>
      </w:r>
    </w:p>
    <w:p w:rsidR="00D8558E" w:rsidRPr="00FA3856" w:rsidRDefault="00D8558E" w:rsidP="00372EC2">
      <w:pPr>
        <w:pStyle w:val="NormalWeb"/>
        <w:shd w:val="clear" w:color="auto" w:fill="FFFFFF"/>
        <w:spacing w:before="0" w:after="0"/>
        <w:ind w:firstLine="708"/>
        <w:jc w:val="both"/>
        <w:rPr>
          <w:rFonts w:ascii="Times New Roman" w:hAnsi="Times New Roman" w:cs="Times New Roman"/>
          <w:szCs w:val="20"/>
        </w:rPr>
      </w:pPr>
    </w:p>
    <w:p w:rsidR="00787CA0" w:rsidRDefault="00787CA0">
      <w:pPr>
        <w:spacing w:after="200" w:line="276" w:lineRule="auto"/>
        <w:rPr>
          <w:b/>
          <w:bCs/>
          <w:color w:val="0000FF"/>
          <w:szCs w:val="20"/>
        </w:rPr>
      </w:pPr>
      <w:r>
        <w:rPr>
          <w:color w:val="0000FF"/>
          <w:szCs w:val="20"/>
        </w:rPr>
        <w:lastRenderedPageBreak/>
        <w:br w:type="page"/>
      </w:r>
    </w:p>
    <w:p w:rsidR="008D0538" w:rsidRPr="00FA3856" w:rsidRDefault="008D0538" w:rsidP="00867F54">
      <w:pPr>
        <w:pStyle w:val="Ttulo2"/>
      </w:pPr>
      <w:bookmarkStart w:id="17" w:name="_Toc479713631"/>
      <w:r w:rsidRPr="00FA3856">
        <w:lastRenderedPageBreak/>
        <w:t>1.16. Transformação</w:t>
      </w:r>
      <w:bookmarkEnd w:id="17"/>
    </w:p>
    <w:p w:rsidR="008D0538" w:rsidRPr="00FA3856" w:rsidRDefault="008D0538" w:rsidP="008D0538">
      <w:pPr>
        <w:pStyle w:val="NormalWeb"/>
        <w:shd w:val="clear" w:color="auto" w:fill="FFFFFF"/>
        <w:spacing w:before="0" w:after="0"/>
        <w:ind w:firstLine="708"/>
        <w:jc w:val="both"/>
        <w:rPr>
          <w:rFonts w:ascii="Times New Roman" w:hAnsi="Times New Roman" w:cs="Times New Roman"/>
          <w:szCs w:val="20"/>
        </w:rPr>
      </w:pPr>
    </w:p>
    <w:p w:rsidR="0055350B" w:rsidRPr="00FA3856" w:rsidRDefault="0055350B" w:rsidP="0055350B">
      <w:pPr>
        <w:pStyle w:val="NormalWeb"/>
        <w:shd w:val="clear" w:color="auto" w:fill="FFFFFF"/>
        <w:spacing w:before="0" w:after="0"/>
        <w:ind w:firstLine="708"/>
        <w:jc w:val="both"/>
        <w:rPr>
          <w:rFonts w:ascii="Times New Roman" w:hAnsi="Times New Roman" w:cs="Times New Roman"/>
          <w:szCs w:val="20"/>
        </w:rPr>
      </w:pPr>
      <w:r w:rsidRPr="00FA3856">
        <w:rPr>
          <w:rFonts w:ascii="Times New Roman" w:hAnsi="Times New Roman" w:cs="Times New Roman"/>
          <w:szCs w:val="20"/>
        </w:rPr>
        <w:t>A transformação não é um evento que represente interrupção do período para cálculo dos tributos. Portanto, as opções “Resultante de Transformação” (Código 3 do 0000.</w:t>
      </w:r>
      <w:r w:rsidRPr="00FA3856">
        <w:rPr>
          <w:rFonts w:ascii="Times New Roman" w:hAnsi="Times New Roman"/>
          <w:szCs w:val="20"/>
        </w:rPr>
        <w:t>IND_SIT_INI_PER) e “Transformação” (Código 7 do 0000.</w:t>
      </w:r>
      <w:r w:rsidRPr="00FA3856">
        <w:rPr>
          <w:rFonts w:ascii="Times New Roman" w:hAnsi="Times New Roman"/>
          <w:szCs w:val="20"/>
          <w:lang w:val="pt-PT"/>
        </w:rPr>
        <w:t xml:space="preserve"> SIT_ESPECIAL) foram excluídas do registro 0000.</w:t>
      </w:r>
    </w:p>
    <w:p w:rsidR="0055350B" w:rsidRPr="00FA3856" w:rsidRDefault="0055350B" w:rsidP="008D0538">
      <w:pPr>
        <w:pStyle w:val="NormalWeb"/>
        <w:shd w:val="clear" w:color="auto" w:fill="FFFFFF"/>
        <w:spacing w:before="0" w:after="0"/>
        <w:ind w:firstLine="708"/>
        <w:jc w:val="both"/>
        <w:rPr>
          <w:rFonts w:ascii="Times New Roman" w:hAnsi="Times New Roman" w:cs="Times New Roman"/>
          <w:szCs w:val="20"/>
        </w:rPr>
      </w:pPr>
    </w:p>
    <w:p w:rsidR="008D0538" w:rsidRPr="00FA3856" w:rsidRDefault="008D0538" w:rsidP="008D0538">
      <w:pPr>
        <w:pStyle w:val="NormalWeb"/>
        <w:shd w:val="clear" w:color="auto" w:fill="FFFFFF"/>
        <w:spacing w:before="0" w:after="0"/>
        <w:ind w:firstLine="708"/>
        <w:jc w:val="both"/>
        <w:rPr>
          <w:rFonts w:ascii="Times New Roman" w:hAnsi="Times New Roman" w:cs="Times New Roman"/>
          <w:szCs w:val="20"/>
        </w:rPr>
      </w:pPr>
      <w:r w:rsidRPr="00FA3856">
        <w:rPr>
          <w:rFonts w:ascii="Times New Roman" w:hAnsi="Times New Roman" w:cs="Times New Roman"/>
          <w:szCs w:val="20"/>
        </w:rPr>
        <w:t>No caso de transformação no período (Exemplo: A empresa passa de LTDA. para S.A.), a ECF deve ser transmitida em arquivo único para todo o período. Portanto, se não houve situação especial e nem abertura ou início de obrigatoriedade no período, os campos 0000.IND_SIT_INI_PER e 0000.SIT_ESPECIAL serão preenchidos da seguinte forma:</w:t>
      </w:r>
    </w:p>
    <w:p w:rsidR="008D0538" w:rsidRPr="00FA3856" w:rsidRDefault="008D0538" w:rsidP="008D0538">
      <w:pPr>
        <w:pStyle w:val="NormalWeb"/>
        <w:shd w:val="clear" w:color="auto" w:fill="FFFFFF"/>
        <w:spacing w:before="0" w:after="0"/>
        <w:ind w:firstLine="708"/>
        <w:jc w:val="both"/>
        <w:rPr>
          <w:rFonts w:ascii="Times New Roman" w:hAnsi="Times New Roman" w:cs="Times New Roman"/>
          <w:szCs w:val="20"/>
        </w:rPr>
      </w:pPr>
    </w:p>
    <w:p w:rsidR="008D0538" w:rsidRPr="00FA3856" w:rsidRDefault="008D0538" w:rsidP="008D0538">
      <w:pPr>
        <w:pStyle w:val="NormalWeb"/>
        <w:shd w:val="clear" w:color="auto" w:fill="FFFFFF"/>
        <w:spacing w:before="0" w:after="0"/>
        <w:ind w:firstLine="708"/>
        <w:jc w:val="both"/>
        <w:rPr>
          <w:rFonts w:ascii="Times New Roman" w:hAnsi="Times New Roman" w:cs="Times New Roman"/>
          <w:szCs w:val="20"/>
        </w:rPr>
      </w:pPr>
      <w:r w:rsidRPr="00FA3856">
        <w:rPr>
          <w:rFonts w:ascii="Times New Roman" w:hAnsi="Times New Roman" w:cs="Times New Roman"/>
          <w:szCs w:val="20"/>
        </w:rPr>
        <w:t>0000.IND_SIT_INI_PER: 0 – Regular (Início no primeiro dia do ano).</w:t>
      </w:r>
    </w:p>
    <w:p w:rsidR="00CD549B" w:rsidRPr="00FA3856" w:rsidRDefault="008D0538" w:rsidP="00CD549B">
      <w:pPr>
        <w:pStyle w:val="NormalWeb"/>
        <w:shd w:val="clear" w:color="auto" w:fill="FFFFFF"/>
        <w:spacing w:before="0" w:after="0"/>
        <w:ind w:firstLine="708"/>
        <w:jc w:val="both"/>
        <w:rPr>
          <w:rFonts w:ascii="Times New Roman" w:hAnsi="Times New Roman" w:cs="Times New Roman"/>
          <w:szCs w:val="20"/>
        </w:rPr>
      </w:pPr>
      <w:r w:rsidRPr="00FA3856">
        <w:rPr>
          <w:rFonts w:ascii="Times New Roman" w:hAnsi="Times New Roman" w:cs="Times New Roman"/>
          <w:szCs w:val="20"/>
        </w:rPr>
        <w:t>0000.SIT_ESPECIAL: 0 – Normal (Sem ocorrência de situação especial ou evento).</w:t>
      </w:r>
    </w:p>
    <w:p w:rsidR="00D0292A" w:rsidRPr="00B27216" w:rsidRDefault="00D0292A" w:rsidP="00B27216">
      <w:pPr>
        <w:pStyle w:val="NormalWeb"/>
        <w:shd w:val="clear" w:color="auto" w:fill="FFFFFF"/>
        <w:spacing w:before="0" w:after="0"/>
        <w:ind w:firstLine="708"/>
        <w:jc w:val="both"/>
        <w:rPr>
          <w:rFonts w:ascii="Times New Roman" w:hAnsi="Times New Roman" w:cs="Times New Roman"/>
          <w:szCs w:val="20"/>
        </w:rPr>
      </w:pPr>
    </w:p>
    <w:p w:rsidR="00D0292A" w:rsidRPr="00FA3856" w:rsidRDefault="00D0292A" w:rsidP="00867F54">
      <w:pPr>
        <w:pStyle w:val="Ttulo2"/>
      </w:pPr>
      <w:bookmarkStart w:id="18" w:name="_Toc479713632"/>
      <w:r w:rsidRPr="00FA3856">
        <w:t>1.17. Prejuízos Fiscais Acumulados de Períodos Anteriores</w:t>
      </w:r>
      <w:bookmarkEnd w:id="18"/>
    </w:p>
    <w:p w:rsidR="00D0292A" w:rsidRPr="00FA3856" w:rsidRDefault="00D0292A" w:rsidP="00D0292A">
      <w:pPr>
        <w:jc w:val="both"/>
        <w:rPr>
          <w:b/>
          <w:bCs/>
          <w:szCs w:val="20"/>
        </w:rPr>
      </w:pPr>
    </w:p>
    <w:p w:rsidR="00BB09D1" w:rsidRPr="00FA3856" w:rsidRDefault="00BB09D1" w:rsidP="00BB09D1">
      <w:pPr>
        <w:jc w:val="both"/>
        <w:rPr>
          <w:bCs/>
          <w:szCs w:val="20"/>
        </w:rPr>
      </w:pPr>
      <w:r w:rsidRPr="00FA3856">
        <w:rPr>
          <w:bCs/>
          <w:szCs w:val="20"/>
        </w:rPr>
        <w:tab/>
        <w:t xml:space="preserve">O registro de prejuízos fiscais acumulados de períodos anteriores deve ser feito da seguinte forma </w:t>
      </w:r>
      <w:r w:rsidRPr="00FA3856">
        <w:rPr>
          <w:b/>
          <w:bCs/>
          <w:szCs w:val="20"/>
        </w:rPr>
        <w:t>no registro M010:</w:t>
      </w:r>
    </w:p>
    <w:p w:rsidR="00BB09D1" w:rsidRPr="00FA3856" w:rsidRDefault="00BB09D1" w:rsidP="00BB09D1">
      <w:pPr>
        <w:jc w:val="both"/>
        <w:rPr>
          <w:bCs/>
          <w:szCs w:val="20"/>
        </w:rPr>
      </w:pPr>
    </w:p>
    <w:p w:rsidR="00BB09D1" w:rsidRPr="00FA3856" w:rsidRDefault="00BB09D1" w:rsidP="00BB09D1">
      <w:pPr>
        <w:jc w:val="both"/>
        <w:rPr>
          <w:bCs/>
          <w:szCs w:val="20"/>
        </w:rPr>
      </w:pPr>
      <w:r w:rsidRPr="00FA3856">
        <w:rPr>
          <w:bCs/>
          <w:szCs w:val="20"/>
        </w:rPr>
        <w:t xml:space="preserve">1 – </w:t>
      </w:r>
      <w:r w:rsidRPr="00FA3856">
        <w:rPr>
          <w:bCs/>
          <w:szCs w:val="20"/>
          <w:u w:val="single"/>
        </w:rPr>
        <w:t>Código da Conta</w:t>
      </w:r>
      <w:r w:rsidRPr="00FA3856">
        <w:rPr>
          <w:bCs/>
          <w:szCs w:val="20"/>
        </w:rPr>
        <w:t>: Código da conta de prejuízos fiscais acumulados de períodos anteriores, definido pela própria pessoa jurídica.</w:t>
      </w:r>
    </w:p>
    <w:p w:rsidR="00BB09D1" w:rsidRPr="00FA3856" w:rsidRDefault="00BB09D1" w:rsidP="00BB09D1">
      <w:pPr>
        <w:jc w:val="both"/>
        <w:rPr>
          <w:bCs/>
          <w:szCs w:val="20"/>
        </w:rPr>
      </w:pPr>
    </w:p>
    <w:p w:rsidR="00BB09D1" w:rsidRPr="00FA3856" w:rsidRDefault="00BB09D1" w:rsidP="00BB09D1">
      <w:pPr>
        <w:jc w:val="both"/>
        <w:rPr>
          <w:bCs/>
          <w:szCs w:val="20"/>
        </w:rPr>
      </w:pPr>
      <w:r w:rsidRPr="00FA3856">
        <w:rPr>
          <w:bCs/>
          <w:szCs w:val="20"/>
        </w:rPr>
        <w:t xml:space="preserve">2 – </w:t>
      </w:r>
      <w:r w:rsidRPr="00FA3856">
        <w:rPr>
          <w:bCs/>
          <w:szCs w:val="20"/>
          <w:u w:val="single"/>
        </w:rPr>
        <w:t>Descrição:</w:t>
      </w:r>
      <w:r w:rsidRPr="00FA3856">
        <w:rPr>
          <w:bCs/>
          <w:szCs w:val="20"/>
        </w:rPr>
        <w:t xml:space="preserve"> Descrição da conta, definida pela própria pessoa jurídica.</w:t>
      </w:r>
    </w:p>
    <w:p w:rsidR="00BB09D1" w:rsidRPr="00FA3856" w:rsidRDefault="00BB09D1" w:rsidP="00BB09D1">
      <w:pPr>
        <w:jc w:val="both"/>
        <w:rPr>
          <w:bCs/>
          <w:szCs w:val="20"/>
        </w:rPr>
      </w:pPr>
    </w:p>
    <w:p w:rsidR="00BB09D1" w:rsidRPr="00FA3856" w:rsidRDefault="00BB09D1" w:rsidP="00BB09D1">
      <w:pPr>
        <w:jc w:val="both"/>
        <w:rPr>
          <w:bCs/>
          <w:szCs w:val="20"/>
        </w:rPr>
      </w:pPr>
      <w:r w:rsidRPr="00FA3856">
        <w:rPr>
          <w:bCs/>
          <w:szCs w:val="20"/>
        </w:rPr>
        <w:t xml:space="preserve">3 – </w:t>
      </w:r>
      <w:r w:rsidRPr="00FA3856">
        <w:rPr>
          <w:bCs/>
          <w:szCs w:val="20"/>
          <w:u w:val="single"/>
        </w:rPr>
        <w:t>Data da Criação</w:t>
      </w:r>
      <w:r w:rsidRPr="00FA3856">
        <w:rPr>
          <w:bCs/>
          <w:szCs w:val="20"/>
        </w:rPr>
        <w:t>: Como a ECF inicia em 01/01/2014, pode ser utilizada 31/12/2013, como data da criação de contas da parte B com saldos antes do ano-calendário 2014.</w:t>
      </w:r>
    </w:p>
    <w:p w:rsidR="00BB09D1" w:rsidRPr="00FA3856" w:rsidRDefault="00BB09D1" w:rsidP="00BB09D1">
      <w:pPr>
        <w:jc w:val="both"/>
        <w:rPr>
          <w:bCs/>
          <w:szCs w:val="20"/>
        </w:rPr>
      </w:pPr>
    </w:p>
    <w:p w:rsidR="00BB09D1" w:rsidRPr="00FA3856" w:rsidRDefault="00BB09D1" w:rsidP="00BB09D1">
      <w:pPr>
        <w:jc w:val="both"/>
        <w:rPr>
          <w:bCs/>
          <w:szCs w:val="20"/>
        </w:rPr>
      </w:pPr>
      <w:r w:rsidRPr="00FA3856">
        <w:rPr>
          <w:bCs/>
          <w:szCs w:val="20"/>
        </w:rPr>
        <w:t xml:space="preserve">4 – </w:t>
      </w:r>
      <w:r w:rsidRPr="00FA3856">
        <w:rPr>
          <w:bCs/>
          <w:szCs w:val="20"/>
          <w:u w:val="single"/>
        </w:rPr>
        <w:t>Código de Lançamento de Origem da Conta</w:t>
      </w:r>
      <w:r w:rsidRPr="00FA3856">
        <w:rPr>
          <w:bCs/>
          <w:szCs w:val="20"/>
        </w:rPr>
        <w:t>: Não há (deixar em branco).</w:t>
      </w:r>
    </w:p>
    <w:p w:rsidR="00BB09D1" w:rsidRPr="00FA3856" w:rsidRDefault="00BB09D1" w:rsidP="00BB09D1">
      <w:pPr>
        <w:jc w:val="both"/>
        <w:rPr>
          <w:bCs/>
          <w:szCs w:val="20"/>
        </w:rPr>
      </w:pPr>
    </w:p>
    <w:p w:rsidR="00BB09D1" w:rsidRPr="00FA3856" w:rsidRDefault="00BB09D1" w:rsidP="00BB09D1">
      <w:pPr>
        <w:jc w:val="both"/>
        <w:rPr>
          <w:bCs/>
          <w:szCs w:val="20"/>
        </w:rPr>
      </w:pPr>
      <w:r w:rsidRPr="00FA3856">
        <w:rPr>
          <w:bCs/>
          <w:szCs w:val="20"/>
        </w:rPr>
        <w:t xml:space="preserve">5 – </w:t>
      </w:r>
      <w:r w:rsidRPr="00FA3856">
        <w:rPr>
          <w:bCs/>
          <w:szCs w:val="20"/>
          <w:u w:val="single"/>
        </w:rPr>
        <w:t>Data Limite para Uso do Saldo da Conta</w:t>
      </w:r>
      <w:r w:rsidRPr="00FA3856">
        <w:rPr>
          <w:bCs/>
          <w:szCs w:val="20"/>
        </w:rPr>
        <w:t>: Não há (deixar em branco).</w:t>
      </w:r>
    </w:p>
    <w:p w:rsidR="00BB09D1" w:rsidRPr="00FA3856" w:rsidRDefault="00BB09D1" w:rsidP="00BB09D1">
      <w:pPr>
        <w:jc w:val="both"/>
        <w:rPr>
          <w:bCs/>
          <w:szCs w:val="20"/>
        </w:rPr>
      </w:pPr>
    </w:p>
    <w:p w:rsidR="00BB09D1" w:rsidRPr="00FA3856" w:rsidRDefault="00BB09D1" w:rsidP="00BB09D1">
      <w:pPr>
        <w:jc w:val="both"/>
        <w:rPr>
          <w:bCs/>
          <w:szCs w:val="20"/>
        </w:rPr>
      </w:pPr>
      <w:r w:rsidRPr="00FA3856">
        <w:rPr>
          <w:bCs/>
          <w:szCs w:val="20"/>
        </w:rPr>
        <w:t xml:space="preserve">6 – </w:t>
      </w:r>
      <w:r w:rsidRPr="00FA3856">
        <w:rPr>
          <w:bCs/>
          <w:szCs w:val="20"/>
          <w:u w:val="single"/>
        </w:rPr>
        <w:t>Tipo de Tributo</w:t>
      </w:r>
      <w:r w:rsidRPr="00FA3856">
        <w:rPr>
          <w:bCs/>
          <w:szCs w:val="20"/>
        </w:rPr>
        <w:t xml:space="preserve">: </w:t>
      </w:r>
      <w:r w:rsidRPr="00FA3856">
        <w:rPr>
          <w:b/>
          <w:bCs/>
          <w:szCs w:val="20"/>
        </w:rPr>
        <w:t>I</w:t>
      </w:r>
      <w:r w:rsidRPr="00FA3856">
        <w:rPr>
          <w:bCs/>
          <w:szCs w:val="20"/>
        </w:rPr>
        <w:t xml:space="preserve"> (Imposto de Renda Pessoa Jurídica)</w:t>
      </w:r>
    </w:p>
    <w:p w:rsidR="00BB09D1" w:rsidRPr="00FA3856" w:rsidRDefault="00BB09D1" w:rsidP="00BB09D1">
      <w:pPr>
        <w:jc w:val="both"/>
        <w:rPr>
          <w:bCs/>
          <w:szCs w:val="20"/>
        </w:rPr>
      </w:pPr>
    </w:p>
    <w:p w:rsidR="00BB09D1" w:rsidRPr="00FA3856" w:rsidRDefault="00BB09D1" w:rsidP="00BB09D1">
      <w:pPr>
        <w:jc w:val="both"/>
        <w:rPr>
          <w:bCs/>
          <w:szCs w:val="20"/>
        </w:rPr>
      </w:pPr>
      <w:r w:rsidRPr="00FA3856">
        <w:rPr>
          <w:bCs/>
          <w:szCs w:val="20"/>
        </w:rPr>
        <w:t xml:space="preserve">7 – </w:t>
      </w:r>
      <w:r w:rsidRPr="00FA3856">
        <w:rPr>
          <w:bCs/>
          <w:szCs w:val="20"/>
          <w:u w:val="single"/>
        </w:rPr>
        <w:t>Saldo Inicial</w:t>
      </w:r>
      <w:r w:rsidRPr="00FA3856">
        <w:rPr>
          <w:bCs/>
          <w:szCs w:val="20"/>
        </w:rPr>
        <w:t>: Informar o saldo dos prejuízos acumulados de períodos anteriores.</w:t>
      </w:r>
    </w:p>
    <w:p w:rsidR="00BB09D1" w:rsidRPr="00FA3856" w:rsidRDefault="00BB09D1" w:rsidP="00BB09D1">
      <w:pPr>
        <w:jc w:val="both"/>
        <w:rPr>
          <w:bCs/>
          <w:szCs w:val="20"/>
        </w:rPr>
      </w:pPr>
    </w:p>
    <w:p w:rsidR="00BB09D1" w:rsidRPr="00FA3856" w:rsidRDefault="00BB09D1" w:rsidP="00BB09D1">
      <w:pPr>
        <w:jc w:val="both"/>
        <w:rPr>
          <w:bCs/>
          <w:szCs w:val="20"/>
        </w:rPr>
      </w:pPr>
      <w:r w:rsidRPr="00FA3856">
        <w:rPr>
          <w:bCs/>
          <w:szCs w:val="20"/>
        </w:rPr>
        <w:t xml:space="preserve">8 – </w:t>
      </w:r>
      <w:r w:rsidRPr="00FA3856">
        <w:rPr>
          <w:bCs/>
          <w:szCs w:val="20"/>
          <w:u w:val="single"/>
        </w:rPr>
        <w:t>Indicador do Saldo Inicial</w:t>
      </w:r>
      <w:r w:rsidRPr="00FA3856">
        <w:rPr>
          <w:bCs/>
          <w:szCs w:val="20"/>
        </w:rPr>
        <w:t xml:space="preserve">: </w:t>
      </w:r>
      <w:r w:rsidRPr="00FA3856">
        <w:rPr>
          <w:b/>
          <w:bCs/>
          <w:szCs w:val="20"/>
        </w:rPr>
        <w:t>D</w:t>
      </w:r>
      <w:r w:rsidRPr="00FA3856">
        <w:rPr>
          <w:bCs/>
          <w:szCs w:val="20"/>
        </w:rPr>
        <w:t xml:space="preserve"> (Para prejuízos ou valores que reduzam o lucro real ou a base de cálculo da contribuição social em períodos subsequentes).</w:t>
      </w:r>
    </w:p>
    <w:p w:rsidR="00BB09D1" w:rsidRPr="00FA3856" w:rsidRDefault="00BB09D1" w:rsidP="00BB09D1">
      <w:pPr>
        <w:jc w:val="both"/>
        <w:rPr>
          <w:bCs/>
          <w:szCs w:val="20"/>
        </w:rPr>
      </w:pPr>
    </w:p>
    <w:p w:rsidR="00BB09D1" w:rsidRPr="00FA3856" w:rsidRDefault="00BB09D1" w:rsidP="00BB09D1">
      <w:pPr>
        <w:jc w:val="both"/>
        <w:rPr>
          <w:bCs/>
          <w:szCs w:val="20"/>
        </w:rPr>
      </w:pPr>
      <w:r w:rsidRPr="00FA3856">
        <w:rPr>
          <w:bCs/>
          <w:szCs w:val="20"/>
        </w:rPr>
        <w:t xml:space="preserve">9 – </w:t>
      </w:r>
      <w:r w:rsidRPr="00FA3856">
        <w:rPr>
          <w:bCs/>
          <w:szCs w:val="20"/>
          <w:u w:val="single"/>
        </w:rPr>
        <w:t>CNPJ</w:t>
      </w:r>
      <w:r w:rsidRPr="00FA3856">
        <w:rPr>
          <w:bCs/>
          <w:szCs w:val="20"/>
        </w:rPr>
        <w:t xml:space="preserve">: Preencher somente no caso da conta Prejuízos Fiscais Acumulados de Períodos Anteriores estarem relacionados a outra pessoa jurídica. </w:t>
      </w:r>
    </w:p>
    <w:p w:rsidR="00D0292A" w:rsidRPr="00FA3856" w:rsidRDefault="00D0292A" w:rsidP="00D0292A">
      <w:pPr>
        <w:jc w:val="both"/>
        <w:rPr>
          <w:b/>
          <w:bCs/>
          <w:szCs w:val="20"/>
        </w:rPr>
      </w:pPr>
    </w:p>
    <w:p w:rsidR="00787CA0" w:rsidRDefault="00787CA0">
      <w:pPr>
        <w:spacing w:after="200" w:line="276" w:lineRule="auto"/>
        <w:rPr>
          <w:b/>
          <w:bCs/>
          <w:color w:val="0000FF"/>
          <w:szCs w:val="20"/>
        </w:rPr>
      </w:pPr>
      <w:r>
        <w:rPr>
          <w:color w:val="0000FF"/>
          <w:szCs w:val="20"/>
        </w:rPr>
        <w:br w:type="page"/>
      </w:r>
    </w:p>
    <w:p w:rsidR="00D0292A" w:rsidRPr="00FA3856" w:rsidRDefault="00D0292A" w:rsidP="00867F54">
      <w:pPr>
        <w:pStyle w:val="Ttulo2"/>
      </w:pPr>
      <w:bookmarkStart w:id="19" w:name="_Toc479713633"/>
      <w:r w:rsidRPr="00FA3856">
        <w:lastRenderedPageBreak/>
        <w:t>1.18. Bases de Cálculo Negativas Acumuladas de Períodos Anteriores</w:t>
      </w:r>
      <w:bookmarkEnd w:id="19"/>
    </w:p>
    <w:p w:rsidR="00D0292A" w:rsidRPr="00FA3856" w:rsidRDefault="00D0292A" w:rsidP="00D0292A">
      <w:pPr>
        <w:jc w:val="both"/>
        <w:rPr>
          <w:b/>
          <w:bCs/>
          <w:szCs w:val="20"/>
        </w:rPr>
      </w:pPr>
    </w:p>
    <w:p w:rsidR="00BB09D1" w:rsidRPr="00FA3856" w:rsidRDefault="00BB09D1" w:rsidP="00BB09D1">
      <w:pPr>
        <w:jc w:val="both"/>
        <w:rPr>
          <w:bCs/>
          <w:szCs w:val="20"/>
        </w:rPr>
      </w:pPr>
      <w:r w:rsidRPr="00FA3856">
        <w:rPr>
          <w:bCs/>
          <w:szCs w:val="20"/>
        </w:rPr>
        <w:tab/>
        <w:t xml:space="preserve">O registro de bases de cálculos negativas acumuladas de períodos anteriores deve ser feito da seguinte forma </w:t>
      </w:r>
      <w:r w:rsidRPr="00FA3856">
        <w:rPr>
          <w:b/>
          <w:bCs/>
          <w:szCs w:val="20"/>
        </w:rPr>
        <w:t>no registro M010:</w:t>
      </w:r>
    </w:p>
    <w:p w:rsidR="00BB09D1" w:rsidRPr="00FA3856" w:rsidRDefault="00BB09D1" w:rsidP="00BB09D1">
      <w:pPr>
        <w:jc w:val="both"/>
        <w:rPr>
          <w:bCs/>
          <w:szCs w:val="20"/>
        </w:rPr>
      </w:pPr>
    </w:p>
    <w:p w:rsidR="00BB09D1" w:rsidRPr="00FA3856" w:rsidRDefault="00BB09D1" w:rsidP="00BB09D1">
      <w:pPr>
        <w:jc w:val="both"/>
        <w:rPr>
          <w:bCs/>
          <w:szCs w:val="20"/>
        </w:rPr>
      </w:pPr>
      <w:r w:rsidRPr="00FA3856">
        <w:rPr>
          <w:bCs/>
          <w:szCs w:val="20"/>
        </w:rPr>
        <w:t xml:space="preserve">1 – </w:t>
      </w:r>
      <w:r w:rsidRPr="00FA3856">
        <w:rPr>
          <w:bCs/>
          <w:szCs w:val="20"/>
          <w:u w:val="single"/>
        </w:rPr>
        <w:t>Código da Conta</w:t>
      </w:r>
      <w:r w:rsidRPr="00FA3856">
        <w:rPr>
          <w:bCs/>
          <w:szCs w:val="20"/>
        </w:rPr>
        <w:t>: Código da conta de bases de cálculo negativas de períodos anteriores, definido pela própria pessoa jurídica.</w:t>
      </w:r>
    </w:p>
    <w:p w:rsidR="00BB09D1" w:rsidRPr="00FA3856" w:rsidRDefault="00BB09D1" w:rsidP="00BB09D1">
      <w:pPr>
        <w:jc w:val="both"/>
        <w:rPr>
          <w:bCs/>
          <w:szCs w:val="20"/>
        </w:rPr>
      </w:pPr>
    </w:p>
    <w:p w:rsidR="00BB09D1" w:rsidRPr="00FA3856" w:rsidRDefault="00BB09D1" w:rsidP="00BB09D1">
      <w:pPr>
        <w:jc w:val="both"/>
        <w:rPr>
          <w:bCs/>
          <w:szCs w:val="20"/>
        </w:rPr>
      </w:pPr>
      <w:r w:rsidRPr="00FA3856">
        <w:rPr>
          <w:bCs/>
          <w:szCs w:val="20"/>
        </w:rPr>
        <w:t xml:space="preserve">2 – </w:t>
      </w:r>
      <w:r w:rsidRPr="00FA3856">
        <w:rPr>
          <w:bCs/>
          <w:szCs w:val="20"/>
          <w:u w:val="single"/>
        </w:rPr>
        <w:t>Descrição</w:t>
      </w:r>
      <w:r w:rsidRPr="00FA3856">
        <w:rPr>
          <w:bCs/>
          <w:szCs w:val="20"/>
        </w:rPr>
        <w:t>: Descrição da conta, definida pela própria pessoa jurídica.</w:t>
      </w:r>
    </w:p>
    <w:p w:rsidR="00BB09D1" w:rsidRPr="00FA3856" w:rsidRDefault="00BB09D1" w:rsidP="00BB09D1">
      <w:pPr>
        <w:jc w:val="both"/>
        <w:rPr>
          <w:bCs/>
          <w:szCs w:val="20"/>
        </w:rPr>
      </w:pPr>
    </w:p>
    <w:p w:rsidR="00BB09D1" w:rsidRPr="00FA3856" w:rsidRDefault="00BB09D1" w:rsidP="00BB09D1">
      <w:pPr>
        <w:jc w:val="both"/>
        <w:rPr>
          <w:bCs/>
          <w:szCs w:val="20"/>
        </w:rPr>
      </w:pPr>
      <w:r w:rsidRPr="00FA3856">
        <w:rPr>
          <w:bCs/>
          <w:szCs w:val="20"/>
        </w:rPr>
        <w:t xml:space="preserve">3 – </w:t>
      </w:r>
      <w:r w:rsidRPr="00FA3856">
        <w:rPr>
          <w:bCs/>
          <w:szCs w:val="20"/>
          <w:u w:val="single"/>
        </w:rPr>
        <w:t>Data da Criação</w:t>
      </w:r>
      <w:r w:rsidRPr="00FA3856">
        <w:rPr>
          <w:bCs/>
          <w:szCs w:val="20"/>
        </w:rPr>
        <w:t>: Como a ECF inicia em 01/01/2014, pode ser utilizada 31/12/2013, como data da criação de contas da parte B com saldos antes do ano-calendário 2014.</w:t>
      </w:r>
    </w:p>
    <w:p w:rsidR="00BB09D1" w:rsidRPr="00FA3856" w:rsidRDefault="00BB09D1" w:rsidP="00BB09D1">
      <w:pPr>
        <w:jc w:val="both"/>
        <w:rPr>
          <w:bCs/>
          <w:szCs w:val="20"/>
        </w:rPr>
      </w:pPr>
    </w:p>
    <w:p w:rsidR="00BB09D1" w:rsidRPr="00FA3856" w:rsidRDefault="00BB09D1" w:rsidP="00BB09D1">
      <w:pPr>
        <w:jc w:val="both"/>
        <w:rPr>
          <w:bCs/>
          <w:szCs w:val="20"/>
        </w:rPr>
      </w:pPr>
      <w:r w:rsidRPr="00FA3856">
        <w:rPr>
          <w:bCs/>
          <w:szCs w:val="20"/>
        </w:rPr>
        <w:t xml:space="preserve">4 – </w:t>
      </w:r>
      <w:r w:rsidRPr="00FA3856">
        <w:rPr>
          <w:bCs/>
          <w:szCs w:val="20"/>
          <w:u w:val="single"/>
        </w:rPr>
        <w:t>Código de Lançamento de Origem da Conta</w:t>
      </w:r>
      <w:r w:rsidRPr="00FA3856">
        <w:rPr>
          <w:bCs/>
          <w:szCs w:val="20"/>
        </w:rPr>
        <w:t>: Não há (deixar em branco).</w:t>
      </w:r>
    </w:p>
    <w:p w:rsidR="00BB09D1" w:rsidRPr="00FA3856" w:rsidRDefault="00BB09D1" w:rsidP="00BB09D1">
      <w:pPr>
        <w:jc w:val="both"/>
        <w:rPr>
          <w:bCs/>
          <w:szCs w:val="20"/>
        </w:rPr>
      </w:pPr>
    </w:p>
    <w:p w:rsidR="00BB09D1" w:rsidRPr="00FA3856" w:rsidRDefault="00BB09D1" w:rsidP="00BB09D1">
      <w:pPr>
        <w:jc w:val="both"/>
        <w:rPr>
          <w:bCs/>
          <w:szCs w:val="20"/>
        </w:rPr>
      </w:pPr>
      <w:r w:rsidRPr="00FA3856">
        <w:rPr>
          <w:bCs/>
          <w:szCs w:val="20"/>
        </w:rPr>
        <w:t xml:space="preserve">5 – </w:t>
      </w:r>
      <w:r w:rsidRPr="00FA3856">
        <w:rPr>
          <w:bCs/>
          <w:szCs w:val="20"/>
          <w:u w:val="single"/>
        </w:rPr>
        <w:t>Data Limite para Uso do Saldo da Conta</w:t>
      </w:r>
      <w:r w:rsidRPr="00FA3856">
        <w:rPr>
          <w:bCs/>
          <w:szCs w:val="20"/>
        </w:rPr>
        <w:t>: Não há (deixar em branco).</w:t>
      </w:r>
    </w:p>
    <w:p w:rsidR="00BB09D1" w:rsidRPr="00FA3856" w:rsidRDefault="00BB09D1" w:rsidP="00BB09D1">
      <w:pPr>
        <w:jc w:val="both"/>
        <w:rPr>
          <w:bCs/>
          <w:szCs w:val="20"/>
        </w:rPr>
      </w:pPr>
    </w:p>
    <w:p w:rsidR="00BB09D1" w:rsidRPr="00FA3856" w:rsidRDefault="00BB09D1" w:rsidP="00BB09D1">
      <w:pPr>
        <w:jc w:val="both"/>
        <w:rPr>
          <w:bCs/>
          <w:szCs w:val="20"/>
        </w:rPr>
      </w:pPr>
      <w:r w:rsidRPr="00FA3856">
        <w:rPr>
          <w:bCs/>
          <w:szCs w:val="20"/>
        </w:rPr>
        <w:t xml:space="preserve">6 – </w:t>
      </w:r>
      <w:r w:rsidRPr="00FA3856">
        <w:rPr>
          <w:bCs/>
          <w:szCs w:val="20"/>
          <w:u w:val="single"/>
        </w:rPr>
        <w:t>Tipo de Tributo</w:t>
      </w:r>
      <w:r w:rsidRPr="00FA3856">
        <w:rPr>
          <w:bCs/>
          <w:szCs w:val="20"/>
        </w:rPr>
        <w:t xml:space="preserve">: </w:t>
      </w:r>
      <w:r w:rsidRPr="00FA3856">
        <w:rPr>
          <w:b/>
          <w:bCs/>
          <w:szCs w:val="20"/>
        </w:rPr>
        <w:t>C</w:t>
      </w:r>
      <w:r w:rsidRPr="00FA3856">
        <w:rPr>
          <w:bCs/>
          <w:szCs w:val="20"/>
        </w:rPr>
        <w:t xml:space="preserve"> (Contribuição Social Sobre o Lucro Líquido)</w:t>
      </w:r>
    </w:p>
    <w:p w:rsidR="00BB09D1" w:rsidRPr="00FA3856" w:rsidRDefault="00BB09D1" w:rsidP="00BB09D1">
      <w:pPr>
        <w:jc w:val="both"/>
        <w:rPr>
          <w:bCs/>
          <w:szCs w:val="20"/>
        </w:rPr>
      </w:pPr>
    </w:p>
    <w:p w:rsidR="00BB09D1" w:rsidRPr="00FA3856" w:rsidRDefault="00BB09D1" w:rsidP="00BB09D1">
      <w:pPr>
        <w:jc w:val="both"/>
        <w:rPr>
          <w:bCs/>
          <w:szCs w:val="20"/>
        </w:rPr>
      </w:pPr>
      <w:r w:rsidRPr="00FA3856">
        <w:rPr>
          <w:bCs/>
          <w:szCs w:val="20"/>
        </w:rPr>
        <w:t xml:space="preserve">7 – </w:t>
      </w:r>
      <w:r w:rsidRPr="00FA3856">
        <w:rPr>
          <w:bCs/>
          <w:szCs w:val="20"/>
          <w:u w:val="single"/>
        </w:rPr>
        <w:t>Saldo Inicial</w:t>
      </w:r>
      <w:r w:rsidRPr="00FA3856">
        <w:rPr>
          <w:bCs/>
          <w:szCs w:val="20"/>
        </w:rPr>
        <w:t>: Informar o saldo de base de cálculo negativa de períodos anteriores.</w:t>
      </w:r>
    </w:p>
    <w:p w:rsidR="00BB09D1" w:rsidRPr="00FA3856" w:rsidRDefault="00BB09D1" w:rsidP="00BB09D1">
      <w:pPr>
        <w:jc w:val="both"/>
        <w:rPr>
          <w:bCs/>
          <w:szCs w:val="20"/>
        </w:rPr>
      </w:pPr>
    </w:p>
    <w:p w:rsidR="00BB09D1" w:rsidRPr="00FA3856" w:rsidRDefault="00BB09D1" w:rsidP="00BB09D1">
      <w:pPr>
        <w:jc w:val="both"/>
        <w:rPr>
          <w:bCs/>
          <w:szCs w:val="20"/>
        </w:rPr>
      </w:pPr>
      <w:r w:rsidRPr="00FA3856">
        <w:rPr>
          <w:bCs/>
          <w:szCs w:val="20"/>
        </w:rPr>
        <w:t xml:space="preserve">8 – </w:t>
      </w:r>
      <w:r w:rsidRPr="00FA3856">
        <w:rPr>
          <w:bCs/>
          <w:szCs w:val="20"/>
          <w:u w:val="single"/>
        </w:rPr>
        <w:t>Indicado do Saldo Inicial</w:t>
      </w:r>
      <w:r w:rsidRPr="00FA3856">
        <w:rPr>
          <w:bCs/>
          <w:szCs w:val="20"/>
        </w:rPr>
        <w:t xml:space="preserve">: </w:t>
      </w:r>
      <w:r w:rsidRPr="00FA3856">
        <w:rPr>
          <w:b/>
          <w:bCs/>
          <w:szCs w:val="20"/>
        </w:rPr>
        <w:t>D</w:t>
      </w:r>
      <w:r w:rsidRPr="00FA3856">
        <w:rPr>
          <w:bCs/>
          <w:szCs w:val="20"/>
        </w:rPr>
        <w:t xml:space="preserve"> (Para prejuízos ou valores que reduzam o lucro real ou a base de cálculo da contribuição social em períodos subsequentes).</w:t>
      </w:r>
    </w:p>
    <w:p w:rsidR="00BB09D1" w:rsidRPr="00FA3856" w:rsidRDefault="00BB09D1" w:rsidP="00BB09D1">
      <w:pPr>
        <w:jc w:val="both"/>
        <w:rPr>
          <w:bCs/>
          <w:szCs w:val="20"/>
        </w:rPr>
      </w:pPr>
    </w:p>
    <w:p w:rsidR="00BB09D1" w:rsidRPr="00FA3856" w:rsidRDefault="00BB09D1" w:rsidP="00BB09D1">
      <w:pPr>
        <w:jc w:val="both"/>
        <w:rPr>
          <w:bCs/>
          <w:szCs w:val="20"/>
        </w:rPr>
      </w:pPr>
      <w:r w:rsidRPr="00FA3856">
        <w:rPr>
          <w:bCs/>
          <w:szCs w:val="20"/>
        </w:rPr>
        <w:t xml:space="preserve">9 – </w:t>
      </w:r>
      <w:r w:rsidRPr="00FA3856">
        <w:rPr>
          <w:bCs/>
          <w:szCs w:val="20"/>
          <w:u w:val="single"/>
        </w:rPr>
        <w:t>CNPJ</w:t>
      </w:r>
      <w:r w:rsidRPr="00FA3856">
        <w:rPr>
          <w:bCs/>
          <w:szCs w:val="20"/>
        </w:rPr>
        <w:t xml:space="preserve">: Preencher no caso da conta Base de Cálculo Negativa Acumulada de Períodos Anteriores estar relacionada a outra pessoa jurídica. </w:t>
      </w:r>
    </w:p>
    <w:p w:rsidR="00D0292A" w:rsidRPr="00FA3856" w:rsidRDefault="00D0292A" w:rsidP="00CE3C5B">
      <w:pPr>
        <w:pStyle w:val="NormalWeb"/>
        <w:shd w:val="clear" w:color="auto" w:fill="FFFFFF"/>
        <w:spacing w:before="0" w:after="0"/>
        <w:jc w:val="both"/>
        <w:rPr>
          <w:rFonts w:ascii="Times New Roman" w:hAnsi="Times New Roman" w:cs="Times New Roman"/>
          <w:szCs w:val="20"/>
        </w:rPr>
      </w:pPr>
    </w:p>
    <w:p w:rsidR="00CE3C5B" w:rsidRPr="00FA3856" w:rsidRDefault="00CE3C5B" w:rsidP="00867F54">
      <w:pPr>
        <w:pStyle w:val="Ttulo2"/>
      </w:pPr>
      <w:bookmarkStart w:id="20" w:name="_Toc479713634"/>
      <w:r w:rsidRPr="00FA3856">
        <w:t>1.19. Situações Especiais de 2014 e Sociedades em Conta de Participação (SCP)</w:t>
      </w:r>
      <w:bookmarkEnd w:id="20"/>
    </w:p>
    <w:p w:rsidR="00CE3C5B" w:rsidRPr="00FA3856" w:rsidRDefault="00CE3C5B" w:rsidP="00CE3C5B">
      <w:pPr>
        <w:shd w:val="clear" w:color="auto" w:fill="FFFFFF"/>
        <w:spacing w:before="240" w:after="240"/>
        <w:ind w:left="600" w:right="600"/>
        <w:jc w:val="both"/>
        <w:rPr>
          <w:szCs w:val="20"/>
        </w:rPr>
      </w:pPr>
      <w:r w:rsidRPr="00FA3856">
        <w:rPr>
          <w:szCs w:val="20"/>
        </w:rPr>
        <w:t>As situações especiais (cisão, fusão, incorporação, etc.) que ocorrerem em 2014 devem ser entregues por meio da Declaração de Informações Econômico-Fiscais da Pessoa Jurídica (DIPJ).</w:t>
      </w:r>
    </w:p>
    <w:p w:rsidR="00CE3C5B" w:rsidRPr="00FA3856" w:rsidRDefault="00CE3C5B" w:rsidP="00CE3C5B">
      <w:pPr>
        <w:shd w:val="clear" w:color="auto" w:fill="FFFFFF"/>
        <w:spacing w:before="240" w:after="240"/>
        <w:ind w:left="600" w:right="600"/>
        <w:jc w:val="both"/>
        <w:rPr>
          <w:szCs w:val="20"/>
        </w:rPr>
      </w:pPr>
      <w:r w:rsidRPr="00FA3856">
        <w:rPr>
          <w:szCs w:val="20"/>
        </w:rPr>
        <w:t>A Escrituração Contábil Fiscal (ECF) somente será utilizada para transmissão de situações especiais de 2015 em diante.</w:t>
      </w:r>
    </w:p>
    <w:p w:rsidR="00CE3C5B" w:rsidRPr="00FA3856" w:rsidRDefault="00CE3C5B" w:rsidP="00CE3C5B">
      <w:pPr>
        <w:ind w:firstLine="600"/>
        <w:jc w:val="both"/>
        <w:rPr>
          <w:bCs/>
          <w:szCs w:val="20"/>
        </w:rPr>
      </w:pPr>
      <w:r w:rsidRPr="00FA3856">
        <w:rPr>
          <w:bCs/>
          <w:szCs w:val="20"/>
        </w:rPr>
        <w:t xml:space="preserve">Há que se ressaltar que, no caso de Sociedades em Conta de Participação (SCP) que foram extintas ao longo do 2014, não havia obrigatoriedade de entrega da DIPJ por SCP e também não há obrigatoriedade de entrega da ECF. Somente as SCP existentes em 31/12/2014 deverão entregar a ECF relativa ao ano-calendário 2014. </w:t>
      </w:r>
    </w:p>
    <w:p w:rsidR="00CE3C5B" w:rsidRPr="00FA3856" w:rsidRDefault="00CE3C5B" w:rsidP="00CE3C5B">
      <w:pPr>
        <w:ind w:firstLine="600"/>
        <w:jc w:val="both"/>
        <w:rPr>
          <w:bCs/>
          <w:szCs w:val="20"/>
        </w:rPr>
      </w:pPr>
    </w:p>
    <w:p w:rsidR="00CE3C5B" w:rsidRPr="00FA3856" w:rsidRDefault="00CE3C5B" w:rsidP="00CE3C5B">
      <w:pPr>
        <w:ind w:firstLine="600"/>
        <w:jc w:val="both"/>
        <w:rPr>
          <w:bCs/>
          <w:szCs w:val="20"/>
        </w:rPr>
      </w:pPr>
      <w:r w:rsidRPr="00FA3856">
        <w:rPr>
          <w:bCs/>
          <w:szCs w:val="20"/>
        </w:rPr>
        <w:t>A partir do ano-calendário 2015, todas as SCP entregam a ECF, inclusive as que forem extintas ao longo do ano da escrituração.</w:t>
      </w:r>
    </w:p>
    <w:p w:rsidR="0055350B" w:rsidRPr="00FA3856" w:rsidRDefault="0055350B" w:rsidP="00CD549B">
      <w:pPr>
        <w:pStyle w:val="NormalWeb"/>
        <w:shd w:val="clear" w:color="auto" w:fill="FFFFFF"/>
        <w:spacing w:before="0" w:after="0"/>
        <w:ind w:firstLine="708"/>
        <w:jc w:val="both"/>
        <w:rPr>
          <w:rFonts w:ascii="Times New Roman" w:hAnsi="Times New Roman" w:cs="Times New Roman"/>
          <w:szCs w:val="20"/>
        </w:rPr>
      </w:pPr>
    </w:p>
    <w:p w:rsidR="00787CA0" w:rsidRDefault="00787CA0">
      <w:pPr>
        <w:spacing w:after="200" w:line="276" w:lineRule="auto"/>
        <w:rPr>
          <w:b/>
          <w:bCs/>
          <w:color w:val="0000FF"/>
          <w:szCs w:val="20"/>
        </w:rPr>
      </w:pPr>
      <w:r>
        <w:rPr>
          <w:color w:val="0000FF"/>
          <w:szCs w:val="20"/>
        </w:rPr>
        <w:br w:type="page"/>
      </w:r>
    </w:p>
    <w:p w:rsidR="00C87D9C" w:rsidRPr="00FA3856" w:rsidRDefault="00C87D9C" w:rsidP="00867F54">
      <w:pPr>
        <w:pStyle w:val="Ttulo2"/>
      </w:pPr>
      <w:bookmarkStart w:id="21" w:name="_Toc479713635"/>
      <w:r w:rsidRPr="00FA3856">
        <w:lastRenderedPageBreak/>
        <w:t>1.20. Contas Contábeis Mapeadas para Mais de um Conta Referencial</w:t>
      </w:r>
      <w:bookmarkEnd w:id="21"/>
    </w:p>
    <w:p w:rsidR="00C87D9C" w:rsidRPr="00FA3856" w:rsidRDefault="00C87D9C" w:rsidP="00CD549B">
      <w:pPr>
        <w:pStyle w:val="NormalWeb"/>
        <w:shd w:val="clear" w:color="auto" w:fill="FFFFFF"/>
        <w:spacing w:before="0" w:after="0"/>
        <w:ind w:firstLine="708"/>
        <w:jc w:val="both"/>
        <w:rPr>
          <w:rFonts w:ascii="Times New Roman" w:hAnsi="Times New Roman" w:cs="Times New Roman"/>
          <w:szCs w:val="20"/>
        </w:rPr>
      </w:pPr>
    </w:p>
    <w:p w:rsidR="00C87D9C" w:rsidRPr="00FA3856" w:rsidRDefault="00C87D9C" w:rsidP="00C87D9C">
      <w:pPr>
        <w:ind w:firstLine="600"/>
        <w:jc w:val="both"/>
        <w:rPr>
          <w:bCs/>
          <w:szCs w:val="20"/>
        </w:rPr>
      </w:pPr>
      <w:r w:rsidRPr="00FA3856">
        <w:rPr>
          <w:bCs/>
          <w:szCs w:val="20"/>
        </w:rPr>
        <w:t>Quando uma conta contábil é mapeada para mais de uma conta referencial, esse mapeamento é relativo ao saldo final</w:t>
      </w:r>
      <w:r w:rsidR="00D53FBA">
        <w:rPr>
          <w:bCs/>
          <w:szCs w:val="20"/>
        </w:rPr>
        <w:t xml:space="preserve"> (que deve ser preenchido nos registros K156 e K356)</w:t>
      </w:r>
      <w:r w:rsidRPr="00FA3856">
        <w:rPr>
          <w:bCs/>
          <w:szCs w:val="20"/>
        </w:rPr>
        <w:t>, ou seja, o programa da ECF não pode preencher automaticamente o saldo inicial das contas referenciais nos balanços patrimoniais (L100: Lucro Real, P100: Lucro Presumido, U100: Imunes e isentas), pois não há como saber qual é a proporção do saldo inicial da conta contábil que foi mapeado para cada uma das contas referenciais.</w:t>
      </w:r>
    </w:p>
    <w:p w:rsidR="00C87D9C" w:rsidRPr="00FA3856" w:rsidRDefault="00C87D9C" w:rsidP="00C87D9C">
      <w:pPr>
        <w:ind w:firstLine="600"/>
        <w:jc w:val="both"/>
        <w:rPr>
          <w:bCs/>
          <w:szCs w:val="20"/>
        </w:rPr>
      </w:pPr>
    </w:p>
    <w:p w:rsidR="00C87D9C" w:rsidRPr="00FA3856" w:rsidRDefault="00C87D9C" w:rsidP="00C87D9C">
      <w:pPr>
        <w:ind w:firstLine="600"/>
        <w:jc w:val="both"/>
        <w:rPr>
          <w:bCs/>
          <w:szCs w:val="20"/>
        </w:rPr>
      </w:pPr>
      <w:r w:rsidRPr="00FA3856">
        <w:rPr>
          <w:bCs/>
          <w:szCs w:val="20"/>
        </w:rPr>
        <w:t>No caso contas contábeis de resultado não há problema, pois o saldo inicial no período de apuração é zero. Contudo, no caso das contas contábeis patrimoniais, o programa da ECF recupera o mapeamento da ECD, mas deixa o saldo inicial das contas referenciais em branco nos registros L100, P100 ou U100 para que a pessoa jurídica preencha com a proporcionalidade correta.</w:t>
      </w:r>
    </w:p>
    <w:p w:rsidR="00C87D9C" w:rsidRPr="00FA3856" w:rsidRDefault="00C87D9C" w:rsidP="00C87D9C">
      <w:pPr>
        <w:ind w:firstLine="600"/>
        <w:jc w:val="both"/>
        <w:rPr>
          <w:bCs/>
          <w:szCs w:val="20"/>
        </w:rPr>
      </w:pPr>
    </w:p>
    <w:p w:rsidR="00C87D9C" w:rsidRPr="00FA3856" w:rsidRDefault="00C87D9C" w:rsidP="00C87D9C">
      <w:pPr>
        <w:jc w:val="both"/>
        <w:rPr>
          <w:bCs/>
          <w:szCs w:val="20"/>
        </w:rPr>
      </w:pPr>
      <w:r w:rsidRPr="00FA3856">
        <w:rPr>
          <w:b/>
          <w:bCs/>
          <w:szCs w:val="20"/>
        </w:rPr>
        <w:t xml:space="preserve">Exemplo: </w:t>
      </w:r>
      <w:r w:rsidRPr="00FA3856">
        <w:rPr>
          <w:bCs/>
          <w:szCs w:val="20"/>
        </w:rPr>
        <w:t>Empresa tributada pelo lucro real.</w:t>
      </w:r>
    </w:p>
    <w:p w:rsidR="00C87D9C" w:rsidRPr="00FA3856" w:rsidRDefault="00C87D9C" w:rsidP="00C87D9C">
      <w:pPr>
        <w:jc w:val="both"/>
        <w:rPr>
          <w:bCs/>
          <w:szCs w:val="20"/>
        </w:rPr>
      </w:pPr>
      <w:r w:rsidRPr="00FA3856">
        <w:rPr>
          <w:bCs/>
          <w:szCs w:val="20"/>
        </w:rPr>
        <w:t>Conta Contábil Patrimonial (CC1) = R$ 100.000,00</w:t>
      </w:r>
    </w:p>
    <w:p w:rsidR="00C87D9C" w:rsidRPr="00FA3856" w:rsidRDefault="00C87D9C" w:rsidP="00C87D9C">
      <w:pPr>
        <w:jc w:val="both"/>
        <w:rPr>
          <w:bCs/>
          <w:szCs w:val="20"/>
        </w:rPr>
      </w:pPr>
      <w:r w:rsidRPr="00FA3856">
        <w:rPr>
          <w:bCs/>
          <w:szCs w:val="20"/>
        </w:rPr>
        <w:t>Foi mapeada, na ECD, para as contas referenciais patrimoniais CR1 e CR2. O mapeamento do saldo final foi:</w:t>
      </w:r>
    </w:p>
    <w:p w:rsidR="00C87D9C" w:rsidRPr="00FA3856" w:rsidRDefault="00C87D9C" w:rsidP="00C87D9C">
      <w:pPr>
        <w:jc w:val="both"/>
        <w:rPr>
          <w:bCs/>
          <w:szCs w:val="20"/>
        </w:rPr>
      </w:pPr>
    </w:p>
    <w:p w:rsidR="00C87D9C" w:rsidRPr="00FA3856" w:rsidRDefault="00C87D9C" w:rsidP="00C87D9C">
      <w:pPr>
        <w:jc w:val="both"/>
        <w:rPr>
          <w:bCs/>
          <w:szCs w:val="20"/>
        </w:rPr>
      </w:pPr>
      <w:r w:rsidRPr="00FA3856">
        <w:rPr>
          <w:bCs/>
          <w:szCs w:val="20"/>
        </w:rPr>
        <w:t xml:space="preserve">CC1 </w:t>
      </w:r>
      <w:r w:rsidRPr="00FA3856">
        <w:rPr>
          <w:bCs/>
          <w:szCs w:val="20"/>
        </w:rPr>
        <w:sym w:font="Wingdings" w:char="F0E8"/>
      </w:r>
      <w:r w:rsidRPr="00FA3856">
        <w:rPr>
          <w:bCs/>
          <w:szCs w:val="20"/>
        </w:rPr>
        <w:t xml:space="preserve"> CR1 = R$ 40.000,00 (Saldo Final)</w:t>
      </w:r>
    </w:p>
    <w:p w:rsidR="00C87D9C" w:rsidRPr="00FA3856" w:rsidRDefault="00C87D9C" w:rsidP="00C87D9C">
      <w:pPr>
        <w:jc w:val="both"/>
        <w:rPr>
          <w:bCs/>
          <w:szCs w:val="20"/>
        </w:rPr>
      </w:pPr>
      <w:r w:rsidRPr="00FA3856">
        <w:rPr>
          <w:bCs/>
          <w:szCs w:val="20"/>
        </w:rPr>
        <w:t xml:space="preserve">CC1 </w:t>
      </w:r>
      <w:r w:rsidRPr="00FA3856">
        <w:rPr>
          <w:bCs/>
          <w:szCs w:val="20"/>
        </w:rPr>
        <w:sym w:font="Wingdings" w:char="F0E8"/>
      </w:r>
      <w:r w:rsidRPr="00FA3856">
        <w:rPr>
          <w:bCs/>
          <w:szCs w:val="20"/>
        </w:rPr>
        <w:t xml:space="preserve"> CR2 = R$ 100.000,00 (Saldo Final)</w:t>
      </w:r>
    </w:p>
    <w:p w:rsidR="00C87D9C" w:rsidRPr="00FA3856" w:rsidRDefault="00C87D9C" w:rsidP="00C87D9C">
      <w:pPr>
        <w:jc w:val="both"/>
        <w:rPr>
          <w:b/>
          <w:bCs/>
          <w:szCs w:val="20"/>
        </w:rPr>
      </w:pPr>
    </w:p>
    <w:p w:rsidR="00C87D9C" w:rsidRDefault="00C87D9C" w:rsidP="00D53FBA">
      <w:pPr>
        <w:ind w:firstLine="708"/>
        <w:jc w:val="both"/>
        <w:rPr>
          <w:bCs/>
          <w:szCs w:val="20"/>
        </w:rPr>
      </w:pPr>
      <w:r w:rsidRPr="00FA3856">
        <w:rPr>
          <w:bCs/>
          <w:szCs w:val="20"/>
        </w:rPr>
        <w:t xml:space="preserve">No registro </w:t>
      </w:r>
      <w:r w:rsidR="00D53FBA">
        <w:rPr>
          <w:bCs/>
          <w:szCs w:val="20"/>
        </w:rPr>
        <w:t>L100</w:t>
      </w:r>
      <w:r w:rsidRPr="00FA3856">
        <w:rPr>
          <w:bCs/>
          <w:szCs w:val="20"/>
        </w:rPr>
        <w:t>, a pessoa jurídica deverá definir os saldos iniciais no primeiro período de apuração, pois, nos períodos de apuração seguintes, o próprio programa faz o transporte (Saldo final do período anterior = saldo inicial do período seguinte).</w:t>
      </w:r>
    </w:p>
    <w:p w:rsidR="00787CA0" w:rsidRPr="00FA3856" w:rsidRDefault="00787CA0" w:rsidP="00D53FBA">
      <w:pPr>
        <w:ind w:firstLine="708"/>
        <w:jc w:val="both"/>
        <w:rPr>
          <w:bCs/>
          <w:szCs w:val="20"/>
        </w:rPr>
      </w:pPr>
    </w:p>
    <w:p w:rsidR="001E4ECB" w:rsidRPr="00FA3856" w:rsidRDefault="001E4ECB" w:rsidP="00867F54">
      <w:pPr>
        <w:pStyle w:val="Ttulo2"/>
      </w:pPr>
      <w:bookmarkStart w:id="22" w:name="_Toc479713636"/>
      <w:r w:rsidRPr="00FA3856">
        <w:t>1.21. Arquivos da ECF ou da ECD Corrompidos ou Extraviados</w:t>
      </w:r>
      <w:bookmarkEnd w:id="22"/>
    </w:p>
    <w:p w:rsidR="001E4ECB" w:rsidRPr="00FA3856" w:rsidRDefault="001E4ECB" w:rsidP="001E4ECB">
      <w:pPr>
        <w:jc w:val="both"/>
        <w:rPr>
          <w:bCs/>
          <w:szCs w:val="20"/>
        </w:rPr>
      </w:pPr>
    </w:p>
    <w:p w:rsidR="001E4ECB" w:rsidRPr="00FA3856" w:rsidRDefault="001E4ECB" w:rsidP="001E4ECB">
      <w:pPr>
        <w:ind w:firstLine="600"/>
        <w:jc w:val="both"/>
        <w:rPr>
          <w:bCs/>
          <w:szCs w:val="20"/>
        </w:rPr>
      </w:pPr>
      <w:r w:rsidRPr="00FA3856">
        <w:rPr>
          <w:bCs/>
          <w:szCs w:val="20"/>
        </w:rPr>
        <w:t>Se o arquivo da ECF</w:t>
      </w:r>
      <w:r w:rsidR="00181526">
        <w:rPr>
          <w:bCs/>
          <w:szCs w:val="20"/>
        </w:rPr>
        <w:t xml:space="preserve"> ou da ECD</w:t>
      </w:r>
      <w:r w:rsidRPr="00FA3856">
        <w:rPr>
          <w:bCs/>
          <w:szCs w:val="20"/>
        </w:rPr>
        <w:t xml:space="preserve"> estiver corrompido ou extraviado, o procedimento para </w:t>
      </w:r>
      <w:r w:rsidRPr="00FA3856">
        <w:rPr>
          <w:bCs/>
          <w:i/>
          <w:szCs w:val="20"/>
        </w:rPr>
        <w:t xml:space="preserve">download </w:t>
      </w:r>
      <w:r w:rsidRPr="00FA3856">
        <w:rPr>
          <w:bCs/>
          <w:szCs w:val="20"/>
        </w:rPr>
        <w:t>é:</w:t>
      </w:r>
    </w:p>
    <w:p w:rsidR="001E4ECB" w:rsidRPr="00FA3856" w:rsidRDefault="001E4ECB" w:rsidP="001E4ECB">
      <w:pPr>
        <w:ind w:firstLine="600"/>
        <w:jc w:val="both"/>
        <w:rPr>
          <w:bCs/>
          <w:szCs w:val="20"/>
        </w:rPr>
      </w:pPr>
    </w:p>
    <w:p w:rsidR="001E4ECB" w:rsidRPr="00FA3856" w:rsidRDefault="001E4ECB" w:rsidP="00EE77FB">
      <w:pPr>
        <w:pStyle w:val="PargrafodaLista"/>
        <w:numPr>
          <w:ilvl w:val="0"/>
          <w:numId w:val="15"/>
        </w:numPr>
        <w:autoSpaceDE w:val="0"/>
        <w:spacing w:line="240" w:lineRule="atLeast"/>
        <w:jc w:val="both"/>
        <w:rPr>
          <w:rFonts w:ascii="Times New Roman" w:hAnsi="Times New Roman" w:cs="Times New Roman"/>
          <w:color w:val="000000"/>
        </w:rPr>
      </w:pPr>
      <w:r w:rsidRPr="00FA3856">
        <w:rPr>
          <w:rFonts w:ascii="Times New Roman" w:hAnsi="Times New Roman" w:cs="Times New Roman"/>
          <w:color w:val="000000"/>
        </w:rPr>
        <w:t xml:space="preserve">Instale o aplicativo ReceitanetBX no computador. O instalador do ReceitanetBX pode ser baixado do </w:t>
      </w:r>
      <w:r w:rsidRPr="00FA3856">
        <w:rPr>
          <w:rFonts w:ascii="Times New Roman" w:hAnsi="Times New Roman" w:cs="Times New Roman"/>
          <w:i/>
          <w:iCs/>
          <w:color w:val="000000"/>
        </w:rPr>
        <w:t>site</w:t>
      </w:r>
      <w:r w:rsidRPr="00FA3856">
        <w:rPr>
          <w:rFonts w:ascii="Times New Roman" w:hAnsi="Times New Roman" w:cs="Times New Roman"/>
          <w:color w:val="000000"/>
        </w:rPr>
        <w:t xml:space="preserve"> do Sped, na área de </w:t>
      </w:r>
      <w:r w:rsidRPr="00FA3856">
        <w:rPr>
          <w:rFonts w:ascii="Times New Roman" w:hAnsi="Times New Roman" w:cs="Times New Roman"/>
          <w:i/>
          <w:iCs/>
          <w:color w:val="000000"/>
        </w:rPr>
        <w:t>download</w:t>
      </w:r>
      <w:r w:rsidRPr="00FA3856">
        <w:rPr>
          <w:rFonts w:ascii="Times New Roman" w:hAnsi="Times New Roman" w:cs="Times New Roman"/>
          <w:color w:val="000000"/>
        </w:rPr>
        <w:t xml:space="preserve">. </w:t>
      </w:r>
    </w:p>
    <w:p w:rsidR="001E4ECB" w:rsidRPr="00FA3856" w:rsidRDefault="001E4ECB" w:rsidP="001E4ECB">
      <w:pPr>
        <w:pStyle w:val="PargrafodaLista"/>
        <w:autoSpaceDE w:val="0"/>
        <w:spacing w:line="240" w:lineRule="atLeast"/>
        <w:ind w:left="1068"/>
        <w:jc w:val="both"/>
        <w:rPr>
          <w:rFonts w:ascii="Times New Roman" w:hAnsi="Times New Roman" w:cs="Times New Roman"/>
          <w:color w:val="000000"/>
        </w:rPr>
      </w:pPr>
    </w:p>
    <w:p w:rsidR="001E4ECB" w:rsidRPr="00FA3856" w:rsidRDefault="001E4ECB" w:rsidP="001E4ECB">
      <w:pPr>
        <w:autoSpaceDE w:val="0"/>
        <w:spacing w:line="240" w:lineRule="atLeast"/>
        <w:ind w:left="708"/>
        <w:jc w:val="both"/>
        <w:rPr>
          <w:color w:val="000000"/>
          <w:szCs w:val="20"/>
        </w:rPr>
      </w:pPr>
      <w:r w:rsidRPr="00FA3856">
        <w:rPr>
          <w:b/>
          <w:bCs/>
          <w:color w:val="000000"/>
          <w:szCs w:val="20"/>
        </w:rPr>
        <w:t xml:space="preserve">Nota: </w:t>
      </w:r>
      <w:r w:rsidRPr="00FA3856">
        <w:rPr>
          <w:color w:val="000000"/>
          <w:szCs w:val="20"/>
        </w:rPr>
        <w:t xml:space="preserve">Escolha o perfil correto (Contribuinte, Procurador ou Representante Legal). Em caso de procuração, garanta que a autorização de efetuar o </w:t>
      </w:r>
      <w:r w:rsidRPr="00FA3856">
        <w:rPr>
          <w:i/>
          <w:iCs/>
          <w:color w:val="000000"/>
          <w:szCs w:val="20"/>
        </w:rPr>
        <w:t>download</w:t>
      </w:r>
      <w:r w:rsidRPr="00FA3856">
        <w:rPr>
          <w:color w:val="000000"/>
          <w:szCs w:val="20"/>
        </w:rPr>
        <w:t xml:space="preserve"> da ECF </w:t>
      </w:r>
      <w:r w:rsidR="00181526">
        <w:rPr>
          <w:color w:val="000000"/>
          <w:szCs w:val="20"/>
        </w:rPr>
        <w:t xml:space="preserve">ou da ECD </w:t>
      </w:r>
      <w:r w:rsidRPr="00FA3856">
        <w:rPr>
          <w:color w:val="000000"/>
          <w:szCs w:val="20"/>
        </w:rPr>
        <w:t>esteja marcada no e-CAC.</w:t>
      </w:r>
    </w:p>
    <w:p w:rsidR="001E4ECB" w:rsidRPr="00FA3856" w:rsidRDefault="001E4ECB" w:rsidP="001E4ECB">
      <w:pPr>
        <w:autoSpaceDE w:val="0"/>
        <w:spacing w:line="240" w:lineRule="atLeast"/>
        <w:jc w:val="both"/>
        <w:rPr>
          <w:color w:val="000000"/>
          <w:szCs w:val="20"/>
        </w:rPr>
      </w:pPr>
    </w:p>
    <w:p w:rsidR="001E4ECB" w:rsidRPr="00FA3856" w:rsidRDefault="001E4ECB" w:rsidP="00EE77FB">
      <w:pPr>
        <w:pStyle w:val="PargrafodaLista"/>
        <w:numPr>
          <w:ilvl w:val="0"/>
          <w:numId w:val="15"/>
        </w:numPr>
        <w:autoSpaceDE w:val="0"/>
        <w:spacing w:line="240" w:lineRule="atLeast"/>
        <w:jc w:val="both"/>
        <w:rPr>
          <w:rFonts w:ascii="Times New Roman" w:hAnsi="Times New Roman" w:cs="Times New Roman"/>
          <w:color w:val="000000"/>
        </w:rPr>
      </w:pPr>
      <w:r w:rsidRPr="00FA3856">
        <w:rPr>
          <w:rFonts w:ascii="Times New Roman" w:hAnsi="Times New Roman" w:cs="Times New Roman"/>
          <w:color w:val="000000"/>
        </w:rPr>
        <w:t xml:space="preserve">Após o </w:t>
      </w:r>
      <w:r w:rsidRPr="00FA3856">
        <w:rPr>
          <w:rFonts w:ascii="Times New Roman" w:hAnsi="Times New Roman" w:cs="Times New Roman"/>
          <w:i/>
          <w:color w:val="000000"/>
        </w:rPr>
        <w:t>download</w:t>
      </w:r>
      <w:r w:rsidRPr="00FA3856">
        <w:rPr>
          <w:rFonts w:ascii="Times New Roman" w:hAnsi="Times New Roman" w:cs="Times New Roman"/>
          <w:color w:val="000000"/>
        </w:rPr>
        <w:t xml:space="preserve"> do arquivo da ECF, importe o arquivo utilizando a funcionalidade “Arquivo/ Importar” do programa da ECF.</w:t>
      </w:r>
      <w:r w:rsidR="00181526">
        <w:rPr>
          <w:rFonts w:ascii="Times New Roman" w:hAnsi="Times New Roman" w:cs="Times New Roman"/>
          <w:color w:val="000000"/>
        </w:rPr>
        <w:t xml:space="preserve"> No caso do arquivo da ECD, ele poderá ser recuperado dentro do programa da ECF.</w:t>
      </w:r>
    </w:p>
    <w:p w:rsidR="001E4ECB" w:rsidRPr="00FA3856" w:rsidRDefault="001E4ECB" w:rsidP="001E4ECB">
      <w:pPr>
        <w:pStyle w:val="Corpodetexto"/>
        <w:autoSpaceDE/>
        <w:spacing w:line="240" w:lineRule="auto"/>
        <w:ind w:firstLine="708"/>
        <w:rPr>
          <w:rFonts w:ascii="Times New Roman" w:hAnsi="Times New Roman"/>
          <w:szCs w:val="20"/>
        </w:rPr>
      </w:pPr>
    </w:p>
    <w:p w:rsidR="001E4ECB" w:rsidRPr="00FA3856" w:rsidRDefault="001E4ECB" w:rsidP="001E4ECB">
      <w:pPr>
        <w:pStyle w:val="Corpodetexto"/>
        <w:autoSpaceDE/>
        <w:spacing w:line="240" w:lineRule="auto"/>
        <w:ind w:firstLine="708"/>
        <w:rPr>
          <w:rFonts w:ascii="Times New Roman" w:hAnsi="Times New Roman"/>
          <w:szCs w:val="20"/>
        </w:rPr>
      </w:pPr>
      <w:r w:rsidRPr="00892DF6">
        <w:rPr>
          <w:rFonts w:ascii="Times New Roman" w:hAnsi="Times New Roman"/>
          <w:b/>
          <w:szCs w:val="20"/>
        </w:rPr>
        <w:t xml:space="preserve">Observação: </w:t>
      </w:r>
      <w:r w:rsidRPr="00892DF6">
        <w:rPr>
          <w:rFonts w:ascii="Times New Roman" w:hAnsi="Times New Roman"/>
          <w:szCs w:val="20"/>
        </w:rPr>
        <w:t xml:space="preserve">O recibo que comprova a transmissão da escrituração não é importado via ReceitanetBX. Caso a empresa perca o recibo de transmissão da escrituração digital, deverá </w:t>
      </w:r>
      <w:r w:rsidR="00C71646" w:rsidRPr="00892DF6">
        <w:rPr>
          <w:rFonts w:ascii="Times New Roman" w:hAnsi="Times New Roman"/>
          <w:szCs w:val="20"/>
        </w:rPr>
        <w:t xml:space="preserve">utilizar a funcionalidade de recuperação no menu “Escrituração/Recuperar Recibo de Transmissão”. </w:t>
      </w:r>
      <w:r w:rsidRPr="00892DF6">
        <w:rPr>
          <w:rFonts w:ascii="Times New Roman" w:hAnsi="Times New Roman"/>
          <w:szCs w:val="20"/>
        </w:rPr>
        <w:t xml:space="preserve">Nessa situação o Receitanet (e não o ReceitanetBX) identificará que a escrituração digital já foi transmitida e fará o </w:t>
      </w:r>
      <w:r w:rsidRPr="00892DF6">
        <w:rPr>
          <w:rFonts w:ascii="Times New Roman" w:hAnsi="Times New Roman"/>
          <w:i/>
          <w:szCs w:val="20"/>
        </w:rPr>
        <w:t xml:space="preserve">download </w:t>
      </w:r>
      <w:r w:rsidRPr="00892DF6">
        <w:rPr>
          <w:rFonts w:ascii="Times New Roman" w:hAnsi="Times New Roman"/>
          <w:szCs w:val="20"/>
        </w:rPr>
        <w:t>do recibo novamente para a pasta estabelecida no program</w:t>
      </w:r>
      <w:r w:rsidR="00416F2B" w:rsidRPr="00892DF6">
        <w:rPr>
          <w:rFonts w:ascii="Times New Roman" w:hAnsi="Times New Roman"/>
          <w:szCs w:val="20"/>
        </w:rPr>
        <w:t>a</w:t>
      </w:r>
      <w:r w:rsidRPr="00892DF6">
        <w:rPr>
          <w:rFonts w:ascii="Times New Roman" w:hAnsi="Times New Roman"/>
          <w:szCs w:val="20"/>
        </w:rPr>
        <w:t xml:space="preserve"> da ECF.</w:t>
      </w:r>
    </w:p>
    <w:p w:rsidR="00CA09D6" w:rsidRPr="00FA3856" w:rsidRDefault="00CA09D6" w:rsidP="001E4ECB">
      <w:pPr>
        <w:pStyle w:val="Corpodetexto"/>
        <w:autoSpaceDE/>
        <w:spacing w:line="240" w:lineRule="auto"/>
        <w:ind w:firstLine="708"/>
        <w:rPr>
          <w:rFonts w:ascii="Times New Roman" w:hAnsi="Times New Roman"/>
          <w:szCs w:val="20"/>
        </w:rPr>
      </w:pPr>
    </w:p>
    <w:p w:rsidR="00787CA0" w:rsidRDefault="00787CA0">
      <w:pPr>
        <w:spacing w:after="200" w:line="276" w:lineRule="auto"/>
        <w:rPr>
          <w:b/>
          <w:bCs/>
          <w:color w:val="0000FF"/>
          <w:szCs w:val="20"/>
        </w:rPr>
      </w:pPr>
      <w:r>
        <w:rPr>
          <w:color w:val="0000FF"/>
          <w:szCs w:val="20"/>
        </w:rPr>
        <w:br w:type="page"/>
      </w:r>
    </w:p>
    <w:p w:rsidR="00CA09D6" w:rsidRPr="00FA3856" w:rsidRDefault="00CA09D6" w:rsidP="00867F54">
      <w:pPr>
        <w:pStyle w:val="Ttulo2"/>
      </w:pPr>
      <w:bookmarkStart w:id="23" w:name="_Toc479713637"/>
      <w:r w:rsidRPr="00FA3856">
        <w:lastRenderedPageBreak/>
        <w:t>1.22. Multa por Atraso na Entrega da ECF ou por Incorreções</w:t>
      </w:r>
      <w:bookmarkEnd w:id="23"/>
    </w:p>
    <w:p w:rsidR="00CA09D6" w:rsidRPr="00FA3856" w:rsidRDefault="00CA09D6" w:rsidP="00CA09D6"/>
    <w:p w:rsidR="00CA09D6" w:rsidRPr="00FA3856" w:rsidRDefault="00CA09D6" w:rsidP="00CA09D6">
      <w:pPr>
        <w:pStyle w:val="NormalWeb"/>
        <w:shd w:val="clear" w:color="auto" w:fill="FFFFFF"/>
        <w:spacing w:before="0" w:after="0" w:line="280" w:lineRule="atLeast"/>
        <w:ind w:firstLine="708"/>
        <w:jc w:val="both"/>
        <w:rPr>
          <w:rFonts w:ascii="Times New Roman" w:hAnsi="Times New Roman" w:cs="Times New Roman"/>
          <w:color w:val="000000"/>
          <w:szCs w:val="20"/>
        </w:rPr>
      </w:pPr>
      <w:r w:rsidRPr="00FA3856">
        <w:rPr>
          <w:rFonts w:ascii="Times New Roman" w:hAnsi="Times New Roman" w:cs="Times New Roman"/>
          <w:color w:val="000000"/>
          <w:szCs w:val="20"/>
        </w:rPr>
        <w:t>De acordo com o art. 6</w:t>
      </w:r>
      <w:r w:rsidRPr="00FA3856">
        <w:rPr>
          <w:rFonts w:ascii="Times New Roman" w:hAnsi="Times New Roman" w:cs="Times New Roman"/>
          <w:color w:val="000000"/>
          <w:szCs w:val="20"/>
          <w:u w:val="single"/>
          <w:vertAlign w:val="superscript"/>
        </w:rPr>
        <w:t>o</w:t>
      </w:r>
      <w:r w:rsidRPr="00FA3856">
        <w:rPr>
          <w:rFonts w:ascii="Times New Roman" w:hAnsi="Times New Roman" w:cs="Times New Roman"/>
          <w:color w:val="000000"/>
          <w:szCs w:val="20"/>
        </w:rPr>
        <w:t xml:space="preserve"> da Instrução Normativa RFB n</w:t>
      </w:r>
      <w:r w:rsidRPr="00FA3856">
        <w:rPr>
          <w:rFonts w:ascii="Times New Roman" w:hAnsi="Times New Roman" w:cs="Times New Roman"/>
          <w:color w:val="000000"/>
          <w:szCs w:val="20"/>
          <w:u w:val="single"/>
          <w:vertAlign w:val="superscript"/>
        </w:rPr>
        <w:t>o</w:t>
      </w:r>
      <w:r w:rsidRPr="00FA3856">
        <w:rPr>
          <w:rFonts w:ascii="Times New Roman" w:hAnsi="Times New Roman" w:cs="Times New Roman"/>
          <w:color w:val="000000"/>
          <w:szCs w:val="20"/>
        </w:rPr>
        <w:t xml:space="preserve"> 1.422, de 19 de dezembro de 2013, a não apresentação da ECF pelos contribuintes que apuram o Imposto sobre a Renda da Pessoa Jurídica pela sistemática do Lucro Real, nos prazos fixados no art. 3º, ou a sua apresentação com incorreções ou omissões, acarretará a aplicação, ao infrator, das multas previstas no art. 8º-A do Decreto-Lei nº 1.598, de 26 de dezembro de 1977, com redação dada pela Lei nº 12.973, de 13 de maio de 2014.</w:t>
      </w:r>
    </w:p>
    <w:p w:rsidR="00CA09D6" w:rsidRPr="00FA3856" w:rsidRDefault="00CA09D6" w:rsidP="00CA09D6">
      <w:pPr>
        <w:pStyle w:val="NormalWeb"/>
        <w:shd w:val="clear" w:color="auto" w:fill="FFFFFF"/>
        <w:spacing w:before="0" w:after="0" w:line="280" w:lineRule="atLeast"/>
        <w:ind w:firstLine="945"/>
        <w:jc w:val="both"/>
        <w:rPr>
          <w:rFonts w:ascii="Times New Roman" w:hAnsi="Times New Roman" w:cs="Times New Roman"/>
          <w:color w:val="000000"/>
          <w:szCs w:val="20"/>
        </w:rPr>
      </w:pPr>
    </w:p>
    <w:p w:rsidR="00CA09D6" w:rsidRPr="00FA3856" w:rsidRDefault="00CA09D6" w:rsidP="008C233F">
      <w:pPr>
        <w:pStyle w:val="NormalWeb"/>
        <w:shd w:val="clear" w:color="auto" w:fill="FFFFFF"/>
        <w:spacing w:before="0" w:after="0" w:line="280" w:lineRule="atLeast"/>
        <w:ind w:firstLine="708"/>
        <w:jc w:val="both"/>
        <w:rPr>
          <w:rFonts w:ascii="Times New Roman" w:hAnsi="Times New Roman" w:cs="Times New Roman"/>
          <w:color w:val="000000"/>
          <w:szCs w:val="20"/>
        </w:rPr>
      </w:pPr>
      <w:r w:rsidRPr="00FA3856">
        <w:rPr>
          <w:rFonts w:ascii="Times New Roman" w:hAnsi="Times New Roman" w:cs="Times New Roman"/>
          <w:color w:val="000000"/>
          <w:szCs w:val="20"/>
        </w:rPr>
        <w:t>Na aplicação da multa de que trata o parágrafo acima, quando não houver lucro líquido, antes do Imposto de Renda e da Contribuição Social, no período de apuração a que se refere a escrituração, deverá ser utilizado o último lucro líquido, antes do Imposto de Renda e da Contribuição Social informado, atualizado pela taxa referencial do Sistema Especial de Liquidação e de Custódia - Selic, até o termo final de encerramento do período a que se refere a escrituração.</w:t>
      </w:r>
    </w:p>
    <w:p w:rsidR="00CA09D6" w:rsidRPr="00FA3856" w:rsidRDefault="00CA09D6" w:rsidP="00CA09D6">
      <w:pPr>
        <w:pStyle w:val="NormalWeb"/>
        <w:shd w:val="clear" w:color="auto" w:fill="FFFFFF"/>
        <w:spacing w:before="0" w:after="0" w:line="280" w:lineRule="atLeast"/>
        <w:ind w:firstLine="945"/>
        <w:jc w:val="both"/>
        <w:rPr>
          <w:rFonts w:ascii="Times New Roman" w:hAnsi="Times New Roman" w:cs="Times New Roman"/>
          <w:color w:val="000000"/>
          <w:szCs w:val="20"/>
        </w:rPr>
      </w:pPr>
    </w:p>
    <w:p w:rsidR="00CA09D6" w:rsidRPr="00FA3856" w:rsidRDefault="00CA09D6" w:rsidP="008C233F">
      <w:pPr>
        <w:pStyle w:val="NormalWeb"/>
        <w:shd w:val="clear" w:color="auto" w:fill="FFFFFF"/>
        <w:spacing w:before="0" w:after="0" w:line="280" w:lineRule="atLeast"/>
        <w:ind w:firstLine="708"/>
        <w:jc w:val="both"/>
        <w:rPr>
          <w:rFonts w:ascii="Times New Roman" w:hAnsi="Times New Roman" w:cs="Times New Roman"/>
          <w:color w:val="000000"/>
          <w:szCs w:val="20"/>
        </w:rPr>
      </w:pPr>
      <w:r w:rsidRPr="00FA3856">
        <w:rPr>
          <w:rFonts w:ascii="Times New Roman" w:hAnsi="Times New Roman" w:cs="Times New Roman"/>
          <w:color w:val="000000"/>
          <w:szCs w:val="20"/>
        </w:rPr>
        <w:t>A não apresentação da ECF pelos contribuintes que apuram o Imposto sobre a Renda da Pessoa Jurídica, por qualquer sistemática que não o Lucro Real, nos prazos fixados no art. 3º, ou a sua apresentação com incorreções ou omissões, acarretará a aplicação, ao infrator, das multas previstas no art. 57 da Medida Provisória nº 2.158-35, de 24 de agosto de 2001.</w:t>
      </w:r>
    </w:p>
    <w:p w:rsidR="00CA09D6" w:rsidRPr="00FA3856" w:rsidRDefault="00CA09D6" w:rsidP="00CA09D6">
      <w:pPr>
        <w:pStyle w:val="NormalWeb"/>
        <w:shd w:val="clear" w:color="auto" w:fill="FFFFFF"/>
        <w:spacing w:before="0" w:after="0" w:line="280" w:lineRule="atLeast"/>
        <w:ind w:firstLine="945"/>
        <w:jc w:val="both"/>
        <w:rPr>
          <w:rFonts w:ascii="Times New Roman" w:hAnsi="Times New Roman" w:cs="Times New Roman"/>
          <w:color w:val="000000"/>
          <w:szCs w:val="20"/>
        </w:rPr>
      </w:pPr>
    </w:p>
    <w:p w:rsidR="00CA09D6" w:rsidRPr="00FA3856" w:rsidRDefault="00CA09D6" w:rsidP="00CA09D6">
      <w:pPr>
        <w:pStyle w:val="NormalWeb"/>
        <w:shd w:val="clear" w:color="auto" w:fill="FFFFFF"/>
        <w:spacing w:before="0" w:after="0" w:line="280" w:lineRule="atLeast"/>
        <w:ind w:firstLine="945"/>
        <w:jc w:val="both"/>
        <w:rPr>
          <w:rFonts w:ascii="Times New Roman" w:hAnsi="Times New Roman" w:cs="Times New Roman"/>
          <w:color w:val="000000"/>
          <w:szCs w:val="20"/>
        </w:rPr>
      </w:pPr>
      <w:r w:rsidRPr="00FA3856">
        <w:rPr>
          <w:rFonts w:ascii="Times New Roman" w:hAnsi="Times New Roman" w:cs="Times New Roman"/>
          <w:color w:val="000000"/>
          <w:szCs w:val="20"/>
        </w:rPr>
        <w:t>Os códigos de receita das multas são:</w:t>
      </w:r>
    </w:p>
    <w:p w:rsidR="00CA09D6" w:rsidRPr="00FA3856" w:rsidRDefault="00CA09D6" w:rsidP="00CA09D6">
      <w:pPr>
        <w:pStyle w:val="NormalWeb"/>
        <w:shd w:val="clear" w:color="auto" w:fill="FFFFFF"/>
        <w:spacing w:before="0" w:after="0" w:line="280" w:lineRule="atLeast"/>
        <w:ind w:firstLine="945"/>
        <w:jc w:val="both"/>
        <w:rPr>
          <w:rFonts w:ascii="Times New Roman" w:hAnsi="Times New Roman" w:cs="Times New Roman"/>
          <w:color w:val="000000"/>
          <w:szCs w:val="20"/>
        </w:rPr>
      </w:pPr>
      <w:r w:rsidRPr="00FA3856">
        <w:rPr>
          <w:rFonts w:ascii="Times New Roman" w:hAnsi="Times New Roman" w:cs="Times New Roman"/>
          <w:color w:val="000000"/>
          <w:szCs w:val="20"/>
        </w:rPr>
        <w:t>3624/2 – Multa por Atraso na Entrega da ECF – Demais PJ</w:t>
      </w:r>
    </w:p>
    <w:p w:rsidR="00CA09D6" w:rsidRPr="00FA3856" w:rsidRDefault="00CA09D6" w:rsidP="00CA09D6">
      <w:pPr>
        <w:pStyle w:val="NormalWeb"/>
        <w:shd w:val="clear" w:color="auto" w:fill="FFFFFF"/>
        <w:spacing w:before="0" w:after="0" w:line="280" w:lineRule="atLeast"/>
        <w:ind w:firstLine="945"/>
        <w:jc w:val="both"/>
        <w:rPr>
          <w:rFonts w:ascii="Times New Roman" w:hAnsi="Times New Roman" w:cs="Times New Roman"/>
          <w:color w:val="000000"/>
          <w:szCs w:val="20"/>
        </w:rPr>
      </w:pPr>
      <w:r w:rsidRPr="00FA3856">
        <w:rPr>
          <w:rFonts w:ascii="Times New Roman" w:hAnsi="Times New Roman" w:cs="Times New Roman"/>
          <w:color w:val="000000"/>
          <w:szCs w:val="20"/>
        </w:rPr>
        <w:t>3624/3 – Multa por Atraso na Entrega da ECF – PJ Lucro Real</w:t>
      </w:r>
    </w:p>
    <w:p w:rsidR="008D0538" w:rsidRPr="00FA3856" w:rsidRDefault="008D0538" w:rsidP="00372EC2">
      <w:pPr>
        <w:pStyle w:val="NormalWeb"/>
        <w:shd w:val="clear" w:color="auto" w:fill="FFFFFF"/>
        <w:spacing w:before="0" w:after="0"/>
        <w:ind w:firstLine="708"/>
        <w:jc w:val="both"/>
        <w:rPr>
          <w:rFonts w:ascii="Times New Roman" w:hAnsi="Times New Roman" w:cs="Times New Roman"/>
          <w:szCs w:val="20"/>
        </w:rPr>
      </w:pPr>
    </w:p>
    <w:p w:rsidR="00A1588E" w:rsidRPr="00FA3856" w:rsidRDefault="00A1588E" w:rsidP="00867F54">
      <w:pPr>
        <w:pStyle w:val="Ttulo2"/>
      </w:pPr>
      <w:bookmarkStart w:id="24" w:name="_Toc479713638"/>
      <w:r w:rsidRPr="00FA3856">
        <w:t>1.23. Pessoas Jurídicas Resultantes de Cisão/Fusão ou Remanescentes de Cisão ou que Realizaram Incorporação</w:t>
      </w:r>
      <w:bookmarkEnd w:id="24"/>
    </w:p>
    <w:p w:rsidR="00A1588E" w:rsidRPr="00FA3856" w:rsidRDefault="00A1588E" w:rsidP="00A1588E">
      <w:pPr>
        <w:jc w:val="both"/>
        <w:rPr>
          <w:b/>
          <w:bCs/>
        </w:rPr>
      </w:pPr>
    </w:p>
    <w:p w:rsidR="009744A6" w:rsidRPr="00FA3856" w:rsidRDefault="009744A6" w:rsidP="009744A6">
      <w:pPr>
        <w:ind w:firstLine="708"/>
        <w:jc w:val="both"/>
        <w:rPr>
          <w:bCs/>
          <w:szCs w:val="20"/>
        </w:rPr>
      </w:pPr>
      <w:r w:rsidRPr="00FA3856">
        <w:rPr>
          <w:bCs/>
          <w:szCs w:val="20"/>
        </w:rPr>
        <w:t>No caso de pessoas jurídicas resultantes de cisão/fusão ou remanescentes de cisão, ou que realizaram incorporação o preenchimento dos campos 6, 7, 8 e 9 do registro 0000 deve ser o seguinte, caso não ocorra outra situação especial no período:</w:t>
      </w:r>
    </w:p>
    <w:p w:rsidR="009744A6" w:rsidRPr="00FA3856" w:rsidRDefault="009744A6" w:rsidP="009744A6">
      <w:pPr>
        <w:ind w:firstLine="708"/>
        <w:jc w:val="both"/>
        <w:rPr>
          <w:bCs/>
          <w:szCs w:val="20"/>
        </w:rPr>
      </w:pPr>
    </w:p>
    <w:p w:rsidR="009744A6" w:rsidRPr="00FA3856" w:rsidRDefault="009744A6" w:rsidP="009744A6">
      <w:pPr>
        <w:ind w:firstLine="708"/>
        <w:jc w:val="both"/>
        <w:rPr>
          <w:szCs w:val="20"/>
        </w:rPr>
      </w:pPr>
      <w:r w:rsidRPr="00FA3856">
        <w:rPr>
          <w:szCs w:val="20"/>
        </w:rPr>
        <w:t xml:space="preserve">- Campo 6 </w:t>
      </w:r>
      <w:r w:rsidRPr="00FA3856">
        <w:rPr>
          <w:szCs w:val="20"/>
          <w:u w:val="single"/>
        </w:rPr>
        <w:t>(Indicador do Início do Período</w:t>
      </w:r>
      <w:r w:rsidRPr="00FA3856">
        <w:rPr>
          <w:szCs w:val="20"/>
        </w:rPr>
        <w:t xml:space="preserve">): </w:t>
      </w:r>
      <w:r w:rsidRPr="00FA3856">
        <w:rPr>
          <w:b/>
          <w:szCs w:val="20"/>
        </w:rPr>
        <w:t>2</w:t>
      </w:r>
      <w:r w:rsidRPr="00FA3856">
        <w:rPr>
          <w:szCs w:val="20"/>
        </w:rPr>
        <w:t xml:space="preserve"> = Resultante de cisão/fusão ou remanescente de cisão, ou realizou incorporação (para que o sistema aceite uma data de início diferente de 01/01).</w:t>
      </w:r>
    </w:p>
    <w:p w:rsidR="009744A6" w:rsidRPr="00FA3856" w:rsidRDefault="009744A6" w:rsidP="009744A6">
      <w:pPr>
        <w:pStyle w:val="Corpodetexto"/>
        <w:ind w:firstLine="708"/>
        <w:rPr>
          <w:rFonts w:ascii="Times New Roman" w:hAnsi="Times New Roman"/>
          <w:b/>
          <w:szCs w:val="20"/>
        </w:rPr>
      </w:pPr>
      <w:r w:rsidRPr="00FA3856">
        <w:rPr>
          <w:rFonts w:ascii="Times New Roman" w:hAnsi="Times New Roman"/>
          <w:szCs w:val="20"/>
        </w:rPr>
        <w:t>- Campo 7 (</w:t>
      </w:r>
      <w:r w:rsidRPr="00FA3856">
        <w:rPr>
          <w:rFonts w:ascii="Times New Roman" w:hAnsi="Times New Roman"/>
          <w:szCs w:val="20"/>
          <w:u w:val="single"/>
        </w:rPr>
        <w:t>Indicador de Situação Especial</w:t>
      </w:r>
      <w:r w:rsidRPr="00FA3856">
        <w:rPr>
          <w:rFonts w:ascii="Times New Roman" w:hAnsi="Times New Roman"/>
          <w:szCs w:val="20"/>
        </w:rPr>
        <w:t>): 0 = Normal – sem ocorrência de situação especial ou evento (para que o sistema aceita a data final em 31/12).</w:t>
      </w:r>
    </w:p>
    <w:p w:rsidR="009744A6" w:rsidRPr="00FA3856" w:rsidRDefault="009744A6" w:rsidP="009744A6">
      <w:pPr>
        <w:pStyle w:val="Corpodetexto"/>
        <w:rPr>
          <w:rFonts w:ascii="Times New Roman" w:hAnsi="Times New Roman"/>
          <w:b/>
          <w:szCs w:val="20"/>
        </w:rPr>
      </w:pPr>
      <w:r w:rsidRPr="00FA3856">
        <w:rPr>
          <w:rFonts w:ascii="Times New Roman" w:hAnsi="Times New Roman"/>
          <w:szCs w:val="20"/>
        </w:rPr>
        <w:t xml:space="preserve"> </w:t>
      </w:r>
      <w:r w:rsidRPr="00FA3856">
        <w:rPr>
          <w:rFonts w:ascii="Times New Roman" w:hAnsi="Times New Roman"/>
          <w:szCs w:val="20"/>
        </w:rPr>
        <w:tab/>
        <w:t>- Campo 8 (</w:t>
      </w:r>
      <w:r w:rsidRPr="00FA3856">
        <w:rPr>
          <w:rFonts w:ascii="Times New Roman" w:hAnsi="Times New Roman"/>
          <w:szCs w:val="20"/>
          <w:u w:val="single"/>
        </w:rPr>
        <w:t>Patrimônio remanescente em caso de cisão</w:t>
      </w:r>
      <w:r w:rsidRPr="00FA3856">
        <w:rPr>
          <w:rFonts w:ascii="Times New Roman" w:hAnsi="Times New Roman"/>
          <w:szCs w:val="20"/>
        </w:rPr>
        <w:t>): &lt;Em branco&gt;, pois essa informação iria no primeiro arquivo enviado (até a data da cisão).</w:t>
      </w:r>
    </w:p>
    <w:p w:rsidR="009744A6" w:rsidRPr="00FA3856" w:rsidRDefault="009744A6" w:rsidP="009744A6">
      <w:pPr>
        <w:pStyle w:val="Corpodetexto"/>
        <w:ind w:firstLine="708"/>
        <w:rPr>
          <w:rFonts w:ascii="Times New Roman" w:hAnsi="Times New Roman"/>
          <w:b/>
          <w:szCs w:val="20"/>
        </w:rPr>
      </w:pPr>
      <w:r w:rsidRPr="00FA3856">
        <w:rPr>
          <w:rFonts w:ascii="Times New Roman" w:hAnsi="Times New Roman"/>
          <w:szCs w:val="20"/>
        </w:rPr>
        <w:t>- Campo 9 (</w:t>
      </w:r>
      <w:r w:rsidRPr="00B95344">
        <w:rPr>
          <w:rFonts w:ascii="Times New Roman" w:hAnsi="Times New Roman"/>
          <w:szCs w:val="20"/>
          <w:u w:val="single"/>
        </w:rPr>
        <w:t>Data da situação especial</w:t>
      </w:r>
      <w:r w:rsidRPr="00FA3856">
        <w:rPr>
          <w:rFonts w:ascii="Times New Roman" w:hAnsi="Times New Roman"/>
          <w:szCs w:val="20"/>
        </w:rPr>
        <w:t>): &lt;Em branco&gt;, pois não há situação especial no período (a situação especial ocorreu no período anterior).</w:t>
      </w:r>
    </w:p>
    <w:p w:rsidR="00D8558E" w:rsidRPr="00FA3856" w:rsidRDefault="00D8558E" w:rsidP="00372EC2">
      <w:pPr>
        <w:pStyle w:val="NormalWeb"/>
        <w:shd w:val="clear" w:color="auto" w:fill="FFFFFF"/>
        <w:spacing w:before="0" w:after="0"/>
        <w:ind w:firstLine="708"/>
        <w:jc w:val="both"/>
        <w:rPr>
          <w:rFonts w:ascii="Times New Roman" w:hAnsi="Times New Roman" w:cs="Times New Roman"/>
          <w:szCs w:val="20"/>
        </w:rPr>
      </w:pPr>
    </w:p>
    <w:p w:rsidR="00787CA0" w:rsidRDefault="00787CA0">
      <w:pPr>
        <w:spacing w:after="200" w:line="276" w:lineRule="auto"/>
        <w:rPr>
          <w:b/>
          <w:bCs/>
          <w:color w:val="0000FF"/>
          <w:szCs w:val="20"/>
        </w:rPr>
      </w:pPr>
      <w:r>
        <w:rPr>
          <w:color w:val="0000FF"/>
          <w:szCs w:val="20"/>
        </w:rPr>
        <w:br w:type="page"/>
      </w:r>
    </w:p>
    <w:p w:rsidR="00DF64B8" w:rsidRPr="00FA3856" w:rsidRDefault="00893FAB" w:rsidP="00867F54">
      <w:pPr>
        <w:pStyle w:val="Ttulo2"/>
      </w:pPr>
      <w:bookmarkStart w:id="25" w:name="_Toc479713639"/>
      <w:r>
        <w:lastRenderedPageBreak/>
        <w:t>1.24</w:t>
      </w:r>
      <w:r w:rsidR="00DF64B8" w:rsidRPr="00FA3856">
        <w:t xml:space="preserve">. CIO </w:t>
      </w:r>
      <w:r w:rsidR="00E00235">
        <w:t>(Comitê Olímpico Internacional)</w:t>
      </w:r>
      <w:r w:rsidR="0021573B" w:rsidRPr="00FA3856">
        <w:t xml:space="preserve">, RIO 2016 </w:t>
      </w:r>
      <w:r w:rsidR="00DF64B8" w:rsidRPr="00FA3856">
        <w:t>e Empresas Vinculadas</w:t>
      </w:r>
      <w:bookmarkEnd w:id="25"/>
    </w:p>
    <w:p w:rsidR="00DF64B8" w:rsidRPr="00FA3856" w:rsidRDefault="00DF64B8" w:rsidP="00DF64B8">
      <w:pPr>
        <w:ind w:firstLine="708"/>
        <w:jc w:val="both"/>
        <w:rPr>
          <w:bCs/>
          <w:szCs w:val="20"/>
        </w:rPr>
      </w:pPr>
    </w:p>
    <w:p w:rsidR="00DF64B8" w:rsidRPr="00FA3856" w:rsidRDefault="00DF64B8" w:rsidP="00DF64B8">
      <w:pPr>
        <w:ind w:firstLine="708"/>
        <w:jc w:val="both"/>
        <w:rPr>
          <w:bCs/>
          <w:szCs w:val="20"/>
        </w:rPr>
      </w:pPr>
      <w:r w:rsidRPr="00FA3856">
        <w:rPr>
          <w:bCs/>
          <w:szCs w:val="20"/>
        </w:rPr>
        <w:t>Se entidade não domiciliada no Brasil efetuar, ainda que somente para a realização e organização dos jogos olímpicos, comercialização de produtos ou serviços no Brasil, deverá entregar a ECF de acordo com as seguintes orientações:</w:t>
      </w:r>
    </w:p>
    <w:p w:rsidR="00DF64B8" w:rsidRPr="00FA3856" w:rsidRDefault="00DF64B8" w:rsidP="00DF64B8">
      <w:pPr>
        <w:ind w:firstLine="708"/>
        <w:jc w:val="both"/>
        <w:rPr>
          <w:bCs/>
          <w:szCs w:val="20"/>
        </w:rPr>
      </w:pPr>
    </w:p>
    <w:p w:rsidR="00DF64B8" w:rsidRPr="00FA3856" w:rsidRDefault="00DF64B8" w:rsidP="00DF64B8">
      <w:pPr>
        <w:ind w:firstLine="708"/>
        <w:jc w:val="both"/>
        <w:rPr>
          <w:bCs/>
          <w:szCs w:val="20"/>
        </w:rPr>
      </w:pPr>
      <w:r w:rsidRPr="00FA3856">
        <w:rPr>
          <w:bCs/>
          <w:szCs w:val="20"/>
        </w:rPr>
        <w:t xml:space="preserve">1 – Registros obrigatórios: 0000, 0010, 0020, </w:t>
      </w:r>
      <w:r w:rsidR="001A66D0">
        <w:rPr>
          <w:bCs/>
          <w:szCs w:val="20"/>
        </w:rPr>
        <w:t xml:space="preserve">0021, </w:t>
      </w:r>
      <w:r w:rsidRPr="00FA3856">
        <w:rPr>
          <w:bCs/>
          <w:szCs w:val="20"/>
        </w:rPr>
        <w:t>0030, 0930, X480.</w:t>
      </w:r>
    </w:p>
    <w:p w:rsidR="00DF64B8" w:rsidRPr="00FA3856" w:rsidRDefault="00DF64B8" w:rsidP="00DF64B8">
      <w:pPr>
        <w:ind w:firstLine="708"/>
        <w:jc w:val="both"/>
        <w:rPr>
          <w:bCs/>
          <w:szCs w:val="20"/>
        </w:rPr>
      </w:pPr>
      <w:r w:rsidRPr="00FA3856">
        <w:rPr>
          <w:bCs/>
          <w:szCs w:val="20"/>
        </w:rPr>
        <w:t>2 – Registro 0000: Preencher conforme instruções deste manual.</w:t>
      </w:r>
    </w:p>
    <w:p w:rsidR="00DF64B8" w:rsidRPr="00FA3856" w:rsidRDefault="00DF64B8" w:rsidP="00DF64B8">
      <w:pPr>
        <w:ind w:firstLine="708"/>
        <w:jc w:val="both"/>
        <w:rPr>
          <w:bCs/>
          <w:szCs w:val="20"/>
        </w:rPr>
      </w:pPr>
      <w:r w:rsidRPr="00FA3856">
        <w:rPr>
          <w:bCs/>
          <w:szCs w:val="20"/>
        </w:rPr>
        <w:t>3 – Registro 0010: No campo 0010.FORMA_TRIB, preencher o código 9 (Isenta do IRPJ).</w:t>
      </w:r>
    </w:p>
    <w:p w:rsidR="00DF64B8" w:rsidRPr="00FA3856" w:rsidRDefault="00DF64B8" w:rsidP="00DF64B8">
      <w:pPr>
        <w:ind w:firstLine="708"/>
        <w:jc w:val="both"/>
        <w:rPr>
          <w:bCs/>
          <w:szCs w:val="20"/>
        </w:rPr>
      </w:pPr>
      <w:r w:rsidRPr="00FA3856">
        <w:rPr>
          <w:bCs/>
          <w:szCs w:val="20"/>
        </w:rPr>
        <w:t>4 – Registro 0010: No campo 0010.TIP_ENT, preencher o código “14” (CIO e Entidades Relacionadas).</w:t>
      </w:r>
    </w:p>
    <w:p w:rsidR="00DF64B8" w:rsidRDefault="00DF64B8" w:rsidP="00DF64B8">
      <w:pPr>
        <w:ind w:left="708"/>
        <w:jc w:val="both"/>
        <w:rPr>
          <w:szCs w:val="20"/>
        </w:rPr>
      </w:pPr>
      <w:r w:rsidRPr="00FA3856">
        <w:rPr>
          <w:bCs/>
          <w:szCs w:val="20"/>
        </w:rPr>
        <w:t>5 – Registro 0020: No campo 0020.IND_PJ_HAB (</w:t>
      </w:r>
      <w:r w:rsidRPr="00FA3856">
        <w:rPr>
          <w:szCs w:val="20"/>
        </w:rPr>
        <w:t>PJ Habilitada no Repes, Recap, Padis, PATVD, Reidi, Repenec, Reicomp, Retaero, Recine, Resíduos Sólidos, Recopa, Copa do Mundo, Retid, REPNBL-Redes, Reif e Olimpíadas), preencher “S” (Sim).</w:t>
      </w:r>
    </w:p>
    <w:p w:rsidR="00893FAB" w:rsidRPr="00FA3856" w:rsidRDefault="00893FAB" w:rsidP="00DF64B8">
      <w:pPr>
        <w:ind w:left="708"/>
        <w:jc w:val="both"/>
        <w:rPr>
          <w:szCs w:val="20"/>
        </w:rPr>
      </w:pPr>
      <w:r w:rsidRPr="00E929FE">
        <w:rPr>
          <w:szCs w:val="20"/>
        </w:rPr>
        <w:t>6 – Registro 0021: No campo 0021.IND_OLIMPIADAS, preencher “S” (Sim).</w:t>
      </w:r>
    </w:p>
    <w:p w:rsidR="00DF64B8" w:rsidRPr="00FA3856" w:rsidRDefault="00893FAB" w:rsidP="00DF64B8">
      <w:pPr>
        <w:ind w:left="708"/>
        <w:jc w:val="both"/>
        <w:rPr>
          <w:szCs w:val="20"/>
        </w:rPr>
      </w:pPr>
      <w:r>
        <w:rPr>
          <w:szCs w:val="20"/>
        </w:rPr>
        <w:t>7</w:t>
      </w:r>
      <w:r w:rsidR="00DF64B8" w:rsidRPr="00FA3856">
        <w:rPr>
          <w:szCs w:val="20"/>
        </w:rPr>
        <w:t xml:space="preserve"> – Registro 0030: Informar os dados do representante legal no país.</w:t>
      </w:r>
    </w:p>
    <w:p w:rsidR="00DF64B8" w:rsidRPr="00FA3856" w:rsidRDefault="00893FAB" w:rsidP="00DF64B8">
      <w:pPr>
        <w:ind w:left="708"/>
        <w:jc w:val="both"/>
        <w:rPr>
          <w:szCs w:val="20"/>
        </w:rPr>
      </w:pPr>
      <w:r>
        <w:rPr>
          <w:szCs w:val="20"/>
        </w:rPr>
        <w:t>8</w:t>
      </w:r>
      <w:r w:rsidR="00DF64B8" w:rsidRPr="00FA3856">
        <w:rPr>
          <w:szCs w:val="20"/>
        </w:rPr>
        <w:t xml:space="preserve"> – Registro 0930: Informar os dados dos representantes ou procuradores que assinarão digitalmente a ECF.</w:t>
      </w:r>
    </w:p>
    <w:p w:rsidR="00DF64B8" w:rsidRPr="00FA3856" w:rsidRDefault="00893FAB" w:rsidP="00DF64B8">
      <w:pPr>
        <w:ind w:left="708"/>
        <w:jc w:val="both"/>
        <w:rPr>
          <w:bCs/>
          <w:szCs w:val="20"/>
        </w:rPr>
      </w:pPr>
      <w:r>
        <w:rPr>
          <w:szCs w:val="20"/>
        </w:rPr>
        <w:t>9</w:t>
      </w:r>
      <w:r w:rsidR="00DF64B8" w:rsidRPr="00FA3856">
        <w:rPr>
          <w:szCs w:val="20"/>
        </w:rPr>
        <w:t xml:space="preserve"> – Registro X480: Preencher conforme instruções deste manual.</w:t>
      </w:r>
    </w:p>
    <w:p w:rsidR="00F823EC" w:rsidRDefault="00F823EC" w:rsidP="00CD2D51">
      <w:pPr>
        <w:pStyle w:val="NormalWeb"/>
        <w:shd w:val="clear" w:color="auto" w:fill="FFFFFF"/>
        <w:spacing w:before="0" w:after="0"/>
        <w:ind w:firstLine="708"/>
        <w:jc w:val="both"/>
        <w:rPr>
          <w:rFonts w:ascii="Times New Roman" w:hAnsi="Times New Roman" w:cs="Times New Roman"/>
          <w:szCs w:val="20"/>
        </w:rPr>
      </w:pPr>
    </w:p>
    <w:p w:rsidR="00647904" w:rsidRPr="00FA3856" w:rsidRDefault="00647904" w:rsidP="00CD2D51">
      <w:pPr>
        <w:pStyle w:val="NormalWeb"/>
        <w:shd w:val="clear" w:color="auto" w:fill="FFFFFF"/>
        <w:spacing w:before="0" w:after="0"/>
        <w:ind w:firstLine="708"/>
        <w:jc w:val="both"/>
        <w:rPr>
          <w:rFonts w:ascii="Times New Roman" w:hAnsi="Times New Roman" w:cs="Times New Roman"/>
          <w:szCs w:val="20"/>
        </w:rPr>
      </w:pPr>
    </w:p>
    <w:p w:rsidR="00CC26D5" w:rsidRPr="00647904" w:rsidRDefault="00CC26D5" w:rsidP="00647904">
      <w:pPr>
        <w:ind w:left="708"/>
        <w:jc w:val="both"/>
        <w:rPr>
          <w:szCs w:val="20"/>
        </w:rPr>
      </w:pPr>
      <w:bookmarkStart w:id="26" w:name="_Toc325637186"/>
      <w:r w:rsidRPr="00647904">
        <w:rPr>
          <w:szCs w:val="20"/>
        </w:rPr>
        <w:br w:type="page"/>
      </w:r>
    </w:p>
    <w:p w:rsidR="00350032" w:rsidRPr="00FA3856" w:rsidRDefault="004E70A7" w:rsidP="00350032">
      <w:pPr>
        <w:pStyle w:val="Ttulo1"/>
      </w:pPr>
      <w:bookmarkStart w:id="27" w:name="_Toc479713640"/>
      <w:r w:rsidRPr="00FA3856">
        <w:lastRenderedPageBreak/>
        <w:t xml:space="preserve">Capítulo 2 – </w:t>
      </w:r>
      <w:bookmarkEnd w:id="26"/>
      <w:r w:rsidR="000F6DAD" w:rsidRPr="00FA3856">
        <w:t xml:space="preserve">Dados Técnicos para Geração do Arquivo da </w:t>
      </w:r>
      <w:r w:rsidR="0081506D" w:rsidRPr="00FA3856">
        <w:t>ECF</w:t>
      </w:r>
      <w:bookmarkEnd w:id="27"/>
    </w:p>
    <w:p w:rsidR="00350032" w:rsidRPr="00FA3856" w:rsidRDefault="00350032" w:rsidP="00350032">
      <w:pPr>
        <w:rPr>
          <w:szCs w:val="20"/>
        </w:rPr>
      </w:pPr>
    </w:p>
    <w:p w:rsidR="002867CF" w:rsidRPr="00FA3856" w:rsidRDefault="00FC5876" w:rsidP="00867F54">
      <w:pPr>
        <w:pStyle w:val="Ttulo2"/>
      </w:pPr>
      <w:bookmarkStart w:id="28" w:name="_Toc479713641"/>
      <w:r w:rsidRPr="00FA3856">
        <w:t xml:space="preserve">2.1. </w:t>
      </w:r>
      <w:r w:rsidR="002867CF" w:rsidRPr="00FA3856">
        <w:t>Introdução</w:t>
      </w:r>
      <w:bookmarkEnd w:id="28"/>
    </w:p>
    <w:p w:rsidR="002867CF" w:rsidRPr="00FA3856" w:rsidRDefault="002867CF" w:rsidP="00EC2D50">
      <w:pPr>
        <w:jc w:val="both"/>
        <w:rPr>
          <w:szCs w:val="20"/>
        </w:rPr>
      </w:pPr>
    </w:p>
    <w:p w:rsidR="00EA0088" w:rsidRPr="00FA3856" w:rsidRDefault="002867CF" w:rsidP="00E717E5">
      <w:pPr>
        <w:ind w:firstLine="708"/>
        <w:jc w:val="both"/>
        <w:rPr>
          <w:b/>
          <w:szCs w:val="20"/>
        </w:rPr>
      </w:pPr>
      <w:r w:rsidRPr="00FA3856">
        <w:rPr>
          <w:szCs w:val="20"/>
        </w:rPr>
        <w:t>A empresa</w:t>
      </w:r>
      <w:r w:rsidR="0005364A" w:rsidRPr="00FA3856">
        <w:rPr>
          <w:szCs w:val="20"/>
        </w:rPr>
        <w:t xml:space="preserve"> deverá gerar o arquivo da </w:t>
      </w:r>
      <w:r w:rsidR="0081506D" w:rsidRPr="00FA3856">
        <w:rPr>
          <w:szCs w:val="20"/>
        </w:rPr>
        <w:t>ECF</w:t>
      </w:r>
      <w:r w:rsidR="00582B93" w:rsidRPr="00FA3856">
        <w:rPr>
          <w:szCs w:val="20"/>
        </w:rPr>
        <w:t xml:space="preserve"> </w:t>
      </w:r>
      <w:r w:rsidR="0005364A" w:rsidRPr="00FA3856">
        <w:rPr>
          <w:szCs w:val="20"/>
        </w:rPr>
        <w:t xml:space="preserve">com recursos próprios. O arquivo será obrigatoriamente submetido ao </w:t>
      </w:r>
      <w:r w:rsidR="00582B93" w:rsidRPr="00FA3856">
        <w:rPr>
          <w:szCs w:val="20"/>
        </w:rPr>
        <w:t xml:space="preserve">programa gerador da </w:t>
      </w:r>
      <w:r w:rsidR="0081506D" w:rsidRPr="00FA3856">
        <w:rPr>
          <w:szCs w:val="20"/>
        </w:rPr>
        <w:t>ECF</w:t>
      </w:r>
      <w:r w:rsidR="0005364A" w:rsidRPr="00FA3856">
        <w:rPr>
          <w:szCs w:val="20"/>
        </w:rPr>
        <w:t xml:space="preserve"> para validação de conteúdo, assinatura digital, transmissão e visualização.</w:t>
      </w:r>
      <w:r w:rsidR="00E717E5" w:rsidRPr="00FA3856">
        <w:rPr>
          <w:szCs w:val="20"/>
        </w:rPr>
        <w:t xml:space="preserve"> </w:t>
      </w:r>
      <w:r w:rsidR="00582B93" w:rsidRPr="00FA3856">
        <w:rPr>
          <w:b/>
          <w:szCs w:val="20"/>
        </w:rPr>
        <w:t xml:space="preserve">É possível o preenchimento da </w:t>
      </w:r>
      <w:r w:rsidR="0081506D" w:rsidRPr="00FA3856">
        <w:rPr>
          <w:b/>
          <w:szCs w:val="20"/>
        </w:rPr>
        <w:t>ECF</w:t>
      </w:r>
      <w:r w:rsidR="00EA0088" w:rsidRPr="00FA3856">
        <w:rPr>
          <w:b/>
          <w:szCs w:val="20"/>
        </w:rPr>
        <w:t xml:space="preserve"> </w:t>
      </w:r>
      <w:r w:rsidR="00DB066F" w:rsidRPr="00FA3856">
        <w:rPr>
          <w:b/>
          <w:szCs w:val="20"/>
        </w:rPr>
        <w:t xml:space="preserve">no próprio </w:t>
      </w:r>
      <w:r w:rsidR="00582B93" w:rsidRPr="00FA3856">
        <w:rPr>
          <w:b/>
          <w:szCs w:val="20"/>
        </w:rPr>
        <w:t xml:space="preserve">programa gerador da </w:t>
      </w:r>
      <w:r w:rsidR="0081506D" w:rsidRPr="00FA3856">
        <w:rPr>
          <w:b/>
          <w:szCs w:val="20"/>
        </w:rPr>
        <w:t>ECF</w:t>
      </w:r>
      <w:r w:rsidR="00DB066F" w:rsidRPr="00FA3856">
        <w:rPr>
          <w:b/>
          <w:szCs w:val="20"/>
        </w:rPr>
        <w:t>, em virtude da funcionalidade de edição de campos.</w:t>
      </w:r>
    </w:p>
    <w:p w:rsidR="008175D4" w:rsidRPr="00FA3856" w:rsidRDefault="008175D4" w:rsidP="00EC2D50">
      <w:pPr>
        <w:ind w:firstLine="708"/>
        <w:jc w:val="both"/>
        <w:rPr>
          <w:szCs w:val="20"/>
        </w:rPr>
      </w:pPr>
    </w:p>
    <w:p w:rsidR="008175D4" w:rsidRPr="00FA3856" w:rsidRDefault="008175D4" w:rsidP="00EC2D50">
      <w:pPr>
        <w:ind w:firstLine="708"/>
        <w:jc w:val="both"/>
        <w:rPr>
          <w:szCs w:val="20"/>
        </w:rPr>
      </w:pPr>
      <w:r w:rsidRPr="00FA3856">
        <w:rPr>
          <w:szCs w:val="20"/>
        </w:rPr>
        <w:t>A recuperação de dados da ECD é obrigatória para empresas que são obrigadas a entregar a ECD.</w:t>
      </w:r>
    </w:p>
    <w:p w:rsidR="002867CF" w:rsidRPr="00FA3856" w:rsidRDefault="002867CF" w:rsidP="00EC2D50">
      <w:pPr>
        <w:jc w:val="both"/>
        <w:rPr>
          <w:szCs w:val="20"/>
        </w:rPr>
      </w:pPr>
    </w:p>
    <w:p w:rsidR="002867CF" w:rsidRPr="00FA3856" w:rsidRDefault="00FC5876" w:rsidP="00867F54">
      <w:pPr>
        <w:pStyle w:val="Ttulo2"/>
      </w:pPr>
      <w:bookmarkStart w:id="29" w:name="_Toc479713642"/>
      <w:r w:rsidRPr="00FA3856">
        <w:t xml:space="preserve">2.2. </w:t>
      </w:r>
      <w:r w:rsidR="002867CF" w:rsidRPr="00FA3856">
        <w:t>Características do Arquivo</w:t>
      </w:r>
      <w:bookmarkEnd w:id="29"/>
    </w:p>
    <w:p w:rsidR="002867CF" w:rsidRPr="00FA3856" w:rsidRDefault="002867CF" w:rsidP="00EC2D50">
      <w:pPr>
        <w:jc w:val="both"/>
        <w:rPr>
          <w:szCs w:val="20"/>
        </w:rPr>
      </w:pPr>
    </w:p>
    <w:p w:rsidR="0005364A" w:rsidRPr="00FA3856" w:rsidRDefault="000F6DAD" w:rsidP="00EC2D50">
      <w:pPr>
        <w:ind w:firstLine="708"/>
        <w:jc w:val="both"/>
        <w:rPr>
          <w:szCs w:val="20"/>
        </w:rPr>
      </w:pPr>
      <w:r w:rsidRPr="00FA3856">
        <w:rPr>
          <w:szCs w:val="20"/>
        </w:rPr>
        <w:t>O a</w:t>
      </w:r>
      <w:r w:rsidR="0005364A" w:rsidRPr="00FA3856">
        <w:rPr>
          <w:szCs w:val="20"/>
        </w:rPr>
        <w:t xml:space="preserve">rquivo </w:t>
      </w:r>
      <w:r w:rsidRPr="00FA3856">
        <w:rPr>
          <w:szCs w:val="20"/>
        </w:rPr>
        <w:t xml:space="preserve">a ser importado para o </w:t>
      </w:r>
      <w:r w:rsidR="00582B93" w:rsidRPr="00FA3856">
        <w:rPr>
          <w:szCs w:val="20"/>
        </w:rPr>
        <w:t xml:space="preserve">programa gerador da </w:t>
      </w:r>
      <w:r w:rsidR="0081506D" w:rsidRPr="00FA3856">
        <w:rPr>
          <w:szCs w:val="20"/>
        </w:rPr>
        <w:t>ECF</w:t>
      </w:r>
      <w:r w:rsidR="00582B93" w:rsidRPr="00FA3856">
        <w:rPr>
          <w:szCs w:val="20"/>
        </w:rPr>
        <w:t xml:space="preserve"> </w:t>
      </w:r>
      <w:r w:rsidRPr="00FA3856">
        <w:rPr>
          <w:szCs w:val="20"/>
        </w:rPr>
        <w:t xml:space="preserve">deve ser </w:t>
      </w:r>
      <w:r w:rsidR="0005364A" w:rsidRPr="00FA3856">
        <w:rPr>
          <w:szCs w:val="20"/>
        </w:rPr>
        <w:t>no formato texto, codificado em ASCII - ISO 8859-1 (Latin-1), não sendo aceitos campos compactados (</w:t>
      </w:r>
      <w:r w:rsidR="0005364A" w:rsidRPr="00FA3856">
        <w:rPr>
          <w:i/>
          <w:szCs w:val="20"/>
        </w:rPr>
        <w:t>packed decimal</w:t>
      </w:r>
      <w:r w:rsidR="0005364A" w:rsidRPr="00FA3856">
        <w:rPr>
          <w:szCs w:val="20"/>
        </w:rPr>
        <w:t>), zonados, binários, ponto flutuante (</w:t>
      </w:r>
      <w:r w:rsidR="0005364A" w:rsidRPr="00FA3856">
        <w:rPr>
          <w:i/>
          <w:szCs w:val="20"/>
        </w:rPr>
        <w:t>float point</w:t>
      </w:r>
      <w:r w:rsidR="0005364A" w:rsidRPr="00FA3856">
        <w:rPr>
          <w:szCs w:val="20"/>
        </w:rPr>
        <w:t>), etc., ou quaisquer outras codifica</w:t>
      </w:r>
      <w:r w:rsidRPr="00FA3856">
        <w:rPr>
          <w:szCs w:val="20"/>
        </w:rPr>
        <w:t>ções de texto, tais como EBCDIC.</w:t>
      </w:r>
    </w:p>
    <w:p w:rsidR="000F6DAD" w:rsidRPr="00FA3856" w:rsidRDefault="000F6DAD" w:rsidP="00EC2D50">
      <w:pPr>
        <w:ind w:firstLine="708"/>
        <w:jc w:val="both"/>
        <w:rPr>
          <w:szCs w:val="20"/>
        </w:rPr>
      </w:pPr>
    </w:p>
    <w:p w:rsidR="000F6DAD" w:rsidRPr="00FA3856" w:rsidRDefault="000F6DAD" w:rsidP="00EC2D50">
      <w:pPr>
        <w:ind w:firstLine="708"/>
        <w:jc w:val="both"/>
        <w:rPr>
          <w:szCs w:val="20"/>
        </w:rPr>
      </w:pPr>
      <w:r w:rsidRPr="00FA3856">
        <w:rPr>
          <w:szCs w:val="20"/>
        </w:rPr>
        <w:t>Ademais, o a</w:t>
      </w:r>
      <w:r w:rsidR="0005364A" w:rsidRPr="00FA3856">
        <w:rPr>
          <w:szCs w:val="20"/>
        </w:rPr>
        <w:t xml:space="preserve">rquivo </w:t>
      </w:r>
      <w:r w:rsidRPr="00FA3856">
        <w:rPr>
          <w:szCs w:val="20"/>
        </w:rPr>
        <w:t>possui</w:t>
      </w:r>
      <w:r w:rsidR="0005364A" w:rsidRPr="00FA3856">
        <w:rPr>
          <w:szCs w:val="20"/>
        </w:rPr>
        <w:t xml:space="preserve"> organização hierárquica, assim definida pela citação do nível hierárquico</w:t>
      </w:r>
      <w:r w:rsidRPr="00FA3856">
        <w:rPr>
          <w:szCs w:val="20"/>
        </w:rPr>
        <w:t xml:space="preserve"> ao qual pertence cada </w:t>
      </w:r>
      <w:r w:rsidR="005953BF" w:rsidRPr="00FA3856">
        <w:rPr>
          <w:szCs w:val="20"/>
        </w:rPr>
        <w:t>registro</w:t>
      </w:r>
      <w:r w:rsidRPr="00FA3856">
        <w:rPr>
          <w:szCs w:val="20"/>
        </w:rPr>
        <w:t xml:space="preserve">. </w:t>
      </w:r>
    </w:p>
    <w:p w:rsidR="000F6DAD" w:rsidRPr="00FA3856" w:rsidRDefault="000F6DAD" w:rsidP="00EC2D50">
      <w:pPr>
        <w:ind w:firstLine="708"/>
        <w:jc w:val="both"/>
        <w:rPr>
          <w:szCs w:val="20"/>
        </w:rPr>
      </w:pPr>
    </w:p>
    <w:p w:rsidR="002F1087" w:rsidRPr="00FA3856" w:rsidRDefault="002F1087" w:rsidP="00EC2D50">
      <w:pPr>
        <w:ind w:firstLine="708"/>
        <w:jc w:val="both"/>
        <w:rPr>
          <w:szCs w:val="20"/>
        </w:rPr>
      </w:pPr>
      <w:r w:rsidRPr="00FA3856">
        <w:rPr>
          <w:b/>
          <w:szCs w:val="20"/>
        </w:rPr>
        <w:t>Exemplo:</w:t>
      </w:r>
      <w:r w:rsidRPr="00FA3856">
        <w:rPr>
          <w:szCs w:val="20"/>
        </w:rPr>
        <w:t xml:space="preserve"> Seja a estrutura hipotética de um arquivo com </w:t>
      </w:r>
      <w:r w:rsidR="005953BF" w:rsidRPr="00FA3856">
        <w:rPr>
          <w:szCs w:val="20"/>
        </w:rPr>
        <w:t>registro</w:t>
      </w:r>
      <w:r w:rsidRPr="00FA3856">
        <w:rPr>
          <w:szCs w:val="20"/>
        </w:rPr>
        <w:t xml:space="preserve">s organizados hierarquicamente nos moldes da </w:t>
      </w:r>
      <w:r w:rsidR="0083187A" w:rsidRPr="00FA3856">
        <w:rPr>
          <w:szCs w:val="20"/>
        </w:rPr>
        <w:t>ECF</w:t>
      </w:r>
      <w:r w:rsidR="004B7494" w:rsidRPr="00FA3856">
        <w:rPr>
          <w:szCs w:val="20"/>
        </w:rPr>
        <w:t>, conforme abaixo:</w:t>
      </w:r>
    </w:p>
    <w:p w:rsidR="00710E8D" w:rsidRPr="00FA3856" w:rsidRDefault="00710E8D" w:rsidP="00710E8D">
      <w:pPr>
        <w:ind w:firstLine="708"/>
        <w:jc w:val="both"/>
        <w:rPr>
          <w:szCs w:val="20"/>
        </w:rPr>
      </w:pPr>
    </w:p>
    <w:p w:rsidR="002F1087" w:rsidRPr="00FA3856" w:rsidRDefault="005953BF" w:rsidP="00710E8D">
      <w:pPr>
        <w:ind w:firstLine="708"/>
        <w:jc w:val="both"/>
        <w:rPr>
          <w:szCs w:val="20"/>
        </w:rPr>
      </w:pPr>
      <w:r w:rsidRPr="00FA3856">
        <w:rPr>
          <w:szCs w:val="20"/>
        </w:rPr>
        <w:t>Registro</w:t>
      </w:r>
      <w:r w:rsidR="002F1087" w:rsidRPr="00FA3856">
        <w:rPr>
          <w:szCs w:val="20"/>
        </w:rPr>
        <w:t xml:space="preserve"> 10 - Nível hierárquico 1</w:t>
      </w:r>
    </w:p>
    <w:p w:rsidR="002F1087" w:rsidRPr="00FA3856" w:rsidRDefault="005953BF" w:rsidP="00EC2D50">
      <w:pPr>
        <w:ind w:firstLine="708"/>
        <w:jc w:val="both"/>
        <w:rPr>
          <w:szCs w:val="20"/>
        </w:rPr>
      </w:pPr>
      <w:r w:rsidRPr="00FA3856">
        <w:rPr>
          <w:szCs w:val="20"/>
        </w:rPr>
        <w:t>Registro</w:t>
      </w:r>
      <w:r w:rsidR="002F1087" w:rsidRPr="00FA3856">
        <w:rPr>
          <w:szCs w:val="20"/>
        </w:rPr>
        <w:t xml:space="preserve"> 20 - Nível hierárquico 1</w:t>
      </w:r>
    </w:p>
    <w:p w:rsidR="002F1087" w:rsidRPr="00FA3856" w:rsidRDefault="005953BF" w:rsidP="00EC2D50">
      <w:pPr>
        <w:ind w:left="708" w:firstLine="708"/>
        <w:jc w:val="both"/>
        <w:rPr>
          <w:szCs w:val="20"/>
        </w:rPr>
      </w:pPr>
      <w:r w:rsidRPr="00FA3856">
        <w:rPr>
          <w:szCs w:val="20"/>
        </w:rPr>
        <w:t>Registro</w:t>
      </w:r>
      <w:r w:rsidR="002F1087" w:rsidRPr="00FA3856">
        <w:rPr>
          <w:szCs w:val="20"/>
        </w:rPr>
        <w:t xml:space="preserve"> 30 - Nível hierárquico 2</w:t>
      </w:r>
    </w:p>
    <w:p w:rsidR="002F1087" w:rsidRPr="00FA3856" w:rsidRDefault="005953BF" w:rsidP="00EC2D50">
      <w:pPr>
        <w:ind w:left="1416" w:firstLine="708"/>
        <w:jc w:val="both"/>
        <w:rPr>
          <w:szCs w:val="20"/>
        </w:rPr>
      </w:pPr>
      <w:r w:rsidRPr="00FA3856">
        <w:rPr>
          <w:szCs w:val="20"/>
        </w:rPr>
        <w:t>Registro</w:t>
      </w:r>
      <w:r w:rsidR="002F1087" w:rsidRPr="00FA3856">
        <w:rPr>
          <w:szCs w:val="20"/>
        </w:rPr>
        <w:t xml:space="preserve"> 40 - Nível hierárquico 3</w:t>
      </w:r>
    </w:p>
    <w:p w:rsidR="002F1087" w:rsidRPr="00FA3856" w:rsidRDefault="005953BF" w:rsidP="00EC2D50">
      <w:pPr>
        <w:ind w:left="1416" w:firstLine="708"/>
        <w:jc w:val="both"/>
        <w:rPr>
          <w:szCs w:val="20"/>
        </w:rPr>
      </w:pPr>
      <w:r w:rsidRPr="00FA3856">
        <w:rPr>
          <w:szCs w:val="20"/>
        </w:rPr>
        <w:t>Registro</w:t>
      </w:r>
      <w:r w:rsidR="002F1087" w:rsidRPr="00FA3856">
        <w:rPr>
          <w:szCs w:val="20"/>
        </w:rPr>
        <w:t xml:space="preserve"> 50 - Nível hierárquico 3</w:t>
      </w:r>
    </w:p>
    <w:p w:rsidR="002F1087" w:rsidRPr="00FA3856" w:rsidRDefault="005953BF" w:rsidP="00EC2D50">
      <w:pPr>
        <w:ind w:left="708" w:firstLine="708"/>
        <w:jc w:val="both"/>
        <w:rPr>
          <w:szCs w:val="20"/>
        </w:rPr>
      </w:pPr>
      <w:r w:rsidRPr="00FA3856">
        <w:rPr>
          <w:szCs w:val="20"/>
        </w:rPr>
        <w:t>Registro</w:t>
      </w:r>
      <w:r w:rsidR="002F1087" w:rsidRPr="00FA3856">
        <w:rPr>
          <w:szCs w:val="20"/>
        </w:rPr>
        <w:t xml:space="preserve"> 60 - Nível hierárquico 2</w:t>
      </w:r>
    </w:p>
    <w:p w:rsidR="002F1087" w:rsidRPr="00FA3856" w:rsidRDefault="005953BF" w:rsidP="00EC2D50">
      <w:pPr>
        <w:ind w:firstLine="708"/>
        <w:jc w:val="both"/>
        <w:rPr>
          <w:szCs w:val="20"/>
        </w:rPr>
      </w:pPr>
      <w:r w:rsidRPr="00FA3856">
        <w:rPr>
          <w:szCs w:val="20"/>
        </w:rPr>
        <w:t>Registro</w:t>
      </w:r>
      <w:r w:rsidR="002F1087" w:rsidRPr="00FA3856">
        <w:rPr>
          <w:szCs w:val="20"/>
        </w:rPr>
        <w:t xml:space="preserve"> 70 - Nível hierárquico 1</w:t>
      </w:r>
    </w:p>
    <w:p w:rsidR="00921621" w:rsidRPr="00FA3856" w:rsidRDefault="00E717E5" w:rsidP="00EC2D50">
      <w:pPr>
        <w:jc w:val="both"/>
        <w:rPr>
          <w:szCs w:val="20"/>
        </w:rPr>
      </w:pPr>
      <w:r w:rsidRPr="00FA3856">
        <w:rPr>
          <w:szCs w:val="20"/>
        </w:rPr>
        <w:tab/>
      </w:r>
    </w:p>
    <w:p w:rsidR="00E717E5" w:rsidRPr="00FA3856" w:rsidRDefault="00E717E5" w:rsidP="00921621">
      <w:pPr>
        <w:ind w:firstLine="708"/>
        <w:jc w:val="both"/>
        <w:rPr>
          <w:szCs w:val="20"/>
        </w:rPr>
      </w:pPr>
      <w:r w:rsidRPr="00FA3856">
        <w:rPr>
          <w:szCs w:val="20"/>
        </w:rPr>
        <w:t>Registros “Pais”: 10 (não possui registros “filhos”), 20 (possui registros “filhos”) e 70 (não possui registros “filhos”).</w:t>
      </w:r>
    </w:p>
    <w:p w:rsidR="00E717E5" w:rsidRPr="00FA3856" w:rsidRDefault="00E717E5" w:rsidP="00EC2D50">
      <w:pPr>
        <w:jc w:val="both"/>
        <w:rPr>
          <w:szCs w:val="20"/>
        </w:rPr>
      </w:pPr>
      <w:r w:rsidRPr="00FA3856">
        <w:rPr>
          <w:szCs w:val="20"/>
        </w:rPr>
        <w:tab/>
        <w:t>Registro 20: Possui os registros 30 (possui regist</w:t>
      </w:r>
      <w:r w:rsidR="00E3757E" w:rsidRPr="00FA3856">
        <w:rPr>
          <w:szCs w:val="20"/>
        </w:rPr>
        <w:t>ros “filhos”) e 60 (não possui registros “filhos”) como “filhos”</w:t>
      </w:r>
      <w:r w:rsidRPr="00FA3856">
        <w:rPr>
          <w:szCs w:val="20"/>
        </w:rPr>
        <w:t>.</w:t>
      </w:r>
    </w:p>
    <w:p w:rsidR="00E717E5" w:rsidRPr="00FA3856" w:rsidRDefault="00E717E5" w:rsidP="00EC2D50">
      <w:pPr>
        <w:jc w:val="both"/>
        <w:rPr>
          <w:szCs w:val="20"/>
        </w:rPr>
      </w:pPr>
      <w:r w:rsidRPr="00FA3856">
        <w:rPr>
          <w:szCs w:val="20"/>
        </w:rPr>
        <w:tab/>
        <w:t xml:space="preserve">Registro 30: Possui os registros 40 </w:t>
      </w:r>
      <w:r w:rsidR="009C088B" w:rsidRPr="00FA3856">
        <w:rPr>
          <w:szCs w:val="20"/>
        </w:rPr>
        <w:t xml:space="preserve">(não possui registros “filhos”) </w:t>
      </w:r>
      <w:r w:rsidRPr="00FA3856">
        <w:rPr>
          <w:szCs w:val="20"/>
        </w:rPr>
        <w:t xml:space="preserve">e 50 </w:t>
      </w:r>
      <w:r w:rsidR="00E3757E" w:rsidRPr="00FA3856">
        <w:rPr>
          <w:szCs w:val="20"/>
        </w:rPr>
        <w:t xml:space="preserve">(não possui registros “filhos”) </w:t>
      </w:r>
      <w:r w:rsidRPr="00FA3856">
        <w:rPr>
          <w:szCs w:val="20"/>
        </w:rPr>
        <w:t>como “filhos”.</w:t>
      </w:r>
    </w:p>
    <w:p w:rsidR="00E717E5" w:rsidRPr="00FA3856" w:rsidRDefault="00E717E5" w:rsidP="00E717E5">
      <w:pPr>
        <w:jc w:val="both"/>
        <w:rPr>
          <w:szCs w:val="20"/>
        </w:rPr>
      </w:pPr>
    </w:p>
    <w:p w:rsidR="0005364A" w:rsidRPr="00FA3856" w:rsidRDefault="0005364A" w:rsidP="00EC2D50">
      <w:pPr>
        <w:ind w:firstLine="708"/>
        <w:jc w:val="both"/>
        <w:rPr>
          <w:szCs w:val="20"/>
        </w:rPr>
      </w:pPr>
      <w:r w:rsidRPr="00FA3856">
        <w:rPr>
          <w:szCs w:val="20"/>
        </w:rPr>
        <w:t xml:space="preserve">Os </w:t>
      </w:r>
      <w:r w:rsidR="005953BF" w:rsidRPr="00FA3856">
        <w:rPr>
          <w:szCs w:val="20"/>
        </w:rPr>
        <w:t>registro</w:t>
      </w:r>
      <w:r w:rsidRPr="00FA3856">
        <w:rPr>
          <w:szCs w:val="20"/>
        </w:rPr>
        <w:t>s são sempre iniciados na primeira coluna (po</w:t>
      </w:r>
      <w:r w:rsidR="000F6DAD" w:rsidRPr="00FA3856">
        <w:rPr>
          <w:szCs w:val="20"/>
        </w:rPr>
        <w:t>sição 1) e têm tamanho variável.</w:t>
      </w:r>
    </w:p>
    <w:p w:rsidR="000F6DAD" w:rsidRPr="00FA3856" w:rsidRDefault="000F6DAD" w:rsidP="00EC2D50">
      <w:pPr>
        <w:ind w:firstLine="708"/>
        <w:jc w:val="both"/>
        <w:rPr>
          <w:szCs w:val="20"/>
        </w:rPr>
      </w:pPr>
    </w:p>
    <w:p w:rsidR="0005364A" w:rsidRPr="00FA3856" w:rsidRDefault="0005364A" w:rsidP="00EC2D50">
      <w:pPr>
        <w:ind w:firstLine="708"/>
        <w:jc w:val="both"/>
        <w:rPr>
          <w:szCs w:val="20"/>
        </w:rPr>
      </w:pPr>
      <w:r w:rsidRPr="00FA3856">
        <w:rPr>
          <w:szCs w:val="20"/>
        </w:rPr>
        <w:t xml:space="preserve">A linha do arquivo digital deve conter os campos na exata ordem em que estão listados nos respectivos </w:t>
      </w:r>
      <w:r w:rsidR="005953BF" w:rsidRPr="00FA3856">
        <w:rPr>
          <w:szCs w:val="20"/>
        </w:rPr>
        <w:t>registro</w:t>
      </w:r>
      <w:r w:rsidR="000F6DAD" w:rsidRPr="00FA3856">
        <w:rPr>
          <w:szCs w:val="20"/>
        </w:rPr>
        <w:t>s.</w:t>
      </w:r>
    </w:p>
    <w:p w:rsidR="00A26429" w:rsidRPr="00FA3856" w:rsidRDefault="00A26429" w:rsidP="00EC2D50">
      <w:pPr>
        <w:ind w:firstLine="708"/>
        <w:jc w:val="both"/>
        <w:rPr>
          <w:szCs w:val="20"/>
        </w:rPr>
      </w:pPr>
    </w:p>
    <w:p w:rsidR="0005364A" w:rsidRPr="00FA3856" w:rsidRDefault="0005364A" w:rsidP="00EC2D50">
      <w:pPr>
        <w:ind w:firstLine="708"/>
        <w:jc w:val="both"/>
        <w:rPr>
          <w:szCs w:val="20"/>
        </w:rPr>
      </w:pPr>
      <w:r w:rsidRPr="00FA3856">
        <w:rPr>
          <w:szCs w:val="20"/>
        </w:rPr>
        <w:t xml:space="preserve">Ao início do </w:t>
      </w:r>
      <w:r w:rsidR="005953BF" w:rsidRPr="00FA3856">
        <w:rPr>
          <w:szCs w:val="20"/>
        </w:rPr>
        <w:t>registro</w:t>
      </w:r>
      <w:r w:rsidRPr="00FA3856">
        <w:rPr>
          <w:szCs w:val="20"/>
        </w:rPr>
        <w:t xml:space="preserve"> e ao final de cada campo deve ser inserido o caractere delimitador "|” (</w:t>
      </w:r>
      <w:r w:rsidRPr="00FA3856">
        <w:rPr>
          <w:i/>
          <w:szCs w:val="20"/>
        </w:rPr>
        <w:t>Pipe</w:t>
      </w:r>
      <w:r w:rsidRPr="00FA3856">
        <w:rPr>
          <w:szCs w:val="20"/>
        </w:rPr>
        <w:t xml:space="preserve"> ou Barra Vertical:</w:t>
      </w:r>
      <w:r w:rsidR="000F6DAD" w:rsidRPr="00FA3856">
        <w:rPr>
          <w:szCs w:val="20"/>
        </w:rPr>
        <w:t xml:space="preserve"> caractere 124 da Tabela ASCII). </w:t>
      </w:r>
      <w:r w:rsidRPr="00FA3856">
        <w:rPr>
          <w:szCs w:val="20"/>
        </w:rPr>
        <w:t>O caractere delimitador "|" (</w:t>
      </w:r>
      <w:r w:rsidRPr="00FA3856">
        <w:rPr>
          <w:i/>
          <w:szCs w:val="20"/>
        </w:rPr>
        <w:t>Pipe</w:t>
      </w:r>
      <w:r w:rsidRPr="00FA3856">
        <w:rPr>
          <w:szCs w:val="20"/>
        </w:rPr>
        <w:t>) não deve ser incluído como parte integrante do conteúdo de quaisquer ca</w:t>
      </w:r>
      <w:r w:rsidR="000F6DAD" w:rsidRPr="00FA3856">
        <w:rPr>
          <w:szCs w:val="20"/>
        </w:rPr>
        <w:t>mpos numéricos ou alfanuméricos.</w:t>
      </w:r>
    </w:p>
    <w:p w:rsidR="000F6DAD" w:rsidRPr="00FA3856" w:rsidRDefault="000F6DAD" w:rsidP="00EC2D50">
      <w:pPr>
        <w:ind w:firstLine="708"/>
        <w:jc w:val="both"/>
        <w:rPr>
          <w:szCs w:val="20"/>
        </w:rPr>
      </w:pPr>
    </w:p>
    <w:p w:rsidR="000F6DAD" w:rsidRPr="00FA3856" w:rsidRDefault="0005364A" w:rsidP="00EC2D50">
      <w:pPr>
        <w:ind w:firstLine="708"/>
        <w:jc w:val="both"/>
        <w:rPr>
          <w:szCs w:val="20"/>
        </w:rPr>
      </w:pPr>
      <w:r w:rsidRPr="00FA3856">
        <w:rPr>
          <w:szCs w:val="20"/>
        </w:rPr>
        <w:t xml:space="preserve">Todos os </w:t>
      </w:r>
      <w:r w:rsidR="005953BF" w:rsidRPr="00FA3856">
        <w:rPr>
          <w:szCs w:val="20"/>
        </w:rPr>
        <w:t>registro</w:t>
      </w:r>
      <w:r w:rsidRPr="00FA3856">
        <w:rPr>
          <w:szCs w:val="20"/>
        </w:rPr>
        <w:t>s devem conter</w:t>
      </w:r>
      <w:r w:rsidR="000F6DAD" w:rsidRPr="00FA3856">
        <w:rPr>
          <w:szCs w:val="20"/>
        </w:rPr>
        <w:t>, a</w:t>
      </w:r>
      <w:r w:rsidRPr="00FA3856">
        <w:rPr>
          <w:szCs w:val="20"/>
        </w:rPr>
        <w:t xml:space="preserve">o final de cada linha do arquivo digital, após o caractere delimitador </w:t>
      </w:r>
      <w:r w:rsidR="000F6DAD" w:rsidRPr="00FA3856">
        <w:rPr>
          <w:szCs w:val="20"/>
        </w:rPr>
        <w:t>“|” (</w:t>
      </w:r>
      <w:r w:rsidRPr="00FA3856">
        <w:rPr>
          <w:i/>
          <w:szCs w:val="20"/>
        </w:rPr>
        <w:t>Pipe</w:t>
      </w:r>
      <w:r w:rsidR="000F6DAD" w:rsidRPr="00FA3856">
        <w:rPr>
          <w:i/>
          <w:szCs w:val="20"/>
        </w:rPr>
        <w:t>)</w:t>
      </w:r>
      <w:r w:rsidRPr="00FA3856">
        <w:rPr>
          <w:szCs w:val="20"/>
        </w:rPr>
        <w:t>, os caracteres "CR" (</w:t>
      </w:r>
      <w:r w:rsidRPr="00FA3856">
        <w:rPr>
          <w:i/>
          <w:szCs w:val="20"/>
        </w:rPr>
        <w:t>Carriage Return</w:t>
      </w:r>
      <w:r w:rsidRPr="00FA3856">
        <w:rPr>
          <w:szCs w:val="20"/>
        </w:rPr>
        <w:t>) e "LF" (</w:t>
      </w:r>
      <w:r w:rsidRPr="00FA3856">
        <w:rPr>
          <w:i/>
          <w:szCs w:val="20"/>
        </w:rPr>
        <w:t>Line Feed</w:t>
      </w:r>
      <w:r w:rsidRPr="00FA3856">
        <w:rPr>
          <w:szCs w:val="20"/>
        </w:rPr>
        <w:t>) correspondentes a "retorno do carro" e "salto de linha"</w:t>
      </w:r>
      <w:r w:rsidR="000F6DAD" w:rsidRPr="00FA3856">
        <w:rPr>
          <w:szCs w:val="20"/>
        </w:rPr>
        <w:t>, respectivamente</w:t>
      </w:r>
      <w:r w:rsidRPr="00FA3856">
        <w:rPr>
          <w:szCs w:val="20"/>
        </w:rPr>
        <w:t xml:space="preserve"> (CR e LF: caracteres 13 e 10, respectivamente, da Tabela ASCII).</w:t>
      </w:r>
    </w:p>
    <w:p w:rsidR="004B7494" w:rsidRPr="00FA3856" w:rsidRDefault="004B7494" w:rsidP="00EC2D50">
      <w:pPr>
        <w:ind w:firstLine="708"/>
        <w:jc w:val="both"/>
        <w:rPr>
          <w:szCs w:val="20"/>
        </w:rPr>
      </w:pPr>
    </w:p>
    <w:p w:rsidR="000F6DAD" w:rsidRPr="00FA3856" w:rsidRDefault="0005364A" w:rsidP="00EC2D50">
      <w:pPr>
        <w:ind w:firstLine="708"/>
        <w:jc w:val="both"/>
        <w:rPr>
          <w:b/>
          <w:szCs w:val="20"/>
        </w:rPr>
      </w:pPr>
      <w:r w:rsidRPr="00FA3856">
        <w:rPr>
          <w:b/>
          <w:szCs w:val="20"/>
        </w:rPr>
        <w:lastRenderedPageBreak/>
        <w:t xml:space="preserve">Exemplo (campos do </w:t>
      </w:r>
      <w:r w:rsidR="005953BF" w:rsidRPr="00FA3856">
        <w:rPr>
          <w:b/>
          <w:szCs w:val="20"/>
        </w:rPr>
        <w:t>registro</w:t>
      </w:r>
      <w:r w:rsidRPr="00FA3856">
        <w:rPr>
          <w:b/>
          <w:szCs w:val="20"/>
        </w:rPr>
        <w:t>):</w:t>
      </w:r>
    </w:p>
    <w:p w:rsidR="0005364A" w:rsidRPr="00FA3856" w:rsidRDefault="000F6DAD" w:rsidP="00EC2D50">
      <w:pPr>
        <w:ind w:firstLine="708"/>
        <w:jc w:val="both"/>
        <w:rPr>
          <w:szCs w:val="20"/>
          <w:u w:val="single"/>
          <w:vertAlign w:val="superscript"/>
        </w:rPr>
      </w:pPr>
      <w:r w:rsidRPr="00FA3856">
        <w:rPr>
          <w:szCs w:val="20"/>
        </w:rPr>
        <w:t>1</w:t>
      </w:r>
      <w:r w:rsidRPr="00FA3856">
        <w:rPr>
          <w:szCs w:val="20"/>
          <w:u w:val="single"/>
          <w:vertAlign w:val="superscript"/>
        </w:rPr>
        <w:t>o</w:t>
      </w:r>
      <w:r w:rsidRPr="00FA3856">
        <w:rPr>
          <w:szCs w:val="20"/>
        </w:rPr>
        <w:t xml:space="preserve"> </w:t>
      </w:r>
      <w:r w:rsidRPr="00FA3856">
        <w:rPr>
          <w:szCs w:val="20"/>
        </w:rPr>
        <w:tab/>
      </w:r>
      <w:r w:rsidRPr="00FA3856">
        <w:rPr>
          <w:szCs w:val="20"/>
        </w:rPr>
        <w:tab/>
        <w:t>2</w:t>
      </w:r>
      <w:r w:rsidRPr="00FA3856">
        <w:rPr>
          <w:szCs w:val="20"/>
          <w:u w:val="single"/>
          <w:vertAlign w:val="superscript"/>
        </w:rPr>
        <w:t>o</w:t>
      </w:r>
      <w:r w:rsidR="00341A81" w:rsidRPr="00FA3856">
        <w:rPr>
          <w:szCs w:val="20"/>
        </w:rPr>
        <w:t xml:space="preserve"> </w:t>
      </w:r>
      <w:r w:rsidR="00341A81" w:rsidRPr="00FA3856">
        <w:rPr>
          <w:szCs w:val="20"/>
        </w:rPr>
        <w:tab/>
      </w:r>
      <w:r w:rsidR="00341A81" w:rsidRPr="00FA3856">
        <w:rPr>
          <w:szCs w:val="20"/>
        </w:rPr>
        <w:tab/>
      </w:r>
      <w:r w:rsidRPr="00FA3856">
        <w:rPr>
          <w:szCs w:val="20"/>
        </w:rPr>
        <w:t>3</w:t>
      </w:r>
      <w:r w:rsidRPr="00FA3856">
        <w:rPr>
          <w:szCs w:val="20"/>
          <w:u w:val="single"/>
          <w:vertAlign w:val="superscript"/>
        </w:rPr>
        <w:t>o</w:t>
      </w:r>
      <w:r w:rsidR="00341A81" w:rsidRPr="00FA3856">
        <w:rPr>
          <w:szCs w:val="20"/>
        </w:rPr>
        <w:t xml:space="preserve"> </w:t>
      </w:r>
      <w:r w:rsidR="00341A81" w:rsidRPr="00FA3856">
        <w:rPr>
          <w:szCs w:val="20"/>
        </w:rPr>
        <w:tab/>
      </w:r>
      <w:r w:rsidR="00341A81" w:rsidRPr="00FA3856">
        <w:rPr>
          <w:szCs w:val="20"/>
        </w:rPr>
        <w:tab/>
      </w:r>
      <w:r w:rsidRPr="00FA3856">
        <w:rPr>
          <w:szCs w:val="20"/>
        </w:rPr>
        <w:t>4</w:t>
      </w:r>
      <w:r w:rsidRPr="00FA3856">
        <w:rPr>
          <w:szCs w:val="20"/>
          <w:u w:val="single"/>
          <w:vertAlign w:val="superscript"/>
        </w:rPr>
        <w:t>o</w:t>
      </w:r>
    </w:p>
    <w:p w:rsidR="0005364A" w:rsidRPr="00FA3856" w:rsidRDefault="000F6DAD" w:rsidP="00EC2D50">
      <w:pPr>
        <w:ind w:firstLine="708"/>
        <w:jc w:val="both"/>
        <w:rPr>
          <w:szCs w:val="20"/>
        </w:rPr>
      </w:pPr>
      <w:r w:rsidRPr="00FA3856">
        <w:rPr>
          <w:szCs w:val="20"/>
        </w:rPr>
        <w:t>REG</w:t>
      </w:r>
      <w:r w:rsidRPr="00FA3856">
        <w:rPr>
          <w:szCs w:val="20"/>
        </w:rPr>
        <w:tab/>
      </w:r>
      <w:r w:rsidRPr="00FA3856">
        <w:rPr>
          <w:szCs w:val="20"/>
        </w:rPr>
        <w:tab/>
        <w:t>NOME</w:t>
      </w:r>
      <w:r w:rsidR="0005364A" w:rsidRPr="00FA3856">
        <w:rPr>
          <w:szCs w:val="20"/>
        </w:rPr>
        <w:t xml:space="preserve"> </w:t>
      </w:r>
      <w:r w:rsidR="0005364A" w:rsidRPr="00FA3856">
        <w:rPr>
          <w:szCs w:val="20"/>
        </w:rPr>
        <w:tab/>
      </w:r>
      <w:r w:rsidR="00341A81" w:rsidRPr="00FA3856">
        <w:rPr>
          <w:szCs w:val="20"/>
        </w:rPr>
        <w:tab/>
      </w:r>
      <w:r w:rsidRPr="00FA3856">
        <w:rPr>
          <w:szCs w:val="20"/>
        </w:rPr>
        <w:t>CNPJ</w:t>
      </w:r>
      <w:r w:rsidR="0005364A" w:rsidRPr="00FA3856">
        <w:rPr>
          <w:szCs w:val="20"/>
        </w:rPr>
        <w:t xml:space="preserve"> </w:t>
      </w:r>
      <w:r w:rsidR="0005364A" w:rsidRPr="00FA3856">
        <w:rPr>
          <w:szCs w:val="20"/>
        </w:rPr>
        <w:tab/>
      </w:r>
      <w:r w:rsidR="0005364A" w:rsidRPr="00FA3856">
        <w:rPr>
          <w:szCs w:val="20"/>
        </w:rPr>
        <w:tab/>
        <w:t>IE</w:t>
      </w:r>
    </w:p>
    <w:p w:rsidR="0005364A" w:rsidRPr="00FA3856" w:rsidRDefault="00497F27" w:rsidP="00EC2D50">
      <w:pPr>
        <w:ind w:firstLine="708"/>
        <w:jc w:val="both"/>
        <w:rPr>
          <w:szCs w:val="20"/>
        </w:rPr>
      </w:pPr>
      <w:r w:rsidRPr="00FA3856">
        <w:rPr>
          <w:szCs w:val="20"/>
        </w:rPr>
        <w:t>|I</w:t>
      </w:r>
      <w:r w:rsidR="0005364A" w:rsidRPr="00FA3856">
        <w:rPr>
          <w:szCs w:val="20"/>
        </w:rPr>
        <w:t>550|José Silva &amp; Irmãos Ltda|60001556000257|01238578455|CRLF</w:t>
      </w:r>
    </w:p>
    <w:p w:rsidR="0005364A" w:rsidRPr="00FA3856" w:rsidRDefault="00497F27" w:rsidP="00EC2D50">
      <w:pPr>
        <w:ind w:firstLine="708"/>
        <w:jc w:val="both"/>
        <w:rPr>
          <w:szCs w:val="20"/>
        </w:rPr>
      </w:pPr>
      <w:r w:rsidRPr="00FA3856">
        <w:rPr>
          <w:szCs w:val="20"/>
        </w:rPr>
        <w:t>|I</w:t>
      </w:r>
      <w:r w:rsidR="0005364A" w:rsidRPr="00FA3856">
        <w:rPr>
          <w:szCs w:val="20"/>
        </w:rPr>
        <w:t>550|Armando Silva ME|99222333000150||CRLF</w:t>
      </w:r>
    </w:p>
    <w:p w:rsidR="0005364A" w:rsidRPr="00FA3856" w:rsidRDefault="0005364A" w:rsidP="00EC2D50">
      <w:pPr>
        <w:ind w:firstLine="708"/>
        <w:jc w:val="both"/>
        <w:rPr>
          <w:szCs w:val="20"/>
        </w:rPr>
      </w:pPr>
    </w:p>
    <w:p w:rsidR="0005364A" w:rsidRPr="00FA3856" w:rsidRDefault="0005364A" w:rsidP="00EC2D50">
      <w:pPr>
        <w:ind w:firstLine="708"/>
        <w:jc w:val="both"/>
        <w:rPr>
          <w:szCs w:val="20"/>
        </w:rPr>
      </w:pPr>
      <w:r w:rsidRPr="00FA3856">
        <w:rPr>
          <w:szCs w:val="20"/>
        </w:rPr>
        <w:t xml:space="preserve">Na ausência de informação, o </w:t>
      </w:r>
      <w:r w:rsidR="000F6DAD" w:rsidRPr="00FA3856">
        <w:rPr>
          <w:szCs w:val="20"/>
        </w:rPr>
        <w:t>campo vazio (campo sem conteúdo ou nulo ou</w:t>
      </w:r>
      <w:r w:rsidRPr="00FA3856">
        <w:rPr>
          <w:szCs w:val="20"/>
        </w:rPr>
        <w:t xml:space="preserve"> </w:t>
      </w:r>
      <w:r w:rsidRPr="00FA3856">
        <w:rPr>
          <w:i/>
          <w:szCs w:val="20"/>
        </w:rPr>
        <w:t>null</w:t>
      </w:r>
      <w:r w:rsidRPr="00FA3856">
        <w:rPr>
          <w:szCs w:val="20"/>
        </w:rPr>
        <w:t xml:space="preserve">) deverá ser imediatamente encerrado com o caractere "|" </w:t>
      </w:r>
      <w:r w:rsidR="000F6DAD" w:rsidRPr="00FA3856">
        <w:rPr>
          <w:szCs w:val="20"/>
        </w:rPr>
        <w:t>(</w:t>
      </w:r>
      <w:r w:rsidR="000F6DAD" w:rsidRPr="00FA3856">
        <w:rPr>
          <w:i/>
          <w:szCs w:val="20"/>
        </w:rPr>
        <w:t xml:space="preserve">Pipe) </w:t>
      </w:r>
      <w:r w:rsidRPr="00FA3856">
        <w:rPr>
          <w:szCs w:val="20"/>
        </w:rPr>
        <w:t>delimitador de campo.</w:t>
      </w:r>
    </w:p>
    <w:p w:rsidR="0005364A" w:rsidRPr="00FA3856" w:rsidRDefault="0005364A" w:rsidP="00EC2D50">
      <w:pPr>
        <w:ind w:firstLine="708"/>
        <w:jc w:val="both"/>
        <w:rPr>
          <w:szCs w:val="20"/>
        </w:rPr>
      </w:pPr>
    </w:p>
    <w:p w:rsidR="000F6DAD" w:rsidRPr="00FA3856" w:rsidRDefault="0005364A" w:rsidP="00EC2D50">
      <w:pPr>
        <w:ind w:firstLine="708"/>
        <w:jc w:val="both"/>
        <w:rPr>
          <w:b/>
          <w:szCs w:val="20"/>
        </w:rPr>
      </w:pPr>
      <w:r w:rsidRPr="00FA3856">
        <w:rPr>
          <w:b/>
          <w:szCs w:val="20"/>
        </w:rPr>
        <w:t>Exemplos (conteúdo do campo)</w:t>
      </w:r>
      <w:r w:rsidR="000F6DAD" w:rsidRPr="00FA3856">
        <w:rPr>
          <w:b/>
          <w:szCs w:val="20"/>
        </w:rPr>
        <w:t>:</w:t>
      </w:r>
    </w:p>
    <w:p w:rsidR="0005364A" w:rsidRPr="00FA3856" w:rsidRDefault="0005364A" w:rsidP="00EC2D50">
      <w:pPr>
        <w:ind w:firstLine="708"/>
        <w:jc w:val="both"/>
        <w:rPr>
          <w:szCs w:val="20"/>
        </w:rPr>
      </w:pPr>
      <w:r w:rsidRPr="00FA3856">
        <w:rPr>
          <w:szCs w:val="20"/>
        </w:rPr>
        <w:t>Campo alfanumérico</w:t>
      </w:r>
      <w:r w:rsidR="000F6DAD" w:rsidRPr="00FA3856">
        <w:rPr>
          <w:szCs w:val="20"/>
        </w:rPr>
        <w:t xml:space="preserve">: José da Silva &amp; Irmãos Ltda </w:t>
      </w:r>
      <w:r w:rsidR="000F6DAD" w:rsidRPr="00FA3856">
        <w:rPr>
          <w:position w:val="-6"/>
          <w:szCs w:val="20"/>
        </w:rPr>
        <w:object w:dxaOrig="36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75pt;height:14.25pt" o:ole="">
            <v:imagedata r:id="rId8" o:title=""/>
          </v:shape>
          <o:OLEObject Type="Embed" ProgID="Equation.DSMT4" ShapeID="_x0000_i1025" DrawAspect="Content" ObjectID="_1556641642" r:id="rId9"/>
        </w:object>
      </w:r>
      <w:r w:rsidRPr="00FA3856">
        <w:rPr>
          <w:szCs w:val="20"/>
        </w:rPr>
        <w:t>|José da Silva &amp; Irmãos Ltda|</w:t>
      </w:r>
    </w:p>
    <w:p w:rsidR="0005364A" w:rsidRPr="00FA3856" w:rsidRDefault="000F6DAD" w:rsidP="00EC2D50">
      <w:pPr>
        <w:ind w:firstLine="708"/>
        <w:jc w:val="both"/>
        <w:rPr>
          <w:szCs w:val="20"/>
        </w:rPr>
      </w:pPr>
      <w:r w:rsidRPr="00FA3856">
        <w:rPr>
          <w:szCs w:val="20"/>
        </w:rPr>
        <w:t xml:space="preserve">Campo numérico: 1234,56 </w:t>
      </w:r>
      <w:r w:rsidRPr="00FA3856">
        <w:rPr>
          <w:position w:val="-6"/>
          <w:szCs w:val="20"/>
        </w:rPr>
        <w:object w:dxaOrig="360" w:dyaOrig="260">
          <v:shape id="_x0000_i1026" type="#_x0000_t75" style="width:21.75pt;height:14.25pt" o:ole="">
            <v:imagedata r:id="rId8" o:title=""/>
          </v:shape>
          <o:OLEObject Type="Embed" ProgID="Equation.DSMT4" ShapeID="_x0000_i1026" DrawAspect="Content" ObjectID="_1556641643" r:id="rId10"/>
        </w:object>
      </w:r>
      <w:r w:rsidR="0005364A" w:rsidRPr="00FA3856">
        <w:rPr>
          <w:szCs w:val="20"/>
        </w:rPr>
        <w:t>|1234,56|</w:t>
      </w:r>
    </w:p>
    <w:p w:rsidR="0005364A" w:rsidRPr="00FA3856" w:rsidRDefault="0005364A" w:rsidP="00EC2D50">
      <w:pPr>
        <w:ind w:firstLine="708"/>
        <w:jc w:val="both"/>
        <w:rPr>
          <w:szCs w:val="20"/>
        </w:rPr>
      </w:pPr>
      <w:r w:rsidRPr="00FA3856">
        <w:rPr>
          <w:szCs w:val="20"/>
        </w:rPr>
        <w:t xml:space="preserve">Campo numérico ou alfanumérico vazio </w:t>
      </w:r>
      <w:r w:rsidR="000F6DAD" w:rsidRPr="00FA3856">
        <w:rPr>
          <w:position w:val="-6"/>
          <w:szCs w:val="20"/>
        </w:rPr>
        <w:object w:dxaOrig="360" w:dyaOrig="260">
          <v:shape id="_x0000_i1027" type="#_x0000_t75" style="width:21.75pt;height:14.25pt" o:ole="">
            <v:imagedata r:id="rId8" o:title=""/>
          </v:shape>
          <o:OLEObject Type="Embed" ProgID="Equation.DSMT4" ShapeID="_x0000_i1027" DrawAspect="Content" ObjectID="_1556641644" r:id="rId11"/>
        </w:object>
      </w:r>
      <w:r w:rsidRPr="00FA3856">
        <w:rPr>
          <w:szCs w:val="20"/>
        </w:rPr>
        <w:t xml:space="preserve"> ||</w:t>
      </w:r>
    </w:p>
    <w:p w:rsidR="0081506D" w:rsidRPr="00FA3856" w:rsidRDefault="0081506D" w:rsidP="0025236D">
      <w:pPr>
        <w:jc w:val="both"/>
        <w:rPr>
          <w:szCs w:val="20"/>
        </w:rPr>
      </w:pPr>
    </w:p>
    <w:p w:rsidR="000F6DAD" w:rsidRPr="00FA3856" w:rsidRDefault="0005364A" w:rsidP="00EC2D50">
      <w:pPr>
        <w:ind w:firstLine="708"/>
        <w:jc w:val="both"/>
        <w:rPr>
          <w:b/>
          <w:szCs w:val="20"/>
        </w:rPr>
      </w:pPr>
      <w:r w:rsidRPr="00FA3856">
        <w:rPr>
          <w:b/>
          <w:szCs w:val="20"/>
        </w:rPr>
        <w:t>Exempl</w:t>
      </w:r>
      <w:r w:rsidR="000F6DAD" w:rsidRPr="00FA3856">
        <w:rPr>
          <w:b/>
          <w:szCs w:val="20"/>
        </w:rPr>
        <w:t xml:space="preserve">o (campo vazio no meio da linha): </w:t>
      </w:r>
    </w:p>
    <w:p w:rsidR="0005364A" w:rsidRPr="00FA3856" w:rsidRDefault="0005364A" w:rsidP="00EC2D50">
      <w:pPr>
        <w:ind w:firstLine="708"/>
        <w:jc w:val="both"/>
        <w:rPr>
          <w:b/>
          <w:szCs w:val="20"/>
        </w:rPr>
      </w:pPr>
      <w:r w:rsidRPr="00FA3856">
        <w:rPr>
          <w:szCs w:val="20"/>
        </w:rPr>
        <w:t>|123,00||123654788000354|</w:t>
      </w:r>
    </w:p>
    <w:p w:rsidR="000F6DAD" w:rsidRPr="00FA3856" w:rsidRDefault="000F6DAD" w:rsidP="00EC2D50">
      <w:pPr>
        <w:ind w:firstLine="708"/>
        <w:jc w:val="both"/>
        <w:rPr>
          <w:szCs w:val="20"/>
        </w:rPr>
      </w:pPr>
    </w:p>
    <w:p w:rsidR="000F6DAD" w:rsidRPr="00FA3856" w:rsidRDefault="0005364A" w:rsidP="00EC2D50">
      <w:pPr>
        <w:ind w:firstLine="708"/>
        <w:jc w:val="both"/>
        <w:rPr>
          <w:b/>
          <w:szCs w:val="20"/>
        </w:rPr>
      </w:pPr>
      <w:r w:rsidRPr="00FA3856">
        <w:rPr>
          <w:b/>
          <w:szCs w:val="20"/>
        </w:rPr>
        <w:t>Exemplo (campo vazio em fim de linha)</w:t>
      </w:r>
      <w:r w:rsidR="000F6DAD" w:rsidRPr="00FA3856">
        <w:rPr>
          <w:b/>
          <w:szCs w:val="20"/>
        </w:rPr>
        <w:t>:</w:t>
      </w:r>
    </w:p>
    <w:p w:rsidR="00206938" w:rsidRPr="00FA3856" w:rsidRDefault="002247D6" w:rsidP="002247D6">
      <w:pPr>
        <w:ind w:firstLine="708"/>
        <w:jc w:val="both"/>
        <w:rPr>
          <w:szCs w:val="20"/>
        </w:rPr>
      </w:pPr>
      <w:bookmarkStart w:id="30" w:name="_Toc325702818"/>
      <w:r w:rsidRPr="00FA3856">
        <w:rPr>
          <w:szCs w:val="20"/>
        </w:rPr>
        <w:t>||CRLF</w:t>
      </w:r>
    </w:p>
    <w:p w:rsidR="002247D6" w:rsidRPr="00FA3856" w:rsidRDefault="002247D6" w:rsidP="002247D6">
      <w:pPr>
        <w:ind w:firstLine="708"/>
        <w:jc w:val="both"/>
        <w:rPr>
          <w:szCs w:val="20"/>
        </w:rPr>
      </w:pPr>
    </w:p>
    <w:p w:rsidR="000F6DAD" w:rsidRPr="00FA3856" w:rsidRDefault="00FC5876" w:rsidP="00867F54">
      <w:pPr>
        <w:pStyle w:val="Ttulo2"/>
      </w:pPr>
      <w:bookmarkStart w:id="31" w:name="_Toc479713643"/>
      <w:r w:rsidRPr="00FA3856">
        <w:t xml:space="preserve">2.3. </w:t>
      </w:r>
      <w:r w:rsidR="000F6DAD" w:rsidRPr="00FA3856">
        <w:t>Regras Gerais de Preenchimento</w:t>
      </w:r>
      <w:bookmarkEnd w:id="31"/>
    </w:p>
    <w:bookmarkEnd w:id="30"/>
    <w:p w:rsidR="00816996" w:rsidRPr="00FA3856" w:rsidRDefault="00816996" w:rsidP="00EC2D50">
      <w:pPr>
        <w:rPr>
          <w:b/>
          <w:bCs/>
          <w:szCs w:val="20"/>
        </w:rPr>
      </w:pPr>
    </w:p>
    <w:p w:rsidR="0005364A" w:rsidRPr="00FA3856" w:rsidRDefault="0005364A" w:rsidP="00EC2D50">
      <w:pPr>
        <w:ind w:firstLine="708"/>
        <w:jc w:val="both"/>
        <w:rPr>
          <w:szCs w:val="20"/>
        </w:rPr>
      </w:pPr>
      <w:r w:rsidRPr="00FA3856">
        <w:rPr>
          <w:szCs w:val="20"/>
        </w:rPr>
        <w:t xml:space="preserve">Esta seção apresenta as regras que devem ser respeitadas em todos os </w:t>
      </w:r>
      <w:r w:rsidR="005953BF" w:rsidRPr="00FA3856">
        <w:rPr>
          <w:szCs w:val="20"/>
        </w:rPr>
        <w:t>registro</w:t>
      </w:r>
      <w:r w:rsidRPr="00FA3856">
        <w:rPr>
          <w:szCs w:val="20"/>
        </w:rPr>
        <w:t xml:space="preserve">s gerados, quando não excepcionadas por regra específica referente a um dado </w:t>
      </w:r>
      <w:r w:rsidR="005953BF" w:rsidRPr="00FA3856">
        <w:rPr>
          <w:szCs w:val="20"/>
        </w:rPr>
        <w:t>registro</w:t>
      </w:r>
      <w:r w:rsidRPr="00FA3856">
        <w:rPr>
          <w:szCs w:val="20"/>
        </w:rPr>
        <w:t>.</w:t>
      </w:r>
    </w:p>
    <w:p w:rsidR="00A26429" w:rsidRPr="00FA3856" w:rsidRDefault="00A26429" w:rsidP="008A084B">
      <w:pPr>
        <w:jc w:val="both"/>
        <w:rPr>
          <w:szCs w:val="20"/>
        </w:rPr>
      </w:pPr>
    </w:p>
    <w:p w:rsidR="002247D6" w:rsidRPr="00FA3856" w:rsidRDefault="00816996" w:rsidP="00867F54">
      <w:pPr>
        <w:pStyle w:val="Ttulo3"/>
      </w:pPr>
      <w:bookmarkStart w:id="32" w:name="_Toc479713644"/>
      <w:r w:rsidRPr="00FA3856">
        <w:t xml:space="preserve">2.3.1. </w:t>
      </w:r>
      <w:r w:rsidR="0005364A" w:rsidRPr="00FA3856">
        <w:t>Fo</w:t>
      </w:r>
      <w:r w:rsidRPr="00FA3856">
        <w:t>rmato dos C</w:t>
      </w:r>
      <w:r w:rsidR="0005364A" w:rsidRPr="00FA3856">
        <w:t>ampos</w:t>
      </w:r>
      <w:bookmarkEnd w:id="32"/>
    </w:p>
    <w:p w:rsidR="002247D6" w:rsidRPr="00FA3856" w:rsidRDefault="002247D6" w:rsidP="002247D6">
      <w:pPr>
        <w:rPr>
          <w:szCs w:val="20"/>
        </w:rPr>
      </w:pPr>
    </w:p>
    <w:p w:rsidR="00340DB1" w:rsidRPr="00FA3856" w:rsidRDefault="00206938" w:rsidP="002247D6">
      <w:pPr>
        <w:pStyle w:val="Corpodetexto2"/>
        <w:widowControl w:val="0"/>
        <w:tabs>
          <w:tab w:val="num" w:pos="720"/>
        </w:tabs>
        <w:autoSpaceDE w:val="0"/>
        <w:autoSpaceDN w:val="0"/>
        <w:adjustRightInd w:val="0"/>
        <w:rPr>
          <w:bCs/>
        </w:rPr>
      </w:pPr>
      <w:r w:rsidRPr="00FA3856">
        <w:rPr>
          <w:b/>
          <w:bCs/>
        </w:rPr>
        <w:t xml:space="preserve">               </w:t>
      </w:r>
      <w:r w:rsidR="0005364A" w:rsidRPr="00FA3856">
        <w:rPr>
          <w:b/>
          <w:bCs/>
        </w:rPr>
        <w:t xml:space="preserve">ALFANUMÉRICO: </w:t>
      </w:r>
      <w:r w:rsidR="009C088B" w:rsidRPr="00FA3856">
        <w:rPr>
          <w:bCs/>
        </w:rPr>
        <w:t>R</w:t>
      </w:r>
      <w:r w:rsidR="0005364A" w:rsidRPr="00FA3856">
        <w:rPr>
          <w:bCs/>
        </w:rPr>
        <w:t>epresentados por "C" - todos os caracteres das posições da Tabela ASCII, excetuados os caracteres "|" (</w:t>
      </w:r>
      <w:r w:rsidR="0005364A" w:rsidRPr="00FA3856">
        <w:rPr>
          <w:bCs/>
          <w:i/>
        </w:rPr>
        <w:t>Pipe</w:t>
      </w:r>
      <w:r w:rsidR="0005364A" w:rsidRPr="00FA3856">
        <w:rPr>
          <w:bCs/>
        </w:rPr>
        <w:t xml:space="preserve"> ou Barra Vertical: caracter</w:t>
      </w:r>
      <w:r w:rsidR="00816996" w:rsidRPr="00FA3856">
        <w:rPr>
          <w:bCs/>
        </w:rPr>
        <w:t xml:space="preserve">e 124 da Tabela ASCII) e os não </w:t>
      </w:r>
      <w:r w:rsidR="0005364A" w:rsidRPr="00FA3856">
        <w:rPr>
          <w:bCs/>
        </w:rPr>
        <w:t>imprimíveis (cara</w:t>
      </w:r>
      <w:r w:rsidR="00816996" w:rsidRPr="00FA3856">
        <w:rPr>
          <w:bCs/>
        </w:rPr>
        <w:t>cteres 00 a 31 da Tabela ASCII).</w:t>
      </w:r>
    </w:p>
    <w:p w:rsidR="00340DB1" w:rsidRPr="00FA3856" w:rsidRDefault="00340DB1" w:rsidP="00EC2D50">
      <w:pPr>
        <w:rPr>
          <w:szCs w:val="20"/>
        </w:rPr>
      </w:pPr>
    </w:p>
    <w:p w:rsidR="0005364A" w:rsidRPr="00FA3856" w:rsidRDefault="00206938" w:rsidP="00EC2D50">
      <w:pPr>
        <w:pStyle w:val="Corpodetexto2"/>
        <w:widowControl w:val="0"/>
        <w:tabs>
          <w:tab w:val="num" w:pos="720"/>
        </w:tabs>
        <w:autoSpaceDE w:val="0"/>
        <w:autoSpaceDN w:val="0"/>
        <w:adjustRightInd w:val="0"/>
      </w:pPr>
      <w:r w:rsidRPr="00FA3856">
        <w:rPr>
          <w:b/>
          <w:bCs/>
        </w:rPr>
        <w:tab/>
      </w:r>
      <w:r w:rsidR="0005364A" w:rsidRPr="00FA3856">
        <w:rPr>
          <w:b/>
          <w:bCs/>
        </w:rPr>
        <w:t>NUMÉRICO:</w:t>
      </w:r>
      <w:r w:rsidR="009C088B" w:rsidRPr="00FA3856">
        <w:t xml:space="preserve"> R</w:t>
      </w:r>
      <w:r w:rsidR="0005364A" w:rsidRPr="00FA3856">
        <w:t>epresentados por "N" - algarismos das posições de 48 a 57 da Tabela ASCII e o caractere “,” (vírgula: caractere 44 da tabela ASCII</w:t>
      </w:r>
      <w:r w:rsidR="00816996" w:rsidRPr="00FA3856">
        <w:t>)</w:t>
      </w:r>
      <w:r w:rsidR="0005364A" w:rsidRPr="00FA3856">
        <w:t>.</w:t>
      </w:r>
    </w:p>
    <w:p w:rsidR="005B6387" w:rsidRPr="00FA3856" w:rsidRDefault="005B6387" w:rsidP="00EC2D50">
      <w:pPr>
        <w:pStyle w:val="Corpodetexto2"/>
        <w:widowControl w:val="0"/>
        <w:tabs>
          <w:tab w:val="num" w:pos="720"/>
        </w:tabs>
        <w:autoSpaceDE w:val="0"/>
        <w:autoSpaceDN w:val="0"/>
        <w:adjustRightInd w:val="0"/>
      </w:pPr>
    </w:p>
    <w:p w:rsidR="005B6387" w:rsidRPr="00FA3856" w:rsidRDefault="005B6387" w:rsidP="00EC2D50">
      <w:pPr>
        <w:pStyle w:val="Corpodetexto2"/>
        <w:widowControl w:val="0"/>
        <w:tabs>
          <w:tab w:val="num" w:pos="720"/>
        </w:tabs>
        <w:autoSpaceDE w:val="0"/>
        <w:autoSpaceDN w:val="0"/>
        <w:adjustRightInd w:val="0"/>
        <w:rPr>
          <w:bCs/>
        </w:rPr>
      </w:pPr>
      <w:r w:rsidRPr="00FA3856">
        <w:rPr>
          <w:bCs/>
        </w:rPr>
        <w:tab/>
      </w:r>
      <w:r w:rsidRPr="00FA3856">
        <w:rPr>
          <w:b/>
          <w:bCs/>
        </w:rPr>
        <w:t>NUMÉRICO SINALIZADO:</w:t>
      </w:r>
      <w:r w:rsidR="009C088B" w:rsidRPr="00FA3856">
        <w:rPr>
          <w:bCs/>
        </w:rPr>
        <w:t> R</w:t>
      </w:r>
      <w:r w:rsidRPr="00FA3856">
        <w:rPr>
          <w:bCs/>
        </w:rPr>
        <w:t>epresentados por “NS” – um único caracter</w:t>
      </w:r>
      <w:r w:rsidR="00685FA5" w:rsidRPr="00FA3856">
        <w:rPr>
          <w:bCs/>
        </w:rPr>
        <w:t>e</w:t>
      </w:r>
      <w:r w:rsidRPr="00FA3856">
        <w:rPr>
          <w:bCs/>
        </w:rPr>
        <w:t xml:space="preserve"> de sinal “+” ou “-”, posições 43 e 45 respectivamente da Tabela ASCII, acrescidos de um ou mais algarismos das posições de 48 a 57 da Tabela ASCII. Quando o sinal for omitido, o número será considerado positivo “+”.</w:t>
      </w:r>
    </w:p>
    <w:p w:rsidR="00A26429" w:rsidRPr="00FA3856" w:rsidRDefault="00A26429" w:rsidP="00EC2D50">
      <w:pPr>
        <w:pStyle w:val="Corpodetexto2"/>
        <w:widowControl w:val="0"/>
        <w:tabs>
          <w:tab w:val="num" w:pos="720"/>
        </w:tabs>
        <w:autoSpaceDE w:val="0"/>
        <w:autoSpaceDN w:val="0"/>
        <w:adjustRightInd w:val="0"/>
        <w:rPr>
          <w:bCs/>
        </w:rPr>
      </w:pPr>
    </w:p>
    <w:p w:rsidR="0005364A" w:rsidRPr="00FA3856" w:rsidRDefault="00816996" w:rsidP="00867F54">
      <w:pPr>
        <w:pStyle w:val="Ttulo3"/>
      </w:pPr>
      <w:bookmarkStart w:id="33" w:name="_Toc479713645"/>
      <w:r w:rsidRPr="00FA3856">
        <w:t>2.3.2. Regras de Preenchimento dos Campos com Conteúdo A</w:t>
      </w:r>
      <w:r w:rsidR="0005364A" w:rsidRPr="00FA3856">
        <w:t>lfanumérico (C)</w:t>
      </w:r>
      <w:bookmarkEnd w:id="33"/>
    </w:p>
    <w:p w:rsidR="00816996" w:rsidRPr="00FA3856" w:rsidRDefault="00816996" w:rsidP="00EC2D50">
      <w:pPr>
        <w:jc w:val="both"/>
        <w:rPr>
          <w:szCs w:val="20"/>
        </w:rPr>
      </w:pPr>
    </w:p>
    <w:p w:rsidR="00816996" w:rsidRPr="00FA3856" w:rsidRDefault="0005364A" w:rsidP="008A084B">
      <w:pPr>
        <w:ind w:firstLine="708"/>
        <w:jc w:val="both"/>
        <w:rPr>
          <w:szCs w:val="20"/>
        </w:rPr>
      </w:pPr>
      <w:r w:rsidRPr="00FA3856">
        <w:rPr>
          <w:szCs w:val="20"/>
        </w:rPr>
        <w:t>Todos os campos alfanuméricos terão tamanho máximo de 255 caracteres, excet</w:t>
      </w:r>
      <w:r w:rsidR="008A084B" w:rsidRPr="00FA3856">
        <w:rPr>
          <w:szCs w:val="20"/>
        </w:rPr>
        <w:t>o se houver indicação distinta.</w:t>
      </w:r>
    </w:p>
    <w:p w:rsidR="00816996" w:rsidRPr="00FA3856" w:rsidRDefault="00A26429" w:rsidP="00A26429">
      <w:pPr>
        <w:ind w:firstLine="708"/>
        <w:jc w:val="both"/>
        <w:rPr>
          <w:b/>
          <w:szCs w:val="20"/>
        </w:rPr>
      </w:pPr>
      <w:r w:rsidRPr="00FA3856">
        <w:rPr>
          <w:b/>
          <w:szCs w:val="20"/>
        </w:rPr>
        <w:t>Exemplo:</w:t>
      </w:r>
    </w:p>
    <w:tbl>
      <w:tblPr>
        <w:tblStyle w:val="Tabelacomgrade"/>
        <w:tblW w:w="0" w:type="auto"/>
        <w:tblInd w:w="835" w:type="dxa"/>
        <w:tblLook w:val="04A0" w:firstRow="1" w:lastRow="0" w:firstColumn="1" w:lastColumn="0" w:noHBand="0" w:noVBand="1"/>
      </w:tblPr>
      <w:tblGrid>
        <w:gridCol w:w="1625"/>
        <w:gridCol w:w="561"/>
        <w:gridCol w:w="1067"/>
      </w:tblGrid>
      <w:tr w:rsidR="00816996" w:rsidRPr="00FA3856" w:rsidTr="00816996">
        <w:tc>
          <w:tcPr>
            <w:tcW w:w="1625" w:type="dxa"/>
          </w:tcPr>
          <w:p w:rsidR="00816996" w:rsidRPr="00FA3856" w:rsidRDefault="00816996" w:rsidP="00EC2D50">
            <w:pPr>
              <w:jc w:val="both"/>
              <w:rPr>
                <w:b/>
                <w:szCs w:val="20"/>
              </w:rPr>
            </w:pPr>
            <w:r w:rsidRPr="00FA3856">
              <w:rPr>
                <w:b/>
                <w:szCs w:val="20"/>
              </w:rPr>
              <w:t>COD_INF</w:t>
            </w:r>
          </w:p>
        </w:tc>
        <w:tc>
          <w:tcPr>
            <w:tcW w:w="561" w:type="dxa"/>
          </w:tcPr>
          <w:p w:rsidR="00816996" w:rsidRPr="00FA3856" w:rsidRDefault="00816996" w:rsidP="00EC2D50">
            <w:pPr>
              <w:jc w:val="both"/>
              <w:rPr>
                <w:szCs w:val="20"/>
              </w:rPr>
            </w:pPr>
            <w:r w:rsidRPr="00FA3856">
              <w:rPr>
                <w:szCs w:val="20"/>
              </w:rPr>
              <w:t>C</w:t>
            </w:r>
          </w:p>
        </w:tc>
        <w:tc>
          <w:tcPr>
            <w:tcW w:w="1067" w:type="dxa"/>
          </w:tcPr>
          <w:p w:rsidR="00816996" w:rsidRPr="00FA3856" w:rsidRDefault="00816996" w:rsidP="00EC2D50">
            <w:pPr>
              <w:jc w:val="both"/>
              <w:rPr>
                <w:szCs w:val="20"/>
              </w:rPr>
            </w:pPr>
            <w:r w:rsidRPr="00FA3856">
              <w:rPr>
                <w:szCs w:val="20"/>
              </w:rPr>
              <w:t>-</w:t>
            </w:r>
          </w:p>
        </w:tc>
      </w:tr>
      <w:tr w:rsidR="00816996" w:rsidRPr="00FA3856" w:rsidTr="00816996">
        <w:tc>
          <w:tcPr>
            <w:tcW w:w="1625" w:type="dxa"/>
          </w:tcPr>
          <w:p w:rsidR="00816996" w:rsidRPr="00FA3856" w:rsidRDefault="00816996" w:rsidP="00EC2D50">
            <w:pPr>
              <w:jc w:val="both"/>
              <w:rPr>
                <w:b/>
                <w:szCs w:val="20"/>
              </w:rPr>
            </w:pPr>
            <w:r w:rsidRPr="00FA3856">
              <w:rPr>
                <w:b/>
                <w:szCs w:val="20"/>
              </w:rPr>
              <w:t>TXT</w:t>
            </w:r>
          </w:p>
        </w:tc>
        <w:tc>
          <w:tcPr>
            <w:tcW w:w="561" w:type="dxa"/>
          </w:tcPr>
          <w:p w:rsidR="00816996" w:rsidRPr="00FA3856" w:rsidRDefault="00816996" w:rsidP="00EC2D50">
            <w:pPr>
              <w:jc w:val="both"/>
              <w:rPr>
                <w:szCs w:val="20"/>
              </w:rPr>
            </w:pPr>
            <w:r w:rsidRPr="00FA3856">
              <w:rPr>
                <w:szCs w:val="20"/>
              </w:rPr>
              <w:t>C</w:t>
            </w:r>
          </w:p>
        </w:tc>
        <w:tc>
          <w:tcPr>
            <w:tcW w:w="1067" w:type="dxa"/>
          </w:tcPr>
          <w:p w:rsidR="00816996" w:rsidRPr="00FA3856" w:rsidRDefault="00816996" w:rsidP="00EC2D50">
            <w:pPr>
              <w:jc w:val="both"/>
              <w:rPr>
                <w:szCs w:val="20"/>
              </w:rPr>
            </w:pPr>
            <w:r w:rsidRPr="00FA3856">
              <w:rPr>
                <w:szCs w:val="20"/>
              </w:rPr>
              <w:t>65.536</w:t>
            </w:r>
          </w:p>
        </w:tc>
      </w:tr>
    </w:tbl>
    <w:p w:rsidR="001353B2" w:rsidRPr="00FA3856" w:rsidRDefault="00816996" w:rsidP="00867F54">
      <w:pPr>
        <w:pStyle w:val="Ttulo3"/>
      </w:pPr>
      <w:bookmarkStart w:id="34" w:name="_Toc479713646"/>
      <w:r w:rsidRPr="00FA3856">
        <w:lastRenderedPageBreak/>
        <w:t xml:space="preserve">2.3.3. Regras de Preenchimento dos Campos </w:t>
      </w:r>
      <w:r w:rsidR="001353B2" w:rsidRPr="00FA3856">
        <w:t>Numéricos (N) com</w:t>
      </w:r>
      <w:r w:rsidRPr="00FA3856">
        <w:t xml:space="preserve"> Casas Decimais</w:t>
      </w:r>
      <w:bookmarkEnd w:id="34"/>
    </w:p>
    <w:p w:rsidR="001353B2" w:rsidRPr="00FA3856" w:rsidRDefault="00816996" w:rsidP="00EC2D50">
      <w:pPr>
        <w:pStyle w:val="Corpodetexto2"/>
        <w:widowControl w:val="0"/>
        <w:tabs>
          <w:tab w:val="num" w:pos="720"/>
        </w:tabs>
        <w:autoSpaceDE w:val="0"/>
        <w:autoSpaceDN w:val="0"/>
        <w:adjustRightInd w:val="0"/>
      </w:pPr>
      <w:r w:rsidRPr="00FA3856">
        <w:tab/>
      </w:r>
    </w:p>
    <w:p w:rsidR="00816996" w:rsidRPr="00FA3856" w:rsidRDefault="001353B2" w:rsidP="008A084B">
      <w:pPr>
        <w:pStyle w:val="Corpodetexto2"/>
        <w:widowControl w:val="0"/>
        <w:tabs>
          <w:tab w:val="num" w:pos="720"/>
        </w:tabs>
        <w:autoSpaceDE w:val="0"/>
        <w:autoSpaceDN w:val="0"/>
        <w:adjustRightInd w:val="0"/>
      </w:pPr>
      <w:r w:rsidRPr="00FA3856">
        <w:tab/>
      </w:r>
      <w:r w:rsidR="0005364A" w:rsidRPr="00FA3856">
        <w:t>Deverão ser preenchidos sem os separadores de milhar, sinais ou quaisquer outros caracteres (tais como: "."</w:t>
      </w:r>
      <w:r w:rsidR="00816996" w:rsidRPr="00FA3856">
        <w:t>;</w:t>
      </w:r>
      <w:r w:rsidR="0005364A" w:rsidRPr="00FA3856">
        <w:t xml:space="preserve"> "-"</w:t>
      </w:r>
      <w:r w:rsidR="00816996" w:rsidRPr="00FA3856">
        <w:t xml:space="preserve"> ou</w:t>
      </w:r>
      <w:r w:rsidR="0005364A" w:rsidRPr="00FA3856">
        <w:t xml:space="preserve"> "%"), devendo a vírgula ser utilizada como separador decimal (Vírgula</w:t>
      </w:r>
      <w:r w:rsidR="00816996" w:rsidRPr="00FA3856">
        <w:t>: caractere 44 da Tabela ASCII).</w:t>
      </w:r>
      <w:r w:rsidR="00A26429" w:rsidRPr="00FA3856">
        <w:t xml:space="preserve"> </w:t>
      </w:r>
      <w:r w:rsidR="0005364A" w:rsidRPr="00FA3856">
        <w:t xml:space="preserve">Observar a quantidade máxima de casas decimais que constar </w:t>
      </w:r>
      <w:r w:rsidR="008A084B" w:rsidRPr="00FA3856">
        <w:t xml:space="preserve">no respectivo campo. </w:t>
      </w:r>
      <w:r w:rsidR="0005364A" w:rsidRPr="00FA3856">
        <w:t>Preencher os valores percentuais desprezando-se o símbolo (%), se</w:t>
      </w:r>
      <w:r w:rsidR="008A084B" w:rsidRPr="00FA3856">
        <w:t>m nenhuma convenção matemática.</w:t>
      </w:r>
    </w:p>
    <w:p w:rsidR="00A5743D" w:rsidRPr="00FA3856" w:rsidRDefault="00A5743D" w:rsidP="008A084B">
      <w:pPr>
        <w:pStyle w:val="Corpodetexto2"/>
        <w:widowControl w:val="0"/>
        <w:tabs>
          <w:tab w:val="num" w:pos="720"/>
        </w:tabs>
        <w:autoSpaceDE w:val="0"/>
        <w:autoSpaceDN w:val="0"/>
        <w:adjustRightInd w:val="0"/>
      </w:pPr>
    </w:p>
    <w:p w:rsidR="00816996" w:rsidRPr="00FA3856" w:rsidRDefault="0005364A" w:rsidP="00EC2D50">
      <w:pPr>
        <w:pStyle w:val="Corpodetexto"/>
        <w:spacing w:line="240" w:lineRule="auto"/>
        <w:ind w:left="436" w:firstLine="284"/>
        <w:rPr>
          <w:rFonts w:ascii="Times New Roman" w:hAnsi="Times New Roman"/>
          <w:b/>
          <w:szCs w:val="20"/>
        </w:rPr>
      </w:pPr>
      <w:r w:rsidRPr="00FA3856">
        <w:rPr>
          <w:rFonts w:ascii="Times New Roman" w:hAnsi="Times New Roman"/>
          <w:b/>
          <w:szCs w:val="20"/>
        </w:rPr>
        <w:t>Exemplos (valores monetários, quantidades, percentuais, etc</w:t>
      </w:r>
      <w:r w:rsidR="00685FA5" w:rsidRPr="00FA3856">
        <w:rPr>
          <w:rFonts w:ascii="Times New Roman" w:hAnsi="Times New Roman"/>
          <w:b/>
          <w:szCs w:val="20"/>
        </w:rPr>
        <w:t>.</w:t>
      </w:r>
      <w:r w:rsidRPr="00FA3856">
        <w:rPr>
          <w:rFonts w:ascii="Times New Roman" w:hAnsi="Times New Roman"/>
          <w:b/>
          <w:szCs w:val="20"/>
        </w:rPr>
        <w:t>):</w:t>
      </w:r>
    </w:p>
    <w:p w:rsidR="0005364A" w:rsidRPr="00FA3856" w:rsidRDefault="0005364A" w:rsidP="00EC2D50">
      <w:pPr>
        <w:pStyle w:val="Corpodetexto"/>
        <w:spacing w:line="240" w:lineRule="auto"/>
        <w:ind w:left="1132" w:firstLine="284"/>
        <w:rPr>
          <w:rFonts w:ascii="Times New Roman" w:hAnsi="Times New Roman"/>
          <w:szCs w:val="20"/>
        </w:rPr>
      </w:pPr>
      <w:r w:rsidRPr="00FA3856">
        <w:rPr>
          <w:rFonts w:ascii="Times New Roman" w:hAnsi="Times New Roman"/>
          <w:szCs w:val="20"/>
        </w:rPr>
        <w:t xml:space="preserve">$ 1.129.998,99 </w:t>
      </w:r>
      <w:r w:rsidRPr="00FA3856">
        <w:rPr>
          <w:rFonts w:ascii="Times New Roman" w:hAnsi="Times New Roman"/>
          <w:szCs w:val="20"/>
        </w:rPr>
        <w:sym w:font="Wingdings" w:char="00E8"/>
      </w:r>
      <w:r w:rsidRPr="00FA3856">
        <w:rPr>
          <w:rFonts w:ascii="Times New Roman" w:hAnsi="Times New Roman"/>
          <w:szCs w:val="20"/>
        </w:rPr>
        <w:t xml:space="preserve"> |1129989,99|</w:t>
      </w:r>
    </w:p>
    <w:p w:rsidR="0005364A" w:rsidRPr="00FA3856" w:rsidRDefault="0005364A" w:rsidP="00EC2D50">
      <w:pPr>
        <w:pStyle w:val="Corpodetexto"/>
        <w:spacing w:line="240" w:lineRule="auto"/>
        <w:ind w:left="848" w:firstLine="568"/>
        <w:rPr>
          <w:rFonts w:ascii="Times New Roman" w:hAnsi="Times New Roman"/>
          <w:szCs w:val="20"/>
        </w:rPr>
      </w:pPr>
      <w:r w:rsidRPr="00FA3856">
        <w:rPr>
          <w:rFonts w:ascii="Times New Roman" w:hAnsi="Times New Roman"/>
          <w:szCs w:val="20"/>
        </w:rPr>
        <w:t xml:space="preserve">1.255,42 </w:t>
      </w:r>
      <w:r w:rsidRPr="00FA3856">
        <w:rPr>
          <w:rFonts w:ascii="Times New Roman" w:hAnsi="Times New Roman"/>
          <w:szCs w:val="20"/>
        </w:rPr>
        <w:sym w:font="Wingdings" w:char="00E8"/>
      </w:r>
      <w:r w:rsidRPr="00FA3856">
        <w:rPr>
          <w:rFonts w:ascii="Times New Roman" w:hAnsi="Times New Roman"/>
          <w:szCs w:val="20"/>
        </w:rPr>
        <w:t xml:space="preserve"> |1255,42|</w:t>
      </w:r>
    </w:p>
    <w:p w:rsidR="0005364A" w:rsidRPr="00FA3856" w:rsidRDefault="0005364A" w:rsidP="00EC2D50">
      <w:pPr>
        <w:pStyle w:val="Corpodetexto"/>
        <w:spacing w:line="240" w:lineRule="auto"/>
        <w:ind w:left="1132" w:firstLine="284"/>
        <w:rPr>
          <w:rFonts w:ascii="Times New Roman" w:hAnsi="Times New Roman"/>
          <w:szCs w:val="20"/>
        </w:rPr>
      </w:pPr>
      <w:r w:rsidRPr="00FA3856">
        <w:rPr>
          <w:rFonts w:ascii="Times New Roman" w:hAnsi="Times New Roman"/>
          <w:szCs w:val="20"/>
        </w:rPr>
        <w:t xml:space="preserve">234,567 </w:t>
      </w:r>
      <w:r w:rsidRPr="00FA3856">
        <w:rPr>
          <w:rFonts w:ascii="Times New Roman" w:hAnsi="Times New Roman"/>
          <w:szCs w:val="20"/>
        </w:rPr>
        <w:sym w:font="Wingdings" w:char="00E8"/>
      </w:r>
      <w:r w:rsidRPr="00FA3856">
        <w:rPr>
          <w:rFonts w:ascii="Times New Roman" w:hAnsi="Times New Roman"/>
          <w:szCs w:val="20"/>
        </w:rPr>
        <w:t xml:space="preserve"> |234,567|</w:t>
      </w:r>
    </w:p>
    <w:p w:rsidR="0005364A" w:rsidRPr="00FA3856" w:rsidRDefault="0005364A" w:rsidP="00EC2D50">
      <w:pPr>
        <w:pStyle w:val="Corpodetexto"/>
        <w:spacing w:line="240" w:lineRule="auto"/>
        <w:ind w:left="848" w:firstLine="568"/>
        <w:rPr>
          <w:rFonts w:ascii="Times New Roman" w:hAnsi="Times New Roman"/>
          <w:szCs w:val="20"/>
        </w:rPr>
      </w:pPr>
      <w:r w:rsidRPr="00FA3856">
        <w:rPr>
          <w:rFonts w:ascii="Times New Roman" w:hAnsi="Times New Roman"/>
          <w:szCs w:val="20"/>
        </w:rPr>
        <w:t xml:space="preserve">10.000 </w:t>
      </w:r>
      <w:r w:rsidRPr="00FA3856">
        <w:rPr>
          <w:rFonts w:ascii="Times New Roman" w:hAnsi="Times New Roman"/>
          <w:szCs w:val="20"/>
        </w:rPr>
        <w:sym w:font="Wingdings" w:char="00E8"/>
      </w:r>
      <w:r w:rsidRPr="00FA3856">
        <w:rPr>
          <w:rFonts w:ascii="Times New Roman" w:hAnsi="Times New Roman"/>
          <w:szCs w:val="20"/>
        </w:rPr>
        <w:t xml:space="preserve"> |10000|</w:t>
      </w:r>
    </w:p>
    <w:p w:rsidR="0005364A" w:rsidRPr="00FA3856" w:rsidRDefault="0005364A" w:rsidP="00EC2D50">
      <w:pPr>
        <w:pStyle w:val="Corpodetexto"/>
        <w:spacing w:line="240" w:lineRule="auto"/>
        <w:ind w:left="1132" w:firstLine="284"/>
        <w:rPr>
          <w:rFonts w:ascii="Times New Roman" w:hAnsi="Times New Roman"/>
          <w:szCs w:val="20"/>
        </w:rPr>
      </w:pPr>
      <w:r w:rsidRPr="00FA3856">
        <w:rPr>
          <w:rFonts w:ascii="Times New Roman" w:hAnsi="Times New Roman"/>
          <w:szCs w:val="20"/>
        </w:rPr>
        <w:t xml:space="preserve">10.000,00 </w:t>
      </w:r>
      <w:r w:rsidRPr="00FA3856">
        <w:rPr>
          <w:rFonts w:ascii="Times New Roman" w:hAnsi="Times New Roman"/>
          <w:szCs w:val="20"/>
        </w:rPr>
        <w:sym w:font="Wingdings" w:char="00E8"/>
      </w:r>
      <w:r w:rsidRPr="00FA3856">
        <w:rPr>
          <w:rFonts w:ascii="Times New Roman" w:hAnsi="Times New Roman"/>
          <w:szCs w:val="20"/>
        </w:rPr>
        <w:t xml:space="preserve"> |10000| ou |10000,00|</w:t>
      </w:r>
    </w:p>
    <w:p w:rsidR="0005364A" w:rsidRPr="00FA3856" w:rsidRDefault="000E22F8" w:rsidP="00EC2D50">
      <w:pPr>
        <w:pStyle w:val="Corpodetexto"/>
        <w:spacing w:line="240" w:lineRule="auto"/>
        <w:ind w:left="848" w:firstLine="568"/>
        <w:rPr>
          <w:rFonts w:ascii="Times New Roman" w:hAnsi="Times New Roman"/>
          <w:szCs w:val="20"/>
        </w:rPr>
      </w:pPr>
      <w:r w:rsidRPr="00FA3856">
        <w:rPr>
          <w:rFonts w:ascii="Times New Roman" w:hAnsi="Times New Roman"/>
          <w:szCs w:val="20"/>
        </w:rPr>
        <w:t>17,00</w:t>
      </w:r>
      <w:r w:rsidR="0005364A" w:rsidRPr="00FA3856">
        <w:rPr>
          <w:rFonts w:ascii="Times New Roman" w:hAnsi="Times New Roman"/>
          <w:szCs w:val="20"/>
        </w:rPr>
        <w:t xml:space="preserve">% </w:t>
      </w:r>
      <w:r w:rsidR="0005364A" w:rsidRPr="00FA3856">
        <w:rPr>
          <w:rFonts w:ascii="Times New Roman" w:hAnsi="Times New Roman"/>
          <w:szCs w:val="20"/>
        </w:rPr>
        <w:sym w:font="Wingdings" w:char="00E8"/>
      </w:r>
      <w:r w:rsidR="0005364A" w:rsidRPr="00FA3856">
        <w:rPr>
          <w:rFonts w:ascii="Times New Roman" w:hAnsi="Times New Roman"/>
          <w:szCs w:val="20"/>
        </w:rPr>
        <w:t xml:space="preserve"> |17,00| ou |17|</w:t>
      </w:r>
    </w:p>
    <w:p w:rsidR="0005364A" w:rsidRPr="00FA3856" w:rsidRDefault="000E22F8" w:rsidP="00EC2D50">
      <w:pPr>
        <w:pStyle w:val="Corpodetexto"/>
        <w:spacing w:line="240" w:lineRule="auto"/>
        <w:ind w:left="848" w:firstLine="568"/>
        <w:rPr>
          <w:rFonts w:ascii="Times New Roman" w:hAnsi="Times New Roman"/>
          <w:szCs w:val="20"/>
        </w:rPr>
      </w:pPr>
      <w:r w:rsidRPr="00FA3856">
        <w:rPr>
          <w:rFonts w:ascii="Times New Roman" w:hAnsi="Times New Roman"/>
          <w:szCs w:val="20"/>
        </w:rPr>
        <w:t>18,50</w:t>
      </w:r>
      <w:r w:rsidR="0005364A" w:rsidRPr="00FA3856">
        <w:rPr>
          <w:rFonts w:ascii="Times New Roman" w:hAnsi="Times New Roman"/>
          <w:szCs w:val="20"/>
        </w:rPr>
        <w:t xml:space="preserve">% </w:t>
      </w:r>
      <w:r w:rsidR="0005364A" w:rsidRPr="00FA3856">
        <w:rPr>
          <w:rFonts w:ascii="Times New Roman" w:hAnsi="Times New Roman"/>
          <w:szCs w:val="20"/>
        </w:rPr>
        <w:sym w:font="Wingdings" w:char="00E8"/>
      </w:r>
      <w:r w:rsidR="0005364A" w:rsidRPr="00FA3856">
        <w:rPr>
          <w:rFonts w:ascii="Times New Roman" w:hAnsi="Times New Roman"/>
          <w:szCs w:val="20"/>
        </w:rPr>
        <w:t xml:space="preserve"> |18,5| ou |18,50|</w:t>
      </w:r>
    </w:p>
    <w:p w:rsidR="0005364A" w:rsidRPr="00FA3856" w:rsidRDefault="0005364A" w:rsidP="00EC2D50">
      <w:pPr>
        <w:pStyle w:val="Corpodetexto"/>
        <w:spacing w:line="240" w:lineRule="auto"/>
        <w:ind w:left="848" w:firstLine="568"/>
        <w:rPr>
          <w:rFonts w:ascii="Times New Roman" w:hAnsi="Times New Roman"/>
          <w:szCs w:val="20"/>
        </w:rPr>
      </w:pPr>
      <w:r w:rsidRPr="00FA3856">
        <w:rPr>
          <w:rFonts w:ascii="Times New Roman" w:hAnsi="Times New Roman"/>
          <w:szCs w:val="20"/>
        </w:rPr>
        <w:t xml:space="preserve">30 </w:t>
      </w:r>
      <w:r w:rsidRPr="00FA3856">
        <w:rPr>
          <w:rFonts w:ascii="Times New Roman" w:hAnsi="Times New Roman"/>
          <w:szCs w:val="20"/>
        </w:rPr>
        <w:sym w:font="Wingdings" w:char="00E8"/>
      </w:r>
      <w:r w:rsidRPr="00FA3856">
        <w:rPr>
          <w:rFonts w:ascii="Times New Roman" w:hAnsi="Times New Roman"/>
          <w:szCs w:val="20"/>
        </w:rPr>
        <w:t xml:space="preserve"> |30|</w:t>
      </w:r>
    </w:p>
    <w:p w:rsidR="0005364A" w:rsidRPr="00FA3856" w:rsidRDefault="0005364A" w:rsidP="00EC2D50">
      <w:pPr>
        <w:pStyle w:val="Corpodetexto"/>
        <w:spacing w:line="240" w:lineRule="auto"/>
        <w:ind w:left="848" w:firstLine="568"/>
        <w:rPr>
          <w:rFonts w:ascii="Times New Roman" w:hAnsi="Times New Roman"/>
          <w:szCs w:val="20"/>
        </w:rPr>
      </w:pPr>
      <w:r w:rsidRPr="00FA3856">
        <w:rPr>
          <w:rFonts w:ascii="Times New Roman" w:hAnsi="Times New Roman"/>
          <w:szCs w:val="20"/>
        </w:rPr>
        <w:t xml:space="preserve">1.123,456 Kg </w:t>
      </w:r>
      <w:r w:rsidRPr="00FA3856">
        <w:rPr>
          <w:rFonts w:ascii="Times New Roman" w:hAnsi="Times New Roman"/>
          <w:szCs w:val="20"/>
        </w:rPr>
        <w:sym w:font="Wingdings" w:char="00E8"/>
      </w:r>
      <w:r w:rsidRPr="00FA3856">
        <w:rPr>
          <w:rFonts w:ascii="Times New Roman" w:hAnsi="Times New Roman"/>
          <w:szCs w:val="20"/>
        </w:rPr>
        <w:t xml:space="preserve"> |1123,456|</w:t>
      </w:r>
    </w:p>
    <w:p w:rsidR="0005364A" w:rsidRPr="00FA3856" w:rsidRDefault="0005364A" w:rsidP="00EC2D50">
      <w:pPr>
        <w:pStyle w:val="Corpodetexto"/>
        <w:spacing w:line="240" w:lineRule="auto"/>
        <w:ind w:left="848" w:firstLine="568"/>
        <w:rPr>
          <w:rFonts w:ascii="Times New Roman" w:hAnsi="Times New Roman"/>
          <w:szCs w:val="20"/>
        </w:rPr>
      </w:pPr>
      <w:r w:rsidRPr="00FA3856">
        <w:rPr>
          <w:rFonts w:ascii="Times New Roman" w:hAnsi="Times New Roman"/>
          <w:szCs w:val="20"/>
        </w:rPr>
        <w:t xml:space="preserve">0,010 litros </w:t>
      </w:r>
      <w:r w:rsidRPr="00FA3856">
        <w:rPr>
          <w:rFonts w:ascii="Times New Roman" w:hAnsi="Times New Roman"/>
          <w:szCs w:val="20"/>
        </w:rPr>
        <w:sym w:font="Wingdings" w:char="00E8"/>
      </w:r>
      <w:r w:rsidRPr="00FA3856">
        <w:rPr>
          <w:rFonts w:ascii="Times New Roman" w:hAnsi="Times New Roman"/>
          <w:szCs w:val="20"/>
        </w:rPr>
        <w:t xml:space="preserve"> |0,010|</w:t>
      </w:r>
    </w:p>
    <w:p w:rsidR="0005364A" w:rsidRPr="00FA3856" w:rsidRDefault="0005364A" w:rsidP="00EC2D50">
      <w:pPr>
        <w:pStyle w:val="Corpodetexto"/>
        <w:spacing w:line="240" w:lineRule="auto"/>
        <w:ind w:left="848" w:firstLine="568"/>
        <w:rPr>
          <w:rFonts w:ascii="Times New Roman" w:hAnsi="Times New Roman"/>
          <w:szCs w:val="20"/>
        </w:rPr>
      </w:pPr>
      <w:r w:rsidRPr="00FA3856">
        <w:rPr>
          <w:rFonts w:ascii="Times New Roman" w:hAnsi="Times New Roman"/>
          <w:szCs w:val="20"/>
        </w:rPr>
        <w:t xml:space="preserve">0,00 </w:t>
      </w:r>
      <w:r w:rsidRPr="00FA3856">
        <w:rPr>
          <w:rFonts w:ascii="Times New Roman" w:hAnsi="Times New Roman"/>
          <w:szCs w:val="20"/>
        </w:rPr>
        <w:sym w:font="Wingdings" w:char="00E8"/>
      </w:r>
      <w:r w:rsidRPr="00FA3856">
        <w:rPr>
          <w:rFonts w:ascii="Times New Roman" w:hAnsi="Times New Roman"/>
          <w:szCs w:val="20"/>
        </w:rPr>
        <w:t xml:space="preserve"> |0| ou |0,00|</w:t>
      </w:r>
    </w:p>
    <w:p w:rsidR="0005364A" w:rsidRPr="00FA3856" w:rsidRDefault="0005364A" w:rsidP="00EC2D50">
      <w:pPr>
        <w:pStyle w:val="Corpodetexto"/>
        <w:spacing w:line="240" w:lineRule="auto"/>
        <w:ind w:left="848" w:firstLine="568"/>
        <w:rPr>
          <w:rFonts w:ascii="Times New Roman" w:hAnsi="Times New Roman"/>
          <w:szCs w:val="20"/>
        </w:rPr>
      </w:pPr>
      <w:r w:rsidRPr="00FA3856">
        <w:rPr>
          <w:rFonts w:ascii="Times New Roman" w:hAnsi="Times New Roman"/>
          <w:szCs w:val="20"/>
        </w:rPr>
        <w:t xml:space="preserve">0 </w:t>
      </w:r>
      <w:r w:rsidRPr="00FA3856">
        <w:rPr>
          <w:rFonts w:ascii="Times New Roman" w:hAnsi="Times New Roman"/>
          <w:szCs w:val="20"/>
        </w:rPr>
        <w:sym w:font="Wingdings" w:char="00E8"/>
      </w:r>
      <w:r w:rsidRPr="00FA3856">
        <w:rPr>
          <w:rFonts w:ascii="Times New Roman" w:hAnsi="Times New Roman"/>
          <w:szCs w:val="20"/>
        </w:rPr>
        <w:t xml:space="preserve"> |0|</w:t>
      </w:r>
    </w:p>
    <w:p w:rsidR="00816996" w:rsidRPr="00FA3856" w:rsidRDefault="00710E8D" w:rsidP="002247D6">
      <w:pPr>
        <w:pStyle w:val="Corpodetexto"/>
        <w:spacing w:line="240" w:lineRule="auto"/>
        <w:ind w:left="848" w:firstLine="568"/>
        <w:rPr>
          <w:rFonts w:ascii="Times New Roman" w:hAnsi="Times New Roman"/>
          <w:szCs w:val="20"/>
        </w:rPr>
      </w:pPr>
      <w:r w:rsidRPr="00FA3856">
        <w:rPr>
          <w:rFonts w:ascii="Times New Roman" w:hAnsi="Times New Roman"/>
          <w:szCs w:val="20"/>
        </w:rPr>
        <w:t>Campo V</w:t>
      </w:r>
      <w:r w:rsidR="0005364A" w:rsidRPr="00FA3856">
        <w:rPr>
          <w:rFonts w:ascii="Times New Roman" w:hAnsi="Times New Roman"/>
          <w:szCs w:val="20"/>
        </w:rPr>
        <w:t xml:space="preserve">azio </w:t>
      </w:r>
      <w:r w:rsidR="0005364A" w:rsidRPr="00FA3856">
        <w:rPr>
          <w:rFonts w:ascii="Times New Roman" w:hAnsi="Times New Roman"/>
          <w:szCs w:val="20"/>
        </w:rPr>
        <w:sym w:font="Wingdings" w:char="00E8"/>
      </w:r>
      <w:r w:rsidR="002247D6" w:rsidRPr="00FA3856">
        <w:rPr>
          <w:rFonts w:ascii="Times New Roman" w:hAnsi="Times New Roman"/>
          <w:szCs w:val="20"/>
        </w:rPr>
        <w:t xml:space="preserve"> ||</w:t>
      </w:r>
    </w:p>
    <w:p w:rsidR="00921621" w:rsidRPr="00FA3856" w:rsidRDefault="00921621" w:rsidP="002247D6">
      <w:pPr>
        <w:pStyle w:val="Corpodetexto"/>
        <w:spacing w:line="240" w:lineRule="auto"/>
        <w:ind w:left="848" w:firstLine="568"/>
        <w:rPr>
          <w:rFonts w:ascii="Times New Roman" w:hAnsi="Times New Roman"/>
          <w:szCs w:val="20"/>
        </w:rPr>
      </w:pPr>
    </w:p>
    <w:p w:rsidR="000E22F8" w:rsidRPr="00FA3856" w:rsidRDefault="000E22F8" w:rsidP="00867F54">
      <w:pPr>
        <w:pStyle w:val="Ttulo3"/>
      </w:pPr>
      <w:bookmarkStart w:id="35" w:name="_Toc479713647"/>
      <w:r w:rsidRPr="00FA3856">
        <w:t xml:space="preserve">2.3.4. Regras de Preenchimento de Campos Numéricos (N) </w:t>
      </w:r>
      <w:r w:rsidR="001353B2" w:rsidRPr="00FA3856">
        <w:t>que</w:t>
      </w:r>
      <w:r w:rsidRPr="00FA3856">
        <w:t xml:space="preserve"> Representa</w:t>
      </w:r>
      <w:r w:rsidR="001353B2" w:rsidRPr="00FA3856">
        <w:t>m</w:t>
      </w:r>
      <w:r w:rsidRPr="00FA3856">
        <w:t xml:space="preserve"> Data</w:t>
      </w:r>
      <w:bookmarkEnd w:id="35"/>
    </w:p>
    <w:p w:rsidR="000E22F8" w:rsidRPr="00FA3856" w:rsidRDefault="000E22F8" w:rsidP="00EC2D50">
      <w:pPr>
        <w:jc w:val="both"/>
        <w:rPr>
          <w:szCs w:val="20"/>
        </w:rPr>
      </w:pPr>
    </w:p>
    <w:p w:rsidR="00BF0D3E" w:rsidRPr="00FA3856" w:rsidRDefault="0005364A" w:rsidP="00EC2D50">
      <w:pPr>
        <w:ind w:firstLine="708"/>
        <w:jc w:val="both"/>
        <w:rPr>
          <w:szCs w:val="20"/>
        </w:rPr>
      </w:pPr>
      <w:r w:rsidRPr="00FA3856">
        <w:rPr>
          <w:szCs w:val="20"/>
        </w:rPr>
        <w:t xml:space="preserve">Devem ser informados conforme o padrão </w:t>
      </w:r>
      <w:r w:rsidR="00660CA7" w:rsidRPr="00FA3856">
        <w:rPr>
          <w:szCs w:val="20"/>
        </w:rPr>
        <w:t>“</w:t>
      </w:r>
      <w:r w:rsidR="00BF0D3E" w:rsidRPr="00FA3856">
        <w:rPr>
          <w:szCs w:val="20"/>
        </w:rPr>
        <w:t>ddmmaaaa</w:t>
      </w:r>
      <w:r w:rsidR="00660CA7" w:rsidRPr="00FA3856">
        <w:rPr>
          <w:szCs w:val="20"/>
        </w:rPr>
        <w:t>”</w:t>
      </w:r>
      <w:r w:rsidRPr="00FA3856">
        <w:rPr>
          <w:szCs w:val="20"/>
        </w:rPr>
        <w:t xml:space="preserve">, excluindo-se quaisquer caracteres de separação </w:t>
      </w:r>
      <w:r w:rsidR="001353B2" w:rsidRPr="00FA3856">
        <w:rPr>
          <w:szCs w:val="20"/>
        </w:rPr>
        <w:t>(tais como: "."; "/"; "-";</w:t>
      </w:r>
      <w:r w:rsidR="00BF0D3E" w:rsidRPr="00FA3856">
        <w:rPr>
          <w:szCs w:val="20"/>
        </w:rPr>
        <w:t xml:space="preserve"> etc</w:t>
      </w:r>
      <w:r w:rsidR="00685FA5" w:rsidRPr="00FA3856">
        <w:rPr>
          <w:szCs w:val="20"/>
        </w:rPr>
        <w:t>.</w:t>
      </w:r>
      <w:r w:rsidR="00BF0D3E" w:rsidRPr="00FA3856">
        <w:rPr>
          <w:szCs w:val="20"/>
        </w:rPr>
        <w:t>), onde:</w:t>
      </w:r>
    </w:p>
    <w:p w:rsidR="00206938" w:rsidRPr="00FA3856" w:rsidRDefault="00206938" w:rsidP="00EC2D50">
      <w:pPr>
        <w:ind w:firstLine="708"/>
        <w:jc w:val="both"/>
        <w:rPr>
          <w:szCs w:val="20"/>
        </w:rPr>
      </w:pPr>
    </w:p>
    <w:p w:rsidR="00BF0D3E" w:rsidRPr="00FA3856" w:rsidRDefault="00BF0D3E" w:rsidP="00EC2D50">
      <w:pPr>
        <w:ind w:firstLine="708"/>
        <w:jc w:val="both"/>
        <w:rPr>
          <w:szCs w:val="20"/>
        </w:rPr>
      </w:pPr>
      <w:r w:rsidRPr="00FA3856">
        <w:rPr>
          <w:szCs w:val="20"/>
        </w:rPr>
        <w:t>dd = dia</w:t>
      </w:r>
    </w:p>
    <w:p w:rsidR="00BF0D3E" w:rsidRPr="00FA3856" w:rsidRDefault="00BF0D3E" w:rsidP="00EC2D50">
      <w:pPr>
        <w:ind w:firstLine="708"/>
        <w:jc w:val="both"/>
        <w:rPr>
          <w:szCs w:val="20"/>
        </w:rPr>
      </w:pPr>
      <w:r w:rsidRPr="00FA3856">
        <w:rPr>
          <w:szCs w:val="20"/>
        </w:rPr>
        <w:t>mm = mês</w:t>
      </w:r>
    </w:p>
    <w:p w:rsidR="00BF0D3E" w:rsidRPr="00FA3856" w:rsidRDefault="00BF0D3E" w:rsidP="00EC2D50">
      <w:pPr>
        <w:ind w:firstLine="708"/>
        <w:jc w:val="both"/>
        <w:rPr>
          <w:szCs w:val="20"/>
        </w:rPr>
      </w:pPr>
      <w:r w:rsidRPr="00FA3856">
        <w:rPr>
          <w:szCs w:val="20"/>
        </w:rPr>
        <w:t xml:space="preserve">aaaa = ano com 4 dígitos </w:t>
      </w:r>
    </w:p>
    <w:p w:rsidR="004B7494" w:rsidRPr="00FA3856" w:rsidRDefault="004B7494" w:rsidP="00EC2D50">
      <w:pPr>
        <w:pStyle w:val="Corpodetexto"/>
        <w:spacing w:line="240" w:lineRule="auto"/>
        <w:rPr>
          <w:rFonts w:ascii="Times New Roman" w:hAnsi="Times New Roman"/>
          <w:b/>
          <w:szCs w:val="20"/>
        </w:rPr>
      </w:pPr>
    </w:p>
    <w:p w:rsidR="000E22F8" w:rsidRPr="00FA3856" w:rsidRDefault="0005364A" w:rsidP="00EC2D50">
      <w:pPr>
        <w:pStyle w:val="Corpodetexto"/>
        <w:spacing w:line="240" w:lineRule="auto"/>
        <w:ind w:left="436" w:firstLine="284"/>
        <w:rPr>
          <w:rFonts w:ascii="Times New Roman" w:hAnsi="Times New Roman"/>
          <w:b/>
          <w:szCs w:val="20"/>
        </w:rPr>
      </w:pPr>
      <w:r w:rsidRPr="00FA3856">
        <w:rPr>
          <w:rFonts w:ascii="Times New Roman" w:hAnsi="Times New Roman"/>
          <w:b/>
          <w:szCs w:val="20"/>
        </w:rPr>
        <w:t>Exemplos (data):</w:t>
      </w:r>
    </w:p>
    <w:p w:rsidR="0005364A" w:rsidRPr="00FA3856" w:rsidRDefault="0005364A" w:rsidP="00EC2D50">
      <w:pPr>
        <w:pStyle w:val="Corpodetexto"/>
        <w:spacing w:line="240" w:lineRule="auto"/>
        <w:ind w:left="1132" w:firstLine="284"/>
        <w:rPr>
          <w:rFonts w:ascii="Times New Roman" w:hAnsi="Times New Roman"/>
          <w:szCs w:val="20"/>
        </w:rPr>
      </w:pPr>
      <w:r w:rsidRPr="00FA3856">
        <w:rPr>
          <w:rFonts w:ascii="Times New Roman" w:hAnsi="Times New Roman"/>
          <w:szCs w:val="20"/>
        </w:rPr>
        <w:t xml:space="preserve">01 de Janeiro de 2005 </w:t>
      </w:r>
      <w:r w:rsidRPr="00FA3856">
        <w:rPr>
          <w:rFonts w:ascii="Times New Roman" w:hAnsi="Times New Roman"/>
          <w:szCs w:val="20"/>
        </w:rPr>
        <w:sym w:font="Wingdings" w:char="00E8"/>
      </w:r>
      <w:r w:rsidRPr="00FA3856">
        <w:rPr>
          <w:rFonts w:ascii="Times New Roman" w:hAnsi="Times New Roman"/>
          <w:szCs w:val="20"/>
        </w:rPr>
        <w:t xml:space="preserve"> |01012005|</w:t>
      </w:r>
    </w:p>
    <w:p w:rsidR="0005364A" w:rsidRPr="00FA3856" w:rsidRDefault="0005364A" w:rsidP="00EC2D50">
      <w:pPr>
        <w:pStyle w:val="Corpodetexto"/>
        <w:spacing w:line="240" w:lineRule="auto"/>
        <w:ind w:left="848" w:firstLine="568"/>
        <w:rPr>
          <w:rFonts w:ascii="Times New Roman" w:hAnsi="Times New Roman"/>
          <w:szCs w:val="20"/>
        </w:rPr>
      </w:pPr>
      <w:r w:rsidRPr="00FA3856">
        <w:rPr>
          <w:rFonts w:ascii="Times New Roman" w:hAnsi="Times New Roman"/>
          <w:szCs w:val="20"/>
        </w:rPr>
        <w:t xml:space="preserve">11.11.1911 </w:t>
      </w:r>
      <w:r w:rsidRPr="00FA3856">
        <w:rPr>
          <w:rFonts w:ascii="Times New Roman" w:hAnsi="Times New Roman"/>
          <w:szCs w:val="20"/>
        </w:rPr>
        <w:sym w:font="Wingdings" w:char="00E8"/>
      </w:r>
      <w:r w:rsidRPr="00FA3856">
        <w:rPr>
          <w:rFonts w:ascii="Times New Roman" w:hAnsi="Times New Roman"/>
          <w:szCs w:val="20"/>
        </w:rPr>
        <w:t xml:space="preserve"> |11111911|</w:t>
      </w:r>
    </w:p>
    <w:p w:rsidR="0005364A" w:rsidRPr="00FA3856" w:rsidRDefault="0005364A" w:rsidP="00EC2D50">
      <w:pPr>
        <w:pStyle w:val="Corpodetexto"/>
        <w:spacing w:line="240" w:lineRule="auto"/>
        <w:ind w:left="1132" w:firstLine="284"/>
        <w:rPr>
          <w:rFonts w:ascii="Times New Roman" w:hAnsi="Times New Roman"/>
          <w:szCs w:val="20"/>
        </w:rPr>
      </w:pPr>
      <w:r w:rsidRPr="00FA3856">
        <w:rPr>
          <w:rFonts w:ascii="Times New Roman" w:hAnsi="Times New Roman"/>
          <w:szCs w:val="20"/>
        </w:rPr>
        <w:t xml:space="preserve">21-03-1999 </w:t>
      </w:r>
      <w:r w:rsidRPr="00FA3856">
        <w:rPr>
          <w:rFonts w:ascii="Times New Roman" w:hAnsi="Times New Roman"/>
          <w:szCs w:val="20"/>
        </w:rPr>
        <w:sym w:font="Wingdings" w:char="00E8"/>
      </w:r>
      <w:r w:rsidRPr="00FA3856">
        <w:rPr>
          <w:rFonts w:ascii="Times New Roman" w:hAnsi="Times New Roman"/>
          <w:szCs w:val="20"/>
        </w:rPr>
        <w:t xml:space="preserve"> |21031999|</w:t>
      </w:r>
    </w:p>
    <w:p w:rsidR="0005364A" w:rsidRPr="00FA3856" w:rsidRDefault="0005364A" w:rsidP="00EC2D50">
      <w:pPr>
        <w:pStyle w:val="Corpodetexto"/>
        <w:spacing w:line="240" w:lineRule="auto"/>
        <w:ind w:left="848" w:firstLine="568"/>
        <w:rPr>
          <w:rFonts w:ascii="Times New Roman" w:hAnsi="Times New Roman"/>
          <w:szCs w:val="20"/>
        </w:rPr>
      </w:pPr>
      <w:r w:rsidRPr="00FA3856">
        <w:rPr>
          <w:rFonts w:ascii="Times New Roman" w:hAnsi="Times New Roman"/>
          <w:szCs w:val="20"/>
        </w:rPr>
        <w:t xml:space="preserve">09/08/04 </w:t>
      </w:r>
      <w:r w:rsidRPr="00FA3856">
        <w:rPr>
          <w:rFonts w:ascii="Times New Roman" w:hAnsi="Times New Roman"/>
          <w:szCs w:val="20"/>
        </w:rPr>
        <w:sym w:font="Wingdings" w:char="00E8"/>
      </w:r>
      <w:r w:rsidRPr="00FA3856">
        <w:rPr>
          <w:rFonts w:ascii="Times New Roman" w:hAnsi="Times New Roman"/>
          <w:szCs w:val="20"/>
        </w:rPr>
        <w:t xml:space="preserve"> |09082004|</w:t>
      </w:r>
    </w:p>
    <w:p w:rsidR="00206938" w:rsidRPr="00FA3856" w:rsidRDefault="00710E8D" w:rsidP="002247D6">
      <w:pPr>
        <w:pStyle w:val="Corpodetexto"/>
        <w:spacing w:line="240" w:lineRule="auto"/>
        <w:ind w:left="1132" w:firstLine="284"/>
        <w:rPr>
          <w:rFonts w:ascii="Times New Roman" w:hAnsi="Times New Roman"/>
          <w:szCs w:val="20"/>
        </w:rPr>
      </w:pPr>
      <w:r w:rsidRPr="00FA3856">
        <w:rPr>
          <w:rFonts w:ascii="Times New Roman" w:hAnsi="Times New Roman"/>
          <w:szCs w:val="20"/>
        </w:rPr>
        <w:t>Campo V</w:t>
      </w:r>
      <w:r w:rsidR="0005364A" w:rsidRPr="00FA3856">
        <w:rPr>
          <w:rFonts w:ascii="Times New Roman" w:hAnsi="Times New Roman"/>
          <w:szCs w:val="20"/>
        </w:rPr>
        <w:t xml:space="preserve">azio </w:t>
      </w:r>
      <w:r w:rsidR="0005364A" w:rsidRPr="00FA3856">
        <w:rPr>
          <w:rFonts w:ascii="Times New Roman" w:hAnsi="Times New Roman"/>
          <w:szCs w:val="20"/>
        </w:rPr>
        <w:sym w:font="Wingdings" w:char="00E8"/>
      </w:r>
      <w:r w:rsidR="0005364A" w:rsidRPr="00FA3856">
        <w:rPr>
          <w:rFonts w:ascii="Times New Roman" w:hAnsi="Times New Roman"/>
          <w:szCs w:val="20"/>
        </w:rPr>
        <w:t xml:space="preserve"> ||</w:t>
      </w:r>
    </w:p>
    <w:p w:rsidR="002247D6" w:rsidRPr="00FA3856" w:rsidRDefault="002247D6" w:rsidP="002247D6">
      <w:pPr>
        <w:pStyle w:val="Corpodetexto"/>
        <w:spacing w:line="240" w:lineRule="auto"/>
        <w:ind w:left="1132" w:firstLine="284"/>
        <w:rPr>
          <w:rFonts w:ascii="Times New Roman" w:hAnsi="Times New Roman"/>
          <w:szCs w:val="20"/>
        </w:rPr>
      </w:pPr>
    </w:p>
    <w:p w:rsidR="00921621" w:rsidRPr="00FA3856" w:rsidRDefault="00921621">
      <w:pPr>
        <w:spacing w:after="200" w:line="276" w:lineRule="auto"/>
        <w:rPr>
          <w:b/>
          <w:bCs/>
          <w:color w:val="0000FF"/>
          <w:szCs w:val="20"/>
        </w:rPr>
      </w:pPr>
      <w:r w:rsidRPr="00FA3856">
        <w:rPr>
          <w:color w:val="0000FF"/>
          <w:szCs w:val="20"/>
        </w:rPr>
        <w:br w:type="page"/>
      </w:r>
    </w:p>
    <w:p w:rsidR="000E22F8" w:rsidRPr="00FA3856" w:rsidRDefault="000E22F8" w:rsidP="00867F54">
      <w:pPr>
        <w:pStyle w:val="Ttulo3"/>
      </w:pPr>
      <w:bookmarkStart w:id="36" w:name="_Toc479713648"/>
      <w:r w:rsidRPr="00FA3856">
        <w:lastRenderedPageBreak/>
        <w:t xml:space="preserve">2.3.5. Regras de Preenchimento de Campos Numéricos (N) </w:t>
      </w:r>
      <w:r w:rsidR="001353B2" w:rsidRPr="00FA3856">
        <w:t>que</w:t>
      </w:r>
      <w:r w:rsidRPr="00FA3856">
        <w:t xml:space="preserve"> Representa</w:t>
      </w:r>
      <w:r w:rsidR="001353B2" w:rsidRPr="00FA3856">
        <w:t>m</w:t>
      </w:r>
      <w:r w:rsidRPr="00FA3856">
        <w:t xml:space="preserve"> Período</w:t>
      </w:r>
      <w:bookmarkEnd w:id="36"/>
    </w:p>
    <w:p w:rsidR="002247D6" w:rsidRPr="00FA3856" w:rsidRDefault="002247D6" w:rsidP="002247D6">
      <w:pPr>
        <w:contextualSpacing/>
        <w:rPr>
          <w:szCs w:val="20"/>
        </w:rPr>
      </w:pPr>
    </w:p>
    <w:p w:rsidR="00BF0D3E" w:rsidRPr="00FA3856" w:rsidRDefault="00BF0D3E" w:rsidP="00EC2D50">
      <w:pPr>
        <w:ind w:firstLine="708"/>
        <w:jc w:val="both"/>
        <w:rPr>
          <w:szCs w:val="20"/>
        </w:rPr>
      </w:pPr>
      <w:r w:rsidRPr="00FA3856">
        <w:rPr>
          <w:szCs w:val="20"/>
        </w:rPr>
        <w:t xml:space="preserve">Devem ser informados conforme o padrão </w:t>
      </w:r>
      <w:r w:rsidR="00660CA7" w:rsidRPr="00FA3856">
        <w:rPr>
          <w:szCs w:val="20"/>
        </w:rPr>
        <w:t>“</w:t>
      </w:r>
      <w:r w:rsidRPr="00FA3856">
        <w:rPr>
          <w:szCs w:val="20"/>
        </w:rPr>
        <w:t>mmaaaa</w:t>
      </w:r>
      <w:r w:rsidR="00660CA7" w:rsidRPr="00FA3856">
        <w:rPr>
          <w:szCs w:val="20"/>
        </w:rPr>
        <w:t>”</w:t>
      </w:r>
      <w:r w:rsidR="0005364A" w:rsidRPr="00FA3856">
        <w:rPr>
          <w:szCs w:val="20"/>
        </w:rPr>
        <w:t>, excluindo-se quaisquer caracter</w:t>
      </w:r>
      <w:r w:rsidR="001353B2" w:rsidRPr="00FA3856">
        <w:rPr>
          <w:szCs w:val="20"/>
        </w:rPr>
        <w:t>es de separação (tais como: "."; "/"; "-";</w:t>
      </w:r>
      <w:r w:rsidRPr="00FA3856">
        <w:rPr>
          <w:szCs w:val="20"/>
        </w:rPr>
        <w:t xml:space="preserve"> etc</w:t>
      </w:r>
      <w:r w:rsidR="00685FA5" w:rsidRPr="00FA3856">
        <w:rPr>
          <w:szCs w:val="20"/>
        </w:rPr>
        <w:t>.</w:t>
      </w:r>
      <w:r w:rsidRPr="00FA3856">
        <w:rPr>
          <w:szCs w:val="20"/>
        </w:rPr>
        <w:t>), onde:</w:t>
      </w:r>
    </w:p>
    <w:p w:rsidR="00206938" w:rsidRPr="00FA3856" w:rsidRDefault="00206938" w:rsidP="00EC2D50">
      <w:pPr>
        <w:ind w:firstLine="708"/>
        <w:jc w:val="both"/>
        <w:rPr>
          <w:szCs w:val="20"/>
        </w:rPr>
      </w:pPr>
    </w:p>
    <w:p w:rsidR="00BF0D3E" w:rsidRPr="00FA3856" w:rsidRDefault="00BF0D3E" w:rsidP="00EC2D50">
      <w:pPr>
        <w:ind w:firstLine="708"/>
        <w:jc w:val="both"/>
        <w:rPr>
          <w:szCs w:val="20"/>
        </w:rPr>
      </w:pPr>
      <w:r w:rsidRPr="00FA3856">
        <w:rPr>
          <w:szCs w:val="20"/>
        </w:rPr>
        <w:t>mm = mês</w:t>
      </w:r>
    </w:p>
    <w:p w:rsidR="0005364A" w:rsidRPr="00FA3856" w:rsidRDefault="00BF0D3E" w:rsidP="00EC2D50">
      <w:pPr>
        <w:ind w:firstLine="708"/>
        <w:jc w:val="both"/>
        <w:rPr>
          <w:szCs w:val="20"/>
        </w:rPr>
      </w:pPr>
      <w:r w:rsidRPr="00FA3856">
        <w:rPr>
          <w:szCs w:val="20"/>
        </w:rPr>
        <w:t xml:space="preserve">aaaa = ano com 4 dígitos </w:t>
      </w:r>
    </w:p>
    <w:p w:rsidR="000E22F8" w:rsidRPr="00FA3856" w:rsidRDefault="000E22F8" w:rsidP="00EC2D50">
      <w:pPr>
        <w:pStyle w:val="Corpodetexto"/>
        <w:spacing w:line="240" w:lineRule="auto"/>
        <w:ind w:left="436" w:firstLine="284"/>
        <w:rPr>
          <w:rFonts w:ascii="Times New Roman" w:hAnsi="Times New Roman"/>
          <w:szCs w:val="20"/>
        </w:rPr>
      </w:pPr>
    </w:p>
    <w:p w:rsidR="000E22F8" w:rsidRPr="00FA3856" w:rsidRDefault="0005364A" w:rsidP="00EC2D50">
      <w:pPr>
        <w:pStyle w:val="Corpodetexto"/>
        <w:spacing w:line="240" w:lineRule="auto"/>
        <w:ind w:left="436" w:firstLine="284"/>
        <w:rPr>
          <w:rFonts w:ascii="Times New Roman" w:hAnsi="Times New Roman"/>
          <w:b/>
          <w:szCs w:val="20"/>
        </w:rPr>
      </w:pPr>
      <w:r w:rsidRPr="00FA3856">
        <w:rPr>
          <w:rFonts w:ascii="Times New Roman" w:hAnsi="Times New Roman"/>
          <w:b/>
          <w:szCs w:val="20"/>
        </w:rPr>
        <w:t>Exemplos (período):</w:t>
      </w:r>
    </w:p>
    <w:p w:rsidR="0005364A" w:rsidRPr="00FA3856" w:rsidRDefault="0005364A" w:rsidP="00EC2D50">
      <w:pPr>
        <w:pStyle w:val="Corpodetexto"/>
        <w:spacing w:line="240" w:lineRule="auto"/>
        <w:ind w:left="1132" w:firstLine="284"/>
        <w:rPr>
          <w:rFonts w:ascii="Times New Roman" w:hAnsi="Times New Roman"/>
          <w:szCs w:val="20"/>
        </w:rPr>
      </w:pPr>
      <w:r w:rsidRPr="00FA3856">
        <w:rPr>
          <w:rFonts w:ascii="Times New Roman" w:hAnsi="Times New Roman"/>
          <w:szCs w:val="20"/>
        </w:rPr>
        <w:t xml:space="preserve">Janeiro de 2005 </w:t>
      </w:r>
      <w:r w:rsidRPr="00FA3856">
        <w:rPr>
          <w:rFonts w:ascii="Times New Roman" w:hAnsi="Times New Roman"/>
          <w:szCs w:val="20"/>
        </w:rPr>
        <w:sym w:font="Wingdings" w:char="00E8"/>
      </w:r>
      <w:r w:rsidRPr="00FA3856">
        <w:rPr>
          <w:rFonts w:ascii="Times New Roman" w:hAnsi="Times New Roman"/>
          <w:szCs w:val="20"/>
        </w:rPr>
        <w:t xml:space="preserve"> |012005|</w:t>
      </w:r>
    </w:p>
    <w:p w:rsidR="0005364A" w:rsidRPr="00FA3856" w:rsidRDefault="0005364A" w:rsidP="00EC2D50">
      <w:pPr>
        <w:pStyle w:val="Corpodetexto"/>
        <w:spacing w:line="240" w:lineRule="auto"/>
        <w:ind w:left="848" w:firstLine="568"/>
        <w:rPr>
          <w:rFonts w:ascii="Times New Roman" w:hAnsi="Times New Roman"/>
          <w:szCs w:val="20"/>
        </w:rPr>
      </w:pPr>
      <w:r w:rsidRPr="00FA3856">
        <w:rPr>
          <w:rFonts w:ascii="Times New Roman" w:hAnsi="Times New Roman"/>
          <w:szCs w:val="20"/>
        </w:rPr>
        <w:t xml:space="preserve">11.1911 </w:t>
      </w:r>
      <w:r w:rsidRPr="00FA3856">
        <w:rPr>
          <w:rFonts w:ascii="Times New Roman" w:hAnsi="Times New Roman"/>
          <w:szCs w:val="20"/>
        </w:rPr>
        <w:sym w:font="Wingdings" w:char="00E8"/>
      </w:r>
      <w:r w:rsidRPr="00FA3856">
        <w:rPr>
          <w:rFonts w:ascii="Times New Roman" w:hAnsi="Times New Roman"/>
          <w:szCs w:val="20"/>
        </w:rPr>
        <w:t xml:space="preserve"> |111911|</w:t>
      </w:r>
    </w:p>
    <w:p w:rsidR="0005364A" w:rsidRPr="00FA3856" w:rsidRDefault="0005364A" w:rsidP="00EC2D50">
      <w:pPr>
        <w:pStyle w:val="Corpodetexto"/>
        <w:spacing w:line="240" w:lineRule="auto"/>
        <w:ind w:left="1132" w:firstLine="284"/>
        <w:rPr>
          <w:rFonts w:ascii="Times New Roman" w:hAnsi="Times New Roman"/>
          <w:szCs w:val="20"/>
        </w:rPr>
      </w:pPr>
      <w:r w:rsidRPr="00FA3856">
        <w:rPr>
          <w:rFonts w:ascii="Times New Roman" w:hAnsi="Times New Roman"/>
          <w:szCs w:val="20"/>
        </w:rPr>
        <w:t xml:space="preserve">03-1999 </w:t>
      </w:r>
      <w:r w:rsidRPr="00FA3856">
        <w:rPr>
          <w:rFonts w:ascii="Times New Roman" w:hAnsi="Times New Roman"/>
          <w:szCs w:val="20"/>
        </w:rPr>
        <w:sym w:font="Wingdings" w:char="00E8"/>
      </w:r>
      <w:r w:rsidRPr="00FA3856">
        <w:rPr>
          <w:rFonts w:ascii="Times New Roman" w:hAnsi="Times New Roman"/>
          <w:szCs w:val="20"/>
        </w:rPr>
        <w:t xml:space="preserve"> |031999|</w:t>
      </w:r>
    </w:p>
    <w:p w:rsidR="0005364A" w:rsidRPr="00FA3856" w:rsidRDefault="0005364A" w:rsidP="00EC2D50">
      <w:pPr>
        <w:pStyle w:val="Corpodetexto"/>
        <w:spacing w:line="240" w:lineRule="auto"/>
        <w:ind w:left="848" w:firstLine="568"/>
        <w:rPr>
          <w:rFonts w:ascii="Times New Roman" w:hAnsi="Times New Roman"/>
          <w:szCs w:val="20"/>
        </w:rPr>
      </w:pPr>
      <w:r w:rsidRPr="00FA3856">
        <w:rPr>
          <w:rFonts w:ascii="Times New Roman" w:hAnsi="Times New Roman"/>
          <w:szCs w:val="20"/>
        </w:rPr>
        <w:t xml:space="preserve">08/04 </w:t>
      </w:r>
      <w:r w:rsidRPr="00FA3856">
        <w:rPr>
          <w:rFonts w:ascii="Times New Roman" w:hAnsi="Times New Roman"/>
          <w:szCs w:val="20"/>
        </w:rPr>
        <w:sym w:font="Wingdings" w:char="00E8"/>
      </w:r>
      <w:r w:rsidRPr="00FA3856">
        <w:rPr>
          <w:rFonts w:ascii="Times New Roman" w:hAnsi="Times New Roman"/>
          <w:szCs w:val="20"/>
        </w:rPr>
        <w:t xml:space="preserve"> |082004|</w:t>
      </w:r>
    </w:p>
    <w:p w:rsidR="004B7494" w:rsidRPr="00FA3856" w:rsidRDefault="00710E8D" w:rsidP="00EC2D50">
      <w:pPr>
        <w:pStyle w:val="Corpodetexto"/>
        <w:spacing w:line="240" w:lineRule="auto"/>
        <w:ind w:left="1132" w:firstLine="284"/>
        <w:rPr>
          <w:rFonts w:ascii="Times New Roman" w:hAnsi="Times New Roman"/>
          <w:szCs w:val="20"/>
        </w:rPr>
      </w:pPr>
      <w:r w:rsidRPr="00FA3856">
        <w:rPr>
          <w:rFonts w:ascii="Times New Roman" w:hAnsi="Times New Roman"/>
          <w:szCs w:val="20"/>
        </w:rPr>
        <w:t>Campo V</w:t>
      </w:r>
      <w:r w:rsidR="0005364A" w:rsidRPr="00FA3856">
        <w:rPr>
          <w:rFonts w:ascii="Times New Roman" w:hAnsi="Times New Roman"/>
          <w:szCs w:val="20"/>
        </w:rPr>
        <w:t xml:space="preserve">azio </w:t>
      </w:r>
      <w:r w:rsidR="0005364A" w:rsidRPr="00FA3856">
        <w:rPr>
          <w:rFonts w:ascii="Times New Roman" w:hAnsi="Times New Roman"/>
          <w:szCs w:val="20"/>
        </w:rPr>
        <w:sym w:font="Wingdings" w:char="00E8"/>
      </w:r>
      <w:r w:rsidR="0005364A" w:rsidRPr="00FA3856">
        <w:rPr>
          <w:rFonts w:ascii="Times New Roman" w:hAnsi="Times New Roman"/>
          <w:szCs w:val="20"/>
        </w:rPr>
        <w:t xml:space="preserve"> ||</w:t>
      </w:r>
      <w:bookmarkStart w:id="37" w:name="_Toc325702819"/>
    </w:p>
    <w:p w:rsidR="00A26429" w:rsidRPr="00FA3856" w:rsidRDefault="00A26429" w:rsidP="000A5732">
      <w:pPr>
        <w:pStyle w:val="Corpodetexto"/>
        <w:spacing w:line="240" w:lineRule="auto"/>
        <w:rPr>
          <w:rFonts w:ascii="Times New Roman" w:hAnsi="Times New Roman"/>
          <w:szCs w:val="20"/>
        </w:rPr>
      </w:pPr>
    </w:p>
    <w:p w:rsidR="000A5732" w:rsidRPr="00FA3856" w:rsidRDefault="000A5732" w:rsidP="00867F54">
      <w:pPr>
        <w:pStyle w:val="Ttulo3"/>
      </w:pPr>
      <w:bookmarkStart w:id="38" w:name="_Toc479713649"/>
      <w:r w:rsidRPr="00FA3856">
        <w:t>2.3.6. Edição de Campos Identificados Como Cálculos Alteráveis</w:t>
      </w:r>
      <w:bookmarkEnd w:id="38"/>
    </w:p>
    <w:p w:rsidR="000A5732" w:rsidRPr="00FA3856" w:rsidRDefault="000A5732" w:rsidP="000A5732">
      <w:pPr>
        <w:pStyle w:val="Corpodetexto"/>
        <w:spacing w:line="240" w:lineRule="auto"/>
        <w:rPr>
          <w:rFonts w:ascii="Times New Roman" w:hAnsi="Times New Roman"/>
          <w:szCs w:val="20"/>
        </w:rPr>
      </w:pPr>
    </w:p>
    <w:p w:rsidR="000A5732" w:rsidRPr="00DE364B" w:rsidRDefault="00710E8D" w:rsidP="000A5732">
      <w:pPr>
        <w:pStyle w:val="Corpodetexto"/>
        <w:spacing w:line="240" w:lineRule="auto"/>
        <w:ind w:firstLine="708"/>
        <w:rPr>
          <w:rFonts w:ascii="Times New Roman" w:hAnsi="Times New Roman"/>
          <w:szCs w:val="20"/>
        </w:rPr>
      </w:pPr>
      <w:r w:rsidRPr="00DE364B">
        <w:rPr>
          <w:rFonts w:ascii="Times New Roman" w:hAnsi="Times New Roman"/>
          <w:szCs w:val="20"/>
        </w:rPr>
        <w:t>Caso seja necessário</w:t>
      </w:r>
      <w:r w:rsidR="000A5732" w:rsidRPr="00DE364B">
        <w:rPr>
          <w:rFonts w:ascii="Times New Roman" w:hAnsi="Times New Roman"/>
          <w:szCs w:val="20"/>
        </w:rPr>
        <w:t xml:space="preserve"> fazer a edição de campos identificados como “CA” (Cálculo Alterável), o procedimento é o seguinte:</w:t>
      </w:r>
    </w:p>
    <w:p w:rsidR="00710E8D" w:rsidRPr="00DE364B" w:rsidRDefault="00710E8D" w:rsidP="000A5732">
      <w:pPr>
        <w:pStyle w:val="Corpodetexto"/>
        <w:spacing w:line="240" w:lineRule="auto"/>
        <w:ind w:firstLine="708"/>
        <w:rPr>
          <w:rFonts w:ascii="Times New Roman" w:hAnsi="Times New Roman"/>
          <w:szCs w:val="20"/>
        </w:rPr>
      </w:pPr>
    </w:p>
    <w:p w:rsidR="000A5732" w:rsidRPr="00DE364B" w:rsidRDefault="000A5732" w:rsidP="000A5732">
      <w:pPr>
        <w:pStyle w:val="Corpodetexto"/>
        <w:spacing w:line="240" w:lineRule="auto"/>
        <w:ind w:firstLine="708"/>
        <w:rPr>
          <w:rFonts w:ascii="Times New Roman" w:hAnsi="Times New Roman"/>
          <w:szCs w:val="20"/>
        </w:rPr>
      </w:pPr>
      <w:r w:rsidRPr="00DE364B">
        <w:rPr>
          <w:rFonts w:ascii="Times New Roman" w:hAnsi="Times New Roman"/>
          <w:szCs w:val="20"/>
        </w:rPr>
        <w:t>I – Clicar na escrituração;</w:t>
      </w:r>
    </w:p>
    <w:p w:rsidR="000A5732" w:rsidRPr="00DE364B" w:rsidRDefault="000A5732" w:rsidP="000A5732">
      <w:pPr>
        <w:pStyle w:val="Corpodetexto"/>
        <w:spacing w:line="240" w:lineRule="auto"/>
        <w:ind w:firstLine="708"/>
        <w:rPr>
          <w:rFonts w:ascii="Times New Roman" w:hAnsi="Times New Roman"/>
          <w:szCs w:val="20"/>
        </w:rPr>
      </w:pPr>
      <w:r w:rsidRPr="00DE364B">
        <w:rPr>
          <w:rFonts w:ascii="Times New Roman" w:hAnsi="Times New Roman"/>
          <w:szCs w:val="20"/>
        </w:rPr>
        <w:t xml:space="preserve">II – Clicar em “Configurações” =&gt; “Configura Parâmetros da ECF”; </w:t>
      </w:r>
    </w:p>
    <w:p w:rsidR="000A5732" w:rsidRPr="00DE364B" w:rsidRDefault="000A5732" w:rsidP="000A5732">
      <w:pPr>
        <w:pStyle w:val="Corpodetexto"/>
        <w:spacing w:line="240" w:lineRule="auto"/>
        <w:ind w:firstLine="708"/>
        <w:rPr>
          <w:rFonts w:ascii="Times New Roman" w:hAnsi="Times New Roman"/>
          <w:szCs w:val="20"/>
        </w:rPr>
      </w:pPr>
      <w:r w:rsidRPr="00DE364B">
        <w:rPr>
          <w:rFonts w:ascii="Times New Roman" w:hAnsi="Times New Roman"/>
          <w:szCs w:val="20"/>
        </w:rPr>
        <w:t xml:space="preserve">III – Clicar em “Não </w:t>
      </w:r>
      <w:r w:rsidR="003B3E88" w:rsidRPr="00DE364B">
        <w:rPr>
          <w:rFonts w:ascii="Times New Roman" w:hAnsi="Times New Roman"/>
          <w:szCs w:val="20"/>
        </w:rPr>
        <w:t xml:space="preserve">– Eu escolho quais registros terão os campos atualizados pelo sistema.”; </w:t>
      </w:r>
    </w:p>
    <w:p w:rsidR="003B3E88" w:rsidRPr="00DE364B" w:rsidRDefault="003B3E88" w:rsidP="000A5732">
      <w:pPr>
        <w:pStyle w:val="Corpodetexto"/>
        <w:spacing w:line="240" w:lineRule="auto"/>
        <w:ind w:firstLine="708"/>
        <w:rPr>
          <w:rFonts w:ascii="Times New Roman" w:hAnsi="Times New Roman"/>
          <w:szCs w:val="20"/>
        </w:rPr>
      </w:pPr>
      <w:r w:rsidRPr="00DE364B">
        <w:rPr>
          <w:rFonts w:ascii="Times New Roman" w:hAnsi="Times New Roman"/>
          <w:szCs w:val="20"/>
        </w:rPr>
        <w:t>IV – Selecione os registros que deseja editar; e</w:t>
      </w:r>
    </w:p>
    <w:p w:rsidR="000A5732" w:rsidRPr="00FA3856" w:rsidRDefault="000A5732" w:rsidP="00921621">
      <w:pPr>
        <w:pStyle w:val="Corpodetexto"/>
        <w:spacing w:line="240" w:lineRule="auto"/>
        <w:ind w:firstLine="708"/>
        <w:rPr>
          <w:rFonts w:ascii="Times New Roman" w:hAnsi="Times New Roman"/>
          <w:szCs w:val="20"/>
        </w:rPr>
      </w:pPr>
      <w:r w:rsidRPr="00DE364B">
        <w:rPr>
          <w:rFonts w:ascii="Times New Roman" w:hAnsi="Times New Roman"/>
          <w:szCs w:val="20"/>
        </w:rPr>
        <w:t>V</w:t>
      </w:r>
      <w:r w:rsidR="00921621" w:rsidRPr="00DE364B">
        <w:rPr>
          <w:rFonts w:ascii="Times New Roman" w:hAnsi="Times New Roman"/>
          <w:szCs w:val="20"/>
        </w:rPr>
        <w:t xml:space="preserve"> – Edite os campos necessários.</w:t>
      </w:r>
    </w:p>
    <w:p w:rsidR="000A5732" w:rsidRDefault="000A5732" w:rsidP="000A5732">
      <w:pPr>
        <w:pStyle w:val="Corpodetexto"/>
        <w:spacing w:line="240" w:lineRule="auto"/>
        <w:rPr>
          <w:rFonts w:ascii="Times New Roman" w:hAnsi="Times New Roman"/>
          <w:szCs w:val="20"/>
        </w:rPr>
      </w:pPr>
    </w:p>
    <w:p w:rsidR="0023326E" w:rsidRPr="00F73981" w:rsidRDefault="0023326E" w:rsidP="00867F54">
      <w:pPr>
        <w:pStyle w:val="Ttulo3"/>
        <w:rPr>
          <w:highlight w:val="yellow"/>
        </w:rPr>
      </w:pPr>
      <w:bookmarkStart w:id="39" w:name="_Toc479713650"/>
      <w:r w:rsidRPr="00F73981">
        <w:rPr>
          <w:highlight w:val="yellow"/>
        </w:rPr>
        <w:t>2.3.7. Pesquisa nos registros</w:t>
      </w:r>
      <w:bookmarkEnd w:id="39"/>
    </w:p>
    <w:p w:rsidR="0023326E" w:rsidRPr="00F73981" w:rsidRDefault="0023326E" w:rsidP="0023326E">
      <w:pPr>
        <w:rPr>
          <w:highlight w:val="yellow"/>
        </w:rPr>
      </w:pPr>
    </w:p>
    <w:p w:rsidR="0023326E" w:rsidRPr="00F73981" w:rsidRDefault="00960BBC" w:rsidP="000A5732">
      <w:pPr>
        <w:pStyle w:val="Corpodetexto"/>
        <w:spacing w:line="240" w:lineRule="auto"/>
        <w:rPr>
          <w:rFonts w:ascii="Times New Roman" w:hAnsi="Times New Roman"/>
          <w:szCs w:val="20"/>
          <w:highlight w:val="yellow"/>
        </w:rPr>
      </w:pPr>
      <w:r w:rsidRPr="00F73981">
        <w:rPr>
          <w:rFonts w:ascii="Times New Roman" w:hAnsi="Times New Roman"/>
          <w:szCs w:val="20"/>
          <w:highlight w:val="yellow"/>
        </w:rPr>
        <w:tab/>
        <w:t>Ao utilizar a opção de “</w:t>
      </w:r>
      <w:r w:rsidR="00F73981">
        <w:rPr>
          <w:rFonts w:ascii="Times New Roman" w:hAnsi="Times New Roman"/>
          <w:szCs w:val="20"/>
          <w:highlight w:val="yellow"/>
        </w:rPr>
        <w:t>P</w:t>
      </w:r>
      <w:r w:rsidRPr="00F73981">
        <w:rPr>
          <w:rFonts w:ascii="Times New Roman" w:hAnsi="Times New Roman"/>
          <w:szCs w:val="20"/>
          <w:highlight w:val="yellow"/>
        </w:rPr>
        <w:t>esquisa</w:t>
      </w:r>
      <w:r w:rsidR="00F73981">
        <w:rPr>
          <w:rFonts w:ascii="Times New Roman" w:hAnsi="Times New Roman"/>
          <w:szCs w:val="20"/>
          <w:highlight w:val="yellow"/>
        </w:rPr>
        <w:t>r</w:t>
      </w:r>
      <w:r w:rsidRPr="00F73981">
        <w:rPr>
          <w:rFonts w:ascii="Times New Roman" w:hAnsi="Times New Roman"/>
          <w:szCs w:val="20"/>
          <w:highlight w:val="yellow"/>
        </w:rPr>
        <w:t xml:space="preserve">” na interface do programa da ECF, no caso de pesquisa em relação a campos no formato </w:t>
      </w:r>
      <w:r w:rsidR="00356FC5">
        <w:rPr>
          <w:rFonts w:ascii="Times New Roman" w:hAnsi="Times New Roman"/>
          <w:szCs w:val="20"/>
          <w:highlight w:val="yellow"/>
        </w:rPr>
        <w:t>texto</w:t>
      </w:r>
      <w:r w:rsidRPr="00F73981">
        <w:rPr>
          <w:rFonts w:ascii="Times New Roman" w:hAnsi="Times New Roman"/>
          <w:szCs w:val="20"/>
          <w:highlight w:val="yellow"/>
        </w:rPr>
        <w:t>, é possível utilizar %XXXX% para pesquisar palavras específicas.</w:t>
      </w:r>
    </w:p>
    <w:p w:rsidR="00960BBC" w:rsidRPr="00F73981" w:rsidRDefault="00960BBC" w:rsidP="000A5732">
      <w:pPr>
        <w:pStyle w:val="Corpodetexto"/>
        <w:spacing w:line="240" w:lineRule="auto"/>
        <w:rPr>
          <w:rFonts w:ascii="Times New Roman" w:hAnsi="Times New Roman"/>
          <w:szCs w:val="20"/>
          <w:highlight w:val="yellow"/>
        </w:rPr>
      </w:pPr>
    </w:p>
    <w:p w:rsidR="00960BBC" w:rsidRDefault="00960BBC" w:rsidP="00356FC5">
      <w:pPr>
        <w:pStyle w:val="Corpodetexto"/>
        <w:spacing w:line="240" w:lineRule="auto"/>
        <w:ind w:left="708"/>
        <w:rPr>
          <w:rFonts w:ascii="Times New Roman" w:hAnsi="Times New Roman"/>
          <w:szCs w:val="20"/>
        </w:rPr>
      </w:pPr>
      <w:r w:rsidRPr="00356FC5">
        <w:rPr>
          <w:rFonts w:ascii="Times New Roman" w:hAnsi="Times New Roman"/>
          <w:b/>
          <w:szCs w:val="20"/>
          <w:highlight w:val="yellow"/>
        </w:rPr>
        <w:t>Exemplo</w:t>
      </w:r>
      <w:r w:rsidRPr="00F73981">
        <w:rPr>
          <w:rFonts w:ascii="Times New Roman" w:hAnsi="Times New Roman"/>
          <w:szCs w:val="20"/>
          <w:highlight w:val="yellow"/>
        </w:rPr>
        <w:t>: Registro P100 – É possível fazer uma pesquisa, no campo “Descrição”, que mostre todas as linhas que contém a palavra “circulante”. Para isso, deve ser informado no campo pesquisa (descrição): %Circulante%.</w:t>
      </w:r>
    </w:p>
    <w:p w:rsidR="00F73981" w:rsidRDefault="00F73981" w:rsidP="000A5732">
      <w:pPr>
        <w:pStyle w:val="Corpodetexto"/>
        <w:spacing w:line="240" w:lineRule="auto"/>
        <w:rPr>
          <w:rFonts w:ascii="Times New Roman" w:hAnsi="Times New Roman"/>
          <w:szCs w:val="20"/>
        </w:rPr>
      </w:pPr>
    </w:p>
    <w:p w:rsidR="00F73981" w:rsidRDefault="00F73981" w:rsidP="00F73981">
      <w:pPr>
        <w:pStyle w:val="Corpodetexto"/>
        <w:spacing w:line="240" w:lineRule="auto"/>
        <w:jc w:val="center"/>
        <w:rPr>
          <w:rFonts w:ascii="Times New Roman" w:hAnsi="Times New Roman"/>
          <w:szCs w:val="20"/>
        </w:rPr>
      </w:pPr>
      <w:r>
        <w:rPr>
          <w:rFonts w:ascii="Times New Roman" w:hAnsi="Times New Roman"/>
          <w:noProof/>
          <w:szCs w:val="20"/>
          <w:lang w:eastAsia="pt-BR"/>
        </w:rPr>
        <w:drawing>
          <wp:inline distT="0" distB="0" distL="0" distR="0">
            <wp:extent cx="5695950" cy="752475"/>
            <wp:effectExtent l="0" t="0" r="0"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95950" cy="752475"/>
                    </a:xfrm>
                    <a:prstGeom prst="rect">
                      <a:avLst/>
                    </a:prstGeom>
                    <a:noFill/>
                    <a:ln>
                      <a:noFill/>
                    </a:ln>
                  </pic:spPr>
                </pic:pic>
              </a:graphicData>
            </a:graphic>
          </wp:inline>
        </w:drawing>
      </w:r>
    </w:p>
    <w:p w:rsidR="00960BBC" w:rsidRPr="00FA3856" w:rsidRDefault="00960BBC" w:rsidP="000A5732">
      <w:pPr>
        <w:pStyle w:val="Corpodetexto"/>
        <w:spacing w:line="240" w:lineRule="auto"/>
        <w:rPr>
          <w:rFonts w:ascii="Times New Roman" w:hAnsi="Times New Roman"/>
          <w:szCs w:val="20"/>
        </w:rPr>
      </w:pPr>
      <w:r>
        <w:rPr>
          <w:rFonts w:ascii="Times New Roman" w:hAnsi="Times New Roman"/>
          <w:szCs w:val="20"/>
        </w:rPr>
        <w:tab/>
      </w:r>
    </w:p>
    <w:p w:rsidR="00F73981" w:rsidRDefault="00F73981">
      <w:pPr>
        <w:spacing w:after="200" w:line="276" w:lineRule="auto"/>
        <w:rPr>
          <w:b/>
          <w:bCs/>
          <w:color w:val="0000FF"/>
          <w:szCs w:val="20"/>
        </w:rPr>
      </w:pPr>
      <w:r>
        <w:rPr>
          <w:color w:val="0000FF"/>
          <w:szCs w:val="20"/>
        </w:rPr>
        <w:br w:type="page"/>
      </w:r>
    </w:p>
    <w:p w:rsidR="000E22F8" w:rsidRPr="00FA3856" w:rsidRDefault="000E22F8" w:rsidP="00867F54">
      <w:pPr>
        <w:pStyle w:val="Ttulo2"/>
      </w:pPr>
      <w:bookmarkStart w:id="40" w:name="_Toc479713651"/>
      <w:r w:rsidRPr="00FA3856">
        <w:lastRenderedPageBreak/>
        <w:t>2.4</w:t>
      </w:r>
      <w:r w:rsidR="00FC5876" w:rsidRPr="00FA3856">
        <w:t>.</w:t>
      </w:r>
      <w:r w:rsidRPr="00FA3856">
        <w:t xml:space="preserve"> Códigos de Identificação</w:t>
      </w:r>
      <w:bookmarkEnd w:id="37"/>
      <w:bookmarkEnd w:id="40"/>
    </w:p>
    <w:p w:rsidR="002247D6" w:rsidRPr="00FA3856" w:rsidRDefault="002247D6" w:rsidP="002247D6">
      <w:pPr>
        <w:rPr>
          <w:szCs w:val="20"/>
        </w:rPr>
      </w:pPr>
    </w:p>
    <w:p w:rsidR="001353B2" w:rsidRPr="00FA3856" w:rsidRDefault="0005364A" w:rsidP="002247D6">
      <w:pPr>
        <w:pStyle w:val="Corpodetexto"/>
        <w:spacing w:line="240" w:lineRule="auto"/>
        <w:ind w:firstLine="708"/>
        <w:rPr>
          <w:rFonts w:ascii="Times New Roman" w:hAnsi="Times New Roman"/>
          <w:szCs w:val="20"/>
        </w:rPr>
      </w:pPr>
      <w:r w:rsidRPr="00FA3856">
        <w:rPr>
          <w:rFonts w:ascii="Times New Roman" w:hAnsi="Times New Roman"/>
          <w:szCs w:val="20"/>
        </w:rPr>
        <w:t xml:space="preserve">Os </w:t>
      </w:r>
      <w:r w:rsidR="00BF0D3E" w:rsidRPr="00FA3856">
        <w:rPr>
          <w:rFonts w:ascii="Times New Roman" w:hAnsi="Times New Roman"/>
          <w:szCs w:val="20"/>
        </w:rPr>
        <w:t>códigos de identificação</w:t>
      </w:r>
      <w:r w:rsidRPr="00FA3856">
        <w:rPr>
          <w:rFonts w:ascii="Times New Roman" w:hAnsi="Times New Roman"/>
          <w:szCs w:val="20"/>
        </w:rPr>
        <w:t xml:space="preserve"> </w:t>
      </w:r>
      <w:r w:rsidR="00BF0D3E" w:rsidRPr="00FA3856">
        <w:rPr>
          <w:rFonts w:ascii="Times New Roman" w:hAnsi="Times New Roman"/>
          <w:szCs w:val="20"/>
        </w:rPr>
        <w:t>são campos numéricos ou alfanuméricos onde é necessário</w:t>
      </w:r>
      <w:r w:rsidRPr="00FA3856">
        <w:rPr>
          <w:rFonts w:ascii="Times New Roman" w:hAnsi="Times New Roman"/>
          <w:szCs w:val="20"/>
        </w:rPr>
        <w:t xml:space="preserve"> registrar </w:t>
      </w:r>
      <w:r w:rsidR="00BF0D3E" w:rsidRPr="00FA3856">
        <w:rPr>
          <w:rFonts w:ascii="Times New Roman" w:hAnsi="Times New Roman"/>
          <w:szCs w:val="20"/>
        </w:rPr>
        <w:t>CNPJ, CPF, CEP, Inscrição Estadual, Inscrição Municipal, dentre outros</w:t>
      </w:r>
      <w:r w:rsidRPr="00FA3856">
        <w:rPr>
          <w:rFonts w:ascii="Times New Roman" w:hAnsi="Times New Roman"/>
          <w:szCs w:val="20"/>
        </w:rPr>
        <w:t>.</w:t>
      </w:r>
      <w:r w:rsidR="00BF0D3E" w:rsidRPr="00FA3856">
        <w:rPr>
          <w:rFonts w:ascii="Times New Roman" w:hAnsi="Times New Roman"/>
          <w:szCs w:val="20"/>
        </w:rPr>
        <w:t xml:space="preserve"> </w:t>
      </w:r>
    </w:p>
    <w:p w:rsidR="001353B2" w:rsidRPr="00FA3856" w:rsidRDefault="001353B2" w:rsidP="002247D6">
      <w:pPr>
        <w:pStyle w:val="Corpodetexto"/>
        <w:spacing w:line="240" w:lineRule="auto"/>
        <w:ind w:left="1132" w:firstLine="284"/>
        <w:rPr>
          <w:rFonts w:ascii="Times New Roman" w:hAnsi="Times New Roman"/>
          <w:szCs w:val="20"/>
        </w:rPr>
      </w:pPr>
    </w:p>
    <w:p w:rsidR="0005364A" w:rsidRPr="00FA3856" w:rsidRDefault="0005364A" w:rsidP="002247D6">
      <w:pPr>
        <w:pStyle w:val="Corpodetexto"/>
        <w:spacing w:line="240" w:lineRule="auto"/>
        <w:ind w:firstLine="708"/>
        <w:rPr>
          <w:rFonts w:ascii="Times New Roman" w:hAnsi="Times New Roman"/>
          <w:szCs w:val="20"/>
        </w:rPr>
      </w:pPr>
      <w:r w:rsidRPr="00FA3856">
        <w:rPr>
          <w:rFonts w:ascii="Times New Roman" w:hAnsi="Times New Roman"/>
          <w:szCs w:val="20"/>
        </w:rPr>
        <w:t>Estes campos deverão ser informados com todos os dígitos, inclusive os zeros (0) à esquerda. As máscaras (caracteres especiai</w:t>
      </w:r>
      <w:r w:rsidR="00BF0D3E" w:rsidRPr="00FA3856">
        <w:rPr>
          <w:rFonts w:ascii="Times New Roman" w:hAnsi="Times New Roman"/>
          <w:szCs w:val="20"/>
        </w:rPr>
        <w:t>s de formatação, tais como: "."; "/"; "-";</w:t>
      </w:r>
      <w:r w:rsidRPr="00FA3856">
        <w:rPr>
          <w:rFonts w:ascii="Times New Roman" w:hAnsi="Times New Roman"/>
          <w:szCs w:val="20"/>
        </w:rPr>
        <w:t xml:space="preserve"> etc</w:t>
      </w:r>
      <w:r w:rsidR="00685FA5" w:rsidRPr="00FA3856">
        <w:rPr>
          <w:rFonts w:ascii="Times New Roman" w:hAnsi="Times New Roman"/>
          <w:szCs w:val="20"/>
        </w:rPr>
        <w:t>.</w:t>
      </w:r>
      <w:r w:rsidRPr="00FA3856">
        <w:rPr>
          <w:rFonts w:ascii="Times New Roman" w:hAnsi="Times New Roman"/>
          <w:szCs w:val="20"/>
        </w:rPr>
        <w:t>) não devem ser informadas.</w:t>
      </w:r>
      <w:r w:rsidR="00BF0D3E" w:rsidRPr="00FA3856">
        <w:rPr>
          <w:rFonts w:ascii="Times New Roman" w:hAnsi="Times New Roman"/>
          <w:szCs w:val="20"/>
        </w:rPr>
        <w:t xml:space="preserve"> </w:t>
      </w:r>
      <w:r w:rsidRPr="00FA3856">
        <w:rPr>
          <w:rFonts w:ascii="Times New Roman" w:hAnsi="Times New Roman"/>
          <w:szCs w:val="20"/>
        </w:rPr>
        <w:t>Os campos numéricos cujo tamanho é expresso na coluna própria deverão conter exatamente a quantidade de caracteres indicada.</w:t>
      </w:r>
    </w:p>
    <w:p w:rsidR="0025236D" w:rsidRPr="00FA3856" w:rsidRDefault="0025236D" w:rsidP="002247D6">
      <w:pPr>
        <w:pStyle w:val="Corpodetexto"/>
        <w:spacing w:line="240" w:lineRule="auto"/>
        <w:ind w:left="1132" w:firstLine="284"/>
        <w:rPr>
          <w:rFonts w:ascii="Times New Roman" w:hAnsi="Times New Roman"/>
          <w:szCs w:val="20"/>
        </w:rPr>
      </w:pPr>
    </w:p>
    <w:p w:rsidR="0005364A" w:rsidRPr="00FA3856" w:rsidRDefault="0005364A" w:rsidP="00EC2D50">
      <w:pPr>
        <w:ind w:firstLine="708"/>
        <w:rPr>
          <w:b/>
          <w:szCs w:val="20"/>
        </w:rPr>
      </w:pPr>
      <w:r w:rsidRPr="00FA3856">
        <w:rPr>
          <w:b/>
          <w:szCs w:val="20"/>
        </w:rPr>
        <w:t>Exemplo (</w:t>
      </w:r>
      <w:r w:rsidR="001353B2" w:rsidRPr="00FA3856">
        <w:rPr>
          <w:b/>
          <w:szCs w:val="20"/>
        </w:rPr>
        <w:t>códigos de identificação</w:t>
      </w:r>
      <w:r w:rsidRPr="00FA3856">
        <w:rPr>
          <w:b/>
          <w:szCs w:val="20"/>
        </w:rPr>
        <w:t xml:space="preserve"> numéricos com indicação de tamanho):</w:t>
      </w:r>
    </w:p>
    <w:p w:rsidR="00BF0D3E" w:rsidRPr="00FA3856" w:rsidRDefault="00BF0D3E" w:rsidP="00EC2D50">
      <w:pPr>
        <w:ind w:firstLine="708"/>
        <w:rPr>
          <w:b/>
          <w:szCs w:val="20"/>
        </w:rPr>
      </w:pPr>
    </w:p>
    <w:tbl>
      <w:tblPr>
        <w:tblStyle w:val="Tabelacomgrade"/>
        <w:tblW w:w="0" w:type="auto"/>
        <w:tblInd w:w="743" w:type="dxa"/>
        <w:tblLook w:val="04A0" w:firstRow="1" w:lastRow="0" w:firstColumn="1" w:lastColumn="0" w:noHBand="0" w:noVBand="1"/>
      </w:tblPr>
      <w:tblGrid>
        <w:gridCol w:w="970"/>
        <w:gridCol w:w="549"/>
        <w:gridCol w:w="827"/>
      </w:tblGrid>
      <w:tr w:rsidR="00BF0D3E" w:rsidRPr="00FA3856" w:rsidTr="00BF0D3E">
        <w:tc>
          <w:tcPr>
            <w:tcW w:w="970" w:type="dxa"/>
          </w:tcPr>
          <w:p w:rsidR="00BF0D3E" w:rsidRPr="00FA3856" w:rsidRDefault="00BF0D3E" w:rsidP="00EC2D50">
            <w:pPr>
              <w:rPr>
                <w:szCs w:val="20"/>
              </w:rPr>
            </w:pPr>
            <w:r w:rsidRPr="00FA3856">
              <w:rPr>
                <w:szCs w:val="20"/>
              </w:rPr>
              <w:t>CNPJ</w:t>
            </w:r>
          </w:p>
        </w:tc>
        <w:tc>
          <w:tcPr>
            <w:tcW w:w="549" w:type="dxa"/>
          </w:tcPr>
          <w:p w:rsidR="00BF0D3E" w:rsidRPr="00FA3856" w:rsidRDefault="00BF0D3E" w:rsidP="00EC2D50">
            <w:pPr>
              <w:rPr>
                <w:szCs w:val="20"/>
              </w:rPr>
            </w:pPr>
            <w:r w:rsidRPr="00FA3856">
              <w:rPr>
                <w:szCs w:val="20"/>
              </w:rPr>
              <w:t>N</w:t>
            </w:r>
          </w:p>
        </w:tc>
        <w:tc>
          <w:tcPr>
            <w:tcW w:w="827" w:type="dxa"/>
          </w:tcPr>
          <w:p w:rsidR="00BF0D3E" w:rsidRPr="00FA3856" w:rsidRDefault="00BF0D3E" w:rsidP="00EC2D50">
            <w:pPr>
              <w:rPr>
                <w:szCs w:val="20"/>
              </w:rPr>
            </w:pPr>
            <w:r w:rsidRPr="00FA3856">
              <w:rPr>
                <w:szCs w:val="20"/>
              </w:rPr>
              <w:t>014</w:t>
            </w:r>
          </w:p>
        </w:tc>
      </w:tr>
      <w:tr w:rsidR="00BF0D3E" w:rsidRPr="00FA3856" w:rsidTr="00BF0D3E">
        <w:tc>
          <w:tcPr>
            <w:tcW w:w="970" w:type="dxa"/>
          </w:tcPr>
          <w:p w:rsidR="00BF0D3E" w:rsidRPr="00FA3856" w:rsidRDefault="00BF0D3E" w:rsidP="00EC2D50">
            <w:pPr>
              <w:rPr>
                <w:szCs w:val="20"/>
              </w:rPr>
            </w:pPr>
            <w:r w:rsidRPr="00FA3856">
              <w:rPr>
                <w:szCs w:val="20"/>
              </w:rPr>
              <w:t>CPF</w:t>
            </w:r>
          </w:p>
        </w:tc>
        <w:tc>
          <w:tcPr>
            <w:tcW w:w="549" w:type="dxa"/>
          </w:tcPr>
          <w:p w:rsidR="00BF0D3E" w:rsidRPr="00FA3856" w:rsidRDefault="00BF0D3E" w:rsidP="00EC2D50">
            <w:pPr>
              <w:rPr>
                <w:szCs w:val="20"/>
              </w:rPr>
            </w:pPr>
            <w:r w:rsidRPr="00FA3856">
              <w:rPr>
                <w:szCs w:val="20"/>
              </w:rPr>
              <w:t>N</w:t>
            </w:r>
          </w:p>
        </w:tc>
        <w:tc>
          <w:tcPr>
            <w:tcW w:w="827" w:type="dxa"/>
          </w:tcPr>
          <w:p w:rsidR="00BF0D3E" w:rsidRPr="00FA3856" w:rsidRDefault="00BF0D3E" w:rsidP="00EC2D50">
            <w:pPr>
              <w:rPr>
                <w:szCs w:val="20"/>
              </w:rPr>
            </w:pPr>
            <w:r w:rsidRPr="00FA3856">
              <w:rPr>
                <w:szCs w:val="20"/>
              </w:rPr>
              <w:t>011</w:t>
            </w:r>
          </w:p>
        </w:tc>
      </w:tr>
      <w:tr w:rsidR="00BF0D3E" w:rsidRPr="00FA3856" w:rsidTr="00BF0D3E">
        <w:tc>
          <w:tcPr>
            <w:tcW w:w="970" w:type="dxa"/>
          </w:tcPr>
          <w:p w:rsidR="00BF0D3E" w:rsidRPr="00FA3856" w:rsidRDefault="00BF0D3E" w:rsidP="00EC2D50">
            <w:pPr>
              <w:rPr>
                <w:szCs w:val="20"/>
              </w:rPr>
            </w:pPr>
            <w:r w:rsidRPr="00FA3856">
              <w:rPr>
                <w:szCs w:val="20"/>
              </w:rPr>
              <w:t>NIRE</w:t>
            </w:r>
          </w:p>
        </w:tc>
        <w:tc>
          <w:tcPr>
            <w:tcW w:w="549" w:type="dxa"/>
          </w:tcPr>
          <w:p w:rsidR="00BF0D3E" w:rsidRPr="00FA3856" w:rsidRDefault="00BF0D3E" w:rsidP="00EC2D50">
            <w:pPr>
              <w:rPr>
                <w:szCs w:val="20"/>
              </w:rPr>
            </w:pPr>
            <w:r w:rsidRPr="00FA3856">
              <w:rPr>
                <w:szCs w:val="20"/>
              </w:rPr>
              <w:t>N</w:t>
            </w:r>
          </w:p>
        </w:tc>
        <w:tc>
          <w:tcPr>
            <w:tcW w:w="827" w:type="dxa"/>
          </w:tcPr>
          <w:p w:rsidR="00BF0D3E" w:rsidRPr="00FA3856" w:rsidRDefault="00BF0D3E" w:rsidP="00EC2D50">
            <w:pPr>
              <w:rPr>
                <w:szCs w:val="20"/>
              </w:rPr>
            </w:pPr>
            <w:r w:rsidRPr="00FA3856">
              <w:rPr>
                <w:szCs w:val="20"/>
              </w:rPr>
              <w:t>011</w:t>
            </w:r>
          </w:p>
        </w:tc>
      </w:tr>
      <w:tr w:rsidR="00BF0D3E" w:rsidRPr="00FA3856" w:rsidTr="00BF0D3E">
        <w:tc>
          <w:tcPr>
            <w:tcW w:w="970" w:type="dxa"/>
          </w:tcPr>
          <w:p w:rsidR="00BF0D3E" w:rsidRPr="00FA3856" w:rsidRDefault="00BF0D3E" w:rsidP="00EC2D50">
            <w:pPr>
              <w:rPr>
                <w:szCs w:val="20"/>
              </w:rPr>
            </w:pPr>
            <w:r w:rsidRPr="00FA3856">
              <w:rPr>
                <w:szCs w:val="20"/>
              </w:rPr>
              <w:t>CEP</w:t>
            </w:r>
          </w:p>
        </w:tc>
        <w:tc>
          <w:tcPr>
            <w:tcW w:w="549" w:type="dxa"/>
          </w:tcPr>
          <w:p w:rsidR="00BF0D3E" w:rsidRPr="00FA3856" w:rsidRDefault="00BF0D3E" w:rsidP="00EC2D50">
            <w:pPr>
              <w:rPr>
                <w:szCs w:val="20"/>
              </w:rPr>
            </w:pPr>
            <w:r w:rsidRPr="00FA3856">
              <w:rPr>
                <w:szCs w:val="20"/>
              </w:rPr>
              <w:t>N</w:t>
            </w:r>
          </w:p>
        </w:tc>
        <w:tc>
          <w:tcPr>
            <w:tcW w:w="827" w:type="dxa"/>
          </w:tcPr>
          <w:p w:rsidR="00BF0D3E" w:rsidRPr="00FA3856" w:rsidRDefault="00BF0D3E" w:rsidP="00EC2D50">
            <w:pPr>
              <w:rPr>
                <w:szCs w:val="20"/>
              </w:rPr>
            </w:pPr>
            <w:r w:rsidRPr="00FA3856">
              <w:rPr>
                <w:szCs w:val="20"/>
              </w:rPr>
              <w:t>008</w:t>
            </w:r>
          </w:p>
        </w:tc>
      </w:tr>
    </w:tbl>
    <w:p w:rsidR="00660CA7" w:rsidRPr="00FA3856" w:rsidRDefault="00660CA7" w:rsidP="00EC2D50">
      <w:pPr>
        <w:pStyle w:val="Corpodetexto"/>
        <w:spacing w:line="240" w:lineRule="auto"/>
        <w:rPr>
          <w:rFonts w:ascii="Times New Roman" w:hAnsi="Times New Roman"/>
          <w:szCs w:val="20"/>
        </w:rPr>
      </w:pPr>
    </w:p>
    <w:p w:rsidR="00356FC5" w:rsidRDefault="0005364A" w:rsidP="00356FC5">
      <w:pPr>
        <w:spacing w:line="276" w:lineRule="auto"/>
        <w:ind w:left="708" w:firstLine="708"/>
        <w:rPr>
          <w:szCs w:val="20"/>
        </w:rPr>
      </w:pPr>
      <w:r w:rsidRPr="00FA3856">
        <w:rPr>
          <w:szCs w:val="20"/>
        </w:rPr>
        <w:t xml:space="preserve">CNPJ: 123.456.789/0001-10 </w:t>
      </w:r>
      <w:r w:rsidRPr="00FA3856">
        <w:rPr>
          <w:szCs w:val="20"/>
        </w:rPr>
        <w:sym w:font="Wingdings" w:char="00E8"/>
      </w:r>
      <w:r w:rsidRPr="00FA3856">
        <w:rPr>
          <w:szCs w:val="20"/>
        </w:rPr>
        <w:t xml:space="preserve"> |123456789000110|</w:t>
      </w:r>
    </w:p>
    <w:p w:rsidR="0005364A" w:rsidRPr="00FA3856" w:rsidRDefault="0005364A" w:rsidP="00356FC5">
      <w:pPr>
        <w:spacing w:line="276" w:lineRule="auto"/>
        <w:ind w:left="708" w:firstLine="708"/>
        <w:rPr>
          <w:szCs w:val="20"/>
        </w:rPr>
      </w:pPr>
      <w:r w:rsidRPr="00FA3856">
        <w:rPr>
          <w:szCs w:val="20"/>
        </w:rPr>
        <w:t xml:space="preserve">CNPJ: 000.456.789/0001-10 </w:t>
      </w:r>
      <w:r w:rsidRPr="00FA3856">
        <w:rPr>
          <w:szCs w:val="20"/>
        </w:rPr>
        <w:sym w:font="Wingdings" w:char="00E8"/>
      </w:r>
      <w:r w:rsidRPr="00FA3856">
        <w:rPr>
          <w:szCs w:val="20"/>
        </w:rPr>
        <w:t xml:space="preserve"> |000456789000110|</w:t>
      </w:r>
    </w:p>
    <w:p w:rsidR="0005364A" w:rsidRPr="00FA3856" w:rsidRDefault="0005364A" w:rsidP="00356FC5">
      <w:pPr>
        <w:pStyle w:val="Corpodetexto"/>
        <w:spacing w:line="240" w:lineRule="auto"/>
        <w:ind w:left="1132" w:firstLine="284"/>
        <w:rPr>
          <w:rFonts w:ascii="Times New Roman" w:hAnsi="Times New Roman"/>
          <w:szCs w:val="20"/>
        </w:rPr>
      </w:pPr>
      <w:r w:rsidRPr="00FA3856">
        <w:rPr>
          <w:rFonts w:ascii="Times New Roman" w:hAnsi="Times New Roman"/>
          <w:szCs w:val="20"/>
        </w:rPr>
        <w:t xml:space="preserve">CPF: 882.440.449-40 </w:t>
      </w:r>
      <w:r w:rsidRPr="00FA3856">
        <w:rPr>
          <w:rFonts w:ascii="Times New Roman" w:hAnsi="Times New Roman"/>
          <w:szCs w:val="20"/>
        </w:rPr>
        <w:sym w:font="Wingdings" w:char="00E8"/>
      </w:r>
      <w:r w:rsidRPr="00FA3856">
        <w:rPr>
          <w:rFonts w:ascii="Times New Roman" w:hAnsi="Times New Roman"/>
          <w:szCs w:val="20"/>
        </w:rPr>
        <w:t xml:space="preserve"> |88244044940|</w:t>
      </w:r>
    </w:p>
    <w:p w:rsidR="0005364A" w:rsidRPr="00FA3856" w:rsidRDefault="0005364A" w:rsidP="00356FC5">
      <w:pPr>
        <w:pStyle w:val="Corpodetexto"/>
        <w:spacing w:line="240" w:lineRule="auto"/>
        <w:ind w:left="848" w:firstLine="568"/>
        <w:rPr>
          <w:rFonts w:ascii="Times New Roman" w:hAnsi="Times New Roman"/>
          <w:szCs w:val="20"/>
        </w:rPr>
      </w:pPr>
      <w:r w:rsidRPr="00FA3856">
        <w:rPr>
          <w:rFonts w:ascii="Times New Roman" w:hAnsi="Times New Roman"/>
          <w:szCs w:val="20"/>
        </w:rPr>
        <w:t xml:space="preserve">CPF: 002.333.449-40 </w:t>
      </w:r>
      <w:r w:rsidRPr="00FA3856">
        <w:rPr>
          <w:rFonts w:ascii="Times New Roman" w:hAnsi="Times New Roman"/>
          <w:szCs w:val="20"/>
        </w:rPr>
        <w:sym w:font="Wingdings" w:char="00E8"/>
      </w:r>
      <w:r w:rsidRPr="00FA3856">
        <w:rPr>
          <w:rFonts w:ascii="Times New Roman" w:hAnsi="Times New Roman"/>
          <w:szCs w:val="20"/>
        </w:rPr>
        <w:t xml:space="preserve"> |00233344940|</w:t>
      </w:r>
    </w:p>
    <w:p w:rsidR="0005364A" w:rsidRPr="00FA3856" w:rsidRDefault="00710E8D" w:rsidP="00356FC5">
      <w:pPr>
        <w:pStyle w:val="Corpodetexto"/>
        <w:spacing w:line="240" w:lineRule="auto"/>
        <w:ind w:left="1132" w:firstLine="284"/>
        <w:rPr>
          <w:rFonts w:ascii="Times New Roman" w:hAnsi="Times New Roman"/>
          <w:szCs w:val="20"/>
        </w:rPr>
      </w:pPr>
      <w:r w:rsidRPr="00FA3856">
        <w:rPr>
          <w:rFonts w:ascii="Times New Roman" w:hAnsi="Times New Roman"/>
          <w:szCs w:val="20"/>
        </w:rPr>
        <w:t>Campo V</w:t>
      </w:r>
      <w:r w:rsidR="0005364A" w:rsidRPr="00FA3856">
        <w:rPr>
          <w:rFonts w:ascii="Times New Roman" w:hAnsi="Times New Roman"/>
          <w:szCs w:val="20"/>
        </w:rPr>
        <w:t xml:space="preserve">azio </w:t>
      </w:r>
      <w:r w:rsidR="0005364A" w:rsidRPr="00FA3856">
        <w:rPr>
          <w:rFonts w:ascii="Times New Roman" w:hAnsi="Times New Roman"/>
          <w:szCs w:val="20"/>
        </w:rPr>
        <w:sym w:font="Wingdings" w:char="00E8"/>
      </w:r>
      <w:r w:rsidR="0005364A" w:rsidRPr="00FA3856">
        <w:rPr>
          <w:rFonts w:ascii="Times New Roman" w:hAnsi="Times New Roman"/>
          <w:szCs w:val="20"/>
        </w:rPr>
        <w:t xml:space="preserve"> ||</w:t>
      </w:r>
    </w:p>
    <w:p w:rsidR="001156EC" w:rsidRPr="00FA3856" w:rsidRDefault="001156EC" w:rsidP="00EC2D50">
      <w:pPr>
        <w:rPr>
          <w:szCs w:val="20"/>
        </w:rPr>
      </w:pPr>
    </w:p>
    <w:p w:rsidR="0005364A" w:rsidRPr="00FA3856" w:rsidRDefault="0005364A" w:rsidP="0025236D">
      <w:pPr>
        <w:ind w:firstLine="708"/>
        <w:rPr>
          <w:b/>
          <w:szCs w:val="20"/>
        </w:rPr>
      </w:pPr>
      <w:r w:rsidRPr="00FA3856">
        <w:rPr>
          <w:b/>
          <w:szCs w:val="20"/>
        </w:rPr>
        <w:t>Exemplos (códigos de identificação alfanumérico</w:t>
      </w:r>
      <w:r w:rsidR="001353B2" w:rsidRPr="00FA3856">
        <w:rPr>
          <w:b/>
          <w:szCs w:val="20"/>
        </w:rPr>
        <w:t>s</w:t>
      </w:r>
      <w:r w:rsidRPr="00FA3856">
        <w:rPr>
          <w:b/>
          <w:szCs w:val="20"/>
        </w:rPr>
        <w:t>):</w:t>
      </w:r>
    </w:p>
    <w:p w:rsidR="001156EC" w:rsidRPr="00FA3856" w:rsidRDefault="001156EC" w:rsidP="00EC2D50">
      <w:pPr>
        <w:ind w:firstLine="708"/>
        <w:rPr>
          <w:b/>
          <w:szCs w:val="20"/>
        </w:rPr>
      </w:pPr>
    </w:p>
    <w:tbl>
      <w:tblPr>
        <w:tblStyle w:val="Tabelacomgrade"/>
        <w:tblW w:w="0" w:type="auto"/>
        <w:tblInd w:w="743" w:type="dxa"/>
        <w:tblLook w:val="04A0" w:firstRow="1" w:lastRow="0" w:firstColumn="1" w:lastColumn="0" w:noHBand="0" w:noVBand="1"/>
      </w:tblPr>
      <w:tblGrid>
        <w:gridCol w:w="970"/>
        <w:gridCol w:w="549"/>
        <w:gridCol w:w="827"/>
      </w:tblGrid>
      <w:tr w:rsidR="001156EC" w:rsidRPr="00FA3856" w:rsidTr="001353B2">
        <w:tc>
          <w:tcPr>
            <w:tcW w:w="970" w:type="dxa"/>
          </w:tcPr>
          <w:p w:rsidR="001156EC" w:rsidRPr="00FA3856" w:rsidRDefault="001156EC" w:rsidP="00EC2D50">
            <w:pPr>
              <w:rPr>
                <w:szCs w:val="20"/>
              </w:rPr>
            </w:pPr>
            <w:r w:rsidRPr="00FA3856">
              <w:rPr>
                <w:szCs w:val="20"/>
              </w:rPr>
              <w:t>IE</w:t>
            </w:r>
          </w:p>
        </w:tc>
        <w:tc>
          <w:tcPr>
            <w:tcW w:w="549" w:type="dxa"/>
          </w:tcPr>
          <w:p w:rsidR="001156EC" w:rsidRPr="00FA3856" w:rsidRDefault="001156EC" w:rsidP="00EC2D50">
            <w:pPr>
              <w:rPr>
                <w:szCs w:val="20"/>
              </w:rPr>
            </w:pPr>
            <w:r w:rsidRPr="00FA3856">
              <w:rPr>
                <w:szCs w:val="20"/>
              </w:rPr>
              <w:t>C</w:t>
            </w:r>
          </w:p>
        </w:tc>
        <w:tc>
          <w:tcPr>
            <w:tcW w:w="827" w:type="dxa"/>
          </w:tcPr>
          <w:p w:rsidR="001156EC" w:rsidRPr="00FA3856" w:rsidRDefault="001156EC" w:rsidP="00EC2D50">
            <w:pPr>
              <w:rPr>
                <w:szCs w:val="20"/>
              </w:rPr>
            </w:pPr>
            <w:r w:rsidRPr="00FA3856">
              <w:rPr>
                <w:szCs w:val="20"/>
              </w:rPr>
              <w:t>-</w:t>
            </w:r>
          </w:p>
        </w:tc>
      </w:tr>
      <w:tr w:rsidR="001156EC" w:rsidRPr="00FA3856" w:rsidTr="001353B2">
        <w:tc>
          <w:tcPr>
            <w:tcW w:w="970" w:type="dxa"/>
          </w:tcPr>
          <w:p w:rsidR="001156EC" w:rsidRPr="00FA3856" w:rsidRDefault="001156EC" w:rsidP="00EC2D50">
            <w:pPr>
              <w:rPr>
                <w:szCs w:val="20"/>
              </w:rPr>
            </w:pPr>
            <w:r w:rsidRPr="00FA3856">
              <w:rPr>
                <w:szCs w:val="20"/>
              </w:rPr>
              <w:t>IM</w:t>
            </w:r>
          </w:p>
        </w:tc>
        <w:tc>
          <w:tcPr>
            <w:tcW w:w="549" w:type="dxa"/>
          </w:tcPr>
          <w:p w:rsidR="001156EC" w:rsidRPr="00FA3856" w:rsidRDefault="001156EC" w:rsidP="00EC2D50">
            <w:pPr>
              <w:rPr>
                <w:szCs w:val="20"/>
              </w:rPr>
            </w:pPr>
            <w:r w:rsidRPr="00FA3856">
              <w:rPr>
                <w:szCs w:val="20"/>
              </w:rPr>
              <w:t>C</w:t>
            </w:r>
          </w:p>
        </w:tc>
        <w:tc>
          <w:tcPr>
            <w:tcW w:w="827" w:type="dxa"/>
          </w:tcPr>
          <w:p w:rsidR="001156EC" w:rsidRPr="00FA3856" w:rsidRDefault="001156EC" w:rsidP="00EC2D50">
            <w:pPr>
              <w:rPr>
                <w:szCs w:val="20"/>
              </w:rPr>
            </w:pPr>
            <w:r w:rsidRPr="00FA3856">
              <w:rPr>
                <w:szCs w:val="20"/>
              </w:rPr>
              <w:t>-</w:t>
            </w:r>
          </w:p>
        </w:tc>
      </w:tr>
    </w:tbl>
    <w:p w:rsidR="001156EC" w:rsidRPr="00FA3856" w:rsidRDefault="001156EC" w:rsidP="00EC2D50">
      <w:pPr>
        <w:pStyle w:val="Corpodetexto"/>
        <w:spacing w:line="240" w:lineRule="auto"/>
        <w:ind w:left="436" w:firstLine="284"/>
        <w:rPr>
          <w:rFonts w:ascii="Times New Roman" w:hAnsi="Times New Roman"/>
          <w:szCs w:val="20"/>
        </w:rPr>
      </w:pPr>
    </w:p>
    <w:p w:rsidR="0005364A" w:rsidRPr="00FA3856" w:rsidRDefault="0005364A" w:rsidP="00EC2D50">
      <w:pPr>
        <w:pStyle w:val="Corpodetexto"/>
        <w:spacing w:line="240" w:lineRule="auto"/>
        <w:ind w:left="1416"/>
        <w:rPr>
          <w:rFonts w:ascii="Times New Roman" w:hAnsi="Times New Roman"/>
          <w:szCs w:val="20"/>
        </w:rPr>
      </w:pPr>
      <w:r w:rsidRPr="00FA3856">
        <w:rPr>
          <w:rFonts w:ascii="Times New Roman" w:hAnsi="Times New Roman"/>
          <w:szCs w:val="20"/>
        </w:rPr>
        <w:t xml:space="preserve">IE: 129.876.543.215-77 </w:t>
      </w:r>
      <w:r w:rsidRPr="00FA3856">
        <w:rPr>
          <w:rFonts w:ascii="Times New Roman" w:hAnsi="Times New Roman"/>
          <w:szCs w:val="20"/>
        </w:rPr>
        <w:sym w:font="Wingdings" w:char="00E8"/>
      </w:r>
      <w:r w:rsidRPr="00FA3856">
        <w:rPr>
          <w:rFonts w:ascii="Times New Roman" w:hAnsi="Times New Roman"/>
          <w:szCs w:val="20"/>
        </w:rPr>
        <w:t xml:space="preserve"> |12987654321577|</w:t>
      </w:r>
    </w:p>
    <w:p w:rsidR="0005364A" w:rsidRPr="00FA3856" w:rsidRDefault="0005364A" w:rsidP="00EC2D50">
      <w:pPr>
        <w:pStyle w:val="Corpodetexto"/>
        <w:spacing w:line="240" w:lineRule="auto"/>
        <w:ind w:left="1132" w:firstLine="284"/>
        <w:rPr>
          <w:rFonts w:ascii="Times New Roman" w:hAnsi="Times New Roman"/>
          <w:szCs w:val="20"/>
        </w:rPr>
      </w:pPr>
      <w:r w:rsidRPr="00FA3856">
        <w:rPr>
          <w:rFonts w:ascii="Times New Roman" w:hAnsi="Times New Roman"/>
          <w:szCs w:val="20"/>
        </w:rPr>
        <w:t xml:space="preserve">IE: 04.123.123-7 </w:t>
      </w:r>
      <w:r w:rsidRPr="00FA3856">
        <w:rPr>
          <w:rFonts w:ascii="Times New Roman" w:hAnsi="Times New Roman"/>
          <w:szCs w:val="20"/>
        </w:rPr>
        <w:sym w:font="Wingdings" w:char="00E8"/>
      </w:r>
      <w:r w:rsidRPr="00FA3856">
        <w:rPr>
          <w:rFonts w:ascii="Times New Roman" w:hAnsi="Times New Roman"/>
          <w:szCs w:val="20"/>
        </w:rPr>
        <w:t xml:space="preserve"> |041231237|</w:t>
      </w:r>
    </w:p>
    <w:p w:rsidR="0005364A" w:rsidRPr="00FA3856" w:rsidRDefault="0005364A" w:rsidP="00EC2D50">
      <w:pPr>
        <w:pStyle w:val="Corpodetexto"/>
        <w:spacing w:line="240" w:lineRule="auto"/>
        <w:ind w:left="848" w:firstLine="568"/>
        <w:rPr>
          <w:rFonts w:ascii="Times New Roman" w:hAnsi="Times New Roman"/>
          <w:szCs w:val="20"/>
        </w:rPr>
      </w:pPr>
      <w:r w:rsidRPr="00FA3856">
        <w:rPr>
          <w:rFonts w:ascii="Times New Roman" w:hAnsi="Times New Roman"/>
          <w:szCs w:val="20"/>
        </w:rPr>
        <w:t xml:space="preserve">IM: 876.543.219-21 </w:t>
      </w:r>
      <w:r w:rsidRPr="00FA3856">
        <w:rPr>
          <w:rFonts w:ascii="Times New Roman" w:hAnsi="Times New Roman"/>
          <w:szCs w:val="20"/>
        </w:rPr>
        <w:sym w:font="Wingdings" w:char="00E8"/>
      </w:r>
      <w:r w:rsidRPr="00FA3856">
        <w:rPr>
          <w:rFonts w:ascii="Times New Roman" w:hAnsi="Times New Roman"/>
          <w:szCs w:val="20"/>
        </w:rPr>
        <w:t xml:space="preserve"> |00087654321921|</w:t>
      </w:r>
    </w:p>
    <w:p w:rsidR="001156EC" w:rsidRPr="00FA3856" w:rsidRDefault="00710E8D" w:rsidP="002247D6">
      <w:pPr>
        <w:pStyle w:val="Corpodetexto"/>
        <w:spacing w:line="240" w:lineRule="auto"/>
        <w:ind w:left="1132" w:firstLine="284"/>
        <w:rPr>
          <w:rFonts w:ascii="Times New Roman" w:hAnsi="Times New Roman"/>
          <w:szCs w:val="20"/>
        </w:rPr>
      </w:pPr>
      <w:r w:rsidRPr="00FA3856">
        <w:rPr>
          <w:rFonts w:ascii="Times New Roman" w:hAnsi="Times New Roman"/>
          <w:szCs w:val="20"/>
        </w:rPr>
        <w:t>Campo V</w:t>
      </w:r>
      <w:r w:rsidR="0005364A" w:rsidRPr="00FA3856">
        <w:rPr>
          <w:rFonts w:ascii="Times New Roman" w:hAnsi="Times New Roman"/>
          <w:szCs w:val="20"/>
        </w:rPr>
        <w:t xml:space="preserve">azio </w:t>
      </w:r>
      <w:r w:rsidR="0005364A" w:rsidRPr="00FA3856">
        <w:rPr>
          <w:rFonts w:ascii="Times New Roman" w:hAnsi="Times New Roman"/>
          <w:szCs w:val="20"/>
        </w:rPr>
        <w:sym w:font="Wingdings" w:char="00E8"/>
      </w:r>
      <w:r w:rsidR="002247D6" w:rsidRPr="00FA3856">
        <w:rPr>
          <w:rFonts w:ascii="Times New Roman" w:hAnsi="Times New Roman"/>
          <w:szCs w:val="20"/>
        </w:rPr>
        <w:t xml:space="preserve"> ||</w:t>
      </w:r>
    </w:p>
    <w:p w:rsidR="002247D6" w:rsidRPr="00FA3856" w:rsidRDefault="002247D6" w:rsidP="002247D6">
      <w:pPr>
        <w:pStyle w:val="Corpodetexto"/>
        <w:spacing w:line="240" w:lineRule="auto"/>
        <w:ind w:left="1132" w:firstLine="284"/>
        <w:rPr>
          <w:rFonts w:ascii="Times New Roman" w:hAnsi="Times New Roman"/>
          <w:szCs w:val="20"/>
        </w:rPr>
      </w:pPr>
    </w:p>
    <w:p w:rsidR="0005364A" w:rsidRPr="00FA3856" w:rsidRDefault="001353B2" w:rsidP="002247D6">
      <w:pPr>
        <w:pStyle w:val="Corpodetexto2"/>
        <w:widowControl w:val="0"/>
        <w:tabs>
          <w:tab w:val="num" w:pos="720"/>
        </w:tabs>
        <w:autoSpaceDE w:val="0"/>
        <w:autoSpaceDN w:val="0"/>
        <w:adjustRightInd w:val="0"/>
      </w:pPr>
      <w:r w:rsidRPr="00FA3856">
        <w:tab/>
      </w:r>
      <w:r w:rsidR="00660CA7" w:rsidRPr="00FA3856">
        <w:t>No</w:t>
      </w:r>
      <w:r w:rsidR="0005364A" w:rsidRPr="00FA3856">
        <w:t xml:space="preserve">s campos </w:t>
      </w:r>
      <w:r w:rsidRPr="00FA3856">
        <w:t>onde é</w:t>
      </w:r>
      <w:r w:rsidR="0005364A" w:rsidRPr="00FA3856">
        <w:t xml:space="preserve"> necessário registrar algarismos ou caracteres que identifiquem ou façam parte da identificação de objeto documento (</w:t>
      </w:r>
      <w:r w:rsidR="00660CA7" w:rsidRPr="00FA3856">
        <w:t>n</w:t>
      </w:r>
      <w:r w:rsidRPr="00FA3856">
        <w:t>úmero do documento de arrecadação</w:t>
      </w:r>
      <w:r w:rsidR="00660CA7" w:rsidRPr="00FA3856">
        <w:t xml:space="preserve">, </w:t>
      </w:r>
      <w:r w:rsidRPr="00FA3856">
        <w:t>número do processo</w:t>
      </w:r>
      <w:r w:rsidR="0005364A" w:rsidRPr="00FA3856">
        <w:t xml:space="preserve">, </w:t>
      </w:r>
      <w:r w:rsidR="00685FA5" w:rsidRPr="00FA3856">
        <w:t>etc.</w:t>
      </w:r>
      <w:r w:rsidR="0005364A" w:rsidRPr="00FA3856">
        <w:t>)</w:t>
      </w:r>
      <w:r w:rsidRPr="00FA3856">
        <w:t xml:space="preserve"> </w:t>
      </w:r>
      <w:r w:rsidR="0005364A" w:rsidRPr="00FA3856">
        <w:t>deverão ser informados com todos os dígitos válidos, aí incluídos os caracteres especiais de formatação</w:t>
      </w:r>
      <w:r w:rsidRPr="00FA3856">
        <w:t xml:space="preserve"> (tais como: "."; "/";</w:t>
      </w:r>
      <w:r w:rsidR="0005364A" w:rsidRPr="00FA3856">
        <w:t xml:space="preserve"> "-", </w:t>
      </w:r>
      <w:r w:rsidR="00685FA5" w:rsidRPr="00FA3856">
        <w:t>etc.</w:t>
      </w:r>
      <w:r w:rsidR="0005364A" w:rsidRPr="00FA3856">
        <w:t>).</w:t>
      </w:r>
    </w:p>
    <w:p w:rsidR="001353B2" w:rsidRPr="00FA3856" w:rsidRDefault="001353B2" w:rsidP="00EC2D50">
      <w:pPr>
        <w:pStyle w:val="Corpodetexto2"/>
        <w:widowControl w:val="0"/>
        <w:tabs>
          <w:tab w:val="num" w:pos="720"/>
        </w:tabs>
        <w:autoSpaceDE w:val="0"/>
        <w:autoSpaceDN w:val="0"/>
        <w:adjustRightInd w:val="0"/>
        <w:ind w:left="720" w:hanging="360"/>
      </w:pPr>
    </w:p>
    <w:p w:rsidR="0005364A" w:rsidRPr="00FA3856" w:rsidRDefault="001353B2" w:rsidP="00EC2D50">
      <w:pPr>
        <w:pStyle w:val="Corpodetexto2"/>
        <w:widowControl w:val="0"/>
        <w:tabs>
          <w:tab w:val="num" w:pos="720"/>
        </w:tabs>
        <w:autoSpaceDE w:val="0"/>
        <w:autoSpaceDN w:val="0"/>
        <w:adjustRightInd w:val="0"/>
      </w:pPr>
      <w:r w:rsidRPr="00FA3856">
        <w:tab/>
      </w:r>
      <w:r w:rsidR="0005364A" w:rsidRPr="00FA3856">
        <w:t>Os campos que contiverem informações com algarismos ou caracteres que identifiquem um documento devem ter a exata quantidade de caracteres indicada no objeto original.</w:t>
      </w:r>
    </w:p>
    <w:p w:rsidR="001353B2" w:rsidRPr="00FA3856" w:rsidRDefault="001353B2" w:rsidP="00EC2D50">
      <w:pPr>
        <w:pStyle w:val="Corpodetexto2"/>
        <w:widowControl w:val="0"/>
        <w:tabs>
          <w:tab w:val="num" w:pos="720"/>
        </w:tabs>
        <w:autoSpaceDE w:val="0"/>
        <w:autoSpaceDN w:val="0"/>
        <w:adjustRightInd w:val="0"/>
      </w:pPr>
    </w:p>
    <w:p w:rsidR="0005364A" w:rsidRPr="00FA3856" w:rsidRDefault="0005364A" w:rsidP="00EC2D50">
      <w:pPr>
        <w:ind w:firstLine="708"/>
        <w:rPr>
          <w:b/>
          <w:szCs w:val="20"/>
        </w:rPr>
      </w:pPr>
      <w:r w:rsidRPr="00FA3856">
        <w:rPr>
          <w:b/>
          <w:szCs w:val="20"/>
        </w:rPr>
        <w:t>Exemplo (algarismos ou caracteres de identificação):</w:t>
      </w:r>
    </w:p>
    <w:p w:rsidR="001353B2" w:rsidRPr="00FA3856" w:rsidRDefault="001353B2" w:rsidP="00EC2D50">
      <w:pPr>
        <w:ind w:firstLine="708"/>
        <w:rPr>
          <w:b/>
          <w:szCs w:val="20"/>
        </w:rPr>
      </w:pPr>
    </w:p>
    <w:tbl>
      <w:tblPr>
        <w:tblStyle w:val="Tabelacomgrade"/>
        <w:tblW w:w="0" w:type="auto"/>
        <w:tblInd w:w="743" w:type="dxa"/>
        <w:tblLook w:val="04A0" w:firstRow="1" w:lastRow="0" w:firstColumn="1" w:lastColumn="0" w:noHBand="0" w:noVBand="1"/>
      </w:tblPr>
      <w:tblGrid>
        <w:gridCol w:w="1306"/>
        <w:gridCol w:w="549"/>
        <w:gridCol w:w="827"/>
      </w:tblGrid>
      <w:tr w:rsidR="001353B2" w:rsidRPr="00FA3856" w:rsidTr="001353B2">
        <w:tc>
          <w:tcPr>
            <w:tcW w:w="970" w:type="dxa"/>
          </w:tcPr>
          <w:p w:rsidR="001353B2" w:rsidRPr="00FA3856" w:rsidRDefault="001353B2" w:rsidP="00EC2D50">
            <w:pPr>
              <w:rPr>
                <w:szCs w:val="20"/>
              </w:rPr>
            </w:pPr>
            <w:r w:rsidRPr="00FA3856">
              <w:rPr>
                <w:szCs w:val="20"/>
              </w:rPr>
              <w:t>NUM_DA</w:t>
            </w:r>
          </w:p>
        </w:tc>
        <w:tc>
          <w:tcPr>
            <w:tcW w:w="549" w:type="dxa"/>
          </w:tcPr>
          <w:p w:rsidR="001353B2" w:rsidRPr="00FA3856" w:rsidRDefault="001353B2" w:rsidP="00EC2D50">
            <w:pPr>
              <w:rPr>
                <w:szCs w:val="20"/>
              </w:rPr>
            </w:pPr>
            <w:r w:rsidRPr="00FA3856">
              <w:rPr>
                <w:szCs w:val="20"/>
              </w:rPr>
              <w:t>C</w:t>
            </w:r>
          </w:p>
        </w:tc>
        <w:tc>
          <w:tcPr>
            <w:tcW w:w="827" w:type="dxa"/>
          </w:tcPr>
          <w:p w:rsidR="001353B2" w:rsidRPr="00FA3856" w:rsidRDefault="001353B2" w:rsidP="00EC2D50">
            <w:pPr>
              <w:rPr>
                <w:szCs w:val="20"/>
              </w:rPr>
            </w:pPr>
            <w:r w:rsidRPr="00FA3856">
              <w:rPr>
                <w:szCs w:val="20"/>
              </w:rPr>
              <w:t>-</w:t>
            </w:r>
          </w:p>
        </w:tc>
      </w:tr>
      <w:tr w:rsidR="001353B2" w:rsidRPr="00FA3856" w:rsidTr="001353B2">
        <w:tc>
          <w:tcPr>
            <w:tcW w:w="970" w:type="dxa"/>
          </w:tcPr>
          <w:p w:rsidR="001353B2" w:rsidRPr="00FA3856" w:rsidRDefault="001353B2" w:rsidP="00EC2D50">
            <w:pPr>
              <w:rPr>
                <w:szCs w:val="20"/>
              </w:rPr>
            </w:pPr>
            <w:r w:rsidRPr="00FA3856">
              <w:rPr>
                <w:szCs w:val="20"/>
              </w:rPr>
              <w:t>NUM_PROC</w:t>
            </w:r>
          </w:p>
        </w:tc>
        <w:tc>
          <w:tcPr>
            <w:tcW w:w="549" w:type="dxa"/>
          </w:tcPr>
          <w:p w:rsidR="001353B2" w:rsidRPr="00FA3856" w:rsidRDefault="001353B2" w:rsidP="00EC2D50">
            <w:pPr>
              <w:rPr>
                <w:szCs w:val="20"/>
              </w:rPr>
            </w:pPr>
            <w:r w:rsidRPr="00FA3856">
              <w:rPr>
                <w:szCs w:val="20"/>
              </w:rPr>
              <w:t>C</w:t>
            </w:r>
          </w:p>
        </w:tc>
        <w:tc>
          <w:tcPr>
            <w:tcW w:w="827" w:type="dxa"/>
          </w:tcPr>
          <w:p w:rsidR="001353B2" w:rsidRPr="00FA3856" w:rsidRDefault="001353B2" w:rsidP="00EC2D50">
            <w:pPr>
              <w:rPr>
                <w:szCs w:val="20"/>
              </w:rPr>
            </w:pPr>
            <w:r w:rsidRPr="00FA3856">
              <w:rPr>
                <w:szCs w:val="20"/>
              </w:rPr>
              <w:t>-</w:t>
            </w:r>
          </w:p>
        </w:tc>
      </w:tr>
    </w:tbl>
    <w:p w:rsidR="0005364A" w:rsidRPr="00FA3856" w:rsidRDefault="0005364A" w:rsidP="00EC2D50">
      <w:pPr>
        <w:pStyle w:val="Corpodetexto"/>
        <w:spacing w:line="240" w:lineRule="auto"/>
        <w:ind w:left="1132" w:firstLine="284"/>
        <w:rPr>
          <w:rFonts w:ascii="Times New Roman" w:hAnsi="Times New Roman"/>
          <w:szCs w:val="20"/>
        </w:rPr>
      </w:pPr>
      <w:r w:rsidRPr="00FA3856">
        <w:rPr>
          <w:rFonts w:ascii="Times New Roman" w:hAnsi="Times New Roman"/>
          <w:szCs w:val="20"/>
        </w:rPr>
        <w:lastRenderedPageBreak/>
        <w:t xml:space="preserve">Documento de arrecadação: 98.765-43 </w:t>
      </w:r>
      <w:r w:rsidRPr="00FA3856">
        <w:rPr>
          <w:rFonts w:ascii="Times New Roman" w:hAnsi="Times New Roman"/>
          <w:szCs w:val="20"/>
        </w:rPr>
        <w:sym w:font="Wingdings" w:char="00E8"/>
      </w:r>
      <w:r w:rsidRPr="00FA3856">
        <w:rPr>
          <w:rFonts w:ascii="Times New Roman" w:hAnsi="Times New Roman"/>
          <w:szCs w:val="20"/>
        </w:rPr>
        <w:t xml:space="preserve"> |98.765-43|</w:t>
      </w:r>
    </w:p>
    <w:p w:rsidR="0005364A" w:rsidRPr="00FA3856" w:rsidRDefault="0005364A" w:rsidP="00EC2D50">
      <w:pPr>
        <w:pStyle w:val="Corpodetexto"/>
        <w:spacing w:line="240" w:lineRule="auto"/>
        <w:ind w:left="848" w:firstLine="568"/>
        <w:rPr>
          <w:rFonts w:ascii="Times New Roman" w:hAnsi="Times New Roman"/>
          <w:szCs w:val="20"/>
        </w:rPr>
      </w:pPr>
      <w:r w:rsidRPr="00FA3856">
        <w:rPr>
          <w:rFonts w:ascii="Times New Roman" w:hAnsi="Times New Roman"/>
          <w:szCs w:val="20"/>
        </w:rPr>
        <w:t xml:space="preserve">Documento de arrecadação: A1B2C-34 </w:t>
      </w:r>
      <w:r w:rsidRPr="00FA3856">
        <w:rPr>
          <w:rFonts w:ascii="Times New Roman" w:hAnsi="Times New Roman"/>
          <w:szCs w:val="20"/>
        </w:rPr>
        <w:sym w:font="Wingdings" w:char="00E8"/>
      </w:r>
      <w:r w:rsidRPr="00FA3856">
        <w:rPr>
          <w:rFonts w:ascii="Times New Roman" w:hAnsi="Times New Roman"/>
          <w:szCs w:val="20"/>
        </w:rPr>
        <w:t xml:space="preserve"> |A1B2C-34|</w:t>
      </w:r>
    </w:p>
    <w:p w:rsidR="0005364A" w:rsidRPr="00FA3856" w:rsidRDefault="0005364A" w:rsidP="00EC2D50">
      <w:pPr>
        <w:pStyle w:val="Corpodetexto"/>
        <w:spacing w:line="240" w:lineRule="auto"/>
        <w:ind w:left="720" w:firstLine="696"/>
        <w:rPr>
          <w:rFonts w:ascii="Times New Roman" w:hAnsi="Times New Roman"/>
          <w:szCs w:val="20"/>
        </w:rPr>
      </w:pPr>
      <w:r w:rsidRPr="00FA3856">
        <w:rPr>
          <w:rFonts w:ascii="Times New Roman" w:hAnsi="Times New Roman"/>
          <w:szCs w:val="20"/>
        </w:rPr>
        <w:t>Autenticaçã</w:t>
      </w:r>
      <w:r w:rsidR="001353B2" w:rsidRPr="00FA3856">
        <w:rPr>
          <w:rFonts w:ascii="Times New Roman" w:hAnsi="Times New Roman"/>
          <w:szCs w:val="20"/>
        </w:rPr>
        <w:t>o do documento de arrecadação:</w:t>
      </w:r>
      <w:r w:rsidRPr="00FA3856">
        <w:rPr>
          <w:rFonts w:ascii="Times New Roman" w:hAnsi="Times New Roman"/>
          <w:szCs w:val="20"/>
        </w:rPr>
        <w:t xml:space="preserve"> 001-1234/02120512345 </w:t>
      </w:r>
      <w:r w:rsidRPr="00FA3856">
        <w:rPr>
          <w:rFonts w:ascii="Times New Roman" w:hAnsi="Times New Roman"/>
          <w:szCs w:val="20"/>
        </w:rPr>
        <w:sym w:font="Wingdings" w:char="00E8"/>
      </w:r>
      <w:r w:rsidRPr="00FA3856">
        <w:rPr>
          <w:rFonts w:ascii="Times New Roman" w:hAnsi="Times New Roman"/>
          <w:szCs w:val="20"/>
        </w:rPr>
        <w:t xml:space="preserve"> |001-234/02120512345|</w:t>
      </w:r>
    </w:p>
    <w:p w:rsidR="0005364A" w:rsidRPr="00FA3856" w:rsidRDefault="0005364A" w:rsidP="00EC2D50">
      <w:pPr>
        <w:pStyle w:val="Corpodetexto"/>
        <w:spacing w:line="240" w:lineRule="auto"/>
        <w:ind w:left="1416"/>
        <w:rPr>
          <w:rFonts w:ascii="Times New Roman" w:hAnsi="Times New Roman"/>
          <w:szCs w:val="20"/>
        </w:rPr>
      </w:pPr>
      <w:r w:rsidRPr="00FA3856">
        <w:rPr>
          <w:rFonts w:ascii="Times New Roman" w:hAnsi="Times New Roman"/>
          <w:szCs w:val="20"/>
        </w:rPr>
        <w:t xml:space="preserve">Número do processo: 2002/123456-78 </w:t>
      </w:r>
      <w:r w:rsidRPr="00FA3856">
        <w:rPr>
          <w:rFonts w:ascii="Times New Roman" w:hAnsi="Times New Roman"/>
          <w:szCs w:val="20"/>
        </w:rPr>
        <w:sym w:font="Wingdings" w:char="00E8"/>
      </w:r>
      <w:r w:rsidRPr="00FA3856">
        <w:rPr>
          <w:rFonts w:ascii="Times New Roman" w:hAnsi="Times New Roman"/>
          <w:szCs w:val="20"/>
        </w:rPr>
        <w:t xml:space="preserve"> |2002/123456-78|</w:t>
      </w:r>
    </w:p>
    <w:p w:rsidR="001353B2" w:rsidRPr="00FA3856" w:rsidRDefault="00710E8D" w:rsidP="00EC2D50">
      <w:pPr>
        <w:pStyle w:val="Corpodetexto"/>
        <w:spacing w:line="240" w:lineRule="auto"/>
        <w:ind w:left="1132" w:firstLine="284"/>
        <w:rPr>
          <w:rFonts w:ascii="Times New Roman" w:hAnsi="Times New Roman"/>
          <w:szCs w:val="20"/>
        </w:rPr>
      </w:pPr>
      <w:r w:rsidRPr="00FA3856">
        <w:rPr>
          <w:rFonts w:ascii="Times New Roman" w:hAnsi="Times New Roman"/>
          <w:szCs w:val="20"/>
        </w:rPr>
        <w:t>Campo V</w:t>
      </w:r>
      <w:r w:rsidR="0005364A" w:rsidRPr="00FA3856">
        <w:rPr>
          <w:rFonts w:ascii="Times New Roman" w:hAnsi="Times New Roman"/>
          <w:szCs w:val="20"/>
        </w:rPr>
        <w:t xml:space="preserve">azio </w:t>
      </w:r>
      <w:r w:rsidR="0005364A" w:rsidRPr="00FA3856">
        <w:rPr>
          <w:rFonts w:ascii="Times New Roman" w:hAnsi="Times New Roman"/>
          <w:szCs w:val="20"/>
        </w:rPr>
        <w:sym w:font="Wingdings" w:char="00E8"/>
      </w:r>
      <w:r w:rsidR="0005364A" w:rsidRPr="00FA3856">
        <w:rPr>
          <w:rFonts w:ascii="Times New Roman" w:hAnsi="Times New Roman"/>
          <w:szCs w:val="20"/>
        </w:rPr>
        <w:t xml:space="preserve"> ||</w:t>
      </w:r>
      <w:bookmarkStart w:id="41" w:name="_Toc325702820"/>
    </w:p>
    <w:p w:rsidR="00356FC5" w:rsidRDefault="00356FC5" w:rsidP="00356FC5">
      <w:pPr>
        <w:pStyle w:val="Corpodetexto"/>
        <w:spacing w:line="240" w:lineRule="auto"/>
        <w:ind w:left="1132" w:firstLine="284"/>
        <w:rPr>
          <w:color w:val="0000FF"/>
          <w:szCs w:val="20"/>
        </w:rPr>
      </w:pPr>
    </w:p>
    <w:p w:rsidR="00955AA7" w:rsidRPr="00FA3856" w:rsidRDefault="00FC5876" w:rsidP="00867F54">
      <w:pPr>
        <w:pStyle w:val="Ttulo2"/>
      </w:pPr>
      <w:bookmarkStart w:id="42" w:name="_Toc479713652"/>
      <w:r w:rsidRPr="00FA3856">
        <w:t>2.5.</w:t>
      </w:r>
      <w:r w:rsidR="001353B2" w:rsidRPr="00FA3856">
        <w:t xml:space="preserve"> Tabelas </w:t>
      </w:r>
      <w:r w:rsidR="00955AA7" w:rsidRPr="00FA3856">
        <w:t>Externas</w:t>
      </w:r>
      <w:bookmarkEnd w:id="42"/>
    </w:p>
    <w:p w:rsidR="002247D6" w:rsidRPr="00FA3856" w:rsidRDefault="002247D6" w:rsidP="002247D6">
      <w:pPr>
        <w:pStyle w:val="Corpodetexto"/>
        <w:spacing w:line="240" w:lineRule="auto"/>
        <w:ind w:firstLine="708"/>
        <w:rPr>
          <w:rFonts w:ascii="Times New Roman" w:hAnsi="Times New Roman"/>
          <w:szCs w:val="20"/>
        </w:rPr>
      </w:pPr>
    </w:p>
    <w:p w:rsidR="00955AA7" w:rsidRPr="00FA3856" w:rsidRDefault="00955AA7" w:rsidP="00710E8D">
      <w:pPr>
        <w:pStyle w:val="Corpodetexto"/>
        <w:spacing w:line="240" w:lineRule="auto"/>
        <w:ind w:firstLine="708"/>
        <w:rPr>
          <w:rFonts w:ascii="Times New Roman" w:hAnsi="Times New Roman"/>
          <w:szCs w:val="20"/>
        </w:rPr>
      </w:pPr>
      <w:r w:rsidRPr="00FA3856">
        <w:rPr>
          <w:rFonts w:ascii="Times New Roman" w:hAnsi="Times New Roman"/>
          <w:szCs w:val="20"/>
        </w:rPr>
        <w:t xml:space="preserve">São tabelas oficiais criadas e mantidas por outros atos normativos e cujos códigos </w:t>
      </w:r>
      <w:r w:rsidR="00660CA7" w:rsidRPr="00FA3856">
        <w:rPr>
          <w:rFonts w:ascii="Times New Roman" w:hAnsi="Times New Roman"/>
          <w:szCs w:val="20"/>
        </w:rPr>
        <w:t>são</w:t>
      </w:r>
      <w:r w:rsidRPr="00FA3856">
        <w:rPr>
          <w:rFonts w:ascii="Times New Roman" w:hAnsi="Times New Roman"/>
          <w:szCs w:val="20"/>
        </w:rPr>
        <w:t xml:space="preserve"> necessários à e</w:t>
      </w:r>
      <w:r w:rsidR="00660CA7" w:rsidRPr="00FA3856">
        <w:rPr>
          <w:rFonts w:ascii="Times New Roman" w:hAnsi="Times New Roman"/>
          <w:szCs w:val="20"/>
        </w:rPr>
        <w:t>laboração do arquivo digital. D</w:t>
      </w:r>
      <w:r w:rsidRPr="00FA3856">
        <w:rPr>
          <w:rFonts w:ascii="Times New Roman" w:hAnsi="Times New Roman"/>
          <w:szCs w:val="20"/>
        </w:rPr>
        <w:t>everão seguir a codificação definida pelo respectivo órgão regulador.</w:t>
      </w:r>
    </w:p>
    <w:p w:rsidR="00955AA7" w:rsidRPr="00FA3856" w:rsidRDefault="00955AA7" w:rsidP="00EC2D50">
      <w:pPr>
        <w:pStyle w:val="Corpodetexto"/>
        <w:spacing w:line="240" w:lineRule="auto"/>
        <w:ind w:firstLine="708"/>
        <w:rPr>
          <w:rFonts w:ascii="Times New Roman" w:hAnsi="Times New Roman"/>
          <w:szCs w:val="20"/>
        </w:rPr>
      </w:pPr>
      <w:r w:rsidRPr="00FA3856">
        <w:rPr>
          <w:rFonts w:ascii="Times New Roman" w:hAnsi="Times New Roman"/>
          <w:b/>
          <w:szCs w:val="20"/>
        </w:rPr>
        <w:t xml:space="preserve">Exemplo: </w:t>
      </w:r>
      <w:r w:rsidRPr="00FA3856">
        <w:rPr>
          <w:rFonts w:ascii="Times New Roman" w:hAnsi="Times New Roman"/>
          <w:szCs w:val="20"/>
        </w:rPr>
        <w:t>Tabela de Municípios do Instituto Brasileiro de Geografia e Estatística - IBGE.</w:t>
      </w:r>
    </w:p>
    <w:p w:rsidR="00955AA7" w:rsidRPr="00FA3856" w:rsidRDefault="00955AA7" w:rsidP="00EC2D50">
      <w:pPr>
        <w:pStyle w:val="Corpodetexto"/>
        <w:spacing w:line="240" w:lineRule="auto"/>
        <w:ind w:firstLine="708"/>
        <w:rPr>
          <w:rFonts w:ascii="Times New Roman" w:hAnsi="Times New Roman"/>
          <w:b/>
          <w:szCs w:val="20"/>
        </w:rPr>
      </w:pPr>
    </w:p>
    <w:p w:rsidR="00955AA7" w:rsidRPr="00FA3856" w:rsidRDefault="00FC5876" w:rsidP="00867F54">
      <w:pPr>
        <w:pStyle w:val="Ttulo2"/>
      </w:pPr>
      <w:bookmarkStart w:id="43" w:name="_Toc479713653"/>
      <w:r w:rsidRPr="00FA3856">
        <w:t>2.6.</w:t>
      </w:r>
      <w:r w:rsidR="00955AA7" w:rsidRPr="00FA3856">
        <w:t xml:space="preserve"> Tabelas Internas</w:t>
      </w:r>
      <w:bookmarkEnd w:id="43"/>
    </w:p>
    <w:p w:rsidR="00955AA7" w:rsidRPr="00FA3856" w:rsidRDefault="00955AA7" w:rsidP="00EC2D50">
      <w:pPr>
        <w:pStyle w:val="NormalWeb"/>
        <w:spacing w:before="0" w:after="0"/>
        <w:ind w:left="360" w:firstLine="349"/>
        <w:jc w:val="both"/>
        <w:rPr>
          <w:rFonts w:ascii="Times New Roman" w:hAnsi="Times New Roman" w:cs="Times New Roman"/>
          <w:szCs w:val="20"/>
        </w:rPr>
      </w:pPr>
    </w:p>
    <w:p w:rsidR="00955AA7" w:rsidRPr="00FA3856" w:rsidRDefault="00955AA7" w:rsidP="00710E8D">
      <w:pPr>
        <w:pStyle w:val="Corpodetexto"/>
        <w:spacing w:line="240" w:lineRule="auto"/>
        <w:ind w:firstLine="708"/>
        <w:rPr>
          <w:rFonts w:ascii="Times New Roman" w:hAnsi="Times New Roman"/>
          <w:szCs w:val="20"/>
        </w:rPr>
      </w:pPr>
      <w:r w:rsidRPr="00FA3856">
        <w:rPr>
          <w:rFonts w:ascii="Times New Roman" w:hAnsi="Times New Roman"/>
          <w:szCs w:val="20"/>
        </w:rPr>
        <w:t xml:space="preserve">São as tabelas necessárias para a elaboração do arquivo a ser utilizado no </w:t>
      </w:r>
      <w:r w:rsidR="00E21F67" w:rsidRPr="00FA3856">
        <w:rPr>
          <w:rFonts w:ascii="Times New Roman" w:hAnsi="Times New Roman"/>
          <w:szCs w:val="20"/>
        </w:rPr>
        <w:t xml:space="preserve">programa gerador da </w:t>
      </w:r>
      <w:r w:rsidR="0081506D" w:rsidRPr="00FA3856">
        <w:rPr>
          <w:rFonts w:ascii="Times New Roman" w:hAnsi="Times New Roman"/>
          <w:szCs w:val="20"/>
        </w:rPr>
        <w:t>ECF</w:t>
      </w:r>
      <w:r w:rsidR="00710E8D" w:rsidRPr="00FA3856">
        <w:rPr>
          <w:rFonts w:ascii="Times New Roman" w:hAnsi="Times New Roman"/>
          <w:szCs w:val="20"/>
        </w:rPr>
        <w:t>.</w:t>
      </w:r>
    </w:p>
    <w:p w:rsidR="00955AA7" w:rsidRPr="00FA3856" w:rsidRDefault="00955AA7" w:rsidP="00EC2D50">
      <w:pPr>
        <w:pStyle w:val="Corpodetexto"/>
        <w:spacing w:line="240" w:lineRule="auto"/>
        <w:ind w:firstLine="708"/>
        <w:rPr>
          <w:rFonts w:ascii="Times New Roman" w:hAnsi="Times New Roman"/>
          <w:szCs w:val="20"/>
        </w:rPr>
      </w:pPr>
      <w:r w:rsidRPr="00FA3856">
        <w:rPr>
          <w:rFonts w:ascii="Times New Roman" w:hAnsi="Times New Roman"/>
          <w:b/>
          <w:szCs w:val="20"/>
        </w:rPr>
        <w:t>Exemplo</w:t>
      </w:r>
      <w:r w:rsidRPr="00FA3856">
        <w:rPr>
          <w:rFonts w:ascii="Times New Roman" w:hAnsi="Times New Roman"/>
          <w:szCs w:val="20"/>
        </w:rPr>
        <w:t xml:space="preserve">: </w:t>
      </w:r>
      <w:r w:rsidR="005953BF" w:rsidRPr="00FA3856">
        <w:rPr>
          <w:rFonts w:ascii="Times New Roman" w:hAnsi="Times New Roman"/>
          <w:szCs w:val="20"/>
        </w:rPr>
        <w:t>Registro</w:t>
      </w:r>
      <w:r w:rsidRPr="00FA3856">
        <w:rPr>
          <w:rFonts w:ascii="Times New Roman" w:hAnsi="Times New Roman"/>
          <w:szCs w:val="20"/>
        </w:rPr>
        <w:t xml:space="preserve"> 0000 – Abertura do Arquivo Digital e Identificação </w:t>
      </w:r>
      <w:r w:rsidR="00E21F67" w:rsidRPr="00FA3856">
        <w:rPr>
          <w:rFonts w:ascii="Times New Roman" w:hAnsi="Times New Roman"/>
          <w:szCs w:val="20"/>
        </w:rPr>
        <w:t xml:space="preserve">da </w:t>
      </w:r>
      <w:r w:rsidR="00D16822" w:rsidRPr="00FA3856">
        <w:rPr>
          <w:rFonts w:ascii="Times New Roman" w:hAnsi="Times New Roman"/>
          <w:szCs w:val="20"/>
        </w:rPr>
        <w:t>Pessoa Jurídica</w:t>
      </w:r>
    </w:p>
    <w:p w:rsidR="00955AA7" w:rsidRPr="00FA3856" w:rsidRDefault="00955AA7" w:rsidP="00EC2D50">
      <w:pPr>
        <w:pStyle w:val="Corpodetexto"/>
        <w:spacing w:line="240" w:lineRule="auto"/>
        <w:ind w:firstLine="708"/>
        <w:rPr>
          <w:rFonts w:ascii="Times New Roman" w:hAnsi="Times New Roman"/>
          <w:szCs w:val="20"/>
        </w:rPr>
      </w:pPr>
    </w:p>
    <w:p w:rsidR="00955AA7" w:rsidRPr="00FA3856" w:rsidRDefault="00E21F67" w:rsidP="00710E8D">
      <w:pPr>
        <w:pStyle w:val="Corpodetexto"/>
        <w:spacing w:line="240" w:lineRule="auto"/>
        <w:ind w:firstLine="708"/>
        <w:rPr>
          <w:rFonts w:ascii="Times New Roman" w:hAnsi="Times New Roman"/>
          <w:szCs w:val="20"/>
        </w:rPr>
      </w:pPr>
      <w:r w:rsidRPr="00FA3856">
        <w:rPr>
          <w:rFonts w:ascii="Times New Roman" w:hAnsi="Times New Roman"/>
          <w:szCs w:val="20"/>
        </w:rPr>
        <w:t>Campo 7</w:t>
      </w:r>
      <w:r w:rsidR="00955AA7" w:rsidRPr="00FA3856">
        <w:rPr>
          <w:rFonts w:ascii="Times New Roman" w:hAnsi="Times New Roman"/>
          <w:szCs w:val="20"/>
        </w:rPr>
        <w:t>: Indicador de Situação Especial (SIT_ESP</w:t>
      </w:r>
      <w:r w:rsidRPr="00FA3856">
        <w:rPr>
          <w:rFonts w:ascii="Times New Roman" w:hAnsi="Times New Roman"/>
          <w:szCs w:val="20"/>
        </w:rPr>
        <w:t>ECIAL</w:t>
      </w:r>
      <w:r w:rsidR="00955AA7" w:rsidRPr="00FA3856">
        <w:rPr>
          <w:rFonts w:ascii="Times New Roman" w:hAnsi="Times New Roman"/>
          <w:szCs w:val="20"/>
        </w:rPr>
        <w:t>)</w:t>
      </w:r>
    </w:p>
    <w:tbl>
      <w:tblPr>
        <w:tblW w:w="0" w:type="auto"/>
        <w:tblInd w:w="998" w:type="dxa"/>
        <w:tblLayout w:type="fixed"/>
        <w:tblLook w:val="0000" w:firstRow="0" w:lastRow="0" w:firstColumn="0" w:lastColumn="0" w:noHBand="0" w:noVBand="0"/>
      </w:tblPr>
      <w:tblGrid>
        <w:gridCol w:w="1193"/>
        <w:gridCol w:w="4798"/>
      </w:tblGrid>
      <w:tr w:rsidR="00955AA7" w:rsidRPr="00FA3856" w:rsidTr="00E21F67">
        <w:tc>
          <w:tcPr>
            <w:tcW w:w="1193" w:type="dxa"/>
            <w:tcBorders>
              <w:top w:val="single" w:sz="4" w:space="0" w:color="000000"/>
              <w:left w:val="single" w:sz="4" w:space="0" w:color="000000"/>
              <w:bottom w:val="single" w:sz="4" w:space="0" w:color="000000"/>
            </w:tcBorders>
            <w:shd w:val="clear" w:color="auto" w:fill="E5E5E5"/>
            <w:vAlign w:val="center"/>
          </w:tcPr>
          <w:p w:rsidR="00955AA7" w:rsidRPr="00FA3856" w:rsidRDefault="00955AA7" w:rsidP="00EC2D50">
            <w:pPr>
              <w:pStyle w:val="Corpodetexto"/>
              <w:spacing w:line="240" w:lineRule="auto"/>
              <w:jc w:val="center"/>
              <w:rPr>
                <w:rFonts w:ascii="Times New Roman" w:hAnsi="Times New Roman"/>
                <w:b/>
                <w:szCs w:val="20"/>
              </w:rPr>
            </w:pPr>
            <w:r w:rsidRPr="00FA3856">
              <w:rPr>
                <w:rFonts w:ascii="Times New Roman" w:hAnsi="Times New Roman"/>
                <w:b/>
                <w:szCs w:val="20"/>
              </w:rPr>
              <w:t>Código</w:t>
            </w:r>
          </w:p>
        </w:tc>
        <w:tc>
          <w:tcPr>
            <w:tcW w:w="4798" w:type="dxa"/>
            <w:tcBorders>
              <w:top w:val="single" w:sz="4" w:space="0" w:color="000000"/>
              <w:left w:val="single" w:sz="4" w:space="0" w:color="000000"/>
              <w:bottom w:val="single" w:sz="4" w:space="0" w:color="000000"/>
              <w:right w:val="single" w:sz="4" w:space="0" w:color="000000"/>
            </w:tcBorders>
            <w:shd w:val="clear" w:color="auto" w:fill="E5E5E5"/>
            <w:vAlign w:val="center"/>
          </w:tcPr>
          <w:p w:rsidR="00955AA7" w:rsidRPr="00FA3856" w:rsidRDefault="00955AA7" w:rsidP="00EC2D50">
            <w:pPr>
              <w:pStyle w:val="Corpodetexto"/>
              <w:spacing w:line="240" w:lineRule="auto"/>
              <w:jc w:val="center"/>
              <w:rPr>
                <w:rFonts w:ascii="Times New Roman" w:hAnsi="Times New Roman"/>
                <w:b/>
                <w:szCs w:val="20"/>
              </w:rPr>
            </w:pPr>
            <w:r w:rsidRPr="00FA3856">
              <w:rPr>
                <w:rFonts w:ascii="Times New Roman" w:hAnsi="Times New Roman"/>
                <w:b/>
                <w:szCs w:val="20"/>
              </w:rPr>
              <w:t>Descrição</w:t>
            </w:r>
          </w:p>
        </w:tc>
      </w:tr>
      <w:tr w:rsidR="00955AA7" w:rsidRPr="00FA3856" w:rsidTr="00E21F67">
        <w:tc>
          <w:tcPr>
            <w:tcW w:w="1193" w:type="dxa"/>
            <w:tcBorders>
              <w:top w:val="single" w:sz="4" w:space="0" w:color="000000"/>
              <w:left w:val="single" w:sz="4" w:space="0" w:color="000000"/>
              <w:bottom w:val="single" w:sz="4" w:space="0" w:color="000000"/>
            </w:tcBorders>
            <w:shd w:val="clear" w:color="auto" w:fill="auto"/>
          </w:tcPr>
          <w:p w:rsidR="00955AA7" w:rsidRPr="00FA3856" w:rsidRDefault="00E21F67" w:rsidP="00EC2D50">
            <w:pPr>
              <w:pStyle w:val="Corpodetexto"/>
              <w:spacing w:line="240" w:lineRule="auto"/>
              <w:jc w:val="center"/>
              <w:rPr>
                <w:rFonts w:ascii="Times New Roman" w:hAnsi="Times New Roman"/>
                <w:szCs w:val="20"/>
              </w:rPr>
            </w:pPr>
            <w:r w:rsidRPr="00FA3856">
              <w:rPr>
                <w:rFonts w:ascii="Times New Roman" w:hAnsi="Times New Roman"/>
                <w:szCs w:val="20"/>
              </w:rPr>
              <w:t>0</w:t>
            </w:r>
          </w:p>
        </w:tc>
        <w:tc>
          <w:tcPr>
            <w:tcW w:w="4798" w:type="dxa"/>
            <w:tcBorders>
              <w:top w:val="single" w:sz="4" w:space="0" w:color="000000"/>
              <w:left w:val="single" w:sz="4" w:space="0" w:color="000000"/>
              <w:bottom w:val="single" w:sz="4" w:space="0" w:color="000000"/>
              <w:right w:val="single" w:sz="4" w:space="0" w:color="000000"/>
            </w:tcBorders>
            <w:shd w:val="clear" w:color="auto" w:fill="auto"/>
          </w:tcPr>
          <w:p w:rsidR="00955AA7" w:rsidRPr="00FA3856" w:rsidRDefault="00E21F67" w:rsidP="00EC2D50">
            <w:pPr>
              <w:pStyle w:val="Corpodetexto"/>
              <w:spacing w:line="240" w:lineRule="auto"/>
              <w:jc w:val="left"/>
              <w:rPr>
                <w:rFonts w:ascii="Times New Roman" w:hAnsi="Times New Roman"/>
                <w:szCs w:val="20"/>
              </w:rPr>
            </w:pPr>
            <w:r w:rsidRPr="00FA3856">
              <w:rPr>
                <w:rFonts w:ascii="Times New Roman" w:hAnsi="Times New Roman"/>
                <w:szCs w:val="20"/>
              </w:rPr>
              <w:t>Normal (sem ocorrência de situação especial ou evento)</w:t>
            </w:r>
          </w:p>
        </w:tc>
      </w:tr>
      <w:tr w:rsidR="00955AA7" w:rsidRPr="00FA3856" w:rsidTr="00E21F67">
        <w:tc>
          <w:tcPr>
            <w:tcW w:w="1193" w:type="dxa"/>
            <w:tcBorders>
              <w:top w:val="single" w:sz="4" w:space="0" w:color="000000"/>
              <w:left w:val="single" w:sz="4" w:space="0" w:color="000000"/>
              <w:bottom w:val="single" w:sz="4" w:space="0" w:color="000000"/>
            </w:tcBorders>
            <w:shd w:val="clear" w:color="auto" w:fill="auto"/>
          </w:tcPr>
          <w:p w:rsidR="00955AA7" w:rsidRPr="00FA3856" w:rsidRDefault="00E21F67" w:rsidP="00EC2D50">
            <w:pPr>
              <w:pStyle w:val="Corpodetexto"/>
              <w:spacing w:line="240" w:lineRule="auto"/>
              <w:jc w:val="center"/>
              <w:rPr>
                <w:rFonts w:ascii="Times New Roman" w:hAnsi="Times New Roman"/>
                <w:szCs w:val="20"/>
              </w:rPr>
            </w:pPr>
            <w:r w:rsidRPr="00FA3856">
              <w:rPr>
                <w:rFonts w:ascii="Times New Roman" w:hAnsi="Times New Roman"/>
                <w:szCs w:val="20"/>
              </w:rPr>
              <w:t>1</w:t>
            </w:r>
          </w:p>
        </w:tc>
        <w:tc>
          <w:tcPr>
            <w:tcW w:w="4798" w:type="dxa"/>
            <w:tcBorders>
              <w:top w:val="single" w:sz="4" w:space="0" w:color="000000"/>
              <w:left w:val="single" w:sz="4" w:space="0" w:color="000000"/>
              <w:bottom w:val="single" w:sz="4" w:space="0" w:color="000000"/>
              <w:right w:val="single" w:sz="4" w:space="0" w:color="000000"/>
            </w:tcBorders>
            <w:shd w:val="clear" w:color="auto" w:fill="auto"/>
          </w:tcPr>
          <w:p w:rsidR="00955AA7" w:rsidRPr="00FA3856" w:rsidRDefault="00E21F67" w:rsidP="00EC2D50">
            <w:pPr>
              <w:pStyle w:val="Corpodetexto"/>
              <w:spacing w:line="240" w:lineRule="auto"/>
              <w:jc w:val="left"/>
              <w:rPr>
                <w:rFonts w:ascii="Times New Roman" w:hAnsi="Times New Roman"/>
                <w:szCs w:val="20"/>
              </w:rPr>
            </w:pPr>
            <w:r w:rsidRPr="00FA3856">
              <w:rPr>
                <w:rFonts w:ascii="Times New Roman" w:hAnsi="Times New Roman"/>
                <w:szCs w:val="20"/>
              </w:rPr>
              <w:t>Extinção</w:t>
            </w:r>
          </w:p>
        </w:tc>
      </w:tr>
      <w:tr w:rsidR="00955AA7" w:rsidRPr="00FA3856" w:rsidTr="00E21F67">
        <w:tc>
          <w:tcPr>
            <w:tcW w:w="1193" w:type="dxa"/>
            <w:tcBorders>
              <w:top w:val="single" w:sz="4" w:space="0" w:color="000000"/>
              <w:left w:val="single" w:sz="4" w:space="0" w:color="000000"/>
              <w:bottom w:val="single" w:sz="4" w:space="0" w:color="000000"/>
            </w:tcBorders>
            <w:shd w:val="clear" w:color="auto" w:fill="auto"/>
          </w:tcPr>
          <w:p w:rsidR="00955AA7" w:rsidRPr="00FA3856" w:rsidRDefault="00E21F67" w:rsidP="00EC2D50">
            <w:pPr>
              <w:pStyle w:val="Corpodetexto"/>
              <w:spacing w:line="240" w:lineRule="auto"/>
              <w:jc w:val="center"/>
              <w:rPr>
                <w:rFonts w:ascii="Times New Roman" w:hAnsi="Times New Roman"/>
                <w:szCs w:val="20"/>
              </w:rPr>
            </w:pPr>
            <w:r w:rsidRPr="00FA3856">
              <w:rPr>
                <w:rFonts w:ascii="Times New Roman" w:hAnsi="Times New Roman"/>
                <w:szCs w:val="20"/>
              </w:rPr>
              <w:t>2</w:t>
            </w:r>
          </w:p>
        </w:tc>
        <w:tc>
          <w:tcPr>
            <w:tcW w:w="4798" w:type="dxa"/>
            <w:tcBorders>
              <w:top w:val="single" w:sz="4" w:space="0" w:color="000000"/>
              <w:left w:val="single" w:sz="4" w:space="0" w:color="000000"/>
              <w:bottom w:val="single" w:sz="4" w:space="0" w:color="000000"/>
              <w:right w:val="single" w:sz="4" w:space="0" w:color="000000"/>
            </w:tcBorders>
            <w:shd w:val="clear" w:color="auto" w:fill="auto"/>
          </w:tcPr>
          <w:p w:rsidR="00955AA7" w:rsidRPr="00FA3856" w:rsidRDefault="00E21F67" w:rsidP="00EC2D50">
            <w:pPr>
              <w:pStyle w:val="Corpodetexto"/>
              <w:spacing w:line="240" w:lineRule="auto"/>
              <w:jc w:val="left"/>
              <w:rPr>
                <w:rFonts w:ascii="Times New Roman" w:hAnsi="Times New Roman"/>
                <w:szCs w:val="20"/>
              </w:rPr>
            </w:pPr>
            <w:r w:rsidRPr="00FA3856">
              <w:rPr>
                <w:rFonts w:ascii="Times New Roman" w:hAnsi="Times New Roman"/>
                <w:szCs w:val="20"/>
              </w:rPr>
              <w:t>Fusão</w:t>
            </w:r>
          </w:p>
        </w:tc>
      </w:tr>
      <w:tr w:rsidR="007B05B1" w:rsidRPr="00FA3856" w:rsidTr="00E21F67">
        <w:tc>
          <w:tcPr>
            <w:tcW w:w="1193" w:type="dxa"/>
            <w:tcBorders>
              <w:top w:val="single" w:sz="4" w:space="0" w:color="000000"/>
              <w:left w:val="single" w:sz="4" w:space="0" w:color="000000"/>
              <w:bottom w:val="single" w:sz="4" w:space="0" w:color="000000"/>
            </w:tcBorders>
            <w:shd w:val="clear" w:color="auto" w:fill="auto"/>
          </w:tcPr>
          <w:p w:rsidR="007B05B1" w:rsidRPr="00FA3856" w:rsidRDefault="00E21F67" w:rsidP="00EC2D50">
            <w:pPr>
              <w:pStyle w:val="Corpodetexto"/>
              <w:spacing w:line="240" w:lineRule="auto"/>
              <w:jc w:val="center"/>
              <w:rPr>
                <w:rFonts w:ascii="Times New Roman" w:hAnsi="Times New Roman"/>
                <w:szCs w:val="20"/>
              </w:rPr>
            </w:pPr>
            <w:r w:rsidRPr="00FA3856">
              <w:rPr>
                <w:rFonts w:ascii="Times New Roman" w:hAnsi="Times New Roman"/>
                <w:szCs w:val="20"/>
              </w:rPr>
              <w:t>3</w:t>
            </w:r>
          </w:p>
        </w:tc>
        <w:tc>
          <w:tcPr>
            <w:tcW w:w="4798" w:type="dxa"/>
            <w:tcBorders>
              <w:top w:val="single" w:sz="4" w:space="0" w:color="000000"/>
              <w:left w:val="single" w:sz="4" w:space="0" w:color="000000"/>
              <w:bottom w:val="single" w:sz="4" w:space="0" w:color="000000"/>
              <w:right w:val="single" w:sz="4" w:space="0" w:color="000000"/>
            </w:tcBorders>
            <w:shd w:val="clear" w:color="auto" w:fill="auto"/>
          </w:tcPr>
          <w:p w:rsidR="007B05B1" w:rsidRPr="00FA3856" w:rsidRDefault="00E21F67" w:rsidP="00EC2D50">
            <w:pPr>
              <w:pStyle w:val="Corpodetexto"/>
              <w:spacing w:line="240" w:lineRule="auto"/>
              <w:jc w:val="left"/>
              <w:rPr>
                <w:rFonts w:ascii="Times New Roman" w:hAnsi="Times New Roman"/>
                <w:szCs w:val="20"/>
              </w:rPr>
            </w:pPr>
            <w:r w:rsidRPr="00FA3856">
              <w:rPr>
                <w:rFonts w:ascii="Times New Roman" w:hAnsi="Times New Roman"/>
                <w:szCs w:val="20"/>
              </w:rPr>
              <w:t>Incorporação/Incorporada</w:t>
            </w:r>
          </w:p>
        </w:tc>
      </w:tr>
      <w:tr w:rsidR="00955AA7" w:rsidRPr="00FA3856" w:rsidTr="00E21F67">
        <w:tc>
          <w:tcPr>
            <w:tcW w:w="1193" w:type="dxa"/>
            <w:tcBorders>
              <w:top w:val="single" w:sz="4" w:space="0" w:color="000000"/>
              <w:left w:val="single" w:sz="4" w:space="0" w:color="000000"/>
              <w:bottom w:val="single" w:sz="4" w:space="0" w:color="000000"/>
            </w:tcBorders>
            <w:shd w:val="clear" w:color="auto" w:fill="auto"/>
          </w:tcPr>
          <w:p w:rsidR="00955AA7" w:rsidRPr="00FA3856" w:rsidRDefault="00E21F67" w:rsidP="00EC2D50">
            <w:pPr>
              <w:pStyle w:val="Corpodetexto"/>
              <w:spacing w:line="240" w:lineRule="auto"/>
              <w:jc w:val="center"/>
              <w:rPr>
                <w:rFonts w:ascii="Times New Roman" w:hAnsi="Times New Roman"/>
                <w:szCs w:val="20"/>
              </w:rPr>
            </w:pPr>
            <w:r w:rsidRPr="00FA3856">
              <w:rPr>
                <w:rFonts w:ascii="Times New Roman" w:hAnsi="Times New Roman"/>
                <w:szCs w:val="20"/>
              </w:rPr>
              <w:t>4</w:t>
            </w:r>
          </w:p>
        </w:tc>
        <w:tc>
          <w:tcPr>
            <w:tcW w:w="4798" w:type="dxa"/>
            <w:tcBorders>
              <w:top w:val="single" w:sz="4" w:space="0" w:color="000000"/>
              <w:left w:val="single" w:sz="4" w:space="0" w:color="000000"/>
              <w:bottom w:val="single" w:sz="4" w:space="0" w:color="000000"/>
              <w:right w:val="single" w:sz="4" w:space="0" w:color="000000"/>
            </w:tcBorders>
            <w:shd w:val="clear" w:color="auto" w:fill="auto"/>
          </w:tcPr>
          <w:p w:rsidR="00955AA7" w:rsidRPr="00FA3856" w:rsidRDefault="00E21F67" w:rsidP="00EC2D50">
            <w:pPr>
              <w:pStyle w:val="Corpodetexto"/>
              <w:spacing w:line="240" w:lineRule="auto"/>
              <w:jc w:val="left"/>
              <w:rPr>
                <w:rFonts w:ascii="Times New Roman" w:hAnsi="Times New Roman"/>
                <w:szCs w:val="20"/>
              </w:rPr>
            </w:pPr>
            <w:r w:rsidRPr="00FA3856">
              <w:rPr>
                <w:rFonts w:ascii="Times New Roman" w:hAnsi="Times New Roman"/>
                <w:szCs w:val="20"/>
              </w:rPr>
              <w:t>Incorporação/Incorporadora</w:t>
            </w:r>
          </w:p>
        </w:tc>
      </w:tr>
      <w:tr w:rsidR="00E21F67" w:rsidRPr="00FA3856" w:rsidTr="00E21F67">
        <w:tc>
          <w:tcPr>
            <w:tcW w:w="1193" w:type="dxa"/>
            <w:tcBorders>
              <w:top w:val="single" w:sz="4" w:space="0" w:color="000000"/>
              <w:left w:val="single" w:sz="4" w:space="0" w:color="000000"/>
              <w:bottom w:val="single" w:sz="4" w:space="0" w:color="000000"/>
            </w:tcBorders>
            <w:shd w:val="clear" w:color="auto" w:fill="auto"/>
          </w:tcPr>
          <w:p w:rsidR="00E21F67" w:rsidRPr="00FA3856" w:rsidRDefault="00E21F67" w:rsidP="00EC2D50">
            <w:pPr>
              <w:pStyle w:val="Corpodetexto"/>
              <w:spacing w:line="240" w:lineRule="auto"/>
              <w:jc w:val="center"/>
              <w:rPr>
                <w:rFonts w:ascii="Times New Roman" w:hAnsi="Times New Roman"/>
                <w:szCs w:val="20"/>
              </w:rPr>
            </w:pPr>
            <w:r w:rsidRPr="00FA3856">
              <w:rPr>
                <w:rFonts w:ascii="Times New Roman" w:hAnsi="Times New Roman"/>
                <w:szCs w:val="20"/>
              </w:rPr>
              <w:t>5</w:t>
            </w:r>
          </w:p>
        </w:tc>
        <w:tc>
          <w:tcPr>
            <w:tcW w:w="4798" w:type="dxa"/>
            <w:tcBorders>
              <w:top w:val="single" w:sz="4" w:space="0" w:color="000000"/>
              <w:left w:val="single" w:sz="4" w:space="0" w:color="000000"/>
              <w:bottom w:val="single" w:sz="4" w:space="0" w:color="000000"/>
              <w:right w:val="single" w:sz="4" w:space="0" w:color="000000"/>
            </w:tcBorders>
            <w:shd w:val="clear" w:color="auto" w:fill="auto"/>
          </w:tcPr>
          <w:p w:rsidR="00E21F67" w:rsidRPr="00FA3856" w:rsidRDefault="00E21F67" w:rsidP="00EC2D50">
            <w:pPr>
              <w:pStyle w:val="Corpodetexto"/>
              <w:spacing w:line="240" w:lineRule="auto"/>
              <w:jc w:val="left"/>
              <w:rPr>
                <w:rFonts w:ascii="Times New Roman" w:hAnsi="Times New Roman"/>
                <w:szCs w:val="20"/>
              </w:rPr>
            </w:pPr>
            <w:r w:rsidRPr="00FA3856">
              <w:rPr>
                <w:rFonts w:ascii="Times New Roman" w:hAnsi="Times New Roman"/>
                <w:szCs w:val="20"/>
              </w:rPr>
              <w:t>Cisão Total</w:t>
            </w:r>
          </w:p>
        </w:tc>
      </w:tr>
      <w:tr w:rsidR="00E21F67" w:rsidRPr="00FA3856" w:rsidTr="00E21F67">
        <w:tc>
          <w:tcPr>
            <w:tcW w:w="1193" w:type="dxa"/>
            <w:tcBorders>
              <w:top w:val="single" w:sz="4" w:space="0" w:color="000000"/>
              <w:left w:val="single" w:sz="4" w:space="0" w:color="000000"/>
              <w:bottom w:val="single" w:sz="4" w:space="0" w:color="000000"/>
            </w:tcBorders>
            <w:shd w:val="clear" w:color="auto" w:fill="auto"/>
          </w:tcPr>
          <w:p w:rsidR="00E21F67" w:rsidRPr="00FA3856" w:rsidRDefault="00E21F67" w:rsidP="00EC2D50">
            <w:pPr>
              <w:pStyle w:val="Corpodetexto"/>
              <w:spacing w:line="240" w:lineRule="auto"/>
              <w:jc w:val="center"/>
              <w:rPr>
                <w:rFonts w:ascii="Times New Roman" w:hAnsi="Times New Roman"/>
                <w:szCs w:val="20"/>
              </w:rPr>
            </w:pPr>
            <w:r w:rsidRPr="00FA3856">
              <w:rPr>
                <w:rFonts w:ascii="Times New Roman" w:hAnsi="Times New Roman"/>
                <w:szCs w:val="20"/>
              </w:rPr>
              <w:t>6</w:t>
            </w:r>
          </w:p>
        </w:tc>
        <w:tc>
          <w:tcPr>
            <w:tcW w:w="4798" w:type="dxa"/>
            <w:tcBorders>
              <w:top w:val="single" w:sz="4" w:space="0" w:color="000000"/>
              <w:left w:val="single" w:sz="4" w:space="0" w:color="000000"/>
              <w:bottom w:val="single" w:sz="4" w:space="0" w:color="000000"/>
              <w:right w:val="single" w:sz="4" w:space="0" w:color="000000"/>
            </w:tcBorders>
            <w:shd w:val="clear" w:color="auto" w:fill="auto"/>
          </w:tcPr>
          <w:p w:rsidR="00E21F67" w:rsidRPr="00FA3856" w:rsidRDefault="00E21F67" w:rsidP="00EC2D50">
            <w:pPr>
              <w:pStyle w:val="Corpodetexto"/>
              <w:spacing w:line="240" w:lineRule="auto"/>
              <w:jc w:val="left"/>
              <w:rPr>
                <w:rFonts w:ascii="Times New Roman" w:hAnsi="Times New Roman"/>
                <w:szCs w:val="20"/>
              </w:rPr>
            </w:pPr>
            <w:r w:rsidRPr="00FA3856">
              <w:rPr>
                <w:rFonts w:ascii="Times New Roman" w:hAnsi="Times New Roman"/>
                <w:szCs w:val="20"/>
              </w:rPr>
              <w:t>Cisão Parcial</w:t>
            </w:r>
          </w:p>
        </w:tc>
      </w:tr>
      <w:tr w:rsidR="00E21F67" w:rsidRPr="00FA3856" w:rsidTr="00E21F67">
        <w:tc>
          <w:tcPr>
            <w:tcW w:w="1193" w:type="dxa"/>
            <w:tcBorders>
              <w:top w:val="single" w:sz="4" w:space="0" w:color="000000"/>
              <w:left w:val="single" w:sz="4" w:space="0" w:color="000000"/>
              <w:bottom w:val="single" w:sz="4" w:space="0" w:color="000000"/>
            </w:tcBorders>
            <w:shd w:val="clear" w:color="auto" w:fill="auto"/>
          </w:tcPr>
          <w:p w:rsidR="00E21F67" w:rsidRPr="00FA3856" w:rsidRDefault="00E21F67" w:rsidP="00EC2D50">
            <w:pPr>
              <w:pStyle w:val="Corpodetexto"/>
              <w:spacing w:line="240" w:lineRule="auto"/>
              <w:jc w:val="center"/>
              <w:rPr>
                <w:rFonts w:ascii="Times New Roman" w:hAnsi="Times New Roman"/>
                <w:szCs w:val="20"/>
              </w:rPr>
            </w:pPr>
            <w:r w:rsidRPr="00FA3856">
              <w:rPr>
                <w:rFonts w:ascii="Times New Roman" w:hAnsi="Times New Roman"/>
                <w:szCs w:val="20"/>
              </w:rPr>
              <w:t>8</w:t>
            </w:r>
          </w:p>
        </w:tc>
        <w:tc>
          <w:tcPr>
            <w:tcW w:w="4798" w:type="dxa"/>
            <w:tcBorders>
              <w:top w:val="single" w:sz="4" w:space="0" w:color="000000"/>
              <w:left w:val="single" w:sz="4" w:space="0" w:color="000000"/>
              <w:bottom w:val="single" w:sz="4" w:space="0" w:color="000000"/>
              <w:right w:val="single" w:sz="4" w:space="0" w:color="000000"/>
            </w:tcBorders>
            <w:shd w:val="clear" w:color="auto" w:fill="auto"/>
          </w:tcPr>
          <w:p w:rsidR="00E21F67" w:rsidRPr="00FA3856" w:rsidRDefault="00E21F67" w:rsidP="00EC2D50">
            <w:pPr>
              <w:pStyle w:val="Corpodetexto"/>
              <w:spacing w:line="240" w:lineRule="auto"/>
              <w:jc w:val="left"/>
              <w:rPr>
                <w:rFonts w:ascii="Times New Roman" w:hAnsi="Times New Roman"/>
                <w:szCs w:val="20"/>
              </w:rPr>
            </w:pPr>
            <w:r w:rsidRPr="00FA3856">
              <w:rPr>
                <w:rFonts w:ascii="Times New Roman" w:hAnsi="Times New Roman"/>
                <w:szCs w:val="20"/>
              </w:rPr>
              <w:t>Desenquadramento de Imune/Isenta</w:t>
            </w:r>
          </w:p>
        </w:tc>
      </w:tr>
      <w:tr w:rsidR="00E21F67" w:rsidRPr="00FA3856" w:rsidTr="00E21F67">
        <w:tc>
          <w:tcPr>
            <w:tcW w:w="1193" w:type="dxa"/>
            <w:tcBorders>
              <w:top w:val="single" w:sz="4" w:space="0" w:color="000000"/>
              <w:left w:val="single" w:sz="4" w:space="0" w:color="000000"/>
              <w:bottom w:val="single" w:sz="4" w:space="0" w:color="000000"/>
            </w:tcBorders>
            <w:shd w:val="clear" w:color="auto" w:fill="auto"/>
          </w:tcPr>
          <w:p w:rsidR="00E21F67" w:rsidRPr="00FA3856" w:rsidRDefault="00E21F67" w:rsidP="00EC2D50">
            <w:pPr>
              <w:pStyle w:val="Corpodetexto"/>
              <w:spacing w:line="240" w:lineRule="auto"/>
              <w:jc w:val="center"/>
              <w:rPr>
                <w:rFonts w:ascii="Times New Roman" w:hAnsi="Times New Roman"/>
                <w:szCs w:val="20"/>
              </w:rPr>
            </w:pPr>
            <w:r w:rsidRPr="00FA3856">
              <w:rPr>
                <w:rFonts w:ascii="Times New Roman" w:hAnsi="Times New Roman"/>
                <w:szCs w:val="20"/>
              </w:rPr>
              <w:t>9</w:t>
            </w:r>
          </w:p>
        </w:tc>
        <w:tc>
          <w:tcPr>
            <w:tcW w:w="4798" w:type="dxa"/>
            <w:tcBorders>
              <w:top w:val="single" w:sz="4" w:space="0" w:color="000000"/>
              <w:left w:val="single" w:sz="4" w:space="0" w:color="000000"/>
              <w:bottom w:val="single" w:sz="4" w:space="0" w:color="000000"/>
              <w:right w:val="single" w:sz="4" w:space="0" w:color="000000"/>
            </w:tcBorders>
            <w:shd w:val="clear" w:color="auto" w:fill="auto"/>
          </w:tcPr>
          <w:p w:rsidR="00E21F67" w:rsidRPr="00FA3856" w:rsidRDefault="00E21F67" w:rsidP="00EC2D50">
            <w:pPr>
              <w:pStyle w:val="Corpodetexto"/>
              <w:spacing w:line="240" w:lineRule="auto"/>
              <w:jc w:val="left"/>
              <w:rPr>
                <w:rFonts w:ascii="Times New Roman" w:hAnsi="Times New Roman"/>
                <w:szCs w:val="20"/>
              </w:rPr>
            </w:pPr>
            <w:r w:rsidRPr="00FA3856">
              <w:rPr>
                <w:rFonts w:ascii="Times New Roman" w:hAnsi="Times New Roman"/>
                <w:szCs w:val="20"/>
              </w:rPr>
              <w:t>Inclusão no Simples Nacional</w:t>
            </w:r>
          </w:p>
        </w:tc>
      </w:tr>
      <w:bookmarkEnd w:id="41"/>
    </w:tbl>
    <w:p w:rsidR="002247D6" w:rsidRPr="00FA3856" w:rsidRDefault="002247D6" w:rsidP="002247D6">
      <w:pPr>
        <w:ind w:firstLine="708"/>
        <w:jc w:val="both"/>
        <w:rPr>
          <w:szCs w:val="20"/>
        </w:rPr>
      </w:pPr>
    </w:p>
    <w:p w:rsidR="00955AA7" w:rsidRPr="00FA3856" w:rsidRDefault="00FC5876" w:rsidP="00867F54">
      <w:pPr>
        <w:pStyle w:val="Ttulo2"/>
      </w:pPr>
      <w:bookmarkStart w:id="44" w:name="_Toc479713654"/>
      <w:r w:rsidRPr="00FA3856">
        <w:t>2.7.</w:t>
      </w:r>
      <w:r w:rsidR="00955AA7" w:rsidRPr="00FA3856">
        <w:t xml:space="preserve"> Tabelas Intrínsecas ao Campo</w:t>
      </w:r>
      <w:bookmarkEnd w:id="44"/>
    </w:p>
    <w:p w:rsidR="00955AA7" w:rsidRPr="00FA3856" w:rsidRDefault="00955AA7" w:rsidP="002247D6">
      <w:pPr>
        <w:ind w:firstLine="708"/>
        <w:jc w:val="both"/>
        <w:rPr>
          <w:rFonts w:eastAsia="Arial Unicode MS"/>
          <w:szCs w:val="20"/>
        </w:rPr>
      </w:pPr>
    </w:p>
    <w:p w:rsidR="0005364A" w:rsidRPr="00FA3856" w:rsidRDefault="0005364A" w:rsidP="00EC2D50">
      <w:pPr>
        <w:ind w:firstLine="708"/>
        <w:jc w:val="both"/>
        <w:rPr>
          <w:szCs w:val="20"/>
        </w:rPr>
      </w:pPr>
      <w:r w:rsidRPr="00FA3856">
        <w:rPr>
          <w:szCs w:val="20"/>
        </w:rPr>
        <w:t xml:space="preserve">Constam no leiaute </w:t>
      </w:r>
      <w:r w:rsidR="00955AA7" w:rsidRPr="00FA3856">
        <w:rPr>
          <w:szCs w:val="20"/>
        </w:rPr>
        <w:t xml:space="preserve">do arquivo </w:t>
      </w:r>
      <w:r w:rsidRPr="00FA3856">
        <w:rPr>
          <w:szCs w:val="20"/>
        </w:rPr>
        <w:t>e são o seu domínio (conteúdos válidos para o campo).</w:t>
      </w:r>
      <w:r w:rsidR="00955AA7" w:rsidRPr="00FA3856">
        <w:rPr>
          <w:rFonts w:eastAsia="Arial Unicode MS"/>
          <w:szCs w:val="20"/>
        </w:rPr>
        <w:t xml:space="preserve"> </w:t>
      </w:r>
      <w:r w:rsidRPr="00FA3856">
        <w:rPr>
          <w:szCs w:val="20"/>
        </w:rPr>
        <w:t>As referências a estas tabelas seguirão a codificação definida no respectivo campo.</w:t>
      </w:r>
    </w:p>
    <w:p w:rsidR="00403830" w:rsidRPr="00FA3856" w:rsidRDefault="00403830" w:rsidP="00EC2D50">
      <w:pPr>
        <w:ind w:firstLine="708"/>
        <w:jc w:val="both"/>
        <w:rPr>
          <w:rFonts w:eastAsia="Arial Unicode MS"/>
          <w:szCs w:val="20"/>
        </w:rPr>
      </w:pPr>
    </w:p>
    <w:p w:rsidR="0005364A" w:rsidRPr="00FA3856" w:rsidRDefault="0005364A" w:rsidP="00EC2D50">
      <w:pPr>
        <w:pStyle w:val="Corpodetexto"/>
        <w:spacing w:line="240" w:lineRule="auto"/>
        <w:ind w:firstLine="708"/>
        <w:rPr>
          <w:rFonts w:ascii="Times New Roman" w:hAnsi="Times New Roman"/>
          <w:szCs w:val="20"/>
        </w:rPr>
      </w:pPr>
      <w:r w:rsidRPr="00FA3856">
        <w:rPr>
          <w:rFonts w:ascii="Times New Roman" w:hAnsi="Times New Roman"/>
          <w:b/>
          <w:szCs w:val="20"/>
        </w:rPr>
        <w:t>Exemplo</w:t>
      </w:r>
      <w:r w:rsidRPr="00FA3856">
        <w:rPr>
          <w:rFonts w:ascii="Times New Roman" w:hAnsi="Times New Roman"/>
          <w:szCs w:val="20"/>
        </w:rPr>
        <w:t>:</w:t>
      </w:r>
    </w:p>
    <w:p w:rsidR="00955AA7" w:rsidRPr="00FA3856" w:rsidRDefault="00955AA7" w:rsidP="00EC2D50">
      <w:pPr>
        <w:pStyle w:val="Corpodetexto"/>
        <w:spacing w:line="240" w:lineRule="auto"/>
        <w:ind w:firstLine="708"/>
        <w:rPr>
          <w:rFonts w:ascii="Times New Roman" w:hAnsi="Times New Roman"/>
          <w:szCs w:val="20"/>
        </w:rPr>
      </w:pPr>
    </w:p>
    <w:tbl>
      <w:tblPr>
        <w:tblW w:w="0" w:type="auto"/>
        <w:tblInd w:w="998" w:type="dxa"/>
        <w:tblLayout w:type="fixed"/>
        <w:tblLook w:val="0000" w:firstRow="0" w:lastRow="0" w:firstColumn="0" w:lastColumn="0" w:noHBand="0" w:noVBand="0"/>
      </w:tblPr>
      <w:tblGrid>
        <w:gridCol w:w="1542"/>
        <w:gridCol w:w="4290"/>
      </w:tblGrid>
      <w:tr w:rsidR="00955AA7" w:rsidRPr="00FA3856" w:rsidTr="008D654E">
        <w:tc>
          <w:tcPr>
            <w:tcW w:w="1542" w:type="dxa"/>
            <w:tcBorders>
              <w:top w:val="single" w:sz="4" w:space="0" w:color="000000"/>
              <w:left w:val="single" w:sz="4" w:space="0" w:color="000000"/>
              <w:bottom w:val="single" w:sz="4" w:space="0" w:color="000000"/>
            </w:tcBorders>
            <w:shd w:val="clear" w:color="auto" w:fill="auto"/>
          </w:tcPr>
          <w:p w:rsidR="00955AA7" w:rsidRPr="00FA3856" w:rsidRDefault="00886F07" w:rsidP="00EC2D50">
            <w:pPr>
              <w:pStyle w:val="Corpodetexto"/>
              <w:spacing w:line="240" w:lineRule="auto"/>
              <w:rPr>
                <w:rFonts w:ascii="Times New Roman" w:hAnsi="Times New Roman"/>
                <w:szCs w:val="20"/>
              </w:rPr>
            </w:pPr>
            <w:r w:rsidRPr="00FA3856">
              <w:rPr>
                <w:rFonts w:ascii="Times New Roman" w:hAnsi="Times New Roman"/>
                <w:szCs w:val="20"/>
              </w:rPr>
              <w:t>IND_DAD</w:t>
            </w:r>
          </w:p>
        </w:tc>
        <w:tc>
          <w:tcPr>
            <w:tcW w:w="4290" w:type="dxa"/>
            <w:tcBorders>
              <w:top w:val="single" w:sz="4" w:space="0" w:color="000000"/>
              <w:left w:val="single" w:sz="4" w:space="0" w:color="000000"/>
              <w:bottom w:val="single" w:sz="4" w:space="0" w:color="000000"/>
              <w:right w:val="single" w:sz="4" w:space="0" w:color="000000"/>
            </w:tcBorders>
            <w:shd w:val="clear" w:color="auto" w:fill="auto"/>
          </w:tcPr>
          <w:p w:rsidR="008D654E" w:rsidRPr="00FA3856" w:rsidRDefault="008D654E" w:rsidP="00EC2D50">
            <w:pPr>
              <w:pStyle w:val="Corpodetexto"/>
              <w:spacing w:line="240" w:lineRule="auto"/>
              <w:rPr>
                <w:rFonts w:ascii="Times New Roman" w:hAnsi="Times New Roman"/>
                <w:szCs w:val="20"/>
              </w:rPr>
            </w:pPr>
            <w:r w:rsidRPr="00FA3856">
              <w:rPr>
                <w:rFonts w:ascii="Times New Roman" w:hAnsi="Times New Roman"/>
                <w:szCs w:val="20"/>
              </w:rPr>
              <w:t>Indicador de movimento:</w:t>
            </w:r>
          </w:p>
          <w:p w:rsidR="008D654E" w:rsidRPr="00FA3856" w:rsidRDefault="008D654E" w:rsidP="00EC2D50">
            <w:pPr>
              <w:pStyle w:val="Corpodetexto"/>
              <w:spacing w:line="240" w:lineRule="auto"/>
              <w:rPr>
                <w:rFonts w:ascii="Times New Roman" w:hAnsi="Times New Roman"/>
                <w:szCs w:val="20"/>
              </w:rPr>
            </w:pPr>
            <w:r w:rsidRPr="00FA3856">
              <w:rPr>
                <w:rFonts w:ascii="Times New Roman" w:hAnsi="Times New Roman"/>
                <w:szCs w:val="20"/>
              </w:rPr>
              <w:t>0- Bloco com dados informados</w:t>
            </w:r>
          </w:p>
          <w:p w:rsidR="00955AA7" w:rsidRPr="00FA3856" w:rsidRDefault="008D654E" w:rsidP="00EC2D50">
            <w:pPr>
              <w:pStyle w:val="Corpodetexto"/>
              <w:spacing w:line="240" w:lineRule="auto"/>
              <w:jc w:val="left"/>
              <w:rPr>
                <w:rFonts w:ascii="Times New Roman" w:hAnsi="Times New Roman"/>
                <w:szCs w:val="20"/>
              </w:rPr>
            </w:pPr>
            <w:r w:rsidRPr="00FA3856">
              <w:rPr>
                <w:rFonts w:ascii="Times New Roman" w:hAnsi="Times New Roman"/>
                <w:szCs w:val="20"/>
              </w:rPr>
              <w:t>1- Bloco sem dados informados</w:t>
            </w:r>
          </w:p>
        </w:tc>
      </w:tr>
    </w:tbl>
    <w:p w:rsidR="000C6F82" w:rsidRPr="00FA3856" w:rsidRDefault="000C6F82" w:rsidP="000C6F82">
      <w:pPr>
        <w:ind w:firstLine="708"/>
        <w:jc w:val="both"/>
        <w:rPr>
          <w:color w:val="0000FF"/>
          <w:szCs w:val="20"/>
        </w:rPr>
      </w:pPr>
    </w:p>
    <w:p w:rsidR="008D654E" w:rsidRPr="00FA3856" w:rsidRDefault="00FC5876" w:rsidP="00867F54">
      <w:pPr>
        <w:pStyle w:val="Ttulo2"/>
      </w:pPr>
      <w:bookmarkStart w:id="45" w:name="_Toc479713655"/>
      <w:r w:rsidRPr="00FA3856">
        <w:lastRenderedPageBreak/>
        <w:t>2.8.</w:t>
      </w:r>
      <w:r w:rsidR="008D654E" w:rsidRPr="00FA3856">
        <w:t xml:space="preserve"> Tabelas Elaboradas </w:t>
      </w:r>
      <w:r w:rsidR="00B36BAB" w:rsidRPr="00FA3856">
        <w:t>pela Pessoa Jurídica</w:t>
      </w:r>
      <w:bookmarkEnd w:id="45"/>
    </w:p>
    <w:p w:rsidR="008D654E" w:rsidRPr="00FA3856" w:rsidRDefault="008D654E" w:rsidP="00EC2D50">
      <w:pPr>
        <w:pStyle w:val="Corpodetexto"/>
        <w:spacing w:line="240" w:lineRule="auto"/>
        <w:rPr>
          <w:rFonts w:ascii="Times New Roman" w:hAnsi="Times New Roman"/>
          <w:szCs w:val="20"/>
        </w:rPr>
      </w:pPr>
    </w:p>
    <w:p w:rsidR="008D654E" w:rsidRDefault="008D654E" w:rsidP="00EC2D50">
      <w:pPr>
        <w:pStyle w:val="Corpodetexto"/>
        <w:spacing w:line="240" w:lineRule="auto"/>
        <w:ind w:firstLine="708"/>
        <w:rPr>
          <w:rFonts w:ascii="Times New Roman" w:hAnsi="Times New Roman"/>
          <w:szCs w:val="20"/>
        </w:rPr>
      </w:pPr>
      <w:r w:rsidRPr="00FA3856">
        <w:rPr>
          <w:rFonts w:ascii="Times New Roman" w:hAnsi="Times New Roman"/>
          <w:szCs w:val="20"/>
        </w:rPr>
        <w:t xml:space="preserve">São as tabelas em que o código a ser utilizado é de livre atribuição </w:t>
      </w:r>
      <w:r w:rsidR="00B36BAB" w:rsidRPr="00FA3856">
        <w:rPr>
          <w:rFonts w:ascii="Times New Roman" w:hAnsi="Times New Roman"/>
          <w:szCs w:val="20"/>
        </w:rPr>
        <w:t>pela pessoa jurídica</w:t>
      </w:r>
      <w:r w:rsidRPr="00FA3856">
        <w:rPr>
          <w:rFonts w:ascii="Times New Roman" w:hAnsi="Times New Roman"/>
          <w:szCs w:val="20"/>
        </w:rPr>
        <w:t>. É facultativa a inclusão da máscara no próprio código, exceto quando necessária para a sua perfeita identificação (</w:t>
      </w:r>
      <w:r w:rsidRPr="00FA3856">
        <w:rPr>
          <w:rFonts w:ascii="Times New Roman" w:hAnsi="Times New Roman"/>
          <w:b/>
          <w:szCs w:val="20"/>
        </w:rPr>
        <w:t>Exemplo:</w:t>
      </w:r>
      <w:r w:rsidRPr="00FA3856">
        <w:rPr>
          <w:rFonts w:ascii="Times New Roman" w:hAnsi="Times New Roman"/>
          <w:szCs w:val="20"/>
        </w:rPr>
        <w:t xml:space="preserve"> Discriminar entre 1.01 e 10.1. Neste caso, a inclusão é obrigatória). Para cada código utilizado em um dos </w:t>
      </w:r>
      <w:r w:rsidR="005953BF" w:rsidRPr="00FA3856">
        <w:rPr>
          <w:rFonts w:ascii="Times New Roman" w:hAnsi="Times New Roman"/>
          <w:szCs w:val="20"/>
        </w:rPr>
        <w:t>registro</w:t>
      </w:r>
      <w:r w:rsidRPr="00FA3856">
        <w:rPr>
          <w:rFonts w:ascii="Times New Roman" w:hAnsi="Times New Roman"/>
          <w:szCs w:val="20"/>
        </w:rPr>
        <w:t>s do arquivo deve existir um correspondente na tabela elaborada pel</w:t>
      </w:r>
      <w:r w:rsidR="002D308A" w:rsidRPr="00FA3856">
        <w:rPr>
          <w:rFonts w:ascii="Times New Roman" w:hAnsi="Times New Roman"/>
          <w:szCs w:val="20"/>
        </w:rPr>
        <w:t>a pessoa jurídica</w:t>
      </w:r>
      <w:r w:rsidRPr="00FA3856">
        <w:rPr>
          <w:rFonts w:ascii="Times New Roman" w:hAnsi="Times New Roman"/>
          <w:szCs w:val="20"/>
        </w:rPr>
        <w:t>.</w:t>
      </w:r>
    </w:p>
    <w:p w:rsidR="00EF1D4A" w:rsidRPr="00FA3856" w:rsidRDefault="00EF1D4A" w:rsidP="00EC2D50">
      <w:pPr>
        <w:pStyle w:val="Corpodetexto"/>
        <w:spacing w:line="240" w:lineRule="auto"/>
        <w:ind w:firstLine="708"/>
        <w:rPr>
          <w:rFonts w:ascii="Times New Roman" w:hAnsi="Times New Roman"/>
          <w:szCs w:val="20"/>
        </w:rPr>
      </w:pPr>
    </w:p>
    <w:p w:rsidR="005B6387" w:rsidRPr="00FA3856" w:rsidRDefault="005B6387" w:rsidP="00867F54">
      <w:pPr>
        <w:pStyle w:val="Ttulo2"/>
      </w:pPr>
      <w:bookmarkStart w:id="46" w:name="_Toc479713656"/>
      <w:r w:rsidRPr="00FA3856">
        <w:t>2.9. Tabelas Dinâmicas e Registros Dinâmicos</w:t>
      </w:r>
      <w:bookmarkEnd w:id="46"/>
    </w:p>
    <w:p w:rsidR="005B6387" w:rsidRPr="00FA3856" w:rsidRDefault="005B6387" w:rsidP="005B6387">
      <w:pPr>
        <w:pStyle w:val="Corpodetexto"/>
        <w:spacing w:line="240" w:lineRule="auto"/>
        <w:ind w:firstLine="708"/>
        <w:rPr>
          <w:rFonts w:ascii="Times New Roman" w:hAnsi="Times New Roman"/>
          <w:szCs w:val="20"/>
        </w:rPr>
      </w:pPr>
    </w:p>
    <w:p w:rsidR="005B6387" w:rsidRPr="00FA3856" w:rsidRDefault="005B6387" w:rsidP="005B6387">
      <w:pPr>
        <w:pStyle w:val="Corpodetexto"/>
        <w:spacing w:line="240" w:lineRule="auto"/>
        <w:ind w:firstLine="708"/>
        <w:rPr>
          <w:rFonts w:ascii="Times New Roman" w:hAnsi="Times New Roman"/>
          <w:szCs w:val="20"/>
        </w:rPr>
      </w:pPr>
      <w:r w:rsidRPr="00FA3856">
        <w:rPr>
          <w:rFonts w:ascii="Times New Roman" w:hAnsi="Times New Roman"/>
          <w:szCs w:val="20"/>
        </w:rPr>
        <w:t>São tabelas externas publicadas pela RFB.</w:t>
      </w:r>
    </w:p>
    <w:p w:rsidR="005B6387" w:rsidRPr="00FA3856" w:rsidRDefault="005B6387" w:rsidP="005B6387">
      <w:pPr>
        <w:pStyle w:val="Corpodetexto"/>
        <w:spacing w:line="240" w:lineRule="auto"/>
        <w:ind w:left="708"/>
        <w:rPr>
          <w:rFonts w:ascii="Times New Roman" w:hAnsi="Times New Roman"/>
          <w:szCs w:val="20"/>
        </w:rPr>
      </w:pPr>
      <w:r w:rsidRPr="00FA3856">
        <w:rPr>
          <w:rFonts w:ascii="Times New Roman" w:hAnsi="Times New Roman"/>
          <w:szCs w:val="20"/>
        </w:rPr>
        <w:br/>
        <w:t xml:space="preserve">Os registros </w:t>
      </w:r>
      <w:r w:rsidR="00685FA5" w:rsidRPr="00FA3856">
        <w:rPr>
          <w:rFonts w:ascii="Times New Roman" w:hAnsi="Times New Roman"/>
          <w:szCs w:val="20"/>
        </w:rPr>
        <w:t>dinâmicos</w:t>
      </w:r>
      <w:r w:rsidRPr="00FA3856">
        <w:rPr>
          <w:rFonts w:ascii="Times New Roman" w:hAnsi="Times New Roman"/>
          <w:szCs w:val="20"/>
        </w:rPr>
        <w:t xml:space="preserve"> são compostos por linhas importadas das tabelas dinâmicas. Para cada linha importada, existem campos a mais no registro que podem ser editados.</w:t>
      </w:r>
    </w:p>
    <w:p w:rsidR="005B6387" w:rsidRPr="00FA3856" w:rsidRDefault="005B6387" w:rsidP="005B6387">
      <w:pPr>
        <w:pStyle w:val="Corpodetexto"/>
        <w:spacing w:line="240" w:lineRule="auto"/>
        <w:ind w:firstLine="708"/>
        <w:rPr>
          <w:rFonts w:ascii="Times New Roman" w:hAnsi="Times New Roman"/>
          <w:szCs w:val="20"/>
        </w:rPr>
      </w:pPr>
    </w:p>
    <w:p w:rsidR="005B6387" w:rsidRPr="00FA3856" w:rsidRDefault="005B6387" w:rsidP="005B6387">
      <w:pPr>
        <w:pStyle w:val="Corpodetexto"/>
        <w:spacing w:line="240" w:lineRule="auto"/>
        <w:ind w:firstLine="708"/>
        <w:rPr>
          <w:rFonts w:ascii="Times New Roman" w:hAnsi="Times New Roman"/>
          <w:szCs w:val="20"/>
        </w:rPr>
      </w:pPr>
      <w:r w:rsidRPr="00FA3856">
        <w:rPr>
          <w:rFonts w:ascii="Times New Roman" w:hAnsi="Times New Roman"/>
          <w:szCs w:val="20"/>
        </w:rPr>
        <w:t>As linhas das tabelas dinâmicas podem ser dos seguintes tipos:</w:t>
      </w:r>
    </w:p>
    <w:p w:rsidR="005B6387" w:rsidRPr="00FA3856" w:rsidRDefault="005B6387" w:rsidP="005B6387">
      <w:pPr>
        <w:pStyle w:val="Corpodetexto"/>
        <w:spacing w:line="240" w:lineRule="auto"/>
        <w:ind w:firstLine="708"/>
        <w:rPr>
          <w:rFonts w:ascii="Times New Roman" w:hAnsi="Times New Roman"/>
          <w:szCs w:val="20"/>
        </w:rPr>
      </w:pPr>
    </w:p>
    <w:p w:rsidR="005B6387" w:rsidRPr="00FA3856" w:rsidRDefault="005B6387" w:rsidP="005B6387">
      <w:pPr>
        <w:pStyle w:val="Corpodetexto"/>
        <w:spacing w:line="240" w:lineRule="auto"/>
        <w:ind w:firstLine="708"/>
        <w:rPr>
          <w:rFonts w:ascii="Times New Roman" w:hAnsi="Times New Roman"/>
          <w:szCs w:val="20"/>
        </w:rPr>
      </w:pPr>
      <w:r w:rsidRPr="00FA3856">
        <w:rPr>
          <w:rFonts w:ascii="Times New Roman" w:hAnsi="Times New Roman"/>
          <w:szCs w:val="20"/>
        </w:rPr>
        <w:t xml:space="preserve">R– Rótulo: Utilizado como um </w:t>
      </w:r>
      <w:r w:rsidRPr="00FA3856">
        <w:rPr>
          <w:rFonts w:ascii="Times New Roman" w:hAnsi="Times New Roman"/>
          <w:i/>
          <w:szCs w:val="20"/>
        </w:rPr>
        <w:t>label</w:t>
      </w:r>
      <w:r w:rsidRPr="00FA3856">
        <w:rPr>
          <w:rFonts w:ascii="Times New Roman" w:hAnsi="Times New Roman"/>
          <w:szCs w:val="20"/>
        </w:rPr>
        <w:t xml:space="preserve"> separador na tela</w:t>
      </w:r>
    </w:p>
    <w:p w:rsidR="005B6387" w:rsidRPr="00FA3856" w:rsidRDefault="005B6387" w:rsidP="005B6387">
      <w:pPr>
        <w:pStyle w:val="Corpodetexto"/>
        <w:spacing w:line="240" w:lineRule="auto"/>
        <w:ind w:firstLine="708"/>
        <w:rPr>
          <w:rFonts w:ascii="Times New Roman" w:hAnsi="Times New Roman"/>
          <w:szCs w:val="20"/>
        </w:rPr>
      </w:pPr>
      <w:r w:rsidRPr="00FA3856">
        <w:rPr>
          <w:rFonts w:ascii="Times New Roman" w:hAnsi="Times New Roman"/>
          <w:szCs w:val="20"/>
        </w:rPr>
        <w:t xml:space="preserve">E – </w:t>
      </w:r>
      <w:r w:rsidR="00685FA5" w:rsidRPr="00FA3856">
        <w:rPr>
          <w:rFonts w:ascii="Times New Roman" w:hAnsi="Times New Roman"/>
          <w:szCs w:val="20"/>
        </w:rPr>
        <w:t>Editável</w:t>
      </w:r>
    </w:p>
    <w:p w:rsidR="005B6387" w:rsidRPr="00FA3856" w:rsidRDefault="00E00235" w:rsidP="005B6387">
      <w:pPr>
        <w:pStyle w:val="Corpodetexto"/>
        <w:spacing w:line="240" w:lineRule="auto"/>
        <w:ind w:firstLine="708"/>
        <w:rPr>
          <w:rFonts w:ascii="Times New Roman" w:hAnsi="Times New Roman"/>
          <w:szCs w:val="20"/>
        </w:rPr>
      </w:pPr>
      <w:r>
        <w:rPr>
          <w:rFonts w:ascii="Times New Roman" w:hAnsi="Times New Roman"/>
          <w:szCs w:val="20"/>
        </w:rPr>
        <w:t>CA – Cálculo</w:t>
      </w:r>
      <w:r w:rsidR="005B6387" w:rsidRPr="00FA3856">
        <w:rPr>
          <w:rFonts w:ascii="Times New Roman" w:hAnsi="Times New Roman"/>
          <w:szCs w:val="20"/>
        </w:rPr>
        <w:t xml:space="preserve"> </w:t>
      </w:r>
      <w:r w:rsidR="00685FA5" w:rsidRPr="00FA3856">
        <w:rPr>
          <w:rFonts w:ascii="Times New Roman" w:hAnsi="Times New Roman"/>
          <w:szCs w:val="20"/>
        </w:rPr>
        <w:t>alterável</w:t>
      </w:r>
    </w:p>
    <w:p w:rsidR="005B6387" w:rsidRPr="00FA3856" w:rsidRDefault="00E00235" w:rsidP="005B6387">
      <w:pPr>
        <w:pStyle w:val="Corpodetexto"/>
        <w:spacing w:line="240" w:lineRule="auto"/>
        <w:ind w:firstLine="708"/>
        <w:rPr>
          <w:rFonts w:ascii="Times New Roman" w:hAnsi="Times New Roman"/>
          <w:szCs w:val="20"/>
        </w:rPr>
      </w:pPr>
      <w:r>
        <w:rPr>
          <w:rFonts w:ascii="Times New Roman" w:hAnsi="Times New Roman"/>
          <w:szCs w:val="20"/>
        </w:rPr>
        <w:t xml:space="preserve">CNA – Cálculo </w:t>
      </w:r>
      <w:r w:rsidR="005B6387" w:rsidRPr="00FA3856">
        <w:rPr>
          <w:rFonts w:ascii="Times New Roman" w:hAnsi="Times New Roman"/>
          <w:szCs w:val="20"/>
        </w:rPr>
        <w:t>não alterável</w:t>
      </w:r>
    </w:p>
    <w:p w:rsidR="005B6387" w:rsidRPr="00FA3856" w:rsidRDefault="005B6387" w:rsidP="005B6387">
      <w:pPr>
        <w:pStyle w:val="Corpodetexto"/>
        <w:spacing w:line="240" w:lineRule="auto"/>
        <w:ind w:firstLine="708"/>
        <w:rPr>
          <w:rFonts w:ascii="Times New Roman" w:hAnsi="Times New Roman"/>
          <w:szCs w:val="20"/>
        </w:rPr>
      </w:pPr>
    </w:p>
    <w:p w:rsidR="005B6387" w:rsidRPr="00FA3856" w:rsidRDefault="005B6387" w:rsidP="005B6387">
      <w:pPr>
        <w:pStyle w:val="Corpodetexto"/>
        <w:spacing w:line="240" w:lineRule="auto"/>
        <w:ind w:firstLine="708"/>
        <w:rPr>
          <w:rFonts w:ascii="Times New Roman" w:hAnsi="Times New Roman"/>
          <w:b/>
          <w:szCs w:val="20"/>
        </w:rPr>
      </w:pPr>
      <w:r w:rsidRPr="00FA3856">
        <w:rPr>
          <w:rFonts w:ascii="Times New Roman" w:hAnsi="Times New Roman"/>
          <w:b/>
          <w:szCs w:val="20"/>
        </w:rPr>
        <w:t>No arquivo para importação, esses registros necessitam somente do preenchimento do código e do valor das linhas do tipo "E". As demais linhas</w:t>
      </w:r>
      <w:r w:rsidR="0006720C" w:rsidRPr="00FA3856">
        <w:rPr>
          <w:rFonts w:ascii="Times New Roman" w:hAnsi="Times New Roman"/>
          <w:b/>
          <w:szCs w:val="20"/>
        </w:rPr>
        <w:t xml:space="preserve"> e colunas</w:t>
      </w:r>
      <w:r w:rsidRPr="00FA3856">
        <w:rPr>
          <w:rFonts w:ascii="Times New Roman" w:hAnsi="Times New Roman"/>
          <w:b/>
          <w:szCs w:val="20"/>
        </w:rPr>
        <w:t>, serão inseridas pelo próprio sistema.</w:t>
      </w:r>
    </w:p>
    <w:p w:rsidR="008D654E" w:rsidRPr="00FA3856" w:rsidRDefault="008D654E" w:rsidP="005B6387">
      <w:pPr>
        <w:pStyle w:val="Corpodetexto"/>
        <w:spacing w:line="240" w:lineRule="auto"/>
        <w:rPr>
          <w:rFonts w:ascii="Times New Roman" w:hAnsi="Times New Roman"/>
          <w:szCs w:val="20"/>
        </w:rPr>
      </w:pPr>
    </w:p>
    <w:p w:rsidR="005B6387" w:rsidRPr="00FA3856" w:rsidRDefault="005B6387">
      <w:pPr>
        <w:rPr>
          <w:b/>
          <w:bCs/>
          <w:color w:val="0000FF"/>
          <w:szCs w:val="20"/>
        </w:rPr>
      </w:pPr>
      <w:r w:rsidRPr="00FA3856">
        <w:rPr>
          <w:color w:val="0000FF"/>
          <w:szCs w:val="20"/>
        </w:rPr>
        <w:br w:type="page"/>
      </w:r>
    </w:p>
    <w:p w:rsidR="00D95E2A" w:rsidRPr="00FA3856" w:rsidRDefault="00D95E2A" w:rsidP="00D95E2A">
      <w:pPr>
        <w:pStyle w:val="Ttulo1"/>
      </w:pPr>
      <w:bookmarkStart w:id="47" w:name="_Toc479713657"/>
      <w:r w:rsidRPr="00FA3856">
        <w:lastRenderedPageBreak/>
        <w:t xml:space="preserve">Capítulo </w:t>
      </w:r>
      <w:r>
        <w:t>3</w:t>
      </w:r>
      <w:r w:rsidRPr="00FA3856">
        <w:t xml:space="preserve"> – Regras de Validação</w:t>
      </w:r>
      <w:bookmarkEnd w:id="47"/>
    </w:p>
    <w:p w:rsidR="00D95E2A" w:rsidRPr="00FA3856" w:rsidRDefault="00D95E2A" w:rsidP="00D95E2A">
      <w:pPr>
        <w:pStyle w:val="Corpodetexto"/>
        <w:spacing w:line="240" w:lineRule="auto"/>
        <w:rPr>
          <w:rFonts w:ascii="Times New Roman" w:hAnsi="Times New Roman"/>
          <w:szCs w:val="20"/>
        </w:rPr>
      </w:pPr>
    </w:p>
    <w:p w:rsidR="00D95E2A" w:rsidRPr="00FA3856" w:rsidRDefault="00D95E2A" w:rsidP="00D95E2A">
      <w:pPr>
        <w:ind w:firstLine="709"/>
        <w:rPr>
          <w:szCs w:val="20"/>
        </w:rPr>
      </w:pPr>
      <w:r w:rsidRPr="00FA3856">
        <w:rPr>
          <w:szCs w:val="20"/>
        </w:rPr>
        <w:t>As inconsistências encontradas serão classificadas em dois tipos:</w:t>
      </w:r>
    </w:p>
    <w:p w:rsidR="00D95E2A" w:rsidRPr="00FA3856" w:rsidRDefault="00D95E2A" w:rsidP="00D95E2A">
      <w:pPr>
        <w:ind w:firstLine="709"/>
        <w:rPr>
          <w:szCs w:val="20"/>
        </w:rPr>
      </w:pPr>
    </w:p>
    <w:p w:rsidR="00D95E2A" w:rsidRPr="00FA3856" w:rsidRDefault="00D95E2A" w:rsidP="00D95E2A">
      <w:pPr>
        <w:widowControl w:val="0"/>
        <w:numPr>
          <w:ilvl w:val="0"/>
          <w:numId w:val="12"/>
        </w:numPr>
        <w:autoSpaceDE w:val="0"/>
        <w:autoSpaceDN w:val="0"/>
        <w:adjustRightInd w:val="0"/>
        <w:rPr>
          <w:szCs w:val="20"/>
        </w:rPr>
      </w:pPr>
      <w:r w:rsidRPr="00FA3856">
        <w:rPr>
          <w:szCs w:val="20"/>
        </w:rPr>
        <w:t>“Erro”: Identifica uma situação que impede a conclusão com sucesso da funcionalidade.</w:t>
      </w:r>
    </w:p>
    <w:p w:rsidR="00D95E2A" w:rsidRPr="00FA3856" w:rsidRDefault="00D95E2A" w:rsidP="00D95E2A">
      <w:pPr>
        <w:widowControl w:val="0"/>
        <w:numPr>
          <w:ilvl w:val="0"/>
          <w:numId w:val="12"/>
        </w:numPr>
        <w:autoSpaceDE w:val="0"/>
        <w:autoSpaceDN w:val="0"/>
        <w:adjustRightInd w:val="0"/>
        <w:rPr>
          <w:szCs w:val="20"/>
        </w:rPr>
      </w:pPr>
      <w:r w:rsidRPr="00FA3856">
        <w:rPr>
          <w:szCs w:val="20"/>
        </w:rPr>
        <w:t>“Aviso”: Alerta apenas informativo, dando ciência ao USUÁRIO de uma situação incomum.</w:t>
      </w:r>
    </w:p>
    <w:p w:rsidR="00D95E2A" w:rsidRPr="00FA3856" w:rsidRDefault="00D95E2A" w:rsidP="00D95E2A">
      <w:pPr>
        <w:pStyle w:val="PSDS-CorpodeTexto0"/>
        <w:rPr>
          <w:rFonts w:ascii="Times New Roman" w:hAnsi="Times New Roman"/>
        </w:rPr>
      </w:pPr>
    </w:p>
    <w:p w:rsidR="00D95E2A" w:rsidRPr="00FA3856" w:rsidRDefault="00D95E2A" w:rsidP="00D95E2A">
      <w:pPr>
        <w:ind w:firstLine="709"/>
        <w:rPr>
          <w:szCs w:val="20"/>
        </w:rPr>
      </w:pPr>
      <w:r w:rsidRPr="00FA3856">
        <w:rPr>
          <w:szCs w:val="20"/>
        </w:rPr>
        <w:t>As inconsistências encontradas na importação dos arquivos foram classificadas em dois tipos:</w:t>
      </w:r>
    </w:p>
    <w:p w:rsidR="00D95E2A" w:rsidRPr="00FA3856" w:rsidRDefault="00D95E2A" w:rsidP="00D95E2A">
      <w:pPr>
        <w:ind w:firstLine="709"/>
        <w:rPr>
          <w:szCs w:val="20"/>
        </w:rPr>
      </w:pPr>
    </w:p>
    <w:p w:rsidR="00D95E2A" w:rsidRPr="00FA3856" w:rsidRDefault="00D95E2A" w:rsidP="00D95E2A">
      <w:pPr>
        <w:widowControl w:val="0"/>
        <w:numPr>
          <w:ilvl w:val="0"/>
          <w:numId w:val="12"/>
        </w:numPr>
        <w:autoSpaceDE w:val="0"/>
        <w:autoSpaceDN w:val="0"/>
        <w:adjustRightInd w:val="0"/>
        <w:rPr>
          <w:szCs w:val="20"/>
        </w:rPr>
      </w:pPr>
      <w:r w:rsidRPr="00FA3856">
        <w:rPr>
          <w:szCs w:val="20"/>
        </w:rPr>
        <w:t>“Erro”: Permite que apenas a funcionalidade de “Importação/Validação” seja executada.</w:t>
      </w:r>
    </w:p>
    <w:p w:rsidR="00D95E2A" w:rsidRPr="00FA3856" w:rsidRDefault="00D95E2A" w:rsidP="00D95E2A">
      <w:pPr>
        <w:widowControl w:val="0"/>
        <w:numPr>
          <w:ilvl w:val="0"/>
          <w:numId w:val="12"/>
        </w:numPr>
        <w:autoSpaceDE w:val="0"/>
        <w:autoSpaceDN w:val="0"/>
        <w:adjustRightInd w:val="0"/>
        <w:rPr>
          <w:szCs w:val="20"/>
        </w:rPr>
      </w:pPr>
      <w:r w:rsidRPr="00FA3856">
        <w:rPr>
          <w:szCs w:val="20"/>
        </w:rPr>
        <w:t>“Aviso”: Não impede a execução das demais funcionalidades.</w:t>
      </w:r>
    </w:p>
    <w:p w:rsidR="00D95E2A" w:rsidRPr="00FA3856" w:rsidRDefault="00D95E2A" w:rsidP="00D95E2A">
      <w:pPr>
        <w:pStyle w:val="PSDS-CorpodeTexto0"/>
        <w:rPr>
          <w:rFonts w:ascii="Times New Roman" w:hAnsi="Times New Roman"/>
        </w:rPr>
      </w:pPr>
    </w:p>
    <w:p w:rsidR="00D95E2A" w:rsidRPr="00FA3856" w:rsidRDefault="00D95E2A" w:rsidP="00D95E2A">
      <w:pPr>
        <w:ind w:left="709"/>
        <w:rPr>
          <w:szCs w:val="20"/>
        </w:rPr>
      </w:pPr>
      <w:r w:rsidRPr="00FA3856">
        <w:rPr>
          <w:szCs w:val="20"/>
        </w:rPr>
        <w:t>As rotinas de validação são executadas em níveis:</w:t>
      </w:r>
    </w:p>
    <w:p w:rsidR="00D95E2A" w:rsidRPr="00FA3856" w:rsidRDefault="00D95E2A" w:rsidP="00D95E2A">
      <w:pPr>
        <w:ind w:left="709"/>
        <w:rPr>
          <w:szCs w:val="20"/>
        </w:rPr>
      </w:pPr>
    </w:p>
    <w:p w:rsidR="00D95E2A" w:rsidRPr="00FA3856" w:rsidRDefault="00D95E2A" w:rsidP="00D95E2A">
      <w:pPr>
        <w:ind w:left="1136"/>
        <w:rPr>
          <w:szCs w:val="20"/>
        </w:rPr>
      </w:pPr>
      <w:r w:rsidRPr="00FA3856">
        <w:rPr>
          <w:szCs w:val="20"/>
          <w:u w:val="single"/>
        </w:rPr>
        <w:t>Nível 1 – Validações de estrutura – utilizado na importação e edição</w:t>
      </w:r>
      <w:r w:rsidRPr="00FA3856">
        <w:rPr>
          <w:szCs w:val="20"/>
        </w:rPr>
        <w:t>:</w:t>
      </w:r>
    </w:p>
    <w:p w:rsidR="00D95E2A" w:rsidRPr="00FA3856" w:rsidRDefault="00D95E2A" w:rsidP="00D95E2A">
      <w:pPr>
        <w:widowControl w:val="0"/>
        <w:numPr>
          <w:ilvl w:val="0"/>
          <w:numId w:val="13"/>
        </w:numPr>
        <w:tabs>
          <w:tab w:val="clear" w:pos="1212"/>
          <w:tab w:val="num" w:pos="1639"/>
        </w:tabs>
        <w:autoSpaceDE w:val="0"/>
        <w:autoSpaceDN w:val="0"/>
        <w:adjustRightInd w:val="0"/>
        <w:ind w:left="1639"/>
        <w:rPr>
          <w:szCs w:val="20"/>
        </w:rPr>
      </w:pPr>
      <w:r w:rsidRPr="00FA3856">
        <w:rPr>
          <w:b/>
          <w:bCs/>
          <w:szCs w:val="20"/>
        </w:rPr>
        <w:t>Validação de Estrutura - Nível 1.1</w:t>
      </w:r>
      <w:r w:rsidRPr="00FA3856">
        <w:rPr>
          <w:szCs w:val="20"/>
        </w:rPr>
        <w:t xml:space="preserve"> – Os erros encontrados interrompem o processo de importação, pois impedem a determinação da estrutura da escrituração. </w:t>
      </w:r>
    </w:p>
    <w:p w:rsidR="00D95E2A" w:rsidRPr="00FA3856" w:rsidRDefault="00D95E2A" w:rsidP="00D95E2A">
      <w:pPr>
        <w:widowControl w:val="0"/>
        <w:numPr>
          <w:ilvl w:val="0"/>
          <w:numId w:val="13"/>
        </w:numPr>
        <w:tabs>
          <w:tab w:val="clear" w:pos="1212"/>
          <w:tab w:val="num" w:pos="1639"/>
        </w:tabs>
        <w:autoSpaceDE w:val="0"/>
        <w:autoSpaceDN w:val="0"/>
        <w:adjustRightInd w:val="0"/>
        <w:ind w:left="1639"/>
        <w:rPr>
          <w:szCs w:val="20"/>
        </w:rPr>
      </w:pPr>
      <w:r w:rsidRPr="00FA3856">
        <w:rPr>
          <w:b/>
          <w:bCs/>
          <w:szCs w:val="20"/>
        </w:rPr>
        <w:t>Validação de Estrutura - Nível 1.2</w:t>
      </w:r>
      <w:r w:rsidRPr="00FA3856">
        <w:rPr>
          <w:szCs w:val="20"/>
        </w:rPr>
        <w:t xml:space="preserve"> – Os erros encontrados impedem a importação mas permitem a continuidade das validações.</w:t>
      </w:r>
    </w:p>
    <w:p w:rsidR="00D95E2A" w:rsidRPr="00FA3856" w:rsidRDefault="00D95E2A" w:rsidP="00D95E2A">
      <w:pPr>
        <w:ind w:left="1136"/>
        <w:rPr>
          <w:szCs w:val="20"/>
        </w:rPr>
      </w:pPr>
    </w:p>
    <w:p w:rsidR="00D95E2A" w:rsidRPr="00FA3856" w:rsidRDefault="00D95E2A" w:rsidP="00D95E2A">
      <w:pPr>
        <w:ind w:left="1136"/>
        <w:rPr>
          <w:szCs w:val="20"/>
        </w:rPr>
      </w:pPr>
      <w:r w:rsidRPr="00FA3856">
        <w:rPr>
          <w:szCs w:val="20"/>
          <w:u w:val="single"/>
        </w:rPr>
        <w:t>Nível 2 – Validações de campos</w:t>
      </w:r>
      <w:r w:rsidRPr="00FA3856">
        <w:rPr>
          <w:szCs w:val="20"/>
        </w:rPr>
        <w:t>:</w:t>
      </w:r>
    </w:p>
    <w:p w:rsidR="00D95E2A" w:rsidRPr="00FA3856" w:rsidRDefault="00D95E2A" w:rsidP="00D95E2A">
      <w:pPr>
        <w:widowControl w:val="0"/>
        <w:numPr>
          <w:ilvl w:val="0"/>
          <w:numId w:val="14"/>
        </w:numPr>
        <w:tabs>
          <w:tab w:val="clear" w:pos="1212"/>
          <w:tab w:val="num" w:pos="1639"/>
        </w:tabs>
        <w:autoSpaceDE w:val="0"/>
        <w:autoSpaceDN w:val="0"/>
        <w:adjustRightInd w:val="0"/>
        <w:ind w:left="1639"/>
        <w:rPr>
          <w:szCs w:val="20"/>
        </w:rPr>
      </w:pPr>
      <w:r w:rsidRPr="00FA3856">
        <w:rPr>
          <w:b/>
          <w:bCs/>
          <w:szCs w:val="20"/>
        </w:rPr>
        <w:t xml:space="preserve">Validação de Campos - Nível 2 </w:t>
      </w:r>
      <w:r w:rsidRPr="00FA3856">
        <w:rPr>
          <w:szCs w:val="20"/>
        </w:rPr>
        <w:t>- Utilizada na edição e verificação de pendências.</w:t>
      </w:r>
    </w:p>
    <w:p w:rsidR="00D95E2A" w:rsidRPr="00FA3856" w:rsidRDefault="00D95E2A" w:rsidP="00D95E2A">
      <w:pPr>
        <w:ind w:left="1136"/>
        <w:rPr>
          <w:szCs w:val="20"/>
        </w:rPr>
      </w:pPr>
    </w:p>
    <w:p w:rsidR="00D95E2A" w:rsidRPr="00FA3856" w:rsidRDefault="00D95E2A" w:rsidP="00D95E2A">
      <w:pPr>
        <w:ind w:left="1136"/>
        <w:rPr>
          <w:szCs w:val="20"/>
          <w:u w:val="single"/>
        </w:rPr>
      </w:pPr>
      <w:r w:rsidRPr="00FA3856">
        <w:rPr>
          <w:szCs w:val="20"/>
          <w:u w:val="single"/>
        </w:rPr>
        <w:t>Nível 3 – Validações entre registros:</w:t>
      </w:r>
    </w:p>
    <w:p w:rsidR="00D95E2A" w:rsidRPr="00FA3856" w:rsidRDefault="00D95E2A" w:rsidP="00D95E2A">
      <w:pPr>
        <w:widowControl w:val="0"/>
        <w:numPr>
          <w:ilvl w:val="0"/>
          <w:numId w:val="14"/>
        </w:numPr>
        <w:tabs>
          <w:tab w:val="clear" w:pos="1212"/>
          <w:tab w:val="num" w:pos="1639"/>
        </w:tabs>
        <w:autoSpaceDE w:val="0"/>
        <w:autoSpaceDN w:val="0"/>
        <w:adjustRightInd w:val="0"/>
        <w:ind w:left="1639"/>
        <w:rPr>
          <w:szCs w:val="20"/>
        </w:rPr>
      </w:pPr>
      <w:r w:rsidRPr="00FA3856">
        <w:rPr>
          <w:b/>
          <w:bCs/>
          <w:szCs w:val="20"/>
        </w:rPr>
        <w:t>Validação de Registros - Nível 3</w:t>
      </w:r>
      <w:r w:rsidRPr="00FA3856">
        <w:rPr>
          <w:szCs w:val="20"/>
        </w:rPr>
        <w:t xml:space="preserve"> – Utilizada somente na verificação de pendencias.</w:t>
      </w:r>
    </w:p>
    <w:p w:rsidR="00D95E2A" w:rsidRPr="00FA3856" w:rsidRDefault="00D95E2A" w:rsidP="00D95E2A">
      <w:pPr>
        <w:ind w:left="709"/>
        <w:rPr>
          <w:szCs w:val="20"/>
        </w:rPr>
      </w:pPr>
    </w:p>
    <w:p w:rsidR="00D95E2A" w:rsidRPr="00FA3856" w:rsidRDefault="00D95E2A" w:rsidP="00D95E2A">
      <w:pPr>
        <w:pStyle w:val="Cabealho"/>
        <w:widowControl w:val="0"/>
        <w:autoSpaceDE w:val="0"/>
        <w:autoSpaceDN w:val="0"/>
        <w:adjustRightInd w:val="0"/>
        <w:rPr>
          <w:rFonts w:ascii="Times New Roman" w:hAnsi="Times New Roman" w:cs="Times New Roman"/>
          <w:sz w:val="20"/>
          <w:szCs w:val="20"/>
          <w:lang w:eastAsia="pt-BR"/>
        </w:rPr>
      </w:pPr>
    </w:p>
    <w:p w:rsidR="00D95E2A" w:rsidRPr="00FA3856" w:rsidRDefault="00D95E2A" w:rsidP="00D95E2A">
      <w:pPr>
        <w:pStyle w:val="pergunta-12"/>
        <w:shd w:val="clear" w:color="auto" w:fill="FFFFFF"/>
        <w:spacing w:before="0" w:after="0"/>
        <w:ind w:firstLine="708"/>
        <w:jc w:val="both"/>
        <w:rPr>
          <w:rFonts w:ascii="Times New Roman" w:hAnsi="Times New Roman" w:cs="Times New Roman"/>
          <w:szCs w:val="20"/>
        </w:rPr>
      </w:pPr>
    </w:p>
    <w:p w:rsidR="00D95E2A" w:rsidRPr="00FA3856" w:rsidRDefault="00D95E2A" w:rsidP="00D95E2A">
      <w:pPr>
        <w:rPr>
          <w:b/>
          <w:bCs/>
          <w:color w:val="0000FF"/>
          <w:szCs w:val="20"/>
        </w:rPr>
      </w:pPr>
      <w:r w:rsidRPr="00FA3856">
        <w:rPr>
          <w:color w:val="0000FF"/>
          <w:szCs w:val="20"/>
        </w:rPr>
        <w:br w:type="page"/>
      </w:r>
    </w:p>
    <w:p w:rsidR="00D95E2A" w:rsidRPr="00FA3856" w:rsidRDefault="00D95E2A" w:rsidP="00D95E2A">
      <w:pPr>
        <w:pStyle w:val="Ttulo2"/>
      </w:pPr>
      <w:bookmarkStart w:id="48" w:name="_Toc479713658"/>
      <w:r w:rsidRPr="00FA3856">
        <w:lastRenderedPageBreak/>
        <w:t xml:space="preserve">Seção </w:t>
      </w:r>
      <w:r>
        <w:t>3</w:t>
      </w:r>
      <w:r w:rsidRPr="00FA3856">
        <w:t>.1. Regras de Validação de Estrutura – Nível 1.1</w:t>
      </w:r>
      <w:bookmarkEnd w:id="48"/>
    </w:p>
    <w:p w:rsidR="00D95E2A" w:rsidRPr="00FA3856" w:rsidRDefault="00D95E2A" w:rsidP="00D95E2A">
      <w:pPr>
        <w:pStyle w:val="pergunta-12"/>
        <w:shd w:val="clear" w:color="auto" w:fill="FFFFFF"/>
        <w:spacing w:before="0" w:after="0"/>
        <w:ind w:firstLine="708"/>
        <w:jc w:val="both"/>
        <w:rPr>
          <w:rFonts w:ascii="Times New Roman" w:hAnsi="Times New Roman" w:cs="Times New Roman"/>
          <w:szCs w:val="20"/>
        </w:rPr>
      </w:pPr>
    </w:p>
    <w:p w:rsidR="00D95E2A" w:rsidRPr="00FA3856" w:rsidRDefault="00D95E2A" w:rsidP="00D95E2A">
      <w:pPr>
        <w:pStyle w:val="pergunta-12"/>
        <w:shd w:val="clear" w:color="auto" w:fill="FFFFFF"/>
        <w:spacing w:before="0" w:after="0"/>
        <w:ind w:firstLine="708"/>
        <w:jc w:val="both"/>
        <w:rPr>
          <w:rFonts w:ascii="Times New Roman" w:hAnsi="Times New Roman" w:cs="Times New Roman"/>
          <w:szCs w:val="20"/>
        </w:rPr>
      </w:pPr>
      <w:r w:rsidRPr="00FA3856">
        <w:rPr>
          <w:rFonts w:ascii="Times New Roman" w:hAnsi="Times New Roman" w:cs="Times New Roman"/>
          <w:szCs w:val="20"/>
        </w:rPr>
        <w:t>Os erros encontrados não permitem a seleção de blocos para importação.</w:t>
      </w:r>
    </w:p>
    <w:p w:rsidR="00D95E2A" w:rsidRPr="00FA3856" w:rsidRDefault="00D95E2A" w:rsidP="00D95E2A">
      <w:pPr>
        <w:pStyle w:val="pergunta-12"/>
        <w:shd w:val="clear" w:color="auto" w:fill="FFFFFF"/>
        <w:spacing w:before="0" w:after="0"/>
        <w:ind w:firstLine="708"/>
        <w:jc w:val="both"/>
        <w:rPr>
          <w:rFonts w:ascii="Times New Roman" w:hAnsi="Times New Roman" w:cs="Times New Roman"/>
          <w:szCs w:val="20"/>
        </w:rPr>
      </w:pPr>
    </w:p>
    <w:tbl>
      <w:tblPr>
        <w:tblW w:w="12886"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582"/>
        <w:gridCol w:w="3716"/>
        <w:gridCol w:w="3744"/>
        <w:gridCol w:w="3978"/>
        <w:gridCol w:w="866"/>
      </w:tblGrid>
      <w:tr w:rsidR="00D95E2A" w:rsidRPr="00FA3856" w:rsidTr="00295379">
        <w:trPr>
          <w:trHeight w:val="20"/>
          <w:jc w:val="center"/>
        </w:trPr>
        <w:tc>
          <w:tcPr>
            <w:tcW w:w="582" w:type="dxa"/>
            <w:tcBorders>
              <w:top w:val="single" w:sz="6" w:space="0" w:color="auto"/>
              <w:left w:val="single" w:sz="6" w:space="0" w:color="auto"/>
              <w:bottom w:val="single" w:sz="6" w:space="0" w:color="auto"/>
              <w:right w:val="single" w:sz="6" w:space="0" w:color="auto"/>
            </w:tcBorders>
            <w:shd w:val="pct10" w:color="auto" w:fill="FFFFFF"/>
          </w:tcPr>
          <w:p w:rsidR="00D95E2A" w:rsidRPr="00FA3856" w:rsidRDefault="00D95E2A" w:rsidP="00295379">
            <w:pPr>
              <w:pStyle w:val="PSDS-CorpodeTexto0"/>
              <w:jc w:val="center"/>
              <w:rPr>
                <w:rFonts w:ascii="Times New Roman" w:hAnsi="Times New Roman"/>
                <w:b/>
                <w:bCs/>
              </w:rPr>
            </w:pPr>
            <w:r w:rsidRPr="00FA3856">
              <w:rPr>
                <w:rFonts w:ascii="Times New Roman" w:hAnsi="Times New Roman"/>
                <w:b/>
                <w:bCs/>
              </w:rPr>
              <w:t>Nº</w:t>
            </w:r>
          </w:p>
        </w:tc>
        <w:tc>
          <w:tcPr>
            <w:tcW w:w="3716" w:type="dxa"/>
            <w:tcBorders>
              <w:top w:val="single" w:sz="6" w:space="0" w:color="auto"/>
              <w:left w:val="single" w:sz="6" w:space="0" w:color="auto"/>
              <w:bottom w:val="single" w:sz="6" w:space="0" w:color="auto"/>
              <w:right w:val="single" w:sz="6" w:space="0" w:color="auto"/>
            </w:tcBorders>
            <w:shd w:val="pct10" w:color="auto" w:fill="FFFFFF"/>
            <w:vAlign w:val="center"/>
          </w:tcPr>
          <w:p w:rsidR="00D95E2A" w:rsidRPr="00FA3856" w:rsidRDefault="00D95E2A" w:rsidP="00295379">
            <w:pPr>
              <w:pStyle w:val="PSDS-CorpodeTexto0"/>
              <w:jc w:val="center"/>
              <w:rPr>
                <w:rFonts w:ascii="Times New Roman" w:hAnsi="Times New Roman"/>
                <w:b/>
              </w:rPr>
            </w:pPr>
            <w:r w:rsidRPr="00FA3856">
              <w:rPr>
                <w:rFonts w:ascii="Times New Roman" w:hAnsi="Times New Roman"/>
                <w:b/>
              </w:rPr>
              <w:t xml:space="preserve">Código da regra </w:t>
            </w:r>
          </w:p>
        </w:tc>
        <w:tc>
          <w:tcPr>
            <w:tcW w:w="3744" w:type="dxa"/>
            <w:tcBorders>
              <w:top w:val="single" w:sz="6" w:space="0" w:color="auto"/>
              <w:left w:val="single" w:sz="6" w:space="0" w:color="auto"/>
              <w:bottom w:val="single" w:sz="6" w:space="0" w:color="auto"/>
              <w:right w:val="single" w:sz="6" w:space="0" w:color="auto"/>
            </w:tcBorders>
            <w:shd w:val="pct10" w:color="auto" w:fill="FFFFFF"/>
          </w:tcPr>
          <w:p w:rsidR="00D95E2A" w:rsidRPr="00FA3856" w:rsidRDefault="00D95E2A" w:rsidP="00295379">
            <w:pPr>
              <w:pStyle w:val="PSDS-CorpodeTexto0"/>
              <w:jc w:val="center"/>
              <w:rPr>
                <w:rFonts w:ascii="Times New Roman" w:hAnsi="Times New Roman"/>
                <w:b/>
              </w:rPr>
            </w:pPr>
            <w:r w:rsidRPr="00FA3856">
              <w:rPr>
                <w:rFonts w:ascii="Times New Roman" w:hAnsi="Times New Roman"/>
                <w:b/>
              </w:rPr>
              <w:t>Descrição</w:t>
            </w:r>
          </w:p>
        </w:tc>
        <w:tc>
          <w:tcPr>
            <w:tcW w:w="3978" w:type="dxa"/>
            <w:tcBorders>
              <w:top w:val="single" w:sz="6" w:space="0" w:color="auto"/>
              <w:left w:val="single" w:sz="6" w:space="0" w:color="auto"/>
              <w:bottom w:val="single" w:sz="6" w:space="0" w:color="auto"/>
              <w:right w:val="single" w:sz="6" w:space="0" w:color="auto"/>
            </w:tcBorders>
            <w:shd w:val="pct10" w:color="auto" w:fill="FFFFFF"/>
          </w:tcPr>
          <w:p w:rsidR="00D95E2A" w:rsidRPr="00FA3856" w:rsidRDefault="00D95E2A" w:rsidP="00295379">
            <w:pPr>
              <w:pStyle w:val="PSDS-CorpodeTexto0"/>
              <w:jc w:val="center"/>
              <w:rPr>
                <w:rFonts w:ascii="Times New Roman" w:hAnsi="Times New Roman"/>
                <w:b/>
              </w:rPr>
            </w:pPr>
            <w:r w:rsidRPr="00FA3856">
              <w:rPr>
                <w:rFonts w:ascii="Times New Roman" w:hAnsi="Times New Roman"/>
                <w:b/>
              </w:rPr>
              <w:t>Como obter</w:t>
            </w:r>
          </w:p>
        </w:tc>
        <w:tc>
          <w:tcPr>
            <w:tcW w:w="866" w:type="dxa"/>
            <w:tcBorders>
              <w:top w:val="single" w:sz="6" w:space="0" w:color="auto"/>
              <w:left w:val="single" w:sz="6" w:space="0" w:color="auto"/>
              <w:bottom w:val="single" w:sz="6" w:space="0" w:color="auto"/>
              <w:right w:val="single" w:sz="6" w:space="0" w:color="auto"/>
            </w:tcBorders>
            <w:shd w:val="pct10" w:color="auto" w:fill="FFFFFF"/>
          </w:tcPr>
          <w:p w:rsidR="00D95E2A" w:rsidRPr="00FA3856" w:rsidRDefault="00D95E2A" w:rsidP="00295379">
            <w:pPr>
              <w:pStyle w:val="PSDS-CorpodeTexto0"/>
              <w:jc w:val="center"/>
              <w:rPr>
                <w:rFonts w:ascii="Times New Roman" w:hAnsi="Times New Roman"/>
                <w:b/>
              </w:rPr>
            </w:pPr>
            <w:r w:rsidRPr="00FA3856">
              <w:rPr>
                <w:rFonts w:ascii="Times New Roman" w:hAnsi="Times New Roman"/>
                <w:b/>
              </w:rPr>
              <w:t>Tipo</w:t>
            </w:r>
          </w:p>
        </w:tc>
      </w:tr>
      <w:tr w:rsidR="00D95E2A" w:rsidRPr="00FA3856" w:rsidTr="00295379">
        <w:trPr>
          <w:trHeight w:val="684"/>
          <w:jc w:val="center"/>
        </w:trPr>
        <w:tc>
          <w:tcPr>
            <w:tcW w:w="582" w:type="dxa"/>
            <w:tcBorders>
              <w:top w:val="single" w:sz="6" w:space="0" w:color="auto"/>
              <w:left w:val="single" w:sz="6" w:space="0" w:color="auto"/>
              <w:bottom w:val="single" w:sz="6" w:space="0" w:color="auto"/>
              <w:right w:val="single" w:sz="6" w:space="0" w:color="auto"/>
            </w:tcBorders>
          </w:tcPr>
          <w:p w:rsidR="00D95E2A" w:rsidRPr="00FA3856" w:rsidRDefault="00D95E2A" w:rsidP="00295379">
            <w:pPr>
              <w:pStyle w:val="PSDS-CorpodeTexto0"/>
              <w:numPr>
                <w:ilvl w:val="0"/>
                <w:numId w:val="11"/>
              </w:numPr>
              <w:suppressAutoHyphens w:val="0"/>
              <w:rPr>
                <w:rFonts w:ascii="Times New Roman" w:hAnsi="Times New Roman"/>
              </w:rPr>
            </w:pPr>
          </w:p>
        </w:tc>
        <w:tc>
          <w:tcPr>
            <w:tcW w:w="3716" w:type="dxa"/>
            <w:tcBorders>
              <w:top w:val="single" w:sz="6" w:space="0" w:color="auto"/>
              <w:left w:val="single" w:sz="6" w:space="0" w:color="auto"/>
              <w:bottom w:val="single" w:sz="6" w:space="0" w:color="auto"/>
              <w:right w:val="single" w:sz="6" w:space="0" w:color="auto"/>
            </w:tcBorders>
            <w:vAlign w:val="center"/>
          </w:tcPr>
          <w:p w:rsidR="00D95E2A" w:rsidRPr="00FA3856" w:rsidRDefault="00D95E2A" w:rsidP="00295379">
            <w:pPr>
              <w:pStyle w:val="PSDS-CorpodeTexto0"/>
              <w:jc w:val="center"/>
              <w:rPr>
                <w:rFonts w:ascii="Times New Roman" w:hAnsi="Times New Roman"/>
              </w:rPr>
            </w:pPr>
            <w:r w:rsidRPr="00FA3856">
              <w:rPr>
                <w:rFonts w:ascii="Times New Roman" w:hAnsi="Times New Roman"/>
                <w:lang w:eastAsia="en-US"/>
              </w:rPr>
              <w:t>REGRA_DT_FINAL_ESCRITURACAO</w:t>
            </w:r>
          </w:p>
        </w:tc>
        <w:tc>
          <w:tcPr>
            <w:tcW w:w="3744" w:type="dxa"/>
            <w:tcBorders>
              <w:top w:val="single" w:sz="6" w:space="0" w:color="auto"/>
              <w:left w:val="single" w:sz="6" w:space="0" w:color="auto"/>
              <w:bottom w:val="single" w:sz="6" w:space="0" w:color="auto"/>
              <w:right w:val="single" w:sz="6" w:space="0" w:color="auto"/>
            </w:tcBorders>
          </w:tcPr>
          <w:p w:rsidR="00D95E2A" w:rsidRPr="00FA3856" w:rsidRDefault="00D95E2A" w:rsidP="00295379">
            <w:pPr>
              <w:tabs>
                <w:tab w:val="left" w:pos="720"/>
              </w:tabs>
              <w:jc w:val="both"/>
              <w:rPr>
                <w:szCs w:val="20"/>
              </w:rPr>
            </w:pPr>
            <w:r>
              <w:rPr>
                <w:szCs w:val="20"/>
              </w:rPr>
              <w:t>Para escrituração que não esteja</w:t>
            </w:r>
            <w:r w:rsidRPr="00FA3856">
              <w:rPr>
                <w:szCs w:val="20"/>
              </w:rPr>
              <w:t xml:space="preserve"> em situação especial, a data final deve ser igual ao último dia do ano “31/12”.</w:t>
            </w:r>
          </w:p>
        </w:tc>
        <w:tc>
          <w:tcPr>
            <w:tcW w:w="3978" w:type="dxa"/>
            <w:tcBorders>
              <w:top w:val="single" w:sz="6" w:space="0" w:color="auto"/>
              <w:left w:val="single" w:sz="6" w:space="0" w:color="auto"/>
              <w:bottom w:val="single" w:sz="6" w:space="0" w:color="auto"/>
              <w:right w:val="single" w:sz="6" w:space="0" w:color="auto"/>
            </w:tcBorders>
          </w:tcPr>
          <w:p w:rsidR="00D95E2A" w:rsidRPr="00FA3856" w:rsidRDefault="00D95E2A" w:rsidP="00295379">
            <w:pPr>
              <w:pStyle w:val="PSDS-CorpodeTexto0"/>
              <w:jc w:val="both"/>
              <w:rPr>
                <w:rFonts w:ascii="Times New Roman" w:hAnsi="Times New Roman"/>
              </w:rPr>
            </w:pPr>
            <w:r w:rsidRPr="00FA3856">
              <w:rPr>
                <w:rFonts w:ascii="Times New Roman" w:hAnsi="Times New Roman"/>
              </w:rPr>
              <w:t>O erro ocorre quando 0000.</w:t>
            </w:r>
            <w:r w:rsidRPr="00FA3856">
              <w:rPr>
                <w:rFonts w:ascii="Times New Roman" w:hAnsi="Times New Roman"/>
                <w:lang w:val="pt-PT"/>
              </w:rPr>
              <w:t>SIT_ESPECIAL</w:t>
            </w:r>
            <w:r w:rsidRPr="00FA3856">
              <w:rPr>
                <w:rFonts w:ascii="Times New Roman" w:hAnsi="Times New Roman"/>
              </w:rPr>
              <w:t xml:space="preserve"> não está preenchido ou com zero e o dia e mês da data final é diferente de “31/12”.</w:t>
            </w:r>
          </w:p>
        </w:tc>
        <w:tc>
          <w:tcPr>
            <w:tcW w:w="866" w:type="dxa"/>
            <w:tcBorders>
              <w:top w:val="single" w:sz="6" w:space="0" w:color="auto"/>
              <w:left w:val="single" w:sz="6" w:space="0" w:color="auto"/>
              <w:bottom w:val="single" w:sz="6" w:space="0" w:color="auto"/>
              <w:right w:val="single" w:sz="6" w:space="0" w:color="auto"/>
            </w:tcBorders>
          </w:tcPr>
          <w:p w:rsidR="00D95E2A" w:rsidRPr="00FA3856" w:rsidRDefault="00D95E2A" w:rsidP="00295379">
            <w:pPr>
              <w:pStyle w:val="PSDS-CorpodeTexto0"/>
              <w:jc w:val="center"/>
              <w:rPr>
                <w:rFonts w:ascii="Times New Roman" w:hAnsi="Times New Roman"/>
              </w:rPr>
            </w:pPr>
            <w:r w:rsidRPr="00FA3856">
              <w:rPr>
                <w:rFonts w:ascii="Times New Roman" w:hAnsi="Times New Roman"/>
              </w:rPr>
              <w:t>Erro</w:t>
            </w:r>
          </w:p>
        </w:tc>
      </w:tr>
      <w:tr w:rsidR="00D95E2A" w:rsidRPr="00FA3856" w:rsidTr="00295379">
        <w:trPr>
          <w:trHeight w:val="20"/>
          <w:jc w:val="center"/>
        </w:trPr>
        <w:tc>
          <w:tcPr>
            <w:tcW w:w="582" w:type="dxa"/>
            <w:tcBorders>
              <w:top w:val="single" w:sz="6" w:space="0" w:color="auto"/>
              <w:left w:val="single" w:sz="6" w:space="0" w:color="auto"/>
              <w:bottom w:val="single" w:sz="6" w:space="0" w:color="auto"/>
              <w:right w:val="single" w:sz="6" w:space="0" w:color="auto"/>
            </w:tcBorders>
          </w:tcPr>
          <w:p w:rsidR="00D95E2A" w:rsidRPr="00FA3856" w:rsidRDefault="00D95E2A" w:rsidP="00295379">
            <w:pPr>
              <w:pStyle w:val="PSDS-CorpodeTexto0"/>
              <w:numPr>
                <w:ilvl w:val="0"/>
                <w:numId w:val="11"/>
              </w:numPr>
              <w:suppressAutoHyphens w:val="0"/>
              <w:jc w:val="center"/>
              <w:rPr>
                <w:rFonts w:ascii="Times New Roman" w:hAnsi="Times New Roman"/>
              </w:rPr>
            </w:pPr>
          </w:p>
        </w:tc>
        <w:tc>
          <w:tcPr>
            <w:tcW w:w="3716" w:type="dxa"/>
            <w:tcBorders>
              <w:top w:val="single" w:sz="6" w:space="0" w:color="auto"/>
              <w:left w:val="single" w:sz="6" w:space="0" w:color="auto"/>
              <w:bottom w:val="single" w:sz="6" w:space="0" w:color="auto"/>
              <w:right w:val="single" w:sz="6" w:space="0" w:color="auto"/>
            </w:tcBorders>
            <w:vAlign w:val="center"/>
          </w:tcPr>
          <w:p w:rsidR="00D95E2A" w:rsidRPr="00FA3856" w:rsidRDefault="00D95E2A" w:rsidP="00295379">
            <w:pPr>
              <w:pStyle w:val="PSDS-CorpodeTexto0"/>
              <w:jc w:val="center"/>
              <w:rPr>
                <w:rFonts w:ascii="Times New Roman" w:hAnsi="Times New Roman"/>
              </w:rPr>
            </w:pPr>
            <w:r w:rsidRPr="00FA3856">
              <w:rPr>
                <w:rFonts w:ascii="Times New Roman" w:hAnsi="Times New Roman"/>
                <w:lang w:eastAsia="en-US"/>
              </w:rPr>
              <w:t>REGRA_DT_INICIO_ESCRITURACAO</w:t>
            </w:r>
          </w:p>
        </w:tc>
        <w:tc>
          <w:tcPr>
            <w:tcW w:w="3744" w:type="dxa"/>
            <w:tcBorders>
              <w:top w:val="single" w:sz="6" w:space="0" w:color="auto"/>
              <w:left w:val="single" w:sz="6" w:space="0" w:color="auto"/>
              <w:bottom w:val="single" w:sz="6" w:space="0" w:color="auto"/>
              <w:right w:val="single" w:sz="6" w:space="0" w:color="auto"/>
            </w:tcBorders>
          </w:tcPr>
          <w:p w:rsidR="00D95E2A" w:rsidRPr="00FA3856" w:rsidRDefault="00D95E2A" w:rsidP="00295379">
            <w:pPr>
              <w:pStyle w:val="alnea0"/>
            </w:pPr>
            <w:r w:rsidRPr="00FA3856">
              <w:t>Para  escrituração que esteja com indicador de início de período igual a zero (IND_SIT_INI_PER) a data inicial deve ser igual ao primeiro dia do ano “01/01”.</w:t>
            </w:r>
          </w:p>
        </w:tc>
        <w:tc>
          <w:tcPr>
            <w:tcW w:w="3978" w:type="dxa"/>
            <w:tcBorders>
              <w:top w:val="single" w:sz="6" w:space="0" w:color="auto"/>
              <w:left w:val="single" w:sz="6" w:space="0" w:color="auto"/>
              <w:bottom w:val="single" w:sz="6" w:space="0" w:color="auto"/>
              <w:right w:val="single" w:sz="6" w:space="0" w:color="auto"/>
            </w:tcBorders>
          </w:tcPr>
          <w:p w:rsidR="00D95E2A" w:rsidRPr="00FA3856" w:rsidRDefault="00D95E2A" w:rsidP="00295379">
            <w:pPr>
              <w:pStyle w:val="PSDS-CorpodeTexto0"/>
              <w:jc w:val="both"/>
              <w:rPr>
                <w:rFonts w:ascii="Times New Roman" w:hAnsi="Times New Roman"/>
              </w:rPr>
            </w:pPr>
            <w:r w:rsidRPr="00FA3856">
              <w:rPr>
                <w:rFonts w:ascii="Times New Roman" w:hAnsi="Times New Roman"/>
              </w:rPr>
              <w:t xml:space="preserve">O erro ocorre quando </w:t>
            </w:r>
            <w:r w:rsidRPr="00FA3856">
              <w:rPr>
                <w:rFonts w:ascii="Times New Roman" w:hAnsi="Times New Roman"/>
                <w:lang w:val="pt-PT"/>
              </w:rPr>
              <w:t>IND_SIT_INI_PER</w:t>
            </w:r>
            <w:r w:rsidRPr="00FA3856">
              <w:rPr>
                <w:rFonts w:ascii="Times New Roman" w:hAnsi="Times New Roman"/>
              </w:rPr>
              <w:t xml:space="preserve"> do registro 0000 é igual a zero e o dia e mês da data inicial é diferente de “01/01”.</w:t>
            </w:r>
          </w:p>
        </w:tc>
        <w:tc>
          <w:tcPr>
            <w:tcW w:w="866" w:type="dxa"/>
            <w:tcBorders>
              <w:top w:val="single" w:sz="6" w:space="0" w:color="auto"/>
              <w:left w:val="single" w:sz="6" w:space="0" w:color="auto"/>
              <w:bottom w:val="single" w:sz="6" w:space="0" w:color="auto"/>
              <w:right w:val="single" w:sz="6" w:space="0" w:color="auto"/>
            </w:tcBorders>
          </w:tcPr>
          <w:p w:rsidR="00D95E2A" w:rsidRPr="00FA3856" w:rsidRDefault="00D95E2A" w:rsidP="00295379">
            <w:pPr>
              <w:pStyle w:val="PSDS-CorpodeTexto0"/>
              <w:jc w:val="center"/>
              <w:rPr>
                <w:rFonts w:ascii="Times New Roman" w:hAnsi="Times New Roman"/>
              </w:rPr>
            </w:pPr>
            <w:r w:rsidRPr="00FA3856">
              <w:rPr>
                <w:rFonts w:ascii="Times New Roman" w:hAnsi="Times New Roman"/>
              </w:rPr>
              <w:t>Erro</w:t>
            </w:r>
          </w:p>
        </w:tc>
      </w:tr>
      <w:tr w:rsidR="00D95E2A" w:rsidRPr="00FA3856" w:rsidTr="00295379">
        <w:trPr>
          <w:trHeight w:val="554"/>
          <w:jc w:val="center"/>
        </w:trPr>
        <w:tc>
          <w:tcPr>
            <w:tcW w:w="582" w:type="dxa"/>
            <w:tcBorders>
              <w:top w:val="single" w:sz="6" w:space="0" w:color="auto"/>
              <w:left w:val="single" w:sz="6" w:space="0" w:color="auto"/>
              <w:bottom w:val="single" w:sz="6" w:space="0" w:color="auto"/>
              <w:right w:val="single" w:sz="6" w:space="0" w:color="auto"/>
            </w:tcBorders>
          </w:tcPr>
          <w:p w:rsidR="00D95E2A" w:rsidRPr="00FA3856" w:rsidRDefault="00D95E2A" w:rsidP="00295379">
            <w:pPr>
              <w:pStyle w:val="PSDS-CorpodeTexto0"/>
              <w:numPr>
                <w:ilvl w:val="0"/>
                <w:numId w:val="11"/>
              </w:numPr>
              <w:suppressAutoHyphens w:val="0"/>
              <w:jc w:val="center"/>
              <w:rPr>
                <w:rFonts w:ascii="Times New Roman" w:hAnsi="Times New Roman"/>
              </w:rPr>
            </w:pPr>
          </w:p>
        </w:tc>
        <w:tc>
          <w:tcPr>
            <w:tcW w:w="3716" w:type="dxa"/>
            <w:tcBorders>
              <w:top w:val="single" w:sz="6" w:space="0" w:color="auto"/>
              <w:left w:val="single" w:sz="6" w:space="0" w:color="auto"/>
              <w:bottom w:val="single" w:sz="6" w:space="0" w:color="auto"/>
              <w:right w:val="single" w:sz="6" w:space="0" w:color="auto"/>
            </w:tcBorders>
            <w:vAlign w:val="center"/>
          </w:tcPr>
          <w:p w:rsidR="00D95E2A" w:rsidRPr="00FA3856" w:rsidRDefault="00D95E2A" w:rsidP="00295379">
            <w:pPr>
              <w:pStyle w:val="PSDS-CorpodeTexto0"/>
              <w:jc w:val="center"/>
              <w:rPr>
                <w:rFonts w:ascii="Times New Roman" w:hAnsi="Times New Roman"/>
                <w:lang w:eastAsia="en-US"/>
              </w:rPr>
            </w:pPr>
            <w:r w:rsidRPr="00FA3856">
              <w:rPr>
                <w:rFonts w:ascii="Times New Roman" w:hAnsi="Times New Roman"/>
              </w:rPr>
              <w:t>REGRA_VALIDA_CNPJ</w:t>
            </w:r>
          </w:p>
        </w:tc>
        <w:tc>
          <w:tcPr>
            <w:tcW w:w="3744" w:type="dxa"/>
            <w:tcBorders>
              <w:top w:val="single" w:sz="6" w:space="0" w:color="auto"/>
              <w:left w:val="single" w:sz="6" w:space="0" w:color="auto"/>
              <w:bottom w:val="single" w:sz="6" w:space="0" w:color="auto"/>
              <w:right w:val="single" w:sz="6" w:space="0" w:color="auto"/>
            </w:tcBorders>
          </w:tcPr>
          <w:p w:rsidR="00D95E2A" w:rsidRPr="00FA3856" w:rsidRDefault="00D95E2A" w:rsidP="00295379">
            <w:pPr>
              <w:jc w:val="both"/>
              <w:rPr>
                <w:szCs w:val="20"/>
              </w:rPr>
            </w:pPr>
            <w:r w:rsidRPr="00FA3856">
              <w:rPr>
                <w:szCs w:val="20"/>
              </w:rPr>
              <w:t>Verifica se a regra de formação do código é válida.</w:t>
            </w:r>
          </w:p>
        </w:tc>
        <w:tc>
          <w:tcPr>
            <w:tcW w:w="3978" w:type="dxa"/>
            <w:tcBorders>
              <w:top w:val="single" w:sz="6" w:space="0" w:color="auto"/>
              <w:left w:val="single" w:sz="6" w:space="0" w:color="auto"/>
              <w:bottom w:val="single" w:sz="6" w:space="0" w:color="auto"/>
              <w:right w:val="single" w:sz="6" w:space="0" w:color="auto"/>
            </w:tcBorders>
          </w:tcPr>
          <w:p w:rsidR="00D95E2A" w:rsidRPr="00FA3856" w:rsidRDefault="00D95E2A" w:rsidP="00295379">
            <w:pPr>
              <w:jc w:val="both"/>
              <w:rPr>
                <w:szCs w:val="20"/>
              </w:rPr>
            </w:pPr>
            <w:r w:rsidRPr="00FA3856">
              <w:rPr>
                <w:szCs w:val="20"/>
              </w:rPr>
              <w:t>O erro ocorre se o</w:t>
            </w:r>
            <w:r>
              <w:rPr>
                <w:szCs w:val="20"/>
              </w:rPr>
              <w:t xml:space="preserve"> cálculo dos números do DV for incorreto</w:t>
            </w:r>
            <w:r w:rsidRPr="00FA3856">
              <w:rPr>
                <w:szCs w:val="20"/>
              </w:rPr>
              <w:t>.</w:t>
            </w:r>
          </w:p>
        </w:tc>
        <w:tc>
          <w:tcPr>
            <w:tcW w:w="866" w:type="dxa"/>
            <w:tcBorders>
              <w:top w:val="single" w:sz="6" w:space="0" w:color="auto"/>
              <w:left w:val="single" w:sz="6" w:space="0" w:color="auto"/>
              <w:bottom w:val="single" w:sz="6" w:space="0" w:color="auto"/>
              <w:right w:val="single" w:sz="6" w:space="0" w:color="auto"/>
            </w:tcBorders>
          </w:tcPr>
          <w:p w:rsidR="00D95E2A" w:rsidRPr="00FA3856" w:rsidRDefault="00D95E2A" w:rsidP="00295379">
            <w:pPr>
              <w:pStyle w:val="PSDS-CorpodeTexto0"/>
              <w:jc w:val="center"/>
              <w:rPr>
                <w:rFonts w:ascii="Times New Roman" w:hAnsi="Times New Roman"/>
              </w:rPr>
            </w:pPr>
            <w:r w:rsidRPr="00FA3856">
              <w:rPr>
                <w:rFonts w:ascii="Times New Roman" w:hAnsi="Times New Roman"/>
              </w:rPr>
              <w:t>Erro</w:t>
            </w:r>
          </w:p>
        </w:tc>
      </w:tr>
      <w:tr w:rsidR="00D95E2A" w:rsidRPr="00FA3856" w:rsidTr="00295379">
        <w:trPr>
          <w:trHeight w:val="20"/>
          <w:jc w:val="center"/>
        </w:trPr>
        <w:tc>
          <w:tcPr>
            <w:tcW w:w="582" w:type="dxa"/>
            <w:tcBorders>
              <w:top w:val="single" w:sz="6" w:space="0" w:color="auto"/>
              <w:left w:val="single" w:sz="6" w:space="0" w:color="auto"/>
              <w:bottom w:val="single" w:sz="6" w:space="0" w:color="auto"/>
              <w:right w:val="single" w:sz="6" w:space="0" w:color="auto"/>
            </w:tcBorders>
          </w:tcPr>
          <w:p w:rsidR="00D95E2A" w:rsidRPr="00FA3856" w:rsidRDefault="00D95E2A" w:rsidP="00295379">
            <w:pPr>
              <w:pStyle w:val="PSDS-CorpodeTexto0"/>
              <w:numPr>
                <w:ilvl w:val="0"/>
                <w:numId w:val="11"/>
              </w:numPr>
              <w:suppressAutoHyphens w:val="0"/>
              <w:jc w:val="center"/>
              <w:rPr>
                <w:rFonts w:ascii="Times New Roman" w:hAnsi="Times New Roman"/>
              </w:rPr>
            </w:pPr>
          </w:p>
        </w:tc>
        <w:tc>
          <w:tcPr>
            <w:tcW w:w="3716" w:type="dxa"/>
            <w:tcBorders>
              <w:top w:val="single" w:sz="6" w:space="0" w:color="auto"/>
              <w:left w:val="single" w:sz="6" w:space="0" w:color="auto"/>
              <w:bottom w:val="single" w:sz="6" w:space="0" w:color="auto"/>
              <w:right w:val="single" w:sz="6" w:space="0" w:color="auto"/>
            </w:tcBorders>
            <w:vAlign w:val="center"/>
          </w:tcPr>
          <w:p w:rsidR="00D95E2A" w:rsidRPr="00FA3856" w:rsidRDefault="00D95E2A" w:rsidP="00295379">
            <w:pPr>
              <w:pStyle w:val="PSDS-CorpodeTexto0"/>
              <w:jc w:val="center"/>
              <w:rPr>
                <w:rFonts w:ascii="Times New Roman" w:hAnsi="Times New Roman"/>
              </w:rPr>
            </w:pPr>
            <w:r w:rsidRPr="00FA3856">
              <w:rPr>
                <w:rFonts w:ascii="Times New Roman" w:hAnsi="Times New Roman"/>
              </w:rPr>
              <w:t>REGRA_DATA_INI_MAIOR</w:t>
            </w:r>
          </w:p>
        </w:tc>
        <w:tc>
          <w:tcPr>
            <w:tcW w:w="3744" w:type="dxa"/>
            <w:tcBorders>
              <w:top w:val="single" w:sz="6" w:space="0" w:color="auto"/>
              <w:left w:val="single" w:sz="6" w:space="0" w:color="auto"/>
              <w:bottom w:val="single" w:sz="6" w:space="0" w:color="auto"/>
              <w:right w:val="single" w:sz="6" w:space="0" w:color="auto"/>
            </w:tcBorders>
          </w:tcPr>
          <w:p w:rsidR="00D95E2A" w:rsidRPr="00FA3856" w:rsidRDefault="00D95E2A" w:rsidP="00295379">
            <w:pPr>
              <w:jc w:val="both"/>
              <w:rPr>
                <w:szCs w:val="20"/>
              </w:rPr>
            </w:pPr>
            <w:r w:rsidRPr="00FA3856">
              <w:rPr>
                <w:szCs w:val="20"/>
              </w:rPr>
              <w:t xml:space="preserve">Verifica se o campo DT-FIN foi preenchido com a data menor que a data do campo DT_INI.  </w:t>
            </w:r>
          </w:p>
        </w:tc>
        <w:tc>
          <w:tcPr>
            <w:tcW w:w="3978" w:type="dxa"/>
            <w:tcBorders>
              <w:top w:val="single" w:sz="6" w:space="0" w:color="auto"/>
              <w:left w:val="single" w:sz="6" w:space="0" w:color="auto"/>
              <w:bottom w:val="single" w:sz="6" w:space="0" w:color="auto"/>
              <w:right w:val="single" w:sz="6" w:space="0" w:color="auto"/>
            </w:tcBorders>
          </w:tcPr>
          <w:p w:rsidR="00D95E2A" w:rsidRPr="00FA3856" w:rsidRDefault="00D95E2A" w:rsidP="00295379">
            <w:pPr>
              <w:jc w:val="both"/>
              <w:rPr>
                <w:szCs w:val="20"/>
              </w:rPr>
            </w:pPr>
            <w:r w:rsidRPr="00FA3856">
              <w:rPr>
                <w:szCs w:val="20"/>
              </w:rPr>
              <w:t xml:space="preserve"> Verifica se o campo DT-FIN foi preenchido com a data menor que a data do campo DT_INI.</w:t>
            </w:r>
          </w:p>
        </w:tc>
        <w:tc>
          <w:tcPr>
            <w:tcW w:w="866" w:type="dxa"/>
            <w:tcBorders>
              <w:top w:val="single" w:sz="6" w:space="0" w:color="auto"/>
              <w:left w:val="single" w:sz="6" w:space="0" w:color="auto"/>
              <w:bottom w:val="single" w:sz="6" w:space="0" w:color="auto"/>
              <w:right w:val="single" w:sz="6" w:space="0" w:color="auto"/>
            </w:tcBorders>
          </w:tcPr>
          <w:p w:rsidR="00D95E2A" w:rsidRPr="00FA3856" w:rsidRDefault="00D95E2A" w:rsidP="00295379">
            <w:pPr>
              <w:pStyle w:val="PSDS-CorpodeTexto0"/>
              <w:jc w:val="center"/>
              <w:rPr>
                <w:rFonts w:ascii="Times New Roman" w:hAnsi="Times New Roman"/>
              </w:rPr>
            </w:pPr>
            <w:r w:rsidRPr="00FA3856">
              <w:rPr>
                <w:rFonts w:ascii="Times New Roman" w:hAnsi="Times New Roman"/>
              </w:rPr>
              <w:t>Erro</w:t>
            </w:r>
          </w:p>
        </w:tc>
      </w:tr>
      <w:tr w:rsidR="00D95E2A" w:rsidRPr="00FA3856" w:rsidTr="00295379">
        <w:trPr>
          <w:trHeight w:val="20"/>
          <w:jc w:val="center"/>
        </w:trPr>
        <w:tc>
          <w:tcPr>
            <w:tcW w:w="582" w:type="dxa"/>
            <w:tcBorders>
              <w:top w:val="single" w:sz="6" w:space="0" w:color="auto"/>
              <w:left w:val="single" w:sz="6" w:space="0" w:color="auto"/>
              <w:bottom w:val="single" w:sz="6" w:space="0" w:color="auto"/>
              <w:right w:val="single" w:sz="6" w:space="0" w:color="auto"/>
            </w:tcBorders>
          </w:tcPr>
          <w:p w:rsidR="00D95E2A" w:rsidRPr="00FA3856" w:rsidRDefault="00D95E2A" w:rsidP="00295379">
            <w:pPr>
              <w:pStyle w:val="PSDS-CorpodeTexto0"/>
              <w:numPr>
                <w:ilvl w:val="0"/>
                <w:numId w:val="11"/>
              </w:numPr>
              <w:suppressAutoHyphens w:val="0"/>
              <w:jc w:val="center"/>
              <w:rPr>
                <w:rFonts w:ascii="Times New Roman" w:hAnsi="Times New Roman"/>
              </w:rPr>
            </w:pPr>
          </w:p>
        </w:tc>
        <w:tc>
          <w:tcPr>
            <w:tcW w:w="3716" w:type="dxa"/>
            <w:tcBorders>
              <w:top w:val="single" w:sz="6" w:space="0" w:color="auto"/>
              <w:left w:val="single" w:sz="6" w:space="0" w:color="auto"/>
              <w:bottom w:val="single" w:sz="6" w:space="0" w:color="auto"/>
              <w:right w:val="single" w:sz="6" w:space="0" w:color="auto"/>
            </w:tcBorders>
            <w:vAlign w:val="center"/>
          </w:tcPr>
          <w:p w:rsidR="00D95E2A" w:rsidRPr="00FA3856" w:rsidRDefault="00D95E2A" w:rsidP="00295379">
            <w:pPr>
              <w:pStyle w:val="PSDS-CorpodeTexto0"/>
              <w:jc w:val="center"/>
              <w:rPr>
                <w:rFonts w:ascii="Times New Roman" w:hAnsi="Times New Roman"/>
              </w:rPr>
            </w:pPr>
            <w:r w:rsidRPr="00FA3856">
              <w:rPr>
                <w:rFonts w:ascii="Times New Roman" w:hAnsi="Times New Roman"/>
              </w:rPr>
              <w:t>REGRA_ANO_DIFERENTE</w:t>
            </w:r>
          </w:p>
        </w:tc>
        <w:tc>
          <w:tcPr>
            <w:tcW w:w="3744" w:type="dxa"/>
            <w:tcBorders>
              <w:top w:val="single" w:sz="6" w:space="0" w:color="auto"/>
              <w:left w:val="single" w:sz="6" w:space="0" w:color="auto"/>
              <w:bottom w:val="single" w:sz="6" w:space="0" w:color="auto"/>
              <w:right w:val="single" w:sz="6" w:space="0" w:color="auto"/>
            </w:tcBorders>
            <w:vAlign w:val="center"/>
          </w:tcPr>
          <w:p w:rsidR="00D95E2A" w:rsidRPr="00FA3856" w:rsidRDefault="00D95E2A" w:rsidP="00295379">
            <w:pPr>
              <w:jc w:val="both"/>
              <w:rPr>
                <w:szCs w:val="20"/>
              </w:rPr>
            </w:pPr>
            <w:r w:rsidRPr="00FA3856">
              <w:rPr>
                <w:szCs w:val="20"/>
              </w:rPr>
              <w:t>Verificar se o ano é igual na data inicial e final da escrituração</w:t>
            </w:r>
          </w:p>
        </w:tc>
        <w:tc>
          <w:tcPr>
            <w:tcW w:w="3978" w:type="dxa"/>
            <w:tcBorders>
              <w:top w:val="single" w:sz="6" w:space="0" w:color="auto"/>
              <w:left w:val="single" w:sz="6" w:space="0" w:color="auto"/>
              <w:bottom w:val="single" w:sz="6" w:space="0" w:color="auto"/>
              <w:right w:val="single" w:sz="6" w:space="0" w:color="auto"/>
            </w:tcBorders>
          </w:tcPr>
          <w:p w:rsidR="00D95E2A" w:rsidRPr="00FA3856" w:rsidRDefault="00D95E2A" w:rsidP="00295379">
            <w:pPr>
              <w:jc w:val="both"/>
              <w:rPr>
                <w:szCs w:val="20"/>
              </w:rPr>
            </w:pPr>
            <w:r w:rsidRPr="00FA3856">
              <w:rPr>
                <w:szCs w:val="20"/>
              </w:rPr>
              <w:t>Verificar se o ano dos campos DT_FIN e DT_INI estão diferentes</w:t>
            </w:r>
          </w:p>
        </w:tc>
        <w:tc>
          <w:tcPr>
            <w:tcW w:w="866" w:type="dxa"/>
            <w:tcBorders>
              <w:top w:val="single" w:sz="6" w:space="0" w:color="auto"/>
              <w:left w:val="single" w:sz="6" w:space="0" w:color="auto"/>
              <w:bottom w:val="single" w:sz="6" w:space="0" w:color="auto"/>
              <w:right w:val="single" w:sz="6" w:space="0" w:color="auto"/>
            </w:tcBorders>
          </w:tcPr>
          <w:p w:rsidR="00D95E2A" w:rsidRPr="00FA3856" w:rsidRDefault="00D95E2A" w:rsidP="00295379">
            <w:pPr>
              <w:pStyle w:val="PSDS-CorpodeTexto0"/>
              <w:jc w:val="center"/>
              <w:rPr>
                <w:rFonts w:ascii="Times New Roman" w:hAnsi="Times New Roman"/>
              </w:rPr>
            </w:pPr>
            <w:r w:rsidRPr="00FA3856">
              <w:rPr>
                <w:rFonts w:ascii="Times New Roman" w:hAnsi="Times New Roman"/>
              </w:rPr>
              <w:t>Erro</w:t>
            </w:r>
          </w:p>
        </w:tc>
      </w:tr>
      <w:tr w:rsidR="00D95E2A" w:rsidRPr="00FA3856" w:rsidTr="00295379">
        <w:trPr>
          <w:trHeight w:val="20"/>
          <w:jc w:val="center"/>
        </w:trPr>
        <w:tc>
          <w:tcPr>
            <w:tcW w:w="582" w:type="dxa"/>
            <w:tcBorders>
              <w:top w:val="single" w:sz="6" w:space="0" w:color="auto"/>
              <w:left w:val="single" w:sz="6" w:space="0" w:color="auto"/>
              <w:bottom w:val="single" w:sz="6" w:space="0" w:color="auto"/>
              <w:right w:val="single" w:sz="6" w:space="0" w:color="auto"/>
            </w:tcBorders>
          </w:tcPr>
          <w:p w:rsidR="00D95E2A" w:rsidRPr="00FA3856" w:rsidRDefault="00D95E2A" w:rsidP="00295379">
            <w:pPr>
              <w:pStyle w:val="PSDS-CorpodeTexto0"/>
              <w:numPr>
                <w:ilvl w:val="0"/>
                <w:numId w:val="11"/>
              </w:numPr>
              <w:suppressAutoHyphens w:val="0"/>
              <w:jc w:val="center"/>
              <w:rPr>
                <w:rFonts w:ascii="Times New Roman" w:hAnsi="Times New Roman"/>
              </w:rPr>
            </w:pPr>
          </w:p>
        </w:tc>
        <w:tc>
          <w:tcPr>
            <w:tcW w:w="3716" w:type="dxa"/>
            <w:tcBorders>
              <w:top w:val="single" w:sz="6" w:space="0" w:color="auto"/>
              <w:left w:val="single" w:sz="6" w:space="0" w:color="auto"/>
              <w:bottom w:val="single" w:sz="6" w:space="0" w:color="auto"/>
              <w:right w:val="single" w:sz="6" w:space="0" w:color="auto"/>
            </w:tcBorders>
          </w:tcPr>
          <w:p w:rsidR="00D95E2A" w:rsidRPr="00FA3856" w:rsidRDefault="00D95E2A" w:rsidP="00295379">
            <w:pPr>
              <w:pStyle w:val="PSDS-CorpodeTexto0"/>
              <w:jc w:val="center"/>
              <w:rPr>
                <w:rFonts w:ascii="Times New Roman" w:hAnsi="Times New Roman"/>
              </w:rPr>
            </w:pPr>
            <w:r w:rsidRPr="00FA3856">
              <w:rPr>
                <w:rFonts w:ascii="Times New Roman" w:hAnsi="Times New Roman"/>
              </w:rPr>
              <w:t>REGRA_DATA_MINIMA</w:t>
            </w:r>
          </w:p>
        </w:tc>
        <w:tc>
          <w:tcPr>
            <w:tcW w:w="3744" w:type="dxa"/>
            <w:tcBorders>
              <w:top w:val="single" w:sz="6" w:space="0" w:color="auto"/>
              <w:left w:val="single" w:sz="6" w:space="0" w:color="auto"/>
              <w:bottom w:val="single" w:sz="6" w:space="0" w:color="auto"/>
              <w:right w:val="single" w:sz="6" w:space="0" w:color="auto"/>
            </w:tcBorders>
          </w:tcPr>
          <w:p w:rsidR="00D95E2A" w:rsidRPr="00FA3856" w:rsidRDefault="00D95E2A" w:rsidP="00295379">
            <w:pPr>
              <w:jc w:val="both"/>
              <w:rPr>
                <w:szCs w:val="20"/>
              </w:rPr>
            </w:pPr>
            <w:r w:rsidRPr="00FA3856">
              <w:rPr>
                <w:szCs w:val="20"/>
              </w:rPr>
              <w:t>Se no registro 0000 o campo DT_INI for menor que uma data específica.</w:t>
            </w:r>
          </w:p>
        </w:tc>
        <w:tc>
          <w:tcPr>
            <w:tcW w:w="3978" w:type="dxa"/>
            <w:tcBorders>
              <w:top w:val="single" w:sz="6" w:space="0" w:color="auto"/>
              <w:left w:val="single" w:sz="6" w:space="0" w:color="auto"/>
              <w:bottom w:val="single" w:sz="6" w:space="0" w:color="auto"/>
              <w:right w:val="single" w:sz="6" w:space="0" w:color="auto"/>
            </w:tcBorders>
          </w:tcPr>
          <w:p w:rsidR="00D95E2A" w:rsidRPr="00FA3856" w:rsidRDefault="00D95E2A" w:rsidP="00295379">
            <w:pPr>
              <w:jc w:val="both"/>
              <w:rPr>
                <w:szCs w:val="20"/>
              </w:rPr>
            </w:pPr>
            <w:r w:rsidRPr="00FA3856">
              <w:rPr>
                <w:szCs w:val="20"/>
              </w:rPr>
              <w:t>O erro ocorre quando no registro 0000 o campo DT_INI for menor que 01/01/2014.</w:t>
            </w:r>
          </w:p>
        </w:tc>
        <w:tc>
          <w:tcPr>
            <w:tcW w:w="866" w:type="dxa"/>
            <w:tcBorders>
              <w:top w:val="single" w:sz="6" w:space="0" w:color="auto"/>
              <w:left w:val="single" w:sz="6" w:space="0" w:color="auto"/>
              <w:bottom w:val="single" w:sz="6" w:space="0" w:color="auto"/>
              <w:right w:val="single" w:sz="6" w:space="0" w:color="auto"/>
            </w:tcBorders>
          </w:tcPr>
          <w:p w:rsidR="00D95E2A" w:rsidRPr="00FA3856" w:rsidRDefault="00D95E2A" w:rsidP="00295379">
            <w:pPr>
              <w:pStyle w:val="PSDS-CorpodeTexto0"/>
              <w:jc w:val="center"/>
              <w:rPr>
                <w:rFonts w:ascii="Times New Roman" w:hAnsi="Times New Roman"/>
              </w:rPr>
            </w:pPr>
            <w:r w:rsidRPr="00FA3856">
              <w:rPr>
                <w:rFonts w:ascii="Times New Roman" w:hAnsi="Times New Roman"/>
              </w:rPr>
              <w:t>Erro</w:t>
            </w:r>
          </w:p>
        </w:tc>
      </w:tr>
      <w:tr w:rsidR="00D95E2A" w:rsidRPr="00FA3856" w:rsidTr="00295379">
        <w:trPr>
          <w:trHeight w:val="20"/>
          <w:jc w:val="center"/>
        </w:trPr>
        <w:tc>
          <w:tcPr>
            <w:tcW w:w="582" w:type="dxa"/>
            <w:tcBorders>
              <w:top w:val="single" w:sz="6" w:space="0" w:color="auto"/>
              <w:left w:val="single" w:sz="6" w:space="0" w:color="auto"/>
              <w:bottom w:val="single" w:sz="6" w:space="0" w:color="auto"/>
              <w:right w:val="single" w:sz="6" w:space="0" w:color="auto"/>
            </w:tcBorders>
          </w:tcPr>
          <w:p w:rsidR="00D95E2A" w:rsidRPr="00FA3856" w:rsidRDefault="00D95E2A" w:rsidP="00295379">
            <w:pPr>
              <w:pStyle w:val="PSDS-CorpodeTexto0"/>
              <w:numPr>
                <w:ilvl w:val="0"/>
                <w:numId w:val="11"/>
              </w:numPr>
              <w:suppressAutoHyphens w:val="0"/>
              <w:jc w:val="center"/>
              <w:rPr>
                <w:rFonts w:ascii="Times New Roman" w:hAnsi="Times New Roman"/>
              </w:rPr>
            </w:pPr>
          </w:p>
        </w:tc>
        <w:tc>
          <w:tcPr>
            <w:tcW w:w="3716" w:type="dxa"/>
            <w:tcBorders>
              <w:top w:val="single" w:sz="6" w:space="0" w:color="auto"/>
              <w:left w:val="single" w:sz="6" w:space="0" w:color="auto"/>
              <w:bottom w:val="single" w:sz="6" w:space="0" w:color="auto"/>
              <w:right w:val="single" w:sz="6" w:space="0" w:color="auto"/>
            </w:tcBorders>
          </w:tcPr>
          <w:p w:rsidR="00D95E2A" w:rsidRPr="00FA3856" w:rsidRDefault="00D95E2A" w:rsidP="00295379">
            <w:pPr>
              <w:pStyle w:val="PSDS-CorpodeTexto0"/>
              <w:jc w:val="center"/>
              <w:rPr>
                <w:rFonts w:ascii="Times New Roman" w:hAnsi="Times New Roman"/>
              </w:rPr>
            </w:pPr>
            <w:r w:rsidRPr="00FA3856">
              <w:rPr>
                <w:rFonts w:ascii="Times New Roman" w:hAnsi="Times New Roman"/>
              </w:rPr>
              <w:t>REGRA_SCP_OBRIGATORIO</w:t>
            </w:r>
          </w:p>
        </w:tc>
        <w:tc>
          <w:tcPr>
            <w:tcW w:w="3744" w:type="dxa"/>
            <w:tcBorders>
              <w:top w:val="single" w:sz="6" w:space="0" w:color="auto"/>
              <w:left w:val="single" w:sz="6" w:space="0" w:color="auto"/>
              <w:bottom w:val="single" w:sz="6" w:space="0" w:color="auto"/>
              <w:right w:val="single" w:sz="6" w:space="0" w:color="auto"/>
            </w:tcBorders>
          </w:tcPr>
          <w:p w:rsidR="00D95E2A" w:rsidRPr="00FA3856" w:rsidRDefault="00D95E2A" w:rsidP="00295379">
            <w:pPr>
              <w:jc w:val="both"/>
              <w:rPr>
                <w:szCs w:val="20"/>
              </w:rPr>
            </w:pPr>
            <w:r w:rsidRPr="00FA3856">
              <w:rPr>
                <w:szCs w:val="20"/>
              </w:rPr>
              <w:t>Campo obrigatório quando ECF da SCP.</w:t>
            </w:r>
          </w:p>
        </w:tc>
        <w:tc>
          <w:tcPr>
            <w:tcW w:w="3978" w:type="dxa"/>
            <w:tcBorders>
              <w:top w:val="single" w:sz="6" w:space="0" w:color="auto"/>
              <w:left w:val="single" w:sz="6" w:space="0" w:color="auto"/>
              <w:bottom w:val="single" w:sz="6" w:space="0" w:color="auto"/>
              <w:right w:val="single" w:sz="6" w:space="0" w:color="auto"/>
            </w:tcBorders>
          </w:tcPr>
          <w:p w:rsidR="00D95E2A" w:rsidRPr="00FA3856" w:rsidRDefault="00D95E2A" w:rsidP="00295379">
            <w:pPr>
              <w:jc w:val="both"/>
              <w:rPr>
                <w:szCs w:val="20"/>
              </w:rPr>
            </w:pPr>
            <w:r w:rsidRPr="00FA3856">
              <w:rPr>
                <w:szCs w:val="20"/>
              </w:rPr>
              <w:t xml:space="preserve">O erro ocorre quando 0000.TIP_ECF for igual a 2 e 0000.COD_SCP não estiver preenchido. </w:t>
            </w:r>
          </w:p>
        </w:tc>
        <w:tc>
          <w:tcPr>
            <w:tcW w:w="866" w:type="dxa"/>
            <w:tcBorders>
              <w:top w:val="single" w:sz="6" w:space="0" w:color="auto"/>
              <w:left w:val="single" w:sz="6" w:space="0" w:color="auto"/>
              <w:bottom w:val="single" w:sz="6" w:space="0" w:color="auto"/>
              <w:right w:val="single" w:sz="6" w:space="0" w:color="auto"/>
            </w:tcBorders>
          </w:tcPr>
          <w:p w:rsidR="00D95E2A" w:rsidRPr="00FA3856" w:rsidRDefault="00D95E2A" w:rsidP="00295379">
            <w:pPr>
              <w:pStyle w:val="PSDS-CorpodeTexto0"/>
              <w:jc w:val="center"/>
              <w:rPr>
                <w:rFonts w:ascii="Times New Roman" w:hAnsi="Times New Roman"/>
              </w:rPr>
            </w:pPr>
            <w:r w:rsidRPr="00FA3856">
              <w:rPr>
                <w:rFonts w:ascii="Times New Roman" w:hAnsi="Times New Roman"/>
              </w:rPr>
              <w:t>Erro</w:t>
            </w:r>
          </w:p>
        </w:tc>
      </w:tr>
      <w:tr w:rsidR="00D95E2A" w:rsidRPr="00FA3856" w:rsidTr="00295379">
        <w:trPr>
          <w:trHeight w:val="20"/>
          <w:jc w:val="center"/>
        </w:trPr>
        <w:tc>
          <w:tcPr>
            <w:tcW w:w="582" w:type="dxa"/>
            <w:tcBorders>
              <w:top w:val="single" w:sz="6" w:space="0" w:color="auto"/>
              <w:left w:val="single" w:sz="6" w:space="0" w:color="auto"/>
              <w:bottom w:val="single" w:sz="6" w:space="0" w:color="auto"/>
              <w:right w:val="single" w:sz="6" w:space="0" w:color="auto"/>
            </w:tcBorders>
          </w:tcPr>
          <w:p w:rsidR="00D95E2A" w:rsidRPr="00FA3856" w:rsidRDefault="00D95E2A" w:rsidP="00295379">
            <w:pPr>
              <w:pStyle w:val="PSDS-CorpodeTexto0"/>
              <w:numPr>
                <w:ilvl w:val="0"/>
                <w:numId w:val="11"/>
              </w:numPr>
              <w:suppressAutoHyphens w:val="0"/>
              <w:jc w:val="center"/>
              <w:rPr>
                <w:rFonts w:ascii="Times New Roman" w:hAnsi="Times New Roman"/>
              </w:rPr>
            </w:pPr>
          </w:p>
        </w:tc>
        <w:tc>
          <w:tcPr>
            <w:tcW w:w="3716" w:type="dxa"/>
            <w:tcBorders>
              <w:top w:val="single" w:sz="6" w:space="0" w:color="auto"/>
              <w:left w:val="single" w:sz="6" w:space="0" w:color="auto"/>
              <w:bottom w:val="single" w:sz="6" w:space="0" w:color="auto"/>
              <w:right w:val="single" w:sz="6" w:space="0" w:color="auto"/>
            </w:tcBorders>
          </w:tcPr>
          <w:p w:rsidR="00D95E2A" w:rsidRPr="00FA3856" w:rsidRDefault="00D95E2A" w:rsidP="00295379">
            <w:pPr>
              <w:pStyle w:val="PSDS-CorpodeTexto0"/>
              <w:jc w:val="center"/>
              <w:rPr>
                <w:rFonts w:ascii="Times New Roman" w:hAnsi="Times New Roman"/>
              </w:rPr>
            </w:pPr>
            <w:r w:rsidRPr="00FA3856">
              <w:rPr>
                <w:rFonts w:ascii="Times New Roman" w:hAnsi="Times New Roman"/>
              </w:rPr>
              <w:t>REGRA_SCP_NAO_PREENCHER</w:t>
            </w:r>
          </w:p>
        </w:tc>
        <w:tc>
          <w:tcPr>
            <w:tcW w:w="3744" w:type="dxa"/>
            <w:tcBorders>
              <w:top w:val="single" w:sz="6" w:space="0" w:color="auto"/>
              <w:left w:val="single" w:sz="6" w:space="0" w:color="auto"/>
              <w:bottom w:val="single" w:sz="6" w:space="0" w:color="auto"/>
              <w:right w:val="single" w:sz="6" w:space="0" w:color="auto"/>
            </w:tcBorders>
          </w:tcPr>
          <w:p w:rsidR="00D95E2A" w:rsidRPr="00FA3856" w:rsidRDefault="00D95E2A" w:rsidP="00295379">
            <w:pPr>
              <w:jc w:val="both"/>
              <w:rPr>
                <w:szCs w:val="20"/>
              </w:rPr>
            </w:pPr>
            <w:r w:rsidRPr="00FA3856">
              <w:rPr>
                <w:szCs w:val="20"/>
              </w:rPr>
              <w:t>Campo não deve ser preenchido quando a empresa não possui SCP ou é sócia ostensiva.</w:t>
            </w:r>
          </w:p>
        </w:tc>
        <w:tc>
          <w:tcPr>
            <w:tcW w:w="3978" w:type="dxa"/>
            <w:tcBorders>
              <w:top w:val="single" w:sz="6" w:space="0" w:color="auto"/>
              <w:left w:val="single" w:sz="6" w:space="0" w:color="auto"/>
              <w:bottom w:val="single" w:sz="6" w:space="0" w:color="auto"/>
              <w:right w:val="single" w:sz="6" w:space="0" w:color="auto"/>
            </w:tcBorders>
          </w:tcPr>
          <w:p w:rsidR="00D95E2A" w:rsidRPr="00FA3856" w:rsidRDefault="00D95E2A" w:rsidP="00295379">
            <w:pPr>
              <w:jc w:val="both"/>
              <w:rPr>
                <w:szCs w:val="20"/>
              </w:rPr>
            </w:pPr>
            <w:r w:rsidRPr="00FA3856">
              <w:rPr>
                <w:szCs w:val="20"/>
              </w:rPr>
              <w:t>O erro ocorre quando o campo está preenchido e 0000.TIP_ECF for diferente de 2.</w:t>
            </w:r>
          </w:p>
        </w:tc>
        <w:tc>
          <w:tcPr>
            <w:tcW w:w="866" w:type="dxa"/>
            <w:tcBorders>
              <w:top w:val="single" w:sz="6" w:space="0" w:color="auto"/>
              <w:left w:val="single" w:sz="6" w:space="0" w:color="auto"/>
              <w:bottom w:val="single" w:sz="6" w:space="0" w:color="auto"/>
              <w:right w:val="single" w:sz="6" w:space="0" w:color="auto"/>
            </w:tcBorders>
          </w:tcPr>
          <w:p w:rsidR="00D95E2A" w:rsidRPr="00FA3856" w:rsidRDefault="00D95E2A" w:rsidP="00295379">
            <w:pPr>
              <w:pStyle w:val="PSDS-CorpodeTexto0"/>
              <w:jc w:val="center"/>
              <w:rPr>
                <w:rFonts w:ascii="Times New Roman" w:hAnsi="Times New Roman"/>
                <w:lang w:val="pt-PT"/>
              </w:rPr>
            </w:pPr>
            <w:r w:rsidRPr="00FA3856">
              <w:rPr>
                <w:rFonts w:ascii="Times New Roman" w:hAnsi="Times New Roman"/>
                <w:lang w:val="pt-PT"/>
              </w:rPr>
              <w:t>Erro</w:t>
            </w:r>
          </w:p>
        </w:tc>
      </w:tr>
      <w:tr w:rsidR="00D95E2A" w:rsidRPr="00FA3856" w:rsidTr="00295379">
        <w:trPr>
          <w:trHeight w:val="20"/>
          <w:jc w:val="center"/>
        </w:trPr>
        <w:tc>
          <w:tcPr>
            <w:tcW w:w="582" w:type="dxa"/>
            <w:tcBorders>
              <w:top w:val="single" w:sz="6" w:space="0" w:color="auto"/>
              <w:left w:val="single" w:sz="6" w:space="0" w:color="auto"/>
              <w:bottom w:val="single" w:sz="6" w:space="0" w:color="auto"/>
              <w:right w:val="single" w:sz="6" w:space="0" w:color="auto"/>
            </w:tcBorders>
          </w:tcPr>
          <w:p w:rsidR="00D95E2A" w:rsidRPr="00FA3856" w:rsidRDefault="00D95E2A" w:rsidP="00295379">
            <w:pPr>
              <w:pStyle w:val="PSDS-CorpodeTexto0"/>
              <w:numPr>
                <w:ilvl w:val="0"/>
                <w:numId w:val="11"/>
              </w:numPr>
              <w:suppressAutoHyphens w:val="0"/>
              <w:jc w:val="center"/>
              <w:rPr>
                <w:rFonts w:ascii="Times New Roman" w:hAnsi="Times New Roman"/>
              </w:rPr>
            </w:pPr>
          </w:p>
        </w:tc>
        <w:tc>
          <w:tcPr>
            <w:tcW w:w="3716" w:type="dxa"/>
            <w:tcBorders>
              <w:top w:val="single" w:sz="6" w:space="0" w:color="auto"/>
              <w:left w:val="single" w:sz="6" w:space="0" w:color="auto"/>
              <w:bottom w:val="single" w:sz="6" w:space="0" w:color="auto"/>
              <w:right w:val="single" w:sz="6" w:space="0" w:color="auto"/>
            </w:tcBorders>
          </w:tcPr>
          <w:p w:rsidR="00D95E2A" w:rsidRPr="00FA3856" w:rsidRDefault="00D95E2A" w:rsidP="00295379">
            <w:pPr>
              <w:pStyle w:val="PSDS-CorpodeTexto0"/>
              <w:jc w:val="center"/>
              <w:rPr>
                <w:rFonts w:ascii="Times New Roman" w:hAnsi="Times New Roman"/>
              </w:rPr>
            </w:pPr>
            <w:r w:rsidRPr="00FA3856">
              <w:rPr>
                <w:rFonts w:ascii="Times New Roman" w:hAnsi="Times New Roman"/>
                <w:lang w:val="pt-PT"/>
              </w:rPr>
              <w:t>REGRA_LEIAUTE_VIGENTE</w:t>
            </w:r>
          </w:p>
        </w:tc>
        <w:tc>
          <w:tcPr>
            <w:tcW w:w="3744" w:type="dxa"/>
            <w:tcBorders>
              <w:top w:val="single" w:sz="6" w:space="0" w:color="auto"/>
              <w:left w:val="single" w:sz="6" w:space="0" w:color="auto"/>
              <w:bottom w:val="single" w:sz="6" w:space="0" w:color="auto"/>
              <w:right w:val="single" w:sz="6" w:space="0" w:color="auto"/>
            </w:tcBorders>
          </w:tcPr>
          <w:p w:rsidR="00D95E2A" w:rsidRPr="00FA3856" w:rsidRDefault="00D95E2A" w:rsidP="00295379">
            <w:pPr>
              <w:jc w:val="both"/>
              <w:rPr>
                <w:szCs w:val="20"/>
              </w:rPr>
            </w:pPr>
            <w:r w:rsidRPr="00FA3856">
              <w:rPr>
                <w:szCs w:val="20"/>
              </w:rPr>
              <w:t>Verificar se o leiaute utilizado é válido para o período da escrituração.</w:t>
            </w:r>
          </w:p>
        </w:tc>
        <w:tc>
          <w:tcPr>
            <w:tcW w:w="3978" w:type="dxa"/>
            <w:tcBorders>
              <w:top w:val="single" w:sz="6" w:space="0" w:color="auto"/>
              <w:left w:val="single" w:sz="6" w:space="0" w:color="auto"/>
              <w:bottom w:val="single" w:sz="6" w:space="0" w:color="auto"/>
              <w:right w:val="single" w:sz="6" w:space="0" w:color="auto"/>
            </w:tcBorders>
          </w:tcPr>
          <w:p w:rsidR="00D95E2A" w:rsidRPr="00FA3856" w:rsidRDefault="00D95E2A" w:rsidP="00295379">
            <w:pPr>
              <w:pStyle w:val="PSDS-CorpodeTexto0"/>
              <w:jc w:val="both"/>
              <w:rPr>
                <w:rFonts w:ascii="Times New Roman" w:hAnsi="Times New Roman"/>
              </w:rPr>
            </w:pPr>
            <w:r w:rsidRPr="00FA3856">
              <w:rPr>
                <w:rFonts w:ascii="Times New Roman" w:hAnsi="Times New Roman"/>
              </w:rPr>
              <w:t xml:space="preserve">O erro ocorre quando o arquivo </w:t>
            </w:r>
            <w:r>
              <w:rPr>
                <w:rFonts w:ascii="Times New Roman" w:hAnsi="Times New Roman"/>
              </w:rPr>
              <w:t xml:space="preserve">é </w:t>
            </w:r>
            <w:r w:rsidRPr="00FA3856">
              <w:rPr>
                <w:rFonts w:ascii="Times New Roman" w:hAnsi="Times New Roman"/>
              </w:rPr>
              <w:t>importado e o valor do campo não é válido para o período da escrituração de acordo com “SPEDEFDIRPJ-RNG-Geral”, item “Controle de Versões"</w:t>
            </w:r>
          </w:p>
          <w:p w:rsidR="00D95E2A" w:rsidRPr="00FA3856" w:rsidRDefault="00D95E2A" w:rsidP="00295379">
            <w:pPr>
              <w:jc w:val="both"/>
              <w:rPr>
                <w:szCs w:val="20"/>
              </w:rPr>
            </w:pPr>
          </w:p>
        </w:tc>
        <w:tc>
          <w:tcPr>
            <w:tcW w:w="866" w:type="dxa"/>
            <w:tcBorders>
              <w:top w:val="single" w:sz="6" w:space="0" w:color="auto"/>
              <w:left w:val="single" w:sz="6" w:space="0" w:color="auto"/>
              <w:bottom w:val="single" w:sz="6" w:space="0" w:color="auto"/>
              <w:right w:val="single" w:sz="6" w:space="0" w:color="auto"/>
            </w:tcBorders>
          </w:tcPr>
          <w:p w:rsidR="00D95E2A" w:rsidRPr="00FA3856" w:rsidRDefault="00D95E2A" w:rsidP="00295379">
            <w:pPr>
              <w:pStyle w:val="PSDS-CorpodeTexto0"/>
              <w:jc w:val="center"/>
              <w:rPr>
                <w:rFonts w:ascii="Times New Roman" w:hAnsi="Times New Roman"/>
                <w:lang w:val="pt-PT"/>
              </w:rPr>
            </w:pPr>
            <w:r w:rsidRPr="00FA3856">
              <w:rPr>
                <w:rFonts w:ascii="Times New Roman" w:hAnsi="Times New Roman"/>
              </w:rPr>
              <w:t>Erro</w:t>
            </w:r>
          </w:p>
        </w:tc>
      </w:tr>
      <w:tr w:rsidR="00D95E2A" w:rsidRPr="00FA3856" w:rsidTr="00295379">
        <w:trPr>
          <w:trHeight w:val="20"/>
          <w:jc w:val="center"/>
        </w:trPr>
        <w:tc>
          <w:tcPr>
            <w:tcW w:w="582" w:type="dxa"/>
            <w:tcBorders>
              <w:top w:val="single" w:sz="6" w:space="0" w:color="auto"/>
              <w:left w:val="single" w:sz="6" w:space="0" w:color="auto"/>
              <w:bottom w:val="single" w:sz="6" w:space="0" w:color="auto"/>
              <w:right w:val="single" w:sz="6" w:space="0" w:color="auto"/>
            </w:tcBorders>
          </w:tcPr>
          <w:p w:rsidR="00D95E2A" w:rsidRPr="00FA3856" w:rsidRDefault="00D95E2A" w:rsidP="00295379">
            <w:pPr>
              <w:pStyle w:val="PSDS-CorpodeTexto0"/>
              <w:numPr>
                <w:ilvl w:val="0"/>
                <w:numId w:val="11"/>
              </w:numPr>
              <w:suppressAutoHyphens w:val="0"/>
              <w:jc w:val="center"/>
              <w:rPr>
                <w:rFonts w:ascii="Times New Roman" w:hAnsi="Times New Roman"/>
              </w:rPr>
            </w:pPr>
          </w:p>
        </w:tc>
        <w:tc>
          <w:tcPr>
            <w:tcW w:w="3716" w:type="dxa"/>
            <w:tcBorders>
              <w:top w:val="single" w:sz="6" w:space="0" w:color="auto"/>
              <w:left w:val="single" w:sz="6" w:space="0" w:color="auto"/>
              <w:bottom w:val="single" w:sz="6" w:space="0" w:color="auto"/>
              <w:right w:val="single" w:sz="6" w:space="0" w:color="auto"/>
            </w:tcBorders>
          </w:tcPr>
          <w:p w:rsidR="00D95E2A" w:rsidRPr="00FA3856" w:rsidRDefault="00D95E2A" w:rsidP="00295379">
            <w:pPr>
              <w:pStyle w:val="PSDS-CorpodeTexto0"/>
              <w:jc w:val="center"/>
              <w:rPr>
                <w:rFonts w:ascii="Times New Roman" w:hAnsi="Times New Roman"/>
                <w:lang w:val="pt-PT"/>
              </w:rPr>
            </w:pPr>
            <w:r w:rsidRPr="00FA3856">
              <w:rPr>
                <w:rFonts w:ascii="Times New Roman" w:hAnsi="Times New Roman"/>
                <w:lang w:eastAsia="en-US"/>
              </w:rPr>
              <w:t>REGRA_SEM_LEIAUTE</w:t>
            </w:r>
          </w:p>
        </w:tc>
        <w:tc>
          <w:tcPr>
            <w:tcW w:w="3744" w:type="dxa"/>
            <w:tcBorders>
              <w:top w:val="single" w:sz="6" w:space="0" w:color="auto"/>
              <w:left w:val="single" w:sz="6" w:space="0" w:color="auto"/>
              <w:bottom w:val="single" w:sz="6" w:space="0" w:color="auto"/>
              <w:right w:val="single" w:sz="6" w:space="0" w:color="auto"/>
            </w:tcBorders>
          </w:tcPr>
          <w:p w:rsidR="00D95E2A" w:rsidRPr="00FA3856" w:rsidRDefault="00D95E2A" w:rsidP="00295379">
            <w:pPr>
              <w:jc w:val="both"/>
              <w:rPr>
                <w:szCs w:val="20"/>
                <w:lang w:val="pt-PT"/>
              </w:rPr>
            </w:pPr>
            <w:r w:rsidRPr="00FA3856">
              <w:rPr>
                <w:szCs w:val="20"/>
                <w:lang w:val="pt-PT"/>
              </w:rPr>
              <w:t>Verifica se para o ano informado existe leiaute disponível</w:t>
            </w:r>
          </w:p>
        </w:tc>
        <w:tc>
          <w:tcPr>
            <w:tcW w:w="3978" w:type="dxa"/>
            <w:tcBorders>
              <w:top w:val="single" w:sz="6" w:space="0" w:color="auto"/>
              <w:left w:val="single" w:sz="6" w:space="0" w:color="auto"/>
              <w:bottom w:val="single" w:sz="6" w:space="0" w:color="auto"/>
              <w:right w:val="single" w:sz="6" w:space="0" w:color="auto"/>
            </w:tcBorders>
          </w:tcPr>
          <w:p w:rsidR="00D95E2A" w:rsidRPr="00FA3856" w:rsidRDefault="00D95E2A" w:rsidP="00295379">
            <w:pPr>
              <w:jc w:val="both"/>
              <w:rPr>
                <w:szCs w:val="20"/>
                <w:lang w:val="pt-PT"/>
              </w:rPr>
            </w:pPr>
            <w:r w:rsidRPr="00FA3856">
              <w:rPr>
                <w:szCs w:val="20"/>
                <w:lang w:val="pt-PT"/>
              </w:rPr>
              <w:t>O erro ocorre quando não existe o pacote “DINAMICOAAAA” disponível para o ano.</w:t>
            </w:r>
          </w:p>
        </w:tc>
        <w:tc>
          <w:tcPr>
            <w:tcW w:w="866" w:type="dxa"/>
            <w:tcBorders>
              <w:top w:val="single" w:sz="6" w:space="0" w:color="auto"/>
              <w:left w:val="single" w:sz="6" w:space="0" w:color="auto"/>
              <w:bottom w:val="single" w:sz="6" w:space="0" w:color="auto"/>
              <w:right w:val="single" w:sz="6" w:space="0" w:color="auto"/>
            </w:tcBorders>
          </w:tcPr>
          <w:p w:rsidR="00D95E2A" w:rsidRPr="00FA3856" w:rsidRDefault="00D95E2A" w:rsidP="00295379">
            <w:pPr>
              <w:pStyle w:val="PSDS-CorpodeTexto0"/>
              <w:jc w:val="center"/>
              <w:rPr>
                <w:rFonts w:ascii="Times New Roman" w:hAnsi="Times New Roman"/>
                <w:lang w:val="pt-PT"/>
              </w:rPr>
            </w:pPr>
            <w:r w:rsidRPr="00FA3856">
              <w:rPr>
                <w:rFonts w:ascii="Times New Roman" w:hAnsi="Times New Roman"/>
                <w:lang w:val="pt-PT"/>
              </w:rPr>
              <w:t>ERRO</w:t>
            </w:r>
          </w:p>
        </w:tc>
      </w:tr>
    </w:tbl>
    <w:p w:rsidR="00D95E2A" w:rsidRPr="00FA3856" w:rsidRDefault="00D95E2A" w:rsidP="00D95E2A">
      <w:pPr>
        <w:pStyle w:val="pergunta-12"/>
        <w:shd w:val="clear" w:color="auto" w:fill="FFFFFF"/>
        <w:spacing w:before="0" w:after="0"/>
        <w:ind w:firstLine="708"/>
        <w:jc w:val="both"/>
        <w:rPr>
          <w:rFonts w:ascii="Times New Roman" w:hAnsi="Times New Roman" w:cs="Times New Roman"/>
          <w:szCs w:val="20"/>
        </w:rPr>
      </w:pPr>
    </w:p>
    <w:p w:rsidR="00D95E2A" w:rsidRPr="00FA3856" w:rsidRDefault="00D95E2A" w:rsidP="00D95E2A">
      <w:pPr>
        <w:pStyle w:val="Ttulo2"/>
      </w:pPr>
      <w:bookmarkStart w:id="49" w:name="_Toc479713659"/>
      <w:r w:rsidRPr="00FA3856">
        <w:t xml:space="preserve">Seção </w:t>
      </w:r>
      <w:r>
        <w:t>3</w:t>
      </w:r>
      <w:r w:rsidRPr="00FA3856">
        <w:t>.2. Regras de Validação de Estrutura – Nível 1.2, Regras de Validação de Campos – Nível 2 e Regras de Validação de Registros – Nível 3</w:t>
      </w:r>
      <w:bookmarkEnd w:id="49"/>
    </w:p>
    <w:p w:rsidR="00D95E2A" w:rsidRPr="00FA3856" w:rsidRDefault="00D95E2A" w:rsidP="00D95E2A">
      <w:pPr>
        <w:pStyle w:val="pergunta-12"/>
        <w:shd w:val="clear" w:color="auto" w:fill="FFFFFF"/>
        <w:spacing w:before="0" w:after="0"/>
        <w:ind w:firstLine="708"/>
        <w:jc w:val="both"/>
        <w:rPr>
          <w:rFonts w:ascii="Times New Roman" w:hAnsi="Times New Roman" w:cs="Times New Roman"/>
          <w:szCs w:val="20"/>
        </w:rPr>
      </w:pPr>
    </w:p>
    <w:p w:rsidR="00D95E2A" w:rsidRPr="00FA3856" w:rsidRDefault="00D95E2A" w:rsidP="00D95E2A">
      <w:pPr>
        <w:pStyle w:val="pergunta-12"/>
        <w:shd w:val="clear" w:color="auto" w:fill="FFFFFF"/>
        <w:spacing w:before="0" w:after="0"/>
        <w:ind w:firstLine="708"/>
        <w:jc w:val="both"/>
        <w:rPr>
          <w:rFonts w:ascii="Times New Roman" w:hAnsi="Times New Roman" w:cs="Times New Roman"/>
          <w:color w:val="0000FF"/>
          <w:szCs w:val="20"/>
        </w:rPr>
      </w:pPr>
      <w:r w:rsidRPr="00FA3856">
        <w:rPr>
          <w:rFonts w:ascii="Times New Roman" w:hAnsi="Times New Roman" w:cs="Times New Roman"/>
          <w:szCs w:val="20"/>
        </w:rPr>
        <w:t>Todas essas regras de validação foram apresentadas nos próprios registros do leiaute da ECF.</w:t>
      </w:r>
      <w:r w:rsidRPr="00FA3856">
        <w:rPr>
          <w:rFonts w:ascii="Times New Roman" w:hAnsi="Times New Roman" w:cs="Times New Roman"/>
          <w:color w:val="0000FF"/>
          <w:szCs w:val="20"/>
        </w:rPr>
        <w:t xml:space="preserve"> </w:t>
      </w:r>
    </w:p>
    <w:p w:rsidR="00D95E2A" w:rsidRPr="00FA3856" w:rsidRDefault="00D95E2A" w:rsidP="00D95E2A">
      <w:pPr>
        <w:pStyle w:val="pergunta-12"/>
        <w:shd w:val="clear" w:color="auto" w:fill="FFFFFF"/>
        <w:spacing w:before="0" w:after="0"/>
        <w:ind w:firstLine="708"/>
        <w:jc w:val="both"/>
        <w:rPr>
          <w:rFonts w:ascii="Times New Roman" w:hAnsi="Times New Roman" w:cs="Times New Roman"/>
          <w:color w:val="0000FF"/>
          <w:szCs w:val="20"/>
        </w:rPr>
      </w:pPr>
    </w:p>
    <w:p w:rsidR="004E70A7" w:rsidRPr="00FA3856" w:rsidRDefault="004E70A7" w:rsidP="00EC2D50">
      <w:pPr>
        <w:pStyle w:val="Ttulo1"/>
      </w:pPr>
      <w:bookmarkStart w:id="50" w:name="_Toc479713660"/>
      <w:r w:rsidRPr="00FA3856">
        <w:lastRenderedPageBreak/>
        <w:t xml:space="preserve">Capítulo </w:t>
      </w:r>
      <w:r w:rsidR="00D95E2A">
        <w:t>4</w:t>
      </w:r>
      <w:r w:rsidRPr="00FA3856">
        <w:t xml:space="preserve"> – </w:t>
      </w:r>
      <w:r w:rsidR="0005364A" w:rsidRPr="00FA3856">
        <w:t xml:space="preserve">Blocos e </w:t>
      </w:r>
      <w:r w:rsidR="005953BF" w:rsidRPr="00FA3856">
        <w:t>Registro</w:t>
      </w:r>
      <w:r w:rsidRPr="00FA3856">
        <w:t xml:space="preserve">s da </w:t>
      </w:r>
      <w:r w:rsidR="0081506D" w:rsidRPr="00FA3856">
        <w:t>ECF</w:t>
      </w:r>
      <w:bookmarkEnd w:id="50"/>
    </w:p>
    <w:p w:rsidR="004E70A7" w:rsidRPr="00FA3856" w:rsidRDefault="004E70A7" w:rsidP="00EC2D50">
      <w:pPr>
        <w:pStyle w:val="Corpodetexto"/>
        <w:spacing w:line="240" w:lineRule="auto"/>
        <w:rPr>
          <w:rFonts w:ascii="Times New Roman" w:hAnsi="Times New Roman"/>
          <w:szCs w:val="20"/>
        </w:rPr>
      </w:pPr>
    </w:p>
    <w:p w:rsidR="008D654E" w:rsidRPr="00FA3856" w:rsidRDefault="00D95E2A" w:rsidP="00867F54">
      <w:pPr>
        <w:pStyle w:val="Ttulo2"/>
      </w:pPr>
      <w:bookmarkStart w:id="51" w:name="_Toc479713661"/>
      <w:r>
        <w:t>4</w:t>
      </w:r>
      <w:r w:rsidR="00403830" w:rsidRPr="00FA3856">
        <w:t>.1</w:t>
      </w:r>
      <w:r w:rsidR="007D1581" w:rsidRPr="00FA3856">
        <w:t>.</w:t>
      </w:r>
      <w:r w:rsidR="008D654E" w:rsidRPr="00FA3856">
        <w:t xml:space="preserve"> Blocos do Arquivo</w:t>
      </w:r>
      <w:bookmarkEnd w:id="51"/>
    </w:p>
    <w:p w:rsidR="008D654E" w:rsidRPr="00FA3856" w:rsidRDefault="008D654E" w:rsidP="00EC2D50">
      <w:pPr>
        <w:pStyle w:val="Corpodetexto"/>
        <w:spacing w:line="240" w:lineRule="auto"/>
        <w:rPr>
          <w:rFonts w:ascii="Times New Roman" w:hAnsi="Times New Roman"/>
          <w:szCs w:val="20"/>
        </w:rPr>
      </w:pPr>
    </w:p>
    <w:p w:rsidR="00FC5876" w:rsidRPr="00FA3856" w:rsidRDefault="0005364A" w:rsidP="008A084B">
      <w:pPr>
        <w:pStyle w:val="Corpodetexto"/>
        <w:spacing w:line="240" w:lineRule="auto"/>
        <w:ind w:firstLine="708"/>
        <w:rPr>
          <w:rFonts w:ascii="Times New Roman" w:hAnsi="Times New Roman"/>
          <w:szCs w:val="20"/>
        </w:rPr>
      </w:pPr>
      <w:r w:rsidRPr="00FA3856">
        <w:rPr>
          <w:rFonts w:ascii="Times New Roman" w:hAnsi="Times New Roman"/>
          <w:szCs w:val="20"/>
        </w:rPr>
        <w:t xml:space="preserve">Entre o </w:t>
      </w:r>
      <w:r w:rsidR="005953BF" w:rsidRPr="00FA3856">
        <w:rPr>
          <w:rFonts w:ascii="Times New Roman" w:hAnsi="Times New Roman"/>
          <w:szCs w:val="20"/>
        </w:rPr>
        <w:t>registro</w:t>
      </w:r>
      <w:r w:rsidRPr="00FA3856">
        <w:rPr>
          <w:rFonts w:ascii="Times New Roman" w:hAnsi="Times New Roman"/>
          <w:szCs w:val="20"/>
        </w:rPr>
        <w:t xml:space="preserve"> inicial e o </w:t>
      </w:r>
      <w:r w:rsidR="005953BF" w:rsidRPr="00FA3856">
        <w:rPr>
          <w:rFonts w:ascii="Times New Roman" w:hAnsi="Times New Roman"/>
          <w:szCs w:val="20"/>
        </w:rPr>
        <w:t>registro</w:t>
      </w:r>
      <w:r w:rsidRPr="00FA3856">
        <w:rPr>
          <w:rFonts w:ascii="Times New Roman" w:hAnsi="Times New Roman"/>
          <w:szCs w:val="20"/>
        </w:rPr>
        <w:t xml:space="preserve"> final, o arquivo digital é constituído de blocos, referindo-se cada um deles a um agrupamento de informações.</w:t>
      </w:r>
    </w:p>
    <w:p w:rsidR="008A084B" w:rsidRPr="00FA3856" w:rsidRDefault="008A084B" w:rsidP="008A084B">
      <w:pPr>
        <w:pStyle w:val="Corpodetexto"/>
        <w:spacing w:line="240" w:lineRule="auto"/>
        <w:ind w:firstLine="708"/>
        <w:rPr>
          <w:rFonts w:ascii="Times New Roman" w:hAnsi="Times New Roman"/>
          <w:szCs w:val="20"/>
        </w:rPr>
      </w:pPr>
    </w:p>
    <w:p w:rsidR="00FC5876" w:rsidRPr="00FA3856" w:rsidRDefault="0025236D" w:rsidP="0025236D">
      <w:pPr>
        <w:pStyle w:val="Corpodetexto"/>
        <w:spacing w:line="240" w:lineRule="auto"/>
        <w:ind w:firstLine="708"/>
        <w:rPr>
          <w:rFonts w:ascii="Times New Roman" w:hAnsi="Times New Roman"/>
          <w:b/>
          <w:szCs w:val="20"/>
        </w:rPr>
      </w:pPr>
      <w:r w:rsidRPr="00FA3856">
        <w:rPr>
          <w:rFonts w:ascii="Times New Roman" w:hAnsi="Times New Roman"/>
          <w:b/>
          <w:szCs w:val="20"/>
        </w:rPr>
        <w:t>Relação de Blocos:</w:t>
      </w:r>
    </w:p>
    <w:p w:rsidR="005C0EA6" w:rsidRDefault="005C0EA6" w:rsidP="00EC2D50">
      <w:pPr>
        <w:pStyle w:val="Corpodetexto2"/>
        <w:widowControl w:val="0"/>
        <w:tabs>
          <w:tab w:val="num" w:pos="720"/>
        </w:tabs>
        <w:autoSpaceDE w:val="0"/>
        <w:autoSpaceDN w:val="0"/>
        <w:adjustRightInd w:val="0"/>
        <w:ind w:firstLine="708"/>
      </w:pPr>
    </w:p>
    <w:p w:rsidR="005C0EA6" w:rsidRPr="00FA3856" w:rsidRDefault="00B35FA3" w:rsidP="008E14D3">
      <w:pPr>
        <w:pStyle w:val="Corpodetexto2"/>
        <w:widowControl w:val="0"/>
        <w:tabs>
          <w:tab w:val="num" w:pos="720"/>
        </w:tabs>
        <w:autoSpaceDE w:val="0"/>
        <w:autoSpaceDN w:val="0"/>
        <w:adjustRightInd w:val="0"/>
        <w:ind w:firstLine="708"/>
        <w:jc w:val="center"/>
      </w:pPr>
      <w:r>
        <w:object w:dxaOrig="12045" w:dyaOrig="7110">
          <v:shape id="_x0000_i1386" type="#_x0000_t75" style="width:603.75pt;height:359.25pt" o:ole="">
            <v:imagedata r:id="rId13" o:title=""/>
          </v:shape>
          <o:OLEObject Type="Link" ProgID="Excel.Sheet.12" ShapeID="_x0000_i1386" DrawAspect="Content" r:id="rId14" UpdateMode="Always">
            <o:LinkType>EnhancedMetaFile</o:LinkType>
            <o:LockedField>false</o:LockedField>
          </o:OLEObject>
        </w:object>
      </w:r>
    </w:p>
    <w:p w:rsidR="005C0EA6" w:rsidRDefault="005C0EA6" w:rsidP="00EC2D50">
      <w:pPr>
        <w:pStyle w:val="Corpodetexto2"/>
        <w:widowControl w:val="0"/>
        <w:tabs>
          <w:tab w:val="num" w:pos="720"/>
        </w:tabs>
        <w:autoSpaceDE w:val="0"/>
        <w:autoSpaceDN w:val="0"/>
        <w:adjustRightInd w:val="0"/>
        <w:ind w:firstLine="708"/>
      </w:pPr>
    </w:p>
    <w:p w:rsidR="005C0EA6" w:rsidRDefault="005C0EA6" w:rsidP="00EC2D50">
      <w:pPr>
        <w:pStyle w:val="Corpodetexto2"/>
        <w:widowControl w:val="0"/>
        <w:tabs>
          <w:tab w:val="num" w:pos="720"/>
        </w:tabs>
        <w:autoSpaceDE w:val="0"/>
        <w:autoSpaceDN w:val="0"/>
        <w:adjustRightInd w:val="0"/>
        <w:ind w:firstLine="708"/>
      </w:pPr>
    </w:p>
    <w:p w:rsidR="005C0EA6" w:rsidRDefault="005C0EA6" w:rsidP="00EC2D50">
      <w:pPr>
        <w:pStyle w:val="Corpodetexto2"/>
        <w:widowControl w:val="0"/>
        <w:tabs>
          <w:tab w:val="num" w:pos="720"/>
        </w:tabs>
        <w:autoSpaceDE w:val="0"/>
        <w:autoSpaceDN w:val="0"/>
        <w:adjustRightInd w:val="0"/>
        <w:ind w:firstLine="708"/>
      </w:pPr>
    </w:p>
    <w:p w:rsidR="005C0EA6" w:rsidRDefault="00B35FA3" w:rsidP="006236E4">
      <w:pPr>
        <w:pStyle w:val="Corpodetexto2"/>
        <w:widowControl w:val="0"/>
        <w:tabs>
          <w:tab w:val="num" w:pos="720"/>
        </w:tabs>
        <w:autoSpaceDE w:val="0"/>
        <w:autoSpaceDN w:val="0"/>
        <w:adjustRightInd w:val="0"/>
        <w:jc w:val="center"/>
      </w:pPr>
      <w:r>
        <w:object w:dxaOrig="12045" w:dyaOrig="5820">
          <v:shape id="_x0000_i1388" type="#_x0000_t75" style="width:603.75pt;height:4in" o:ole="">
            <v:imagedata r:id="rId15" o:title=""/>
          </v:shape>
          <o:OLEObject Type="Link" ProgID="Excel.Sheet.12" ShapeID="_x0000_i1388" DrawAspect="Content" r:id="rId16" UpdateMode="Always">
            <o:LinkType>EnhancedMetaFile</o:LinkType>
            <o:LockedField>false</o:LockedField>
          </o:OLEObject>
        </w:object>
      </w:r>
    </w:p>
    <w:p w:rsidR="005C0EA6" w:rsidRDefault="005C0EA6" w:rsidP="00EC2D50">
      <w:pPr>
        <w:pStyle w:val="Corpodetexto2"/>
        <w:widowControl w:val="0"/>
        <w:tabs>
          <w:tab w:val="num" w:pos="720"/>
        </w:tabs>
        <w:autoSpaceDE w:val="0"/>
        <w:autoSpaceDN w:val="0"/>
        <w:adjustRightInd w:val="0"/>
        <w:ind w:firstLine="708"/>
      </w:pPr>
    </w:p>
    <w:p w:rsidR="00FC5876" w:rsidRPr="00FA3856" w:rsidRDefault="00FA7A14" w:rsidP="00EC2D50">
      <w:pPr>
        <w:pStyle w:val="Corpodetexto2"/>
        <w:widowControl w:val="0"/>
        <w:tabs>
          <w:tab w:val="num" w:pos="720"/>
        </w:tabs>
        <w:autoSpaceDE w:val="0"/>
        <w:autoSpaceDN w:val="0"/>
        <w:adjustRightInd w:val="0"/>
        <w:ind w:firstLine="708"/>
      </w:pPr>
      <w:r w:rsidRPr="00FA3856">
        <w:t>Portanto, o</w:t>
      </w:r>
      <w:r w:rsidR="0005364A" w:rsidRPr="00FA3856">
        <w:t xml:space="preserve"> arquivo digital é composto por blocos de informa</w:t>
      </w:r>
      <w:r w:rsidRPr="00FA3856">
        <w:t>ção e cada bloco terá</w:t>
      </w:r>
      <w:r w:rsidR="0005364A" w:rsidRPr="00FA3856">
        <w:t xml:space="preserve"> um </w:t>
      </w:r>
      <w:r w:rsidR="005953BF" w:rsidRPr="00FA3856">
        <w:t>registro</w:t>
      </w:r>
      <w:r w:rsidR="0005364A" w:rsidRPr="00FA3856">
        <w:t xml:space="preserve"> de abertura, </w:t>
      </w:r>
      <w:r w:rsidR="005953BF" w:rsidRPr="00FA3856">
        <w:t>registro</w:t>
      </w:r>
      <w:r w:rsidR="0005364A" w:rsidRPr="00FA3856">
        <w:t xml:space="preserve">s de dados e </w:t>
      </w:r>
      <w:r w:rsidR="00FC5876" w:rsidRPr="00FA3856">
        <w:t xml:space="preserve">um </w:t>
      </w:r>
      <w:r w:rsidR="005953BF" w:rsidRPr="00FA3856">
        <w:t>registro</w:t>
      </w:r>
      <w:r w:rsidR="00FC5876" w:rsidRPr="00FA3856">
        <w:t xml:space="preserve"> de encerramento. </w:t>
      </w:r>
    </w:p>
    <w:p w:rsidR="00FC5876" w:rsidRPr="00FA3856" w:rsidRDefault="00FC5876" w:rsidP="00EC2D50">
      <w:pPr>
        <w:pStyle w:val="Corpodetexto2"/>
        <w:widowControl w:val="0"/>
        <w:tabs>
          <w:tab w:val="num" w:pos="720"/>
        </w:tabs>
        <w:autoSpaceDE w:val="0"/>
        <w:autoSpaceDN w:val="0"/>
        <w:adjustRightInd w:val="0"/>
      </w:pPr>
    </w:p>
    <w:p w:rsidR="00FC5876" w:rsidRPr="00FA3856" w:rsidRDefault="00FC5876" w:rsidP="00EC2D50">
      <w:pPr>
        <w:pStyle w:val="Corpodetexto2"/>
        <w:widowControl w:val="0"/>
        <w:tabs>
          <w:tab w:val="num" w:pos="720"/>
        </w:tabs>
        <w:autoSpaceDE w:val="0"/>
        <w:autoSpaceDN w:val="0"/>
        <w:adjustRightInd w:val="0"/>
      </w:pPr>
      <w:r w:rsidRPr="00FA3856">
        <w:tab/>
      </w:r>
      <w:r w:rsidR="0005364A" w:rsidRPr="00FA3856">
        <w:t xml:space="preserve">Após o </w:t>
      </w:r>
      <w:r w:rsidRPr="00FA3856">
        <w:t>b</w:t>
      </w:r>
      <w:r w:rsidR="0005364A" w:rsidRPr="00FA3856">
        <w:t xml:space="preserve">loco </w:t>
      </w:r>
      <w:r w:rsidRPr="00FA3856">
        <w:t xml:space="preserve">inicial (Bloco </w:t>
      </w:r>
      <w:r w:rsidR="0005364A" w:rsidRPr="00FA3856">
        <w:t>0</w:t>
      </w:r>
      <w:r w:rsidRPr="00FA3856">
        <w:t xml:space="preserve">), </w:t>
      </w:r>
      <w:r w:rsidR="0005364A" w:rsidRPr="00FA3856">
        <w:t>a ordem de apresen</w:t>
      </w:r>
      <w:r w:rsidRPr="00FA3856">
        <w:t>tação dos demais blocos é a sequ</w:t>
      </w:r>
      <w:r w:rsidR="0005364A" w:rsidRPr="00FA3856">
        <w:t>ência c</w:t>
      </w:r>
      <w:r w:rsidRPr="00FA3856">
        <w:t>onstante na tabela de blocos acima.</w:t>
      </w:r>
    </w:p>
    <w:p w:rsidR="00FC5876" w:rsidRPr="00FA3856" w:rsidRDefault="00FC5876" w:rsidP="00EC2D50">
      <w:pPr>
        <w:pStyle w:val="Corpodetexto2"/>
        <w:widowControl w:val="0"/>
        <w:tabs>
          <w:tab w:val="num" w:pos="720"/>
        </w:tabs>
        <w:autoSpaceDE w:val="0"/>
        <w:autoSpaceDN w:val="0"/>
        <w:adjustRightInd w:val="0"/>
      </w:pPr>
    </w:p>
    <w:p w:rsidR="00FC5876" w:rsidRPr="00FA3856" w:rsidRDefault="00FC5876" w:rsidP="00EC2D50">
      <w:pPr>
        <w:pStyle w:val="Corpodetexto2"/>
        <w:widowControl w:val="0"/>
        <w:tabs>
          <w:tab w:val="num" w:pos="720"/>
        </w:tabs>
        <w:autoSpaceDE w:val="0"/>
        <w:autoSpaceDN w:val="0"/>
        <w:adjustRightInd w:val="0"/>
      </w:pPr>
      <w:r w:rsidRPr="00FA3856">
        <w:tab/>
      </w:r>
      <w:r w:rsidR="0005364A" w:rsidRPr="00FA3856">
        <w:t xml:space="preserve">Salvo quando houver especificação em contrário, todos os blocos são obrigatórios e o respectivo </w:t>
      </w:r>
      <w:r w:rsidR="005953BF" w:rsidRPr="00FA3856">
        <w:t>registro</w:t>
      </w:r>
      <w:r w:rsidR="0005364A" w:rsidRPr="00FA3856">
        <w:t xml:space="preserve"> de abertura indicará a presença ou a ausência de dados informados.</w:t>
      </w:r>
    </w:p>
    <w:p w:rsidR="007D1581" w:rsidRPr="00FA3856" w:rsidRDefault="007D1581" w:rsidP="00EC2D50">
      <w:pPr>
        <w:pStyle w:val="Corpodetexto2"/>
        <w:widowControl w:val="0"/>
        <w:tabs>
          <w:tab w:val="num" w:pos="720"/>
        </w:tabs>
        <w:autoSpaceDE w:val="0"/>
        <w:autoSpaceDN w:val="0"/>
        <w:adjustRightInd w:val="0"/>
        <w:rPr>
          <w:b/>
          <w:bCs/>
        </w:rPr>
      </w:pPr>
    </w:p>
    <w:p w:rsidR="00737B6B" w:rsidRDefault="00737B6B">
      <w:pPr>
        <w:spacing w:after="200" w:line="276" w:lineRule="auto"/>
        <w:rPr>
          <w:b/>
          <w:bCs/>
          <w:color w:val="0000FF"/>
          <w:szCs w:val="20"/>
        </w:rPr>
      </w:pPr>
      <w:r>
        <w:rPr>
          <w:color w:val="0000FF"/>
          <w:szCs w:val="20"/>
        </w:rPr>
        <w:br w:type="page"/>
      </w:r>
    </w:p>
    <w:p w:rsidR="00FC5876" w:rsidRPr="00FA3856" w:rsidRDefault="00D95E2A" w:rsidP="00867F54">
      <w:pPr>
        <w:pStyle w:val="Ttulo2"/>
      </w:pPr>
      <w:bookmarkStart w:id="52" w:name="_Toc479713662"/>
      <w:r>
        <w:lastRenderedPageBreak/>
        <w:t>4</w:t>
      </w:r>
      <w:r w:rsidR="00FC5876" w:rsidRPr="00FA3856">
        <w:t xml:space="preserve">.2. </w:t>
      </w:r>
      <w:r w:rsidR="005F2B58" w:rsidRPr="00FA3856">
        <w:t xml:space="preserve">Tabela de </w:t>
      </w:r>
      <w:r w:rsidR="005953BF" w:rsidRPr="00FA3856">
        <w:t>Registro</w:t>
      </w:r>
      <w:r w:rsidR="005F2B58" w:rsidRPr="00FA3856">
        <w:t>s</w:t>
      </w:r>
      <w:bookmarkEnd w:id="52"/>
    </w:p>
    <w:p w:rsidR="00B3428D" w:rsidRPr="00FA3856" w:rsidRDefault="00B3428D" w:rsidP="00EC2D50">
      <w:pPr>
        <w:ind w:firstLine="708"/>
        <w:rPr>
          <w:szCs w:val="20"/>
        </w:rPr>
      </w:pPr>
    </w:p>
    <w:p w:rsidR="0005364A" w:rsidRPr="00FA3856" w:rsidRDefault="0005364A" w:rsidP="00EC2D50">
      <w:pPr>
        <w:ind w:firstLine="708"/>
        <w:rPr>
          <w:szCs w:val="20"/>
        </w:rPr>
      </w:pPr>
      <w:r w:rsidRPr="00FA3856">
        <w:rPr>
          <w:szCs w:val="20"/>
        </w:rPr>
        <w:t>O arquivo digital pode ser composto co</w:t>
      </w:r>
      <w:r w:rsidR="00FC5876" w:rsidRPr="00FA3856">
        <w:rPr>
          <w:szCs w:val="20"/>
        </w:rPr>
        <w:t xml:space="preserve">m os </w:t>
      </w:r>
      <w:r w:rsidR="005953BF" w:rsidRPr="00FA3856">
        <w:rPr>
          <w:szCs w:val="20"/>
        </w:rPr>
        <w:t>registro</w:t>
      </w:r>
      <w:r w:rsidR="00FC5876" w:rsidRPr="00FA3856">
        <w:rPr>
          <w:szCs w:val="20"/>
        </w:rPr>
        <w:t xml:space="preserve">s abaixo descritos (Tabela de </w:t>
      </w:r>
      <w:r w:rsidR="005953BF" w:rsidRPr="00FA3856">
        <w:rPr>
          <w:szCs w:val="20"/>
        </w:rPr>
        <w:t>Registro</w:t>
      </w:r>
      <w:r w:rsidR="00FC5876" w:rsidRPr="00FA3856">
        <w:rPr>
          <w:szCs w:val="20"/>
        </w:rPr>
        <w:t>s).</w:t>
      </w:r>
    </w:p>
    <w:p w:rsidR="00B3428D" w:rsidRPr="00FA3856" w:rsidRDefault="00B3428D" w:rsidP="00EC2D50">
      <w:pPr>
        <w:ind w:firstLine="708"/>
        <w:rPr>
          <w:szCs w:val="20"/>
        </w:rPr>
      </w:pPr>
    </w:p>
    <w:p w:rsidR="00B06BD7" w:rsidRPr="00FA3856" w:rsidRDefault="00B06BD7" w:rsidP="00EC2D50">
      <w:pPr>
        <w:ind w:firstLine="708"/>
        <w:rPr>
          <w:szCs w:val="20"/>
        </w:rPr>
      </w:pPr>
      <w:r w:rsidRPr="00FA3856">
        <w:rPr>
          <w:szCs w:val="20"/>
        </w:rPr>
        <w:t>Código de Obrigatoriedade:</w:t>
      </w:r>
    </w:p>
    <w:p w:rsidR="00B06BD7" w:rsidRPr="00FA3856" w:rsidRDefault="00B06BD7" w:rsidP="00EC2D50">
      <w:pPr>
        <w:ind w:firstLine="708"/>
        <w:rPr>
          <w:szCs w:val="20"/>
        </w:rPr>
      </w:pPr>
    </w:p>
    <w:p w:rsidR="00B3428D" w:rsidRPr="00FA3856" w:rsidRDefault="00B3428D" w:rsidP="00B06BD7">
      <w:pPr>
        <w:ind w:left="708" w:firstLine="708"/>
        <w:rPr>
          <w:szCs w:val="20"/>
        </w:rPr>
      </w:pPr>
      <w:r w:rsidRPr="00FA3856">
        <w:rPr>
          <w:szCs w:val="20"/>
        </w:rPr>
        <w:t>O = Obrigatório</w:t>
      </w:r>
    </w:p>
    <w:p w:rsidR="00B3428D" w:rsidRPr="00FA3856" w:rsidRDefault="00B3428D" w:rsidP="00B06BD7">
      <w:pPr>
        <w:ind w:left="708" w:firstLine="708"/>
        <w:rPr>
          <w:szCs w:val="20"/>
        </w:rPr>
      </w:pPr>
      <w:r w:rsidRPr="00FA3856">
        <w:rPr>
          <w:szCs w:val="20"/>
        </w:rPr>
        <w:t>F = Facultativo</w:t>
      </w:r>
    </w:p>
    <w:p w:rsidR="00B3428D" w:rsidRPr="00FA3856" w:rsidRDefault="00B3428D" w:rsidP="00B06BD7">
      <w:pPr>
        <w:ind w:left="708" w:firstLine="708"/>
        <w:rPr>
          <w:szCs w:val="20"/>
        </w:rPr>
      </w:pPr>
      <w:r w:rsidRPr="00FA3856">
        <w:rPr>
          <w:szCs w:val="20"/>
        </w:rPr>
        <w:t>OC = Obrigatório Condicional</w:t>
      </w:r>
    </w:p>
    <w:p w:rsidR="00574DBC" w:rsidRPr="00FA3856" w:rsidRDefault="00574DBC" w:rsidP="00B06BD7">
      <w:pPr>
        <w:ind w:left="708" w:firstLine="708"/>
        <w:rPr>
          <w:szCs w:val="20"/>
        </w:rPr>
      </w:pPr>
      <w:r w:rsidRPr="00FA3856">
        <w:rPr>
          <w:szCs w:val="20"/>
        </w:rPr>
        <w:t>FC = Facultativo Condicional</w:t>
      </w:r>
    </w:p>
    <w:p w:rsidR="00FC5876" w:rsidRPr="00FA3856" w:rsidRDefault="00B3428D" w:rsidP="00B06BD7">
      <w:pPr>
        <w:ind w:left="708" w:firstLine="708"/>
        <w:rPr>
          <w:szCs w:val="20"/>
        </w:rPr>
      </w:pPr>
      <w:r w:rsidRPr="00FA3856">
        <w:rPr>
          <w:szCs w:val="20"/>
        </w:rPr>
        <w:t>N = Não Deve Existir</w:t>
      </w:r>
    </w:p>
    <w:p w:rsidR="00A35D86" w:rsidRPr="00FA3856" w:rsidRDefault="00A35D86" w:rsidP="00EC2D50">
      <w:pPr>
        <w:ind w:firstLine="708"/>
        <w:rPr>
          <w:szCs w:val="20"/>
        </w:rPr>
      </w:pPr>
    </w:p>
    <w:p w:rsidR="00B06BD7" w:rsidRPr="00FA3856" w:rsidRDefault="00B06BD7" w:rsidP="00EC2D50">
      <w:pPr>
        <w:ind w:firstLine="708"/>
        <w:rPr>
          <w:szCs w:val="20"/>
        </w:rPr>
      </w:pPr>
      <w:r w:rsidRPr="00FA3856">
        <w:rPr>
          <w:szCs w:val="20"/>
        </w:rPr>
        <w:t>Código de Ocorrência:</w:t>
      </w:r>
    </w:p>
    <w:p w:rsidR="00B06BD7" w:rsidRPr="00FA3856" w:rsidRDefault="00B06BD7" w:rsidP="00EC2D50">
      <w:pPr>
        <w:ind w:firstLine="708"/>
        <w:rPr>
          <w:szCs w:val="20"/>
        </w:rPr>
      </w:pPr>
    </w:p>
    <w:p w:rsidR="00B06BD7" w:rsidRPr="00FA3856" w:rsidRDefault="00B06BD7" w:rsidP="00B06BD7">
      <w:pPr>
        <w:ind w:left="708" w:firstLine="708"/>
        <w:rPr>
          <w:szCs w:val="20"/>
        </w:rPr>
      </w:pPr>
      <w:r w:rsidRPr="00FA3856">
        <w:rPr>
          <w:szCs w:val="20"/>
        </w:rPr>
        <w:t>[0] = não há ocorrência</w:t>
      </w:r>
    </w:p>
    <w:p w:rsidR="00B06BD7" w:rsidRPr="00FA3856" w:rsidRDefault="00B06BD7" w:rsidP="00B06BD7">
      <w:pPr>
        <w:ind w:left="708" w:firstLine="708"/>
        <w:rPr>
          <w:szCs w:val="20"/>
        </w:rPr>
      </w:pPr>
      <w:r w:rsidRPr="00FA3856">
        <w:rPr>
          <w:szCs w:val="20"/>
        </w:rPr>
        <w:t>[1:1] = 1 ocorrência</w:t>
      </w:r>
    </w:p>
    <w:p w:rsidR="00B06BD7" w:rsidRPr="00FA3856" w:rsidRDefault="00B06BD7" w:rsidP="00B06BD7">
      <w:pPr>
        <w:ind w:left="708" w:firstLine="708"/>
        <w:rPr>
          <w:szCs w:val="20"/>
        </w:rPr>
      </w:pPr>
      <w:r w:rsidRPr="00FA3856">
        <w:rPr>
          <w:szCs w:val="20"/>
        </w:rPr>
        <w:t>[2:2] = 2 ocorrências</w:t>
      </w:r>
    </w:p>
    <w:p w:rsidR="00B06BD7" w:rsidRPr="00FA3856" w:rsidRDefault="00B06BD7" w:rsidP="00B06BD7">
      <w:pPr>
        <w:ind w:left="708" w:firstLine="708"/>
        <w:rPr>
          <w:szCs w:val="20"/>
        </w:rPr>
      </w:pPr>
      <w:r w:rsidRPr="00FA3856">
        <w:rPr>
          <w:szCs w:val="20"/>
        </w:rPr>
        <w:t>[0: 12] = de zero a 12 ocorrências</w:t>
      </w:r>
    </w:p>
    <w:p w:rsidR="00B06BD7" w:rsidRPr="00FA3856" w:rsidRDefault="00B06BD7" w:rsidP="00B06BD7">
      <w:pPr>
        <w:ind w:left="708" w:firstLine="708"/>
        <w:rPr>
          <w:szCs w:val="20"/>
        </w:rPr>
      </w:pPr>
      <w:r w:rsidRPr="00FA3856">
        <w:rPr>
          <w:szCs w:val="20"/>
        </w:rPr>
        <w:t>[1:N] = de uma até “n” ocorrências (várias ocorrências)</w:t>
      </w:r>
    </w:p>
    <w:p w:rsidR="0016182D" w:rsidRPr="00FA3856" w:rsidRDefault="0016182D" w:rsidP="00B06BD7">
      <w:pPr>
        <w:ind w:left="708" w:firstLine="708"/>
        <w:rPr>
          <w:szCs w:val="20"/>
        </w:rPr>
      </w:pPr>
      <w:r w:rsidRPr="00FA3856">
        <w:rPr>
          <w:szCs w:val="20"/>
        </w:rPr>
        <w:t>[0:N] = de zero até “n” ocorrências</w:t>
      </w:r>
    </w:p>
    <w:p w:rsidR="00A7605C" w:rsidRPr="00FA3856" w:rsidRDefault="00A7605C" w:rsidP="00A7605C">
      <w:pPr>
        <w:pStyle w:val="Corpodetexto2"/>
        <w:widowControl w:val="0"/>
        <w:tabs>
          <w:tab w:val="num" w:pos="720"/>
        </w:tabs>
        <w:autoSpaceDE w:val="0"/>
        <w:autoSpaceDN w:val="0"/>
        <w:adjustRightInd w:val="0"/>
      </w:pPr>
    </w:p>
    <w:p w:rsidR="00A7605C" w:rsidRPr="00FA3856" w:rsidRDefault="00A7605C" w:rsidP="00A7605C">
      <w:pPr>
        <w:ind w:firstLine="708"/>
        <w:rPr>
          <w:szCs w:val="20"/>
        </w:rPr>
      </w:pPr>
      <w:r w:rsidRPr="00FA3856">
        <w:rPr>
          <w:szCs w:val="20"/>
        </w:rPr>
        <w:t>Os campos dos registros, nos textos deste manual, serão representados da seguinte forma: XXXX.Nome</w:t>
      </w:r>
    </w:p>
    <w:p w:rsidR="00A7605C" w:rsidRPr="00FA3856" w:rsidRDefault="00A7605C" w:rsidP="00A7605C">
      <w:pPr>
        <w:ind w:firstLine="708"/>
        <w:rPr>
          <w:szCs w:val="20"/>
        </w:rPr>
      </w:pPr>
    </w:p>
    <w:p w:rsidR="00A7605C" w:rsidRPr="00FA3856" w:rsidRDefault="00A7605C" w:rsidP="00A7605C">
      <w:pPr>
        <w:ind w:firstLine="708"/>
        <w:rPr>
          <w:b/>
          <w:szCs w:val="20"/>
        </w:rPr>
      </w:pPr>
      <w:r w:rsidRPr="00FA3856">
        <w:rPr>
          <w:szCs w:val="20"/>
        </w:rPr>
        <w:tab/>
      </w:r>
      <w:r w:rsidRPr="00FA3856">
        <w:rPr>
          <w:b/>
          <w:szCs w:val="20"/>
        </w:rPr>
        <w:t>XXXX = Número do registro</w:t>
      </w:r>
    </w:p>
    <w:p w:rsidR="00A7605C" w:rsidRPr="00FA3856" w:rsidRDefault="00A7605C" w:rsidP="00A7605C">
      <w:pPr>
        <w:tabs>
          <w:tab w:val="left" w:pos="708"/>
          <w:tab w:val="left" w:pos="1416"/>
          <w:tab w:val="left" w:pos="2124"/>
          <w:tab w:val="left" w:pos="2832"/>
          <w:tab w:val="left" w:pos="3810"/>
        </w:tabs>
        <w:ind w:firstLine="708"/>
        <w:rPr>
          <w:b/>
          <w:szCs w:val="20"/>
        </w:rPr>
      </w:pPr>
      <w:r w:rsidRPr="00FA3856">
        <w:rPr>
          <w:b/>
          <w:szCs w:val="20"/>
        </w:rPr>
        <w:tab/>
        <w:t>Nome = Nome do campo</w:t>
      </w:r>
      <w:r w:rsidRPr="00FA3856">
        <w:rPr>
          <w:b/>
          <w:szCs w:val="20"/>
        </w:rPr>
        <w:tab/>
      </w:r>
    </w:p>
    <w:p w:rsidR="00A7605C" w:rsidRPr="00FA3856" w:rsidRDefault="00A7605C" w:rsidP="00A7605C">
      <w:pPr>
        <w:ind w:left="708" w:firstLine="708"/>
        <w:rPr>
          <w:b/>
          <w:szCs w:val="20"/>
        </w:rPr>
      </w:pPr>
      <w:r w:rsidRPr="00FA3856">
        <w:rPr>
          <w:b/>
          <w:szCs w:val="20"/>
        </w:rPr>
        <w:t xml:space="preserve">Exemplo: </w:t>
      </w:r>
      <w:r w:rsidRPr="00FA3856">
        <w:rPr>
          <w:szCs w:val="20"/>
        </w:rPr>
        <w:t>0000.SIT_ESPECIAL – Representa do campo “SIT_ESPECIAL” do registro 0000.</w:t>
      </w:r>
    </w:p>
    <w:p w:rsidR="00B06BD7" w:rsidRDefault="00B06BD7">
      <w:pPr>
        <w:rPr>
          <w:szCs w:val="20"/>
        </w:rPr>
      </w:pPr>
    </w:p>
    <w:p w:rsidR="006236E4" w:rsidRPr="006236E4" w:rsidRDefault="006236E4">
      <w:pPr>
        <w:rPr>
          <w:b/>
          <w:szCs w:val="20"/>
        </w:rPr>
      </w:pPr>
      <w:r>
        <w:rPr>
          <w:szCs w:val="20"/>
        </w:rPr>
        <w:tab/>
      </w:r>
      <w:r>
        <w:rPr>
          <w:b/>
          <w:szCs w:val="20"/>
        </w:rPr>
        <w:t xml:space="preserve"> </w:t>
      </w:r>
    </w:p>
    <w:p w:rsidR="00A86E9F" w:rsidRPr="00FA3856" w:rsidRDefault="00A86E9F" w:rsidP="008E14D3">
      <w:pPr>
        <w:jc w:val="center"/>
        <w:rPr>
          <w:szCs w:val="20"/>
        </w:rPr>
      </w:pPr>
    </w:p>
    <w:p w:rsidR="003F57D6" w:rsidRDefault="003F57D6" w:rsidP="00946AC6">
      <w:pPr>
        <w:spacing w:after="200" w:line="276" w:lineRule="auto"/>
        <w:ind w:firstLine="708"/>
        <w:rPr>
          <w:szCs w:val="20"/>
        </w:rPr>
      </w:pPr>
    </w:p>
    <w:p w:rsidR="008E14D3" w:rsidRDefault="008E14D3" w:rsidP="008E14D3">
      <w:pPr>
        <w:spacing w:after="200" w:line="276" w:lineRule="auto"/>
        <w:jc w:val="center"/>
        <w:rPr>
          <w:szCs w:val="20"/>
        </w:rPr>
      </w:pPr>
    </w:p>
    <w:p w:rsidR="008E14D3" w:rsidRDefault="008E14D3" w:rsidP="008E14D3">
      <w:pPr>
        <w:spacing w:after="200" w:line="276" w:lineRule="auto"/>
        <w:jc w:val="center"/>
        <w:rPr>
          <w:szCs w:val="20"/>
        </w:rPr>
      </w:pPr>
    </w:p>
    <w:p w:rsidR="003F57D6" w:rsidRDefault="003F57D6" w:rsidP="007A7ACB">
      <w:pPr>
        <w:spacing w:after="200" w:line="276" w:lineRule="auto"/>
        <w:jc w:val="center"/>
        <w:rPr>
          <w:szCs w:val="20"/>
        </w:rPr>
      </w:pPr>
      <w:r>
        <w:rPr>
          <w:szCs w:val="20"/>
        </w:rPr>
        <w:br w:type="page"/>
      </w:r>
    </w:p>
    <w:p w:rsidR="004F34D2" w:rsidRDefault="00B35FA3" w:rsidP="007A7ACB">
      <w:pPr>
        <w:spacing w:after="200" w:line="276" w:lineRule="auto"/>
        <w:jc w:val="center"/>
        <w:rPr>
          <w:szCs w:val="20"/>
        </w:rPr>
      </w:pPr>
      <w:r>
        <w:rPr>
          <w:szCs w:val="20"/>
        </w:rPr>
        <w:object w:dxaOrig="14910" w:dyaOrig="6435">
          <v:shape id="_x0000_i1390" type="#_x0000_t75" style="width:747.75pt;height:324.75pt" o:ole="">
            <v:imagedata r:id="rId17" o:title=""/>
          </v:shape>
          <o:OLEObject Type="Link" ProgID="Excel.Sheet.12" ShapeID="_x0000_i1390" DrawAspect="Content" r:id="rId18" UpdateMode="Always">
            <o:LinkType>EnhancedMetaFile</o:LinkType>
            <o:LockedField>false</o:LockedField>
          </o:OLEObject>
        </w:object>
      </w:r>
      <w:r w:rsidR="004F34D2">
        <w:rPr>
          <w:szCs w:val="20"/>
        </w:rPr>
        <w:br w:type="page"/>
      </w:r>
    </w:p>
    <w:p w:rsidR="004F34D2" w:rsidRDefault="00B35FA3" w:rsidP="007A7ACB">
      <w:pPr>
        <w:spacing w:after="200" w:line="276" w:lineRule="auto"/>
        <w:jc w:val="center"/>
        <w:rPr>
          <w:szCs w:val="20"/>
        </w:rPr>
      </w:pPr>
      <w:r>
        <w:rPr>
          <w:szCs w:val="20"/>
        </w:rPr>
        <w:object w:dxaOrig="14910" w:dyaOrig="9330">
          <v:shape id="_x0000_i1392" type="#_x0000_t75" style="width:747.75pt;height:468pt" o:ole="">
            <v:imagedata r:id="rId19" o:title=""/>
          </v:shape>
          <o:OLEObject Type="Link" ProgID="Excel.Sheet.12" ShapeID="_x0000_i1392" DrawAspect="Content" r:id="rId20" UpdateMode="Always">
            <o:LinkType>EnhancedMetaFile</o:LinkType>
            <o:LockedField>false</o:LockedField>
          </o:OLEObject>
        </w:object>
      </w:r>
    </w:p>
    <w:p w:rsidR="004F34D2" w:rsidRDefault="00B35FA3" w:rsidP="00D31307">
      <w:pPr>
        <w:spacing w:after="200" w:line="276" w:lineRule="auto"/>
        <w:jc w:val="center"/>
        <w:rPr>
          <w:szCs w:val="20"/>
        </w:rPr>
      </w:pPr>
      <w:r>
        <w:rPr>
          <w:szCs w:val="20"/>
        </w:rPr>
        <w:object w:dxaOrig="14910" w:dyaOrig="9330">
          <v:shape id="_x0000_i1394" type="#_x0000_t75" style="width:747.75pt;height:468pt" o:ole="">
            <v:imagedata r:id="rId21" o:title=""/>
          </v:shape>
          <o:OLEObject Type="Link" ProgID="Excel.Sheet.12" ShapeID="_x0000_i1394" DrawAspect="Content" r:id="rId22" UpdateMode="Always">
            <o:LinkType>EnhancedMetaFile</o:LinkType>
            <o:LockedField>false</o:LockedField>
          </o:OLEObject>
        </w:object>
      </w:r>
    </w:p>
    <w:p w:rsidR="004F34D2" w:rsidRDefault="00B35FA3" w:rsidP="00D31307">
      <w:pPr>
        <w:spacing w:after="200" w:line="276" w:lineRule="auto"/>
        <w:jc w:val="center"/>
        <w:rPr>
          <w:szCs w:val="20"/>
        </w:rPr>
      </w:pPr>
      <w:r>
        <w:rPr>
          <w:szCs w:val="20"/>
        </w:rPr>
        <w:object w:dxaOrig="14910" w:dyaOrig="9540">
          <v:shape id="_x0000_i1396" type="#_x0000_t75" style="width:747.75pt;height:474.75pt" o:ole="">
            <v:imagedata r:id="rId23" o:title=""/>
          </v:shape>
          <o:OLEObject Type="Link" ProgID="Excel.Sheet.12" ShapeID="_x0000_i1396" DrawAspect="Content" r:id="rId24" UpdateMode="Always">
            <o:LinkType>EnhancedMetaFile</o:LinkType>
            <o:LockedField>false</o:LockedField>
          </o:OLEObject>
        </w:object>
      </w:r>
    </w:p>
    <w:p w:rsidR="004F34D2" w:rsidRDefault="00B35FA3" w:rsidP="00D31307">
      <w:pPr>
        <w:spacing w:after="200" w:line="276" w:lineRule="auto"/>
        <w:jc w:val="center"/>
        <w:rPr>
          <w:szCs w:val="20"/>
        </w:rPr>
      </w:pPr>
      <w:r>
        <w:rPr>
          <w:szCs w:val="20"/>
        </w:rPr>
        <w:object w:dxaOrig="14910" w:dyaOrig="7380">
          <v:shape id="_x0000_i1398" type="#_x0000_t75" style="width:747.75pt;height:367.5pt" o:ole="">
            <v:imagedata r:id="rId25" o:title=""/>
          </v:shape>
          <o:OLEObject Type="Link" ProgID="Excel.Sheet.12" ShapeID="_x0000_i1398" DrawAspect="Content" r:id="rId26" UpdateMode="Always">
            <o:LinkType>EnhancedMetaFile</o:LinkType>
            <o:LockedField>false</o:LockedField>
          </o:OLEObject>
        </w:object>
      </w:r>
    </w:p>
    <w:p w:rsidR="004F34D2" w:rsidRDefault="004F34D2" w:rsidP="00EE29F4">
      <w:pPr>
        <w:spacing w:after="200" w:line="276" w:lineRule="auto"/>
        <w:jc w:val="center"/>
        <w:rPr>
          <w:szCs w:val="20"/>
        </w:rPr>
      </w:pPr>
      <w:r>
        <w:rPr>
          <w:szCs w:val="20"/>
        </w:rPr>
        <w:br w:type="page"/>
      </w:r>
    </w:p>
    <w:p w:rsidR="004F34D2" w:rsidRDefault="00B35FA3" w:rsidP="00D31307">
      <w:pPr>
        <w:spacing w:after="200" w:line="276" w:lineRule="auto"/>
        <w:jc w:val="center"/>
        <w:rPr>
          <w:szCs w:val="20"/>
        </w:rPr>
      </w:pPr>
      <w:r>
        <w:rPr>
          <w:szCs w:val="20"/>
        </w:rPr>
        <w:object w:dxaOrig="14910" w:dyaOrig="9330">
          <v:shape id="_x0000_i1400" type="#_x0000_t75" style="width:747.75pt;height:467.25pt" o:ole="">
            <v:imagedata r:id="rId27" o:title=""/>
          </v:shape>
          <o:OLEObject Type="Link" ProgID="Excel.Sheet.12" ShapeID="_x0000_i1400" DrawAspect="Content" r:id="rId28" UpdateMode="Always">
            <o:LinkType>EnhancedMetaFile</o:LinkType>
            <o:LockedField>false</o:LockedField>
          </o:OLEObject>
        </w:object>
      </w:r>
    </w:p>
    <w:p w:rsidR="004F34D2" w:rsidRDefault="00B35FA3" w:rsidP="00D31307">
      <w:pPr>
        <w:spacing w:after="200" w:line="276" w:lineRule="auto"/>
        <w:jc w:val="center"/>
        <w:rPr>
          <w:szCs w:val="20"/>
        </w:rPr>
      </w:pPr>
      <w:r>
        <w:rPr>
          <w:szCs w:val="20"/>
        </w:rPr>
        <w:object w:dxaOrig="14910" w:dyaOrig="7080">
          <v:shape id="_x0000_i1402" type="#_x0000_t75" style="width:747.75pt;height:353.25pt" o:ole="">
            <v:imagedata r:id="rId29" o:title=""/>
          </v:shape>
          <o:OLEObject Type="Link" ProgID="Excel.Sheet.12" ShapeID="_x0000_i1402" DrawAspect="Content" r:id="rId30" UpdateMode="Always">
            <o:LinkType>EnhancedMetaFile</o:LinkType>
            <o:LockedField>false</o:LockedField>
          </o:OLEObject>
        </w:object>
      </w:r>
    </w:p>
    <w:p w:rsidR="00EC79DF" w:rsidRDefault="00EC79DF" w:rsidP="00EE29F4">
      <w:pPr>
        <w:spacing w:after="200" w:line="276" w:lineRule="auto"/>
        <w:jc w:val="center"/>
        <w:rPr>
          <w:szCs w:val="20"/>
        </w:rPr>
      </w:pPr>
      <w:r>
        <w:rPr>
          <w:szCs w:val="20"/>
        </w:rPr>
        <w:br w:type="page"/>
      </w:r>
    </w:p>
    <w:p w:rsidR="00EC79DF" w:rsidRDefault="00B35FA3" w:rsidP="00D31307">
      <w:pPr>
        <w:spacing w:after="200" w:line="276" w:lineRule="auto"/>
        <w:jc w:val="center"/>
        <w:rPr>
          <w:szCs w:val="20"/>
        </w:rPr>
      </w:pPr>
      <w:r>
        <w:rPr>
          <w:szCs w:val="20"/>
        </w:rPr>
        <w:object w:dxaOrig="14910" w:dyaOrig="9045">
          <v:shape id="_x0000_i1404" type="#_x0000_t75" style="width:747.75pt;height:453.75pt" o:ole="">
            <v:imagedata r:id="rId31" o:title=""/>
          </v:shape>
          <o:OLEObject Type="Link" ProgID="Excel.Sheet.12" ShapeID="_x0000_i1404" DrawAspect="Content" r:id="rId32" UpdateMode="Always">
            <o:LinkType>EnhancedMetaFile</o:LinkType>
            <o:LockedField>false</o:LockedField>
          </o:OLEObject>
        </w:object>
      </w:r>
    </w:p>
    <w:p w:rsidR="00EC79DF" w:rsidRDefault="00EC79DF" w:rsidP="00D31307">
      <w:pPr>
        <w:spacing w:after="200" w:line="276" w:lineRule="auto"/>
        <w:jc w:val="center"/>
        <w:rPr>
          <w:szCs w:val="20"/>
        </w:rPr>
      </w:pPr>
      <w:r>
        <w:rPr>
          <w:szCs w:val="20"/>
        </w:rPr>
        <w:br w:type="page"/>
      </w:r>
      <w:r w:rsidR="00B35FA3">
        <w:rPr>
          <w:szCs w:val="20"/>
        </w:rPr>
        <w:object w:dxaOrig="14910" w:dyaOrig="8520">
          <v:shape id="_x0000_i1406" type="#_x0000_t75" style="width:747.75pt;height:424.5pt" o:ole="">
            <v:imagedata r:id="rId33" o:title=""/>
          </v:shape>
          <o:OLEObject Type="Link" ProgID="Excel.Sheet.12" ShapeID="_x0000_i1406" DrawAspect="Content" r:id="rId34" UpdateMode="Always">
            <o:LinkType>EnhancedMetaFile</o:LinkType>
            <o:LockedField>false</o:LockedField>
          </o:OLEObject>
        </w:object>
      </w:r>
    </w:p>
    <w:p w:rsidR="00EC79DF" w:rsidRDefault="00EC79DF" w:rsidP="00EE29F4">
      <w:pPr>
        <w:spacing w:after="200" w:line="276" w:lineRule="auto"/>
        <w:jc w:val="center"/>
        <w:rPr>
          <w:szCs w:val="20"/>
        </w:rPr>
      </w:pPr>
      <w:r>
        <w:rPr>
          <w:szCs w:val="20"/>
        </w:rPr>
        <w:br w:type="page"/>
      </w:r>
    </w:p>
    <w:p w:rsidR="00EC79DF" w:rsidRDefault="00B35FA3" w:rsidP="00324DDC">
      <w:pPr>
        <w:spacing w:after="200" w:line="276" w:lineRule="auto"/>
        <w:jc w:val="center"/>
        <w:rPr>
          <w:szCs w:val="20"/>
        </w:rPr>
      </w:pPr>
      <w:r>
        <w:rPr>
          <w:szCs w:val="20"/>
        </w:rPr>
        <w:object w:dxaOrig="14910" w:dyaOrig="9345">
          <v:shape id="_x0000_i1408" type="#_x0000_t75" style="width:747.75pt;height:468pt" o:ole="">
            <v:imagedata r:id="rId35" o:title=""/>
          </v:shape>
          <o:OLEObject Type="Link" ProgID="Excel.Sheet.12" ShapeID="_x0000_i1408" DrawAspect="Content" r:id="rId36" UpdateMode="Always">
            <o:LinkType>EnhancedMetaFile</o:LinkType>
            <o:LockedField>false</o:LockedField>
          </o:OLEObject>
        </w:object>
      </w:r>
    </w:p>
    <w:p w:rsidR="00EC79DF" w:rsidRDefault="00B35FA3" w:rsidP="00D31307">
      <w:pPr>
        <w:spacing w:after="200" w:line="276" w:lineRule="auto"/>
        <w:jc w:val="center"/>
        <w:rPr>
          <w:szCs w:val="20"/>
        </w:rPr>
      </w:pPr>
      <w:r>
        <w:rPr>
          <w:szCs w:val="20"/>
        </w:rPr>
        <w:object w:dxaOrig="14910" w:dyaOrig="7875">
          <v:shape id="_x0000_i1410" type="#_x0000_t75" style="width:747.75pt;height:396pt" o:ole="">
            <v:imagedata r:id="rId37" o:title=""/>
          </v:shape>
          <o:OLEObject Type="Link" ProgID="Excel.Sheet.12" ShapeID="_x0000_i1410" DrawAspect="Content" r:id="rId38" UpdateMode="Always">
            <o:LinkType>EnhancedMetaFile</o:LinkType>
            <o:LockedField>false</o:LockedField>
          </o:OLEObject>
        </w:object>
      </w:r>
    </w:p>
    <w:p w:rsidR="00324DDC" w:rsidRDefault="00324DDC" w:rsidP="00324DDC">
      <w:pPr>
        <w:spacing w:after="200" w:line="276" w:lineRule="auto"/>
        <w:jc w:val="center"/>
        <w:rPr>
          <w:szCs w:val="20"/>
        </w:rPr>
      </w:pPr>
    </w:p>
    <w:p w:rsidR="00C44EBF" w:rsidRDefault="00324DDC" w:rsidP="00324DDC">
      <w:pPr>
        <w:spacing w:after="200" w:line="276" w:lineRule="auto"/>
        <w:jc w:val="center"/>
      </w:pPr>
      <w:r>
        <w:fldChar w:fldCharType="begin"/>
      </w:r>
      <w:r>
        <w:instrText xml:space="preserve"> LINK </w:instrText>
      </w:r>
      <w:r w:rsidR="00C44EBF">
        <w:instrText xml:space="preserve">Excel.Sheet.12 C:\\Junior\\Didig_2016\\ECF\\Registros_ECF_Leiaute_3_AC2016_SIT_ESPECIAIS_2017.xlsx Registros!L158C1:L163C6 </w:instrText>
      </w:r>
      <w:r>
        <w:instrText xml:space="preserve">\a \f 4 \r </w:instrText>
      </w:r>
      <w:r>
        <w:fldChar w:fldCharType="separate"/>
      </w:r>
    </w:p>
    <w:p w:rsidR="00EC79DF" w:rsidRDefault="00324DDC" w:rsidP="00324DDC">
      <w:pPr>
        <w:spacing w:after="200" w:line="276" w:lineRule="auto"/>
        <w:jc w:val="center"/>
        <w:rPr>
          <w:szCs w:val="20"/>
        </w:rPr>
      </w:pPr>
      <w:r>
        <w:rPr>
          <w:szCs w:val="20"/>
        </w:rPr>
        <w:fldChar w:fldCharType="end"/>
      </w:r>
    </w:p>
    <w:p w:rsidR="000313EC" w:rsidRDefault="00B35FA3" w:rsidP="00D31307">
      <w:pPr>
        <w:spacing w:after="200" w:line="276" w:lineRule="auto"/>
        <w:jc w:val="center"/>
        <w:rPr>
          <w:szCs w:val="20"/>
        </w:rPr>
      </w:pPr>
      <w:r>
        <w:rPr>
          <w:szCs w:val="20"/>
        </w:rPr>
        <w:object w:dxaOrig="14910" w:dyaOrig="8445">
          <v:shape id="_x0000_i1412" type="#_x0000_t75" style="width:747.75pt;height:424.5pt" o:ole="">
            <v:imagedata r:id="rId39" o:title=""/>
          </v:shape>
          <o:OLEObject Type="Link" ProgID="Excel.Sheet.12" ShapeID="_x0000_i1412" DrawAspect="Content" r:id="rId40" UpdateMode="Always">
            <o:LinkType>EnhancedMetaFile</o:LinkType>
            <o:LockedField>false</o:LockedField>
          </o:OLEObject>
        </w:object>
      </w:r>
    </w:p>
    <w:p w:rsidR="000313EC" w:rsidRDefault="000313EC" w:rsidP="00324DDC">
      <w:pPr>
        <w:spacing w:after="200" w:line="276" w:lineRule="auto"/>
        <w:jc w:val="center"/>
        <w:rPr>
          <w:szCs w:val="20"/>
        </w:rPr>
      </w:pPr>
    </w:p>
    <w:p w:rsidR="00D31307" w:rsidRDefault="00B35FA3" w:rsidP="00324DDC">
      <w:pPr>
        <w:spacing w:after="200" w:line="276" w:lineRule="auto"/>
        <w:jc w:val="center"/>
        <w:rPr>
          <w:szCs w:val="20"/>
        </w:rPr>
      </w:pPr>
      <w:r>
        <w:rPr>
          <w:szCs w:val="20"/>
        </w:rPr>
        <w:object w:dxaOrig="14910" w:dyaOrig="9660">
          <v:shape id="_x0000_i1414" type="#_x0000_t75" style="width:747.75pt;height:482.25pt" o:ole="">
            <v:imagedata r:id="rId41" o:title=""/>
          </v:shape>
          <o:OLEObject Type="Link" ProgID="Excel.Sheet.12" ShapeID="_x0000_i1414" DrawAspect="Content" r:id="rId42" UpdateMode="Always">
            <o:LinkType>EnhancedMetaFile</o:LinkType>
            <o:LockedField>false</o:LockedField>
          </o:OLEObject>
        </w:object>
      </w:r>
    </w:p>
    <w:p w:rsidR="00E14E45" w:rsidRDefault="00B35FA3" w:rsidP="00D31307">
      <w:pPr>
        <w:spacing w:after="200" w:line="276" w:lineRule="auto"/>
        <w:jc w:val="center"/>
        <w:rPr>
          <w:szCs w:val="20"/>
        </w:rPr>
      </w:pPr>
      <w:r>
        <w:rPr>
          <w:szCs w:val="20"/>
        </w:rPr>
        <w:object w:dxaOrig="14910" w:dyaOrig="9195">
          <v:shape id="_x0000_i1416" type="#_x0000_t75" style="width:747.75pt;height:461.25pt" o:ole="">
            <v:imagedata r:id="rId43" o:title=""/>
          </v:shape>
          <o:OLEObject Type="Link" ProgID="Excel.Sheet.12" ShapeID="_x0000_i1416" DrawAspect="Content" r:id="rId44" UpdateMode="Always">
            <o:LinkType>EnhancedMetaFile</o:LinkType>
            <o:LockedField>false</o:LockedField>
          </o:OLEObject>
        </w:object>
      </w:r>
    </w:p>
    <w:p w:rsidR="00D31307" w:rsidRDefault="00B35FA3" w:rsidP="00D31307">
      <w:pPr>
        <w:spacing w:after="200" w:line="276" w:lineRule="auto"/>
        <w:jc w:val="center"/>
        <w:rPr>
          <w:szCs w:val="20"/>
        </w:rPr>
      </w:pPr>
      <w:r>
        <w:rPr>
          <w:szCs w:val="20"/>
        </w:rPr>
        <w:object w:dxaOrig="14910" w:dyaOrig="7605">
          <v:shape id="_x0000_i1418" type="#_x0000_t75" style="width:747.75pt;height:381.75pt" o:ole="">
            <v:imagedata r:id="rId45" o:title=""/>
          </v:shape>
          <o:OLEObject Type="Link" ProgID="Excel.Sheet.12" ShapeID="_x0000_i1418" DrawAspect="Content" r:id="rId46" UpdateMode="Always">
            <o:LinkType>EnhancedMetaFile</o:LinkType>
            <o:LockedField>false</o:LockedField>
          </o:OLEObject>
        </w:object>
      </w:r>
    </w:p>
    <w:p w:rsidR="00D31307" w:rsidRDefault="00D31307">
      <w:pPr>
        <w:spacing w:after="200" w:line="276" w:lineRule="auto"/>
        <w:rPr>
          <w:szCs w:val="20"/>
        </w:rPr>
      </w:pPr>
    </w:p>
    <w:p w:rsidR="00D31307" w:rsidRDefault="00D31307">
      <w:pPr>
        <w:spacing w:after="200" w:line="276" w:lineRule="auto"/>
        <w:rPr>
          <w:szCs w:val="20"/>
        </w:rPr>
      </w:pPr>
    </w:p>
    <w:p w:rsidR="00D31307" w:rsidRDefault="00D31307">
      <w:pPr>
        <w:spacing w:after="200" w:line="276" w:lineRule="auto"/>
        <w:rPr>
          <w:szCs w:val="20"/>
        </w:rPr>
      </w:pPr>
    </w:p>
    <w:p w:rsidR="00D31307" w:rsidRDefault="00D31307">
      <w:pPr>
        <w:spacing w:after="200" w:line="276" w:lineRule="auto"/>
        <w:rPr>
          <w:szCs w:val="20"/>
        </w:rPr>
      </w:pPr>
    </w:p>
    <w:p w:rsidR="00D31307" w:rsidRDefault="00B35FA3" w:rsidP="00D31307">
      <w:pPr>
        <w:spacing w:after="200" w:line="276" w:lineRule="auto"/>
        <w:jc w:val="center"/>
        <w:rPr>
          <w:szCs w:val="20"/>
        </w:rPr>
      </w:pPr>
      <w:r>
        <w:rPr>
          <w:szCs w:val="20"/>
        </w:rPr>
        <w:object w:dxaOrig="14910" w:dyaOrig="7515">
          <v:shape id="_x0000_i1420" type="#_x0000_t75" style="width:747.75pt;height:374.25pt" o:ole="">
            <v:imagedata r:id="rId47" o:title=""/>
          </v:shape>
          <o:OLEObject Type="Link" ProgID="Excel.Sheet.12" ShapeID="_x0000_i1420" DrawAspect="Content" r:id="rId48" UpdateMode="Always">
            <o:LinkType>EnhancedMetaFile</o:LinkType>
            <o:LockedField>false</o:LockedField>
          </o:OLEObject>
        </w:object>
      </w:r>
    </w:p>
    <w:p w:rsidR="00D31307" w:rsidRDefault="00D31307" w:rsidP="00946AC6">
      <w:pPr>
        <w:spacing w:after="200" w:line="276" w:lineRule="auto"/>
        <w:ind w:firstLine="708"/>
        <w:rPr>
          <w:szCs w:val="20"/>
        </w:rPr>
      </w:pPr>
    </w:p>
    <w:p w:rsidR="00D31307" w:rsidRDefault="00D31307" w:rsidP="00946AC6">
      <w:pPr>
        <w:spacing w:after="200" w:line="276" w:lineRule="auto"/>
        <w:ind w:firstLine="708"/>
        <w:rPr>
          <w:szCs w:val="20"/>
        </w:rPr>
      </w:pPr>
    </w:p>
    <w:p w:rsidR="00D31307" w:rsidRDefault="00B35FA3" w:rsidP="00D31307">
      <w:pPr>
        <w:spacing w:after="200" w:line="276" w:lineRule="auto"/>
        <w:jc w:val="center"/>
        <w:rPr>
          <w:szCs w:val="20"/>
        </w:rPr>
      </w:pPr>
      <w:r>
        <w:rPr>
          <w:szCs w:val="20"/>
        </w:rPr>
        <w:object w:dxaOrig="14910" w:dyaOrig="9240">
          <v:shape id="_x0000_i1422" type="#_x0000_t75" style="width:747.75pt;height:468.75pt" o:ole="">
            <v:imagedata r:id="rId49" o:title=""/>
          </v:shape>
          <o:OLEObject Type="Link" ProgID="Excel.Sheet.12" ShapeID="_x0000_i1422" DrawAspect="Content" r:id="rId50" UpdateMode="Always">
            <o:LinkType>EnhancedMetaFile</o:LinkType>
            <o:LockedField>false</o:LockedField>
          </o:OLEObject>
        </w:object>
      </w:r>
    </w:p>
    <w:p w:rsidR="00D31307" w:rsidRDefault="00D31307" w:rsidP="00946AC6">
      <w:pPr>
        <w:spacing w:after="200" w:line="276" w:lineRule="auto"/>
        <w:ind w:firstLine="708"/>
        <w:rPr>
          <w:szCs w:val="20"/>
        </w:rPr>
      </w:pPr>
    </w:p>
    <w:p w:rsidR="00D31307" w:rsidRDefault="00B35FA3" w:rsidP="00D31307">
      <w:pPr>
        <w:spacing w:after="200" w:line="276" w:lineRule="auto"/>
        <w:jc w:val="center"/>
        <w:rPr>
          <w:szCs w:val="20"/>
        </w:rPr>
      </w:pPr>
      <w:r>
        <w:rPr>
          <w:szCs w:val="20"/>
        </w:rPr>
        <w:object w:dxaOrig="14910" w:dyaOrig="7860">
          <v:shape id="_x0000_i1424" type="#_x0000_t75" style="width:747.75pt;height:388.5pt" o:ole="">
            <v:imagedata r:id="rId51" o:title=""/>
          </v:shape>
          <o:OLEObject Type="Link" ProgID="Excel.Sheet.12" ShapeID="_x0000_i1424" DrawAspect="Content" r:id="rId52" UpdateMode="Always">
            <o:LinkType>EnhancedMetaFile</o:LinkType>
            <o:LockedField>false</o:LockedField>
          </o:OLEObject>
        </w:object>
      </w:r>
    </w:p>
    <w:p w:rsidR="00D31307" w:rsidRDefault="00D31307" w:rsidP="00946AC6">
      <w:pPr>
        <w:spacing w:after="200" w:line="276" w:lineRule="auto"/>
        <w:ind w:firstLine="708"/>
        <w:rPr>
          <w:szCs w:val="20"/>
        </w:rPr>
      </w:pPr>
    </w:p>
    <w:p w:rsidR="00D31307" w:rsidRDefault="00D31307" w:rsidP="00946AC6">
      <w:pPr>
        <w:spacing w:after="200" w:line="276" w:lineRule="auto"/>
        <w:ind w:firstLine="708"/>
        <w:rPr>
          <w:szCs w:val="20"/>
        </w:rPr>
      </w:pPr>
    </w:p>
    <w:p w:rsidR="00D31307" w:rsidRDefault="00D31307" w:rsidP="00946AC6">
      <w:pPr>
        <w:spacing w:after="200" w:line="276" w:lineRule="auto"/>
        <w:ind w:firstLine="708"/>
        <w:rPr>
          <w:szCs w:val="20"/>
        </w:rPr>
      </w:pPr>
    </w:p>
    <w:p w:rsidR="00D31307" w:rsidRDefault="00B35FA3" w:rsidP="00D31307">
      <w:pPr>
        <w:spacing w:after="200" w:line="276" w:lineRule="auto"/>
        <w:jc w:val="center"/>
        <w:rPr>
          <w:szCs w:val="20"/>
        </w:rPr>
      </w:pPr>
      <w:r>
        <w:rPr>
          <w:szCs w:val="20"/>
        </w:rPr>
        <w:object w:dxaOrig="14910" w:dyaOrig="8805">
          <v:shape id="_x0000_i1426" type="#_x0000_t75" style="width:747.75pt;height:439.5pt" o:ole="">
            <v:imagedata r:id="rId53" o:title=""/>
          </v:shape>
          <o:OLEObject Type="Link" ProgID="Excel.Sheet.12" ShapeID="_x0000_i1426" DrawAspect="Content" r:id="rId54" UpdateMode="Always">
            <o:LinkType>EnhancedMetaFile</o:LinkType>
            <o:LockedField>false</o:LockedField>
          </o:OLEObject>
        </w:object>
      </w:r>
    </w:p>
    <w:p w:rsidR="00D31307" w:rsidRDefault="00B35FA3" w:rsidP="00D31307">
      <w:pPr>
        <w:spacing w:after="200" w:line="276" w:lineRule="auto"/>
        <w:jc w:val="center"/>
        <w:rPr>
          <w:szCs w:val="20"/>
        </w:rPr>
      </w:pPr>
      <w:r>
        <w:rPr>
          <w:szCs w:val="20"/>
        </w:rPr>
        <w:object w:dxaOrig="14910" w:dyaOrig="9300">
          <v:shape id="_x0000_i1428" type="#_x0000_t75" style="width:747.75pt;height:467.25pt" o:ole="">
            <v:imagedata r:id="rId55" o:title=""/>
          </v:shape>
          <o:OLEObject Type="Link" ProgID="Excel.Sheet.12" ShapeID="_x0000_i1428" DrawAspect="Content" r:id="rId56" UpdateMode="Always">
            <o:LinkType>EnhancedMetaFile</o:LinkType>
            <o:LockedField>false</o:LockedField>
          </o:OLEObject>
        </w:object>
      </w:r>
    </w:p>
    <w:p w:rsidR="00D31307" w:rsidRDefault="00B35FA3" w:rsidP="00D31307">
      <w:pPr>
        <w:spacing w:after="200" w:line="276" w:lineRule="auto"/>
        <w:jc w:val="center"/>
        <w:rPr>
          <w:szCs w:val="20"/>
        </w:rPr>
      </w:pPr>
      <w:r>
        <w:rPr>
          <w:szCs w:val="20"/>
        </w:rPr>
        <w:object w:dxaOrig="14910" w:dyaOrig="7095">
          <v:shape id="_x0000_i1430" type="#_x0000_t75" style="width:747.75pt;height:353.25pt" o:ole="">
            <v:imagedata r:id="rId57" o:title=""/>
          </v:shape>
          <o:OLEObject Type="Link" ProgID="Excel.Sheet.12" ShapeID="_x0000_i1430" DrawAspect="Content" r:id="rId58" UpdateMode="Always">
            <o:LinkType>EnhancedMetaFile</o:LinkType>
            <o:LockedField>false</o:LockedField>
          </o:OLEObject>
        </w:object>
      </w:r>
    </w:p>
    <w:p w:rsidR="00D31307" w:rsidRDefault="00D31307" w:rsidP="00946AC6">
      <w:pPr>
        <w:spacing w:after="200" w:line="276" w:lineRule="auto"/>
        <w:ind w:firstLine="708"/>
        <w:rPr>
          <w:szCs w:val="20"/>
        </w:rPr>
      </w:pPr>
    </w:p>
    <w:p w:rsidR="00D31307" w:rsidRDefault="00D31307" w:rsidP="00946AC6">
      <w:pPr>
        <w:spacing w:after="200" w:line="276" w:lineRule="auto"/>
        <w:ind w:firstLine="708"/>
        <w:rPr>
          <w:szCs w:val="20"/>
        </w:rPr>
      </w:pPr>
    </w:p>
    <w:p w:rsidR="00D31307" w:rsidRDefault="00D31307" w:rsidP="00946AC6">
      <w:pPr>
        <w:spacing w:after="200" w:line="276" w:lineRule="auto"/>
        <w:ind w:firstLine="708"/>
        <w:rPr>
          <w:szCs w:val="20"/>
        </w:rPr>
      </w:pPr>
    </w:p>
    <w:p w:rsidR="00D31307" w:rsidRDefault="00D31307" w:rsidP="00946AC6">
      <w:pPr>
        <w:spacing w:after="200" w:line="276" w:lineRule="auto"/>
        <w:ind w:firstLine="708"/>
        <w:rPr>
          <w:szCs w:val="20"/>
        </w:rPr>
      </w:pPr>
    </w:p>
    <w:p w:rsidR="00D31307" w:rsidRDefault="00B35FA3" w:rsidP="00D31307">
      <w:pPr>
        <w:spacing w:after="200" w:line="276" w:lineRule="auto"/>
        <w:jc w:val="center"/>
        <w:rPr>
          <w:szCs w:val="20"/>
        </w:rPr>
      </w:pPr>
      <w:r>
        <w:rPr>
          <w:szCs w:val="20"/>
        </w:rPr>
        <w:object w:dxaOrig="14910" w:dyaOrig="9045">
          <v:shape id="_x0000_i1432" type="#_x0000_t75" style="width:747.75pt;height:453pt" o:ole="">
            <v:imagedata r:id="rId59" o:title=""/>
          </v:shape>
          <o:OLEObject Type="Link" ProgID="Excel.Sheet.12" ShapeID="_x0000_i1432" DrawAspect="Content" r:id="rId60" UpdateMode="Always">
            <o:LinkType>EnhancedMetaFile</o:LinkType>
            <o:LockedField>false</o:LockedField>
          </o:OLEObject>
        </w:object>
      </w:r>
    </w:p>
    <w:p w:rsidR="00D31307" w:rsidRDefault="00B35FA3" w:rsidP="00D31307">
      <w:pPr>
        <w:spacing w:after="200" w:line="276" w:lineRule="auto"/>
        <w:jc w:val="center"/>
        <w:rPr>
          <w:szCs w:val="20"/>
        </w:rPr>
      </w:pPr>
      <w:r>
        <w:rPr>
          <w:szCs w:val="20"/>
        </w:rPr>
        <w:object w:dxaOrig="14910" w:dyaOrig="9555">
          <v:shape id="_x0000_i1434" type="#_x0000_t75" style="width:747.75pt;height:475.5pt" o:ole="">
            <v:imagedata r:id="rId61" o:title=""/>
          </v:shape>
          <o:OLEObject Type="Link" ProgID="Excel.Sheet.12" ShapeID="_x0000_i1434" DrawAspect="Content" r:id="rId62" UpdateMode="Always">
            <o:LinkType>EnhancedMetaFile</o:LinkType>
            <o:LockedField>false</o:LockedField>
          </o:OLEObject>
        </w:object>
      </w:r>
    </w:p>
    <w:p w:rsidR="00D31307" w:rsidRDefault="00B35FA3" w:rsidP="00D31307">
      <w:pPr>
        <w:spacing w:after="200" w:line="276" w:lineRule="auto"/>
        <w:jc w:val="center"/>
        <w:rPr>
          <w:szCs w:val="20"/>
        </w:rPr>
      </w:pPr>
      <w:r>
        <w:rPr>
          <w:szCs w:val="20"/>
        </w:rPr>
        <w:object w:dxaOrig="14910" w:dyaOrig="9435">
          <v:shape id="_x0000_i1436" type="#_x0000_t75" style="width:747.75pt;height:468.75pt" o:ole="">
            <v:imagedata r:id="rId63" o:title=""/>
          </v:shape>
          <o:OLEObject Type="Link" ProgID="Excel.Sheet.12" ShapeID="_x0000_i1436" DrawAspect="Content" r:id="rId64" UpdateMode="Always">
            <o:LinkType>EnhancedMetaFile</o:LinkType>
            <o:LockedField>false</o:LockedField>
          </o:OLEObject>
        </w:object>
      </w:r>
    </w:p>
    <w:p w:rsidR="00075FD6" w:rsidRPr="00FA3856" w:rsidRDefault="0005364A" w:rsidP="00946AC6">
      <w:pPr>
        <w:spacing w:after="200" w:line="276" w:lineRule="auto"/>
        <w:ind w:firstLine="708"/>
        <w:rPr>
          <w:szCs w:val="20"/>
        </w:rPr>
      </w:pPr>
      <w:r w:rsidRPr="00FA3856">
        <w:rPr>
          <w:szCs w:val="20"/>
        </w:rPr>
        <w:lastRenderedPageBreak/>
        <w:t xml:space="preserve">A ordem de apresentação dos </w:t>
      </w:r>
      <w:r w:rsidR="005953BF" w:rsidRPr="00FA3856">
        <w:rPr>
          <w:szCs w:val="20"/>
        </w:rPr>
        <w:t>registro</w:t>
      </w:r>
      <w:r w:rsidR="00946AC6" w:rsidRPr="00FA3856">
        <w:rPr>
          <w:szCs w:val="20"/>
        </w:rPr>
        <w:t>s é sequencial.</w:t>
      </w:r>
      <w:r w:rsidR="00B06BD7" w:rsidRPr="00FA3856">
        <w:rPr>
          <w:szCs w:val="20"/>
        </w:rPr>
        <w:t xml:space="preserve"> </w:t>
      </w:r>
    </w:p>
    <w:p w:rsidR="00075FD6" w:rsidRPr="00FA3856" w:rsidRDefault="0005364A" w:rsidP="005F341E">
      <w:pPr>
        <w:ind w:firstLine="708"/>
        <w:jc w:val="both"/>
        <w:rPr>
          <w:szCs w:val="20"/>
        </w:rPr>
      </w:pPr>
      <w:r w:rsidRPr="00FA3856">
        <w:rPr>
          <w:szCs w:val="20"/>
        </w:rPr>
        <w:t xml:space="preserve">São obrigatórios os </w:t>
      </w:r>
      <w:r w:rsidR="005953BF" w:rsidRPr="00FA3856">
        <w:rPr>
          <w:szCs w:val="20"/>
        </w:rPr>
        <w:t>registro</w:t>
      </w:r>
      <w:r w:rsidRPr="00FA3856">
        <w:rPr>
          <w:szCs w:val="20"/>
        </w:rPr>
        <w:t xml:space="preserve">s de abertura e de encerramento do arquivo e os </w:t>
      </w:r>
      <w:r w:rsidR="005953BF" w:rsidRPr="00FA3856">
        <w:rPr>
          <w:szCs w:val="20"/>
        </w:rPr>
        <w:t>registro</w:t>
      </w:r>
      <w:r w:rsidRPr="00FA3856">
        <w:rPr>
          <w:szCs w:val="20"/>
        </w:rPr>
        <w:t>s de abertura e encerramento de cada um dos blocos que compuserem o arquivo digital</w:t>
      </w:r>
      <w:r w:rsidR="002F1087" w:rsidRPr="00FA3856">
        <w:rPr>
          <w:szCs w:val="20"/>
        </w:rPr>
        <w:t xml:space="preserve"> relacionado na tabela de blocos. </w:t>
      </w:r>
    </w:p>
    <w:p w:rsidR="00075FD6" w:rsidRPr="00FA3856" w:rsidRDefault="00075FD6" w:rsidP="005F341E">
      <w:pPr>
        <w:ind w:firstLine="708"/>
        <w:jc w:val="both"/>
        <w:rPr>
          <w:szCs w:val="20"/>
        </w:rPr>
      </w:pPr>
    </w:p>
    <w:p w:rsidR="00075FD6" w:rsidRPr="00FA3856" w:rsidRDefault="0005364A" w:rsidP="005F341E">
      <w:pPr>
        <w:ind w:firstLine="708"/>
        <w:jc w:val="both"/>
        <w:rPr>
          <w:szCs w:val="20"/>
        </w:rPr>
      </w:pPr>
      <w:r w:rsidRPr="00FA3856">
        <w:rPr>
          <w:szCs w:val="20"/>
        </w:rPr>
        <w:t xml:space="preserve">Também são exigidos os </w:t>
      </w:r>
      <w:r w:rsidR="005953BF" w:rsidRPr="00FA3856">
        <w:rPr>
          <w:szCs w:val="20"/>
        </w:rPr>
        <w:t>registro</w:t>
      </w:r>
      <w:r w:rsidRPr="00FA3856">
        <w:rPr>
          <w:szCs w:val="20"/>
        </w:rPr>
        <w:t>s que trazem a i</w:t>
      </w:r>
      <w:r w:rsidR="002F1087" w:rsidRPr="00FA3856">
        <w:rPr>
          <w:szCs w:val="20"/>
        </w:rPr>
        <w:t>ndicação "</w:t>
      </w:r>
      <w:r w:rsidR="005953BF" w:rsidRPr="00FA3856">
        <w:rPr>
          <w:szCs w:val="20"/>
        </w:rPr>
        <w:t>registro</w:t>
      </w:r>
      <w:r w:rsidR="002F1087" w:rsidRPr="00FA3856">
        <w:rPr>
          <w:szCs w:val="20"/>
        </w:rPr>
        <w:t xml:space="preserve"> obrigatório".</w:t>
      </w:r>
      <w:r w:rsidR="00B06BD7" w:rsidRPr="00FA3856">
        <w:rPr>
          <w:szCs w:val="20"/>
        </w:rPr>
        <w:t xml:space="preserve"> </w:t>
      </w:r>
      <w:r w:rsidR="005F341E" w:rsidRPr="00FA3856">
        <w:rPr>
          <w:szCs w:val="20"/>
        </w:rPr>
        <w:t xml:space="preserve"> </w:t>
      </w:r>
    </w:p>
    <w:p w:rsidR="00075FD6" w:rsidRPr="00FA3856" w:rsidRDefault="00075FD6" w:rsidP="005F341E">
      <w:pPr>
        <w:ind w:firstLine="708"/>
        <w:jc w:val="both"/>
        <w:rPr>
          <w:szCs w:val="20"/>
        </w:rPr>
      </w:pPr>
    </w:p>
    <w:p w:rsidR="00075FD6" w:rsidRPr="00FA3856" w:rsidRDefault="0005364A" w:rsidP="005F341E">
      <w:pPr>
        <w:ind w:firstLine="708"/>
        <w:jc w:val="both"/>
        <w:rPr>
          <w:szCs w:val="20"/>
        </w:rPr>
      </w:pPr>
      <w:r w:rsidRPr="00FA3856">
        <w:rPr>
          <w:szCs w:val="20"/>
        </w:rPr>
        <w:t xml:space="preserve">Os </w:t>
      </w:r>
      <w:r w:rsidR="005953BF" w:rsidRPr="00FA3856">
        <w:rPr>
          <w:szCs w:val="20"/>
        </w:rPr>
        <w:t>registro</w:t>
      </w:r>
      <w:r w:rsidRPr="00FA3856">
        <w:rPr>
          <w:szCs w:val="20"/>
        </w:rPr>
        <w:t>s que contiverem a indicação "Ocorrência - um (por arquivo)" devem figurar u</w:t>
      </w:r>
      <w:r w:rsidR="002F1087" w:rsidRPr="00FA3856">
        <w:rPr>
          <w:szCs w:val="20"/>
        </w:rPr>
        <w:t>ma única vez no arquivo digital.</w:t>
      </w:r>
      <w:r w:rsidR="00B06BD7" w:rsidRPr="00FA3856">
        <w:rPr>
          <w:szCs w:val="20"/>
        </w:rPr>
        <w:t xml:space="preserve"> </w:t>
      </w:r>
    </w:p>
    <w:p w:rsidR="00075FD6" w:rsidRPr="00FA3856" w:rsidRDefault="00075FD6" w:rsidP="005F341E">
      <w:pPr>
        <w:ind w:firstLine="708"/>
        <w:jc w:val="both"/>
        <w:rPr>
          <w:szCs w:val="20"/>
        </w:rPr>
      </w:pPr>
    </w:p>
    <w:p w:rsidR="00075FD6" w:rsidRPr="00FA3856" w:rsidRDefault="0005364A" w:rsidP="00075FD6">
      <w:pPr>
        <w:ind w:firstLine="708"/>
        <w:jc w:val="both"/>
        <w:rPr>
          <w:szCs w:val="20"/>
        </w:rPr>
      </w:pPr>
      <w:r w:rsidRPr="00FA3856">
        <w:rPr>
          <w:szCs w:val="20"/>
        </w:rPr>
        <w:t xml:space="preserve">Os </w:t>
      </w:r>
      <w:r w:rsidR="005953BF" w:rsidRPr="00FA3856">
        <w:rPr>
          <w:szCs w:val="20"/>
        </w:rPr>
        <w:t>registro</w:t>
      </w:r>
      <w:r w:rsidRPr="00FA3856">
        <w:rPr>
          <w:szCs w:val="20"/>
        </w:rPr>
        <w:t xml:space="preserve">s que contiverem itens de tabelas, totalizações, documentos (dentre outros) podem ocorrer uma ou mais vezes no arquivo por determinado tipo de situação. </w:t>
      </w:r>
      <w:r w:rsidR="00075FD6" w:rsidRPr="00FA3856">
        <w:rPr>
          <w:szCs w:val="20"/>
        </w:rPr>
        <w:t>Ess</w:t>
      </w:r>
      <w:r w:rsidRPr="00FA3856">
        <w:rPr>
          <w:szCs w:val="20"/>
        </w:rPr>
        <w:t xml:space="preserve">es </w:t>
      </w:r>
      <w:r w:rsidR="005953BF" w:rsidRPr="00FA3856">
        <w:rPr>
          <w:szCs w:val="20"/>
        </w:rPr>
        <w:t>registro</w:t>
      </w:r>
      <w:r w:rsidRPr="00FA3856">
        <w:rPr>
          <w:szCs w:val="20"/>
        </w:rPr>
        <w:t>s trazem a indicação "Ocorrência - vários (por arquivo)", "Ocorrência - um (por período)", "Ocorrência - vários (por período), etc.".</w:t>
      </w:r>
      <w:r w:rsidR="005F341E" w:rsidRPr="00FA3856">
        <w:rPr>
          <w:szCs w:val="20"/>
        </w:rPr>
        <w:t xml:space="preserve"> </w:t>
      </w:r>
    </w:p>
    <w:p w:rsidR="00075FD6" w:rsidRPr="00FA3856" w:rsidRDefault="00075FD6" w:rsidP="00075FD6">
      <w:pPr>
        <w:ind w:firstLine="708"/>
        <w:jc w:val="both"/>
        <w:rPr>
          <w:szCs w:val="20"/>
        </w:rPr>
      </w:pPr>
    </w:p>
    <w:p w:rsidR="002F1087" w:rsidRPr="00FA3856" w:rsidRDefault="0005364A" w:rsidP="00075FD6">
      <w:pPr>
        <w:ind w:firstLine="708"/>
        <w:jc w:val="both"/>
        <w:rPr>
          <w:szCs w:val="20"/>
        </w:rPr>
      </w:pPr>
      <w:r w:rsidRPr="00FA3856">
        <w:rPr>
          <w:szCs w:val="20"/>
        </w:rPr>
        <w:t xml:space="preserve">Um </w:t>
      </w:r>
      <w:r w:rsidR="005953BF" w:rsidRPr="00FA3856">
        <w:rPr>
          <w:szCs w:val="20"/>
        </w:rPr>
        <w:t>registro</w:t>
      </w:r>
      <w:r w:rsidRPr="00FA3856">
        <w:rPr>
          <w:szCs w:val="20"/>
        </w:rPr>
        <w:t xml:space="preserve"> "Pai" pode ocorrer mais de uma vez no arquivo e traz a indicação "Ocorrência - vários por arquivo"</w:t>
      </w:r>
      <w:r w:rsidR="002F1087" w:rsidRPr="00FA3856">
        <w:rPr>
          <w:szCs w:val="20"/>
        </w:rPr>
        <w:t>. Por outro lado, u</w:t>
      </w:r>
      <w:r w:rsidRPr="00FA3856">
        <w:rPr>
          <w:szCs w:val="20"/>
        </w:rPr>
        <w:t xml:space="preserve">m </w:t>
      </w:r>
      <w:r w:rsidR="005953BF" w:rsidRPr="00FA3856">
        <w:rPr>
          <w:szCs w:val="20"/>
        </w:rPr>
        <w:t>registro</w:t>
      </w:r>
      <w:r w:rsidRPr="00FA3856">
        <w:rPr>
          <w:szCs w:val="20"/>
        </w:rPr>
        <w:t xml:space="preserve"> dependente ("Filho") detalha o </w:t>
      </w:r>
      <w:r w:rsidR="005953BF" w:rsidRPr="00FA3856">
        <w:rPr>
          <w:szCs w:val="20"/>
        </w:rPr>
        <w:t>registro</w:t>
      </w:r>
      <w:r w:rsidR="003C2C89" w:rsidRPr="00FA3856">
        <w:rPr>
          <w:szCs w:val="20"/>
        </w:rPr>
        <w:t xml:space="preserve"> principal</w:t>
      </w:r>
      <w:r w:rsidR="00075FD6" w:rsidRPr="00FA3856">
        <w:rPr>
          <w:szCs w:val="20"/>
        </w:rPr>
        <w:t xml:space="preserve"> (“Pai”)</w:t>
      </w:r>
      <w:r w:rsidR="003C2C89" w:rsidRPr="00FA3856">
        <w:rPr>
          <w:szCs w:val="20"/>
        </w:rPr>
        <w:t xml:space="preserve"> e traz a indicação:</w:t>
      </w:r>
    </w:p>
    <w:p w:rsidR="00704626" w:rsidRPr="00FA3856" w:rsidRDefault="00704626" w:rsidP="00EC2D50">
      <w:pPr>
        <w:pStyle w:val="Corpodetexto2"/>
        <w:widowControl w:val="0"/>
        <w:tabs>
          <w:tab w:val="num" w:pos="720"/>
        </w:tabs>
        <w:autoSpaceDE w:val="0"/>
        <w:autoSpaceDN w:val="0"/>
        <w:adjustRightInd w:val="0"/>
      </w:pPr>
    </w:p>
    <w:p w:rsidR="002F1087" w:rsidRPr="00FA3856" w:rsidRDefault="002F1087" w:rsidP="003C2C89">
      <w:pPr>
        <w:pStyle w:val="Corpodetexto2"/>
        <w:widowControl w:val="0"/>
        <w:autoSpaceDE w:val="0"/>
        <w:autoSpaceDN w:val="0"/>
        <w:adjustRightInd w:val="0"/>
        <w:ind w:firstLine="568"/>
      </w:pPr>
      <w:r w:rsidRPr="00FA3856">
        <w:t xml:space="preserve">- </w:t>
      </w:r>
      <w:r w:rsidR="0005364A" w:rsidRPr="00FA3856">
        <w:t>"Ocorrência -</w:t>
      </w:r>
      <w:r w:rsidR="004B7494" w:rsidRPr="00FA3856">
        <w:t xml:space="preserve"> 1:1" - </w:t>
      </w:r>
      <w:r w:rsidR="00E12240" w:rsidRPr="00FA3856">
        <w:t>S</w:t>
      </w:r>
      <w:r w:rsidR="0005364A" w:rsidRPr="00FA3856">
        <w:t xml:space="preserve">omente </w:t>
      </w:r>
      <w:r w:rsidR="004B7494" w:rsidRPr="00FA3856">
        <w:t xml:space="preserve">deverá haver um único </w:t>
      </w:r>
      <w:r w:rsidR="005953BF" w:rsidRPr="00FA3856">
        <w:t>registro</w:t>
      </w:r>
      <w:r w:rsidR="004B7494" w:rsidRPr="00FA3856">
        <w:t xml:space="preserve"> f</w:t>
      </w:r>
      <w:r w:rsidR="0005364A" w:rsidRPr="00FA3856">
        <w:t>ilho</w:t>
      </w:r>
      <w:r w:rsidR="004B7494" w:rsidRPr="00FA3856">
        <w:t xml:space="preserve"> para o respectivo </w:t>
      </w:r>
      <w:r w:rsidR="005953BF" w:rsidRPr="00FA3856">
        <w:t>registro</w:t>
      </w:r>
      <w:r w:rsidR="004B7494" w:rsidRPr="00FA3856">
        <w:t xml:space="preserve"> p</w:t>
      </w:r>
      <w:r w:rsidRPr="00FA3856">
        <w:t>ai.</w:t>
      </w:r>
    </w:p>
    <w:p w:rsidR="00704626" w:rsidRPr="00FA3856" w:rsidRDefault="00704626" w:rsidP="003C2C89">
      <w:pPr>
        <w:pStyle w:val="Corpodetexto2"/>
        <w:widowControl w:val="0"/>
        <w:autoSpaceDE w:val="0"/>
        <w:autoSpaceDN w:val="0"/>
        <w:adjustRightInd w:val="0"/>
        <w:ind w:firstLine="568"/>
      </w:pPr>
    </w:p>
    <w:p w:rsidR="002F1087" w:rsidRPr="00FA3856" w:rsidRDefault="002F1087" w:rsidP="003C2C89">
      <w:pPr>
        <w:pStyle w:val="Corpodetexto2"/>
        <w:widowControl w:val="0"/>
        <w:autoSpaceDE w:val="0"/>
        <w:autoSpaceDN w:val="0"/>
        <w:adjustRightInd w:val="0"/>
        <w:ind w:firstLine="568"/>
      </w:pPr>
      <w:r w:rsidRPr="00FA3856">
        <w:t xml:space="preserve">- </w:t>
      </w:r>
      <w:r w:rsidR="0005364A" w:rsidRPr="00FA3856">
        <w:t xml:space="preserve">"Ocorrência - 1:N" </w:t>
      </w:r>
      <w:r w:rsidR="00E12240" w:rsidRPr="00FA3856">
        <w:t>- P</w:t>
      </w:r>
      <w:r w:rsidR="004B7494" w:rsidRPr="00FA3856">
        <w:t xml:space="preserve">oderá haver vários </w:t>
      </w:r>
      <w:r w:rsidR="005953BF" w:rsidRPr="00FA3856">
        <w:t>registro</w:t>
      </w:r>
      <w:r w:rsidR="004B7494" w:rsidRPr="00FA3856">
        <w:t>s f</w:t>
      </w:r>
      <w:r w:rsidR="0005364A" w:rsidRPr="00FA3856">
        <w:t>il</w:t>
      </w:r>
      <w:r w:rsidR="004B7494" w:rsidRPr="00FA3856">
        <w:t xml:space="preserve">hos para o respectivo </w:t>
      </w:r>
      <w:r w:rsidR="005953BF" w:rsidRPr="00FA3856">
        <w:t>registro</w:t>
      </w:r>
      <w:r w:rsidR="004B7494" w:rsidRPr="00FA3856">
        <w:t xml:space="preserve"> p</w:t>
      </w:r>
      <w:r w:rsidR="0005364A" w:rsidRPr="00FA3856">
        <w:t>ai.</w:t>
      </w:r>
    </w:p>
    <w:p w:rsidR="003C2C89" w:rsidRPr="00FA3856" w:rsidRDefault="003C2C89" w:rsidP="003C2C89">
      <w:pPr>
        <w:pStyle w:val="Corpodetexto2"/>
        <w:widowControl w:val="0"/>
        <w:autoSpaceDE w:val="0"/>
        <w:autoSpaceDN w:val="0"/>
        <w:adjustRightInd w:val="0"/>
        <w:ind w:firstLine="568"/>
      </w:pPr>
    </w:p>
    <w:p w:rsidR="004B7494" w:rsidRPr="00FA3856" w:rsidRDefault="002F1087" w:rsidP="00EC2D50">
      <w:pPr>
        <w:pStyle w:val="Corpodetexto2"/>
        <w:widowControl w:val="0"/>
        <w:tabs>
          <w:tab w:val="num" w:pos="720"/>
        </w:tabs>
        <w:autoSpaceDE w:val="0"/>
        <w:autoSpaceDN w:val="0"/>
        <w:adjustRightInd w:val="0"/>
      </w:pPr>
      <w:r w:rsidRPr="00FA3856">
        <w:tab/>
      </w:r>
      <w:r w:rsidR="0005364A" w:rsidRPr="00FA3856">
        <w:t>A geração do arquivo requer</w:t>
      </w:r>
      <w:r w:rsidR="00075FD6" w:rsidRPr="00FA3856">
        <w:t xml:space="preserve"> a existência de pelo menos um r</w:t>
      </w:r>
      <w:r w:rsidR="005953BF" w:rsidRPr="00FA3856">
        <w:t>egistro</w:t>
      </w:r>
      <w:r w:rsidR="0005364A" w:rsidRPr="00FA3856">
        <w:t xml:space="preserve"> </w:t>
      </w:r>
      <w:r w:rsidR="00075FD6" w:rsidRPr="00FA3856">
        <w:t>“</w:t>
      </w:r>
      <w:r w:rsidR="0005364A" w:rsidRPr="00FA3856">
        <w:t>Pai" qu</w:t>
      </w:r>
      <w:r w:rsidR="00075FD6" w:rsidRPr="00FA3856">
        <w:t>ando houver um r</w:t>
      </w:r>
      <w:r w:rsidR="005953BF" w:rsidRPr="00FA3856">
        <w:t>egistro</w:t>
      </w:r>
      <w:r w:rsidRPr="00FA3856">
        <w:t xml:space="preserve"> </w:t>
      </w:r>
      <w:r w:rsidR="00075FD6" w:rsidRPr="00FA3856">
        <w:t>“</w:t>
      </w:r>
      <w:r w:rsidRPr="00FA3856">
        <w:t>Filho".</w:t>
      </w:r>
    </w:p>
    <w:p w:rsidR="00E12240" w:rsidRPr="00FA3856" w:rsidRDefault="00E12240">
      <w:pPr>
        <w:spacing w:after="200" w:line="276" w:lineRule="auto"/>
        <w:rPr>
          <w:b/>
          <w:bCs/>
          <w:color w:val="0000FF"/>
          <w:szCs w:val="20"/>
        </w:rPr>
      </w:pPr>
      <w:r w:rsidRPr="00FA3856">
        <w:rPr>
          <w:color w:val="0000FF"/>
          <w:szCs w:val="20"/>
        </w:rPr>
        <w:br w:type="page"/>
      </w:r>
    </w:p>
    <w:p w:rsidR="004B7494" w:rsidRPr="00FA3856" w:rsidRDefault="00D95E2A" w:rsidP="00867F54">
      <w:pPr>
        <w:pStyle w:val="Ttulo2"/>
      </w:pPr>
      <w:bookmarkStart w:id="53" w:name="_Toc479713663"/>
      <w:r>
        <w:lastRenderedPageBreak/>
        <w:t>4</w:t>
      </w:r>
      <w:r w:rsidR="004B7494" w:rsidRPr="00FA3856">
        <w:t xml:space="preserve">.3. Campos dos </w:t>
      </w:r>
      <w:r w:rsidR="005953BF" w:rsidRPr="00FA3856">
        <w:t>Registro</w:t>
      </w:r>
      <w:r w:rsidR="004B7494" w:rsidRPr="00FA3856">
        <w:t>s</w:t>
      </w:r>
      <w:bookmarkEnd w:id="53"/>
    </w:p>
    <w:p w:rsidR="00977BB3" w:rsidRPr="00FA3856" w:rsidRDefault="00977BB3" w:rsidP="002247D6">
      <w:pPr>
        <w:pStyle w:val="Corpodetexto2"/>
        <w:widowControl w:val="0"/>
        <w:tabs>
          <w:tab w:val="num" w:pos="720"/>
        </w:tabs>
        <w:autoSpaceDE w:val="0"/>
        <w:autoSpaceDN w:val="0"/>
        <w:adjustRightInd w:val="0"/>
      </w:pPr>
    </w:p>
    <w:p w:rsidR="00427F6D" w:rsidRPr="00FA3856" w:rsidRDefault="00F4140E" w:rsidP="00427F6D">
      <w:pPr>
        <w:ind w:firstLine="708"/>
        <w:rPr>
          <w:szCs w:val="20"/>
        </w:rPr>
      </w:pPr>
      <w:r w:rsidRPr="00FA3856">
        <w:rPr>
          <w:szCs w:val="20"/>
        </w:rPr>
        <w:t>Os campos dos registros, nos textos deste manual, serão representados da seguinte forma: XXXX.Nome</w:t>
      </w:r>
    </w:p>
    <w:p w:rsidR="00F4140E" w:rsidRPr="00FA3856" w:rsidRDefault="00F4140E" w:rsidP="00F4140E">
      <w:pPr>
        <w:ind w:firstLine="708"/>
        <w:rPr>
          <w:b/>
          <w:szCs w:val="20"/>
        </w:rPr>
      </w:pPr>
      <w:r w:rsidRPr="00FA3856">
        <w:rPr>
          <w:szCs w:val="20"/>
        </w:rPr>
        <w:tab/>
      </w:r>
      <w:r w:rsidRPr="00FA3856">
        <w:rPr>
          <w:b/>
          <w:szCs w:val="20"/>
        </w:rPr>
        <w:t>XXXX = Número do registro</w:t>
      </w:r>
    </w:p>
    <w:p w:rsidR="00F4140E" w:rsidRPr="00FA3856" w:rsidRDefault="00F4140E" w:rsidP="00427F6D">
      <w:pPr>
        <w:tabs>
          <w:tab w:val="left" w:pos="708"/>
          <w:tab w:val="left" w:pos="1416"/>
          <w:tab w:val="left" w:pos="2124"/>
          <w:tab w:val="left" w:pos="2832"/>
          <w:tab w:val="left" w:pos="3810"/>
        </w:tabs>
        <w:ind w:firstLine="708"/>
        <w:rPr>
          <w:b/>
          <w:szCs w:val="20"/>
        </w:rPr>
      </w:pPr>
      <w:r w:rsidRPr="00FA3856">
        <w:rPr>
          <w:b/>
          <w:szCs w:val="20"/>
        </w:rPr>
        <w:tab/>
        <w:t>Nome = Nome do campo</w:t>
      </w:r>
      <w:r w:rsidR="00427F6D" w:rsidRPr="00FA3856">
        <w:rPr>
          <w:b/>
          <w:szCs w:val="20"/>
        </w:rPr>
        <w:tab/>
      </w:r>
    </w:p>
    <w:p w:rsidR="00F4140E" w:rsidRPr="00FA3856" w:rsidRDefault="00F4140E" w:rsidP="00F4140E">
      <w:pPr>
        <w:ind w:left="708" w:firstLine="708"/>
        <w:rPr>
          <w:b/>
          <w:szCs w:val="20"/>
        </w:rPr>
      </w:pPr>
      <w:r w:rsidRPr="00FA3856">
        <w:rPr>
          <w:b/>
          <w:szCs w:val="20"/>
        </w:rPr>
        <w:t xml:space="preserve">Exemplo: </w:t>
      </w:r>
      <w:r w:rsidRPr="00FA3856">
        <w:rPr>
          <w:szCs w:val="20"/>
        </w:rPr>
        <w:t>0000.SIT_ESPECIAL – Representa do campo “SIT_ESPECIAL” do registro 0000.</w:t>
      </w:r>
    </w:p>
    <w:p w:rsidR="00F4140E" w:rsidRPr="00FA3856" w:rsidRDefault="00F4140E" w:rsidP="002247D6">
      <w:pPr>
        <w:pStyle w:val="Corpodetexto2"/>
        <w:widowControl w:val="0"/>
        <w:tabs>
          <w:tab w:val="num" w:pos="720"/>
        </w:tabs>
        <w:autoSpaceDE w:val="0"/>
        <w:autoSpaceDN w:val="0"/>
        <w:adjustRightInd w:val="0"/>
      </w:pPr>
    </w:p>
    <w:p w:rsidR="0005364A" w:rsidRPr="00FA3856" w:rsidRDefault="00F4140E" w:rsidP="002247D6">
      <w:pPr>
        <w:pStyle w:val="Corpodetexto2"/>
        <w:widowControl w:val="0"/>
        <w:tabs>
          <w:tab w:val="num" w:pos="720"/>
        </w:tabs>
        <w:autoSpaceDE w:val="0"/>
        <w:autoSpaceDN w:val="0"/>
        <w:adjustRightInd w:val="0"/>
        <w:rPr>
          <w:b/>
        </w:rPr>
      </w:pPr>
      <w:r w:rsidRPr="00FA3856">
        <w:rPr>
          <w:b/>
        </w:rPr>
        <w:tab/>
      </w:r>
      <w:r w:rsidR="0005364A" w:rsidRPr="00FA3856">
        <w:rPr>
          <w:b/>
        </w:rPr>
        <w:t xml:space="preserve">Tabela </w:t>
      </w:r>
      <w:r w:rsidR="004B7494" w:rsidRPr="00FA3856">
        <w:rPr>
          <w:b/>
        </w:rPr>
        <w:t xml:space="preserve">de </w:t>
      </w:r>
      <w:r w:rsidR="0005364A" w:rsidRPr="00FA3856">
        <w:rPr>
          <w:b/>
        </w:rPr>
        <w:t>Campos</w:t>
      </w:r>
    </w:p>
    <w:tbl>
      <w:tblPr>
        <w:tblW w:w="11343" w:type="dxa"/>
        <w:jc w:val="center"/>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985"/>
        <w:gridCol w:w="10358"/>
      </w:tblGrid>
      <w:tr w:rsidR="0005364A" w:rsidRPr="00FA3856" w:rsidTr="00F4140E">
        <w:trPr>
          <w:trHeight w:val="20"/>
          <w:jc w:val="center"/>
        </w:trPr>
        <w:tc>
          <w:tcPr>
            <w:tcW w:w="434"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5364A" w:rsidRPr="00FA3856" w:rsidRDefault="0005364A" w:rsidP="00EC2D50">
            <w:pPr>
              <w:rPr>
                <w:b/>
                <w:bCs/>
                <w:szCs w:val="20"/>
              </w:rPr>
            </w:pPr>
            <w:r w:rsidRPr="00FA3856">
              <w:rPr>
                <w:b/>
                <w:bCs/>
                <w:szCs w:val="20"/>
              </w:rPr>
              <w:t>Item</w:t>
            </w:r>
          </w:p>
        </w:tc>
        <w:tc>
          <w:tcPr>
            <w:tcW w:w="456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5364A" w:rsidRPr="00FA3856" w:rsidRDefault="0005364A" w:rsidP="00EC2D50">
            <w:pPr>
              <w:rPr>
                <w:b/>
                <w:bCs/>
                <w:szCs w:val="20"/>
              </w:rPr>
            </w:pPr>
            <w:r w:rsidRPr="00FA3856">
              <w:rPr>
                <w:b/>
                <w:bCs/>
                <w:szCs w:val="20"/>
              </w:rPr>
              <w:t>Descrição</w:t>
            </w:r>
          </w:p>
        </w:tc>
      </w:tr>
      <w:tr w:rsidR="0005364A" w:rsidRPr="00FA3856" w:rsidTr="00F4140E">
        <w:trPr>
          <w:trHeight w:val="20"/>
          <w:jc w:val="center"/>
        </w:trPr>
        <w:tc>
          <w:tcPr>
            <w:tcW w:w="434"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5364A" w:rsidRPr="00FA3856" w:rsidRDefault="004B7494" w:rsidP="00EC2D50">
            <w:pPr>
              <w:pStyle w:val="Corpodetexto"/>
              <w:spacing w:line="240" w:lineRule="auto"/>
              <w:rPr>
                <w:rFonts w:ascii="Times New Roman" w:hAnsi="Times New Roman"/>
                <w:szCs w:val="20"/>
                <w:u w:val="single"/>
                <w:vertAlign w:val="superscript"/>
              </w:rPr>
            </w:pPr>
            <w:r w:rsidRPr="00FA3856">
              <w:rPr>
                <w:rFonts w:ascii="Times New Roman" w:hAnsi="Times New Roman"/>
                <w:szCs w:val="20"/>
              </w:rPr>
              <w:t>N</w:t>
            </w:r>
            <w:r w:rsidRPr="00FA3856">
              <w:rPr>
                <w:rFonts w:ascii="Times New Roman" w:hAnsi="Times New Roman"/>
                <w:szCs w:val="20"/>
                <w:u w:val="single"/>
                <w:vertAlign w:val="superscript"/>
              </w:rPr>
              <w:t>o</w:t>
            </w:r>
          </w:p>
        </w:tc>
        <w:tc>
          <w:tcPr>
            <w:tcW w:w="456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16182D" w:rsidRPr="00FA3856" w:rsidRDefault="0005364A" w:rsidP="00EC2D50">
            <w:pPr>
              <w:pStyle w:val="Corpodetexto"/>
              <w:spacing w:line="240" w:lineRule="auto"/>
              <w:rPr>
                <w:rFonts w:ascii="Times New Roman" w:hAnsi="Times New Roman"/>
                <w:szCs w:val="20"/>
              </w:rPr>
            </w:pPr>
            <w:r w:rsidRPr="00FA3856">
              <w:rPr>
                <w:rFonts w:ascii="Times New Roman" w:hAnsi="Times New Roman"/>
                <w:szCs w:val="20"/>
              </w:rPr>
              <w:t xml:space="preserve">Indica o número do campo em um dado </w:t>
            </w:r>
            <w:r w:rsidR="005953BF" w:rsidRPr="00FA3856">
              <w:rPr>
                <w:rFonts w:ascii="Times New Roman" w:hAnsi="Times New Roman"/>
                <w:szCs w:val="20"/>
              </w:rPr>
              <w:t>registro</w:t>
            </w:r>
            <w:r w:rsidR="004B7494" w:rsidRPr="00FA3856">
              <w:rPr>
                <w:rFonts w:ascii="Times New Roman" w:hAnsi="Times New Roman"/>
                <w:szCs w:val="20"/>
              </w:rPr>
              <w:t>.</w:t>
            </w:r>
          </w:p>
        </w:tc>
      </w:tr>
      <w:tr w:rsidR="0005364A" w:rsidRPr="00FA3856" w:rsidTr="00F4140E">
        <w:trPr>
          <w:trHeight w:val="20"/>
          <w:jc w:val="center"/>
        </w:trPr>
        <w:tc>
          <w:tcPr>
            <w:tcW w:w="434"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5364A" w:rsidRPr="00FA3856" w:rsidRDefault="0005364A" w:rsidP="00EC2D50">
            <w:pPr>
              <w:pStyle w:val="Corpodetexto"/>
              <w:spacing w:line="240" w:lineRule="auto"/>
              <w:rPr>
                <w:rFonts w:ascii="Times New Roman" w:hAnsi="Times New Roman"/>
                <w:szCs w:val="20"/>
              </w:rPr>
            </w:pPr>
            <w:r w:rsidRPr="00FA3856">
              <w:rPr>
                <w:rFonts w:ascii="Times New Roman" w:hAnsi="Times New Roman"/>
                <w:szCs w:val="20"/>
              </w:rPr>
              <w:t>Campo</w:t>
            </w:r>
          </w:p>
        </w:tc>
        <w:tc>
          <w:tcPr>
            <w:tcW w:w="456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5364A" w:rsidRPr="00FA3856" w:rsidRDefault="0005364A" w:rsidP="00427F6D">
            <w:pPr>
              <w:pStyle w:val="Corpodetexto"/>
              <w:spacing w:line="240" w:lineRule="auto"/>
              <w:rPr>
                <w:rFonts w:ascii="Times New Roman" w:hAnsi="Times New Roman"/>
                <w:szCs w:val="20"/>
              </w:rPr>
            </w:pPr>
            <w:r w:rsidRPr="00FA3856">
              <w:rPr>
                <w:rFonts w:ascii="Times New Roman" w:hAnsi="Times New Roman"/>
                <w:szCs w:val="20"/>
              </w:rPr>
              <w:t xml:space="preserve">Indica o </w:t>
            </w:r>
            <w:r w:rsidR="00427F6D" w:rsidRPr="00FA3856">
              <w:rPr>
                <w:rFonts w:ascii="Times New Roman" w:hAnsi="Times New Roman"/>
                <w:szCs w:val="20"/>
              </w:rPr>
              <w:t>nome</w:t>
            </w:r>
            <w:r w:rsidRPr="00FA3856">
              <w:rPr>
                <w:rFonts w:ascii="Times New Roman" w:hAnsi="Times New Roman"/>
                <w:szCs w:val="20"/>
              </w:rPr>
              <w:t xml:space="preserve"> do campo.</w:t>
            </w:r>
          </w:p>
        </w:tc>
      </w:tr>
      <w:tr w:rsidR="0005364A" w:rsidRPr="00FA3856" w:rsidTr="00F4140E">
        <w:trPr>
          <w:trHeight w:val="20"/>
          <w:jc w:val="center"/>
        </w:trPr>
        <w:tc>
          <w:tcPr>
            <w:tcW w:w="434"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5364A" w:rsidRPr="00FA3856" w:rsidRDefault="0005364A" w:rsidP="00EC2D50">
            <w:pPr>
              <w:pStyle w:val="Corpodetexto"/>
              <w:spacing w:line="240" w:lineRule="auto"/>
              <w:rPr>
                <w:rFonts w:ascii="Times New Roman" w:hAnsi="Times New Roman"/>
                <w:szCs w:val="20"/>
              </w:rPr>
            </w:pPr>
            <w:r w:rsidRPr="00FA3856">
              <w:rPr>
                <w:rFonts w:ascii="Times New Roman" w:hAnsi="Times New Roman"/>
                <w:szCs w:val="20"/>
              </w:rPr>
              <w:t>Descrição</w:t>
            </w:r>
          </w:p>
        </w:tc>
        <w:tc>
          <w:tcPr>
            <w:tcW w:w="456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5364A" w:rsidRPr="00FA3856" w:rsidRDefault="0005364A" w:rsidP="00EC2D50">
            <w:pPr>
              <w:pStyle w:val="Corpodetexto"/>
              <w:spacing w:line="240" w:lineRule="auto"/>
              <w:rPr>
                <w:rFonts w:ascii="Times New Roman" w:hAnsi="Times New Roman"/>
                <w:szCs w:val="20"/>
              </w:rPr>
            </w:pPr>
            <w:r w:rsidRPr="00FA3856">
              <w:rPr>
                <w:rFonts w:ascii="Times New Roman" w:hAnsi="Times New Roman"/>
                <w:szCs w:val="20"/>
              </w:rPr>
              <w:t>Indica a descrição da informação requerida no campo respectivo.</w:t>
            </w:r>
          </w:p>
          <w:p w:rsidR="0005364A" w:rsidRPr="00FA3856" w:rsidRDefault="0005364A" w:rsidP="00EC2D50">
            <w:pPr>
              <w:pStyle w:val="Corpodetexto"/>
              <w:spacing w:line="240" w:lineRule="auto"/>
              <w:rPr>
                <w:rFonts w:ascii="Times New Roman" w:hAnsi="Times New Roman"/>
                <w:szCs w:val="20"/>
              </w:rPr>
            </w:pPr>
            <w:r w:rsidRPr="00FA3856">
              <w:rPr>
                <w:rFonts w:ascii="Times New Roman" w:hAnsi="Times New Roman"/>
                <w:szCs w:val="20"/>
              </w:rPr>
              <w:t>Deve-se atentar para as observações relativas ao preenchimento de cada campo, quando houver.</w:t>
            </w:r>
          </w:p>
        </w:tc>
      </w:tr>
      <w:tr w:rsidR="0005364A" w:rsidRPr="00FA3856" w:rsidTr="00F4140E">
        <w:trPr>
          <w:trHeight w:val="20"/>
          <w:jc w:val="center"/>
        </w:trPr>
        <w:tc>
          <w:tcPr>
            <w:tcW w:w="434"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5364A" w:rsidRPr="00FA3856" w:rsidRDefault="0005364A" w:rsidP="00EC2D50">
            <w:pPr>
              <w:pStyle w:val="Corpodetexto"/>
              <w:spacing w:line="240" w:lineRule="auto"/>
              <w:rPr>
                <w:rFonts w:ascii="Times New Roman" w:hAnsi="Times New Roman"/>
                <w:szCs w:val="20"/>
              </w:rPr>
            </w:pPr>
            <w:r w:rsidRPr="00FA3856">
              <w:rPr>
                <w:rFonts w:ascii="Times New Roman" w:hAnsi="Times New Roman"/>
                <w:szCs w:val="20"/>
              </w:rPr>
              <w:t>Tipo</w:t>
            </w:r>
          </w:p>
        </w:tc>
        <w:tc>
          <w:tcPr>
            <w:tcW w:w="456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5364A" w:rsidRPr="00FA3856" w:rsidRDefault="0005364A" w:rsidP="00EC2D50">
            <w:pPr>
              <w:pStyle w:val="Corpodetexto"/>
              <w:spacing w:line="240" w:lineRule="auto"/>
              <w:rPr>
                <w:rFonts w:ascii="Times New Roman" w:hAnsi="Times New Roman"/>
                <w:szCs w:val="20"/>
              </w:rPr>
            </w:pPr>
            <w:r w:rsidRPr="00FA3856">
              <w:rPr>
                <w:rFonts w:ascii="Times New Roman" w:hAnsi="Times New Roman"/>
                <w:szCs w:val="20"/>
              </w:rPr>
              <w:t>Indica o tipo de caractere com que o campo será preenchido, de acordo com as regras gerais já descritas.</w:t>
            </w:r>
          </w:p>
          <w:p w:rsidR="0005364A" w:rsidRPr="00FA3856" w:rsidRDefault="0005364A" w:rsidP="00EC2D50">
            <w:pPr>
              <w:pStyle w:val="Corpodetexto"/>
              <w:spacing w:line="240" w:lineRule="auto"/>
              <w:rPr>
                <w:rFonts w:ascii="Times New Roman" w:hAnsi="Times New Roman"/>
                <w:szCs w:val="20"/>
              </w:rPr>
            </w:pPr>
            <w:r w:rsidRPr="00FA3856">
              <w:rPr>
                <w:rFonts w:ascii="Times New Roman" w:hAnsi="Times New Roman"/>
                <w:szCs w:val="20"/>
              </w:rPr>
              <w:t xml:space="preserve">N </w:t>
            </w:r>
            <w:r w:rsidR="00B27FDD" w:rsidRPr="00FA3856">
              <w:rPr>
                <w:rFonts w:ascii="Times New Roman" w:hAnsi="Times New Roman"/>
                <w:szCs w:val="20"/>
              </w:rPr>
              <w:t>–</w:t>
            </w:r>
            <w:r w:rsidRPr="00FA3856">
              <w:rPr>
                <w:rFonts w:ascii="Times New Roman" w:hAnsi="Times New Roman"/>
                <w:szCs w:val="20"/>
              </w:rPr>
              <w:t xml:space="preserve"> Nu</w:t>
            </w:r>
            <w:r w:rsidR="00B27FDD" w:rsidRPr="00FA3856">
              <w:rPr>
                <w:rFonts w:ascii="Times New Roman" w:hAnsi="Times New Roman"/>
                <w:szCs w:val="20"/>
              </w:rPr>
              <w:t>mérico.</w:t>
            </w:r>
          </w:p>
          <w:p w:rsidR="00C70F33" w:rsidRPr="00FA3856" w:rsidRDefault="00C70F33" w:rsidP="00EC2D50">
            <w:pPr>
              <w:pStyle w:val="Corpodetexto"/>
              <w:spacing w:line="240" w:lineRule="auto"/>
              <w:rPr>
                <w:rFonts w:ascii="Times New Roman" w:hAnsi="Times New Roman"/>
                <w:szCs w:val="20"/>
              </w:rPr>
            </w:pPr>
            <w:r w:rsidRPr="00FA3856">
              <w:rPr>
                <w:rFonts w:ascii="Times New Roman" w:hAnsi="Times New Roman"/>
                <w:szCs w:val="20"/>
              </w:rPr>
              <w:t>NS – Numérico com sinal.</w:t>
            </w:r>
          </w:p>
          <w:p w:rsidR="0005364A" w:rsidRPr="00FA3856" w:rsidRDefault="00C70F33" w:rsidP="00EC2D50">
            <w:pPr>
              <w:pStyle w:val="Corpodetexto"/>
              <w:spacing w:line="240" w:lineRule="auto"/>
              <w:rPr>
                <w:rFonts w:ascii="Times New Roman" w:hAnsi="Times New Roman"/>
                <w:szCs w:val="20"/>
              </w:rPr>
            </w:pPr>
            <w:r w:rsidRPr="00FA3856">
              <w:rPr>
                <w:rFonts w:ascii="Times New Roman" w:hAnsi="Times New Roman"/>
                <w:szCs w:val="20"/>
              </w:rPr>
              <w:t xml:space="preserve">C – </w:t>
            </w:r>
            <w:r w:rsidR="0005364A" w:rsidRPr="00FA3856">
              <w:rPr>
                <w:rFonts w:ascii="Times New Roman" w:hAnsi="Times New Roman"/>
                <w:szCs w:val="20"/>
              </w:rPr>
              <w:t>Alfanumérico.</w:t>
            </w:r>
          </w:p>
        </w:tc>
      </w:tr>
      <w:tr w:rsidR="0005364A" w:rsidRPr="00FA3856" w:rsidTr="00F4140E">
        <w:trPr>
          <w:trHeight w:val="20"/>
          <w:jc w:val="center"/>
        </w:trPr>
        <w:tc>
          <w:tcPr>
            <w:tcW w:w="434"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5364A" w:rsidRPr="00FA3856" w:rsidRDefault="0005364A" w:rsidP="00EC2D50">
            <w:pPr>
              <w:pStyle w:val="Corpodetexto"/>
              <w:spacing w:line="240" w:lineRule="auto"/>
              <w:rPr>
                <w:rFonts w:ascii="Times New Roman" w:hAnsi="Times New Roman"/>
                <w:szCs w:val="20"/>
              </w:rPr>
            </w:pPr>
            <w:r w:rsidRPr="00FA3856">
              <w:rPr>
                <w:rFonts w:ascii="Times New Roman" w:hAnsi="Times New Roman"/>
                <w:szCs w:val="20"/>
              </w:rPr>
              <w:t>Tam</w:t>
            </w:r>
          </w:p>
        </w:tc>
        <w:tc>
          <w:tcPr>
            <w:tcW w:w="456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5364A" w:rsidRPr="00FA3856" w:rsidRDefault="0005364A" w:rsidP="00EC2D50">
            <w:pPr>
              <w:pStyle w:val="Corpodetexto"/>
              <w:spacing w:line="240" w:lineRule="auto"/>
              <w:rPr>
                <w:rFonts w:ascii="Times New Roman" w:hAnsi="Times New Roman"/>
                <w:szCs w:val="20"/>
              </w:rPr>
            </w:pPr>
            <w:r w:rsidRPr="00FA3856">
              <w:rPr>
                <w:rFonts w:ascii="Times New Roman" w:hAnsi="Times New Roman"/>
                <w:szCs w:val="20"/>
              </w:rPr>
              <w:t>Indica a quantidade de caracteres com que cada campo deve ser preenchido. Estas instruções devem ser seguidas rigorosamente.</w:t>
            </w:r>
          </w:p>
          <w:p w:rsidR="0005364A" w:rsidRPr="00FA3856" w:rsidRDefault="0005364A" w:rsidP="00EC2D50">
            <w:pPr>
              <w:pStyle w:val="Corpodetexto"/>
              <w:spacing w:line="240" w:lineRule="auto"/>
              <w:rPr>
                <w:rFonts w:ascii="Times New Roman" w:hAnsi="Times New Roman"/>
                <w:szCs w:val="20"/>
              </w:rPr>
            </w:pPr>
            <w:r w:rsidRPr="00FA3856">
              <w:rPr>
                <w:rFonts w:ascii="Times New Roman" w:hAnsi="Times New Roman"/>
                <w:szCs w:val="20"/>
              </w:rPr>
              <w:t>A indicação de um algarismo após um campo (N</w:t>
            </w:r>
            <w:r w:rsidR="00E12240" w:rsidRPr="00FA3856">
              <w:rPr>
                <w:rFonts w:ascii="Times New Roman" w:hAnsi="Times New Roman"/>
                <w:szCs w:val="20"/>
              </w:rPr>
              <w:t xml:space="preserve"> ou NS</w:t>
            </w:r>
            <w:r w:rsidRPr="00FA3856">
              <w:rPr>
                <w:rFonts w:ascii="Times New Roman" w:hAnsi="Times New Roman"/>
                <w:szCs w:val="20"/>
              </w:rPr>
              <w:t>)</w:t>
            </w:r>
            <w:r w:rsidR="00B27FDD" w:rsidRPr="00FA3856">
              <w:rPr>
                <w:rFonts w:ascii="Times New Roman" w:hAnsi="Times New Roman"/>
                <w:szCs w:val="20"/>
              </w:rPr>
              <w:t xml:space="preserve"> representa o seu tamanho exato.</w:t>
            </w:r>
          </w:p>
          <w:p w:rsidR="0005364A" w:rsidRPr="00FA3856" w:rsidRDefault="0005364A" w:rsidP="00EC2D50">
            <w:pPr>
              <w:pStyle w:val="Corpodetexto"/>
              <w:spacing w:line="240" w:lineRule="auto"/>
              <w:rPr>
                <w:rFonts w:ascii="Times New Roman" w:hAnsi="Times New Roman"/>
                <w:szCs w:val="20"/>
              </w:rPr>
            </w:pPr>
            <w:r w:rsidRPr="00FA3856">
              <w:rPr>
                <w:rFonts w:ascii="Times New Roman" w:hAnsi="Times New Roman"/>
                <w:szCs w:val="20"/>
              </w:rPr>
              <w:t>A indicação "-" após um campo (N</w:t>
            </w:r>
            <w:r w:rsidR="00E12240" w:rsidRPr="00FA3856">
              <w:rPr>
                <w:rFonts w:ascii="Times New Roman" w:hAnsi="Times New Roman"/>
                <w:szCs w:val="20"/>
              </w:rPr>
              <w:t xml:space="preserve"> ou NS</w:t>
            </w:r>
            <w:r w:rsidRPr="00FA3856">
              <w:rPr>
                <w:rFonts w:ascii="Times New Roman" w:hAnsi="Times New Roman"/>
                <w:szCs w:val="20"/>
              </w:rPr>
              <w:t>) significa que não há</w:t>
            </w:r>
            <w:r w:rsidR="00B27FDD" w:rsidRPr="00FA3856">
              <w:rPr>
                <w:rFonts w:ascii="Times New Roman" w:hAnsi="Times New Roman"/>
                <w:szCs w:val="20"/>
              </w:rPr>
              <w:t xml:space="preserve"> um número máximo de caracteres.</w:t>
            </w:r>
          </w:p>
          <w:p w:rsidR="00B27FDD" w:rsidRPr="00FA3856" w:rsidRDefault="0005364A" w:rsidP="00EC2D50">
            <w:pPr>
              <w:pStyle w:val="Corpodetexto"/>
              <w:spacing w:line="240" w:lineRule="auto"/>
              <w:rPr>
                <w:rFonts w:ascii="Times New Roman" w:hAnsi="Times New Roman"/>
                <w:szCs w:val="20"/>
              </w:rPr>
            </w:pPr>
            <w:r w:rsidRPr="00FA3856">
              <w:rPr>
                <w:rFonts w:ascii="Times New Roman" w:hAnsi="Times New Roman"/>
                <w:szCs w:val="20"/>
              </w:rPr>
              <w:t>A indicação de um algarismo após um campo (C) representa o seu tamanho exato, no caso geral</w:t>
            </w:r>
            <w:r w:rsidR="00B27FDD" w:rsidRPr="00FA3856">
              <w:rPr>
                <w:rFonts w:ascii="Times New Roman" w:hAnsi="Times New Roman"/>
                <w:szCs w:val="20"/>
              </w:rPr>
              <w:t>.</w:t>
            </w:r>
          </w:p>
          <w:p w:rsidR="0005364A" w:rsidRPr="00FA3856" w:rsidRDefault="0005364A" w:rsidP="00EC2D50">
            <w:pPr>
              <w:pStyle w:val="Corpodetexto"/>
              <w:spacing w:line="240" w:lineRule="auto"/>
              <w:rPr>
                <w:rFonts w:ascii="Times New Roman" w:hAnsi="Times New Roman"/>
                <w:szCs w:val="20"/>
              </w:rPr>
            </w:pPr>
            <w:r w:rsidRPr="00FA3856">
              <w:rPr>
                <w:rFonts w:ascii="Times New Roman" w:hAnsi="Times New Roman"/>
                <w:szCs w:val="20"/>
              </w:rPr>
              <w:t>A indicação "-" após um campo (C) representa que seu tamanho máximo é 255 caracteres, no caso gera</w:t>
            </w:r>
            <w:r w:rsidR="00B27FDD" w:rsidRPr="00FA3856">
              <w:rPr>
                <w:rFonts w:ascii="Times New Roman" w:hAnsi="Times New Roman"/>
                <w:szCs w:val="20"/>
              </w:rPr>
              <w:t>l.</w:t>
            </w:r>
          </w:p>
          <w:p w:rsidR="0005364A" w:rsidRPr="00FA3856" w:rsidRDefault="0005364A" w:rsidP="00EC2D50">
            <w:pPr>
              <w:pStyle w:val="Corpodetexto"/>
              <w:spacing w:line="240" w:lineRule="auto"/>
              <w:rPr>
                <w:rFonts w:ascii="Times New Roman" w:hAnsi="Times New Roman"/>
                <w:szCs w:val="20"/>
              </w:rPr>
            </w:pPr>
            <w:r w:rsidRPr="00FA3856">
              <w:rPr>
                <w:rFonts w:ascii="Times New Roman" w:hAnsi="Times New Roman"/>
                <w:szCs w:val="20"/>
              </w:rPr>
              <w:t>A indicação "65536" após um campo (C) representa que seu tamanho máximo é 65.536 caracteres, excepcionalmente.</w:t>
            </w:r>
          </w:p>
        </w:tc>
      </w:tr>
      <w:tr w:rsidR="0005364A" w:rsidRPr="00FA3856" w:rsidTr="00F4140E">
        <w:trPr>
          <w:trHeight w:val="20"/>
          <w:jc w:val="center"/>
        </w:trPr>
        <w:tc>
          <w:tcPr>
            <w:tcW w:w="434"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5364A" w:rsidRPr="00FA3856" w:rsidRDefault="0005364A" w:rsidP="00EC2D50">
            <w:pPr>
              <w:pStyle w:val="Corpodetexto"/>
              <w:spacing w:line="240" w:lineRule="auto"/>
              <w:rPr>
                <w:rFonts w:ascii="Times New Roman" w:hAnsi="Times New Roman"/>
                <w:szCs w:val="20"/>
              </w:rPr>
            </w:pPr>
            <w:r w:rsidRPr="00FA3856">
              <w:rPr>
                <w:rFonts w:ascii="Times New Roman" w:hAnsi="Times New Roman"/>
                <w:szCs w:val="20"/>
              </w:rPr>
              <w:t>Dec</w:t>
            </w:r>
          </w:p>
        </w:tc>
        <w:tc>
          <w:tcPr>
            <w:tcW w:w="456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5364A" w:rsidRPr="00FA3856" w:rsidRDefault="0005364A" w:rsidP="00EC2D50">
            <w:pPr>
              <w:pStyle w:val="Corpodetexto"/>
              <w:spacing w:line="240" w:lineRule="auto"/>
              <w:rPr>
                <w:rFonts w:ascii="Times New Roman" w:hAnsi="Times New Roman"/>
                <w:szCs w:val="20"/>
              </w:rPr>
            </w:pPr>
            <w:r w:rsidRPr="00FA3856">
              <w:rPr>
                <w:rFonts w:ascii="Times New Roman" w:hAnsi="Times New Roman"/>
                <w:szCs w:val="20"/>
              </w:rPr>
              <w:t>Indica a quantidade de caracteres que devem constar como casas decimais, quando necessárias.</w:t>
            </w:r>
          </w:p>
          <w:p w:rsidR="0005364A" w:rsidRPr="00FA3856" w:rsidRDefault="0005364A" w:rsidP="00EC2D50">
            <w:pPr>
              <w:pStyle w:val="Corpodetexto"/>
              <w:spacing w:line="240" w:lineRule="auto"/>
              <w:rPr>
                <w:rFonts w:ascii="Times New Roman" w:hAnsi="Times New Roman"/>
                <w:szCs w:val="20"/>
              </w:rPr>
            </w:pPr>
            <w:r w:rsidRPr="00FA3856">
              <w:rPr>
                <w:rFonts w:ascii="Times New Roman" w:hAnsi="Times New Roman"/>
                <w:szCs w:val="20"/>
              </w:rPr>
              <w:t>A indicação de um algarismo representa a quantidade máxima de decimais do campo (N);</w:t>
            </w:r>
          </w:p>
          <w:p w:rsidR="0005364A" w:rsidRPr="00FA3856" w:rsidRDefault="0005364A" w:rsidP="00EC2D50">
            <w:pPr>
              <w:pStyle w:val="Corpodetexto"/>
              <w:spacing w:line="240" w:lineRule="auto"/>
              <w:rPr>
                <w:rFonts w:ascii="Times New Roman" w:hAnsi="Times New Roman"/>
                <w:szCs w:val="20"/>
              </w:rPr>
            </w:pPr>
            <w:r w:rsidRPr="00FA3856">
              <w:rPr>
                <w:rFonts w:ascii="Times New Roman" w:hAnsi="Times New Roman"/>
                <w:szCs w:val="20"/>
              </w:rPr>
              <w:t>A indicação "-" após um campo (N) significa que não deve haver representação de casas decimais.</w:t>
            </w:r>
          </w:p>
        </w:tc>
      </w:tr>
    </w:tbl>
    <w:p w:rsidR="002247D6" w:rsidRPr="00FA3856" w:rsidRDefault="002247D6" w:rsidP="002247D6">
      <w:pPr>
        <w:pStyle w:val="Corpodetexto2"/>
        <w:widowControl w:val="0"/>
        <w:tabs>
          <w:tab w:val="num" w:pos="720"/>
        </w:tabs>
        <w:autoSpaceDE w:val="0"/>
        <w:autoSpaceDN w:val="0"/>
        <w:adjustRightInd w:val="0"/>
        <w:rPr>
          <w:b/>
        </w:rPr>
      </w:pPr>
    </w:p>
    <w:p w:rsidR="00B27FDD" w:rsidRPr="00FA3856" w:rsidRDefault="00D95E2A" w:rsidP="00867F54">
      <w:pPr>
        <w:pStyle w:val="Ttulo2"/>
      </w:pPr>
      <w:bookmarkStart w:id="54" w:name="_Toc479713664"/>
      <w:r>
        <w:t>4</w:t>
      </w:r>
      <w:r w:rsidR="00977BB3" w:rsidRPr="00FA3856">
        <w:t>.</w:t>
      </w:r>
      <w:r w:rsidR="00B27FDD" w:rsidRPr="00FA3856">
        <w:t>4. Tabelas Externas</w:t>
      </w:r>
      <w:bookmarkEnd w:id="54"/>
    </w:p>
    <w:p w:rsidR="00064E42" w:rsidRPr="00FA3856" w:rsidRDefault="00064E42" w:rsidP="002247D6">
      <w:pPr>
        <w:pStyle w:val="Corpodetexto2"/>
        <w:widowControl w:val="0"/>
        <w:tabs>
          <w:tab w:val="num" w:pos="720"/>
        </w:tabs>
        <w:autoSpaceDE w:val="0"/>
        <w:autoSpaceDN w:val="0"/>
        <w:adjustRightInd w:val="0"/>
        <w:rPr>
          <w:b/>
        </w:rPr>
      </w:pPr>
    </w:p>
    <w:p w:rsidR="0016182D" w:rsidRPr="00FA3856" w:rsidRDefault="0005364A" w:rsidP="002247D6">
      <w:pPr>
        <w:pStyle w:val="Corpodetexto2"/>
        <w:widowControl w:val="0"/>
        <w:tabs>
          <w:tab w:val="num" w:pos="720"/>
        </w:tabs>
        <w:autoSpaceDE w:val="0"/>
        <w:autoSpaceDN w:val="0"/>
        <w:adjustRightInd w:val="0"/>
        <w:rPr>
          <w:b/>
        </w:rPr>
      </w:pPr>
      <w:r w:rsidRPr="00FA3856">
        <w:rPr>
          <w:b/>
        </w:rPr>
        <w:t>Exemplos de órgãos mantenedores e endereços eletrônicos das tabelas externas.</w:t>
      </w:r>
    </w:p>
    <w:tbl>
      <w:tblPr>
        <w:tblW w:w="2960" w:type="pct"/>
        <w:jc w:val="center"/>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4240"/>
        <w:gridCol w:w="2356"/>
        <w:gridCol w:w="3030"/>
      </w:tblGrid>
      <w:tr w:rsidR="00E12240" w:rsidRPr="00FA3856" w:rsidTr="00F4140E">
        <w:trPr>
          <w:jc w:val="center"/>
        </w:trPr>
        <w:tc>
          <w:tcPr>
            <w:tcW w:w="220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12240" w:rsidRPr="00FA3856" w:rsidRDefault="00F4140E" w:rsidP="00E12240">
            <w:pPr>
              <w:rPr>
                <w:szCs w:val="20"/>
              </w:rPr>
            </w:pPr>
            <w:r w:rsidRPr="00FA3856">
              <w:rPr>
                <w:szCs w:val="20"/>
              </w:rPr>
              <w:t>IBGE</w:t>
            </w:r>
          </w:p>
        </w:tc>
        <w:tc>
          <w:tcPr>
            <w:tcW w:w="1224"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12240" w:rsidRPr="00FA3856" w:rsidRDefault="007D0E74" w:rsidP="00E12240">
            <w:pPr>
              <w:rPr>
                <w:szCs w:val="20"/>
              </w:rPr>
            </w:pPr>
            <w:hyperlink r:id="rId65" w:history="1">
              <w:r w:rsidR="00E12240" w:rsidRPr="00FA3856">
                <w:rPr>
                  <w:rStyle w:val="Hyperlink"/>
                  <w:szCs w:val="20"/>
                </w:rPr>
                <w:t>www.ibge.gov.br</w:t>
              </w:r>
            </w:hyperlink>
          </w:p>
        </w:tc>
        <w:tc>
          <w:tcPr>
            <w:tcW w:w="1574" w:type="pct"/>
            <w:tcBorders>
              <w:top w:val="single" w:sz="4" w:space="0" w:color="auto"/>
              <w:left w:val="single" w:sz="4" w:space="0" w:color="auto"/>
              <w:bottom w:val="single" w:sz="4" w:space="0" w:color="auto"/>
              <w:right w:val="single" w:sz="4" w:space="0" w:color="auto"/>
            </w:tcBorders>
          </w:tcPr>
          <w:p w:rsidR="00E12240" w:rsidRPr="00FA3856" w:rsidRDefault="00E12240" w:rsidP="00E12240">
            <w:pPr>
              <w:rPr>
                <w:szCs w:val="20"/>
              </w:rPr>
            </w:pPr>
            <w:r w:rsidRPr="00FA3856">
              <w:rPr>
                <w:szCs w:val="20"/>
              </w:rPr>
              <w:t>Tabela de Municípios</w:t>
            </w:r>
          </w:p>
        </w:tc>
      </w:tr>
      <w:tr w:rsidR="00E12240" w:rsidRPr="00FA3856" w:rsidTr="00F4140E">
        <w:trPr>
          <w:jc w:val="center"/>
        </w:trPr>
        <w:tc>
          <w:tcPr>
            <w:tcW w:w="220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12240" w:rsidRPr="00FA3856" w:rsidRDefault="00E12240" w:rsidP="00E12240">
            <w:pPr>
              <w:rPr>
                <w:szCs w:val="20"/>
              </w:rPr>
            </w:pPr>
            <w:r w:rsidRPr="00FA3856">
              <w:rPr>
                <w:szCs w:val="20"/>
              </w:rPr>
              <w:t>Secretar</w:t>
            </w:r>
            <w:r w:rsidR="00F4140E" w:rsidRPr="00FA3856">
              <w:rPr>
                <w:szCs w:val="20"/>
              </w:rPr>
              <w:t>ia da Receita Federal do Brasil</w:t>
            </w:r>
          </w:p>
        </w:tc>
        <w:tc>
          <w:tcPr>
            <w:tcW w:w="1224"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12240" w:rsidRPr="00FA3856" w:rsidRDefault="007D0E74" w:rsidP="00E12240">
            <w:pPr>
              <w:rPr>
                <w:szCs w:val="20"/>
              </w:rPr>
            </w:pPr>
            <w:hyperlink r:id="rId66" w:history="1">
              <w:r w:rsidR="00E12240" w:rsidRPr="00FA3856">
                <w:rPr>
                  <w:rStyle w:val="Hyperlink"/>
                  <w:szCs w:val="20"/>
                </w:rPr>
                <w:t>www.receita.fazenda.gov.br</w:t>
              </w:r>
            </w:hyperlink>
          </w:p>
        </w:tc>
        <w:tc>
          <w:tcPr>
            <w:tcW w:w="1574" w:type="pct"/>
            <w:tcBorders>
              <w:top w:val="single" w:sz="4" w:space="0" w:color="auto"/>
              <w:left w:val="single" w:sz="4" w:space="0" w:color="auto"/>
              <w:bottom w:val="single" w:sz="4" w:space="0" w:color="auto"/>
              <w:right w:val="single" w:sz="4" w:space="0" w:color="auto"/>
            </w:tcBorders>
          </w:tcPr>
          <w:p w:rsidR="00E12240" w:rsidRPr="00FA3856" w:rsidRDefault="00E12240" w:rsidP="00E12240">
            <w:pPr>
              <w:rPr>
                <w:szCs w:val="20"/>
              </w:rPr>
            </w:pPr>
            <w:r w:rsidRPr="00FA3856">
              <w:rPr>
                <w:szCs w:val="20"/>
              </w:rPr>
              <w:t>Plano de Contas Referencial</w:t>
            </w:r>
          </w:p>
        </w:tc>
      </w:tr>
      <w:tr w:rsidR="00E12240" w:rsidRPr="00FA3856" w:rsidTr="00F4140E">
        <w:trPr>
          <w:jc w:val="center"/>
        </w:trPr>
        <w:tc>
          <w:tcPr>
            <w:tcW w:w="220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12240" w:rsidRPr="00FA3856" w:rsidRDefault="00F4140E" w:rsidP="00E12240">
            <w:pPr>
              <w:rPr>
                <w:szCs w:val="20"/>
                <w:lang w:val="en-US"/>
              </w:rPr>
            </w:pPr>
            <w:r w:rsidRPr="00FA3856">
              <w:rPr>
                <w:szCs w:val="20"/>
                <w:lang w:val="en-US"/>
              </w:rPr>
              <w:t>ECT – Correios</w:t>
            </w:r>
          </w:p>
        </w:tc>
        <w:tc>
          <w:tcPr>
            <w:tcW w:w="1224"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12240" w:rsidRPr="00FA3856" w:rsidRDefault="007D0E74" w:rsidP="00E12240">
            <w:pPr>
              <w:rPr>
                <w:szCs w:val="20"/>
                <w:lang w:val="en-US"/>
              </w:rPr>
            </w:pPr>
            <w:hyperlink r:id="rId67" w:history="1">
              <w:r w:rsidR="00E12240" w:rsidRPr="00FA3856">
                <w:rPr>
                  <w:rStyle w:val="Hyperlink"/>
                  <w:szCs w:val="20"/>
                  <w:lang w:val="en-US"/>
                </w:rPr>
                <w:t>www.correios.com.br</w:t>
              </w:r>
            </w:hyperlink>
          </w:p>
        </w:tc>
        <w:tc>
          <w:tcPr>
            <w:tcW w:w="1574" w:type="pct"/>
            <w:tcBorders>
              <w:top w:val="single" w:sz="4" w:space="0" w:color="auto"/>
              <w:left w:val="single" w:sz="4" w:space="0" w:color="auto"/>
              <w:bottom w:val="single" w:sz="4" w:space="0" w:color="auto"/>
              <w:right w:val="single" w:sz="4" w:space="0" w:color="auto"/>
            </w:tcBorders>
          </w:tcPr>
          <w:p w:rsidR="00E12240" w:rsidRPr="00FA3856" w:rsidRDefault="00E12240" w:rsidP="00E12240">
            <w:pPr>
              <w:rPr>
                <w:szCs w:val="20"/>
              </w:rPr>
            </w:pPr>
            <w:r w:rsidRPr="00FA3856">
              <w:rPr>
                <w:szCs w:val="20"/>
              </w:rPr>
              <w:t>Código de Endereçamento Postal</w:t>
            </w:r>
          </w:p>
        </w:tc>
      </w:tr>
      <w:tr w:rsidR="00E12240" w:rsidRPr="00FA3856" w:rsidTr="00F4140E">
        <w:trPr>
          <w:jc w:val="center"/>
        </w:trPr>
        <w:tc>
          <w:tcPr>
            <w:tcW w:w="220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12240" w:rsidRPr="00FA3856" w:rsidRDefault="00E12240" w:rsidP="00E12240">
            <w:pPr>
              <w:rPr>
                <w:szCs w:val="20"/>
              </w:rPr>
            </w:pPr>
            <w:r w:rsidRPr="00FA3856">
              <w:rPr>
                <w:szCs w:val="20"/>
              </w:rPr>
              <w:t>Departamento de Registro Empresaria</w:t>
            </w:r>
            <w:r w:rsidR="00F4140E" w:rsidRPr="00FA3856">
              <w:rPr>
                <w:szCs w:val="20"/>
              </w:rPr>
              <w:t>l e Integração</w:t>
            </w:r>
          </w:p>
        </w:tc>
        <w:tc>
          <w:tcPr>
            <w:tcW w:w="1224"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12240" w:rsidRPr="00FA3856" w:rsidRDefault="007D0E74" w:rsidP="00E12240">
            <w:pPr>
              <w:rPr>
                <w:szCs w:val="20"/>
              </w:rPr>
            </w:pPr>
            <w:hyperlink r:id="rId68" w:history="1">
              <w:r w:rsidR="00E12240" w:rsidRPr="00FA3856">
                <w:rPr>
                  <w:rStyle w:val="Hyperlink"/>
                  <w:szCs w:val="20"/>
                </w:rPr>
                <w:t>www.drei.smpe.gov.br</w:t>
              </w:r>
            </w:hyperlink>
          </w:p>
        </w:tc>
        <w:tc>
          <w:tcPr>
            <w:tcW w:w="1574" w:type="pct"/>
            <w:tcBorders>
              <w:top w:val="single" w:sz="4" w:space="0" w:color="auto"/>
              <w:left w:val="single" w:sz="4" w:space="0" w:color="auto"/>
              <w:bottom w:val="single" w:sz="4" w:space="0" w:color="auto"/>
              <w:right w:val="single" w:sz="4" w:space="0" w:color="auto"/>
            </w:tcBorders>
          </w:tcPr>
          <w:p w:rsidR="00E12240" w:rsidRPr="00FA3856" w:rsidRDefault="00E12240" w:rsidP="00E12240">
            <w:pPr>
              <w:rPr>
                <w:szCs w:val="20"/>
              </w:rPr>
            </w:pPr>
            <w:r w:rsidRPr="00FA3856">
              <w:rPr>
                <w:szCs w:val="20"/>
              </w:rPr>
              <w:t>Tabela de Qualificação de Assinante</w:t>
            </w:r>
          </w:p>
        </w:tc>
      </w:tr>
    </w:tbl>
    <w:p w:rsidR="00064E42" w:rsidRPr="00FA3856" w:rsidRDefault="00064E42" w:rsidP="002247D6">
      <w:pPr>
        <w:pStyle w:val="NormalWeb"/>
        <w:widowControl w:val="0"/>
        <w:autoSpaceDE w:val="0"/>
        <w:autoSpaceDN w:val="0"/>
        <w:adjustRightInd w:val="0"/>
        <w:spacing w:before="0" w:after="0"/>
        <w:ind w:firstLine="708"/>
        <w:rPr>
          <w:rFonts w:ascii="Times New Roman" w:hAnsi="Times New Roman" w:cs="Times New Roman"/>
          <w:szCs w:val="20"/>
        </w:rPr>
      </w:pPr>
    </w:p>
    <w:p w:rsidR="00F4140E" w:rsidRPr="00FA3856" w:rsidRDefault="00F4140E">
      <w:pPr>
        <w:spacing w:after="200" w:line="276" w:lineRule="auto"/>
        <w:rPr>
          <w:b/>
          <w:bCs/>
          <w:color w:val="0000FF"/>
          <w:szCs w:val="20"/>
        </w:rPr>
      </w:pPr>
      <w:r w:rsidRPr="00FA3856">
        <w:rPr>
          <w:color w:val="0000FF"/>
          <w:szCs w:val="20"/>
        </w:rPr>
        <w:br w:type="page"/>
      </w:r>
    </w:p>
    <w:p w:rsidR="00064E42" w:rsidRPr="00FA3856" w:rsidRDefault="00D95E2A" w:rsidP="00867F54">
      <w:pPr>
        <w:pStyle w:val="Ttulo2"/>
      </w:pPr>
      <w:bookmarkStart w:id="55" w:name="_Toc479713665"/>
      <w:r>
        <w:lastRenderedPageBreak/>
        <w:t>4.5</w:t>
      </w:r>
      <w:r w:rsidR="00064E42" w:rsidRPr="00FA3856">
        <w:t xml:space="preserve">. Leiaute dos </w:t>
      </w:r>
      <w:r w:rsidR="005953BF" w:rsidRPr="00FA3856">
        <w:t>Registro</w:t>
      </w:r>
      <w:r w:rsidR="00064E42" w:rsidRPr="00FA3856">
        <w:t>s</w:t>
      </w:r>
      <w:bookmarkEnd w:id="55"/>
    </w:p>
    <w:p w:rsidR="00064E42" w:rsidRPr="00FA3856" w:rsidRDefault="00064E42" w:rsidP="002247D6">
      <w:pPr>
        <w:pStyle w:val="NormalWeb"/>
        <w:widowControl w:val="0"/>
        <w:autoSpaceDE w:val="0"/>
        <w:autoSpaceDN w:val="0"/>
        <w:adjustRightInd w:val="0"/>
        <w:spacing w:before="0" w:after="0"/>
        <w:ind w:firstLine="708"/>
        <w:rPr>
          <w:rFonts w:ascii="Times New Roman" w:hAnsi="Times New Roman" w:cs="Times New Roman"/>
          <w:szCs w:val="20"/>
        </w:rPr>
      </w:pPr>
    </w:p>
    <w:p w:rsidR="00064E42" w:rsidRPr="00FA3856" w:rsidRDefault="00064E42" w:rsidP="00867F54">
      <w:pPr>
        <w:pStyle w:val="Ttulo3"/>
      </w:pPr>
      <w:bookmarkStart w:id="56" w:name="_Toc479713666"/>
      <w:r w:rsidRPr="00FA3856">
        <w:t>Bloco 0: Abertu</w:t>
      </w:r>
      <w:bookmarkStart w:id="57" w:name="_Toc123014972"/>
      <w:bookmarkStart w:id="58" w:name="_Toc123015134"/>
      <w:r w:rsidRPr="00FA3856">
        <w:t>ra, Identificação e Referências</w:t>
      </w:r>
      <w:bookmarkEnd w:id="56"/>
    </w:p>
    <w:p w:rsidR="00064E42" w:rsidRPr="00FA3856" w:rsidRDefault="00064E42" w:rsidP="002247D6">
      <w:pPr>
        <w:pStyle w:val="NormalWeb"/>
        <w:widowControl w:val="0"/>
        <w:autoSpaceDE w:val="0"/>
        <w:autoSpaceDN w:val="0"/>
        <w:adjustRightInd w:val="0"/>
        <w:spacing w:before="0" w:after="0"/>
        <w:ind w:firstLine="708"/>
        <w:rPr>
          <w:rFonts w:ascii="Times New Roman" w:hAnsi="Times New Roman" w:cs="Times New Roman"/>
          <w:szCs w:val="20"/>
        </w:rPr>
      </w:pPr>
    </w:p>
    <w:p w:rsidR="00B92963" w:rsidRPr="00FA3856" w:rsidRDefault="005953BF" w:rsidP="00867F54">
      <w:pPr>
        <w:pStyle w:val="Ttulo4"/>
      </w:pPr>
      <w:bookmarkStart w:id="59" w:name="_Toc479713667"/>
      <w:r w:rsidRPr="00FA3856">
        <w:t>Registro</w:t>
      </w:r>
      <w:r w:rsidR="00064E42" w:rsidRPr="00FA3856">
        <w:t xml:space="preserve"> 0000: Abertura do Arquivo Digital e Identificação </w:t>
      </w:r>
      <w:r w:rsidR="00900CFE" w:rsidRPr="00FA3856">
        <w:t xml:space="preserve">da </w:t>
      </w:r>
      <w:r w:rsidR="00D16822" w:rsidRPr="00FA3856">
        <w:t>Pessoa Jurídica</w:t>
      </w:r>
      <w:bookmarkEnd w:id="59"/>
    </w:p>
    <w:p w:rsidR="00B92963" w:rsidRPr="00FA3856" w:rsidRDefault="00B92963" w:rsidP="002247D6">
      <w:pPr>
        <w:pStyle w:val="NormalWeb"/>
        <w:widowControl w:val="0"/>
        <w:autoSpaceDE w:val="0"/>
        <w:autoSpaceDN w:val="0"/>
        <w:adjustRightInd w:val="0"/>
        <w:spacing w:before="0" w:after="0"/>
        <w:ind w:left="708" w:firstLine="708"/>
        <w:rPr>
          <w:rFonts w:ascii="Times New Roman" w:hAnsi="Times New Roman" w:cs="Times New Roman"/>
          <w:szCs w:val="20"/>
        </w:rPr>
      </w:pPr>
    </w:p>
    <w:p w:rsidR="00900CFE" w:rsidRPr="00FA3856" w:rsidRDefault="00900CFE" w:rsidP="00900CFE">
      <w:pPr>
        <w:pStyle w:val="NormalWeb"/>
        <w:widowControl w:val="0"/>
        <w:autoSpaceDE w:val="0"/>
        <w:autoSpaceDN w:val="0"/>
        <w:adjustRightInd w:val="0"/>
        <w:spacing w:before="0" w:after="0"/>
        <w:ind w:firstLine="708"/>
        <w:rPr>
          <w:rFonts w:ascii="Times New Roman" w:hAnsi="Times New Roman" w:cs="Times New Roman"/>
          <w:szCs w:val="20"/>
        </w:rPr>
      </w:pPr>
      <w:r w:rsidRPr="00FA3856">
        <w:rPr>
          <w:rFonts w:ascii="Times New Roman" w:hAnsi="Times New Roman" w:cs="Times New Roman"/>
          <w:szCs w:val="20"/>
        </w:rPr>
        <w:t xml:space="preserve">Este registro identifica unicamente uma escrituração no PVA </w:t>
      </w:r>
      <w:r w:rsidR="00B06BD7" w:rsidRPr="00FA3856">
        <w:rPr>
          <w:rFonts w:ascii="Times New Roman" w:hAnsi="Times New Roman" w:cs="Times New Roman"/>
          <w:szCs w:val="20"/>
        </w:rPr>
        <w:t>por meio</w:t>
      </w:r>
      <w:r w:rsidRPr="00FA3856">
        <w:rPr>
          <w:rFonts w:ascii="Times New Roman" w:hAnsi="Times New Roman" w:cs="Times New Roman"/>
          <w:szCs w:val="20"/>
        </w:rPr>
        <w:t xml:space="preserve"> dos seguintes campos:</w:t>
      </w:r>
    </w:p>
    <w:p w:rsidR="00900CFE" w:rsidRPr="00FA3856" w:rsidRDefault="00900CFE" w:rsidP="00900CFE">
      <w:pPr>
        <w:pStyle w:val="NormalWeb"/>
        <w:widowControl w:val="0"/>
        <w:autoSpaceDE w:val="0"/>
        <w:autoSpaceDN w:val="0"/>
        <w:adjustRightInd w:val="0"/>
        <w:spacing w:before="0" w:after="0"/>
        <w:ind w:left="708" w:firstLine="708"/>
        <w:rPr>
          <w:rFonts w:ascii="Times New Roman" w:hAnsi="Times New Roman" w:cs="Times New Roman"/>
          <w:szCs w:val="20"/>
        </w:rPr>
      </w:pPr>
      <w:r w:rsidRPr="00FA3856">
        <w:rPr>
          <w:rFonts w:ascii="Times New Roman" w:hAnsi="Times New Roman" w:cs="Times New Roman"/>
          <w:szCs w:val="20"/>
        </w:rPr>
        <w:t xml:space="preserve">- </w:t>
      </w:r>
      <w:r w:rsidR="0016182D" w:rsidRPr="00FA3856">
        <w:rPr>
          <w:rFonts w:ascii="Times New Roman" w:hAnsi="Times New Roman" w:cs="Times New Roman"/>
          <w:szCs w:val="20"/>
        </w:rPr>
        <w:t>0000.</w:t>
      </w:r>
      <w:r w:rsidR="00E12240" w:rsidRPr="00FA3856">
        <w:rPr>
          <w:rFonts w:ascii="Times New Roman" w:hAnsi="Times New Roman" w:cs="Times New Roman"/>
          <w:szCs w:val="20"/>
        </w:rPr>
        <w:t>CNPJ – C</w:t>
      </w:r>
      <w:r w:rsidRPr="00FA3856">
        <w:rPr>
          <w:rFonts w:ascii="Times New Roman" w:hAnsi="Times New Roman" w:cs="Times New Roman"/>
          <w:szCs w:val="20"/>
        </w:rPr>
        <w:t xml:space="preserve">ampo CNPJ (CNPJ BÁSICO – 8 primeiras posições); </w:t>
      </w:r>
    </w:p>
    <w:p w:rsidR="00900CFE" w:rsidRPr="00FA3856" w:rsidRDefault="00900CFE" w:rsidP="00900CFE">
      <w:pPr>
        <w:pStyle w:val="NormalWeb"/>
        <w:widowControl w:val="0"/>
        <w:autoSpaceDE w:val="0"/>
        <w:autoSpaceDN w:val="0"/>
        <w:adjustRightInd w:val="0"/>
        <w:spacing w:before="0" w:after="0"/>
        <w:ind w:left="708" w:firstLine="708"/>
        <w:rPr>
          <w:rFonts w:ascii="Times New Roman" w:hAnsi="Times New Roman" w:cs="Times New Roman"/>
          <w:szCs w:val="20"/>
          <w:lang w:val="pt-PT"/>
        </w:rPr>
      </w:pPr>
      <w:r w:rsidRPr="00FA3856">
        <w:rPr>
          <w:rFonts w:ascii="Times New Roman" w:hAnsi="Times New Roman" w:cs="Times New Roman"/>
          <w:szCs w:val="20"/>
        </w:rPr>
        <w:t xml:space="preserve">- </w:t>
      </w:r>
      <w:r w:rsidRPr="00FA3856">
        <w:rPr>
          <w:rFonts w:ascii="Times New Roman" w:hAnsi="Times New Roman" w:cs="Times New Roman"/>
          <w:szCs w:val="20"/>
          <w:lang w:val="pt-PT"/>
        </w:rPr>
        <w:t>0000.COD_SCP</w:t>
      </w:r>
      <w:r w:rsidR="00B60579">
        <w:rPr>
          <w:rFonts w:ascii="Times New Roman" w:hAnsi="Times New Roman" w:cs="Times New Roman"/>
          <w:szCs w:val="20"/>
          <w:lang w:val="pt-PT"/>
        </w:rPr>
        <w:t xml:space="preserve"> – Campo CNPJ </w:t>
      </w:r>
      <w:r w:rsidR="00E12240" w:rsidRPr="00FA3856">
        <w:rPr>
          <w:rFonts w:ascii="Times New Roman" w:hAnsi="Times New Roman" w:cs="Times New Roman"/>
          <w:szCs w:val="20"/>
          <w:lang w:val="pt-PT"/>
        </w:rPr>
        <w:t>da SCP</w:t>
      </w:r>
      <w:r w:rsidRPr="00FA3856">
        <w:rPr>
          <w:rFonts w:ascii="Times New Roman" w:hAnsi="Times New Roman" w:cs="Times New Roman"/>
          <w:szCs w:val="20"/>
          <w:lang w:val="pt-PT"/>
        </w:rPr>
        <w:t>; e</w:t>
      </w:r>
    </w:p>
    <w:p w:rsidR="00900CFE" w:rsidRPr="00FA3856" w:rsidRDefault="00900CFE" w:rsidP="00900CFE">
      <w:pPr>
        <w:pStyle w:val="NormalWeb"/>
        <w:widowControl w:val="0"/>
        <w:autoSpaceDE w:val="0"/>
        <w:autoSpaceDN w:val="0"/>
        <w:adjustRightInd w:val="0"/>
        <w:spacing w:before="0" w:after="0"/>
        <w:ind w:left="708" w:firstLine="708"/>
        <w:rPr>
          <w:rFonts w:ascii="Times New Roman" w:hAnsi="Times New Roman" w:cs="Times New Roman"/>
          <w:szCs w:val="20"/>
          <w:lang w:val="pt-PT"/>
        </w:rPr>
      </w:pPr>
      <w:r w:rsidRPr="00FA3856">
        <w:rPr>
          <w:rFonts w:ascii="Times New Roman" w:hAnsi="Times New Roman" w:cs="Times New Roman"/>
          <w:szCs w:val="20"/>
          <w:lang w:val="pt-PT"/>
        </w:rPr>
        <w:t>- 0000.DT_FIN</w:t>
      </w:r>
      <w:r w:rsidR="00E12240" w:rsidRPr="00FA3856">
        <w:rPr>
          <w:rFonts w:ascii="Times New Roman" w:hAnsi="Times New Roman" w:cs="Times New Roman"/>
          <w:szCs w:val="20"/>
          <w:lang w:val="pt-PT"/>
        </w:rPr>
        <w:t xml:space="preserve"> – Campo data fim da ECF</w:t>
      </w:r>
      <w:r w:rsidRPr="00FA3856">
        <w:rPr>
          <w:rFonts w:ascii="Times New Roman" w:hAnsi="Times New Roman" w:cs="Times New Roman"/>
          <w:szCs w:val="20"/>
          <w:lang w:val="pt-PT"/>
        </w:rPr>
        <w:t>.</w:t>
      </w:r>
    </w:p>
    <w:p w:rsidR="0083187A" w:rsidRPr="00FA3856" w:rsidRDefault="0083187A" w:rsidP="00900CFE">
      <w:pPr>
        <w:pStyle w:val="NormalWeb"/>
        <w:widowControl w:val="0"/>
        <w:autoSpaceDE w:val="0"/>
        <w:autoSpaceDN w:val="0"/>
        <w:adjustRightInd w:val="0"/>
        <w:spacing w:before="0" w:after="0"/>
        <w:ind w:left="708" w:firstLine="708"/>
        <w:rPr>
          <w:rFonts w:ascii="Times New Roman" w:hAnsi="Times New Roman" w:cs="Times New Roman"/>
          <w:szCs w:val="20"/>
          <w:lang w:val="pt-PT"/>
        </w:rPr>
      </w:pPr>
    </w:p>
    <w:p w:rsidR="0083187A" w:rsidRPr="00FA3856" w:rsidRDefault="0083187A" w:rsidP="0083187A">
      <w:pPr>
        <w:ind w:firstLine="708"/>
        <w:rPr>
          <w:szCs w:val="20"/>
          <w:lang w:val="pt-PT"/>
        </w:rPr>
      </w:pPr>
      <w:r w:rsidRPr="00FA3856">
        <w:rPr>
          <w:szCs w:val="20"/>
          <w:lang w:val="pt-PT"/>
        </w:rPr>
        <w:t>Considerando a existência de apenas uma situação especial ou evento no ano</w:t>
      </w:r>
      <w:r w:rsidRPr="00FA3856">
        <w:rPr>
          <w:b/>
          <w:szCs w:val="20"/>
          <w:lang w:val="pt-PT"/>
        </w:rPr>
        <w:t>:</w:t>
      </w:r>
    </w:p>
    <w:p w:rsidR="0083187A" w:rsidRPr="00FA3856" w:rsidRDefault="0083187A" w:rsidP="0083187A">
      <w:pPr>
        <w:rPr>
          <w:szCs w:val="20"/>
          <w:lang w:val="pt-PT"/>
        </w:rPr>
      </w:pPr>
    </w:p>
    <w:tbl>
      <w:tblPr>
        <w:tblW w:w="163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6"/>
        <w:gridCol w:w="4102"/>
        <w:gridCol w:w="3621"/>
        <w:gridCol w:w="5214"/>
      </w:tblGrid>
      <w:tr w:rsidR="0083187A" w:rsidRPr="00892DF6" w:rsidTr="0016182D">
        <w:trPr>
          <w:tblHeader/>
          <w:jc w:val="center"/>
        </w:trPr>
        <w:tc>
          <w:tcPr>
            <w:tcW w:w="3436" w:type="dxa"/>
            <w:shd w:val="solid" w:color="D6E3BC" w:fill="auto"/>
          </w:tcPr>
          <w:p w:rsidR="0083187A" w:rsidRPr="00892DF6" w:rsidRDefault="0083187A" w:rsidP="0083187A">
            <w:pPr>
              <w:jc w:val="center"/>
              <w:rPr>
                <w:b/>
                <w:szCs w:val="20"/>
              </w:rPr>
            </w:pPr>
            <w:r w:rsidRPr="00892DF6">
              <w:rPr>
                <w:b/>
                <w:szCs w:val="20"/>
              </w:rPr>
              <w:t xml:space="preserve">SITUAÇÃO ESPECIAL </w:t>
            </w:r>
          </w:p>
          <w:p w:rsidR="0083187A" w:rsidRPr="00892DF6" w:rsidRDefault="00E00235" w:rsidP="0083187A">
            <w:pPr>
              <w:jc w:val="center"/>
              <w:rPr>
                <w:b/>
                <w:szCs w:val="20"/>
              </w:rPr>
            </w:pPr>
            <w:r w:rsidRPr="00892DF6">
              <w:rPr>
                <w:b/>
                <w:szCs w:val="20"/>
              </w:rPr>
              <w:t>OU EVENTO</w:t>
            </w:r>
          </w:p>
        </w:tc>
        <w:tc>
          <w:tcPr>
            <w:tcW w:w="4102" w:type="dxa"/>
            <w:shd w:val="solid" w:color="D6E3BC" w:fill="auto"/>
          </w:tcPr>
          <w:p w:rsidR="0083187A" w:rsidRPr="00892DF6" w:rsidRDefault="0083187A" w:rsidP="0083187A">
            <w:pPr>
              <w:jc w:val="center"/>
              <w:rPr>
                <w:b/>
                <w:szCs w:val="20"/>
              </w:rPr>
            </w:pPr>
            <w:r w:rsidRPr="00892DF6">
              <w:rPr>
                <w:b/>
                <w:szCs w:val="20"/>
              </w:rPr>
              <w:t>ESCRITURAÇÕES</w:t>
            </w:r>
          </w:p>
        </w:tc>
        <w:tc>
          <w:tcPr>
            <w:tcW w:w="3621" w:type="dxa"/>
            <w:shd w:val="solid" w:color="D6E3BC" w:fill="auto"/>
          </w:tcPr>
          <w:p w:rsidR="0083187A" w:rsidRPr="00892DF6" w:rsidRDefault="0083187A" w:rsidP="0083187A">
            <w:pPr>
              <w:jc w:val="center"/>
              <w:rPr>
                <w:b/>
                <w:szCs w:val="20"/>
              </w:rPr>
            </w:pPr>
            <w:r w:rsidRPr="00892DF6">
              <w:rPr>
                <w:b/>
                <w:szCs w:val="20"/>
              </w:rPr>
              <w:t>PRAZO DE ENTREGA</w:t>
            </w:r>
          </w:p>
        </w:tc>
        <w:tc>
          <w:tcPr>
            <w:tcW w:w="5214" w:type="dxa"/>
            <w:shd w:val="solid" w:color="D6E3BC" w:fill="auto"/>
          </w:tcPr>
          <w:p w:rsidR="0083187A" w:rsidRPr="00892DF6" w:rsidRDefault="0083187A" w:rsidP="0083187A">
            <w:pPr>
              <w:jc w:val="center"/>
              <w:rPr>
                <w:b/>
                <w:szCs w:val="20"/>
              </w:rPr>
            </w:pPr>
            <w:r w:rsidRPr="00892DF6">
              <w:rPr>
                <w:b/>
                <w:szCs w:val="20"/>
              </w:rPr>
              <w:t>EXCEÇÕES</w:t>
            </w:r>
          </w:p>
        </w:tc>
      </w:tr>
      <w:tr w:rsidR="0083187A" w:rsidRPr="00892DF6" w:rsidTr="0016182D">
        <w:trPr>
          <w:jc w:val="center"/>
        </w:trPr>
        <w:tc>
          <w:tcPr>
            <w:tcW w:w="3436" w:type="dxa"/>
          </w:tcPr>
          <w:p w:rsidR="0083187A" w:rsidRPr="00892DF6" w:rsidRDefault="0083187A" w:rsidP="0083187A">
            <w:pPr>
              <w:rPr>
                <w:szCs w:val="20"/>
              </w:rPr>
            </w:pPr>
            <w:r w:rsidRPr="00892DF6">
              <w:rPr>
                <w:szCs w:val="20"/>
              </w:rPr>
              <w:t xml:space="preserve">1 </w:t>
            </w:r>
            <w:r w:rsidR="00F65296" w:rsidRPr="00892DF6">
              <w:rPr>
                <w:szCs w:val="20"/>
              </w:rPr>
              <w:t>–</w:t>
            </w:r>
            <w:r w:rsidRPr="00892DF6">
              <w:rPr>
                <w:szCs w:val="20"/>
              </w:rPr>
              <w:t xml:space="preserve"> Extinção</w:t>
            </w:r>
          </w:p>
        </w:tc>
        <w:tc>
          <w:tcPr>
            <w:tcW w:w="4102" w:type="dxa"/>
          </w:tcPr>
          <w:p w:rsidR="0083187A" w:rsidRPr="00892DF6" w:rsidRDefault="0083187A" w:rsidP="0083187A">
            <w:pPr>
              <w:rPr>
                <w:szCs w:val="20"/>
              </w:rPr>
            </w:pPr>
            <w:r w:rsidRPr="00892DF6">
              <w:rPr>
                <w:szCs w:val="20"/>
              </w:rPr>
              <w:t>Uma única ECF com data final igual a data da situação especial.</w:t>
            </w:r>
          </w:p>
        </w:tc>
        <w:tc>
          <w:tcPr>
            <w:tcW w:w="3621" w:type="dxa"/>
          </w:tcPr>
          <w:p w:rsidR="0083187A" w:rsidRPr="00892DF6" w:rsidRDefault="0083187A" w:rsidP="0083187A">
            <w:pPr>
              <w:rPr>
                <w:szCs w:val="20"/>
              </w:rPr>
            </w:pPr>
            <w:r w:rsidRPr="00892DF6">
              <w:rPr>
                <w:szCs w:val="20"/>
              </w:rPr>
              <w:t xml:space="preserve">Até o último dia útil do </w:t>
            </w:r>
            <w:r w:rsidR="000D0DD5" w:rsidRPr="00892DF6">
              <w:rPr>
                <w:szCs w:val="20"/>
              </w:rPr>
              <w:t xml:space="preserve">3º (terceiro) </w:t>
            </w:r>
            <w:r w:rsidRPr="00892DF6">
              <w:rPr>
                <w:szCs w:val="20"/>
              </w:rPr>
              <w:t xml:space="preserve">mês subsequente à data da situação especial. </w:t>
            </w:r>
          </w:p>
        </w:tc>
        <w:tc>
          <w:tcPr>
            <w:tcW w:w="5214" w:type="dxa"/>
          </w:tcPr>
          <w:p w:rsidR="0083187A" w:rsidRPr="00892DF6" w:rsidRDefault="0083187A" w:rsidP="000D0DD5">
            <w:pPr>
              <w:rPr>
                <w:szCs w:val="20"/>
              </w:rPr>
            </w:pPr>
            <w:r w:rsidRPr="00892DF6">
              <w:rPr>
                <w:szCs w:val="20"/>
              </w:rPr>
              <w:t xml:space="preserve">Para situações especiais que ocorrerem entre janeiro </w:t>
            </w:r>
            <w:r w:rsidR="00B06BD7" w:rsidRPr="00892DF6">
              <w:rPr>
                <w:szCs w:val="20"/>
              </w:rPr>
              <w:t xml:space="preserve">e </w:t>
            </w:r>
            <w:r w:rsidR="000D0DD5" w:rsidRPr="00892DF6">
              <w:rPr>
                <w:szCs w:val="20"/>
              </w:rPr>
              <w:t>abril</w:t>
            </w:r>
            <w:r w:rsidRPr="00892DF6">
              <w:rPr>
                <w:szCs w:val="20"/>
              </w:rPr>
              <w:t xml:space="preserve"> do ano calendário, a entrega é até o último d</w:t>
            </w:r>
            <w:r w:rsidR="00F73BB4" w:rsidRPr="00892DF6">
              <w:rPr>
                <w:szCs w:val="20"/>
              </w:rPr>
              <w:t xml:space="preserve">ia útil do mês de </w:t>
            </w:r>
            <w:r w:rsidR="000D0DD5" w:rsidRPr="00892DF6">
              <w:rPr>
                <w:szCs w:val="20"/>
              </w:rPr>
              <w:t>jul</w:t>
            </w:r>
            <w:r w:rsidR="00BE685F" w:rsidRPr="00892DF6">
              <w:rPr>
                <w:szCs w:val="20"/>
              </w:rPr>
              <w:t>ho</w:t>
            </w:r>
            <w:r w:rsidRPr="00892DF6">
              <w:rPr>
                <w:szCs w:val="20"/>
              </w:rPr>
              <w:t xml:space="preserve">. </w:t>
            </w:r>
          </w:p>
        </w:tc>
      </w:tr>
      <w:tr w:rsidR="000D0DD5" w:rsidRPr="00892DF6" w:rsidTr="0016182D">
        <w:trPr>
          <w:jc w:val="center"/>
        </w:trPr>
        <w:tc>
          <w:tcPr>
            <w:tcW w:w="3436" w:type="dxa"/>
          </w:tcPr>
          <w:p w:rsidR="000D0DD5" w:rsidRPr="00892DF6" w:rsidRDefault="000D0DD5" w:rsidP="000D0DD5">
            <w:pPr>
              <w:rPr>
                <w:szCs w:val="20"/>
              </w:rPr>
            </w:pPr>
            <w:r w:rsidRPr="00892DF6">
              <w:rPr>
                <w:szCs w:val="20"/>
              </w:rPr>
              <w:t>2 – Fusão</w:t>
            </w:r>
          </w:p>
        </w:tc>
        <w:tc>
          <w:tcPr>
            <w:tcW w:w="4102" w:type="dxa"/>
          </w:tcPr>
          <w:p w:rsidR="000D0DD5" w:rsidRPr="00892DF6" w:rsidRDefault="000D0DD5" w:rsidP="000D0DD5">
            <w:pPr>
              <w:rPr>
                <w:szCs w:val="20"/>
              </w:rPr>
            </w:pPr>
            <w:r w:rsidRPr="00892DF6">
              <w:rPr>
                <w:szCs w:val="20"/>
              </w:rPr>
              <w:t>Uma única ECF com data final igual a data da situação especial.</w:t>
            </w:r>
          </w:p>
        </w:tc>
        <w:tc>
          <w:tcPr>
            <w:tcW w:w="3621" w:type="dxa"/>
          </w:tcPr>
          <w:p w:rsidR="000D0DD5" w:rsidRPr="00892DF6" w:rsidRDefault="000D0DD5" w:rsidP="000D0DD5">
            <w:pPr>
              <w:rPr>
                <w:szCs w:val="20"/>
              </w:rPr>
            </w:pPr>
            <w:r w:rsidRPr="00892DF6">
              <w:rPr>
                <w:szCs w:val="20"/>
              </w:rPr>
              <w:t xml:space="preserve">Até o último dia útil do 3º (terceiro) mês subsequente à data da situação especial. </w:t>
            </w:r>
          </w:p>
        </w:tc>
        <w:tc>
          <w:tcPr>
            <w:tcW w:w="5214" w:type="dxa"/>
          </w:tcPr>
          <w:p w:rsidR="000D0DD5" w:rsidRPr="00892DF6" w:rsidRDefault="000D0DD5" w:rsidP="000D0DD5">
            <w:pPr>
              <w:rPr>
                <w:szCs w:val="20"/>
              </w:rPr>
            </w:pPr>
            <w:r w:rsidRPr="00892DF6">
              <w:rPr>
                <w:szCs w:val="20"/>
              </w:rPr>
              <w:t xml:space="preserve">Para situações especiais que ocorrerem entre janeiro e abril do ano calendário, a entrega é até o último dia útil do mês de julho. </w:t>
            </w:r>
          </w:p>
        </w:tc>
      </w:tr>
      <w:tr w:rsidR="000D0DD5" w:rsidRPr="00892DF6" w:rsidTr="0016182D">
        <w:trPr>
          <w:jc w:val="center"/>
        </w:trPr>
        <w:tc>
          <w:tcPr>
            <w:tcW w:w="3436" w:type="dxa"/>
          </w:tcPr>
          <w:p w:rsidR="000D0DD5" w:rsidRPr="00892DF6" w:rsidRDefault="000D0DD5" w:rsidP="000D0DD5">
            <w:pPr>
              <w:rPr>
                <w:szCs w:val="20"/>
              </w:rPr>
            </w:pPr>
            <w:r w:rsidRPr="00892DF6">
              <w:rPr>
                <w:szCs w:val="20"/>
              </w:rPr>
              <w:t>3 - Incorporação \ Incorporada</w:t>
            </w:r>
          </w:p>
        </w:tc>
        <w:tc>
          <w:tcPr>
            <w:tcW w:w="4102" w:type="dxa"/>
          </w:tcPr>
          <w:p w:rsidR="000D0DD5" w:rsidRPr="00892DF6" w:rsidRDefault="000D0DD5" w:rsidP="000D0DD5">
            <w:pPr>
              <w:rPr>
                <w:szCs w:val="20"/>
              </w:rPr>
            </w:pPr>
            <w:r w:rsidRPr="00892DF6">
              <w:rPr>
                <w:szCs w:val="20"/>
              </w:rPr>
              <w:t>Uma única ECF com data final igual a data da situação especial.</w:t>
            </w:r>
          </w:p>
        </w:tc>
        <w:tc>
          <w:tcPr>
            <w:tcW w:w="3621" w:type="dxa"/>
          </w:tcPr>
          <w:p w:rsidR="000D0DD5" w:rsidRPr="00892DF6" w:rsidRDefault="000D0DD5" w:rsidP="000D0DD5">
            <w:pPr>
              <w:rPr>
                <w:szCs w:val="20"/>
              </w:rPr>
            </w:pPr>
            <w:r w:rsidRPr="00892DF6">
              <w:rPr>
                <w:szCs w:val="20"/>
              </w:rPr>
              <w:t xml:space="preserve">Até o último dia útil do 3º (terceiro) mês subsequente à data da situação especial. </w:t>
            </w:r>
          </w:p>
        </w:tc>
        <w:tc>
          <w:tcPr>
            <w:tcW w:w="5214" w:type="dxa"/>
          </w:tcPr>
          <w:p w:rsidR="000D0DD5" w:rsidRPr="00892DF6" w:rsidRDefault="000D0DD5" w:rsidP="000D0DD5">
            <w:pPr>
              <w:rPr>
                <w:szCs w:val="20"/>
              </w:rPr>
            </w:pPr>
            <w:r w:rsidRPr="00892DF6">
              <w:rPr>
                <w:szCs w:val="20"/>
              </w:rPr>
              <w:t xml:space="preserve">Para situações especiais que ocorrerem entre janeiro e abril do ano calendário, a entrega é até o último dia útil do mês de julho. </w:t>
            </w:r>
          </w:p>
        </w:tc>
      </w:tr>
      <w:tr w:rsidR="0083187A" w:rsidRPr="00892DF6" w:rsidTr="0016182D">
        <w:trPr>
          <w:jc w:val="center"/>
        </w:trPr>
        <w:tc>
          <w:tcPr>
            <w:tcW w:w="3436" w:type="dxa"/>
          </w:tcPr>
          <w:p w:rsidR="0083187A" w:rsidRPr="00892DF6" w:rsidRDefault="0083187A" w:rsidP="0083187A">
            <w:pPr>
              <w:rPr>
                <w:szCs w:val="20"/>
              </w:rPr>
            </w:pPr>
            <w:r w:rsidRPr="00892DF6">
              <w:rPr>
                <w:szCs w:val="20"/>
              </w:rPr>
              <w:t>4 - Incorporação \ Incorporadora</w:t>
            </w:r>
          </w:p>
        </w:tc>
        <w:tc>
          <w:tcPr>
            <w:tcW w:w="4102" w:type="dxa"/>
          </w:tcPr>
          <w:p w:rsidR="0083187A" w:rsidRPr="00892DF6" w:rsidRDefault="0083187A" w:rsidP="0083187A">
            <w:pPr>
              <w:rPr>
                <w:szCs w:val="20"/>
              </w:rPr>
            </w:pPr>
            <w:r w:rsidRPr="00892DF6">
              <w:rPr>
                <w:szCs w:val="20"/>
              </w:rPr>
              <w:t>Duas ECF:</w:t>
            </w:r>
          </w:p>
          <w:p w:rsidR="0083187A" w:rsidRPr="00892DF6" w:rsidRDefault="0083187A" w:rsidP="00EE77FB">
            <w:pPr>
              <w:widowControl w:val="0"/>
              <w:numPr>
                <w:ilvl w:val="0"/>
                <w:numId w:val="8"/>
              </w:numPr>
              <w:autoSpaceDE w:val="0"/>
              <w:autoSpaceDN w:val="0"/>
              <w:adjustRightInd w:val="0"/>
              <w:ind w:left="360"/>
              <w:rPr>
                <w:szCs w:val="20"/>
              </w:rPr>
            </w:pPr>
            <w:r w:rsidRPr="00892DF6">
              <w:rPr>
                <w:szCs w:val="20"/>
              </w:rPr>
              <w:t>Uma com data final igual a data da situação especial.</w:t>
            </w:r>
          </w:p>
          <w:p w:rsidR="0083187A" w:rsidRPr="00892DF6" w:rsidRDefault="0083187A" w:rsidP="00EE77FB">
            <w:pPr>
              <w:widowControl w:val="0"/>
              <w:numPr>
                <w:ilvl w:val="0"/>
                <w:numId w:val="8"/>
              </w:numPr>
              <w:autoSpaceDE w:val="0"/>
              <w:autoSpaceDN w:val="0"/>
              <w:adjustRightInd w:val="0"/>
              <w:ind w:left="360"/>
              <w:jc w:val="both"/>
              <w:rPr>
                <w:szCs w:val="20"/>
              </w:rPr>
            </w:pPr>
            <w:r w:rsidRPr="00892DF6">
              <w:rPr>
                <w:szCs w:val="20"/>
              </w:rPr>
              <w:t>Outra com data inicial igual a data imediatamente posterior à situação especial. O indicador de início do período deve ser igual a 2 (resultante de cisão/fusão ou remanescente de cisão, ou realizou incorporação).</w:t>
            </w:r>
            <w:r w:rsidR="00C61FEC" w:rsidRPr="00892DF6">
              <w:rPr>
                <w:szCs w:val="20"/>
              </w:rPr>
              <w:t xml:space="preserve">  O campo situação especial deve ser preenchido com “0” (Normal).</w:t>
            </w:r>
          </w:p>
        </w:tc>
        <w:tc>
          <w:tcPr>
            <w:tcW w:w="3621" w:type="dxa"/>
          </w:tcPr>
          <w:p w:rsidR="0083187A" w:rsidRPr="00892DF6" w:rsidRDefault="0083187A" w:rsidP="00EE77FB">
            <w:pPr>
              <w:widowControl w:val="0"/>
              <w:numPr>
                <w:ilvl w:val="0"/>
                <w:numId w:val="6"/>
              </w:numPr>
              <w:autoSpaceDE w:val="0"/>
              <w:autoSpaceDN w:val="0"/>
              <w:adjustRightInd w:val="0"/>
              <w:rPr>
                <w:szCs w:val="20"/>
              </w:rPr>
            </w:pPr>
            <w:r w:rsidRPr="00892DF6">
              <w:rPr>
                <w:szCs w:val="20"/>
              </w:rPr>
              <w:t xml:space="preserve">A primeira deve ser entregue até o último dia útil do </w:t>
            </w:r>
            <w:r w:rsidR="000D0DD5" w:rsidRPr="00892DF6">
              <w:rPr>
                <w:szCs w:val="20"/>
              </w:rPr>
              <w:t xml:space="preserve">3º (terceiro) </w:t>
            </w:r>
            <w:r w:rsidRPr="00892DF6">
              <w:rPr>
                <w:szCs w:val="20"/>
              </w:rPr>
              <w:t>mês subsequente à data da situação especial.</w:t>
            </w:r>
          </w:p>
          <w:p w:rsidR="0083187A" w:rsidRPr="00892DF6" w:rsidRDefault="0083187A" w:rsidP="00EE77FB">
            <w:pPr>
              <w:widowControl w:val="0"/>
              <w:numPr>
                <w:ilvl w:val="0"/>
                <w:numId w:val="6"/>
              </w:numPr>
              <w:autoSpaceDE w:val="0"/>
              <w:autoSpaceDN w:val="0"/>
              <w:adjustRightInd w:val="0"/>
              <w:rPr>
                <w:szCs w:val="20"/>
              </w:rPr>
            </w:pPr>
            <w:r w:rsidRPr="00892DF6">
              <w:rPr>
                <w:szCs w:val="20"/>
              </w:rPr>
              <w:t>A segunda deve ser entregue no prazo das ECF normais.</w:t>
            </w:r>
          </w:p>
          <w:p w:rsidR="0083187A" w:rsidRPr="00892DF6" w:rsidRDefault="0083187A" w:rsidP="0083187A">
            <w:pPr>
              <w:rPr>
                <w:szCs w:val="20"/>
              </w:rPr>
            </w:pPr>
          </w:p>
        </w:tc>
        <w:tc>
          <w:tcPr>
            <w:tcW w:w="5214" w:type="dxa"/>
          </w:tcPr>
          <w:p w:rsidR="0083187A" w:rsidRPr="00892DF6" w:rsidRDefault="0083187A" w:rsidP="00EE77FB">
            <w:pPr>
              <w:widowControl w:val="0"/>
              <w:numPr>
                <w:ilvl w:val="0"/>
                <w:numId w:val="6"/>
              </w:numPr>
              <w:autoSpaceDE w:val="0"/>
              <w:autoSpaceDN w:val="0"/>
              <w:adjustRightInd w:val="0"/>
              <w:rPr>
                <w:szCs w:val="20"/>
              </w:rPr>
            </w:pPr>
            <w:r w:rsidRPr="00892DF6">
              <w:rPr>
                <w:szCs w:val="20"/>
              </w:rPr>
              <w:t xml:space="preserve">Para situações especiais que ocorrerem entre janeiro e </w:t>
            </w:r>
            <w:r w:rsidR="000D0DD5" w:rsidRPr="00892DF6">
              <w:rPr>
                <w:szCs w:val="20"/>
              </w:rPr>
              <w:t>abril</w:t>
            </w:r>
            <w:r w:rsidRPr="00892DF6">
              <w:rPr>
                <w:szCs w:val="20"/>
              </w:rPr>
              <w:t xml:space="preserve"> do ano calendário, a entrega é até</w:t>
            </w:r>
            <w:r w:rsidR="00F73BB4" w:rsidRPr="00892DF6">
              <w:rPr>
                <w:szCs w:val="20"/>
              </w:rPr>
              <w:t xml:space="preserve"> o último dia útil do mês de </w:t>
            </w:r>
            <w:r w:rsidR="000D0DD5" w:rsidRPr="00892DF6">
              <w:rPr>
                <w:szCs w:val="20"/>
              </w:rPr>
              <w:t>jul</w:t>
            </w:r>
            <w:r w:rsidR="00BE685F" w:rsidRPr="00892DF6">
              <w:rPr>
                <w:szCs w:val="20"/>
              </w:rPr>
              <w:t>ho</w:t>
            </w:r>
            <w:r w:rsidRPr="00892DF6">
              <w:rPr>
                <w:szCs w:val="20"/>
              </w:rPr>
              <w:t xml:space="preserve">. </w:t>
            </w:r>
          </w:p>
          <w:p w:rsidR="0083187A" w:rsidRPr="00892DF6" w:rsidRDefault="0083187A" w:rsidP="00EE77FB">
            <w:pPr>
              <w:widowControl w:val="0"/>
              <w:numPr>
                <w:ilvl w:val="0"/>
                <w:numId w:val="6"/>
              </w:numPr>
              <w:autoSpaceDE w:val="0"/>
              <w:autoSpaceDN w:val="0"/>
              <w:adjustRightInd w:val="0"/>
              <w:rPr>
                <w:szCs w:val="20"/>
              </w:rPr>
            </w:pPr>
            <w:r w:rsidRPr="00892DF6">
              <w:rPr>
                <w:szCs w:val="20"/>
              </w:rPr>
              <w:t>No caso de incorporada e incorporadora estiverem sobre o mesmo controle societário desde o ano calendário anterior ao evento não é necessária a entrega de ECF de situação especial.</w:t>
            </w:r>
          </w:p>
        </w:tc>
      </w:tr>
      <w:tr w:rsidR="000D0DD5" w:rsidRPr="00892DF6" w:rsidTr="0016182D">
        <w:trPr>
          <w:jc w:val="center"/>
        </w:trPr>
        <w:tc>
          <w:tcPr>
            <w:tcW w:w="3436" w:type="dxa"/>
          </w:tcPr>
          <w:p w:rsidR="000D0DD5" w:rsidRPr="00892DF6" w:rsidRDefault="000D0DD5" w:rsidP="000D0DD5">
            <w:pPr>
              <w:rPr>
                <w:szCs w:val="20"/>
              </w:rPr>
            </w:pPr>
            <w:r w:rsidRPr="00892DF6">
              <w:rPr>
                <w:szCs w:val="20"/>
              </w:rPr>
              <w:t>5 - Cisão total</w:t>
            </w:r>
          </w:p>
        </w:tc>
        <w:tc>
          <w:tcPr>
            <w:tcW w:w="4102" w:type="dxa"/>
          </w:tcPr>
          <w:p w:rsidR="000D0DD5" w:rsidRPr="00892DF6" w:rsidRDefault="000D0DD5" w:rsidP="000D0DD5">
            <w:pPr>
              <w:rPr>
                <w:szCs w:val="20"/>
              </w:rPr>
            </w:pPr>
            <w:r w:rsidRPr="00892DF6">
              <w:rPr>
                <w:szCs w:val="20"/>
              </w:rPr>
              <w:t>Uma única ECF com data final igual a data da situação especial.</w:t>
            </w:r>
          </w:p>
          <w:p w:rsidR="000D0DD5" w:rsidRPr="00892DF6" w:rsidRDefault="000D0DD5" w:rsidP="000D0DD5">
            <w:pPr>
              <w:rPr>
                <w:szCs w:val="20"/>
              </w:rPr>
            </w:pPr>
          </w:p>
          <w:p w:rsidR="000D0DD5" w:rsidRPr="00892DF6" w:rsidRDefault="000D0DD5" w:rsidP="000D0DD5">
            <w:pPr>
              <w:rPr>
                <w:szCs w:val="20"/>
              </w:rPr>
            </w:pPr>
          </w:p>
          <w:p w:rsidR="000D0DD5" w:rsidRPr="00892DF6" w:rsidRDefault="000D0DD5" w:rsidP="000D0DD5">
            <w:pPr>
              <w:rPr>
                <w:szCs w:val="20"/>
              </w:rPr>
            </w:pPr>
          </w:p>
          <w:p w:rsidR="000D0DD5" w:rsidRPr="00892DF6" w:rsidRDefault="000D0DD5" w:rsidP="000D0DD5">
            <w:pPr>
              <w:rPr>
                <w:szCs w:val="20"/>
              </w:rPr>
            </w:pPr>
          </w:p>
        </w:tc>
        <w:tc>
          <w:tcPr>
            <w:tcW w:w="3621" w:type="dxa"/>
          </w:tcPr>
          <w:p w:rsidR="000D0DD5" w:rsidRPr="00892DF6" w:rsidRDefault="000D0DD5" w:rsidP="000D0DD5">
            <w:pPr>
              <w:rPr>
                <w:szCs w:val="20"/>
              </w:rPr>
            </w:pPr>
            <w:r w:rsidRPr="00892DF6">
              <w:rPr>
                <w:szCs w:val="20"/>
              </w:rPr>
              <w:t xml:space="preserve">Até o último dia útil do 3º (terceiro) mês subsequente à data da situação especial. </w:t>
            </w:r>
          </w:p>
        </w:tc>
        <w:tc>
          <w:tcPr>
            <w:tcW w:w="5214" w:type="dxa"/>
          </w:tcPr>
          <w:p w:rsidR="000D0DD5" w:rsidRPr="00892DF6" w:rsidRDefault="000D0DD5" w:rsidP="000D0DD5">
            <w:pPr>
              <w:rPr>
                <w:szCs w:val="20"/>
              </w:rPr>
            </w:pPr>
            <w:r w:rsidRPr="00892DF6">
              <w:rPr>
                <w:szCs w:val="20"/>
              </w:rPr>
              <w:t xml:space="preserve">Para situações especiais que ocorrerem entre janeiro e abril do ano calendário, a entrega é até o último dia útil do mês de julho. </w:t>
            </w:r>
          </w:p>
        </w:tc>
      </w:tr>
      <w:tr w:rsidR="0083187A" w:rsidRPr="00892DF6" w:rsidTr="0016182D">
        <w:trPr>
          <w:jc w:val="center"/>
        </w:trPr>
        <w:tc>
          <w:tcPr>
            <w:tcW w:w="3436" w:type="dxa"/>
          </w:tcPr>
          <w:p w:rsidR="0083187A" w:rsidRPr="00892DF6" w:rsidRDefault="0083187A" w:rsidP="0083187A">
            <w:pPr>
              <w:rPr>
                <w:szCs w:val="20"/>
              </w:rPr>
            </w:pPr>
            <w:r w:rsidRPr="00892DF6">
              <w:rPr>
                <w:szCs w:val="20"/>
              </w:rPr>
              <w:lastRenderedPageBreak/>
              <w:t>6 - Cisão parcial</w:t>
            </w:r>
          </w:p>
        </w:tc>
        <w:tc>
          <w:tcPr>
            <w:tcW w:w="4102" w:type="dxa"/>
          </w:tcPr>
          <w:p w:rsidR="0083187A" w:rsidRPr="00892DF6" w:rsidRDefault="0083187A" w:rsidP="0083187A">
            <w:pPr>
              <w:rPr>
                <w:szCs w:val="20"/>
              </w:rPr>
            </w:pPr>
            <w:r w:rsidRPr="00892DF6">
              <w:rPr>
                <w:szCs w:val="20"/>
              </w:rPr>
              <w:t>Duas ECF:</w:t>
            </w:r>
          </w:p>
          <w:p w:rsidR="0083187A" w:rsidRPr="00892DF6" w:rsidRDefault="0083187A" w:rsidP="00EE77FB">
            <w:pPr>
              <w:widowControl w:val="0"/>
              <w:numPr>
                <w:ilvl w:val="0"/>
                <w:numId w:val="7"/>
              </w:numPr>
              <w:autoSpaceDE w:val="0"/>
              <w:autoSpaceDN w:val="0"/>
              <w:adjustRightInd w:val="0"/>
              <w:ind w:left="360"/>
              <w:rPr>
                <w:szCs w:val="20"/>
              </w:rPr>
            </w:pPr>
            <w:r w:rsidRPr="00892DF6">
              <w:rPr>
                <w:szCs w:val="20"/>
              </w:rPr>
              <w:t>Uma com data final igual a data da situação especial.</w:t>
            </w:r>
          </w:p>
          <w:p w:rsidR="0083187A" w:rsidRPr="00892DF6" w:rsidRDefault="0083187A" w:rsidP="00EE77FB">
            <w:pPr>
              <w:widowControl w:val="0"/>
              <w:numPr>
                <w:ilvl w:val="0"/>
                <w:numId w:val="7"/>
              </w:numPr>
              <w:autoSpaceDE w:val="0"/>
              <w:autoSpaceDN w:val="0"/>
              <w:adjustRightInd w:val="0"/>
              <w:ind w:left="360"/>
              <w:rPr>
                <w:szCs w:val="20"/>
              </w:rPr>
            </w:pPr>
            <w:r w:rsidRPr="00892DF6">
              <w:rPr>
                <w:szCs w:val="20"/>
              </w:rPr>
              <w:t xml:space="preserve">Outra com data inicial igual a data imediatamente posterior à situação especial. O indicador de início do período deve ser igual a 2 (resultante de cisão/fusão ou remanescente de cisão, ou realizou incorporação).  </w:t>
            </w:r>
            <w:r w:rsidR="00C61FEC" w:rsidRPr="00892DF6">
              <w:rPr>
                <w:szCs w:val="20"/>
              </w:rPr>
              <w:t>O campo situação especial deve ser preenchido com “0” (Normal).</w:t>
            </w:r>
          </w:p>
        </w:tc>
        <w:tc>
          <w:tcPr>
            <w:tcW w:w="3621" w:type="dxa"/>
          </w:tcPr>
          <w:p w:rsidR="0083187A" w:rsidRPr="00892DF6" w:rsidRDefault="0083187A" w:rsidP="00EE77FB">
            <w:pPr>
              <w:widowControl w:val="0"/>
              <w:numPr>
                <w:ilvl w:val="0"/>
                <w:numId w:val="6"/>
              </w:numPr>
              <w:autoSpaceDE w:val="0"/>
              <w:autoSpaceDN w:val="0"/>
              <w:adjustRightInd w:val="0"/>
              <w:rPr>
                <w:szCs w:val="20"/>
              </w:rPr>
            </w:pPr>
            <w:r w:rsidRPr="00892DF6">
              <w:rPr>
                <w:szCs w:val="20"/>
              </w:rPr>
              <w:t xml:space="preserve">A primeira deve </w:t>
            </w:r>
            <w:r w:rsidR="00685FA5" w:rsidRPr="00892DF6">
              <w:rPr>
                <w:szCs w:val="20"/>
              </w:rPr>
              <w:t>ser entregue até o último dia ú</w:t>
            </w:r>
            <w:r w:rsidRPr="00892DF6">
              <w:rPr>
                <w:szCs w:val="20"/>
              </w:rPr>
              <w:t xml:space="preserve">til do </w:t>
            </w:r>
            <w:r w:rsidR="000D0DD5" w:rsidRPr="00892DF6">
              <w:rPr>
                <w:szCs w:val="20"/>
              </w:rPr>
              <w:t xml:space="preserve">3º (terceiro) </w:t>
            </w:r>
            <w:r w:rsidRPr="00892DF6">
              <w:rPr>
                <w:szCs w:val="20"/>
              </w:rPr>
              <w:t>mês subsequente à data da situação especial.</w:t>
            </w:r>
          </w:p>
          <w:p w:rsidR="0083187A" w:rsidRPr="00892DF6" w:rsidRDefault="0083187A" w:rsidP="00EE77FB">
            <w:pPr>
              <w:widowControl w:val="0"/>
              <w:numPr>
                <w:ilvl w:val="0"/>
                <w:numId w:val="6"/>
              </w:numPr>
              <w:autoSpaceDE w:val="0"/>
              <w:autoSpaceDN w:val="0"/>
              <w:adjustRightInd w:val="0"/>
              <w:rPr>
                <w:szCs w:val="20"/>
              </w:rPr>
            </w:pPr>
            <w:r w:rsidRPr="00892DF6">
              <w:rPr>
                <w:szCs w:val="20"/>
              </w:rPr>
              <w:t>A segunda deve ser entregue no prazo das ECF normais.</w:t>
            </w:r>
          </w:p>
          <w:p w:rsidR="0083187A" w:rsidRPr="00892DF6" w:rsidRDefault="0083187A" w:rsidP="0083187A">
            <w:pPr>
              <w:rPr>
                <w:szCs w:val="20"/>
              </w:rPr>
            </w:pPr>
          </w:p>
        </w:tc>
        <w:tc>
          <w:tcPr>
            <w:tcW w:w="5214" w:type="dxa"/>
          </w:tcPr>
          <w:p w:rsidR="0083187A" w:rsidRPr="00892DF6" w:rsidRDefault="00BE685F" w:rsidP="000D0DD5">
            <w:pPr>
              <w:widowControl w:val="0"/>
              <w:autoSpaceDE w:val="0"/>
              <w:autoSpaceDN w:val="0"/>
              <w:adjustRightInd w:val="0"/>
              <w:rPr>
                <w:szCs w:val="20"/>
              </w:rPr>
            </w:pPr>
            <w:r w:rsidRPr="00892DF6">
              <w:rPr>
                <w:szCs w:val="20"/>
              </w:rPr>
              <w:t xml:space="preserve">Para situações especiais que ocorrerem entre janeiro e </w:t>
            </w:r>
            <w:r w:rsidR="000D0DD5" w:rsidRPr="00892DF6">
              <w:rPr>
                <w:szCs w:val="20"/>
              </w:rPr>
              <w:t>abril</w:t>
            </w:r>
            <w:r w:rsidRPr="00892DF6">
              <w:rPr>
                <w:szCs w:val="20"/>
              </w:rPr>
              <w:t xml:space="preserve"> do ano calendário, a entrega é até</w:t>
            </w:r>
            <w:r w:rsidR="000D0DD5" w:rsidRPr="00892DF6">
              <w:rPr>
                <w:szCs w:val="20"/>
              </w:rPr>
              <w:t xml:space="preserve"> o último dia útil do mês de jul</w:t>
            </w:r>
            <w:r w:rsidRPr="00892DF6">
              <w:rPr>
                <w:szCs w:val="20"/>
              </w:rPr>
              <w:t>ho.</w:t>
            </w:r>
          </w:p>
        </w:tc>
      </w:tr>
      <w:tr w:rsidR="0083187A" w:rsidRPr="00892DF6" w:rsidTr="0016182D">
        <w:trPr>
          <w:jc w:val="center"/>
        </w:trPr>
        <w:tc>
          <w:tcPr>
            <w:tcW w:w="3436" w:type="dxa"/>
          </w:tcPr>
          <w:p w:rsidR="0083187A" w:rsidRPr="00892DF6" w:rsidRDefault="0083187A" w:rsidP="0083187A">
            <w:pPr>
              <w:rPr>
                <w:szCs w:val="20"/>
              </w:rPr>
            </w:pPr>
            <w:r w:rsidRPr="00892DF6">
              <w:rPr>
                <w:szCs w:val="20"/>
              </w:rPr>
              <w:t>8 – Desenquadramento de Imune/Isenta</w:t>
            </w:r>
          </w:p>
        </w:tc>
        <w:tc>
          <w:tcPr>
            <w:tcW w:w="4102" w:type="dxa"/>
          </w:tcPr>
          <w:p w:rsidR="0083187A" w:rsidRPr="00892DF6" w:rsidRDefault="0083187A" w:rsidP="0083187A">
            <w:pPr>
              <w:rPr>
                <w:szCs w:val="20"/>
              </w:rPr>
            </w:pPr>
            <w:r w:rsidRPr="00892DF6">
              <w:rPr>
                <w:szCs w:val="20"/>
              </w:rPr>
              <w:t>Duas ECF:</w:t>
            </w:r>
          </w:p>
          <w:p w:rsidR="0083187A" w:rsidRPr="00892DF6" w:rsidRDefault="0083187A" w:rsidP="00EE77FB">
            <w:pPr>
              <w:widowControl w:val="0"/>
              <w:numPr>
                <w:ilvl w:val="0"/>
                <w:numId w:val="7"/>
              </w:numPr>
              <w:autoSpaceDE w:val="0"/>
              <w:autoSpaceDN w:val="0"/>
              <w:adjustRightInd w:val="0"/>
              <w:ind w:left="360"/>
              <w:rPr>
                <w:szCs w:val="20"/>
              </w:rPr>
            </w:pPr>
            <w:r w:rsidRPr="00892DF6">
              <w:rPr>
                <w:szCs w:val="20"/>
              </w:rPr>
              <w:t>Uma com data final igual a data do evento.</w:t>
            </w:r>
          </w:p>
          <w:p w:rsidR="0083187A" w:rsidRPr="00892DF6" w:rsidRDefault="0083187A" w:rsidP="00EE77FB">
            <w:pPr>
              <w:widowControl w:val="0"/>
              <w:numPr>
                <w:ilvl w:val="0"/>
                <w:numId w:val="7"/>
              </w:numPr>
              <w:autoSpaceDE w:val="0"/>
              <w:autoSpaceDN w:val="0"/>
              <w:adjustRightInd w:val="0"/>
              <w:ind w:left="360"/>
              <w:rPr>
                <w:szCs w:val="20"/>
              </w:rPr>
            </w:pPr>
            <w:r w:rsidRPr="00892DF6">
              <w:rPr>
                <w:szCs w:val="20"/>
              </w:rPr>
              <w:t xml:space="preserve">Outra com data inicial igual a data imediatamente posterior ao evento. O indicador de início do período deve ser igual a 4 (Início de obrigatoriedade da entrega no curso do ano calendário).  </w:t>
            </w:r>
            <w:r w:rsidR="00C61FEC" w:rsidRPr="00892DF6">
              <w:rPr>
                <w:szCs w:val="20"/>
              </w:rPr>
              <w:t>O campo situação especial deve ser preenchido com “0” (Normal).</w:t>
            </w:r>
          </w:p>
        </w:tc>
        <w:tc>
          <w:tcPr>
            <w:tcW w:w="3621" w:type="dxa"/>
          </w:tcPr>
          <w:p w:rsidR="0083187A" w:rsidRPr="00892DF6" w:rsidRDefault="0083187A" w:rsidP="0083187A">
            <w:pPr>
              <w:rPr>
                <w:szCs w:val="20"/>
              </w:rPr>
            </w:pPr>
            <w:r w:rsidRPr="00892DF6">
              <w:rPr>
                <w:szCs w:val="20"/>
              </w:rPr>
              <w:t>As duas ECF devem ser entregues no prazo das ECF normais.</w:t>
            </w:r>
          </w:p>
          <w:p w:rsidR="0083187A" w:rsidRPr="00892DF6" w:rsidRDefault="0083187A" w:rsidP="0083187A">
            <w:pPr>
              <w:ind w:left="360"/>
              <w:rPr>
                <w:szCs w:val="20"/>
              </w:rPr>
            </w:pPr>
          </w:p>
        </w:tc>
        <w:tc>
          <w:tcPr>
            <w:tcW w:w="5214" w:type="dxa"/>
          </w:tcPr>
          <w:p w:rsidR="0083187A" w:rsidRPr="00892DF6" w:rsidRDefault="0083187A" w:rsidP="0083187A">
            <w:pPr>
              <w:ind w:left="360"/>
              <w:rPr>
                <w:szCs w:val="20"/>
              </w:rPr>
            </w:pPr>
          </w:p>
        </w:tc>
      </w:tr>
      <w:tr w:rsidR="0083187A" w:rsidRPr="00FA3856" w:rsidTr="0016182D">
        <w:trPr>
          <w:jc w:val="center"/>
        </w:trPr>
        <w:tc>
          <w:tcPr>
            <w:tcW w:w="3436" w:type="dxa"/>
          </w:tcPr>
          <w:p w:rsidR="0083187A" w:rsidRPr="00892DF6" w:rsidRDefault="0083187A" w:rsidP="0083187A">
            <w:pPr>
              <w:rPr>
                <w:szCs w:val="20"/>
              </w:rPr>
            </w:pPr>
            <w:r w:rsidRPr="00892DF6">
              <w:rPr>
                <w:szCs w:val="20"/>
              </w:rPr>
              <w:t>9 – Inclusão no Simples nacional</w:t>
            </w:r>
            <w:r w:rsidR="000654C2">
              <w:rPr>
                <w:szCs w:val="20"/>
              </w:rPr>
              <w:t>: Esse evento indica que a empresa passou a ser do simples nacional.</w:t>
            </w:r>
          </w:p>
        </w:tc>
        <w:tc>
          <w:tcPr>
            <w:tcW w:w="4102" w:type="dxa"/>
          </w:tcPr>
          <w:p w:rsidR="0083187A" w:rsidRPr="00892DF6" w:rsidRDefault="007444ED" w:rsidP="0083187A">
            <w:pPr>
              <w:rPr>
                <w:szCs w:val="20"/>
              </w:rPr>
            </w:pPr>
            <w:r w:rsidRPr="00892DF6">
              <w:rPr>
                <w:szCs w:val="20"/>
              </w:rPr>
              <w:t>Uma</w:t>
            </w:r>
            <w:r w:rsidR="0083187A" w:rsidRPr="00892DF6">
              <w:rPr>
                <w:szCs w:val="20"/>
              </w:rPr>
              <w:t xml:space="preserve"> ECF:</w:t>
            </w:r>
          </w:p>
          <w:p w:rsidR="0083187A" w:rsidRPr="00892DF6" w:rsidRDefault="0083187A" w:rsidP="00EE77FB">
            <w:pPr>
              <w:widowControl w:val="0"/>
              <w:numPr>
                <w:ilvl w:val="0"/>
                <w:numId w:val="7"/>
              </w:numPr>
              <w:autoSpaceDE w:val="0"/>
              <w:autoSpaceDN w:val="0"/>
              <w:adjustRightInd w:val="0"/>
              <w:ind w:left="360"/>
              <w:rPr>
                <w:szCs w:val="20"/>
              </w:rPr>
            </w:pPr>
            <w:r w:rsidRPr="00892DF6">
              <w:rPr>
                <w:szCs w:val="20"/>
              </w:rPr>
              <w:t>Uma com data final igual a data do evento</w:t>
            </w:r>
            <w:r w:rsidR="00BC5498">
              <w:rPr>
                <w:szCs w:val="20"/>
              </w:rPr>
              <w:t xml:space="preserve"> menos um dia</w:t>
            </w:r>
            <w:r w:rsidRPr="00892DF6">
              <w:rPr>
                <w:szCs w:val="20"/>
              </w:rPr>
              <w:t>.</w:t>
            </w:r>
          </w:p>
        </w:tc>
        <w:tc>
          <w:tcPr>
            <w:tcW w:w="3621" w:type="dxa"/>
          </w:tcPr>
          <w:p w:rsidR="0083187A" w:rsidRPr="00FA3856" w:rsidRDefault="007444ED" w:rsidP="0083187A">
            <w:pPr>
              <w:rPr>
                <w:szCs w:val="20"/>
              </w:rPr>
            </w:pPr>
            <w:r w:rsidRPr="00892DF6">
              <w:rPr>
                <w:szCs w:val="20"/>
              </w:rPr>
              <w:t>A ECF deve ser entregue</w:t>
            </w:r>
            <w:r w:rsidR="0083187A" w:rsidRPr="00892DF6">
              <w:rPr>
                <w:szCs w:val="20"/>
              </w:rPr>
              <w:t xml:space="preserve"> no prazo das ECF normais.</w:t>
            </w:r>
          </w:p>
          <w:p w:rsidR="0083187A" w:rsidRPr="00FA3856" w:rsidRDefault="0083187A" w:rsidP="0083187A">
            <w:pPr>
              <w:ind w:left="360"/>
              <w:rPr>
                <w:szCs w:val="20"/>
              </w:rPr>
            </w:pPr>
          </w:p>
        </w:tc>
        <w:tc>
          <w:tcPr>
            <w:tcW w:w="5214" w:type="dxa"/>
          </w:tcPr>
          <w:p w:rsidR="0083187A" w:rsidRPr="00FA3856" w:rsidRDefault="0083187A" w:rsidP="0083187A">
            <w:pPr>
              <w:rPr>
                <w:szCs w:val="20"/>
              </w:rPr>
            </w:pPr>
          </w:p>
        </w:tc>
      </w:tr>
    </w:tbl>
    <w:p w:rsidR="0083187A" w:rsidRPr="00FA3856" w:rsidRDefault="0083187A" w:rsidP="0083187A">
      <w:pPr>
        <w:rPr>
          <w:szCs w:val="20"/>
        </w:rPr>
      </w:pPr>
    </w:p>
    <w:p w:rsidR="00900CFE" w:rsidRPr="00FA3856" w:rsidRDefault="00900CFE" w:rsidP="0083187A">
      <w:pPr>
        <w:pStyle w:val="PSDS-CorpodeItem"/>
        <w:ind w:left="1494"/>
        <w:rPr>
          <w:rFonts w:ascii="Times New Roman" w:hAnsi="Times New Roman"/>
          <w:szCs w:val="20"/>
        </w:rPr>
      </w:pPr>
    </w:p>
    <w:p w:rsidR="00612F66" w:rsidRPr="00FA3856" w:rsidRDefault="00612F66" w:rsidP="0083187A">
      <w:pPr>
        <w:pStyle w:val="PSDS-CorpodeItem"/>
        <w:ind w:left="1494"/>
        <w:rPr>
          <w:rFonts w:ascii="Times New Roman" w:hAnsi="Times New Roman"/>
          <w:szCs w:val="20"/>
          <w:lang w:val="pt-PT"/>
        </w:rPr>
      </w:pPr>
    </w:p>
    <w:p w:rsidR="00612F66" w:rsidRPr="00FA3856" w:rsidRDefault="00612F66" w:rsidP="0083187A">
      <w:pPr>
        <w:pStyle w:val="PSDS-CorpodeItem"/>
        <w:ind w:left="1494"/>
        <w:rPr>
          <w:rFonts w:ascii="Times New Roman" w:hAnsi="Times New Roman"/>
          <w:szCs w:val="20"/>
          <w:lang w:val="pt-PT"/>
        </w:rPr>
      </w:pPr>
    </w:p>
    <w:p w:rsidR="00612F66" w:rsidRPr="00FA3856" w:rsidRDefault="00612F66" w:rsidP="0083187A">
      <w:pPr>
        <w:pStyle w:val="PSDS-CorpodeItem"/>
        <w:ind w:left="1494"/>
        <w:rPr>
          <w:rFonts w:ascii="Times New Roman" w:hAnsi="Times New Roman"/>
          <w:szCs w:val="20"/>
          <w:lang w:val="pt-PT"/>
        </w:rPr>
      </w:pPr>
    </w:p>
    <w:p w:rsidR="00BE685F" w:rsidRPr="00FA3856" w:rsidRDefault="00BE685F" w:rsidP="0083187A">
      <w:pPr>
        <w:pStyle w:val="PSDS-CorpodeItem"/>
        <w:ind w:left="1494"/>
        <w:rPr>
          <w:rFonts w:ascii="Times New Roman" w:hAnsi="Times New Roman"/>
          <w:szCs w:val="20"/>
          <w:lang w:val="pt-PT"/>
        </w:rPr>
      </w:pPr>
    </w:p>
    <w:p w:rsidR="00BE685F" w:rsidRDefault="00BE685F" w:rsidP="0083187A">
      <w:pPr>
        <w:pStyle w:val="PSDS-CorpodeItem"/>
        <w:ind w:left="1494"/>
        <w:rPr>
          <w:rFonts w:ascii="Times New Roman" w:hAnsi="Times New Roman"/>
          <w:szCs w:val="20"/>
          <w:lang w:val="pt-PT"/>
        </w:rPr>
      </w:pPr>
    </w:p>
    <w:p w:rsidR="00F81710" w:rsidRDefault="00F81710" w:rsidP="0083187A">
      <w:pPr>
        <w:pStyle w:val="PSDS-CorpodeItem"/>
        <w:ind w:left="1494"/>
        <w:rPr>
          <w:rFonts w:ascii="Times New Roman" w:hAnsi="Times New Roman"/>
          <w:szCs w:val="20"/>
          <w:lang w:val="pt-PT"/>
        </w:rPr>
      </w:pPr>
    </w:p>
    <w:p w:rsidR="00F81710" w:rsidRDefault="00F81710" w:rsidP="0083187A">
      <w:pPr>
        <w:pStyle w:val="PSDS-CorpodeItem"/>
        <w:ind w:left="1494"/>
        <w:rPr>
          <w:rFonts w:ascii="Times New Roman" w:hAnsi="Times New Roman"/>
          <w:szCs w:val="20"/>
          <w:lang w:val="pt-PT"/>
        </w:rPr>
      </w:pPr>
    </w:p>
    <w:p w:rsidR="00F81710" w:rsidRDefault="00F81710" w:rsidP="0083187A">
      <w:pPr>
        <w:pStyle w:val="PSDS-CorpodeItem"/>
        <w:ind w:left="1494"/>
        <w:rPr>
          <w:rFonts w:ascii="Times New Roman" w:hAnsi="Times New Roman"/>
          <w:szCs w:val="20"/>
          <w:lang w:val="pt-PT"/>
        </w:rPr>
      </w:pPr>
    </w:p>
    <w:p w:rsidR="00F81710" w:rsidRDefault="00F81710" w:rsidP="0083187A">
      <w:pPr>
        <w:pStyle w:val="PSDS-CorpodeItem"/>
        <w:ind w:left="1494"/>
        <w:rPr>
          <w:rFonts w:ascii="Times New Roman" w:hAnsi="Times New Roman"/>
          <w:szCs w:val="20"/>
          <w:lang w:val="pt-PT"/>
        </w:rPr>
      </w:pPr>
    </w:p>
    <w:p w:rsidR="00F81710" w:rsidRDefault="00F81710" w:rsidP="0083187A">
      <w:pPr>
        <w:pStyle w:val="PSDS-CorpodeItem"/>
        <w:ind w:left="1494"/>
        <w:rPr>
          <w:rFonts w:ascii="Times New Roman" w:hAnsi="Times New Roman"/>
          <w:szCs w:val="20"/>
          <w:lang w:val="pt-PT"/>
        </w:rPr>
      </w:pPr>
    </w:p>
    <w:p w:rsidR="00F81710" w:rsidRDefault="00F81710" w:rsidP="0083187A">
      <w:pPr>
        <w:pStyle w:val="PSDS-CorpodeItem"/>
        <w:ind w:left="1494"/>
        <w:rPr>
          <w:rFonts w:ascii="Times New Roman" w:hAnsi="Times New Roman"/>
          <w:szCs w:val="20"/>
          <w:lang w:val="pt-PT"/>
        </w:rPr>
      </w:pPr>
    </w:p>
    <w:p w:rsidR="00F81710" w:rsidRDefault="00F81710" w:rsidP="0083187A">
      <w:pPr>
        <w:pStyle w:val="PSDS-CorpodeItem"/>
        <w:ind w:left="1494"/>
        <w:rPr>
          <w:rFonts w:ascii="Times New Roman" w:hAnsi="Times New Roman"/>
          <w:szCs w:val="20"/>
          <w:lang w:val="pt-PT"/>
        </w:rPr>
      </w:pPr>
    </w:p>
    <w:p w:rsidR="00F81710" w:rsidRDefault="00F81710" w:rsidP="0083187A">
      <w:pPr>
        <w:pStyle w:val="PSDS-CorpodeItem"/>
        <w:ind w:left="1494"/>
        <w:rPr>
          <w:rFonts w:ascii="Times New Roman" w:hAnsi="Times New Roman"/>
          <w:szCs w:val="20"/>
          <w:lang w:val="pt-PT"/>
        </w:rPr>
      </w:pPr>
    </w:p>
    <w:p w:rsidR="00F81710" w:rsidRDefault="00F81710" w:rsidP="00B8080B">
      <w:pPr>
        <w:pStyle w:val="PSDS-CorpodeItem"/>
        <w:ind w:left="708"/>
        <w:jc w:val="left"/>
        <w:rPr>
          <w:rFonts w:ascii="Times New Roman" w:hAnsi="Times New Roman"/>
          <w:szCs w:val="20"/>
          <w:lang w:val="pt-PT"/>
        </w:rPr>
      </w:pPr>
    </w:p>
    <w:p w:rsidR="00F81710" w:rsidRPr="00FA3856" w:rsidRDefault="00B35FA3" w:rsidP="00081477">
      <w:pPr>
        <w:pStyle w:val="PSDS-CorpodeItem"/>
        <w:ind w:left="0"/>
        <w:jc w:val="center"/>
        <w:rPr>
          <w:rFonts w:ascii="Times New Roman" w:hAnsi="Times New Roman"/>
          <w:szCs w:val="20"/>
          <w:lang w:val="pt-PT"/>
        </w:rPr>
      </w:pPr>
      <w:r>
        <w:rPr>
          <w:rFonts w:ascii="Times New Roman" w:hAnsi="Times New Roman"/>
          <w:szCs w:val="20"/>
          <w:lang w:val="pt-PT"/>
        </w:rPr>
        <w:object w:dxaOrig="13815" w:dyaOrig="7290">
          <v:shape id="_x0000_i1440" type="#_x0000_t75" style="width:692.25pt;height:366.75pt" o:ole="">
            <v:imagedata r:id="rId69" o:title=""/>
          </v:shape>
          <o:OLEObject Type="Link" ProgID="Excel.Sheet.12" ShapeID="_x0000_i1440" DrawAspect="Content" r:id="rId70" UpdateMode="Always">
            <o:LinkType>EnhancedMetaFile</o:LinkType>
            <o:LockedField>false</o:LockedField>
          </o:OLEObject>
        </w:object>
      </w:r>
    </w:p>
    <w:p w:rsidR="00BE685F" w:rsidRPr="00FA3856" w:rsidRDefault="00BE685F" w:rsidP="0083187A">
      <w:pPr>
        <w:pStyle w:val="PSDS-CorpodeItem"/>
        <w:ind w:left="1494"/>
        <w:rPr>
          <w:rFonts w:ascii="Times New Roman" w:hAnsi="Times New Roman"/>
          <w:szCs w:val="20"/>
          <w:lang w:val="pt-PT"/>
        </w:rPr>
      </w:pPr>
    </w:p>
    <w:p w:rsidR="00BE685F" w:rsidRPr="00FA3856" w:rsidRDefault="00BE685F" w:rsidP="0083187A">
      <w:pPr>
        <w:pStyle w:val="PSDS-CorpodeItem"/>
        <w:ind w:left="1494"/>
        <w:rPr>
          <w:rFonts w:ascii="Times New Roman" w:hAnsi="Times New Roman"/>
          <w:szCs w:val="20"/>
          <w:lang w:val="pt-PT"/>
        </w:rPr>
      </w:pPr>
    </w:p>
    <w:p w:rsidR="00BE685F" w:rsidRDefault="00BE685F" w:rsidP="0083187A">
      <w:pPr>
        <w:pStyle w:val="PSDS-CorpodeItem"/>
        <w:ind w:left="1494"/>
        <w:rPr>
          <w:rFonts w:ascii="Times New Roman" w:hAnsi="Times New Roman"/>
          <w:szCs w:val="20"/>
          <w:lang w:val="pt-PT"/>
        </w:rPr>
      </w:pPr>
    </w:p>
    <w:p w:rsidR="00C16017" w:rsidRDefault="00C16017" w:rsidP="0083187A">
      <w:pPr>
        <w:pStyle w:val="PSDS-CorpodeItem"/>
        <w:ind w:left="1494"/>
        <w:rPr>
          <w:rFonts w:ascii="Times New Roman" w:hAnsi="Times New Roman"/>
          <w:szCs w:val="20"/>
          <w:lang w:val="pt-PT"/>
        </w:rPr>
      </w:pPr>
    </w:p>
    <w:p w:rsidR="00C16017" w:rsidRDefault="00C16017" w:rsidP="0083187A">
      <w:pPr>
        <w:pStyle w:val="PSDS-CorpodeItem"/>
        <w:ind w:left="1494"/>
        <w:rPr>
          <w:rFonts w:ascii="Times New Roman" w:hAnsi="Times New Roman"/>
          <w:szCs w:val="20"/>
          <w:lang w:val="pt-PT"/>
        </w:rPr>
      </w:pPr>
    </w:p>
    <w:p w:rsidR="00C16017" w:rsidRDefault="00C16017" w:rsidP="0083187A">
      <w:pPr>
        <w:pStyle w:val="PSDS-CorpodeItem"/>
        <w:ind w:left="1494"/>
        <w:rPr>
          <w:rFonts w:ascii="Times New Roman" w:hAnsi="Times New Roman"/>
          <w:szCs w:val="20"/>
          <w:lang w:val="pt-PT"/>
        </w:rPr>
      </w:pPr>
    </w:p>
    <w:p w:rsidR="00C16017" w:rsidRDefault="00C16017" w:rsidP="0083187A">
      <w:pPr>
        <w:pStyle w:val="PSDS-CorpodeItem"/>
        <w:ind w:left="1494"/>
        <w:rPr>
          <w:rFonts w:ascii="Times New Roman" w:hAnsi="Times New Roman"/>
          <w:szCs w:val="20"/>
          <w:lang w:val="pt-PT"/>
        </w:rPr>
      </w:pPr>
    </w:p>
    <w:p w:rsidR="00C16017" w:rsidRDefault="00C16017" w:rsidP="00B8080B">
      <w:pPr>
        <w:pStyle w:val="PSDS-CorpodeItem"/>
        <w:ind w:left="708"/>
        <w:jc w:val="left"/>
        <w:rPr>
          <w:rFonts w:ascii="Times New Roman" w:hAnsi="Times New Roman"/>
          <w:szCs w:val="20"/>
          <w:lang w:val="pt-PT"/>
        </w:rPr>
      </w:pPr>
    </w:p>
    <w:p w:rsidR="00081477" w:rsidRDefault="00081477" w:rsidP="00B8080B">
      <w:pPr>
        <w:pStyle w:val="PSDS-CorpodeItem"/>
        <w:ind w:left="708"/>
        <w:jc w:val="left"/>
        <w:rPr>
          <w:rFonts w:ascii="Times New Roman" w:hAnsi="Times New Roman"/>
          <w:szCs w:val="20"/>
          <w:lang w:val="pt-PT"/>
        </w:rPr>
      </w:pPr>
    </w:p>
    <w:p w:rsidR="00081477" w:rsidRDefault="00B35FA3" w:rsidP="00081477">
      <w:pPr>
        <w:pStyle w:val="PSDS-CorpodeItem"/>
        <w:ind w:left="708"/>
        <w:jc w:val="center"/>
        <w:rPr>
          <w:rFonts w:ascii="Times New Roman" w:hAnsi="Times New Roman"/>
          <w:szCs w:val="20"/>
          <w:lang w:val="pt-PT"/>
        </w:rPr>
      </w:pPr>
      <w:r>
        <w:rPr>
          <w:rFonts w:ascii="Times New Roman" w:hAnsi="Times New Roman"/>
          <w:szCs w:val="20"/>
          <w:lang w:val="pt-PT"/>
        </w:rPr>
        <w:object w:dxaOrig="13815" w:dyaOrig="7485">
          <v:shape id="_x0000_i1441" type="#_x0000_t75" style="width:692.25pt;height:373.5pt" o:ole="">
            <v:imagedata r:id="rId71" o:title=""/>
          </v:shape>
          <o:OLEObject Type="Link" ProgID="Excel.Sheet.12" ShapeID="_x0000_i1441" DrawAspect="Content" r:id="rId72" UpdateMode="Always">
            <o:LinkType>EnhancedMetaFile</o:LinkType>
            <o:LockedField>false</o:LockedField>
          </o:OLEObject>
        </w:object>
      </w:r>
    </w:p>
    <w:p w:rsidR="00C16017" w:rsidRPr="00FA3856" w:rsidRDefault="00C16017" w:rsidP="0083187A">
      <w:pPr>
        <w:pStyle w:val="PSDS-CorpodeItem"/>
        <w:ind w:left="1494"/>
        <w:rPr>
          <w:rFonts w:ascii="Times New Roman" w:hAnsi="Times New Roman"/>
          <w:szCs w:val="20"/>
          <w:lang w:val="pt-PT"/>
        </w:rPr>
      </w:pPr>
    </w:p>
    <w:p w:rsidR="00BE685F" w:rsidRDefault="00BE685F" w:rsidP="0083187A">
      <w:pPr>
        <w:pStyle w:val="PSDS-CorpodeItem"/>
        <w:ind w:left="1494"/>
        <w:rPr>
          <w:rFonts w:ascii="Times New Roman" w:hAnsi="Times New Roman"/>
          <w:szCs w:val="20"/>
          <w:lang w:val="pt-PT"/>
        </w:rPr>
      </w:pPr>
    </w:p>
    <w:p w:rsidR="00C16017" w:rsidRDefault="00C16017" w:rsidP="0083187A">
      <w:pPr>
        <w:pStyle w:val="PSDS-CorpodeItem"/>
        <w:ind w:left="1494"/>
        <w:rPr>
          <w:rFonts w:ascii="Times New Roman" w:hAnsi="Times New Roman"/>
          <w:szCs w:val="20"/>
          <w:lang w:val="pt-PT"/>
        </w:rPr>
      </w:pPr>
    </w:p>
    <w:p w:rsidR="00C16017" w:rsidRDefault="00C16017" w:rsidP="0083187A">
      <w:pPr>
        <w:pStyle w:val="PSDS-CorpodeItem"/>
        <w:ind w:left="1494"/>
        <w:rPr>
          <w:rFonts w:ascii="Times New Roman" w:hAnsi="Times New Roman"/>
          <w:szCs w:val="20"/>
          <w:lang w:val="pt-PT"/>
        </w:rPr>
      </w:pPr>
    </w:p>
    <w:p w:rsidR="00C16017" w:rsidRDefault="00C16017" w:rsidP="0083187A">
      <w:pPr>
        <w:pStyle w:val="PSDS-CorpodeItem"/>
        <w:ind w:left="1494"/>
        <w:rPr>
          <w:rFonts w:ascii="Times New Roman" w:hAnsi="Times New Roman"/>
          <w:szCs w:val="20"/>
          <w:lang w:val="pt-PT"/>
        </w:rPr>
      </w:pPr>
    </w:p>
    <w:p w:rsidR="00C16017" w:rsidRDefault="00C16017" w:rsidP="0083187A">
      <w:pPr>
        <w:pStyle w:val="PSDS-CorpodeItem"/>
        <w:ind w:left="1494"/>
        <w:rPr>
          <w:rFonts w:ascii="Times New Roman" w:hAnsi="Times New Roman"/>
          <w:szCs w:val="20"/>
          <w:lang w:val="pt-PT"/>
        </w:rPr>
      </w:pPr>
    </w:p>
    <w:p w:rsidR="00C16017" w:rsidRDefault="00C16017" w:rsidP="0083187A">
      <w:pPr>
        <w:pStyle w:val="PSDS-CorpodeItem"/>
        <w:ind w:left="1494"/>
        <w:rPr>
          <w:rFonts w:ascii="Times New Roman" w:hAnsi="Times New Roman"/>
          <w:szCs w:val="20"/>
          <w:lang w:val="pt-PT"/>
        </w:rPr>
      </w:pPr>
    </w:p>
    <w:p w:rsidR="00C16017" w:rsidRDefault="00C16017" w:rsidP="0083187A">
      <w:pPr>
        <w:pStyle w:val="PSDS-CorpodeItem"/>
        <w:ind w:left="1494"/>
        <w:rPr>
          <w:rFonts w:ascii="Times New Roman" w:hAnsi="Times New Roman"/>
          <w:szCs w:val="20"/>
          <w:lang w:val="pt-PT"/>
        </w:rPr>
      </w:pPr>
    </w:p>
    <w:p w:rsidR="00C16017" w:rsidRDefault="00C16017" w:rsidP="00110D73">
      <w:pPr>
        <w:pStyle w:val="PSDS-CorpodeItem"/>
        <w:ind w:left="0"/>
        <w:rPr>
          <w:rFonts w:ascii="Times New Roman" w:hAnsi="Times New Roman"/>
          <w:szCs w:val="20"/>
          <w:lang w:val="pt-PT"/>
        </w:rPr>
      </w:pPr>
    </w:p>
    <w:p w:rsidR="00110D73" w:rsidRDefault="00B35FA3" w:rsidP="00110D73">
      <w:pPr>
        <w:pStyle w:val="PSDS-CorpodeItem"/>
        <w:ind w:left="0"/>
        <w:jc w:val="center"/>
        <w:rPr>
          <w:rFonts w:ascii="Times New Roman" w:hAnsi="Times New Roman"/>
          <w:szCs w:val="20"/>
          <w:lang w:val="pt-PT"/>
        </w:rPr>
      </w:pPr>
      <w:r>
        <w:rPr>
          <w:rFonts w:ascii="Times New Roman" w:hAnsi="Times New Roman"/>
          <w:szCs w:val="20"/>
          <w:lang w:val="pt-PT"/>
        </w:rPr>
        <w:object w:dxaOrig="13815" w:dyaOrig="6450">
          <v:shape id="_x0000_i1442" type="#_x0000_t75" style="width:692.25pt;height:324pt" o:ole="">
            <v:imagedata r:id="rId73" o:title=""/>
          </v:shape>
          <o:OLEObject Type="Link" ProgID="Excel.Sheet.12" ShapeID="_x0000_i1442" DrawAspect="Content" r:id="rId74" UpdateMode="Always">
            <o:LinkType>EnhancedMetaFile</o:LinkType>
            <o:LockedField>false</o:LockedField>
          </o:OLEObject>
        </w:object>
      </w:r>
    </w:p>
    <w:p w:rsidR="00C16017" w:rsidRPr="00FA3856" w:rsidRDefault="00C16017" w:rsidP="00081477">
      <w:pPr>
        <w:pStyle w:val="PSDS-CorpodeItem"/>
        <w:ind w:left="708"/>
        <w:jc w:val="center"/>
        <w:rPr>
          <w:rFonts w:ascii="Times New Roman" w:hAnsi="Times New Roman"/>
          <w:szCs w:val="20"/>
          <w:lang w:val="pt-PT"/>
        </w:rPr>
      </w:pPr>
    </w:p>
    <w:p w:rsidR="00BE685F" w:rsidRDefault="00BE685F" w:rsidP="0083187A">
      <w:pPr>
        <w:pStyle w:val="PSDS-CorpodeItem"/>
        <w:ind w:left="1494"/>
        <w:rPr>
          <w:rFonts w:ascii="Times New Roman" w:hAnsi="Times New Roman"/>
          <w:szCs w:val="20"/>
          <w:lang w:val="pt-PT"/>
        </w:rPr>
      </w:pPr>
    </w:p>
    <w:p w:rsidR="00C477AE" w:rsidRPr="00FA3856" w:rsidRDefault="00C477AE" w:rsidP="0083187A">
      <w:pPr>
        <w:pStyle w:val="PSDS-CorpodeItem"/>
        <w:ind w:left="1494"/>
        <w:rPr>
          <w:rFonts w:ascii="Times New Roman" w:hAnsi="Times New Roman"/>
          <w:szCs w:val="20"/>
          <w:lang w:val="pt-PT"/>
        </w:rPr>
      </w:pPr>
    </w:p>
    <w:p w:rsidR="00BE685F" w:rsidRPr="00FA3856" w:rsidRDefault="00BE685F" w:rsidP="0083187A">
      <w:pPr>
        <w:pStyle w:val="PSDS-CorpodeItem"/>
        <w:ind w:left="1494"/>
        <w:rPr>
          <w:rFonts w:ascii="Times New Roman" w:hAnsi="Times New Roman"/>
          <w:szCs w:val="20"/>
          <w:lang w:val="pt-PT"/>
        </w:rPr>
      </w:pPr>
    </w:p>
    <w:p w:rsidR="00C16017" w:rsidRDefault="00C16017" w:rsidP="00EC2D50">
      <w:pPr>
        <w:pStyle w:val="Corpodetexto"/>
        <w:spacing w:line="240" w:lineRule="auto"/>
        <w:rPr>
          <w:rFonts w:ascii="Times New Roman" w:hAnsi="Times New Roman"/>
          <w:b/>
          <w:szCs w:val="20"/>
        </w:rPr>
      </w:pPr>
    </w:p>
    <w:p w:rsidR="00B8080B" w:rsidRDefault="00B8080B">
      <w:pPr>
        <w:spacing w:after="200" w:line="276" w:lineRule="auto"/>
        <w:rPr>
          <w:b/>
          <w:color w:val="000000"/>
          <w:szCs w:val="20"/>
          <w:lang w:eastAsia="ar-SA"/>
        </w:rPr>
      </w:pPr>
      <w:r>
        <w:rPr>
          <w:b/>
          <w:szCs w:val="20"/>
        </w:rPr>
        <w:br w:type="page"/>
      </w:r>
    </w:p>
    <w:p w:rsidR="004F1737" w:rsidRPr="00FA3856" w:rsidRDefault="00634930" w:rsidP="00EC2D50">
      <w:pPr>
        <w:pStyle w:val="Corpodetexto"/>
        <w:spacing w:line="240" w:lineRule="auto"/>
        <w:rPr>
          <w:rFonts w:ascii="Times New Roman" w:hAnsi="Times New Roman"/>
          <w:szCs w:val="20"/>
        </w:rPr>
      </w:pPr>
      <w:r w:rsidRPr="00FA3856">
        <w:rPr>
          <w:rFonts w:ascii="Times New Roman" w:hAnsi="Times New Roman"/>
          <w:b/>
          <w:szCs w:val="20"/>
        </w:rPr>
        <w:lastRenderedPageBreak/>
        <w:t>I</w:t>
      </w:r>
      <w:r w:rsidR="004F1737" w:rsidRPr="00FA3856">
        <w:rPr>
          <w:rFonts w:ascii="Times New Roman" w:hAnsi="Times New Roman"/>
          <w:b/>
          <w:szCs w:val="20"/>
        </w:rPr>
        <w:t xml:space="preserve"> – Regras de Validação dos Campos: </w:t>
      </w:r>
    </w:p>
    <w:p w:rsidR="0083187A" w:rsidRPr="00FA3856" w:rsidRDefault="0083187A" w:rsidP="00EC2D50">
      <w:pPr>
        <w:rPr>
          <w:color w:val="0000FF"/>
          <w:szCs w:val="20"/>
        </w:rPr>
      </w:pPr>
    </w:p>
    <w:tbl>
      <w:tblPr>
        <w:tblpPr w:leftFromText="141" w:rightFromText="141" w:vertAnchor="text" w:tblpXSpec="center" w:tblpY="1"/>
        <w:tblOverlap w:val="never"/>
        <w:tblW w:w="16370"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677"/>
        <w:gridCol w:w="1928"/>
        <w:gridCol w:w="13048"/>
        <w:gridCol w:w="717"/>
      </w:tblGrid>
      <w:tr w:rsidR="00306C11" w:rsidRPr="00FA3856" w:rsidTr="00297462">
        <w:trPr>
          <w:trHeight w:val="215"/>
          <w:tblHeader/>
        </w:trPr>
        <w:tc>
          <w:tcPr>
            <w:tcW w:w="677" w:type="dxa"/>
            <w:tcBorders>
              <w:top w:val="single" w:sz="6" w:space="0" w:color="auto"/>
              <w:left w:val="single" w:sz="6" w:space="0" w:color="auto"/>
              <w:bottom w:val="single" w:sz="6" w:space="0" w:color="auto"/>
              <w:right w:val="single" w:sz="6" w:space="0" w:color="auto"/>
            </w:tcBorders>
            <w:shd w:val="pct10" w:color="auto" w:fill="FFFFFF"/>
          </w:tcPr>
          <w:p w:rsidR="00306C11" w:rsidRPr="00FA3856" w:rsidRDefault="00306C11" w:rsidP="00306C11">
            <w:pPr>
              <w:pStyle w:val="PSDS-CorpodeTexto0"/>
              <w:jc w:val="center"/>
              <w:rPr>
                <w:rFonts w:ascii="Times New Roman" w:hAnsi="Times New Roman"/>
                <w:b/>
                <w:bCs/>
              </w:rPr>
            </w:pPr>
            <w:r w:rsidRPr="00FA3856">
              <w:rPr>
                <w:rFonts w:ascii="Times New Roman" w:hAnsi="Times New Roman"/>
                <w:b/>
                <w:bCs/>
              </w:rPr>
              <w:t>Nº</w:t>
            </w:r>
          </w:p>
        </w:tc>
        <w:tc>
          <w:tcPr>
            <w:tcW w:w="1928" w:type="dxa"/>
            <w:tcBorders>
              <w:top w:val="single" w:sz="6" w:space="0" w:color="auto"/>
              <w:left w:val="single" w:sz="6" w:space="0" w:color="auto"/>
              <w:bottom w:val="single" w:sz="6" w:space="0" w:color="auto"/>
              <w:right w:val="single" w:sz="6" w:space="0" w:color="auto"/>
            </w:tcBorders>
            <w:shd w:val="pct10" w:color="auto" w:fill="FFFFFF"/>
          </w:tcPr>
          <w:p w:rsidR="00306C11" w:rsidRPr="00FA3856" w:rsidRDefault="00306C11" w:rsidP="00306C11">
            <w:pPr>
              <w:pStyle w:val="PSDS-CorpodeTexto0"/>
              <w:jc w:val="center"/>
              <w:rPr>
                <w:rFonts w:ascii="Times New Roman" w:hAnsi="Times New Roman"/>
                <w:b/>
                <w:bCs/>
              </w:rPr>
            </w:pPr>
            <w:r w:rsidRPr="00FA3856">
              <w:rPr>
                <w:rFonts w:ascii="Times New Roman" w:hAnsi="Times New Roman"/>
                <w:b/>
                <w:bCs/>
              </w:rPr>
              <w:t>Campo</w:t>
            </w:r>
          </w:p>
        </w:tc>
        <w:tc>
          <w:tcPr>
            <w:tcW w:w="13048" w:type="dxa"/>
            <w:tcBorders>
              <w:top w:val="single" w:sz="6" w:space="0" w:color="auto"/>
              <w:left w:val="single" w:sz="6" w:space="0" w:color="auto"/>
              <w:bottom w:val="single" w:sz="6" w:space="0" w:color="auto"/>
              <w:right w:val="single" w:sz="6" w:space="0" w:color="auto"/>
            </w:tcBorders>
            <w:shd w:val="pct10" w:color="auto" w:fill="FFFFFF"/>
          </w:tcPr>
          <w:p w:rsidR="00306C11" w:rsidRPr="00FA3856" w:rsidRDefault="00306C11" w:rsidP="00306C11">
            <w:pPr>
              <w:pStyle w:val="PSDS-CorpodeTexto0"/>
              <w:jc w:val="center"/>
              <w:rPr>
                <w:rFonts w:ascii="Times New Roman" w:hAnsi="Times New Roman"/>
                <w:b/>
                <w:bCs/>
              </w:rPr>
            </w:pPr>
            <w:r w:rsidRPr="00FA3856">
              <w:rPr>
                <w:rFonts w:ascii="Times New Roman" w:hAnsi="Times New Roman"/>
                <w:b/>
                <w:bCs/>
              </w:rPr>
              <w:t>Reg</w:t>
            </w:r>
            <w:bookmarkEnd w:id="57"/>
            <w:bookmarkEnd w:id="58"/>
            <w:r w:rsidRPr="00FA3856">
              <w:rPr>
                <w:rFonts w:ascii="Times New Roman" w:hAnsi="Times New Roman"/>
                <w:b/>
                <w:bCs/>
              </w:rPr>
              <w:t>ras de Validação do Campo</w:t>
            </w:r>
          </w:p>
        </w:tc>
        <w:tc>
          <w:tcPr>
            <w:tcW w:w="717" w:type="dxa"/>
            <w:tcBorders>
              <w:top w:val="single" w:sz="6" w:space="0" w:color="auto"/>
              <w:left w:val="single" w:sz="6" w:space="0" w:color="auto"/>
              <w:bottom w:val="single" w:sz="6" w:space="0" w:color="auto"/>
              <w:right w:val="single" w:sz="6" w:space="0" w:color="auto"/>
            </w:tcBorders>
            <w:shd w:val="pct10" w:color="auto" w:fill="FFFFFF"/>
          </w:tcPr>
          <w:p w:rsidR="00306C11" w:rsidRPr="00FA3856" w:rsidRDefault="00306C11" w:rsidP="00306C11">
            <w:pPr>
              <w:pStyle w:val="PSDS-CorpodeTexto0"/>
              <w:jc w:val="center"/>
              <w:rPr>
                <w:rFonts w:ascii="Times New Roman" w:hAnsi="Times New Roman"/>
                <w:b/>
                <w:bCs/>
              </w:rPr>
            </w:pPr>
            <w:r w:rsidRPr="00FA3856">
              <w:rPr>
                <w:rFonts w:ascii="Times New Roman" w:hAnsi="Times New Roman"/>
                <w:b/>
                <w:bCs/>
              </w:rPr>
              <w:t>Tipo</w:t>
            </w:r>
          </w:p>
        </w:tc>
      </w:tr>
      <w:tr w:rsidR="00306C11" w:rsidRPr="00FA3856" w:rsidTr="00297462">
        <w:trPr>
          <w:trHeight w:val="230"/>
        </w:trPr>
        <w:tc>
          <w:tcPr>
            <w:tcW w:w="677" w:type="dxa"/>
            <w:tcBorders>
              <w:top w:val="single" w:sz="6" w:space="0" w:color="auto"/>
              <w:left w:val="single" w:sz="6" w:space="0" w:color="auto"/>
              <w:bottom w:val="single" w:sz="6" w:space="0" w:color="auto"/>
              <w:right w:val="single" w:sz="6" w:space="0" w:color="auto"/>
            </w:tcBorders>
          </w:tcPr>
          <w:p w:rsidR="00306C11" w:rsidRPr="00FA3856" w:rsidRDefault="00306C11" w:rsidP="00306C11">
            <w:pPr>
              <w:pStyle w:val="PSDS-CorpodeTexto0"/>
              <w:suppressAutoHyphens w:val="0"/>
              <w:jc w:val="center"/>
              <w:rPr>
                <w:rFonts w:ascii="Times New Roman" w:hAnsi="Times New Roman"/>
                <w:b/>
                <w:bCs/>
                <w:lang w:val="pt-PT"/>
              </w:rPr>
            </w:pPr>
            <w:r w:rsidRPr="00FA3856">
              <w:rPr>
                <w:rFonts w:ascii="Times New Roman" w:hAnsi="Times New Roman"/>
                <w:b/>
                <w:bCs/>
                <w:lang w:val="pt-PT"/>
              </w:rPr>
              <w:t>3</w:t>
            </w:r>
          </w:p>
        </w:tc>
        <w:tc>
          <w:tcPr>
            <w:tcW w:w="1928" w:type="dxa"/>
            <w:tcBorders>
              <w:top w:val="single" w:sz="6" w:space="0" w:color="auto"/>
              <w:left w:val="single" w:sz="6" w:space="0" w:color="auto"/>
              <w:bottom w:val="single" w:sz="6" w:space="0" w:color="auto"/>
              <w:right w:val="single" w:sz="6" w:space="0" w:color="auto"/>
            </w:tcBorders>
          </w:tcPr>
          <w:p w:rsidR="00306C11" w:rsidRPr="00FA3856" w:rsidRDefault="00306C11" w:rsidP="00306C11">
            <w:pPr>
              <w:pStyle w:val="PSDS-CorpodeTexto0"/>
              <w:rPr>
                <w:rFonts w:ascii="Times New Roman" w:hAnsi="Times New Roman"/>
                <w:lang w:val="pt-PT"/>
              </w:rPr>
            </w:pPr>
            <w:r w:rsidRPr="00FA3856">
              <w:rPr>
                <w:rFonts w:ascii="Times New Roman" w:hAnsi="Times New Roman"/>
                <w:lang w:val="pt-PT"/>
              </w:rPr>
              <w:t>COD_VER</w:t>
            </w:r>
          </w:p>
        </w:tc>
        <w:tc>
          <w:tcPr>
            <w:tcW w:w="13048" w:type="dxa"/>
            <w:tcBorders>
              <w:top w:val="single" w:sz="6" w:space="0" w:color="auto"/>
              <w:left w:val="single" w:sz="6" w:space="0" w:color="auto"/>
              <w:bottom w:val="single" w:sz="6" w:space="0" w:color="auto"/>
              <w:right w:val="single" w:sz="6" w:space="0" w:color="auto"/>
            </w:tcBorders>
          </w:tcPr>
          <w:p w:rsidR="00306C11" w:rsidRPr="00FA3856" w:rsidRDefault="007D0E74" w:rsidP="00174A8F">
            <w:pPr>
              <w:pStyle w:val="PSDS-CorpodeTexto0"/>
              <w:jc w:val="both"/>
              <w:rPr>
                <w:rFonts w:ascii="Times New Roman" w:hAnsi="Times New Roman"/>
              </w:rPr>
            </w:pPr>
            <w:hyperlink w:anchor="REGRA_LEIAUTE_VIGENTE" w:history="1">
              <w:r w:rsidR="00306C11" w:rsidRPr="00FA3856">
                <w:rPr>
                  <w:rStyle w:val="Hyperlink"/>
                  <w:rFonts w:ascii="Times New Roman" w:hAnsi="Times New Roman"/>
                  <w:b/>
                  <w:bCs/>
                  <w:color w:val="auto"/>
                  <w:lang w:val="pt-PT"/>
                </w:rPr>
                <w:t>REGRA_LEIAUTE_VIGENTE</w:t>
              </w:r>
            </w:hyperlink>
            <w:r w:rsidR="00306C11" w:rsidRPr="00FA3856">
              <w:rPr>
                <w:rFonts w:ascii="Times New Roman" w:hAnsi="Times New Roman"/>
                <w:b/>
                <w:bCs/>
                <w:lang w:val="pt-PT"/>
              </w:rPr>
              <w:t xml:space="preserve">: </w:t>
            </w:r>
            <w:r w:rsidR="00174A8F" w:rsidRPr="00FA3856">
              <w:rPr>
                <w:rFonts w:ascii="Times New Roman" w:hAnsi="Times New Roman"/>
              </w:rPr>
              <w:t>Verifica</w:t>
            </w:r>
            <w:r w:rsidR="00306C11" w:rsidRPr="00FA3856">
              <w:rPr>
                <w:rFonts w:ascii="Times New Roman" w:hAnsi="Times New Roman"/>
              </w:rPr>
              <w:t xml:space="preserve"> se o leiaute utilizado é válido para o período da escrituração.</w:t>
            </w:r>
          </w:p>
          <w:p w:rsidR="005B7DB6" w:rsidRPr="00FA3856" w:rsidRDefault="005B7DB6" w:rsidP="00174A8F">
            <w:pPr>
              <w:pStyle w:val="PSDS-CorpodeTexto0"/>
              <w:jc w:val="both"/>
              <w:rPr>
                <w:rFonts w:ascii="Times New Roman" w:hAnsi="Times New Roman"/>
                <w:b/>
                <w:bCs/>
                <w:lang w:val="pt-PT"/>
              </w:rPr>
            </w:pPr>
          </w:p>
        </w:tc>
        <w:tc>
          <w:tcPr>
            <w:tcW w:w="717" w:type="dxa"/>
            <w:tcBorders>
              <w:top w:val="single" w:sz="6" w:space="0" w:color="auto"/>
              <w:left w:val="single" w:sz="6" w:space="0" w:color="auto"/>
              <w:bottom w:val="single" w:sz="6" w:space="0" w:color="auto"/>
              <w:right w:val="single" w:sz="6" w:space="0" w:color="auto"/>
            </w:tcBorders>
          </w:tcPr>
          <w:p w:rsidR="00306C11" w:rsidRPr="00FA3856" w:rsidRDefault="00306C11" w:rsidP="00174A8F">
            <w:pPr>
              <w:pStyle w:val="PSDS-CorpodeTexto0"/>
              <w:rPr>
                <w:rFonts w:ascii="Times New Roman" w:hAnsi="Times New Roman"/>
                <w:lang w:val="pt-PT"/>
              </w:rPr>
            </w:pPr>
            <w:r w:rsidRPr="00FA3856">
              <w:rPr>
                <w:rFonts w:ascii="Times New Roman" w:hAnsi="Times New Roman"/>
                <w:lang w:val="pt-PT"/>
              </w:rPr>
              <w:t>Erro</w:t>
            </w:r>
          </w:p>
        </w:tc>
      </w:tr>
      <w:tr w:rsidR="00306C11" w:rsidRPr="00FA3856" w:rsidTr="00297462">
        <w:trPr>
          <w:trHeight w:val="215"/>
        </w:trPr>
        <w:tc>
          <w:tcPr>
            <w:tcW w:w="677" w:type="dxa"/>
            <w:tcBorders>
              <w:top w:val="single" w:sz="6" w:space="0" w:color="auto"/>
              <w:left w:val="single" w:sz="6" w:space="0" w:color="auto"/>
              <w:bottom w:val="single" w:sz="6" w:space="0" w:color="auto"/>
              <w:right w:val="single" w:sz="6" w:space="0" w:color="auto"/>
            </w:tcBorders>
          </w:tcPr>
          <w:p w:rsidR="00306C11" w:rsidRPr="00FA3856" w:rsidRDefault="00306C11" w:rsidP="00306C11">
            <w:pPr>
              <w:pStyle w:val="PSDS-CorpodeTexto0"/>
              <w:suppressAutoHyphens w:val="0"/>
              <w:jc w:val="center"/>
              <w:rPr>
                <w:rFonts w:ascii="Times New Roman" w:hAnsi="Times New Roman"/>
                <w:b/>
                <w:bCs/>
                <w:lang w:val="pt-PT"/>
              </w:rPr>
            </w:pPr>
            <w:r w:rsidRPr="00FA3856">
              <w:rPr>
                <w:rFonts w:ascii="Times New Roman" w:hAnsi="Times New Roman"/>
                <w:b/>
                <w:bCs/>
                <w:lang w:val="pt-PT"/>
              </w:rPr>
              <w:t>4</w:t>
            </w:r>
          </w:p>
        </w:tc>
        <w:tc>
          <w:tcPr>
            <w:tcW w:w="1928" w:type="dxa"/>
            <w:tcBorders>
              <w:top w:val="single" w:sz="6" w:space="0" w:color="auto"/>
              <w:left w:val="single" w:sz="6" w:space="0" w:color="auto"/>
              <w:bottom w:val="single" w:sz="6" w:space="0" w:color="auto"/>
              <w:right w:val="single" w:sz="6" w:space="0" w:color="auto"/>
            </w:tcBorders>
          </w:tcPr>
          <w:p w:rsidR="00306C11" w:rsidRPr="00FA3856" w:rsidRDefault="00306C11" w:rsidP="00306C11">
            <w:pPr>
              <w:pStyle w:val="PSDS-CorpodeTexto0"/>
              <w:rPr>
                <w:rFonts w:ascii="Times New Roman" w:hAnsi="Times New Roman"/>
                <w:lang w:val="pt-PT"/>
              </w:rPr>
            </w:pPr>
            <w:r w:rsidRPr="00FA3856">
              <w:rPr>
                <w:rFonts w:ascii="Times New Roman" w:hAnsi="Times New Roman"/>
                <w:lang w:val="pt-PT"/>
              </w:rPr>
              <w:t>CNPJ</w:t>
            </w:r>
          </w:p>
        </w:tc>
        <w:tc>
          <w:tcPr>
            <w:tcW w:w="13048" w:type="dxa"/>
            <w:tcBorders>
              <w:top w:val="single" w:sz="6" w:space="0" w:color="auto"/>
              <w:left w:val="single" w:sz="6" w:space="0" w:color="auto"/>
              <w:bottom w:val="single" w:sz="6" w:space="0" w:color="auto"/>
              <w:right w:val="single" w:sz="6" w:space="0" w:color="auto"/>
            </w:tcBorders>
          </w:tcPr>
          <w:p w:rsidR="00306C11" w:rsidRPr="00FA3856" w:rsidRDefault="007D0E74" w:rsidP="00174A8F">
            <w:pPr>
              <w:pStyle w:val="PSDS-CorpodeTexto0"/>
              <w:jc w:val="both"/>
              <w:rPr>
                <w:rFonts w:ascii="Times New Roman" w:hAnsi="Times New Roman"/>
              </w:rPr>
            </w:pPr>
            <w:hyperlink w:anchor="REGRA_VALIDA_CNPJ" w:history="1">
              <w:r w:rsidR="00306C11" w:rsidRPr="00FA3856">
                <w:rPr>
                  <w:rStyle w:val="Hyperlink"/>
                  <w:rFonts w:ascii="Times New Roman" w:hAnsi="Times New Roman"/>
                  <w:b/>
                  <w:bCs/>
                  <w:color w:val="auto"/>
                  <w:lang w:val="pt-PT"/>
                </w:rPr>
                <w:t>REGRA_VALIDA_CNPJ</w:t>
              </w:r>
            </w:hyperlink>
            <w:r w:rsidR="00174A8F" w:rsidRPr="00FA3856">
              <w:rPr>
                <w:rFonts w:ascii="Times New Roman" w:hAnsi="Times New Roman"/>
                <w:b/>
                <w:bCs/>
                <w:lang w:val="pt-PT"/>
              </w:rPr>
              <w:t xml:space="preserve">: </w:t>
            </w:r>
            <w:r w:rsidR="00174A8F" w:rsidRPr="00FA3856">
              <w:rPr>
                <w:rFonts w:ascii="Times New Roman" w:hAnsi="Times New Roman"/>
              </w:rPr>
              <w:t xml:space="preserve"> Verifica se a regra de formação do código é válida.</w:t>
            </w:r>
          </w:p>
          <w:p w:rsidR="005B7DB6" w:rsidRPr="00FA3856" w:rsidRDefault="005B7DB6" w:rsidP="00174A8F">
            <w:pPr>
              <w:pStyle w:val="PSDS-CorpodeTexto0"/>
              <w:jc w:val="both"/>
              <w:rPr>
                <w:rFonts w:ascii="Times New Roman" w:hAnsi="Times New Roman"/>
                <w:b/>
                <w:bCs/>
                <w:lang w:val="pt-PT"/>
              </w:rPr>
            </w:pPr>
          </w:p>
        </w:tc>
        <w:tc>
          <w:tcPr>
            <w:tcW w:w="717" w:type="dxa"/>
            <w:tcBorders>
              <w:top w:val="single" w:sz="6" w:space="0" w:color="auto"/>
              <w:left w:val="single" w:sz="6" w:space="0" w:color="auto"/>
              <w:bottom w:val="single" w:sz="6" w:space="0" w:color="auto"/>
              <w:right w:val="single" w:sz="6" w:space="0" w:color="auto"/>
            </w:tcBorders>
          </w:tcPr>
          <w:p w:rsidR="00306C11" w:rsidRPr="00FA3856" w:rsidRDefault="00174A8F" w:rsidP="00174A8F">
            <w:pPr>
              <w:pStyle w:val="PSDS-CorpodeTexto0"/>
              <w:rPr>
                <w:rFonts w:ascii="Times New Roman" w:hAnsi="Times New Roman"/>
                <w:lang w:val="pt-PT"/>
              </w:rPr>
            </w:pPr>
            <w:r w:rsidRPr="00FA3856">
              <w:rPr>
                <w:rFonts w:ascii="Times New Roman" w:hAnsi="Times New Roman"/>
                <w:lang w:val="pt-PT"/>
              </w:rPr>
              <w:t>Erro</w:t>
            </w:r>
          </w:p>
        </w:tc>
      </w:tr>
      <w:tr w:rsidR="003B3524" w:rsidRPr="00FA3856" w:rsidTr="00297462">
        <w:trPr>
          <w:trHeight w:val="445"/>
        </w:trPr>
        <w:tc>
          <w:tcPr>
            <w:tcW w:w="677" w:type="dxa"/>
            <w:tcBorders>
              <w:top w:val="single" w:sz="6" w:space="0" w:color="auto"/>
              <w:left w:val="single" w:sz="6" w:space="0" w:color="auto"/>
              <w:bottom w:val="single" w:sz="6" w:space="0" w:color="auto"/>
              <w:right w:val="single" w:sz="6" w:space="0" w:color="auto"/>
            </w:tcBorders>
          </w:tcPr>
          <w:p w:rsidR="003B3524" w:rsidRPr="00FA3856" w:rsidRDefault="003B3524" w:rsidP="003B3524">
            <w:pPr>
              <w:pStyle w:val="PSDS-CorpodeTexto0"/>
              <w:suppressAutoHyphens w:val="0"/>
              <w:jc w:val="center"/>
              <w:rPr>
                <w:rFonts w:ascii="Times New Roman" w:hAnsi="Times New Roman"/>
                <w:b/>
                <w:bCs/>
                <w:lang w:val="en-US"/>
              </w:rPr>
            </w:pPr>
            <w:r w:rsidRPr="00FA3856">
              <w:rPr>
                <w:rFonts w:ascii="Times New Roman" w:hAnsi="Times New Roman"/>
                <w:b/>
                <w:bCs/>
                <w:lang w:val="en-US"/>
              </w:rPr>
              <w:t>8</w:t>
            </w:r>
          </w:p>
        </w:tc>
        <w:tc>
          <w:tcPr>
            <w:tcW w:w="1928" w:type="dxa"/>
            <w:tcBorders>
              <w:top w:val="single" w:sz="6" w:space="0" w:color="auto"/>
              <w:left w:val="single" w:sz="6" w:space="0" w:color="auto"/>
              <w:bottom w:val="single" w:sz="6" w:space="0" w:color="auto"/>
              <w:right w:val="single" w:sz="6" w:space="0" w:color="auto"/>
            </w:tcBorders>
          </w:tcPr>
          <w:p w:rsidR="003B3524" w:rsidRPr="00FA3856" w:rsidRDefault="003B3524" w:rsidP="003B3524">
            <w:pPr>
              <w:pStyle w:val="PSDS-CorpodeTexto0"/>
              <w:rPr>
                <w:rFonts w:ascii="Times New Roman" w:hAnsi="Times New Roman"/>
                <w:lang w:val="en-US"/>
              </w:rPr>
            </w:pPr>
            <w:r w:rsidRPr="00FA3856">
              <w:rPr>
                <w:rFonts w:ascii="Times New Roman" w:hAnsi="Times New Roman"/>
                <w:lang w:val="en-US"/>
              </w:rPr>
              <w:t>PAT_REMAN_CIS</w:t>
            </w:r>
          </w:p>
        </w:tc>
        <w:tc>
          <w:tcPr>
            <w:tcW w:w="13048" w:type="dxa"/>
            <w:tcBorders>
              <w:top w:val="single" w:sz="6" w:space="0" w:color="auto"/>
              <w:left w:val="single" w:sz="6" w:space="0" w:color="auto"/>
              <w:bottom w:val="single" w:sz="6" w:space="0" w:color="auto"/>
              <w:right w:val="single" w:sz="6" w:space="0" w:color="auto"/>
            </w:tcBorders>
          </w:tcPr>
          <w:p w:rsidR="003B3524" w:rsidRPr="00FA3856" w:rsidRDefault="007D0E74" w:rsidP="003B3524">
            <w:pPr>
              <w:pStyle w:val="PSDS-CorpodeTexto0"/>
              <w:jc w:val="both"/>
              <w:rPr>
                <w:rFonts w:ascii="Times New Roman" w:hAnsi="Times New Roman"/>
                <w:lang w:val="pt-PT"/>
              </w:rPr>
            </w:pPr>
            <w:hyperlink w:anchor="REGRA_PAT_REMAN_CIS_OBRIGATORIO" w:history="1">
              <w:r w:rsidR="003B3524" w:rsidRPr="00FA3856">
                <w:rPr>
                  <w:rStyle w:val="Hyperlink"/>
                  <w:rFonts w:ascii="Times New Roman" w:hAnsi="Times New Roman"/>
                  <w:b/>
                  <w:color w:val="auto"/>
                </w:rPr>
                <w:t>REGRA_PAT_REMAN_CIS_OBRIGATORIO</w:t>
              </w:r>
            </w:hyperlink>
            <w:r w:rsidR="003B3524" w:rsidRPr="00FA3856">
              <w:rPr>
                <w:rFonts w:ascii="Times New Roman" w:hAnsi="Times New Roman"/>
                <w:b/>
              </w:rPr>
              <w:t xml:space="preserve">: </w:t>
            </w:r>
            <w:r w:rsidR="003B3524" w:rsidRPr="00FA3856">
              <w:rPr>
                <w:rFonts w:ascii="Times New Roman" w:hAnsi="Times New Roman"/>
                <w:lang w:val="pt-PT"/>
              </w:rPr>
              <w:t xml:space="preserve"> Verifica se o campo foi preenchido quando </w:t>
            </w:r>
            <w:r w:rsidR="009D3C61" w:rsidRPr="00FA3856">
              <w:rPr>
                <w:rFonts w:ascii="Times New Roman" w:hAnsi="Times New Roman"/>
                <w:lang w:val="pt-PT"/>
              </w:rPr>
              <w:t>0000.</w:t>
            </w:r>
            <w:r w:rsidR="008D5637" w:rsidRPr="00FA3856">
              <w:rPr>
                <w:rFonts w:ascii="Times New Roman" w:hAnsi="Times New Roman"/>
                <w:lang w:val="pt-PT"/>
              </w:rPr>
              <w:t xml:space="preserve">SIT_ESPECIAL </w:t>
            </w:r>
            <w:r w:rsidR="003B3524" w:rsidRPr="00FA3856">
              <w:rPr>
                <w:rFonts w:ascii="Times New Roman" w:hAnsi="Times New Roman"/>
                <w:lang w:val="pt-PT"/>
              </w:rPr>
              <w:t>for ig</w:t>
            </w:r>
            <w:r w:rsidR="00116438" w:rsidRPr="00FA3856">
              <w:rPr>
                <w:rFonts w:ascii="Times New Roman" w:hAnsi="Times New Roman"/>
                <w:lang w:val="pt-PT"/>
              </w:rPr>
              <w:t>ual a “6” (Cisão Par</w:t>
            </w:r>
            <w:r w:rsidR="003B3524" w:rsidRPr="00FA3856">
              <w:rPr>
                <w:rFonts w:ascii="Times New Roman" w:hAnsi="Times New Roman"/>
                <w:lang w:val="pt-PT"/>
              </w:rPr>
              <w:t>cial).</w:t>
            </w:r>
          </w:p>
          <w:p w:rsidR="007A7243" w:rsidRPr="00FA3856" w:rsidRDefault="007A7243" w:rsidP="003B3524">
            <w:pPr>
              <w:pStyle w:val="PSDS-CorpodeTexto0"/>
              <w:jc w:val="both"/>
              <w:rPr>
                <w:rFonts w:ascii="Times New Roman" w:hAnsi="Times New Roman"/>
                <w:lang w:val="pt-PT"/>
              </w:rPr>
            </w:pPr>
          </w:p>
          <w:p w:rsidR="003B3524" w:rsidRPr="00FA3856" w:rsidRDefault="007D0E74" w:rsidP="003B3524">
            <w:pPr>
              <w:pStyle w:val="PSDS-CorpodeTexto0"/>
              <w:jc w:val="both"/>
              <w:rPr>
                <w:rFonts w:ascii="Times New Roman" w:hAnsi="Times New Roman"/>
                <w:lang w:val="pt-PT"/>
              </w:rPr>
            </w:pPr>
            <w:hyperlink w:anchor="REGRA_NAO_PREENCHER_SIT_ESP_CIAO_PARCIAL" w:history="1">
              <w:r w:rsidR="003B3524" w:rsidRPr="00FA3856">
                <w:rPr>
                  <w:rStyle w:val="Hyperlink"/>
                  <w:rFonts w:ascii="Times New Roman" w:hAnsi="Times New Roman"/>
                  <w:b/>
                  <w:color w:val="auto"/>
                </w:rPr>
                <w:t>REGRA_NAO_PREENCHER_SIT_ESP_CISAO_PARCIAL</w:t>
              </w:r>
            </w:hyperlink>
            <w:r w:rsidR="003B3524" w:rsidRPr="00FA3856">
              <w:rPr>
                <w:rFonts w:ascii="Times New Roman" w:hAnsi="Times New Roman"/>
                <w:b/>
              </w:rPr>
              <w:t xml:space="preserve">: </w:t>
            </w:r>
            <w:r w:rsidR="003B3524" w:rsidRPr="00FA3856">
              <w:rPr>
                <w:rFonts w:ascii="Times New Roman" w:hAnsi="Times New Roman"/>
                <w:lang w:val="pt-PT"/>
              </w:rPr>
              <w:t xml:space="preserve"> Verifica se o campo está em bra</w:t>
            </w:r>
            <w:r w:rsidR="009D3C61" w:rsidRPr="00FA3856">
              <w:rPr>
                <w:rFonts w:ascii="Times New Roman" w:hAnsi="Times New Roman"/>
                <w:lang w:val="pt-PT"/>
              </w:rPr>
              <w:t>nco quando 0000.</w:t>
            </w:r>
            <w:r w:rsidR="008D5637" w:rsidRPr="00FA3856">
              <w:rPr>
                <w:rFonts w:ascii="Times New Roman" w:hAnsi="Times New Roman"/>
                <w:lang w:val="pt-PT"/>
              </w:rPr>
              <w:t xml:space="preserve">SIT_ESPECIAL </w:t>
            </w:r>
            <w:r w:rsidR="00116438" w:rsidRPr="00FA3856">
              <w:rPr>
                <w:rFonts w:ascii="Times New Roman" w:hAnsi="Times New Roman"/>
                <w:lang w:val="pt-PT"/>
              </w:rPr>
              <w:t>for diferente de “6” (Cisão Par</w:t>
            </w:r>
            <w:r w:rsidR="003B3524" w:rsidRPr="00FA3856">
              <w:rPr>
                <w:rFonts w:ascii="Times New Roman" w:hAnsi="Times New Roman"/>
                <w:lang w:val="pt-PT"/>
              </w:rPr>
              <w:t>cial).</w:t>
            </w:r>
          </w:p>
        </w:tc>
        <w:tc>
          <w:tcPr>
            <w:tcW w:w="717" w:type="dxa"/>
            <w:tcBorders>
              <w:top w:val="single" w:sz="6" w:space="0" w:color="auto"/>
              <w:left w:val="single" w:sz="6" w:space="0" w:color="auto"/>
              <w:bottom w:val="single" w:sz="6" w:space="0" w:color="auto"/>
              <w:right w:val="single" w:sz="6" w:space="0" w:color="auto"/>
            </w:tcBorders>
          </w:tcPr>
          <w:p w:rsidR="003B3524" w:rsidRPr="00FA3856" w:rsidRDefault="003B3524" w:rsidP="003B3524">
            <w:pPr>
              <w:pStyle w:val="PSDS-CorpodeTexto0"/>
              <w:rPr>
                <w:rFonts w:ascii="Times New Roman" w:hAnsi="Times New Roman"/>
                <w:lang w:val="en-US"/>
              </w:rPr>
            </w:pPr>
            <w:r w:rsidRPr="00FA3856">
              <w:rPr>
                <w:rFonts w:ascii="Times New Roman" w:hAnsi="Times New Roman"/>
                <w:lang w:val="en-US"/>
              </w:rPr>
              <w:t>Erro</w:t>
            </w:r>
          </w:p>
          <w:p w:rsidR="007A7243" w:rsidRPr="00FA3856" w:rsidRDefault="007A7243" w:rsidP="003B3524">
            <w:pPr>
              <w:pStyle w:val="PSDS-CorpodeTexto0"/>
              <w:rPr>
                <w:rFonts w:ascii="Times New Roman" w:hAnsi="Times New Roman"/>
                <w:lang w:val="en-US"/>
              </w:rPr>
            </w:pPr>
          </w:p>
          <w:p w:rsidR="007A7243" w:rsidRPr="00FA3856" w:rsidRDefault="007A7243" w:rsidP="003B3524">
            <w:pPr>
              <w:pStyle w:val="PSDS-CorpodeTexto0"/>
              <w:rPr>
                <w:rFonts w:ascii="Times New Roman" w:hAnsi="Times New Roman"/>
                <w:lang w:val="en-US"/>
              </w:rPr>
            </w:pPr>
            <w:r w:rsidRPr="00FA3856">
              <w:rPr>
                <w:rFonts w:ascii="Times New Roman" w:hAnsi="Times New Roman"/>
                <w:lang w:val="en-US"/>
              </w:rPr>
              <w:t>Erro</w:t>
            </w:r>
          </w:p>
          <w:p w:rsidR="003B3524" w:rsidRPr="00FA3856" w:rsidRDefault="003B3524" w:rsidP="003B3524">
            <w:pPr>
              <w:pStyle w:val="PSDS-CorpodeTexto0"/>
              <w:rPr>
                <w:rFonts w:ascii="Times New Roman" w:hAnsi="Times New Roman"/>
                <w:lang w:val="en-US"/>
              </w:rPr>
            </w:pPr>
          </w:p>
        </w:tc>
      </w:tr>
      <w:tr w:rsidR="003B3524" w:rsidRPr="00FA3856" w:rsidTr="00297462">
        <w:trPr>
          <w:trHeight w:val="661"/>
        </w:trPr>
        <w:tc>
          <w:tcPr>
            <w:tcW w:w="677" w:type="dxa"/>
            <w:tcBorders>
              <w:top w:val="single" w:sz="6" w:space="0" w:color="auto"/>
              <w:left w:val="single" w:sz="6" w:space="0" w:color="auto"/>
              <w:bottom w:val="single" w:sz="6" w:space="0" w:color="auto"/>
              <w:right w:val="single" w:sz="6" w:space="0" w:color="auto"/>
            </w:tcBorders>
          </w:tcPr>
          <w:p w:rsidR="003B3524" w:rsidRPr="00FA3856" w:rsidRDefault="003B3524" w:rsidP="003B3524">
            <w:pPr>
              <w:pStyle w:val="PSDS-CorpodeTexto0"/>
              <w:suppressAutoHyphens w:val="0"/>
              <w:jc w:val="center"/>
              <w:rPr>
                <w:rFonts w:ascii="Times New Roman" w:hAnsi="Times New Roman"/>
                <w:b/>
                <w:bCs/>
                <w:lang w:val="pt-PT"/>
              </w:rPr>
            </w:pPr>
            <w:r w:rsidRPr="00FA3856">
              <w:rPr>
                <w:rFonts w:ascii="Times New Roman" w:hAnsi="Times New Roman"/>
                <w:b/>
                <w:bCs/>
                <w:lang w:val="pt-PT"/>
              </w:rPr>
              <w:t>9</w:t>
            </w:r>
          </w:p>
        </w:tc>
        <w:tc>
          <w:tcPr>
            <w:tcW w:w="1928" w:type="dxa"/>
            <w:tcBorders>
              <w:top w:val="single" w:sz="6" w:space="0" w:color="auto"/>
              <w:left w:val="single" w:sz="6" w:space="0" w:color="auto"/>
              <w:bottom w:val="single" w:sz="6" w:space="0" w:color="auto"/>
              <w:right w:val="single" w:sz="6" w:space="0" w:color="auto"/>
            </w:tcBorders>
          </w:tcPr>
          <w:p w:rsidR="003B3524" w:rsidRPr="00FA3856" w:rsidRDefault="003B3524" w:rsidP="003B3524">
            <w:pPr>
              <w:pStyle w:val="PSDS-CorpodeTexto0"/>
              <w:rPr>
                <w:rFonts w:ascii="Times New Roman" w:hAnsi="Times New Roman"/>
                <w:lang w:val="en-US"/>
              </w:rPr>
            </w:pPr>
            <w:r w:rsidRPr="00FA3856">
              <w:rPr>
                <w:rFonts w:ascii="Times New Roman" w:hAnsi="Times New Roman"/>
                <w:lang w:val="en-US"/>
              </w:rPr>
              <w:t>DT_SIT_ESP</w:t>
            </w:r>
          </w:p>
        </w:tc>
        <w:tc>
          <w:tcPr>
            <w:tcW w:w="13048" w:type="dxa"/>
            <w:tcBorders>
              <w:top w:val="single" w:sz="6" w:space="0" w:color="auto"/>
              <w:left w:val="single" w:sz="6" w:space="0" w:color="auto"/>
              <w:bottom w:val="single" w:sz="6" w:space="0" w:color="auto"/>
              <w:right w:val="single" w:sz="6" w:space="0" w:color="auto"/>
            </w:tcBorders>
          </w:tcPr>
          <w:p w:rsidR="003B3524" w:rsidRPr="00FA3856" w:rsidRDefault="007D0E74" w:rsidP="003B3524">
            <w:pPr>
              <w:shd w:val="clear" w:color="auto" w:fill="FFFFFF"/>
              <w:jc w:val="both"/>
              <w:rPr>
                <w:szCs w:val="20"/>
                <w:lang w:val="pt-PT"/>
              </w:rPr>
            </w:pPr>
            <w:hyperlink w:anchor="REGRA_DT_SIT_OBRIGATORIO" w:history="1">
              <w:r w:rsidR="003B3524" w:rsidRPr="00FA3856">
                <w:rPr>
                  <w:rStyle w:val="Hyperlink"/>
                  <w:b/>
                  <w:color w:val="auto"/>
                  <w:szCs w:val="20"/>
                  <w:lang w:val="pt-PT"/>
                </w:rPr>
                <w:t>REGRA_DT_SIT_OBRIGATORIO</w:t>
              </w:r>
            </w:hyperlink>
            <w:r w:rsidR="003B3524" w:rsidRPr="00FA3856">
              <w:rPr>
                <w:b/>
                <w:szCs w:val="20"/>
                <w:lang w:val="pt-PT"/>
              </w:rPr>
              <w:t xml:space="preserve">: </w:t>
            </w:r>
            <w:r w:rsidR="003B3524" w:rsidRPr="00FA3856">
              <w:rPr>
                <w:szCs w:val="20"/>
                <w:lang w:val="pt-PT"/>
              </w:rPr>
              <w:t>Verifica se o campo foi preench</w:t>
            </w:r>
            <w:r w:rsidR="000D558E" w:rsidRPr="00FA3856">
              <w:rPr>
                <w:szCs w:val="20"/>
                <w:lang w:val="pt-PT"/>
              </w:rPr>
              <w:t>ido quando 0000.</w:t>
            </w:r>
            <w:r w:rsidR="008D5637" w:rsidRPr="00FA3856">
              <w:rPr>
                <w:szCs w:val="20"/>
                <w:lang w:val="pt-PT"/>
              </w:rPr>
              <w:t xml:space="preserve">SIT_ESPECIAL </w:t>
            </w:r>
            <w:r w:rsidR="003B3524" w:rsidRPr="00FA3856">
              <w:rPr>
                <w:szCs w:val="20"/>
                <w:lang w:val="pt-PT"/>
              </w:rPr>
              <w:t>est</w:t>
            </w:r>
            <w:r w:rsidR="00275712">
              <w:rPr>
                <w:szCs w:val="20"/>
                <w:lang w:val="pt-PT"/>
              </w:rPr>
              <w:t>iver preenchido e for diferente de “0” (Normal = Sem situação especial no período).</w:t>
            </w:r>
          </w:p>
          <w:p w:rsidR="003B3524" w:rsidRPr="00FA3856" w:rsidRDefault="003B3524" w:rsidP="003B3524">
            <w:pPr>
              <w:shd w:val="clear" w:color="auto" w:fill="FFFFFF"/>
              <w:jc w:val="both"/>
              <w:rPr>
                <w:b/>
                <w:szCs w:val="20"/>
                <w:lang w:val="pt-PT"/>
              </w:rPr>
            </w:pPr>
          </w:p>
          <w:p w:rsidR="003B3524" w:rsidRPr="00FA3856" w:rsidRDefault="007D0E74" w:rsidP="003B3524">
            <w:pPr>
              <w:shd w:val="clear" w:color="auto" w:fill="FFFFFF"/>
              <w:jc w:val="both"/>
              <w:rPr>
                <w:szCs w:val="20"/>
                <w:lang w:val="pt-PT"/>
              </w:rPr>
            </w:pPr>
            <w:hyperlink w:anchor="REGRA_NAO_PREENCHER_SIT_ESP_NORMAL" w:history="1">
              <w:r w:rsidR="003B3524" w:rsidRPr="00FA3856">
                <w:rPr>
                  <w:rStyle w:val="Hyperlink"/>
                  <w:b/>
                  <w:color w:val="auto"/>
                  <w:szCs w:val="20"/>
                  <w:lang w:val="pt-PT"/>
                </w:rPr>
                <w:t>REGRA_NAO_PREENCHER_SIT_ESP_NORMAL</w:t>
              </w:r>
            </w:hyperlink>
            <w:r w:rsidR="003B3524" w:rsidRPr="00FA3856">
              <w:rPr>
                <w:b/>
                <w:szCs w:val="20"/>
                <w:lang w:val="pt-PT"/>
              </w:rPr>
              <w:t xml:space="preserve">: </w:t>
            </w:r>
            <w:r w:rsidR="003B3524" w:rsidRPr="00FA3856">
              <w:rPr>
                <w:szCs w:val="20"/>
                <w:lang w:val="pt-PT"/>
              </w:rPr>
              <w:t>V</w:t>
            </w:r>
            <w:r w:rsidR="000654C2">
              <w:rPr>
                <w:szCs w:val="20"/>
                <w:lang w:val="pt-PT"/>
              </w:rPr>
              <w:t xml:space="preserve">erifica se campo está </w:t>
            </w:r>
            <w:r w:rsidR="00116438" w:rsidRPr="00FA3856">
              <w:rPr>
                <w:szCs w:val="20"/>
                <w:lang w:val="pt-PT"/>
              </w:rPr>
              <w:t>e</w:t>
            </w:r>
            <w:r w:rsidR="000654C2">
              <w:rPr>
                <w:szCs w:val="20"/>
                <w:lang w:val="pt-PT"/>
              </w:rPr>
              <w:t>m</w:t>
            </w:r>
            <w:r w:rsidR="00116438" w:rsidRPr="00FA3856">
              <w:rPr>
                <w:szCs w:val="20"/>
                <w:lang w:val="pt-PT"/>
              </w:rPr>
              <w:t xml:space="preserve"> br</w:t>
            </w:r>
            <w:r w:rsidR="003B3524" w:rsidRPr="00FA3856">
              <w:rPr>
                <w:szCs w:val="20"/>
                <w:lang w:val="pt-PT"/>
              </w:rPr>
              <w:t>a</w:t>
            </w:r>
            <w:r w:rsidR="00116438" w:rsidRPr="00FA3856">
              <w:rPr>
                <w:szCs w:val="20"/>
                <w:lang w:val="pt-PT"/>
              </w:rPr>
              <w:t>n</w:t>
            </w:r>
            <w:r w:rsidR="003B3524" w:rsidRPr="00FA3856">
              <w:rPr>
                <w:szCs w:val="20"/>
                <w:lang w:val="pt-PT"/>
              </w:rPr>
              <w:t xml:space="preserve">co quando </w:t>
            </w:r>
            <w:r w:rsidR="000D558E" w:rsidRPr="00FA3856">
              <w:rPr>
                <w:szCs w:val="20"/>
                <w:lang w:val="pt-PT"/>
              </w:rPr>
              <w:t>0000.</w:t>
            </w:r>
            <w:r w:rsidR="008D5637" w:rsidRPr="00FA3856">
              <w:rPr>
                <w:szCs w:val="20"/>
                <w:lang w:val="pt-PT"/>
              </w:rPr>
              <w:t xml:space="preserve">SIT_ESPECIAL </w:t>
            </w:r>
            <w:r w:rsidR="00454370" w:rsidRPr="00FA3856">
              <w:rPr>
                <w:szCs w:val="20"/>
                <w:lang w:val="pt-PT"/>
              </w:rPr>
              <w:t>for igual a “0” (Normal = S</w:t>
            </w:r>
            <w:r w:rsidR="003B3524" w:rsidRPr="00FA3856">
              <w:rPr>
                <w:szCs w:val="20"/>
                <w:lang w:val="pt-PT"/>
              </w:rPr>
              <w:t>em situação especial no período).</w:t>
            </w:r>
          </w:p>
        </w:tc>
        <w:tc>
          <w:tcPr>
            <w:tcW w:w="717" w:type="dxa"/>
            <w:tcBorders>
              <w:top w:val="single" w:sz="6" w:space="0" w:color="auto"/>
              <w:left w:val="single" w:sz="6" w:space="0" w:color="auto"/>
              <w:bottom w:val="single" w:sz="6" w:space="0" w:color="auto"/>
              <w:right w:val="single" w:sz="6" w:space="0" w:color="auto"/>
            </w:tcBorders>
          </w:tcPr>
          <w:p w:rsidR="003B3524" w:rsidRPr="00FA3856" w:rsidRDefault="003B3524" w:rsidP="003B3524">
            <w:pPr>
              <w:pStyle w:val="PSDS-CorpodeTexto0"/>
              <w:rPr>
                <w:rFonts w:ascii="Times New Roman" w:hAnsi="Times New Roman"/>
                <w:lang w:val="en-US"/>
              </w:rPr>
            </w:pPr>
            <w:r w:rsidRPr="00FA3856">
              <w:rPr>
                <w:rFonts w:ascii="Times New Roman" w:hAnsi="Times New Roman"/>
                <w:lang w:val="en-US"/>
              </w:rPr>
              <w:t>Erro</w:t>
            </w:r>
          </w:p>
          <w:p w:rsidR="003B3524" w:rsidRPr="00FA3856" w:rsidRDefault="003B3524" w:rsidP="003B3524">
            <w:pPr>
              <w:pStyle w:val="PSDS-CorpodeTexto0"/>
              <w:jc w:val="center"/>
              <w:rPr>
                <w:rFonts w:ascii="Times New Roman" w:hAnsi="Times New Roman"/>
                <w:lang w:val="en-US"/>
              </w:rPr>
            </w:pPr>
          </w:p>
          <w:p w:rsidR="00275712" w:rsidRDefault="00275712" w:rsidP="003B3524">
            <w:pPr>
              <w:pStyle w:val="PSDS-CorpodeTexto0"/>
              <w:rPr>
                <w:rFonts w:ascii="Times New Roman" w:hAnsi="Times New Roman"/>
                <w:lang w:val="en-US"/>
              </w:rPr>
            </w:pPr>
          </w:p>
          <w:p w:rsidR="003B3524" w:rsidRPr="00FA3856" w:rsidRDefault="003B3524" w:rsidP="003B3524">
            <w:pPr>
              <w:pStyle w:val="PSDS-CorpodeTexto0"/>
              <w:rPr>
                <w:rFonts w:ascii="Times New Roman" w:hAnsi="Times New Roman"/>
                <w:lang w:val="en-US"/>
              </w:rPr>
            </w:pPr>
            <w:r w:rsidRPr="00FA3856">
              <w:rPr>
                <w:rFonts w:ascii="Times New Roman" w:hAnsi="Times New Roman"/>
                <w:lang w:val="en-US"/>
              </w:rPr>
              <w:t>Erro</w:t>
            </w:r>
          </w:p>
          <w:p w:rsidR="003B3524" w:rsidRPr="00FA3856" w:rsidRDefault="003B3524" w:rsidP="003B3524">
            <w:pPr>
              <w:pStyle w:val="PSDS-CorpodeTexto0"/>
              <w:rPr>
                <w:rFonts w:ascii="Times New Roman" w:hAnsi="Times New Roman"/>
                <w:lang w:val="en-US"/>
              </w:rPr>
            </w:pPr>
          </w:p>
        </w:tc>
      </w:tr>
      <w:tr w:rsidR="003B3524" w:rsidRPr="00FA3856" w:rsidTr="007A7243">
        <w:trPr>
          <w:trHeight w:val="269"/>
        </w:trPr>
        <w:tc>
          <w:tcPr>
            <w:tcW w:w="677" w:type="dxa"/>
            <w:tcBorders>
              <w:top w:val="single" w:sz="6" w:space="0" w:color="auto"/>
              <w:left w:val="single" w:sz="6" w:space="0" w:color="auto"/>
              <w:bottom w:val="single" w:sz="6" w:space="0" w:color="auto"/>
              <w:right w:val="single" w:sz="6" w:space="0" w:color="auto"/>
            </w:tcBorders>
          </w:tcPr>
          <w:p w:rsidR="003B3524" w:rsidRPr="00FA3856" w:rsidRDefault="003B3524" w:rsidP="003B3524">
            <w:pPr>
              <w:pStyle w:val="PSDS-CorpodeTexto0"/>
              <w:suppressAutoHyphens w:val="0"/>
              <w:jc w:val="center"/>
              <w:rPr>
                <w:rFonts w:ascii="Times New Roman" w:hAnsi="Times New Roman"/>
                <w:b/>
                <w:bCs/>
                <w:lang w:val="pt-PT"/>
              </w:rPr>
            </w:pPr>
            <w:r w:rsidRPr="00FA3856">
              <w:rPr>
                <w:rFonts w:ascii="Times New Roman" w:hAnsi="Times New Roman"/>
                <w:b/>
                <w:bCs/>
                <w:lang w:val="pt-PT"/>
              </w:rPr>
              <w:t>10</w:t>
            </w:r>
          </w:p>
        </w:tc>
        <w:tc>
          <w:tcPr>
            <w:tcW w:w="1928" w:type="dxa"/>
            <w:tcBorders>
              <w:top w:val="single" w:sz="6" w:space="0" w:color="auto"/>
              <w:left w:val="single" w:sz="6" w:space="0" w:color="auto"/>
              <w:bottom w:val="single" w:sz="6" w:space="0" w:color="auto"/>
              <w:right w:val="single" w:sz="6" w:space="0" w:color="auto"/>
            </w:tcBorders>
          </w:tcPr>
          <w:p w:rsidR="003B3524" w:rsidRPr="00FA3856" w:rsidRDefault="003B3524" w:rsidP="003B3524">
            <w:pPr>
              <w:pStyle w:val="PSDS-CorpodeTexto0"/>
              <w:rPr>
                <w:rFonts w:ascii="Times New Roman" w:hAnsi="Times New Roman"/>
                <w:lang w:val="pt-PT"/>
              </w:rPr>
            </w:pPr>
            <w:r w:rsidRPr="00FA3856">
              <w:rPr>
                <w:rFonts w:ascii="Times New Roman" w:hAnsi="Times New Roman"/>
                <w:lang w:val="pt-PT"/>
              </w:rPr>
              <w:t>DT_INI</w:t>
            </w:r>
          </w:p>
        </w:tc>
        <w:tc>
          <w:tcPr>
            <w:tcW w:w="13048" w:type="dxa"/>
            <w:tcBorders>
              <w:top w:val="single" w:sz="6" w:space="0" w:color="auto"/>
              <w:left w:val="single" w:sz="6" w:space="0" w:color="auto"/>
              <w:bottom w:val="single" w:sz="6" w:space="0" w:color="auto"/>
              <w:right w:val="single" w:sz="6" w:space="0" w:color="auto"/>
            </w:tcBorders>
          </w:tcPr>
          <w:p w:rsidR="003B3524" w:rsidRPr="00FA3856" w:rsidRDefault="007D0E74" w:rsidP="003B3524">
            <w:pPr>
              <w:jc w:val="both"/>
              <w:rPr>
                <w:szCs w:val="20"/>
              </w:rPr>
            </w:pPr>
            <w:hyperlink w:anchor="REGRA_DATA_MINIMA" w:history="1">
              <w:r w:rsidR="003B3524" w:rsidRPr="00FA3856">
                <w:rPr>
                  <w:rStyle w:val="Hyperlink"/>
                  <w:b/>
                  <w:color w:val="auto"/>
                  <w:szCs w:val="20"/>
                </w:rPr>
                <w:t>REGRA_DATA_MINIMA</w:t>
              </w:r>
            </w:hyperlink>
            <w:r w:rsidR="003B3524" w:rsidRPr="00FA3856">
              <w:rPr>
                <w:b/>
                <w:szCs w:val="20"/>
              </w:rPr>
              <w:t xml:space="preserve">: </w:t>
            </w:r>
            <w:r w:rsidR="003B3524" w:rsidRPr="00FA3856">
              <w:rPr>
                <w:szCs w:val="20"/>
              </w:rPr>
              <w:t xml:space="preserve">Verifica se </w:t>
            </w:r>
            <w:r w:rsidR="000D558E" w:rsidRPr="00FA3856">
              <w:rPr>
                <w:szCs w:val="20"/>
              </w:rPr>
              <w:t>0000.</w:t>
            </w:r>
            <w:r w:rsidR="008D5637" w:rsidRPr="00FA3856">
              <w:rPr>
                <w:szCs w:val="20"/>
              </w:rPr>
              <w:t xml:space="preserve">DT_INI </w:t>
            </w:r>
            <w:r w:rsidR="003B3524" w:rsidRPr="00FA3856">
              <w:rPr>
                <w:szCs w:val="20"/>
              </w:rPr>
              <w:t>é maior</w:t>
            </w:r>
            <w:r w:rsidR="00116438" w:rsidRPr="00FA3856">
              <w:rPr>
                <w:szCs w:val="20"/>
              </w:rPr>
              <w:t xml:space="preserve"> que 01/01/2014</w:t>
            </w:r>
            <w:r w:rsidR="003B3524" w:rsidRPr="00FA3856">
              <w:rPr>
                <w:szCs w:val="20"/>
              </w:rPr>
              <w:t>.</w:t>
            </w:r>
          </w:p>
          <w:p w:rsidR="003B3524" w:rsidRPr="00FA3856" w:rsidRDefault="003B3524" w:rsidP="003B3524">
            <w:pPr>
              <w:jc w:val="both"/>
              <w:rPr>
                <w:szCs w:val="20"/>
              </w:rPr>
            </w:pPr>
          </w:p>
          <w:p w:rsidR="003B3524" w:rsidRPr="00FA3856" w:rsidRDefault="007D0E74" w:rsidP="003B3524">
            <w:pPr>
              <w:pStyle w:val="PSDS-CorpodeTexto0"/>
              <w:jc w:val="both"/>
              <w:rPr>
                <w:rFonts w:ascii="Times New Roman" w:hAnsi="Times New Roman"/>
                <w:lang w:eastAsia="en-US"/>
              </w:rPr>
            </w:pPr>
            <w:hyperlink w:anchor="REGRA_DT_INICIO_ESCRITURACAO" w:history="1">
              <w:r w:rsidR="003B3524" w:rsidRPr="00FA3856">
                <w:rPr>
                  <w:rStyle w:val="Hyperlink"/>
                  <w:rFonts w:ascii="Times New Roman" w:hAnsi="Times New Roman"/>
                  <w:b/>
                  <w:color w:val="auto"/>
                  <w:lang w:eastAsia="en-US"/>
                </w:rPr>
                <w:t>REGRA_DT_INICIO_ESCRITURACAO</w:t>
              </w:r>
            </w:hyperlink>
            <w:r w:rsidR="003B3524" w:rsidRPr="00FA3856">
              <w:rPr>
                <w:rFonts w:ascii="Times New Roman" w:hAnsi="Times New Roman"/>
                <w:b/>
                <w:lang w:eastAsia="en-US"/>
              </w:rPr>
              <w:t xml:space="preserve">: </w:t>
            </w:r>
            <w:r w:rsidR="003B3524" w:rsidRPr="00FA3856">
              <w:rPr>
                <w:rFonts w:ascii="Times New Roman" w:hAnsi="Times New Roman"/>
                <w:lang w:eastAsia="en-US"/>
              </w:rPr>
              <w:t xml:space="preserve">Verifica, quando o </w:t>
            </w:r>
            <w:r w:rsidR="000D558E" w:rsidRPr="00FA3856">
              <w:rPr>
                <w:rFonts w:ascii="Times New Roman" w:hAnsi="Times New Roman"/>
                <w:lang w:eastAsia="en-US"/>
              </w:rPr>
              <w:t>0000.</w:t>
            </w:r>
            <w:r w:rsidR="008D5637" w:rsidRPr="00FA3856">
              <w:rPr>
                <w:rFonts w:ascii="Times New Roman" w:hAnsi="Times New Roman"/>
                <w:lang w:eastAsia="en-US"/>
              </w:rPr>
              <w:t xml:space="preserve">IND_SIT_INI_PER </w:t>
            </w:r>
            <w:r w:rsidR="003B3524" w:rsidRPr="00FA3856">
              <w:rPr>
                <w:rFonts w:ascii="Times New Roman" w:hAnsi="Times New Roman"/>
                <w:lang w:eastAsia="en-US"/>
              </w:rPr>
              <w:t xml:space="preserve">é igual a “0” (Normal), se </w:t>
            </w:r>
            <w:r w:rsidR="000D558E" w:rsidRPr="00FA3856">
              <w:rPr>
                <w:rFonts w:ascii="Times New Roman" w:hAnsi="Times New Roman"/>
                <w:lang w:eastAsia="en-US"/>
              </w:rPr>
              <w:t>0000.</w:t>
            </w:r>
            <w:r w:rsidR="008D5637" w:rsidRPr="00FA3856">
              <w:rPr>
                <w:rFonts w:ascii="Times New Roman" w:hAnsi="Times New Roman"/>
                <w:lang w:eastAsia="en-US"/>
              </w:rPr>
              <w:t xml:space="preserve">DT_INI </w:t>
            </w:r>
            <w:r w:rsidR="003B3524" w:rsidRPr="00FA3856">
              <w:rPr>
                <w:rFonts w:ascii="Times New Roman" w:hAnsi="Times New Roman"/>
                <w:lang w:eastAsia="en-US"/>
              </w:rPr>
              <w:t>é igual a 01/01/XXXX.</w:t>
            </w:r>
          </w:p>
          <w:p w:rsidR="003B3524" w:rsidRPr="00FA3856" w:rsidRDefault="003B3524" w:rsidP="003B3524">
            <w:pPr>
              <w:pStyle w:val="PSDS-CorpodeTexto0"/>
              <w:jc w:val="both"/>
              <w:rPr>
                <w:rFonts w:ascii="Times New Roman" w:hAnsi="Times New Roman"/>
                <w:lang w:eastAsia="en-US"/>
              </w:rPr>
            </w:pPr>
          </w:p>
          <w:p w:rsidR="003B3524" w:rsidRPr="00FA3856" w:rsidRDefault="007D0E74" w:rsidP="003B3524">
            <w:pPr>
              <w:pStyle w:val="PSDS-CorpodeTexto0"/>
              <w:jc w:val="both"/>
              <w:rPr>
                <w:rFonts w:ascii="Times New Roman" w:hAnsi="Times New Roman"/>
                <w:lang w:eastAsia="en-US"/>
              </w:rPr>
            </w:pPr>
            <w:hyperlink w:anchor="REGRA_SEM_LEIAUTE" w:history="1">
              <w:r w:rsidR="003B3524" w:rsidRPr="00FA3856">
                <w:rPr>
                  <w:rStyle w:val="Hyperlink"/>
                  <w:rFonts w:ascii="Times New Roman" w:hAnsi="Times New Roman"/>
                  <w:b/>
                  <w:color w:val="auto"/>
                  <w:lang w:eastAsia="en-US"/>
                </w:rPr>
                <w:t>REGRA_SEM_LEIAUTE</w:t>
              </w:r>
            </w:hyperlink>
            <w:r w:rsidR="003B3524" w:rsidRPr="00FA3856">
              <w:rPr>
                <w:rFonts w:ascii="Times New Roman" w:hAnsi="Times New Roman"/>
                <w:b/>
                <w:lang w:eastAsia="en-US"/>
              </w:rPr>
              <w:t xml:space="preserve">: </w:t>
            </w:r>
            <w:r w:rsidR="003B3524" w:rsidRPr="00FA3856">
              <w:rPr>
                <w:rFonts w:ascii="Times New Roman" w:hAnsi="Times New Roman"/>
                <w:lang w:eastAsia="en-US"/>
              </w:rPr>
              <w:t>Verifica se, para o ano informado, há leiaute disponível.</w:t>
            </w:r>
          </w:p>
          <w:p w:rsidR="003B3524" w:rsidRPr="00FA3856" w:rsidRDefault="003B3524" w:rsidP="003B3524">
            <w:pPr>
              <w:pStyle w:val="PSDS-CorpodeTexto0"/>
              <w:jc w:val="both"/>
              <w:rPr>
                <w:rFonts w:ascii="Times New Roman" w:hAnsi="Times New Roman"/>
                <w:lang w:eastAsia="en-US"/>
              </w:rPr>
            </w:pPr>
          </w:p>
          <w:p w:rsidR="003B3524" w:rsidRPr="00FA3856" w:rsidRDefault="007D0E74" w:rsidP="003B3524">
            <w:pPr>
              <w:pStyle w:val="PSDS-CorpodeTexto0"/>
              <w:jc w:val="both"/>
              <w:rPr>
                <w:rFonts w:ascii="Times New Roman" w:hAnsi="Times New Roman"/>
                <w:bCs/>
                <w:lang w:val="pt-PT"/>
              </w:rPr>
            </w:pPr>
            <w:hyperlink w:anchor="REGRA_INTERPOLACAO_PVA" w:history="1">
              <w:r w:rsidR="003B3524" w:rsidRPr="00FA3856">
                <w:rPr>
                  <w:rStyle w:val="Hyperlink"/>
                  <w:rFonts w:ascii="Times New Roman" w:hAnsi="Times New Roman"/>
                  <w:b/>
                  <w:bCs/>
                  <w:color w:val="auto"/>
                  <w:lang w:val="pt-PT"/>
                </w:rPr>
                <w:t>REGRA_INTERPOLACAO_PVA</w:t>
              </w:r>
            </w:hyperlink>
            <w:r w:rsidR="003B3524" w:rsidRPr="00FA3856">
              <w:rPr>
                <w:rFonts w:ascii="Times New Roman" w:hAnsi="Times New Roman"/>
                <w:b/>
                <w:bCs/>
                <w:lang w:val="pt-PT"/>
              </w:rPr>
              <w:t xml:space="preserve">: </w:t>
            </w:r>
            <w:r w:rsidR="003B3524" w:rsidRPr="00FA3856">
              <w:rPr>
                <w:rFonts w:ascii="Times New Roman" w:hAnsi="Times New Roman"/>
                <w:bCs/>
                <w:lang w:val="pt-PT"/>
              </w:rPr>
              <w:t>Verifica se existe no programa da ECF outra escrituração que compreende ou está compreendicda no período da escrituração a ser criada ou importada.</w:t>
            </w:r>
          </w:p>
          <w:p w:rsidR="00116438" w:rsidRPr="00FA3856" w:rsidRDefault="00116438" w:rsidP="003B3524">
            <w:pPr>
              <w:pStyle w:val="PSDS-CorpodeTexto0"/>
              <w:jc w:val="both"/>
              <w:rPr>
                <w:rFonts w:ascii="Times New Roman" w:hAnsi="Times New Roman"/>
                <w:bCs/>
                <w:lang w:val="pt-PT"/>
              </w:rPr>
            </w:pPr>
          </w:p>
          <w:p w:rsidR="003B3524" w:rsidRPr="00FA3856" w:rsidRDefault="007D0E74" w:rsidP="003B3524">
            <w:pPr>
              <w:pStyle w:val="PSDS-CorpodeTexto0"/>
              <w:jc w:val="both"/>
              <w:rPr>
                <w:rFonts w:ascii="Times New Roman" w:hAnsi="Times New Roman"/>
              </w:rPr>
            </w:pPr>
            <w:hyperlink w:anchor="REGRA_DATA_INI_MAIOR" w:history="1">
              <w:r w:rsidR="003B3524" w:rsidRPr="00FA3856">
                <w:rPr>
                  <w:rStyle w:val="Hyperlink"/>
                  <w:rFonts w:ascii="Times New Roman" w:hAnsi="Times New Roman"/>
                  <w:b/>
                  <w:color w:val="auto"/>
                </w:rPr>
                <w:t>REGRA_DATA_INI_MAIOR</w:t>
              </w:r>
            </w:hyperlink>
            <w:r w:rsidR="003B3524" w:rsidRPr="00FA3856">
              <w:rPr>
                <w:rFonts w:ascii="Times New Roman" w:hAnsi="Times New Roman"/>
                <w:b/>
              </w:rPr>
              <w:t xml:space="preserve">: </w:t>
            </w:r>
            <w:r w:rsidR="0082332B" w:rsidRPr="00FA3856">
              <w:rPr>
                <w:rFonts w:ascii="Times New Roman" w:hAnsi="Times New Roman"/>
              </w:rPr>
              <w:t xml:space="preserve"> Verifica se </w:t>
            </w:r>
            <w:r w:rsidR="000D558E" w:rsidRPr="00FA3856">
              <w:rPr>
                <w:rFonts w:ascii="Times New Roman" w:hAnsi="Times New Roman"/>
              </w:rPr>
              <w:t>0000.</w:t>
            </w:r>
            <w:r w:rsidR="0082332B" w:rsidRPr="00FA3856">
              <w:rPr>
                <w:rFonts w:ascii="Times New Roman" w:hAnsi="Times New Roman"/>
              </w:rPr>
              <w:t>DT_</w:t>
            </w:r>
            <w:r w:rsidR="008D5637" w:rsidRPr="00FA3856">
              <w:rPr>
                <w:rFonts w:ascii="Times New Roman" w:hAnsi="Times New Roman"/>
              </w:rPr>
              <w:t xml:space="preserve">FIN </w:t>
            </w:r>
            <w:r w:rsidR="003B3524" w:rsidRPr="00FA3856">
              <w:rPr>
                <w:rFonts w:ascii="Times New Roman" w:hAnsi="Times New Roman"/>
              </w:rPr>
              <w:t xml:space="preserve">foi preenchido com a data </w:t>
            </w:r>
            <w:r w:rsidR="00116438" w:rsidRPr="00FA3856">
              <w:rPr>
                <w:rFonts w:ascii="Times New Roman" w:hAnsi="Times New Roman"/>
              </w:rPr>
              <w:t>maior</w:t>
            </w:r>
            <w:r w:rsidR="003B3524" w:rsidRPr="00FA3856">
              <w:rPr>
                <w:rFonts w:ascii="Times New Roman" w:hAnsi="Times New Roman"/>
              </w:rPr>
              <w:t xml:space="preserve"> que a data informada em </w:t>
            </w:r>
            <w:r w:rsidR="000D558E" w:rsidRPr="00FA3856">
              <w:rPr>
                <w:rFonts w:ascii="Times New Roman" w:hAnsi="Times New Roman"/>
              </w:rPr>
              <w:t>0000.</w:t>
            </w:r>
            <w:r w:rsidR="008D5637" w:rsidRPr="00FA3856">
              <w:rPr>
                <w:rFonts w:ascii="Times New Roman" w:hAnsi="Times New Roman"/>
              </w:rPr>
              <w:t>DT_INI</w:t>
            </w:r>
            <w:r w:rsidR="003B3524" w:rsidRPr="00FA3856">
              <w:rPr>
                <w:rFonts w:ascii="Times New Roman" w:hAnsi="Times New Roman"/>
              </w:rPr>
              <w:t>.</w:t>
            </w:r>
          </w:p>
          <w:p w:rsidR="00C5399F" w:rsidRPr="00FA3856" w:rsidRDefault="00C5399F" w:rsidP="003B3524">
            <w:pPr>
              <w:jc w:val="both"/>
              <w:rPr>
                <w:szCs w:val="20"/>
              </w:rPr>
            </w:pPr>
          </w:p>
          <w:p w:rsidR="00116438" w:rsidRPr="00FA3856" w:rsidRDefault="007D0E74" w:rsidP="003B3524">
            <w:pPr>
              <w:jc w:val="both"/>
              <w:rPr>
                <w:szCs w:val="20"/>
              </w:rPr>
            </w:pPr>
            <w:hyperlink w:anchor="REGRA_ANO_DIFERENTE" w:history="1">
              <w:r w:rsidR="003B3524" w:rsidRPr="00FA3856">
                <w:rPr>
                  <w:rStyle w:val="Hyperlink"/>
                  <w:b/>
                  <w:color w:val="auto"/>
                  <w:szCs w:val="20"/>
                </w:rPr>
                <w:t>REGRA_ANO_DIFERENTE</w:t>
              </w:r>
            </w:hyperlink>
            <w:r w:rsidR="003B3524" w:rsidRPr="00FA3856">
              <w:rPr>
                <w:b/>
                <w:szCs w:val="20"/>
              </w:rPr>
              <w:t xml:space="preserve">: </w:t>
            </w:r>
            <w:r w:rsidR="003B3524" w:rsidRPr="00FA3856">
              <w:rPr>
                <w:szCs w:val="20"/>
              </w:rPr>
              <w:t xml:space="preserve">Verifica se o ano informado em </w:t>
            </w:r>
            <w:r w:rsidR="000D558E" w:rsidRPr="00FA3856">
              <w:rPr>
                <w:szCs w:val="20"/>
              </w:rPr>
              <w:t>0000.</w:t>
            </w:r>
            <w:r w:rsidR="0082332B" w:rsidRPr="00FA3856">
              <w:rPr>
                <w:szCs w:val="20"/>
              </w:rPr>
              <w:t>DT_</w:t>
            </w:r>
            <w:r w:rsidR="008D5637" w:rsidRPr="00FA3856">
              <w:rPr>
                <w:szCs w:val="20"/>
              </w:rPr>
              <w:t>FIN</w:t>
            </w:r>
            <w:r w:rsidR="003B3524" w:rsidRPr="00FA3856">
              <w:rPr>
                <w:szCs w:val="20"/>
              </w:rPr>
              <w:t xml:space="preserve"> é igual ao ano informado em </w:t>
            </w:r>
            <w:r w:rsidR="000D558E" w:rsidRPr="00FA3856">
              <w:rPr>
                <w:szCs w:val="20"/>
              </w:rPr>
              <w:t>0000.</w:t>
            </w:r>
            <w:r w:rsidR="008D5637" w:rsidRPr="00FA3856">
              <w:rPr>
                <w:szCs w:val="20"/>
              </w:rPr>
              <w:t>DT_INI</w:t>
            </w:r>
            <w:r w:rsidR="000D558E" w:rsidRPr="00FA3856">
              <w:rPr>
                <w:szCs w:val="20"/>
              </w:rPr>
              <w:t xml:space="preserve">.  </w:t>
            </w:r>
          </w:p>
          <w:p w:rsidR="000D558E" w:rsidRPr="00FA3856" w:rsidRDefault="000D558E" w:rsidP="003B3524">
            <w:pPr>
              <w:jc w:val="both"/>
              <w:rPr>
                <w:szCs w:val="20"/>
              </w:rPr>
            </w:pPr>
          </w:p>
        </w:tc>
        <w:tc>
          <w:tcPr>
            <w:tcW w:w="717" w:type="dxa"/>
            <w:tcBorders>
              <w:top w:val="single" w:sz="6" w:space="0" w:color="auto"/>
              <w:left w:val="single" w:sz="6" w:space="0" w:color="auto"/>
              <w:bottom w:val="single" w:sz="6" w:space="0" w:color="auto"/>
              <w:right w:val="single" w:sz="6" w:space="0" w:color="auto"/>
            </w:tcBorders>
          </w:tcPr>
          <w:p w:rsidR="003B3524" w:rsidRPr="00FA3856" w:rsidRDefault="003B3524" w:rsidP="003B3524">
            <w:pPr>
              <w:pStyle w:val="PSDS-CorpodeTexto0"/>
              <w:rPr>
                <w:rFonts w:ascii="Times New Roman" w:hAnsi="Times New Roman"/>
                <w:lang w:val="pt-PT"/>
              </w:rPr>
            </w:pPr>
            <w:r w:rsidRPr="00FA3856">
              <w:rPr>
                <w:rFonts w:ascii="Times New Roman" w:hAnsi="Times New Roman"/>
                <w:lang w:val="pt-PT"/>
              </w:rPr>
              <w:t>Erro</w:t>
            </w:r>
          </w:p>
          <w:p w:rsidR="003B3524" w:rsidRPr="00FA3856" w:rsidRDefault="003B3524" w:rsidP="003B3524">
            <w:pPr>
              <w:pStyle w:val="PSDS-CorpodeTexto0"/>
              <w:rPr>
                <w:rFonts w:ascii="Times New Roman" w:hAnsi="Times New Roman"/>
                <w:lang w:val="pt-PT"/>
              </w:rPr>
            </w:pPr>
          </w:p>
          <w:p w:rsidR="003B3524" w:rsidRPr="00FA3856" w:rsidRDefault="003B3524" w:rsidP="003B3524">
            <w:pPr>
              <w:pStyle w:val="PSDS-CorpodeTexto0"/>
              <w:rPr>
                <w:rFonts w:ascii="Times New Roman" w:hAnsi="Times New Roman"/>
                <w:lang w:val="pt-PT"/>
              </w:rPr>
            </w:pPr>
            <w:r w:rsidRPr="00FA3856">
              <w:rPr>
                <w:rFonts w:ascii="Times New Roman" w:hAnsi="Times New Roman"/>
                <w:lang w:val="pt-PT"/>
              </w:rPr>
              <w:t>Erro</w:t>
            </w:r>
          </w:p>
          <w:p w:rsidR="003B3524" w:rsidRPr="00FA3856" w:rsidRDefault="003B3524" w:rsidP="003B3524">
            <w:pPr>
              <w:pStyle w:val="PSDS-CorpodeTexto0"/>
              <w:rPr>
                <w:rFonts w:ascii="Times New Roman" w:hAnsi="Times New Roman"/>
                <w:lang w:val="pt-PT"/>
              </w:rPr>
            </w:pPr>
          </w:p>
          <w:p w:rsidR="003B3524" w:rsidRPr="00FA3856" w:rsidRDefault="003B3524" w:rsidP="003B3524">
            <w:pPr>
              <w:pStyle w:val="PSDS-CorpodeTexto0"/>
              <w:rPr>
                <w:rFonts w:ascii="Times New Roman" w:hAnsi="Times New Roman"/>
                <w:lang w:val="pt-PT"/>
              </w:rPr>
            </w:pPr>
            <w:r w:rsidRPr="00FA3856">
              <w:rPr>
                <w:rFonts w:ascii="Times New Roman" w:hAnsi="Times New Roman"/>
                <w:lang w:val="pt-PT"/>
              </w:rPr>
              <w:t>Erro</w:t>
            </w:r>
          </w:p>
          <w:p w:rsidR="003B3524" w:rsidRPr="00FA3856" w:rsidRDefault="003B3524" w:rsidP="003B3524">
            <w:pPr>
              <w:pStyle w:val="PSDS-CorpodeTexto0"/>
              <w:rPr>
                <w:rFonts w:ascii="Times New Roman" w:hAnsi="Times New Roman"/>
                <w:lang w:val="pt-PT"/>
              </w:rPr>
            </w:pPr>
          </w:p>
          <w:p w:rsidR="003B3524" w:rsidRPr="00FA3856" w:rsidRDefault="003B3524" w:rsidP="003B3524">
            <w:pPr>
              <w:pStyle w:val="PSDS-CorpodeTexto0"/>
              <w:rPr>
                <w:rFonts w:ascii="Times New Roman" w:hAnsi="Times New Roman"/>
                <w:lang w:val="pt-PT"/>
              </w:rPr>
            </w:pPr>
            <w:r w:rsidRPr="00FA3856">
              <w:rPr>
                <w:rFonts w:ascii="Times New Roman" w:hAnsi="Times New Roman"/>
                <w:lang w:val="pt-PT"/>
              </w:rPr>
              <w:t>Aviso</w:t>
            </w:r>
          </w:p>
          <w:p w:rsidR="003B3524" w:rsidRPr="00FA3856" w:rsidRDefault="003B3524" w:rsidP="003B3524">
            <w:pPr>
              <w:pStyle w:val="PSDS-CorpodeTexto0"/>
              <w:rPr>
                <w:rFonts w:ascii="Times New Roman" w:hAnsi="Times New Roman"/>
                <w:lang w:val="pt-PT"/>
              </w:rPr>
            </w:pPr>
          </w:p>
          <w:p w:rsidR="00116438" w:rsidRPr="00FA3856" w:rsidRDefault="00116438" w:rsidP="003B3524">
            <w:pPr>
              <w:pStyle w:val="PSDS-CorpodeTexto0"/>
              <w:rPr>
                <w:rFonts w:ascii="Times New Roman" w:hAnsi="Times New Roman"/>
                <w:lang w:val="pt-PT"/>
              </w:rPr>
            </w:pPr>
          </w:p>
          <w:p w:rsidR="003B3524" w:rsidRPr="00FA3856" w:rsidRDefault="003B3524" w:rsidP="003B3524">
            <w:pPr>
              <w:pStyle w:val="PSDS-CorpodeTexto0"/>
              <w:rPr>
                <w:rFonts w:ascii="Times New Roman" w:hAnsi="Times New Roman"/>
                <w:lang w:val="pt-PT"/>
              </w:rPr>
            </w:pPr>
            <w:r w:rsidRPr="00FA3856">
              <w:rPr>
                <w:rFonts w:ascii="Times New Roman" w:hAnsi="Times New Roman"/>
                <w:lang w:val="pt-PT"/>
              </w:rPr>
              <w:t>Erro</w:t>
            </w:r>
          </w:p>
          <w:p w:rsidR="00C5399F" w:rsidRPr="00FA3856" w:rsidRDefault="00C5399F" w:rsidP="003B3524">
            <w:pPr>
              <w:pStyle w:val="PSDS-CorpodeTexto0"/>
              <w:rPr>
                <w:rFonts w:ascii="Times New Roman" w:hAnsi="Times New Roman"/>
                <w:lang w:val="pt-PT"/>
              </w:rPr>
            </w:pPr>
          </w:p>
          <w:p w:rsidR="003B3524" w:rsidRPr="00FA3856" w:rsidRDefault="003B3524" w:rsidP="003B3524">
            <w:pPr>
              <w:pStyle w:val="PSDS-CorpodeTexto0"/>
              <w:rPr>
                <w:rFonts w:ascii="Times New Roman" w:hAnsi="Times New Roman"/>
                <w:lang w:val="pt-PT"/>
              </w:rPr>
            </w:pPr>
            <w:r w:rsidRPr="00FA3856">
              <w:rPr>
                <w:rFonts w:ascii="Times New Roman" w:hAnsi="Times New Roman"/>
                <w:lang w:val="pt-PT"/>
              </w:rPr>
              <w:t>Erro</w:t>
            </w:r>
          </w:p>
        </w:tc>
      </w:tr>
      <w:tr w:rsidR="003B3524" w:rsidRPr="00FA3856" w:rsidTr="00297462">
        <w:trPr>
          <w:trHeight w:val="877"/>
        </w:trPr>
        <w:tc>
          <w:tcPr>
            <w:tcW w:w="677" w:type="dxa"/>
            <w:tcBorders>
              <w:top w:val="single" w:sz="6" w:space="0" w:color="auto"/>
              <w:left w:val="single" w:sz="6" w:space="0" w:color="auto"/>
              <w:bottom w:val="single" w:sz="6" w:space="0" w:color="auto"/>
              <w:right w:val="single" w:sz="6" w:space="0" w:color="auto"/>
            </w:tcBorders>
          </w:tcPr>
          <w:p w:rsidR="003B3524" w:rsidRPr="00FA3856" w:rsidRDefault="003B3524" w:rsidP="003B3524">
            <w:pPr>
              <w:pStyle w:val="PSDS-CorpodeTexto0"/>
              <w:suppressAutoHyphens w:val="0"/>
              <w:jc w:val="center"/>
              <w:rPr>
                <w:rFonts w:ascii="Times New Roman" w:hAnsi="Times New Roman"/>
                <w:b/>
                <w:bCs/>
                <w:lang w:val="pt-PT"/>
              </w:rPr>
            </w:pPr>
            <w:r w:rsidRPr="00FA3856">
              <w:rPr>
                <w:rFonts w:ascii="Times New Roman" w:hAnsi="Times New Roman"/>
                <w:b/>
                <w:bCs/>
                <w:lang w:val="pt-PT"/>
              </w:rPr>
              <w:t>11</w:t>
            </w:r>
          </w:p>
        </w:tc>
        <w:tc>
          <w:tcPr>
            <w:tcW w:w="1928" w:type="dxa"/>
            <w:tcBorders>
              <w:top w:val="single" w:sz="6" w:space="0" w:color="auto"/>
              <w:left w:val="single" w:sz="6" w:space="0" w:color="auto"/>
              <w:bottom w:val="single" w:sz="6" w:space="0" w:color="auto"/>
              <w:right w:val="single" w:sz="6" w:space="0" w:color="auto"/>
            </w:tcBorders>
          </w:tcPr>
          <w:p w:rsidR="003B3524" w:rsidRPr="00FA3856" w:rsidRDefault="003B3524" w:rsidP="003B3524">
            <w:pPr>
              <w:pStyle w:val="PSDS-CorpodeTexto0"/>
              <w:rPr>
                <w:rFonts w:ascii="Times New Roman" w:hAnsi="Times New Roman"/>
                <w:lang w:val="pt-PT"/>
              </w:rPr>
            </w:pPr>
            <w:r w:rsidRPr="00FA3856">
              <w:rPr>
                <w:rFonts w:ascii="Times New Roman" w:hAnsi="Times New Roman"/>
                <w:lang w:val="pt-PT"/>
              </w:rPr>
              <w:t>DT_FIN</w:t>
            </w:r>
          </w:p>
        </w:tc>
        <w:tc>
          <w:tcPr>
            <w:tcW w:w="13048" w:type="dxa"/>
            <w:tcBorders>
              <w:top w:val="single" w:sz="6" w:space="0" w:color="auto"/>
              <w:left w:val="single" w:sz="6" w:space="0" w:color="auto"/>
              <w:bottom w:val="single" w:sz="6" w:space="0" w:color="auto"/>
              <w:right w:val="single" w:sz="6" w:space="0" w:color="auto"/>
            </w:tcBorders>
          </w:tcPr>
          <w:p w:rsidR="003B3524" w:rsidRPr="00FA3856" w:rsidRDefault="007D0E74" w:rsidP="003B3524">
            <w:pPr>
              <w:pStyle w:val="PSDS-CorpodeTexto0"/>
              <w:jc w:val="both"/>
              <w:rPr>
                <w:rFonts w:ascii="Times New Roman" w:hAnsi="Times New Roman"/>
                <w:bCs/>
                <w:lang w:val="pt-PT"/>
              </w:rPr>
            </w:pPr>
            <w:hyperlink w:anchor="REGRA_DT_FINAL_ESCRITURACAO" w:history="1">
              <w:r w:rsidR="003B3524" w:rsidRPr="00FA3856">
                <w:rPr>
                  <w:rStyle w:val="Hyperlink"/>
                  <w:rFonts w:ascii="Times New Roman" w:hAnsi="Times New Roman"/>
                  <w:b/>
                  <w:color w:val="auto"/>
                  <w:lang w:eastAsia="en-US"/>
                </w:rPr>
                <w:t>REGRA_DT_FINAL_ESCRITURACAO</w:t>
              </w:r>
            </w:hyperlink>
            <w:r w:rsidR="003B3524" w:rsidRPr="00FA3856">
              <w:rPr>
                <w:rFonts w:ascii="Times New Roman" w:hAnsi="Times New Roman"/>
                <w:b/>
                <w:bCs/>
                <w:lang w:val="pt-PT"/>
              </w:rPr>
              <w:t xml:space="preserve">: </w:t>
            </w:r>
            <w:r w:rsidR="003B3524" w:rsidRPr="00FA3856">
              <w:rPr>
                <w:rFonts w:ascii="Times New Roman" w:hAnsi="Times New Roman"/>
                <w:bCs/>
                <w:lang w:val="pt-PT"/>
              </w:rPr>
              <w:t xml:space="preserve">Verifica, quando </w:t>
            </w:r>
            <w:r w:rsidR="000D558E" w:rsidRPr="00FA3856">
              <w:rPr>
                <w:rFonts w:ascii="Times New Roman" w:hAnsi="Times New Roman"/>
                <w:bCs/>
                <w:lang w:val="pt-PT"/>
              </w:rPr>
              <w:t>0000.</w:t>
            </w:r>
            <w:r w:rsidR="008D5637" w:rsidRPr="00FA3856">
              <w:rPr>
                <w:rFonts w:ascii="Times New Roman" w:hAnsi="Times New Roman"/>
                <w:lang w:val="pt-PT"/>
              </w:rPr>
              <w:t xml:space="preserve">SIT_ESPECIAL </w:t>
            </w:r>
            <w:r w:rsidR="003B3524" w:rsidRPr="00FA3856">
              <w:rPr>
                <w:rFonts w:ascii="Times New Roman" w:hAnsi="Times New Roman"/>
                <w:lang w:val="pt-PT"/>
              </w:rPr>
              <w:t xml:space="preserve">for igual a “0” (Normal), se o dia e o mês em </w:t>
            </w:r>
            <w:r w:rsidR="000D558E" w:rsidRPr="00FA3856">
              <w:rPr>
                <w:rFonts w:ascii="Times New Roman" w:hAnsi="Times New Roman"/>
                <w:lang w:val="pt-PT"/>
              </w:rPr>
              <w:t>0000.</w:t>
            </w:r>
            <w:r w:rsidR="008D5637" w:rsidRPr="00FA3856">
              <w:rPr>
                <w:rFonts w:ascii="Times New Roman" w:hAnsi="Times New Roman"/>
                <w:lang w:val="pt-PT"/>
              </w:rPr>
              <w:t xml:space="preserve">DT_FIN </w:t>
            </w:r>
            <w:r w:rsidR="003B3524" w:rsidRPr="00FA3856">
              <w:rPr>
                <w:rFonts w:ascii="Times New Roman" w:hAnsi="Times New Roman"/>
                <w:lang w:val="pt-PT"/>
              </w:rPr>
              <w:t>é igual a 31/12.</w:t>
            </w:r>
          </w:p>
          <w:p w:rsidR="003B3524" w:rsidRPr="00FA3856" w:rsidRDefault="003B3524" w:rsidP="003B3524">
            <w:pPr>
              <w:pStyle w:val="PSDS-CorpodeTexto0"/>
              <w:jc w:val="both"/>
              <w:rPr>
                <w:rFonts w:ascii="Times New Roman" w:hAnsi="Times New Roman"/>
                <w:b/>
                <w:bCs/>
                <w:lang w:val="pt-PT"/>
              </w:rPr>
            </w:pPr>
          </w:p>
          <w:p w:rsidR="003B3524" w:rsidRPr="00FA3856" w:rsidRDefault="003B3524" w:rsidP="003B3524">
            <w:pPr>
              <w:shd w:val="clear" w:color="auto" w:fill="FFFFFF"/>
              <w:jc w:val="both"/>
              <w:rPr>
                <w:szCs w:val="20"/>
                <w:lang w:val="pt-PT"/>
              </w:rPr>
            </w:pPr>
            <w:r w:rsidRPr="00FA3856">
              <w:rPr>
                <w:b/>
                <w:szCs w:val="20"/>
                <w:lang w:val="pt-PT"/>
              </w:rPr>
              <w:t xml:space="preserve">REGRA_EVENTO_ACONTECIMENTO: </w:t>
            </w:r>
            <w:r w:rsidRPr="00FA3856">
              <w:rPr>
                <w:szCs w:val="20"/>
                <w:lang w:val="pt-PT"/>
              </w:rPr>
              <w:t>Verifica:</w:t>
            </w:r>
          </w:p>
          <w:p w:rsidR="003B3524" w:rsidRPr="00FA3856" w:rsidRDefault="003B3524" w:rsidP="003B3524">
            <w:pPr>
              <w:shd w:val="clear" w:color="auto" w:fill="FFFFFF"/>
              <w:jc w:val="both"/>
              <w:rPr>
                <w:szCs w:val="20"/>
                <w:lang w:val="pt-PT"/>
              </w:rPr>
            </w:pPr>
            <w:r w:rsidRPr="00FA3856">
              <w:rPr>
                <w:szCs w:val="20"/>
                <w:lang w:val="pt-PT"/>
              </w:rPr>
              <w:t xml:space="preserve">- Quando </w:t>
            </w:r>
            <w:r w:rsidR="000D558E" w:rsidRPr="00FA3856">
              <w:rPr>
                <w:szCs w:val="20"/>
                <w:lang w:val="pt-PT"/>
              </w:rPr>
              <w:t>0000.</w:t>
            </w:r>
            <w:r w:rsidR="008D5637" w:rsidRPr="00FA3856">
              <w:rPr>
                <w:szCs w:val="20"/>
                <w:lang w:val="pt-PT"/>
              </w:rPr>
              <w:t xml:space="preserve">SIT_ESPECIAL </w:t>
            </w:r>
            <w:r w:rsidRPr="00FA3856">
              <w:rPr>
                <w:szCs w:val="20"/>
                <w:lang w:val="pt-PT"/>
              </w:rPr>
              <w:t xml:space="preserve">for igual a “1” (Extinção), “2” (Fusão), “3” (Incorporação/Incorporada), “4” (Incorporação/Incorporadora), “5” (Cisão Total) ou “6” (Cisão Parcial), se </w:t>
            </w:r>
            <w:r w:rsidR="000D558E" w:rsidRPr="00FA3856">
              <w:rPr>
                <w:szCs w:val="20"/>
                <w:lang w:val="pt-PT"/>
              </w:rPr>
              <w:t>0000.</w:t>
            </w:r>
            <w:r w:rsidR="008D5637" w:rsidRPr="00FA3856">
              <w:rPr>
                <w:szCs w:val="20"/>
                <w:lang w:val="pt-PT"/>
              </w:rPr>
              <w:t xml:space="preserve">DT_FIN </w:t>
            </w:r>
            <w:r w:rsidRPr="00FA3856">
              <w:rPr>
                <w:szCs w:val="20"/>
                <w:lang w:val="pt-PT"/>
              </w:rPr>
              <w:t xml:space="preserve">é igual a </w:t>
            </w:r>
            <w:r w:rsidR="000D558E" w:rsidRPr="00FA3856">
              <w:rPr>
                <w:szCs w:val="20"/>
                <w:lang w:val="pt-PT"/>
              </w:rPr>
              <w:t>0000.</w:t>
            </w:r>
            <w:r w:rsidR="008D5637" w:rsidRPr="00FA3856">
              <w:rPr>
                <w:szCs w:val="20"/>
                <w:lang w:val="pt-PT"/>
              </w:rPr>
              <w:t>DT_SIT_ESP</w:t>
            </w:r>
            <w:r w:rsidRPr="00FA3856">
              <w:rPr>
                <w:szCs w:val="20"/>
                <w:lang w:val="pt-PT"/>
              </w:rPr>
              <w:t>.</w:t>
            </w:r>
          </w:p>
          <w:p w:rsidR="00454370" w:rsidRPr="00FA3856" w:rsidRDefault="003B3524" w:rsidP="003B3524">
            <w:pPr>
              <w:pStyle w:val="PSDS-CorpodeTexto0"/>
              <w:jc w:val="both"/>
              <w:rPr>
                <w:rFonts w:ascii="Times New Roman" w:hAnsi="Times New Roman"/>
                <w:lang w:val="pt-PT"/>
              </w:rPr>
            </w:pPr>
            <w:r w:rsidRPr="00FA3856">
              <w:rPr>
                <w:rFonts w:ascii="Times New Roman" w:hAnsi="Times New Roman"/>
                <w:lang w:val="pt-PT"/>
              </w:rPr>
              <w:t xml:space="preserve">- Quando </w:t>
            </w:r>
            <w:r w:rsidR="000D558E" w:rsidRPr="00FA3856">
              <w:rPr>
                <w:rFonts w:ascii="Times New Roman" w:hAnsi="Times New Roman"/>
                <w:lang w:val="pt-PT"/>
              </w:rPr>
              <w:t>0000.</w:t>
            </w:r>
            <w:r w:rsidR="008D5637" w:rsidRPr="00FA3856">
              <w:rPr>
                <w:rFonts w:ascii="Times New Roman" w:hAnsi="Times New Roman"/>
                <w:lang w:val="pt-PT"/>
              </w:rPr>
              <w:t xml:space="preserve">SIT_ESPECIAL </w:t>
            </w:r>
            <w:r w:rsidRPr="00FA3856">
              <w:rPr>
                <w:rFonts w:ascii="Times New Roman" w:hAnsi="Times New Roman"/>
                <w:lang w:val="pt-PT"/>
              </w:rPr>
              <w:t xml:space="preserve">for “7” (Transformação), “8” (Desenquadramento de Imune e Isenta” ou “9” (Inclusão no Simples Nacional),  se </w:t>
            </w:r>
            <w:r w:rsidR="000D558E" w:rsidRPr="00FA3856">
              <w:rPr>
                <w:rFonts w:ascii="Times New Roman" w:hAnsi="Times New Roman"/>
                <w:lang w:val="pt-PT"/>
              </w:rPr>
              <w:t>0000.</w:t>
            </w:r>
            <w:r w:rsidR="008D5637" w:rsidRPr="00FA3856">
              <w:rPr>
                <w:rFonts w:ascii="Times New Roman" w:hAnsi="Times New Roman"/>
                <w:lang w:val="pt-PT"/>
              </w:rPr>
              <w:t xml:space="preserve">DT_FIN </w:t>
            </w:r>
            <w:r w:rsidRPr="00FA3856">
              <w:rPr>
                <w:rFonts w:ascii="Times New Roman" w:hAnsi="Times New Roman"/>
                <w:lang w:val="pt-PT"/>
              </w:rPr>
              <w:t xml:space="preserve">é igual a </w:t>
            </w:r>
            <w:r w:rsidR="000D558E" w:rsidRPr="00FA3856">
              <w:rPr>
                <w:rFonts w:ascii="Times New Roman" w:hAnsi="Times New Roman"/>
                <w:lang w:val="pt-PT"/>
              </w:rPr>
              <w:t>0000.</w:t>
            </w:r>
            <w:r w:rsidR="008D5637" w:rsidRPr="00FA3856">
              <w:rPr>
                <w:rFonts w:ascii="Times New Roman" w:hAnsi="Times New Roman"/>
                <w:lang w:val="pt-PT"/>
              </w:rPr>
              <w:t>DT_SIT_ESP</w:t>
            </w:r>
            <w:r w:rsidRPr="00FA3856">
              <w:rPr>
                <w:rFonts w:ascii="Times New Roman" w:hAnsi="Times New Roman"/>
                <w:lang w:val="pt-PT"/>
              </w:rPr>
              <w:t xml:space="preserve"> – 1.</w:t>
            </w:r>
          </w:p>
        </w:tc>
        <w:tc>
          <w:tcPr>
            <w:tcW w:w="717" w:type="dxa"/>
            <w:tcBorders>
              <w:top w:val="single" w:sz="6" w:space="0" w:color="auto"/>
              <w:left w:val="single" w:sz="6" w:space="0" w:color="auto"/>
              <w:bottom w:val="single" w:sz="6" w:space="0" w:color="auto"/>
              <w:right w:val="single" w:sz="6" w:space="0" w:color="auto"/>
            </w:tcBorders>
          </w:tcPr>
          <w:p w:rsidR="003B3524" w:rsidRPr="00FA3856" w:rsidRDefault="003B3524" w:rsidP="003B3524">
            <w:pPr>
              <w:pStyle w:val="PSDS-CorpodeTexto0"/>
              <w:rPr>
                <w:rFonts w:ascii="Times New Roman" w:hAnsi="Times New Roman"/>
                <w:lang w:val="pt-PT"/>
              </w:rPr>
            </w:pPr>
            <w:r w:rsidRPr="00FA3856">
              <w:rPr>
                <w:rFonts w:ascii="Times New Roman" w:hAnsi="Times New Roman"/>
                <w:lang w:val="pt-PT"/>
              </w:rPr>
              <w:t>Erro</w:t>
            </w:r>
          </w:p>
          <w:p w:rsidR="003B3524" w:rsidRPr="00FA3856" w:rsidRDefault="003B3524" w:rsidP="003B3524">
            <w:pPr>
              <w:pStyle w:val="PSDS-CorpodeTexto0"/>
              <w:rPr>
                <w:rFonts w:ascii="Times New Roman" w:hAnsi="Times New Roman"/>
                <w:lang w:val="pt-PT"/>
              </w:rPr>
            </w:pPr>
          </w:p>
          <w:p w:rsidR="003B3524" w:rsidRPr="00FA3856" w:rsidRDefault="003B3524" w:rsidP="003B3524">
            <w:pPr>
              <w:pStyle w:val="PSDS-CorpodeTexto0"/>
              <w:rPr>
                <w:rFonts w:ascii="Times New Roman" w:hAnsi="Times New Roman"/>
                <w:lang w:val="pt-PT"/>
              </w:rPr>
            </w:pPr>
          </w:p>
          <w:p w:rsidR="003B3524" w:rsidRPr="00FA3856" w:rsidRDefault="003B3524" w:rsidP="003B3524">
            <w:pPr>
              <w:pStyle w:val="PSDS-CorpodeTexto0"/>
              <w:rPr>
                <w:rFonts w:ascii="Times New Roman" w:hAnsi="Times New Roman"/>
                <w:lang w:val="pt-PT"/>
              </w:rPr>
            </w:pPr>
            <w:r w:rsidRPr="00FA3856">
              <w:rPr>
                <w:rFonts w:ascii="Times New Roman" w:hAnsi="Times New Roman"/>
                <w:lang w:val="pt-PT"/>
              </w:rPr>
              <w:t>Erro</w:t>
            </w:r>
          </w:p>
          <w:p w:rsidR="003B3524" w:rsidRPr="00FA3856" w:rsidRDefault="003B3524" w:rsidP="003B3524">
            <w:pPr>
              <w:pStyle w:val="PSDS-CorpodeTexto0"/>
              <w:rPr>
                <w:rFonts w:ascii="Times New Roman" w:hAnsi="Times New Roman"/>
                <w:lang w:val="pt-PT"/>
              </w:rPr>
            </w:pPr>
          </w:p>
          <w:p w:rsidR="003B3524" w:rsidRPr="00FA3856" w:rsidRDefault="003B3524" w:rsidP="003B3524">
            <w:pPr>
              <w:pStyle w:val="PSDS-CorpodeTexto0"/>
              <w:rPr>
                <w:rFonts w:ascii="Times New Roman" w:hAnsi="Times New Roman"/>
                <w:lang w:val="pt-PT"/>
              </w:rPr>
            </w:pPr>
          </w:p>
          <w:p w:rsidR="003B3524" w:rsidRPr="00FA3856" w:rsidRDefault="003B3524" w:rsidP="003B3524">
            <w:pPr>
              <w:pStyle w:val="PSDS-CorpodeTexto0"/>
              <w:rPr>
                <w:rFonts w:ascii="Times New Roman" w:hAnsi="Times New Roman"/>
                <w:lang w:val="pt-PT"/>
              </w:rPr>
            </w:pPr>
          </w:p>
        </w:tc>
      </w:tr>
      <w:tr w:rsidR="003B3524" w:rsidRPr="00FA3856" w:rsidTr="00C70F33">
        <w:trPr>
          <w:trHeight w:val="553"/>
        </w:trPr>
        <w:tc>
          <w:tcPr>
            <w:tcW w:w="677" w:type="dxa"/>
            <w:tcBorders>
              <w:top w:val="single" w:sz="6" w:space="0" w:color="auto"/>
              <w:left w:val="single" w:sz="6" w:space="0" w:color="auto"/>
              <w:bottom w:val="single" w:sz="6" w:space="0" w:color="auto"/>
              <w:right w:val="single" w:sz="6" w:space="0" w:color="auto"/>
            </w:tcBorders>
          </w:tcPr>
          <w:p w:rsidR="003B3524" w:rsidRPr="00FA3856" w:rsidRDefault="003B3524" w:rsidP="003B3524">
            <w:pPr>
              <w:pStyle w:val="PSDS-CorpodeTexto0"/>
              <w:suppressAutoHyphens w:val="0"/>
              <w:jc w:val="center"/>
              <w:rPr>
                <w:rFonts w:ascii="Times New Roman" w:hAnsi="Times New Roman"/>
                <w:b/>
                <w:bCs/>
                <w:lang w:val="pt-PT"/>
              </w:rPr>
            </w:pPr>
            <w:r w:rsidRPr="00FA3856">
              <w:rPr>
                <w:rFonts w:ascii="Times New Roman" w:hAnsi="Times New Roman"/>
                <w:b/>
                <w:bCs/>
                <w:lang w:val="pt-PT"/>
              </w:rPr>
              <w:t>13</w:t>
            </w:r>
          </w:p>
        </w:tc>
        <w:tc>
          <w:tcPr>
            <w:tcW w:w="1928" w:type="dxa"/>
            <w:tcBorders>
              <w:top w:val="single" w:sz="6" w:space="0" w:color="auto"/>
              <w:left w:val="single" w:sz="6" w:space="0" w:color="auto"/>
              <w:bottom w:val="single" w:sz="6" w:space="0" w:color="auto"/>
              <w:right w:val="single" w:sz="6" w:space="0" w:color="auto"/>
            </w:tcBorders>
          </w:tcPr>
          <w:p w:rsidR="003B3524" w:rsidRPr="00FA3856" w:rsidRDefault="003B3524" w:rsidP="003B3524">
            <w:pPr>
              <w:pStyle w:val="PSDS-CorpodeTexto0"/>
              <w:rPr>
                <w:rFonts w:ascii="Times New Roman" w:hAnsi="Times New Roman"/>
                <w:lang w:val="pt-PT"/>
              </w:rPr>
            </w:pPr>
            <w:r w:rsidRPr="00FA3856">
              <w:rPr>
                <w:rFonts w:ascii="Times New Roman" w:hAnsi="Times New Roman"/>
                <w:lang w:val="pt-PT"/>
              </w:rPr>
              <w:t>NUM_REC</w:t>
            </w:r>
          </w:p>
        </w:tc>
        <w:tc>
          <w:tcPr>
            <w:tcW w:w="13048" w:type="dxa"/>
            <w:tcBorders>
              <w:top w:val="single" w:sz="6" w:space="0" w:color="auto"/>
              <w:left w:val="single" w:sz="6" w:space="0" w:color="auto"/>
              <w:bottom w:val="single" w:sz="6" w:space="0" w:color="auto"/>
              <w:right w:val="single" w:sz="6" w:space="0" w:color="auto"/>
            </w:tcBorders>
          </w:tcPr>
          <w:p w:rsidR="003B3524" w:rsidRPr="00FA3856" w:rsidRDefault="007D0E74" w:rsidP="003B3524">
            <w:pPr>
              <w:shd w:val="clear" w:color="auto" w:fill="FFFFFF"/>
              <w:jc w:val="both"/>
              <w:rPr>
                <w:szCs w:val="20"/>
              </w:rPr>
            </w:pPr>
            <w:hyperlink w:anchor="REGRA_REC_ANTERIOR_OBRIGATORIO" w:history="1">
              <w:r w:rsidR="003B3524" w:rsidRPr="00FA3856">
                <w:rPr>
                  <w:rStyle w:val="Hyperlink"/>
                  <w:b/>
                  <w:color w:val="auto"/>
                  <w:szCs w:val="20"/>
                </w:rPr>
                <w:t>REGRA_REC_ANTERIOR_OBRIGATORIO</w:t>
              </w:r>
            </w:hyperlink>
            <w:r w:rsidR="003B3524" w:rsidRPr="00FA3856">
              <w:rPr>
                <w:b/>
                <w:szCs w:val="20"/>
              </w:rPr>
              <w:t xml:space="preserve">: </w:t>
            </w:r>
            <w:r w:rsidR="003B3524" w:rsidRPr="00FA3856">
              <w:rPr>
                <w:szCs w:val="20"/>
              </w:rPr>
              <w:t xml:space="preserve">Verifica, quando o campo </w:t>
            </w:r>
            <w:r w:rsidR="001E70AE" w:rsidRPr="00FA3856">
              <w:rPr>
                <w:szCs w:val="20"/>
              </w:rPr>
              <w:t>0000.</w:t>
            </w:r>
            <w:r w:rsidR="008D5637" w:rsidRPr="00FA3856">
              <w:rPr>
                <w:szCs w:val="20"/>
              </w:rPr>
              <w:t xml:space="preserve">RETIFICADORA </w:t>
            </w:r>
            <w:r w:rsidR="003B3524" w:rsidRPr="00FA3856">
              <w:rPr>
                <w:szCs w:val="20"/>
              </w:rPr>
              <w:t>é igual a “S” (ECF Retificadora)</w:t>
            </w:r>
            <w:r w:rsidR="00E00235">
              <w:rPr>
                <w:szCs w:val="20"/>
              </w:rPr>
              <w:t xml:space="preserve"> ou “F” </w:t>
            </w:r>
            <w:r w:rsidR="00634930" w:rsidRPr="00FA3856">
              <w:rPr>
                <w:szCs w:val="20"/>
              </w:rPr>
              <w:t>(ECF original com mudança de forma de tributação)</w:t>
            </w:r>
            <w:r w:rsidR="003B3524" w:rsidRPr="00FA3856">
              <w:rPr>
                <w:szCs w:val="20"/>
              </w:rPr>
              <w:t xml:space="preserve">, se </w:t>
            </w:r>
            <w:r w:rsidR="001E70AE" w:rsidRPr="00FA3856">
              <w:rPr>
                <w:szCs w:val="20"/>
              </w:rPr>
              <w:t>0000.</w:t>
            </w:r>
            <w:r w:rsidR="008D5637" w:rsidRPr="00FA3856">
              <w:rPr>
                <w:szCs w:val="20"/>
              </w:rPr>
              <w:t xml:space="preserve">NUM_REC </w:t>
            </w:r>
            <w:r w:rsidR="003B3524" w:rsidRPr="00FA3856">
              <w:rPr>
                <w:szCs w:val="20"/>
              </w:rPr>
              <w:t>está preenchido.</w:t>
            </w:r>
          </w:p>
          <w:p w:rsidR="003B3524" w:rsidRPr="00FA3856" w:rsidRDefault="003B3524" w:rsidP="003B3524">
            <w:pPr>
              <w:shd w:val="clear" w:color="auto" w:fill="FFFFFF"/>
              <w:jc w:val="both"/>
              <w:rPr>
                <w:b/>
                <w:szCs w:val="20"/>
              </w:rPr>
            </w:pPr>
          </w:p>
          <w:p w:rsidR="003B3524" w:rsidRPr="00FA3856" w:rsidRDefault="007D0E74" w:rsidP="003B3524">
            <w:pPr>
              <w:shd w:val="clear" w:color="auto" w:fill="FFFFFF"/>
              <w:jc w:val="both"/>
              <w:rPr>
                <w:szCs w:val="20"/>
              </w:rPr>
            </w:pPr>
            <w:hyperlink w:anchor="REGRA_DV_RECIBO" w:history="1">
              <w:r w:rsidR="003B3524" w:rsidRPr="00FA3856">
                <w:rPr>
                  <w:rStyle w:val="Hyperlink"/>
                  <w:b/>
                  <w:color w:val="auto"/>
                  <w:szCs w:val="20"/>
                </w:rPr>
                <w:t>REGRA_DV_RECIBO</w:t>
              </w:r>
            </w:hyperlink>
            <w:r w:rsidR="003B3524" w:rsidRPr="00FA3856">
              <w:rPr>
                <w:b/>
                <w:szCs w:val="20"/>
              </w:rPr>
              <w:t xml:space="preserve">: </w:t>
            </w:r>
            <w:r w:rsidR="003B3524" w:rsidRPr="00FA3856">
              <w:rPr>
                <w:szCs w:val="20"/>
              </w:rPr>
              <w:t>Verifica se o número do recibo informado é válido.</w:t>
            </w:r>
          </w:p>
          <w:p w:rsidR="003B3524" w:rsidRPr="00FA3856" w:rsidRDefault="007D0E74" w:rsidP="003B3524">
            <w:pPr>
              <w:shd w:val="clear" w:color="auto" w:fill="FFFFFF"/>
              <w:jc w:val="both"/>
              <w:rPr>
                <w:szCs w:val="20"/>
              </w:rPr>
            </w:pPr>
            <w:hyperlink w:anchor="REGRA_NRO_REC_ANTERIOR_NAO_SE_APLICA" w:history="1">
              <w:r w:rsidR="003B3524" w:rsidRPr="00FA3856">
                <w:rPr>
                  <w:rStyle w:val="Hyperlink"/>
                  <w:b/>
                  <w:color w:val="auto"/>
                  <w:szCs w:val="20"/>
                </w:rPr>
                <w:t>REGRA_NRO_REC_ANTERIOR_NAO_SE_APLICA</w:t>
              </w:r>
            </w:hyperlink>
            <w:r w:rsidR="003B3524" w:rsidRPr="00FA3856">
              <w:rPr>
                <w:b/>
                <w:szCs w:val="20"/>
              </w:rPr>
              <w:t xml:space="preserve">: </w:t>
            </w:r>
            <w:r w:rsidR="003B3524" w:rsidRPr="00FA3856">
              <w:rPr>
                <w:szCs w:val="20"/>
              </w:rPr>
              <w:t xml:space="preserve"> Verifica, quando </w:t>
            </w:r>
            <w:r w:rsidR="001E70AE" w:rsidRPr="00FA3856">
              <w:rPr>
                <w:szCs w:val="20"/>
              </w:rPr>
              <w:t>0000.</w:t>
            </w:r>
            <w:r w:rsidR="008D5637" w:rsidRPr="00FA3856">
              <w:rPr>
                <w:szCs w:val="20"/>
              </w:rPr>
              <w:t xml:space="preserve">RETIFICADORA </w:t>
            </w:r>
            <w:r w:rsidR="003B3524" w:rsidRPr="00FA3856">
              <w:rPr>
                <w:szCs w:val="20"/>
              </w:rPr>
              <w:t xml:space="preserve">é igual a “N” (ECF Original), se </w:t>
            </w:r>
            <w:r w:rsidR="001E70AE" w:rsidRPr="00FA3856">
              <w:rPr>
                <w:szCs w:val="20"/>
              </w:rPr>
              <w:t>0000.</w:t>
            </w:r>
            <w:r w:rsidR="008D5637" w:rsidRPr="00FA3856">
              <w:rPr>
                <w:szCs w:val="20"/>
              </w:rPr>
              <w:t xml:space="preserve">NUM_REC </w:t>
            </w:r>
            <w:r w:rsidR="003B3524" w:rsidRPr="00FA3856">
              <w:rPr>
                <w:szCs w:val="20"/>
              </w:rPr>
              <w:t>não está preenchido.</w:t>
            </w:r>
          </w:p>
        </w:tc>
        <w:tc>
          <w:tcPr>
            <w:tcW w:w="717" w:type="dxa"/>
            <w:tcBorders>
              <w:top w:val="single" w:sz="6" w:space="0" w:color="auto"/>
              <w:left w:val="single" w:sz="6" w:space="0" w:color="auto"/>
              <w:bottom w:val="single" w:sz="6" w:space="0" w:color="auto"/>
              <w:right w:val="single" w:sz="6" w:space="0" w:color="auto"/>
            </w:tcBorders>
          </w:tcPr>
          <w:p w:rsidR="003B3524" w:rsidRPr="00FA3856" w:rsidRDefault="003B3524" w:rsidP="003B3524">
            <w:pPr>
              <w:pStyle w:val="PSDS-CorpodeTexto0"/>
              <w:rPr>
                <w:rFonts w:ascii="Times New Roman" w:hAnsi="Times New Roman"/>
                <w:lang w:val="pt-PT"/>
              </w:rPr>
            </w:pPr>
            <w:r w:rsidRPr="00FA3856">
              <w:rPr>
                <w:rFonts w:ascii="Times New Roman" w:hAnsi="Times New Roman"/>
                <w:lang w:val="pt-PT"/>
              </w:rPr>
              <w:lastRenderedPageBreak/>
              <w:t>Erro</w:t>
            </w:r>
          </w:p>
          <w:p w:rsidR="003B3524" w:rsidRPr="00FA3856" w:rsidRDefault="003B3524" w:rsidP="003B3524">
            <w:pPr>
              <w:pStyle w:val="PSDS-CorpodeTexto0"/>
              <w:rPr>
                <w:rFonts w:ascii="Times New Roman" w:hAnsi="Times New Roman"/>
                <w:lang w:val="pt-PT"/>
              </w:rPr>
            </w:pPr>
          </w:p>
          <w:p w:rsidR="009D7491" w:rsidRPr="00FA3856" w:rsidRDefault="009D7491" w:rsidP="003B3524">
            <w:pPr>
              <w:pStyle w:val="PSDS-CorpodeTexto0"/>
              <w:rPr>
                <w:rFonts w:ascii="Times New Roman" w:hAnsi="Times New Roman"/>
                <w:lang w:val="pt-PT"/>
              </w:rPr>
            </w:pPr>
          </w:p>
          <w:p w:rsidR="003B3524" w:rsidRPr="00FA3856" w:rsidRDefault="003B3524" w:rsidP="003B3524">
            <w:pPr>
              <w:pStyle w:val="PSDS-CorpodeTexto0"/>
              <w:rPr>
                <w:rFonts w:ascii="Times New Roman" w:hAnsi="Times New Roman"/>
                <w:lang w:val="pt-PT"/>
              </w:rPr>
            </w:pPr>
            <w:r w:rsidRPr="00FA3856">
              <w:rPr>
                <w:rFonts w:ascii="Times New Roman" w:hAnsi="Times New Roman"/>
                <w:lang w:val="pt-PT"/>
              </w:rPr>
              <w:t>Erro</w:t>
            </w:r>
          </w:p>
          <w:p w:rsidR="009D7491" w:rsidRPr="00FA3856" w:rsidRDefault="009D7491" w:rsidP="003B3524">
            <w:pPr>
              <w:pStyle w:val="PSDS-CorpodeTexto0"/>
              <w:rPr>
                <w:rFonts w:ascii="Times New Roman" w:hAnsi="Times New Roman"/>
                <w:lang w:val="pt-PT"/>
              </w:rPr>
            </w:pPr>
          </w:p>
          <w:p w:rsidR="003B3524" w:rsidRPr="00FA3856" w:rsidRDefault="003B3524" w:rsidP="003B3524">
            <w:pPr>
              <w:pStyle w:val="PSDS-CorpodeTexto0"/>
              <w:rPr>
                <w:rFonts w:ascii="Times New Roman" w:hAnsi="Times New Roman"/>
                <w:lang w:val="pt-PT"/>
              </w:rPr>
            </w:pPr>
            <w:r w:rsidRPr="00FA3856">
              <w:rPr>
                <w:rFonts w:ascii="Times New Roman" w:hAnsi="Times New Roman"/>
                <w:lang w:val="pt-PT"/>
              </w:rPr>
              <w:t>Erro</w:t>
            </w:r>
          </w:p>
        </w:tc>
      </w:tr>
      <w:tr w:rsidR="003B3524" w:rsidRPr="00FA3856" w:rsidTr="00297462">
        <w:trPr>
          <w:trHeight w:val="445"/>
        </w:trPr>
        <w:tc>
          <w:tcPr>
            <w:tcW w:w="677" w:type="dxa"/>
            <w:tcBorders>
              <w:top w:val="single" w:sz="6" w:space="0" w:color="auto"/>
              <w:left w:val="single" w:sz="6" w:space="0" w:color="auto"/>
              <w:bottom w:val="single" w:sz="6" w:space="0" w:color="auto"/>
              <w:right w:val="single" w:sz="6" w:space="0" w:color="auto"/>
            </w:tcBorders>
          </w:tcPr>
          <w:p w:rsidR="003B3524" w:rsidRPr="00FA3856" w:rsidRDefault="003B3524" w:rsidP="003B3524">
            <w:pPr>
              <w:pStyle w:val="PSDS-CorpodeTexto0"/>
              <w:suppressAutoHyphens w:val="0"/>
              <w:jc w:val="center"/>
              <w:rPr>
                <w:rFonts w:ascii="Times New Roman" w:hAnsi="Times New Roman"/>
                <w:b/>
                <w:bCs/>
                <w:lang w:val="en-US"/>
              </w:rPr>
            </w:pPr>
            <w:r w:rsidRPr="00FA3856">
              <w:rPr>
                <w:rFonts w:ascii="Times New Roman" w:hAnsi="Times New Roman"/>
                <w:b/>
                <w:bCs/>
                <w:lang w:val="en-US"/>
              </w:rPr>
              <w:lastRenderedPageBreak/>
              <w:t>15</w:t>
            </w:r>
          </w:p>
        </w:tc>
        <w:tc>
          <w:tcPr>
            <w:tcW w:w="1928" w:type="dxa"/>
            <w:tcBorders>
              <w:top w:val="single" w:sz="6" w:space="0" w:color="auto"/>
              <w:left w:val="single" w:sz="6" w:space="0" w:color="auto"/>
              <w:bottom w:val="single" w:sz="6" w:space="0" w:color="auto"/>
              <w:right w:val="single" w:sz="6" w:space="0" w:color="auto"/>
            </w:tcBorders>
          </w:tcPr>
          <w:p w:rsidR="003B3524" w:rsidRPr="00FA3856" w:rsidRDefault="003B3524" w:rsidP="003B3524">
            <w:pPr>
              <w:pStyle w:val="PSDS-CorpodeTexto0"/>
              <w:rPr>
                <w:rFonts w:ascii="Times New Roman" w:hAnsi="Times New Roman"/>
                <w:lang w:val="pt-PT"/>
              </w:rPr>
            </w:pPr>
            <w:r w:rsidRPr="00FA3856">
              <w:rPr>
                <w:rFonts w:ascii="Times New Roman" w:hAnsi="Times New Roman"/>
                <w:lang w:val="pt-PT"/>
              </w:rPr>
              <w:t>COD_SCP</w:t>
            </w:r>
          </w:p>
        </w:tc>
        <w:tc>
          <w:tcPr>
            <w:tcW w:w="13048" w:type="dxa"/>
            <w:tcBorders>
              <w:top w:val="single" w:sz="6" w:space="0" w:color="auto"/>
              <w:left w:val="single" w:sz="6" w:space="0" w:color="auto"/>
              <w:bottom w:val="single" w:sz="6" w:space="0" w:color="auto"/>
              <w:right w:val="single" w:sz="6" w:space="0" w:color="auto"/>
            </w:tcBorders>
          </w:tcPr>
          <w:p w:rsidR="003B3524" w:rsidRPr="00FA3856" w:rsidRDefault="007D0E74" w:rsidP="003B3524">
            <w:pPr>
              <w:jc w:val="both"/>
              <w:rPr>
                <w:szCs w:val="20"/>
              </w:rPr>
            </w:pPr>
            <w:hyperlink w:anchor="REGRA_SCP_OBRIGATORIO" w:history="1">
              <w:r w:rsidR="003B3524" w:rsidRPr="00FA3856">
                <w:rPr>
                  <w:rStyle w:val="Hyperlink"/>
                  <w:b/>
                  <w:color w:val="auto"/>
                  <w:szCs w:val="20"/>
                </w:rPr>
                <w:t>REGRA_SCP_OBRIGATORIO</w:t>
              </w:r>
            </w:hyperlink>
            <w:r w:rsidR="003B3524" w:rsidRPr="00FA3856">
              <w:rPr>
                <w:b/>
                <w:szCs w:val="20"/>
              </w:rPr>
              <w:t xml:space="preserve">: </w:t>
            </w:r>
            <w:r w:rsidR="003B3524" w:rsidRPr="00FA3856">
              <w:rPr>
                <w:szCs w:val="20"/>
              </w:rPr>
              <w:t xml:space="preserve">Verifica, quando </w:t>
            </w:r>
            <w:r w:rsidR="001E70AE" w:rsidRPr="00FA3856">
              <w:rPr>
                <w:szCs w:val="20"/>
              </w:rPr>
              <w:t>0000.</w:t>
            </w:r>
            <w:r w:rsidR="008D5637" w:rsidRPr="00FA3856">
              <w:rPr>
                <w:szCs w:val="20"/>
              </w:rPr>
              <w:t xml:space="preserve">TIP_ECF </w:t>
            </w:r>
            <w:r w:rsidR="003B3524" w:rsidRPr="00FA3856">
              <w:rPr>
                <w:szCs w:val="20"/>
              </w:rPr>
              <w:t xml:space="preserve">é igual a “2” (ECF da SCP), se </w:t>
            </w:r>
            <w:r w:rsidR="001E70AE" w:rsidRPr="00FA3856">
              <w:rPr>
                <w:szCs w:val="20"/>
              </w:rPr>
              <w:t>0000.</w:t>
            </w:r>
            <w:r w:rsidR="008D5637" w:rsidRPr="00FA3856">
              <w:rPr>
                <w:szCs w:val="20"/>
              </w:rPr>
              <w:t xml:space="preserve">COD_SCP </w:t>
            </w:r>
            <w:r w:rsidR="003B3524" w:rsidRPr="00FA3856">
              <w:rPr>
                <w:szCs w:val="20"/>
              </w:rPr>
              <w:t>está preenchido.</w:t>
            </w:r>
          </w:p>
          <w:p w:rsidR="003B3524" w:rsidRPr="00FA3856" w:rsidRDefault="003B3524" w:rsidP="003B3524">
            <w:pPr>
              <w:jc w:val="both"/>
              <w:rPr>
                <w:b/>
                <w:szCs w:val="20"/>
              </w:rPr>
            </w:pPr>
          </w:p>
          <w:p w:rsidR="003B3524" w:rsidRPr="00FA3856" w:rsidRDefault="007D0E74" w:rsidP="003B3524">
            <w:pPr>
              <w:jc w:val="both"/>
              <w:rPr>
                <w:szCs w:val="20"/>
              </w:rPr>
            </w:pPr>
            <w:hyperlink w:anchor="REGRA_SCP_NÃO_PREENCHER" w:history="1">
              <w:r w:rsidR="003B3524" w:rsidRPr="00FA3856">
                <w:rPr>
                  <w:rStyle w:val="Hyperlink"/>
                  <w:b/>
                  <w:color w:val="auto"/>
                  <w:szCs w:val="20"/>
                </w:rPr>
                <w:t>REGRA_SCP_NAO_PREENCHER</w:t>
              </w:r>
            </w:hyperlink>
            <w:r w:rsidR="003B3524" w:rsidRPr="00FA3856">
              <w:rPr>
                <w:b/>
                <w:szCs w:val="20"/>
              </w:rPr>
              <w:t xml:space="preserve">: </w:t>
            </w:r>
            <w:r w:rsidR="003B3524" w:rsidRPr="00FA3856">
              <w:rPr>
                <w:szCs w:val="20"/>
              </w:rPr>
              <w:t xml:space="preserve"> Verifica, quando </w:t>
            </w:r>
            <w:r w:rsidR="001E70AE" w:rsidRPr="00FA3856">
              <w:rPr>
                <w:szCs w:val="20"/>
              </w:rPr>
              <w:t>0000.</w:t>
            </w:r>
            <w:r w:rsidR="008D5637" w:rsidRPr="00FA3856">
              <w:rPr>
                <w:szCs w:val="20"/>
              </w:rPr>
              <w:t xml:space="preserve">TIP_ECF </w:t>
            </w:r>
            <w:r w:rsidR="003B3524" w:rsidRPr="00FA3856">
              <w:rPr>
                <w:szCs w:val="20"/>
              </w:rPr>
              <w:t>é igual a “0” (</w:t>
            </w:r>
            <w:r w:rsidR="003B3524" w:rsidRPr="00FA3856">
              <w:rPr>
                <w:szCs w:val="20"/>
                <w:shd w:val="clear" w:color="auto" w:fill="FFFFFF"/>
              </w:rPr>
              <w:t>ECF de empresa não participante de SCP como sócio ostensivo</w:t>
            </w:r>
            <w:r w:rsidR="003B3524" w:rsidRPr="00FA3856">
              <w:rPr>
                <w:szCs w:val="20"/>
              </w:rPr>
              <w:t>) ou “1” (</w:t>
            </w:r>
            <w:r w:rsidR="003B3524" w:rsidRPr="00FA3856">
              <w:rPr>
                <w:szCs w:val="20"/>
                <w:shd w:val="clear" w:color="auto" w:fill="FFFFFF"/>
              </w:rPr>
              <w:t>ECF de empresa participante de SCP como sócio ostensivo)</w:t>
            </w:r>
            <w:r w:rsidR="003B3524" w:rsidRPr="00FA3856">
              <w:rPr>
                <w:szCs w:val="20"/>
              </w:rPr>
              <w:t xml:space="preserve">, se </w:t>
            </w:r>
            <w:r w:rsidR="001E70AE" w:rsidRPr="00FA3856">
              <w:rPr>
                <w:szCs w:val="20"/>
              </w:rPr>
              <w:t>0000.</w:t>
            </w:r>
            <w:r w:rsidR="008D5637" w:rsidRPr="00FA3856">
              <w:rPr>
                <w:szCs w:val="20"/>
              </w:rPr>
              <w:t xml:space="preserve">COD_SCP </w:t>
            </w:r>
            <w:r w:rsidR="003B3524" w:rsidRPr="00FA3856">
              <w:rPr>
                <w:szCs w:val="20"/>
              </w:rPr>
              <w:t>não está preenchido.</w:t>
            </w:r>
          </w:p>
          <w:p w:rsidR="007444ED" w:rsidRPr="00FA3856" w:rsidRDefault="007444ED" w:rsidP="003B3524">
            <w:pPr>
              <w:jc w:val="both"/>
              <w:rPr>
                <w:szCs w:val="20"/>
              </w:rPr>
            </w:pPr>
          </w:p>
          <w:p w:rsidR="007444ED" w:rsidRPr="00FA3856" w:rsidRDefault="007444ED" w:rsidP="001E70AE">
            <w:pPr>
              <w:jc w:val="both"/>
              <w:rPr>
                <w:szCs w:val="20"/>
              </w:rPr>
            </w:pPr>
            <w:r w:rsidRPr="00FA3856">
              <w:rPr>
                <w:b/>
                <w:szCs w:val="20"/>
              </w:rPr>
              <w:t>REGRA_VALIDA_TAM_SCP:</w:t>
            </w:r>
            <w:r w:rsidR="002E5223" w:rsidRPr="00FA3856">
              <w:rPr>
                <w:b/>
                <w:szCs w:val="20"/>
              </w:rPr>
              <w:t xml:space="preserve"> </w:t>
            </w:r>
            <w:r w:rsidR="002E5223" w:rsidRPr="00FA3856">
              <w:rPr>
                <w:szCs w:val="20"/>
              </w:rPr>
              <w:t xml:space="preserve">O </w:t>
            </w:r>
            <w:r w:rsidR="001E70AE" w:rsidRPr="00FA3856">
              <w:rPr>
                <w:szCs w:val="20"/>
              </w:rPr>
              <w:t>camp</w:t>
            </w:r>
            <w:r w:rsidR="008D5637" w:rsidRPr="00FA3856">
              <w:rPr>
                <w:szCs w:val="20"/>
              </w:rPr>
              <w:t xml:space="preserve">o 0000.COD_SCP </w:t>
            </w:r>
            <w:r w:rsidR="002E5223" w:rsidRPr="00FA3856">
              <w:rPr>
                <w:szCs w:val="20"/>
              </w:rPr>
              <w:t>da SCP deve conter exatamente 14 números.</w:t>
            </w:r>
          </w:p>
          <w:p w:rsidR="00F02D6B" w:rsidRPr="00FA3856" w:rsidRDefault="00F02D6B" w:rsidP="001E70AE">
            <w:pPr>
              <w:jc w:val="both"/>
              <w:rPr>
                <w:szCs w:val="20"/>
              </w:rPr>
            </w:pPr>
          </w:p>
          <w:p w:rsidR="00F02D6B" w:rsidRDefault="00F02D6B" w:rsidP="00F02D6B">
            <w:pPr>
              <w:jc w:val="both"/>
              <w:rPr>
                <w:szCs w:val="20"/>
              </w:rPr>
            </w:pPr>
            <w:r w:rsidRPr="00FA3856">
              <w:rPr>
                <w:b/>
                <w:szCs w:val="20"/>
              </w:rPr>
              <w:t xml:space="preserve">REGRA_CNPJ_DIFERENTE_SCP: </w:t>
            </w:r>
            <w:r w:rsidRPr="00FA3856">
              <w:rPr>
                <w:szCs w:val="20"/>
              </w:rPr>
              <w:t xml:space="preserve">Verifica </w:t>
            </w:r>
            <w:r w:rsidR="001855F7" w:rsidRPr="00FA3856">
              <w:rPr>
                <w:szCs w:val="20"/>
              </w:rPr>
              <w:t>s</w:t>
            </w:r>
            <w:r w:rsidRPr="00FA3856">
              <w:rPr>
                <w:szCs w:val="20"/>
              </w:rPr>
              <w:t>e 0000.COD_SCP é diferente de 0000.CNPJ.</w:t>
            </w:r>
          </w:p>
          <w:p w:rsidR="002234DB" w:rsidRDefault="002234DB" w:rsidP="00F02D6B">
            <w:pPr>
              <w:jc w:val="both"/>
              <w:rPr>
                <w:szCs w:val="20"/>
              </w:rPr>
            </w:pPr>
          </w:p>
          <w:p w:rsidR="002234DB" w:rsidRPr="002234DB" w:rsidRDefault="007D0E74" w:rsidP="002234DB">
            <w:pPr>
              <w:pStyle w:val="PSDS-CorpodeTexto0"/>
              <w:jc w:val="both"/>
              <w:rPr>
                <w:rFonts w:ascii="Times New Roman" w:hAnsi="Times New Roman"/>
              </w:rPr>
            </w:pPr>
            <w:hyperlink w:anchor="REGRA_VALIDA_CNPJ" w:history="1">
              <w:r w:rsidR="002234DB" w:rsidRPr="002234DB">
                <w:rPr>
                  <w:rStyle w:val="Hyperlink"/>
                  <w:rFonts w:ascii="Times New Roman" w:hAnsi="Times New Roman"/>
                  <w:b/>
                  <w:bCs/>
                  <w:color w:val="auto"/>
                  <w:highlight w:val="yellow"/>
                  <w:lang w:val="pt-PT"/>
                </w:rPr>
                <w:t>REGRA_VALIDA_CNPJ</w:t>
              </w:r>
            </w:hyperlink>
            <w:r w:rsidR="002234DB" w:rsidRPr="002234DB">
              <w:rPr>
                <w:rFonts w:ascii="Times New Roman" w:hAnsi="Times New Roman"/>
                <w:b/>
                <w:bCs/>
                <w:highlight w:val="yellow"/>
                <w:lang w:val="pt-PT"/>
              </w:rPr>
              <w:t xml:space="preserve">: </w:t>
            </w:r>
            <w:r w:rsidR="002234DB" w:rsidRPr="002234DB">
              <w:rPr>
                <w:rFonts w:ascii="Times New Roman" w:hAnsi="Times New Roman"/>
                <w:highlight w:val="yellow"/>
              </w:rPr>
              <w:t xml:space="preserve"> Verifica se a regra de formação do código é válida.</w:t>
            </w:r>
          </w:p>
        </w:tc>
        <w:tc>
          <w:tcPr>
            <w:tcW w:w="717" w:type="dxa"/>
            <w:tcBorders>
              <w:top w:val="single" w:sz="6" w:space="0" w:color="auto"/>
              <w:left w:val="single" w:sz="6" w:space="0" w:color="auto"/>
              <w:bottom w:val="single" w:sz="6" w:space="0" w:color="auto"/>
              <w:right w:val="single" w:sz="6" w:space="0" w:color="auto"/>
            </w:tcBorders>
          </w:tcPr>
          <w:p w:rsidR="003B3524" w:rsidRPr="00FA3856" w:rsidRDefault="003B3524" w:rsidP="003B3524">
            <w:pPr>
              <w:pStyle w:val="PSDS-CorpodeTexto0"/>
              <w:rPr>
                <w:rFonts w:ascii="Times New Roman" w:hAnsi="Times New Roman"/>
                <w:lang w:val="pt-PT"/>
              </w:rPr>
            </w:pPr>
            <w:r w:rsidRPr="00FA3856">
              <w:rPr>
                <w:rFonts w:ascii="Times New Roman" w:hAnsi="Times New Roman"/>
                <w:lang w:val="pt-PT"/>
              </w:rPr>
              <w:t>Erro</w:t>
            </w:r>
          </w:p>
          <w:p w:rsidR="003B3524" w:rsidRPr="00FA3856" w:rsidRDefault="003B3524" w:rsidP="003B3524">
            <w:pPr>
              <w:pStyle w:val="PSDS-CorpodeTexto0"/>
              <w:rPr>
                <w:rFonts w:ascii="Times New Roman" w:hAnsi="Times New Roman"/>
                <w:lang w:val="pt-PT"/>
              </w:rPr>
            </w:pPr>
          </w:p>
          <w:p w:rsidR="003B3524" w:rsidRPr="00FA3856" w:rsidRDefault="003B3524" w:rsidP="003B3524">
            <w:pPr>
              <w:pStyle w:val="PSDS-CorpodeTexto0"/>
              <w:rPr>
                <w:rFonts w:ascii="Times New Roman" w:hAnsi="Times New Roman"/>
                <w:lang w:val="pt-PT"/>
              </w:rPr>
            </w:pPr>
            <w:r w:rsidRPr="00FA3856">
              <w:rPr>
                <w:rFonts w:ascii="Times New Roman" w:hAnsi="Times New Roman"/>
                <w:lang w:val="pt-PT"/>
              </w:rPr>
              <w:t>Erro</w:t>
            </w:r>
          </w:p>
          <w:p w:rsidR="002E5223" w:rsidRPr="00FA3856" w:rsidRDefault="002E5223" w:rsidP="003B3524">
            <w:pPr>
              <w:pStyle w:val="PSDS-CorpodeTexto0"/>
              <w:rPr>
                <w:rFonts w:ascii="Times New Roman" w:hAnsi="Times New Roman"/>
                <w:lang w:val="pt-PT"/>
              </w:rPr>
            </w:pPr>
          </w:p>
          <w:p w:rsidR="008D5637" w:rsidRPr="00FA3856" w:rsidRDefault="008D5637" w:rsidP="003B3524">
            <w:pPr>
              <w:pStyle w:val="PSDS-CorpodeTexto0"/>
              <w:rPr>
                <w:rFonts w:ascii="Times New Roman" w:hAnsi="Times New Roman"/>
                <w:lang w:val="pt-PT"/>
              </w:rPr>
            </w:pPr>
          </w:p>
          <w:p w:rsidR="002E5223" w:rsidRPr="00FA3856" w:rsidRDefault="002E5223" w:rsidP="003B3524">
            <w:pPr>
              <w:pStyle w:val="PSDS-CorpodeTexto0"/>
              <w:rPr>
                <w:rFonts w:ascii="Times New Roman" w:hAnsi="Times New Roman"/>
                <w:lang w:val="pt-PT"/>
              </w:rPr>
            </w:pPr>
            <w:r w:rsidRPr="00FA3856">
              <w:rPr>
                <w:rFonts w:ascii="Times New Roman" w:hAnsi="Times New Roman"/>
                <w:lang w:val="pt-PT"/>
              </w:rPr>
              <w:t>Erro</w:t>
            </w:r>
          </w:p>
          <w:p w:rsidR="00F02D6B" w:rsidRPr="00FA3856" w:rsidRDefault="00F02D6B" w:rsidP="003B3524">
            <w:pPr>
              <w:pStyle w:val="PSDS-CorpodeTexto0"/>
              <w:rPr>
                <w:rFonts w:ascii="Times New Roman" w:hAnsi="Times New Roman"/>
                <w:lang w:val="pt-PT"/>
              </w:rPr>
            </w:pPr>
          </w:p>
          <w:p w:rsidR="00F02D6B" w:rsidRDefault="00F02D6B" w:rsidP="003B3524">
            <w:pPr>
              <w:pStyle w:val="PSDS-CorpodeTexto0"/>
              <w:rPr>
                <w:rFonts w:ascii="Times New Roman" w:hAnsi="Times New Roman"/>
                <w:lang w:val="pt-PT"/>
              </w:rPr>
            </w:pPr>
            <w:r w:rsidRPr="00FA3856">
              <w:rPr>
                <w:rFonts w:ascii="Times New Roman" w:hAnsi="Times New Roman"/>
                <w:lang w:val="pt-PT"/>
              </w:rPr>
              <w:t>Erro</w:t>
            </w:r>
          </w:p>
          <w:p w:rsidR="002234DB" w:rsidRDefault="002234DB" w:rsidP="003B3524">
            <w:pPr>
              <w:pStyle w:val="PSDS-CorpodeTexto0"/>
              <w:rPr>
                <w:rFonts w:ascii="Times New Roman" w:hAnsi="Times New Roman"/>
                <w:lang w:val="pt-PT"/>
              </w:rPr>
            </w:pPr>
          </w:p>
          <w:p w:rsidR="002234DB" w:rsidRPr="00FA3856" w:rsidRDefault="002234DB" w:rsidP="003B3524">
            <w:pPr>
              <w:pStyle w:val="PSDS-CorpodeTexto0"/>
              <w:rPr>
                <w:rFonts w:ascii="Times New Roman" w:hAnsi="Times New Roman"/>
                <w:lang w:val="pt-PT"/>
              </w:rPr>
            </w:pPr>
            <w:r>
              <w:rPr>
                <w:rFonts w:ascii="Times New Roman" w:hAnsi="Times New Roman"/>
                <w:lang w:val="pt-PT"/>
              </w:rPr>
              <w:t>Erro</w:t>
            </w:r>
          </w:p>
        </w:tc>
      </w:tr>
    </w:tbl>
    <w:p w:rsidR="00454370" w:rsidRPr="00FA3856" w:rsidRDefault="00454370" w:rsidP="00297462">
      <w:pPr>
        <w:pStyle w:val="Corpodetexto"/>
        <w:rPr>
          <w:rFonts w:ascii="Times New Roman" w:hAnsi="Times New Roman"/>
          <w:b/>
          <w:color w:val="002060"/>
          <w:szCs w:val="20"/>
        </w:rPr>
      </w:pPr>
    </w:p>
    <w:p w:rsidR="00342F1D" w:rsidRDefault="00116438" w:rsidP="001E70AE">
      <w:pPr>
        <w:pStyle w:val="Corpodetexto"/>
        <w:rPr>
          <w:rFonts w:ascii="Times New Roman" w:hAnsi="Times New Roman"/>
          <w:b/>
          <w:color w:val="002060"/>
          <w:szCs w:val="20"/>
        </w:rPr>
      </w:pPr>
      <w:r w:rsidRPr="00FA3856">
        <w:rPr>
          <w:rFonts w:ascii="Times New Roman" w:hAnsi="Times New Roman"/>
          <w:b/>
          <w:color w:val="002060"/>
          <w:szCs w:val="20"/>
        </w:rPr>
        <w:t>E</w:t>
      </w:r>
      <w:r w:rsidR="00297462" w:rsidRPr="00FA3856">
        <w:rPr>
          <w:rFonts w:ascii="Times New Roman" w:hAnsi="Times New Roman"/>
          <w:b/>
          <w:color w:val="002060"/>
          <w:szCs w:val="20"/>
        </w:rPr>
        <w:t>xemplo</w:t>
      </w:r>
      <w:r w:rsidR="00454370" w:rsidRPr="00FA3856">
        <w:rPr>
          <w:rFonts w:ascii="Times New Roman" w:hAnsi="Times New Roman"/>
          <w:b/>
          <w:color w:val="002060"/>
          <w:szCs w:val="20"/>
        </w:rPr>
        <w:t xml:space="preserve"> de Preenchimento: </w:t>
      </w:r>
    </w:p>
    <w:p w:rsidR="00342F1D" w:rsidRDefault="00342F1D" w:rsidP="001E70AE">
      <w:pPr>
        <w:pStyle w:val="Corpodetexto"/>
        <w:rPr>
          <w:rFonts w:ascii="Times New Roman" w:hAnsi="Times New Roman"/>
          <w:b/>
          <w:color w:val="002060"/>
          <w:szCs w:val="20"/>
        </w:rPr>
      </w:pPr>
    </w:p>
    <w:p w:rsidR="00454370" w:rsidRPr="00FA3856" w:rsidRDefault="00454370" w:rsidP="001E70AE">
      <w:pPr>
        <w:pStyle w:val="Corpodetexto"/>
        <w:rPr>
          <w:rFonts w:ascii="Times New Roman" w:hAnsi="Times New Roman"/>
          <w:b/>
          <w:color w:val="002060"/>
          <w:szCs w:val="20"/>
        </w:rPr>
      </w:pPr>
      <w:r w:rsidRPr="00FA3856">
        <w:rPr>
          <w:rFonts w:ascii="Times New Roman" w:hAnsi="Times New Roman"/>
          <w:b/>
          <w:color w:val="002060"/>
          <w:szCs w:val="20"/>
        </w:rPr>
        <w:t>|0000|LECF|</w:t>
      </w:r>
      <w:r w:rsidR="00297462" w:rsidRPr="00FA3856">
        <w:rPr>
          <w:rFonts w:ascii="Times New Roman" w:hAnsi="Times New Roman"/>
          <w:b/>
          <w:color w:val="002060"/>
          <w:szCs w:val="20"/>
        </w:rPr>
        <w:t>00</w:t>
      </w:r>
      <w:r w:rsidRPr="00FA3856">
        <w:rPr>
          <w:rFonts w:ascii="Times New Roman" w:hAnsi="Times New Roman"/>
          <w:b/>
          <w:color w:val="002060"/>
          <w:szCs w:val="20"/>
        </w:rPr>
        <w:t>01</w:t>
      </w:r>
      <w:r w:rsidR="00297462" w:rsidRPr="00FA3856">
        <w:rPr>
          <w:rFonts w:ascii="Times New Roman" w:hAnsi="Times New Roman"/>
          <w:b/>
          <w:color w:val="002060"/>
          <w:szCs w:val="20"/>
        </w:rPr>
        <w:t>|11111111000191|</w:t>
      </w:r>
      <w:r w:rsidR="006A4D3C" w:rsidRPr="00FA3856">
        <w:rPr>
          <w:rFonts w:ascii="Times New Roman" w:hAnsi="Times New Roman"/>
          <w:b/>
          <w:color w:val="002060"/>
          <w:szCs w:val="20"/>
        </w:rPr>
        <w:t>EMPRESA TESTE|0|0|||01012014|31122014|N||0||</w:t>
      </w:r>
    </w:p>
    <w:p w:rsidR="00297462" w:rsidRPr="00FA3856" w:rsidRDefault="00297462" w:rsidP="00297462">
      <w:pPr>
        <w:pStyle w:val="Corpodetexto"/>
        <w:ind w:firstLine="708"/>
        <w:rPr>
          <w:rFonts w:ascii="Times New Roman" w:hAnsi="Times New Roman"/>
          <w:color w:val="002060"/>
          <w:szCs w:val="20"/>
        </w:rPr>
      </w:pPr>
      <w:r w:rsidRPr="00FA3856">
        <w:rPr>
          <w:rFonts w:ascii="Times New Roman" w:hAnsi="Times New Roman"/>
          <w:color w:val="002060"/>
          <w:szCs w:val="20"/>
        </w:rPr>
        <w:t>|0000|: Identificação do tipo do registro.</w:t>
      </w:r>
    </w:p>
    <w:p w:rsidR="00297462" w:rsidRPr="00FA3856" w:rsidRDefault="00297462" w:rsidP="00297462">
      <w:pPr>
        <w:pStyle w:val="Corpodetexto"/>
        <w:ind w:firstLine="708"/>
        <w:rPr>
          <w:rFonts w:ascii="Times New Roman" w:hAnsi="Times New Roman"/>
          <w:color w:val="002060"/>
          <w:szCs w:val="20"/>
        </w:rPr>
      </w:pPr>
      <w:r w:rsidRPr="00FA3856">
        <w:rPr>
          <w:rFonts w:ascii="Times New Roman" w:hAnsi="Times New Roman"/>
          <w:color w:val="002060"/>
          <w:szCs w:val="20"/>
        </w:rPr>
        <w:t xml:space="preserve">|LECF|: </w:t>
      </w:r>
      <w:r w:rsidR="00685FA5" w:rsidRPr="00FA3856">
        <w:rPr>
          <w:rFonts w:ascii="Times New Roman" w:hAnsi="Times New Roman"/>
          <w:color w:val="002060"/>
          <w:szCs w:val="20"/>
        </w:rPr>
        <w:t>Identificação</w:t>
      </w:r>
      <w:r w:rsidRPr="00FA3856">
        <w:rPr>
          <w:rFonts w:ascii="Times New Roman" w:hAnsi="Times New Roman"/>
          <w:color w:val="002060"/>
          <w:szCs w:val="20"/>
        </w:rPr>
        <w:t xml:space="preserve"> do tipo de Sped (LECF = Escrituração Contábil Fiscal).</w:t>
      </w:r>
    </w:p>
    <w:p w:rsidR="00297462" w:rsidRPr="00FA3856" w:rsidRDefault="00454370" w:rsidP="00297462">
      <w:pPr>
        <w:pStyle w:val="Corpodetexto"/>
        <w:ind w:firstLine="708"/>
        <w:rPr>
          <w:rFonts w:ascii="Times New Roman" w:hAnsi="Times New Roman"/>
          <w:color w:val="002060"/>
          <w:szCs w:val="20"/>
        </w:rPr>
      </w:pPr>
      <w:r w:rsidRPr="00FA3856">
        <w:rPr>
          <w:rFonts w:ascii="Times New Roman" w:hAnsi="Times New Roman"/>
          <w:color w:val="002060"/>
          <w:szCs w:val="20"/>
        </w:rPr>
        <w:t>|</w:t>
      </w:r>
      <w:r w:rsidR="00297462" w:rsidRPr="00FA3856">
        <w:rPr>
          <w:rFonts w:ascii="Times New Roman" w:hAnsi="Times New Roman"/>
          <w:color w:val="002060"/>
          <w:szCs w:val="20"/>
        </w:rPr>
        <w:t>00</w:t>
      </w:r>
      <w:r w:rsidRPr="00FA3856">
        <w:rPr>
          <w:rFonts w:ascii="Times New Roman" w:hAnsi="Times New Roman"/>
          <w:color w:val="002060"/>
          <w:szCs w:val="20"/>
        </w:rPr>
        <w:t>01</w:t>
      </w:r>
      <w:r w:rsidR="00297462" w:rsidRPr="00FA3856">
        <w:rPr>
          <w:rFonts w:ascii="Times New Roman" w:hAnsi="Times New Roman"/>
          <w:color w:val="002060"/>
          <w:szCs w:val="20"/>
        </w:rPr>
        <w:t>|: Código</w:t>
      </w:r>
      <w:r w:rsidRPr="00FA3856">
        <w:rPr>
          <w:rFonts w:ascii="Times New Roman" w:hAnsi="Times New Roman"/>
          <w:color w:val="002060"/>
          <w:szCs w:val="20"/>
        </w:rPr>
        <w:t xml:space="preserve"> da versão do leiaute (Versão </w:t>
      </w:r>
      <w:r w:rsidR="00297462" w:rsidRPr="00FA3856">
        <w:rPr>
          <w:rFonts w:ascii="Times New Roman" w:hAnsi="Times New Roman"/>
          <w:color w:val="002060"/>
          <w:szCs w:val="20"/>
        </w:rPr>
        <w:t>00</w:t>
      </w:r>
      <w:r w:rsidRPr="00FA3856">
        <w:rPr>
          <w:rFonts w:ascii="Times New Roman" w:hAnsi="Times New Roman"/>
          <w:color w:val="002060"/>
          <w:szCs w:val="20"/>
        </w:rPr>
        <w:t>01</w:t>
      </w:r>
      <w:r w:rsidR="00297462" w:rsidRPr="00FA3856">
        <w:rPr>
          <w:rFonts w:ascii="Times New Roman" w:hAnsi="Times New Roman"/>
          <w:color w:val="002060"/>
          <w:szCs w:val="20"/>
        </w:rPr>
        <w:t>).</w:t>
      </w:r>
    </w:p>
    <w:p w:rsidR="00297462" w:rsidRPr="00FA3856" w:rsidRDefault="00297462" w:rsidP="00297462">
      <w:pPr>
        <w:pStyle w:val="Corpodetexto"/>
        <w:ind w:firstLine="708"/>
        <w:rPr>
          <w:rFonts w:ascii="Times New Roman" w:hAnsi="Times New Roman"/>
          <w:color w:val="002060"/>
          <w:szCs w:val="20"/>
        </w:rPr>
      </w:pPr>
      <w:r w:rsidRPr="00FA3856">
        <w:rPr>
          <w:rFonts w:ascii="Times New Roman" w:hAnsi="Times New Roman"/>
          <w:color w:val="002060"/>
          <w:szCs w:val="20"/>
        </w:rPr>
        <w:t>|11111111000191|: CNPJ: (11.111.111/0001-91).</w:t>
      </w:r>
    </w:p>
    <w:p w:rsidR="006A4D3C" w:rsidRPr="00FA3856" w:rsidRDefault="006A4D3C" w:rsidP="00297462">
      <w:pPr>
        <w:pStyle w:val="Corpodetexto"/>
        <w:ind w:firstLine="708"/>
        <w:rPr>
          <w:rFonts w:ascii="Times New Roman" w:hAnsi="Times New Roman"/>
          <w:color w:val="002060"/>
          <w:szCs w:val="20"/>
        </w:rPr>
      </w:pPr>
      <w:r w:rsidRPr="00FA3856">
        <w:rPr>
          <w:rFonts w:ascii="Times New Roman" w:hAnsi="Times New Roman"/>
          <w:color w:val="002060"/>
          <w:szCs w:val="20"/>
        </w:rPr>
        <w:t>|EMPRESA TESTE|: Nome empresarial.</w:t>
      </w:r>
    </w:p>
    <w:p w:rsidR="006A4D3C" w:rsidRPr="00FA3856" w:rsidRDefault="006A4D3C" w:rsidP="00297462">
      <w:pPr>
        <w:pStyle w:val="Corpodetexto"/>
        <w:ind w:firstLine="708"/>
        <w:rPr>
          <w:rFonts w:ascii="Times New Roman" w:hAnsi="Times New Roman"/>
          <w:color w:val="002060"/>
          <w:szCs w:val="20"/>
        </w:rPr>
      </w:pPr>
      <w:r w:rsidRPr="00FA3856">
        <w:rPr>
          <w:rFonts w:ascii="Times New Roman" w:hAnsi="Times New Roman"/>
          <w:color w:val="002060"/>
          <w:szCs w:val="20"/>
        </w:rPr>
        <w:t>|0|: Indicador de início do período (0 = Regular – início no primeiro dia do ano).</w:t>
      </w:r>
    </w:p>
    <w:p w:rsidR="006A4D3C" w:rsidRPr="00FA3856" w:rsidRDefault="006A4D3C" w:rsidP="00297462">
      <w:pPr>
        <w:pStyle w:val="Corpodetexto"/>
        <w:ind w:firstLine="708"/>
        <w:rPr>
          <w:rFonts w:ascii="Times New Roman" w:hAnsi="Times New Roman"/>
          <w:color w:val="002060"/>
          <w:szCs w:val="20"/>
        </w:rPr>
      </w:pPr>
      <w:r w:rsidRPr="00FA3856">
        <w:rPr>
          <w:rFonts w:ascii="Times New Roman" w:hAnsi="Times New Roman"/>
          <w:color w:val="002060"/>
          <w:szCs w:val="20"/>
        </w:rPr>
        <w:t>|0|: Situação especial (0 = Normal – sem ocorrência de situação especial ou evento).</w:t>
      </w:r>
    </w:p>
    <w:p w:rsidR="006A4D3C" w:rsidRPr="00FA3856" w:rsidRDefault="006A4D3C" w:rsidP="00297462">
      <w:pPr>
        <w:pStyle w:val="Corpodetexto"/>
        <w:ind w:firstLine="708"/>
        <w:rPr>
          <w:rFonts w:ascii="Times New Roman" w:hAnsi="Times New Roman"/>
          <w:color w:val="002060"/>
          <w:szCs w:val="20"/>
        </w:rPr>
      </w:pPr>
      <w:r w:rsidRPr="00FA3856">
        <w:rPr>
          <w:rFonts w:ascii="Times New Roman" w:hAnsi="Times New Roman"/>
          <w:color w:val="002060"/>
          <w:szCs w:val="20"/>
        </w:rPr>
        <w:t>||: Patrimônio remanescente em caso de cisão (Não há).</w:t>
      </w:r>
    </w:p>
    <w:p w:rsidR="006A4D3C" w:rsidRPr="00FA3856" w:rsidRDefault="006A4D3C" w:rsidP="00297462">
      <w:pPr>
        <w:pStyle w:val="Corpodetexto"/>
        <w:ind w:firstLine="708"/>
        <w:rPr>
          <w:rFonts w:ascii="Times New Roman" w:hAnsi="Times New Roman"/>
          <w:color w:val="002060"/>
          <w:szCs w:val="20"/>
        </w:rPr>
      </w:pPr>
      <w:r w:rsidRPr="00FA3856">
        <w:rPr>
          <w:rFonts w:ascii="Times New Roman" w:hAnsi="Times New Roman"/>
          <w:color w:val="002060"/>
          <w:szCs w:val="20"/>
        </w:rPr>
        <w:t>||: Data da situação especial ou evento (Não há).</w:t>
      </w:r>
    </w:p>
    <w:p w:rsidR="006A4D3C" w:rsidRPr="00FA3856" w:rsidRDefault="006A4D3C" w:rsidP="00297462">
      <w:pPr>
        <w:pStyle w:val="Corpodetexto"/>
        <w:ind w:firstLine="708"/>
        <w:rPr>
          <w:rFonts w:ascii="Times New Roman" w:hAnsi="Times New Roman"/>
          <w:color w:val="002060"/>
          <w:szCs w:val="20"/>
        </w:rPr>
      </w:pPr>
      <w:r w:rsidRPr="00FA3856">
        <w:rPr>
          <w:rFonts w:ascii="Times New Roman" w:hAnsi="Times New Roman"/>
          <w:color w:val="002060"/>
          <w:szCs w:val="20"/>
        </w:rPr>
        <w:t>|01012014|: Data inicial das informações contidas no arquivo (01/01/2014).</w:t>
      </w:r>
    </w:p>
    <w:p w:rsidR="006A4D3C" w:rsidRPr="00FA3856" w:rsidRDefault="006A4D3C" w:rsidP="00297462">
      <w:pPr>
        <w:pStyle w:val="Corpodetexto"/>
        <w:ind w:firstLine="708"/>
        <w:rPr>
          <w:rFonts w:ascii="Times New Roman" w:hAnsi="Times New Roman"/>
          <w:color w:val="002060"/>
          <w:szCs w:val="20"/>
        </w:rPr>
      </w:pPr>
      <w:r w:rsidRPr="00FA3856">
        <w:rPr>
          <w:rFonts w:ascii="Times New Roman" w:hAnsi="Times New Roman"/>
          <w:color w:val="002060"/>
          <w:szCs w:val="20"/>
        </w:rPr>
        <w:t>|31122014|: Data final das informações contidas no arquivo (31/12/2014).</w:t>
      </w:r>
    </w:p>
    <w:p w:rsidR="006A4D3C" w:rsidRPr="00FA3856" w:rsidRDefault="006A4D3C" w:rsidP="00297462">
      <w:pPr>
        <w:pStyle w:val="Corpodetexto"/>
        <w:ind w:firstLine="708"/>
        <w:rPr>
          <w:rFonts w:ascii="Times New Roman" w:hAnsi="Times New Roman"/>
          <w:color w:val="002060"/>
          <w:szCs w:val="20"/>
        </w:rPr>
      </w:pPr>
      <w:r w:rsidRPr="00FA3856">
        <w:rPr>
          <w:rFonts w:ascii="Times New Roman" w:hAnsi="Times New Roman"/>
          <w:color w:val="002060"/>
          <w:szCs w:val="20"/>
        </w:rPr>
        <w:t>|N|: Escrituração original (não é retificadora).</w:t>
      </w:r>
    </w:p>
    <w:p w:rsidR="006A4D3C" w:rsidRPr="00FA3856" w:rsidRDefault="006A4D3C" w:rsidP="00297462">
      <w:pPr>
        <w:pStyle w:val="Corpodetexto"/>
        <w:ind w:firstLine="708"/>
        <w:rPr>
          <w:rFonts w:ascii="Times New Roman" w:hAnsi="Times New Roman"/>
          <w:color w:val="002060"/>
          <w:szCs w:val="20"/>
        </w:rPr>
      </w:pPr>
      <w:r w:rsidRPr="00FA3856">
        <w:rPr>
          <w:rFonts w:ascii="Times New Roman" w:hAnsi="Times New Roman"/>
          <w:color w:val="002060"/>
          <w:szCs w:val="20"/>
        </w:rPr>
        <w:t>||: Número do recibo da ECF a ser retificada (Não há).</w:t>
      </w:r>
    </w:p>
    <w:p w:rsidR="006A4D3C" w:rsidRPr="00FA3856" w:rsidRDefault="006A4D3C" w:rsidP="00297462">
      <w:pPr>
        <w:pStyle w:val="Corpodetexto"/>
        <w:ind w:firstLine="708"/>
        <w:rPr>
          <w:rFonts w:ascii="Times New Roman" w:hAnsi="Times New Roman"/>
          <w:color w:val="002060"/>
          <w:szCs w:val="20"/>
        </w:rPr>
      </w:pPr>
      <w:r w:rsidRPr="00FA3856">
        <w:rPr>
          <w:rFonts w:ascii="Times New Roman" w:hAnsi="Times New Roman"/>
          <w:color w:val="002060"/>
          <w:szCs w:val="20"/>
        </w:rPr>
        <w:t>|0|: Tipo da ECF (0 = ECF da empresa não participante de SCP).</w:t>
      </w:r>
    </w:p>
    <w:p w:rsidR="006A4D3C" w:rsidRPr="00FA3856" w:rsidRDefault="006A4D3C" w:rsidP="00297462">
      <w:pPr>
        <w:pStyle w:val="Corpodetexto"/>
        <w:ind w:firstLine="708"/>
        <w:rPr>
          <w:rFonts w:ascii="Times New Roman" w:hAnsi="Times New Roman"/>
          <w:color w:val="002060"/>
          <w:szCs w:val="20"/>
        </w:rPr>
      </w:pPr>
      <w:r w:rsidRPr="00FA3856">
        <w:rPr>
          <w:rFonts w:ascii="Times New Roman" w:hAnsi="Times New Roman"/>
          <w:color w:val="002060"/>
          <w:szCs w:val="20"/>
        </w:rPr>
        <w:t>||: Identificação da SCP (Não há).</w:t>
      </w:r>
    </w:p>
    <w:p w:rsidR="00454370" w:rsidRPr="00FA3856" w:rsidRDefault="00454370">
      <w:pPr>
        <w:spacing w:after="200" w:line="276" w:lineRule="auto"/>
        <w:rPr>
          <w:b/>
          <w:bCs/>
          <w:color w:val="0000FF"/>
          <w:szCs w:val="20"/>
        </w:rPr>
      </w:pPr>
      <w:r w:rsidRPr="00FA3856">
        <w:rPr>
          <w:color w:val="0000FF"/>
          <w:szCs w:val="20"/>
        </w:rPr>
        <w:br w:type="page"/>
      </w:r>
    </w:p>
    <w:p w:rsidR="00361BA8" w:rsidRDefault="00361BA8" w:rsidP="00867F54">
      <w:pPr>
        <w:pStyle w:val="Ttulo4"/>
      </w:pPr>
      <w:bookmarkStart w:id="60" w:name="_Toc479713668"/>
      <w:r w:rsidRPr="00FA3856">
        <w:lastRenderedPageBreak/>
        <w:t>Registro 0001: Abertura do Bloco 0</w:t>
      </w:r>
      <w:bookmarkEnd w:id="60"/>
    </w:p>
    <w:p w:rsidR="00080BA8" w:rsidRDefault="00080BA8" w:rsidP="00080BA8"/>
    <w:p w:rsidR="00080BA8" w:rsidRPr="00080BA8" w:rsidRDefault="00B35FA3" w:rsidP="00081477">
      <w:pPr>
        <w:jc w:val="center"/>
      </w:pPr>
      <w:r>
        <w:object w:dxaOrig="13485" w:dyaOrig="3120">
          <v:shape id="_x0000_i1532" type="#_x0000_t75" style="width:677.25pt;height:158.25pt" o:ole="">
            <v:imagedata r:id="rId75" o:title=""/>
          </v:shape>
          <o:OLEObject Type="Link" ProgID="Excel.Sheet.12" ShapeID="_x0000_i1532" DrawAspect="Content" r:id="rId76" UpdateMode="Always">
            <o:LinkType>EnhancedMetaFile</o:LinkType>
            <o:LockedField>false</o:LockedField>
          </o:OLEObject>
        </w:object>
      </w:r>
    </w:p>
    <w:p w:rsidR="00080BA8" w:rsidRDefault="00080BA8" w:rsidP="00F11F4E">
      <w:pPr>
        <w:pStyle w:val="PSDS-MarcadoresNivel2"/>
        <w:numPr>
          <w:ilvl w:val="0"/>
          <w:numId w:val="0"/>
        </w:numPr>
        <w:rPr>
          <w:rFonts w:ascii="Times New Roman" w:hAnsi="Times New Roman"/>
        </w:rPr>
      </w:pPr>
    </w:p>
    <w:p w:rsidR="00F11F4E" w:rsidRPr="00FA3856" w:rsidRDefault="00F11F4E" w:rsidP="00F11F4E">
      <w:pPr>
        <w:pStyle w:val="PSDS-MarcadoresNivel2"/>
        <w:numPr>
          <w:ilvl w:val="0"/>
          <w:numId w:val="0"/>
        </w:numPr>
        <w:rPr>
          <w:rFonts w:ascii="Times New Roman" w:hAnsi="Times New Roman"/>
        </w:rPr>
      </w:pPr>
      <w:r w:rsidRPr="00FA3856">
        <w:rPr>
          <w:rFonts w:ascii="Times New Roman" w:hAnsi="Times New Roman"/>
        </w:rPr>
        <w:t>I – Regras de Validação do Registro:</w:t>
      </w:r>
    </w:p>
    <w:p w:rsidR="00F11F4E" w:rsidRPr="00FA3856" w:rsidRDefault="00F11F4E" w:rsidP="00F11F4E">
      <w:pPr>
        <w:pStyle w:val="Corpodetexto"/>
        <w:ind w:left="708" w:firstLine="12"/>
        <w:rPr>
          <w:rFonts w:ascii="Times New Roman" w:hAnsi="Times New Roman"/>
          <w:szCs w:val="20"/>
        </w:rPr>
      </w:pPr>
    </w:p>
    <w:p w:rsidR="00F11F4E" w:rsidRPr="00FA3856" w:rsidRDefault="007D0E74" w:rsidP="00116438">
      <w:pPr>
        <w:pStyle w:val="Corpodetexto"/>
        <w:rPr>
          <w:rFonts w:ascii="Times New Roman" w:hAnsi="Times New Roman"/>
          <w:b/>
          <w:szCs w:val="20"/>
        </w:rPr>
      </w:pPr>
      <w:hyperlink r:id="rId77" w:anchor="REGRA_OCORRENCIA_UNITARIA_ARQ" w:history="1">
        <w:r w:rsidR="00F11F4E" w:rsidRPr="00FA3856">
          <w:rPr>
            <w:rFonts w:ascii="Times New Roman" w:hAnsi="Times New Roman"/>
            <w:b/>
            <w:szCs w:val="20"/>
          </w:rPr>
          <w:t>REGRA_OCORRENCIA_UNITARIA_ARQ</w:t>
        </w:r>
      </w:hyperlink>
      <w:r w:rsidR="00F11F4E" w:rsidRPr="00FA3856">
        <w:rPr>
          <w:rFonts w:ascii="Times New Roman" w:hAnsi="Times New Roman"/>
          <w:color w:val="auto"/>
          <w:szCs w:val="20"/>
        </w:rPr>
        <w:t xml:space="preserve">: </w:t>
      </w:r>
      <w:r w:rsidR="00F11F4E" w:rsidRPr="00FA3856">
        <w:rPr>
          <w:rFonts w:ascii="Times New Roman" w:hAnsi="Times New Roman"/>
          <w:szCs w:val="20"/>
        </w:rPr>
        <w:t>Verifica se registro ocorreu apenas uma vez por arquivo, considerando a chave “0001” (REG). Se a regra não for cumprida, a ECF gera um erro.</w:t>
      </w:r>
    </w:p>
    <w:p w:rsidR="00F11F4E" w:rsidRPr="00FA3856" w:rsidRDefault="00F11F4E" w:rsidP="00F11F4E">
      <w:pPr>
        <w:jc w:val="both"/>
        <w:rPr>
          <w:szCs w:val="20"/>
        </w:rPr>
      </w:pPr>
    </w:p>
    <w:p w:rsidR="00342F1D" w:rsidRDefault="00297462" w:rsidP="00454370">
      <w:pPr>
        <w:pStyle w:val="Corpodetexto"/>
        <w:rPr>
          <w:rFonts w:ascii="Times New Roman" w:hAnsi="Times New Roman"/>
          <w:b/>
          <w:color w:val="002060"/>
          <w:szCs w:val="20"/>
        </w:rPr>
      </w:pPr>
      <w:r w:rsidRPr="00FA3856">
        <w:rPr>
          <w:rFonts w:ascii="Times New Roman" w:hAnsi="Times New Roman"/>
          <w:b/>
          <w:color w:val="002060"/>
          <w:szCs w:val="20"/>
        </w:rPr>
        <w:t xml:space="preserve">Exemplo de Preenchimento: </w:t>
      </w:r>
    </w:p>
    <w:p w:rsidR="00342F1D" w:rsidRDefault="00342F1D" w:rsidP="00454370">
      <w:pPr>
        <w:pStyle w:val="Corpodetexto"/>
        <w:rPr>
          <w:rFonts w:ascii="Times New Roman" w:hAnsi="Times New Roman"/>
          <w:b/>
          <w:color w:val="002060"/>
          <w:szCs w:val="20"/>
        </w:rPr>
      </w:pPr>
    </w:p>
    <w:p w:rsidR="00297462" w:rsidRPr="00FA3856" w:rsidRDefault="00297462" w:rsidP="00454370">
      <w:pPr>
        <w:pStyle w:val="Corpodetexto"/>
        <w:rPr>
          <w:rFonts w:ascii="Times New Roman" w:hAnsi="Times New Roman"/>
          <w:b/>
          <w:color w:val="002060"/>
          <w:szCs w:val="20"/>
        </w:rPr>
      </w:pPr>
      <w:r w:rsidRPr="00FA3856">
        <w:rPr>
          <w:rFonts w:ascii="Times New Roman" w:hAnsi="Times New Roman"/>
          <w:b/>
          <w:color w:val="002060"/>
          <w:szCs w:val="20"/>
        </w:rPr>
        <w:t>|0001|0|</w:t>
      </w:r>
    </w:p>
    <w:p w:rsidR="00297462" w:rsidRPr="00FA3856" w:rsidRDefault="00297462" w:rsidP="00297462">
      <w:pPr>
        <w:pStyle w:val="Corpodetexto"/>
        <w:ind w:firstLine="708"/>
        <w:rPr>
          <w:rFonts w:ascii="Times New Roman" w:hAnsi="Times New Roman"/>
          <w:color w:val="002060"/>
          <w:szCs w:val="20"/>
        </w:rPr>
      </w:pPr>
      <w:r w:rsidRPr="00FA3856">
        <w:rPr>
          <w:rFonts w:ascii="Times New Roman" w:hAnsi="Times New Roman"/>
          <w:color w:val="002060"/>
          <w:szCs w:val="20"/>
        </w:rPr>
        <w:t>|0001|: Identificação do tipo do registro.</w:t>
      </w:r>
    </w:p>
    <w:p w:rsidR="00297462" w:rsidRPr="00FA3856" w:rsidRDefault="00297462" w:rsidP="00297462">
      <w:pPr>
        <w:pStyle w:val="Corpodetexto"/>
        <w:ind w:firstLine="708"/>
        <w:rPr>
          <w:rFonts w:ascii="Times New Roman" w:hAnsi="Times New Roman"/>
          <w:color w:val="002060"/>
          <w:szCs w:val="20"/>
        </w:rPr>
      </w:pPr>
      <w:r w:rsidRPr="00FA3856">
        <w:rPr>
          <w:rFonts w:ascii="Times New Roman" w:hAnsi="Times New Roman"/>
          <w:color w:val="002060"/>
          <w:szCs w:val="20"/>
        </w:rPr>
        <w:t>|0|: Indica que o bloco possui dados informados.</w:t>
      </w:r>
    </w:p>
    <w:p w:rsidR="00297462" w:rsidRPr="00FA3856" w:rsidRDefault="00297462" w:rsidP="00297462">
      <w:pPr>
        <w:pStyle w:val="Corpodetexto"/>
        <w:rPr>
          <w:rFonts w:ascii="Times New Roman" w:hAnsi="Times New Roman"/>
          <w:szCs w:val="20"/>
        </w:rPr>
      </w:pPr>
    </w:p>
    <w:p w:rsidR="00361BA8" w:rsidRPr="00FA3856" w:rsidRDefault="00361BA8" w:rsidP="00F11F4E">
      <w:pPr>
        <w:jc w:val="both"/>
        <w:rPr>
          <w:szCs w:val="20"/>
        </w:rPr>
      </w:pPr>
    </w:p>
    <w:p w:rsidR="001A297B" w:rsidRPr="00FA3856" w:rsidRDefault="001A297B">
      <w:pPr>
        <w:spacing w:after="200" w:line="276" w:lineRule="auto"/>
        <w:rPr>
          <w:b/>
          <w:bCs/>
          <w:color w:val="0000FF"/>
          <w:szCs w:val="20"/>
        </w:rPr>
      </w:pPr>
      <w:r w:rsidRPr="00FA3856">
        <w:rPr>
          <w:color w:val="0000FF"/>
          <w:szCs w:val="20"/>
        </w:rPr>
        <w:br w:type="page"/>
      </w:r>
    </w:p>
    <w:p w:rsidR="00953CA7" w:rsidRPr="00FA3856" w:rsidRDefault="00953CA7" w:rsidP="00867F54">
      <w:pPr>
        <w:pStyle w:val="Ttulo4"/>
      </w:pPr>
      <w:bookmarkStart w:id="61" w:name="_Toc479713669"/>
      <w:r w:rsidRPr="00FA3856">
        <w:lastRenderedPageBreak/>
        <w:t xml:space="preserve">Registro 0010: </w:t>
      </w:r>
      <w:r w:rsidR="00D16822" w:rsidRPr="00FA3856">
        <w:t>Parâmetros de Tributação</w:t>
      </w:r>
      <w:bookmarkEnd w:id="61"/>
    </w:p>
    <w:p w:rsidR="00795E77" w:rsidRPr="00FA3856" w:rsidRDefault="00795E77" w:rsidP="002247D6">
      <w:pPr>
        <w:jc w:val="both"/>
        <w:rPr>
          <w:szCs w:val="20"/>
        </w:rPr>
      </w:pPr>
    </w:p>
    <w:p w:rsidR="00953CA7" w:rsidRPr="00FA3856" w:rsidRDefault="00953CA7" w:rsidP="00252999">
      <w:pPr>
        <w:ind w:firstLine="708"/>
        <w:rPr>
          <w:szCs w:val="20"/>
        </w:rPr>
      </w:pPr>
      <w:r w:rsidRPr="00FA3856">
        <w:rPr>
          <w:szCs w:val="20"/>
        </w:rPr>
        <w:t xml:space="preserve">Apresenta os parâmetros fiscais que identificam quais blocos e registros </w:t>
      </w:r>
      <w:r w:rsidR="005D785C" w:rsidRPr="00FA3856">
        <w:rPr>
          <w:szCs w:val="20"/>
        </w:rPr>
        <w:t>serão</w:t>
      </w:r>
      <w:r w:rsidRPr="00FA3856">
        <w:rPr>
          <w:szCs w:val="20"/>
        </w:rPr>
        <w:t xml:space="preserve"> preenchidos.</w:t>
      </w:r>
    </w:p>
    <w:p w:rsidR="00953CA7" w:rsidRPr="00FA3856" w:rsidRDefault="00953CA7" w:rsidP="00953CA7">
      <w:pPr>
        <w:rPr>
          <w:szCs w:val="20"/>
        </w:rPr>
      </w:pPr>
    </w:p>
    <w:p w:rsidR="00252999" w:rsidRPr="00FA3856" w:rsidRDefault="00953CA7" w:rsidP="000654C2">
      <w:pPr>
        <w:pStyle w:val="NormalWeb"/>
        <w:widowControl w:val="0"/>
        <w:autoSpaceDE w:val="0"/>
        <w:autoSpaceDN w:val="0"/>
        <w:adjustRightInd w:val="0"/>
        <w:spacing w:before="0" w:after="0"/>
        <w:ind w:firstLine="708"/>
        <w:jc w:val="both"/>
        <w:rPr>
          <w:rFonts w:ascii="Times New Roman" w:hAnsi="Times New Roman" w:cs="Times New Roman"/>
          <w:szCs w:val="20"/>
          <w:lang w:val="pt-PT"/>
        </w:rPr>
      </w:pPr>
      <w:r w:rsidRPr="00FA3856">
        <w:rPr>
          <w:rFonts w:ascii="Times New Roman" w:hAnsi="Times New Roman" w:cs="Times New Roman"/>
          <w:szCs w:val="20"/>
          <w:lang w:val="pt-PT"/>
        </w:rPr>
        <w:t>O plano de contas referencial a ser utili</w:t>
      </w:r>
      <w:r w:rsidR="000654C2">
        <w:rPr>
          <w:rFonts w:ascii="Times New Roman" w:hAnsi="Times New Roman" w:cs="Times New Roman"/>
          <w:szCs w:val="20"/>
          <w:lang w:val="pt-PT"/>
        </w:rPr>
        <w:t>zado segue as seguintes regras:</w:t>
      </w:r>
    </w:p>
    <w:p w:rsidR="00252999" w:rsidRPr="00FA3856" w:rsidRDefault="00252999" w:rsidP="00252999">
      <w:pPr>
        <w:pStyle w:val="NormalWeb"/>
        <w:widowControl w:val="0"/>
        <w:suppressAutoHyphens w:val="0"/>
        <w:autoSpaceDE w:val="0"/>
        <w:autoSpaceDN w:val="0"/>
        <w:adjustRightInd w:val="0"/>
        <w:spacing w:before="0" w:after="0"/>
        <w:ind w:firstLine="708"/>
        <w:jc w:val="both"/>
        <w:rPr>
          <w:rFonts w:ascii="Times New Roman" w:hAnsi="Times New Roman" w:cs="Times New Roman"/>
          <w:szCs w:val="20"/>
          <w:lang w:val="pt-PT"/>
        </w:rPr>
      </w:pPr>
      <w:r w:rsidRPr="00FA3856">
        <w:rPr>
          <w:rFonts w:ascii="Times New Roman" w:hAnsi="Times New Roman" w:cs="Times New Roman"/>
          <w:szCs w:val="20"/>
          <w:lang w:val="pt-PT"/>
        </w:rPr>
        <w:t xml:space="preserve">- </w:t>
      </w:r>
      <w:r w:rsidR="00953CA7" w:rsidRPr="00FA3856">
        <w:rPr>
          <w:rFonts w:ascii="Times New Roman" w:hAnsi="Times New Roman" w:cs="Times New Roman"/>
          <w:szCs w:val="20"/>
          <w:lang w:val="pt-PT"/>
        </w:rPr>
        <w:t xml:space="preserve">Utilizar o plano de contas definido no campo </w:t>
      </w:r>
      <w:r w:rsidR="00454370" w:rsidRPr="00FA3856">
        <w:rPr>
          <w:rFonts w:ascii="Times New Roman" w:hAnsi="Times New Roman" w:cs="Times New Roman"/>
          <w:szCs w:val="20"/>
          <w:lang w:val="pt-PT"/>
        </w:rPr>
        <w:t>0010.</w:t>
      </w:r>
      <w:r w:rsidRPr="00FA3856">
        <w:rPr>
          <w:rFonts w:ascii="Times New Roman" w:hAnsi="Times New Roman" w:cs="Times New Roman"/>
          <w:szCs w:val="20"/>
          <w:lang w:val="pt-PT"/>
        </w:rPr>
        <w:t>COD_</w:t>
      </w:r>
      <w:r w:rsidR="00953CA7" w:rsidRPr="00FA3856">
        <w:rPr>
          <w:rFonts w:ascii="Times New Roman" w:hAnsi="Times New Roman" w:cs="Times New Roman"/>
          <w:szCs w:val="20"/>
          <w:lang w:val="pt-PT"/>
        </w:rPr>
        <w:t>QUALI</w:t>
      </w:r>
      <w:r w:rsidRPr="00FA3856">
        <w:rPr>
          <w:rFonts w:ascii="Times New Roman" w:hAnsi="Times New Roman" w:cs="Times New Roman"/>
          <w:szCs w:val="20"/>
          <w:lang w:val="pt-PT"/>
        </w:rPr>
        <w:t>F</w:t>
      </w:r>
      <w:r w:rsidR="00C70F33" w:rsidRPr="00FA3856">
        <w:rPr>
          <w:rFonts w:ascii="Times New Roman" w:hAnsi="Times New Roman" w:cs="Times New Roman"/>
          <w:szCs w:val="20"/>
          <w:lang w:val="pt-PT"/>
        </w:rPr>
        <w:t>_PJ</w:t>
      </w:r>
      <w:r w:rsidRPr="00FA3856">
        <w:rPr>
          <w:rFonts w:ascii="Times New Roman" w:hAnsi="Times New Roman" w:cs="Times New Roman"/>
          <w:szCs w:val="20"/>
          <w:lang w:val="pt-PT"/>
        </w:rPr>
        <w:t>.</w:t>
      </w:r>
    </w:p>
    <w:p w:rsidR="00252999" w:rsidRPr="00FA3856" w:rsidRDefault="00252999" w:rsidP="00252999">
      <w:pPr>
        <w:pStyle w:val="NormalWeb"/>
        <w:widowControl w:val="0"/>
        <w:suppressAutoHyphens w:val="0"/>
        <w:autoSpaceDE w:val="0"/>
        <w:autoSpaceDN w:val="0"/>
        <w:adjustRightInd w:val="0"/>
        <w:spacing w:before="0" w:after="0"/>
        <w:ind w:firstLine="708"/>
        <w:jc w:val="both"/>
        <w:rPr>
          <w:rFonts w:ascii="Times New Roman" w:hAnsi="Times New Roman" w:cs="Times New Roman"/>
          <w:szCs w:val="20"/>
          <w:lang w:val="pt-PT"/>
        </w:rPr>
      </w:pPr>
      <w:r w:rsidRPr="00FA3856">
        <w:rPr>
          <w:rFonts w:ascii="Times New Roman" w:hAnsi="Times New Roman" w:cs="Times New Roman"/>
          <w:szCs w:val="20"/>
          <w:lang w:val="pt-PT"/>
        </w:rPr>
        <w:t xml:space="preserve">- </w:t>
      </w:r>
      <w:r w:rsidR="00953CA7" w:rsidRPr="00FA3856">
        <w:rPr>
          <w:rFonts w:ascii="Times New Roman" w:hAnsi="Times New Roman" w:cs="Times New Roman"/>
          <w:szCs w:val="20"/>
          <w:lang w:val="pt-PT"/>
        </w:rPr>
        <w:t xml:space="preserve">Se </w:t>
      </w:r>
      <w:r w:rsidR="00C70F33" w:rsidRPr="00FA3856">
        <w:rPr>
          <w:rFonts w:ascii="Times New Roman" w:hAnsi="Times New Roman" w:cs="Times New Roman"/>
          <w:szCs w:val="20"/>
          <w:lang w:val="pt-PT"/>
        </w:rPr>
        <w:t xml:space="preserve">0010.COD_QUALIF_PJ </w:t>
      </w:r>
      <w:r w:rsidR="00953CA7" w:rsidRPr="00FA3856">
        <w:rPr>
          <w:rFonts w:ascii="Times New Roman" w:hAnsi="Times New Roman" w:cs="Times New Roman"/>
          <w:szCs w:val="20"/>
          <w:lang w:val="pt-PT"/>
        </w:rPr>
        <w:t>não estiver preenchido</w:t>
      </w:r>
      <w:r w:rsidR="0089492A" w:rsidRPr="00FA3856">
        <w:rPr>
          <w:rFonts w:ascii="Times New Roman" w:hAnsi="Times New Roman" w:cs="Times New Roman"/>
          <w:szCs w:val="20"/>
          <w:lang w:val="pt-PT"/>
        </w:rPr>
        <w:t>,</w:t>
      </w:r>
      <w:r w:rsidR="00953CA7" w:rsidRPr="00FA3856">
        <w:rPr>
          <w:rFonts w:ascii="Times New Roman" w:hAnsi="Times New Roman" w:cs="Times New Roman"/>
          <w:szCs w:val="20"/>
          <w:lang w:val="pt-PT"/>
        </w:rPr>
        <w:t xml:space="preserve"> verificar o campo </w:t>
      </w:r>
      <w:r w:rsidR="00454370" w:rsidRPr="00FA3856">
        <w:rPr>
          <w:rFonts w:ascii="Times New Roman" w:hAnsi="Times New Roman" w:cs="Times New Roman"/>
          <w:szCs w:val="20"/>
          <w:lang w:val="pt-PT"/>
        </w:rPr>
        <w:t>0010.</w:t>
      </w:r>
      <w:r w:rsidR="00953CA7" w:rsidRPr="00FA3856">
        <w:rPr>
          <w:rFonts w:ascii="Times New Roman" w:hAnsi="Times New Roman" w:cs="Times New Roman"/>
          <w:szCs w:val="20"/>
          <w:lang w:val="pt-PT"/>
        </w:rPr>
        <w:t xml:space="preserve">APUR_CSLL. </w:t>
      </w:r>
    </w:p>
    <w:p w:rsidR="00953CA7" w:rsidRPr="00FA3856" w:rsidRDefault="00252999" w:rsidP="00252999">
      <w:pPr>
        <w:pStyle w:val="NormalWeb"/>
        <w:widowControl w:val="0"/>
        <w:suppressAutoHyphens w:val="0"/>
        <w:autoSpaceDE w:val="0"/>
        <w:autoSpaceDN w:val="0"/>
        <w:adjustRightInd w:val="0"/>
        <w:spacing w:before="0" w:after="0"/>
        <w:ind w:firstLine="708"/>
        <w:jc w:val="both"/>
        <w:rPr>
          <w:rFonts w:ascii="Times New Roman" w:hAnsi="Times New Roman" w:cs="Times New Roman"/>
          <w:szCs w:val="20"/>
          <w:lang w:val="pt-PT"/>
        </w:rPr>
      </w:pPr>
      <w:r w:rsidRPr="00FA3856">
        <w:rPr>
          <w:rFonts w:ascii="Times New Roman" w:hAnsi="Times New Roman" w:cs="Times New Roman"/>
          <w:szCs w:val="20"/>
          <w:lang w:val="pt-PT"/>
        </w:rPr>
        <w:t xml:space="preserve">- </w:t>
      </w:r>
      <w:r w:rsidR="0089492A" w:rsidRPr="00FA3856">
        <w:rPr>
          <w:rFonts w:ascii="Times New Roman" w:hAnsi="Times New Roman" w:cs="Times New Roman"/>
          <w:szCs w:val="20"/>
          <w:lang w:val="pt-PT"/>
        </w:rPr>
        <w:t xml:space="preserve">Se </w:t>
      </w:r>
      <w:r w:rsidR="00454370" w:rsidRPr="00FA3856">
        <w:rPr>
          <w:rFonts w:ascii="Times New Roman" w:hAnsi="Times New Roman" w:cs="Times New Roman"/>
          <w:szCs w:val="20"/>
          <w:lang w:val="pt-PT"/>
        </w:rPr>
        <w:t>0010.</w:t>
      </w:r>
      <w:r w:rsidR="00C70F33" w:rsidRPr="00FA3856">
        <w:rPr>
          <w:rFonts w:ascii="Times New Roman" w:hAnsi="Times New Roman" w:cs="Times New Roman"/>
          <w:szCs w:val="20"/>
          <w:lang w:val="pt-PT"/>
        </w:rPr>
        <w:t xml:space="preserve">APUR_CSLL </w:t>
      </w:r>
      <w:r w:rsidR="00953CA7" w:rsidRPr="00FA3856">
        <w:rPr>
          <w:rFonts w:ascii="Times New Roman" w:hAnsi="Times New Roman" w:cs="Times New Roman"/>
          <w:szCs w:val="20"/>
          <w:lang w:val="pt-PT"/>
        </w:rPr>
        <w:t xml:space="preserve">for igual a “A” </w:t>
      </w:r>
      <w:r w:rsidR="0089492A" w:rsidRPr="00FA3856">
        <w:rPr>
          <w:rFonts w:ascii="Times New Roman" w:hAnsi="Times New Roman" w:cs="Times New Roman"/>
          <w:szCs w:val="20"/>
          <w:lang w:val="pt-PT"/>
        </w:rPr>
        <w:t xml:space="preserve">(Anual) </w:t>
      </w:r>
      <w:r w:rsidR="00953CA7" w:rsidRPr="00FA3856">
        <w:rPr>
          <w:rFonts w:ascii="Times New Roman" w:hAnsi="Times New Roman" w:cs="Times New Roman"/>
          <w:szCs w:val="20"/>
          <w:lang w:val="pt-PT"/>
        </w:rPr>
        <w:t xml:space="preserve">ou “T” </w:t>
      </w:r>
      <w:r w:rsidR="001E70AE" w:rsidRPr="00FA3856">
        <w:rPr>
          <w:rFonts w:ascii="Times New Roman" w:hAnsi="Times New Roman" w:cs="Times New Roman"/>
          <w:szCs w:val="20"/>
          <w:lang w:val="pt-PT"/>
        </w:rPr>
        <w:t xml:space="preserve">(Trimestral), </w:t>
      </w:r>
      <w:r w:rsidR="00953CA7" w:rsidRPr="00FA3856">
        <w:rPr>
          <w:rFonts w:ascii="Times New Roman" w:hAnsi="Times New Roman" w:cs="Times New Roman"/>
          <w:szCs w:val="20"/>
          <w:lang w:val="pt-PT"/>
        </w:rPr>
        <w:t xml:space="preserve">utilizar o plano de contas </w:t>
      </w:r>
      <w:r w:rsidR="005D785C" w:rsidRPr="00FA3856">
        <w:rPr>
          <w:rFonts w:ascii="Times New Roman" w:hAnsi="Times New Roman" w:cs="Times New Roman"/>
          <w:szCs w:val="20"/>
          <w:lang w:val="pt-PT"/>
        </w:rPr>
        <w:t xml:space="preserve">de </w:t>
      </w:r>
      <w:r w:rsidR="00953CA7" w:rsidRPr="00FA3856">
        <w:rPr>
          <w:rFonts w:ascii="Times New Roman" w:hAnsi="Times New Roman" w:cs="Times New Roman"/>
          <w:szCs w:val="20"/>
          <w:lang w:val="pt-PT"/>
        </w:rPr>
        <w:t>imune</w:t>
      </w:r>
      <w:r w:rsidR="005D785C" w:rsidRPr="00FA3856">
        <w:rPr>
          <w:rFonts w:ascii="Times New Roman" w:hAnsi="Times New Roman" w:cs="Times New Roman"/>
          <w:szCs w:val="20"/>
          <w:lang w:val="pt-PT"/>
        </w:rPr>
        <w:t>s</w:t>
      </w:r>
      <w:r w:rsidR="00953CA7" w:rsidRPr="00FA3856">
        <w:rPr>
          <w:rFonts w:ascii="Times New Roman" w:hAnsi="Times New Roman" w:cs="Times New Roman"/>
          <w:szCs w:val="20"/>
          <w:lang w:val="pt-PT"/>
        </w:rPr>
        <w:t xml:space="preserve"> e isenta</w:t>
      </w:r>
      <w:r w:rsidR="005D785C" w:rsidRPr="00FA3856">
        <w:rPr>
          <w:rFonts w:ascii="Times New Roman" w:hAnsi="Times New Roman" w:cs="Times New Roman"/>
          <w:szCs w:val="20"/>
          <w:lang w:val="pt-PT"/>
        </w:rPr>
        <w:t>s</w:t>
      </w:r>
      <w:r w:rsidR="00C70F33" w:rsidRPr="00FA3856">
        <w:rPr>
          <w:rFonts w:ascii="Times New Roman" w:hAnsi="Times New Roman" w:cs="Times New Roman"/>
          <w:szCs w:val="20"/>
          <w:lang w:val="pt-PT"/>
        </w:rPr>
        <w:t xml:space="preserve"> </w:t>
      </w:r>
      <w:r w:rsidRPr="00FA3856">
        <w:rPr>
          <w:rFonts w:ascii="Times New Roman" w:hAnsi="Times New Roman" w:cs="Times New Roman"/>
          <w:szCs w:val="20"/>
          <w:lang w:val="pt-PT"/>
        </w:rPr>
        <w:t>nos períodos correspondentes.</w:t>
      </w:r>
    </w:p>
    <w:p w:rsidR="00C70F33" w:rsidRDefault="00C70F33" w:rsidP="00C70F33">
      <w:pPr>
        <w:pStyle w:val="NormalWeb"/>
        <w:widowControl w:val="0"/>
        <w:suppressAutoHyphens w:val="0"/>
        <w:autoSpaceDE w:val="0"/>
        <w:autoSpaceDN w:val="0"/>
        <w:adjustRightInd w:val="0"/>
        <w:spacing w:before="0" w:after="0"/>
        <w:ind w:firstLine="708"/>
        <w:jc w:val="both"/>
        <w:rPr>
          <w:rFonts w:ascii="Times New Roman" w:hAnsi="Times New Roman" w:cs="Times New Roman"/>
          <w:szCs w:val="20"/>
          <w:lang w:val="pt-PT"/>
        </w:rPr>
      </w:pPr>
      <w:r w:rsidRPr="00FA3856">
        <w:rPr>
          <w:rFonts w:ascii="Times New Roman" w:hAnsi="Times New Roman" w:cs="Times New Roman"/>
          <w:szCs w:val="20"/>
          <w:lang w:val="pt-PT"/>
        </w:rPr>
        <w:t>- Se 0010.FORMA_APUR_I for igual a “A” (Anual) ou “T” (Trimestral), utilizar o plano de contas de imunes e isentas nos períodos correspondentes.</w:t>
      </w:r>
    </w:p>
    <w:p w:rsidR="000654C2" w:rsidRDefault="000654C2" w:rsidP="00110D73">
      <w:pPr>
        <w:pStyle w:val="NormalWeb"/>
        <w:widowControl w:val="0"/>
        <w:suppressAutoHyphens w:val="0"/>
        <w:autoSpaceDE w:val="0"/>
        <w:autoSpaceDN w:val="0"/>
        <w:adjustRightInd w:val="0"/>
        <w:spacing w:before="0" w:after="0"/>
        <w:jc w:val="both"/>
        <w:rPr>
          <w:rFonts w:ascii="Times New Roman" w:hAnsi="Times New Roman" w:cs="Times New Roman"/>
          <w:szCs w:val="20"/>
          <w:lang w:val="pt-PT"/>
        </w:rPr>
      </w:pPr>
    </w:p>
    <w:p w:rsidR="00110D73" w:rsidRDefault="00B35FA3" w:rsidP="00110D73">
      <w:pPr>
        <w:pStyle w:val="NormalWeb"/>
        <w:widowControl w:val="0"/>
        <w:suppressAutoHyphens w:val="0"/>
        <w:autoSpaceDE w:val="0"/>
        <w:autoSpaceDN w:val="0"/>
        <w:adjustRightInd w:val="0"/>
        <w:spacing w:before="0" w:after="0"/>
        <w:jc w:val="center"/>
        <w:rPr>
          <w:rFonts w:ascii="Times New Roman" w:hAnsi="Times New Roman" w:cs="Times New Roman"/>
          <w:szCs w:val="20"/>
          <w:lang w:val="pt-PT"/>
        </w:rPr>
      </w:pPr>
      <w:r>
        <w:rPr>
          <w:rFonts w:ascii="Times New Roman" w:hAnsi="Times New Roman" w:cs="Times New Roman"/>
          <w:szCs w:val="20"/>
          <w:lang w:val="pt-PT"/>
        </w:rPr>
        <w:object w:dxaOrig="14280" w:dyaOrig="6105">
          <v:shape id="_x0000_i1534" type="#_x0000_t75" style="width:712.5pt;height:302.25pt" o:ole="">
            <v:imagedata r:id="rId78" o:title=""/>
          </v:shape>
          <o:OLEObject Type="Link" ProgID="Excel.Sheet.12" ShapeID="_x0000_i1534" DrawAspect="Content" r:id="rId79" UpdateMode="Always">
            <o:LinkType>EnhancedMetaFile</o:LinkType>
            <o:LockedField>false</o:LockedField>
          </o:OLEObject>
        </w:object>
      </w:r>
    </w:p>
    <w:p w:rsidR="00130EDB" w:rsidRPr="00FA3856" w:rsidRDefault="00130EDB" w:rsidP="009A0CE0">
      <w:pPr>
        <w:pStyle w:val="NormalWeb"/>
        <w:widowControl w:val="0"/>
        <w:suppressAutoHyphens w:val="0"/>
        <w:autoSpaceDE w:val="0"/>
        <w:autoSpaceDN w:val="0"/>
        <w:adjustRightInd w:val="0"/>
        <w:spacing w:before="0" w:after="0"/>
        <w:ind w:firstLine="708"/>
        <w:jc w:val="center"/>
        <w:rPr>
          <w:rFonts w:ascii="Times New Roman" w:hAnsi="Times New Roman" w:cs="Times New Roman"/>
          <w:szCs w:val="20"/>
          <w:lang w:val="pt-PT"/>
        </w:rPr>
      </w:pPr>
    </w:p>
    <w:p w:rsidR="00130EDB" w:rsidRDefault="00130EDB" w:rsidP="00081477">
      <w:pPr>
        <w:spacing w:after="200" w:line="276" w:lineRule="auto"/>
        <w:ind w:left="708"/>
        <w:jc w:val="center"/>
        <w:rPr>
          <w:b/>
          <w:color w:val="000000"/>
          <w:szCs w:val="20"/>
          <w:lang w:eastAsia="ar-SA"/>
        </w:rPr>
      </w:pPr>
      <w:r>
        <w:rPr>
          <w:b/>
          <w:szCs w:val="20"/>
        </w:rPr>
        <w:br w:type="page"/>
      </w:r>
    </w:p>
    <w:p w:rsidR="00130EDB" w:rsidRDefault="00B35FA3" w:rsidP="00110D73">
      <w:pPr>
        <w:pStyle w:val="Corpodetexto"/>
        <w:spacing w:line="240" w:lineRule="auto"/>
        <w:jc w:val="center"/>
        <w:rPr>
          <w:rFonts w:ascii="Times New Roman" w:hAnsi="Times New Roman"/>
          <w:b/>
          <w:szCs w:val="20"/>
        </w:rPr>
      </w:pPr>
      <w:r>
        <w:rPr>
          <w:rFonts w:ascii="Times New Roman" w:hAnsi="Times New Roman"/>
          <w:b/>
          <w:szCs w:val="20"/>
        </w:rPr>
        <w:object w:dxaOrig="14280" w:dyaOrig="9765">
          <v:shape id="_x0000_i1536" type="#_x0000_t75" style="width:712.5pt;height:489.75pt" o:ole="">
            <v:imagedata r:id="rId80" o:title=""/>
          </v:shape>
          <o:OLEObject Type="Link" ProgID="Excel.Sheet.12" ShapeID="_x0000_i1536" DrawAspect="Content" r:id="rId81" UpdateMode="Always">
            <o:LinkType>EnhancedMetaFile</o:LinkType>
            <o:LockedField>false</o:LockedField>
          </o:OLEObject>
        </w:object>
      </w:r>
    </w:p>
    <w:p w:rsidR="00130EDB" w:rsidRDefault="00B35FA3" w:rsidP="00110D73">
      <w:pPr>
        <w:pStyle w:val="Corpodetexto"/>
        <w:spacing w:line="240" w:lineRule="auto"/>
        <w:jc w:val="center"/>
        <w:rPr>
          <w:rFonts w:ascii="Times New Roman" w:hAnsi="Times New Roman"/>
          <w:b/>
          <w:szCs w:val="20"/>
        </w:rPr>
      </w:pPr>
      <w:r>
        <w:rPr>
          <w:rFonts w:ascii="Times New Roman" w:hAnsi="Times New Roman"/>
          <w:b/>
          <w:szCs w:val="20"/>
        </w:rPr>
        <w:object w:dxaOrig="14280" w:dyaOrig="6945">
          <v:shape id="_x0000_i1538" type="#_x0000_t75" style="width:712.5pt;height:346.5pt" o:ole="">
            <v:imagedata r:id="rId82" o:title=""/>
          </v:shape>
          <o:OLEObject Type="Link" ProgID="Excel.Sheet.12" ShapeID="_x0000_i1538" DrawAspect="Content" r:id="rId83" UpdateMode="Always">
            <o:LinkType>EnhancedMetaFile</o:LinkType>
            <o:LockedField>false</o:LockedField>
          </o:OLEObject>
        </w:object>
      </w:r>
    </w:p>
    <w:p w:rsidR="00130EDB" w:rsidRDefault="00130EDB" w:rsidP="00953CA7">
      <w:pPr>
        <w:pStyle w:val="Corpodetexto"/>
        <w:spacing w:line="240" w:lineRule="auto"/>
        <w:rPr>
          <w:rFonts w:ascii="Times New Roman" w:hAnsi="Times New Roman"/>
          <w:b/>
          <w:szCs w:val="20"/>
        </w:rPr>
      </w:pPr>
    </w:p>
    <w:p w:rsidR="00130EDB" w:rsidRDefault="00130EDB" w:rsidP="00953CA7">
      <w:pPr>
        <w:pStyle w:val="Corpodetexto"/>
        <w:spacing w:line="240" w:lineRule="auto"/>
        <w:rPr>
          <w:rFonts w:ascii="Times New Roman" w:hAnsi="Times New Roman"/>
          <w:b/>
          <w:szCs w:val="20"/>
        </w:rPr>
      </w:pPr>
    </w:p>
    <w:p w:rsidR="00130EDB" w:rsidRDefault="00130EDB" w:rsidP="00130EDB">
      <w:pPr>
        <w:pStyle w:val="Corpodetexto"/>
        <w:spacing w:line="240" w:lineRule="auto"/>
        <w:ind w:left="708"/>
        <w:rPr>
          <w:rFonts w:ascii="Times New Roman" w:hAnsi="Times New Roman"/>
          <w:b/>
          <w:szCs w:val="20"/>
        </w:rPr>
      </w:pPr>
    </w:p>
    <w:p w:rsidR="00081477" w:rsidRDefault="00081477" w:rsidP="00081477">
      <w:pPr>
        <w:pStyle w:val="Corpodetexto"/>
        <w:spacing w:line="240" w:lineRule="auto"/>
        <w:ind w:left="708"/>
        <w:jc w:val="center"/>
        <w:rPr>
          <w:rFonts w:ascii="Times New Roman" w:hAnsi="Times New Roman"/>
          <w:b/>
          <w:szCs w:val="20"/>
        </w:rPr>
      </w:pPr>
    </w:p>
    <w:p w:rsidR="00130EDB" w:rsidRDefault="00130EDB" w:rsidP="00953CA7">
      <w:pPr>
        <w:pStyle w:val="Corpodetexto"/>
        <w:spacing w:line="240" w:lineRule="auto"/>
        <w:rPr>
          <w:rFonts w:ascii="Times New Roman" w:hAnsi="Times New Roman"/>
          <w:b/>
          <w:szCs w:val="20"/>
        </w:rPr>
      </w:pPr>
    </w:p>
    <w:p w:rsidR="00130EDB" w:rsidRDefault="00130EDB" w:rsidP="00081477">
      <w:pPr>
        <w:pStyle w:val="Corpodetexto"/>
        <w:spacing w:line="240" w:lineRule="auto"/>
        <w:ind w:left="708"/>
        <w:jc w:val="center"/>
        <w:rPr>
          <w:rFonts w:ascii="Times New Roman" w:hAnsi="Times New Roman"/>
          <w:b/>
          <w:szCs w:val="20"/>
        </w:rPr>
      </w:pPr>
    </w:p>
    <w:p w:rsidR="00110D73" w:rsidRDefault="00110D73" w:rsidP="00081477">
      <w:pPr>
        <w:pStyle w:val="Corpodetexto"/>
        <w:spacing w:line="240" w:lineRule="auto"/>
        <w:ind w:left="708"/>
        <w:jc w:val="center"/>
        <w:rPr>
          <w:rFonts w:ascii="Times New Roman" w:hAnsi="Times New Roman"/>
          <w:b/>
          <w:szCs w:val="20"/>
        </w:rPr>
      </w:pPr>
    </w:p>
    <w:p w:rsidR="00110D73" w:rsidRDefault="00110D73" w:rsidP="00081477">
      <w:pPr>
        <w:pStyle w:val="Corpodetexto"/>
        <w:spacing w:line="240" w:lineRule="auto"/>
        <w:ind w:left="708"/>
        <w:jc w:val="center"/>
        <w:rPr>
          <w:rFonts w:ascii="Times New Roman" w:hAnsi="Times New Roman"/>
          <w:b/>
          <w:szCs w:val="20"/>
        </w:rPr>
      </w:pPr>
    </w:p>
    <w:p w:rsidR="00110D73" w:rsidRDefault="00110D73" w:rsidP="00081477">
      <w:pPr>
        <w:pStyle w:val="Corpodetexto"/>
        <w:spacing w:line="240" w:lineRule="auto"/>
        <w:ind w:left="708"/>
        <w:jc w:val="center"/>
        <w:rPr>
          <w:rFonts w:ascii="Times New Roman" w:hAnsi="Times New Roman"/>
          <w:b/>
          <w:szCs w:val="20"/>
        </w:rPr>
      </w:pPr>
    </w:p>
    <w:p w:rsidR="00110D73" w:rsidRDefault="00110D73" w:rsidP="00081477">
      <w:pPr>
        <w:pStyle w:val="Corpodetexto"/>
        <w:spacing w:line="240" w:lineRule="auto"/>
        <w:ind w:left="708"/>
        <w:jc w:val="center"/>
        <w:rPr>
          <w:rFonts w:ascii="Times New Roman" w:hAnsi="Times New Roman"/>
          <w:b/>
          <w:szCs w:val="20"/>
        </w:rPr>
      </w:pPr>
    </w:p>
    <w:p w:rsidR="00110D73" w:rsidRDefault="00110D73" w:rsidP="00081477">
      <w:pPr>
        <w:pStyle w:val="Corpodetexto"/>
        <w:spacing w:line="240" w:lineRule="auto"/>
        <w:ind w:left="708"/>
        <w:jc w:val="center"/>
        <w:rPr>
          <w:rFonts w:ascii="Times New Roman" w:hAnsi="Times New Roman"/>
          <w:b/>
          <w:szCs w:val="20"/>
        </w:rPr>
      </w:pPr>
    </w:p>
    <w:p w:rsidR="00110D73" w:rsidRDefault="00B35FA3" w:rsidP="00081477">
      <w:pPr>
        <w:pStyle w:val="Corpodetexto"/>
        <w:spacing w:line="240" w:lineRule="auto"/>
        <w:ind w:left="708"/>
        <w:jc w:val="center"/>
        <w:rPr>
          <w:rFonts w:ascii="Times New Roman" w:hAnsi="Times New Roman"/>
          <w:b/>
          <w:szCs w:val="20"/>
        </w:rPr>
      </w:pPr>
      <w:r>
        <w:rPr>
          <w:rFonts w:ascii="Times New Roman" w:hAnsi="Times New Roman"/>
          <w:b/>
          <w:szCs w:val="20"/>
        </w:rPr>
        <w:object w:dxaOrig="14280" w:dyaOrig="6930">
          <v:shape id="_x0000_i1540" type="#_x0000_t75" style="width:712.5pt;height:346.5pt" o:ole="">
            <v:imagedata r:id="rId84" o:title=""/>
          </v:shape>
          <o:OLEObject Type="Link" ProgID="Excel.Sheet.12" ShapeID="_x0000_i1540" DrawAspect="Content" r:id="rId85" UpdateMode="Always">
            <o:LinkType>EnhancedMetaFile</o:LinkType>
            <o:LockedField>false</o:LockedField>
          </o:OLEObject>
        </w:object>
      </w:r>
    </w:p>
    <w:p w:rsidR="00110D73" w:rsidRDefault="00130EDB">
      <w:pPr>
        <w:spacing w:after="200" w:line="276" w:lineRule="auto"/>
        <w:rPr>
          <w:b/>
          <w:szCs w:val="20"/>
        </w:rPr>
      </w:pPr>
      <w:r>
        <w:rPr>
          <w:b/>
          <w:szCs w:val="20"/>
        </w:rPr>
        <w:br w:type="page"/>
      </w:r>
    </w:p>
    <w:p w:rsidR="00110D73" w:rsidRPr="00110D73" w:rsidRDefault="00B35FA3" w:rsidP="00110D73">
      <w:pPr>
        <w:spacing w:after="200" w:line="276" w:lineRule="auto"/>
        <w:jc w:val="center"/>
        <w:rPr>
          <w:b/>
          <w:szCs w:val="20"/>
        </w:rPr>
      </w:pPr>
      <w:r>
        <w:rPr>
          <w:b/>
          <w:szCs w:val="20"/>
        </w:rPr>
        <w:object w:dxaOrig="14280" w:dyaOrig="6675">
          <v:shape id="_x0000_i1542" type="#_x0000_t75" style="width:712.5pt;height:331.5pt" o:ole="">
            <v:imagedata r:id="rId86" o:title=""/>
          </v:shape>
          <o:OLEObject Type="Link" ProgID="Excel.Sheet.12" ShapeID="_x0000_i1542" DrawAspect="Content" r:id="rId87" UpdateMode="Always">
            <o:LinkType>EnhancedMetaFile</o:LinkType>
            <o:LockedField>false</o:LockedField>
          </o:OLEObject>
        </w:object>
      </w:r>
    </w:p>
    <w:p w:rsidR="00110D73" w:rsidRDefault="00110D73" w:rsidP="00953CA7">
      <w:pPr>
        <w:pStyle w:val="Corpodetexto"/>
        <w:spacing w:line="240" w:lineRule="auto"/>
        <w:rPr>
          <w:rFonts w:ascii="Times New Roman" w:hAnsi="Times New Roman"/>
          <w:b/>
          <w:szCs w:val="20"/>
        </w:rPr>
      </w:pPr>
    </w:p>
    <w:p w:rsidR="00110D73" w:rsidRDefault="00110D73" w:rsidP="00953CA7">
      <w:pPr>
        <w:pStyle w:val="Corpodetexto"/>
        <w:spacing w:line="240" w:lineRule="auto"/>
        <w:rPr>
          <w:rFonts w:ascii="Times New Roman" w:hAnsi="Times New Roman"/>
          <w:b/>
          <w:szCs w:val="20"/>
        </w:rPr>
      </w:pPr>
    </w:p>
    <w:p w:rsidR="00110D73" w:rsidRDefault="00110D73" w:rsidP="00953CA7">
      <w:pPr>
        <w:pStyle w:val="Corpodetexto"/>
        <w:spacing w:line="240" w:lineRule="auto"/>
        <w:rPr>
          <w:rFonts w:ascii="Times New Roman" w:hAnsi="Times New Roman"/>
          <w:b/>
          <w:szCs w:val="20"/>
        </w:rPr>
      </w:pPr>
    </w:p>
    <w:p w:rsidR="00110D73" w:rsidRDefault="00110D73" w:rsidP="00953CA7">
      <w:pPr>
        <w:pStyle w:val="Corpodetexto"/>
        <w:spacing w:line="240" w:lineRule="auto"/>
        <w:rPr>
          <w:rFonts w:ascii="Times New Roman" w:hAnsi="Times New Roman"/>
          <w:b/>
          <w:szCs w:val="20"/>
        </w:rPr>
      </w:pPr>
    </w:p>
    <w:p w:rsidR="00110D73" w:rsidRDefault="00110D73" w:rsidP="00953CA7">
      <w:pPr>
        <w:pStyle w:val="Corpodetexto"/>
        <w:spacing w:line="240" w:lineRule="auto"/>
        <w:rPr>
          <w:rFonts w:ascii="Times New Roman" w:hAnsi="Times New Roman"/>
          <w:b/>
          <w:szCs w:val="20"/>
        </w:rPr>
      </w:pPr>
    </w:p>
    <w:p w:rsidR="00110D73" w:rsidRDefault="00110D73" w:rsidP="00953CA7">
      <w:pPr>
        <w:pStyle w:val="Corpodetexto"/>
        <w:spacing w:line="240" w:lineRule="auto"/>
        <w:rPr>
          <w:rFonts w:ascii="Times New Roman" w:hAnsi="Times New Roman"/>
          <w:b/>
          <w:szCs w:val="20"/>
        </w:rPr>
      </w:pPr>
    </w:p>
    <w:p w:rsidR="00110D73" w:rsidRDefault="00110D73" w:rsidP="00953CA7">
      <w:pPr>
        <w:pStyle w:val="Corpodetexto"/>
        <w:spacing w:line="240" w:lineRule="auto"/>
        <w:rPr>
          <w:rFonts w:ascii="Times New Roman" w:hAnsi="Times New Roman"/>
          <w:b/>
          <w:szCs w:val="20"/>
        </w:rPr>
      </w:pPr>
    </w:p>
    <w:p w:rsidR="00110D73" w:rsidRDefault="00110D73" w:rsidP="00953CA7">
      <w:pPr>
        <w:pStyle w:val="Corpodetexto"/>
        <w:spacing w:line="240" w:lineRule="auto"/>
        <w:rPr>
          <w:rFonts w:ascii="Times New Roman" w:hAnsi="Times New Roman"/>
          <w:b/>
          <w:szCs w:val="20"/>
        </w:rPr>
      </w:pPr>
    </w:p>
    <w:p w:rsidR="00110D73" w:rsidRDefault="00110D73" w:rsidP="00953CA7">
      <w:pPr>
        <w:pStyle w:val="Corpodetexto"/>
        <w:spacing w:line="240" w:lineRule="auto"/>
        <w:rPr>
          <w:rFonts w:ascii="Times New Roman" w:hAnsi="Times New Roman"/>
          <w:b/>
          <w:szCs w:val="20"/>
        </w:rPr>
      </w:pPr>
    </w:p>
    <w:p w:rsidR="00110D73" w:rsidRDefault="00110D73" w:rsidP="00953CA7">
      <w:pPr>
        <w:pStyle w:val="Corpodetexto"/>
        <w:spacing w:line="240" w:lineRule="auto"/>
        <w:rPr>
          <w:rFonts w:ascii="Times New Roman" w:hAnsi="Times New Roman"/>
          <w:b/>
          <w:szCs w:val="20"/>
        </w:rPr>
      </w:pPr>
    </w:p>
    <w:p w:rsidR="00110D73" w:rsidRDefault="00B35FA3" w:rsidP="00110D73">
      <w:pPr>
        <w:pStyle w:val="Corpodetexto"/>
        <w:spacing w:line="240" w:lineRule="auto"/>
        <w:jc w:val="center"/>
        <w:rPr>
          <w:rFonts w:ascii="Times New Roman" w:hAnsi="Times New Roman"/>
          <w:b/>
          <w:szCs w:val="20"/>
        </w:rPr>
      </w:pPr>
      <w:r>
        <w:rPr>
          <w:rFonts w:ascii="Times New Roman" w:hAnsi="Times New Roman"/>
          <w:b/>
          <w:szCs w:val="20"/>
        </w:rPr>
        <w:object w:dxaOrig="14280" w:dyaOrig="9480">
          <v:shape id="_x0000_i1544" type="#_x0000_t75" style="width:712.5pt;height:474.75pt" o:ole="">
            <v:imagedata r:id="rId88" o:title=""/>
          </v:shape>
          <o:OLEObject Type="Link" ProgID="Excel.Sheet.12" ShapeID="_x0000_i1544" DrawAspect="Content" r:id="rId89" UpdateMode="Always">
            <o:LinkType>EnhancedMetaFile</o:LinkType>
            <o:LockedField>false</o:LockedField>
          </o:OLEObject>
        </w:object>
      </w:r>
    </w:p>
    <w:p w:rsidR="00953CA7" w:rsidRPr="00FA3856" w:rsidRDefault="00001315" w:rsidP="00953CA7">
      <w:pPr>
        <w:pStyle w:val="Corpodetexto"/>
        <w:spacing w:line="240" w:lineRule="auto"/>
        <w:rPr>
          <w:rFonts w:ascii="Times New Roman" w:hAnsi="Times New Roman"/>
          <w:szCs w:val="20"/>
        </w:rPr>
      </w:pPr>
      <w:r w:rsidRPr="00FA3856">
        <w:rPr>
          <w:rFonts w:ascii="Times New Roman" w:hAnsi="Times New Roman"/>
          <w:b/>
          <w:szCs w:val="20"/>
        </w:rPr>
        <w:lastRenderedPageBreak/>
        <w:t>I</w:t>
      </w:r>
      <w:r w:rsidR="00953CA7" w:rsidRPr="00FA3856">
        <w:rPr>
          <w:rFonts w:ascii="Times New Roman" w:hAnsi="Times New Roman"/>
          <w:b/>
          <w:szCs w:val="20"/>
        </w:rPr>
        <w:t xml:space="preserve"> – Regras de Validação dos Campos: </w:t>
      </w:r>
    </w:p>
    <w:p w:rsidR="00953CA7" w:rsidRPr="00FA3856" w:rsidRDefault="00953CA7" w:rsidP="00953CA7">
      <w:pPr>
        <w:pStyle w:val="PSDS-MarcadoresNivel2"/>
        <w:numPr>
          <w:ilvl w:val="0"/>
          <w:numId w:val="0"/>
        </w:numPr>
        <w:ind w:left="360"/>
        <w:rPr>
          <w:rFonts w:ascii="Times New Roman" w:hAnsi="Times New Roman"/>
        </w:rPr>
      </w:pPr>
    </w:p>
    <w:tbl>
      <w:tblPr>
        <w:tblW w:w="16370"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614"/>
        <w:gridCol w:w="2050"/>
        <w:gridCol w:w="12997"/>
        <w:gridCol w:w="709"/>
      </w:tblGrid>
      <w:tr w:rsidR="00953CA7" w:rsidRPr="00FA3856" w:rsidTr="006A4D3C">
        <w:trPr>
          <w:trHeight w:val="20"/>
          <w:tblHeader/>
          <w:jc w:val="center"/>
        </w:trPr>
        <w:tc>
          <w:tcPr>
            <w:tcW w:w="614" w:type="dxa"/>
            <w:tcBorders>
              <w:top w:val="single" w:sz="6" w:space="0" w:color="auto"/>
              <w:left w:val="single" w:sz="6" w:space="0" w:color="auto"/>
              <w:bottom w:val="single" w:sz="6" w:space="0" w:color="auto"/>
              <w:right w:val="single" w:sz="6" w:space="0" w:color="auto"/>
            </w:tcBorders>
            <w:shd w:val="pct10" w:color="auto" w:fill="FFFFFF"/>
          </w:tcPr>
          <w:p w:rsidR="00953CA7" w:rsidRPr="00FA3856" w:rsidRDefault="00953CA7" w:rsidP="00DD6DC8">
            <w:pPr>
              <w:pStyle w:val="PSDS-CorpodeTexto0"/>
              <w:jc w:val="center"/>
              <w:rPr>
                <w:rFonts w:ascii="Times New Roman" w:hAnsi="Times New Roman"/>
                <w:b/>
                <w:bCs/>
              </w:rPr>
            </w:pPr>
            <w:r w:rsidRPr="00FA3856">
              <w:rPr>
                <w:rFonts w:ascii="Times New Roman" w:hAnsi="Times New Roman"/>
                <w:b/>
                <w:bCs/>
              </w:rPr>
              <w:t>Nº</w:t>
            </w:r>
          </w:p>
        </w:tc>
        <w:tc>
          <w:tcPr>
            <w:tcW w:w="2050" w:type="dxa"/>
            <w:tcBorders>
              <w:top w:val="single" w:sz="6" w:space="0" w:color="auto"/>
              <w:left w:val="single" w:sz="6" w:space="0" w:color="auto"/>
              <w:bottom w:val="single" w:sz="6" w:space="0" w:color="auto"/>
              <w:right w:val="single" w:sz="6" w:space="0" w:color="auto"/>
            </w:tcBorders>
            <w:shd w:val="pct10" w:color="auto" w:fill="FFFFFF"/>
          </w:tcPr>
          <w:p w:rsidR="00953CA7" w:rsidRPr="00FA3856" w:rsidRDefault="00953CA7" w:rsidP="00DD6DC8">
            <w:pPr>
              <w:pStyle w:val="PSDS-CorpodeTexto0"/>
              <w:jc w:val="center"/>
              <w:rPr>
                <w:rFonts w:ascii="Times New Roman" w:hAnsi="Times New Roman"/>
                <w:b/>
                <w:bCs/>
              </w:rPr>
            </w:pPr>
            <w:r w:rsidRPr="00FA3856">
              <w:rPr>
                <w:rFonts w:ascii="Times New Roman" w:hAnsi="Times New Roman"/>
                <w:b/>
                <w:bCs/>
              </w:rPr>
              <w:t>Campo</w:t>
            </w:r>
          </w:p>
        </w:tc>
        <w:tc>
          <w:tcPr>
            <w:tcW w:w="12997" w:type="dxa"/>
            <w:tcBorders>
              <w:top w:val="single" w:sz="6" w:space="0" w:color="auto"/>
              <w:left w:val="single" w:sz="6" w:space="0" w:color="auto"/>
              <w:bottom w:val="single" w:sz="6" w:space="0" w:color="auto"/>
              <w:right w:val="single" w:sz="6" w:space="0" w:color="auto"/>
            </w:tcBorders>
            <w:shd w:val="pct10" w:color="auto" w:fill="FFFFFF"/>
          </w:tcPr>
          <w:p w:rsidR="00953CA7" w:rsidRPr="00FA3856" w:rsidRDefault="00953CA7" w:rsidP="00DD6DC8">
            <w:pPr>
              <w:pStyle w:val="PSDS-CorpodeTexto0"/>
              <w:jc w:val="center"/>
              <w:rPr>
                <w:rFonts w:ascii="Times New Roman" w:hAnsi="Times New Roman"/>
                <w:b/>
                <w:bCs/>
              </w:rPr>
            </w:pPr>
            <w:r w:rsidRPr="00FA3856">
              <w:rPr>
                <w:rFonts w:ascii="Times New Roman" w:hAnsi="Times New Roman"/>
                <w:b/>
                <w:bCs/>
              </w:rPr>
              <w:t>Regras de Validação do Campo</w:t>
            </w:r>
          </w:p>
        </w:tc>
        <w:tc>
          <w:tcPr>
            <w:tcW w:w="709" w:type="dxa"/>
            <w:tcBorders>
              <w:top w:val="single" w:sz="6" w:space="0" w:color="auto"/>
              <w:left w:val="single" w:sz="6" w:space="0" w:color="auto"/>
              <w:bottom w:val="single" w:sz="6" w:space="0" w:color="auto"/>
              <w:right w:val="single" w:sz="6" w:space="0" w:color="auto"/>
            </w:tcBorders>
            <w:shd w:val="pct10" w:color="auto" w:fill="FFFFFF"/>
          </w:tcPr>
          <w:p w:rsidR="00953CA7" w:rsidRPr="00FA3856" w:rsidRDefault="00953CA7" w:rsidP="00DD6DC8">
            <w:pPr>
              <w:pStyle w:val="PSDS-CorpodeTexto0"/>
              <w:jc w:val="center"/>
              <w:rPr>
                <w:rFonts w:ascii="Times New Roman" w:hAnsi="Times New Roman"/>
                <w:b/>
                <w:bCs/>
              </w:rPr>
            </w:pPr>
            <w:r w:rsidRPr="00FA3856">
              <w:rPr>
                <w:rFonts w:ascii="Times New Roman" w:hAnsi="Times New Roman"/>
                <w:b/>
                <w:bCs/>
              </w:rPr>
              <w:t>Tipo</w:t>
            </w:r>
          </w:p>
        </w:tc>
      </w:tr>
      <w:tr w:rsidR="00953CA7" w:rsidRPr="00FA3856" w:rsidTr="006A4D3C">
        <w:trPr>
          <w:trHeight w:val="20"/>
          <w:jc w:val="center"/>
        </w:trPr>
        <w:tc>
          <w:tcPr>
            <w:tcW w:w="614" w:type="dxa"/>
            <w:tcBorders>
              <w:top w:val="single" w:sz="6" w:space="0" w:color="auto"/>
              <w:left w:val="single" w:sz="6" w:space="0" w:color="auto"/>
              <w:bottom w:val="single" w:sz="6" w:space="0" w:color="auto"/>
              <w:right w:val="single" w:sz="6" w:space="0" w:color="auto"/>
            </w:tcBorders>
          </w:tcPr>
          <w:p w:rsidR="00953CA7" w:rsidRPr="00FA3856" w:rsidRDefault="00067005" w:rsidP="00067005">
            <w:pPr>
              <w:pStyle w:val="PSDS-CorpodeTexto0"/>
              <w:suppressAutoHyphens w:val="0"/>
              <w:rPr>
                <w:rFonts w:ascii="Times New Roman" w:hAnsi="Times New Roman"/>
                <w:b/>
                <w:bCs/>
                <w:lang w:val="pt-PT"/>
              </w:rPr>
            </w:pPr>
            <w:r w:rsidRPr="00FA3856">
              <w:rPr>
                <w:rFonts w:ascii="Times New Roman" w:hAnsi="Times New Roman"/>
                <w:b/>
                <w:bCs/>
                <w:lang w:val="pt-PT"/>
              </w:rPr>
              <w:t>6</w:t>
            </w:r>
          </w:p>
        </w:tc>
        <w:tc>
          <w:tcPr>
            <w:tcW w:w="2050" w:type="dxa"/>
            <w:tcBorders>
              <w:top w:val="single" w:sz="6" w:space="0" w:color="auto"/>
              <w:left w:val="single" w:sz="6" w:space="0" w:color="auto"/>
              <w:bottom w:val="single" w:sz="6" w:space="0" w:color="auto"/>
              <w:right w:val="single" w:sz="6" w:space="0" w:color="auto"/>
            </w:tcBorders>
          </w:tcPr>
          <w:p w:rsidR="00953CA7" w:rsidRPr="00FA3856" w:rsidRDefault="00953CA7" w:rsidP="00953CA7">
            <w:pPr>
              <w:pStyle w:val="PSDS-CorpodeTexto0"/>
              <w:rPr>
                <w:rFonts w:ascii="Times New Roman" w:hAnsi="Times New Roman"/>
                <w:b/>
                <w:bCs/>
                <w:lang w:val="pt-PT"/>
              </w:rPr>
            </w:pPr>
            <w:r w:rsidRPr="00FA3856">
              <w:rPr>
                <w:rFonts w:ascii="Times New Roman" w:hAnsi="Times New Roman"/>
                <w:lang w:val="pt-PT"/>
              </w:rPr>
              <w:t>FORMA_APUR</w:t>
            </w:r>
          </w:p>
        </w:tc>
        <w:tc>
          <w:tcPr>
            <w:tcW w:w="12997" w:type="dxa"/>
            <w:tcBorders>
              <w:top w:val="single" w:sz="6" w:space="0" w:color="auto"/>
              <w:left w:val="single" w:sz="6" w:space="0" w:color="auto"/>
              <w:bottom w:val="single" w:sz="6" w:space="0" w:color="auto"/>
              <w:right w:val="single" w:sz="6" w:space="0" w:color="auto"/>
            </w:tcBorders>
          </w:tcPr>
          <w:p w:rsidR="003D58AC" w:rsidRPr="00FA3856" w:rsidRDefault="007D0E74" w:rsidP="00DD6DC8">
            <w:pPr>
              <w:pStyle w:val="PSDS-CorpodeTexto0"/>
              <w:jc w:val="both"/>
              <w:rPr>
                <w:rStyle w:val="Hyperlink"/>
                <w:rFonts w:ascii="Times New Roman" w:hAnsi="Times New Roman"/>
                <w:bCs/>
                <w:color w:val="auto"/>
                <w:lang w:val="pt-PT"/>
              </w:rPr>
            </w:pPr>
            <w:hyperlink w:anchor="REGRA_FORMA_APUR_VALIDA" w:history="1">
              <w:r w:rsidR="00953CA7" w:rsidRPr="00FA3856">
                <w:rPr>
                  <w:rStyle w:val="Hyperlink"/>
                  <w:rFonts w:ascii="Times New Roman" w:hAnsi="Times New Roman"/>
                  <w:b/>
                  <w:bCs/>
                  <w:color w:val="auto"/>
                  <w:lang w:val="pt-PT"/>
                </w:rPr>
                <w:t>REGRA_FORMA_APUR_VALIDA</w:t>
              </w:r>
            </w:hyperlink>
            <w:r w:rsidR="00067005" w:rsidRPr="00FA3856">
              <w:rPr>
                <w:rStyle w:val="Hyperlink"/>
                <w:rFonts w:ascii="Times New Roman" w:hAnsi="Times New Roman"/>
                <w:b/>
                <w:bCs/>
                <w:color w:val="auto"/>
                <w:lang w:val="pt-PT"/>
              </w:rPr>
              <w:t xml:space="preserve">: </w:t>
            </w:r>
            <w:r w:rsidR="003D58AC" w:rsidRPr="00FA3856">
              <w:rPr>
                <w:rStyle w:val="Hyperlink"/>
                <w:rFonts w:ascii="Times New Roman" w:hAnsi="Times New Roman"/>
                <w:bCs/>
                <w:color w:val="auto"/>
                <w:lang w:val="pt-PT"/>
              </w:rPr>
              <w:t>Verifica:</w:t>
            </w:r>
            <w:r w:rsidR="00067005" w:rsidRPr="00FA3856">
              <w:rPr>
                <w:rStyle w:val="Hyperlink"/>
                <w:rFonts w:ascii="Times New Roman" w:hAnsi="Times New Roman"/>
                <w:bCs/>
                <w:color w:val="auto"/>
                <w:lang w:val="pt-PT"/>
              </w:rPr>
              <w:t xml:space="preserve"> </w:t>
            </w:r>
          </w:p>
          <w:p w:rsidR="00953CA7" w:rsidRPr="00FA3856" w:rsidRDefault="004F5915" w:rsidP="00DD6DC8">
            <w:pPr>
              <w:pStyle w:val="PSDS-CorpodeTexto0"/>
              <w:jc w:val="both"/>
              <w:rPr>
                <w:rStyle w:val="Hyperlink"/>
                <w:rFonts w:ascii="Times New Roman" w:hAnsi="Times New Roman"/>
                <w:bCs/>
                <w:color w:val="auto"/>
                <w:lang w:val="pt-PT"/>
              </w:rPr>
            </w:pPr>
            <w:r w:rsidRPr="00FA3856">
              <w:rPr>
                <w:rStyle w:val="Hyperlink"/>
                <w:rFonts w:ascii="Times New Roman" w:hAnsi="Times New Roman"/>
                <w:bCs/>
                <w:color w:val="auto"/>
                <w:lang w:val="pt-PT"/>
              </w:rPr>
              <w:t>- Q</w:t>
            </w:r>
            <w:r w:rsidR="003D58AC" w:rsidRPr="00FA3856">
              <w:rPr>
                <w:rStyle w:val="Hyperlink"/>
                <w:rFonts w:ascii="Times New Roman" w:hAnsi="Times New Roman"/>
                <w:bCs/>
                <w:color w:val="auto"/>
                <w:lang w:val="pt-PT"/>
              </w:rPr>
              <w:t xml:space="preserve">uando </w:t>
            </w:r>
            <w:r w:rsidR="008D5637" w:rsidRPr="00FA3856">
              <w:rPr>
                <w:rStyle w:val="Hyperlink"/>
                <w:rFonts w:ascii="Times New Roman" w:hAnsi="Times New Roman"/>
                <w:bCs/>
                <w:color w:val="auto"/>
                <w:lang w:val="pt-PT"/>
              </w:rPr>
              <w:t xml:space="preserve">0010.FORMA_APUR </w:t>
            </w:r>
            <w:r w:rsidR="00067005" w:rsidRPr="00FA3856">
              <w:rPr>
                <w:rStyle w:val="Hyperlink"/>
                <w:rFonts w:ascii="Times New Roman" w:hAnsi="Times New Roman"/>
                <w:bCs/>
                <w:color w:val="auto"/>
                <w:lang w:val="pt-PT"/>
              </w:rPr>
              <w:t>igual a “A” (Anual)</w:t>
            </w:r>
            <w:r w:rsidR="003D58AC" w:rsidRPr="00FA3856">
              <w:rPr>
                <w:rStyle w:val="Hyperlink"/>
                <w:rFonts w:ascii="Times New Roman" w:hAnsi="Times New Roman"/>
                <w:bCs/>
                <w:color w:val="auto"/>
                <w:lang w:val="pt-PT"/>
              </w:rPr>
              <w:t xml:space="preserve">, se </w:t>
            </w:r>
            <w:r w:rsidR="008D5637" w:rsidRPr="00FA3856">
              <w:rPr>
                <w:rStyle w:val="Hyperlink"/>
                <w:rFonts w:ascii="Times New Roman" w:hAnsi="Times New Roman"/>
                <w:bCs/>
                <w:color w:val="auto"/>
                <w:lang w:val="pt-PT"/>
              </w:rPr>
              <w:t xml:space="preserve">0010.FORMA_TRIB </w:t>
            </w:r>
            <w:r w:rsidR="00F663C5" w:rsidRPr="00FA3856">
              <w:rPr>
                <w:rStyle w:val="Hyperlink"/>
                <w:rFonts w:ascii="Times New Roman" w:hAnsi="Times New Roman"/>
                <w:bCs/>
                <w:color w:val="auto"/>
                <w:lang w:val="pt-PT"/>
              </w:rPr>
              <w:t>igual a “1” (Lucro Real) ou “2</w:t>
            </w:r>
            <w:r w:rsidR="00067005" w:rsidRPr="00FA3856">
              <w:rPr>
                <w:rStyle w:val="Hyperlink"/>
                <w:rFonts w:ascii="Times New Roman" w:hAnsi="Times New Roman"/>
                <w:bCs/>
                <w:color w:val="auto"/>
                <w:lang w:val="pt-PT"/>
              </w:rPr>
              <w:t xml:space="preserve">” (Lucro Real/Arbitrado) ou </w:t>
            </w:r>
            <w:r w:rsidR="003D58AC" w:rsidRPr="00FA3856">
              <w:rPr>
                <w:rStyle w:val="Hyperlink"/>
                <w:rFonts w:ascii="Times New Roman" w:hAnsi="Times New Roman"/>
                <w:bCs/>
                <w:color w:val="auto"/>
                <w:lang w:val="pt-PT"/>
              </w:rPr>
              <w:t>[</w:t>
            </w:r>
            <w:r w:rsidR="00F663C5" w:rsidRPr="00FA3856">
              <w:rPr>
                <w:rStyle w:val="Hyperlink"/>
                <w:rFonts w:ascii="Times New Roman" w:hAnsi="Times New Roman"/>
                <w:bCs/>
                <w:color w:val="auto"/>
                <w:lang w:val="pt-PT"/>
              </w:rPr>
              <w:t>“3” (Lucro Presumido/Real) ou “4</w:t>
            </w:r>
            <w:r w:rsidR="00067005" w:rsidRPr="00FA3856">
              <w:rPr>
                <w:rStyle w:val="Hyperlink"/>
                <w:rFonts w:ascii="Times New Roman" w:hAnsi="Times New Roman"/>
                <w:bCs/>
                <w:color w:val="auto"/>
                <w:lang w:val="pt-PT"/>
              </w:rPr>
              <w:t xml:space="preserve">” (Lucro Presumido/Real/Arbitrado) e </w:t>
            </w:r>
            <w:r w:rsidR="008D5637" w:rsidRPr="00FA3856">
              <w:rPr>
                <w:rStyle w:val="Hyperlink"/>
                <w:rFonts w:ascii="Times New Roman" w:hAnsi="Times New Roman"/>
                <w:bCs/>
                <w:color w:val="auto"/>
                <w:lang w:val="pt-PT"/>
              </w:rPr>
              <w:t xml:space="preserve">0010.OPT_REFIS </w:t>
            </w:r>
            <w:r w:rsidR="00067005" w:rsidRPr="00FA3856">
              <w:rPr>
                <w:rStyle w:val="Hyperlink"/>
                <w:rFonts w:ascii="Times New Roman" w:hAnsi="Times New Roman"/>
                <w:bCs/>
                <w:color w:val="auto"/>
                <w:lang w:val="pt-PT"/>
              </w:rPr>
              <w:t xml:space="preserve">igual </w:t>
            </w:r>
            <w:r w:rsidRPr="00FA3856">
              <w:rPr>
                <w:rStyle w:val="Hyperlink"/>
                <w:rFonts w:ascii="Times New Roman" w:hAnsi="Times New Roman"/>
                <w:bCs/>
                <w:color w:val="auto"/>
                <w:lang w:val="pt-PT"/>
              </w:rPr>
              <w:t xml:space="preserve">a </w:t>
            </w:r>
            <w:r w:rsidR="00067005" w:rsidRPr="00FA3856">
              <w:rPr>
                <w:rStyle w:val="Hyperlink"/>
                <w:rFonts w:ascii="Times New Roman" w:hAnsi="Times New Roman"/>
                <w:bCs/>
                <w:color w:val="auto"/>
                <w:lang w:val="pt-PT"/>
              </w:rPr>
              <w:t>“S”</w:t>
            </w:r>
            <w:r w:rsidR="003D58AC" w:rsidRPr="00FA3856">
              <w:rPr>
                <w:rStyle w:val="Hyperlink"/>
                <w:rFonts w:ascii="Times New Roman" w:hAnsi="Times New Roman"/>
                <w:bCs/>
                <w:color w:val="auto"/>
                <w:lang w:val="pt-PT"/>
              </w:rPr>
              <w:t>]</w:t>
            </w:r>
            <w:r w:rsidRPr="00FA3856">
              <w:rPr>
                <w:rStyle w:val="Hyperlink"/>
                <w:rFonts w:ascii="Times New Roman" w:hAnsi="Times New Roman"/>
                <w:bCs/>
                <w:color w:val="auto"/>
                <w:lang w:val="pt-PT"/>
              </w:rPr>
              <w:t>.</w:t>
            </w:r>
          </w:p>
          <w:p w:rsidR="003D58AC" w:rsidRPr="00FA3856" w:rsidRDefault="003D58AC" w:rsidP="00DD6DC8">
            <w:pPr>
              <w:pStyle w:val="PSDS-CorpodeTexto0"/>
              <w:jc w:val="both"/>
              <w:rPr>
                <w:rStyle w:val="Hyperlink"/>
                <w:rFonts w:ascii="Times New Roman" w:hAnsi="Times New Roman"/>
                <w:bCs/>
                <w:color w:val="auto"/>
                <w:lang w:val="pt-PT"/>
              </w:rPr>
            </w:pPr>
          </w:p>
          <w:p w:rsidR="003D58AC" w:rsidRPr="00FA3856" w:rsidRDefault="003D58AC" w:rsidP="00DD6DC8">
            <w:pPr>
              <w:pStyle w:val="PSDS-CorpodeTexto0"/>
              <w:jc w:val="both"/>
              <w:rPr>
                <w:rFonts w:ascii="Times New Roman" w:hAnsi="Times New Roman"/>
                <w:bCs/>
                <w:lang w:val="pt-PT"/>
              </w:rPr>
            </w:pPr>
            <w:r w:rsidRPr="00FA3856">
              <w:rPr>
                <w:rStyle w:val="Hyperlink"/>
                <w:rFonts w:ascii="Times New Roman" w:hAnsi="Times New Roman"/>
                <w:bCs/>
                <w:color w:val="auto"/>
                <w:lang w:val="pt-PT"/>
              </w:rPr>
              <w:t xml:space="preserve">- quando </w:t>
            </w:r>
            <w:r w:rsidR="008D5637" w:rsidRPr="00FA3856">
              <w:rPr>
                <w:rStyle w:val="Hyperlink"/>
                <w:rFonts w:ascii="Times New Roman" w:hAnsi="Times New Roman"/>
                <w:bCs/>
                <w:color w:val="auto"/>
                <w:lang w:val="pt-PT"/>
              </w:rPr>
              <w:t xml:space="preserve">0010.FORMA_APUR </w:t>
            </w:r>
            <w:r w:rsidRPr="00FA3856">
              <w:rPr>
                <w:rStyle w:val="Hyperlink"/>
                <w:rFonts w:ascii="Times New Roman" w:hAnsi="Times New Roman"/>
                <w:bCs/>
                <w:color w:val="auto"/>
                <w:lang w:val="pt-PT"/>
              </w:rPr>
              <w:t xml:space="preserve">igual a “T” (Trimestral), se </w:t>
            </w:r>
            <w:r w:rsidR="008D5637" w:rsidRPr="00FA3856">
              <w:rPr>
                <w:rStyle w:val="Hyperlink"/>
                <w:rFonts w:ascii="Times New Roman" w:hAnsi="Times New Roman"/>
                <w:bCs/>
                <w:color w:val="auto"/>
                <w:lang w:val="pt-PT"/>
              </w:rPr>
              <w:t xml:space="preserve">0010.FORMA_TRIB </w:t>
            </w:r>
            <w:r w:rsidR="001D7B32" w:rsidRPr="00FA3856">
              <w:rPr>
                <w:rStyle w:val="Hyperlink"/>
                <w:rFonts w:ascii="Times New Roman" w:hAnsi="Times New Roman"/>
                <w:bCs/>
                <w:color w:val="auto"/>
                <w:lang w:val="pt-PT"/>
              </w:rPr>
              <w:t>igual a “1” (</w:t>
            </w:r>
            <w:r w:rsidR="00F663C5" w:rsidRPr="00FA3856">
              <w:rPr>
                <w:rStyle w:val="Hyperlink"/>
                <w:rFonts w:ascii="Times New Roman" w:hAnsi="Times New Roman"/>
                <w:bCs/>
                <w:color w:val="auto"/>
                <w:lang w:val="pt-PT"/>
              </w:rPr>
              <w:t>Lucro Real) ou “2” (Lucro Real/Arbitrado) ou “3” (Lucro Presumido/Real) ou “4</w:t>
            </w:r>
            <w:r w:rsidRPr="00FA3856">
              <w:rPr>
                <w:rStyle w:val="Hyperlink"/>
                <w:rFonts w:ascii="Times New Roman" w:hAnsi="Times New Roman"/>
                <w:bCs/>
                <w:color w:val="auto"/>
                <w:lang w:val="pt-PT"/>
              </w:rPr>
              <w:t>” (Lucro</w:t>
            </w:r>
            <w:r w:rsidR="00F663C5" w:rsidRPr="00FA3856">
              <w:rPr>
                <w:rStyle w:val="Hyperlink"/>
                <w:rFonts w:ascii="Times New Roman" w:hAnsi="Times New Roman"/>
                <w:bCs/>
                <w:color w:val="auto"/>
                <w:lang w:val="pt-PT"/>
              </w:rPr>
              <w:t xml:space="preserve"> Presumido/Real/Arbitrado) ou “5” (Lucro Presumido) ou “6” (Lucro Arbitrado) ou “7</w:t>
            </w:r>
            <w:r w:rsidRPr="00FA3856">
              <w:rPr>
                <w:rStyle w:val="Hyperlink"/>
                <w:rFonts w:ascii="Times New Roman" w:hAnsi="Times New Roman"/>
                <w:bCs/>
                <w:color w:val="auto"/>
                <w:lang w:val="pt-PT"/>
              </w:rPr>
              <w:t>” (Lucro Presumido/Arbitrado).</w:t>
            </w:r>
          </w:p>
          <w:p w:rsidR="00953CA7" w:rsidRPr="00FA3856" w:rsidRDefault="00953CA7" w:rsidP="00DD6DC8">
            <w:pPr>
              <w:pStyle w:val="PSDS-CorpodeTexto0"/>
              <w:jc w:val="both"/>
              <w:rPr>
                <w:rFonts w:ascii="Times New Roman" w:hAnsi="Times New Roman"/>
                <w:b/>
                <w:bCs/>
                <w:lang w:val="pt-PT"/>
              </w:rPr>
            </w:pPr>
          </w:p>
          <w:p w:rsidR="00953CA7" w:rsidRPr="00FA3856" w:rsidRDefault="007D0E74" w:rsidP="00DD6DC8">
            <w:pPr>
              <w:pStyle w:val="PSDS-CorpodeTexto0"/>
              <w:jc w:val="both"/>
              <w:rPr>
                <w:rFonts w:ascii="Times New Roman" w:hAnsi="Times New Roman"/>
                <w:bCs/>
                <w:lang w:val="pt-PT"/>
              </w:rPr>
            </w:pPr>
            <w:hyperlink w:anchor="REGRA_MES_BAL_RED_NAO_PREENCHER" w:history="1">
              <w:r w:rsidR="0034130C">
                <w:rPr>
                  <w:rStyle w:val="Hyperlink"/>
                  <w:rFonts w:ascii="Times New Roman" w:hAnsi="Times New Roman"/>
                  <w:b/>
                  <w:color w:val="auto"/>
                  <w:lang w:val="pt-PT"/>
                </w:rPr>
                <w:t>REGRA_</w:t>
              </w:r>
              <w:r w:rsidR="00953CA7" w:rsidRPr="00FA3856">
                <w:rPr>
                  <w:rStyle w:val="Hyperlink"/>
                  <w:rFonts w:ascii="Times New Roman" w:hAnsi="Times New Roman"/>
                  <w:b/>
                  <w:color w:val="auto"/>
                  <w:lang w:val="pt-PT"/>
                </w:rPr>
                <w:t>NAO_PREENCHER</w:t>
              </w:r>
            </w:hyperlink>
            <w:r w:rsidR="003D58AC" w:rsidRPr="00FA3856">
              <w:rPr>
                <w:rFonts w:ascii="Times New Roman" w:hAnsi="Times New Roman"/>
                <w:b/>
                <w:lang w:val="pt-PT"/>
              </w:rPr>
              <w:t xml:space="preserve">_IMUNE: </w:t>
            </w:r>
            <w:r w:rsidR="003D58AC" w:rsidRPr="00FA3856">
              <w:rPr>
                <w:rFonts w:ascii="Times New Roman" w:hAnsi="Times New Roman"/>
                <w:lang w:val="pt-PT"/>
              </w:rPr>
              <w:t xml:space="preserve">Verifica, quando </w:t>
            </w:r>
            <w:r w:rsidR="00180423" w:rsidRPr="00FA3856">
              <w:rPr>
                <w:rFonts w:ascii="Times New Roman" w:hAnsi="Times New Roman"/>
                <w:lang w:val="pt-PT"/>
              </w:rPr>
              <w:t>0010.</w:t>
            </w:r>
            <w:r w:rsidR="008D5637" w:rsidRPr="00FA3856">
              <w:rPr>
                <w:rStyle w:val="Hyperlink"/>
                <w:rFonts w:ascii="Times New Roman" w:hAnsi="Times New Roman"/>
                <w:bCs/>
                <w:color w:val="auto"/>
                <w:lang w:val="pt-PT"/>
              </w:rPr>
              <w:t xml:space="preserve">FORMA_TRIB </w:t>
            </w:r>
            <w:r w:rsidR="00930931" w:rsidRPr="00FA3856">
              <w:rPr>
                <w:rStyle w:val="Hyperlink"/>
                <w:rFonts w:ascii="Times New Roman" w:hAnsi="Times New Roman"/>
                <w:bCs/>
                <w:color w:val="auto"/>
                <w:lang w:val="pt-PT"/>
              </w:rPr>
              <w:t>igual a “8” (Imune do</w:t>
            </w:r>
            <w:r w:rsidR="003D58AC" w:rsidRPr="00FA3856">
              <w:rPr>
                <w:rStyle w:val="Hyperlink"/>
                <w:rFonts w:ascii="Times New Roman" w:hAnsi="Times New Roman"/>
                <w:bCs/>
                <w:color w:val="auto"/>
                <w:lang w:val="pt-PT"/>
              </w:rPr>
              <w:t xml:space="preserve"> IRPJ) ou “9” (Isento do IPRJ), se </w:t>
            </w:r>
            <w:r w:rsidR="00930931" w:rsidRPr="00FA3856">
              <w:rPr>
                <w:rStyle w:val="Hyperlink"/>
                <w:rFonts w:ascii="Times New Roman" w:hAnsi="Times New Roman"/>
                <w:bCs/>
                <w:color w:val="auto"/>
                <w:lang w:val="pt-PT"/>
              </w:rPr>
              <w:t>0010.</w:t>
            </w:r>
            <w:r w:rsidR="003D58AC" w:rsidRPr="00FA3856">
              <w:rPr>
                <w:rStyle w:val="Hyperlink"/>
                <w:rFonts w:ascii="Times New Roman" w:hAnsi="Times New Roman"/>
                <w:bCs/>
                <w:color w:val="auto"/>
                <w:lang w:val="pt-PT"/>
              </w:rPr>
              <w:t>FORMA_APUR não foi preenchido.</w:t>
            </w:r>
          </w:p>
        </w:tc>
        <w:tc>
          <w:tcPr>
            <w:tcW w:w="709" w:type="dxa"/>
            <w:tcBorders>
              <w:top w:val="single" w:sz="6" w:space="0" w:color="auto"/>
              <w:left w:val="single" w:sz="6" w:space="0" w:color="auto"/>
              <w:bottom w:val="single" w:sz="6" w:space="0" w:color="auto"/>
              <w:right w:val="single" w:sz="6" w:space="0" w:color="auto"/>
            </w:tcBorders>
          </w:tcPr>
          <w:p w:rsidR="00953CA7" w:rsidRPr="00FA3856" w:rsidRDefault="00953CA7" w:rsidP="00953CA7">
            <w:pPr>
              <w:pStyle w:val="PSDS-CorpodeTexto0"/>
              <w:rPr>
                <w:rFonts w:ascii="Times New Roman" w:hAnsi="Times New Roman"/>
                <w:lang w:val="pt-PT"/>
              </w:rPr>
            </w:pPr>
            <w:r w:rsidRPr="00FA3856">
              <w:rPr>
                <w:rFonts w:ascii="Times New Roman" w:hAnsi="Times New Roman"/>
                <w:lang w:val="pt-PT"/>
              </w:rPr>
              <w:t>Erro</w:t>
            </w:r>
          </w:p>
          <w:p w:rsidR="003D58AC" w:rsidRPr="00FA3856" w:rsidRDefault="003D58AC" w:rsidP="00953CA7">
            <w:pPr>
              <w:pStyle w:val="PSDS-CorpodeTexto0"/>
              <w:rPr>
                <w:rFonts w:ascii="Times New Roman" w:hAnsi="Times New Roman"/>
                <w:lang w:val="pt-PT"/>
              </w:rPr>
            </w:pPr>
          </w:p>
          <w:p w:rsidR="003D58AC" w:rsidRPr="00FA3856" w:rsidRDefault="003D58AC" w:rsidP="00953CA7">
            <w:pPr>
              <w:pStyle w:val="PSDS-CorpodeTexto0"/>
              <w:rPr>
                <w:rFonts w:ascii="Times New Roman" w:hAnsi="Times New Roman"/>
                <w:lang w:val="pt-PT"/>
              </w:rPr>
            </w:pPr>
          </w:p>
          <w:p w:rsidR="003D58AC" w:rsidRPr="00FA3856" w:rsidRDefault="003D58AC" w:rsidP="00953CA7">
            <w:pPr>
              <w:pStyle w:val="PSDS-CorpodeTexto0"/>
              <w:rPr>
                <w:rFonts w:ascii="Times New Roman" w:hAnsi="Times New Roman"/>
                <w:lang w:val="pt-PT"/>
              </w:rPr>
            </w:pPr>
          </w:p>
          <w:p w:rsidR="003D58AC" w:rsidRPr="00FA3856" w:rsidRDefault="003D58AC" w:rsidP="00953CA7">
            <w:pPr>
              <w:pStyle w:val="PSDS-CorpodeTexto0"/>
              <w:rPr>
                <w:rFonts w:ascii="Times New Roman" w:hAnsi="Times New Roman"/>
                <w:lang w:val="pt-PT"/>
              </w:rPr>
            </w:pPr>
            <w:r w:rsidRPr="00FA3856">
              <w:rPr>
                <w:rFonts w:ascii="Times New Roman" w:hAnsi="Times New Roman"/>
                <w:lang w:val="pt-PT"/>
              </w:rPr>
              <w:t>Erro</w:t>
            </w:r>
          </w:p>
          <w:p w:rsidR="00930931" w:rsidRPr="00FA3856" w:rsidRDefault="00930931" w:rsidP="00953CA7">
            <w:pPr>
              <w:pStyle w:val="PSDS-CorpodeTexto0"/>
              <w:rPr>
                <w:rFonts w:ascii="Times New Roman" w:hAnsi="Times New Roman"/>
                <w:lang w:val="pt-PT"/>
              </w:rPr>
            </w:pPr>
          </w:p>
          <w:p w:rsidR="00930931" w:rsidRPr="00FA3856" w:rsidRDefault="00930931" w:rsidP="00953CA7">
            <w:pPr>
              <w:pStyle w:val="PSDS-CorpodeTexto0"/>
              <w:rPr>
                <w:rFonts w:ascii="Times New Roman" w:hAnsi="Times New Roman"/>
                <w:lang w:val="pt-PT"/>
              </w:rPr>
            </w:pPr>
          </w:p>
          <w:p w:rsidR="00930931" w:rsidRPr="00FA3856" w:rsidRDefault="00930931" w:rsidP="00953CA7">
            <w:pPr>
              <w:pStyle w:val="PSDS-CorpodeTexto0"/>
              <w:rPr>
                <w:rFonts w:ascii="Times New Roman" w:hAnsi="Times New Roman"/>
                <w:lang w:val="pt-PT"/>
              </w:rPr>
            </w:pPr>
            <w:r w:rsidRPr="00FA3856">
              <w:rPr>
                <w:rFonts w:ascii="Times New Roman" w:hAnsi="Times New Roman"/>
                <w:lang w:val="pt-PT"/>
              </w:rPr>
              <w:t>Erro</w:t>
            </w:r>
          </w:p>
        </w:tc>
      </w:tr>
      <w:tr w:rsidR="00953CA7" w:rsidRPr="00FA3856" w:rsidTr="006A4D3C">
        <w:trPr>
          <w:trHeight w:val="20"/>
          <w:jc w:val="center"/>
        </w:trPr>
        <w:tc>
          <w:tcPr>
            <w:tcW w:w="614" w:type="dxa"/>
            <w:tcBorders>
              <w:top w:val="single" w:sz="6" w:space="0" w:color="auto"/>
              <w:left w:val="single" w:sz="6" w:space="0" w:color="auto"/>
              <w:bottom w:val="single" w:sz="6" w:space="0" w:color="auto"/>
              <w:right w:val="single" w:sz="6" w:space="0" w:color="auto"/>
            </w:tcBorders>
          </w:tcPr>
          <w:p w:rsidR="00953CA7" w:rsidRPr="00FA3856" w:rsidRDefault="00067005" w:rsidP="00067005">
            <w:pPr>
              <w:pStyle w:val="PSDS-CorpodeTexto0"/>
              <w:suppressAutoHyphens w:val="0"/>
              <w:rPr>
                <w:rFonts w:ascii="Times New Roman" w:hAnsi="Times New Roman"/>
                <w:b/>
                <w:bCs/>
                <w:lang w:val="pt-PT"/>
              </w:rPr>
            </w:pPr>
            <w:r w:rsidRPr="00FA3856">
              <w:rPr>
                <w:rFonts w:ascii="Times New Roman" w:hAnsi="Times New Roman"/>
                <w:b/>
                <w:bCs/>
                <w:lang w:val="pt-PT"/>
              </w:rPr>
              <w:t>7</w:t>
            </w:r>
          </w:p>
        </w:tc>
        <w:tc>
          <w:tcPr>
            <w:tcW w:w="2050" w:type="dxa"/>
            <w:tcBorders>
              <w:top w:val="single" w:sz="6" w:space="0" w:color="auto"/>
              <w:left w:val="single" w:sz="6" w:space="0" w:color="auto"/>
              <w:bottom w:val="single" w:sz="6" w:space="0" w:color="auto"/>
              <w:right w:val="single" w:sz="6" w:space="0" w:color="auto"/>
            </w:tcBorders>
          </w:tcPr>
          <w:p w:rsidR="00953CA7" w:rsidRPr="00FA3856" w:rsidRDefault="00953CA7" w:rsidP="00953CA7">
            <w:pPr>
              <w:pStyle w:val="PSDS-CorpodeTexto0"/>
              <w:rPr>
                <w:rFonts w:ascii="Times New Roman" w:hAnsi="Times New Roman"/>
                <w:b/>
                <w:bCs/>
                <w:lang w:val="en-US"/>
              </w:rPr>
            </w:pPr>
            <w:r w:rsidRPr="00FA3856">
              <w:rPr>
                <w:rFonts w:ascii="Times New Roman" w:hAnsi="Times New Roman"/>
                <w:lang w:val="en-US"/>
              </w:rPr>
              <w:t xml:space="preserve">COD_QUALIF_PJ </w:t>
            </w:r>
          </w:p>
        </w:tc>
        <w:tc>
          <w:tcPr>
            <w:tcW w:w="12997" w:type="dxa"/>
            <w:tcBorders>
              <w:top w:val="single" w:sz="6" w:space="0" w:color="auto"/>
              <w:left w:val="single" w:sz="6" w:space="0" w:color="auto"/>
              <w:bottom w:val="single" w:sz="6" w:space="0" w:color="auto"/>
              <w:right w:val="single" w:sz="6" w:space="0" w:color="auto"/>
            </w:tcBorders>
          </w:tcPr>
          <w:p w:rsidR="008B1803" w:rsidRPr="00FA3856" w:rsidRDefault="007D0E74" w:rsidP="00DD6DC8">
            <w:pPr>
              <w:pStyle w:val="PSDS-CorpodeTexto0"/>
              <w:jc w:val="both"/>
              <w:rPr>
                <w:rStyle w:val="Hyperlink"/>
                <w:rFonts w:ascii="Times New Roman" w:hAnsi="Times New Roman"/>
                <w:bCs/>
                <w:color w:val="auto"/>
                <w:lang w:val="pt-PT"/>
              </w:rPr>
            </w:pPr>
            <w:hyperlink w:anchor="REGRA_COD_QUALIF_PJ" w:history="1">
              <w:r w:rsidR="00953CA7" w:rsidRPr="00FA3856">
                <w:rPr>
                  <w:rStyle w:val="Hyperlink"/>
                  <w:rFonts w:ascii="Times New Roman" w:hAnsi="Times New Roman"/>
                  <w:b/>
                  <w:color w:val="auto"/>
                  <w:shd w:val="clear" w:color="auto" w:fill="FFFFFF"/>
                </w:rPr>
                <w:t>REGRA_COD_QUALIF_PJ</w:t>
              </w:r>
            </w:hyperlink>
            <w:r w:rsidR="00AF3A60" w:rsidRPr="00FA3856">
              <w:rPr>
                <w:rStyle w:val="Hyperlink"/>
                <w:rFonts w:ascii="Times New Roman" w:hAnsi="Times New Roman"/>
                <w:b/>
                <w:color w:val="auto"/>
                <w:shd w:val="clear" w:color="auto" w:fill="FFFFFF"/>
              </w:rPr>
              <w:t xml:space="preserve">: </w:t>
            </w:r>
            <w:r w:rsidR="00180423" w:rsidRPr="00FA3856">
              <w:rPr>
                <w:rStyle w:val="Hyperlink"/>
                <w:rFonts w:ascii="Times New Roman" w:hAnsi="Times New Roman"/>
                <w:color w:val="auto"/>
                <w:shd w:val="clear" w:color="auto" w:fill="FFFFFF"/>
              </w:rPr>
              <w:t>Verifica, quando 0010.</w:t>
            </w:r>
            <w:r w:rsidR="008D5637" w:rsidRPr="00FA3856">
              <w:rPr>
                <w:rStyle w:val="Hyperlink"/>
                <w:rFonts w:ascii="Times New Roman" w:hAnsi="Times New Roman"/>
                <w:bCs/>
                <w:color w:val="auto"/>
                <w:lang w:val="pt-PT"/>
              </w:rPr>
              <w:t xml:space="preserve">FORMA_TRIB </w:t>
            </w:r>
            <w:r w:rsidR="00F663C5" w:rsidRPr="00FA3856">
              <w:rPr>
                <w:rStyle w:val="Hyperlink"/>
                <w:rFonts w:ascii="Times New Roman" w:hAnsi="Times New Roman"/>
                <w:bCs/>
                <w:color w:val="auto"/>
                <w:lang w:val="pt-PT"/>
              </w:rPr>
              <w:t>igual a “3” (Lucro Presumido/Real) ou “4</w:t>
            </w:r>
            <w:r w:rsidR="00AF3A60" w:rsidRPr="00FA3856">
              <w:rPr>
                <w:rStyle w:val="Hyperlink"/>
                <w:rFonts w:ascii="Times New Roman" w:hAnsi="Times New Roman"/>
                <w:bCs/>
                <w:color w:val="auto"/>
                <w:lang w:val="pt-PT"/>
              </w:rPr>
              <w:t>” (Lucro</w:t>
            </w:r>
            <w:r w:rsidR="00F663C5" w:rsidRPr="00FA3856">
              <w:rPr>
                <w:rStyle w:val="Hyperlink"/>
                <w:rFonts w:ascii="Times New Roman" w:hAnsi="Times New Roman"/>
                <w:bCs/>
                <w:color w:val="auto"/>
                <w:lang w:val="pt-PT"/>
              </w:rPr>
              <w:t xml:space="preserve"> Presumido/Real/Arbitrado) ou “5” (Lucro Presumido) ou “7</w:t>
            </w:r>
            <w:r w:rsidR="00AF3A60" w:rsidRPr="00FA3856">
              <w:rPr>
                <w:rStyle w:val="Hyperlink"/>
                <w:rFonts w:ascii="Times New Roman" w:hAnsi="Times New Roman"/>
                <w:bCs/>
                <w:color w:val="auto"/>
                <w:lang w:val="pt-PT"/>
              </w:rPr>
              <w:t xml:space="preserve">” (Lucro Presumido/Arbitrado), se </w:t>
            </w:r>
            <w:r w:rsidR="008D5637" w:rsidRPr="00FA3856">
              <w:rPr>
                <w:rStyle w:val="Hyperlink"/>
                <w:rFonts w:ascii="Times New Roman" w:hAnsi="Times New Roman"/>
                <w:bCs/>
                <w:color w:val="auto"/>
                <w:lang w:val="pt-PT"/>
              </w:rPr>
              <w:t xml:space="preserve">0010.COD_QUALIF_PJ </w:t>
            </w:r>
            <w:r w:rsidR="00AF3A60" w:rsidRPr="00FA3856">
              <w:rPr>
                <w:rStyle w:val="Hyperlink"/>
                <w:rFonts w:ascii="Times New Roman" w:hAnsi="Times New Roman"/>
                <w:bCs/>
                <w:color w:val="auto"/>
                <w:lang w:val="pt-PT"/>
              </w:rPr>
              <w:t>é igual a “01” (PJ em geral)</w:t>
            </w:r>
            <w:r w:rsidR="001C3079">
              <w:rPr>
                <w:rStyle w:val="Hyperlink"/>
                <w:rFonts w:ascii="Times New Roman" w:hAnsi="Times New Roman"/>
                <w:bCs/>
                <w:color w:val="auto"/>
                <w:lang w:val="pt-PT"/>
              </w:rPr>
              <w:t xml:space="preserve"> ou “02” (PJ componente do sistema financeiro)</w:t>
            </w:r>
            <w:r w:rsidR="00AF3A60" w:rsidRPr="00FA3856">
              <w:rPr>
                <w:rStyle w:val="Hyperlink"/>
                <w:rFonts w:ascii="Times New Roman" w:hAnsi="Times New Roman"/>
                <w:bCs/>
                <w:color w:val="auto"/>
                <w:lang w:val="pt-PT"/>
              </w:rPr>
              <w:t>.</w:t>
            </w:r>
          </w:p>
          <w:p w:rsidR="006A4D3C" w:rsidRPr="00FA3856" w:rsidRDefault="006A4D3C" w:rsidP="00DD6DC8">
            <w:pPr>
              <w:pStyle w:val="PSDS-CorpodeTexto0"/>
              <w:jc w:val="both"/>
              <w:rPr>
                <w:rStyle w:val="Hyperlink"/>
                <w:rFonts w:ascii="Times New Roman" w:hAnsi="Times New Roman"/>
                <w:bCs/>
                <w:color w:val="auto"/>
                <w:lang w:val="pt-PT"/>
              </w:rPr>
            </w:pPr>
          </w:p>
          <w:p w:rsidR="006A4D3C" w:rsidRPr="00FA3856" w:rsidRDefault="007D0E74" w:rsidP="006A4D3C">
            <w:pPr>
              <w:pStyle w:val="PSDS-CorpodeTexto0"/>
              <w:jc w:val="both"/>
              <w:rPr>
                <w:rStyle w:val="Hyperlink"/>
                <w:rFonts w:ascii="Times New Roman" w:hAnsi="Times New Roman"/>
                <w:bCs/>
                <w:color w:val="auto"/>
                <w:lang w:val="pt-PT"/>
              </w:rPr>
            </w:pPr>
            <w:hyperlink w:anchor="REGRA_MES_BAL_RED_NAO_PREENCHER" w:history="1">
              <w:r w:rsidR="000A3908">
                <w:rPr>
                  <w:rStyle w:val="Hyperlink"/>
                  <w:rFonts w:ascii="Times New Roman" w:hAnsi="Times New Roman"/>
                  <w:b/>
                  <w:color w:val="auto"/>
                  <w:lang w:val="pt-PT"/>
                </w:rPr>
                <w:t>REGRA_</w:t>
              </w:r>
              <w:r w:rsidR="006A4D3C" w:rsidRPr="00FA3856">
                <w:rPr>
                  <w:rStyle w:val="Hyperlink"/>
                  <w:rFonts w:ascii="Times New Roman" w:hAnsi="Times New Roman"/>
                  <w:b/>
                  <w:color w:val="auto"/>
                  <w:lang w:val="pt-PT"/>
                </w:rPr>
                <w:t>NAO_PREENCHER</w:t>
              </w:r>
            </w:hyperlink>
            <w:r w:rsidR="006A4D3C" w:rsidRPr="00FA3856">
              <w:rPr>
                <w:rFonts w:ascii="Times New Roman" w:hAnsi="Times New Roman"/>
                <w:b/>
                <w:lang w:val="pt-PT"/>
              </w:rPr>
              <w:t xml:space="preserve">_IMUNE: </w:t>
            </w:r>
            <w:r w:rsidR="006A4D3C" w:rsidRPr="00FA3856">
              <w:rPr>
                <w:rFonts w:ascii="Times New Roman" w:hAnsi="Times New Roman"/>
                <w:lang w:val="pt-PT"/>
              </w:rPr>
              <w:t xml:space="preserve">Verifica, quando </w:t>
            </w:r>
            <w:r w:rsidR="00180423" w:rsidRPr="00FA3856">
              <w:rPr>
                <w:rFonts w:ascii="Times New Roman" w:hAnsi="Times New Roman"/>
                <w:lang w:val="pt-PT"/>
              </w:rPr>
              <w:t>0010.</w:t>
            </w:r>
            <w:r w:rsidR="008D5637" w:rsidRPr="00FA3856">
              <w:rPr>
                <w:rStyle w:val="Hyperlink"/>
                <w:rFonts w:ascii="Times New Roman" w:hAnsi="Times New Roman"/>
                <w:bCs/>
                <w:color w:val="auto"/>
                <w:lang w:val="pt-PT"/>
              </w:rPr>
              <w:t xml:space="preserve">FORMA_TRIB </w:t>
            </w:r>
            <w:r w:rsidR="00930931" w:rsidRPr="00FA3856">
              <w:rPr>
                <w:rStyle w:val="Hyperlink"/>
                <w:rFonts w:ascii="Times New Roman" w:hAnsi="Times New Roman"/>
                <w:bCs/>
                <w:color w:val="auto"/>
                <w:lang w:val="pt-PT"/>
              </w:rPr>
              <w:t>igual a “8” (Imune do</w:t>
            </w:r>
            <w:r w:rsidR="006A4D3C" w:rsidRPr="00FA3856">
              <w:rPr>
                <w:rStyle w:val="Hyperlink"/>
                <w:rFonts w:ascii="Times New Roman" w:hAnsi="Times New Roman"/>
                <w:bCs/>
                <w:color w:val="auto"/>
                <w:lang w:val="pt-PT"/>
              </w:rPr>
              <w:t xml:space="preserve"> IRPJ) ou “9” (Isento do IPRJ), se </w:t>
            </w:r>
            <w:r w:rsidR="00180423" w:rsidRPr="00FA3856">
              <w:rPr>
                <w:rStyle w:val="Hyperlink"/>
                <w:rFonts w:ascii="Times New Roman" w:hAnsi="Times New Roman"/>
                <w:bCs/>
                <w:color w:val="auto"/>
                <w:lang w:val="pt-PT"/>
              </w:rPr>
              <w:t>0010.</w:t>
            </w:r>
            <w:r w:rsidR="008D5637" w:rsidRPr="00FA3856">
              <w:rPr>
                <w:rStyle w:val="Hyperlink"/>
                <w:rFonts w:ascii="Times New Roman" w:hAnsi="Times New Roman"/>
                <w:bCs/>
                <w:color w:val="auto"/>
                <w:lang w:val="pt-PT"/>
              </w:rPr>
              <w:t xml:space="preserve">COD_QUALIF_PJ </w:t>
            </w:r>
            <w:r w:rsidR="006A4D3C" w:rsidRPr="00FA3856">
              <w:rPr>
                <w:rStyle w:val="Hyperlink"/>
                <w:rFonts w:ascii="Times New Roman" w:hAnsi="Times New Roman"/>
                <w:bCs/>
                <w:color w:val="auto"/>
                <w:lang w:val="pt-PT"/>
              </w:rPr>
              <w:t>não foi preenchido.</w:t>
            </w:r>
          </w:p>
          <w:p w:rsidR="006A4D3C" w:rsidRPr="00FA3856" w:rsidRDefault="006A4D3C" w:rsidP="006A4D3C">
            <w:pPr>
              <w:pStyle w:val="PSDS-CorpodeTexto0"/>
              <w:jc w:val="both"/>
              <w:rPr>
                <w:rStyle w:val="Hyperlink"/>
                <w:rFonts w:ascii="Times New Roman" w:hAnsi="Times New Roman"/>
                <w:bCs/>
                <w:color w:val="auto"/>
                <w:lang w:val="pt-PT"/>
              </w:rPr>
            </w:pPr>
          </w:p>
          <w:p w:rsidR="006A4D3C" w:rsidRPr="00FA3856" w:rsidRDefault="007D0E74" w:rsidP="006A4D3C">
            <w:pPr>
              <w:pStyle w:val="PSDS-CorpodeTexto0"/>
              <w:jc w:val="both"/>
              <w:rPr>
                <w:rFonts w:ascii="Times New Roman" w:hAnsi="Times New Roman"/>
                <w:bCs/>
                <w:lang w:val="pt-PT"/>
              </w:rPr>
            </w:pPr>
            <w:hyperlink w:anchor="REGRA_COD_QUALIF_PJ" w:history="1">
              <w:r w:rsidR="006A4D3C" w:rsidRPr="00FA3856">
                <w:rPr>
                  <w:rStyle w:val="Hyperlink"/>
                  <w:rFonts w:ascii="Times New Roman" w:hAnsi="Times New Roman"/>
                  <w:b/>
                  <w:color w:val="auto"/>
                  <w:shd w:val="clear" w:color="auto" w:fill="FFFFFF"/>
                </w:rPr>
                <w:t>REGRA_COD_QUALIF_PJ</w:t>
              </w:r>
            </w:hyperlink>
            <w:r w:rsidR="006A4D3C" w:rsidRPr="00FA3856">
              <w:rPr>
                <w:rStyle w:val="Hyperlink"/>
                <w:rFonts w:ascii="Times New Roman" w:hAnsi="Times New Roman"/>
                <w:b/>
                <w:color w:val="auto"/>
                <w:shd w:val="clear" w:color="auto" w:fill="FFFFFF"/>
              </w:rPr>
              <w:t xml:space="preserve">_OBRIGATORIO: </w:t>
            </w:r>
            <w:r w:rsidR="006A4D3C" w:rsidRPr="00FA3856">
              <w:rPr>
                <w:rStyle w:val="Hyperlink"/>
                <w:rFonts w:ascii="Times New Roman" w:hAnsi="Times New Roman"/>
                <w:color w:val="auto"/>
                <w:shd w:val="clear" w:color="auto" w:fill="FFFFFF"/>
              </w:rPr>
              <w:t xml:space="preserve">Verifica, quando </w:t>
            </w:r>
            <w:r w:rsidR="006A4D3C" w:rsidRPr="00FA3856">
              <w:rPr>
                <w:rStyle w:val="Hyperlink"/>
                <w:rFonts w:ascii="Times New Roman" w:hAnsi="Times New Roman"/>
                <w:bCs/>
                <w:color w:val="auto"/>
                <w:lang w:val="pt-PT"/>
              </w:rPr>
              <w:t xml:space="preserve">se </w:t>
            </w:r>
            <w:r w:rsidR="008D5637" w:rsidRPr="00FA3856">
              <w:rPr>
                <w:rStyle w:val="Hyperlink"/>
                <w:rFonts w:ascii="Times New Roman" w:hAnsi="Times New Roman"/>
                <w:bCs/>
                <w:color w:val="auto"/>
                <w:lang w:val="pt-PT"/>
              </w:rPr>
              <w:t xml:space="preserve">0010.FORMA_TRIB </w:t>
            </w:r>
            <w:r w:rsidR="00F663C5" w:rsidRPr="00FA3856">
              <w:rPr>
                <w:rStyle w:val="Hyperlink"/>
                <w:rFonts w:ascii="Times New Roman" w:hAnsi="Times New Roman"/>
                <w:bCs/>
                <w:color w:val="auto"/>
                <w:lang w:val="pt-PT"/>
              </w:rPr>
              <w:t>igual a “1” (Lucro Real) ou “2” (Lucro Real/Arbitrado) ou “3” (Lucro Presumido/Real) ou “4</w:t>
            </w:r>
            <w:r w:rsidR="006A4D3C" w:rsidRPr="00FA3856">
              <w:rPr>
                <w:rStyle w:val="Hyperlink"/>
                <w:rFonts w:ascii="Times New Roman" w:hAnsi="Times New Roman"/>
                <w:bCs/>
                <w:color w:val="auto"/>
                <w:lang w:val="pt-PT"/>
              </w:rPr>
              <w:t>” (Lucro</w:t>
            </w:r>
            <w:r w:rsidR="00F663C5" w:rsidRPr="00FA3856">
              <w:rPr>
                <w:rStyle w:val="Hyperlink"/>
                <w:rFonts w:ascii="Times New Roman" w:hAnsi="Times New Roman"/>
                <w:bCs/>
                <w:color w:val="auto"/>
                <w:lang w:val="pt-PT"/>
              </w:rPr>
              <w:t xml:space="preserve"> Presumido/Real/Arbitrado) ou “5” (Lucro Presumido) ou “6</w:t>
            </w:r>
            <w:r w:rsidR="006A4D3C" w:rsidRPr="00FA3856">
              <w:rPr>
                <w:rStyle w:val="Hyperlink"/>
                <w:rFonts w:ascii="Times New Roman" w:hAnsi="Times New Roman"/>
                <w:bCs/>
                <w:color w:val="auto"/>
                <w:lang w:val="pt-PT"/>
              </w:rPr>
              <w:t>” (Lucro Arbitrad</w:t>
            </w:r>
            <w:r w:rsidR="00F663C5" w:rsidRPr="00FA3856">
              <w:rPr>
                <w:rStyle w:val="Hyperlink"/>
                <w:rFonts w:ascii="Times New Roman" w:hAnsi="Times New Roman"/>
                <w:bCs/>
                <w:color w:val="auto"/>
                <w:lang w:val="pt-PT"/>
              </w:rPr>
              <w:t>o) ou “7</w:t>
            </w:r>
            <w:r w:rsidR="006A4D3C" w:rsidRPr="00FA3856">
              <w:rPr>
                <w:rStyle w:val="Hyperlink"/>
                <w:rFonts w:ascii="Times New Roman" w:hAnsi="Times New Roman"/>
                <w:bCs/>
                <w:color w:val="auto"/>
                <w:lang w:val="pt-PT"/>
              </w:rPr>
              <w:t>” (Lucro Presumido/Arbit</w:t>
            </w:r>
            <w:r w:rsidR="00180423" w:rsidRPr="00FA3856">
              <w:rPr>
                <w:rStyle w:val="Hyperlink"/>
                <w:rFonts w:ascii="Times New Roman" w:hAnsi="Times New Roman"/>
                <w:bCs/>
                <w:color w:val="auto"/>
                <w:lang w:val="pt-PT"/>
              </w:rPr>
              <w:t>rado</w:t>
            </w:r>
            <w:r w:rsidR="008D5637" w:rsidRPr="00FA3856">
              <w:rPr>
                <w:rStyle w:val="Hyperlink"/>
                <w:rFonts w:ascii="Times New Roman" w:hAnsi="Times New Roman"/>
                <w:bCs/>
                <w:color w:val="auto"/>
                <w:lang w:val="pt-PT"/>
              </w:rPr>
              <w:t xml:space="preserve">), se 0010.COD_QUALIF_PJ </w:t>
            </w:r>
            <w:r w:rsidR="006A4D3C" w:rsidRPr="00FA3856">
              <w:rPr>
                <w:rStyle w:val="Hyperlink"/>
                <w:rFonts w:ascii="Times New Roman" w:hAnsi="Times New Roman"/>
                <w:bCs/>
                <w:color w:val="auto"/>
                <w:lang w:val="pt-PT"/>
              </w:rPr>
              <w:t xml:space="preserve">foi </w:t>
            </w:r>
            <w:r w:rsidR="00DB56E1" w:rsidRPr="00FA3856">
              <w:rPr>
                <w:rStyle w:val="Hyperlink"/>
                <w:rFonts w:ascii="Times New Roman" w:hAnsi="Times New Roman"/>
                <w:bCs/>
                <w:color w:val="auto"/>
                <w:lang w:val="pt-PT"/>
              </w:rPr>
              <w:t>preenchido.</w:t>
            </w:r>
          </w:p>
        </w:tc>
        <w:tc>
          <w:tcPr>
            <w:tcW w:w="709" w:type="dxa"/>
            <w:tcBorders>
              <w:top w:val="single" w:sz="6" w:space="0" w:color="auto"/>
              <w:left w:val="single" w:sz="6" w:space="0" w:color="auto"/>
              <w:bottom w:val="single" w:sz="6" w:space="0" w:color="auto"/>
              <w:right w:val="single" w:sz="6" w:space="0" w:color="auto"/>
            </w:tcBorders>
          </w:tcPr>
          <w:p w:rsidR="008B1803" w:rsidRPr="00FA3856" w:rsidRDefault="00953CA7" w:rsidP="00953CA7">
            <w:pPr>
              <w:pStyle w:val="PSDS-CorpodeTexto0"/>
              <w:rPr>
                <w:rFonts w:ascii="Times New Roman" w:hAnsi="Times New Roman"/>
                <w:lang w:val="pt-PT"/>
              </w:rPr>
            </w:pPr>
            <w:r w:rsidRPr="00FA3856">
              <w:rPr>
                <w:rFonts w:ascii="Times New Roman" w:hAnsi="Times New Roman"/>
                <w:lang w:val="pt-PT"/>
              </w:rPr>
              <w:t>Erro</w:t>
            </w:r>
          </w:p>
          <w:p w:rsidR="006A4D3C" w:rsidRPr="00FA3856" w:rsidRDefault="006A4D3C" w:rsidP="00953CA7">
            <w:pPr>
              <w:pStyle w:val="PSDS-CorpodeTexto0"/>
              <w:rPr>
                <w:rFonts w:ascii="Times New Roman" w:hAnsi="Times New Roman"/>
                <w:lang w:val="pt-PT"/>
              </w:rPr>
            </w:pPr>
          </w:p>
          <w:p w:rsidR="006A4D3C" w:rsidRPr="00FA3856" w:rsidRDefault="006A4D3C" w:rsidP="00953CA7">
            <w:pPr>
              <w:pStyle w:val="PSDS-CorpodeTexto0"/>
              <w:rPr>
                <w:rFonts w:ascii="Times New Roman" w:hAnsi="Times New Roman"/>
                <w:lang w:val="pt-PT"/>
              </w:rPr>
            </w:pPr>
          </w:p>
          <w:p w:rsidR="006A4D3C" w:rsidRPr="00FA3856" w:rsidRDefault="006A4D3C" w:rsidP="00953CA7">
            <w:pPr>
              <w:pStyle w:val="PSDS-CorpodeTexto0"/>
              <w:rPr>
                <w:rFonts w:ascii="Times New Roman" w:hAnsi="Times New Roman"/>
                <w:lang w:val="pt-PT"/>
              </w:rPr>
            </w:pPr>
            <w:r w:rsidRPr="00FA3856">
              <w:rPr>
                <w:rFonts w:ascii="Times New Roman" w:hAnsi="Times New Roman"/>
                <w:lang w:val="pt-PT"/>
              </w:rPr>
              <w:t>Erro</w:t>
            </w:r>
          </w:p>
          <w:p w:rsidR="00DB56E1" w:rsidRPr="00FA3856" w:rsidRDefault="00DB56E1" w:rsidP="00953CA7">
            <w:pPr>
              <w:pStyle w:val="PSDS-CorpodeTexto0"/>
              <w:rPr>
                <w:rFonts w:ascii="Times New Roman" w:hAnsi="Times New Roman"/>
                <w:lang w:val="pt-PT"/>
              </w:rPr>
            </w:pPr>
          </w:p>
          <w:p w:rsidR="00DB56E1" w:rsidRPr="00FA3856" w:rsidRDefault="00DB56E1" w:rsidP="00953CA7">
            <w:pPr>
              <w:pStyle w:val="PSDS-CorpodeTexto0"/>
              <w:rPr>
                <w:rFonts w:ascii="Times New Roman" w:hAnsi="Times New Roman"/>
                <w:lang w:val="pt-PT"/>
              </w:rPr>
            </w:pPr>
          </w:p>
          <w:p w:rsidR="00DB56E1" w:rsidRPr="00FA3856" w:rsidRDefault="00DB56E1" w:rsidP="00953CA7">
            <w:pPr>
              <w:pStyle w:val="PSDS-CorpodeTexto0"/>
              <w:rPr>
                <w:rFonts w:ascii="Times New Roman" w:hAnsi="Times New Roman"/>
                <w:lang w:val="pt-PT"/>
              </w:rPr>
            </w:pPr>
            <w:r w:rsidRPr="00FA3856">
              <w:rPr>
                <w:rFonts w:ascii="Times New Roman" w:hAnsi="Times New Roman"/>
                <w:lang w:val="pt-PT"/>
              </w:rPr>
              <w:t>Erro</w:t>
            </w:r>
          </w:p>
        </w:tc>
      </w:tr>
      <w:tr w:rsidR="00953CA7" w:rsidRPr="00FA3856" w:rsidTr="006A4D3C">
        <w:trPr>
          <w:trHeight w:val="20"/>
          <w:jc w:val="center"/>
        </w:trPr>
        <w:tc>
          <w:tcPr>
            <w:tcW w:w="614" w:type="dxa"/>
            <w:tcBorders>
              <w:top w:val="single" w:sz="6" w:space="0" w:color="auto"/>
              <w:left w:val="single" w:sz="6" w:space="0" w:color="auto"/>
              <w:bottom w:val="single" w:sz="6" w:space="0" w:color="auto"/>
              <w:right w:val="single" w:sz="6" w:space="0" w:color="auto"/>
            </w:tcBorders>
          </w:tcPr>
          <w:p w:rsidR="00953CA7" w:rsidRPr="00FA3856" w:rsidRDefault="00067005" w:rsidP="00067005">
            <w:pPr>
              <w:pStyle w:val="PSDS-CorpodeTexto0"/>
              <w:suppressAutoHyphens w:val="0"/>
              <w:rPr>
                <w:rFonts w:ascii="Times New Roman" w:hAnsi="Times New Roman"/>
                <w:b/>
                <w:bCs/>
                <w:lang w:val="pt-PT"/>
              </w:rPr>
            </w:pPr>
            <w:r w:rsidRPr="00FA3856">
              <w:rPr>
                <w:rFonts w:ascii="Times New Roman" w:hAnsi="Times New Roman"/>
                <w:b/>
                <w:bCs/>
                <w:lang w:val="pt-PT"/>
              </w:rPr>
              <w:t>8</w:t>
            </w:r>
          </w:p>
        </w:tc>
        <w:tc>
          <w:tcPr>
            <w:tcW w:w="2050" w:type="dxa"/>
            <w:tcBorders>
              <w:top w:val="single" w:sz="6" w:space="0" w:color="auto"/>
              <w:left w:val="single" w:sz="6" w:space="0" w:color="auto"/>
              <w:bottom w:val="single" w:sz="6" w:space="0" w:color="auto"/>
              <w:right w:val="single" w:sz="6" w:space="0" w:color="auto"/>
            </w:tcBorders>
          </w:tcPr>
          <w:p w:rsidR="00953CA7" w:rsidRPr="00FA3856" w:rsidRDefault="00953CA7" w:rsidP="00953CA7">
            <w:pPr>
              <w:pStyle w:val="PSDS-CorpodeTexto0"/>
              <w:rPr>
                <w:rFonts w:ascii="Times New Roman" w:hAnsi="Times New Roman"/>
                <w:b/>
                <w:bCs/>
                <w:lang w:val="pt-PT"/>
              </w:rPr>
            </w:pPr>
            <w:r w:rsidRPr="00FA3856">
              <w:rPr>
                <w:rFonts w:ascii="Times New Roman" w:hAnsi="Times New Roman"/>
                <w:lang w:val="pt-PT"/>
              </w:rPr>
              <w:t>FORMA_TRIB_PER</w:t>
            </w:r>
          </w:p>
        </w:tc>
        <w:tc>
          <w:tcPr>
            <w:tcW w:w="12997" w:type="dxa"/>
            <w:tcBorders>
              <w:top w:val="single" w:sz="6" w:space="0" w:color="auto"/>
              <w:left w:val="single" w:sz="6" w:space="0" w:color="auto"/>
              <w:bottom w:val="single" w:sz="6" w:space="0" w:color="auto"/>
              <w:right w:val="single" w:sz="6" w:space="0" w:color="auto"/>
            </w:tcBorders>
          </w:tcPr>
          <w:p w:rsidR="00953CA7" w:rsidRPr="00FA3856" w:rsidRDefault="007D0E74" w:rsidP="00DD6DC8">
            <w:pPr>
              <w:pStyle w:val="PSDS-CorpodeTexto0"/>
              <w:jc w:val="both"/>
              <w:rPr>
                <w:rFonts w:ascii="Times New Roman" w:hAnsi="Times New Roman"/>
                <w:b/>
                <w:lang w:val="pt-PT"/>
              </w:rPr>
            </w:pPr>
            <w:hyperlink w:anchor="REGRA_MES_BAL_RED_NAO_PREENCHER" w:history="1">
              <w:r w:rsidR="002B22A3" w:rsidRPr="00FA3856">
                <w:rPr>
                  <w:rStyle w:val="Hyperlink"/>
                  <w:rFonts w:ascii="Times New Roman" w:hAnsi="Times New Roman"/>
                  <w:b/>
                  <w:color w:val="auto"/>
                  <w:lang w:val="pt-PT"/>
                </w:rPr>
                <w:t>REGRA_</w:t>
              </w:r>
              <w:r w:rsidR="00953CA7" w:rsidRPr="00FA3856">
                <w:rPr>
                  <w:rStyle w:val="Hyperlink"/>
                  <w:rFonts w:ascii="Times New Roman" w:hAnsi="Times New Roman"/>
                  <w:b/>
                  <w:color w:val="auto"/>
                  <w:lang w:val="pt-PT"/>
                </w:rPr>
                <w:t>NAO_PREENCHER</w:t>
              </w:r>
            </w:hyperlink>
            <w:r w:rsidR="005E0A1A" w:rsidRPr="00FA3856">
              <w:rPr>
                <w:rFonts w:ascii="Times New Roman" w:hAnsi="Times New Roman"/>
                <w:b/>
                <w:lang w:val="pt-PT"/>
              </w:rPr>
              <w:t xml:space="preserve">_IMUNE: </w:t>
            </w:r>
            <w:r w:rsidR="005E0A1A" w:rsidRPr="00FA3856">
              <w:rPr>
                <w:rFonts w:ascii="Times New Roman" w:hAnsi="Times New Roman"/>
                <w:lang w:val="pt-PT"/>
              </w:rPr>
              <w:t xml:space="preserve">Verifica, quando </w:t>
            </w:r>
            <w:r w:rsidR="00180423" w:rsidRPr="00FA3856">
              <w:rPr>
                <w:rFonts w:ascii="Times New Roman" w:hAnsi="Times New Roman"/>
                <w:lang w:val="pt-PT"/>
              </w:rPr>
              <w:t>0010.</w:t>
            </w:r>
            <w:r w:rsidR="008D5637" w:rsidRPr="00FA3856">
              <w:rPr>
                <w:rStyle w:val="Hyperlink"/>
                <w:rFonts w:ascii="Times New Roman" w:hAnsi="Times New Roman"/>
                <w:bCs/>
                <w:color w:val="auto"/>
                <w:lang w:val="pt-PT"/>
              </w:rPr>
              <w:t xml:space="preserve">FORMA_TRIB </w:t>
            </w:r>
            <w:r w:rsidR="00930931" w:rsidRPr="00FA3856">
              <w:rPr>
                <w:rStyle w:val="Hyperlink"/>
                <w:rFonts w:ascii="Times New Roman" w:hAnsi="Times New Roman"/>
                <w:bCs/>
                <w:color w:val="auto"/>
                <w:lang w:val="pt-PT"/>
              </w:rPr>
              <w:t>igual a “8” (Imune do</w:t>
            </w:r>
            <w:r w:rsidR="005E0A1A" w:rsidRPr="00FA3856">
              <w:rPr>
                <w:rStyle w:val="Hyperlink"/>
                <w:rFonts w:ascii="Times New Roman" w:hAnsi="Times New Roman"/>
                <w:bCs/>
                <w:color w:val="auto"/>
                <w:lang w:val="pt-PT"/>
              </w:rPr>
              <w:t xml:space="preserve"> IRPJ) ou “9” (Isento do IPRJ), se </w:t>
            </w:r>
            <w:r w:rsidR="008D5637" w:rsidRPr="00FA3856">
              <w:rPr>
                <w:rStyle w:val="Hyperlink"/>
                <w:rFonts w:ascii="Times New Roman" w:hAnsi="Times New Roman"/>
                <w:bCs/>
                <w:color w:val="auto"/>
                <w:lang w:val="pt-PT"/>
              </w:rPr>
              <w:t xml:space="preserve">0010.FORMA_TRIB_PER </w:t>
            </w:r>
            <w:r w:rsidR="005E0A1A" w:rsidRPr="00FA3856">
              <w:rPr>
                <w:rStyle w:val="Hyperlink"/>
                <w:rFonts w:ascii="Times New Roman" w:hAnsi="Times New Roman"/>
                <w:bCs/>
                <w:color w:val="auto"/>
                <w:lang w:val="pt-PT"/>
              </w:rPr>
              <w:t>não foi preenchido.</w:t>
            </w:r>
          </w:p>
          <w:p w:rsidR="00953CA7" w:rsidRPr="00FA3856" w:rsidRDefault="00953CA7" w:rsidP="00DD6DC8">
            <w:pPr>
              <w:pStyle w:val="PSDS-CorpodeTexto0"/>
              <w:jc w:val="both"/>
              <w:rPr>
                <w:rFonts w:ascii="Times New Roman" w:hAnsi="Times New Roman"/>
                <w:b/>
                <w:lang w:val="pt-PT"/>
              </w:rPr>
            </w:pPr>
          </w:p>
          <w:p w:rsidR="00953CA7" w:rsidRPr="00FA3856" w:rsidRDefault="007D0E74" w:rsidP="00DD6DC8">
            <w:pPr>
              <w:pStyle w:val="PSDS-CorpodeTexto0"/>
              <w:jc w:val="both"/>
              <w:rPr>
                <w:rFonts w:ascii="Times New Roman" w:hAnsi="Times New Roman"/>
                <w:lang w:val="pt-PT"/>
              </w:rPr>
            </w:pPr>
            <w:hyperlink w:anchor="REGRA_TRIBUT_INVALIDA" w:history="1">
              <w:r w:rsidR="00953CA7" w:rsidRPr="00FA3856">
                <w:rPr>
                  <w:rStyle w:val="Hyperlink"/>
                  <w:rFonts w:ascii="Times New Roman" w:hAnsi="Times New Roman"/>
                  <w:b/>
                  <w:color w:val="auto"/>
                  <w:lang w:val="pt-PT"/>
                </w:rPr>
                <w:t>REGRA_TRIBUT_INVALIDA</w:t>
              </w:r>
            </w:hyperlink>
            <w:r w:rsidR="005E0A1A" w:rsidRPr="00FA3856">
              <w:rPr>
                <w:rFonts w:ascii="Times New Roman" w:hAnsi="Times New Roman"/>
                <w:b/>
                <w:lang w:val="pt-PT"/>
              </w:rPr>
              <w:t xml:space="preserve">: </w:t>
            </w:r>
            <w:r w:rsidR="005E0A1A" w:rsidRPr="00FA3856">
              <w:rPr>
                <w:rFonts w:ascii="Times New Roman" w:hAnsi="Times New Roman"/>
                <w:lang w:val="pt-PT"/>
              </w:rPr>
              <w:t xml:space="preserve">Verifica se </w:t>
            </w:r>
            <w:r w:rsidR="008D5637" w:rsidRPr="00FA3856">
              <w:rPr>
                <w:rFonts w:ascii="Times New Roman" w:hAnsi="Times New Roman"/>
                <w:lang w:val="pt-PT"/>
              </w:rPr>
              <w:t xml:space="preserve">0010.FORMA_TRIB_PER </w:t>
            </w:r>
            <w:r w:rsidR="005E0A1A" w:rsidRPr="00FA3856">
              <w:rPr>
                <w:rFonts w:ascii="Times New Roman" w:hAnsi="Times New Roman"/>
                <w:lang w:val="pt-PT"/>
              </w:rPr>
              <w:t>está preenchido conforme regras abaixo relacionadas:</w:t>
            </w:r>
          </w:p>
          <w:p w:rsidR="005E0A1A" w:rsidRPr="00FA3856" w:rsidRDefault="00930931" w:rsidP="00DD6DC8">
            <w:pPr>
              <w:jc w:val="both"/>
              <w:rPr>
                <w:szCs w:val="20"/>
                <w:lang w:val="pt-PT"/>
              </w:rPr>
            </w:pPr>
            <w:r w:rsidRPr="00FA3856">
              <w:rPr>
                <w:szCs w:val="20"/>
                <w:lang w:val="pt-PT"/>
              </w:rPr>
              <w:t>Se</w:t>
            </w:r>
            <w:r w:rsidR="005E0A1A" w:rsidRPr="00FA3856">
              <w:rPr>
                <w:szCs w:val="20"/>
                <w:lang w:val="pt-PT"/>
              </w:rPr>
              <w:t xml:space="preserve"> </w:t>
            </w:r>
            <w:r w:rsidR="00180423" w:rsidRPr="00FA3856">
              <w:rPr>
                <w:szCs w:val="20"/>
                <w:lang w:val="pt-PT"/>
              </w:rPr>
              <w:t>0010.</w:t>
            </w:r>
            <w:r w:rsidR="008D5637" w:rsidRPr="00FA3856">
              <w:rPr>
                <w:szCs w:val="20"/>
              </w:rPr>
              <w:t xml:space="preserve">FORMA_TRIB </w:t>
            </w:r>
            <w:r w:rsidRPr="00FA3856">
              <w:rPr>
                <w:szCs w:val="20"/>
              </w:rPr>
              <w:t xml:space="preserve">é igual a </w:t>
            </w:r>
            <w:r w:rsidR="005E0A1A" w:rsidRPr="00FA3856">
              <w:rPr>
                <w:szCs w:val="20"/>
              </w:rPr>
              <w:t>“1”</w:t>
            </w:r>
            <w:r w:rsidRPr="00FA3856">
              <w:rPr>
                <w:szCs w:val="20"/>
              </w:rPr>
              <w:t xml:space="preserve"> (Lucro Real), então </w:t>
            </w:r>
            <w:r w:rsidRPr="00FA3856">
              <w:rPr>
                <w:szCs w:val="20"/>
                <w:lang w:val="pt-PT"/>
              </w:rPr>
              <w:t>0010.</w:t>
            </w:r>
            <w:r w:rsidR="008D5637" w:rsidRPr="00FA3856">
              <w:rPr>
                <w:szCs w:val="20"/>
                <w:lang w:val="pt-PT"/>
              </w:rPr>
              <w:t xml:space="preserve">FORMA_TRIB_PER </w:t>
            </w:r>
            <w:r w:rsidRPr="00FA3856">
              <w:rPr>
                <w:szCs w:val="20"/>
                <w:lang w:val="pt-PT"/>
              </w:rPr>
              <w:t>deve ser igual</w:t>
            </w:r>
            <w:r w:rsidR="005E0A1A" w:rsidRPr="00FA3856">
              <w:rPr>
                <w:szCs w:val="20"/>
                <w:lang w:val="pt-PT"/>
              </w:rPr>
              <w:t xml:space="preserve"> </w:t>
            </w:r>
            <w:r w:rsidRPr="00FA3856">
              <w:rPr>
                <w:szCs w:val="20"/>
                <w:lang w:val="pt-PT"/>
              </w:rPr>
              <w:t xml:space="preserve">a </w:t>
            </w:r>
            <w:r w:rsidR="005E0A1A" w:rsidRPr="00FA3856">
              <w:rPr>
                <w:szCs w:val="20"/>
                <w:lang w:val="pt-PT"/>
              </w:rPr>
              <w:t>“0” ou “R”</w:t>
            </w:r>
            <w:r w:rsidRPr="00FA3856">
              <w:rPr>
                <w:szCs w:val="20"/>
                <w:lang w:val="pt-PT"/>
              </w:rPr>
              <w:t>.</w:t>
            </w:r>
          </w:p>
          <w:p w:rsidR="00F663C5" w:rsidRPr="00FA3856" w:rsidRDefault="00930931" w:rsidP="00DD6DC8">
            <w:pPr>
              <w:jc w:val="both"/>
              <w:rPr>
                <w:szCs w:val="20"/>
                <w:lang w:val="pt-PT"/>
              </w:rPr>
            </w:pPr>
            <w:r w:rsidRPr="00FA3856">
              <w:rPr>
                <w:szCs w:val="20"/>
                <w:lang w:val="pt-PT"/>
              </w:rPr>
              <w:t>Se</w:t>
            </w:r>
            <w:r w:rsidR="00F663C5" w:rsidRPr="00FA3856">
              <w:rPr>
                <w:szCs w:val="20"/>
                <w:lang w:val="pt-PT"/>
              </w:rPr>
              <w:t xml:space="preserve"> </w:t>
            </w:r>
            <w:r w:rsidR="00180423" w:rsidRPr="00FA3856">
              <w:rPr>
                <w:szCs w:val="20"/>
                <w:lang w:val="pt-PT"/>
              </w:rPr>
              <w:t>0010.</w:t>
            </w:r>
            <w:r w:rsidR="008D5637" w:rsidRPr="00FA3856">
              <w:rPr>
                <w:szCs w:val="20"/>
              </w:rPr>
              <w:t xml:space="preserve">FORMA_TRIB </w:t>
            </w:r>
            <w:r w:rsidRPr="00FA3856">
              <w:rPr>
                <w:szCs w:val="20"/>
              </w:rPr>
              <w:t xml:space="preserve">é igual a </w:t>
            </w:r>
            <w:r w:rsidR="00F663C5" w:rsidRPr="00FA3856">
              <w:rPr>
                <w:szCs w:val="20"/>
              </w:rPr>
              <w:t>“2”</w:t>
            </w:r>
            <w:r w:rsidRPr="00FA3856">
              <w:rPr>
                <w:szCs w:val="20"/>
              </w:rPr>
              <w:t xml:space="preserve"> (Lucro Real/Arbitrado)</w:t>
            </w:r>
            <w:r w:rsidR="00F663C5" w:rsidRPr="00FA3856">
              <w:rPr>
                <w:szCs w:val="20"/>
              </w:rPr>
              <w:t xml:space="preserve">, </w:t>
            </w:r>
            <w:r w:rsidRPr="00FA3856">
              <w:rPr>
                <w:szCs w:val="20"/>
              </w:rPr>
              <w:t>então 0010.</w:t>
            </w:r>
            <w:r w:rsidR="008D5637" w:rsidRPr="00FA3856">
              <w:rPr>
                <w:szCs w:val="20"/>
              </w:rPr>
              <w:t xml:space="preserve">FORMA_TRIB_PER </w:t>
            </w:r>
            <w:r w:rsidRPr="00FA3856">
              <w:rPr>
                <w:szCs w:val="20"/>
              </w:rPr>
              <w:t>deve ser igual a</w:t>
            </w:r>
            <w:r w:rsidR="00F663C5" w:rsidRPr="00FA3856">
              <w:rPr>
                <w:szCs w:val="20"/>
                <w:lang w:val="pt-PT"/>
              </w:rPr>
              <w:t xml:space="preserve"> “0”, “R”, ou  “A”</w:t>
            </w:r>
            <w:r w:rsidRPr="00FA3856">
              <w:rPr>
                <w:szCs w:val="20"/>
                <w:lang w:val="pt-PT"/>
              </w:rPr>
              <w:t>.</w:t>
            </w:r>
          </w:p>
          <w:p w:rsidR="00F663C5" w:rsidRPr="00FA3856" w:rsidRDefault="00930931" w:rsidP="00F663C5">
            <w:pPr>
              <w:jc w:val="both"/>
              <w:rPr>
                <w:szCs w:val="20"/>
                <w:lang w:val="pt-PT"/>
              </w:rPr>
            </w:pPr>
            <w:r w:rsidRPr="00FA3856">
              <w:rPr>
                <w:szCs w:val="20"/>
                <w:lang w:val="pt-PT"/>
              </w:rPr>
              <w:t>Se</w:t>
            </w:r>
            <w:r w:rsidR="00F663C5" w:rsidRPr="00FA3856">
              <w:rPr>
                <w:szCs w:val="20"/>
                <w:lang w:val="pt-PT"/>
              </w:rPr>
              <w:t xml:space="preserve"> </w:t>
            </w:r>
            <w:r w:rsidR="00180423" w:rsidRPr="00FA3856">
              <w:rPr>
                <w:szCs w:val="20"/>
                <w:lang w:val="pt-PT"/>
              </w:rPr>
              <w:t>0010.</w:t>
            </w:r>
            <w:r w:rsidR="00F663C5" w:rsidRPr="00FA3856">
              <w:rPr>
                <w:szCs w:val="20"/>
              </w:rPr>
              <w:t xml:space="preserve">FORMA_TRIB </w:t>
            </w:r>
            <w:r w:rsidRPr="00FA3856">
              <w:rPr>
                <w:szCs w:val="20"/>
              </w:rPr>
              <w:t>é igual a</w:t>
            </w:r>
            <w:r w:rsidR="00F663C5" w:rsidRPr="00FA3856">
              <w:rPr>
                <w:szCs w:val="20"/>
              </w:rPr>
              <w:t xml:space="preserve"> “3”</w:t>
            </w:r>
            <w:r w:rsidRPr="00FA3856">
              <w:rPr>
                <w:szCs w:val="20"/>
              </w:rPr>
              <w:t xml:space="preserve"> (Lucro Presumido/Real) e</w:t>
            </w:r>
            <w:r w:rsidR="00F663C5" w:rsidRPr="00FA3856">
              <w:rPr>
                <w:szCs w:val="20"/>
              </w:rPr>
              <w:t xml:space="preserve"> </w:t>
            </w:r>
            <w:r w:rsidR="00180423" w:rsidRPr="00FA3856">
              <w:rPr>
                <w:szCs w:val="20"/>
              </w:rPr>
              <w:t>0010.</w:t>
            </w:r>
            <w:r w:rsidR="008D5637" w:rsidRPr="00FA3856">
              <w:rPr>
                <w:szCs w:val="20"/>
                <w:lang w:val="pt-PT"/>
              </w:rPr>
              <w:t xml:space="preserve">OPT_REFIS </w:t>
            </w:r>
            <w:r w:rsidRPr="00FA3856">
              <w:rPr>
                <w:szCs w:val="20"/>
                <w:lang w:val="pt-PT"/>
              </w:rPr>
              <w:t>é igual a</w:t>
            </w:r>
            <w:r w:rsidR="00F663C5" w:rsidRPr="00FA3856">
              <w:rPr>
                <w:szCs w:val="20"/>
                <w:lang w:val="pt-PT"/>
              </w:rPr>
              <w:t xml:space="preserve"> "N”, </w:t>
            </w:r>
            <w:r w:rsidRPr="00FA3856">
              <w:rPr>
                <w:szCs w:val="20"/>
                <w:lang w:val="pt-PT"/>
              </w:rPr>
              <w:t xml:space="preserve">então </w:t>
            </w:r>
            <w:r w:rsidR="003216A3" w:rsidRPr="00FA3856">
              <w:rPr>
                <w:szCs w:val="20"/>
                <w:lang w:val="pt-PT"/>
              </w:rPr>
              <w:t>0010.</w:t>
            </w:r>
            <w:r w:rsidR="008D5637" w:rsidRPr="00FA3856">
              <w:rPr>
                <w:szCs w:val="20"/>
                <w:lang w:val="pt-PT"/>
              </w:rPr>
              <w:t xml:space="preserve">FORMA_TRIB_PER </w:t>
            </w:r>
            <w:r w:rsidR="003216A3" w:rsidRPr="00FA3856">
              <w:rPr>
                <w:szCs w:val="20"/>
                <w:lang w:val="pt-PT"/>
              </w:rPr>
              <w:t>deve ser igual a</w:t>
            </w:r>
            <w:r w:rsidR="00F663C5" w:rsidRPr="00FA3856">
              <w:rPr>
                <w:szCs w:val="20"/>
                <w:lang w:val="pt-PT"/>
              </w:rPr>
              <w:t xml:space="preserve"> “0”, “P” ou “R”</w:t>
            </w:r>
            <w:r w:rsidR="003216A3" w:rsidRPr="00FA3856">
              <w:rPr>
                <w:szCs w:val="20"/>
                <w:lang w:val="pt-PT"/>
              </w:rPr>
              <w:t>.</w:t>
            </w:r>
          </w:p>
          <w:p w:rsidR="00F663C5" w:rsidRPr="00FA3856" w:rsidRDefault="00930931" w:rsidP="00F663C5">
            <w:pPr>
              <w:jc w:val="both"/>
              <w:rPr>
                <w:szCs w:val="20"/>
                <w:lang w:val="pt-PT"/>
              </w:rPr>
            </w:pPr>
            <w:r w:rsidRPr="00FA3856">
              <w:rPr>
                <w:szCs w:val="20"/>
                <w:lang w:val="pt-PT"/>
              </w:rPr>
              <w:t>Se</w:t>
            </w:r>
            <w:r w:rsidR="00F663C5" w:rsidRPr="00FA3856">
              <w:rPr>
                <w:szCs w:val="20"/>
                <w:lang w:val="pt-PT"/>
              </w:rPr>
              <w:t xml:space="preserve"> </w:t>
            </w:r>
            <w:r w:rsidR="00180423" w:rsidRPr="00FA3856">
              <w:rPr>
                <w:szCs w:val="20"/>
                <w:lang w:val="pt-PT"/>
              </w:rPr>
              <w:t>0010.</w:t>
            </w:r>
            <w:r w:rsidR="00F663C5" w:rsidRPr="00FA3856">
              <w:rPr>
                <w:szCs w:val="20"/>
              </w:rPr>
              <w:t>FORMA_T</w:t>
            </w:r>
            <w:r w:rsidR="008D5637" w:rsidRPr="00FA3856">
              <w:rPr>
                <w:szCs w:val="20"/>
              </w:rPr>
              <w:t xml:space="preserve">RIB </w:t>
            </w:r>
            <w:r w:rsidRPr="00FA3856">
              <w:rPr>
                <w:szCs w:val="20"/>
              </w:rPr>
              <w:t xml:space="preserve">é igual a </w:t>
            </w:r>
            <w:r w:rsidR="00F663C5" w:rsidRPr="00FA3856">
              <w:rPr>
                <w:szCs w:val="20"/>
              </w:rPr>
              <w:t xml:space="preserve">“3” </w:t>
            </w:r>
            <w:r w:rsidRPr="00FA3856">
              <w:rPr>
                <w:szCs w:val="20"/>
              </w:rPr>
              <w:t xml:space="preserve">(Lucro Presumido/Real) </w:t>
            </w:r>
            <w:r w:rsidR="003216A3" w:rsidRPr="00FA3856">
              <w:rPr>
                <w:szCs w:val="20"/>
              </w:rPr>
              <w:t>e</w:t>
            </w:r>
            <w:r w:rsidR="00F663C5" w:rsidRPr="00FA3856">
              <w:rPr>
                <w:szCs w:val="20"/>
              </w:rPr>
              <w:t xml:space="preserve"> </w:t>
            </w:r>
            <w:r w:rsidR="00180423" w:rsidRPr="00FA3856">
              <w:rPr>
                <w:szCs w:val="20"/>
              </w:rPr>
              <w:t>0010.</w:t>
            </w:r>
            <w:r w:rsidR="008D5637" w:rsidRPr="00FA3856">
              <w:rPr>
                <w:szCs w:val="20"/>
                <w:lang w:val="pt-PT"/>
              </w:rPr>
              <w:t xml:space="preserve">OPT_REFIS </w:t>
            </w:r>
            <w:r w:rsidR="003216A3" w:rsidRPr="00FA3856">
              <w:rPr>
                <w:szCs w:val="20"/>
                <w:lang w:val="pt-PT"/>
              </w:rPr>
              <w:t>é igual a "S" e</w:t>
            </w:r>
            <w:r w:rsidR="00F663C5" w:rsidRPr="00FA3856">
              <w:rPr>
                <w:szCs w:val="20"/>
                <w:lang w:val="pt-PT"/>
              </w:rPr>
              <w:t xml:space="preserve"> </w:t>
            </w:r>
            <w:r w:rsidR="008D5637" w:rsidRPr="00FA3856">
              <w:rPr>
                <w:szCs w:val="20"/>
                <w:lang w:val="pt-PT"/>
              </w:rPr>
              <w:t xml:space="preserve">0010.FORMA_APUR </w:t>
            </w:r>
            <w:r w:rsidR="003216A3" w:rsidRPr="00FA3856">
              <w:rPr>
                <w:szCs w:val="20"/>
                <w:lang w:val="pt-PT"/>
              </w:rPr>
              <w:t>é igual a</w:t>
            </w:r>
            <w:r w:rsidR="00F663C5" w:rsidRPr="00FA3856">
              <w:rPr>
                <w:szCs w:val="20"/>
                <w:lang w:val="pt-PT"/>
              </w:rPr>
              <w:t xml:space="preserve"> “A”, </w:t>
            </w:r>
            <w:r w:rsidR="003216A3" w:rsidRPr="00FA3856">
              <w:rPr>
                <w:szCs w:val="20"/>
                <w:lang w:val="pt-PT"/>
              </w:rPr>
              <w:t>então 0010.</w:t>
            </w:r>
            <w:r w:rsidR="008D5637" w:rsidRPr="00FA3856">
              <w:rPr>
                <w:szCs w:val="20"/>
                <w:lang w:val="pt-PT"/>
              </w:rPr>
              <w:t xml:space="preserve">FORMA_TRIB_PER </w:t>
            </w:r>
            <w:r w:rsidR="003216A3" w:rsidRPr="00FA3856">
              <w:rPr>
                <w:szCs w:val="20"/>
                <w:lang w:val="pt-PT"/>
              </w:rPr>
              <w:t>deve ser igual a</w:t>
            </w:r>
            <w:r w:rsidR="00F663C5" w:rsidRPr="00FA3856">
              <w:rPr>
                <w:szCs w:val="20"/>
                <w:lang w:val="pt-PT"/>
              </w:rPr>
              <w:t xml:space="preserve"> “0”, “E” ou  “P”</w:t>
            </w:r>
            <w:r w:rsidR="003216A3" w:rsidRPr="00FA3856">
              <w:rPr>
                <w:szCs w:val="20"/>
                <w:lang w:val="pt-PT"/>
              </w:rPr>
              <w:t>.</w:t>
            </w:r>
            <w:r w:rsidR="00F663C5" w:rsidRPr="00FA3856">
              <w:rPr>
                <w:szCs w:val="20"/>
                <w:lang w:val="pt-PT"/>
              </w:rPr>
              <w:t xml:space="preserve"> </w:t>
            </w:r>
          </w:p>
          <w:p w:rsidR="00F663C5" w:rsidRPr="00FA3856" w:rsidRDefault="00930931" w:rsidP="00F663C5">
            <w:pPr>
              <w:jc w:val="both"/>
              <w:rPr>
                <w:szCs w:val="20"/>
                <w:lang w:val="pt-PT"/>
              </w:rPr>
            </w:pPr>
            <w:r w:rsidRPr="00FA3856">
              <w:rPr>
                <w:szCs w:val="20"/>
                <w:lang w:val="pt-PT"/>
              </w:rPr>
              <w:t>Se</w:t>
            </w:r>
            <w:r w:rsidR="00F663C5" w:rsidRPr="00FA3856">
              <w:rPr>
                <w:szCs w:val="20"/>
                <w:lang w:val="pt-PT"/>
              </w:rPr>
              <w:t xml:space="preserve"> </w:t>
            </w:r>
            <w:r w:rsidR="00180423" w:rsidRPr="00FA3856">
              <w:rPr>
                <w:szCs w:val="20"/>
                <w:lang w:val="pt-PT"/>
              </w:rPr>
              <w:t>0010.</w:t>
            </w:r>
            <w:r w:rsidR="008D5637" w:rsidRPr="00FA3856">
              <w:rPr>
                <w:szCs w:val="20"/>
              </w:rPr>
              <w:t xml:space="preserve">FORMA_TRIB </w:t>
            </w:r>
            <w:r w:rsidRPr="00FA3856">
              <w:rPr>
                <w:szCs w:val="20"/>
              </w:rPr>
              <w:t xml:space="preserve">é igual a </w:t>
            </w:r>
            <w:r w:rsidR="00F663C5" w:rsidRPr="00FA3856">
              <w:rPr>
                <w:szCs w:val="20"/>
              </w:rPr>
              <w:t xml:space="preserve">“3” </w:t>
            </w:r>
            <w:r w:rsidRPr="00FA3856">
              <w:rPr>
                <w:szCs w:val="20"/>
              </w:rPr>
              <w:t xml:space="preserve">(Lucro Presumido/Real) </w:t>
            </w:r>
            <w:r w:rsidR="003216A3" w:rsidRPr="00FA3856">
              <w:rPr>
                <w:szCs w:val="20"/>
              </w:rPr>
              <w:t>e</w:t>
            </w:r>
            <w:r w:rsidR="00F663C5" w:rsidRPr="00FA3856">
              <w:rPr>
                <w:szCs w:val="20"/>
              </w:rPr>
              <w:t xml:space="preserve"> </w:t>
            </w:r>
            <w:r w:rsidR="00180423" w:rsidRPr="00FA3856">
              <w:rPr>
                <w:szCs w:val="20"/>
              </w:rPr>
              <w:t>0010.</w:t>
            </w:r>
            <w:r w:rsidR="008D5637" w:rsidRPr="00FA3856">
              <w:rPr>
                <w:szCs w:val="20"/>
                <w:lang w:val="pt-PT"/>
              </w:rPr>
              <w:t xml:space="preserve">OPT_REFIS </w:t>
            </w:r>
            <w:r w:rsidR="003216A3" w:rsidRPr="00FA3856">
              <w:rPr>
                <w:szCs w:val="20"/>
                <w:lang w:val="pt-PT"/>
              </w:rPr>
              <w:t>é igual a "S" e</w:t>
            </w:r>
            <w:r w:rsidR="00F663C5" w:rsidRPr="00FA3856">
              <w:rPr>
                <w:szCs w:val="20"/>
                <w:lang w:val="pt-PT"/>
              </w:rPr>
              <w:t xml:space="preserve"> </w:t>
            </w:r>
            <w:r w:rsidR="008D5637" w:rsidRPr="00FA3856">
              <w:rPr>
                <w:szCs w:val="20"/>
                <w:lang w:val="pt-PT"/>
              </w:rPr>
              <w:t xml:space="preserve">0010.FORMA_APUR </w:t>
            </w:r>
            <w:r w:rsidR="003216A3" w:rsidRPr="00FA3856">
              <w:rPr>
                <w:szCs w:val="20"/>
                <w:lang w:val="pt-PT"/>
              </w:rPr>
              <w:t>é igual a</w:t>
            </w:r>
            <w:r w:rsidR="00F663C5" w:rsidRPr="00FA3856">
              <w:rPr>
                <w:szCs w:val="20"/>
                <w:lang w:val="pt-PT"/>
              </w:rPr>
              <w:t xml:space="preserve"> “T”, </w:t>
            </w:r>
            <w:r w:rsidR="003216A3" w:rsidRPr="00FA3856">
              <w:rPr>
                <w:szCs w:val="20"/>
                <w:lang w:val="pt-PT"/>
              </w:rPr>
              <w:t>então 0010.</w:t>
            </w:r>
            <w:r w:rsidR="008D5637" w:rsidRPr="00FA3856">
              <w:rPr>
                <w:szCs w:val="20"/>
                <w:lang w:val="pt-PT"/>
              </w:rPr>
              <w:t xml:space="preserve">FORMA_TRIB_PER </w:t>
            </w:r>
            <w:r w:rsidR="003216A3" w:rsidRPr="00FA3856">
              <w:rPr>
                <w:szCs w:val="20"/>
                <w:lang w:val="pt-PT"/>
              </w:rPr>
              <w:t xml:space="preserve">deve ser igual a </w:t>
            </w:r>
            <w:r w:rsidR="00F663C5" w:rsidRPr="00FA3856">
              <w:rPr>
                <w:szCs w:val="20"/>
                <w:lang w:val="pt-PT"/>
              </w:rPr>
              <w:t>“0”, “R” ou “P”</w:t>
            </w:r>
            <w:r w:rsidR="003216A3" w:rsidRPr="00FA3856">
              <w:rPr>
                <w:szCs w:val="20"/>
                <w:lang w:val="pt-PT"/>
              </w:rPr>
              <w:t>.</w:t>
            </w:r>
          </w:p>
          <w:p w:rsidR="00F663C5" w:rsidRPr="00FA3856" w:rsidRDefault="00930931" w:rsidP="00F663C5">
            <w:pPr>
              <w:jc w:val="both"/>
              <w:rPr>
                <w:szCs w:val="20"/>
                <w:lang w:val="pt-PT"/>
              </w:rPr>
            </w:pPr>
            <w:r w:rsidRPr="00FA3856">
              <w:rPr>
                <w:szCs w:val="20"/>
                <w:lang w:val="pt-PT"/>
              </w:rPr>
              <w:t>Se</w:t>
            </w:r>
            <w:r w:rsidR="00F663C5" w:rsidRPr="00FA3856">
              <w:rPr>
                <w:szCs w:val="20"/>
                <w:lang w:val="pt-PT"/>
              </w:rPr>
              <w:t xml:space="preserve"> </w:t>
            </w:r>
            <w:r w:rsidR="00180423" w:rsidRPr="00FA3856">
              <w:rPr>
                <w:szCs w:val="20"/>
                <w:lang w:val="pt-PT"/>
              </w:rPr>
              <w:t>0010.</w:t>
            </w:r>
            <w:r w:rsidR="008D5637" w:rsidRPr="00FA3856">
              <w:rPr>
                <w:szCs w:val="20"/>
              </w:rPr>
              <w:t xml:space="preserve">FORMA_TRIB </w:t>
            </w:r>
            <w:r w:rsidRPr="00FA3856">
              <w:rPr>
                <w:szCs w:val="20"/>
              </w:rPr>
              <w:t xml:space="preserve">é igual a </w:t>
            </w:r>
            <w:r w:rsidR="00F663C5" w:rsidRPr="00FA3856">
              <w:rPr>
                <w:szCs w:val="20"/>
              </w:rPr>
              <w:t xml:space="preserve">“4” </w:t>
            </w:r>
            <w:r w:rsidRPr="00FA3856">
              <w:rPr>
                <w:szCs w:val="20"/>
              </w:rPr>
              <w:t xml:space="preserve">(Lucro Presumido/Real/Arbitrado) </w:t>
            </w:r>
            <w:r w:rsidR="003216A3" w:rsidRPr="00FA3856">
              <w:rPr>
                <w:szCs w:val="20"/>
              </w:rPr>
              <w:t>e</w:t>
            </w:r>
            <w:r w:rsidR="00F663C5" w:rsidRPr="00FA3856">
              <w:rPr>
                <w:szCs w:val="20"/>
              </w:rPr>
              <w:t xml:space="preserve"> </w:t>
            </w:r>
            <w:r w:rsidR="00180423" w:rsidRPr="00FA3856">
              <w:rPr>
                <w:szCs w:val="20"/>
              </w:rPr>
              <w:t>0010.</w:t>
            </w:r>
            <w:r w:rsidR="008D5637" w:rsidRPr="00FA3856">
              <w:rPr>
                <w:szCs w:val="20"/>
                <w:lang w:val="pt-PT"/>
              </w:rPr>
              <w:t xml:space="preserve">OPT_REFIS </w:t>
            </w:r>
            <w:r w:rsidR="003216A3" w:rsidRPr="00FA3856">
              <w:rPr>
                <w:szCs w:val="20"/>
                <w:lang w:val="pt-PT"/>
              </w:rPr>
              <w:t>é igual a</w:t>
            </w:r>
            <w:r w:rsidR="00F663C5" w:rsidRPr="00FA3856">
              <w:rPr>
                <w:szCs w:val="20"/>
                <w:lang w:val="pt-PT"/>
              </w:rPr>
              <w:t xml:space="preserve"> "N"</w:t>
            </w:r>
            <w:r w:rsidR="00F663C5" w:rsidRPr="00FA3856">
              <w:rPr>
                <w:szCs w:val="20"/>
              </w:rPr>
              <w:t xml:space="preserve">, </w:t>
            </w:r>
            <w:r w:rsidR="003216A3" w:rsidRPr="00FA3856">
              <w:rPr>
                <w:szCs w:val="20"/>
                <w:lang w:val="pt-PT"/>
              </w:rPr>
              <w:t>então 0010.</w:t>
            </w:r>
            <w:r w:rsidR="008D5637" w:rsidRPr="00FA3856">
              <w:rPr>
                <w:szCs w:val="20"/>
                <w:lang w:val="pt-PT"/>
              </w:rPr>
              <w:t xml:space="preserve">FORMA_TRIB_PER </w:t>
            </w:r>
            <w:r w:rsidR="003216A3" w:rsidRPr="00FA3856">
              <w:rPr>
                <w:szCs w:val="20"/>
                <w:lang w:val="pt-PT"/>
              </w:rPr>
              <w:t xml:space="preserve">deve ser igual a </w:t>
            </w:r>
            <w:r w:rsidR="00F663C5" w:rsidRPr="00FA3856">
              <w:rPr>
                <w:szCs w:val="20"/>
                <w:lang w:val="pt-PT"/>
              </w:rPr>
              <w:t>“0”, “A”, “P” ou “R”</w:t>
            </w:r>
            <w:r w:rsidR="003216A3" w:rsidRPr="00FA3856">
              <w:rPr>
                <w:szCs w:val="20"/>
                <w:lang w:val="pt-PT"/>
              </w:rPr>
              <w:t>.</w:t>
            </w:r>
          </w:p>
          <w:p w:rsidR="00F663C5" w:rsidRPr="00FA3856" w:rsidRDefault="00930931" w:rsidP="00F663C5">
            <w:pPr>
              <w:jc w:val="both"/>
              <w:rPr>
                <w:szCs w:val="20"/>
                <w:lang w:val="pt-PT"/>
              </w:rPr>
            </w:pPr>
            <w:r w:rsidRPr="00FA3856">
              <w:rPr>
                <w:szCs w:val="20"/>
                <w:lang w:val="pt-PT"/>
              </w:rPr>
              <w:t>Se</w:t>
            </w:r>
            <w:r w:rsidR="00F663C5" w:rsidRPr="00FA3856">
              <w:rPr>
                <w:szCs w:val="20"/>
                <w:lang w:val="pt-PT"/>
              </w:rPr>
              <w:t xml:space="preserve"> </w:t>
            </w:r>
            <w:r w:rsidR="00180423" w:rsidRPr="00FA3856">
              <w:rPr>
                <w:szCs w:val="20"/>
                <w:lang w:val="pt-PT"/>
              </w:rPr>
              <w:t>0010.</w:t>
            </w:r>
            <w:r w:rsidR="008D5637" w:rsidRPr="00FA3856">
              <w:rPr>
                <w:szCs w:val="20"/>
              </w:rPr>
              <w:t xml:space="preserve">FORMA_TRIB </w:t>
            </w:r>
            <w:r w:rsidRPr="00FA3856">
              <w:rPr>
                <w:szCs w:val="20"/>
              </w:rPr>
              <w:t xml:space="preserve">é igual a </w:t>
            </w:r>
            <w:r w:rsidR="00F663C5" w:rsidRPr="00FA3856">
              <w:rPr>
                <w:szCs w:val="20"/>
              </w:rPr>
              <w:t xml:space="preserve">“4” </w:t>
            </w:r>
            <w:r w:rsidRPr="00FA3856">
              <w:rPr>
                <w:szCs w:val="20"/>
              </w:rPr>
              <w:t xml:space="preserve">(Lucro Presumido/Real/Arbitrado) </w:t>
            </w:r>
            <w:r w:rsidR="003216A3" w:rsidRPr="00FA3856">
              <w:rPr>
                <w:szCs w:val="20"/>
              </w:rPr>
              <w:t>e</w:t>
            </w:r>
            <w:r w:rsidR="00F663C5" w:rsidRPr="00FA3856">
              <w:rPr>
                <w:szCs w:val="20"/>
              </w:rPr>
              <w:t xml:space="preserve"> </w:t>
            </w:r>
            <w:r w:rsidR="00180423" w:rsidRPr="00FA3856">
              <w:rPr>
                <w:szCs w:val="20"/>
              </w:rPr>
              <w:t>0010.</w:t>
            </w:r>
            <w:r w:rsidR="003216A3" w:rsidRPr="00FA3856">
              <w:rPr>
                <w:szCs w:val="20"/>
                <w:lang w:val="pt-PT"/>
              </w:rPr>
              <w:t xml:space="preserve">OPT_REFIS é igual a </w:t>
            </w:r>
            <w:r w:rsidR="008D5637" w:rsidRPr="00FA3856">
              <w:rPr>
                <w:szCs w:val="20"/>
                <w:lang w:val="pt-PT"/>
              </w:rPr>
              <w:t xml:space="preserve">"S" </w:t>
            </w:r>
            <w:r w:rsidR="003216A3" w:rsidRPr="00FA3856">
              <w:rPr>
                <w:szCs w:val="20"/>
                <w:lang w:val="pt-PT"/>
              </w:rPr>
              <w:t>e</w:t>
            </w:r>
            <w:r w:rsidR="00F663C5" w:rsidRPr="00FA3856">
              <w:rPr>
                <w:szCs w:val="20"/>
                <w:lang w:val="pt-PT"/>
              </w:rPr>
              <w:t xml:space="preserve"> </w:t>
            </w:r>
            <w:r w:rsidR="00180423" w:rsidRPr="00FA3856">
              <w:rPr>
                <w:szCs w:val="20"/>
                <w:lang w:val="pt-PT"/>
              </w:rPr>
              <w:t xml:space="preserve">0010.FORMA_APUR </w:t>
            </w:r>
            <w:r w:rsidR="003216A3" w:rsidRPr="00FA3856">
              <w:rPr>
                <w:szCs w:val="20"/>
                <w:lang w:val="pt-PT"/>
              </w:rPr>
              <w:t>é igual a</w:t>
            </w:r>
            <w:r w:rsidR="00F663C5" w:rsidRPr="00FA3856">
              <w:rPr>
                <w:szCs w:val="20"/>
                <w:lang w:val="pt-PT"/>
              </w:rPr>
              <w:t xml:space="preserve"> “A”, </w:t>
            </w:r>
            <w:r w:rsidR="003216A3" w:rsidRPr="00FA3856">
              <w:rPr>
                <w:szCs w:val="20"/>
                <w:lang w:val="pt-PT"/>
              </w:rPr>
              <w:t>então 0010.</w:t>
            </w:r>
            <w:r w:rsidR="008D5637" w:rsidRPr="00FA3856">
              <w:rPr>
                <w:szCs w:val="20"/>
                <w:lang w:val="pt-PT"/>
              </w:rPr>
              <w:t xml:space="preserve">FORMA_TRIB_PER </w:t>
            </w:r>
            <w:r w:rsidR="003216A3" w:rsidRPr="00FA3856">
              <w:rPr>
                <w:szCs w:val="20"/>
                <w:lang w:val="pt-PT"/>
              </w:rPr>
              <w:t>deve ser igual a</w:t>
            </w:r>
            <w:r w:rsidR="00F663C5" w:rsidRPr="00FA3856">
              <w:rPr>
                <w:szCs w:val="20"/>
                <w:lang w:val="pt-PT"/>
              </w:rPr>
              <w:t xml:space="preserve"> “0”, “A”, “E” ou  “P”</w:t>
            </w:r>
            <w:r w:rsidR="003216A3" w:rsidRPr="00FA3856">
              <w:rPr>
                <w:szCs w:val="20"/>
                <w:lang w:val="pt-PT"/>
              </w:rPr>
              <w:t>.</w:t>
            </w:r>
          </w:p>
          <w:p w:rsidR="00F663C5" w:rsidRPr="00FA3856" w:rsidRDefault="00930931" w:rsidP="00F663C5">
            <w:pPr>
              <w:jc w:val="both"/>
              <w:rPr>
                <w:szCs w:val="20"/>
              </w:rPr>
            </w:pPr>
            <w:r w:rsidRPr="00FA3856">
              <w:rPr>
                <w:szCs w:val="20"/>
                <w:lang w:val="pt-PT"/>
              </w:rPr>
              <w:t>Se</w:t>
            </w:r>
            <w:r w:rsidR="00F663C5" w:rsidRPr="00FA3856">
              <w:rPr>
                <w:szCs w:val="20"/>
                <w:lang w:val="pt-PT"/>
              </w:rPr>
              <w:t xml:space="preserve"> </w:t>
            </w:r>
            <w:r w:rsidR="00180423" w:rsidRPr="00FA3856">
              <w:rPr>
                <w:szCs w:val="20"/>
                <w:lang w:val="pt-PT"/>
              </w:rPr>
              <w:t>0010.</w:t>
            </w:r>
            <w:r w:rsidR="008D5637" w:rsidRPr="00FA3856">
              <w:rPr>
                <w:szCs w:val="20"/>
              </w:rPr>
              <w:t xml:space="preserve">FORMA_TRIB </w:t>
            </w:r>
            <w:r w:rsidRPr="00FA3856">
              <w:rPr>
                <w:szCs w:val="20"/>
              </w:rPr>
              <w:t xml:space="preserve">é igual a </w:t>
            </w:r>
            <w:r w:rsidR="00F663C5" w:rsidRPr="00FA3856">
              <w:rPr>
                <w:szCs w:val="20"/>
              </w:rPr>
              <w:t xml:space="preserve">“4” </w:t>
            </w:r>
            <w:r w:rsidRPr="00FA3856">
              <w:rPr>
                <w:szCs w:val="20"/>
              </w:rPr>
              <w:t xml:space="preserve">(Lucro Presumido/Real/Arbitrado) </w:t>
            </w:r>
            <w:r w:rsidR="003216A3" w:rsidRPr="00FA3856">
              <w:rPr>
                <w:szCs w:val="20"/>
              </w:rPr>
              <w:t>e</w:t>
            </w:r>
            <w:r w:rsidR="00F663C5" w:rsidRPr="00FA3856">
              <w:rPr>
                <w:szCs w:val="20"/>
              </w:rPr>
              <w:t xml:space="preserve"> </w:t>
            </w:r>
            <w:r w:rsidR="00180423" w:rsidRPr="00FA3856">
              <w:rPr>
                <w:szCs w:val="20"/>
              </w:rPr>
              <w:t>0010.</w:t>
            </w:r>
            <w:r w:rsidR="008D5637" w:rsidRPr="00FA3856">
              <w:rPr>
                <w:szCs w:val="20"/>
                <w:lang w:val="pt-PT"/>
              </w:rPr>
              <w:t xml:space="preserve">OPT_REFIS </w:t>
            </w:r>
            <w:r w:rsidR="003216A3" w:rsidRPr="00FA3856">
              <w:rPr>
                <w:szCs w:val="20"/>
                <w:lang w:val="pt-PT"/>
              </w:rPr>
              <w:t>é igual a "S" e</w:t>
            </w:r>
            <w:r w:rsidR="00F663C5" w:rsidRPr="00FA3856">
              <w:rPr>
                <w:szCs w:val="20"/>
                <w:lang w:val="pt-PT"/>
              </w:rPr>
              <w:t xml:space="preserve"> </w:t>
            </w:r>
            <w:r w:rsidR="00180423" w:rsidRPr="00FA3856">
              <w:rPr>
                <w:szCs w:val="20"/>
                <w:lang w:val="pt-PT"/>
              </w:rPr>
              <w:t>0010.</w:t>
            </w:r>
            <w:r w:rsidR="00F663C5" w:rsidRPr="00FA3856">
              <w:rPr>
                <w:szCs w:val="20"/>
                <w:lang w:val="pt-PT"/>
              </w:rPr>
              <w:t>FORMA_A</w:t>
            </w:r>
            <w:r w:rsidR="008D5637" w:rsidRPr="00FA3856">
              <w:rPr>
                <w:szCs w:val="20"/>
                <w:lang w:val="pt-PT"/>
              </w:rPr>
              <w:t xml:space="preserve">PUR </w:t>
            </w:r>
            <w:r w:rsidR="003216A3" w:rsidRPr="00FA3856">
              <w:rPr>
                <w:szCs w:val="20"/>
                <w:lang w:val="pt-PT"/>
              </w:rPr>
              <w:t>é igual a</w:t>
            </w:r>
            <w:r w:rsidR="00F663C5" w:rsidRPr="00FA3856">
              <w:rPr>
                <w:szCs w:val="20"/>
                <w:lang w:val="pt-PT"/>
              </w:rPr>
              <w:t xml:space="preserve"> “T”</w:t>
            </w:r>
            <w:r w:rsidR="00F663C5" w:rsidRPr="00FA3856">
              <w:rPr>
                <w:szCs w:val="20"/>
              </w:rPr>
              <w:t xml:space="preserve">, </w:t>
            </w:r>
            <w:r w:rsidR="003216A3" w:rsidRPr="00FA3856">
              <w:rPr>
                <w:szCs w:val="20"/>
                <w:lang w:val="pt-PT"/>
              </w:rPr>
              <w:t>então 0010.</w:t>
            </w:r>
            <w:r w:rsidR="008D5637" w:rsidRPr="00FA3856">
              <w:rPr>
                <w:szCs w:val="20"/>
                <w:lang w:val="pt-PT"/>
              </w:rPr>
              <w:t xml:space="preserve">FORMA_TRIB_PER </w:t>
            </w:r>
            <w:r w:rsidR="003216A3" w:rsidRPr="00FA3856">
              <w:rPr>
                <w:szCs w:val="20"/>
                <w:lang w:val="pt-PT"/>
              </w:rPr>
              <w:t>deve ser igual a</w:t>
            </w:r>
            <w:r w:rsidR="00F663C5" w:rsidRPr="00FA3856">
              <w:rPr>
                <w:szCs w:val="20"/>
                <w:lang w:val="pt-PT"/>
              </w:rPr>
              <w:t xml:space="preserve"> “0”, “A”, “R” ou  “P”</w:t>
            </w:r>
            <w:r w:rsidR="003216A3" w:rsidRPr="00FA3856">
              <w:rPr>
                <w:szCs w:val="20"/>
                <w:lang w:val="pt-PT"/>
              </w:rPr>
              <w:t>.</w:t>
            </w:r>
            <w:r w:rsidR="00F663C5" w:rsidRPr="00FA3856">
              <w:rPr>
                <w:szCs w:val="20"/>
                <w:lang w:val="pt-PT"/>
              </w:rPr>
              <w:t xml:space="preserve"> </w:t>
            </w:r>
          </w:p>
          <w:p w:rsidR="007A0DE7" w:rsidRPr="00FA3856" w:rsidRDefault="00930931" w:rsidP="007A0DE7">
            <w:pPr>
              <w:jc w:val="both"/>
              <w:rPr>
                <w:szCs w:val="20"/>
              </w:rPr>
            </w:pPr>
            <w:r w:rsidRPr="00FA3856">
              <w:rPr>
                <w:szCs w:val="20"/>
                <w:lang w:val="pt-PT"/>
              </w:rPr>
              <w:lastRenderedPageBreak/>
              <w:t>Se</w:t>
            </w:r>
            <w:r w:rsidR="007A0DE7" w:rsidRPr="00FA3856">
              <w:rPr>
                <w:szCs w:val="20"/>
                <w:lang w:val="pt-PT"/>
              </w:rPr>
              <w:t xml:space="preserve"> </w:t>
            </w:r>
            <w:r w:rsidR="00180423" w:rsidRPr="00FA3856">
              <w:rPr>
                <w:szCs w:val="20"/>
                <w:lang w:val="pt-PT"/>
              </w:rPr>
              <w:t>0010.</w:t>
            </w:r>
            <w:r w:rsidR="008D5637" w:rsidRPr="00FA3856">
              <w:rPr>
                <w:szCs w:val="20"/>
              </w:rPr>
              <w:t xml:space="preserve">FORMA_TRIB </w:t>
            </w:r>
            <w:r w:rsidRPr="00FA3856">
              <w:rPr>
                <w:szCs w:val="20"/>
              </w:rPr>
              <w:t xml:space="preserve">é igual a </w:t>
            </w:r>
            <w:r w:rsidR="00F663C5" w:rsidRPr="00FA3856">
              <w:rPr>
                <w:szCs w:val="20"/>
              </w:rPr>
              <w:t>“5</w:t>
            </w:r>
            <w:r w:rsidR="007A0DE7" w:rsidRPr="00FA3856">
              <w:rPr>
                <w:szCs w:val="20"/>
              </w:rPr>
              <w:t>”</w:t>
            </w:r>
            <w:r w:rsidRPr="00FA3856">
              <w:rPr>
                <w:szCs w:val="20"/>
              </w:rPr>
              <w:t xml:space="preserve"> (Lucro Presumido)</w:t>
            </w:r>
            <w:r w:rsidR="007A0DE7" w:rsidRPr="00FA3856">
              <w:rPr>
                <w:szCs w:val="20"/>
              </w:rPr>
              <w:t xml:space="preserve">, </w:t>
            </w:r>
            <w:r w:rsidR="003216A3" w:rsidRPr="00FA3856">
              <w:rPr>
                <w:szCs w:val="20"/>
                <w:lang w:val="pt-PT"/>
              </w:rPr>
              <w:t>então 0010.</w:t>
            </w:r>
            <w:r w:rsidR="008D5637" w:rsidRPr="00FA3856">
              <w:rPr>
                <w:szCs w:val="20"/>
                <w:lang w:val="pt-PT"/>
              </w:rPr>
              <w:t xml:space="preserve">FORMA_TRIB_PER </w:t>
            </w:r>
            <w:r w:rsidR="003216A3" w:rsidRPr="00FA3856">
              <w:rPr>
                <w:szCs w:val="20"/>
                <w:lang w:val="pt-PT"/>
              </w:rPr>
              <w:t>deve ser igual a “0” ou “P”.</w:t>
            </w:r>
          </w:p>
          <w:p w:rsidR="005E0A1A" w:rsidRPr="00FA3856" w:rsidRDefault="00930931" w:rsidP="00DD6DC8">
            <w:pPr>
              <w:jc w:val="both"/>
              <w:rPr>
                <w:szCs w:val="20"/>
              </w:rPr>
            </w:pPr>
            <w:r w:rsidRPr="00FA3856">
              <w:rPr>
                <w:szCs w:val="20"/>
                <w:lang w:val="pt-PT"/>
              </w:rPr>
              <w:t>Se</w:t>
            </w:r>
            <w:r w:rsidR="007A0DE7" w:rsidRPr="00FA3856">
              <w:rPr>
                <w:szCs w:val="20"/>
                <w:lang w:val="pt-PT"/>
              </w:rPr>
              <w:t xml:space="preserve"> </w:t>
            </w:r>
            <w:r w:rsidR="00180423" w:rsidRPr="00FA3856">
              <w:rPr>
                <w:szCs w:val="20"/>
                <w:lang w:val="pt-PT"/>
              </w:rPr>
              <w:t>0010.</w:t>
            </w:r>
            <w:r w:rsidR="00180423" w:rsidRPr="00FA3856">
              <w:rPr>
                <w:szCs w:val="20"/>
              </w:rPr>
              <w:t>FO</w:t>
            </w:r>
            <w:r w:rsidR="008D5637" w:rsidRPr="00FA3856">
              <w:rPr>
                <w:szCs w:val="20"/>
              </w:rPr>
              <w:t xml:space="preserve">RMA_TRIB </w:t>
            </w:r>
            <w:r w:rsidRPr="00FA3856">
              <w:rPr>
                <w:szCs w:val="20"/>
              </w:rPr>
              <w:t xml:space="preserve">é igual a </w:t>
            </w:r>
            <w:r w:rsidR="00F663C5" w:rsidRPr="00FA3856">
              <w:rPr>
                <w:szCs w:val="20"/>
              </w:rPr>
              <w:t>“6</w:t>
            </w:r>
            <w:r w:rsidR="007A0DE7" w:rsidRPr="00FA3856">
              <w:rPr>
                <w:szCs w:val="20"/>
              </w:rPr>
              <w:t>”</w:t>
            </w:r>
            <w:r w:rsidRPr="00FA3856">
              <w:rPr>
                <w:szCs w:val="20"/>
              </w:rPr>
              <w:t xml:space="preserve"> (Lucro Arbitrado)</w:t>
            </w:r>
            <w:r w:rsidR="007A0DE7" w:rsidRPr="00FA3856">
              <w:rPr>
                <w:szCs w:val="20"/>
              </w:rPr>
              <w:t xml:space="preserve">, </w:t>
            </w:r>
            <w:r w:rsidR="003216A3" w:rsidRPr="00FA3856">
              <w:rPr>
                <w:szCs w:val="20"/>
                <w:lang w:val="pt-PT"/>
              </w:rPr>
              <w:t>então 0010.</w:t>
            </w:r>
            <w:r w:rsidR="008D5637" w:rsidRPr="00FA3856">
              <w:rPr>
                <w:szCs w:val="20"/>
                <w:lang w:val="pt-PT"/>
              </w:rPr>
              <w:t xml:space="preserve">FORMA_TRIB_PER </w:t>
            </w:r>
            <w:r w:rsidR="003216A3" w:rsidRPr="00FA3856">
              <w:rPr>
                <w:szCs w:val="20"/>
                <w:lang w:val="pt-PT"/>
              </w:rPr>
              <w:t xml:space="preserve">deve ser igual a </w:t>
            </w:r>
            <w:r w:rsidR="007A0DE7" w:rsidRPr="00FA3856">
              <w:rPr>
                <w:szCs w:val="20"/>
                <w:lang w:val="pt-PT"/>
              </w:rPr>
              <w:t>“0” ou  “A”</w:t>
            </w:r>
            <w:r w:rsidR="003216A3" w:rsidRPr="00FA3856">
              <w:rPr>
                <w:szCs w:val="20"/>
                <w:lang w:val="pt-PT"/>
              </w:rPr>
              <w:t>.</w:t>
            </w:r>
          </w:p>
          <w:p w:rsidR="007A0DE7" w:rsidRPr="00FA3856" w:rsidRDefault="00930931" w:rsidP="00DD6DC8">
            <w:pPr>
              <w:jc w:val="both"/>
              <w:rPr>
                <w:szCs w:val="20"/>
              </w:rPr>
            </w:pPr>
            <w:r w:rsidRPr="00FA3856">
              <w:rPr>
                <w:szCs w:val="20"/>
                <w:lang w:val="pt-PT"/>
              </w:rPr>
              <w:t>Se</w:t>
            </w:r>
            <w:r w:rsidR="007A0DE7" w:rsidRPr="00FA3856">
              <w:rPr>
                <w:szCs w:val="20"/>
                <w:lang w:val="pt-PT"/>
              </w:rPr>
              <w:t xml:space="preserve"> </w:t>
            </w:r>
            <w:r w:rsidR="00180423" w:rsidRPr="00FA3856">
              <w:rPr>
                <w:szCs w:val="20"/>
                <w:lang w:val="pt-PT"/>
              </w:rPr>
              <w:t>0010.</w:t>
            </w:r>
            <w:r w:rsidR="008D5637" w:rsidRPr="00FA3856">
              <w:rPr>
                <w:szCs w:val="20"/>
              </w:rPr>
              <w:t xml:space="preserve">FORMA_TRIB </w:t>
            </w:r>
            <w:r w:rsidRPr="00FA3856">
              <w:rPr>
                <w:szCs w:val="20"/>
              </w:rPr>
              <w:t xml:space="preserve">é igual a </w:t>
            </w:r>
            <w:r w:rsidR="00F663C5" w:rsidRPr="00FA3856">
              <w:rPr>
                <w:szCs w:val="20"/>
              </w:rPr>
              <w:t>“7</w:t>
            </w:r>
            <w:r w:rsidR="007A0DE7" w:rsidRPr="00FA3856">
              <w:rPr>
                <w:szCs w:val="20"/>
              </w:rPr>
              <w:t>”</w:t>
            </w:r>
            <w:r w:rsidRPr="00FA3856">
              <w:rPr>
                <w:szCs w:val="20"/>
              </w:rPr>
              <w:t xml:space="preserve"> (Lucro Presumido/Arbitrado)</w:t>
            </w:r>
            <w:r w:rsidR="007A0DE7" w:rsidRPr="00FA3856">
              <w:rPr>
                <w:szCs w:val="20"/>
              </w:rPr>
              <w:t xml:space="preserve">, </w:t>
            </w:r>
            <w:r w:rsidR="003216A3" w:rsidRPr="00FA3856">
              <w:rPr>
                <w:szCs w:val="20"/>
                <w:lang w:val="pt-PT"/>
              </w:rPr>
              <w:t>então 0010.</w:t>
            </w:r>
            <w:r w:rsidR="008D5637" w:rsidRPr="00FA3856">
              <w:rPr>
                <w:szCs w:val="20"/>
                <w:lang w:val="pt-PT"/>
              </w:rPr>
              <w:t xml:space="preserve">FORMA_TRIB_PER </w:t>
            </w:r>
            <w:r w:rsidR="003216A3" w:rsidRPr="00FA3856">
              <w:rPr>
                <w:szCs w:val="20"/>
                <w:lang w:val="pt-PT"/>
              </w:rPr>
              <w:t xml:space="preserve">deve ser igual a </w:t>
            </w:r>
            <w:r w:rsidR="007A0DE7" w:rsidRPr="00FA3856">
              <w:rPr>
                <w:szCs w:val="20"/>
                <w:lang w:val="pt-PT"/>
              </w:rPr>
              <w:t>“0”, “A” ou “P”</w:t>
            </w:r>
            <w:r w:rsidR="003216A3" w:rsidRPr="00FA3856">
              <w:rPr>
                <w:szCs w:val="20"/>
                <w:lang w:val="pt-PT"/>
              </w:rPr>
              <w:t>.</w:t>
            </w:r>
          </w:p>
          <w:p w:rsidR="005E0A1A" w:rsidRPr="00FA3856" w:rsidRDefault="00930931" w:rsidP="00DD6DC8">
            <w:pPr>
              <w:jc w:val="both"/>
              <w:rPr>
                <w:szCs w:val="20"/>
                <w:lang w:val="pt-PT"/>
              </w:rPr>
            </w:pPr>
            <w:r w:rsidRPr="00FA3856">
              <w:rPr>
                <w:szCs w:val="20"/>
                <w:lang w:val="pt-PT"/>
              </w:rPr>
              <w:t>Se</w:t>
            </w:r>
            <w:r w:rsidR="005E0A1A" w:rsidRPr="00FA3856">
              <w:rPr>
                <w:szCs w:val="20"/>
                <w:lang w:val="pt-PT"/>
              </w:rPr>
              <w:t xml:space="preserve"> </w:t>
            </w:r>
            <w:r w:rsidR="00180423" w:rsidRPr="00FA3856">
              <w:rPr>
                <w:szCs w:val="20"/>
                <w:lang w:val="pt-PT"/>
              </w:rPr>
              <w:t>0010.</w:t>
            </w:r>
            <w:r w:rsidR="008D5637" w:rsidRPr="00FA3856">
              <w:rPr>
                <w:szCs w:val="20"/>
              </w:rPr>
              <w:t xml:space="preserve">FORMA_TRIB </w:t>
            </w:r>
            <w:r w:rsidRPr="00FA3856">
              <w:rPr>
                <w:szCs w:val="20"/>
              </w:rPr>
              <w:t xml:space="preserve">é igual a </w:t>
            </w:r>
            <w:r w:rsidR="005E0A1A" w:rsidRPr="00FA3856">
              <w:rPr>
                <w:szCs w:val="20"/>
              </w:rPr>
              <w:t>“8”</w:t>
            </w:r>
            <w:r w:rsidRPr="00FA3856">
              <w:rPr>
                <w:szCs w:val="20"/>
              </w:rPr>
              <w:t xml:space="preserve"> (Imune do IRPJ)</w:t>
            </w:r>
            <w:r w:rsidR="005E0A1A" w:rsidRPr="00FA3856">
              <w:rPr>
                <w:szCs w:val="20"/>
              </w:rPr>
              <w:t xml:space="preserve">, </w:t>
            </w:r>
            <w:r w:rsidR="003216A3" w:rsidRPr="00FA3856">
              <w:rPr>
                <w:szCs w:val="20"/>
              </w:rPr>
              <w:t>então</w:t>
            </w:r>
            <w:r w:rsidR="005E0A1A" w:rsidRPr="00FA3856">
              <w:rPr>
                <w:szCs w:val="20"/>
              </w:rPr>
              <w:t xml:space="preserve"> </w:t>
            </w:r>
            <w:r w:rsidR="003216A3" w:rsidRPr="00FA3856">
              <w:rPr>
                <w:szCs w:val="20"/>
              </w:rPr>
              <w:t>0</w:t>
            </w:r>
            <w:r w:rsidR="008D5637" w:rsidRPr="00FA3856">
              <w:rPr>
                <w:szCs w:val="20"/>
              </w:rPr>
              <w:t xml:space="preserve">010.FORMA_TRIB_PER </w:t>
            </w:r>
            <w:r w:rsidR="003216A3" w:rsidRPr="00FA3856">
              <w:rPr>
                <w:szCs w:val="20"/>
              </w:rPr>
              <w:t>não deve ser preenchido.</w:t>
            </w:r>
          </w:p>
          <w:p w:rsidR="005E0A1A" w:rsidRPr="00FA3856" w:rsidRDefault="00930931" w:rsidP="003216A3">
            <w:pPr>
              <w:jc w:val="both"/>
              <w:rPr>
                <w:szCs w:val="20"/>
                <w:lang w:val="pt-PT"/>
              </w:rPr>
            </w:pPr>
            <w:r w:rsidRPr="00FA3856">
              <w:rPr>
                <w:szCs w:val="20"/>
                <w:lang w:val="pt-PT"/>
              </w:rPr>
              <w:t>Se</w:t>
            </w:r>
            <w:r w:rsidR="005E0A1A" w:rsidRPr="00FA3856">
              <w:rPr>
                <w:szCs w:val="20"/>
                <w:lang w:val="pt-PT"/>
              </w:rPr>
              <w:t xml:space="preserve"> </w:t>
            </w:r>
            <w:r w:rsidR="00180423" w:rsidRPr="00FA3856">
              <w:rPr>
                <w:szCs w:val="20"/>
                <w:lang w:val="pt-PT"/>
              </w:rPr>
              <w:t>0010.</w:t>
            </w:r>
            <w:r w:rsidR="008D5637" w:rsidRPr="00FA3856">
              <w:rPr>
                <w:szCs w:val="20"/>
              </w:rPr>
              <w:t xml:space="preserve">FORMA_TRIB </w:t>
            </w:r>
            <w:r w:rsidRPr="00FA3856">
              <w:rPr>
                <w:szCs w:val="20"/>
              </w:rPr>
              <w:t xml:space="preserve">é igual a </w:t>
            </w:r>
            <w:r w:rsidR="005E0A1A" w:rsidRPr="00FA3856">
              <w:rPr>
                <w:szCs w:val="20"/>
              </w:rPr>
              <w:t>“9”</w:t>
            </w:r>
            <w:r w:rsidRPr="00FA3856">
              <w:rPr>
                <w:szCs w:val="20"/>
              </w:rPr>
              <w:t xml:space="preserve"> (Isento do IRPJ)</w:t>
            </w:r>
            <w:r w:rsidR="005E0A1A" w:rsidRPr="00FA3856">
              <w:rPr>
                <w:szCs w:val="20"/>
              </w:rPr>
              <w:t xml:space="preserve">, </w:t>
            </w:r>
            <w:r w:rsidR="003216A3" w:rsidRPr="00FA3856">
              <w:rPr>
                <w:szCs w:val="20"/>
              </w:rPr>
              <w:t>então 0</w:t>
            </w:r>
            <w:r w:rsidR="008D5637" w:rsidRPr="00FA3856">
              <w:rPr>
                <w:szCs w:val="20"/>
              </w:rPr>
              <w:t xml:space="preserve">010.FORMA_TRIB_PER </w:t>
            </w:r>
            <w:r w:rsidR="003216A3" w:rsidRPr="00FA3856">
              <w:rPr>
                <w:szCs w:val="20"/>
              </w:rPr>
              <w:t>não deve ser preenchido.</w:t>
            </w:r>
          </w:p>
          <w:p w:rsidR="0051702D" w:rsidRPr="00FA3856" w:rsidRDefault="0051702D" w:rsidP="00DD6DC8">
            <w:pPr>
              <w:pStyle w:val="PSDS-CorpodeTexto0"/>
              <w:jc w:val="both"/>
              <w:rPr>
                <w:rFonts w:ascii="Times New Roman" w:hAnsi="Times New Roman"/>
                <w:lang w:val="pt-PT"/>
              </w:rPr>
            </w:pPr>
          </w:p>
          <w:p w:rsidR="00953CA7" w:rsidRPr="00FA3856" w:rsidRDefault="007D0E74" w:rsidP="00DD6DC8">
            <w:pPr>
              <w:pStyle w:val="PSDS-CorpodeTexto0"/>
              <w:jc w:val="both"/>
              <w:rPr>
                <w:rFonts w:ascii="Times New Roman" w:hAnsi="Times New Roman"/>
                <w:lang w:val="pt-PT"/>
              </w:rPr>
            </w:pPr>
            <w:hyperlink w:anchor="REGRA_TRIBUT_PER_R_E" w:history="1">
              <w:r w:rsidR="00953CA7" w:rsidRPr="00FA3856">
                <w:rPr>
                  <w:rStyle w:val="Hyperlink"/>
                  <w:rFonts w:ascii="Times New Roman" w:hAnsi="Times New Roman"/>
                  <w:b/>
                  <w:color w:val="auto"/>
                  <w:lang w:val="pt-PT"/>
                </w:rPr>
                <w:t>REGRA_TRIBUT_PER_R_E</w:t>
              </w:r>
            </w:hyperlink>
            <w:r w:rsidR="005E0A1A" w:rsidRPr="00FA3856">
              <w:rPr>
                <w:rFonts w:ascii="Times New Roman" w:hAnsi="Times New Roman"/>
                <w:b/>
                <w:lang w:val="pt-PT"/>
              </w:rPr>
              <w:t xml:space="preserve">: </w:t>
            </w:r>
            <w:r w:rsidR="005E0A1A" w:rsidRPr="00FA3856">
              <w:rPr>
                <w:rFonts w:ascii="Times New Roman" w:hAnsi="Times New Roman"/>
                <w:lang w:val="pt-PT"/>
              </w:rPr>
              <w:t xml:space="preserve">Verifica se os valores “R” e “E” aparecem simultaneamente </w:t>
            </w:r>
            <w:r w:rsidR="0045628A" w:rsidRPr="00FA3856">
              <w:rPr>
                <w:rFonts w:ascii="Times New Roman" w:hAnsi="Times New Roman"/>
                <w:lang w:val="pt-PT"/>
              </w:rPr>
              <w:t xml:space="preserve">em </w:t>
            </w:r>
            <w:r w:rsidR="00142E8F" w:rsidRPr="00FA3856">
              <w:rPr>
                <w:rFonts w:ascii="Times New Roman" w:hAnsi="Times New Roman"/>
                <w:lang w:val="pt-PT"/>
              </w:rPr>
              <w:t>0010.FORMA_TRIB_PER</w:t>
            </w:r>
            <w:r w:rsidR="005E0A1A" w:rsidRPr="00FA3856">
              <w:rPr>
                <w:rFonts w:ascii="Times New Roman" w:hAnsi="Times New Roman"/>
                <w:lang w:val="pt-PT"/>
              </w:rPr>
              <w:t>.</w:t>
            </w:r>
          </w:p>
          <w:p w:rsidR="00953CA7" w:rsidRPr="00FA3856" w:rsidRDefault="00953CA7" w:rsidP="00DD6DC8">
            <w:pPr>
              <w:pStyle w:val="PSDS-CorpodeTexto0"/>
              <w:jc w:val="both"/>
              <w:rPr>
                <w:rFonts w:ascii="Times New Roman" w:hAnsi="Times New Roman"/>
                <w:b/>
                <w:lang w:val="pt-PT"/>
              </w:rPr>
            </w:pPr>
          </w:p>
          <w:p w:rsidR="00953CA7" w:rsidRPr="00FA3856" w:rsidRDefault="007D0E74" w:rsidP="00DD6DC8">
            <w:pPr>
              <w:pStyle w:val="PSDS-CorpodeTexto0"/>
              <w:jc w:val="both"/>
              <w:rPr>
                <w:rFonts w:ascii="Times New Roman" w:hAnsi="Times New Roman"/>
                <w:lang w:val="pt-PT"/>
              </w:rPr>
            </w:pPr>
            <w:hyperlink w:anchor="REGRA_PRESUMIDO_PRIMEIRO" w:history="1">
              <w:r w:rsidR="00953CA7" w:rsidRPr="00FA3856">
                <w:rPr>
                  <w:rStyle w:val="Hyperlink"/>
                  <w:rFonts w:ascii="Times New Roman" w:hAnsi="Times New Roman"/>
                  <w:b/>
                  <w:color w:val="auto"/>
                  <w:lang w:val="pt-PT"/>
                </w:rPr>
                <w:t>REGRA_</w:t>
              </w:r>
              <w:r w:rsidR="00953CA7" w:rsidRPr="00FA3856">
                <w:rPr>
                  <w:rStyle w:val="Hyperlink"/>
                  <w:rFonts w:ascii="Times New Roman" w:hAnsi="Times New Roman"/>
                  <w:b/>
                  <w:color w:val="auto"/>
                </w:rPr>
                <w:t>PRESUMIDO_PRIMEIRO</w:t>
              </w:r>
            </w:hyperlink>
            <w:r w:rsidR="005E0A1A" w:rsidRPr="00FA3856">
              <w:rPr>
                <w:rFonts w:ascii="Times New Roman" w:hAnsi="Times New Roman"/>
                <w:b/>
                <w:lang w:val="pt-PT"/>
              </w:rPr>
              <w:t xml:space="preserve">: </w:t>
            </w:r>
            <w:r w:rsidR="0045628A" w:rsidRPr="00FA3856">
              <w:rPr>
                <w:rFonts w:ascii="Times New Roman" w:hAnsi="Times New Roman"/>
                <w:lang w:val="pt-PT"/>
              </w:rPr>
              <w:t xml:space="preserve">Verifica, quando aparecerem “R”, “E” ou “P” em </w:t>
            </w:r>
            <w:r w:rsidR="00180423" w:rsidRPr="00FA3856">
              <w:rPr>
                <w:rFonts w:ascii="Times New Roman" w:hAnsi="Times New Roman"/>
                <w:lang w:val="pt-PT"/>
              </w:rPr>
              <w:t>0010.FORMA_TR</w:t>
            </w:r>
            <w:r w:rsidR="00142E8F" w:rsidRPr="00FA3856">
              <w:rPr>
                <w:rFonts w:ascii="Times New Roman" w:hAnsi="Times New Roman"/>
                <w:lang w:val="pt-PT"/>
              </w:rPr>
              <w:t>IB_PER</w:t>
            </w:r>
            <w:r w:rsidR="0045628A" w:rsidRPr="00FA3856">
              <w:rPr>
                <w:rFonts w:ascii="Times New Roman" w:hAnsi="Times New Roman"/>
                <w:lang w:val="pt-PT"/>
              </w:rPr>
              <w:t>, se o “P” aparece primeiro.</w:t>
            </w:r>
          </w:p>
          <w:p w:rsidR="0045628A" w:rsidRPr="00FA3856" w:rsidRDefault="0045628A" w:rsidP="00DD6DC8">
            <w:pPr>
              <w:pStyle w:val="PSDS-CorpodeTexto0"/>
              <w:jc w:val="both"/>
              <w:rPr>
                <w:rFonts w:ascii="Times New Roman" w:hAnsi="Times New Roman"/>
                <w:b/>
                <w:lang w:val="pt-PT"/>
              </w:rPr>
            </w:pPr>
          </w:p>
          <w:p w:rsidR="00953CA7" w:rsidRPr="00FA3856" w:rsidRDefault="007D0E74" w:rsidP="00DD6DC8">
            <w:pPr>
              <w:pStyle w:val="PSDS-CorpodeTexto0"/>
              <w:jc w:val="both"/>
              <w:rPr>
                <w:rFonts w:ascii="Times New Roman" w:hAnsi="Times New Roman"/>
              </w:rPr>
            </w:pPr>
            <w:hyperlink w:anchor="REGRA_FORMA_TRIB_EXISTENTE" w:history="1">
              <w:r w:rsidR="00953CA7" w:rsidRPr="00FA3856">
                <w:rPr>
                  <w:rStyle w:val="Hyperlink"/>
                  <w:rFonts w:ascii="Times New Roman" w:hAnsi="Times New Roman"/>
                  <w:b/>
                  <w:color w:val="auto"/>
                  <w:lang w:val="pt-PT"/>
                </w:rPr>
                <w:t>REGRA_FORMA_TRIB_EXISTENTE</w:t>
              </w:r>
            </w:hyperlink>
            <w:r w:rsidR="005E0A1A" w:rsidRPr="00FA3856">
              <w:rPr>
                <w:rFonts w:ascii="Times New Roman" w:hAnsi="Times New Roman"/>
                <w:b/>
              </w:rPr>
              <w:t>:</w:t>
            </w:r>
            <w:r w:rsidR="0045628A" w:rsidRPr="00FA3856">
              <w:rPr>
                <w:rFonts w:ascii="Times New Roman" w:hAnsi="Times New Roman"/>
                <w:b/>
              </w:rPr>
              <w:t xml:space="preserve"> </w:t>
            </w:r>
            <w:r w:rsidR="0045628A" w:rsidRPr="00FA3856">
              <w:rPr>
                <w:rFonts w:ascii="Times New Roman" w:hAnsi="Times New Roman"/>
              </w:rPr>
              <w:t>Verifica as regras abaixo:</w:t>
            </w:r>
          </w:p>
          <w:p w:rsidR="0045628A" w:rsidRPr="00FA3856" w:rsidRDefault="00180423" w:rsidP="00DD6DC8">
            <w:pPr>
              <w:jc w:val="both"/>
              <w:rPr>
                <w:szCs w:val="20"/>
              </w:rPr>
            </w:pPr>
            <w:r w:rsidRPr="00FA3856">
              <w:rPr>
                <w:szCs w:val="20"/>
              </w:rPr>
              <w:t>0010.</w:t>
            </w:r>
            <w:r w:rsidR="003216A3" w:rsidRPr="00FA3856">
              <w:rPr>
                <w:szCs w:val="20"/>
              </w:rPr>
              <w:t>FORM</w:t>
            </w:r>
            <w:r w:rsidR="00142E8F" w:rsidRPr="00FA3856">
              <w:rPr>
                <w:szCs w:val="20"/>
              </w:rPr>
              <w:t>A_TRIB</w:t>
            </w:r>
            <w:r w:rsidR="003216A3" w:rsidRPr="00FA3856">
              <w:rPr>
                <w:szCs w:val="20"/>
              </w:rPr>
              <w:t xml:space="preserve"> é igual a</w:t>
            </w:r>
            <w:r w:rsidR="00F663C5" w:rsidRPr="00FA3856">
              <w:rPr>
                <w:szCs w:val="20"/>
              </w:rPr>
              <w:t xml:space="preserve"> “2</w:t>
            </w:r>
            <w:r w:rsidR="003216A3" w:rsidRPr="00FA3856">
              <w:rPr>
                <w:szCs w:val="20"/>
              </w:rPr>
              <w:t>” (Lucro Real/Arbitrado) e</w:t>
            </w:r>
            <w:r w:rsidR="00142E8F" w:rsidRPr="00FA3856">
              <w:rPr>
                <w:szCs w:val="20"/>
              </w:rPr>
              <w:t xml:space="preserve"> 0010.FORMA_TRIB_PER </w:t>
            </w:r>
            <w:r w:rsidR="003216A3" w:rsidRPr="00FA3856">
              <w:rPr>
                <w:szCs w:val="20"/>
              </w:rPr>
              <w:t>não possui “R” ou</w:t>
            </w:r>
            <w:r w:rsidR="0045628A" w:rsidRPr="00FA3856">
              <w:rPr>
                <w:szCs w:val="20"/>
              </w:rPr>
              <w:t xml:space="preserve"> não possui “A”</w:t>
            </w:r>
            <w:r w:rsidR="003216A3" w:rsidRPr="00FA3856">
              <w:rPr>
                <w:szCs w:val="20"/>
              </w:rPr>
              <w:t>.</w:t>
            </w:r>
          </w:p>
          <w:p w:rsidR="007A0DE7" w:rsidRPr="00FA3856" w:rsidRDefault="003216A3" w:rsidP="007A0DE7">
            <w:pPr>
              <w:jc w:val="both"/>
              <w:rPr>
                <w:szCs w:val="20"/>
              </w:rPr>
            </w:pPr>
            <w:r w:rsidRPr="00FA3856">
              <w:rPr>
                <w:szCs w:val="20"/>
              </w:rPr>
              <w:t>Ou</w:t>
            </w:r>
          </w:p>
          <w:p w:rsidR="003216A3" w:rsidRPr="00FA3856" w:rsidRDefault="003216A3" w:rsidP="003216A3">
            <w:pPr>
              <w:jc w:val="both"/>
              <w:rPr>
                <w:szCs w:val="20"/>
              </w:rPr>
            </w:pPr>
            <w:r w:rsidRPr="00FA3856">
              <w:rPr>
                <w:szCs w:val="20"/>
              </w:rPr>
              <w:t>0010.</w:t>
            </w:r>
            <w:r w:rsidR="00142E8F" w:rsidRPr="00FA3856">
              <w:rPr>
                <w:szCs w:val="20"/>
              </w:rPr>
              <w:t xml:space="preserve">FORMA_TRIB </w:t>
            </w:r>
            <w:r w:rsidRPr="00FA3856">
              <w:rPr>
                <w:szCs w:val="20"/>
              </w:rPr>
              <w:t>é igual a “3” (Lucro Presumido/Real) e</w:t>
            </w:r>
            <w:r w:rsidR="00142E8F" w:rsidRPr="00FA3856">
              <w:rPr>
                <w:szCs w:val="20"/>
              </w:rPr>
              <w:t xml:space="preserve"> 0010.FORMA_TRIB_PER </w:t>
            </w:r>
            <w:r w:rsidRPr="00FA3856">
              <w:rPr>
                <w:szCs w:val="20"/>
              </w:rPr>
              <w:t>não possui “P” ou não possui “R”.</w:t>
            </w:r>
          </w:p>
          <w:p w:rsidR="003216A3" w:rsidRPr="00FA3856" w:rsidRDefault="003216A3" w:rsidP="003216A3">
            <w:pPr>
              <w:jc w:val="both"/>
              <w:rPr>
                <w:szCs w:val="20"/>
              </w:rPr>
            </w:pPr>
            <w:r w:rsidRPr="00FA3856">
              <w:rPr>
                <w:szCs w:val="20"/>
              </w:rPr>
              <w:t>Ou</w:t>
            </w:r>
          </w:p>
          <w:p w:rsidR="003216A3" w:rsidRPr="00FA3856" w:rsidRDefault="003216A3" w:rsidP="003216A3">
            <w:pPr>
              <w:jc w:val="both"/>
              <w:rPr>
                <w:szCs w:val="20"/>
              </w:rPr>
            </w:pPr>
            <w:r w:rsidRPr="00FA3856">
              <w:rPr>
                <w:szCs w:val="20"/>
              </w:rPr>
              <w:t>0010.</w:t>
            </w:r>
            <w:r w:rsidR="00142E8F" w:rsidRPr="00FA3856">
              <w:rPr>
                <w:szCs w:val="20"/>
              </w:rPr>
              <w:t xml:space="preserve">FORMA_TRIB </w:t>
            </w:r>
            <w:r w:rsidRPr="00FA3856">
              <w:rPr>
                <w:szCs w:val="20"/>
              </w:rPr>
              <w:t>é igual a “4” (Lucro Presumido/Real/Arbitrado) e</w:t>
            </w:r>
            <w:r w:rsidR="00142E8F" w:rsidRPr="00FA3856">
              <w:rPr>
                <w:szCs w:val="20"/>
              </w:rPr>
              <w:t xml:space="preserve"> 0010.FORMA_TRIB_PER </w:t>
            </w:r>
            <w:r w:rsidRPr="00FA3856">
              <w:rPr>
                <w:szCs w:val="20"/>
              </w:rPr>
              <w:t>não possui “P” ou não possui “R” ou não possui “A”.</w:t>
            </w:r>
          </w:p>
          <w:p w:rsidR="003216A3" w:rsidRPr="00FA3856" w:rsidRDefault="003216A3" w:rsidP="007A0DE7">
            <w:pPr>
              <w:jc w:val="both"/>
              <w:rPr>
                <w:szCs w:val="20"/>
              </w:rPr>
            </w:pPr>
            <w:r w:rsidRPr="00FA3856">
              <w:rPr>
                <w:szCs w:val="20"/>
              </w:rPr>
              <w:t>Ou</w:t>
            </w:r>
          </w:p>
          <w:p w:rsidR="007A0DE7" w:rsidRDefault="00180423" w:rsidP="007A0DE7">
            <w:pPr>
              <w:jc w:val="both"/>
              <w:rPr>
                <w:szCs w:val="20"/>
              </w:rPr>
            </w:pPr>
            <w:r w:rsidRPr="00FA3856">
              <w:rPr>
                <w:szCs w:val="20"/>
              </w:rPr>
              <w:t>0010.</w:t>
            </w:r>
            <w:r w:rsidR="00F663C5" w:rsidRPr="00FA3856">
              <w:rPr>
                <w:szCs w:val="20"/>
              </w:rPr>
              <w:t>FOR</w:t>
            </w:r>
            <w:r w:rsidR="00142E8F" w:rsidRPr="00FA3856">
              <w:rPr>
                <w:szCs w:val="20"/>
              </w:rPr>
              <w:t xml:space="preserve">MA_TRIB </w:t>
            </w:r>
            <w:r w:rsidR="003216A3" w:rsidRPr="00FA3856">
              <w:rPr>
                <w:szCs w:val="20"/>
              </w:rPr>
              <w:t>é igual a</w:t>
            </w:r>
            <w:r w:rsidR="00F663C5" w:rsidRPr="00FA3856">
              <w:rPr>
                <w:szCs w:val="20"/>
              </w:rPr>
              <w:t xml:space="preserve"> “7</w:t>
            </w:r>
            <w:r w:rsidR="003216A3" w:rsidRPr="00FA3856">
              <w:rPr>
                <w:szCs w:val="20"/>
              </w:rPr>
              <w:t>” (Lucro Presumido/Arbitrado) e</w:t>
            </w:r>
            <w:r w:rsidR="00142E8F" w:rsidRPr="00FA3856">
              <w:rPr>
                <w:szCs w:val="20"/>
              </w:rPr>
              <w:t xml:space="preserve"> 0010.FORMA_TRIB_PER </w:t>
            </w:r>
            <w:r w:rsidR="003216A3" w:rsidRPr="00FA3856">
              <w:rPr>
                <w:szCs w:val="20"/>
              </w:rPr>
              <w:t>não possui “P” ou</w:t>
            </w:r>
            <w:r w:rsidR="007A0DE7" w:rsidRPr="00FA3856">
              <w:rPr>
                <w:szCs w:val="20"/>
              </w:rPr>
              <w:t xml:space="preserve"> não possui “A”</w:t>
            </w:r>
            <w:r w:rsidR="003216A3" w:rsidRPr="00FA3856">
              <w:rPr>
                <w:szCs w:val="20"/>
              </w:rPr>
              <w:t>.</w:t>
            </w:r>
          </w:p>
          <w:p w:rsidR="00174A9C" w:rsidRPr="00FA3856" w:rsidRDefault="00174A9C" w:rsidP="007A0DE7">
            <w:pPr>
              <w:jc w:val="both"/>
              <w:rPr>
                <w:szCs w:val="20"/>
              </w:rPr>
            </w:pPr>
          </w:p>
          <w:p w:rsidR="0045628A" w:rsidRPr="00FA3856" w:rsidRDefault="007D0E74" w:rsidP="00DD6DC8">
            <w:pPr>
              <w:pStyle w:val="PSDS-CorpodeTexto0"/>
              <w:jc w:val="both"/>
              <w:rPr>
                <w:rStyle w:val="Hyperlink"/>
                <w:rFonts w:ascii="Times New Roman" w:hAnsi="Times New Roman"/>
                <w:color w:val="auto"/>
              </w:rPr>
            </w:pPr>
            <w:hyperlink w:anchor="REGRA_FORM_TRIB_FORA_PERIODO" w:history="1">
              <w:r w:rsidR="00953CA7" w:rsidRPr="00FA3856">
                <w:rPr>
                  <w:rStyle w:val="Hyperlink"/>
                  <w:rFonts w:ascii="Times New Roman" w:hAnsi="Times New Roman"/>
                  <w:b/>
                  <w:color w:val="auto"/>
                </w:rPr>
                <w:t>REGRA_FORM_TRIB_FORA_PERIODO</w:t>
              </w:r>
            </w:hyperlink>
            <w:r w:rsidR="005E0A1A" w:rsidRPr="00FA3856">
              <w:rPr>
                <w:rStyle w:val="Hyperlink"/>
                <w:rFonts w:ascii="Times New Roman" w:hAnsi="Times New Roman"/>
                <w:b/>
                <w:color w:val="auto"/>
              </w:rPr>
              <w:t>:</w:t>
            </w:r>
            <w:r w:rsidR="0045628A" w:rsidRPr="00FA3856">
              <w:rPr>
                <w:rStyle w:val="Hyperlink"/>
                <w:rFonts w:ascii="Times New Roman" w:hAnsi="Times New Roman"/>
                <w:b/>
                <w:color w:val="auto"/>
              </w:rPr>
              <w:t xml:space="preserve"> </w:t>
            </w:r>
            <w:r w:rsidR="0045628A" w:rsidRPr="00FA3856">
              <w:rPr>
                <w:rStyle w:val="Hyperlink"/>
                <w:rFonts w:ascii="Times New Roman" w:hAnsi="Times New Roman"/>
                <w:color w:val="auto"/>
              </w:rPr>
              <w:t>Verifica se os trimestres fora do período de escrituração são do tipo “0”.</w:t>
            </w:r>
          </w:p>
          <w:p w:rsidR="007B2D8B" w:rsidRPr="00FA3856" w:rsidRDefault="007B2D8B" w:rsidP="00DD6DC8">
            <w:pPr>
              <w:pStyle w:val="PSDS-CorpodeTexto0"/>
              <w:jc w:val="both"/>
              <w:rPr>
                <w:rStyle w:val="Hyperlink"/>
                <w:rFonts w:ascii="Times New Roman" w:hAnsi="Times New Roman"/>
                <w:color w:val="auto"/>
              </w:rPr>
            </w:pPr>
          </w:p>
          <w:p w:rsidR="008E6196" w:rsidRPr="00FA3856" w:rsidRDefault="007B2D8B" w:rsidP="00DD6DC8">
            <w:pPr>
              <w:pStyle w:val="PSDS-CorpodeTexto0"/>
              <w:jc w:val="both"/>
              <w:rPr>
                <w:rFonts w:ascii="Times New Roman" w:hAnsi="Times New Roman"/>
              </w:rPr>
            </w:pPr>
            <w:r w:rsidRPr="00FA3856">
              <w:rPr>
                <w:rStyle w:val="Hyperlink"/>
                <w:rFonts w:ascii="Times New Roman" w:hAnsi="Times New Roman"/>
                <w:b/>
                <w:color w:val="auto"/>
              </w:rPr>
              <w:t xml:space="preserve">REGRA_FORMA_TRIB_PER_OBRIGATORIO: </w:t>
            </w:r>
            <w:r w:rsidRPr="00FA3856">
              <w:rPr>
                <w:rStyle w:val="Hyperlink"/>
                <w:rFonts w:ascii="Times New Roman" w:hAnsi="Times New Roman"/>
                <w:color w:val="auto"/>
              </w:rPr>
              <w:t xml:space="preserve">Verifica se </w:t>
            </w:r>
            <w:r w:rsidR="00180423" w:rsidRPr="00FA3856">
              <w:rPr>
                <w:rStyle w:val="Hyperlink"/>
                <w:rFonts w:ascii="Times New Roman" w:hAnsi="Times New Roman"/>
                <w:color w:val="auto"/>
              </w:rPr>
              <w:t>0010.</w:t>
            </w:r>
            <w:r w:rsidR="00142E8F" w:rsidRPr="00FA3856">
              <w:rPr>
                <w:rFonts w:ascii="Times New Roman" w:hAnsi="Times New Roman"/>
              </w:rPr>
              <w:t xml:space="preserve">FORMA_TRIB_PER está preenchido quando 0010.FORMA_TRIB </w:t>
            </w:r>
            <w:r w:rsidRPr="00FA3856">
              <w:rPr>
                <w:rFonts w:ascii="Times New Roman" w:hAnsi="Times New Roman"/>
              </w:rPr>
              <w:t xml:space="preserve">é diferente de </w:t>
            </w:r>
            <w:r w:rsidR="003216A3" w:rsidRPr="00FA3856">
              <w:rPr>
                <w:rFonts w:ascii="Times New Roman" w:hAnsi="Times New Roman"/>
              </w:rPr>
              <w:t>“8” (I</w:t>
            </w:r>
            <w:r w:rsidRPr="00FA3856">
              <w:rPr>
                <w:rFonts w:ascii="Times New Roman" w:hAnsi="Times New Roman"/>
              </w:rPr>
              <w:t>mune</w:t>
            </w:r>
            <w:r w:rsidR="003216A3" w:rsidRPr="00FA3856">
              <w:rPr>
                <w:rFonts w:ascii="Times New Roman" w:hAnsi="Times New Roman"/>
              </w:rPr>
              <w:t xml:space="preserve"> do IRPJ)</w:t>
            </w:r>
            <w:r w:rsidRPr="00FA3856">
              <w:rPr>
                <w:rFonts w:ascii="Times New Roman" w:hAnsi="Times New Roman"/>
              </w:rPr>
              <w:t xml:space="preserve"> ou </w:t>
            </w:r>
            <w:r w:rsidR="003216A3" w:rsidRPr="00FA3856">
              <w:rPr>
                <w:rFonts w:ascii="Times New Roman" w:hAnsi="Times New Roman"/>
              </w:rPr>
              <w:t>“9” (Isenta do IRPJ).</w:t>
            </w:r>
          </w:p>
        </w:tc>
        <w:tc>
          <w:tcPr>
            <w:tcW w:w="709" w:type="dxa"/>
            <w:tcBorders>
              <w:top w:val="single" w:sz="6" w:space="0" w:color="auto"/>
              <w:left w:val="single" w:sz="6" w:space="0" w:color="auto"/>
              <w:bottom w:val="single" w:sz="6" w:space="0" w:color="auto"/>
              <w:right w:val="single" w:sz="6" w:space="0" w:color="auto"/>
            </w:tcBorders>
          </w:tcPr>
          <w:p w:rsidR="00953CA7" w:rsidRPr="00FA3856" w:rsidRDefault="00953CA7" w:rsidP="00953CA7">
            <w:pPr>
              <w:pStyle w:val="PSDS-CorpodeTexto0"/>
              <w:rPr>
                <w:rFonts w:ascii="Times New Roman" w:hAnsi="Times New Roman"/>
              </w:rPr>
            </w:pPr>
            <w:r w:rsidRPr="00FA3856">
              <w:rPr>
                <w:rFonts w:ascii="Times New Roman" w:hAnsi="Times New Roman"/>
              </w:rPr>
              <w:lastRenderedPageBreak/>
              <w:t>Erro</w:t>
            </w:r>
          </w:p>
          <w:p w:rsidR="00953CA7" w:rsidRPr="00FA3856" w:rsidRDefault="00953CA7" w:rsidP="00953CA7">
            <w:pPr>
              <w:pStyle w:val="PSDS-CorpodeTexto0"/>
              <w:jc w:val="center"/>
              <w:rPr>
                <w:rFonts w:ascii="Times New Roman" w:hAnsi="Times New Roman"/>
              </w:rPr>
            </w:pPr>
          </w:p>
          <w:p w:rsidR="00953CA7" w:rsidRPr="00FA3856" w:rsidRDefault="00953CA7" w:rsidP="00953CA7">
            <w:pPr>
              <w:pStyle w:val="PSDS-CorpodeTexto0"/>
              <w:jc w:val="center"/>
              <w:rPr>
                <w:rFonts w:ascii="Times New Roman" w:hAnsi="Times New Roman"/>
              </w:rPr>
            </w:pPr>
          </w:p>
          <w:p w:rsidR="00953CA7" w:rsidRPr="00FA3856" w:rsidRDefault="00953CA7" w:rsidP="00953CA7">
            <w:pPr>
              <w:pStyle w:val="PSDS-CorpodeTexto0"/>
              <w:rPr>
                <w:rFonts w:ascii="Times New Roman" w:hAnsi="Times New Roman"/>
              </w:rPr>
            </w:pPr>
            <w:r w:rsidRPr="00FA3856">
              <w:rPr>
                <w:rFonts w:ascii="Times New Roman" w:hAnsi="Times New Roman"/>
              </w:rPr>
              <w:t>Erro</w:t>
            </w:r>
          </w:p>
          <w:p w:rsidR="005E0A1A" w:rsidRPr="00FA3856" w:rsidRDefault="005E0A1A" w:rsidP="00953CA7">
            <w:pPr>
              <w:pStyle w:val="PSDS-CorpodeTexto0"/>
              <w:rPr>
                <w:rFonts w:ascii="Times New Roman" w:hAnsi="Times New Roman"/>
              </w:rPr>
            </w:pPr>
          </w:p>
          <w:p w:rsidR="005E0A1A" w:rsidRPr="00FA3856" w:rsidRDefault="005E0A1A" w:rsidP="00953CA7">
            <w:pPr>
              <w:pStyle w:val="PSDS-CorpodeTexto0"/>
              <w:rPr>
                <w:rFonts w:ascii="Times New Roman" w:hAnsi="Times New Roman"/>
              </w:rPr>
            </w:pPr>
          </w:p>
          <w:p w:rsidR="005E0A1A" w:rsidRPr="00FA3856" w:rsidRDefault="005E0A1A" w:rsidP="00953CA7">
            <w:pPr>
              <w:pStyle w:val="PSDS-CorpodeTexto0"/>
              <w:rPr>
                <w:rFonts w:ascii="Times New Roman" w:hAnsi="Times New Roman"/>
              </w:rPr>
            </w:pPr>
          </w:p>
          <w:p w:rsidR="005E0A1A" w:rsidRPr="00FA3856" w:rsidRDefault="005E0A1A" w:rsidP="00953CA7">
            <w:pPr>
              <w:pStyle w:val="PSDS-CorpodeTexto0"/>
              <w:rPr>
                <w:rFonts w:ascii="Times New Roman" w:hAnsi="Times New Roman"/>
              </w:rPr>
            </w:pPr>
          </w:p>
          <w:p w:rsidR="005E0A1A" w:rsidRPr="00FA3856" w:rsidRDefault="005E0A1A" w:rsidP="00953CA7">
            <w:pPr>
              <w:pStyle w:val="PSDS-CorpodeTexto0"/>
              <w:rPr>
                <w:rFonts w:ascii="Times New Roman" w:hAnsi="Times New Roman"/>
              </w:rPr>
            </w:pPr>
          </w:p>
          <w:p w:rsidR="005E0A1A" w:rsidRPr="00FA3856" w:rsidRDefault="005E0A1A" w:rsidP="00953CA7">
            <w:pPr>
              <w:pStyle w:val="PSDS-CorpodeTexto0"/>
              <w:rPr>
                <w:rFonts w:ascii="Times New Roman" w:hAnsi="Times New Roman"/>
              </w:rPr>
            </w:pPr>
          </w:p>
          <w:p w:rsidR="005E0A1A" w:rsidRPr="00FA3856" w:rsidRDefault="005E0A1A" w:rsidP="00953CA7">
            <w:pPr>
              <w:pStyle w:val="PSDS-CorpodeTexto0"/>
              <w:rPr>
                <w:rFonts w:ascii="Times New Roman" w:hAnsi="Times New Roman"/>
              </w:rPr>
            </w:pPr>
          </w:p>
          <w:p w:rsidR="005E0A1A" w:rsidRPr="00FA3856" w:rsidRDefault="005E0A1A" w:rsidP="00953CA7">
            <w:pPr>
              <w:pStyle w:val="PSDS-CorpodeTexto0"/>
              <w:rPr>
                <w:rFonts w:ascii="Times New Roman" w:hAnsi="Times New Roman"/>
              </w:rPr>
            </w:pPr>
          </w:p>
          <w:p w:rsidR="005E0A1A" w:rsidRPr="00FA3856" w:rsidRDefault="005E0A1A" w:rsidP="00953CA7">
            <w:pPr>
              <w:pStyle w:val="PSDS-CorpodeTexto0"/>
              <w:rPr>
                <w:rFonts w:ascii="Times New Roman" w:hAnsi="Times New Roman"/>
              </w:rPr>
            </w:pPr>
          </w:p>
          <w:p w:rsidR="005E0A1A" w:rsidRPr="00FA3856" w:rsidRDefault="005E0A1A" w:rsidP="00953CA7">
            <w:pPr>
              <w:pStyle w:val="PSDS-CorpodeTexto0"/>
              <w:rPr>
                <w:rFonts w:ascii="Times New Roman" w:hAnsi="Times New Roman"/>
              </w:rPr>
            </w:pPr>
          </w:p>
          <w:p w:rsidR="005E0A1A" w:rsidRPr="00FA3856" w:rsidRDefault="005E0A1A" w:rsidP="00953CA7">
            <w:pPr>
              <w:pStyle w:val="PSDS-CorpodeTexto0"/>
              <w:rPr>
                <w:rFonts w:ascii="Times New Roman" w:hAnsi="Times New Roman"/>
              </w:rPr>
            </w:pPr>
          </w:p>
          <w:p w:rsidR="005E0A1A" w:rsidRPr="00FA3856" w:rsidRDefault="005E0A1A" w:rsidP="00953CA7">
            <w:pPr>
              <w:pStyle w:val="PSDS-CorpodeTexto0"/>
              <w:rPr>
                <w:rFonts w:ascii="Times New Roman" w:hAnsi="Times New Roman"/>
              </w:rPr>
            </w:pPr>
          </w:p>
          <w:p w:rsidR="005E0A1A" w:rsidRPr="00FA3856" w:rsidRDefault="005E0A1A" w:rsidP="00953CA7">
            <w:pPr>
              <w:pStyle w:val="PSDS-CorpodeTexto0"/>
              <w:rPr>
                <w:rFonts w:ascii="Times New Roman" w:hAnsi="Times New Roman"/>
              </w:rPr>
            </w:pPr>
          </w:p>
          <w:p w:rsidR="005E0A1A" w:rsidRPr="00FA3856" w:rsidRDefault="005E0A1A" w:rsidP="00953CA7">
            <w:pPr>
              <w:pStyle w:val="PSDS-CorpodeTexto0"/>
              <w:rPr>
                <w:rFonts w:ascii="Times New Roman" w:hAnsi="Times New Roman"/>
              </w:rPr>
            </w:pPr>
          </w:p>
          <w:p w:rsidR="005E0A1A" w:rsidRPr="00FA3856" w:rsidRDefault="005E0A1A" w:rsidP="00953CA7">
            <w:pPr>
              <w:pStyle w:val="PSDS-CorpodeTexto0"/>
              <w:rPr>
                <w:rFonts w:ascii="Times New Roman" w:hAnsi="Times New Roman"/>
              </w:rPr>
            </w:pPr>
          </w:p>
          <w:p w:rsidR="003216A3" w:rsidRPr="00FA3856" w:rsidRDefault="003216A3" w:rsidP="00953CA7">
            <w:pPr>
              <w:pStyle w:val="PSDS-CorpodeTexto0"/>
              <w:rPr>
                <w:rFonts w:ascii="Times New Roman" w:hAnsi="Times New Roman"/>
              </w:rPr>
            </w:pPr>
          </w:p>
          <w:p w:rsidR="003216A3" w:rsidRPr="00FA3856" w:rsidRDefault="003216A3" w:rsidP="00953CA7">
            <w:pPr>
              <w:pStyle w:val="PSDS-CorpodeTexto0"/>
              <w:rPr>
                <w:rFonts w:ascii="Times New Roman" w:hAnsi="Times New Roman"/>
              </w:rPr>
            </w:pPr>
          </w:p>
          <w:p w:rsidR="003216A3" w:rsidRPr="00FA3856" w:rsidRDefault="003216A3" w:rsidP="00953CA7">
            <w:pPr>
              <w:pStyle w:val="PSDS-CorpodeTexto0"/>
              <w:rPr>
                <w:rFonts w:ascii="Times New Roman" w:hAnsi="Times New Roman"/>
              </w:rPr>
            </w:pPr>
          </w:p>
          <w:p w:rsidR="003216A3" w:rsidRPr="00FA3856" w:rsidRDefault="003216A3" w:rsidP="00953CA7">
            <w:pPr>
              <w:pStyle w:val="PSDS-CorpodeTexto0"/>
              <w:rPr>
                <w:rFonts w:ascii="Times New Roman" w:hAnsi="Times New Roman"/>
              </w:rPr>
            </w:pPr>
          </w:p>
          <w:p w:rsidR="008E6196" w:rsidRPr="00FA3856" w:rsidRDefault="008E6196" w:rsidP="00953CA7">
            <w:pPr>
              <w:pStyle w:val="PSDS-CorpodeTexto0"/>
              <w:rPr>
                <w:rFonts w:ascii="Times New Roman" w:hAnsi="Times New Roman"/>
              </w:rPr>
            </w:pPr>
          </w:p>
          <w:p w:rsidR="005E0A1A" w:rsidRPr="00FA3856" w:rsidRDefault="005E0A1A" w:rsidP="00953CA7">
            <w:pPr>
              <w:pStyle w:val="PSDS-CorpodeTexto0"/>
              <w:rPr>
                <w:rFonts w:ascii="Times New Roman" w:hAnsi="Times New Roman"/>
              </w:rPr>
            </w:pPr>
            <w:r w:rsidRPr="00FA3856">
              <w:rPr>
                <w:rFonts w:ascii="Times New Roman" w:hAnsi="Times New Roman"/>
              </w:rPr>
              <w:t>Erro</w:t>
            </w:r>
          </w:p>
          <w:p w:rsidR="005E0A1A" w:rsidRPr="00FA3856" w:rsidRDefault="005E0A1A" w:rsidP="00953CA7">
            <w:pPr>
              <w:pStyle w:val="PSDS-CorpodeTexto0"/>
              <w:rPr>
                <w:rFonts w:ascii="Times New Roman" w:hAnsi="Times New Roman"/>
              </w:rPr>
            </w:pPr>
          </w:p>
          <w:p w:rsidR="0045628A" w:rsidRPr="00FA3856" w:rsidRDefault="0045628A" w:rsidP="00953CA7">
            <w:pPr>
              <w:pStyle w:val="PSDS-CorpodeTexto0"/>
              <w:rPr>
                <w:rFonts w:ascii="Times New Roman" w:hAnsi="Times New Roman"/>
              </w:rPr>
            </w:pPr>
            <w:r w:rsidRPr="00FA3856">
              <w:rPr>
                <w:rFonts w:ascii="Times New Roman" w:hAnsi="Times New Roman"/>
              </w:rPr>
              <w:t>Erro</w:t>
            </w:r>
          </w:p>
          <w:p w:rsidR="0045628A" w:rsidRPr="00FA3856" w:rsidRDefault="0045628A" w:rsidP="00953CA7">
            <w:pPr>
              <w:pStyle w:val="PSDS-CorpodeTexto0"/>
              <w:rPr>
                <w:rFonts w:ascii="Times New Roman" w:hAnsi="Times New Roman"/>
              </w:rPr>
            </w:pPr>
          </w:p>
          <w:p w:rsidR="0045628A" w:rsidRPr="00FA3856" w:rsidRDefault="0045628A" w:rsidP="00953CA7">
            <w:pPr>
              <w:pStyle w:val="PSDS-CorpodeTexto0"/>
              <w:rPr>
                <w:rFonts w:ascii="Times New Roman" w:hAnsi="Times New Roman"/>
              </w:rPr>
            </w:pPr>
            <w:r w:rsidRPr="00FA3856">
              <w:rPr>
                <w:rFonts w:ascii="Times New Roman" w:hAnsi="Times New Roman"/>
              </w:rPr>
              <w:t>Erro</w:t>
            </w:r>
          </w:p>
          <w:p w:rsidR="0045628A" w:rsidRPr="00FA3856" w:rsidRDefault="0045628A" w:rsidP="00953CA7">
            <w:pPr>
              <w:pStyle w:val="PSDS-CorpodeTexto0"/>
              <w:rPr>
                <w:rFonts w:ascii="Times New Roman" w:hAnsi="Times New Roman"/>
              </w:rPr>
            </w:pPr>
          </w:p>
          <w:p w:rsidR="0045628A" w:rsidRPr="00FA3856" w:rsidRDefault="0045628A" w:rsidP="00953CA7">
            <w:pPr>
              <w:pStyle w:val="PSDS-CorpodeTexto0"/>
              <w:rPr>
                <w:rFonts w:ascii="Times New Roman" w:hAnsi="Times New Roman"/>
              </w:rPr>
            </w:pPr>
          </w:p>
          <w:p w:rsidR="0045628A" w:rsidRPr="00FA3856" w:rsidRDefault="0045628A" w:rsidP="00953CA7">
            <w:pPr>
              <w:pStyle w:val="PSDS-CorpodeTexto0"/>
              <w:rPr>
                <w:rFonts w:ascii="Times New Roman" w:hAnsi="Times New Roman"/>
              </w:rPr>
            </w:pPr>
          </w:p>
          <w:p w:rsidR="001A297B" w:rsidRPr="00FA3856" w:rsidRDefault="001A297B" w:rsidP="00953CA7">
            <w:pPr>
              <w:pStyle w:val="PSDS-CorpodeTexto0"/>
              <w:rPr>
                <w:rFonts w:ascii="Times New Roman" w:hAnsi="Times New Roman"/>
              </w:rPr>
            </w:pPr>
          </w:p>
          <w:p w:rsidR="001A297B" w:rsidRPr="00FA3856" w:rsidRDefault="001A297B" w:rsidP="00953CA7">
            <w:pPr>
              <w:pStyle w:val="PSDS-CorpodeTexto0"/>
              <w:rPr>
                <w:rFonts w:ascii="Times New Roman" w:hAnsi="Times New Roman"/>
              </w:rPr>
            </w:pPr>
          </w:p>
          <w:p w:rsidR="007B2D8B" w:rsidRPr="00FA3856" w:rsidRDefault="007B2D8B" w:rsidP="00953CA7">
            <w:pPr>
              <w:pStyle w:val="PSDS-CorpodeTexto0"/>
              <w:rPr>
                <w:rFonts w:ascii="Times New Roman" w:hAnsi="Times New Roman"/>
              </w:rPr>
            </w:pPr>
          </w:p>
          <w:p w:rsidR="00180423" w:rsidRPr="00FA3856" w:rsidRDefault="00180423" w:rsidP="00953CA7">
            <w:pPr>
              <w:pStyle w:val="PSDS-CorpodeTexto0"/>
              <w:rPr>
                <w:rFonts w:ascii="Times New Roman" w:hAnsi="Times New Roman"/>
              </w:rPr>
            </w:pPr>
          </w:p>
          <w:p w:rsidR="00174A9C" w:rsidRDefault="00174A9C" w:rsidP="00953CA7">
            <w:pPr>
              <w:pStyle w:val="PSDS-CorpodeTexto0"/>
              <w:rPr>
                <w:rFonts w:ascii="Times New Roman" w:hAnsi="Times New Roman"/>
              </w:rPr>
            </w:pPr>
          </w:p>
          <w:p w:rsidR="005E0A1A" w:rsidRPr="00FA3856" w:rsidRDefault="0045628A" w:rsidP="00953CA7">
            <w:pPr>
              <w:pStyle w:val="PSDS-CorpodeTexto0"/>
              <w:rPr>
                <w:rFonts w:ascii="Times New Roman" w:hAnsi="Times New Roman"/>
              </w:rPr>
            </w:pPr>
            <w:r w:rsidRPr="00FA3856">
              <w:rPr>
                <w:rFonts w:ascii="Times New Roman" w:hAnsi="Times New Roman"/>
              </w:rPr>
              <w:t>Erro</w:t>
            </w:r>
          </w:p>
          <w:p w:rsidR="007B2D8B" w:rsidRPr="00FA3856" w:rsidRDefault="007B2D8B" w:rsidP="00953CA7">
            <w:pPr>
              <w:pStyle w:val="PSDS-CorpodeTexto0"/>
              <w:rPr>
                <w:rFonts w:ascii="Times New Roman" w:hAnsi="Times New Roman"/>
              </w:rPr>
            </w:pPr>
          </w:p>
          <w:p w:rsidR="007B2D8B" w:rsidRPr="00FA3856" w:rsidRDefault="007B2D8B" w:rsidP="00953CA7">
            <w:pPr>
              <w:pStyle w:val="PSDS-CorpodeTexto0"/>
              <w:rPr>
                <w:rFonts w:ascii="Times New Roman" w:hAnsi="Times New Roman"/>
              </w:rPr>
            </w:pPr>
            <w:r w:rsidRPr="00FA3856">
              <w:rPr>
                <w:rFonts w:ascii="Times New Roman" w:hAnsi="Times New Roman"/>
              </w:rPr>
              <w:t>Erro</w:t>
            </w:r>
          </w:p>
        </w:tc>
      </w:tr>
      <w:tr w:rsidR="00953CA7" w:rsidRPr="00FA3856" w:rsidTr="006A4D3C">
        <w:trPr>
          <w:trHeight w:val="20"/>
          <w:jc w:val="center"/>
        </w:trPr>
        <w:tc>
          <w:tcPr>
            <w:tcW w:w="614" w:type="dxa"/>
            <w:tcBorders>
              <w:top w:val="single" w:sz="6" w:space="0" w:color="auto"/>
              <w:left w:val="single" w:sz="6" w:space="0" w:color="auto"/>
              <w:bottom w:val="single" w:sz="6" w:space="0" w:color="auto"/>
              <w:right w:val="single" w:sz="6" w:space="0" w:color="auto"/>
            </w:tcBorders>
          </w:tcPr>
          <w:p w:rsidR="00953CA7" w:rsidRPr="00FA3856" w:rsidRDefault="00067005" w:rsidP="00067005">
            <w:pPr>
              <w:pStyle w:val="PSDS-CorpodeTexto0"/>
              <w:suppressAutoHyphens w:val="0"/>
              <w:rPr>
                <w:rFonts w:ascii="Times New Roman" w:hAnsi="Times New Roman"/>
                <w:b/>
                <w:bCs/>
                <w:lang w:val="pt-PT"/>
              </w:rPr>
            </w:pPr>
            <w:r w:rsidRPr="00FA3856">
              <w:rPr>
                <w:rFonts w:ascii="Times New Roman" w:hAnsi="Times New Roman"/>
                <w:b/>
                <w:bCs/>
                <w:lang w:val="pt-PT"/>
              </w:rPr>
              <w:lastRenderedPageBreak/>
              <w:t>9</w:t>
            </w:r>
          </w:p>
        </w:tc>
        <w:tc>
          <w:tcPr>
            <w:tcW w:w="2050" w:type="dxa"/>
            <w:tcBorders>
              <w:top w:val="single" w:sz="6" w:space="0" w:color="auto"/>
              <w:left w:val="single" w:sz="6" w:space="0" w:color="auto"/>
              <w:bottom w:val="single" w:sz="6" w:space="0" w:color="auto"/>
              <w:right w:val="single" w:sz="6" w:space="0" w:color="auto"/>
            </w:tcBorders>
          </w:tcPr>
          <w:p w:rsidR="00953CA7" w:rsidRPr="00FA3856" w:rsidRDefault="00953CA7" w:rsidP="00953CA7">
            <w:pPr>
              <w:pStyle w:val="PSDS-CorpodeTexto0"/>
              <w:rPr>
                <w:rFonts w:ascii="Times New Roman" w:hAnsi="Times New Roman"/>
                <w:b/>
                <w:bCs/>
                <w:lang w:val="es-ES_tradnl"/>
              </w:rPr>
            </w:pPr>
            <w:r w:rsidRPr="00FA3856">
              <w:rPr>
                <w:rFonts w:ascii="Times New Roman" w:hAnsi="Times New Roman"/>
                <w:lang w:val="es-ES_tradnl"/>
              </w:rPr>
              <w:t>MES_BAL_RED</w:t>
            </w:r>
          </w:p>
        </w:tc>
        <w:tc>
          <w:tcPr>
            <w:tcW w:w="12997" w:type="dxa"/>
            <w:tcBorders>
              <w:top w:val="single" w:sz="6" w:space="0" w:color="auto"/>
              <w:left w:val="single" w:sz="6" w:space="0" w:color="auto"/>
              <w:bottom w:val="single" w:sz="6" w:space="0" w:color="auto"/>
              <w:right w:val="single" w:sz="6" w:space="0" w:color="auto"/>
            </w:tcBorders>
          </w:tcPr>
          <w:p w:rsidR="00953CA7" w:rsidRPr="00FA3856" w:rsidRDefault="007D0E74" w:rsidP="00DD6DC8">
            <w:pPr>
              <w:pStyle w:val="PSDS-CorpodeTexto0"/>
              <w:jc w:val="both"/>
              <w:rPr>
                <w:rFonts w:ascii="Times New Roman" w:hAnsi="Times New Roman"/>
                <w:bCs/>
                <w:lang w:val="pt-PT"/>
              </w:rPr>
            </w:pPr>
            <w:hyperlink w:anchor="REGRA_MES_BAL_RED_OBRIGATORIO" w:history="1">
              <w:r w:rsidR="00953CA7" w:rsidRPr="00FA3856">
                <w:rPr>
                  <w:rStyle w:val="Hyperlink"/>
                  <w:rFonts w:ascii="Times New Roman" w:hAnsi="Times New Roman"/>
                  <w:b/>
                  <w:bCs/>
                  <w:color w:val="auto"/>
                  <w:lang w:val="pt-PT"/>
                </w:rPr>
                <w:t>REGRA_MES_BAL_RED_OBRIGATORIO</w:t>
              </w:r>
            </w:hyperlink>
            <w:r w:rsidR="00DD6DC8" w:rsidRPr="00FA3856">
              <w:rPr>
                <w:rFonts w:ascii="Times New Roman" w:hAnsi="Times New Roman"/>
                <w:b/>
                <w:bCs/>
                <w:lang w:val="pt-PT"/>
              </w:rPr>
              <w:t xml:space="preserve">: </w:t>
            </w:r>
            <w:r w:rsidR="00DD6DC8" w:rsidRPr="00FA3856">
              <w:rPr>
                <w:rFonts w:ascii="Times New Roman" w:hAnsi="Times New Roman"/>
                <w:bCs/>
                <w:lang w:val="pt-PT"/>
              </w:rPr>
              <w:t xml:space="preserve">Verifica se </w:t>
            </w:r>
            <w:r w:rsidR="00142E8F" w:rsidRPr="00FA3856">
              <w:rPr>
                <w:rFonts w:ascii="Times New Roman" w:hAnsi="Times New Roman"/>
                <w:bCs/>
                <w:lang w:val="pt-PT"/>
              </w:rPr>
              <w:t xml:space="preserve">0010.MES_BAL_RED </w:t>
            </w:r>
            <w:r w:rsidR="00DD6DC8" w:rsidRPr="00FA3856">
              <w:rPr>
                <w:rFonts w:ascii="Times New Roman" w:hAnsi="Times New Roman"/>
                <w:bCs/>
                <w:lang w:val="pt-PT"/>
              </w:rPr>
              <w:t xml:space="preserve">foi preenchido, no caso de </w:t>
            </w:r>
            <w:r w:rsidR="00142E8F" w:rsidRPr="00FA3856">
              <w:rPr>
                <w:rFonts w:ascii="Times New Roman" w:hAnsi="Times New Roman"/>
                <w:bCs/>
                <w:lang w:val="pt-PT"/>
              </w:rPr>
              <w:t xml:space="preserve">0010.FORMA_APUR </w:t>
            </w:r>
            <w:r w:rsidR="00DD6DC8" w:rsidRPr="00FA3856">
              <w:rPr>
                <w:rFonts w:ascii="Times New Roman" w:hAnsi="Times New Roman"/>
                <w:bCs/>
                <w:lang w:val="pt-PT"/>
              </w:rPr>
              <w:t>igual a “A”</w:t>
            </w:r>
            <w:r w:rsidR="003216A3" w:rsidRPr="00FA3856">
              <w:rPr>
                <w:rFonts w:ascii="Times New Roman" w:hAnsi="Times New Roman"/>
                <w:bCs/>
                <w:lang w:val="pt-PT"/>
              </w:rPr>
              <w:t xml:space="preserve"> (Anual)</w:t>
            </w:r>
            <w:r w:rsidR="00DD6DC8" w:rsidRPr="00FA3856">
              <w:rPr>
                <w:rFonts w:ascii="Times New Roman" w:hAnsi="Times New Roman"/>
                <w:bCs/>
                <w:lang w:val="pt-PT"/>
              </w:rPr>
              <w:t>.</w:t>
            </w:r>
          </w:p>
          <w:p w:rsidR="00953CA7" w:rsidRPr="00FA3856" w:rsidRDefault="00953CA7" w:rsidP="00DD6DC8">
            <w:pPr>
              <w:pStyle w:val="PSDS-CorpodeTexto0"/>
              <w:jc w:val="both"/>
              <w:rPr>
                <w:rFonts w:ascii="Times New Roman" w:hAnsi="Times New Roman"/>
                <w:b/>
                <w:bCs/>
                <w:lang w:val="pt-PT"/>
              </w:rPr>
            </w:pPr>
          </w:p>
          <w:p w:rsidR="00DD6DC8" w:rsidRPr="00FA3856" w:rsidRDefault="007D0E74" w:rsidP="00DD6DC8">
            <w:pPr>
              <w:pStyle w:val="PSDS-CorpodeTexto0"/>
              <w:jc w:val="both"/>
              <w:rPr>
                <w:rFonts w:ascii="Times New Roman" w:hAnsi="Times New Roman"/>
                <w:bCs/>
                <w:lang w:val="pt-PT"/>
              </w:rPr>
            </w:pPr>
            <w:hyperlink w:anchor="REGRA_NAO_PREENCHER_TRIMESTRAL" w:history="1">
              <w:r w:rsidR="00953CA7" w:rsidRPr="00FA3856">
                <w:rPr>
                  <w:rStyle w:val="Hyperlink"/>
                  <w:rFonts w:ascii="Times New Roman" w:hAnsi="Times New Roman"/>
                  <w:b/>
                  <w:bCs/>
                  <w:color w:val="auto"/>
                  <w:lang w:val="pt-PT"/>
                </w:rPr>
                <w:t>REGRA_NAO_PREENCHER_TRIMESTRAL</w:t>
              </w:r>
            </w:hyperlink>
            <w:r w:rsidR="005E0A1A" w:rsidRPr="00FA3856">
              <w:rPr>
                <w:rStyle w:val="Hyperlink"/>
                <w:rFonts w:ascii="Times New Roman" w:hAnsi="Times New Roman"/>
                <w:b/>
                <w:bCs/>
                <w:color w:val="auto"/>
                <w:lang w:val="pt-PT"/>
              </w:rPr>
              <w:t>:</w:t>
            </w:r>
            <w:r w:rsidR="00DD6DC8" w:rsidRPr="00FA3856">
              <w:rPr>
                <w:rStyle w:val="Hyperlink"/>
                <w:rFonts w:ascii="Times New Roman" w:hAnsi="Times New Roman"/>
                <w:b/>
                <w:bCs/>
                <w:color w:val="auto"/>
                <w:lang w:val="pt-PT"/>
              </w:rPr>
              <w:t xml:space="preserve"> </w:t>
            </w:r>
            <w:r w:rsidR="00DD6DC8" w:rsidRPr="00FA3856">
              <w:rPr>
                <w:rFonts w:ascii="Times New Roman" w:hAnsi="Times New Roman"/>
                <w:bCs/>
                <w:lang w:val="pt-PT"/>
              </w:rPr>
              <w:t xml:space="preserve">Verifica se </w:t>
            </w:r>
            <w:r w:rsidR="00142E8F" w:rsidRPr="00FA3856">
              <w:rPr>
                <w:rFonts w:ascii="Times New Roman" w:hAnsi="Times New Roman"/>
                <w:bCs/>
                <w:lang w:val="pt-PT"/>
              </w:rPr>
              <w:t xml:space="preserve">0010.MES_BAL_RED </w:t>
            </w:r>
            <w:r w:rsidR="00DD6DC8" w:rsidRPr="00FA3856">
              <w:rPr>
                <w:rFonts w:ascii="Times New Roman" w:hAnsi="Times New Roman"/>
                <w:bCs/>
                <w:lang w:val="pt-PT"/>
              </w:rPr>
              <w:t>não foi preenchido</w:t>
            </w:r>
            <w:r w:rsidR="00180423" w:rsidRPr="00FA3856">
              <w:rPr>
                <w:rFonts w:ascii="Times New Roman" w:hAnsi="Times New Roman"/>
                <w:bCs/>
                <w:lang w:val="pt-PT"/>
              </w:rPr>
              <w:t>, no</w:t>
            </w:r>
            <w:r w:rsidR="00142E8F" w:rsidRPr="00FA3856">
              <w:rPr>
                <w:rFonts w:ascii="Times New Roman" w:hAnsi="Times New Roman"/>
                <w:bCs/>
                <w:lang w:val="pt-PT"/>
              </w:rPr>
              <w:t xml:space="preserve"> caso de 0010.FORMA_APUR </w:t>
            </w:r>
            <w:r w:rsidR="00DD6DC8" w:rsidRPr="00FA3856">
              <w:rPr>
                <w:rFonts w:ascii="Times New Roman" w:hAnsi="Times New Roman"/>
                <w:bCs/>
                <w:lang w:val="pt-PT"/>
              </w:rPr>
              <w:t>igual a “T”.</w:t>
            </w:r>
          </w:p>
          <w:p w:rsidR="00953CA7" w:rsidRPr="00FA3856" w:rsidRDefault="00953CA7" w:rsidP="00DD6DC8">
            <w:pPr>
              <w:pStyle w:val="PSDS-CorpodeTexto0"/>
              <w:jc w:val="both"/>
              <w:rPr>
                <w:rFonts w:ascii="Times New Roman" w:hAnsi="Times New Roman"/>
                <w:b/>
                <w:bCs/>
                <w:lang w:val="pt-PT"/>
              </w:rPr>
            </w:pPr>
          </w:p>
          <w:p w:rsidR="00953CA7" w:rsidRPr="00FA3856" w:rsidRDefault="007D0E74" w:rsidP="00DD6DC8">
            <w:pPr>
              <w:pStyle w:val="PSDS-CorpodeTexto0"/>
              <w:jc w:val="both"/>
              <w:rPr>
                <w:rFonts w:ascii="Times New Roman" w:hAnsi="Times New Roman"/>
                <w:bCs/>
                <w:lang w:val="es-ES_tradnl"/>
              </w:rPr>
            </w:pPr>
            <w:hyperlink w:anchor="REGRA_MES_BAL_RED_INVALIDO" w:history="1">
              <w:r w:rsidR="00953CA7" w:rsidRPr="00FA3856">
                <w:rPr>
                  <w:rStyle w:val="Hyperlink"/>
                  <w:rFonts w:ascii="Times New Roman" w:hAnsi="Times New Roman"/>
                  <w:b/>
                  <w:bCs/>
                  <w:color w:val="auto"/>
                  <w:lang w:val="es-ES_tradnl"/>
                </w:rPr>
                <w:t>REGRA_MES_BAL_RED_INVALIDO</w:t>
              </w:r>
            </w:hyperlink>
            <w:r w:rsidR="005E0A1A" w:rsidRPr="00FA3856">
              <w:rPr>
                <w:rFonts w:ascii="Times New Roman" w:hAnsi="Times New Roman"/>
                <w:b/>
                <w:bCs/>
                <w:lang w:val="es-ES_tradnl"/>
              </w:rPr>
              <w:t>:</w:t>
            </w:r>
            <w:r w:rsidR="00DD6DC8" w:rsidRPr="00FA3856">
              <w:rPr>
                <w:rFonts w:ascii="Times New Roman" w:hAnsi="Times New Roman"/>
                <w:b/>
                <w:bCs/>
                <w:lang w:val="es-ES_tradnl"/>
              </w:rPr>
              <w:t xml:space="preserve"> </w:t>
            </w:r>
            <w:r w:rsidR="00DD6DC8" w:rsidRPr="00FA3856">
              <w:rPr>
                <w:rFonts w:ascii="Times New Roman" w:hAnsi="Times New Roman"/>
                <w:bCs/>
                <w:lang w:val="es-ES_tradnl"/>
              </w:rPr>
              <w:t>Verifica se os meses correspondentes a trimestres mar</w:t>
            </w:r>
            <w:r w:rsidR="00180423" w:rsidRPr="00FA3856">
              <w:rPr>
                <w:rFonts w:ascii="Times New Roman" w:hAnsi="Times New Roman"/>
                <w:bCs/>
                <w:lang w:val="es-ES_tradnl"/>
              </w:rPr>
              <w:t>cado</w:t>
            </w:r>
            <w:r w:rsidR="00142E8F" w:rsidRPr="00FA3856">
              <w:rPr>
                <w:rFonts w:ascii="Times New Roman" w:hAnsi="Times New Roman"/>
                <w:bCs/>
                <w:lang w:val="es-ES_tradnl"/>
              </w:rPr>
              <w:t xml:space="preserve">s em 0010.FORMA_TRIB_PER </w:t>
            </w:r>
            <w:r w:rsidR="00DD6DC8" w:rsidRPr="00FA3856">
              <w:rPr>
                <w:rFonts w:ascii="Times New Roman" w:hAnsi="Times New Roman"/>
                <w:bCs/>
                <w:lang w:val="es-ES_tradnl"/>
              </w:rPr>
              <w:t>estão preenchidos conforme as regras abaixo:</w:t>
            </w:r>
          </w:p>
          <w:p w:rsidR="00DD6DC8" w:rsidRPr="00FA3856" w:rsidRDefault="00142E8F" w:rsidP="00DD6DC8">
            <w:pPr>
              <w:pStyle w:val="PSDS-CorpodeTexto0"/>
              <w:jc w:val="both"/>
              <w:rPr>
                <w:rFonts w:ascii="Times New Roman" w:hAnsi="Times New Roman"/>
                <w:bCs/>
                <w:lang w:val="es-ES_tradnl"/>
              </w:rPr>
            </w:pPr>
            <w:r w:rsidRPr="00FA3856">
              <w:rPr>
                <w:rFonts w:ascii="Times New Roman" w:hAnsi="Times New Roman"/>
                <w:bCs/>
                <w:lang w:val="es-ES_tradnl"/>
              </w:rPr>
              <w:t>Se</w:t>
            </w:r>
            <w:r w:rsidR="00DD6DC8" w:rsidRPr="00FA3856">
              <w:rPr>
                <w:rFonts w:ascii="Times New Roman" w:hAnsi="Times New Roman"/>
                <w:bCs/>
                <w:lang w:val="es-ES_tradnl"/>
              </w:rPr>
              <w:t xml:space="preserve"> </w:t>
            </w:r>
            <w:r w:rsidRPr="00FA3856">
              <w:rPr>
                <w:rFonts w:ascii="Times New Roman" w:hAnsi="Times New Roman"/>
                <w:bCs/>
                <w:lang w:val="es-ES_tradnl"/>
              </w:rPr>
              <w:t xml:space="preserve">0010.FORMA_TRIB_PER </w:t>
            </w:r>
            <w:r w:rsidR="00DD6DC8" w:rsidRPr="00FA3856">
              <w:rPr>
                <w:rFonts w:ascii="Times New Roman" w:hAnsi="Times New Roman"/>
                <w:bCs/>
                <w:lang w:val="es-ES_tradnl"/>
              </w:rPr>
              <w:t xml:space="preserve">for diferente de “R” e “E”, </w:t>
            </w:r>
            <w:r w:rsidRPr="00FA3856">
              <w:rPr>
                <w:rFonts w:ascii="Times New Roman" w:hAnsi="Times New Roman"/>
                <w:bCs/>
                <w:lang w:val="es-ES_tradnl"/>
              </w:rPr>
              <w:t>então</w:t>
            </w:r>
            <w:r w:rsidR="00DD6DC8" w:rsidRPr="00FA3856">
              <w:rPr>
                <w:rFonts w:ascii="Times New Roman" w:hAnsi="Times New Roman"/>
                <w:bCs/>
                <w:lang w:val="es-ES_tradnl"/>
              </w:rPr>
              <w:t xml:space="preserve"> </w:t>
            </w:r>
            <w:r w:rsidRPr="00FA3856">
              <w:rPr>
                <w:rFonts w:ascii="Times New Roman" w:hAnsi="Times New Roman"/>
                <w:bCs/>
                <w:lang w:val="es-ES_tradnl"/>
              </w:rPr>
              <w:t xml:space="preserve">0010.MES_BAL_RED deve ser </w:t>
            </w:r>
            <w:r w:rsidR="00DD6DC8" w:rsidRPr="00FA3856">
              <w:rPr>
                <w:rFonts w:ascii="Times New Roman" w:hAnsi="Times New Roman"/>
                <w:bCs/>
                <w:lang w:val="es-ES_tradnl"/>
              </w:rPr>
              <w:t>igual a “0”</w:t>
            </w:r>
            <w:r w:rsidRPr="00FA3856">
              <w:rPr>
                <w:rFonts w:ascii="Times New Roman" w:hAnsi="Times New Roman"/>
                <w:bCs/>
                <w:lang w:val="es-ES_tradnl"/>
              </w:rPr>
              <w:t>.</w:t>
            </w:r>
          </w:p>
          <w:p w:rsidR="00DD6DC8" w:rsidRPr="00FA3856" w:rsidRDefault="00142E8F" w:rsidP="00DD6DC8">
            <w:pPr>
              <w:pStyle w:val="PSDS-CorpodeTexto0"/>
              <w:jc w:val="both"/>
              <w:rPr>
                <w:rFonts w:ascii="Times New Roman" w:hAnsi="Times New Roman"/>
                <w:b/>
                <w:bCs/>
                <w:lang w:val="es-ES_tradnl"/>
              </w:rPr>
            </w:pPr>
            <w:r w:rsidRPr="00FA3856">
              <w:rPr>
                <w:rFonts w:ascii="Times New Roman" w:hAnsi="Times New Roman"/>
                <w:bCs/>
                <w:lang w:val="es-ES_tradnl"/>
              </w:rPr>
              <w:t>Se</w:t>
            </w:r>
            <w:r w:rsidR="00DD6DC8" w:rsidRPr="00FA3856">
              <w:rPr>
                <w:rFonts w:ascii="Times New Roman" w:hAnsi="Times New Roman"/>
                <w:bCs/>
                <w:lang w:val="es-ES_tradnl"/>
              </w:rPr>
              <w:t xml:space="preserve"> </w:t>
            </w:r>
            <w:r w:rsidRPr="00FA3856">
              <w:rPr>
                <w:rFonts w:ascii="Times New Roman" w:hAnsi="Times New Roman"/>
                <w:bCs/>
                <w:lang w:val="es-ES_tradnl"/>
              </w:rPr>
              <w:t xml:space="preserve">0010.FORMA_TRIB_PER é </w:t>
            </w:r>
            <w:r w:rsidR="00DD6DC8" w:rsidRPr="00FA3856">
              <w:rPr>
                <w:rFonts w:ascii="Times New Roman" w:hAnsi="Times New Roman"/>
                <w:bCs/>
                <w:lang w:val="es-ES_tradnl"/>
              </w:rPr>
              <w:t xml:space="preserve">igual </w:t>
            </w:r>
            <w:r w:rsidRPr="00FA3856">
              <w:rPr>
                <w:rFonts w:ascii="Times New Roman" w:hAnsi="Times New Roman"/>
                <w:bCs/>
                <w:lang w:val="es-ES_tradnl"/>
              </w:rPr>
              <w:t>a “R” e “E”, então</w:t>
            </w:r>
            <w:r w:rsidR="00DD6DC8" w:rsidRPr="00FA3856">
              <w:rPr>
                <w:rFonts w:ascii="Times New Roman" w:hAnsi="Times New Roman"/>
                <w:bCs/>
                <w:lang w:val="es-ES_tradnl"/>
              </w:rPr>
              <w:t xml:space="preserve"> </w:t>
            </w:r>
            <w:r w:rsidRPr="00FA3856">
              <w:rPr>
                <w:rFonts w:ascii="Times New Roman" w:hAnsi="Times New Roman"/>
                <w:bCs/>
                <w:lang w:val="es-ES_tradnl"/>
              </w:rPr>
              <w:t xml:space="preserve">0010.MES_BAL_RED debe ser </w:t>
            </w:r>
            <w:r w:rsidR="00DD6DC8" w:rsidRPr="00FA3856">
              <w:rPr>
                <w:rFonts w:ascii="Times New Roman" w:hAnsi="Times New Roman"/>
                <w:bCs/>
                <w:lang w:val="es-ES_tradnl"/>
              </w:rPr>
              <w:t>igual a “0”, “E” ou “B”</w:t>
            </w:r>
            <w:r w:rsidRPr="00FA3856">
              <w:rPr>
                <w:rFonts w:ascii="Times New Roman" w:hAnsi="Times New Roman"/>
                <w:bCs/>
                <w:lang w:val="es-ES_tradnl"/>
              </w:rPr>
              <w:t>.</w:t>
            </w:r>
          </w:p>
          <w:p w:rsidR="00142E8F" w:rsidRPr="00FA3856" w:rsidRDefault="00142E8F" w:rsidP="00DD6DC8">
            <w:pPr>
              <w:pStyle w:val="PSDS-CorpodeTexto0"/>
              <w:jc w:val="both"/>
            </w:pPr>
          </w:p>
          <w:p w:rsidR="00953CA7" w:rsidRPr="00FA3856" w:rsidRDefault="007D0E74" w:rsidP="00DD6DC8">
            <w:pPr>
              <w:pStyle w:val="PSDS-CorpodeTexto0"/>
              <w:jc w:val="both"/>
              <w:rPr>
                <w:rFonts w:ascii="Times New Roman" w:hAnsi="Times New Roman"/>
                <w:b/>
                <w:bCs/>
                <w:lang w:val="pt-PT"/>
              </w:rPr>
            </w:pPr>
            <w:hyperlink w:anchor="REGRA_MeS_BAL_RED_FORA_PERIODO" w:history="1">
              <w:r w:rsidR="00DD6DC8" w:rsidRPr="00FA3856">
                <w:rPr>
                  <w:rStyle w:val="Hyperlink"/>
                  <w:rFonts w:ascii="Times New Roman" w:hAnsi="Times New Roman"/>
                  <w:b/>
                  <w:color w:val="auto"/>
                </w:rPr>
                <w:t>REGRA_ME</w:t>
              </w:r>
              <w:r w:rsidR="00953CA7" w:rsidRPr="00FA3856">
                <w:rPr>
                  <w:rStyle w:val="Hyperlink"/>
                  <w:rFonts w:ascii="Times New Roman" w:hAnsi="Times New Roman"/>
                  <w:b/>
                  <w:color w:val="auto"/>
                </w:rPr>
                <w:t>S_BAL_RED _FORA_PERIODO</w:t>
              </w:r>
            </w:hyperlink>
            <w:r w:rsidR="005E0A1A" w:rsidRPr="00FA3856">
              <w:rPr>
                <w:rStyle w:val="Hyperlink"/>
                <w:rFonts w:ascii="Times New Roman" w:hAnsi="Times New Roman"/>
                <w:b/>
                <w:color w:val="auto"/>
              </w:rPr>
              <w:t>:</w:t>
            </w:r>
            <w:r w:rsidR="00DD6DC8" w:rsidRPr="00FA3856">
              <w:rPr>
                <w:rStyle w:val="Hyperlink"/>
                <w:rFonts w:ascii="Times New Roman" w:hAnsi="Times New Roman"/>
                <w:b/>
                <w:color w:val="auto"/>
              </w:rPr>
              <w:t xml:space="preserve"> </w:t>
            </w:r>
            <w:r w:rsidR="00DD6DC8" w:rsidRPr="00FA3856">
              <w:rPr>
                <w:rFonts w:ascii="Times New Roman" w:hAnsi="Times New Roman"/>
                <w:bCs/>
                <w:lang w:val="es-ES_tradnl"/>
              </w:rPr>
              <w:t>Verifica se os meses fora do período da escrituração ou arbitrados estão com o tipo “0”.</w:t>
            </w:r>
          </w:p>
          <w:p w:rsidR="00953CA7" w:rsidRPr="00FA3856" w:rsidRDefault="00953CA7" w:rsidP="00DD6DC8">
            <w:pPr>
              <w:pStyle w:val="PSDS-CorpodeTexto0"/>
              <w:jc w:val="both"/>
              <w:rPr>
                <w:rFonts w:ascii="Times New Roman" w:hAnsi="Times New Roman"/>
                <w:b/>
                <w:bCs/>
                <w:lang w:val="pt-PT"/>
              </w:rPr>
            </w:pPr>
          </w:p>
          <w:p w:rsidR="00953CA7" w:rsidRPr="00FA3856" w:rsidRDefault="007D0E74" w:rsidP="00DD6DC8">
            <w:pPr>
              <w:pStyle w:val="PSDS-CorpodeTexto0"/>
              <w:jc w:val="both"/>
              <w:rPr>
                <w:rFonts w:ascii="Times New Roman" w:hAnsi="Times New Roman"/>
                <w:b/>
                <w:lang w:val="pt-PT"/>
              </w:rPr>
            </w:pPr>
            <w:hyperlink w:anchor="REGRA_MES_BAL_RED_NAO_PREENCHER" w:history="1">
              <w:r w:rsidR="00953CA7" w:rsidRPr="00FA3856">
                <w:rPr>
                  <w:rStyle w:val="Hyperlink"/>
                  <w:rFonts w:ascii="Times New Roman" w:hAnsi="Times New Roman"/>
                  <w:b/>
                  <w:color w:val="auto"/>
                  <w:lang w:val="pt-PT"/>
                </w:rPr>
                <w:t>REGRA_ NAO_PREENCHER</w:t>
              </w:r>
            </w:hyperlink>
            <w:r w:rsidR="005E0A1A" w:rsidRPr="00FA3856">
              <w:rPr>
                <w:rFonts w:ascii="Times New Roman" w:hAnsi="Times New Roman"/>
                <w:b/>
                <w:lang w:val="pt-PT"/>
              </w:rPr>
              <w:t>_IMUNE:</w:t>
            </w:r>
            <w:r w:rsidR="00DD6DC8" w:rsidRPr="00FA3856">
              <w:rPr>
                <w:rFonts w:ascii="Times New Roman" w:hAnsi="Times New Roman"/>
                <w:b/>
                <w:lang w:val="pt-PT"/>
              </w:rPr>
              <w:t xml:space="preserve"> </w:t>
            </w:r>
            <w:r w:rsidR="00DD6DC8" w:rsidRPr="00FA3856">
              <w:rPr>
                <w:rFonts w:ascii="Times New Roman" w:hAnsi="Times New Roman"/>
                <w:lang w:val="pt-PT"/>
              </w:rPr>
              <w:t xml:space="preserve">Verifica, quando </w:t>
            </w:r>
            <w:r w:rsidR="00180423" w:rsidRPr="00FA3856">
              <w:rPr>
                <w:rFonts w:ascii="Times New Roman" w:hAnsi="Times New Roman"/>
                <w:lang w:val="pt-PT"/>
              </w:rPr>
              <w:t>0010.</w:t>
            </w:r>
            <w:r w:rsidR="00DD6DC8" w:rsidRPr="00FA3856">
              <w:rPr>
                <w:rStyle w:val="Hyperlink"/>
                <w:rFonts w:ascii="Times New Roman" w:hAnsi="Times New Roman"/>
                <w:bCs/>
                <w:color w:val="auto"/>
                <w:lang w:val="pt-PT"/>
              </w:rPr>
              <w:t>FORM</w:t>
            </w:r>
            <w:r w:rsidR="00142E8F" w:rsidRPr="00FA3856">
              <w:rPr>
                <w:rStyle w:val="Hyperlink"/>
                <w:rFonts w:ascii="Times New Roman" w:hAnsi="Times New Roman"/>
                <w:bCs/>
                <w:color w:val="auto"/>
                <w:lang w:val="pt-PT"/>
              </w:rPr>
              <w:t>A_TRIB é igual a “8” (Imune do</w:t>
            </w:r>
            <w:r w:rsidR="00DD6DC8" w:rsidRPr="00FA3856">
              <w:rPr>
                <w:rStyle w:val="Hyperlink"/>
                <w:rFonts w:ascii="Times New Roman" w:hAnsi="Times New Roman"/>
                <w:bCs/>
                <w:color w:val="auto"/>
                <w:lang w:val="pt-PT"/>
              </w:rPr>
              <w:t xml:space="preserve"> IRPJ) ou “9” (Isento do IPRJ), se </w:t>
            </w:r>
            <w:r w:rsidR="00142E8F" w:rsidRPr="00FA3856">
              <w:rPr>
                <w:rStyle w:val="Hyperlink"/>
                <w:rFonts w:ascii="Times New Roman" w:hAnsi="Times New Roman"/>
                <w:bCs/>
                <w:color w:val="auto"/>
                <w:lang w:val="pt-PT"/>
              </w:rPr>
              <w:t xml:space="preserve">MES_BAL_RED </w:t>
            </w:r>
            <w:r w:rsidR="00DD6DC8" w:rsidRPr="00FA3856">
              <w:rPr>
                <w:rStyle w:val="Hyperlink"/>
                <w:rFonts w:ascii="Times New Roman" w:hAnsi="Times New Roman"/>
                <w:bCs/>
                <w:color w:val="auto"/>
                <w:lang w:val="pt-PT"/>
              </w:rPr>
              <w:t>não foi preenchido.</w:t>
            </w:r>
          </w:p>
        </w:tc>
        <w:tc>
          <w:tcPr>
            <w:tcW w:w="709" w:type="dxa"/>
            <w:tcBorders>
              <w:top w:val="single" w:sz="6" w:space="0" w:color="auto"/>
              <w:left w:val="single" w:sz="6" w:space="0" w:color="auto"/>
              <w:bottom w:val="single" w:sz="6" w:space="0" w:color="auto"/>
              <w:right w:val="single" w:sz="6" w:space="0" w:color="auto"/>
            </w:tcBorders>
          </w:tcPr>
          <w:p w:rsidR="00953CA7" w:rsidRPr="00FA3856" w:rsidRDefault="00953CA7" w:rsidP="00953CA7">
            <w:pPr>
              <w:pStyle w:val="PSDS-CorpodeTexto0"/>
              <w:rPr>
                <w:rFonts w:ascii="Times New Roman" w:hAnsi="Times New Roman"/>
              </w:rPr>
            </w:pPr>
            <w:r w:rsidRPr="00FA3856">
              <w:rPr>
                <w:rFonts w:ascii="Times New Roman" w:hAnsi="Times New Roman"/>
              </w:rPr>
              <w:t>Erro</w:t>
            </w:r>
          </w:p>
          <w:p w:rsidR="00953CA7" w:rsidRPr="00FA3856" w:rsidRDefault="00953CA7" w:rsidP="00953CA7">
            <w:pPr>
              <w:pStyle w:val="PSDS-CorpodeTexto0"/>
              <w:jc w:val="center"/>
              <w:rPr>
                <w:rFonts w:ascii="Times New Roman" w:hAnsi="Times New Roman"/>
              </w:rPr>
            </w:pPr>
          </w:p>
          <w:p w:rsidR="00953CA7" w:rsidRPr="00FA3856" w:rsidRDefault="00953CA7" w:rsidP="00953CA7">
            <w:pPr>
              <w:pStyle w:val="PSDS-CorpodeTexto0"/>
              <w:rPr>
                <w:rFonts w:ascii="Times New Roman" w:hAnsi="Times New Roman"/>
              </w:rPr>
            </w:pPr>
            <w:r w:rsidRPr="00FA3856">
              <w:rPr>
                <w:rFonts w:ascii="Times New Roman" w:hAnsi="Times New Roman"/>
              </w:rPr>
              <w:t>Erro</w:t>
            </w:r>
          </w:p>
          <w:p w:rsidR="00953CA7" w:rsidRPr="00FA3856" w:rsidRDefault="00953CA7" w:rsidP="00953CA7">
            <w:pPr>
              <w:pStyle w:val="PSDS-CorpodeTexto0"/>
              <w:jc w:val="center"/>
              <w:rPr>
                <w:rFonts w:ascii="Times New Roman" w:hAnsi="Times New Roman"/>
              </w:rPr>
            </w:pPr>
          </w:p>
          <w:p w:rsidR="00953CA7" w:rsidRPr="00FA3856" w:rsidRDefault="00953CA7" w:rsidP="00953CA7">
            <w:pPr>
              <w:pStyle w:val="PSDS-CorpodeTexto0"/>
              <w:rPr>
                <w:rFonts w:ascii="Times New Roman" w:hAnsi="Times New Roman"/>
              </w:rPr>
            </w:pPr>
            <w:r w:rsidRPr="00FA3856">
              <w:rPr>
                <w:rFonts w:ascii="Times New Roman" w:hAnsi="Times New Roman"/>
              </w:rPr>
              <w:t>Erro</w:t>
            </w:r>
          </w:p>
          <w:p w:rsidR="00DD6DC8" w:rsidRPr="00FA3856" w:rsidRDefault="00DD6DC8" w:rsidP="00953CA7">
            <w:pPr>
              <w:pStyle w:val="PSDS-CorpodeTexto0"/>
              <w:rPr>
                <w:rFonts w:ascii="Times New Roman" w:hAnsi="Times New Roman"/>
              </w:rPr>
            </w:pPr>
          </w:p>
          <w:p w:rsidR="00DD6DC8" w:rsidRPr="00FA3856" w:rsidRDefault="00DD6DC8" w:rsidP="00953CA7">
            <w:pPr>
              <w:pStyle w:val="PSDS-CorpodeTexto0"/>
              <w:rPr>
                <w:rFonts w:ascii="Times New Roman" w:hAnsi="Times New Roman"/>
              </w:rPr>
            </w:pPr>
          </w:p>
          <w:p w:rsidR="00DD6DC8" w:rsidRPr="00FA3856" w:rsidRDefault="00DD6DC8" w:rsidP="00953CA7">
            <w:pPr>
              <w:pStyle w:val="PSDS-CorpodeTexto0"/>
              <w:rPr>
                <w:rFonts w:ascii="Times New Roman" w:hAnsi="Times New Roman"/>
              </w:rPr>
            </w:pPr>
          </w:p>
          <w:p w:rsidR="00142E8F" w:rsidRPr="00FA3856" w:rsidRDefault="00142E8F" w:rsidP="00953CA7">
            <w:pPr>
              <w:pStyle w:val="PSDS-CorpodeTexto0"/>
              <w:rPr>
                <w:rFonts w:ascii="Times New Roman" w:hAnsi="Times New Roman"/>
              </w:rPr>
            </w:pPr>
          </w:p>
          <w:p w:rsidR="00DD6DC8" w:rsidRPr="00FA3856" w:rsidRDefault="00DD6DC8" w:rsidP="00953CA7">
            <w:pPr>
              <w:pStyle w:val="PSDS-CorpodeTexto0"/>
              <w:rPr>
                <w:rFonts w:ascii="Times New Roman" w:hAnsi="Times New Roman"/>
              </w:rPr>
            </w:pPr>
            <w:r w:rsidRPr="00FA3856">
              <w:rPr>
                <w:rFonts w:ascii="Times New Roman" w:hAnsi="Times New Roman"/>
              </w:rPr>
              <w:t>Erro</w:t>
            </w:r>
          </w:p>
          <w:p w:rsidR="00F904E1" w:rsidRPr="00FA3856" w:rsidRDefault="00F904E1" w:rsidP="00953CA7">
            <w:pPr>
              <w:pStyle w:val="PSDS-CorpodeTexto0"/>
              <w:rPr>
                <w:rFonts w:ascii="Times New Roman" w:hAnsi="Times New Roman"/>
              </w:rPr>
            </w:pPr>
          </w:p>
          <w:p w:rsidR="00F904E1" w:rsidRPr="00FA3856" w:rsidRDefault="00F904E1" w:rsidP="00953CA7">
            <w:pPr>
              <w:pStyle w:val="PSDS-CorpodeTexto0"/>
              <w:rPr>
                <w:rFonts w:ascii="Times New Roman" w:hAnsi="Times New Roman"/>
              </w:rPr>
            </w:pPr>
            <w:r w:rsidRPr="00FA3856">
              <w:rPr>
                <w:rFonts w:ascii="Times New Roman" w:hAnsi="Times New Roman"/>
              </w:rPr>
              <w:t>Erro</w:t>
            </w:r>
          </w:p>
        </w:tc>
      </w:tr>
      <w:tr w:rsidR="00953CA7" w:rsidRPr="00FA3856" w:rsidTr="006A4D3C">
        <w:trPr>
          <w:trHeight w:val="20"/>
          <w:jc w:val="center"/>
        </w:trPr>
        <w:tc>
          <w:tcPr>
            <w:tcW w:w="614" w:type="dxa"/>
            <w:tcBorders>
              <w:top w:val="single" w:sz="6" w:space="0" w:color="auto"/>
              <w:left w:val="single" w:sz="6" w:space="0" w:color="auto"/>
              <w:bottom w:val="single" w:sz="6" w:space="0" w:color="auto"/>
              <w:right w:val="single" w:sz="6" w:space="0" w:color="auto"/>
            </w:tcBorders>
          </w:tcPr>
          <w:p w:rsidR="00953CA7" w:rsidRPr="00FA3856" w:rsidRDefault="001C572B" w:rsidP="00067005">
            <w:pPr>
              <w:pStyle w:val="PSDS-CorpodeTexto0"/>
              <w:suppressAutoHyphens w:val="0"/>
              <w:rPr>
                <w:rFonts w:ascii="Times New Roman" w:hAnsi="Times New Roman"/>
                <w:b/>
                <w:bCs/>
                <w:lang w:val="pt-PT"/>
              </w:rPr>
            </w:pPr>
            <w:r w:rsidRPr="00FA3856">
              <w:rPr>
                <w:rFonts w:ascii="Times New Roman" w:hAnsi="Times New Roman"/>
                <w:b/>
                <w:bCs/>
                <w:lang w:val="pt-PT"/>
              </w:rPr>
              <w:t>10</w:t>
            </w:r>
          </w:p>
        </w:tc>
        <w:tc>
          <w:tcPr>
            <w:tcW w:w="2050" w:type="dxa"/>
            <w:tcBorders>
              <w:top w:val="single" w:sz="6" w:space="0" w:color="auto"/>
              <w:left w:val="single" w:sz="6" w:space="0" w:color="auto"/>
              <w:bottom w:val="single" w:sz="6" w:space="0" w:color="auto"/>
              <w:right w:val="single" w:sz="6" w:space="0" w:color="auto"/>
            </w:tcBorders>
          </w:tcPr>
          <w:p w:rsidR="00953CA7" w:rsidRPr="00FA3856" w:rsidRDefault="00953CA7" w:rsidP="00953CA7">
            <w:pPr>
              <w:pStyle w:val="PSDS-CorpodeTexto0"/>
              <w:rPr>
                <w:rFonts w:ascii="Times New Roman" w:hAnsi="Times New Roman"/>
                <w:b/>
                <w:bCs/>
                <w:lang w:val="pt-PT"/>
              </w:rPr>
            </w:pPr>
            <w:r w:rsidRPr="00FA3856">
              <w:rPr>
                <w:rFonts w:ascii="Times New Roman" w:hAnsi="Times New Roman"/>
                <w:lang w:val="pt-PT"/>
              </w:rPr>
              <w:t>TIP_ESC_PRE</w:t>
            </w:r>
          </w:p>
        </w:tc>
        <w:tc>
          <w:tcPr>
            <w:tcW w:w="12997" w:type="dxa"/>
            <w:tcBorders>
              <w:top w:val="single" w:sz="6" w:space="0" w:color="auto"/>
              <w:left w:val="single" w:sz="6" w:space="0" w:color="auto"/>
              <w:bottom w:val="single" w:sz="6" w:space="0" w:color="auto"/>
              <w:right w:val="single" w:sz="6" w:space="0" w:color="auto"/>
            </w:tcBorders>
          </w:tcPr>
          <w:p w:rsidR="00953CA7" w:rsidRPr="00FA3856" w:rsidRDefault="007D0E74" w:rsidP="00732B64">
            <w:pPr>
              <w:pStyle w:val="PSDS-CorpodeTexto0"/>
              <w:jc w:val="both"/>
              <w:rPr>
                <w:rFonts w:ascii="Times New Roman" w:hAnsi="Times New Roman"/>
                <w:b/>
                <w:bCs/>
                <w:lang w:val="pt-PT"/>
              </w:rPr>
            </w:pPr>
            <w:hyperlink w:anchor="REGRA_PREENCHER_TIP_ESC" w:history="1">
              <w:r w:rsidR="00953CA7" w:rsidRPr="00FA3856">
                <w:rPr>
                  <w:rStyle w:val="Hyperlink"/>
                  <w:rFonts w:ascii="Times New Roman" w:hAnsi="Times New Roman"/>
                  <w:b/>
                  <w:bCs/>
                  <w:color w:val="auto"/>
                  <w:lang w:val="pt-PT"/>
                </w:rPr>
                <w:t>REGRA_PREENCHER_TIP_ESC</w:t>
              </w:r>
            </w:hyperlink>
            <w:r w:rsidR="005E0A1A" w:rsidRPr="00FA3856">
              <w:rPr>
                <w:rStyle w:val="Hyperlink"/>
                <w:rFonts w:ascii="Times New Roman" w:hAnsi="Times New Roman"/>
                <w:b/>
                <w:bCs/>
                <w:color w:val="auto"/>
                <w:lang w:val="pt-PT"/>
              </w:rPr>
              <w:t>:</w:t>
            </w:r>
            <w:r w:rsidR="00A1705C" w:rsidRPr="00FA3856">
              <w:rPr>
                <w:rStyle w:val="Hyperlink"/>
                <w:rFonts w:ascii="Times New Roman" w:hAnsi="Times New Roman"/>
                <w:b/>
                <w:bCs/>
                <w:color w:val="auto"/>
                <w:lang w:val="pt-PT"/>
              </w:rPr>
              <w:t xml:space="preserve"> </w:t>
            </w:r>
            <w:r w:rsidR="00A1705C" w:rsidRPr="00FA3856">
              <w:rPr>
                <w:rStyle w:val="Hyperlink"/>
                <w:rFonts w:ascii="Times New Roman" w:hAnsi="Times New Roman"/>
                <w:color w:val="auto"/>
                <w:shd w:val="clear" w:color="auto" w:fill="FFFFFF"/>
              </w:rPr>
              <w:t xml:space="preserve">Verifica, quando </w:t>
            </w:r>
            <w:r w:rsidR="00180423" w:rsidRPr="00FA3856">
              <w:rPr>
                <w:rStyle w:val="Hyperlink"/>
                <w:rFonts w:ascii="Times New Roman" w:hAnsi="Times New Roman"/>
                <w:color w:val="auto"/>
                <w:shd w:val="clear" w:color="auto" w:fill="FFFFFF"/>
              </w:rPr>
              <w:t>0010.</w:t>
            </w:r>
            <w:r w:rsidR="00F663C5" w:rsidRPr="00FA3856">
              <w:rPr>
                <w:rStyle w:val="Hyperlink"/>
                <w:rFonts w:ascii="Times New Roman" w:hAnsi="Times New Roman"/>
                <w:bCs/>
                <w:color w:val="auto"/>
                <w:lang w:val="pt-PT"/>
              </w:rPr>
              <w:t>FORMA</w:t>
            </w:r>
            <w:r w:rsidR="00142E8F" w:rsidRPr="00FA3856">
              <w:rPr>
                <w:rStyle w:val="Hyperlink"/>
                <w:rFonts w:ascii="Times New Roman" w:hAnsi="Times New Roman"/>
                <w:bCs/>
                <w:color w:val="auto"/>
                <w:lang w:val="pt-PT"/>
              </w:rPr>
              <w:t xml:space="preserve">_TRIB é </w:t>
            </w:r>
            <w:r w:rsidR="00F663C5" w:rsidRPr="00FA3856">
              <w:rPr>
                <w:rStyle w:val="Hyperlink"/>
                <w:rFonts w:ascii="Times New Roman" w:hAnsi="Times New Roman"/>
                <w:bCs/>
                <w:color w:val="auto"/>
                <w:lang w:val="pt-PT"/>
              </w:rPr>
              <w:t>igual a “3” (Lucro Presumido/Real) ou “4</w:t>
            </w:r>
            <w:r w:rsidR="00A1705C" w:rsidRPr="00FA3856">
              <w:rPr>
                <w:rStyle w:val="Hyperlink"/>
                <w:rFonts w:ascii="Times New Roman" w:hAnsi="Times New Roman"/>
                <w:bCs/>
                <w:color w:val="auto"/>
                <w:lang w:val="pt-PT"/>
              </w:rPr>
              <w:t>” (Lucro</w:t>
            </w:r>
            <w:r w:rsidR="00F663C5" w:rsidRPr="00FA3856">
              <w:rPr>
                <w:rStyle w:val="Hyperlink"/>
                <w:rFonts w:ascii="Times New Roman" w:hAnsi="Times New Roman"/>
                <w:bCs/>
                <w:color w:val="auto"/>
                <w:lang w:val="pt-PT"/>
              </w:rPr>
              <w:t xml:space="preserve"> Presumido/Real/Arbitrado) ou “5” (Lucro Presumido) ou “7</w:t>
            </w:r>
            <w:r w:rsidR="00A1705C" w:rsidRPr="00FA3856">
              <w:rPr>
                <w:rStyle w:val="Hyperlink"/>
                <w:rFonts w:ascii="Times New Roman" w:hAnsi="Times New Roman"/>
                <w:bCs/>
                <w:color w:val="auto"/>
                <w:lang w:val="pt-PT"/>
              </w:rPr>
              <w:t>” (Lucro Presumido/Arbitrado)</w:t>
            </w:r>
            <w:r w:rsidR="00732B64" w:rsidRPr="00FA3856">
              <w:rPr>
                <w:rStyle w:val="Hyperlink"/>
                <w:rFonts w:ascii="Times New Roman" w:hAnsi="Times New Roman"/>
                <w:bCs/>
                <w:color w:val="auto"/>
                <w:lang w:val="pt-PT"/>
              </w:rPr>
              <w:t xml:space="preserve"> ou “8” (Imune) ou “9” (Isenta), se </w:t>
            </w:r>
            <w:r w:rsidR="00180423" w:rsidRPr="00FA3856">
              <w:rPr>
                <w:rStyle w:val="Hyperlink"/>
                <w:rFonts w:ascii="Times New Roman" w:hAnsi="Times New Roman"/>
                <w:bCs/>
                <w:color w:val="auto"/>
                <w:lang w:val="pt-PT"/>
              </w:rPr>
              <w:t>0010.</w:t>
            </w:r>
            <w:r w:rsidR="00142E8F" w:rsidRPr="00FA3856">
              <w:rPr>
                <w:rStyle w:val="Hyperlink"/>
                <w:rFonts w:ascii="Times New Roman" w:hAnsi="Times New Roman"/>
                <w:bCs/>
                <w:color w:val="auto"/>
                <w:lang w:val="pt-PT"/>
              </w:rPr>
              <w:t xml:space="preserve">TIP_ESC_PRE </w:t>
            </w:r>
            <w:r w:rsidR="00A1705C" w:rsidRPr="00FA3856">
              <w:rPr>
                <w:rStyle w:val="Hyperlink"/>
                <w:rFonts w:ascii="Times New Roman" w:hAnsi="Times New Roman"/>
                <w:bCs/>
                <w:color w:val="auto"/>
                <w:lang w:val="pt-PT"/>
              </w:rPr>
              <w:t>foi preenchido.</w:t>
            </w:r>
          </w:p>
        </w:tc>
        <w:tc>
          <w:tcPr>
            <w:tcW w:w="709" w:type="dxa"/>
            <w:tcBorders>
              <w:top w:val="single" w:sz="6" w:space="0" w:color="auto"/>
              <w:left w:val="single" w:sz="6" w:space="0" w:color="auto"/>
              <w:bottom w:val="single" w:sz="6" w:space="0" w:color="auto"/>
              <w:right w:val="single" w:sz="6" w:space="0" w:color="auto"/>
            </w:tcBorders>
          </w:tcPr>
          <w:p w:rsidR="00953CA7" w:rsidRPr="00FA3856" w:rsidRDefault="00F904E1" w:rsidP="00953CA7">
            <w:pPr>
              <w:pStyle w:val="PSDS-CorpodeTexto0"/>
              <w:rPr>
                <w:rFonts w:ascii="Times New Roman" w:hAnsi="Times New Roman"/>
                <w:lang w:val="pt-PT"/>
              </w:rPr>
            </w:pPr>
            <w:r w:rsidRPr="00FA3856">
              <w:rPr>
                <w:rFonts w:ascii="Times New Roman" w:hAnsi="Times New Roman"/>
                <w:lang w:val="pt-PT"/>
              </w:rPr>
              <w:t>Erro</w:t>
            </w:r>
          </w:p>
        </w:tc>
      </w:tr>
      <w:tr w:rsidR="00953CA7" w:rsidRPr="00FA3856" w:rsidTr="006A4D3C">
        <w:trPr>
          <w:trHeight w:val="20"/>
          <w:jc w:val="center"/>
        </w:trPr>
        <w:tc>
          <w:tcPr>
            <w:tcW w:w="614" w:type="dxa"/>
            <w:tcBorders>
              <w:top w:val="single" w:sz="6" w:space="0" w:color="auto"/>
              <w:left w:val="single" w:sz="6" w:space="0" w:color="auto"/>
              <w:bottom w:val="single" w:sz="6" w:space="0" w:color="auto"/>
              <w:right w:val="single" w:sz="6" w:space="0" w:color="auto"/>
            </w:tcBorders>
          </w:tcPr>
          <w:p w:rsidR="00953CA7" w:rsidRPr="00FA3856" w:rsidRDefault="001C572B" w:rsidP="00067005">
            <w:pPr>
              <w:pStyle w:val="PSDS-CorpodeTexto0"/>
              <w:suppressAutoHyphens w:val="0"/>
              <w:rPr>
                <w:rFonts w:ascii="Times New Roman" w:hAnsi="Times New Roman"/>
                <w:b/>
                <w:bCs/>
                <w:lang w:val="pt-PT"/>
              </w:rPr>
            </w:pPr>
            <w:r w:rsidRPr="00FA3856">
              <w:rPr>
                <w:rFonts w:ascii="Times New Roman" w:hAnsi="Times New Roman"/>
                <w:b/>
                <w:bCs/>
                <w:lang w:val="pt-PT"/>
              </w:rPr>
              <w:lastRenderedPageBreak/>
              <w:t>11</w:t>
            </w:r>
          </w:p>
        </w:tc>
        <w:tc>
          <w:tcPr>
            <w:tcW w:w="2050" w:type="dxa"/>
            <w:tcBorders>
              <w:top w:val="single" w:sz="6" w:space="0" w:color="auto"/>
              <w:left w:val="single" w:sz="6" w:space="0" w:color="auto"/>
              <w:bottom w:val="single" w:sz="6" w:space="0" w:color="auto"/>
              <w:right w:val="single" w:sz="6" w:space="0" w:color="auto"/>
            </w:tcBorders>
          </w:tcPr>
          <w:p w:rsidR="00953CA7" w:rsidRPr="00FA3856" w:rsidRDefault="00953CA7" w:rsidP="00953CA7">
            <w:pPr>
              <w:pStyle w:val="PSDS-CorpodeTexto0"/>
              <w:rPr>
                <w:rFonts w:ascii="Times New Roman" w:hAnsi="Times New Roman"/>
                <w:b/>
                <w:bCs/>
                <w:lang w:val="pt-PT"/>
              </w:rPr>
            </w:pPr>
            <w:r w:rsidRPr="00FA3856">
              <w:rPr>
                <w:rFonts w:ascii="Times New Roman" w:hAnsi="Times New Roman"/>
                <w:lang w:val="pt-PT"/>
              </w:rPr>
              <w:t>TIP_ENT</w:t>
            </w:r>
          </w:p>
        </w:tc>
        <w:tc>
          <w:tcPr>
            <w:tcW w:w="12997" w:type="dxa"/>
            <w:tcBorders>
              <w:top w:val="single" w:sz="6" w:space="0" w:color="auto"/>
              <w:left w:val="single" w:sz="6" w:space="0" w:color="auto"/>
              <w:bottom w:val="single" w:sz="6" w:space="0" w:color="auto"/>
              <w:right w:val="single" w:sz="6" w:space="0" w:color="auto"/>
            </w:tcBorders>
          </w:tcPr>
          <w:p w:rsidR="007B2D8B" w:rsidRPr="00FA3856" w:rsidRDefault="007D0E74" w:rsidP="00F904E1">
            <w:pPr>
              <w:pStyle w:val="PSDS-CorpodeTexto0"/>
              <w:jc w:val="both"/>
              <w:rPr>
                <w:rFonts w:ascii="Times New Roman" w:hAnsi="Times New Roman"/>
                <w:bCs/>
                <w:lang w:val="pt-PT"/>
              </w:rPr>
            </w:pPr>
            <w:hyperlink w:anchor="REGRA_PREENCHER_IMUNE" w:history="1">
              <w:r w:rsidR="00953CA7" w:rsidRPr="00FA3856">
                <w:rPr>
                  <w:rStyle w:val="Hyperlink"/>
                  <w:rFonts w:ascii="Times New Roman" w:hAnsi="Times New Roman"/>
                  <w:b/>
                  <w:bCs/>
                  <w:color w:val="auto"/>
                  <w:lang w:val="pt-PT"/>
                </w:rPr>
                <w:t>REGRA_PREENCHER_IMUNE</w:t>
              </w:r>
            </w:hyperlink>
            <w:r w:rsidR="005E0A1A" w:rsidRPr="00FA3856">
              <w:rPr>
                <w:rStyle w:val="Hyperlink"/>
                <w:rFonts w:ascii="Times New Roman" w:hAnsi="Times New Roman"/>
                <w:b/>
                <w:bCs/>
                <w:color w:val="auto"/>
                <w:lang w:val="pt-PT"/>
              </w:rPr>
              <w:t>:</w:t>
            </w:r>
            <w:r w:rsidR="00F904E1" w:rsidRPr="00FA3856">
              <w:rPr>
                <w:rStyle w:val="Hyperlink"/>
                <w:rFonts w:ascii="Times New Roman" w:hAnsi="Times New Roman"/>
                <w:b/>
                <w:bCs/>
                <w:color w:val="auto"/>
                <w:lang w:val="pt-PT"/>
              </w:rPr>
              <w:t xml:space="preserve"> </w:t>
            </w:r>
            <w:r w:rsidR="00F904E1" w:rsidRPr="00FA3856">
              <w:rPr>
                <w:rFonts w:ascii="Times New Roman" w:hAnsi="Times New Roman"/>
                <w:lang w:val="pt-PT"/>
              </w:rPr>
              <w:t xml:space="preserve">Verifica, quando </w:t>
            </w:r>
            <w:r w:rsidR="00180423" w:rsidRPr="00FA3856">
              <w:rPr>
                <w:rFonts w:ascii="Times New Roman" w:hAnsi="Times New Roman"/>
                <w:lang w:val="pt-PT"/>
              </w:rPr>
              <w:t>0010.</w:t>
            </w:r>
            <w:r w:rsidR="00142E8F" w:rsidRPr="00FA3856">
              <w:rPr>
                <w:rStyle w:val="Hyperlink"/>
                <w:rFonts w:ascii="Times New Roman" w:hAnsi="Times New Roman"/>
                <w:bCs/>
                <w:color w:val="auto"/>
                <w:lang w:val="pt-PT"/>
              </w:rPr>
              <w:t xml:space="preserve">FORMA_TRIB é </w:t>
            </w:r>
            <w:r w:rsidR="00F904E1" w:rsidRPr="00FA3856">
              <w:rPr>
                <w:rStyle w:val="Hyperlink"/>
                <w:rFonts w:ascii="Times New Roman" w:hAnsi="Times New Roman"/>
                <w:bCs/>
                <w:color w:val="auto"/>
                <w:lang w:val="pt-PT"/>
              </w:rPr>
              <w:t>igual a “8” (Imune de IRPJ) ou “9” (Isent</w:t>
            </w:r>
            <w:r w:rsidR="00732B64" w:rsidRPr="00FA3856">
              <w:rPr>
                <w:rStyle w:val="Hyperlink"/>
                <w:rFonts w:ascii="Times New Roman" w:hAnsi="Times New Roman"/>
                <w:bCs/>
                <w:color w:val="auto"/>
                <w:lang w:val="pt-PT"/>
              </w:rPr>
              <w:t xml:space="preserve">o do IPRJ), se </w:t>
            </w:r>
            <w:r w:rsidR="00180423" w:rsidRPr="00FA3856">
              <w:rPr>
                <w:rStyle w:val="Hyperlink"/>
                <w:rFonts w:ascii="Times New Roman" w:hAnsi="Times New Roman"/>
                <w:bCs/>
                <w:color w:val="auto"/>
                <w:lang w:val="pt-PT"/>
              </w:rPr>
              <w:t>0010.</w:t>
            </w:r>
            <w:r w:rsidR="00142E8F" w:rsidRPr="00FA3856">
              <w:rPr>
                <w:rStyle w:val="Hyperlink"/>
                <w:rFonts w:ascii="Times New Roman" w:hAnsi="Times New Roman"/>
                <w:bCs/>
                <w:color w:val="auto"/>
                <w:lang w:val="pt-PT"/>
              </w:rPr>
              <w:t xml:space="preserve">TIP_ENT </w:t>
            </w:r>
            <w:r w:rsidR="00F904E1" w:rsidRPr="00FA3856">
              <w:rPr>
                <w:rStyle w:val="Hyperlink"/>
                <w:rFonts w:ascii="Times New Roman" w:hAnsi="Times New Roman"/>
                <w:bCs/>
                <w:color w:val="auto"/>
                <w:lang w:val="pt-PT"/>
              </w:rPr>
              <w:t>foi preenchido.</w:t>
            </w:r>
          </w:p>
        </w:tc>
        <w:tc>
          <w:tcPr>
            <w:tcW w:w="709" w:type="dxa"/>
            <w:tcBorders>
              <w:top w:val="single" w:sz="6" w:space="0" w:color="auto"/>
              <w:left w:val="single" w:sz="6" w:space="0" w:color="auto"/>
              <w:bottom w:val="single" w:sz="6" w:space="0" w:color="auto"/>
              <w:right w:val="single" w:sz="6" w:space="0" w:color="auto"/>
            </w:tcBorders>
          </w:tcPr>
          <w:p w:rsidR="00953CA7" w:rsidRPr="00FA3856" w:rsidRDefault="00953CA7" w:rsidP="00953CA7">
            <w:pPr>
              <w:pStyle w:val="PSDS-CorpodeTexto0"/>
              <w:rPr>
                <w:rFonts w:ascii="Times New Roman" w:hAnsi="Times New Roman"/>
                <w:lang w:val="pt-PT"/>
              </w:rPr>
            </w:pPr>
            <w:r w:rsidRPr="00FA3856">
              <w:rPr>
                <w:rFonts w:ascii="Times New Roman" w:hAnsi="Times New Roman"/>
                <w:lang w:val="pt-PT"/>
              </w:rPr>
              <w:t>E</w:t>
            </w:r>
            <w:r w:rsidR="00F904E1" w:rsidRPr="00FA3856">
              <w:rPr>
                <w:rFonts w:ascii="Times New Roman" w:hAnsi="Times New Roman"/>
                <w:lang w:val="pt-PT"/>
              </w:rPr>
              <w:t>rro</w:t>
            </w:r>
          </w:p>
          <w:p w:rsidR="001C572B" w:rsidRPr="00FA3856" w:rsidRDefault="001C572B" w:rsidP="00953CA7">
            <w:pPr>
              <w:pStyle w:val="PSDS-CorpodeTexto0"/>
              <w:rPr>
                <w:rFonts w:ascii="Times New Roman" w:hAnsi="Times New Roman"/>
                <w:lang w:val="pt-PT"/>
              </w:rPr>
            </w:pPr>
          </w:p>
        </w:tc>
      </w:tr>
      <w:tr w:rsidR="00953CA7" w:rsidRPr="00FA3856" w:rsidTr="006A4D3C">
        <w:trPr>
          <w:trHeight w:val="20"/>
          <w:jc w:val="center"/>
        </w:trPr>
        <w:tc>
          <w:tcPr>
            <w:tcW w:w="614" w:type="dxa"/>
            <w:tcBorders>
              <w:top w:val="single" w:sz="6" w:space="0" w:color="auto"/>
              <w:left w:val="single" w:sz="6" w:space="0" w:color="auto"/>
              <w:bottom w:val="single" w:sz="6" w:space="0" w:color="auto"/>
              <w:right w:val="single" w:sz="6" w:space="0" w:color="auto"/>
            </w:tcBorders>
          </w:tcPr>
          <w:p w:rsidR="00953CA7" w:rsidRPr="00FA3856" w:rsidRDefault="001C572B" w:rsidP="00067005">
            <w:pPr>
              <w:pStyle w:val="PSDS-CorpodeTexto0"/>
              <w:suppressAutoHyphens w:val="0"/>
              <w:rPr>
                <w:rFonts w:ascii="Times New Roman" w:hAnsi="Times New Roman"/>
                <w:b/>
                <w:bCs/>
                <w:lang w:val="pt-PT"/>
              </w:rPr>
            </w:pPr>
            <w:r w:rsidRPr="00FA3856">
              <w:rPr>
                <w:rFonts w:ascii="Times New Roman" w:hAnsi="Times New Roman"/>
                <w:b/>
                <w:bCs/>
                <w:lang w:val="pt-PT"/>
              </w:rPr>
              <w:t>12</w:t>
            </w:r>
          </w:p>
        </w:tc>
        <w:tc>
          <w:tcPr>
            <w:tcW w:w="2050" w:type="dxa"/>
            <w:tcBorders>
              <w:top w:val="single" w:sz="6" w:space="0" w:color="auto"/>
              <w:left w:val="single" w:sz="6" w:space="0" w:color="auto"/>
              <w:bottom w:val="single" w:sz="6" w:space="0" w:color="auto"/>
              <w:right w:val="single" w:sz="6" w:space="0" w:color="auto"/>
            </w:tcBorders>
          </w:tcPr>
          <w:p w:rsidR="00953CA7" w:rsidRPr="00FA3856" w:rsidRDefault="00953CA7" w:rsidP="00953CA7">
            <w:pPr>
              <w:pStyle w:val="PSDS-CorpodeTexto0"/>
              <w:rPr>
                <w:rFonts w:ascii="Times New Roman" w:hAnsi="Times New Roman"/>
                <w:lang w:val="pt-PT"/>
              </w:rPr>
            </w:pPr>
            <w:r w:rsidRPr="00FA3856">
              <w:rPr>
                <w:rFonts w:ascii="Times New Roman" w:hAnsi="Times New Roman"/>
                <w:lang w:val="pt-PT"/>
              </w:rPr>
              <w:t>FORMA_APUR_I</w:t>
            </w:r>
          </w:p>
        </w:tc>
        <w:tc>
          <w:tcPr>
            <w:tcW w:w="12997" w:type="dxa"/>
            <w:tcBorders>
              <w:top w:val="single" w:sz="6" w:space="0" w:color="auto"/>
              <w:left w:val="single" w:sz="6" w:space="0" w:color="auto"/>
              <w:bottom w:val="single" w:sz="6" w:space="0" w:color="auto"/>
              <w:right w:val="single" w:sz="6" w:space="0" w:color="auto"/>
            </w:tcBorders>
          </w:tcPr>
          <w:p w:rsidR="00953CA7" w:rsidRPr="00FA3856" w:rsidRDefault="007D0E74" w:rsidP="00DD6DC8">
            <w:pPr>
              <w:pStyle w:val="PSDS-CorpodeTexto0"/>
              <w:jc w:val="both"/>
              <w:rPr>
                <w:rFonts w:ascii="Times New Roman" w:hAnsi="Times New Roman"/>
                <w:b/>
                <w:bCs/>
                <w:lang w:val="pt-PT"/>
              </w:rPr>
            </w:pPr>
            <w:hyperlink w:anchor="REGRA_PREENCHER_IMUNE" w:history="1">
              <w:r w:rsidR="00953CA7" w:rsidRPr="00FA3856">
                <w:rPr>
                  <w:rStyle w:val="Hyperlink"/>
                  <w:rFonts w:ascii="Times New Roman" w:hAnsi="Times New Roman"/>
                  <w:b/>
                  <w:bCs/>
                  <w:color w:val="auto"/>
                  <w:lang w:val="pt-PT"/>
                </w:rPr>
                <w:t>REGRA_PREENCHER_IMUNE</w:t>
              </w:r>
            </w:hyperlink>
            <w:r w:rsidR="005E0A1A" w:rsidRPr="00FA3856">
              <w:rPr>
                <w:rStyle w:val="Hyperlink"/>
                <w:rFonts w:ascii="Times New Roman" w:hAnsi="Times New Roman"/>
                <w:b/>
                <w:bCs/>
                <w:color w:val="auto"/>
                <w:lang w:val="pt-PT"/>
              </w:rPr>
              <w:t>:</w:t>
            </w:r>
            <w:r w:rsidR="00F904E1" w:rsidRPr="00FA3856">
              <w:rPr>
                <w:rStyle w:val="Hyperlink"/>
                <w:rFonts w:ascii="Times New Roman" w:hAnsi="Times New Roman"/>
                <w:b/>
                <w:bCs/>
                <w:color w:val="auto"/>
                <w:lang w:val="pt-PT"/>
              </w:rPr>
              <w:t xml:space="preserve"> </w:t>
            </w:r>
            <w:r w:rsidR="00F904E1" w:rsidRPr="00FA3856">
              <w:rPr>
                <w:rFonts w:ascii="Times New Roman" w:hAnsi="Times New Roman"/>
                <w:lang w:val="pt-PT"/>
              </w:rPr>
              <w:t xml:space="preserve">Verifica, quando </w:t>
            </w:r>
            <w:r w:rsidR="00180423" w:rsidRPr="00FA3856">
              <w:rPr>
                <w:rFonts w:ascii="Times New Roman" w:hAnsi="Times New Roman"/>
                <w:lang w:val="pt-PT"/>
              </w:rPr>
              <w:t>0010.</w:t>
            </w:r>
            <w:r w:rsidR="00142E8F" w:rsidRPr="00FA3856">
              <w:rPr>
                <w:rStyle w:val="Hyperlink"/>
                <w:rFonts w:ascii="Times New Roman" w:hAnsi="Times New Roman"/>
                <w:bCs/>
                <w:color w:val="auto"/>
                <w:lang w:val="pt-PT"/>
              </w:rPr>
              <w:t xml:space="preserve">FORMA_TRIB é </w:t>
            </w:r>
            <w:r w:rsidR="00F904E1" w:rsidRPr="00FA3856">
              <w:rPr>
                <w:rStyle w:val="Hyperlink"/>
                <w:rFonts w:ascii="Times New Roman" w:hAnsi="Times New Roman"/>
                <w:bCs/>
                <w:color w:val="auto"/>
                <w:lang w:val="pt-PT"/>
              </w:rPr>
              <w:t xml:space="preserve">igual a “8” (Imune de IRPJ) ou “9” (Isento do </w:t>
            </w:r>
            <w:r w:rsidR="00732B64" w:rsidRPr="00FA3856">
              <w:rPr>
                <w:rStyle w:val="Hyperlink"/>
                <w:rFonts w:ascii="Times New Roman" w:hAnsi="Times New Roman"/>
                <w:bCs/>
                <w:color w:val="auto"/>
                <w:lang w:val="pt-PT"/>
              </w:rPr>
              <w:t xml:space="preserve">IPRJ), se </w:t>
            </w:r>
            <w:r w:rsidR="00180423" w:rsidRPr="00FA3856">
              <w:rPr>
                <w:rStyle w:val="Hyperlink"/>
                <w:rFonts w:ascii="Times New Roman" w:hAnsi="Times New Roman"/>
                <w:bCs/>
                <w:color w:val="auto"/>
                <w:lang w:val="pt-PT"/>
              </w:rPr>
              <w:t>0010.</w:t>
            </w:r>
            <w:r w:rsidR="00142E8F" w:rsidRPr="00FA3856">
              <w:rPr>
                <w:rStyle w:val="Hyperlink"/>
                <w:rFonts w:ascii="Times New Roman" w:hAnsi="Times New Roman"/>
                <w:bCs/>
                <w:color w:val="auto"/>
                <w:lang w:val="pt-PT"/>
              </w:rPr>
              <w:t xml:space="preserve">FORMA_APUR_I </w:t>
            </w:r>
            <w:r w:rsidR="00F904E1" w:rsidRPr="00FA3856">
              <w:rPr>
                <w:rStyle w:val="Hyperlink"/>
                <w:rFonts w:ascii="Times New Roman" w:hAnsi="Times New Roman"/>
                <w:bCs/>
                <w:color w:val="auto"/>
                <w:lang w:val="pt-PT"/>
              </w:rPr>
              <w:t>foi preenchido.</w:t>
            </w:r>
          </w:p>
          <w:p w:rsidR="00953CA7" w:rsidRPr="00FA3856" w:rsidRDefault="00953CA7" w:rsidP="00DD6DC8">
            <w:pPr>
              <w:pStyle w:val="PSDS-CorpodeTexto0"/>
              <w:jc w:val="both"/>
              <w:rPr>
                <w:rFonts w:ascii="Times New Roman" w:hAnsi="Times New Roman"/>
                <w:b/>
                <w:bCs/>
                <w:lang w:val="pt-PT"/>
              </w:rPr>
            </w:pPr>
          </w:p>
          <w:p w:rsidR="00A1705C" w:rsidRPr="00FA3856" w:rsidRDefault="007D0E74" w:rsidP="00A1705C">
            <w:pPr>
              <w:pStyle w:val="PSDS-CorpodeTexto0"/>
              <w:jc w:val="both"/>
              <w:rPr>
                <w:rStyle w:val="Hyperlink"/>
                <w:rFonts w:ascii="Times New Roman" w:hAnsi="Times New Roman"/>
                <w:bCs/>
                <w:color w:val="auto"/>
                <w:lang w:val="pt-PT"/>
              </w:rPr>
            </w:pPr>
            <w:hyperlink w:anchor="REGRA_APUR_IGUAL" w:history="1">
              <w:r w:rsidR="00953CA7" w:rsidRPr="00FA3856">
                <w:rPr>
                  <w:rStyle w:val="Hyperlink"/>
                  <w:rFonts w:ascii="Times New Roman" w:hAnsi="Times New Roman"/>
                  <w:b/>
                  <w:bCs/>
                  <w:color w:val="auto"/>
                  <w:lang w:val="pt-PT"/>
                </w:rPr>
                <w:t>REGRA_APUR_IGUAL</w:t>
              </w:r>
            </w:hyperlink>
            <w:r w:rsidR="005E0A1A" w:rsidRPr="00FA3856">
              <w:rPr>
                <w:rStyle w:val="Hyperlink"/>
                <w:rFonts w:ascii="Times New Roman" w:hAnsi="Times New Roman"/>
                <w:b/>
                <w:bCs/>
                <w:color w:val="auto"/>
                <w:lang w:val="pt-PT"/>
              </w:rPr>
              <w:t>:</w:t>
            </w:r>
            <w:r w:rsidR="00A1705C" w:rsidRPr="00FA3856">
              <w:rPr>
                <w:rStyle w:val="Hyperlink"/>
                <w:rFonts w:ascii="Times New Roman" w:hAnsi="Times New Roman"/>
                <w:b/>
                <w:bCs/>
                <w:color w:val="auto"/>
                <w:lang w:val="pt-PT"/>
              </w:rPr>
              <w:t xml:space="preserve"> </w:t>
            </w:r>
            <w:r w:rsidR="00A1705C" w:rsidRPr="00FA3856">
              <w:rPr>
                <w:rStyle w:val="Hyperlink"/>
                <w:rFonts w:ascii="Times New Roman" w:hAnsi="Times New Roman"/>
                <w:bCs/>
                <w:color w:val="auto"/>
                <w:lang w:val="pt-PT"/>
              </w:rPr>
              <w:t>Ve</w:t>
            </w:r>
            <w:r w:rsidR="00732B64" w:rsidRPr="00FA3856">
              <w:rPr>
                <w:rStyle w:val="Hyperlink"/>
                <w:rFonts w:ascii="Times New Roman" w:hAnsi="Times New Roman"/>
                <w:bCs/>
                <w:color w:val="auto"/>
                <w:lang w:val="pt-PT"/>
              </w:rPr>
              <w:t xml:space="preserve">rifica se </w:t>
            </w:r>
            <w:r w:rsidR="00180423" w:rsidRPr="00FA3856">
              <w:rPr>
                <w:rStyle w:val="Hyperlink"/>
                <w:rFonts w:ascii="Times New Roman" w:hAnsi="Times New Roman"/>
                <w:bCs/>
                <w:color w:val="auto"/>
                <w:lang w:val="pt-PT"/>
              </w:rPr>
              <w:t>00010.</w:t>
            </w:r>
            <w:r w:rsidR="00142E8F" w:rsidRPr="00FA3856">
              <w:rPr>
                <w:rStyle w:val="Hyperlink"/>
                <w:rFonts w:ascii="Times New Roman" w:hAnsi="Times New Roman"/>
                <w:bCs/>
                <w:color w:val="auto"/>
                <w:lang w:val="pt-PT"/>
              </w:rPr>
              <w:t xml:space="preserve">FORMA_APUR_I  </w:t>
            </w:r>
            <w:r w:rsidR="00A1705C" w:rsidRPr="00FA3856">
              <w:rPr>
                <w:rStyle w:val="Hyperlink"/>
                <w:rFonts w:ascii="Times New Roman" w:hAnsi="Times New Roman"/>
                <w:bCs/>
                <w:color w:val="auto"/>
                <w:lang w:val="pt-PT"/>
              </w:rPr>
              <w:t xml:space="preserve">é igual a </w:t>
            </w:r>
            <w:r w:rsidR="00180423" w:rsidRPr="00FA3856">
              <w:rPr>
                <w:rStyle w:val="Hyperlink"/>
                <w:rFonts w:ascii="Times New Roman" w:hAnsi="Times New Roman"/>
                <w:bCs/>
                <w:color w:val="auto"/>
                <w:lang w:val="pt-PT"/>
              </w:rPr>
              <w:t>0010.</w:t>
            </w:r>
            <w:r w:rsidR="00142E8F" w:rsidRPr="00FA3856">
              <w:rPr>
                <w:rStyle w:val="Hyperlink"/>
                <w:rFonts w:ascii="Times New Roman" w:hAnsi="Times New Roman"/>
                <w:bCs/>
                <w:color w:val="auto"/>
                <w:lang w:val="pt-PT"/>
              </w:rPr>
              <w:t>APUR_CSLL</w:t>
            </w:r>
            <w:r w:rsidR="00A1705C" w:rsidRPr="00FA3856">
              <w:rPr>
                <w:rStyle w:val="Hyperlink"/>
                <w:rFonts w:ascii="Times New Roman" w:hAnsi="Times New Roman"/>
                <w:bCs/>
                <w:color w:val="auto"/>
                <w:lang w:val="pt-PT"/>
              </w:rPr>
              <w:t xml:space="preserve">, quando </w:t>
            </w:r>
            <w:r w:rsidR="00142E8F" w:rsidRPr="00FA3856">
              <w:rPr>
                <w:rStyle w:val="Hyperlink"/>
                <w:rFonts w:ascii="Times New Roman" w:hAnsi="Times New Roman"/>
                <w:bCs/>
                <w:color w:val="auto"/>
                <w:lang w:val="pt-PT"/>
              </w:rPr>
              <w:t xml:space="preserve">0010.APUR_CSLL </w:t>
            </w:r>
            <w:r w:rsidR="00A1705C" w:rsidRPr="00FA3856">
              <w:rPr>
                <w:rStyle w:val="Hyperlink"/>
                <w:rFonts w:ascii="Times New Roman" w:hAnsi="Times New Roman"/>
                <w:bCs/>
                <w:color w:val="auto"/>
                <w:lang w:val="pt-PT"/>
              </w:rPr>
              <w:t>for diferente de “D” (Desobrigado).</w:t>
            </w:r>
          </w:p>
          <w:p w:rsidR="00142E8F" w:rsidRPr="00FA3856" w:rsidRDefault="00142E8F" w:rsidP="00A1705C">
            <w:pPr>
              <w:pStyle w:val="PSDS-CorpodeTexto0"/>
              <w:jc w:val="both"/>
              <w:rPr>
                <w:rFonts w:ascii="Times New Roman" w:hAnsi="Times New Roman"/>
                <w:b/>
                <w:bCs/>
                <w:lang w:val="pt-PT"/>
              </w:rPr>
            </w:pPr>
          </w:p>
        </w:tc>
        <w:tc>
          <w:tcPr>
            <w:tcW w:w="709" w:type="dxa"/>
            <w:tcBorders>
              <w:top w:val="single" w:sz="6" w:space="0" w:color="auto"/>
              <w:left w:val="single" w:sz="6" w:space="0" w:color="auto"/>
              <w:bottom w:val="single" w:sz="6" w:space="0" w:color="auto"/>
              <w:right w:val="single" w:sz="6" w:space="0" w:color="auto"/>
            </w:tcBorders>
          </w:tcPr>
          <w:p w:rsidR="00953CA7" w:rsidRPr="00FA3856" w:rsidRDefault="00953CA7" w:rsidP="00953CA7">
            <w:pPr>
              <w:pStyle w:val="PSDS-CorpodeTexto0"/>
              <w:rPr>
                <w:rFonts w:ascii="Times New Roman" w:hAnsi="Times New Roman"/>
                <w:lang w:val="pt-PT"/>
              </w:rPr>
            </w:pPr>
            <w:r w:rsidRPr="00FA3856">
              <w:rPr>
                <w:rFonts w:ascii="Times New Roman" w:hAnsi="Times New Roman"/>
                <w:lang w:val="pt-PT"/>
              </w:rPr>
              <w:t>Erro</w:t>
            </w:r>
          </w:p>
          <w:p w:rsidR="00953CA7" w:rsidRPr="00FA3856" w:rsidRDefault="00953CA7" w:rsidP="00953CA7">
            <w:pPr>
              <w:pStyle w:val="PSDS-CorpodeTexto0"/>
              <w:rPr>
                <w:rFonts w:ascii="Times New Roman" w:hAnsi="Times New Roman"/>
                <w:lang w:val="pt-PT"/>
              </w:rPr>
            </w:pPr>
          </w:p>
          <w:p w:rsidR="00953CA7" w:rsidRPr="00FA3856" w:rsidRDefault="00953CA7" w:rsidP="00953CA7">
            <w:pPr>
              <w:pStyle w:val="PSDS-CorpodeTexto0"/>
              <w:rPr>
                <w:rFonts w:ascii="Times New Roman" w:hAnsi="Times New Roman"/>
                <w:lang w:val="pt-PT"/>
              </w:rPr>
            </w:pPr>
          </w:p>
          <w:p w:rsidR="00953CA7" w:rsidRPr="00FA3856" w:rsidRDefault="00F904E1" w:rsidP="00953CA7">
            <w:pPr>
              <w:pStyle w:val="PSDS-CorpodeTexto0"/>
              <w:rPr>
                <w:rFonts w:ascii="Times New Roman" w:hAnsi="Times New Roman"/>
                <w:lang w:val="pt-PT"/>
              </w:rPr>
            </w:pPr>
            <w:r w:rsidRPr="00FA3856">
              <w:rPr>
                <w:rFonts w:ascii="Times New Roman" w:hAnsi="Times New Roman"/>
                <w:lang w:val="pt-PT"/>
              </w:rPr>
              <w:t>Erro</w:t>
            </w:r>
          </w:p>
        </w:tc>
      </w:tr>
      <w:tr w:rsidR="001C572B" w:rsidRPr="00FA3856" w:rsidTr="006A4D3C">
        <w:trPr>
          <w:trHeight w:val="20"/>
          <w:jc w:val="center"/>
        </w:trPr>
        <w:tc>
          <w:tcPr>
            <w:tcW w:w="614" w:type="dxa"/>
            <w:tcBorders>
              <w:top w:val="single" w:sz="6" w:space="0" w:color="auto"/>
              <w:left w:val="single" w:sz="6" w:space="0" w:color="auto"/>
              <w:bottom w:val="single" w:sz="6" w:space="0" w:color="auto"/>
              <w:right w:val="single" w:sz="6" w:space="0" w:color="auto"/>
            </w:tcBorders>
          </w:tcPr>
          <w:p w:rsidR="001C572B" w:rsidRPr="00FA3856" w:rsidRDefault="001C572B" w:rsidP="00982029">
            <w:pPr>
              <w:pStyle w:val="PSDS-CorpodeTexto0"/>
              <w:suppressAutoHyphens w:val="0"/>
              <w:rPr>
                <w:rFonts w:ascii="Times New Roman" w:hAnsi="Times New Roman"/>
                <w:b/>
                <w:bCs/>
                <w:lang w:val="pt-PT"/>
              </w:rPr>
            </w:pPr>
            <w:r w:rsidRPr="00FA3856">
              <w:rPr>
                <w:rFonts w:ascii="Times New Roman" w:hAnsi="Times New Roman"/>
                <w:b/>
                <w:bCs/>
                <w:lang w:val="pt-PT"/>
              </w:rPr>
              <w:t>13</w:t>
            </w:r>
          </w:p>
        </w:tc>
        <w:tc>
          <w:tcPr>
            <w:tcW w:w="2050" w:type="dxa"/>
            <w:tcBorders>
              <w:top w:val="single" w:sz="6" w:space="0" w:color="auto"/>
              <w:left w:val="single" w:sz="6" w:space="0" w:color="auto"/>
              <w:bottom w:val="single" w:sz="6" w:space="0" w:color="auto"/>
              <w:right w:val="single" w:sz="6" w:space="0" w:color="auto"/>
            </w:tcBorders>
          </w:tcPr>
          <w:p w:rsidR="001C572B" w:rsidRPr="00FA3856" w:rsidRDefault="001C572B" w:rsidP="00982029">
            <w:pPr>
              <w:pStyle w:val="PSDS-CorpodeTexto0"/>
              <w:rPr>
                <w:rFonts w:ascii="Times New Roman" w:hAnsi="Times New Roman"/>
                <w:b/>
                <w:bCs/>
                <w:lang w:val="pt-PT"/>
              </w:rPr>
            </w:pPr>
            <w:r w:rsidRPr="00FA3856">
              <w:rPr>
                <w:rFonts w:ascii="Times New Roman" w:hAnsi="Times New Roman"/>
                <w:lang w:val="pt-PT"/>
              </w:rPr>
              <w:t>APUR_CSLL</w:t>
            </w:r>
          </w:p>
        </w:tc>
        <w:tc>
          <w:tcPr>
            <w:tcW w:w="12997" w:type="dxa"/>
            <w:tcBorders>
              <w:top w:val="single" w:sz="6" w:space="0" w:color="auto"/>
              <w:left w:val="single" w:sz="6" w:space="0" w:color="auto"/>
              <w:bottom w:val="single" w:sz="6" w:space="0" w:color="auto"/>
              <w:right w:val="single" w:sz="6" w:space="0" w:color="auto"/>
            </w:tcBorders>
          </w:tcPr>
          <w:p w:rsidR="001C572B" w:rsidRPr="00FA3856" w:rsidRDefault="007D0E74" w:rsidP="00142E8F">
            <w:pPr>
              <w:pStyle w:val="PSDS-CorpodeTexto0"/>
              <w:jc w:val="both"/>
              <w:rPr>
                <w:rFonts w:ascii="Times New Roman" w:hAnsi="Times New Roman"/>
                <w:b/>
                <w:bCs/>
                <w:lang w:val="pt-PT"/>
              </w:rPr>
            </w:pPr>
            <w:hyperlink w:anchor="REGRA_PREENCHER_IMUNE" w:history="1">
              <w:r w:rsidR="001C572B" w:rsidRPr="00FA3856">
                <w:rPr>
                  <w:rStyle w:val="Hyperlink"/>
                  <w:rFonts w:ascii="Times New Roman" w:hAnsi="Times New Roman"/>
                  <w:b/>
                  <w:bCs/>
                  <w:color w:val="auto"/>
                  <w:lang w:val="pt-PT"/>
                </w:rPr>
                <w:t>REGRA_PREENCHER_IMUNE</w:t>
              </w:r>
            </w:hyperlink>
            <w:r w:rsidR="001C572B" w:rsidRPr="00FA3856">
              <w:rPr>
                <w:rStyle w:val="Hyperlink"/>
                <w:rFonts w:ascii="Times New Roman" w:hAnsi="Times New Roman"/>
                <w:b/>
                <w:bCs/>
                <w:color w:val="auto"/>
                <w:lang w:val="pt-PT"/>
              </w:rPr>
              <w:t xml:space="preserve">: </w:t>
            </w:r>
            <w:r w:rsidR="001C572B" w:rsidRPr="00FA3856">
              <w:rPr>
                <w:rFonts w:ascii="Times New Roman" w:hAnsi="Times New Roman"/>
                <w:lang w:val="pt-PT"/>
              </w:rPr>
              <w:t xml:space="preserve">Verifica, quando </w:t>
            </w:r>
            <w:r w:rsidR="00180423" w:rsidRPr="00FA3856">
              <w:rPr>
                <w:rFonts w:ascii="Times New Roman" w:hAnsi="Times New Roman"/>
                <w:lang w:val="pt-PT"/>
              </w:rPr>
              <w:t>0010.</w:t>
            </w:r>
            <w:r w:rsidR="00142E8F" w:rsidRPr="00FA3856">
              <w:rPr>
                <w:rStyle w:val="Hyperlink"/>
                <w:rFonts w:ascii="Times New Roman" w:hAnsi="Times New Roman"/>
                <w:bCs/>
                <w:color w:val="auto"/>
                <w:lang w:val="pt-PT"/>
              </w:rPr>
              <w:t xml:space="preserve">FORMA_TRIB é </w:t>
            </w:r>
            <w:r w:rsidR="001C572B" w:rsidRPr="00FA3856">
              <w:rPr>
                <w:rStyle w:val="Hyperlink"/>
                <w:rFonts w:ascii="Times New Roman" w:hAnsi="Times New Roman"/>
                <w:bCs/>
                <w:color w:val="auto"/>
                <w:lang w:val="pt-PT"/>
              </w:rPr>
              <w:t xml:space="preserve">igual a “8” (Imune de IRPJ) ou “9” (Isento do IPRJ), se </w:t>
            </w:r>
            <w:r w:rsidR="00180423" w:rsidRPr="00FA3856">
              <w:rPr>
                <w:rStyle w:val="Hyperlink"/>
                <w:rFonts w:ascii="Times New Roman" w:hAnsi="Times New Roman"/>
                <w:bCs/>
                <w:color w:val="auto"/>
                <w:lang w:val="pt-PT"/>
              </w:rPr>
              <w:t>0010.</w:t>
            </w:r>
            <w:r w:rsidR="001C572B" w:rsidRPr="00FA3856">
              <w:rPr>
                <w:rStyle w:val="Hyperlink"/>
                <w:rFonts w:ascii="Times New Roman" w:hAnsi="Times New Roman"/>
                <w:bCs/>
                <w:color w:val="auto"/>
                <w:lang w:val="pt-PT"/>
              </w:rPr>
              <w:t>APU</w:t>
            </w:r>
            <w:r w:rsidR="00142E8F" w:rsidRPr="00FA3856">
              <w:rPr>
                <w:rStyle w:val="Hyperlink"/>
                <w:rFonts w:ascii="Times New Roman" w:hAnsi="Times New Roman"/>
                <w:bCs/>
                <w:color w:val="auto"/>
                <w:lang w:val="pt-PT"/>
              </w:rPr>
              <w:t xml:space="preserve">R_CSLL </w:t>
            </w:r>
            <w:r w:rsidR="001C572B" w:rsidRPr="00FA3856">
              <w:rPr>
                <w:rStyle w:val="Hyperlink"/>
                <w:rFonts w:ascii="Times New Roman" w:hAnsi="Times New Roman"/>
                <w:bCs/>
                <w:color w:val="auto"/>
                <w:lang w:val="pt-PT"/>
              </w:rPr>
              <w:t>foi preenchido.</w:t>
            </w:r>
          </w:p>
        </w:tc>
        <w:tc>
          <w:tcPr>
            <w:tcW w:w="709" w:type="dxa"/>
            <w:tcBorders>
              <w:top w:val="single" w:sz="6" w:space="0" w:color="auto"/>
              <w:left w:val="single" w:sz="6" w:space="0" w:color="auto"/>
              <w:bottom w:val="single" w:sz="6" w:space="0" w:color="auto"/>
              <w:right w:val="single" w:sz="6" w:space="0" w:color="auto"/>
            </w:tcBorders>
          </w:tcPr>
          <w:p w:rsidR="001C572B" w:rsidRPr="00FA3856" w:rsidRDefault="001C572B" w:rsidP="00982029">
            <w:pPr>
              <w:pStyle w:val="PSDS-CorpodeTexto0"/>
              <w:rPr>
                <w:rFonts w:ascii="Times New Roman" w:hAnsi="Times New Roman"/>
                <w:lang w:val="pt-PT"/>
              </w:rPr>
            </w:pPr>
            <w:r w:rsidRPr="00FA3856">
              <w:rPr>
                <w:rFonts w:ascii="Times New Roman" w:hAnsi="Times New Roman"/>
                <w:lang w:val="pt-PT"/>
              </w:rPr>
              <w:t>Erro</w:t>
            </w:r>
          </w:p>
        </w:tc>
      </w:tr>
    </w:tbl>
    <w:p w:rsidR="00737B6B" w:rsidRDefault="00737B6B" w:rsidP="00DB56E1">
      <w:pPr>
        <w:pStyle w:val="Corpodetexto"/>
        <w:rPr>
          <w:rFonts w:ascii="Times New Roman" w:hAnsi="Times New Roman"/>
          <w:b/>
          <w:color w:val="002060"/>
          <w:szCs w:val="20"/>
        </w:rPr>
      </w:pPr>
    </w:p>
    <w:p w:rsidR="00342F1D" w:rsidRDefault="00DB56E1" w:rsidP="00DB56E1">
      <w:pPr>
        <w:pStyle w:val="Corpodetexto"/>
        <w:rPr>
          <w:rFonts w:ascii="Times New Roman" w:hAnsi="Times New Roman"/>
          <w:b/>
          <w:color w:val="002060"/>
          <w:szCs w:val="20"/>
        </w:rPr>
      </w:pPr>
      <w:r w:rsidRPr="00FA3856">
        <w:rPr>
          <w:rFonts w:ascii="Times New Roman" w:hAnsi="Times New Roman"/>
          <w:b/>
          <w:color w:val="002060"/>
          <w:szCs w:val="20"/>
        </w:rPr>
        <w:t xml:space="preserve">Exemplo de Preenchimento: </w:t>
      </w:r>
    </w:p>
    <w:p w:rsidR="00342F1D" w:rsidRDefault="00342F1D" w:rsidP="00DB56E1">
      <w:pPr>
        <w:pStyle w:val="Corpodetexto"/>
        <w:rPr>
          <w:rFonts w:ascii="Times New Roman" w:hAnsi="Times New Roman"/>
          <w:b/>
          <w:color w:val="002060"/>
          <w:szCs w:val="20"/>
        </w:rPr>
      </w:pPr>
    </w:p>
    <w:p w:rsidR="00DB56E1" w:rsidRPr="00FA3856" w:rsidRDefault="00DB56E1" w:rsidP="00DB56E1">
      <w:pPr>
        <w:pStyle w:val="Corpodetexto"/>
        <w:rPr>
          <w:rFonts w:ascii="Times New Roman" w:hAnsi="Times New Roman"/>
          <w:b/>
          <w:color w:val="002060"/>
          <w:szCs w:val="20"/>
        </w:rPr>
      </w:pPr>
      <w:r w:rsidRPr="00FA3856">
        <w:rPr>
          <w:rFonts w:ascii="Times New Roman" w:hAnsi="Times New Roman"/>
          <w:b/>
          <w:color w:val="002060"/>
          <w:szCs w:val="20"/>
        </w:rPr>
        <w:t>|0010||N|N|1|T|01|RRRR|</w:t>
      </w:r>
      <w:r w:rsidR="00471860" w:rsidRPr="00FA3856">
        <w:rPr>
          <w:rFonts w:ascii="Times New Roman" w:hAnsi="Times New Roman"/>
          <w:b/>
          <w:color w:val="002060"/>
          <w:szCs w:val="20"/>
        </w:rPr>
        <w:t>|||||S|S|</w:t>
      </w:r>
    </w:p>
    <w:p w:rsidR="00DB56E1" w:rsidRPr="00FA3856" w:rsidRDefault="00DB56E1" w:rsidP="00DB56E1">
      <w:pPr>
        <w:pStyle w:val="Corpodetexto"/>
        <w:ind w:firstLine="708"/>
        <w:rPr>
          <w:rFonts w:ascii="Times New Roman" w:hAnsi="Times New Roman"/>
          <w:color w:val="002060"/>
          <w:szCs w:val="20"/>
        </w:rPr>
      </w:pPr>
      <w:r w:rsidRPr="00FA3856">
        <w:rPr>
          <w:rFonts w:ascii="Times New Roman" w:hAnsi="Times New Roman"/>
          <w:color w:val="002060"/>
          <w:szCs w:val="20"/>
        </w:rPr>
        <w:t>|0010|: Identificação do tipo do registro.</w:t>
      </w:r>
    </w:p>
    <w:p w:rsidR="00DB56E1" w:rsidRPr="00FA3856" w:rsidRDefault="00DB56E1" w:rsidP="00DB56E1">
      <w:pPr>
        <w:pStyle w:val="Corpodetexto"/>
        <w:ind w:firstLine="708"/>
        <w:rPr>
          <w:rFonts w:ascii="Times New Roman" w:hAnsi="Times New Roman"/>
          <w:color w:val="002060"/>
          <w:szCs w:val="20"/>
        </w:rPr>
      </w:pPr>
      <w:r w:rsidRPr="00FA3856">
        <w:rPr>
          <w:rFonts w:ascii="Times New Roman" w:hAnsi="Times New Roman"/>
          <w:color w:val="002060"/>
          <w:szCs w:val="20"/>
        </w:rPr>
        <w:t>||: Hashcode da ECF do período imediatamente anterior (Não há).</w:t>
      </w:r>
    </w:p>
    <w:p w:rsidR="00DB56E1" w:rsidRPr="00FA3856" w:rsidRDefault="00DB56E1" w:rsidP="00DB56E1">
      <w:pPr>
        <w:pStyle w:val="Corpodetexto"/>
        <w:ind w:firstLine="708"/>
        <w:rPr>
          <w:rFonts w:ascii="Times New Roman" w:hAnsi="Times New Roman"/>
          <w:color w:val="002060"/>
          <w:szCs w:val="20"/>
        </w:rPr>
      </w:pPr>
      <w:r w:rsidRPr="00FA3856">
        <w:rPr>
          <w:rFonts w:ascii="Times New Roman" w:hAnsi="Times New Roman"/>
          <w:color w:val="002060"/>
          <w:szCs w:val="20"/>
        </w:rPr>
        <w:t>|N|: Indicador de optante pelo Refis (N = Não).</w:t>
      </w:r>
    </w:p>
    <w:p w:rsidR="00DB56E1" w:rsidRPr="00FA3856" w:rsidRDefault="00DB56E1" w:rsidP="00DB56E1">
      <w:pPr>
        <w:pStyle w:val="Corpodetexto"/>
        <w:ind w:firstLine="708"/>
        <w:rPr>
          <w:rFonts w:ascii="Times New Roman" w:hAnsi="Times New Roman"/>
          <w:color w:val="002060"/>
          <w:szCs w:val="20"/>
        </w:rPr>
      </w:pPr>
      <w:r w:rsidRPr="00FA3856">
        <w:rPr>
          <w:rFonts w:ascii="Times New Roman" w:hAnsi="Times New Roman"/>
          <w:color w:val="002060"/>
          <w:szCs w:val="20"/>
        </w:rPr>
        <w:t>|N|: Indicador de optante pelo Paes (N = Não).</w:t>
      </w:r>
    </w:p>
    <w:p w:rsidR="00DB56E1" w:rsidRPr="00FA3856" w:rsidRDefault="00DB56E1" w:rsidP="00DB56E1">
      <w:pPr>
        <w:pStyle w:val="Corpodetexto"/>
        <w:ind w:firstLine="708"/>
        <w:rPr>
          <w:rFonts w:ascii="Times New Roman" w:hAnsi="Times New Roman"/>
          <w:color w:val="002060"/>
          <w:szCs w:val="20"/>
        </w:rPr>
      </w:pPr>
      <w:r w:rsidRPr="00FA3856">
        <w:rPr>
          <w:rFonts w:ascii="Times New Roman" w:hAnsi="Times New Roman"/>
          <w:color w:val="002060"/>
          <w:szCs w:val="20"/>
        </w:rPr>
        <w:t>|1|: Forma de tributação do lucro (1 = Lucro Real).</w:t>
      </w:r>
    </w:p>
    <w:p w:rsidR="00DB56E1" w:rsidRPr="00FA3856" w:rsidRDefault="00DB56E1" w:rsidP="00DB56E1">
      <w:pPr>
        <w:pStyle w:val="Corpodetexto"/>
        <w:ind w:firstLine="708"/>
        <w:rPr>
          <w:rFonts w:ascii="Times New Roman" w:hAnsi="Times New Roman"/>
          <w:color w:val="002060"/>
          <w:szCs w:val="20"/>
        </w:rPr>
      </w:pPr>
      <w:r w:rsidRPr="00FA3856">
        <w:rPr>
          <w:rFonts w:ascii="Times New Roman" w:hAnsi="Times New Roman"/>
          <w:color w:val="002060"/>
          <w:szCs w:val="20"/>
        </w:rPr>
        <w:t>|T|: Forma de apuração do IRPJ e da CSLL (T = Trimestral).</w:t>
      </w:r>
    </w:p>
    <w:p w:rsidR="00DB56E1" w:rsidRPr="00FA3856" w:rsidRDefault="00DB56E1" w:rsidP="00DB56E1">
      <w:pPr>
        <w:pStyle w:val="Corpodetexto"/>
        <w:ind w:firstLine="708"/>
        <w:rPr>
          <w:rFonts w:ascii="Times New Roman" w:hAnsi="Times New Roman"/>
          <w:color w:val="002060"/>
          <w:szCs w:val="20"/>
        </w:rPr>
      </w:pPr>
      <w:r w:rsidRPr="00FA3856">
        <w:rPr>
          <w:rFonts w:ascii="Times New Roman" w:hAnsi="Times New Roman"/>
          <w:color w:val="002060"/>
          <w:szCs w:val="20"/>
        </w:rPr>
        <w:t>|01|: Qualificação da pessoa jurídica (01 = PJ em Geral).</w:t>
      </w:r>
    </w:p>
    <w:p w:rsidR="00DB56E1" w:rsidRPr="00FA3856" w:rsidRDefault="00DB56E1" w:rsidP="00DB56E1">
      <w:pPr>
        <w:pStyle w:val="Corpodetexto"/>
        <w:ind w:firstLine="708"/>
        <w:rPr>
          <w:rFonts w:ascii="Times New Roman" w:hAnsi="Times New Roman"/>
          <w:color w:val="002060"/>
          <w:szCs w:val="20"/>
        </w:rPr>
      </w:pPr>
      <w:r w:rsidRPr="00FA3856">
        <w:rPr>
          <w:rFonts w:ascii="Times New Roman" w:hAnsi="Times New Roman"/>
          <w:color w:val="002060"/>
          <w:szCs w:val="20"/>
        </w:rPr>
        <w:t>|RRRR|: Forma de tributação no período (RRRR = Lucro Real nos quatro trimestres).</w:t>
      </w:r>
    </w:p>
    <w:p w:rsidR="00471860" w:rsidRPr="00FA3856" w:rsidRDefault="00471860" w:rsidP="00DB56E1">
      <w:pPr>
        <w:pStyle w:val="Corpodetexto"/>
        <w:ind w:firstLine="708"/>
        <w:rPr>
          <w:rFonts w:ascii="Times New Roman" w:hAnsi="Times New Roman"/>
          <w:color w:val="002060"/>
          <w:szCs w:val="20"/>
        </w:rPr>
      </w:pPr>
      <w:r w:rsidRPr="00FA3856">
        <w:rPr>
          <w:rFonts w:ascii="Times New Roman" w:hAnsi="Times New Roman"/>
          <w:color w:val="002060"/>
          <w:szCs w:val="20"/>
        </w:rPr>
        <w:t>||: Forma de apuração da estimativa (Não há).</w:t>
      </w:r>
    </w:p>
    <w:p w:rsidR="00471860" w:rsidRPr="00FA3856" w:rsidRDefault="00471860" w:rsidP="00DB56E1">
      <w:pPr>
        <w:pStyle w:val="Corpodetexto"/>
        <w:ind w:firstLine="708"/>
        <w:rPr>
          <w:rFonts w:ascii="Times New Roman" w:hAnsi="Times New Roman"/>
          <w:color w:val="002060"/>
          <w:szCs w:val="20"/>
        </w:rPr>
      </w:pPr>
      <w:r w:rsidRPr="00FA3856">
        <w:rPr>
          <w:rFonts w:ascii="Times New Roman" w:hAnsi="Times New Roman"/>
          <w:color w:val="002060"/>
          <w:szCs w:val="20"/>
        </w:rPr>
        <w:t>||: Tipo de escrituração (não obrigatório para o lucro real).</w:t>
      </w:r>
    </w:p>
    <w:p w:rsidR="00471860" w:rsidRPr="00FA3856" w:rsidRDefault="00471860" w:rsidP="00DB56E1">
      <w:pPr>
        <w:pStyle w:val="Corpodetexto"/>
        <w:ind w:firstLine="708"/>
        <w:rPr>
          <w:rFonts w:ascii="Times New Roman" w:hAnsi="Times New Roman"/>
          <w:color w:val="002060"/>
          <w:szCs w:val="20"/>
        </w:rPr>
      </w:pPr>
      <w:r w:rsidRPr="00FA3856">
        <w:rPr>
          <w:rFonts w:ascii="Times New Roman" w:hAnsi="Times New Roman"/>
          <w:color w:val="002060"/>
          <w:szCs w:val="20"/>
        </w:rPr>
        <w:t>||: Tipo de pessoa jurídica imune ou isenta (não obrigatório para o lucro real).</w:t>
      </w:r>
    </w:p>
    <w:p w:rsidR="00471860" w:rsidRPr="00FA3856" w:rsidRDefault="00471860" w:rsidP="00DB56E1">
      <w:pPr>
        <w:pStyle w:val="Corpodetexto"/>
        <w:ind w:firstLine="708"/>
        <w:rPr>
          <w:rFonts w:ascii="Times New Roman" w:hAnsi="Times New Roman"/>
          <w:color w:val="002060"/>
          <w:szCs w:val="20"/>
        </w:rPr>
      </w:pPr>
      <w:r w:rsidRPr="00FA3856">
        <w:rPr>
          <w:rFonts w:ascii="Times New Roman" w:hAnsi="Times New Roman"/>
          <w:color w:val="002060"/>
          <w:szCs w:val="20"/>
        </w:rPr>
        <w:t>||: Existência de atividade tributada pelo IRPJ para imunes ou isentas (não obrigatório para o lucro real).</w:t>
      </w:r>
    </w:p>
    <w:p w:rsidR="00471860" w:rsidRPr="00FA3856" w:rsidRDefault="00471860" w:rsidP="00DB56E1">
      <w:pPr>
        <w:pStyle w:val="Corpodetexto"/>
        <w:ind w:firstLine="708"/>
        <w:rPr>
          <w:rFonts w:ascii="Times New Roman" w:hAnsi="Times New Roman"/>
          <w:color w:val="002060"/>
          <w:szCs w:val="20"/>
        </w:rPr>
      </w:pPr>
      <w:r w:rsidRPr="00FA3856">
        <w:rPr>
          <w:rFonts w:ascii="Times New Roman" w:hAnsi="Times New Roman"/>
          <w:color w:val="002060"/>
          <w:szCs w:val="20"/>
        </w:rPr>
        <w:t>||: Apuração da CSLL para imunes ou isentas (não obrigatório para o lucro real).</w:t>
      </w:r>
    </w:p>
    <w:p w:rsidR="00471860" w:rsidRPr="00FA3856" w:rsidRDefault="00471860" w:rsidP="00DB56E1">
      <w:pPr>
        <w:pStyle w:val="Corpodetexto"/>
        <w:ind w:firstLine="708"/>
        <w:rPr>
          <w:rFonts w:ascii="Times New Roman" w:hAnsi="Times New Roman"/>
          <w:color w:val="002060"/>
          <w:szCs w:val="20"/>
        </w:rPr>
      </w:pPr>
      <w:r w:rsidRPr="00FA3856">
        <w:rPr>
          <w:rFonts w:ascii="Times New Roman" w:hAnsi="Times New Roman"/>
          <w:color w:val="002060"/>
          <w:szCs w:val="20"/>
        </w:rPr>
        <w:t>|S|: Optante pela extinção do RTT (Regime Tributário de Transição) no Ano-Calendário 2014 (S = Sim).</w:t>
      </w:r>
    </w:p>
    <w:p w:rsidR="00471860" w:rsidRPr="00FA3856" w:rsidRDefault="00471860" w:rsidP="00DB56E1">
      <w:pPr>
        <w:pStyle w:val="Corpodetexto"/>
        <w:ind w:firstLine="708"/>
        <w:rPr>
          <w:rFonts w:ascii="Times New Roman" w:hAnsi="Times New Roman"/>
          <w:color w:val="002060"/>
          <w:szCs w:val="20"/>
        </w:rPr>
      </w:pPr>
      <w:r w:rsidRPr="00FA3856">
        <w:rPr>
          <w:rFonts w:ascii="Times New Roman" w:hAnsi="Times New Roman"/>
          <w:color w:val="002060"/>
          <w:szCs w:val="20"/>
        </w:rPr>
        <w:t>|S|: Diferenças entre a contabilidade societária e Fcont (S = Sim).</w:t>
      </w:r>
    </w:p>
    <w:p w:rsidR="005710F0" w:rsidRPr="00FA3856" w:rsidRDefault="005710F0">
      <w:pPr>
        <w:spacing w:after="200" w:line="276" w:lineRule="auto"/>
        <w:rPr>
          <w:b/>
          <w:bCs/>
          <w:color w:val="0000FF"/>
          <w:szCs w:val="20"/>
        </w:rPr>
      </w:pPr>
      <w:r w:rsidRPr="00FA3856">
        <w:rPr>
          <w:color w:val="0000FF"/>
          <w:szCs w:val="20"/>
        </w:rPr>
        <w:br w:type="page"/>
      </w:r>
    </w:p>
    <w:p w:rsidR="00A1705C" w:rsidRPr="00FA3856" w:rsidRDefault="00A1705C" w:rsidP="00867F54">
      <w:pPr>
        <w:pStyle w:val="Ttulo4"/>
      </w:pPr>
      <w:bookmarkStart w:id="62" w:name="_Toc479713670"/>
      <w:r w:rsidRPr="00FA3856">
        <w:lastRenderedPageBreak/>
        <w:t>Registro 0020: Parâmetros Complementares</w:t>
      </w:r>
      <w:bookmarkEnd w:id="62"/>
    </w:p>
    <w:p w:rsidR="00A1705C" w:rsidRPr="00FA3856" w:rsidRDefault="00A1705C" w:rsidP="002247D6">
      <w:pPr>
        <w:pStyle w:val="PSDS-CorpodeTexto0"/>
        <w:ind w:firstLine="708"/>
        <w:jc w:val="both"/>
        <w:rPr>
          <w:rFonts w:ascii="Times New Roman" w:hAnsi="Times New Roman"/>
          <w:lang w:val="pt-PT"/>
        </w:rPr>
      </w:pPr>
    </w:p>
    <w:p w:rsidR="00A1705C" w:rsidRPr="00FA3856" w:rsidRDefault="00A1705C" w:rsidP="00452227">
      <w:pPr>
        <w:pStyle w:val="PSDS-CorpodeTexto0"/>
        <w:ind w:firstLine="708"/>
        <w:jc w:val="both"/>
        <w:rPr>
          <w:rFonts w:ascii="Times New Roman" w:hAnsi="Times New Roman"/>
          <w:lang w:val="pt-PT"/>
        </w:rPr>
      </w:pPr>
      <w:r w:rsidRPr="00FA3856">
        <w:rPr>
          <w:rFonts w:ascii="Times New Roman" w:hAnsi="Times New Roman"/>
          <w:lang w:val="pt-PT"/>
        </w:rPr>
        <w:t>Apresenta os parâmetros que identificam quais blocos e registros a serem preenchidos.</w:t>
      </w:r>
    </w:p>
    <w:p w:rsidR="00225E77" w:rsidRDefault="00225E77" w:rsidP="00B31A49">
      <w:pPr>
        <w:pStyle w:val="NormalWeb"/>
        <w:spacing w:before="0" w:after="0"/>
        <w:jc w:val="both"/>
        <w:rPr>
          <w:rFonts w:ascii="Times New Roman" w:hAnsi="Times New Roman" w:cs="Times New Roman"/>
          <w:szCs w:val="20"/>
        </w:rPr>
      </w:pPr>
    </w:p>
    <w:p w:rsidR="0097749C" w:rsidRPr="00FA3856" w:rsidRDefault="00B35FA3" w:rsidP="0097749C">
      <w:pPr>
        <w:pStyle w:val="NormalWeb"/>
        <w:spacing w:before="0" w:after="0"/>
        <w:jc w:val="center"/>
        <w:rPr>
          <w:rFonts w:ascii="Times New Roman" w:hAnsi="Times New Roman" w:cs="Times New Roman"/>
          <w:szCs w:val="20"/>
        </w:rPr>
      </w:pPr>
      <w:r>
        <w:rPr>
          <w:rFonts w:ascii="Times New Roman" w:hAnsi="Times New Roman" w:cs="Times New Roman"/>
          <w:szCs w:val="20"/>
        </w:rPr>
        <w:object w:dxaOrig="14190" w:dyaOrig="7620">
          <v:shape id="_x0000_i1546" type="#_x0000_t75" style="width:714.75pt;height:381pt" o:ole="">
            <v:imagedata r:id="rId90" o:title=""/>
          </v:shape>
          <o:OLEObject Type="Link" ProgID="Excel.Sheet.12" ShapeID="_x0000_i1546" DrawAspect="Content" r:id="rId91" UpdateMode="Always">
            <o:LinkType>EnhancedMetaFile</o:LinkType>
            <o:LockedField>false</o:LockedField>
          </o:OLEObject>
        </w:object>
      </w:r>
    </w:p>
    <w:p w:rsidR="00A1705C" w:rsidRPr="00FA3856" w:rsidRDefault="00A1705C" w:rsidP="0097749C">
      <w:pPr>
        <w:jc w:val="center"/>
        <w:rPr>
          <w:szCs w:val="20"/>
        </w:rPr>
      </w:pPr>
    </w:p>
    <w:p w:rsidR="00A1705C" w:rsidRPr="00FA3856" w:rsidRDefault="00A1705C" w:rsidP="00452227">
      <w:pPr>
        <w:rPr>
          <w:szCs w:val="20"/>
        </w:rPr>
      </w:pPr>
    </w:p>
    <w:p w:rsidR="00BE685F" w:rsidRPr="00FA3856" w:rsidRDefault="00BE685F" w:rsidP="00452227">
      <w:pPr>
        <w:rPr>
          <w:szCs w:val="20"/>
        </w:rPr>
      </w:pPr>
    </w:p>
    <w:p w:rsidR="00BE685F" w:rsidRPr="00FA3856" w:rsidRDefault="00B35FA3" w:rsidP="00110D73">
      <w:pPr>
        <w:jc w:val="center"/>
        <w:rPr>
          <w:szCs w:val="20"/>
        </w:rPr>
      </w:pPr>
      <w:r>
        <w:rPr>
          <w:szCs w:val="20"/>
        </w:rPr>
        <w:object w:dxaOrig="14190" w:dyaOrig="7515">
          <v:shape id="_x0000_i1548" type="#_x0000_t75" style="width:714.75pt;height:374.25pt" o:ole="">
            <v:imagedata r:id="rId92" o:title=""/>
          </v:shape>
          <o:OLEObject Type="Link" ProgID="Excel.Sheet.12" ShapeID="_x0000_i1548" DrawAspect="Content" r:id="rId93" UpdateMode="Always">
            <o:LinkType>EnhancedMetaFile</o:LinkType>
            <o:LockedField>false</o:LockedField>
          </o:OLEObject>
        </w:object>
      </w:r>
    </w:p>
    <w:p w:rsidR="0097749C" w:rsidRDefault="0097749C">
      <w:pPr>
        <w:spacing w:after="200" w:line="276" w:lineRule="auto"/>
        <w:rPr>
          <w:b/>
          <w:szCs w:val="20"/>
        </w:rPr>
      </w:pPr>
    </w:p>
    <w:p w:rsidR="0097749C" w:rsidRDefault="0097749C">
      <w:pPr>
        <w:spacing w:after="200" w:line="276" w:lineRule="auto"/>
        <w:rPr>
          <w:b/>
          <w:szCs w:val="20"/>
        </w:rPr>
      </w:pPr>
    </w:p>
    <w:p w:rsidR="0097749C" w:rsidRDefault="0097749C">
      <w:pPr>
        <w:spacing w:after="200" w:line="276" w:lineRule="auto"/>
        <w:rPr>
          <w:b/>
          <w:szCs w:val="20"/>
        </w:rPr>
      </w:pPr>
    </w:p>
    <w:p w:rsidR="0097749C" w:rsidRDefault="0097749C">
      <w:pPr>
        <w:spacing w:after="200" w:line="276" w:lineRule="auto"/>
        <w:rPr>
          <w:b/>
          <w:szCs w:val="20"/>
        </w:rPr>
      </w:pPr>
    </w:p>
    <w:p w:rsidR="0097749C" w:rsidRDefault="00B35FA3" w:rsidP="00110D73">
      <w:pPr>
        <w:spacing w:after="200" w:line="276" w:lineRule="auto"/>
        <w:jc w:val="center"/>
        <w:rPr>
          <w:b/>
          <w:szCs w:val="20"/>
        </w:rPr>
      </w:pPr>
      <w:r>
        <w:rPr>
          <w:b/>
          <w:szCs w:val="20"/>
        </w:rPr>
        <w:object w:dxaOrig="14190" w:dyaOrig="9000">
          <v:shape id="_x0000_i1550" type="#_x0000_t75" style="width:714.75pt;height:451.5pt" o:ole="">
            <v:imagedata r:id="rId94" o:title=""/>
          </v:shape>
          <o:OLEObject Type="Link" ProgID="Excel.Sheet.12" ShapeID="_x0000_i1550" DrawAspect="Content" r:id="rId95" UpdateMode="Always">
            <o:LinkType>EnhancedMetaFile</o:LinkType>
            <o:LockedField>false</o:LockedField>
          </o:OLEObject>
        </w:object>
      </w:r>
    </w:p>
    <w:p w:rsidR="0097749C" w:rsidRDefault="0097749C">
      <w:pPr>
        <w:spacing w:after="200" w:line="276" w:lineRule="auto"/>
        <w:rPr>
          <w:b/>
          <w:szCs w:val="20"/>
        </w:rPr>
      </w:pPr>
    </w:p>
    <w:p w:rsidR="0097749C" w:rsidRDefault="00B35FA3" w:rsidP="0097749C">
      <w:pPr>
        <w:spacing w:after="200" w:line="276" w:lineRule="auto"/>
        <w:jc w:val="center"/>
        <w:rPr>
          <w:b/>
          <w:szCs w:val="20"/>
          <w:lang w:eastAsia="ar-SA"/>
        </w:rPr>
      </w:pPr>
      <w:r>
        <w:rPr>
          <w:b/>
          <w:szCs w:val="20"/>
          <w:lang w:eastAsia="ar-SA"/>
        </w:rPr>
        <w:object w:dxaOrig="14190" w:dyaOrig="8490">
          <v:shape id="_x0000_i1552" type="#_x0000_t75" style="width:714.75pt;height:425.25pt" o:ole="">
            <v:imagedata r:id="rId96" o:title=""/>
          </v:shape>
          <o:OLEObject Type="Link" ProgID="Excel.Sheet.12" ShapeID="_x0000_i1552" DrawAspect="Content" r:id="rId97" UpdateMode="Always">
            <o:LinkType>EnhancedMetaFile</o:LinkType>
            <o:LockedField>false</o:LockedField>
          </o:OLEObject>
        </w:object>
      </w:r>
    </w:p>
    <w:p w:rsidR="0097749C" w:rsidRDefault="0097749C" w:rsidP="00452227">
      <w:pPr>
        <w:pStyle w:val="Corpodetexto"/>
        <w:spacing w:line="240" w:lineRule="auto"/>
        <w:rPr>
          <w:rFonts w:ascii="Times New Roman" w:hAnsi="Times New Roman"/>
          <w:b/>
          <w:color w:val="auto"/>
          <w:szCs w:val="20"/>
        </w:rPr>
      </w:pPr>
    </w:p>
    <w:p w:rsidR="0097749C" w:rsidRDefault="0097749C" w:rsidP="00452227">
      <w:pPr>
        <w:pStyle w:val="Corpodetexto"/>
        <w:spacing w:line="240" w:lineRule="auto"/>
        <w:rPr>
          <w:rFonts w:ascii="Times New Roman" w:hAnsi="Times New Roman"/>
          <w:b/>
          <w:color w:val="auto"/>
          <w:szCs w:val="20"/>
        </w:rPr>
      </w:pPr>
    </w:p>
    <w:p w:rsidR="0097749C" w:rsidRDefault="0097749C" w:rsidP="00452227">
      <w:pPr>
        <w:pStyle w:val="Corpodetexto"/>
        <w:spacing w:line="240" w:lineRule="auto"/>
        <w:rPr>
          <w:rFonts w:ascii="Times New Roman" w:hAnsi="Times New Roman"/>
          <w:b/>
          <w:color w:val="auto"/>
          <w:szCs w:val="20"/>
        </w:rPr>
      </w:pPr>
    </w:p>
    <w:p w:rsidR="00110D73" w:rsidRDefault="00B35FA3" w:rsidP="00110D73">
      <w:pPr>
        <w:pStyle w:val="Corpodetexto"/>
        <w:spacing w:line="240" w:lineRule="auto"/>
        <w:jc w:val="center"/>
        <w:rPr>
          <w:rFonts w:ascii="Times New Roman" w:hAnsi="Times New Roman"/>
          <w:b/>
          <w:color w:val="auto"/>
          <w:szCs w:val="20"/>
        </w:rPr>
      </w:pPr>
      <w:r>
        <w:rPr>
          <w:rFonts w:ascii="Times New Roman" w:hAnsi="Times New Roman"/>
          <w:b/>
          <w:color w:val="auto"/>
          <w:szCs w:val="20"/>
        </w:rPr>
        <w:object w:dxaOrig="14190" w:dyaOrig="7710">
          <v:shape id="_x0000_i1554" type="#_x0000_t75" style="width:714.75pt;height:381.75pt" o:ole="">
            <v:imagedata r:id="rId98" o:title=""/>
          </v:shape>
          <o:OLEObject Type="Link" ProgID="Excel.Sheet.12" ShapeID="_x0000_i1554" DrawAspect="Content" r:id="rId99" UpdateMode="Always">
            <o:LinkType>EnhancedMetaFile</o:LinkType>
            <o:LockedField>false</o:LockedField>
          </o:OLEObject>
        </w:object>
      </w:r>
    </w:p>
    <w:p w:rsidR="0097749C" w:rsidRDefault="0097749C" w:rsidP="00452227">
      <w:pPr>
        <w:pStyle w:val="Corpodetexto"/>
        <w:spacing w:line="240" w:lineRule="auto"/>
        <w:rPr>
          <w:rFonts w:ascii="Times New Roman" w:hAnsi="Times New Roman"/>
          <w:b/>
          <w:color w:val="auto"/>
          <w:szCs w:val="20"/>
        </w:rPr>
      </w:pPr>
    </w:p>
    <w:p w:rsidR="0097749C" w:rsidRDefault="0097749C" w:rsidP="00452227">
      <w:pPr>
        <w:pStyle w:val="Corpodetexto"/>
        <w:spacing w:line="240" w:lineRule="auto"/>
        <w:rPr>
          <w:rFonts w:ascii="Times New Roman" w:hAnsi="Times New Roman"/>
          <w:b/>
          <w:color w:val="auto"/>
          <w:szCs w:val="20"/>
        </w:rPr>
      </w:pPr>
    </w:p>
    <w:p w:rsidR="0097749C" w:rsidRDefault="0097749C" w:rsidP="0097749C">
      <w:pPr>
        <w:pStyle w:val="Corpodetexto"/>
        <w:spacing w:line="240" w:lineRule="auto"/>
        <w:jc w:val="center"/>
        <w:rPr>
          <w:rFonts w:ascii="Times New Roman" w:hAnsi="Times New Roman"/>
          <w:b/>
          <w:color w:val="auto"/>
          <w:szCs w:val="20"/>
        </w:rPr>
      </w:pPr>
    </w:p>
    <w:p w:rsidR="0097749C" w:rsidRDefault="0097749C">
      <w:pPr>
        <w:spacing w:after="200" w:line="276" w:lineRule="auto"/>
        <w:rPr>
          <w:b/>
          <w:szCs w:val="20"/>
          <w:lang w:eastAsia="ar-SA"/>
        </w:rPr>
      </w:pPr>
      <w:r>
        <w:rPr>
          <w:b/>
          <w:szCs w:val="20"/>
        </w:rPr>
        <w:br w:type="page"/>
      </w:r>
    </w:p>
    <w:p w:rsidR="0097749C" w:rsidRDefault="00B35FA3" w:rsidP="0097749C">
      <w:pPr>
        <w:spacing w:after="200" w:line="276" w:lineRule="auto"/>
        <w:jc w:val="center"/>
        <w:rPr>
          <w:b/>
          <w:szCs w:val="20"/>
          <w:lang w:eastAsia="ar-SA"/>
        </w:rPr>
      </w:pPr>
      <w:r>
        <w:rPr>
          <w:b/>
          <w:szCs w:val="20"/>
          <w:lang w:eastAsia="ar-SA"/>
        </w:rPr>
        <w:object w:dxaOrig="14190" w:dyaOrig="7965">
          <v:shape id="_x0000_i1556" type="#_x0000_t75" style="width:714.75pt;height:396.75pt" o:ole="">
            <v:imagedata r:id="rId100" o:title=""/>
          </v:shape>
          <o:OLEObject Type="Link" ProgID="Excel.Sheet.12" ShapeID="_x0000_i1556" DrawAspect="Content" r:id="rId101" UpdateMode="Always">
            <o:LinkType>EnhancedMetaFile</o:LinkType>
            <o:LockedField>false</o:LockedField>
          </o:OLEObject>
        </w:object>
      </w:r>
    </w:p>
    <w:p w:rsidR="0097749C" w:rsidRDefault="0097749C" w:rsidP="00452227">
      <w:pPr>
        <w:pStyle w:val="Corpodetexto"/>
        <w:spacing w:line="240" w:lineRule="auto"/>
        <w:rPr>
          <w:rFonts w:ascii="Times New Roman" w:hAnsi="Times New Roman"/>
          <w:b/>
          <w:color w:val="auto"/>
          <w:szCs w:val="20"/>
        </w:rPr>
      </w:pPr>
    </w:p>
    <w:p w:rsidR="0097749C" w:rsidRDefault="0097749C" w:rsidP="00452227">
      <w:pPr>
        <w:pStyle w:val="Corpodetexto"/>
        <w:spacing w:line="240" w:lineRule="auto"/>
        <w:rPr>
          <w:rFonts w:ascii="Times New Roman" w:hAnsi="Times New Roman"/>
          <w:b/>
          <w:color w:val="auto"/>
          <w:szCs w:val="20"/>
        </w:rPr>
      </w:pPr>
    </w:p>
    <w:p w:rsidR="0097749C" w:rsidRDefault="0097749C" w:rsidP="00452227">
      <w:pPr>
        <w:pStyle w:val="Corpodetexto"/>
        <w:spacing w:line="240" w:lineRule="auto"/>
        <w:rPr>
          <w:rFonts w:ascii="Times New Roman" w:hAnsi="Times New Roman"/>
          <w:b/>
          <w:color w:val="auto"/>
          <w:szCs w:val="20"/>
        </w:rPr>
      </w:pPr>
    </w:p>
    <w:p w:rsidR="0097749C" w:rsidRDefault="0097749C" w:rsidP="0097749C">
      <w:pPr>
        <w:pStyle w:val="Corpodetexto"/>
        <w:spacing w:line="240" w:lineRule="auto"/>
        <w:jc w:val="center"/>
        <w:rPr>
          <w:rFonts w:ascii="Times New Roman" w:hAnsi="Times New Roman"/>
          <w:b/>
          <w:color w:val="auto"/>
          <w:szCs w:val="20"/>
        </w:rPr>
      </w:pPr>
    </w:p>
    <w:p w:rsidR="0097749C" w:rsidRDefault="0097749C" w:rsidP="0097749C">
      <w:pPr>
        <w:pStyle w:val="Corpodetexto"/>
        <w:spacing w:line="240" w:lineRule="auto"/>
        <w:jc w:val="center"/>
        <w:rPr>
          <w:rFonts w:ascii="Times New Roman" w:hAnsi="Times New Roman"/>
          <w:b/>
          <w:color w:val="auto"/>
          <w:szCs w:val="20"/>
        </w:rPr>
      </w:pPr>
    </w:p>
    <w:p w:rsidR="0097749C" w:rsidRDefault="00B35FA3" w:rsidP="00110D73">
      <w:pPr>
        <w:pStyle w:val="Corpodetexto"/>
        <w:spacing w:line="240" w:lineRule="auto"/>
        <w:jc w:val="center"/>
        <w:rPr>
          <w:rFonts w:ascii="Times New Roman" w:hAnsi="Times New Roman"/>
          <w:b/>
          <w:color w:val="auto"/>
          <w:szCs w:val="20"/>
        </w:rPr>
      </w:pPr>
      <w:r>
        <w:rPr>
          <w:rFonts w:ascii="Times New Roman" w:hAnsi="Times New Roman"/>
          <w:b/>
          <w:color w:val="auto"/>
          <w:szCs w:val="20"/>
        </w:rPr>
        <w:object w:dxaOrig="14190" w:dyaOrig="7965">
          <v:shape id="_x0000_i1558" type="#_x0000_t75" style="width:714.75pt;height:396pt" o:ole="">
            <v:imagedata r:id="rId102" o:title=""/>
          </v:shape>
          <o:OLEObject Type="Link" ProgID="Excel.Sheet.12" ShapeID="_x0000_i1558" DrawAspect="Content" r:id="rId103" UpdateMode="Always">
            <o:LinkType>EnhancedMetaFile</o:LinkType>
            <o:LockedField>false</o:LockedField>
          </o:OLEObject>
        </w:object>
      </w:r>
    </w:p>
    <w:p w:rsidR="0097749C" w:rsidRDefault="0097749C" w:rsidP="0097749C">
      <w:pPr>
        <w:pStyle w:val="Corpodetexto"/>
        <w:spacing w:line="240" w:lineRule="auto"/>
        <w:jc w:val="center"/>
        <w:rPr>
          <w:rFonts w:ascii="Times New Roman" w:hAnsi="Times New Roman"/>
          <w:b/>
          <w:color w:val="auto"/>
          <w:szCs w:val="20"/>
        </w:rPr>
      </w:pPr>
    </w:p>
    <w:p w:rsidR="0097749C" w:rsidRDefault="0097749C">
      <w:pPr>
        <w:spacing w:after="200" w:line="276" w:lineRule="auto"/>
        <w:rPr>
          <w:b/>
          <w:szCs w:val="20"/>
        </w:rPr>
      </w:pPr>
      <w:r>
        <w:rPr>
          <w:b/>
          <w:szCs w:val="20"/>
        </w:rPr>
        <w:br w:type="page"/>
      </w:r>
    </w:p>
    <w:p w:rsidR="00110D73" w:rsidRDefault="00B35FA3" w:rsidP="00110D73">
      <w:pPr>
        <w:spacing w:after="200" w:line="276" w:lineRule="auto"/>
        <w:jc w:val="center"/>
        <w:rPr>
          <w:b/>
          <w:szCs w:val="20"/>
          <w:lang w:eastAsia="ar-SA"/>
        </w:rPr>
      </w:pPr>
      <w:r>
        <w:rPr>
          <w:b/>
          <w:szCs w:val="20"/>
          <w:lang w:eastAsia="ar-SA"/>
        </w:rPr>
        <w:object w:dxaOrig="14190" w:dyaOrig="7185">
          <v:shape id="_x0000_i1560" type="#_x0000_t75" style="width:714.75pt;height:5in" o:ole="">
            <v:imagedata r:id="rId104" o:title=""/>
          </v:shape>
          <o:OLEObject Type="Link" ProgID="Excel.Sheet.12" ShapeID="_x0000_i1560" DrawAspect="Content" r:id="rId105" UpdateMode="Always">
            <o:LinkType>EnhancedMetaFile</o:LinkType>
            <o:LockedField>false</o:LockedField>
          </o:OLEObject>
        </w:object>
      </w:r>
    </w:p>
    <w:p w:rsidR="0097749C" w:rsidRDefault="0097749C" w:rsidP="0097749C">
      <w:pPr>
        <w:pStyle w:val="Corpodetexto"/>
        <w:spacing w:line="240" w:lineRule="auto"/>
        <w:jc w:val="center"/>
        <w:rPr>
          <w:rFonts w:ascii="Times New Roman" w:hAnsi="Times New Roman"/>
          <w:b/>
          <w:color w:val="auto"/>
          <w:szCs w:val="20"/>
        </w:rPr>
      </w:pPr>
    </w:p>
    <w:p w:rsidR="00110D73" w:rsidRDefault="00110D73" w:rsidP="0097749C">
      <w:pPr>
        <w:pStyle w:val="Corpodetexto"/>
        <w:spacing w:line="240" w:lineRule="auto"/>
        <w:jc w:val="center"/>
        <w:rPr>
          <w:rFonts w:ascii="Times New Roman" w:hAnsi="Times New Roman"/>
          <w:b/>
          <w:color w:val="auto"/>
          <w:szCs w:val="20"/>
        </w:rPr>
      </w:pPr>
    </w:p>
    <w:p w:rsidR="00110D73" w:rsidRDefault="00110D73" w:rsidP="0097749C">
      <w:pPr>
        <w:pStyle w:val="Corpodetexto"/>
        <w:spacing w:line="240" w:lineRule="auto"/>
        <w:jc w:val="center"/>
        <w:rPr>
          <w:rFonts w:ascii="Times New Roman" w:hAnsi="Times New Roman"/>
          <w:b/>
          <w:color w:val="auto"/>
          <w:szCs w:val="20"/>
        </w:rPr>
      </w:pPr>
    </w:p>
    <w:p w:rsidR="00110D73" w:rsidRDefault="00110D73" w:rsidP="0097749C">
      <w:pPr>
        <w:pStyle w:val="Corpodetexto"/>
        <w:spacing w:line="240" w:lineRule="auto"/>
        <w:jc w:val="center"/>
        <w:rPr>
          <w:rFonts w:ascii="Times New Roman" w:hAnsi="Times New Roman"/>
          <w:b/>
          <w:color w:val="auto"/>
          <w:szCs w:val="20"/>
        </w:rPr>
      </w:pPr>
    </w:p>
    <w:p w:rsidR="00110D73" w:rsidRDefault="00110D73" w:rsidP="0097749C">
      <w:pPr>
        <w:pStyle w:val="Corpodetexto"/>
        <w:spacing w:line="240" w:lineRule="auto"/>
        <w:jc w:val="center"/>
        <w:rPr>
          <w:rFonts w:ascii="Times New Roman" w:hAnsi="Times New Roman"/>
          <w:b/>
          <w:color w:val="auto"/>
          <w:szCs w:val="20"/>
        </w:rPr>
      </w:pPr>
    </w:p>
    <w:p w:rsidR="00110D73" w:rsidRDefault="00110D73" w:rsidP="0097749C">
      <w:pPr>
        <w:pStyle w:val="Corpodetexto"/>
        <w:spacing w:line="240" w:lineRule="auto"/>
        <w:jc w:val="center"/>
        <w:rPr>
          <w:rFonts w:ascii="Times New Roman" w:hAnsi="Times New Roman"/>
          <w:b/>
          <w:color w:val="auto"/>
          <w:szCs w:val="20"/>
        </w:rPr>
      </w:pPr>
    </w:p>
    <w:p w:rsidR="00110D73" w:rsidRDefault="00110D73" w:rsidP="0097749C">
      <w:pPr>
        <w:pStyle w:val="Corpodetexto"/>
        <w:spacing w:line="240" w:lineRule="auto"/>
        <w:jc w:val="center"/>
        <w:rPr>
          <w:rFonts w:ascii="Times New Roman" w:hAnsi="Times New Roman"/>
          <w:b/>
          <w:color w:val="auto"/>
          <w:szCs w:val="20"/>
        </w:rPr>
      </w:pPr>
    </w:p>
    <w:p w:rsidR="00110D73" w:rsidRDefault="00110D73" w:rsidP="0097749C">
      <w:pPr>
        <w:pStyle w:val="Corpodetexto"/>
        <w:spacing w:line="240" w:lineRule="auto"/>
        <w:jc w:val="center"/>
        <w:rPr>
          <w:rFonts w:ascii="Times New Roman" w:hAnsi="Times New Roman"/>
          <w:b/>
          <w:color w:val="auto"/>
          <w:szCs w:val="20"/>
        </w:rPr>
      </w:pPr>
    </w:p>
    <w:p w:rsidR="00110D73" w:rsidRDefault="00110D73" w:rsidP="0097749C">
      <w:pPr>
        <w:pStyle w:val="Corpodetexto"/>
        <w:spacing w:line="240" w:lineRule="auto"/>
        <w:jc w:val="center"/>
        <w:rPr>
          <w:rFonts w:ascii="Times New Roman" w:hAnsi="Times New Roman"/>
          <w:b/>
          <w:color w:val="auto"/>
          <w:szCs w:val="20"/>
        </w:rPr>
      </w:pPr>
    </w:p>
    <w:p w:rsidR="00110D73" w:rsidRDefault="00B35FA3" w:rsidP="0097749C">
      <w:pPr>
        <w:pStyle w:val="Corpodetexto"/>
        <w:spacing w:line="240" w:lineRule="auto"/>
        <w:jc w:val="center"/>
        <w:rPr>
          <w:rFonts w:ascii="Times New Roman" w:hAnsi="Times New Roman"/>
          <w:b/>
          <w:color w:val="auto"/>
          <w:szCs w:val="20"/>
        </w:rPr>
      </w:pPr>
      <w:r>
        <w:rPr>
          <w:rFonts w:ascii="Times New Roman" w:hAnsi="Times New Roman"/>
          <w:b/>
          <w:color w:val="auto"/>
          <w:szCs w:val="20"/>
        </w:rPr>
        <w:object w:dxaOrig="14190" w:dyaOrig="6420">
          <v:shape id="_x0000_i1562" type="#_x0000_t75" style="width:714.75pt;height:324.75pt" o:ole="">
            <v:imagedata r:id="rId106" o:title=""/>
          </v:shape>
          <o:OLEObject Type="Link" ProgID="Excel.Sheet.12" ShapeID="_x0000_i1562" DrawAspect="Content" r:id="rId107" UpdateMode="Always">
            <o:LinkType>EnhancedMetaFile</o:LinkType>
            <o:LockedField>false</o:LockedField>
          </o:OLEObject>
        </w:object>
      </w:r>
    </w:p>
    <w:p w:rsidR="0097749C" w:rsidRDefault="0097749C" w:rsidP="00452227">
      <w:pPr>
        <w:pStyle w:val="Corpodetexto"/>
        <w:spacing w:line="240" w:lineRule="auto"/>
        <w:rPr>
          <w:rFonts w:ascii="Times New Roman" w:hAnsi="Times New Roman"/>
          <w:b/>
          <w:color w:val="auto"/>
          <w:szCs w:val="20"/>
        </w:rPr>
      </w:pPr>
    </w:p>
    <w:p w:rsidR="0097749C" w:rsidRDefault="0097749C" w:rsidP="00452227">
      <w:pPr>
        <w:pStyle w:val="Corpodetexto"/>
        <w:spacing w:line="240" w:lineRule="auto"/>
        <w:rPr>
          <w:rFonts w:ascii="Times New Roman" w:hAnsi="Times New Roman"/>
          <w:b/>
          <w:color w:val="auto"/>
          <w:szCs w:val="20"/>
        </w:rPr>
      </w:pPr>
    </w:p>
    <w:p w:rsidR="0097749C" w:rsidRDefault="0097749C" w:rsidP="00452227">
      <w:pPr>
        <w:pStyle w:val="Corpodetexto"/>
        <w:spacing w:line="240" w:lineRule="auto"/>
        <w:rPr>
          <w:rFonts w:ascii="Times New Roman" w:hAnsi="Times New Roman"/>
          <w:b/>
          <w:color w:val="auto"/>
          <w:szCs w:val="20"/>
        </w:rPr>
      </w:pPr>
    </w:p>
    <w:p w:rsidR="0097749C" w:rsidRDefault="0097749C" w:rsidP="00452227">
      <w:pPr>
        <w:pStyle w:val="Corpodetexto"/>
        <w:spacing w:line="240" w:lineRule="auto"/>
        <w:rPr>
          <w:rFonts w:ascii="Times New Roman" w:hAnsi="Times New Roman"/>
          <w:b/>
          <w:color w:val="auto"/>
          <w:szCs w:val="20"/>
        </w:rPr>
      </w:pPr>
    </w:p>
    <w:p w:rsidR="0097749C" w:rsidRDefault="0097749C" w:rsidP="00452227">
      <w:pPr>
        <w:pStyle w:val="Corpodetexto"/>
        <w:spacing w:line="240" w:lineRule="auto"/>
        <w:rPr>
          <w:rFonts w:ascii="Times New Roman" w:hAnsi="Times New Roman"/>
          <w:b/>
          <w:color w:val="auto"/>
          <w:szCs w:val="20"/>
        </w:rPr>
      </w:pPr>
    </w:p>
    <w:p w:rsidR="0097749C" w:rsidRDefault="0097749C" w:rsidP="0097749C">
      <w:pPr>
        <w:pStyle w:val="Corpodetexto"/>
        <w:spacing w:line="240" w:lineRule="auto"/>
        <w:jc w:val="center"/>
        <w:rPr>
          <w:rFonts w:ascii="Times New Roman" w:hAnsi="Times New Roman"/>
          <w:b/>
          <w:color w:val="auto"/>
          <w:szCs w:val="20"/>
        </w:rPr>
      </w:pPr>
    </w:p>
    <w:p w:rsidR="0097749C" w:rsidRDefault="0097749C">
      <w:pPr>
        <w:spacing w:after="200" w:line="276" w:lineRule="auto"/>
        <w:rPr>
          <w:b/>
          <w:szCs w:val="20"/>
        </w:rPr>
      </w:pPr>
      <w:r>
        <w:rPr>
          <w:b/>
          <w:szCs w:val="20"/>
        </w:rPr>
        <w:br w:type="page"/>
      </w:r>
    </w:p>
    <w:p w:rsidR="00110D73" w:rsidRDefault="00B35FA3" w:rsidP="00110D73">
      <w:pPr>
        <w:spacing w:after="200" w:line="276" w:lineRule="auto"/>
        <w:jc w:val="center"/>
        <w:rPr>
          <w:b/>
          <w:szCs w:val="20"/>
          <w:lang w:eastAsia="ar-SA"/>
        </w:rPr>
      </w:pPr>
      <w:r>
        <w:rPr>
          <w:b/>
          <w:szCs w:val="20"/>
        </w:rPr>
        <w:object w:dxaOrig="14190" w:dyaOrig="7680">
          <v:shape id="_x0000_i1564" type="#_x0000_t75" style="width:714.75pt;height:383.25pt" o:ole="">
            <v:imagedata r:id="rId108" o:title=""/>
          </v:shape>
          <o:OLEObject Type="Link" ProgID="Excel.Sheet.12" ShapeID="_x0000_i1564" DrawAspect="Content" r:id="rId109" UpdateMode="Always">
            <o:LinkType>EnhancedMetaFile</o:LinkType>
            <o:LockedField>false</o:LockedField>
          </o:OLEObject>
        </w:object>
      </w:r>
    </w:p>
    <w:p w:rsidR="00110D73" w:rsidRDefault="00110D73" w:rsidP="00452227">
      <w:pPr>
        <w:pStyle w:val="Corpodetexto"/>
        <w:spacing w:line="240" w:lineRule="auto"/>
        <w:rPr>
          <w:rFonts w:ascii="Times New Roman" w:hAnsi="Times New Roman"/>
          <w:b/>
          <w:color w:val="auto"/>
          <w:szCs w:val="20"/>
        </w:rPr>
      </w:pPr>
    </w:p>
    <w:p w:rsidR="00110D73" w:rsidRDefault="00110D73" w:rsidP="00452227">
      <w:pPr>
        <w:pStyle w:val="Corpodetexto"/>
        <w:spacing w:line="240" w:lineRule="auto"/>
        <w:rPr>
          <w:rFonts w:ascii="Times New Roman" w:hAnsi="Times New Roman"/>
          <w:b/>
          <w:color w:val="auto"/>
          <w:szCs w:val="20"/>
        </w:rPr>
      </w:pPr>
    </w:p>
    <w:p w:rsidR="001C440E" w:rsidRDefault="001C440E" w:rsidP="00452227">
      <w:pPr>
        <w:pStyle w:val="Corpodetexto"/>
        <w:spacing w:line="240" w:lineRule="auto"/>
        <w:rPr>
          <w:rFonts w:ascii="Times New Roman" w:hAnsi="Times New Roman"/>
          <w:b/>
          <w:color w:val="auto"/>
          <w:szCs w:val="20"/>
        </w:rPr>
      </w:pPr>
    </w:p>
    <w:p w:rsidR="001C440E" w:rsidRDefault="001C440E" w:rsidP="00452227">
      <w:pPr>
        <w:pStyle w:val="Corpodetexto"/>
        <w:spacing w:line="240" w:lineRule="auto"/>
        <w:rPr>
          <w:rFonts w:ascii="Times New Roman" w:hAnsi="Times New Roman"/>
          <w:b/>
          <w:color w:val="auto"/>
          <w:szCs w:val="20"/>
        </w:rPr>
      </w:pPr>
    </w:p>
    <w:p w:rsidR="001C440E" w:rsidRDefault="001C440E" w:rsidP="00452227">
      <w:pPr>
        <w:pStyle w:val="Corpodetexto"/>
        <w:spacing w:line="240" w:lineRule="auto"/>
        <w:rPr>
          <w:rFonts w:ascii="Times New Roman" w:hAnsi="Times New Roman"/>
          <w:b/>
          <w:color w:val="auto"/>
          <w:szCs w:val="20"/>
        </w:rPr>
      </w:pPr>
    </w:p>
    <w:p w:rsidR="001C440E" w:rsidRDefault="001C440E" w:rsidP="00452227">
      <w:pPr>
        <w:pStyle w:val="Corpodetexto"/>
        <w:spacing w:line="240" w:lineRule="auto"/>
        <w:rPr>
          <w:rFonts w:ascii="Times New Roman" w:hAnsi="Times New Roman"/>
          <w:b/>
          <w:color w:val="auto"/>
          <w:szCs w:val="20"/>
        </w:rPr>
      </w:pPr>
    </w:p>
    <w:p w:rsidR="001C440E" w:rsidRDefault="00B35FA3" w:rsidP="001C440E">
      <w:pPr>
        <w:pStyle w:val="Corpodetexto"/>
        <w:spacing w:line="240" w:lineRule="auto"/>
        <w:jc w:val="center"/>
        <w:rPr>
          <w:rFonts w:ascii="Times New Roman" w:hAnsi="Times New Roman"/>
          <w:b/>
          <w:color w:val="auto"/>
          <w:szCs w:val="20"/>
        </w:rPr>
      </w:pPr>
      <w:r>
        <w:rPr>
          <w:rFonts w:ascii="Times New Roman" w:hAnsi="Times New Roman"/>
          <w:b/>
          <w:color w:val="auto"/>
          <w:szCs w:val="20"/>
        </w:rPr>
        <w:object w:dxaOrig="14190" w:dyaOrig="6660">
          <v:shape id="_x0000_i1566" type="#_x0000_t75" style="width:708.75pt;height:333.75pt" o:ole="">
            <v:imagedata r:id="rId110" o:title=""/>
          </v:shape>
          <o:OLEObject Type="Link" ProgID="Excel.Sheet.12" ShapeID="_x0000_i1566" DrawAspect="Content" r:id="rId111" UpdateMode="Always">
            <o:LinkType>EnhancedMetaFile</o:LinkType>
            <o:LockedField>false</o:LockedField>
          </o:OLEObject>
        </w:object>
      </w:r>
    </w:p>
    <w:p w:rsidR="00110D73" w:rsidRDefault="00110D73" w:rsidP="00452227">
      <w:pPr>
        <w:pStyle w:val="Corpodetexto"/>
        <w:spacing w:line="240" w:lineRule="auto"/>
        <w:rPr>
          <w:rFonts w:ascii="Times New Roman" w:hAnsi="Times New Roman"/>
          <w:b/>
          <w:color w:val="auto"/>
          <w:szCs w:val="20"/>
        </w:rPr>
      </w:pPr>
    </w:p>
    <w:p w:rsidR="00110D73" w:rsidRDefault="00110D73" w:rsidP="00452227">
      <w:pPr>
        <w:pStyle w:val="Corpodetexto"/>
        <w:spacing w:line="240" w:lineRule="auto"/>
        <w:rPr>
          <w:rFonts w:ascii="Times New Roman" w:hAnsi="Times New Roman"/>
          <w:b/>
          <w:color w:val="auto"/>
          <w:szCs w:val="20"/>
        </w:rPr>
      </w:pPr>
    </w:p>
    <w:p w:rsidR="00110D73" w:rsidRDefault="00110D73" w:rsidP="00BA4160">
      <w:pPr>
        <w:pStyle w:val="Corpodetexto"/>
        <w:spacing w:line="240" w:lineRule="auto"/>
        <w:jc w:val="center"/>
        <w:rPr>
          <w:rFonts w:ascii="Times New Roman" w:hAnsi="Times New Roman"/>
          <w:b/>
          <w:color w:val="auto"/>
          <w:szCs w:val="20"/>
        </w:rPr>
      </w:pPr>
    </w:p>
    <w:p w:rsidR="001A4B0F" w:rsidRDefault="001A4B0F" w:rsidP="00BA4160">
      <w:pPr>
        <w:pStyle w:val="Corpodetexto"/>
        <w:spacing w:line="240" w:lineRule="auto"/>
        <w:jc w:val="center"/>
        <w:rPr>
          <w:rFonts w:ascii="Times New Roman" w:hAnsi="Times New Roman"/>
          <w:b/>
          <w:color w:val="auto"/>
          <w:szCs w:val="20"/>
        </w:rPr>
      </w:pPr>
    </w:p>
    <w:p w:rsidR="001A4B0F" w:rsidRDefault="001A4B0F" w:rsidP="00BA4160">
      <w:pPr>
        <w:pStyle w:val="Corpodetexto"/>
        <w:spacing w:line="240" w:lineRule="auto"/>
        <w:jc w:val="center"/>
        <w:rPr>
          <w:rFonts w:ascii="Times New Roman" w:hAnsi="Times New Roman"/>
          <w:b/>
          <w:color w:val="auto"/>
          <w:szCs w:val="20"/>
        </w:rPr>
      </w:pPr>
    </w:p>
    <w:p w:rsidR="001A4B0F" w:rsidRDefault="001A4B0F" w:rsidP="00BA4160">
      <w:pPr>
        <w:pStyle w:val="Corpodetexto"/>
        <w:spacing w:line="240" w:lineRule="auto"/>
        <w:jc w:val="center"/>
        <w:rPr>
          <w:rFonts w:ascii="Times New Roman" w:hAnsi="Times New Roman"/>
          <w:b/>
          <w:color w:val="auto"/>
          <w:szCs w:val="20"/>
        </w:rPr>
      </w:pPr>
    </w:p>
    <w:p w:rsidR="001A4B0F" w:rsidRDefault="001A4B0F" w:rsidP="00BA4160">
      <w:pPr>
        <w:pStyle w:val="Corpodetexto"/>
        <w:spacing w:line="240" w:lineRule="auto"/>
        <w:jc w:val="center"/>
        <w:rPr>
          <w:rFonts w:ascii="Times New Roman" w:hAnsi="Times New Roman"/>
          <w:b/>
          <w:color w:val="auto"/>
          <w:szCs w:val="20"/>
        </w:rPr>
      </w:pPr>
    </w:p>
    <w:p w:rsidR="001A4B0F" w:rsidRDefault="001A4B0F" w:rsidP="00BA4160">
      <w:pPr>
        <w:pStyle w:val="Corpodetexto"/>
        <w:spacing w:line="240" w:lineRule="auto"/>
        <w:jc w:val="center"/>
        <w:rPr>
          <w:rFonts w:ascii="Times New Roman" w:hAnsi="Times New Roman"/>
          <w:b/>
          <w:color w:val="auto"/>
          <w:szCs w:val="20"/>
        </w:rPr>
      </w:pPr>
    </w:p>
    <w:p w:rsidR="001A4B0F" w:rsidRDefault="001A4B0F" w:rsidP="00BA4160">
      <w:pPr>
        <w:pStyle w:val="Corpodetexto"/>
        <w:spacing w:line="240" w:lineRule="auto"/>
        <w:jc w:val="center"/>
        <w:rPr>
          <w:rFonts w:ascii="Times New Roman" w:hAnsi="Times New Roman"/>
          <w:b/>
          <w:color w:val="auto"/>
          <w:szCs w:val="20"/>
        </w:rPr>
      </w:pPr>
    </w:p>
    <w:p w:rsidR="001A4B0F" w:rsidRDefault="001A4B0F" w:rsidP="00BA4160">
      <w:pPr>
        <w:pStyle w:val="Corpodetexto"/>
        <w:spacing w:line="240" w:lineRule="auto"/>
        <w:jc w:val="center"/>
        <w:rPr>
          <w:rFonts w:ascii="Times New Roman" w:hAnsi="Times New Roman"/>
          <w:b/>
          <w:color w:val="auto"/>
          <w:szCs w:val="20"/>
        </w:rPr>
      </w:pPr>
    </w:p>
    <w:p w:rsidR="001A4B0F" w:rsidRDefault="001A4B0F" w:rsidP="001A4B0F">
      <w:pPr>
        <w:pStyle w:val="Corpodetexto"/>
        <w:spacing w:line="240" w:lineRule="auto"/>
        <w:rPr>
          <w:rFonts w:ascii="Times New Roman" w:hAnsi="Times New Roman"/>
          <w:b/>
          <w:color w:val="auto"/>
          <w:szCs w:val="20"/>
        </w:rPr>
      </w:pPr>
    </w:p>
    <w:p w:rsidR="001A4B0F" w:rsidRDefault="00B35FA3" w:rsidP="00BA4160">
      <w:pPr>
        <w:pStyle w:val="Corpodetexto"/>
        <w:spacing w:line="240" w:lineRule="auto"/>
        <w:jc w:val="center"/>
        <w:rPr>
          <w:rFonts w:ascii="Times New Roman" w:hAnsi="Times New Roman"/>
          <w:b/>
          <w:color w:val="auto"/>
          <w:szCs w:val="20"/>
        </w:rPr>
      </w:pPr>
      <w:r>
        <w:rPr>
          <w:rFonts w:ascii="Times New Roman" w:hAnsi="Times New Roman"/>
          <w:b/>
          <w:color w:val="auto"/>
          <w:szCs w:val="20"/>
        </w:rPr>
        <w:object w:dxaOrig="14190" w:dyaOrig="8745">
          <v:shape id="_x0000_i1568" type="#_x0000_t75" style="width:709.5pt;height:436.5pt" o:ole="">
            <v:imagedata r:id="rId112" o:title=""/>
          </v:shape>
          <o:OLEObject Type="Link" ProgID="Excel.Sheet.12" ShapeID="_x0000_i1568" DrawAspect="Content" r:id="rId113" UpdateMode="Always">
            <o:LinkType>EnhancedMetaFile</o:LinkType>
            <o:LockedField>false</o:LockedField>
          </o:OLEObject>
        </w:object>
      </w:r>
    </w:p>
    <w:p w:rsidR="001A4B0F" w:rsidRPr="00BA4160" w:rsidRDefault="001A4B0F" w:rsidP="00BA4160">
      <w:pPr>
        <w:pStyle w:val="Corpodetexto"/>
        <w:spacing w:line="240" w:lineRule="auto"/>
        <w:jc w:val="center"/>
        <w:rPr>
          <w:rFonts w:ascii="Times New Roman" w:hAnsi="Times New Roman"/>
          <w:b/>
          <w:color w:val="auto"/>
          <w:szCs w:val="20"/>
        </w:rPr>
      </w:pPr>
    </w:p>
    <w:p w:rsidR="00174A9C" w:rsidRDefault="00174A9C">
      <w:pPr>
        <w:spacing w:after="200" w:line="276" w:lineRule="auto"/>
        <w:rPr>
          <w:b/>
          <w:szCs w:val="20"/>
          <w:lang w:eastAsia="ar-SA"/>
        </w:rPr>
      </w:pPr>
      <w:r>
        <w:rPr>
          <w:b/>
          <w:szCs w:val="20"/>
        </w:rPr>
        <w:br w:type="page"/>
      </w:r>
    </w:p>
    <w:p w:rsidR="00452227" w:rsidRPr="00FA3856" w:rsidRDefault="00452227" w:rsidP="00452227">
      <w:pPr>
        <w:pStyle w:val="Corpodetexto"/>
        <w:spacing w:line="240" w:lineRule="auto"/>
        <w:rPr>
          <w:rFonts w:ascii="Times New Roman" w:hAnsi="Times New Roman"/>
          <w:color w:val="auto"/>
          <w:szCs w:val="20"/>
        </w:rPr>
      </w:pPr>
      <w:r w:rsidRPr="00FA3856">
        <w:rPr>
          <w:rFonts w:ascii="Times New Roman" w:hAnsi="Times New Roman"/>
          <w:b/>
          <w:color w:val="auto"/>
          <w:szCs w:val="20"/>
        </w:rPr>
        <w:lastRenderedPageBreak/>
        <w:t xml:space="preserve">I – </w:t>
      </w:r>
      <w:r w:rsidR="00375E89" w:rsidRPr="00FA3856">
        <w:rPr>
          <w:rFonts w:ascii="Times New Roman" w:hAnsi="Times New Roman"/>
          <w:b/>
          <w:color w:val="auto"/>
          <w:szCs w:val="20"/>
        </w:rPr>
        <w:t>Regras de Validação dos Campos:</w:t>
      </w:r>
    </w:p>
    <w:p w:rsidR="00452227" w:rsidRPr="00FA3856" w:rsidRDefault="00452227" w:rsidP="00452227">
      <w:pPr>
        <w:rPr>
          <w:szCs w:val="20"/>
        </w:rPr>
      </w:pPr>
    </w:p>
    <w:tbl>
      <w:tblPr>
        <w:tblW w:w="16370"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85"/>
        <w:gridCol w:w="2239"/>
        <w:gridCol w:w="12929"/>
        <w:gridCol w:w="717"/>
      </w:tblGrid>
      <w:tr w:rsidR="001779BC" w:rsidRPr="00FA3856" w:rsidTr="001A297B">
        <w:trPr>
          <w:tblHeader/>
          <w:jc w:val="center"/>
        </w:trPr>
        <w:tc>
          <w:tcPr>
            <w:tcW w:w="485" w:type="dxa"/>
            <w:tcBorders>
              <w:top w:val="single" w:sz="6" w:space="0" w:color="auto"/>
              <w:left w:val="single" w:sz="6" w:space="0" w:color="auto"/>
              <w:bottom w:val="single" w:sz="6" w:space="0" w:color="auto"/>
              <w:right w:val="single" w:sz="6" w:space="0" w:color="auto"/>
            </w:tcBorders>
            <w:shd w:val="pct10" w:color="auto" w:fill="FFFFFF"/>
          </w:tcPr>
          <w:p w:rsidR="001779BC" w:rsidRPr="00FA3856" w:rsidRDefault="001779BC" w:rsidP="001779BC">
            <w:pPr>
              <w:pStyle w:val="PSDS-CorpodeTexto0"/>
              <w:jc w:val="center"/>
              <w:rPr>
                <w:rFonts w:ascii="Times New Roman" w:hAnsi="Times New Roman"/>
                <w:b/>
                <w:bCs/>
              </w:rPr>
            </w:pPr>
            <w:r w:rsidRPr="00FA3856">
              <w:rPr>
                <w:rFonts w:ascii="Times New Roman" w:hAnsi="Times New Roman"/>
                <w:b/>
                <w:bCs/>
              </w:rPr>
              <w:t>Nº</w:t>
            </w:r>
          </w:p>
        </w:tc>
        <w:tc>
          <w:tcPr>
            <w:tcW w:w="2239" w:type="dxa"/>
            <w:tcBorders>
              <w:top w:val="single" w:sz="6" w:space="0" w:color="auto"/>
              <w:left w:val="single" w:sz="6" w:space="0" w:color="auto"/>
              <w:bottom w:val="single" w:sz="6" w:space="0" w:color="auto"/>
              <w:right w:val="single" w:sz="6" w:space="0" w:color="auto"/>
            </w:tcBorders>
            <w:shd w:val="pct10" w:color="auto" w:fill="FFFFFF"/>
          </w:tcPr>
          <w:p w:rsidR="001779BC" w:rsidRPr="00FA3856" w:rsidRDefault="001779BC" w:rsidP="001779BC">
            <w:pPr>
              <w:pStyle w:val="PSDS-CorpodeTexto0"/>
              <w:jc w:val="center"/>
              <w:rPr>
                <w:rFonts w:ascii="Times New Roman" w:hAnsi="Times New Roman"/>
                <w:b/>
                <w:bCs/>
              </w:rPr>
            </w:pPr>
            <w:r w:rsidRPr="00FA3856">
              <w:rPr>
                <w:rFonts w:ascii="Times New Roman" w:hAnsi="Times New Roman"/>
                <w:b/>
                <w:bCs/>
              </w:rPr>
              <w:t>Campo</w:t>
            </w:r>
          </w:p>
        </w:tc>
        <w:tc>
          <w:tcPr>
            <w:tcW w:w="12929" w:type="dxa"/>
            <w:tcBorders>
              <w:top w:val="single" w:sz="6" w:space="0" w:color="auto"/>
              <w:left w:val="single" w:sz="6" w:space="0" w:color="auto"/>
              <w:bottom w:val="single" w:sz="6" w:space="0" w:color="auto"/>
              <w:right w:val="single" w:sz="6" w:space="0" w:color="auto"/>
            </w:tcBorders>
            <w:shd w:val="pct10" w:color="auto" w:fill="FFFFFF"/>
          </w:tcPr>
          <w:p w:rsidR="001779BC" w:rsidRPr="00FA3856" w:rsidRDefault="001779BC" w:rsidP="001779BC">
            <w:pPr>
              <w:pStyle w:val="PSDS-CorpodeTexto0"/>
              <w:jc w:val="center"/>
              <w:rPr>
                <w:rFonts w:ascii="Times New Roman" w:hAnsi="Times New Roman"/>
                <w:b/>
                <w:bCs/>
              </w:rPr>
            </w:pPr>
            <w:r w:rsidRPr="00FA3856">
              <w:rPr>
                <w:rFonts w:ascii="Times New Roman" w:hAnsi="Times New Roman"/>
                <w:b/>
                <w:bCs/>
              </w:rPr>
              <w:t>Regras de validação do campo</w:t>
            </w:r>
          </w:p>
        </w:tc>
        <w:tc>
          <w:tcPr>
            <w:tcW w:w="717" w:type="dxa"/>
            <w:tcBorders>
              <w:top w:val="single" w:sz="6" w:space="0" w:color="auto"/>
              <w:left w:val="single" w:sz="6" w:space="0" w:color="auto"/>
              <w:bottom w:val="single" w:sz="6" w:space="0" w:color="auto"/>
              <w:right w:val="single" w:sz="6" w:space="0" w:color="auto"/>
            </w:tcBorders>
            <w:shd w:val="pct10" w:color="auto" w:fill="FFFFFF"/>
          </w:tcPr>
          <w:p w:rsidR="001779BC" w:rsidRPr="00FA3856" w:rsidRDefault="001779BC" w:rsidP="001779BC">
            <w:pPr>
              <w:pStyle w:val="PSDS-CorpodeTexto0"/>
              <w:jc w:val="center"/>
              <w:rPr>
                <w:rFonts w:ascii="Times New Roman" w:hAnsi="Times New Roman"/>
                <w:b/>
                <w:bCs/>
              </w:rPr>
            </w:pPr>
            <w:r w:rsidRPr="00FA3856">
              <w:rPr>
                <w:rFonts w:ascii="Times New Roman" w:hAnsi="Times New Roman"/>
                <w:b/>
                <w:bCs/>
              </w:rPr>
              <w:t>Tipo</w:t>
            </w:r>
          </w:p>
        </w:tc>
      </w:tr>
      <w:tr w:rsidR="00446B17" w:rsidRPr="00FA3856" w:rsidTr="00446B17">
        <w:trPr>
          <w:jc w:val="center"/>
        </w:trPr>
        <w:tc>
          <w:tcPr>
            <w:tcW w:w="485" w:type="dxa"/>
            <w:tcBorders>
              <w:top w:val="single" w:sz="6" w:space="0" w:color="auto"/>
              <w:left w:val="single" w:sz="6" w:space="0" w:color="auto"/>
              <w:bottom w:val="single" w:sz="6" w:space="0" w:color="auto"/>
              <w:right w:val="single" w:sz="6" w:space="0" w:color="auto"/>
            </w:tcBorders>
          </w:tcPr>
          <w:p w:rsidR="00446B17" w:rsidRPr="00892DF6" w:rsidRDefault="00446B17" w:rsidP="00446B17">
            <w:pPr>
              <w:pStyle w:val="PSDS-CorpodeTexto0"/>
              <w:suppressAutoHyphens w:val="0"/>
              <w:rPr>
                <w:rFonts w:ascii="Times New Roman" w:hAnsi="Times New Roman"/>
                <w:b/>
                <w:bCs/>
                <w:lang w:val="en-US"/>
              </w:rPr>
            </w:pPr>
            <w:r w:rsidRPr="00892DF6">
              <w:rPr>
                <w:rFonts w:ascii="Times New Roman" w:hAnsi="Times New Roman"/>
                <w:b/>
                <w:bCs/>
                <w:lang w:val="en-US"/>
              </w:rPr>
              <w:t>2</w:t>
            </w:r>
          </w:p>
        </w:tc>
        <w:tc>
          <w:tcPr>
            <w:tcW w:w="2239" w:type="dxa"/>
            <w:tcBorders>
              <w:top w:val="single" w:sz="6" w:space="0" w:color="auto"/>
              <w:left w:val="single" w:sz="6" w:space="0" w:color="auto"/>
              <w:bottom w:val="single" w:sz="6" w:space="0" w:color="auto"/>
              <w:right w:val="single" w:sz="6" w:space="0" w:color="auto"/>
            </w:tcBorders>
          </w:tcPr>
          <w:p w:rsidR="00446B17" w:rsidRPr="00892DF6" w:rsidRDefault="00446B17" w:rsidP="00446B17">
            <w:pPr>
              <w:pStyle w:val="PSDS-CorpodeTexto0"/>
              <w:rPr>
                <w:rFonts w:ascii="Times New Roman" w:hAnsi="Times New Roman"/>
                <w:b/>
                <w:bCs/>
                <w:lang w:val="en-US"/>
              </w:rPr>
            </w:pPr>
            <w:r w:rsidRPr="00892DF6">
              <w:rPr>
                <w:rFonts w:ascii="Times New Roman" w:hAnsi="Times New Roman"/>
                <w:lang w:val="en-US"/>
              </w:rPr>
              <w:t>IND_ALIQ_CSLL</w:t>
            </w:r>
          </w:p>
        </w:tc>
        <w:tc>
          <w:tcPr>
            <w:tcW w:w="12929" w:type="dxa"/>
            <w:tcBorders>
              <w:top w:val="single" w:sz="6" w:space="0" w:color="auto"/>
              <w:left w:val="single" w:sz="6" w:space="0" w:color="auto"/>
              <w:bottom w:val="single" w:sz="6" w:space="0" w:color="auto"/>
              <w:right w:val="single" w:sz="6" w:space="0" w:color="auto"/>
            </w:tcBorders>
          </w:tcPr>
          <w:p w:rsidR="00446B17" w:rsidRPr="00892DF6" w:rsidRDefault="007D0E74" w:rsidP="00446B17">
            <w:pPr>
              <w:pStyle w:val="PSDS-CorpodeTexto0"/>
              <w:jc w:val="both"/>
              <w:rPr>
                <w:rFonts w:ascii="Times New Roman" w:hAnsi="Times New Roman"/>
                <w:bCs/>
                <w:lang w:val="pt-PT"/>
              </w:rPr>
            </w:pPr>
            <w:hyperlink w:anchor="REGRA_PREENCHIMENTO_IMUNE_ISENTA" w:history="1">
              <w:r w:rsidR="00446B17" w:rsidRPr="00892DF6">
                <w:rPr>
                  <w:rStyle w:val="Hyperlink"/>
                  <w:rFonts w:ascii="Times New Roman" w:hAnsi="Times New Roman"/>
                  <w:b/>
                  <w:color w:val="auto"/>
                </w:rPr>
                <w:t>REGRA_PREENCHIMENTO_IMUNE_ISENTA</w:t>
              </w:r>
            </w:hyperlink>
            <w:r w:rsidR="00446B17" w:rsidRPr="00892DF6">
              <w:rPr>
                <w:rStyle w:val="Hyperlink"/>
                <w:rFonts w:ascii="Times New Roman" w:hAnsi="Times New Roman"/>
                <w:b/>
                <w:color w:val="auto"/>
              </w:rPr>
              <w:t>_DESOBRIGADA</w:t>
            </w:r>
            <w:r w:rsidR="00446B17" w:rsidRPr="00892DF6">
              <w:rPr>
                <w:rFonts w:ascii="Times New Roman" w:hAnsi="Times New Roman"/>
                <w:b/>
              </w:rPr>
              <w:t xml:space="preserve">: </w:t>
            </w:r>
            <w:r w:rsidR="00446B17" w:rsidRPr="00892DF6">
              <w:rPr>
                <w:rFonts w:ascii="Times New Roman" w:hAnsi="Times New Roman"/>
                <w:lang w:val="pt-PT"/>
              </w:rPr>
              <w:t>Verifica, quando 0010.</w:t>
            </w:r>
            <w:r w:rsidR="00446B17" w:rsidRPr="00892DF6">
              <w:rPr>
                <w:rStyle w:val="Hyperlink"/>
                <w:rFonts w:ascii="Times New Roman" w:hAnsi="Times New Roman"/>
                <w:bCs/>
                <w:color w:val="auto"/>
                <w:lang w:val="pt-PT"/>
              </w:rPr>
              <w:t>FORMA_TRIB é igual a “8” (Imune do IRPJ) ou “9” (Isento do IPRJ) e 0010.</w:t>
            </w:r>
            <w:r w:rsidR="00446B17" w:rsidRPr="00892DF6">
              <w:rPr>
                <w:rFonts w:ascii="Times New Roman" w:hAnsi="Times New Roman"/>
                <w:lang w:val="pt-PT"/>
              </w:rPr>
              <w:t xml:space="preserve"> APUR_CSLL = “D” (Desobrigada)</w:t>
            </w:r>
            <w:r w:rsidR="00446B17" w:rsidRPr="00892DF6">
              <w:rPr>
                <w:rStyle w:val="Hyperlink"/>
                <w:rFonts w:ascii="Times New Roman" w:hAnsi="Times New Roman"/>
                <w:bCs/>
                <w:color w:val="auto"/>
                <w:lang w:val="pt-PT"/>
              </w:rPr>
              <w:t>, se 0020.IND_ALIQ_CSLL não está preenchido.</w:t>
            </w:r>
          </w:p>
        </w:tc>
        <w:tc>
          <w:tcPr>
            <w:tcW w:w="717" w:type="dxa"/>
            <w:tcBorders>
              <w:top w:val="single" w:sz="6" w:space="0" w:color="auto"/>
              <w:left w:val="single" w:sz="6" w:space="0" w:color="auto"/>
              <w:bottom w:val="single" w:sz="6" w:space="0" w:color="auto"/>
              <w:right w:val="single" w:sz="6" w:space="0" w:color="auto"/>
            </w:tcBorders>
          </w:tcPr>
          <w:p w:rsidR="00446B17" w:rsidRPr="00446B17" w:rsidRDefault="00446B17" w:rsidP="00446B17">
            <w:pPr>
              <w:pStyle w:val="PSDS-CorpodeTexto0"/>
              <w:rPr>
                <w:rFonts w:ascii="Times New Roman" w:hAnsi="Times New Roman"/>
                <w:bCs/>
              </w:rPr>
            </w:pPr>
            <w:r w:rsidRPr="00892DF6">
              <w:rPr>
                <w:rFonts w:ascii="Times New Roman" w:hAnsi="Times New Roman"/>
                <w:bCs/>
              </w:rPr>
              <w:t>Erro</w:t>
            </w:r>
          </w:p>
          <w:p w:rsidR="00446B17" w:rsidRPr="00446B17" w:rsidRDefault="00446B17" w:rsidP="00446B17">
            <w:pPr>
              <w:pStyle w:val="PSDS-CorpodeTexto0"/>
              <w:rPr>
                <w:rFonts w:ascii="Times New Roman" w:hAnsi="Times New Roman"/>
                <w:bCs/>
              </w:rPr>
            </w:pPr>
          </w:p>
        </w:tc>
      </w:tr>
      <w:tr w:rsidR="001779BC" w:rsidRPr="00FA3856" w:rsidTr="001A297B">
        <w:trPr>
          <w:jc w:val="center"/>
        </w:trPr>
        <w:tc>
          <w:tcPr>
            <w:tcW w:w="485" w:type="dxa"/>
            <w:tcBorders>
              <w:top w:val="single" w:sz="6" w:space="0" w:color="auto"/>
              <w:left w:val="single" w:sz="6" w:space="0" w:color="auto"/>
              <w:bottom w:val="single" w:sz="6" w:space="0" w:color="auto"/>
              <w:right w:val="single" w:sz="6" w:space="0" w:color="auto"/>
            </w:tcBorders>
          </w:tcPr>
          <w:p w:rsidR="001779BC" w:rsidRPr="00446B17" w:rsidRDefault="001779BC" w:rsidP="001779BC">
            <w:pPr>
              <w:pStyle w:val="PSDS-CorpodeTexto0"/>
              <w:suppressAutoHyphens w:val="0"/>
              <w:rPr>
                <w:rFonts w:ascii="Times New Roman" w:hAnsi="Times New Roman"/>
                <w:b/>
                <w:bCs/>
              </w:rPr>
            </w:pPr>
            <w:r w:rsidRPr="00446B17">
              <w:rPr>
                <w:rFonts w:ascii="Times New Roman" w:hAnsi="Times New Roman"/>
                <w:b/>
                <w:bCs/>
              </w:rPr>
              <w:t>3</w:t>
            </w:r>
          </w:p>
        </w:tc>
        <w:tc>
          <w:tcPr>
            <w:tcW w:w="2239" w:type="dxa"/>
            <w:tcBorders>
              <w:top w:val="single" w:sz="6" w:space="0" w:color="auto"/>
              <w:left w:val="single" w:sz="6" w:space="0" w:color="auto"/>
              <w:bottom w:val="single" w:sz="6" w:space="0" w:color="auto"/>
              <w:right w:val="single" w:sz="6" w:space="0" w:color="auto"/>
            </w:tcBorders>
          </w:tcPr>
          <w:p w:rsidR="001779BC" w:rsidRPr="00446B17" w:rsidRDefault="001779BC" w:rsidP="001779BC">
            <w:pPr>
              <w:pStyle w:val="PSDS-CorpodeTexto0"/>
              <w:rPr>
                <w:rFonts w:ascii="Times New Roman" w:hAnsi="Times New Roman"/>
                <w:b/>
                <w:bCs/>
              </w:rPr>
            </w:pPr>
            <w:r w:rsidRPr="00446B17">
              <w:rPr>
                <w:rFonts w:ascii="Times New Roman" w:hAnsi="Times New Roman"/>
              </w:rPr>
              <w:t>IND_QTE_SCP</w:t>
            </w:r>
          </w:p>
        </w:tc>
        <w:tc>
          <w:tcPr>
            <w:tcW w:w="12929" w:type="dxa"/>
            <w:tcBorders>
              <w:top w:val="single" w:sz="6" w:space="0" w:color="auto"/>
              <w:left w:val="single" w:sz="6" w:space="0" w:color="auto"/>
              <w:bottom w:val="single" w:sz="6" w:space="0" w:color="auto"/>
              <w:right w:val="single" w:sz="6" w:space="0" w:color="auto"/>
            </w:tcBorders>
          </w:tcPr>
          <w:p w:rsidR="001779BC" w:rsidRPr="00FA3856" w:rsidRDefault="007D0E74" w:rsidP="001779BC">
            <w:pPr>
              <w:pStyle w:val="PSDS-CorpodeTexto0"/>
              <w:jc w:val="both"/>
              <w:rPr>
                <w:rFonts w:ascii="Times New Roman" w:hAnsi="Times New Roman"/>
                <w:b/>
                <w:bCs/>
              </w:rPr>
            </w:pPr>
            <w:hyperlink w:anchor="REGRA_SCP_NAO_PREENCHER_QTD" w:history="1">
              <w:r w:rsidR="001779BC" w:rsidRPr="00FA3856">
                <w:rPr>
                  <w:rStyle w:val="Hyperlink"/>
                  <w:rFonts w:ascii="Times New Roman" w:hAnsi="Times New Roman"/>
                  <w:b/>
                  <w:color w:val="auto"/>
                </w:rPr>
                <w:t>REGRA_SCP_NAO_PREENCHER_QTD</w:t>
              </w:r>
            </w:hyperlink>
            <w:r w:rsidR="001779BC" w:rsidRPr="00FA3856">
              <w:rPr>
                <w:rFonts w:ascii="Times New Roman" w:hAnsi="Times New Roman"/>
                <w:b/>
              </w:rPr>
              <w:t xml:space="preserve">: </w:t>
            </w:r>
            <w:r w:rsidR="001779BC" w:rsidRPr="00FA3856">
              <w:rPr>
                <w:rFonts w:ascii="Times New Roman" w:hAnsi="Times New Roman"/>
              </w:rPr>
              <w:t>Verifica, quando 0000.TIP_</w:t>
            </w:r>
            <w:r w:rsidR="00E565A1" w:rsidRPr="00FA3856">
              <w:rPr>
                <w:rFonts w:ascii="Times New Roman" w:hAnsi="Times New Roman"/>
              </w:rPr>
              <w:t>ECF</w:t>
            </w:r>
            <w:r w:rsidR="001779BC" w:rsidRPr="00FA3856">
              <w:rPr>
                <w:rFonts w:ascii="Times New Roman" w:hAnsi="Times New Roman"/>
              </w:rPr>
              <w:t xml:space="preserve"> é igual a “0” (</w:t>
            </w:r>
            <w:r w:rsidR="001779BC" w:rsidRPr="00FA3856">
              <w:rPr>
                <w:rFonts w:ascii="Times New Roman" w:hAnsi="Times New Roman"/>
                <w:shd w:val="clear" w:color="auto" w:fill="FFFFFF"/>
              </w:rPr>
              <w:t>ECF de empresa não participante de SCP como sócio ostensivo</w:t>
            </w:r>
            <w:r w:rsidR="001779BC" w:rsidRPr="00FA3856">
              <w:rPr>
                <w:rFonts w:ascii="Times New Roman" w:hAnsi="Times New Roman"/>
              </w:rPr>
              <w:t>) ou</w:t>
            </w:r>
            <w:r w:rsidR="00014339" w:rsidRPr="00FA3856">
              <w:rPr>
                <w:rFonts w:ascii="Times New Roman" w:hAnsi="Times New Roman"/>
              </w:rPr>
              <w:t xml:space="preserve"> “2” (ECF da SCP)</w:t>
            </w:r>
            <w:r w:rsidR="001779BC" w:rsidRPr="00FA3856">
              <w:rPr>
                <w:rFonts w:ascii="Times New Roman" w:hAnsi="Times New Roman"/>
              </w:rPr>
              <w:t xml:space="preserve">, se </w:t>
            </w:r>
            <w:r w:rsidR="004330D1" w:rsidRPr="00FA3856">
              <w:rPr>
                <w:rFonts w:ascii="Times New Roman" w:hAnsi="Times New Roman"/>
              </w:rPr>
              <w:t xml:space="preserve">0020.IND_QTE_SCP </w:t>
            </w:r>
            <w:r w:rsidR="001779BC" w:rsidRPr="00FA3856">
              <w:rPr>
                <w:rFonts w:ascii="Times New Roman" w:hAnsi="Times New Roman"/>
              </w:rPr>
              <w:t>não está preenchido.</w:t>
            </w:r>
          </w:p>
          <w:p w:rsidR="001779BC" w:rsidRPr="00FA3856" w:rsidRDefault="001779BC" w:rsidP="001779BC">
            <w:pPr>
              <w:pStyle w:val="PSDS-CorpodeTexto0"/>
              <w:jc w:val="both"/>
              <w:rPr>
                <w:rFonts w:ascii="Times New Roman" w:hAnsi="Times New Roman"/>
                <w:b/>
                <w:bCs/>
              </w:rPr>
            </w:pPr>
          </w:p>
          <w:p w:rsidR="001779BC" w:rsidRPr="00FA3856" w:rsidRDefault="007D0E74" w:rsidP="001779BC">
            <w:pPr>
              <w:jc w:val="both"/>
              <w:rPr>
                <w:szCs w:val="20"/>
              </w:rPr>
            </w:pPr>
            <w:hyperlink w:anchor="REGRA_SCP_OBRIGATORIO_QTD" w:history="1">
              <w:r w:rsidR="001779BC" w:rsidRPr="00FA3856">
                <w:rPr>
                  <w:rStyle w:val="Hyperlink"/>
                  <w:b/>
                  <w:color w:val="auto"/>
                  <w:szCs w:val="20"/>
                </w:rPr>
                <w:t>REGRA_SCP_OBRIGATORIO_QTD</w:t>
              </w:r>
            </w:hyperlink>
            <w:r w:rsidR="001779BC" w:rsidRPr="00FA3856">
              <w:rPr>
                <w:b/>
                <w:szCs w:val="20"/>
              </w:rPr>
              <w:t xml:space="preserve">: </w:t>
            </w:r>
            <w:r w:rsidR="001779BC" w:rsidRPr="00FA3856">
              <w:rPr>
                <w:szCs w:val="20"/>
              </w:rPr>
              <w:t>Verifica, quando 0000.TIP_</w:t>
            </w:r>
            <w:r w:rsidR="00E565A1" w:rsidRPr="00FA3856">
              <w:rPr>
                <w:szCs w:val="20"/>
              </w:rPr>
              <w:t>ECF</w:t>
            </w:r>
            <w:r w:rsidR="0022004D" w:rsidRPr="00FA3856">
              <w:rPr>
                <w:szCs w:val="20"/>
              </w:rPr>
              <w:t xml:space="preserve"> </w:t>
            </w:r>
            <w:r w:rsidR="001779BC" w:rsidRPr="00FA3856">
              <w:rPr>
                <w:szCs w:val="20"/>
              </w:rPr>
              <w:t xml:space="preserve">é igual a </w:t>
            </w:r>
            <w:r w:rsidR="00014339" w:rsidRPr="00FA3856">
              <w:rPr>
                <w:szCs w:val="20"/>
              </w:rPr>
              <w:t>“1” (</w:t>
            </w:r>
            <w:r w:rsidR="00014339" w:rsidRPr="00FA3856">
              <w:rPr>
                <w:szCs w:val="20"/>
                <w:shd w:val="clear" w:color="auto" w:fill="FFFFFF"/>
              </w:rPr>
              <w:t>ECF de empresa participante de SCP como sócio ostensivo)</w:t>
            </w:r>
            <w:r w:rsidR="001779BC" w:rsidRPr="00FA3856">
              <w:rPr>
                <w:szCs w:val="20"/>
              </w:rPr>
              <w:t xml:space="preserve">, se </w:t>
            </w:r>
            <w:r w:rsidR="00563622" w:rsidRPr="00FA3856">
              <w:rPr>
                <w:szCs w:val="20"/>
              </w:rPr>
              <w:t xml:space="preserve">0020.IND_QTE_SCP </w:t>
            </w:r>
            <w:r w:rsidR="001779BC" w:rsidRPr="00FA3856">
              <w:rPr>
                <w:szCs w:val="20"/>
              </w:rPr>
              <w:t>está preenchido.</w:t>
            </w:r>
          </w:p>
          <w:p w:rsidR="00592AB2" w:rsidRPr="00FA3856" w:rsidRDefault="00592AB2" w:rsidP="001779BC">
            <w:pPr>
              <w:jc w:val="both"/>
              <w:rPr>
                <w:szCs w:val="20"/>
              </w:rPr>
            </w:pPr>
          </w:p>
          <w:p w:rsidR="001779BC" w:rsidRPr="00FA3856" w:rsidRDefault="007D0E74" w:rsidP="001779BC">
            <w:pPr>
              <w:pStyle w:val="PSDS-CorpodeTexto0"/>
              <w:jc w:val="both"/>
              <w:rPr>
                <w:rFonts w:ascii="Times New Roman" w:hAnsi="Times New Roman"/>
                <w:bCs/>
                <w:lang w:val="pt-PT"/>
              </w:rPr>
            </w:pPr>
            <w:hyperlink w:anchor="REGRA_QTD_SCP" w:history="1">
              <w:r w:rsidR="001779BC" w:rsidRPr="00FA3856">
                <w:rPr>
                  <w:rStyle w:val="Hyperlink"/>
                  <w:rFonts w:ascii="Times New Roman" w:hAnsi="Times New Roman"/>
                  <w:b/>
                  <w:color w:val="auto"/>
                </w:rPr>
                <w:t>REGRA_QTD_SCP</w:t>
              </w:r>
            </w:hyperlink>
            <w:r w:rsidR="001779BC" w:rsidRPr="00FA3856">
              <w:rPr>
                <w:rFonts w:ascii="Times New Roman" w:hAnsi="Times New Roman"/>
                <w:b/>
              </w:rPr>
              <w:t xml:space="preserve">: </w:t>
            </w:r>
            <w:r w:rsidR="001779BC" w:rsidRPr="00FA3856">
              <w:rPr>
                <w:rFonts w:ascii="Times New Roman" w:hAnsi="Times New Roman"/>
              </w:rPr>
              <w:t xml:space="preserve">Verifica se </w:t>
            </w:r>
            <w:r w:rsidR="004330D1" w:rsidRPr="00FA3856">
              <w:rPr>
                <w:rFonts w:ascii="Times New Roman" w:hAnsi="Times New Roman"/>
              </w:rPr>
              <w:t>0020.</w:t>
            </w:r>
            <w:r w:rsidR="0022004D" w:rsidRPr="00FA3856">
              <w:rPr>
                <w:rFonts w:ascii="Times New Roman" w:hAnsi="Times New Roman"/>
              </w:rPr>
              <w:t xml:space="preserve">IND_QTE_SCP </w:t>
            </w:r>
            <w:r w:rsidR="001779BC" w:rsidRPr="00FA3856">
              <w:rPr>
                <w:rFonts w:ascii="Times New Roman" w:hAnsi="Times New Roman"/>
              </w:rPr>
              <w:t>é igual ao número de registros 0035 informados.</w:t>
            </w:r>
          </w:p>
        </w:tc>
        <w:tc>
          <w:tcPr>
            <w:tcW w:w="717" w:type="dxa"/>
            <w:tcBorders>
              <w:top w:val="single" w:sz="6" w:space="0" w:color="auto"/>
              <w:left w:val="single" w:sz="6" w:space="0" w:color="auto"/>
              <w:bottom w:val="single" w:sz="6" w:space="0" w:color="auto"/>
              <w:right w:val="single" w:sz="6" w:space="0" w:color="auto"/>
            </w:tcBorders>
          </w:tcPr>
          <w:p w:rsidR="001779BC" w:rsidRPr="00FA3856" w:rsidRDefault="001779BC" w:rsidP="001779BC">
            <w:pPr>
              <w:pStyle w:val="PSDS-CorpodeTexto0"/>
              <w:rPr>
                <w:rFonts w:ascii="Times New Roman" w:hAnsi="Times New Roman"/>
                <w:bCs/>
                <w:lang w:val="en-US"/>
              </w:rPr>
            </w:pPr>
            <w:r w:rsidRPr="00FA3856">
              <w:rPr>
                <w:rFonts w:ascii="Times New Roman" w:hAnsi="Times New Roman"/>
                <w:bCs/>
                <w:lang w:val="en-US"/>
              </w:rPr>
              <w:t>Erro</w:t>
            </w:r>
          </w:p>
          <w:p w:rsidR="001779BC" w:rsidRPr="00FA3856" w:rsidRDefault="001779BC" w:rsidP="001779BC">
            <w:pPr>
              <w:pStyle w:val="PSDS-CorpodeTexto0"/>
              <w:rPr>
                <w:rFonts w:ascii="Times New Roman" w:hAnsi="Times New Roman"/>
                <w:bCs/>
                <w:lang w:val="en-US"/>
              </w:rPr>
            </w:pPr>
          </w:p>
          <w:p w:rsidR="001779BC" w:rsidRPr="00FA3856" w:rsidRDefault="001779BC" w:rsidP="001779BC">
            <w:pPr>
              <w:pStyle w:val="PSDS-CorpodeTexto0"/>
              <w:rPr>
                <w:rFonts w:ascii="Times New Roman" w:hAnsi="Times New Roman"/>
                <w:bCs/>
                <w:lang w:val="en-US"/>
              </w:rPr>
            </w:pPr>
          </w:p>
          <w:p w:rsidR="001779BC" w:rsidRPr="00FA3856" w:rsidRDefault="001779BC" w:rsidP="001779BC">
            <w:pPr>
              <w:pStyle w:val="PSDS-CorpodeTexto0"/>
              <w:rPr>
                <w:rFonts w:ascii="Times New Roman" w:hAnsi="Times New Roman"/>
                <w:bCs/>
                <w:lang w:val="en-US"/>
              </w:rPr>
            </w:pPr>
            <w:r w:rsidRPr="00FA3856">
              <w:rPr>
                <w:rFonts w:ascii="Times New Roman" w:hAnsi="Times New Roman"/>
                <w:bCs/>
                <w:lang w:val="en-US"/>
              </w:rPr>
              <w:t>Erro</w:t>
            </w:r>
          </w:p>
          <w:p w:rsidR="001779BC" w:rsidRPr="00FA3856" w:rsidRDefault="001779BC" w:rsidP="001779BC">
            <w:pPr>
              <w:pStyle w:val="PSDS-CorpodeTexto0"/>
              <w:rPr>
                <w:rFonts w:ascii="Times New Roman" w:hAnsi="Times New Roman"/>
                <w:bCs/>
                <w:lang w:val="en-US"/>
              </w:rPr>
            </w:pPr>
          </w:p>
          <w:p w:rsidR="00592AB2" w:rsidRPr="00FA3856" w:rsidRDefault="00592AB2" w:rsidP="001779BC">
            <w:pPr>
              <w:pStyle w:val="PSDS-CorpodeTexto0"/>
              <w:rPr>
                <w:rFonts w:ascii="Times New Roman" w:hAnsi="Times New Roman"/>
                <w:bCs/>
                <w:lang w:val="en-US"/>
              </w:rPr>
            </w:pPr>
          </w:p>
          <w:p w:rsidR="001779BC" w:rsidRPr="00FA3856" w:rsidRDefault="001779BC" w:rsidP="001779BC">
            <w:pPr>
              <w:pStyle w:val="PSDS-CorpodeTexto0"/>
              <w:rPr>
                <w:rFonts w:ascii="Times New Roman" w:hAnsi="Times New Roman"/>
                <w:bCs/>
                <w:lang w:val="en-US"/>
              </w:rPr>
            </w:pPr>
            <w:r w:rsidRPr="00FA3856">
              <w:rPr>
                <w:rFonts w:ascii="Times New Roman" w:hAnsi="Times New Roman"/>
                <w:bCs/>
                <w:lang w:val="en-US"/>
              </w:rPr>
              <w:t>Erro</w:t>
            </w:r>
          </w:p>
        </w:tc>
      </w:tr>
      <w:tr w:rsidR="001779BC" w:rsidRPr="00FA3856" w:rsidTr="001A297B">
        <w:trPr>
          <w:jc w:val="center"/>
        </w:trPr>
        <w:tc>
          <w:tcPr>
            <w:tcW w:w="485" w:type="dxa"/>
            <w:tcBorders>
              <w:top w:val="single" w:sz="6" w:space="0" w:color="auto"/>
              <w:left w:val="single" w:sz="6" w:space="0" w:color="auto"/>
              <w:bottom w:val="single" w:sz="6" w:space="0" w:color="auto"/>
              <w:right w:val="single" w:sz="6" w:space="0" w:color="auto"/>
            </w:tcBorders>
          </w:tcPr>
          <w:p w:rsidR="001779BC" w:rsidRPr="00FA3856" w:rsidRDefault="001779BC" w:rsidP="001779BC">
            <w:pPr>
              <w:pStyle w:val="PSDS-CorpodeTexto0"/>
              <w:suppressAutoHyphens w:val="0"/>
              <w:rPr>
                <w:rFonts w:ascii="Times New Roman" w:hAnsi="Times New Roman"/>
                <w:b/>
                <w:bCs/>
                <w:lang w:val="pt-PT"/>
              </w:rPr>
            </w:pPr>
            <w:r w:rsidRPr="00FA3856">
              <w:rPr>
                <w:rFonts w:ascii="Times New Roman" w:hAnsi="Times New Roman"/>
                <w:b/>
                <w:bCs/>
                <w:lang w:val="pt-PT"/>
              </w:rPr>
              <w:t>4</w:t>
            </w:r>
          </w:p>
        </w:tc>
        <w:tc>
          <w:tcPr>
            <w:tcW w:w="2239" w:type="dxa"/>
            <w:tcBorders>
              <w:top w:val="single" w:sz="6" w:space="0" w:color="auto"/>
              <w:left w:val="single" w:sz="6" w:space="0" w:color="auto"/>
              <w:bottom w:val="single" w:sz="6" w:space="0" w:color="auto"/>
              <w:right w:val="single" w:sz="6" w:space="0" w:color="auto"/>
            </w:tcBorders>
          </w:tcPr>
          <w:p w:rsidR="001779BC" w:rsidRPr="00FA3856" w:rsidRDefault="001779BC" w:rsidP="001779BC">
            <w:pPr>
              <w:pStyle w:val="PSDS-CorpodeTexto0"/>
              <w:rPr>
                <w:rFonts w:ascii="Times New Roman" w:hAnsi="Times New Roman"/>
                <w:b/>
                <w:bCs/>
                <w:lang w:val="en-US"/>
              </w:rPr>
            </w:pPr>
            <w:r w:rsidRPr="00FA3856">
              <w:rPr>
                <w:rFonts w:ascii="Times New Roman" w:hAnsi="Times New Roman"/>
                <w:lang w:val="en-US"/>
              </w:rPr>
              <w:t>IND_ADM_FUN_CLU</w:t>
            </w:r>
          </w:p>
        </w:tc>
        <w:tc>
          <w:tcPr>
            <w:tcW w:w="12929" w:type="dxa"/>
            <w:tcBorders>
              <w:top w:val="single" w:sz="6" w:space="0" w:color="auto"/>
              <w:left w:val="single" w:sz="6" w:space="0" w:color="auto"/>
              <w:bottom w:val="single" w:sz="6" w:space="0" w:color="auto"/>
              <w:right w:val="single" w:sz="6" w:space="0" w:color="auto"/>
            </w:tcBorders>
          </w:tcPr>
          <w:p w:rsidR="001779BC" w:rsidRPr="00FA3856" w:rsidRDefault="007D0E74" w:rsidP="0022004D">
            <w:pPr>
              <w:pStyle w:val="PSDS-CorpodeTexto0"/>
              <w:jc w:val="both"/>
              <w:rPr>
                <w:rFonts w:ascii="Times New Roman" w:hAnsi="Times New Roman"/>
              </w:rPr>
            </w:pPr>
            <w:hyperlink w:anchor="REGRA_PREENCHIMENTO_IND_ADM_FUN_CLU" w:history="1">
              <w:r w:rsidR="001779BC" w:rsidRPr="00FA3856">
                <w:rPr>
                  <w:rStyle w:val="Hyperlink"/>
                  <w:rFonts w:ascii="Times New Roman" w:hAnsi="Times New Roman"/>
                  <w:b/>
                  <w:color w:val="auto"/>
                </w:rPr>
                <w:t>REGRA_PREENCHIMENTO_</w:t>
              </w:r>
              <w:r w:rsidR="001779BC" w:rsidRPr="00FA3856">
                <w:rPr>
                  <w:rStyle w:val="Hyperlink"/>
                  <w:rFonts w:ascii="Times New Roman" w:hAnsi="Times New Roman"/>
                  <w:b/>
                  <w:color w:val="auto"/>
                  <w:lang w:val="pt-PT"/>
                </w:rPr>
                <w:t>IND_ADM_FUN_CLU</w:t>
              </w:r>
            </w:hyperlink>
            <w:r w:rsidR="001779BC" w:rsidRPr="00FA3856">
              <w:rPr>
                <w:rFonts w:ascii="Times New Roman" w:hAnsi="Times New Roman"/>
                <w:b/>
              </w:rPr>
              <w:t xml:space="preserve">: </w:t>
            </w:r>
            <w:r w:rsidR="001779BC" w:rsidRPr="00FA3856">
              <w:rPr>
                <w:rFonts w:ascii="Times New Roman" w:hAnsi="Times New Roman"/>
              </w:rPr>
              <w:t xml:space="preserve">Verifica, quando 00010.FORMA_TRIB é igual a “8” </w:t>
            </w:r>
            <w:r w:rsidR="00632101" w:rsidRPr="00FA3856">
              <w:rPr>
                <w:rFonts w:ascii="Times New Roman" w:hAnsi="Times New Roman"/>
              </w:rPr>
              <w:t xml:space="preserve">(Imune do IRPJ) </w:t>
            </w:r>
            <w:r w:rsidR="002758F1" w:rsidRPr="00FA3856">
              <w:rPr>
                <w:rFonts w:ascii="Times New Roman" w:hAnsi="Times New Roman"/>
              </w:rPr>
              <w:t>e</w:t>
            </w:r>
            <w:r w:rsidR="001779BC" w:rsidRPr="00FA3856">
              <w:rPr>
                <w:rFonts w:ascii="Times New Roman" w:hAnsi="Times New Roman"/>
              </w:rPr>
              <w:t xml:space="preserve"> 0010_TIP_ENT é diferente de “06”</w:t>
            </w:r>
            <w:r w:rsidR="00632101" w:rsidRPr="00FA3856">
              <w:rPr>
                <w:rFonts w:ascii="Times New Roman" w:hAnsi="Times New Roman"/>
              </w:rPr>
              <w:t xml:space="preserve"> (Entidade Fechada de Previdência Complementar)</w:t>
            </w:r>
            <w:r w:rsidR="001779BC" w:rsidRPr="00FA3856">
              <w:rPr>
                <w:rFonts w:ascii="Times New Roman" w:hAnsi="Times New Roman"/>
              </w:rPr>
              <w:t xml:space="preserve">, “11” </w:t>
            </w:r>
            <w:r w:rsidR="00632101" w:rsidRPr="00FA3856">
              <w:rPr>
                <w:rFonts w:ascii="Times New Roman" w:hAnsi="Times New Roman"/>
              </w:rPr>
              <w:t xml:space="preserve">(Associação de Poupança e Empréstimo) </w:t>
            </w:r>
            <w:r w:rsidR="001779BC" w:rsidRPr="00FA3856">
              <w:rPr>
                <w:rFonts w:ascii="Times New Roman" w:hAnsi="Times New Roman"/>
              </w:rPr>
              <w:t>e “12”</w:t>
            </w:r>
            <w:r w:rsidR="00632101" w:rsidRPr="00FA3856">
              <w:rPr>
                <w:rFonts w:ascii="Times New Roman" w:hAnsi="Times New Roman"/>
              </w:rPr>
              <w:t xml:space="preserve"> (Entidade Aberta de Previdência Complementar Sem Fins Lucrativos)</w:t>
            </w:r>
            <w:r w:rsidR="001779BC" w:rsidRPr="00FA3856">
              <w:rPr>
                <w:rFonts w:ascii="Times New Roman" w:hAnsi="Times New Roman"/>
              </w:rPr>
              <w:t xml:space="preserve">, se </w:t>
            </w:r>
            <w:r w:rsidR="0022004D" w:rsidRPr="00FA3856">
              <w:rPr>
                <w:rFonts w:ascii="Times New Roman" w:hAnsi="Times New Roman"/>
              </w:rPr>
              <w:t xml:space="preserve">0020.IND_ADM_FUN_CLU </w:t>
            </w:r>
            <w:r w:rsidR="001779BC" w:rsidRPr="00FA3856">
              <w:rPr>
                <w:rFonts w:ascii="Times New Roman" w:hAnsi="Times New Roman"/>
              </w:rPr>
              <w:t xml:space="preserve">está preenchido. </w:t>
            </w:r>
          </w:p>
        </w:tc>
        <w:tc>
          <w:tcPr>
            <w:tcW w:w="717" w:type="dxa"/>
            <w:tcBorders>
              <w:top w:val="single" w:sz="6" w:space="0" w:color="auto"/>
              <w:left w:val="single" w:sz="6" w:space="0" w:color="auto"/>
              <w:bottom w:val="single" w:sz="6" w:space="0" w:color="auto"/>
              <w:right w:val="single" w:sz="6" w:space="0" w:color="auto"/>
            </w:tcBorders>
          </w:tcPr>
          <w:p w:rsidR="001779BC" w:rsidRPr="00FA3856" w:rsidRDefault="001779BC" w:rsidP="001779BC">
            <w:pPr>
              <w:pStyle w:val="PSDS-CorpodeTexto0"/>
              <w:rPr>
                <w:rFonts w:ascii="Times New Roman" w:hAnsi="Times New Roman"/>
                <w:bCs/>
                <w:lang w:val="en-US"/>
              </w:rPr>
            </w:pPr>
            <w:r w:rsidRPr="00FA3856">
              <w:rPr>
                <w:rFonts w:ascii="Times New Roman" w:hAnsi="Times New Roman"/>
                <w:bCs/>
                <w:lang w:val="en-US"/>
              </w:rPr>
              <w:t>Erro</w:t>
            </w:r>
          </w:p>
        </w:tc>
      </w:tr>
      <w:tr w:rsidR="001779BC" w:rsidRPr="00FA3856" w:rsidTr="001A297B">
        <w:trPr>
          <w:jc w:val="center"/>
        </w:trPr>
        <w:tc>
          <w:tcPr>
            <w:tcW w:w="485" w:type="dxa"/>
            <w:tcBorders>
              <w:top w:val="single" w:sz="6" w:space="0" w:color="auto"/>
              <w:left w:val="single" w:sz="6" w:space="0" w:color="auto"/>
              <w:bottom w:val="single" w:sz="6" w:space="0" w:color="auto"/>
              <w:right w:val="single" w:sz="6" w:space="0" w:color="auto"/>
            </w:tcBorders>
          </w:tcPr>
          <w:p w:rsidR="001779BC" w:rsidRPr="00FA3856" w:rsidRDefault="001779BC" w:rsidP="001779BC">
            <w:pPr>
              <w:pStyle w:val="PSDS-CorpodeTexto0"/>
              <w:suppressAutoHyphens w:val="0"/>
              <w:rPr>
                <w:rFonts w:ascii="Times New Roman" w:hAnsi="Times New Roman"/>
                <w:b/>
                <w:bCs/>
              </w:rPr>
            </w:pPr>
            <w:r w:rsidRPr="00FA3856">
              <w:rPr>
                <w:rFonts w:ascii="Times New Roman" w:hAnsi="Times New Roman"/>
                <w:b/>
                <w:bCs/>
              </w:rPr>
              <w:t>5</w:t>
            </w:r>
          </w:p>
        </w:tc>
        <w:tc>
          <w:tcPr>
            <w:tcW w:w="2239" w:type="dxa"/>
            <w:tcBorders>
              <w:top w:val="single" w:sz="6" w:space="0" w:color="auto"/>
              <w:left w:val="single" w:sz="6" w:space="0" w:color="auto"/>
              <w:bottom w:val="single" w:sz="6" w:space="0" w:color="auto"/>
              <w:right w:val="single" w:sz="6" w:space="0" w:color="auto"/>
            </w:tcBorders>
          </w:tcPr>
          <w:p w:rsidR="001779BC" w:rsidRPr="00FA3856" w:rsidRDefault="001779BC" w:rsidP="001779BC">
            <w:pPr>
              <w:pStyle w:val="PSDS-CorpodeTexto0"/>
              <w:rPr>
                <w:rFonts w:ascii="Times New Roman" w:hAnsi="Times New Roman"/>
                <w:b/>
                <w:bCs/>
                <w:lang w:val="en-US"/>
              </w:rPr>
            </w:pPr>
            <w:r w:rsidRPr="00FA3856">
              <w:rPr>
                <w:rFonts w:ascii="Times New Roman" w:hAnsi="Times New Roman"/>
                <w:lang w:val="en-US"/>
              </w:rPr>
              <w:t>IND_PART_CONS</w:t>
            </w:r>
          </w:p>
        </w:tc>
        <w:tc>
          <w:tcPr>
            <w:tcW w:w="12929" w:type="dxa"/>
            <w:tcBorders>
              <w:top w:val="single" w:sz="6" w:space="0" w:color="auto"/>
              <w:left w:val="single" w:sz="6" w:space="0" w:color="auto"/>
              <w:bottom w:val="single" w:sz="6" w:space="0" w:color="auto"/>
              <w:right w:val="single" w:sz="6" w:space="0" w:color="auto"/>
            </w:tcBorders>
          </w:tcPr>
          <w:p w:rsidR="001779BC" w:rsidRPr="00FA3856" w:rsidRDefault="007D0E74" w:rsidP="00DF0640">
            <w:pPr>
              <w:pStyle w:val="PSDS-CorpodeTexto0"/>
              <w:tabs>
                <w:tab w:val="center" w:pos="5613"/>
              </w:tabs>
              <w:jc w:val="both"/>
              <w:rPr>
                <w:rFonts w:ascii="Times New Roman" w:hAnsi="Times New Roman"/>
              </w:rPr>
            </w:pPr>
            <w:hyperlink w:anchor="REGRA_PREENCHIMENTO_ATIV_13" w:history="1">
              <w:r w:rsidR="001779BC" w:rsidRPr="00FA3856">
                <w:rPr>
                  <w:rStyle w:val="Hyperlink"/>
                  <w:rFonts w:ascii="Times New Roman" w:hAnsi="Times New Roman"/>
                  <w:b/>
                  <w:color w:val="auto"/>
                </w:rPr>
                <w:t>REGRA_PREENCHIMENTO</w:t>
              </w:r>
              <w:r w:rsidR="001779BC" w:rsidRPr="00FA3856">
                <w:rPr>
                  <w:rStyle w:val="Hyperlink"/>
                  <w:rFonts w:ascii="Times New Roman" w:hAnsi="Times New Roman"/>
                  <w:b/>
                  <w:color w:val="auto"/>
                  <w:lang w:val="pt-PT"/>
                </w:rPr>
                <w:t>_ATIV_13</w:t>
              </w:r>
            </w:hyperlink>
            <w:r w:rsidR="001779BC" w:rsidRPr="00FA3856">
              <w:rPr>
                <w:rFonts w:ascii="Times New Roman" w:hAnsi="Times New Roman"/>
                <w:b/>
              </w:rPr>
              <w:t xml:space="preserve">: </w:t>
            </w:r>
            <w:r w:rsidR="001779BC" w:rsidRPr="00FA3856">
              <w:rPr>
                <w:rFonts w:ascii="Times New Roman" w:hAnsi="Times New Roman"/>
              </w:rPr>
              <w:t>Verifica, quando 0010_TIP_ENT</w:t>
            </w:r>
            <w:r w:rsidR="0022004D" w:rsidRPr="00FA3856">
              <w:rPr>
                <w:rFonts w:ascii="Times New Roman" w:hAnsi="Times New Roman"/>
              </w:rPr>
              <w:t xml:space="preserve"> </w:t>
            </w:r>
            <w:r w:rsidR="001779BC" w:rsidRPr="00FA3856">
              <w:rPr>
                <w:rFonts w:ascii="Times New Roman" w:hAnsi="Times New Roman"/>
              </w:rPr>
              <w:t>é igual a “13”</w:t>
            </w:r>
            <w:r w:rsidR="00DF0640" w:rsidRPr="00FA3856">
              <w:rPr>
                <w:rFonts w:ascii="Times New Roman" w:hAnsi="Times New Roman"/>
              </w:rPr>
              <w:t xml:space="preserve"> (Fifa e Entidades Relacionadas)</w:t>
            </w:r>
            <w:r w:rsidR="001779BC" w:rsidRPr="00FA3856">
              <w:rPr>
                <w:rFonts w:ascii="Times New Roman" w:hAnsi="Times New Roman"/>
              </w:rPr>
              <w:t xml:space="preserve">, </w:t>
            </w:r>
            <w:r w:rsidR="00C73832" w:rsidRPr="00FA3856">
              <w:rPr>
                <w:rFonts w:ascii="Times New Roman" w:hAnsi="Times New Roman"/>
              </w:rPr>
              <w:t xml:space="preserve">se </w:t>
            </w:r>
            <w:r w:rsidR="00E13425">
              <w:rPr>
                <w:rFonts w:ascii="Times New Roman" w:hAnsi="Times New Roman"/>
              </w:rPr>
              <w:t>002</w:t>
            </w:r>
            <w:r w:rsidR="004330D1" w:rsidRPr="00FA3856">
              <w:rPr>
                <w:rFonts w:ascii="Times New Roman" w:hAnsi="Times New Roman"/>
              </w:rPr>
              <w:t>0.</w:t>
            </w:r>
            <w:r w:rsidR="0022004D" w:rsidRPr="00FA3856">
              <w:rPr>
                <w:rFonts w:ascii="Times New Roman" w:hAnsi="Times New Roman"/>
              </w:rPr>
              <w:t xml:space="preserve">IND_PART_CONS </w:t>
            </w:r>
            <w:r w:rsidR="00C73832" w:rsidRPr="00FA3856">
              <w:rPr>
                <w:rFonts w:ascii="Times New Roman" w:hAnsi="Times New Roman"/>
              </w:rPr>
              <w:t>é igual a “N”.</w:t>
            </w:r>
          </w:p>
        </w:tc>
        <w:tc>
          <w:tcPr>
            <w:tcW w:w="717" w:type="dxa"/>
            <w:tcBorders>
              <w:top w:val="single" w:sz="6" w:space="0" w:color="auto"/>
              <w:left w:val="single" w:sz="6" w:space="0" w:color="auto"/>
              <w:bottom w:val="single" w:sz="6" w:space="0" w:color="auto"/>
              <w:right w:val="single" w:sz="6" w:space="0" w:color="auto"/>
            </w:tcBorders>
          </w:tcPr>
          <w:p w:rsidR="001779BC" w:rsidRPr="00FA3856" w:rsidRDefault="00DF0640" w:rsidP="001779BC">
            <w:pPr>
              <w:pStyle w:val="PSDS-CorpodeTexto0"/>
              <w:rPr>
                <w:rFonts w:ascii="Times New Roman" w:hAnsi="Times New Roman"/>
                <w:bCs/>
                <w:lang w:val="en-US"/>
              </w:rPr>
            </w:pPr>
            <w:r w:rsidRPr="00FA3856">
              <w:rPr>
                <w:rFonts w:ascii="Times New Roman" w:hAnsi="Times New Roman"/>
                <w:bCs/>
                <w:lang w:val="en-US"/>
              </w:rPr>
              <w:t>Erro</w:t>
            </w:r>
          </w:p>
        </w:tc>
      </w:tr>
      <w:tr w:rsidR="001779BC" w:rsidRPr="00FA3856" w:rsidTr="001A297B">
        <w:trPr>
          <w:jc w:val="center"/>
        </w:trPr>
        <w:tc>
          <w:tcPr>
            <w:tcW w:w="485" w:type="dxa"/>
            <w:tcBorders>
              <w:top w:val="single" w:sz="6" w:space="0" w:color="auto"/>
              <w:left w:val="single" w:sz="6" w:space="0" w:color="auto"/>
              <w:bottom w:val="single" w:sz="6" w:space="0" w:color="auto"/>
              <w:right w:val="single" w:sz="6" w:space="0" w:color="auto"/>
            </w:tcBorders>
          </w:tcPr>
          <w:p w:rsidR="001779BC" w:rsidRPr="00FA3856" w:rsidRDefault="001779BC" w:rsidP="001779BC">
            <w:pPr>
              <w:pStyle w:val="PSDS-CorpodeTexto0"/>
              <w:suppressAutoHyphens w:val="0"/>
              <w:rPr>
                <w:rFonts w:ascii="Times New Roman" w:hAnsi="Times New Roman"/>
                <w:b/>
                <w:bCs/>
                <w:lang w:val="en-US"/>
              </w:rPr>
            </w:pPr>
            <w:r w:rsidRPr="00FA3856">
              <w:rPr>
                <w:rFonts w:ascii="Times New Roman" w:hAnsi="Times New Roman"/>
                <w:b/>
                <w:bCs/>
                <w:lang w:val="en-US"/>
              </w:rPr>
              <w:t>6</w:t>
            </w:r>
          </w:p>
        </w:tc>
        <w:tc>
          <w:tcPr>
            <w:tcW w:w="2239" w:type="dxa"/>
            <w:tcBorders>
              <w:top w:val="single" w:sz="6" w:space="0" w:color="auto"/>
              <w:left w:val="single" w:sz="6" w:space="0" w:color="auto"/>
              <w:bottom w:val="single" w:sz="6" w:space="0" w:color="auto"/>
              <w:right w:val="single" w:sz="6" w:space="0" w:color="auto"/>
            </w:tcBorders>
          </w:tcPr>
          <w:p w:rsidR="001779BC" w:rsidRPr="00FA3856" w:rsidRDefault="001779BC" w:rsidP="001779BC">
            <w:pPr>
              <w:pStyle w:val="PSDS-CorpodeTexto0"/>
              <w:rPr>
                <w:rFonts w:ascii="Times New Roman" w:hAnsi="Times New Roman"/>
                <w:b/>
                <w:bCs/>
                <w:lang w:val="en-US"/>
              </w:rPr>
            </w:pPr>
            <w:r w:rsidRPr="00FA3856">
              <w:rPr>
                <w:rFonts w:ascii="Times New Roman" w:hAnsi="Times New Roman"/>
                <w:lang w:val="en-US"/>
              </w:rPr>
              <w:t>IND_OP_EXT</w:t>
            </w:r>
          </w:p>
        </w:tc>
        <w:tc>
          <w:tcPr>
            <w:tcW w:w="12929" w:type="dxa"/>
            <w:tcBorders>
              <w:top w:val="single" w:sz="6" w:space="0" w:color="auto"/>
              <w:left w:val="single" w:sz="6" w:space="0" w:color="auto"/>
              <w:bottom w:val="single" w:sz="6" w:space="0" w:color="auto"/>
              <w:right w:val="single" w:sz="6" w:space="0" w:color="auto"/>
            </w:tcBorders>
          </w:tcPr>
          <w:p w:rsidR="001779BC" w:rsidRPr="00FA3856" w:rsidRDefault="007D0E74" w:rsidP="00DF0640">
            <w:pPr>
              <w:pStyle w:val="PSDS-CorpodeTexto0"/>
              <w:jc w:val="both"/>
              <w:rPr>
                <w:rFonts w:ascii="Times New Roman" w:hAnsi="Times New Roman"/>
                <w:b/>
                <w:bCs/>
              </w:rPr>
            </w:pPr>
            <w:hyperlink w:anchor="REGRA_PREENCHIMENTO_IMUNE_ISENTA" w:history="1">
              <w:r w:rsidR="001779BC" w:rsidRPr="00FA3856">
                <w:rPr>
                  <w:rStyle w:val="Hyperlink"/>
                  <w:rFonts w:ascii="Times New Roman" w:hAnsi="Times New Roman"/>
                  <w:b/>
                  <w:color w:val="auto"/>
                </w:rPr>
                <w:t>REGRA_PREENCHIMENTO_IMUNE_ISENTA</w:t>
              </w:r>
            </w:hyperlink>
            <w:r w:rsidR="00DF0640" w:rsidRPr="00FA3856">
              <w:rPr>
                <w:rFonts w:ascii="Times New Roman" w:hAnsi="Times New Roman"/>
                <w:b/>
              </w:rPr>
              <w:t xml:space="preserve">: </w:t>
            </w:r>
            <w:r w:rsidR="00DF0640" w:rsidRPr="00FA3856">
              <w:rPr>
                <w:rFonts w:ascii="Times New Roman" w:hAnsi="Times New Roman"/>
                <w:lang w:val="pt-PT"/>
              </w:rPr>
              <w:t>Verifica, quando 0010.</w:t>
            </w:r>
            <w:r w:rsidR="0022004D" w:rsidRPr="00FA3856">
              <w:rPr>
                <w:rStyle w:val="Hyperlink"/>
                <w:rFonts w:ascii="Times New Roman" w:hAnsi="Times New Roman"/>
                <w:bCs/>
                <w:color w:val="auto"/>
                <w:lang w:val="pt-PT"/>
              </w:rPr>
              <w:t xml:space="preserve">FORMA_TRIB </w:t>
            </w:r>
            <w:r w:rsidR="00A87784" w:rsidRPr="00FA3856">
              <w:rPr>
                <w:rStyle w:val="Hyperlink"/>
                <w:rFonts w:ascii="Times New Roman" w:hAnsi="Times New Roman"/>
                <w:bCs/>
                <w:color w:val="auto"/>
                <w:lang w:val="pt-PT"/>
              </w:rPr>
              <w:t xml:space="preserve">é </w:t>
            </w:r>
            <w:r w:rsidR="008C08F1" w:rsidRPr="00FA3856">
              <w:rPr>
                <w:rStyle w:val="Hyperlink"/>
                <w:rFonts w:ascii="Times New Roman" w:hAnsi="Times New Roman"/>
                <w:bCs/>
                <w:color w:val="auto"/>
                <w:lang w:val="pt-PT"/>
              </w:rPr>
              <w:t>igual a “8” (Imune do</w:t>
            </w:r>
            <w:r w:rsidR="00DF0640" w:rsidRPr="00FA3856">
              <w:rPr>
                <w:rStyle w:val="Hyperlink"/>
                <w:rFonts w:ascii="Times New Roman" w:hAnsi="Times New Roman"/>
                <w:bCs/>
                <w:color w:val="auto"/>
                <w:lang w:val="pt-PT"/>
              </w:rPr>
              <w:t xml:space="preserve"> IRPJ) ou “9” (Isento do IPRJ), se </w:t>
            </w:r>
            <w:r w:rsidR="0022004D" w:rsidRPr="00FA3856">
              <w:rPr>
                <w:rStyle w:val="Hyperlink"/>
                <w:rFonts w:ascii="Times New Roman" w:hAnsi="Times New Roman"/>
                <w:bCs/>
                <w:color w:val="auto"/>
                <w:lang w:val="pt-PT"/>
              </w:rPr>
              <w:t xml:space="preserve">0020.IND_OP_EXT </w:t>
            </w:r>
            <w:r w:rsidR="00DF0640" w:rsidRPr="00FA3856">
              <w:rPr>
                <w:rStyle w:val="Hyperlink"/>
                <w:rFonts w:ascii="Times New Roman" w:hAnsi="Times New Roman"/>
                <w:bCs/>
                <w:color w:val="auto"/>
                <w:lang w:val="pt-PT"/>
              </w:rPr>
              <w:t>é igual a “N”.</w:t>
            </w:r>
          </w:p>
        </w:tc>
        <w:tc>
          <w:tcPr>
            <w:tcW w:w="717" w:type="dxa"/>
            <w:tcBorders>
              <w:top w:val="single" w:sz="6" w:space="0" w:color="auto"/>
              <w:left w:val="single" w:sz="6" w:space="0" w:color="auto"/>
              <w:bottom w:val="single" w:sz="6" w:space="0" w:color="auto"/>
              <w:right w:val="single" w:sz="6" w:space="0" w:color="auto"/>
            </w:tcBorders>
          </w:tcPr>
          <w:p w:rsidR="001779BC" w:rsidRPr="00FA3856" w:rsidRDefault="00DF0640" w:rsidP="001779BC">
            <w:pPr>
              <w:pStyle w:val="PSDS-CorpodeTexto0"/>
              <w:rPr>
                <w:rFonts w:ascii="Times New Roman" w:hAnsi="Times New Roman"/>
                <w:bCs/>
                <w:lang w:val="en-US"/>
              </w:rPr>
            </w:pPr>
            <w:r w:rsidRPr="00FA3856">
              <w:rPr>
                <w:rFonts w:ascii="Times New Roman" w:hAnsi="Times New Roman"/>
                <w:bCs/>
                <w:lang w:val="en-US"/>
              </w:rPr>
              <w:t>Erro</w:t>
            </w:r>
          </w:p>
        </w:tc>
      </w:tr>
      <w:tr w:rsidR="001779BC" w:rsidRPr="00FA3856" w:rsidTr="001A297B">
        <w:trPr>
          <w:jc w:val="center"/>
        </w:trPr>
        <w:tc>
          <w:tcPr>
            <w:tcW w:w="485" w:type="dxa"/>
            <w:tcBorders>
              <w:top w:val="single" w:sz="6" w:space="0" w:color="auto"/>
              <w:left w:val="single" w:sz="6" w:space="0" w:color="auto"/>
              <w:bottom w:val="single" w:sz="6" w:space="0" w:color="auto"/>
              <w:right w:val="single" w:sz="6" w:space="0" w:color="auto"/>
            </w:tcBorders>
          </w:tcPr>
          <w:p w:rsidR="001779BC" w:rsidRPr="00FA3856" w:rsidRDefault="001779BC" w:rsidP="001779BC">
            <w:pPr>
              <w:pStyle w:val="PSDS-CorpodeTexto0"/>
              <w:suppressAutoHyphens w:val="0"/>
              <w:rPr>
                <w:rFonts w:ascii="Times New Roman" w:hAnsi="Times New Roman"/>
                <w:b/>
                <w:bCs/>
              </w:rPr>
            </w:pPr>
            <w:r w:rsidRPr="00FA3856">
              <w:rPr>
                <w:rFonts w:ascii="Times New Roman" w:hAnsi="Times New Roman"/>
                <w:b/>
                <w:bCs/>
              </w:rPr>
              <w:t>7</w:t>
            </w:r>
          </w:p>
        </w:tc>
        <w:tc>
          <w:tcPr>
            <w:tcW w:w="2239" w:type="dxa"/>
            <w:tcBorders>
              <w:top w:val="single" w:sz="6" w:space="0" w:color="auto"/>
              <w:left w:val="single" w:sz="6" w:space="0" w:color="auto"/>
              <w:bottom w:val="single" w:sz="6" w:space="0" w:color="auto"/>
              <w:right w:val="single" w:sz="6" w:space="0" w:color="auto"/>
            </w:tcBorders>
          </w:tcPr>
          <w:p w:rsidR="001779BC" w:rsidRPr="00FA3856" w:rsidRDefault="001779BC" w:rsidP="001779BC">
            <w:pPr>
              <w:pStyle w:val="PSDS-CorpodeTexto0"/>
              <w:rPr>
                <w:rFonts w:ascii="Times New Roman" w:hAnsi="Times New Roman"/>
                <w:b/>
                <w:bCs/>
                <w:lang w:val="en-US"/>
              </w:rPr>
            </w:pPr>
            <w:r w:rsidRPr="00FA3856">
              <w:rPr>
                <w:rFonts w:ascii="Times New Roman" w:hAnsi="Times New Roman"/>
                <w:lang w:val="en-US"/>
              </w:rPr>
              <w:t>IND_OP_VINC</w:t>
            </w:r>
          </w:p>
        </w:tc>
        <w:tc>
          <w:tcPr>
            <w:tcW w:w="12929" w:type="dxa"/>
            <w:tcBorders>
              <w:top w:val="single" w:sz="6" w:space="0" w:color="auto"/>
              <w:left w:val="single" w:sz="6" w:space="0" w:color="auto"/>
              <w:bottom w:val="single" w:sz="6" w:space="0" w:color="auto"/>
              <w:right w:val="single" w:sz="6" w:space="0" w:color="auto"/>
            </w:tcBorders>
          </w:tcPr>
          <w:p w:rsidR="001779BC" w:rsidRPr="00FA3856" w:rsidRDefault="007D0E74" w:rsidP="001779BC">
            <w:pPr>
              <w:pStyle w:val="PSDS-CorpodeTexto0"/>
              <w:jc w:val="both"/>
              <w:rPr>
                <w:rFonts w:ascii="Times New Roman" w:hAnsi="Times New Roman"/>
              </w:rPr>
            </w:pPr>
            <w:hyperlink w:anchor="REGRA_PREENCHIMENTO_IND_OP_VINC" w:history="1">
              <w:r w:rsidR="001779BC" w:rsidRPr="00FA3856">
                <w:rPr>
                  <w:rStyle w:val="Hyperlink"/>
                  <w:rFonts w:ascii="Times New Roman" w:hAnsi="Times New Roman"/>
                  <w:b/>
                  <w:color w:val="auto"/>
                </w:rPr>
                <w:t>REGRA_PREENCHIMENTO_</w:t>
              </w:r>
              <w:r w:rsidR="001779BC" w:rsidRPr="00FA3856">
                <w:rPr>
                  <w:rStyle w:val="Hyperlink"/>
                  <w:rFonts w:ascii="Times New Roman" w:hAnsi="Times New Roman"/>
                  <w:b/>
                  <w:color w:val="auto"/>
                  <w:lang w:val="pt-PT"/>
                </w:rPr>
                <w:t>IND_OP_VINC</w:t>
              </w:r>
            </w:hyperlink>
            <w:r w:rsidR="00DF0640" w:rsidRPr="00FA3856">
              <w:rPr>
                <w:rFonts w:ascii="Times New Roman" w:hAnsi="Times New Roman"/>
                <w:b/>
              </w:rPr>
              <w:t xml:space="preserve">: </w:t>
            </w:r>
            <w:r w:rsidR="00DF0640" w:rsidRPr="00FA3856">
              <w:rPr>
                <w:rFonts w:ascii="Times New Roman" w:hAnsi="Times New Roman"/>
              </w:rPr>
              <w:t xml:space="preserve">Verifica, quando </w:t>
            </w:r>
            <w:r w:rsidR="00A87784" w:rsidRPr="00FA3856">
              <w:rPr>
                <w:rFonts w:ascii="Times New Roman" w:hAnsi="Times New Roman"/>
              </w:rPr>
              <w:t xml:space="preserve">0020.IND_OP_EXT é </w:t>
            </w:r>
            <w:r w:rsidR="00DF0640" w:rsidRPr="00FA3856">
              <w:rPr>
                <w:rFonts w:ascii="Times New Roman" w:hAnsi="Times New Roman"/>
              </w:rPr>
              <w:t xml:space="preserve">igual a “N”, se </w:t>
            </w:r>
            <w:r w:rsidR="00A87784" w:rsidRPr="00FA3856">
              <w:rPr>
                <w:rFonts w:ascii="Times New Roman" w:hAnsi="Times New Roman"/>
              </w:rPr>
              <w:t xml:space="preserve">0020.IND_OP_VINC </w:t>
            </w:r>
            <w:r w:rsidR="00DF0640" w:rsidRPr="00FA3856">
              <w:rPr>
                <w:rFonts w:ascii="Times New Roman" w:hAnsi="Times New Roman"/>
              </w:rPr>
              <w:t>também é igual a “N”.</w:t>
            </w:r>
          </w:p>
          <w:p w:rsidR="00A87784" w:rsidRPr="00FA3856" w:rsidRDefault="00A87784" w:rsidP="001779BC">
            <w:pPr>
              <w:pStyle w:val="PSDS-CorpodeTexto0"/>
              <w:jc w:val="both"/>
              <w:rPr>
                <w:rFonts w:ascii="Times New Roman" w:hAnsi="Times New Roman"/>
                <w:bCs/>
                <w:lang w:val="pt-PT"/>
              </w:rPr>
            </w:pPr>
          </w:p>
        </w:tc>
        <w:tc>
          <w:tcPr>
            <w:tcW w:w="717" w:type="dxa"/>
            <w:tcBorders>
              <w:top w:val="single" w:sz="6" w:space="0" w:color="auto"/>
              <w:left w:val="single" w:sz="6" w:space="0" w:color="auto"/>
              <w:bottom w:val="single" w:sz="6" w:space="0" w:color="auto"/>
              <w:right w:val="single" w:sz="6" w:space="0" w:color="auto"/>
            </w:tcBorders>
          </w:tcPr>
          <w:p w:rsidR="001779BC" w:rsidRPr="00FA3856" w:rsidRDefault="00DF0640" w:rsidP="001779BC">
            <w:pPr>
              <w:pStyle w:val="PSDS-CorpodeTexto0"/>
              <w:rPr>
                <w:rFonts w:ascii="Times New Roman" w:hAnsi="Times New Roman"/>
                <w:bCs/>
                <w:lang w:val="en-US"/>
              </w:rPr>
            </w:pPr>
            <w:r w:rsidRPr="00FA3856">
              <w:rPr>
                <w:rFonts w:ascii="Times New Roman" w:hAnsi="Times New Roman"/>
                <w:bCs/>
                <w:lang w:val="en-US"/>
              </w:rPr>
              <w:t>Erro</w:t>
            </w:r>
          </w:p>
        </w:tc>
      </w:tr>
      <w:tr w:rsidR="001779BC" w:rsidRPr="00FA3856" w:rsidTr="001A297B">
        <w:trPr>
          <w:jc w:val="center"/>
        </w:trPr>
        <w:tc>
          <w:tcPr>
            <w:tcW w:w="485" w:type="dxa"/>
            <w:tcBorders>
              <w:top w:val="single" w:sz="6" w:space="0" w:color="auto"/>
              <w:left w:val="single" w:sz="6" w:space="0" w:color="auto"/>
              <w:bottom w:val="single" w:sz="6" w:space="0" w:color="auto"/>
              <w:right w:val="single" w:sz="6" w:space="0" w:color="auto"/>
            </w:tcBorders>
          </w:tcPr>
          <w:p w:rsidR="001779BC" w:rsidRPr="00FA3856" w:rsidRDefault="00757502" w:rsidP="001779BC">
            <w:pPr>
              <w:pStyle w:val="PSDS-CorpodeTexto0"/>
              <w:suppressAutoHyphens w:val="0"/>
              <w:rPr>
                <w:rFonts w:ascii="Times New Roman" w:hAnsi="Times New Roman"/>
                <w:b/>
                <w:bCs/>
                <w:lang w:val="en-US"/>
              </w:rPr>
            </w:pPr>
            <w:r w:rsidRPr="00FA3856">
              <w:rPr>
                <w:rFonts w:ascii="Times New Roman" w:hAnsi="Times New Roman"/>
                <w:b/>
                <w:bCs/>
                <w:lang w:val="en-US"/>
              </w:rPr>
              <w:t>9</w:t>
            </w:r>
          </w:p>
        </w:tc>
        <w:tc>
          <w:tcPr>
            <w:tcW w:w="2239" w:type="dxa"/>
            <w:tcBorders>
              <w:top w:val="single" w:sz="6" w:space="0" w:color="auto"/>
              <w:left w:val="single" w:sz="6" w:space="0" w:color="auto"/>
              <w:bottom w:val="single" w:sz="6" w:space="0" w:color="auto"/>
              <w:right w:val="single" w:sz="6" w:space="0" w:color="auto"/>
            </w:tcBorders>
          </w:tcPr>
          <w:p w:rsidR="001779BC" w:rsidRPr="00FA3856" w:rsidRDefault="001779BC" w:rsidP="001779BC">
            <w:pPr>
              <w:pStyle w:val="PSDS-CorpodeTexto0"/>
              <w:rPr>
                <w:rFonts w:ascii="Times New Roman" w:hAnsi="Times New Roman"/>
                <w:b/>
                <w:bCs/>
                <w:lang w:val="en-US"/>
              </w:rPr>
            </w:pPr>
            <w:r w:rsidRPr="00FA3856">
              <w:rPr>
                <w:rFonts w:ascii="Times New Roman" w:hAnsi="Times New Roman"/>
                <w:lang w:val="en-US"/>
              </w:rPr>
              <w:t>IND_PART_EXT</w:t>
            </w:r>
          </w:p>
        </w:tc>
        <w:tc>
          <w:tcPr>
            <w:tcW w:w="12929" w:type="dxa"/>
            <w:tcBorders>
              <w:top w:val="single" w:sz="6" w:space="0" w:color="auto"/>
              <w:left w:val="single" w:sz="6" w:space="0" w:color="auto"/>
              <w:bottom w:val="single" w:sz="6" w:space="0" w:color="auto"/>
              <w:right w:val="single" w:sz="6" w:space="0" w:color="auto"/>
            </w:tcBorders>
          </w:tcPr>
          <w:p w:rsidR="001779BC" w:rsidRPr="00FA3856" w:rsidRDefault="007D0E74" w:rsidP="001779BC">
            <w:pPr>
              <w:pStyle w:val="PSDS-CorpodeTexto0"/>
              <w:jc w:val="both"/>
              <w:rPr>
                <w:rFonts w:ascii="Times New Roman" w:hAnsi="Times New Roman"/>
              </w:rPr>
            </w:pPr>
            <w:hyperlink w:anchor="REGRA_PREENCHIMENTO_IND_PART_EXT" w:history="1">
              <w:r w:rsidR="001779BC" w:rsidRPr="00FA3856">
                <w:rPr>
                  <w:rStyle w:val="Hyperlink"/>
                  <w:rFonts w:ascii="Times New Roman" w:hAnsi="Times New Roman"/>
                  <w:b/>
                  <w:color w:val="auto"/>
                </w:rPr>
                <w:t>REGRA_PREENCHIMENTO_IND_PART_EXT</w:t>
              </w:r>
            </w:hyperlink>
            <w:r w:rsidR="000F3955" w:rsidRPr="00FA3856">
              <w:rPr>
                <w:rFonts w:ascii="Times New Roman" w:hAnsi="Times New Roman"/>
                <w:b/>
              </w:rPr>
              <w:t xml:space="preserve">: </w:t>
            </w:r>
            <w:r w:rsidR="000F3955" w:rsidRPr="00FA3856">
              <w:rPr>
                <w:rFonts w:ascii="Times New Roman" w:hAnsi="Times New Roman"/>
              </w:rPr>
              <w:t>Verifica as regras abaixo:</w:t>
            </w:r>
          </w:p>
          <w:p w:rsidR="000F3955" w:rsidRPr="00FA3856" w:rsidRDefault="00A87784" w:rsidP="001779BC">
            <w:pPr>
              <w:pStyle w:val="PSDS-CorpodeTexto0"/>
              <w:jc w:val="both"/>
              <w:rPr>
                <w:rFonts w:ascii="Times New Roman" w:hAnsi="Times New Roman"/>
              </w:rPr>
            </w:pPr>
            <w:r w:rsidRPr="00FA3856">
              <w:rPr>
                <w:rFonts w:ascii="Times New Roman" w:hAnsi="Times New Roman"/>
              </w:rPr>
              <w:t>Se</w:t>
            </w:r>
            <w:r w:rsidR="004330D1" w:rsidRPr="00FA3856">
              <w:rPr>
                <w:rFonts w:ascii="Times New Roman" w:hAnsi="Times New Roman"/>
              </w:rPr>
              <w:t xml:space="preserve"> 0010.F</w:t>
            </w:r>
            <w:r w:rsidRPr="00FA3856">
              <w:rPr>
                <w:rFonts w:ascii="Times New Roman" w:hAnsi="Times New Roman"/>
              </w:rPr>
              <w:t xml:space="preserve">ORMA_TRIB </w:t>
            </w:r>
            <w:r w:rsidR="000F3955" w:rsidRPr="00FA3856">
              <w:rPr>
                <w:rStyle w:val="Hyperlink"/>
                <w:rFonts w:ascii="Times New Roman" w:hAnsi="Times New Roman"/>
                <w:bCs/>
                <w:color w:val="auto"/>
                <w:lang w:val="pt-PT"/>
              </w:rPr>
              <w:t>igual a “8” (Imune de IRPJ) ou “9” (Isento do IPR</w:t>
            </w:r>
            <w:r w:rsidR="004330D1" w:rsidRPr="00FA3856">
              <w:rPr>
                <w:rStyle w:val="Hyperlink"/>
                <w:rFonts w:ascii="Times New Roman" w:hAnsi="Times New Roman"/>
                <w:bCs/>
                <w:color w:val="auto"/>
                <w:lang w:val="pt-PT"/>
              </w:rPr>
              <w:t xml:space="preserve">J), </w:t>
            </w:r>
            <w:r w:rsidRPr="00FA3856">
              <w:rPr>
                <w:rStyle w:val="Hyperlink"/>
                <w:rFonts w:ascii="Times New Roman" w:hAnsi="Times New Roman"/>
                <w:bCs/>
                <w:color w:val="auto"/>
                <w:lang w:val="pt-PT"/>
              </w:rPr>
              <w:t>então 0020.IND_PART_EXT deve ser igual a “N</w:t>
            </w:r>
            <w:r w:rsidR="000F3955" w:rsidRPr="00FA3856">
              <w:rPr>
                <w:rStyle w:val="Hyperlink"/>
                <w:rFonts w:ascii="Times New Roman" w:hAnsi="Times New Roman"/>
                <w:bCs/>
                <w:color w:val="auto"/>
                <w:lang w:val="pt-PT"/>
              </w:rPr>
              <w:t>”.</w:t>
            </w:r>
          </w:p>
          <w:p w:rsidR="000F3955" w:rsidRPr="00FA3856" w:rsidRDefault="00A87784" w:rsidP="00A87784">
            <w:pPr>
              <w:pStyle w:val="PSDS-CorpodeTexto0"/>
              <w:jc w:val="both"/>
              <w:rPr>
                <w:rFonts w:ascii="Times New Roman" w:hAnsi="Times New Roman"/>
              </w:rPr>
            </w:pPr>
            <w:r w:rsidRPr="00FA3856">
              <w:rPr>
                <w:rFonts w:ascii="Times New Roman" w:hAnsi="Times New Roman"/>
              </w:rPr>
              <w:t xml:space="preserve">Se [0010.FORMA_TRIB é </w:t>
            </w:r>
            <w:r w:rsidR="000F3955" w:rsidRPr="00FA3856">
              <w:rPr>
                <w:rStyle w:val="Hyperlink"/>
                <w:rFonts w:ascii="Times New Roman" w:hAnsi="Times New Roman"/>
                <w:bCs/>
                <w:color w:val="auto"/>
                <w:lang w:val="pt-PT"/>
              </w:rPr>
              <w:t xml:space="preserve">igual a </w:t>
            </w:r>
            <w:r w:rsidR="00F36ACB" w:rsidRPr="00FA3856">
              <w:rPr>
                <w:rStyle w:val="Hyperlink"/>
                <w:rFonts w:ascii="Times New Roman" w:hAnsi="Times New Roman"/>
                <w:bCs/>
                <w:color w:val="auto"/>
                <w:lang w:val="pt-PT"/>
              </w:rPr>
              <w:t>“5” (Lucro Presumido) ou “7</w:t>
            </w:r>
            <w:r w:rsidR="000F3955" w:rsidRPr="00FA3856">
              <w:rPr>
                <w:rStyle w:val="Hyperlink"/>
                <w:rFonts w:ascii="Times New Roman" w:hAnsi="Times New Roman"/>
                <w:bCs/>
                <w:color w:val="auto"/>
                <w:lang w:val="pt-PT"/>
              </w:rPr>
              <w:t>” (Lucro Presumido/Arbitrado)</w:t>
            </w:r>
            <w:r w:rsidR="00D33079" w:rsidRPr="00FA3856">
              <w:rPr>
                <w:rStyle w:val="Hyperlink"/>
                <w:rFonts w:ascii="Times New Roman" w:hAnsi="Times New Roman"/>
                <w:bCs/>
                <w:color w:val="auto"/>
                <w:lang w:val="pt-PT"/>
              </w:rPr>
              <w:t>)</w:t>
            </w:r>
            <w:r w:rsidRPr="00FA3856">
              <w:rPr>
                <w:rStyle w:val="Hyperlink"/>
                <w:rFonts w:ascii="Times New Roman" w:hAnsi="Times New Roman"/>
                <w:bCs/>
                <w:color w:val="auto"/>
                <w:lang w:val="pt-PT"/>
              </w:rPr>
              <w:t xml:space="preserve"> e 0010.OPT_REFIS </w:t>
            </w:r>
            <w:r w:rsidR="000F3955" w:rsidRPr="00FA3856">
              <w:rPr>
                <w:rStyle w:val="Hyperlink"/>
                <w:rFonts w:ascii="Times New Roman" w:hAnsi="Times New Roman"/>
                <w:bCs/>
                <w:color w:val="auto"/>
                <w:lang w:val="pt-PT"/>
              </w:rPr>
              <w:t xml:space="preserve">igual a “N”], </w:t>
            </w:r>
            <w:r w:rsidRPr="00FA3856">
              <w:rPr>
                <w:rStyle w:val="Hyperlink"/>
                <w:rFonts w:ascii="Times New Roman" w:hAnsi="Times New Roman"/>
                <w:bCs/>
                <w:color w:val="auto"/>
                <w:lang w:val="pt-PT"/>
              </w:rPr>
              <w:t>então IND_PART_EXT deve ser igual a “N</w:t>
            </w:r>
            <w:r w:rsidR="000F3955" w:rsidRPr="00FA3856">
              <w:rPr>
                <w:rStyle w:val="Hyperlink"/>
                <w:rFonts w:ascii="Times New Roman" w:hAnsi="Times New Roman"/>
                <w:bCs/>
                <w:color w:val="auto"/>
                <w:lang w:val="pt-PT"/>
              </w:rPr>
              <w:t>”.</w:t>
            </w:r>
          </w:p>
        </w:tc>
        <w:tc>
          <w:tcPr>
            <w:tcW w:w="717" w:type="dxa"/>
            <w:tcBorders>
              <w:top w:val="single" w:sz="6" w:space="0" w:color="auto"/>
              <w:left w:val="single" w:sz="6" w:space="0" w:color="auto"/>
              <w:bottom w:val="single" w:sz="6" w:space="0" w:color="auto"/>
              <w:right w:val="single" w:sz="6" w:space="0" w:color="auto"/>
            </w:tcBorders>
          </w:tcPr>
          <w:p w:rsidR="001779BC" w:rsidRPr="00FA3856" w:rsidRDefault="00DF0640" w:rsidP="001779BC">
            <w:pPr>
              <w:pStyle w:val="PSDS-CorpodeTexto0"/>
              <w:rPr>
                <w:rFonts w:ascii="Times New Roman" w:hAnsi="Times New Roman"/>
                <w:bCs/>
                <w:lang w:val="en-US"/>
              </w:rPr>
            </w:pPr>
            <w:r w:rsidRPr="00FA3856">
              <w:rPr>
                <w:rFonts w:ascii="Times New Roman" w:hAnsi="Times New Roman"/>
                <w:bCs/>
                <w:lang w:val="en-US"/>
              </w:rPr>
              <w:t>Erro</w:t>
            </w:r>
          </w:p>
        </w:tc>
      </w:tr>
      <w:tr w:rsidR="00136BB9" w:rsidRPr="00FA3856" w:rsidTr="001A297B">
        <w:trPr>
          <w:jc w:val="center"/>
        </w:trPr>
        <w:tc>
          <w:tcPr>
            <w:tcW w:w="485" w:type="dxa"/>
            <w:tcBorders>
              <w:top w:val="single" w:sz="6" w:space="0" w:color="auto"/>
              <w:left w:val="single" w:sz="6" w:space="0" w:color="auto"/>
              <w:bottom w:val="single" w:sz="6" w:space="0" w:color="auto"/>
              <w:right w:val="single" w:sz="6" w:space="0" w:color="auto"/>
            </w:tcBorders>
          </w:tcPr>
          <w:p w:rsidR="00136BB9" w:rsidRPr="00FA3856" w:rsidRDefault="00136BB9" w:rsidP="001779BC">
            <w:pPr>
              <w:pStyle w:val="PSDS-CorpodeTexto0"/>
              <w:suppressAutoHyphens w:val="0"/>
              <w:rPr>
                <w:rFonts w:ascii="Times New Roman" w:hAnsi="Times New Roman"/>
                <w:b/>
                <w:bCs/>
                <w:lang w:val="en-US"/>
              </w:rPr>
            </w:pPr>
            <w:r w:rsidRPr="00FA3856">
              <w:rPr>
                <w:rFonts w:ascii="Times New Roman" w:hAnsi="Times New Roman"/>
                <w:b/>
                <w:bCs/>
                <w:lang w:val="en-US"/>
              </w:rPr>
              <w:t>10</w:t>
            </w:r>
          </w:p>
        </w:tc>
        <w:tc>
          <w:tcPr>
            <w:tcW w:w="2239" w:type="dxa"/>
            <w:tcBorders>
              <w:top w:val="single" w:sz="6" w:space="0" w:color="auto"/>
              <w:left w:val="single" w:sz="6" w:space="0" w:color="auto"/>
              <w:bottom w:val="single" w:sz="6" w:space="0" w:color="auto"/>
              <w:right w:val="single" w:sz="6" w:space="0" w:color="auto"/>
            </w:tcBorders>
          </w:tcPr>
          <w:p w:rsidR="00136BB9" w:rsidRPr="00FA3856" w:rsidRDefault="00136BB9" w:rsidP="001779BC">
            <w:pPr>
              <w:pStyle w:val="PSDS-CorpodeTexto0"/>
              <w:rPr>
                <w:rFonts w:ascii="Times New Roman" w:hAnsi="Times New Roman"/>
                <w:lang w:val="en-US"/>
              </w:rPr>
            </w:pPr>
            <w:r w:rsidRPr="00FA3856">
              <w:rPr>
                <w:rFonts w:ascii="Times New Roman" w:hAnsi="Times New Roman"/>
                <w:lang w:val="en-US"/>
              </w:rPr>
              <w:t>IND_ATIV_RURAL</w:t>
            </w:r>
          </w:p>
        </w:tc>
        <w:tc>
          <w:tcPr>
            <w:tcW w:w="12929" w:type="dxa"/>
            <w:tcBorders>
              <w:top w:val="single" w:sz="6" w:space="0" w:color="auto"/>
              <w:left w:val="single" w:sz="6" w:space="0" w:color="auto"/>
              <w:bottom w:val="single" w:sz="6" w:space="0" w:color="auto"/>
              <w:right w:val="single" w:sz="6" w:space="0" w:color="auto"/>
            </w:tcBorders>
          </w:tcPr>
          <w:p w:rsidR="00136BB9" w:rsidRPr="00FA3856" w:rsidRDefault="00136BB9" w:rsidP="00136BB9">
            <w:pPr>
              <w:jc w:val="both"/>
              <w:rPr>
                <w:rStyle w:val="Hyperlink"/>
                <w:color w:val="auto"/>
                <w:szCs w:val="20"/>
              </w:rPr>
            </w:pPr>
            <w:r w:rsidRPr="00FA3856">
              <w:rPr>
                <w:rStyle w:val="Hyperlink"/>
                <w:b/>
                <w:color w:val="auto"/>
                <w:szCs w:val="20"/>
                <w:lang w:eastAsia="ar-SA"/>
              </w:rPr>
              <w:t>REGRA_PREENCHIMENTO_IND_ATIV_RURAL:</w:t>
            </w:r>
            <w:r w:rsidRPr="00FA3856">
              <w:rPr>
                <w:rStyle w:val="Hyperlink"/>
                <w:b/>
                <w:color w:val="auto"/>
                <w:szCs w:val="20"/>
              </w:rPr>
              <w:t xml:space="preserve"> </w:t>
            </w:r>
            <w:r w:rsidRPr="00FA3856">
              <w:rPr>
                <w:rStyle w:val="Hyperlink"/>
                <w:color w:val="auto"/>
                <w:szCs w:val="20"/>
              </w:rPr>
              <w:t>Verifica, quando 0010.COD_QUALIF_PJ = “02” (</w:t>
            </w:r>
            <w:r w:rsidRPr="00FA3856">
              <w:rPr>
                <w:szCs w:val="20"/>
              </w:rPr>
              <w:t>PJ Componente do Sistema Financeiro</w:t>
            </w:r>
            <w:r w:rsidRPr="00FA3856">
              <w:rPr>
                <w:rStyle w:val="Hyperlink"/>
                <w:color w:val="auto"/>
                <w:szCs w:val="20"/>
              </w:rPr>
              <w:t>) ou “03” (</w:t>
            </w:r>
            <w:r w:rsidRPr="00FA3856">
              <w:rPr>
                <w:szCs w:val="20"/>
              </w:rPr>
              <w:t>Sociedades Seguradoras, de Capitalização ou Entidade Aberta de Previdência Complementar</w:t>
            </w:r>
            <w:r w:rsidRPr="00FA3856">
              <w:rPr>
                <w:rStyle w:val="Hyperlink"/>
                <w:color w:val="auto"/>
                <w:szCs w:val="20"/>
              </w:rPr>
              <w:t>), se 0020.IND_ATIV_RURAL é igual a “N”.</w:t>
            </w:r>
          </w:p>
        </w:tc>
        <w:tc>
          <w:tcPr>
            <w:tcW w:w="717" w:type="dxa"/>
            <w:tcBorders>
              <w:top w:val="single" w:sz="6" w:space="0" w:color="auto"/>
              <w:left w:val="single" w:sz="6" w:space="0" w:color="auto"/>
              <w:bottom w:val="single" w:sz="6" w:space="0" w:color="auto"/>
              <w:right w:val="single" w:sz="6" w:space="0" w:color="auto"/>
            </w:tcBorders>
          </w:tcPr>
          <w:p w:rsidR="00136BB9" w:rsidRPr="00FA3856" w:rsidRDefault="00136BB9" w:rsidP="001779BC">
            <w:pPr>
              <w:pStyle w:val="PSDS-CorpodeTexto0"/>
              <w:rPr>
                <w:rFonts w:ascii="Times New Roman" w:hAnsi="Times New Roman"/>
                <w:bCs/>
              </w:rPr>
            </w:pPr>
            <w:r w:rsidRPr="00FA3856">
              <w:rPr>
                <w:rFonts w:ascii="Times New Roman" w:hAnsi="Times New Roman"/>
                <w:bCs/>
              </w:rPr>
              <w:t>Erro</w:t>
            </w:r>
          </w:p>
        </w:tc>
      </w:tr>
      <w:tr w:rsidR="001779BC" w:rsidRPr="00FA3856" w:rsidTr="001A297B">
        <w:trPr>
          <w:jc w:val="center"/>
        </w:trPr>
        <w:tc>
          <w:tcPr>
            <w:tcW w:w="485" w:type="dxa"/>
            <w:tcBorders>
              <w:top w:val="single" w:sz="6" w:space="0" w:color="auto"/>
              <w:left w:val="single" w:sz="6" w:space="0" w:color="auto"/>
              <w:bottom w:val="single" w:sz="6" w:space="0" w:color="auto"/>
              <w:right w:val="single" w:sz="6" w:space="0" w:color="auto"/>
            </w:tcBorders>
          </w:tcPr>
          <w:p w:rsidR="001779BC" w:rsidRPr="00FA3856" w:rsidRDefault="00757502" w:rsidP="001779BC">
            <w:pPr>
              <w:pStyle w:val="PSDS-CorpodeTexto0"/>
              <w:suppressAutoHyphens w:val="0"/>
              <w:rPr>
                <w:rFonts w:ascii="Times New Roman" w:hAnsi="Times New Roman"/>
                <w:b/>
                <w:bCs/>
                <w:lang w:val="pt-PT"/>
              </w:rPr>
            </w:pPr>
            <w:r w:rsidRPr="00FA3856">
              <w:rPr>
                <w:rFonts w:ascii="Times New Roman" w:hAnsi="Times New Roman"/>
                <w:b/>
                <w:bCs/>
                <w:lang w:val="pt-PT"/>
              </w:rPr>
              <w:t>11</w:t>
            </w:r>
          </w:p>
        </w:tc>
        <w:tc>
          <w:tcPr>
            <w:tcW w:w="2239" w:type="dxa"/>
            <w:tcBorders>
              <w:top w:val="single" w:sz="6" w:space="0" w:color="auto"/>
              <w:left w:val="single" w:sz="6" w:space="0" w:color="auto"/>
              <w:bottom w:val="single" w:sz="6" w:space="0" w:color="auto"/>
              <w:right w:val="single" w:sz="6" w:space="0" w:color="auto"/>
            </w:tcBorders>
          </w:tcPr>
          <w:p w:rsidR="001779BC" w:rsidRPr="00FA3856" w:rsidRDefault="001779BC" w:rsidP="001779BC">
            <w:pPr>
              <w:pStyle w:val="PSDS-CorpodeTexto0"/>
              <w:rPr>
                <w:rFonts w:ascii="Times New Roman" w:hAnsi="Times New Roman"/>
                <w:b/>
                <w:bCs/>
                <w:lang w:val="en-US"/>
              </w:rPr>
            </w:pPr>
            <w:r w:rsidRPr="00FA3856">
              <w:rPr>
                <w:rFonts w:ascii="Times New Roman" w:hAnsi="Times New Roman"/>
                <w:lang w:val="en-US"/>
              </w:rPr>
              <w:t>IND_LUC_EXP</w:t>
            </w:r>
          </w:p>
        </w:tc>
        <w:tc>
          <w:tcPr>
            <w:tcW w:w="12929" w:type="dxa"/>
            <w:tcBorders>
              <w:top w:val="single" w:sz="6" w:space="0" w:color="auto"/>
              <w:left w:val="single" w:sz="6" w:space="0" w:color="auto"/>
              <w:bottom w:val="single" w:sz="6" w:space="0" w:color="auto"/>
              <w:right w:val="single" w:sz="6" w:space="0" w:color="auto"/>
            </w:tcBorders>
          </w:tcPr>
          <w:p w:rsidR="001779BC" w:rsidRPr="00FA3856" w:rsidRDefault="007D0E74" w:rsidP="00632101">
            <w:pPr>
              <w:pStyle w:val="PSDS-CorpodeTexto0"/>
              <w:jc w:val="both"/>
              <w:rPr>
                <w:rFonts w:ascii="Times New Roman" w:hAnsi="Times New Roman"/>
                <w:b/>
                <w:bCs/>
              </w:rPr>
            </w:pPr>
            <w:hyperlink w:anchor="REGRA_PREENCHIMENTO_IND_LUC_EXP" w:history="1">
              <w:r w:rsidR="001779BC" w:rsidRPr="00FA3856">
                <w:rPr>
                  <w:rStyle w:val="Hyperlink"/>
                  <w:rFonts w:ascii="Times New Roman" w:hAnsi="Times New Roman"/>
                  <w:b/>
                  <w:bCs/>
                  <w:color w:val="auto"/>
                </w:rPr>
                <w:t>REGRA_PREENCHIMENTO_IND_LUC_EXP</w:t>
              </w:r>
            </w:hyperlink>
            <w:r w:rsidR="00632101" w:rsidRPr="00FA3856">
              <w:rPr>
                <w:rFonts w:ascii="Times New Roman" w:hAnsi="Times New Roman"/>
                <w:b/>
                <w:bCs/>
              </w:rPr>
              <w:t xml:space="preserve">: </w:t>
            </w:r>
            <w:r w:rsidR="00632101" w:rsidRPr="00FA3856">
              <w:rPr>
                <w:rFonts w:ascii="Times New Roman" w:hAnsi="Times New Roman"/>
              </w:rPr>
              <w:t>Verifica, quando 0010.COD_QUALI</w:t>
            </w:r>
            <w:r w:rsidR="00A87784" w:rsidRPr="00FA3856">
              <w:rPr>
                <w:rFonts w:ascii="Times New Roman" w:hAnsi="Times New Roman"/>
              </w:rPr>
              <w:t xml:space="preserve">F_PJ é </w:t>
            </w:r>
            <w:r w:rsidR="00B67B81" w:rsidRPr="00FA3856">
              <w:rPr>
                <w:rFonts w:ascii="Times New Roman" w:hAnsi="Times New Roman"/>
              </w:rPr>
              <w:t>diferente de “01</w:t>
            </w:r>
            <w:r w:rsidR="00632101" w:rsidRPr="00FA3856">
              <w:rPr>
                <w:rFonts w:ascii="Times New Roman" w:hAnsi="Times New Roman"/>
              </w:rPr>
              <w:t>” (PJ em Ge</w:t>
            </w:r>
            <w:r w:rsidR="00A87784" w:rsidRPr="00FA3856">
              <w:rPr>
                <w:rFonts w:ascii="Times New Roman" w:hAnsi="Times New Roman"/>
              </w:rPr>
              <w:t xml:space="preserve">ral) ou 0010.FORMA_TRIB é </w:t>
            </w:r>
            <w:r w:rsidR="00632101" w:rsidRPr="00FA3856">
              <w:rPr>
                <w:rFonts w:ascii="Times New Roman" w:hAnsi="Times New Roman"/>
              </w:rPr>
              <w:t>d</w:t>
            </w:r>
            <w:r w:rsidR="00DE41CA" w:rsidRPr="00FA3856">
              <w:rPr>
                <w:rFonts w:ascii="Times New Roman" w:hAnsi="Times New Roman"/>
              </w:rPr>
              <w:t>iferente de “1” (Lucro Real), “2” (Lucro Real/Arbitrado), “3” (Lucro Presumido/Real) ou “4</w:t>
            </w:r>
            <w:r w:rsidR="00632101" w:rsidRPr="00FA3856">
              <w:rPr>
                <w:rFonts w:ascii="Times New Roman" w:hAnsi="Times New Roman"/>
              </w:rPr>
              <w:t xml:space="preserve">” (Lucro Presumido/Real/Arbitrado), se </w:t>
            </w:r>
            <w:r w:rsidR="00563622" w:rsidRPr="00FA3856">
              <w:rPr>
                <w:rFonts w:ascii="Times New Roman" w:hAnsi="Times New Roman"/>
              </w:rPr>
              <w:t xml:space="preserve">0020.IND_LUC_EXP </w:t>
            </w:r>
            <w:r w:rsidR="00A87784" w:rsidRPr="00FA3856">
              <w:rPr>
                <w:rFonts w:ascii="Times New Roman" w:hAnsi="Times New Roman"/>
              </w:rPr>
              <w:t>é igual a “N”</w:t>
            </w:r>
            <w:r w:rsidR="00632101" w:rsidRPr="00FA3856">
              <w:rPr>
                <w:rFonts w:ascii="Times New Roman" w:hAnsi="Times New Roman"/>
              </w:rPr>
              <w:t>.</w:t>
            </w:r>
          </w:p>
        </w:tc>
        <w:tc>
          <w:tcPr>
            <w:tcW w:w="717" w:type="dxa"/>
            <w:tcBorders>
              <w:top w:val="single" w:sz="6" w:space="0" w:color="auto"/>
              <w:left w:val="single" w:sz="6" w:space="0" w:color="auto"/>
              <w:bottom w:val="single" w:sz="6" w:space="0" w:color="auto"/>
              <w:right w:val="single" w:sz="6" w:space="0" w:color="auto"/>
            </w:tcBorders>
          </w:tcPr>
          <w:p w:rsidR="001779BC" w:rsidRPr="00FA3856" w:rsidRDefault="00DF0640" w:rsidP="001779BC">
            <w:pPr>
              <w:pStyle w:val="PSDS-CorpodeTexto0"/>
              <w:rPr>
                <w:rFonts w:ascii="Times New Roman" w:hAnsi="Times New Roman"/>
                <w:bCs/>
                <w:lang w:val="en-US"/>
              </w:rPr>
            </w:pPr>
            <w:r w:rsidRPr="00FA3856">
              <w:rPr>
                <w:rFonts w:ascii="Times New Roman" w:hAnsi="Times New Roman"/>
                <w:bCs/>
                <w:lang w:val="en-US"/>
              </w:rPr>
              <w:t>Erro</w:t>
            </w:r>
          </w:p>
        </w:tc>
      </w:tr>
      <w:tr w:rsidR="001779BC" w:rsidRPr="00FA3856" w:rsidTr="001A297B">
        <w:trPr>
          <w:jc w:val="center"/>
        </w:trPr>
        <w:tc>
          <w:tcPr>
            <w:tcW w:w="485" w:type="dxa"/>
            <w:tcBorders>
              <w:top w:val="single" w:sz="6" w:space="0" w:color="auto"/>
              <w:left w:val="single" w:sz="6" w:space="0" w:color="auto"/>
              <w:bottom w:val="single" w:sz="6" w:space="0" w:color="auto"/>
              <w:right w:val="single" w:sz="6" w:space="0" w:color="auto"/>
            </w:tcBorders>
          </w:tcPr>
          <w:p w:rsidR="001779BC" w:rsidRPr="00FA3856" w:rsidRDefault="00757502" w:rsidP="001779BC">
            <w:pPr>
              <w:pStyle w:val="PSDS-CorpodeTexto0"/>
              <w:suppressAutoHyphens w:val="0"/>
              <w:rPr>
                <w:rFonts w:ascii="Times New Roman" w:hAnsi="Times New Roman"/>
                <w:b/>
                <w:bCs/>
              </w:rPr>
            </w:pPr>
            <w:r w:rsidRPr="00FA3856">
              <w:rPr>
                <w:rFonts w:ascii="Times New Roman" w:hAnsi="Times New Roman"/>
                <w:b/>
                <w:bCs/>
              </w:rPr>
              <w:t>12</w:t>
            </w:r>
          </w:p>
        </w:tc>
        <w:tc>
          <w:tcPr>
            <w:tcW w:w="2239" w:type="dxa"/>
            <w:tcBorders>
              <w:top w:val="single" w:sz="6" w:space="0" w:color="auto"/>
              <w:left w:val="single" w:sz="6" w:space="0" w:color="auto"/>
              <w:bottom w:val="single" w:sz="6" w:space="0" w:color="auto"/>
              <w:right w:val="single" w:sz="6" w:space="0" w:color="auto"/>
            </w:tcBorders>
          </w:tcPr>
          <w:p w:rsidR="001779BC" w:rsidRPr="00FA3856" w:rsidRDefault="001779BC" w:rsidP="001779BC">
            <w:pPr>
              <w:pStyle w:val="PSDS-CorpodeTexto0"/>
              <w:rPr>
                <w:rFonts w:ascii="Times New Roman" w:hAnsi="Times New Roman"/>
                <w:b/>
                <w:bCs/>
                <w:lang w:val="en-US"/>
              </w:rPr>
            </w:pPr>
            <w:r w:rsidRPr="00FA3856">
              <w:rPr>
                <w:rFonts w:ascii="Times New Roman" w:hAnsi="Times New Roman"/>
                <w:lang w:val="en-US"/>
              </w:rPr>
              <w:t>IND_RED_ISEN</w:t>
            </w:r>
          </w:p>
        </w:tc>
        <w:tc>
          <w:tcPr>
            <w:tcW w:w="12929" w:type="dxa"/>
            <w:tcBorders>
              <w:top w:val="single" w:sz="6" w:space="0" w:color="auto"/>
              <w:left w:val="single" w:sz="6" w:space="0" w:color="auto"/>
              <w:bottom w:val="single" w:sz="6" w:space="0" w:color="auto"/>
              <w:right w:val="single" w:sz="6" w:space="0" w:color="auto"/>
            </w:tcBorders>
          </w:tcPr>
          <w:p w:rsidR="00632101" w:rsidRPr="00FA3856" w:rsidRDefault="007D0E74" w:rsidP="00632101">
            <w:pPr>
              <w:pStyle w:val="PSDS-CorpodeTexto0"/>
              <w:jc w:val="both"/>
              <w:rPr>
                <w:rFonts w:ascii="Times New Roman" w:hAnsi="Times New Roman"/>
                <w:b/>
                <w:bCs/>
              </w:rPr>
            </w:pPr>
            <w:hyperlink w:anchor="REGRA_PREENCHIMENTO_IND_RED_ISEN" w:history="1">
              <w:r w:rsidR="001779BC" w:rsidRPr="00FA3856">
                <w:rPr>
                  <w:rStyle w:val="Hyperlink"/>
                  <w:rFonts w:ascii="Times New Roman" w:hAnsi="Times New Roman"/>
                  <w:b/>
                  <w:bCs/>
                  <w:color w:val="auto"/>
                  <w:lang w:val="pt-PT"/>
                </w:rPr>
                <w:t>REGRA_PREENCHIMENTO_IND_RED_ISEN</w:t>
              </w:r>
            </w:hyperlink>
            <w:r w:rsidR="00632101" w:rsidRPr="00FA3856">
              <w:rPr>
                <w:rFonts w:ascii="Times New Roman" w:hAnsi="Times New Roman"/>
                <w:b/>
                <w:bCs/>
              </w:rPr>
              <w:t xml:space="preserve">: </w:t>
            </w:r>
            <w:r w:rsidR="00632101" w:rsidRPr="00FA3856">
              <w:rPr>
                <w:rFonts w:ascii="Times New Roman" w:hAnsi="Times New Roman"/>
              </w:rPr>
              <w:t>Verifica</w:t>
            </w:r>
            <w:r w:rsidR="00A87784" w:rsidRPr="00FA3856">
              <w:rPr>
                <w:rFonts w:ascii="Times New Roman" w:hAnsi="Times New Roman"/>
              </w:rPr>
              <w:t xml:space="preserve">, quando 0010.OPT_REFIS é </w:t>
            </w:r>
            <w:r w:rsidR="00632101" w:rsidRPr="00FA3856">
              <w:rPr>
                <w:rFonts w:ascii="Times New Roman" w:hAnsi="Times New Roman"/>
              </w:rPr>
              <w:t>diferente de “S” ou 0010.COD_QUALI</w:t>
            </w:r>
            <w:r w:rsidR="00A87784" w:rsidRPr="00FA3856">
              <w:rPr>
                <w:rFonts w:ascii="Times New Roman" w:hAnsi="Times New Roman"/>
              </w:rPr>
              <w:t xml:space="preserve">F_PJ é </w:t>
            </w:r>
            <w:r w:rsidR="00B67B81" w:rsidRPr="00FA3856">
              <w:rPr>
                <w:rFonts w:ascii="Times New Roman" w:hAnsi="Times New Roman"/>
              </w:rPr>
              <w:t>diferente de “01</w:t>
            </w:r>
            <w:r w:rsidR="00632101" w:rsidRPr="00FA3856">
              <w:rPr>
                <w:rFonts w:ascii="Times New Roman" w:hAnsi="Times New Roman"/>
              </w:rPr>
              <w:t>” (PJ em Geral) ou 0010.FORMA</w:t>
            </w:r>
            <w:r w:rsidR="00A87784" w:rsidRPr="00FA3856">
              <w:rPr>
                <w:rFonts w:ascii="Times New Roman" w:hAnsi="Times New Roman"/>
              </w:rPr>
              <w:t xml:space="preserve">_TRIB é </w:t>
            </w:r>
            <w:r w:rsidR="00DE41CA" w:rsidRPr="00FA3856">
              <w:rPr>
                <w:rFonts w:ascii="Times New Roman" w:hAnsi="Times New Roman"/>
              </w:rPr>
              <w:t>diferente de “5” (Lucro Presumido) ou “7</w:t>
            </w:r>
            <w:r w:rsidR="00632101" w:rsidRPr="00FA3856">
              <w:rPr>
                <w:rFonts w:ascii="Times New Roman" w:hAnsi="Times New Roman"/>
              </w:rPr>
              <w:t>” (Lucro Presumido/Arbit</w:t>
            </w:r>
            <w:r w:rsidR="00BF3C79" w:rsidRPr="00FA3856">
              <w:rPr>
                <w:rFonts w:ascii="Times New Roman" w:hAnsi="Times New Roman"/>
              </w:rPr>
              <w:t>rado)</w:t>
            </w:r>
            <w:r w:rsidR="00A87784" w:rsidRPr="00FA3856">
              <w:rPr>
                <w:rFonts w:ascii="Times New Roman" w:hAnsi="Times New Roman"/>
              </w:rPr>
              <w:t>, se 0020.IND_RED_ISEN é igual a “N”</w:t>
            </w:r>
            <w:r w:rsidR="00632101" w:rsidRPr="00FA3856">
              <w:rPr>
                <w:rFonts w:ascii="Times New Roman" w:hAnsi="Times New Roman"/>
              </w:rPr>
              <w:t>.</w:t>
            </w:r>
          </w:p>
        </w:tc>
        <w:tc>
          <w:tcPr>
            <w:tcW w:w="717" w:type="dxa"/>
            <w:tcBorders>
              <w:top w:val="single" w:sz="6" w:space="0" w:color="auto"/>
              <w:left w:val="single" w:sz="6" w:space="0" w:color="auto"/>
              <w:bottom w:val="single" w:sz="6" w:space="0" w:color="auto"/>
              <w:right w:val="single" w:sz="6" w:space="0" w:color="auto"/>
            </w:tcBorders>
          </w:tcPr>
          <w:p w:rsidR="001779BC" w:rsidRPr="00FA3856" w:rsidRDefault="00DF0640" w:rsidP="001779BC">
            <w:pPr>
              <w:pStyle w:val="PSDS-CorpodeTexto0"/>
              <w:rPr>
                <w:rFonts w:ascii="Times New Roman" w:hAnsi="Times New Roman"/>
                <w:bCs/>
                <w:lang w:val="en-US"/>
              </w:rPr>
            </w:pPr>
            <w:r w:rsidRPr="00FA3856">
              <w:rPr>
                <w:rFonts w:ascii="Times New Roman" w:hAnsi="Times New Roman"/>
                <w:bCs/>
                <w:lang w:val="en-US"/>
              </w:rPr>
              <w:t>Erro</w:t>
            </w:r>
          </w:p>
        </w:tc>
      </w:tr>
      <w:tr w:rsidR="001779BC" w:rsidRPr="00FA3856" w:rsidTr="001A297B">
        <w:trPr>
          <w:jc w:val="center"/>
        </w:trPr>
        <w:tc>
          <w:tcPr>
            <w:tcW w:w="485" w:type="dxa"/>
            <w:tcBorders>
              <w:top w:val="single" w:sz="6" w:space="0" w:color="auto"/>
              <w:left w:val="single" w:sz="6" w:space="0" w:color="auto"/>
              <w:bottom w:val="single" w:sz="6" w:space="0" w:color="auto"/>
              <w:right w:val="single" w:sz="6" w:space="0" w:color="auto"/>
            </w:tcBorders>
          </w:tcPr>
          <w:p w:rsidR="001779BC" w:rsidRPr="00FA3856" w:rsidRDefault="00757502" w:rsidP="001779BC">
            <w:pPr>
              <w:pStyle w:val="PSDS-CorpodeTexto0"/>
              <w:suppressAutoHyphens w:val="0"/>
              <w:rPr>
                <w:rFonts w:ascii="Times New Roman" w:hAnsi="Times New Roman"/>
                <w:b/>
                <w:lang w:val="pt-PT"/>
              </w:rPr>
            </w:pPr>
            <w:r w:rsidRPr="00FA3856">
              <w:rPr>
                <w:rFonts w:ascii="Times New Roman" w:hAnsi="Times New Roman"/>
                <w:b/>
                <w:lang w:val="pt-PT"/>
              </w:rPr>
              <w:t>13</w:t>
            </w:r>
          </w:p>
        </w:tc>
        <w:tc>
          <w:tcPr>
            <w:tcW w:w="2239" w:type="dxa"/>
            <w:tcBorders>
              <w:top w:val="single" w:sz="6" w:space="0" w:color="auto"/>
              <w:left w:val="single" w:sz="6" w:space="0" w:color="auto"/>
              <w:bottom w:val="single" w:sz="6" w:space="0" w:color="auto"/>
              <w:right w:val="single" w:sz="6" w:space="0" w:color="auto"/>
            </w:tcBorders>
          </w:tcPr>
          <w:p w:rsidR="001779BC" w:rsidRPr="00FA3856" w:rsidRDefault="001779BC" w:rsidP="001779BC">
            <w:pPr>
              <w:pStyle w:val="PSDS-CorpodeTexto0"/>
              <w:rPr>
                <w:rFonts w:ascii="Times New Roman" w:hAnsi="Times New Roman"/>
                <w:lang w:val="pt-PT"/>
              </w:rPr>
            </w:pPr>
            <w:r w:rsidRPr="00FA3856">
              <w:rPr>
                <w:rFonts w:ascii="Times New Roman" w:hAnsi="Times New Roman"/>
                <w:lang w:val="pt-PT"/>
              </w:rPr>
              <w:t>IND_FIN</w:t>
            </w:r>
          </w:p>
        </w:tc>
        <w:tc>
          <w:tcPr>
            <w:tcW w:w="12929" w:type="dxa"/>
            <w:tcBorders>
              <w:top w:val="single" w:sz="6" w:space="0" w:color="auto"/>
              <w:left w:val="single" w:sz="6" w:space="0" w:color="auto"/>
              <w:bottom w:val="single" w:sz="6" w:space="0" w:color="auto"/>
              <w:right w:val="single" w:sz="6" w:space="0" w:color="auto"/>
            </w:tcBorders>
          </w:tcPr>
          <w:p w:rsidR="001779BC" w:rsidRPr="00FA3856" w:rsidRDefault="007D0E74" w:rsidP="00632101">
            <w:pPr>
              <w:pStyle w:val="PSDS-CorpodeTexto0"/>
              <w:jc w:val="both"/>
              <w:rPr>
                <w:rFonts w:ascii="Times New Roman" w:hAnsi="Times New Roman"/>
                <w:b/>
                <w:lang w:val="pt-PT"/>
              </w:rPr>
            </w:pPr>
            <w:hyperlink w:anchor="REGRA_PREENCHIMENTO_IND_FIN" w:history="1">
              <w:r w:rsidR="001779BC" w:rsidRPr="00FA3856">
                <w:rPr>
                  <w:rStyle w:val="Hyperlink"/>
                  <w:rFonts w:ascii="Times New Roman" w:hAnsi="Times New Roman"/>
                  <w:b/>
                  <w:color w:val="auto"/>
                </w:rPr>
                <w:t>REGRA_PREENCHIMENTO_IND_FIN</w:t>
              </w:r>
            </w:hyperlink>
            <w:r w:rsidR="00632101" w:rsidRPr="00FA3856">
              <w:rPr>
                <w:rFonts w:ascii="Times New Roman" w:hAnsi="Times New Roman"/>
                <w:b/>
              </w:rPr>
              <w:t xml:space="preserve">: </w:t>
            </w:r>
            <w:r w:rsidR="00632101" w:rsidRPr="00FA3856">
              <w:rPr>
                <w:rFonts w:ascii="Times New Roman" w:hAnsi="Times New Roman"/>
              </w:rPr>
              <w:t>Verifica,</w:t>
            </w:r>
            <w:r w:rsidR="00A87784" w:rsidRPr="00FA3856">
              <w:rPr>
                <w:rFonts w:ascii="Times New Roman" w:hAnsi="Times New Roman"/>
              </w:rPr>
              <w:t xml:space="preserve"> quando 0010.FORMA_TRIB é </w:t>
            </w:r>
            <w:r w:rsidR="00632101" w:rsidRPr="00FA3856">
              <w:rPr>
                <w:rFonts w:ascii="Times New Roman" w:hAnsi="Times New Roman"/>
              </w:rPr>
              <w:t>d</w:t>
            </w:r>
            <w:r w:rsidR="00DE41CA" w:rsidRPr="00FA3856">
              <w:rPr>
                <w:rFonts w:ascii="Times New Roman" w:hAnsi="Times New Roman"/>
              </w:rPr>
              <w:t>iferente de “1” (Lucro Real), “2</w:t>
            </w:r>
            <w:r w:rsidR="00632101" w:rsidRPr="00FA3856">
              <w:rPr>
                <w:rFonts w:ascii="Times New Roman" w:hAnsi="Times New Roman"/>
              </w:rPr>
              <w:t>” (Lucro Real/Arbitrado)</w:t>
            </w:r>
            <w:r w:rsidR="00DE41CA" w:rsidRPr="00FA3856">
              <w:rPr>
                <w:rFonts w:ascii="Times New Roman" w:hAnsi="Times New Roman"/>
              </w:rPr>
              <w:t>, “3” (Lucro Presumido/Real) ou “4</w:t>
            </w:r>
            <w:r w:rsidR="00632101" w:rsidRPr="00FA3856">
              <w:rPr>
                <w:rFonts w:ascii="Times New Roman" w:hAnsi="Times New Roman"/>
              </w:rPr>
              <w:t>” (Lucro Presumido/Real/</w:t>
            </w:r>
            <w:r w:rsidR="00BF3C79" w:rsidRPr="00FA3856">
              <w:rPr>
                <w:rFonts w:ascii="Times New Roman" w:hAnsi="Times New Roman"/>
              </w:rPr>
              <w:t>Arbit</w:t>
            </w:r>
            <w:r w:rsidR="00A87784" w:rsidRPr="00FA3856">
              <w:rPr>
                <w:rFonts w:ascii="Times New Roman" w:hAnsi="Times New Roman"/>
              </w:rPr>
              <w:t>rado), se 0020.IND_FIN é igual a “N”</w:t>
            </w:r>
            <w:r w:rsidR="00632101" w:rsidRPr="00FA3856">
              <w:rPr>
                <w:rFonts w:ascii="Times New Roman" w:hAnsi="Times New Roman"/>
              </w:rPr>
              <w:t>.</w:t>
            </w:r>
          </w:p>
        </w:tc>
        <w:tc>
          <w:tcPr>
            <w:tcW w:w="717" w:type="dxa"/>
            <w:tcBorders>
              <w:top w:val="single" w:sz="6" w:space="0" w:color="auto"/>
              <w:left w:val="single" w:sz="6" w:space="0" w:color="auto"/>
              <w:bottom w:val="single" w:sz="6" w:space="0" w:color="auto"/>
              <w:right w:val="single" w:sz="6" w:space="0" w:color="auto"/>
            </w:tcBorders>
          </w:tcPr>
          <w:p w:rsidR="001779BC" w:rsidRPr="00FA3856" w:rsidRDefault="00DF0640" w:rsidP="001779BC">
            <w:pPr>
              <w:pStyle w:val="PSDS-CorpodeTexto0"/>
              <w:rPr>
                <w:rFonts w:ascii="Times New Roman" w:hAnsi="Times New Roman"/>
                <w:lang w:val="pt-PT"/>
              </w:rPr>
            </w:pPr>
            <w:r w:rsidRPr="00FA3856">
              <w:rPr>
                <w:rFonts w:ascii="Times New Roman" w:hAnsi="Times New Roman"/>
                <w:lang w:val="pt-PT"/>
              </w:rPr>
              <w:t>Erro</w:t>
            </w:r>
          </w:p>
        </w:tc>
      </w:tr>
      <w:tr w:rsidR="001779BC" w:rsidRPr="00FA3856" w:rsidTr="001A297B">
        <w:trPr>
          <w:jc w:val="center"/>
        </w:trPr>
        <w:tc>
          <w:tcPr>
            <w:tcW w:w="485" w:type="dxa"/>
            <w:tcBorders>
              <w:top w:val="single" w:sz="6" w:space="0" w:color="auto"/>
              <w:left w:val="single" w:sz="6" w:space="0" w:color="auto"/>
              <w:bottom w:val="single" w:sz="6" w:space="0" w:color="auto"/>
              <w:right w:val="single" w:sz="6" w:space="0" w:color="auto"/>
            </w:tcBorders>
          </w:tcPr>
          <w:p w:rsidR="001779BC" w:rsidRPr="00FA3856" w:rsidRDefault="00757502" w:rsidP="001779BC">
            <w:pPr>
              <w:pStyle w:val="PSDS-CorpodeTexto0"/>
              <w:suppressAutoHyphens w:val="0"/>
              <w:rPr>
                <w:rFonts w:ascii="Times New Roman" w:hAnsi="Times New Roman"/>
                <w:b/>
                <w:bCs/>
              </w:rPr>
            </w:pPr>
            <w:r w:rsidRPr="00FA3856">
              <w:rPr>
                <w:rFonts w:ascii="Times New Roman" w:hAnsi="Times New Roman"/>
                <w:b/>
                <w:bCs/>
              </w:rPr>
              <w:t>15</w:t>
            </w:r>
          </w:p>
        </w:tc>
        <w:tc>
          <w:tcPr>
            <w:tcW w:w="2239" w:type="dxa"/>
            <w:tcBorders>
              <w:top w:val="single" w:sz="6" w:space="0" w:color="auto"/>
              <w:left w:val="single" w:sz="6" w:space="0" w:color="auto"/>
              <w:bottom w:val="single" w:sz="6" w:space="0" w:color="auto"/>
              <w:right w:val="single" w:sz="6" w:space="0" w:color="auto"/>
            </w:tcBorders>
          </w:tcPr>
          <w:p w:rsidR="001779BC" w:rsidRPr="00FA3856" w:rsidRDefault="001779BC" w:rsidP="001779BC">
            <w:pPr>
              <w:pStyle w:val="PSDS-CorpodeTexto0"/>
              <w:rPr>
                <w:rFonts w:ascii="Times New Roman" w:hAnsi="Times New Roman"/>
                <w:b/>
                <w:bCs/>
                <w:lang w:val="en-US"/>
              </w:rPr>
            </w:pPr>
            <w:r w:rsidRPr="00FA3856">
              <w:rPr>
                <w:rFonts w:ascii="Times New Roman" w:hAnsi="Times New Roman"/>
                <w:lang w:val="en-US"/>
              </w:rPr>
              <w:t>IND_PART_COLIG</w:t>
            </w:r>
          </w:p>
        </w:tc>
        <w:tc>
          <w:tcPr>
            <w:tcW w:w="12929" w:type="dxa"/>
            <w:tcBorders>
              <w:top w:val="single" w:sz="6" w:space="0" w:color="auto"/>
              <w:left w:val="single" w:sz="6" w:space="0" w:color="auto"/>
              <w:bottom w:val="single" w:sz="6" w:space="0" w:color="auto"/>
              <w:right w:val="single" w:sz="6" w:space="0" w:color="auto"/>
            </w:tcBorders>
          </w:tcPr>
          <w:p w:rsidR="001779BC" w:rsidRDefault="007D0E74" w:rsidP="00C73832">
            <w:pPr>
              <w:pStyle w:val="PSDS-CorpodeTexto0"/>
              <w:tabs>
                <w:tab w:val="center" w:pos="5613"/>
              </w:tabs>
              <w:jc w:val="both"/>
              <w:rPr>
                <w:rFonts w:ascii="Times New Roman" w:hAnsi="Times New Roman"/>
              </w:rPr>
            </w:pPr>
            <w:hyperlink w:anchor="REGRA_PREENCHIMENTO_ATIV_13" w:history="1">
              <w:r w:rsidR="001779BC" w:rsidRPr="00FA3856">
                <w:rPr>
                  <w:rStyle w:val="Hyperlink"/>
                  <w:rFonts w:ascii="Times New Roman" w:hAnsi="Times New Roman"/>
                  <w:b/>
                  <w:color w:val="auto"/>
                </w:rPr>
                <w:t>REGRA_PREENCHIMENTO</w:t>
              </w:r>
              <w:r w:rsidR="001779BC" w:rsidRPr="00FA3856">
                <w:rPr>
                  <w:rStyle w:val="Hyperlink"/>
                  <w:rFonts w:ascii="Times New Roman" w:hAnsi="Times New Roman"/>
                  <w:b/>
                  <w:color w:val="auto"/>
                  <w:lang w:val="pt-PT"/>
                </w:rPr>
                <w:t>_ATIV_13</w:t>
              </w:r>
            </w:hyperlink>
            <w:r w:rsidR="00C73832" w:rsidRPr="00FA3856">
              <w:rPr>
                <w:rFonts w:ascii="Times New Roman" w:hAnsi="Times New Roman"/>
                <w:b/>
              </w:rPr>
              <w:t xml:space="preserve">: </w:t>
            </w:r>
            <w:r w:rsidR="00C73832" w:rsidRPr="00FA3856">
              <w:rPr>
                <w:rFonts w:ascii="Times New Roman" w:hAnsi="Times New Roman"/>
              </w:rPr>
              <w:t>Verifica, quando 0010_TIP_ENT é igual a “13”</w:t>
            </w:r>
            <w:r w:rsidR="00DF0640" w:rsidRPr="00FA3856">
              <w:rPr>
                <w:rFonts w:ascii="Times New Roman" w:hAnsi="Times New Roman"/>
              </w:rPr>
              <w:t xml:space="preserve"> (Fifa e Entidades Relacionadas)</w:t>
            </w:r>
            <w:r w:rsidR="00C73832" w:rsidRPr="00FA3856">
              <w:rPr>
                <w:rFonts w:ascii="Times New Roman" w:hAnsi="Times New Roman"/>
              </w:rPr>
              <w:t xml:space="preserve">, se </w:t>
            </w:r>
            <w:r w:rsidR="00BF3C79" w:rsidRPr="00FA3856">
              <w:rPr>
                <w:rFonts w:ascii="Times New Roman" w:hAnsi="Times New Roman"/>
              </w:rPr>
              <w:t>0020.</w:t>
            </w:r>
            <w:r w:rsidR="00A87784" w:rsidRPr="00FA3856">
              <w:rPr>
                <w:rFonts w:ascii="Times New Roman" w:hAnsi="Times New Roman"/>
              </w:rPr>
              <w:t xml:space="preserve">IND_PART_COLIG </w:t>
            </w:r>
            <w:r w:rsidR="00C73832" w:rsidRPr="00FA3856">
              <w:rPr>
                <w:rFonts w:ascii="Times New Roman" w:hAnsi="Times New Roman"/>
              </w:rPr>
              <w:t>é igual a “N”.</w:t>
            </w:r>
          </w:p>
          <w:p w:rsidR="00522B13" w:rsidRDefault="00522B13" w:rsidP="00C73832">
            <w:pPr>
              <w:pStyle w:val="PSDS-CorpodeTexto0"/>
              <w:tabs>
                <w:tab w:val="center" w:pos="5613"/>
              </w:tabs>
              <w:jc w:val="both"/>
              <w:rPr>
                <w:rFonts w:ascii="Times New Roman" w:hAnsi="Times New Roman"/>
              </w:rPr>
            </w:pPr>
          </w:p>
          <w:p w:rsidR="00522B13" w:rsidRDefault="00522B13" w:rsidP="00C73832">
            <w:pPr>
              <w:pStyle w:val="PSDS-CorpodeTexto0"/>
              <w:tabs>
                <w:tab w:val="center" w:pos="5613"/>
              </w:tabs>
              <w:jc w:val="both"/>
              <w:rPr>
                <w:rFonts w:ascii="Times New Roman" w:hAnsi="Times New Roman"/>
              </w:rPr>
            </w:pPr>
          </w:p>
          <w:p w:rsidR="00522B13" w:rsidRPr="00FA3856" w:rsidRDefault="00522B13" w:rsidP="00C73832">
            <w:pPr>
              <w:pStyle w:val="PSDS-CorpodeTexto0"/>
              <w:tabs>
                <w:tab w:val="center" w:pos="5613"/>
              </w:tabs>
              <w:jc w:val="both"/>
              <w:rPr>
                <w:rFonts w:ascii="Times New Roman" w:hAnsi="Times New Roman"/>
                <w:b/>
              </w:rPr>
            </w:pPr>
          </w:p>
        </w:tc>
        <w:tc>
          <w:tcPr>
            <w:tcW w:w="717" w:type="dxa"/>
            <w:tcBorders>
              <w:top w:val="single" w:sz="6" w:space="0" w:color="auto"/>
              <w:left w:val="single" w:sz="6" w:space="0" w:color="auto"/>
              <w:bottom w:val="single" w:sz="6" w:space="0" w:color="auto"/>
              <w:right w:val="single" w:sz="6" w:space="0" w:color="auto"/>
            </w:tcBorders>
          </w:tcPr>
          <w:p w:rsidR="001779BC" w:rsidRPr="00FA3856" w:rsidRDefault="00DF0640" w:rsidP="001779BC">
            <w:pPr>
              <w:pStyle w:val="PSDS-CorpodeTexto0"/>
              <w:rPr>
                <w:rFonts w:ascii="Times New Roman" w:hAnsi="Times New Roman"/>
                <w:bCs/>
                <w:lang w:val="en-US"/>
              </w:rPr>
            </w:pPr>
            <w:r w:rsidRPr="00FA3856">
              <w:rPr>
                <w:rFonts w:ascii="Times New Roman" w:hAnsi="Times New Roman"/>
                <w:bCs/>
                <w:lang w:val="en-US"/>
              </w:rPr>
              <w:t>Erro</w:t>
            </w:r>
          </w:p>
        </w:tc>
      </w:tr>
      <w:tr w:rsidR="001779BC" w:rsidRPr="00FA3856" w:rsidTr="001A297B">
        <w:trPr>
          <w:jc w:val="center"/>
        </w:trPr>
        <w:tc>
          <w:tcPr>
            <w:tcW w:w="485" w:type="dxa"/>
            <w:tcBorders>
              <w:top w:val="single" w:sz="6" w:space="0" w:color="auto"/>
              <w:left w:val="single" w:sz="6" w:space="0" w:color="auto"/>
              <w:bottom w:val="single" w:sz="6" w:space="0" w:color="auto"/>
              <w:right w:val="single" w:sz="6" w:space="0" w:color="auto"/>
            </w:tcBorders>
          </w:tcPr>
          <w:p w:rsidR="001779BC" w:rsidRPr="00FA3856" w:rsidRDefault="00757502" w:rsidP="001779BC">
            <w:pPr>
              <w:pStyle w:val="PSDS-CorpodeTexto0"/>
              <w:suppressAutoHyphens w:val="0"/>
              <w:rPr>
                <w:rFonts w:ascii="Times New Roman" w:hAnsi="Times New Roman"/>
                <w:b/>
                <w:bCs/>
                <w:lang w:val="pt-PT"/>
              </w:rPr>
            </w:pPr>
            <w:r w:rsidRPr="00FA3856">
              <w:rPr>
                <w:rFonts w:ascii="Times New Roman" w:hAnsi="Times New Roman"/>
                <w:b/>
                <w:bCs/>
                <w:lang w:val="pt-PT"/>
              </w:rPr>
              <w:lastRenderedPageBreak/>
              <w:t>16</w:t>
            </w:r>
          </w:p>
        </w:tc>
        <w:tc>
          <w:tcPr>
            <w:tcW w:w="2239" w:type="dxa"/>
            <w:tcBorders>
              <w:top w:val="single" w:sz="6" w:space="0" w:color="auto"/>
              <w:left w:val="single" w:sz="6" w:space="0" w:color="auto"/>
              <w:bottom w:val="single" w:sz="6" w:space="0" w:color="auto"/>
              <w:right w:val="single" w:sz="6" w:space="0" w:color="auto"/>
            </w:tcBorders>
          </w:tcPr>
          <w:p w:rsidR="001779BC" w:rsidRPr="00FA3856" w:rsidRDefault="001779BC" w:rsidP="001779BC">
            <w:pPr>
              <w:pStyle w:val="PSDS-CorpodeTexto0"/>
              <w:rPr>
                <w:rFonts w:ascii="Times New Roman" w:hAnsi="Times New Roman"/>
                <w:b/>
                <w:bCs/>
                <w:lang w:val="en-US"/>
              </w:rPr>
            </w:pPr>
            <w:r w:rsidRPr="00FA3856">
              <w:rPr>
                <w:rFonts w:ascii="Times New Roman" w:hAnsi="Times New Roman"/>
                <w:lang w:val="en-US"/>
              </w:rPr>
              <w:t>IND_VEND_EXP</w:t>
            </w:r>
          </w:p>
        </w:tc>
        <w:tc>
          <w:tcPr>
            <w:tcW w:w="12929" w:type="dxa"/>
            <w:tcBorders>
              <w:top w:val="single" w:sz="6" w:space="0" w:color="auto"/>
              <w:left w:val="single" w:sz="6" w:space="0" w:color="auto"/>
              <w:bottom w:val="single" w:sz="6" w:space="0" w:color="auto"/>
              <w:right w:val="single" w:sz="6" w:space="0" w:color="auto"/>
            </w:tcBorders>
          </w:tcPr>
          <w:p w:rsidR="001779BC" w:rsidRPr="00FA3856" w:rsidRDefault="007D0E74" w:rsidP="001779BC">
            <w:pPr>
              <w:pStyle w:val="PSDS-CorpodeTexto0"/>
              <w:jc w:val="both"/>
              <w:rPr>
                <w:rFonts w:ascii="Times New Roman" w:hAnsi="Times New Roman"/>
                <w:b/>
              </w:rPr>
            </w:pPr>
            <w:hyperlink w:anchor="REGRA_PREENCHIMENTO_IMUNE_ISENTA" w:history="1">
              <w:r w:rsidR="001779BC" w:rsidRPr="00FA3856">
                <w:rPr>
                  <w:rStyle w:val="Hyperlink"/>
                  <w:rFonts w:ascii="Times New Roman" w:hAnsi="Times New Roman"/>
                  <w:b/>
                  <w:color w:val="auto"/>
                </w:rPr>
                <w:t>REGRA_PREENCHIMENTO_IMUNE_ISENTA</w:t>
              </w:r>
            </w:hyperlink>
            <w:r w:rsidR="00DF0640" w:rsidRPr="00FA3856">
              <w:rPr>
                <w:rFonts w:ascii="Times New Roman" w:hAnsi="Times New Roman"/>
                <w:b/>
              </w:rPr>
              <w:t xml:space="preserve">: </w:t>
            </w:r>
            <w:r w:rsidR="00DF0640" w:rsidRPr="00FA3856">
              <w:rPr>
                <w:rFonts w:ascii="Times New Roman" w:hAnsi="Times New Roman"/>
                <w:lang w:val="pt-PT"/>
              </w:rPr>
              <w:t>Verifica, quando 0010.</w:t>
            </w:r>
            <w:r w:rsidR="00A87784" w:rsidRPr="00FA3856">
              <w:rPr>
                <w:rStyle w:val="Hyperlink"/>
                <w:rFonts w:ascii="Times New Roman" w:hAnsi="Times New Roman"/>
                <w:bCs/>
                <w:color w:val="auto"/>
                <w:lang w:val="pt-PT"/>
              </w:rPr>
              <w:t xml:space="preserve">FORMA_TRIB é </w:t>
            </w:r>
            <w:r w:rsidR="008C08F1" w:rsidRPr="00FA3856">
              <w:rPr>
                <w:rStyle w:val="Hyperlink"/>
                <w:rFonts w:ascii="Times New Roman" w:hAnsi="Times New Roman"/>
                <w:bCs/>
                <w:color w:val="auto"/>
                <w:lang w:val="pt-PT"/>
              </w:rPr>
              <w:t>igual a “8” (Imune do</w:t>
            </w:r>
            <w:r w:rsidR="00DF0640" w:rsidRPr="00FA3856">
              <w:rPr>
                <w:rStyle w:val="Hyperlink"/>
                <w:rFonts w:ascii="Times New Roman" w:hAnsi="Times New Roman"/>
                <w:bCs/>
                <w:color w:val="auto"/>
                <w:lang w:val="pt-PT"/>
              </w:rPr>
              <w:t xml:space="preserve"> IRPJ) ou “9” (Isento do </w:t>
            </w:r>
            <w:r w:rsidR="00BF3C79" w:rsidRPr="00FA3856">
              <w:rPr>
                <w:rStyle w:val="Hyperlink"/>
                <w:rFonts w:ascii="Times New Roman" w:hAnsi="Times New Roman"/>
                <w:bCs/>
                <w:color w:val="auto"/>
                <w:lang w:val="pt-PT"/>
              </w:rPr>
              <w:t>IPRJ)</w:t>
            </w:r>
            <w:r w:rsidR="00A87784" w:rsidRPr="00FA3856">
              <w:rPr>
                <w:rStyle w:val="Hyperlink"/>
                <w:rFonts w:ascii="Times New Roman" w:hAnsi="Times New Roman"/>
                <w:bCs/>
                <w:color w:val="auto"/>
                <w:lang w:val="pt-PT"/>
              </w:rPr>
              <w:t xml:space="preserve">, se 0020.IND_VEND_EXP </w:t>
            </w:r>
            <w:r w:rsidR="00DF0640" w:rsidRPr="00FA3856">
              <w:rPr>
                <w:rStyle w:val="Hyperlink"/>
                <w:rFonts w:ascii="Times New Roman" w:hAnsi="Times New Roman"/>
                <w:bCs/>
                <w:color w:val="auto"/>
                <w:lang w:val="pt-PT"/>
              </w:rPr>
              <w:t>é igual a “N”.</w:t>
            </w:r>
          </w:p>
          <w:p w:rsidR="001779BC" w:rsidRPr="00FA3856" w:rsidRDefault="001779BC" w:rsidP="001779BC">
            <w:pPr>
              <w:pStyle w:val="PSDS-CorpodeTexto0"/>
              <w:jc w:val="both"/>
              <w:rPr>
                <w:rFonts w:ascii="Times New Roman" w:hAnsi="Times New Roman"/>
                <w:b/>
              </w:rPr>
            </w:pPr>
          </w:p>
          <w:p w:rsidR="001779BC" w:rsidRPr="00FA3856" w:rsidRDefault="007D0E74" w:rsidP="00A87784">
            <w:pPr>
              <w:pStyle w:val="PSDS-CorpodeTexto0"/>
              <w:jc w:val="both"/>
              <w:rPr>
                <w:rFonts w:ascii="Times New Roman" w:hAnsi="Times New Roman"/>
                <w:b/>
                <w:bCs/>
              </w:rPr>
            </w:pPr>
            <w:hyperlink w:anchor="REGRA_PREENCHIMENTO_IND_COM_EXP" w:history="1">
              <w:r w:rsidR="001779BC" w:rsidRPr="00FA3856">
                <w:rPr>
                  <w:rStyle w:val="Hyperlink"/>
                  <w:rFonts w:ascii="Times New Roman" w:hAnsi="Times New Roman"/>
                  <w:b/>
                  <w:color w:val="auto"/>
                  <w:lang w:val="pt-PT"/>
                </w:rPr>
                <w:t>REGRA_PREENCHIMENTO_PJ</w:t>
              </w:r>
            </w:hyperlink>
            <w:r w:rsidR="00632101" w:rsidRPr="00FA3856">
              <w:rPr>
                <w:rFonts w:ascii="Times New Roman" w:hAnsi="Times New Roman"/>
                <w:b/>
                <w:lang w:val="pt-PT"/>
              </w:rPr>
              <w:t xml:space="preserve">: </w:t>
            </w:r>
            <w:r w:rsidR="00632101" w:rsidRPr="00FA3856">
              <w:rPr>
                <w:rFonts w:ascii="Times New Roman" w:hAnsi="Times New Roman"/>
              </w:rPr>
              <w:t>Verifica, qu</w:t>
            </w:r>
            <w:r w:rsidR="00A87784" w:rsidRPr="00FA3856">
              <w:rPr>
                <w:rFonts w:ascii="Times New Roman" w:hAnsi="Times New Roman"/>
              </w:rPr>
              <w:t xml:space="preserve">ando 0010.COD_QUALIF_PJ é </w:t>
            </w:r>
            <w:r w:rsidR="00632101" w:rsidRPr="00FA3856">
              <w:rPr>
                <w:rFonts w:ascii="Times New Roman" w:hAnsi="Times New Roman"/>
              </w:rPr>
              <w:t>diferente de “00” (PJ em G</w:t>
            </w:r>
            <w:r w:rsidR="00BF3C79" w:rsidRPr="00FA3856">
              <w:rPr>
                <w:rFonts w:ascii="Times New Roman" w:hAnsi="Times New Roman"/>
              </w:rPr>
              <w:t xml:space="preserve">eral), se 0020.IND_VEND_EXP </w:t>
            </w:r>
            <w:r w:rsidR="00A87784" w:rsidRPr="00FA3856">
              <w:rPr>
                <w:rFonts w:ascii="Times New Roman" w:hAnsi="Times New Roman"/>
              </w:rPr>
              <w:t>é igual a “N”</w:t>
            </w:r>
            <w:r w:rsidR="00632101" w:rsidRPr="00FA3856">
              <w:rPr>
                <w:rFonts w:ascii="Times New Roman" w:hAnsi="Times New Roman"/>
              </w:rPr>
              <w:t>.</w:t>
            </w:r>
          </w:p>
        </w:tc>
        <w:tc>
          <w:tcPr>
            <w:tcW w:w="717" w:type="dxa"/>
            <w:tcBorders>
              <w:top w:val="single" w:sz="6" w:space="0" w:color="auto"/>
              <w:left w:val="single" w:sz="6" w:space="0" w:color="auto"/>
              <w:bottom w:val="single" w:sz="6" w:space="0" w:color="auto"/>
              <w:right w:val="single" w:sz="6" w:space="0" w:color="auto"/>
            </w:tcBorders>
          </w:tcPr>
          <w:p w:rsidR="001779BC" w:rsidRPr="00FA3856" w:rsidRDefault="00DF0640" w:rsidP="001779BC">
            <w:pPr>
              <w:pStyle w:val="PSDS-CorpodeTexto0"/>
              <w:rPr>
                <w:rFonts w:ascii="Times New Roman" w:hAnsi="Times New Roman"/>
                <w:bCs/>
                <w:lang w:val="en-US"/>
              </w:rPr>
            </w:pPr>
            <w:r w:rsidRPr="00FA3856">
              <w:rPr>
                <w:rFonts w:ascii="Times New Roman" w:hAnsi="Times New Roman"/>
                <w:bCs/>
                <w:lang w:val="en-US"/>
              </w:rPr>
              <w:t>Erro</w:t>
            </w:r>
          </w:p>
          <w:p w:rsidR="00C5399F" w:rsidRPr="00FA3856" w:rsidRDefault="00C5399F" w:rsidP="001779BC">
            <w:pPr>
              <w:pStyle w:val="PSDS-CorpodeTexto0"/>
              <w:rPr>
                <w:rFonts w:ascii="Times New Roman" w:hAnsi="Times New Roman"/>
                <w:bCs/>
                <w:lang w:val="en-US"/>
              </w:rPr>
            </w:pPr>
          </w:p>
          <w:p w:rsidR="00C5399F" w:rsidRPr="00FA3856" w:rsidRDefault="00C5399F" w:rsidP="001779BC">
            <w:pPr>
              <w:pStyle w:val="PSDS-CorpodeTexto0"/>
              <w:rPr>
                <w:rFonts w:ascii="Times New Roman" w:hAnsi="Times New Roman"/>
                <w:bCs/>
                <w:lang w:val="en-US"/>
              </w:rPr>
            </w:pPr>
          </w:p>
          <w:p w:rsidR="00C5399F" w:rsidRPr="00FA3856" w:rsidRDefault="00C5399F" w:rsidP="001779BC">
            <w:pPr>
              <w:pStyle w:val="PSDS-CorpodeTexto0"/>
              <w:rPr>
                <w:rFonts w:ascii="Times New Roman" w:hAnsi="Times New Roman"/>
                <w:bCs/>
                <w:lang w:val="en-US"/>
              </w:rPr>
            </w:pPr>
            <w:r w:rsidRPr="00FA3856">
              <w:rPr>
                <w:rFonts w:ascii="Times New Roman" w:hAnsi="Times New Roman"/>
                <w:bCs/>
                <w:lang w:val="en-US"/>
              </w:rPr>
              <w:t>Erro</w:t>
            </w:r>
          </w:p>
        </w:tc>
      </w:tr>
      <w:tr w:rsidR="001779BC" w:rsidRPr="00FA3856" w:rsidTr="001A297B">
        <w:trPr>
          <w:jc w:val="center"/>
        </w:trPr>
        <w:tc>
          <w:tcPr>
            <w:tcW w:w="485" w:type="dxa"/>
            <w:tcBorders>
              <w:top w:val="single" w:sz="6" w:space="0" w:color="auto"/>
              <w:left w:val="single" w:sz="6" w:space="0" w:color="auto"/>
              <w:bottom w:val="single" w:sz="6" w:space="0" w:color="auto"/>
              <w:right w:val="single" w:sz="6" w:space="0" w:color="auto"/>
            </w:tcBorders>
          </w:tcPr>
          <w:p w:rsidR="001779BC" w:rsidRPr="00FA3856" w:rsidRDefault="00757502" w:rsidP="001779BC">
            <w:pPr>
              <w:pStyle w:val="PSDS-CorpodeTexto0"/>
              <w:suppressAutoHyphens w:val="0"/>
              <w:rPr>
                <w:rFonts w:ascii="Times New Roman" w:hAnsi="Times New Roman"/>
                <w:b/>
                <w:bCs/>
              </w:rPr>
            </w:pPr>
            <w:r w:rsidRPr="00FA3856">
              <w:rPr>
                <w:rFonts w:ascii="Times New Roman" w:hAnsi="Times New Roman"/>
                <w:b/>
                <w:bCs/>
              </w:rPr>
              <w:t>17</w:t>
            </w:r>
          </w:p>
        </w:tc>
        <w:tc>
          <w:tcPr>
            <w:tcW w:w="2239" w:type="dxa"/>
            <w:tcBorders>
              <w:top w:val="single" w:sz="6" w:space="0" w:color="auto"/>
              <w:left w:val="single" w:sz="6" w:space="0" w:color="auto"/>
              <w:bottom w:val="single" w:sz="6" w:space="0" w:color="auto"/>
              <w:right w:val="single" w:sz="6" w:space="0" w:color="auto"/>
            </w:tcBorders>
          </w:tcPr>
          <w:p w:rsidR="001779BC" w:rsidRPr="00FA3856" w:rsidRDefault="001779BC" w:rsidP="001779BC">
            <w:pPr>
              <w:pStyle w:val="PSDS-CorpodeTexto0"/>
              <w:rPr>
                <w:rFonts w:ascii="Times New Roman" w:hAnsi="Times New Roman"/>
                <w:b/>
                <w:bCs/>
                <w:lang w:val="en-US"/>
              </w:rPr>
            </w:pPr>
            <w:r w:rsidRPr="00FA3856">
              <w:rPr>
                <w:rFonts w:ascii="Times New Roman" w:hAnsi="Times New Roman"/>
                <w:lang w:val="en-US"/>
              </w:rPr>
              <w:t>IND_ REC_EXT</w:t>
            </w:r>
          </w:p>
        </w:tc>
        <w:tc>
          <w:tcPr>
            <w:tcW w:w="12929" w:type="dxa"/>
            <w:tcBorders>
              <w:top w:val="single" w:sz="6" w:space="0" w:color="auto"/>
              <w:left w:val="single" w:sz="6" w:space="0" w:color="auto"/>
              <w:bottom w:val="single" w:sz="6" w:space="0" w:color="auto"/>
              <w:right w:val="single" w:sz="6" w:space="0" w:color="auto"/>
            </w:tcBorders>
          </w:tcPr>
          <w:p w:rsidR="00C73832" w:rsidRPr="00FA3856" w:rsidRDefault="007D0E74" w:rsidP="00A87784">
            <w:pPr>
              <w:pStyle w:val="PSDS-CorpodeTexto0"/>
              <w:tabs>
                <w:tab w:val="center" w:pos="5613"/>
              </w:tabs>
              <w:jc w:val="both"/>
              <w:rPr>
                <w:rFonts w:ascii="Times New Roman" w:hAnsi="Times New Roman"/>
              </w:rPr>
            </w:pPr>
            <w:hyperlink w:anchor="REGRA_PREENCHIMENTO_ATIV_13" w:history="1">
              <w:r w:rsidR="001779BC" w:rsidRPr="00FA3856">
                <w:rPr>
                  <w:rStyle w:val="Hyperlink"/>
                  <w:rFonts w:ascii="Times New Roman" w:hAnsi="Times New Roman"/>
                  <w:b/>
                  <w:color w:val="auto"/>
                </w:rPr>
                <w:t>REGRA_PREENCHIMENTO</w:t>
              </w:r>
              <w:r w:rsidR="001779BC" w:rsidRPr="00FA3856">
                <w:rPr>
                  <w:rStyle w:val="Hyperlink"/>
                  <w:rFonts w:ascii="Times New Roman" w:hAnsi="Times New Roman"/>
                  <w:b/>
                  <w:color w:val="auto"/>
                  <w:lang w:val="pt-PT"/>
                </w:rPr>
                <w:t>_ATIV_13</w:t>
              </w:r>
            </w:hyperlink>
            <w:r w:rsidR="00C73832" w:rsidRPr="00FA3856">
              <w:rPr>
                <w:rFonts w:ascii="Times New Roman" w:hAnsi="Times New Roman"/>
                <w:b/>
              </w:rPr>
              <w:t xml:space="preserve">: </w:t>
            </w:r>
            <w:r w:rsidR="00BF3C79" w:rsidRPr="00FA3856">
              <w:rPr>
                <w:rFonts w:ascii="Times New Roman" w:hAnsi="Times New Roman"/>
              </w:rPr>
              <w:t>V</w:t>
            </w:r>
            <w:r w:rsidR="00A87784" w:rsidRPr="00FA3856">
              <w:rPr>
                <w:rFonts w:ascii="Times New Roman" w:hAnsi="Times New Roman"/>
              </w:rPr>
              <w:t xml:space="preserve">erifica, quando 0010_TIP_ENT </w:t>
            </w:r>
            <w:r w:rsidR="00C73832" w:rsidRPr="00FA3856">
              <w:rPr>
                <w:rFonts w:ascii="Times New Roman" w:hAnsi="Times New Roman"/>
              </w:rPr>
              <w:t>é igual a “13”</w:t>
            </w:r>
            <w:r w:rsidR="00DF0640" w:rsidRPr="00FA3856">
              <w:rPr>
                <w:rFonts w:ascii="Times New Roman" w:hAnsi="Times New Roman"/>
              </w:rPr>
              <w:t xml:space="preserve"> (Fifa e Entidades Relacionadas)</w:t>
            </w:r>
            <w:r w:rsidR="00BF3C79" w:rsidRPr="00FA3856">
              <w:rPr>
                <w:rFonts w:ascii="Times New Roman" w:hAnsi="Times New Roman"/>
              </w:rPr>
              <w:t xml:space="preserve">, se 0020.IND_REC_EXT </w:t>
            </w:r>
            <w:r w:rsidR="00C73832" w:rsidRPr="00FA3856">
              <w:rPr>
                <w:rFonts w:ascii="Times New Roman" w:hAnsi="Times New Roman"/>
              </w:rPr>
              <w:t>é igual a “N”.</w:t>
            </w:r>
          </w:p>
        </w:tc>
        <w:tc>
          <w:tcPr>
            <w:tcW w:w="717" w:type="dxa"/>
            <w:tcBorders>
              <w:top w:val="single" w:sz="6" w:space="0" w:color="auto"/>
              <w:left w:val="single" w:sz="6" w:space="0" w:color="auto"/>
              <w:bottom w:val="single" w:sz="6" w:space="0" w:color="auto"/>
              <w:right w:val="single" w:sz="6" w:space="0" w:color="auto"/>
            </w:tcBorders>
          </w:tcPr>
          <w:p w:rsidR="001779BC" w:rsidRPr="00FA3856" w:rsidRDefault="00DF0640" w:rsidP="001779BC">
            <w:pPr>
              <w:pStyle w:val="PSDS-CorpodeTexto0"/>
              <w:rPr>
                <w:rFonts w:ascii="Times New Roman" w:hAnsi="Times New Roman"/>
                <w:bCs/>
                <w:lang w:val="en-US"/>
              </w:rPr>
            </w:pPr>
            <w:r w:rsidRPr="00FA3856">
              <w:rPr>
                <w:rFonts w:ascii="Times New Roman" w:hAnsi="Times New Roman"/>
                <w:bCs/>
                <w:lang w:val="en-US"/>
              </w:rPr>
              <w:t>Erro</w:t>
            </w:r>
          </w:p>
        </w:tc>
      </w:tr>
      <w:tr w:rsidR="001779BC" w:rsidRPr="00FA3856" w:rsidTr="001A297B">
        <w:trPr>
          <w:jc w:val="center"/>
        </w:trPr>
        <w:tc>
          <w:tcPr>
            <w:tcW w:w="485" w:type="dxa"/>
            <w:tcBorders>
              <w:top w:val="single" w:sz="6" w:space="0" w:color="auto"/>
              <w:left w:val="single" w:sz="6" w:space="0" w:color="auto"/>
              <w:bottom w:val="single" w:sz="6" w:space="0" w:color="auto"/>
              <w:right w:val="single" w:sz="6" w:space="0" w:color="auto"/>
            </w:tcBorders>
          </w:tcPr>
          <w:p w:rsidR="001779BC" w:rsidRPr="00FA3856" w:rsidRDefault="00757502" w:rsidP="001779BC">
            <w:pPr>
              <w:pStyle w:val="PSDS-CorpodeTexto0"/>
              <w:suppressAutoHyphens w:val="0"/>
              <w:rPr>
                <w:rFonts w:ascii="Times New Roman" w:hAnsi="Times New Roman"/>
                <w:b/>
                <w:bCs/>
              </w:rPr>
            </w:pPr>
            <w:r w:rsidRPr="00FA3856">
              <w:rPr>
                <w:rFonts w:ascii="Times New Roman" w:hAnsi="Times New Roman"/>
                <w:b/>
                <w:bCs/>
              </w:rPr>
              <w:t>18</w:t>
            </w:r>
          </w:p>
        </w:tc>
        <w:tc>
          <w:tcPr>
            <w:tcW w:w="2239" w:type="dxa"/>
            <w:tcBorders>
              <w:top w:val="single" w:sz="6" w:space="0" w:color="auto"/>
              <w:left w:val="single" w:sz="6" w:space="0" w:color="auto"/>
              <w:bottom w:val="single" w:sz="6" w:space="0" w:color="auto"/>
              <w:right w:val="single" w:sz="6" w:space="0" w:color="auto"/>
            </w:tcBorders>
          </w:tcPr>
          <w:p w:rsidR="001779BC" w:rsidRPr="00FA3856" w:rsidRDefault="001779BC" w:rsidP="001779BC">
            <w:pPr>
              <w:pStyle w:val="PSDS-CorpodeTexto0"/>
              <w:rPr>
                <w:rFonts w:ascii="Times New Roman" w:hAnsi="Times New Roman"/>
                <w:b/>
                <w:bCs/>
                <w:lang w:val="en-US"/>
              </w:rPr>
            </w:pPr>
            <w:r w:rsidRPr="00FA3856">
              <w:rPr>
                <w:rFonts w:ascii="Times New Roman" w:hAnsi="Times New Roman"/>
                <w:lang w:val="en-US"/>
              </w:rPr>
              <w:t>IND_ATIV_EXT</w:t>
            </w:r>
          </w:p>
        </w:tc>
        <w:tc>
          <w:tcPr>
            <w:tcW w:w="12929" w:type="dxa"/>
            <w:tcBorders>
              <w:top w:val="single" w:sz="6" w:space="0" w:color="auto"/>
              <w:left w:val="single" w:sz="6" w:space="0" w:color="auto"/>
              <w:bottom w:val="single" w:sz="6" w:space="0" w:color="auto"/>
              <w:right w:val="single" w:sz="6" w:space="0" w:color="auto"/>
            </w:tcBorders>
          </w:tcPr>
          <w:p w:rsidR="001779BC" w:rsidRPr="00FA3856" w:rsidRDefault="007D0E74" w:rsidP="00C73832">
            <w:pPr>
              <w:pStyle w:val="PSDS-CorpodeTexto0"/>
              <w:tabs>
                <w:tab w:val="center" w:pos="5613"/>
              </w:tabs>
              <w:jc w:val="both"/>
              <w:rPr>
                <w:rFonts w:ascii="Times New Roman" w:hAnsi="Times New Roman"/>
              </w:rPr>
            </w:pPr>
            <w:hyperlink w:anchor="REGRA_PREENCHIMENTO_ATIV_13" w:history="1">
              <w:r w:rsidR="001779BC" w:rsidRPr="00FA3856">
                <w:rPr>
                  <w:rStyle w:val="Hyperlink"/>
                  <w:rFonts w:ascii="Times New Roman" w:hAnsi="Times New Roman"/>
                  <w:b/>
                  <w:color w:val="auto"/>
                </w:rPr>
                <w:t>REGRA_PREENCHIMENTO</w:t>
              </w:r>
              <w:r w:rsidR="001779BC" w:rsidRPr="00FA3856">
                <w:rPr>
                  <w:rStyle w:val="Hyperlink"/>
                  <w:rFonts w:ascii="Times New Roman" w:hAnsi="Times New Roman"/>
                  <w:b/>
                  <w:color w:val="auto"/>
                  <w:lang w:val="pt-PT"/>
                </w:rPr>
                <w:t>_ATIV_13</w:t>
              </w:r>
            </w:hyperlink>
            <w:r w:rsidR="00C73832" w:rsidRPr="00FA3856">
              <w:rPr>
                <w:rFonts w:ascii="Times New Roman" w:hAnsi="Times New Roman"/>
                <w:b/>
              </w:rPr>
              <w:t xml:space="preserve">: </w:t>
            </w:r>
            <w:r w:rsidR="00C73832" w:rsidRPr="00FA3856">
              <w:rPr>
                <w:rFonts w:ascii="Times New Roman" w:hAnsi="Times New Roman"/>
              </w:rPr>
              <w:t>Verifica, quando 0010_TIP_ENT é igual a “13”</w:t>
            </w:r>
            <w:r w:rsidR="00DF0640" w:rsidRPr="00FA3856">
              <w:rPr>
                <w:rFonts w:ascii="Times New Roman" w:hAnsi="Times New Roman"/>
              </w:rPr>
              <w:t xml:space="preserve"> (Fifa e Entidades Relacionadas)</w:t>
            </w:r>
            <w:r w:rsidR="00BF3C79" w:rsidRPr="00FA3856">
              <w:rPr>
                <w:rFonts w:ascii="Times New Roman" w:hAnsi="Times New Roman"/>
              </w:rPr>
              <w:t xml:space="preserve">, se 0020.IND_ATIV_EXT </w:t>
            </w:r>
            <w:r w:rsidR="00C73832" w:rsidRPr="00FA3856">
              <w:rPr>
                <w:rFonts w:ascii="Times New Roman" w:hAnsi="Times New Roman"/>
              </w:rPr>
              <w:t>é igual a “N”.</w:t>
            </w:r>
          </w:p>
          <w:p w:rsidR="00315733" w:rsidRPr="00FA3856" w:rsidRDefault="00315733" w:rsidP="00C73832">
            <w:pPr>
              <w:pStyle w:val="PSDS-CorpodeTexto0"/>
              <w:tabs>
                <w:tab w:val="center" w:pos="5613"/>
              </w:tabs>
              <w:jc w:val="both"/>
              <w:rPr>
                <w:rFonts w:ascii="Times New Roman" w:hAnsi="Times New Roman"/>
              </w:rPr>
            </w:pPr>
          </w:p>
          <w:p w:rsidR="00361BA8" w:rsidRPr="00FA3856" w:rsidRDefault="007D0E74" w:rsidP="00A87784">
            <w:pPr>
              <w:pStyle w:val="PSDS-CorpodeTexto0"/>
              <w:tabs>
                <w:tab w:val="center" w:pos="5613"/>
              </w:tabs>
              <w:jc w:val="both"/>
              <w:rPr>
                <w:rFonts w:ascii="Times New Roman" w:hAnsi="Times New Roman"/>
              </w:rPr>
            </w:pPr>
            <w:hyperlink w:anchor="REGRA_PREENCHIMENTO_IND_COM_EXP" w:history="1">
              <w:r w:rsidR="00315733" w:rsidRPr="00FA3856">
                <w:rPr>
                  <w:rStyle w:val="Hyperlink"/>
                  <w:rFonts w:ascii="Times New Roman" w:hAnsi="Times New Roman"/>
                  <w:b/>
                  <w:color w:val="auto"/>
                  <w:lang w:val="pt-PT"/>
                </w:rPr>
                <w:t>REGRA_PREENCHIMENTO_PJ</w:t>
              </w:r>
            </w:hyperlink>
            <w:r w:rsidR="00315733" w:rsidRPr="00FA3856">
              <w:rPr>
                <w:rFonts w:ascii="Times New Roman" w:hAnsi="Times New Roman"/>
                <w:b/>
                <w:lang w:val="pt-PT"/>
              </w:rPr>
              <w:t xml:space="preserve">: </w:t>
            </w:r>
            <w:r w:rsidR="00315733" w:rsidRPr="00FA3856">
              <w:rPr>
                <w:rFonts w:ascii="Times New Roman" w:hAnsi="Times New Roman"/>
              </w:rPr>
              <w:t>Verifica, quando 0010.COD_QUALI</w:t>
            </w:r>
            <w:r w:rsidR="00B67B81" w:rsidRPr="00FA3856">
              <w:rPr>
                <w:rFonts w:ascii="Times New Roman" w:hAnsi="Times New Roman"/>
              </w:rPr>
              <w:t>F_PJ diferente de “01</w:t>
            </w:r>
            <w:r w:rsidR="00315733" w:rsidRPr="00FA3856">
              <w:rPr>
                <w:rFonts w:ascii="Times New Roman" w:hAnsi="Times New Roman"/>
              </w:rPr>
              <w:t>” (PJ em G</w:t>
            </w:r>
            <w:r w:rsidR="00BF3C79" w:rsidRPr="00FA3856">
              <w:rPr>
                <w:rFonts w:ascii="Times New Roman" w:hAnsi="Times New Roman"/>
              </w:rPr>
              <w:t xml:space="preserve">eral), se 0020.IND_ATIV_EXT </w:t>
            </w:r>
            <w:r w:rsidR="00A87784" w:rsidRPr="00FA3856">
              <w:rPr>
                <w:rFonts w:ascii="Times New Roman" w:hAnsi="Times New Roman"/>
              </w:rPr>
              <w:t>é igual a “N”</w:t>
            </w:r>
            <w:r w:rsidR="00315733" w:rsidRPr="00FA3856">
              <w:rPr>
                <w:rFonts w:ascii="Times New Roman" w:hAnsi="Times New Roman"/>
              </w:rPr>
              <w:t>.</w:t>
            </w:r>
          </w:p>
        </w:tc>
        <w:tc>
          <w:tcPr>
            <w:tcW w:w="717" w:type="dxa"/>
            <w:tcBorders>
              <w:top w:val="single" w:sz="6" w:space="0" w:color="auto"/>
              <w:left w:val="single" w:sz="6" w:space="0" w:color="auto"/>
              <w:bottom w:val="single" w:sz="6" w:space="0" w:color="auto"/>
              <w:right w:val="single" w:sz="6" w:space="0" w:color="auto"/>
            </w:tcBorders>
          </w:tcPr>
          <w:p w:rsidR="001779BC" w:rsidRPr="00FA3856" w:rsidRDefault="00DF0640" w:rsidP="001779BC">
            <w:pPr>
              <w:pStyle w:val="PSDS-CorpodeTexto0"/>
              <w:rPr>
                <w:rFonts w:ascii="Times New Roman" w:hAnsi="Times New Roman"/>
                <w:bCs/>
                <w:lang w:val="en-US"/>
              </w:rPr>
            </w:pPr>
            <w:r w:rsidRPr="00FA3856">
              <w:rPr>
                <w:rFonts w:ascii="Times New Roman" w:hAnsi="Times New Roman"/>
                <w:bCs/>
                <w:lang w:val="en-US"/>
              </w:rPr>
              <w:t>Erro</w:t>
            </w:r>
          </w:p>
          <w:p w:rsidR="00C5399F" w:rsidRPr="00FA3856" w:rsidRDefault="00C5399F" w:rsidP="001779BC">
            <w:pPr>
              <w:pStyle w:val="PSDS-CorpodeTexto0"/>
              <w:rPr>
                <w:rFonts w:ascii="Times New Roman" w:hAnsi="Times New Roman"/>
                <w:bCs/>
                <w:lang w:val="en-US"/>
              </w:rPr>
            </w:pPr>
          </w:p>
          <w:p w:rsidR="00C5399F" w:rsidRPr="00FA3856" w:rsidRDefault="00C5399F" w:rsidP="001779BC">
            <w:pPr>
              <w:pStyle w:val="PSDS-CorpodeTexto0"/>
              <w:rPr>
                <w:rFonts w:ascii="Times New Roman" w:hAnsi="Times New Roman"/>
                <w:bCs/>
                <w:lang w:val="en-US"/>
              </w:rPr>
            </w:pPr>
          </w:p>
          <w:p w:rsidR="00C5399F" w:rsidRPr="00FA3856" w:rsidRDefault="00C5399F" w:rsidP="001779BC">
            <w:pPr>
              <w:pStyle w:val="PSDS-CorpodeTexto0"/>
              <w:rPr>
                <w:rFonts w:ascii="Times New Roman" w:hAnsi="Times New Roman"/>
                <w:bCs/>
                <w:lang w:val="en-US"/>
              </w:rPr>
            </w:pPr>
            <w:r w:rsidRPr="00FA3856">
              <w:rPr>
                <w:rFonts w:ascii="Times New Roman" w:hAnsi="Times New Roman"/>
                <w:bCs/>
                <w:lang w:val="en-US"/>
              </w:rPr>
              <w:t>Erro</w:t>
            </w:r>
          </w:p>
        </w:tc>
      </w:tr>
      <w:tr w:rsidR="001779BC" w:rsidRPr="00FA3856" w:rsidTr="001A297B">
        <w:trPr>
          <w:jc w:val="center"/>
        </w:trPr>
        <w:tc>
          <w:tcPr>
            <w:tcW w:w="485" w:type="dxa"/>
            <w:tcBorders>
              <w:top w:val="single" w:sz="6" w:space="0" w:color="auto"/>
              <w:left w:val="single" w:sz="6" w:space="0" w:color="auto"/>
              <w:bottom w:val="single" w:sz="6" w:space="0" w:color="auto"/>
              <w:right w:val="single" w:sz="6" w:space="0" w:color="auto"/>
            </w:tcBorders>
          </w:tcPr>
          <w:p w:rsidR="001779BC" w:rsidRPr="00FA3856" w:rsidRDefault="00757502" w:rsidP="001779BC">
            <w:pPr>
              <w:pStyle w:val="PSDS-CorpodeTexto0"/>
              <w:suppressAutoHyphens w:val="0"/>
              <w:rPr>
                <w:rFonts w:ascii="Times New Roman" w:hAnsi="Times New Roman"/>
                <w:b/>
                <w:bCs/>
                <w:lang w:val="pt-PT"/>
              </w:rPr>
            </w:pPr>
            <w:r w:rsidRPr="00FA3856">
              <w:rPr>
                <w:rFonts w:ascii="Times New Roman" w:hAnsi="Times New Roman"/>
                <w:b/>
                <w:bCs/>
                <w:lang w:val="pt-PT"/>
              </w:rPr>
              <w:t>19</w:t>
            </w:r>
          </w:p>
        </w:tc>
        <w:tc>
          <w:tcPr>
            <w:tcW w:w="2239" w:type="dxa"/>
            <w:tcBorders>
              <w:top w:val="single" w:sz="6" w:space="0" w:color="auto"/>
              <w:left w:val="single" w:sz="6" w:space="0" w:color="auto"/>
              <w:bottom w:val="single" w:sz="6" w:space="0" w:color="auto"/>
              <w:right w:val="single" w:sz="6" w:space="0" w:color="auto"/>
            </w:tcBorders>
          </w:tcPr>
          <w:p w:rsidR="001779BC" w:rsidRPr="00FA3856" w:rsidRDefault="001779BC" w:rsidP="001779BC">
            <w:pPr>
              <w:pStyle w:val="PSDS-CorpodeTexto0"/>
              <w:rPr>
                <w:rFonts w:ascii="Times New Roman" w:hAnsi="Times New Roman"/>
                <w:b/>
                <w:bCs/>
                <w:lang w:val="pt-PT"/>
              </w:rPr>
            </w:pPr>
            <w:r w:rsidRPr="00FA3856">
              <w:rPr>
                <w:rFonts w:ascii="Times New Roman" w:hAnsi="Times New Roman"/>
              </w:rPr>
              <w:t>IND_COM_EXP</w:t>
            </w:r>
          </w:p>
        </w:tc>
        <w:tc>
          <w:tcPr>
            <w:tcW w:w="12929" w:type="dxa"/>
            <w:tcBorders>
              <w:top w:val="single" w:sz="6" w:space="0" w:color="auto"/>
              <w:left w:val="single" w:sz="6" w:space="0" w:color="auto"/>
              <w:bottom w:val="single" w:sz="6" w:space="0" w:color="auto"/>
              <w:right w:val="single" w:sz="6" w:space="0" w:color="auto"/>
            </w:tcBorders>
          </w:tcPr>
          <w:p w:rsidR="001779BC" w:rsidRPr="00FA3856" w:rsidRDefault="007D0E74" w:rsidP="001779BC">
            <w:pPr>
              <w:pStyle w:val="PSDS-CorpodeTexto0"/>
              <w:jc w:val="both"/>
              <w:rPr>
                <w:rFonts w:ascii="Times New Roman" w:hAnsi="Times New Roman"/>
                <w:b/>
              </w:rPr>
            </w:pPr>
            <w:hyperlink w:anchor="REGRA_PREENCHIMENTO_IMUNE_ISENTA" w:history="1">
              <w:r w:rsidR="001779BC" w:rsidRPr="00FA3856">
                <w:rPr>
                  <w:rStyle w:val="Hyperlink"/>
                  <w:rFonts w:ascii="Times New Roman" w:hAnsi="Times New Roman"/>
                  <w:b/>
                  <w:color w:val="auto"/>
                </w:rPr>
                <w:t>REGRA_PREENCHIMENTO_IMUNE_ISENTA</w:t>
              </w:r>
            </w:hyperlink>
            <w:r w:rsidR="00DF0640" w:rsidRPr="00FA3856">
              <w:rPr>
                <w:rFonts w:ascii="Times New Roman" w:hAnsi="Times New Roman"/>
                <w:b/>
              </w:rPr>
              <w:t xml:space="preserve">: </w:t>
            </w:r>
            <w:r w:rsidR="00DF0640" w:rsidRPr="00FA3856">
              <w:rPr>
                <w:rFonts w:ascii="Times New Roman" w:hAnsi="Times New Roman"/>
                <w:lang w:val="pt-PT"/>
              </w:rPr>
              <w:t>Verifica, quando 0010.</w:t>
            </w:r>
            <w:r w:rsidR="00BF3C79" w:rsidRPr="00FA3856">
              <w:rPr>
                <w:rStyle w:val="Hyperlink"/>
                <w:rFonts w:ascii="Times New Roman" w:hAnsi="Times New Roman"/>
                <w:bCs/>
                <w:color w:val="auto"/>
                <w:lang w:val="pt-PT"/>
              </w:rPr>
              <w:t xml:space="preserve">FORMA_TRIB </w:t>
            </w:r>
            <w:r w:rsidR="00A87784" w:rsidRPr="00FA3856">
              <w:rPr>
                <w:rStyle w:val="Hyperlink"/>
                <w:rFonts w:ascii="Times New Roman" w:hAnsi="Times New Roman"/>
                <w:bCs/>
                <w:color w:val="auto"/>
                <w:lang w:val="pt-PT"/>
              </w:rPr>
              <w:t>é</w:t>
            </w:r>
            <w:r w:rsidR="00DF0640" w:rsidRPr="00FA3856">
              <w:rPr>
                <w:rStyle w:val="Hyperlink"/>
                <w:rFonts w:ascii="Times New Roman" w:hAnsi="Times New Roman"/>
                <w:bCs/>
                <w:color w:val="auto"/>
                <w:lang w:val="pt-PT"/>
              </w:rPr>
              <w:t xml:space="preserve"> igual a “8” (Imune de IRPJ) ou “9” (Isento do</w:t>
            </w:r>
            <w:r w:rsidR="00BF3C79" w:rsidRPr="00FA3856">
              <w:rPr>
                <w:rStyle w:val="Hyperlink"/>
                <w:rFonts w:ascii="Times New Roman" w:hAnsi="Times New Roman"/>
                <w:bCs/>
                <w:color w:val="auto"/>
                <w:lang w:val="pt-PT"/>
              </w:rPr>
              <w:t xml:space="preserve"> IPRJ), se 0020.IND_COM_EXP </w:t>
            </w:r>
            <w:r w:rsidR="00DF0640" w:rsidRPr="00FA3856">
              <w:rPr>
                <w:rStyle w:val="Hyperlink"/>
                <w:rFonts w:ascii="Times New Roman" w:hAnsi="Times New Roman"/>
                <w:bCs/>
                <w:color w:val="auto"/>
                <w:lang w:val="pt-PT"/>
              </w:rPr>
              <w:t>é igual a “N”.</w:t>
            </w:r>
          </w:p>
          <w:p w:rsidR="00C5399F" w:rsidRPr="00FA3856" w:rsidRDefault="00C5399F" w:rsidP="00632101">
            <w:pPr>
              <w:pStyle w:val="PSDS-CorpodeTexto0"/>
              <w:jc w:val="both"/>
              <w:rPr>
                <w:rFonts w:ascii="Times New Roman" w:hAnsi="Times New Roman"/>
              </w:rPr>
            </w:pPr>
          </w:p>
          <w:p w:rsidR="001779BC" w:rsidRPr="00FA3856" w:rsidRDefault="007D0E74" w:rsidP="00A87784">
            <w:pPr>
              <w:pStyle w:val="PSDS-CorpodeTexto0"/>
              <w:jc w:val="both"/>
              <w:rPr>
                <w:rFonts w:ascii="Times New Roman" w:hAnsi="Times New Roman"/>
                <w:b/>
                <w:lang w:val="pt-PT"/>
              </w:rPr>
            </w:pPr>
            <w:hyperlink w:anchor="REGRA_PREENCHIMENTO_IND_COM_EXP" w:history="1">
              <w:r w:rsidR="001779BC" w:rsidRPr="00FA3856">
                <w:rPr>
                  <w:rStyle w:val="Hyperlink"/>
                  <w:rFonts w:ascii="Times New Roman" w:hAnsi="Times New Roman"/>
                  <w:b/>
                  <w:color w:val="auto"/>
                  <w:lang w:val="pt-PT"/>
                </w:rPr>
                <w:t>REGRA_PREENCHIMENTO_PJ_00</w:t>
              </w:r>
            </w:hyperlink>
            <w:r w:rsidR="00632101" w:rsidRPr="00FA3856">
              <w:rPr>
                <w:rFonts w:ascii="Times New Roman" w:hAnsi="Times New Roman"/>
                <w:b/>
                <w:lang w:val="pt-PT"/>
              </w:rPr>
              <w:t xml:space="preserve">: </w:t>
            </w:r>
            <w:r w:rsidR="00632101" w:rsidRPr="00FA3856">
              <w:rPr>
                <w:rFonts w:ascii="Times New Roman" w:hAnsi="Times New Roman"/>
              </w:rPr>
              <w:t>Verifica, quando 0010.COD_QUALI</w:t>
            </w:r>
            <w:r w:rsidR="00BF3C79" w:rsidRPr="00FA3856">
              <w:rPr>
                <w:rFonts w:ascii="Times New Roman" w:hAnsi="Times New Roman"/>
              </w:rPr>
              <w:t xml:space="preserve">F_PJ </w:t>
            </w:r>
            <w:r w:rsidR="00A87784" w:rsidRPr="00FA3856">
              <w:rPr>
                <w:rFonts w:ascii="Times New Roman" w:hAnsi="Times New Roman"/>
              </w:rPr>
              <w:t>é</w:t>
            </w:r>
            <w:r w:rsidR="00B67B81" w:rsidRPr="00FA3856">
              <w:rPr>
                <w:rFonts w:ascii="Times New Roman" w:hAnsi="Times New Roman"/>
              </w:rPr>
              <w:t xml:space="preserve"> diferente de “01</w:t>
            </w:r>
            <w:r w:rsidR="00632101" w:rsidRPr="00FA3856">
              <w:rPr>
                <w:rFonts w:ascii="Times New Roman" w:hAnsi="Times New Roman"/>
              </w:rPr>
              <w:t xml:space="preserve">” (PJ em Geral), se </w:t>
            </w:r>
            <w:r w:rsidR="00BF3C79" w:rsidRPr="00FA3856">
              <w:rPr>
                <w:rFonts w:ascii="Times New Roman" w:hAnsi="Times New Roman"/>
              </w:rPr>
              <w:t>0020.</w:t>
            </w:r>
            <w:r w:rsidR="00A87784" w:rsidRPr="00FA3856">
              <w:rPr>
                <w:rFonts w:ascii="Times New Roman" w:hAnsi="Times New Roman"/>
              </w:rPr>
              <w:t xml:space="preserve">IND_COM_EXP </w:t>
            </w:r>
            <w:r w:rsidR="00632101" w:rsidRPr="00FA3856">
              <w:rPr>
                <w:rFonts w:ascii="Times New Roman" w:hAnsi="Times New Roman"/>
              </w:rPr>
              <w:t>é igual a</w:t>
            </w:r>
            <w:r w:rsidR="00A87784" w:rsidRPr="00FA3856">
              <w:rPr>
                <w:rFonts w:ascii="Times New Roman" w:hAnsi="Times New Roman"/>
              </w:rPr>
              <w:t xml:space="preserve"> “N”</w:t>
            </w:r>
            <w:r w:rsidR="00632101" w:rsidRPr="00FA3856">
              <w:rPr>
                <w:rFonts w:ascii="Times New Roman" w:hAnsi="Times New Roman"/>
              </w:rPr>
              <w:t>.</w:t>
            </w:r>
          </w:p>
        </w:tc>
        <w:tc>
          <w:tcPr>
            <w:tcW w:w="717" w:type="dxa"/>
            <w:tcBorders>
              <w:top w:val="single" w:sz="6" w:space="0" w:color="auto"/>
              <w:left w:val="single" w:sz="6" w:space="0" w:color="auto"/>
              <w:bottom w:val="single" w:sz="6" w:space="0" w:color="auto"/>
              <w:right w:val="single" w:sz="6" w:space="0" w:color="auto"/>
            </w:tcBorders>
          </w:tcPr>
          <w:p w:rsidR="001779BC" w:rsidRPr="00FA3856" w:rsidRDefault="00DF0640" w:rsidP="001779BC">
            <w:pPr>
              <w:pStyle w:val="PSDS-CorpodeTexto0"/>
              <w:rPr>
                <w:rFonts w:ascii="Times New Roman" w:hAnsi="Times New Roman"/>
                <w:bCs/>
                <w:lang w:val="pt-PT"/>
              </w:rPr>
            </w:pPr>
            <w:r w:rsidRPr="00FA3856">
              <w:rPr>
                <w:rFonts w:ascii="Times New Roman" w:hAnsi="Times New Roman"/>
                <w:bCs/>
                <w:lang w:val="pt-PT"/>
              </w:rPr>
              <w:t>Erro</w:t>
            </w:r>
          </w:p>
          <w:p w:rsidR="00C5399F" w:rsidRPr="00FA3856" w:rsidRDefault="00C5399F" w:rsidP="001779BC">
            <w:pPr>
              <w:pStyle w:val="PSDS-CorpodeTexto0"/>
              <w:rPr>
                <w:rFonts w:ascii="Times New Roman" w:hAnsi="Times New Roman"/>
                <w:bCs/>
                <w:lang w:val="pt-PT"/>
              </w:rPr>
            </w:pPr>
          </w:p>
          <w:p w:rsidR="00C5399F" w:rsidRPr="00FA3856" w:rsidRDefault="00C5399F" w:rsidP="001779BC">
            <w:pPr>
              <w:pStyle w:val="PSDS-CorpodeTexto0"/>
              <w:rPr>
                <w:rFonts w:ascii="Times New Roman" w:hAnsi="Times New Roman"/>
                <w:bCs/>
                <w:lang w:val="pt-PT"/>
              </w:rPr>
            </w:pPr>
          </w:p>
          <w:p w:rsidR="00C5399F" w:rsidRPr="00FA3856" w:rsidRDefault="00C5399F" w:rsidP="001779BC">
            <w:pPr>
              <w:pStyle w:val="PSDS-CorpodeTexto0"/>
              <w:rPr>
                <w:rFonts w:ascii="Times New Roman" w:hAnsi="Times New Roman"/>
                <w:bCs/>
                <w:lang w:val="pt-PT"/>
              </w:rPr>
            </w:pPr>
            <w:r w:rsidRPr="00FA3856">
              <w:rPr>
                <w:rFonts w:ascii="Times New Roman" w:hAnsi="Times New Roman"/>
                <w:bCs/>
                <w:lang w:val="pt-PT"/>
              </w:rPr>
              <w:t>Erro</w:t>
            </w:r>
          </w:p>
        </w:tc>
      </w:tr>
      <w:tr w:rsidR="001779BC" w:rsidRPr="00FA3856" w:rsidTr="001A297B">
        <w:trPr>
          <w:jc w:val="center"/>
        </w:trPr>
        <w:tc>
          <w:tcPr>
            <w:tcW w:w="485" w:type="dxa"/>
            <w:tcBorders>
              <w:top w:val="single" w:sz="6" w:space="0" w:color="auto"/>
              <w:left w:val="single" w:sz="6" w:space="0" w:color="auto"/>
              <w:bottom w:val="single" w:sz="6" w:space="0" w:color="auto"/>
              <w:right w:val="single" w:sz="6" w:space="0" w:color="auto"/>
            </w:tcBorders>
          </w:tcPr>
          <w:p w:rsidR="001779BC" w:rsidRPr="00FA3856" w:rsidRDefault="00757502" w:rsidP="001779BC">
            <w:pPr>
              <w:pStyle w:val="PSDS-CorpodeTexto0"/>
              <w:suppressAutoHyphens w:val="0"/>
              <w:rPr>
                <w:rFonts w:ascii="Times New Roman" w:hAnsi="Times New Roman"/>
                <w:b/>
                <w:bCs/>
              </w:rPr>
            </w:pPr>
            <w:r w:rsidRPr="00FA3856">
              <w:rPr>
                <w:rFonts w:ascii="Times New Roman" w:hAnsi="Times New Roman"/>
                <w:b/>
                <w:bCs/>
              </w:rPr>
              <w:t>20</w:t>
            </w:r>
          </w:p>
        </w:tc>
        <w:tc>
          <w:tcPr>
            <w:tcW w:w="2239" w:type="dxa"/>
            <w:tcBorders>
              <w:top w:val="single" w:sz="6" w:space="0" w:color="auto"/>
              <w:left w:val="single" w:sz="6" w:space="0" w:color="auto"/>
              <w:bottom w:val="single" w:sz="6" w:space="0" w:color="auto"/>
              <w:right w:val="single" w:sz="6" w:space="0" w:color="auto"/>
            </w:tcBorders>
          </w:tcPr>
          <w:p w:rsidR="001779BC" w:rsidRPr="00FA3856" w:rsidRDefault="001779BC" w:rsidP="001779BC">
            <w:pPr>
              <w:pStyle w:val="PSDS-CorpodeTexto0"/>
              <w:rPr>
                <w:rFonts w:ascii="Times New Roman" w:hAnsi="Times New Roman"/>
                <w:b/>
                <w:bCs/>
                <w:lang w:val="en-US"/>
              </w:rPr>
            </w:pPr>
            <w:r w:rsidRPr="00FA3856">
              <w:rPr>
                <w:rFonts w:ascii="Times New Roman" w:hAnsi="Times New Roman"/>
                <w:lang w:val="en-US"/>
              </w:rPr>
              <w:t>IND_PGTO_EXT</w:t>
            </w:r>
          </w:p>
        </w:tc>
        <w:tc>
          <w:tcPr>
            <w:tcW w:w="12929" w:type="dxa"/>
            <w:tcBorders>
              <w:top w:val="single" w:sz="6" w:space="0" w:color="auto"/>
              <w:left w:val="single" w:sz="6" w:space="0" w:color="auto"/>
              <w:bottom w:val="single" w:sz="6" w:space="0" w:color="auto"/>
              <w:right w:val="single" w:sz="6" w:space="0" w:color="auto"/>
            </w:tcBorders>
          </w:tcPr>
          <w:p w:rsidR="001779BC" w:rsidRPr="00FA3856" w:rsidRDefault="007D0E74" w:rsidP="00A87784">
            <w:pPr>
              <w:pStyle w:val="PSDS-CorpodeTexto0"/>
              <w:tabs>
                <w:tab w:val="center" w:pos="5613"/>
              </w:tabs>
              <w:jc w:val="both"/>
              <w:rPr>
                <w:rFonts w:ascii="Times New Roman" w:hAnsi="Times New Roman"/>
                <w:b/>
              </w:rPr>
            </w:pPr>
            <w:hyperlink w:anchor="REGRA_PREENCHIMENTO_ATIV_13" w:history="1">
              <w:r w:rsidR="001779BC" w:rsidRPr="00FA3856">
                <w:rPr>
                  <w:rStyle w:val="Hyperlink"/>
                  <w:rFonts w:ascii="Times New Roman" w:hAnsi="Times New Roman"/>
                  <w:b/>
                  <w:color w:val="auto"/>
                </w:rPr>
                <w:t>REGRA_PREENCHIMENTO</w:t>
              </w:r>
              <w:r w:rsidR="001779BC" w:rsidRPr="00FA3856">
                <w:rPr>
                  <w:rStyle w:val="Hyperlink"/>
                  <w:rFonts w:ascii="Times New Roman" w:hAnsi="Times New Roman"/>
                  <w:b/>
                  <w:color w:val="auto"/>
                  <w:lang w:val="pt-PT"/>
                </w:rPr>
                <w:t>_ATIV_13</w:t>
              </w:r>
            </w:hyperlink>
            <w:r w:rsidR="00C73832" w:rsidRPr="00FA3856">
              <w:rPr>
                <w:rFonts w:ascii="Times New Roman" w:hAnsi="Times New Roman"/>
                <w:b/>
              </w:rPr>
              <w:t xml:space="preserve">: </w:t>
            </w:r>
            <w:r w:rsidR="00C73832" w:rsidRPr="00FA3856">
              <w:rPr>
                <w:rFonts w:ascii="Times New Roman" w:hAnsi="Times New Roman"/>
              </w:rPr>
              <w:t>Verifica, quando 0010_TIP_ENT é igual a “13”</w:t>
            </w:r>
            <w:r w:rsidR="00DF0640" w:rsidRPr="00FA3856">
              <w:rPr>
                <w:rFonts w:ascii="Times New Roman" w:hAnsi="Times New Roman"/>
              </w:rPr>
              <w:t xml:space="preserve"> (Fifa e Entidades Relacionadas)</w:t>
            </w:r>
            <w:r w:rsidR="00A87784" w:rsidRPr="00FA3856">
              <w:rPr>
                <w:rFonts w:ascii="Times New Roman" w:hAnsi="Times New Roman"/>
              </w:rPr>
              <w:t xml:space="preserve">, se 0020.IND_PGTO_EXT </w:t>
            </w:r>
            <w:r w:rsidR="00C73832" w:rsidRPr="00FA3856">
              <w:rPr>
                <w:rFonts w:ascii="Times New Roman" w:hAnsi="Times New Roman"/>
              </w:rPr>
              <w:t>é igual a “N”.</w:t>
            </w:r>
          </w:p>
        </w:tc>
        <w:tc>
          <w:tcPr>
            <w:tcW w:w="717" w:type="dxa"/>
            <w:tcBorders>
              <w:top w:val="single" w:sz="6" w:space="0" w:color="auto"/>
              <w:left w:val="single" w:sz="6" w:space="0" w:color="auto"/>
              <w:bottom w:val="single" w:sz="6" w:space="0" w:color="auto"/>
              <w:right w:val="single" w:sz="6" w:space="0" w:color="auto"/>
            </w:tcBorders>
          </w:tcPr>
          <w:p w:rsidR="001779BC" w:rsidRPr="00FA3856" w:rsidRDefault="00DF0640" w:rsidP="001779BC">
            <w:pPr>
              <w:pStyle w:val="PSDS-CorpodeTexto0"/>
              <w:rPr>
                <w:rFonts w:ascii="Times New Roman" w:hAnsi="Times New Roman"/>
                <w:bCs/>
                <w:lang w:val="en-US"/>
              </w:rPr>
            </w:pPr>
            <w:r w:rsidRPr="00FA3856">
              <w:rPr>
                <w:rFonts w:ascii="Times New Roman" w:hAnsi="Times New Roman"/>
                <w:bCs/>
                <w:lang w:val="en-US"/>
              </w:rPr>
              <w:t>Erro</w:t>
            </w:r>
          </w:p>
        </w:tc>
      </w:tr>
      <w:tr w:rsidR="001779BC" w:rsidRPr="00FA3856" w:rsidTr="001A297B">
        <w:trPr>
          <w:jc w:val="center"/>
        </w:trPr>
        <w:tc>
          <w:tcPr>
            <w:tcW w:w="485" w:type="dxa"/>
            <w:tcBorders>
              <w:top w:val="single" w:sz="6" w:space="0" w:color="auto"/>
              <w:left w:val="single" w:sz="6" w:space="0" w:color="auto"/>
              <w:bottom w:val="single" w:sz="6" w:space="0" w:color="auto"/>
              <w:right w:val="single" w:sz="6" w:space="0" w:color="auto"/>
            </w:tcBorders>
          </w:tcPr>
          <w:p w:rsidR="001779BC" w:rsidRPr="00FA3856" w:rsidRDefault="00757502" w:rsidP="001779BC">
            <w:pPr>
              <w:pStyle w:val="PSDS-CorpodeTexto0"/>
              <w:suppressAutoHyphens w:val="0"/>
              <w:rPr>
                <w:rFonts w:ascii="Times New Roman" w:hAnsi="Times New Roman"/>
                <w:b/>
                <w:bCs/>
                <w:lang w:val="pt-PT"/>
              </w:rPr>
            </w:pPr>
            <w:r w:rsidRPr="00FA3856">
              <w:rPr>
                <w:rFonts w:ascii="Times New Roman" w:hAnsi="Times New Roman"/>
                <w:b/>
                <w:bCs/>
                <w:lang w:val="pt-PT"/>
              </w:rPr>
              <w:t>21</w:t>
            </w:r>
          </w:p>
        </w:tc>
        <w:tc>
          <w:tcPr>
            <w:tcW w:w="2239" w:type="dxa"/>
            <w:tcBorders>
              <w:top w:val="single" w:sz="6" w:space="0" w:color="auto"/>
              <w:left w:val="single" w:sz="6" w:space="0" w:color="auto"/>
              <w:bottom w:val="single" w:sz="6" w:space="0" w:color="auto"/>
              <w:right w:val="single" w:sz="6" w:space="0" w:color="auto"/>
            </w:tcBorders>
          </w:tcPr>
          <w:p w:rsidR="001779BC" w:rsidRPr="00FA3856" w:rsidRDefault="001779BC" w:rsidP="001779BC">
            <w:pPr>
              <w:pStyle w:val="PSDS-CorpodeTexto0"/>
              <w:rPr>
                <w:rFonts w:ascii="Times New Roman" w:hAnsi="Times New Roman"/>
                <w:b/>
                <w:bCs/>
                <w:lang w:val="pt-PT"/>
              </w:rPr>
            </w:pPr>
            <w:r w:rsidRPr="00FA3856">
              <w:rPr>
                <w:rFonts w:ascii="Times New Roman" w:hAnsi="Times New Roman"/>
                <w:lang w:val="pt-PT"/>
              </w:rPr>
              <w:t>IND_</w:t>
            </w:r>
            <w:r w:rsidRPr="00FA3856">
              <w:rPr>
                <w:rFonts w:ascii="Times New Roman" w:hAnsi="Times New Roman"/>
              </w:rPr>
              <w:t>E-COM_TI</w:t>
            </w:r>
          </w:p>
        </w:tc>
        <w:tc>
          <w:tcPr>
            <w:tcW w:w="12929" w:type="dxa"/>
            <w:tcBorders>
              <w:top w:val="single" w:sz="6" w:space="0" w:color="auto"/>
              <w:left w:val="single" w:sz="6" w:space="0" w:color="auto"/>
              <w:bottom w:val="single" w:sz="6" w:space="0" w:color="auto"/>
              <w:right w:val="single" w:sz="6" w:space="0" w:color="auto"/>
            </w:tcBorders>
          </w:tcPr>
          <w:p w:rsidR="00C73832" w:rsidRPr="00FA3856" w:rsidRDefault="007D0E74" w:rsidP="00FC3BFC">
            <w:pPr>
              <w:pStyle w:val="PSDS-CorpodeTexto0"/>
              <w:tabs>
                <w:tab w:val="center" w:pos="5613"/>
              </w:tabs>
              <w:jc w:val="both"/>
              <w:rPr>
                <w:rFonts w:ascii="Times New Roman" w:hAnsi="Times New Roman"/>
              </w:rPr>
            </w:pPr>
            <w:hyperlink w:anchor="REGRA_PREENCHIMENTO_ATIV_13" w:history="1">
              <w:r w:rsidR="001779BC" w:rsidRPr="00FA3856">
                <w:rPr>
                  <w:rStyle w:val="Hyperlink"/>
                  <w:rFonts w:ascii="Times New Roman" w:hAnsi="Times New Roman"/>
                  <w:b/>
                  <w:color w:val="auto"/>
                </w:rPr>
                <w:t>REGRA_PREENCHIMENTO</w:t>
              </w:r>
              <w:r w:rsidR="001779BC" w:rsidRPr="00FA3856">
                <w:rPr>
                  <w:rStyle w:val="Hyperlink"/>
                  <w:rFonts w:ascii="Times New Roman" w:hAnsi="Times New Roman"/>
                  <w:b/>
                  <w:color w:val="auto"/>
                  <w:lang w:val="pt-PT"/>
                </w:rPr>
                <w:t>_ATIV_13</w:t>
              </w:r>
            </w:hyperlink>
            <w:r w:rsidR="00C73832" w:rsidRPr="00FA3856">
              <w:rPr>
                <w:rFonts w:ascii="Times New Roman" w:hAnsi="Times New Roman"/>
                <w:b/>
              </w:rPr>
              <w:t xml:space="preserve">: </w:t>
            </w:r>
            <w:r w:rsidR="00FC3BFC" w:rsidRPr="00FA3856">
              <w:rPr>
                <w:rFonts w:ascii="Times New Roman" w:hAnsi="Times New Roman"/>
              </w:rPr>
              <w:t xml:space="preserve">Verifica, quando 0010_TIP_ENT </w:t>
            </w:r>
            <w:r w:rsidR="00C73832" w:rsidRPr="00FA3856">
              <w:rPr>
                <w:rFonts w:ascii="Times New Roman" w:hAnsi="Times New Roman"/>
              </w:rPr>
              <w:t>é igual a “13”</w:t>
            </w:r>
            <w:r w:rsidR="00DF0640" w:rsidRPr="00FA3856">
              <w:rPr>
                <w:rFonts w:ascii="Times New Roman" w:hAnsi="Times New Roman"/>
              </w:rPr>
              <w:t xml:space="preserve"> (Fifa e Entidades Relacionadas)</w:t>
            </w:r>
            <w:r w:rsidR="00FC3BFC" w:rsidRPr="00FA3856">
              <w:rPr>
                <w:rFonts w:ascii="Times New Roman" w:hAnsi="Times New Roman"/>
              </w:rPr>
              <w:t xml:space="preserve">, se 0020.IND_E-COM_TI </w:t>
            </w:r>
            <w:r w:rsidR="00C73832" w:rsidRPr="00FA3856">
              <w:rPr>
                <w:rFonts w:ascii="Times New Roman" w:hAnsi="Times New Roman"/>
              </w:rPr>
              <w:t>é igual a “N”.</w:t>
            </w:r>
          </w:p>
        </w:tc>
        <w:tc>
          <w:tcPr>
            <w:tcW w:w="717" w:type="dxa"/>
            <w:tcBorders>
              <w:top w:val="single" w:sz="6" w:space="0" w:color="auto"/>
              <w:left w:val="single" w:sz="6" w:space="0" w:color="auto"/>
              <w:bottom w:val="single" w:sz="6" w:space="0" w:color="auto"/>
              <w:right w:val="single" w:sz="6" w:space="0" w:color="auto"/>
            </w:tcBorders>
          </w:tcPr>
          <w:p w:rsidR="001779BC" w:rsidRPr="00FA3856" w:rsidRDefault="00DF0640" w:rsidP="001779BC">
            <w:pPr>
              <w:pStyle w:val="PSDS-CorpodeTexto0"/>
              <w:rPr>
                <w:rFonts w:ascii="Times New Roman" w:hAnsi="Times New Roman"/>
                <w:bCs/>
                <w:lang w:val="pt-PT"/>
              </w:rPr>
            </w:pPr>
            <w:r w:rsidRPr="00FA3856">
              <w:rPr>
                <w:rFonts w:ascii="Times New Roman" w:hAnsi="Times New Roman"/>
                <w:bCs/>
                <w:lang w:val="pt-PT"/>
              </w:rPr>
              <w:t>Erro</w:t>
            </w:r>
          </w:p>
        </w:tc>
      </w:tr>
      <w:tr w:rsidR="001779BC" w:rsidRPr="00FA3856" w:rsidTr="001A297B">
        <w:trPr>
          <w:jc w:val="center"/>
        </w:trPr>
        <w:tc>
          <w:tcPr>
            <w:tcW w:w="485" w:type="dxa"/>
            <w:tcBorders>
              <w:top w:val="single" w:sz="6" w:space="0" w:color="auto"/>
              <w:left w:val="single" w:sz="6" w:space="0" w:color="auto"/>
              <w:bottom w:val="single" w:sz="6" w:space="0" w:color="auto"/>
              <w:right w:val="single" w:sz="6" w:space="0" w:color="auto"/>
            </w:tcBorders>
          </w:tcPr>
          <w:p w:rsidR="001779BC" w:rsidRPr="00FA3856" w:rsidRDefault="00757502" w:rsidP="001779BC">
            <w:pPr>
              <w:pStyle w:val="PSDS-CorpodeTexto0"/>
              <w:suppressAutoHyphens w:val="0"/>
              <w:rPr>
                <w:rFonts w:ascii="Times New Roman" w:hAnsi="Times New Roman"/>
                <w:b/>
                <w:bCs/>
                <w:lang w:val="pt-PT"/>
              </w:rPr>
            </w:pPr>
            <w:r w:rsidRPr="00FA3856">
              <w:rPr>
                <w:rFonts w:ascii="Times New Roman" w:hAnsi="Times New Roman"/>
                <w:b/>
                <w:bCs/>
                <w:lang w:val="pt-PT"/>
              </w:rPr>
              <w:t>22</w:t>
            </w:r>
          </w:p>
        </w:tc>
        <w:tc>
          <w:tcPr>
            <w:tcW w:w="2239" w:type="dxa"/>
            <w:tcBorders>
              <w:top w:val="single" w:sz="6" w:space="0" w:color="auto"/>
              <w:left w:val="single" w:sz="6" w:space="0" w:color="auto"/>
              <w:bottom w:val="single" w:sz="6" w:space="0" w:color="auto"/>
              <w:right w:val="single" w:sz="6" w:space="0" w:color="auto"/>
            </w:tcBorders>
          </w:tcPr>
          <w:p w:rsidR="001779BC" w:rsidRPr="00FA3856" w:rsidRDefault="001779BC" w:rsidP="001779BC">
            <w:pPr>
              <w:pStyle w:val="PSDS-CorpodeTexto0"/>
              <w:rPr>
                <w:rFonts w:ascii="Times New Roman" w:hAnsi="Times New Roman"/>
                <w:b/>
                <w:bCs/>
                <w:lang w:val="en-US"/>
              </w:rPr>
            </w:pPr>
            <w:r w:rsidRPr="00FA3856">
              <w:rPr>
                <w:rFonts w:ascii="Times New Roman" w:hAnsi="Times New Roman"/>
                <w:lang w:val="en-US"/>
              </w:rPr>
              <w:t>IND_ROY_REC</w:t>
            </w:r>
          </w:p>
        </w:tc>
        <w:tc>
          <w:tcPr>
            <w:tcW w:w="12929" w:type="dxa"/>
            <w:tcBorders>
              <w:top w:val="single" w:sz="6" w:space="0" w:color="auto"/>
              <w:left w:val="single" w:sz="6" w:space="0" w:color="auto"/>
              <w:bottom w:val="single" w:sz="6" w:space="0" w:color="auto"/>
              <w:right w:val="single" w:sz="6" w:space="0" w:color="auto"/>
            </w:tcBorders>
          </w:tcPr>
          <w:p w:rsidR="00C73832" w:rsidRPr="00FA3856" w:rsidRDefault="007D0E74" w:rsidP="00FC3BFC">
            <w:pPr>
              <w:pStyle w:val="PSDS-CorpodeTexto0"/>
              <w:tabs>
                <w:tab w:val="center" w:pos="5613"/>
              </w:tabs>
              <w:jc w:val="both"/>
              <w:rPr>
                <w:rFonts w:ascii="Times New Roman" w:hAnsi="Times New Roman"/>
              </w:rPr>
            </w:pPr>
            <w:hyperlink w:anchor="REGRA_PREENCHIMENTO_ATIV_13" w:history="1">
              <w:r w:rsidR="001779BC" w:rsidRPr="00FA3856">
                <w:rPr>
                  <w:rStyle w:val="Hyperlink"/>
                  <w:rFonts w:ascii="Times New Roman" w:hAnsi="Times New Roman"/>
                  <w:b/>
                  <w:color w:val="auto"/>
                </w:rPr>
                <w:t>REGRA_PREENCHIMENTO</w:t>
              </w:r>
              <w:r w:rsidR="001779BC" w:rsidRPr="00FA3856">
                <w:rPr>
                  <w:rStyle w:val="Hyperlink"/>
                  <w:rFonts w:ascii="Times New Roman" w:hAnsi="Times New Roman"/>
                  <w:b/>
                  <w:color w:val="auto"/>
                  <w:lang w:val="pt-PT"/>
                </w:rPr>
                <w:t>_ATIV_13</w:t>
              </w:r>
            </w:hyperlink>
            <w:r w:rsidR="00C73832" w:rsidRPr="00FA3856">
              <w:rPr>
                <w:rFonts w:ascii="Times New Roman" w:hAnsi="Times New Roman"/>
                <w:b/>
              </w:rPr>
              <w:t xml:space="preserve">: </w:t>
            </w:r>
            <w:r w:rsidR="00C73832" w:rsidRPr="00FA3856">
              <w:rPr>
                <w:rFonts w:ascii="Times New Roman" w:hAnsi="Times New Roman"/>
              </w:rPr>
              <w:t>Verifica, quando 0010_TIP_ENT é igual a “13”</w:t>
            </w:r>
            <w:r w:rsidR="00DF0640" w:rsidRPr="00FA3856">
              <w:rPr>
                <w:rFonts w:ascii="Times New Roman" w:hAnsi="Times New Roman"/>
              </w:rPr>
              <w:t xml:space="preserve"> (Fifa e Entidades Relacionadas)</w:t>
            </w:r>
            <w:r w:rsidR="00FC3BFC" w:rsidRPr="00FA3856">
              <w:rPr>
                <w:rFonts w:ascii="Times New Roman" w:hAnsi="Times New Roman"/>
              </w:rPr>
              <w:t xml:space="preserve">, se 0020.IND_ROY_REC </w:t>
            </w:r>
            <w:r w:rsidR="00C73832" w:rsidRPr="00FA3856">
              <w:rPr>
                <w:rFonts w:ascii="Times New Roman" w:hAnsi="Times New Roman"/>
              </w:rPr>
              <w:t>é igual a “N”.</w:t>
            </w:r>
          </w:p>
        </w:tc>
        <w:tc>
          <w:tcPr>
            <w:tcW w:w="717" w:type="dxa"/>
            <w:tcBorders>
              <w:top w:val="single" w:sz="6" w:space="0" w:color="auto"/>
              <w:left w:val="single" w:sz="6" w:space="0" w:color="auto"/>
              <w:bottom w:val="single" w:sz="6" w:space="0" w:color="auto"/>
              <w:right w:val="single" w:sz="6" w:space="0" w:color="auto"/>
            </w:tcBorders>
          </w:tcPr>
          <w:p w:rsidR="001779BC" w:rsidRPr="00FA3856" w:rsidRDefault="00DF0640" w:rsidP="001779BC">
            <w:pPr>
              <w:pStyle w:val="PSDS-CorpodeTexto0"/>
              <w:rPr>
                <w:rFonts w:ascii="Times New Roman" w:hAnsi="Times New Roman"/>
                <w:bCs/>
                <w:lang w:val="en-US"/>
              </w:rPr>
            </w:pPr>
            <w:r w:rsidRPr="00FA3856">
              <w:rPr>
                <w:rFonts w:ascii="Times New Roman" w:hAnsi="Times New Roman"/>
                <w:bCs/>
                <w:lang w:val="en-US"/>
              </w:rPr>
              <w:t>Erro</w:t>
            </w:r>
          </w:p>
        </w:tc>
      </w:tr>
      <w:tr w:rsidR="001779BC" w:rsidRPr="00FA3856" w:rsidTr="001A297B">
        <w:trPr>
          <w:jc w:val="center"/>
        </w:trPr>
        <w:tc>
          <w:tcPr>
            <w:tcW w:w="485" w:type="dxa"/>
            <w:tcBorders>
              <w:top w:val="single" w:sz="6" w:space="0" w:color="auto"/>
              <w:left w:val="single" w:sz="6" w:space="0" w:color="auto"/>
              <w:bottom w:val="single" w:sz="6" w:space="0" w:color="auto"/>
              <w:right w:val="single" w:sz="6" w:space="0" w:color="auto"/>
            </w:tcBorders>
          </w:tcPr>
          <w:p w:rsidR="001779BC" w:rsidRPr="00FA3856" w:rsidRDefault="00757502" w:rsidP="001779BC">
            <w:pPr>
              <w:pStyle w:val="PSDS-CorpodeTexto0"/>
              <w:suppressAutoHyphens w:val="0"/>
              <w:rPr>
                <w:rFonts w:ascii="Times New Roman" w:hAnsi="Times New Roman"/>
                <w:b/>
                <w:bCs/>
              </w:rPr>
            </w:pPr>
            <w:r w:rsidRPr="00FA3856">
              <w:rPr>
                <w:rFonts w:ascii="Times New Roman" w:hAnsi="Times New Roman"/>
                <w:b/>
                <w:bCs/>
              </w:rPr>
              <w:t>23</w:t>
            </w:r>
          </w:p>
        </w:tc>
        <w:tc>
          <w:tcPr>
            <w:tcW w:w="2239" w:type="dxa"/>
            <w:tcBorders>
              <w:top w:val="single" w:sz="6" w:space="0" w:color="auto"/>
              <w:left w:val="single" w:sz="6" w:space="0" w:color="auto"/>
              <w:bottom w:val="single" w:sz="6" w:space="0" w:color="auto"/>
              <w:right w:val="single" w:sz="6" w:space="0" w:color="auto"/>
            </w:tcBorders>
          </w:tcPr>
          <w:p w:rsidR="001779BC" w:rsidRPr="00FA3856" w:rsidRDefault="001779BC" w:rsidP="001779BC">
            <w:pPr>
              <w:pStyle w:val="PSDS-CorpodeTexto0"/>
              <w:rPr>
                <w:rFonts w:ascii="Times New Roman" w:hAnsi="Times New Roman"/>
                <w:b/>
                <w:bCs/>
                <w:lang w:val="en-US"/>
              </w:rPr>
            </w:pPr>
            <w:r w:rsidRPr="00FA3856">
              <w:rPr>
                <w:rFonts w:ascii="Times New Roman" w:hAnsi="Times New Roman"/>
                <w:lang w:val="en-US"/>
              </w:rPr>
              <w:t>IND_ROY_PAG</w:t>
            </w:r>
          </w:p>
        </w:tc>
        <w:tc>
          <w:tcPr>
            <w:tcW w:w="12929" w:type="dxa"/>
            <w:tcBorders>
              <w:top w:val="single" w:sz="6" w:space="0" w:color="auto"/>
              <w:left w:val="single" w:sz="6" w:space="0" w:color="auto"/>
              <w:bottom w:val="single" w:sz="6" w:space="0" w:color="auto"/>
              <w:right w:val="single" w:sz="6" w:space="0" w:color="auto"/>
            </w:tcBorders>
          </w:tcPr>
          <w:p w:rsidR="00C73832" w:rsidRPr="00FA3856" w:rsidRDefault="007D0E74" w:rsidP="00FC3BFC">
            <w:pPr>
              <w:pStyle w:val="PSDS-CorpodeTexto0"/>
              <w:tabs>
                <w:tab w:val="center" w:pos="5613"/>
              </w:tabs>
              <w:jc w:val="both"/>
              <w:rPr>
                <w:rFonts w:ascii="Times New Roman" w:hAnsi="Times New Roman"/>
              </w:rPr>
            </w:pPr>
            <w:hyperlink w:anchor="REGRA_PREENCHIMENTO_ATIV_13" w:history="1">
              <w:r w:rsidR="001779BC" w:rsidRPr="00FA3856">
                <w:rPr>
                  <w:rStyle w:val="Hyperlink"/>
                  <w:rFonts w:ascii="Times New Roman" w:hAnsi="Times New Roman"/>
                  <w:b/>
                  <w:color w:val="auto"/>
                </w:rPr>
                <w:t>REGRA_PREENCHIMENTO</w:t>
              </w:r>
              <w:r w:rsidR="001779BC" w:rsidRPr="00FA3856">
                <w:rPr>
                  <w:rStyle w:val="Hyperlink"/>
                  <w:rFonts w:ascii="Times New Roman" w:hAnsi="Times New Roman"/>
                  <w:b/>
                  <w:color w:val="auto"/>
                  <w:lang w:val="pt-PT"/>
                </w:rPr>
                <w:t>_ATIV_13</w:t>
              </w:r>
            </w:hyperlink>
            <w:r w:rsidR="00C73832" w:rsidRPr="00FA3856">
              <w:rPr>
                <w:rFonts w:ascii="Times New Roman" w:hAnsi="Times New Roman"/>
                <w:b/>
              </w:rPr>
              <w:t xml:space="preserve">: </w:t>
            </w:r>
            <w:r w:rsidR="00C73832" w:rsidRPr="00FA3856">
              <w:rPr>
                <w:rFonts w:ascii="Times New Roman" w:hAnsi="Times New Roman"/>
              </w:rPr>
              <w:t>Verifica, quando 0010_TIP_ENT é igual a “13”</w:t>
            </w:r>
            <w:r w:rsidR="00DF0640" w:rsidRPr="00FA3856">
              <w:rPr>
                <w:rFonts w:ascii="Times New Roman" w:hAnsi="Times New Roman"/>
              </w:rPr>
              <w:t xml:space="preserve"> (Fifa e Entidades Relacionadas)</w:t>
            </w:r>
            <w:r w:rsidR="00FC3BFC" w:rsidRPr="00FA3856">
              <w:rPr>
                <w:rFonts w:ascii="Times New Roman" w:hAnsi="Times New Roman"/>
              </w:rPr>
              <w:t xml:space="preserve">, se 0020.IND_ROY_PAG </w:t>
            </w:r>
            <w:r w:rsidR="00C73832" w:rsidRPr="00FA3856">
              <w:rPr>
                <w:rFonts w:ascii="Times New Roman" w:hAnsi="Times New Roman"/>
              </w:rPr>
              <w:t>é igual a “N”.</w:t>
            </w:r>
          </w:p>
        </w:tc>
        <w:tc>
          <w:tcPr>
            <w:tcW w:w="717" w:type="dxa"/>
            <w:tcBorders>
              <w:top w:val="single" w:sz="6" w:space="0" w:color="auto"/>
              <w:left w:val="single" w:sz="6" w:space="0" w:color="auto"/>
              <w:bottom w:val="single" w:sz="6" w:space="0" w:color="auto"/>
              <w:right w:val="single" w:sz="6" w:space="0" w:color="auto"/>
            </w:tcBorders>
          </w:tcPr>
          <w:p w:rsidR="001779BC" w:rsidRPr="00FA3856" w:rsidRDefault="00DF0640" w:rsidP="001779BC">
            <w:pPr>
              <w:pStyle w:val="PSDS-CorpodeTexto0"/>
              <w:rPr>
                <w:rFonts w:ascii="Times New Roman" w:hAnsi="Times New Roman"/>
                <w:bCs/>
                <w:lang w:val="en-US"/>
              </w:rPr>
            </w:pPr>
            <w:r w:rsidRPr="00FA3856">
              <w:rPr>
                <w:rFonts w:ascii="Times New Roman" w:hAnsi="Times New Roman"/>
                <w:bCs/>
                <w:lang w:val="en-US"/>
              </w:rPr>
              <w:t>Erro</w:t>
            </w:r>
          </w:p>
        </w:tc>
      </w:tr>
      <w:tr w:rsidR="001779BC" w:rsidRPr="00FA3856" w:rsidTr="001A297B">
        <w:trPr>
          <w:jc w:val="center"/>
        </w:trPr>
        <w:tc>
          <w:tcPr>
            <w:tcW w:w="485" w:type="dxa"/>
            <w:tcBorders>
              <w:top w:val="single" w:sz="6" w:space="0" w:color="auto"/>
              <w:left w:val="single" w:sz="6" w:space="0" w:color="auto"/>
              <w:bottom w:val="single" w:sz="6" w:space="0" w:color="auto"/>
              <w:right w:val="single" w:sz="6" w:space="0" w:color="auto"/>
            </w:tcBorders>
          </w:tcPr>
          <w:p w:rsidR="001779BC" w:rsidRPr="00FA3856" w:rsidRDefault="00757502" w:rsidP="001779BC">
            <w:pPr>
              <w:pStyle w:val="PSDS-CorpodeTexto0"/>
              <w:suppressAutoHyphens w:val="0"/>
              <w:rPr>
                <w:rFonts w:ascii="Times New Roman" w:hAnsi="Times New Roman"/>
                <w:b/>
                <w:bCs/>
              </w:rPr>
            </w:pPr>
            <w:r w:rsidRPr="00FA3856">
              <w:rPr>
                <w:rFonts w:ascii="Times New Roman" w:hAnsi="Times New Roman"/>
                <w:b/>
                <w:bCs/>
              </w:rPr>
              <w:t>24</w:t>
            </w:r>
          </w:p>
        </w:tc>
        <w:tc>
          <w:tcPr>
            <w:tcW w:w="2239" w:type="dxa"/>
            <w:tcBorders>
              <w:top w:val="single" w:sz="6" w:space="0" w:color="auto"/>
              <w:left w:val="single" w:sz="6" w:space="0" w:color="auto"/>
              <w:bottom w:val="single" w:sz="6" w:space="0" w:color="auto"/>
              <w:right w:val="single" w:sz="6" w:space="0" w:color="auto"/>
            </w:tcBorders>
          </w:tcPr>
          <w:p w:rsidR="001779BC" w:rsidRPr="00FA3856" w:rsidRDefault="001779BC" w:rsidP="001779BC">
            <w:pPr>
              <w:pStyle w:val="PSDS-CorpodeTexto0"/>
              <w:rPr>
                <w:rFonts w:ascii="Times New Roman" w:hAnsi="Times New Roman"/>
                <w:b/>
                <w:bCs/>
                <w:lang w:val="en-US"/>
              </w:rPr>
            </w:pPr>
            <w:r w:rsidRPr="00FA3856">
              <w:rPr>
                <w:rFonts w:ascii="Times New Roman" w:hAnsi="Times New Roman"/>
                <w:lang w:val="en-US"/>
              </w:rPr>
              <w:t>IND_REND_SERV</w:t>
            </w:r>
          </w:p>
        </w:tc>
        <w:tc>
          <w:tcPr>
            <w:tcW w:w="12929" w:type="dxa"/>
            <w:tcBorders>
              <w:top w:val="single" w:sz="6" w:space="0" w:color="auto"/>
              <w:left w:val="single" w:sz="6" w:space="0" w:color="auto"/>
              <w:bottom w:val="single" w:sz="6" w:space="0" w:color="auto"/>
              <w:right w:val="single" w:sz="6" w:space="0" w:color="auto"/>
            </w:tcBorders>
          </w:tcPr>
          <w:p w:rsidR="001779BC" w:rsidRPr="00FA3856" w:rsidRDefault="007D0E74" w:rsidP="00FC3BFC">
            <w:pPr>
              <w:pStyle w:val="PSDS-CorpodeTexto0"/>
              <w:tabs>
                <w:tab w:val="center" w:pos="5613"/>
              </w:tabs>
              <w:jc w:val="both"/>
              <w:rPr>
                <w:rFonts w:ascii="Times New Roman" w:hAnsi="Times New Roman"/>
                <w:b/>
              </w:rPr>
            </w:pPr>
            <w:hyperlink w:anchor="REGRA_PREENCHIMENTO_ATIV_13" w:history="1">
              <w:r w:rsidR="001779BC" w:rsidRPr="00FA3856">
                <w:rPr>
                  <w:rStyle w:val="Hyperlink"/>
                  <w:rFonts w:ascii="Times New Roman" w:hAnsi="Times New Roman"/>
                  <w:b/>
                  <w:color w:val="auto"/>
                </w:rPr>
                <w:t>REGRA_PREENCHIMENTO</w:t>
              </w:r>
              <w:r w:rsidR="001779BC" w:rsidRPr="00FA3856">
                <w:rPr>
                  <w:rStyle w:val="Hyperlink"/>
                  <w:rFonts w:ascii="Times New Roman" w:hAnsi="Times New Roman"/>
                  <w:b/>
                  <w:color w:val="auto"/>
                  <w:lang w:val="pt-PT"/>
                </w:rPr>
                <w:t>_ATIV_13</w:t>
              </w:r>
            </w:hyperlink>
            <w:r w:rsidR="00C73832" w:rsidRPr="00FA3856">
              <w:rPr>
                <w:rFonts w:ascii="Times New Roman" w:hAnsi="Times New Roman"/>
                <w:b/>
              </w:rPr>
              <w:t xml:space="preserve">: </w:t>
            </w:r>
            <w:r w:rsidR="00C73832" w:rsidRPr="00FA3856">
              <w:rPr>
                <w:rFonts w:ascii="Times New Roman" w:hAnsi="Times New Roman"/>
              </w:rPr>
              <w:t>Verifica, quando 0010_TIP_ENT é igual a “13”</w:t>
            </w:r>
            <w:r w:rsidR="00DF0640" w:rsidRPr="00FA3856">
              <w:rPr>
                <w:rFonts w:ascii="Times New Roman" w:hAnsi="Times New Roman"/>
              </w:rPr>
              <w:t xml:space="preserve"> (Fifa e Entidades Relacionadas)</w:t>
            </w:r>
            <w:r w:rsidR="00BF3C79" w:rsidRPr="00FA3856">
              <w:rPr>
                <w:rFonts w:ascii="Times New Roman" w:hAnsi="Times New Roman"/>
              </w:rPr>
              <w:t>,</w:t>
            </w:r>
            <w:r w:rsidR="00FC3BFC" w:rsidRPr="00FA3856">
              <w:rPr>
                <w:rFonts w:ascii="Times New Roman" w:hAnsi="Times New Roman"/>
              </w:rPr>
              <w:t xml:space="preserve"> se 0020.IND_REND_SERV </w:t>
            </w:r>
            <w:r w:rsidR="00C73832" w:rsidRPr="00FA3856">
              <w:rPr>
                <w:rFonts w:ascii="Times New Roman" w:hAnsi="Times New Roman"/>
              </w:rPr>
              <w:t>é igual a “N”.</w:t>
            </w:r>
          </w:p>
        </w:tc>
        <w:tc>
          <w:tcPr>
            <w:tcW w:w="717" w:type="dxa"/>
            <w:tcBorders>
              <w:top w:val="single" w:sz="6" w:space="0" w:color="auto"/>
              <w:left w:val="single" w:sz="6" w:space="0" w:color="auto"/>
              <w:bottom w:val="single" w:sz="6" w:space="0" w:color="auto"/>
              <w:right w:val="single" w:sz="6" w:space="0" w:color="auto"/>
            </w:tcBorders>
          </w:tcPr>
          <w:p w:rsidR="001779BC" w:rsidRPr="00FA3856" w:rsidRDefault="00DF0640" w:rsidP="001779BC">
            <w:pPr>
              <w:pStyle w:val="PSDS-CorpodeTexto0"/>
              <w:rPr>
                <w:rFonts w:ascii="Times New Roman" w:hAnsi="Times New Roman"/>
                <w:bCs/>
                <w:lang w:val="en-US"/>
              </w:rPr>
            </w:pPr>
            <w:r w:rsidRPr="00FA3856">
              <w:rPr>
                <w:rFonts w:ascii="Times New Roman" w:hAnsi="Times New Roman"/>
                <w:bCs/>
                <w:lang w:val="en-US"/>
              </w:rPr>
              <w:t>Erro</w:t>
            </w:r>
          </w:p>
        </w:tc>
      </w:tr>
      <w:tr w:rsidR="001779BC" w:rsidRPr="00FA3856" w:rsidTr="001A297B">
        <w:trPr>
          <w:jc w:val="center"/>
        </w:trPr>
        <w:tc>
          <w:tcPr>
            <w:tcW w:w="485" w:type="dxa"/>
            <w:tcBorders>
              <w:top w:val="single" w:sz="6" w:space="0" w:color="auto"/>
              <w:left w:val="single" w:sz="6" w:space="0" w:color="auto"/>
              <w:bottom w:val="single" w:sz="6" w:space="0" w:color="auto"/>
              <w:right w:val="single" w:sz="6" w:space="0" w:color="auto"/>
            </w:tcBorders>
          </w:tcPr>
          <w:p w:rsidR="001779BC" w:rsidRPr="00FA3856" w:rsidRDefault="00757502" w:rsidP="001779BC">
            <w:pPr>
              <w:pStyle w:val="PSDS-CorpodeTexto0"/>
              <w:suppressAutoHyphens w:val="0"/>
              <w:rPr>
                <w:rFonts w:ascii="Times New Roman" w:hAnsi="Times New Roman"/>
                <w:b/>
                <w:bCs/>
              </w:rPr>
            </w:pPr>
            <w:r w:rsidRPr="00FA3856">
              <w:rPr>
                <w:rFonts w:ascii="Times New Roman" w:hAnsi="Times New Roman"/>
                <w:b/>
                <w:bCs/>
              </w:rPr>
              <w:t>25</w:t>
            </w:r>
          </w:p>
        </w:tc>
        <w:tc>
          <w:tcPr>
            <w:tcW w:w="2239" w:type="dxa"/>
            <w:tcBorders>
              <w:top w:val="single" w:sz="6" w:space="0" w:color="auto"/>
              <w:left w:val="single" w:sz="6" w:space="0" w:color="auto"/>
              <w:bottom w:val="single" w:sz="6" w:space="0" w:color="auto"/>
              <w:right w:val="single" w:sz="6" w:space="0" w:color="auto"/>
            </w:tcBorders>
          </w:tcPr>
          <w:p w:rsidR="001779BC" w:rsidRPr="00FA3856" w:rsidRDefault="001779BC" w:rsidP="001779BC">
            <w:pPr>
              <w:pStyle w:val="PSDS-CorpodeTexto0"/>
              <w:rPr>
                <w:rFonts w:ascii="Times New Roman" w:hAnsi="Times New Roman"/>
                <w:b/>
                <w:bCs/>
                <w:lang w:val="en-US"/>
              </w:rPr>
            </w:pPr>
            <w:r w:rsidRPr="00FA3856">
              <w:rPr>
                <w:rFonts w:ascii="Times New Roman" w:hAnsi="Times New Roman"/>
                <w:lang w:val="en-US"/>
              </w:rPr>
              <w:t>IND_PGTO_REM</w:t>
            </w:r>
          </w:p>
        </w:tc>
        <w:tc>
          <w:tcPr>
            <w:tcW w:w="12929" w:type="dxa"/>
            <w:tcBorders>
              <w:top w:val="single" w:sz="6" w:space="0" w:color="auto"/>
              <w:left w:val="single" w:sz="6" w:space="0" w:color="auto"/>
              <w:bottom w:val="single" w:sz="6" w:space="0" w:color="auto"/>
              <w:right w:val="single" w:sz="6" w:space="0" w:color="auto"/>
            </w:tcBorders>
          </w:tcPr>
          <w:p w:rsidR="001779BC" w:rsidRPr="00FA3856" w:rsidRDefault="007D0E74" w:rsidP="00FC3BFC">
            <w:pPr>
              <w:pStyle w:val="PSDS-CorpodeTexto0"/>
              <w:tabs>
                <w:tab w:val="center" w:pos="5613"/>
              </w:tabs>
              <w:jc w:val="both"/>
              <w:rPr>
                <w:rFonts w:ascii="Times New Roman" w:hAnsi="Times New Roman"/>
                <w:b/>
              </w:rPr>
            </w:pPr>
            <w:hyperlink w:anchor="REGRA_PREENCHIMENTO_ATIV_13" w:history="1">
              <w:r w:rsidR="001779BC" w:rsidRPr="00FA3856">
                <w:rPr>
                  <w:rStyle w:val="Hyperlink"/>
                  <w:rFonts w:ascii="Times New Roman" w:hAnsi="Times New Roman"/>
                  <w:b/>
                  <w:color w:val="auto"/>
                </w:rPr>
                <w:t>REGRA_PREENCHIMENTO</w:t>
              </w:r>
              <w:r w:rsidR="001779BC" w:rsidRPr="00FA3856">
                <w:rPr>
                  <w:rStyle w:val="Hyperlink"/>
                  <w:rFonts w:ascii="Times New Roman" w:hAnsi="Times New Roman"/>
                  <w:b/>
                  <w:color w:val="auto"/>
                  <w:lang w:val="pt-PT"/>
                </w:rPr>
                <w:t>_ATIV_13</w:t>
              </w:r>
            </w:hyperlink>
            <w:r w:rsidR="00C73832" w:rsidRPr="00FA3856">
              <w:rPr>
                <w:rFonts w:ascii="Times New Roman" w:hAnsi="Times New Roman"/>
                <w:b/>
              </w:rPr>
              <w:t xml:space="preserve">: </w:t>
            </w:r>
            <w:r w:rsidR="00C73832" w:rsidRPr="00FA3856">
              <w:rPr>
                <w:rFonts w:ascii="Times New Roman" w:hAnsi="Times New Roman"/>
              </w:rPr>
              <w:t>Verifica, quando 0010_TIP_ENT é igual a “13”</w:t>
            </w:r>
            <w:r w:rsidR="00DF0640" w:rsidRPr="00FA3856">
              <w:rPr>
                <w:rFonts w:ascii="Times New Roman" w:hAnsi="Times New Roman"/>
              </w:rPr>
              <w:t xml:space="preserve"> (Fifa e Entidades Relacionadas)</w:t>
            </w:r>
            <w:r w:rsidR="00FC3BFC" w:rsidRPr="00FA3856">
              <w:rPr>
                <w:rFonts w:ascii="Times New Roman" w:hAnsi="Times New Roman"/>
              </w:rPr>
              <w:t xml:space="preserve">, se 0020.IND_PGTO_REM </w:t>
            </w:r>
            <w:r w:rsidR="00C73832" w:rsidRPr="00FA3856">
              <w:rPr>
                <w:rFonts w:ascii="Times New Roman" w:hAnsi="Times New Roman"/>
              </w:rPr>
              <w:t>é igual a “N”.</w:t>
            </w:r>
          </w:p>
        </w:tc>
        <w:tc>
          <w:tcPr>
            <w:tcW w:w="717" w:type="dxa"/>
            <w:tcBorders>
              <w:top w:val="single" w:sz="6" w:space="0" w:color="auto"/>
              <w:left w:val="single" w:sz="6" w:space="0" w:color="auto"/>
              <w:bottom w:val="single" w:sz="6" w:space="0" w:color="auto"/>
              <w:right w:val="single" w:sz="6" w:space="0" w:color="auto"/>
            </w:tcBorders>
          </w:tcPr>
          <w:p w:rsidR="001779BC" w:rsidRPr="00FA3856" w:rsidRDefault="00DF0640" w:rsidP="001779BC">
            <w:pPr>
              <w:pStyle w:val="PSDS-CorpodeTexto0"/>
              <w:rPr>
                <w:rFonts w:ascii="Times New Roman" w:hAnsi="Times New Roman"/>
                <w:bCs/>
                <w:lang w:val="en-US"/>
              </w:rPr>
            </w:pPr>
            <w:r w:rsidRPr="00FA3856">
              <w:rPr>
                <w:rFonts w:ascii="Times New Roman" w:hAnsi="Times New Roman"/>
                <w:bCs/>
                <w:lang w:val="en-US"/>
              </w:rPr>
              <w:t>Erro</w:t>
            </w:r>
          </w:p>
        </w:tc>
      </w:tr>
      <w:tr w:rsidR="001779BC" w:rsidRPr="00FA3856" w:rsidTr="001A297B">
        <w:trPr>
          <w:jc w:val="center"/>
        </w:trPr>
        <w:tc>
          <w:tcPr>
            <w:tcW w:w="485" w:type="dxa"/>
            <w:tcBorders>
              <w:top w:val="single" w:sz="6" w:space="0" w:color="auto"/>
              <w:left w:val="single" w:sz="6" w:space="0" w:color="auto"/>
              <w:bottom w:val="single" w:sz="6" w:space="0" w:color="auto"/>
              <w:right w:val="single" w:sz="6" w:space="0" w:color="auto"/>
            </w:tcBorders>
          </w:tcPr>
          <w:p w:rsidR="001779BC" w:rsidRPr="00FA3856" w:rsidRDefault="00757502" w:rsidP="001779BC">
            <w:pPr>
              <w:pStyle w:val="PSDS-CorpodeTexto0"/>
              <w:suppressAutoHyphens w:val="0"/>
              <w:rPr>
                <w:rFonts w:ascii="Times New Roman" w:hAnsi="Times New Roman"/>
                <w:b/>
                <w:bCs/>
              </w:rPr>
            </w:pPr>
            <w:r w:rsidRPr="00FA3856">
              <w:rPr>
                <w:rFonts w:ascii="Times New Roman" w:hAnsi="Times New Roman"/>
                <w:b/>
                <w:bCs/>
              </w:rPr>
              <w:t>26</w:t>
            </w:r>
          </w:p>
        </w:tc>
        <w:tc>
          <w:tcPr>
            <w:tcW w:w="2239" w:type="dxa"/>
            <w:tcBorders>
              <w:top w:val="single" w:sz="6" w:space="0" w:color="auto"/>
              <w:left w:val="single" w:sz="6" w:space="0" w:color="auto"/>
              <w:bottom w:val="single" w:sz="6" w:space="0" w:color="auto"/>
              <w:right w:val="single" w:sz="6" w:space="0" w:color="auto"/>
            </w:tcBorders>
          </w:tcPr>
          <w:p w:rsidR="001779BC" w:rsidRPr="00FA3856" w:rsidRDefault="001779BC" w:rsidP="001779BC">
            <w:pPr>
              <w:pStyle w:val="PSDS-CorpodeTexto0"/>
              <w:rPr>
                <w:rFonts w:ascii="Times New Roman" w:hAnsi="Times New Roman"/>
                <w:b/>
                <w:bCs/>
                <w:lang w:val="en-US"/>
              </w:rPr>
            </w:pPr>
            <w:r w:rsidRPr="00FA3856">
              <w:rPr>
                <w:rFonts w:ascii="Times New Roman" w:hAnsi="Times New Roman"/>
                <w:lang w:val="en-US"/>
              </w:rPr>
              <w:t>IND_INOV_TEC</w:t>
            </w:r>
          </w:p>
        </w:tc>
        <w:tc>
          <w:tcPr>
            <w:tcW w:w="12929" w:type="dxa"/>
            <w:tcBorders>
              <w:top w:val="single" w:sz="6" w:space="0" w:color="auto"/>
              <w:left w:val="single" w:sz="6" w:space="0" w:color="auto"/>
              <w:bottom w:val="single" w:sz="6" w:space="0" w:color="auto"/>
              <w:right w:val="single" w:sz="6" w:space="0" w:color="auto"/>
            </w:tcBorders>
          </w:tcPr>
          <w:p w:rsidR="001779BC" w:rsidRPr="00FA3856" w:rsidRDefault="007D0E74" w:rsidP="00DF0640">
            <w:pPr>
              <w:pStyle w:val="PSDS-CorpodeTexto0"/>
              <w:jc w:val="both"/>
              <w:rPr>
                <w:rFonts w:ascii="Times New Roman" w:hAnsi="Times New Roman"/>
                <w:b/>
                <w:bCs/>
              </w:rPr>
            </w:pPr>
            <w:hyperlink w:anchor="REGRA_PREENCHIMENTO_IMUNE_ISENTA" w:history="1">
              <w:r w:rsidR="001779BC" w:rsidRPr="00FA3856">
                <w:rPr>
                  <w:rStyle w:val="Hyperlink"/>
                  <w:rFonts w:ascii="Times New Roman" w:hAnsi="Times New Roman"/>
                  <w:b/>
                  <w:color w:val="auto"/>
                </w:rPr>
                <w:t>REGRA_PREENCHIMENTO_IMUNE_ISENTA</w:t>
              </w:r>
            </w:hyperlink>
            <w:r w:rsidR="00DF0640" w:rsidRPr="00FA3856">
              <w:rPr>
                <w:rFonts w:ascii="Times New Roman" w:hAnsi="Times New Roman"/>
                <w:b/>
              </w:rPr>
              <w:t xml:space="preserve">: </w:t>
            </w:r>
            <w:r w:rsidR="00DF0640" w:rsidRPr="00FA3856">
              <w:rPr>
                <w:rFonts w:ascii="Times New Roman" w:hAnsi="Times New Roman"/>
                <w:lang w:val="pt-PT"/>
              </w:rPr>
              <w:t>Verifica, quando 0010.</w:t>
            </w:r>
            <w:r w:rsidR="00FC3BFC" w:rsidRPr="00FA3856">
              <w:rPr>
                <w:rStyle w:val="Hyperlink"/>
                <w:rFonts w:ascii="Times New Roman" w:hAnsi="Times New Roman"/>
                <w:bCs/>
                <w:color w:val="auto"/>
                <w:lang w:val="pt-PT"/>
              </w:rPr>
              <w:t>FORMA_TRIB é igual a “8” (Imune do</w:t>
            </w:r>
            <w:r w:rsidR="00DF0640" w:rsidRPr="00FA3856">
              <w:rPr>
                <w:rStyle w:val="Hyperlink"/>
                <w:rFonts w:ascii="Times New Roman" w:hAnsi="Times New Roman"/>
                <w:bCs/>
                <w:color w:val="auto"/>
                <w:lang w:val="pt-PT"/>
              </w:rPr>
              <w:t xml:space="preserve"> IRPJ) ou “9” (Isento do IPRJ</w:t>
            </w:r>
            <w:r w:rsidR="00FC3BFC" w:rsidRPr="00FA3856">
              <w:rPr>
                <w:rStyle w:val="Hyperlink"/>
                <w:rFonts w:ascii="Times New Roman" w:hAnsi="Times New Roman"/>
                <w:bCs/>
                <w:color w:val="auto"/>
                <w:lang w:val="pt-PT"/>
              </w:rPr>
              <w:t xml:space="preserve">), se 0020.IND_NOV_TEC </w:t>
            </w:r>
            <w:r w:rsidR="00DF0640" w:rsidRPr="00FA3856">
              <w:rPr>
                <w:rStyle w:val="Hyperlink"/>
                <w:rFonts w:ascii="Times New Roman" w:hAnsi="Times New Roman"/>
                <w:bCs/>
                <w:color w:val="auto"/>
                <w:lang w:val="pt-PT"/>
              </w:rPr>
              <w:t>é igual a “N”.</w:t>
            </w:r>
          </w:p>
        </w:tc>
        <w:tc>
          <w:tcPr>
            <w:tcW w:w="717" w:type="dxa"/>
            <w:tcBorders>
              <w:top w:val="single" w:sz="6" w:space="0" w:color="auto"/>
              <w:left w:val="single" w:sz="6" w:space="0" w:color="auto"/>
              <w:bottom w:val="single" w:sz="6" w:space="0" w:color="auto"/>
              <w:right w:val="single" w:sz="6" w:space="0" w:color="auto"/>
            </w:tcBorders>
          </w:tcPr>
          <w:p w:rsidR="001779BC" w:rsidRPr="00FA3856" w:rsidRDefault="00DF0640" w:rsidP="001779BC">
            <w:pPr>
              <w:pStyle w:val="PSDS-CorpodeTexto0"/>
              <w:rPr>
                <w:rFonts w:ascii="Times New Roman" w:hAnsi="Times New Roman"/>
                <w:bCs/>
                <w:lang w:val="en-US"/>
              </w:rPr>
            </w:pPr>
            <w:r w:rsidRPr="00FA3856">
              <w:rPr>
                <w:rFonts w:ascii="Times New Roman" w:hAnsi="Times New Roman"/>
                <w:bCs/>
                <w:lang w:val="en-US"/>
              </w:rPr>
              <w:t>Erro</w:t>
            </w:r>
          </w:p>
        </w:tc>
      </w:tr>
      <w:tr w:rsidR="001779BC" w:rsidRPr="00FA3856" w:rsidTr="001A297B">
        <w:trPr>
          <w:jc w:val="center"/>
        </w:trPr>
        <w:tc>
          <w:tcPr>
            <w:tcW w:w="485" w:type="dxa"/>
            <w:tcBorders>
              <w:top w:val="single" w:sz="6" w:space="0" w:color="auto"/>
              <w:left w:val="single" w:sz="6" w:space="0" w:color="auto"/>
              <w:bottom w:val="single" w:sz="6" w:space="0" w:color="auto"/>
              <w:right w:val="single" w:sz="6" w:space="0" w:color="auto"/>
            </w:tcBorders>
          </w:tcPr>
          <w:p w:rsidR="001779BC" w:rsidRPr="00FA3856" w:rsidRDefault="00757502" w:rsidP="001779BC">
            <w:pPr>
              <w:pStyle w:val="PSDS-CorpodeTexto0"/>
              <w:suppressAutoHyphens w:val="0"/>
              <w:rPr>
                <w:rFonts w:ascii="Times New Roman" w:hAnsi="Times New Roman"/>
                <w:b/>
                <w:bCs/>
              </w:rPr>
            </w:pPr>
            <w:r w:rsidRPr="00FA3856">
              <w:rPr>
                <w:rFonts w:ascii="Times New Roman" w:hAnsi="Times New Roman"/>
                <w:b/>
                <w:bCs/>
              </w:rPr>
              <w:t>27</w:t>
            </w:r>
          </w:p>
        </w:tc>
        <w:tc>
          <w:tcPr>
            <w:tcW w:w="2239" w:type="dxa"/>
            <w:tcBorders>
              <w:top w:val="single" w:sz="6" w:space="0" w:color="auto"/>
              <w:left w:val="single" w:sz="6" w:space="0" w:color="auto"/>
              <w:bottom w:val="single" w:sz="6" w:space="0" w:color="auto"/>
              <w:right w:val="single" w:sz="6" w:space="0" w:color="auto"/>
            </w:tcBorders>
          </w:tcPr>
          <w:p w:rsidR="001779BC" w:rsidRPr="00FA3856" w:rsidRDefault="001779BC" w:rsidP="001779BC">
            <w:pPr>
              <w:pStyle w:val="PSDS-CorpodeTexto0"/>
              <w:rPr>
                <w:rFonts w:ascii="Times New Roman" w:hAnsi="Times New Roman"/>
                <w:b/>
                <w:bCs/>
                <w:lang w:val="en-US"/>
              </w:rPr>
            </w:pPr>
            <w:r w:rsidRPr="00FA3856">
              <w:rPr>
                <w:rFonts w:ascii="Times New Roman" w:hAnsi="Times New Roman"/>
                <w:lang w:val="en-US"/>
              </w:rPr>
              <w:t>IND_CAP_INF</w:t>
            </w:r>
          </w:p>
        </w:tc>
        <w:tc>
          <w:tcPr>
            <w:tcW w:w="12929" w:type="dxa"/>
            <w:tcBorders>
              <w:top w:val="single" w:sz="6" w:space="0" w:color="auto"/>
              <w:left w:val="single" w:sz="6" w:space="0" w:color="auto"/>
              <w:bottom w:val="single" w:sz="6" w:space="0" w:color="auto"/>
              <w:right w:val="single" w:sz="6" w:space="0" w:color="auto"/>
            </w:tcBorders>
          </w:tcPr>
          <w:p w:rsidR="001779BC" w:rsidRPr="00FA3856" w:rsidRDefault="007D0E74" w:rsidP="001779BC">
            <w:pPr>
              <w:pStyle w:val="PSDS-CorpodeTexto0"/>
              <w:jc w:val="both"/>
              <w:rPr>
                <w:rFonts w:ascii="Times New Roman" w:hAnsi="Times New Roman"/>
                <w:b/>
                <w:bCs/>
              </w:rPr>
            </w:pPr>
            <w:hyperlink w:anchor="REGRA_PREENCHIMENTO_IMUNE_ISENTA" w:history="1">
              <w:r w:rsidR="001779BC" w:rsidRPr="00FA3856">
                <w:rPr>
                  <w:rStyle w:val="Hyperlink"/>
                  <w:rFonts w:ascii="Times New Roman" w:hAnsi="Times New Roman"/>
                  <w:b/>
                  <w:color w:val="auto"/>
                </w:rPr>
                <w:t>REGRA_PREENCHIMENTO_IMUNE_ISENTA</w:t>
              </w:r>
            </w:hyperlink>
            <w:r w:rsidR="00DF0640" w:rsidRPr="00FA3856">
              <w:rPr>
                <w:rFonts w:ascii="Times New Roman" w:hAnsi="Times New Roman"/>
                <w:b/>
              </w:rPr>
              <w:t xml:space="preserve">: </w:t>
            </w:r>
            <w:r w:rsidR="00DF0640" w:rsidRPr="00FA3856">
              <w:rPr>
                <w:rFonts w:ascii="Times New Roman" w:hAnsi="Times New Roman"/>
                <w:lang w:val="pt-PT"/>
              </w:rPr>
              <w:t>Verifica, quando 0010.</w:t>
            </w:r>
            <w:r w:rsidR="00FC3BFC" w:rsidRPr="00FA3856">
              <w:rPr>
                <w:rStyle w:val="Hyperlink"/>
                <w:rFonts w:ascii="Times New Roman" w:hAnsi="Times New Roman"/>
                <w:bCs/>
                <w:color w:val="auto"/>
                <w:lang w:val="pt-PT"/>
              </w:rPr>
              <w:t>FORMA_TRIB é igual a “8” (Imune do</w:t>
            </w:r>
            <w:r w:rsidR="00DF0640" w:rsidRPr="00FA3856">
              <w:rPr>
                <w:rStyle w:val="Hyperlink"/>
                <w:rFonts w:ascii="Times New Roman" w:hAnsi="Times New Roman"/>
                <w:bCs/>
                <w:color w:val="auto"/>
                <w:lang w:val="pt-PT"/>
              </w:rPr>
              <w:t xml:space="preserve"> IRPJ) ou “9” (Isento do IPRJ), se </w:t>
            </w:r>
            <w:r w:rsidR="00BF3C79" w:rsidRPr="00FA3856">
              <w:rPr>
                <w:rStyle w:val="Hyperlink"/>
                <w:rFonts w:ascii="Times New Roman" w:hAnsi="Times New Roman"/>
                <w:bCs/>
                <w:color w:val="auto"/>
                <w:lang w:val="pt-PT"/>
              </w:rPr>
              <w:t>0020.</w:t>
            </w:r>
            <w:r w:rsidR="00DF0640" w:rsidRPr="00FA3856">
              <w:rPr>
                <w:rStyle w:val="Hyperlink"/>
                <w:rFonts w:ascii="Times New Roman" w:hAnsi="Times New Roman"/>
                <w:bCs/>
                <w:color w:val="auto"/>
                <w:lang w:val="pt-PT"/>
              </w:rPr>
              <w:t>IND_C</w:t>
            </w:r>
            <w:r w:rsidR="00FC3BFC" w:rsidRPr="00FA3856">
              <w:rPr>
                <w:rStyle w:val="Hyperlink"/>
                <w:rFonts w:ascii="Times New Roman" w:hAnsi="Times New Roman"/>
                <w:bCs/>
                <w:color w:val="auto"/>
                <w:lang w:val="pt-PT"/>
              </w:rPr>
              <w:t xml:space="preserve">AP_INF </w:t>
            </w:r>
            <w:r w:rsidR="00DF0640" w:rsidRPr="00FA3856">
              <w:rPr>
                <w:rStyle w:val="Hyperlink"/>
                <w:rFonts w:ascii="Times New Roman" w:hAnsi="Times New Roman"/>
                <w:bCs/>
                <w:color w:val="auto"/>
                <w:lang w:val="pt-PT"/>
              </w:rPr>
              <w:t>é igual a “N”.</w:t>
            </w:r>
          </w:p>
        </w:tc>
        <w:tc>
          <w:tcPr>
            <w:tcW w:w="717" w:type="dxa"/>
            <w:tcBorders>
              <w:top w:val="single" w:sz="6" w:space="0" w:color="auto"/>
              <w:left w:val="single" w:sz="6" w:space="0" w:color="auto"/>
              <w:bottom w:val="single" w:sz="6" w:space="0" w:color="auto"/>
              <w:right w:val="single" w:sz="6" w:space="0" w:color="auto"/>
            </w:tcBorders>
          </w:tcPr>
          <w:p w:rsidR="001779BC" w:rsidRPr="00FA3856" w:rsidRDefault="00DF0640" w:rsidP="001779BC">
            <w:pPr>
              <w:pStyle w:val="PSDS-CorpodeTexto0"/>
              <w:rPr>
                <w:rFonts w:ascii="Times New Roman" w:hAnsi="Times New Roman"/>
                <w:bCs/>
                <w:lang w:val="en-US"/>
              </w:rPr>
            </w:pPr>
            <w:r w:rsidRPr="00FA3856">
              <w:rPr>
                <w:rFonts w:ascii="Times New Roman" w:hAnsi="Times New Roman"/>
                <w:bCs/>
                <w:lang w:val="en-US"/>
              </w:rPr>
              <w:t>Erro</w:t>
            </w:r>
          </w:p>
        </w:tc>
      </w:tr>
      <w:tr w:rsidR="001779BC" w:rsidRPr="00FA3856" w:rsidTr="001A297B">
        <w:trPr>
          <w:jc w:val="center"/>
        </w:trPr>
        <w:tc>
          <w:tcPr>
            <w:tcW w:w="485" w:type="dxa"/>
            <w:tcBorders>
              <w:top w:val="single" w:sz="6" w:space="0" w:color="auto"/>
              <w:left w:val="single" w:sz="6" w:space="0" w:color="auto"/>
              <w:bottom w:val="single" w:sz="6" w:space="0" w:color="auto"/>
              <w:right w:val="single" w:sz="6" w:space="0" w:color="auto"/>
            </w:tcBorders>
          </w:tcPr>
          <w:p w:rsidR="001779BC" w:rsidRPr="00FA3856" w:rsidRDefault="00757502" w:rsidP="001779BC">
            <w:pPr>
              <w:pStyle w:val="PSDS-CorpodeTexto0"/>
              <w:suppressAutoHyphens w:val="0"/>
              <w:rPr>
                <w:rFonts w:ascii="Times New Roman" w:hAnsi="Times New Roman"/>
                <w:b/>
                <w:bCs/>
              </w:rPr>
            </w:pPr>
            <w:r w:rsidRPr="00FA3856">
              <w:rPr>
                <w:rFonts w:ascii="Times New Roman" w:hAnsi="Times New Roman"/>
                <w:b/>
                <w:bCs/>
              </w:rPr>
              <w:t>28</w:t>
            </w:r>
          </w:p>
        </w:tc>
        <w:tc>
          <w:tcPr>
            <w:tcW w:w="2239" w:type="dxa"/>
            <w:tcBorders>
              <w:top w:val="single" w:sz="6" w:space="0" w:color="auto"/>
              <w:left w:val="single" w:sz="6" w:space="0" w:color="auto"/>
              <w:bottom w:val="single" w:sz="6" w:space="0" w:color="auto"/>
              <w:right w:val="single" w:sz="6" w:space="0" w:color="auto"/>
            </w:tcBorders>
          </w:tcPr>
          <w:p w:rsidR="001779BC" w:rsidRPr="00FA3856" w:rsidRDefault="001779BC" w:rsidP="001779BC">
            <w:pPr>
              <w:pStyle w:val="PSDS-CorpodeTexto0"/>
              <w:rPr>
                <w:rFonts w:ascii="Times New Roman" w:hAnsi="Times New Roman"/>
                <w:b/>
                <w:bCs/>
                <w:lang w:val="en-US"/>
              </w:rPr>
            </w:pPr>
            <w:r w:rsidRPr="00FA3856">
              <w:rPr>
                <w:rFonts w:ascii="Times New Roman" w:hAnsi="Times New Roman"/>
                <w:lang w:val="en-US"/>
              </w:rPr>
              <w:t>IND_PJ_HAB</w:t>
            </w:r>
          </w:p>
        </w:tc>
        <w:tc>
          <w:tcPr>
            <w:tcW w:w="12929" w:type="dxa"/>
            <w:tcBorders>
              <w:top w:val="single" w:sz="6" w:space="0" w:color="auto"/>
              <w:left w:val="single" w:sz="6" w:space="0" w:color="auto"/>
              <w:bottom w:val="single" w:sz="6" w:space="0" w:color="auto"/>
              <w:right w:val="single" w:sz="6" w:space="0" w:color="auto"/>
            </w:tcBorders>
          </w:tcPr>
          <w:p w:rsidR="001779BC" w:rsidRPr="00993BB9" w:rsidRDefault="007D0E74" w:rsidP="00993BB9">
            <w:pPr>
              <w:widowControl w:val="0"/>
              <w:autoSpaceDE w:val="0"/>
              <w:autoSpaceDN w:val="0"/>
              <w:adjustRightInd w:val="0"/>
              <w:jc w:val="both"/>
              <w:rPr>
                <w:szCs w:val="20"/>
              </w:rPr>
            </w:pPr>
            <w:hyperlink w:anchor="REGRA_PREENCHIMENTO_IMUNE_ISENTA" w:history="1">
              <w:r w:rsidR="001779BC" w:rsidRPr="00FA3856">
                <w:rPr>
                  <w:rStyle w:val="Hyperlink"/>
                  <w:b/>
                  <w:color w:val="auto"/>
                </w:rPr>
                <w:t>REGRA_PREENCHIMENTO_IMUNE_ISENTA</w:t>
              </w:r>
            </w:hyperlink>
            <w:r w:rsidR="00DF0640" w:rsidRPr="00FA3856">
              <w:rPr>
                <w:b/>
              </w:rPr>
              <w:t xml:space="preserve">: </w:t>
            </w:r>
            <w:r w:rsidR="00DF0640" w:rsidRPr="00FA3856">
              <w:rPr>
                <w:lang w:val="pt-PT"/>
              </w:rPr>
              <w:t>Verifica, quando 0010.</w:t>
            </w:r>
            <w:r w:rsidR="00BF3C79" w:rsidRPr="00FA3856">
              <w:rPr>
                <w:rStyle w:val="Hyperlink"/>
                <w:bCs/>
                <w:color w:val="auto"/>
                <w:lang w:val="pt-PT"/>
              </w:rPr>
              <w:t>FORMA_</w:t>
            </w:r>
            <w:r w:rsidR="00FC3BFC" w:rsidRPr="00FA3856">
              <w:rPr>
                <w:rStyle w:val="Hyperlink"/>
                <w:bCs/>
                <w:color w:val="auto"/>
                <w:lang w:val="pt-PT"/>
              </w:rPr>
              <w:t>TRIB é igual a “8” (Imune do</w:t>
            </w:r>
            <w:r w:rsidR="00DF0640" w:rsidRPr="00FA3856">
              <w:rPr>
                <w:rStyle w:val="Hyperlink"/>
                <w:bCs/>
                <w:color w:val="auto"/>
                <w:lang w:val="pt-PT"/>
              </w:rPr>
              <w:t xml:space="preserve"> IRPJ) ou “9” (Isento do IPRJ)</w:t>
            </w:r>
            <w:r w:rsidR="00993BB9">
              <w:rPr>
                <w:rStyle w:val="Hyperlink"/>
                <w:bCs/>
                <w:color w:val="auto"/>
                <w:lang w:val="pt-PT"/>
              </w:rPr>
              <w:t xml:space="preserve"> e 0010.TIP_ENT é diferente de “14” (</w:t>
            </w:r>
            <w:r w:rsidR="00993BB9" w:rsidRPr="00FA3856">
              <w:rPr>
                <w:szCs w:val="20"/>
              </w:rPr>
              <w:t>CIO e Entidades Relacionadas</w:t>
            </w:r>
            <w:r w:rsidR="00993BB9">
              <w:rPr>
                <w:szCs w:val="20"/>
              </w:rPr>
              <w:t>)</w:t>
            </w:r>
            <w:r w:rsidR="00993BB9">
              <w:rPr>
                <w:rStyle w:val="Hyperlink"/>
                <w:bCs/>
                <w:color w:val="auto"/>
                <w:lang w:val="pt-PT"/>
              </w:rPr>
              <w:t xml:space="preserve"> </w:t>
            </w:r>
            <w:r w:rsidR="00DF0640" w:rsidRPr="00FA3856">
              <w:rPr>
                <w:rStyle w:val="Hyperlink"/>
                <w:bCs/>
                <w:color w:val="auto"/>
                <w:lang w:val="pt-PT"/>
              </w:rPr>
              <w:t xml:space="preserve">, se </w:t>
            </w:r>
            <w:r w:rsidR="00BF3C79" w:rsidRPr="00FA3856">
              <w:rPr>
                <w:rStyle w:val="Hyperlink"/>
                <w:bCs/>
                <w:color w:val="auto"/>
                <w:lang w:val="pt-PT"/>
              </w:rPr>
              <w:t>0020.</w:t>
            </w:r>
            <w:r w:rsidR="00FC3BFC" w:rsidRPr="00FA3856">
              <w:rPr>
                <w:rStyle w:val="Hyperlink"/>
                <w:bCs/>
                <w:color w:val="auto"/>
                <w:lang w:val="pt-PT"/>
              </w:rPr>
              <w:t xml:space="preserve">IND_PJ_HAB </w:t>
            </w:r>
            <w:r w:rsidR="00DF0640" w:rsidRPr="00FA3856">
              <w:rPr>
                <w:rStyle w:val="Hyperlink"/>
                <w:bCs/>
                <w:color w:val="auto"/>
                <w:lang w:val="pt-PT"/>
              </w:rPr>
              <w:t>é igual a “N”.</w:t>
            </w:r>
          </w:p>
        </w:tc>
        <w:tc>
          <w:tcPr>
            <w:tcW w:w="717" w:type="dxa"/>
            <w:tcBorders>
              <w:top w:val="single" w:sz="6" w:space="0" w:color="auto"/>
              <w:left w:val="single" w:sz="6" w:space="0" w:color="auto"/>
              <w:bottom w:val="single" w:sz="6" w:space="0" w:color="auto"/>
              <w:right w:val="single" w:sz="6" w:space="0" w:color="auto"/>
            </w:tcBorders>
          </w:tcPr>
          <w:p w:rsidR="001779BC" w:rsidRPr="00993BB9" w:rsidRDefault="00DF0640" w:rsidP="001779BC">
            <w:pPr>
              <w:pStyle w:val="PSDS-CorpodeTexto0"/>
              <w:rPr>
                <w:rFonts w:ascii="Times New Roman" w:hAnsi="Times New Roman"/>
                <w:bCs/>
              </w:rPr>
            </w:pPr>
            <w:r w:rsidRPr="00993BB9">
              <w:rPr>
                <w:rFonts w:ascii="Times New Roman" w:hAnsi="Times New Roman"/>
                <w:bCs/>
              </w:rPr>
              <w:t>Erro</w:t>
            </w:r>
          </w:p>
        </w:tc>
      </w:tr>
      <w:tr w:rsidR="001779BC" w:rsidRPr="00FA3856" w:rsidTr="001A297B">
        <w:trPr>
          <w:jc w:val="center"/>
        </w:trPr>
        <w:tc>
          <w:tcPr>
            <w:tcW w:w="485" w:type="dxa"/>
            <w:tcBorders>
              <w:top w:val="single" w:sz="6" w:space="0" w:color="auto"/>
              <w:left w:val="single" w:sz="6" w:space="0" w:color="auto"/>
              <w:bottom w:val="single" w:sz="6" w:space="0" w:color="auto"/>
              <w:right w:val="single" w:sz="6" w:space="0" w:color="auto"/>
            </w:tcBorders>
          </w:tcPr>
          <w:p w:rsidR="001779BC" w:rsidRPr="00FA3856" w:rsidRDefault="00757502" w:rsidP="001779BC">
            <w:pPr>
              <w:pStyle w:val="PSDS-CorpodeTexto0"/>
              <w:suppressAutoHyphens w:val="0"/>
              <w:rPr>
                <w:rFonts w:ascii="Times New Roman" w:hAnsi="Times New Roman"/>
                <w:b/>
                <w:bCs/>
              </w:rPr>
            </w:pPr>
            <w:r w:rsidRPr="00FA3856">
              <w:rPr>
                <w:rFonts w:ascii="Times New Roman" w:hAnsi="Times New Roman"/>
                <w:b/>
                <w:bCs/>
              </w:rPr>
              <w:t>29</w:t>
            </w:r>
          </w:p>
        </w:tc>
        <w:tc>
          <w:tcPr>
            <w:tcW w:w="2239" w:type="dxa"/>
            <w:tcBorders>
              <w:top w:val="single" w:sz="6" w:space="0" w:color="auto"/>
              <w:left w:val="single" w:sz="6" w:space="0" w:color="auto"/>
              <w:bottom w:val="single" w:sz="6" w:space="0" w:color="auto"/>
              <w:right w:val="single" w:sz="6" w:space="0" w:color="auto"/>
            </w:tcBorders>
          </w:tcPr>
          <w:p w:rsidR="001779BC" w:rsidRPr="00993BB9" w:rsidRDefault="001779BC" w:rsidP="001779BC">
            <w:pPr>
              <w:pStyle w:val="PSDS-CorpodeTexto0"/>
              <w:rPr>
                <w:rFonts w:ascii="Times New Roman" w:hAnsi="Times New Roman"/>
                <w:b/>
                <w:bCs/>
              </w:rPr>
            </w:pPr>
            <w:r w:rsidRPr="00993BB9">
              <w:rPr>
                <w:rFonts w:ascii="Times New Roman" w:hAnsi="Times New Roman"/>
              </w:rPr>
              <w:t>IND_POLO_AM</w:t>
            </w:r>
          </w:p>
        </w:tc>
        <w:tc>
          <w:tcPr>
            <w:tcW w:w="12929" w:type="dxa"/>
            <w:tcBorders>
              <w:top w:val="single" w:sz="6" w:space="0" w:color="auto"/>
              <w:left w:val="single" w:sz="6" w:space="0" w:color="auto"/>
              <w:bottom w:val="single" w:sz="6" w:space="0" w:color="auto"/>
              <w:right w:val="single" w:sz="6" w:space="0" w:color="auto"/>
            </w:tcBorders>
          </w:tcPr>
          <w:p w:rsidR="001779BC" w:rsidRPr="00FA3856" w:rsidRDefault="007D0E74" w:rsidP="00993BB9">
            <w:pPr>
              <w:pStyle w:val="PSDS-CorpodeTexto0"/>
              <w:jc w:val="both"/>
              <w:rPr>
                <w:rFonts w:ascii="Times New Roman" w:hAnsi="Times New Roman"/>
                <w:b/>
                <w:bCs/>
              </w:rPr>
            </w:pPr>
            <w:hyperlink w:anchor="REGRA_PREENCHIMENTO_IMUNE_ISENTA" w:history="1">
              <w:r w:rsidR="001779BC" w:rsidRPr="00FA3856">
                <w:rPr>
                  <w:rStyle w:val="Hyperlink"/>
                  <w:rFonts w:ascii="Times New Roman" w:hAnsi="Times New Roman"/>
                  <w:b/>
                  <w:color w:val="auto"/>
                </w:rPr>
                <w:t>REGRA_PREENCHIMENTO_IMUNE_ISENTA</w:t>
              </w:r>
            </w:hyperlink>
            <w:r w:rsidR="00DF0640" w:rsidRPr="00FA3856">
              <w:rPr>
                <w:rFonts w:ascii="Times New Roman" w:hAnsi="Times New Roman"/>
                <w:b/>
              </w:rPr>
              <w:t xml:space="preserve">: </w:t>
            </w:r>
            <w:r w:rsidR="00DF0640" w:rsidRPr="00FA3856">
              <w:rPr>
                <w:rFonts w:ascii="Times New Roman" w:hAnsi="Times New Roman"/>
                <w:lang w:val="pt-PT"/>
              </w:rPr>
              <w:t>Verifica, quando 0010.</w:t>
            </w:r>
            <w:r w:rsidR="00FC3BFC" w:rsidRPr="00FA3856">
              <w:rPr>
                <w:rStyle w:val="Hyperlink"/>
                <w:rFonts w:ascii="Times New Roman" w:hAnsi="Times New Roman"/>
                <w:bCs/>
                <w:color w:val="auto"/>
                <w:lang w:val="pt-PT"/>
              </w:rPr>
              <w:t>FORMA_TRIB é igual a “8” (Imune do</w:t>
            </w:r>
            <w:r w:rsidR="00DF0640" w:rsidRPr="00FA3856">
              <w:rPr>
                <w:rStyle w:val="Hyperlink"/>
                <w:rFonts w:ascii="Times New Roman" w:hAnsi="Times New Roman"/>
                <w:bCs/>
                <w:color w:val="auto"/>
                <w:lang w:val="pt-PT"/>
              </w:rPr>
              <w:t xml:space="preserve"> IRPJ) ou “9” (Isento do IPRJ), se </w:t>
            </w:r>
            <w:r w:rsidR="00BF3C79" w:rsidRPr="00FA3856">
              <w:rPr>
                <w:rStyle w:val="Hyperlink"/>
                <w:rFonts w:ascii="Times New Roman" w:hAnsi="Times New Roman"/>
                <w:bCs/>
                <w:color w:val="auto"/>
                <w:lang w:val="pt-PT"/>
              </w:rPr>
              <w:t>0020.</w:t>
            </w:r>
            <w:r w:rsidR="00DF0640" w:rsidRPr="00FA3856">
              <w:rPr>
                <w:rStyle w:val="Hyperlink"/>
                <w:rFonts w:ascii="Times New Roman" w:hAnsi="Times New Roman"/>
                <w:bCs/>
                <w:color w:val="auto"/>
                <w:lang w:val="pt-PT"/>
              </w:rPr>
              <w:t>IND</w:t>
            </w:r>
            <w:r w:rsidR="00FC3BFC" w:rsidRPr="00FA3856">
              <w:rPr>
                <w:rStyle w:val="Hyperlink"/>
                <w:rFonts w:ascii="Times New Roman" w:hAnsi="Times New Roman"/>
                <w:bCs/>
                <w:color w:val="auto"/>
                <w:lang w:val="pt-PT"/>
              </w:rPr>
              <w:t xml:space="preserve">_POLO_AM </w:t>
            </w:r>
            <w:r w:rsidR="00420F2B" w:rsidRPr="00FA3856">
              <w:rPr>
                <w:rStyle w:val="Hyperlink"/>
                <w:rFonts w:ascii="Times New Roman" w:hAnsi="Times New Roman"/>
                <w:bCs/>
                <w:color w:val="auto"/>
                <w:lang w:val="pt-PT"/>
              </w:rPr>
              <w:t>é igual a “N</w:t>
            </w:r>
            <w:r w:rsidR="00DF0640" w:rsidRPr="00FA3856">
              <w:rPr>
                <w:rStyle w:val="Hyperlink"/>
                <w:rFonts w:ascii="Times New Roman" w:hAnsi="Times New Roman"/>
                <w:bCs/>
                <w:color w:val="auto"/>
                <w:lang w:val="pt-PT"/>
              </w:rPr>
              <w:t>”.</w:t>
            </w:r>
          </w:p>
        </w:tc>
        <w:tc>
          <w:tcPr>
            <w:tcW w:w="717" w:type="dxa"/>
            <w:tcBorders>
              <w:top w:val="single" w:sz="6" w:space="0" w:color="auto"/>
              <w:left w:val="single" w:sz="6" w:space="0" w:color="auto"/>
              <w:bottom w:val="single" w:sz="6" w:space="0" w:color="auto"/>
              <w:right w:val="single" w:sz="6" w:space="0" w:color="auto"/>
            </w:tcBorders>
          </w:tcPr>
          <w:p w:rsidR="001779BC" w:rsidRPr="00993BB9" w:rsidRDefault="00DF0640" w:rsidP="001779BC">
            <w:pPr>
              <w:pStyle w:val="PSDS-CorpodeTexto0"/>
              <w:rPr>
                <w:rFonts w:ascii="Times New Roman" w:hAnsi="Times New Roman"/>
                <w:bCs/>
              </w:rPr>
            </w:pPr>
            <w:r w:rsidRPr="00993BB9">
              <w:rPr>
                <w:rFonts w:ascii="Times New Roman" w:hAnsi="Times New Roman"/>
                <w:bCs/>
              </w:rPr>
              <w:t>Erro</w:t>
            </w:r>
          </w:p>
        </w:tc>
      </w:tr>
      <w:tr w:rsidR="001779BC" w:rsidRPr="00FA3856" w:rsidTr="001A297B">
        <w:trPr>
          <w:jc w:val="center"/>
        </w:trPr>
        <w:tc>
          <w:tcPr>
            <w:tcW w:w="485" w:type="dxa"/>
            <w:tcBorders>
              <w:top w:val="single" w:sz="6" w:space="0" w:color="auto"/>
              <w:left w:val="single" w:sz="6" w:space="0" w:color="auto"/>
              <w:bottom w:val="single" w:sz="6" w:space="0" w:color="auto"/>
              <w:right w:val="single" w:sz="6" w:space="0" w:color="auto"/>
            </w:tcBorders>
          </w:tcPr>
          <w:p w:rsidR="001779BC" w:rsidRPr="00FA3856" w:rsidRDefault="00757502" w:rsidP="001779BC">
            <w:pPr>
              <w:pStyle w:val="PSDS-CorpodeTexto0"/>
              <w:suppressAutoHyphens w:val="0"/>
              <w:rPr>
                <w:rFonts w:ascii="Times New Roman" w:hAnsi="Times New Roman"/>
                <w:b/>
                <w:bCs/>
              </w:rPr>
            </w:pPr>
            <w:r w:rsidRPr="00FA3856">
              <w:rPr>
                <w:rFonts w:ascii="Times New Roman" w:hAnsi="Times New Roman"/>
                <w:b/>
                <w:bCs/>
              </w:rPr>
              <w:t>30</w:t>
            </w:r>
          </w:p>
        </w:tc>
        <w:tc>
          <w:tcPr>
            <w:tcW w:w="2239" w:type="dxa"/>
            <w:tcBorders>
              <w:top w:val="single" w:sz="6" w:space="0" w:color="auto"/>
              <w:left w:val="single" w:sz="6" w:space="0" w:color="auto"/>
              <w:bottom w:val="single" w:sz="6" w:space="0" w:color="auto"/>
              <w:right w:val="single" w:sz="6" w:space="0" w:color="auto"/>
            </w:tcBorders>
          </w:tcPr>
          <w:p w:rsidR="001779BC" w:rsidRPr="00FA3856" w:rsidRDefault="001779BC" w:rsidP="001779BC">
            <w:pPr>
              <w:pStyle w:val="PSDS-CorpodeTexto0"/>
              <w:rPr>
                <w:rFonts w:ascii="Times New Roman" w:hAnsi="Times New Roman"/>
                <w:b/>
                <w:bCs/>
              </w:rPr>
            </w:pPr>
            <w:r w:rsidRPr="00FA3856">
              <w:rPr>
                <w:rFonts w:ascii="Times New Roman" w:hAnsi="Times New Roman"/>
              </w:rPr>
              <w:t>IND_ZON_EXP</w:t>
            </w:r>
          </w:p>
        </w:tc>
        <w:tc>
          <w:tcPr>
            <w:tcW w:w="12929" w:type="dxa"/>
            <w:tcBorders>
              <w:top w:val="single" w:sz="6" w:space="0" w:color="auto"/>
              <w:left w:val="single" w:sz="6" w:space="0" w:color="auto"/>
              <w:bottom w:val="single" w:sz="6" w:space="0" w:color="auto"/>
              <w:right w:val="single" w:sz="6" w:space="0" w:color="auto"/>
            </w:tcBorders>
          </w:tcPr>
          <w:p w:rsidR="001779BC" w:rsidRPr="00FA3856" w:rsidRDefault="007D0E74" w:rsidP="001779BC">
            <w:pPr>
              <w:pStyle w:val="PSDS-CorpodeTexto0"/>
              <w:jc w:val="both"/>
              <w:rPr>
                <w:rFonts w:ascii="Times New Roman" w:hAnsi="Times New Roman"/>
                <w:b/>
                <w:bCs/>
              </w:rPr>
            </w:pPr>
            <w:hyperlink w:anchor="REGRA_PREENCHIMENTO_IMUNE_ISENTA" w:history="1">
              <w:r w:rsidR="001779BC" w:rsidRPr="00FA3856">
                <w:rPr>
                  <w:rStyle w:val="Hyperlink"/>
                  <w:rFonts w:ascii="Times New Roman" w:hAnsi="Times New Roman"/>
                  <w:b/>
                  <w:color w:val="auto"/>
                </w:rPr>
                <w:t>REGRA_PREENCHIMENTO_IMUNE_ISENTA</w:t>
              </w:r>
            </w:hyperlink>
            <w:r w:rsidR="00DF0640" w:rsidRPr="00FA3856">
              <w:rPr>
                <w:rFonts w:ascii="Times New Roman" w:hAnsi="Times New Roman"/>
                <w:b/>
              </w:rPr>
              <w:t xml:space="preserve">: </w:t>
            </w:r>
            <w:r w:rsidR="00DF0640" w:rsidRPr="00FA3856">
              <w:rPr>
                <w:rFonts w:ascii="Times New Roman" w:hAnsi="Times New Roman"/>
                <w:lang w:val="pt-PT"/>
              </w:rPr>
              <w:t>Verifica, quando 0010.</w:t>
            </w:r>
            <w:r w:rsidR="00FC3BFC" w:rsidRPr="00FA3856">
              <w:rPr>
                <w:rStyle w:val="Hyperlink"/>
                <w:rFonts w:ascii="Times New Roman" w:hAnsi="Times New Roman"/>
                <w:bCs/>
                <w:color w:val="auto"/>
                <w:lang w:val="pt-PT"/>
              </w:rPr>
              <w:t>FORMA_TRIB é</w:t>
            </w:r>
            <w:r w:rsidR="00DF0640" w:rsidRPr="00FA3856">
              <w:rPr>
                <w:rStyle w:val="Hyperlink"/>
                <w:rFonts w:ascii="Times New Roman" w:hAnsi="Times New Roman"/>
                <w:bCs/>
                <w:color w:val="auto"/>
                <w:lang w:val="pt-PT"/>
              </w:rPr>
              <w:t xml:space="preserve"> </w:t>
            </w:r>
            <w:r w:rsidR="00FC3BFC" w:rsidRPr="00FA3856">
              <w:rPr>
                <w:rStyle w:val="Hyperlink"/>
                <w:rFonts w:ascii="Times New Roman" w:hAnsi="Times New Roman"/>
                <w:bCs/>
                <w:color w:val="auto"/>
                <w:lang w:val="pt-PT"/>
              </w:rPr>
              <w:t>igual a “8” (Imune do</w:t>
            </w:r>
            <w:r w:rsidR="00DF0640" w:rsidRPr="00FA3856">
              <w:rPr>
                <w:rStyle w:val="Hyperlink"/>
                <w:rFonts w:ascii="Times New Roman" w:hAnsi="Times New Roman"/>
                <w:bCs/>
                <w:color w:val="auto"/>
                <w:lang w:val="pt-PT"/>
              </w:rPr>
              <w:t xml:space="preserve"> IRPJ) ou “9” (Isento do IPRJ), se </w:t>
            </w:r>
            <w:r w:rsidR="00BF3C79" w:rsidRPr="00FA3856">
              <w:rPr>
                <w:rStyle w:val="Hyperlink"/>
                <w:rFonts w:ascii="Times New Roman" w:hAnsi="Times New Roman"/>
                <w:bCs/>
                <w:color w:val="auto"/>
                <w:lang w:val="pt-PT"/>
              </w:rPr>
              <w:t>0020.</w:t>
            </w:r>
            <w:r w:rsidR="00DF0640" w:rsidRPr="00FA3856">
              <w:rPr>
                <w:rStyle w:val="Hyperlink"/>
                <w:rFonts w:ascii="Times New Roman" w:hAnsi="Times New Roman"/>
                <w:bCs/>
                <w:color w:val="auto"/>
                <w:lang w:val="pt-PT"/>
              </w:rPr>
              <w:t>IND</w:t>
            </w:r>
            <w:r w:rsidR="00FC3BFC" w:rsidRPr="00FA3856">
              <w:rPr>
                <w:rStyle w:val="Hyperlink"/>
                <w:rFonts w:ascii="Times New Roman" w:hAnsi="Times New Roman"/>
                <w:bCs/>
                <w:color w:val="auto"/>
                <w:lang w:val="pt-PT"/>
              </w:rPr>
              <w:t xml:space="preserve">_ZON_EXP </w:t>
            </w:r>
            <w:r w:rsidR="00420F2B" w:rsidRPr="00FA3856">
              <w:rPr>
                <w:rStyle w:val="Hyperlink"/>
                <w:rFonts w:ascii="Times New Roman" w:hAnsi="Times New Roman"/>
                <w:bCs/>
                <w:color w:val="auto"/>
                <w:lang w:val="pt-PT"/>
              </w:rPr>
              <w:t>é igual a “N</w:t>
            </w:r>
            <w:r w:rsidR="00DF0640" w:rsidRPr="00FA3856">
              <w:rPr>
                <w:rStyle w:val="Hyperlink"/>
                <w:rFonts w:ascii="Times New Roman" w:hAnsi="Times New Roman"/>
                <w:bCs/>
                <w:color w:val="auto"/>
                <w:lang w:val="pt-PT"/>
              </w:rPr>
              <w:t>”.</w:t>
            </w:r>
          </w:p>
        </w:tc>
        <w:tc>
          <w:tcPr>
            <w:tcW w:w="717" w:type="dxa"/>
            <w:tcBorders>
              <w:top w:val="single" w:sz="6" w:space="0" w:color="auto"/>
              <w:left w:val="single" w:sz="6" w:space="0" w:color="auto"/>
              <w:bottom w:val="single" w:sz="6" w:space="0" w:color="auto"/>
              <w:right w:val="single" w:sz="6" w:space="0" w:color="auto"/>
            </w:tcBorders>
          </w:tcPr>
          <w:p w:rsidR="001779BC" w:rsidRPr="00FA3856" w:rsidRDefault="00DF0640" w:rsidP="001779BC">
            <w:pPr>
              <w:pStyle w:val="PSDS-CorpodeTexto0"/>
              <w:rPr>
                <w:rFonts w:ascii="Times New Roman" w:hAnsi="Times New Roman"/>
                <w:bCs/>
              </w:rPr>
            </w:pPr>
            <w:r w:rsidRPr="00FA3856">
              <w:rPr>
                <w:rFonts w:ascii="Times New Roman" w:hAnsi="Times New Roman"/>
                <w:bCs/>
              </w:rPr>
              <w:t>Erro</w:t>
            </w:r>
          </w:p>
        </w:tc>
      </w:tr>
      <w:tr w:rsidR="004D3026" w:rsidRPr="00FA3856" w:rsidTr="004D3026">
        <w:trPr>
          <w:jc w:val="center"/>
        </w:trPr>
        <w:tc>
          <w:tcPr>
            <w:tcW w:w="485" w:type="dxa"/>
            <w:tcBorders>
              <w:top w:val="single" w:sz="6" w:space="0" w:color="auto"/>
              <w:left w:val="single" w:sz="6" w:space="0" w:color="auto"/>
              <w:bottom w:val="single" w:sz="6" w:space="0" w:color="auto"/>
              <w:right w:val="single" w:sz="6" w:space="0" w:color="auto"/>
            </w:tcBorders>
          </w:tcPr>
          <w:p w:rsidR="004D3026" w:rsidRPr="00FA3856" w:rsidRDefault="004D3026" w:rsidP="004D3026">
            <w:pPr>
              <w:pStyle w:val="PSDS-CorpodeTexto0"/>
              <w:suppressAutoHyphens w:val="0"/>
              <w:rPr>
                <w:rFonts w:ascii="Times New Roman" w:hAnsi="Times New Roman"/>
                <w:b/>
                <w:bCs/>
              </w:rPr>
            </w:pPr>
            <w:r w:rsidRPr="00FA3856">
              <w:rPr>
                <w:rFonts w:ascii="Times New Roman" w:hAnsi="Times New Roman"/>
                <w:b/>
                <w:bCs/>
              </w:rPr>
              <w:t>31</w:t>
            </w:r>
          </w:p>
        </w:tc>
        <w:tc>
          <w:tcPr>
            <w:tcW w:w="2239" w:type="dxa"/>
            <w:tcBorders>
              <w:top w:val="single" w:sz="6" w:space="0" w:color="auto"/>
              <w:left w:val="single" w:sz="6" w:space="0" w:color="auto"/>
              <w:bottom w:val="single" w:sz="6" w:space="0" w:color="auto"/>
              <w:right w:val="single" w:sz="6" w:space="0" w:color="auto"/>
            </w:tcBorders>
          </w:tcPr>
          <w:p w:rsidR="004D3026" w:rsidRPr="00FA3856" w:rsidRDefault="004D3026" w:rsidP="004D3026">
            <w:pPr>
              <w:pStyle w:val="PSDS-CorpodeTexto0"/>
              <w:rPr>
                <w:rFonts w:ascii="Times New Roman" w:hAnsi="Times New Roman"/>
                <w:b/>
                <w:bCs/>
                <w:lang w:val="en-US"/>
              </w:rPr>
            </w:pPr>
            <w:r w:rsidRPr="00FA3856">
              <w:rPr>
                <w:rFonts w:ascii="Times New Roman" w:hAnsi="Times New Roman"/>
                <w:lang w:val="en-US"/>
              </w:rPr>
              <w:t>IND_AREA_COM</w:t>
            </w:r>
          </w:p>
        </w:tc>
        <w:tc>
          <w:tcPr>
            <w:tcW w:w="12929" w:type="dxa"/>
            <w:tcBorders>
              <w:top w:val="single" w:sz="6" w:space="0" w:color="auto"/>
              <w:left w:val="single" w:sz="6" w:space="0" w:color="auto"/>
              <w:bottom w:val="single" w:sz="6" w:space="0" w:color="auto"/>
              <w:right w:val="single" w:sz="6" w:space="0" w:color="auto"/>
            </w:tcBorders>
          </w:tcPr>
          <w:p w:rsidR="004D3026" w:rsidRPr="00FA3856" w:rsidRDefault="007D0E74" w:rsidP="004D3026">
            <w:pPr>
              <w:pStyle w:val="PSDS-CorpodeTexto0"/>
              <w:jc w:val="both"/>
              <w:rPr>
                <w:rFonts w:ascii="Times New Roman" w:hAnsi="Times New Roman"/>
                <w:b/>
                <w:bCs/>
              </w:rPr>
            </w:pPr>
            <w:hyperlink w:anchor="REGRA_PREENCHIMENTO_IMUNE_ISENTA" w:history="1">
              <w:r w:rsidR="004D3026" w:rsidRPr="00FA3856">
                <w:rPr>
                  <w:rStyle w:val="Hyperlink"/>
                  <w:rFonts w:ascii="Times New Roman" w:hAnsi="Times New Roman"/>
                  <w:b/>
                  <w:color w:val="auto"/>
                </w:rPr>
                <w:t>REGRA_PREENCHIMENTO_IMUNE_ISENTA</w:t>
              </w:r>
            </w:hyperlink>
            <w:r w:rsidR="004D3026" w:rsidRPr="00FA3856">
              <w:rPr>
                <w:rFonts w:ascii="Times New Roman" w:hAnsi="Times New Roman"/>
                <w:b/>
              </w:rPr>
              <w:t xml:space="preserve">: </w:t>
            </w:r>
            <w:r w:rsidR="004D3026" w:rsidRPr="00FA3856">
              <w:rPr>
                <w:rFonts w:ascii="Times New Roman" w:hAnsi="Times New Roman"/>
                <w:lang w:val="pt-PT"/>
              </w:rPr>
              <w:t>Verifica, quando 0010.</w:t>
            </w:r>
            <w:r w:rsidR="004D3026" w:rsidRPr="00FA3856">
              <w:rPr>
                <w:rStyle w:val="Hyperlink"/>
                <w:rFonts w:ascii="Times New Roman" w:hAnsi="Times New Roman"/>
                <w:bCs/>
                <w:color w:val="auto"/>
                <w:lang w:val="pt-PT"/>
              </w:rPr>
              <w:t>FORMA_TRIB é igual a “8” (Imune do IRPJ) ou “9” (Isento do IPRJ), se 0020.IND_AREA_COM é igual a “N”.</w:t>
            </w:r>
          </w:p>
        </w:tc>
        <w:tc>
          <w:tcPr>
            <w:tcW w:w="717" w:type="dxa"/>
            <w:tcBorders>
              <w:top w:val="single" w:sz="6" w:space="0" w:color="auto"/>
              <w:left w:val="single" w:sz="6" w:space="0" w:color="auto"/>
              <w:bottom w:val="single" w:sz="6" w:space="0" w:color="auto"/>
              <w:right w:val="single" w:sz="6" w:space="0" w:color="auto"/>
            </w:tcBorders>
          </w:tcPr>
          <w:p w:rsidR="004D3026" w:rsidRPr="00FA3856" w:rsidRDefault="004D3026" w:rsidP="004D3026">
            <w:pPr>
              <w:pStyle w:val="PSDS-CorpodeTexto0"/>
              <w:rPr>
                <w:rFonts w:ascii="Times New Roman" w:hAnsi="Times New Roman"/>
                <w:bCs/>
                <w:lang w:val="en-US"/>
              </w:rPr>
            </w:pPr>
            <w:r w:rsidRPr="00FA3856">
              <w:rPr>
                <w:rFonts w:ascii="Times New Roman" w:hAnsi="Times New Roman"/>
                <w:bCs/>
                <w:lang w:val="en-US"/>
              </w:rPr>
              <w:t>Erro</w:t>
            </w:r>
          </w:p>
        </w:tc>
      </w:tr>
    </w:tbl>
    <w:p w:rsidR="00342F1D" w:rsidRDefault="009C488E" w:rsidP="009C488E">
      <w:pPr>
        <w:pStyle w:val="Corpodetexto"/>
        <w:rPr>
          <w:rFonts w:ascii="Times New Roman" w:hAnsi="Times New Roman"/>
          <w:b/>
          <w:color w:val="002060"/>
          <w:szCs w:val="20"/>
        </w:rPr>
      </w:pPr>
      <w:r w:rsidRPr="00FA3856">
        <w:rPr>
          <w:rFonts w:ascii="Times New Roman" w:hAnsi="Times New Roman"/>
          <w:b/>
          <w:color w:val="002060"/>
          <w:szCs w:val="20"/>
        </w:rPr>
        <w:lastRenderedPageBreak/>
        <w:t xml:space="preserve">Exemplo de Preenchimento: </w:t>
      </w:r>
    </w:p>
    <w:p w:rsidR="00342F1D" w:rsidRDefault="00342F1D" w:rsidP="009C488E">
      <w:pPr>
        <w:pStyle w:val="Corpodetexto"/>
        <w:rPr>
          <w:rFonts w:ascii="Times New Roman" w:hAnsi="Times New Roman"/>
          <w:b/>
          <w:color w:val="002060"/>
          <w:szCs w:val="20"/>
        </w:rPr>
      </w:pPr>
    </w:p>
    <w:p w:rsidR="009C488E" w:rsidRPr="00FA3856" w:rsidRDefault="009C488E" w:rsidP="009C488E">
      <w:pPr>
        <w:pStyle w:val="Corpodetexto"/>
        <w:rPr>
          <w:rFonts w:ascii="Times New Roman" w:hAnsi="Times New Roman"/>
          <w:b/>
          <w:color w:val="002060"/>
          <w:szCs w:val="20"/>
        </w:rPr>
      </w:pPr>
      <w:r w:rsidRPr="00FA3856">
        <w:rPr>
          <w:rFonts w:ascii="Times New Roman" w:hAnsi="Times New Roman"/>
          <w:b/>
          <w:color w:val="002060"/>
          <w:szCs w:val="20"/>
        </w:rPr>
        <w:t>|0020</w:t>
      </w:r>
      <w:r w:rsidR="00270311">
        <w:rPr>
          <w:rFonts w:ascii="Times New Roman" w:hAnsi="Times New Roman"/>
          <w:b/>
          <w:color w:val="002060"/>
          <w:szCs w:val="20"/>
        </w:rPr>
        <w:t>|2</w:t>
      </w:r>
      <w:r w:rsidR="0037345B" w:rsidRPr="00FA3856">
        <w:rPr>
          <w:rFonts w:ascii="Times New Roman" w:hAnsi="Times New Roman"/>
          <w:b/>
          <w:color w:val="002060"/>
          <w:szCs w:val="20"/>
        </w:rPr>
        <w:t>|0|N|N|S|N|N|S|N|N|N|N|N|S|N|N|S|N|N|</w:t>
      </w:r>
      <w:r w:rsidR="002070F8" w:rsidRPr="00FA3856">
        <w:rPr>
          <w:rFonts w:ascii="Times New Roman" w:hAnsi="Times New Roman"/>
          <w:b/>
          <w:color w:val="002060"/>
          <w:szCs w:val="20"/>
        </w:rPr>
        <w:t>N|N|N|N|N|N|N|N|N|N|N|</w:t>
      </w:r>
    </w:p>
    <w:p w:rsidR="009C488E" w:rsidRPr="00FA3856" w:rsidRDefault="009C488E" w:rsidP="009C488E">
      <w:pPr>
        <w:pStyle w:val="Corpodetexto"/>
        <w:ind w:firstLine="708"/>
        <w:rPr>
          <w:rFonts w:ascii="Times New Roman" w:hAnsi="Times New Roman"/>
          <w:color w:val="002060"/>
          <w:szCs w:val="20"/>
        </w:rPr>
      </w:pPr>
      <w:r w:rsidRPr="00FA3856">
        <w:rPr>
          <w:rFonts w:ascii="Times New Roman" w:hAnsi="Times New Roman"/>
          <w:color w:val="002060"/>
          <w:szCs w:val="20"/>
        </w:rPr>
        <w:t>|0020|: Identificação do tipo do registro.</w:t>
      </w:r>
    </w:p>
    <w:p w:rsidR="009C488E" w:rsidRPr="00FA3856" w:rsidRDefault="00270311" w:rsidP="009C488E">
      <w:pPr>
        <w:pStyle w:val="Corpodetexto"/>
        <w:ind w:firstLine="708"/>
        <w:rPr>
          <w:rFonts w:ascii="Times New Roman" w:hAnsi="Times New Roman"/>
          <w:color w:val="002060"/>
          <w:szCs w:val="20"/>
        </w:rPr>
      </w:pPr>
      <w:r>
        <w:rPr>
          <w:rFonts w:ascii="Times New Roman" w:hAnsi="Times New Roman"/>
          <w:color w:val="002060"/>
          <w:szCs w:val="20"/>
        </w:rPr>
        <w:t>|2</w:t>
      </w:r>
      <w:r w:rsidR="009C488E" w:rsidRPr="00FA3856">
        <w:rPr>
          <w:rFonts w:ascii="Times New Roman" w:hAnsi="Times New Roman"/>
          <w:color w:val="002060"/>
          <w:szCs w:val="20"/>
        </w:rPr>
        <w:t xml:space="preserve">|: </w:t>
      </w:r>
      <w:r w:rsidR="0037345B" w:rsidRPr="00FA3856">
        <w:rPr>
          <w:rFonts w:ascii="Times New Roman" w:hAnsi="Times New Roman"/>
          <w:color w:val="002060"/>
          <w:szCs w:val="20"/>
        </w:rPr>
        <w:t>PJ sujeita à a</w:t>
      </w:r>
      <w:r>
        <w:rPr>
          <w:rFonts w:ascii="Times New Roman" w:hAnsi="Times New Roman"/>
          <w:color w:val="002060"/>
          <w:szCs w:val="20"/>
        </w:rPr>
        <w:t>líquota da CSLL de 17%</w:t>
      </w:r>
      <w:r w:rsidR="0037345B" w:rsidRPr="00FA3856">
        <w:rPr>
          <w:rFonts w:ascii="Times New Roman" w:hAnsi="Times New Roman"/>
          <w:color w:val="002060"/>
          <w:szCs w:val="20"/>
        </w:rPr>
        <w:t>.</w:t>
      </w:r>
    </w:p>
    <w:p w:rsidR="0037345B" w:rsidRPr="00FA3856" w:rsidRDefault="0037345B" w:rsidP="009C488E">
      <w:pPr>
        <w:pStyle w:val="Corpodetexto"/>
        <w:ind w:firstLine="708"/>
        <w:rPr>
          <w:rFonts w:ascii="Times New Roman" w:hAnsi="Times New Roman"/>
          <w:color w:val="002060"/>
          <w:szCs w:val="20"/>
        </w:rPr>
      </w:pPr>
      <w:r w:rsidRPr="00FA3856">
        <w:rPr>
          <w:rFonts w:ascii="Times New Roman" w:hAnsi="Times New Roman"/>
          <w:color w:val="002060"/>
          <w:szCs w:val="20"/>
        </w:rPr>
        <w:t>|0|: Quantidade de SCP da PJ (Não há SCP).</w:t>
      </w:r>
    </w:p>
    <w:p w:rsidR="0037345B" w:rsidRPr="00FA3856" w:rsidRDefault="0037345B" w:rsidP="009C488E">
      <w:pPr>
        <w:pStyle w:val="Corpodetexto"/>
        <w:ind w:firstLine="708"/>
        <w:rPr>
          <w:rFonts w:ascii="Times New Roman" w:hAnsi="Times New Roman"/>
          <w:color w:val="002060"/>
          <w:szCs w:val="20"/>
        </w:rPr>
      </w:pPr>
      <w:r w:rsidRPr="00FA3856">
        <w:rPr>
          <w:rFonts w:ascii="Times New Roman" w:hAnsi="Times New Roman"/>
          <w:color w:val="002060"/>
          <w:szCs w:val="20"/>
        </w:rPr>
        <w:t>|N|: Administração de fundos e clubes de investimento (N = Não).</w:t>
      </w:r>
    </w:p>
    <w:p w:rsidR="0037345B" w:rsidRPr="00FA3856" w:rsidRDefault="0037345B" w:rsidP="009C488E">
      <w:pPr>
        <w:pStyle w:val="Corpodetexto"/>
        <w:ind w:firstLine="708"/>
        <w:rPr>
          <w:rFonts w:ascii="Times New Roman" w:hAnsi="Times New Roman"/>
          <w:color w:val="002060"/>
          <w:szCs w:val="20"/>
        </w:rPr>
      </w:pPr>
      <w:r w:rsidRPr="00FA3856">
        <w:rPr>
          <w:rFonts w:ascii="Times New Roman" w:hAnsi="Times New Roman"/>
          <w:color w:val="002060"/>
          <w:szCs w:val="20"/>
        </w:rPr>
        <w:t xml:space="preserve">|N|: </w:t>
      </w:r>
      <w:r w:rsidR="00685FA5" w:rsidRPr="00FA3856">
        <w:rPr>
          <w:rFonts w:ascii="Times New Roman" w:hAnsi="Times New Roman"/>
          <w:color w:val="002060"/>
          <w:szCs w:val="20"/>
        </w:rPr>
        <w:t>Participações</w:t>
      </w:r>
      <w:r w:rsidRPr="00FA3856">
        <w:rPr>
          <w:rFonts w:ascii="Times New Roman" w:hAnsi="Times New Roman"/>
          <w:color w:val="002060"/>
          <w:szCs w:val="20"/>
        </w:rPr>
        <w:t xml:space="preserve"> em consórcio de empresa (N = Não).</w:t>
      </w:r>
    </w:p>
    <w:p w:rsidR="0037345B" w:rsidRPr="00FA3856" w:rsidRDefault="0037345B" w:rsidP="009C488E">
      <w:pPr>
        <w:pStyle w:val="Corpodetexto"/>
        <w:ind w:firstLine="708"/>
        <w:rPr>
          <w:rFonts w:ascii="Times New Roman" w:hAnsi="Times New Roman"/>
          <w:color w:val="002060"/>
          <w:szCs w:val="20"/>
        </w:rPr>
      </w:pPr>
      <w:r w:rsidRPr="00FA3856">
        <w:rPr>
          <w:rFonts w:ascii="Times New Roman" w:hAnsi="Times New Roman"/>
          <w:color w:val="002060"/>
          <w:szCs w:val="20"/>
        </w:rPr>
        <w:t>|S|: Operações com o exterior (S = Sim).</w:t>
      </w:r>
    </w:p>
    <w:p w:rsidR="0037345B" w:rsidRPr="00FA3856" w:rsidRDefault="0037345B" w:rsidP="009C488E">
      <w:pPr>
        <w:pStyle w:val="Corpodetexto"/>
        <w:ind w:firstLine="708"/>
        <w:rPr>
          <w:rFonts w:ascii="Times New Roman" w:hAnsi="Times New Roman"/>
          <w:color w:val="002060"/>
          <w:szCs w:val="20"/>
        </w:rPr>
      </w:pPr>
      <w:r w:rsidRPr="00FA3856">
        <w:rPr>
          <w:rFonts w:ascii="Times New Roman" w:hAnsi="Times New Roman"/>
          <w:color w:val="002060"/>
          <w:szCs w:val="20"/>
        </w:rPr>
        <w:t>|N|: Operações com pessoa vinculada/interposta pessoa/país com tributação favorecida (N = Não).</w:t>
      </w:r>
    </w:p>
    <w:p w:rsidR="0037345B" w:rsidRPr="00FA3856" w:rsidRDefault="0037345B" w:rsidP="009C488E">
      <w:pPr>
        <w:pStyle w:val="Corpodetexto"/>
        <w:ind w:firstLine="708"/>
        <w:rPr>
          <w:rFonts w:ascii="Times New Roman" w:hAnsi="Times New Roman"/>
          <w:color w:val="002060"/>
          <w:szCs w:val="20"/>
        </w:rPr>
      </w:pPr>
      <w:r w:rsidRPr="00FA3856">
        <w:rPr>
          <w:rFonts w:ascii="Times New Roman" w:hAnsi="Times New Roman"/>
          <w:color w:val="002060"/>
          <w:szCs w:val="20"/>
        </w:rPr>
        <w:t>|N|: PJ enquadrada nos artigos 48 ou 49 da IN RFB n</w:t>
      </w:r>
      <w:r w:rsidRPr="00FA3856">
        <w:rPr>
          <w:rFonts w:ascii="Times New Roman" w:hAnsi="Times New Roman"/>
          <w:color w:val="002060"/>
          <w:szCs w:val="20"/>
          <w:u w:val="single"/>
          <w:vertAlign w:val="superscript"/>
        </w:rPr>
        <w:t>o</w:t>
      </w:r>
      <w:r w:rsidRPr="00FA3856">
        <w:rPr>
          <w:rFonts w:ascii="Times New Roman" w:hAnsi="Times New Roman"/>
          <w:color w:val="002060"/>
          <w:szCs w:val="20"/>
        </w:rPr>
        <w:t xml:space="preserve"> 1.312/2012 (N = Não).</w:t>
      </w:r>
    </w:p>
    <w:p w:rsidR="0037345B" w:rsidRPr="00FA3856" w:rsidRDefault="0037345B" w:rsidP="009C488E">
      <w:pPr>
        <w:pStyle w:val="Corpodetexto"/>
        <w:ind w:firstLine="708"/>
        <w:rPr>
          <w:rFonts w:ascii="Times New Roman" w:hAnsi="Times New Roman"/>
          <w:color w:val="002060"/>
          <w:szCs w:val="20"/>
        </w:rPr>
      </w:pPr>
      <w:r w:rsidRPr="00FA3856">
        <w:rPr>
          <w:rFonts w:ascii="Times New Roman" w:hAnsi="Times New Roman"/>
          <w:color w:val="002060"/>
          <w:szCs w:val="20"/>
        </w:rPr>
        <w:t>|S|: Participações no exterior (S = Sim).</w:t>
      </w:r>
    </w:p>
    <w:p w:rsidR="0037345B" w:rsidRPr="00FA3856" w:rsidRDefault="0037345B" w:rsidP="009C488E">
      <w:pPr>
        <w:pStyle w:val="Corpodetexto"/>
        <w:ind w:firstLine="708"/>
        <w:rPr>
          <w:rFonts w:ascii="Times New Roman" w:hAnsi="Times New Roman"/>
          <w:color w:val="002060"/>
          <w:szCs w:val="20"/>
        </w:rPr>
      </w:pPr>
      <w:r w:rsidRPr="00FA3856">
        <w:rPr>
          <w:rFonts w:ascii="Times New Roman" w:hAnsi="Times New Roman"/>
          <w:color w:val="002060"/>
          <w:szCs w:val="20"/>
        </w:rPr>
        <w:t>|N|: Atividade rural (N = Não).</w:t>
      </w:r>
    </w:p>
    <w:p w:rsidR="0037345B" w:rsidRPr="00FA3856" w:rsidRDefault="0037345B" w:rsidP="009C488E">
      <w:pPr>
        <w:pStyle w:val="Corpodetexto"/>
        <w:ind w:firstLine="708"/>
        <w:rPr>
          <w:rFonts w:ascii="Times New Roman" w:hAnsi="Times New Roman"/>
          <w:color w:val="002060"/>
          <w:szCs w:val="20"/>
        </w:rPr>
      </w:pPr>
      <w:r w:rsidRPr="00FA3856">
        <w:rPr>
          <w:rFonts w:ascii="Times New Roman" w:hAnsi="Times New Roman"/>
          <w:color w:val="002060"/>
          <w:szCs w:val="20"/>
        </w:rPr>
        <w:t>|N|: Lucro da exploração (N = Não).</w:t>
      </w:r>
    </w:p>
    <w:p w:rsidR="0037345B" w:rsidRPr="00FA3856" w:rsidRDefault="0037345B" w:rsidP="009C488E">
      <w:pPr>
        <w:pStyle w:val="Corpodetexto"/>
        <w:ind w:firstLine="708"/>
        <w:rPr>
          <w:rFonts w:ascii="Times New Roman" w:hAnsi="Times New Roman"/>
          <w:color w:val="002060"/>
          <w:szCs w:val="20"/>
        </w:rPr>
      </w:pPr>
      <w:r w:rsidRPr="00FA3856">
        <w:rPr>
          <w:rFonts w:ascii="Times New Roman" w:hAnsi="Times New Roman"/>
          <w:color w:val="002060"/>
          <w:szCs w:val="20"/>
        </w:rPr>
        <w:t>|N|: Isenção e redução do imposto para lucro presumido (N = Não).</w:t>
      </w:r>
    </w:p>
    <w:p w:rsidR="0037345B" w:rsidRPr="00FA3856" w:rsidRDefault="0037345B" w:rsidP="009C488E">
      <w:pPr>
        <w:pStyle w:val="Corpodetexto"/>
        <w:ind w:firstLine="708"/>
        <w:rPr>
          <w:rFonts w:ascii="Times New Roman" w:hAnsi="Times New Roman"/>
          <w:color w:val="002060"/>
          <w:szCs w:val="20"/>
        </w:rPr>
      </w:pPr>
      <w:r w:rsidRPr="00FA3856">
        <w:rPr>
          <w:rFonts w:ascii="Times New Roman" w:hAnsi="Times New Roman"/>
          <w:color w:val="002060"/>
          <w:szCs w:val="20"/>
        </w:rPr>
        <w:t>|N|: Finor/Finam/Funres (N = Não).</w:t>
      </w:r>
    </w:p>
    <w:p w:rsidR="0037345B" w:rsidRPr="00FA3856" w:rsidRDefault="0037345B" w:rsidP="009C488E">
      <w:pPr>
        <w:pStyle w:val="Corpodetexto"/>
        <w:ind w:firstLine="708"/>
        <w:rPr>
          <w:rFonts w:ascii="Times New Roman" w:hAnsi="Times New Roman"/>
          <w:color w:val="002060"/>
          <w:szCs w:val="20"/>
        </w:rPr>
      </w:pPr>
      <w:r w:rsidRPr="00FA3856">
        <w:rPr>
          <w:rFonts w:ascii="Times New Roman" w:hAnsi="Times New Roman"/>
          <w:color w:val="002060"/>
          <w:szCs w:val="20"/>
        </w:rPr>
        <w:t>|N|: Doações a campanhas eleitorais (N = Não).</w:t>
      </w:r>
    </w:p>
    <w:p w:rsidR="0037345B" w:rsidRPr="00FA3856" w:rsidRDefault="0037345B" w:rsidP="009C488E">
      <w:pPr>
        <w:pStyle w:val="Corpodetexto"/>
        <w:ind w:firstLine="708"/>
        <w:rPr>
          <w:rFonts w:ascii="Times New Roman" w:hAnsi="Times New Roman"/>
          <w:color w:val="002060"/>
          <w:szCs w:val="20"/>
        </w:rPr>
      </w:pPr>
      <w:r w:rsidRPr="00FA3856">
        <w:rPr>
          <w:rFonts w:ascii="Times New Roman" w:hAnsi="Times New Roman"/>
          <w:color w:val="002060"/>
          <w:szCs w:val="20"/>
        </w:rPr>
        <w:t>|S|: Participação permanente em coligadas ou controladas (S = Sim).</w:t>
      </w:r>
    </w:p>
    <w:p w:rsidR="0037345B" w:rsidRPr="00FA3856" w:rsidRDefault="0037345B" w:rsidP="009C488E">
      <w:pPr>
        <w:pStyle w:val="Corpodetexto"/>
        <w:ind w:firstLine="708"/>
        <w:rPr>
          <w:rFonts w:ascii="Times New Roman" w:hAnsi="Times New Roman"/>
          <w:color w:val="002060"/>
          <w:szCs w:val="20"/>
        </w:rPr>
      </w:pPr>
      <w:r w:rsidRPr="00FA3856">
        <w:rPr>
          <w:rFonts w:ascii="Times New Roman" w:hAnsi="Times New Roman"/>
          <w:color w:val="002060"/>
          <w:szCs w:val="20"/>
        </w:rPr>
        <w:t>|N|: PJ efetuou vendas a empresa comercial exportadora com fim específico de exportação (N = Não).</w:t>
      </w:r>
    </w:p>
    <w:p w:rsidR="0037345B" w:rsidRPr="00FA3856" w:rsidRDefault="0037345B" w:rsidP="009C488E">
      <w:pPr>
        <w:pStyle w:val="Corpodetexto"/>
        <w:ind w:firstLine="708"/>
        <w:rPr>
          <w:rFonts w:ascii="Times New Roman" w:hAnsi="Times New Roman"/>
          <w:color w:val="002060"/>
          <w:szCs w:val="20"/>
        </w:rPr>
      </w:pPr>
      <w:r w:rsidRPr="00FA3856">
        <w:rPr>
          <w:rFonts w:ascii="Times New Roman" w:hAnsi="Times New Roman"/>
          <w:color w:val="002060"/>
          <w:szCs w:val="20"/>
        </w:rPr>
        <w:t>|N|: Rendimento do exterior ou de não residentes (N = Não).</w:t>
      </w:r>
    </w:p>
    <w:p w:rsidR="0037345B" w:rsidRPr="00FA3856" w:rsidRDefault="0037345B" w:rsidP="009C488E">
      <w:pPr>
        <w:pStyle w:val="Corpodetexto"/>
        <w:ind w:firstLine="708"/>
        <w:rPr>
          <w:rFonts w:ascii="Times New Roman" w:hAnsi="Times New Roman"/>
          <w:color w:val="002060"/>
          <w:szCs w:val="20"/>
        </w:rPr>
      </w:pPr>
      <w:r w:rsidRPr="00FA3856">
        <w:rPr>
          <w:rFonts w:ascii="Times New Roman" w:hAnsi="Times New Roman"/>
          <w:color w:val="002060"/>
          <w:szCs w:val="20"/>
        </w:rPr>
        <w:t>|S|: Ativos no exterior (S = Sim).</w:t>
      </w:r>
    </w:p>
    <w:p w:rsidR="0037345B" w:rsidRPr="00FA3856" w:rsidRDefault="0037345B" w:rsidP="009C488E">
      <w:pPr>
        <w:pStyle w:val="Corpodetexto"/>
        <w:ind w:firstLine="708"/>
        <w:rPr>
          <w:rFonts w:ascii="Times New Roman" w:hAnsi="Times New Roman"/>
          <w:color w:val="002060"/>
          <w:szCs w:val="20"/>
        </w:rPr>
      </w:pPr>
      <w:r w:rsidRPr="00FA3856">
        <w:rPr>
          <w:rFonts w:ascii="Times New Roman" w:hAnsi="Times New Roman"/>
          <w:color w:val="002060"/>
          <w:szCs w:val="20"/>
        </w:rPr>
        <w:t>|N|: PJ comercial exportadora (N = Não).</w:t>
      </w:r>
    </w:p>
    <w:p w:rsidR="0037345B" w:rsidRPr="00FA3856" w:rsidRDefault="0037345B" w:rsidP="009C488E">
      <w:pPr>
        <w:pStyle w:val="Corpodetexto"/>
        <w:ind w:firstLine="708"/>
        <w:rPr>
          <w:rFonts w:ascii="Times New Roman" w:hAnsi="Times New Roman"/>
          <w:color w:val="002060"/>
          <w:szCs w:val="20"/>
        </w:rPr>
      </w:pPr>
      <w:r w:rsidRPr="00FA3856">
        <w:rPr>
          <w:rFonts w:ascii="Times New Roman" w:hAnsi="Times New Roman"/>
          <w:color w:val="002060"/>
          <w:szCs w:val="20"/>
        </w:rPr>
        <w:t>|N|: Pagamentos ao exterior ou a não residentes (N = Não).</w:t>
      </w:r>
    </w:p>
    <w:p w:rsidR="002070F8" w:rsidRPr="00FA3856" w:rsidRDefault="002070F8" w:rsidP="002070F8">
      <w:pPr>
        <w:pStyle w:val="Corpodetexto"/>
        <w:ind w:firstLine="708"/>
        <w:rPr>
          <w:rFonts w:ascii="Times New Roman" w:hAnsi="Times New Roman"/>
          <w:color w:val="002060"/>
          <w:szCs w:val="20"/>
        </w:rPr>
      </w:pPr>
      <w:r w:rsidRPr="00FA3856">
        <w:rPr>
          <w:rFonts w:ascii="Times New Roman" w:hAnsi="Times New Roman"/>
          <w:color w:val="002060"/>
          <w:szCs w:val="20"/>
        </w:rPr>
        <w:t>|N|: Comércio eletrônico e tecnologia da informação (N = Não).</w:t>
      </w:r>
    </w:p>
    <w:p w:rsidR="002070F8" w:rsidRPr="00FA3856" w:rsidRDefault="002070F8" w:rsidP="002070F8">
      <w:pPr>
        <w:pStyle w:val="Corpodetexto"/>
        <w:ind w:firstLine="708"/>
        <w:rPr>
          <w:rFonts w:ascii="Times New Roman" w:hAnsi="Times New Roman"/>
          <w:color w:val="002060"/>
          <w:szCs w:val="20"/>
        </w:rPr>
      </w:pPr>
      <w:r w:rsidRPr="00FA3856">
        <w:rPr>
          <w:rFonts w:ascii="Times New Roman" w:hAnsi="Times New Roman"/>
          <w:color w:val="002060"/>
          <w:szCs w:val="20"/>
        </w:rPr>
        <w:t>|N|: Royalties recebidos do Brasil e do exterior (N = Não).</w:t>
      </w:r>
    </w:p>
    <w:p w:rsidR="002070F8" w:rsidRPr="00FA3856" w:rsidRDefault="002070F8" w:rsidP="002070F8">
      <w:pPr>
        <w:pStyle w:val="Corpodetexto"/>
        <w:ind w:firstLine="708"/>
        <w:rPr>
          <w:rFonts w:ascii="Times New Roman" w:hAnsi="Times New Roman"/>
          <w:color w:val="002060"/>
          <w:szCs w:val="20"/>
        </w:rPr>
      </w:pPr>
      <w:r w:rsidRPr="00FA3856">
        <w:rPr>
          <w:rFonts w:ascii="Times New Roman" w:hAnsi="Times New Roman"/>
          <w:color w:val="002060"/>
          <w:szCs w:val="20"/>
        </w:rPr>
        <w:t>|N|: Royalties pagos a beneficiários do Brasil e do exterior (N = Não).</w:t>
      </w:r>
    </w:p>
    <w:p w:rsidR="002070F8" w:rsidRPr="00FA3856" w:rsidRDefault="002070F8" w:rsidP="002070F8">
      <w:pPr>
        <w:pStyle w:val="Corpodetexto"/>
        <w:ind w:firstLine="708"/>
        <w:rPr>
          <w:rFonts w:ascii="Times New Roman" w:hAnsi="Times New Roman"/>
          <w:color w:val="002060"/>
          <w:szCs w:val="20"/>
        </w:rPr>
      </w:pPr>
      <w:r w:rsidRPr="00FA3856">
        <w:rPr>
          <w:rFonts w:ascii="Times New Roman" w:hAnsi="Times New Roman"/>
          <w:color w:val="002060"/>
          <w:szCs w:val="20"/>
        </w:rPr>
        <w:t>|N|: Rendimentos relativos a serviços, juros e dividendos recebidos do Brasil e do exterior (N = Não).</w:t>
      </w:r>
    </w:p>
    <w:p w:rsidR="002070F8" w:rsidRPr="00FA3856" w:rsidRDefault="002070F8" w:rsidP="002070F8">
      <w:pPr>
        <w:pStyle w:val="Corpodetexto"/>
        <w:ind w:firstLine="708"/>
        <w:rPr>
          <w:rFonts w:ascii="Times New Roman" w:hAnsi="Times New Roman"/>
          <w:color w:val="002060"/>
          <w:szCs w:val="20"/>
        </w:rPr>
      </w:pPr>
      <w:r w:rsidRPr="00FA3856">
        <w:rPr>
          <w:rFonts w:ascii="Times New Roman" w:hAnsi="Times New Roman"/>
          <w:color w:val="002060"/>
          <w:szCs w:val="20"/>
        </w:rPr>
        <w:t>|N|: Pagamentos ou remessas a título de serviços, juros e dividendos a beneficiário do Brasil e do exterior (N = Não).</w:t>
      </w:r>
    </w:p>
    <w:p w:rsidR="002070F8" w:rsidRPr="00FA3856" w:rsidRDefault="002070F8" w:rsidP="002070F8">
      <w:pPr>
        <w:pStyle w:val="Corpodetexto"/>
        <w:ind w:firstLine="708"/>
        <w:rPr>
          <w:rFonts w:ascii="Times New Roman" w:hAnsi="Times New Roman"/>
          <w:color w:val="002060"/>
          <w:szCs w:val="20"/>
        </w:rPr>
      </w:pPr>
      <w:r w:rsidRPr="00FA3856">
        <w:rPr>
          <w:rFonts w:ascii="Times New Roman" w:hAnsi="Times New Roman"/>
          <w:color w:val="002060"/>
          <w:szCs w:val="20"/>
        </w:rPr>
        <w:t>|N|: Inovação tecnológica e desenvolvimento tecnológico (N = Não).</w:t>
      </w:r>
    </w:p>
    <w:p w:rsidR="002070F8" w:rsidRPr="00FA3856" w:rsidRDefault="002070F8" w:rsidP="002070F8">
      <w:pPr>
        <w:pStyle w:val="Corpodetexto"/>
        <w:ind w:firstLine="708"/>
        <w:rPr>
          <w:rFonts w:ascii="Times New Roman" w:hAnsi="Times New Roman"/>
          <w:color w:val="002060"/>
          <w:szCs w:val="20"/>
        </w:rPr>
      </w:pPr>
      <w:r w:rsidRPr="00FA3856">
        <w:rPr>
          <w:rFonts w:ascii="Times New Roman" w:hAnsi="Times New Roman"/>
          <w:color w:val="002060"/>
          <w:szCs w:val="20"/>
        </w:rPr>
        <w:t>|N|: Capacitação de informática e inclusão digital (N = Não).</w:t>
      </w:r>
    </w:p>
    <w:p w:rsidR="002070F8" w:rsidRPr="00FA3856" w:rsidRDefault="002070F8" w:rsidP="002070F8">
      <w:pPr>
        <w:pStyle w:val="Corpodetexto"/>
        <w:ind w:firstLine="708"/>
        <w:rPr>
          <w:rFonts w:ascii="Times New Roman" w:hAnsi="Times New Roman"/>
          <w:color w:val="002060"/>
          <w:szCs w:val="20"/>
        </w:rPr>
      </w:pPr>
      <w:r w:rsidRPr="00FA3856">
        <w:rPr>
          <w:rFonts w:ascii="Times New Roman" w:hAnsi="Times New Roman"/>
          <w:color w:val="002060"/>
          <w:szCs w:val="20"/>
        </w:rPr>
        <w:t>|N|: PJ Habilitada no Repes, Recap, Padis, PATVD, Reidi, Repenec, Reicomp, Retaero, Recine, Resíduos Sólidos, Recopa, Copa do Mundo, Retid, REPNBL-Redes, Reif e Olimpíadas (N = Não).</w:t>
      </w:r>
    </w:p>
    <w:p w:rsidR="002070F8" w:rsidRPr="00FA3856" w:rsidRDefault="002070F8" w:rsidP="002070F8">
      <w:pPr>
        <w:pStyle w:val="Corpodetexto"/>
        <w:ind w:firstLine="708"/>
        <w:rPr>
          <w:rFonts w:ascii="Times New Roman" w:hAnsi="Times New Roman"/>
          <w:color w:val="002060"/>
          <w:szCs w:val="20"/>
        </w:rPr>
      </w:pPr>
      <w:r w:rsidRPr="00FA3856">
        <w:rPr>
          <w:rFonts w:ascii="Times New Roman" w:hAnsi="Times New Roman"/>
          <w:color w:val="002060"/>
          <w:szCs w:val="20"/>
        </w:rPr>
        <w:t>|N|: Pólo industrial de Manaus e Amazônia Ocidental (N = Não).</w:t>
      </w:r>
    </w:p>
    <w:p w:rsidR="002070F8" w:rsidRPr="00FA3856" w:rsidRDefault="002070F8" w:rsidP="002070F8">
      <w:pPr>
        <w:pStyle w:val="Corpodetexto"/>
        <w:ind w:firstLine="708"/>
        <w:rPr>
          <w:rFonts w:ascii="Times New Roman" w:hAnsi="Times New Roman"/>
          <w:color w:val="002060"/>
          <w:szCs w:val="20"/>
        </w:rPr>
      </w:pPr>
      <w:r w:rsidRPr="00FA3856">
        <w:rPr>
          <w:rFonts w:ascii="Times New Roman" w:hAnsi="Times New Roman"/>
          <w:color w:val="002060"/>
          <w:szCs w:val="20"/>
        </w:rPr>
        <w:t>|N|: Zonas de processamento de exportação (N = Não).</w:t>
      </w:r>
    </w:p>
    <w:p w:rsidR="002070F8" w:rsidRPr="00FA3856" w:rsidRDefault="002070F8" w:rsidP="002070F8">
      <w:pPr>
        <w:pStyle w:val="Corpodetexto"/>
        <w:ind w:firstLine="708"/>
        <w:rPr>
          <w:rFonts w:ascii="Times New Roman" w:hAnsi="Times New Roman"/>
          <w:color w:val="002060"/>
          <w:szCs w:val="20"/>
        </w:rPr>
      </w:pPr>
      <w:r w:rsidRPr="00FA3856">
        <w:rPr>
          <w:rFonts w:ascii="Times New Roman" w:hAnsi="Times New Roman"/>
          <w:color w:val="002060"/>
          <w:szCs w:val="20"/>
        </w:rPr>
        <w:t>|N|: Áreas de livre comércio (N = Não).</w:t>
      </w:r>
    </w:p>
    <w:p w:rsidR="005276B5" w:rsidRDefault="005276B5">
      <w:pPr>
        <w:spacing w:after="200" w:line="276" w:lineRule="auto"/>
        <w:rPr>
          <w:color w:val="0000FF"/>
          <w:szCs w:val="20"/>
        </w:rPr>
      </w:pPr>
    </w:p>
    <w:p w:rsidR="005276B5" w:rsidRDefault="005276B5">
      <w:pPr>
        <w:spacing w:after="200" w:line="276" w:lineRule="auto"/>
        <w:rPr>
          <w:b/>
          <w:bCs/>
          <w:color w:val="0000FF"/>
          <w:szCs w:val="20"/>
        </w:rPr>
      </w:pPr>
      <w:r>
        <w:rPr>
          <w:color w:val="0000FF"/>
          <w:szCs w:val="20"/>
        </w:rPr>
        <w:br w:type="page"/>
      </w:r>
    </w:p>
    <w:p w:rsidR="005276B5" w:rsidRPr="0070069F" w:rsidRDefault="005276B5" w:rsidP="00867F54">
      <w:pPr>
        <w:pStyle w:val="Ttulo4"/>
      </w:pPr>
      <w:bookmarkStart w:id="63" w:name="_Toc479713671"/>
      <w:r w:rsidRPr="0070069F">
        <w:lastRenderedPageBreak/>
        <w:t>Registro 0021: Parâmetros de Identificação dos Tipos de Programa</w:t>
      </w:r>
      <w:bookmarkEnd w:id="63"/>
    </w:p>
    <w:p w:rsidR="005276B5" w:rsidRPr="0070069F" w:rsidRDefault="005276B5" w:rsidP="005276B5">
      <w:pPr>
        <w:pStyle w:val="PSDS-CorpodeTexto0"/>
        <w:ind w:firstLine="708"/>
        <w:jc w:val="both"/>
        <w:rPr>
          <w:rFonts w:ascii="Times New Roman" w:hAnsi="Times New Roman"/>
          <w:lang w:val="pt-PT"/>
        </w:rPr>
      </w:pPr>
    </w:p>
    <w:p w:rsidR="005276B5" w:rsidRPr="0070069F" w:rsidRDefault="00805189" w:rsidP="005276B5">
      <w:pPr>
        <w:pStyle w:val="PSDS-CorpodeTexto0"/>
        <w:ind w:firstLine="708"/>
        <w:jc w:val="both"/>
        <w:rPr>
          <w:rFonts w:ascii="Times New Roman" w:hAnsi="Times New Roman"/>
          <w:lang w:val="pt-PT"/>
        </w:rPr>
      </w:pPr>
      <w:r w:rsidRPr="0070069F">
        <w:rPr>
          <w:rFonts w:ascii="Times New Roman" w:hAnsi="Times New Roman"/>
          <w:lang w:val="pt-PT"/>
        </w:rPr>
        <w:t>Identifica se a pessoa jurídica é</w:t>
      </w:r>
      <w:r w:rsidR="005276B5" w:rsidRPr="0070069F">
        <w:rPr>
          <w:rFonts w:ascii="Times New Roman" w:hAnsi="Times New Roman"/>
          <w:lang w:val="pt-PT"/>
        </w:rPr>
        <w:t>:</w:t>
      </w:r>
    </w:p>
    <w:p w:rsidR="005276B5" w:rsidRPr="0070069F" w:rsidRDefault="005276B5" w:rsidP="005276B5">
      <w:pPr>
        <w:pStyle w:val="PSDS-CorpodeTexto0"/>
        <w:ind w:firstLine="708"/>
        <w:jc w:val="both"/>
        <w:rPr>
          <w:rFonts w:ascii="Times New Roman" w:hAnsi="Times New Roman"/>
          <w:lang w:val="pt-PT"/>
        </w:rPr>
      </w:pPr>
    </w:p>
    <w:p w:rsidR="005276B5" w:rsidRPr="0070069F" w:rsidRDefault="005276B5" w:rsidP="005276B5">
      <w:pPr>
        <w:jc w:val="both"/>
        <w:rPr>
          <w:bCs/>
          <w:szCs w:val="20"/>
        </w:rPr>
      </w:pPr>
      <w:r w:rsidRPr="0070069F">
        <w:rPr>
          <w:bCs/>
          <w:szCs w:val="20"/>
        </w:rPr>
        <w:t>a) habilitada no Regime Especial de Tributação para a Plataforma de Exportação de Serviços de Tecnologia da Informação (Repes), instituído pela Lei nº 11.196, de 2005, com as alterações introduzidas pela Lei nº 11.774, de 17 de setembro de 2008, regulamentado pelo Decreto nº 5.712, de 2 de março de 2006, com as alterações introduzidas pelo Decreto nº 6.887, de 25 de junho de 2009; ou </w:t>
      </w:r>
    </w:p>
    <w:p w:rsidR="005276B5" w:rsidRPr="0070069F" w:rsidRDefault="005276B5" w:rsidP="005276B5">
      <w:pPr>
        <w:jc w:val="both"/>
        <w:rPr>
          <w:bCs/>
          <w:szCs w:val="20"/>
        </w:rPr>
      </w:pPr>
      <w:r w:rsidRPr="0070069F">
        <w:rPr>
          <w:bCs/>
          <w:szCs w:val="20"/>
        </w:rPr>
        <w:t>b) habilitada no Regime Especial de Aquisição de Bens de Capital para Empresas Exportadoras (Recap) instituído pela Lei nº 11.196, de 2005, com as alterações introduzidas pela Lei nº 11.774, de 2008, regulamentado pelo Decreto nº 5.649, de 29 de dezembro de 2005, com as alterações introduzidas pelo Decreto nº 6.887, de 2009; ou </w:t>
      </w:r>
    </w:p>
    <w:p w:rsidR="005276B5" w:rsidRPr="0070069F" w:rsidRDefault="005276B5" w:rsidP="005276B5">
      <w:pPr>
        <w:jc w:val="both"/>
        <w:rPr>
          <w:bCs/>
          <w:szCs w:val="20"/>
        </w:rPr>
      </w:pPr>
      <w:r w:rsidRPr="0070069F">
        <w:rPr>
          <w:bCs/>
          <w:szCs w:val="20"/>
        </w:rPr>
        <w:t>c) executora de projeto aprovado no âmbito do Programa de Apoio ao Desenvolvimento Tecnológico da Indústria de Semicondutores (Padis), instituído pela Lei nº 11.484, de 31 de maio de 2007, com alterações introduzidas pelo art. 20 c/c art. 139, I, “d” da Lei nº 12.249, de 11 de junho de 2010, regulamentado pelo Decreto nº 6.233, de 11 de outubro de 2007, com as alterações introduzidas pelo Decreto nº 6.887, de 2009; ou </w:t>
      </w:r>
    </w:p>
    <w:p w:rsidR="005276B5" w:rsidRPr="0070069F" w:rsidRDefault="005276B5" w:rsidP="005276B5">
      <w:pPr>
        <w:jc w:val="both"/>
        <w:rPr>
          <w:bCs/>
          <w:szCs w:val="20"/>
        </w:rPr>
      </w:pPr>
      <w:r w:rsidRPr="0070069F">
        <w:rPr>
          <w:bCs/>
          <w:szCs w:val="20"/>
        </w:rPr>
        <w:t>d) executora de projeto aprovado no âmbito do Programa de Apoio ao Desenvolvimento Tecnológico da Indústria de Equipamentos para TV Digital (PATVD), instituído pela Lei nº 11.484, de 2007, regulamentado pelo Decreto nº 6.234, de 11 de outubro de 2007, ou </w:t>
      </w:r>
    </w:p>
    <w:p w:rsidR="005276B5" w:rsidRPr="0070069F" w:rsidRDefault="005276B5" w:rsidP="005276B5">
      <w:pPr>
        <w:jc w:val="both"/>
        <w:rPr>
          <w:bCs/>
          <w:szCs w:val="20"/>
        </w:rPr>
      </w:pPr>
      <w:r w:rsidRPr="0070069F">
        <w:rPr>
          <w:bCs/>
          <w:szCs w:val="20"/>
        </w:rPr>
        <w:t>e) habilitada ou co-habilitada no Regime Especial de Incentivos para o Desenvolvimento da Infraestrutura (Reidi), instituído pela Lei nº 11.488, de 15 de junho de 2007, com as alterações introduzidas pela Lei nº 11.727, de 23 de junho de 2008, e pelo art. 21 c/c art. 139, I, “d” da Lei nº 12.249, de 2010, regulamentado pelo Decreto nº 6.144, de 3 de julho de 2007, com as alterações introduzidas pelo Decreto nº 6.167, de 24 de julho de 2007 e pelo Decreto nº 6.416, de 28 de março de 2008; ou </w:t>
      </w:r>
    </w:p>
    <w:p w:rsidR="005276B5" w:rsidRPr="0070069F" w:rsidRDefault="005276B5" w:rsidP="005276B5">
      <w:pPr>
        <w:jc w:val="both"/>
        <w:rPr>
          <w:bCs/>
          <w:szCs w:val="20"/>
        </w:rPr>
      </w:pPr>
      <w:r w:rsidRPr="0070069F">
        <w:rPr>
          <w:bCs/>
          <w:szCs w:val="20"/>
        </w:rPr>
        <w:t>f) habilitada ou co-habilitada no Regime Especial de Incentivos para o Desenvolvimento da Infraestrutura da Indústria Petrolífera das Regiões Norte, Nordeste e Centro-Oeste (Repenec), instituído pela Lei nº 12.249, de 2010, regulamentado pelo Decreto nº 7.320, de 28 de setembro de 2010; ou </w:t>
      </w:r>
    </w:p>
    <w:p w:rsidR="005276B5" w:rsidRPr="0070069F" w:rsidRDefault="005276B5" w:rsidP="005276B5">
      <w:pPr>
        <w:jc w:val="both"/>
        <w:rPr>
          <w:bCs/>
          <w:szCs w:val="20"/>
        </w:rPr>
      </w:pPr>
      <w:r w:rsidRPr="0070069F">
        <w:rPr>
          <w:bCs/>
          <w:szCs w:val="20"/>
        </w:rPr>
        <w:t>g) habilitada no Regime Especial de Incentivo a Computadores para Uso Educacional (Reicomp), instituído pela Lei nº 12.715, de 17 de setembro de 2012, regulamentado e o Decreto nº 7.750, de 8 de junho de 2012; ou </w:t>
      </w:r>
    </w:p>
    <w:p w:rsidR="005276B5" w:rsidRPr="0070069F" w:rsidRDefault="005276B5" w:rsidP="005276B5">
      <w:pPr>
        <w:jc w:val="both"/>
        <w:rPr>
          <w:bCs/>
          <w:szCs w:val="20"/>
        </w:rPr>
      </w:pPr>
      <w:r w:rsidRPr="0070069F">
        <w:rPr>
          <w:bCs/>
          <w:szCs w:val="20"/>
        </w:rPr>
        <w:t>h) habilitada no Regime Especial para a Indústria Aeronáutica Brasileira (Retaero), instituído pela Lei nº 12.249, de 2010; ou </w:t>
      </w:r>
    </w:p>
    <w:p w:rsidR="005276B5" w:rsidRPr="0070069F" w:rsidRDefault="005276B5" w:rsidP="005276B5">
      <w:pPr>
        <w:jc w:val="both"/>
        <w:rPr>
          <w:bCs/>
          <w:szCs w:val="20"/>
        </w:rPr>
      </w:pPr>
      <w:r w:rsidRPr="0070069F">
        <w:rPr>
          <w:bCs/>
          <w:szCs w:val="20"/>
        </w:rPr>
        <w:t>i) detentora de projeto de exibição cinematográfica aprovado no âmbito do Regime Especial de Tributação para Desenvolvimento da Atividade de Exibição Cinematográfica (Recine), instituído pela Lei nº 12.599, de 23 de março de 2012, regulamentada pelo Decreto nº 7.729, de 25 de maio de 2012; ou </w:t>
      </w:r>
    </w:p>
    <w:p w:rsidR="005276B5" w:rsidRPr="0070069F" w:rsidRDefault="005276B5" w:rsidP="005276B5">
      <w:pPr>
        <w:jc w:val="both"/>
        <w:rPr>
          <w:bCs/>
          <w:szCs w:val="20"/>
        </w:rPr>
      </w:pPr>
      <w:r w:rsidRPr="0070069F">
        <w:rPr>
          <w:bCs/>
          <w:szCs w:val="20"/>
        </w:rPr>
        <w:t>j) cujos estabelecimentos industriais façam jus a crédito presumido do IPI na aquisição de resíduos sólidos, de que trata a Lei nº 12.375, de 30 de dezembro de 2010, regulamentada pelo Decreto nº 7.619, de 21 de novembro de 2011; ou </w:t>
      </w:r>
    </w:p>
    <w:p w:rsidR="005276B5" w:rsidRPr="0070069F" w:rsidRDefault="005276B5" w:rsidP="005276B5">
      <w:pPr>
        <w:jc w:val="both"/>
        <w:rPr>
          <w:bCs/>
          <w:szCs w:val="20"/>
        </w:rPr>
      </w:pPr>
      <w:r w:rsidRPr="0070069F">
        <w:rPr>
          <w:bCs/>
          <w:szCs w:val="20"/>
        </w:rPr>
        <w:t>k) habilitada ou co-habilitada no Regime Especial de Tributação para construção, ampliação, reforma ou modernização de estádios de futebol (Recopa), instituído pela Lei nº 12.350, de 20 de dezembro de 2010, arts. 17 a 21, regulamentada pelo Decreto nº 7.319, de 28 de setembro de 2010; ou </w:t>
      </w:r>
    </w:p>
    <w:p w:rsidR="005276B5" w:rsidRPr="0070069F" w:rsidRDefault="005276B5" w:rsidP="005276B5">
      <w:pPr>
        <w:jc w:val="both"/>
        <w:rPr>
          <w:bCs/>
          <w:szCs w:val="20"/>
        </w:rPr>
      </w:pPr>
      <w:r w:rsidRPr="0070069F">
        <w:rPr>
          <w:bCs/>
          <w:szCs w:val="20"/>
        </w:rPr>
        <w:t>l) habilitada para fins de fruição dos benefícios fiscais, não abrangidos na alínea anterior, relativos à realização, no Brasil, da Copa das Confederações FIFA 2013 e da Copa do Mundo FIFA 2014, de que trata a Lei nº 12.350, de 2010, regulamentada pelo Decreto nº 7.578, e 11 de outubro de 2011; ou </w:t>
      </w:r>
    </w:p>
    <w:p w:rsidR="005276B5" w:rsidRPr="0070069F" w:rsidRDefault="005276B5" w:rsidP="005276B5">
      <w:pPr>
        <w:jc w:val="both"/>
        <w:rPr>
          <w:bCs/>
          <w:szCs w:val="20"/>
        </w:rPr>
      </w:pPr>
      <w:r w:rsidRPr="0070069F">
        <w:rPr>
          <w:bCs/>
          <w:szCs w:val="20"/>
        </w:rPr>
        <w:t>m) beneficiária do Regime Especial Tributário para a Indústria de Defesa (Retid), nos termos e condições estabelecidos na Lei nº 12.598, de 22 de março de 2012, ou  </w:t>
      </w:r>
    </w:p>
    <w:p w:rsidR="005276B5" w:rsidRPr="0070069F" w:rsidRDefault="005276B5" w:rsidP="005276B5">
      <w:pPr>
        <w:jc w:val="both"/>
        <w:rPr>
          <w:bCs/>
          <w:szCs w:val="20"/>
        </w:rPr>
      </w:pPr>
      <w:r w:rsidRPr="0070069F">
        <w:rPr>
          <w:bCs/>
          <w:szCs w:val="20"/>
        </w:rPr>
        <w:t>n) habilitada ou co-habilitada no Regime Especial de Tributação do Programa Nacional de Banda Larga para Implantação de Redes de Telecomunicações (REPNBL-Redes), instituído pela Lei nº 12.715, de 17 de setembro de 2012, regulamentada pelo Decreto nº 7.921, de 15 de fevereiro de 2013. </w:t>
      </w:r>
    </w:p>
    <w:p w:rsidR="005276B5" w:rsidRPr="0070069F" w:rsidRDefault="005276B5" w:rsidP="005276B5">
      <w:pPr>
        <w:jc w:val="both"/>
        <w:rPr>
          <w:bCs/>
          <w:szCs w:val="20"/>
        </w:rPr>
      </w:pPr>
      <w:r w:rsidRPr="0070069F">
        <w:rPr>
          <w:bCs/>
          <w:szCs w:val="20"/>
        </w:rPr>
        <w:t>o) habilitada ou co-habilitada no Regime Especial de Incentivo ao Desenvolvimento da Infraestrutura da Indústria de Fertilizantes - REIF, instituído pela Lei nº 12.794, de 02 de abril de 2013, arts. 5º a 11; ou </w:t>
      </w:r>
    </w:p>
    <w:p w:rsidR="005276B5" w:rsidRPr="00FA3856" w:rsidRDefault="005276B5" w:rsidP="005276B5">
      <w:pPr>
        <w:jc w:val="both"/>
        <w:rPr>
          <w:bCs/>
          <w:szCs w:val="20"/>
        </w:rPr>
      </w:pPr>
      <w:r w:rsidRPr="0070069F">
        <w:rPr>
          <w:bCs/>
          <w:szCs w:val="20"/>
        </w:rPr>
        <w:t>p) habilitada para fins de fruição dos benefícios fiscais, relativos à realização, no Brasil, dos Jogos Olímpicos de 2016 e dos Jogos Paraolímpicos de 2016, de que trata a Lei nº 12.780, de 2013.</w:t>
      </w:r>
      <w:r w:rsidRPr="00FA3856">
        <w:rPr>
          <w:bCs/>
          <w:szCs w:val="20"/>
        </w:rPr>
        <w:t> </w:t>
      </w:r>
    </w:p>
    <w:p w:rsidR="005276B5" w:rsidRPr="00FA3856" w:rsidRDefault="005276B5" w:rsidP="005276B5">
      <w:pPr>
        <w:jc w:val="both"/>
        <w:rPr>
          <w:bCs/>
          <w:szCs w:val="20"/>
        </w:rPr>
      </w:pPr>
      <w:r w:rsidRPr="00FA3856">
        <w:rPr>
          <w:bCs/>
          <w:szCs w:val="20"/>
        </w:rPr>
        <w:t> </w:t>
      </w:r>
    </w:p>
    <w:p w:rsidR="00805189" w:rsidRDefault="00805189" w:rsidP="00805189">
      <w:pPr>
        <w:pStyle w:val="PSDS-CorpodeTexto0"/>
        <w:jc w:val="both"/>
        <w:rPr>
          <w:rFonts w:ascii="Times New Roman" w:hAnsi="Times New Roman"/>
          <w:lang w:val="pt-PT"/>
        </w:rPr>
      </w:pPr>
    </w:p>
    <w:p w:rsidR="00805189" w:rsidRDefault="00805189" w:rsidP="00805189">
      <w:pPr>
        <w:pStyle w:val="PSDS-CorpodeTexto0"/>
        <w:jc w:val="both"/>
        <w:rPr>
          <w:rFonts w:ascii="Times New Roman" w:hAnsi="Times New Roman"/>
          <w:lang w:val="pt-PT"/>
        </w:rPr>
      </w:pPr>
    </w:p>
    <w:p w:rsidR="00805189" w:rsidRDefault="00805189" w:rsidP="00805189">
      <w:pPr>
        <w:pStyle w:val="PSDS-CorpodeTexto0"/>
        <w:jc w:val="both"/>
        <w:rPr>
          <w:rFonts w:ascii="Times New Roman" w:hAnsi="Times New Roman"/>
          <w:lang w:val="pt-PT"/>
        </w:rPr>
      </w:pPr>
    </w:p>
    <w:p w:rsidR="00110D73" w:rsidRDefault="00110D73" w:rsidP="00805189">
      <w:pPr>
        <w:pStyle w:val="PSDS-CorpodeTexto0"/>
        <w:jc w:val="both"/>
        <w:rPr>
          <w:rFonts w:ascii="Times New Roman" w:hAnsi="Times New Roman"/>
          <w:lang w:val="pt-PT"/>
        </w:rPr>
      </w:pPr>
    </w:p>
    <w:p w:rsidR="00110D73" w:rsidRDefault="00B35FA3" w:rsidP="00110D73">
      <w:pPr>
        <w:pStyle w:val="PSDS-CorpodeTexto0"/>
        <w:jc w:val="center"/>
        <w:rPr>
          <w:rFonts w:ascii="Times New Roman" w:hAnsi="Times New Roman"/>
          <w:lang w:val="pt-PT"/>
        </w:rPr>
      </w:pPr>
      <w:r>
        <w:rPr>
          <w:rFonts w:ascii="Times New Roman" w:hAnsi="Times New Roman"/>
          <w:lang w:val="pt-PT"/>
        </w:rPr>
        <w:object w:dxaOrig="14490" w:dyaOrig="8820">
          <v:shape id="_x0000_i1570" type="#_x0000_t75" style="width:727.5pt;height:439.5pt" o:ole="">
            <v:imagedata r:id="rId114" o:title=""/>
          </v:shape>
          <o:OLEObject Type="Link" ProgID="Excel.Sheet.12" ShapeID="_x0000_i1570" DrawAspect="Content" r:id="rId115" UpdateMode="Always">
            <o:LinkType>EnhancedMetaFile</o:LinkType>
            <o:LockedField>false</o:LockedField>
          </o:OLEObject>
        </w:object>
      </w:r>
    </w:p>
    <w:p w:rsidR="00805189" w:rsidRDefault="00805189" w:rsidP="00805189">
      <w:pPr>
        <w:pStyle w:val="PSDS-CorpodeTexto0"/>
        <w:jc w:val="both"/>
        <w:rPr>
          <w:rFonts w:ascii="Times New Roman" w:hAnsi="Times New Roman"/>
          <w:lang w:val="pt-PT"/>
        </w:rPr>
      </w:pPr>
    </w:p>
    <w:p w:rsidR="00805189" w:rsidRPr="00FA3856" w:rsidRDefault="00805189" w:rsidP="00733B0F">
      <w:pPr>
        <w:pStyle w:val="PSDS-CorpodeTexto0"/>
        <w:jc w:val="center"/>
        <w:rPr>
          <w:rFonts w:ascii="Times New Roman" w:hAnsi="Times New Roman"/>
          <w:lang w:val="pt-PT"/>
        </w:rPr>
      </w:pPr>
    </w:p>
    <w:p w:rsidR="005710F0" w:rsidRPr="00FA3856" w:rsidRDefault="00B35FA3" w:rsidP="00733B0F">
      <w:pPr>
        <w:spacing w:after="200" w:line="276" w:lineRule="auto"/>
        <w:jc w:val="center"/>
        <w:rPr>
          <w:b/>
          <w:bCs/>
          <w:color w:val="0000FF"/>
          <w:szCs w:val="20"/>
        </w:rPr>
      </w:pPr>
      <w:r>
        <w:rPr>
          <w:b/>
          <w:bCs/>
          <w:color w:val="0000FF"/>
          <w:szCs w:val="20"/>
        </w:rPr>
        <w:object w:dxaOrig="14490" w:dyaOrig="8805">
          <v:shape id="_x0000_i1572" type="#_x0000_t75" style="width:727.5pt;height:439.5pt" o:ole="">
            <v:imagedata r:id="rId116" o:title=""/>
          </v:shape>
          <o:OLEObject Type="Link" ProgID="Excel.Sheet.12" ShapeID="_x0000_i1572" DrawAspect="Content" r:id="rId117" UpdateMode="Always">
            <o:LinkType>EnhancedMetaFile</o:LinkType>
            <o:LockedField>false</o:LockedField>
          </o:OLEObject>
        </w:object>
      </w:r>
    </w:p>
    <w:p w:rsidR="00110D73" w:rsidRDefault="00110D73" w:rsidP="006C4E96">
      <w:pPr>
        <w:pStyle w:val="Corpodetexto"/>
        <w:rPr>
          <w:rFonts w:ascii="Times New Roman" w:hAnsi="Times New Roman"/>
          <w:b/>
          <w:color w:val="002060"/>
          <w:szCs w:val="20"/>
          <w:highlight w:val="yellow"/>
        </w:rPr>
      </w:pPr>
    </w:p>
    <w:p w:rsidR="00110D73" w:rsidRDefault="00110D73" w:rsidP="006C4E96">
      <w:pPr>
        <w:pStyle w:val="Corpodetexto"/>
        <w:rPr>
          <w:rFonts w:ascii="Times New Roman" w:hAnsi="Times New Roman"/>
          <w:b/>
          <w:color w:val="002060"/>
          <w:szCs w:val="20"/>
          <w:highlight w:val="yellow"/>
        </w:rPr>
      </w:pPr>
    </w:p>
    <w:p w:rsidR="00110D73" w:rsidRDefault="00B35FA3" w:rsidP="00110D73">
      <w:pPr>
        <w:pStyle w:val="Corpodetexto"/>
        <w:jc w:val="center"/>
        <w:rPr>
          <w:rFonts w:ascii="Times New Roman" w:hAnsi="Times New Roman"/>
          <w:b/>
          <w:color w:val="002060"/>
          <w:szCs w:val="20"/>
          <w:highlight w:val="yellow"/>
        </w:rPr>
      </w:pPr>
      <w:r>
        <w:rPr>
          <w:rFonts w:ascii="Times New Roman" w:hAnsi="Times New Roman"/>
          <w:b/>
          <w:color w:val="002060"/>
          <w:szCs w:val="20"/>
          <w:highlight w:val="yellow"/>
        </w:rPr>
        <w:object w:dxaOrig="14490" w:dyaOrig="2340">
          <v:shape id="_x0000_i1574" type="#_x0000_t75" style="width:727.5pt;height:115.5pt" o:ole="">
            <v:imagedata r:id="rId118" o:title=""/>
          </v:shape>
          <o:OLEObject Type="Link" ProgID="Excel.Sheet.12" ShapeID="_x0000_i1574" DrawAspect="Content" r:id="rId119" UpdateMode="Always">
            <o:LinkType>EnhancedMetaFile</o:LinkType>
            <o:LockedField>false</o:LockedField>
          </o:OLEObject>
        </w:object>
      </w:r>
    </w:p>
    <w:p w:rsidR="00110D73" w:rsidRDefault="00110D73" w:rsidP="006C4E96">
      <w:pPr>
        <w:pStyle w:val="Corpodetexto"/>
        <w:rPr>
          <w:rFonts w:ascii="Times New Roman" w:hAnsi="Times New Roman"/>
          <w:b/>
          <w:color w:val="002060"/>
          <w:szCs w:val="20"/>
          <w:highlight w:val="yellow"/>
        </w:rPr>
      </w:pPr>
    </w:p>
    <w:p w:rsidR="00342F1D" w:rsidRPr="0070069F" w:rsidRDefault="006C4E96" w:rsidP="006C4E96">
      <w:pPr>
        <w:pStyle w:val="Corpodetexto"/>
        <w:rPr>
          <w:rFonts w:ascii="Times New Roman" w:hAnsi="Times New Roman"/>
          <w:b/>
          <w:color w:val="002060"/>
          <w:szCs w:val="20"/>
        </w:rPr>
      </w:pPr>
      <w:r w:rsidRPr="0070069F">
        <w:rPr>
          <w:rFonts w:ascii="Times New Roman" w:hAnsi="Times New Roman"/>
          <w:b/>
          <w:color w:val="002060"/>
          <w:szCs w:val="20"/>
        </w:rPr>
        <w:t xml:space="preserve">Exemplo de Preenchimento: </w:t>
      </w:r>
    </w:p>
    <w:p w:rsidR="00342F1D" w:rsidRPr="0070069F" w:rsidRDefault="00342F1D" w:rsidP="006C4E96">
      <w:pPr>
        <w:pStyle w:val="Corpodetexto"/>
        <w:rPr>
          <w:rFonts w:ascii="Times New Roman" w:hAnsi="Times New Roman"/>
          <w:b/>
          <w:color w:val="002060"/>
          <w:szCs w:val="20"/>
        </w:rPr>
      </w:pPr>
    </w:p>
    <w:p w:rsidR="006C4E96" w:rsidRPr="0070069F" w:rsidRDefault="006C4E96" w:rsidP="006C4E96">
      <w:pPr>
        <w:pStyle w:val="Corpodetexto"/>
        <w:rPr>
          <w:rFonts w:ascii="Times New Roman" w:hAnsi="Times New Roman"/>
          <w:b/>
          <w:color w:val="002060"/>
          <w:szCs w:val="20"/>
        </w:rPr>
      </w:pPr>
      <w:r w:rsidRPr="0070069F">
        <w:rPr>
          <w:rFonts w:ascii="Times New Roman" w:hAnsi="Times New Roman"/>
          <w:b/>
          <w:color w:val="002060"/>
          <w:szCs w:val="20"/>
        </w:rPr>
        <w:t>|0021|S|N|N|N|N|N|N|N|N|N|N|N|N|N|N|S|</w:t>
      </w:r>
    </w:p>
    <w:p w:rsidR="006C4E96" w:rsidRPr="0070069F" w:rsidRDefault="006C4E96" w:rsidP="006C4E96">
      <w:pPr>
        <w:pStyle w:val="Corpodetexto"/>
        <w:ind w:firstLine="708"/>
        <w:rPr>
          <w:rFonts w:ascii="Times New Roman" w:hAnsi="Times New Roman"/>
          <w:color w:val="002060"/>
          <w:szCs w:val="20"/>
        </w:rPr>
      </w:pPr>
      <w:r w:rsidRPr="0070069F">
        <w:rPr>
          <w:rFonts w:ascii="Times New Roman" w:hAnsi="Times New Roman"/>
          <w:color w:val="002060"/>
          <w:szCs w:val="20"/>
        </w:rPr>
        <w:t>|0021|: Identificação do tipo do registro.</w:t>
      </w:r>
    </w:p>
    <w:p w:rsidR="006C4E96" w:rsidRPr="0070069F" w:rsidRDefault="006C4E96" w:rsidP="006C4E96">
      <w:pPr>
        <w:pStyle w:val="Corpodetexto"/>
        <w:ind w:firstLine="708"/>
        <w:rPr>
          <w:rFonts w:ascii="Times New Roman" w:hAnsi="Times New Roman"/>
          <w:color w:val="002060"/>
          <w:szCs w:val="20"/>
        </w:rPr>
      </w:pPr>
      <w:r w:rsidRPr="0070069F">
        <w:rPr>
          <w:rFonts w:ascii="Times New Roman" w:hAnsi="Times New Roman"/>
          <w:color w:val="002060"/>
          <w:szCs w:val="20"/>
        </w:rPr>
        <w:t>|S|: Repes (S = Sim).</w:t>
      </w:r>
    </w:p>
    <w:p w:rsidR="006C4E96" w:rsidRPr="0070069F" w:rsidRDefault="006C4E96" w:rsidP="006C4E96">
      <w:pPr>
        <w:pStyle w:val="Corpodetexto"/>
        <w:ind w:firstLine="708"/>
        <w:rPr>
          <w:rFonts w:ascii="Times New Roman" w:hAnsi="Times New Roman"/>
          <w:color w:val="002060"/>
          <w:szCs w:val="20"/>
        </w:rPr>
      </w:pPr>
      <w:r w:rsidRPr="0070069F">
        <w:rPr>
          <w:rFonts w:ascii="Times New Roman" w:hAnsi="Times New Roman"/>
          <w:color w:val="002060"/>
          <w:szCs w:val="20"/>
        </w:rPr>
        <w:t>|N|: Recap (S = Sim).</w:t>
      </w:r>
    </w:p>
    <w:p w:rsidR="006C4E96" w:rsidRPr="0070069F" w:rsidRDefault="006C4E96" w:rsidP="006C4E96">
      <w:pPr>
        <w:pStyle w:val="Corpodetexto"/>
        <w:ind w:firstLine="708"/>
        <w:rPr>
          <w:rFonts w:ascii="Times New Roman" w:hAnsi="Times New Roman"/>
          <w:color w:val="002060"/>
          <w:szCs w:val="20"/>
        </w:rPr>
      </w:pPr>
      <w:r w:rsidRPr="0070069F">
        <w:rPr>
          <w:rFonts w:ascii="Times New Roman" w:hAnsi="Times New Roman"/>
          <w:color w:val="002060"/>
          <w:szCs w:val="20"/>
        </w:rPr>
        <w:t>|N|: Padis (S = Sim).</w:t>
      </w:r>
    </w:p>
    <w:p w:rsidR="006C4E96" w:rsidRPr="0070069F" w:rsidRDefault="006C4E96" w:rsidP="006C4E96">
      <w:pPr>
        <w:pStyle w:val="Corpodetexto"/>
        <w:ind w:firstLine="708"/>
        <w:rPr>
          <w:rFonts w:ascii="Times New Roman" w:hAnsi="Times New Roman"/>
          <w:color w:val="002060"/>
          <w:szCs w:val="20"/>
        </w:rPr>
      </w:pPr>
      <w:r w:rsidRPr="0070069F">
        <w:rPr>
          <w:rFonts w:ascii="Times New Roman" w:hAnsi="Times New Roman"/>
          <w:color w:val="002060"/>
          <w:szCs w:val="20"/>
        </w:rPr>
        <w:t>|N|: Patvd (N = Não).</w:t>
      </w:r>
    </w:p>
    <w:p w:rsidR="006C4E96" w:rsidRPr="0070069F" w:rsidRDefault="006C4E96" w:rsidP="006C4E96">
      <w:pPr>
        <w:pStyle w:val="Corpodetexto"/>
        <w:ind w:firstLine="708"/>
        <w:rPr>
          <w:rFonts w:ascii="Times New Roman" w:hAnsi="Times New Roman"/>
          <w:color w:val="002060"/>
          <w:szCs w:val="20"/>
        </w:rPr>
      </w:pPr>
      <w:r w:rsidRPr="0070069F">
        <w:rPr>
          <w:rFonts w:ascii="Times New Roman" w:hAnsi="Times New Roman"/>
          <w:color w:val="002060"/>
          <w:szCs w:val="20"/>
        </w:rPr>
        <w:t>|N|: Reidi (N = Não).</w:t>
      </w:r>
    </w:p>
    <w:p w:rsidR="006C4E96" w:rsidRPr="0070069F" w:rsidRDefault="006C4E96" w:rsidP="006C4E96">
      <w:pPr>
        <w:pStyle w:val="Corpodetexto"/>
        <w:ind w:firstLine="708"/>
        <w:rPr>
          <w:rFonts w:ascii="Times New Roman" w:hAnsi="Times New Roman"/>
          <w:color w:val="002060"/>
          <w:szCs w:val="20"/>
        </w:rPr>
      </w:pPr>
      <w:r w:rsidRPr="0070069F">
        <w:rPr>
          <w:rFonts w:ascii="Times New Roman" w:hAnsi="Times New Roman"/>
          <w:color w:val="002060"/>
          <w:szCs w:val="20"/>
        </w:rPr>
        <w:t>|N|: Repenec (N = Não).</w:t>
      </w:r>
    </w:p>
    <w:p w:rsidR="006C4E96" w:rsidRPr="0070069F" w:rsidRDefault="006C4E96" w:rsidP="006C4E96">
      <w:pPr>
        <w:pStyle w:val="Corpodetexto"/>
        <w:ind w:firstLine="708"/>
        <w:rPr>
          <w:rFonts w:ascii="Times New Roman" w:hAnsi="Times New Roman"/>
          <w:color w:val="002060"/>
          <w:szCs w:val="20"/>
        </w:rPr>
      </w:pPr>
      <w:r w:rsidRPr="0070069F">
        <w:rPr>
          <w:rFonts w:ascii="Times New Roman" w:hAnsi="Times New Roman"/>
          <w:color w:val="002060"/>
          <w:szCs w:val="20"/>
        </w:rPr>
        <w:t>|N|: Reicomp (N = Não).</w:t>
      </w:r>
    </w:p>
    <w:p w:rsidR="006C4E96" w:rsidRPr="0070069F" w:rsidRDefault="006C4E96" w:rsidP="006C4E96">
      <w:pPr>
        <w:pStyle w:val="Corpodetexto"/>
        <w:ind w:firstLine="708"/>
        <w:rPr>
          <w:rFonts w:ascii="Times New Roman" w:hAnsi="Times New Roman"/>
          <w:color w:val="002060"/>
          <w:szCs w:val="20"/>
        </w:rPr>
      </w:pPr>
      <w:r w:rsidRPr="0070069F">
        <w:rPr>
          <w:rFonts w:ascii="Times New Roman" w:hAnsi="Times New Roman"/>
          <w:color w:val="002060"/>
          <w:szCs w:val="20"/>
        </w:rPr>
        <w:t>|N|: Retaero (N = Não).</w:t>
      </w:r>
    </w:p>
    <w:p w:rsidR="006C4E96" w:rsidRPr="0070069F" w:rsidRDefault="006C4E96" w:rsidP="006C4E96">
      <w:pPr>
        <w:pStyle w:val="Corpodetexto"/>
        <w:ind w:firstLine="708"/>
        <w:rPr>
          <w:rFonts w:ascii="Times New Roman" w:hAnsi="Times New Roman"/>
          <w:color w:val="002060"/>
          <w:szCs w:val="20"/>
        </w:rPr>
      </w:pPr>
      <w:r w:rsidRPr="0070069F">
        <w:rPr>
          <w:rFonts w:ascii="Times New Roman" w:hAnsi="Times New Roman"/>
          <w:color w:val="002060"/>
          <w:szCs w:val="20"/>
        </w:rPr>
        <w:t>|N|: Recine (N = Não).</w:t>
      </w:r>
    </w:p>
    <w:p w:rsidR="006C4E96" w:rsidRPr="0070069F" w:rsidRDefault="006C4E96" w:rsidP="006C4E96">
      <w:pPr>
        <w:pStyle w:val="Corpodetexto"/>
        <w:ind w:firstLine="708"/>
        <w:rPr>
          <w:rFonts w:ascii="Times New Roman" w:hAnsi="Times New Roman"/>
          <w:color w:val="002060"/>
          <w:szCs w:val="20"/>
        </w:rPr>
      </w:pPr>
      <w:r w:rsidRPr="0070069F">
        <w:rPr>
          <w:rFonts w:ascii="Times New Roman" w:hAnsi="Times New Roman"/>
          <w:color w:val="002060"/>
          <w:szCs w:val="20"/>
        </w:rPr>
        <w:t>|N|: Resíduos Sólidos (N = Não).</w:t>
      </w:r>
    </w:p>
    <w:p w:rsidR="006C4E96" w:rsidRPr="0070069F" w:rsidRDefault="006C4E96" w:rsidP="006C4E96">
      <w:pPr>
        <w:pStyle w:val="Corpodetexto"/>
        <w:ind w:firstLine="708"/>
        <w:rPr>
          <w:rFonts w:ascii="Times New Roman" w:hAnsi="Times New Roman"/>
          <w:color w:val="002060"/>
          <w:szCs w:val="20"/>
        </w:rPr>
      </w:pPr>
      <w:r w:rsidRPr="0070069F">
        <w:rPr>
          <w:rFonts w:ascii="Times New Roman" w:hAnsi="Times New Roman"/>
          <w:color w:val="002060"/>
          <w:szCs w:val="20"/>
        </w:rPr>
        <w:t>|N|: Recopa (N = Não).</w:t>
      </w:r>
    </w:p>
    <w:p w:rsidR="006C4E96" w:rsidRPr="0070069F" w:rsidRDefault="006C4E96" w:rsidP="006C4E96">
      <w:pPr>
        <w:pStyle w:val="Corpodetexto"/>
        <w:ind w:firstLine="708"/>
        <w:rPr>
          <w:rFonts w:ascii="Times New Roman" w:hAnsi="Times New Roman"/>
          <w:color w:val="002060"/>
          <w:szCs w:val="20"/>
        </w:rPr>
      </w:pPr>
      <w:r w:rsidRPr="0070069F">
        <w:rPr>
          <w:rFonts w:ascii="Times New Roman" w:hAnsi="Times New Roman"/>
          <w:color w:val="002060"/>
          <w:szCs w:val="20"/>
        </w:rPr>
        <w:t>|N|: Copa do Mundo (N = Não).</w:t>
      </w:r>
    </w:p>
    <w:p w:rsidR="006C4E96" w:rsidRPr="0070069F" w:rsidRDefault="006C4E96" w:rsidP="006C4E96">
      <w:pPr>
        <w:pStyle w:val="Corpodetexto"/>
        <w:ind w:firstLine="708"/>
        <w:rPr>
          <w:rFonts w:ascii="Times New Roman" w:hAnsi="Times New Roman"/>
          <w:color w:val="002060"/>
          <w:szCs w:val="20"/>
        </w:rPr>
      </w:pPr>
      <w:r w:rsidRPr="0070069F">
        <w:rPr>
          <w:rFonts w:ascii="Times New Roman" w:hAnsi="Times New Roman"/>
          <w:color w:val="002060"/>
          <w:szCs w:val="20"/>
        </w:rPr>
        <w:t>|N|: Retid (N = Não).</w:t>
      </w:r>
    </w:p>
    <w:p w:rsidR="006C4E96" w:rsidRPr="0070069F" w:rsidRDefault="006C4E96" w:rsidP="006C4E96">
      <w:pPr>
        <w:pStyle w:val="Corpodetexto"/>
        <w:ind w:firstLine="708"/>
        <w:rPr>
          <w:rFonts w:ascii="Times New Roman" w:hAnsi="Times New Roman"/>
          <w:color w:val="002060"/>
          <w:szCs w:val="20"/>
        </w:rPr>
      </w:pPr>
      <w:r w:rsidRPr="0070069F">
        <w:rPr>
          <w:rFonts w:ascii="Times New Roman" w:hAnsi="Times New Roman"/>
          <w:color w:val="002060"/>
          <w:szCs w:val="20"/>
        </w:rPr>
        <w:t>|N|: Repnbl-Redes (N = Não).</w:t>
      </w:r>
    </w:p>
    <w:p w:rsidR="006C4E96" w:rsidRPr="0070069F" w:rsidRDefault="006C4E96" w:rsidP="006C4E96">
      <w:pPr>
        <w:pStyle w:val="Corpodetexto"/>
        <w:ind w:firstLine="708"/>
        <w:rPr>
          <w:rFonts w:ascii="Times New Roman" w:hAnsi="Times New Roman"/>
          <w:color w:val="002060"/>
          <w:szCs w:val="20"/>
        </w:rPr>
      </w:pPr>
      <w:r w:rsidRPr="0070069F">
        <w:rPr>
          <w:rFonts w:ascii="Times New Roman" w:hAnsi="Times New Roman"/>
          <w:color w:val="002060"/>
          <w:szCs w:val="20"/>
        </w:rPr>
        <w:t>|N|: Reif (N = Não).</w:t>
      </w:r>
    </w:p>
    <w:p w:rsidR="006C4E96" w:rsidRPr="00FA3856" w:rsidRDefault="006C4E96" w:rsidP="006C4E96">
      <w:pPr>
        <w:pStyle w:val="Corpodetexto"/>
        <w:ind w:firstLine="708"/>
        <w:rPr>
          <w:rFonts w:ascii="Times New Roman" w:hAnsi="Times New Roman"/>
          <w:color w:val="002060"/>
          <w:szCs w:val="20"/>
        </w:rPr>
      </w:pPr>
      <w:r w:rsidRPr="0070069F">
        <w:rPr>
          <w:rFonts w:ascii="Times New Roman" w:hAnsi="Times New Roman"/>
          <w:color w:val="002060"/>
          <w:szCs w:val="20"/>
        </w:rPr>
        <w:t>|S|: Olímpiadas (S = Sim).</w:t>
      </w:r>
    </w:p>
    <w:p w:rsidR="006C4E96" w:rsidRDefault="006C4E96">
      <w:pPr>
        <w:spacing w:after="200" w:line="276" w:lineRule="auto"/>
        <w:rPr>
          <w:b/>
          <w:bCs/>
          <w:color w:val="0000FF"/>
          <w:szCs w:val="20"/>
        </w:rPr>
      </w:pPr>
      <w:r>
        <w:rPr>
          <w:color w:val="0000FF"/>
          <w:szCs w:val="20"/>
        </w:rPr>
        <w:tab/>
      </w:r>
      <w:r>
        <w:rPr>
          <w:color w:val="0000FF"/>
          <w:szCs w:val="20"/>
        </w:rPr>
        <w:br w:type="page"/>
      </w:r>
    </w:p>
    <w:p w:rsidR="003B47BF" w:rsidRPr="00FA3856" w:rsidRDefault="002247D6" w:rsidP="00867F54">
      <w:pPr>
        <w:pStyle w:val="Ttulo4"/>
      </w:pPr>
      <w:bookmarkStart w:id="64" w:name="_Toc479713672"/>
      <w:r w:rsidRPr="00FA3856">
        <w:lastRenderedPageBreak/>
        <w:t>Registro 003</w:t>
      </w:r>
      <w:r w:rsidR="003B47BF" w:rsidRPr="00FA3856">
        <w:t xml:space="preserve">0: </w:t>
      </w:r>
      <w:r w:rsidRPr="00FA3856">
        <w:t>Dados Cadastrais</w:t>
      </w:r>
      <w:bookmarkEnd w:id="64"/>
    </w:p>
    <w:p w:rsidR="00B450D9" w:rsidRDefault="00B450D9" w:rsidP="002247D6">
      <w:pPr>
        <w:ind w:firstLine="708"/>
        <w:rPr>
          <w:szCs w:val="20"/>
        </w:rPr>
      </w:pPr>
    </w:p>
    <w:p w:rsidR="002247D6" w:rsidRDefault="00B450D9" w:rsidP="002247D6">
      <w:pPr>
        <w:ind w:firstLine="708"/>
        <w:rPr>
          <w:szCs w:val="20"/>
        </w:rPr>
      </w:pPr>
      <w:r>
        <w:rPr>
          <w:szCs w:val="20"/>
        </w:rPr>
        <w:t>A</w:t>
      </w:r>
      <w:r w:rsidR="002247D6" w:rsidRPr="00FA3856">
        <w:rPr>
          <w:szCs w:val="20"/>
        </w:rPr>
        <w:t xml:space="preserve">presenta os dados cadastrais da </w:t>
      </w:r>
      <w:r w:rsidR="00D16822" w:rsidRPr="00FA3856">
        <w:rPr>
          <w:szCs w:val="20"/>
        </w:rPr>
        <w:t>pessoa jurídica</w:t>
      </w:r>
      <w:r w:rsidR="002247D6" w:rsidRPr="00FA3856">
        <w:rPr>
          <w:szCs w:val="20"/>
        </w:rPr>
        <w:t>.</w:t>
      </w:r>
    </w:p>
    <w:p w:rsidR="00B450D9" w:rsidRPr="00FA3856" w:rsidRDefault="00B35FA3" w:rsidP="00B450D9">
      <w:pPr>
        <w:jc w:val="center"/>
        <w:rPr>
          <w:szCs w:val="20"/>
        </w:rPr>
      </w:pPr>
      <w:r>
        <w:rPr>
          <w:szCs w:val="20"/>
        </w:rPr>
        <w:object w:dxaOrig="14640" w:dyaOrig="8205">
          <v:shape id="_x0000_i1576" type="#_x0000_t75" style="width:732pt;height:408.75pt" o:ole="">
            <v:imagedata r:id="rId120" o:title=""/>
          </v:shape>
          <o:OLEObject Type="Link" ProgID="Excel.Sheet.12" ShapeID="_x0000_i1576" DrawAspect="Content" r:id="rId121" UpdateMode="Always">
            <o:LinkType>EnhancedMetaFile</o:LinkType>
            <o:LockedField>false</o:LockedField>
          </o:OLEObject>
        </w:object>
      </w:r>
    </w:p>
    <w:p w:rsidR="002070F8" w:rsidRPr="00FA3856" w:rsidRDefault="002070F8" w:rsidP="002070F8">
      <w:pPr>
        <w:pStyle w:val="Corpodetexto"/>
        <w:spacing w:line="240" w:lineRule="auto"/>
        <w:rPr>
          <w:rFonts w:ascii="Times New Roman" w:hAnsi="Times New Roman"/>
          <w:color w:val="auto"/>
          <w:szCs w:val="20"/>
        </w:rPr>
      </w:pPr>
      <w:r w:rsidRPr="00FA3856">
        <w:rPr>
          <w:rFonts w:ascii="Times New Roman" w:hAnsi="Times New Roman"/>
          <w:b/>
          <w:color w:val="auto"/>
          <w:szCs w:val="20"/>
        </w:rPr>
        <w:t xml:space="preserve">I – Regras de Validação dos Campos: </w:t>
      </w:r>
    </w:p>
    <w:p w:rsidR="002070F8" w:rsidRPr="00FA3856" w:rsidRDefault="002070F8" w:rsidP="002070F8">
      <w:pPr>
        <w:rPr>
          <w:szCs w:val="20"/>
        </w:rPr>
      </w:pPr>
    </w:p>
    <w:tbl>
      <w:tblPr>
        <w:tblW w:w="16370"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85"/>
        <w:gridCol w:w="2239"/>
        <w:gridCol w:w="12929"/>
        <w:gridCol w:w="717"/>
      </w:tblGrid>
      <w:tr w:rsidR="002070F8" w:rsidRPr="00FA3856" w:rsidTr="007F6CEC">
        <w:trPr>
          <w:tblHeader/>
          <w:jc w:val="center"/>
        </w:trPr>
        <w:tc>
          <w:tcPr>
            <w:tcW w:w="485" w:type="dxa"/>
            <w:tcBorders>
              <w:top w:val="single" w:sz="6" w:space="0" w:color="auto"/>
              <w:left w:val="single" w:sz="6" w:space="0" w:color="auto"/>
              <w:bottom w:val="single" w:sz="6" w:space="0" w:color="auto"/>
              <w:right w:val="single" w:sz="6" w:space="0" w:color="auto"/>
            </w:tcBorders>
            <w:shd w:val="pct10" w:color="auto" w:fill="FFFFFF"/>
          </w:tcPr>
          <w:p w:rsidR="002070F8" w:rsidRPr="00FA3856" w:rsidRDefault="002070F8" w:rsidP="007F6CEC">
            <w:pPr>
              <w:pStyle w:val="PSDS-CorpodeTexto0"/>
              <w:jc w:val="center"/>
              <w:rPr>
                <w:rFonts w:ascii="Times New Roman" w:hAnsi="Times New Roman"/>
                <w:b/>
                <w:bCs/>
              </w:rPr>
            </w:pPr>
            <w:r w:rsidRPr="00FA3856">
              <w:rPr>
                <w:rFonts w:ascii="Times New Roman" w:hAnsi="Times New Roman"/>
                <w:b/>
                <w:bCs/>
              </w:rPr>
              <w:lastRenderedPageBreak/>
              <w:t>Nº</w:t>
            </w:r>
          </w:p>
        </w:tc>
        <w:tc>
          <w:tcPr>
            <w:tcW w:w="2239" w:type="dxa"/>
            <w:tcBorders>
              <w:top w:val="single" w:sz="6" w:space="0" w:color="auto"/>
              <w:left w:val="single" w:sz="6" w:space="0" w:color="auto"/>
              <w:bottom w:val="single" w:sz="6" w:space="0" w:color="auto"/>
              <w:right w:val="single" w:sz="6" w:space="0" w:color="auto"/>
            </w:tcBorders>
            <w:shd w:val="pct10" w:color="auto" w:fill="FFFFFF"/>
          </w:tcPr>
          <w:p w:rsidR="002070F8" w:rsidRPr="00FA3856" w:rsidRDefault="002070F8" w:rsidP="007F6CEC">
            <w:pPr>
              <w:pStyle w:val="PSDS-CorpodeTexto0"/>
              <w:jc w:val="center"/>
              <w:rPr>
                <w:rFonts w:ascii="Times New Roman" w:hAnsi="Times New Roman"/>
                <w:b/>
                <w:bCs/>
              </w:rPr>
            </w:pPr>
            <w:r w:rsidRPr="00FA3856">
              <w:rPr>
                <w:rFonts w:ascii="Times New Roman" w:hAnsi="Times New Roman"/>
                <w:b/>
                <w:bCs/>
              </w:rPr>
              <w:t>Campo</w:t>
            </w:r>
          </w:p>
        </w:tc>
        <w:tc>
          <w:tcPr>
            <w:tcW w:w="12929" w:type="dxa"/>
            <w:tcBorders>
              <w:top w:val="single" w:sz="6" w:space="0" w:color="auto"/>
              <w:left w:val="single" w:sz="6" w:space="0" w:color="auto"/>
              <w:bottom w:val="single" w:sz="6" w:space="0" w:color="auto"/>
              <w:right w:val="single" w:sz="6" w:space="0" w:color="auto"/>
            </w:tcBorders>
            <w:shd w:val="pct10" w:color="auto" w:fill="FFFFFF"/>
          </w:tcPr>
          <w:p w:rsidR="002070F8" w:rsidRPr="00FA3856" w:rsidRDefault="002070F8" w:rsidP="007F6CEC">
            <w:pPr>
              <w:pStyle w:val="PSDS-CorpodeTexto0"/>
              <w:jc w:val="center"/>
              <w:rPr>
                <w:rFonts w:ascii="Times New Roman" w:hAnsi="Times New Roman"/>
                <w:b/>
                <w:bCs/>
              </w:rPr>
            </w:pPr>
            <w:r w:rsidRPr="00FA3856">
              <w:rPr>
                <w:rFonts w:ascii="Times New Roman" w:hAnsi="Times New Roman"/>
                <w:b/>
                <w:bCs/>
              </w:rPr>
              <w:t>Regras de validação do campo</w:t>
            </w:r>
          </w:p>
        </w:tc>
        <w:tc>
          <w:tcPr>
            <w:tcW w:w="717" w:type="dxa"/>
            <w:tcBorders>
              <w:top w:val="single" w:sz="6" w:space="0" w:color="auto"/>
              <w:left w:val="single" w:sz="6" w:space="0" w:color="auto"/>
              <w:bottom w:val="single" w:sz="6" w:space="0" w:color="auto"/>
              <w:right w:val="single" w:sz="6" w:space="0" w:color="auto"/>
            </w:tcBorders>
            <w:shd w:val="pct10" w:color="auto" w:fill="FFFFFF"/>
          </w:tcPr>
          <w:p w:rsidR="002070F8" w:rsidRPr="00FA3856" w:rsidRDefault="002070F8" w:rsidP="007F6CEC">
            <w:pPr>
              <w:pStyle w:val="PSDS-CorpodeTexto0"/>
              <w:jc w:val="center"/>
              <w:rPr>
                <w:rFonts w:ascii="Times New Roman" w:hAnsi="Times New Roman"/>
                <w:b/>
                <w:bCs/>
              </w:rPr>
            </w:pPr>
            <w:r w:rsidRPr="00FA3856">
              <w:rPr>
                <w:rFonts w:ascii="Times New Roman" w:hAnsi="Times New Roman"/>
                <w:b/>
                <w:bCs/>
              </w:rPr>
              <w:t>Tipo</w:t>
            </w:r>
          </w:p>
        </w:tc>
      </w:tr>
      <w:tr w:rsidR="002070F8" w:rsidRPr="00FA3856" w:rsidTr="007F6CEC">
        <w:trPr>
          <w:jc w:val="center"/>
        </w:trPr>
        <w:tc>
          <w:tcPr>
            <w:tcW w:w="485" w:type="dxa"/>
            <w:tcBorders>
              <w:top w:val="single" w:sz="6" w:space="0" w:color="auto"/>
              <w:left w:val="single" w:sz="6" w:space="0" w:color="auto"/>
              <w:bottom w:val="single" w:sz="6" w:space="0" w:color="auto"/>
              <w:right w:val="single" w:sz="6" w:space="0" w:color="auto"/>
            </w:tcBorders>
          </w:tcPr>
          <w:p w:rsidR="002070F8" w:rsidRPr="00FA3856" w:rsidRDefault="002070F8" w:rsidP="007F6CEC">
            <w:pPr>
              <w:pStyle w:val="PSDS-CorpodeTexto0"/>
              <w:suppressAutoHyphens w:val="0"/>
              <w:rPr>
                <w:rFonts w:ascii="Times New Roman" w:hAnsi="Times New Roman"/>
                <w:b/>
                <w:bCs/>
                <w:lang w:val="en-US"/>
              </w:rPr>
            </w:pPr>
            <w:r w:rsidRPr="00FA3856">
              <w:rPr>
                <w:rFonts w:ascii="Times New Roman" w:hAnsi="Times New Roman"/>
                <w:b/>
                <w:bCs/>
                <w:lang w:val="en-US"/>
              </w:rPr>
              <w:t>12</w:t>
            </w:r>
          </w:p>
        </w:tc>
        <w:tc>
          <w:tcPr>
            <w:tcW w:w="2239" w:type="dxa"/>
            <w:tcBorders>
              <w:top w:val="single" w:sz="6" w:space="0" w:color="auto"/>
              <w:left w:val="single" w:sz="6" w:space="0" w:color="auto"/>
              <w:bottom w:val="single" w:sz="6" w:space="0" w:color="auto"/>
              <w:right w:val="single" w:sz="6" w:space="0" w:color="auto"/>
            </w:tcBorders>
          </w:tcPr>
          <w:p w:rsidR="002070F8" w:rsidRPr="00FA3856" w:rsidRDefault="002070F8" w:rsidP="007F6CEC">
            <w:pPr>
              <w:pStyle w:val="PSDS-CorpodeTexto0"/>
              <w:rPr>
                <w:rFonts w:ascii="Times New Roman" w:hAnsi="Times New Roman"/>
                <w:b/>
                <w:bCs/>
                <w:lang w:val="en-US"/>
              </w:rPr>
            </w:pPr>
            <w:r w:rsidRPr="00FA3856">
              <w:rPr>
                <w:rFonts w:ascii="Times New Roman" w:hAnsi="Times New Roman"/>
                <w:b/>
                <w:bCs/>
                <w:lang w:val="en-US"/>
              </w:rPr>
              <w:t>EMAIL</w:t>
            </w:r>
          </w:p>
        </w:tc>
        <w:tc>
          <w:tcPr>
            <w:tcW w:w="12929" w:type="dxa"/>
            <w:tcBorders>
              <w:top w:val="single" w:sz="6" w:space="0" w:color="auto"/>
              <w:left w:val="single" w:sz="6" w:space="0" w:color="auto"/>
              <w:bottom w:val="single" w:sz="6" w:space="0" w:color="auto"/>
              <w:right w:val="single" w:sz="6" w:space="0" w:color="auto"/>
            </w:tcBorders>
          </w:tcPr>
          <w:p w:rsidR="002070F8" w:rsidRPr="00FA3856" w:rsidRDefault="002070F8" w:rsidP="00563622">
            <w:pPr>
              <w:pStyle w:val="PSDS-CorpodeTexto0"/>
              <w:jc w:val="both"/>
              <w:rPr>
                <w:rFonts w:ascii="Times New Roman" w:hAnsi="Times New Roman"/>
                <w:bCs/>
                <w:lang w:val="pt-PT"/>
              </w:rPr>
            </w:pPr>
            <w:r w:rsidRPr="00FA3856">
              <w:rPr>
                <w:rFonts w:ascii="Times New Roman" w:hAnsi="Times New Roman"/>
                <w:b/>
                <w:bCs/>
                <w:lang w:val="pt-PT"/>
              </w:rPr>
              <w:t xml:space="preserve">REGRA_VALIDA_EMAIL: </w:t>
            </w:r>
            <w:r w:rsidRPr="00FA3856">
              <w:rPr>
                <w:rFonts w:ascii="Times New Roman" w:hAnsi="Times New Roman"/>
                <w:bCs/>
                <w:lang w:val="pt-PT"/>
              </w:rPr>
              <w:t>Verifica se, não existe “espaço”, se existe o caracter “@” precedido e seguido de pelo menos um caracter e se, após o “@”</w:t>
            </w:r>
            <w:r w:rsidR="00246283" w:rsidRPr="00FA3856">
              <w:rPr>
                <w:rFonts w:ascii="Times New Roman" w:hAnsi="Times New Roman"/>
                <w:bCs/>
                <w:lang w:val="pt-PT"/>
              </w:rPr>
              <w:t xml:space="preserve">, existe, pelo menos, um ponto seguido de duas a quatro letras, </w:t>
            </w:r>
            <w:r w:rsidR="00563622" w:rsidRPr="00FA3856">
              <w:rPr>
                <w:rFonts w:ascii="Times New Roman" w:hAnsi="Times New Roman"/>
                <w:bCs/>
                <w:lang w:val="pt-PT"/>
              </w:rPr>
              <w:t>em</w:t>
            </w:r>
            <w:r w:rsidRPr="00FA3856">
              <w:rPr>
                <w:rFonts w:ascii="Times New Roman" w:hAnsi="Times New Roman"/>
                <w:bCs/>
                <w:lang w:val="pt-PT"/>
              </w:rPr>
              <w:t xml:space="preserve"> </w:t>
            </w:r>
            <w:r w:rsidR="00406F13" w:rsidRPr="00FA3856">
              <w:rPr>
                <w:rFonts w:ascii="Times New Roman" w:hAnsi="Times New Roman"/>
                <w:bCs/>
                <w:lang w:val="pt-PT"/>
              </w:rPr>
              <w:t>0030.</w:t>
            </w:r>
            <w:r w:rsidR="009659A9" w:rsidRPr="00FA3856">
              <w:rPr>
                <w:rFonts w:ascii="Times New Roman" w:hAnsi="Times New Roman"/>
                <w:bCs/>
                <w:lang w:val="pt-PT"/>
              </w:rPr>
              <w:t>EMAIL</w:t>
            </w:r>
            <w:r w:rsidR="00246283" w:rsidRPr="00FA3856">
              <w:rPr>
                <w:rFonts w:ascii="Times New Roman" w:hAnsi="Times New Roman"/>
                <w:bCs/>
                <w:lang w:val="pt-PT"/>
              </w:rPr>
              <w:t>.</w:t>
            </w:r>
          </w:p>
        </w:tc>
        <w:tc>
          <w:tcPr>
            <w:tcW w:w="717" w:type="dxa"/>
            <w:tcBorders>
              <w:top w:val="single" w:sz="6" w:space="0" w:color="auto"/>
              <w:left w:val="single" w:sz="6" w:space="0" w:color="auto"/>
              <w:bottom w:val="single" w:sz="6" w:space="0" w:color="auto"/>
              <w:right w:val="single" w:sz="6" w:space="0" w:color="auto"/>
            </w:tcBorders>
          </w:tcPr>
          <w:p w:rsidR="002070F8" w:rsidRPr="00FA3856" w:rsidRDefault="002070F8" w:rsidP="007F6CEC">
            <w:pPr>
              <w:pStyle w:val="PSDS-CorpodeTexto0"/>
              <w:rPr>
                <w:rFonts w:ascii="Times New Roman" w:hAnsi="Times New Roman"/>
                <w:bCs/>
                <w:lang w:val="en-US"/>
              </w:rPr>
            </w:pPr>
            <w:r w:rsidRPr="00FA3856">
              <w:rPr>
                <w:rFonts w:ascii="Times New Roman" w:hAnsi="Times New Roman"/>
                <w:bCs/>
                <w:lang w:val="en-US"/>
              </w:rPr>
              <w:t>Erro</w:t>
            </w:r>
          </w:p>
          <w:p w:rsidR="002070F8" w:rsidRPr="00FA3856" w:rsidRDefault="002070F8" w:rsidP="007F6CEC">
            <w:pPr>
              <w:pStyle w:val="PSDS-CorpodeTexto0"/>
              <w:rPr>
                <w:rFonts w:ascii="Times New Roman" w:hAnsi="Times New Roman"/>
                <w:bCs/>
                <w:lang w:val="en-US"/>
              </w:rPr>
            </w:pPr>
          </w:p>
        </w:tc>
      </w:tr>
    </w:tbl>
    <w:p w:rsidR="002070F8" w:rsidRPr="00FA3856" w:rsidRDefault="002070F8" w:rsidP="00361BA8">
      <w:pPr>
        <w:rPr>
          <w:color w:val="0000FF"/>
          <w:szCs w:val="20"/>
        </w:rPr>
      </w:pPr>
    </w:p>
    <w:p w:rsidR="00342F1D" w:rsidRDefault="00246283" w:rsidP="00246283">
      <w:pPr>
        <w:pStyle w:val="Corpodetexto"/>
        <w:rPr>
          <w:rFonts w:ascii="Times New Roman" w:hAnsi="Times New Roman"/>
          <w:b/>
          <w:color w:val="002060"/>
          <w:szCs w:val="20"/>
        </w:rPr>
      </w:pPr>
      <w:r w:rsidRPr="00FA3856">
        <w:rPr>
          <w:rFonts w:ascii="Times New Roman" w:hAnsi="Times New Roman"/>
          <w:b/>
          <w:color w:val="002060"/>
          <w:szCs w:val="20"/>
        </w:rPr>
        <w:t xml:space="preserve">Exemplo de Preenchimento: </w:t>
      </w:r>
    </w:p>
    <w:p w:rsidR="00342F1D" w:rsidRDefault="00342F1D" w:rsidP="00246283">
      <w:pPr>
        <w:pStyle w:val="Corpodetexto"/>
        <w:rPr>
          <w:rFonts w:ascii="Times New Roman" w:hAnsi="Times New Roman"/>
          <w:b/>
          <w:color w:val="002060"/>
          <w:szCs w:val="20"/>
        </w:rPr>
      </w:pPr>
    </w:p>
    <w:p w:rsidR="00246283" w:rsidRPr="00FA3856" w:rsidRDefault="00246283" w:rsidP="00246283">
      <w:pPr>
        <w:pStyle w:val="Corpodetexto"/>
        <w:rPr>
          <w:rFonts w:ascii="Times New Roman" w:hAnsi="Times New Roman"/>
          <w:b/>
          <w:color w:val="002060"/>
          <w:szCs w:val="20"/>
        </w:rPr>
      </w:pPr>
      <w:r w:rsidRPr="00FA3856">
        <w:rPr>
          <w:rFonts w:ascii="Times New Roman" w:hAnsi="Times New Roman"/>
          <w:b/>
          <w:color w:val="002060"/>
          <w:szCs w:val="20"/>
        </w:rPr>
        <w:t>|0030|2046|6204000|RUA TESTE|1234|BLOCO Z SALA 301|BAIRRO ECF|DF|5300108|71000000|6133333333|testeecf@ecf.gov.br|</w:t>
      </w:r>
    </w:p>
    <w:p w:rsidR="00246283" w:rsidRPr="00FA3856" w:rsidRDefault="00246283" w:rsidP="00246283">
      <w:pPr>
        <w:pStyle w:val="Corpodetexto"/>
        <w:ind w:firstLine="708"/>
        <w:rPr>
          <w:rFonts w:ascii="Times New Roman" w:hAnsi="Times New Roman"/>
          <w:color w:val="002060"/>
          <w:szCs w:val="20"/>
        </w:rPr>
      </w:pPr>
      <w:r w:rsidRPr="00FA3856">
        <w:rPr>
          <w:rFonts w:ascii="Times New Roman" w:hAnsi="Times New Roman"/>
          <w:color w:val="002060"/>
          <w:szCs w:val="20"/>
        </w:rPr>
        <w:t>|0030|: Identificação do tipo do registro.</w:t>
      </w:r>
    </w:p>
    <w:p w:rsidR="00246283" w:rsidRPr="00FA3856" w:rsidRDefault="00246283" w:rsidP="00246283">
      <w:pPr>
        <w:pStyle w:val="Corpodetexto"/>
        <w:ind w:firstLine="708"/>
        <w:rPr>
          <w:rFonts w:ascii="Times New Roman" w:hAnsi="Times New Roman"/>
          <w:color w:val="002060"/>
          <w:szCs w:val="20"/>
        </w:rPr>
      </w:pPr>
      <w:r w:rsidRPr="00FA3856">
        <w:rPr>
          <w:rFonts w:ascii="Times New Roman" w:hAnsi="Times New Roman"/>
          <w:color w:val="002060"/>
          <w:szCs w:val="20"/>
        </w:rPr>
        <w:t>|2046|: Código da natureza jurídica (2046 = Sociedade Anônima Aberta).</w:t>
      </w:r>
    </w:p>
    <w:p w:rsidR="00246283" w:rsidRPr="00FA3856" w:rsidRDefault="00246283" w:rsidP="00246283">
      <w:pPr>
        <w:pStyle w:val="Corpodetexto"/>
        <w:ind w:firstLine="708"/>
        <w:rPr>
          <w:rFonts w:ascii="Times New Roman" w:hAnsi="Times New Roman"/>
          <w:color w:val="002060"/>
          <w:szCs w:val="20"/>
        </w:rPr>
      </w:pPr>
      <w:r w:rsidRPr="00FA3856">
        <w:rPr>
          <w:rFonts w:ascii="Times New Roman" w:hAnsi="Times New Roman"/>
          <w:color w:val="002060"/>
          <w:szCs w:val="20"/>
        </w:rPr>
        <w:t>|6204000|: Código da atividade econômica (6204000 = Consultoria em tecnologia da informação).</w:t>
      </w:r>
    </w:p>
    <w:p w:rsidR="00246283" w:rsidRPr="00FA3856" w:rsidRDefault="00246283" w:rsidP="00246283">
      <w:pPr>
        <w:pStyle w:val="Corpodetexto"/>
        <w:ind w:firstLine="708"/>
        <w:rPr>
          <w:rFonts w:ascii="Times New Roman" w:hAnsi="Times New Roman"/>
          <w:color w:val="002060"/>
          <w:szCs w:val="20"/>
        </w:rPr>
      </w:pPr>
      <w:r w:rsidRPr="00FA3856">
        <w:rPr>
          <w:rFonts w:ascii="Times New Roman" w:hAnsi="Times New Roman"/>
          <w:color w:val="002060"/>
          <w:szCs w:val="20"/>
        </w:rPr>
        <w:t>|RUA TESTE|: Endereço.</w:t>
      </w:r>
    </w:p>
    <w:p w:rsidR="00246283" w:rsidRPr="00FA3856" w:rsidRDefault="00246283" w:rsidP="00246283">
      <w:pPr>
        <w:pStyle w:val="Corpodetexto"/>
        <w:ind w:firstLine="708"/>
        <w:rPr>
          <w:rFonts w:ascii="Times New Roman" w:hAnsi="Times New Roman"/>
          <w:color w:val="002060"/>
          <w:szCs w:val="20"/>
        </w:rPr>
      </w:pPr>
      <w:r w:rsidRPr="00FA3856">
        <w:rPr>
          <w:rFonts w:ascii="Times New Roman" w:hAnsi="Times New Roman"/>
          <w:color w:val="002060"/>
          <w:szCs w:val="20"/>
        </w:rPr>
        <w:t>|1234|: Número.</w:t>
      </w:r>
    </w:p>
    <w:p w:rsidR="00246283" w:rsidRPr="00FA3856" w:rsidRDefault="00246283" w:rsidP="00246283">
      <w:pPr>
        <w:pStyle w:val="Corpodetexto"/>
        <w:ind w:firstLine="708"/>
        <w:rPr>
          <w:rFonts w:ascii="Times New Roman" w:hAnsi="Times New Roman"/>
          <w:color w:val="002060"/>
          <w:szCs w:val="20"/>
        </w:rPr>
      </w:pPr>
      <w:r w:rsidRPr="00FA3856">
        <w:rPr>
          <w:rFonts w:ascii="Times New Roman" w:hAnsi="Times New Roman"/>
          <w:color w:val="002060"/>
          <w:szCs w:val="20"/>
        </w:rPr>
        <w:t>|BLOCO Z SALA 301|: Complemento.</w:t>
      </w:r>
    </w:p>
    <w:p w:rsidR="00246283" w:rsidRPr="00FA3856" w:rsidRDefault="00246283" w:rsidP="00246283">
      <w:pPr>
        <w:pStyle w:val="Corpodetexto"/>
        <w:ind w:firstLine="708"/>
        <w:rPr>
          <w:rFonts w:ascii="Times New Roman" w:hAnsi="Times New Roman"/>
          <w:color w:val="002060"/>
          <w:szCs w:val="20"/>
        </w:rPr>
      </w:pPr>
      <w:r w:rsidRPr="00FA3856">
        <w:rPr>
          <w:rFonts w:ascii="Times New Roman" w:hAnsi="Times New Roman"/>
          <w:color w:val="002060"/>
          <w:szCs w:val="20"/>
        </w:rPr>
        <w:t>|BAIRRO ECF|: Bairro.</w:t>
      </w:r>
    </w:p>
    <w:p w:rsidR="00246283" w:rsidRPr="00FA3856" w:rsidRDefault="00246283" w:rsidP="00246283">
      <w:pPr>
        <w:pStyle w:val="Corpodetexto"/>
        <w:ind w:firstLine="708"/>
        <w:rPr>
          <w:rFonts w:ascii="Times New Roman" w:hAnsi="Times New Roman"/>
          <w:color w:val="002060"/>
          <w:szCs w:val="20"/>
        </w:rPr>
      </w:pPr>
      <w:r w:rsidRPr="00FA3856">
        <w:rPr>
          <w:rFonts w:ascii="Times New Roman" w:hAnsi="Times New Roman"/>
          <w:color w:val="002060"/>
          <w:szCs w:val="20"/>
        </w:rPr>
        <w:t>|DF|: Sigla da Unidade da Federação (DF = Distrito Federal).</w:t>
      </w:r>
    </w:p>
    <w:p w:rsidR="00246283" w:rsidRPr="00FA3856" w:rsidRDefault="00246283" w:rsidP="00246283">
      <w:pPr>
        <w:pStyle w:val="Corpodetexto"/>
        <w:ind w:firstLine="708"/>
        <w:rPr>
          <w:rFonts w:ascii="Times New Roman" w:hAnsi="Times New Roman"/>
          <w:color w:val="002060"/>
          <w:szCs w:val="20"/>
        </w:rPr>
      </w:pPr>
      <w:r w:rsidRPr="00FA3856">
        <w:rPr>
          <w:rFonts w:ascii="Times New Roman" w:hAnsi="Times New Roman"/>
          <w:color w:val="002060"/>
          <w:szCs w:val="20"/>
        </w:rPr>
        <w:t>|5300108|: Código do Município (5300108 = Brasília).</w:t>
      </w:r>
    </w:p>
    <w:p w:rsidR="00246283" w:rsidRPr="00FA3856" w:rsidRDefault="00246283" w:rsidP="00246283">
      <w:pPr>
        <w:pStyle w:val="Corpodetexto"/>
        <w:ind w:firstLine="708"/>
        <w:rPr>
          <w:rFonts w:ascii="Times New Roman" w:hAnsi="Times New Roman"/>
          <w:color w:val="002060"/>
          <w:szCs w:val="20"/>
        </w:rPr>
      </w:pPr>
      <w:r w:rsidRPr="00FA3856">
        <w:rPr>
          <w:rFonts w:ascii="Times New Roman" w:hAnsi="Times New Roman"/>
          <w:color w:val="002060"/>
          <w:szCs w:val="20"/>
        </w:rPr>
        <w:t>|71000000|: CEP (71.000-000).</w:t>
      </w:r>
    </w:p>
    <w:p w:rsidR="00246283" w:rsidRPr="00FA3856" w:rsidRDefault="00246283" w:rsidP="00246283">
      <w:pPr>
        <w:pStyle w:val="Corpodetexto"/>
        <w:ind w:firstLine="708"/>
        <w:rPr>
          <w:rFonts w:ascii="Times New Roman" w:hAnsi="Times New Roman"/>
          <w:color w:val="002060"/>
          <w:szCs w:val="20"/>
        </w:rPr>
      </w:pPr>
      <w:r w:rsidRPr="00FA3856">
        <w:rPr>
          <w:rFonts w:ascii="Times New Roman" w:hAnsi="Times New Roman"/>
          <w:color w:val="002060"/>
          <w:szCs w:val="20"/>
        </w:rPr>
        <w:t>|6133333333|: Telefone com DDD (61-3333-3333).</w:t>
      </w:r>
    </w:p>
    <w:p w:rsidR="00246283" w:rsidRPr="00FA3856" w:rsidRDefault="007D0E74" w:rsidP="00246283">
      <w:pPr>
        <w:pStyle w:val="Corpodetexto"/>
        <w:ind w:firstLine="708"/>
        <w:rPr>
          <w:rFonts w:ascii="Times New Roman" w:hAnsi="Times New Roman"/>
          <w:color w:val="002060"/>
          <w:szCs w:val="20"/>
        </w:rPr>
      </w:pPr>
      <w:hyperlink r:id="rId122" w:history="1">
        <w:r w:rsidR="00246283" w:rsidRPr="00FA3856">
          <w:rPr>
            <w:rStyle w:val="Hyperlink"/>
            <w:rFonts w:ascii="Times New Roman" w:hAnsi="Times New Roman"/>
            <w:szCs w:val="20"/>
          </w:rPr>
          <w:t>|testeecf@ecf.gov.br|</w:t>
        </w:r>
      </w:hyperlink>
      <w:r w:rsidR="00246283" w:rsidRPr="00FA3856">
        <w:rPr>
          <w:rFonts w:ascii="Times New Roman" w:hAnsi="Times New Roman"/>
          <w:color w:val="002060"/>
          <w:szCs w:val="20"/>
        </w:rPr>
        <w:t>: Email.</w:t>
      </w:r>
    </w:p>
    <w:p w:rsidR="00246283" w:rsidRPr="00FA3856" w:rsidRDefault="00246283" w:rsidP="00246283">
      <w:pPr>
        <w:pStyle w:val="Corpodetexto"/>
        <w:ind w:firstLine="708"/>
        <w:rPr>
          <w:rFonts w:ascii="Times New Roman" w:hAnsi="Times New Roman"/>
          <w:color w:val="002060"/>
          <w:szCs w:val="20"/>
        </w:rPr>
      </w:pPr>
    </w:p>
    <w:p w:rsidR="00246283" w:rsidRPr="00FA3856" w:rsidRDefault="00246283" w:rsidP="00246283">
      <w:pPr>
        <w:pStyle w:val="Corpodetexto"/>
        <w:ind w:firstLine="708"/>
        <w:rPr>
          <w:rFonts w:ascii="Times New Roman" w:hAnsi="Times New Roman"/>
          <w:color w:val="002060"/>
          <w:szCs w:val="20"/>
        </w:rPr>
      </w:pPr>
    </w:p>
    <w:p w:rsidR="00246283" w:rsidRPr="00FA3856" w:rsidRDefault="00246283" w:rsidP="00246283">
      <w:pPr>
        <w:pStyle w:val="Corpodetexto"/>
        <w:ind w:firstLine="708"/>
        <w:rPr>
          <w:rFonts w:ascii="Times New Roman" w:hAnsi="Times New Roman"/>
          <w:color w:val="002060"/>
          <w:szCs w:val="20"/>
        </w:rPr>
      </w:pPr>
    </w:p>
    <w:p w:rsidR="003F3CB1" w:rsidRPr="00FA3856" w:rsidRDefault="003F3CB1">
      <w:pPr>
        <w:spacing w:after="200" w:line="276" w:lineRule="auto"/>
        <w:rPr>
          <w:b/>
          <w:bCs/>
          <w:color w:val="0000FF"/>
          <w:szCs w:val="20"/>
        </w:rPr>
      </w:pPr>
      <w:r w:rsidRPr="00FA3856">
        <w:rPr>
          <w:color w:val="0000FF"/>
          <w:szCs w:val="20"/>
        </w:rPr>
        <w:br w:type="page"/>
      </w:r>
    </w:p>
    <w:p w:rsidR="00B85D81" w:rsidRPr="00FA3856" w:rsidRDefault="00B85D81" w:rsidP="00867F54">
      <w:pPr>
        <w:pStyle w:val="Ttulo4"/>
      </w:pPr>
      <w:bookmarkStart w:id="65" w:name="_Toc479713673"/>
      <w:r w:rsidRPr="00FA3856">
        <w:lastRenderedPageBreak/>
        <w:t>Registro 0035: Identificação das SCP</w:t>
      </w:r>
      <w:bookmarkEnd w:id="65"/>
    </w:p>
    <w:p w:rsidR="00DC6CAC" w:rsidRPr="00FA3856" w:rsidRDefault="00DC6CAC" w:rsidP="00DC6CAC">
      <w:pPr>
        <w:rPr>
          <w:szCs w:val="20"/>
        </w:rPr>
      </w:pPr>
    </w:p>
    <w:p w:rsidR="00DC6CAC" w:rsidRPr="00FA3856" w:rsidRDefault="00DC6CAC" w:rsidP="00DC6CAC">
      <w:pPr>
        <w:ind w:firstLine="708"/>
        <w:rPr>
          <w:szCs w:val="20"/>
        </w:rPr>
      </w:pPr>
      <w:r w:rsidRPr="00FA3856">
        <w:rPr>
          <w:szCs w:val="20"/>
        </w:rPr>
        <w:t xml:space="preserve">O registro só deve ser utilizado nas ECF das </w:t>
      </w:r>
      <w:r w:rsidR="007104A4" w:rsidRPr="00FA3856">
        <w:rPr>
          <w:szCs w:val="20"/>
        </w:rPr>
        <w:t>pessoas jurídicas</w:t>
      </w:r>
      <w:r w:rsidRPr="00FA3856">
        <w:rPr>
          <w:szCs w:val="20"/>
        </w:rPr>
        <w:t xml:space="preserve"> </w:t>
      </w:r>
      <w:r w:rsidR="00246283" w:rsidRPr="00FA3856">
        <w:rPr>
          <w:szCs w:val="20"/>
        </w:rPr>
        <w:t>só</w:t>
      </w:r>
      <w:r w:rsidR="007104A4" w:rsidRPr="00FA3856">
        <w:rPr>
          <w:szCs w:val="20"/>
        </w:rPr>
        <w:t xml:space="preserve">cias ostensivas que possuem </w:t>
      </w:r>
      <w:r w:rsidR="001E6819">
        <w:rPr>
          <w:szCs w:val="20"/>
        </w:rPr>
        <w:t>Sociedades em Conta de Participação (</w:t>
      </w:r>
      <w:r w:rsidR="007104A4" w:rsidRPr="00FA3856">
        <w:rPr>
          <w:szCs w:val="20"/>
        </w:rPr>
        <w:t>SCP</w:t>
      </w:r>
      <w:r w:rsidR="001E6819">
        <w:rPr>
          <w:szCs w:val="20"/>
        </w:rPr>
        <w:t>)</w:t>
      </w:r>
      <w:r w:rsidR="007104A4" w:rsidRPr="00FA3856">
        <w:rPr>
          <w:szCs w:val="20"/>
        </w:rPr>
        <w:t>, para identi</w:t>
      </w:r>
      <w:r w:rsidR="00685FA5" w:rsidRPr="00FA3856">
        <w:rPr>
          <w:szCs w:val="20"/>
        </w:rPr>
        <w:t>fi</w:t>
      </w:r>
      <w:r w:rsidR="007104A4" w:rsidRPr="00FA3856">
        <w:rPr>
          <w:szCs w:val="20"/>
        </w:rPr>
        <w:t xml:space="preserve">cação das SCP da pessoa jurídica no período da escrituração. </w:t>
      </w:r>
    </w:p>
    <w:p w:rsidR="00246283" w:rsidRDefault="00246283" w:rsidP="00246283">
      <w:pPr>
        <w:pStyle w:val="Corpodetexto"/>
        <w:rPr>
          <w:rFonts w:ascii="Times New Roman" w:hAnsi="Times New Roman"/>
          <w:b/>
          <w:color w:val="002060"/>
          <w:szCs w:val="20"/>
        </w:rPr>
      </w:pPr>
    </w:p>
    <w:p w:rsidR="001E6819" w:rsidRPr="00FA3856" w:rsidRDefault="00B35FA3" w:rsidP="001E6819">
      <w:pPr>
        <w:pStyle w:val="Corpodetexto"/>
        <w:jc w:val="center"/>
        <w:rPr>
          <w:rFonts w:ascii="Times New Roman" w:hAnsi="Times New Roman"/>
          <w:b/>
          <w:color w:val="002060"/>
          <w:szCs w:val="20"/>
        </w:rPr>
      </w:pPr>
      <w:r>
        <w:rPr>
          <w:rFonts w:ascii="Times New Roman" w:hAnsi="Times New Roman"/>
          <w:b/>
          <w:color w:val="002060"/>
          <w:szCs w:val="20"/>
        </w:rPr>
        <w:object w:dxaOrig="14085" w:dyaOrig="2700">
          <v:shape id="_x0000_i1578" type="#_x0000_t75" style="width:705.75pt;height:138.75pt" o:ole="">
            <v:imagedata r:id="rId123" o:title=""/>
          </v:shape>
          <o:OLEObject Type="Link" ProgID="Excel.Sheet.12" ShapeID="_x0000_i1578" DrawAspect="Content" r:id="rId124" UpdateMode="Always">
            <o:LinkType>EnhancedMetaFile</o:LinkType>
            <o:LockedField>false</o:LockedField>
          </o:OLEObject>
        </w:object>
      </w:r>
    </w:p>
    <w:p w:rsidR="001E6819" w:rsidRDefault="001E6819" w:rsidP="00246283">
      <w:pPr>
        <w:pStyle w:val="Corpodetexto"/>
        <w:rPr>
          <w:rFonts w:ascii="Times New Roman" w:hAnsi="Times New Roman"/>
          <w:b/>
          <w:color w:val="002060"/>
          <w:szCs w:val="20"/>
        </w:rPr>
      </w:pPr>
    </w:p>
    <w:p w:rsidR="00342F1D" w:rsidRDefault="00246283" w:rsidP="00246283">
      <w:pPr>
        <w:pStyle w:val="Corpodetexto"/>
        <w:rPr>
          <w:rFonts w:ascii="Times New Roman" w:hAnsi="Times New Roman"/>
          <w:b/>
          <w:color w:val="002060"/>
          <w:szCs w:val="20"/>
        </w:rPr>
      </w:pPr>
      <w:r w:rsidRPr="00FA3856">
        <w:rPr>
          <w:rFonts w:ascii="Times New Roman" w:hAnsi="Times New Roman"/>
          <w:b/>
          <w:color w:val="002060"/>
          <w:szCs w:val="20"/>
        </w:rPr>
        <w:t xml:space="preserve">Exemplo de Preenchimento: </w:t>
      </w:r>
    </w:p>
    <w:p w:rsidR="00342F1D" w:rsidRDefault="00342F1D" w:rsidP="00246283">
      <w:pPr>
        <w:pStyle w:val="Corpodetexto"/>
        <w:rPr>
          <w:rFonts w:ascii="Times New Roman" w:hAnsi="Times New Roman"/>
          <w:b/>
          <w:color w:val="002060"/>
          <w:szCs w:val="20"/>
        </w:rPr>
      </w:pPr>
    </w:p>
    <w:p w:rsidR="00246283" w:rsidRPr="00FA3856" w:rsidRDefault="00246283" w:rsidP="00246283">
      <w:pPr>
        <w:pStyle w:val="Corpodetexto"/>
        <w:rPr>
          <w:rFonts w:ascii="Times New Roman" w:hAnsi="Times New Roman"/>
          <w:b/>
          <w:color w:val="002060"/>
          <w:szCs w:val="20"/>
        </w:rPr>
      </w:pPr>
      <w:r w:rsidRPr="00FA3856">
        <w:rPr>
          <w:rFonts w:ascii="Times New Roman" w:hAnsi="Times New Roman"/>
          <w:b/>
          <w:color w:val="002060"/>
          <w:szCs w:val="20"/>
        </w:rPr>
        <w:t>|0035|11111111000291|SCP TESTE 1|</w:t>
      </w:r>
    </w:p>
    <w:p w:rsidR="00246283" w:rsidRPr="00FA3856" w:rsidRDefault="00246283" w:rsidP="00246283">
      <w:pPr>
        <w:pStyle w:val="Corpodetexto"/>
        <w:ind w:firstLine="708"/>
        <w:rPr>
          <w:rFonts w:ascii="Times New Roman" w:hAnsi="Times New Roman"/>
          <w:color w:val="002060"/>
          <w:szCs w:val="20"/>
        </w:rPr>
      </w:pPr>
      <w:r w:rsidRPr="00FA3856">
        <w:rPr>
          <w:rFonts w:ascii="Times New Roman" w:hAnsi="Times New Roman"/>
          <w:color w:val="002060"/>
          <w:szCs w:val="20"/>
        </w:rPr>
        <w:t>|0035|: Identificação do tipo do registro.</w:t>
      </w:r>
    </w:p>
    <w:p w:rsidR="00246283" w:rsidRPr="00FA3856" w:rsidRDefault="00246283" w:rsidP="00246283">
      <w:pPr>
        <w:pStyle w:val="Corpodetexto"/>
        <w:ind w:firstLine="708"/>
        <w:rPr>
          <w:rFonts w:ascii="Times New Roman" w:hAnsi="Times New Roman"/>
          <w:color w:val="002060"/>
          <w:szCs w:val="20"/>
        </w:rPr>
      </w:pPr>
      <w:r w:rsidRPr="00FA3856">
        <w:rPr>
          <w:rFonts w:ascii="Times New Roman" w:hAnsi="Times New Roman"/>
          <w:color w:val="002060"/>
          <w:szCs w:val="20"/>
        </w:rPr>
        <w:t>|111111111000291|: CNPJ da SCP (11.111.111/0001-91).</w:t>
      </w:r>
    </w:p>
    <w:p w:rsidR="00246283" w:rsidRPr="00FA3856" w:rsidRDefault="00246283" w:rsidP="00246283">
      <w:pPr>
        <w:pStyle w:val="Corpodetexto"/>
        <w:ind w:firstLine="708"/>
        <w:rPr>
          <w:rFonts w:ascii="Times New Roman" w:hAnsi="Times New Roman"/>
          <w:color w:val="002060"/>
          <w:szCs w:val="20"/>
        </w:rPr>
      </w:pPr>
      <w:r w:rsidRPr="00FA3856">
        <w:rPr>
          <w:rFonts w:ascii="Times New Roman" w:hAnsi="Times New Roman"/>
          <w:color w:val="002060"/>
          <w:szCs w:val="20"/>
        </w:rPr>
        <w:t>|SCP TESTE 1|: Nome da SCP.</w:t>
      </w:r>
    </w:p>
    <w:p w:rsidR="00315733" w:rsidRPr="00FA3856" w:rsidRDefault="00315733" w:rsidP="00315733">
      <w:pPr>
        <w:rPr>
          <w:color w:val="0000FF"/>
          <w:szCs w:val="20"/>
        </w:rPr>
      </w:pPr>
    </w:p>
    <w:p w:rsidR="0051702D" w:rsidRPr="00FA3856" w:rsidRDefault="0051702D">
      <w:pPr>
        <w:rPr>
          <w:b/>
          <w:bCs/>
          <w:color w:val="0000FF"/>
          <w:szCs w:val="20"/>
        </w:rPr>
      </w:pPr>
      <w:r w:rsidRPr="00FA3856">
        <w:rPr>
          <w:color w:val="0000FF"/>
          <w:szCs w:val="20"/>
        </w:rPr>
        <w:br w:type="page"/>
      </w:r>
    </w:p>
    <w:p w:rsidR="00DC6CAC" w:rsidRPr="00FA3856" w:rsidRDefault="00DC6CAC" w:rsidP="00867F54">
      <w:pPr>
        <w:pStyle w:val="Ttulo4"/>
      </w:pPr>
      <w:bookmarkStart w:id="66" w:name="_Toc479713674"/>
      <w:r w:rsidRPr="00FA3856">
        <w:lastRenderedPageBreak/>
        <w:t>Registro 0930: Identificação dos Signatários da ECF</w:t>
      </w:r>
      <w:bookmarkEnd w:id="66"/>
    </w:p>
    <w:p w:rsidR="00DC6CAC" w:rsidRPr="00FA3856" w:rsidRDefault="00DC6CAC" w:rsidP="00DC6CAC">
      <w:pPr>
        <w:rPr>
          <w:szCs w:val="20"/>
        </w:rPr>
      </w:pPr>
    </w:p>
    <w:p w:rsidR="0014196B" w:rsidRPr="00FA3856" w:rsidRDefault="00DC6CAC" w:rsidP="00DC6CAC">
      <w:pPr>
        <w:pStyle w:val="PSDS-CorpodeTexto0"/>
        <w:ind w:firstLine="708"/>
        <w:jc w:val="both"/>
        <w:rPr>
          <w:rFonts w:ascii="Times New Roman" w:hAnsi="Times New Roman"/>
        </w:rPr>
      </w:pPr>
      <w:r w:rsidRPr="00FA3856">
        <w:rPr>
          <w:rFonts w:ascii="Times New Roman" w:hAnsi="Times New Roman"/>
        </w:rPr>
        <w:t xml:space="preserve">Informa os dados dos signatários da escrituração. São obrigatórias duas assinaturas: uma do contabilista e uma </w:t>
      </w:r>
      <w:r w:rsidR="00406F13" w:rsidRPr="00FA3856">
        <w:rPr>
          <w:rFonts w:ascii="Times New Roman" w:hAnsi="Times New Roman"/>
        </w:rPr>
        <w:t>da</w:t>
      </w:r>
      <w:r w:rsidRPr="00FA3856">
        <w:rPr>
          <w:rFonts w:ascii="Times New Roman" w:hAnsi="Times New Roman"/>
        </w:rPr>
        <w:t xml:space="preserve"> pessoa jurídica. </w:t>
      </w:r>
    </w:p>
    <w:p w:rsidR="0014196B" w:rsidRPr="00FA3856" w:rsidRDefault="0014196B" w:rsidP="00DC6CAC">
      <w:pPr>
        <w:pStyle w:val="PSDS-CorpodeTexto0"/>
        <w:ind w:firstLine="708"/>
        <w:jc w:val="both"/>
        <w:rPr>
          <w:rFonts w:ascii="Times New Roman" w:hAnsi="Times New Roman"/>
        </w:rPr>
      </w:pPr>
    </w:p>
    <w:p w:rsidR="00DC6CAC" w:rsidRPr="00FA3856" w:rsidRDefault="00DC6CAC" w:rsidP="00DC6CAC">
      <w:pPr>
        <w:pStyle w:val="PSDS-CorpodeTexto0"/>
        <w:ind w:firstLine="708"/>
        <w:jc w:val="both"/>
        <w:rPr>
          <w:rFonts w:ascii="Times New Roman" w:hAnsi="Times New Roman"/>
        </w:rPr>
      </w:pPr>
      <w:r w:rsidRPr="00FA3856">
        <w:rPr>
          <w:rFonts w:ascii="Times New Roman" w:hAnsi="Times New Roman"/>
        </w:rPr>
        <w:t>Para a assinatura do contabilista só podem ser utilizados certificados digitais de pessoa física (e-PF ou e-CPF</w:t>
      </w:r>
      <w:r w:rsidR="007C07FF" w:rsidRPr="00FA3856">
        <w:rPr>
          <w:rFonts w:ascii="Times New Roman" w:hAnsi="Times New Roman"/>
        </w:rPr>
        <w:t>).</w:t>
      </w:r>
    </w:p>
    <w:p w:rsidR="001E2DBA" w:rsidRPr="00FA3856" w:rsidRDefault="001E2DBA" w:rsidP="001A297B">
      <w:pPr>
        <w:pStyle w:val="PSDS-CorpodeTexto0"/>
        <w:jc w:val="both"/>
        <w:rPr>
          <w:rFonts w:ascii="Times New Roman" w:hAnsi="Times New Roman"/>
        </w:rPr>
      </w:pPr>
    </w:p>
    <w:p w:rsidR="001E2DBA" w:rsidRPr="00FA3856" w:rsidRDefault="0014196B" w:rsidP="001A297B">
      <w:pPr>
        <w:pStyle w:val="PSDS-CorpodeTexto0"/>
        <w:ind w:firstLine="708"/>
        <w:jc w:val="both"/>
        <w:rPr>
          <w:rFonts w:ascii="Times New Roman" w:hAnsi="Times New Roman"/>
        </w:rPr>
      </w:pPr>
      <w:r w:rsidRPr="00FA3856">
        <w:rPr>
          <w:rFonts w:ascii="Times New Roman" w:hAnsi="Times New Roman"/>
        </w:rPr>
        <w:t>Para a assinatura da pessoa jurídica, poderá</w:t>
      </w:r>
      <w:r w:rsidR="001E2DBA" w:rsidRPr="00FA3856">
        <w:rPr>
          <w:rFonts w:ascii="Times New Roman" w:hAnsi="Times New Roman"/>
        </w:rPr>
        <w:t xml:space="preserve"> </w:t>
      </w:r>
      <w:r w:rsidRPr="00FA3856">
        <w:rPr>
          <w:rFonts w:ascii="Times New Roman" w:hAnsi="Times New Roman"/>
        </w:rPr>
        <w:t>ser utilizado</w:t>
      </w:r>
      <w:r w:rsidR="001E2DBA" w:rsidRPr="00FA3856">
        <w:rPr>
          <w:rFonts w:ascii="Times New Roman" w:hAnsi="Times New Roman"/>
        </w:rPr>
        <w:t xml:space="preserve"> certificado digital válido (do tipo A1 ou A3):</w:t>
      </w:r>
    </w:p>
    <w:p w:rsidR="001E2DBA" w:rsidRPr="00FA3856" w:rsidRDefault="001E2DBA" w:rsidP="001A297B">
      <w:pPr>
        <w:pStyle w:val="PSDS-CorpodeTexto0"/>
        <w:ind w:firstLine="708"/>
        <w:jc w:val="both"/>
        <w:rPr>
          <w:rFonts w:ascii="Times New Roman" w:hAnsi="Times New Roman"/>
        </w:rPr>
      </w:pPr>
    </w:p>
    <w:p w:rsidR="001E2DBA" w:rsidRPr="00FA3856" w:rsidRDefault="00246263" w:rsidP="001A297B">
      <w:pPr>
        <w:pStyle w:val="PSDS-CorpodeTexto0"/>
        <w:ind w:firstLine="708"/>
        <w:jc w:val="both"/>
        <w:rPr>
          <w:rFonts w:ascii="Times New Roman" w:hAnsi="Times New Roman"/>
        </w:rPr>
      </w:pPr>
      <w:r w:rsidRPr="00FA3856">
        <w:rPr>
          <w:rFonts w:ascii="Times New Roman" w:hAnsi="Times New Roman"/>
        </w:rPr>
        <w:t>1. O</w:t>
      </w:r>
      <w:r w:rsidR="001E2DBA" w:rsidRPr="00FA3856">
        <w:rPr>
          <w:rFonts w:ascii="Times New Roman" w:hAnsi="Times New Roman"/>
        </w:rPr>
        <w:t xml:space="preserve"> e-PJ ou e-CNPJ </w:t>
      </w:r>
      <w:r w:rsidR="0014196B" w:rsidRPr="00FA3856">
        <w:rPr>
          <w:rFonts w:ascii="Times New Roman" w:hAnsi="Times New Roman"/>
        </w:rPr>
        <w:t xml:space="preserve">do estabelecimento </w:t>
      </w:r>
      <w:r w:rsidR="001E2DBA" w:rsidRPr="00FA3856">
        <w:rPr>
          <w:rFonts w:ascii="Times New Roman" w:hAnsi="Times New Roman"/>
        </w:rPr>
        <w:t>que contenha a mesma base do CNPJ (8 primeiros caracteres);</w:t>
      </w:r>
    </w:p>
    <w:p w:rsidR="001E2DBA" w:rsidRPr="00FA3856" w:rsidRDefault="001E2DBA" w:rsidP="001A297B">
      <w:pPr>
        <w:pStyle w:val="PSDS-CorpodeTexto0"/>
        <w:ind w:firstLine="708"/>
        <w:jc w:val="both"/>
        <w:rPr>
          <w:rFonts w:ascii="Times New Roman" w:hAnsi="Times New Roman"/>
        </w:rPr>
      </w:pPr>
    </w:p>
    <w:p w:rsidR="001E2DBA" w:rsidRPr="00FA3856" w:rsidRDefault="00246263" w:rsidP="004871F9">
      <w:pPr>
        <w:pStyle w:val="PSDS-CorpodeTexto0"/>
        <w:ind w:left="708"/>
        <w:jc w:val="both"/>
        <w:rPr>
          <w:rFonts w:ascii="Times New Roman" w:hAnsi="Times New Roman"/>
        </w:rPr>
      </w:pPr>
      <w:r w:rsidRPr="00FA3856">
        <w:rPr>
          <w:rFonts w:ascii="Times New Roman" w:hAnsi="Times New Roman"/>
        </w:rPr>
        <w:t>2. O</w:t>
      </w:r>
      <w:r w:rsidR="0014196B" w:rsidRPr="00FA3856">
        <w:rPr>
          <w:rFonts w:ascii="Times New Roman" w:hAnsi="Times New Roman"/>
        </w:rPr>
        <w:t xml:space="preserve"> e-PF ou e-CPF</w:t>
      </w:r>
      <w:r w:rsidR="004871F9" w:rsidRPr="00FA3856">
        <w:rPr>
          <w:rFonts w:ascii="Times New Roman" w:hAnsi="Times New Roman"/>
        </w:rPr>
        <w:t xml:space="preserve"> </w:t>
      </w:r>
      <w:r w:rsidR="007C07FF" w:rsidRPr="00FA3856">
        <w:rPr>
          <w:rFonts w:ascii="Times New Roman" w:hAnsi="Times New Roman"/>
        </w:rPr>
        <w:t>do representante legal da pessoa jurídica.</w:t>
      </w:r>
    </w:p>
    <w:p w:rsidR="007C07FF" w:rsidRPr="00FA3856" w:rsidRDefault="007C07FF" w:rsidP="004871F9">
      <w:pPr>
        <w:pStyle w:val="PSDS-CorpodeTexto0"/>
        <w:ind w:left="708"/>
        <w:jc w:val="both"/>
        <w:rPr>
          <w:rFonts w:ascii="Times New Roman" w:hAnsi="Times New Roman"/>
        </w:rPr>
      </w:pPr>
    </w:p>
    <w:p w:rsidR="007C07FF" w:rsidRPr="00FA3856" w:rsidRDefault="007C07FF" w:rsidP="007C07FF">
      <w:pPr>
        <w:pStyle w:val="PSDS-CorpodeTexto0"/>
        <w:ind w:firstLine="585"/>
        <w:jc w:val="both"/>
        <w:rPr>
          <w:rFonts w:ascii="Times New Roman" w:hAnsi="Times New Roman"/>
        </w:rPr>
      </w:pPr>
      <w:r w:rsidRPr="00FA3856">
        <w:rPr>
          <w:rFonts w:ascii="Times New Roman" w:hAnsi="Times New Roman"/>
        </w:rPr>
        <w:t xml:space="preserve">   3.</w:t>
      </w:r>
    </w:p>
    <w:p w:rsidR="007C07FF" w:rsidRPr="00FA3856" w:rsidRDefault="007C07FF" w:rsidP="007C07FF">
      <w:pPr>
        <w:pStyle w:val="PSDS-CorpodeTexto0"/>
        <w:ind w:firstLine="585"/>
        <w:jc w:val="both"/>
        <w:rPr>
          <w:rFonts w:ascii="Times New Roman" w:hAnsi="Times New Roman"/>
        </w:rPr>
      </w:pPr>
      <w:r w:rsidRPr="00FA3856">
        <w:rPr>
          <w:rFonts w:ascii="Times New Roman" w:hAnsi="Times New Roman"/>
        </w:rPr>
        <w:t xml:space="preserve">   3.1. O e-PF ou e-CPF do procurador (outorgado) constituído diretamente no e-CAC (Centro Virtual de Atendimento), a partir do e-PJ ou e-CNPJ da pessoa jurídica (outorgante).</w:t>
      </w:r>
    </w:p>
    <w:p w:rsidR="001E2DBA" w:rsidRPr="00FA3856" w:rsidRDefault="001E2DBA" w:rsidP="001A297B">
      <w:pPr>
        <w:pStyle w:val="PSDS-CorpodeTexto0"/>
        <w:ind w:firstLine="708"/>
        <w:jc w:val="both"/>
        <w:rPr>
          <w:rFonts w:ascii="Times New Roman" w:hAnsi="Times New Roman"/>
          <w:b/>
        </w:rPr>
      </w:pPr>
    </w:p>
    <w:p w:rsidR="007C07FF" w:rsidRPr="00FA3856" w:rsidRDefault="007C07FF" w:rsidP="001A297B">
      <w:pPr>
        <w:pStyle w:val="PSDS-CorpodeTexto0"/>
        <w:ind w:firstLine="708"/>
        <w:jc w:val="both"/>
        <w:rPr>
          <w:rFonts w:ascii="Times New Roman" w:hAnsi="Times New Roman"/>
        </w:rPr>
      </w:pPr>
      <w:r w:rsidRPr="00FA3856">
        <w:rPr>
          <w:rFonts w:ascii="Times New Roman" w:hAnsi="Times New Roman"/>
        </w:rPr>
        <w:t>3.2. O e-PF ou e-CPF do procurador (outorgado) constituído nos termos da Instrução Normativa RFB n</w:t>
      </w:r>
      <w:r w:rsidRPr="00FA3856">
        <w:rPr>
          <w:rFonts w:ascii="Times New Roman" w:hAnsi="Times New Roman"/>
          <w:u w:val="single"/>
          <w:vertAlign w:val="superscript"/>
        </w:rPr>
        <w:t>o</w:t>
      </w:r>
      <w:r w:rsidRPr="00FA3856">
        <w:rPr>
          <w:rFonts w:ascii="Times New Roman" w:hAnsi="Times New Roman"/>
        </w:rPr>
        <w:t xml:space="preserve"> 944/2009, por meio de procuração cadastrada no </w:t>
      </w:r>
      <w:r w:rsidRPr="00FA3856">
        <w:rPr>
          <w:rFonts w:ascii="Times New Roman" w:hAnsi="Times New Roman"/>
          <w:i/>
        </w:rPr>
        <w:t xml:space="preserve">site </w:t>
      </w:r>
      <w:r w:rsidRPr="00FA3856">
        <w:rPr>
          <w:rFonts w:ascii="Times New Roman" w:hAnsi="Times New Roman"/>
        </w:rPr>
        <w:t>da Receita Federal do Brasil e validada em qualquer uma de suas unidades, tendo como outorgante a pessoa jurídica.</w:t>
      </w:r>
    </w:p>
    <w:p w:rsidR="007C07FF" w:rsidRPr="00FA3856" w:rsidRDefault="007C07FF" w:rsidP="004871F9">
      <w:pPr>
        <w:pStyle w:val="PSDS-CorpodeTexto0"/>
        <w:jc w:val="both"/>
        <w:rPr>
          <w:rFonts w:ascii="Times New Roman" w:hAnsi="Times New Roman"/>
        </w:rPr>
      </w:pPr>
    </w:p>
    <w:p w:rsidR="00571B9A" w:rsidRPr="00FA3856" w:rsidRDefault="00571B9A" w:rsidP="00571B9A">
      <w:pPr>
        <w:pStyle w:val="PSDS-CorpodeTexto0"/>
        <w:ind w:firstLine="708"/>
        <w:jc w:val="both"/>
        <w:rPr>
          <w:rFonts w:ascii="Times New Roman" w:hAnsi="Times New Roman"/>
        </w:rPr>
      </w:pPr>
      <w:r w:rsidRPr="00FA3856">
        <w:rPr>
          <w:rFonts w:ascii="Times New Roman" w:hAnsi="Times New Roman"/>
        </w:rPr>
        <w:t>3.3. O e-PJ ou e-CNPJ do procurador (outorgado) constituído diretamente no e-CAC (Centro Virtual de Atendimento), a partir do e-PJ ou e-CNPJ da pessoa jurídica (outorgante);</w:t>
      </w:r>
    </w:p>
    <w:p w:rsidR="00571B9A" w:rsidRPr="00FA3856" w:rsidRDefault="00571B9A" w:rsidP="00571B9A">
      <w:pPr>
        <w:pStyle w:val="PSDS-CorpodeTexto0"/>
        <w:ind w:firstLine="708"/>
        <w:jc w:val="both"/>
        <w:rPr>
          <w:rFonts w:ascii="Times New Roman" w:hAnsi="Times New Roman"/>
        </w:rPr>
      </w:pPr>
    </w:p>
    <w:p w:rsidR="00571B9A" w:rsidRPr="00FA3856" w:rsidRDefault="00571B9A" w:rsidP="00571B9A">
      <w:pPr>
        <w:pStyle w:val="PSDS-CorpodeTexto0"/>
        <w:ind w:firstLine="708"/>
        <w:jc w:val="both"/>
        <w:rPr>
          <w:rFonts w:ascii="Times New Roman" w:hAnsi="Times New Roman"/>
        </w:rPr>
      </w:pPr>
      <w:r w:rsidRPr="00FA3856">
        <w:rPr>
          <w:rFonts w:ascii="Times New Roman" w:hAnsi="Times New Roman"/>
        </w:rPr>
        <w:t>3.4. O e-PJ ou e-CNPJ do procurador (outorgado) constituído nos termos da Instrução Normativa RFB n.º 944/2009, por meio de procuração cadastrada na página da Receita Federal do Brasil e validada em qualquer uma de suas unidades, tendo como outorgante a pessoa jurídica.</w:t>
      </w:r>
    </w:p>
    <w:p w:rsidR="00571B9A" w:rsidRPr="00FA3856" w:rsidRDefault="00571B9A" w:rsidP="004871F9">
      <w:pPr>
        <w:pStyle w:val="PSDS-CorpodeTexto0"/>
        <w:jc w:val="both"/>
        <w:rPr>
          <w:rFonts w:ascii="Times New Roman" w:hAnsi="Times New Roman"/>
        </w:rPr>
      </w:pPr>
    </w:p>
    <w:p w:rsidR="001E2DBA" w:rsidRPr="00FA3856" w:rsidRDefault="001E2DBA" w:rsidP="001A297B">
      <w:pPr>
        <w:pStyle w:val="PSDS-CorpodeTexto0"/>
        <w:ind w:firstLine="708"/>
        <w:jc w:val="both"/>
        <w:rPr>
          <w:rFonts w:ascii="Times New Roman" w:hAnsi="Times New Roman"/>
        </w:rPr>
      </w:pPr>
      <w:r w:rsidRPr="00FA3856">
        <w:rPr>
          <w:rFonts w:ascii="Times New Roman" w:hAnsi="Times New Roman"/>
        </w:rPr>
        <w:t>Cadastramento de Procuração Eletrônica:</w:t>
      </w:r>
    </w:p>
    <w:p w:rsidR="001E2DBA" w:rsidRPr="00FA3856" w:rsidRDefault="001E2DBA" w:rsidP="001A297B">
      <w:pPr>
        <w:pStyle w:val="PSDS-CorpodeTexto0"/>
        <w:ind w:firstLine="708"/>
        <w:jc w:val="both"/>
        <w:rPr>
          <w:rFonts w:ascii="Times New Roman" w:hAnsi="Times New Roman"/>
        </w:rPr>
      </w:pPr>
    </w:p>
    <w:p w:rsidR="001E2DBA" w:rsidRPr="00FA3856" w:rsidRDefault="001E2DBA" w:rsidP="001A297B">
      <w:pPr>
        <w:pStyle w:val="PSDS-CorpodeTexto0"/>
        <w:ind w:firstLine="708"/>
        <w:jc w:val="both"/>
        <w:rPr>
          <w:rFonts w:ascii="Times New Roman" w:hAnsi="Times New Roman"/>
        </w:rPr>
      </w:pPr>
      <w:r w:rsidRPr="00FA3856">
        <w:rPr>
          <w:rFonts w:ascii="Times New Roman" w:hAnsi="Times New Roman"/>
        </w:rPr>
        <w:t>No site da RFB, http://receita.fazenda.gov.br, na aba Empresa, clicar em “Todos os serviços”, selecionar “Procuração Eletrônica e Senha para pesquisa via Internet”, “procuração eletrônica” e “continuar” ou opcionalmente https://cav.receita.fazenda.gov.br/scripts/CAV/login/login.asp.</w:t>
      </w:r>
    </w:p>
    <w:p w:rsidR="001E2DBA" w:rsidRPr="00FA3856" w:rsidRDefault="001E2DBA" w:rsidP="001A297B">
      <w:pPr>
        <w:pStyle w:val="PSDS-CorpodeTexto0"/>
        <w:ind w:firstLine="708"/>
        <w:jc w:val="both"/>
        <w:rPr>
          <w:rFonts w:ascii="Times New Roman" w:hAnsi="Times New Roman"/>
        </w:rPr>
      </w:pPr>
    </w:p>
    <w:p w:rsidR="001E2DBA" w:rsidRPr="00FA3856" w:rsidRDefault="001E2DBA" w:rsidP="001A297B">
      <w:pPr>
        <w:pStyle w:val="PSDS-CorpodeTexto0"/>
        <w:ind w:firstLine="708"/>
        <w:jc w:val="both"/>
        <w:rPr>
          <w:rFonts w:ascii="Times New Roman" w:hAnsi="Times New Roman"/>
        </w:rPr>
      </w:pPr>
      <w:r w:rsidRPr="00FA3856">
        <w:rPr>
          <w:rFonts w:ascii="Times New Roman" w:hAnsi="Times New Roman"/>
        </w:rPr>
        <w:t>1. Login com certificado digital de pessoa jurídica ou representante legal/procurador;</w:t>
      </w:r>
    </w:p>
    <w:p w:rsidR="001E2DBA" w:rsidRPr="00FA3856" w:rsidRDefault="001E2DBA" w:rsidP="001A297B">
      <w:pPr>
        <w:pStyle w:val="PSDS-CorpodeTexto0"/>
        <w:ind w:firstLine="708"/>
        <w:jc w:val="both"/>
        <w:rPr>
          <w:rFonts w:ascii="Times New Roman" w:hAnsi="Times New Roman"/>
        </w:rPr>
      </w:pPr>
      <w:r w:rsidRPr="00FA3856">
        <w:rPr>
          <w:rFonts w:ascii="Times New Roman" w:hAnsi="Times New Roman"/>
        </w:rPr>
        <w:t>2. Selecionar “Procuração eletrônica”;</w:t>
      </w:r>
    </w:p>
    <w:p w:rsidR="001E2DBA" w:rsidRPr="00FA3856" w:rsidRDefault="001E2DBA" w:rsidP="001A297B">
      <w:pPr>
        <w:pStyle w:val="PSDS-CorpodeTexto0"/>
        <w:ind w:firstLine="708"/>
        <w:jc w:val="both"/>
        <w:rPr>
          <w:rFonts w:ascii="Times New Roman" w:hAnsi="Times New Roman"/>
        </w:rPr>
      </w:pPr>
      <w:r w:rsidRPr="00FA3856">
        <w:rPr>
          <w:rFonts w:ascii="Times New Roman" w:hAnsi="Times New Roman"/>
        </w:rPr>
        <w:t>3. Selecionar “Cadastrar Procuração” ou outra opção, se for o caso;</w:t>
      </w:r>
    </w:p>
    <w:p w:rsidR="001E2DBA" w:rsidRPr="00FA3856" w:rsidRDefault="001E2DBA" w:rsidP="001A297B">
      <w:pPr>
        <w:pStyle w:val="PSDS-CorpodeTexto0"/>
        <w:ind w:firstLine="708"/>
        <w:jc w:val="both"/>
        <w:rPr>
          <w:rFonts w:ascii="Times New Roman" w:hAnsi="Times New Roman"/>
        </w:rPr>
      </w:pPr>
      <w:r w:rsidRPr="00FA3856">
        <w:rPr>
          <w:rFonts w:ascii="Times New Roman" w:hAnsi="Times New Roman"/>
        </w:rPr>
        <w:t>4. Selecionar “Solicitação de procuração para a Receita Federal do Brasil”;</w:t>
      </w:r>
    </w:p>
    <w:p w:rsidR="001E2DBA" w:rsidRPr="00FA3856" w:rsidRDefault="001E2DBA" w:rsidP="001A297B">
      <w:pPr>
        <w:pStyle w:val="PSDS-CorpodeTexto0"/>
        <w:ind w:firstLine="708"/>
        <w:jc w:val="both"/>
        <w:rPr>
          <w:rFonts w:ascii="Times New Roman" w:hAnsi="Times New Roman"/>
        </w:rPr>
      </w:pPr>
      <w:r w:rsidRPr="00FA3856">
        <w:rPr>
          <w:rFonts w:ascii="Times New Roman" w:hAnsi="Times New Roman"/>
        </w:rPr>
        <w:t>5. Preencher os dados do formulário apresentado e selecionar a opção “Transmissão de Declarações/Arquivos, inclusive todos do CNPJ, com Assinatura Digital via Receitanet ”.</w:t>
      </w:r>
    </w:p>
    <w:p w:rsidR="009D6EBE" w:rsidRPr="00FA3856" w:rsidRDefault="001E2DBA" w:rsidP="00A5743D">
      <w:pPr>
        <w:pStyle w:val="PSDS-CorpodeTexto0"/>
        <w:ind w:firstLine="708"/>
        <w:jc w:val="both"/>
        <w:rPr>
          <w:rFonts w:ascii="Times New Roman" w:hAnsi="Times New Roman"/>
        </w:rPr>
      </w:pPr>
      <w:r w:rsidRPr="00FA3856">
        <w:rPr>
          <w:rFonts w:ascii="Times New Roman" w:hAnsi="Times New Roman"/>
        </w:rPr>
        <w:t>6. Para finalizar, clicar em “Cadastrar procuração”, ou “Limpar” ou “Voltar”.</w:t>
      </w:r>
    </w:p>
    <w:p w:rsidR="009D6EBE" w:rsidRPr="00FA3856" w:rsidRDefault="009D6EBE" w:rsidP="001A297B">
      <w:pPr>
        <w:pStyle w:val="PSDS-CorpodeTexto0"/>
        <w:ind w:firstLine="708"/>
        <w:jc w:val="both"/>
        <w:rPr>
          <w:rFonts w:ascii="Times New Roman" w:hAnsi="Times New Roman"/>
          <w:b/>
        </w:rPr>
      </w:pPr>
      <w:r w:rsidRPr="00FA3856">
        <w:rPr>
          <w:rFonts w:ascii="Times New Roman" w:hAnsi="Times New Roman"/>
          <w:b/>
        </w:rPr>
        <w:t>Observação: Na procuração eletrônica, é importante habilitar o serviço “ECF – Escrituração Contábil Fiscal”</w:t>
      </w:r>
      <w:r w:rsidR="001B2803">
        <w:rPr>
          <w:rFonts w:ascii="Times New Roman" w:hAnsi="Times New Roman"/>
          <w:b/>
        </w:rPr>
        <w:t xml:space="preserve"> ou habilitar a opção para todos os serviços</w:t>
      </w:r>
      <w:r w:rsidRPr="00FA3856">
        <w:rPr>
          <w:rFonts w:ascii="Times New Roman" w:hAnsi="Times New Roman"/>
          <w:b/>
        </w:rPr>
        <w:t>.</w:t>
      </w:r>
    </w:p>
    <w:p w:rsidR="001E2DBA" w:rsidRPr="00FA3856" w:rsidRDefault="001E2DBA" w:rsidP="001A297B">
      <w:pPr>
        <w:pStyle w:val="PSDS-CorpodeTexto0"/>
        <w:ind w:firstLine="708"/>
        <w:jc w:val="both"/>
        <w:rPr>
          <w:rFonts w:ascii="Times New Roman" w:hAnsi="Times New Roman"/>
        </w:rPr>
      </w:pPr>
    </w:p>
    <w:p w:rsidR="001E2DBA" w:rsidRPr="00FA3856" w:rsidRDefault="001E2DBA" w:rsidP="001A297B">
      <w:pPr>
        <w:pStyle w:val="PSDS-CorpodeTexto0"/>
        <w:ind w:firstLine="708"/>
        <w:jc w:val="both"/>
        <w:rPr>
          <w:rFonts w:ascii="Times New Roman" w:hAnsi="Times New Roman"/>
        </w:rPr>
      </w:pPr>
      <w:r w:rsidRPr="00FA3856">
        <w:rPr>
          <w:rFonts w:ascii="Times New Roman" w:hAnsi="Times New Roman"/>
        </w:rPr>
        <w:t xml:space="preserve">A assinatura digital será verificada quanto a sua existência, prazo e validade para a pessoa jurídica identificada na ECF, no início do processo de transmissão do arquivo digital.  </w:t>
      </w:r>
    </w:p>
    <w:p w:rsidR="00247831" w:rsidRPr="00FA3856" w:rsidRDefault="00247831" w:rsidP="001A297B">
      <w:pPr>
        <w:pStyle w:val="PSDS-CorpodeTexto0"/>
        <w:ind w:firstLine="708"/>
        <w:jc w:val="both"/>
        <w:rPr>
          <w:rFonts w:ascii="Times New Roman" w:hAnsi="Times New Roman"/>
        </w:rPr>
      </w:pPr>
    </w:p>
    <w:p w:rsidR="003B66E8" w:rsidRPr="00FA3856" w:rsidRDefault="003B66E8" w:rsidP="001A297B">
      <w:pPr>
        <w:pStyle w:val="PSDS-CorpodeTexto0"/>
        <w:ind w:firstLine="708"/>
        <w:jc w:val="both"/>
        <w:rPr>
          <w:rFonts w:ascii="Times New Roman" w:hAnsi="Times New Roman"/>
        </w:rPr>
      </w:pPr>
    </w:p>
    <w:p w:rsidR="003B66E8" w:rsidRPr="00FA3856" w:rsidRDefault="003B66E8" w:rsidP="001A297B">
      <w:pPr>
        <w:pStyle w:val="PSDS-CorpodeTexto0"/>
        <w:ind w:firstLine="708"/>
        <w:jc w:val="both"/>
        <w:rPr>
          <w:rFonts w:ascii="Times New Roman" w:hAnsi="Times New Roman"/>
        </w:rPr>
      </w:pPr>
    </w:p>
    <w:p w:rsidR="00247831" w:rsidRDefault="00247831" w:rsidP="00247831">
      <w:pPr>
        <w:pStyle w:val="PSDS-CorpodeTexto0"/>
        <w:ind w:firstLine="708"/>
        <w:jc w:val="both"/>
        <w:rPr>
          <w:rFonts w:ascii="Times New Roman" w:hAnsi="Times New Roman"/>
        </w:rPr>
      </w:pPr>
      <w:r w:rsidRPr="00FA3856">
        <w:rPr>
          <w:rFonts w:ascii="Times New Roman" w:hAnsi="Times New Roman"/>
          <w:b/>
        </w:rPr>
        <w:lastRenderedPageBreak/>
        <w:t xml:space="preserve">Assinatura como procurador: </w:t>
      </w:r>
      <w:r w:rsidRPr="00FA3856">
        <w:rPr>
          <w:rFonts w:ascii="Times New Roman" w:hAnsi="Times New Roman"/>
        </w:rPr>
        <w:t>O contador pode assinar a ECF como contador e procurador. Para assinar como procurador, é necessária a procuração eletrônica cadastrada no e-CAC. É importante ressaltar que o serviço ECF –</w:t>
      </w:r>
      <w:r w:rsidR="0055350B" w:rsidRPr="00FA3856">
        <w:rPr>
          <w:rFonts w:ascii="Times New Roman" w:hAnsi="Times New Roman"/>
        </w:rPr>
        <w:t xml:space="preserve"> </w:t>
      </w:r>
      <w:r w:rsidRPr="00FA3856">
        <w:rPr>
          <w:rFonts w:ascii="Times New Roman" w:hAnsi="Times New Roman"/>
        </w:rPr>
        <w:t xml:space="preserve">Escrituração Contábil Fiscal – </w:t>
      </w:r>
      <w:r w:rsidR="00E23D82">
        <w:rPr>
          <w:rFonts w:ascii="Times New Roman" w:hAnsi="Times New Roman"/>
        </w:rPr>
        <w:t>ou a opção para todos os serviços</w:t>
      </w:r>
      <w:r w:rsidR="00E23D82" w:rsidRPr="00FA3856">
        <w:rPr>
          <w:rFonts w:ascii="Times New Roman" w:hAnsi="Times New Roman"/>
        </w:rPr>
        <w:t xml:space="preserve"> </w:t>
      </w:r>
      <w:r w:rsidRPr="00FA3856">
        <w:rPr>
          <w:rFonts w:ascii="Times New Roman" w:hAnsi="Times New Roman"/>
        </w:rPr>
        <w:t>deve</w:t>
      </w:r>
      <w:r w:rsidR="00E23D82">
        <w:rPr>
          <w:rFonts w:ascii="Times New Roman" w:hAnsi="Times New Roman"/>
        </w:rPr>
        <w:t>m</w:t>
      </w:r>
      <w:r w:rsidRPr="00FA3856">
        <w:rPr>
          <w:rFonts w:ascii="Times New Roman" w:hAnsi="Times New Roman"/>
        </w:rPr>
        <w:t xml:space="preserve"> estar explicitamente habi</w:t>
      </w:r>
      <w:r w:rsidR="001B2803">
        <w:rPr>
          <w:rFonts w:ascii="Times New Roman" w:hAnsi="Times New Roman"/>
        </w:rPr>
        <w:t>litado</w:t>
      </w:r>
      <w:r w:rsidR="00E23D82">
        <w:rPr>
          <w:rFonts w:ascii="Times New Roman" w:hAnsi="Times New Roman"/>
        </w:rPr>
        <w:t>s</w:t>
      </w:r>
      <w:r w:rsidR="001B2803">
        <w:rPr>
          <w:rFonts w:ascii="Times New Roman" w:hAnsi="Times New Roman"/>
        </w:rPr>
        <w:t xml:space="preserve"> na procuração eletrônica</w:t>
      </w:r>
      <w:r w:rsidRPr="00FA3856">
        <w:rPr>
          <w:rFonts w:ascii="Times New Roman" w:hAnsi="Times New Roman"/>
        </w:rPr>
        <w:t>. Para o preenchimento do registro 0930, as duas linhas conterão os dados do contador (Nome e CPF, conforme e-CPF do contador). Uma linha será com a qualificaç</w:t>
      </w:r>
      <w:r w:rsidR="0055350B" w:rsidRPr="00FA3856">
        <w:rPr>
          <w:rFonts w:ascii="Times New Roman" w:hAnsi="Times New Roman"/>
        </w:rPr>
        <w:t>ão “Contabilista” e a outra linha</w:t>
      </w:r>
      <w:r w:rsidRPr="00FA3856">
        <w:rPr>
          <w:rFonts w:ascii="Times New Roman" w:hAnsi="Times New Roman"/>
        </w:rPr>
        <w:t xml:space="preserve"> será com a qualificação “Procurador”.</w:t>
      </w:r>
    </w:p>
    <w:p w:rsidR="00174A9C" w:rsidRDefault="00174A9C" w:rsidP="00247831">
      <w:pPr>
        <w:pStyle w:val="PSDS-CorpodeTexto0"/>
        <w:ind w:firstLine="708"/>
        <w:jc w:val="both"/>
        <w:rPr>
          <w:rFonts w:ascii="Times New Roman" w:hAnsi="Times New Roman"/>
        </w:rPr>
      </w:pPr>
    </w:p>
    <w:p w:rsidR="00174A9C" w:rsidRPr="00174A9C" w:rsidRDefault="00174A9C" w:rsidP="00247831">
      <w:pPr>
        <w:pStyle w:val="PSDS-CorpodeTexto0"/>
        <w:ind w:firstLine="708"/>
        <w:jc w:val="both"/>
        <w:rPr>
          <w:rFonts w:ascii="Times New Roman" w:hAnsi="Times New Roman"/>
          <w:b/>
        </w:rPr>
      </w:pPr>
      <w:r w:rsidRPr="0070069F">
        <w:rPr>
          <w:rFonts w:ascii="Times New Roman" w:hAnsi="Times New Roman"/>
          <w:b/>
        </w:rPr>
        <w:t>Observação: No caso de imunes ou isentas sem obrigatoriedade de entrega da ECD, o sistema somente exigirá a assinatura do representante legal. Não será obrigatória a assinatura de um contador. Nos demais casos, o sistema exigirá a assinatura do representante legal e do contador.</w:t>
      </w:r>
    </w:p>
    <w:p w:rsidR="003B66E8" w:rsidRDefault="003B66E8" w:rsidP="00D223CF">
      <w:pPr>
        <w:pStyle w:val="PSDS-MarcadoresNivel2"/>
        <w:numPr>
          <w:ilvl w:val="0"/>
          <w:numId w:val="0"/>
        </w:numPr>
        <w:spacing w:before="0" w:after="0"/>
        <w:rPr>
          <w:rFonts w:ascii="Times New Roman" w:hAnsi="Times New Roman"/>
        </w:rPr>
      </w:pPr>
    </w:p>
    <w:p w:rsidR="0078728D" w:rsidRPr="00FA3856" w:rsidRDefault="00B35FA3" w:rsidP="0078728D">
      <w:pPr>
        <w:pStyle w:val="PSDS-MarcadoresNivel2"/>
        <w:numPr>
          <w:ilvl w:val="0"/>
          <w:numId w:val="0"/>
        </w:numPr>
        <w:spacing w:before="0" w:after="0"/>
        <w:jc w:val="center"/>
        <w:rPr>
          <w:rFonts w:ascii="Times New Roman" w:hAnsi="Times New Roman"/>
        </w:rPr>
      </w:pPr>
      <w:r>
        <w:rPr>
          <w:rFonts w:ascii="Times New Roman" w:hAnsi="Times New Roman"/>
        </w:rPr>
        <w:object w:dxaOrig="14175" w:dyaOrig="6195">
          <v:shape id="_x0000_i1580" type="#_x0000_t75" style="width:705.75pt;height:306pt" o:ole="">
            <v:imagedata r:id="rId125" o:title=""/>
          </v:shape>
          <o:OLEObject Type="Link" ProgID="Excel.Sheet.12" ShapeID="_x0000_i1580" DrawAspect="Content" r:id="rId126" UpdateMode="Always">
            <o:LinkType>EnhancedMetaFile</o:LinkType>
            <o:LockedField>false</o:LockedField>
          </o:OLEObject>
        </w:object>
      </w:r>
    </w:p>
    <w:p w:rsidR="003B66E8" w:rsidRPr="00FA3856" w:rsidRDefault="003B66E8" w:rsidP="00D223CF">
      <w:pPr>
        <w:pStyle w:val="PSDS-MarcadoresNivel2"/>
        <w:numPr>
          <w:ilvl w:val="0"/>
          <w:numId w:val="0"/>
        </w:numPr>
        <w:spacing w:before="0" w:after="0"/>
        <w:rPr>
          <w:rFonts w:ascii="Times New Roman" w:hAnsi="Times New Roman"/>
        </w:rPr>
      </w:pPr>
    </w:p>
    <w:p w:rsidR="00174A9C" w:rsidRDefault="00174A9C">
      <w:pPr>
        <w:spacing w:after="200" w:line="276" w:lineRule="auto"/>
        <w:rPr>
          <w:b/>
          <w:szCs w:val="20"/>
        </w:rPr>
      </w:pPr>
      <w:r>
        <w:br w:type="page"/>
      </w:r>
    </w:p>
    <w:p w:rsidR="00C2110E" w:rsidRPr="00FA3856" w:rsidRDefault="000662D3" w:rsidP="00C2110E">
      <w:pPr>
        <w:pStyle w:val="PSDS-MarcadoresNivel2"/>
        <w:numPr>
          <w:ilvl w:val="0"/>
          <w:numId w:val="0"/>
        </w:numPr>
        <w:spacing w:before="0" w:after="0"/>
        <w:jc w:val="center"/>
        <w:rPr>
          <w:rFonts w:ascii="Times New Roman" w:hAnsi="Times New Roman"/>
        </w:rPr>
      </w:pPr>
      <w:r w:rsidRPr="00FA3856">
        <w:rPr>
          <w:rFonts w:ascii="Times New Roman" w:hAnsi="Times New Roman"/>
        </w:rPr>
        <w:lastRenderedPageBreak/>
        <w:t>Código de Qualificação do Assinante</w:t>
      </w:r>
    </w:p>
    <w:tbl>
      <w:tblPr>
        <w:tblW w:w="0" w:type="auto"/>
        <w:jc w:val="center"/>
        <w:tblBorders>
          <w:top w:val="single" w:sz="6" w:space="0" w:color="auto"/>
          <w:left w:val="single" w:sz="6" w:space="0" w:color="auto"/>
          <w:bottom w:val="single" w:sz="6" w:space="0" w:color="auto"/>
          <w:right w:val="single" w:sz="6" w:space="0" w:color="auto"/>
        </w:tblBorders>
        <w:shd w:val="pct10" w:color="auto" w:fill="auto"/>
        <w:tblLayout w:type="fixed"/>
        <w:tblLook w:val="0000" w:firstRow="0" w:lastRow="0" w:firstColumn="0" w:lastColumn="0" w:noHBand="0" w:noVBand="0"/>
      </w:tblPr>
      <w:tblGrid>
        <w:gridCol w:w="1308"/>
        <w:gridCol w:w="5766"/>
      </w:tblGrid>
      <w:tr w:rsidR="00931B1F" w:rsidRPr="00FA3856" w:rsidTr="00DA00FB">
        <w:trPr>
          <w:jc w:val="center"/>
        </w:trPr>
        <w:tc>
          <w:tcPr>
            <w:tcW w:w="1308" w:type="dxa"/>
            <w:tcBorders>
              <w:top w:val="single" w:sz="6" w:space="0" w:color="auto"/>
              <w:left w:val="single" w:sz="6" w:space="0" w:color="auto"/>
              <w:bottom w:val="single" w:sz="6" w:space="0" w:color="auto"/>
              <w:right w:val="single" w:sz="6" w:space="0" w:color="auto"/>
            </w:tcBorders>
            <w:shd w:val="pct10" w:color="auto" w:fill="auto"/>
            <w:vAlign w:val="center"/>
          </w:tcPr>
          <w:p w:rsidR="00931B1F" w:rsidRPr="00FA3856" w:rsidRDefault="00931B1F" w:rsidP="00DA00FB">
            <w:pPr>
              <w:pStyle w:val="PSDS-CorpodeTexto0"/>
              <w:jc w:val="center"/>
              <w:rPr>
                <w:rFonts w:ascii="Times New Roman" w:hAnsi="Times New Roman"/>
                <w:b/>
                <w:bCs/>
              </w:rPr>
            </w:pPr>
            <w:r w:rsidRPr="00FA3856">
              <w:rPr>
                <w:rFonts w:ascii="Times New Roman" w:hAnsi="Times New Roman"/>
                <w:b/>
                <w:bCs/>
              </w:rPr>
              <w:t>Código</w:t>
            </w:r>
          </w:p>
        </w:tc>
        <w:tc>
          <w:tcPr>
            <w:tcW w:w="5766" w:type="dxa"/>
            <w:tcBorders>
              <w:top w:val="single" w:sz="6" w:space="0" w:color="auto"/>
              <w:left w:val="single" w:sz="6" w:space="0" w:color="auto"/>
              <w:bottom w:val="single" w:sz="6" w:space="0" w:color="auto"/>
              <w:right w:val="single" w:sz="6" w:space="0" w:color="auto"/>
            </w:tcBorders>
            <w:shd w:val="pct10" w:color="auto" w:fill="auto"/>
            <w:vAlign w:val="center"/>
          </w:tcPr>
          <w:p w:rsidR="00931B1F" w:rsidRPr="00FA3856" w:rsidRDefault="00931B1F" w:rsidP="00DA00FB">
            <w:pPr>
              <w:pStyle w:val="PSDS-CorpodeTexto0"/>
              <w:jc w:val="center"/>
              <w:rPr>
                <w:rFonts w:ascii="Times New Roman" w:hAnsi="Times New Roman"/>
                <w:b/>
                <w:bCs/>
              </w:rPr>
            </w:pPr>
            <w:r w:rsidRPr="00FA3856">
              <w:rPr>
                <w:rFonts w:ascii="Times New Roman" w:hAnsi="Times New Roman"/>
                <w:b/>
                <w:bCs/>
              </w:rPr>
              <w:t>Descrição 1</w:t>
            </w:r>
          </w:p>
        </w:tc>
      </w:tr>
      <w:tr w:rsidR="00931B1F" w:rsidRPr="00FA3856" w:rsidTr="00DA00FB">
        <w:trPr>
          <w:jc w:val="center"/>
        </w:trPr>
        <w:tc>
          <w:tcPr>
            <w:tcW w:w="1308" w:type="dxa"/>
            <w:tcBorders>
              <w:top w:val="single" w:sz="6" w:space="0" w:color="auto"/>
              <w:left w:val="single" w:sz="6" w:space="0" w:color="auto"/>
              <w:bottom w:val="single" w:sz="6" w:space="0" w:color="auto"/>
              <w:right w:val="single" w:sz="6" w:space="0" w:color="auto"/>
            </w:tcBorders>
          </w:tcPr>
          <w:p w:rsidR="00931B1F" w:rsidRPr="00FA3856" w:rsidRDefault="00931B1F" w:rsidP="00DA00FB">
            <w:pPr>
              <w:jc w:val="center"/>
              <w:rPr>
                <w:szCs w:val="20"/>
              </w:rPr>
            </w:pPr>
            <w:r w:rsidRPr="00FA3856">
              <w:rPr>
                <w:szCs w:val="20"/>
              </w:rPr>
              <w:t>203</w:t>
            </w:r>
          </w:p>
        </w:tc>
        <w:tc>
          <w:tcPr>
            <w:tcW w:w="5766" w:type="dxa"/>
            <w:tcBorders>
              <w:top w:val="single" w:sz="6" w:space="0" w:color="auto"/>
              <w:left w:val="single" w:sz="6" w:space="0" w:color="auto"/>
              <w:bottom w:val="single" w:sz="6" w:space="0" w:color="auto"/>
              <w:right w:val="single" w:sz="6" w:space="0" w:color="auto"/>
            </w:tcBorders>
          </w:tcPr>
          <w:p w:rsidR="00931B1F" w:rsidRPr="00FA3856" w:rsidRDefault="00931B1F" w:rsidP="00DA00FB">
            <w:pPr>
              <w:jc w:val="both"/>
              <w:rPr>
                <w:szCs w:val="20"/>
              </w:rPr>
            </w:pPr>
            <w:r w:rsidRPr="00FA3856">
              <w:rPr>
                <w:szCs w:val="20"/>
              </w:rPr>
              <w:t>Diretor</w:t>
            </w:r>
          </w:p>
        </w:tc>
      </w:tr>
      <w:tr w:rsidR="00931B1F" w:rsidRPr="00FA3856" w:rsidTr="00DA00FB">
        <w:trPr>
          <w:jc w:val="center"/>
        </w:trPr>
        <w:tc>
          <w:tcPr>
            <w:tcW w:w="1308" w:type="dxa"/>
            <w:tcBorders>
              <w:top w:val="single" w:sz="6" w:space="0" w:color="auto"/>
              <w:left w:val="single" w:sz="6" w:space="0" w:color="auto"/>
              <w:bottom w:val="single" w:sz="6" w:space="0" w:color="auto"/>
              <w:right w:val="single" w:sz="6" w:space="0" w:color="auto"/>
            </w:tcBorders>
          </w:tcPr>
          <w:p w:rsidR="00931B1F" w:rsidRPr="00FA3856" w:rsidRDefault="00931B1F" w:rsidP="00DA00FB">
            <w:pPr>
              <w:jc w:val="center"/>
              <w:rPr>
                <w:szCs w:val="20"/>
              </w:rPr>
            </w:pPr>
            <w:r w:rsidRPr="00FA3856">
              <w:rPr>
                <w:szCs w:val="20"/>
              </w:rPr>
              <w:t>204</w:t>
            </w:r>
          </w:p>
        </w:tc>
        <w:tc>
          <w:tcPr>
            <w:tcW w:w="5766" w:type="dxa"/>
            <w:tcBorders>
              <w:top w:val="single" w:sz="6" w:space="0" w:color="auto"/>
              <w:left w:val="single" w:sz="6" w:space="0" w:color="auto"/>
              <w:bottom w:val="single" w:sz="6" w:space="0" w:color="auto"/>
              <w:right w:val="single" w:sz="6" w:space="0" w:color="auto"/>
            </w:tcBorders>
          </w:tcPr>
          <w:p w:rsidR="00931B1F" w:rsidRPr="00FA3856" w:rsidRDefault="00931B1F" w:rsidP="00DA00FB">
            <w:pPr>
              <w:jc w:val="both"/>
              <w:rPr>
                <w:szCs w:val="20"/>
              </w:rPr>
            </w:pPr>
            <w:r w:rsidRPr="00FA3856">
              <w:rPr>
                <w:szCs w:val="20"/>
              </w:rPr>
              <w:t>Conselheiro de Administração</w:t>
            </w:r>
          </w:p>
        </w:tc>
      </w:tr>
      <w:tr w:rsidR="00931B1F" w:rsidRPr="00FA3856" w:rsidTr="00DA00FB">
        <w:trPr>
          <w:jc w:val="center"/>
        </w:trPr>
        <w:tc>
          <w:tcPr>
            <w:tcW w:w="1308" w:type="dxa"/>
            <w:tcBorders>
              <w:top w:val="single" w:sz="6" w:space="0" w:color="auto"/>
              <w:left w:val="single" w:sz="6" w:space="0" w:color="auto"/>
              <w:bottom w:val="single" w:sz="6" w:space="0" w:color="auto"/>
              <w:right w:val="single" w:sz="6" w:space="0" w:color="auto"/>
            </w:tcBorders>
          </w:tcPr>
          <w:p w:rsidR="00931B1F" w:rsidRPr="00FA3856" w:rsidRDefault="00931B1F" w:rsidP="00DA00FB">
            <w:pPr>
              <w:jc w:val="center"/>
              <w:rPr>
                <w:szCs w:val="20"/>
              </w:rPr>
            </w:pPr>
            <w:r w:rsidRPr="00FA3856">
              <w:rPr>
                <w:szCs w:val="20"/>
              </w:rPr>
              <w:t>205</w:t>
            </w:r>
          </w:p>
        </w:tc>
        <w:tc>
          <w:tcPr>
            <w:tcW w:w="5766" w:type="dxa"/>
            <w:tcBorders>
              <w:top w:val="single" w:sz="6" w:space="0" w:color="auto"/>
              <w:left w:val="single" w:sz="6" w:space="0" w:color="auto"/>
              <w:bottom w:val="single" w:sz="6" w:space="0" w:color="auto"/>
              <w:right w:val="single" w:sz="6" w:space="0" w:color="auto"/>
            </w:tcBorders>
          </w:tcPr>
          <w:p w:rsidR="00931B1F" w:rsidRPr="00FA3856" w:rsidRDefault="00931B1F" w:rsidP="00DA00FB">
            <w:pPr>
              <w:jc w:val="both"/>
              <w:rPr>
                <w:szCs w:val="20"/>
              </w:rPr>
            </w:pPr>
            <w:r w:rsidRPr="00FA3856">
              <w:rPr>
                <w:szCs w:val="20"/>
              </w:rPr>
              <w:t>Administrador</w:t>
            </w:r>
          </w:p>
        </w:tc>
      </w:tr>
      <w:tr w:rsidR="00931B1F" w:rsidRPr="00FA3856" w:rsidTr="00DA00FB">
        <w:trPr>
          <w:jc w:val="center"/>
        </w:trPr>
        <w:tc>
          <w:tcPr>
            <w:tcW w:w="1308" w:type="dxa"/>
            <w:tcBorders>
              <w:top w:val="single" w:sz="6" w:space="0" w:color="auto"/>
              <w:left w:val="single" w:sz="6" w:space="0" w:color="auto"/>
              <w:bottom w:val="single" w:sz="6" w:space="0" w:color="auto"/>
              <w:right w:val="single" w:sz="6" w:space="0" w:color="auto"/>
            </w:tcBorders>
          </w:tcPr>
          <w:p w:rsidR="00931B1F" w:rsidRPr="00FA3856" w:rsidRDefault="00931B1F" w:rsidP="00DA00FB">
            <w:pPr>
              <w:jc w:val="center"/>
              <w:rPr>
                <w:szCs w:val="20"/>
              </w:rPr>
            </w:pPr>
            <w:r w:rsidRPr="00FA3856">
              <w:rPr>
                <w:szCs w:val="20"/>
              </w:rPr>
              <w:t>206</w:t>
            </w:r>
          </w:p>
        </w:tc>
        <w:tc>
          <w:tcPr>
            <w:tcW w:w="5766" w:type="dxa"/>
            <w:tcBorders>
              <w:top w:val="single" w:sz="6" w:space="0" w:color="auto"/>
              <w:left w:val="single" w:sz="6" w:space="0" w:color="auto"/>
              <w:bottom w:val="single" w:sz="6" w:space="0" w:color="auto"/>
              <w:right w:val="single" w:sz="6" w:space="0" w:color="auto"/>
            </w:tcBorders>
          </w:tcPr>
          <w:p w:rsidR="00931B1F" w:rsidRPr="00FA3856" w:rsidRDefault="00931B1F" w:rsidP="00DA00FB">
            <w:pPr>
              <w:jc w:val="both"/>
              <w:rPr>
                <w:szCs w:val="20"/>
              </w:rPr>
            </w:pPr>
            <w:r w:rsidRPr="00FA3856">
              <w:rPr>
                <w:szCs w:val="20"/>
              </w:rPr>
              <w:t>Administrador do Grupo</w:t>
            </w:r>
          </w:p>
        </w:tc>
      </w:tr>
      <w:tr w:rsidR="00931B1F" w:rsidRPr="00FA3856" w:rsidTr="00DA00FB">
        <w:trPr>
          <w:jc w:val="center"/>
        </w:trPr>
        <w:tc>
          <w:tcPr>
            <w:tcW w:w="1308" w:type="dxa"/>
            <w:tcBorders>
              <w:top w:val="single" w:sz="6" w:space="0" w:color="auto"/>
              <w:left w:val="single" w:sz="6" w:space="0" w:color="auto"/>
              <w:bottom w:val="single" w:sz="6" w:space="0" w:color="auto"/>
              <w:right w:val="single" w:sz="6" w:space="0" w:color="auto"/>
            </w:tcBorders>
          </w:tcPr>
          <w:p w:rsidR="00931B1F" w:rsidRPr="00FA3856" w:rsidRDefault="00931B1F" w:rsidP="00DA00FB">
            <w:pPr>
              <w:jc w:val="center"/>
              <w:rPr>
                <w:szCs w:val="20"/>
              </w:rPr>
            </w:pPr>
            <w:r w:rsidRPr="00FA3856">
              <w:rPr>
                <w:szCs w:val="20"/>
              </w:rPr>
              <w:t>207</w:t>
            </w:r>
          </w:p>
        </w:tc>
        <w:tc>
          <w:tcPr>
            <w:tcW w:w="5766" w:type="dxa"/>
            <w:tcBorders>
              <w:top w:val="single" w:sz="6" w:space="0" w:color="auto"/>
              <w:left w:val="single" w:sz="6" w:space="0" w:color="auto"/>
              <w:bottom w:val="single" w:sz="6" w:space="0" w:color="auto"/>
              <w:right w:val="single" w:sz="6" w:space="0" w:color="auto"/>
            </w:tcBorders>
          </w:tcPr>
          <w:p w:rsidR="00931B1F" w:rsidRPr="00FA3856" w:rsidRDefault="00931B1F" w:rsidP="00DA00FB">
            <w:pPr>
              <w:jc w:val="both"/>
              <w:rPr>
                <w:szCs w:val="20"/>
              </w:rPr>
            </w:pPr>
            <w:r w:rsidRPr="00FA3856">
              <w:rPr>
                <w:szCs w:val="20"/>
              </w:rPr>
              <w:t>Administrador de Sociedade Filiada</w:t>
            </w:r>
          </w:p>
        </w:tc>
      </w:tr>
      <w:tr w:rsidR="00931B1F" w:rsidRPr="00FA3856" w:rsidTr="00DA00FB">
        <w:trPr>
          <w:jc w:val="center"/>
        </w:trPr>
        <w:tc>
          <w:tcPr>
            <w:tcW w:w="1308" w:type="dxa"/>
            <w:tcBorders>
              <w:top w:val="single" w:sz="6" w:space="0" w:color="auto"/>
              <w:left w:val="single" w:sz="6" w:space="0" w:color="auto"/>
              <w:bottom w:val="single" w:sz="6" w:space="0" w:color="auto"/>
              <w:right w:val="single" w:sz="6" w:space="0" w:color="auto"/>
            </w:tcBorders>
          </w:tcPr>
          <w:p w:rsidR="00931B1F" w:rsidRPr="00FA3856" w:rsidRDefault="00931B1F" w:rsidP="00DA00FB">
            <w:pPr>
              <w:jc w:val="center"/>
              <w:rPr>
                <w:szCs w:val="20"/>
              </w:rPr>
            </w:pPr>
            <w:r w:rsidRPr="00FA3856">
              <w:rPr>
                <w:szCs w:val="20"/>
              </w:rPr>
              <w:t>220</w:t>
            </w:r>
          </w:p>
        </w:tc>
        <w:tc>
          <w:tcPr>
            <w:tcW w:w="5766" w:type="dxa"/>
            <w:tcBorders>
              <w:top w:val="single" w:sz="6" w:space="0" w:color="auto"/>
              <w:left w:val="single" w:sz="6" w:space="0" w:color="auto"/>
              <w:bottom w:val="single" w:sz="6" w:space="0" w:color="auto"/>
              <w:right w:val="single" w:sz="6" w:space="0" w:color="auto"/>
            </w:tcBorders>
          </w:tcPr>
          <w:p w:rsidR="00931B1F" w:rsidRPr="00FA3856" w:rsidRDefault="00931B1F" w:rsidP="00DA00FB">
            <w:pPr>
              <w:jc w:val="both"/>
              <w:rPr>
                <w:szCs w:val="20"/>
              </w:rPr>
            </w:pPr>
            <w:r w:rsidRPr="00FA3856">
              <w:rPr>
                <w:szCs w:val="20"/>
              </w:rPr>
              <w:t>Administrador Judicial – Pessoa Física</w:t>
            </w:r>
          </w:p>
        </w:tc>
      </w:tr>
      <w:tr w:rsidR="00931B1F" w:rsidRPr="00FA3856" w:rsidTr="00DA00FB">
        <w:trPr>
          <w:jc w:val="center"/>
        </w:trPr>
        <w:tc>
          <w:tcPr>
            <w:tcW w:w="1308" w:type="dxa"/>
            <w:tcBorders>
              <w:top w:val="single" w:sz="6" w:space="0" w:color="auto"/>
              <w:left w:val="single" w:sz="6" w:space="0" w:color="auto"/>
              <w:bottom w:val="single" w:sz="6" w:space="0" w:color="auto"/>
              <w:right w:val="single" w:sz="6" w:space="0" w:color="auto"/>
            </w:tcBorders>
          </w:tcPr>
          <w:p w:rsidR="00931B1F" w:rsidRPr="00FA3856" w:rsidRDefault="00931B1F" w:rsidP="00DA00FB">
            <w:pPr>
              <w:jc w:val="center"/>
              <w:rPr>
                <w:szCs w:val="20"/>
              </w:rPr>
            </w:pPr>
            <w:r w:rsidRPr="00FA3856">
              <w:rPr>
                <w:szCs w:val="20"/>
              </w:rPr>
              <w:t>222</w:t>
            </w:r>
          </w:p>
        </w:tc>
        <w:tc>
          <w:tcPr>
            <w:tcW w:w="5766" w:type="dxa"/>
            <w:tcBorders>
              <w:top w:val="single" w:sz="6" w:space="0" w:color="auto"/>
              <w:left w:val="single" w:sz="6" w:space="0" w:color="auto"/>
              <w:bottom w:val="single" w:sz="6" w:space="0" w:color="auto"/>
              <w:right w:val="single" w:sz="6" w:space="0" w:color="auto"/>
            </w:tcBorders>
          </w:tcPr>
          <w:p w:rsidR="00931B1F" w:rsidRPr="00FA3856" w:rsidRDefault="00931B1F" w:rsidP="00DA00FB">
            <w:pPr>
              <w:jc w:val="both"/>
              <w:rPr>
                <w:szCs w:val="20"/>
              </w:rPr>
            </w:pPr>
            <w:r w:rsidRPr="00FA3856">
              <w:rPr>
                <w:szCs w:val="20"/>
              </w:rPr>
              <w:t>Administrador Judicial – Pessoa Jurídica - Profissional Responsável</w:t>
            </w:r>
          </w:p>
        </w:tc>
      </w:tr>
      <w:tr w:rsidR="00931B1F" w:rsidRPr="00FA3856" w:rsidTr="00DA00FB">
        <w:trPr>
          <w:jc w:val="center"/>
        </w:trPr>
        <w:tc>
          <w:tcPr>
            <w:tcW w:w="1308" w:type="dxa"/>
            <w:tcBorders>
              <w:top w:val="single" w:sz="6" w:space="0" w:color="auto"/>
              <w:left w:val="single" w:sz="6" w:space="0" w:color="auto"/>
              <w:bottom w:val="single" w:sz="6" w:space="0" w:color="auto"/>
              <w:right w:val="single" w:sz="6" w:space="0" w:color="auto"/>
            </w:tcBorders>
          </w:tcPr>
          <w:p w:rsidR="00931B1F" w:rsidRPr="00FA3856" w:rsidRDefault="00931B1F" w:rsidP="00DA00FB">
            <w:pPr>
              <w:jc w:val="center"/>
              <w:rPr>
                <w:szCs w:val="20"/>
              </w:rPr>
            </w:pPr>
            <w:r w:rsidRPr="00FA3856">
              <w:rPr>
                <w:szCs w:val="20"/>
              </w:rPr>
              <w:t>223</w:t>
            </w:r>
          </w:p>
        </w:tc>
        <w:tc>
          <w:tcPr>
            <w:tcW w:w="5766" w:type="dxa"/>
            <w:tcBorders>
              <w:top w:val="single" w:sz="6" w:space="0" w:color="auto"/>
              <w:left w:val="single" w:sz="6" w:space="0" w:color="auto"/>
              <w:bottom w:val="single" w:sz="6" w:space="0" w:color="auto"/>
              <w:right w:val="single" w:sz="6" w:space="0" w:color="auto"/>
            </w:tcBorders>
          </w:tcPr>
          <w:p w:rsidR="00931B1F" w:rsidRPr="00FA3856" w:rsidRDefault="00931B1F" w:rsidP="00DA00FB">
            <w:pPr>
              <w:jc w:val="both"/>
              <w:rPr>
                <w:szCs w:val="20"/>
              </w:rPr>
            </w:pPr>
            <w:r w:rsidRPr="00FA3856">
              <w:rPr>
                <w:szCs w:val="20"/>
              </w:rPr>
              <w:t>Administrador Judicial/Gestor</w:t>
            </w:r>
          </w:p>
        </w:tc>
      </w:tr>
      <w:tr w:rsidR="00931B1F" w:rsidRPr="00FA3856" w:rsidTr="00DA00FB">
        <w:trPr>
          <w:jc w:val="center"/>
        </w:trPr>
        <w:tc>
          <w:tcPr>
            <w:tcW w:w="1308" w:type="dxa"/>
            <w:tcBorders>
              <w:top w:val="single" w:sz="6" w:space="0" w:color="auto"/>
              <w:left w:val="single" w:sz="6" w:space="0" w:color="auto"/>
              <w:bottom w:val="single" w:sz="6" w:space="0" w:color="auto"/>
              <w:right w:val="single" w:sz="6" w:space="0" w:color="auto"/>
            </w:tcBorders>
          </w:tcPr>
          <w:p w:rsidR="00931B1F" w:rsidRPr="00FA3856" w:rsidRDefault="00931B1F" w:rsidP="00DA00FB">
            <w:pPr>
              <w:jc w:val="center"/>
              <w:rPr>
                <w:szCs w:val="20"/>
              </w:rPr>
            </w:pPr>
            <w:r w:rsidRPr="00FA3856">
              <w:rPr>
                <w:szCs w:val="20"/>
              </w:rPr>
              <w:t>226</w:t>
            </w:r>
          </w:p>
        </w:tc>
        <w:tc>
          <w:tcPr>
            <w:tcW w:w="5766" w:type="dxa"/>
            <w:tcBorders>
              <w:top w:val="single" w:sz="6" w:space="0" w:color="auto"/>
              <w:left w:val="single" w:sz="6" w:space="0" w:color="auto"/>
              <w:bottom w:val="single" w:sz="6" w:space="0" w:color="auto"/>
              <w:right w:val="single" w:sz="6" w:space="0" w:color="auto"/>
            </w:tcBorders>
          </w:tcPr>
          <w:p w:rsidR="00931B1F" w:rsidRPr="00FA3856" w:rsidRDefault="00931B1F" w:rsidP="00DA00FB">
            <w:pPr>
              <w:jc w:val="both"/>
              <w:rPr>
                <w:szCs w:val="20"/>
              </w:rPr>
            </w:pPr>
            <w:r w:rsidRPr="00FA3856">
              <w:rPr>
                <w:szCs w:val="20"/>
              </w:rPr>
              <w:t>Gestor Judicial</w:t>
            </w:r>
          </w:p>
        </w:tc>
      </w:tr>
      <w:tr w:rsidR="00931B1F" w:rsidRPr="00FA3856" w:rsidTr="00DA00FB">
        <w:trPr>
          <w:jc w:val="center"/>
        </w:trPr>
        <w:tc>
          <w:tcPr>
            <w:tcW w:w="1308" w:type="dxa"/>
            <w:tcBorders>
              <w:top w:val="single" w:sz="6" w:space="0" w:color="auto"/>
              <w:left w:val="single" w:sz="6" w:space="0" w:color="auto"/>
              <w:bottom w:val="single" w:sz="6" w:space="0" w:color="auto"/>
              <w:right w:val="single" w:sz="6" w:space="0" w:color="auto"/>
            </w:tcBorders>
          </w:tcPr>
          <w:p w:rsidR="00931B1F" w:rsidRPr="00FA3856" w:rsidRDefault="00931B1F" w:rsidP="00DA00FB">
            <w:pPr>
              <w:jc w:val="center"/>
              <w:rPr>
                <w:szCs w:val="20"/>
              </w:rPr>
            </w:pPr>
            <w:r w:rsidRPr="00FA3856">
              <w:rPr>
                <w:szCs w:val="20"/>
              </w:rPr>
              <w:t>309</w:t>
            </w:r>
          </w:p>
        </w:tc>
        <w:tc>
          <w:tcPr>
            <w:tcW w:w="5766" w:type="dxa"/>
            <w:tcBorders>
              <w:top w:val="single" w:sz="6" w:space="0" w:color="auto"/>
              <w:left w:val="single" w:sz="6" w:space="0" w:color="auto"/>
              <w:bottom w:val="single" w:sz="6" w:space="0" w:color="auto"/>
              <w:right w:val="single" w:sz="6" w:space="0" w:color="auto"/>
            </w:tcBorders>
          </w:tcPr>
          <w:p w:rsidR="00931B1F" w:rsidRPr="00FA3856" w:rsidRDefault="00931B1F" w:rsidP="00DA00FB">
            <w:pPr>
              <w:jc w:val="both"/>
              <w:rPr>
                <w:szCs w:val="20"/>
              </w:rPr>
            </w:pPr>
            <w:r w:rsidRPr="00FA3856">
              <w:rPr>
                <w:szCs w:val="20"/>
              </w:rPr>
              <w:t>Procurador</w:t>
            </w:r>
          </w:p>
        </w:tc>
      </w:tr>
      <w:tr w:rsidR="00931B1F" w:rsidRPr="00FA3856" w:rsidTr="00DA00FB">
        <w:trPr>
          <w:jc w:val="center"/>
        </w:trPr>
        <w:tc>
          <w:tcPr>
            <w:tcW w:w="1308" w:type="dxa"/>
            <w:tcBorders>
              <w:top w:val="single" w:sz="6" w:space="0" w:color="auto"/>
              <w:left w:val="single" w:sz="6" w:space="0" w:color="auto"/>
              <w:bottom w:val="single" w:sz="6" w:space="0" w:color="auto"/>
              <w:right w:val="single" w:sz="6" w:space="0" w:color="auto"/>
            </w:tcBorders>
          </w:tcPr>
          <w:p w:rsidR="00931B1F" w:rsidRPr="00FA3856" w:rsidRDefault="00931B1F" w:rsidP="00DA00FB">
            <w:pPr>
              <w:jc w:val="center"/>
              <w:rPr>
                <w:szCs w:val="20"/>
              </w:rPr>
            </w:pPr>
            <w:r w:rsidRPr="00FA3856">
              <w:rPr>
                <w:szCs w:val="20"/>
              </w:rPr>
              <w:t>312</w:t>
            </w:r>
          </w:p>
        </w:tc>
        <w:tc>
          <w:tcPr>
            <w:tcW w:w="5766" w:type="dxa"/>
            <w:tcBorders>
              <w:top w:val="single" w:sz="6" w:space="0" w:color="auto"/>
              <w:left w:val="single" w:sz="6" w:space="0" w:color="auto"/>
              <w:bottom w:val="single" w:sz="6" w:space="0" w:color="auto"/>
              <w:right w:val="single" w:sz="6" w:space="0" w:color="auto"/>
            </w:tcBorders>
          </w:tcPr>
          <w:p w:rsidR="00931B1F" w:rsidRPr="00FA3856" w:rsidRDefault="00931B1F" w:rsidP="00DA00FB">
            <w:pPr>
              <w:jc w:val="both"/>
              <w:rPr>
                <w:szCs w:val="20"/>
              </w:rPr>
            </w:pPr>
            <w:r w:rsidRPr="00FA3856">
              <w:rPr>
                <w:szCs w:val="20"/>
              </w:rPr>
              <w:t>Inventariante</w:t>
            </w:r>
          </w:p>
        </w:tc>
      </w:tr>
      <w:tr w:rsidR="00931B1F" w:rsidRPr="00FA3856" w:rsidTr="00DA00FB">
        <w:trPr>
          <w:jc w:val="center"/>
        </w:trPr>
        <w:tc>
          <w:tcPr>
            <w:tcW w:w="1308" w:type="dxa"/>
            <w:tcBorders>
              <w:top w:val="single" w:sz="6" w:space="0" w:color="auto"/>
              <w:left w:val="single" w:sz="6" w:space="0" w:color="auto"/>
              <w:bottom w:val="single" w:sz="6" w:space="0" w:color="auto"/>
              <w:right w:val="single" w:sz="6" w:space="0" w:color="auto"/>
            </w:tcBorders>
          </w:tcPr>
          <w:p w:rsidR="00931B1F" w:rsidRPr="00FA3856" w:rsidRDefault="00931B1F" w:rsidP="00DA00FB">
            <w:pPr>
              <w:jc w:val="center"/>
              <w:rPr>
                <w:szCs w:val="20"/>
              </w:rPr>
            </w:pPr>
            <w:r w:rsidRPr="00FA3856">
              <w:rPr>
                <w:szCs w:val="20"/>
              </w:rPr>
              <w:t>313</w:t>
            </w:r>
          </w:p>
        </w:tc>
        <w:tc>
          <w:tcPr>
            <w:tcW w:w="5766" w:type="dxa"/>
            <w:tcBorders>
              <w:top w:val="single" w:sz="6" w:space="0" w:color="auto"/>
              <w:left w:val="single" w:sz="6" w:space="0" w:color="auto"/>
              <w:bottom w:val="single" w:sz="6" w:space="0" w:color="auto"/>
              <w:right w:val="single" w:sz="6" w:space="0" w:color="auto"/>
            </w:tcBorders>
          </w:tcPr>
          <w:p w:rsidR="00931B1F" w:rsidRPr="00FA3856" w:rsidRDefault="00931B1F" w:rsidP="00DA00FB">
            <w:pPr>
              <w:jc w:val="both"/>
              <w:rPr>
                <w:szCs w:val="20"/>
              </w:rPr>
            </w:pPr>
            <w:r w:rsidRPr="00FA3856">
              <w:rPr>
                <w:szCs w:val="20"/>
              </w:rPr>
              <w:t>Liquidante</w:t>
            </w:r>
          </w:p>
        </w:tc>
      </w:tr>
      <w:tr w:rsidR="00931B1F" w:rsidRPr="00FA3856" w:rsidTr="00DA00FB">
        <w:trPr>
          <w:jc w:val="center"/>
        </w:trPr>
        <w:tc>
          <w:tcPr>
            <w:tcW w:w="1308" w:type="dxa"/>
            <w:tcBorders>
              <w:top w:val="single" w:sz="6" w:space="0" w:color="auto"/>
              <w:left w:val="single" w:sz="6" w:space="0" w:color="auto"/>
              <w:bottom w:val="single" w:sz="6" w:space="0" w:color="auto"/>
              <w:right w:val="single" w:sz="6" w:space="0" w:color="auto"/>
            </w:tcBorders>
          </w:tcPr>
          <w:p w:rsidR="00931B1F" w:rsidRPr="00FA3856" w:rsidRDefault="00931B1F" w:rsidP="00DA00FB">
            <w:pPr>
              <w:jc w:val="center"/>
              <w:rPr>
                <w:szCs w:val="20"/>
              </w:rPr>
            </w:pPr>
            <w:r w:rsidRPr="00FA3856">
              <w:rPr>
                <w:szCs w:val="20"/>
              </w:rPr>
              <w:t>315</w:t>
            </w:r>
          </w:p>
        </w:tc>
        <w:tc>
          <w:tcPr>
            <w:tcW w:w="5766" w:type="dxa"/>
            <w:tcBorders>
              <w:top w:val="single" w:sz="6" w:space="0" w:color="auto"/>
              <w:left w:val="single" w:sz="6" w:space="0" w:color="auto"/>
              <w:bottom w:val="single" w:sz="6" w:space="0" w:color="auto"/>
              <w:right w:val="single" w:sz="6" w:space="0" w:color="auto"/>
            </w:tcBorders>
          </w:tcPr>
          <w:p w:rsidR="00931B1F" w:rsidRPr="00FA3856" w:rsidRDefault="00931B1F" w:rsidP="00DA00FB">
            <w:pPr>
              <w:jc w:val="both"/>
              <w:rPr>
                <w:szCs w:val="20"/>
              </w:rPr>
            </w:pPr>
            <w:r w:rsidRPr="00FA3856">
              <w:rPr>
                <w:szCs w:val="20"/>
              </w:rPr>
              <w:t>Interventor</w:t>
            </w:r>
          </w:p>
        </w:tc>
      </w:tr>
      <w:tr w:rsidR="00EE047B" w:rsidRPr="00FA3856" w:rsidTr="00DA00FB">
        <w:trPr>
          <w:jc w:val="center"/>
        </w:trPr>
        <w:tc>
          <w:tcPr>
            <w:tcW w:w="1308" w:type="dxa"/>
            <w:tcBorders>
              <w:top w:val="single" w:sz="6" w:space="0" w:color="auto"/>
              <w:left w:val="single" w:sz="6" w:space="0" w:color="auto"/>
              <w:bottom w:val="single" w:sz="6" w:space="0" w:color="auto"/>
              <w:right w:val="single" w:sz="6" w:space="0" w:color="auto"/>
            </w:tcBorders>
          </w:tcPr>
          <w:p w:rsidR="00EE047B" w:rsidRPr="00FA3856" w:rsidRDefault="00EE047B" w:rsidP="00DA00FB">
            <w:pPr>
              <w:jc w:val="center"/>
              <w:rPr>
                <w:szCs w:val="20"/>
              </w:rPr>
            </w:pPr>
            <w:r w:rsidRPr="00FA3856">
              <w:rPr>
                <w:szCs w:val="20"/>
              </w:rPr>
              <w:t>401</w:t>
            </w:r>
          </w:p>
        </w:tc>
        <w:tc>
          <w:tcPr>
            <w:tcW w:w="5766" w:type="dxa"/>
            <w:tcBorders>
              <w:top w:val="single" w:sz="6" w:space="0" w:color="auto"/>
              <w:left w:val="single" w:sz="6" w:space="0" w:color="auto"/>
              <w:bottom w:val="single" w:sz="6" w:space="0" w:color="auto"/>
              <w:right w:val="single" w:sz="6" w:space="0" w:color="auto"/>
            </w:tcBorders>
          </w:tcPr>
          <w:p w:rsidR="00EE047B" w:rsidRPr="00FA3856" w:rsidRDefault="00EE047B" w:rsidP="00DA00FB">
            <w:pPr>
              <w:jc w:val="both"/>
              <w:rPr>
                <w:szCs w:val="20"/>
              </w:rPr>
            </w:pPr>
            <w:r w:rsidRPr="00FA3856">
              <w:rPr>
                <w:szCs w:val="20"/>
              </w:rPr>
              <w:t>Titular Pessoa Física</w:t>
            </w:r>
            <w:r w:rsidR="00D01F26" w:rsidRPr="00FA3856">
              <w:rPr>
                <w:szCs w:val="20"/>
              </w:rPr>
              <w:t xml:space="preserve"> - EIRELI</w:t>
            </w:r>
          </w:p>
        </w:tc>
      </w:tr>
      <w:tr w:rsidR="00931B1F" w:rsidRPr="00FA3856" w:rsidTr="00DA00FB">
        <w:trPr>
          <w:jc w:val="center"/>
        </w:trPr>
        <w:tc>
          <w:tcPr>
            <w:tcW w:w="1308" w:type="dxa"/>
            <w:tcBorders>
              <w:top w:val="single" w:sz="6" w:space="0" w:color="auto"/>
              <w:left w:val="single" w:sz="6" w:space="0" w:color="auto"/>
              <w:bottom w:val="single" w:sz="6" w:space="0" w:color="auto"/>
              <w:right w:val="single" w:sz="6" w:space="0" w:color="auto"/>
            </w:tcBorders>
          </w:tcPr>
          <w:p w:rsidR="00931B1F" w:rsidRPr="00FA3856" w:rsidRDefault="00931B1F" w:rsidP="00DA00FB">
            <w:pPr>
              <w:jc w:val="center"/>
              <w:rPr>
                <w:szCs w:val="20"/>
              </w:rPr>
            </w:pPr>
            <w:r w:rsidRPr="00FA3856">
              <w:rPr>
                <w:szCs w:val="20"/>
              </w:rPr>
              <w:t>801</w:t>
            </w:r>
          </w:p>
        </w:tc>
        <w:tc>
          <w:tcPr>
            <w:tcW w:w="5766" w:type="dxa"/>
            <w:tcBorders>
              <w:top w:val="single" w:sz="6" w:space="0" w:color="auto"/>
              <w:left w:val="single" w:sz="6" w:space="0" w:color="auto"/>
              <w:bottom w:val="single" w:sz="6" w:space="0" w:color="auto"/>
              <w:right w:val="single" w:sz="6" w:space="0" w:color="auto"/>
            </w:tcBorders>
          </w:tcPr>
          <w:p w:rsidR="00931B1F" w:rsidRPr="00FA3856" w:rsidRDefault="00931B1F" w:rsidP="00DA00FB">
            <w:pPr>
              <w:jc w:val="both"/>
              <w:rPr>
                <w:szCs w:val="20"/>
              </w:rPr>
            </w:pPr>
            <w:r w:rsidRPr="00FA3856">
              <w:rPr>
                <w:szCs w:val="20"/>
              </w:rPr>
              <w:t>Empresário</w:t>
            </w:r>
          </w:p>
        </w:tc>
      </w:tr>
      <w:tr w:rsidR="00931B1F" w:rsidRPr="00FA3856" w:rsidTr="00DA00FB">
        <w:trPr>
          <w:jc w:val="center"/>
        </w:trPr>
        <w:tc>
          <w:tcPr>
            <w:tcW w:w="1308" w:type="dxa"/>
            <w:tcBorders>
              <w:top w:val="single" w:sz="6" w:space="0" w:color="auto"/>
              <w:left w:val="single" w:sz="6" w:space="0" w:color="auto"/>
              <w:bottom w:val="single" w:sz="6" w:space="0" w:color="auto"/>
              <w:right w:val="single" w:sz="6" w:space="0" w:color="auto"/>
            </w:tcBorders>
          </w:tcPr>
          <w:p w:rsidR="00931B1F" w:rsidRPr="00FA3856" w:rsidRDefault="00931B1F" w:rsidP="00DA00FB">
            <w:pPr>
              <w:jc w:val="center"/>
              <w:rPr>
                <w:szCs w:val="20"/>
              </w:rPr>
            </w:pPr>
            <w:r w:rsidRPr="00FA3856">
              <w:rPr>
                <w:szCs w:val="20"/>
              </w:rPr>
              <w:t>900</w:t>
            </w:r>
          </w:p>
        </w:tc>
        <w:tc>
          <w:tcPr>
            <w:tcW w:w="5766" w:type="dxa"/>
            <w:tcBorders>
              <w:top w:val="single" w:sz="6" w:space="0" w:color="auto"/>
              <w:left w:val="single" w:sz="6" w:space="0" w:color="auto"/>
              <w:bottom w:val="single" w:sz="6" w:space="0" w:color="auto"/>
              <w:right w:val="single" w:sz="6" w:space="0" w:color="auto"/>
            </w:tcBorders>
          </w:tcPr>
          <w:p w:rsidR="00931B1F" w:rsidRPr="00FA3856" w:rsidRDefault="00931B1F" w:rsidP="00DA00FB">
            <w:pPr>
              <w:jc w:val="both"/>
              <w:rPr>
                <w:szCs w:val="20"/>
              </w:rPr>
            </w:pPr>
            <w:r w:rsidRPr="00FA3856">
              <w:rPr>
                <w:szCs w:val="20"/>
              </w:rPr>
              <w:t>Contador</w:t>
            </w:r>
          </w:p>
        </w:tc>
      </w:tr>
      <w:tr w:rsidR="00931B1F" w:rsidRPr="00FA3856" w:rsidTr="00DA00FB">
        <w:trPr>
          <w:jc w:val="center"/>
        </w:trPr>
        <w:tc>
          <w:tcPr>
            <w:tcW w:w="1308" w:type="dxa"/>
            <w:tcBorders>
              <w:top w:val="single" w:sz="6" w:space="0" w:color="auto"/>
              <w:left w:val="single" w:sz="6" w:space="0" w:color="auto"/>
              <w:bottom w:val="single" w:sz="6" w:space="0" w:color="auto"/>
              <w:right w:val="single" w:sz="6" w:space="0" w:color="auto"/>
            </w:tcBorders>
          </w:tcPr>
          <w:p w:rsidR="00931B1F" w:rsidRPr="00FA3856" w:rsidRDefault="00931B1F" w:rsidP="00DA00FB">
            <w:pPr>
              <w:jc w:val="center"/>
              <w:rPr>
                <w:szCs w:val="20"/>
              </w:rPr>
            </w:pPr>
            <w:r w:rsidRPr="00FA3856">
              <w:rPr>
                <w:szCs w:val="20"/>
              </w:rPr>
              <w:t>900</w:t>
            </w:r>
          </w:p>
        </w:tc>
        <w:tc>
          <w:tcPr>
            <w:tcW w:w="5766" w:type="dxa"/>
            <w:tcBorders>
              <w:top w:val="single" w:sz="6" w:space="0" w:color="auto"/>
              <w:left w:val="single" w:sz="6" w:space="0" w:color="auto"/>
              <w:bottom w:val="single" w:sz="6" w:space="0" w:color="auto"/>
              <w:right w:val="single" w:sz="6" w:space="0" w:color="auto"/>
            </w:tcBorders>
          </w:tcPr>
          <w:p w:rsidR="00931B1F" w:rsidRPr="00FA3856" w:rsidRDefault="00931B1F" w:rsidP="00DA00FB">
            <w:pPr>
              <w:jc w:val="both"/>
              <w:rPr>
                <w:szCs w:val="20"/>
              </w:rPr>
            </w:pPr>
            <w:r w:rsidRPr="00FA3856">
              <w:rPr>
                <w:szCs w:val="20"/>
              </w:rPr>
              <w:t>Contabilista</w:t>
            </w:r>
          </w:p>
        </w:tc>
      </w:tr>
      <w:tr w:rsidR="00931B1F" w:rsidRPr="00FA3856" w:rsidTr="00DA00FB">
        <w:trPr>
          <w:jc w:val="center"/>
        </w:trPr>
        <w:tc>
          <w:tcPr>
            <w:tcW w:w="1308" w:type="dxa"/>
            <w:tcBorders>
              <w:top w:val="single" w:sz="6" w:space="0" w:color="auto"/>
              <w:left w:val="single" w:sz="6" w:space="0" w:color="auto"/>
              <w:bottom w:val="single" w:sz="6" w:space="0" w:color="auto"/>
              <w:right w:val="single" w:sz="6" w:space="0" w:color="auto"/>
            </w:tcBorders>
          </w:tcPr>
          <w:p w:rsidR="00931B1F" w:rsidRPr="00FA3856" w:rsidRDefault="00931B1F" w:rsidP="00DA00FB">
            <w:pPr>
              <w:jc w:val="center"/>
              <w:rPr>
                <w:szCs w:val="20"/>
              </w:rPr>
            </w:pPr>
            <w:r w:rsidRPr="00FA3856">
              <w:rPr>
                <w:szCs w:val="20"/>
              </w:rPr>
              <w:t>999</w:t>
            </w:r>
          </w:p>
        </w:tc>
        <w:tc>
          <w:tcPr>
            <w:tcW w:w="5766" w:type="dxa"/>
            <w:tcBorders>
              <w:top w:val="single" w:sz="6" w:space="0" w:color="auto"/>
              <w:left w:val="single" w:sz="6" w:space="0" w:color="auto"/>
              <w:bottom w:val="single" w:sz="6" w:space="0" w:color="auto"/>
              <w:right w:val="single" w:sz="6" w:space="0" w:color="auto"/>
            </w:tcBorders>
          </w:tcPr>
          <w:p w:rsidR="00931B1F" w:rsidRPr="00FA3856" w:rsidRDefault="00931B1F" w:rsidP="00DA00FB">
            <w:pPr>
              <w:jc w:val="both"/>
              <w:rPr>
                <w:szCs w:val="20"/>
              </w:rPr>
            </w:pPr>
            <w:r w:rsidRPr="00FA3856">
              <w:rPr>
                <w:szCs w:val="20"/>
              </w:rPr>
              <w:t>Outros</w:t>
            </w:r>
          </w:p>
        </w:tc>
      </w:tr>
    </w:tbl>
    <w:p w:rsidR="00D223CF" w:rsidRPr="00FA3856" w:rsidRDefault="00D223CF" w:rsidP="002247D6">
      <w:pPr>
        <w:pStyle w:val="PSDS-MarcadoresNivel2"/>
        <w:numPr>
          <w:ilvl w:val="0"/>
          <w:numId w:val="0"/>
        </w:numPr>
        <w:rPr>
          <w:rFonts w:ascii="Times New Roman" w:hAnsi="Times New Roman"/>
        </w:rPr>
      </w:pPr>
    </w:p>
    <w:p w:rsidR="00DC6CAC" w:rsidRPr="00FA3856" w:rsidRDefault="00DC6CAC" w:rsidP="002247D6">
      <w:pPr>
        <w:pStyle w:val="PSDS-MarcadoresNivel2"/>
        <w:numPr>
          <w:ilvl w:val="0"/>
          <w:numId w:val="0"/>
        </w:numPr>
        <w:rPr>
          <w:rFonts w:ascii="Times New Roman" w:hAnsi="Times New Roman"/>
        </w:rPr>
      </w:pPr>
      <w:r w:rsidRPr="00FA3856">
        <w:rPr>
          <w:rFonts w:ascii="Times New Roman" w:hAnsi="Times New Roman"/>
        </w:rPr>
        <w:t>I – Regras de Validação do Registro:</w:t>
      </w:r>
    </w:p>
    <w:p w:rsidR="00931B1F" w:rsidRPr="00FA3856" w:rsidRDefault="00931B1F" w:rsidP="00931B1F">
      <w:pPr>
        <w:pStyle w:val="Corpodetexto"/>
        <w:ind w:left="708"/>
        <w:rPr>
          <w:rFonts w:ascii="Times New Roman" w:hAnsi="Times New Roman"/>
          <w:szCs w:val="20"/>
        </w:rPr>
      </w:pPr>
    </w:p>
    <w:p w:rsidR="00406F13" w:rsidRPr="0070069F" w:rsidRDefault="007D0E74" w:rsidP="00F22CBC">
      <w:pPr>
        <w:pStyle w:val="Corpodetexto"/>
        <w:ind w:left="708"/>
        <w:rPr>
          <w:rFonts w:ascii="Times New Roman" w:hAnsi="Times New Roman"/>
          <w:szCs w:val="20"/>
        </w:rPr>
      </w:pPr>
      <w:hyperlink r:id="rId127" w:anchor="REGRA_OBRIGATORIO_ASSIN_CONTADOR" w:history="1">
        <w:r w:rsidR="00931B1F" w:rsidRPr="0070069F">
          <w:rPr>
            <w:rFonts w:ascii="Times New Roman" w:hAnsi="Times New Roman"/>
            <w:b/>
            <w:szCs w:val="20"/>
          </w:rPr>
          <w:t>REGRA_OBRIGATORIO_ASSIN_CONTADOR</w:t>
        </w:r>
      </w:hyperlink>
      <w:r w:rsidR="00931B1F" w:rsidRPr="0070069F">
        <w:rPr>
          <w:rFonts w:ascii="Times New Roman" w:hAnsi="Times New Roman"/>
          <w:b/>
          <w:szCs w:val="20"/>
        </w:rPr>
        <w:t xml:space="preserve">: </w:t>
      </w:r>
      <w:r w:rsidR="00931B1F" w:rsidRPr="0070069F">
        <w:rPr>
          <w:rFonts w:ascii="Times New Roman" w:hAnsi="Times New Roman"/>
          <w:szCs w:val="20"/>
        </w:rPr>
        <w:t xml:space="preserve">Verifica se existe, no mínimo, um registro 0930 cujo </w:t>
      </w:r>
      <w:r w:rsidR="00406F13" w:rsidRPr="0070069F">
        <w:rPr>
          <w:rFonts w:ascii="Times New Roman" w:hAnsi="Times New Roman"/>
          <w:szCs w:val="20"/>
        </w:rPr>
        <w:t>0930.</w:t>
      </w:r>
      <w:r w:rsidR="004D3FEC" w:rsidRPr="0070069F">
        <w:rPr>
          <w:rFonts w:ascii="Times New Roman" w:hAnsi="Times New Roman"/>
          <w:szCs w:val="20"/>
        </w:rPr>
        <w:t>IDENT_QUALIF</w:t>
      </w:r>
      <w:r w:rsidR="009659A9" w:rsidRPr="0070069F">
        <w:rPr>
          <w:rFonts w:ascii="Times New Roman" w:hAnsi="Times New Roman"/>
          <w:szCs w:val="20"/>
        </w:rPr>
        <w:t xml:space="preserve"> </w:t>
      </w:r>
      <w:r w:rsidR="00931B1F" w:rsidRPr="0070069F">
        <w:rPr>
          <w:rFonts w:ascii="Times New Roman" w:hAnsi="Times New Roman"/>
          <w:szCs w:val="20"/>
        </w:rPr>
        <w:t>seja igual a 900 (Contador ou Contabilista)</w:t>
      </w:r>
      <w:r w:rsidR="0043075A" w:rsidRPr="0070069F">
        <w:rPr>
          <w:rFonts w:ascii="Times New Roman" w:hAnsi="Times New Roman"/>
          <w:szCs w:val="20"/>
        </w:rPr>
        <w:t>, no caso de forma de tributação diferente de imunes/isentas (0010.FORMA_TRIB diferente de “8” ou “9”) ou 0010.TIP_ESC_PRE igual a “C”</w:t>
      </w:r>
      <w:r w:rsidR="00C10ADA" w:rsidRPr="0070069F">
        <w:rPr>
          <w:rFonts w:ascii="Times New Roman" w:hAnsi="Times New Roman"/>
          <w:szCs w:val="20"/>
        </w:rPr>
        <w:t xml:space="preserve"> – Obrigada a entregar a ECD ou entrega facultativa</w:t>
      </w:r>
      <w:r w:rsidR="0043075A" w:rsidRPr="0070069F">
        <w:rPr>
          <w:rFonts w:ascii="Times New Roman" w:hAnsi="Times New Roman"/>
          <w:szCs w:val="20"/>
        </w:rPr>
        <w:t xml:space="preserve">) </w:t>
      </w:r>
      <w:r w:rsidR="00931B1F" w:rsidRPr="0070069F">
        <w:rPr>
          <w:rFonts w:ascii="Times New Roman" w:hAnsi="Times New Roman"/>
          <w:szCs w:val="20"/>
        </w:rPr>
        <w:t xml:space="preserve">e, no mínimo, um registro 0930 cujo </w:t>
      </w:r>
      <w:r w:rsidR="00406F13" w:rsidRPr="0070069F">
        <w:rPr>
          <w:rFonts w:ascii="Times New Roman" w:hAnsi="Times New Roman"/>
          <w:szCs w:val="20"/>
        </w:rPr>
        <w:t>0930.</w:t>
      </w:r>
      <w:r w:rsidR="004D3FEC" w:rsidRPr="0070069F">
        <w:rPr>
          <w:rFonts w:ascii="Times New Roman" w:hAnsi="Times New Roman"/>
          <w:szCs w:val="20"/>
        </w:rPr>
        <w:t>IDENT_QUALIF</w:t>
      </w:r>
      <w:r w:rsidR="009659A9" w:rsidRPr="0070069F">
        <w:rPr>
          <w:rFonts w:ascii="Times New Roman" w:hAnsi="Times New Roman"/>
          <w:szCs w:val="20"/>
        </w:rPr>
        <w:t xml:space="preserve"> </w:t>
      </w:r>
      <w:r w:rsidR="00931B1F" w:rsidRPr="0070069F">
        <w:rPr>
          <w:rFonts w:ascii="Times New Roman" w:hAnsi="Times New Roman"/>
          <w:szCs w:val="20"/>
        </w:rPr>
        <w:t>seja diferen</w:t>
      </w:r>
      <w:bookmarkStart w:id="67" w:name="REQCBF398"/>
      <w:r w:rsidR="00931B1F" w:rsidRPr="0070069F">
        <w:rPr>
          <w:rFonts w:ascii="Times New Roman" w:hAnsi="Times New Roman"/>
          <w:szCs w:val="20"/>
        </w:rPr>
        <w:t>te de 900. Se a regra não for cumprida, o programa da ECF gera um erro.</w:t>
      </w:r>
    </w:p>
    <w:p w:rsidR="00F22CBC" w:rsidRPr="0070069F" w:rsidRDefault="00F22CBC" w:rsidP="0043075A">
      <w:pPr>
        <w:pStyle w:val="Corpodetexto"/>
        <w:rPr>
          <w:rFonts w:ascii="Times New Roman" w:hAnsi="Times New Roman"/>
          <w:szCs w:val="20"/>
        </w:rPr>
      </w:pPr>
    </w:p>
    <w:p w:rsidR="00C10ADA" w:rsidRPr="0070069F" w:rsidRDefault="00C10ADA" w:rsidP="00C10ADA">
      <w:pPr>
        <w:pStyle w:val="Corpodetexto"/>
        <w:ind w:left="708"/>
        <w:rPr>
          <w:rFonts w:ascii="Times New Roman" w:hAnsi="Times New Roman"/>
          <w:szCs w:val="20"/>
          <w:highlight w:val="yellow"/>
        </w:rPr>
      </w:pPr>
      <w:r w:rsidRPr="0070069F">
        <w:rPr>
          <w:rFonts w:ascii="Times New Roman" w:hAnsi="Times New Roman"/>
          <w:b/>
          <w:szCs w:val="20"/>
        </w:rPr>
        <w:t xml:space="preserve">REGRA_OCORRENCIA_0930: </w:t>
      </w:r>
      <w:r w:rsidRPr="0070069F">
        <w:rPr>
          <w:rFonts w:ascii="Times New Roman" w:hAnsi="Times New Roman"/>
          <w:szCs w:val="20"/>
        </w:rPr>
        <w:t>Verifica</w:t>
      </w:r>
      <w:r w:rsidR="008B78F7" w:rsidRPr="0070069F">
        <w:rPr>
          <w:rFonts w:ascii="Times New Roman" w:hAnsi="Times New Roman"/>
          <w:szCs w:val="20"/>
        </w:rPr>
        <w:t xml:space="preserve"> se o registro 0930 possui, no máximo, </w:t>
      </w:r>
      <w:r w:rsidRPr="0070069F">
        <w:rPr>
          <w:rFonts w:ascii="Times New Roman" w:hAnsi="Times New Roman"/>
          <w:szCs w:val="20"/>
        </w:rPr>
        <w:t>duas ocorrências. Se a regra não for cumprida, o programa da ECF gera um erro.</w:t>
      </w:r>
    </w:p>
    <w:p w:rsidR="00C10ADA" w:rsidRPr="00C10ADA" w:rsidRDefault="00C10ADA" w:rsidP="008B78F7">
      <w:pPr>
        <w:pStyle w:val="Corpodetexto"/>
        <w:rPr>
          <w:rFonts w:ascii="Times New Roman" w:hAnsi="Times New Roman"/>
          <w:szCs w:val="20"/>
        </w:rPr>
      </w:pPr>
    </w:p>
    <w:p w:rsidR="00174A9C" w:rsidRDefault="00174A9C">
      <w:pPr>
        <w:spacing w:after="200" w:line="276" w:lineRule="auto"/>
        <w:rPr>
          <w:b/>
          <w:szCs w:val="20"/>
        </w:rPr>
      </w:pPr>
      <w:r>
        <w:br w:type="page"/>
      </w:r>
    </w:p>
    <w:p w:rsidR="00DC6CAC" w:rsidRPr="00FA3856" w:rsidRDefault="00DC6CAC" w:rsidP="002247D6">
      <w:pPr>
        <w:pStyle w:val="PSDS-MarcadoresNivel2"/>
        <w:numPr>
          <w:ilvl w:val="0"/>
          <w:numId w:val="0"/>
        </w:numPr>
        <w:rPr>
          <w:rFonts w:ascii="Times New Roman" w:hAnsi="Times New Roman"/>
        </w:rPr>
      </w:pPr>
      <w:r w:rsidRPr="00FA3856">
        <w:rPr>
          <w:rFonts w:ascii="Times New Roman" w:hAnsi="Times New Roman"/>
        </w:rPr>
        <w:lastRenderedPageBreak/>
        <w:t>II – Regras de Validação dos Campos:</w:t>
      </w:r>
    </w:p>
    <w:p w:rsidR="00DC6CAC" w:rsidRPr="00FA3856" w:rsidRDefault="00DC6CAC" w:rsidP="002247D6">
      <w:pPr>
        <w:pStyle w:val="PSDS-MarcadoresNivel2"/>
        <w:numPr>
          <w:ilvl w:val="0"/>
          <w:numId w:val="0"/>
        </w:numPr>
        <w:rPr>
          <w:rFonts w:ascii="Times New Roman" w:hAnsi="Times New Roman"/>
        </w:rPr>
      </w:pPr>
    </w:p>
    <w:tbl>
      <w:tblPr>
        <w:tblW w:w="16370"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653"/>
        <w:gridCol w:w="1939"/>
        <w:gridCol w:w="13061"/>
        <w:gridCol w:w="717"/>
      </w:tblGrid>
      <w:tr w:rsidR="00E056DC" w:rsidRPr="00FA3856" w:rsidTr="007F6CEC">
        <w:trPr>
          <w:tblHeader/>
          <w:jc w:val="center"/>
        </w:trPr>
        <w:tc>
          <w:tcPr>
            <w:tcW w:w="653" w:type="dxa"/>
            <w:tcBorders>
              <w:top w:val="single" w:sz="6" w:space="0" w:color="auto"/>
              <w:left w:val="single" w:sz="6" w:space="0" w:color="auto"/>
              <w:bottom w:val="single" w:sz="6" w:space="0" w:color="auto"/>
              <w:right w:val="single" w:sz="6" w:space="0" w:color="auto"/>
            </w:tcBorders>
            <w:shd w:val="clear" w:color="auto" w:fill="E6E6E6"/>
            <w:vAlign w:val="center"/>
          </w:tcPr>
          <w:p w:rsidR="00E056DC" w:rsidRPr="00FA3856" w:rsidRDefault="00E056DC" w:rsidP="007F6CEC">
            <w:pPr>
              <w:pStyle w:val="PSDS-CorpodeTexto0"/>
              <w:jc w:val="center"/>
              <w:rPr>
                <w:rFonts w:ascii="Times New Roman" w:hAnsi="Times New Roman"/>
                <w:b/>
                <w:bCs/>
              </w:rPr>
            </w:pPr>
            <w:r w:rsidRPr="00FA3856">
              <w:rPr>
                <w:rFonts w:ascii="Times New Roman" w:hAnsi="Times New Roman"/>
                <w:b/>
                <w:bCs/>
              </w:rPr>
              <w:t>Nº</w:t>
            </w:r>
          </w:p>
        </w:tc>
        <w:tc>
          <w:tcPr>
            <w:tcW w:w="1939" w:type="dxa"/>
            <w:tcBorders>
              <w:top w:val="single" w:sz="6" w:space="0" w:color="auto"/>
              <w:left w:val="single" w:sz="6" w:space="0" w:color="auto"/>
              <w:bottom w:val="single" w:sz="6" w:space="0" w:color="auto"/>
              <w:right w:val="single" w:sz="6" w:space="0" w:color="auto"/>
            </w:tcBorders>
            <w:shd w:val="clear" w:color="auto" w:fill="E6E6E6"/>
            <w:vAlign w:val="center"/>
          </w:tcPr>
          <w:p w:rsidR="00E056DC" w:rsidRPr="00FA3856" w:rsidRDefault="00E056DC" w:rsidP="007F6CEC">
            <w:pPr>
              <w:pStyle w:val="PSDS-CorpodeTexto0"/>
              <w:jc w:val="center"/>
              <w:rPr>
                <w:rFonts w:ascii="Times New Roman" w:hAnsi="Times New Roman"/>
                <w:b/>
                <w:bCs/>
              </w:rPr>
            </w:pPr>
            <w:r w:rsidRPr="00FA3856">
              <w:rPr>
                <w:rFonts w:ascii="Times New Roman" w:hAnsi="Times New Roman"/>
                <w:b/>
                <w:bCs/>
              </w:rPr>
              <w:t>Campo</w:t>
            </w:r>
          </w:p>
        </w:tc>
        <w:tc>
          <w:tcPr>
            <w:tcW w:w="13061" w:type="dxa"/>
            <w:tcBorders>
              <w:top w:val="single" w:sz="6" w:space="0" w:color="auto"/>
              <w:left w:val="single" w:sz="6" w:space="0" w:color="auto"/>
              <w:bottom w:val="single" w:sz="6" w:space="0" w:color="auto"/>
              <w:right w:val="single" w:sz="6" w:space="0" w:color="auto"/>
            </w:tcBorders>
            <w:shd w:val="clear" w:color="auto" w:fill="E6E6E6"/>
            <w:tcMar>
              <w:top w:w="0" w:type="dxa"/>
              <w:left w:w="70" w:type="dxa"/>
              <w:bottom w:w="0" w:type="dxa"/>
              <w:right w:w="70" w:type="dxa"/>
            </w:tcMar>
          </w:tcPr>
          <w:p w:rsidR="00E056DC" w:rsidRPr="00FA3856" w:rsidRDefault="00E056DC" w:rsidP="007F6CEC">
            <w:pPr>
              <w:pStyle w:val="PSDS-CorpodeTexto0"/>
              <w:jc w:val="center"/>
              <w:rPr>
                <w:rFonts w:ascii="Times New Roman" w:hAnsi="Times New Roman"/>
                <w:b/>
                <w:bCs/>
              </w:rPr>
            </w:pPr>
            <w:r w:rsidRPr="00FA3856">
              <w:rPr>
                <w:rFonts w:ascii="Times New Roman" w:hAnsi="Times New Roman"/>
                <w:b/>
                <w:bCs/>
              </w:rPr>
              <w:t>Regras de validação do campo</w:t>
            </w:r>
          </w:p>
        </w:tc>
        <w:tc>
          <w:tcPr>
            <w:tcW w:w="717" w:type="dxa"/>
            <w:tcBorders>
              <w:top w:val="single" w:sz="6" w:space="0" w:color="auto"/>
              <w:left w:val="single" w:sz="6" w:space="0" w:color="auto"/>
              <w:bottom w:val="single" w:sz="6" w:space="0" w:color="auto"/>
              <w:right w:val="single" w:sz="6" w:space="0" w:color="auto"/>
            </w:tcBorders>
            <w:shd w:val="clear" w:color="auto" w:fill="E6E6E6"/>
            <w:vAlign w:val="center"/>
          </w:tcPr>
          <w:p w:rsidR="00E056DC" w:rsidRPr="00FA3856" w:rsidRDefault="00E056DC" w:rsidP="007F6CEC">
            <w:pPr>
              <w:pStyle w:val="PSDS-CorpodeTexto0"/>
              <w:jc w:val="center"/>
              <w:rPr>
                <w:rFonts w:ascii="Times New Roman" w:hAnsi="Times New Roman"/>
                <w:b/>
                <w:bCs/>
              </w:rPr>
            </w:pPr>
            <w:r w:rsidRPr="00FA3856">
              <w:rPr>
                <w:rFonts w:ascii="Times New Roman" w:hAnsi="Times New Roman"/>
                <w:b/>
                <w:bCs/>
              </w:rPr>
              <w:t>Tipo</w:t>
            </w:r>
          </w:p>
        </w:tc>
      </w:tr>
      <w:tr w:rsidR="00E056DC" w:rsidRPr="00FA3856" w:rsidTr="007F6CEC">
        <w:trPr>
          <w:jc w:val="center"/>
        </w:trPr>
        <w:tc>
          <w:tcPr>
            <w:tcW w:w="653" w:type="dxa"/>
            <w:tcBorders>
              <w:top w:val="single" w:sz="6" w:space="0" w:color="auto"/>
              <w:left w:val="single" w:sz="6" w:space="0" w:color="auto"/>
              <w:bottom w:val="single" w:sz="6" w:space="0" w:color="auto"/>
              <w:right w:val="single" w:sz="6" w:space="0" w:color="auto"/>
            </w:tcBorders>
          </w:tcPr>
          <w:p w:rsidR="00E056DC" w:rsidRPr="00FA3856" w:rsidRDefault="00E056DC" w:rsidP="007F6CEC">
            <w:pPr>
              <w:widowControl w:val="0"/>
              <w:shd w:val="clear" w:color="auto" w:fill="FFFFFF"/>
              <w:autoSpaceDE w:val="0"/>
              <w:autoSpaceDN w:val="0"/>
              <w:adjustRightInd w:val="0"/>
              <w:rPr>
                <w:b/>
                <w:szCs w:val="20"/>
                <w:lang w:val="pt-PT"/>
              </w:rPr>
            </w:pPr>
            <w:r w:rsidRPr="00FA3856">
              <w:rPr>
                <w:b/>
                <w:szCs w:val="20"/>
                <w:lang w:val="pt-PT"/>
              </w:rPr>
              <w:t>3</w:t>
            </w:r>
          </w:p>
        </w:tc>
        <w:tc>
          <w:tcPr>
            <w:tcW w:w="1939" w:type="dxa"/>
            <w:tcBorders>
              <w:top w:val="single" w:sz="6" w:space="0" w:color="auto"/>
              <w:left w:val="single" w:sz="6" w:space="0" w:color="auto"/>
              <w:bottom w:val="single" w:sz="6" w:space="0" w:color="auto"/>
              <w:right w:val="single" w:sz="6" w:space="0" w:color="auto"/>
            </w:tcBorders>
          </w:tcPr>
          <w:p w:rsidR="00E056DC" w:rsidRPr="00FA3856" w:rsidRDefault="00E056DC" w:rsidP="007F6CEC">
            <w:pPr>
              <w:shd w:val="clear" w:color="auto" w:fill="FFFFFF"/>
              <w:rPr>
                <w:szCs w:val="20"/>
                <w:lang w:val="pt-PT"/>
              </w:rPr>
            </w:pPr>
            <w:r w:rsidRPr="00FA3856">
              <w:rPr>
                <w:szCs w:val="20"/>
                <w:lang w:val="pt-PT"/>
              </w:rPr>
              <w:t>IDENT_CPF_CNPJ</w:t>
            </w:r>
          </w:p>
        </w:tc>
        <w:tc>
          <w:tcPr>
            <w:tcW w:w="1306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rsidR="00246283" w:rsidRPr="00FA3856" w:rsidRDefault="00246283" w:rsidP="007F6CEC">
            <w:pPr>
              <w:pStyle w:val="Corpodetexto"/>
              <w:spacing w:line="240" w:lineRule="auto"/>
              <w:rPr>
                <w:rFonts w:ascii="Times New Roman" w:hAnsi="Times New Roman"/>
                <w:szCs w:val="20"/>
              </w:rPr>
            </w:pPr>
            <w:r w:rsidRPr="00FA3856">
              <w:rPr>
                <w:rFonts w:ascii="Times New Roman" w:hAnsi="Times New Roman"/>
                <w:b/>
                <w:szCs w:val="20"/>
              </w:rPr>
              <w:t>REGRA_CONTADOR_CPF:</w:t>
            </w:r>
            <w:bookmarkEnd w:id="67"/>
            <w:r w:rsidRPr="00FA3856">
              <w:rPr>
                <w:rFonts w:ascii="Times New Roman" w:hAnsi="Times New Roman"/>
                <w:b/>
                <w:szCs w:val="20"/>
              </w:rPr>
              <w:t xml:space="preserve"> </w:t>
            </w:r>
            <w:r w:rsidR="007F6CEC" w:rsidRPr="00FA3856">
              <w:rPr>
                <w:rFonts w:ascii="Times New Roman" w:hAnsi="Times New Roman"/>
                <w:szCs w:val="20"/>
              </w:rPr>
              <w:t xml:space="preserve">Verifica, quando </w:t>
            </w:r>
            <w:r w:rsidR="009659A9" w:rsidRPr="00FA3856">
              <w:rPr>
                <w:rFonts w:ascii="Times New Roman" w:hAnsi="Times New Roman"/>
                <w:szCs w:val="20"/>
              </w:rPr>
              <w:t xml:space="preserve">0930.IDENT_QUALIF </w:t>
            </w:r>
            <w:r w:rsidR="007F6CEC" w:rsidRPr="00FA3856">
              <w:rPr>
                <w:rFonts w:ascii="Times New Roman" w:hAnsi="Times New Roman"/>
                <w:szCs w:val="20"/>
              </w:rPr>
              <w:t xml:space="preserve">igual a 900 (Contador ou Contabilista), se </w:t>
            </w:r>
            <w:r w:rsidR="009659A9" w:rsidRPr="00FA3856">
              <w:rPr>
                <w:rFonts w:ascii="Times New Roman" w:hAnsi="Times New Roman"/>
                <w:szCs w:val="20"/>
              </w:rPr>
              <w:t xml:space="preserve">0930.IDENT_CPF_CNPJ </w:t>
            </w:r>
            <w:r w:rsidR="007F6CEC" w:rsidRPr="00FA3856">
              <w:rPr>
                <w:rFonts w:ascii="Times New Roman" w:hAnsi="Times New Roman"/>
                <w:szCs w:val="20"/>
              </w:rPr>
              <w:t>possui 11 caracteres.</w:t>
            </w:r>
          </w:p>
          <w:p w:rsidR="007F6CEC" w:rsidRPr="00FA3856" w:rsidRDefault="007F6CEC" w:rsidP="007F6CEC">
            <w:pPr>
              <w:pStyle w:val="Corpodetexto"/>
              <w:spacing w:line="240" w:lineRule="auto"/>
              <w:rPr>
                <w:rFonts w:ascii="Times New Roman" w:hAnsi="Times New Roman"/>
                <w:szCs w:val="20"/>
              </w:rPr>
            </w:pPr>
          </w:p>
          <w:p w:rsidR="00931B1F" w:rsidRPr="00FA3856" w:rsidRDefault="007D0E74" w:rsidP="007F6CEC">
            <w:pPr>
              <w:pStyle w:val="Corpodetexto"/>
              <w:spacing w:line="240" w:lineRule="auto"/>
              <w:rPr>
                <w:rFonts w:ascii="Times New Roman" w:hAnsi="Times New Roman"/>
                <w:szCs w:val="20"/>
              </w:rPr>
            </w:pPr>
            <w:hyperlink w:anchor="REGRA_VALIDA_CPF_CNPJ" w:history="1">
              <w:r w:rsidR="00E056DC" w:rsidRPr="00FA3856">
                <w:rPr>
                  <w:rStyle w:val="Hyperlink"/>
                  <w:rFonts w:ascii="Times New Roman" w:hAnsi="Times New Roman"/>
                  <w:b/>
                  <w:color w:val="auto"/>
                  <w:szCs w:val="20"/>
                </w:rPr>
                <w:t>REGRA_VALIDA_CPF_CNPJ</w:t>
              </w:r>
            </w:hyperlink>
            <w:r w:rsidR="00931B1F" w:rsidRPr="00FA3856">
              <w:rPr>
                <w:rFonts w:ascii="Times New Roman" w:hAnsi="Times New Roman"/>
                <w:b/>
                <w:szCs w:val="20"/>
              </w:rPr>
              <w:t xml:space="preserve">: </w:t>
            </w:r>
            <w:r w:rsidR="00931B1F" w:rsidRPr="00FA3856">
              <w:rPr>
                <w:rFonts w:ascii="Times New Roman" w:hAnsi="Times New Roman"/>
                <w:szCs w:val="20"/>
              </w:rPr>
              <w:t xml:space="preserve">Verifica se a regra de formação do </w:t>
            </w:r>
            <w:r w:rsidR="00406F13" w:rsidRPr="00FA3856">
              <w:rPr>
                <w:rFonts w:ascii="Times New Roman" w:hAnsi="Times New Roman"/>
                <w:szCs w:val="20"/>
              </w:rPr>
              <w:t>0930.</w:t>
            </w:r>
            <w:r w:rsidR="00931B1F" w:rsidRPr="00FA3856">
              <w:rPr>
                <w:rFonts w:ascii="Times New Roman" w:hAnsi="Times New Roman"/>
                <w:szCs w:val="20"/>
                <w:lang w:val="pt-PT"/>
              </w:rPr>
              <w:t>IDENT_CPF_CNPJ</w:t>
            </w:r>
            <w:r w:rsidR="000D1E6A" w:rsidRPr="00FA3856">
              <w:rPr>
                <w:rFonts w:ascii="Times New Roman" w:hAnsi="Times New Roman"/>
                <w:szCs w:val="20"/>
              </w:rPr>
              <w:t xml:space="preserve"> </w:t>
            </w:r>
            <w:r w:rsidR="00931B1F" w:rsidRPr="00FA3856">
              <w:rPr>
                <w:rFonts w:ascii="Times New Roman" w:hAnsi="Times New Roman"/>
                <w:szCs w:val="20"/>
              </w:rPr>
              <w:t>é válida.</w:t>
            </w:r>
          </w:p>
        </w:tc>
        <w:tc>
          <w:tcPr>
            <w:tcW w:w="717" w:type="dxa"/>
            <w:tcBorders>
              <w:top w:val="single" w:sz="6" w:space="0" w:color="auto"/>
              <w:left w:val="single" w:sz="6" w:space="0" w:color="auto"/>
              <w:bottom w:val="single" w:sz="6" w:space="0" w:color="auto"/>
              <w:right w:val="single" w:sz="6" w:space="0" w:color="auto"/>
            </w:tcBorders>
          </w:tcPr>
          <w:p w:rsidR="00E056DC" w:rsidRPr="00FA3856" w:rsidRDefault="00E056DC" w:rsidP="007F6CEC">
            <w:pPr>
              <w:shd w:val="clear" w:color="auto" w:fill="FFFFFF"/>
              <w:rPr>
                <w:szCs w:val="20"/>
                <w:lang w:val="pt-PT"/>
              </w:rPr>
            </w:pPr>
            <w:r w:rsidRPr="00FA3856">
              <w:rPr>
                <w:szCs w:val="20"/>
                <w:lang w:val="pt-PT"/>
              </w:rPr>
              <w:t>Erro</w:t>
            </w:r>
          </w:p>
          <w:p w:rsidR="007F6CEC" w:rsidRPr="00FA3856" w:rsidRDefault="007F6CEC" w:rsidP="007F6CEC">
            <w:pPr>
              <w:shd w:val="clear" w:color="auto" w:fill="FFFFFF"/>
              <w:rPr>
                <w:szCs w:val="20"/>
                <w:lang w:val="pt-PT"/>
              </w:rPr>
            </w:pPr>
          </w:p>
          <w:p w:rsidR="007F6CEC" w:rsidRPr="00FA3856" w:rsidRDefault="007F6CEC" w:rsidP="007F6CEC">
            <w:pPr>
              <w:shd w:val="clear" w:color="auto" w:fill="FFFFFF"/>
              <w:rPr>
                <w:szCs w:val="20"/>
                <w:lang w:val="pt-PT"/>
              </w:rPr>
            </w:pPr>
          </w:p>
          <w:p w:rsidR="007F6CEC" w:rsidRPr="00FA3856" w:rsidRDefault="007F6CEC" w:rsidP="007F6CEC">
            <w:pPr>
              <w:shd w:val="clear" w:color="auto" w:fill="FFFFFF"/>
              <w:rPr>
                <w:szCs w:val="20"/>
                <w:lang w:val="pt-PT"/>
              </w:rPr>
            </w:pPr>
            <w:r w:rsidRPr="00FA3856">
              <w:rPr>
                <w:szCs w:val="20"/>
                <w:lang w:val="pt-PT"/>
              </w:rPr>
              <w:t>Erro</w:t>
            </w:r>
          </w:p>
        </w:tc>
      </w:tr>
      <w:tr w:rsidR="00E056DC" w:rsidRPr="00FA3856" w:rsidTr="007F6CEC">
        <w:trPr>
          <w:jc w:val="center"/>
        </w:trPr>
        <w:tc>
          <w:tcPr>
            <w:tcW w:w="653" w:type="dxa"/>
            <w:tcBorders>
              <w:top w:val="single" w:sz="6" w:space="0" w:color="auto"/>
              <w:left w:val="single" w:sz="6" w:space="0" w:color="auto"/>
              <w:bottom w:val="single" w:sz="6" w:space="0" w:color="auto"/>
              <w:right w:val="single" w:sz="6" w:space="0" w:color="auto"/>
            </w:tcBorders>
          </w:tcPr>
          <w:p w:rsidR="00E056DC" w:rsidRPr="00FA3856" w:rsidRDefault="00406F13" w:rsidP="007F6CEC">
            <w:pPr>
              <w:widowControl w:val="0"/>
              <w:shd w:val="clear" w:color="auto" w:fill="FFFFFF"/>
              <w:autoSpaceDE w:val="0"/>
              <w:autoSpaceDN w:val="0"/>
              <w:adjustRightInd w:val="0"/>
              <w:rPr>
                <w:b/>
                <w:szCs w:val="20"/>
                <w:lang w:val="pt-PT"/>
              </w:rPr>
            </w:pPr>
            <w:r w:rsidRPr="00FA3856">
              <w:rPr>
                <w:b/>
                <w:szCs w:val="20"/>
                <w:lang w:val="pt-PT"/>
              </w:rPr>
              <w:t>5</w:t>
            </w:r>
          </w:p>
        </w:tc>
        <w:tc>
          <w:tcPr>
            <w:tcW w:w="1939" w:type="dxa"/>
            <w:tcBorders>
              <w:top w:val="single" w:sz="6" w:space="0" w:color="auto"/>
              <w:left w:val="single" w:sz="6" w:space="0" w:color="auto"/>
              <w:bottom w:val="single" w:sz="6" w:space="0" w:color="auto"/>
              <w:right w:val="single" w:sz="6" w:space="0" w:color="auto"/>
            </w:tcBorders>
          </w:tcPr>
          <w:p w:rsidR="00E056DC" w:rsidRPr="00FA3856" w:rsidRDefault="00E056DC" w:rsidP="007F6CEC">
            <w:pPr>
              <w:shd w:val="clear" w:color="auto" w:fill="FFFFFF"/>
              <w:rPr>
                <w:szCs w:val="20"/>
                <w:lang w:val="pt-PT"/>
              </w:rPr>
            </w:pPr>
            <w:r w:rsidRPr="00FA3856">
              <w:rPr>
                <w:szCs w:val="20"/>
                <w:lang w:val="pt-PT"/>
              </w:rPr>
              <w:t>IND_CRC</w:t>
            </w:r>
          </w:p>
        </w:tc>
        <w:tc>
          <w:tcPr>
            <w:tcW w:w="1306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rsidR="00E056DC" w:rsidRPr="00FA3856" w:rsidRDefault="007D0E74" w:rsidP="007F6CEC">
            <w:pPr>
              <w:pStyle w:val="Corpodetexto"/>
              <w:spacing w:line="240" w:lineRule="auto"/>
              <w:rPr>
                <w:rFonts w:ascii="Times New Roman" w:hAnsi="Times New Roman"/>
                <w:szCs w:val="20"/>
              </w:rPr>
            </w:pPr>
            <w:hyperlink w:anchor="REGRA_OBRIGATORIO_CONTADOR" w:history="1">
              <w:r w:rsidR="00E056DC" w:rsidRPr="00FA3856">
                <w:rPr>
                  <w:rStyle w:val="Hyperlink"/>
                  <w:rFonts w:ascii="Times New Roman" w:hAnsi="Times New Roman"/>
                  <w:b/>
                  <w:color w:val="auto"/>
                  <w:szCs w:val="20"/>
                  <w:lang w:val="pt-PT"/>
                </w:rPr>
                <w:t>REGRA_OBRIGATORIO_CONTADOR</w:t>
              </w:r>
            </w:hyperlink>
            <w:r w:rsidR="00931B1F" w:rsidRPr="00FA3856">
              <w:rPr>
                <w:rFonts w:ascii="Times New Roman" w:hAnsi="Times New Roman"/>
                <w:b/>
                <w:szCs w:val="20"/>
                <w:lang w:val="pt-PT"/>
              </w:rPr>
              <w:t xml:space="preserve">: </w:t>
            </w:r>
            <w:r w:rsidR="00406F13" w:rsidRPr="00FA3856">
              <w:rPr>
                <w:rFonts w:ascii="Times New Roman" w:hAnsi="Times New Roman"/>
                <w:szCs w:val="20"/>
              </w:rPr>
              <w:t>0930.</w:t>
            </w:r>
            <w:r w:rsidR="00931B1F" w:rsidRPr="00FA3856">
              <w:rPr>
                <w:rFonts w:ascii="Times New Roman" w:hAnsi="Times New Roman"/>
                <w:szCs w:val="20"/>
              </w:rPr>
              <w:t>IND_CRC</w:t>
            </w:r>
            <w:r w:rsidR="000D1E6A" w:rsidRPr="00FA3856">
              <w:rPr>
                <w:rFonts w:ascii="Times New Roman" w:hAnsi="Times New Roman"/>
                <w:szCs w:val="20"/>
              </w:rPr>
              <w:t xml:space="preserve"> </w:t>
            </w:r>
            <w:r w:rsidR="00C60809" w:rsidRPr="00FA3856">
              <w:rPr>
                <w:rFonts w:ascii="Times New Roman" w:hAnsi="Times New Roman"/>
                <w:szCs w:val="20"/>
              </w:rPr>
              <w:t xml:space="preserve">obrigatório quando </w:t>
            </w:r>
            <w:r w:rsidR="000D1E6A" w:rsidRPr="00FA3856">
              <w:rPr>
                <w:rFonts w:ascii="Times New Roman" w:hAnsi="Times New Roman"/>
                <w:szCs w:val="20"/>
              </w:rPr>
              <w:t>0930.</w:t>
            </w:r>
            <w:r w:rsidR="004D3FEC" w:rsidRPr="00FA3856">
              <w:rPr>
                <w:rFonts w:ascii="Times New Roman" w:hAnsi="Times New Roman"/>
                <w:szCs w:val="20"/>
              </w:rPr>
              <w:t xml:space="preserve">IDENT_QUALIF </w:t>
            </w:r>
            <w:r w:rsidR="00931B1F" w:rsidRPr="00FA3856">
              <w:rPr>
                <w:rFonts w:ascii="Times New Roman" w:hAnsi="Times New Roman"/>
                <w:szCs w:val="20"/>
              </w:rPr>
              <w:t>for igual a 900 (Contador ou Contabilista</w:t>
            </w:r>
            <w:r w:rsidR="00C60809" w:rsidRPr="00FA3856">
              <w:rPr>
                <w:rFonts w:ascii="Times New Roman" w:hAnsi="Times New Roman"/>
                <w:szCs w:val="20"/>
              </w:rPr>
              <w:t>).</w:t>
            </w:r>
          </w:p>
          <w:p w:rsidR="000D1E6A" w:rsidRPr="00FA3856" w:rsidRDefault="000D1E6A" w:rsidP="007F6CEC">
            <w:pPr>
              <w:pStyle w:val="Corpodetexto"/>
              <w:spacing w:line="240" w:lineRule="auto"/>
              <w:rPr>
                <w:rFonts w:ascii="Times New Roman" w:hAnsi="Times New Roman"/>
                <w:szCs w:val="20"/>
              </w:rPr>
            </w:pPr>
          </w:p>
        </w:tc>
        <w:tc>
          <w:tcPr>
            <w:tcW w:w="717" w:type="dxa"/>
            <w:tcBorders>
              <w:top w:val="single" w:sz="6" w:space="0" w:color="auto"/>
              <w:left w:val="single" w:sz="6" w:space="0" w:color="auto"/>
              <w:bottom w:val="single" w:sz="6" w:space="0" w:color="auto"/>
              <w:right w:val="single" w:sz="6" w:space="0" w:color="auto"/>
            </w:tcBorders>
          </w:tcPr>
          <w:p w:rsidR="00E056DC" w:rsidRPr="00FA3856" w:rsidRDefault="00E056DC" w:rsidP="007F6CEC">
            <w:pPr>
              <w:shd w:val="clear" w:color="auto" w:fill="FFFFFF"/>
              <w:rPr>
                <w:szCs w:val="20"/>
                <w:lang w:val="pt-PT"/>
              </w:rPr>
            </w:pPr>
            <w:r w:rsidRPr="00FA3856">
              <w:rPr>
                <w:szCs w:val="20"/>
                <w:lang w:val="pt-PT"/>
              </w:rPr>
              <w:t>Erro</w:t>
            </w:r>
          </w:p>
        </w:tc>
      </w:tr>
    </w:tbl>
    <w:p w:rsidR="00246283" w:rsidRPr="00FA3856" w:rsidRDefault="00246283" w:rsidP="00246283">
      <w:pPr>
        <w:pStyle w:val="PSDS-MarcadoresNivel3"/>
        <w:tabs>
          <w:tab w:val="clear" w:pos="1440"/>
        </w:tabs>
        <w:spacing w:before="0" w:after="0"/>
        <w:rPr>
          <w:rFonts w:ascii="Times New Roman" w:hAnsi="Times New Roman" w:cs="Times New Roman"/>
          <w:color w:val="0000FF"/>
          <w:szCs w:val="20"/>
        </w:rPr>
      </w:pPr>
    </w:p>
    <w:p w:rsidR="00342F1D" w:rsidRDefault="00246283" w:rsidP="007F6CEC">
      <w:pPr>
        <w:pStyle w:val="Corpodetexto"/>
        <w:rPr>
          <w:rFonts w:ascii="Times New Roman" w:hAnsi="Times New Roman"/>
          <w:b/>
          <w:color w:val="002060"/>
          <w:szCs w:val="20"/>
        </w:rPr>
      </w:pPr>
      <w:r w:rsidRPr="00FA3856">
        <w:rPr>
          <w:rFonts w:ascii="Times New Roman" w:hAnsi="Times New Roman"/>
          <w:b/>
          <w:color w:val="002060"/>
          <w:szCs w:val="20"/>
        </w:rPr>
        <w:t xml:space="preserve">Exemplo de Preenchimento: </w:t>
      </w:r>
    </w:p>
    <w:p w:rsidR="00342F1D" w:rsidRDefault="00342F1D" w:rsidP="007F6CEC">
      <w:pPr>
        <w:pStyle w:val="Corpodetexto"/>
        <w:rPr>
          <w:rFonts w:ascii="Times New Roman" w:hAnsi="Times New Roman"/>
          <w:b/>
          <w:color w:val="002060"/>
          <w:szCs w:val="20"/>
        </w:rPr>
      </w:pPr>
    </w:p>
    <w:p w:rsidR="007F6CEC" w:rsidRPr="00FA3856" w:rsidRDefault="00246283" w:rsidP="007F6CEC">
      <w:pPr>
        <w:pStyle w:val="Corpodetexto"/>
        <w:rPr>
          <w:rFonts w:ascii="Times New Roman" w:hAnsi="Times New Roman"/>
          <w:b/>
          <w:color w:val="002060"/>
          <w:szCs w:val="20"/>
        </w:rPr>
      </w:pPr>
      <w:r w:rsidRPr="00FA3856">
        <w:rPr>
          <w:rFonts w:ascii="Times New Roman" w:hAnsi="Times New Roman"/>
          <w:b/>
          <w:color w:val="002060"/>
          <w:szCs w:val="20"/>
        </w:rPr>
        <w:t>|0930|</w:t>
      </w:r>
      <w:r w:rsidR="007F6CEC" w:rsidRPr="00FA3856">
        <w:rPr>
          <w:rFonts w:ascii="Times New Roman" w:hAnsi="Times New Roman"/>
          <w:b/>
          <w:color w:val="002060"/>
          <w:szCs w:val="20"/>
        </w:rPr>
        <w:t>FULA</w:t>
      </w:r>
      <w:r w:rsidR="00406F13" w:rsidRPr="00FA3856">
        <w:rPr>
          <w:rFonts w:ascii="Times New Roman" w:hAnsi="Times New Roman"/>
          <w:b/>
          <w:color w:val="002060"/>
          <w:szCs w:val="20"/>
        </w:rPr>
        <w:t>NO BELTRANO|12345678900</w:t>
      </w:r>
      <w:r w:rsidR="007F6CEC" w:rsidRPr="00FA3856">
        <w:rPr>
          <w:rFonts w:ascii="Times New Roman" w:hAnsi="Times New Roman"/>
          <w:b/>
          <w:color w:val="002060"/>
          <w:szCs w:val="20"/>
        </w:rPr>
        <w:t>|900|1SP123456|fulanobeltrano@email.com|61333344444|</w:t>
      </w:r>
    </w:p>
    <w:p w:rsidR="00246283" w:rsidRPr="00FA3856" w:rsidRDefault="008962FD" w:rsidP="007F6CEC">
      <w:pPr>
        <w:pStyle w:val="Corpodetexto"/>
        <w:ind w:firstLine="708"/>
        <w:rPr>
          <w:rFonts w:ascii="Times New Roman" w:hAnsi="Times New Roman"/>
          <w:color w:val="002060"/>
          <w:szCs w:val="20"/>
        </w:rPr>
      </w:pPr>
      <w:r w:rsidRPr="00FA3856">
        <w:rPr>
          <w:rFonts w:ascii="Times New Roman" w:hAnsi="Times New Roman"/>
          <w:color w:val="002060"/>
          <w:szCs w:val="20"/>
        </w:rPr>
        <w:t>|0930</w:t>
      </w:r>
      <w:r w:rsidR="00246283" w:rsidRPr="00FA3856">
        <w:rPr>
          <w:rFonts w:ascii="Times New Roman" w:hAnsi="Times New Roman"/>
          <w:color w:val="002060"/>
          <w:szCs w:val="20"/>
        </w:rPr>
        <w:t>|: Identificação do tipo do registro.</w:t>
      </w:r>
    </w:p>
    <w:p w:rsidR="007F6CEC" w:rsidRPr="00FA3856" w:rsidRDefault="007F6CEC" w:rsidP="007F6CEC">
      <w:pPr>
        <w:pStyle w:val="Corpodetexto"/>
        <w:ind w:firstLine="708"/>
        <w:rPr>
          <w:rFonts w:ascii="Times New Roman" w:hAnsi="Times New Roman"/>
          <w:color w:val="002060"/>
          <w:szCs w:val="20"/>
        </w:rPr>
      </w:pPr>
      <w:r w:rsidRPr="00FA3856">
        <w:rPr>
          <w:rFonts w:ascii="Times New Roman" w:hAnsi="Times New Roman"/>
          <w:color w:val="002060"/>
          <w:szCs w:val="20"/>
        </w:rPr>
        <w:t>|FULANO BELTRANO</w:t>
      </w:r>
      <w:r w:rsidR="008962FD" w:rsidRPr="00FA3856">
        <w:rPr>
          <w:rFonts w:ascii="Times New Roman" w:hAnsi="Times New Roman"/>
          <w:color w:val="002060"/>
          <w:szCs w:val="20"/>
        </w:rPr>
        <w:t>|</w:t>
      </w:r>
      <w:r w:rsidRPr="00FA3856">
        <w:rPr>
          <w:rFonts w:ascii="Times New Roman" w:hAnsi="Times New Roman"/>
          <w:color w:val="002060"/>
          <w:szCs w:val="20"/>
        </w:rPr>
        <w:t>: Nome do Signatário.</w:t>
      </w:r>
    </w:p>
    <w:p w:rsidR="007F6CEC" w:rsidRPr="00FA3856" w:rsidRDefault="007F6CEC" w:rsidP="007F6CEC">
      <w:pPr>
        <w:pStyle w:val="Corpodetexto"/>
        <w:ind w:firstLine="708"/>
        <w:rPr>
          <w:rFonts w:ascii="Times New Roman" w:hAnsi="Times New Roman"/>
          <w:color w:val="002060"/>
          <w:szCs w:val="20"/>
        </w:rPr>
      </w:pPr>
      <w:r w:rsidRPr="00FA3856">
        <w:rPr>
          <w:rFonts w:ascii="Times New Roman" w:hAnsi="Times New Roman"/>
          <w:color w:val="002060"/>
          <w:szCs w:val="20"/>
        </w:rPr>
        <w:t>|12345678900|: CPF (123.456.789-00).</w:t>
      </w:r>
    </w:p>
    <w:p w:rsidR="007F6CEC" w:rsidRPr="00FA3856" w:rsidRDefault="007F6CEC" w:rsidP="007F6CEC">
      <w:pPr>
        <w:pStyle w:val="Corpodetexto"/>
        <w:ind w:firstLine="708"/>
        <w:rPr>
          <w:rFonts w:ascii="Times New Roman" w:hAnsi="Times New Roman"/>
          <w:color w:val="002060"/>
          <w:szCs w:val="20"/>
        </w:rPr>
      </w:pPr>
      <w:r w:rsidRPr="00FA3856">
        <w:rPr>
          <w:rFonts w:ascii="Times New Roman" w:hAnsi="Times New Roman"/>
          <w:color w:val="002060"/>
          <w:szCs w:val="20"/>
        </w:rPr>
        <w:t xml:space="preserve">|900|: Código de Qualificação do Assinante (900 = Contador). </w:t>
      </w:r>
    </w:p>
    <w:p w:rsidR="007F6CEC" w:rsidRPr="00FA3856" w:rsidRDefault="007F6CEC" w:rsidP="007F6CEC">
      <w:pPr>
        <w:pStyle w:val="Corpodetexto"/>
        <w:ind w:firstLine="708"/>
        <w:rPr>
          <w:rFonts w:ascii="Times New Roman" w:hAnsi="Times New Roman"/>
          <w:color w:val="002060"/>
          <w:szCs w:val="20"/>
        </w:rPr>
      </w:pPr>
      <w:r w:rsidRPr="00FA3856">
        <w:rPr>
          <w:rFonts w:ascii="Times New Roman" w:hAnsi="Times New Roman"/>
          <w:color w:val="002060"/>
          <w:szCs w:val="20"/>
        </w:rPr>
        <w:t>|1SP123456|: Número de Inscrição do Contabilista no Conselho Regional de Contabilidade.</w:t>
      </w:r>
    </w:p>
    <w:p w:rsidR="007F6CEC" w:rsidRPr="00FA3856" w:rsidRDefault="007D0E74" w:rsidP="007F6CEC">
      <w:pPr>
        <w:pStyle w:val="Corpodetexto"/>
        <w:ind w:firstLine="708"/>
        <w:rPr>
          <w:rFonts w:ascii="Times New Roman" w:hAnsi="Times New Roman"/>
          <w:color w:val="002060"/>
          <w:szCs w:val="20"/>
        </w:rPr>
      </w:pPr>
      <w:hyperlink r:id="rId128" w:history="1">
        <w:r w:rsidR="007F6CEC" w:rsidRPr="00FA3856">
          <w:rPr>
            <w:rStyle w:val="Hyperlink"/>
            <w:rFonts w:ascii="Times New Roman" w:hAnsi="Times New Roman"/>
            <w:szCs w:val="20"/>
          </w:rPr>
          <w:t>|fulanobeltrano@email.com|</w:t>
        </w:r>
      </w:hyperlink>
      <w:r w:rsidR="007F6CEC" w:rsidRPr="00FA3856">
        <w:rPr>
          <w:rFonts w:ascii="Times New Roman" w:hAnsi="Times New Roman"/>
          <w:color w:val="002060"/>
          <w:szCs w:val="20"/>
        </w:rPr>
        <w:t>: Email do signatário.</w:t>
      </w:r>
    </w:p>
    <w:p w:rsidR="007F6CEC" w:rsidRPr="00FA3856" w:rsidRDefault="007F6CEC" w:rsidP="007F6CEC">
      <w:pPr>
        <w:pStyle w:val="Corpodetexto"/>
        <w:ind w:firstLine="708"/>
        <w:rPr>
          <w:rFonts w:ascii="Times New Roman" w:hAnsi="Times New Roman"/>
          <w:color w:val="002060"/>
          <w:szCs w:val="20"/>
        </w:rPr>
      </w:pPr>
      <w:r w:rsidRPr="00FA3856">
        <w:rPr>
          <w:rFonts w:ascii="Times New Roman" w:hAnsi="Times New Roman"/>
          <w:color w:val="002060"/>
          <w:szCs w:val="20"/>
        </w:rPr>
        <w:t>|6133334444|: DDD com telefone do signatário (61-3333-4444).</w:t>
      </w:r>
    </w:p>
    <w:p w:rsidR="00DD15D0" w:rsidRPr="00FA3856" w:rsidRDefault="00DD15D0">
      <w:pPr>
        <w:spacing w:after="200" w:line="276" w:lineRule="auto"/>
        <w:rPr>
          <w:b/>
          <w:bCs/>
          <w:color w:val="0000FF"/>
          <w:szCs w:val="20"/>
        </w:rPr>
      </w:pPr>
      <w:r w:rsidRPr="00FA3856">
        <w:rPr>
          <w:color w:val="0000FF"/>
          <w:szCs w:val="20"/>
        </w:rPr>
        <w:br w:type="page"/>
      </w:r>
    </w:p>
    <w:p w:rsidR="00DC6CAC" w:rsidRPr="00FA3856" w:rsidRDefault="00DC6CAC" w:rsidP="00867F54">
      <w:pPr>
        <w:pStyle w:val="Ttulo4"/>
      </w:pPr>
      <w:bookmarkStart w:id="68" w:name="_Toc479713675"/>
      <w:r w:rsidRPr="00FA3856">
        <w:lastRenderedPageBreak/>
        <w:t>Registro 0990: Encerramento do Bloco 0</w:t>
      </w:r>
      <w:bookmarkEnd w:id="68"/>
    </w:p>
    <w:p w:rsidR="007F6CEC" w:rsidRDefault="007F6CEC" w:rsidP="007F6CEC">
      <w:pPr>
        <w:pStyle w:val="Corpodetexto"/>
        <w:rPr>
          <w:rFonts w:ascii="Times New Roman" w:hAnsi="Times New Roman"/>
          <w:b/>
          <w:color w:val="002060"/>
          <w:szCs w:val="20"/>
        </w:rPr>
      </w:pPr>
    </w:p>
    <w:p w:rsidR="00B30DC8" w:rsidRPr="00FA3856" w:rsidRDefault="00B35FA3" w:rsidP="00B30DC8">
      <w:pPr>
        <w:pStyle w:val="Corpodetexto"/>
        <w:jc w:val="center"/>
        <w:rPr>
          <w:rFonts w:ascii="Times New Roman" w:hAnsi="Times New Roman"/>
          <w:b/>
          <w:color w:val="002060"/>
          <w:szCs w:val="20"/>
        </w:rPr>
      </w:pPr>
      <w:r>
        <w:rPr>
          <w:rFonts w:ascii="Times New Roman" w:hAnsi="Times New Roman"/>
          <w:b/>
          <w:color w:val="002060"/>
          <w:szCs w:val="20"/>
        </w:rPr>
        <w:object w:dxaOrig="14250" w:dyaOrig="2175">
          <v:shape id="_x0000_i1582" type="#_x0000_t75" style="width:712.5pt;height:107.25pt" o:ole="">
            <v:imagedata r:id="rId129" o:title=""/>
          </v:shape>
          <o:OLEObject Type="Link" ProgID="Excel.Sheet.12" ShapeID="_x0000_i1582" DrawAspect="Content" r:id="rId130" UpdateMode="Always">
            <o:LinkType>EnhancedMetaFile</o:LinkType>
            <o:LockedField>false</o:LockedField>
          </o:OLEObject>
        </w:object>
      </w:r>
    </w:p>
    <w:p w:rsidR="00B30DC8" w:rsidRDefault="00B30DC8" w:rsidP="007F6CEC">
      <w:pPr>
        <w:pStyle w:val="Corpodetexto"/>
        <w:rPr>
          <w:rFonts w:ascii="Times New Roman" w:hAnsi="Times New Roman"/>
          <w:b/>
          <w:color w:val="002060"/>
          <w:szCs w:val="20"/>
        </w:rPr>
      </w:pPr>
    </w:p>
    <w:p w:rsidR="00342F1D" w:rsidRDefault="007F6CEC" w:rsidP="007F6CEC">
      <w:pPr>
        <w:pStyle w:val="Corpodetexto"/>
        <w:rPr>
          <w:rFonts w:ascii="Times New Roman" w:hAnsi="Times New Roman"/>
          <w:b/>
          <w:color w:val="002060"/>
          <w:szCs w:val="20"/>
        </w:rPr>
      </w:pPr>
      <w:r w:rsidRPr="00FA3856">
        <w:rPr>
          <w:rFonts w:ascii="Times New Roman" w:hAnsi="Times New Roman"/>
          <w:b/>
          <w:color w:val="002060"/>
          <w:szCs w:val="20"/>
        </w:rPr>
        <w:t>Exe</w:t>
      </w:r>
      <w:r w:rsidR="00406F13" w:rsidRPr="00FA3856">
        <w:rPr>
          <w:rFonts w:ascii="Times New Roman" w:hAnsi="Times New Roman"/>
          <w:b/>
          <w:color w:val="002060"/>
          <w:szCs w:val="20"/>
        </w:rPr>
        <w:t xml:space="preserve">mplo de Preenchimento: </w:t>
      </w:r>
    </w:p>
    <w:p w:rsidR="00342F1D" w:rsidRDefault="00342F1D" w:rsidP="007F6CEC">
      <w:pPr>
        <w:pStyle w:val="Corpodetexto"/>
        <w:rPr>
          <w:rFonts w:ascii="Times New Roman" w:hAnsi="Times New Roman"/>
          <w:b/>
          <w:color w:val="002060"/>
          <w:szCs w:val="20"/>
        </w:rPr>
      </w:pPr>
    </w:p>
    <w:p w:rsidR="007F6CEC" w:rsidRPr="00FA3856" w:rsidRDefault="00406F13" w:rsidP="007F6CEC">
      <w:pPr>
        <w:pStyle w:val="Corpodetexto"/>
        <w:rPr>
          <w:rFonts w:ascii="Times New Roman" w:hAnsi="Times New Roman"/>
          <w:b/>
          <w:color w:val="002060"/>
          <w:szCs w:val="20"/>
        </w:rPr>
      </w:pPr>
      <w:r w:rsidRPr="00FA3856">
        <w:rPr>
          <w:rFonts w:ascii="Times New Roman" w:hAnsi="Times New Roman"/>
          <w:b/>
          <w:color w:val="002060"/>
          <w:szCs w:val="20"/>
        </w:rPr>
        <w:t>|0990|5</w:t>
      </w:r>
      <w:r w:rsidR="007F6CEC" w:rsidRPr="00FA3856">
        <w:rPr>
          <w:rFonts w:ascii="Times New Roman" w:hAnsi="Times New Roman"/>
          <w:b/>
          <w:color w:val="002060"/>
          <w:szCs w:val="20"/>
        </w:rPr>
        <w:t>0|</w:t>
      </w:r>
    </w:p>
    <w:p w:rsidR="007F6CEC" w:rsidRPr="00FA3856" w:rsidRDefault="007F6CEC" w:rsidP="007F6CEC">
      <w:pPr>
        <w:pStyle w:val="Corpodetexto"/>
        <w:ind w:firstLine="708"/>
        <w:rPr>
          <w:rFonts w:ascii="Times New Roman" w:hAnsi="Times New Roman"/>
          <w:color w:val="002060"/>
          <w:szCs w:val="20"/>
        </w:rPr>
      </w:pPr>
      <w:r w:rsidRPr="00FA3856">
        <w:rPr>
          <w:rFonts w:ascii="Times New Roman" w:hAnsi="Times New Roman"/>
          <w:color w:val="002060"/>
          <w:szCs w:val="20"/>
        </w:rPr>
        <w:t>|0990|: Identificação do tipo do registro.</w:t>
      </w:r>
    </w:p>
    <w:p w:rsidR="007F6CEC" w:rsidRPr="00FA3856" w:rsidRDefault="007F6CEC" w:rsidP="007F6CEC">
      <w:pPr>
        <w:pStyle w:val="Corpodetexto"/>
        <w:ind w:firstLine="708"/>
        <w:rPr>
          <w:rFonts w:ascii="Times New Roman" w:hAnsi="Times New Roman"/>
          <w:color w:val="002060"/>
          <w:szCs w:val="20"/>
        </w:rPr>
      </w:pPr>
      <w:r w:rsidRPr="00FA3856">
        <w:rPr>
          <w:rFonts w:ascii="Times New Roman" w:hAnsi="Times New Roman"/>
          <w:color w:val="002060"/>
          <w:szCs w:val="20"/>
        </w:rPr>
        <w:t>|50|: A quantidade total de registros do Bloco 0 é 50 (cinquenta registros).</w:t>
      </w:r>
    </w:p>
    <w:p w:rsidR="00C60809" w:rsidRPr="00FA3856" w:rsidRDefault="00C60809" w:rsidP="00DA00FB">
      <w:pPr>
        <w:pStyle w:val="PSDS-MarcadoresNivel2"/>
        <w:numPr>
          <w:ilvl w:val="0"/>
          <w:numId w:val="0"/>
        </w:numPr>
        <w:rPr>
          <w:rFonts w:ascii="Times New Roman" w:hAnsi="Times New Roman"/>
        </w:rPr>
      </w:pPr>
    </w:p>
    <w:p w:rsidR="00A27185" w:rsidRPr="00FA3856" w:rsidRDefault="00A27185">
      <w:pPr>
        <w:rPr>
          <w:b/>
          <w:bCs/>
          <w:color w:val="0000FF"/>
          <w:szCs w:val="20"/>
        </w:rPr>
      </w:pPr>
      <w:r w:rsidRPr="00FA3856">
        <w:rPr>
          <w:color w:val="0000FF"/>
          <w:szCs w:val="20"/>
        </w:rPr>
        <w:br w:type="page"/>
      </w:r>
    </w:p>
    <w:p w:rsidR="00C60809" w:rsidRPr="00FA3856" w:rsidRDefault="00C60809" w:rsidP="00867F54">
      <w:pPr>
        <w:pStyle w:val="Ttulo3"/>
      </w:pPr>
      <w:bookmarkStart w:id="69" w:name="_Toc479713676"/>
      <w:r w:rsidRPr="00FA3856">
        <w:lastRenderedPageBreak/>
        <w:t>Bloco C: Informações Recuperadas da ECD</w:t>
      </w:r>
      <w:bookmarkEnd w:id="69"/>
    </w:p>
    <w:p w:rsidR="00C60809" w:rsidRPr="00FA3856" w:rsidRDefault="00C60809" w:rsidP="00DA00FB">
      <w:pPr>
        <w:pStyle w:val="PSDS-MarcadoresNivel3"/>
        <w:tabs>
          <w:tab w:val="clear" w:pos="1440"/>
        </w:tabs>
        <w:spacing w:before="0" w:after="0"/>
        <w:ind w:left="720" w:firstLine="0"/>
        <w:rPr>
          <w:rFonts w:ascii="Times New Roman" w:hAnsi="Times New Roman" w:cs="Times New Roman"/>
          <w:szCs w:val="20"/>
        </w:rPr>
      </w:pPr>
    </w:p>
    <w:p w:rsidR="00DA00FB" w:rsidRPr="00FA3856" w:rsidRDefault="00DA00FB" w:rsidP="00D00827">
      <w:pPr>
        <w:pStyle w:val="PSDS-MarcadoresNivel2"/>
        <w:numPr>
          <w:ilvl w:val="0"/>
          <w:numId w:val="0"/>
        </w:numPr>
        <w:ind w:firstLine="708"/>
        <w:rPr>
          <w:rFonts w:ascii="Times New Roman" w:hAnsi="Times New Roman"/>
          <w:b w:val="0"/>
        </w:rPr>
      </w:pPr>
      <w:r w:rsidRPr="00FA3856">
        <w:rPr>
          <w:rFonts w:ascii="Times New Roman" w:hAnsi="Times New Roman"/>
          <w:b w:val="0"/>
        </w:rPr>
        <w:t xml:space="preserve">O bloco C não é preenchido pela empresa. O sistema preencherá o bloco C no momento da recuperação das </w:t>
      </w:r>
      <w:r w:rsidR="007F6CEC" w:rsidRPr="00FA3856">
        <w:rPr>
          <w:rFonts w:ascii="Times New Roman" w:hAnsi="Times New Roman"/>
          <w:b w:val="0"/>
        </w:rPr>
        <w:t>Escriturações Contábeis Digitais (</w:t>
      </w:r>
      <w:r w:rsidRPr="00FA3856">
        <w:rPr>
          <w:rFonts w:ascii="Times New Roman" w:hAnsi="Times New Roman"/>
          <w:b w:val="0"/>
        </w:rPr>
        <w:t>ECD</w:t>
      </w:r>
      <w:r w:rsidR="007F6CEC" w:rsidRPr="00FA3856">
        <w:rPr>
          <w:rFonts w:ascii="Times New Roman" w:hAnsi="Times New Roman"/>
          <w:b w:val="0"/>
        </w:rPr>
        <w:t>)</w:t>
      </w:r>
      <w:r w:rsidR="00406F13" w:rsidRPr="00FA3856">
        <w:rPr>
          <w:rFonts w:ascii="Times New Roman" w:hAnsi="Times New Roman"/>
          <w:b w:val="0"/>
        </w:rPr>
        <w:t>. S</w:t>
      </w:r>
      <w:r w:rsidR="00D00827" w:rsidRPr="00FA3856">
        <w:rPr>
          <w:rFonts w:ascii="Times New Roman" w:hAnsi="Times New Roman"/>
          <w:b w:val="0"/>
        </w:rPr>
        <w:t xml:space="preserve">omente poderão ser recuperadas as ECD do tipo </w:t>
      </w:r>
      <w:r w:rsidR="00A11F39" w:rsidRPr="00FA3856">
        <w:rPr>
          <w:rFonts w:ascii="Times New Roman" w:hAnsi="Times New Roman"/>
          <w:b w:val="0"/>
        </w:rPr>
        <w:t>“</w:t>
      </w:r>
      <w:r w:rsidR="00D00827" w:rsidRPr="00FA3856">
        <w:rPr>
          <w:rFonts w:ascii="Times New Roman" w:hAnsi="Times New Roman"/>
          <w:b w:val="0"/>
        </w:rPr>
        <w:t>G</w:t>
      </w:r>
      <w:r w:rsidR="00A11F39" w:rsidRPr="00FA3856">
        <w:rPr>
          <w:rFonts w:ascii="Times New Roman" w:hAnsi="Times New Roman"/>
          <w:b w:val="0"/>
        </w:rPr>
        <w:t>”</w:t>
      </w:r>
      <w:r w:rsidR="00D00827" w:rsidRPr="00FA3856">
        <w:rPr>
          <w:rFonts w:ascii="Times New Roman" w:hAnsi="Times New Roman"/>
          <w:b w:val="0"/>
        </w:rPr>
        <w:t>,</w:t>
      </w:r>
      <w:r w:rsidR="00A11F39" w:rsidRPr="00FA3856">
        <w:rPr>
          <w:rFonts w:ascii="Times New Roman" w:hAnsi="Times New Roman"/>
          <w:b w:val="0"/>
        </w:rPr>
        <w:t>”</w:t>
      </w:r>
      <w:r w:rsidR="00D00827" w:rsidRPr="00FA3856">
        <w:rPr>
          <w:rFonts w:ascii="Times New Roman" w:hAnsi="Times New Roman"/>
          <w:b w:val="0"/>
        </w:rPr>
        <w:t xml:space="preserve"> R</w:t>
      </w:r>
      <w:r w:rsidR="008C554E">
        <w:rPr>
          <w:rFonts w:ascii="Times New Roman" w:hAnsi="Times New Roman"/>
          <w:b w:val="0"/>
        </w:rPr>
        <w:t>” ou</w:t>
      </w:r>
      <w:r w:rsidR="00A11F39" w:rsidRPr="00FA3856">
        <w:rPr>
          <w:rFonts w:ascii="Times New Roman" w:hAnsi="Times New Roman"/>
          <w:b w:val="0"/>
        </w:rPr>
        <w:t xml:space="preserve"> “B”</w:t>
      </w:r>
      <w:r w:rsidR="00D00827" w:rsidRPr="00FA3856">
        <w:rPr>
          <w:rFonts w:ascii="Times New Roman" w:hAnsi="Times New Roman"/>
          <w:b w:val="0"/>
        </w:rPr>
        <w:t>.</w:t>
      </w:r>
    </w:p>
    <w:p w:rsidR="00211B2D" w:rsidRPr="00FA3856" w:rsidRDefault="00211B2D" w:rsidP="00D00827">
      <w:pPr>
        <w:pStyle w:val="PSDS-MarcadoresNivel2"/>
        <w:numPr>
          <w:ilvl w:val="0"/>
          <w:numId w:val="0"/>
        </w:numPr>
        <w:ind w:firstLine="708"/>
        <w:rPr>
          <w:rFonts w:ascii="Times New Roman" w:hAnsi="Times New Roman"/>
          <w:b w:val="0"/>
        </w:rPr>
      </w:pPr>
    </w:p>
    <w:p w:rsidR="00211B2D" w:rsidRPr="00FA3856" w:rsidRDefault="00211B2D" w:rsidP="00211B2D">
      <w:pPr>
        <w:pStyle w:val="PSDS-MarcadoresNivel2"/>
        <w:numPr>
          <w:ilvl w:val="0"/>
          <w:numId w:val="0"/>
        </w:numPr>
        <w:ind w:firstLine="708"/>
        <w:rPr>
          <w:rFonts w:ascii="Times New Roman" w:hAnsi="Times New Roman"/>
          <w:b w:val="0"/>
        </w:rPr>
      </w:pPr>
      <w:r w:rsidRPr="00FA3856">
        <w:rPr>
          <w:rFonts w:ascii="Times New Roman" w:hAnsi="Times New Roman"/>
          <w:b w:val="0"/>
        </w:rPr>
        <w:t>G - Livro Diário (Completo sem escrituração auxiliar).</w:t>
      </w:r>
    </w:p>
    <w:p w:rsidR="00211B2D" w:rsidRPr="00FA3856" w:rsidRDefault="00211B2D" w:rsidP="00211B2D">
      <w:pPr>
        <w:pStyle w:val="PSDS-MarcadoresNivel2"/>
        <w:numPr>
          <w:ilvl w:val="0"/>
          <w:numId w:val="0"/>
        </w:numPr>
        <w:ind w:firstLine="708"/>
        <w:rPr>
          <w:rFonts w:ascii="Times New Roman" w:hAnsi="Times New Roman"/>
          <w:b w:val="0"/>
        </w:rPr>
      </w:pPr>
      <w:r w:rsidRPr="00FA3856">
        <w:rPr>
          <w:rFonts w:ascii="Times New Roman" w:hAnsi="Times New Roman"/>
          <w:b w:val="0"/>
        </w:rPr>
        <w:t>R - Livro Diário com Escrituração Resumida (Com escrituração auxiliar).</w:t>
      </w:r>
    </w:p>
    <w:p w:rsidR="00211B2D" w:rsidRPr="00FA3856" w:rsidRDefault="00211B2D" w:rsidP="00211B2D">
      <w:pPr>
        <w:pStyle w:val="PSDS-MarcadoresNivel2"/>
        <w:numPr>
          <w:ilvl w:val="0"/>
          <w:numId w:val="0"/>
        </w:numPr>
        <w:ind w:firstLine="708"/>
        <w:rPr>
          <w:rFonts w:ascii="Times New Roman" w:hAnsi="Times New Roman"/>
          <w:b w:val="0"/>
        </w:rPr>
      </w:pPr>
      <w:r w:rsidRPr="00FA3856">
        <w:rPr>
          <w:rFonts w:ascii="Times New Roman" w:hAnsi="Times New Roman"/>
          <w:b w:val="0"/>
        </w:rPr>
        <w:t>B - Livro Balancetes Diários e Balanços.</w:t>
      </w:r>
    </w:p>
    <w:p w:rsidR="00DA00FB" w:rsidRPr="00FA3856" w:rsidRDefault="00DA00FB" w:rsidP="00DA00FB">
      <w:pPr>
        <w:pStyle w:val="PSDS-MarcadoresNivel3"/>
        <w:tabs>
          <w:tab w:val="clear" w:pos="1440"/>
        </w:tabs>
        <w:spacing w:before="0" w:after="0"/>
        <w:ind w:left="720" w:firstLine="0"/>
        <w:rPr>
          <w:rFonts w:ascii="Times New Roman" w:hAnsi="Times New Roman" w:cs="Times New Roman"/>
          <w:szCs w:val="20"/>
        </w:rPr>
      </w:pPr>
    </w:p>
    <w:p w:rsidR="00C60809" w:rsidRPr="00FA3856" w:rsidRDefault="00C60809" w:rsidP="00867F54">
      <w:pPr>
        <w:pStyle w:val="Ttulo4"/>
      </w:pPr>
      <w:bookmarkStart w:id="70" w:name="_Toc479713677"/>
      <w:r w:rsidRPr="00FA3856">
        <w:t>Registro C001: Abertura do Bloco C</w:t>
      </w:r>
      <w:bookmarkEnd w:id="70"/>
    </w:p>
    <w:p w:rsidR="00A27185" w:rsidRDefault="00A27185" w:rsidP="00FD75ED">
      <w:pPr>
        <w:pStyle w:val="PSDS-MarcadoresNivel2"/>
        <w:numPr>
          <w:ilvl w:val="0"/>
          <w:numId w:val="0"/>
        </w:numPr>
        <w:rPr>
          <w:rFonts w:ascii="Times New Roman" w:hAnsi="Times New Roman"/>
        </w:rPr>
      </w:pPr>
    </w:p>
    <w:p w:rsidR="008C554E" w:rsidRPr="00FA3856" w:rsidRDefault="00B35FA3" w:rsidP="008C554E">
      <w:pPr>
        <w:pStyle w:val="PSDS-MarcadoresNivel2"/>
        <w:numPr>
          <w:ilvl w:val="0"/>
          <w:numId w:val="0"/>
        </w:numPr>
        <w:jc w:val="center"/>
        <w:rPr>
          <w:rFonts w:ascii="Times New Roman" w:hAnsi="Times New Roman"/>
        </w:rPr>
      </w:pPr>
      <w:r>
        <w:rPr>
          <w:rFonts w:ascii="Times New Roman" w:hAnsi="Times New Roman"/>
        </w:rPr>
        <w:object w:dxaOrig="13290" w:dyaOrig="3090">
          <v:shape id="_x0000_i1584" type="#_x0000_t75" style="width:661.5pt;height:151.5pt" o:ole="">
            <v:imagedata r:id="rId131" o:title=""/>
          </v:shape>
          <o:OLEObject Type="Link" ProgID="Excel.Sheet.12" ShapeID="_x0000_i1584" DrawAspect="Content" r:id="rId132" UpdateMode="Always">
            <o:LinkType>EnhancedMetaFile</o:LinkType>
            <o:LockedField>false</o:LockedField>
          </o:OLEObject>
        </w:object>
      </w:r>
    </w:p>
    <w:p w:rsidR="008C554E" w:rsidRDefault="008C554E" w:rsidP="00FD75ED">
      <w:pPr>
        <w:pStyle w:val="PSDS-MarcadoresNivel2"/>
        <w:numPr>
          <w:ilvl w:val="0"/>
          <w:numId w:val="0"/>
        </w:numPr>
        <w:rPr>
          <w:rFonts w:ascii="Times New Roman" w:hAnsi="Times New Roman"/>
        </w:rPr>
      </w:pPr>
    </w:p>
    <w:p w:rsidR="00DA00FB" w:rsidRPr="00FA3856" w:rsidRDefault="00DA00FB" w:rsidP="00FD75ED">
      <w:pPr>
        <w:pStyle w:val="PSDS-MarcadoresNivel2"/>
        <w:numPr>
          <w:ilvl w:val="0"/>
          <w:numId w:val="0"/>
        </w:numPr>
        <w:rPr>
          <w:rFonts w:ascii="Times New Roman" w:hAnsi="Times New Roman"/>
        </w:rPr>
      </w:pPr>
      <w:r w:rsidRPr="00FA3856">
        <w:rPr>
          <w:rFonts w:ascii="Times New Roman" w:hAnsi="Times New Roman"/>
        </w:rPr>
        <w:t>I – R</w:t>
      </w:r>
      <w:r w:rsidR="00FD75ED" w:rsidRPr="00FA3856">
        <w:rPr>
          <w:rFonts w:ascii="Times New Roman" w:hAnsi="Times New Roman"/>
        </w:rPr>
        <w:t>egras de Validação do Registro:</w:t>
      </w:r>
    </w:p>
    <w:p w:rsidR="00A27185" w:rsidRPr="00FA3856" w:rsidRDefault="00A27185" w:rsidP="00DA00FB">
      <w:pPr>
        <w:pStyle w:val="Corpodetexto"/>
        <w:ind w:left="708" w:firstLine="12"/>
        <w:rPr>
          <w:rFonts w:ascii="Times New Roman" w:hAnsi="Times New Roman"/>
          <w:szCs w:val="20"/>
        </w:rPr>
      </w:pPr>
    </w:p>
    <w:p w:rsidR="00DA00FB" w:rsidRPr="00FA3856" w:rsidRDefault="007D0E74" w:rsidP="00DA00FB">
      <w:pPr>
        <w:pStyle w:val="Corpodetexto"/>
        <w:ind w:left="708" w:firstLine="12"/>
        <w:rPr>
          <w:rFonts w:ascii="Times New Roman" w:hAnsi="Times New Roman"/>
          <w:b/>
          <w:szCs w:val="20"/>
        </w:rPr>
      </w:pPr>
      <w:hyperlink r:id="rId133" w:anchor="REGRA_OCORRENCIA_UNITARIA_ARQ" w:history="1">
        <w:r w:rsidR="00DA00FB" w:rsidRPr="00FA3856">
          <w:rPr>
            <w:rFonts w:ascii="Times New Roman" w:hAnsi="Times New Roman"/>
            <w:b/>
            <w:szCs w:val="20"/>
          </w:rPr>
          <w:t>REGRA_OCORRENCIA_UNITARIA_ARQ</w:t>
        </w:r>
      </w:hyperlink>
      <w:r w:rsidR="00DA00FB" w:rsidRPr="00FA3856">
        <w:rPr>
          <w:rFonts w:ascii="Times New Roman" w:hAnsi="Times New Roman"/>
          <w:color w:val="auto"/>
          <w:szCs w:val="20"/>
        </w:rPr>
        <w:t xml:space="preserve">: </w:t>
      </w:r>
      <w:r w:rsidR="00DA00FB" w:rsidRPr="00FA3856">
        <w:rPr>
          <w:rFonts w:ascii="Times New Roman" w:hAnsi="Times New Roman"/>
          <w:szCs w:val="20"/>
        </w:rPr>
        <w:t>Verifica se registro ocorreu apenas uma vez por arquivo, considerando a chave “C001” (REG). Se a regra não for cumprida, a ECF gera um erro.</w:t>
      </w:r>
    </w:p>
    <w:p w:rsidR="007F6CEC" w:rsidRPr="00FA3856" w:rsidRDefault="007F6CEC">
      <w:pPr>
        <w:spacing w:after="200" w:line="276" w:lineRule="auto"/>
        <w:rPr>
          <w:b/>
          <w:bCs/>
          <w:color w:val="0000FF"/>
          <w:szCs w:val="20"/>
        </w:rPr>
      </w:pPr>
    </w:p>
    <w:p w:rsidR="00211B2D" w:rsidRPr="00FA3856" w:rsidRDefault="00211B2D">
      <w:pPr>
        <w:spacing w:after="200" w:line="276" w:lineRule="auto"/>
        <w:rPr>
          <w:b/>
          <w:bCs/>
          <w:color w:val="0000FF"/>
          <w:szCs w:val="20"/>
        </w:rPr>
      </w:pPr>
      <w:r w:rsidRPr="00FA3856">
        <w:rPr>
          <w:color w:val="0000FF"/>
          <w:szCs w:val="20"/>
        </w:rPr>
        <w:br w:type="page"/>
      </w:r>
    </w:p>
    <w:p w:rsidR="00DA00FB" w:rsidRPr="00FA3856" w:rsidRDefault="00DA00FB" w:rsidP="00867F54">
      <w:pPr>
        <w:pStyle w:val="Ttulo4"/>
      </w:pPr>
      <w:bookmarkStart w:id="71" w:name="_Toc479713678"/>
      <w:r w:rsidRPr="00FA3856">
        <w:lastRenderedPageBreak/>
        <w:t>Registro C040: Identificador da ECD</w:t>
      </w:r>
      <w:bookmarkEnd w:id="71"/>
    </w:p>
    <w:p w:rsidR="00F31D0F" w:rsidRPr="00FA3856" w:rsidRDefault="00F31D0F" w:rsidP="00F31D0F">
      <w:pPr>
        <w:pStyle w:val="PSDS-MarcadoresNivel2"/>
        <w:numPr>
          <w:ilvl w:val="0"/>
          <w:numId w:val="0"/>
        </w:numPr>
        <w:spacing w:before="0" w:after="0"/>
        <w:ind w:left="360"/>
        <w:rPr>
          <w:rFonts w:ascii="Times New Roman" w:hAnsi="Times New Roman"/>
          <w:lang w:val="pt-PT"/>
        </w:rPr>
      </w:pPr>
    </w:p>
    <w:p w:rsidR="00B3546A" w:rsidRDefault="00F31D0F" w:rsidP="00B3546A">
      <w:pPr>
        <w:ind w:firstLine="708"/>
        <w:rPr>
          <w:szCs w:val="20"/>
        </w:rPr>
      </w:pPr>
      <w:r w:rsidRPr="00FA3856">
        <w:rPr>
          <w:szCs w:val="20"/>
        </w:rPr>
        <w:t>Iden</w:t>
      </w:r>
      <w:r w:rsidR="00DA00FB" w:rsidRPr="00FA3856">
        <w:rPr>
          <w:szCs w:val="20"/>
        </w:rPr>
        <w:t>tifica as ECD recuperadas pelo s</w:t>
      </w:r>
      <w:r w:rsidRPr="00FA3856">
        <w:rPr>
          <w:szCs w:val="20"/>
        </w:rPr>
        <w:t>istema.</w:t>
      </w:r>
      <w:r w:rsidR="00DA00FB" w:rsidRPr="00FA3856">
        <w:rPr>
          <w:szCs w:val="20"/>
        </w:rPr>
        <w:t xml:space="preserve"> O r</w:t>
      </w:r>
      <w:r w:rsidRPr="00FA3856">
        <w:rPr>
          <w:szCs w:val="20"/>
        </w:rPr>
        <w:t xml:space="preserve">egistro </w:t>
      </w:r>
      <w:r w:rsidR="00211B2D" w:rsidRPr="00FA3856">
        <w:rPr>
          <w:szCs w:val="20"/>
        </w:rPr>
        <w:t xml:space="preserve">é </w:t>
      </w:r>
      <w:r w:rsidRPr="00FA3856">
        <w:rPr>
          <w:szCs w:val="20"/>
        </w:rPr>
        <w:t>preenchido pelo sistema ao executar a funcionalidade de recuperação de ECD.</w:t>
      </w:r>
    </w:p>
    <w:p w:rsidR="00B3546A" w:rsidRPr="00B3546A" w:rsidRDefault="00B3546A" w:rsidP="00B3546A">
      <w:pPr>
        <w:ind w:firstLine="708"/>
        <w:rPr>
          <w:szCs w:val="20"/>
        </w:rPr>
      </w:pPr>
    </w:p>
    <w:p w:rsidR="00B3546A" w:rsidRDefault="00B35FA3" w:rsidP="00B3546A">
      <w:pPr>
        <w:spacing w:after="200" w:line="276" w:lineRule="auto"/>
        <w:jc w:val="center"/>
        <w:rPr>
          <w:b/>
          <w:bCs/>
          <w:color w:val="0000FF"/>
          <w:szCs w:val="20"/>
        </w:rPr>
      </w:pPr>
      <w:r>
        <w:rPr>
          <w:color w:val="0000FF"/>
          <w:szCs w:val="20"/>
        </w:rPr>
        <w:object w:dxaOrig="13365" w:dyaOrig="6150">
          <v:shape id="_x0000_i1586" type="#_x0000_t75" style="width:669.75pt;height:309.75pt" o:ole="">
            <v:imagedata r:id="rId134" o:title=""/>
          </v:shape>
          <o:OLEObject Type="Link" ProgID="Excel.Sheet.12" ShapeID="_x0000_i1586" DrawAspect="Content" r:id="rId135" UpdateMode="Always">
            <o:LinkType>EnhancedMetaFile</o:LinkType>
            <o:LockedField>false</o:LockedField>
          </o:OLEObject>
        </w:object>
      </w:r>
      <w:r w:rsidR="00B3546A">
        <w:rPr>
          <w:color w:val="0000FF"/>
          <w:szCs w:val="20"/>
        </w:rPr>
        <w:br w:type="page"/>
      </w:r>
    </w:p>
    <w:p w:rsidR="00FD75ED" w:rsidRPr="00FA3856" w:rsidRDefault="00FD75ED" w:rsidP="00867F54">
      <w:pPr>
        <w:pStyle w:val="Ttulo4"/>
      </w:pPr>
      <w:bookmarkStart w:id="72" w:name="_Toc479713679"/>
      <w:r w:rsidRPr="00FA3856">
        <w:lastRenderedPageBreak/>
        <w:t>Registro C050: Plano de Contas da ECD</w:t>
      </w:r>
      <w:bookmarkEnd w:id="72"/>
    </w:p>
    <w:p w:rsidR="00FD75ED" w:rsidRPr="00FA3856" w:rsidRDefault="00FD75ED" w:rsidP="00FD75ED">
      <w:pPr>
        <w:pStyle w:val="PSDS-MarcadoresNivel2"/>
        <w:numPr>
          <w:ilvl w:val="0"/>
          <w:numId w:val="0"/>
        </w:numPr>
        <w:spacing w:before="0" w:after="0"/>
        <w:ind w:left="360"/>
        <w:rPr>
          <w:rFonts w:ascii="Times New Roman" w:hAnsi="Times New Roman"/>
          <w:lang w:val="pt-PT"/>
        </w:rPr>
      </w:pPr>
    </w:p>
    <w:p w:rsidR="00FD75ED" w:rsidRPr="00FA3856" w:rsidRDefault="00FD75ED" w:rsidP="00FD75ED">
      <w:pPr>
        <w:ind w:firstLine="708"/>
        <w:rPr>
          <w:szCs w:val="20"/>
        </w:rPr>
      </w:pPr>
      <w:r w:rsidRPr="00FA3856">
        <w:rPr>
          <w:szCs w:val="20"/>
        </w:rPr>
        <w:t>Registro preenchido pelo sistema ao executar a funcionalidade de recuperação da ECD. Recupera os registros I050 (plano de contas societário) das ECD do período</w:t>
      </w:r>
      <w:r w:rsidRPr="00FA3856">
        <w:rPr>
          <w:szCs w:val="20"/>
          <w:lang w:val="pt-PT"/>
        </w:rPr>
        <w:t>.</w:t>
      </w:r>
    </w:p>
    <w:p w:rsidR="00B3546A" w:rsidRDefault="00B3546A" w:rsidP="001A297B">
      <w:pPr>
        <w:ind w:firstLine="708"/>
        <w:rPr>
          <w:color w:val="0000FF"/>
          <w:szCs w:val="20"/>
        </w:rPr>
      </w:pPr>
    </w:p>
    <w:p w:rsidR="001A297B" w:rsidRPr="00FA3856" w:rsidRDefault="00B35FA3" w:rsidP="00B3546A">
      <w:pPr>
        <w:ind w:firstLine="708"/>
        <w:jc w:val="center"/>
        <w:rPr>
          <w:b/>
          <w:bCs/>
          <w:color w:val="0000FF"/>
          <w:szCs w:val="20"/>
        </w:rPr>
      </w:pPr>
      <w:r>
        <w:rPr>
          <w:color w:val="0000FF"/>
          <w:szCs w:val="20"/>
        </w:rPr>
        <w:object w:dxaOrig="13185" w:dyaOrig="4740">
          <v:shape id="_x0000_i1588" type="#_x0000_t75" style="width:662.25pt;height:237.75pt" o:ole="">
            <v:imagedata r:id="rId136" o:title=""/>
          </v:shape>
          <o:OLEObject Type="Link" ProgID="Excel.Sheet.12" ShapeID="_x0000_i1588" DrawAspect="Content" r:id="rId137" UpdateMode="Always">
            <o:LinkType>EnhancedMetaFile</o:LinkType>
            <o:LockedField>false</o:LockedField>
          </o:OLEObject>
        </w:object>
      </w:r>
      <w:r w:rsidR="001A297B" w:rsidRPr="00FA3856">
        <w:rPr>
          <w:color w:val="0000FF"/>
          <w:szCs w:val="20"/>
        </w:rPr>
        <w:br w:type="page"/>
      </w:r>
    </w:p>
    <w:p w:rsidR="00BD4890" w:rsidRPr="00FA3856" w:rsidRDefault="00BD4890" w:rsidP="00867F54">
      <w:pPr>
        <w:pStyle w:val="Ttulo4"/>
      </w:pPr>
      <w:bookmarkStart w:id="73" w:name="_Toc479713680"/>
      <w:r w:rsidRPr="00FA3856">
        <w:lastRenderedPageBreak/>
        <w:t>Registro C05</w:t>
      </w:r>
      <w:r w:rsidR="008F0CA1" w:rsidRPr="00FA3856">
        <w:t>1</w:t>
      </w:r>
      <w:r w:rsidRPr="00FA3856">
        <w:t xml:space="preserve">: </w:t>
      </w:r>
      <w:r w:rsidR="008F0CA1" w:rsidRPr="00FA3856">
        <w:t>Plano de Contas Referencial</w:t>
      </w:r>
      <w:bookmarkEnd w:id="73"/>
    </w:p>
    <w:p w:rsidR="00BD4890" w:rsidRPr="00FA3856" w:rsidRDefault="00BD4890" w:rsidP="00BD4890">
      <w:pPr>
        <w:pStyle w:val="PSDS-MarcadoresNivel2"/>
        <w:numPr>
          <w:ilvl w:val="0"/>
          <w:numId w:val="0"/>
        </w:numPr>
        <w:spacing w:before="0" w:after="0"/>
        <w:ind w:left="360"/>
        <w:rPr>
          <w:rFonts w:ascii="Times New Roman" w:hAnsi="Times New Roman"/>
          <w:lang w:val="pt-PT"/>
        </w:rPr>
      </w:pPr>
    </w:p>
    <w:p w:rsidR="008F0CA1" w:rsidRPr="00FA3856" w:rsidRDefault="00BD4890" w:rsidP="008F0CA1">
      <w:pPr>
        <w:ind w:firstLine="708"/>
        <w:rPr>
          <w:szCs w:val="20"/>
        </w:rPr>
      </w:pPr>
      <w:r w:rsidRPr="00FA3856">
        <w:rPr>
          <w:szCs w:val="20"/>
        </w:rPr>
        <w:t xml:space="preserve">Registro preenchido pelo sistema ao executar a funcionalidade de recuperação da ECD. </w:t>
      </w:r>
      <w:r w:rsidR="008F0CA1" w:rsidRPr="00FA3856">
        <w:rPr>
          <w:szCs w:val="20"/>
        </w:rPr>
        <w:t>Recupera os registros I051 (centro de custo e mapeamento para o plano de conta referencial) das ECD do período</w:t>
      </w:r>
      <w:r w:rsidR="008F0CA1" w:rsidRPr="00FA3856">
        <w:rPr>
          <w:szCs w:val="20"/>
          <w:lang w:val="pt-PT"/>
        </w:rPr>
        <w:t>.</w:t>
      </w:r>
    </w:p>
    <w:p w:rsidR="00F3257C" w:rsidRDefault="00F3257C" w:rsidP="00F3257C">
      <w:pPr>
        <w:spacing w:after="200" w:line="276" w:lineRule="auto"/>
        <w:rPr>
          <w:color w:val="0000FF"/>
          <w:szCs w:val="20"/>
        </w:rPr>
      </w:pPr>
    </w:p>
    <w:p w:rsidR="007F6CEC" w:rsidRPr="00FA3856" w:rsidRDefault="00B35FA3" w:rsidP="00F3257C">
      <w:pPr>
        <w:spacing w:after="200" w:line="276" w:lineRule="auto"/>
        <w:jc w:val="center"/>
        <w:rPr>
          <w:b/>
          <w:bCs/>
          <w:color w:val="0000FF"/>
          <w:szCs w:val="20"/>
        </w:rPr>
      </w:pPr>
      <w:r>
        <w:rPr>
          <w:color w:val="0000FF"/>
          <w:szCs w:val="20"/>
        </w:rPr>
        <w:object w:dxaOrig="13275" w:dyaOrig="3225">
          <v:shape id="_x0000_i1590" type="#_x0000_t75" style="width:660.75pt;height:158.25pt" o:ole="">
            <v:imagedata r:id="rId138" o:title=""/>
          </v:shape>
          <o:OLEObject Type="Link" ProgID="Excel.Sheet.12" ShapeID="_x0000_i1590" DrawAspect="Content" r:id="rId139" UpdateMode="Always">
            <o:LinkType>EnhancedMetaFile</o:LinkType>
            <o:LockedField>false</o:LockedField>
          </o:OLEObject>
        </w:object>
      </w:r>
      <w:r w:rsidR="007F6CEC" w:rsidRPr="00FA3856">
        <w:rPr>
          <w:color w:val="0000FF"/>
          <w:szCs w:val="20"/>
        </w:rPr>
        <w:br w:type="page"/>
      </w:r>
    </w:p>
    <w:p w:rsidR="001A2FAA" w:rsidRPr="00FA3856" w:rsidRDefault="001A2FAA" w:rsidP="00867F54">
      <w:pPr>
        <w:pStyle w:val="Ttulo4"/>
      </w:pPr>
      <w:bookmarkStart w:id="74" w:name="_Toc479713681"/>
      <w:r w:rsidRPr="00FA3856">
        <w:lastRenderedPageBreak/>
        <w:t>Registro C053: Subcontas Correlatas</w:t>
      </w:r>
      <w:bookmarkEnd w:id="74"/>
    </w:p>
    <w:p w:rsidR="002C58A4" w:rsidRPr="00FA3856" w:rsidRDefault="002C58A4" w:rsidP="002C58A4">
      <w:pPr>
        <w:rPr>
          <w:szCs w:val="20"/>
        </w:rPr>
      </w:pPr>
    </w:p>
    <w:p w:rsidR="00DD15D0" w:rsidRPr="00FA3856" w:rsidRDefault="00DD15D0" w:rsidP="00DD15D0">
      <w:pPr>
        <w:ind w:firstLine="708"/>
        <w:rPr>
          <w:szCs w:val="20"/>
          <w:lang w:val="pt-PT"/>
        </w:rPr>
      </w:pPr>
      <w:r w:rsidRPr="00FA3856">
        <w:rPr>
          <w:szCs w:val="20"/>
        </w:rPr>
        <w:t xml:space="preserve">Registro preenchido pelo sistema ao executar a funcionalidade de recuperação da ECD. Recupera os registros I053 (subcontas </w:t>
      </w:r>
      <w:r w:rsidR="00B5790B" w:rsidRPr="00FA3856">
        <w:rPr>
          <w:szCs w:val="20"/>
        </w:rPr>
        <w:t>correlatas</w:t>
      </w:r>
      <w:r w:rsidRPr="00FA3856">
        <w:rPr>
          <w:szCs w:val="20"/>
        </w:rPr>
        <w:t>) das ECD do período</w:t>
      </w:r>
      <w:r w:rsidRPr="00FA3856">
        <w:rPr>
          <w:szCs w:val="20"/>
          <w:lang w:val="pt-PT"/>
        </w:rPr>
        <w:t>.</w:t>
      </w:r>
    </w:p>
    <w:p w:rsidR="00EC5CFC" w:rsidRDefault="00EC5CFC">
      <w:pPr>
        <w:spacing w:after="200" w:line="276" w:lineRule="auto"/>
        <w:rPr>
          <w:color w:val="0000FF"/>
          <w:szCs w:val="20"/>
        </w:rPr>
      </w:pPr>
    </w:p>
    <w:p w:rsidR="00DD15D0" w:rsidRPr="00FA3856" w:rsidRDefault="00B35FA3" w:rsidP="00EC5CFC">
      <w:pPr>
        <w:spacing w:after="200" w:line="276" w:lineRule="auto"/>
        <w:jc w:val="center"/>
        <w:rPr>
          <w:b/>
          <w:bCs/>
          <w:color w:val="0000FF"/>
          <w:szCs w:val="20"/>
        </w:rPr>
      </w:pPr>
      <w:r>
        <w:rPr>
          <w:color w:val="0000FF"/>
          <w:szCs w:val="20"/>
        </w:rPr>
        <w:object w:dxaOrig="13575" w:dyaOrig="3225">
          <v:shape id="_x0000_i1592" type="#_x0000_t75" style="width:676.5pt;height:158.25pt" o:ole="">
            <v:imagedata r:id="rId140" o:title=""/>
          </v:shape>
          <o:OLEObject Type="Link" ProgID="Excel.Sheet.12" ShapeID="_x0000_i1592" DrawAspect="Content" r:id="rId141" UpdateMode="Always">
            <o:LinkType>EnhancedMetaFile</o:LinkType>
            <o:LockedField>false</o:LockedField>
          </o:OLEObject>
        </w:object>
      </w:r>
      <w:r w:rsidR="00DD15D0" w:rsidRPr="00FA3856">
        <w:rPr>
          <w:color w:val="0000FF"/>
          <w:szCs w:val="20"/>
        </w:rPr>
        <w:br w:type="page"/>
      </w:r>
    </w:p>
    <w:p w:rsidR="008F0CA1" w:rsidRPr="00FA3856" w:rsidRDefault="008F0CA1" w:rsidP="00867F54">
      <w:pPr>
        <w:pStyle w:val="Ttulo4"/>
      </w:pPr>
      <w:bookmarkStart w:id="75" w:name="_Toc479713682"/>
      <w:r w:rsidRPr="00FA3856">
        <w:lastRenderedPageBreak/>
        <w:t>Registro C100: Centro de Custos</w:t>
      </w:r>
      <w:bookmarkEnd w:id="75"/>
      <w:r w:rsidRPr="00FA3856">
        <w:t xml:space="preserve"> </w:t>
      </w:r>
    </w:p>
    <w:p w:rsidR="00F31D0F" w:rsidRPr="00FA3856" w:rsidRDefault="00F31D0F" w:rsidP="00F31D0F">
      <w:pPr>
        <w:pStyle w:val="Cabealho"/>
        <w:widowControl w:val="0"/>
        <w:autoSpaceDE w:val="0"/>
        <w:autoSpaceDN w:val="0"/>
        <w:adjustRightInd w:val="0"/>
        <w:rPr>
          <w:rFonts w:ascii="Times New Roman" w:hAnsi="Times New Roman" w:cs="Times New Roman"/>
          <w:sz w:val="20"/>
          <w:szCs w:val="20"/>
          <w:lang w:eastAsia="pt-BR"/>
        </w:rPr>
      </w:pPr>
    </w:p>
    <w:p w:rsidR="00F31D0F" w:rsidRPr="00FA3856" w:rsidRDefault="008F0CA1" w:rsidP="008F0CA1">
      <w:pPr>
        <w:pStyle w:val="PSDS-MarcadoresNivel2"/>
        <w:numPr>
          <w:ilvl w:val="0"/>
          <w:numId w:val="0"/>
        </w:numPr>
        <w:tabs>
          <w:tab w:val="left" w:pos="720"/>
        </w:tabs>
        <w:spacing w:before="0" w:after="0"/>
        <w:rPr>
          <w:rFonts w:ascii="Times New Roman" w:hAnsi="Times New Roman"/>
          <w:b w:val="0"/>
        </w:rPr>
      </w:pPr>
      <w:r w:rsidRPr="00FA3856">
        <w:rPr>
          <w:rFonts w:ascii="Times New Roman" w:hAnsi="Times New Roman"/>
          <w:b w:val="0"/>
        </w:rPr>
        <w:tab/>
        <w:t xml:space="preserve">Registro preenchido pelo sistema ao executar a funcionalidade de recuperação da ECD. </w:t>
      </w:r>
      <w:r w:rsidR="00F31D0F" w:rsidRPr="00FA3856">
        <w:rPr>
          <w:rFonts w:ascii="Times New Roman" w:hAnsi="Times New Roman"/>
          <w:b w:val="0"/>
        </w:rPr>
        <w:t>Recupera os registros I100 (centro de custo) das ECD do período.</w:t>
      </w:r>
    </w:p>
    <w:p w:rsidR="00F31D0F" w:rsidRDefault="00F31D0F" w:rsidP="00F31D0F">
      <w:pPr>
        <w:pStyle w:val="Recuodecorpodetexto"/>
        <w:spacing w:before="0" w:line="240" w:lineRule="auto"/>
        <w:rPr>
          <w:rFonts w:ascii="Times New Roman" w:hAnsi="Times New Roman"/>
          <w:color w:val="auto"/>
          <w:szCs w:val="20"/>
          <w:lang w:val="pt-PT"/>
        </w:rPr>
      </w:pPr>
    </w:p>
    <w:p w:rsidR="00772CD6" w:rsidRPr="00FA3856" w:rsidRDefault="00B35FA3" w:rsidP="00772CD6">
      <w:pPr>
        <w:pStyle w:val="Recuodecorpodetexto"/>
        <w:spacing w:before="0" w:line="240" w:lineRule="auto"/>
        <w:ind w:left="0"/>
        <w:jc w:val="center"/>
        <w:rPr>
          <w:rFonts w:ascii="Times New Roman" w:hAnsi="Times New Roman"/>
          <w:color w:val="auto"/>
          <w:szCs w:val="20"/>
          <w:lang w:val="pt-PT"/>
        </w:rPr>
      </w:pPr>
      <w:r>
        <w:rPr>
          <w:rFonts w:ascii="Times New Roman" w:hAnsi="Times New Roman"/>
          <w:color w:val="auto"/>
          <w:szCs w:val="20"/>
          <w:lang w:val="pt-PT"/>
        </w:rPr>
        <w:object w:dxaOrig="13200" w:dyaOrig="3015">
          <v:shape id="_x0000_i1594" type="#_x0000_t75" style="width:663.75pt;height:151.5pt" o:ole="">
            <v:imagedata r:id="rId142" o:title=""/>
          </v:shape>
          <o:OLEObject Type="Link" ProgID="Excel.Sheet.12" ShapeID="_x0000_i1594" DrawAspect="Content" r:id="rId143" UpdateMode="Always">
            <o:LinkType>EnhancedMetaFile</o:LinkType>
            <o:LockedField>false</o:LockedField>
          </o:OLEObject>
        </w:object>
      </w:r>
    </w:p>
    <w:p w:rsidR="00DD15D0" w:rsidRPr="00FA3856" w:rsidRDefault="00DD15D0">
      <w:pPr>
        <w:spacing w:after="200" w:line="276" w:lineRule="auto"/>
        <w:rPr>
          <w:b/>
          <w:bCs/>
          <w:color w:val="0000FF"/>
          <w:szCs w:val="20"/>
        </w:rPr>
      </w:pPr>
      <w:r w:rsidRPr="00FA3856">
        <w:rPr>
          <w:color w:val="0000FF"/>
          <w:szCs w:val="20"/>
        </w:rPr>
        <w:br w:type="page"/>
      </w:r>
    </w:p>
    <w:p w:rsidR="00B97169" w:rsidRPr="00FA3856" w:rsidRDefault="00B97169" w:rsidP="00867F54">
      <w:pPr>
        <w:pStyle w:val="Ttulo4"/>
      </w:pPr>
      <w:bookmarkStart w:id="76" w:name="_Toc479713683"/>
      <w:r w:rsidRPr="00FA3856">
        <w:lastRenderedPageBreak/>
        <w:t>Registro C150: Identificação do Período dos Saldos Periódicos das Contas</w:t>
      </w:r>
      <w:bookmarkEnd w:id="76"/>
    </w:p>
    <w:p w:rsidR="00B97169" w:rsidRPr="00FA3856" w:rsidRDefault="00B97169" w:rsidP="00B97169">
      <w:pPr>
        <w:pStyle w:val="Cabealho"/>
        <w:widowControl w:val="0"/>
        <w:autoSpaceDE w:val="0"/>
        <w:autoSpaceDN w:val="0"/>
        <w:adjustRightInd w:val="0"/>
        <w:rPr>
          <w:rFonts w:ascii="Times New Roman" w:hAnsi="Times New Roman" w:cs="Times New Roman"/>
          <w:sz w:val="20"/>
          <w:szCs w:val="20"/>
          <w:lang w:eastAsia="pt-BR"/>
        </w:rPr>
      </w:pPr>
    </w:p>
    <w:p w:rsidR="00B97169" w:rsidRPr="00FA3856" w:rsidRDefault="00B97169" w:rsidP="00596D27">
      <w:pPr>
        <w:pStyle w:val="PSDS-CorpodeTexto0"/>
        <w:jc w:val="both"/>
        <w:rPr>
          <w:rFonts w:ascii="Times New Roman" w:hAnsi="Times New Roman"/>
        </w:rPr>
      </w:pPr>
      <w:r w:rsidRPr="00FA3856">
        <w:rPr>
          <w:rFonts w:ascii="Times New Roman" w:hAnsi="Times New Roman"/>
          <w:b/>
        </w:rPr>
        <w:tab/>
      </w:r>
      <w:r w:rsidRPr="00FA3856">
        <w:rPr>
          <w:rFonts w:ascii="Times New Roman" w:hAnsi="Times New Roman"/>
        </w:rPr>
        <w:t>Registro preenchido pelo sistema ao executar a funcionalidade de recuperação da ECD. Recupera as contas dos registros I150 (saldos periódicos – identificação do período) das ECD do período.</w:t>
      </w:r>
    </w:p>
    <w:p w:rsidR="00F31D0F" w:rsidRDefault="00F31D0F" w:rsidP="00F31D0F">
      <w:pPr>
        <w:rPr>
          <w:szCs w:val="20"/>
        </w:rPr>
      </w:pPr>
    </w:p>
    <w:p w:rsidR="00772CD6" w:rsidRPr="00FA3856" w:rsidRDefault="00B35FA3" w:rsidP="00772CD6">
      <w:pPr>
        <w:jc w:val="center"/>
        <w:rPr>
          <w:szCs w:val="20"/>
        </w:rPr>
      </w:pPr>
      <w:r>
        <w:rPr>
          <w:szCs w:val="20"/>
        </w:rPr>
        <w:object w:dxaOrig="13290" w:dyaOrig="2700">
          <v:shape id="_x0000_i1596" type="#_x0000_t75" style="width:661.5pt;height:136.5pt" o:ole="">
            <v:imagedata r:id="rId144" o:title=""/>
          </v:shape>
          <o:OLEObject Type="Link" ProgID="Excel.Sheet.12" ShapeID="_x0000_i1596" DrawAspect="Content" r:id="rId145" UpdateMode="Always">
            <o:LinkType>EnhancedMetaFile</o:LinkType>
            <o:LockedField>false</o:LockedField>
          </o:OLEObject>
        </w:object>
      </w:r>
    </w:p>
    <w:p w:rsidR="002C58A4" w:rsidRPr="00FA3856" w:rsidRDefault="002C58A4">
      <w:pPr>
        <w:spacing w:after="200" w:line="276" w:lineRule="auto"/>
        <w:rPr>
          <w:b/>
          <w:bCs/>
          <w:color w:val="0000FF"/>
          <w:szCs w:val="20"/>
        </w:rPr>
      </w:pPr>
      <w:r w:rsidRPr="00FA3856">
        <w:rPr>
          <w:color w:val="0000FF"/>
          <w:szCs w:val="20"/>
        </w:rPr>
        <w:br w:type="page"/>
      </w:r>
    </w:p>
    <w:p w:rsidR="007B4343" w:rsidRPr="00FA3856" w:rsidRDefault="007B4343" w:rsidP="00867F54">
      <w:pPr>
        <w:pStyle w:val="Ttulo4"/>
      </w:pPr>
      <w:bookmarkStart w:id="77" w:name="_Toc479713684"/>
      <w:r w:rsidRPr="00FA3856">
        <w:lastRenderedPageBreak/>
        <w:t>Registro C155: Detalhes dos Saldos Contábeis das Contas</w:t>
      </w:r>
      <w:bookmarkEnd w:id="77"/>
    </w:p>
    <w:p w:rsidR="007B4343" w:rsidRPr="00FA3856" w:rsidRDefault="007B4343" w:rsidP="007B4343">
      <w:pPr>
        <w:pStyle w:val="Cabealho"/>
        <w:widowControl w:val="0"/>
        <w:autoSpaceDE w:val="0"/>
        <w:autoSpaceDN w:val="0"/>
        <w:adjustRightInd w:val="0"/>
        <w:rPr>
          <w:rFonts w:ascii="Times New Roman" w:hAnsi="Times New Roman" w:cs="Times New Roman"/>
          <w:sz w:val="20"/>
          <w:szCs w:val="20"/>
          <w:lang w:eastAsia="pt-BR"/>
        </w:rPr>
      </w:pPr>
    </w:p>
    <w:p w:rsidR="007B4343" w:rsidRPr="00FA3856" w:rsidRDefault="007B4343" w:rsidP="00596D27">
      <w:pPr>
        <w:pStyle w:val="PSDS-CorpodeTexto0"/>
        <w:jc w:val="both"/>
        <w:rPr>
          <w:rFonts w:ascii="Times New Roman" w:hAnsi="Times New Roman"/>
        </w:rPr>
      </w:pPr>
      <w:r w:rsidRPr="00FA3856">
        <w:rPr>
          <w:rFonts w:ascii="Times New Roman" w:hAnsi="Times New Roman"/>
          <w:b/>
        </w:rPr>
        <w:tab/>
      </w:r>
      <w:r w:rsidRPr="00FA3856">
        <w:rPr>
          <w:rFonts w:ascii="Times New Roman" w:hAnsi="Times New Roman"/>
        </w:rPr>
        <w:t>Registro preenchido pelo sistema ao executar a funcionalidade de recuperação da ECD. Recupera as contas dos registros I155 (detalhes dos saldos contábeis recuperados) das ECD do período</w:t>
      </w:r>
      <w:r w:rsidRPr="00FA3856">
        <w:rPr>
          <w:rFonts w:ascii="Times New Roman" w:hAnsi="Times New Roman"/>
          <w:lang w:val="pt-PT"/>
        </w:rPr>
        <w:t>.</w:t>
      </w:r>
    </w:p>
    <w:p w:rsidR="00F31D0F" w:rsidRDefault="00F31D0F" w:rsidP="00F31D0F">
      <w:pPr>
        <w:rPr>
          <w:szCs w:val="20"/>
          <w:lang w:val="pt-PT"/>
        </w:rPr>
      </w:pPr>
    </w:p>
    <w:p w:rsidR="00C84013" w:rsidRPr="00FA3856" w:rsidRDefault="00B35FA3" w:rsidP="00C84013">
      <w:pPr>
        <w:jc w:val="center"/>
        <w:rPr>
          <w:szCs w:val="20"/>
          <w:lang w:val="pt-PT"/>
        </w:rPr>
      </w:pPr>
      <w:r>
        <w:rPr>
          <w:szCs w:val="20"/>
          <w:lang w:val="pt-PT"/>
        </w:rPr>
        <w:object w:dxaOrig="13575" w:dyaOrig="6300">
          <v:shape id="_x0000_i1598" type="#_x0000_t75" style="width:676.5pt;height:317.25pt" o:ole="">
            <v:imagedata r:id="rId146" o:title=""/>
          </v:shape>
          <o:OLEObject Type="Link" ProgID="Excel.Sheet.12" ShapeID="_x0000_i1598" DrawAspect="Content" r:id="rId147" UpdateMode="Always">
            <o:LinkType>EnhancedMetaFile</o:LinkType>
            <o:LockedField>false</o:LockedField>
          </o:OLEObject>
        </w:object>
      </w:r>
    </w:p>
    <w:p w:rsidR="00361BA8" w:rsidRPr="00FA3856" w:rsidRDefault="00361BA8">
      <w:pPr>
        <w:rPr>
          <w:b/>
          <w:bCs/>
          <w:color w:val="0000FF"/>
          <w:szCs w:val="20"/>
        </w:rPr>
      </w:pPr>
      <w:r w:rsidRPr="00FA3856">
        <w:rPr>
          <w:color w:val="0000FF"/>
          <w:szCs w:val="20"/>
        </w:rPr>
        <w:br w:type="page"/>
      </w:r>
    </w:p>
    <w:p w:rsidR="00282EDA" w:rsidRPr="00FA3856" w:rsidRDefault="00282EDA" w:rsidP="00867F54">
      <w:pPr>
        <w:pStyle w:val="Ttulo4"/>
      </w:pPr>
      <w:bookmarkStart w:id="78" w:name="_Toc479713685"/>
      <w:r w:rsidRPr="00FA3856">
        <w:lastRenderedPageBreak/>
        <w:t>Registro C15</w:t>
      </w:r>
      <w:r w:rsidR="00596D27" w:rsidRPr="00FA3856">
        <w:t>7</w:t>
      </w:r>
      <w:r w:rsidRPr="00FA3856">
        <w:t xml:space="preserve">: </w:t>
      </w:r>
      <w:r w:rsidR="00596D27" w:rsidRPr="00FA3856">
        <w:t>Transferência de Saldos do Plano de Contas Anterior</w:t>
      </w:r>
      <w:bookmarkEnd w:id="78"/>
      <w:r w:rsidRPr="00FA3856">
        <w:t xml:space="preserve"> </w:t>
      </w:r>
    </w:p>
    <w:p w:rsidR="00282EDA" w:rsidRPr="00FA3856" w:rsidRDefault="00282EDA" w:rsidP="00282EDA">
      <w:pPr>
        <w:pStyle w:val="Cabealho"/>
        <w:widowControl w:val="0"/>
        <w:autoSpaceDE w:val="0"/>
        <w:autoSpaceDN w:val="0"/>
        <w:adjustRightInd w:val="0"/>
        <w:rPr>
          <w:rFonts w:ascii="Times New Roman" w:hAnsi="Times New Roman" w:cs="Times New Roman"/>
          <w:sz w:val="20"/>
          <w:szCs w:val="20"/>
          <w:lang w:eastAsia="pt-BR"/>
        </w:rPr>
      </w:pPr>
    </w:p>
    <w:p w:rsidR="00282EDA" w:rsidRPr="00FA3856" w:rsidRDefault="00282EDA" w:rsidP="00596D27">
      <w:pPr>
        <w:pStyle w:val="PSDS-CorpodeTexto0"/>
        <w:jc w:val="both"/>
        <w:rPr>
          <w:rFonts w:ascii="Times New Roman" w:hAnsi="Times New Roman"/>
          <w:lang w:val="pt-PT"/>
        </w:rPr>
      </w:pPr>
      <w:r w:rsidRPr="00FA3856">
        <w:rPr>
          <w:rFonts w:ascii="Times New Roman" w:hAnsi="Times New Roman"/>
          <w:b/>
        </w:rPr>
        <w:tab/>
      </w:r>
      <w:r w:rsidRPr="00FA3856">
        <w:rPr>
          <w:rFonts w:ascii="Times New Roman" w:hAnsi="Times New Roman"/>
        </w:rPr>
        <w:t>Registro preenchido pelo sistema ao executar a funcionalidade de recuperação da ECD. Recupera o registro I157 (transferência de saldos do plano de contas anterior) das ECD do período</w:t>
      </w:r>
      <w:r w:rsidRPr="00FA3856">
        <w:rPr>
          <w:rFonts w:ascii="Times New Roman" w:hAnsi="Times New Roman"/>
          <w:lang w:val="pt-PT"/>
        </w:rPr>
        <w:t>.</w:t>
      </w:r>
    </w:p>
    <w:p w:rsidR="00F31D0F" w:rsidRDefault="00F31D0F" w:rsidP="00F31D0F">
      <w:pPr>
        <w:pStyle w:val="PSDS-MarcadoresNivel2"/>
        <w:numPr>
          <w:ilvl w:val="0"/>
          <w:numId w:val="0"/>
        </w:numPr>
        <w:tabs>
          <w:tab w:val="left" w:pos="720"/>
        </w:tabs>
        <w:spacing w:before="0" w:after="0"/>
        <w:ind w:left="720"/>
        <w:rPr>
          <w:rFonts w:ascii="Times New Roman" w:hAnsi="Times New Roman"/>
          <w:b w:val="0"/>
          <w:bCs/>
        </w:rPr>
      </w:pPr>
    </w:p>
    <w:p w:rsidR="00A25A50" w:rsidRPr="00FA3856" w:rsidRDefault="00B35FA3" w:rsidP="00A25A50">
      <w:pPr>
        <w:pStyle w:val="PSDS-MarcadoresNivel2"/>
        <w:numPr>
          <w:ilvl w:val="0"/>
          <w:numId w:val="0"/>
        </w:numPr>
        <w:tabs>
          <w:tab w:val="left" w:pos="720"/>
        </w:tabs>
        <w:spacing w:before="0" w:after="0"/>
        <w:ind w:left="720"/>
        <w:jc w:val="center"/>
        <w:rPr>
          <w:rFonts w:ascii="Times New Roman" w:hAnsi="Times New Roman"/>
          <w:b w:val="0"/>
          <w:bCs/>
        </w:rPr>
      </w:pPr>
      <w:r>
        <w:rPr>
          <w:rFonts w:ascii="Times New Roman" w:hAnsi="Times New Roman"/>
          <w:b w:val="0"/>
          <w:bCs/>
        </w:rPr>
        <w:object w:dxaOrig="13605" w:dyaOrig="4815">
          <v:shape id="_x0000_i1600" type="#_x0000_t75" style="width:676.5pt;height:237.75pt" o:ole="">
            <v:imagedata r:id="rId148" o:title=""/>
          </v:shape>
          <o:OLEObject Type="Link" ProgID="Excel.Sheet.12" ShapeID="_x0000_i1600" DrawAspect="Content" r:id="rId149" UpdateMode="Always">
            <o:LinkType>EnhancedMetaFile</o:LinkType>
            <o:LockedField>false</o:LockedField>
          </o:OLEObject>
        </w:object>
      </w:r>
    </w:p>
    <w:p w:rsidR="00A25A50" w:rsidRDefault="00A25A50" w:rsidP="00363626">
      <w:pPr>
        <w:pStyle w:val="PSDS-MarcadoresNivel2"/>
        <w:numPr>
          <w:ilvl w:val="0"/>
          <w:numId w:val="0"/>
        </w:numPr>
        <w:rPr>
          <w:rFonts w:ascii="Times New Roman" w:hAnsi="Times New Roman"/>
          <w:highlight w:val="yellow"/>
        </w:rPr>
      </w:pPr>
    </w:p>
    <w:p w:rsidR="00363626" w:rsidRPr="0070069F" w:rsidRDefault="00363626" w:rsidP="00363626">
      <w:pPr>
        <w:pStyle w:val="PSDS-MarcadoresNivel2"/>
        <w:numPr>
          <w:ilvl w:val="0"/>
          <w:numId w:val="0"/>
        </w:numPr>
        <w:rPr>
          <w:rFonts w:ascii="Times New Roman" w:hAnsi="Times New Roman"/>
        </w:rPr>
      </w:pPr>
      <w:r w:rsidRPr="0070069F">
        <w:rPr>
          <w:rFonts w:ascii="Times New Roman" w:hAnsi="Times New Roman"/>
        </w:rPr>
        <w:t>I – Regras de Validação do Registro:</w:t>
      </w:r>
    </w:p>
    <w:p w:rsidR="00363626" w:rsidRPr="0070069F" w:rsidRDefault="00363626">
      <w:pPr>
        <w:rPr>
          <w:rFonts w:cs="Times New Roman"/>
          <w:b/>
          <w:bCs/>
          <w:color w:val="000000"/>
          <w:szCs w:val="20"/>
          <w:shd w:val="clear" w:color="auto" w:fill="FFFFFF"/>
        </w:rPr>
      </w:pPr>
    </w:p>
    <w:p w:rsidR="00596D27" w:rsidRPr="00363626" w:rsidRDefault="00363626">
      <w:pPr>
        <w:rPr>
          <w:rFonts w:cs="Times New Roman"/>
          <w:b/>
          <w:bCs/>
          <w:color w:val="0000FF"/>
          <w:szCs w:val="20"/>
        </w:rPr>
      </w:pPr>
      <w:r w:rsidRPr="0070069F">
        <w:rPr>
          <w:rFonts w:cs="Times New Roman"/>
          <w:b/>
          <w:bCs/>
          <w:color w:val="000000"/>
          <w:szCs w:val="20"/>
          <w:shd w:val="clear" w:color="auto" w:fill="FFFFFF"/>
        </w:rPr>
        <w:t>REGRA_C157_OBRIGATORIO</w:t>
      </w:r>
      <w:r w:rsidRPr="0070069F">
        <w:rPr>
          <w:rFonts w:cs="Times New Roman"/>
          <w:color w:val="222222"/>
          <w:szCs w:val="20"/>
        </w:rPr>
        <w:t xml:space="preserve">: </w:t>
      </w:r>
      <w:r w:rsidRPr="0070069F">
        <w:rPr>
          <w:rFonts w:cs="Times New Roman"/>
          <w:color w:val="000000"/>
          <w:szCs w:val="20"/>
          <w:shd w:val="clear" w:color="auto" w:fill="FFFFFF"/>
        </w:rPr>
        <w:t>Se existe na ECD o registro I157 para, pelo menos, uma conta em um período (Exceto o primeiro período da escrituração - C150.DT_INI diferente 0000.DT_INI – Se há I157 no primeiro período, o sistema recupera normalmente, sem verificar saldo do registro I157) , deve existir neste período, registro I157(C157) para todas as contas com I155(C155).VL_SLD_INI diferente de zero. A conta deste período que não possui registro I157 gera erro e não é calculada no processo de recuperação.</w:t>
      </w:r>
    </w:p>
    <w:p w:rsidR="00363626" w:rsidRDefault="00363626">
      <w:pPr>
        <w:spacing w:after="200" w:line="276" w:lineRule="auto"/>
        <w:rPr>
          <w:b/>
          <w:bCs/>
          <w:color w:val="0000FF"/>
          <w:szCs w:val="20"/>
        </w:rPr>
      </w:pPr>
      <w:r>
        <w:rPr>
          <w:color w:val="0000FF"/>
          <w:szCs w:val="20"/>
        </w:rPr>
        <w:br w:type="page"/>
      </w:r>
    </w:p>
    <w:p w:rsidR="00596D27" w:rsidRPr="00FA3856" w:rsidRDefault="00596D27" w:rsidP="00867F54">
      <w:pPr>
        <w:pStyle w:val="Ttulo4"/>
      </w:pPr>
      <w:bookmarkStart w:id="79" w:name="_Toc479713686"/>
      <w:r w:rsidRPr="00FA3856">
        <w:lastRenderedPageBreak/>
        <w:t>Registro C350: Identificação da Data dos Saldos das Contas de Resultado Antes do Encerramento</w:t>
      </w:r>
      <w:bookmarkEnd w:id="79"/>
      <w:r w:rsidRPr="00FA3856">
        <w:t xml:space="preserve"> </w:t>
      </w:r>
    </w:p>
    <w:p w:rsidR="00596D27" w:rsidRPr="00FA3856" w:rsidRDefault="00596D27" w:rsidP="00596D27">
      <w:pPr>
        <w:pStyle w:val="Cabealho"/>
        <w:widowControl w:val="0"/>
        <w:autoSpaceDE w:val="0"/>
        <w:autoSpaceDN w:val="0"/>
        <w:adjustRightInd w:val="0"/>
        <w:rPr>
          <w:rFonts w:ascii="Times New Roman" w:hAnsi="Times New Roman" w:cs="Times New Roman"/>
          <w:sz w:val="20"/>
          <w:szCs w:val="20"/>
          <w:lang w:eastAsia="pt-BR"/>
        </w:rPr>
      </w:pPr>
    </w:p>
    <w:p w:rsidR="00596D27" w:rsidRPr="00FA3856" w:rsidRDefault="00596D27" w:rsidP="00596D27">
      <w:pPr>
        <w:pStyle w:val="PSDS-CorpodeTexto0"/>
        <w:jc w:val="both"/>
        <w:rPr>
          <w:rFonts w:ascii="Times New Roman" w:hAnsi="Times New Roman"/>
        </w:rPr>
      </w:pPr>
      <w:r w:rsidRPr="00FA3856">
        <w:rPr>
          <w:rFonts w:ascii="Times New Roman" w:hAnsi="Times New Roman"/>
          <w:b/>
        </w:rPr>
        <w:tab/>
      </w:r>
      <w:r w:rsidRPr="00FA3856">
        <w:rPr>
          <w:rFonts w:ascii="Times New Roman" w:hAnsi="Times New Roman"/>
        </w:rPr>
        <w:t>Registro preenchido pelo sistema ao executar a funcionalidade de recuperação da ECD. Recupera as contas patrimoniais dos registros I350 (saldos das contas de resultado antes do encerramento – identificação da data) das ECD do período</w:t>
      </w:r>
      <w:r w:rsidRPr="00FA3856">
        <w:rPr>
          <w:rFonts w:ascii="Times New Roman" w:hAnsi="Times New Roman"/>
          <w:lang w:val="pt-PT"/>
        </w:rPr>
        <w:t>.</w:t>
      </w:r>
    </w:p>
    <w:p w:rsidR="006A5618" w:rsidRDefault="006A5618">
      <w:pPr>
        <w:spacing w:after="200" w:line="276" w:lineRule="auto"/>
        <w:rPr>
          <w:color w:val="0000FF"/>
          <w:szCs w:val="20"/>
        </w:rPr>
      </w:pPr>
    </w:p>
    <w:p w:rsidR="00F3257C" w:rsidRDefault="00B35FA3" w:rsidP="00F3257C">
      <w:pPr>
        <w:spacing w:after="200" w:line="276" w:lineRule="auto"/>
        <w:jc w:val="center"/>
        <w:rPr>
          <w:color w:val="0000FF"/>
          <w:szCs w:val="20"/>
        </w:rPr>
      </w:pPr>
      <w:r>
        <w:rPr>
          <w:color w:val="0000FF"/>
          <w:szCs w:val="20"/>
        </w:rPr>
        <w:object w:dxaOrig="13395" w:dyaOrig="2385">
          <v:shape id="_x0000_i1602" type="#_x0000_t75" style="width:669.75pt;height:122.25pt" o:ole="">
            <v:imagedata r:id="rId150" o:title=""/>
          </v:shape>
          <o:OLEObject Type="Link" ProgID="Excel.Sheet.12" ShapeID="_x0000_i1602" DrawAspect="Content" r:id="rId151" UpdateMode="Always">
            <o:LinkType>EnhancedMetaFile</o:LinkType>
            <o:LockedField>false</o:LockedField>
          </o:OLEObject>
        </w:object>
      </w:r>
    </w:p>
    <w:p w:rsidR="001A297B" w:rsidRPr="00FA3856" w:rsidRDefault="001A297B" w:rsidP="006A5618">
      <w:pPr>
        <w:spacing w:after="200" w:line="276" w:lineRule="auto"/>
        <w:jc w:val="center"/>
        <w:rPr>
          <w:b/>
          <w:bCs/>
          <w:color w:val="0000FF"/>
          <w:szCs w:val="20"/>
        </w:rPr>
      </w:pPr>
      <w:r w:rsidRPr="00FA3856">
        <w:rPr>
          <w:color w:val="0000FF"/>
          <w:szCs w:val="20"/>
        </w:rPr>
        <w:br w:type="page"/>
      </w:r>
    </w:p>
    <w:p w:rsidR="00596D27" w:rsidRPr="00FA3856" w:rsidRDefault="00596D27" w:rsidP="00867F54">
      <w:pPr>
        <w:pStyle w:val="Ttulo4"/>
      </w:pPr>
      <w:bookmarkStart w:id="80" w:name="_Toc479713687"/>
      <w:r w:rsidRPr="00FA3856">
        <w:lastRenderedPageBreak/>
        <w:t>Registro C355: Detalhes dos Saldos das Contas de Resultado Antes do Encerramento</w:t>
      </w:r>
      <w:bookmarkEnd w:id="80"/>
      <w:r w:rsidRPr="00FA3856">
        <w:t xml:space="preserve"> </w:t>
      </w:r>
    </w:p>
    <w:p w:rsidR="00596D27" w:rsidRPr="00FA3856" w:rsidRDefault="00596D27" w:rsidP="00596D27">
      <w:pPr>
        <w:pStyle w:val="Cabealho"/>
        <w:widowControl w:val="0"/>
        <w:autoSpaceDE w:val="0"/>
        <w:autoSpaceDN w:val="0"/>
        <w:adjustRightInd w:val="0"/>
        <w:rPr>
          <w:rFonts w:ascii="Times New Roman" w:hAnsi="Times New Roman" w:cs="Times New Roman"/>
          <w:sz w:val="20"/>
          <w:szCs w:val="20"/>
          <w:lang w:eastAsia="pt-BR"/>
        </w:rPr>
      </w:pPr>
    </w:p>
    <w:p w:rsidR="00596D27" w:rsidRPr="00FA3856" w:rsidRDefault="00596D27" w:rsidP="00596D27">
      <w:pPr>
        <w:pStyle w:val="PSDS-CorpodeTexto0"/>
        <w:jc w:val="both"/>
        <w:rPr>
          <w:rFonts w:ascii="Times New Roman" w:hAnsi="Times New Roman"/>
        </w:rPr>
      </w:pPr>
      <w:r w:rsidRPr="00FA3856">
        <w:rPr>
          <w:rFonts w:ascii="Times New Roman" w:hAnsi="Times New Roman"/>
          <w:b/>
        </w:rPr>
        <w:tab/>
      </w:r>
      <w:r w:rsidRPr="00FA3856">
        <w:rPr>
          <w:rFonts w:ascii="Times New Roman" w:hAnsi="Times New Roman"/>
        </w:rPr>
        <w:t xml:space="preserve">Registro preenchido pelo sistema ao executar a funcionalidade de recuperação da ECD. Recupera </w:t>
      </w:r>
      <w:r w:rsidR="00B5790B" w:rsidRPr="00FA3856">
        <w:rPr>
          <w:rFonts w:ascii="Times New Roman" w:hAnsi="Times New Roman"/>
        </w:rPr>
        <w:t>os registros</w:t>
      </w:r>
      <w:r w:rsidRPr="00FA3856">
        <w:rPr>
          <w:rFonts w:ascii="Times New Roman" w:hAnsi="Times New Roman"/>
        </w:rPr>
        <w:t xml:space="preserve"> I355 (detalhes dos saldos das contas de resultado antes do encerramento) das ECD do período</w:t>
      </w:r>
      <w:r w:rsidRPr="00FA3856">
        <w:rPr>
          <w:rFonts w:ascii="Times New Roman" w:hAnsi="Times New Roman"/>
          <w:lang w:val="pt-PT"/>
        </w:rPr>
        <w:t>.</w:t>
      </w:r>
    </w:p>
    <w:p w:rsidR="00F31D0F" w:rsidRDefault="00F31D0F" w:rsidP="00F31D0F">
      <w:pPr>
        <w:pStyle w:val="PSDS-MarcadoresNivel2"/>
        <w:numPr>
          <w:ilvl w:val="0"/>
          <w:numId w:val="0"/>
        </w:numPr>
        <w:spacing w:before="0" w:after="0"/>
        <w:ind w:left="360"/>
        <w:rPr>
          <w:rFonts w:ascii="Times New Roman" w:hAnsi="Times New Roman"/>
        </w:rPr>
      </w:pPr>
    </w:p>
    <w:p w:rsidR="008B302F" w:rsidRPr="00FA3856" w:rsidRDefault="00B35FA3" w:rsidP="008B302F">
      <w:pPr>
        <w:pStyle w:val="PSDS-MarcadoresNivel2"/>
        <w:numPr>
          <w:ilvl w:val="0"/>
          <w:numId w:val="0"/>
        </w:numPr>
        <w:spacing w:before="0" w:after="0"/>
        <w:ind w:left="360"/>
        <w:jc w:val="center"/>
        <w:rPr>
          <w:rFonts w:ascii="Times New Roman" w:hAnsi="Times New Roman"/>
        </w:rPr>
      </w:pPr>
      <w:r>
        <w:rPr>
          <w:rFonts w:ascii="Times New Roman" w:hAnsi="Times New Roman"/>
        </w:rPr>
        <w:object w:dxaOrig="13425" w:dyaOrig="4575">
          <v:shape id="_x0000_i1604" type="#_x0000_t75" style="width:669pt;height:230.25pt" o:ole="">
            <v:imagedata r:id="rId152" o:title=""/>
          </v:shape>
          <o:OLEObject Type="Link" ProgID="Excel.Sheet.12" ShapeID="_x0000_i1604" DrawAspect="Content" r:id="rId153" UpdateMode="Always">
            <o:LinkType>EnhancedMetaFile</o:LinkType>
            <o:LockedField>false</o:LockedField>
          </o:OLEObject>
        </w:object>
      </w:r>
    </w:p>
    <w:p w:rsidR="001A297B" w:rsidRPr="00FA3856" w:rsidRDefault="001A297B">
      <w:pPr>
        <w:spacing w:after="200" w:line="276" w:lineRule="auto"/>
        <w:rPr>
          <w:b/>
          <w:bCs/>
          <w:color w:val="0000FF"/>
          <w:szCs w:val="20"/>
        </w:rPr>
      </w:pPr>
      <w:r w:rsidRPr="00FA3856">
        <w:rPr>
          <w:color w:val="0000FF"/>
          <w:szCs w:val="20"/>
        </w:rPr>
        <w:br w:type="page"/>
      </w:r>
    </w:p>
    <w:p w:rsidR="00AA4C2B" w:rsidRPr="00FA3856" w:rsidRDefault="00AA4C2B" w:rsidP="00867F54">
      <w:pPr>
        <w:pStyle w:val="Ttulo4"/>
      </w:pPr>
      <w:bookmarkStart w:id="81" w:name="_Toc479713688"/>
      <w:r w:rsidRPr="00FA3856">
        <w:lastRenderedPageBreak/>
        <w:t>Registro C990: Encerramento do Bloco C</w:t>
      </w:r>
      <w:bookmarkEnd w:id="81"/>
    </w:p>
    <w:p w:rsidR="007F6CEC" w:rsidRDefault="007F6CEC" w:rsidP="00AA4C2B">
      <w:pPr>
        <w:pStyle w:val="PSDS-MarcadoresNivel2"/>
        <w:numPr>
          <w:ilvl w:val="0"/>
          <w:numId w:val="0"/>
        </w:numPr>
        <w:rPr>
          <w:rFonts w:ascii="Times New Roman" w:hAnsi="Times New Roman"/>
        </w:rPr>
      </w:pPr>
    </w:p>
    <w:p w:rsidR="008B2F4F" w:rsidRPr="00FA3856" w:rsidRDefault="00B35FA3" w:rsidP="008B2F4F">
      <w:pPr>
        <w:pStyle w:val="PSDS-MarcadoresNivel2"/>
        <w:numPr>
          <w:ilvl w:val="0"/>
          <w:numId w:val="0"/>
        </w:numPr>
        <w:jc w:val="center"/>
        <w:rPr>
          <w:rFonts w:ascii="Times New Roman" w:hAnsi="Times New Roman"/>
        </w:rPr>
      </w:pPr>
      <w:r>
        <w:rPr>
          <w:rFonts w:ascii="Times New Roman" w:hAnsi="Times New Roman"/>
        </w:rPr>
        <w:object w:dxaOrig="14100" w:dyaOrig="2175">
          <v:shape id="_x0000_i1606" type="#_x0000_t75" style="width:705.75pt;height:107.25pt" o:ole="">
            <v:imagedata r:id="rId154" o:title=""/>
          </v:shape>
          <o:OLEObject Type="Link" ProgID="Excel.Sheet.12" ShapeID="_x0000_i1606" DrawAspect="Content" r:id="rId155" UpdateMode="Always">
            <o:LinkType>EnhancedMetaFile</o:LinkType>
            <o:LockedField>false</o:LockedField>
          </o:OLEObject>
        </w:object>
      </w:r>
    </w:p>
    <w:p w:rsidR="002B1FB0" w:rsidRPr="00FA3856" w:rsidRDefault="002B1FB0">
      <w:pPr>
        <w:rPr>
          <w:b/>
          <w:bCs/>
          <w:color w:val="0000FF"/>
          <w:szCs w:val="20"/>
        </w:rPr>
      </w:pPr>
      <w:r w:rsidRPr="00FA3856">
        <w:rPr>
          <w:color w:val="0000FF"/>
          <w:szCs w:val="20"/>
        </w:rPr>
        <w:br w:type="page"/>
      </w:r>
    </w:p>
    <w:p w:rsidR="002B1FB0" w:rsidRPr="00FA3856" w:rsidRDefault="002B1FB0" w:rsidP="00867F54">
      <w:pPr>
        <w:pStyle w:val="Ttulo3"/>
      </w:pPr>
      <w:bookmarkStart w:id="82" w:name="_Toc479713689"/>
      <w:r w:rsidRPr="00FA3856">
        <w:lastRenderedPageBreak/>
        <w:t>Bloco E: Informações Recuperadas da ECF Anterior e Cálculo Fiscal dos Dados Recuperados da ECD</w:t>
      </w:r>
      <w:bookmarkEnd w:id="82"/>
    </w:p>
    <w:p w:rsidR="002B1FB0" w:rsidRPr="00FA3856" w:rsidRDefault="002B1FB0" w:rsidP="002B1FB0">
      <w:pPr>
        <w:pStyle w:val="PSDS-MarcadoresNivel3"/>
        <w:tabs>
          <w:tab w:val="clear" w:pos="1440"/>
        </w:tabs>
        <w:spacing w:before="0" w:after="0"/>
        <w:ind w:left="720" w:firstLine="0"/>
        <w:rPr>
          <w:rFonts w:ascii="Times New Roman" w:hAnsi="Times New Roman" w:cs="Times New Roman"/>
          <w:szCs w:val="20"/>
        </w:rPr>
      </w:pPr>
    </w:p>
    <w:p w:rsidR="002B1FB0" w:rsidRPr="00FA3856" w:rsidRDefault="002B1FB0" w:rsidP="002B1FB0">
      <w:pPr>
        <w:pStyle w:val="PSDS-MarcadoresNivel2"/>
        <w:numPr>
          <w:ilvl w:val="0"/>
          <w:numId w:val="0"/>
        </w:numPr>
        <w:ind w:firstLine="708"/>
        <w:jc w:val="both"/>
        <w:rPr>
          <w:rFonts w:ascii="Times New Roman" w:hAnsi="Times New Roman"/>
          <w:b w:val="0"/>
        </w:rPr>
      </w:pPr>
      <w:r w:rsidRPr="00FA3856">
        <w:rPr>
          <w:rFonts w:ascii="Times New Roman" w:hAnsi="Times New Roman"/>
          <w:b w:val="0"/>
        </w:rPr>
        <w:t>O bloco E não é preenchido pela empresa. O sistema preencherá o bloco E no momento da recuperação da ECF no período imediatamente anterior e efetuará os cálculos fiscais relativos aos dados recuperados da ECD.</w:t>
      </w:r>
    </w:p>
    <w:p w:rsidR="002B1FB0" w:rsidRPr="00FA3856" w:rsidRDefault="002B1FB0" w:rsidP="002B1FB0">
      <w:pPr>
        <w:pStyle w:val="PSDS-MarcadoresNivel3"/>
        <w:tabs>
          <w:tab w:val="clear" w:pos="1440"/>
        </w:tabs>
        <w:spacing w:before="0" w:after="0"/>
        <w:ind w:left="720" w:firstLine="0"/>
        <w:rPr>
          <w:rFonts w:ascii="Times New Roman" w:hAnsi="Times New Roman" w:cs="Times New Roman"/>
          <w:szCs w:val="20"/>
        </w:rPr>
      </w:pPr>
    </w:p>
    <w:p w:rsidR="002B1FB0" w:rsidRPr="00FA3856" w:rsidRDefault="002B1FB0" w:rsidP="00867F54">
      <w:pPr>
        <w:pStyle w:val="Ttulo4"/>
      </w:pPr>
      <w:bookmarkStart w:id="83" w:name="_Toc479713690"/>
      <w:r w:rsidRPr="00FA3856">
        <w:t>Registro E001: Abertura do Bloco E</w:t>
      </w:r>
      <w:bookmarkEnd w:id="83"/>
    </w:p>
    <w:p w:rsidR="00EB5DDE" w:rsidRDefault="00EB5DDE" w:rsidP="002B1FB0">
      <w:pPr>
        <w:pStyle w:val="PSDS-MarcadoresNivel2"/>
        <w:numPr>
          <w:ilvl w:val="0"/>
          <w:numId w:val="0"/>
        </w:numPr>
        <w:rPr>
          <w:rFonts w:ascii="Times New Roman" w:hAnsi="Times New Roman"/>
        </w:rPr>
      </w:pPr>
    </w:p>
    <w:p w:rsidR="00EB5DDE" w:rsidRDefault="00B35FA3" w:rsidP="00EB5DDE">
      <w:pPr>
        <w:pStyle w:val="PSDS-MarcadoresNivel2"/>
        <w:numPr>
          <w:ilvl w:val="0"/>
          <w:numId w:val="0"/>
        </w:numPr>
        <w:jc w:val="center"/>
        <w:rPr>
          <w:rFonts w:ascii="Times New Roman" w:hAnsi="Times New Roman"/>
        </w:rPr>
      </w:pPr>
      <w:r>
        <w:rPr>
          <w:rFonts w:ascii="Times New Roman" w:hAnsi="Times New Roman"/>
        </w:rPr>
        <w:object w:dxaOrig="13260" w:dyaOrig="3090">
          <v:shape id="_x0000_i1608" type="#_x0000_t75" style="width:662.25pt;height:151.5pt" o:ole="">
            <v:imagedata r:id="rId156" o:title=""/>
          </v:shape>
          <o:OLEObject Type="Link" ProgID="Excel.Sheet.12" ShapeID="_x0000_i1608" DrawAspect="Content" r:id="rId157" UpdateMode="Always">
            <o:LinkType>EnhancedMetaFile</o:LinkType>
            <o:LockedField>false</o:LockedField>
          </o:OLEObject>
        </w:object>
      </w:r>
    </w:p>
    <w:p w:rsidR="00EB5DDE" w:rsidRDefault="00EB5DDE" w:rsidP="002B1FB0">
      <w:pPr>
        <w:pStyle w:val="PSDS-MarcadoresNivel2"/>
        <w:numPr>
          <w:ilvl w:val="0"/>
          <w:numId w:val="0"/>
        </w:numPr>
        <w:rPr>
          <w:rFonts w:ascii="Times New Roman" w:hAnsi="Times New Roman"/>
        </w:rPr>
      </w:pPr>
    </w:p>
    <w:p w:rsidR="002B1FB0" w:rsidRPr="00FA3856" w:rsidRDefault="002B1FB0" w:rsidP="002B1FB0">
      <w:pPr>
        <w:pStyle w:val="PSDS-MarcadoresNivel2"/>
        <w:numPr>
          <w:ilvl w:val="0"/>
          <w:numId w:val="0"/>
        </w:numPr>
        <w:rPr>
          <w:rFonts w:ascii="Times New Roman" w:hAnsi="Times New Roman"/>
        </w:rPr>
      </w:pPr>
      <w:r w:rsidRPr="00FA3856">
        <w:rPr>
          <w:rFonts w:ascii="Times New Roman" w:hAnsi="Times New Roman"/>
        </w:rPr>
        <w:t>I – Regras de Validação do Registro:</w:t>
      </w:r>
    </w:p>
    <w:p w:rsidR="002B1FB0" w:rsidRPr="00FA3856" w:rsidRDefault="002B1FB0" w:rsidP="002B1FB0">
      <w:pPr>
        <w:pStyle w:val="Corpodetexto"/>
        <w:ind w:left="708" w:firstLine="12"/>
        <w:rPr>
          <w:rFonts w:ascii="Times New Roman" w:hAnsi="Times New Roman"/>
          <w:szCs w:val="20"/>
        </w:rPr>
      </w:pPr>
    </w:p>
    <w:p w:rsidR="002B1FB0" w:rsidRPr="00FA3856" w:rsidRDefault="007D0E74" w:rsidP="002B1FB0">
      <w:pPr>
        <w:pStyle w:val="Corpodetexto"/>
        <w:ind w:left="708" w:firstLine="12"/>
        <w:rPr>
          <w:rFonts w:ascii="Times New Roman" w:hAnsi="Times New Roman"/>
          <w:b/>
          <w:szCs w:val="20"/>
        </w:rPr>
      </w:pPr>
      <w:hyperlink r:id="rId158" w:anchor="REGRA_OCORRENCIA_UNITARIA_ARQ" w:history="1">
        <w:r w:rsidR="002B1FB0" w:rsidRPr="00FA3856">
          <w:rPr>
            <w:rFonts w:ascii="Times New Roman" w:hAnsi="Times New Roman"/>
            <w:b/>
            <w:szCs w:val="20"/>
          </w:rPr>
          <w:t>REGRA_OCORRENCIA_UNITARIA_ARQ</w:t>
        </w:r>
      </w:hyperlink>
      <w:r w:rsidR="002B1FB0" w:rsidRPr="00FA3856">
        <w:rPr>
          <w:rFonts w:ascii="Times New Roman" w:hAnsi="Times New Roman"/>
          <w:color w:val="auto"/>
          <w:szCs w:val="20"/>
        </w:rPr>
        <w:t xml:space="preserve">: </w:t>
      </w:r>
      <w:r w:rsidR="002B1FB0" w:rsidRPr="00FA3856">
        <w:rPr>
          <w:rFonts w:ascii="Times New Roman" w:hAnsi="Times New Roman"/>
          <w:szCs w:val="20"/>
        </w:rPr>
        <w:t>Verifica se registro ocorreu apenas uma vez por arquivo, considerando a chave “E001” (REG). Se a regra não for cumprida, a ECF gera um erro.</w:t>
      </w:r>
    </w:p>
    <w:p w:rsidR="00F31D0F" w:rsidRPr="00FA3856" w:rsidRDefault="00F31D0F" w:rsidP="007F6CEC">
      <w:pPr>
        <w:pStyle w:val="PSDS-MarcadoresNivel2"/>
        <w:numPr>
          <w:ilvl w:val="0"/>
          <w:numId w:val="0"/>
        </w:numPr>
        <w:spacing w:before="0" w:after="0"/>
        <w:rPr>
          <w:rFonts w:ascii="Times New Roman" w:hAnsi="Times New Roman"/>
          <w:lang w:val="pt-PT"/>
        </w:rPr>
      </w:pPr>
    </w:p>
    <w:p w:rsidR="007F6CEC" w:rsidRPr="00FA3856" w:rsidRDefault="007F6CEC" w:rsidP="007F6CEC">
      <w:pPr>
        <w:pStyle w:val="PSDS-MarcadoresNivel2"/>
        <w:numPr>
          <w:ilvl w:val="0"/>
          <w:numId w:val="0"/>
        </w:numPr>
        <w:spacing w:before="0" w:after="0"/>
        <w:rPr>
          <w:rFonts w:ascii="Times New Roman" w:hAnsi="Times New Roman"/>
          <w:lang w:val="pt-PT"/>
        </w:rPr>
      </w:pPr>
    </w:p>
    <w:p w:rsidR="002247D6" w:rsidRPr="00FA3856" w:rsidRDefault="002247D6" w:rsidP="002247D6">
      <w:pPr>
        <w:rPr>
          <w:szCs w:val="20"/>
        </w:rPr>
      </w:pPr>
    </w:p>
    <w:p w:rsidR="00A1705C" w:rsidRPr="00FA3856" w:rsidRDefault="00A1705C">
      <w:pPr>
        <w:rPr>
          <w:color w:val="0000FF"/>
          <w:szCs w:val="20"/>
        </w:rPr>
      </w:pPr>
    </w:p>
    <w:p w:rsidR="00953CA7" w:rsidRPr="00FA3856" w:rsidRDefault="00953CA7">
      <w:pPr>
        <w:rPr>
          <w:color w:val="0000FF"/>
          <w:szCs w:val="20"/>
        </w:rPr>
      </w:pPr>
      <w:r w:rsidRPr="00FA3856">
        <w:rPr>
          <w:color w:val="0000FF"/>
          <w:szCs w:val="20"/>
        </w:rPr>
        <w:br w:type="page"/>
      </w:r>
    </w:p>
    <w:p w:rsidR="009E6E6A" w:rsidRPr="00FA3856" w:rsidRDefault="009E6E6A" w:rsidP="00867F54">
      <w:pPr>
        <w:pStyle w:val="Ttulo4"/>
      </w:pPr>
      <w:bookmarkStart w:id="84" w:name="_Toc479713691"/>
      <w:r w:rsidRPr="00FA3856">
        <w:lastRenderedPageBreak/>
        <w:t>Registro E010: Saldos Finais Recuperados da ECF Anterior</w:t>
      </w:r>
      <w:bookmarkEnd w:id="84"/>
    </w:p>
    <w:p w:rsidR="009E6E6A" w:rsidRPr="00FA3856" w:rsidRDefault="009E6E6A" w:rsidP="009E6E6A">
      <w:pPr>
        <w:rPr>
          <w:szCs w:val="20"/>
        </w:rPr>
      </w:pPr>
    </w:p>
    <w:p w:rsidR="009E6E6A" w:rsidRPr="00FA3856" w:rsidRDefault="009E6E6A" w:rsidP="009E6E6A">
      <w:pPr>
        <w:ind w:firstLine="708"/>
        <w:jc w:val="both"/>
        <w:rPr>
          <w:szCs w:val="20"/>
        </w:rPr>
      </w:pPr>
      <w:r w:rsidRPr="00FA3856">
        <w:rPr>
          <w:szCs w:val="20"/>
        </w:rPr>
        <w:t>Este registro armazena as informações provenientes dos registros L100/L300 ou P100</w:t>
      </w:r>
      <w:r w:rsidR="002B1BD2" w:rsidRPr="00FA3856">
        <w:rPr>
          <w:szCs w:val="20"/>
        </w:rPr>
        <w:t>/P150</w:t>
      </w:r>
      <w:r w:rsidRPr="00FA3856">
        <w:rPr>
          <w:szCs w:val="20"/>
        </w:rPr>
        <w:t xml:space="preserve"> ou U100</w:t>
      </w:r>
      <w:r w:rsidR="002B1BD2" w:rsidRPr="00FA3856">
        <w:rPr>
          <w:szCs w:val="20"/>
        </w:rPr>
        <w:t>/U150</w:t>
      </w:r>
      <w:r w:rsidRPr="00FA3856">
        <w:rPr>
          <w:szCs w:val="20"/>
        </w:rPr>
        <w:t xml:space="preserve"> da ECF do período imediatamente anterior. O usuário solicitará a recuperação dos dados através da funcionalidade “Recuperar Saldos </w:t>
      </w:r>
      <w:r w:rsidR="007007FB" w:rsidRPr="00FA3856">
        <w:rPr>
          <w:szCs w:val="20"/>
        </w:rPr>
        <w:t xml:space="preserve">da </w:t>
      </w:r>
      <w:r w:rsidRPr="00FA3856">
        <w:rPr>
          <w:szCs w:val="20"/>
        </w:rPr>
        <w:t>ECF anterior”.</w:t>
      </w:r>
    </w:p>
    <w:p w:rsidR="00245006" w:rsidRDefault="00245006">
      <w:pPr>
        <w:rPr>
          <w:color w:val="0000FF"/>
          <w:szCs w:val="20"/>
        </w:rPr>
      </w:pPr>
    </w:p>
    <w:p w:rsidR="00361BA8" w:rsidRPr="00FA3856" w:rsidRDefault="00B35FA3" w:rsidP="00245006">
      <w:pPr>
        <w:jc w:val="center"/>
        <w:rPr>
          <w:b/>
          <w:bCs/>
          <w:color w:val="0000FF"/>
          <w:szCs w:val="20"/>
        </w:rPr>
      </w:pPr>
      <w:r>
        <w:rPr>
          <w:color w:val="0000FF"/>
          <w:szCs w:val="20"/>
        </w:rPr>
        <w:object w:dxaOrig="13695" w:dyaOrig="4110">
          <v:shape id="_x0000_i1610" type="#_x0000_t75" style="width:683.25pt;height:208.5pt" o:ole="">
            <v:imagedata r:id="rId159" o:title=""/>
          </v:shape>
          <o:OLEObject Type="Link" ProgID="Excel.Sheet.12" ShapeID="_x0000_i1610" DrawAspect="Content" r:id="rId160" UpdateMode="Always">
            <o:LinkType>EnhancedMetaFile</o:LinkType>
            <o:LockedField>false</o:LockedField>
          </o:OLEObject>
        </w:object>
      </w:r>
      <w:r w:rsidR="00361BA8" w:rsidRPr="00FA3856">
        <w:rPr>
          <w:color w:val="0000FF"/>
          <w:szCs w:val="20"/>
        </w:rPr>
        <w:br w:type="page"/>
      </w:r>
    </w:p>
    <w:p w:rsidR="009E6E6A" w:rsidRPr="00FA3856" w:rsidRDefault="009E6E6A" w:rsidP="00867F54">
      <w:pPr>
        <w:pStyle w:val="Ttulo4"/>
      </w:pPr>
      <w:bookmarkStart w:id="85" w:name="_Toc479713692"/>
      <w:r w:rsidRPr="00FA3856">
        <w:lastRenderedPageBreak/>
        <w:t>Registro E015: Contas Contábeis Mapeadas</w:t>
      </w:r>
      <w:bookmarkEnd w:id="85"/>
    </w:p>
    <w:p w:rsidR="009E6E6A" w:rsidRPr="00FA3856" w:rsidRDefault="009E6E6A" w:rsidP="009E6E6A">
      <w:pPr>
        <w:pStyle w:val="PSDS-MarcadoresNivel1"/>
        <w:numPr>
          <w:ilvl w:val="0"/>
          <w:numId w:val="0"/>
        </w:numPr>
        <w:spacing w:before="0" w:after="0"/>
        <w:jc w:val="both"/>
        <w:rPr>
          <w:rFonts w:ascii="Times New Roman" w:hAnsi="Times New Roman"/>
        </w:rPr>
      </w:pPr>
    </w:p>
    <w:p w:rsidR="009E6E6A" w:rsidRPr="00FA3856" w:rsidRDefault="009E6E6A" w:rsidP="009E6E6A">
      <w:pPr>
        <w:pStyle w:val="PSDS-MarcadoresNivel1"/>
        <w:numPr>
          <w:ilvl w:val="0"/>
          <w:numId w:val="0"/>
        </w:numPr>
        <w:spacing w:before="0" w:after="0"/>
        <w:ind w:firstLine="708"/>
        <w:jc w:val="both"/>
        <w:rPr>
          <w:rFonts w:ascii="Times New Roman" w:hAnsi="Times New Roman"/>
          <w:b w:val="0"/>
          <w:bCs/>
        </w:rPr>
      </w:pPr>
      <w:r w:rsidRPr="00FA3856">
        <w:rPr>
          <w:rFonts w:ascii="Times New Roman" w:hAnsi="Times New Roman"/>
          <w:b w:val="0"/>
        </w:rPr>
        <w:t>Este registro armazena as informações</w:t>
      </w:r>
      <w:r w:rsidR="002B1BD2" w:rsidRPr="00FA3856">
        <w:rPr>
          <w:rFonts w:ascii="Times New Roman" w:hAnsi="Times New Roman"/>
          <w:b w:val="0"/>
        </w:rPr>
        <w:t xml:space="preserve"> provenientes dos registros K155/K1</w:t>
      </w:r>
      <w:r w:rsidRPr="00FA3856">
        <w:rPr>
          <w:rFonts w:ascii="Times New Roman" w:hAnsi="Times New Roman"/>
          <w:b w:val="0"/>
        </w:rPr>
        <w:t xml:space="preserve">56 da ECF do período imediatamente anterior. O usuário solicitará a recuperação dos dados através da funcionalidade “Recuperar Saldos </w:t>
      </w:r>
      <w:r w:rsidR="007007FB" w:rsidRPr="00FA3856">
        <w:rPr>
          <w:rFonts w:ascii="Times New Roman" w:hAnsi="Times New Roman"/>
          <w:b w:val="0"/>
        </w:rPr>
        <w:t>da ECF</w:t>
      </w:r>
      <w:r w:rsidRPr="00FA3856">
        <w:rPr>
          <w:rFonts w:ascii="Times New Roman" w:hAnsi="Times New Roman"/>
          <w:b w:val="0"/>
        </w:rPr>
        <w:t xml:space="preserve"> anterior”.</w:t>
      </w:r>
    </w:p>
    <w:p w:rsidR="00997131" w:rsidRDefault="00997131" w:rsidP="009E6E6A">
      <w:pPr>
        <w:jc w:val="both"/>
        <w:rPr>
          <w:b/>
          <w:szCs w:val="20"/>
          <w:lang w:val="pt-PT"/>
        </w:rPr>
      </w:pPr>
    </w:p>
    <w:p w:rsidR="00997131" w:rsidRDefault="00B35FA3" w:rsidP="00997131">
      <w:pPr>
        <w:jc w:val="center"/>
        <w:rPr>
          <w:b/>
          <w:szCs w:val="20"/>
          <w:lang w:val="pt-PT"/>
        </w:rPr>
      </w:pPr>
      <w:r>
        <w:rPr>
          <w:b/>
          <w:szCs w:val="20"/>
          <w:lang w:val="pt-PT"/>
        </w:rPr>
        <w:object w:dxaOrig="13470" w:dyaOrig="5985">
          <v:shape id="_x0000_i1612" type="#_x0000_t75" style="width:676.5pt;height:302.25pt" o:ole="">
            <v:imagedata r:id="rId161" o:title=""/>
          </v:shape>
          <o:OLEObject Type="Link" ProgID="Excel.Sheet.12" ShapeID="_x0000_i1612" DrawAspect="Content" r:id="rId162" UpdateMode="Always">
            <o:LinkType>EnhancedMetaFile</o:LinkType>
            <o:LockedField>false</o:LockedField>
          </o:OLEObject>
        </w:object>
      </w:r>
    </w:p>
    <w:p w:rsidR="00997131" w:rsidRDefault="00997131" w:rsidP="009E6E6A">
      <w:pPr>
        <w:jc w:val="both"/>
        <w:rPr>
          <w:b/>
          <w:szCs w:val="20"/>
          <w:lang w:val="pt-PT"/>
        </w:rPr>
      </w:pPr>
    </w:p>
    <w:p w:rsidR="007F6CEC" w:rsidRPr="00FA3856" w:rsidRDefault="007F6CEC" w:rsidP="009E6E6A">
      <w:pPr>
        <w:jc w:val="both"/>
        <w:rPr>
          <w:b/>
          <w:szCs w:val="20"/>
          <w:lang w:val="pt-PT"/>
        </w:rPr>
      </w:pPr>
      <w:r w:rsidRPr="00FA3856">
        <w:rPr>
          <w:b/>
          <w:szCs w:val="20"/>
          <w:lang w:val="pt-PT"/>
        </w:rPr>
        <w:t>I – Regras de validação do registro:</w:t>
      </w:r>
    </w:p>
    <w:p w:rsidR="007F6CEC" w:rsidRPr="00372EFC" w:rsidRDefault="007F6CEC" w:rsidP="009E6E6A">
      <w:pPr>
        <w:jc w:val="both"/>
        <w:rPr>
          <w:szCs w:val="20"/>
          <w:lang w:val="pt-PT"/>
        </w:rPr>
      </w:pPr>
      <w:r w:rsidRPr="00372EFC">
        <w:rPr>
          <w:b/>
          <w:szCs w:val="20"/>
          <w:lang w:val="pt-PT"/>
        </w:rPr>
        <w:t xml:space="preserve">REGRA_EXISTENCIA_MAPEAMENTO: </w:t>
      </w:r>
      <w:r w:rsidR="005218C7" w:rsidRPr="00372EFC">
        <w:rPr>
          <w:szCs w:val="20"/>
          <w:lang w:val="pt-PT"/>
        </w:rPr>
        <w:t xml:space="preserve">Verifica se o mapeamento recuperado existe no mapeamento atual. O erro ocorre se (0010.FORMA_TRIB = “1”, “2”, “3” ou “4” ou (0010.FORMA_TRIB = “5”, “7”, “8” ou “9” e 0010.TIP_ESC_PRE = “C”) e </w:t>
      </w:r>
      <w:r w:rsidRPr="00372EFC">
        <w:rPr>
          <w:szCs w:val="20"/>
          <w:lang w:val="pt-PT"/>
        </w:rPr>
        <w:t>q</w:t>
      </w:r>
      <w:r w:rsidR="005218C7" w:rsidRPr="00372EFC">
        <w:rPr>
          <w:szCs w:val="20"/>
          <w:lang w:val="pt-PT"/>
        </w:rPr>
        <w:t>uando existir o registro E015, não existir pelo menos um</w:t>
      </w:r>
      <w:r w:rsidRPr="00372EFC">
        <w:rPr>
          <w:szCs w:val="20"/>
          <w:lang w:val="pt-PT"/>
        </w:rPr>
        <w:t xml:space="preserve"> registro J051 considerando:</w:t>
      </w:r>
    </w:p>
    <w:p w:rsidR="007F6CEC" w:rsidRPr="00372EFC" w:rsidRDefault="007F6CEC" w:rsidP="007F6CEC">
      <w:pPr>
        <w:pStyle w:val="PSDS-CorpodeTexto0"/>
        <w:tabs>
          <w:tab w:val="left" w:pos="1335"/>
        </w:tabs>
        <w:snapToGrid w:val="0"/>
        <w:rPr>
          <w:rFonts w:ascii="Times New Roman" w:hAnsi="Times New Roman"/>
          <w:lang w:val="es-ES_tradnl"/>
        </w:rPr>
      </w:pPr>
      <w:r w:rsidRPr="00372EFC">
        <w:rPr>
          <w:rFonts w:ascii="Times New Roman" w:hAnsi="Times New Roman"/>
          <w:lang w:val="es-ES_tradnl"/>
        </w:rPr>
        <w:tab/>
        <w:t>E015.COD_CTA = J050.COD_CTA</w:t>
      </w:r>
    </w:p>
    <w:p w:rsidR="007F6CEC" w:rsidRPr="00372EFC" w:rsidRDefault="007F6CEC" w:rsidP="007F6CEC">
      <w:pPr>
        <w:pStyle w:val="PSDS-CorpodeTexto0"/>
        <w:tabs>
          <w:tab w:val="left" w:pos="1335"/>
        </w:tabs>
        <w:snapToGrid w:val="0"/>
        <w:rPr>
          <w:rFonts w:ascii="Times New Roman" w:hAnsi="Times New Roman"/>
          <w:lang w:val="es-ES_tradnl"/>
        </w:rPr>
      </w:pPr>
      <w:r w:rsidRPr="00372EFC">
        <w:rPr>
          <w:rFonts w:ascii="Times New Roman" w:hAnsi="Times New Roman"/>
          <w:lang w:val="es-ES_tradnl"/>
        </w:rPr>
        <w:tab/>
        <w:t xml:space="preserve">E015.COD_CCUS = J051.COD_CCUS </w:t>
      </w:r>
    </w:p>
    <w:p w:rsidR="007F6CEC" w:rsidRPr="00372EFC" w:rsidRDefault="007F6CEC" w:rsidP="007F6CEC">
      <w:pPr>
        <w:pStyle w:val="PSDS-CorpodeTexto0"/>
        <w:tabs>
          <w:tab w:val="left" w:pos="1335"/>
        </w:tabs>
        <w:snapToGrid w:val="0"/>
        <w:rPr>
          <w:rFonts w:ascii="Times New Roman" w:hAnsi="Times New Roman"/>
          <w:lang w:val="es-ES_tradnl"/>
        </w:rPr>
      </w:pPr>
      <w:r w:rsidRPr="00372EFC">
        <w:rPr>
          <w:rFonts w:ascii="Times New Roman" w:hAnsi="Times New Roman"/>
          <w:lang w:val="es-ES_tradnl"/>
        </w:rPr>
        <w:tab/>
        <w:t>E010.COD_CTA_REF = J051.COD_CTA_REF</w:t>
      </w:r>
    </w:p>
    <w:p w:rsidR="005218C7" w:rsidRPr="00372EFC" w:rsidRDefault="005218C7" w:rsidP="007F6CEC">
      <w:pPr>
        <w:pStyle w:val="PSDS-CorpodeTexto0"/>
        <w:tabs>
          <w:tab w:val="left" w:pos="1335"/>
        </w:tabs>
        <w:snapToGrid w:val="0"/>
        <w:rPr>
          <w:rFonts w:ascii="Times New Roman" w:hAnsi="Times New Roman"/>
          <w:lang w:val="es-ES_tradnl"/>
        </w:rPr>
      </w:pPr>
      <w:r w:rsidRPr="00372EFC">
        <w:rPr>
          <w:rFonts w:ascii="Times New Roman" w:hAnsi="Times New Roman"/>
          <w:lang w:val="es-ES_tradnl"/>
        </w:rPr>
        <w:tab/>
        <w:t>E010.VAL_CTA diferente de zero</w:t>
      </w:r>
    </w:p>
    <w:p w:rsidR="007F6CEC" w:rsidRPr="00372EFC" w:rsidRDefault="007F6CEC" w:rsidP="007F6CEC">
      <w:pPr>
        <w:pStyle w:val="PSDS-CorpodeTexto0"/>
        <w:tabs>
          <w:tab w:val="left" w:pos="1335"/>
        </w:tabs>
        <w:snapToGrid w:val="0"/>
        <w:rPr>
          <w:rFonts w:ascii="Times New Roman" w:hAnsi="Times New Roman"/>
          <w:lang w:val="es-ES_tradnl"/>
        </w:rPr>
      </w:pPr>
      <w:r w:rsidRPr="00372EFC">
        <w:rPr>
          <w:rFonts w:ascii="Times New Roman" w:hAnsi="Times New Roman"/>
          <w:lang w:val="es-ES_tradnl"/>
        </w:rPr>
        <w:tab/>
        <w:t xml:space="preserve">Se a regra não for cumprida, a ECF gera um </w:t>
      </w:r>
      <w:r w:rsidR="005218C7" w:rsidRPr="00372EFC">
        <w:rPr>
          <w:rFonts w:ascii="Times New Roman" w:hAnsi="Times New Roman"/>
          <w:lang w:val="es-ES_tradnl"/>
        </w:rPr>
        <w:t>aviso</w:t>
      </w:r>
      <w:r w:rsidRPr="00372EFC">
        <w:rPr>
          <w:rFonts w:ascii="Times New Roman" w:hAnsi="Times New Roman"/>
          <w:lang w:val="es-ES_tradnl"/>
        </w:rPr>
        <w:t>.</w:t>
      </w:r>
    </w:p>
    <w:p w:rsidR="005218C7" w:rsidRPr="00372EFC" w:rsidRDefault="007F6CEC" w:rsidP="007F6CEC">
      <w:pPr>
        <w:pStyle w:val="PSDS-CorpodeTexto0"/>
        <w:tabs>
          <w:tab w:val="left" w:pos="1335"/>
        </w:tabs>
        <w:snapToGrid w:val="0"/>
        <w:rPr>
          <w:rFonts w:ascii="Times New Roman" w:hAnsi="Times New Roman"/>
          <w:lang w:val="es-ES_tradnl"/>
        </w:rPr>
      </w:pPr>
      <w:r w:rsidRPr="00372EFC">
        <w:rPr>
          <w:rFonts w:ascii="Times New Roman" w:hAnsi="Times New Roman"/>
          <w:b/>
          <w:lang w:val="es-ES_tradnl"/>
        </w:rPr>
        <w:lastRenderedPageBreak/>
        <w:t xml:space="preserve">REGRA_EXISTENCIA_K155_E015: </w:t>
      </w:r>
      <w:r w:rsidR="005218C7" w:rsidRPr="00372EFC">
        <w:rPr>
          <w:rFonts w:ascii="Times New Roman" w:hAnsi="Times New Roman"/>
          <w:lang w:val="es-ES_tradnl"/>
        </w:rPr>
        <w:t>Verifica se o saldo inicial (K155) é igual ao somatório do saldo do registro E015 para a mesma conta contábil e centro de custo. O erro ocorre se existir ECF anterior recuperada (0000.HASH_ECF_ANTERIOR é diferente de vazio) e, para cada conta e centro de custo do registro K155 do primeiro período de apuração (K030.DT_INI = 0000.DT_INI) não existir um C157 para a mesma conta e centro de custo subordinado a um C150, onde:</w:t>
      </w:r>
    </w:p>
    <w:p w:rsidR="005218C7" w:rsidRPr="00372EFC" w:rsidRDefault="005218C7" w:rsidP="007F6CEC">
      <w:pPr>
        <w:pStyle w:val="PSDS-CorpodeTexto0"/>
        <w:tabs>
          <w:tab w:val="left" w:pos="1335"/>
        </w:tabs>
        <w:snapToGrid w:val="0"/>
        <w:rPr>
          <w:rFonts w:ascii="Times New Roman" w:hAnsi="Times New Roman"/>
          <w:lang w:val="es-ES_tradnl"/>
        </w:rPr>
      </w:pPr>
      <w:r w:rsidRPr="00372EFC">
        <w:rPr>
          <w:rFonts w:ascii="Times New Roman" w:hAnsi="Times New Roman"/>
          <w:lang w:val="es-ES_tradnl"/>
        </w:rPr>
        <w:tab/>
        <w:t>C150.DT_INI é maior ou igual a K030.DT_INI</w:t>
      </w:r>
    </w:p>
    <w:p w:rsidR="005218C7" w:rsidRPr="00372EFC" w:rsidRDefault="005218C7" w:rsidP="007F6CEC">
      <w:pPr>
        <w:pStyle w:val="PSDS-CorpodeTexto0"/>
        <w:tabs>
          <w:tab w:val="left" w:pos="1335"/>
        </w:tabs>
        <w:snapToGrid w:val="0"/>
        <w:rPr>
          <w:rFonts w:ascii="Times New Roman" w:hAnsi="Times New Roman"/>
          <w:lang w:val="es-ES_tradnl"/>
        </w:rPr>
      </w:pPr>
      <w:r w:rsidRPr="00372EFC">
        <w:rPr>
          <w:rFonts w:ascii="Times New Roman" w:hAnsi="Times New Roman"/>
          <w:lang w:val="es-ES_tradnl"/>
        </w:rPr>
        <w:tab/>
        <w:t>C150.DT_FIN é menor ou igual a K030.DT_FIN</w:t>
      </w:r>
    </w:p>
    <w:p w:rsidR="005218C7" w:rsidRPr="00372EFC" w:rsidRDefault="005218C7" w:rsidP="007F6CEC">
      <w:pPr>
        <w:pStyle w:val="PSDS-CorpodeTexto0"/>
        <w:tabs>
          <w:tab w:val="left" w:pos="1335"/>
        </w:tabs>
        <w:snapToGrid w:val="0"/>
        <w:rPr>
          <w:rFonts w:ascii="Times New Roman" w:hAnsi="Times New Roman"/>
          <w:lang w:val="es-ES_tradnl"/>
        </w:rPr>
      </w:pPr>
    </w:p>
    <w:p w:rsidR="005218C7" w:rsidRPr="00372EFC" w:rsidRDefault="005218C7" w:rsidP="007F6CEC">
      <w:pPr>
        <w:pStyle w:val="PSDS-CorpodeTexto0"/>
        <w:tabs>
          <w:tab w:val="left" w:pos="1335"/>
        </w:tabs>
        <w:snapToGrid w:val="0"/>
        <w:rPr>
          <w:rFonts w:ascii="Times New Roman" w:hAnsi="Times New Roman"/>
          <w:lang w:val="es-ES_tradnl"/>
        </w:rPr>
      </w:pPr>
      <w:r w:rsidRPr="00372EFC">
        <w:rPr>
          <w:rFonts w:ascii="Times New Roman" w:hAnsi="Times New Roman"/>
          <w:lang w:val="es-ES_tradnl"/>
        </w:rPr>
        <w:t xml:space="preserve">e o o saldo inicial (K155.VL_SLD_INI) for diferente do somatório de E015.VAL_CTA, onde: </w:t>
      </w:r>
    </w:p>
    <w:p w:rsidR="005218C7" w:rsidRPr="00372EFC" w:rsidRDefault="005218C7" w:rsidP="007F6CEC">
      <w:pPr>
        <w:pStyle w:val="PSDS-CorpodeTexto0"/>
        <w:tabs>
          <w:tab w:val="left" w:pos="1335"/>
        </w:tabs>
        <w:snapToGrid w:val="0"/>
        <w:rPr>
          <w:rFonts w:ascii="Times New Roman" w:hAnsi="Times New Roman"/>
          <w:lang w:val="es-ES_tradnl"/>
        </w:rPr>
      </w:pPr>
      <w:r w:rsidRPr="00372EFC">
        <w:rPr>
          <w:rFonts w:ascii="Times New Roman" w:hAnsi="Times New Roman"/>
          <w:b/>
          <w:lang w:val="es-ES_tradnl"/>
        </w:rPr>
        <w:tab/>
      </w:r>
      <w:r w:rsidRPr="00372EFC">
        <w:rPr>
          <w:rFonts w:ascii="Times New Roman" w:hAnsi="Times New Roman"/>
          <w:lang w:val="es-ES_tradnl"/>
        </w:rPr>
        <w:t>E015.COD_CTA = K155.COD_CTA; e</w:t>
      </w:r>
    </w:p>
    <w:p w:rsidR="005218C7" w:rsidRPr="00372EFC" w:rsidRDefault="005218C7" w:rsidP="007F6CEC">
      <w:pPr>
        <w:pStyle w:val="PSDS-CorpodeTexto0"/>
        <w:tabs>
          <w:tab w:val="left" w:pos="1335"/>
        </w:tabs>
        <w:snapToGrid w:val="0"/>
        <w:rPr>
          <w:rFonts w:ascii="Times New Roman" w:hAnsi="Times New Roman"/>
          <w:lang w:val="es-ES_tradnl"/>
        </w:rPr>
      </w:pPr>
      <w:r w:rsidRPr="00372EFC">
        <w:rPr>
          <w:rFonts w:ascii="Times New Roman" w:hAnsi="Times New Roman"/>
          <w:lang w:val="es-ES_tradnl"/>
        </w:rPr>
        <w:tab/>
        <w:t>E015.COD_CCUS = K155.COD_CCUS.</w:t>
      </w:r>
    </w:p>
    <w:p w:rsidR="005218C7" w:rsidRPr="00372EFC" w:rsidRDefault="005218C7" w:rsidP="005218C7">
      <w:pPr>
        <w:pStyle w:val="PSDS-CorpodeTexto0"/>
        <w:tabs>
          <w:tab w:val="left" w:pos="1335"/>
        </w:tabs>
        <w:snapToGrid w:val="0"/>
        <w:rPr>
          <w:rFonts w:ascii="Times New Roman" w:hAnsi="Times New Roman"/>
          <w:lang w:val="es-ES_tradnl"/>
        </w:rPr>
      </w:pPr>
      <w:r w:rsidRPr="00372EFC">
        <w:rPr>
          <w:rFonts w:ascii="Times New Roman" w:hAnsi="Times New Roman"/>
          <w:lang w:val="es-ES_tradnl"/>
        </w:rPr>
        <w:t>Se a regra não for cumprida, a ECF gera um aviso.</w:t>
      </w:r>
    </w:p>
    <w:p w:rsidR="00313A66" w:rsidRPr="00372EFC" w:rsidRDefault="00313A66" w:rsidP="00313A66">
      <w:pPr>
        <w:pStyle w:val="PSDS-CorpodeTexto0"/>
        <w:tabs>
          <w:tab w:val="left" w:pos="1335"/>
        </w:tabs>
        <w:snapToGrid w:val="0"/>
        <w:rPr>
          <w:rFonts w:ascii="Times New Roman" w:hAnsi="Times New Roman"/>
          <w:lang w:val="es-ES_tradnl"/>
        </w:rPr>
      </w:pPr>
    </w:p>
    <w:p w:rsidR="00EE7F47" w:rsidRPr="00372EFC" w:rsidRDefault="00313A66" w:rsidP="00EE7F47">
      <w:pPr>
        <w:pStyle w:val="PSDS-CorpodeTexto0"/>
        <w:tabs>
          <w:tab w:val="left" w:pos="1335"/>
        </w:tabs>
        <w:snapToGrid w:val="0"/>
        <w:jc w:val="both"/>
        <w:rPr>
          <w:rFonts w:ascii="Times New Roman" w:hAnsi="Times New Roman"/>
          <w:lang w:val="es-ES_tradnl"/>
        </w:rPr>
      </w:pPr>
      <w:r w:rsidRPr="00372EFC">
        <w:rPr>
          <w:rFonts w:ascii="Times New Roman" w:hAnsi="Times New Roman"/>
          <w:b/>
          <w:lang w:val="es-ES_tradnl"/>
        </w:rPr>
        <w:t xml:space="preserve">REGRA_COMPATIBILIDADE_C155_E015: </w:t>
      </w:r>
      <w:r w:rsidRPr="00372EFC">
        <w:rPr>
          <w:rFonts w:ascii="Times New Roman" w:hAnsi="Times New Roman"/>
          <w:lang w:val="es-ES_tradnl"/>
        </w:rPr>
        <w:t>Verifica se o saldo final da ECF anterior é igual ao saldo inici</w:t>
      </w:r>
      <w:r w:rsidR="00BF5822" w:rsidRPr="00372EFC">
        <w:rPr>
          <w:rFonts w:ascii="Times New Roman" w:hAnsi="Times New Roman"/>
          <w:lang w:val="es-ES_tradnl"/>
        </w:rPr>
        <w:t>al da primeira ECD do período dos</w:t>
      </w:r>
      <w:r w:rsidRPr="00372EFC">
        <w:rPr>
          <w:rFonts w:ascii="Times New Roman" w:hAnsi="Times New Roman"/>
          <w:lang w:val="es-ES_tradnl"/>
        </w:rPr>
        <w:t xml:space="preserve"> registro</w:t>
      </w:r>
      <w:r w:rsidR="00BF5822" w:rsidRPr="00372EFC">
        <w:rPr>
          <w:rFonts w:ascii="Times New Roman" w:hAnsi="Times New Roman"/>
          <w:lang w:val="es-ES_tradnl"/>
        </w:rPr>
        <w:t>s</w:t>
      </w:r>
      <w:r w:rsidRPr="00372EFC">
        <w:rPr>
          <w:rFonts w:ascii="Times New Roman" w:hAnsi="Times New Roman"/>
          <w:lang w:val="es-ES_tradnl"/>
        </w:rPr>
        <w:t xml:space="preserve"> C155. O erro ocorre se existir ECF anterior recuperada (0000.HASH_ECF_ANTERIOR é diferente de vazio) </w:t>
      </w:r>
      <w:r w:rsidR="00EE7F47" w:rsidRPr="00372EFC">
        <w:rPr>
          <w:rFonts w:ascii="Times New Roman" w:hAnsi="Times New Roman"/>
          <w:lang w:val="es-ES_tradnl"/>
        </w:rPr>
        <w:t>e, considerando os registros fil</w:t>
      </w:r>
      <w:r w:rsidR="005B14E2">
        <w:rPr>
          <w:rFonts w:ascii="Times New Roman" w:hAnsi="Times New Roman"/>
          <w:lang w:val="es-ES_tradnl"/>
        </w:rPr>
        <w:t>h</w:t>
      </w:r>
      <w:r w:rsidR="00EE7F47" w:rsidRPr="00372EFC">
        <w:rPr>
          <w:rFonts w:ascii="Times New Roman" w:hAnsi="Times New Roman"/>
          <w:lang w:val="es-ES_tradnl"/>
        </w:rPr>
        <w:t>os de C150, onde (C150.DT_INI = 0000.DT_INI): Para cada conta e centro de custo do registro C155 que não possua</w:t>
      </w:r>
      <w:r w:rsidR="00EE7F47" w:rsidRPr="00E00235">
        <w:rPr>
          <w:rFonts w:ascii="Times New Roman" w:hAnsi="Times New Roman"/>
        </w:rPr>
        <w:t xml:space="preserve"> fil</w:t>
      </w:r>
      <w:r w:rsidR="00BF5822" w:rsidRPr="00E00235">
        <w:rPr>
          <w:rFonts w:ascii="Times New Roman" w:hAnsi="Times New Roman"/>
        </w:rPr>
        <w:t>h</w:t>
      </w:r>
      <w:r w:rsidR="00EE7F47" w:rsidRPr="00E00235">
        <w:rPr>
          <w:rFonts w:ascii="Times New Roman" w:hAnsi="Times New Roman"/>
        </w:rPr>
        <w:t>os</w:t>
      </w:r>
      <w:r w:rsidR="00EE7F47" w:rsidRPr="00372EFC">
        <w:rPr>
          <w:rFonts w:ascii="Times New Roman" w:hAnsi="Times New Roman"/>
          <w:lang w:val="es-ES_tradnl"/>
        </w:rPr>
        <w:t xml:space="preserve"> C157, o valor inicial do C155 é diferente de zero e não existe a mesma conta e centro de custo no registro E015 e a conta é C040.COD_NAT diferente de “4” (contas de resultado).</w:t>
      </w:r>
    </w:p>
    <w:p w:rsidR="00313A66" w:rsidRPr="00372EFC" w:rsidRDefault="00313A66" w:rsidP="00EE7F47">
      <w:pPr>
        <w:pStyle w:val="PSDS-CorpodeTexto0"/>
        <w:tabs>
          <w:tab w:val="left" w:pos="1335"/>
        </w:tabs>
        <w:snapToGrid w:val="0"/>
        <w:jc w:val="both"/>
        <w:rPr>
          <w:rFonts w:ascii="Times New Roman" w:hAnsi="Times New Roman"/>
          <w:lang w:val="es-ES_tradnl"/>
        </w:rPr>
      </w:pPr>
      <w:r w:rsidRPr="00372EFC">
        <w:rPr>
          <w:rFonts w:ascii="Times New Roman" w:hAnsi="Times New Roman"/>
          <w:lang w:val="es-ES_tradnl"/>
        </w:rPr>
        <w:t>Se a regra não for cumprida, a ECF gera um aviso.</w:t>
      </w:r>
    </w:p>
    <w:p w:rsidR="00BF5822" w:rsidRPr="00372EFC" w:rsidRDefault="00BF5822" w:rsidP="00EE7F47">
      <w:pPr>
        <w:pStyle w:val="PSDS-CorpodeTexto0"/>
        <w:tabs>
          <w:tab w:val="left" w:pos="1335"/>
        </w:tabs>
        <w:snapToGrid w:val="0"/>
        <w:jc w:val="both"/>
        <w:rPr>
          <w:rFonts w:ascii="Times New Roman" w:hAnsi="Times New Roman"/>
          <w:lang w:val="es-ES_tradnl"/>
        </w:rPr>
      </w:pPr>
    </w:p>
    <w:p w:rsidR="00BF5822" w:rsidRPr="00372EFC" w:rsidRDefault="00BF5822" w:rsidP="00EE7F47">
      <w:pPr>
        <w:pStyle w:val="PSDS-CorpodeTexto0"/>
        <w:tabs>
          <w:tab w:val="left" w:pos="1335"/>
        </w:tabs>
        <w:snapToGrid w:val="0"/>
        <w:jc w:val="both"/>
        <w:rPr>
          <w:rFonts w:ascii="Times New Roman" w:hAnsi="Times New Roman"/>
          <w:lang w:val="es-ES_tradnl"/>
        </w:rPr>
      </w:pPr>
      <w:r w:rsidRPr="00372EFC">
        <w:rPr>
          <w:rFonts w:ascii="Times New Roman" w:hAnsi="Times New Roman"/>
          <w:b/>
          <w:lang w:val="es-ES_tradnl"/>
        </w:rPr>
        <w:t xml:space="preserve">REGRA_COMPATIBILIDADE_E015_C155_C157: </w:t>
      </w:r>
      <w:r w:rsidRPr="00372EFC">
        <w:rPr>
          <w:rFonts w:ascii="Times New Roman" w:hAnsi="Times New Roman"/>
          <w:lang w:val="es-ES_tradnl"/>
        </w:rPr>
        <w:t xml:space="preserve">Verifica a compatibilidade entre o registro E015 e os registros C155 ou C157. Para cada somatório por conta e centro de custo do registro E015 maior que zero e considerando os filos de C150, onde (C050.DT_INI = 0000.DT_INI): </w:t>
      </w:r>
    </w:p>
    <w:p w:rsidR="00BF5822" w:rsidRPr="00372EFC" w:rsidRDefault="00BF5822" w:rsidP="00EE7F47">
      <w:pPr>
        <w:pStyle w:val="PSDS-CorpodeTexto0"/>
        <w:tabs>
          <w:tab w:val="left" w:pos="1335"/>
        </w:tabs>
        <w:snapToGrid w:val="0"/>
        <w:jc w:val="both"/>
        <w:rPr>
          <w:rFonts w:ascii="Times New Roman" w:hAnsi="Times New Roman"/>
          <w:lang w:val="es-ES_tradnl"/>
        </w:rPr>
      </w:pPr>
      <w:r w:rsidRPr="00372EFC">
        <w:rPr>
          <w:rFonts w:ascii="Times New Roman" w:hAnsi="Times New Roman"/>
          <w:lang w:val="es-ES_tradnl"/>
        </w:rPr>
        <w:tab/>
        <w:t>Se existir C157 para esta conta e centro de custos, o erro ocorre se o somatório de E015 for diferente do somatório de C157 para a mesma conta e centro de custos.</w:t>
      </w:r>
    </w:p>
    <w:p w:rsidR="00BF5822" w:rsidRPr="00372EFC" w:rsidRDefault="00BF5822" w:rsidP="00EE7F47">
      <w:pPr>
        <w:pStyle w:val="PSDS-CorpodeTexto0"/>
        <w:tabs>
          <w:tab w:val="left" w:pos="1335"/>
        </w:tabs>
        <w:snapToGrid w:val="0"/>
        <w:jc w:val="both"/>
        <w:rPr>
          <w:rFonts w:ascii="Times New Roman" w:hAnsi="Times New Roman"/>
          <w:lang w:val="es-ES_tradnl"/>
        </w:rPr>
      </w:pPr>
      <w:r w:rsidRPr="00372EFC">
        <w:rPr>
          <w:rFonts w:ascii="Times New Roman" w:hAnsi="Times New Roman"/>
          <w:lang w:val="es-ES_tradnl"/>
        </w:rPr>
        <w:tab/>
        <w:t>Se não existir C157 para esta conta e centro de custos, o erro ocorre se o somatório de E015 for difer</w:t>
      </w:r>
      <w:r w:rsidR="00E00235">
        <w:rPr>
          <w:rFonts w:ascii="Times New Roman" w:hAnsi="Times New Roman"/>
          <w:lang w:val="es-ES_tradnl"/>
        </w:rPr>
        <w:t>e</w:t>
      </w:r>
      <w:r w:rsidRPr="00372EFC">
        <w:rPr>
          <w:rFonts w:ascii="Times New Roman" w:hAnsi="Times New Roman"/>
          <w:lang w:val="es-ES_tradnl"/>
        </w:rPr>
        <w:t>nte do valor do saldo inicial de C155 para a mesma conta e centro de custos.</w:t>
      </w:r>
    </w:p>
    <w:p w:rsidR="00BF5822" w:rsidRPr="00372EFC" w:rsidRDefault="00BF5822" w:rsidP="00BF5822">
      <w:pPr>
        <w:pStyle w:val="PSDS-CorpodeTexto0"/>
        <w:tabs>
          <w:tab w:val="left" w:pos="1335"/>
        </w:tabs>
        <w:snapToGrid w:val="0"/>
        <w:jc w:val="both"/>
        <w:rPr>
          <w:rFonts w:ascii="Times New Roman" w:hAnsi="Times New Roman"/>
          <w:lang w:val="es-ES_tradnl"/>
        </w:rPr>
      </w:pPr>
      <w:r w:rsidRPr="00372EFC">
        <w:rPr>
          <w:rFonts w:ascii="Times New Roman" w:hAnsi="Times New Roman"/>
          <w:lang w:val="es-ES_tradnl"/>
        </w:rPr>
        <w:t>Se a regra não for cumprida, a ECF gera um aviso.</w:t>
      </w:r>
    </w:p>
    <w:p w:rsidR="00BF5822" w:rsidRPr="00372EFC" w:rsidRDefault="00BF5822" w:rsidP="00EE7F47">
      <w:pPr>
        <w:pStyle w:val="PSDS-CorpodeTexto0"/>
        <w:tabs>
          <w:tab w:val="left" w:pos="1335"/>
        </w:tabs>
        <w:snapToGrid w:val="0"/>
        <w:jc w:val="both"/>
        <w:rPr>
          <w:rFonts w:ascii="Times New Roman" w:hAnsi="Times New Roman"/>
          <w:lang w:val="es-ES_tradnl"/>
        </w:rPr>
      </w:pPr>
    </w:p>
    <w:p w:rsidR="00BF5822" w:rsidRPr="00372EFC" w:rsidRDefault="00BF5822" w:rsidP="00BF5822">
      <w:pPr>
        <w:pStyle w:val="PSDS-CorpodeTexto0"/>
        <w:tabs>
          <w:tab w:val="left" w:pos="1335"/>
        </w:tabs>
        <w:snapToGrid w:val="0"/>
        <w:jc w:val="both"/>
        <w:rPr>
          <w:rFonts w:ascii="Times New Roman" w:hAnsi="Times New Roman"/>
          <w:lang w:val="es-ES_tradnl"/>
        </w:rPr>
      </w:pPr>
      <w:r w:rsidRPr="00372EFC">
        <w:rPr>
          <w:rFonts w:ascii="Times New Roman" w:hAnsi="Times New Roman"/>
          <w:b/>
          <w:lang w:val="es-ES_tradnl"/>
        </w:rPr>
        <w:t xml:space="preserve">REGRA_COMPATIBILIDADE_C157_E015: </w:t>
      </w:r>
      <w:r w:rsidRPr="00372EFC">
        <w:rPr>
          <w:rFonts w:ascii="Times New Roman" w:hAnsi="Times New Roman"/>
          <w:lang w:val="es-ES_tradnl"/>
        </w:rPr>
        <w:t>Verifica se o saldo final da ECF anterior é igual ao saldo inicial da primeira ECD do período dos registros C157. O erro ocorre se existir ECF anterior recuperada (0000.HASH_ECF_ANTERIOR é diferente de vazio) e, considerando os registros fil</w:t>
      </w:r>
      <w:r w:rsidR="005B14E2">
        <w:rPr>
          <w:rFonts w:ascii="Times New Roman" w:hAnsi="Times New Roman"/>
          <w:lang w:val="es-ES_tradnl"/>
        </w:rPr>
        <w:t>h</w:t>
      </w:r>
      <w:r w:rsidRPr="00372EFC">
        <w:rPr>
          <w:rFonts w:ascii="Times New Roman" w:hAnsi="Times New Roman"/>
          <w:lang w:val="es-ES_tradnl"/>
        </w:rPr>
        <w:t>os de C150, onde (C150.DT_INI = 0000.DT_INI): Para cada conta e centro de custo do registro C157, o valor inicial do C157 é diferente de zero e não existe a mesma conta e centro de custo no registro E015 e a conta é C040.COD_NAT diferente de “4” (contas de resultado).</w:t>
      </w:r>
    </w:p>
    <w:p w:rsidR="00BF5822" w:rsidRPr="00372EFC" w:rsidRDefault="00BF5822" w:rsidP="00BF5822">
      <w:pPr>
        <w:pStyle w:val="PSDS-CorpodeTexto0"/>
        <w:tabs>
          <w:tab w:val="left" w:pos="1335"/>
        </w:tabs>
        <w:snapToGrid w:val="0"/>
        <w:jc w:val="both"/>
        <w:rPr>
          <w:rFonts w:ascii="Times New Roman" w:hAnsi="Times New Roman"/>
          <w:lang w:val="es-ES_tradnl"/>
        </w:rPr>
      </w:pPr>
      <w:r w:rsidRPr="00372EFC">
        <w:rPr>
          <w:rFonts w:ascii="Times New Roman" w:hAnsi="Times New Roman"/>
          <w:lang w:val="es-ES_tradnl"/>
        </w:rPr>
        <w:t>Se a regra não for cumprida, a ECF gera um aviso.</w:t>
      </w:r>
    </w:p>
    <w:p w:rsidR="00BF5822" w:rsidRPr="00BF5822" w:rsidRDefault="00BF5822" w:rsidP="00EE7F47">
      <w:pPr>
        <w:pStyle w:val="PSDS-CorpodeTexto0"/>
        <w:tabs>
          <w:tab w:val="left" w:pos="1335"/>
        </w:tabs>
        <w:snapToGrid w:val="0"/>
        <w:jc w:val="both"/>
        <w:rPr>
          <w:rFonts w:ascii="Times New Roman" w:hAnsi="Times New Roman"/>
          <w:b/>
          <w:lang w:val="es-ES_tradnl"/>
        </w:rPr>
      </w:pPr>
    </w:p>
    <w:p w:rsidR="00313A66" w:rsidRPr="00313A66" w:rsidRDefault="00313A66" w:rsidP="005218C7">
      <w:pPr>
        <w:pStyle w:val="PSDS-CorpodeTexto0"/>
        <w:tabs>
          <w:tab w:val="left" w:pos="1335"/>
        </w:tabs>
        <w:snapToGrid w:val="0"/>
        <w:rPr>
          <w:rFonts w:ascii="Times New Roman" w:hAnsi="Times New Roman"/>
          <w:lang w:val="es-ES_tradnl"/>
        </w:rPr>
      </w:pPr>
    </w:p>
    <w:p w:rsidR="007F6CEC" w:rsidRPr="005218C7" w:rsidRDefault="007F6CEC">
      <w:pPr>
        <w:spacing w:after="200" w:line="276" w:lineRule="auto"/>
        <w:rPr>
          <w:b/>
          <w:bCs/>
          <w:color w:val="0000FF"/>
          <w:szCs w:val="20"/>
          <w:lang w:val="es-ES_tradnl"/>
        </w:rPr>
      </w:pPr>
      <w:r w:rsidRPr="005218C7">
        <w:rPr>
          <w:color w:val="0000FF"/>
          <w:szCs w:val="20"/>
          <w:lang w:val="es-ES_tradnl"/>
        </w:rPr>
        <w:br w:type="page"/>
      </w:r>
    </w:p>
    <w:p w:rsidR="00735A4F" w:rsidRPr="00FA3856" w:rsidRDefault="00735A4F" w:rsidP="00867F54">
      <w:pPr>
        <w:pStyle w:val="Ttulo4"/>
      </w:pPr>
      <w:bookmarkStart w:id="86" w:name="_Toc479713693"/>
      <w:r w:rsidRPr="00FA3856">
        <w:lastRenderedPageBreak/>
        <w:t>Registro E020: Saldos Finais das Contas na Parte B do e-Lalur da ECF Imediatamente Anterior</w:t>
      </w:r>
      <w:bookmarkEnd w:id="86"/>
    </w:p>
    <w:p w:rsidR="00735A4F" w:rsidRPr="00FA3856" w:rsidRDefault="00735A4F" w:rsidP="00735A4F">
      <w:pPr>
        <w:pStyle w:val="PSDS-MarcadoresNivel1"/>
        <w:numPr>
          <w:ilvl w:val="0"/>
          <w:numId w:val="0"/>
        </w:numPr>
        <w:spacing w:before="0" w:after="0"/>
        <w:jc w:val="both"/>
        <w:rPr>
          <w:rFonts w:ascii="Times New Roman" w:hAnsi="Times New Roman"/>
        </w:rPr>
      </w:pPr>
    </w:p>
    <w:p w:rsidR="009E6E6A" w:rsidRPr="00FA3856" w:rsidRDefault="009E6E6A" w:rsidP="00735A4F">
      <w:pPr>
        <w:ind w:firstLine="708"/>
        <w:jc w:val="both"/>
        <w:rPr>
          <w:szCs w:val="20"/>
        </w:rPr>
      </w:pPr>
      <w:r w:rsidRPr="00FA3856">
        <w:rPr>
          <w:szCs w:val="20"/>
        </w:rPr>
        <w:t>Recuperação dos saldos finais das contas da parte B do e-LALUR que serão replicados automaticamente pelo sistema para o registro M010/M500.</w:t>
      </w:r>
    </w:p>
    <w:p w:rsidR="00161D22" w:rsidRDefault="00161D22" w:rsidP="009E6E6A">
      <w:pPr>
        <w:jc w:val="both"/>
        <w:rPr>
          <w:b/>
          <w:szCs w:val="20"/>
        </w:rPr>
      </w:pPr>
    </w:p>
    <w:p w:rsidR="00161D22" w:rsidRDefault="00B35FA3" w:rsidP="00161D22">
      <w:pPr>
        <w:jc w:val="center"/>
        <w:rPr>
          <w:b/>
          <w:szCs w:val="20"/>
        </w:rPr>
      </w:pPr>
      <w:r>
        <w:rPr>
          <w:b/>
          <w:szCs w:val="20"/>
        </w:rPr>
        <w:object w:dxaOrig="13830" w:dyaOrig="7890">
          <v:shape id="_x0000_i1614" type="#_x0000_t75" style="width:692.25pt;height:388.5pt" o:ole="">
            <v:imagedata r:id="rId163" o:title=""/>
          </v:shape>
          <o:OLEObject Type="Link" ProgID="Excel.Sheet.12" ShapeID="_x0000_i1614" DrawAspect="Content" r:id="rId164" UpdateMode="Always">
            <o:LinkType>EnhancedMetaFile</o:LinkType>
            <o:LockedField>false</o:LockedField>
          </o:OLEObject>
        </w:object>
      </w:r>
    </w:p>
    <w:p w:rsidR="006F12AE" w:rsidRPr="00FA3856" w:rsidRDefault="004B0072" w:rsidP="009E6E6A">
      <w:pPr>
        <w:jc w:val="both"/>
        <w:rPr>
          <w:b/>
          <w:szCs w:val="20"/>
        </w:rPr>
      </w:pPr>
      <w:r w:rsidRPr="00FA3856">
        <w:rPr>
          <w:b/>
          <w:szCs w:val="20"/>
        </w:rPr>
        <w:t>I</w:t>
      </w:r>
      <w:r w:rsidR="006F12AE" w:rsidRPr="00FA3856">
        <w:rPr>
          <w:b/>
          <w:szCs w:val="20"/>
        </w:rPr>
        <w:t xml:space="preserve"> – Regras de Validação de Registro: </w:t>
      </w:r>
    </w:p>
    <w:p w:rsidR="006F12AE" w:rsidRPr="00FA3856" w:rsidRDefault="006F12AE" w:rsidP="006F12AE">
      <w:pPr>
        <w:ind w:firstLine="708"/>
        <w:jc w:val="both"/>
        <w:rPr>
          <w:szCs w:val="20"/>
        </w:rPr>
      </w:pPr>
      <w:r w:rsidRPr="00FA3856">
        <w:rPr>
          <w:b/>
          <w:bCs/>
          <w:szCs w:val="20"/>
        </w:rPr>
        <w:t xml:space="preserve">REGRA_EXISTENCIA_M010: </w:t>
      </w:r>
      <w:r w:rsidRPr="00FA3856">
        <w:rPr>
          <w:szCs w:val="20"/>
        </w:rPr>
        <w:t xml:space="preserve">Verifica se os dados recuperados no registro E020 existem no registro M010. Se a regra não for cumprida, </w:t>
      </w:r>
      <w:r w:rsidR="004B0072" w:rsidRPr="00FA3856">
        <w:rPr>
          <w:szCs w:val="20"/>
        </w:rPr>
        <w:t>a ECF</w:t>
      </w:r>
      <w:r w:rsidRPr="00FA3856">
        <w:rPr>
          <w:szCs w:val="20"/>
        </w:rPr>
        <w:t xml:space="preserve"> gera um aviso.</w:t>
      </w:r>
    </w:p>
    <w:p w:rsidR="00735A4F" w:rsidRPr="00FA3856" w:rsidRDefault="00735A4F" w:rsidP="00867F54">
      <w:pPr>
        <w:pStyle w:val="Ttulo4"/>
      </w:pPr>
      <w:bookmarkStart w:id="87" w:name="_Toc479713694"/>
      <w:r w:rsidRPr="00FA3856">
        <w:lastRenderedPageBreak/>
        <w:t>Registro E030: Identificação do Período</w:t>
      </w:r>
      <w:bookmarkEnd w:id="87"/>
    </w:p>
    <w:p w:rsidR="00735A4F" w:rsidRPr="00FA3856" w:rsidRDefault="00735A4F" w:rsidP="00735A4F">
      <w:pPr>
        <w:pStyle w:val="PSDS-MarcadoresNivel1"/>
        <w:numPr>
          <w:ilvl w:val="0"/>
          <w:numId w:val="0"/>
        </w:numPr>
        <w:spacing w:before="0" w:after="0"/>
        <w:jc w:val="both"/>
        <w:rPr>
          <w:rFonts w:ascii="Times New Roman" w:hAnsi="Times New Roman"/>
        </w:rPr>
      </w:pPr>
    </w:p>
    <w:p w:rsidR="00735A4F" w:rsidRPr="00FA3856" w:rsidRDefault="00735A4F" w:rsidP="00735A4F">
      <w:pPr>
        <w:pStyle w:val="PSDS-CorpodeTexto0"/>
        <w:ind w:firstLine="284"/>
        <w:jc w:val="both"/>
        <w:rPr>
          <w:rFonts w:ascii="Times New Roman" w:hAnsi="Times New Roman"/>
          <w:lang w:val="pt-PT"/>
        </w:rPr>
      </w:pPr>
      <w:r w:rsidRPr="00FA3856">
        <w:rPr>
          <w:rFonts w:ascii="Times New Roman" w:hAnsi="Times New Roman"/>
        </w:rPr>
        <w:t xml:space="preserve">Registro preenchido pelo sistema ao executar a funcionalidade de recuperar ECD. Calculado de acordo com os </w:t>
      </w:r>
      <w:r w:rsidRPr="00FA3856">
        <w:rPr>
          <w:rFonts w:ascii="Times New Roman" w:hAnsi="Times New Roman"/>
          <w:lang w:val="pt-PT"/>
        </w:rPr>
        <w:t>períodos fiscais determinados no Bloco 0:</w:t>
      </w:r>
    </w:p>
    <w:p w:rsidR="00735A4F" w:rsidRPr="00FA3856" w:rsidRDefault="00735A4F" w:rsidP="00735A4F">
      <w:pPr>
        <w:pStyle w:val="PSDS-CorpodeTexto0"/>
        <w:ind w:firstLine="284"/>
        <w:jc w:val="both"/>
        <w:rPr>
          <w:rFonts w:ascii="Times New Roman" w:hAnsi="Times New Roman"/>
          <w:lang w:val="pt-PT"/>
        </w:rPr>
      </w:pPr>
      <w:r w:rsidRPr="00FA3856">
        <w:rPr>
          <w:rFonts w:ascii="Times New Roman" w:hAnsi="Times New Roman"/>
          <w:lang w:val="pt-PT"/>
        </w:rPr>
        <w:t xml:space="preserve">  </w:t>
      </w:r>
    </w:p>
    <w:p w:rsidR="00735A4F" w:rsidRPr="00FA3856" w:rsidRDefault="00735A4F" w:rsidP="00735A4F">
      <w:pPr>
        <w:pStyle w:val="PSDS-CorpodeTexto0"/>
        <w:ind w:left="284" w:firstLine="424"/>
        <w:jc w:val="both"/>
        <w:rPr>
          <w:rFonts w:ascii="Times New Roman" w:hAnsi="Times New Roman"/>
          <w:lang w:val="pt-PT"/>
        </w:rPr>
      </w:pPr>
      <w:r w:rsidRPr="00FA3856">
        <w:rPr>
          <w:rFonts w:ascii="Times New Roman" w:hAnsi="Times New Roman"/>
          <w:lang w:val="pt-PT"/>
        </w:rPr>
        <w:t xml:space="preserve">- Trimestral; </w:t>
      </w:r>
    </w:p>
    <w:p w:rsidR="00735A4F" w:rsidRPr="00FA3856" w:rsidRDefault="00735A4F" w:rsidP="00735A4F">
      <w:pPr>
        <w:pStyle w:val="PSDS-CorpodeTexto0"/>
        <w:ind w:left="284" w:firstLine="424"/>
        <w:jc w:val="both"/>
        <w:rPr>
          <w:rFonts w:ascii="Times New Roman" w:hAnsi="Times New Roman"/>
          <w:lang w:val="pt-PT"/>
        </w:rPr>
      </w:pPr>
      <w:r w:rsidRPr="00FA3856">
        <w:rPr>
          <w:rFonts w:ascii="Times New Roman" w:hAnsi="Times New Roman"/>
          <w:lang w:val="pt-PT"/>
        </w:rPr>
        <w:t xml:space="preserve">- Anual; ou </w:t>
      </w:r>
    </w:p>
    <w:p w:rsidR="00735A4F" w:rsidRPr="00FA3856" w:rsidRDefault="00735A4F" w:rsidP="00735A4F">
      <w:pPr>
        <w:pStyle w:val="PSDS-CorpodeTexto0"/>
        <w:ind w:left="284" w:firstLine="424"/>
        <w:jc w:val="both"/>
        <w:rPr>
          <w:rFonts w:ascii="Times New Roman" w:hAnsi="Times New Roman"/>
          <w:lang w:val="pt-PT"/>
        </w:rPr>
      </w:pPr>
      <w:r w:rsidRPr="00FA3856">
        <w:rPr>
          <w:rFonts w:ascii="Times New Roman" w:hAnsi="Times New Roman"/>
          <w:lang w:val="pt-PT"/>
        </w:rPr>
        <w:t>- Mensal (para balanços de suspensão e redução).</w:t>
      </w:r>
    </w:p>
    <w:p w:rsidR="009E6E6A" w:rsidRDefault="009E6E6A" w:rsidP="009E6E6A">
      <w:pPr>
        <w:jc w:val="both"/>
        <w:rPr>
          <w:szCs w:val="20"/>
          <w:lang w:val="pt-PT"/>
        </w:rPr>
      </w:pPr>
    </w:p>
    <w:p w:rsidR="00161D22" w:rsidRPr="00FA3856" w:rsidRDefault="00B35FA3" w:rsidP="00161D22">
      <w:pPr>
        <w:jc w:val="center"/>
        <w:rPr>
          <w:szCs w:val="20"/>
          <w:lang w:val="pt-PT"/>
        </w:rPr>
      </w:pPr>
      <w:r>
        <w:rPr>
          <w:szCs w:val="20"/>
          <w:lang w:val="pt-PT"/>
        </w:rPr>
        <w:object w:dxaOrig="13590" w:dyaOrig="2700">
          <v:shape id="_x0000_i1616" type="#_x0000_t75" style="width:676.5pt;height:136.5pt" o:ole="">
            <v:imagedata r:id="rId165" o:title=""/>
          </v:shape>
          <o:OLEObject Type="Link" ProgID="Excel.Sheet.12" ShapeID="_x0000_i1616" DrawAspect="Content" r:id="rId166" UpdateMode="Always">
            <o:LinkType>EnhancedMetaFile</o:LinkType>
            <o:LockedField>false</o:LockedField>
          </o:OLEObject>
        </w:object>
      </w:r>
    </w:p>
    <w:p w:rsidR="0074344E" w:rsidRDefault="0074344E">
      <w:pPr>
        <w:rPr>
          <w:color w:val="0000FF"/>
          <w:szCs w:val="20"/>
        </w:rPr>
      </w:pPr>
      <w:r w:rsidRPr="00FA3856">
        <w:rPr>
          <w:color w:val="0000FF"/>
          <w:szCs w:val="20"/>
        </w:rPr>
        <w:br w:type="page"/>
      </w:r>
    </w:p>
    <w:p w:rsidR="00161D22" w:rsidRDefault="00B35FA3" w:rsidP="00161D22">
      <w:pPr>
        <w:jc w:val="center"/>
        <w:rPr>
          <w:color w:val="0000FF"/>
          <w:szCs w:val="20"/>
        </w:rPr>
      </w:pPr>
      <w:r>
        <w:rPr>
          <w:color w:val="0000FF"/>
          <w:szCs w:val="20"/>
        </w:rPr>
        <w:object w:dxaOrig="13590" w:dyaOrig="8220">
          <v:shape id="_x0000_i1618" type="#_x0000_t75" style="width:676.5pt;height:410.25pt" o:ole="">
            <v:imagedata r:id="rId167" o:title=""/>
          </v:shape>
          <o:OLEObject Type="Link" ProgID="Excel.Sheet.12" ShapeID="_x0000_i1618" DrawAspect="Content" r:id="rId168" UpdateMode="Always">
            <o:LinkType>EnhancedMetaFile</o:LinkType>
            <o:LockedField>false</o:LockedField>
          </o:OLEObject>
        </w:object>
      </w:r>
    </w:p>
    <w:p w:rsidR="00161D22" w:rsidRPr="00FA3856" w:rsidRDefault="00161D22">
      <w:pPr>
        <w:rPr>
          <w:b/>
          <w:bCs/>
          <w:color w:val="0000FF"/>
          <w:szCs w:val="20"/>
        </w:rPr>
      </w:pPr>
    </w:p>
    <w:p w:rsidR="00161D22" w:rsidRDefault="00161D22">
      <w:pPr>
        <w:spacing w:after="200" w:line="276" w:lineRule="auto"/>
        <w:rPr>
          <w:b/>
          <w:bCs/>
          <w:color w:val="0000FF"/>
          <w:szCs w:val="20"/>
        </w:rPr>
      </w:pPr>
      <w:r>
        <w:rPr>
          <w:color w:val="0000FF"/>
          <w:szCs w:val="20"/>
        </w:rPr>
        <w:br w:type="page"/>
      </w:r>
    </w:p>
    <w:p w:rsidR="00143BCF" w:rsidRPr="00FA3856" w:rsidRDefault="00143BCF" w:rsidP="00867F54">
      <w:pPr>
        <w:pStyle w:val="Ttulo4"/>
      </w:pPr>
      <w:bookmarkStart w:id="88" w:name="_Toc479713695"/>
      <w:r w:rsidRPr="00FA3856">
        <w:lastRenderedPageBreak/>
        <w:t>Registro E155: Detalhes dos Saldos Contábeis Calculados com Base nas ECD</w:t>
      </w:r>
      <w:bookmarkEnd w:id="88"/>
    </w:p>
    <w:p w:rsidR="00143BCF" w:rsidRPr="00FA3856" w:rsidRDefault="00143BCF" w:rsidP="00143BCF">
      <w:pPr>
        <w:pStyle w:val="PSDS-MarcadoresNivel1"/>
        <w:numPr>
          <w:ilvl w:val="0"/>
          <w:numId w:val="0"/>
        </w:numPr>
        <w:spacing w:before="0" w:after="0"/>
        <w:jc w:val="both"/>
        <w:rPr>
          <w:rFonts w:ascii="Times New Roman" w:hAnsi="Times New Roman"/>
        </w:rPr>
      </w:pPr>
    </w:p>
    <w:p w:rsidR="00143BCF" w:rsidRPr="00FA3856" w:rsidRDefault="00143BCF" w:rsidP="00143BCF">
      <w:pPr>
        <w:pStyle w:val="PSDS-CorpodeTexto0"/>
        <w:ind w:firstLine="708"/>
        <w:jc w:val="both"/>
        <w:rPr>
          <w:rFonts w:ascii="Times New Roman" w:hAnsi="Times New Roman"/>
          <w:lang w:val="pt-PT"/>
        </w:rPr>
      </w:pPr>
      <w:r w:rsidRPr="00FA3856">
        <w:rPr>
          <w:rFonts w:ascii="Times New Roman" w:hAnsi="Times New Roman"/>
        </w:rPr>
        <w:t xml:space="preserve">Registro preenchido pelo sistema ao executar a funcionalidade de recuperar ECD. Calculado a partir dos registros recuperados C155 de acordo com os </w:t>
      </w:r>
      <w:r w:rsidRPr="00FA3856">
        <w:rPr>
          <w:rFonts w:ascii="Times New Roman" w:hAnsi="Times New Roman"/>
          <w:lang w:val="pt-PT"/>
        </w:rPr>
        <w:t xml:space="preserve">períodos fiscais. </w:t>
      </w:r>
    </w:p>
    <w:p w:rsidR="00D20580" w:rsidRDefault="00D20580">
      <w:pPr>
        <w:rPr>
          <w:color w:val="0000FF"/>
          <w:szCs w:val="20"/>
        </w:rPr>
      </w:pPr>
    </w:p>
    <w:p w:rsidR="0074344E" w:rsidRPr="00FA3856" w:rsidRDefault="00B35FA3" w:rsidP="00D20580">
      <w:pPr>
        <w:jc w:val="center"/>
        <w:rPr>
          <w:b/>
          <w:bCs/>
          <w:color w:val="0000FF"/>
          <w:szCs w:val="20"/>
        </w:rPr>
      </w:pPr>
      <w:r>
        <w:rPr>
          <w:color w:val="0000FF"/>
          <w:szCs w:val="20"/>
        </w:rPr>
        <w:object w:dxaOrig="13605" w:dyaOrig="5520">
          <v:shape id="_x0000_i1620" type="#_x0000_t75" style="width:676.5pt;height:274.5pt" o:ole="">
            <v:imagedata r:id="rId169" o:title=""/>
          </v:shape>
          <o:OLEObject Type="Link" ProgID="Excel.Sheet.12" ShapeID="_x0000_i1620" DrawAspect="Content" r:id="rId170" UpdateMode="Always">
            <o:LinkType>EnhancedMetaFile</o:LinkType>
            <o:LockedField>false</o:LockedField>
          </o:OLEObject>
        </w:object>
      </w:r>
      <w:r w:rsidR="0074344E" w:rsidRPr="00FA3856">
        <w:rPr>
          <w:color w:val="0000FF"/>
          <w:szCs w:val="20"/>
        </w:rPr>
        <w:br w:type="page"/>
      </w:r>
    </w:p>
    <w:p w:rsidR="000E22C1" w:rsidRPr="00FA3856" w:rsidRDefault="000E22C1" w:rsidP="00867F54">
      <w:pPr>
        <w:pStyle w:val="Ttulo4"/>
      </w:pPr>
      <w:bookmarkStart w:id="89" w:name="_Toc479713696"/>
      <w:r w:rsidRPr="00FA3856">
        <w:lastRenderedPageBreak/>
        <w:t>Registro E355: Detalhes dos Saldos das Contas de Resultado Antes do Encerramento</w:t>
      </w:r>
      <w:bookmarkEnd w:id="89"/>
    </w:p>
    <w:p w:rsidR="000E22C1" w:rsidRPr="00FA3856" w:rsidRDefault="000E22C1" w:rsidP="000E22C1">
      <w:pPr>
        <w:pStyle w:val="PSDS-MarcadoresNivel1"/>
        <w:numPr>
          <w:ilvl w:val="0"/>
          <w:numId w:val="0"/>
        </w:numPr>
        <w:spacing w:before="0" w:after="0"/>
        <w:jc w:val="both"/>
        <w:rPr>
          <w:rFonts w:ascii="Times New Roman" w:hAnsi="Times New Roman"/>
        </w:rPr>
      </w:pPr>
    </w:p>
    <w:p w:rsidR="000E22C1" w:rsidRPr="00FA3856" w:rsidRDefault="000E22C1" w:rsidP="000E22C1">
      <w:pPr>
        <w:pStyle w:val="PSDS-CorpodeTexto0"/>
        <w:ind w:firstLine="708"/>
        <w:jc w:val="both"/>
        <w:rPr>
          <w:rFonts w:ascii="Times New Roman" w:hAnsi="Times New Roman"/>
          <w:lang w:val="pt-PT"/>
        </w:rPr>
      </w:pPr>
      <w:r w:rsidRPr="00FA3856">
        <w:rPr>
          <w:rFonts w:ascii="Times New Roman" w:hAnsi="Times New Roman"/>
        </w:rPr>
        <w:t xml:space="preserve">Registro preenchido pelo sistema ao executar a funcionalidade de recuperar ECD. Calculado a partir dos registros recuperados C355 de acordo com os </w:t>
      </w:r>
      <w:r w:rsidRPr="00FA3856">
        <w:rPr>
          <w:rFonts w:ascii="Times New Roman" w:hAnsi="Times New Roman"/>
          <w:lang w:val="pt-PT"/>
        </w:rPr>
        <w:t xml:space="preserve">períodos fiscais. </w:t>
      </w:r>
    </w:p>
    <w:p w:rsidR="009E6E6A" w:rsidRDefault="009E6E6A" w:rsidP="009E6E6A">
      <w:pPr>
        <w:shd w:val="clear" w:color="auto" w:fill="FFFFFF"/>
        <w:jc w:val="both"/>
        <w:rPr>
          <w:b/>
          <w:bCs/>
          <w:szCs w:val="20"/>
        </w:rPr>
      </w:pPr>
    </w:p>
    <w:p w:rsidR="00D20580" w:rsidRPr="00FA3856" w:rsidRDefault="00B35FA3" w:rsidP="00D20580">
      <w:pPr>
        <w:shd w:val="clear" w:color="auto" w:fill="FFFFFF"/>
        <w:jc w:val="center"/>
        <w:rPr>
          <w:b/>
          <w:bCs/>
          <w:szCs w:val="20"/>
        </w:rPr>
      </w:pPr>
      <w:r>
        <w:rPr>
          <w:b/>
          <w:bCs/>
          <w:szCs w:val="20"/>
        </w:rPr>
        <w:object w:dxaOrig="13800" w:dyaOrig="3795">
          <v:shape id="_x0000_i1622" type="#_x0000_t75" style="width:690.75pt;height:187.5pt" o:ole="">
            <v:imagedata r:id="rId171" o:title=""/>
          </v:shape>
          <o:OLEObject Type="Link" ProgID="Excel.Sheet.12" ShapeID="_x0000_i1622" DrawAspect="Content" r:id="rId172" UpdateMode="Always">
            <o:LinkType>EnhancedMetaFile</o:LinkType>
            <o:LockedField>false</o:LockedField>
          </o:OLEObject>
        </w:object>
      </w:r>
    </w:p>
    <w:p w:rsidR="0074344E" w:rsidRPr="00FA3856" w:rsidRDefault="0074344E">
      <w:pPr>
        <w:rPr>
          <w:b/>
          <w:bCs/>
          <w:color w:val="0000FF"/>
          <w:szCs w:val="20"/>
        </w:rPr>
      </w:pPr>
      <w:r w:rsidRPr="00FA3856">
        <w:rPr>
          <w:color w:val="0000FF"/>
          <w:szCs w:val="20"/>
        </w:rPr>
        <w:br w:type="page"/>
      </w:r>
    </w:p>
    <w:p w:rsidR="009E6E6A" w:rsidRPr="00FA3856" w:rsidRDefault="009E6E6A" w:rsidP="00867F54">
      <w:pPr>
        <w:pStyle w:val="Ttulo4"/>
      </w:pPr>
      <w:bookmarkStart w:id="90" w:name="_Toc479713697"/>
      <w:r w:rsidRPr="00FA3856">
        <w:lastRenderedPageBreak/>
        <w:t>Registro E990: Encerramento do Bloco E</w:t>
      </w:r>
      <w:bookmarkEnd w:id="90"/>
    </w:p>
    <w:p w:rsidR="007F6CEC" w:rsidRDefault="007F6CEC" w:rsidP="009E6E6A">
      <w:pPr>
        <w:pStyle w:val="PSDS-MarcadoresNivel2"/>
        <w:numPr>
          <w:ilvl w:val="0"/>
          <w:numId w:val="0"/>
        </w:numPr>
        <w:rPr>
          <w:rFonts w:ascii="Times New Roman" w:hAnsi="Times New Roman"/>
        </w:rPr>
      </w:pPr>
    </w:p>
    <w:p w:rsidR="003D5EFB" w:rsidRDefault="00B35FA3" w:rsidP="003D5EFB">
      <w:pPr>
        <w:pStyle w:val="PSDS-MarcadoresNivel2"/>
        <w:numPr>
          <w:ilvl w:val="0"/>
          <w:numId w:val="0"/>
        </w:numPr>
        <w:jc w:val="center"/>
        <w:rPr>
          <w:rFonts w:ascii="Times New Roman" w:hAnsi="Times New Roman"/>
        </w:rPr>
      </w:pPr>
      <w:r>
        <w:rPr>
          <w:rFonts w:ascii="Times New Roman" w:hAnsi="Times New Roman"/>
        </w:rPr>
        <w:object w:dxaOrig="14115" w:dyaOrig="2175">
          <v:shape id="_x0000_i1624" type="#_x0000_t75" style="width:705.75pt;height:107.25pt" o:ole="">
            <v:imagedata r:id="rId173" o:title=""/>
          </v:shape>
          <o:OLEObject Type="Link" ProgID="Excel.Sheet.12" ShapeID="_x0000_i1624" DrawAspect="Content" r:id="rId174" UpdateMode="Always">
            <o:LinkType>EnhancedMetaFile</o:LinkType>
            <o:LockedField>false</o:LockedField>
          </o:OLEObject>
        </w:object>
      </w:r>
    </w:p>
    <w:p w:rsidR="00D20580" w:rsidRPr="00FA3856" w:rsidRDefault="00D20580" w:rsidP="00D20580">
      <w:pPr>
        <w:pStyle w:val="PSDS-MarcadoresNivel2"/>
        <w:numPr>
          <w:ilvl w:val="0"/>
          <w:numId w:val="0"/>
        </w:numPr>
        <w:jc w:val="center"/>
        <w:rPr>
          <w:rFonts w:ascii="Times New Roman" w:hAnsi="Times New Roman"/>
        </w:rPr>
      </w:pPr>
    </w:p>
    <w:p w:rsidR="001A2FAA" w:rsidRPr="00FA3856" w:rsidRDefault="001A2FAA">
      <w:pPr>
        <w:spacing w:after="200" w:line="276" w:lineRule="auto"/>
        <w:rPr>
          <w:b/>
          <w:bCs/>
          <w:color w:val="0000FF"/>
          <w:szCs w:val="20"/>
        </w:rPr>
      </w:pPr>
      <w:r w:rsidRPr="00FA3856">
        <w:rPr>
          <w:color w:val="0000FF"/>
          <w:szCs w:val="20"/>
        </w:rPr>
        <w:br w:type="page"/>
      </w:r>
    </w:p>
    <w:p w:rsidR="00C741E3" w:rsidRPr="00FA3856" w:rsidRDefault="00C741E3" w:rsidP="00867F54">
      <w:pPr>
        <w:pStyle w:val="Ttulo3"/>
      </w:pPr>
      <w:bookmarkStart w:id="91" w:name="_Toc479713698"/>
      <w:r w:rsidRPr="00FA3856">
        <w:lastRenderedPageBreak/>
        <w:t>Bloco J: Plano de Contas e Mapeamento</w:t>
      </w:r>
      <w:bookmarkEnd w:id="91"/>
    </w:p>
    <w:p w:rsidR="00C741E3" w:rsidRPr="00FA3856" w:rsidRDefault="00C741E3" w:rsidP="00C741E3">
      <w:pPr>
        <w:pStyle w:val="PSDS-MarcadoresNivel3"/>
        <w:tabs>
          <w:tab w:val="clear" w:pos="1440"/>
        </w:tabs>
        <w:spacing w:before="0" w:after="0"/>
        <w:ind w:left="720" w:firstLine="0"/>
        <w:rPr>
          <w:rFonts w:ascii="Times New Roman" w:hAnsi="Times New Roman" w:cs="Times New Roman"/>
          <w:szCs w:val="20"/>
        </w:rPr>
      </w:pPr>
    </w:p>
    <w:p w:rsidR="005E4785" w:rsidRPr="00FA3856" w:rsidRDefault="00C741E3" w:rsidP="005E4785">
      <w:pPr>
        <w:pStyle w:val="PSDS-MarcadoresNivel2"/>
        <w:numPr>
          <w:ilvl w:val="0"/>
          <w:numId w:val="0"/>
        </w:numPr>
        <w:ind w:firstLine="708"/>
        <w:jc w:val="both"/>
        <w:rPr>
          <w:rFonts w:ascii="Times New Roman" w:hAnsi="Times New Roman"/>
          <w:b w:val="0"/>
        </w:rPr>
      </w:pPr>
      <w:r w:rsidRPr="00FA3856">
        <w:rPr>
          <w:rFonts w:ascii="Times New Roman" w:hAnsi="Times New Roman"/>
          <w:b w:val="0"/>
        </w:rPr>
        <w:t>Apresenta o mapeamento do plano de contas contábil para o plano de contas referencial. Os registros deste bloco podem ser:</w:t>
      </w:r>
    </w:p>
    <w:p w:rsidR="00C741E3" w:rsidRPr="00FA3856" w:rsidRDefault="00C741E3" w:rsidP="007F6CEC">
      <w:pPr>
        <w:pStyle w:val="PSDS-MarcadoresNivel2"/>
        <w:numPr>
          <w:ilvl w:val="0"/>
          <w:numId w:val="0"/>
        </w:numPr>
        <w:ind w:firstLine="708"/>
        <w:jc w:val="both"/>
        <w:rPr>
          <w:rFonts w:ascii="Times New Roman" w:hAnsi="Times New Roman"/>
          <w:b w:val="0"/>
        </w:rPr>
      </w:pPr>
      <w:r w:rsidRPr="00FA3856">
        <w:rPr>
          <w:rFonts w:ascii="Times New Roman" w:hAnsi="Times New Roman"/>
          <w:b w:val="0"/>
        </w:rPr>
        <w:t>I – Digitados;</w:t>
      </w:r>
    </w:p>
    <w:p w:rsidR="00C741E3" w:rsidRPr="00FA3856" w:rsidRDefault="00C741E3" w:rsidP="007F6CEC">
      <w:pPr>
        <w:pStyle w:val="PSDS-MarcadoresNivel2"/>
        <w:numPr>
          <w:ilvl w:val="0"/>
          <w:numId w:val="0"/>
        </w:numPr>
        <w:ind w:firstLine="708"/>
        <w:jc w:val="both"/>
        <w:rPr>
          <w:rFonts w:ascii="Times New Roman" w:hAnsi="Times New Roman"/>
          <w:b w:val="0"/>
        </w:rPr>
      </w:pPr>
      <w:r w:rsidRPr="00FA3856">
        <w:rPr>
          <w:rFonts w:ascii="Times New Roman" w:hAnsi="Times New Roman"/>
          <w:b w:val="0"/>
        </w:rPr>
        <w:t>II – Impor</w:t>
      </w:r>
      <w:r w:rsidR="007F6CEC" w:rsidRPr="00FA3856">
        <w:rPr>
          <w:rFonts w:ascii="Times New Roman" w:hAnsi="Times New Roman"/>
          <w:b w:val="0"/>
        </w:rPr>
        <w:t xml:space="preserve">tados;  </w:t>
      </w:r>
    </w:p>
    <w:p w:rsidR="00C741E3" w:rsidRPr="00FA3856" w:rsidRDefault="00C741E3" w:rsidP="007F6CEC">
      <w:pPr>
        <w:pStyle w:val="PSDS-MarcadoresNivel2"/>
        <w:numPr>
          <w:ilvl w:val="0"/>
          <w:numId w:val="0"/>
        </w:numPr>
        <w:ind w:firstLine="708"/>
        <w:jc w:val="both"/>
        <w:rPr>
          <w:rFonts w:ascii="Times New Roman" w:hAnsi="Times New Roman"/>
          <w:b w:val="0"/>
        </w:rPr>
      </w:pPr>
      <w:r w:rsidRPr="00FA3856">
        <w:rPr>
          <w:rFonts w:ascii="Times New Roman" w:hAnsi="Times New Roman"/>
          <w:b w:val="0"/>
        </w:rPr>
        <w:t>III – Rep</w:t>
      </w:r>
      <w:r w:rsidR="007F6CEC" w:rsidRPr="00FA3856">
        <w:rPr>
          <w:rFonts w:ascii="Times New Roman" w:hAnsi="Times New Roman"/>
          <w:b w:val="0"/>
        </w:rPr>
        <w:t>licados a partir do Bloco E; ou</w:t>
      </w:r>
    </w:p>
    <w:p w:rsidR="00C741E3" w:rsidRPr="00FA3856" w:rsidRDefault="00C741E3" w:rsidP="00C741E3">
      <w:pPr>
        <w:pStyle w:val="PSDS-MarcadoresNivel2"/>
        <w:numPr>
          <w:ilvl w:val="0"/>
          <w:numId w:val="0"/>
        </w:numPr>
        <w:ind w:firstLine="708"/>
        <w:jc w:val="both"/>
        <w:rPr>
          <w:rFonts w:ascii="Times New Roman" w:hAnsi="Times New Roman"/>
          <w:b w:val="0"/>
        </w:rPr>
      </w:pPr>
      <w:r w:rsidRPr="00FA3856">
        <w:rPr>
          <w:rFonts w:ascii="Times New Roman" w:hAnsi="Times New Roman"/>
          <w:b w:val="0"/>
        </w:rPr>
        <w:t>IV – Recuperados da ECF do período imediatamente anterior ao período da escrituração atual, transmitida via Sped.</w:t>
      </w:r>
    </w:p>
    <w:p w:rsidR="00C741E3" w:rsidRPr="00FA3856" w:rsidRDefault="00C741E3">
      <w:pPr>
        <w:rPr>
          <w:b/>
          <w:bCs/>
          <w:color w:val="0000FF"/>
          <w:szCs w:val="20"/>
        </w:rPr>
      </w:pPr>
    </w:p>
    <w:p w:rsidR="00C741E3" w:rsidRPr="00FA3856" w:rsidRDefault="00C741E3" w:rsidP="00867F54">
      <w:pPr>
        <w:pStyle w:val="Ttulo4"/>
      </w:pPr>
      <w:bookmarkStart w:id="92" w:name="_Toc479713699"/>
      <w:r w:rsidRPr="00FA3856">
        <w:t>Registro J001: Abertura do Bloco J</w:t>
      </w:r>
      <w:bookmarkEnd w:id="92"/>
    </w:p>
    <w:p w:rsidR="00C741E3" w:rsidRDefault="00C741E3" w:rsidP="00C741E3">
      <w:pPr>
        <w:pStyle w:val="PSDS-MarcadoresNivel2"/>
        <w:numPr>
          <w:ilvl w:val="0"/>
          <w:numId w:val="0"/>
        </w:numPr>
        <w:rPr>
          <w:rFonts w:ascii="Times New Roman" w:hAnsi="Times New Roman"/>
        </w:rPr>
      </w:pPr>
    </w:p>
    <w:p w:rsidR="0017419C" w:rsidRPr="00FA3856" w:rsidRDefault="00B35FA3" w:rsidP="0017419C">
      <w:pPr>
        <w:pStyle w:val="PSDS-MarcadoresNivel2"/>
        <w:numPr>
          <w:ilvl w:val="0"/>
          <w:numId w:val="0"/>
        </w:numPr>
        <w:jc w:val="center"/>
        <w:rPr>
          <w:rFonts w:ascii="Times New Roman" w:hAnsi="Times New Roman"/>
        </w:rPr>
      </w:pPr>
      <w:r>
        <w:rPr>
          <w:rFonts w:ascii="Times New Roman" w:hAnsi="Times New Roman"/>
        </w:rPr>
        <w:object w:dxaOrig="13305" w:dyaOrig="3090">
          <v:shape id="_x0000_i1626" type="#_x0000_t75" style="width:661.5pt;height:151.5pt" o:ole="">
            <v:imagedata r:id="rId175" o:title=""/>
          </v:shape>
          <o:OLEObject Type="Link" ProgID="Excel.Sheet.12" ShapeID="_x0000_i1626" DrawAspect="Content" r:id="rId176" UpdateMode="Always">
            <o:LinkType>EnhancedMetaFile</o:LinkType>
            <o:LockedField>false</o:LockedField>
          </o:OLEObject>
        </w:object>
      </w:r>
    </w:p>
    <w:p w:rsidR="0017419C" w:rsidRDefault="0017419C" w:rsidP="00C741E3">
      <w:pPr>
        <w:pStyle w:val="PSDS-MarcadoresNivel2"/>
        <w:numPr>
          <w:ilvl w:val="0"/>
          <w:numId w:val="0"/>
        </w:numPr>
        <w:rPr>
          <w:rFonts w:ascii="Times New Roman" w:hAnsi="Times New Roman"/>
        </w:rPr>
      </w:pPr>
    </w:p>
    <w:p w:rsidR="00C741E3" w:rsidRPr="00FA3856" w:rsidRDefault="00C741E3" w:rsidP="00C741E3">
      <w:pPr>
        <w:pStyle w:val="PSDS-MarcadoresNivel2"/>
        <w:numPr>
          <w:ilvl w:val="0"/>
          <w:numId w:val="0"/>
        </w:numPr>
        <w:rPr>
          <w:rFonts w:ascii="Times New Roman" w:hAnsi="Times New Roman"/>
        </w:rPr>
      </w:pPr>
      <w:r w:rsidRPr="00FA3856">
        <w:rPr>
          <w:rFonts w:ascii="Times New Roman" w:hAnsi="Times New Roman"/>
        </w:rPr>
        <w:t>I – Regras de Validação do Registro:</w:t>
      </w:r>
    </w:p>
    <w:p w:rsidR="00C741E3" w:rsidRPr="00FA3856" w:rsidRDefault="00C741E3" w:rsidP="00C741E3">
      <w:pPr>
        <w:pStyle w:val="Corpodetexto"/>
        <w:ind w:left="708" w:firstLine="12"/>
        <w:rPr>
          <w:rFonts w:ascii="Times New Roman" w:hAnsi="Times New Roman"/>
          <w:szCs w:val="20"/>
        </w:rPr>
      </w:pPr>
    </w:p>
    <w:p w:rsidR="00C741E3" w:rsidRPr="00FA3856" w:rsidRDefault="007D0E74" w:rsidP="00C741E3">
      <w:pPr>
        <w:pStyle w:val="Corpodetexto"/>
        <w:ind w:left="708" w:firstLine="12"/>
        <w:rPr>
          <w:rFonts w:ascii="Times New Roman" w:hAnsi="Times New Roman"/>
          <w:b/>
          <w:szCs w:val="20"/>
        </w:rPr>
      </w:pPr>
      <w:hyperlink r:id="rId177" w:anchor="REGRA_OCORRENCIA_UNITARIA_ARQ" w:history="1">
        <w:r w:rsidR="00C741E3" w:rsidRPr="00FA3856">
          <w:rPr>
            <w:rFonts w:ascii="Times New Roman" w:hAnsi="Times New Roman"/>
            <w:b/>
            <w:szCs w:val="20"/>
          </w:rPr>
          <w:t>REGRA_OCORRENCIA_UNITARIA_ARQ</w:t>
        </w:r>
      </w:hyperlink>
      <w:r w:rsidR="00C741E3" w:rsidRPr="00FA3856">
        <w:rPr>
          <w:rFonts w:ascii="Times New Roman" w:hAnsi="Times New Roman"/>
          <w:color w:val="auto"/>
          <w:szCs w:val="20"/>
        </w:rPr>
        <w:t xml:space="preserve">: </w:t>
      </w:r>
      <w:r w:rsidR="00C741E3" w:rsidRPr="00FA3856">
        <w:rPr>
          <w:rFonts w:ascii="Times New Roman" w:hAnsi="Times New Roman"/>
          <w:szCs w:val="20"/>
        </w:rPr>
        <w:t>Verifica se registro ocorreu apenas uma vez por arquivo, considerando a chave “J001” (REG). Se a regra não for cumprida, a ECF gera um erro.</w:t>
      </w:r>
    </w:p>
    <w:p w:rsidR="00C741E3" w:rsidRPr="00FA3856" w:rsidRDefault="00C741E3" w:rsidP="007F6CEC">
      <w:pPr>
        <w:pStyle w:val="PSDS-MarcadoresNivel2"/>
        <w:numPr>
          <w:ilvl w:val="0"/>
          <w:numId w:val="0"/>
        </w:numPr>
        <w:spacing w:before="0" w:after="0"/>
        <w:rPr>
          <w:rFonts w:ascii="Times New Roman" w:hAnsi="Times New Roman"/>
          <w:lang w:val="pt-PT"/>
        </w:rPr>
      </w:pPr>
    </w:p>
    <w:p w:rsidR="00342F1D" w:rsidRDefault="007F6CEC" w:rsidP="007F6CEC">
      <w:pPr>
        <w:pStyle w:val="Corpodetexto"/>
        <w:rPr>
          <w:rFonts w:ascii="Times New Roman" w:hAnsi="Times New Roman"/>
          <w:b/>
          <w:color w:val="002060"/>
          <w:szCs w:val="20"/>
        </w:rPr>
      </w:pPr>
      <w:r w:rsidRPr="00FA3856">
        <w:rPr>
          <w:rFonts w:ascii="Times New Roman" w:hAnsi="Times New Roman"/>
          <w:b/>
          <w:color w:val="002060"/>
          <w:szCs w:val="20"/>
        </w:rPr>
        <w:t xml:space="preserve">Exemplo de Preenchimento: </w:t>
      </w:r>
    </w:p>
    <w:p w:rsidR="00342F1D" w:rsidRDefault="00342F1D" w:rsidP="007F6CEC">
      <w:pPr>
        <w:pStyle w:val="Corpodetexto"/>
        <w:rPr>
          <w:rFonts w:ascii="Times New Roman" w:hAnsi="Times New Roman"/>
          <w:b/>
          <w:color w:val="002060"/>
          <w:szCs w:val="20"/>
        </w:rPr>
      </w:pPr>
    </w:p>
    <w:p w:rsidR="007F6CEC" w:rsidRPr="00FA3856" w:rsidRDefault="007F6CEC" w:rsidP="007F6CEC">
      <w:pPr>
        <w:pStyle w:val="Corpodetexto"/>
        <w:rPr>
          <w:rFonts w:ascii="Times New Roman" w:hAnsi="Times New Roman"/>
          <w:b/>
          <w:color w:val="002060"/>
          <w:szCs w:val="20"/>
        </w:rPr>
      </w:pPr>
      <w:r w:rsidRPr="00FA3856">
        <w:rPr>
          <w:rFonts w:ascii="Times New Roman" w:hAnsi="Times New Roman"/>
          <w:b/>
          <w:color w:val="002060"/>
          <w:szCs w:val="20"/>
        </w:rPr>
        <w:t>|J001|0|</w:t>
      </w:r>
    </w:p>
    <w:p w:rsidR="007F6CEC" w:rsidRPr="00FA3856" w:rsidRDefault="007F6CEC" w:rsidP="007F6CEC">
      <w:pPr>
        <w:pStyle w:val="Corpodetexto"/>
        <w:ind w:firstLine="708"/>
        <w:rPr>
          <w:rFonts w:ascii="Times New Roman" w:hAnsi="Times New Roman"/>
          <w:color w:val="002060"/>
          <w:szCs w:val="20"/>
        </w:rPr>
      </w:pPr>
      <w:r w:rsidRPr="00FA3856">
        <w:rPr>
          <w:rFonts w:ascii="Times New Roman" w:hAnsi="Times New Roman"/>
          <w:color w:val="002060"/>
          <w:szCs w:val="20"/>
        </w:rPr>
        <w:t>|J001|: Identificação do tipo do registro.</w:t>
      </w:r>
    </w:p>
    <w:p w:rsidR="007F6CEC" w:rsidRPr="00FA3856" w:rsidRDefault="007F6CEC" w:rsidP="007F6CEC">
      <w:pPr>
        <w:pStyle w:val="Corpodetexto"/>
        <w:ind w:firstLine="708"/>
        <w:rPr>
          <w:rFonts w:ascii="Times New Roman" w:hAnsi="Times New Roman"/>
          <w:color w:val="002060"/>
          <w:szCs w:val="20"/>
        </w:rPr>
      </w:pPr>
      <w:r w:rsidRPr="00FA3856">
        <w:rPr>
          <w:rFonts w:ascii="Times New Roman" w:hAnsi="Times New Roman"/>
          <w:color w:val="002060"/>
          <w:szCs w:val="20"/>
        </w:rPr>
        <w:t>|0|: Indica que o bloco possui dados informados.</w:t>
      </w:r>
    </w:p>
    <w:p w:rsidR="007F6CEC" w:rsidRPr="00FA3856" w:rsidRDefault="007F6CEC" w:rsidP="007F6CEC">
      <w:pPr>
        <w:pStyle w:val="PSDS-MarcadoresNivel2"/>
        <w:numPr>
          <w:ilvl w:val="0"/>
          <w:numId w:val="0"/>
        </w:numPr>
        <w:spacing w:before="0" w:after="0"/>
        <w:rPr>
          <w:rFonts w:ascii="Times New Roman" w:hAnsi="Times New Roman"/>
          <w:lang w:val="pt-PT"/>
        </w:rPr>
      </w:pPr>
    </w:p>
    <w:p w:rsidR="00DD3D2E" w:rsidRPr="00FA3856" w:rsidRDefault="00DD3D2E">
      <w:pPr>
        <w:rPr>
          <w:b/>
          <w:bCs/>
          <w:color w:val="0000FF"/>
          <w:szCs w:val="20"/>
        </w:rPr>
      </w:pPr>
      <w:r w:rsidRPr="00FA3856">
        <w:rPr>
          <w:color w:val="0000FF"/>
          <w:szCs w:val="20"/>
        </w:rPr>
        <w:br w:type="page"/>
      </w:r>
    </w:p>
    <w:p w:rsidR="000C778C" w:rsidRPr="00FA3856" w:rsidRDefault="000C778C" w:rsidP="00867F54">
      <w:pPr>
        <w:pStyle w:val="Ttulo4"/>
      </w:pPr>
      <w:bookmarkStart w:id="93" w:name="_Toc479713700"/>
      <w:r w:rsidRPr="00FA3856">
        <w:lastRenderedPageBreak/>
        <w:t>Registro J050: Plano de Contas do Contribuinte</w:t>
      </w:r>
      <w:bookmarkEnd w:id="93"/>
    </w:p>
    <w:p w:rsidR="000C778C" w:rsidRPr="00FA3856" w:rsidRDefault="000C778C" w:rsidP="000C778C">
      <w:pPr>
        <w:rPr>
          <w:szCs w:val="20"/>
        </w:rPr>
      </w:pPr>
    </w:p>
    <w:p w:rsidR="000C778C" w:rsidRDefault="000C778C" w:rsidP="00A85C44">
      <w:pPr>
        <w:pStyle w:val="PSDS-CorpodeTexto0"/>
        <w:ind w:firstLine="708"/>
        <w:jc w:val="both"/>
        <w:rPr>
          <w:rFonts w:ascii="Times New Roman" w:hAnsi="Times New Roman"/>
        </w:rPr>
      </w:pPr>
      <w:r w:rsidRPr="00FA3856">
        <w:rPr>
          <w:rFonts w:ascii="Times New Roman" w:hAnsi="Times New Roman"/>
        </w:rPr>
        <w:t>Registro onde deve ser informado o plano de contas da empresa.</w:t>
      </w:r>
    </w:p>
    <w:p w:rsidR="009C4F54" w:rsidRPr="00A85C44" w:rsidRDefault="00B35FA3" w:rsidP="009C4F54">
      <w:pPr>
        <w:pStyle w:val="PSDS-CorpodeTexto0"/>
        <w:jc w:val="center"/>
        <w:rPr>
          <w:rFonts w:ascii="Times New Roman" w:hAnsi="Times New Roman"/>
        </w:rPr>
      </w:pPr>
      <w:r>
        <w:rPr>
          <w:rFonts w:ascii="Times New Roman" w:hAnsi="Times New Roman"/>
        </w:rPr>
        <w:object w:dxaOrig="13290" w:dyaOrig="8460">
          <v:shape id="_x0000_i1628" type="#_x0000_t75" style="width:661.5pt;height:424.5pt" o:ole="">
            <v:imagedata r:id="rId178" o:title=""/>
          </v:shape>
          <o:OLEObject Type="Link" ProgID="Excel.Sheet.12" ShapeID="_x0000_i1628" DrawAspect="Content" r:id="rId179" UpdateMode="Always">
            <o:LinkType>EnhancedMetaFile</o:LinkType>
            <o:LockedField>false</o:LockedField>
          </o:OLEObject>
        </w:object>
      </w:r>
    </w:p>
    <w:p w:rsidR="00DD3D2E" w:rsidRPr="00FA3856" w:rsidRDefault="00DD3D2E" w:rsidP="00DD3D2E">
      <w:pPr>
        <w:pStyle w:val="Corpodetexto"/>
        <w:rPr>
          <w:rFonts w:ascii="Times New Roman" w:hAnsi="Times New Roman"/>
          <w:b/>
          <w:szCs w:val="20"/>
        </w:rPr>
      </w:pPr>
      <w:r w:rsidRPr="00FA3856">
        <w:rPr>
          <w:rFonts w:ascii="Times New Roman" w:hAnsi="Times New Roman"/>
          <w:b/>
          <w:szCs w:val="20"/>
        </w:rPr>
        <w:lastRenderedPageBreak/>
        <w:t>I – Regras de Validação do Registro:</w:t>
      </w:r>
    </w:p>
    <w:p w:rsidR="00DD3D2E" w:rsidRPr="00FA3856" w:rsidRDefault="00DD3D2E" w:rsidP="00DD3D2E">
      <w:pPr>
        <w:pStyle w:val="Corpodetexto"/>
        <w:rPr>
          <w:rFonts w:ascii="Times New Roman" w:hAnsi="Times New Roman"/>
          <w:b/>
          <w:szCs w:val="20"/>
        </w:rPr>
      </w:pPr>
    </w:p>
    <w:p w:rsidR="00485A80" w:rsidRPr="00FA3856" w:rsidRDefault="000838FD" w:rsidP="00485A80">
      <w:pPr>
        <w:pStyle w:val="Corpodetexto"/>
        <w:ind w:left="708" w:firstLine="12"/>
        <w:rPr>
          <w:rFonts w:ascii="Times New Roman" w:hAnsi="Times New Roman"/>
          <w:b/>
          <w:szCs w:val="20"/>
        </w:rPr>
      </w:pPr>
      <w:r w:rsidRPr="00FA3856">
        <w:rPr>
          <w:rFonts w:ascii="Times New Roman" w:hAnsi="Times New Roman"/>
          <w:b/>
          <w:szCs w:val="20"/>
        </w:rPr>
        <w:t>REGRA_REGISTRO_OBRIGATORIO_J051:</w:t>
      </w:r>
      <w:r w:rsidR="00485A80" w:rsidRPr="00FA3856">
        <w:rPr>
          <w:rFonts w:ascii="Times New Roman" w:hAnsi="Times New Roman"/>
          <w:b/>
          <w:szCs w:val="20"/>
        </w:rPr>
        <w:t xml:space="preserve"> </w:t>
      </w:r>
      <w:r w:rsidR="00485A80" w:rsidRPr="00FA3856">
        <w:rPr>
          <w:rFonts w:ascii="Times New Roman" w:hAnsi="Times New Roman"/>
          <w:szCs w:val="20"/>
        </w:rPr>
        <w:t xml:space="preserve">Verifica se existe, pelo menos, um registro J051 caso o </w:t>
      </w:r>
      <w:r w:rsidR="00AE58A0" w:rsidRPr="00FA3856">
        <w:rPr>
          <w:rFonts w:ascii="Times New Roman" w:hAnsi="Times New Roman"/>
          <w:szCs w:val="20"/>
        </w:rPr>
        <w:t>J050</w:t>
      </w:r>
      <w:r w:rsidR="005E4785" w:rsidRPr="00FA3856">
        <w:rPr>
          <w:rFonts w:ascii="Times New Roman" w:hAnsi="Times New Roman"/>
          <w:szCs w:val="20"/>
        </w:rPr>
        <w:t>.</w:t>
      </w:r>
      <w:r w:rsidR="000D1E6A" w:rsidRPr="00FA3856">
        <w:rPr>
          <w:rFonts w:ascii="Times New Roman" w:hAnsi="Times New Roman"/>
          <w:szCs w:val="20"/>
        </w:rPr>
        <w:t xml:space="preserve">IND_CTA </w:t>
      </w:r>
      <w:r w:rsidR="00485A80" w:rsidRPr="00FA3856">
        <w:rPr>
          <w:rFonts w:ascii="Times New Roman" w:hAnsi="Times New Roman"/>
          <w:szCs w:val="20"/>
        </w:rPr>
        <w:t xml:space="preserve">seja igual a “A” (analítica) e </w:t>
      </w:r>
      <w:r w:rsidR="00AE58A0" w:rsidRPr="00FA3856">
        <w:rPr>
          <w:rFonts w:ascii="Times New Roman" w:hAnsi="Times New Roman"/>
          <w:szCs w:val="20"/>
        </w:rPr>
        <w:t>J050</w:t>
      </w:r>
      <w:r w:rsidR="005E4785" w:rsidRPr="00FA3856">
        <w:rPr>
          <w:rFonts w:ascii="Times New Roman" w:hAnsi="Times New Roman"/>
          <w:szCs w:val="20"/>
        </w:rPr>
        <w:t>.</w:t>
      </w:r>
      <w:r w:rsidR="000D1E6A" w:rsidRPr="00FA3856">
        <w:rPr>
          <w:rFonts w:ascii="Times New Roman" w:hAnsi="Times New Roman"/>
          <w:szCs w:val="20"/>
        </w:rPr>
        <w:t xml:space="preserve">COD_NAT </w:t>
      </w:r>
      <w:r w:rsidR="00485A80" w:rsidRPr="00FA3856">
        <w:rPr>
          <w:rFonts w:ascii="Times New Roman" w:hAnsi="Times New Roman"/>
          <w:szCs w:val="20"/>
        </w:rPr>
        <w:t>igual a “01” (Contas do Ativo), “02” (Contas do Passivo), “03” (Contas do Patrimônio Líquido) ou “04” (Contas de Resultado).  Se a regra não for cumprida, a ECF gera um erro.</w:t>
      </w:r>
    </w:p>
    <w:p w:rsidR="00485A80" w:rsidRPr="00FA3856" w:rsidRDefault="00485A80" w:rsidP="00485A80">
      <w:pPr>
        <w:pStyle w:val="Corpodetexto"/>
        <w:rPr>
          <w:rFonts w:ascii="Times New Roman" w:hAnsi="Times New Roman"/>
          <w:b/>
          <w:szCs w:val="20"/>
        </w:rPr>
      </w:pPr>
    </w:p>
    <w:p w:rsidR="00DD3D2E" w:rsidRPr="00FA3856" w:rsidRDefault="00DD3D2E" w:rsidP="00DD3D2E">
      <w:pPr>
        <w:pStyle w:val="Corpodetexto"/>
        <w:rPr>
          <w:rFonts w:ascii="Times New Roman" w:hAnsi="Times New Roman"/>
          <w:b/>
          <w:szCs w:val="20"/>
        </w:rPr>
      </w:pPr>
      <w:r w:rsidRPr="00FA3856">
        <w:rPr>
          <w:rFonts w:ascii="Times New Roman" w:hAnsi="Times New Roman"/>
          <w:b/>
          <w:szCs w:val="20"/>
        </w:rPr>
        <w:t>II – Regras de Validação dos Campos:</w:t>
      </w:r>
    </w:p>
    <w:p w:rsidR="00DD3D2E" w:rsidRPr="00FA3856" w:rsidRDefault="00DD3D2E" w:rsidP="00DD3D2E">
      <w:pPr>
        <w:pStyle w:val="Corpodetexto"/>
        <w:rPr>
          <w:rFonts w:ascii="Times New Roman" w:hAnsi="Times New Roman"/>
          <w:b/>
          <w:szCs w:val="20"/>
        </w:rPr>
      </w:pPr>
    </w:p>
    <w:tbl>
      <w:tblPr>
        <w:tblW w:w="16370"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527"/>
        <w:gridCol w:w="1706"/>
        <w:gridCol w:w="13420"/>
        <w:gridCol w:w="717"/>
      </w:tblGrid>
      <w:tr w:rsidR="000838FD" w:rsidRPr="00FA3856" w:rsidTr="001A2FAA">
        <w:trPr>
          <w:jc w:val="center"/>
        </w:trPr>
        <w:tc>
          <w:tcPr>
            <w:tcW w:w="527" w:type="dxa"/>
            <w:tcBorders>
              <w:top w:val="single" w:sz="6" w:space="0" w:color="auto"/>
              <w:left w:val="single" w:sz="6" w:space="0" w:color="auto"/>
              <w:bottom w:val="single" w:sz="6" w:space="0" w:color="auto"/>
              <w:right w:val="single" w:sz="6" w:space="0" w:color="auto"/>
            </w:tcBorders>
            <w:shd w:val="pct10" w:color="auto" w:fill="FFFFFF"/>
            <w:vAlign w:val="center"/>
          </w:tcPr>
          <w:p w:rsidR="000838FD" w:rsidRPr="00FA3856" w:rsidRDefault="000838FD" w:rsidP="000838FD">
            <w:pPr>
              <w:pStyle w:val="PSDS-CorpodeTexto0"/>
              <w:jc w:val="center"/>
              <w:rPr>
                <w:rFonts w:ascii="Times New Roman" w:hAnsi="Times New Roman"/>
                <w:b/>
                <w:bCs/>
              </w:rPr>
            </w:pPr>
            <w:r w:rsidRPr="00FA3856">
              <w:rPr>
                <w:rFonts w:ascii="Times New Roman" w:hAnsi="Times New Roman"/>
                <w:b/>
                <w:bCs/>
              </w:rPr>
              <w:t>Nº</w:t>
            </w:r>
          </w:p>
        </w:tc>
        <w:tc>
          <w:tcPr>
            <w:tcW w:w="1706" w:type="dxa"/>
            <w:tcBorders>
              <w:top w:val="single" w:sz="6" w:space="0" w:color="auto"/>
              <w:left w:val="single" w:sz="6" w:space="0" w:color="auto"/>
              <w:bottom w:val="single" w:sz="6" w:space="0" w:color="auto"/>
              <w:right w:val="single" w:sz="6" w:space="0" w:color="auto"/>
            </w:tcBorders>
            <w:shd w:val="pct10" w:color="auto" w:fill="FFFFFF"/>
            <w:vAlign w:val="center"/>
          </w:tcPr>
          <w:p w:rsidR="000838FD" w:rsidRPr="00FA3856" w:rsidRDefault="000838FD" w:rsidP="000838FD">
            <w:pPr>
              <w:pStyle w:val="PSDS-CorpodeTexto0"/>
              <w:jc w:val="center"/>
              <w:rPr>
                <w:rFonts w:ascii="Times New Roman" w:hAnsi="Times New Roman"/>
                <w:b/>
                <w:bCs/>
              </w:rPr>
            </w:pPr>
            <w:r w:rsidRPr="00FA3856">
              <w:rPr>
                <w:rFonts w:ascii="Times New Roman" w:hAnsi="Times New Roman"/>
                <w:b/>
                <w:bCs/>
              </w:rPr>
              <w:t>Campo</w:t>
            </w:r>
          </w:p>
        </w:tc>
        <w:tc>
          <w:tcPr>
            <w:tcW w:w="13420" w:type="dxa"/>
            <w:tcBorders>
              <w:top w:val="single" w:sz="6" w:space="0" w:color="auto"/>
              <w:left w:val="single" w:sz="6" w:space="0" w:color="auto"/>
              <w:bottom w:val="single" w:sz="6" w:space="0" w:color="auto"/>
              <w:right w:val="single" w:sz="6" w:space="0" w:color="auto"/>
            </w:tcBorders>
            <w:shd w:val="pct10" w:color="auto" w:fill="FFFFFF"/>
          </w:tcPr>
          <w:p w:rsidR="000838FD" w:rsidRPr="00FA3856" w:rsidRDefault="000838FD" w:rsidP="000838FD">
            <w:pPr>
              <w:pStyle w:val="PSDS-CorpodeTexto0"/>
              <w:jc w:val="center"/>
              <w:rPr>
                <w:rFonts w:ascii="Times New Roman" w:hAnsi="Times New Roman"/>
                <w:b/>
                <w:bCs/>
              </w:rPr>
            </w:pPr>
            <w:r w:rsidRPr="00FA3856">
              <w:rPr>
                <w:rFonts w:ascii="Times New Roman" w:hAnsi="Times New Roman"/>
                <w:b/>
                <w:bCs/>
              </w:rPr>
              <w:t>Regras de Validação do Campo</w:t>
            </w:r>
          </w:p>
        </w:tc>
        <w:tc>
          <w:tcPr>
            <w:tcW w:w="717" w:type="dxa"/>
            <w:tcBorders>
              <w:top w:val="single" w:sz="6" w:space="0" w:color="auto"/>
              <w:left w:val="single" w:sz="6" w:space="0" w:color="auto"/>
              <w:bottom w:val="single" w:sz="6" w:space="0" w:color="auto"/>
              <w:right w:val="single" w:sz="6" w:space="0" w:color="auto"/>
            </w:tcBorders>
            <w:shd w:val="pct10" w:color="auto" w:fill="FFFFFF"/>
            <w:vAlign w:val="center"/>
          </w:tcPr>
          <w:p w:rsidR="000838FD" w:rsidRPr="00FA3856" w:rsidRDefault="000838FD" w:rsidP="000838FD">
            <w:pPr>
              <w:pStyle w:val="PSDS-CorpodeTexto0"/>
              <w:jc w:val="center"/>
              <w:rPr>
                <w:rFonts w:ascii="Times New Roman" w:hAnsi="Times New Roman"/>
                <w:b/>
                <w:bCs/>
              </w:rPr>
            </w:pPr>
            <w:r w:rsidRPr="00FA3856">
              <w:rPr>
                <w:rFonts w:ascii="Times New Roman" w:hAnsi="Times New Roman"/>
                <w:b/>
                <w:bCs/>
              </w:rPr>
              <w:t>Tipo</w:t>
            </w:r>
          </w:p>
        </w:tc>
      </w:tr>
      <w:tr w:rsidR="000838FD" w:rsidRPr="00FA3856" w:rsidTr="001A2FAA">
        <w:trPr>
          <w:jc w:val="center"/>
        </w:trPr>
        <w:tc>
          <w:tcPr>
            <w:tcW w:w="527" w:type="dxa"/>
            <w:tcBorders>
              <w:top w:val="single" w:sz="6" w:space="0" w:color="auto"/>
              <w:left w:val="single" w:sz="6" w:space="0" w:color="auto"/>
              <w:bottom w:val="single" w:sz="6" w:space="0" w:color="auto"/>
              <w:right w:val="single" w:sz="6" w:space="0" w:color="auto"/>
            </w:tcBorders>
          </w:tcPr>
          <w:p w:rsidR="000838FD" w:rsidRPr="00FA3856" w:rsidRDefault="000838FD" w:rsidP="000838FD">
            <w:pPr>
              <w:jc w:val="center"/>
              <w:rPr>
                <w:b/>
                <w:szCs w:val="20"/>
              </w:rPr>
            </w:pPr>
            <w:r w:rsidRPr="00FA3856">
              <w:rPr>
                <w:b/>
                <w:szCs w:val="20"/>
              </w:rPr>
              <w:t>2</w:t>
            </w:r>
          </w:p>
        </w:tc>
        <w:tc>
          <w:tcPr>
            <w:tcW w:w="1706" w:type="dxa"/>
            <w:tcBorders>
              <w:top w:val="single" w:sz="6" w:space="0" w:color="auto"/>
              <w:left w:val="single" w:sz="6" w:space="0" w:color="auto"/>
              <w:bottom w:val="single" w:sz="6" w:space="0" w:color="auto"/>
              <w:right w:val="single" w:sz="6" w:space="0" w:color="auto"/>
            </w:tcBorders>
          </w:tcPr>
          <w:p w:rsidR="000838FD" w:rsidRPr="00FA3856" w:rsidRDefault="000838FD" w:rsidP="000838FD">
            <w:pPr>
              <w:jc w:val="both"/>
              <w:rPr>
                <w:szCs w:val="20"/>
              </w:rPr>
            </w:pPr>
            <w:r w:rsidRPr="00FA3856">
              <w:rPr>
                <w:szCs w:val="20"/>
              </w:rPr>
              <w:t>DT_ALT</w:t>
            </w:r>
          </w:p>
          <w:p w:rsidR="005A2397" w:rsidRPr="00FA3856" w:rsidRDefault="005A2397" w:rsidP="000838FD">
            <w:pPr>
              <w:jc w:val="both"/>
              <w:rPr>
                <w:szCs w:val="20"/>
              </w:rPr>
            </w:pPr>
          </w:p>
        </w:tc>
        <w:tc>
          <w:tcPr>
            <w:tcW w:w="13420" w:type="dxa"/>
            <w:tcBorders>
              <w:top w:val="single" w:sz="6" w:space="0" w:color="auto"/>
              <w:left w:val="single" w:sz="6" w:space="0" w:color="auto"/>
              <w:bottom w:val="single" w:sz="6" w:space="0" w:color="auto"/>
              <w:right w:val="single" w:sz="6" w:space="0" w:color="auto"/>
            </w:tcBorders>
          </w:tcPr>
          <w:p w:rsidR="000838FD" w:rsidRPr="00FA3856" w:rsidRDefault="007D0E74" w:rsidP="000838FD">
            <w:pPr>
              <w:pStyle w:val="Corpodetexto"/>
              <w:rPr>
                <w:rFonts w:ascii="Times New Roman" w:hAnsi="Times New Roman"/>
                <w:szCs w:val="20"/>
              </w:rPr>
            </w:pPr>
            <w:hyperlink w:anchor="REGRA_DT_ALT_DATA_MAIOR" w:history="1">
              <w:r w:rsidR="000838FD" w:rsidRPr="00FA3856">
                <w:rPr>
                  <w:rStyle w:val="Hyperlink"/>
                  <w:rFonts w:ascii="Times New Roman" w:hAnsi="Times New Roman"/>
                  <w:b/>
                  <w:color w:val="auto"/>
                  <w:szCs w:val="20"/>
                </w:rPr>
                <w:t>REGRA_DT_ALT_DATA_MAIOR</w:t>
              </w:r>
            </w:hyperlink>
            <w:r w:rsidR="000838FD" w:rsidRPr="00FA3856">
              <w:rPr>
                <w:rStyle w:val="Hyperlink"/>
                <w:rFonts w:ascii="Times New Roman" w:hAnsi="Times New Roman"/>
                <w:b/>
                <w:color w:val="auto"/>
                <w:szCs w:val="20"/>
              </w:rPr>
              <w:t xml:space="preserve">: </w:t>
            </w:r>
            <w:r w:rsidR="000838FD" w:rsidRPr="00FA3856">
              <w:rPr>
                <w:rFonts w:ascii="Times New Roman" w:hAnsi="Times New Roman"/>
                <w:color w:val="auto"/>
                <w:szCs w:val="20"/>
              </w:rPr>
              <w:t xml:space="preserve">Verifica se </w:t>
            </w:r>
            <w:r w:rsidR="00AE58A0" w:rsidRPr="00FA3856">
              <w:rPr>
                <w:rFonts w:ascii="Times New Roman" w:hAnsi="Times New Roman"/>
                <w:color w:val="auto"/>
                <w:szCs w:val="20"/>
              </w:rPr>
              <w:t>J050</w:t>
            </w:r>
            <w:r w:rsidR="000D1E6A" w:rsidRPr="00FA3856">
              <w:rPr>
                <w:rFonts w:ascii="Times New Roman" w:hAnsi="Times New Roman"/>
                <w:color w:val="auto"/>
                <w:szCs w:val="20"/>
              </w:rPr>
              <w:t xml:space="preserve">.DT_ALT </w:t>
            </w:r>
            <w:r w:rsidR="000838FD" w:rsidRPr="00FA3856">
              <w:rPr>
                <w:rFonts w:ascii="Times New Roman" w:hAnsi="Times New Roman"/>
                <w:color w:val="auto"/>
                <w:szCs w:val="20"/>
              </w:rPr>
              <w:t>é menor ou igual a 0000.D</w:t>
            </w:r>
            <w:r w:rsidR="000D1E6A" w:rsidRPr="00FA3856">
              <w:rPr>
                <w:rFonts w:ascii="Times New Roman" w:hAnsi="Times New Roman"/>
                <w:color w:val="auto"/>
                <w:szCs w:val="20"/>
              </w:rPr>
              <w:t>T_FIN</w:t>
            </w:r>
            <w:r w:rsidR="000838FD" w:rsidRPr="00FA3856">
              <w:rPr>
                <w:rFonts w:ascii="Times New Roman" w:hAnsi="Times New Roman"/>
                <w:color w:val="auto"/>
                <w:szCs w:val="20"/>
              </w:rPr>
              <w:t>.</w:t>
            </w:r>
          </w:p>
        </w:tc>
        <w:tc>
          <w:tcPr>
            <w:tcW w:w="717" w:type="dxa"/>
            <w:tcBorders>
              <w:top w:val="single" w:sz="6" w:space="0" w:color="auto"/>
              <w:left w:val="single" w:sz="6" w:space="0" w:color="auto"/>
              <w:bottom w:val="single" w:sz="6" w:space="0" w:color="auto"/>
              <w:right w:val="single" w:sz="6" w:space="0" w:color="auto"/>
            </w:tcBorders>
          </w:tcPr>
          <w:p w:rsidR="000838FD" w:rsidRPr="00FA3856" w:rsidRDefault="000838FD" w:rsidP="000838FD">
            <w:pPr>
              <w:widowControl w:val="0"/>
              <w:autoSpaceDE w:val="0"/>
              <w:autoSpaceDN w:val="0"/>
              <w:adjustRightInd w:val="0"/>
              <w:jc w:val="both"/>
              <w:rPr>
                <w:szCs w:val="20"/>
              </w:rPr>
            </w:pPr>
            <w:r w:rsidRPr="00FA3856">
              <w:rPr>
                <w:szCs w:val="20"/>
              </w:rPr>
              <w:t>Erro</w:t>
            </w:r>
          </w:p>
        </w:tc>
      </w:tr>
      <w:tr w:rsidR="00DC0C3D" w:rsidRPr="00FA3856" w:rsidTr="001A2FAA">
        <w:trPr>
          <w:jc w:val="center"/>
        </w:trPr>
        <w:tc>
          <w:tcPr>
            <w:tcW w:w="527" w:type="dxa"/>
            <w:tcBorders>
              <w:top w:val="single" w:sz="6" w:space="0" w:color="auto"/>
              <w:left w:val="single" w:sz="6" w:space="0" w:color="auto"/>
              <w:bottom w:val="single" w:sz="6" w:space="0" w:color="auto"/>
              <w:right w:val="single" w:sz="6" w:space="0" w:color="auto"/>
            </w:tcBorders>
          </w:tcPr>
          <w:p w:rsidR="00DC0C3D" w:rsidRPr="00DC0C3D" w:rsidRDefault="00DC0C3D" w:rsidP="000838FD">
            <w:pPr>
              <w:jc w:val="center"/>
              <w:rPr>
                <w:b/>
                <w:szCs w:val="20"/>
                <w:highlight w:val="yellow"/>
              </w:rPr>
            </w:pPr>
            <w:r w:rsidRPr="00DC0C3D">
              <w:rPr>
                <w:b/>
                <w:szCs w:val="20"/>
                <w:highlight w:val="yellow"/>
              </w:rPr>
              <w:t>3</w:t>
            </w:r>
          </w:p>
        </w:tc>
        <w:tc>
          <w:tcPr>
            <w:tcW w:w="1706" w:type="dxa"/>
            <w:tcBorders>
              <w:top w:val="single" w:sz="6" w:space="0" w:color="auto"/>
              <w:left w:val="single" w:sz="6" w:space="0" w:color="auto"/>
              <w:bottom w:val="single" w:sz="6" w:space="0" w:color="auto"/>
              <w:right w:val="single" w:sz="6" w:space="0" w:color="auto"/>
            </w:tcBorders>
          </w:tcPr>
          <w:p w:rsidR="00DC0C3D" w:rsidRPr="00DC0C3D" w:rsidRDefault="00DC0C3D" w:rsidP="000838FD">
            <w:pPr>
              <w:jc w:val="both"/>
              <w:rPr>
                <w:szCs w:val="20"/>
                <w:highlight w:val="yellow"/>
              </w:rPr>
            </w:pPr>
            <w:r w:rsidRPr="00DC0C3D">
              <w:rPr>
                <w:szCs w:val="20"/>
                <w:highlight w:val="yellow"/>
              </w:rPr>
              <w:t>COD_NAT</w:t>
            </w:r>
          </w:p>
        </w:tc>
        <w:tc>
          <w:tcPr>
            <w:tcW w:w="13420" w:type="dxa"/>
            <w:tcBorders>
              <w:top w:val="single" w:sz="6" w:space="0" w:color="auto"/>
              <w:left w:val="single" w:sz="6" w:space="0" w:color="auto"/>
              <w:bottom w:val="single" w:sz="6" w:space="0" w:color="auto"/>
              <w:right w:val="single" w:sz="6" w:space="0" w:color="auto"/>
            </w:tcBorders>
          </w:tcPr>
          <w:p w:rsidR="00DC0C3D" w:rsidRPr="00DC0C3D" w:rsidRDefault="00DC0C3D" w:rsidP="00DC0C3D">
            <w:pPr>
              <w:pStyle w:val="Corpodetexto"/>
              <w:rPr>
                <w:rStyle w:val="Hyperlink"/>
                <w:rFonts w:ascii="Times New Roman" w:hAnsi="Times New Roman"/>
                <w:color w:val="auto"/>
                <w:szCs w:val="20"/>
                <w:highlight w:val="yellow"/>
              </w:rPr>
            </w:pPr>
            <w:r w:rsidRPr="00DC0C3D">
              <w:rPr>
                <w:rStyle w:val="Hyperlink"/>
                <w:rFonts w:ascii="Times New Roman" w:hAnsi="Times New Roman"/>
                <w:b/>
                <w:color w:val="auto"/>
                <w:szCs w:val="20"/>
                <w:highlight w:val="yellow"/>
              </w:rPr>
              <w:t xml:space="preserve">REGRA_NATUREZA_J050_C050: </w:t>
            </w:r>
            <w:r w:rsidRPr="00DC0C3D">
              <w:rPr>
                <w:rStyle w:val="Hyperlink"/>
                <w:rFonts w:ascii="Times New Roman" w:hAnsi="Times New Roman"/>
                <w:color w:val="auto"/>
                <w:szCs w:val="20"/>
                <w:highlight w:val="yellow"/>
              </w:rPr>
              <w:t>Verifica se a conta informada no registro J050 (J050.COD_CTA) existe no registro C050 (C050.COD_CTA) e se possui a mesma natureza (J050.COD_NAT = C050.COD_NAT).</w:t>
            </w:r>
          </w:p>
        </w:tc>
        <w:tc>
          <w:tcPr>
            <w:tcW w:w="717" w:type="dxa"/>
            <w:tcBorders>
              <w:top w:val="single" w:sz="6" w:space="0" w:color="auto"/>
              <w:left w:val="single" w:sz="6" w:space="0" w:color="auto"/>
              <w:bottom w:val="single" w:sz="6" w:space="0" w:color="auto"/>
              <w:right w:val="single" w:sz="6" w:space="0" w:color="auto"/>
            </w:tcBorders>
          </w:tcPr>
          <w:p w:rsidR="00DC0C3D" w:rsidRPr="00FA3856" w:rsidRDefault="00DC0C3D" w:rsidP="000838FD">
            <w:pPr>
              <w:widowControl w:val="0"/>
              <w:autoSpaceDE w:val="0"/>
              <w:autoSpaceDN w:val="0"/>
              <w:adjustRightInd w:val="0"/>
              <w:jc w:val="both"/>
              <w:rPr>
                <w:szCs w:val="20"/>
              </w:rPr>
            </w:pPr>
            <w:r w:rsidRPr="00DC0C3D">
              <w:rPr>
                <w:szCs w:val="20"/>
                <w:highlight w:val="yellow"/>
              </w:rPr>
              <w:t>Erro</w:t>
            </w:r>
          </w:p>
        </w:tc>
      </w:tr>
      <w:tr w:rsidR="000838FD" w:rsidRPr="00FA3856" w:rsidTr="001A2FAA">
        <w:trPr>
          <w:jc w:val="center"/>
        </w:trPr>
        <w:tc>
          <w:tcPr>
            <w:tcW w:w="527" w:type="dxa"/>
            <w:tcBorders>
              <w:top w:val="single" w:sz="6" w:space="0" w:color="auto"/>
              <w:left w:val="single" w:sz="6" w:space="0" w:color="auto"/>
              <w:bottom w:val="single" w:sz="6" w:space="0" w:color="auto"/>
              <w:right w:val="single" w:sz="6" w:space="0" w:color="auto"/>
            </w:tcBorders>
          </w:tcPr>
          <w:p w:rsidR="000838FD" w:rsidRPr="00FA3856" w:rsidRDefault="000838FD" w:rsidP="000838FD">
            <w:pPr>
              <w:jc w:val="center"/>
              <w:rPr>
                <w:b/>
                <w:szCs w:val="20"/>
              </w:rPr>
            </w:pPr>
            <w:r w:rsidRPr="00FA3856">
              <w:rPr>
                <w:b/>
                <w:szCs w:val="20"/>
              </w:rPr>
              <w:t>5</w:t>
            </w:r>
          </w:p>
        </w:tc>
        <w:tc>
          <w:tcPr>
            <w:tcW w:w="1706" w:type="dxa"/>
            <w:tcBorders>
              <w:top w:val="single" w:sz="6" w:space="0" w:color="auto"/>
              <w:left w:val="single" w:sz="6" w:space="0" w:color="auto"/>
              <w:bottom w:val="single" w:sz="6" w:space="0" w:color="auto"/>
              <w:right w:val="single" w:sz="6" w:space="0" w:color="auto"/>
            </w:tcBorders>
          </w:tcPr>
          <w:p w:rsidR="000838FD" w:rsidRPr="00FA3856" w:rsidRDefault="005E4785" w:rsidP="000838FD">
            <w:pPr>
              <w:jc w:val="both"/>
              <w:rPr>
                <w:szCs w:val="20"/>
              </w:rPr>
            </w:pPr>
            <w:r w:rsidRPr="00FA3856">
              <w:rPr>
                <w:szCs w:val="20"/>
              </w:rPr>
              <w:t>NI</w:t>
            </w:r>
            <w:r w:rsidR="000838FD" w:rsidRPr="00FA3856">
              <w:rPr>
                <w:szCs w:val="20"/>
              </w:rPr>
              <w:t>VEL</w:t>
            </w:r>
          </w:p>
        </w:tc>
        <w:tc>
          <w:tcPr>
            <w:tcW w:w="13420" w:type="dxa"/>
            <w:tcBorders>
              <w:top w:val="single" w:sz="6" w:space="0" w:color="auto"/>
              <w:left w:val="single" w:sz="6" w:space="0" w:color="auto"/>
              <w:bottom w:val="single" w:sz="6" w:space="0" w:color="auto"/>
              <w:right w:val="single" w:sz="6" w:space="0" w:color="auto"/>
            </w:tcBorders>
          </w:tcPr>
          <w:p w:rsidR="000838FD" w:rsidRPr="00FA3856" w:rsidRDefault="007D0E74" w:rsidP="000838FD">
            <w:pPr>
              <w:shd w:val="clear" w:color="auto" w:fill="FFFFFF"/>
              <w:jc w:val="both"/>
              <w:rPr>
                <w:szCs w:val="20"/>
              </w:rPr>
            </w:pPr>
            <w:hyperlink w:anchor="REGRA_MAIOR_QUE_UM" w:history="1">
              <w:r w:rsidR="000838FD" w:rsidRPr="00FA3856">
                <w:rPr>
                  <w:b/>
                  <w:szCs w:val="20"/>
                </w:rPr>
                <w:t>REGRA_MAIOR_QUE_UM</w:t>
              </w:r>
            </w:hyperlink>
            <w:r w:rsidR="000838FD" w:rsidRPr="00FA3856">
              <w:rPr>
                <w:b/>
                <w:szCs w:val="20"/>
              </w:rPr>
              <w:t xml:space="preserve">: </w:t>
            </w:r>
            <w:r w:rsidR="000838FD" w:rsidRPr="00FA3856">
              <w:rPr>
                <w:szCs w:val="20"/>
              </w:rPr>
              <w:t xml:space="preserve">Verifica se o valor informado para </w:t>
            </w:r>
            <w:r w:rsidR="00AE58A0" w:rsidRPr="00FA3856">
              <w:rPr>
                <w:szCs w:val="20"/>
              </w:rPr>
              <w:t>J050</w:t>
            </w:r>
            <w:r w:rsidR="000D1E6A" w:rsidRPr="00FA3856">
              <w:rPr>
                <w:szCs w:val="20"/>
              </w:rPr>
              <w:t xml:space="preserve">.NIVEL </w:t>
            </w:r>
            <w:r w:rsidR="000838FD" w:rsidRPr="00FA3856">
              <w:rPr>
                <w:szCs w:val="20"/>
              </w:rPr>
              <w:t xml:space="preserve">é maior </w:t>
            </w:r>
            <w:r w:rsidR="000D1E6A" w:rsidRPr="00FA3856">
              <w:rPr>
                <w:szCs w:val="20"/>
              </w:rPr>
              <w:t xml:space="preserve">ou igual a </w:t>
            </w:r>
            <w:r w:rsidR="000838FD" w:rsidRPr="00FA3856">
              <w:rPr>
                <w:szCs w:val="20"/>
              </w:rPr>
              <w:t>1.</w:t>
            </w:r>
          </w:p>
          <w:p w:rsidR="000838FD" w:rsidRPr="00FA3856" w:rsidRDefault="000838FD" w:rsidP="000838FD">
            <w:pPr>
              <w:shd w:val="clear" w:color="auto" w:fill="FFFFFF"/>
              <w:jc w:val="both"/>
              <w:rPr>
                <w:b/>
                <w:szCs w:val="20"/>
              </w:rPr>
            </w:pPr>
          </w:p>
          <w:p w:rsidR="000838FD" w:rsidRPr="00FA3856" w:rsidRDefault="000838FD" w:rsidP="000838FD">
            <w:pPr>
              <w:shd w:val="clear" w:color="auto" w:fill="FFFFFF"/>
              <w:jc w:val="both"/>
              <w:rPr>
                <w:b/>
                <w:szCs w:val="20"/>
                <w:lang w:val="es-ES_tradnl"/>
              </w:rPr>
            </w:pPr>
            <w:r w:rsidRPr="00FA3856">
              <w:rPr>
                <w:b/>
                <w:szCs w:val="20"/>
                <w:lang w:val="es-ES_tradnl"/>
              </w:rPr>
              <w:t xml:space="preserve">REGRA_ANALITICA_NIVEL4: </w:t>
            </w:r>
            <w:r w:rsidRPr="00FA3856">
              <w:rPr>
                <w:szCs w:val="20"/>
              </w:rPr>
              <w:t xml:space="preserve">Verifica se </w:t>
            </w:r>
            <w:r w:rsidR="00AE58A0" w:rsidRPr="00FA3856">
              <w:rPr>
                <w:szCs w:val="20"/>
              </w:rPr>
              <w:t>J050</w:t>
            </w:r>
            <w:r w:rsidR="005E4785" w:rsidRPr="00FA3856">
              <w:rPr>
                <w:szCs w:val="20"/>
              </w:rPr>
              <w:t>.NI</w:t>
            </w:r>
            <w:r w:rsidR="000D1E6A" w:rsidRPr="00FA3856">
              <w:rPr>
                <w:szCs w:val="20"/>
              </w:rPr>
              <w:t xml:space="preserve">VEL </w:t>
            </w:r>
            <w:r w:rsidRPr="00FA3856">
              <w:rPr>
                <w:szCs w:val="20"/>
              </w:rPr>
              <w:t>é maior ou igual a quatro (4) para uma conta analítica patrimonial.</w:t>
            </w:r>
          </w:p>
        </w:tc>
        <w:tc>
          <w:tcPr>
            <w:tcW w:w="717" w:type="dxa"/>
            <w:tcBorders>
              <w:top w:val="single" w:sz="6" w:space="0" w:color="auto"/>
              <w:left w:val="single" w:sz="6" w:space="0" w:color="auto"/>
              <w:bottom w:val="single" w:sz="6" w:space="0" w:color="auto"/>
              <w:right w:val="single" w:sz="6" w:space="0" w:color="auto"/>
            </w:tcBorders>
          </w:tcPr>
          <w:p w:rsidR="000838FD" w:rsidRPr="00FA3856" w:rsidRDefault="000838FD" w:rsidP="000838FD">
            <w:pPr>
              <w:widowControl w:val="0"/>
              <w:autoSpaceDE w:val="0"/>
              <w:autoSpaceDN w:val="0"/>
              <w:adjustRightInd w:val="0"/>
              <w:jc w:val="both"/>
              <w:rPr>
                <w:szCs w:val="20"/>
              </w:rPr>
            </w:pPr>
            <w:r w:rsidRPr="00FA3856">
              <w:rPr>
                <w:szCs w:val="20"/>
              </w:rPr>
              <w:t>Erro</w:t>
            </w:r>
          </w:p>
          <w:p w:rsidR="000838FD" w:rsidRPr="00FA3856" w:rsidRDefault="000838FD" w:rsidP="000838FD">
            <w:pPr>
              <w:widowControl w:val="0"/>
              <w:autoSpaceDE w:val="0"/>
              <w:autoSpaceDN w:val="0"/>
              <w:adjustRightInd w:val="0"/>
              <w:jc w:val="both"/>
              <w:rPr>
                <w:szCs w:val="20"/>
              </w:rPr>
            </w:pPr>
          </w:p>
          <w:p w:rsidR="000838FD" w:rsidRPr="00FA3856" w:rsidRDefault="000838FD" w:rsidP="000838FD">
            <w:pPr>
              <w:widowControl w:val="0"/>
              <w:autoSpaceDE w:val="0"/>
              <w:autoSpaceDN w:val="0"/>
              <w:adjustRightInd w:val="0"/>
              <w:jc w:val="both"/>
              <w:rPr>
                <w:szCs w:val="20"/>
              </w:rPr>
            </w:pPr>
            <w:r w:rsidRPr="00FA3856">
              <w:rPr>
                <w:szCs w:val="20"/>
              </w:rPr>
              <w:t>Erro</w:t>
            </w:r>
          </w:p>
        </w:tc>
      </w:tr>
      <w:tr w:rsidR="000838FD" w:rsidRPr="00FA3856" w:rsidTr="001A2FAA">
        <w:trPr>
          <w:jc w:val="center"/>
        </w:trPr>
        <w:tc>
          <w:tcPr>
            <w:tcW w:w="527" w:type="dxa"/>
            <w:tcBorders>
              <w:top w:val="single" w:sz="6" w:space="0" w:color="auto"/>
              <w:left w:val="single" w:sz="6" w:space="0" w:color="auto"/>
              <w:bottom w:val="single" w:sz="6" w:space="0" w:color="auto"/>
              <w:right w:val="single" w:sz="6" w:space="0" w:color="auto"/>
            </w:tcBorders>
          </w:tcPr>
          <w:p w:rsidR="000838FD" w:rsidRPr="00FA3856" w:rsidRDefault="000838FD" w:rsidP="000838FD">
            <w:pPr>
              <w:jc w:val="center"/>
              <w:rPr>
                <w:b/>
                <w:szCs w:val="20"/>
                <w:lang w:val="pt-PT"/>
              </w:rPr>
            </w:pPr>
            <w:r w:rsidRPr="00FA3856">
              <w:rPr>
                <w:b/>
                <w:szCs w:val="20"/>
                <w:lang w:val="pt-PT"/>
              </w:rPr>
              <w:t>7</w:t>
            </w:r>
          </w:p>
        </w:tc>
        <w:tc>
          <w:tcPr>
            <w:tcW w:w="1706" w:type="dxa"/>
            <w:tcBorders>
              <w:top w:val="single" w:sz="6" w:space="0" w:color="auto"/>
              <w:left w:val="single" w:sz="6" w:space="0" w:color="auto"/>
              <w:bottom w:val="single" w:sz="6" w:space="0" w:color="auto"/>
              <w:right w:val="single" w:sz="6" w:space="0" w:color="auto"/>
            </w:tcBorders>
          </w:tcPr>
          <w:p w:rsidR="000838FD" w:rsidRPr="00FA3856" w:rsidRDefault="000838FD" w:rsidP="000838FD">
            <w:pPr>
              <w:jc w:val="both"/>
              <w:rPr>
                <w:szCs w:val="20"/>
                <w:lang w:val="pt-PT"/>
              </w:rPr>
            </w:pPr>
            <w:r w:rsidRPr="00FA3856">
              <w:rPr>
                <w:szCs w:val="20"/>
                <w:lang w:val="pt-PT"/>
              </w:rPr>
              <w:t>COD_CTA_SUP</w:t>
            </w:r>
          </w:p>
        </w:tc>
        <w:tc>
          <w:tcPr>
            <w:tcW w:w="13420" w:type="dxa"/>
            <w:tcBorders>
              <w:top w:val="single" w:sz="6" w:space="0" w:color="auto"/>
              <w:left w:val="single" w:sz="6" w:space="0" w:color="auto"/>
              <w:bottom w:val="single" w:sz="6" w:space="0" w:color="auto"/>
              <w:right w:val="single" w:sz="6" w:space="0" w:color="auto"/>
            </w:tcBorders>
          </w:tcPr>
          <w:p w:rsidR="000838FD" w:rsidRPr="00FA3856" w:rsidRDefault="007D0E74" w:rsidP="005E4785">
            <w:pPr>
              <w:pStyle w:val="Corpodetexto"/>
              <w:rPr>
                <w:rFonts w:ascii="Times New Roman" w:hAnsi="Times New Roman"/>
                <w:color w:val="auto"/>
                <w:szCs w:val="20"/>
              </w:rPr>
            </w:pPr>
            <w:hyperlink w:anchor="REGRA_COD_CTA_SUP_OBRIGATORIO" w:history="1">
              <w:r w:rsidR="000838FD" w:rsidRPr="00FA3856">
                <w:rPr>
                  <w:rStyle w:val="Hyperlink"/>
                  <w:rFonts w:ascii="Times New Roman" w:hAnsi="Times New Roman"/>
                  <w:b/>
                  <w:color w:val="auto"/>
                  <w:szCs w:val="20"/>
                </w:rPr>
                <w:t>REGRA_COD_CTA_SUP_OBRIGATORIO</w:t>
              </w:r>
            </w:hyperlink>
            <w:r w:rsidR="000838FD" w:rsidRPr="00FA3856">
              <w:rPr>
                <w:rFonts w:ascii="Times New Roman" w:hAnsi="Times New Roman"/>
                <w:b/>
                <w:szCs w:val="20"/>
              </w:rPr>
              <w:t xml:space="preserve">: </w:t>
            </w:r>
            <w:r w:rsidR="000838FD" w:rsidRPr="00FA3856">
              <w:rPr>
                <w:rFonts w:ascii="Times New Roman" w:hAnsi="Times New Roman"/>
                <w:color w:val="auto"/>
                <w:szCs w:val="20"/>
              </w:rPr>
              <w:t xml:space="preserve">Verifica se </w:t>
            </w:r>
            <w:r w:rsidR="00AE58A0" w:rsidRPr="00FA3856">
              <w:rPr>
                <w:rFonts w:ascii="Times New Roman" w:hAnsi="Times New Roman"/>
                <w:color w:val="auto"/>
                <w:szCs w:val="20"/>
              </w:rPr>
              <w:t>J050</w:t>
            </w:r>
            <w:r w:rsidR="000D1E6A" w:rsidRPr="00FA3856">
              <w:rPr>
                <w:rFonts w:ascii="Times New Roman" w:hAnsi="Times New Roman"/>
                <w:color w:val="auto"/>
                <w:szCs w:val="20"/>
              </w:rPr>
              <w:t xml:space="preserve">.NIVEL </w:t>
            </w:r>
            <w:r w:rsidR="000838FD" w:rsidRPr="00FA3856">
              <w:rPr>
                <w:rFonts w:ascii="Times New Roman" w:hAnsi="Times New Roman"/>
                <w:color w:val="auto"/>
                <w:szCs w:val="20"/>
              </w:rPr>
              <w:t xml:space="preserve">é maior que 1.  Caso afirmativo, executa a </w:t>
            </w:r>
            <w:r w:rsidR="000838FD" w:rsidRPr="00FA3856">
              <w:rPr>
                <w:rFonts w:ascii="Times New Roman" w:hAnsi="Times New Roman"/>
                <w:b/>
                <w:color w:val="auto"/>
                <w:szCs w:val="20"/>
              </w:rPr>
              <w:t>REGRA_CAMPO_OBRIGATORIO</w:t>
            </w:r>
            <w:r w:rsidR="005E4785" w:rsidRPr="00FA3856">
              <w:rPr>
                <w:rFonts w:ascii="Times New Roman" w:hAnsi="Times New Roman"/>
                <w:color w:val="auto"/>
                <w:szCs w:val="20"/>
              </w:rPr>
              <w:t xml:space="preserve"> (</w:t>
            </w:r>
            <w:r w:rsidR="000838FD" w:rsidRPr="00FA3856">
              <w:rPr>
                <w:rFonts w:ascii="Times New Roman" w:hAnsi="Times New Roman"/>
                <w:color w:val="auto"/>
                <w:szCs w:val="20"/>
              </w:rPr>
              <w:t>Verifica se o campo foi preenchido com algum valor diferente de vazio e do caractere “espaço”</w:t>
            </w:r>
            <w:r w:rsidR="005E4785" w:rsidRPr="00FA3856">
              <w:rPr>
                <w:rFonts w:ascii="Times New Roman" w:hAnsi="Times New Roman"/>
                <w:color w:val="auto"/>
                <w:szCs w:val="20"/>
              </w:rPr>
              <w:t>)</w:t>
            </w:r>
            <w:r w:rsidR="000838FD" w:rsidRPr="00FA3856">
              <w:rPr>
                <w:rFonts w:ascii="Times New Roman" w:hAnsi="Times New Roman"/>
                <w:color w:val="auto"/>
                <w:szCs w:val="20"/>
              </w:rPr>
              <w:t>.</w:t>
            </w:r>
          </w:p>
          <w:p w:rsidR="000838FD" w:rsidRPr="00FA3856" w:rsidRDefault="000838FD" w:rsidP="000838FD">
            <w:pPr>
              <w:shd w:val="clear" w:color="auto" w:fill="FFFFFF"/>
              <w:jc w:val="both"/>
              <w:rPr>
                <w:b/>
                <w:szCs w:val="20"/>
              </w:rPr>
            </w:pPr>
          </w:p>
          <w:p w:rsidR="000838FD" w:rsidRPr="00FA3856" w:rsidRDefault="007D0E74" w:rsidP="0074344E">
            <w:pPr>
              <w:pStyle w:val="Corpodetexto"/>
              <w:rPr>
                <w:rFonts w:ascii="Times New Roman" w:hAnsi="Times New Roman"/>
                <w:color w:val="auto"/>
                <w:szCs w:val="20"/>
              </w:rPr>
            </w:pPr>
            <w:hyperlink w:anchor="REGRA_CTA_DE_NIVEL_SUPERIOR_INVALIDA" w:history="1">
              <w:r w:rsidR="000838FD" w:rsidRPr="00FA3856">
                <w:rPr>
                  <w:rStyle w:val="Hyperlink"/>
                  <w:rFonts w:ascii="Times New Roman" w:hAnsi="Times New Roman"/>
                  <w:b/>
                  <w:color w:val="auto"/>
                  <w:szCs w:val="20"/>
                </w:rPr>
                <w:t>REGRA_CTA_DE_NIVEL_SUPERIOR_INVALIDA</w:t>
              </w:r>
            </w:hyperlink>
            <w:r w:rsidR="000838FD" w:rsidRPr="00FA3856">
              <w:rPr>
                <w:rStyle w:val="Hyperlink"/>
                <w:rFonts w:ascii="Times New Roman" w:hAnsi="Times New Roman"/>
                <w:b/>
                <w:color w:val="auto"/>
                <w:szCs w:val="20"/>
              </w:rPr>
              <w:t xml:space="preserve">: </w:t>
            </w:r>
            <w:r w:rsidR="000838FD" w:rsidRPr="00FA3856">
              <w:rPr>
                <w:rFonts w:ascii="Times New Roman" w:hAnsi="Times New Roman"/>
                <w:color w:val="auto"/>
                <w:szCs w:val="20"/>
              </w:rPr>
              <w:t xml:space="preserve">Verifica se </w:t>
            </w:r>
            <w:r w:rsidR="00AE58A0" w:rsidRPr="00FA3856">
              <w:rPr>
                <w:rFonts w:ascii="Times New Roman" w:hAnsi="Times New Roman"/>
                <w:color w:val="auto"/>
                <w:szCs w:val="20"/>
              </w:rPr>
              <w:t>J050</w:t>
            </w:r>
            <w:r w:rsidR="000D1E6A" w:rsidRPr="00FA3856">
              <w:rPr>
                <w:rFonts w:ascii="Times New Roman" w:hAnsi="Times New Roman"/>
                <w:color w:val="auto"/>
                <w:szCs w:val="20"/>
              </w:rPr>
              <w:t xml:space="preserve">.NVEL </w:t>
            </w:r>
            <w:r w:rsidR="000838FD" w:rsidRPr="00FA3856">
              <w:rPr>
                <w:rFonts w:ascii="Times New Roman" w:hAnsi="Times New Roman"/>
                <w:color w:val="auto"/>
                <w:szCs w:val="20"/>
              </w:rPr>
              <w:t>é maior que 1. Caso afirmativo</w:t>
            </w:r>
            <w:r w:rsidR="0074344E" w:rsidRPr="00FA3856">
              <w:rPr>
                <w:rFonts w:ascii="Times New Roman" w:hAnsi="Times New Roman"/>
                <w:color w:val="auto"/>
                <w:szCs w:val="20"/>
              </w:rPr>
              <w:t>, verifica as seguintes regras:</w:t>
            </w:r>
          </w:p>
          <w:p w:rsidR="00485A80" w:rsidRPr="00FA3856" w:rsidRDefault="003F2D9F" w:rsidP="00EE77FB">
            <w:pPr>
              <w:pStyle w:val="psds-corpodetexto"/>
              <w:numPr>
                <w:ilvl w:val="0"/>
                <w:numId w:val="9"/>
              </w:numPr>
              <w:spacing w:before="0" w:beforeAutospacing="0" w:after="0" w:afterAutospacing="0"/>
              <w:jc w:val="both"/>
              <w:rPr>
                <w:szCs w:val="20"/>
              </w:rPr>
            </w:pPr>
            <w:r w:rsidRPr="00FA3856">
              <w:rPr>
                <w:rStyle w:val="Hyperlink"/>
                <w:b/>
                <w:color w:val="auto"/>
                <w:szCs w:val="20"/>
                <w:lang w:val="it-IT"/>
              </w:rPr>
              <w:t>REGRA_CONTA_NO_PLANO_CONTAS</w:t>
            </w:r>
            <w:r w:rsidR="000838FD" w:rsidRPr="00FA3856">
              <w:rPr>
                <w:rStyle w:val="Hyperlink"/>
                <w:b/>
                <w:color w:val="auto"/>
                <w:szCs w:val="20"/>
                <w:lang w:val="it-IT"/>
              </w:rPr>
              <w:t>:</w:t>
            </w:r>
            <w:r w:rsidR="000838FD" w:rsidRPr="00FA3856">
              <w:rPr>
                <w:szCs w:val="20"/>
              </w:rPr>
              <w:t xml:space="preserve"> Verifica se </w:t>
            </w:r>
            <w:r w:rsidR="00AE58A0" w:rsidRPr="00FA3856">
              <w:rPr>
                <w:szCs w:val="20"/>
              </w:rPr>
              <w:t>J050</w:t>
            </w:r>
            <w:r w:rsidR="000D1E6A" w:rsidRPr="00FA3856">
              <w:rPr>
                <w:szCs w:val="20"/>
              </w:rPr>
              <w:t>.COD_CTA_SUP existe no plano de contas (R</w:t>
            </w:r>
            <w:r w:rsidR="000838FD" w:rsidRPr="00FA3856">
              <w:rPr>
                <w:szCs w:val="20"/>
              </w:rPr>
              <w:t>egistro J050).</w:t>
            </w:r>
          </w:p>
          <w:p w:rsidR="00485A80" w:rsidRPr="00FA3856" w:rsidRDefault="007D0E74" w:rsidP="00EE77FB">
            <w:pPr>
              <w:pStyle w:val="psds-corpodetexto"/>
              <w:numPr>
                <w:ilvl w:val="0"/>
                <w:numId w:val="9"/>
              </w:numPr>
              <w:spacing w:before="0" w:beforeAutospacing="0" w:after="0" w:afterAutospacing="0"/>
              <w:jc w:val="both"/>
              <w:rPr>
                <w:szCs w:val="20"/>
              </w:rPr>
            </w:pPr>
            <w:hyperlink r:id="rId180" w:anchor="REGRA_CONTA_NIVEL_SUPERIOR_NAO_SINTETICA" w:history="1">
              <w:r w:rsidR="000838FD" w:rsidRPr="00FA3856">
                <w:rPr>
                  <w:rStyle w:val="Hyperlink"/>
                  <w:b/>
                  <w:color w:val="auto"/>
                  <w:szCs w:val="20"/>
                  <w:lang w:val="it-IT"/>
                </w:rPr>
                <w:t>REGRA_CONTA_NIVEL_SUPERIOR_NAO_SINTETICA</w:t>
              </w:r>
            </w:hyperlink>
            <w:r w:rsidR="000838FD" w:rsidRPr="00FA3856">
              <w:rPr>
                <w:b/>
                <w:szCs w:val="20"/>
              </w:rPr>
              <w:t>:</w:t>
            </w:r>
            <w:r w:rsidR="000838FD" w:rsidRPr="00FA3856">
              <w:rPr>
                <w:szCs w:val="20"/>
              </w:rPr>
              <w:t xml:space="preserve"> Localiza o registro</w:t>
            </w:r>
            <w:r w:rsidR="00485A80" w:rsidRPr="00FA3856">
              <w:rPr>
                <w:szCs w:val="20"/>
              </w:rPr>
              <w:t xml:space="preserve"> em que o </w:t>
            </w:r>
            <w:r w:rsidR="00AE58A0" w:rsidRPr="00FA3856">
              <w:rPr>
                <w:szCs w:val="20"/>
              </w:rPr>
              <w:t>J050</w:t>
            </w:r>
            <w:r w:rsidR="005E4785" w:rsidRPr="00FA3856">
              <w:rPr>
                <w:szCs w:val="20"/>
              </w:rPr>
              <w:t>.</w:t>
            </w:r>
            <w:r w:rsidR="00485A80" w:rsidRPr="00FA3856">
              <w:rPr>
                <w:szCs w:val="20"/>
              </w:rPr>
              <w:t>COD_CTA</w:t>
            </w:r>
            <w:r w:rsidR="000D1E6A" w:rsidRPr="00FA3856">
              <w:rPr>
                <w:szCs w:val="20"/>
              </w:rPr>
              <w:t xml:space="preserve"> </w:t>
            </w:r>
            <w:r w:rsidR="00485A80" w:rsidRPr="00FA3856">
              <w:rPr>
                <w:szCs w:val="20"/>
              </w:rPr>
              <w:t xml:space="preserve">tenha o mesmo valor do </w:t>
            </w:r>
            <w:r w:rsidR="00AE58A0" w:rsidRPr="00FA3856">
              <w:rPr>
                <w:szCs w:val="20"/>
              </w:rPr>
              <w:t>J050</w:t>
            </w:r>
            <w:r w:rsidR="005E4785" w:rsidRPr="00FA3856">
              <w:rPr>
                <w:szCs w:val="20"/>
              </w:rPr>
              <w:t>.</w:t>
            </w:r>
            <w:r w:rsidR="00485A80" w:rsidRPr="00FA3856">
              <w:rPr>
                <w:szCs w:val="20"/>
              </w:rPr>
              <w:t>COD_CTA_SUP</w:t>
            </w:r>
            <w:r w:rsidR="000838FD" w:rsidRPr="00FA3856">
              <w:rPr>
                <w:szCs w:val="20"/>
              </w:rPr>
              <w:t>. Neste registro</w:t>
            </w:r>
            <w:r w:rsidR="00485A80" w:rsidRPr="00FA3856">
              <w:rPr>
                <w:szCs w:val="20"/>
              </w:rPr>
              <w:t xml:space="preserve">, o </w:t>
            </w:r>
            <w:r w:rsidR="00AE58A0" w:rsidRPr="00FA3856">
              <w:rPr>
                <w:szCs w:val="20"/>
              </w:rPr>
              <w:t>J050</w:t>
            </w:r>
            <w:r w:rsidR="005E4785" w:rsidRPr="00FA3856">
              <w:rPr>
                <w:szCs w:val="20"/>
              </w:rPr>
              <w:t>.</w:t>
            </w:r>
            <w:r w:rsidR="00485A80" w:rsidRPr="00FA3856">
              <w:rPr>
                <w:szCs w:val="20"/>
              </w:rPr>
              <w:t>IND_CTA</w:t>
            </w:r>
            <w:r w:rsidR="000D1E6A" w:rsidRPr="00FA3856">
              <w:rPr>
                <w:szCs w:val="20"/>
              </w:rPr>
              <w:t xml:space="preserve"> </w:t>
            </w:r>
            <w:r w:rsidR="000838FD" w:rsidRPr="00FA3856">
              <w:rPr>
                <w:szCs w:val="20"/>
              </w:rPr>
              <w:t>deve ser igual a "S" (Sintética). </w:t>
            </w:r>
          </w:p>
          <w:p w:rsidR="00485A80" w:rsidRPr="00FA3856" w:rsidRDefault="007D0E74" w:rsidP="00EE77FB">
            <w:pPr>
              <w:pStyle w:val="psds-corpodetexto"/>
              <w:numPr>
                <w:ilvl w:val="0"/>
                <w:numId w:val="9"/>
              </w:numPr>
              <w:spacing w:before="0" w:beforeAutospacing="0" w:after="0" w:afterAutospacing="0"/>
              <w:jc w:val="both"/>
              <w:rPr>
                <w:szCs w:val="20"/>
              </w:rPr>
            </w:pPr>
            <w:hyperlink r:id="rId181" w:anchor="REGRA_NIVEL_DE_CONTA_NIVEL_SUPERIOR_INVA" w:history="1">
              <w:r w:rsidR="000838FD" w:rsidRPr="00FA3856">
                <w:rPr>
                  <w:rStyle w:val="Hyperlink"/>
                  <w:b/>
                  <w:color w:val="auto"/>
                  <w:szCs w:val="20"/>
                  <w:lang w:val="it-IT"/>
                </w:rPr>
                <w:t>REGRA_NIVEL_DE_CONTA_NIVEL_SUPERIOR_INVALIDO</w:t>
              </w:r>
            </w:hyperlink>
            <w:r w:rsidR="000838FD" w:rsidRPr="00FA3856">
              <w:rPr>
                <w:b/>
                <w:szCs w:val="20"/>
              </w:rPr>
              <w:t>:</w:t>
            </w:r>
            <w:r w:rsidR="000838FD" w:rsidRPr="00FA3856">
              <w:rPr>
                <w:szCs w:val="20"/>
              </w:rPr>
              <w:t xml:space="preserve"> Localiza o registro</w:t>
            </w:r>
            <w:r w:rsidR="00485A80" w:rsidRPr="00FA3856">
              <w:rPr>
                <w:szCs w:val="20"/>
              </w:rPr>
              <w:t xml:space="preserve"> em que o </w:t>
            </w:r>
            <w:r w:rsidR="00AE58A0" w:rsidRPr="00FA3856">
              <w:rPr>
                <w:szCs w:val="20"/>
              </w:rPr>
              <w:t>J050</w:t>
            </w:r>
            <w:r w:rsidR="005E4785" w:rsidRPr="00FA3856">
              <w:rPr>
                <w:szCs w:val="20"/>
              </w:rPr>
              <w:t>.</w:t>
            </w:r>
            <w:r w:rsidR="000D1E6A" w:rsidRPr="00FA3856">
              <w:rPr>
                <w:szCs w:val="20"/>
              </w:rPr>
              <w:t>COD_CTA t</w:t>
            </w:r>
            <w:r w:rsidR="00485A80" w:rsidRPr="00FA3856">
              <w:rPr>
                <w:szCs w:val="20"/>
              </w:rPr>
              <w:t xml:space="preserve">enha o mesmo valor do </w:t>
            </w:r>
            <w:r w:rsidR="00AE58A0" w:rsidRPr="00FA3856">
              <w:rPr>
                <w:szCs w:val="20"/>
              </w:rPr>
              <w:t>J050</w:t>
            </w:r>
            <w:r w:rsidR="005E4785" w:rsidRPr="00FA3856">
              <w:rPr>
                <w:szCs w:val="20"/>
              </w:rPr>
              <w:t>.</w:t>
            </w:r>
            <w:r w:rsidR="00485A80" w:rsidRPr="00FA3856">
              <w:rPr>
                <w:szCs w:val="20"/>
              </w:rPr>
              <w:t>COD_CTA_SUP</w:t>
            </w:r>
            <w:r w:rsidR="000838FD" w:rsidRPr="00FA3856">
              <w:rPr>
                <w:szCs w:val="20"/>
              </w:rPr>
              <w:t>. Neste registro</w:t>
            </w:r>
            <w:r w:rsidR="00485A80" w:rsidRPr="00FA3856">
              <w:rPr>
                <w:szCs w:val="20"/>
              </w:rPr>
              <w:t xml:space="preserve">, o </w:t>
            </w:r>
            <w:r w:rsidR="00AE58A0" w:rsidRPr="00FA3856">
              <w:rPr>
                <w:szCs w:val="20"/>
              </w:rPr>
              <w:t>J050</w:t>
            </w:r>
            <w:r w:rsidR="005E4785" w:rsidRPr="00FA3856">
              <w:rPr>
                <w:szCs w:val="20"/>
              </w:rPr>
              <w:t>.NI</w:t>
            </w:r>
            <w:r w:rsidR="00485A80" w:rsidRPr="00FA3856">
              <w:rPr>
                <w:szCs w:val="20"/>
              </w:rPr>
              <w:t>VEL</w:t>
            </w:r>
            <w:r w:rsidR="000D1E6A" w:rsidRPr="00FA3856">
              <w:rPr>
                <w:szCs w:val="20"/>
              </w:rPr>
              <w:t xml:space="preserve"> </w:t>
            </w:r>
            <w:r w:rsidR="000838FD" w:rsidRPr="00FA3856">
              <w:rPr>
                <w:szCs w:val="20"/>
              </w:rPr>
              <w:t>deve ser menor que o nível atual.</w:t>
            </w:r>
          </w:p>
          <w:p w:rsidR="000838FD" w:rsidRPr="00FA3856" w:rsidRDefault="00485A80" w:rsidP="00EE77FB">
            <w:pPr>
              <w:pStyle w:val="psds-corpodetexto"/>
              <w:numPr>
                <w:ilvl w:val="0"/>
                <w:numId w:val="9"/>
              </w:numPr>
              <w:spacing w:before="0" w:beforeAutospacing="0" w:after="0" w:afterAutospacing="0"/>
              <w:jc w:val="both"/>
              <w:rPr>
                <w:szCs w:val="20"/>
              </w:rPr>
            </w:pPr>
            <w:r w:rsidRPr="00FA3856">
              <w:rPr>
                <w:szCs w:val="20"/>
                <w:lang w:val="it-IT"/>
              </w:rPr>
              <w:t xml:space="preserve">Verifica se </w:t>
            </w:r>
            <w:r w:rsidR="00AE58A0" w:rsidRPr="00FA3856">
              <w:rPr>
                <w:szCs w:val="20"/>
                <w:lang w:val="it-IT"/>
              </w:rPr>
              <w:t>J050</w:t>
            </w:r>
            <w:r w:rsidR="005E4785" w:rsidRPr="00FA3856">
              <w:rPr>
                <w:szCs w:val="20"/>
                <w:lang w:val="it-IT"/>
              </w:rPr>
              <w:t>.NI</w:t>
            </w:r>
            <w:r w:rsidRPr="00FA3856">
              <w:rPr>
                <w:szCs w:val="20"/>
                <w:lang w:val="it-IT"/>
              </w:rPr>
              <w:t>VEL</w:t>
            </w:r>
            <w:r w:rsidR="000D1E6A" w:rsidRPr="00FA3856">
              <w:rPr>
                <w:szCs w:val="20"/>
                <w:lang w:val="it-IT"/>
              </w:rPr>
              <w:t xml:space="preserve"> </w:t>
            </w:r>
            <w:r w:rsidR="000838FD" w:rsidRPr="00FA3856">
              <w:rPr>
                <w:szCs w:val="20"/>
                <w:lang w:val="it-IT"/>
              </w:rPr>
              <w:t>maior que 2. Se afirmativo, verifica a regra:</w:t>
            </w:r>
            <w:r w:rsidRPr="00FA3856">
              <w:rPr>
                <w:szCs w:val="20"/>
                <w:lang w:val="it-IT"/>
              </w:rPr>
              <w:t xml:space="preserve"> </w:t>
            </w:r>
            <w:hyperlink r:id="rId182" w:anchor="REGRA_NATUREZA_CONTA" w:history="1">
              <w:r w:rsidR="000838FD" w:rsidRPr="00FA3856">
                <w:rPr>
                  <w:rStyle w:val="Hyperlink"/>
                  <w:b/>
                  <w:color w:val="auto"/>
                  <w:szCs w:val="20"/>
                  <w:lang w:val="it-IT"/>
                </w:rPr>
                <w:t>REGRA_NATUREZA_CONTA</w:t>
              </w:r>
            </w:hyperlink>
            <w:r w:rsidR="005E4785" w:rsidRPr="00FA3856">
              <w:rPr>
                <w:b/>
                <w:szCs w:val="20"/>
              </w:rPr>
              <w:t xml:space="preserve"> </w:t>
            </w:r>
            <w:r w:rsidR="005E4785" w:rsidRPr="00FA3856">
              <w:rPr>
                <w:szCs w:val="20"/>
              </w:rPr>
              <w:t>(</w:t>
            </w:r>
            <w:r w:rsidR="000838FD" w:rsidRPr="00FA3856">
              <w:rPr>
                <w:szCs w:val="20"/>
                <w:lang w:val="pt-PT"/>
              </w:rPr>
              <w:t>Verifica se a conta de nível superior t</w:t>
            </w:r>
            <w:r w:rsidR="00AE58A0" w:rsidRPr="00FA3856">
              <w:rPr>
                <w:szCs w:val="20"/>
                <w:lang w:val="pt-PT"/>
              </w:rPr>
              <w:t>em a mesma natureza (J050</w:t>
            </w:r>
            <w:r w:rsidR="005E4785" w:rsidRPr="00FA3856">
              <w:rPr>
                <w:szCs w:val="20"/>
                <w:lang w:val="pt-PT"/>
              </w:rPr>
              <w:t>.</w:t>
            </w:r>
            <w:r w:rsidR="000838FD" w:rsidRPr="00FA3856">
              <w:rPr>
                <w:szCs w:val="20"/>
                <w:lang w:val="pt-PT"/>
              </w:rPr>
              <w:t>COD_NAT) da subconta</w:t>
            </w:r>
            <w:r w:rsidR="005E4785" w:rsidRPr="00FA3856">
              <w:rPr>
                <w:szCs w:val="20"/>
                <w:lang w:val="pt-PT"/>
              </w:rPr>
              <w:t>)</w:t>
            </w:r>
            <w:r w:rsidR="000838FD" w:rsidRPr="00FA3856">
              <w:rPr>
                <w:szCs w:val="20"/>
                <w:lang w:val="pt-PT"/>
              </w:rPr>
              <w:t>. </w:t>
            </w:r>
          </w:p>
          <w:p w:rsidR="000838FD" w:rsidRPr="00FA3856" w:rsidRDefault="000838FD" w:rsidP="000838FD">
            <w:pPr>
              <w:shd w:val="clear" w:color="auto" w:fill="FFFFFF"/>
              <w:jc w:val="both"/>
              <w:rPr>
                <w:b/>
                <w:szCs w:val="20"/>
              </w:rPr>
            </w:pPr>
          </w:p>
          <w:p w:rsidR="000838FD" w:rsidRPr="00FA3856" w:rsidRDefault="007D0E74" w:rsidP="00485A80">
            <w:pPr>
              <w:pStyle w:val="psds-corpodetexto"/>
              <w:spacing w:before="0" w:beforeAutospacing="0" w:after="0" w:afterAutospacing="0"/>
              <w:jc w:val="both"/>
              <w:rPr>
                <w:szCs w:val="20"/>
              </w:rPr>
            </w:pPr>
            <w:hyperlink w:anchor="REGRA_CONTA_SUPERIOR_NAO_SE_APLICA" w:history="1">
              <w:r w:rsidR="000838FD" w:rsidRPr="00FA3856">
                <w:rPr>
                  <w:rStyle w:val="Hyperlink"/>
                  <w:b/>
                  <w:color w:val="auto"/>
                  <w:szCs w:val="20"/>
                </w:rPr>
                <w:t>REGRA_CONTA_SUPERIOR_NAO_SE_APLICA</w:t>
              </w:r>
            </w:hyperlink>
            <w:r w:rsidR="00485A80" w:rsidRPr="00FA3856">
              <w:rPr>
                <w:rStyle w:val="Hyperlink"/>
                <w:b/>
                <w:color w:val="auto"/>
                <w:szCs w:val="20"/>
              </w:rPr>
              <w:t xml:space="preserve">: </w:t>
            </w:r>
            <w:r w:rsidR="00485A80" w:rsidRPr="00FA3856">
              <w:rPr>
                <w:szCs w:val="20"/>
                <w:lang w:val="it-IT"/>
              </w:rPr>
              <w:t xml:space="preserve">Verifica, caso </w:t>
            </w:r>
            <w:r w:rsidR="00AE58A0" w:rsidRPr="00FA3856">
              <w:rPr>
                <w:szCs w:val="20"/>
              </w:rPr>
              <w:t>J050</w:t>
            </w:r>
            <w:r w:rsidR="000D1E6A" w:rsidRPr="00FA3856">
              <w:rPr>
                <w:szCs w:val="20"/>
              </w:rPr>
              <w:t xml:space="preserve">.NIVEL </w:t>
            </w:r>
            <w:r w:rsidR="00485A80" w:rsidRPr="00FA3856">
              <w:rPr>
                <w:szCs w:val="20"/>
              </w:rPr>
              <w:t xml:space="preserve">seja igual “1”, se </w:t>
            </w:r>
            <w:r w:rsidR="00AE58A0" w:rsidRPr="00FA3856">
              <w:rPr>
                <w:szCs w:val="20"/>
              </w:rPr>
              <w:t>J050</w:t>
            </w:r>
            <w:r w:rsidR="000D1E6A" w:rsidRPr="00FA3856">
              <w:rPr>
                <w:szCs w:val="20"/>
              </w:rPr>
              <w:t xml:space="preserve">.COD_CTA_SUP </w:t>
            </w:r>
            <w:r w:rsidR="00485A80" w:rsidRPr="00FA3856">
              <w:rPr>
                <w:szCs w:val="20"/>
              </w:rPr>
              <w:t>não foi informado.</w:t>
            </w:r>
          </w:p>
          <w:p w:rsidR="000D1E6A" w:rsidRPr="00FA3856" w:rsidRDefault="000D1E6A" w:rsidP="00485A80">
            <w:pPr>
              <w:pStyle w:val="psds-corpodetexto"/>
              <w:spacing w:before="0" w:beforeAutospacing="0" w:after="0" w:afterAutospacing="0"/>
              <w:jc w:val="both"/>
              <w:rPr>
                <w:szCs w:val="20"/>
              </w:rPr>
            </w:pPr>
          </w:p>
        </w:tc>
        <w:tc>
          <w:tcPr>
            <w:tcW w:w="717" w:type="dxa"/>
            <w:tcBorders>
              <w:top w:val="single" w:sz="6" w:space="0" w:color="auto"/>
              <w:left w:val="single" w:sz="6" w:space="0" w:color="auto"/>
              <w:bottom w:val="single" w:sz="6" w:space="0" w:color="auto"/>
              <w:right w:val="single" w:sz="6" w:space="0" w:color="auto"/>
            </w:tcBorders>
          </w:tcPr>
          <w:p w:rsidR="000838FD" w:rsidRPr="00FA3856" w:rsidRDefault="000838FD" w:rsidP="000838FD">
            <w:pPr>
              <w:widowControl w:val="0"/>
              <w:autoSpaceDE w:val="0"/>
              <w:autoSpaceDN w:val="0"/>
              <w:adjustRightInd w:val="0"/>
              <w:jc w:val="both"/>
              <w:rPr>
                <w:szCs w:val="20"/>
                <w:lang w:val="pt-PT"/>
              </w:rPr>
            </w:pPr>
            <w:r w:rsidRPr="00FA3856">
              <w:rPr>
                <w:szCs w:val="20"/>
                <w:lang w:val="pt-PT"/>
              </w:rPr>
              <w:t>Erro</w:t>
            </w:r>
          </w:p>
          <w:p w:rsidR="000838FD" w:rsidRPr="00FA3856" w:rsidRDefault="000838FD" w:rsidP="000838FD">
            <w:pPr>
              <w:widowControl w:val="0"/>
              <w:autoSpaceDE w:val="0"/>
              <w:autoSpaceDN w:val="0"/>
              <w:adjustRightInd w:val="0"/>
              <w:jc w:val="both"/>
              <w:rPr>
                <w:szCs w:val="20"/>
                <w:lang w:val="pt-PT"/>
              </w:rPr>
            </w:pPr>
          </w:p>
          <w:p w:rsidR="000838FD" w:rsidRPr="00FA3856" w:rsidRDefault="000838FD" w:rsidP="000838FD">
            <w:pPr>
              <w:widowControl w:val="0"/>
              <w:autoSpaceDE w:val="0"/>
              <w:autoSpaceDN w:val="0"/>
              <w:adjustRightInd w:val="0"/>
              <w:jc w:val="both"/>
              <w:rPr>
                <w:szCs w:val="20"/>
                <w:lang w:val="pt-PT"/>
              </w:rPr>
            </w:pPr>
          </w:p>
          <w:p w:rsidR="000838FD" w:rsidRPr="00FA3856" w:rsidRDefault="000838FD" w:rsidP="000838FD">
            <w:pPr>
              <w:widowControl w:val="0"/>
              <w:autoSpaceDE w:val="0"/>
              <w:autoSpaceDN w:val="0"/>
              <w:adjustRightInd w:val="0"/>
              <w:jc w:val="both"/>
              <w:rPr>
                <w:szCs w:val="20"/>
                <w:lang w:val="pt-PT"/>
              </w:rPr>
            </w:pPr>
            <w:r w:rsidRPr="00FA3856">
              <w:rPr>
                <w:szCs w:val="20"/>
                <w:lang w:val="pt-PT"/>
              </w:rPr>
              <w:t>Erro</w:t>
            </w:r>
          </w:p>
          <w:p w:rsidR="00485A80" w:rsidRPr="00FA3856" w:rsidRDefault="00485A80" w:rsidP="000838FD">
            <w:pPr>
              <w:widowControl w:val="0"/>
              <w:autoSpaceDE w:val="0"/>
              <w:autoSpaceDN w:val="0"/>
              <w:adjustRightInd w:val="0"/>
              <w:jc w:val="both"/>
              <w:rPr>
                <w:szCs w:val="20"/>
                <w:lang w:val="pt-PT"/>
              </w:rPr>
            </w:pPr>
          </w:p>
          <w:p w:rsidR="00485A80" w:rsidRPr="00FA3856" w:rsidRDefault="00485A80" w:rsidP="000838FD">
            <w:pPr>
              <w:widowControl w:val="0"/>
              <w:autoSpaceDE w:val="0"/>
              <w:autoSpaceDN w:val="0"/>
              <w:adjustRightInd w:val="0"/>
              <w:jc w:val="both"/>
              <w:rPr>
                <w:szCs w:val="20"/>
                <w:lang w:val="pt-PT"/>
              </w:rPr>
            </w:pPr>
          </w:p>
          <w:p w:rsidR="00485A80" w:rsidRPr="00FA3856" w:rsidRDefault="00485A80" w:rsidP="000838FD">
            <w:pPr>
              <w:widowControl w:val="0"/>
              <w:autoSpaceDE w:val="0"/>
              <w:autoSpaceDN w:val="0"/>
              <w:adjustRightInd w:val="0"/>
              <w:jc w:val="both"/>
              <w:rPr>
                <w:szCs w:val="20"/>
                <w:lang w:val="pt-PT"/>
              </w:rPr>
            </w:pPr>
          </w:p>
          <w:p w:rsidR="00485A80" w:rsidRPr="00FA3856" w:rsidRDefault="00485A80" w:rsidP="000838FD">
            <w:pPr>
              <w:widowControl w:val="0"/>
              <w:autoSpaceDE w:val="0"/>
              <w:autoSpaceDN w:val="0"/>
              <w:adjustRightInd w:val="0"/>
              <w:jc w:val="both"/>
              <w:rPr>
                <w:szCs w:val="20"/>
                <w:lang w:val="pt-PT"/>
              </w:rPr>
            </w:pPr>
          </w:p>
          <w:p w:rsidR="00485A80" w:rsidRPr="00FA3856" w:rsidRDefault="00485A80" w:rsidP="000838FD">
            <w:pPr>
              <w:widowControl w:val="0"/>
              <w:autoSpaceDE w:val="0"/>
              <w:autoSpaceDN w:val="0"/>
              <w:adjustRightInd w:val="0"/>
              <w:jc w:val="both"/>
              <w:rPr>
                <w:szCs w:val="20"/>
                <w:lang w:val="pt-PT"/>
              </w:rPr>
            </w:pPr>
          </w:p>
          <w:p w:rsidR="00485A80" w:rsidRPr="00FA3856" w:rsidRDefault="00485A80" w:rsidP="000838FD">
            <w:pPr>
              <w:widowControl w:val="0"/>
              <w:autoSpaceDE w:val="0"/>
              <w:autoSpaceDN w:val="0"/>
              <w:adjustRightInd w:val="0"/>
              <w:jc w:val="both"/>
              <w:rPr>
                <w:szCs w:val="20"/>
                <w:lang w:val="pt-PT"/>
              </w:rPr>
            </w:pPr>
          </w:p>
          <w:p w:rsidR="00485A80" w:rsidRPr="00FA3856" w:rsidRDefault="00485A80" w:rsidP="000838FD">
            <w:pPr>
              <w:widowControl w:val="0"/>
              <w:autoSpaceDE w:val="0"/>
              <w:autoSpaceDN w:val="0"/>
              <w:adjustRightInd w:val="0"/>
              <w:jc w:val="both"/>
              <w:rPr>
                <w:szCs w:val="20"/>
                <w:lang w:val="pt-PT"/>
              </w:rPr>
            </w:pPr>
          </w:p>
          <w:p w:rsidR="00485A80" w:rsidRPr="00FA3856" w:rsidRDefault="00485A80" w:rsidP="000838FD">
            <w:pPr>
              <w:widowControl w:val="0"/>
              <w:autoSpaceDE w:val="0"/>
              <w:autoSpaceDN w:val="0"/>
              <w:adjustRightInd w:val="0"/>
              <w:jc w:val="both"/>
              <w:rPr>
                <w:szCs w:val="20"/>
                <w:lang w:val="pt-PT"/>
              </w:rPr>
            </w:pPr>
          </w:p>
          <w:p w:rsidR="00485A80" w:rsidRPr="00FA3856" w:rsidRDefault="00485A80" w:rsidP="000838FD">
            <w:pPr>
              <w:widowControl w:val="0"/>
              <w:autoSpaceDE w:val="0"/>
              <w:autoSpaceDN w:val="0"/>
              <w:adjustRightInd w:val="0"/>
              <w:jc w:val="both"/>
              <w:rPr>
                <w:szCs w:val="20"/>
                <w:lang w:val="pt-PT"/>
              </w:rPr>
            </w:pPr>
            <w:r w:rsidRPr="00FA3856">
              <w:rPr>
                <w:szCs w:val="20"/>
                <w:lang w:val="pt-PT"/>
              </w:rPr>
              <w:t>Erro</w:t>
            </w:r>
          </w:p>
        </w:tc>
      </w:tr>
    </w:tbl>
    <w:p w:rsidR="00DC0C3D" w:rsidRPr="00DC0C3D" w:rsidRDefault="00DC0C3D" w:rsidP="00DC0C3D">
      <w:pPr>
        <w:shd w:val="clear" w:color="auto" w:fill="F1F1F1"/>
        <w:spacing w:line="90" w:lineRule="atLeast"/>
        <w:rPr>
          <w:rFonts w:ascii="Arial" w:eastAsia="Times New Roman" w:hAnsi="Arial" w:cs="Arial"/>
          <w:color w:val="222222"/>
          <w:sz w:val="19"/>
          <w:szCs w:val="19"/>
          <w:lang w:eastAsia="pt-BR"/>
        </w:rPr>
      </w:pPr>
      <w:r w:rsidRPr="00DC0C3D">
        <w:rPr>
          <w:rFonts w:ascii="Arial" w:eastAsia="Times New Roman" w:hAnsi="Arial" w:cs="Arial"/>
          <w:noProof/>
          <w:color w:val="222222"/>
          <w:sz w:val="19"/>
          <w:szCs w:val="19"/>
          <w:lang w:eastAsia="pt-BR"/>
        </w:rPr>
        <w:drawing>
          <wp:inline distT="0" distB="0" distL="0" distR="0">
            <wp:extent cx="9525" cy="9525"/>
            <wp:effectExtent l="0" t="0" r="0" b="0"/>
            <wp:docPr id="3" name="Imagem 3"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descr="https://ssl.gstatic.com/ui/v1/icons/mail/images/cleardot.gif"/>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AE58A0" w:rsidRPr="00FA3856" w:rsidRDefault="00AE58A0">
      <w:pPr>
        <w:spacing w:after="200" w:line="276" w:lineRule="auto"/>
        <w:rPr>
          <w:b/>
          <w:color w:val="002060"/>
          <w:szCs w:val="20"/>
          <w:lang w:eastAsia="ar-SA"/>
        </w:rPr>
      </w:pPr>
    </w:p>
    <w:p w:rsidR="00DC0C3D" w:rsidRDefault="00DC0C3D" w:rsidP="007F6CEC">
      <w:pPr>
        <w:pStyle w:val="Corpodetexto"/>
        <w:rPr>
          <w:rFonts w:ascii="Times New Roman" w:hAnsi="Times New Roman"/>
          <w:b/>
          <w:color w:val="002060"/>
          <w:szCs w:val="20"/>
        </w:rPr>
      </w:pPr>
    </w:p>
    <w:p w:rsidR="00DC0C3D" w:rsidRDefault="00DC0C3D" w:rsidP="007F6CEC">
      <w:pPr>
        <w:pStyle w:val="Corpodetexto"/>
        <w:rPr>
          <w:rFonts w:ascii="Times New Roman" w:hAnsi="Times New Roman"/>
          <w:b/>
          <w:color w:val="002060"/>
          <w:szCs w:val="20"/>
        </w:rPr>
      </w:pPr>
    </w:p>
    <w:p w:rsidR="00DC0C3D" w:rsidRDefault="00DC0C3D" w:rsidP="007F6CEC">
      <w:pPr>
        <w:pStyle w:val="Corpodetexto"/>
        <w:rPr>
          <w:rFonts w:ascii="Times New Roman" w:hAnsi="Times New Roman"/>
          <w:b/>
          <w:color w:val="002060"/>
          <w:szCs w:val="20"/>
        </w:rPr>
      </w:pPr>
    </w:p>
    <w:p w:rsidR="00DC0C3D" w:rsidRDefault="00DC0C3D" w:rsidP="007F6CEC">
      <w:pPr>
        <w:pStyle w:val="Corpodetexto"/>
        <w:rPr>
          <w:rFonts w:ascii="Times New Roman" w:hAnsi="Times New Roman"/>
          <w:b/>
          <w:color w:val="002060"/>
          <w:szCs w:val="20"/>
        </w:rPr>
      </w:pPr>
    </w:p>
    <w:p w:rsidR="00DC0C3D" w:rsidRDefault="00DC0C3D" w:rsidP="007F6CEC">
      <w:pPr>
        <w:pStyle w:val="Corpodetexto"/>
        <w:rPr>
          <w:rFonts w:ascii="Times New Roman" w:hAnsi="Times New Roman"/>
          <w:b/>
          <w:color w:val="002060"/>
          <w:szCs w:val="20"/>
        </w:rPr>
      </w:pPr>
    </w:p>
    <w:p w:rsidR="00DC0C3D" w:rsidRDefault="00DC0C3D" w:rsidP="007F6CEC">
      <w:pPr>
        <w:pStyle w:val="Corpodetexto"/>
        <w:rPr>
          <w:rFonts w:ascii="Times New Roman" w:hAnsi="Times New Roman"/>
          <w:b/>
          <w:color w:val="002060"/>
          <w:szCs w:val="20"/>
        </w:rPr>
      </w:pPr>
    </w:p>
    <w:p w:rsidR="00DC0C3D" w:rsidRDefault="00DC0C3D" w:rsidP="007F6CEC">
      <w:pPr>
        <w:pStyle w:val="Corpodetexto"/>
        <w:rPr>
          <w:rFonts w:ascii="Times New Roman" w:hAnsi="Times New Roman"/>
          <w:b/>
          <w:color w:val="002060"/>
          <w:szCs w:val="20"/>
        </w:rPr>
      </w:pPr>
    </w:p>
    <w:p w:rsidR="007F6CEC" w:rsidRPr="00FA3856" w:rsidRDefault="007F6CEC" w:rsidP="007F6CEC">
      <w:pPr>
        <w:pStyle w:val="Corpodetexto"/>
        <w:rPr>
          <w:rFonts w:ascii="Times New Roman" w:hAnsi="Times New Roman"/>
          <w:color w:val="002060"/>
          <w:szCs w:val="20"/>
        </w:rPr>
      </w:pPr>
      <w:r w:rsidRPr="00FA3856">
        <w:rPr>
          <w:rFonts w:ascii="Times New Roman" w:hAnsi="Times New Roman"/>
          <w:b/>
          <w:color w:val="002060"/>
          <w:szCs w:val="20"/>
        </w:rPr>
        <w:lastRenderedPageBreak/>
        <w:t>Exemplos de Preenchimento:</w:t>
      </w:r>
    </w:p>
    <w:p w:rsidR="00342F1D" w:rsidRDefault="00342F1D" w:rsidP="00342F1D">
      <w:pPr>
        <w:pStyle w:val="Corpodetexto"/>
        <w:rPr>
          <w:rFonts w:ascii="Times New Roman" w:hAnsi="Times New Roman"/>
          <w:b/>
          <w:color w:val="002060"/>
          <w:szCs w:val="20"/>
        </w:rPr>
      </w:pPr>
    </w:p>
    <w:p w:rsidR="007F6CEC" w:rsidRPr="00FA3856" w:rsidRDefault="007F6CEC" w:rsidP="00342F1D">
      <w:pPr>
        <w:pStyle w:val="Corpodetexto"/>
        <w:rPr>
          <w:rFonts w:ascii="Times New Roman" w:hAnsi="Times New Roman"/>
          <w:b/>
          <w:color w:val="002060"/>
          <w:szCs w:val="20"/>
        </w:rPr>
      </w:pPr>
      <w:r w:rsidRPr="00FA3856">
        <w:rPr>
          <w:rFonts w:ascii="Times New Roman" w:hAnsi="Times New Roman"/>
          <w:b/>
          <w:color w:val="002060"/>
          <w:szCs w:val="20"/>
        </w:rPr>
        <w:t>|J050|01012014|01|S|1|1||Ativo Sintética 1|</w:t>
      </w:r>
    </w:p>
    <w:p w:rsidR="007F6CEC" w:rsidRPr="00FA3856" w:rsidRDefault="002C58A4" w:rsidP="00342F1D">
      <w:pPr>
        <w:pStyle w:val="Corpodetexto"/>
        <w:ind w:firstLine="708"/>
        <w:rPr>
          <w:rFonts w:ascii="Times New Roman" w:hAnsi="Times New Roman"/>
          <w:color w:val="002060"/>
          <w:szCs w:val="20"/>
        </w:rPr>
      </w:pPr>
      <w:r w:rsidRPr="00FA3856">
        <w:rPr>
          <w:rFonts w:ascii="Times New Roman" w:hAnsi="Times New Roman"/>
          <w:color w:val="002060"/>
          <w:szCs w:val="20"/>
        </w:rPr>
        <w:t>|J050|: Identificação do tipo</w:t>
      </w:r>
      <w:r w:rsidR="007F6CEC" w:rsidRPr="00FA3856">
        <w:rPr>
          <w:rFonts w:ascii="Times New Roman" w:hAnsi="Times New Roman"/>
          <w:color w:val="002060"/>
          <w:szCs w:val="20"/>
        </w:rPr>
        <w:t xml:space="preserve"> do registro.</w:t>
      </w:r>
    </w:p>
    <w:p w:rsidR="007F6CEC" w:rsidRPr="00FA3856" w:rsidRDefault="007F6CEC" w:rsidP="00342F1D">
      <w:pPr>
        <w:pStyle w:val="Corpodetexto"/>
        <w:ind w:firstLine="708"/>
        <w:rPr>
          <w:rFonts w:ascii="Times New Roman" w:hAnsi="Times New Roman"/>
          <w:color w:val="002060"/>
          <w:szCs w:val="20"/>
        </w:rPr>
      </w:pPr>
      <w:r w:rsidRPr="00FA3856">
        <w:rPr>
          <w:rFonts w:ascii="Times New Roman" w:hAnsi="Times New Roman"/>
          <w:color w:val="002060"/>
          <w:szCs w:val="20"/>
        </w:rPr>
        <w:t>|01012014|: Data da inclusão/alteração: 01012014 (01/01/2014).</w:t>
      </w:r>
    </w:p>
    <w:p w:rsidR="007F6CEC" w:rsidRPr="00FA3856" w:rsidRDefault="007F6CEC" w:rsidP="00342F1D">
      <w:pPr>
        <w:pStyle w:val="Corpodetexto"/>
        <w:ind w:firstLine="708"/>
        <w:rPr>
          <w:rFonts w:ascii="Times New Roman" w:hAnsi="Times New Roman"/>
          <w:color w:val="002060"/>
          <w:szCs w:val="20"/>
        </w:rPr>
      </w:pPr>
      <w:r w:rsidRPr="00FA3856">
        <w:rPr>
          <w:rFonts w:ascii="Times New Roman" w:hAnsi="Times New Roman"/>
          <w:color w:val="002060"/>
          <w:szCs w:val="20"/>
        </w:rPr>
        <w:t>|01|: Código da natureza da conta/Grupo de Contas (01 = Conta do Ativo).</w:t>
      </w:r>
    </w:p>
    <w:p w:rsidR="007F6CEC" w:rsidRPr="00FA3856" w:rsidRDefault="007F6CEC" w:rsidP="00342F1D">
      <w:pPr>
        <w:pStyle w:val="Corpodetexto"/>
        <w:ind w:firstLine="708"/>
        <w:rPr>
          <w:rFonts w:ascii="Times New Roman" w:hAnsi="Times New Roman"/>
          <w:color w:val="002060"/>
          <w:szCs w:val="20"/>
        </w:rPr>
      </w:pPr>
      <w:r w:rsidRPr="00FA3856">
        <w:rPr>
          <w:rFonts w:ascii="Times New Roman" w:hAnsi="Times New Roman"/>
          <w:color w:val="002060"/>
          <w:szCs w:val="20"/>
        </w:rPr>
        <w:t>|S|: Indicador do tipo de conta (S = Conta Sintética).</w:t>
      </w:r>
    </w:p>
    <w:p w:rsidR="007F6CEC" w:rsidRPr="00FA3856" w:rsidRDefault="007F6CEC" w:rsidP="00342F1D">
      <w:pPr>
        <w:pStyle w:val="Corpodetexto"/>
        <w:ind w:firstLine="708"/>
        <w:rPr>
          <w:rFonts w:ascii="Times New Roman" w:hAnsi="Times New Roman"/>
          <w:color w:val="002060"/>
          <w:szCs w:val="20"/>
        </w:rPr>
      </w:pPr>
      <w:r w:rsidRPr="00FA3856">
        <w:rPr>
          <w:rFonts w:ascii="Times New Roman" w:hAnsi="Times New Roman"/>
          <w:color w:val="002060"/>
          <w:szCs w:val="20"/>
        </w:rPr>
        <w:t>|1|: Nível da conta (1 = Conta de Nível 1).</w:t>
      </w:r>
    </w:p>
    <w:p w:rsidR="007F6CEC" w:rsidRPr="00FA3856" w:rsidRDefault="007F6CEC" w:rsidP="00342F1D">
      <w:pPr>
        <w:pStyle w:val="Corpodetexto"/>
        <w:ind w:firstLine="708"/>
        <w:rPr>
          <w:rFonts w:ascii="Times New Roman" w:hAnsi="Times New Roman"/>
          <w:color w:val="002060"/>
          <w:szCs w:val="20"/>
        </w:rPr>
      </w:pPr>
      <w:r w:rsidRPr="00FA3856">
        <w:rPr>
          <w:rFonts w:ascii="Times New Roman" w:hAnsi="Times New Roman"/>
          <w:color w:val="002060"/>
          <w:szCs w:val="20"/>
        </w:rPr>
        <w:t>|1|: Código da Conta Analítica/Grupo de Contas.</w:t>
      </w:r>
    </w:p>
    <w:p w:rsidR="007F6CEC" w:rsidRPr="00FA3856" w:rsidRDefault="007F6CEC" w:rsidP="00342F1D">
      <w:pPr>
        <w:pStyle w:val="Corpodetexto"/>
        <w:ind w:firstLine="708"/>
        <w:rPr>
          <w:rFonts w:ascii="Times New Roman" w:hAnsi="Times New Roman"/>
          <w:color w:val="002060"/>
          <w:szCs w:val="20"/>
        </w:rPr>
      </w:pPr>
      <w:r w:rsidRPr="00FA3856">
        <w:rPr>
          <w:rFonts w:ascii="Times New Roman" w:hAnsi="Times New Roman"/>
          <w:color w:val="002060"/>
          <w:szCs w:val="20"/>
        </w:rPr>
        <w:t>||: Código da Conta Sintética/Grupo de Contas de Nível Imediatamente Superior (Não há).</w:t>
      </w:r>
    </w:p>
    <w:p w:rsidR="007F6CEC" w:rsidRPr="00FA3856" w:rsidRDefault="007F6CEC" w:rsidP="00342F1D">
      <w:pPr>
        <w:pStyle w:val="Corpodetexto"/>
        <w:ind w:firstLine="708"/>
        <w:rPr>
          <w:rFonts w:ascii="Times New Roman" w:hAnsi="Times New Roman"/>
          <w:color w:val="002060"/>
          <w:szCs w:val="20"/>
        </w:rPr>
      </w:pPr>
      <w:r w:rsidRPr="00FA3856">
        <w:rPr>
          <w:rFonts w:ascii="Times New Roman" w:hAnsi="Times New Roman"/>
          <w:color w:val="002060"/>
          <w:szCs w:val="20"/>
        </w:rPr>
        <w:t>|Ativo Sintética 1|: Nome da Conta Analítica/Grupo de Contas.</w:t>
      </w:r>
    </w:p>
    <w:p w:rsidR="00342F1D" w:rsidRDefault="00342F1D" w:rsidP="00342F1D">
      <w:pPr>
        <w:pStyle w:val="Corpodetexto"/>
        <w:rPr>
          <w:rFonts w:ascii="Times New Roman" w:hAnsi="Times New Roman"/>
          <w:b/>
          <w:color w:val="002060"/>
          <w:szCs w:val="20"/>
        </w:rPr>
      </w:pPr>
    </w:p>
    <w:p w:rsidR="007F6CEC" w:rsidRPr="00FA3856" w:rsidRDefault="007F6CEC" w:rsidP="00342F1D">
      <w:pPr>
        <w:pStyle w:val="Corpodetexto"/>
        <w:rPr>
          <w:rFonts w:ascii="Times New Roman" w:hAnsi="Times New Roman"/>
          <w:b/>
          <w:color w:val="002060"/>
          <w:szCs w:val="20"/>
        </w:rPr>
      </w:pPr>
      <w:r w:rsidRPr="00FA3856">
        <w:rPr>
          <w:rFonts w:ascii="Times New Roman" w:hAnsi="Times New Roman"/>
          <w:b/>
          <w:color w:val="002060"/>
          <w:szCs w:val="20"/>
        </w:rPr>
        <w:t>|J050|01012014|01|S|2|1.1|1|Ativo Sintética 2|</w:t>
      </w:r>
    </w:p>
    <w:p w:rsidR="002C58A4" w:rsidRPr="00FA3856" w:rsidRDefault="002C58A4" w:rsidP="00342F1D">
      <w:pPr>
        <w:pStyle w:val="Corpodetexto"/>
        <w:ind w:firstLine="708"/>
        <w:rPr>
          <w:rFonts w:ascii="Times New Roman" w:hAnsi="Times New Roman"/>
          <w:color w:val="002060"/>
          <w:szCs w:val="20"/>
        </w:rPr>
      </w:pPr>
      <w:r w:rsidRPr="00FA3856">
        <w:rPr>
          <w:rFonts w:ascii="Times New Roman" w:hAnsi="Times New Roman"/>
          <w:color w:val="002060"/>
          <w:szCs w:val="20"/>
        </w:rPr>
        <w:t>|J050|: Identificação do tipo do registro.</w:t>
      </w:r>
    </w:p>
    <w:p w:rsidR="007F6CEC" w:rsidRPr="00FA3856" w:rsidRDefault="007F6CEC" w:rsidP="00342F1D">
      <w:pPr>
        <w:pStyle w:val="Corpodetexto"/>
        <w:ind w:firstLine="708"/>
        <w:rPr>
          <w:rFonts w:ascii="Times New Roman" w:hAnsi="Times New Roman"/>
          <w:color w:val="002060"/>
          <w:szCs w:val="20"/>
        </w:rPr>
      </w:pPr>
      <w:r w:rsidRPr="00FA3856">
        <w:rPr>
          <w:rFonts w:ascii="Times New Roman" w:hAnsi="Times New Roman"/>
          <w:color w:val="002060"/>
          <w:szCs w:val="20"/>
        </w:rPr>
        <w:t>|01012014|: Data da inclusão/alteração: 01012014 (01/01/2014).</w:t>
      </w:r>
    </w:p>
    <w:p w:rsidR="007F6CEC" w:rsidRPr="00FA3856" w:rsidRDefault="007F6CEC" w:rsidP="00342F1D">
      <w:pPr>
        <w:pStyle w:val="Corpodetexto"/>
        <w:ind w:firstLine="708"/>
        <w:rPr>
          <w:rFonts w:ascii="Times New Roman" w:hAnsi="Times New Roman"/>
          <w:color w:val="002060"/>
          <w:szCs w:val="20"/>
        </w:rPr>
      </w:pPr>
      <w:r w:rsidRPr="00FA3856">
        <w:rPr>
          <w:rFonts w:ascii="Times New Roman" w:hAnsi="Times New Roman"/>
          <w:color w:val="002060"/>
          <w:szCs w:val="20"/>
        </w:rPr>
        <w:t>|01|: Código da natureza da conta/Grupo de Contas (01 = Conta do Ativo).</w:t>
      </w:r>
    </w:p>
    <w:p w:rsidR="007F6CEC" w:rsidRPr="00FA3856" w:rsidRDefault="007F6CEC" w:rsidP="00342F1D">
      <w:pPr>
        <w:pStyle w:val="Corpodetexto"/>
        <w:ind w:firstLine="708"/>
        <w:rPr>
          <w:rFonts w:ascii="Times New Roman" w:hAnsi="Times New Roman"/>
          <w:color w:val="002060"/>
          <w:szCs w:val="20"/>
        </w:rPr>
      </w:pPr>
      <w:r w:rsidRPr="00FA3856">
        <w:rPr>
          <w:rFonts w:ascii="Times New Roman" w:hAnsi="Times New Roman"/>
          <w:color w:val="002060"/>
          <w:szCs w:val="20"/>
        </w:rPr>
        <w:t>|S|: Indicador do tipo de conta (S = Conta Sintética).</w:t>
      </w:r>
    </w:p>
    <w:p w:rsidR="007F6CEC" w:rsidRPr="00FA3856" w:rsidRDefault="007F6CEC" w:rsidP="00342F1D">
      <w:pPr>
        <w:pStyle w:val="Corpodetexto"/>
        <w:ind w:firstLine="708"/>
        <w:rPr>
          <w:rFonts w:ascii="Times New Roman" w:hAnsi="Times New Roman"/>
          <w:color w:val="002060"/>
          <w:szCs w:val="20"/>
        </w:rPr>
      </w:pPr>
      <w:r w:rsidRPr="00FA3856">
        <w:rPr>
          <w:rFonts w:ascii="Times New Roman" w:hAnsi="Times New Roman"/>
          <w:color w:val="002060"/>
          <w:szCs w:val="20"/>
        </w:rPr>
        <w:t>|2|: Nível da conta (2 = Conta de Nível 2).</w:t>
      </w:r>
    </w:p>
    <w:p w:rsidR="007F6CEC" w:rsidRPr="00FA3856" w:rsidRDefault="007F6CEC" w:rsidP="00342F1D">
      <w:pPr>
        <w:pStyle w:val="Corpodetexto"/>
        <w:ind w:firstLine="708"/>
        <w:rPr>
          <w:rFonts w:ascii="Times New Roman" w:hAnsi="Times New Roman"/>
          <w:color w:val="002060"/>
          <w:szCs w:val="20"/>
        </w:rPr>
      </w:pPr>
      <w:r w:rsidRPr="00FA3856">
        <w:rPr>
          <w:rFonts w:ascii="Times New Roman" w:hAnsi="Times New Roman"/>
          <w:color w:val="002060"/>
          <w:szCs w:val="20"/>
        </w:rPr>
        <w:t>|1.1|: Código da Conta Analítica/Grupo de Contas.</w:t>
      </w:r>
    </w:p>
    <w:p w:rsidR="007F6CEC" w:rsidRPr="00FA3856" w:rsidRDefault="007F6CEC" w:rsidP="00342F1D">
      <w:pPr>
        <w:pStyle w:val="Corpodetexto"/>
        <w:ind w:firstLine="708"/>
        <w:rPr>
          <w:rFonts w:ascii="Times New Roman" w:hAnsi="Times New Roman"/>
          <w:color w:val="002060"/>
          <w:szCs w:val="20"/>
        </w:rPr>
      </w:pPr>
      <w:r w:rsidRPr="00FA3856">
        <w:rPr>
          <w:rFonts w:ascii="Times New Roman" w:hAnsi="Times New Roman"/>
          <w:color w:val="002060"/>
          <w:szCs w:val="20"/>
        </w:rPr>
        <w:t>|1|: Código da Conta Sintética/Grupo de Contas de Nível Imediatamente Superior.</w:t>
      </w:r>
    </w:p>
    <w:p w:rsidR="007F6CEC" w:rsidRPr="00FA3856" w:rsidRDefault="007F6CEC" w:rsidP="00342F1D">
      <w:pPr>
        <w:pStyle w:val="Corpodetexto"/>
        <w:ind w:firstLine="708"/>
        <w:rPr>
          <w:rFonts w:ascii="Times New Roman" w:hAnsi="Times New Roman"/>
          <w:color w:val="002060"/>
          <w:szCs w:val="20"/>
        </w:rPr>
      </w:pPr>
      <w:r w:rsidRPr="00FA3856">
        <w:rPr>
          <w:rFonts w:ascii="Times New Roman" w:hAnsi="Times New Roman"/>
          <w:color w:val="002060"/>
          <w:szCs w:val="20"/>
        </w:rPr>
        <w:t>|Ativo Sintética 2|: Nome da Conta Analítica/Grupo de Contas.</w:t>
      </w:r>
    </w:p>
    <w:p w:rsidR="00342F1D" w:rsidRDefault="00342F1D" w:rsidP="00342F1D">
      <w:pPr>
        <w:pStyle w:val="Corpodetexto"/>
        <w:rPr>
          <w:rFonts w:ascii="Times New Roman" w:hAnsi="Times New Roman"/>
          <w:b/>
          <w:color w:val="002060"/>
          <w:szCs w:val="20"/>
        </w:rPr>
      </w:pPr>
    </w:p>
    <w:p w:rsidR="007F6CEC" w:rsidRPr="00FA3856" w:rsidRDefault="007F6CEC" w:rsidP="00342F1D">
      <w:pPr>
        <w:pStyle w:val="Corpodetexto"/>
        <w:rPr>
          <w:rFonts w:ascii="Times New Roman" w:hAnsi="Times New Roman"/>
          <w:b/>
          <w:color w:val="002060"/>
          <w:szCs w:val="20"/>
        </w:rPr>
      </w:pPr>
      <w:r w:rsidRPr="00FA3856">
        <w:rPr>
          <w:rFonts w:ascii="Times New Roman" w:hAnsi="Times New Roman"/>
          <w:b/>
          <w:color w:val="002060"/>
          <w:szCs w:val="20"/>
        </w:rPr>
        <w:t>|J050|01012014|01|S|3|1.1.1|1.1|Ativo Sintética 3|</w:t>
      </w:r>
    </w:p>
    <w:p w:rsidR="007F6CEC" w:rsidRPr="00FA3856" w:rsidRDefault="002C58A4" w:rsidP="00342F1D">
      <w:pPr>
        <w:pStyle w:val="Corpodetexto"/>
        <w:ind w:firstLine="708"/>
        <w:rPr>
          <w:rFonts w:ascii="Times New Roman" w:hAnsi="Times New Roman"/>
          <w:color w:val="002060"/>
          <w:szCs w:val="20"/>
        </w:rPr>
      </w:pPr>
      <w:r w:rsidRPr="00FA3856">
        <w:rPr>
          <w:rFonts w:ascii="Times New Roman" w:hAnsi="Times New Roman"/>
          <w:color w:val="002060"/>
          <w:szCs w:val="20"/>
        </w:rPr>
        <w:t>|J050|: Identificação do tipo do registro.</w:t>
      </w:r>
    </w:p>
    <w:p w:rsidR="007F6CEC" w:rsidRPr="00FA3856" w:rsidRDefault="007F6CEC" w:rsidP="00342F1D">
      <w:pPr>
        <w:pStyle w:val="Corpodetexto"/>
        <w:ind w:firstLine="708"/>
        <w:rPr>
          <w:rFonts w:ascii="Times New Roman" w:hAnsi="Times New Roman"/>
          <w:color w:val="002060"/>
          <w:szCs w:val="20"/>
        </w:rPr>
      </w:pPr>
      <w:r w:rsidRPr="00FA3856">
        <w:rPr>
          <w:rFonts w:ascii="Times New Roman" w:hAnsi="Times New Roman"/>
          <w:color w:val="002060"/>
          <w:szCs w:val="20"/>
        </w:rPr>
        <w:t>|01012014|: Data da inclusão/alteração: 01012014 (01/01/2014).</w:t>
      </w:r>
    </w:p>
    <w:p w:rsidR="007F6CEC" w:rsidRPr="00FA3856" w:rsidRDefault="007F6CEC" w:rsidP="00342F1D">
      <w:pPr>
        <w:pStyle w:val="Corpodetexto"/>
        <w:ind w:firstLine="708"/>
        <w:rPr>
          <w:rFonts w:ascii="Times New Roman" w:hAnsi="Times New Roman"/>
          <w:color w:val="002060"/>
          <w:szCs w:val="20"/>
        </w:rPr>
      </w:pPr>
      <w:r w:rsidRPr="00FA3856">
        <w:rPr>
          <w:rFonts w:ascii="Times New Roman" w:hAnsi="Times New Roman"/>
          <w:color w:val="002060"/>
          <w:szCs w:val="20"/>
        </w:rPr>
        <w:t>|01|: Código da natureza da conta/Grupo de Contas (01 = Conta do Ativo).</w:t>
      </w:r>
    </w:p>
    <w:p w:rsidR="007F6CEC" w:rsidRPr="00FA3856" w:rsidRDefault="007F6CEC" w:rsidP="00342F1D">
      <w:pPr>
        <w:pStyle w:val="Corpodetexto"/>
        <w:ind w:firstLine="708"/>
        <w:rPr>
          <w:rFonts w:ascii="Times New Roman" w:hAnsi="Times New Roman"/>
          <w:color w:val="002060"/>
          <w:szCs w:val="20"/>
        </w:rPr>
      </w:pPr>
      <w:r w:rsidRPr="00FA3856">
        <w:rPr>
          <w:rFonts w:ascii="Times New Roman" w:hAnsi="Times New Roman"/>
          <w:color w:val="002060"/>
          <w:szCs w:val="20"/>
        </w:rPr>
        <w:t>|S|: Indicador do tipo de conta (S = Conta Sintética).</w:t>
      </w:r>
    </w:p>
    <w:p w:rsidR="007F6CEC" w:rsidRPr="00FA3856" w:rsidRDefault="007F6CEC" w:rsidP="00342F1D">
      <w:pPr>
        <w:pStyle w:val="Corpodetexto"/>
        <w:ind w:firstLine="708"/>
        <w:rPr>
          <w:rFonts w:ascii="Times New Roman" w:hAnsi="Times New Roman"/>
          <w:color w:val="002060"/>
          <w:szCs w:val="20"/>
        </w:rPr>
      </w:pPr>
      <w:r w:rsidRPr="00FA3856">
        <w:rPr>
          <w:rFonts w:ascii="Times New Roman" w:hAnsi="Times New Roman"/>
          <w:color w:val="002060"/>
          <w:szCs w:val="20"/>
        </w:rPr>
        <w:t>|3|: Nível da conta (3 = Conta de Nível 3).</w:t>
      </w:r>
    </w:p>
    <w:p w:rsidR="007F6CEC" w:rsidRPr="00FA3856" w:rsidRDefault="007F6CEC" w:rsidP="00342F1D">
      <w:pPr>
        <w:pStyle w:val="Corpodetexto"/>
        <w:ind w:firstLine="708"/>
        <w:rPr>
          <w:rFonts w:ascii="Times New Roman" w:hAnsi="Times New Roman"/>
          <w:color w:val="002060"/>
          <w:szCs w:val="20"/>
        </w:rPr>
      </w:pPr>
      <w:r w:rsidRPr="00FA3856">
        <w:rPr>
          <w:rFonts w:ascii="Times New Roman" w:hAnsi="Times New Roman"/>
          <w:color w:val="002060"/>
          <w:szCs w:val="20"/>
        </w:rPr>
        <w:t>|1.1.1|: Código da Conta Analítica/Grupo de Contas.</w:t>
      </w:r>
    </w:p>
    <w:p w:rsidR="007F6CEC" w:rsidRPr="00FA3856" w:rsidRDefault="007F6CEC" w:rsidP="00342F1D">
      <w:pPr>
        <w:pStyle w:val="Corpodetexto"/>
        <w:ind w:firstLine="708"/>
        <w:rPr>
          <w:rFonts w:ascii="Times New Roman" w:hAnsi="Times New Roman"/>
          <w:color w:val="002060"/>
          <w:szCs w:val="20"/>
        </w:rPr>
      </w:pPr>
      <w:r w:rsidRPr="00FA3856">
        <w:rPr>
          <w:rFonts w:ascii="Times New Roman" w:hAnsi="Times New Roman"/>
          <w:color w:val="002060"/>
          <w:szCs w:val="20"/>
        </w:rPr>
        <w:t>|1.1|: Código da Conta Sintética/Grupo de Contas de Nível Imediatamente Superior.</w:t>
      </w:r>
    </w:p>
    <w:p w:rsidR="007F6CEC" w:rsidRPr="00FA3856" w:rsidRDefault="007F6CEC" w:rsidP="00342F1D">
      <w:pPr>
        <w:pStyle w:val="Corpodetexto"/>
        <w:ind w:firstLine="708"/>
        <w:rPr>
          <w:rFonts w:ascii="Times New Roman" w:hAnsi="Times New Roman"/>
          <w:color w:val="002060"/>
          <w:szCs w:val="20"/>
        </w:rPr>
      </w:pPr>
      <w:r w:rsidRPr="00FA3856">
        <w:rPr>
          <w:rFonts w:ascii="Times New Roman" w:hAnsi="Times New Roman"/>
          <w:color w:val="002060"/>
          <w:szCs w:val="20"/>
        </w:rPr>
        <w:t>|Ativo Sintética 3|: Nome da Conta Analítica/Grupo de Contas.</w:t>
      </w:r>
    </w:p>
    <w:p w:rsidR="00342F1D" w:rsidRDefault="00342F1D" w:rsidP="00342F1D">
      <w:pPr>
        <w:pStyle w:val="Corpodetexto"/>
        <w:rPr>
          <w:rFonts w:ascii="Times New Roman" w:hAnsi="Times New Roman"/>
          <w:b/>
          <w:color w:val="002060"/>
          <w:szCs w:val="20"/>
        </w:rPr>
      </w:pPr>
    </w:p>
    <w:p w:rsidR="00342F1D" w:rsidRDefault="00342F1D">
      <w:pPr>
        <w:spacing w:after="200" w:line="276" w:lineRule="auto"/>
        <w:rPr>
          <w:b/>
          <w:color w:val="002060"/>
          <w:szCs w:val="20"/>
          <w:lang w:eastAsia="ar-SA"/>
        </w:rPr>
      </w:pPr>
      <w:r>
        <w:rPr>
          <w:b/>
          <w:color w:val="002060"/>
          <w:szCs w:val="20"/>
        </w:rPr>
        <w:br w:type="page"/>
      </w:r>
    </w:p>
    <w:p w:rsidR="007F6CEC" w:rsidRPr="00FA3856" w:rsidRDefault="007F6CEC" w:rsidP="00342F1D">
      <w:pPr>
        <w:pStyle w:val="Corpodetexto"/>
        <w:rPr>
          <w:rFonts w:ascii="Times New Roman" w:hAnsi="Times New Roman"/>
          <w:b/>
          <w:color w:val="002060"/>
          <w:szCs w:val="20"/>
        </w:rPr>
      </w:pPr>
      <w:r w:rsidRPr="00FA3856">
        <w:rPr>
          <w:rFonts w:ascii="Times New Roman" w:hAnsi="Times New Roman"/>
          <w:b/>
          <w:color w:val="002060"/>
          <w:szCs w:val="20"/>
        </w:rPr>
        <w:lastRenderedPageBreak/>
        <w:t>|J050|01012014|01|A|4|1.1.1.1|1.1.1.1|Ativo Analítica 1|</w:t>
      </w:r>
    </w:p>
    <w:p w:rsidR="002C58A4" w:rsidRPr="00FA3856" w:rsidRDefault="002C58A4" w:rsidP="00342F1D">
      <w:pPr>
        <w:pStyle w:val="Corpodetexto"/>
        <w:ind w:firstLine="708"/>
        <w:rPr>
          <w:rFonts w:ascii="Times New Roman" w:hAnsi="Times New Roman"/>
          <w:color w:val="002060"/>
          <w:szCs w:val="20"/>
        </w:rPr>
      </w:pPr>
      <w:r w:rsidRPr="00FA3856">
        <w:rPr>
          <w:rFonts w:ascii="Times New Roman" w:hAnsi="Times New Roman"/>
          <w:color w:val="002060"/>
          <w:szCs w:val="20"/>
        </w:rPr>
        <w:t>|J050|: Identificação do tipo do registro.</w:t>
      </w:r>
    </w:p>
    <w:p w:rsidR="007F6CEC" w:rsidRPr="00FA3856" w:rsidRDefault="007F6CEC" w:rsidP="00342F1D">
      <w:pPr>
        <w:pStyle w:val="Corpodetexto"/>
        <w:ind w:firstLine="708"/>
        <w:rPr>
          <w:rFonts w:ascii="Times New Roman" w:hAnsi="Times New Roman"/>
          <w:color w:val="002060"/>
          <w:szCs w:val="20"/>
        </w:rPr>
      </w:pPr>
      <w:r w:rsidRPr="00FA3856">
        <w:rPr>
          <w:rFonts w:ascii="Times New Roman" w:hAnsi="Times New Roman"/>
          <w:color w:val="002060"/>
          <w:szCs w:val="20"/>
        </w:rPr>
        <w:t>|01012014|: Data da inclusão/alteração: 01012014 (01/01/2014).</w:t>
      </w:r>
    </w:p>
    <w:p w:rsidR="007F6CEC" w:rsidRPr="00FA3856" w:rsidRDefault="007F6CEC" w:rsidP="00342F1D">
      <w:pPr>
        <w:pStyle w:val="Corpodetexto"/>
        <w:ind w:firstLine="708"/>
        <w:rPr>
          <w:rFonts w:ascii="Times New Roman" w:hAnsi="Times New Roman"/>
          <w:color w:val="002060"/>
          <w:szCs w:val="20"/>
        </w:rPr>
      </w:pPr>
      <w:r w:rsidRPr="00FA3856">
        <w:rPr>
          <w:rFonts w:ascii="Times New Roman" w:hAnsi="Times New Roman"/>
          <w:color w:val="002060"/>
          <w:szCs w:val="20"/>
        </w:rPr>
        <w:t>|01|: Código da natureza da conta/Grupo de Contas (01 = Conta do Ativo).</w:t>
      </w:r>
    </w:p>
    <w:p w:rsidR="007F6CEC" w:rsidRPr="00FA3856" w:rsidRDefault="007F6CEC" w:rsidP="00342F1D">
      <w:pPr>
        <w:pStyle w:val="Corpodetexto"/>
        <w:ind w:firstLine="708"/>
        <w:rPr>
          <w:rFonts w:ascii="Times New Roman" w:hAnsi="Times New Roman"/>
          <w:color w:val="002060"/>
          <w:szCs w:val="20"/>
        </w:rPr>
      </w:pPr>
      <w:r w:rsidRPr="00FA3856">
        <w:rPr>
          <w:rFonts w:ascii="Times New Roman" w:hAnsi="Times New Roman"/>
          <w:color w:val="002060"/>
          <w:szCs w:val="20"/>
        </w:rPr>
        <w:t>|A|: Indicador do tipo de conta (A = Conta Analítica).</w:t>
      </w:r>
    </w:p>
    <w:p w:rsidR="007F6CEC" w:rsidRPr="00FA3856" w:rsidRDefault="007F6CEC" w:rsidP="00342F1D">
      <w:pPr>
        <w:pStyle w:val="Corpodetexto"/>
        <w:ind w:firstLine="708"/>
        <w:rPr>
          <w:rFonts w:ascii="Times New Roman" w:hAnsi="Times New Roman"/>
          <w:color w:val="002060"/>
          <w:szCs w:val="20"/>
        </w:rPr>
      </w:pPr>
      <w:r w:rsidRPr="00FA3856">
        <w:rPr>
          <w:rFonts w:ascii="Times New Roman" w:hAnsi="Times New Roman"/>
          <w:color w:val="002060"/>
          <w:szCs w:val="20"/>
        </w:rPr>
        <w:t>|4|: Nível da conta (4 = Conta de Nível 4).</w:t>
      </w:r>
    </w:p>
    <w:p w:rsidR="007F6CEC" w:rsidRPr="00FA3856" w:rsidRDefault="007F6CEC" w:rsidP="00342F1D">
      <w:pPr>
        <w:pStyle w:val="Corpodetexto"/>
        <w:ind w:firstLine="708"/>
        <w:rPr>
          <w:rFonts w:ascii="Times New Roman" w:hAnsi="Times New Roman"/>
          <w:color w:val="002060"/>
          <w:szCs w:val="20"/>
        </w:rPr>
      </w:pPr>
      <w:r w:rsidRPr="00FA3856">
        <w:rPr>
          <w:rFonts w:ascii="Times New Roman" w:hAnsi="Times New Roman"/>
          <w:color w:val="002060"/>
          <w:szCs w:val="20"/>
        </w:rPr>
        <w:t>|1.1.1.1|: Código da Conta Analítica/Grupo de Contas.</w:t>
      </w:r>
    </w:p>
    <w:p w:rsidR="007F6CEC" w:rsidRPr="00FA3856" w:rsidRDefault="007F6CEC" w:rsidP="00342F1D">
      <w:pPr>
        <w:pStyle w:val="Corpodetexto"/>
        <w:ind w:firstLine="708"/>
        <w:rPr>
          <w:rFonts w:ascii="Times New Roman" w:hAnsi="Times New Roman"/>
          <w:color w:val="002060"/>
          <w:szCs w:val="20"/>
        </w:rPr>
      </w:pPr>
      <w:r w:rsidRPr="00FA3856">
        <w:rPr>
          <w:rFonts w:ascii="Times New Roman" w:hAnsi="Times New Roman"/>
          <w:color w:val="002060"/>
          <w:szCs w:val="20"/>
        </w:rPr>
        <w:t>|1.1.1|: Código da Conta Sintética/Grupo de Contas de Nível Imediatamente Superior.</w:t>
      </w:r>
    </w:p>
    <w:p w:rsidR="007F6CEC" w:rsidRPr="00FA3856" w:rsidRDefault="007F6CEC" w:rsidP="00342F1D">
      <w:pPr>
        <w:pStyle w:val="Corpodetexto"/>
        <w:ind w:firstLine="708"/>
        <w:rPr>
          <w:rFonts w:ascii="Times New Roman" w:hAnsi="Times New Roman"/>
          <w:color w:val="002060"/>
          <w:szCs w:val="20"/>
        </w:rPr>
      </w:pPr>
      <w:r w:rsidRPr="00FA3856">
        <w:rPr>
          <w:rFonts w:ascii="Times New Roman" w:hAnsi="Times New Roman"/>
          <w:color w:val="002060"/>
          <w:szCs w:val="20"/>
        </w:rPr>
        <w:t>|Ativo Analítica 1|: Nome da Conta Analítica/Grupo de Contas.</w:t>
      </w:r>
    </w:p>
    <w:p w:rsidR="007F6CEC" w:rsidRPr="00FA3856" w:rsidRDefault="007F6CEC" w:rsidP="007F6CEC">
      <w:pPr>
        <w:pStyle w:val="Corpodetexto"/>
        <w:rPr>
          <w:rFonts w:ascii="Times New Roman" w:hAnsi="Times New Roman"/>
          <w:b/>
          <w:color w:val="002060"/>
          <w:szCs w:val="20"/>
        </w:rPr>
      </w:pPr>
    </w:p>
    <w:p w:rsidR="00342F1D" w:rsidRDefault="00342F1D">
      <w:pPr>
        <w:spacing w:after="200" w:line="276" w:lineRule="auto"/>
        <w:rPr>
          <w:b/>
          <w:bCs/>
          <w:color w:val="0000FF"/>
          <w:szCs w:val="20"/>
        </w:rPr>
      </w:pPr>
      <w:r>
        <w:rPr>
          <w:color w:val="0000FF"/>
          <w:szCs w:val="20"/>
        </w:rPr>
        <w:br w:type="page"/>
      </w:r>
    </w:p>
    <w:p w:rsidR="00485A80" w:rsidRPr="00FA3856" w:rsidRDefault="00485A80" w:rsidP="00867F54">
      <w:pPr>
        <w:pStyle w:val="Ttulo4"/>
      </w:pPr>
      <w:bookmarkStart w:id="94" w:name="_Toc479713701"/>
      <w:r w:rsidRPr="00FA3856">
        <w:lastRenderedPageBreak/>
        <w:t>Registro J051: Plano de Contas Referencial</w:t>
      </w:r>
      <w:bookmarkEnd w:id="94"/>
    </w:p>
    <w:p w:rsidR="00485A80" w:rsidRPr="00FA3856" w:rsidRDefault="00485A80" w:rsidP="00485A80">
      <w:pPr>
        <w:rPr>
          <w:szCs w:val="20"/>
        </w:rPr>
      </w:pPr>
    </w:p>
    <w:p w:rsidR="00485A80" w:rsidRPr="00FA3856" w:rsidRDefault="00485A80" w:rsidP="00485A80">
      <w:pPr>
        <w:pStyle w:val="PSDS-CorpodeTexto0"/>
        <w:ind w:firstLine="708"/>
        <w:jc w:val="both"/>
        <w:rPr>
          <w:rFonts w:ascii="Times New Roman" w:hAnsi="Times New Roman"/>
        </w:rPr>
      </w:pPr>
      <w:r w:rsidRPr="00FA3856">
        <w:rPr>
          <w:rFonts w:ascii="Times New Roman" w:hAnsi="Times New Roman"/>
          <w:lang w:val="pt-PT"/>
        </w:rPr>
        <w:t>Registro destinado a informar o plano de contas referencial da instituição gestora, referenciando com as respectivas contas do plano de contas da pessoa jurídica.</w:t>
      </w:r>
      <w:r w:rsidR="00AB01D1" w:rsidRPr="00FA3856">
        <w:rPr>
          <w:rFonts w:ascii="Times New Roman" w:hAnsi="Times New Roman"/>
          <w:lang w:val="pt-PT"/>
        </w:rPr>
        <w:t xml:space="preserve"> </w:t>
      </w:r>
      <w:r w:rsidR="00AB01D1" w:rsidRPr="00FA3856">
        <w:rPr>
          <w:rFonts w:ascii="Times New Roman" w:hAnsi="Times New Roman"/>
        </w:rPr>
        <w:t>Somente devem ser referenciadas as contas analíticas com natureza de conta (J050.COD_NAT) igual a “01” (contas de ativo), “02” (contas de passivo), “03” (patrimônio líquido) e “04” (contas de resultado).</w:t>
      </w:r>
    </w:p>
    <w:p w:rsidR="0029036B" w:rsidRPr="00FA3856" w:rsidRDefault="0029036B" w:rsidP="00485A80">
      <w:pPr>
        <w:pStyle w:val="PSDS-CorpodeTexto0"/>
        <w:ind w:firstLine="708"/>
        <w:jc w:val="both"/>
        <w:rPr>
          <w:rFonts w:ascii="Times New Roman" w:hAnsi="Times New Roman"/>
        </w:rPr>
      </w:pPr>
    </w:p>
    <w:p w:rsidR="0029036B" w:rsidRPr="00FA3856" w:rsidRDefault="0029036B" w:rsidP="00A746F0">
      <w:pPr>
        <w:jc w:val="both"/>
        <w:rPr>
          <w:b/>
          <w:bCs/>
          <w:szCs w:val="20"/>
        </w:rPr>
      </w:pPr>
      <w:r w:rsidRPr="00FA3856">
        <w:rPr>
          <w:b/>
          <w:bCs/>
          <w:szCs w:val="20"/>
        </w:rPr>
        <w:tab/>
        <w:t>Observação: Caso a pessoa jurídica utilize subcontas auxiliares conforme previsão dos art</w:t>
      </w:r>
      <w:r w:rsidR="00A746F0">
        <w:rPr>
          <w:b/>
          <w:bCs/>
          <w:szCs w:val="20"/>
        </w:rPr>
        <w:t>s</w:t>
      </w:r>
      <w:r w:rsidRPr="00FA3856">
        <w:rPr>
          <w:b/>
          <w:bCs/>
          <w:szCs w:val="20"/>
        </w:rPr>
        <w:t xml:space="preserve">. </w:t>
      </w:r>
      <w:r w:rsidR="00A746F0">
        <w:rPr>
          <w:b/>
          <w:bCs/>
          <w:szCs w:val="20"/>
        </w:rPr>
        <w:t>295, 296, 298 e 299</w:t>
      </w:r>
      <w:r w:rsidRPr="00FA3856">
        <w:rPr>
          <w:b/>
          <w:bCs/>
          <w:szCs w:val="20"/>
        </w:rPr>
        <w:t xml:space="preserve"> da </w:t>
      </w:r>
      <w:r w:rsidR="00A746F0">
        <w:rPr>
          <w:b/>
          <w:bCs/>
          <w:szCs w:val="20"/>
        </w:rPr>
        <w:t>Instrução Normativa RFB nº 1.700, de 1</w:t>
      </w:r>
      <w:r w:rsidRPr="00FA3856">
        <w:rPr>
          <w:b/>
          <w:bCs/>
          <w:szCs w:val="20"/>
        </w:rPr>
        <w:t xml:space="preserve">4 de </w:t>
      </w:r>
      <w:r w:rsidR="00A746F0">
        <w:rPr>
          <w:b/>
          <w:bCs/>
          <w:szCs w:val="20"/>
        </w:rPr>
        <w:t xml:space="preserve">março de 2017, </w:t>
      </w:r>
      <w:r w:rsidRPr="00FA3856">
        <w:rPr>
          <w:b/>
          <w:bCs/>
          <w:szCs w:val="20"/>
        </w:rPr>
        <w:t>as subcontas auxiliares devem ser mapeadas para a conta referencial “pai” da respectiva subconta.</w:t>
      </w:r>
    </w:p>
    <w:p w:rsidR="002605A6" w:rsidRPr="00FA3856" w:rsidRDefault="002605A6" w:rsidP="0029036B">
      <w:pPr>
        <w:rPr>
          <w:b/>
          <w:bCs/>
          <w:szCs w:val="20"/>
        </w:rPr>
      </w:pPr>
    </w:p>
    <w:p w:rsidR="002605A6" w:rsidRPr="00FA3856" w:rsidRDefault="002605A6" w:rsidP="0029036B">
      <w:pPr>
        <w:rPr>
          <w:b/>
          <w:bCs/>
          <w:szCs w:val="20"/>
        </w:rPr>
      </w:pPr>
      <w:r w:rsidRPr="00FA3856">
        <w:rPr>
          <w:b/>
          <w:bCs/>
          <w:szCs w:val="20"/>
        </w:rPr>
        <w:tab/>
      </w:r>
      <w:r w:rsidRPr="00FA3856">
        <w:rPr>
          <w:b/>
          <w:bCs/>
          <w:szCs w:val="20"/>
        </w:rPr>
        <w:tab/>
        <w:t>Exemplo:</w:t>
      </w:r>
    </w:p>
    <w:p w:rsidR="00EC5A95" w:rsidRPr="00FA3856" w:rsidRDefault="00EC5A95" w:rsidP="0029036B">
      <w:pPr>
        <w:rPr>
          <w:b/>
          <w:bCs/>
          <w:szCs w:val="20"/>
        </w:rPr>
      </w:pPr>
    </w:p>
    <w:tbl>
      <w:tblPr>
        <w:tblStyle w:val="Tabelacomgrade"/>
        <w:tblW w:w="0" w:type="auto"/>
        <w:jc w:val="center"/>
        <w:tblLook w:val="04A0" w:firstRow="1" w:lastRow="0" w:firstColumn="1" w:lastColumn="0" w:noHBand="0" w:noVBand="1"/>
      </w:tblPr>
      <w:tblGrid>
        <w:gridCol w:w="3788"/>
        <w:gridCol w:w="5650"/>
      </w:tblGrid>
      <w:tr w:rsidR="00EC5A95" w:rsidRPr="00FA3856" w:rsidTr="00EC5A95">
        <w:trPr>
          <w:jc w:val="center"/>
        </w:trPr>
        <w:tc>
          <w:tcPr>
            <w:tcW w:w="3788" w:type="dxa"/>
          </w:tcPr>
          <w:p w:rsidR="00EC5A95" w:rsidRPr="00FA3856" w:rsidRDefault="00EC5A95" w:rsidP="00F42A95">
            <w:pPr>
              <w:rPr>
                <w:b/>
                <w:bCs/>
                <w:szCs w:val="20"/>
              </w:rPr>
            </w:pPr>
            <w:r w:rsidRPr="00FA3856">
              <w:rPr>
                <w:b/>
                <w:bCs/>
                <w:szCs w:val="20"/>
              </w:rPr>
              <w:t>Plano de Contas da Empresa (J050)</w:t>
            </w:r>
          </w:p>
        </w:tc>
        <w:tc>
          <w:tcPr>
            <w:tcW w:w="5650" w:type="dxa"/>
          </w:tcPr>
          <w:p w:rsidR="00EC5A95" w:rsidRPr="00FA3856" w:rsidRDefault="00EC5A95" w:rsidP="00F42A95">
            <w:pPr>
              <w:rPr>
                <w:b/>
                <w:bCs/>
                <w:szCs w:val="20"/>
              </w:rPr>
            </w:pPr>
            <w:r w:rsidRPr="00FA3856">
              <w:rPr>
                <w:b/>
                <w:bCs/>
                <w:szCs w:val="20"/>
              </w:rPr>
              <w:t>Mapeamento para o Plano de Contas Referencial (J051)</w:t>
            </w:r>
          </w:p>
        </w:tc>
      </w:tr>
      <w:tr w:rsidR="00EC5A95" w:rsidRPr="00FA3856" w:rsidTr="00EC5A95">
        <w:trPr>
          <w:jc w:val="center"/>
        </w:trPr>
        <w:tc>
          <w:tcPr>
            <w:tcW w:w="3788" w:type="dxa"/>
          </w:tcPr>
          <w:p w:rsidR="00EC5A95" w:rsidRPr="00FA3856" w:rsidRDefault="00EC5A95" w:rsidP="0029036B">
            <w:pPr>
              <w:rPr>
                <w:b/>
                <w:bCs/>
                <w:szCs w:val="20"/>
              </w:rPr>
            </w:pPr>
            <w:r w:rsidRPr="00FA3856">
              <w:rPr>
                <w:b/>
                <w:bCs/>
                <w:szCs w:val="20"/>
              </w:rPr>
              <w:t>Veículos</w:t>
            </w:r>
          </w:p>
        </w:tc>
        <w:tc>
          <w:tcPr>
            <w:tcW w:w="5650" w:type="dxa"/>
          </w:tcPr>
          <w:p w:rsidR="00EC5A95" w:rsidRPr="00FA3856" w:rsidRDefault="00EC5A95" w:rsidP="0029036B">
            <w:pPr>
              <w:rPr>
                <w:b/>
                <w:bCs/>
                <w:szCs w:val="20"/>
              </w:rPr>
            </w:pPr>
            <w:r w:rsidRPr="00FA3856">
              <w:rPr>
                <w:b/>
                <w:bCs/>
                <w:szCs w:val="20"/>
              </w:rPr>
              <w:t>1.02.03.01.08 - Veículos</w:t>
            </w:r>
          </w:p>
        </w:tc>
      </w:tr>
      <w:tr w:rsidR="00EC5A95" w:rsidRPr="00FA3856" w:rsidTr="00EC5A95">
        <w:trPr>
          <w:jc w:val="center"/>
        </w:trPr>
        <w:tc>
          <w:tcPr>
            <w:tcW w:w="3788" w:type="dxa"/>
          </w:tcPr>
          <w:p w:rsidR="00EC5A95" w:rsidRPr="00FA3856" w:rsidRDefault="00EC5A95" w:rsidP="00EC5A95">
            <w:pPr>
              <w:rPr>
                <w:b/>
                <w:bCs/>
                <w:szCs w:val="20"/>
              </w:rPr>
            </w:pPr>
            <w:r w:rsidRPr="00FA3856">
              <w:rPr>
                <w:b/>
                <w:bCs/>
                <w:szCs w:val="20"/>
              </w:rPr>
              <w:t>Veículos – Su</w:t>
            </w:r>
            <w:r w:rsidR="003F772E" w:rsidRPr="00FA3856">
              <w:rPr>
                <w:b/>
                <w:bCs/>
                <w:szCs w:val="20"/>
              </w:rPr>
              <w:t>b</w:t>
            </w:r>
            <w:r w:rsidRPr="00FA3856">
              <w:rPr>
                <w:b/>
                <w:bCs/>
                <w:szCs w:val="20"/>
              </w:rPr>
              <w:t>conta Auxiliar</w:t>
            </w:r>
          </w:p>
        </w:tc>
        <w:tc>
          <w:tcPr>
            <w:tcW w:w="5650" w:type="dxa"/>
          </w:tcPr>
          <w:p w:rsidR="00EC5A95" w:rsidRPr="00FA3856" w:rsidRDefault="00EC5A95" w:rsidP="00EC5A95">
            <w:pPr>
              <w:rPr>
                <w:b/>
                <w:bCs/>
                <w:szCs w:val="20"/>
              </w:rPr>
            </w:pPr>
            <w:r w:rsidRPr="00FA3856">
              <w:rPr>
                <w:b/>
                <w:bCs/>
                <w:szCs w:val="20"/>
              </w:rPr>
              <w:t>1.02.03.01.08 - Veículos</w:t>
            </w:r>
          </w:p>
        </w:tc>
      </w:tr>
      <w:tr w:rsidR="00EC5A95" w:rsidRPr="00FA3856" w:rsidTr="00EC5A95">
        <w:trPr>
          <w:jc w:val="center"/>
        </w:trPr>
        <w:tc>
          <w:tcPr>
            <w:tcW w:w="3788" w:type="dxa"/>
          </w:tcPr>
          <w:p w:rsidR="00EC5A95" w:rsidRPr="00FA3856" w:rsidRDefault="00EC5A95" w:rsidP="00EC5A95">
            <w:pPr>
              <w:rPr>
                <w:b/>
                <w:bCs/>
                <w:szCs w:val="20"/>
              </w:rPr>
            </w:pPr>
            <w:r w:rsidRPr="00FA3856">
              <w:rPr>
                <w:b/>
                <w:bCs/>
                <w:szCs w:val="20"/>
              </w:rPr>
              <w:t>Subconta AVP (Ajuste a Valor Presente)</w:t>
            </w:r>
          </w:p>
        </w:tc>
        <w:tc>
          <w:tcPr>
            <w:tcW w:w="5650" w:type="dxa"/>
          </w:tcPr>
          <w:p w:rsidR="00EC5A95" w:rsidRPr="00FA3856" w:rsidRDefault="00EC5A95" w:rsidP="00EC5A95">
            <w:pPr>
              <w:rPr>
                <w:b/>
                <w:bCs/>
                <w:szCs w:val="20"/>
              </w:rPr>
            </w:pPr>
            <w:r w:rsidRPr="00FA3856">
              <w:rPr>
                <w:b/>
                <w:bCs/>
                <w:szCs w:val="20"/>
              </w:rPr>
              <w:t>1.02.03.01.75 - Subconta - Ajuste Valor Presente – Imobilizado</w:t>
            </w:r>
          </w:p>
        </w:tc>
      </w:tr>
    </w:tbl>
    <w:p w:rsidR="000C778C" w:rsidRDefault="000C778C" w:rsidP="000C778C">
      <w:pPr>
        <w:jc w:val="both"/>
        <w:rPr>
          <w:szCs w:val="20"/>
        </w:rPr>
      </w:pPr>
    </w:p>
    <w:p w:rsidR="00EE31D3" w:rsidRPr="00FA3856" w:rsidRDefault="00B35FA3" w:rsidP="00EE31D3">
      <w:pPr>
        <w:jc w:val="center"/>
        <w:rPr>
          <w:szCs w:val="20"/>
        </w:rPr>
      </w:pPr>
      <w:r>
        <w:rPr>
          <w:szCs w:val="20"/>
        </w:rPr>
        <w:object w:dxaOrig="13200" w:dyaOrig="3150">
          <v:shape id="_x0000_i1630" type="#_x0000_t75" style="width:663.75pt;height:158.25pt" o:ole="">
            <v:imagedata r:id="rId184" o:title=""/>
          </v:shape>
          <o:OLEObject Type="Link" ProgID="Excel.Sheet.12" ShapeID="_x0000_i1630" DrawAspect="Content" r:id="rId185" UpdateMode="Always">
            <o:LinkType>EnhancedMetaFile</o:LinkType>
            <o:LockedField>false</o:LockedField>
          </o:OLEObject>
        </w:object>
      </w:r>
    </w:p>
    <w:p w:rsidR="00EE31D3" w:rsidRDefault="00EE31D3" w:rsidP="000C778C">
      <w:pPr>
        <w:pStyle w:val="PSDS-CorpodeTexto0"/>
        <w:jc w:val="both"/>
        <w:rPr>
          <w:rFonts w:ascii="Times New Roman" w:hAnsi="Times New Roman"/>
          <w:b/>
        </w:rPr>
      </w:pPr>
    </w:p>
    <w:p w:rsidR="00087BBF" w:rsidRDefault="00087BBF" w:rsidP="000C778C">
      <w:pPr>
        <w:pStyle w:val="PSDS-CorpodeTexto0"/>
        <w:jc w:val="both"/>
        <w:rPr>
          <w:rFonts w:ascii="Times New Roman" w:hAnsi="Times New Roman"/>
          <w:b/>
        </w:rPr>
      </w:pPr>
      <w:r w:rsidRPr="00FA3856">
        <w:rPr>
          <w:rFonts w:ascii="Times New Roman" w:hAnsi="Times New Roman"/>
          <w:b/>
        </w:rPr>
        <w:t>I – Regras de Validação de Registro:</w:t>
      </w:r>
    </w:p>
    <w:p w:rsidR="00EE31D3" w:rsidRPr="00FA3856" w:rsidRDefault="00EE31D3" w:rsidP="000C778C">
      <w:pPr>
        <w:pStyle w:val="PSDS-CorpodeTexto0"/>
        <w:jc w:val="both"/>
        <w:rPr>
          <w:rFonts w:ascii="Times New Roman" w:hAnsi="Times New Roman"/>
          <w:b/>
        </w:rPr>
      </w:pPr>
    </w:p>
    <w:p w:rsidR="00087BBF" w:rsidRPr="00FA3856" w:rsidRDefault="00087BBF" w:rsidP="00AE58A0">
      <w:pPr>
        <w:pStyle w:val="PSDS-CorpodeTexto0"/>
        <w:ind w:left="708"/>
        <w:jc w:val="both"/>
        <w:rPr>
          <w:rFonts w:ascii="Times New Roman" w:hAnsi="Times New Roman"/>
        </w:rPr>
      </w:pPr>
      <w:r w:rsidRPr="00FA3856">
        <w:rPr>
          <w:rFonts w:ascii="Times New Roman" w:hAnsi="Times New Roman"/>
          <w:b/>
        </w:rPr>
        <w:t xml:space="preserve">REGRA_CCUS_UNICO: </w:t>
      </w:r>
      <w:r w:rsidRPr="00FA3856">
        <w:rPr>
          <w:rFonts w:ascii="Times New Roman" w:hAnsi="Times New Roman"/>
        </w:rPr>
        <w:t>V</w:t>
      </w:r>
      <w:r w:rsidR="0069023E" w:rsidRPr="00FA3856">
        <w:rPr>
          <w:rFonts w:ascii="Times New Roman" w:hAnsi="Times New Roman"/>
        </w:rPr>
        <w:t xml:space="preserve">erifica, quando for utilizado o </w:t>
      </w:r>
      <w:r w:rsidRPr="00FA3856">
        <w:rPr>
          <w:rFonts w:ascii="Times New Roman" w:hAnsi="Times New Roman"/>
        </w:rPr>
        <w:t>centro de custos</w:t>
      </w:r>
      <w:r w:rsidR="0069023E" w:rsidRPr="00FA3856">
        <w:rPr>
          <w:rFonts w:ascii="Times New Roman" w:hAnsi="Times New Roman"/>
        </w:rPr>
        <w:t xml:space="preserve"> vazio</w:t>
      </w:r>
      <w:r w:rsidRPr="00FA3856">
        <w:rPr>
          <w:rFonts w:ascii="Times New Roman" w:hAnsi="Times New Roman"/>
        </w:rPr>
        <w:t>, se os demais filhos (J051) também constam no centro de cus</w:t>
      </w:r>
      <w:r w:rsidR="00AE58A0" w:rsidRPr="00FA3856">
        <w:rPr>
          <w:rFonts w:ascii="Times New Roman" w:hAnsi="Times New Roman"/>
        </w:rPr>
        <w:t xml:space="preserve">tos vazio. O erro ocorre quando, </w:t>
      </w:r>
      <w:r w:rsidRPr="00FA3856">
        <w:rPr>
          <w:rFonts w:ascii="Times New Roman" w:hAnsi="Times New Roman"/>
        </w:rPr>
        <w:t>entre os filhos J051 de um mesmo J050, existem centros de custos diferentes (mais de um) e pelo menos um deles é vazio.</w:t>
      </w:r>
    </w:p>
    <w:p w:rsidR="007F6CEC" w:rsidRPr="00FA3856" w:rsidRDefault="007F6CEC" w:rsidP="000C778C">
      <w:pPr>
        <w:pStyle w:val="PSDS-CorpodeTexto0"/>
        <w:jc w:val="both"/>
        <w:rPr>
          <w:rFonts w:ascii="Times New Roman" w:hAnsi="Times New Roman"/>
        </w:rPr>
      </w:pPr>
    </w:p>
    <w:p w:rsidR="00EE31D3" w:rsidRDefault="00EE31D3" w:rsidP="000C778C">
      <w:pPr>
        <w:pStyle w:val="PSDS-CorpodeTexto0"/>
        <w:jc w:val="both"/>
        <w:rPr>
          <w:rFonts w:ascii="Times New Roman" w:hAnsi="Times New Roman"/>
          <w:b/>
        </w:rPr>
      </w:pPr>
    </w:p>
    <w:p w:rsidR="00EE31D3" w:rsidRDefault="00EE31D3" w:rsidP="000C778C">
      <w:pPr>
        <w:pStyle w:val="PSDS-CorpodeTexto0"/>
        <w:jc w:val="both"/>
        <w:rPr>
          <w:rFonts w:ascii="Times New Roman" w:hAnsi="Times New Roman"/>
          <w:b/>
        </w:rPr>
      </w:pPr>
    </w:p>
    <w:p w:rsidR="00EE31D3" w:rsidRDefault="00EE31D3" w:rsidP="000C778C">
      <w:pPr>
        <w:pStyle w:val="PSDS-CorpodeTexto0"/>
        <w:jc w:val="both"/>
        <w:rPr>
          <w:rFonts w:ascii="Times New Roman" w:hAnsi="Times New Roman"/>
          <w:b/>
        </w:rPr>
      </w:pPr>
    </w:p>
    <w:p w:rsidR="00EE31D3" w:rsidRDefault="00EE31D3" w:rsidP="000C778C">
      <w:pPr>
        <w:pStyle w:val="PSDS-CorpodeTexto0"/>
        <w:jc w:val="both"/>
        <w:rPr>
          <w:rFonts w:ascii="Times New Roman" w:hAnsi="Times New Roman"/>
          <w:b/>
        </w:rPr>
      </w:pPr>
    </w:p>
    <w:p w:rsidR="009C4F54" w:rsidRDefault="009C4F54">
      <w:pPr>
        <w:spacing w:after="200" w:line="276" w:lineRule="auto"/>
        <w:rPr>
          <w:b/>
          <w:szCs w:val="20"/>
          <w:lang w:eastAsia="ar-SA"/>
        </w:rPr>
      </w:pPr>
      <w:r>
        <w:rPr>
          <w:b/>
        </w:rPr>
        <w:br w:type="page"/>
      </w:r>
    </w:p>
    <w:p w:rsidR="00AB01D1" w:rsidRDefault="00AB01D1" w:rsidP="000C778C">
      <w:pPr>
        <w:pStyle w:val="PSDS-CorpodeTexto0"/>
        <w:jc w:val="both"/>
        <w:rPr>
          <w:rFonts w:ascii="Times New Roman" w:hAnsi="Times New Roman"/>
          <w:b/>
        </w:rPr>
      </w:pPr>
      <w:r w:rsidRPr="00FA3856">
        <w:rPr>
          <w:rFonts w:ascii="Times New Roman" w:hAnsi="Times New Roman"/>
          <w:b/>
        </w:rPr>
        <w:lastRenderedPageBreak/>
        <w:t>I</w:t>
      </w:r>
      <w:r w:rsidR="00087BBF" w:rsidRPr="00FA3856">
        <w:rPr>
          <w:rFonts w:ascii="Times New Roman" w:hAnsi="Times New Roman"/>
          <w:b/>
        </w:rPr>
        <w:t>I</w:t>
      </w:r>
      <w:r w:rsidRPr="00FA3856">
        <w:rPr>
          <w:rFonts w:ascii="Times New Roman" w:hAnsi="Times New Roman"/>
          <w:b/>
        </w:rPr>
        <w:t xml:space="preserve"> – Regras de Validação de Campos:</w:t>
      </w:r>
    </w:p>
    <w:p w:rsidR="00EE31D3" w:rsidRPr="00FA3856" w:rsidRDefault="00EE31D3" w:rsidP="000C778C">
      <w:pPr>
        <w:pStyle w:val="PSDS-CorpodeTexto0"/>
        <w:jc w:val="both"/>
        <w:rPr>
          <w:rFonts w:ascii="Times New Roman" w:hAnsi="Times New Roman"/>
          <w:b/>
        </w:rPr>
      </w:pPr>
    </w:p>
    <w:tbl>
      <w:tblPr>
        <w:tblW w:w="5000" w:type="pct"/>
        <w:jc w:val="center"/>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479"/>
        <w:gridCol w:w="1889"/>
        <w:gridCol w:w="13099"/>
        <w:gridCol w:w="793"/>
      </w:tblGrid>
      <w:tr w:rsidR="00781123" w:rsidRPr="00FA3856" w:rsidTr="00781123">
        <w:trPr>
          <w:jc w:val="center"/>
        </w:trPr>
        <w:tc>
          <w:tcPr>
            <w:tcW w:w="147" w:type="pct"/>
            <w:tcBorders>
              <w:top w:val="single" w:sz="4" w:space="0" w:color="auto"/>
              <w:left w:val="single" w:sz="4" w:space="0" w:color="auto"/>
              <w:bottom w:val="single" w:sz="4" w:space="0" w:color="auto"/>
              <w:right w:val="single" w:sz="4" w:space="0" w:color="auto"/>
            </w:tcBorders>
            <w:shd w:val="clear" w:color="auto" w:fill="E6E6E6"/>
            <w:vAlign w:val="center"/>
          </w:tcPr>
          <w:p w:rsidR="00781123" w:rsidRPr="00FA3856" w:rsidRDefault="00781123" w:rsidP="00781123">
            <w:pPr>
              <w:pStyle w:val="PSDS-CorpodeTexto0"/>
              <w:jc w:val="center"/>
              <w:rPr>
                <w:rFonts w:ascii="Times New Roman" w:hAnsi="Times New Roman"/>
                <w:b/>
                <w:bCs/>
              </w:rPr>
            </w:pPr>
            <w:r w:rsidRPr="00FA3856">
              <w:rPr>
                <w:rFonts w:ascii="Times New Roman" w:hAnsi="Times New Roman"/>
                <w:b/>
                <w:bCs/>
              </w:rPr>
              <w:t>Nº</w:t>
            </w:r>
          </w:p>
        </w:tc>
        <w:tc>
          <w:tcPr>
            <w:tcW w:w="581" w:type="pct"/>
            <w:tcBorders>
              <w:top w:val="single" w:sz="4" w:space="0" w:color="auto"/>
              <w:left w:val="single" w:sz="4" w:space="0" w:color="auto"/>
              <w:bottom w:val="single" w:sz="4" w:space="0" w:color="auto"/>
              <w:right w:val="single" w:sz="4" w:space="0" w:color="auto"/>
            </w:tcBorders>
            <w:shd w:val="clear" w:color="auto" w:fill="E6E6E6"/>
            <w:vAlign w:val="center"/>
          </w:tcPr>
          <w:p w:rsidR="00781123" w:rsidRPr="00FA3856" w:rsidRDefault="00781123" w:rsidP="00781123">
            <w:pPr>
              <w:pStyle w:val="PSDS-CorpodeTexto0"/>
              <w:jc w:val="center"/>
              <w:rPr>
                <w:rFonts w:ascii="Times New Roman" w:hAnsi="Times New Roman"/>
                <w:b/>
                <w:bCs/>
              </w:rPr>
            </w:pPr>
            <w:r w:rsidRPr="00FA3856">
              <w:rPr>
                <w:rFonts w:ascii="Times New Roman" w:hAnsi="Times New Roman"/>
                <w:b/>
                <w:bCs/>
              </w:rPr>
              <w:t>Campo</w:t>
            </w:r>
          </w:p>
        </w:tc>
        <w:tc>
          <w:tcPr>
            <w:tcW w:w="4028" w:type="pct"/>
            <w:tcBorders>
              <w:top w:val="single" w:sz="4" w:space="0" w:color="auto"/>
              <w:left w:val="single" w:sz="4" w:space="0" w:color="auto"/>
              <w:bottom w:val="single" w:sz="4" w:space="0" w:color="auto"/>
              <w:right w:val="single" w:sz="4" w:space="0" w:color="auto"/>
            </w:tcBorders>
            <w:shd w:val="clear" w:color="auto" w:fill="E6E6E6"/>
            <w:tcMar>
              <w:top w:w="0" w:type="dxa"/>
              <w:left w:w="70" w:type="dxa"/>
              <w:bottom w:w="0" w:type="dxa"/>
              <w:right w:w="70" w:type="dxa"/>
            </w:tcMar>
          </w:tcPr>
          <w:p w:rsidR="00781123" w:rsidRPr="00FA3856" w:rsidRDefault="00515675" w:rsidP="00781123">
            <w:pPr>
              <w:pStyle w:val="PSDS-CorpodeTexto0"/>
              <w:jc w:val="center"/>
              <w:rPr>
                <w:rFonts w:ascii="Times New Roman" w:hAnsi="Times New Roman"/>
                <w:b/>
                <w:bCs/>
              </w:rPr>
            </w:pPr>
            <w:r w:rsidRPr="00FA3856">
              <w:rPr>
                <w:rFonts w:ascii="Times New Roman" w:hAnsi="Times New Roman"/>
                <w:b/>
                <w:bCs/>
              </w:rPr>
              <w:t>Regras de Validação do C</w:t>
            </w:r>
            <w:r w:rsidR="00781123" w:rsidRPr="00FA3856">
              <w:rPr>
                <w:rFonts w:ascii="Times New Roman" w:hAnsi="Times New Roman"/>
                <w:b/>
                <w:bCs/>
              </w:rPr>
              <w:t>ampo</w:t>
            </w:r>
          </w:p>
        </w:tc>
        <w:tc>
          <w:tcPr>
            <w:tcW w:w="245" w:type="pct"/>
            <w:tcBorders>
              <w:top w:val="single" w:sz="4" w:space="0" w:color="auto"/>
              <w:left w:val="single" w:sz="4" w:space="0" w:color="auto"/>
              <w:bottom w:val="single" w:sz="4" w:space="0" w:color="auto"/>
              <w:right w:val="single" w:sz="4" w:space="0" w:color="auto"/>
            </w:tcBorders>
            <w:shd w:val="clear" w:color="auto" w:fill="E6E6E6"/>
            <w:vAlign w:val="center"/>
          </w:tcPr>
          <w:p w:rsidR="00781123" w:rsidRPr="00FA3856" w:rsidRDefault="00781123" w:rsidP="00781123">
            <w:pPr>
              <w:pStyle w:val="PSDS-CorpodeTexto0"/>
              <w:jc w:val="center"/>
              <w:rPr>
                <w:rFonts w:ascii="Times New Roman" w:hAnsi="Times New Roman"/>
                <w:b/>
                <w:bCs/>
              </w:rPr>
            </w:pPr>
            <w:r w:rsidRPr="00FA3856">
              <w:rPr>
                <w:rFonts w:ascii="Times New Roman" w:hAnsi="Times New Roman"/>
                <w:b/>
                <w:bCs/>
              </w:rPr>
              <w:t>Tipo</w:t>
            </w:r>
          </w:p>
        </w:tc>
      </w:tr>
      <w:tr w:rsidR="00781123" w:rsidRPr="00FA3856" w:rsidTr="00781123">
        <w:trPr>
          <w:jc w:val="center"/>
        </w:trPr>
        <w:tc>
          <w:tcPr>
            <w:tcW w:w="147" w:type="pct"/>
            <w:tcBorders>
              <w:top w:val="single" w:sz="4" w:space="0" w:color="auto"/>
              <w:left w:val="single" w:sz="4" w:space="0" w:color="auto"/>
              <w:bottom w:val="single" w:sz="4" w:space="0" w:color="auto"/>
              <w:right w:val="single" w:sz="4" w:space="0" w:color="auto"/>
            </w:tcBorders>
          </w:tcPr>
          <w:p w:rsidR="00781123" w:rsidRPr="00FA3856" w:rsidRDefault="00781123" w:rsidP="00781123">
            <w:pPr>
              <w:widowControl w:val="0"/>
              <w:autoSpaceDE w:val="0"/>
              <w:autoSpaceDN w:val="0"/>
              <w:adjustRightInd w:val="0"/>
              <w:jc w:val="both"/>
              <w:rPr>
                <w:b/>
                <w:szCs w:val="20"/>
                <w:lang w:val="pt-PT"/>
              </w:rPr>
            </w:pPr>
            <w:r w:rsidRPr="00FA3856">
              <w:rPr>
                <w:b/>
                <w:szCs w:val="20"/>
                <w:lang w:val="pt-PT"/>
              </w:rPr>
              <w:t>2</w:t>
            </w:r>
          </w:p>
        </w:tc>
        <w:tc>
          <w:tcPr>
            <w:tcW w:w="581" w:type="pct"/>
            <w:tcBorders>
              <w:top w:val="single" w:sz="4" w:space="0" w:color="auto"/>
              <w:left w:val="single" w:sz="4" w:space="0" w:color="auto"/>
              <w:bottom w:val="single" w:sz="4" w:space="0" w:color="auto"/>
              <w:right w:val="single" w:sz="4" w:space="0" w:color="auto"/>
            </w:tcBorders>
          </w:tcPr>
          <w:p w:rsidR="00781123" w:rsidRPr="00FA3856" w:rsidRDefault="00781123" w:rsidP="00781123">
            <w:pPr>
              <w:jc w:val="both"/>
              <w:rPr>
                <w:szCs w:val="20"/>
                <w:lang w:val="pt-PT"/>
              </w:rPr>
            </w:pPr>
            <w:r w:rsidRPr="00FA3856">
              <w:rPr>
                <w:szCs w:val="20"/>
              </w:rPr>
              <w:t>COD_CCUS</w:t>
            </w:r>
          </w:p>
        </w:tc>
        <w:tc>
          <w:tcPr>
            <w:tcW w:w="402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7F6CEC" w:rsidRPr="00FA3856" w:rsidRDefault="007D0E74" w:rsidP="00781123">
            <w:pPr>
              <w:pStyle w:val="Corpodetexto"/>
              <w:rPr>
                <w:rFonts w:ascii="Times New Roman" w:hAnsi="Times New Roman"/>
                <w:szCs w:val="20"/>
              </w:rPr>
            </w:pPr>
            <w:hyperlink w:anchor="REGRA_CCUS_NO_CENTRO_CUSTOS" w:history="1">
              <w:r w:rsidR="00781123" w:rsidRPr="00FA3856">
                <w:rPr>
                  <w:rStyle w:val="Hyperlink"/>
                  <w:rFonts w:ascii="Times New Roman" w:hAnsi="Times New Roman"/>
                  <w:b/>
                  <w:color w:val="auto"/>
                  <w:szCs w:val="20"/>
                </w:rPr>
                <w:t>REGRA_CCUS_NO_CENTRO_CUSTOS</w:t>
              </w:r>
            </w:hyperlink>
            <w:r w:rsidR="00781123" w:rsidRPr="00FA3856">
              <w:rPr>
                <w:rStyle w:val="Hyperlink"/>
                <w:rFonts w:ascii="Times New Roman" w:hAnsi="Times New Roman"/>
                <w:b/>
                <w:color w:val="auto"/>
                <w:szCs w:val="20"/>
              </w:rPr>
              <w:t xml:space="preserve">: </w:t>
            </w:r>
            <w:r w:rsidR="00781123" w:rsidRPr="00FA3856">
              <w:rPr>
                <w:rFonts w:ascii="Times New Roman" w:hAnsi="Times New Roman"/>
                <w:szCs w:val="20"/>
              </w:rPr>
              <w:t xml:space="preserve">Verifica se o código do centro de custos </w:t>
            </w:r>
            <w:r w:rsidR="000D1E6A" w:rsidRPr="00FA3856">
              <w:rPr>
                <w:rFonts w:ascii="Times New Roman" w:hAnsi="Times New Roman"/>
                <w:szCs w:val="20"/>
              </w:rPr>
              <w:t xml:space="preserve">J051.COD_CCUS </w:t>
            </w:r>
            <w:r w:rsidR="00781123" w:rsidRPr="00FA3856">
              <w:rPr>
                <w:rFonts w:ascii="Times New Roman" w:hAnsi="Times New Roman"/>
                <w:szCs w:val="20"/>
              </w:rPr>
              <w:t>existe no registro J100 (Centro de Custos).</w:t>
            </w:r>
          </w:p>
          <w:p w:rsidR="00781123" w:rsidRPr="00FA3856" w:rsidRDefault="00781123" w:rsidP="00781123">
            <w:pPr>
              <w:pStyle w:val="Corpodetexto"/>
              <w:rPr>
                <w:rFonts w:ascii="Times New Roman" w:hAnsi="Times New Roman"/>
                <w:b/>
                <w:szCs w:val="20"/>
              </w:rPr>
            </w:pPr>
          </w:p>
        </w:tc>
        <w:tc>
          <w:tcPr>
            <w:tcW w:w="245" w:type="pct"/>
            <w:tcBorders>
              <w:top w:val="single" w:sz="4" w:space="0" w:color="auto"/>
              <w:left w:val="single" w:sz="4" w:space="0" w:color="auto"/>
              <w:bottom w:val="single" w:sz="4" w:space="0" w:color="auto"/>
              <w:right w:val="single" w:sz="4" w:space="0" w:color="auto"/>
            </w:tcBorders>
          </w:tcPr>
          <w:p w:rsidR="00781123" w:rsidRPr="00FA3856" w:rsidRDefault="00781123" w:rsidP="00781123">
            <w:pPr>
              <w:jc w:val="both"/>
              <w:rPr>
                <w:szCs w:val="20"/>
                <w:lang w:val="pt-PT"/>
              </w:rPr>
            </w:pPr>
            <w:r w:rsidRPr="00FA3856">
              <w:rPr>
                <w:szCs w:val="20"/>
                <w:lang w:val="pt-PT"/>
              </w:rPr>
              <w:t>Erro</w:t>
            </w:r>
          </w:p>
        </w:tc>
      </w:tr>
      <w:tr w:rsidR="00781123" w:rsidRPr="00FA3856" w:rsidTr="00781123">
        <w:trPr>
          <w:jc w:val="center"/>
        </w:trPr>
        <w:tc>
          <w:tcPr>
            <w:tcW w:w="147" w:type="pct"/>
            <w:tcBorders>
              <w:top w:val="single" w:sz="4" w:space="0" w:color="auto"/>
              <w:left w:val="single" w:sz="4" w:space="0" w:color="auto"/>
              <w:bottom w:val="single" w:sz="4" w:space="0" w:color="auto"/>
              <w:right w:val="single" w:sz="4" w:space="0" w:color="auto"/>
            </w:tcBorders>
          </w:tcPr>
          <w:p w:rsidR="00781123" w:rsidRPr="00FA3856" w:rsidRDefault="00781123" w:rsidP="00781123">
            <w:pPr>
              <w:widowControl w:val="0"/>
              <w:autoSpaceDE w:val="0"/>
              <w:autoSpaceDN w:val="0"/>
              <w:adjustRightInd w:val="0"/>
              <w:jc w:val="both"/>
              <w:rPr>
                <w:b/>
                <w:szCs w:val="20"/>
                <w:lang w:val="pt-PT"/>
              </w:rPr>
            </w:pPr>
            <w:r w:rsidRPr="00FA3856">
              <w:rPr>
                <w:b/>
                <w:szCs w:val="20"/>
                <w:lang w:val="pt-PT"/>
              </w:rPr>
              <w:t>3</w:t>
            </w:r>
          </w:p>
        </w:tc>
        <w:tc>
          <w:tcPr>
            <w:tcW w:w="581" w:type="pct"/>
            <w:tcBorders>
              <w:top w:val="single" w:sz="4" w:space="0" w:color="auto"/>
              <w:left w:val="single" w:sz="4" w:space="0" w:color="auto"/>
              <w:bottom w:val="single" w:sz="4" w:space="0" w:color="auto"/>
              <w:right w:val="single" w:sz="4" w:space="0" w:color="auto"/>
            </w:tcBorders>
          </w:tcPr>
          <w:p w:rsidR="00781123" w:rsidRPr="00FA3856" w:rsidRDefault="00781123" w:rsidP="00781123">
            <w:pPr>
              <w:jc w:val="both"/>
              <w:rPr>
                <w:szCs w:val="20"/>
                <w:lang w:val="es-ES_tradnl"/>
              </w:rPr>
            </w:pPr>
            <w:r w:rsidRPr="00FA3856">
              <w:rPr>
                <w:szCs w:val="20"/>
                <w:lang w:val="es-ES_tradnl"/>
              </w:rPr>
              <w:t>COD_CTA_REF</w:t>
            </w:r>
          </w:p>
        </w:tc>
        <w:tc>
          <w:tcPr>
            <w:tcW w:w="402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781123" w:rsidRPr="00FA3856" w:rsidRDefault="007D0E74" w:rsidP="00781123">
            <w:pPr>
              <w:jc w:val="both"/>
              <w:rPr>
                <w:b/>
                <w:szCs w:val="20"/>
              </w:rPr>
            </w:pPr>
            <w:hyperlink w:anchor="REGRA_NAO_EXISTE_COD_CTA_REF" w:history="1">
              <w:r w:rsidR="00781123" w:rsidRPr="00FA3856">
                <w:rPr>
                  <w:rStyle w:val="Hyperlink"/>
                  <w:b/>
                  <w:color w:val="auto"/>
                  <w:szCs w:val="20"/>
                </w:rPr>
                <w:t>REGRA_NAO_EXISTE_COD_CTA_REF</w:t>
              </w:r>
            </w:hyperlink>
            <w:r w:rsidR="0009302C" w:rsidRPr="00FA3856">
              <w:rPr>
                <w:rStyle w:val="Hyperlink"/>
                <w:b/>
                <w:color w:val="auto"/>
                <w:szCs w:val="20"/>
              </w:rPr>
              <w:t xml:space="preserve">: </w:t>
            </w:r>
            <w:r w:rsidR="0009302C" w:rsidRPr="00FA3856">
              <w:rPr>
                <w:szCs w:val="20"/>
              </w:rPr>
              <w:t xml:space="preserve">Verifica se o </w:t>
            </w:r>
            <w:r w:rsidR="000D1E6A" w:rsidRPr="00FA3856">
              <w:rPr>
                <w:szCs w:val="20"/>
              </w:rPr>
              <w:t xml:space="preserve">J051.COD_CTA_REF </w:t>
            </w:r>
            <w:r w:rsidR="0009302C" w:rsidRPr="00FA3856">
              <w:rPr>
                <w:szCs w:val="20"/>
              </w:rPr>
              <w:t>existe no plano de contas referencial.</w:t>
            </w:r>
          </w:p>
          <w:p w:rsidR="0009302C" w:rsidRPr="00FA3856" w:rsidRDefault="0009302C" w:rsidP="00781123">
            <w:pPr>
              <w:jc w:val="both"/>
              <w:rPr>
                <w:b/>
                <w:szCs w:val="20"/>
              </w:rPr>
            </w:pPr>
          </w:p>
          <w:p w:rsidR="00781123" w:rsidRPr="00FA3856" w:rsidRDefault="007D0E74" w:rsidP="00781123">
            <w:pPr>
              <w:jc w:val="both"/>
              <w:rPr>
                <w:rStyle w:val="Hyperlink"/>
                <w:color w:val="auto"/>
                <w:szCs w:val="20"/>
              </w:rPr>
            </w:pPr>
            <w:hyperlink w:anchor="REGRA_COD_CTA_REF_SINTETICA" w:history="1">
              <w:r w:rsidR="00781123" w:rsidRPr="00FA3856">
                <w:rPr>
                  <w:rStyle w:val="Hyperlink"/>
                  <w:b/>
                  <w:color w:val="auto"/>
                  <w:szCs w:val="20"/>
                </w:rPr>
                <w:t>REGRA_COD_CTA_REF_SINTETICA</w:t>
              </w:r>
            </w:hyperlink>
            <w:r w:rsidR="0009302C" w:rsidRPr="00FA3856">
              <w:rPr>
                <w:rStyle w:val="Hyperlink"/>
                <w:b/>
                <w:color w:val="auto"/>
                <w:szCs w:val="20"/>
              </w:rPr>
              <w:t xml:space="preserve">: </w:t>
            </w:r>
            <w:r w:rsidR="0009302C" w:rsidRPr="00FA3856">
              <w:rPr>
                <w:rStyle w:val="Hyperlink"/>
                <w:color w:val="auto"/>
                <w:szCs w:val="20"/>
              </w:rPr>
              <w:t xml:space="preserve">Verifica se conta informada </w:t>
            </w:r>
            <w:r w:rsidR="002F4306" w:rsidRPr="00FA3856">
              <w:rPr>
                <w:rStyle w:val="Hyperlink"/>
                <w:color w:val="auto"/>
                <w:szCs w:val="20"/>
              </w:rPr>
              <w:t>é sintética</w:t>
            </w:r>
            <w:r w:rsidR="0009302C" w:rsidRPr="00FA3856">
              <w:rPr>
                <w:rStyle w:val="Hyperlink"/>
                <w:color w:val="auto"/>
                <w:szCs w:val="20"/>
              </w:rPr>
              <w:t xml:space="preserve"> no plano de contas referencial.</w:t>
            </w:r>
          </w:p>
          <w:p w:rsidR="0009302C" w:rsidRPr="00FA3856" w:rsidRDefault="0009302C" w:rsidP="00781123">
            <w:pPr>
              <w:jc w:val="both"/>
              <w:rPr>
                <w:b/>
                <w:szCs w:val="20"/>
              </w:rPr>
            </w:pPr>
          </w:p>
          <w:p w:rsidR="0074344E" w:rsidRPr="00FA3856" w:rsidRDefault="007D0E74" w:rsidP="00781123">
            <w:pPr>
              <w:jc w:val="both"/>
              <w:rPr>
                <w:szCs w:val="20"/>
              </w:rPr>
            </w:pPr>
            <w:hyperlink w:anchor="REGRA_NATUREZA_REF" w:history="1">
              <w:r w:rsidR="00781123" w:rsidRPr="00FA3856">
                <w:rPr>
                  <w:rStyle w:val="Hyperlink"/>
                  <w:b/>
                  <w:color w:val="auto"/>
                  <w:szCs w:val="20"/>
                </w:rPr>
                <w:t>REGRA_NATUREZA_REF</w:t>
              </w:r>
            </w:hyperlink>
            <w:r w:rsidR="0009302C" w:rsidRPr="00FA3856">
              <w:rPr>
                <w:rStyle w:val="Hyperlink"/>
                <w:b/>
                <w:color w:val="auto"/>
                <w:szCs w:val="20"/>
              </w:rPr>
              <w:t xml:space="preserve">: </w:t>
            </w:r>
            <w:r w:rsidR="0009302C" w:rsidRPr="00FA3856">
              <w:rPr>
                <w:rStyle w:val="Hyperlink"/>
                <w:color w:val="auto"/>
                <w:szCs w:val="20"/>
              </w:rPr>
              <w:t>Verifica se a natureza da conta referencial utilizada é igual a natureza da conta contábil do registro J050.</w:t>
            </w:r>
          </w:p>
        </w:tc>
        <w:tc>
          <w:tcPr>
            <w:tcW w:w="245" w:type="pct"/>
            <w:tcBorders>
              <w:top w:val="single" w:sz="4" w:space="0" w:color="auto"/>
              <w:left w:val="single" w:sz="4" w:space="0" w:color="auto"/>
              <w:bottom w:val="single" w:sz="4" w:space="0" w:color="auto"/>
              <w:right w:val="single" w:sz="4" w:space="0" w:color="auto"/>
            </w:tcBorders>
          </w:tcPr>
          <w:p w:rsidR="00781123" w:rsidRPr="00FA3856" w:rsidRDefault="00781123" w:rsidP="00781123">
            <w:pPr>
              <w:jc w:val="both"/>
              <w:rPr>
                <w:szCs w:val="20"/>
                <w:lang w:val="es-ES_tradnl"/>
              </w:rPr>
            </w:pPr>
            <w:r w:rsidRPr="00FA3856">
              <w:rPr>
                <w:szCs w:val="20"/>
                <w:lang w:val="es-ES_tradnl"/>
              </w:rPr>
              <w:t>Erro</w:t>
            </w:r>
          </w:p>
          <w:p w:rsidR="0009302C" w:rsidRPr="00FA3856" w:rsidRDefault="0009302C" w:rsidP="00781123">
            <w:pPr>
              <w:jc w:val="both"/>
              <w:rPr>
                <w:szCs w:val="20"/>
                <w:lang w:val="es-ES_tradnl"/>
              </w:rPr>
            </w:pPr>
          </w:p>
          <w:p w:rsidR="00781123" w:rsidRPr="00FA3856" w:rsidRDefault="00781123" w:rsidP="00781123">
            <w:pPr>
              <w:jc w:val="both"/>
              <w:rPr>
                <w:szCs w:val="20"/>
                <w:lang w:val="es-ES_tradnl"/>
              </w:rPr>
            </w:pPr>
            <w:r w:rsidRPr="00FA3856">
              <w:rPr>
                <w:szCs w:val="20"/>
                <w:lang w:val="es-ES_tradnl"/>
              </w:rPr>
              <w:t>Erro</w:t>
            </w:r>
          </w:p>
          <w:p w:rsidR="0009302C" w:rsidRPr="00FA3856" w:rsidRDefault="0009302C" w:rsidP="00781123">
            <w:pPr>
              <w:jc w:val="both"/>
              <w:rPr>
                <w:szCs w:val="20"/>
                <w:lang w:val="es-ES_tradnl"/>
              </w:rPr>
            </w:pPr>
          </w:p>
          <w:p w:rsidR="00781123" w:rsidRPr="00FA3856" w:rsidRDefault="00B07591" w:rsidP="00781123">
            <w:pPr>
              <w:jc w:val="both"/>
              <w:rPr>
                <w:szCs w:val="20"/>
                <w:lang w:val="es-ES_tradnl"/>
              </w:rPr>
            </w:pPr>
            <w:r w:rsidRPr="00FA3856">
              <w:rPr>
                <w:szCs w:val="20"/>
                <w:lang w:val="es-ES_tradnl"/>
              </w:rPr>
              <w:t>Aviso</w:t>
            </w:r>
          </w:p>
        </w:tc>
      </w:tr>
    </w:tbl>
    <w:p w:rsidR="00A17D11" w:rsidRPr="00FA3856" w:rsidRDefault="00A17D11" w:rsidP="002C58A4">
      <w:pPr>
        <w:pStyle w:val="PSDS-CorpodeTexto0"/>
        <w:jc w:val="both"/>
        <w:rPr>
          <w:rFonts w:ascii="Times New Roman" w:hAnsi="Times New Roman"/>
          <w:lang w:val="pt-PT"/>
        </w:rPr>
      </w:pPr>
    </w:p>
    <w:p w:rsidR="00342F1D" w:rsidRDefault="002C58A4" w:rsidP="002C58A4">
      <w:pPr>
        <w:pStyle w:val="Corpodetexto"/>
        <w:rPr>
          <w:rFonts w:ascii="Times New Roman" w:hAnsi="Times New Roman"/>
          <w:color w:val="002060"/>
          <w:szCs w:val="20"/>
        </w:rPr>
      </w:pPr>
      <w:r w:rsidRPr="00FA3856">
        <w:rPr>
          <w:rFonts w:ascii="Times New Roman" w:hAnsi="Times New Roman"/>
          <w:b/>
          <w:color w:val="002060"/>
          <w:szCs w:val="20"/>
        </w:rPr>
        <w:t>Exemplo de Preenchimento:</w:t>
      </w:r>
      <w:r w:rsidRPr="00FA3856">
        <w:rPr>
          <w:rFonts w:ascii="Times New Roman" w:hAnsi="Times New Roman"/>
          <w:color w:val="002060"/>
          <w:szCs w:val="20"/>
        </w:rPr>
        <w:t xml:space="preserve"> </w:t>
      </w:r>
    </w:p>
    <w:p w:rsidR="00342F1D" w:rsidRDefault="00342F1D" w:rsidP="002C58A4">
      <w:pPr>
        <w:pStyle w:val="Corpodetexto"/>
        <w:rPr>
          <w:rFonts w:ascii="Times New Roman" w:hAnsi="Times New Roman"/>
          <w:color w:val="002060"/>
          <w:szCs w:val="20"/>
        </w:rPr>
      </w:pPr>
    </w:p>
    <w:p w:rsidR="002C58A4" w:rsidRPr="00FA3856" w:rsidRDefault="002C58A4" w:rsidP="002C58A4">
      <w:pPr>
        <w:pStyle w:val="Corpodetexto"/>
        <w:rPr>
          <w:rFonts w:ascii="Times New Roman" w:hAnsi="Times New Roman"/>
          <w:color w:val="002060"/>
          <w:szCs w:val="20"/>
        </w:rPr>
      </w:pPr>
      <w:r w:rsidRPr="00FA3856">
        <w:rPr>
          <w:rFonts w:ascii="Times New Roman" w:hAnsi="Times New Roman"/>
          <w:b/>
          <w:color w:val="002060"/>
          <w:szCs w:val="20"/>
        </w:rPr>
        <w:t>|J051||1.01.01.01.01|</w:t>
      </w:r>
    </w:p>
    <w:p w:rsidR="002C58A4" w:rsidRPr="00FA3856" w:rsidRDefault="002C58A4" w:rsidP="002C58A4">
      <w:pPr>
        <w:pStyle w:val="Corpodetexto"/>
        <w:ind w:firstLine="708"/>
        <w:rPr>
          <w:rFonts w:ascii="Times New Roman" w:hAnsi="Times New Roman"/>
          <w:color w:val="002060"/>
          <w:szCs w:val="20"/>
        </w:rPr>
      </w:pPr>
      <w:r w:rsidRPr="00FA3856">
        <w:rPr>
          <w:rFonts w:ascii="Times New Roman" w:hAnsi="Times New Roman"/>
          <w:color w:val="002060"/>
          <w:szCs w:val="20"/>
        </w:rPr>
        <w:t>|J051|: Identificação do tipo do registro.</w:t>
      </w:r>
    </w:p>
    <w:p w:rsidR="002C58A4" w:rsidRPr="00FA3856" w:rsidRDefault="002C58A4" w:rsidP="002C58A4">
      <w:pPr>
        <w:pStyle w:val="Corpodetexto"/>
        <w:ind w:firstLine="708"/>
        <w:rPr>
          <w:rFonts w:ascii="Times New Roman" w:hAnsi="Times New Roman"/>
          <w:color w:val="002060"/>
          <w:szCs w:val="20"/>
        </w:rPr>
      </w:pPr>
      <w:r w:rsidRPr="00FA3856">
        <w:rPr>
          <w:rFonts w:ascii="Times New Roman" w:hAnsi="Times New Roman"/>
          <w:color w:val="002060"/>
          <w:szCs w:val="20"/>
        </w:rPr>
        <w:t>||: Código do centro de custo (Não há).</w:t>
      </w:r>
    </w:p>
    <w:p w:rsidR="002C58A4" w:rsidRPr="00FA3856" w:rsidRDefault="002C58A4" w:rsidP="002C58A4">
      <w:pPr>
        <w:pStyle w:val="Corpodetexto"/>
        <w:ind w:firstLine="708"/>
        <w:rPr>
          <w:rFonts w:ascii="Times New Roman" w:hAnsi="Times New Roman"/>
          <w:color w:val="002060"/>
          <w:szCs w:val="20"/>
        </w:rPr>
      </w:pPr>
      <w:r w:rsidRPr="00FA3856">
        <w:rPr>
          <w:rFonts w:ascii="Times New Roman" w:hAnsi="Times New Roman"/>
          <w:color w:val="002060"/>
          <w:szCs w:val="20"/>
        </w:rPr>
        <w:t>|1.01.01.01.01|: Código da conta referencial (1.01.01.01.01 = Caixa Matriz).</w:t>
      </w:r>
    </w:p>
    <w:p w:rsidR="00737B6B" w:rsidRDefault="00737B6B">
      <w:pPr>
        <w:spacing w:after="200" w:line="276" w:lineRule="auto"/>
        <w:rPr>
          <w:b/>
          <w:bCs/>
          <w:color w:val="0000FF"/>
          <w:szCs w:val="20"/>
        </w:rPr>
      </w:pPr>
      <w:r>
        <w:rPr>
          <w:color w:val="0000FF"/>
          <w:szCs w:val="20"/>
        </w:rPr>
        <w:br w:type="page"/>
      </w:r>
    </w:p>
    <w:p w:rsidR="00FC7ABA" w:rsidRPr="00FA3856" w:rsidRDefault="00FC7ABA" w:rsidP="00867F54">
      <w:pPr>
        <w:pStyle w:val="Ttulo4"/>
      </w:pPr>
      <w:bookmarkStart w:id="95" w:name="_Toc479713702"/>
      <w:r w:rsidRPr="00FA3856">
        <w:lastRenderedPageBreak/>
        <w:t>Registro J053: Subcontas Correlatas</w:t>
      </w:r>
      <w:bookmarkEnd w:id="95"/>
    </w:p>
    <w:p w:rsidR="00D83BF1" w:rsidRPr="00FA3856" w:rsidRDefault="00D83BF1" w:rsidP="00951400">
      <w:pPr>
        <w:rPr>
          <w:b/>
          <w:bCs/>
          <w:szCs w:val="20"/>
        </w:rPr>
      </w:pPr>
    </w:p>
    <w:p w:rsidR="00D83BF1" w:rsidRPr="00FA3856" w:rsidRDefault="00D83BF1" w:rsidP="00951400">
      <w:pPr>
        <w:rPr>
          <w:bCs/>
          <w:szCs w:val="20"/>
        </w:rPr>
      </w:pPr>
      <w:r w:rsidRPr="00FA3856">
        <w:rPr>
          <w:b/>
          <w:bCs/>
          <w:szCs w:val="20"/>
        </w:rPr>
        <w:tab/>
      </w:r>
      <w:r w:rsidRPr="00FA3856">
        <w:rPr>
          <w:bCs/>
          <w:szCs w:val="20"/>
        </w:rPr>
        <w:t>Registro utilizado para demonstrar os grupos (</w:t>
      </w:r>
      <w:r w:rsidR="00AE58A0" w:rsidRPr="00FA3856">
        <w:rPr>
          <w:bCs/>
          <w:szCs w:val="20"/>
        </w:rPr>
        <w:t>J053.</w:t>
      </w:r>
      <w:r w:rsidRPr="00FA3856">
        <w:rPr>
          <w:bCs/>
          <w:szCs w:val="20"/>
        </w:rPr>
        <w:t>COD_IDT) compostos de uma conta “pai” e uma ou mais subcontas correlatas. É possível utilizar o mesmo código de identificação do grupo para mais de um conjunto de conta “pai” e subconta(s).</w:t>
      </w:r>
    </w:p>
    <w:p w:rsidR="00D83BF1" w:rsidRPr="00FA3856" w:rsidRDefault="00D83BF1" w:rsidP="00951400">
      <w:pPr>
        <w:rPr>
          <w:bCs/>
          <w:szCs w:val="20"/>
        </w:rPr>
      </w:pPr>
    </w:p>
    <w:p w:rsidR="00D83BF1" w:rsidRPr="00FA3856" w:rsidRDefault="00D83BF1" w:rsidP="00951400">
      <w:pPr>
        <w:rPr>
          <w:b/>
          <w:bCs/>
          <w:szCs w:val="20"/>
        </w:rPr>
      </w:pPr>
      <w:r w:rsidRPr="00FA3856">
        <w:rPr>
          <w:bCs/>
          <w:szCs w:val="20"/>
        </w:rPr>
        <w:tab/>
      </w:r>
      <w:r w:rsidRPr="00FA3856">
        <w:rPr>
          <w:b/>
          <w:bCs/>
          <w:szCs w:val="20"/>
        </w:rPr>
        <w:t>Exemplo: Grupo 1 – Conta pai (informada no regist</w:t>
      </w:r>
      <w:r w:rsidR="0069023E" w:rsidRPr="00FA3856">
        <w:rPr>
          <w:b/>
          <w:bCs/>
          <w:szCs w:val="20"/>
        </w:rPr>
        <w:t xml:space="preserve">ro J050) = Veículos / Subconta = </w:t>
      </w:r>
      <w:r w:rsidRPr="00FA3856">
        <w:rPr>
          <w:b/>
          <w:bCs/>
          <w:szCs w:val="20"/>
        </w:rPr>
        <w:t>Ajuste a Valor Presente (AVP) (também deve estar informada no J050).</w:t>
      </w:r>
    </w:p>
    <w:p w:rsidR="00D83BF1" w:rsidRPr="00FA3856" w:rsidRDefault="00716D09" w:rsidP="00951400">
      <w:pPr>
        <w:rPr>
          <w:b/>
          <w:bCs/>
          <w:szCs w:val="20"/>
        </w:rPr>
      </w:pPr>
      <w:r w:rsidRPr="00FA3856">
        <w:rPr>
          <w:b/>
          <w:bCs/>
          <w:szCs w:val="20"/>
        </w:rPr>
        <w:tab/>
      </w:r>
      <w:r w:rsidRPr="00FA3856">
        <w:rPr>
          <w:b/>
          <w:bCs/>
          <w:szCs w:val="20"/>
        </w:rPr>
        <w:tab/>
        <w:t xml:space="preserve">   Grupo 2</w:t>
      </w:r>
      <w:r w:rsidR="00D83BF1" w:rsidRPr="00FA3856">
        <w:rPr>
          <w:b/>
          <w:bCs/>
          <w:szCs w:val="20"/>
        </w:rPr>
        <w:t xml:space="preserve"> – Conta pai (informada no registro J050) = D</w:t>
      </w:r>
      <w:r w:rsidR="0069023E" w:rsidRPr="00FA3856">
        <w:rPr>
          <w:b/>
          <w:bCs/>
          <w:szCs w:val="20"/>
        </w:rPr>
        <w:t>epreciação Acumulada/ Subconta =</w:t>
      </w:r>
      <w:r w:rsidR="00D83BF1" w:rsidRPr="00FA3856">
        <w:rPr>
          <w:b/>
          <w:bCs/>
          <w:szCs w:val="20"/>
        </w:rPr>
        <w:t xml:space="preserve"> Ajuste a Valor Presente de Depreciação (também deve estar informada no J050).</w:t>
      </w:r>
    </w:p>
    <w:p w:rsidR="00AE58A0" w:rsidRDefault="00AE58A0" w:rsidP="00951400">
      <w:pPr>
        <w:rPr>
          <w:b/>
          <w:bCs/>
          <w:szCs w:val="20"/>
        </w:rPr>
      </w:pPr>
    </w:p>
    <w:p w:rsidR="003C701B" w:rsidRDefault="003C701B" w:rsidP="003C701B">
      <w:pPr>
        <w:ind w:firstLine="708"/>
        <w:jc w:val="both"/>
        <w:rPr>
          <w:bCs/>
          <w:szCs w:val="20"/>
        </w:rPr>
      </w:pPr>
      <w:r w:rsidRPr="0070069F">
        <w:rPr>
          <w:b/>
          <w:bCs/>
          <w:szCs w:val="20"/>
        </w:rPr>
        <w:t xml:space="preserve">Observação: </w:t>
      </w:r>
      <w:r w:rsidR="00A746F0">
        <w:rPr>
          <w:bCs/>
          <w:szCs w:val="20"/>
        </w:rPr>
        <w:t>De acordo com o artigo 300</w:t>
      </w:r>
      <w:r w:rsidRPr="0070069F">
        <w:rPr>
          <w:bCs/>
          <w:szCs w:val="20"/>
        </w:rPr>
        <w:t>, §§ 3° e 4º, da Instrução Normativa RFB n</w:t>
      </w:r>
      <w:r w:rsidRPr="0070069F">
        <w:rPr>
          <w:bCs/>
          <w:szCs w:val="20"/>
          <w:u w:val="single"/>
          <w:vertAlign w:val="superscript"/>
        </w:rPr>
        <w:t>o</w:t>
      </w:r>
      <w:r w:rsidRPr="0070069F">
        <w:rPr>
          <w:bCs/>
          <w:szCs w:val="20"/>
        </w:rPr>
        <w:t xml:space="preserve"> </w:t>
      </w:r>
      <w:r w:rsidR="00A746F0">
        <w:rPr>
          <w:bCs/>
          <w:szCs w:val="20"/>
        </w:rPr>
        <w:t>1.700/2017</w:t>
      </w:r>
      <w:r w:rsidRPr="0070069F">
        <w:rPr>
          <w:bCs/>
          <w:szCs w:val="20"/>
        </w:rPr>
        <w:t>, caso a própria conta do ativo ou passivo seja utilizada como subconta correlata, o registro I053 não deve ser informado.</w:t>
      </w:r>
    </w:p>
    <w:p w:rsidR="00FC7ABA" w:rsidRDefault="00FC7ABA" w:rsidP="00FC7ABA">
      <w:pPr>
        <w:rPr>
          <w:szCs w:val="20"/>
          <w:lang w:val="pt-PT"/>
        </w:rPr>
      </w:pPr>
    </w:p>
    <w:p w:rsidR="00636C67" w:rsidRPr="00FA3856" w:rsidRDefault="00B35FA3" w:rsidP="00636C67">
      <w:pPr>
        <w:jc w:val="center"/>
        <w:rPr>
          <w:szCs w:val="20"/>
          <w:lang w:val="pt-PT"/>
        </w:rPr>
      </w:pPr>
      <w:r>
        <w:rPr>
          <w:szCs w:val="20"/>
          <w:lang w:val="pt-PT"/>
        </w:rPr>
        <w:object w:dxaOrig="13500" w:dyaOrig="4695">
          <v:shape id="_x0000_i1632" type="#_x0000_t75" style="width:677.25pt;height:237pt" o:ole="">
            <v:imagedata r:id="rId186" o:title=""/>
          </v:shape>
          <o:OLEObject Type="Link" ProgID="Excel.Sheet.12" ShapeID="_x0000_i1632" DrawAspect="Content" r:id="rId187" UpdateMode="Always">
            <o:LinkType>EnhancedMetaFile</o:LinkType>
            <o:LockedField>false</o:LockedField>
          </o:OLEObject>
        </w:object>
      </w:r>
    </w:p>
    <w:p w:rsidR="001B6DF5" w:rsidRPr="00FA3856" w:rsidRDefault="001B6DF5">
      <w:pPr>
        <w:spacing w:after="200" w:line="276" w:lineRule="auto"/>
        <w:rPr>
          <w:b/>
          <w:bCs/>
          <w:szCs w:val="20"/>
        </w:rPr>
      </w:pPr>
      <w:r w:rsidRPr="00FA3856">
        <w:rPr>
          <w:b/>
          <w:bCs/>
          <w:szCs w:val="20"/>
        </w:rPr>
        <w:br w:type="page"/>
      </w:r>
    </w:p>
    <w:p w:rsidR="00FC7ABA" w:rsidRPr="00FA3856" w:rsidRDefault="00FC7ABA" w:rsidP="00FC7ABA">
      <w:pPr>
        <w:rPr>
          <w:b/>
          <w:bCs/>
          <w:szCs w:val="20"/>
        </w:rPr>
      </w:pPr>
      <w:r w:rsidRPr="00FA3856">
        <w:rPr>
          <w:b/>
          <w:bCs/>
          <w:szCs w:val="20"/>
        </w:rPr>
        <w:lastRenderedPageBreak/>
        <w:t>Tabela – Natureza da Subconta:</w:t>
      </w:r>
    </w:p>
    <w:tbl>
      <w:tblPr>
        <w:tblpPr w:leftFromText="141" w:rightFromText="141" w:vertAnchor="text" w:tblpY="1"/>
        <w:tblOverlap w:val="never"/>
        <w:tblW w:w="16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74"/>
        <w:gridCol w:w="5920"/>
        <w:gridCol w:w="5139"/>
        <w:gridCol w:w="4502"/>
      </w:tblGrid>
      <w:tr w:rsidR="00004230" w:rsidRPr="00FA3856" w:rsidTr="004F71A6">
        <w:trPr>
          <w:trHeight w:val="274"/>
        </w:trPr>
        <w:tc>
          <w:tcPr>
            <w:tcW w:w="774" w:type="dxa"/>
            <w:shd w:val="clear" w:color="000000" w:fill="C0C0C0"/>
            <w:noWrap/>
            <w:vAlign w:val="bottom"/>
            <w:hideMark/>
          </w:tcPr>
          <w:p w:rsidR="00004230" w:rsidRPr="00FA3856" w:rsidRDefault="00004230" w:rsidP="00AE58A0">
            <w:pPr>
              <w:jc w:val="center"/>
              <w:rPr>
                <w:b/>
                <w:bCs/>
                <w:szCs w:val="20"/>
              </w:rPr>
            </w:pPr>
            <w:r w:rsidRPr="00FA3856">
              <w:rPr>
                <w:b/>
                <w:bCs/>
                <w:szCs w:val="20"/>
              </w:rPr>
              <w:t>NUM</w:t>
            </w:r>
          </w:p>
        </w:tc>
        <w:tc>
          <w:tcPr>
            <w:tcW w:w="5920" w:type="dxa"/>
            <w:shd w:val="clear" w:color="000000" w:fill="C0C0C0"/>
            <w:noWrap/>
            <w:vAlign w:val="bottom"/>
            <w:hideMark/>
          </w:tcPr>
          <w:p w:rsidR="00004230" w:rsidRPr="00FA3856" w:rsidRDefault="00004230" w:rsidP="00AE58A0">
            <w:pPr>
              <w:jc w:val="center"/>
              <w:rPr>
                <w:b/>
                <w:bCs/>
                <w:szCs w:val="20"/>
              </w:rPr>
            </w:pPr>
            <w:r w:rsidRPr="00FA3856">
              <w:rPr>
                <w:b/>
                <w:bCs/>
                <w:szCs w:val="20"/>
              </w:rPr>
              <w:t>DESCRIÇÃO</w:t>
            </w:r>
          </w:p>
        </w:tc>
        <w:tc>
          <w:tcPr>
            <w:tcW w:w="5139" w:type="dxa"/>
            <w:shd w:val="clear" w:color="000000" w:fill="C0C0C0"/>
            <w:noWrap/>
            <w:vAlign w:val="bottom"/>
            <w:hideMark/>
          </w:tcPr>
          <w:p w:rsidR="00004230" w:rsidRPr="00FA3856" w:rsidRDefault="00004230" w:rsidP="00AE58A0">
            <w:pPr>
              <w:jc w:val="center"/>
              <w:rPr>
                <w:b/>
                <w:bCs/>
                <w:szCs w:val="20"/>
              </w:rPr>
            </w:pPr>
            <w:r w:rsidRPr="00FA3856">
              <w:rPr>
                <w:b/>
                <w:bCs/>
                <w:szCs w:val="20"/>
              </w:rPr>
              <w:t>FUNDAMENTO LEGAL</w:t>
            </w:r>
          </w:p>
        </w:tc>
        <w:tc>
          <w:tcPr>
            <w:tcW w:w="4502" w:type="dxa"/>
            <w:shd w:val="clear" w:color="000000" w:fill="C0C0C0"/>
            <w:noWrap/>
            <w:vAlign w:val="bottom"/>
            <w:hideMark/>
          </w:tcPr>
          <w:p w:rsidR="00004230" w:rsidRPr="00FA3856" w:rsidRDefault="00004230" w:rsidP="00AE58A0">
            <w:pPr>
              <w:jc w:val="center"/>
              <w:rPr>
                <w:b/>
                <w:bCs/>
                <w:szCs w:val="20"/>
              </w:rPr>
            </w:pPr>
            <w:r w:rsidRPr="00FA3856">
              <w:rPr>
                <w:b/>
                <w:bCs/>
                <w:szCs w:val="20"/>
              </w:rPr>
              <w:t>CONTA PRINCIPAL</w:t>
            </w:r>
          </w:p>
        </w:tc>
      </w:tr>
      <w:tr w:rsidR="00004230" w:rsidRPr="00FA3856" w:rsidTr="004F71A6">
        <w:trPr>
          <w:trHeight w:val="274"/>
        </w:trPr>
        <w:tc>
          <w:tcPr>
            <w:tcW w:w="774" w:type="dxa"/>
            <w:shd w:val="clear" w:color="auto" w:fill="auto"/>
            <w:noWrap/>
            <w:vAlign w:val="bottom"/>
            <w:hideMark/>
          </w:tcPr>
          <w:p w:rsidR="00004230" w:rsidRPr="00FA3856" w:rsidRDefault="00004230" w:rsidP="00AE58A0">
            <w:pPr>
              <w:jc w:val="center"/>
              <w:rPr>
                <w:szCs w:val="20"/>
              </w:rPr>
            </w:pPr>
            <w:r w:rsidRPr="00FA3856">
              <w:rPr>
                <w:szCs w:val="20"/>
              </w:rPr>
              <w:t>2</w:t>
            </w:r>
          </w:p>
        </w:tc>
        <w:tc>
          <w:tcPr>
            <w:tcW w:w="5920" w:type="dxa"/>
            <w:shd w:val="clear" w:color="auto" w:fill="auto"/>
            <w:noWrap/>
            <w:vAlign w:val="bottom"/>
            <w:hideMark/>
          </w:tcPr>
          <w:p w:rsidR="00004230" w:rsidRPr="00FA3856" w:rsidRDefault="00004230" w:rsidP="00AE58A0">
            <w:pPr>
              <w:rPr>
                <w:szCs w:val="20"/>
              </w:rPr>
            </w:pPr>
            <w:r w:rsidRPr="00FA3856">
              <w:rPr>
                <w:szCs w:val="20"/>
              </w:rPr>
              <w:t>SUBCONTA TBU - CONTROLADA DIRETA NO EXTERIOR</w:t>
            </w:r>
          </w:p>
        </w:tc>
        <w:tc>
          <w:tcPr>
            <w:tcW w:w="5139" w:type="dxa"/>
            <w:shd w:val="clear" w:color="auto" w:fill="auto"/>
            <w:noWrap/>
            <w:vAlign w:val="bottom"/>
            <w:hideMark/>
          </w:tcPr>
          <w:p w:rsidR="00004230" w:rsidRPr="00FA3856" w:rsidRDefault="00004230" w:rsidP="00AE58A0">
            <w:pPr>
              <w:rPr>
                <w:szCs w:val="20"/>
              </w:rPr>
            </w:pPr>
            <w:r w:rsidRPr="00FA3856">
              <w:rPr>
                <w:szCs w:val="20"/>
              </w:rPr>
              <w:t xml:space="preserve">Art. 76, Lei </w:t>
            </w:r>
            <w:r w:rsidR="00AE58A0" w:rsidRPr="00FA3856">
              <w:rPr>
                <w:szCs w:val="20"/>
              </w:rPr>
              <w:t>n</w:t>
            </w:r>
            <w:r w:rsidR="00AE58A0" w:rsidRPr="00FA3856">
              <w:rPr>
                <w:szCs w:val="20"/>
                <w:u w:val="single"/>
                <w:vertAlign w:val="superscript"/>
              </w:rPr>
              <w:t>o</w:t>
            </w:r>
            <w:r w:rsidR="00AE58A0" w:rsidRPr="00FA3856">
              <w:rPr>
                <w:szCs w:val="20"/>
              </w:rPr>
              <w:t xml:space="preserve"> </w:t>
            </w:r>
            <w:r w:rsidRPr="00FA3856">
              <w:rPr>
                <w:szCs w:val="20"/>
              </w:rPr>
              <w:t>12.973/14</w:t>
            </w:r>
          </w:p>
        </w:tc>
        <w:tc>
          <w:tcPr>
            <w:tcW w:w="4502" w:type="dxa"/>
            <w:shd w:val="clear" w:color="auto" w:fill="auto"/>
            <w:noWrap/>
            <w:vAlign w:val="bottom"/>
            <w:hideMark/>
          </w:tcPr>
          <w:p w:rsidR="00004230" w:rsidRPr="00FA3856" w:rsidRDefault="00004230" w:rsidP="00AE58A0">
            <w:pPr>
              <w:rPr>
                <w:szCs w:val="20"/>
              </w:rPr>
            </w:pPr>
            <w:r w:rsidRPr="00FA3856">
              <w:rPr>
                <w:szCs w:val="20"/>
              </w:rPr>
              <w:t>PARTICIPAÇÃO CONTROLADA NO EXTERIOR</w:t>
            </w:r>
          </w:p>
        </w:tc>
      </w:tr>
      <w:tr w:rsidR="00004230" w:rsidRPr="00FA3856" w:rsidTr="00AE58A0">
        <w:trPr>
          <w:trHeight w:val="274"/>
        </w:trPr>
        <w:tc>
          <w:tcPr>
            <w:tcW w:w="774" w:type="dxa"/>
            <w:shd w:val="clear" w:color="auto" w:fill="auto"/>
            <w:noWrap/>
            <w:vAlign w:val="bottom"/>
            <w:hideMark/>
          </w:tcPr>
          <w:p w:rsidR="00004230" w:rsidRPr="00FA3856" w:rsidRDefault="00004230" w:rsidP="00AE58A0">
            <w:pPr>
              <w:jc w:val="center"/>
              <w:rPr>
                <w:szCs w:val="20"/>
              </w:rPr>
            </w:pPr>
            <w:r w:rsidRPr="00FA3856">
              <w:rPr>
                <w:szCs w:val="20"/>
              </w:rPr>
              <w:t>3</w:t>
            </w:r>
          </w:p>
        </w:tc>
        <w:tc>
          <w:tcPr>
            <w:tcW w:w="5920" w:type="dxa"/>
            <w:shd w:val="clear" w:color="auto" w:fill="auto"/>
            <w:noWrap/>
            <w:vAlign w:val="bottom"/>
            <w:hideMark/>
          </w:tcPr>
          <w:p w:rsidR="00004230" w:rsidRPr="00FA3856" w:rsidRDefault="00004230" w:rsidP="00AE58A0">
            <w:pPr>
              <w:rPr>
                <w:szCs w:val="20"/>
              </w:rPr>
            </w:pPr>
            <w:r w:rsidRPr="00FA3856">
              <w:rPr>
                <w:szCs w:val="20"/>
              </w:rPr>
              <w:t>SUBCONTA TBU - CONTROLADA INDIRETA NO EXTERIOR</w:t>
            </w:r>
          </w:p>
        </w:tc>
        <w:tc>
          <w:tcPr>
            <w:tcW w:w="5139" w:type="dxa"/>
            <w:shd w:val="clear" w:color="auto" w:fill="auto"/>
            <w:noWrap/>
            <w:vAlign w:val="bottom"/>
            <w:hideMark/>
          </w:tcPr>
          <w:p w:rsidR="00004230" w:rsidRPr="00FA3856" w:rsidRDefault="00004230" w:rsidP="00AE58A0">
            <w:pPr>
              <w:rPr>
                <w:szCs w:val="20"/>
              </w:rPr>
            </w:pPr>
            <w:r w:rsidRPr="00FA3856">
              <w:rPr>
                <w:szCs w:val="20"/>
              </w:rPr>
              <w:t xml:space="preserve">Art. 76, Lei </w:t>
            </w:r>
            <w:r w:rsidR="00AE58A0" w:rsidRPr="00FA3856">
              <w:rPr>
                <w:szCs w:val="20"/>
              </w:rPr>
              <w:t>n</w:t>
            </w:r>
            <w:r w:rsidR="00AE58A0" w:rsidRPr="00FA3856">
              <w:rPr>
                <w:szCs w:val="20"/>
                <w:u w:val="single"/>
                <w:vertAlign w:val="superscript"/>
              </w:rPr>
              <w:t>o</w:t>
            </w:r>
            <w:r w:rsidR="00AE58A0" w:rsidRPr="00FA3856">
              <w:rPr>
                <w:szCs w:val="20"/>
              </w:rPr>
              <w:t xml:space="preserve"> </w:t>
            </w:r>
            <w:r w:rsidRPr="00FA3856">
              <w:rPr>
                <w:szCs w:val="20"/>
              </w:rPr>
              <w:t>12.973/14</w:t>
            </w:r>
          </w:p>
        </w:tc>
        <w:tc>
          <w:tcPr>
            <w:tcW w:w="4502" w:type="dxa"/>
            <w:shd w:val="clear" w:color="auto" w:fill="auto"/>
            <w:noWrap/>
            <w:vAlign w:val="bottom"/>
            <w:hideMark/>
          </w:tcPr>
          <w:p w:rsidR="00004230" w:rsidRPr="00FA3856" w:rsidRDefault="00004230" w:rsidP="00AE58A0">
            <w:pPr>
              <w:rPr>
                <w:szCs w:val="20"/>
              </w:rPr>
            </w:pPr>
            <w:r w:rsidRPr="00FA3856">
              <w:rPr>
                <w:szCs w:val="20"/>
              </w:rPr>
              <w:t>PARTICIPAÇÃO CONTROLADA NO EXTERIOR</w:t>
            </w:r>
          </w:p>
        </w:tc>
      </w:tr>
      <w:tr w:rsidR="00004230" w:rsidRPr="00FA3856" w:rsidTr="00AE58A0">
        <w:trPr>
          <w:trHeight w:val="274"/>
        </w:trPr>
        <w:tc>
          <w:tcPr>
            <w:tcW w:w="774" w:type="dxa"/>
            <w:shd w:val="clear" w:color="auto" w:fill="auto"/>
            <w:noWrap/>
            <w:vAlign w:val="bottom"/>
            <w:hideMark/>
          </w:tcPr>
          <w:p w:rsidR="00004230" w:rsidRPr="00FA3856" w:rsidRDefault="00004230" w:rsidP="00AE58A0">
            <w:pPr>
              <w:jc w:val="center"/>
              <w:rPr>
                <w:szCs w:val="20"/>
              </w:rPr>
            </w:pPr>
            <w:r w:rsidRPr="00FA3856">
              <w:rPr>
                <w:szCs w:val="20"/>
              </w:rPr>
              <w:t>10</w:t>
            </w:r>
          </w:p>
        </w:tc>
        <w:tc>
          <w:tcPr>
            <w:tcW w:w="5920" w:type="dxa"/>
            <w:shd w:val="clear" w:color="auto" w:fill="auto"/>
            <w:noWrap/>
            <w:vAlign w:val="bottom"/>
            <w:hideMark/>
          </w:tcPr>
          <w:p w:rsidR="00004230" w:rsidRPr="00FA3856" w:rsidRDefault="00004230" w:rsidP="00AE58A0">
            <w:pPr>
              <w:rPr>
                <w:szCs w:val="20"/>
              </w:rPr>
            </w:pPr>
            <w:r w:rsidRPr="00FA3856">
              <w:rPr>
                <w:szCs w:val="20"/>
              </w:rPr>
              <w:t>SUBCONTA GOODWILL</w:t>
            </w:r>
          </w:p>
        </w:tc>
        <w:tc>
          <w:tcPr>
            <w:tcW w:w="5139" w:type="dxa"/>
            <w:shd w:val="clear" w:color="auto" w:fill="auto"/>
            <w:noWrap/>
            <w:vAlign w:val="bottom"/>
            <w:hideMark/>
          </w:tcPr>
          <w:p w:rsidR="00004230" w:rsidRPr="00FA3856" w:rsidRDefault="00AE58A0" w:rsidP="00AE58A0">
            <w:pPr>
              <w:rPr>
                <w:szCs w:val="20"/>
              </w:rPr>
            </w:pPr>
            <w:r w:rsidRPr="00FA3856">
              <w:rPr>
                <w:szCs w:val="20"/>
              </w:rPr>
              <w:t>Art. 20, Inciso III, Decreto-Lei n</w:t>
            </w:r>
            <w:r w:rsidRPr="00FA3856">
              <w:rPr>
                <w:szCs w:val="20"/>
                <w:u w:val="single"/>
                <w:vertAlign w:val="superscript"/>
              </w:rPr>
              <w:t>o</w:t>
            </w:r>
            <w:r w:rsidR="00004230" w:rsidRPr="00FA3856">
              <w:rPr>
                <w:szCs w:val="20"/>
              </w:rPr>
              <w:t xml:space="preserve"> 1.598/77</w:t>
            </w:r>
          </w:p>
        </w:tc>
        <w:tc>
          <w:tcPr>
            <w:tcW w:w="4502" w:type="dxa"/>
            <w:shd w:val="clear" w:color="auto" w:fill="auto"/>
            <w:noWrap/>
            <w:vAlign w:val="bottom"/>
            <w:hideMark/>
          </w:tcPr>
          <w:p w:rsidR="00004230" w:rsidRPr="00FA3856" w:rsidRDefault="00004230" w:rsidP="00AE58A0">
            <w:pPr>
              <w:rPr>
                <w:szCs w:val="20"/>
              </w:rPr>
            </w:pPr>
            <w:r w:rsidRPr="00FA3856">
              <w:rPr>
                <w:szCs w:val="20"/>
              </w:rPr>
              <w:t xml:space="preserve">PARTICIPAÇÃO SOCIETARIA </w:t>
            </w:r>
          </w:p>
        </w:tc>
      </w:tr>
      <w:tr w:rsidR="00004230" w:rsidRPr="00FA3856" w:rsidTr="00AE58A0">
        <w:trPr>
          <w:trHeight w:val="274"/>
        </w:trPr>
        <w:tc>
          <w:tcPr>
            <w:tcW w:w="774" w:type="dxa"/>
            <w:shd w:val="clear" w:color="auto" w:fill="auto"/>
            <w:noWrap/>
            <w:vAlign w:val="bottom"/>
            <w:hideMark/>
          </w:tcPr>
          <w:p w:rsidR="00004230" w:rsidRPr="00FA3856" w:rsidRDefault="00004230" w:rsidP="00AE58A0">
            <w:pPr>
              <w:jc w:val="center"/>
              <w:rPr>
                <w:szCs w:val="20"/>
              </w:rPr>
            </w:pPr>
            <w:r w:rsidRPr="00FA3856">
              <w:rPr>
                <w:szCs w:val="20"/>
              </w:rPr>
              <w:t>11</w:t>
            </w:r>
          </w:p>
        </w:tc>
        <w:tc>
          <w:tcPr>
            <w:tcW w:w="5920" w:type="dxa"/>
            <w:shd w:val="clear" w:color="auto" w:fill="auto"/>
            <w:noWrap/>
            <w:vAlign w:val="bottom"/>
            <w:hideMark/>
          </w:tcPr>
          <w:p w:rsidR="00004230" w:rsidRPr="00FA3856" w:rsidRDefault="00004230" w:rsidP="00AE58A0">
            <w:pPr>
              <w:rPr>
                <w:szCs w:val="20"/>
              </w:rPr>
            </w:pPr>
            <w:r w:rsidRPr="00FA3856">
              <w:rPr>
                <w:szCs w:val="20"/>
              </w:rPr>
              <w:t>SUBCONTA MAIS VALIA</w:t>
            </w:r>
          </w:p>
        </w:tc>
        <w:tc>
          <w:tcPr>
            <w:tcW w:w="5139" w:type="dxa"/>
            <w:shd w:val="clear" w:color="auto" w:fill="auto"/>
            <w:noWrap/>
            <w:vAlign w:val="bottom"/>
            <w:hideMark/>
          </w:tcPr>
          <w:p w:rsidR="00004230" w:rsidRPr="00FA3856" w:rsidRDefault="00AE58A0" w:rsidP="00AE58A0">
            <w:pPr>
              <w:rPr>
                <w:szCs w:val="20"/>
              </w:rPr>
            </w:pPr>
            <w:r w:rsidRPr="00FA3856">
              <w:rPr>
                <w:szCs w:val="20"/>
              </w:rPr>
              <w:t>Art. 20, Inciso II, Decreto-Lei n</w:t>
            </w:r>
            <w:r w:rsidRPr="00FA3856">
              <w:rPr>
                <w:szCs w:val="20"/>
                <w:u w:val="single"/>
                <w:vertAlign w:val="superscript"/>
              </w:rPr>
              <w:t>o</w:t>
            </w:r>
            <w:r w:rsidRPr="00FA3856">
              <w:rPr>
                <w:szCs w:val="20"/>
              </w:rPr>
              <w:t xml:space="preserve"> </w:t>
            </w:r>
            <w:r w:rsidR="00004230" w:rsidRPr="00FA3856">
              <w:rPr>
                <w:szCs w:val="20"/>
              </w:rPr>
              <w:t>1.598/77</w:t>
            </w:r>
          </w:p>
        </w:tc>
        <w:tc>
          <w:tcPr>
            <w:tcW w:w="4502" w:type="dxa"/>
            <w:shd w:val="clear" w:color="auto" w:fill="auto"/>
            <w:noWrap/>
            <w:vAlign w:val="bottom"/>
            <w:hideMark/>
          </w:tcPr>
          <w:p w:rsidR="00004230" w:rsidRPr="00FA3856" w:rsidRDefault="00004230" w:rsidP="00AE58A0">
            <w:pPr>
              <w:rPr>
                <w:szCs w:val="20"/>
              </w:rPr>
            </w:pPr>
            <w:r w:rsidRPr="00FA3856">
              <w:rPr>
                <w:szCs w:val="20"/>
              </w:rPr>
              <w:t>PARTICIPAÇÃO SOCIETARIA</w:t>
            </w:r>
          </w:p>
        </w:tc>
      </w:tr>
      <w:tr w:rsidR="00004230" w:rsidRPr="00FA3856" w:rsidTr="00AE58A0">
        <w:trPr>
          <w:trHeight w:val="274"/>
        </w:trPr>
        <w:tc>
          <w:tcPr>
            <w:tcW w:w="774" w:type="dxa"/>
            <w:shd w:val="clear" w:color="auto" w:fill="auto"/>
            <w:noWrap/>
            <w:vAlign w:val="bottom"/>
            <w:hideMark/>
          </w:tcPr>
          <w:p w:rsidR="00004230" w:rsidRPr="00FA3856" w:rsidRDefault="00004230" w:rsidP="00AE58A0">
            <w:pPr>
              <w:jc w:val="center"/>
              <w:rPr>
                <w:szCs w:val="20"/>
              </w:rPr>
            </w:pPr>
            <w:r w:rsidRPr="00FA3856">
              <w:rPr>
                <w:szCs w:val="20"/>
              </w:rPr>
              <w:t>12</w:t>
            </w:r>
          </w:p>
        </w:tc>
        <w:tc>
          <w:tcPr>
            <w:tcW w:w="5920" w:type="dxa"/>
            <w:shd w:val="clear" w:color="auto" w:fill="auto"/>
            <w:noWrap/>
            <w:vAlign w:val="bottom"/>
            <w:hideMark/>
          </w:tcPr>
          <w:p w:rsidR="00004230" w:rsidRPr="00FA3856" w:rsidRDefault="00004230" w:rsidP="00AE58A0">
            <w:pPr>
              <w:rPr>
                <w:szCs w:val="20"/>
              </w:rPr>
            </w:pPr>
            <w:r w:rsidRPr="00FA3856">
              <w:rPr>
                <w:szCs w:val="20"/>
              </w:rPr>
              <w:t>SUBCONTA MENOS VALIA</w:t>
            </w:r>
          </w:p>
        </w:tc>
        <w:tc>
          <w:tcPr>
            <w:tcW w:w="5139" w:type="dxa"/>
            <w:shd w:val="clear" w:color="auto" w:fill="auto"/>
            <w:noWrap/>
            <w:vAlign w:val="bottom"/>
            <w:hideMark/>
          </w:tcPr>
          <w:p w:rsidR="00004230" w:rsidRPr="00FA3856" w:rsidRDefault="00AE58A0" w:rsidP="00AE58A0">
            <w:pPr>
              <w:rPr>
                <w:szCs w:val="20"/>
              </w:rPr>
            </w:pPr>
            <w:r w:rsidRPr="00FA3856">
              <w:rPr>
                <w:szCs w:val="20"/>
              </w:rPr>
              <w:t>Art. 20, Inciso II, Decreto-Lei n</w:t>
            </w:r>
            <w:r w:rsidRPr="00FA3856">
              <w:rPr>
                <w:szCs w:val="20"/>
                <w:u w:val="single"/>
                <w:vertAlign w:val="superscript"/>
              </w:rPr>
              <w:t>o</w:t>
            </w:r>
            <w:r w:rsidRPr="00FA3856">
              <w:rPr>
                <w:szCs w:val="20"/>
              </w:rPr>
              <w:t xml:space="preserve"> </w:t>
            </w:r>
            <w:r w:rsidR="00004230" w:rsidRPr="00FA3856">
              <w:rPr>
                <w:szCs w:val="20"/>
              </w:rPr>
              <w:t>1.598/77</w:t>
            </w:r>
          </w:p>
        </w:tc>
        <w:tc>
          <w:tcPr>
            <w:tcW w:w="4502" w:type="dxa"/>
            <w:shd w:val="clear" w:color="auto" w:fill="auto"/>
            <w:noWrap/>
            <w:vAlign w:val="bottom"/>
            <w:hideMark/>
          </w:tcPr>
          <w:p w:rsidR="00004230" w:rsidRPr="00FA3856" w:rsidRDefault="00004230" w:rsidP="00AE58A0">
            <w:pPr>
              <w:rPr>
                <w:szCs w:val="20"/>
              </w:rPr>
            </w:pPr>
            <w:r w:rsidRPr="00FA3856">
              <w:rPr>
                <w:szCs w:val="20"/>
              </w:rPr>
              <w:t>PARTICIPAÇÃO SOCIETARIA</w:t>
            </w:r>
          </w:p>
        </w:tc>
      </w:tr>
      <w:tr w:rsidR="00004230" w:rsidRPr="00FA3856" w:rsidTr="00AE58A0">
        <w:trPr>
          <w:trHeight w:val="274"/>
        </w:trPr>
        <w:tc>
          <w:tcPr>
            <w:tcW w:w="774" w:type="dxa"/>
            <w:shd w:val="clear" w:color="auto" w:fill="auto"/>
            <w:noWrap/>
            <w:vAlign w:val="bottom"/>
            <w:hideMark/>
          </w:tcPr>
          <w:p w:rsidR="00004230" w:rsidRPr="00FA3856" w:rsidRDefault="00004230" w:rsidP="00AE58A0">
            <w:pPr>
              <w:jc w:val="center"/>
              <w:rPr>
                <w:szCs w:val="20"/>
              </w:rPr>
            </w:pPr>
            <w:r w:rsidRPr="00FA3856">
              <w:rPr>
                <w:szCs w:val="20"/>
              </w:rPr>
              <w:t>60</w:t>
            </w:r>
          </w:p>
        </w:tc>
        <w:tc>
          <w:tcPr>
            <w:tcW w:w="5920" w:type="dxa"/>
            <w:shd w:val="clear" w:color="auto" w:fill="auto"/>
            <w:noWrap/>
            <w:vAlign w:val="bottom"/>
            <w:hideMark/>
          </w:tcPr>
          <w:p w:rsidR="00004230" w:rsidRPr="00FA3856" w:rsidRDefault="00004230" w:rsidP="00AE58A0">
            <w:pPr>
              <w:rPr>
                <w:szCs w:val="20"/>
              </w:rPr>
            </w:pPr>
            <w:r w:rsidRPr="00FA3856">
              <w:rPr>
                <w:szCs w:val="20"/>
              </w:rPr>
              <w:t>SUBCONTA AVJ REFLEXO</w:t>
            </w:r>
          </w:p>
        </w:tc>
        <w:tc>
          <w:tcPr>
            <w:tcW w:w="5139" w:type="dxa"/>
            <w:shd w:val="clear" w:color="auto" w:fill="auto"/>
            <w:noWrap/>
            <w:vAlign w:val="bottom"/>
            <w:hideMark/>
          </w:tcPr>
          <w:p w:rsidR="00004230" w:rsidRPr="00FA3856" w:rsidRDefault="00AE58A0" w:rsidP="00AE58A0">
            <w:pPr>
              <w:rPr>
                <w:szCs w:val="20"/>
              </w:rPr>
            </w:pPr>
            <w:r w:rsidRPr="00FA3856">
              <w:rPr>
                <w:szCs w:val="20"/>
              </w:rPr>
              <w:t>Arts. 24A e 24B, Decreto-Lei n</w:t>
            </w:r>
            <w:r w:rsidRPr="00FA3856">
              <w:rPr>
                <w:szCs w:val="20"/>
                <w:u w:val="single"/>
                <w:vertAlign w:val="superscript"/>
              </w:rPr>
              <w:t>o</w:t>
            </w:r>
            <w:r w:rsidRPr="00FA3856">
              <w:rPr>
                <w:szCs w:val="20"/>
              </w:rPr>
              <w:t xml:space="preserve"> </w:t>
            </w:r>
            <w:r w:rsidR="00004230" w:rsidRPr="00FA3856">
              <w:rPr>
                <w:szCs w:val="20"/>
              </w:rPr>
              <w:t>1.598/77</w:t>
            </w:r>
          </w:p>
        </w:tc>
        <w:tc>
          <w:tcPr>
            <w:tcW w:w="4502" w:type="dxa"/>
            <w:shd w:val="clear" w:color="auto" w:fill="auto"/>
            <w:noWrap/>
            <w:vAlign w:val="bottom"/>
            <w:hideMark/>
          </w:tcPr>
          <w:p w:rsidR="00004230" w:rsidRPr="00FA3856" w:rsidRDefault="00004230" w:rsidP="00AE58A0">
            <w:pPr>
              <w:rPr>
                <w:szCs w:val="20"/>
              </w:rPr>
            </w:pPr>
            <w:r w:rsidRPr="00FA3856">
              <w:rPr>
                <w:szCs w:val="20"/>
              </w:rPr>
              <w:t>PARTICIPAÇÃO SOCIETARIA</w:t>
            </w:r>
          </w:p>
        </w:tc>
      </w:tr>
      <w:tr w:rsidR="00004230" w:rsidRPr="00FA3856" w:rsidTr="00AE58A0">
        <w:trPr>
          <w:trHeight w:val="274"/>
        </w:trPr>
        <w:tc>
          <w:tcPr>
            <w:tcW w:w="774" w:type="dxa"/>
            <w:shd w:val="clear" w:color="auto" w:fill="auto"/>
            <w:noWrap/>
            <w:vAlign w:val="bottom"/>
            <w:hideMark/>
          </w:tcPr>
          <w:p w:rsidR="00004230" w:rsidRPr="00FA3856" w:rsidRDefault="00004230" w:rsidP="00AE58A0">
            <w:pPr>
              <w:jc w:val="center"/>
              <w:rPr>
                <w:szCs w:val="20"/>
              </w:rPr>
            </w:pPr>
            <w:r w:rsidRPr="00FA3856">
              <w:rPr>
                <w:szCs w:val="20"/>
              </w:rPr>
              <w:t>65</w:t>
            </w:r>
          </w:p>
        </w:tc>
        <w:tc>
          <w:tcPr>
            <w:tcW w:w="5920" w:type="dxa"/>
            <w:shd w:val="clear" w:color="auto" w:fill="auto"/>
            <w:noWrap/>
            <w:vAlign w:val="bottom"/>
            <w:hideMark/>
          </w:tcPr>
          <w:p w:rsidR="00004230" w:rsidRPr="00FA3856" w:rsidRDefault="00004230" w:rsidP="00AE58A0">
            <w:pPr>
              <w:rPr>
                <w:szCs w:val="20"/>
              </w:rPr>
            </w:pPr>
            <w:r w:rsidRPr="00FA3856">
              <w:rPr>
                <w:szCs w:val="20"/>
              </w:rPr>
              <w:t>SUBCONTA AVJ SUBSCRIÇÃO DE CAPITAL</w:t>
            </w:r>
          </w:p>
        </w:tc>
        <w:tc>
          <w:tcPr>
            <w:tcW w:w="5139" w:type="dxa"/>
            <w:shd w:val="clear" w:color="auto" w:fill="auto"/>
            <w:noWrap/>
            <w:vAlign w:val="bottom"/>
            <w:hideMark/>
          </w:tcPr>
          <w:p w:rsidR="00004230" w:rsidRPr="00FA3856" w:rsidRDefault="00004230" w:rsidP="00AE58A0">
            <w:pPr>
              <w:rPr>
                <w:szCs w:val="20"/>
              </w:rPr>
            </w:pPr>
            <w:r w:rsidRPr="00FA3856">
              <w:rPr>
                <w:szCs w:val="20"/>
              </w:rPr>
              <w:t xml:space="preserve">Arts. 17 e 18, Lei </w:t>
            </w:r>
            <w:r w:rsidR="00AE58A0" w:rsidRPr="00FA3856">
              <w:rPr>
                <w:szCs w:val="20"/>
              </w:rPr>
              <w:t>n</w:t>
            </w:r>
            <w:r w:rsidR="00AE58A0" w:rsidRPr="00FA3856">
              <w:rPr>
                <w:szCs w:val="20"/>
                <w:u w:val="single"/>
                <w:vertAlign w:val="superscript"/>
              </w:rPr>
              <w:t>o</w:t>
            </w:r>
            <w:r w:rsidR="00AE58A0" w:rsidRPr="00FA3856">
              <w:rPr>
                <w:szCs w:val="20"/>
              </w:rPr>
              <w:t xml:space="preserve"> </w:t>
            </w:r>
            <w:r w:rsidRPr="00FA3856">
              <w:rPr>
                <w:szCs w:val="20"/>
              </w:rPr>
              <w:t>12.973/14</w:t>
            </w:r>
          </w:p>
        </w:tc>
        <w:tc>
          <w:tcPr>
            <w:tcW w:w="4502" w:type="dxa"/>
            <w:shd w:val="clear" w:color="auto" w:fill="auto"/>
            <w:noWrap/>
            <w:vAlign w:val="bottom"/>
            <w:hideMark/>
          </w:tcPr>
          <w:p w:rsidR="00004230" w:rsidRPr="00FA3856" w:rsidRDefault="00004230" w:rsidP="00AE58A0">
            <w:pPr>
              <w:rPr>
                <w:szCs w:val="20"/>
              </w:rPr>
            </w:pPr>
            <w:r w:rsidRPr="00FA3856">
              <w:rPr>
                <w:szCs w:val="20"/>
              </w:rPr>
              <w:t>PARTICIPAÇÃO SOCIETARIA</w:t>
            </w:r>
          </w:p>
        </w:tc>
      </w:tr>
      <w:tr w:rsidR="00004230" w:rsidRPr="00FA3856" w:rsidTr="00AE58A0">
        <w:trPr>
          <w:trHeight w:val="274"/>
        </w:trPr>
        <w:tc>
          <w:tcPr>
            <w:tcW w:w="774" w:type="dxa"/>
            <w:shd w:val="clear" w:color="auto" w:fill="auto"/>
            <w:noWrap/>
            <w:vAlign w:val="bottom"/>
            <w:hideMark/>
          </w:tcPr>
          <w:p w:rsidR="00004230" w:rsidRPr="00FA3856" w:rsidRDefault="00004230" w:rsidP="00AE58A0">
            <w:pPr>
              <w:jc w:val="center"/>
              <w:rPr>
                <w:szCs w:val="20"/>
              </w:rPr>
            </w:pPr>
            <w:r w:rsidRPr="00FA3856">
              <w:rPr>
                <w:szCs w:val="20"/>
              </w:rPr>
              <w:t>70</w:t>
            </w:r>
          </w:p>
        </w:tc>
        <w:tc>
          <w:tcPr>
            <w:tcW w:w="5920" w:type="dxa"/>
            <w:shd w:val="clear" w:color="auto" w:fill="auto"/>
            <w:noWrap/>
            <w:vAlign w:val="bottom"/>
            <w:hideMark/>
          </w:tcPr>
          <w:p w:rsidR="00004230" w:rsidRPr="00FA3856" w:rsidRDefault="00004230" w:rsidP="00AE58A0">
            <w:pPr>
              <w:rPr>
                <w:szCs w:val="20"/>
              </w:rPr>
            </w:pPr>
            <w:r w:rsidRPr="00FA3856">
              <w:rPr>
                <w:szCs w:val="20"/>
              </w:rPr>
              <w:t>SUBCONTA AVJ - VINCULADA ATIVO/PASSIVO</w:t>
            </w:r>
          </w:p>
        </w:tc>
        <w:tc>
          <w:tcPr>
            <w:tcW w:w="5139" w:type="dxa"/>
            <w:shd w:val="clear" w:color="auto" w:fill="auto"/>
            <w:noWrap/>
            <w:vAlign w:val="bottom"/>
            <w:hideMark/>
          </w:tcPr>
          <w:p w:rsidR="00004230" w:rsidRPr="00FA3856" w:rsidRDefault="00AE58A0" w:rsidP="00AE58A0">
            <w:pPr>
              <w:rPr>
                <w:szCs w:val="20"/>
              </w:rPr>
            </w:pPr>
            <w:r w:rsidRPr="00FA3856">
              <w:rPr>
                <w:szCs w:val="20"/>
              </w:rPr>
              <w:t xml:space="preserve">Arts 13 e 14, </w:t>
            </w:r>
            <w:r w:rsidR="00004230" w:rsidRPr="00FA3856">
              <w:rPr>
                <w:szCs w:val="20"/>
              </w:rPr>
              <w:t xml:space="preserve">Lei </w:t>
            </w:r>
            <w:r w:rsidRPr="00FA3856">
              <w:rPr>
                <w:szCs w:val="20"/>
              </w:rPr>
              <w:t>n</w:t>
            </w:r>
            <w:r w:rsidRPr="00FA3856">
              <w:rPr>
                <w:szCs w:val="20"/>
                <w:u w:val="single"/>
                <w:vertAlign w:val="superscript"/>
              </w:rPr>
              <w:t>o</w:t>
            </w:r>
            <w:r w:rsidRPr="00FA3856">
              <w:rPr>
                <w:szCs w:val="20"/>
              </w:rPr>
              <w:t xml:space="preserve"> </w:t>
            </w:r>
            <w:r w:rsidR="00004230" w:rsidRPr="00FA3856">
              <w:rPr>
                <w:szCs w:val="20"/>
              </w:rPr>
              <w:t>12.973/14</w:t>
            </w:r>
          </w:p>
        </w:tc>
        <w:tc>
          <w:tcPr>
            <w:tcW w:w="4502" w:type="dxa"/>
            <w:shd w:val="clear" w:color="auto" w:fill="auto"/>
            <w:noWrap/>
            <w:vAlign w:val="bottom"/>
            <w:hideMark/>
          </w:tcPr>
          <w:p w:rsidR="00004230" w:rsidRPr="00FA3856" w:rsidRDefault="00004230" w:rsidP="00AE58A0">
            <w:pPr>
              <w:rPr>
                <w:szCs w:val="20"/>
              </w:rPr>
            </w:pPr>
            <w:r w:rsidRPr="00FA3856">
              <w:rPr>
                <w:szCs w:val="20"/>
              </w:rPr>
              <w:t>ATIVO OU PASSIVO</w:t>
            </w:r>
          </w:p>
        </w:tc>
      </w:tr>
      <w:tr w:rsidR="00004230" w:rsidRPr="00FA3856" w:rsidTr="00AE58A0">
        <w:trPr>
          <w:trHeight w:val="274"/>
        </w:trPr>
        <w:tc>
          <w:tcPr>
            <w:tcW w:w="774" w:type="dxa"/>
            <w:shd w:val="clear" w:color="auto" w:fill="auto"/>
            <w:noWrap/>
            <w:vAlign w:val="bottom"/>
            <w:hideMark/>
          </w:tcPr>
          <w:p w:rsidR="00004230" w:rsidRPr="00FA3856" w:rsidRDefault="00004230" w:rsidP="00AE58A0">
            <w:pPr>
              <w:jc w:val="center"/>
              <w:rPr>
                <w:szCs w:val="20"/>
              </w:rPr>
            </w:pPr>
            <w:r w:rsidRPr="00FA3856">
              <w:rPr>
                <w:szCs w:val="20"/>
              </w:rPr>
              <w:t>71</w:t>
            </w:r>
          </w:p>
        </w:tc>
        <w:tc>
          <w:tcPr>
            <w:tcW w:w="5920" w:type="dxa"/>
            <w:shd w:val="clear" w:color="auto" w:fill="auto"/>
            <w:noWrap/>
            <w:vAlign w:val="bottom"/>
            <w:hideMark/>
          </w:tcPr>
          <w:p w:rsidR="00004230" w:rsidRPr="00FA3856" w:rsidRDefault="00004230" w:rsidP="00AE58A0">
            <w:pPr>
              <w:rPr>
                <w:szCs w:val="20"/>
              </w:rPr>
            </w:pPr>
            <w:r w:rsidRPr="00FA3856">
              <w:rPr>
                <w:szCs w:val="20"/>
              </w:rPr>
              <w:t>SUBCONTA AVJ - DEPRECIAÇÃO ACUMULADA</w:t>
            </w:r>
          </w:p>
        </w:tc>
        <w:tc>
          <w:tcPr>
            <w:tcW w:w="5139" w:type="dxa"/>
            <w:shd w:val="clear" w:color="auto" w:fill="auto"/>
            <w:noWrap/>
            <w:vAlign w:val="bottom"/>
            <w:hideMark/>
          </w:tcPr>
          <w:p w:rsidR="00004230" w:rsidRPr="00FA3856" w:rsidRDefault="00BE297B" w:rsidP="00AE58A0">
            <w:pPr>
              <w:rPr>
                <w:szCs w:val="20"/>
              </w:rPr>
            </w:pPr>
            <w:r w:rsidRPr="00FA3856">
              <w:rPr>
                <w:szCs w:val="20"/>
              </w:rPr>
              <w:t>Arts 13, §1</w:t>
            </w:r>
            <w:r w:rsidRPr="00FA3856">
              <w:rPr>
                <w:szCs w:val="20"/>
                <w:u w:val="single"/>
                <w:vertAlign w:val="superscript"/>
              </w:rPr>
              <w:t>o</w:t>
            </w:r>
            <w:r w:rsidR="00AE58A0" w:rsidRPr="00FA3856">
              <w:rPr>
                <w:szCs w:val="20"/>
              </w:rPr>
              <w:t>, e 14, Lei n</w:t>
            </w:r>
            <w:r w:rsidR="00AE58A0" w:rsidRPr="00FA3856">
              <w:rPr>
                <w:szCs w:val="20"/>
                <w:u w:val="single"/>
                <w:vertAlign w:val="superscript"/>
              </w:rPr>
              <w:t>o</w:t>
            </w:r>
            <w:r w:rsidR="00AE58A0" w:rsidRPr="00FA3856">
              <w:rPr>
                <w:szCs w:val="20"/>
              </w:rPr>
              <w:t xml:space="preserve"> 12.973/14</w:t>
            </w:r>
          </w:p>
        </w:tc>
        <w:tc>
          <w:tcPr>
            <w:tcW w:w="4502" w:type="dxa"/>
            <w:shd w:val="clear" w:color="auto" w:fill="auto"/>
            <w:noWrap/>
            <w:vAlign w:val="bottom"/>
            <w:hideMark/>
          </w:tcPr>
          <w:p w:rsidR="00004230" w:rsidRPr="00FA3856" w:rsidRDefault="00004230" w:rsidP="00AE58A0">
            <w:pPr>
              <w:rPr>
                <w:szCs w:val="20"/>
              </w:rPr>
            </w:pPr>
            <w:r w:rsidRPr="00FA3856">
              <w:rPr>
                <w:szCs w:val="20"/>
              </w:rPr>
              <w:t>DEPRECIAÇÃO ACUMULADA</w:t>
            </w:r>
          </w:p>
        </w:tc>
      </w:tr>
      <w:tr w:rsidR="00004230" w:rsidRPr="00FA3856" w:rsidTr="00AE58A0">
        <w:trPr>
          <w:trHeight w:val="274"/>
        </w:trPr>
        <w:tc>
          <w:tcPr>
            <w:tcW w:w="774" w:type="dxa"/>
            <w:shd w:val="clear" w:color="auto" w:fill="auto"/>
            <w:noWrap/>
            <w:vAlign w:val="bottom"/>
            <w:hideMark/>
          </w:tcPr>
          <w:p w:rsidR="00004230" w:rsidRPr="00FA3856" w:rsidRDefault="00004230" w:rsidP="00AE58A0">
            <w:pPr>
              <w:jc w:val="center"/>
              <w:rPr>
                <w:szCs w:val="20"/>
              </w:rPr>
            </w:pPr>
            <w:r w:rsidRPr="00FA3856">
              <w:rPr>
                <w:szCs w:val="20"/>
              </w:rPr>
              <w:t>72</w:t>
            </w:r>
          </w:p>
        </w:tc>
        <w:tc>
          <w:tcPr>
            <w:tcW w:w="5920" w:type="dxa"/>
            <w:shd w:val="clear" w:color="auto" w:fill="auto"/>
            <w:noWrap/>
            <w:vAlign w:val="bottom"/>
            <w:hideMark/>
          </w:tcPr>
          <w:p w:rsidR="00004230" w:rsidRPr="00FA3856" w:rsidRDefault="00004230" w:rsidP="00AE58A0">
            <w:pPr>
              <w:rPr>
                <w:szCs w:val="20"/>
              </w:rPr>
            </w:pPr>
            <w:r w:rsidRPr="00FA3856">
              <w:rPr>
                <w:szCs w:val="20"/>
              </w:rPr>
              <w:t>SUBCONTA AVJ - AMORTIZAÇÃO ACUMULADA</w:t>
            </w:r>
          </w:p>
        </w:tc>
        <w:tc>
          <w:tcPr>
            <w:tcW w:w="5139" w:type="dxa"/>
            <w:shd w:val="clear" w:color="auto" w:fill="auto"/>
            <w:noWrap/>
            <w:vAlign w:val="bottom"/>
            <w:hideMark/>
          </w:tcPr>
          <w:p w:rsidR="00004230" w:rsidRPr="00FA3856" w:rsidRDefault="00BE297B" w:rsidP="00AE58A0">
            <w:pPr>
              <w:rPr>
                <w:szCs w:val="20"/>
              </w:rPr>
            </w:pPr>
            <w:r w:rsidRPr="00FA3856">
              <w:rPr>
                <w:szCs w:val="20"/>
              </w:rPr>
              <w:t>Arts 13, §1</w:t>
            </w:r>
            <w:r w:rsidRPr="00FA3856">
              <w:rPr>
                <w:szCs w:val="20"/>
                <w:u w:val="single"/>
                <w:vertAlign w:val="superscript"/>
              </w:rPr>
              <w:t>o</w:t>
            </w:r>
            <w:r w:rsidR="00AE58A0" w:rsidRPr="00FA3856">
              <w:rPr>
                <w:szCs w:val="20"/>
              </w:rPr>
              <w:t>, e 14, Lei n</w:t>
            </w:r>
            <w:r w:rsidR="00AE58A0" w:rsidRPr="00FA3856">
              <w:rPr>
                <w:szCs w:val="20"/>
                <w:u w:val="single"/>
                <w:vertAlign w:val="superscript"/>
              </w:rPr>
              <w:t>o</w:t>
            </w:r>
            <w:r w:rsidR="00AE58A0" w:rsidRPr="00FA3856">
              <w:rPr>
                <w:szCs w:val="20"/>
              </w:rPr>
              <w:t xml:space="preserve"> 12.973/14</w:t>
            </w:r>
          </w:p>
        </w:tc>
        <w:tc>
          <w:tcPr>
            <w:tcW w:w="4502" w:type="dxa"/>
            <w:shd w:val="clear" w:color="auto" w:fill="auto"/>
            <w:noWrap/>
            <w:vAlign w:val="bottom"/>
            <w:hideMark/>
          </w:tcPr>
          <w:p w:rsidR="00004230" w:rsidRPr="00FA3856" w:rsidRDefault="00004230" w:rsidP="00AE58A0">
            <w:pPr>
              <w:rPr>
                <w:szCs w:val="20"/>
              </w:rPr>
            </w:pPr>
            <w:r w:rsidRPr="00FA3856">
              <w:rPr>
                <w:szCs w:val="20"/>
              </w:rPr>
              <w:t>AMORTIZAÇÃO ACUMULADA</w:t>
            </w:r>
          </w:p>
        </w:tc>
      </w:tr>
      <w:tr w:rsidR="00004230" w:rsidRPr="00FA3856" w:rsidTr="00AE58A0">
        <w:trPr>
          <w:trHeight w:val="274"/>
        </w:trPr>
        <w:tc>
          <w:tcPr>
            <w:tcW w:w="774" w:type="dxa"/>
            <w:shd w:val="clear" w:color="auto" w:fill="auto"/>
            <w:noWrap/>
            <w:vAlign w:val="bottom"/>
            <w:hideMark/>
          </w:tcPr>
          <w:p w:rsidR="00004230" w:rsidRPr="00FA3856" w:rsidRDefault="00004230" w:rsidP="00AE58A0">
            <w:pPr>
              <w:jc w:val="center"/>
              <w:rPr>
                <w:szCs w:val="20"/>
              </w:rPr>
            </w:pPr>
            <w:r w:rsidRPr="00FA3856">
              <w:rPr>
                <w:szCs w:val="20"/>
              </w:rPr>
              <w:t>73</w:t>
            </w:r>
          </w:p>
        </w:tc>
        <w:tc>
          <w:tcPr>
            <w:tcW w:w="5920" w:type="dxa"/>
            <w:shd w:val="clear" w:color="auto" w:fill="auto"/>
            <w:noWrap/>
            <w:vAlign w:val="bottom"/>
            <w:hideMark/>
          </w:tcPr>
          <w:p w:rsidR="00004230" w:rsidRPr="00FA3856" w:rsidRDefault="00004230" w:rsidP="00AE58A0">
            <w:pPr>
              <w:rPr>
                <w:szCs w:val="20"/>
              </w:rPr>
            </w:pPr>
            <w:r w:rsidRPr="00FA3856">
              <w:rPr>
                <w:szCs w:val="20"/>
              </w:rPr>
              <w:t>SUBCONTA AVJ - EXAUSTÃO ACUMULADA</w:t>
            </w:r>
          </w:p>
        </w:tc>
        <w:tc>
          <w:tcPr>
            <w:tcW w:w="5139" w:type="dxa"/>
            <w:shd w:val="clear" w:color="auto" w:fill="auto"/>
            <w:noWrap/>
            <w:vAlign w:val="bottom"/>
            <w:hideMark/>
          </w:tcPr>
          <w:p w:rsidR="00004230" w:rsidRPr="00FA3856" w:rsidRDefault="00004230" w:rsidP="00AE58A0">
            <w:pPr>
              <w:rPr>
                <w:szCs w:val="20"/>
              </w:rPr>
            </w:pPr>
            <w:r w:rsidRPr="00FA3856">
              <w:rPr>
                <w:szCs w:val="20"/>
              </w:rPr>
              <w:t>Art</w:t>
            </w:r>
            <w:r w:rsidR="00BE297B" w:rsidRPr="00FA3856">
              <w:rPr>
                <w:szCs w:val="20"/>
              </w:rPr>
              <w:t>s 13, §1</w:t>
            </w:r>
            <w:r w:rsidR="00BE297B" w:rsidRPr="00FA3856">
              <w:rPr>
                <w:szCs w:val="20"/>
                <w:u w:val="single"/>
                <w:vertAlign w:val="superscript"/>
              </w:rPr>
              <w:t>o</w:t>
            </w:r>
            <w:r w:rsidR="00AE58A0" w:rsidRPr="00FA3856">
              <w:rPr>
                <w:szCs w:val="20"/>
              </w:rPr>
              <w:t>, e 14, Lei n</w:t>
            </w:r>
            <w:r w:rsidR="00AE58A0" w:rsidRPr="00FA3856">
              <w:rPr>
                <w:szCs w:val="20"/>
                <w:u w:val="single"/>
                <w:vertAlign w:val="superscript"/>
              </w:rPr>
              <w:t>o</w:t>
            </w:r>
            <w:r w:rsidR="00AE58A0" w:rsidRPr="00FA3856">
              <w:rPr>
                <w:szCs w:val="20"/>
              </w:rPr>
              <w:t xml:space="preserve"> 12.973/14</w:t>
            </w:r>
          </w:p>
        </w:tc>
        <w:tc>
          <w:tcPr>
            <w:tcW w:w="4502" w:type="dxa"/>
            <w:shd w:val="clear" w:color="auto" w:fill="auto"/>
            <w:noWrap/>
            <w:vAlign w:val="bottom"/>
            <w:hideMark/>
          </w:tcPr>
          <w:p w:rsidR="00004230" w:rsidRPr="00FA3856" w:rsidRDefault="00004230" w:rsidP="00AE58A0">
            <w:pPr>
              <w:rPr>
                <w:szCs w:val="20"/>
              </w:rPr>
            </w:pPr>
            <w:r w:rsidRPr="00FA3856">
              <w:rPr>
                <w:szCs w:val="20"/>
              </w:rPr>
              <w:t>EXAUSTÃO ACUMULADA</w:t>
            </w:r>
          </w:p>
        </w:tc>
      </w:tr>
      <w:tr w:rsidR="00004230" w:rsidRPr="00FA3856" w:rsidTr="00AE58A0">
        <w:trPr>
          <w:trHeight w:val="274"/>
        </w:trPr>
        <w:tc>
          <w:tcPr>
            <w:tcW w:w="774" w:type="dxa"/>
            <w:shd w:val="clear" w:color="auto" w:fill="auto"/>
            <w:noWrap/>
            <w:vAlign w:val="bottom"/>
            <w:hideMark/>
          </w:tcPr>
          <w:p w:rsidR="00004230" w:rsidRPr="00FA3856" w:rsidRDefault="00004230" w:rsidP="00AE58A0">
            <w:pPr>
              <w:jc w:val="center"/>
              <w:rPr>
                <w:szCs w:val="20"/>
              </w:rPr>
            </w:pPr>
            <w:r w:rsidRPr="00FA3856">
              <w:rPr>
                <w:szCs w:val="20"/>
              </w:rPr>
              <w:t>75</w:t>
            </w:r>
          </w:p>
        </w:tc>
        <w:tc>
          <w:tcPr>
            <w:tcW w:w="5920" w:type="dxa"/>
            <w:shd w:val="clear" w:color="auto" w:fill="auto"/>
            <w:noWrap/>
            <w:vAlign w:val="bottom"/>
            <w:hideMark/>
          </w:tcPr>
          <w:p w:rsidR="00004230" w:rsidRPr="00FA3856" w:rsidRDefault="00004230" w:rsidP="00AE58A0">
            <w:pPr>
              <w:rPr>
                <w:szCs w:val="20"/>
              </w:rPr>
            </w:pPr>
            <w:r w:rsidRPr="00FA3856">
              <w:rPr>
                <w:szCs w:val="20"/>
              </w:rPr>
              <w:t>SUBCONTA AVP - VINCULADA AO ATIVO</w:t>
            </w:r>
          </w:p>
        </w:tc>
        <w:tc>
          <w:tcPr>
            <w:tcW w:w="5139" w:type="dxa"/>
            <w:shd w:val="clear" w:color="auto" w:fill="auto"/>
            <w:noWrap/>
            <w:vAlign w:val="bottom"/>
            <w:hideMark/>
          </w:tcPr>
          <w:p w:rsidR="00004230" w:rsidRPr="00FA3856" w:rsidRDefault="00BE297B" w:rsidP="00AE58A0">
            <w:pPr>
              <w:rPr>
                <w:szCs w:val="20"/>
              </w:rPr>
            </w:pPr>
            <w:r w:rsidRPr="00FA3856">
              <w:rPr>
                <w:szCs w:val="20"/>
              </w:rPr>
              <w:t>Art. 5</w:t>
            </w:r>
            <w:r w:rsidRPr="00FA3856">
              <w:rPr>
                <w:szCs w:val="20"/>
                <w:u w:val="single"/>
                <w:vertAlign w:val="superscript"/>
              </w:rPr>
              <w:t>o</w:t>
            </w:r>
            <w:r w:rsidRPr="00FA3856">
              <w:rPr>
                <w:szCs w:val="20"/>
              </w:rPr>
              <w:t>, § 1</w:t>
            </w:r>
            <w:r w:rsidRPr="00FA3856">
              <w:rPr>
                <w:szCs w:val="20"/>
                <w:u w:val="single"/>
                <w:vertAlign w:val="superscript"/>
              </w:rPr>
              <w:t>o</w:t>
            </w:r>
            <w:r w:rsidR="00AE58A0" w:rsidRPr="00FA3856">
              <w:rPr>
                <w:szCs w:val="20"/>
              </w:rPr>
              <w:t>, Lei n</w:t>
            </w:r>
            <w:r w:rsidR="00AE58A0" w:rsidRPr="00FA3856">
              <w:rPr>
                <w:szCs w:val="20"/>
                <w:u w:val="single"/>
                <w:vertAlign w:val="superscript"/>
              </w:rPr>
              <w:t>o</w:t>
            </w:r>
            <w:r w:rsidR="00AE58A0" w:rsidRPr="00FA3856">
              <w:rPr>
                <w:szCs w:val="20"/>
              </w:rPr>
              <w:t xml:space="preserve"> 12.973/14</w:t>
            </w:r>
          </w:p>
        </w:tc>
        <w:tc>
          <w:tcPr>
            <w:tcW w:w="4502" w:type="dxa"/>
            <w:shd w:val="clear" w:color="auto" w:fill="auto"/>
            <w:noWrap/>
            <w:vAlign w:val="bottom"/>
            <w:hideMark/>
          </w:tcPr>
          <w:p w:rsidR="00004230" w:rsidRPr="00FA3856" w:rsidRDefault="00004230" w:rsidP="00AE58A0">
            <w:pPr>
              <w:rPr>
                <w:szCs w:val="20"/>
              </w:rPr>
            </w:pPr>
            <w:r w:rsidRPr="00FA3856">
              <w:rPr>
                <w:szCs w:val="20"/>
              </w:rPr>
              <w:t>ATIVO</w:t>
            </w:r>
          </w:p>
        </w:tc>
      </w:tr>
      <w:tr w:rsidR="00004230" w:rsidRPr="00FA3856" w:rsidTr="00AE58A0">
        <w:trPr>
          <w:trHeight w:val="274"/>
        </w:trPr>
        <w:tc>
          <w:tcPr>
            <w:tcW w:w="774" w:type="dxa"/>
            <w:shd w:val="clear" w:color="auto" w:fill="auto"/>
            <w:noWrap/>
            <w:vAlign w:val="bottom"/>
            <w:hideMark/>
          </w:tcPr>
          <w:p w:rsidR="00004230" w:rsidRPr="00FA3856" w:rsidRDefault="00004230" w:rsidP="00AE58A0">
            <w:pPr>
              <w:jc w:val="center"/>
              <w:rPr>
                <w:szCs w:val="20"/>
              </w:rPr>
            </w:pPr>
            <w:r w:rsidRPr="00FA3856">
              <w:rPr>
                <w:szCs w:val="20"/>
              </w:rPr>
              <w:t>76</w:t>
            </w:r>
          </w:p>
        </w:tc>
        <w:tc>
          <w:tcPr>
            <w:tcW w:w="5920" w:type="dxa"/>
            <w:shd w:val="clear" w:color="auto" w:fill="auto"/>
            <w:noWrap/>
            <w:vAlign w:val="bottom"/>
            <w:hideMark/>
          </w:tcPr>
          <w:p w:rsidR="00004230" w:rsidRPr="00FA3856" w:rsidRDefault="00004230" w:rsidP="00AE58A0">
            <w:pPr>
              <w:rPr>
                <w:szCs w:val="20"/>
              </w:rPr>
            </w:pPr>
            <w:r w:rsidRPr="00FA3856">
              <w:rPr>
                <w:szCs w:val="20"/>
              </w:rPr>
              <w:t>SUBCONTA AVP - DEPRECIAÇÃO ACUMULADA</w:t>
            </w:r>
          </w:p>
        </w:tc>
        <w:tc>
          <w:tcPr>
            <w:tcW w:w="5139" w:type="dxa"/>
            <w:shd w:val="clear" w:color="auto" w:fill="auto"/>
            <w:noWrap/>
            <w:vAlign w:val="bottom"/>
            <w:hideMark/>
          </w:tcPr>
          <w:p w:rsidR="00004230" w:rsidRPr="00FA3856" w:rsidRDefault="00BE297B" w:rsidP="00AE58A0">
            <w:pPr>
              <w:rPr>
                <w:szCs w:val="20"/>
              </w:rPr>
            </w:pPr>
            <w:r w:rsidRPr="00FA3856">
              <w:rPr>
                <w:szCs w:val="20"/>
              </w:rPr>
              <w:t>Art. 5</w:t>
            </w:r>
            <w:r w:rsidRPr="00FA3856">
              <w:rPr>
                <w:szCs w:val="20"/>
                <w:u w:val="single"/>
                <w:vertAlign w:val="superscript"/>
              </w:rPr>
              <w:t>o</w:t>
            </w:r>
            <w:r w:rsidR="00AE58A0" w:rsidRPr="00FA3856">
              <w:rPr>
                <w:szCs w:val="20"/>
              </w:rPr>
              <w:t>, Inc. III, Lei n</w:t>
            </w:r>
            <w:r w:rsidR="00AE58A0" w:rsidRPr="00FA3856">
              <w:rPr>
                <w:szCs w:val="20"/>
                <w:u w:val="single"/>
                <w:vertAlign w:val="superscript"/>
              </w:rPr>
              <w:t>o</w:t>
            </w:r>
            <w:r w:rsidR="00AE58A0" w:rsidRPr="00FA3856">
              <w:rPr>
                <w:szCs w:val="20"/>
              </w:rPr>
              <w:t xml:space="preserve"> 12.973/14</w:t>
            </w:r>
          </w:p>
        </w:tc>
        <w:tc>
          <w:tcPr>
            <w:tcW w:w="4502" w:type="dxa"/>
            <w:shd w:val="clear" w:color="auto" w:fill="auto"/>
            <w:noWrap/>
            <w:vAlign w:val="bottom"/>
            <w:hideMark/>
          </w:tcPr>
          <w:p w:rsidR="00004230" w:rsidRPr="00FA3856" w:rsidRDefault="00004230" w:rsidP="00AE58A0">
            <w:pPr>
              <w:rPr>
                <w:szCs w:val="20"/>
              </w:rPr>
            </w:pPr>
            <w:r w:rsidRPr="00FA3856">
              <w:rPr>
                <w:szCs w:val="20"/>
              </w:rPr>
              <w:t>DEPRECIAÇÃO ACUMULADA</w:t>
            </w:r>
          </w:p>
        </w:tc>
      </w:tr>
      <w:tr w:rsidR="00004230" w:rsidRPr="00FA3856" w:rsidTr="00AE58A0">
        <w:trPr>
          <w:trHeight w:val="274"/>
        </w:trPr>
        <w:tc>
          <w:tcPr>
            <w:tcW w:w="774" w:type="dxa"/>
            <w:shd w:val="clear" w:color="auto" w:fill="auto"/>
            <w:noWrap/>
            <w:vAlign w:val="bottom"/>
            <w:hideMark/>
          </w:tcPr>
          <w:p w:rsidR="00004230" w:rsidRPr="00FA3856" w:rsidRDefault="00004230" w:rsidP="00AE58A0">
            <w:pPr>
              <w:jc w:val="center"/>
              <w:rPr>
                <w:szCs w:val="20"/>
              </w:rPr>
            </w:pPr>
            <w:r w:rsidRPr="00FA3856">
              <w:rPr>
                <w:szCs w:val="20"/>
              </w:rPr>
              <w:t>77</w:t>
            </w:r>
          </w:p>
        </w:tc>
        <w:tc>
          <w:tcPr>
            <w:tcW w:w="5920" w:type="dxa"/>
            <w:shd w:val="clear" w:color="auto" w:fill="auto"/>
            <w:noWrap/>
            <w:vAlign w:val="bottom"/>
            <w:hideMark/>
          </w:tcPr>
          <w:p w:rsidR="00004230" w:rsidRPr="00FA3856" w:rsidRDefault="00004230" w:rsidP="00AE58A0">
            <w:pPr>
              <w:rPr>
                <w:szCs w:val="20"/>
              </w:rPr>
            </w:pPr>
            <w:r w:rsidRPr="00FA3856">
              <w:rPr>
                <w:szCs w:val="20"/>
              </w:rPr>
              <w:t>SUBCONTA AVP - AMORTIZAÇÃO ACUMULADA</w:t>
            </w:r>
          </w:p>
        </w:tc>
        <w:tc>
          <w:tcPr>
            <w:tcW w:w="5139" w:type="dxa"/>
            <w:shd w:val="clear" w:color="auto" w:fill="auto"/>
            <w:noWrap/>
            <w:vAlign w:val="bottom"/>
            <w:hideMark/>
          </w:tcPr>
          <w:p w:rsidR="00004230" w:rsidRPr="00FA3856" w:rsidRDefault="00BE297B" w:rsidP="00AE58A0">
            <w:pPr>
              <w:rPr>
                <w:szCs w:val="20"/>
              </w:rPr>
            </w:pPr>
            <w:r w:rsidRPr="00FA3856">
              <w:rPr>
                <w:szCs w:val="20"/>
              </w:rPr>
              <w:t>Art. 5</w:t>
            </w:r>
            <w:r w:rsidRPr="00FA3856">
              <w:rPr>
                <w:szCs w:val="20"/>
                <w:u w:val="single"/>
                <w:vertAlign w:val="superscript"/>
              </w:rPr>
              <w:t>o</w:t>
            </w:r>
            <w:r w:rsidR="00AE58A0" w:rsidRPr="00FA3856">
              <w:rPr>
                <w:szCs w:val="20"/>
              </w:rPr>
              <w:t>, Inc. III, Lei n</w:t>
            </w:r>
            <w:r w:rsidR="00AE58A0" w:rsidRPr="00FA3856">
              <w:rPr>
                <w:szCs w:val="20"/>
                <w:u w:val="single"/>
                <w:vertAlign w:val="superscript"/>
              </w:rPr>
              <w:t>o</w:t>
            </w:r>
            <w:r w:rsidR="00AE58A0" w:rsidRPr="00FA3856">
              <w:rPr>
                <w:szCs w:val="20"/>
              </w:rPr>
              <w:t xml:space="preserve"> 12.973/14</w:t>
            </w:r>
          </w:p>
        </w:tc>
        <w:tc>
          <w:tcPr>
            <w:tcW w:w="4502" w:type="dxa"/>
            <w:shd w:val="clear" w:color="auto" w:fill="auto"/>
            <w:noWrap/>
            <w:vAlign w:val="bottom"/>
            <w:hideMark/>
          </w:tcPr>
          <w:p w:rsidR="00004230" w:rsidRPr="00FA3856" w:rsidRDefault="00004230" w:rsidP="00AE58A0">
            <w:pPr>
              <w:rPr>
                <w:szCs w:val="20"/>
              </w:rPr>
            </w:pPr>
            <w:r w:rsidRPr="00FA3856">
              <w:rPr>
                <w:szCs w:val="20"/>
              </w:rPr>
              <w:t>AMORTIZAÇÃO ACUMULADA</w:t>
            </w:r>
          </w:p>
        </w:tc>
      </w:tr>
      <w:tr w:rsidR="00004230" w:rsidRPr="00FA3856" w:rsidTr="00AE58A0">
        <w:trPr>
          <w:trHeight w:val="274"/>
        </w:trPr>
        <w:tc>
          <w:tcPr>
            <w:tcW w:w="774" w:type="dxa"/>
            <w:shd w:val="clear" w:color="auto" w:fill="auto"/>
            <w:noWrap/>
            <w:vAlign w:val="bottom"/>
            <w:hideMark/>
          </w:tcPr>
          <w:p w:rsidR="00004230" w:rsidRPr="00FA3856" w:rsidRDefault="00004230" w:rsidP="00AE58A0">
            <w:pPr>
              <w:jc w:val="center"/>
              <w:rPr>
                <w:szCs w:val="20"/>
              </w:rPr>
            </w:pPr>
            <w:r w:rsidRPr="00FA3856">
              <w:rPr>
                <w:szCs w:val="20"/>
              </w:rPr>
              <w:t>78</w:t>
            </w:r>
          </w:p>
        </w:tc>
        <w:tc>
          <w:tcPr>
            <w:tcW w:w="5920" w:type="dxa"/>
            <w:shd w:val="clear" w:color="auto" w:fill="auto"/>
            <w:noWrap/>
            <w:vAlign w:val="bottom"/>
            <w:hideMark/>
          </w:tcPr>
          <w:p w:rsidR="00004230" w:rsidRPr="00FA3856" w:rsidRDefault="00004230" w:rsidP="00AE58A0">
            <w:pPr>
              <w:rPr>
                <w:szCs w:val="20"/>
              </w:rPr>
            </w:pPr>
            <w:r w:rsidRPr="00FA3856">
              <w:rPr>
                <w:szCs w:val="20"/>
              </w:rPr>
              <w:t>SUBCONTA AVP - EXAUSTÃO ACUMULADA</w:t>
            </w:r>
          </w:p>
        </w:tc>
        <w:tc>
          <w:tcPr>
            <w:tcW w:w="5139" w:type="dxa"/>
            <w:shd w:val="clear" w:color="auto" w:fill="auto"/>
            <w:noWrap/>
            <w:vAlign w:val="bottom"/>
            <w:hideMark/>
          </w:tcPr>
          <w:p w:rsidR="00004230" w:rsidRPr="00FA3856" w:rsidRDefault="00BE297B" w:rsidP="00AE58A0">
            <w:pPr>
              <w:rPr>
                <w:szCs w:val="20"/>
              </w:rPr>
            </w:pPr>
            <w:r w:rsidRPr="00FA3856">
              <w:rPr>
                <w:szCs w:val="20"/>
              </w:rPr>
              <w:t>Art. 5</w:t>
            </w:r>
            <w:r w:rsidRPr="00FA3856">
              <w:rPr>
                <w:szCs w:val="20"/>
                <w:u w:val="single"/>
                <w:vertAlign w:val="superscript"/>
              </w:rPr>
              <w:t>o</w:t>
            </w:r>
            <w:r w:rsidR="00AE58A0" w:rsidRPr="00FA3856">
              <w:rPr>
                <w:szCs w:val="20"/>
              </w:rPr>
              <w:t>, Inc. III, Lei n</w:t>
            </w:r>
            <w:r w:rsidR="00AE58A0" w:rsidRPr="00FA3856">
              <w:rPr>
                <w:szCs w:val="20"/>
                <w:u w:val="single"/>
                <w:vertAlign w:val="superscript"/>
              </w:rPr>
              <w:t>o</w:t>
            </w:r>
            <w:r w:rsidR="00AE58A0" w:rsidRPr="00FA3856">
              <w:rPr>
                <w:szCs w:val="20"/>
              </w:rPr>
              <w:t xml:space="preserve"> 12.973/14</w:t>
            </w:r>
          </w:p>
        </w:tc>
        <w:tc>
          <w:tcPr>
            <w:tcW w:w="4502" w:type="dxa"/>
            <w:shd w:val="clear" w:color="auto" w:fill="auto"/>
            <w:noWrap/>
            <w:vAlign w:val="bottom"/>
            <w:hideMark/>
          </w:tcPr>
          <w:p w:rsidR="00004230" w:rsidRPr="00FA3856" w:rsidRDefault="00004230" w:rsidP="00AE58A0">
            <w:pPr>
              <w:rPr>
                <w:szCs w:val="20"/>
              </w:rPr>
            </w:pPr>
            <w:r w:rsidRPr="00FA3856">
              <w:rPr>
                <w:szCs w:val="20"/>
              </w:rPr>
              <w:t>EXAUSTÃO ACUMULADA</w:t>
            </w:r>
          </w:p>
        </w:tc>
      </w:tr>
      <w:tr w:rsidR="00004230" w:rsidRPr="00FA3856" w:rsidTr="00AE58A0">
        <w:trPr>
          <w:trHeight w:val="274"/>
        </w:trPr>
        <w:tc>
          <w:tcPr>
            <w:tcW w:w="774" w:type="dxa"/>
            <w:shd w:val="clear" w:color="auto" w:fill="auto"/>
            <w:noWrap/>
            <w:vAlign w:val="bottom"/>
            <w:hideMark/>
          </w:tcPr>
          <w:p w:rsidR="00004230" w:rsidRPr="00FA3856" w:rsidRDefault="00004230" w:rsidP="00AE58A0">
            <w:pPr>
              <w:jc w:val="center"/>
              <w:rPr>
                <w:szCs w:val="20"/>
              </w:rPr>
            </w:pPr>
            <w:r w:rsidRPr="00FA3856">
              <w:rPr>
                <w:szCs w:val="20"/>
              </w:rPr>
              <w:t>80</w:t>
            </w:r>
          </w:p>
        </w:tc>
        <w:tc>
          <w:tcPr>
            <w:tcW w:w="5920" w:type="dxa"/>
            <w:shd w:val="clear" w:color="auto" w:fill="auto"/>
            <w:noWrap/>
            <w:vAlign w:val="bottom"/>
            <w:hideMark/>
          </w:tcPr>
          <w:p w:rsidR="00004230" w:rsidRPr="00FA3856" w:rsidRDefault="00004230" w:rsidP="00AE58A0">
            <w:pPr>
              <w:rPr>
                <w:szCs w:val="20"/>
              </w:rPr>
            </w:pPr>
            <w:r w:rsidRPr="00FA3856">
              <w:rPr>
                <w:szCs w:val="20"/>
              </w:rPr>
              <w:t xml:space="preserve">SUBCONTA MAIS VALIA ANTERIOR </w:t>
            </w:r>
            <w:r w:rsidR="00BE297B" w:rsidRPr="00FA3856">
              <w:rPr>
                <w:szCs w:val="20"/>
              </w:rPr>
              <w:t>–</w:t>
            </w:r>
            <w:r w:rsidRPr="00FA3856">
              <w:rPr>
                <w:szCs w:val="20"/>
              </w:rPr>
              <w:t xml:space="preserve"> ESTÁGIOS</w:t>
            </w:r>
          </w:p>
        </w:tc>
        <w:tc>
          <w:tcPr>
            <w:tcW w:w="5139" w:type="dxa"/>
            <w:shd w:val="clear" w:color="auto" w:fill="auto"/>
            <w:noWrap/>
            <w:vAlign w:val="bottom"/>
            <w:hideMark/>
          </w:tcPr>
          <w:p w:rsidR="00004230" w:rsidRPr="00FA3856" w:rsidRDefault="00BE297B" w:rsidP="00AE58A0">
            <w:pPr>
              <w:rPr>
                <w:szCs w:val="20"/>
              </w:rPr>
            </w:pPr>
            <w:r w:rsidRPr="00FA3856">
              <w:rPr>
                <w:szCs w:val="20"/>
              </w:rPr>
              <w:t>Art. 37, §3</w:t>
            </w:r>
            <w:r w:rsidRPr="00FA3856">
              <w:rPr>
                <w:szCs w:val="20"/>
                <w:u w:val="single"/>
                <w:vertAlign w:val="superscript"/>
              </w:rPr>
              <w:t>o</w:t>
            </w:r>
            <w:r w:rsidR="00AE58A0" w:rsidRPr="00FA3856">
              <w:rPr>
                <w:szCs w:val="20"/>
              </w:rPr>
              <w:t>, Inc. I, Lei n</w:t>
            </w:r>
            <w:r w:rsidR="00AE58A0" w:rsidRPr="00FA3856">
              <w:rPr>
                <w:szCs w:val="20"/>
                <w:u w:val="single"/>
                <w:vertAlign w:val="superscript"/>
              </w:rPr>
              <w:t>o</w:t>
            </w:r>
            <w:r w:rsidR="00AE58A0" w:rsidRPr="00FA3856">
              <w:rPr>
                <w:szCs w:val="20"/>
              </w:rPr>
              <w:t xml:space="preserve"> 12.973/14</w:t>
            </w:r>
            <w:r w:rsidRPr="00FA3856">
              <w:rPr>
                <w:szCs w:val="20"/>
              </w:rPr>
              <w:t>, ou Art. 39, §1</w:t>
            </w:r>
            <w:r w:rsidRPr="00FA3856">
              <w:rPr>
                <w:szCs w:val="20"/>
                <w:u w:val="single"/>
                <w:vertAlign w:val="superscript"/>
              </w:rPr>
              <w:t>o</w:t>
            </w:r>
            <w:r w:rsidR="00004230" w:rsidRPr="00FA3856">
              <w:rPr>
                <w:szCs w:val="20"/>
              </w:rPr>
              <w:t>, Inc. I</w:t>
            </w:r>
            <w:r w:rsidR="00AE58A0" w:rsidRPr="00FA3856">
              <w:rPr>
                <w:szCs w:val="20"/>
              </w:rPr>
              <w:t>, Lei n</w:t>
            </w:r>
            <w:r w:rsidR="00AE58A0" w:rsidRPr="00FA3856">
              <w:rPr>
                <w:szCs w:val="20"/>
                <w:u w:val="single"/>
                <w:vertAlign w:val="superscript"/>
              </w:rPr>
              <w:t>o</w:t>
            </w:r>
            <w:r w:rsidR="00AE58A0" w:rsidRPr="00FA3856">
              <w:rPr>
                <w:szCs w:val="20"/>
              </w:rPr>
              <w:t xml:space="preserve"> 12.973/14</w:t>
            </w:r>
          </w:p>
        </w:tc>
        <w:tc>
          <w:tcPr>
            <w:tcW w:w="4502" w:type="dxa"/>
            <w:shd w:val="clear" w:color="auto" w:fill="auto"/>
            <w:noWrap/>
            <w:vAlign w:val="bottom"/>
            <w:hideMark/>
          </w:tcPr>
          <w:p w:rsidR="00004230" w:rsidRPr="00FA3856" w:rsidRDefault="00004230" w:rsidP="00AE58A0">
            <w:pPr>
              <w:rPr>
                <w:szCs w:val="20"/>
              </w:rPr>
            </w:pPr>
            <w:r w:rsidRPr="00FA3856">
              <w:rPr>
                <w:szCs w:val="20"/>
              </w:rPr>
              <w:t>PARTICIPAÇÃO SOCIETARIA NO PAÍS</w:t>
            </w:r>
          </w:p>
        </w:tc>
      </w:tr>
      <w:tr w:rsidR="00004230" w:rsidRPr="00FA3856" w:rsidTr="00AE58A0">
        <w:trPr>
          <w:trHeight w:val="274"/>
        </w:trPr>
        <w:tc>
          <w:tcPr>
            <w:tcW w:w="774" w:type="dxa"/>
            <w:shd w:val="clear" w:color="auto" w:fill="auto"/>
            <w:noWrap/>
            <w:vAlign w:val="bottom"/>
            <w:hideMark/>
          </w:tcPr>
          <w:p w:rsidR="00004230" w:rsidRPr="00FA3856" w:rsidRDefault="00004230" w:rsidP="00AE58A0">
            <w:pPr>
              <w:jc w:val="center"/>
              <w:rPr>
                <w:szCs w:val="20"/>
              </w:rPr>
            </w:pPr>
            <w:r w:rsidRPr="00FA3856">
              <w:rPr>
                <w:szCs w:val="20"/>
              </w:rPr>
              <w:t>81</w:t>
            </w:r>
          </w:p>
        </w:tc>
        <w:tc>
          <w:tcPr>
            <w:tcW w:w="5920" w:type="dxa"/>
            <w:shd w:val="clear" w:color="auto" w:fill="auto"/>
            <w:noWrap/>
            <w:vAlign w:val="bottom"/>
            <w:hideMark/>
          </w:tcPr>
          <w:p w:rsidR="00004230" w:rsidRPr="00FA3856" w:rsidRDefault="00004230" w:rsidP="00AE58A0">
            <w:pPr>
              <w:rPr>
                <w:szCs w:val="20"/>
              </w:rPr>
            </w:pPr>
            <w:r w:rsidRPr="00FA3856">
              <w:rPr>
                <w:szCs w:val="20"/>
              </w:rPr>
              <w:t xml:space="preserve">SUBCONTA MENOS VALIA ANTERIOR </w:t>
            </w:r>
            <w:r w:rsidR="00E71387" w:rsidRPr="00FA3856">
              <w:rPr>
                <w:szCs w:val="20"/>
              </w:rPr>
              <w:t>–</w:t>
            </w:r>
            <w:r w:rsidRPr="00FA3856">
              <w:rPr>
                <w:szCs w:val="20"/>
              </w:rPr>
              <w:t xml:space="preserve"> ESTÁGIOS</w:t>
            </w:r>
          </w:p>
        </w:tc>
        <w:tc>
          <w:tcPr>
            <w:tcW w:w="5139" w:type="dxa"/>
            <w:shd w:val="clear" w:color="auto" w:fill="auto"/>
            <w:noWrap/>
            <w:vAlign w:val="bottom"/>
            <w:hideMark/>
          </w:tcPr>
          <w:p w:rsidR="00004230" w:rsidRPr="00FA3856" w:rsidRDefault="00BE297B" w:rsidP="00AE58A0">
            <w:pPr>
              <w:rPr>
                <w:szCs w:val="20"/>
              </w:rPr>
            </w:pPr>
            <w:r w:rsidRPr="00FA3856">
              <w:rPr>
                <w:szCs w:val="20"/>
              </w:rPr>
              <w:t>Art. 37, §3</w:t>
            </w:r>
            <w:r w:rsidRPr="00FA3856">
              <w:rPr>
                <w:szCs w:val="20"/>
                <w:u w:val="single"/>
                <w:vertAlign w:val="superscript"/>
              </w:rPr>
              <w:t>o</w:t>
            </w:r>
            <w:r w:rsidR="00004230" w:rsidRPr="00FA3856">
              <w:rPr>
                <w:szCs w:val="20"/>
              </w:rPr>
              <w:t xml:space="preserve">, Inc. I, </w:t>
            </w:r>
            <w:r w:rsidRPr="00FA3856">
              <w:rPr>
                <w:szCs w:val="20"/>
              </w:rPr>
              <w:t>Lei n</w:t>
            </w:r>
            <w:r w:rsidRPr="00FA3856">
              <w:rPr>
                <w:szCs w:val="20"/>
                <w:u w:val="single"/>
                <w:vertAlign w:val="superscript"/>
              </w:rPr>
              <w:t>o</w:t>
            </w:r>
            <w:r w:rsidRPr="00FA3856">
              <w:rPr>
                <w:szCs w:val="20"/>
              </w:rPr>
              <w:t xml:space="preserve"> 12.973/14</w:t>
            </w:r>
            <w:r w:rsidR="00004230" w:rsidRPr="00FA3856">
              <w:rPr>
                <w:szCs w:val="20"/>
              </w:rPr>
              <w:t>, ou Art.</w:t>
            </w:r>
            <w:r w:rsidRPr="00FA3856">
              <w:rPr>
                <w:szCs w:val="20"/>
              </w:rPr>
              <w:t xml:space="preserve"> 39, §1</w:t>
            </w:r>
            <w:r w:rsidRPr="00FA3856">
              <w:rPr>
                <w:szCs w:val="20"/>
                <w:u w:val="single"/>
                <w:vertAlign w:val="superscript"/>
              </w:rPr>
              <w:t>o</w:t>
            </w:r>
            <w:r w:rsidRPr="00FA3856">
              <w:rPr>
                <w:szCs w:val="20"/>
              </w:rPr>
              <w:t>., Inc. I, Lei n</w:t>
            </w:r>
            <w:r w:rsidRPr="00FA3856">
              <w:rPr>
                <w:szCs w:val="20"/>
                <w:u w:val="single"/>
                <w:vertAlign w:val="superscript"/>
              </w:rPr>
              <w:t>o</w:t>
            </w:r>
            <w:r w:rsidRPr="00FA3856">
              <w:rPr>
                <w:szCs w:val="20"/>
              </w:rPr>
              <w:t xml:space="preserve"> 12.973/14</w:t>
            </w:r>
          </w:p>
        </w:tc>
        <w:tc>
          <w:tcPr>
            <w:tcW w:w="4502" w:type="dxa"/>
            <w:shd w:val="clear" w:color="auto" w:fill="auto"/>
            <w:noWrap/>
            <w:vAlign w:val="bottom"/>
            <w:hideMark/>
          </w:tcPr>
          <w:p w:rsidR="00004230" w:rsidRPr="00FA3856" w:rsidRDefault="00004230" w:rsidP="00AE58A0">
            <w:pPr>
              <w:rPr>
                <w:szCs w:val="20"/>
              </w:rPr>
            </w:pPr>
            <w:r w:rsidRPr="00FA3856">
              <w:rPr>
                <w:szCs w:val="20"/>
              </w:rPr>
              <w:t>PARTICIPAÇÃO SOCIETARIA NO PAÍS</w:t>
            </w:r>
          </w:p>
        </w:tc>
      </w:tr>
      <w:tr w:rsidR="00004230" w:rsidRPr="00FA3856" w:rsidTr="00AE58A0">
        <w:trPr>
          <w:trHeight w:val="274"/>
        </w:trPr>
        <w:tc>
          <w:tcPr>
            <w:tcW w:w="774" w:type="dxa"/>
            <w:shd w:val="clear" w:color="auto" w:fill="auto"/>
            <w:noWrap/>
            <w:vAlign w:val="bottom"/>
            <w:hideMark/>
          </w:tcPr>
          <w:p w:rsidR="00004230" w:rsidRPr="00FA3856" w:rsidRDefault="00004230" w:rsidP="00AE58A0">
            <w:pPr>
              <w:jc w:val="center"/>
              <w:rPr>
                <w:szCs w:val="20"/>
              </w:rPr>
            </w:pPr>
            <w:r w:rsidRPr="00FA3856">
              <w:rPr>
                <w:szCs w:val="20"/>
              </w:rPr>
              <w:t>82</w:t>
            </w:r>
          </w:p>
        </w:tc>
        <w:tc>
          <w:tcPr>
            <w:tcW w:w="5920" w:type="dxa"/>
            <w:shd w:val="clear" w:color="auto" w:fill="auto"/>
            <w:noWrap/>
            <w:vAlign w:val="bottom"/>
            <w:hideMark/>
          </w:tcPr>
          <w:p w:rsidR="00004230" w:rsidRPr="00FA3856" w:rsidRDefault="00004230" w:rsidP="00AE58A0">
            <w:pPr>
              <w:rPr>
                <w:szCs w:val="20"/>
              </w:rPr>
            </w:pPr>
            <w:r w:rsidRPr="00FA3856">
              <w:rPr>
                <w:szCs w:val="20"/>
              </w:rPr>
              <w:t xml:space="preserve">SUBCONTA GOODWILL ANTERIOR </w:t>
            </w:r>
            <w:r w:rsidR="00BE297B" w:rsidRPr="00FA3856">
              <w:rPr>
                <w:szCs w:val="20"/>
              </w:rPr>
              <w:t>–</w:t>
            </w:r>
            <w:r w:rsidRPr="00FA3856">
              <w:rPr>
                <w:szCs w:val="20"/>
              </w:rPr>
              <w:t xml:space="preserve"> ESTÁGIOS</w:t>
            </w:r>
          </w:p>
        </w:tc>
        <w:tc>
          <w:tcPr>
            <w:tcW w:w="5139" w:type="dxa"/>
            <w:shd w:val="clear" w:color="auto" w:fill="auto"/>
            <w:noWrap/>
            <w:vAlign w:val="bottom"/>
            <w:hideMark/>
          </w:tcPr>
          <w:p w:rsidR="00004230" w:rsidRPr="00FA3856" w:rsidRDefault="00004230" w:rsidP="00AE58A0">
            <w:pPr>
              <w:rPr>
                <w:szCs w:val="20"/>
              </w:rPr>
            </w:pPr>
            <w:r w:rsidRPr="00FA3856">
              <w:rPr>
                <w:szCs w:val="20"/>
              </w:rPr>
              <w:t>Art. 37, §3</w:t>
            </w:r>
            <w:r w:rsidR="00BE297B" w:rsidRPr="00FA3856">
              <w:rPr>
                <w:szCs w:val="20"/>
                <w:u w:val="single"/>
                <w:vertAlign w:val="superscript"/>
              </w:rPr>
              <w:t>o</w:t>
            </w:r>
            <w:r w:rsidR="00BE297B" w:rsidRPr="00FA3856">
              <w:rPr>
                <w:szCs w:val="20"/>
              </w:rPr>
              <w:t>, Inc. I, Lei n</w:t>
            </w:r>
            <w:r w:rsidR="00BE297B" w:rsidRPr="00FA3856">
              <w:rPr>
                <w:szCs w:val="20"/>
                <w:u w:val="single"/>
                <w:vertAlign w:val="superscript"/>
              </w:rPr>
              <w:t>o</w:t>
            </w:r>
            <w:r w:rsidR="00BE297B" w:rsidRPr="00FA3856">
              <w:rPr>
                <w:szCs w:val="20"/>
              </w:rPr>
              <w:t xml:space="preserve"> 12.973/14</w:t>
            </w:r>
            <w:r w:rsidRPr="00FA3856">
              <w:rPr>
                <w:szCs w:val="20"/>
              </w:rPr>
              <w:t>, ou Art.</w:t>
            </w:r>
            <w:r w:rsidR="00BE297B" w:rsidRPr="00FA3856">
              <w:rPr>
                <w:szCs w:val="20"/>
              </w:rPr>
              <w:t xml:space="preserve"> 39, §1</w:t>
            </w:r>
            <w:r w:rsidR="00BE297B" w:rsidRPr="00FA3856">
              <w:rPr>
                <w:szCs w:val="20"/>
                <w:u w:val="single"/>
                <w:vertAlign w:val="superscript"/>
              </w:rPr>
              <w:t>o</w:t>
            </w:r>
            <w:r w:rsidR="00BE297B" w:rsidRPr="00FA3856">
              <w:rPr>
                <w:szCs w:val="20"/>
              </w:rPr>
              <w:t>, Inc. I, Lei n</w:t>
            </w:r>
            <w:r w:rsidR="00BE297B" w:rsidRPr="00FA3856">
              <w:rPr>
                <w:szCs w:val="20"/>
                <w:u w:val="single"/>
                <w:vertAlign w:val="superscript"/>
              </w:rPr>
              <w:t>o</w:t>
            </w:r>
            <w:r w:rsidR="00BE297B" w:rsidRPr="00FA3856">
              <w:rPr>
                <w:szCs w:val="20"/>
              </w:rPr>
              <w:t xml:space="preserve"> 12.973/14</w:t>
            </w:r>
          </w:p>
        </w:tc>
        <w:tc>
          <w:tcPr>
            <w:tcW w:w="4502" w:type="dxa"/>
            <w:shd w:val="clear" w:color="auto" w:fill="auto"/>
            <w:noWrap/>
            <w:vAlign w:val="bottom"/>
            <w:hideMark/>
          </w:tcPr>
          <w:p w:rsidR="00004230" w:rsidRPr="00FA3856" w:rsidRDefault="00004230" w:rsidP="00AE58A0">
            <w:pPr>
              <w:rPr>
                <w:szCs w:val="20"/>
              </w:rPr>
            </w:pPr>
            <w:r w:rsidRPr="00FA3856">
              <w:rPr>
                <w:szCs w:val="20"/>
              </w:rPr>
              <w:t>PARTICIPAÇÃO SOCIETARIA NO PAÍS</w:t>
            </w:r>
          </w:p>
        </w:tc>
      </w:tr>
      <w:tr w:rsidR="00004230" w:rsidRPr="00FA3856" w:rsidTr="00AE58A0">
        <w:trPr>
          <w:trHeight w:val="274"/>
        </w:trPr>
        <w:tc>
          <w:tcPr>
            <w:tcW w:w="774" w:type="dxa"/>
            <w:shd w:val="clear" w:color="auto" w:fill="auto"/>
            <w:noWrap/>
            <w:vAlign w:val="bottom"/>
            <w:hideMark/>
          </w:tcPr>
          <w:p w:rsidR="00004230" w:rsidRPr="00FA3856" w:rsidRDefault="00004230" w:rsidP="00AE58A0">
            <w:pPr>
              <w:jc w:val="center"/>
              <w:rPr>
                <w:szCs w:val="20"/>
              </w:rPr>
            </w:pPr>
            <w:r w:rsidRPr="00FA3856">
              <w:rPr>
                <w:szCs w:val="20"/>
              </w:rPr>
              <w:t>84</w:t>
            </w:r>
          </w:p>
        </w:tc>
        <w:tc>
          <w:tcPr>
            <w:tcW w:w="5920" w:type="dxa"/>
            <w:shd w:val="clear" w:color="auto" w:fill="auto"/>
            <w:noWrap/>
            <w:vAlign w:val="bottom"/>
            <w:hideMark/>
          </w:tcPr>
          <w:p w:rsidR="00004230" w:rsidRPr="00FA3856" w:rsidRDefault="00004230" w:rsidP="00AE58A0">
            <w:pPr>
              <w:rPr>
                <w:szCs w:val="20"/>
              </w:rPr>
            </w:pPr>
            <w:r w:rsidRPr="00FA3856">
              <w:rPr>
                <w:szCs w:val="20"/>
              </w:rPr>
              <w:t xml:space="preserve">SUBCONTA VARIAÇÃO MAIS VALIA ANTERIOR </w:t>
            </w:r>
            <w:r w:rsidR="00E71387" w:rsidRPr="00FA3856">
              <w:rPr>
                <w:szCs w:val="20"/>
              </w:rPr>
              <w:t>–</w:t>
            </w:r>
            <w:r w:rsidRPr="00FA3856">
              <w:rPr>
                <w:szCs w:val="20"/>
              </w:rPr>
              <w:t xml:space="preserve"> ESTÁGIOS</w:t>
            </w:r>
          </w:p>
        </w:tc>
        <w:tc>
          <w:tcPr>
            <w:tcW w:w="5139" w:type="dxa"/>
            <w:shd w:val="clear" w:color="auto" w:fill="auto"/>
            <w:noWrap/>
            <w:vAlign w:val="bottom"/>
            <w:hideMark/>
          </w:tcPr>
          <w:p w:rsidR="00004230" w:rsidRPr="00FA3856" w:rsidRDefault="00004230" w:rsidP="00AE58A0">
            <w:pPr>
              <w:rPr>
                <w:szCs w:val="20"/>
              </w:rPr>
            </w:pPr>
            <w:r w:rsidRPr="00FA3856">
              <w:rPr>
                <w:szCs w:val="20"/>
              </w:rPr>
              <w:t xml:space="preserve">Art. </w:t>
            </w:r>
            <w:r w:rsidR="00BE297B" w:rsidRPr="00FA3856">
              <w:rPr>
                <w:szCs w:val="20"/>
              </w:rPr>
              <w:t>37, §3</w:t>
            </w:r>
            <w:r w:rsidR="00BE297B" w:rsidRPr="00FA3856">
              <w:rPr>
                <w:szCs w:val="20"/>
                <w:u w:val="single"/>
                <w:vertAlign w:val="superscript"/>
              </w:rPr>
              <w:t>o</w:t>
            </w:r>
            <w:r w:rsidR="00BE297B" w:rsidRPr="00FA3856">
              <w:rPr>
                <w:szCs w:val="20"/>
              </w:rPr>
              <w:t>, Inc. II, Lei n</w:t>
            </w:r>
            <w:r w:rsidR="00BE297B" w:rsidRPr="00FA3856">
              <w:rPr>
                <w:szCs w:val="20"/>
                <w:u w:val="single"/>
                <w:vertAlign w:val="superscript"/>
              </w:rPr>
              <w:t>o</w:t>
            </w:r>
            <w:r w:rsidR="00BE297B" w:rsidRPr="00FA3856">
              <w:rPr>
                <w:szCs w:val="20"/>
              </w:rPr>
              <w:t xml:space="preserve"> 12.973/14 ou Art. 39, §1</w:t>
            </w:r>
            <w:r w:rsidR="00BE297B" w:rsidRPr="00FA3856">
              <w:rPr>
                <w:szCs w:val="20"/>
                <w:u w:val="single"/>
                <w:vertAlign w:val="superscript"/>
              </w:rPr>
              <w:t>o</w:t>
            </w:r>
            <w:r w:rsidRPr="00FA3856">
              <w:rPr>
                <w:szCs w:val="20"/>
              </w:rPr>
              <w:t xml:space="preserve">, Inc. </w:t>
            </w:r>
            <w:r w:rsidR="00BE297B" w:rsidRPr="00FA3856">
              <w:rPr>
                <w:szCs w:val="20"/>
              </w:rPr>
              <w:t>II, Lei n</w:t>
            </w:r>
            <w:r w:rsidR="00BE297B" w:rsidRPr="00FA3856">
              <w:rPr>
                <w:szCs w:val="20"/>
                <w:u w:val="single"/>
                <w:vertAlign w:val="superscript"/>
              </w:rPr>
              <w:t>o</w:t>
            </w:r>
            <w:r w:rsidR="00BE297B" w:rsidRPr="00FA3856">
              <w:rPr>
                <w:szCs w:val="20"/>
              </w:rPr>
              <w:t xml:space="preserve"> 12.973/14</w:t>
            </w:r>
          </w:p>
        </w:tc>
        <w:tc>
          <w:tcPr>
            <w:tcW w:w="4502" w:type="dxa"/>
            <w:shd w:val="clear" w:color="auto" w:fill="auto"/>
            <w:noWrap/>
            <w:vAlign w:val="bottom"/>
            <w:hideMark/>
          </w:tcPr>
          <w:p w:rsidR="00004230" w:rsidRPr="00FA3856" w:rsidRDefault="00004230" w:rsidP="00AE58A0">
            <w:pPr>
              <w:rPr>
                <w:szCs w:val="20"/>
              </w:rPr>
            </w:pPr>
            <w:r w:rsidRPr="00FA3856">
              <w:rPr>
                <w:szCs w:val="20"/>
              </w:rPr>
              <w:t>PARTICIPAÇÃO SOCIETARIA NO PAÍS</w:t>
            </w:r>
          </w:p>
        </w:tc>
      </w:tr>
      <w:tr w:rsidR="00004230" w:rsidRPr="00FA3856" w:rsidTr="00AE58A0">
        <w:trPr>
          <w:trHeight w:val="274"/>
        </w:trPr>
        <w:tc>
          <w:tcPr>
            <w:tcW w:w="774" w:type="dxa"/>
            <w:shd w:val="clear" w:color="auto" w:fill="auto"/>
            <w:noWrap/>
            <w:vAlign w:val="bottom"/>
            <w:hideMark/>
          </w:tcPr>
          <w:p w:rsidR="00004230" w:rsidRPr="00FA3856" w:rsidRDefault="00004230" w:rsidP="00AE58A0">
            <w:pPr>
              <w:jc w:val="center"/>
              <w:rPr>
                <w:szCs w:val="20"/>
              </w:rPr>
            </w:pPr>
            <w:r w:rsidRPr="00FA3856">
              <w:rPr>
                <w:szCs w:val="20"/>
              </w:rPr>
              <w:t>85</w:t>
            </w:r>
          </w:p>
        </w:tc>
        <w:tc>
          <w:tcPr>
            <w:tcW w:w="5920" w:type="dxa"/>
            <w:shd w:val="clear" w:color="auto" w:fill="auto"/>
            <w:noWrap/>
            <w:vAlign w:val="bottom"/>
            <w:hideMark/>
          </w:tcPr>
          <w:p w:rsidR="00004230" w:rsidRPr="00FA3856" w:rsidRDefault="00004230" w:rsidP="00AE58A0">
            <w:pPr>
              <w:rPr>
                <w:szCs w:val="20"/>
              </w:rPr>
            </w:pPr>
            <w:r w:rsidRPr="00FA3856">
              <w:rPr>
                <w:szCs w:val="20"/>
              </w:rPr>
              <w:t xml:space="preserve">SUBCONTA VARIAÇÃO MENOS VALIA ANTERIOR </w:t>
            </w:r>
            <w:r w:rsidR="00BE297B" w:rsidRPr="00FA3856">
              <w:rPr>
                <w:szCs w:val="20"/>
              </w:rPr>
              <w:t>–</w:t>
            </w:r>
            <w:r w:rsidRPr="00FA3856">
              <w:rPr>
                <w:szCs w:val="20"/>
              </w:rPr>
              <w:t xml:space="preserve"> ESTÁGIOS</w:t>
            </w:r>
          </w:p>
        </w:tc>
        <w:tc>
          <w:tcPr>
            <w:tcW w:w="5139" w:type="dxa"/>
            <w:shd w:val="clear" w:color="auto" w:fill="auto"/>
            <w:noWrap/>
            <w:vAlign w:val="bottom"/>
            <w:hideMark/>
          </w:tcPr>
          <w:p w:rsidR="00004230" w:rsidRPr="00FA3856" w:rsidRDefault="00004230" w:rsidP="00AE58A0">
            <w:pPr>
              <w:rPr>
                <w:szCs w:val="20"/>
              </w:rPr>
            </w:pPr>
            <w:r w:rsidRPr="00FA3856">
              <w:rPr>
                <w:szCs w:val="20"/>
              </w:rPr>
              <w:t xml:space="preserve">Art. </w:t>
            </w:r>
            <w:r w:rsidR="00BE297B" w:rsidRPr="00FA3856">
              <w:rPr>
                <w:szCs w:val="20"/>
              </w:rPr>
              <w:t>37, §3</w:t>
            </w:r>
            <w:r w:rsidR="00BE297B" w:rsidRPr="00FA3856">
              <w:rPr>
                <w:szCs w:val="20"/>
                <w:u w:val="single"/>
                <w:vertAlign w:val="superscript"/>
              </w:rPr>
              <w:t>o</w:t>
            </w:r>
            <w:r w:rsidR="00BE297B" w:rsidRPr="00FA3856">
              <w:rPr>
                <w:szCs w:val="20"/>
              </w:rPr>
              <w:t>, Inc. II, Lei n</w:t>
            </w:r>
            <w:r w:rsidR="00BE297B" w:rsidRPr="00FA3856">
              <w:rPr>
                <w:szCs w:val="20"/>
                <w:u w:val="single"/>
                <w:vertAlign w:val="superscript"/>
              </w:rPr>
              <w:t>o</w:t>
            </w:r>
            <w:r w:rsidR="00BE297B" w:rsidRPr="00FA3856">
              <w:rPr>
                <w:szCs w:val="20"/>
              </w:rPr>
              <w:t xml:space="preserve"> 12.973/14 ou Art. 39, §1</w:t>
            </w:r>
            <w:r w:rsidR="00BE297B" w:rsidRPr="00FA3856">
              <w:rPr>
                <w:szCs w:val="20"/>
                <w:u w:val="single"/>
                <w:vertAlign w:val="superscript"/>
              </w:rPr>
              <w:t>o</w:t>
            </w:r>
            <w:r w:rsidRPr="00FA3856">
              <w:rPr>
                <w:szCs w:val="20"/>
              </w:rPr>
              <w:t xml:space="preserve">, Inc. </w:t>
            </w:r>
            <w:r w:rsidR="00BE297B" w:rsidRPr="00FA3856">
              <w:rPr>
                <w:szCs w:val="20"/>
              </w:rPr>
              <w:t>II, Lei n</w:t>
            </w:r>
            <w:r w:rsidR="00BE297B" w:rsidRPr="00FA3856">
              <w:rPr>
                <w:szCs w:val="20"/>
                <w:u w:val="single"/>
                <w:vertAlign w:val="superscript"/>
              </w:rPr>
              <w:t>o</w:t>
            </w:r>
            <w:r w:rsidR="00BE297B" w:rsidRPr="00FA3856">
              <w:rPr>
                <w:szCs w:val="20"/>
              </w:rPr>
              <w:t xml:space="preserve"> 12.973/14</w:t>
            </w:r>
          </w:p>
        </w:tc>
        <w:tc>
          <w:tcPr>
            <w:tcW w:w="4502" w:type="dxa"/>
            <w:shd w:val="clear" w:color="auto" w:fill="auto"/>
            <w:noWrap/>
            <w:vAlign w:val="bottom"/>
            <w:hideMark/>
          </w:tcPr>
          <w:p w:rsidR="00004230" w:rsidRPr="00FA3856" w:rsidRDefault="00004230" w:rsidP="00AE58A0">
            <w:pPr>
              <w:rPr>
                <w:szCs w:val="20"/>
              </w:rPr>
            </w:pPr>
            <w:r w:rsidRPr="00FA3856">
              <w:rPr>
                <w:szCs w:val="20"/>
              </w:rPr>
              <w:t>PARTICIPAÇÃO SOCIETARIA NO PAÍS</w:t>
            </w:r>
          </w:p>
        </w:tc>
      </w:tr>
      <w:tr w:rsidR="00004230" w:rsidRPr="00FA3856" w:rsidTr="00AE58A0">
        <w:trPr>
          <w:trHeight w:val="274"/>
        </w:trPr>
        <w:tc>
          <w:tcPr>
            <w:tcW w:w="774" w:type="dxa"/>
            <w:shd w:val="clear" w:color="auto" w:fill="auto"/>
            <w:noWrap/>
            <w:vAlign w:val="bottom"/>
            <w:hideMark/>
          </w:tcPr>
          <w:p w:rsidR="00004230" w:rsidRPr="00FA3856" w:rsidRDefault="00004230" w:rsidP="00AE58A0">
            <w:pPr>
              <w:jc w:val="center"/>
              <w:rPr>
                <w:szCs w:val="20"/>
              </w:rPr>
            </w:pPr>
            <w:r w:rsidRPr="00FA3856">
              <w:rPr>
                <w:szCs w:val="20"/>
              </w:rPr>
              <w:t>86</w:t>
            </w:r>
          </w:p>
        </w:tc>
        <w:tc>
          <w:tcPr>
            <w:tcW w:w="5920" w:type="dxa"/>
            <w:shd w:val="clear" w:color="auto" w:fill="auto"/>
            <w:noWrap/>
            <w:vAlign w:val="bottom"/>
            <w:hideMark/>
          </w:tcPr>
          <w:p w:rsidR="00004230" w:rsidRPr="00FA3856" w:rsidRDefault="00004230" w:rsidP="00AE58A0">
            <w:pPr>
              <w:rPr>
                <w:szCs w:val="20"/>
              </w:rPr>
            </w:pPr>
            <w:r w:rsidRPr="00FA3856">
              <w:rPr>
                <w:szCs w:val="20"/>
              </w:rPr>
              <w:t xml:space="preserve">SUBCONTA VARIAÇÃO GOODWILL ANTERIOR </w:t>
            </w:r>
            <w:r w:rsidR="00E71387" w:rsidRPr="00FA3856">
              <w:rPr>
                <w:szCs w:val="20"/>
              </w:rPr>
              <w:t>–</w:t>
            </w:r>
            <w:r w:rsidRPr="00FA3856">
              <w:rPr>
                <w:szCs w:val="20"/>
              </w:rPr>
              <w:t xml:space="preserve"> ESTÁGIOS</w:t>
            </w:r>
          </w:p>
        </w:tc>
        <w:tc>
          <w:tcPr>
            <w:tcW w:w="5139" w:type="dxa"/>
            <w:shd w:val="clear" w:color="auto" w:fill="auto"/>
            <w:noWrap/>
            <w:vAlign w:val="bottom"/>
            <w:hideMark/>
          </w:tcPr>
          <w:p w:rsidR="00004230" w:rsidRPr="00FA3856" w:rsidRDefault="00004230" w:rsidP="00AE58A0">
            <w:pPr>
              <w:rPr>
                <w:szCs w:val="20"/>
              </w:rPr>
            </w:pPr>
            <w:r w:rsidRPr="00FA3856">
              <w:rPr>
                <w:szCs w:val="20"/>
              </w:rPr>
              <w:t>A</w:t>
            </w:r>
            <w:r w:rsidR="00BE297B" w:rsidRPr="00FA3856">
              <w:rPr>
                <w:szCs w:val="20"/>
              </w:rPr>
              <w:t>rt. 37, §3</w:t>
            </w:r>
            <w:r w:rsidR="00BE297B" w:rsidRPr="00FA3856">
              <w:rPr>
                <w:szCs w:val="20"/>
                <w:u w:val="single"/>
                <w:vertAlign w:val="superscript"/>
              </w:rPr>
              <w:t>o</w:t>
            </w:r>
            <w:r w:rsidR="00BE297B" w:rsidRPr="00FA3856">
              <w:rPr>
                <w:szCs w:val="20"/>
              </w:rPr>
              <w:t>, Inc. II, Lei n</w:t>
            </w:r>
            <w:r w:rsidR="00BE297B" w:rsidRPr="00FA3856">
              <w:rPr>
                <w:szCs w:val="20"/>
                <w:u w:val="single"/>
                <w:vertAlign w:val="superscript"/>
              </w:rPr>
              <w:t>o</w:t>
            </w:r>
            <w:r w:rsidR="00BE297B" w:rsidRPr="00FA3856">
              <w:rPr>
                <w:szCs w:val="20"/>
              </w:rPr>
              <w:t xml:space="preserve"> 12.973/14 ou Art. 39, §1</w:t>
            </w:r>
            <w:r w:rsidR="00BE297B" w:rsidRPr="00FA3856">
              <w:rPr>
                <w:szCs w:val="20"/>
                <w:u w:val="single"/>
                <w:vertAlign w:val="superscript"/>
              </w:rPr>
              <w:t>o</w:t>
            </w:r>
            <w:r w:rsidRPr="00FA3856">
              <w:rPr>
                <w:szCs w:val="20"/>
              </w:rPr>
              <w:t xml:space="preserve">, Inc. </w:t>
            </w:r>
            <w:r w:rsidR="00BE297B" w:rsidRPr="00FA3856">
              <w:rPr>
                <w:szCs w:val="20"/>
              </w:rPr>
              <w:t>II, Lei n</w:t>
            </w:r>
            <w:r w:rsidR="00BE297B" w:rsidRPr="00FA3856">
              <w:rPr>
                <w:szCs w:val="20"/>
                <w:u w:val="single"/>
                <w:vertAlign w:val="superscript"/>
              </w:rPr>
              <w:t>o</w:t>
            </w:r>
            <w:r w:rsidR="00BE297B" w:rsidRPr="00FA3856">
              <w:rPr>
                <w:szCs w:val="20"/>
              </w:rPr>
              <w:t xml:space="preserve"> 12.973/14</w:t>
            </w:r>
          </w:p>
        </w:tc>
        <w:tc>
          <w:tcPr>
            <w:tcW w:w="4502" w:type="dxa"/>
            <w:shd w:val="clear" w:color="auto" w:fill="auto"/>
            <w:noWrap/>
            <w:vAlign w:val="bottom"/>
            <w:hideMark/>
          </w:tcPr>
          <w:p w:rsidR="00004230" w:rsidRPr="00FA3856" w:rsidRDefault="00004230" w:rsidP="00AE58A0">
            <w:pPr>
              <w:rPr>
                <w:szCs w:val="20"/>
              </w:rPr>
            </w:pPr>
            <w:r w:rsidRPr="00FA3856">
              <w:rPr>
                <w:szCs w:val="20"/>
              </w:rPr>
              <w:t>PARTICIPAÇÃO SOCIETARIA NO PAÍS</w:t>
            </w:r>
          </w:p>
        </w:tc>
      </w:tr>
      <w:tr w:rsidR="00004230" w:rsidRPr="00FA3856" w:rsidTr="00AE58A0">
        <w:trPr>
          <w:trHeight w:val="274"/>
        </w:trPr>
        <w:tc>
          <w:tcPr>
            <w:tcW w:w="774" w:type="dxa"/>
            <w:shd w:val="clear" w:color="auto" w:fill="auto"/>
            <w:noWrap/>
            <w:vAlign w:val="bottom"/>
            <w:hideMark/>
          </w:tcPr>
          <w:p w:rsidR="00004230" w:rsidRPr="00FA3856" w:rsidRDefault="00004230" w:rsidP="00AE58A0">
            <w:pPr>
              <w:jc w:val="center"/>
              <w:rPr>
                <w:szCs w:val="20"/>
              </w:rPr>
            </w:pPr>
            <w:r w:rsidRPr="00FA3856">
              <w:rPr>
                <w:szCs w:val="20"/>
              </w:rPr>
              <w:t>90</w:t>
            </w:r>
          </w:p>
        </w:tc>
        <w:tc>
          <w:tcPr>
            <w:tcW w:w="5920" w:type="dxa"/>
            <w:shd w:val="clear" w:color="auto" w:fill="auto"/>
            <w:noWrap/>
            <w:vAlign w:val="bottom"/>
            <w:hideMark/>
          </w:tcPr>
          <w:p w:rsidR="00004230" w:rsidRPr="00FA3856" w:rsidRDefault="00004230" w:rsidP="00AE58A0">
            <w:pPr>
              <w:rPr>
                <w:szCs w:val="20"/>
              </w:rPr>
            </w:pPr>
            <w:r w:rsidRPr="00FA3856">
              <w:rPr>
                <w:szCs w:val="20"/>
              </w:rPr>
              <w:t>SUBC</w:t>
            </w:r>
            <w:r w:rsidR="00C94BC1" w:rsidRPr="00FA3856">
              <w:rPr>
                <w:szCs w:val="20"/>
              </w:rPr>
              <w:t xml:space="preserve">ONTA ADOÇÃO INICIAL – VINCULADA OU AUXILIAR </w:t>
            </w:r>
            <w:r w:rsidRPr="00FA3856">
              <w:rPr>
                <w:szCs w:val="20"/>
              </w:rPr>
              <w:t>ATIVO/PASSIVO</w:t>
            </w:r>
          </w:p>
        </w:tc>
        <w:tc>
          <w:tcPr>
            <w:tcW w:w="5139" w:type="dxa"/>
            <w:shd w:val="clear" w:color="auto" w:fill="auto"/>
            <w:noWrap/>
            <w:vAlign w:val="bottom"/>
            <w:hideMark/>
          </w:tcPr>
          <w:p w:rsidR="004F71A6" w:rsidRPr="00FA3856" w:rsidRDefault="00BE297B" w:rsidP="004F71A6">
            <w:pPr>
              <w:rPr>
                <w:szCs w:val="20"/>
              </w:rPr>
            </w:pPr>
            <w:r w:rsidRPr="00FA3856">
              <w:rPr>
                <w:szCs w:val="20"/>
              </w:rPr>
              <w:t>Arts. 66 e 67, Lei n</w:t>
            </w:r>
            <w:r w:rsidRPr="00FA3856">
              <w:rPr>
                <w:szCs w:val="20"/>
                <w:u w:val="single"/>
                <w:vertAlign w:val="superscript"/>
              </w:rPr>
              <w:t>o</w:t>
            </w:r>
            <w:r w:rsidRPr="00FA3856">
              <w:rPr>
                <w:szCs w:val="20"/>
              </w:rPr>
              <w:t xml:space="preserve"> 12.973/14</w:t>
            </w:r>
          </w:p>
          <w:p w:rsidR="004F71A6" w:rsidRPr="00A746F0" w:rsidRDefault="00A746F0" w:rsidP="00C94BC1">
            <w:pPr>
              <w:rPr>
                <w:szCs w:val="20"/>
              </w:rPr>
            </w:pPr>
            <w:r w:rsidRPr="00A746F0">
              <w:rPr>
                <w:bCs/>
                <w:szCs w:val="20"/>
              </w:rPr>
              <w:t>Arts. 295, 296, 298 e 299 da Instrução Normativa RFB nº 1.700, de 14 de março de 2017</w:t>
            </w:r>
          </w:p>
        </w:tc>
        <w:tc>
          <w:tcPr>
            <w:tcW w:w="4502" w:type="dxa"/>
            <w:shd w:val="clear" w:color="auto" w:fill="auto"/>
            <w:noWrap/>
            <w:vAlign w:val="bottom"/>
            <w:hideMark/>
          </w:tcPr>
          <w:p w:rsidR="00004230" w:rsidRPr="00FA3856" w:rsidRDefault="00004230" w:rsidP="00AE58A0">
            <w:pPr>
              <w:rPr>
                <w:szCs w:val="20"/>
              </w:rPr>
            </w:pPr>
            <w:r w:rsidRPr="00FA3856">
              <w:rPr>
                <w:szCs w:val="20"/>
              </w:rPr>
              <w:t>ATIVO OU PASSIVO</w:t>
            </w:r>
          </w:p>
        </w:tc>
      </w:tr>
      <w:tr w:rsidR="00004230" w:rsidRPr="00FA3856" w:rsidTr="00AE58A0">
        <w:trPr>
          <w:trHeight w:val="274"/>
        </w:trPr>
        <w:tc>
          <w:tcPr>
            <w:tcW w:w="774" w:type="dxa"/>
            <w:shd w:val="clear" w:color="auto" w:fill="auto"/>
            <w:noWrap/>
            <w:vAlign w:val="bottom"/>
            <w:hideMark/>
          </w:tcPr>
          <w:p w:rsidR="00004230" w:rsidRPr="00FA3856" w:rsidRDefault="00004230" w:rsidP="00AE58A0">
            <w:pPr>
              <w:jc w:val="center"/>
              <w:rPr>
                <w:szCs w:val="20"/>
              </w:rPr>
            </w:pPr>
            <w:r w:rsidRPr="00FA3856">
              <w:rPr>
                <w:szCs w:val="20"/>
              </w:rPr>
              <w:t>91</w:t>
            </w:r>
          </w:p>
        </w:tc>
        <w:tc>
          <w:tcPr>
            <w:tcW w:w="5920" w:type="dxa"/>
            <w:shd w:val="clear" w:color="auto" w:fill="auto"/>
            <w:noWrap/>
            <w:vAlign w:val="bottom"/>
            <w:hideMark/>
          </w:tcPr>
          <w:p w:rsidR="00004230" w:rsidRPr="00FA3856" w:rsidRDefault="00004230" w:rsidP="00AE58A0">
            <w:pPr>
              <w:rPr>
                <w:szCs w:val="20"/>
              </w:rPr>
            </w:pPr>
            <w:r w:rsidRPr="00FA3856">
              <w:rPr>
                <w:szCs w:val="20"/>
              </w:rPr>
              <w:t xml:space="preserve">SUBCONTA ADOÇÃO INICIAL </w:t>
            </w:r>
            <w:r w:rsidR="00BB76E2" w:rsidRPr="00FA3856">
              <w:rPr>
                <w:szCs w:val="20"/>
              </w:rPr>
              <w:t xml:space="preserve">– VINCULADA OU AUXILIAR </w:t>
            </w:r>
            <w:r w:rsidRPr="00FA3856">
              <w:rPr>
                <w:szCs w:val="20"/>
              </w:rPr>
              <w:t>-  DEPRECIAÇÃO ACUMULADA</w:t>
            </w:r>
          </w:p>
        </w:tc>
        <w:tc>
          <w:tcPr>
            <w:tcW w:w="5139" w:type="dxa"/>
            <w:shd w:val="clear" w:color="auto" w:fill="auto"/>
            <w:noWrap/>
            <w:vAlign w:val="bottom"/>
            <w:hideMark/>
          </w:tcPr>
          <w:p w:rsidR="00004230" w:rsidRPr="00FA3856" w:rsidRDefault="00BE297B" w:rsidP="00AE58A0">
            <w:pPr>
              <w:rPr>
                <w:szCs w:val="20"/>
              </w:rPr>
            </w:pPr>
            <w:r w:rsidRPr="00FA3856">
              <w:rPr>
                <w:szCs w:val="20"/>
              </w:rPr>
              <w:t>Arts. 66 e 67, Lei n</w:t>
            </w:r>
            <w:r w:rsidRPr="00FA3856">
              <w:rPr>
                <w:szCs w:val="20"/>
                <w:u w:val="single"/>
                <w:vertAlign w:val="superscript"/>
              </w:rPr>
              <w:t>o</w:t>
            </w:r>
            <w:r w:rsidRPr="00FA3856">
              <w:rPr>
                <w:szCs w:val="20"/>
              </w:rPr>
              <w:t xml:space="preserve"> 12.973/14</w:t>
            </w:r>
          </w:p>
          <w:p w:rsidR="004F71A6" w:rsidRPr="00FA3856" w:rsidRDefault="00A746F0" w:rsidP="00AE58A0">
            <w:pPr>
              <w:rPr>
                <w:szCs w:val="20"/>
              </w:rPr>
            </w:pPr>
            <w:r w:rsidRPr="00A746F0">
              <w:rPr>
                <w:bCs/>
                <w:szCs w:val="20"/>
              </w:rPr>
              <w:t>Arts. 295, 296, 298 e 299 da Instrução Normativa RFB nº 1.700, de 14 de março de 2017</w:t>
            </w:r>
          </w:p>
        </w:tc>
        <w:tc>
          <w:tcPr>
            <w:tcW w:w="4502" w:type="dxa"/>
            <w:shd w:val="clear" w:color="auto" w:fill="auto"/>
            <w:noWrap/>
            <w:vAlign w:val="bottom"/>
            <w:hideMark/>
          </w:tcPr>
          <w:p w:rsidR="00004230" w:rsidRPr="00FA3856" w:rsidRDefault="00004230" w:rsidP="00AE58A0">
            <w:pPr>
              <w:rPr>
                <w:szCs w:val="20"/>
              </w:rPr>
            </w:pPr>
            <w:r w:rsidRPr="00FA3856">
              <w:rPr>
                <w:szCs w:val="20"/>
              </w:rPr>
              <w:t>DEPRECIAÇÃO ACUMULADA</w:t>
            </w:r>
          </w:p>
        </w:tc>
      </w:tr>
      <w:tr w:rsidR="00004230" w:rsidRPr="00FA3856" w:rsidTr="00AE58A0">
        <w:trPr>
          <w:trHeight w:val="274"/>
        </w:trPr>
        <w:tc>
          <w:tcPr>
            <w:tcW w:w="774" w:type="dxa"/>
            <w:shd w:val="clear" w:color="auto" w:fill="auto"/>
            <w:noWrap/>
            <w:vAlign w:val="bottom"/>
            <w:hideMark/>
          </w:tcPr>
          <w:p w:rsidR="00004230" w:rsidRPr="00FA3856" w:rsidRDefault="00004230" w:rsidP="00AE58A0">
            <w:pPr>
              <w:jc w:val="center"/>
              <w:rPr>
                <w:szCs w:val="20"/>
              </w:rPr>
            </w:pPr>
            <w:r w:rsidRPr="00FA3856">
              <w:rPr>
                <w:szCs w:val="20"/>
              </w:rPr>
              <w:lastRenderedPageBreak/>
              <w:t>92</w:t>
            </w:r>
          </w:p>
        </w:tc>
        <w:tc>
          <w:tcPr>
            <w:tcW w:w="5920" w:type="dxa"/>
            <w:shd w:val="clear" w:color="auto" w:fill="auto"/>
            <w:noWrap/>
            <w:vAlign w:val="bottom"/>
            <w:hideMark/>
          </w:tcPr>
          <w:p w:rsidR="00004230" w:rsidRPr="00FA3856" w:rsidRDefault="00004230" w:rsidP="00AE58A0">
            <w:pPr>
              <w:rPr>
                <w:szCs w:val="20"/>
              </w:rPr>
            </w:pPr>
            <w:r w:rsidRPr="00FA3856">
              <w:rPr>
                <w:szCs w:val="20"/>
              </w:rPr>
              <w:t xml:space="preserve">SUBCONTA ADOÇÃO INICIAL </w:t>
            </w:r>
            <w:r w:rsidR="00BB76E2" w:rsidRPr="00FA3856">
              <w:rPr>
                <w:szCs w:val="20"/>
              </w:rPr>
              <w:t xml:space="preserve">– VINCULADA OU AUXILIAR </w:t>
            </w:r>
            <w:r w:rsidRPr="00FA3856">
              <w:rPr>
                <w:szCs w:val="20"/>
              </w:rPr>
              <w:t>-  AMORTIZAÇÃO ACUMULADA</w:t>
            </w:r>
          </w:p>
        </w:tc>
        <w:tc>
          <w:tcPr>
            <w:tcW w:w="5139" w:type="dxa"/>
            <w:shd w:val="clear" w:color="auto" w:fill="auto"/>
            <w:noWrap/>
            <w:vAlign w:val="bottom"/>
            <w:hideMark/>
          </w:tcPr>
          <w:p w:rsidR="00004230" w:rsidRPr="00FA3856" w:rsidRDefault="00BE297B" w:rsidP="00AE58A0">
            <w:pPr>
              <w:rPr>
                <w:szCs w:val="20"/>
              </w:rPr>
            </w:pPr>
            <w:r w:rsidRPr="00FA3856">
              <w:rPr>
                <w:szCs w:val="20"/>
              </w:rPr>
              <w:t>Arts. 66 e 67, Lei n</w:t>
            </w:r>
            <w:r w:rsidRPr="00FA3856">
              <w:rPr>
                <w:szCs w:val="20"/>
                <w:u w:val="single"/>
                <w:vertAlign w:val="superscript"/>
              </w:rPr>
              <w:t>o</w:t>
            </w:r>
            <w:r w:rsidRPr="00FA3856">
              <w:rPr>
                <w:szCs w:val="20"/>
              </w:rPr>
              <w:t xml:space="preserve"> 12.973/14</w:t>
            </w:r>
          </w:p>
          <w:p w:rsidR="004F71A6" w:rsidRPr="00FA3856" w:rsidRDefault="00A746F0" w:rsidP="00AE58A0">
            <w:pPr>
              <w:rPr>
                <w:szCs w:val="20"/>
              </w:rPr>
            </w:pPr>
            <w:r w:rsidRPr="00A746F0">
              <w:rPr>
                <w:bCs/>
                <w:szCs w:val="20"/>
              </w:rPr>
              <w:t>Arts. 295, 296, 298 e 299 da Instrução Normativa RFB nº 1.700, de 14 de março de 2017</w:t>
            </w:r>
          </w:p>
        </w:tc>
        <w:tc>
          <w:tcPr>
            <w:tcW w:w="4502" w:type="dxa"/>
            <w:shd w:val="clear" w:color="auto" w:fill="auto"/>
            <w:noWrap/>
            <w:vAlign w:val="bottom"/>
            <w:hideMark/>
          </w:tcPr>
          <w:p w:rsidR="00004230" w:rsidRPr="00FA3856" w:rsidRDefault="00004230" w:rsidP="00AE58A0">
            <w:pPr>
              <w:rPr>
                <w:szCs w:val="20"/>
              </w:rPr>
            </w:pPr>
            <w:r w:rsidRPr="00FA3856">
              <w:rPr>
                <w:szCs w:val="20"/>
              </w:rPr>
              <w:t>AMORTIZAÇÃO ACUMULADA</w:t>
            </w:r>
          </w:p>
        </w:tc>
      </w:tr>
      <w:tr w:rsidR="00004230" w:rsidRPr="00FA3856" w:rsidTr="00AE58A0">
        <w:trPr>
          <w:trHeight w:val="274"/>
        </w:trPr>
        <w:tc>
          <w:tcPr>
            <w:tcW w:w="774" w:type="dxa"/>
            <w:shd w:val="clear" w:color="auto" w:fill="auto"/>
            <w:noWrap/>
            <w:vAlign w:val="bottom"/>
            <w:hideMark/>
          </w:tcPr>
          <w:p w:rsidR="00004230" w:rsidRPr="00FA3856" w:rsidRDefault="00004230" w:rsidP="00AE58A0">
            <w:pPr>
              <w:jc w:val="center"/>
              <w:rPr>
                <w:szCs w:val="20"/>
              </w:rPr>
            </w:pPr>
            <w:r w:rsidRPr="00FA3856">
              <w:rPr>
                <w:szCs w:val="20"/>
              </w:rPr>
              <w:t>93</w:t>
            </w:r>
          </w:p>
        </w:tc>
        <w:tc>
          <w:tcPr>
            <w:tcW w:w="5920" w:type="dxa"/>
            <w:shd w:val="clear" w:color="auto" w:fill="auto"/>
            <w:noWrap/>
            <w:vAlign w:val="bottom"/>
            <w:hideMark/>
          </w:tcPr>
          <w:p w:rsidR="00004230" w:rsidRPr="00FA3856" w:rsidRDefault="00004230" w:rsidP="00AE58A0">
            <w:pPr>
              <w:rPr>
                <w:szCs w:val="20"/>
              </w:rPr>
            </w:pPr>
            <w:r w:rsidRPr="00FA3856">
              <w:rPr>
                <w:szCs w:val="20"/>
              </w:rPr>
              <w:t xml:space="preserve">SUBCONTA ADOÇÃO INICIAL </w:t>
            </w:r>
            <w:r w:rsidR="00BB76E2" w:rsidRPr="00FA3856">
              <w:rPr>
                <w:szCs w:val="20"/>
              </w:rPr>
              <w:t xml:space="preserve">– VINCULADA OU AUXILIAR </w:t>
            </w:r>
            <w:r w:rsidRPr="00FA3856">
              <w:rPr>
                <w:szCs w:val="20"/>
              </w:rPr>
              <w:t>-  EXAUSTÃO ACUMULADA</w:t>
            </w:r>
          </w:p>
        </w:tc>
        <w:tc>
          <w:tcPr>
            <w:tcW w:w="5139" w:type="dxa"/>
            <w:shd w:val="clear" w:color="auto" w:fill="auto"/>
            <w:noWrap/>
            <w:vAlign w:val="bottom"/>
            <w:hideMark/>
          </w:tcPr>
          <w:p w:rsidR="00004230" w:rsidRPr="00FA3856" w:rsidRDefault="00BE297B" w:rsidP="00AE58A0">
            <w:pPr>
              <w:rPr>
                <w:szCs w:val="20"/>
              </w:rPr>
            </w:pPr>
            <w:r w:rsidRPr="00FA3856">
              <w:rPr>
                <w:szCs w:val="20"/>
              </w:rPr>
              <w:t>Arts. 66 e 67, Lei n</w:t>
            </w:r>
            <w:r w:rsidRPr="00FA3856">
              <w:rPr>
                <w:szCs w:val="20"/>
                <w:u w:val="single"/>
                <w:vertAlign w:val="superscript"/>
              </w:rPr>
              <w:t>o</w:t>
            </w:r>
            <w:r w:rsidRPr="00FA3856">
              <w:rPr>
                <w:szCs w:val="20"/>
              </w:rPr>
              <w:t xml:space="preserve"> 12.973/14</w:t>
            </w:r>
          </w:p>
          <w:p w:rsidR="004F71A6" w:rsidRPr="00FA3856" w:rsidRDefault="00A746F0" w:rsidP="00AE58A0">
            <w:pPr>
              <w:rPr>
                <w:szCs w:val="20"/>
              </w:rPr>
            </w:pPr>
            <w:r w:rsidRPr="00A746F0">
              <w:rPr>
                <w:bCs/>
                <w:szCs w:val="20"/>
              </w:rPr>
              <w:t>Arts. 295, 296, 298 e 299 da Instrução Normativa RFB nº 1.700, de 14 de março de 2017</w:t>
            </w:r>
          </w:p>
        </w:tc>
        <w:tc>
          <w:tcPr>
            <w:tcW w:w="4502" w:type="dxa"/>
            <w:shd w:val="clear" w:color="auto" w:fill="auto"/>
            <w:noWrap/>
            <w:vAlign w:val="bottom"/>
            <w:hideMark/>
          </w:tcPr>
          <w:p w:rsidR="00004230" w:rsidRPr="00FA3856" w:rsidRDefault="00004230" w:rsidP="00AE58A0">
            <w:pPr>
              <w:rPr>
                <w:szCs w:val="20"/>
              </w:rPr>
            </w:pPr>
            <w:r w:rsidRPr="00FA3856">
              <w:rPr>
                <w:szCs w:val="20"/>
              </w:rPr>
              <w:t>EXAUSTÃO ACUMULADA</w:t>
            </w:r>
          </w:p>
        </w:tc>
      </w:tr>
    </w:tbl>
    <w:p w:rsidR="00C94BC1" w:rsidRPr="00FA3856" w:rsidRDefault="00C94BC1" w:rsidP="00A021DA">
      <w:pPr>
        <w:rPr>
          <w:szCs w:val="20"/>
        </w:rPr>
      </w:pPr>
    </w:p>
    <w:p w:rsidR="00D83BF1" w:rsidRPr="00FA3856" w:rsidRDefault="00D83BF1" w:rsidP="0069023E">
      <w:pPr>
        <w:rPr>
          <w:b/>
          <w:bCs/>
          <w:szCs w:val="20"/>
        </w:rPr>
      </w:pPr>
      <w:r w:rsidRPr="00FA3856">
        <w:rPr>
          <w:b/>
          <w:bCs/>
          <w:szCs w:val="20"/>
        </w:rPr>
        <w:t>I – Regras de Validação do Registro:</w:t>
      </w:r>
    </w:p>
    <w:p w:rsidR="00D83BF1" w:rsidRPr="00FA3856" w:rsidRDefault="00D83BF1" w:rsidP="002C58A4">
      <w:pPr>
        <w:pStyle w:val="Corpodetexto"/>
        <w:rPr>
          <w:rFonts w:ascii="Times New Roman" w:hAnsi="Times New Roman"/>
          <w:b/>
          <w:bCs/>
          <w:szCs w:val="20"/>
        </w:rPr>
      </w:pPr>
    </w:p>
    <w:p w:rsidR="00D83BF1" w:rsidRPr="00FA3856" w:rsidRDefault="00D83BF1" w:rsidP="00D83BF1">
      <w:pPr>
        <w:pStyle w:val="PSDS-CorpodeTexto0"/>
        <w:rPr>
          <w:rFonts w:ascii="Times New Roman" w:hAnsi="Times New Roman"/>
          <w:bCs/>
        </w:rPr>
      </w:pPr>
      <w:r w:rsidRPr="00FA3856">
        <w:rPr>
          <w:rFonts w:ascii="Times New Roman" w:hAnsi="Times New Roman"/>
          <w:b/>
          <w:bCs/>
        </w:rPr>
        <w:t>REGRA_REGISTRO_PARA_CONTA_ANALITICA</w:t>
      </w:r>
      <w:r w:rsidR="00841DFD" w:rsidRPr="00FA3856">
        <w:rPr>
          <w:rFonts w:ascii="Times New Roman" w:hAnsi="Times New Roman"/>
          <w:b/>
          <w:bCs/>
        </w:rPr>
        <w:t xml:space="preserve">: </w:t>
      </w:r>
      <w:r w:rsidR="00841DFD" w:rsidRPr="00FA3856">
        <w:rPr>
          <w:rFonts w:ascii="Times New Roman" w:hAnsi="Times New Roman"/>
          <w:bCs/>
        </w:rPr>
        <w:t xml:space="preserve">O registro </w:t>
      </w:r>
      <w:r w:rsidR="00BE297B" w:rsidRPr="00FA3856">
        <w:rPr>
          <w:rFonts w:ascii="Times New Roman" w:hAnsi="Times New Roman"/>
          <w:bCs/>
        </w:rPr>
        <w:t xml:space="preserve">J053 </w:t>
      </w:r>
      <w:r w:rsidR="00841DFD" w:rsidRPr="00FA3856">
        <w:rPr>
          <w:rFonts w:ascii="Times New Roman" w:hAnsi="Times New Roman"/>
          <w:bCs/>
        </w:rPr>
        <w:t xml:space="preserve">somente poderá existir quando o valor do campo </w:t>
      </w:r>
      <w:r w:rsidR="00BE297B" w:rsidRPr="00FA3856">
        <w:rPr>
          <w:rFonts w:ascii="Times New Roman" w:hAnsi="Times New Roman"/>
          <w:bCs/>
        </w:rPr>
        <w:t>J050.</w:t>
      </w:r>
      <w:r w:rsidR="00841DFD" w:rsidRPr="00FA3856">
        <w:rPr>
          <w:rFonts w:ascii="Times New Roman" w:hAnsi="Times New Roman"/>
          <w:bCs/>
        </w:rPr>
        <w:t>IND_CTA for igual a “A” (Analítica). Se a regra não for cum</w:t>
      </w:r>
      <w:r w:rsidR="00BE297B" w:rsidRPr="00FA3856">
        <w:rPr>
          <w:rFonts w:ascii="Times New Roman" w:hAnsi="Times New Roman"/>
          <w:bCs/>
        </w:rPr>
        <w:t>prida, a ECF gera um erro (O</w:t>
      </w:r>
      <w:r w:rsidR="00841DFD" w:rsidRPr="00FA3856">
        <w:rPr>
          <w:rFonts w:ascii="Times New Roman" w:hAnsi="Times New Roman"/>
          <w:bCs/>
        </w:rPr>
        <w:t xml:space="preserve"> erro ocorre se existe </w:t>
      </w:r>
      <w:r w:rsidR="00BE297B" w:rsidRPr="00FA3856">
        <w:rPr>
          <w:rFonts w:ascii="Times New Roman" w:hAnsi="Times New Roman"/>
          <w:bCs/>
        </w:rPr>
        <w:t>o registro J053 e J050.IND_CTA é diferente de</w:t>
      </w:r>
      <w:r w:rsidR="00841DFD" w:rsidRPr="00FA3856">
        <w:rPr>
          <w:rFonts w:ascii="Times New Roman" w:hAnsi="Times New Roman"/>
          <w:bCs/>
        </w:rPr>
        <w:t xml:space="preserve"> “A”).</w:t>
      </w:r>
    </w:p>
    <w:p w:rsidR="00841DFD" w:rsidRPr="00FA3856" w:rsidRDefault="00841DFD" w:rsidP="00D83BF1">
      <w:pPr>
        <w:pStyle w:val="PSDS-CorpodeTexto0"/>
        <w:rPr>
          <w:rFonts w:ascii="Times New Roman" w:hAnsi="Times New Roman"/>
          <w:bCs/>
        </w:rPr>
      </w:pPr>
    </w:p>
    <w:p w:rsidR="00D83BF1" w:rsidRPr="00FA3856" w:rsidRDefault="00D83BF1" w:rsidP="00D83BF1">
      <w:pPr>
        <w:pStyle w:val="PSDS-CorpodeTexto0"/>
        <w:rPr>
          <w:rFonts w:ascii="Times New Roman" w:hAnsi="Times New Roman"/>
          <w:bCs/>
        </w:rPr>
      </w:pPr>
      <w:r w:rsidRPr="00FA3856">
        <w:rPr>
          <w:rFonts w:ascii="Times New Roman" w:hAnsi="Times New Roman"/>
          <w:b/>
          <w:bCs/>
        </w:rPr>
        <w:t>REGRA_COD_CTA_DUPLICIDADE</w:t>
      </w:r>
      <w:r w:rsidR="00841DFD" w:rsidRPr="00FA3856">
        <w:rPr>
          <w:rFonts w:ascii="Times New Roman" w:hAnsi="Times New Roman"/>
          <w:b/>
          <w:bCs/>
        </w:rPr>
        <w:t xml:space="preserve">: </w:t>
      </w:r>
      <w:r w:rsidR="00841DFD" w:rsidRPr="00FA3856">
        <w:rPr>
          <w:rFonts w:ascii="Times New Roman" w:hAnsi="Times New Roman"/>
          <w:bCs/>
        </w:rPr>
        <w:t>Verifi</w:t>
      </w:r>
      <w:r w:rsidR="008F380D" w:rsidRPr="00FA3856">
        <w:rPr>
          <w:rFonts w:ascii="Times New Roman" w:hAnsi="Times New Roman"/>
          <w:bCs/>
        </w:rPr>
        <w:t xml:space="preserve">ca se J053.COD_CNT_CORR </w:t>
      </w:r>
      <w:r w:rsidR="00841DFD" w:rsidRPr="00FA3856">
        <w:rPr>
          <w:rFonts w:ascii="Times New Roman" w:hAnsi="Times New Roman"/>
          <w:bCs/>
        </w:rPr>
        <w:t xml:space="preserve">pertence a uma única conta no plano de contas (J050.COD_CTA). Se a regra não for cumprida, </w:t>
      </w:r>
      <w:r w:rsidR="00BE297B" w:rsidRPr="00FA3856">
        <w:rPr>
          <w:rFonts w:ascii="Times New Roman" w:hAnsi="Times New Roman"/>
          <w:bCs/>
        </w:rPr>
        <w:t>a ECF</w:t>
      </w:r>
      <w:r w:rsidR="00841DFD" w:rsidRPr="00FA3856">
        <w:rPr>
          <w:rFonts w:ascii="Times New Roman" w:hAnsi="Times New Roman"/>
          <w:bCs/>
        </w:rPr>
        <w:t xml:space="preserve"> gera um erro.</w:t>
      </w:r>
    </w:p>
    <w:p w:rsidR="00841DFD" w:rsidRPr="00FA3856" w:rsidRDefault="00841DFD" w:rsidP="00D83BF1">
      <w:pPr>
        <w:pStyle w:val="PSDS-CorpodeTexto0"/>
        <w:rPr>
          <w:rFonts w:ascii="Times New Roman" w:hAnsi="Times New Roman"/>
          <w:bCs/>
        </w:rPr>
      </w:pPr>
    </w:p>
    <w:p w:rsidR="00D83BF1" w:rsidRPr="00FA3856" w:rsidRDefault="00D83BF1" w:rsidP="00D83BF1">
      <w:pPr>
        <w:pStyle w:val="Corpodetexto"/>
        <w:rPr>
          <w:rFonts w:ascii="Times New Roman" w:hAnsi="Times New Roman"/>
          <w:bCs/>
          <w:szCs w:val="20"/>
        </w:rPr>
      </w:pPr>
      <w:r w:rsidRPr="00FA3856">
        <w:rPr>
          <w:rFonts w:ascii="Times New Roman" w:hAnsi="Times New Roman"/>
          <w:b/>
          <w:bCs/>
          <w:szCs w:val="20"/>
        </w:rPr>
        <w:t>REGRA_SUB_CONTA_PAI</w:t>
      </w:r>
      <w:r w:rsidR="00841DFD" w:rsidRPr="00FA3856">
        <w:rPr>
          <w:rFonts w:ascii="Times New Roman" w:hAnsi="Times New Roman"/>
          <w:b/>
          <w:bCs/>
          <w:szCs w:val="20"/>
        </w:rPr>
        <w:t xml:space="preserve">: </w:t>
      </w:r>
      <w:r w:rsidR="00841DFD" w:rsidRPr="00FA3856">
        <w:rPr>
          <w:rFonts w:ascii="Times New Roman" w:hAnsi="Times New Roman"/>
          <w:bCs/>
          <w:szCs w:val="20"/>
        </w:rPr>
        <w:t>Verifica se a subconta não possui filhos J053. Se a regra não for cum</w:t>
      </w:r>
      <w:r w:rsidR="00BE297B" w:rsidRPr="00FA3856">
        <w:rPr>
          <w:rFonts w:ascii="Times New Roman" w:hAnsi="Times New Roman"/>
          <w:bCs/>
          <w:szCs w:val="20"/>
        </w:rPr>
        <w:t>prida, o sistema gera um erro (O</w:t>
      </w:r>
      <w:r w:rsidR="00841DFD" w:rsidRPr="00FA3856">
        <w:rPr>
          <w:rFonts w:ascii="Times New Roman" w:hAnsi="Times New Roman"/>
          <w:bCs/>
          <w:szCs w:val="20"/>
        </w:rPr>
        <w:t xml:space="preserve"> erro ocorre se a conta J050.COD_CTA possui registros filhos J053 e essa conta já foi subconta em outro grupo).</w:t>
      </w:r>
    </w:p>
    <w:p w:rsidR="008F380D" w:rsidRPr="00FA3856" w:rsidRDefault="008F380D" w:rsidP="00D83BF1">
      <w:pPr>
        <w:pStyle w:val="Corpodetexto"/>
        <w:rPr>
          <w:rFonts w:ascii="Times New Roman" w:hAnsi="Times New Roman"/>
          <w:bCs/>
          <w:szCs w:val="20"/>
        </w:rPr>
      </w:pPr>
    </w:p>
    <w:p w:rsidR="00D83BF1" w:rsidRPr="00FA3856" w:rsidRDefault="00D83BF1" w:rsidP="00D83BF1">
      <w:pPr>
        <w:pStyle w:val="PSDS-CorpodeTexto0"/>
        <w:jc w:val="both"/>
        <w:rPr>
          <w:rFonts w:ascii="Times New Roman" w:hAnsi="Times New Roman"/>
          <w:b/>
        </w:rPr>
      </w:pPr>
      <w:r w:rsidRPr="00FA3856">
        <w:rPr>
          <w:rFonts w:ascii="Times New Roman" w:hAnsi="Times New Roman"/>
          <w:b/>
        </w:rPr>
        <w:t>II – Regras de Validação de Campos:</w:t>
      </w:r>
    </w:p>
    <w:p w:rsidR="00841DFD" w:rsidRPr="00FA3856" w:rsidRDefault="00841DFD" w:rsidP="00D83BF1">
      <w:pPr>
        <w:pStyle w:val="PSDS-CorpodeTexto0"/>
        <w:jc w:val="both"/>
        <w:rPr>
          <w:rFonts w:ascii="Times New Roman" w:hAnsi="Times New Roman"/>
          <w:b/>
        </w:rPr>
      </w:pPr>
    </w:p>
    <w:tbl>
      <w:tblPr>
        <w:tblW w:w="5000" w:type="pct"/>
        <w:jc w:val="center"/>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479"/>
        <w:gridCol w:w="1889"/>
        <w:gridCol w:w="13099"/>
        <w:gridCol w:w="793"/>
      </w:tblGrid>
      <w:tr w:rsidR="00D83BF1" w:rsidRPr="00FA3856" w:rsidTr="00D83BF1">
        <w:trPr>
          <w:jc w:val="center"/>
        </w:trPr>
        <w:tc>
          <w:tcPr>
            <w:tcW w:w="147" w:type="pct"/>
            <w:tcBorders>
              <w:top w:val="single" w:sz="4" w:space="0" w:color="auto"/>
              <w:left w:val="single" w:sz="4" w:space="0" w:color="auto"/>
              <w:bottom w:val="single" w:sz="4" w:space="0" w:color="auto"/>
              <w:right w:val="single" w:sz="4" w:space="0" w:color="auto"/>
            </w:tcBorders>
            <w:shd w:val="clear" w:color="auto" w:fill="E6E6E6"/>
            <w:vAlign w:val="center"/>
          </w:tcPr>
          <w:p w:rsidR="00D83BF1" w:rsidRPr="00FA3856" w:rsidRDefault="00D83BF1" w:rsidP="003F38AC">
            <w:pPr>
              <w:pStyle w:val="PSDS-CorpodeTexto0"/>
              <w:jc w:val="center"/>
              <w:rPr>
                <w:rFonts w:ascii="Times New Roman" w:hAnsi="Times New Roman"/>
                <w:b/>
                <w:bCs/>
              </w:rPr>
            </w:pPr>
            <w:r w:rsidRPr="00FA3856">
              <w:rPr>
                <w:rFonts w:ascii="Times New Roman" w:hAnsi="Times New Roman"/>
                <w:b/>
                <w:bCs/>
              </w:rPr>
              <w:t>Nº</w:t>
            </w:r>
          </w:p>
        </w:tc>
        <w:tc>
          <w:tcPr>
            <w:tcW w:w="581" w:type="pct"/>
            <w:tcBorders>
              <w:top w:val="single" w:sz="4" w:space="0" w:color="auto"/>
              <w:left w:val="single" w:sz="4" w:space="0" w:color="auto"/>
              <w:bottom w:val="single" w:sz="4" w:space="0" w:color="auto"/>
              <w:right w:val="single" w:sz="4" w:space="0" w:color="auto"/>
            </w:tcBorders>
            <w:shd w:val="clear" w:color="auto" w:fill="E6E6E6"/>
            <w:vAlign w:val="center"/>
          </w:tcPr>
          <w:p w:rsidR="00D83BF1" w:rsidRPr="00FA3856" w:rsidRDefault="00D83BF1" w:rsidP="003F38AC">
            <w:pPr>
              <w:pStyle w:val="PSDS-CorpodeTexto0"/>
              <w:jc w:val="center"/>
              <w:rPr>
                <w:rFonts w:ascii="Times New Roman" w:hAnsi="Times New Roman"/>
                <w:b/>
                <w:bCs/>
              </w:rPr>
            </w:pPr>
            <w:r w:rsidRPr="00FA3856">
              <w:rPr>
                <w:rFonts w:ascii="Times New Roman" w:hAnsi="Times New Roman"/>
                <w:b/>
                <w:bCs/>
              </w:rPr>
              <w:t>Campo</w:t>
            </w:r>
          </w:p>
        </w:tc>
        <w:tc>
          <w:tcPr>
            <w:tcW w:w="4028" w:type="pct"/>
            <w:tcBorders>
              <w:top w:val="single" w:sz="4" w:space="0" w:color="auto"/>
              <w:left w:val="single" w:sz="4" w:space="0" w:color="auto"/>
              <w:bottom w:val="single" w:sz="4" w:space="0" w:color="auto"/>
              <w:right w:val="single" w:sz="4" w:space="0" w:color="auto"/>
            </w:tcBorders>
            <w:shd w:val="clear" w:color="auto" w:fill="E6E6E6"/>
            <w:tcMar>
              <w:top w:w="0" w:type="dxa"/>
              <w:left w:w="70" w:type="dxa"/>
              <w:bottom w:w="0" w:type="dxa"/>
              <w:right w:w="70" w:type="dxa"/>
            </w:tcMar>
          </w:tcPr>
          <w:p w:rsidR="00D83BF1" w:rsidRPr="00FA3856" w:rsidRDefault="00D83BF1" w:rsidP="003F38AC">
            <w:pPr>
              <w:pStyle w:val="PSDS-CorpodeTexto0"/>
              <w:jc w:val="center"/>
              <w:rPr>
                <w:rFonts w:ascii="Times New Roman" w:hAnsi="Times New Roman"/>
                <w:b/>
                <w:bCs/>
              </w:rPr>
            </w:pPr>
            <w:r w:rsidRPr="00FA3856">
              <w:rPr>
                <w:rFonts w:ascii="Times New Roman" w:hAnsi="Times New Roman"/>
                <w:b/>
                <w:bCs/>
              </w:rPr>
              <w:t>Regras de Validação do Campo</w:t>
            </w:r>
          </w:p>
        </w:tc>
        <w:tc>
          <w:tcPr>
            <w:tcW w:w="244" w:type="pct"/>
            <w:tcBorders>
              <w:top w:val="single" w:sz="4" w:space="0" w:color="auto"/>
              <w:left w:val="single" w:sz="4" w:space="0" w:color="auto"/>
              <w:bottom w:val="single" w:sz="4" w:space="0" w:color="auto"/>
              <w:right w:val="single" w:sz="4" w:space="0" w:color="auto"/>
            </w:tcBorders>
            <w:shd w:val="clear" w:color="auto" w:fill="E6E6E6"/>
            <w:vAlign w:val="center"/>
          </w:tcPr>
          <w:p w:rsidR="00D83BF1" w:rsidRPr="00FA3856" w:rsidRDefault="00D83BF1" w:rsidP="003F38AC">
            <w:pPr>
              <w:pStyle w:val="PSDS-CorpodeTexto0"/>
              <w:jc w:val="center"/>
              <w:rPr>
                <w:rFonts w:ascii="Times New Roman" w:hAnsi="Times New Roman"/>
                <w:b/>
                <w:bCs/>
              </w:rPr>
            </w:pPr>
            <w:r w:rsidRPr="00FA3856">
              <w:rPr>
                <w:rFonts w:ascii="Times New Roman" w:hAnsi="Times New Roman"/>
                <w:b/>
                <w:bCs/>
              </w:rPr>
              <w:t>Tipo</w:t>
            </w:r>
          </w:p>
        </w:tc>
      </w:tr>
      <w:tr w:rsidR="00D83BF1" w:rsidRPr="00FA3856" w:rsidTr="00D83BF1">
        <w:trPr>
          <w:jc w:val="center"/>
        </w:trPr>
        <w:tc>
          <w:tcPr>
            <w:tcW w:w="147" w:type="pct"/>
            <w:tcBorders>
              <w:top w:val="single" w:sz="4" w:space="0" w:color="auto"/>
              <w:left w:val="single" w:sz="4" w:space="0" w:color="auto"/>
              <w:bottom w:val="single" w:sz="4" w:space="0" w:color="auto"/>
              <w:right w:val="single" w:sz="4" w:space="0" w:color="auto"/>
            </w:tcBorders>
          </w:tcPr>
          <w:p w:rsidR="00D83BF1" w:rsidRPr="00FA3856" w:rsidRDefault="00D83BF1" w:rsidP="003F38AC">
            <w:pPr>
              <w:widowControl w:val="0"/>
              <w:autoSpaceDE w:val="0"/>
              <w:autoSpaceDN w:val="0"/>
              <w:adjustRightInd w:val="0"/>
              <w:jc w:val="both"/>
              <w:rPr>
                <w:b/>
                <w:szCs w:val="20"/>
                <w:lang w:val="pt-PT"/>
              </w:rPr>
            </w:pPr>
            <w:r w:rsidRPr="00FA3856">
              <w:rPr>
                <w:b/>
                <w:szCs w:val="20"/>
                <w:lang w:val="pt-PT"/>
              </w:rPr>
              <w:t>2</w:t>
            </w:r>
          </w:p>
        </w:tc>
        <w:tc>
          <w:tcPr>
            <w:tcW w:w="581" w:type="pct"/>
            <w:tcBorders>
              <w:top w:val="single" w:sz="4" w:space="0" w:color="auto"/>
              <w:left w:val="single" w:sz="4" w:space="0" w:color="auto"/>
              <w:bottom w:val="single" w:sz="4" w:space="0" w:color="auto"/>
              <w:right w:val="single" w:sz="4" w:space="0" w:color="auto"/>
            </w:tcBorders>
          </w:tcPr>
          <w:p w:rsidR="00D83BF1" w:rsidRPr="00FA3856" w:rsidRDefault="00D83BF1" w:rsidP="003F38AC">
            <w:pPr>
              <w:jc w:val="both"/>
              <w:rPr>
                <w:szCs w:val="20"/>
                <w:lang w:val="pt-PT"/>
              </w:rPr>
            </w:pPr>
            <w:r w:rsidRPr="00FA3856">
              <w:rPr>
                <w:szCs w:val="20"/>
              </w:rPr>
              <w:t>COD_IDT</w:t>
            </w:r>
          </w:p>
        </w:tc>
        <w:tc>
          <w:tcPr>
            <w:tcW w:w="402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D83BF1" w:rsidRPr="00FA3856" w:rsidRDefault="00D83BF1" w:rsidP="00F64815">
            <w:pPr>
              <w:pStyle w:val="Corpodetexto"/>
              <w:rPr>
                <w:rFonts w:ascii="Times New Roman" w:hAnsi="Times New Roman"/>
                <w:szCs w:val="20"/>
              </w:rPr>
            </w:pPr>
            <w:r w:rsidRPr="00FA3856">
              <w:rPr>
                <w:rFonts w:ascii="Times New Roman" w:hAnsi="Times New Roman"/>
                <w:b/>
                <w:szCs w:val="20"/>
              </w:rPr>
              <w:t>REGRA_COD_IDT_UNICO_POR_CONTA:</w:t>
            </w:r>
            <w:r w:rsidR="00841DFD" w:rsidRPr="00FA3856">
              <w:rPr>
                <w:rFonts w:ascii="Times New Roman" w:hAnsi="Times New Roman"/>
                <w:b/>
                <w:szCs w:val="20"/>
              </w:rPr>
              <w:t xml:space="preserve"> </w:t>
            </w:r>
            <w:r w:rsidR="00841DFD" w:rsidRPr="00FA3856">
              <w:rPr>
                <w:rFonts w:ascii="Times New Roman" w:hAnsi="Times New Roman"/>
                <w:szCs w:val="20"/>
              </w:rPr>
              <w:t>Verifica se todos os J053 filhos de uma conta do plano de contas (J050.COD_CTA) possue</w:t>
            </w:r>
            <w:r w:rsidR="008F380D" w:rsidRPr="00FA3856">
              <w:rPr>
                <w:rFonts w:ascii="Times New Roman" w:hAnsi="Times New Roman"/>
                <w:szCs w:val="20"/>
              </w:rPr>
              <w:t>m o mesmo J053.COD_IDT</w:t>
            </w:r>
            <w:r w:rsidR="00841DFD" w:rsidRPr="00FA3856">
              <w:rPr>
                <w:rFonts w:ascii="Times New Roman" w:hAnsi="Times New Roman"/>
                <w:szCs w:val="20"/>
              </w:rPr>
              <w:t>. O erro ocorre se os filhos de uma conta do plano de contas (J050) possuem J053.COD_IDT diferentes entre si.</w:t>
            </w:r>
            <w:r w:rsidR="00F64815" w:rsidRPr="00FA3856">
              <w:rPr>
                <w:rFonts w:ascii="Times New Roman" w:hAnsi="Times New Roman"/>
                <w:szCs w:val="20"/>
              </w:rPr>
              <w:t xml:space="preserve"> </w:t>
            </w:r>
          </w:p>
        </w:tc>
        <w:tc>
          <w:tcPr>
            <w:tcW w:w="244" w:type="pct"/>
            <w:tcBorders>
              <w:top w:val="single" w:sz="4" w:space="0" w:color="auto"/>
              <w:left w:val="single" w:sz="4" w:space="0" w:color="auto"/>
              <w:bottom w:val="single" w:sz="4" w:space="0" w:color="auto"/>
              <w:right w:val="single" w:sz="4" w:space="0" w:color="auto"/>
            </w:tcBorders>
          </w:tcPr>
          <w:p w:rsidR="00D83BF1" w:rsidRPr="00FA3856" w:rsidRDefault="00D83BF1" w:rsidP="003F38AC">
            <w:pPr>
              <w:jc w:val="both"/>
              <w:rPr>
                <w:szCs w:val="20"/>
                <w:lang w:val="pt-PT"/>
              </w:rPr>
            </w:pPr>
            <w:r w:rsidRPr="00FA3856">
              <w:rPr>
                <w:szCs w:val="20"/>
                <w:lang w:val="pt-PT"/>
              </w:rPr>
              <w:t>Erro</w:t>
            </w:r>
          </w:p>
        </w:tc>
      </w:tr>
      <w:tr w:rsidR="00D83BF1" w:rsidRPr="00FA3856" w:rsidTr="003F38AC">
        <w:trPr>
          <w:jc w:val="center"/>
        </w:trPr>
        <w:tc>
          <w:tcPr>
            <w:tcW w:w="147" w:type="pct"/>
            <w:tcBorders>
              <w:top w:val="single" w:sz="4" w:space="0" w:color="auto"/>
              <w:left w:val="single" w:sz="4" w:space="0" w:color="auto"/>
              <w:bottom w:val="single" w:sz="4" w:space="0" w:color="auto"/>
              <w:right w:val="single" w:sz="4" w:space="0" w:color="auto"/>
            </w:tcBorders>
          </w:tcPr>
          <w:p w:rsidR="00D83BF1" w:rsidRPr="00FA3856" w:rsidRDefault="00D83BF1" w:rsidP="003F38AC">
            <w:pPr>
              <w:widowControl w:val="0"/>
              <w:autoSpaceDE w:val="0"/>
              <w:autoSpaceDN w:val="0"/>
              <w:adjustRightInd w:val="0"/>
              <w:jc w:val="both"/>
              <w:rPr>
                <w:b/>
                <w:szCs w:val="20"/>
                <w:lang w:val="pt-PT"/>
              </w:rPr>
            </w:pPr>
            <w:r w:rsidRPr="00FA3856">
              <w:rPr>
                <w:b/>
                <w:szCs w:val="20"/>
                <w:lang w:val="pt-PT"/>
              </w:rPr>
              <w:t>3</w:t>
            </w:r>
          </w:p>
        </w:tc>
        <w:tc>
          <w:tcPr>
            <w:tcW w:w="581" w:type="pct"/>
            <w:tcBorders>
              <w:top w:val="single" w:sz="4" w:space="0" w:color="auto"/>
              <w:left w:val="single" w:sz="4" w:space="0" w:color="auto"/>
              <w:bottom w:val="single" w:sz="4" w:space="0" w:color="auto"/>
              <w:right w:val="single" w:sz="4" w:space="0" w:color="auto"/>
            </w:tcBorders>
          </w:tcPr>
          <w:p w:rsidR="00D83BF1" w:rsidRPr="00FA3856" w:rsidRDefault="00D83BF1" w:rsidP="003F38AC">
            <w:pPr>
              <w:jc w:val="both"/>
              <w:rPr>
                <w:szCs w:val="20"/>
                <w:lang w:val="pt-PT"/>
              </w:rPr>
            </w:pPr>
            <w:r w:rsidRPr="00FA3856">
              <w:rPr>
                <w:szCs w:val="20"/>
              </w:rPr>
              <w:t>COD_CNT_CORR</w:t>
            </w:r>
          </w:p>
        </w:tc>
        <w:tc>
          <w:tcPr>
            <w:tcW w:w="402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D83BF1" w:rsidRPr="00FA3856" w:rsidRDefault="00D83BF1" w:rsidP="00F64815">
            <w:pPr>
              <w:pStyle w:val="Corpodetexto"/>
              <w:rPr>
                <w:rFonts w:ascii="Times New Roman" w:hAnsi="Times New Roman"/>
                <w:szCs w:val="20"/>
              </w:rPr>
            </w:pPr>
            <w:r w:rsidRPr="00FA3856">
              <w:rPr>
                <w:rFonts w:ascii="Times New Roman" w:hAnsi="Times New Roman"/>
                <w:b/>
                <w:szCs w:val="20"/>
              </w:rPr>
              <w:t>REGRA_SUBCONTA_NO_PLANO_CONTAS:</w:t>
            </w:r>
            <w:r w:rsidR="00312603" w:rsidRPr="00FA3856">
              <w:rPr>
                <w:rFonts w:ascii="Times New Roman" w:hAnsi="Times New Roman"/>
                <w:b/>
                <w:szCs w:val="20"/>
              </w:rPr>
              <w:t xml:space="preserve"> </w:t>
            </w:r>
            <w:r w:rsidR="00312603" w:rsidRPr="00FA3856">
              <w:rPr>
                <w:rFonts w:ascii="Times New Roman" w:hAnsi="Times New Roman"/>
                <w:szCs w:val="20"/>
              </w:rPr>
              <w:t>Verifica se a subconta informada no registro J053 (J053.COD_CNT_CORR) existe no plano de contas (J050.COD_CTA).</w:t>
            </w:r>
            <w:r w:rsidR="00F64815" w:rsidRPr="00FA3856">
              <w:rPr>
                <w:rFonts w:ascii="Times New Roman" w:hAnsi="Times New Roman"/>
                <w:szCs w:val="20"/>
              </w:rPr>
              <w:t xml:space="preserve"> </w:t>
            </w:r>
          </w:p>
        </w:tc>
        <w:tc>
          <w:tcPr>
            <w:tcW w:w="244" w:type="pct"/>
            <w:tcBorders>
              <w:top w:val="single" w:sz="4" w:space="0" w:color="auto"/>
              <w:left w:val="single" w:sz="4" w:space="0" w:color="auto"/>
              <w:bottom w:val="single" w:sz="4" w:space="0" w:color="auto"/>
              <w:right w:val="single" w:sz="4" w:space="0" w:color="auto"/>
            </w:tcBorders>
          </w:tcPr>
          <w:p w:rsidR="00D83BF1" w:rsidRPr="00FA3856" w:rsidRDefault="00D83BF1" w:rsidP="003F38AC">
            <w:pPr>
              <w:jc w:val="both"/>
              <w:rPr>
                <w:szCs w:val="20"/>
                <w:lang w:val="pt-PT"/>
              </w:rPr>
            </w:pPr>
            <w:r w:rsidRPr="00FA3856">
              <w:rPr>
                <w:szCs w:val="20"/>
                <w:lang w:val="pt-PT"/>
              </w:rPr>
              <w:t>Erro</w:t>
            </w:r>
          </w:p>
        </w:tc>
      </w:tr>
      <w:tr w:rsidR="00D83BF1" w:rsidRPr="00FA3856" w:rsidTr="00D83BF1">
        <w:trPr>
          <w:jc w:val="center"/>
        </w:trPr>
        <w:tc>
          <w:tcPr>
            <w:tcW w:w="147" w:type="pct"/>
            <w:tcBorders>
              <w:top w:val="single" w:sz="4" w:space="0" w:color="auto"/>
              <w:left w:val="single" w:sz="4" w:space="0" w:color="auto"/>
              <w:bottom w:val="single" w:sz="4" w:space="0" w:color="auto"/>
              <w:right w:val="single" w:sz="4" w:space="0" w:color="auto"/>
            </w:tcBorders>
          </w:tcPr>
          <w:p w:rsidR="00D83BF1" w:rsidRPr="00FA3856" w:rsidRDefault="00D83BF1" w:rsidP="003F38AC">
            <w:pPr>
              <w:widowControl w:val="0"/>
              <w:autoSpaceDE w:val="0"/>
              <w:autoSpaceDN w:val="0"/>
              <w:adjustRightInd w:val="0"/>
              <w:jc w:val="both"/>
              <w:rPr>
                <w:b/>
                <w:szCs w:val="20"/>
                <w:lang w:val="pt-PT"/>
              </w:rPr>
            </w:pPr>
            <w:r w:rsidRPr="00FA3856">
              <w:rPr>
                <w:b/>
                <w:szCs w:val="20"/>
                <w:lang w:val="pt-PT"/>
              </w:rPr>
              <w:t>4</w:t>
            </w:r>
          </w:p>
        </w:tc>
        <w:tc>
          <w:tcPr>
            <w:tcW w:w="581" w:type="pct"/>
            <w:tcBorders>
              <w:top w:val="single" w:sz="4" w:space="0" w:color="auto"/>
              <w:left w:val="single" w:sz="4" w:space="0" w:color="auto"/>
              <w:bottom w:val="single" w:sz="4" w:space="0" w:color="auto"/>
              <w:right w:val="single" w:sz="4" w:space="0" w:color="auto"/>
            </w:tcBorders>
          </w:tcPr>
          <w:p w:rsidR="00D83BF1" w:rsidRPr="00FA3856" w:rsidRDefault="00D83BF1" w:rsidP="00D83BF1">
            <w:pPr>
              <w:jc w:val="both"/>
              <w:rPr>
                <w:szCs w:val="20"/>
                <w:lang w:val="pt-PT"/>
              </w:rPr>
            </w:pPr>
            <w:r w:rsidRPr="00FA3856">
              <w:rPr>
                <w:szCs w:val="20"/>
              </w:rPr>
              <w:t>NAT</w:t>
            </w:r>
            <w:r w:rsidR="00841DFD" w:rsidRPr="00FA3856">
              <w:rPr>
                <w:szCs w:val="20"/>
              </w:rPr>
              <w:t>_SUB_CNT</w:t>
            </w:r>
          </w:p>
        </w:tc>
        <w:tc>
          <w:tcPr>
            <w:tcW w:w="402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D83BF1" w:rsidRPr="00FA3856" w:rsidRDefault="00D83BF1" w:rsidP="00BB76E2">
            <w:pPr>
              <w:pStyle w:val="Corpodetexto"/>
              <w:rPr>
                <w:rFonts w:ascii="Times New Roman" w:hAnsi="Times New Roman"/>
                <w:szCs w:val="20"/>
              </w:rPr>
            </w:pPr>
            <w:r w:rsidRPr="00FA3856">
              <w:rPr>
                <w:rFonts w:ascii="Times New Roman" w:hAnsi="Times New Roman"/>
                <w:b/>
                <w:szCs w:val="20"/>
              </w:rPr>
              <w:t>REGRA_</w:t>
            </w:r>
            <w:r w:rsidR="00841DFD" w:rsidRPr="00FA3856">
              <w:rPr>
                <w:rFonts w:ascii="Times New Roman" w:hAnsi="Times New Roman"/>
                <w:b/>
                <w:szCs w:val="20"/>
              </w:rPr>
              <w:t>NAT_090_UNICA_POR_CONTA</w:t>
            </w:r>
            <w:r w:rsidRPr="00FA3856">
              <w:rPr>
                <w:rFonts w:ascii="Times New Roman" w:hAnsi="Times New Roman"/>
                <w:b/>
                <w:szCs w:val="20"/>
              </w:rPr>
              <w:t>:</w:t>
            </w:r>
            <w:r w:rsidR="00312603" w:rsidRPr="00FA3856">
              <w:rPr>
                <w:rFonts w:ascii="Times New Roman" w:hAnsi="Times New Roman"/>
                <w:b/>
                <w:szCs w:val="20"/>
              </w:rPr>
              <w:t xml:space="preserve"> </w:t>
            </w:r>
            <w:r w:rsidR="00312603" w:rsidRPr="00FA3856">
              <w:rPr>
                <w:rFonts w:ascii="Times New Roman" w:hAnsi="Times New Roman"/>
                <w:szCs w:val="20"/>
              </w:rPr>
              <w:t xml:space="preserve">Verifica se existe </w:t>
            </w:r>
            <w:r w:rsidR="00BB76E2" w:rsidRPr="00FA3856">
              <w:rPr>
                <w:rFonts w:ascii="Times New Roman" w:hAnsi="Times New Roman"/>
                <w:szCs w:val="20"/>
              </w:rPr>
              <w:t>no máximo duas</w:t>
            </w:r>
            <w:r w:rsidR="00312603" w:rsidRPr="00FA3856">
              <w:rPr>
                <w:rFonts w:ascii="Times New Roman" w:hAnsi="Times New Roman"/>
                <w:szCs w:val="20"/>
              </w:rPr>
              <w:t xml:space="preserve"> subconta</w:t>
            </w:r>
            <w:r w:rsidR="00BB76E2" w:rsidRPr="00FA3856">
              <w:rPr>
                <w:rFonts w:ascii="Times New Roman" w:hAnsi="Times New Roman"/>
                <w:szCs w:val="20"/>
              </w:rPr>
              <w:t>s</w:t>
            </w:r>
            <w:r w:rsidR="00312603" w:rsidRPr="00FA3856">
              <w:rPr>
                <w:rFonts w:ascii="Times New Roman" w:hAnsi="Times New Roman"/>
                <w:szCs w:val="20"/>
              </w:rPr>
              <w:t xml:space="preserve"> de natureza 90</w:t>
            </w:r>
            <w:r w:rsidR="00753538" w:rsidRPr="00FA3856">
              <w:rPr>
                <w:rFonts w:ascii="Times New Roman" w:hAnsi="Times New Roman"/>
                <w:szCs w:val="20"/>
              </w:rPr>
              <w:t xml:space="preserve"> ou 91 ou 92 ou 93 ou 95</w:t>
            </w:r>
            <w:r w:rsidR="00312603" w:rsidRPr="00FA3856">
              <w:rPr>
                <w:rFonts w:ascii="Times New Roman" w:hAnsi="Times New Roman"/>
                <w:szCs w:val="20"/>
              </w:rPr>
              <w:t xml:space="preserve"> (J053.NAT_SUB_CNT) para cada conta (J050.COD_CTA).</w:t>
            </w:r>
            <w:r w:rsidR="00F64815" w:rsidRPr="00FA3856">
              <w:rPr>
                <w:rFonts w:ascii="Times New Roman" w:hAnsi="Times New Roman"/>
                <w:szCs w:val="20"/>
              </w:rPr>
              <w:t xml:space="preserve"> </w:t>
            </w:r>
          </w:p>
        </w:tc>
        <w:tc>
          <w:tcPr>
            <w:tcW w:w="244" w:type="pct"/>
            <w:tcBorders>
              <w:top w:val="single" w:sz="4" w:space="0" w:color="auto"/>
              <w:left w:val="single" w:sz="4" w:space="0" w:color="auto"/>
              <w:bottom w:val="single" w:sz="4" w:space="0" w:color="auto"/>
              <w:right w:val="single" w:sz="4" w:space="0" w:color="auto"/>
            </w:tcBorders>
          </w:tcPr>
          <w:p w:rsidR="00D83BF1" w:rsidRPr="00FA3856" w:rsidRDefault="00D83BF1" w:rsidP="003F38AC">
            <w:pPr>
              <w:jc w:val="both"/>
              <w:rPr>
                <w:szCs w:val="20"/>
                <w:lang w:val="pt-PT"/>
              </w:rPr>
            </w:pPr>
            <w:r w:rsidRPr="00FA3856">
              <w:rPr>
                <w:szCs w:val="20"/>
                <w:lang w:val="pt-PT"/>
              </w:rPr>
              <w:t>Erro</w:t>
            </w:r>
          </w:p>
        </w:tc>
      </w:tr>
    </w:tbl>
    <w:p w:rsidR="0069023E" w:rsidRPr="00FA3856" w:rsidRDefault="0069023E" w:rsidP="002C58A4">
      <w:pPr>
        <w:pStyle w:val="Corpodetexto"/>
        <w:rPr>
          <w:rFonts w:ascii="Times New Roman" w:hAnsi="Times New Roman"/>
          <w:b/>
          <w:color w:val="002060"/>
          <w:szCs w:val="20"/>
        </w:rPr>
      </w:pPr>
    </w:p>
    <w:p w:rsidR="00342F1D" w:rsidRDefault="002C58A4" w:rsidP="002C58A4">
      <w:pPr>
        <w:pStyle w:val="Corpodetexto"/>
        <w:rPr>
          <w:rFonts w:ascii="Times New Roman" w:hAnsi="Times New Roman"/>
          <w:color w:val="002060"/>
          <w:szCs w:val="20"/>
        </w:rPr>
      </w:pPr>
      <w:r w:rsidRPr="00FA3856">
        <w:rPr>
          <w:rFonts w:ascii="Times New Roman" w:hAnsi="Times New Roman"/>
          <w:b/>
          <w:color w:val="002060"/>
          <w:szCs w:val="20"/>
        </w:rPr>
        <w:t>Exemplo de Preenchimento:</w:t>
      </w:r>
      <w:r w:rsidRPr="00FA3856">
        <w:rPr>
          <w:rFonts w:ascii="Times New Roman" w:hAnsi="Times New Roman"/>
          <w:color w:val="002060"/>
          <w:szCs w:val="20"/>
        </w:rPr>
        <w:t xml:space="preserve"> </w:t>
      </w:r>
    </w:p>
    <w:p w:rsidR="00342F1D" w:rsidRDefault="00342F1D" w:rsidP="002C58A4">
      <w:pPr>
        <w:pStyle w:val="Corpodetexto"/>
        <w:rPr>
          <w:rFonts w:ascii="Times New Roman" w:hAnsi="Times New Roman"/>
          <w:color w:val="002060"/>
          <w:szCs w:val="20"/>
        </w:rPr>
      </w:pPr>
    </w:p>
    <w:p w:rsidR="002C58A4" w:rsidRPr="00FA3856" w:rsidRDefault="002C58A4" w:rsidP="002C58A4">
      <w:pPr>
        <w:pStyle w:val="Corpodetexto"/>
        <w:rPr>
          <w:rFonts w:ascii="Times New Roman" w:hAnsi="Times New Roman"/>
          <w:color w:val="002060"/>
          <w:szCs w:val="20"/>
        </w:rPr>
      </w:pPr>
      <w:r w:rsidRPr="00FA3856">
        <w:rPr>
          <w:rFonts w:ascii="Times New Roman" w:hAnsi="Times New Roman"/>
          <w:b/>
          <w:color w:val="002060"/>
          <w:szCs w:val="20"/>
        </w:rPr>
        <w:t>|J053|FT1234</w:t>
      </w:r>
      <w:r w:rsidR="00255D65" w:rsidRPr="00FA3856">
        <w:rPr>
          <w:rFonts w:ascii="Times New Roman" w:hAnsi="Times New Roman"/>
          <w:b/>
          <w:color w:val="002060"/>
          <w:szCs w:val="20"/>
        </w:rPr>
        <w:t>|1.05.01.10</w:t>
      </w:r>
      <w:r w:rsidRPr="00FA3856">
        <w:rPr>
          <w:rFonts w:ascii="Times New Roman" w:hAnsi="Times New Roman"/>
          <w:b/>
          <w:color w:val="002060"/>
          <w:szCs w:val="20"/>
        </w:rPr>
        <w:t>|</w:t>
      </w:r>
      <w:r w:rsidR="008A6736" w:rsidRPr="00FA3856">
        <w:rPr>
          <w:rFonts w:ascii="Times New Roman" w:hAnsi="Times New Roman"/>
          <w:b/>
          <w:color w:val="002060"/>
          <w:szCs w:val="20"/>
        </w:rPr>
        <w:t>02</w:t>
      </w:r>
      <w:r w:rsidR="00255D65" w:rsidRPr="00FA3856">
        <w:rPr>
          <w:rFonts w:ascii="Times New Roman" w:hAnsi="Times New Roman"/>
          <w:b/>
          <w:color w:val="002060"/>
          <w:szCs w:val="20"/>
        </w:rPr>
        <w:t>|</w:t>
      </w:r>
    </w:p>
    <w:p w:rsidR="002C58A4" w:rsidRPr="00FA3856" w:rsidRDefault="002C58A4" w:rsidP="002C58A4">
      <w:pPr>
        <w:pStyle w:val="Corpodetexto"/>
        <w:ind w:firstLine="708"/>
        <w:rPr>
          <w:rFonts w:ascii="Times New Roman" w:hAnsi="Times New Roman"/>
          <w:color w:val="002060"/>
          <w:szCs w:val="20"/>
        </w:rPr>
      </w:pPr>
      <w:r w:rsidRPr="00FA3856">
        <w:rPr>
          <w:rFonts w:ascii="Times New Roman" w:hAnsi="Times New Roman"/>
          <w:color w:val="002060"/>
          <w:szCs w:val="20"/>
        </w:rPr>
        <w:t>|J053|: Identificação do tipo do registro.</w:t>
      </w:r>
    </w:p>
    <w:p w:rsidR="002C58A4" w:rsidRPr="00FA3856" w:rsidRDefault="002C58A4" w:rsidP="002C58A4">
      <w:pPr>
        <w:pStyle w:val="Corpodetexto"/>
        <w:ind w:firstLine="708"/>
        <w:rPr>
          <w:rFonts w:ascii="Times New Roman" w:hAnsi="Times New Roman"/>
          <w:color w:val="002060"/>
          <w:szCs w:val="20"/>
        </w:rPr>
      </w:pPr>
      <w:r w:rsidRPr="00FA3856">
        <w:rPr>
          <w:rFonts w:ascii="Times New Roman" w:hAnsi="Times New Roman"/>
          <w:color w:val="002060"/>
          <w:szCs w:val="20"/>
        </w:rPr>
        <w:t>|FT1234|: Código de identificação do grupo conta-subconta(s).</w:t>
      </w:r>
    </w:p>
    <w:p w:rsidR="00255D65" w:rsidRPr="00FA3856" w:rsidRDefault="00255D65" w:rsidP="002C58A4">
      <w:pPr>
        <w:pStyle w:val="Corpodetexto"/>
        <w:ind w:firstLine="708"/>
        <w:rPr>
          <w:rFonts w:ascii="Times New Roman" w:hAnsi="Times New Roman"/>
          <w:color w:val="002060"/>
          <w:szCs w:val="20"/>
        </w:rPr>
      </w:pPr>
      <w:r w:rsidRPr="00FA3856">
        <w:rPr>
          <w:rFonts w:ascii="Times New Roman" w:hAnsi="Times New Roman"/>
          <w:color w:val="002060"/>
          <w:szCs w:val="20"/>
        </w:rPr>
        <w:t>|1.05.01.10|: Código da subconta correlata.</w:t>
      </w:r>
    </w:p>
    <w:p w:rsidR="00255D65" w:rsidRPr="00FA3856" w:rsidRDefault="008A6736" w:rsidP="002C58A4">
      <w:pPr>
        <w:pStyle w:val="Corpodetexto"/>
        <w:ind w:firstLine="708"/>
        <w:rPr>
          <w:rFonts w:ascii="Times New Roman" w:hAnsi="Times New Roman"/>
          <w:color w:val="002060"/>
          <w:szCs w:val="20"/>
        </w:rPr>
      </w:pPr>
      <w:r w:rsidRPr="00FA3856">
        <w:rPr>
          <w:rFonts w:ascii="Times New Roman" w:hAnsi="Times New Roman"/>
          <w:color w:val="002060"/>
          <w:szCs w:val="20"/>
        </w:rPr>
        <w:t>|02</w:t>
      </w:r>
      <w:r w:rsidR="00255D65" w:rsidRPr="00FA3856">
        <w:rPr>
          <w:rFonts w:ascii="Times New Roman" w:hAnsi="Times New Roman"/>
          <w:color w:val="002060"/>
          <w:szCs w:val="20"/>
        </w:rPr>
        <w:t>|: Natureza da subconta correlata (</w:t>
      </w:r>
      <w:r w:rsidRPr="00FA3856">
        <w:rPr>
          <w:rFonts w:ascii="Times New Roman" w:hAnsi="Times New Roman"/>
          <w:color w:val="002060"/>
          <w:szCs w:val="20"/>
        </w:rPr>
        <w:t>02 = SUBCONTA TBU - CONTROLADA DIRETA NO EXTERIOR</w:t>
      </w:r>
      <w:r w:rsidR="00255D65" w:rsidRPr="00FA3856">
        <w:rPr>
          <w:rFonts w:ascii="Times New Roman" w:hAnsi="Times New Roman"/>
          <w:color w:val="002060"/>
          <w:szCs w:val="20"/>
        </w:rPr>
        <w:t>).</w:t>
      </w:r>
    </w:p>
    <w:p w:rsidR="00FC7ABA" w:rsidRPr="00FA3856" w:rsidRDefault="00FC7ABA" w:rsidP="00FC7ABA">
      <w:pPr>
        <w:pStyle w:val="Cabealho"/>
        <w:widowControl w:val="0"/>
        <w:autoSpaceDE w:val="0"/>
        <w:rPr>
          <w:rFonts w:ascii="Times New Roman" w:hAnsi="Times New Roman" w:cs="Times New Roman"/>
          <w:sz w:val="20"/>
          <w:szCs w:val="20"/>
        </w:rPr>
      </w:pPr>
    </w:p>
    <w:p w:rsidR="0069023E" w:rsidRPr="00FA3856" w:rsidRDefault="0069023E">
      <w:pPr>
        <w:spacing w:after="200" w:line="276" w:lineRule="auto"/>
        <w:rPr>
          <w:b/>
          <w:bCs/>
          <w:color w:val="0000FF"/>
          <w:szCs w:val="20"/>
        </w:rPr>
      </w:pPr>
      <w:r w:rsidRPr="00FA3856">
        <w:rPr>
          <w:color w:val="0000FF"/>
          <w:szCs w:val="20"/>
        </w:rPr>
        <w:br w:type="page"/>
      </w:r>
    </w:p>
    <w:p w:rsidR="00515675" w:rsidRPr="00FA3856" w:rsidRDefault="00515675" w:rsidP="00867F54">
      <w:pPr>
        <w:pStyle w:val="Ttulo4"/>
      </w:pPr>
      <w:bookmarkStart w:id="96" w:name="_Toc479713703"/>
      <w:r w:rsidRPr="00FA3856">
        <w:lastRenderedPageBreak/>
        <w:t>Registro J100: Centro de Custos</w:t>
      </w:r>
      <w:bookmarkEnd w:id="96"/>
    </w:p>
    <w:p w:rsidR="00515675" w:rsidRPr="00FA3856" w:rsidRDefault="00515675" w:rsidP="00515675">
      <w:pPr>
        <w:rPr>
          <w:szCs w:val="20"/>
        </w:rPr>
      </w:pPr>
    </w:p>
    <w:p w:rsidR="00515675" w:rsidRPr="00FA3856" w:rsidRDefault="00515675" w:rsidP="00515675">
      <w:pPr>
        <w:pStyle w:val="PSDS-CorpodeTexto0"/>
        <w:ind w:firstLine="708"/>
        <w:jc w:val="both"/>
        <w:rPr>
          <w:rFonts w:ascii="Times New Roman" w:hAnsi="Times New Roman"/>
          <w:lang w:val="pt-PT"/>
        </w:rPr>
      </w:pPr>
      <w:r w:rsidRPr="00FA3856">
        <w:rPr>
          <w:rFonts w:ascii="Times New Roman" w:hAnsi="Times New Roman"/>
          <w:lang w:val="pt-PT"/>
        </w:rPr>
        <w:t>Registro destinado à informação dos centros de custos utilizados pela pessoa jurídica.</w:t>
      </w:r>
    </w:p>
    <w:p w:rsidR="00882E20" w:rsidRDefault="00882E20" w:rsidP="000C778C">
      <w:pPr>
        <w:shd w:val="clear" w:color="auto" w:fill="FFFFFF"/>
        <w:jc w:val="both"/>
        <w:rPr>
          <w:b/>
          <w:szCs w:val="20"/>
        </w:rPr>
      </w:pPr>
    </w:p>
    <w:p w:rsidR="00882E20" w:rsidRDefault="00B35FA3" w:rsidP="00882E20">
      <w:pPr>
        <w:shd w:val="clear" w:color="auto" w:fill="FFFFFF"/>
        <w:jc w:val="center"/>
        <w:rPr>
          <w:b/>
          <w:szCs w:val="20"/>
        </w:rPr>
      </w:pPr>
      <w:r>
        <w:rPr>
          <w:b/>
          <w:szCs w:val="20"/>
        </w:rPr>
        <w:object w:dxaOrig="13410" w:dyaOrig="3015">
          <v:shape id="_x0000_i1634" type="#_x0000_t75" style="width:669.75pt;height:151.5pt" o:ole="">
            <v:imagedata r:id="rId188" o:title=""/>
          </v:shape>
          <o:OLEObject Type="Link" ProgID="Excel.Sheet.12" ShapeID="_x0000_i1634" DrawAspect="Content" r:id="rId189" UpdateMode="Always">
            <o:LinkType>EnhancedMetaFile</o:LinkType>
            <o:LockedField>false</o:LockedField>
          </o:OLEObject>
        </w:object>
      </w:r>
    </w:p>
    <w:p w:rsidR="00882E20" w:rsidRDefault="00882E20" w:rsidP="000C778C">
      <w:pPr>
        <w:shd w:val="clear" w:color="auto" w:fill="FFFFFF"/>
        <w:jc w:val="both"/>
        <w:rPr>
          <w:b/>
          <w:szCs w:val="20"/>
        </w:rPr>
      </w:pPr>
    </w:p>
    <w:p w:rsidR="000C778C" w:rsidRPr="00FA3856" w:rsidRDefault="00515675" w:rsidP="000C778C">
      <w:pPr>
        <w:shd w:val="clear" w:color="auto" w:fill="FFFFFF"/>
        <w:jc w:val="both"/>
        <w:rPr>
          <w:b/>
          <w:szCs w:val="20"/>
        </w:rPr>
      </w:pPr>
      <w:r w:rsidRPr="00FA3856">
        <w:rPr>
          <w:b/>
          <w:szCs w:val="20"/>
        </w:rPr>
        <w:t>I – Regras de Validação de Campos:</w:t>
      </w:r>
    </w:p>
    <w:p w:rsidR="00515675" w:rsidRPr="00FA3856" w:rsidRDefault="00515675" w:rsidP="000C778C">
      <w:pPr>
        <w:shd w:val="clear" w:color="auto" w:fill="FFFFFF"/>
        <w:jc w:val="both"/>
        <w:rPr>
          <w:b/>
          <w:szCs w:val="20"/>
        </w:rPr>
      </w:pPr>
    </w:p>
    <w:tbl>
      <w:tblPr>
        <w:tblW w:w="14670"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527"/>
        <w:gridCol w:w="1706"/>
        <w:gridCol w:w="11720"/>
        <w:gridCol w:w="717"/>
      </w:tblGrid>
      <w:tr w:rsidR="00515675" w:rsidRPr="00FA3856" w:rsidTr="00E406F0">
        <w:trPr>
          <w:jc w:val="center"/>
        </w:trPr>
        <w:tc>
          <w:tcPr>
            <w:tcW w:w="527" w:type="dxa"/>
            <w:tcBorders>
              <w:top w:val="single" w:sz="6" w:space="0" w:color="auto"/>
              <w:left w:val="single" w:sz="6" w:space="0" w:color="auto"/>
              <w:bottom w:val="single" w:sz="6" w:space="0" w:color="auto"/>
              <w:right w:val="single" w:sz="6" w:space="0" w:color="auto"/>
            </w:tcBorders>
            <w:shd w:val="pct10" w:color="auto" w:fill="FFFFFF"/>
            <w:vAlign w:val="center"/>
          </w:tcPr>
          <w:p w:rsidR="00515675" w:rsidRPr="00FA3856" w:rsidRDefault="00515675" w:rsidP="00E406F0">
            <w:pPr>
              <w:pStyle w:val="PSDS-CorpodeTexto0"/>
              <w:jc w:val="center"/>
              <w:rPr>
                <w:rFonts w:ascii="Times New Roman" w:hAnsi="Times New Roman"/>
                <w:b/>
                <w:bCs/>
              </w:rPr>
            </w:pPr>
            <w:r w:rsidRPr="00FA3856">
              <w:rPr>
                <w:rFonts w:ascii="Times New Roman" w:hAnsi="Times New Roman"/>
                <w:b/>
                <w:bCs/>
              </w:rPr>
              <w:t>Nº</w:t>
            </w:r>
          </w:p>
        </w:tc>
        <w:tc>
          <w:tcPr>
            <w:tcW w:w="1706" w:type="dxa"/>
            <w:tcBorders>
              <w:top w:val="single" w:sz="6" w:space="0" w:color="auto"/>
              <w:left w:val="single" w:sz="6" w:space="0" w:color="auto"/>
              <w:bottom w:val="single" w:sz="6" w:space="0" w:color="auto"/>
              <w:right w:val="single" w:sz="6" w:space="0" w:color="auto"/>
            </w:tcBorders>
            <w:shd w:val="pct10" w:color="auto" w:fill="FFFFFF"/>
            <w:vAlign w:val="center"/>
          </w:tcPr>
          <w:p w:rsidR="00515675" w:rsidRPr="00FA3856" w:rsidRDefault="00515675" w:rsidP="00E406F0">
            <w:pPr>
              <w:pStyle w:val="PSDS-CorpodeTexto0"/>
              <w:jc w:val="center"/>
              <w:rPr>
                <w:rFonts w:ascii="Times New Roman" w:hAnsi="Times New Roman"/>
                <w:b/>
                <w:bCs/>
              </w:rPr>
            </w:pPr>
            <w:r w:rsidRPr="00FA3856">
              <w:rPr>
                <w:rFonts w:ascii="Times New Roman" w:hAnsi="Times New Roman"/>
                <w:b/>
                <w:bCs/>
              </w:rPr>
              <w:t>Campo</w:t>
            </w:r>
          </w:p>
        </w:tc>
        <w:tc>
          <w:tcPr>
            <w:tcW w:w="11720" w:type="dxa"/>
            <w:tcBorders>
              <w:top w:val="single" w:sz="6" w:space="0" w:color="auto"/>
              <w:left w:val="single" w:sz="6" w:space="0" w:color="auto"/>
              <w:bottom w:val="single" w:sz="6" w:space="0" w:color="auto"/>
              <w:right w:val="single" w:sz="6" w:space="0" w:color="auto"/>
            </w:tcBorders>
            <w:shd w:val="pct10" w:color="auto" w:fill="FFFFFF"/>
          </w:tcPr>
          <w:p w:rsidR="00515675" w:rsidRPr="00FA3856" w:rsidRDefault="00515675" w:rsidP="00E406F0">
            <w:pPr>
              <w:pStyle w:val="PSDS-CorpodeTexto0"/>
              <w:jc w:val="center"/>
              <w:rPr>
                <w:rFonts w:ascii="Times New Roman" w:hAnsi="Times New Roman"/>
                <w:b/>
                <w:bCs/>
              </w:rPr>
            </w:pPr>
            <w:r w:rsidRPr="00FA3856">
              <w:rPr>
                <w:rFonts w:ascii="Times New Roman" w:hAnsi="Times New Roman"/>
                <w:b/>
                <w:bCs/>
              </w:rPr>
              <w:t>Regras de Validação do Campo</w:t>
            </w:r>
          </w:p>
        </w:tc>
        <w:tc>
          <w:tcPr>
            <w:tcW w:w="717" w:type="dxa"/>
            <w:tcBorders>
              <w:top w:val="single" w:sz="6" w:space="0" w:color="auto"/>
              <w:left w:val="single" w:sz="6" w:space="0" w:color="auto"/>
              <w:bottom w:val="single" w:sz="6" w:space="0" w:color="auto"/>
              <w:right w:val="single" w:sz="6" w:space="0" w:color="auto"/>
            </w:tcBorders>
            <w:shd w:val="pct10" w:color="auto" w:fill="FFFFFF"/>
            <w:vAlign w:val="center"/>
          </w:tcPr>
          <w:p w:rsidR="00515675" w:rsidRPr="00FA3856" w:rsidRDefault="00515675" w:rsidP="00E406F0">
            <w:pPr>
              <w:pStyle w:val="PSDS-CorpodeTexto0"/>
              <w:jc w:val="center"/>
              <w:rPr>
                <w:rFonts w:ascii="Times New Roman" w:hAnsi="Times New Roman"/>
                <w:b/>
                <w:bCs/>
              </w:rPr>
            </w:pPr>
            <w:r w:rsidRPr="00FA3856">
              <w:rPr>
                <w:rFonts w:ascii="Times New Roman" w:hAnsi="Times New Roman"/>
                <w:b/>
                <w:bCs/>
              </w:rPr>
              <w:t>Tipo</w:t>
            </w:r>
          </w:p>
        </w:tc>
      </w:tr>
      <w:tr w:rsidR="00515675" w:rsidRPr="00FA3856" w:rsidTr="00E406F0">
        <w:trPr>
          <w:jc w:val="center"/>
        </w:trPr>
        <w:tc>
          <w:tcPr>
            <w:tcW w:w="527" w:type="dxa"/>
            <w:tcBorders>
              <w:top w:val="single" w:sz="6" w:space="0" w:color="auto"/>
              <w:left w:val="single" w:sz="6" w:space="0" w:color="auto"/>
              <w:bottom w:val="single" w:sz="6" w:space="0" w:color="auto"/>
              <w:right w:val="single" w:sz="6" w:space="0" w:color="auto"/>
            </w:tcBorders>
          </w:tcPr>
          <w:p w:rsidR="00515675" w:rsidRPr="00FA3856" w:rsidRDefault="00515675" w:rsidP="00E406F0">
            <w:pPr>
              <w:jc w:val="center"/>
              <w:rPr>
                <w:b/>
                <w:szCs w:val="20"/>
              </w:rPr>
            </w:pPr>
            <w:r w:rsidRPr="00FA3856">
              <w:rPr>
                <w:b/>
                <w:szCs w:val="20"/>
              </w:rPr>
              <w:t>2</w:t>
            </w:r>
          </w:p>
        </w:tc>
        <w:tc>
          <w:tcPr>
            <w:tcW w:w="1706" w:type="dxa"/>
            <w:tcBorders>
              <w:top w:val="single" w:sz="6" w:space="0" w:color="auto"/>
              <w:left w:val="single" w:sz="6" w:space="0" w:color="auto"/>
              <w:bottom w:val="single" w:sz="6" w:space="0" w:color="auto"/>
              <w:right w:val="single" w:sz="6" w:space="0" w:color="auto"/>
            </w:tcBorders>
          </w:tcPr>
          <w:p w:rsidR="00515675" w:rsidRPr="00FA3856" w:rsidRDefault="00515675" w:rsidP="00E406F0">
            <w:pPr>
              <w:jc w:val="both"/>
              <w:rPr>
                <w:szCs w:val="20"/>
              </w:rPr>
            </w:pPr>
            <w:r w:rsidRPr="00FA3856">
              <w:rPr>
                <w:szCs w:val="20"/>
              </w:rPr>
              <w:t>DT_ALT</w:t>
            </w:r>
          </w:p>
        </w:tc>
        <w:tc>
          <w:tcPr>
            <w:tcW w:w="11720" w:type="dxa"/>
            <w:tcBorders>
              <w:top w:val="single" w:sz="6" w:space="0" w:color="auto"/>
              <w:left w:val="single" w:sz="6" w:space="0" w:color="auto"/>
              <w:bottom w:val="single" w:sz="6" w:space="0" w:color="auto"/>
              <w:right w:val="single" w:sz="6" w:space="0" w:color="auto"/>
            </w:tcBorders>
          </w:tcPr>
          <w:p w:rsidR="00515675" w:rsidRPr="00FA3856" w:rsidRDefault="007D0E74" w:rsidP="00E406F0">
            <w:pPr>
              <w:pStyle w:val="Corpodetexto"/>
              <w:rPr>
                <w:rFonts w:ascii="Times New Roman" w:hAnsi="Times New Roman"/>
                <w:color w:val="auto"/>
                <w:szCs w:val="20"/>
              </w:rPr>
            </w:pPr>
            <w:hyperlink w:anchor="REGRA_DT_ALT_DATA_MAIOR" w:history="1">
              <w:r w:rsidR="00515675" w:rsidRPr="00FA3856">
                <w:rPr>
                  <w:rStyle w:val="Hyperlink"/>
                  <w:rFonts w:ascii="Times New Roman" w:hAnsi="Times New Roman"/>
                  <w:b/>
                  <w:color w:val="auto"/>
                  <w:szCs w:val="20"/>
                </w:rPr>
                <w:t>REGRA_DT_ALT_DATA_MAIOR</w:t>
              </w:r>
            </w:hyperlink>
            <w:r w:rsidR="00515675" w:rsidRPr="00FA3856">
              <w:rPr>
                <w:rStyle w:val="Hyperlink"/>
                <w:rFonts w:ascii="Times New Roman" w:hAnsi="Times New Roman"/>
                <w:b/>
                <w:color w:val="auto"/>
                <w:szCs w:val="20"/>
              </w:rPr>
              <w:t xml:space="preserve">: </w:t>
            </w:r>
            <w:r w:rsidR="00515675" w:rsidRPr="00FA3856">
              <w:rPr>
                <w:rFonts w:ascii="Times New Roman" w:hAnsi="Times New Roman"/>
                <w:color w:val="auto"/>
                <w:szCs w:val="20"/>
              </w:rPr>
              <w:t xml:space="preserve">Verifica se </w:t>
            </w:r>
            <w:r w:rsidR="008F380D" w:rsidRPr="00FA3856">
              <w:rPr>
                <w:rFonts w:ascii="Times New Roman" w:hAnsi="Times New Roman"/>
                <w:color w:val="auto"/>
                <w:szCs w:val="20"/>
              </w:rPr>
              <w:t xml:space="preserve">J100.DT_ALT </w:t>
            </w:r>
            <w:r w:rsidR="00515675" w:rsidRPr="00FA3856">
              <w:rPr>
                <w:rFonts w:ascii="Times New Roman" w:hAnsi="Times New Roman"/>
                <w:color w:val="auto"/>
                <w:szCs w:val="20"/>
              </w:rPr>
              <w:t>é menor o</w:t>
            </w:r>
            <w:r w:rsidR="008F380D" w:rsidRPr="00FA3856">
              <w:rPr>
                <w:rFonts w:ascii="Times New Roman" w:hAnsi="Times New Roman"/>
                <w:color w:val="auto"/>
                <w:szCs w:val="20"/>
              </w:rPr>
              <w:t>u igual a 0000.DT_FIN</w:t>
            </w:r>
            <w:r w:rsidR="00515675" w:rsidRPr="00FA3856">
              <w:rPr>
                <w:rFonts w:ascii="Times New Roman" w:hAnsi="Times New Roman"/>
                <w:color w:val="auto"/>
                <w:szCs w:val="20"/>
              </w:rPr>
              <w:t>.</w:t>
            </w:r>
          </w:p>
          <w:p w:rsidR="00BE297B" w:rsidRPr="00FA3856" w:rsidRDefault="00BE297B" w:rsidP="00E406F0">
            <w:pPr>
              <w:pStyle w:val="Corpodetexto"/>
              <w:rPr>
                <w:rFonts w:ascii="Times New Roman" w:hAnsi="Times New Roman"/>
                <w:szCs w:val="20"/>
              </w:rPr>
            </w:pPr>
          </w:p>
        </w:tc>
        <w:tc>
          <w:tcPr>
            <w:tcW w:w="717" w:type="dxa"/>
            <w:tcBorders>
              <w:top w:val="single" w:sz="6" w:space="0" w:color="auto"/>
              <w:left w:val="single" w:sz="6" w:space="0" w:color="auto"/>
              <w:bottom w:val="single" w:sz="6" w:space="0" w:color="auto"/>
              <w:right w:val="single" w:sz="6" w:space="0" w:color="auto"/>
            </w:tcBorders>
          </w:tcPr>
          <w:p w:rsidR="00515675" w:rsidRPr="00FA3856" w:rsidRDefault="00515675" w:rsidP="00E406F0">
            <w:pPr>
              <w:widowControl w:val="0"/>
              <w:autoSpaceDE w:val="0"/>
              <w:autoSpaceDN w:val="0"/>
              <w:adjustRightInd w:val="0"/>
              <w:jc w:val="both"/>
              <w:rPr>
                <w:szCs w:val="20"/>
              </w:rPr>
            </w:pPr>
            <w:r w:rsidRPr="00FA3856">
              <w:rPr>
                <w:szCs w:val="20"/>
              </w:rPr>
              <w:t>Erro</w:t>
            </w:r>
          </w:p>
        </w:tc>
      </w:tr>
    </w:tbl>
    <w:p w:rsidR="00515675" w:rsidRPr="00FA3856" w:rsidRDefault="00515675" w:rsidP="000C778C">
      <w:pPr>
        <w:shd w:val="clear" w:color="auto" w:fill="FFFFFF"/>
        <w:jc w:val="both"/>
        <w:rPr>
          <w:b/>
          <w:szCs w:val="20"/>
        </w:rPr>
      </w:pPr>
    </w:p>
    <w:p w:rsidR="00342F1D" w:rsidRDefault="00255D65" w:rsidP="00255D65">
      <w:pPr>
        <w:pStyle w:val="Corpodetexto"/>
        <w:rPr>
          <w:rFonts w:ascii="Times New Roman" w:hAnsi="Times New Roman"/>
          <w:color w:val="002060"/>
          <w:szCs w:val="20"/>
        </w:rPr>
      </w:pPr>
      <w:r w:rsidRPr="00FA3856">
        <w:rPr>
          <w:rFonts w:ascii="Times New Roman" w:hAnsi="Times New Roman"/>
          <w:b/>
          <w:color w:val="002060"/>
          <w:szCs w:val="20"/>
        </w:rPr>
        <w:t>Exemplo de Preenchimento:</w:t>
      </w:r>
      <w:r w:rsidRPr="00FA3856">
        <w:rPr>
          <w:rFonts w:ascii="Times New Roman" w:hAnsi="Times New Roman"/>
          <w:color w:val="002060"/>
          <w:szCs w:val="20"/>
        </w:rPr>
        <w:t xml:space="preserve"> </w:t>
      </w:r>
    </w:p>
    <w:p w:rsidR="00342F1D" w:rsidRDefault="00342F1D" w:rsidP="00255D65">
      <w:pPr>
        <w:pStyle w:val="Corpodetexto"/>
        <w:rPr>
          <w:rFonts w:ascii="Times New Roman" w:hAnsi="Times New Roman"/>
          <w:color w:val="002060"/>
          <w:szCs w:val="20"/>
        </w:rPr>
      </w:pPr>
    </w:p>
    <w:p w:rsidR="00255D65" w:rsidRPr="00FA3856" w:rsidRDefault="00BE297B" w:rsidP="00255D65">
      <w:pPr>
        <w:pStyle w:val="Corpodetexto"/>
        <w:rPr>
          <w:rFonts w:ascii="Times New Roman" w:hAnsi="Times New Roman"/>
          <w:color w:val="002060"/>
          <w:szCs w:val="20"/>
        </w:rPr>
      </w:pPr>
      <w:r w:rsidRPr="00FA3856">
        <w:rPr>
          <w:rFonts w:ascii="Times New Roman" w:hAnsi="Times New Roman"/>
          <w:b/>
          <w:color w:val="002060"/>
          <w:szCs w:val="20"/>
        </w:rPr>
        <w:t>|J100</w:t>
      </w:r>
      <w:r w:rsidR="00255D65" w:rsidRPr="00FA3856">
        <w:rPr>
          <w:rFonts w:ascii="Times New Roman" w:hAnsi="Times New Roman"/>
          <w:b/>
          <w:color w:val="002060"/>
          <w:szCs w:val="20"/>
        </w:rPr>
        <w:t>|01012014|1234|CENTRO DE CUSTOS 1234|</w:t>
      </w:r>
    </w:p>
    <w:p w:rsidR="00255D65" w:rsidRPr="00FA3856" w:rsidRDefault="00BE297B" w:rsidP="00255D65">
      <w:pPr>
        <w:pStyle w:val="Corpodetexto"/>
        <w:ind w:firstLine="708"/>
        <w:rPr>
          <w:rFonts w:ascii="Times New Roman" w:hAnsi="Times New Roman"/>
          <w:color w:val="002060"/>
          <w:szCs w:val="20"/>
        </w:rPr>
      </w:pPr>
      <w:r w:rsidRPr="00FA3856">
        <w:rPr>
          <w:rFonts w:ascii="Times New Roman" w:hAnsi="Times New Roman"/>
          <w:color w:val="002060"/>
          <w:szCs w:val="20"/>
        </w:rPr>
        <w:t>|J100</w:t>
      </w:r>
      <w:r w:rsidR="00255D65" w:rsidRPr="00FA3856">
        <w:rPr>
          <w:rFonts w:ascii="Times New Roman" w:hAnsi="Times New Roman"/>
          <w:color w:val="002060"/>
          <w:szCs w:val="20"/>
        </w:rPr>
        <w:t>|: Identificação do tipo do registro.</w:t>
      </w:r>
    </w:p>
    <w:p w:rsidR="00255D65" w:rsidRPr="00FA3856" w:rsidRDefault="00255D65" w:rsidP="00255D65">
      <w:pPr>
        <w:pStyle w:val="Corpodetexto"/>
        <w:ind w:firstLine="708"/>
        <w:rPr>
          <w:rFonts w:ascii="Times New Roman" w:hAnsi="Times New Roman"/>
          <w:color w:val="002060"/>
          <w:szCs w:val="20"/>
        </w:rPr>
      </w:pPr>
      <w:r w:rsidRPr="00FA3856">
        <w:rPr>
          <w:rFonts w:ascii="Times New Roman" w:hAnsi="Times New Roman"/>
          <w:color w:val="002060"/>
          <w:szCs w:val="20"/>
        </w:rPr>
        <w:t>|01012014|: Data da alteração (01/01/2014).</w:t>
      </w:r>
    </w:p>
    <w:p w:rsidR="00255D65" w:rsidRPr="00FA3856" w:rsidRDefault="00255D65" w:rsidP="00255D65">
      <w:pPr>
        <w:pStyle w:val="Corpodetexto"/>
        <w:ind w:firstLine="708"/>
        <w:rPr>
          <w:rFonts w:ascii="Times New Roman" w:hAnsi="Times New Roman"/>
          <w:color w:val="002060"/>
          <w:szCs w:val="20"/>
        </w:rPr>
      </w:pPr>
      <w:r w:rsidRPr="00FA3856">
        <w:rPr>
          <w:rFonts w:ascii="Times New Roman" w:hAnsi="Times New Roman"/>
          <w:color w:val="002060"/>
          <w:szCs w:val="20"/>
        </w:rPr>
        <w:t>|1234|: Código do centro de custos.</w:t>
      </w:r>
    </w:p>
    <w:p w:rsidR="00255D65" w:rsidRPr="00FA3856" w:rsidRDefault="00255D65" w:rsidP="00255D65">
      <w:pPr>
        <w:pStyle w:val="Corpodetexto"/>
        <w:ind w:firstLine="708"/>
        <w:rPr>
          <w:rFonts w:ascii="Times New Roman" w:hAnsi="Times New Roman"/>
          <w:color w:val="002060"/>
          <w:szCs w:val="20"/>
        </w:rPr>
      </w:pPr>
      <w:r w:rsidRPr="00FA3856">
        <w:rPr>
          <w:rFonts w:ascii="Times New Roman" w:hAnsi="Times New Roman"/>
          <w:color w:val="002060"/>
          <w:szCs w:val="20"/>
        </w:rPr>
        <w:t>|CENTRO DE CUSTOS 1234|: Nome do centro de custos.</w:t>
      </w:r>
    </w:p>
    <w:p w:rsidR="00255D65" w:rsidRPr="00FA3856" w:rsidRDefault="00255D65" w:rsidP="000C778C">
      <w:pPr>
        <w:shd w:val="clear" w:color="auto" w:fill="FFFFFF"/>
        <w:jc w:val="both"/>
        <w:rPr>
          <w:b/>
          <w:szCs w:val="20"/>
        </w:rPr>
      </w:pPr>
    </w:p>
    <w:p w:rsidR="00515675" w:rsidRPr="00FA3856" w:rsidRDefault="00515675">
      <w:pPr>
        <w:rPr>
          <w:b/>
          <w:bCs/>
          <w:color w:val="0000FF"/>
          <w:szCs w:val="20"/>
        </w:rPr>
      </w:pPr>
      <w:r w:rsidRPr="00FA3856">
        <w:rPr>
          <w:color w:val="0000FF"/>
          <w:szCs w:val="20"/>
        </w:rPr>
        <w:br w:type="page"/>
      </w:r>
    </w:p>
    <w:p w:rsidR="00C741E3" w:rsidRPr="00FA3856" w:rsidRDefault="00C741E3" w:rsidP="00867F54">
      <w:pPr>
        <w:pStyle w:val="Ttulo4"/>
      </w:pPr>
      <w:bookmarkStart w:id="97" w:name="_Toc479713704"/>
      <w:r w:rsidRPr="00FA3856">
        <w:lastRenderedPageBreak/>
        <w:t>Registro J990: Encerramento do Bloco J</w:t>
      </w:r>
      <w:bookmarkEnd w:id="97"/>
    </w:p>
    <w:p w:rsidR="00882E20" w:rsidRDefault="00882E20" w:rsidP="007F6CEC">
      <w:pPr>
        <w:pStyle w:val="Corpodetexto"/>
        <w:rPr>
          <w:rFonts w:ascii="Times New Roman" w:hAnsi="Times New Roman"/>
          <w:b/>
          <w:color w:val="002060"/>
          <w:szCs w:val="20"/>
        </w:rPr>
      </w:pPr>
    </w:p>
    <w:p w:rsidR="00882E20" w:rsidRDefault="00B35FA3" w:rsidP="00882E20">
      <w:pPr>
        <w:pStyle w:val="Corpodetexto"/>
        <w:jc w:val="center"/>
        <w:rPr>
          <w:rFonts w:ascii="Times New Roman" w:hAnsi="Times New Roman"/>
          <w:b/>
          <w:color w:val="002060"/>
          <w:szCs w:val="20"/>
        </w:rPr>
      </w:pPr>
      <w:r>
        <w:rPr>
          <w:rFonts w:ascii="Times New Roman" w:hAnsi="Times New Roman"/>
          <w:b/>
          <w:color w:val="002060"/>
          <w:szCs w:val="20"/>
        </w:rPr>
        <w:object w:dxaOrig="14295" w:dyaOrig="2175">
          <v:shape id="_x0000_i1636" type="#_x0000_t75" style="width:712.5pt;height:107.25pt" o:ole="">
            <v:imagedata r:id="rId190" o:title=""/>
          </v:shape>
          <o:OLEObject Type="Link" ProgID="Excel.Sheet.12" ShapeID="_x0000_i1636" DrawAspect="Content" r:id="rId191" UpdateMode="Always">
            <o:LinkType>EnhancedMetaFile</o:LinkType>
            <o:LockedField>false</o:LockedField>
          </o:OLEObject>
        </w:object>
      </w:r>
    </w:p>
    <w:p w:rsidR="00882E20" w:rsidRDefault="00882E20" w:rsidP="007F6CEC">
      <w:pPr>
        <w:pStyle w:val="Corpodetexto"/>
        <w:rPr>
          <w:rFonts w:ascii="Times New Roman" w:hAnsi="Times New Roman"/>
          <w:b/>
          <w:color w:val="002060"/>
          <w:szCs w:val="20"/>
        </w:rPr>
      </w:pPr>
    </w:p>
    <w:p w:rsidR="00342F1D" w:rsidRDefault="007F6CEC" w:rsidP="007F6CEC">
      <w:pPr>
        <w:pStyle w:val="Corpodetexto"/>
        <w:rPr>
          <w:rFonts w:ascii="Times New Roman" w:hAnsi="Times New Roman"/>
          <w:b/>
          <w:color w:val="002060"/>
          <w:szCs w:val="20"/>
        </w:rPr>
      </w:pPr>
      <w:r w:rsidRPr="00FA3856">
        <w:rPr>
          <w:rFonts w:ascii="Times New Roman" w:hAnsi="Times New Roman"/>
          <w:b/>
          <w:color w:val="002060"/>
          <w:szCs w:val="20"/>
        </w:rPr>
        <w:t>Exemplo de Preenchimento:</w:t>
      </w:r>
    </w:p>
    <w:p w:rsidR="00342F1D" w:rsidRDefault="00342F1D" w:rsidP="007F6CEC">
      <w:pPr>
        <w:pStyle w:val="Corpodetexto"/>
        <w:rPr>
          <w:rFonts w:ascii="Times New Roman" w:hAnsi="Times New Roman"/>
          <w:b/>
          <w:color w:val="002060"/>
          <w:szCs w:val="20"/>
        </w:rPr>
      </w:pPr>
    </w:p>
    <w:p w:rsidR="007F6CEC" w:rsidRPr="00FA3856" w:rsidRDefault="007F6CEC" w:rsidP="007F6CEC">
      <w:pPr>
        <w:pStyle w:val="Corpodetexto"/>
        <w:rPr>
          <w:rFonts w:ascii="Times New Roman" w:hAnsi="Times New Roman"/>
          <w:b/>
          <w:color w:val="002060"/>
          <w:szCs w:val="20"/>
        </w:rPr>
      </w:pPr>
      <w:r w:rsidRPr="00FA3856">
        <w:rPr>
          <w:rFonts w:ascii="Times New Roman" w:hAnsi="Times New Roman"/>
          <w:b/>
          <w:color w:val="002060"/>
          <w:szCs w:val="20"/>
        </w:rPr>
        <w:t>|J990|2000|</w:t>
      </w:r>
    </w:p>
    <w:p w:rsidR="007F6CEC" w:rsidRPr="00FA3856" w:rsidRDefault="007F6CEC" w:rsidP="007F6CEC">
      <w:pPr>
        <w:pStyle w:val="Corpodetexto"/>
        <w:ind w:firstLine="708"/>
        <w:rPr>
          <w:rFonts w:ascii="Times New Roman" w:hAnsi="Times New Roman"/>
          <w:color w:val="002060"/>
          <w:szCs w:val="20"/>
        </w:rPr>
      </w:pPr>
      <w:r w:rsidRPr="00FA3856">
        <w:rPr>
          <w:rFonts w:ascii="Times New Roman" w:hAnsi="Times New Roman"/>
          <w:color w:val="002060"/>
          <w:szCs w:val="20"/>
        </w:rPr>
        <w:t>|J990|: Identificação do tipo do registro.</w:t>
      </w:r>
    </w:p>
    <w:p w:rsidR="007F6CEC" w:rsidRPr="00FA3856" w:rsidRDefault="007F6CEC" w:rsidP="007F6CEC">
      <w:pPr>
        <w:pStyle w:val="Corpodetexto"/>
        <w:ind w:firstLine="708"/>
        <w:rPr>
          <w:rFonts w:ascii="Times New Roman" w:hAnsi="Times New Roman"/>
          <w:color w:val="002060"/>
          <w:szCs w:val="20"/>
        </w:rPr>
      </w:pPr>
      <w:r w:rsidRPr="00FA3856">
        <w:rPr>
          <w:rFonts w:ascii="Times New Roman" w:hAnsi="Times New Roman"/>
          <w:color w:val="002060"/>
          <w:szCs w:val="20"/>
        </w:rPr>
        <w:t>|2000|: A quantidade total de registros do Bloco J é 2.000 (dois mil registros).</w:t>
      </w:r>
    </w:p>
    <w:p w:rsidR="00C741E3" w:rsidRPr="00FA3856" w:rsidRDefault="00C741E3" w:rsidP="00C741E3">
      <w:pPr>
        <w:pStyle w:val="PSDS-MarcadoresNivel2"/>
        <w:numPr>
          <w:ilvl w:val="0"/>
          <w:numId w:val="0"/>
        </w:numPr>
        <w:rPr>
          <w:rFonts w:ascii="Times New Roman" w:hAnsi="Times New Roman"/>
        </w:rPr>
      </w:pPr>
    </w:p>
    <w:p w:rsidR="00515675" w:rsidRPr="00FA3856" w:rsidRDefault="00515675">
      <w:pPr>
        <w:rPr>
          <w:b/>
          <w:bCs/>
          <w:color w:val="0000FF"/>
          <w:szCs w:val="20"/>
        </w:rPr>
      </w:pPr>
      <w:r w:rsidRPr="00FA3856">
        <w:rPr>
          <w:color w:val="0000FF"/>
          <w:szCs w:val="20"/>
        </w:rPr>
        <w:br w:type="page"/>
      </w:r>
    </w:p>
    <w:p w:rsidR="00515675" w:rsidRPr="00FA3856" w:rsidRDefault="00515675" w:rsidP="00867F54">
      <w:pPr>
        <w:pStyle w:val="Ttulo3"/>
      </w:pPr>
      <w:bookmarkStart w:id="98" w:name="_Toc479713705"/>
      <w:r w:rsidRPr="00FA3856">
        <w:lastRenderedPageBreak/>
        <w:t>Bloco K: Saldos das Contas Contábeis e Referenciais</w:t>
      </w:r>
      <w:bookmarkEnd w:id="98"/>
    </w:p>
    <w:p w:rsidR="00515675" w:rsidRPr="00FA3856" w:rsidRDefault="00515675" w:rsidP="00515675">
      <w:pPr>
        <w:pStyle w:val="PSDS-MarcadoresNivel3"/>
        <w:tabs>
          <w:tab w:val="clear" w:pos="1440"/>
        </w:tabs>
        <w:spacing w:before="0" w:after="0"/>
        <w:ind w:left="720" w:firstLine="0"/>
        <w:rPr>
          <w:rFonts w:ascii="Times New Roman" w:hAnsi="Times New Roman" w:cs="Times New Roman"/>
          <w:szCs w:val="20"/>
        </w:rPr>
      </w:pPr>
    </w:p>
    <w:p w:rsidR="00515675" w:rsidRPr="00FA3856" w:rsidRDefault="00515675" w:rsidP="00255D65">
      <w:pPr>
        <w:pStyle w:val="PSDS-MarcadoresNivel2"/>
        <w:numPr>
          <w:ilvl w:val="0"/>
          <w:numId w:val="0"/>
        </w:numPr>
        <w:ind w:firstLine="708"/>
        <w:jc w:val="both"/>
        <w:rPr>
          <w:rFonts w:ascii="Times New Roman" w:hAnsi="Times New Roman"/>
          <w:b w:val="0"/>
        </w:rPr>
      </w:pPr>
      <w:r w:rsidRPr="00FA3856">
        <w:rPr>
          <w:rFonts w:ascii="Times New Roman" w:hAnsi="Times New Roman"/>
          <w:b w:val="0"/>
        </w:rPr>
        <w:t>Apresenta os saldos das contas contábeis e referenciais. Os r</w:t>
      </w:r>
      <w:r w:rsidR="00255D65" w:rsidRPr="00FA3856">
        <w:rPr>
          <w:rFonts w:ascii="Times New Roman" w:hAnsi="Times New Roman"/>
          <w:b w:val="0"/>
        </w:rPr>
        <w:t>egistros deste bloco podem ser:</w:t>
      </w:r>
    </w:p>
    <w:p w:rsidR="00515675" w:rsidRPr="00FA3856" w:rsidRDefault="00255D65" w:rsidP="00255D65">
      <w:pPr>
        <w:pStyle w:val="PSDS-MarcadoresNivel2"/>
        <w:numPr>
          <w:ilvl w:val="0"/>
          <w:numId w:val="0"/>
        </w:numPr>
        <w:ind w:firstLine="708"/>
        <w:jc w:val="both"/>
        <w:rPr>
          <w:rFonts w:ascii="Times New Roman" w:hAnsi="Times New Roman"/>
          <w:b w:val="0"/>
        </w:rPr>
      </w:pPr>
      <w:r w:rsidRPr="00FA3856">
        <w:rPr>
          <w:rFonts w:ascii="Times New Roman" w:hAnsi="Times New Roman"/>
          <w:b w:val="0"/>
        </w:rPr>
        <w:t>I – Digitados;</w:t>
      </w:r>
    </w:p>
    <w:p w:rsidR="00515675" w:rsidRPr="00FA3856" w:rsidRDefault="00255D65" w:rsidP="00255D65">
      <w:pPr>
        <w:pStyle w:val="PSDS-MarcadoresNivel2"/>
        <w:numPr>
          <w:ilvl w:val="0"/>
          <w:numId w:val="0"/>
        </w:numPr>
        <w:ind w:firstLine="708"/>
        <w:jc w:val="both"/>
        <w:rPr>
          <w:rFonts w:ascii="Times New Roman" w:hAnsi="Times New Roman"/>
          <w:b w:val="0"/>
        </w:rPr>
      </w:pPr>
      <w:r w:rsidRPr="00FA3856">
        <w:rPr>
          <w:rFonts w:ascii="Times New Roman" w:hAnsi="Times New Roman"/>
          <w:b w:val="0"/>
        </w:rPr>
        <w:t xml:space="preserve">II – Importados; ou </w:t>
      </w:r>
    </w:p>
    <w:p w:rsidR="00515675" w:rsidRPr="00FA3856" w:rsidRDefault="00515675" w:rsidP="00515675">
      <w:pPr>
        <w:pStyle w:val="PSDS-MarcadoresNivel2"/>
        <w:numPr>
          <w:ilvl w:val="0"/>
          <w:numId w:val="0"/>
        </w:numPr>
        <w:ind w:firstLine="708"/>
        <w:jc w:val="both"/>
        <w:rPr>
          <w:rFonts w:ascii="Times New Roman" w:hAnsi="Times New Roman"/>
          <w:b w:val="0"/>
        </w:rPr>
      </w:pPr>
      <w:r w:rsidRPr="00FA3856">
        <w:rPr>
          <w:rFonts w:ascii="Times New Roman" w:hAnsi="Times New Roman"/>
          <w:b w:val="0"/>
        </w:rPr>
        <w:t>III – Replicados a partir do Bloco E.</w:t>
      </w:r>
    </w:p>
    <w:p w:rsidR="00515675" w:rsidRPr="00FA3856" w:rsidRDefault="00515675" w:rsidP="00515675">
      <w:pPr>
        <w:pStyle w:val="PSDS-MarcadoresNivel2"/>
        <w:numPr>
          <w:ilvl w:val="0"/>
          <w:numId w:val="0"/>
        </w:numPr>
        <w:ind w:firstLine="708"/>
        <w:jc w:val="both"/>
        <w:rPr>
          <w:rFonts w:ascii="Times New Roman" w:hAnsi="Times New Roman"/>
          <w:b w:val="0"/>
        </w:rPr>
      </w:pPr>
    </w:p>
    <w:p w:rsidR="00515675" w:rsidRPr="00FA3856" w:rsidRDefault="00515675" w:rsidP="00867F54">
      <w:pPr>
        <w:pStyle w:val="Ttulo4"/>
      </w:pPr>
      <w:bookmarkStart w:id="99" w:name="_Toc479713706"/>
      <w:r w:rsidRPr="00FA3856">
        <w:t>Registro K001: Abertura do Bloco K</w:t>
      </w:r>
      <w:bookmarkEnd w:id="99"/>
    </w:p>
    <w:p w:rsidR="00123D92" w:rsidRDefault="00123D92" w:rsidP="00515675">
      <w:pPr>
        <w:pStyle w:val="PSDS-MarcadoresNivel2"/>
        <w:numPr>
          <w:ilvl w:val="0"/>
          <w:numId w:val="0"/>
        </w:numPr>
        <w:rPr>
          <w:rFonts w:ascii="Times New Roman" w:hAnsi="Times New Roman"/>
        </w:rPr>
      </w:pPr>
    </w:p>
    <w:p w:rsidR="00123D92" w:rsidRDefault="00B35FA3" w:rsidP="00123D92">
      <w:pPr>
        <w:pStyle w:val="PSDS-MarcadoresNivel2"/>
        <w:numPr>
          <w:ilvl w:val="0"/>
          <w:numId w:val="0"/>
        </w:numPr>
        <w:jc w:val="center"/>
        <w:rPr>
          <w:rFonts w:ascii="Times New Roman" w:hAnsi="Times New Roman"/>
        </w:rPr>
      </w:pPr>
      <w:r>
        <w:rPr>
          <w:rFonts w:ascii="Times New Roman" w:hAnsi="Times New Roman"/>
        </w:rPr>
        <w:object w:dxaOrig="13200" w:dyaOrig="3090">
          <v:shape id="_x0000_i1638" type="#_x0000_t75" style="width:663.75pt;height:158.25pt" o:ole="">
            <v:imagedata r:id="rId192" o:title=""/>
          </v:shape>
          <o:OLEObject Type="Link" ProgID="Excel.Sheet.12" ShapeID="_x0000_i1638" DrawAspect="Content" r:id="rId193" UpdateMode="Always">
            <o:LinkType>EnhancedMetaFile</o:LinkType>
            <o:LockedField>false</o:LockedField>
          </o:OLEObject>
        </w:object>
      </w:r>
    </w:p>
    <w:p w:rsidR="00123D92" w:rsidRDefault="00123D92" w:rsidP="00515675">
      <w:pPr>
        <w:pStyle w:val="PSDS-MarcadoresNivel2"/>
        <w:numPr>
          <w:ilvl w:val="0"/>
          <w:numId w:val="0"/>
        </w:numPr>
        <w:rPr>
          <w:rFonts w:ascii="Times New Roman" w:hAnsi="Times New Roman"/>
        </w:rPr>
      </w:pPr>
    </w:p>
    <w:p w:rsidR="00515675" w:rsidRPr="00FA3856" w:rsidRDefault="00515675" w:rsidP="00515675">
      <w:pPr>
        <w:pStyle w:val="PSDS-MarcadoresNivel2"/>
        <w:numPr>
          <w:ilvl w:val="0"/>
          <w:numId w:val="0"/>
        </w:numPr>
        <w:rPr>
          <w:rFonts w:ascii="Times New Roman" w:hAnsi="Times New Roman"/>
        </w:rPr>
      </w:pPr>
      <w:r w:rsidRPr="00FA3856">
        <w:rPr>
          <w:rFonts w:ascii="Times New Roman" w:hAnsi="Times New Roman"/>
        </w:rPr>
        <w:t>I – Regras de Validação do Registro:</w:t>
      </w:r>
    </w:p>
    <w:p w:rsidR="00515675" w:rsidRPr="00FA3856" w:rsidRDefault="00515675" w:rsidP="00515675">
      <w:pPr>
        <w:pStyle w:val="Corpodetexto"/>
        <w:ind w:left="708" w:firstLine="12"/>
        <w:rPr>
          <w:rFonts w:ascii="Times New Roman" w:hAnsi="Times New Roman"/>
          <w:szCs w:val="20"/>
        </w:rPr>
      </w:pPr>
    </w:p>
    <w:p w:rsidR="00515675" w:rsidRPr="00FA3856" w:rsidRDefault="007D0E74" w:rsidP="00515675">
      <w:pPr>
        <w:pStyle w:val="Corpodetexto"/>
        <w:ind w:left="708" w:firstLine="12"/>
        <w:rPr>
          <w:rFonts w:ascii="Times New Roman" w:hAnsi="Times New Roman"/>
          <w:b/>
          <w:szCs w:val="20"/>
        </w:rPr>
      </w:pPr>
      <w:hyperlink r:id="rId194" w:anchor="REGRA_OCORRENCIA_UNITARIA_ARQ" w:history="1">
        <w:r w:rsidR="00515675" w:rsidRPr="00FA3856">
          <w:rPr>
            <w:rFonts w:ascii="Times New Roman" w:hAnsi="Times New Roman"/>
            <w:b/>
            <w:szCs w:val="20"/>
          </w:rPr>
          <w:t>REGRA_OCORRENCIA_UNITARIA_ARQ</w:t>
        </w:r>
      </w:hyperlink>
      <w:r w:rsidR="00515675" w:rsidRPr="00FA3856">
        <w:rPr>
          <w:rFonts w:ascii="Times New Roman" w:hAnsi="Times New Roman"/>
          <w:color w:val="auto"/>
          <w:szCs w:val="20"/>
        </w:rPr>
        <w:t xml:space="preserve">: </w:t>
      </w:r>
      <w:r w:rsidR="00515675" w:rsidRPr="00FA3856">
        <w:rPr>
          <w:rFonts w:ascii="Times New Roman" w:hAnsi="Times New Roman"/>
          <w:szCs w:val="20"/>
        </w:rPr>
        <w:t>Verifica se registro ocorreu apenas uma vez por arq</w:t>
      </w:r>
      <w:r w:rsidR="00BC760B" w:rsidRPr="00FA3856">
        <w:rPr>
          <w:rFonts w:ascii="Times New Roman" w:hAnsi="Times New Roman"/>
          <w:szCs w:val="20"/>
        </w:rPr>
        <w:t>uivo, considerando a chave “K</w:t>
      </w:r>
      <w:r w:rsidR="00515675" w:rsidRPr="00FA3856">
        <w:rPr>
          <w:rFonts w:ascii="Times New Roman" w:hAnsi="Times New Roman"/>
          <w:szCs w:val="20"/>
        </w:rPr>
        <w:t>001” (REG). Se a regra não for cumprida, a ECF gera um erro.</w:t>
      </w:r>
    </w:p>
    <w:p w:rsidR="007F6CEC" w:rsidRPr="00FA3856" w:rsidRDefault="007F6CEC" w:rsidP="007F6CEC">
      <w:pPr>
        <w:pStyle w:val="Corpodetexto"/>
        <w:rPr>
          <w:rFonts w:ascii="Times New Roman" w:hAnsi="Times New Roman"/>
          <w:b/>
          <w:color w:val="002060"/>
          <w:szCs w:val="20"/>
        </w:rPr>
      </w:pPr>
    </w:p>
    <w:p w:rsidR="00342F1D" w:rsidRDefault="007F6CEC" w:rsidP="007F6CEC">
      <w:pPr>
        <w:pStyle w:val="Corpodetexto"/>
        <w:rPr>
          <w:rFonts w:ascii="Times New Roman" w:hAnsi="Times New Roman"/>
          <w:b/>
          <w:color w:val="002060"/>
          <w:szCs w:val="20"/>
        </w:rPr>
      </w:pPr>
      <w:r w:rsidRPr="00FA3856">
        <w:rPr>
          <w:rFonts w:ascii="Times New Roman" w:hAnsi="Times New Roman"/>
          <w:b/>
          <w:color w:val="002060"/>
          <w:szCs w:val="20"/>
        </w:rPr>
        <w:t xml:space="preserve">Exemplo de Preenchimento: </w:t>
      </w:r>
    </w:p>
    <w:p w:rsidR="00342F1D" w:rsidRDefault="00342F1D" w:rsidP="007F6CEC">
      <w:pPr>
        <w:pStyle w:val="Corpodetexto"/>
        <w:rPr>
          <w:rFonts w:ascii="Times New Roman" w:hAnsi="Times New Roman"/>
          <w:b/>
          <w:color w:val="002060"/>
          <w:szCs w:val="20"/>
        </w:rPr>
      </w:pPr>
    </w:p>
    <w:p w:rsidR="007F6CEC" w:rsidRPr="00FA3856" w:rsidRDefault="007F6CEC" w:rsidP="007F6CEC">
      <w:pPr>
        <w:pStyle w:val="Corpodetexto"/>
        <w:rPr>
          <w:rFonts w:ascii="Times New Roman" w:hAnsi="Times New Roman"/>
          <w:b/>
          <w:color w:val="002060"/>
          <w:szCs w:val="20"/>
        </w:rPr>
      </w:pPr>
      <w:r w:rsidRPr="00FA3856">
        <w:rPr>
          <w:rFonts w:ascii="Times New Roman" w:hAnsi="Times New Roman"/>
          <w:b/>
          <w:color w:val="002060"/>
          <w:szCs w:val="20"/>
        </w:rPr>
        <w:t>|K001|0|</w:t>
      </w:r>
    </w:p>
    <w:p w:rsidR="007F6CEC" w:rsidRPr="00FA3856" w:rsidRDefault="007F6CEC" w:rsidP="007F6CEC">
      <w:pPr>
        <w:pStyle w:val="Corpodetexto"/>
        <w:ind w:firstLine="708"/>
        <w:rPr>
          <w:rFonts w:ascii="Times New Roman" w:hAnsi="Times New Roman"/>
          <w:color w:val="002060"/>
          <w:szCs w:val="20"/>
        </w:rPr>
      </w:pPr>
      <w:r w:rsidRPr="00FA3856">
        <w:rPr>
          <w:rFonts w:ascii="Times New Roman" w:hAnsi="Times New Roman"/>
          <w:color w:val="002060"/>
          <w:szCs w:val="20"/>
        </w:rPr>
        <w:t>|K001|: Identificação do tipo do registro.</w:t>
      </w:r>
    </w:p>
    <w:p w:rsidR="007F6CEC" w:rsidRPr="00FA3856" w:rsidRDefault="007F6CEC" w:rsidP="007F6CEC">
      <w:pPr>
        <w:pStyle w:val="Corpodetexto"/>
        <w:ind w:firstLine="708"/>
        <w:rPr>
          <w:rFonts w:ascii="Times New Roman" w:hAnsi="Times New Roman"/>
          <w:color w:val="002060"/>
          <w:szCs w:val="20"/>
        </w:rPr>
      </w:pPr>
      <w:r w:rsidRPr="00FA3856">
        <w:rPr>
          <w:rFonts w:ascii="Times New Roman" w:hAnsi="Times New Roman"/>
          <w:color w:val="002060"/>
          <w:szCs w:val="20"/>
        </w:rPr>
        <w:t>|0|: Indica que o bloco possui dados informados.</w:t>
      </w:r>
    </w:p>
    <w:p w:rsidR="00C741E3" w:rsidRPr="00FA3856" w:rsidRDefault="00C741E3">
      <w:pPr>
        <w:rPr>
          <w:b/>
          <w:bCs/>
          <w:color w:val="0000FF"/>
          <w:szCs w:val="20"/>
        </w:rPr>
      </w:pPr>
    </w:p>
    <w:p w:rsidR="00024B32" w:rsidRPr="00FA3856" w:rsidRDefault="00024B32">
      <w:pPr>
        <w:rPr>
          <w:b/>
          <w:bCs/>
          <w:color w:val="0000FF"/>
          <w:szCs w:val="20"/>
        </w:rPr>
      </w:pPr>
      <w:r w:rsidRPr="00FA3856">
        <w:rPr>
          <w:color w:val="0000FF"/>
          <w:szCs w:val="20"/>
        </w:rPr>
        <w:br w:type="page"/>
      </w:r>
    </w:p>
    <w:p w:rsidR="00024B32" w:rsidRPr="00FA3856" w:rsidRDefault="00024B32" w:rsidP="00867F54">
      <w:pPr>
        <w:pStyle w:val="Ttulo4"/>
      </w:pPr>
      <w:bookmarkStart w:id="100" w:name="_Toc479713707"/>
      <w:r w:rsidRPr="00FA3856">
        <w:lastRenderedPageBreak/>
        <w:t>Registro K030: Identificação dos Períodos e Formas de Apuração do IRPJ e da CSLL no Ano-Calendário</w:t>
      </w:r>
      <w:bookmarkEnd w:id="100"/>
    </w:p>
    <w:p w:rsidR="00024B32" w:rsidRPr="00FA3856" w:rsidRDefault="00024B32" w:rsidP="00024B32">
      <w:pPr>
        <w:jc w:val="both"/>
        <w:rPr>
          <w:szCs w:val="20"/>
        </w:rPr>
      </w:pPr>
    </w:p>
    <w:p w:rsidR="00024B32" w:rsidRPr="00FA3856" w:rsidRDefault="00024B32" w:rsidP="00024B32">
      <w:pPr>
        <w:pStyle w:val="PSDS-CorpodeTexto0"/>
        <w:ind w:firstLine="708"/>
        <w:rPr>
          <w:rFonts w:ascii="Times New Roman" w:hAnsi="Times New Roman"/>
        </w:rPr>
      </w:pPr>
      <w:r w:rsidRPr="00FA3856">
        <w:rPr>
          <w:rFonts w:ascii="Times New Roman" w:hAnsi="Times New Roman"/>
        </w:rPr>
        <w:t>Registro de identificação dos períodos da escrituração necessários conforme definições de parâmetros do Bloco 0.</w:t>
      </w:r>
    </w:p>
    <w:p w:rsidR="00123D92" w:rsidRDefault="00123D92" w:rsidP="00507E14">
      <w:pPr>
        <w:pStyle w:val="PSDS-MarcadoresNivel2"/>
        <w:numPr>
          <w:ilvl w:val="0"/>
          <w:numId w:val="0"/>
        </w:numPr>
        <w:rPr>
          <w:rFonts w:ascii="Times New Roman" w:hAnsi="Times New Roman"/>
        </w:rPr>
      </w:pPr>
    </w:p>
    <w:p w:rsidR="00123D92" w:rsidRDefault="00B35FA3" w:rsidP="00123D92">
      <w:pPr>
        <w:pStyle w:val="PSDS-MarcadoresNivel2"/>
        <w:numPr>
          <w:ilvl w:val="0"/>
          <w:numId w:val="0"/>
        </w:numPr>
        <w:jc w:val="center"/>
        <w:rPr>
          <w:rFonts w:ascii="Times New Roman" w:hAnsi="Times New Roman"/>
        </w:rPr>
      </w:pPr>
      <w:r>
        <w:rPr>
          <w:rFonts w:ascii="Times New Roman" w:hAnsi="Times New Roman"/>
        </w:rPr>
        <w:object w:dxaOrig="13935" w:dyaOrig="3390">
          <v:shape id="_x0000_i1640" type="#_x0000_t75" style="width:691.5pt;height:173.25pt" o:ole="">
            <v:imagedata r:id="rId195" o:title=""/>
          </v:shape>
          <o:OLEObject Type="Link" ProgID="Excel.Sheet.12" ShapeID="_x0000_i1640" DrawAspect="Content" r:id="rId196" UpdateMode="Always">
            <o:LinkType>EnhancedMetaFile</o:LinkType>
            <o:LockedField>false</o:LockedField>
          </o:OLEObject>
        </w:object>
      </w:r>
    </w:p>
    <w:p w:rsidR="00123D92" w:rsidRDefault="00123D92" w:rsidP="000B770E">
      <w:pPr>
        <w:pStyle w:val="Ttulo4"/>
        <w:rPr>
          <w:szCs w:val="20"/>
        </w:rPr>
      </w:pPr>
      <w:r>
        <w:br w:type="page"/>
      </w:r>
    </w:p>
    <w:p w:rsidR="00123D92" w:rsidRDefault="00B35FA3" w:rsidP="00123D92">
      <w:pPr>
        <w:pStyle w:val="PSDS-MarcadoresNivel2"/>
        <w:numPr>
          <w:ilvl w:val="0"/>
          <w:numId w:val="0"/>
        </w:numPr>
        <w:jc w:val="center"/>
        <w:rPr>
          <w:rFonts w:ascii="Times New Roman" w:hAnsi="Times New Roman"/>
        </w:rPr>
      </w:pPr>
      <w:r>
        <w:rPr>
          <w:rFonts w:ascii="Times New Roman" w:hAnsi="Times New Roman"/>
        </w:rPr>
        <w:object w:dxaOrig="13935" w:dyaOrig="7935">
          <v:shape id="_x0000_i1642" type="#_x0000_t75" style="width:691.5pt;height:395.25pt" o:ole="">
            <v:imagedata r:id="rId197" o:title=""/>
          </v:shape>
          <o:OLEObject Type="Link" ProgID="Excel.Sheet.12" ShapeID="_x0000_i1642" DrawAspect="Content" r:id="rId198" UpdateMode="Always">
            <o:LinkType>EnhancedMetaFile</o:LinkType>
            <o:LockedField>false</o:LockedField>
          </o:OLEObject>
        </w:object>
      </w:r>
    </w:p>
    <w:p w:rsidR="00123D92" w:rsidRDefault="00123D92" w:rsidP="00507E14">
      <w:pPr>
        <w:pStyle w:val="PSDS-MarcadoresNivel2"/>
        <w:numPr>
          <w:ilvl w:val="0"/>
          <w:numId w:val="0"/>
        </w:numPr>
        <w:rPr>
          <w:rFonts w:ascii="Times New Roman" w:hAnsi="Times New Roman"/>
        </w:rPr>
      </w:pPr>
    </w:p>
    <w:p w:rsidR="00123D92" w:rsidRDefault="00123D92">
      <w:pPr>
        <w:spacing w:after="200" w:line="276" w:lineRule="auto"/>
        <w:rPr>
          <w:b/>
          <w:szCs w:val="20"/>
        </w:rPr>
      </w:pPr>
      <w:r>
        <w:br w:type="page"/>
      </w:r>
    </w:p>
    <w:p w:rsidR="00507E14" w:rsidRPr="00FA3856" w:rsidRDefault="00507E14" w:rsidP="00507E14">
      <w:pPr>
        <w:pStyle w:val="PSDS-MarcadoresNivel2"/>
        <w:numPr>
          <w:ilvl w:val="0"/>
          <w:numId w:val="0"/>
        </w:numPr>
        <w:rPr>
          <w:rFonts w:ascii="Times New Roman" w:hAnsi="Times New Roman"/>
        </w:rPr>
      </w:pPr>
      <w:r w:rsidRPr="00FA3856">
        <w:rPr>
          <w:rFonts w:ascii="Times New Roman" w:hAnsi="Times New Roman"/>
        </w:rPr>
        <w:lastRenderedPageBreak/>
        <w:t>I – Regras de Validação do Registro:</w:t>
      </w:r>
    </w:p>
    <w:p w:rsidR="00507E14" w:rsidRPr="00FA3856" w:rsidRDefault="00507E14" w:rsidP="00507E14">
      <w:pPr>
        <w:pStyle w:val="Corpodetexto"/>
        <w:ind w:left="708" w:firstLine="12"/>
        <w:rPr>
          <w:rFonts w:ascii="Times New Roman" w:hAnsi="Times New Roman"/>
          <w:szCs w:val="20"/>
        </w:rPr>
      </w:pPr>
    </w:p>
    <w:p w:rsidR="00507E14" w:rsidRPr="00FA3856" w:rsidRDefault="007D0E74" w:rsidP="00507E14">
      <w:pPr>
        <w:pStyle w:val="Corpodetexto"/>
        <w:ind w:left="708" w:firstLine="12"/>
        <w:rPr>
          <w:rFonts w:ascii="Times New Roman" w:hAnsi="Times New Roman"/>
          <w:szCs w:val="20"/>
        </w:rPr>
      </w:pPr>
      <w:hyperlink r:id="rId199" w:anchor="REGRA_OCORRENCIA_UNITARIA_ARQ" w:history="1">
        <w:r w:rsidR="00507E14" w:rsidRPr="00FA3856">
          <w:rPr>
            <w:rFonts w:ascii="Times New Roman" w:hAnsi="Times New Roman"/>
            <w:b/>
            <w:szCs w:val="20"/>
          </w:rPr>
          <w:t>REGRA_</w:t>
        </w:r>
      </w:hyperlink>
      <w:r w:rsidR="00507E14" w:rsidRPr="00FA3856">
        <w:rPr>
          <w:rFonts w:ascii="Times New Roman" w:hAnsi="Times New Roman"/>
          <w:b/>
          <w:szCs w:val="20"/>
        </w:rPr>
        <w:t>DUPLICIDADE_DESPREZADA</w:t>
      </w:r>
      <w:r w:rsidR="00507E14" w:rsidRPr="00FA3856">
        <w:rPr>
          <w:rFonts w:ascii="Times New Roman" w:hAnsi="Times New Roman"/>
          <w:color w:val="auto"/>
          <w:szCs w:val="20"/>
        </w:rPr>
        <w:t xml:space="preserve">: </w:t>
      </w:r>
      <w:r w:rsidR="00507E14" w:rsidRPr="00FA3856">
        <w:rPr>
          <w:rFonts w:ascii="Times New Roman" w:hAnsi="Times New Roman"/>
          <w:szCs w:val="20"/>
        </w:rPr>
        <w:t>Verifica se o registro já foi importado anteriormente, de acordo com a chave e os registros pais. Se a regra não for cumprida, a ECF gera um aviso.</w:t>
      </w:r>
    </w:p>
    <w:p w:rsidR="00507E14" w:rsidRPr="00FA3856" w:rsidRDefault="00507E14" w:rsidP="00507E14">
      <w:pPr>
        <w:pStyle w:val="Corpodetexto"/>
        <w:ind w:left="708" w:firstLine="12"/>
        <w:rPr>
          <w:rFonts w:ascii="Times New Roman" w:hAnsi="Times New Roman"/>
          <w:szCs w:val="20"/>
        </w:rPr>
      </w:pPr>
    </w:p>
    <w:p w:rsidR="00507E14" w:rsidRPr="00FA3856" w:rsidRDefault="007D0E74" w:rsidP="00507E14">
      <w:pPr>
        <w:pStyle w:val="Corpodetexto"/>
        <w:ind w:left="708" w:firstLine="12"/>
        <w:rPr>
          <w:rFonts w:ascii="Times New Roman" w:hAnsi="Times New Roman"/>
          <w:b/>
          <w:szCs w:val="20"/>
        </w:rPr>
      </w:pPr>
      <w:hyperlink r:id="rId200" w:anchor="REGRA_OCORRENCIA_UNITARIA_ARQ" w:history="1">
        <w:r w:rsidR="00507E14" w:rsidRPr="00FA3856">
          <w:rPr>
            <w:rFonts w:ascii="Times New Roman" w:hAnsi="Times New Roman"/>
            <w:b/>
            <w:szCs w:val="20"/>
          </w:rPr>
          <w:t>REGRA_</w:t>
        </w:r>
      </w:hyperlink>
      <w:r w:rsidR="00507E14" w:rsidRPr="00FA3856">
        <w:rPr>
          <w:rFonts w:ascii="Times New Roman" w:hAnsi="Times New Roman"/>
          <w:b/>
          <w:szCs w:val="20"/>
        </w:rPr>
        <w:t>PERIODO_DESPREZADO</w:t>
      </w:r>
      <w:r w:rsidR="00507E14" w:rsidRPr="00FA3856">
        <w:rPr>
          <w:rFonts w:ascii="Times New Roman" w:hAnsi="Times New Roman"/>
          <w:color w:val="auto"/>
          <w:szCs w:val="20"/>
        </w:rPr>
        <w:t xml:space="preserve">: </w:t>
      </w:r>
      <w:r w:rsidR="00507E14" w:rsidRPr="00FA3856">
        <w:rPr>
          <w:rFonts w:ascii="Times New Roman" w:hAnsi="Times New Roman"/>
          <w:szCs w:val="20"/>
        </w:rPr>
        <w:t>Verifica se a linha deste período existe no arquivo de importação, mas não deve ser importado, pois as datas não compatíveis com o período da ECF. Gera um aviso.</w:t>
      </w:r>
    </w:p>
    <w:p w:rsidR="00507E14" w:rsidRPr="00FA3856" w:rsidRDefault="00507E14" w:rsidP="00507E14">
      <w:pPr>
        <w:pStyle w:val="Corpodetexto"/>
        <w:ind w:left="708" w:firstLine="12"/>
        <w:rPr>
          <w:rFonts w:ascii="Times New Roman" w:hAnsi="Times New Roman"/>
          <w:b/>
          <w:szCs w:val="20"/>
        </w:rPr>
      </w:pPr>
    </w:p>
    <w:p w:rsidR="00507E14" w:rsidRPr="00FA3856" w:rsidRDefault="007D0E74" w:rsidP="00507E14">
      <w:pPr>
        <w:pStyle w:val="Corpodetexto"/>
        <w:ind w:left="708" w:firstLine="12"/>
        <w:rPr>
          <w:rFonts w:ascii="Times New Roman" w:hAnsi="Times New Roman"/>
          <w:b/>
          <w:szCs w:val="20"/>
        </w:rPr>
      </w:pPr>
      <w:hyperlink r:id="rId201" w:anchor="REGRA_OCORRENCIA_UNITARIA_ARQ" w:history="1">
        <w:r w:rsidR="00507E14" w:rsidRPr="00FA3856">
          <w:rPr>
            <w:rFonts w:ascii="Times New Roman" w:hAnsi="Times New Roman"/>
            <w:b/>
            <w:szCs w:val="20"/>
          </w:rPr>
          <w:t>REGRA_</w:t>
        </w:r>
      </w:hyperlink>
      <w:r w:rsidR="00507E14" w:rsidRPr="00FA3856">
        <w:rPr>
          <w:rFonts w:ascii="Times New Roman" w:hAnsi="Times New Roman"/>
          <w:b/>
          <w:szCs w:val="20"/>
        </w:rPr>
        <w:t>LINHA_ALTERADA</w:t>
      </w:r>
      <w:r w:rsidR="00507E14" w:rsidRPr="00FA3856">
        <w:rPr>
          <w:rFonts w:ascii="Times New Roman" w:hAnsi="Times New Roman"/>
          <w:color w:val="auto"/>
          <w:szCs w:val="20"/>
        </w:rPr>
        <w:t xml:space="preserve">: </w:t>
      </w:r>
      <w:r w:rsidR="00507E14" w:rsidRPr="00FA3856">
        <w:rPr>
          <w:rFonts w:ascii="Times New Roman" w:hAnsi="Times New Roman"/>
          <w:szCs w:val="20"/>
        </w:rPr>
        <w:t>Verifica se a linha deste período existe no arquivo de importação, mas deve ser alterada, pois as datas não compatíveis com o período da ECF. Gera um aviso.</w:t>
      </w:r>
    </w:p>
    <w:p w:rsidR="00507E14" w:rsidRPr="00FA3856" w:rsidRDefault="00507E14" w:rsidP="00024B32">
      <w:pPr>
        <w:jc w:val="both"/>
        <w:rPr>
          <w:szCs w:val="20"/>
          <w:lang w:val="pt-PT"/>
        </w:rPr>
      </w:pPr>
    </w:p>
    <w:p w:rsidR="00342F1D" w:rsidRDefault="00CE7914" w:rsidP="00255D65">
      <w:pPr>
        <w:pStyle w:val="Corpodetexto"/>
        <w:rPr>
          <w:rFonts w:ascii="Times New Roman" w:hAnsi="Times New Roman"/>
          <w:b/>
          <w:color w:val="002060"/>
          <w:szCs w:val="20"/>
        </w:rPr>
      </w:pPr>
      <w:r w:rsidRPr="00FA3856">
        <w:rPr>
          <w:rFonts w:ascii="Times New Roman" w:hAnsi="Times New Roman"/>
          <w:b/>
          <w:color w:val="002060"/>
          <w:szCs w:val="20"/>
        </w:rPr>
        <w:t xml:space="preserve">Exemplo de Preenchimento: </w:t>
      </w:r>
    </w:p>
    <w:p w:rsidR="00342F1D" w:rsidRDefault="00342F1D" w:rsidP="00255D65">
      <w:pPr>
        <w:pStyle w:val="Corpodetexto"/>
        <w:rPr>
          <w:rFonts w:ascii="Times New Roman" w:hAnsi="Times New Roman"/>
          <w:b/>
          <w:color w:val="002060"/>
          <w:szCs w:val="20"/>
        </w:rPr>
      </w:pPr>
    </w:p>
    <w:p w:rsidR="00255D65" w:rsidRPr="00FA3856" w:rsidRDefault="00255D65" w:rsidP="00255D65">
      <w:pPr>
        <w:pStyle w:val="Corpodetexto"/>
        <w:rPr>
          <w:rFonts w:ascii="Times New Roman" w:hAnsi="Times New Roman"/>
          <w:b/>
          <w:color w:val="002060"/>
          <w:szCs w:val="20"/>
        </w:rPr>
      </w:pPr>
      <w:r w:rsidRPr="00FA3856">
        <w:rPr>
          <w:rFonts w:ascii="Times New Roman" w:hAnsi="Times New Roman"/>
          <w:b/>
          <w:color w:val="002060"/>
          <w:szCs w:val="20"/>
        </w:rPr>
        <w:t>|K030|01012014|31032014|T01|</w:t>
      </w:r>
    </w:p>
    <w:p w:rsidR="00255D65" w:rsidRPr="00FA3856" w:rsidRDefault="00255D65" w:rsidP="00255D65">
      <w:pPr>
        <w:pStyle w:val="Corpodetexto"/>
        <w:ind w:firstLine="708"/>
        <w:rPr>
          <w:rFonts w:ascii="Times New Roman" w:hAnsi="Times New Roman"/>
          <w:color w:val="002060"/>
          <w:szCs w:val="20"/>
        </w:rPr>
      </w:pPr>
      <w:r w:rsidRPr="00FA3856">
        <w:rPr>
          <w:rFonts w:ascii="Times New Roman" w:hAnsi="Times New Roman"/>
          <w:color w:val="002060"/>
          <w:szCs w:val="20"/>
        </w:rPr>
        <w:t>|K030|: Identificação do tipo do registro.</w:t>
      </w:r>
    </w:p>
    <w:p w:rsidR="00255D65" w:rsidRPr="00FA3856" w:rsidRDefault="00255D65" w:rsidP="00255D65">
      <w:pPr>
        <w:pStyle w:val="Corpodetexto"/>
        <w:ind w:firstLine="708"/>
        <w:rPr>
          <w:rFonts w:ascii="Times New Roman" w:hAnsi="Times New Roman"/>
          <w:color w:val="002060"/>
          <w:szCs w:val="20"/>
        </w:rPr>
      </w:pPr>
      <w:r w:rsidRPr="00FA3856">
        <w:rPr>
          <w:rFonts w:ascii="Times New Roman" w:hAnsi="Times New Roman"/>
          <w:color w:val="002060"/>
          <w:szCs w:val="20"/>
        </w:rPr>
        <w:t>|01012014|: Data de início do período (01/01/2014).</w:t>
      </w:r>
    </w:p>
    <w:p w:rsidR="00255D65" w:rsidRPr="00FA3856" w:rsidRDefault="00255D65" w:rsidP="00255D65">
      <w:pPr>
        <w:pStyle w:val="Corpodetexto"/>
        <w:ind w:firstLine="708"/>
        <w:rPr>
          <w:rFonts w:ascii="Times New Roman" w:hAnsi="Times New Roman"/>
          <w:color w:val="002060"/>
          <w:szCs w:val="20"/>
        </w:rPr>
      </w:pPr>
      <w:r w:rsidRPr="00FA3856">
        <w:rPr>
          <w:rFonts w:ascii="Times New Roman" w:hAnsi="Times New Roman"/>
          <w:color w:val="002060"/>
          <w:szCs w:val="20"/>
        </w:rPr>
        <w:t>|31032014|: Data de fim do período (31/03/2014).</w:t>
      </w:r>
    </w:p>
    <w:p w:rsidR="00255D65" w:rsidRPr="00FA3856" w:rsidRDefault="00255D65" w:rsidP="00255D65">
      <w:pPr>
        <w:pStyle w:val="Corpodetexto"/>
        <w:ind w:firstLine="708"/>
        <w:rPr>
          <w:rFonts w:ascii="Times New Roman" w:hAnsi="Times New Roman"/>
          <w:color w:val="002060"/>
          <w:szCs w:val="20"/>
        </w:rPr>
      </w:pPr>
      <w:r w:rsidRPr="00FA3856">
        <w:rPr>
          <w:rFonts w:ascii="Times New Roman" w:hAnsi="Times New Roman"/>
          <w:color w:val="002060"/>
          <w:szCs w:val="20"/>
        </w:rPr>
        <w:t>|T01|: Período de apuração (T01 = 1</w:t>
      </w:r>
      <w:r w:rsidRPr="00FA3856">
        <w:rPr>
          <w:rFonts w:ascii="Times New Roman" w:hAnsi="Times New Roman"/>
          <w:color w:val="002060"/>
          <w:szCs w:val="20"/>
          <w:u w:val="single"/>
          <w:vertAlign w:val="superscript"/>
        </w:rPr>
        <w:t>o</w:t>
      </w:r>
      <w:r w:rsidRPr="00FA3856">
        <w:rPr>
          <w:rFonts w:ascii="Times New Roman" w:hAnsi="Times New Roman"/>
          <w:color w:val="002060"/>
          <w:szCs w:val="20"/>
        </w:rPr>
        <w:t xml:space="preserve"> Trimestre).</w:t>
      </w:r>
    </w:p>
    <w:p w:rsidR="00255D65" w:rsidRPr="00FA3856" w:rsidRDefault="00255D65" w:rsidP="00024B32">
      <w:pPr>
        <w:jc w:val="both"/>
        <w:rPr>
          <w:szCs w:val="20"/>
          <w:lang w:val="pt-PT"/>
        </w:rPr>
      </w:pPr>
    </w:p>
    <w:p w:rsidR="001A2FAA" w:rsidRPr="00FA3856" w:rsidRDefault="001A2FAA">
      <w:pPr>
        <w:spacing w:after="200" w:line="276" w:lineRule="auto"/>
        <w:rPr>
          <w:b/>
          <w:bCs/>
          <w:color w:val="0000FF"/>
          <w:szCs w:val="20"/>
        </w:rPr>
      </w:pPr>
      <w:r w:rsidRPr="00FA3856">
        <w:rPr>
          <w:color w:val="0000FF"/>
          <w:szCs w:val="20"/>
        </w:rPr>
        <w:br w:type="page"/>
      </w:r>
    </w:p>
    <w:p w:rsidR="003E05CE" w:rsidRPr="00FA3856" w:rsidRDefault="003E05CE" w:rsidP="00867F54">
      <w:pPr>
        <w:pStyle w:val="Ttulo4"/>
      </w:pPr>
      <w:bookmarkStart w:id="101" w:name="_Toc479713708"/>
      <w:r w:rsidRPr="00FA3856">
        <w:lastRenderedPageBreak/>
        <w:t>Registro K155: Detalhes dos Saldos Contábeis (Depois do Encerramento do Resultado do Período)</w:t>
      </w:r>
      <w:bookmarkEnd w:id="101"/>
    </w:p>
    <w:p w:rsidR="003E05CE" w:rsidRPr="00FA3856" w:rsidRDefault="003E05CE" w:rsidP="003E05CE">
      <w:pPr>
        <w:jc w:val="both"/>
        <w:rPr>
          <w:szCs w:val="20"/>
        </w:rPr>
      </w:pPr>
    </w:p>
    <w:p w:rsidR="003E05CE" w:rsidRPr="00FA3856" w:rsidRDefault="003E05CE" w:rsidP="003E05CE">
      <w:pPr>
        <w:pStyle w:val="PSDS-MarcadoresNivel2"/>
        <w:numPr>
          <w:ilvl w:val="0"/>
          <w:numId w:val="0"/>
        </w:numPr>
        <w:tabs>
          <w:tab w:val="left" w:pos="720"/>
        </w:tabs>
        <w:spacing w:before="0" w:after="0"/>
        <w:rPr>
          <w:rFonts w:ascii="Times New Roman" w:hAnsi="Times New Roman"/>
          <w:b w:val="0"/>
          <w:lang w:val="pt-PT"/>
        </w:rPr>
      </w:pPr>
      <w:r w:rsidRPr="00FA3856">
        <w:rPr>
          <w:rFonts w:ascii="Times New Roman" w:hAnsi="Times New Roman"/>
          <w:b w:val="0"/>
          <w:lang w:val="pt-PT"/>
        </w:rPr>
        <w:tab/>
        <w:t>Registro onde devem ser informados os saldos iniciais, os saldos finais, os totais de débitos e os totais de créditos de todas as contas patrimoniais da escrituração societária da pessoa jurídica (Ativo, Passivo e Patrimonio Liquido), no período de apuração. Poderá ser preenchido das seguintes formas:</w:t>
      </w:r>
    </w:p>
    <w:p w:rsidR="003E05CE" w:rsidRPr="00FA3856" w:rsidRDefault="003E05CE" w:rsidP="003E05CE">
      <w:pPr>
        <w:pStyle w:val="PSDS-CorpodeTexto0"/>
        <w:rPr>
          <w:rFonts w:ascii="Times New Roman" w:hAnsi="Times New Roman"/>
        </w:rPr>
      </w:pPr>
    </w:p>
    <w:p w:rsidR="003E05CE" w:rsidRPr="00FA3856" w:rsidRDefault="003E05CE" w:rsidP="003E05CE">
      <w:pPr>
        <w:pStyle w:val="PSDS-CorpodeTexto0"/>
        <w:ind w:firstLine="708"/>
        <w:rPr>
          <w:rFonts w:ascii="Times New Roman" w:hAnsi="Times New Roman"/>
        </w:rPr>
      </w:pPr>
      <w:r w:rsidRPr="00FA3856">
        <w:rPr>
          <w:rFonts w:ascii="Times New Roman" w:hAnsi="Times New Roman"/>
        </w:rPr>
        <w:t>- Edição pelo programa da ECF;</w:t>
      </w:r>
    </w:p>
    <w:p w:rsidR="003E05CE" w:rsidRPr="00FA3856" w:rsidRDefault="003E05CE" w:rsidP="003E05CE">
      <w:pPr>
        <w:pStyle w:val="PSDS-CorpodeTexto0"/>
        <w:ind w:firstLine="708"/>
        <w:rPr>
          <w:rFonts w:ascii="Times New Roman" w:hAnsi="Times New Roman"/>
        </w:rPr>
      </w:pPr>
    </w:p>
    <w:p w:rsidR="003E05CE" w:rsidRPr="00FA3856" w:rsidRDefault="003E05CE" w:rsidP="003E05CE">
      <w:pPr>
        <w:pStyle w:val="PSDS-CorpodeTexto0"/>
        <w:ind w:firstLine="708"/>
        <w:rPr>
          <w:rFonts w:ascii="Times New Roman" w:hAnsi="Times New Roman"/>
        </w:rPr>
      </w:pPr>
      <w:r w:rsidRPr="00FA3856">
        <w:rPr>
          <w:rFonts w:ascii="Times New Roman" w:hAnsi="Times New Roman"/>
        </w:rPr>
        <w:t>- Calculado pelo sistema através da funcionalidade de recuperar ECD; e</w:t>
      </w:r>
    </w:p>
    <w:p w:rsidR="003E05CE" w:rsidRPr="00FA3856" w:rsidRDefault="003E05CE" w:rsidP="003E05CE">
      <w:pPr>
        <w:pStyle w:val="PSDS-CorpodeTexto0"/>
        <w:ind w:firstLine="708"/>
        <w:rPr>
          <w:rFonts w:ascii="Times New Roman" w:hAnsi="Times New Roman"/>
        </w:rPr>
      </w:pPr>
    </w:p>
    <w:p w:rsidR="003E05CE" w:rsidRPr="00FA3856" w:rsidRDefault="003E05CE" w:rsidP="003E05CE">
      <w:pPr>
        <w:pStyle w:val="PSDS-CorpodeTexto0"/>
        <w:ind w:firstLine="708"/>
        <w:rPr>
          <w:rFonts w:ascii="Times New Roman" w:hAnsi="Times New Roman"/>
          <w:lang w:val="pt-PT"/>
        </w:rPr>
      </w:pPr>
      <w:r w:rsidRPr="00FA3856">
        <w:rPr>
          <w:rFonts w:ascii="Times New Roman" w:hAnsi="Times New Roman"/>
        </w:rPr>
        <w:t>- Importado de arquivo digital.</w:t>
      </w:r>
      <w:r w:rsidRPr="00FA3856">
        <w:rPr>
          <w:rFonts w:ascii="Times New Roman" w:hAnsi="Times New Roman"/>
          <w:lang w:val="pt-PT"/>
        </w:rPr>
        <w:t xml:space="preserve"> </w:t>
      </w:r>
    </w:p>
    <w:p w:rsidR="00361BA8" w:rsidRPr="00FA3856" w:rsidRDefault="00361BA8" w:rsidP="00EA4A9B">
      <w:pPr>
        <w:shd w:val="clear" w:color="auto" w:fill="FFFFFF"/>
        <w:rPr>
          <w:b/>
          <w:color w:val="222222"/>
          <w:szCs w:val="20"/>
        </w:rPr>
      </w:pPr>
    </w:p>
    <w:p w:rsidR="00EA4A9B" w:rsidRPr="00FA3856" w:rsidRDefault="00EA4A9B" w:rsidP="00EA4A9B">
      <w:pPr>
        <w:shd w:val="clear" w:color="auto" w:fill="FFFFFF"/>
        <w:rPr>
          <w:b/>
          <w:color w:val="222222"/>
          <w:szCs w:val="20"/>
        </w:rPr>
      </w:pPr>
      <w:r w:rsidRPr="00FA3856">
        <w:rPr>
          <w:b/>
          <w:color w:val="222222"/>
          <w:szCs w:val="20"/>
        </w:rPr>
        <w:t>Observações:</w:t>
      </w:r>
    </w:p>
    <w:p w:rsidR="00EA4A9B" w:rsidRPr="00FA3856" w:rsidRDefault="00EA4A9B" w:rsidP="00EA4A9B">
      <w:pPr>
        <w:shd w:val="clear" w:color="auto" w:fill="FFFFFF"/>
        <w:spacing w:before="100" w:beforeAutospacing="1" w:after="100" w:afterAutospacing="1"/>
        <w:rPr>
          <w:color w:val="222222"/>
          <w:szCs w:val="20"/>
        </w:rPr>
      </w:pPr>
      <w:r w:rsidRPr="00FA3856">
        <w:rPr>
          <w:color w:val="222222"/>
          <w:szCs w:val="20"/>
        </w:rPr>
        <w:t>1) Apresentar registros para </w:t>
      </w:r>
      <w:r w:rsidRPr="00FA3856">
        <w:rPr>
          <w:b/>
          <w:bCs/>
          <w:color w:val="222222"/>
          <w:szCs w:val="20"/>
          <w:u w:val="single"/>
        </w:rPr>
        <w:t>todas</w:t>
      </w:r>
      <w:r w:rsidRPr="00FA3856">
        <w:rPr>
          <w:color w:val="222222"/>
          <w:szCs w:val="20"/>
        </w:rPr>
        <w:t xml:space="preserve"> as contas </w:t>
      </w:r>
      <w:r w:rsidR="00B5790B" w:rsidRPr="00FA3856">
        <w:rPr>
          <w:color w:val="222222"/>
          <w:szCs w:val="20"/>
        </w:rPr>
        <w:t>analíticas que</w:t>
      </w:r>
      <w:r w:rsidRPr="00FA3856">
        <w:rPr>
          <w:color w:val="222222"/>
          <w:szCs w:val="20"/>
        </w:rPr>
        <w:t xml:space="preserve"> tenham saldo (societário) ou movimento no período;</w:t>
      </w:r>
    </w:p>
    <w:p w:rsidR="00EA4A9B" w:rsidRPr="00FA3856" w:rsidRDefault="00786EEF" w:rsidP="00EA4A9B">
      <w:pPr>
        <w:shd w:val="clear" w:color="auto" w:fill="FFFFFF"/>
        <w:spacing w:before="100" w:beforeAutospacing="1" w:after="100" w:afterAutospacing="1"/>
        <w:rPr>
          <w:color w:val="222222"/>
          <w:szCs w:val="20"/>
        </w:rPr>
      </w:pPr>
      <w:r w:rsidRPr="00FA3856">
        <w:rPr>
          <w:color w:val="222222"/>
          <w:szCs w:val="20"/>
        </w:rPr>
        <w:t>2) K155.</w:t>
      </w:r>
      <w:r w:rsidR="00EA4A9B" w:rsidRPr="00FA3856">
        <w:rPr>
          <w:color w:val="222222"/>
          <w:szCs w:val="20"/>
          <w:lang w:val="pt-PT"/>
        </w:rPr>
        <w:t>IND_VL_SLD_INI</w:t>
      </w:r>
      <w:r w:rsidR="00CE7914" w:rsidRPr="00FA3856">
        <w:rPr>
          <w:color w:val="222222"/>
          <w:szCs w:val="20"/>
        </w:rPr>
        <w:t xml:space="preserve"> e </w:t>
      </w:r>
      <w:r w:rsidRPr="00FA3856">
        <w:rPr>
          <w:color w:val="222222"/>
          <w:szCs w:val="20"/>
        </w:rPr>
        <w:t>K155.</w:t>
      </w:r>
      <w:r w:rsidR="00EA4A9B" w:rsidRPr="00FA3856">
        <w:rPr>
          <w:color w:val="222222"/>
          <w:szCs w:val="20"/>
          <w:lang w:val="pt-PT"/>
        </w:rPr>
        <w:t>IND_VL_SLD_FIN</w:t>
      </w:r>
      <w:r w:rsidR="00CE7914" w:rsidRPr="00FA3856">
        <w:rPr>
          <w:color w:val="222222"/>
          <w:szCs w:val="20"/>
        </w:rPr>
        <w:t>: Quando saldos iguais a zero, preencher com “D” ou</w:t>
      </w:r>
      <w:r w:rsidR="00EA4A9B" w:rsidRPr="00FA3856">
        <w:rPr>
          <w:color w:val="222222"/>
          <w:szCs w:val="20"/>
        </w:rPr>
        <w:t xml:space="preserve"> </w:t>
      </w:r>
      <w:r w:rsidR="00CE7914" w:rsidRPr="00FA3856">
        <w:rPr>
          <w:color w:val="222222"/>
          <w:szCs w:val="20"/>
        </w:rPr>
        <w:t>“</w:t>
      </w:r>
      <w:r w:rsidR="00EA4A9B" w:rsidRPr="00FA3856">
        <w:rPr>
          <w:color w:val="222222"/>
          <w:szCs w:val="20"/>
        </w:rPr>
        <w:t>C</w:t>
      </w:r>
      <w:r w:rsidR="00CE7914" w:rsidRPr="00FA3856">
        <w:rPr>
          <w:color w:val="222222"/>
          <w:szCs w:val="20"/>
        </w:rPr>
        <w:t>”</w:t>
      </w:r>
      <w:r w:rsidR="00EA4A9B" w:rsidRPr="00FA3856">
        <w:rPr>
          <w:color w:val="222222"/>
          <w:szCs w:val="20"/>
        </w:rPr>
        <w:t>;</w:t>
      </w:r>
    </w:p>
    <w:p w:rsidR="00EA4A9B" w:rsidRPr="00FA3856" w:rsidRDefault="00786EEF" w:rsidP="00EA4A9B">
      <w:pPr>
        <w:shd w:val="clear" w:color="auto" w:fill="FFFFFF"/>
        <w:spacing w:before="100" w:beforeAutospacing="1" w:after="100" w:afterAutospacing="1"/>
        <w:rPr>
          <w:color w:val="222222"/>
          <w:szCs w:val="20"/>
        </w:rPr>
      </w:pPr>
      <w:r w:rsidRPr="00FA3856">
        <w:rPr>
          <w:color w:val="222222"/>
          <w:szCs w:val="20"/>
        </w:rPr>
        <w:t>3) K155.VL_SLD_INI, K155.VL_DEB, K155.VL_CRED ou K155.VL_SLD_FIN</w:t>
      </w:r>
      <w:r w:rsidR="00CE7914" w:rsidRPr="00FA3856">
        <w:rPr>
          <w:color w:val="222222"/>
          <w:szCs w:val="20"/>
        </w:rPr>
        <w:t>: N</w:t>
      </w:r>
      <w:r w:rsidR="00EA4A9B" w:rsidRPr="00FA3856">
        <w:rPr>
          <w:color w:val="222222"/>
          <w:szCs w:val="20"/>
        </w:rPr>
        <w:t>a inexistência de saldo inicial, final ou de movimentação, preencher com zero.</w:t>
      </w:r>
    </w:p>
    <w:p w:rsidR="00EA4A9B" w:rsidRPr="00FA3856" w:rsidRDefault="00786EEF" w:rsidP="00EA4A9B">
      <w:pPr>
        <w:shd w:val="clear" w:color="auto" w:fill="FFFFFF"/>
        <w:spacing w:before="100" w:beforeAutospacing="1" w:after="100" w:afterAutospacing="1"/>
        <w:rPr>
          <w:color w:val="222222"/>
          <w:szCs w:val="20"/>
        </w:rPr>
      </w:pPr>
      <w:r w:rsidRPr="00FA3856">
        <w:rPr>
          <w:color w:val="222222"/>
          <w:szCs w:val="20"/>
        </w:rPr>
        <w:t>4) K155.COD_CTA</w:t>
      </w:r>
      <w:r w:rsidR="00CE7914" w:rsidRPr="00FA3856">
        <w:rPr>
          <w:color w:val="222222"/>
          <w:szCs w:val="20"/>
        </w:rPr>
        <w:t xml:space="preserve"> e </w:t>
      </w:r>
      <w:r w:rsidRPr="00FA3856">
        <w:rPr>
          <w:color w:val="222222"/>
          <w:szCs w:val="20"/>
        </w:rPr>
        <w:t>K155.COD_CCUS: I</w:t>
      </w:r>
      <w:r w:rsidR="00EA4A9B" w:rsidRPr="00FA3856">
        <w:rPr>
          <w:color w:val="222222"/>
          <w:szCs w:val="20"/>
        </w:rPr>
        <w:t>nforme o código constante do registro J050 e J051 respectivamente.</w:t>
      </w:r>
    </w:p>
    <w:p w:rsidR="00EA4A9B" w:rsidRPr="00FA3856" w:rsidRDefault="0021402F" w:rsidP="00EA4A9B">
      <w:pPr>
        <w:shd w:val="clear" w:color="auto" w:fill="FFFFFF"/>
        <w:spacing w:before="100" w:beforeAutospacing="1" w:after="100" w:afterAutospacing="1"/>
        <w:rPr>
          <w:color w:val="222222"/>
          <w:szCs w:val="20"/>
        </w:rPr>
      </w:pPr>
      <w:r w:rsidRPr="00FA3856">
        <w:rPr>
          <w:color w:val="222222"/>
          <w:szCs w:val="20"/>
        </w:rPr>
        <w:t>5)</w:t>
      </w:r>
      <w:r w:rsidR="00786EEF" w:rsidRPr="00FA3856">
        <w:rPr>
          <w:color w:val="222222"/>
          <w:szCs w:val="20"/>
        </w:rPr>
        <w:t xml:space="preserve"> K155.VL_SLD_INI: I</w:t>
      </w:r>
      <w:r w:rsidR="00EA4A9B" w:rsidRPr="00FA3856">
        <w:rPr>
          <w:color w:val="222222"/>
          <w:szCs w:val="20"/>
        </w:rPr>
        <w:t>nforme o valor do saldo da conta no início do período de apuração (K030.DT_FIN).</w:t>
      </w:r>
    </w:p>
    <w:p w:rsidR="00EA4A9B" w:rsidRPr="00FA3856" w:rsidRDefault="00786EEF" w:rsidP="00EA4A9B">
      <w:pPr>
        <w:shd w:val="clear" w:color="auto" w:fill="FFFFFF"/>
        <w:spacing w:before="100" w:beforeAutospacing="1" w:after="100" w:afterAutospacing="1"/>
        <w:rPr>
          <w:color w:val="222222"/>
          <w:szCs w:val="20"/>
        </w:rPr>
      </w:pPr>
      <w:r w:rsidRPr="00FA3856">
        <w:rPr>
          <w:color w:val="222222"/>
          <w:szCs w:val="20"/>
        </w:rPr>
        <w:t>6) K155.VL_DEB</w:t>
      </w:r>
      <w:r w:rsidR="0021402F" w:rsidRPr="00FA3856">
        <w:rPr>
          <w:color w:val="222222"/>
          <w:szCs w:val="20"/>
        </w:rPr>
        <w:t xml:space="preserve"> e </w:t>
      </w:r>
      <w:r w:rsidRPr="00FA3856">
        <w:rPr>
          <w:color w:val="222222"/>
          <w:szCs w:val="20"/>
        </w:rPr>
        <w:t>K155.VL_CRED: I</w:t>
      </w:r>
      <w:r w:rsidR="00EA4A9B" w:rsidRPr="00FA3856">
        <w:rPr>
          <w:color w:val="222222"/>
          <w:szCs w:val="20"/>
        </w:rPr>
        <w:t xml:space="preserve">nforme os valores de movimentação em todo o período de apuração </w:t>
      </w:r>
      <w:r w:rsidR="00F42035">
        <w:rPr>
          <w:color w:val="222222"/>
          <w:szCs w:val="20"/>
        </w:rPr>
        <w:t>(entre K030.DT_INI e K030.DT_FIN</w:t>
      </w:r>
      <w:r w:rsidR="00EA4A9B" w:rsidRPr="00FA3856">
        <w:rPr>
          <w:color w:val="222222"/>
          <w:szCs w:val="20"/>
        </w:rPr>
        <w:t>).</w:t>
      </w:r>
    </w:p>
    <w:p w:rsidR="00EA4A9B" w:rsidRPr="00FA3856" w:rsidRDefault="00786EEF" w:rsidP="00EA4A9B">
      <w:pPr>
        <w:shd w:val="clear" w:color="auto" w:fill="FFFFFF"/>
        <w:spacing w:before="100" w:beforeAutospacing="1" w:after="100" w:afterAutospacing="1"/>
        <w:rPr>
          <w:color w:val="222222"/>
          <w:szCs w:val="20"/>
        </w:rPr>
      </w:pPr>
      <w:r w:rsidRPr="00FA3856">
        <w:rPr>
          <w:color w:val="222222"/>
          <w:szCs w:val="20"/>
        </w:rPr>
        <w:t>7) K155.VL_SLD_FIN: I</w:t>
      </w:r>
      <w:r w:rsidR="00EA4A9B" w:rsidRPr="00FA3856">
        <w:rPr>
          <w:color w:val="222222"/>
          <w:szCs w:val="20"/>
        </w:rPr>
        <w:t>nforme o valor do saldo da conta no fim do período de apuração (K030.DT_FIN).</w:t>
      </w:r>
    </w:p>
    <w:p w:rsidR="00EA4A9B" w:rsidRPr="00FA3856" w:rsidRDefault="0069023E" w:rsidP="00EA4A9B">
      <w:pPr>
        <w:pStyle w:val="PSDS-CorpodeTexto0"/>
        <w:rPr>
          <w:rFonts w:ascii="Times New Roman" w:hAnsi="Times New Roman"/>
          <w:b/>
          <w:bCs/>
          <w:color w:val="222222"/>
          <w:shd w:val="clear" w:color="auto" w:fill="FFFFFF"/>
          <w:lang w:eastAsia="pt-BR"/>
        </w:rPr>
      </w:pPr>
      <w:r w:rsidRPr="00FA3856">
        <w:rPr>
          <w:rFonts w:ascii="Times New Roman" w:hAnsi="Times New Roman"/>
          <w:b/>
          <w:bCs/>
          <w:color w:val="222222"/>
          <w:shd w:val="clear" w:color="auto" w:fill="FFFFFF"/>
          <w:lang w:eastAsia="pt-BR"/>
        </w:rPr>
        <w:t>Atenção: O</w:t>
      </w:r>
      <w:r w:rsidR="00EA4A9B" w:rsidRPr="00FA3856">
        <w:rPr>
          <w:rFonts w:ascii="Times New Roman" w:hAnsi="Times New Roman"/>
          <w:b/>
          <w:bCs/>
          <w:color w:val="222222"/>
          <w:shd w:val="clear" w:color="auto" w:fill="FFFFFF"/>
          <w:lang w:eastAsia="pt-BR"/>
        </w:rPr>
        <w:t>s valores devem ser apurados e informados considerando todos os lançamentos (inclusive os de encerramento).</w:t>
      </w:r>
    </w:p>
    <w:p w:rsidR="00255D65" w:rsidRPr="00FA3856" w:rsidRDefault="00255D65" w:rsidP="00EA4A9B">
      <w:pPr>
        <w:pStyle w:val="PSDS-CorpodeTexto0"/>
        <w:rPr>
          <w:rFonts w:ascii="Times New Roman" w:hAnsi="Times New Roman"/>
          <w:b/>
          <w:bCs/>
          <w:color w:val="222222"/>
          <w:shd w:val="clear" w:color="auto" w:fill="FFFFFF"/>
          <w:lang w:eastAsia="pt-BR"/>
        </w:rPr>
      </w:pPr>
    </w:p>
    <w:p w:rsidR="00255D65" w:rsidRPr="00FA3856" w:rsidRDefault="00255D65" w:rsidP="00EA4A9B">
      <w:pPr>
        <w:pStyle w:val="PSDS-CorpodeTexto0"/>
        <w:rPr>
          <w:rFonts w:ascii="Times New Roman" w:hAnsi="Times New Roman"/>
          <w:b/>
          <w:bCs/>
          <w:color w:val="222222"/>
          <w:shd w:val="clear" w:color="auto" w:fill="FFFFFF"/>
          <w:lang w:eastAsia="pt-BR"/>
        </w:rPr>
      </w:pPr>
    </w:p>
    <w:p w:rsidR="00255D65" w:rsidRPr="00FA3856" w:rsidRDefault="00255D65" w:rsidP="00EA4A9B">
      <w:pPr>
        <w:pStyle w:val="PSDS-CorpodeTexto0"/>
        <w:rPr>
          <w:rFonts w:ascii="Times New Roman" w:hAnsi="Times New Roman"/>
          <w:b/>
          <w:bCs/>
          <w:color w:val="222222"/>
          <w:shd w:val="clear" w:color="auto" w:fill="FFFFFF"/>
          <w:lang w:eastAsia="pt-BR"/>
        </w:rPr>
      </w:pPr>
    </w:p>
    <w:p w:rsidR="00255D65" w:rsidRPr="00FA3856" w:rsidRDefault="00255D65" w:rsidP="00EA4A9B">
      <w:pPr>
        <w:pStyle w:val="PSDS-CorpodeTexto0"/>
        <w:rPr>
          <w:rFonts w:ascii="Times New Roman" w:hAnsi="Times New Roman"/>
          <w:b/>
          <w:bCs/>
          <w:color w:val="222222"/>
          <w:shd w:val="clear" w:color="auto" w:fill="FFFFFF"/>
          <w:lang w:eastAsia="pt-BR"/>
        </w:rPr>
      </w:pPr>
    </w:p>
    <w:p w:rsidR="00255D65" w:rsidRPr="00FA3856" w:rsidRDefault="00255D65" w:rsidP="00EA4A9B">
      <w:pPr>
        <w:pStyle w:val="PSDS-CorpodeTexto0"/>
        <w:rPr>
          <w:rFonts w:ascii="Times New Roman" w:hAnsi="Times New Roman"/>
          <w:b/>
          <w:bCs/>
          <w:color w:val="222222"/>
          <w:shd w:val="clear" w:color="auto" w:fill="FFFFFF"/>
          <w:lang w:eastAsia="pt-BR"/>
        </w:rPr>
      </w:pPr>
    </w:p>
    <w:p w:rsidR="00255D65" w:rsidRPr="00FA3856" w:rsidRDefault="00255D65" w:rsidP="00EA4A9B">
      <w:pPr>
        <w:pStyle w:val="PSDS-CorpodeTexto0"/>
        <w:rPr>
          <w:rFonts w:ascii="Times New Roman" w:hAnsi="Times New Roman"/>
          <w:b/>
          <w:bCs/>
          <w:color w:val="222222"/>
          <w:shd w:val="clear" w:color="auto" w:fill="FFFFFF"/>
          <w:lang w:eastAsia="pt-BR"/>
        </w:rPr>
      </w:pPr>
    </w:p>
    <w:p w:rsidR="00255D65" w:rsidRPr="00FA3856" w:rsidRDefault="00255D65" w:rsidP="00EA4A9B">
      <w:pPr>
        <w:pStyle w:val="PSDS-CorpodeTexto0"/>
        <w:rPr>
          <w:rFonts w:ascii="Times New Roman" w:hAnsi="Times New Roman"/>
          <w:b/>
          <w:lang w:val="pt-PT"/>
        </w:rPr>
      </w:pPr>
    </w:p>
    <w:p w:rsidR="003E05CE" w:rsidRPr="00FA3856" w:rsidRDefault="003E05CE" w:rsidP="003E05CE">
      <w:pPr>
        <w:jc w:val="both"/>
        <w:rPr>
          <w:szCs w:val="20"/>
        </w:rPr>
      </w:pPr>
    </w:p>
    <w:p w:rsidR="008C4B10" w:rsidRPr="00FA3856" w:rsidRDefault="008C4B10" w:rsidP="003E05CE">
      <w:pPr>
        <w:jc w:val="both"/>
        <w:rPr>
          <w:szCs w:val="20"/>
        </w:rPr>
      </w:pPr>
    </w:p>
    <w:p w:rsidR="00903F86" w:rsidRDefault="00903F86">
      <w:pPr>
        <w:spacing w:after="200" w:line="276" w:lineRule="auto"/>
        <w:rPr>
          <w:b/>
          <w:szCs w:val="20"/>
        </w:rPr>
      </w:pPr>
    </w:p>
    <w:p w:rsidR="00652594" w:rsidRPr="00FA3856" w:rsidRDefault="00B35FA3" w:rsidP="00903F86">
      <w:pPr>
        <w:spacing w:after="200" w:line="276" w:lineRule="auto"/>
        <w:jc w:val="center"/>
        <w:rPr>
          <w:b/>
          <w:szCs w:val="20"/>
          <w:lang w:eastAsia="ar-SA"/>
        </w:rPr>
      </w:pPr>
      <w:r>
        <w:rPr>
          <w:b/>
          <w:szCs w:val="20"/>
        </w:rPr>
        <w:object w:dxaOrig="13500" w:dyaOrig="7950">
          <v:shape id="_x0000_i1644" type="#_x0000_t75" style="width:677.25pt;height:395.25pt" o:ole="">
            <v:imagedata r:id="rId202" o:title=""/>
          </v:shape>
          <o:OLEObject Type="Link" ProgID="Excel.Sheet.12" ShapeID="_x0000_i1644" DrawAspect="Content" r:id="rId203" UpdateMode="Always">
            <o:LinkType>EnhancedMetaFile</o:LinkType>
            <o:LockedField>false</o:LockedField>
          </o:OLEObject>
        </w:object>
      </w:r>
      <w:r w:rsidR="00652594" w:rsidRPr="00FA3856">
        <w:rPr>
          <w:b/>
          <w:szCs w:val="20"/>
        </w:rPr>
        <w:br w:type="page"/>
      </w:r>
    </w:p>
    <w:p w:rsidR="003E05CE" w:rsidRPr="00FA3856" w:rsidRDefault="003E05CE" w:rsidP="003E05CE">
      <w:pPr>
        <w:pStyle w:val="Corpodetexto"/>
        <w:rPr>
          <w:rFonts w:ascii="Times New Roman" w:hAnsi="Times New Roman"/>
          <w:color w:val="auto"/>
          <w:szCs w:val="20"/>
        </w:rPr>
      </w:pPr>
      <w:r w:rsidRPr="00FA3856">
        <w:rPr>
          <w:rFonts w:ascii="Times New Roman" w:hAnsi="Times New Roman"/>
          <w:b/>
          <w:color w:val="auto"/>
          <w:szCs w:val="20"/>
        </w:rPr>
        <w:lastRenderedPageBreak/>
        <w:t xml:space="preserve">I - Regras de Validação do Registro: </w:t>
      </w:r>
    </w:p>
    <w:p w:rsidR="003E05CE" w:rsidRPr="00FA3856" w:rsidRDefault="003E05CE" w:rsidP="003E05CE">
      <w:pPr>
        <w:pStyle w:val="Corpodetexto"/>
        <w:rPr>
          <w:rFonts w:ascii="Times New Roman" w:hAnsi="Times New Roman"/>
          <w:color w:val="auto"/>
          <w:szCs w:val="20"/>
        </w:rPr>
      </w:pPr>
    </w:p>
    <w:p w:rsidR="004F5988" w:rsidRPr="00FA3856" w:rsidRDefault="007D0E74" w:rsidP="004F5988">
      <w:pPr>
        <w:pStyle w:val="Corpodetexto"/>
        <w:ind w:left="708"/>
        <w:rPr>
          <w:rStyle w:val="Hyperlink"/>
          <w:rFonts w:ascii="Times New Roman" w:hAnsi="Times New Roman"/>
          <w:color w:val="auto"/>
          <w:szCs w:val="20"/>
        </w:rPr>
      </w:pPr>
      <w:hyperlink w:anchor="REGRA_NATUREZA_PERMITIDA_PATRIMONIAL" w:history="1">
        <w:r w:rsidR="003E05CE" w:rsidRPr="00FA3856">
          <w:rPr>
            <w:rStyle w:val="Hyperlink"/>
            <w:rFonts w:ascii="Times New Roman" w:hAnsi="Times New Roman"/>
            <w:b/>
            <w:color w:val="auto"/>
            <w:szCs w:val="20"/>
          </w:rPr>
          <w:t>REGRA_NATUREZA_PERMITIDA_PATRIMONIAL</w:t>
        </w:r>
      </w:hyperlink>
      <w:r w:rsidR="003E05CE" w:rsidRPr="00FA3856">
        <w:rPr>
          <w:rStyle w:val="Hyperlink"/>
          <w:rFonts w:ascii="Times New Roman" w:hAnsi="Times New Roman"/>
          <w:b/>
          <w:color w:val="auto"/>
          <w:szCs w:val="20"/>
        </w:rPr>
        <w:t xml:space="preserve">: </w:t>
      </w:r>
      <w:r w:rsidR="007039B3" w:rsidRPr="00FA3856">
        <w:rPr>
          <w:rStyle w:val="Hyperlink"/>
          <w:rFonts w:ascii="Times New Roman" w:hAnsi="Times New Roman"/>
          <w:color w:val="auto"/>
          <w:szCs w:val="20"/>
        </w:rPr>
        <w:t>Verifica se a conta informa</w:t>
      </w:r>
      <w:r w:rsidR="00CE7914" w:rsidRPr="00FA3856">
        <w:rPr>
          <w:rStyle w:val="Hyperlink"/>
          <w:rFonts w:ascii="Times New Roman" w:hAnsi="Times New Roman"/>
          <w:color w:val="auto"/>
          <w:szCs w:val="20"/>
        </w:rPr>
        <w:t>da no registro K155 possui J050.</w:t>
      </w:r>
      <w:r w:rsidR="007039B3" w:rsidRPr="00FA3856">
        <w:rPr>
          <w:rStyle w:val="Hyperlink"/>
          <w:rFonts w:ascii="Times New Roman" w:hAnsi="Times New Roman"/>
          <w:color w:val="auto"/>
          <w:szCs w:val="20"/>
        </w:rPr>
        <w:t>COD_NAT igual a “</w:t>
      </w:r>
      <w:r w:rsidR="004F5988" w:rsidRPr="00FA3856">
        <w:rPr>
          <w:rStyle w:val="Hyperlink"/>
          <w:rFonts w:ascii="Times New Roman" w:hAnsi="Times New Roman"/>
          <w:color w:val="auto"/>
          <w:szCs w:val="20"/>
        </w:rPr>
        <w:t>0</w:t>
      </w:r>
      <w:r w:rsidR="007039B3" w:rsidRPr="00FA3856">
        <w:rPr>
          <w:rStyle w:val="Hyperlink"/>
          <w:rFonts w:ascii="Times New Roman" w:hAnsi="Times New Roman"/>
          <w:color w:val="auto"/>
          <w:szCs w:val="20"/>
        </w:rPr>
        <w:t>1” (</w:t>
      </w:r>
      <w:r w:rsidR="004F5988" w:rsidRPr="00FA3856">
        <w:rPr>
          <w:rStyle w:val="Hyperlink"/>
          <w:rFonts w:ascii="Times New Roman" w:hAnsi="Times New Roman"/>
          <w:color w:val="auto"/>
          <w:szCs w:val="20"/>
        </w:rPr>
        <w:t xml:space="preserve">Contas do </w:t>
      </w:r>
      <w:r w:rsidR="007039B3" w:rsidRPr="00FA3856">
        <w:rPr>
          <w:rStyle w:val="Hyperlink"/>
          <w:rFonts w:ascii="Times New Roman" w:hAnsi="Times New Roman"/>
          <w:color w:val="auto"/>
          <w:szCs w:val="20"/>
        </w:rPr>
        <w:t>Ativo), “2” (</w:t>
      </w:r>
      <w:r w:rsidR="004F5988" w:rsidRPr="00FA3856">
        <w:rPr>
          <w:rStyle w:val="Hyperlink"/>
          <w:rFonts w:ascii="Times New Roman" w:hAnsi="Times New Roman"/>
          <w:color w:val="auto"/>
          <w:szCs w:val="20"/>
        </w:rPr>
        <w:t xml:space="preserve">Contas do </w:t>
      </w:r>
      <w:r w:rsidR="007039B3" w:rsidRPr="00FA3856">
        <w:rPr>
          <w:rStyle w:val="Hyperlink"/>
          <w:rFonts w:ascii="Times New Roman" w:hAnsi="Times New Roman"/>
          <w:color w:val="auto"/>
          <w:szCs w:val="20"/>
        </w:rPr>
        <w:t>Passivo) ou “3” (</w:t>
      </w:r>
      <w:r w:rsidR="004F5988" w:rsidRPr="00FA3856">
        <w:rPr>
          <w:rStyle w:val="Hyperlink"/>
          <w:rFonts w:ascii="Times New Roman" w:hAnsi="Times New Roman"/>
          <w:color w:val="auto"/>
          <w:szCs w:val="20"/>
        </w:rPr>
        <w:t xml:space="preserve">Contas do </w:t>
      </w:r>
      <w:r w:rsidR="007039B3" w:rsidRPr="00FA3856">
        <w:rPr>
          <w:rStyle w:val="Hyperlink"/>
          <w:rFonts w:ascii="Times New Roman" w:hAnsi="Times New Roman"/>
          <w:color w:val="auto"/>
          <w:szCs w:val="20"/>
        </w:rPr>
        <w:t xml:space="preserve">Patrimônio Líquido). </w:t>
      </w:r>
      <w:r w:rsidR="004F5988" w:rsidRPr="00FA3856">
        <w:rPr>
          <w:rStyle w:val="Hyperlink"/>
          <w:rFonts w:ascii="Times New Roman" w:hAnsi="Times New Roman"/>
          <w:color w:val="auto"/>
          <w:szCs w:val="20"/>
        </w:rPr>
        <w:t>Se a regra não for cumprida, o sistema gera um erro.</w:t>
      </w:r>
    </w:p>
    <w:p w:rsidR="003E05CE" w:rsidRPr="00FA3856" w:rsidRDefault="003E05CE" w:rsidP="004F5988">
      <w:pPr>
        <w:pStyle w:val="Corpodetexto"/>
        <w:rPr>
          <w:rStyle w:val="Hyperlink"/>
          <w:rFonts w:ascii="Times New Roman" w:hAnsi="Times New Roman"/>
          <w:b/>
          <w:color w:val="auto"/>
          <w:szCs w:val="20"/>
        </w:rPr>
      </w:pPr>
    </w:p>
    <w:p w:rsidR="003E05CE" w:rsidRPr="00FA3856" w:rsidRDefault="007D0E74" w:rsidP="00340CE2">
      <w:pPr>
        <w:pStyle w:val="Corpodetexto"/>
        <w:ind w:left="708"/>
        <w:rPr>
          <w:rStyle w:val="Hyperlink"/>
          <w:rFonts w:ascii="Times New Roman" w:hAnsi="Times New Roman"/>
          <w:color w:val="auto"/>
          <w:szCs w:val="20"/>
        </w:rPr>
      </w:pPr>
      <w:hyperlink w:anchor="REGRA_VALIDACAO_SOMA_SALDO_INICIAL" w:history="1">
        <w:r w:rsidR="003E05CE" w:rsidRPr="00FA3856">
          <w:rPr>
            <w:rStyle w:val="Hyperlink"/>
            <w:rFonts w:ascii="Times New Roman" w:hAnsi="Times New Roman"/>
            <w:b/>
            <w:color w:val="auto"/>
            <w:szCs w:val="20"/>
          </w:rPr>
          <w:t>REGRA_VALIDACAO_SOMA_SALDO_INICIAL</w:t>
        </w:r>
      </w:hyperlink>
      <w:r w:rsidR="003E05CE" w:rsidRPr="00FA3856">
        <w:rPr>
          <w:rStyle w:val="Hyperlink"/>
          <w:rFonts w:ascii="Times New Roman" w:hAnsi="Times New Roman"/>
          <w:b/>
          <w:color w:val="auto"/>
          <w:szCs w:val="20"/>
        </w:rPr>
        <w:t xml:space="preserve">: </w:t>
      </w:r>
      <w:r w:rsidR="004F5988" w:rsidRPr="00FA3856">
        <w:rPr>
          <w:rStyle w:val="Hyperlink"/>
          <w:rFonts w:ascii="Times New Roman" w:hAnsi="Times New Roman"/>
          <w:color w:val="auto"/>
          <w:szCs w:val="20"/>
        </w:rPr>
        <w:t>V</w:t>
      </w:r>
      <w:r w:rsidR="003E7AAD" w:rsidRPr="00FA3856">
        <w:rPr>
          <w:rStyle w:val="Hyperlink"/>
          <w:rFonts w:ascii="Times New Roman" w:hAnsi="Times New Roman"/>
          <w:color w:val="auto"/>
          <w:szCs w:val="20"/>
        </w:rPr>
        <w:t xml:space="preserve">erifica se soma de </w:t>
      </w:r>
      <w:r w:rsidR="00CE7914" w:rsidRPr="00FA3856">
        <w:rPr>
          <w:rStyle w:val="Hyperlink"/>
          <w:rFonts w:ascii="Times New Roman" w:hAnsi="Times New Roman"/>
          <w:color w:val="auto"/>
          <w:szCs w:val="20"/>
        </w:rPr>
        <w:t>K155.</w:t>
      </w:r>
      <w:r w:rsidR="003E7AAD" w:rsidRPr="00FA3856">
        <w:rPr>
          <w:rStyle w:val="Hyperlink"/>
          <w:rFonts w:ascii="Times New Roman" w:hAnsi="Times New Roman"/>
          <w:color w:val="auto"/>
          <w:szCs w:val="20"/>
        </w:rPr>
        <w:t>VL_SLD_INI</w:t>
      </w:r>
      <w:r w:rsidR="00786EEF" w:rsidRPr="00FA3856">
        <w:rPr>
          <w:rStyle w:val="Hyperlink"/>
          <w:rFonts w:ascii="Times New Roman" w:hAnsi="Times New Roman"/>
          <w:color w:val="auto"/>
          <w:szCs w:val="20"/>
        </w:rPr>
        <w:t xml:space="preserve"> </w:t>
      </w:r>
      <w:r w:rsidR="004F5988" w:rsidRPr="00FA3856">
        <w:rPr>
          <w:rStyle w:val="Hyperlink"/>
          <w:rFonts w:ascii="Times New Roman" w:hAnsi="Times New Roman"/>
          <w:color w:val="auto"/>
          <w:szCs w:val="20"/>
        </w:rPr>
        <w:t xml:space="preserve">é igual a zero para cada período informado no registro K030 (considerando os indicadores de saldo devedor e credor). </w:t>
      </w:r>
      <w:r w:rsidR="00340CE2" w:rsidRPr="00FA3856">
        <w:rPr>
          <w:rStyle w:val="Hyperlink"/>
          <w:rFonts w:ascii="Times New Roman" w:hAnsi="Times New Roman"/>
          <w:color w:val="auto"/>
          <w:szCs w:val="20"/>
        </w:rPr>
        <w:t>Se a regra não for cumprida e 0010.FORMA_TRIB_PER for igual a “R” (Lucro Real), o sistema gera um erro. Caso contrário, o sistema gera um aviso.</w:t>
      </w:r>
    </w:p>
    <w:p w:rsidR="00340CE2" w:rsidRPr="00FA3856" w:rsidRDefault="00340CE2" w:rsidP="00340CE2">
      <w:pPr>
        <w:pStyle w:val="Corpodetexto"/>
        <w:ind w:left="708"/>
        <w:rPr>
          <w:rStyle w:val="Hyperlink"/>
          <w:rFonts w:ascii="Times New Roman" w:hAnsi="Times New Roman"/>
          <w:b/>
          <w:color w:val="auto"/>
          <w:szCs w:val="20"/>
        </w:rPr>
      </w:pPr>
    </w:p>
    <w:p w:rsidR="004F5988" w:rsidRPr="00FA3856" w:rsidRDefault="003E05CE" w:rsidP="004F5988">
      <w:pPr>
        <w:pStyle w:val="Corpodetexto"/>
        <w:ind w:left="708"/>
        <w:rPr>
          <w:rFonts w:ascii="Times New Roman" w:hAnsi="Times New Roman"/>
          <w:color w:val="auto"/>
          <w:szCs w:val="20"/>
        </w:rPr>
      </w:pPr>
      <w:r w:rsidRPr="00FA3856">
        <w:rPr>
          <w:rStyle w:val="Hyperlink"/>
          <w:rFonts w:ascii="Times New Roman" w:hAnsi="Times New Roman"/>
          <w:b/>
          <w:color w:val="auto"/>
          <w:szCs w:val="20"/>
        </w:rPr>
        <w:t>R</w:t>
      </w:r>
      <w:hyperlink w:anchor="REGRA_VALIDACAO_SOMA_SALDO_FINAL" w:history="1">
        <w:r w:rsidRPr="00FA3856">
          <w:rPr>
            <w:rStyle w:val="Hyperlink"/>
            <w:rFonts w:ascii="Times New Roman" w:hAnsi="Times New Roman"/>
            <w:b/>
            <w:color w:val="auto"/>
            <w:szCs w:val="20"/>
          </w:rPr>
          <w:t>EGRA_VALIDACAO_SOMA_SALDO_FINAL</w:t>
        </w:r>
      </w:hyperlink>
      <w:r w:rsidRPr="00FA3856">
        <w:rPr>
          <w:rStyle w:val="Hyperlink"/>
          <w:rFonts w:ascii="Times New Roman" w:hAnsi="Times New Roman"/>
          <w:b/>
          <w:color w:val="auto"/>
          <w:szCs w:val="20"/>
        </w:rPr>
        <w:t xml:space="preserve">: </w:t>
      </w:r>
      <w:r w:rsidR="004F5988" w:rsidRPr="00FA3856">
        <w:rPr>
          <w:rStyle w:val="Hyperlink"/>
          <w:rFonts w:ascii="Times New Roman" w:hAnsi="Times New Roman"/>
          <w:color w:val="auto"/>
          <w:szCs w:val="20"/>
        </w:rPr>
        <w:t>V</w:t>
      </w:r>
      <w:r w:rsidR="003E7AAD" w:rsidRPr="00FA3856">
        <w:rPr>
          <w:rStyle w:val="Hyperlink"/>
          <w:rFonts w:ascii="Times New Roman" w:hAnsi="Times New Roman"/>
          <w:color w:val="auto"/>
          <w:szCs w:val="20"/>
        </w:rPr>
        <w:t xml:space="preserve">erifica se soma de </w:t>
      </w:r>
      <w:r w:rsidR="00CE7914" w:rsidRPr="00FA3856">
        <w:rPr>
          <w:rStyle w:val="Hyperlink"/>
          <w:rFonts w:ascii="Times New Roman" w:hAnsi="Times New Roman"/>
          <w:color w:val="auto"/>
          <w:szCs w:val="20"/>
        </w:rPr>
        <w:t>K155.</w:t>
      </w:r>
      <w:r w:rsidR="003E7AAD" w:rsidRPr="00FA3856">
        <w:rPr>
          <w:rStyle w:val="Hyperlink"/>
          <w:rFonts w:ascii="Times New Roman" w:hAnsi="Times New Roman"/>
          <w:color w:val="auto"/>
          <w:szCs w:val="20"/>
        </w:rPr>
        <w:t>VL_SLD_FIN</w:t>
      </w:r>
      <w:r w:rsidR="00786EEF" w:rsidRPr="00FA3856">
        <w:rPr>
          <w:rStyle w:val="Hyperlink"/>
          <w:rFonts w:ascii="Times New Roman" w:hAnsi="Times New Roman"/>
          <w:color w:val="auto"/>
          <w:szCs w:val="20"/>
        </w:rPr>
        <w:t xml:space="preserve"> </w:t>
      </w:r>
      <w:r w:rsidR="004F5988" w:rsidRPr="00FA3856">
        <w:rPr>
          <w:rStyle w:val="Hyperlink"/>
          <w:rFonts w:ascii="Times New Roman" w:hAnsi="Times New Roman"/>
          <w:color w:val="auto"/>
          <w:szCs w:val="20"/>
        </w:rPr>
        <w:t>é igual a zero para cada período informado no registro K030 (considerando os indicadores de saldo devedor e credor). Se a regra não for cumprida</w:t>
      </w:r>
      <w:r w:rsidR="00340CE2" w:rsidRPr="00FA3856">
        <w:rPr>
          <w:rStyle w:val="Hyperlink"/>
          <w:rFonts w:ascii="Times New Roman" w:hAnsi="Times New Roman"/>
          <w:color w:val="auto"/>
          <w:szCs w:val="20"/>
        </w:rPr>
        <w:t xml:space="preserve"> e 0010.FORMA_TRIB_PER for igual a “R” (Lucro Real)</w:t>
      </w:r>
      <w:r w:rsidR="004F5988" w:rsidRPr="00FA3856">
        <w:rPr>
          <w:rStyle w:val="Hyperlink"/>
          <w:rFonts w:ascii="Times New Roman" w:hAnsi="Times New Roman"/>
          <w:color w:val="auto"/>
          <w:szCs w:val="20"/>
        </w:rPr>
        <w:t>, o sistema gera um erro.</w:t>
      </w:r>
      <w:r w:rsidR="00340CE2" w:rsidRPr="00FA3856">
        <w:rPr>
          <w:rStyle w:val="Hyperlink"/>
          <w:rFonts w:ascii="Times New Roman" w:hAnsi="Times New Roman"/>
          <w:color w:val="auto"/>
          <w:szCs w:val="20"/>
        </w:rPr>
        <w:t xml:space="preserve"> Caso contrário, o sistema gera um aviso.</w:t>
      </w:r>
    </w:p>
    <w:p w:rsidR="003E05CE" w:rsidRPr="00FA3856" w:rsidRDefault="003E05CE" w:rsidP="004F5988">
      <w:pPr>
        <w:pStyle w:val="Corpodetexto"/>
        <w:rPr>
          <w:rStyle w:val="Hyperlink"/>
          <w:rFonts w:ascii="Times New Roman" w:hAnsi="Times New Roman"/>
          <w:b/>
          <w:color w:val="auto"/>
          <w:szCs w:val="20"/>
        </w:rPr>
      </w:pPr>
    </w:p>
    <w:p w:rsidR="004F5988" w:rsidRPr="00FA3856" w:rsidRDefault="007D0E74" w:rsidP="004F5988">
      <w:pPr>
        <w:pStyle w:val="Corpodetexto"/>
        <w:ind w:left="708"/>
        <w:rPr>
          <w:rFonts w:ascii="Times New Roman" w:hAnsi="Times New Roman"/>
          <w:color w:val="auto"/>
          <w:szCs w:val="20"/>
        </w:rPr>
      </w:pPr>
      <w:hyperlink w:anchor="REGRA_VALIDACAO_DEB_DIF_CRED" w:history="1">
        <w:r w:rsidR="003E05CE" w:rsidRPr="00FA3856">
          <w:rPr>
            <w:rStyle w:val="Hyperlink"/>
            <w:rFonts w:ascii="Times New Roman" w:hAnsi="Times New Roman"/>
            <w:b/>
            <w:color w:val="auto"/>
            <w:szCs w:val="20"/>
          </w:rPr>
          <w:t>REGRA_VALIDACAO_DEB_DIF_CRED</w:t>
        </w:r>
      </w:hyperlink>
      <w:r w:rsidR="003E05CE" w:rsidRPr="00FA3856">
        <w:rPr>
          <w:rStyle w:val="Hyperlink"/>
          <w:rFonts w:ascii="Times New Roman" w:hAnsi="Times New Roman"/>
          <w:b/>
          <w:color w:val="auto"/>
          <w:szCs w:val="20"/>
        </w:rPr>
        <w:t xml:space="preserve">: </w:t>
      </w:r>
      <w:r w:rsidR="004F5988" w:rsidRPr="00FA3856">
        <w:rPr>
          <w:rStyle w:val="Hyperlink"/>
          <w:rFonts w:ascii="Times New Roman" w:hAnsi="Times New Roman"/>
          <w:color w:val="auto"/>
          <w:szCs w:val="20"/>
        </w:rPr>
        <w:t>Verifica se a soma de</w:t>
      </w:r>
      <w:r w:rsidR="00786EEF" w:rsidRPr="00FA3856">
        <w:rPr>
          <w:rStyle w:val="Hyperlink"/>
          <w:rFonts w:ascii="Times New Roman" w:hAnsi="Times New Roman"/>
          <w:color w:val="auto"/>
          <w:szCs w:val="20"/>
        </w:rPr>
        <w:t xml:space="preserve"> K155.VL_DEB </w:t>
      </w:r>
      <w:r w:rsidR="004F5988" w:rsidRPr="00FA3856">
        <w:rPr>
          <w:rStyle w:val="Hyperlink"/>
          <w:rFonts w:ascii="Times New Roman" w:hAnsi="Times New Roman"/>
          <w:color w:val="auto"/>
          <w:szCs w:val="20"/>
        </w:rPr>
        <w:t xml:space="preserve">é igual à soma de </w:t>
      </w:r>
      <w:r w:rsidR="00786EEF" w:rsidRPr="00FA3856">
        <w:rPr>
          <w:rStyle w:val="Hyperlink"/>
          <w:rFonts w:ascii="Times New Roman" w:hAnsi="Times New Roman"/>
          <w:color w:val="auto"/>
          <w:szCs w:val="20"/>
        </w:rPr>
        <w:t xml:space="preserve">K155.VL_CRED </w:t>
      </w:r>
      <w:r w:rsidR="004F5988" w:rsidRPr="00FA3856">
        <w:rPr>
          <w:rStyle w:val="Hyperlink"/>
          <w:rFonts w:ascii="Times New Roman" w:hAnsi="Times New Roman"/>
          <w:color w:val="auto"/>
          <w:szCs w:val="20"/>
        </w:rPr>
        <w:t xml:space="preserve">para cada período informado no registro K030 (considerando os indicadores de saldo devedor e credor). </w:t>
      </w:r>
      <w:r w:rsidR="00340CE2" w:rsidRPr="00FA3856">
        <w:rPr>
          <w:rStyle w:val="Hyperlink"/>
          <w:rFonts w:ascii="Times New Roman" w:hAnsi="Times New Roman"/>
          <w:color w:val="auto"/>
          <w:szCs w:val="20"/>
        </w:rPr>
        <w:t>Se a regra não for cumprida e 0010.FORMA_TRIB_PER for igual a “R” (Lucro Real), o sistema gera um erro. Caso contrário, o sistema gera um aviso.</w:t>
      </w:r>
    </w:p>
    <w:p w:rsidR="004F5988" w:rsidRPr="00FA3856" w:rsidRDefault="004F5988" w:rsidP="004F5988">
      <w:pPr>
        <w:pStyle w:val="Corpodetexto"/>
        <w:rPr>
          <w:rStyle w:val="Hyperlink"/>
          <w:rFonts w:ascii="Times New Roman" w:hAnsi="Times New Roman"/>
          <w:b/>
          <w:color w:val="auto"/>
          <w:szCs w:val="20"/>
        </w:rPr>
      </w:pPr>
    </w:p>
    <w:p w:rsidR="003E05CE" w:rsidRPr="00FA3856" w:rsidRDefault="007D0E74" w:rsidP="001115C7">
      <w:pPr>
        <w:pStyle w:val="Corpodetexto"/>
        <w:ind w:left="708"/>
        <w:rPr>
          <w:rStyle w:val="Hyperlink"/>
          <w:rFonts w:ascii="Times New Roman" w:hAnsi="Times New Roman"/>
          <w:color w:val="auto"/>
          <w:szCs w:val="20"/>
        </w:rPr>
      </w:pPr>
      <w:hyperlink w:anchor="REGRA_BATIMENTO_I155" w:history="1">
        <w:r w:rsidR="003E05CE" w:rsidRPr="00FA3856">
          <w:rPr>
            <w:rStyle w:val="Hyperlink"/>
            <w:rFonts w:ascii="Times New Roman" w:hAnsi="Times New Roman"/>
            <w:b/>
            <w:color w:val="auto"/>
            <w:szCs w:val="20"/>
          </w:rPr>
          <w:t>REGRA_BATIMENTO_K155</w:t>
        </w:r>
      </w:hyperlink>
      <w:r w:rsidR="003E05CE" w:rsidRPr="00FA3856">
        <w:rPr>
          <w:rStyle w:val="Hyperlink"/>
          <w:rFonts w:ascii="Times New Roman" w:hAnsi="Times New Roman"/>
          <w:b/>
          <w:color w:val="auto"/>
          <w:szCs w:val="20"/>
        </w:rPr>
        <w:t xml:space="preserve">: </w:t>
      </w:r>
      <w:r w:rsidR="001115C7" w:rsidRPr="00FA3856">
        <w:rPr>
          <w:rStyle w:val="Hyperlink"/>
          <w:rFonts w:ascii="Times New Roman" w:hAnsi="Times New Roman"/>
          <w:color w:val="auto"/>
          <w:szCs w:val="20"/>
        </w:rPr>
        <w:t>Verifica se todos os saldos finais dos códigos de conta e centro de custos constantes no registro K155 do período anterior são iguais aos saldos iniciais dos códigos de conta e centro de custos constantes no registro K155 do período atual. Se a regra não for cumprida, o sistema gera um erro.</w:t>
      </w:r>
    </w:p>
    <w:p w:rsidR="003E05CE" w:rsidRPr="00FA3856" w:rsidRDefault="003E05CE" w:rsidP="003E05CE">
      <w:pPr>
        <w:pStyle w:val="Corpodetexto"/>
        <w:ind w:left="708"/>
        <w:rPr>
          <w:rStyle w:val="Hyperlink"/>
          <w:rFonts w:ascii="Times New Roman" w:hAnsi="Times New Roman"/>
          <w:b/>
          <w:color w:val="auto"/>
          <w:szCs w:val="20"/>
        </w:rPr>
      </w:pPr>
    </w:p>
    <w:p w:rsidR="001115C7" w:rsidRPr="00FA3856" w:rsidRDefault="003E05CE" w:rsidP="001115C7">
      <w:pPr>
        <w:pStyle w:val="Corpodetexto"/>
        <w:ind w:left="708"/>
        <w:rPr>
          <w:rStyle w:val="Hyperlink"/>
          <w:rFonts w:ascii="Times New Roman" w:hAnsi="Times New Roman"/>
          <w:color w:val="auto"/>
          <w:szCs w:val="20"/>
        </w:rPr>
      </w:pPr>
      <w:r w:rsidRPr="00FA3856">
        <w:rPr>
          <w:rStyle w:val="Hyperlink"/>
          <w:rFonts w:ascii="Times New Roman" w:hAnsi="Times New Roman"/>
          <w:b/>
          <w:color w:val="auto"/>
          <w:szCs w:val="20"/>
        </w:rPr>
        <w:t xml:space="preserve">REGRA_CONTA_ANALITICA: </w:t>
      </w:r>
      <w:r w:rsidR="001115C7" w:rsidRPr="00FA3856">
        <w:rPr>
          <w:rStyle w:val="Hyperlink"/>
          <w:rFonts w:ascii="Times New Roman" w:hAnsi="Times New Roman"/>
          <w:color w:val="auto"/>
          <w:szCs w:val="20"/>
        </w:rPr>
        <w:t xml:space="preserve">Verifica se </w:t>
      </w:r>
      <w:r w:rsidR="00E65303" w:rsidRPr="00FA3856">
        <w:rPr>
          <w:rStyle w:val="Hyperlink"/>
          <w:rFonts w:ascii="Times New Roman" w:hAnsi="Times New Roman"/>
          <w:color w:val="auto"/>
          <w:szCs w:val="20"/>
        </w:rPr>
        <w:t xml:space="preserve">a </w:t>
      </w:r>
      <w:r w:rsidR="001115C7" w:rsidRPr="00FA3856">
        <w:rPr>
          <w:rStyle w:val="Hyperlink"/>
          <w:rFonts w:ascii="Times New Roman" w:hAnsi="Times New Roman"/>
          <w:color w:val="auto"/>
          <w:szCs w:val="20"/>
        </w:rPr>
        <w:t xml:space="preserve">conta e </w:t>
      </w:r>
      <w:r w:rsidR="00E65303" w:rsidRPr="00FA3856">
        <w:rPr>
          <w:rStyle w:val="Hyperlink"/>
          <w:rFonts w:ascii="Times New Roman" w:hAnsi="Times New Roman"/>
          <w:color w:val="auto"/>
          <w:szCs w:val="20"/>
        </w:rPr>
        <w:t xml:space="preserve">o </w:t>
      </w:r>
      <w:r w:rsidR="001115C7" w:rsidRPr="00FA3856">
        <w:rPr>
          <w:rStyle w:val="Hyperlink"/>
          <w:rFonts w:ascii="Times New Roman" w:hAnsi="Times New Roman"/>
          <w:color w:val="auto"/>
          <w:szCs w:val="20"/>
        </w:rPr>
        <w:t>centro de custos est</w:t>
      </w:r>
      <w:r w:rsidR="00E65303" w:rsidRPr="00FA3856">
        <w:rPr>
          <w:rStyle w:val="Hyperlink"/>
          <w:rFonts w:ascii="Times New Roman" w:hAnsi="Times New Roman"/>
          <w:color w:val="auto"/>
          <w:szCs w:val="20"/>
        </w:rPr>
        <w:t>ão</w:t>
      </w:r>
      <w:r w:rsidR="001115C7" w:rsidRPr="00FA3856">
        <w:rPr>
          <w:rStyle w:val="Hyperlink"/>
          <w:rFonts w:ascii="Times New Roman" w:hAnsi="Times New Roman"/>
          <w:color w:val="auto"/>
          <w:szCs w:val="20"/>
        </w:rPr>
        <w:t xml:space="preserve"> no plano de contas (J050) como conta analítica. Se a regra não for cumprida, o sistema gera um erro.</w:t>
      </w:r>
    </w:p>
    <w:p w:rsidR="004F5988" w:rsidRPr="00FA3856" w:rsidRDefault="004F5988" w:rsidP="003E05CE">
      <w:pPr>
        <w:pStyle w:val="Corpodetexto"/>
        <w:ind w:left="708"/>
        <w:rPr>
          <w:rStyle w:val="Hyperlink"/>
          <w:rFonts w:ascii="Times New Roman" w:hAnsi="Times New Roman"/>
          <w:b/>
          <w:color w:val="auto"/>
          <w:szCs w:val="20"/>
        </w:rPr>
      </w:pPr>
    </w:p>
    <w:p w:rsidR="00835BAE" w:rsidRPr="00FA3856" w:rsidRDefault="007D0E74" w:rsidP="00835BAE">
      <w:pPr>
        <w:pStyle w:val="Corpodetexto"/>
        <w:ind w:left="708"/>
        <w:rPr>
          <w:rStyle w:val="Hyperlink"/>
          <w:rFonts w:ascii="Times New Roman" w:hAnsi="Times New Roman"/>
          <w:color w:val="auto"/>
          <w:szCs w:val="20"/>
        </w:rPr>
      </w:pPr>
      <w:hyperlink w:anchor="REGRA_COMPATIBILIDADE_K155_E155" w:history="1">
        <w:r w:rsidR="003E05CE" w:rsidRPr="00FA3856">
          <w:rPr>
            <w:rStyle w:val="Hyperlink"/>
            <w:rFonts w:ascii="Times New Roman" w:hAnsi="Times New Roman"/>
            <w:b/>
            <w:color w:val="auto"/>
            <w:szCs w:val="20"/>
          </w:rPr>
          <w:t>REGRA_COMPATIBILIDADE_K155_E155</w:t>
        </w:r>
      </w:hyperlink>
      <w:r w:rsidR="003E05CE" w:rsidRPr="00FA3856">
        <w:rPr>
          <w:rStyle w:val="Hyperlink"/>
          <w:rFonts w:ascii="Times New Roman" w:hAnsi="Times New Roman"/>
          <w:b/>
          <w:color w:val="auto"/>
          <w:szCs w:val="20"/>
        </w:rPr>
        <w:t xml:space="preserve">: </w:t>
      </w:r>
      <w:r w:rsidR="00835BAE" w:rsidRPr="00FA3856">
        <w:rPr>
          <w:rStyle w:val="Hyperlink"/>
          <w:rFonts w:ascii="Times New Roman" w:hAnsi="Times New Roman"/>
          <w:color w:val="auto"/>
          <w:szCs w:val="20"/>
        </w:rPr>
        <w:t>Verifica se os valores utilizados no registro K155 são iguais aos valores calculados do registro E155. Se a regra não for cumprida, o sistema gera um aviso.</w:t>
      </w:r>
    </w:p>
    <w:p w:rsidR="003E05CE" w:rsidRPr="00FA3856" w:rsidRDefault="003E05CE" w:rsidP="00835BAE">
      <w:pPr>
        <w:pStyle w:val="Corpodetexto"/>
        <w:rPr>
          <w:rStyle w:val="Hyperlink"/>
          <w:rFonts w:ascii="Times New Roman" w:hAnsi="Times New Roman"/>
          <w:b/>
          <w:color w:val="auto"/>
          <w:szCs w:val="20"/>
        </w:rPr>
      </w:pPr>
    </w:p>
    <w:p w:rsidR="00835BAE" w:rsidRPr="00FA3856" w:rsidRDefault="007D0E74" w:rsidP="00835BAE">
      <w:pPr>
        <w:pStyle w:val="Corpodetexto"/>
        <w:ind w:left="708"/>
        <w:rPr>
          <w:rStyle w:val="Hyperlink"/>
          <w:rFonts w:ascii="Times New Roman" w:hAnsi="Times New Roman"/>
          <w:color w:val="auto"/>
          <w:szCs w:val="20"/>
        </w:rPr>
      </w:pPr>
      <w:hyperlink w:anchor="REGRA_COMPATIBILIDADE_E155_K155" w:history="1">
        <w:r w:rsidR="003E05CE" w:rsidRPr="00FA3856">
          <w:rPr>
            <w:rStyle w:val="Hyperlink"/>
            <w:rFonts w:ascii="Times New Roman" w:hAnsi="Times New Roman"/>
            <w:b/>
            <w:color w:val="auto"/>
            <w:szCs w:val="20"/>
          </w:rPr>
          <w:t>REGRA_COMPATIBILIDADE_E155_K155</w:t>
        </w:r>
      </w:hyperlink>
      <w:r w:rsidR="003E05CE" w:rsidRPr="00FA3856">
        <w:rPr>
          <w:rStyle w:val="Hyperlink"/>
          <w:rFonts w:ascii="Times New Roman" w:hAnsi="Times New Roman"/>
          <w:b/>
          <w:color w:val="auto"/>
          <w:szCs w:val="20"/>
        </w:rPr>
        <w:t>:</w:t>
      </w:r>
      <w:r w:rsidR="00835BAE" w:rsidRPr="00FA3856">
        <w:rPr>
          <w:rStyle w:val="Hyperlink"/>
          <w:rFonts w:ascii="Times New Roman" w:hAnsi="Times New Roman"/>
          <w:b/>
          <w:color w:val="auto"/>
          <w:szCs w:val="20"/>
        </w:rPr>
        <w:t xml:space="preserve"> </w:t>
      </w:r>
      <w:r w:rsidR="00835BAE" w:rsidRPr="00FA3856">
        <w:rPr>
          <w:rStyle w:val="Hyperlink"/>
          <w:rFonts w:ascii="Times New Roman" w:hAnsi="Times New Roman"/>
          <w:color w:val="auto"/>
          <w:szCs w:val="20"/>
        </w:rPr>
        <w:t>Verifica se os campos do registro E155 com algum valor maior que zero, são referenciados no registro K155 para o mesmo período de apuração. Se a regra não for cumprida, o sistema gera um aviso.</w:t>
      </w:r>
    </w:p>
    <w:p w:rsidR="00652594" w:rsidRPr="00FA3856" w:rsidRDefault="00652594" w:rsidP="00835BAE">
      <w:pPr>
        <w:pStyle w:val="Corpodetexto"/>
        <w:ind w:left="708"/>
        <w:rPr>
          <w:rStyle w:val="Hyperlink"/>
          <w:rFonts w:ascii="Times New Roman" w:hAnsi="Times New Roman"/>
          <w:color w:val="auto"/>
          <w:szCs w:val="20"/>
        </w:rPr>
      </w:pPr>
    </w:p>
    <w:p w:rsidR="00652594" w:rsidRPr="00FA3856" w:rsidRDefault="00652594" w:rsidP="00835BAE">
      <w:pPr>
        <w:pStyle w:val="Corpodetexto"/>
        <w:ind w:left="708"/>
        <w:rPr>
          <w:rStyle w:val="Hyperlink"/>
          <w:rFonts w:ascii="Times New Roman" w:hAnsi="Times New Roman"/>
          <w:color w:val="auto"/>
          <w:szCs w:val="20"/>
        </w:rPr>
      </w:pPr>
      <w:r w:rsidRPr="00FA3856">
        <w:rPr>
          <w:rStyle w:val="Hyperlink"/>
          <w:rFonts w:ascii="Times New Roman" w:hAnsi="Times New Roman"/>
          <w:b/>
          <w:color w:val="auto"/>
          <w:szCs w:val="20"/>
        </w:rPr>
        <w:t xml:space="preserve">REGRA_SALDO_CONTABIL_MENOR: </w:t>
      </w:r>
      <w:r w:rsidRPr="00FA3856">
        <w:rPr>
          <w:rStyle w:val="Hyperlink"/>
          <w:rFonts w:ascii="Times New Roman" w:hAnsi="Times New Roman"/>
          <w:color w:val="auto"/>
          <w:szCs w:val="20"/>
        </w:rPr>
        <w:t xml:space="preserve">Verifica, para o mesmo período de apuração: </w:t>
      </w:r>
    </w:p>
    <w:p w:rsidR="00652594" w:rsidRPr="00FA3856" w:rsidRDefault="00652594" w:rsidP="00652594">
      <w:pPr>
        <w:pStyle w:val="Corpodetexto"/>
        <w:ind w:left="708" w:firstLine="708"/>
        <w:rPr>
          <w:rStyle w:val="Hyperlink"/>
          <w:rFonts w:ascii="Times New Roman" w:hAnsi="Times New Roman"/>
          <w:color w:val="auto"/>
          <w:szCs w:val="20"/>
        </w:rPr>
      </w:pPr>
      <w:r w:rsidRPr="00FA3856">
        <w:rPr>
          <w:rStyle w:val="Hyperlink"/>
          <w:rFonts w:ascii="Times New Roman" w:hAnsi="Times New Roman"/>
          <w:color w:val="auto"/>
          <w:szCs w:val="20"/>
        </w:rPr>
        <w:t>- Se K155.IND_VL_C</w:t>
      </w:r>
      <w:r w:rsidR="00CE7914" w:rsidRPr="00FA3856">
        <w:rPr>
          <w:rStyle w:val="Hyperlink"/>
          <w:rFonts w:ascii="Times New Roman" w:hAnsi="Times New Roman"/>
          <w:color w:val="auto"/>
          <w:szCs w:val="20"/>
        </w:rPr>
        <w:t>TA = M310.IND_VL_SLD_FIN e K155.</w:t>
      </w:r>
      <w:r w:rsidRPr="00FA3856">
        <w:rPr>
          <w:rStyle w:val="Hyperlink"/>
          <w:rFonts w:ascii="Times New Roman" w:hAnsi="Times New Roman"/>
          <w:color w:val="auto"/>
          <w:szCs w:val="20"/>
        </w:rPr>
        <w:t xml:space="preserve">VL_SLD_FIN é menor que o somatório </w:t>
      </w:r>
      <w:r w:rsidR="00B5790B" w:rsidRPr="00FA3856">
        <w:rPr>
          <w:rStyle w:val="Hyperlink"/>
          <w:rFonts w:ascii="Times New Roman" w:hAnsi="Times New Roman"/>
          <w:color w:val="auto"/>
          <w:szCs w:val="20"/>
        </w:rPr>
        <w:t>de M</w:t>
      </w:r>
      <w:r w:rsidR="00CE7914" w:rsidRPr="00FA3856">
        <w:rPr>
          <w:rStyle w:val="Hyperlink"/>
          <w:rFonts w:ascii="Times New Roman" w:hAnsi="Times New Roman"/>
          <w:color w:val="auto"/>
          <w:szCs w:val="20"/>
        </w:rPr>
        <w:t>310.</w:t>
      </w:r>
      <w:r w:rsidRPr="00FA3856">
        <w:rPr>
          <w:rStyle w:val="Hyperlink"/>
          <w:rFonts w:ascii="Times New Roman" w:hAnsi="Times New Roman"/>
          <w:color w:val="auto"/>
          <w:szCs w:val="20"/>
        </w:rPr>
        <w:t>VL_CTA.</w:t>
      </w:r>
    </w:p>
    <w:p w:rsidR="00652594" w:rsidRPr="00FA3856" w:rsidRDefault="00652594" w:rsidP="00652594">
      <w:pPr>
        <w:pStyle w:val="Corpodetexto"/>
        <w:ind w:left="708" w:firstLine="708"/>
        <w:rPr>
          <w:rStyle w:val="Hyperlink"/>
          <w:rFonts w:ascii="Times New Roman" w:hAnsi="Times New Roman"/>
          <w:color w:val="auto"/>
          <w:szCs w:val="20"/>
        </w:rPr>
      </w:pPr>
      <w:r w:rsidRPr="00FA3856">
        <w:rPr>
          <w:rStyle w:val="Hyperlink"/>
          <w:rFonts w:ascii="Times New Roman" w:hAnsi="Times New Roman"/>
          <w:color w:val="auto"/>
          <w:szCs w:val="20"/>
        </w:rPr>
        <w:t>- Se K155.IND_VL_C</w:t>
      </w:r>
      <w:r w:rsidR="00CE7914" w:rsidRPr="00FA3856">
        <w:rPr>
          <w:rStyle w:val="Hyperlink"/>
          <w:rFonts w:ascii="Times New Roman" w:hAnsi="Times New Roman"/>
          <w:color w:val="auto"/>
          <w:szCs w:val="20"/>
        </w:rPr>
        <w:t>TA = M360.IND_VL_SLD_FIN e K155.</w:t>
      </w:r>
      <w:r w:rsidRPr="00FA3856">
        <w:rPr>
          <w:rStyle w:val="Hyperlink"/>
          <w:rFonts w:ascii="Times New Roman" w:hAnsi="Times New Roman"/>
          <w:color w:val="auto"/>
          <w:szCs w:val="20"/>
        </w:rPr>
        <w:t xml:space="preserve">VL_SLD_FIN é menor que o somatório </w:t>
      </w:r>
      <w:r w:rsidR="00B5790B" w:rsidRPr="00FA3856">
        <w:rPr>
          <w:rStyle w:val="Hyperlink"/>
          <w:rFonts w:ascii="Times New Roman" w:hAnsi="Times New Roman"/>
          <w:color w:val="auto"/>
          <w:szCs w:val="20"/>
        </w:rPr>
        <w:t>de M</w:t>
      </w:r>
      <w:r w:rsidR="00CE7914" w:rsidRPr="00FA3856">
        <w:rPr>
          <w:rStyle w:val="Hyperlink"/>
          <w:rFonts w:ascii="Times New Roman" w:hAnsi="Times New Roman"/>
          <w:color w:val="auto"/>
          <w:szCs w:val="20"/>
        </w:rPr>
        <w:t>360.</w:t>
      </w:r>
      <w:r w:rsidRPr="00FA3856">
        <w:rPr>
          <w:rStyle w:val="Hyperlink"/>
          <w:rFonts w:ascii="Times New Roman" w:hAnsi="Times New Roman"/>
          <w:color w:val="auto"/>
          <w:szCs w:val="20"/>
        </w:rPr>
        <w:t>VL_CTA.</w:t>
      </w:r>
    </w:p>
    <w:p w:rsidR="00652594" w:rsidRPr="00FA3856" w:rsidRDefault="00652594" w:rsidP="00835BAE">
      <w:pPr>
        <w:pStyle w:val="Corpodetexto"/>
        <w:ind w:left="708"/>
        <w:rPr>
          <w:rStyle w:val="Hyperlink"/>
          <w:rFonts w:ascii="Times New Roman" w:hAnsi="Times New Roman"/>
          <w:color w:val="auto"/>
          <w:szCs w:val="20"/>
        </w:rPr>
      </w:pPr>
      <w:r w:rsidRPr="00FA3856">
        <w:rPr>
          <w:rStyle w:val="Hyperlink"/>
          <w:rFonts w:ascii="Times New Roman" w:hAnsi="Times New Roman"/>
          <w:color w:val="auto"/>
          <w:szCs w:val="20"/>
        </w:rPr>
        <w:tab/>
        <w:t>Se a regra não for cumprida, o sistema gera um erro.</w:t>
      </w:r>
    </w:p>
    <w:p w:rsidR="003E05CE" w:rsidRDefault="003E05CE" w:rsidP="00652594">
      <w:pPr>
        <w:pStyle w:val="Corpodetexto"/>
        <w:ind w:left="708"/>
        <w:rPr>
          <w:rStyle w:val="Hyperlink"/>
          <w:rFonts w:ascii="Times New Roman" w:hAnsi="Times New Roman"/>
          <w:color w:val="auto"/>
          <w:szCs w:val="20"/>
        </w:rPr>
      </w:pPr>
    </w:p>
    <w:p w:rsidR="00313A66" w:rsidRDefault="00313A66" w:rsidP="00652594">
      <w:pPr>
        <w:pStyle w:val="Corpodetexto"/>
        <w:ind w:left="708"/>
        <w:rPr>
          <w:rFonts w:ascii="Times New Roman" w:hAnsi="Times New Roman"/>
        </w:rPr>
      </w:pPr>
      <w:r>
        <w:rPr>
          <w:rFonts w:ascii="Times New Roman" w:hAnsi="Times New Roman"/>
          <w:b/>
        </w:rPr>
        <w:t xml:space="preserve">REGRA_EXISTENCIA_E015_K155: </w:t>
      </w:r>
      <w:r>
        <w:rPr>
          <w:rFonts w:ascii="Times New Roman" w:hAnsi="Times New Roman"/>
        </w:rPr>
        <w:t>Verifica se os saldos recuperados existem no registro K155 atual. O erro ocorre se (0010.FORMA_TRIB = “1”, “2”, “3” ou “4”) ou (0010.FORMA_TRIB = “5”, “7”, “8” ou</w:t>
      </w:r>
      <w:r w:rsidR="00E00235">
        <w:rPr>
          <w:rFonts w:ascii="Times New Roman" w:hAnsi="Times New Roman"/>
        </w:rPr>
        <w:t xml:space="preserve"> “9” e 0010.TIP_ESC_PRE = “C”) </w:t>
      </w:r>
      <w:r>
        <w:rPr>
          <w:rFonts w:ascii="Times New Roman" w:hAnsi="Times New Roman"/>
        </w:rPr>
        <w:t>e se existir ECF anterior recuperada (0000.HASH_ECF_ANTERIOR é diferente de vazio) e, para cada conta e centro de custo existente no registro E015 com valor maior que zero, não existir pelo menos um registro K155, considerando para cada período K030.DT_INI = 0000.DT_INI (períodos de apuração iniciais) e:</w:t>
      </w:r>
    </w:p>
    <w:p w:rsidR="00313A66" w:rsidRDefault="00313A66" w:rsidP="00652594">
      <w:pPr>
        <w:pStyle w:val="Corpodetexto"/>
        <w:ind w:left="708"/>
        <w:rPr>
          <w:rFonts w:ascii="Times New Roman" w:hAnsi="Times New Roman"/>
        </w:rPr>
      </w:pPr>
      <w:r>
        <w:rPr>
          <w:rFonts w:ascii="Times New Roman" w:hAnsi="Times New Roman"/>
          <w:b/>
        </w:rPr>
        <w:tab/>
      </w:r>
      <w:r>
        <w:rPr>
          <w:rFonts w:ascii="Times New Roman" w:hAnsi="Times New Roman"/>
          <w:b/>
        </w:rPr>
        <w:tab/>
      </w:r>
      <w:r>
        <w:rPr>
          <w:rFonts w:ascii="Times New Roman" w:hAnsi="Times New Roman"/>
        </w:rPr>
        <w:t>E015.COD_CTA = K155.COD_CTA; e</w:t>
      </w:r>
    </w:p>
    <w:p w:rsidR="00313A66" w:rsidRDefault="00313A66" w:rsidP="00652594">
      <w:pPr>
        <w:pStyle w:val="Corpodetexto"/>
        <w:ind w:left="708"/>
        <w:rPr>
          <w:rFonts w:ascii="Times New Roman" w:hAnsi="Times New Roman"/>
        </w:rPr>
      </w:pPr>
      <w:r>
        <w:rPr>
          <w:rFonts w:ascii="Times New Roman" w:hAnsi="Times New Roman"/>
        </w:rPr>
        <w:tab/>
      </w:r>
      <w:r>
        <w:rPr>
          <w:rFonts w:ascii="Times New Roman" w:hAnsi="Times New Roman"/>
        </w:rPr>
        <w:tab/>
        <w:t>E010.COD_CCUS = K155.COD_CCUS.</w:t>
      </w:r>
    </w:p>
    <w:p w:rsidR="00313A66" w:rsidRDefault="00E00235" w:rsidP="00313A66">
      <w:pPr>
        <w:pStyle w:val="Corpodetexto"/>
        <w:ind w:firstLine="708"/>
        <w:rPr>
          <w:rFonts w:ascii="Times New Roman" w:hAnsi="Times New Roman"/>
        </w:rPr>
      </w:pPr>
      <w:r>
        <w:rPr>
          <w:rFonts w:ascii="Times New Roman" w:hAnsi="Times New Roman"/>
        </w:rPr>
        <w:t xml:space="preserve">e se </w:t>
      </w:r>
      <w:r w:rsidR="00313A66">
        <w:rPr>
          <w:rFonts w:ascii="Times New Roman" w:hAnsi="Times New Roman"/>
        </w:rPr>
        <w:t>não existir um registro C157 para a mesma conta e centro de custo subordinado a um C150, onde:</w:t>
      </w:r>
    </w:p>
    <w:p w:rsidR="00313A66" w:rsidRDefault="00313A66" w:rsidP="00313A66">
      <w:pPr>
        <w:pStyle w:val="Corpodetexto"/>
        <w:ind w:firstLine="708"/>
        <w:rPr>
          <w:rFonts w:ascii="Times New Roman" w:hAnsi="Times New Roman"/>
        </w:rPr>
      </w:pPr>
      <w:r>
        <w:rPr>
          <w:rFonts w:ascii="Times New Roman" w:hAnsi="Times New Roman"/>
        </w:rPr>
        <w:tab/>
      </w:r>
      <w:r>
        <w:rPr>
          <w:rFonts w:ascii="Times New Roman" w:hAnsi="Times New Roman"/>
        </w:rPr>
        <w:tab/>
        <w:t>C150.DT_INI é maior ou igual a K030.DT_INI; e</w:t>
      </w:r>
    </w:p>
    <w:p w:rsidR="00313A66" w:rsidRPr="00FA3856" w:rsidRDefault="00313A66" w:rsidP="00313A66">
      <w:pPr>
        <w:pStyle w:val="Corpodetexto"/>
        <w:ind w:left="708"/>
        <w:rPr>
          <w:rStyle w:val="Hyperlink"/>
          <w:rFonts w:ascii="Times New Roman" w:hAnsi="Times New Roman"/>
          <w:color w:val="auto"/>
          <w:szCs w:val="20"/>
        </w:rPr>
      </w:pPr>
      <w:r>
        <w:rPr>
          <w:rFonts w:ascii="Times New Roman" w:hAnsi="Times New Roman"/>
        </w:rPr>
        <w:tab/>
      </w:r>
      <w:r>
        <w:rPr>
          <w:rFonts w:ascii="Times New Roman" w:hAnsi="Times New Roman"/>
        </w:rPr>
        <w:tab/>
        <w:t xml:space="preserve">C150.DT_FIN é menor ou igual a K030.DT_FIN. </w:t>
      </w:r>
      <w:r w:rsidRPr="00FA3856">
        <w:rPr>
          <w:rStyle w:val="Hyperlink"/>
          <w:rFonts w:ascii="Times New Roman" w:hAnsi="Times New Roman"/>
          <w:color w:val="auto"/>
          <w:szCs w:val="20"/>
        </w:rPr>
        <w:t>Se a regra não f</w:t>
      </w:r>
      <w:r>
        <w:rPr>
          <w:rStyle w:val="Hyperlink"/>
          <w:rFonts w:ascii="Times New Roman" w:hAnsi="Times New Roman"/>
          <w:color w:val="auto"/>
          <w:szCs w:val="20"/>
        </w:rPr>
        <w:t>or cumprida, o sistema gera um aviso</w:t>
      </w:r>
      <w:r w:rsidRPr="00FA3856">
        <w:rPr>
          <w:rStyle w:val="Hyperlink"/>
          <w:rFonts w:ascii="Times New Roman" w:hAnsi="Times New Roman"/>
          <w:color w:val="auto"/>
          <w:szCs w:val="20"/>
        </w:rPr>
        <w:t>.</w:t>
      </w:r>
    </w:p>
    <w:p w:rsidR="003E05CE" w:rsidRPr="00FA3856" w:rsidRDefault="003E05CE" w:rsidP="003E05CE">
      <w:pPr>
        <w:pStyle w:val="Corpodetexto"/>
        <w:rPr>
          <w:rFonts w:ascii="Times New Roman" w:hAnsi="Times New Roman"/>
          <w:color w:val="auto"/>
          <w:szCs w:val="20"/>
        </w:rPr>
      </w:pPr>
      <w:r w:rsidRPr="00FA3856">
        <w:rPr>
          <w:rFonts w:ascii="Times New Roman" w:hAnsi="Times New Roman"/>
          <w:b/>
          <w:color w:val="auto"/>
          <w:szCs w:val="20"/>
        </w:rPr>
        <w:lastRenderedPageBreak/>
        <w:t xml:space="preserve">II - Regras de Validação de Campos: </w:t>
      </w:r>
    </w:p>
    <w:p w:rsidR="003E05CE" w:rsidRPr="00FA3856" w:rsidRDefault="003E05CE" w:rsidP="00E406F0">
      <w:pPr>
        <w:rPr>
          <w:szCs w:val="20"/>
        </w:rPr>
      </w:pPr>
    </w:p>
    <w:tbl>
      <w:tblPr>
        <w:tblW w:w="5000" w:type="pct"/>
        <w:jc w:val="center"/>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477"/>
        <w:gridCol w:w="2474"/>
        <w:gridCol w:w="12529"/>
        <w:gridCol w:w="774"/>
      </w:tblGrid>
      <w:tr w:rsidR="004F5988" w:rsidRPr="00FA3856" w:rsidTr="007F46B7">
        <w:trPr>
          <w:jc w:val="center"/>
        </w:trPr>
        <w:tc>
          <w:tcPr>
            <w:tcW w:w="147" w:type="pct"/>
            <w:tcBorders>
              <w:top w:val="single" w:sz="6" w:space="0" w:color="auto"/>
              <w:left w:val="single" w:sz="6" w:space="0" w:color="auto"/>
              <w:bottom w:val="single" w:sz="6" w:space="0" w:color="auto"/>
              <w:right w:val="single" w:sz="6" w:space="0" w:color="auto"/>
            </w:tcBorders>
            <w:shd w:val="pct10" w:color="auto" w:fill="FFFFFF"/>
            <w:vAlign w:val="center"/>
          </w:tcPr>
          <w:p w:rsidR="004F5988" w:rsidRPr="00FA3856" w:rsidRDefault="004F5988" w:rsidP="004F5988">
            <w:pPr>
              <w:pStyle w:val="PSDS-CorpodeTexto0"/>
              <w:jc w:val="center"/>
              <w:rPr>
                <w:rFonts w:ascii="Times New Roman" w:hAnsi="Times New Roman"/>
                <w:b/>
                <w:bCs/>
              </w:rPr>
            </w:pPr>
            <w:r w:rsidRPr="00FA3856">
              <w:rPr>
                <w:rFonts w:ascii="Times New Roman" w:hAnsi="Times New Roman"/>
                <w:b/>
                <w:bCs/>
              </w:rPr>
              <w:t>Nº</w:t>
            </w:r>
          </w:p>
        </w:tc>
        <w:tc>
          <w:tcPr>
            <w:tcW w:w="761" w:type="pct"/>
            <w:tcBorders>
              <w:top w:val="single" w:sz="6" w:space="0" w:color="auto"/>
              <w:left w:val="single" w:sz="6" w:space="0" w:color="auto"/>
              <w:bottom w:val="single" w:sz="6" w:space="0" w:color="auto"/>
              <w:right w:val="single" w:sz="6" w:space="0" w:color="auto"/>
            </w:tcBorders>
            <w:shd w:val="pct10" w:color="auto" w:fill="FFFFFF"/>
            <w:vAlign w:val="center"/>
          </w:tcPr>
          <w:p w:rsidR="004F5988" w:rsidRPr="00FA3856" w:rsidRDefault="004F5988" w:rsidP="004F5988">
            <w:pPr>
              <w:pStyle w:val="PSDS-CorpodeTexto0"/>
              <w:jc w:val="center"/>
              <w:rPr>
                <w:rFonts w:ascii="Times New Roman" w:hAnsi="Times New Roman"/>
                <w:b/>
                <w:bCs/>
              </w:rPr>
            </w:pPr>
            <w:r w:rsidRPr="00FA3856">
              <w:rPr>
                <w:rFonts w:ascii="Times New Roman" w:hAnsi="Times New Roman"/>
                <w:b/>
                <w:bCs/>
              </w:rPr>
              <w:t>Campo</w:t>
            </w:r>
          </w:p>
        </w:tc>
        <w:tc>
          <w:tcPr>
            <w:tcW w:w="3854" w:type="pct"/>
            <w:tcBorders>
              <w:top w:val="single" w:sz="6" w:space="0" w:color="auto"/>
              <w:left w:val="single" w:sz="6" w:space="0" w:color="auto"/>
              <w:bottom w:val="single" w:sz="6" w:space="0" w:color="auto"/>
              <w:right w:val="single" w:sz="6" w:space="0" w:color="auto"/>
            </w:tcBorders>
            <w:shd w:val="pct10" w:color="auto" w:fill="FFFFFF"/>
          </w:tcPr>
          <w:p w:rsidR="004F5988" w:rsidRPr="00FA3856" w:rsidRDefault="004F5988" w:rsidP="004F5988">
            <w:pPr>
              <w:pStyle w:val="PSDS-CorpodeTexto0"/>
              <w:jc w:val="center"/>
              <w:rPr>
                <w:rFonts w:ascii="Times New Roman" w:hAnsi="Times New Roman"/>
                <w:b/>
                <w:bCs/>
              </w:rPr>
            </w:pPr>
            <w:r w:rsidRPr="00FA3856">
              <w:rPr>
                <w:rFonts w:ascii="Times New Roman" w:hAnsi="Times New Roman"/>
                <w:b/>
                <w:bCs/>
              </w:rPr>
              <w:t>Regras de validação do campo</w:t>
            </w:r>
          </w:p>
        </w:tc>
        <w:tc>
          <w:tcPr>
            <w:tcW w:w="238" w:type="pct"/>
            <w:tcBorders>
              <w:top w:val="single" w:sz="6" w:space="0" w:color="auto"/>
              <w:left w:val="single" w:sz="6" w:space="0" w:color="auto"/>
              <w:bottom w:val="single" w:sz="6" w:space="0" w:color="auto"/>
              <w:right w:val="single" w:sz="6" w:space="0" w:color="auto"/>
            </w:tcBorders>
            <w:shd w:val="pct10" w:color="auto" w:fill="FFFFFF"/>
            <w:vAlign w:val="center"/>
          </w:tcPr>
          <w:p w:rsidR="004F5988" w:rsidRPr="00FA3856" w:rsidRDefault="004F5988" w:rsidP="004F5988">
            <w:pPr>
              <w:pStyle w:val="PSDS-CorpodeTexto0"/>
              <w:jc w:val="center"/>
              <w:rPr>
                <w:rFonts w:ascii="Times New Roman" w:hAnsi="Times New Roman"/>
                <w:b/>
                <w:bCs/>
              </w:rPr>
            </w:pPr>
            <w:r w:rsidRPr="00FA3856">
              <w:rPr>
                <w:rFonts w:ascii="Times New Roman" w:hAnsi="Times New Roman"/>
                <w:b/>
                <w:bCs/>
              </w:rPr>
              <w:t>Tipo</w:t>
            </w:r>
          </w:p>
        </w:tc>
      </w:tr>
      <w:tr w:rsidR="007F46B7" w:rsidRPr="00FA3856" w:rsidTr="007F46B7">
        <w:trPr>
          <w:trHeight w:val="358"/>
          <w:jc w:val="center"/>
        </w:trPr>
        <w:tc>
          <w:tcPr>
            <w:tcW w:w="147" w:type="pct"/>
            <w:tcBorders>
              <w:top w:val="single" w:sz="6" w:space="0" w:color="auto"/>
              <w:left w:val="single" w:sz="6" w:space="0" w:color="auto"/>
              <w:bottom w:val="single" w:sz="6" w:space="0" w:color="auto"/>
              <w:right w:val="single" w:sz="6" w:space="0" w:color="auto"/>
            </w:tcBorders>
          </w:tcPr>
          <w:p w:rsidR="007F46B7" w:rsidRPr="00FA3856" w:rsidRDefault="007F46B7" w:rsidP="006C4D2D">
            <w:pPr>
              <w:shd w:val="clear" w:color="auto" w:fill="FFFFFF"/>
              <w:jc w:val="center"/>
              <w:rPr>
                <w:b/>
                <w:szCs w:val="20"/>
              </w:rPr>
            </w:pPr>
            <w:r w:rsidRPr="00FA3856">
              <w:rPr>
                <w:b/>
                <w:szCs w:val="20"/>
              </w:rPr>
              <w:t>8</w:t>
            </w:r>
          </w:p>
        </w:tc>
        <w:tc>
          <w:tcPr>
            <w:tcW w:w="761" w:type="pct"/>
            <w:tcBorders>
              <w:top w:val="single" w:sz="6" w:space="0" w:color="auto"/>
              <w:left w:val="single" w:sz="6" w:space="0" w:color="auto"/>
              <w:bottom w:val="single" w:sz="6" w:space="0" w:color="auto"/>
              <w:right w:val="single" w:sz="6" w:space="0" w:color="auto"/>
            </w:tcBorders>
          </w:tcPr>
          <w:p w:rsidR="007F46B7" w:rsidRPr="00FA3856" w:rsidRDefault="007F46B7" w:rsidP="006C4D2D">
            <w:pPr>
              <w:shd w:val="clear" w:color="auto" w:fill="FFFFFF"/>
              <w:rPr>
                <w:szCs w:val="20"/>
                <w:lang w:val="pt-PT"/>
              </w:rPr>
            </w:pPr>
            <w:r w:rsidRPr="00FA3856">
              <w:rPr>
                <w:szCs w:val="20"/>
                <w:lang w:val="es-ES_tradnl"/>
              </w:rPr>
              <w:t>VL_SLD_FIN</w:t>
            </w:r>
          </w:p>
        </w:tc>
        <w:tc>
          <w:tcPr>
            <w:tcW w:w="3854" w:type="pct"/>
            <w:tcBorders>
              <w:top w:val="single" w:sz="6" w:space="0" w:color="auto"/>
              <w:left w:val="single" w:sz="6" w:space="0" w:color="auto"/>
              <w:bottom w:val="single" w:sz="6" w:space="0" w:color="auto"/>
              <w:right w:val="single" w:sz="6" w:space="0" w:color="auto"/>
            </w:tcBorders>
          </w:tcPr>
          <w:p w:rsidR="007F46B7" w:rsidRPr="00FA3856" w:rsidRDefault="007D0E74" w:rsidP="00CE7914">
            <w:pPr>
              <w:shd w:val="clear" w:color="auto" w:fill="FFFFFF"/>
              <w:rPr>
                <w:szCs w:val="20"/>
              </w:rPr>
            </w:pPr>
            <w:hyperlink w:anchor="REGRA_MAPEAMENTO_CTA_RES" w:history="1">
              <w:r w:rsidR="007F46B7" w:rsidRPr="00FA3856">
                <w:rPr>
                  <w:rStyle w:val="Hyperlink"/>
                  <w:b/>
                  <w:color w:val="auto"/>
                  <w:szCs w:val="20"/>
                </w:rPr>
                <w:t>REGRA_MAPEAMENTO</w:t>
              </w:r>
            </w:hyperlink>
            <w:r w:rsidR="007F46B7" w:rsidRPr="00FA3856">
              <w:rPr>
                <w:rStyle w:val="Hyperlink"/>
                <w:b/>
                <w:color w:val="auto"/>
                <w:szCs w:val="20"/>
              </w:rPr>
              <w:t>:</w:t>
            </w:r>
            <w:r w:rsidR="007F46B7" w:rsidRPr="00FA3856">
              <w:rPr>
                <w:rStyle w:val="Hyperlink"/>
                <w:color w:val="auto"/>
                <w:szCs w:val="20"/>
              </w:rPr>
              <w:t xml:space="preserve"> Verifica se o somatório de K156.VAL_CTA_REF_</w:t>
            </w:r>
            <w:r w:rsidR="00786EEF" w:rsidRPr="00FA3856">
              <w:rPr>
                <w:rStyle w:val="Hyperlink"/>
                <w:color w:val="auto"/>
                <w:szCs w:val="20"/>
              </w:rPr>
              <w:t xml:space="preserve">FIN </w:t>
            </w:r>
            <w:r w:rsidR="007F46B7" w:rsidRPr="00FA3856">
              <w:rPr>
                <w:rStyle w:val="Hyperlink"/>
                <w:color w:val="auto"/>
                <w:szCs w:val="20"/>
              </w:rPr>
              <w:t xml:space="preserve">é igual ao </w:t>
            </w:r>
            <w:r w:rsidR="00786EEF" w:rsidRPr="00FA3856">
              <w:rPr>
                <w:rStyle w:val="Hyperlink"/>
                <w:color w:val="auto"/>
                <w:szCs w:val="20"/>
              </w:rPr>
              <w:t>K155.VL_SLD_FIN</w:t>
            </w:r>
            <w:r w:rsidR="00CE7914" w:rsidRPr="00FA3856">
              <w:rPr>
                <w:rStyle w:val="Hyperlink"/>
                <w:color w:val="auto"/>
                <w:szCs w:val="20"/>
              </w:rPr>
              <w:t>.</w:t>
            </w:r>
          </w:p>
        </w:tc>
        <w:tc>
          <w:tcPr>
            <w:tcW w:w="238" w:type="pct"/>
            <w:tcBorders>
              <w:top w:val="single" w:sz="6" w:space="0" w:color="auto"/>
              <w:left w:val="single" w:sz="6" w:space="0" w:color="auto"/>
              <w:bottom w:val="single" w:sz="6" w:space="0" w:color="auto"/>
              <w:right w:val="single" w:sz="6" w:space="0" w:color="auto"/>
            </w:tcBorders>
          </w:tcPr>
          <w:p w:rsidR="007F46B7" w:rsidRPr="00FA3856" w:rsidRDefault="0076173F" w:rsidP="006C4D2D">
            <w:pPr>
              <w:shd w:val="clear" w:color="auto" w:fill="FFFFFF"/>
              <w:rPr>
                <w:szCs w:val="20"/>
                <w:lang w:val="pt-PT"/>
              </w:rPr>
            </w:pPr>
            <w:r>
              <w:rPr>
                <w:szCs w:val="20"/>
                <w:lang w:val="pt-PT"/>
              </w:rPr>
              <w:t>Erro</w:t>
            </w:r>
          </w:p>
        </w:tc>
      </w:tr>
      <w:tr w:rsidR="004F5988" w:rsidRPr="00FA3856" w:rsidTr="007F46B7">
        <w:trPr>
          <w:jc w:val="center"/>
        </w:trPr>
        <w:tc>
          <w:tcPr>
            <w:tcW w:w="147" w:type="pct"/>
            <w:tcBorders>
              <w:top w:val="single" w:sz="6" w:space="0" w:color="auto"/>
              <w:left w:val="single" w:sz="6" w:space="0" w:color="auto"/>
              <w:bottom w:val="single" w:sz="6" w:space="0" w:color="auto"/>
              <w:right w:val="single" w:sz="6" w:space="0" w:color="auto"/>
            </w:tcBorders>
          </w:tcPr>
          <w:p w:rsidR="004F5988" w:rsidRPr="00FA3856" w:rsidRDefault="004F5988" w:rsidP="004F5988">
            <w:pPr>
              <w:shd w:val="clear" w:color="auto" w:fill="FFFFFF"/>
              <w:jc w:val="center"/>
              <w:rPr>
                <w:b/>
                <w:szCs w:val="20"/>
              </w:rPr>
            </w:pPr>
            <w:r w:rsidRPr="00FA3856">
              <w:rPr>
                <w:b/>
                <w:szCs w:val="20"/>
              </w:rPr>
              <w:t>9</w:t>
            </w:r>
          </w:p>
        </w:tc>
        <w:tc>
          <w:tcPr>
            <w:tcW w:w="761" w:type="pct"/>
            <w:tcBorders>
              <w:top w:val="single" w:sz="6" w:space="0" w:color="auto"/>
              <w:left w:val="single" w:sz="6" w:space="0" w:color="auto"/>
              <w:bottom w:val="single" w:sz="6" w:space="0" w:color="auto"/>
              <w:right w:val="single" w:sz="6" w:space="0" w:color="auto"/>
            </w:tcBorders>
          </w:tcPr>
          <w:p w:rsidR="004F5988" w:rsidRPr="00FA3856" w:rsidRDefault="004F5988" w:rsidP="004F5988">
            <w:pPr>
              <w:shd w:val="clear" w:color="auto" w:fill="FFFFFF"/>
              <w:rPr>
                <w:szCs w:val="20"/>
                <w:lang w:val="pt-PT"/>
              </w:rPr>
            </w:pPr>
            <w:r w:rsidRPr="00FA3856">
              <w:rPr>
                <w:szCs w:val="20"/>
                <w:lang w:val="pt-PT"/>
              </w:rPr>
              <w:t>IND_V</w:t>
            </w:r>
            <w:r w:rsidR="0094046A" w:rsidRPr="00FA3856">
              <w:rPr>
                <w:szCs w:val="20"/>
                <w:lang w:val="pt-PT"/>
              </w:rPr>
              <w:t>L_SLD_FIN</w:t>
            </w:r>
          </w:p>
        </w:tc>
        <w:tc>
          <w:tcPr>
            <w:tcW w:w="3854" w:type="pct"/>
            <w:tcBorders>
              <w:top w:val="single" w:sz="6" w:space="0" w:color="auto"/>
              <w:left w:val="single" w:sz="6" w:space="0" w:color="auto"/>
              <w:bottom w:val="single" w:sz="6" w:space="0" w:color="auto"/>
              <w:right w:val="single" w:sz="6" w:space="0" w:color="auto"/>
            </w:tcBorders>
          </w:tcPr>
          <w:p w:rsidR="004F5988" w:rsidRPr="00FA3856" w:rsidRDefault="007D0E74" w:rsidP="00982029">
            <w:pPr>
              <w:pStyle w:val="Corpodetexto"/>
              <w:rPr>
                <w:rFonts w:ascii="Times New Roman" w:hAnsi="Times New Roman"/>
                <w:color w:val="auto"/>
                <w:szCs w:val="20"/>
              </w:rPr>
            </w:pPr>
            <w:hyperlink w:anchor="REGRA_VALIDACAO_SALDO_FINAL" w:history="1">
              <w:r w:rsidR="00982029" w:rsidRPr="00FA3856">
                <w:rPr>
                  <w:rStyle w:val="Hyperlink"/>
                  <w:rFonts w:ascii="Times New Roman" w:hAnsi="Times New Roman"/>
                  <w:b/>
                  <w:color w:val="auto"/>
                  <w:szCs w:val="20"/>
                </w:rPr>
                <w:t>REGRA_VALIDACAO_SALDO_FINAL</w:t>
              </w:r>
            </w:hyperlink>
            <w:r w:rsidR="00982029" w:rsidRPr="00FA3856">
              <w:rPr>
                <w:rStyle w:val="Hyperlink"/>
                <w:rFonts w:ascii="Times New Roman" w:hAnsi="Times New Roman"/>
                <w:b/>
                <w:color w:val="auto"/>
                <w:szCs w:val="20"/>
              </w:rPr>
              <w:t xml:space="preserve">: </w:t>
            </w:r>
            <w:r w:rsidR="00982029" w:rsidRPr="00FA3856">
              <w:rPr>
                <w:rStyle w:val="Hyperlink"/>
                <w:rFonts w:ascii="Times New Roman" w:hAnsi="Times New Roman"/>
                <w:color w:val="auto"/>
                <w:szCs w:val="20"/>
              </w:rPr>
              <w:t>Verifica s</w:t>
            </w:r>
            <w:r w:rsidR="00CE7914" w:rsidRPr="00FA3856">
              <w:rPr>
                <w:rStyle w:val="Hyperlink"/>
                <w:rFonts w:ascii="Times New Roman" w:hAnsi="Times New Roman"/>
                <w:color w:val="auto"/>
                <w:szCs w:val="20"/>
              </w:rPr>
              <w:t xml:space="preserve">e o </w:t>
            </w:r>
            <w:r w:rsidR="00786EEF" w:rsidRPr="00FA3856">
              <w:rPr>
                <w:rStyle w:val="Hyperlink"/>
                <w:rFonts w:ascii="Times New Roman" w:hAnsi="Times New Roman"/>
                <w:color w:val="auto"/>
                <w:szCs w:val="20"/>
              </w:rPr>
              <w:t xml:space="preserve">valor de K155.VL_SLD_FIN </w:t>
            </w:r>
            <w:r w:rsidR="00982029" w:rsidRPr="00FA3856">
              <w:rPr>
                <w:rStyle w:val="Hyperlink"/>
                <w:rFonts w:ascii="Times New Roman" w:hAnsi="Times New Roman"/>
                <w:color w:val="auto"/>
                <w:szCs w:val="20"/>
              </w:rPr>
              <w:t xml:space="preserve">é igual ao valor de </w:t>
            </w:r>
            <w:r w:rsidR="00786EEF" w:rsidRPr="00FA3856">
              <w:rPr>
                <w:rStyle w:val="Hyperlink"/>
                <w:rFonts w:ascii="Times New Roman" w:hAnsi="Times New Roman"/>
                <w:color w:val="auto"/>
                <w:szCs w:val="20"/>
              </w:rPr>
              <w:t xml:space="preserve">K155.VL_SLD_INI </w:t>
            </w:r>
            <w:r w:rsidR="00982029" w:rsidRPr="00FA3856">
              <w:rPr>
                <w:rStyle w:val="Hyperlink"/>
                <w:rFonts w:ascii="Times New Roman" w:hAnsi="Times New Roman"/>
                <w:color w:val="auto"/>
                <w:szCs w:val="20"/>
              </w:rPr>
              <w:t xml:space="preserve">somado aos valores dos campos </w:t>
            </w:r>
            <w:r w:rsidR="00786EEF" w:rsidRPr="00FA3856">
              <w:rPr>
                <w:rStyle w:val="Hyperlink"/>
                <w:rFonts w:ascii="Times New Roman" w:hAnsi="Times New Roman"/>
                <w:color w:val="auto"/>
                <w:szCs w:val="20"/>
              </w:rPr>
              <w:t xml:space="preserve">K155.VL_DEB </w:t>
            </w:r>
            <w:r w:rsidR="00982029" w:rsidRPr="00FA3856">
              <w:rPr>
                <w:rStyle w:val="Hyperlink"/>
                <w:rFonts w:ascii="Times New Roman" w:hAnsi="Times New Roman"/>
                <w:color w:val="auto"/>
                <w:szCs w:val="20"/>
              </w:rPr>
              <w:t xml:space="preserve">e </w:t>
            </w:r>
            <w:r w:rsidR="00786EEF" w:rsidRPr="00FA3856">
              <w:rPr>
                <w:rStyle w:val="Hyperlink"/>
                <w:rFonts w:ascii="Times New Roman" w:hAnsi="Times New Roman"/>
                <w:color w:val="auto"/>
                <w:szCs w:val="20"/>
              </w:rPr>
              <w:t>K155.VL_CRED</w:t>
            </w:r>
            <w:r w:rsidR="00982029" w:rsidRPr="00FA3856">
              <w:rPr>
                <w:rStyle w:val="Hyperlink"/>
                <w:rFonts w:ascii="Times New Roman" w:hAnsi="Times New Roman"/>
                <w:color w:val="auto"/>
                <w:szCs w:val="20"/>
              </w:rPr>
              <w:t xml:space="preserve">, considerando os indicadores de saldo devedor e credor do </w:t>
            </w:r>
            <w:r w:rsidR="0093269F" w:rsidRPr="00FA3856">
              <w:rPr>
                <w:rStyle w:val="Hyperlink"/>
                <w:rFonts w:ascii="Times New Roman" w:hAnsi="Times New Roman"/>
                <w:color w:val="auto"/>
                <w:szCs w:val="20"/>
              </w:rPr>
              <w:t xml:space="preserve">saldo inicial e do saldo </w:t>
            </w:r>
            <w:r w:rsidR="00982029" w:rsidRPr="00FA3856">
              <w:rPr>
                <w:rStyle w:val="Hyperlink"/>
                <w:rFonts w:ascii="Times New Roman" w:hAnsi="Times New Roman"/>
                <w:color w:val="auto"/>
                <w:szCs w:val="20"/>
              </w:rPr>
              <w:t>final. Se a regra não for cumprida, o sistema gera um erro.</w:t>
            </w:r>
          </w:p>
        </w:tc>
        <w:tc>
          <w:tcPr>
            <w:tcW w:w="238" w:type="pct"/>
            <w:tcBorders>
              <w:top w:val="single" w:sz="6" w:space="0" w:color="auto"/>
              <w:left w:val="single" w:sz="6" w:space="0" w:color="auto"/>
              <w:bottom w:val="single" w:sz="6" w:space="0" w:color="auto"/>
              <w:right w:val="single" w:sz="6" w:space="0" w:color="auto"/>
            </w:tcBorders>
          </w:tcPr>
          <w:p w:rsidR="004F5988" w:rsidRPr="00FA3856" w:rsidRDefault="004F5988" w:rsidP="004F5988">
            <w:pPr>
              <w:shd w:val="clear" w:color="auto" w:fill="FFFFFF"/>
              <w:rPr>
                <w:szCs w:val="20"/>
                <w:lang w:val="pt-PT"/>
              </w:rPr>
            </w:pPr>
            <w:r w:rsidRPr="00FA3856">
              <w:rPr>
                <w:szCs w:val="20"/>
                <w:lang w:val="pt-PT"/>
              </w:rPr>
              <w:t>Erro</w:t>
            </w:r>
          </w:p>
        </w:tc>
      </w:tr>
    </w:tbl>
    <w:p w:rsidR="00CE7914" w:rsidRPr="00FA3856" w:rsidRDefault="00CE7914" w:rsidP="00652594">
      <w:pPr>
        <w:pStyle w:val="Corpodetexto"/>
        <w:rPr>
          <w:rFonts w:ascii="Times New Roman" w:hAnsi="Times New Roman"/>
          <w:b/>
          <w:color w:val="002060"/>
          <w:szCs w:val="20"/>
        </w:rPr>
      </w:pPr>
    </w:p>
    <w:p w:rsidR="00342F1D" w:rsidRDefault="00CE7914" w:rsidP="00652594">
      <w:pPr>
        <w:pStyle w:val="Corpodetexto"/>
        <w:rPr>
          <w:rFonts w:ascii="Times New Roman" w:hAnsi="Times New Roman"/>
          <w:b/>
          <w:color w:val="002060"/>
          <w:szCs w:val="20"/>
        </w:rPr>
      </w:pPr>
      <w:r w:rsidRPr="00FA3856">
        <w:rPr>
          <w:rFonts w:ascii="Times New Roman" w:hAnsi="Times New Roman"/>
          <w:b/>
          <w:color w:val="002060"/>
          <w:szCs w:val="20"/>
        </w:rPr>
        <w:t xml:space="preserve">Exemplo de Preenchimento: </w:t>
      </w:r>
    </w:p>
    <w:p w:rsidR="00342F1D" w:rsidRDefault="00342F1D" w:rsidP="00652594">
      <w:pPr>
        <w:pStyle w:val="Corpodetexto"/>
        <w:rPr>
          <w:rFonts w:ascii="Times New Roman" w:hAnsi="Times New Roman"/>
          <w:b/>
          <w:color w:val="002060"/>
          <w:szCs w:val="20"/>
        </w:rPr>
      </w:pPr>
    </w:p>
    <w:p w:rsidR="00652594" w:rsidRPr="00FA3856" w:rsidRDefault="00652594" w:rsidP="00652594">
      <w:pPr>
        <w:pStyle w:val="Corpodetexto"/>
        <w:rPr>
          <w:rFonts w:ascii="Times New Roman" w:hAnsi="Times New Roman"/>
          <w:b/>
          <w:color w:val="002060"/>
          <w:szCs w:val="20"/>
        </w:rPr>
      </w:pPr>
      <w:r w:rsidRPr="00FA3856">
        <w:rPr>
          <w:rFonts w:ascii="Times New Roman" w:hAnsi="Times New Roman"/>
          <w:b/>
          <w:color w:val="002060"/>
          <w:szCs w:val="20"/>
        </w:rPr>
        <w:t>|K155|2328.2.0001||0,00|D|7500,00|5000,00|2500,00|D|</w:t>
      </w:r>
    </w:p>
    <w:p w:rsidR="00652594" w:rsidRPr="00FA3856" w:rsidRDefault="00652594" w:rsidP="00652594">
      <w:pPr>
        <w:pStyle w:val="Corpodetexto"/>
        <w:rPr>
          <w:rFonts w:ascii="Times New Roman" w:hAnsi="Times New Roman"/>
          <w:color w:val="002060"/>
          <w:szCs w:val="20"/>
        </w:rPr>
      </w:pPr>
      <w:r w:rsidRPr="00FA3856">
        <w:rPr>
          <w:rFonts w:ascii="Times New Roman" w:hAnsi="Times New Roman"/>
          <w:b/>
          <w:color w:val="002060"/>
          <w:szCs w:val="20"/>
        </w:rPr>
        <w:tab/>
      </w:r>
      <w:r w:rsidRPr="00FA3856">
        <w:rPr>
          <w:rFonts w:ascii="Times New Roman" w:hAnsi="Times New Roman"/>
          <w:color w:val="002060"/>
          <w:szCs w:val="20"/>
        </w:rPr>
        <w:t>|K155|: Identificação do tipo do registro.</w:t>
      </w:r>
    </w:p>
    <w:p w:rsidR="00652594" w:rsidRPr="00FA3856" w:rsidRDefault="00652594" w:rsidP="00652594">
      <w:pPr>
        <w:pStyle w:val="Corpodetexto"/>
        <w:rPr>
          <w:rFonts w:ascii="Times New Roman" w:hAnsi="Times New Roman"/>
          <w:color w:val="002060"/>
          <w:szCs w:val="20"/>
        </w:rPr>
      </w:pPr>
      <w:r w:rsidRPr="00FA3856">
        <w:rPr>
          <w:rFonts w:ascii="Times New Roman" w:hAnsi="Times New Roman"/>
          <w:color w:val="002060"/>
          <w:szCs w:val="20"/>
        </w:rPr>
        <w:tab/>
        <w:t>|2328.2.0001|: Código da conta analítica.</w:t>
      </w:r>
    </w:p>
    <w:p w:rsidR="00652594" w:rsidRPr="00FA3856" w:rsidRDefault="00652594" w:rsidP="00652594">
      <w:pPr>
        <w:pStyle w:val="Corpodetexto"/>
        <w:rPr>
          <w:rFonts w:ascii="Times New Roman" w:hAnsi="Times New Roman"/>
          <w:color w:val="002060"/>
          <w:szCs w:val="20"/>
        </w:rPr>
      </w:pPr>
      <w:r w:rsidRPr="00FA3856">
        <w:rPr>
          <w:rFonts w:ascii="Times New Roman" w:hAnsi="Times New Roman"/>
          <w:color w:val="002060"/>
          <w:szCs w:val="20"/>
        </w:rPr>
        <w:tab/>
        <w:t>||: Código do centro de custos (Não há).</w:t>
      </w:r>
    </w:p>
    <w:p w:rsidR="00652594" w:rsidRPr="00FA3856" w:rsidRDefault="00652594" w:rsidP="00652594">
      <w:pPr>
        <w:pStyle w:val="Corpodetexto"/>
        <w:rPr>
          <w:rFonts w:ascii="Times New Roman" w:hAnsi="Times New Roman"/>
          <w:color w:val="002060"/>
          <w:szCs w:val="20"/>
        </w:rPr>
      </w:pPr>
      <w:r w:rsidRPr="00FA3856">
        <w:rPr>
          <w:rFonts w:ascii="Times New Roman" w:hAnsi="Times New Roman"/>
          <w:color w:val="002060"/>
          <w:szCs w:val="20"/>
        </w:rPr>
        <w:tab/>
        <w:t>|0,00|: Valor do saldo inicial (R$ 0,00).</w:t>
      </w:r>
    </w:p>
    <w:p w:rsidR="00652594" w:rsidRPr="00FA3856" w:rsidRDefault="00652594" w:rsidP="00652594">
      <w:pPr>
        <w:pStyle w:val="Corpodetexto"/>
        <w:rPr>
          <w:rFonts w:ascii="Times New Roman" w:hAnsi="Times New Roman"/>
          <w:color w:val="002060"/>
          <w:szCs w:val="20"/>
        </w:rPr>
      </w:pPr>
      <w:r w:rsidRPr="00FA3856">
        <w:rPr>
          <w:rFonts w:ascii="Times New Roman" w:hAnsi="Times New Roman"/>
          <w:color w:val="002060"/>
          <w:szCs w:val="20"/>
        </w:rPr>
        <w:tab/>
        <w:t>|D|: Indicador da situação do saldo inicial (D = Devedor).</w:t>
      </w:r>
    </w:p>
    <w:p w:rsidR="00652594" w:rsidRPr="00FA3856" w:rsidRDefault="00652594" w:rsidP="00652594">
      <w:pPr>
        <w:pStyle w:val="Corpodetexto"/>
        <w:rPr>
          <w:rFonts w:ascii="Times New Roman" w:hAnsi="Times New Roman"/>
          <w:color w:val="002060"/>
          <w:szCs w:val="20"/>
        </w:rPr>
      </w:pPr>
      <w:r w:rsidRPr="00FA3856">
        <w:rPr>
          <w:rFonts w:ascii="Times New Roman" w:hAnsi="Times New Roman"/>
          <w:color w:val="002060"/>
          <w:szCs w:val="20"/>
        </w:rPr>
        <w:tab/>
        <w:t>|7500,00|: Valor total de débitos (R$ 7.500,00).</w:t>
      </w:r>
    </w:p>
    <w:p w:rsidR="00652594" w:rsidRPr="00FA3856" w:rsidRDefault="00652594" w:rsidP="00652594">
      <w:pPr>
        <w:pStyle w:val="Corpodetexto"/>
        <w:rPr>
          <w:rFonts w:ascii="Times New Roman" w:hAnsi="Times New Roman"/>
          <w:color w:val="002060"/>
          <w:szCs w:val="20"/>
        </w:rPr>
      </w:pPr>
      <w:r w:rsidRPr="00FA3856">
        <w:rPr>
          <w:rFonts w:ascii="Times New Roman" w:hAnsi="Times New Roman"/>
          <w:color w:val="002060"/>
          <w:szCs w:val="20"/>
        </w:rPr>
        <w:tab/>
        <w:t>|5000,00|: Valor total de créditos (R$ 5.000,00).</w:t>
      </w:r>
    </w:p>
    <w:p w:rsidR="00652594" w:rsidRPr="00FA3856" w:rsidRDefault="00652594" w:rsidP="00652594">
      <w:pPr>
        <w:pStyle w:val="Corpodetexto"/>
        <w:rPr>
          <w:rFonts w:ascii="Times New Roman" w:hAnsi="Times New Roman"/>
          <w:color w:val="002060"/>
          <w:szCs w:val="20"/>
        </w:rPr>
      </w:pPr>
      <w:r w:rsidRPr="00FA3856">
        <w:rPr>
          <w:rFonts w:ascii="Times New Roman" w:hAnsi="Times New Roman"/>
          <w:color w:val="002060"/>
          <w:szCs w:val="20"/>
        </w:rPr>
        <w:tab/>
        <w:t>|2500,00|: Valor do saldo final (R$ 2.500,00 = R$ 7.500,00 – R$ 5.000,00).</w:t>
      </w:r>
    </w:p>
    <w:p w:rsidR="00652594" w:rsidRPr="00FA3856" w:rsidRDefault="00652594" w:rsidP="00652594">
      <w:pPr>
        <w:pStyle w:val="Corpodetexto"/>
        <w:rPr>
          <w:rFonts w:ascii="Times New Roman" w:hAnsi="Times New Roman"/>
          <w:color w:val="002060"/>
          <w:szCs w:val="20"/>
        </w:rPr>
      </w:pPr>
      <w:r w:rsidRPr="00FA3856">
        <w:rPr>
          <w:rFonts w:ascii="Times New Roman" w:hAnsi="Times New Roman"/>
          <w:color w:val="002060"/>
          <w:szCs w:val="20"/>
        </w:rPr>
        <w:tab/>
        <w:t>|D|: Indicador da situação do saldo final (D = Devedor).</w:t>
      </w:r>
    </w:p>
    <w:p w:rsidR="00652594" w:rsidRPr="00FA3856" w:rsidRDefault="00652594" w:rsidP="00652594">
      <w:pPr>
        <w:pStyle w:val="Corpodetexto"/>
        <w:rPr>
          <w:rFonts w:ascii="Times New Roman" w:hAnsi="Times New Roman"/>
          <w:color w:val="002060"/>
          <w:szCs w:val="20"/>
        </w:rPr>
      </w:pPr>
    </w:p>
    <w:p w:rsidR="00982029" w:rsidRPr="00FA3856" w:rsidRDefault="00982029" w:rsidP="00982029">
      <w:pPr>
        <w:jc w:val="both"/>
        <w:rPr>
          <w:color w:val="0000FF"/>
          <w:szCs w:val="20"/>
        </w:rPr>
      </w:pPr>
    </w:p>
    <w:p w:rsidR="00361BA8" w:rsidRPr="00FA3856" w:rsidRDefault="00361BA8">
      <w:pPr>
        <w:rPr>
          <w:b/>
          <w:bCs/>
          <w:color w:val="0000FF"/>
          <w:szCs w:val="20"/>
        </w:rPr>
      </w:pPr>
      <w:r w:rsidRPr="00FA3856">
        <w:rPr>
          <w:color w:val="0000FF"/>
          <w:szCs w:val="20"/>
        </w:rPr>
        <w:br w:type="page"/>
      </w:r>
    </w:p>
    <w:p w:rsidR="00F71528" w:rsidRPr="00FA3856" w:rsidRDefault="00F71528" w:rsidP="00867F54">
      <w:pPr>
        <w:pStyle w:val="Ttulo4"/>
      </w:pPr>
      <w:bookmarkStart w:id="102" w:name="_Toc479713709"/>
      <w:r w:rsidRPr="00FA3856">
        <w:lastRenderedPageBreak/>
        <w:t>Registro K156: Mapeamento Referencial do Saldo Final</w:t>
      </w:r>
      <w:bookmarkEnd w:id="102"/>
    </w:p>
    <w:p w:rsidR="00F71528" w:rsidRPr="00FA3856" w:rsidRDefault="00F71528" w:rsidP="00F71528">
      <w:pPr>
        <w:jc w:val="both"/>
        <w:rPr>
          <w:szCs w:val="20"/>
        </w:rPr>
      </w:pPr>
    </w:p>
    <w:p w:rsidR="00F71528" w:rsidRPr="00FA3856" w:rsidRDefault="00F71528" w:rsidP="00F71528">
      <w:pPr>
        <w:pStyle w:val="PSDS-MarcadoresNivel2"/>
        <w:numPr>
          <w:ilvl w:val="0"/>
          <w:numId w:val="0"/>
        </w:numPr>
        <w:tabs>
          <w:tab w:val="left" w:pos="720"/>
        </w:tabs>
        <w:spacing w:before="0" w:after="0"/>
        <w:rPr>
          <w:rFonts w:ascii="Times New Roman" w:hAnsi="Times New Roman"/>
          <w:b w:val="0"/>
          <w:lang w:val="pt-PT"/>
        </w:rPr>
      </w:pPr>
      <w:r w:rsidRPr="00FA3856">
        <w:rPr>
          <w:rFonts w:ascii="Times New Roman" w:hAnsi="Times New Roman"/>
          <w:b w:val="0"/>
          <w:lang w:val="pt-PT"/>
        </w:rPr>
        <w:tab/>
        <w:t>Registro utilizado para mapeamento, por conta referencial, dos saldos finais de todas as contas patrimoniais da escrituração societária da pessoa jurídica (Ativo, Passivo e Patrimônio L</w:t>
      </w:r>
      <w:r w:rsidR="00CE7914" w:rsidRPr="00FA3856">
        <w:rPr>
          <w:rFonts w:ascii="Times New Roman" w:hAnsi="Times New Roman"/>
          <w:b w:val="0"/>
          <w:lang w:val="pt-PT"/>
        </w:rPr>
        <w:t>íquido), nos respectivos pe</w:t>
      </w:r>
      <w:r w:rsidRPr="00FA3856">
        <w:rPr>
          <w:rFonts w:ascii="Times New Roman" w:hAnsi="Times New Roman"/>
          <w:b w:val="0"/>
          <w:lang w:val="pt-PT"/>
        </w:rPr>
        <w:t>ríodo</w:t>
      </w:r>
      <w:r w:rsidR="00CE7914" w:rsidRPr="00FA3856">
        <w:rPr>
          <w:rFonts w:ascii="Times New Roman" w:hAnsi="Times New Roman"/>
          <w:b w:val="0"/>
          <w:lang w:val="pt-PT"/>
        </w:rPr>
        <w:t>s</w:t>
      </w:r>
      <w:r w:rsidRPr="00FA3856">
        <w:rPr>
          <w:rFonts w:ascii="Times New Roman" w:hAnsi="Times New Roman"/>
          <w:b w:val="0"/>
          <w:lang w:val="pt-PT"/>
        </w:rPr>
        <w:t xml:space="preserve"> de apuração.</w:t>
      </w:r>
      <w:r w:rsidR="00CE7914" w:rsidRPr="00FA3856">
        <w:rPr>
          <w:rFonts w:ascii="Times New Roman" w:hAnsi="Times New Roman"/>
          <w:b w:val="0"/>
          <w:lang w:val="pt-PT"/>
        </w:rPr>
        <w:t xml:space="preserve"> </w:t>
      </w:r>
      <w:r w:rsidRPr="00FA3856">
        <w:rPr>
          <w:rFonts w:ascii="Times New Roman" w:hAnsi="Times New Roman"/>
          <w:b w:val="0"/>
          <w:lang w:val="pt-PT"/>
        </w:rPr>
        <w:t>Poderá ser preenchido das seguintes formas:</w:t>
      </w:r>
    </w:p>
    <w:p w:rsidR="00F71528" w:rsidRPr="00FA3856" w:rsidRDefault="00F71528" w:rsidP="00F71528">
      <w:pPr>
        <w:pStyle w:val="PSDS-MarcadoresNivel2"/>
        <w:numPr>
          <w:ilvl w:val="0"/>
          <w:numId w:val="0"/>
        </w:numPr>
        <w:tabs>
          <w:tab w:val="left" w:pos="720"/>
        </w:tabs>
        <w:spacing w:before="0" w:after="0"/>
        <w:rPr>
          <w:rFonts w:ascii="Times New Roman" w:hAnsi="Times New Roman"/>
          <w:b w:val="0"/>
          <w:lang w:val="pt-PT"/>
        </w:rPr>
      </w:pPr>
    </w:p>
    <w:p w:rsidR="00F71528" w:rsidRPr="00FA3856" w:rsidRDefault="00F71528" w:rsidP="00F71528">
      <w:pPr>
        <w:pStyle w:val="PSDS-CorpodeTexto0"/>
        <w:ind w:firstLine="708"/>
        <w:rPr>
          <w:rFonts w:ascii="Times New Roman" w:hAnsi="Times New Roman"/>
        </w:rPr>
      </w:pPr>
      <w:r w:rsidRPr="00FA3856">
        <w:rPr>
          <w:rFonts w:ascii="Times New Roman" w:hAnsi="Times New Roman"/>
        </w:rPr>
        <w:t>- Edição pelo programa da ECF;</w:t>
      </w:r>
    </w:p>
    <w:p w:rsidR="00F71528" w:rsidRPr="00FA3856" w:rsidRDefault="00F71528" w:rsidP="00F71528">
      <w:pPr>
        <w:pStyle w:val="PSDS-CorpodeTexto0"/>
        <w:ind w:firstLine="708"/>
        <w:rPr>
          <w:rFonts w:ascii="Times New Roman" w:hAnsi="Times New Roman"/>
        </w:rPr>
      </w:pPr>
    </w:p>
    <w:p w:rsidR="00F71528" w:rsidRPr="00FA3856" w:rsidRDefault="00F71528" w:rsidP="00F71528">
      <w:pPr>
        <w:pStyle w:val="PSDS-CorpodeTexto0"/>
        <w:ind w:firstLine="708"/>
        <w:rPr>
          <w:rFonts w:ascii="Times New Roman" w:hAnsi="Times New Roman"/>
        </w:rPr>
      </w:pPr>
      <w:r w:rsidRPr="00FA3856">
        <w:rPr>
          <w:rFonts w:ascii="Times New Roman" w:hAnsi="Times New Roman"/>
        </w:rPr>
        <w:t>- Calculado pelo sistema através da funcionalidade de recuperar ECD; e</w:t>
      </w:r>
    </w:p>
    <w:p w:rsidR="00F71528" w:rsidRPr="00FA3856" w:rsidRDefault="00F71528" w:rsidP="00F71528">
      <w:pPr>
        <w:pStyle w:val="PSDS-CorpodeTexto0"/>
        <w:ind w:firstLine="708"/>
        <w:rPr>
          <w:rFonts w:ascii="Times New Roman" w:hAnsi="Times New Roman"/>
        </w:rPr>
      </w:pPr>
    </w:p>
    <w:p w:rsidR="00F71528" w:rsidRPr="00FA3856" w:rsidRDefault="00F71528" w:rsidP="00F71528">
      <w:pPr>
        <w:pStyle w:val="PSDS-CorpodeTexto0"/>
        <w:ind w:firstLine="708"/>
        <w:rPr>
          <w:rFonts w:ascii="Times New Roman" w:hAnsi="Times New Roman"/>
          <w:lang w:val="pt-PT"/>
        </w:rPr>
      </w:pPr>
      <w:r w:rsidRPr="00FA3856">
        <w:rPr>
          <w:rFonts w:ascii="Times New Roman" w:hAnsi="Times New Roman"/>
        </w:rPr>
        <w:t>- Importado de arquivo digital.</w:t>
      </w:r>
      <w:r w:rsidRPr="00FA3856">
        <w:rPr>
          <w:rFonts w:ascii="Times New Roman" w:hAnsi="Times New Roman"/>
          <w:lang w:val="pt-PT"/>
        </w:rPr>
        <w:t xml:space="preserve"> </w:t>
      </w:r>
    </w:p>
    <w:p w:rsidR="00CE7914" w:rsidRPr="00FA3856" w:rsidRDefault="00CE7914" w:rsidP="00F71528">
      <w:pPr>
        <w:pStyle w:val="PSDS-CorpodeTexto0"/>
        <w:ind w:firstLine="708"/>
        <w:rPr>
          <w:rFonts w:ascii="Times New Roman" w:hAnsi="Times New Roman"/>
          <w:lang w:val="pt-PT"/>
        </w:rPr>
      </w:pPr>
    </w:p>
    <w:p w:rsidR="00CE7914" w:rsidRPr="00FA3856" w:rsidRDefault="00CE7914" w:rsidP="00B043A0">
      <w:pPr>
        <w:pStyle w:val="PSDS-CorpodeTexto0"/>
        <w:ind w:firstLine="708"/>
        <w:jc w:val="both"/>
        <w:rPr>
          <w:rFonts w:ascii="Times New Roman" w:hAnsi="Times New Roman"/>
        </w:rPr>
      </w:pPr>
      <w:r w:rsidRPr="00FA3856">
        <w:rPr>
          <w:rFonts w:ascii="Times New Roman" w:hAnsi="Times New Roman"/>
          <w:b/>
        </w:rPr>
        <w:t xml:space="preserve">Observação: </w:t>
      </w:r>
      <w:r w:rsidRPr="00FA3856">
        <w:rPr>
          <w:rFonts w:ascii="Times New Roman" w:hAnsi="Times New Roman"/>
        </w:rPr>
        <w:t xml:space="preserve">Se houver somente uma conta referencial no registro J051 mapeada </w:t>
      </w:r>
      <w:r w:rsidR="00AF31FF" w:rsidRPr="00FA3856">
        <w:rPr>
          <w:rFonts w:ascii="Times New Roman" w:hAnsi="Times New Roman"/>
        </w:rPr>
        <w:t>a partir de uma</w:t>
      </w:r>
      <w:r w:rsidRPr="00FA3856">
        <w:rPr>
          <w:rFonts w:ascii="Times New Roman" w:hAnsi="Times New Roman"/>
        </w:rPr>
        <w:t xml:space="preserve"> conta contábil</w:t>
      </w:r>
      <w:r w:rsidR="00AF31FF" w:rsidRPr="00FA3856">
        <w:rPr>
          <w:rFonts w:ascii="Times New Roman" w:hAnsi="Times New Roman"/>
        </w:rPr>
        <w:t xml:space="preserve"> (plano de contas da pessoa jurídica)</w:t>
      </w:r>
      <w:r w:rsidRPr="00FA3856">
        <w:rPr>
          <w:rFonts w:ascii="Times New Roman" w:hAnsi="Times New Roman"/>
        </w:rPr>
        <w:t xml:space="preserve">, o próprio sistema preencherá o registro K156 (mapeamento de </w:t>
      </w:r>
      <w:r w:rsidR="00E00235" w:rsidRPr="00FA3856">
        <w:rPr>
          <w:rFonts w:ascii="Times New Roman" w:hAnsi="Times New Roman"/>
        </w:rPr>
        <w:t>uma conta contábil</w:t>
      </w:r>
      <w:r w:rsidRPr="00FA3856">
        <w:rPr>
          <w:rFonts w:ascii="Times New Roman" w:hAnsi="Times New Roman"/>
        </w:rPr>
        <w:t xml:space="preserve"> para uma conta referencial). Caso contrário, ou seja, a conta contábil </w:t>
      </w:r>
      <w:r w:rsidR="00AF31FF" w:rsidRPr="00FA3856">
        <w:rPr>
          <w:rFonts w:ascii="Times New Roman" w:hAnsi="Times New Roman"/>
        </w:rPr>
        <w:t>foi</w:t>
      </w:r>
      <w:r w:rsidRPr="00FA3856">
        <w:rPr>
          <w:rFonts w:ascii="Times New Roman" w:hAnsi="Times New Roman"/>
        </w:rPr>
        <w:t xml:space="preserve"> mapeada para mais de uma conta referencial, o registro K156 deverá ser preenchido pela pessoa jurídica.</w:t>
      </w:r>
    </w:p>
    <w:p w:rsidR="002C192A" w:rsidRDefault="002C192A">
      <w:pPr>
        <w:spacing w:after="200" w:line="276" w:lineRule="auto"/>
        <w:rPr>
          <w:b/>
          <w:szCs w:val="20"/>
        </w:rPr>
      </w:pPr>
    </w:p>
    <w:p w:rsidR="00AF31FF" w:rsidRPr="00FA3856" w:rsidRDefault="00B35FA3" w:rsidP="002C192A">
      <w:pPr>
        <w:spacing w:after="200" w:line="276" w:lineRule="auto"/>
        <w:jc w:val="center"/>
        <w:rPr>
          <w:b/>
          <w:szCs w:val="20"/>
          <w:lang w:eastAsia="ar-SA"/>
        </w:rPr>
      </w:pPr>
      <w:r>
        <w:rPr>
          <w:b/>
          <w:szCs w:val="20"/>
        </w:rPr>
        <w:object w:dxaOrig="13830" w:dyaOrig="4200">
          <v:shape id="_x0000_i1646" type="#_x0000_t75" style="width:692.25pt;height:208.5pt" o:ole="">
            <v:imagedata r:id="rId204" o:title=""/>
          </v:shape>
          <o:OLEObject Type="Link" ProgID="Excel.Sheet.12" ShapeID="_x0000_i1646" DrawAspect="Content" r:id="rId205" UpdateMode="Always">
            <o:LinkType>EnhancedMetaFile</o:LinkType>
            <o:LockedField>false</o:LockedField>
          </o:OLEObject>
        </w:object>
      </w:r>
      <w:r w:rsidR="00AF31FF" w:rsidRPr="00FA3856">
        <w:rPr>
          <w:b/>
          <w:szCs w:val="20"/>
        </w:rPr>
        <w:br w:type="page"/>
      </w:r>
    </w:p>
    <w:p w:rsidR="00F71528" w:rsidRPr="00FA3856" w:rsidRDefault="00F71528" w:rsidP="00F71528">
      <w:pPr>
        <w:pStyle w:val="Corpodetexto"/>
        <w:rPr>
          <w:rFonts w:ascii="Times New Roman" w:hAnsi="Times New Roman"/>
          <w:color w:val="auto"/>
          <w:szCs w:val="20"/>
        </w:rPr>
      </w:pPr>
      <w:r w:rsidRPr="00FA3856">
        <w:rPr>
          <w:rFonts w:ascii="Times New Roman" w:hAnsi="Times New Roman"/>
          <w:b/>
          <w:color w:val="auto"/>
          <w:szCs w:val="20"/>
        </w:rPr>
        <w:lastRenderedPageBreak/>
        <w:t xml:space="preserve">I - Regras de Validação de Campos: </w:t>
      </w:r>
    </w:p>
    <w:p w:rsidR="00F71528" w:rsidRPr="00FA3856" w:rsidRDefault="00F71528" w:rsidP="00F71528">
      <w:pPr>
        <w:rPr>
          <w:szCs w:val="20"/>
        </w:rPr>
      </w:pPr>
    </w:p>
    <w:tbl>
      <w:tblPr>
        <w:tblW w:w="5000" w:type="pct"/>
        <w:jc w:val="center"/>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477"/>
        <w:gridCol w:w="2474"/>
        <w:gridCol w:w="12529"/>
        <w:gridCol w:w="774"/>
      </w:tblGrid>
      <w:tr w:rsidR="00F71528" w:rsidRPr="00FA3856" w:rsidTr="00F71528">
        <w:trPr>
          <w:jc w:val="center"/>
        </w:trPr>
        <w:tc>
          <w:tcPr>
            <w:tcW w:w="147" w:type="pct"/>
            <w:tcBorders>
              <w:top w:val="single" w:sz="6" w:space="0" w:color="auto"/>
              <w:left w:val="single" w:sz="6" w:space="0" w:color="auto"/>
              <w:bottom w:val="single" w:sz="6" w:space="0" w:color="auto"/>
              <w:right w:val="single" w:sz="6" w:space="0" w:color="auto"/>
            </w:tcBorders>
            <w:shd w:val="pct10" w:color="auto" w:fill="FFFFFF"/>
            <w:vAlign w:val="center"/>
          </w:tcPr>
          <w:p w:rsidR="00F71528" w:rsidRPr="00FA3856" w:rsidRDefault="00F71528" w:rsidP="00E65303">
            <w:pPr>
              <w:pStyle w:val="PSDS-CorpodeTexto0"/>
              <w:jc w:val="center"/>
              <w:rPr>
                <w:rFonts w:ascii="Times New Roman" w:hAnsi="Times New Roman"/>
                <w:b/>
                <w:bCs/>
              </w:rPr>
            </w:pPr>
            <w:r w:rsidRPr="00FA3856">
              <w:rPr>
                <w:rFonts w:ascii="Times New Roman" w:hAnsi="Times New Roman"/>
                <w:b/>
                <w:bCs/>
              </w:rPr>
              <w:t>Nº</w:t>
            </w:r>
          </w:p>
        </w:tc>
        <w:tc>
          <w:tcPr>
            <w:tcW w:w="761" w:type="pct"/>
            <w:tcBorders>
              <w:top w:val="single" w:sz="6" w:space="0" w:color="auto"/>
              <w:left w:val="single" w:sz="6" w:space="0" w:color="auto"/>
              <w:bottom w:val="single" w:sz="6" w:space="0" w:color="auto"/>
              <w:right w:val="single" w:sz="6" w:space="0" w:color="auto"/>
            </w:tcBorders>
            <w:shd w:val="pct10" w:color="auto" w:fill="FFFFFF"/>
            <w:vAlign w:val="center"/>
          </w:tcPr>
          <w:p w:rsidR="00F71528" w:rsidRPr="00FA3856" w:rsidRDefault="00F71528" w:rsidP="00E65303">
            <w:pPr>
              <w:pStyle w:val="PSDS-CorpodeTexto0"/>
              <w:jc w:val="center"/>
              <w:rPr>
                <w:rFonts w:ascii="Times New Roman" w:hAnsi="Times New Roman"/>
                <w:b/>
                <w:bCs/>
              </w:rPr>
            </w:pPr>
            <w:r w:rsidRPr="00FA3856">
              <w:rPr>
                <w:rFonts w:ascii="Times New Roman" w:hAnsi="Times New Roman"/>
                <w:b/>
                <w:bCs/>
              </w:rPr>
              <w:t>Campo</w:t>
            </w:r>
          </w:p>
        </w:tc>
        <w:tc>
          <w:tcPr>
            <w:tcW w:w="3854" w:type="pct"/>
            <w:tcBorders>
              <w:top w:val="single" w:sz="6" w:space="0" w:color="auto"/>
              <w:left w:val="single" w:sz="6" w:space="0" w:color="auto"/>
              <w:bottom w:val="single" w:sz="6" w:space="0" w:color="auto"/>
              <w:right w:val="single" w:sz="6" w:space="0" w:color="auto"/>
            </w:tcBorders>
            <w:shd w:val="pct10" w:color="auto" w:fill="FFFFFF"/>
          </w:tcPr>
          <w:p w:rsidR="00F71528" w:rsidRPr="00FA3856" w:rsidRDefault="00F71528" w:rsidP="00E65303">
            <w:pPr>
              <w:pStyle w:val="PSDS-CorpodeTexto0"/>
              <w:jc w:val="center"/>
              <w:rPr>
                <w:rFonts w:ascii="Times New Roman" w:hAnsi="Times New Roman"/>
                <w:b/>
                <w:bCs/>
              </w:rPr>
            </w:pPr>
            <w:r w:rsidRPr="00FA3856">
              <w:rPr>
                <w:rFonts w:ascii="Times New Roman" w:hAnsi="Times New Roman"/>
                <w:b/>
                <w:bCs/>
              </w:rPr>
              <w:t>Regras de validação do campo</w:t>
            </w:r>
          </w:p>
        </w:tc>
        <w:tc>
          <w:tcPr>
            <w:tcW w:w="238" w:type="pct"/>
            <w:tcBorders>
              <w:top w:val="single" w:sz="6" w:space="0" w:color="auto"/>
              <w:left w:val="single" w:sz="6" w:space="0" w:color="auto"/>
              <w:bottom w:val="single" w:sz="6" w:space="0" w:color="auto"/>
              <w:right w:val="single" w:sz="6" w:space="0" w:color="auto"/>
            </w:tcBorders>
            <w:shd w:val="pct10" w:color="auto" w:fill="FFFFFF"/>
            <w:vAlign w:val="center"/>
          </w:tcPr>
          <w:p w:rsidR="00F71528" w:rsidRPr="00FA3856" w:rsidRDefault="00F71528" w:rsidP="00E65303">
            <w:pPr>
              <w:pStyle w:val="PSDS-CorpodeTexto0"/>
              <w:jc w:val="center"/>
              <w:rPr>
                <w:rFonts w:ascii="Times New Roman" w:hAnsi="Times New Roman"/>
                <w:b/>
                <w:bCs/>
              </w:rPr>
            </w:pPr>
            <w:r w:rsidRPr="00FA3856">
              <w:rPr>
                <w:rFonts w:ascii="Times New Roman" w:hAnsi="Times New Roman"/>
                <w:b/>
                <w:bCs/>
              </w:rPr>
              <w:t>Tipo</w:t>
            </w:r>
          </w:p>
        </w:tc>
      </w:tr>
      <w:tr w:rsidR="00F71528" w:rsidRPr="00FA3856" w:rsidTr="00E65303">
        <w:trPr>
          <w:jc w:val="center"/>
        </w:trPr>
        <w:tc>
          <w:tcPr>
            <w:tcW w:w="146" w:type="pct"/>
            <w:tcBorders>
              <w:top w:val="single" w:sz="6" w:space="0" w:color="auto"/>
              <w:left w:val="single" w:sz="6" w:space="0" w:color="auto"/>
              <w:bottom w:val="single" w:sz="6" w:space="0" w:color="auto"/>
              <w:right w:val="single" w:sz="6" w:space="0" w:color="auto"/>
            </w:tcBorders>
          </w:tcPr>
          <w:p w:rsidR="00F71528" w:rsidRPr="00FA3856" w:rsidRDefault="00F71528" w:rsidP="00F71528">
            <w:pPr>
              <w:shd w:val="clear" w:color="auto" w:fill="FFFFFF"/>
              <w:jc w:val="center"/>
              <w:rPr>
                <w:b/>
                <w:szCs w:val="20"/>
                <w:lang w:val="es-ES_tradnl"/>
              </w:rPr>
            </w:pPr>
            <w:r w:rsidRPr="00FA3856">
              <w:rPr>
                <w:b/>
                <w:szCs w:val="20"/>
                <w:lang w:val="es-ES_tradnl"/>
              </w:rPr>
              <w:t>2</w:t>
            </w:r>
          </w:p>
        </w:tc>
        <w:tc>
          <w:tcPr>
            <w:tcW w:w="755" w:type="pct"/>
            <w:tcBorders>
              <w:top w:val="single" w:sz="6" w:space="0" w:color="auto"/>
              <w:left w:val="single" w:sz="6" w:space="0" w:color="auto"/>
              <w:bottom w:val="single" w:sz="6" w:space="0" w:color="auto"/>
              <w:right w:val="single" w:sz="6" w:space="0" w:color="auto"/>
            </w:tcBorders>
          </w:tcPr>
          <w:p w:rsidR="00F71528" w:rsidRPr="00FA3856" w:rsidRDefault="00F71528" w:rsidP="00F71528">
            <w:pPr>
              <w:shd w:val="clear" w:color="auto" w:fill="FFFFFF"/>
              <w:rPr>
                <w:szCs w:val="20"/>
                <w:lang w:val="es-ES_tradnl"/>
              </w:rPr>
            </w:pPr>
            <w:r w:rsidRPr="00FA3856">
              <w:rPr>
                <w:szCs w:val="20"/>
                <w:lang w:val="es-ES_tradnl"/>
              </w:rPr>
              <w:t>COD_CTA_REF</w:t>
            </w:r>
          </w:p>
          <w:p w:rsidR="003E28BC" w:rsidRPr="00FA3856" w:rsidRDefault="003E28BC" w:rsidP="00F71528">
            <w:pPr>
              <w:shd w:val="clear" w:color="auto" w:fill="FFFFFF"/>
              <w:rPr>
                <w:szCs w:val="20"/>
                <w:lang w:val="es-ES_tradnl"/>
              </w:rPr>
            </w:pPr>
          </w:p>
        </w:tc>
        <w:tc>
          <w:tcPr>
            <w:tcW w:w="3854" w:type="pct"/>
            <w:tcBorders>
              <w:top w:val="single" w:sz="6" w:space="0" w:color="auto"/>
              <w:left w:val="single" w:sz="6" w:space="0" w:color="auto"/>
              <w:bottom w:val="single" w:sz="6" w:space="0" w:color="auto"/>
              <w:right w:val="single" w:sz="6" w:space="0" w:color="auto"/>
            </w:tcBorders>
          </w:tcPr>
          <w:p w:rsidR="00F71528" w:rsidRPr="00FA3856" w:rsidRDefault="007D0E74" w:rsidP="00F71528">
            <w:pPr>
              <w:pStyle w:val="Corpodetexto"/>
              <w:rPr>
                <w:rStyle w:val="Hyperlink"/>
                <w:rFonts w:ascii="Times New Roman" w:hAnsi="Times New Roman"/>
                <w:color w:val="auto"/>
                <w:szCs w:val="20"/>
              </w:rPr>
            </w:pPr>
            <w:hyperlink w:anchor="REGRA_CTA_REF_MAPEADA" w:history="1">
              <w:r w:rsidR="00F71528" w:rsidRPr="00FA3856">
                <w:rPr>
                  <w:rStyle w:val="Hyperlink"/>
                  <w:rFonts w:ascii="Times New Roman" w:hAnsi="Times New Roman"/>
                  <w:b/>
                  <w:color w:val="auto"/>
                  <w:szCs w:val="20"/>
                </w:rPr>
                <w:t>REGRA_CTA_REF_MAPEADA_J051</w:t>
              </w:r>
            </w:hyperlink>
            <w:r w:rsidR="00F71528" w:rsidRPr="00FA3856">
              <w:rPr>
                <w:rStyle w:val="Hyperlink"/>
                <w:rFonts w:ascii="Times New Roman" w:hAnsi="Times New Roman"/>
                <w:b/>
                <w:color w:val="auto"/>
                <w:szCs w:val="20"/>
              </w:rPr>
              <w:t xml:space="preserve">: </w:t>
            </w:r>
            <w:r w:rsidR="00C83369" w:rsidRPr="00FA3856">
              <w:rPr>
                <w:rStyle w:val="Hyperlink"/>
                <w:rFonts w:ascii="Times New Roman" w:hAnsi="Times New Roman"/>
                <w:color w:val="auto"/>
                <w:szCs w:val="20"/>
              </w:rPr>
              <w:t xml:space="preserve">Verifica se o </w:t>
            </w:r>
            <w:r w:rsidR="00794557" w:rsidRPr="00FA3856">
              <w:rPr>
                <w:rStyle w:val="Hyperlink"/>
                <w:rFonts w:ascii="Times New Roman" w:hAnsi="Times New Roman"/>
                <w:color w:val="auto"/>
                <w:szCs w:val="20"/>
              </w:rPr>
              <w:t xml:space="preserve">K156.COD_CTA_REF </w:t>
            </w:r>
            <w:r w:rsidR="00C83369" w:rsidRPr="00FA3856">
              <w:rPr>
                <w:rStyle w:val="Hyperlink"/>
                <w:rFonts w:ascii="Times New Roman" w:hAnsi="Times New Roman"/>
                <w:color w:val="auto"/>
                <w:szCs w:val="20"/>
              </w:rPr>
              <w:t>informado, foi utilizado no registro J051.</w:t>
            </w:r>
          </w:p>
          <w:p w:rsidR="00982029" w:rsidRPr="00FA3856" w:rsidRDefault="00982029" w:rsidP="00F71528">
            <w:pPr>
              <w:pStyle w:val="Corpodetexto"/>
              <w:rPr>
                <w:rFonts w:ascii="Times New Roman" w:hAnsi="Times New Roman"/>
                <w:color w:val="auto"/>
                <w:szCs w:val="20"/>
              </w:rPr>
            </w:pPr>
          </w:p>
        </w:tc>
        <w:tc>
          <w:tcPr>
            <w:tcW w:w="244" w:type="pct"/>
            <w:tcBorders>
              <w:top w:val="single" w:sz="6" w:space="0" w:color="auto"/>
              <w:left w:val="single" w:sz="6" w:space="0" w:color="auto"/>
              <w:bottom w:val="single" w:sz="6" w:space="0" w:color="auto"/>
              <w:right w:val="single" w:sz="6" w:space="0" w:color="auto"/>
            </w:tcBorders>
          </w:tcPr>
          <w:p w:rsidR="00982029" w:rsidRPr="00FA3856" w:rsidRDefault="00F71528" w:rsidP="00F71528">
            <w:pPr>
              <w:shd w:val="clear" w:color="auto" w:fill="FFFFFF"/>
              <w:rPr>
                <w:szCs w:val="20"/>
                <w:lang w:val="pt-PT"/>
              </w:rPr>
            </w:pPr>
            <w:r w:rsidRPr="00FA3856">
              <w:rPr>
                <w:szCs w:val="20"/>
                <w:lang w:val="pt-PT"/>
              </w:rPr>
              <w:t>Erro</w:t>
            </w:r>
          </w:p>
        </w:tc>
      </w:tr>
    </w:tbl>
    <w:p w:rsidR="00982029" w:rsidRPr="00FA3856" w:rsidRDefault="00982029" w:rsidP="00E406F0">
      <w:pPr>
        <w:rPr>
          <w:szCs w:val="20"/>
          <w:lang w:val="pt-PT"/>
        </w:rPr>
      </w:pPr>
    </w:p>
    <w:p w:rsidR="00342F1D" w:rsidRDefault="00AF31FF" w:rsidP="00652594">
      <w:pPr>
        <w:pStyle w:val="Corpodetexto"/>
        <w:rPr>
          <w:rFonts w:ascii="Times New Roman" w:hAnsi="Times New Roman"/>
          <w:b/>
          <w:color w:val="002060"/>
          <w:szCs w:val="20"/>
        </w:rPr>
      </w:pPr>
      <w:r w:rsidRPr="00FA3856">
        <w:rPr>
          <w:rFonts w:ascii="Times New Roman" w:hAnsi="Times New Roman"/>
          <w:b/>
          <w:color w:val="002060"/>
          <w:szCs w:val="20"/>
        </w:rPr>
        <w:t xml:space="preserve">Exemplo de Preenchimento: </w:t>
      </w:r>
    </w:p>
    <w:p w:rsidR="00342F1D" w:rsidRDefault="00342F1D" w:rsidP="00652594">
      <w:pPr>
        <w:pStyle w:val="Corpodetexto"/>
        <w:rPr>
          <w:rFonts w:ascii="Times New Roman" w:hAnsi="Times New Roman"/>
          <w:b/>
          <w:color w:val="002060"/>
          <w:szCs w:val="20"/>
        </w:rPr>
      </w:pPr>
    </w:p>
    <w:p w:rsidR="00652594" w:rsidRPr="00FA3856" w:rsidRDefault="00652594" w:rsidP="00652594">
      <w:pPr>
        <w:pStyle w:val="Corpodetexto"/>
        <w:rPr>
          <w:rFonts w:ascii="Times New Roman" w:hAnsi="Times New Roman"/>
          <w:b/>
          <w:color w:val="002060"/>
          <w:szCs w:val="20"/>
        </w:rPr>
      </w:pPr>
      <w:r w:rsidRPr="00FA3856">
        <w:rPr>
          <w:rFonts w:ascii="Times New Roman" w:hAnsi="Times New Roman"/>
          <w:b/>
          <w:color w:val="002060"/>
          <w:szCs w:val="20"/>
        </w:rPr>
        <w:t>|K156|1.01.01.01.01|5000,00|D|</w:t>
      </w:r>
    </w:p>
    <w:p w:rsidR="00652594" w:rsidRPr="00FA3856" w:rsidRDefault="00652594" w:rsidP="00652594">
      <w:pPr>
        <w:pStyle w:val="Corpodetexto"/>
        <w:rPr>
          <w:rFonts w:ascii="Times New Roman" w:hAnsi="Times New Roman"/>
          <w:color w:val="002060"/>
          <w:szCs w:val="20"/>
        </w:rPr>
      </w:pPr>
      <w:r w:rsidRPr="00FA3856">
        <w:rPr>
          <w:rFonts w:ascii="Times New Roman" w:hAnsi="Times New Roman"/>
          <w:b/>
          <w:color w:val="002060"/>
          <w:szCs w:val="20"/>
        </w:rPr>
        <w:tab/>
      </w:r>
      <w:r w:rsidRPr="00FA3856">
        <w:rPr>
          <w:rFonts w:ascii="Times New Roman" w:hAnsi="Times New Roman"/>
          <w:color w:val="002060"/>
          <w:szCs w:val="20"/>
        </w:rPr>
        <w:t>|K156|: Identificação do tipo do registro.</w:t>
      </w:r>
    </w:p>
    <w:p w:rsidR="00652594" w:rsidRPr="00FA3856" w:rsidRDefault="00652594" w:rsidP="00652594">
      <w:pPr>
        <w:pStyle w:val="Corpodetexto"/>
        <w:rPr>
          <w:rFonts w:ascii="Times New Roman" w:hAnsi="Times New Roman"/>
          <w:color w:val="002060"/>
          <w:szCs w:val="20"/>
        </w:rPr>
      </w:pPr>
      <w:r w:rsidRPr="00FA3856">
        <w:rPr>
          <w:rFonts w:ascii="Times New Roman" w:hAnsi="Times New Roman"/>
          <w:color w:val="002060"/>
          <w:szCs w:val="20"/>
        </w:rPr>
        <w:tab/>
        <w:t>|1.01.01.01.01|: Código da conta referencial (1.01.01.01 = Caixa Matriz).</w:t>
      </w:r>
    </w:p>
    <w:p w:rsidR="00652594" w:rsidRPr="00FA3856" w:rsidRDefault="00652594" w:rsidP="00652594">
      <w:pPr>
        <w:pStyle w:val="Corpodetexto"/>
        <w:rPr>
          <w:rFonts w:ascii="Times New Roman" w:hAnsi="Times New Roman"/>
          <w:color w:val="002060"/>
          <w:szCs w:val="20"/>
        </w:rPr>
      </w:pPr>
      <w:r w:rsidRPr="00FA3856">
        <w:rPr>
          <w:rFonts w:ascii="Times New Roman" w:hAnsi="Times New Roman"/>
          <w:color w:val="002060"/>
          <w:szCs w:val="20"/>
        </w:rPr>
        <w:tab/>
        <w:t>|5000,00|: Valor do final mapeado (R$ 5.000,00).</w:t>
      </w:r>
    </w:p>
    <w:p w:rsidR="00652594" w:rsidRPr="00FA3856" w:rsidRDefault="00652594" w:rsidP="00652594">
      <w:pPr>
        <w:pStyle w:val="Corpodetexto"/>
        <w:rPr>
          <w:rFonts w:ascii="Times New Roman" w:hAnsi="Times New Roman"/>
          <w:color w:val="002060"/>
          <w:szCs w:val="20"/>
        </w:rPr>
      </w:pPr>
      <w:r w:rsidRPr="00FA3856">
        <w:rPr>
          <w:rFonts w:ascii="Times New Roman" w:hAnsi="Times New Roman"/>
          <w:color w:val="002060"/>
          <w:szCs w:val="20"/>
        </w:rPr>
        <w:tab/>
        <w:t>|D|: Indicador da situação do saldo final (D = Devedor).</w:t>
      </w:r>
    </w:p>
    <w:p w:rsidR="00652594" w:rsidRPr="00FA3856" w:rsidRDefault="00652594" w:rsidP="00652594">
      <w:pPr>
        <w:pStyle w:val="Corpodetexto"/>
        <w:rPr>
          <w:rFonts w:ascii="Times New Roman" w:hAnsi="Times New Roman"/>
          <w:color w:val="002060"/>
          <w:szCs w:val="20"/>
        </w:rPr>
      </w:pPr>
      <w:r w:rsidRPr="00FA3856">
        <w:rPr>
          <w:rFonts w:ascii="Times New Roman" w:hAnsi="Times New Roman"/>
          <w:color w:val="002060"/>
          <w:szCs w:val="20"/>
        </w:rPr>
        <w:tab/>
      </w:r>
    </w:p>
    <w:p w:rsidR="00652594" w:rsidRPr="00FA3856" w:rsidRDefault="00652594" w:rsidP="00E406F0">
      <w:pPr>
        <w:rPr>
          <w:szCs w:val="20"/>
          <w:lang w:val="pt-PT"/>
        </w:rPr>
      </w:pPr>
    </w:p>
    <w:p w:rsidR="00652594" w:rsidRPr="00FA3856" w:rsidRDefault="00652594">
      <w:pPr>
        <w:spacing w:after="200" w:line="276" w:lineRule="auto"/>
        <w:rPr>
          <w:b/>
          <w:bCs/>
          <w:color w:val="0000FF"/>
          <w:szCs w:val="20"/>
        </w:rPr>
      </w:pPr>
      <w:r w:rsidRPr="00FA3856">
        <w:rPr>
          <w:color w:val="0000FF"/>
          <w:szCs w:val="20"/>
        </w:rPr>
        <w:br w:type="page"/>
      </w:r>
    </w:p>
    <w:p w:rsidR="00E65303" w:rsidRPr="00FA3856" w:rsidRDefault="00E65303" w:rsidP="00867F54">
      <w:pPr>
        <w:pStyle w:val="Ttulo4"/>
      </w:pPr>
      <w:bookmarkStart w:id="103" w:name="_Toc479713710"/>
      <w:r w:rsidRPr="00FA3856">
        <w:lastRenderedPageBreak/>
        <w:t>Registro K355: Saldos Finais das Contas Contábeis de Resultado Antes do Encerramento</w:t>
      </w:r>
      <w:bookmarkEnd w:id="103"/>
    </w:p>
    <w:p w:rsidR="00E65303" w:rsidRPr="00FA3856" w:rsidRDefault="00E65303" w:rsidP="00E65303">
      <w:pPr>
        <w:jc w:val="both"/>
        <w:rPr>
          <w:szCs w:val="20"/>
        </w:rPr>
      </w:pPr>
    </w:p>
    <w:p w:rsidR="00E65303" w:rsidRPr="00FA3856" w:rsidRDefault="00E65303" w:rsidP="00E65303">
      <w:pPr>
        <w:pStyle w:val="PSDS-MarcadoresNivel2"/>
        <w:numPr>
          <w:ilvl w:val="0"/>
          <w:numId w:val="0"/>
        </w:numPr>
        <w:tabs>
          <w:tab w:val="left" w:pos="720"/>
        </w:tabs>
        <w:spacing w:before="0" w:after="0"/>
        <w:rPr>
          <w:rFonts w:ascii="Times New Roman" w:hAnsi="Times New Roman"/>
          <w:b w:val="0"/>
          <w:bCs/>
          <w:lang w:val="pt-PT"/>
        </w:rPr>
      </w:pPr>
      <w:r w:rsidRPr="00FA3856">
        <w:rPr>
          <w:rFonts w:ascii="Times New Roman" w:hAnsi="Times New Roman"/>
          <w:b w:val="0"/>
          <w:lang w:val="pt-PT"/>
        </w:rPr>
        <w:tab/>
        <w:t>Registro onde devem ser informados os saldos finais de todas as contas de resultado da escrituração societária da pessoa jurídica antes do encerramento. Poderá ser preenchido das seguintes formas:</w:t>
      </w:r>
    </w:p>
    <w:p w:rsidR="00E65303" w:rsidRPr="00FA3856" w:rsidRDefault="00E65303" w:rsidP="00E65303">
      <w:pPr>
        <w:pStyle w:val="PSDS-MarcadoresNivel2"/>
        <w:numPr>
          <w:ilvl w:val="0"/>
          <w:numId w:val="0"/>
        </w:numPr>
        <w:tabs>
          <w:tab w:val="left" w:pos="720"/>
        </w:tabs>
        <w:spacing w:before="0" w:after="0"/>
        <w:rPr>
          <w:rFonts w:ascii="Times New Roman" w:hAnsi="Times New Roman"/>
          <w:b w:val="0"/>
          <w:lang w:val="pt-PT"/>
        </w:rPr>
      </w:pPr>
    </w:p>
    <w:p w:rsidR="00E65303" w:rsidRPr="00FA3856" w:rsidRDefault="00E65303" w:rsidP="00E65303">
      <w:pPr>
        <w:pStyle w:val="PSDS-CorpodeTexto0"/>
        <w:ind w:firstLine="708"/>
        <w:rPr>
          <w:rFonts w:ascii="Times New Roman" w:hAnsi="Times New Roman"/>
        </w:rPr>
      </w:pPr>
      <w:r w:rsidRPr="00FA3856">
        <w:rPr>
          <w:rFonts w:ascii="Times New Roman" w:hAnsi="Times New Roman"/>
        </w:rPr>
        <w:t>- Edição pelo programa da ECF;</w:t>
      </w:r>
    </w:p>
    <w:p w:rsidR="00E65303" w:rsidRPr="00FA3856" w:rsidRDefault="00E65303" w:rsidP="00E65303">
      <w:pPr>
        <w:pStyle w:val="PSDS-CorpodeTexto0"/>
        <w:ind w:firstLine="708"/>
        <w:rPr>
          <w:rFonts w:ascii="Times New Roman" w:hAnsi="Times New Roman"/>
        </w:rPr>
      </w:pPr>
    </w:p>
    <w:p w:rsidR="00E65303" w:rsidRPr="00FA3856" w:rsidRDefault="00E65303" w:rsidP="00E65303">
      <w:pPr>
        <w:pStyle w:val="PSDS-CorpodeTexto0"/>
        <w:ind w:firstLine="708"/>
        <w:rPr>
          <w:rFonts w:ascii="Times New Roman" w:hAnsi="Times New Roman"/>
        </w:rPr>
      </w:pPr>
      <w:r w:rsidRPr="00FA3856">
        <w:rPr>
          <w:rFonts w:ascii="Times New Roman" w:hAnsi="Times New Roman"/>
        </w:rPr>
        <w:t>- Calculado pelo sistema através da funcionalidade de recuperar ECD; e</w:t>
      </w:r>
    </w:p>
    <w:p w:rsidR="00E65303" w:rsidRPr="00FA3856" w:rsidRDefault="00E65303" w:rsidP="00E65303">
      <w:pPr>
        <w:pStyle w:val="PSDS-CorpodeTexto0"/>
        <w:ind w:firstLine="708"/>
        <w:rPr>
          <w:rFonts w:ascii="Times New Roman" w:hAnsi="Times New Roman"/>
        </w:rPr>
      </w:pPr>
    </w:p>
    <w:p w:rsidR="00E65303" w:rsidRPr="00FA3856" w:rsidRDefault="00E65303" w:rsidP="00E65303">
      <w:pPr>
        <w:pStyle w:val="PSDS-CorpodeTexto0"/>
        <w:ind w:firstLine="708"/>
        <w:rPr>
          <w:rFonts w:ascii="Times New Roman" w:hAnsi="Times New Roman"/>
          <w:lang w:val="pt-PT"/>
        </w:rPr>
      </w:pPr>
      <w:r w:rsidRPr="00FA3856">
        <w:rPr>
          <w:rFonts w:ascii="Times New Roman" w:hAnsi="Times New Roman"/>
        </w:rPr>
        <w:t>- Importado de arquivo digital.</w:t>
      </w:r>
      <w:r w:rsidRPr="00FA3856">
        <w:rPr>
          <w:rFonts w:ascii="Times New Roman" w:hAnsi="Times New Roman"/>
          <w:lang w:val="pt-PT"/>
        </w:rPr>
        <w:t xml:space="preserve"> </w:t>
      </w:r>
    </w:p>
    <w:p w:rsidR="00024B32" w:rsidRDefault="00024B32" w:rsidP="00E406F0">
      <w:pPr>
        <w:rPr>
          <w:szCs w:val="20"/>
          <w:lang w:val="pt-PT"/>
        </w:rPr>
      </w:pPr>
    </w:p>
    <w:p w:rsidR="0009776D" w:rsidRPr="00FA3856" w:rsidRDefault="00B35FA3" w:rsidP="0009776D">
      <w:pPr>
        <w:jc w:val="center"/>
        <w:rPr>
          <w:szCs w:val="20"/>
          <w:lang w:val="pt-PT"/>
        </w:rPr>
      </w:pPr>
      <w:r>
        <w:rPr>
          <w:szCs w:val="20"/>
          <w:lang w:val="pt-PT"/>
        </w:rPr>
        <w:object w:dxaOrig="13560" w:dyaOrig="4605">
          <v:shape id="_x0000_i1648" type="#_x0000_t75" style="width:683.25pt;height:230.25pt" o:ole="">
            <v:imagedata r:id="rId206" o:title=""/>
          </v:shape>
          <o:OLEObject Type="Link" ProgID="Excel.Sheet.12" ShapeID="_x0000_i1648" DrawAspect="Content" r:id="rId207" UpdateMode="Always">
            <o:LinkType>EnhancedMetaFile</o:LinkType>
            <o:LockedField>false</o:LockedField>
          </o:OLEObject>
        </w:object>
      </w:r>
    </w:p>
    <w:p w:rsidR="00652594" w:rsidRPr="00FA3856" w:rsidRDefault="00652594" w:rsidP="00E406F0">
      <w:pPr>
        <w:rPr>
          <w:szCs w:val="20"/>
          <w:lang w:val="pt-PT"/>
        </w:rPr>
      </w:pPr>
    </w:p>
    <w:p w:rsidR="00652594" w:rsidRPr="00FA3856" w:rsidRDefault="00652594" w:rsidP="00E406F0">
      <w:pPr>
        <w:rPr>
          <w:szCs w:val="20"/>
          <w:lang w:val="pt-PT"/>
        </w:rPr>
      </w:pPr>
    </w:p>
    <w:p w:rsidR="00652594" w:rsidRPr="00FA3856" w:rsidRDefault="00652594" w:rsidP="00E406F0">
      <w:pPr>
        <w:rPr>
          <w:szCs w:val="20"/>
          <w:lang w:val="pt-PT"/>
        </w:rPr>
      </w:pPr>
    </w:p>
    <w:p w:rsidR="00652594" w:rsidRPr="00FA3856" w:rsidRDefault="00652594" w:rsidP="00E406F0">
      <w:pPr>
        <w:rPr>
          <w:szCs w:val="20"/>
          <w:lang w:val="pt-PT"/>
        </w:rPr>
      </w:pPr>
    </w:p>
    <w:p w:rsidR="00652594" w:rsidRPr="00FA3856" w:rsidRDefault="00652594" w:rsidP="00E406F0">
      <w:pPr>
        <w:rPr>
          <w:szCs w:val="20"/>
          <w:lang w:val="pt-PT"/>
        </w:rPr>
      </w:pPr>
    </w:p>
    <w:p w:rsidR="00652594" w:rsidRPr="00FA3856" w:rsidRDefault="00652594" w:rsidP="00E406F0">
      <w:pPr>
        <w:rPr>
          <w:szCs w:val="20"/>
          <w:lang w:val="pt-PT"/>
        </w:rPr>
      </w:pPr>
    </w:p>
    <w:p w:rsidR="0009776D" w:rsidRDefault="0009776D">
      <w:pPr>
        <w:spacing w:after="200" w:line="276" w:lineRule="auto"/>
        <w:rPr>
          <w:b/>
          <w:szCs w:val="20"/>
          <w:lang w:eastAsia="ar-SA"/>
        </w:rPr>
      </w:pPr>
      <w:r>
        <w:rPr>
          <w:b/>
          <w:szCs w:val="20"/>
        </w:rPr>
        <w:br w:type="page"/>
      </w:r>
    </w:p>
    <w:p w:rsidR="00E65303" w:rsidRPr="00FA3856" w:rsidRDefault="00E65303" w:rsidP="00E65303">
      <w:pPr>
        <w:pStyle w:val="Corpodetexto"/>
        <w:rPr>
          <w:rFonts w:ascii="Times New Roman" w:hAnsi="Times New Roman"/>
          <w:color w:val="auto"/>
          <w:szCs w:val="20"/>
        </w:rPr>
      </w:pPr>
      <w:r w:rsidRPr="00FA3856">
        <w:rPr>
          <w:rFonts w:ascii="Times New Roman" w:hAnsi="Times New Roman"/>
          <w:b/>
          <w:color w:val="auto"/>
          <w:szCs w:val="20"/>
        </w:rPr>
        <w:lastRenderedPageBreak/>
        <w:t xml:space="preserve">I - Regras de Validação do Registro: </w:t>
      </w:r>
    </w:p>
    <w:p w:rsidR="00E65303" w:rsidRPr="00FA3856" w:rsidRDefault="00E65303" w:rsidP="00E65303">
      <w:pPr>
        <w:pStyle w:val="Corpodetexto"/>
        <w:rPr>
          <w:rStyle w:val="Hyperlink"/>
          <w:rFonts w:ascii="Times New Roman" w:hAnsi="Times New Roman"/>
          <w:b/>
          <w:color w:val="auto"/>
          <w:szCs w:val="20"/>
        </w:rPr>
      </w:pPr>
    </w:p>
    <w:p w:rsidR="00E65303" w:rsidRPr="00FA3856" w:rsidRDefault="00E65303" w:rsidP="00E65303">
      <w:pPr>
        <w:pStyle w:val="Corpodetexto"/>
        <w:ind w:left="708"/>
        <w:rPr>
          <w:rStyle w:val="Hyperlink"/>
          <w:rFonts w:ascii="Times New Roman" w:hAnsi="Times New Roman"/>
          <w:color w:val="auto"/>
          <w:szCs w:val="20"/>
        </w:rPr>
      </w:pPr>
      <w:r w:rsidRPr="00FA3856">
        <w:rPr>
          <w:rStyle w:val="Hyperlink"/>
          <w:rFonts w:ascii="Times New Roman" w:hAnsi="Times New Roman"/>
          <w:b/>
          <w:color w:val="auto"/>
          <w:szCs w:val="20"/>
        </w:rPr>
        <w:t xml:space="preserve">REGRA_CONTA_ANALITICA: </w:t>
      </w:r>
      <w:r w:rsidRPr="00FA3856">
        <w:rPr>
          <w:rStyle w:val="Hyperlink"/>
          <w:rFonts w:ascii="Times New Roman" w:hAnsi="Times New Roman"/>
          <w:color w:val="auto"/>
          <w:szCs w:val="20"/>
        </w:rPr>
        <w:t>Verifica se a conta e o centro de custos estão no plano de contas (J050) como conta analítica. Se a regra não for cumprida, o sistema gera um erro.</w:t>
      </w:r>
    </w:p>
    <w:p w:rsidR="00E65303" w:rsidRPr="00FA3856" w:rsidRDefault="00E65303" w:rsidP="00E65303">
      <w:pPr>
        <w:pStyle w:val="Corpodetexto"/>
        <w:ind w:left="708"/>
        <w:rPr>
          <w:rStyle w:val="Hyperlink"/>
          <w:rFonts w:ascii="Times New Roman" w:hAnsi="Times New Roman"/>
          <w:b/>
          <w:color w:val="auto"/>
          <w:szCs w:val="20"/>
        </w:rPr>
      </w:pPr>
    </w:p>
    <w:p w:rsidR="00E65303" w:rsidRPr="00FA3856" w:rsidRDefault="007D0E74" w:rsidP="00E65303">
      <w:pPr>
        <w:pStyle w:val="Corpodetexto"/>
        <w:ind w:left="708"/>
        <w:rPr>
          <w:rStyle w:val="Hyperlink"/>
          <w:rFonts w:ascii="Times New Roman" w:hAnsi="Times New Roman"/>
          <w:color w:val="auto"/>
          <w:szCs w:val="20"/>
        </w:rPr>
      </w:pPr>
      <w:hyperlink w:anchor="REGRA_COMPATIBILIDADE_K155_E155" w:history="1">
        <w:r w:rsidR="00E65303" w:rsidRPr="00FA3856">
          <w:rPr>
            <w:rStyle w:val="Hyperlink"/>
            <w:rFonts w:ascii="Times New Roman" w:hAnsi="Times New Roman"/>
            <w:b/>
            <w:color w:val="auto"/>
            <w:szCs w:val="20"/>
          </w:rPr>
          <w:t>REGRA_COMPATIBILIDADE_K355_E355</w:t>
        </w:r>
      </w:hyperlink>
      <w:r w:rsidR="00E65303" w:rsidRPr="00FA3856">
        <w:rPr>
          <w:rStyle w:val="Hyperlink"/>
          <w:rFonts w:ascii="Times New Roman" w:hAnsi="Times New Roman"/>
          <w:b/>
          <w:color w:val="auto"/>
          <w:szCs w:val="20"/>
        </w:rPr>
        <w:t xml:space="preserve">: </w:t>
      </w:r>
      <w:r w:rsidR="00E65303" w:rsidRPr="00FA3856">
        <w:rPr>
          <w:rStyle w:val="Hyperlink"/>
          <w:rFonts w:ascii="Times New Roman" w:hAnsi="Times New Roman"/>
          <w:color w:val="auto"/>
          <w:szCs w:val="20"/>
        </w:rPr>
        <w:t>Verifica se os valores utilizados no registro K355 são iguais aos valores calculados do registro E355. Se a regra não for cumprida, o sistema gera um aviso.</w:t>
      </w:r>
    </w:p>
    <w:p w:rsidR="00982029" w:rsidRPr="00FA3856" w:rsidRDefault="00982029" w:rsidP="00E65303">
      <w:pPr>
        <w:pStyle w:val="Corpodetexto"/>
        <w:ind w:left="708"/>
        <w:rPr>
          <w:rFonts w:ascii="Times New Roman" w:hAnsi="Times New Roman"/>
          <w:szCs w:val="20"/>
        </w:rPr>
      </w:pPr>
    </w:p>
    <w:p w:rsidR="00E65303" w:rsidRPr="00FA3856" w:rsidRDefault="007D0E74" w:rsidP="00E65303">
      <w:pPr>
        <w:pStyle w:val="Corpodetexto"/>
        <w:ind w:left="708"/>
        <w:rPr>
          <w:rStyle w:val="Hyperlink"/>
          <w:rFonts w:ascii="Times New Roman" w:hAnsi="Times New Roman"/>
          <w:color w:val="auto"/>
          <w:szCs w:val="20"/>
        </w:rPr>
      </w:pPr>
      <w:hyperlink w:anchor="REGRA_COMPATIBILIDADE_E155_K155" w:history="1">
        <w:r w:rsidR="00E65303" w:rsidRPr="00FA3856">
          <w:rPr>
            <w:rStyle w:val="Hyperlink"/>
            <w:rFonts w:ascii="Times New Roman" w:hAnsi="Times New Roman"/>
            <w:b/>
            <w:color w:val="auto"/>
            <w:szCs w:val="20"/>
          </w:rPr>
          <w:t>REGRA_COMPATIBILIDADE_E355_K355</w:t>
        </w:r>
      </w:hyperlink>
      <w:r w:rsidR="00E65303" w:rsidRPr="00FA3856">
        <w:rPr>
          <w:rStyle w:val="Hyperlink"/>
          <w:rFonts w:ascii="Times New Roman" w:hAnsi="Times New Roman"/>
          <w:b/>
          <w:color w:val="auto"/>
          <w:szCs w:val="20"/>
        </w:rPr>
        <w:t xml:space="preserve">: </w:t>
      </w:r>
      <w:r w:rsidR="00E65303" w:rsidRPr="00FA3856">
        <w:rPr>
          <w:rStyle w:val="Hyperlink"/>
          <w:rFonts w:ascii="Times New Roman" w:hAnsi="Times New Roman"/>
          <w:color w:val="auto"/>
          <w:szCs w:val="20"/>
        </w:rPr>
        <w:t>Verifica se os campos do registro E355 com algum valor maior que zero, são referenciados no registro K355 para o mesmo período de apuração. Se a regra não for cumprida, o sistema gera um aviso.</w:t>
      </w:r>
    </w:p>
    <w:p w:rsidR="00E65303" w:rsidRPr="00FA3856" w:rsidRDefault="00E65303" w:rsidP="00E65303">
      <w:pPr>
        <w:rPr>
          <w:szCs w:val="20"/>
        </w:rPr>
      </w:pPr>
    </w:p>
    <w:p w:rsidR="00E65303" w:rsidRPr="00FA3856" w:rsidRDefault="00E65303" w:rsidP="00E65303">
      <w:pPr>
        <w:pStyle w:val="Corpodetexto"/>
        <w:rPr>
          <w:rFonts w:ascii="Times New Roman" w:hAnsi="Times New Roman"/>
          <w:color w:val="auto"/>
          <w:szCs w:val="20"/>
        </w:rPr>
      </w:pPr>
      <w:r w:rsidRPr="00FA3856">
        <w:rPr>
          <w:rFonts w:ascii="Times New Roman" w:hAnsi="Times New Roman"/>
          <w:b/>
          <w:color w:val="auto"/>
          <w:szCs w:val="20"/>
        </w:rPr>
        <w:t xml:space="preserve">II - Regras de Validação de Campos: </w:t>
      </w:r>
    </w:p>
    <w:p w:rsidR="00E65303" w:rsidRPr="00FA3856" w:rsidRDefault="00E65303" w:rsidP="00E65303">
      <w:pPr>
        <w:rPr>
          <w:szCs w:val="20"/>
        </w:rPr>
      </w:pPr>
    </w:p>
    <w:tbl>
      <w:tblPr>
        <w:tblW w:w="5000" w:type="pct"/>
        <w:jc w:val="center"/>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477"/>
        <w:gridCol w:w="2760"/>
        <w:gridCol w:w="12243"/>
        <w:gridCol w:w="774"/>
      </w:tblGrid>
      <w:tr w:rsidR="00E65303" w:rsidRPr="00FA3856" w:rsidTr="00982029">
        <w:trPr>
          <w:jc w:val="center"/>
        </w:trPr>
        <w:tc>
          <w:tcPr>
            <w:tcW w:w="147" w:type="pct"/>
            <w:tcBorders>
              <w:top w:val="single" w:sz="6" w:space="0" w:color="auto"/>
              <w:left w:val="single" w:sz="6" w:space="0" w:color="auto"/>
              <w:bottom w:val="single" w:sz="6" w:space="0" w:color="auto"/>
              <w:right w:val="single" w:sz="6" w:space="0" w:color="auto"/>
            </w:tcBorders>
            <w:shd w:val="pct10" w:color="auto" w:fill="FFFFFF"/>
            <w:vAlign w:val="center"/>
          </w:tcPr>
          <w:p w:rsidR="00E65303" w:rsidRPr="00FA3856" w:rsidRDefault="00E65303" w:rsidP="00E65303">
            <w:pPr>
              <w:pStyle w:val="PSDS-CorpodeTexto0"/>
              <w:jc w:val="center"/>
              <w:rPr>
                <w:rFonts w:ascii="Times New Roman" w:hAnsi="Times New Roman"/>
                <w:b/>
                <w:bCs/>
              </w:rPr>
            </w:pPr>
            <w:r w:rsidRPr="00FA3856">
              <w:rPr>
                <w:rFonts w:ascii="Times New Roman" w:hAnsi="Times New Roman"/>
                <w:b/>
                <w:bCs/>
              </w:rPr>
              <w:t>Nº</w:t>
            </w:r>
          </w:p>
        </w:tc>
        <w:tc>
          <w:tcPr>
            <w:tcW w:w="849" w:type="pct"/>
            <w:tcBorders>
              <w:top w:val="single" w:sz="6" w:space="0" w:color="auto"/>
              <w:left w:val="single" w:sz="6" w:space="0" w:color="auto"/>
              <w:bottom w:val="single" w:sz="6" w:space="0" w:color="auto"/>
              <w:right w:val="single" w:sz="6" w:space="0" w:color="auto"/>
            </w:tcBorders>
            <w:shd w:val="pct10" w:color="auto" w:fill="FFFFFF"/>
            <w:vAlign w:val="center"/>
          </w:tcPr>
          <w:p w:rsidR="00E65303" w:rsidRPr="00FA3856" w:rsidRDefault="00E65303" w:rsidP="00E65303">
            <w:pPr>
              <w:pStyle w:val="PSDS-CorpodeTexto0"/>
              <w:jc w:val="center"/>
              <w:rPr>
                <w:rFonts w:ascii="Times New Roman" w:hAnsi="Times New Roman"/>
                <w:b/>
                <w:bCs/>
              </w:rPr>
            </w:pPr>
            <w:r w:rsidRPr="00FA3856">
              <w:rPr>
                <w:rFonts w:ascii="Times New Roman" w:hAnsi="Times New Roman"/>
                <w:b/>
                <w:bCs/>
              </w:rPr>
              <w:t>Campo</w:t>
            </w:r>
          </w:p>
        </w:tc>
        <w:tc>
          <w:tcPr>
            <w:tcW w:w="3766" w:type="pct"/>
            <w:tcBorders>
              <w:top w:val="single" w:sz="6" w:space="0" w:color="auto"/>
              <w:left w:val="single" w:sz="6" w:space="0" w:color="auto"/>
              <w:bottom w:val="single" w:sz="6" w:space="0" w:color="auto"/>
              <w:right w:val="single" w:sz="6" w:space="0" w:color="auto"/>
            </w:tcBorders>
            <w:shd w:val="pct10" w:color="auto" w:fill="FFFFFF"/>
          </w:tcPr>
          <w:p w:rsidR="00E65303" w:rsidRPr="00FA3856" w:rsidRDefault="00E65303" w:rsidP="00E65303">
            <w:pPr>
              <w:pStyle w:val="PSDS-CorpodeTexto0"/>
              <w:jc w:val="center"/>
              <w:rPr>
                <w:rFonts w:ascii="Times New Roman" w:hAnsi="Times New Roman"/>
                <w:b/>
                <w:bCs/>
              </w:rPr>
            </w:pPr>
            <w:r w:rsidRPr="00FA3856">
              <w:rPr>
                <w:rFonts w:ascii="Times New Roman" w:hAnsi="Times New Roman"/>
                <w:b/>
                <w:bCs/>
              </w:rPr>
              <w:t>Regras de validação do campo</w:t>
            </w:r>
          </w:p>
        </w:tc>
        <w:tc>
          <w:tcPr>
            <w:tcW w:w="238" w:type="pct"/>
            <w:tcBorders>
              <w:top w:val="single" w:sz="6" w:space="0" w:color="auto"/>
              <w:left w:val="single" w:sz="6" w:space="0" w:color="auto"/>
              <w:bottom w:val="single" w:sz="6" w:space="0" w:color="auto"/>
              <w:right w:val="single" w:sz="6" w:space="0" w:color="auto"/>
            </w:tcBorders>
            <w:shd w:val="pct10" w:color="auto" w:fill="FFFFFF"/>
            <w:vAlign w:val="center"/>
          </w:tcPr>
          <w:p w:rsidR="00E65303" w:rsidRPr="00FA3856" w:rsidRDefault="00E65303" w:rsidP="00E65303">
            <w:pPr>
              <w:pStyle w:val="PSDS-CorpodeTexto0"/>
              <w:jc w:val="center"/>
              <w:rPr>
                <w:rFonts w:ascii="Times New Roman" w:hAnsi="Times New Roman"/>
                <w:b/>
                <w:bCs/>
              </w:rPr>
            </w:pPr>
            <w:r w:rsidRPr="00FA3856">
              <w:rPr>
                <w:rFonts w:ascii="Times New Roman" w:hAnsi="Times New Roman"/>
                <w:b/>
                <w:bCs/>
              </w:rPr>
              <w:t>Tipo</w:t>
            </w:r>
          </w:p>
        </w:tc>
      </w:tr>
      <w:tr w:rsidR="00E65303" w:rsidRPr="00FA3856" w:rsidTr="00982029">
        <w:trPr>
          <w:jc w:val="center"/>
        </w:trPr>
        <w:tc>
          <w:tcPr>
            <w:tcW w:w="147" w:type="pct"/>
            <w:tcBorders>
              <w:top w:val="single" w:sz="6" w:space="0" w:color="auto"/>
              <w:left w:val="single" w:sz="6" w:space="0" w:color="auto"/>
              <w:bottom w:val="single" w:sz="6" w:space="0" w:color="auto"/>
              <w:right w:val="single" w:sz="6" w:space="0" w:color="auto"/>
            </w:tcBorders>
          </w:tcPr>
          <w:p w:rsidR="00E65303" w:rsidRPr="00FA3856" w:rsidRDefault="00E65303" w:rsidP="00E65303">
            <w:pPr>
              <w:shd w:val="clear" w:color="auto" w:fill="FFFFFF"/>
              <w:jc w:val="center"/>
              <w:rPr>
                <w:b/>
                <w:szCs w:val="20"/>
                <w:lang w:val="pt-PT"/>
              </w:rPr>
            </w:pPr>
            <w:r w:rsidRPr="00FA3856">
              <w:rPr>
                <w:b/>
                <w:szCs w:val="20"/>
                <w:lang w:val="pt-PT"/>
              </w:rPr>
              <w:t>2</w:t>
            </w:r>
          </w:p>
        </w:tc>
        <w:tc>
          <w:tcPr>
            <w:tcW w:w="849" w:type="pct"/>
            <w:tcBorders>
              <w:top w:val="single" w:sz="6" w:space="0" w:color="auto"/>
              <w:left w:val="single" w:sz="6" w:space="0" w:color="auto"/>
              <w:bottom w:val="single" w:sz="6" w:space="0" w:color="auto"/>
              <w:right w:val="single" w:sz="6" w:space="0" w:color="auto"/>
            </w:tcBorders>
          </w:tcPr>
          <w:p w:rsidR="00E65303" w:rsidRPr="00FA3856" w:rsidRDefault="003E7B42" w:rsidP="00E65303">
            <w:pPr>
              <w:shd w:val="clear" w:color="auto" w:fill="FFFFFF"/>
              <w:rPr>
                <w:szCs w:val="20"/>
                <w:lang w:val="pt-PT"/>
              </w:rPr>
            </w:pPr>
            <w:r w:rsidRPr="00FA3856">
              <w:rPr>
                <w:szCs w:val="20"/>
                <w:lang w:val="pt-PT"/>
              </w:rPr>
              <w:t>COD_CTA</w:t>
            </w:r>
          </w:p>
        </w:tc>
        <w:tc>
          <w:tcPr>
            <w:tcW w:w="3766" w:type="pct"/>
            <w:tcBorders>
              <w:top w:val="single" w:sz="6" w:space="0" w:color="auto"/>
              <w:left w:val="single" w:sz="6" w:space="0" w:color="auto"/>
              <w:bottom w:val="single" w:sz="6" w:space="0" w:color="auto"/>
              <w:right w:val="single" w:sz="6" w:space="0" w:color="auto"/>
            </w:tcBorders>
          </w:tcPr>
          <w:p w:rsidR="00E65303" w:rsidRPr="00FA3856" w:rsidRDefault="003E7B42" w:rsidP="003E7B42">
            <w:pPr>
              <w:pStyle w:val="Corpodetexto"/>
              <w:rPr>
                <w:rStyle w:val="Hyperlink"/>
                <w:rFonts w:ascii="Times New Roman" w:hAnsi="Times New Roman"/>
                <w:color w:val="auto"/>
                <w:szCs w:val="20"/>
              </w:rPr>
            </w:pPr>
            <w:r w:rsidRPr="00FA3856">
              <w:rPr>
                <w:rStyle w:val="Hyperlink"/>
                <w:rFonts w:ascii="Times New Roman" w:hAnsi="Times New Roman"/>
                <w:b/>
                <w:color w:val="auto"/>
                <w:szCs w:val="20"/>
              </w:rPr>
              <w:t xml:space="preserve">REGRA_NATUREZA_PERMITIDA_4: </w:t>
            </w:r>
            <w:r w:rsidRPr="00FA3856">
              <w:rPr>
                <w:rStyle w:val="Hyperlink"/>
                <w:rFonts w:ascii="Times New Roman" w:hAnsi="Times New Roman"/>
                <w:color w:val="auto"/>
                <w:szCs w:val="20"/>
              </w:rPr>
              <w:t>Verifica se a conta informa</w:t>
            </w:r>
            <w:r w:rsidR="00B043A0" w:rsidRPr="00FA3856">
              <w:rPr>
                <w:rStyle w:val="Hyperlink"/>
                <w:rFonts w:ascii="Times New Roman" w:hAnsi="Times New Roman"/>
                <w:color w:val="auto"/>
                <w:szCs w:val="20"/>
              </w:rPr>
              <w:t xml:space="preserve">da no registro </w:t>
            </w:r>
            <w:r w:rsidR="00794557" w:rsidRPr="00FA3856">
              <w:rPr>
                <w:rStyle w:val="Hyperlink"/>
                <w:rFonts w:ascii="Times New Roman" w:hAnsi="Times New Roman"/>
                <w:color w:val="auto"/>
                <w:szCs w:val="20"/>
              </w:rPr>
              <w:t xml:space="preserve">K355 possui J050.COD_NAT </w:t>
            </w:r>
            <w:r w:rsidRPr="00FA3856">
              <w:rPr>
                <w:rStyle w:val="Hyperlink"/>
                <w:rFonts w:ascii="Times New Roman" w:hAnsi="Times New Roman"/>
                <w:color w:val="auto"/>
                <w:szCs w:val="20"/>
              </w:rPr>
              <w:t>igual a “04” (Contas de Resultado).</w:t>
            </w:r>
          </w:p>
          <w:p w:rsidR="00794557" w:rsidRPr="00FA3856" w:rsidRDefault="00794557" w:rsidP="003E7B42">
            <w:pPr>
              <w:pStyle w:val="Corpodetexto"/>
              <w:rPr>
                <w:rFonts w:ascii="Times New Roman" w:hAnsi="Times New Roman"/>
                <w:color w:val="auto"/>
                <w:szCs w:val="20"/>
              </w:rPr>
            </w:pPr>
          </w:p>
        </w:tc>
        <w:tc>
          <w:tcPr>
            <w:tcW w:w="238" w:type="pct"/>
            <w:tcBorders>
              <w:top w:val="single" w:sz="6" w:space="0" w:color="auto"/>
              <w:left w:val="single" w:sz="6" w:space="0" w:color="auto"/>
              <w:bottom w:val="single" w:sz="6" w:space="0" w:color="auto"/>
              <w:right w:val="single" w:sz="6" w:space="0" w:color="auto"/>
            </w:tcBorders>
          </w:tcPr>
          <w:p w:rsidR="00E65303" w:rsidRPr="00FA3856" w:rsidRDefault="00E65303" w:rsidP="00E65303">
            <w:pPr>
              <w:shd w:val="clear" w:color="auto" w:fill="FFFFFF"/>
              <w:rPr>
                <w:szCs w:val="20"/>
                <w:lang w:val="pt-PT"/>
              </w:rPr>
            </w:pPr>
            <w:r w:rsidRPr="00FA3856">
              <w:rPr>
                <w:szCs w:val="20"/>
                <w:lang w:val="pt-PT"/>
              </w:rPr>
              <w:t>Erro</w:t>
            </w:r>
          </w:p>
        </w:tc>
      </w:tr>
      <w:tr w:rsidR="00E65303" w:rsidRPr="00FA3856" w:rsidTr="00982029">
        <w:trPr>
          <w:jc w:val="center"/>
        </w:trPr>
        <w:tc>
          <w:tcPr>
            <w:tcW w:w="147" w:type="pct"/>
            <w:tcBorders>
              <w:top w:val="single" w:sz="6" w:space="0" w:color="auto"/>
              <w:left w:val="single" w:sz="6" w:space="0" w:color="auto"/>
              <w:bottom w:val="single" w:sz="6" w:space="0" w:color="auto"/>
              <w:right w:val="single" w:sz="6" w:space="0" w:color="auto"/>
            </w:tcBorders>
          </w:tcPr>
          <w:p w:rsidR="00E65303" w:rsidRPr="00FA3856" w:rsidRDefault="003E7B42" w:rsidP="00E65303">
            <w:pPr>
              <w:shd w:val="clear" w:color="auto" w:fill="FFFFFF"/>
              <w:jc w:val="center"/>
              <w:rPr>
                <w:b/>
                <w:szCs w:val="20"/>
                <w:lang w:val="pt-PT"/>
              </w:rPr>
            </w:pPr>
            <w:r w:rsidRPr="00FA3856">
              <w:rPr>
                <w:b/>
                <w:szCs w:val="20"/>
                <w:lang w:val="pt-PT"/>
              </w:rPr>
              <w:t>4</w:t>
            </w:r>
          </w:p>
        </w:tc>
        <w:tc>
          <w:tcPr>
            <w:tcW w:w="849" w:type="pct"/>
            <w:tcBorders>
              <w:top w:val="single" w:sz="6" w:space="0" w:color="auto"/>
              <w:left w:val="single" w:sz="6" w:space="0" w:color="auto"/>
              <w:bottom w:val="single" w:sz="6" w:space="0" w:color="auto"/>
              <w:right w:val="single" w:sz="6" w:space="0" w:color="auto"/>
            </w:tcBorders>
          </w:tcPr>
          <w:p w:rsidR="00E65303" w:rsidRPr="00FA3856" w:rsidRDefault="00794557" w:rsidP="00E65303">
            <w:pPr>
              <w:shd w:val="clear" w:color="auto" w:fill="FFFFFF"/>
              <w:rPr>
                <w:szCs w:val="20"/>
                <w:lang w:val="pt-PT"/>
              </w:rPr>
            </w:pPr>
            <w:r w:rsidRPr="00FA3856">
              <w:rPr>
                <w:color w:val="000000"/>
                <w:szCs w:val="20"/>
                <w:shd w:val="clear" w:color="auto" w:fill="FFFFFF"/>
                <w:lang w:val="pt-PT"/>
              </w:rPr>
              <w:t>VL_SLD</w:t>
            </w:r>
            <w:r w:rsidR="0094046A" w:rsidRPr="00FA3856">
              <w:rPr>
                <w:color w:val="000000"/>
                <w:szCs w:val="20"/>
                <w:shd w:val="clear" w:color="auto" w:fill="FFFFFF"/>
                <w:lang w:val="pt-PT"/>
              </w:rPr>
              <w:t>_FIN</w:t>
            </w:r>
          </w:p>
        </w:tc>
        <w:tc>
          <w:tcPr>
            <w:tcW w:w="3766" w:type="pct"/>
            <w:tcBorders>
              <w:top w:val="single" w:sz="6" w:space="0" w:color="auto"/>
              <w:left w:val="single" w:sz="6" w:space="0" w:color="auto"/>
              <w:bottom w:val="single" w:sz="6" w:space="0" w:color="auto"/>
              <w:right w:val="single" w:sz="6" w:space="0" w:color="auto"/>
            </w:tcBorders>
          </w:tcPr>
          <w:p w:rsidR="00630B9A" w:rsidRPr="00FA3856" w:rsidRDefault="007D0E74" w:rsidP="007F46B7">
            <w:pPr>
              <w:pStyle w:val="Corpodetexto"/>
              <w:rPr>
                <w:rStyle w:val="Hyperlink"/>
                <w:rFonts w:ascii="Times New Roman" w:hAnsi="Times New Roman"/>
                <w:color w:val="auto"/>
                <w:szCs w:val="20"/>
              </w:rPr>
            </w:pPr>
            <w:hyperlink w:anchor="REGRA_MAPEAMENTO_CTA_RES" w:history="1">
              <w:r w:rsidR="003E7B42" w:rsidRPr="00FA3856">
                <w:rPr>
                  <w:rStyle w:val="Hyperlink"/>
                  <w:rFonts w:ascii="Times New Roman" w:hAnsi="Times New Roman"/>
                  <w:b/>
                  <w:color w:val="auto"/>
                  <w:szCs w:val="20"/>
                </w:rPr>
                <w:t>REGRA_MAPEAMENTO</w:t>
              </w:r>
            </w:hyperlink>
            <w:r w:rsidR="00630B9A" w:rsidRPr="00FA3856">
              <w:rPr>
                <w:rStyle w:val="Hyperlink"/>
                <w:rFonts w:ascii="Times New Roman" w:hAnsi="Times New Roman"/>
                <w:b/>
                <w:color w:val="auto"/>
                <w:szCs w:val="20"/>
              </w:rPr>
              <w:t xml:space="preserve">: </w:t>
            </w:r>
            <w:r w:rsidR="00630B9A" w:rsidRPr="00FA3856">
              <w:rPr>
                <w:rStyle w:val="Hyperlink"/>
                <w:rFonts w:ascii="Times New Roman" w:hAnsi="Times New Roman"/>
                <w:color w:val="auto"/>
                <w:szCs w:val="20"/>
              </w:rPr>
              <w:t>Verifica se o soma</w:t>
            </w:r>
            <w:r w:rsidR="0094046A" w:rsidRPr="00FA3856">
              <w:rPr>
                <w:rStyle w:val="Hyperlink"/>
                <w:rFonts w:ascii="Times New Roman" w:hAnsi="Times New Roman"/>
                <w:color w:val="auto"/>
                <w:szCs w:val="20"/>
              </w:rPr>
              <w:t>tório de K356.VAL_CTA_REF_FIN</w:t>
            </w:r>
            <w:r w:rsidR="00794557" w:rsidRPr="00FA3856">
              <w:rPr>
                <w:rStyle w:val="Hyperlink"/>
                <w:rFonts w:ascii="Times New Roman" w:hAnsi="Times New Roman"/>
                <w:color w:val="auto"/>
                <w:szCs w:val="20"/>
              </w:rPr>
              <w:t xml:space="preserve"> </w:t>
            </w:r>
            <w:r w:rsidR="0094046A" w:rsidRPr="00FA3856">
              <w:rPr>
                <w:rStyle w:val="Hyperlink"/>
                <w:rFonts w:ascii="Times New Roman" w:hAnsi="Times New Roman"/>
                <w:color w:val="auto"/>
                <w:szCs w:val="20"/>
              </w:rPr>
              <w:t xml:space="preserve">é igual ao </w:t>
            </w:r>
            <w:r w:rsidR="00794557" w:rsidRPr="00FA3856">
              <w:rPr>
                <w:rStyle w:val="Hyperlink"/>
                <w:rFonts w:ascii="Times New Roman" w:hAnsi="Times New Roman"/>
                <w:color w:val="auto"/>
                <w:szCs w:val="20"/>
              </w:rPr>
              <w:t>K355</w:t>
            </w:r>
            <w:r w:rsidR="00B043A0" w:rsidRPr="00FA3856">
              <w:rPr>
                <w:rStyle w:val="Hyperlink"/>
                <w:rFonts w:ascii="Times New Roman" w:hAnsi="Times New Roman"/>
                <w:color w:val="auto"/>
                <w:szCs w:val="20"/>
              </w:rPr>
              <w:t>.</w:t>
            </w:r>
            <w:r w:rsidR="00794557" w:rsidRPr="00FA3856">
              <w:rPr>
                <w:rStyle w:val="Hyperlink"/>
                <w:rFonts w:ascii="Times New Roman" w:hAnsi="Times New Roman"/>
                <w:color w:val="auto"/>
                <w:szCs w:val="20"/>
              </w:rPr>
              <w:t>VL_SLD</w:t>
            </w:r>
            <w:r w:rsidR="0094046A" w:rsidRPr="00FA3856">
              <w:rPr>
                <w:rStyle w:val="Hyperlink"/>
                <w:rFonts w:ascii="Times New Roman" w:hAnsi="Times New Roman"/>
                <w:color w:val="auto"/>
                <w:szCs w:val="20"/>
              </w:rPr>
              <w:t>_FIN</w:t>
            </w:r>
            <w:r w:rsidR="00794557" w:rsidRPr="00FA3856">
              <w:rPr>
                <w:rStyle w:val="Hyperlink"/>
                <w:rFonts w:ascii="Times New Roman" w:hAnsi="Times New Roman"/>
                <w:color w:val="auto"/>
                <w:szCs w:val="20"/>
              </w:rPr>
              <w:t>.</w:t>
            </w:r>
          </w:p>
          <w:p w:rsidR="00794557" w:rsidRPr="00FA3856" w:rsidRDefault="00794557" w:rsidP="007F46B7">
            <w:pPr>
              <w:pStyle w:val="Corpodetexto"/>
              <w:rPr>
                <w:rFonts w:ascii="Times New Roman" w:hAnsi="Times New Roman"/>
                <w:color w:val="auto"/>
                <w:szCs w:val="20"/>
              </w:rPr>
            </w:pPr>
          </w:p>
        </w:tc>
        <w:tc>
          <w:tcPr>
            <w:tcW w:w="238" w:type="pct"/>
            <w:tcBorders>
              <w:top w:val="single" w:sz="6" w:space="0" w:color="auto"/>
              <w:left w:val="single" w:sz="6" w:space="0" w:color="auto"/>
              <w:bottom w:val="single" w:sz="6" w:space="0" w:color="auto"/>
              <w:right w:val="single" w:sz="6" w:space="0" w:color="auto"/>
            </w:tcBorders>
          </w:tcPr>
          <w:p w:rsidR="00E65303" w:rsidRPr="00FA3856" w:rsidRDefault="00FD6C6F" w:rsidP="00E65303">
            <w:pPr>
              <w:shd w:val="clear" w:color="auto" w:fill="FFFFFF"/>
              <w:rPr>
                <w:szCs w:val="20"/>
                <w:lang w:val="pt-PT"/>
              </w:rPr>
            </w:pPr>
            <w:r>
              <w:rPr>
                <w:szCs w:val="20"/>
                <w:lang w:val="pt-PT"/>
              </w:rPr>
              <w:t>Erro</w:t>
            </w:r>
          </w:p>
        </w:tc>
      </w:tr>
    </w:tbl>
    <w:p w:rsidR="00E65303" w:rsidRPr="00FA3856" w:rsidRDefault="00E65303" w:rsidP="00E65303">
      <w:pPr>
        <w:rPr>
          <w:szCs w:val="20"/>
        </w:rPr>
      </w:pPr>
    </w:p>
    <w:p w:rsidR="00342F1D" w:rsidRDefault="00B043A0" w:rsidP="00652594">
      <w:pPr>
        <w:pStyle w:val="Corpodetexto"/>
        <w:rPr>
          <w:rFonts w:ascii="Times New Roman" w:hAnsi="Times New Roman"/>
          <w:b/>
          <w:color w:val="002060"/>
          <w:szCs w:val="20"/>
        </w:rPr>
      </w:pPr>
      <w:r w:rsidRPr="00FA3856">
        <w:rPr>
          <w:rFonts w:ascii="Times New Roman" w:hAnsi="Times New Roman"/>
          <w:b/>
          <w:color w:val="002060"/>
          <w:szCs w:val="20"/>
        </w:rPr>
        <w:t xml:space="preserve">Exemplo de Preenchimento: </w:t>
      </w:r>
    </w:p>
    <w:p w:rsidR="00342F1D" w:rsidRDefault="00342F1D" w:rsidP="00652594">
      <w:pPr>
        <w:pStyle w:val="Corpodetexto"/>
        <w:rPr>
          <w:rFonts w:ascii="Times New Roman" w:hAnsi="Times New Roman"/>
          <w:b/>
          <w:color w:val="002060"/>
          <w:szCs w:val="20"/>
        </w:rPr>
      </w:pPr>
    </w:p>
    <w:p w:rsidR="00B043A0" w:rsidRPr="00FA3856" w:rsidRDefault="00B043A0" w:rsidP="00652594">
      <w:pPr>
        <w:pStyle w:val="Corpodetexto"/>
        <w:rPr>
          <w:rFonts w:ascii="Times New Roman" w:hAnsi="Times New Roman"/>
          <w:b/>
          <w:color w:val="002060"/>
          <w:szCs w:val="20"/>
        </w:rPr>
      </w:pPr>
      <w:r w:rsidRPr="00FA3856">
        <w:rPr>
          <w:rFonts w:ascii="Times New Roman" w:hAnsi="Times New Roman"/>
          <w:b/>
          <w:color w:val="002060"/>
          <w:szCs w:val="20"/>
        </w:rPr>
        <w:t>|K355|3.01.1234||5000,00|C|</w:t>
      </w:r>
    </w:p>
    <w:p w:rsidR="00652594" w:rsidRPr="00FA3856" w:rsidRDefault="00652594" w:rsidP="00B043A0">
      <w:pPr>
        <w:pStyle w:val="Corpodetexto"/>
        <w:ind w:firstLine="708"/>
        <w:rPr>
          <w:rFonts w:ascii="Times New Roman" w:hAnsi="Times New Roman"/>
          <w:color w:val="002060"/>
          <w:szCs w:val="20"/>
        </w:rPr>
      </w:pPr>
      <w:r w:rsidRPr="00FA3856">
        <w:rPr>
          <w:rFonts w:ascii="Times New Roman" w:hAnsi="Times New Roman"/>
          <w:color w:val="002060"/>
          <w:szCs w:val="20"/>
        </w:rPr>
        <w:t>|K355</w:t>
      </w:r>
      <w:r w:rsidR="00B043A0" w:rsidRPr="00FA3856">
        <w:rPr>
          <w:rFonts w:ascii="Times New Roman" w:hAnsi="Times New Roman"/>
          <w:color w:val="002060"/>
          <w:szCs w:val="20"/>
        </w:rPr>
        <w:t>|</w:t>
      </w:r>
      <w:r w:rsidRPr="00FA3856">
        <w:rPr>
          <w:rFonts w:ascii="Times New Roman" w:hAnsi="Times New Roman"/>
          <w:color w:val="002060"/>
          <w:szCs w:val="20"/>
        </w:rPr>
        <w:t>: Identificação do tipo do registro.</w:t>
      </w:r>
    </w:p>
    <w:p w:rsidR="00652594" w:rsidRPr="00FA3856" w:rsidRDefault="00652594" w:rsidP="00652594">
      <w:pPr>
        <w:pStyle w:val="Corpodetexto"/>
        <w:rPr>
          <w:rFonts w:ascii="Times New Roman" w:hAnsi="Times New Roman"/>
          <w:color w:val="002060"/>
          <w:szCs w:val="20"/>
        </w:rPr>
      </w:pPr>
      <w:r w:rsidRPr="00FA3856">
        <w:rPr>
          <w:rFonts w:ascii="Times New Roman" w:hAnsi="Times New Roman"/>
          <w:color w:val="002060"/>
          <w:szCs w:val="20"/>
        </w:rPr>
        <w:tab/>
        <w:t>|3.01.1234|: Código da conta analítica de resultado.</w:t>
      </w:r>
    </w:p>
    <w:p w:rsidR="00652594" w:rsidRPr="00FA3856" w:rsidRDefault="00652594" w:rsidP="00652594">
      <w:pPr>
        <w:pStyle w:val="Corpodetexto"/>
        <w:rPr>
          <w:rFonts w:ascii="Times New Roman" w:hAnsi="Times New Roman"/>
          <w:color w:val="002060"/>
          <w:szCs w:val="20"/>
        </w:rPr>
      </w:pPr>
      <w:r w:rsidRPr="00FA3856">
        <w:rPr>
          <w:rFonts w:ascii="Times New Roman" w:hAnsi="Times New Roman"/>
          <w:color w:val="002060"/>
          <w:szCs w:val="20"/>
        </w:rPr>
        <w:tab/>
        <w:t>||: Código do centro de custos (Não há).</w:t>
      </w:r>
    </w:p>
    <w:p w:rsidR="00652594" w:rsidRPr="00FA3856" w:rsidRDefault="00652594" w:rsidP="00652594">
      <w:pPr>
        <w:pStyle w:val="Corpodetexto"/>
        <w:rPr>
          <w:rFonts w:ascii="Times New Roman" w:hAnsi="Times New Roman"/>
          <w:color w:val="002060"/>
          <w:szCs w:val="20"/>
        </w:rPr>
      </w:pPr>
      <w:r w:rsidRPr="00FA3856">
        <w:rPr>
          <w:rFonts w:ascii="Times New Roman" w:hAnsi="Times New Roman"/>
          <w:color w:val="002060"/>
          <w:szCs w:val="20"/>
        </w:rPr>
        <w:tab/>
        <w:t>|5000,00|: Valor do saldo final da conta de resultado antes do encerramento (R$ 5.000,00).</w:t>
      </w:r>
    </w:p>
    <w:p w:rsidR="00652594" w:rsidRPr="00FA3856" w:rsidRDefault="00652594" w:rsidP="00652594">
      <w:pPr>
        <w:pStyle w:val="Corpodetexto"/>
        <w:rPr>
          <w:rFonts w:ascii="Times New Roman" w:hAnsi="Times New Roman"/>
          <w:color w:val="002060"/>
          <w:szCs w:val="20"/>
        </w:rPr>
      </w:pPr>
      <w:r w:rsidRPr="00FA3856">
        <w:rPr>
          <w:rFonts w:ascii="Times New Roman" w:hAnsi="Times New Roman"/>
          <w:color w:val="002060"/>
          <w:szCs w:val="20"/>
        </w:rPr>
        <w:tab/>
        <w:t>|C|: Indicador de situação do saldo final (C = Credor).</w:t>
      </w:r>
    </w:p>
    <w:p w:rsidR="00652594" w:rsidRPr="00FA3856" w:rsidRDefault="00652594" w:rsidP="00E65303">
      <w:pPr>
        <w:rPr>
          <w:szCs w:val="20"/>
        </w:rPr>
      </w:pPr>
    </w:p>
    <w:p w:rsidR="00982029" w:rsidRPr="00FA3856" w:rsidRDefault="00982029">
      <w:pPr>
        <w:rPr>
          <w:b/>
          <w:bCs/>
          <w:color w:val="0000FF"/>
          <w:szCs w:val="20"/>
        </w:rPr>
      </w:pPr>
      <w:r w:rsidRPr="00FA3856">
        <w:rPr>
          <w:color w:val="0000FF"/>
          <w:szCs w:val="20"/>
        </w:rPr>
        <w:br w:type="page"/>
      </w:r>
    </w:p>
    <w:p w:rsidR="00630B9A" w:rsidRPr="00FA3856" w:rsidRDefault="00630B9A" w:rsidP="00867F54">
      <w:pPr>
        <w:pStyle w:val="Ttulo4"/>
      </w:pPr>
      <w:bookmarkStart w:id="104" w:name="_Toc479713711"/>
      <w:r w:rsidRPr="00FA3856">
        <w:lastRenderedPageBreak/>
        <w:t>Registro K356: Mapeamento Referencial dos Saldos Finais das Contas Contábeis de Resultado Antes do Encerramento</w:t>
      </w:r>
      <w:bookmarkEnd w:id="104"/>
    </w:p>
    <w:p w:rsidR="00630B9A" w:rsidRPr="00FA3856" w:rsidRDefault="00630B9A" w:rsidP="00630B9A">
      <w:pPr>
        <w:jc w:val="both"/>
        <w:rPr>
          <w:szCs w:val="20"/>
        </w:rPr>
      </w:pPr>
    </w:p>
    <w:p w:rsidR="00630B9A" w:rsidRPr="00FA3856" w:rsidRDefault="00630B9A" w:rsidP="00630B9A">
      <w:pPr>
        <w:pStyle w:val="PSDS-MarcadoresNivel2"/>
        <w:numPr>
          <w:ilvl w:val="0"/>
          <w:numId w:val="0"/>
        </w:numPr>
        <w:tabs>
          <w:tab w:val="left" w:pos="720"/>
        </w:tabs>
        <w:spacing w:before="0" w:after="0"/>
        <w:jc w:val="both"/>
        <w:rPr>
          <w:rFonts w:ascii="Times New Roman" w:hAnsi="Times New Roman"/>
          <w:b w:val="0"/>
          <w:lang w:val="pt-PT"/>
        </w:rPr>
      </w:pPr>
      <w:r w:rsidRPr="00FA3856">
        <w:rPr>
          <w:rFonts w:ascii="Times New Roman" w:hAnsi="Times New Roman"/>
          <w:b w:val="0"/>
          <w:lang w:val="pt-PT"/>
        </w:rPr>
        <w:tab/>
        <w:t>Registro onde devem ser mapeados, por conta referencial, os saldo finais de todas as contas de resultado da escrituração societária da pessoa jurídica nos respectivos períodos de apuração. Poderá ser preenchido das seguintes formas:</w:t>
      </w:r>
    </w:p>
    <w:p w:rsidR="00630B9A" w:rsidRPr="00FA3856" w:rsidRDefault="00630B9A" w:rsidP="00630B9A">
      <w:pPr>
        <w:pStyle w:val="PSDS-MarcadoresNivel2"/>
        <w:numPr>
          <w:ilvl w:val="0"/>
          <w:numId w:val="0"/>
        </w:numPr>
        <w:tabs>
          <w:tab w:val="left" w:pos="720"/>
        </w:tabs>
        <w:spacing w:before="0" w:after="0"/>
        <w:rPr>
          <w:rFonts w:ascii="Times New Roman" w:hAnsi="Times New Roman"/>
          <w:b w:val="0"/>
          <w:lang w:val="pt-PT"/>
        </w:rPr>
      </w:pPr>
    </w:p>
    <w:p w:rsidR="00630B9A" w:rsidRPr="00FA3856" w:rsidRDefault="00630B9A" w:rsidP="00630B9A">
      <w:pPr>
        <w:pStyle w:val="PSDS-CorpodeTexto0"/>
        <w:ind w:firstLine="708"/>
        <w:rPr>
          <w:rFonts w:ascii="Times New Roman" w:hAnsi="Times New Roman"/>
        </w:rPr>
      </w:pPr>
      <w:r w:rsidRPr="00FA3856">
        <w:rPr>
          <w:rFonts w:ascii="Times New Roman" w:hAnsi="Times New Roman"/>
        </w:rPr>
        <w:t>- Edição pelo programa da ECF;</w:t>
      </w:r>
    </w:p>
    <w:p w:rsidR="00630B9A" w:rsidRPr="00FA3856" w:rsidRDefault="00630B9A" w:rsidP="00630B9A">
      <w:pPr>
        <w:pStyle w:val="PSDS-CorpodeTexto0"/>
        <w:ind w:firstLine="708"/>
        <w:rPr>
          <w:rFonts w:ascii="Times New Roman" w:hAnsi="Times New Roman"/>
        </w:rPr>
      </w:pPr>
    </w:p>
    <w:p w:rsidR="00630B9A" w:rsidRPr="00FA3856" w:rsidRDefault="00630B9A" w:rsidP="00630B9A">
      <w:pPr>
        <w:pStyle w:val="PSDS-CorpodeTexto0"/>
        <w:ind w:firstLine="708"/>
        <w:rPr>
          <w:rFonts w:ascii="Times New Roman" w:hAnsi="Times New Roman"/>
        </w:rPr>
      </w:pPr>
      <w:r w:rsidRPr="00FA3856">
        <w:rPr>
          <w:rFonts w:ascii="Times New Roman" w:hAnsi="Times New Roman"/>
        </w:rPr>
        <w:t>- Calculado pelo sistema através da funcionalidade de recuperar ECD; e</w:t>
      </w:r>
    </w:p>
    <w:p w:rsidR="00630B9A" w:rsidRPr="00FA3856" w:rsidRDefault="00630B9A" w:rsidP="00630B9A">
      <w:pPr>
        <w:pStyle w:val="PSDS-CorpodeTexto0"/>
        <w:ind w:firstLine="708"/>
        <w:rPr>
          <w:rFonts w:ascii="Times New Roman" w:hAnsi="Times New Roman"/>
        </w:rPr>
      </w:pPr>
    </w:p>
    <w:p w:rsidR="00630B9A" w:rsidRPr="00FA3856" w:rsidRDefault="00630B9A" w:rsidP="00630B9A">
      <w:pPr>
        <w:pStyle w:val="PSDS-CorpodeTexto0"/>
        <w:ind w:firstLine="708"/>
        <w:rPr>
          <w:rFonts w:ascii="Times New Roman" w:hAnsi="Times New Roman"/>
          <w:lang w:val="pt-PT"/>
        </w:rPr>
      </w:pPr>
      <w:r w:rsidRPr="00FA3856">
        <w:rPr>
          <w:rFonts w:ascii="Times New Roman" w:hAnsi="Times New Roman"/>
        </w:rPr>
        <w:t>- Importado de arquivo digital.</w:t>
      </w:r>
      <w:r w:rsidRPr="00FA3856">
        <w:rPr>
          <w:rFonts w:ascii="Times New Roman" w:hAnsi="Times New Roman"/>
          <w:lang w:val="pt-PT"/>
        </w:rPr>
        <w:t xml:space="preserve"> </w:t>
      </w:r>
    </w:p>
    <w:p w:rsidR="00B043A0" w:rsidRPr="00FA3856" w:rsidRDefault="00B043A0" w:rsidP="00630B9A">
      <w:pPr>
        <w:pStyle w:val="PSDS-CorpodeTexto0"/>
        <w:ind w:firstLine="708"/>
        <w:rPr>
          <w:rFonts w:ascii="Times New Roman" w:hAnsi="Times New Roman"/>
          <w:lang w:val="pt-PT"/>
        </w:rPr>
      </w:pPr>
    </w:p>
    <w:p w:rsidR="00B043A0" w:rsidRPr="00FA3856" w:rsidRDefault="00B043A0" w:rsidP="00B043A0">
      <w:pPr>
        <w:pStyle w:val="PSDS-CorpodeTexto0"/>
        <w:ind w:firstLine="708"/>
        <w:jc w:val="both"/>
        <w:rPr>
          <w:rFonts w:ascii="Times New Roman" w:hAnsi="Times New Roman"/>
        </w:rPr>
      </w:pPr>
      <w:r w:rsidRPr="00FA3856">
        <w:rPr>
          <w:rFonts w:ascii="Times New Roman" w:hAnsi="Times New Roman"/>
          <w:b/>
        </w:rPr>
        <w:t xml:space="preserve">Observação: </w:t>
      </w:r>
      <w:r w:rsidRPr="00FA3856">
        <w:rPr>
          <w:rFonts w:ascii="Times New Roman" w:hAnsi="Times New Roman"/>
        </w:rPr>
        <w:t xml:space="preserve">Se houver somente uma conta referencial no registro J051 mapeada a partir de uma conta contábil (plano de contas da pessoa jurídica), o próprio sistema preencherá o registro K356 (mapeamento de </w:t>
      </w:r>
      <w:r w:rsidR="00E00235" w:rsidRPr="00FA3856">
        <w:rPr>
          <w:rFonts w:ascii="Times New Roman" w:hAnsi="Times New Roman"/>
        </w:rPr>
        <w:t>uma conta contábil</w:t>
      </w:r>
      <w:r w:rsidRPr="00FA3856">
        <w:rPr>
          <w:rFonts w:ascii="Times New Roman" w:hAnsi="Times New Roman"/>
        </w:rPr>
        <w:t xml:space="preserve"> para uma conta referencial). Caso contrário, ou seja, a conta contábil foi mapeada para mais de uma conta referencial, o registro K356 deverá ser preenchido pela pessoa jurídica.</w:t>
      </w:r>
    </w:p>
    <w:p w:rsidR="0009776D" w:rsidRDefault="0009776D">
      <w:pPr>
        <w:spacing w:after="200" w:line="276" w:lineRule="auto"/>
        <w:rPr>
          <w:b/>
          <w:szCs w:val="20"/>
        </w:rPr>
      </w:pPr>
    </w:p>
    <w:p w:rsidR="00794557" w:rsidRPr="00FA3856" w:rsidRDefault="00B35FA3" w:rsidP="0009776D">
      <w:pPr>
        <w:spacing w:after="200" w:line="276" w:lineRule="auto"/>
        <w:jc w:val="center"/>
        <w:rPr>
          <w:b/>
          <w:szCs w:val="20"/>
          <w:lang w:eastAsia="ar-SA"/>
        </w:rPr>
      </w:pPr>
      <w:r>
        <w:rPr>
          <w:b/>
          <w:szCs w:val="20"/>
        </w:rPr>
        <w:object w:dxaOrig="13800" w:dyaOrig="4200">
          <v:shape id="_x0000_i1650" type="#_x0000_t75" style="width:685.5pt;height:208.5pt" o:ole="">
            <v:imagedata r:id="rId208" o:title=""/>
          </v:shape>
          <o:OLEObject Type="Link" ProgID="Excel.Sheet.12" ShapeID="_x0000_i1650" DrawAspect="Content" r:id="rId209" UpdateMode="Always">
            <o:LinkType>EnhancedMetaFile</o:LinkType>
            <o:LockedField>false</o:LockedField>
          </o:OLEObject>
        </w:object>
      </w:r>
      <w:r w:rsidR="00794557" w:rsidRPr="00FA3856">
        <w:rPr>
          <w:b/>
          <w:szCs w:val="20"/>
        </w:rPr>
        <w:br w:type="page"/>
      </w:r>
    </w:p>
    <w:p w:rsidR="003E28BC" w:rsidRPr="00FA3856" w:rsidRDefault="003E28BC" w:rsidP="003E28BC">
      <w:pPr>
        <w:pStyle w:val="Corpodetexto"/>
        <w:rPr>
          <w:rFonts w:ascii="Times New Roman" w:hAnsi="Times New Roman"/>
          <w:b/>
          <w:color w:val="auto"/>
          <w:szCs w:val="20"/>
        </w:rPr>
      </w:pPr>
      <w:r w:rsidRPr="00FA3856">
        <w:rPr>
          <w:rFonts w:ascii="Times New Roman" w:hAnsi="Times New Roman"/>
          <w:b/>
          <w:color w:val="auto"/>
          <w:szCs w:val="20"/>
        </w:rPr>
        <w:lastRenderedPageBreak/>
        <w:t xml:space="preserve">I - Regras de Validação de Campos: </w:t>
      </w:r>
    </w:p>
    <w:p w:rsidR="00794557" w:rsidRPr="00FA3856" w:rsidRDefault="00794557" w:rsidP="003E28BC">
      <w:pPr>
        <w:pStyle w:val="Corpodetexto"/>
        <w:rPr>
          <w:rFonts w:ascii="Times New Roman" w:hAnsi="Times New Roman"/>
          <w:color w:val="auto"/>
          <w:szCs w:val="20"/>
        </w:rPr>
      </w:pPr>
    </w:p>
    <w:tbl>
      <w:tblPr>
        <w:tblW w:w="5000" w:type="pct"/>
        <w:jc w:val="center"/>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477"/>
        <w:gridCol w:w="2474"/>
        <w:gridCol w:w="12529"/>
        <w:gridCol w:w="774"/>
      </w:tblGrid>
      <w:tr w:rsidR="003E28BC" w:rsidRPr="00FA3856" w:rsidTr="00C32A8D">
        <w:trPr>
          <w:jc w:val="center"/>
        </w:trPr>
        <w:tc>
          <w:tcPr>
            <w:tcW w:w="147" w:type="pct"/>
            <w:tcBorders>
              <w:top w:val="single" w:sz="6" w:space="0" w:color="auto"/>
              <w:left w:val="single" w:sz="6" w:space="0" w:color="auto"/>
              <w:bottom w:val="single" w:sz="6" w:space="0" w:color="auto"/>
              <w:right w:val="single" w:sz="6" w:space="0" w:color="auto"/>
            </w:tcBorders>
            <w:shd w:val="pct10" w:color="auto" w:fill="FFFFFF"/>
            <w:vAlign w:val="center"/>
          </w:tcPr>
          <w:p w:rsidR="003E28BC" w:rsidRPr="00FA3856" w:rsidRDefault="003E28BC" w:rsidP="00C32A8D">
            <w:pPr>
              <w:pStyle w:val="PSDS-CorpodeTexto0"/>
              <w:jc w:val="center"/>
              <w:rPr>
                <w:rFonts w:ascii="Times New Roman" w:hAnsi="Times New Roman"/>
                <w:b/>
                <w:bCs/>
              </w:rPr>
            </w:pPr>
            <w:r w:rsidRPr="00FA3856">
              <w:rPr>
                <w:rFonts w:ascii="Times New Roman" w:hAnsi="Times New Roman"/>
                <w:b/>
                <w:bCs/>
              </w:rPr>
              <w:t>Nº</w:t>
            </w:r>
          </w:p>
        </w:tc>
        <w:tc>
          <w:tcPr>
            <w:tcW w:w="761" w:type="pct"/>
            <w:tcBorders>
              <w:top w:val="single" w:sz="6" w:space="0" w:color="auto"/>
              <w:left w:val="single" w:sz="6" w:space="0" w:color="auto"/>
              <w:bottom w:val="single" w:sz="6" w:space="0" w:color="auto"/>
              <w:right w:val="single" w:sz="6" w:space="0" w:color="auto"/>
            </w:tcBorders>
            <w:shd w:val="pct10" w:color="auto" w:fill="FFFFFF"/>
            <w:vAlign w:val="center"/>
          </w:tcPr>
          <w:p w:rsidR="003E28BC" w:rsidRPr="00FA3856" w:rsidRDefault="003E28BC" w:rsidP="00C32A8D">
            <w:pPr>
              <w:pStyle w:val="PSDS-CorpodeTexto0"/>
              <w:jc w:val="center"/>
              <w:rPr>
                <w:rFonts w:ascii="Times New Roman" w:hAnsi="Times New Roman"/>
                <w:b/>
                <w:bCs/>
              </w:rPr>
            </w:pPr>
            <w:r w:rsidRPr="00FA3856">
              <w:rPr>
                <w:rFonts w:ascii="Times New Roman" w:hAnsi="Times New Roman"/>
                <w:b/>
                <w:bCs/>
              </w:rPr>
              <w:t>Campo</w:t>
            </w:r>
          </w:p>
        </w:tc>
        <w:tc>
          <w:tcPr>
            <w:tcW w:w="3854" w:type="pct"/>
            <w:tcBorders>
              <w:top w:val="single" w:sz="6" w:space="0" w:color="auto"/>
              <w:left w:val="single" w:sz="6" w:space="0" w:color="auto"/>
              <w:bottom w:val="single" w:sz="6" w:space="0" w:color="auto"/>
              <w:right w:val="single" w:sz="6" w:space="0" w:color="auto"/>
            </w:tcBorders>
            <w:shd w:val="pct10" w:color="auto" w:fill="FFFFFF"/>
          </w:tcPr>
          <w:p w:rsidR="003E28BC" w:rsidRPr="00FA3856" w:rsidRDefault="003E28BC" w:rsidP="00C32A8D">
            <w:pPr>
              <w:pStyle w:val="PSDS-CorpodeTexto0"/>
              <w:jc w:val="center"/>
              <w:rPr>
                <w:rFonts w:ascii="Times New Roman" w:hAnsi="Times New Roman"/>
                <w:b/>
                <w:bCs/>
              </w:rPr>
            </w:pPr>
            <w:r w:rsidRPr="00FA3856">
              <w:rPr>
                <w:rFonts w:ascii="Times New Roman" w:hAnsi="Times New Roman"/>
                <w:b/>
                <w:bCs/>
              </w:rPr>
              <w:t>Regras de validação do campo</w:t>
            </w:r>
          </w:p>
        </w:tc>
        <w:tc>
          <w:tcPr>
            <w:tcW w:w="238" w:type="pct"/>
            <w:tcBorders>
              <w:top w:val="single" w:sz="6" w:space="0" w:color="auto"/>
              <w:left w:val="single" w:sz="6" w:space="0" w:color="auto"/>
              <w:bottom w:val="single" w:sz="6" w:space="0" w:color="auto"/>
              <w:right w:val="single" w:sz="6" w:space="0" w:color="auto"/>
            </w:tcBorders>
            <w:shd w:val="pct10" w:color="auto" w:fill="FFFFFF"/>
            <w:vAlign w:val="center"/>
          </w:tcPr>
          <w:p w:rsidR="003E28BC" w:rsidRPr="00FA3856" w:rsidRDefault="003E28BC" w:rsidP="00C32A8D">
            <w:pPr>
              <w:pStyle w:val="PSDS-CorpodeTexto0"/>
              <w:jc w:val="center"/>
              <w:rPr>
                <w:rFonts w:ascii="Times New Roman" w:hAnsi="Times New Roman"/>
                <w:b/>
                <w:bCs/>
              </w:rPr>
            </w:pPr>
            <w:r w:rsidRPr="00FA3856">
              <w:rPr>
                <w:rFonts w:ascii="Times New Roman" w:hAnsi="Times New Roman"/>
                <w:b/>
                <w:bCs/>
              </w:rPr>
              <w:t>Tipo</w:t>
            </w:r>
          </w:p>
        </w:tc>
      </w:tr>
      <w:tr w:rsidR="003E28BC" w:rsidRPr="00FA3856" w:rsidTr="00DB03FC">
        <w:trPr>
          <w:jc w:val="center"/>
        </w:trPr>
        <w:tc>
          <w:tcPr>
            <w:tcW w:w="147" w:type="pct"/>
            <w:tcBorders>
              <w:top w:val="single" w:sz="6" w:space="0" w:color="auto"/>
              <w:left w:val="single" w:sz="6" w:space="0" w:color="auto"/>
              <w:bottom w:val="single" w:sz="6" w:space="0" w:color="auto"/>
              <w:right w:val="single" w:sz="6" w:space="0" w:color="auto"/>
            </w:tcBorders>
          </w:tcPr>
          <w:p w:rsidR="003E28BC" w:rsidRPr="00FA3856" w:rsidRDefault="003E28BC" w:rsidP="00C32A8D">
            <w:pPr>
              <w:shd w:val="clear" w:color="auto" w:fill="FFFFFF"/>
              <w:jc w:val="center"/>
              <w:rPr>
                <w:b/>
                <w:szCs w:val="20"/>
                <w:lang w:val="es-ES_tradnl"/>
              </w:rPr>
            </w:pPr>
            <w:r w:rsidRPr="00FA3856">
              <w:rPr>
                <w:b/>
                <w:szCs w:val="20"/>
                <w:lang w:val="es-ES_tradnl"/>
              </w:rPr>
              <w:t>2</w:t>
            </w:r>
          </w:p>
        </w:tc>
        <w:tc>
          <w:tcPr>
            <w:tcW w:w="761" w:type="pct"/>
            <w:tcBorders>
              <w:top w:val="single" w:sz="6" w:space="0" w:color="auto"/>
              <w:left w:val="single" w:sz="6" w:space="0" w:color="auto"/>
              <w:bottom w:val="single" w:sz="6" w:space="0" w:color="auto"/>
              <w:right w:val="single" w:sz="6" w:space="0" w:color="auto"/>
            </w:tcBorders>
          </w:tcPr>
          <w:p w:rsidR="003E28BC" w:rsidRPr="00FA3856" w:rsidRDefault="003E28BC" w:rsidP="00C32A8D">
            <w:pPr>
              <w:shd w:val="clear" w:color="auto" w:fill="FFFFFF"/>
              <w:rPr>
                <w:szCs w:val="20"/>
                <w:lang w:val="es-ES_tradnl"/>
              </w:rPr>
            </w:pPr>
            <w:r w:rsidRPr="00FA3856">
              <w:rPr>
                <w:szCs w:val="20"/>
                <w:lang w:val="es-ES_tradnl"/>
              </w:rPr>
              <w:t>COD_CTA_REF</w:t>
            </w:r>
          </w:p>
          <w:p w:rsidR="003E28BC" w:rsidRPr="00FA3856" w:rsidRDefault="003E28BC" w:rsidP="00C32A8D">
            <w:pPr>
              <w:shd w:val="clear" w:color="auto" w:fill="FFFFFF"/>
              <w:rPr>
                <w:szCs w:val="20"/>
                <w:lang w:val="es-ES_tradnl"/>
              </w:rPr>
            </w:pPr>
          </w:p>
        </w:tc>
        <w:tc>
          <w:tcPr>
            <w:tcW w:w="3854" w:type="pct"/>
            <w:tcBorders>
              <w:top w:val="single" w:sz="6" w:space="0" w:color="auto"/>
              <w:left w:val="single" w:sz="6" w:space="0" w:color="auto"/>
              <w:bottom w:val="single" w:sz="6" w:space="0" w:color="auto"/>
              <w:right w:val="single" w:sz="6" w:space="0" w:color="auto"/>
            </w:tcBorders>
          </w:tcPr>
          <w:p w:rsidR="003E28BC" w:rsidRPr="00FA3856" w:rsidRDefault="007D0E74" w:rsidP="00C32A8D">
            <w:pPr>
              <w:pStyle w:val="Corpodetexto"/>
              <w:rPr>
                <w:rStyle w:val="Hyperlink"/>
                <w:rFonts w:ascii="Times New Roman" w:hAnsi="Times New Roman"/>
                <w:color w:val="auto"/>
                <w:szCs w:val="20"/>
              </w:rPr>
            </w:pPr>
            <w:hyperlink w:anchor="REGRA_CTA_REF_MAPEADA" w:history="1">
              <w:r w:rsidR="003E28BC" w:rsidRPr="00FA3856">
                <w:rPr>
                  <w:rStyle w:val="Hyperlink"/>
                  <w:rFonts w:ascii="Times New Roman" w:hAnsi="Times New Roman"/>
                  <w:b/>
                  <w:color w:val="auto"/>
                  <w:szCs w:val="20"/>
                </w:rPr>
                <w:t>REGRA_CTA_REF_MAPEADA_J051</w:t>
              </w:r>
            </w:hyperlink>
            <w:r w:rsidR="003E28BC" w:rsidRPr="00FA3856">
              <w:rPr>
                <w:rStyle w:val="Hyperlink"/>
                <w:rFonts w:ascii="Times New Roman" w:hAnsi="Times New Roman"/>
                <w:b/>
                <w:color w:val="auto"/>
                <w:szCs w:val="20"/>
              </w:rPr>
              <w:t xml:space="preserve">: </w:t>
            </w:r>
            <w:r w:rsidR="003E28BC" w:rsidRPr="00FA3856">
              <w:rPr>
                <w:rStyle w:val="Hyperlink"/>
                <w:rFonts w:ascii="Times New Roman" w:hAnsi="Times New Roman"/>
                <w:color w:val="auto"/>
                <w:szCs w:val="20"/>
              </w:rPr>
              <w:t xml:space="preserve">Verifica se o </w:t>
            </w:r>
            <w:r w:rsidR="00794557" w:rsidRPr="00FA3856">
              <w:rPr>
                <w:rStyle w:val="Hyperlink"/>
                <w:rFonts w:ascii="Times New Roman" w:hAnsi="Times New Roman"/>
                <w:color w:val="auto"/>
                <w:szCs w:val="20"/>
              </w:rPr>
              <w:t xml:space="preserve">K356.COD_CTA_REF </w:t>
            </w:r>
            <w:r w:rsidR="003E28BC" w:rsidRPr="00FA3856">
              <w:rPr>
                <w:rStyle w:val="Hyperlink"/>
                <w:rFonts w:ascii="Times New Roman" w:hAnsi="Times New Roman"/>
                <w:color w:val="auto"/>
                <w:szCs w:val="20"/>
              </w:rPr>
              <w:t>informado, foi utilizado no registro J051.</w:t>
            </w:r>
          </w:p>
          <w:p w:rsidR="00982029" w:rsidRPr="00FA3856" w:rsidRDefault="00982029" w:rsidP="00C32A8D">
            <w:pPr>
              <w:pStyle w:val="Corpodetexto"/>
              <w:rPr>
                <w:rFonts w:ascii="Times New Roman" w:hAnsi="Times New Roman"/>
                <w:color w:val="auto"/>
                <w:szCs w:val="20"/>
              </w:rPr>
            </w:pPr>
          </w:p>
        </w:tc>
        <w:tc>
          <w:tcPr>
            <w:tcW w:w="238" w:type="pct"/>
            <w:tcBorders>
              <w:top w:val="single" w:sz="6" w:space="0" w:color="auto"/>
              <w:left w:val="single" w:sz="6" w:space="0" w:color="auto"/>
              <w:bottom w:val="single" w:sz="6" w:space="0" w:color="auto"/>
              <w:right w:val="single" w:sz="6" w:space="0" w:color="auto"/>
            </w:tcBorders>
          </w:tcPr>
          <w:p w:rsidR="003E28BC" w:rsidRPr="00FA3856" w:rsidRDefault="003E28BC" w:rsidP="00C32A8D">
            <w:pPr>
              <w:shd w:val="clear" w:color="auto" w:fill="FFFFFF"/>
              <w:rPr>
                <w:szCs w:val="20"/>
                <w:lang w:val="pt-PT"/>
              </w:rPr>
            </w:pPr>
            <w:r w:rsidRPr="00FA3856">
              <w:rPr>
                <w:szCs w:val="20"/>
                <w:lang w:val="pt-PT"/>
              </w:rPr>
              <w:t>Erro</w:t>
            </w:r>
          </w:p>
          <w:p w:rsidR="00982029" w:rsidRPr="00FA3856" w:rsidRDefault="00982029" w:rsidP="00C32A8D">
            <w:pPr>
              <w:shd w:val="clear" w:color="auto" w:fill="FFFFFF"/>
              <w:rPr>
                <w:szCs w:val="20"/>
                <w:lang w:val="pt-PT"/>
              </w:rPr>
            </w:pPr>
          </w:p>
        </w:tc>
      </w:tr>
    </w:tbl>
    <w:p w:rsidR="00794557" w:rsidRPr="00FA3856" w:rsidRDefault="00794557" w:rsidP="00652594">
      <w:pPr>
        <w:pStyle w:val="Corpodetexto"/>
        <w:rPr>
          <w:rFonts w:ascii="Times New Roman" w:hAnsi="Times New Roman"/>
          <w:b/>
          <w:color w:val="002060"/>
          <w:szCs w:val="20"/>
        </w:rPr>
      </w:pPr>
    </w:p>
    <w:p w:rsidR="00342F1D" w:rsidRDefault="00DB03FC" w:rsidP="00652594">
      <w:pPr>
        <w:pStyle w:val="Corpodetexto"/>
        <w:rPr>
          <w:rFonts w:ascii="Times New Roman" w:hAnsi="Times New Roman"/>
          <w:b/>
          <w:color w:val="002060"/>
          <w:szCs w:val="20"/>
        </w:rPr>
      </w:pPr>
      <w:r w:rsidRPr="00FA3856">
        <w:rPr>
          <w:rFonts w:ascii="Times New Roman" w:hAnsi="Times New Roman"/>
          <w:b/>
          <w:color w:val="002060"/>
          <w:szCs w:val="20"/>
        </w:rPr>
        <w:t xml:space="preserve">Exemplo de Preenchimento: </w:t>
      </w:r>
    </w:p>
    <w:p w:rsidR="00342F1D" w:rsidRDefault="00342F1D" w:rsidP="00652594">
      <w:pPr>
        <w:pStyle w:val="Corpodetexto"/>
        <w:rPr>
          <w:rFonts w:ascii="Times New Roman" w:hAnsi="Times New Roman"/>
          <w:b/>
          <w:color w:val="002060"/>
          <w:szCs w:val="20"/>
        </w:rPr>
      </w:pPr>
    </w:p>
    <w:p w:rsidR="00652594" w:rsidRPr="00FA3856" w:rsidRDefault="00652594" w:rsidP="00652594">
      <w:pPr>
        <w:pStyle w:val="Corpodetexto"/>
        <w:rPr>
          <w:rFonts w:ascii="Times New Roman" w:hAnsi="Times New Roman"/>
          <w:b/>
          <w:color w:val="002060"/>
          <w:szCs w:val="20"/>
        </w:rPr>
      </w:pPr>
      <w:r w:rsidRPr="00FA3856">
        <w:rPr>
          <w:rFonts w:ascii="Times New Roman" w:hAnsi="Times New Roman"/>
          <w:b/>
          <w:color w:val="002060"/>
          <w:szCs w:val="20"/>
        </w:rPr>
        <w:t>|K356|3.01.01.01.01.01|5000,00|C|</w:t>
      </w:r>
    </w:p>
    <w:p w:rsidR="00652594" w:rsidRPr="00FA3856" w:rsidRDefault="00652594" w:rsidP="00652594">
      <w:pPr>
        <w:pStyle w:val="Corpodetexto"/>
        <w:rPr>
          <w:rFonts w:ascii="Times New Roman" w:hAnsi="Times New Roman"/>
          <w:color w:val="002060"/>
          <w:szCs w:val="20"/>
        </w:rPr>
      </w:pPr>
      <w:r w:rsidRPr="00FA3856">
        <w:rPr>
          <w:rFonts w:ascii="Times New Roman" w:hAnsi="Times New Roman"/>
          <w:b/>
          <w:color w:val="002060"/>
          <w:szCs w:val="20"/>
        </w:rPr>
        <w:tab/>
      </w:r>
      <w:r w:rsidRPr="00FA3856">
        <w:rPr>
          <w:rFonts w:ascii="Times New Roman" w:hAnsi="Times New Roman"/>
          <w:color w:val="002060"/>
          <w:szCs w:val="20"/>
        </w:rPr>
        <w:t>|K356|: Identificação do tipo do registro.</w:t>
      </w:r>
    </w:p>
    <w:p w:rsidR="00652594" w:rsidRPr="00FA3856" w:rsidRDefault="00652594" w:rsidP="00652594">
      <w:pPr>
        <w:pStyle w:val="Corpodetexto"/>
        <w:rPr>
          <w:rFonts w:ascii="Times New Roman" w:hAnsi="Times New Roman"/>
          <w:color w:val="002060"/>
          <w:szCs w:val="20"/>
        </w:rPr>
      </w:pPr>
      <w:r w:rsidRPr="00FA3856">
        <w:rPr>
          <w:rFonts w:ascii="Times New Roman" w:hAnsi="Times New Roman"/>
          <w:color w:val="002060"/>
          <w:szCs w:val="20"/>
        </w:rPr>
        <w:tab/>
        <w:t>|3.01.01.01.01.01|: Código da conta referencial (3.01.01.01.01.01 = Receita de Exportação Direta de Mercadorias e Produtos).</w:t>
      </w:r>
    </w:p>
    <w:p w:rsidR="00652594" w:rsidRPr="00FA3856" w:rsidRDefault="00652594" w:rsidP="00652594">
      <w:pPr>
        <w:pStyle w:val="Corpodetexto"/>
        <w:rPr>
          <w:rFonts w:ascii="Times New Roman" w:hAnsi="Times New Roman"/>
          <w:color w:val="002060"/>
          <w:szCs w:val="20"/>
        </w:rPr>
      </w:pPr>
      <w:r w:rsidRPr="00FA3856">
        <w:rPr>
          <w:rFonts w:ascii="Times New Roman" w:hAnsi="Times New Roman"/>
          <w:color w:val="002060"/>
          <w:szCs w:val="20"/>
        </w:rPr>
        <w:tab/>
        <w:t>|5000,00|: Valor do final mapeado (R$ 5.000,00).</w:t>
      </w:r>
    </w:p>
    <w:p w:rsidR="00652594" w:rsidRPr="00FA3856" w:rsidRDefault="00652594" w:rsidP="00652594">
      <w:pPr>
        <w:pStyle w:val="Corpodetexto"/>
        <w:rPr>
          <w:rFonts w:ascii="Times New Roman" w:hAnsi="Times New Roman"/>
          <w:color w:val="002060"/>
          <w:szCs w:val="20"/>
        </w:rPr>
      </w:pPr>
      <w:r w:rsidRPr="00FA3856">
        <w:rPr>
          <w:rFonts w:ascii="Times New Roman" w:hAnsi="Times New Roman"/>
          <w:color w:val="002060"/>
          <w:szCs w:val="20"/>
        </w:rPr>
        <w:tab/>
        <w:t>|C|: Indicador da situação do saldo final (C = Credor).</w:t>
      </w:r>
    </w:p>
    <w:p w:rsidR="00652594" w:rsidRPr="00FA3856" w:rsidRDefault="00652594" w:rsidP="00E406F0">
      <w:pPr>
        <w:rPr>
          <w:szCs w:val="20"/>
        </w:rPr>
      </w:pPr>
    </w:p>
    <w:p w:rsidR="00DB03FC" w:rsidRPr="00FA3856" w:rsidRDefault="00DB03FC">
      <w:pPr>
        <w:spacing w:after="200" w:line="276" w:lineRule="auto"/>
        <w:rPr>
          <w:b/>
          <w:bCs/>
          <w:color w:val="0000FF"/>
          <w:szCs w:val="20"/>
        </w:rPr>
      </w:pPr>
      <w:r w:rsidRPr="00FA3856">
        <w:rPr>
          <w:color w:val="0000FF"/>
          <w:szCs w:val="20"/>
        </w:rPr>
        <w:br w:type="page"/>
      </w:r>
    </w:p>
    <w:p w:rsidR="00515675" w:rsidRPr="00FA3856" w:rsidRDefault="00515675" w:rsidP="00867F54">
      <w:pPr>
        <w:pStyle w:val="Ttulo4"/>
      </w:pPr>
      <w:bookmarkStart w:id="105" w:name="_Toc479713712"/>
      <w:r w:rsidRPr="00FA3856">
        <w:lastRenderedPageBreak/>
        <w:t>Registro K990: Encerramento do Bloco K</w:t>
      </w:r>
      <w:bookmarkEnd w:id="105"/>
    </w:p>
    <w:p w:rsidR="0009776D" w:rsidRDefault="0009776D" w:rsidP="007F6CEC">
      <w:pPr>
        <w:pStyle w:val="Corpodetexto"/>
        <w:rPr>
          <w:rFonts w:ascii="Times New Roman" w:hAnsi="Times New Roman"/>
          <w:b/>
          <w:color w:val="002060"/>
          <w:szCs w:val="20"/>
        </w:rPr>
      </w:pPr>
    </w:p>
    <w:p w:rsidR="0009776D" w:rsidRDefault="00B35FA3" w:rsidP="0009776D">
      <w:pPr>
        <w:pStyle w:val="Corpodetexto"/>
        <w:jc w:val="center"/>
        <w:rPr>
          <w:rFonts w:ascii="Times New Roman" w:hAnsi="Times New Roman"/>
          <w:b/>
          <w:color w:val="002060"/>
          <w:szCs w:val="20"/>
        </w:rPr>
      </w:pPr>
      <w:r>
        <w:rPr>
          <w:rFonts w:ascii="Times New Roman" w:hAnsi="Times New Roman"/>
          <w:b/>
          <w:color w:val="002060"/>
          <w:szCs w:val="20"/>
        </w:rPr>
        <w:object w:dxaOrig="14100" w:dyaOrig="2175">
          <v:shape id="_x0000_i1652" type="#_x0000_t75" style="width:705.75pt;height:107.25pt" o:ole="">
            <v:imagedata r:id="rId210" o:title=""/>
          </v:shape>
          <o:OLEObject Type="Link" ProgID="Excel.Sheet.12" ShapeID="_x0000_i1652" DrawAspect="Content" r:id="rId211" UpdateMode="Always">
            <o:LinkType>EnhancedMetaFile</o:LinkType>
            <o:LockedField>false</o:LockedField>
          </o:OLEObject>
        </w:object>
      </w:r>
    </w:p>
    <w:p w:rsidR="0009776D" w:rsidRDefault="0009776D" w:rsidP="007F6CEC">
      <w:pPr>
        <w:pStyle w:val="Corpodetexto"/>
        <w:rPr>
          <w:rFonts w:ascii="Times New Roman" w:hAnsi="Times New Roman"/>
          <w:b/>
          <w:color w:val="002060"/>
          <w:szCs w:val="20"/>
        </w:rPr>
      </w:pPr>
    </w:p>
    <w:p w:rsidR="00342F1D" w:rsidRDefault="007F6CEC" w:rsidP="007F6CEC">
      <w:pPr>
        <w:pStyle w:val="Corpodetexto"/>
        <w:rPr>
          <w:rFonts w:ascii="Times New Roman" w:hAnsi="Times New Roman"/>
          <w:b/>
          <w:color w:val="002060"/>
          <w:szCs w:val="20"/>
        </w:rPr>
      </w:pPr>
      <w:r w:rsidRPr="00FA3856">
        <w:rPr>
          <w:rFonts w:ascii="Times New Roman" w:hAnsi="Times New Roman"/>
          <w:b/>
          <w:color w:val="002060"/>
          <w:szCs w:val="20"/>
        </w:rPr>
        <w:t xml:space="preserve">Exemplo de Preenchimento: </w:t>
      </w:r>
    </w:p>
    <w:p w:rsidR="00342F1D" w:rsidRDefault="00342F1D" w:rsidP="007F6CEC">
      <w:pPr>
        <w:pStyle w:val="Corpodetexto"/>
        <w:rPr>
          <w:rFonts w:ascii="Times New Roman" w:hAnsi="Times New Roman"/>
          <w:b/>
          <w:color w:val="002060"/>
          <w:szCs w:val="20"/>
        </w:rPr>
      </w:pPr>
    </w:p>
    <w:p w:rsidR="007F6CEC" w:rsidRPr="00FA3856" w:rsidRDefault="007F6CEC" w:rsidP="007F6CEC">
      <w:pPr>
        <w:pStyle w:val="Corpodetexto"/>
        <w:rPr>
          <w:rFonts w:ascii="Times New Roman" w:hAnsi="Times New Roman"/>
          <w:b/>
          <w:color w:val="002060"/>
          <w:szCs w:val="20"/>
        </w:rPr>
      </w:pPr>
      <w:r w:rsidRPr="00FA3856">
        <w:rPr>
          <w:rFonts w:ascii="Times New Roman" w:hAnsi="Times New Roman"/>
          <w:b/>
          <w:color w:val="002060"/>
          <w:szCs w:val="20"/>
        </w:rPr>
        <w:t>|K990|2000|</w:t>
      </w:r>
    </w:p>
    <w:p w:rsidR="007F6CEC" w:rsidRPr="00FA3856" w:rsidRDefault="007F6CEC" w:rsidP="007F6CEC">
      <w:pPr>
        <w:pStyle w:val="Corpodetexto"/>
        <w:ind w:firstLine="708"/>
        <w:rPr>
          <w:rFonts w:ascii="Times New Roman" w:hAnsi="Times New Roman"/>
          <w:color w:val="002060"/>
          <w:szCs w:val="20"/>
        </w:rPr>
      </w:pPr>
      <w:r w:rsidRPr="00FA3856">
        <w:rPr>
          <w:rFonts w:ascii="Times New Roman" w:hAnsi="Times New Roman"/>
          <w:color w:val="002060"/>
          <w:szCs w:val="20"/>
        </w:rPr>
        <w:t>|K990|: Identificação do tipo do registro.</w:t>
      </w:r>
    </w:p>
    <w:p w:rsidR="007F6CEC" w:rsidRPr="00FA3856" w:rsidRDefault="007F6CEC" w:rsidP="007F6CEC">
      <w:pPr>
        <w:pStyle w:val="Corpodetexto"/>
        <w:ind w:firstLine="708"/>
        <w:rPr>
          <w:rFonts w:ascii="Times New Roman" w:hAnsi="Times New Roman"/>
          <w:color w:val="002060"/>
          <w:szCs w:val="20"/>
        </w:rPr>
      </w:pPr>
      <w:r w:rsidRPr="00FA3856">
        <w:rPr>
          <w:rFonts w:ascii="Times New Roman" w:hAnsi="Times New Roman"/>
          <w:color w:val="002060"/>
          <w:szCs w:val="20"/>
        </w:rPr>
        <w:t>|2000|: A quantidade total de registros do Bloco K é 2.000 (dois mil registros).</w:t>
      </w:r>
    </w:p>
    <w:p w:rsidR="007F6CEC" w:rsidRPr="00FA3856" w:rsidRDefault="007F6CEC" w:rsidP="00AB6137">
      <w:pPr>
        <w:rPr>
          <w:szCs w:val="20"/>
        </w:rPr>
      </w:pPr>
    </w:p>
    <w:p w:rsidR="00AB6137" w:rsidRPr="00FA3856" w:rsidRDefault="00AB6137" w:rsidP="00AB6137">
      <w:pPr>
        <w:rPr>
          <w:szCs w:val="20"/>
        </w:rPr>
      </w:pPr>
      <w:r w:rsidRPr="00FA3856">
        <w:rPr>
          <w:szCs w:val="20"/>
        </w:rPr>
        <w:br w:type="page"/>
      </w:r>
    </w:p>
    <w:p w:rsidR="00AB6137" w:rsidRPr="00FA3856" w:rsidRDefault="00AB6137" w:rsidP="00867F54">
      <w:pPr>
        <w:pStyle w:val="Ttulo3"/>
      </w:pPr>
      <w:bookmarkStart w:id="106" w:name="_Toc479713713"/>
      <w:r w:rsidRPr="00FA3856">
        <w:lastRenderedPageBreak/>
        <w:t xml:space="preserve">Bloco L: Lucro </w:t>
      </w:r>
      <w:r w:rsidR="00CD73D7" w:rsidRPr="00FA3856">
        <w:t>Líquido</w:t>
      </w:r>
      <w:r w:rsidR="009F7060" w:rsidRPr="00FA3856">
        <w:t xml:space="preserve"> – Lucro Real</w:t>
      </w:r>
      <w:bookmarkEnd w:id="106"/>
    </w:p>
    <w:p w:rsidR="00CD73D7" w:rsidRPr="00FA3856" w:rsidRDefault="00CD73D7" w:rsidP="00CD73D7">
      <w:pPr>
        <w:rPr>
          <w:szCs w:val="20"/>
        </w:rPr>
      </w:pPr>
    </w:p>
    <w:p w:rsidR="00CD73D7" w:rsidRPr="00FA3856" w:rsidRDefault="00652594" w:rsidP="001A6818">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t xml:space="preserve">I) </w:t>
      </w:r>
      <w:r w:rsidR="00CD73D7" w:rsidRPr="00FA3856">
        <w:rPr>
          <w:rFonts w:ascii="Times New Roman" w:hAnsi="Times New Roman" w:cs="Times New Roman"/>
          <w:b/>
          <w:bCs/>
          <w:szCs w:val="20"/>
        </w:rPr>
        <w:t>Lucro Real (Trimestral e Anual)</w:t>
      </w:r>
    </w:p>
    <w:p w:rsidR="00CD73D7" w:rsidRPr="00FA3856" w:rsidRDefault="00CD73D7" w:rsidP="001A6818">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p w:rsidR="00CD73D7" w:rsidRPr="00FA3856" w:rsidRDefault="00652594" w:rsidP="001A6818">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t xml:space="preserve">I.1) </w:t>
      </w:r>
      <w:r w:rsidR="00CD73D7" w:rsidRPr="00FA3856">
        <w:rPr>
          <w:rFonts w:ascii="Times New Roman" w:hAnsi="Times New Roman" w:cs="Times New Roman"/>
          <w:b/>
          <w:bCs/>
          <w:szCs w:val="20"/>
        </w:rPr>
        <w:t>Conceito (Trimestral e Anual)</w:t>
      </w:r>
    </w:p>
    <w:p w:rsidR="001A6818" w:rsidRPr="00FA3856" w:rsidRDefault="001A6818" w:rsidP="001A6818">
      <w:pPr>
        <w:pStyle w:val="NormalWeb"/>
        <w:spacing w:before="0" w:after="0"/>
        <w:jc w:val="both"/>
        <w:rPr>
          <w:rFonts w:ascii="Times New Roman" w:hAnsi="Times New Roman" w:cs="Times New Roman"/>
          <w:szCs w:val="20"/>
        </w:rPr>
      </w:pPr>
    </w:p>
    <w:p w:rsidR="00CD73D7" w:rsidRPr="00FA3856" w:rsidRDefault="00CD73D7" w:rsidP="001A6818">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É a base de cálculo do imposto sobre a renda apurada segundo registros contábeis e fiscais efetuados sistematicamente de acordo com as leis comerciais e fiscais.</w:t>
      </w:r>
    </w:p>
    <w:p w:rsidR="00652594" w:rsidRPr="00FA3856" w:rsidRDefault="00652594" w:rsidP="001A6818">
      <w:pPr>
        <w:pStyle w:val="NormalWeb"/>
        <w:spacing w:before="0" w:after="0"/>
        <w:jc w:val="both"/>
        <w:rPr>
          <w:rFonts w:ascii="Times New Roman" w:hAnsi="Times New Roman" w:cs="Times New Roman"/>
          <w:b/>
          <w:bCs/>
          <w:szCs w:val="20"/>
        </w:rPr>
      </w:pPr>
    </w:p>
    <w:p w:rsidR="00CD73D7" w:rsidRPr="00FA3856" w:rsidRDefault="00652594" w:rsidP="001A6818">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t xml:space="preserve">I.2) </w:t>
      </w:r>
      <w:r w:rsidR="00CD73D7" w:rsidRPr="00FA3856">
        <w:rPr>
          <w:rFonts w:ascii="Times New Roman" w:hAnsi="Times New Roman" w:cs="Times New Roman"/>
          <w:b/>
          <w:bCs/>
          <w:szCs w:val="20"/>
        </w:rPr>
        <w:t xml:space="preserve">Data de Apuração (Trimestral e Anual) </w:t>
      </w:r>
    </w:p>
    <w:p w:rsidR="001A6818" w:rsidRPr="00FA3856" w:rsidRDefault="001A6818" w:rsidP="001A6818">
      <w:pPr>
        <w:pStyle w:val="NormalWeb"/>
        <w:spacing w:before="0" w:after="0"/>
        <w:jc w:val="both"/>
        <w:rPr>
          <w:rFonts w:ascii="Times New Roman" w:hAnsi="Times New Roman" w:cs="Times New Roman"/>
          <w:szCs w:val="20"/>
        </w:rPr>
      </w:pPr>
    </w:p>
    <w:p w:rsidR="00CD73D7" w:rsidRPr="00FA3856" w:rsidRDefault="00CD73D7" w:rsidP="001A6818">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Para efeito da incidência do imposto sobre a renda, o lucro real das pessoas jurídicas deve ser apurado na data de encerramento do período de apuração (Lei n</w:t>
      </w:r>
      <w:r w:rsidRPr="00FA3856">
        <w:rPr>
          <w:rFonts w:ascii="Times New Roman" w:hAnsi="Times New Roman" w:cs="Times New Roman"/>
          <w:strike/>
          <w:szCs w:val="20"/>
        </w:rPr>
        <w:t>º</w:t>
      </w:r>
      <w:r w:rsidRPr="00FA3856">
        <w:rPr>
          <w:rFonts w:ascii="Times New Roman" w:hAnsi="Times New Roman" w:cs="Times New Roman"/>
          <w:szCs w:val="20"/>
        </w:rPr>
        <w:t xml:space="preserve"> 9.430, de 1996, arts. 1</w:t>
      </w:r>
      <w:r w:rsidRPr="00FA3856">
        <w:rPr>
          <w:rFonts w:ascii="Times New Roman" w:hAnsi="Times New Roman" w:cs="Times New Roman"/>
          <w:strike/>
          <w:szCs w:val="20"/>
        </w:rPr>
        <w:t>º</w:t>
      </w:r>
      <w:r w:rsidRPr="00FA3856">
        <w:rPr>
          <w:rFonts w:ascii="Times New Roman" w:hAnsi="Times New Roman" w:cs="Times New Roman"/>
          <w:szCs w:val="20"/>
        </w:rPr>
        <w:t xml:space="preserve"> e 2</w:t>
      </w:r>
      <w:r w:rsidRPr="00FA3856">
        <w:rPr>
          <w:rFonts w:ascii="Times New Roman" w:hAnsi="Times New Roman" w:cs="Times New Roman"/>
          <w:strike/>
          <w:szCs w:val="20"/>
        </w:rPr>
        <w:t>º</w:t>
      </w:r>
      <w:r w:rsidRPr="00FA3856">
        <w:rPr>
          <w:rFonts w:ascii="Times New Roman" w:hAnsi="Times New Roman" w:cs="Times New Roman"/>
          <w:szCs w:val="20"/>
        </w:rPr>
        <w:t>).</w:t>
      </w:r>
    </w:p>
    <w:p w:rsidR="003E1A5E" w:rsidRPr="00FA3856" w:rsidRDefault="003E1A5E" w:rsidP="001A6818">
      <w:pPr>
        <w:pStyle w:val="NormalWeb"/>
        <w:spacing w:before="0" w:after="0"/>
        <w:jc w:val="both"/>
        <w:rPr>
          <w:rFonts w:ascii="Times New Roman" w:hAnsi="Times New Roman" w:cs="Times New Roman"/>
          <w:szCs w:val="20"/>
        </w:rPr>
      </w:pPr>
    </w:p>
    <w:p w:rsidR="00CD73D7" w:rsidRPr="00FA3856" w:rsidRDefault="00CD73D7" w:rsidP="003E1A5E">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O período de apuração encerra-se:</w:t>
      </w:r>
    </w:p>
    <w:p w:rsidR="003E1A5E" w:rsidRPr="00FA3856" w:rsidRDefault="003E1A5E" w:rsidP="001A6818">
      <w:pPr>
        <w:pStyle w:val="NormalWeb"/>
        <w:spacing w:before="0" w:after="0"/>
        <w:jc w:val="both"/>
        <w:rPr>
          <w:rFonts w:ascii="Times New Roman" w:hAnsi="Times New Roman" w:cs="Times New Roman"/>
          <w:szCs w:val="20"/>
        </w:rPr>
      </w:pPr>
    </w:p>
    <w:p w:rsidR="00CD73D7" w:rsidRPr="00FA3856" w:rsidRDefault="00CD73D7" w:rsidP="00C20C5D">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nos dias 31 de março, 30 de junho, 30 de setembro e 31 de dezembro, no caso de apuração trimestral do imposto de renda;</w:t>
      </w:r>
    </w:p>
    <w:p w:rsidR="00CD73D7" w:rsidRPr="00FA3856" w:rsidRDefault="00CD73D7" w:rsidP="00C20C5D">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b) no dia 31 de dezembro de cada ano-calendário, no caso de apuração anual do imposto de renda;</w:t>
      </w:r>
    </w:p>
    <w:p w:rsidR="00CD73D7" w:rsidRPr="00FA3856" w:rsidRDefault="00CD73D7" w:rsidP="00C20C5D">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c) na data da extinção da pessoa jurídica, assim entendida a destinação total de seu acervo líquido;</w:t>
      </w:r>
    </w:p>
    <w:p w:rsidR="00CD73D7" w:rsidRPr="00FA3856" w:rsidRDefault="00CD73D7" w:rsidP="00C20C5D">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d) na data do evento, nos casos de incorporação, fus</w:t>
      </w:r>
      <w:bookmarkStart w:id="107" w:name="Subitem_15.1.1"/>
      <w:bookmarkEnd w:id="107"/>
      <w:r w:rsidRPr="00FA3856">
        <w:rPr>
          <w:rFonts w:ascii="Times New Roman" w:hAnsi="Times New Roman" w:cs="Times New Roman"/>
          <w:szCs w:val="20"/>
        </w:rPr>
        <w:t>ão ou cisão da pessoa jurídica.</w:t>
      </w:r>
    </w:p>
    <w:p w:rsidR="003E1A5E" w:rsidRPr="00FA3856" w:rsidRDefault="003E1A5E" w:rsidP="003E1A5E">
      <w:pPr>
        <w:pStyle w:val="NormalWeb"/>
        <w:spacing w:before="0" w:after="0"/>
        <w:jc w:val="both"/>
        <w:rPr>
          <w:rFonts w:ascii="Times New Roman" w:hAnsi="Times New Roman" w:cs="Times New Roman"/>
          <w:b/>
          <w:bCs/>
          <w:szCs w:val="20"/>
        </w:rPr>
      </w:pPr>
    </w:p>
    <w:p w:rsidR="00CD73D7" w:rsidRPr="00FA3856" w:rsidRDefault="00CD73D7" w:rsidP="003E1A5E">
      <w:pPr>
        <w:pStyle w:val="NormalWeb"/>
        <w:spacing w:before="0" w:after="0"/>
        <w:ind w:left="708"/>
        <w:jc w:val="both"/>
        <w:rPr>
          <w:rFonts w:ascii="Times New Roman" w:hAnsi="Times New Roman" w:cs="Times New Roman"/>
          <w:szCs w:val="20"/>
        </w:rPr>
      </w:pPr>
      <w:r w:rsidRPr="00FA3856">
        <w:rPr>
          <w:rFonts w:ascii="Times New Roman" w:hAnsi="Times New Roman" w:cs="Times New Roman"/>
          <w:b/>
          <w:bCs/>
          <w:szCs w:val="20"/>
        </w:rPr>
        <w:t>Atenção:</w:t>
      </w:r>
      <w:r w:rsidR="003E1A5E" w:rsidRPr="00FA3856">
        <w:rPr>
          <w:rFonts w:ascii="Times New Roman" w:hAnsi="Times New Roman" w:cs="Times New Roman"/>
          <w:szCs w:val="20"/>
        </w:rPr>
        <w:t xml:space="preserve"> </w:t>
      </w:r>
      <w:r w:rsidRPr="00FA3856">
        <w:rPr>
          <w:rFonts w:ascii="Times New Roman" w:hAnsi="Times New Roman" w:cs="Times New Roman"/>
          <w:szCs w:val="20"/>
        </w:rPr>
        <w:t xml:space="preserve">A pessoa jurídica incorporadora fica obrigada à entrega </w:t>
      </w:r>
      <w:r w:rsidR="00553BFA" w:rsidRPr="00FA3856">
        <w:rPr>
          <w:rFonts w:ascii="Times New Roman" w:hAnsi="Times New Roman" w:cs="Times New Roman"/>
          <w:szCs w:val="20"/>
        </w:rPr>
        <w:t>da ECF</w:t>
      </w:r>
      <w:r w:rsidRPr="00FA3856">
        <w:rPr>
          <w:rFonts w:ascii="Times New Roman" w:hAnsi="Times New Roman" w:cs="Times New Roman"/>
          <w:szCs w:val="20"/>
        </w:rPr>
        <w:t xml:space="preserve"> correspondente ao período transcorrido durante o ano-calendário do evento, no caso em que as </w:t>
      </w:r>
      <w:bookmarkStart w:id="108" w:name="Subitem_15.1.2"/>
      <w:bookmarkEnd w:id="108"/>
      <w:r w:rsidRPr="00FA3856">
        <w:rPr>
          <w:rFonts w:ascii="Times New Roman" w:hAnsi="Times New Roman" w:cs="Times New Roman"/>
          <w:szCs w:val="20"/>
        </w:rPr>
        <w:t>pessoas jurídicas, incorporadora e incorporada, não estivessem sob o mesmo controle societário desde o ano-calendário anterior ao do evento (Lei n</w:t>
      </w:r>
      <w:r w:rsidRPr="00FA3856">
        <w:rPr>
          <w:rFonts w:ascii="Times New Roman" w:hAnsi="Times New Roman" w:cs="Times New Roman"/>
          <w:strike/>
          <w:szCs w:val="20"/>
        </w:rPr>
        <w:t>º</w:t>
      </w:r>
      <w:r w:rsidRPr="00FA3856">
        <w:rPr>
          <w:rFonts w:ascii="Times New Roman" w:hAnsi="Times New Roman" w:cs="Times New Roman"/>
          <w:szCs w:val="20"/>
        </w:rPr>
        <w:t xml:space="preserve"> 9.959, de 27 de janeiro de 2000, art. 5</w:t>
      </w:r>
      <w:r w:rsidRPr="00FA3856">
        <w:rPr>
          <w:rFonts w:ascii="Times New Roman" w:hAnsi="Times New Roman" w:cs="Times New Roman"/>
          <w:strike/>
          <w:szCs w:val="20"/>
        </w:rPr>
        <w:t>º</w:t>
      </w:r>
      <w:r w:rsidRPr="00FA3856">
        <w:rPr>
          <w:rFonts w:ascii="Times New Roman" w:hAnsi="Times New Roman" w:cs="Times New Roman"/>
          <w:szCs w:val="20"/>
        </w:rPr>
        <w:t>).</w:t>
      </w:r>
    </w:p>
    <w:p w:rsidR="003E1A5E" w:rsidRPr="00FA3856" w:rsidRDefault="003E1A5E" w:rsidP="001A6818">
      <w:pPr>
        <w:pStyle w:val="NormalWeb"/>
        <w:spacing w:before="0" w:after="0"/>
        <w:jc w:val="both"/>
        <w:rPr>
          <w:rFonts w:ascii="Times New Roman" w:hAnsi="Times New Roman" w:cs="Times New Roman"/>
          <w:b/>
          <w:bCs/>
          <w:szCs w:val="20"/>
        </w:rPr>
      </w:pPr>
    </w:p>
    <w:p w:rsidR="00CD73D7" w:rsidRPr="00FA3856" w:rsidRDefault="00B14A83" w:rsidP="001A6818">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t xml:space="preserve">I.3) </w:t>
      </w:r>
      <w:r w:rsidR="00CD73D7" w:rsidRPr="00FA3856">
        <w:rPr>
          <w:rFonts w:ascii="Times New Roman" w:hAnsi="Times New Roman" w:cs="Times New Roman"/>
          <w:b/>
          <w:bCs/>
          <w:szCs w:val="20"/>
        </w:rPr>
        <w:t>Pessoas Jurídicas Obrigadas ao Lucro Real</w:t>
      </w:r>
    </w:p>
    <w:p w:rsidR="003E1A5E" w:rsidRPr="00FA3856" w:rsidRDefault="003E1A5E" w:rsidP="001A6818">
      <w:pPr>
        <w:pStyle w:val="NormalWeb"/>
        <w:spacing w:before="0" w:after="0"/>
        <w:jc w:val="both"/>
        <w:rPr>
          <w:rFonts w:ascii="Times New Roman" w:hAnsi="Times New Roman" w:cs="Times New Roman"/>
          <w:szCs w:val="20"/>
        </w:rPr>
      </w:pPr>
    </w:p>
    <w:p w:rsidR="00CD73D7" w:rsidRPr="00FA3856" w:rsidRDefault="00CD73D7" w:rsidP="003E1A5E">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Estão obrigadas ao regime de tributação com base no lucro real, em cada ano-calendário, as pessoas jurídicas:</w:t>
      </w:r>
    </w:p>
    <w:p w:rsidR="003E1A5E" w:rsidRPr="00FA3856" w:rsidRDefault="003E1A5E" w:rsidP="001A6818">
      <w:pPr>
        <w:pStyle w:val="NormalWeb"/>
        <w:spacing w:before="0" w:after="0"/>
        <w:jc w:val="both"/>
        <w:rPr>
          <w:rFonts w:ascii="Times New Roman" w:hAnsi="Times New Roman" w:cs="Times New Roman"/>
          <w:szCs w:val="20"/>
        </w:rPr>
      </w:pPr>
    </w:p>
    <w:p w:rsidR="00CD73D7" w:rsidRPr="00FA3856" w:rsidRDefault="00CD73D7" w:rsidP="003E1A5E">
      <w:pPr>
        <w:pStyle w:val="NormalWeb"/>
        <w:spacing w:before="0" w:after="0"/>
        <w:ind w:left="708"/>
        <w:jc w:val="both"/>
        <w:rPr>
          <w:rFonts w:ascii="Times New Roman" w:hAnsi="Times New Roman" w:cs="Times New Roman"/>
          <w:szCs w:val="20"/>
        </w:rPr>
      </w:pPr>
      <w:r w:rsidRPr="00FA3856">
        <w:rPr>
          <w:rFonts w:ascii="Times New Roman" w:hAnsi="Times New Roman" w:cs="Times New Roman"/>
          <w:szCs w:val="20"/>
        </w:rPr>
        <w:t>a) cuja receita total, no ano-calendário anterior, seja superior ao limite de R$ 78.000.000,00 (setenta e oito milhões de reais), ou de R$ 6.500.000,00 (seis milhões e quinhentos mil reais) multiplicados pelo número de meses do período, quando inferior a doze meses;</w:t>
      </w:r>
    </w:p>
    <w:p w:rsidR="00CD73D7" w:rsidRPr="00FA3856" w:rsidRDefault="00CD73D7" w:rsidP="00C20C5D">
      <w:pPr>
        <w:pStyle w:val="NormalWeb"/>
        <w:spacing w:before="0" w:after="0"/>
        <w:ind w:left="708"/>
        <w:jc w:val="both"/>
        <w:rPr>
          <w:rFonts w:ascii="Times New Roman" w:hAnsi="Times New Roman" w:cs="Times New Roman"/>
          <w:szCs w:val="20"/>
        </w:rPr>
      </w:pPr>
      <w:r w:rsidRPr="00FA3856">
        <w:rPr>
          <w:rFonts w:ascii="Times New Roman" w:hAnsi="Times New Roman" w:cs="Times New Roman"/>
          <w:szCs w:val="20"/>
        </w:rPr>
        <w:t>b) cujas atividades sejam de bancos comerciais, bancos de investimentos, bancos de desenvolvimento, caixas econômicas, sociedades de crédito, financiamento e investimento, sociedades de crédito imobiliário, sociedades corretoras de títulos, valores mobiliários e câmbio, distribuidoras de títulos e valores mobiliários, empresas de arrendamento mercantil, cooperativas de crédito, empresas de seguros privados e de c</w:t>
      </w:r>
      <w:bookmarkStart w:id="109" w:name="subitem_15.1.3"/>
      <w:bookmarkEnd w:id="109"/>
      <w:r w:rsidRPr="00FA3856">
        <w:rPr>
          <w:rFonts w:ascii="Times New Roman" w:hAnsi="Times New Roman" w:cs="Times New Roman"/>
          <w:szCs w:val="20"/>
        </w:rPr>
        <w:t>apitalização e entidades de previdência privada aberta;</w:t>
      </w:r>
    </w:p>
    <w:p w:rsidR="00CD73D7" w:rsidRPr="00FA3856" w:rsidRDefault="00CD73D7" w:rsidP="00C20C5D">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c) que tiverem lucros, rendimentos ou ganhos de capital oriundos do exterior;</w:t>
      </w:r>
    </w:p>
    <w:p w:rsidR="00CD73D7" w:rsidRPr="00FA3856" w:rsidRDefault="00CD73D7" w:rsidP="00C20C5D">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d) que, autorizadas pela legislação tributária, usufruam benefícios fiscais relativos à isenção ou redução do imposto;</w:t>
      </w:r>
    </w:p>
    <w:p w:rsidR="00CD73D7" w:rsidRPr="00FA3856" w:rsidRDefault="00CD73D7" w:rsidP="00C20C5D">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e) que, no decorrer do ano-calendário, tenham efetuado pagamento mensal do imposto de renda, determinado sobre a base de cálculo estimada, na forma do art. 2</w:t>
      </w:r>
      <w:r w:rsidRPr="00FA3856">
        <w:rPr>
          <w:rFonts w:ascii="Times New Roman" w:hAnsi="Times New Roman" w:cs="Times New Roman"/>
          <w:strike/>
          <w:szCs w:val="20"/>
        </w:rPr>
        <w:t>º</w:t>
      </w:r>
      <w:r w:rsidRPr="00FA3856">
        <w:rPr>
          <w:rFonts w:ascii="Times New Roman" w:hAnsi="Times New Roman" w:cs="Times New Roman"/>
          <w:szCs w:val="20"/>
        </w:rPr>
        <w:t xml:space="preserve"> da Lei n</w:t>
      </w:r>
      <w:r w:rsidRPr="00FA3856">
        <w:rPr>
          <w:rFonts w:ascii="Times New Roman" w:hAnsi="Times New Roman" w:cs="Times New Roman"/>
          <w:strike/>
          <w:szCs w:val="20"/>
        </w:rPr>
        <w:t>º</w:t>
      </w:r>
      <w:r w:rsidRPr="00FA3856">
        <w:rPr>
          <w:rFonts w:ascii="Times New Roman" w:hAnsi="Times New Roman" w:cs="Times New Roman"/>
          <w:szCs w:val="20"/>
        </w:rPr>
        <w:t xml:space="preserve"> 9.430, de 1996;</w:t>
      </w:r>
    </w:p>
    <w:p w:rsidR="00CD73D7" w:rsidRPr="00FA3856" w:rsidRDefault="00CD73D7" w:rsidP="00C20C5D">
      <w:pPr>
        <w:pStyle w:val="NormalWeb"/>
        <w:spacing w:before="0" w:after="0"/>
        <w:ind w:left="708"/>
        <w:jc w:val="both"/>
        <w:rPr>
          <w:rFonts w:ascii="Times New Roman" w:hAnsi="Times New Roman" w:cs="Times New Roman"/>
          <w:szCs w:val="20"/>
        </w:rPr>
      </w:pPr>
      <w:r w:rsidRPr="00FA3856">
        <w:rPr>
          <w:rFonts w:ascii="Times New Roman" w:hAnsi="Times New Roman" w:cs="Times New Roman"/>
          <w:szCs w:val="20"/>
        </w:rPr>
        <w:t>f) que explorem as atividades de prestação cumulativa e contínua de serviços de assessoria creditícia, mercadológica, gestão de crédito, seleção e riscos, administração de contas a pagar e a receber, e compras de direitos creditórios resultantes de vendas mercantis a prazo ou de prestação de serviços (</w:t>
      </w:r>
      <w:r w:rsidRPr="00FA3856">
        <w:rPr>
          <w:rStyle w:val="nfase"/>
          <w:rFonts w:ascii="Times New Roman" w:hAnsi="Times New Roman" w:cs="Times New Roman"/>
          <w:szCs w:val="20"/>
        </w:rPr>
        <w:t>factoring</w:t>
      </w:r>
      <w:r w:rsidRPr="00FA3856">
        <w:rPr>
          <w:rFonts w:ascii="Times New Roman" w:hAnsi="Times New Roman" w:cs="Times New Roman"/>
          <w:szCs w:val="20"/>
        </w:rPr>
        <w:t>).</w:t>
      </w:r>
    </w:p>
    <w:p w:rsidR="00CD73D7" w:rsidRPr="00FA3856" w:rsidRDefault="00CD73D7" w:rsidP="00C20C5D">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color w:val="000000"/>
          <w:szCs w:val="20"/>
        </w:rPr>
        <w:t>g) que explorem as atividades de securitização de créditos imobiliários, financeiros e do agronegócio.</w:t>
      </w:r>
    </w:p>
    <w:p w:rsidR="00C20C5D" w:rsidRPr="00FA3856" w:rsidRDefault="00C20C5D" w:rsidP="001A6818">
      <w:pPr>
        <w:pStyle w:val="NormalWeb"/>
        <w:spacing w:before="0" w:after="0"/>
        <w:ind w:left="600"/>
        <w:jc w:val="both"/>
        <w:rPr>
          <w:rFonts w:ascii="Times New Roman" w:hAnsi="Times New Roman" w:cs="Times New Roman"/>
          <w:b/>
          <w:bCs/>
          <w:szCs w:val="20"/>
        </w:rPr>
      </w:pPr>
    </w:p>
    <w:p w:rsidR="00C20C5D" w:rsidRPr="00FA3856" w:rsidRDefault="00C20C5D" w:rsidP="001A6818">
      <w:pPr>
        <w:pStyle w:val="NormalWeb"/>
        <w:spacing w:before="0" w:after="0"/>
        <w:ind w:left="600"/>
        <w:jc w:val="both"/>
        <w:rPr>
          <w:rFonts w:ascii="Times New Roman" w:hAnsi="Times New Roman" w:cs="Times New Roman"/>
          <w:b/>
          <w:bCs/>
          <w:szCs w:val="20"/>
        </w:rPr>
      </w:pPr>
    </w:p>
    <w:p w:rsidR="00C20C5D" w:rsidRPr="00FA3856" w:rsidRDefault="00C20C5D" w:rsidP="001A6818">
      <w:pPr>
        <w:pStyle w:val="NormalWeb"/>
        <w:spacing w:before="0" w:after="0"/>
        <w:ind w:left="600"/>
        <w:jc w:val="both"/>
        <w:rPr>
          <w:rFonts w:ascii="Times New Roman" w:hAnsi="Times New Roman" w:cs="Times New Roman"/>
          <w:b/>
          <w:bCs/>
          <w:szCs w:val="20"/>
        </w:rPr>
      </w:pPr>
    </w:p>
    <w:p w:rsidR="00CD73D7" w:rsidRPr="00FA3856" w:rsidRDefault="00CD73D7" w:rsidP="001A6818">
      <w:pPr>
        <w:pStyle w:val="NormalWeb"/>
        <w:spacing w:before="0" w:after="0"/>
        <w:ind w:left="600"/>
        <w:jc w:val="both"/>
        <w:rPr>
          <w:rFonts w:ascii="Times New Roman" w:hAnsi="Times New Roman" w:cs="Times New Roman"/>
          <w:szCs w:val="20"/>
        </w:rPr>
      </w:pPr>
      <w:r w:rsidRPr="00FA3856">
        <w:rPr>
          <w:rFonts w:ascii="Times New Roman" w:hAnsi="Times New Roman" w:cs="Times New Roman"/>
          <w:b/>
          <w:bCs/>
          <w:szCs w:val="20"/>
        </w:rPr>
        <w:lastRenderedPageBreak/>
        <w:t>Atenção:</w:t>
      </w:r>
    </w:p>
    <w:p w:rsidR="00CD73D7" w:rsidRPr="00FA3856" w:rsidRDefault="00CD73D7" w:rsidP="001A6818">
      <w:pPr>
        <w:pStyle w:val="NormalWeb"/>
        <w:spacing w:before="0" w:after="0"/>
        <w:ind w:left="600"/>
        <w:jc w:val="both"/>
        <w:rPr>
          <w:rFonts w:ascii="Times New Roman" w:hAnsi="Times New Roman" w:cs="Times New Roman"/>
          <w:szCs w:val="20"/>
        </w:rPr>
      </w:pPr>
      <w:r w:rsidRPr="00FA3856">
        <w:rPr>
          <w:rFonts w:ascii="Times New Roman" w:hAnsi="Times New Roman" w:cs="Times New Roman"/>
          <w:szCs w:val="20"/>
        </w:rPr>
        <w:t>1) Receita Total é o somatório da receita bruta mensal, das demais receitas e ganhos de capital, dos ganhos líquidos obtidos em operações realizadas nos mercados de renda variável e dos rendimentos nominais produzidos por aplicações financeiras de renda fixa, e da parcela das receitas auferidas nas exportações às pessoas vinculadas ou aos países e dependências com tributação favorecida que exceder ao valor já apropriado na escrituração da empresa.</w:t>
      </w:r>
    </w:p>
    <w:p w:rsidR="00CD73D7" w:rsidRPr="00FA3856" w:rsidRDefault="00CD73D7" w:rsidP="001A6818">
      <w:pPr>
        <w:pStyle w:val="NormalWeb"/>
        <w:spacing w:before="0" w:after="0"/>
        <w:ind w:left="600"/>
        <w:jc w:val="both"/>
        <w:rPr>
          <w:rFonts w:ascii="Times New Roman" w:hAnsi="Times New Roman" w:cs="Times New Roman"/>
          <w:szCs w:val="20"/>
        </w:rPr>
      </w:pPr>
      <w:r w:rsidRPr="00FA3856">
        <w:rPr>
          <w:rFonts w:ascii="Times New Roman" w:hAnsi="Times New Roman" w:cs="Times New Roman"/>
          <w:szCs w:val="20"/>
        </w:rPr>
        <w:t>2) As pessoas jurídicas e as sociedades em conta de participação que se encontram nas situações descritas nas alíneas "a" e "c" a "e" acima, poderão optar, durante o período em que submetidas ao Programa de Recuperação Fiscal (Refis), pelo regime de tributação com base no lucro presumido (Lei n</w:t>
      </w:r>
      <w:r w:rsidRPr="00FA3856">
        <w:rPr>
          <w:rFonts w:ascii="Times New Roman" w:hAnsi="Times New Roman" w:cs="Times New Roman"/>
          <w:strike/>
          <w:szCs w:val="20"/>
        </w:rPr>
        <w:t>º</w:t>
      </w:r>
      <w:r w:rsidRPr="00FA3856">
        <w:rPr>
          <w:rFonts w:ascii="Times New Roman" w:hAnsi="Times New Roman" w:cs="Times New Roman"/>
          <w:szCs w:val="20"/>
        </w:rPr>
        <w:t xml:space="preserve"> 9.964, de 10 de abril de 2000).</w:t>
      </w:r>
    </w:p>
    <w:p w:rsidR="00FF24CB" w:rsidRPr="00FA3856" w:rsidRDefault="00203DD9" w:rsidP="00FF24CB">
      <w:pPr>
        <w:pStyle w:val="NormalWeb"/>
        <w:spacing w:before="0" w:after="0"/>
        <w:ind w:firstLine="600"/>
        <w:jc w:val="both"/>
        <w:rPr>
          <w:rFonts w:ascii="Times New Roman" w:hAnsi="Times New Roman" w:cs="Times New Roman"/>
          <w:szCs w:val="20"/>
        </w:rPr>
      </w:pPr>
      <w:r>
        <w:rPr>
          <w:rFonts w:ascii="Times New Roman" w:hAnsi="Times New Roman" w:cs="Times New Roman"/>
          <w:szCs w:val="20"/>
        </w:rPr>
        <w:t>3) Art 59</w:t>
      </w:r>
      <w:r w:rsidR="00E867F9">
        <w:rPr>
          <w:rFonts w:ascii="Times New Roman" w:hAnsi="Times New Roman" w:cs="Times New Roman"/>
          <w:szCs w:val="20"/>
        </w:rPr>
        <w:t>, da</w:t>
      </w:r>
      <w:r w:rsidR="00FF24CB" w:rsidRPr="00FA3856">
        <w:rPr>
          <w:rFonts w:ascii="Times New Roman" w:hAnsi="Times New Roman" w:cs="Times New Roman"/>
          <w:szCs w:val="20"/>
        </w:rPr>
        <w:t xml:space="preserve"> Instrução Normativa RFB n</w:t>
      </w:r>
      <w:r w:rsidR="00FF24CB" w:rsidRPr="00FA3856">
        <w:rPr>
          <w:rFonts w:ascii="Times New Roman" w:hAnsi="Times New Roman" w:cs="Times New Roman"/>
          <w:szCs w:val="20"/>
          <w:u w:val="single"/>
          <w:vertAlign w:val="superscript"/>
        </w:rPr>
        <w:t>o</w:t>
      </w:r>
      <w:r w:rsidR="00FF24CB" w:rsidRPr="00FA3856">
        <w:rPr>
          <w:rFonts w:ascii="Times New Roman" w:hAnsi="Times New Roman" w:cs="Times New Roman"/>
          <w:szCs w:val="20"/>
        </w:rPr>
        <w:t xml:space="preserve"> </w:t>
      </w:r>
      <w:r>
        <w:rPr>
          <w:rFonts w:ascii="Times New Roman" w:hAnsi="Times New Roman" w:cs="Times New Roman"/>
          <w:szCs w:val="20"/>
        </w:rPr>
        <w:t>1.700</w:t>
      </w:r>
      <w:r w:rsidR="00FF24CB" w:rsidRPr="00FA3856">
        <w:rPr>
          <w:rFonts w:ascii="Times New Roman" w:hAnsi="Times New Roman" w:cs="Times New Roman"/>
          <w:szCs w:val="20"/>
        </w:rPr>
        <w:t xml:space="preserve">, de </w:t>
      </w:r>
      <w:r>
        <w:rPr>
          <w:rFonts w:ascii="Times New Roman" w:hAnsi="Times New Roman" w:cs="Times New Roman"/>
          <w:szCs w:val="20"/>
        </w:rPr>
        <w:t>14 de março de 2017</w:t>
      </w:r>
      <w:r w:rsidR="00FF24CB" w:rsidRPr="00FA3856">
        <w:rPr>
          <w:rFonts w:ascii="Times New Roman" w:hAnsi="Times New Roman" w:cs="Times New Roman"/>
          <w:szCs w:val="20"/>
        </w:rPr>
        <w:t>:</w:t>
      </w:r>
    </w:p>
    <w:p w:rsidR="00FF24CB" w:rsidRPr="00FA3856" w:rsidRDefault="00FF24CB" w:rsidP="00FF24CB">
      <w:pPr>
        <w:pStyle w:val="NormalWeb"/>
        <w:spacing w:before="0" w:after="0"/>
        <w:ind w:left="1308" w:firstLine="108"/>
        <w:jc w:val="both"/>
        <w:rPr>
          <w:rFonts w:ascii="Times New Roman" w:hAnsi="Times New Roman" w:cs="Times New Roman"/>
          <w:szCs w:val="20"/>
        </w:rPr>
      </w:pPr>
      <w:r w:rsidRPr="00FA3856">
        <w:rPr>
          <w:rFonts w:ascii="Times New Roman" w:hAnsi="Times New Roman" w:cs="Times New Roman"/>
          <w:szCs w:val="20"/>
        </w:rPr>
        <w:t>§ 2º A obrigatoriedade a que se refere o inciso III do caput não se aplica à pessoa jurídica que auferir receita de exportação de mercadorias e da prestação direta de serviços no exterior.</w:t>
      </w:r>
    </w:p>
    <w:p w:rsidR="00FF24CB" w:rsidRPr="00FA3856" w:rsidRDefault="00FF24CB" w:rsidP="00FF24CB">
      <w:pPr>
        <w:pStyle w:val="NormalWeb"/>
        <w:spacing w:before="0" w:after="0"/>
        <w:ind w:left="1416"/>
        <w:jc w:val="both"/>
        <w:rPr>
          <w:rFonts w:ascii="Times New Roman" w:hAnsi="Times New Roman" w:cs="Times New Roman"/>
          <w:szCs w:val="20"/>
        </w:rPr>
      </w:pPr>
      <w:r w:rsidRPr="00FA3856">
        <w:rPr>
          <w:rFonts w:ascii="Times New Roman" w:hAnsi="Times New Roman" w:cs="Times New Roman"/>
          <w:szCs w:val="20"/>
        </w:rPr>
        <w:t>§ 3º Para fins do § 2º, não se considera direta a prestação de serviços realizada no exterior por intermédio de filiais, sucursais, agências, representações, coligadas, controladas e outras unidades descentralizadas da pessoa jurídica que lhes sejam assemelhadas.</w:t>
      </w:r>
    </w:p>
    <w:p w:rsidR="00FF24CB" w:rsidRPr="00FA3856" w:rsidRDefault="00FF24CB" w:rsidP="00FF24CB">
      <w:pPr>
        <w:pStyle w:val="NormalWeb"/>
        <w:spacing w:before="0" w:after="0"/>
        <w:ind w:left="1416"/>
        <w:jc w:val="both"/>
        <w:rPr>
          <w:rFonts w:ascii="Times New Roman" w:hAnsi="Times New Roman" w:cs="Times New Roman"/>
          <w:szCs w:val="20"/>
        </w:rPr>
      </w:pPr>
      <w:r w:rsidRPr="00FA3856">
        <w:rPr>
          <w:rFonts w:ascii="Times New Roman" w:hAnsi="Times New Roman" w:cs="Times New Roman"/>
          <w:szCs w:val="20"/>
        </w:rPr>
        <w:t xml:space="preserve">§ 4º </w:t>
      </w:r>
      <w:r w:rsidR="00203DD9">
        <w:rPr>
          <w:rFonts w:ascii="Times New Roman" w:hAnsi="Times New Roman" w:cs="Times New Roman"/>
          <w:szCs w:val="20"/>
        </w:rPr>
        <w:t>São</w:t>
      </w:r>
      <w:r w:rsidRPr="00FA3856">
        <w:rPr>
          <w:rFonts w:ascii="Times New Roman" w:hAnsi="Times New Roman" w:cs="Times New Roman"/>
          <w:szCs w:val="20"/>
        </w:rPr>
        <w:t xml:space="preserve"> obrigadas ao regime de tributação </w:t>
      </w:r>
      <w:r w:rsidR="00203DD9">
        <w:rPr>
          <w:rFonts w:ascii="Times New Roman" w:hAnsi="Times New Roman" w:cs="Times New Roman"/>
          <w:szCs w:val="20"/>
        </w:rPr>
        <w:t>do IRPJ com base no</w:t>
      </w:r>
      <w:r w:rsidRPr="00FA3856">
        <w:rPr>
          <w:rFonts w:ascii="Times New Roman" w:hAnsi="Times New Roman" w:cs="Times New Roman"/>
          <w:szCs w:val="20"/>
        </w:rPr>
        <w:t xml:space="preserve"> lucro real as pessoas jurídicas que explorem a atividade de compras de direitos creditórios, ainda que se destinem à formação de lastro de valores mobiliários (securitização).</w:t>
      </w:r>
    </w:p>
    <w:p w:rsidR="00FF24CB" w:rsidRPr="00FA3856" w:rsidRDefault="00FF24CB" w:rsidP="00FF24CB">
      <w:pPr>
        <w:pStyle w:val="NormalWeb"/>
        <w:spacing w:before="0" w:after="0"/>
        <w:ind w:left="600"/>
        <w:jc w:val="both"/>
        <w:rPr>
          <w:rFonts w:ascii="Times New Roman" w:hAnsi="Times New Roman" w:cs="Times New Roman"/>
          <w:szCs w:val="20"/>
        </w:rPr>
      </w:pPr>
      <w:r w:rsidRPr="00FA3856">
        <w:rPr>
          <w:rFonts w:ascii="Times New Roman" w:hAnsi="Times New Roman" w:cs="Times New Roman"/>
          <w:szCs w:val="20"/>
        </w:rPr>
        <w:t xml:space="preserve">4) </w:t>
      </w:r>
      <w:r w:rsidR="00203DD9">
        <w:rPr>
          <w:rFonts w:ascii="Times New Roman" w:hAnsi="Times New Roman" w:cs="Times New Roman"/>
          <w:szCs w:val="20"/>
        </w:rPr>
        <w:t>Observar</w:t>
      </w:r>
      <w:r w:rsidRPr="00FA3856">
        <w:rPr>
          <w:rFonts w:ascii="Times New Roman" w:hAnsi="Times New Roman" w:cs="Times New Roman"/>
          <w:szCs w:val="20"/>
        </w:rPr>
        <w:t xml:space="preserve"> o conceito de rece</w:t>
      </w:r>
      <w:r w:rsidR="00203DD9">
        <w:rPr>
          <w:rFonts w:ascii="Times New Roman" w:hAnsi="Times New Roman" w:cs="Times New Roman"/>
          <w:szCs w:val="20"/>
        </w:rPr>
        <w:t xml:space="preserve">ita bruta disciplinado no art. 26, </w:t>
      </w:r>
      <w:r w:rsidRPr="00FA3856">
        <w:rPr>
          <w:rFonts w:ascii="Times New Roman" w:hAnsi="Times New Roman" w:cs="Times New Roman"/>
          <w:szCs w:val="20"/>
        </w:rPr>
        <w:t>da Instrução Normativa RFB n</w:t>
      </w:r>
      <w:r w:rsidRPr="00FA3856">
        <w:rPr>
          <w:rFonts w:ascii="Times New Roman" w:hAnsi="Times New Roman" w:cs="Times New Roman"/>
          <w:szCs w:val="20"/>
          <w:u w:val="single"/>
          <w:vertAlign w:val="superscript"/>
        </w:rPr>
        <w:t>o</w:t>
      </w:r>
      <w:r w:rsidR="00203DD9">
        <w:rPr>
          <w:rFonts w:ascii="Times New Roman" w:hAnsi="Times New Roman" w:cs="Times New Roman"/>
          <w:szCs w:val="20"/>
        </w:rPr>
        <w:t xml:space="preserve"> 1.700, de 14 de março de 2017, cujo inciso</w:t>
      </w:r>
      <w:r w:rsidRPr="00FA3856">
        <w:rPr>
          <w:rFonts w:ascii="Times New Roman" w:hAnsi="Times New Roman" w:cs="Times New Roman"/>
          <w:szCs w:val="20"/>
        </w:rPr>
        <w:t xml:space="preserve"> IV pode contemplar as receitas decorrentes da aplicação do Método da Equivalência Patrimonial (MEP) percebidas pelas "holdings". </w:t>
      </w:r>
    </w:p>
    <w:p w:rsidR="00C20C5D" w:rsidRPr="00FA3856" w:rsidRDefault="00C20C5D" w:rsidP="001A6818">
      <w:pPr>
        <w:pStyle w:val="NormalWeb"/>
        <w:spacing w:before="0" w:after="0"/>
        <w:jc w:val="both"/>
        <w:rPr>
          <w:rFonts w:ascii="Times New Roman" w:hAnsi="Times New Roman" w:cs="Times New Roman"/>
          <w:b/>
          <w:bCs/>
          <w:szCs w:val="20"/>
        </w:rPr>
      </w:pPr>
    </w:p>
    <w:p w:rsidR="00CD73D7" w:rsidRPr="00FA3856" w:rsidRDefault="00B14A83" w:rsidP="001A6818">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t xml:space="preserve">I.4) </w:t>
      </w:r>
      <w:r w:rsidR="00CD73D7" w:rsidRPr="00FA3856">
        <w:rPr>
          <w:rFonts w:ascii="Times New Roman" w:hAnsi="Times New Roman" w:cs="Times New Roman"/>
          <w:b/>
          <w:bCs/>
          <w:szCs w:val="20"/>
        </w:rPr>
        <w:t>Apuração do Imposto de Renda com Base no Lucro Real (Trimestral e Anual)</w:t>
      </w:r>
    </w:p>
    <w:p w:rsidR="00C20C5D" w:rsidRPr="00FA3856" w:rsidRDefault="00C20C5D" w:rsidP="001A6818">
      <w:pPr>
        <w:pStyle w:val="NormalWeb"/>
        <w:spacing w:before="0" w:after="0"/>
        <w:jc w:val="both"/>
        <w:rPr>
          <w:rFonts w:ascii="Times New Roman" w:hAnsi="Times New Roman" w:cs="Times New Roman"/>
          <w:szCs w:val="20"/>
        </w:rPr>
      </w:pPr>
    </w:p>
    <w:p w:rsidR="00CD73D7" w:rsidRPr="00FA3856" w:rsidRDefault="00CD73D7" w:rsidP="00C20C5D">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As pessoas jurídicas devem apurar trimestralmente o imposto de renda com base no lucro real.</w:t>
      </w:r>
    </w:p>
    <w:p w:rsidR="00C20C5D" w:rsidRPr="00FA3856" w:rsidRDefault="00C20C5D" w:rsidP="001A6818">
      <w:pPr>
        <w:pStyle w:val="NormalWeb"/>
        <w:spacing w:before="0" w:after="0"/>
        <w:jc w:val="both"/>
        <w:rPr>
          <w:rFonts w:ascii="Times New Roman" w:hAnsi="Times New Roman" w:cs="Times New Roman"/>
          <w:szCs w:val="20"/>
        </w:rPr>
      </w:pPr>
    </w:p>
    <w:p w:rsidR="00CD73D7" w:rsidRPr="00FA3856" w:rsidRDefault="00CD73D7" w:rsidP="00C20C5D">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Opcionalmente, as pessoas jurídicas tributadas com base no lucro real podem efetuar, mensalmente, o pagamento do imposto de renda devido no curso do ano-calendário calculado sobre base de cálculo estimada, realizando a apuração definitiva apenas ao final do ano-calendário ou na data do evento, caso ocorra fusão, cisão, incorporação ou extinção da pessoa jurídica.</w:t>
      </w:r>
    </w:p>
    <w:p w:rsidR="00C20C5D" w:rsidRPr="00FA3856" w:rsidRDefault="00C20C5D" w:rsidP="001A6818">
      <w:pPr>
        <w:pStyle w:val="NormalWeb"/>
        <w:spacing w:before="0" w:after="0"/>
        <w:jc w:val="both"/>
        <w:rPr>
          <w:rFonts w:ascii="Times New Roman" w:hAnsi="Times New Roman" w:cs="Times New Roman"/>
          <w:szCs w:val="20"/>
        </w:rPr>
      </w:pPr>
    </w:p>
    <w:p w:rsidR="00CD73D7" w:rsidRPr="00FA3856" w:rsidRDefault="00CD73D7" w:rsidP="00C20C5D">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 xml:space="preserve">Esta opção alcança, inclusive, as pessoas jurídicas que, em qualquer trimestre do ano-calendário, tenham arbitrado o lucro ou tenham se utilizado da faculdade de suspender ou reduzir </w:t>
      </w:r>
      <w:r w:rsidR="00C20C5D" w:rsidRPr="00FA3856">
        <w:rPr>
          <w:rFonts w:ascii="Times New Roman" w:hAnsi="Times New Roman" w:cs="Times New Roman"/>
          <w:szCs w:val="20"/>
        </w:rPr>
        <w:t>o valor dos pagamentos mensais</w:t>
      </w:r>
      <w:r w:rsidRPr="00FA3856">
        <w:rPr>
          <w:rFonts w:ascii="Times New Roman" w:hAnsi="Times New Roman" w:cs="Times New Roman"/>
          <w:szCs w:val="20"/>
        </w:rPr>
        <w:t>, mediante a elaboração de balanços ou balancetes de suspensão ou redução (art. 37, § 5</w:t>
      </w:r>
      <w:r w:rsidRPr="00FA3856">
        <w:rPr>
          <w:rFonts w:ascii="Times New Roman" w:hAnsi="Times New Roman" w:cs="Times New Roman"/>
          <w:strike/>
          <w:szCs w:val="20"/>
        </w:rPr>
        <w:t>º</w:t>
      </w:r>
      <w:r w:rsidRPr="00FA3856">
        <w:rPr>
          <w:rFonts w:ascii="Times New Roman" w:hAnsi="Times New Roman" w:cs="Times New Roman"/>
          <w:szCs w:val="20"/>
        </w:rPr>
        <w:t>,</w:t>
      </w:r>
      <w:bookmarkStart w:id="110" w:name="Subitem_15.1.4"/>
      <w:bookmarkEnd w:id="110"/>
      <w:r w:rsidRPr="00FA3856">
        <w:rPr>
          <w:rFonts w:ascii="Times New Roman" w:hAnsi="Times New Roman" w:cs="Times New Roman"/>
          <w:szCs w:val="20"/>
        </w:rPr>
        <w:t xml:space="preserve"> e art. 57, § 1</w:t>
      </w:r>
      <w:r w:rsidRPr="00FA3856">
        <w:rPr>
          <w:rFonts w:ascii="Times New Roman" w:hAnsi="Times New Roman" w:cs="Times New Roman"/>
          <w:strike/>
          <w:szCs w:val="20"/>
        </w:rPr>
        <w:t>º</w:t>
      </w:r>
      <w:r w:rsidRPr="00FA3856">
        <w:rPr>
          <w:rFonts w:ascii="Times New Roman" w:hAnsi="Times New Roman" w:cs="Times New Roman"/>
          <w:szCs w:val="20"/>
        </w:rPr>
        <w:t xml:space="preserve"> da Lei n</w:t>
      </w:r>
      <w:r w:rsidRPr="00FA3856">
        <w:rPr>
          <w:rFonts w:ascii="Times New Roman" w:hAnsi="Times New Roman" w:cs="Times New Roman"/>
          <w:strike/>
          <w:szCs w:val="20"/>
        </w:rPr>
        <w:t>º</w:t>
      </w:r>
      <w:r w:rsidRPr="00FA3856">
        <w:rPr>
          <w:rFonts w:ascii="Times New Roman" w:hAnsi="Times New Roman" w:cs="Times New Roman"/>
          <w:szCs w:val="20"/>
        </w:rPr>
        <w:t xml:space="preserve"> 8.981, de 1995, com a nova redação dada pela Lei n</w:t>
      </w:r>
      <w:r w:rsidRPr="00FA3856">
        <w:rPr>
          <w:rFonts w:ascii="Times New Roman" w:hAnsi="Times New Roman" w:cs="Times New Roman"/>
          <w:strike/>
          <w:szCs w:val="20"/>
        </w:rPr>
        <w:t>º</w:t>
      </w:r>
      <w:r w:rsidRPr="00FA3856">
        <w:rPr>
          <w:rFonts w:ascii="Times New Roman" w:hAnsi="Times New Roman" w:cs="Times New Roman"/>
          <w:szCs w:val="20"/>
        </w:rPr>
        <w:t xml:space="preserve"> 9.065, de 1995).</w:t>
      </w:r>
    </w:p>
    <w:p w:rsidR="00CD73D7" w:rsidRPr="00FA3856" w:rsidRDefault="00CD73D7" w:rsidP="001A6818">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Incide multa de ofício de 50% (cinquenta por cento) sobre os valores devidos e não pagos do imposto, calculados sobre a base de cálculo estimada, ainda que apurado prejuízo fiscal no encerramento do período de apuração (ajuste anual), salvo se comprovado que a insuficiência de pagamento decorreu do levantamento do balanço ou balancete de suspensão ou redução na forma do art. 35 da Lei n</w:t>
      </w:r>
      <w:r w:rsidRPr="00FA3856">
        <w:rPr>
          <w:rFonts w:ascii="Times New Roman" w:hAnsi="Times New Roman" w:cs="Times New Roman"/>
          <w:strike/>
          <w:szCs w:val="20"/>
        </w:rPr>
        <w:t>º</w:t>
      </w:r>
      <w:r w:rsidRPr="00FA3856">
        <w:rPr>
          <w:rFonts w:ascii="Times New Roman" w:hAnsi="Times New Roman" w:cs="Times New Roman"/>
          <w:szCs w:val="20"/>
        </w:rPr>
        <w:t xml:space="preserve"> 8.981, de 1995, e alterações posteriores (Lei n</w:t>
      </w:r>
      <w:r w:rsidRPr="00FA3856">
        <w:rPr>
          <w:rFonts w:ascii="Times New Roman" w:hAnsi="Times New Roman" w:cs="Times New Roman"/>
          <w:strike/>
          <w:szCs w:val="20"/>
        </w:rPr>
        <w:t>º</w:t>
      </w:r>
      <w:r w:rsidRPr="00FA3856">
        <w:rPr>
          <w:rFonts w:ascii="Times New Roman" w:hAnsi="Times New Roman" w:cs="Times New Roman"/>
          <w:szCs w:val="20"/>
        </w:rPr>
        <w:t xml:space="preserve"> 9.430, de 1996, art. 44).</w:t>
      </w:r>
    </w:p>
    <w:p w:rsidR="00C20C5D" w:rsidRPr="00FA3856" w:rsidRDefault="00C20C5D" w:rsidP="001A6818">
      <w:pPr>
        <w:pStyle w:val="NormalWeb"/>
        <w:spacing w:before="0" w:after="0"/>
        <w:jc w:val="both"/>
        <w:rPr>
          <w:rFonts w:ascii="Times New Roman" w:hAnsi="Times New Roman" w:cs="Times New Roman"/>
          <w:b/>
          <w:bCs/>
          <w:szCs w:val="20"/>
        </w:rPr>
      </w:pPr>
    </w:p>
    <w:p w:rsidR="00CD73D7" w:rsidRPr="00FA3856" w:rsidRDefault="00B14A83" w:rsidP="001A6818">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t xml:space="preserve">I.5) </w:t>
      </w:r>
      <w:r w:rsidR="00CD73D7" w:rsidRPr="00FA3856">
        <w:rPr>
          <w:rFonts w:ascii="Times New Roman" w:hAnsi="Times New Roman" w:cs="Times New Roman"/>
          <w:b/>
          <w:bCs/>
          <w:szCs w:val="20"/>
        </w:rPr>
        <w:t>Determinação da Base de Cálculo Estimada (Anual)</w:t>
      </w:r>
    </w:p>
    <w:p w:rsidR="00C20C5D" w:rsidRPr="00FA3856" w:rsidRDefault="00C20C5D" w:rsidP="001A6818">
      <w:pPr>
        <w:pStyle w:val="NormalWeb"/>
        <w:spacing w:before="0" w:after="0"/>
        <w:jc w:val="both"/>
        <w:rPr>
          <w:rFonts w:ascii="Times New Roman" w:hAnsi="Times New Roman" w:cs="Times New Roman"/>
          <w:b/>
          <w:bCs/>
          <w:szCs w:val="20"/>
        </w:rPr>
      </w:pPr>
    </w:p>
    <w:p w:rsidR="00CD73D7" w:rsidRPr="00FA3856" w:rsidRDefault="00B14A83" w:rsidP="001A6818">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t xml:space="preserve">I.5.1) </w:t>
      </w:r>
      <w:r w:rsidR="00CD73D7" w:rsidRPr="00FA3856">
        <w:rPr>
          <w:rFonts w:ascii="Times New Roman" w:hAnsi="Times New Roman" w:cs="Times New Roman"/>
          <w:b/>
          <w:bCs/>
          <w:szCs w:val="20"/>
        </w:rPr>
        <w:t>Percentuais a Serem Aplicados Sobre a Receita Bruta Mensal</w:t>
      </w:r>
      <w:r w:rsidR="00CD73D7" w:rsidRPr="00FA3856">
        <w:rPr>
          <w:rFonts w:ascii="Times New Roman" w:hAnsi="Times New Roman" w:cs="Times New Roman"/>
          <w:szCs w:val="20"/>
        </w:rPr>
        <w:t xml:space="preserve"> </w:t>
      </w:r>
    </w:p>
    <w:p w:rsidR="00C20C5D" w:rsidRPr="00FA3856" w:rsidRDefault="00C20C5D" w:rsidP="001A6818">
      <w:pPr>
        <w:pStyle w:val="NormalWeb"/>
        <w:spacing w:before="0" w:after="0"/>
        <w:jc w:val="both"/>
        <w:rPr>
          <w:rFonts w:ascii="Times New Roman" w:hAnsi="Times New Roman" w:cs="Times New Roman"/>
          <w:szCs w:val="20"/>
        </w:rPr>
      </w:pPr>
    </w:p>
    <w:p w:rsidR="00CD73D7" w:rsidRPr="00FA3856" w:rsidRDefault="00CD73D7" w:rsidP="00C20C5D">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base de cálculo do imposto, em cada mês, é determinada mediante a aplicação dos seguintes percentuais:</w:t>
      </w:r>
    </w:p>
    <w:p w:rsidR="00C20C5D" w:rsidRPr="00FA3856" w:rsidRDefault="00C20C5D" w:rsidP="001A6818">
      <w:pPr>
        <w:pStyle w:val="NormalWeb"/>
        <w:spacing w:before="0" w:after="0"/>
        <w:jc w:val="both"/>
        <w:rPr>
          <w:rFonts w:ascii="Times New Roman" w:hAnsi="Times New Roman" w:cs="Times New Roman"/>
          <w:szCs w:val="20"/>
        </w:rPr>
      </w:pPr>
    </w:p>
    <w:p w:rsidR="00CD73D7" w:rsidRPr="00FA3856" w:rsidRDefault="00CD73D7" w:rsidP="00C20C5D">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1,6% (um inteiro e seis décimos por cento) sobre a receita bruta mensal auferida na revenda, para consumo, de combustível derivado de petróleo, álcool etílico carburante e gás natural;</w:t>
      </w:r>
    </w:p>
    <w:p w:rsidR="00CD73D7" w:rsidRPr="00FA3856" w:rsidRDefault="00CD73D7" w:rsidP="00C20C5D">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b) 8% (oito por cento) sobre a receita bruta mensal proveniente:</w:t>
      </w:r>
    </w:p>
    <w:p w:rsidR="00CD73D7" w:rsidRPr="00FA3856" w:rsidRDefault="00CD73D7" w:rsidP="00C20C5D">
      <w:pPr>
        <w:pStyle w:val="NormalWeb"/>
        <w:spacing w:before="0" w:after="0"/>
        <w:ind w:left="1416"/>
        <w:jc w:val="both"/>
        <w:rPr>
          <w:rFonts w:ascii="Times New Roman" w:hAnsi="Times New Roman" w:cs="Times New Roman"/>
          <w:szCs w:val="20"/>
        </w:rPr>
      </w:pPr>
      <w:r w:rsidRPr="00FA3856">
        <w:rPr>
          <w:rFonts w:ascii="Times New Roman" w:hAnsi="Times New Roman" w:cs="Times New Roman"/>
          <w:szCs w:val="20"/>
        </w:rPr>
        <w:t>b.1) da venda de produtos de fabricação própria;</w:t>
      </w:r>
    </w:p>
    <w:p w:rsidR="00CD73D7" w:rsidRPr="00FA3856" w:rsidRDefault="00CD73D7" w:rsidP="00C20C5D">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b.2) da venda de mercadorias adquiridas para revenda;</w:t>
      </w:r>
    </w:p>
    <w:p w:rsidR="00CD73D7" w:rsidRPr="00FA3856" w:rsidRDefault="00CD73D7" w:rsidP="00C20C5D">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b.3) da industrialização de produtos em que a matéria-prima, ou o produto intermediário ou o material de embalagem tenham sido fornecidos por quem encomendou a industrialização;</w:t>
      </w:r>
    </w:p>
    <w:p w:rsidR="00CD73D7" w:rsidRPr="00FA3856" w:rsidRDefault="00CD73D7" w:rsidP="00C20C5D">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 xml:space="preserve">b.4) da atividade rural; </w:t>
      </w:r>
    </w:p>
    <w:p w:rsidR="00CD73D7" w:rsidRPr="00FA3856" w:rsidRDefault="00CD73D7" w:rsidP="00C20C5D">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lastRenderedPageBreak/>
        <w:t>b.5) de serviços hospitalares;</w:t>
      </w:r>
    </w:p>
    <w:p w:rsidR="00CD73D7" w:rsidRPr="00FA3856" w:rsidRDefault="00CD73D7" w:rsidP="00C20C5D">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 xml:space="preserve">b.6) do transporte de </w:t>
      </w:r>
      <w:bookmarkStart w:id="111" w:name="subitem_15.1.5"/>
      <w:bookmarkEnd w:id="111"/>
      <w:r w:rsidRPr="00FA3856">
        <w:rPr>
          <w:rFonts w:ascii="Times New Roman" w:hAnsi="Times New Roman" w:cs="Times New Roman"/>
          <w:szCs w:val="20"/>
        </w:rPr>
        <w:t>cargas;</w:t>
      </w:r>
    </w:p>
    <w:p w:rsidR="00CD73D7" w:rsidRPr="00FA3856" w:rsidRDefault="00CD73D7" w:rsidP="00C20C5D">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 xml:space="preserve">b.7) das atividades de loteamento de terrenos, </w:t>
      </w:r>
      <w:bookmarkStart w:id="112" w:name="subitem_15.1.5.1"/>
      <w:bookmarkEnd w:id="112"/>
      <w:r w:rsidRPr="00FA3856">
        <w:rPr>
          <w:rFonts w:ascii="Times New Roman" w:hAnsi="Times New Roman" w:cs="Times New Roman"/>
          <w:szCs w:val="20"/>
        </w:rPr>
        <w:t>incorporação imobiliária e venda de imóveis construídos ou adquiridos para revenda;</w:t>
      </w:r>
    </w:p>
    <w:p w:rsidR="00CD73D7" w:rsidRPr="00FA3856" w:rsidRDefault="00CD73D7" w:rsidP="00C20C5D">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b.8) de outras atividades não caracterizadas como prestação de serviços;</w:t>
      </w:r>
    </w:p>
    <w:p w:rsidR="00CD73D7" w:rsidRPr="00FA3856" w:rsidRDefault="00CD73D7" w:rsidP="00C20C5D">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c) 16% (dezesseis por cento) sobre a receita bruta mensal auferida pela prestação de serviços de transporte, exceto o de cargas;</w:t>
      </w:r>
    </w:p>
    <w:p w:rsidR="00CD73D7" w:rsidRPr="00FA3856" w:rsidRDefault="00CD73D7" w:rsidP="00C20C5D">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d) 32% (trinta e dois por cento) sobre a receita bruta mensal auferida com as atividades de:</w:t>
      </w:r>
    </w:p>
    <w:p w:rsidR="00CD73D7" w:rsidRPr="00FA3856" w:rsidRDefault="00CD73D7" w:rsidP="00C20C5D">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d.1) prestação de serviços, relativos ao exercício de profissão legalmente regulamentada;</w:t>
      </w:r>
    </w:p>
    <w:p w:rsidR="00CD73D7" w:rsidRPr="00FA3856" w:rsidRDefault="00CD73D7" w:rsidP="00C20C5D">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d.2) intermediação de negócios;</w:t>
      </w:r>
    </w:p>
    <w:p w:rsidR="00CD73D7" w:rsidRPr="00FA3856" w:rsidRDefault="00CD73D7" w:rsidP="00C20C5D">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 xml:space="preserve">d.3) administração, locação ou cessão de bens imóveis, móveis ou direitos de qualquer natureza; </w:t>
      </w:r>
    </w:p>
    <w:p w:rsidR="00CD73D7" w:rsidRPr="00FA3856" w:rsidRDefault="00CD73D7" w:rsidP="00C20C5D">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d.4) construção por administração ou por empreitada unicamente de mão-de-obra;</w:t>
      </w:r>
    </w:p>
    <w:p w:rsidR="00CD73D7" w:rsidRPr="00FA3856" w:rsidRDefault="00CD73D7" w:rsidP="00C20C5D">
      <w:pPr>
        <w:pStyle w:val="NormalWeb"/>
        <w:spacing w:before="0" w:after="0"/>
        <w:ind w:left="1416"/>
        <w:jc w:val="both"/>
        <w:rPr>
          <w:rFonts w:ascii="Times New Roman" w:hAnsi="Times New Roman" w:cs="Times New Roman"/>
          <w:szCs w:val="20"/>
        </w:rPr>
      </w:pPr>
      <w:r w:rsidRPr="00FA3856">
        <w:rPr>
          <w:rFonts w:ascii="Times New Roman" w:hAnsi="Times New Roman" w:cs="Times New Roman"/>
          <w:szCs w:val="20"/>
        </w:rPr>
        <w:t>d.5) prestação cumulativa e contínua de serviços de assessoria creditícia, mercadológica, gestão de crédito, seleção de riscos, administração de contas a pagar e a receber, e compras de direitos creditórios resultantes de vendas mercantis a prazo ou de prestação de serviços (</w:t>
      </w:r>
      <w:r w:rsidRPr="00FA3856">
        <w:rPr>
          <w:rStyle w:val="nfase"/>
          <w:rFonts w:ascii="Times New Roman" w:hAnsi="Times New Roman" w:cs="Times New Roman"/>
          <w:szCs w:val="20"/>
        </w:rPr>
        <w:t>factoring</w:t>
      </w:r>
      <w:r w:rsidRPr="00FA3856">
        <w:rPr>
          <w:rFonts w:ascii="Times New Roman" w:hAnsi="Times New Roman" w:cs="Times New Roman"/>
          <w:szCs w:val="20"/>
        </w:rPr>
        <w:t>);</w:t>
      </w:r>
    </w:p>
    <w:p w:rsidR="00CD73D7" w:rsidRPr="00FA3856" w:rsidRDefault="00CD73D7" w:rsidP="00C20C5D">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d.6) prestação de qualquer outra espécie de serviço não mencionada neste subitem.</w:t>
      </w:r>
    </w:p>
    <w:p w:rsidR="00C20C5D" w:rsidRPr="00FA3856" w:rsidRDefault="00C20C5D" w:rsidP="001A6818">
      <w:pPr>
        <w:pStyle w:val="NormalWeb"/>
        <w:spacing w:before="0" w:after="0"/>
        <w:jc w:val="both"/>
        <w:rPr>
          <w:rFonts w:ascii="Times New Roman" w:hAnsi="Times New Roman" w:cs="Times New Roman"/>
          <w:szCs w:val="20"/>
        </w:rPr>
      </w:pPr>
    </w:p>
    <w:p w:rsidR="00CD73D7" w:rsidRPr="00FA3856" w:rsidRDefault="00CD73D7" w:rsidP="00C20C5D">
      <w:pPr>
        <w:pStyle w:val="NormalWeb"/>
        <w:spacing w:before="0" w:after="0"/>
        <w:ind w:firstLine="600"/>
        <w:jc w:val="both"/>
        <w:rPr>
          <w:rFonts w:ascii="Times New Roman" w:hAnsi="Times New Roman" w:cs="Times New Roman"/>
          <w:szCs w:val="20"/>
        </w:rPr>
      </w:pPr>
      <w:r w:rsidRPr="00FA3856">
        <w:rPr>
          <w:rFonts w:ascii="Times New Roman" w:hAnsi="Times New Roman" w:cs="Times New Roman"/>
          <w:szCs w:val="20"/>
        </w:rPr>
        <w:t>As atividades de corretagem (seguros, imóveis, etc.) e as de representação comercial são consideradas atividades de intermediação de negócios.</w:t>
      </w:r>
    </w:p>
    <w:p w:rsidR="00C20C5D" w:rsidRPr="00FA3856" w:rsidRDefault="00C20C5D" w:rsidP="001A6818">
      <w:pPr>
        <w:pStyle w:val="NormalWeb"/>
        <w:spacing w:before="0" w:after="0"/>
        <w:ind w:left="600"/>
        <w:jc w:val="both"/>
        <w:rPr>
          <w:rFonts w:ascii="Times New Roman" w:hAnsi="Times New Roman" w:cs="Times New Roman"/>
          <w:b/>
          <w:bCs/>
          <w:szCs w:val="20"/>
        </w:rPr>
      </w:pPr>
    </w:p>
    <w:p w:rsidR="00CD73D7" w:rsidRPr="00FA3856" w:rsidRDefault="00CD73D7" w:rsidP="001A6818">
      <w:pPr>
        <w:pStyle w:val="NormalWeb"/>
        <w:spacing w:before="0" w:after="0"/>
        <w:ind w:left="600"/>
        <w:jc w:val="both"/>
        <w:rPr>
          <w:rFonts w:ascii="Times New Roman" w:hAnsi="Times New Roman" w:cs="Times New Roman"/>
          <w:szCs w:val="20"/>
        </w:rPr>
      </w:pPr>
      <w:r w:rsidRPr="00FA3856">
        <w:rPr>
          <w:rFonts w:ascii="Times New Roman" w:hAnsi="Times New Roman" w:cs="Times New Roman"/>
          <w:b/>
          <w:bCs/>
          <w:szCs w:val="20"/>
        </w:rPr>
        <w:t>Atenção:</w:t>
      </w:r>
    </w:p>
    <w:p w:rsidR="00CD73D7" w:rsidRPr="00FA3856" w:rsidRDefault="00CD73D7" w:rsidP="001A6818">
      <w:pPr>
        <w:pStyle w:val="NormalWeb"/>
        <w:spacing w:before="0" w:after="0"/>
        <w:ind w:left="600"/>
        <w:jc w:val="both"/>
        <w:rPr>
          <w:rFonts w:ascii="Times New Roman" w:hAnsi="Times New Roman" w:cs="Times New Roman"/>
          <w:szCs w:val="20"/>
        </w:rPr>
      </w:pPr>
      <w:r w:rsidRPr="00FA3856">
        <w:rPr>
          <w:rFonts w:ascii="Times New Roman" w:hAnsi="Times New Roman" w:cs="Times New Roman"/>
          <w:szCs w:val="20"/>
        </w:rPr>
        <w:t>1) No caso de atividades diversificadas, deve ser aplicado o percentual correspondente sobre a receita proveniente de cada atividade.</w:t>
      </w:r>
    </w:p>
    <w:p w:rsidR="00CD73D7" w:rsidRPr="00FA3856" w:rsidRDefault="00CD73D7" w:rsidP="001A6818">
      <w:pPr>
        <w:pStyle w:val="NormalWeb"/>
        <w:spacing w:before="0" w:after="0"/>
        <w:ind w:left="600"/>
        <w:jc w:val="both"/>
        <w:rPr>
          <w:rFonts w:ascii="Times New Roman" w:hAnsi="Times New Roman" w:cs="Times New Roman"/>
          <w:szCs w:val="20"/>
        </w:rPr>
      </w:pPr>
      <w:r w:rsidRPr="00FA3856">
        <w:rPr>
          <w:rFonts w:ascii="Times New Roman" w:hAnsi="Times New Roman" w:cs="Times New Roman"/>
          <w:szCs w:val="20"/>
        </w:rPr>
        <w:t>2) As sociedades cooperativas de consumo e as demais quanto aos atos não cooperados, utilizam os percentuais de acordo com a natureza de suas atividades.</w:t>
      </w:r>
    </w:p>
    <w:p w:rsidR="00CD73D7" w:rsidRPr="00FA3856" w:rsidRDefault="00CD73D7" w:rsidP="001A6818">
      <w:pPr>
        <w:pStyle w:val="NormalWeb"/>
        <w:spacing w:before="0" w:after="0"/>
        <w:ind w:left="600"/>
        <w:jc w:val="both"/>
        <w:rPr>
          <w:rFonts w:ascii="Times New Roman" w:hAnsi="Times New Roman" w:cs="Times New Roman"/>
          <w:szCs w:val="20"/>
        </w:rPr>
      </w:pPr>
      <w:r w:rsidRPr="00FA3856">
        <w:rPr>
          <w:rFonts w:ascii="Times New Roman" w:hAnsi="Times New Roman" w:cs="Times New Roman"/>
          <w:szCs w:val="20"/>
        </w:rPr>
        <w:t>3) A partir de 1º de janeiro de 2006, o percentual também passou a ser aplicado sobre a receita financeira da pessoa jurídica que explore atividades imobiliárias relativas a loteamento de terrenos, incorporação imobiliária, construção de prédios destinados à venda, bem como a venda de imóveis construídos ou adquiridos para a revenda, quando decorrente da comercialização de imóveis e for apurada por meio de índices ou coeficientes previstos em contrato. (Lei nº 11.196, de 2005, art. 34)</w:t>
      </w:r>
    </w:p>
    <w:p w:rsidR="00C20C5D" w:rsidRPr="00FA3856" w:rsidRDefault="00C20C5D" w:rsidP="001A6818">
      <w:pPr>
        <w:pStyle w:val="NormalWeb"/>
        <w:spacing w:before="0" w:after="0"/>
        <w:jc w:val="both"/>
        <w:rPr>
          <w:rFonts w:ascii="Times New Roman" w:hAnsi="Times New Roman" w:cs="Times New Roman"/>
          <w:b/>
          <w:bCs/>
          <w:szCs w:val="20"/>
        </w:rPr>
      </w:pPr>
    </w:p>
    <w:p w:rsidR="00CD73D7" w:rsidRPr="00FA3856" w:rsidRDefault="00B14A83" w:rsidP="001A6818">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t xml:space="preserve">I.5.2) </w:t>
      </w:r>
      <w:r w:rsidR="00CD73D7" w:rsidRPr="00FA3856">
        <w:rPr>
          <w:rFonts w:ascii="Times New Roman" w:hAnsi="Times New Roman" w:cs="Times New Roman"/>
          <w:b/>
          <w:bCs/>
          <w:szCs w:val="20"/>
        </w:rPr>
        <w:t>Determinação da Base de Cálculo do Imposto Por Meio de Percentual Favorecido</w:t>
      </w:r>
    </w:p>
    <w:p w:rsidR="00C20C5D" w:rsidRPr="00FA3856" w:rsidRDefault="00C20C5D" w:rsidP="001A6818">
      <w:pPr>
        <w:pStyle w:val="NormalWeb"/>
        <w:spacing w:before="0" w:after="0"/>
        <w:jc w:val="both"/>
        <w:rPr>
          <w:rFonts w:ascii="Times New Roman" w:hAnsi="Times New Roman" w:cs="Times New Roman"/>
          <w:szCs w:val="20"/>
        </w:rPr>
      </w:pPr>
    </w:p>
    <w:p w:rsidR="00CD73D7" w:rsidRPr="00FA3856" w:rsidRDefault="00CD73D7" w:rsidP="00C20C5D">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 xml:space="preserve">As pessoas jurídicas exclusivamente prestadoras de serviços em geral, mencionadas nas alíneas "d.2" a "d.6" </w:t>
      </w:r>
      <w:r w:rsidR="00C20C5D" w:rsidRPr="00FA3856">
        <w:rPr>
          <w:rFonts w:ascii="Times New Roman" w:hAnsi="Times New Roman" w:cs="Times New Roman"/>
          <w:szCs w:val="20"/>
        </w:rPr>
        <w:t>do subitem I.5.1</w:t>
      </w:r>
      <w:r w:rsidRPr="00FA3856">
        <w:rPr>
          <w:rFonts w:ascii="Times New Roman" w:hAnsi="Times New Roman" w:cs="Times New Roman"/>
          <w:szCs w:val="20"/>
        </w:rPr>
        <w:t>, cuja receita bruta anual seja de até R$ 120.000,00, podem utilizar, para determinação da base de cálculo do imposto de renda mensal, o percentual de 16% (dezesseis por cento).</w:t>
      </w:r>
    </w:p>
    <w:p w:rsidR="00C20C5D" w:rsidRPr="00FA3856" w:rsidRDefault="00C20C5D" w:rsidP="001A6818">
      <w:pPr>
        <w:pStyle w:val="NormalWeb"/>
        <w:spacing w:before="0" w:after="0"/>
        <w:jc w:val="both"/>
        <w:rPr>
          <w:rFonts w:ascii="Times New Roman" w:hAnsi="Times New Roman" w:cs="Times New Roman"/>
          <w:szCs w:val="20"/>
        </w:rPr>
      </w:pPr>
    </w:p>
    <w:p w:rsidR="00CD73D7" w:rsidRPr="00FA3856" w:rsidRDefault="00CD73D7" w:rsidP="00C20C5D">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Se a receita bruta anual acumulada até determinado mês do ano-calendário exceder o limite anual de R$ 120.000,00 (cento e vinte mil reais), a pessoa jurídica deve determinar nova base de cálculo do imposto com a aplicação do percentual de 32% (trinta e dois por cento) e apurar a diferença do imposto postergado em cada mês transcorrido, no mês em que foi excedido o limite.</w:t>
      </w:r>
    </w:p>
    <w:p w:rsidR="00CD73D7" w:rsidRPr="00FA3856" w:rsidRDefault="00CD73D7" w:rsidP="001A6818">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Esta diferença deve ser paga em Darf separado, nos códigos 2362 (pessoas jurídi</w:t>
      </w:r>
      <w:bookmarkStart w:id="113" w:name="Subitem_15.1.5.2"/>
      <w:bookmarkEnd w:id="113"/>
      <w:r w:rsidRPr="00FA3856">
        <w:rPr>
          <w:rFonts w:ascii="Times New Roman" w:hAnsi="Times New Roman" w:cs="Times New Roman"/>
          <w:szCs w:val="20"/>
        </w:rPr>
        <w:t>cas obrigadas ao lucro real) ou 5993 (pessoas jurídicas optantes pelo lucro real), até o último dia útil do mês subsequente ao mês em que ocorreu o excesso. Após este prazo, a diferença deve ser paga com os acréscimos legais.</w:t>
      </w:r>
    </w:p>
    <w:p w:rsidR="00C20C5D" w:rsidRPr="00FA3856" w:rsidRDefault="00C20C5D" w:rsidP="001A6818">
      <w:pPr>
        <w:pStyle w:val="NormalWeb"/>
        <w:spacing w:before="0" w:after="0"/>
        <w:jc w:val="both"/>
        <w:rPr>
          <w:rFonts w:ascii="Times New Roman" w:hAnsi="Times New Roman" w:cs="Times New Roman"/>
          <w:b/>
          <w:bCs/>
          <w:szCs w:val="20"/>
        </w:rPr>
      </w:pPr>
    </w:p>
    <w:p w:rsidR="00CD73D7" w:rsidRPr="00FA3856" w:rsidRDefault="00B14A83" w:rsidP="001A6818">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t xml:space="preserve">I.5.3) </w:t>
      </w:r>
      <w:r w:rsidR="00CD73D7" w:rsidRPr="00FA3856">
        <w:rPr>
          <w:rFonts w:ascii="Times New Roman" w:hAnsi="Times New Roman" w:cs="Times New Roman"/>
          <w:b/>
          <w:bCs/>
          <w:szCs w:val="20"/>
        </w:rPr>
        <w:t>Definição de Receita Bruta</w:t>
      </w:r>
      <w:r w:rsidR="00CD73D7" w:rsidRPr="00FA3856">
        <w:rPr>
          <w:rFonts w:ascii="Times New Roman" w:hAnsi="Times New Roman" w:cs="Times New Roman"/>
          <w:szCs w:val="20"/>
        </w:rPr>
        <w:t xml:space="preserve"> </w:t>
      </w:r>
    </w:p>
    <w:p w:rsidR="00C20C5D" w:rsidRPr="00FA3856" w:rsidRDefault="00C20C5D" w:rsidP="001A6818">
      <w:pPr>
        <w:pStyle w:val="NormalWeb"/>
        <w:spacing w:before="0" w:after="0"/>
        <w:jc w:val="both"/>
        <w:rPr>
          <w:rFonts w:ascii="Times New Roman" w:hAnsi="Times New Roman" w:cs="Times New Roman"/>
          <w:szCs w:val="20"/>
        </w:rPr>
      </w:pPr>
    </w:p>
    <w:p w:rsidR="00CD73D7" w:rsidRPr="00FA3856" w:rsidRDefault="00CD73D7" w:rsidP="00C20C5D">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receita bruta das vendas e serviços compreende o produto da venda de bens nas operações de conta própria, o</w:t>
      </w:r>
      <w:r w:rsidR="00212FA3">
        <w:rPr>
          <w:rFonts w:ascii="Times New Roman" w:hAnsi="Times New Roman" w:cs="Times New Roman"/>
          <w:szCs w:val="20"/>
        </w:rPr>
        <w:t xml:space="preserve"> preço dos serviços prestados, </w:t>
      </w:r>
      <w:r w:rsidRPr="00FA3856">
        <w:rPr>
          <w:rFonts w:ascii="Times New Roman" w:hAnsi="Times New Roman" w:cs="Times New Roman"/>
          <w:szCs w:val="20"/>
        </w:rPr>
        <w:t>o resultado auferido nas operações de conta alheia</w:t>
      </w:r>
      <w:r w:rsidR="00212FA3">
        <w:rPr>
          <w:rFonts w:ascii="Times New Roman" w:hAnsi="Times New Roman" w:cs="Times New Roman"/>
          <w:szCs w:val="20"/>
        </w:rPr>
        <w:t xml:space="preserve"> e as receitas da atividade ou objeto principal da pessoa jurídica não compreendida nos itens anteriores</w:t>
      </w:r>
      <w:r w:rsidRPr="00FA3856">
        <w:rPr>
          <w:rFonts w:ascii="Times New Roman" w:hAnsi="Times New Roman" w:cs="Times New Roman"/>
          <w:szCs w:val="20"/>
        </w:rPr>
        <w:t>, observando-se que:</w:t>
      </w:r>
    </w:p>
    <w:p w:rsidR="00C20C5D" w:rsidRPr="00FA3856" w:rsidRDefault="00C20C5D" w:rsidP="001A6818">
      <w:pPr>
        <w:pStyle w:val="NormalWeb"/>
        <w:spacing w:before="0" w:after="0"/>
        <w:jc w:val="both"/>
        <w:rPr>
          <w:rFonts w:ascii="Times New Roman" w:hAnsi="Times New Roman" w:cs="Times New Roman"/>
          <w:szCs w:val="20"/>
        </w:rPr>
      </w:pPr>
    </w:p>
    <w:p w:rsidR="00CD73D7" w:rsidRPr="00FA3856" w:rsidRDefault="00CD73D7" w:rsidP="00C20C5D">
      <w:pPr>
        <w:pStyle w:val="NormalWeb"/>
        <w:spacing w:before="0" w:after="0"/>
        <w:ind w:left="708"/>
        <w:jc w:val="both"/>
        <w:rPr>
          <w:rFonts w:ascii="Times New Roman" w:hAnsi="Times New Roman" w:cs="Times New Roman"/>
          <w:szCs w:val="20"/>
        </w:rPr>
      </w:pPr>
      <w:r w:rsidRPr="00FA3856">
        <w:rPr>
          <w:rFonts w:ascii="Times New Roman" w:hAnsi="Times New Roman" w:cs="Times New Roman"/>
          <w:szCs w:val="20"/>
        </w:rPr>
        <w:t>a) as pessoas jurídicas que explorem atividades imobiliárias relativas a loteamentos de terrenos, incorporação imobiliária, construção de prédios destinados à venda, e venda de imóveis construídos ou adquiridos para revenda, devem considerar como receita bruta o montante efetivamente recebido, relativo às unidades imobiliárias vendidas;</w:t>
      </w:r>
    </w:p>
    <w:p w:rsidR="00CD73D7" w:rsidRPr="00FA3856" w:rsidRDefault="00CD73D7" w:rsidP="00C20C5D">
      <w:pPr>
        <w:pStyle w:val="NormalWeb"/>
        <w:spacing w:before="0" w:after="0"/>
        <w:ind w:left="708"/>
        <w:jc w:val="both"/>
        <w:rPr>
          <w:rFonts w:ascii="Times New Roman" w:hAnsi="Times New Roman" w:cs="Times New Roman"/>
          <w:szCs w:val="20"/>
        </w:rPr>
      </w:pPr>
      <w:r w:rsidRPr="00FA3856">
        <w:rPr>
          <w:rFonts w:ascii="Times New Roman" w:hAnsi="Times New Roman" w:cs="Times New Roman"/>
          <w:szCs w:val="20"/>
        </w:rPr>
        <w:lastRenderedPageBreak/>
        <w:t>b) nos casos de contratos com prazo de execução superior a um ano, de construção por empreitada ou de fornecimento a preço predeterminado de bens ou serviços a serem produzidos, deve ser computada na receita bruta parte do preço total da empreitada, ou d</w:t>
      </w:r>
      <w:bookmarkStart w:id="114" w:name="Subitem_15.1.5.3"/>
      <w:bookmarkEnd w:id="114"/>
      <w:r w:rsidRPr="00FA3856">
        <w:rPr>
          <w:rFonts w:ascii="Times New Roman" w:hAnsi="Times New Roman" w:cs="Times New Roman"/>
          <w:szCs w:val="20"/>
        </w:rPr>
        <w:t>os bens ou serviços a serem fornecidos, determinada mediante a aplicação, sobre esse preço total, da percentagem do contrato ou da produção executada em cada mês, observado o disposto na alínea "d";</w:t>
      </w:r>
    </w:p>
    <w:p w:rsidR="00CD73D7" w:rsidRPr="00FA3856" w:rsidRDefault="00CD73D7" w:rsidP="00C20C5D">
      <w:pPr>
        <w:pStyle w:val="NormalWeb"/>
        <w:spacing w:before="0" w:after="0"/>
        <w:ind w:left="708"/>
        <w:jc w:val="both"/>
        <w:rPr>
          <w:rFonts w:ascii="Times New Roman" w:hAnsi="Times New Roman" w:cs="Times New Roman"/>
          <w:szCs w:val="20"/>
        </w:rPr>
      </w:pPr>
      <w:r w:rsidRPr="00FA3856">
        <w:rPr>
          <w:rFonts w:ascii="Times New Roman" w:hAnsi="Times New Roman" w:cs="Times New Roman"/>
          <w:szCs w:val="20"/>
        </w:rPr>
        <w:t>c) no caso de construções ou fornecimentos contratados com base em preço unitário de quantidades de bens ou serviços produzidos em prazo inferior a um ano, a receita deve ser incluída no mês em que for completada cada unidade;</w:t>
      </w:r>
    </w:p>
    <w:p w:rsidR="00CD73D7" w:rsidRPr="00FA3856" w:rsidRDefault="00CD73D7" w:rsidP="00C20C5D">
      <w:pPr>
        <w:pStyle w:val="NormalWeb"/>
        <w:spacing w:before="0" w:after="0"/>
        <w:ind w:left="708"/>
        <w:jc w:val="both"/>
        <w:rPr>
          <w:rFonts w:ascii="Times New Roman" w:hAnsi="Times New Roman" w:cs="Times New Roman"/>
          <w:szCs w:val="20"/>
        </w:rPr>
      </w:pPr>
      <w:r w:rsidRPr="00FA3856">
        <w:rPr>
          <w:rFonts w:ascii="Times New Roman" w:hAnsi="Times New Roman" w:cs="Times New Roman"/>
          <w:szCs w:val="20"/>
        </w:rPr>
        <w:t>d) a receita decorrente de fornecimento de bens e serviços para pessoa jurídica de direito público ou empresa sob seu controle, empresas públicas, sociedades de economia mista ou suas subsidiárias, nos casos de empreitada ou fornecimento contratado nas condições do art. 10 e § 2</w:t>
      </w:r>
      <w:r w:rsidRPr="00FA3856">
        <w:rPr>
          <w:rFonts w:ascii="Times New Roman" w:hAnsi="Times New Roman" w:cs="Times New Roman"/>
          <w:strike/>
          <w:szCs w:val="20"/>
        </w:rPr>
        <w:t>º</w:t>
      </w:r>
      <w:r w:rsidRPr="00FA3856">
        <w:rPr>
          <w:rFonts w:ascii="Times New Roman" w:hAnsi="Times New Roman" w:cs="Times New Roman"/>
          <w:szCs w:val="20"/>
        </w:rPr>
        <w:t xml:space="preserve"> do Decreto-lei n</w:t>
      </w:r>
      <w:r w:rsidRPr="00FA3856">
        <w:rPr>
          <w:rFonts w:ascii="Times New Roman" w:hAnsi="Times New Roman" w:cs="Times New Roman"/>
          <w:strike/>
          <w:szCs w:val="20"/>
        </w:rPr>
        <w:t>º</w:t>
      </w:r>
      <w:r w:rsidRPr="00FA3856">
        <w:rPr>
          <w:rFonts w:ascii="Times New Roman" w:hAnsi="Times New Roman" w:cs="Times New Roman"/>
          <w:szCs w:val="20"/>
        </w:rPr>
        <w:t xml:space="preserve"> 1.598, de 1977, deve ser reconhecida no mês do recebimento;</w:t>
      </w:r>
    </w:p>
    <w:p w:rsidR="00CD73D7" w:rsidRPr="00FA3856" w:rsidRDefault="00CD73D7" w:rsidP="00C20C5D">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 xml:space="preserve">e) as receitas obtidas pelas empresas de </w:t>
      </w:r>
      <w:r w:rsidRPr="00FA3856">
        <w:rPr>
          <w:rStyle w:val="nfase"/>
          <w:rFonts w:ascii="Times New Roman" w:hAnsi="Times New Roman" w:cs="Times New Roman"/>
          <w:szCs w:val="20"/>
        </w:rPr>
        <w:t>factoring</w:t>
      </w:r>
      <w:r w:rsidRPr="00FA3856">
        <w:rPr>
          <w:rFonts w:ascii="Times New Roman" w:hAnsi="Times New Roman" w:cs="Times New Roman"/>
          <w:szCs w:val="20"/>
        </w:rPr>
        <w:t>, representadas pela diferença entre a quantia expressa no título de crédito adquirido e o valor pago, devem ser reconhecidas na data da operação.</w:t>
      </w:r>
    </w:p>
    <w:p w:rsidR="00203DD9" w:rsidRDefault="00203DD9" w:rsidP="00C20C5D">
      <w:pPr>
        <w:pStyle w:val="NormalWeb"/>
        <w:spacing w:before="0" w:after="0"/>
        <w:ind w:firstLine="708"/>
        <w:jc w:val="both"/>
        <w:rPr>
          <w:rFonts w:ascii="Times New Roman" w:hAnsi="Times New Roman" w:cs="Times New Roman"/>
          <w:szCs w:val="20"/>
        </w:rPr>
      </w:pPr>
    </w:p>
    <w:p w:rsidR="00CD73D7" w:rsidRPr="00FA3856" w:rsidRDefault="00CD73D7" w:rsidP="00C20C5D">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O disposto na alínea "d" acima se aplica, também, aos créditos quitados pelo Poder Público com títulos de sua emissão, inclusive com Certificados de Securitização, emitidos especificamente para essa finalidade, quando a receita deve ser reconhecida por ocasião do resgate dos títulos ou de sua alienação sob qualquer forma.</w:t>
      </w:r>
    </w:p>
    <w:p w:rsidR="00C20C5D" w:rsidRPr="00FA3856" w:rsidRDefault="00C20C5D" w:rsidP="001A6818">
      <w:pPr>
        <w:pStyle w:val="NormalWeb"/>
        <w:spacing w:before="0" w:after="0"/>
        <w:jc w:val="both"/>
        <w:rPr>
          <w:rFonts w:ascii="Times New Roman" w:hAnsi="Times New Roman" w:cs="Times New Roman"/>
          <w:szCs w:val="20"/>
        </w:rPr>
      </w:pPr>
    </w:p>
    <w:p w:rsidR="00CD73D7" w:rsidRPr="00FA3856" w:rsidRDefault="00CD73D7" w:rsidP="00C20C5D">
      <w:pPr>
        <w:pStyle w:val="NormalWeb"/>
        <w:spacing w:before="0" w:after="0"/>
        <w:ind w:firstLine="600"/>
        <w:jc w:val="both"/>
        <w:rPr>
          <w:rFonts w:ascii="Times New Roman" w:hAnsi="Times New Roman" w:cs="Times New Roman"/>
          <w:szCs w:val="20"/>
        </w:rPr>
      </w:pPr>
      <w:r w:rsidRPr="00FA3856">
        <w:rPr>
          <w:rFonts w:ascii="Times New Roman" w:hAnsi="Times New Roman" w:cs="Times New Roman"/>
          <w:szCs w:val="20"/>
        </w:rPr>
        <w:t>Na receita bruta não se incluem as vendas canceladas, os descontos incondicionais concedidos e os impostos não cumulativos cobrados destacadamente do comprador ou contratante dos quais o vendedor dos bens ou o prestador dos serviços seja mero depositário IPI.</w:t>
      </w:r>
    </w:p>
    <w:p w:rsidR="00C20C5D" w:rsidRPr="00FA3856" w:rsidRDefault="00C20C5D" w:rsidP="001A6818">
      <w:pPr>
        <w:pStyle w:val="NormalWeb"/>
        <w:spacing w:before="0" w:after="0"/>
        <w:ind w:left="600"/>
        <w:jc w:val="both"/>
        <w:rPr>
          <w:rFonts w:ascii="Times New Roman" w:hAnsi="Times New Roman" w:cs="Times New Roman"/>
          <w:b/>
          <w:bCs/>
          <w:szCs w:val="20"/>
        </w:rPr>
      </w:pPr>
    </w:p>
    <w:p w:rsidR="00CD73D7" w:rsidRPr="00FA3856" w:rsidRDefault="00CD73D7" w:rsidP="001A6818">
      <w:pPr>
        <w:pStyle w:val="NormalWeb"/>
        <w:spacing w:before="0" w:after="0"/>
        <w:ind w:left="600"/>
        <w:jc w:val="both"/>
        <w:rPr>
          <w:rFonts w:ascii="Times New Roman" w:hAnsi="Times New Roman" w:cs="Times New Roman"/>
          <w:szCs w:val="20"/>
        </w:rPr>
      </w:pPr>
      <w:r w:rsidRPr="00FA3856">
        <w:rPr>
          <w:rFonts w:ascii="Times New Roman" w:hAnsi="Times New Roman" w:cs="Times New Roman"/>
          <w:b/>
          <w:bCs/>
          <w:szCs w:val="20"/>
        </w:rPr>
        <w:t>Atenção:</w:t>
      </w:r>
    </w:p>
    <w:p w:rsidR="00CD73D7" w:rsidRPr="00FA3856" w:rsidRDefault="00CD73D7" w:rsidP="001A6818">
      <w:pPr>
        <w:pStyle w:val="NormalWeb"/>
        <w:spacing w:before="0" w:after="0"/>
        <w:ind w:left="600"/>
        <w:jc w:val="both"/>
        <w:rPr>
          <w:rFonts w:ascii="Times New Roman" w:hAnsi="Times New Roman" w:cs="Times New Roman"/>
          <w:szCs w:val="20"/>
        </w:rPr>
      </w:pPr>
      <w:r w:rsidRPr="00FA3856">
        <w:rPr>
          <w:rFonts w:ascii="Times New Roman" w:hAnsi="Times New Roman" w:cs="Times New Roman"/>
          <w:szCs w:val="20"/>
        </w:rPr>
        <w:t>1) As receitas provenientes de atividade incentivada não compõem a base de cálculo do imposto na proporção do benefício a que a pessoa jurídica, submetida ao regime de tributação com base no lucro real, fizer jus.</w:t>
      </w:r>
    </w:p>
    <w:p w:rsidR="00CD73D7" w:rsidRPr="00FA3856" w:rsidRDefault="00CD73D7" w:rsidP="001A6818">
      <w:pPr>
        <w:pStyle w:val="NormalWeb"/>
        <w:spacing w:before="0" w:after="0"/>
        <w:ind w:left="600"/>
        <w:jc w:val="both"/>
        <w:rPr>
          <w:rFonts w:ascii="Times New Roman" w:hAnsi="Times New Roman" w:cs="Times New Roman"/>
          <w:szCs w:val="20"/>
        </w:rPr>
      </w:pPr>
      <w:r w:rsidRPr="00FA3856">
        <w:rPr>
          <w:rFonts w:ascii="Times New Roman" w:hAnsi="Times New Roman" w:cs="Times New Roman"/>
          <w:szCs w:val="20"/>
        </w:rPr>
        <w:t>2) A partir de 1º de janeiro de 2006, o percentual também passou a ser aplicado sobre a receita financeira da pessoa jurídica que explore atividades imobiliárias relativas a loteamento de terrenos, incorporação imobiliária, construção de prédios destinados à venda, bem como a venda de imóveis construídos ou adquiridos para a revenda, quando decorrente da comercialização de imóveis e for apurada por meio de índices ou coeficientes previstos em contrato (Lei nº 11.196, de 2005, art. 34).</w:t>
      </w:r>
    </w:p>
    <w:p w:rsidR="00C20C5D" w:rsidRPr="00FA3856" w:rsidRDefault="00C20C5D" w:rsidP="001A6818">
      <w:pPr>
        <w:pStyle w:val="NormalWeb"/>
        <w:spacing w:before="0" w:after="0"/>
        <w:jc w:val="both"/>
        <w:rPr>
          <w:rFonts w:ascii="Times New Roman" w:hAnsi="Times New Roman" w:cs="Times New Roman"/>
          <w:b/>
          <w:bCs/>
          <w:szCs w:val="20"/>
        </w:rPr>
      </w:pPr>
    </w:p>
    <w:p w:rsidR="00CD73D7" w:rsidRPr="00FA3856" w:rsidRDefault="00B14A83" w:rsidP="001A6818">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t xml:space="preserve">I.5.4) </w:t>
      </w:r>
      <w:r w:rsidR="00CD73D7" w:rsidRPr="00FA3856">
        <w:rPr>
          <w:rFonts w:ascii="Times New Roman" w:hAnsi="Times New Roman" w:cs="Times New Roman"/>
          <w:b/>
          <w:bCs/>
          <w:szCs w:val="20"/>
        </w:rPr>
        <w:t>Acréscimos à Base de Cálculo</w:t>
      </w:r>
    </w:p>
    <w:p w:rsidR="00C20C5D" w:rsidRPr="00FA3856" w:rsidRDefault="00C20C5D" w:rsidP="001A6818">
      <w:pPr>
        <w:pStyle w:val="NormalWeb"/>
        <w:spacing w:before="0" w:after="0"/>
        <w:jc w:val="both"/>
        <w:rPr>
          <w:rFonts w:ascii="Times New Roman" w:hAnsi="Times New Roman" w:cs="Times New Roman"/>
          <w:szCs w:val="20"/>
        </w:rPr>
      </w:pPr>
    </w:p>
    <w:p w:rsidR="00CD73D7" w:rsidRPr="00FA3856" w:rsidRDefault="00CD73D7" w:rsidP="00C20C5D">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São acrescidos à base de cálculo, no mês em que forem auferidos, os ganhos de capital, as demais receitas e os resultados positivos decorrentes de receitas não compreendidas na atividade, inclusive:</w:t>
      </w:r>
    </w:p>
    <w:p w:rsidR="00C20C5D" w:rsidRPr="00FA3856" w:rsidRDefault="00C20C5D" w:rsidP="001A6818">
      <w:pPr>
        <w:pStyle w:val="NormalWeb"/>
        <w:spacing w:before="0" w:after="0"/>
        <w:jc w:val="both"/>
        <w:rPr>
          <w:rFonts w:ascii="Times New Roman" w:hAnsi="Times New Roman" w:cs="Times New Roman"/>
          <w:szCs w:val="20"/>
        </w:rPr>
      </w:pPr>
    </w:p>
    <w:p w:rsidR="00CD73D7" w:rsidRPr="00FA3856" w:rsidRDefault="00CD73D7" w:rsidP="00C20C5D">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os rendimentos auferidos nas operações de mútuo realizadas entre pessoas jurídicas controladoras, controladas, coligadas ou interligadas;</w:t>
      </w:r>
    </w:p>
    <w:p w:rsidR="00CD73D7" w:rsidRPr="00FA3856" w:rsidRDefault="00CD73D7" w:rsidP="00C20C5D">
      <w:pPr>
        <w:pStyle w:val="NormalWeb"/>
        <w:spacing w:before="0" w:after="0"/>
        <w:ind w:left="708"/>
        <w:jc w:val="both"/>
        <w:rPr>
          <w:rFonts w:ascii="Times New Roman" w:hAnsi="Times New Roman" w:cs="Times New Roman"/>
          <w:szCs w:val="20"/>
        </w:rPr>
      </w:pPr>
      <w:r w:rsidRPr="00FA3856">
        <w:rPr>
          <w:rFonts w:ascii="Times New Roman" w:hAnsi="Times New Roman" w:cs="Times New Roman"/>
          <w:szCs w:val="20"/>
        </w:rPr>
        <w:t>b) os ganhos auferidos na alienação de participações societárias permanentes em sociedades coligadas e controladas, e de participações societárias que permaneceram no ativo da pessoa jurídica até o término do ano-calendário seguinte ao de suas aquisições;</w:t>
      </w:r>
    </w:p>
    <w:p w:rsidR="00CD73D7" w:rsidRPr="00FA3856" w:rsidRDefault="00CD73D7" w:rsidP="00C20C5D">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d) os ganhos auferidos em operações de cobertura (</w:t>
      </w:r>
      <w:r w:rsidRPr="00FA3856">
        <w:rPr>
          <w:rStyle w:val="nfase"/>
          <w:rFonts w:ascii="Times New Roman" w:hAnsi="Times New Roman" w:cs="Times New Roman"/>
          <w:szCs w:val="20"/>
        </w:rPr>
        <w:t>hedge</w:t>
      </w:r>
      <w:r w:rsidRPr="00FA3856">
        <w:rPr>
          <w:rFonts w:ascii="Times New Roman" w:hAnsi="Times New Roman" w:cs="Times New Roman"/>
          <w:szCs w:val="20"/>
        </w:rPr>
        <w:t>) realizadas em bolsas de valores, de mercadorias e de futuros ou no mercado de balcão;</w:t>
      </w:r>
    </w:p>
    <w:p w:rsidR="00CD73D7" w:rsidRPr="00FA3856" w:rsidRDefault="00CD73D7" w:rsidP="00C20C5D">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e) a receita de locação de imóvel, quando não for este o objeto s</w:t>
      </w:r>
      <w:bookmarkStart w:id="115" w:name="subitem_15.1.5.4"/>
      <w:bookmarkEnd w:id="115"/>
      <w:r w:rsidRPr="00FA3856">
        <w:rPr>
          <w:rFonts w:ascii="Times New Roman" w:hAnsi="Times New Roman" w:cs="Times New Roman"/>
          <w:szCs w:val="20"/>
        </w:rPr>
        <w:t>ocial da pessoa jurídica, deduzida dos encargos necessários à sua percepção;</w:t>
      </w:r>
    </w:p>
    <w:p w:rsidR="00CD73D7" w:rsidRPr="00FA3856" w:rsidRDefault="00CD73D7" w:rsidP="00C20C5D">
      <w:pPr>
        <w:pStyle w:val="NormalWeb"/>
        <w:spacing w:before="0" w:after="0"/>
        <w:ind w:left="708"/>
        <w:jc w:val="both"/>
        <w:rPr>
          <w:rFonts w:ascii="Times New Roman" w:hAnsi="Times New Roman" w:cs="Times New Roman"/>
          <w:szCs w:val="20"/>
        </w:rPr>
      </w:pPr>
      <w:r w:rsidRPr="00FA3856">
        <w:rPr>
          <w:rFonts w:ascii="Times New Roman" w:hAnsi="Times New Roman" w:cs="Times New Roman"/>
          <w:szCs w:val="20"/>
        </w:rPr>
        <w:t>f) os juros equivalentes à taxa do Sistema Especial de Liquidação e Custódia (Selic), para títulos federais, acumulada mensalmente, relativos a impostos e contribuições a serem restituídos ou compensados;</w:t>
      </w:r>
    </w:p>
    <w:p w:rsidR="00CD73D7" w:rsidRPr="00FA3856" w:rsidRDefault="00CD73D7" w:rsidP="00C20C5D">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g) as variações monetárias ativas;</w:t>
      </w:r>
    </w:p>
    <w:p w:rsidR="00CD73D7" w:rsidRPr="00FA3856" w:rsidRDefault="00CD73D7" w:rsidP="00C20C5D">
      <w:pPr>
        <w:pStyle w:val="NormalWeb"/>
        <w:spacing w:before="0" w:after="0"/>
        <w:ind w:left="708"/>
        <w:jc w:val="both"/>
        <w:rPr>
          <w:rFonts w:ascii="Times New Roman" w:hAnsi="Times New Roman" w:cs="Times New Roman"/>
          <w:szCs w:val="20"/>
        </w:rPr>
      </w:pPr>
      <w:r w:rsidRPr="00FA3856">
        <w:rPr>
          <w:rFonts w:ascii="Times New Roman" w:hAnsi="Times New Roman" w:cs="Times New Roman"/>
          <w:szCs w:val="20"/>
        </w:rPr>
        <w:t>h) a diferença entre o valor em dinheiro ou o valor dos bens e direitos recebidos de instituição isenta, a título de devolução de patrimônio, e o valor em dinheiro ou o valor dos bens e direitos entregue para a formação do referido patrimônio (Lei n</w:t>
      </w:r>
      <w:r w:rsidRPr="00FA3856">
        <w:rPr>
          <w:rFonts w:ascii="Times New Roman" w:hAnsi="Times New Roman" w:cs="Times New Roman"/>
          <w:strike/>
          <w:szCs w:val="20"/>
        </w:rPr>
        <w:t>º</w:t>
      </w:r>
      <w:r w:rsidRPr="00FA3856">
        <w:rPr>
          <w:rFonts w:ascii="Times New Roman" w:hAnsi="Times New Roman" w:cs="Times New Roman"/>
          <w:szCs w:val="20"/>
        </w:rPr>
        <w:t xml:space="preserve"> 9.532, de 1997, art. 17, § 3</w:t>
      </w:r>
      <w:r w:rsidRPr="00FA3856">
        <w:rPr>
          <w:rFonts w:ascii="Times New Roman" w:hAnsi="Times New Roman" w:cs="Times New Roman"/>
          <w:strike/>
          <w:szCs w:val="20"/>
        </w:rPr>
        <w:t>º</w:t>
      </w:r>
      <w:r w:rsidRPr="00FA3856">
        <w:rPr>
          <w:rFonts w:ascii="Times New Roman" w:hAnsi="Times New Roman" w:cs="Times New Roman"/>
          <w:szCs w:val="20"/>
        </w:rPr>
        <w:t>, e art. 81, inciso II);</w:t>
      </w:r>
    </w:p>
    <w:p w:rsidR="00CD73D7" w:rsidRPr="00FA3856" w:rsidRDefault="00CD73D7" w:rsidP="00C20C5D">
      <w:pPr>
        <w:pStyle w:val="NormalWeb"/>
        <w:spacing w:before="0" w:after="0"/>
        <w:ind w:firstLine="600"/>
        <w:jc w:val="both"/>
        <w:rPr>
          <w:rFonts w:ascii="Times New Roman" w:hAnsi="Times New Roman" w:cs="Times New Roman"/>
          <w:szCs w:val="20"/>
        </w:rPr>
      </w:pPr>
      <w:r w:rsidRPr="00FA3856">
        <w:rPr>
          <w:rFonts w:ascii="Times New Roman" w:hAnsi="Times New Roman" w:cs="Times New Roman"/>
          <w:szCs w:val="20"/>
        </w:rPr>
        <w:t>i) os ganhos de capital auferidos na devolução de capital em bens e direitos.</w:t>
      </w:r>
    </w:p>
    <w:p w:rsidR="00C20C5D" w:rsidRPr="00FA3856" w:rsidRDefault="00C20C5D" w:rsidP="001A6818">
      <w:pPr>
        <w:pStyle w:val="NormalWeb"/>
        <w:spacing w:before="0" w:after="0"/>
        <w:ind w:left="600"/>
        <w:jc w:val="both"/>
        <w:rPr>
          <w:rFonts w:ascii="Times New Roman" w:hAnsi="Times New Roman" w:cs="Times New Roman"/>
          <w:b/>
          <w:bCs/>
          <w:szCs w:val="20"/>
        </w:rPr>
      </w:pPr>
    </w:p>
    <w:p w:rsidR="00C6313F" w:rsidRPr="00FA3856" w:rsidRDefault="00C6313F" w:rsidP="001A6818">
      <w:pPr>
        <w:pStyle w:val="NormalWeb"/>
        <w:spacing w:before="0" w:after="0"/>
        <w:ind w:left="600"/>
        <w:jc w:val="both"/>
        <w:rPr>
          <w:rFonts w:ascii="Times New Roman" w:hAnsi="Times New Roman" w:cs="Times New Roman"/>
          <w:b/>
          <w:bCs/>
          <w:szCs w:val="20"/>
        </w:rPr>
      </w:pPr>
    </w:p>
    <w:p w:rsidR="00C6313F" w:rsidRPr="00FA3856" w:rsidRDefault="00C6313F" w:rsidP="001A6818">
      <w:pPr>
        <w:pStyle w:val="NormalWeb"/>
        <w:spacing w:before="0" w:after="0"/>
        <w:ind w:left="600"/>
        <w:jc w:val="both"/>
        <w:rPr>
          <w:rFonts w:ascii="Times New Roman" w:hAnsi="Times New Roman" w:cs="Times New Roman"/>
          <w:b/>
          <w:bCs/>
          <w:szCs w:val="20"/>
        </w:rPr>
      </w:pPr>
    </w:p>
    <w:p w:rsidR="00CD73D7" w:rsidRPr="00FA3856" w:rsidRDefault="00CD73D7" w:rsidP="001A6818">
      <w:pPr>
        <w:pStyle w:val="NormalWeb"/>
        <w:spacing w:before="0" w:after="0"/>
        <w:ind w:left="600"/>
        <w:jc w:val="both"/>
        <w:rPr>
          <w:rFonts w:ascii="Times New Roman" w:hAnsi="Times New Roman" w:cs="Times New Roman"/>
          <w:szCs w:val="20"/>
        </w:rPr>
      </w:pPr>
      <w:r w:rsidRPr="00FA3856">
        <w:rPr>
          <w:rFonts w:ascii="Times New Roman" w:hAnsi="Times New Roman" w:cs="Times New Roman"/>
          <w:b/>
          <w:bCs/>
          <w:szCs w:val="20"/>
        </w:rPr>
        <w:t>Atenção:</w:t>
      </w:r>
    </w:p>
    <w:p w:rsidR="00C20C5D" w:rsidRPr="00FA3856" w:rsidRDefault="00CD73D7" w:rsidP="001A6818">
      <w:pPr>
        <w:pStyle w:val="NormalWeb"/>
        <w:spacing w:before="0" w:after="0"/>
        <w:ind w:left="600"/>
        <w:jc w:val="both"/>
        <w:rPr>
          <w:rFonts w:ascii="Times New Roman" w:hAnsi="Times New Roman" w:cs="Times New Roman"/>
          <w:szCs w:val="20"/>
        </w:rPr>
      </w:pPr>
      <w:r w:rsidRPr="00FA3856">
        <w:rPr>
          <w:rFonts w:ascii="Times New Roman" w:hAnsi="Times New Roman" w:cs="Times New Roman"/>
          <w:szCs w:val="20"/>
        </w:rPr>
        <w:t xml:space="preserve">1) Quanto à alínea "g", as variações monetárias dos direitos de crédito e das obrigações do contribuinte, em função da taxa de câmbio, devem ser consideradas, para efeito de determinação da base de cálculo, quando da liquidação da correspondente operação. À opção da pessoa jurídica, as variações monetárias podem ser consideradas, na determinação da base de cálculo, pelo regime de competência, sendo que a opção aplica-se a todo ano-calendário (MP n° 1.858-10, de 1999, art. 30 e reedições). </w:t>
      </w:r>
    </w:p>
    <w:p w:rsidR="00CD73D7" w:rsidRPr="00FA3856" w:rsidRDefault="00CD73D7" w:rsidP="001A6818">
      <w:pPr>
        <w:pStyle w:val="NormalWeb"/>
        <w:spacing w:before="0" w:after="0"/>
        <w:ind w:left="600"/>
        <w:jc w:val="both"/>
        <w:rPr>
          <w:rFonts w:ascii="Times New Roman" w:hAnsi="Times New Roman" w:cs="Times New Roman"/>
          <w:szCs w:val="20"/>
        </w:rPr>
      </w:pPr>
      <w:r w:rsidRPr="00FA3856">
        <w:rPr>
          <w:rFonts w:ascii="Times New Roman" w:hAnsi="Times New Roman" w:cs="Times New Roman"/>
          <w:szCs w:val="20"/>
        </w:rPr>
        <w:t>2) Quanto à alínea "h", devem ser aplicadas as normas do inciso I do art. 17 da Lei n</w:t>
      </w:r>
      <w:r w:rsidRPr="00FA3856">
        <w:rPr>
          <w:rFonts w:ascii="Times New Roman" w:hAnsi="Times New Roman" w:cs="Times New Roman"/>
          <w:strike/>
          <w:szCs w:val="20"/>
        </w:rPr>
        <w:t>º</w:t>
      </w:r>
      <w:r w:rsidRPr="00FA3856">
        <w:rPr>
          <w:rFonts w:ascii="Times New Roman" w:hAnsi="Times New Roman" w:cs="Times New Roman"/>
          <w:szCs w:val="20"/>
        </w:rPr>
        <w:t xml:space="preserve"> 9.249, de 1995, aos valores entregues até o final de 1995 (Lei n</w:t>
      </w:r>
      <w:r w:rsidRPr="00FA3856">
        <w:rPr>
          <w:rFonts w:ascii="Times New Roman" w:hAnsi="Times New Roman" w:cs="Times New Roman"/>
          <w:strike/>
          <w:szCs w:val="20"/>
        </w:rPr>
        <w:t>º</w:t>
      </w:r>
      <w:r w:rsidRPr="00FA3856">
        <w:rPr>
          <w:rFonts w:ascii="Times New Roman" w:hAnsi="Times New Roman" w:cs="Times New Roman"/>
          <w:szCs w:val="20"/>
        </w:rPr>
        <w:t xml:space="preserve"> 9.532, de 1997, art. 17, § 1</w:t>
      </w:r>
      <w:r w:rsidRPr="00FA3856">
        <w:rPr>
          <w:rFonts w:ascii="Times New Roman" w:hAnsi="Times New Roman" w:cs="Times New Roman"/>
          <w:strike/>
          <w:szCs w:val="20"/>
        </w:rPr>
        <w:t>º</w:t>
      </w:r>
      <w:r w:rsidRPr="00FA3856">
        <w:rPr>
          <w:rFonts w:ascii="Times New Roman" w:hAnsi="Times New Roman" w:cs="Times New Roman"/>
          <w:szCs w:val="20"/>
        </w:rPr>
        <w:t>).</w:t>
      </w:r>
    </w:p>
    <w:p w:rsidR="00C20C5D" w:rsidRPr="00FA3856" w:rsidRDefault="00C20C5D" w:rsidP="001A6818">
      <w:pPr>
        <w:pStyle w:val="NormalWeb"/>
        <w:spacing w:before="0" w:after="0"/>
        <w:jc w:val="both"/>
        <w:rPr>
          <w:rFonts w:ascii="Times New Roman" w:hAnsi="Times New Roman" w:cs="Times New Roman"/>
          <w:b/>
          <w:bCs/>
          <w:szCs w:val="20"/>
        </w:rPr>
      </w:pPr>
    </w:p>
    <w:p w:rsidR="00CD73D7" w:rsidRPr="00FA3856" w:rsidRDefault="00B14A83" w:rsidP="001A6818">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t xml:space="preserve">I.5.5) </w:t>
      </w:r>
      <w:r w:rsidR="00CD73D7" w:rsidRPr="00FA3856">
        <w:rPr>
          <w:rFonts w:ascii="Times New Roman" w:hAnsi="Times New Roman" w:cs="Times New Roman"/>
          <w:b/>
          <w:bCs/>
          <w:szCs w:val="20"/>
        </w:rPr>
        <w:t>Valores Não Integrantes da Base de Cálculo</w:t>
      </w:r>
    </w:p>
    <w:p w:rsidR="00C20C5D" w:rsidRPr="00FA3856" w:rsidRDefault="00C20C5D" w:rsidP="001A6818">
      <w:pPr>
        <w:pStyle w:val="NormalWeb"/>
        <w:spacing w:before="0" w:after="0"/>
        <w:jc w:val="both"/>
        <w:rPr>
          <w:rFonts w:ascii="Times New Roman" w:hAnsi="Times New Roman" w:cs="Times New Roman"/>
          <w:szCs w:val="20"/>
        </w:rPr>
      </w:pPr>
    </w:p>
    <w:p w:rsidR="00CD73D7" w:rsidRPr="00FA3856" w:rsidRDefault="00CD73D7" w:rsidP="00C20C5D">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Não integram a base de cálculo do imposto de renda mensal:</w:t>
      </w:r>
    </w:p>
    <w:p w:rsidR="00C20C5D" w:rsidRPr="00FA3856" w:rsidRDefault="00C20C5D" w:rsidP="001A6818">
      <w:pPr>
        <w:pStyle w:val="NormalWeb"/>
        <w:spacing w:before="0" w:after="0"/>
        <w:jc w:val="both"/>
        <w:rPr>
          <w:rFonts w:ascii="Times New Roman" w:hAnsi="Times New Roman" w:cs="Times New Roman"/>
          <w:szCs w:val="20"/>
        </w:rPr>
      </w:pPr>
    </w:p>
    <w:p w:rsidR="00CD73D7" w:rsidRPr="00FA3856" w:rsidRDefault="00CD73D7" w:rsidP="00C20C5D">
      <w:pPr>
        <w:pStyle w:val="NormalWeb"/>
        <w:spacing w:before="0" w:after="0"/>
        <w:ind w:left="708"/>
        <w:jc w:val="both"/>
        <w:rPr>
          <w:rFonts w:ascii="Times New Roman" w:hAnsi="Times New Roman" w:cs="Times New Roman"/>
          <w:szCs w:val="20"/>
        </w:rPr>
      </w:pPr>
      <w:r w:rsidRPr="00FA3856">
        <w:rPr>
          <w:rFonts w:ascii="Times New Roman" w:hAnsi="Times New Roman" w:cs="Times New Roman"/>
          <w:szCs w:val="20"/>
        </w:rPr>
        <w:t>a) os rendimentos e ganhos líquidos produzidos por aplicação financeira de renda fixa e variável, inclusive:</w:t>
      </w:r>
    </w:p>
    <w:p w:rsidR="00CD73D7" w:rsidRPr="00FA3856" w:rsidRDefault="00CD73D7" w:rsidP="00C20C5D">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a.1) a diferença positiva entre o valor do resgate, líquido do IOF, e o valor de aquisição de quotas de fundos de investimento, clube de investimentos e outros da espécie renda fixa;</w:t>
      </w:r>
    </w:p>
    <w:p w:rsidR="00CD73D7" w:rsidRPr="00FA3856" w:rsidRDefault="00CD73D7" w:rsidP="00C20C5D">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a.2) o rendimento auferido em operações de mútuo e de compra vinculada à revenda, no mercado secundário, tendo por objeto ouro, ativo financeiro;</w:t>
      </w:r>
    </w:p>
    <w:p w:rsidR="00CD73D7" w:rsidRPr="00FA3856" w:rsidRDefault="00CD73D7" w:rsidP="00C20C5D">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 xml:space="preserve">a.3) o rendimento auferido no resgate de quotas de fundo de investimento, clube de investimento e outros fundos da espécie renda variável; </w:t>
      </w:r>
    </w:p>
    <w:p w:rsidR="00CD73D7" w:rsidRPr="00FA3856" w:rsidRDefault="00CD73D7" w:rsidP="00C20C5D">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 xml:space="preserve">a.4) os rendimentos auferidos em operações de </w:t>
      </w:r>
      <w:r w:rsidRPr="00FA3856">
        <w:rPr>
          <w:rFonts w:ascii="Times New Roman" w:hAnsi="Times New Roman" w:cs="Times New Roman"/>
          <w:i/>
          <w:iCs/>
          <w:szCs w:val="20"/>
        </w:rPr>
        <w:t>swap</w:t>
      </w:r>
      <w:r w:rsidRPr="00FA3856">
        <w:rPr>
          <w:rFonts w:ascii="Times New Roman" w:hAnsi="Times New Roman" w:cs="Times New Roman"/>
          <w:szCs w:val="20"/>
        </w:rPr>
        <w:t>;</w:t>
      </w:r>
    </w:p>
    <w:p w:rsidR="00C20C5D" w:rsidRPr="00FA3856" w:rsidRDefault="00C20C5D" w:rsidP="00C20C5D">
      <w:pPr>
        <w:pStyle w:val="NormalWeb"/>
        <w:spacing w:before="0" w:after="0"/>
        <w:ind w:left="600"/>
        <w:jc w:val="both"/>
        <w:rPr>
          <w:rStyle w:val="Forte"/>
          <w:rFonts w:ascii="Times New Roman" w:hAnsi="Times New Roman" w:cs="Times New Roman"/>
          <w:szCs w:val="20"/>
        </w:rPr>
      </w:pPr>
    </w:p>
    <w:p w:rsidR="00CD73D7" w:rsidRPr="00FA3856" w:rsidRDefault="00CD73D7" w:rsidP="00C20C5D">
      <w:pPr>
        <w:pStyle w:val="NormalWeb"/>
        <w:spacing w:before="0" w:after="0"/>
        <w:ind w:left="600"/>
        <w:jc w:val="both"/>
        <w:rPr>
          <w:rFonts w:ascii="Times New Roman" w:hAnsi="Times New Roman" w:cs="Times New Roman"/>
          <w:szCs w:val="20"/>
        </w:rPr>
      </w:pPr>
      <w:r w:rsidRPr="00FA3856">
        <w:rPr>
          <w:rStyle w:val="Forte"/>
          <w:rFonts w:ascii="Times New Roman" w:hAnsi="Times New Roman" w:cs="Times New Roman"/>
          <w:szCs w:val="20"/>
        </w:rPr>
        <w:t>Atenção:</w:t>
      </w:r>
      <w:r w:rsidR="00C20C5D" w:rsidRPr="00FA3856">
        <w:rPr>
          <w:rFonts w:ascii="Times New Roman" w:hAnsi="Times New Roman" w:cs="Times New Roman"/>
          <w:szCs w:val="20"/>
        </w:rPr>
        <w:t xml:space="preserve"> </w:t>
      </w:r>
      <w:r w:rsidRPr="00FA3856">
        <w:rPr>
          <w:rFonts w:ascii="Times New Roman" w:hAnsi="Times New Roman" w:cs="Times New Roman"/>
          <w:szCs w:val="20"/>
        </w:rPr>
        <w:t>Os rendimentos e ganhos líquidos produzidos por aplicações financeiras de renda fixa e va</w:t>
      </w:r>
      <w:bookmarkStart w:id="116" w:name="subitem_15.1.5.5"/>
      <w:bookmarkEnd w:id="116"/>
      <w:r w:rsidRPr="00FA3856">
        <w:rPr>
          <w:rFonts w:ascii="Times New Roman" w:hAnsi="Times New Roman" w:cs="Times New Roman"/>
          <w:szCs w:val="20"/>
        </w:rPr>
        <w:t xml:space="preserve">riável serão considerados na determinação da base de cálculo do imposto de renda mensal quando não </w:t>
      </w:r>
      <w:r w:rsidR="00C20C5D" w:rsidRPr="00FA3856">
        <w:rPr>
          <w:rFonts w:ascii="Times New Roman" w:hAnsi="Times New Roman" w:cs="Times New Roman"/>
          <w:szCs w:val="20"/>
        </w:rPr>
        <w:t>forem</w:t>
      </w:r>
      <w:r w:rsidRPr="00FA3856">
        <w:rPr>
          <w:rFonts w:ascii="Times New Roman" w:hAnsi="Times New Roman" w:cs="Times New Roman"/>
          <w:szCs w:val="20"/>
        </w:rPr>
        <w:t xml:space="preserve"> submetidos à incidência na fonte ou ao recolhimento mensal obrigatório. (Lei n</w:t>
      </w:r>
      <w:r w:rsidRPr="00FA3856">
        <w:rPr>
          <w:rFonts w:ascii="Times New Roman" w:hAnsi="Times New Roman" w:cs="Times New Roman"/>
          <w:strike/>
          <w:szCs w:val="20"/>
        </w:rPr>
        <w:t>º</w:t>
      </w:r>
      <w:r w:rsidRPr="00FA3856">
        <w:rPr>
          <w:rFonts w:ascii="Times New Roman" w:hAnsi="Times New Roman" w:cs="Times New Roman"/>
          <w:szCs w:val="20"/>
        </w:rPr>
        <w:t xml:space="preserve"> 8.981, de 1995, arts. 65 a </w:t>
      </w:r>
      <w:r w:rsidR="00B5790B" w:rsidRPr="00FA3856">
        <w:rPr>
          <w:rFonts w:ascii="Times New Roman" w:hAnsi="Times New Roman" w:cs="Times New Roman"/>
          <w:szCs w:val="20"/>
        </w:rPr>
        <w:t>75; Lei</w:t>
      </w:r>
      <w:r w:rsidRPr="00FA3856">
        <w:rPr>
          <w:rFonts w:ascii="Times New Roman" w:hAnsi="Times New Roman" w:cs="Times New Roman"/>
          <w:szCs w:val="20"/>
        </w:rPr>
        <w:t xml:space="preserve"> n</w:t>
      </w:r>
      <w:r w:rsidRPr="00FA3856">
        <w:rPr>
          <w:rFonts w:ascii="Times New Roman" w:hAnsi="Times New Roman" w:cs="Times New Roman"/>
          <w:strike/>
          <w:szCs w:val="20"/>
        </w:rPr>
        <w:t>º</w:t>
      </w:r>
      <w:r w:rsidRPr="00FA3856">
        <w:rPr>
          <w:rFonts w:ascii="Times New Roman" w:hAnsi="Times New Roman" w:cs="Times New Roman"/>
          <w:szCs w:val="20"/>
        </w:rPr>
        <w:t xml:space="preserve"> 9.532, de 1997, arts. 35 e 28, § 9</w:t>
      </w:r>
      <w:r w:rsidRPr="00FA3856">
        <w:rPr>
          <w:rFonts w:ascii="Times New Roman" w:hAnsi="Times New Roman" w:cs="Times New Roman"/>
          <w:strike/>
          <w:szCs w:val="20"/>
        </w:rPr>
        <w:t>º</w:t>
      </w:r>
      <w:r w:rsidRPr="00FA3856">
        <w:rPr>
          <w:rFonts w:ascii="Times New Roman" w:hAnsi="Times New Roman" w:cs="Times New Roman"/>
          <w:szCs w:val="20"/>
        </w:rPr>
        <w:t>).</w:t>
      </w:r>
    </w:p>
    <w:p w:rsidR="00C20C5D" w:rsidRPr="00FA3856" w:rsidRDefault="00C20C5D" w:rsidP="001A6818">
      <w:pPr>
        <w:pStyle w:val="NormalWeb"/>
        <w:spacing w:before="0" w:after="0"/>
        <w:jc w:val="both"/>
        <w:rPr>
          <w:rFonts w:ascii="Times New Roman" w:hAnsi="Times New Roman" w:cs="Times New Roman"/>
          <w:szCs w:val="20"/>
        </w:rPr>
      </w:pPr>
    </w:p>
    <w:p w:rsidR="00CD73D7" w:rsidRPr="00FA3856" w:rsidRDefault="00CD73D7" w:rsidP="00C20C5D">
      <w:pPr>
        <w:pStyle w:val="NormalWeb"/>
        <w:spacing w:before="0" w:after="0"/>
        <w:ind w:firstLine="600"/>
        <w:jc w:val="both"/>
        <w:rPr>
          <w:rFonts w:ascii="Times New Roman" w:hAnsi="Times New Roman" w:cs="Times New Roman"/>
          <w:szCs w:val="20"/>
        </w:rPr>
      </w:pPr>
      <w:r w:rsidRPr="00FA3856">
        <w:rPr>
          <w:rFonts w:ascii="Times New Roman" w:hAnsi="Times New Roman" w:cs="Times New Roman"/>
          <w:szCs w:val="20"/>
        </w:rPr>
        <w:t xml:space="preserve">b) as recuperações de créditos que não representem ingressos de novas receitas; </w:t>
      </w:r>
    </w:p>
    <w:p w:rsidR="00CD73D7" w:rsidRPr="00FA3856" w:rsidRDefault="00CD73D7" w:rsidP="00C20C5D">
      <w:pPr>
        <w:pStyle w:val="NormalWeb"/>
        <w:spacing w:before="0" w:after="0"/>
        <w:ind w:firstLine="600"/>
        <w:jc w:val="both"/>
        <w:rPr>
          <w:rFonts w:ascii="Times New Roman" w:hAnsi="Times New Roman" w:cs="Times New Roman"/>
          <w:szCs w:val="20"/>
        </w:rPr>
      </w:pPr>
      <w:r w:rsidRPr="00FA3856">
        <w:rPr>
          <w:rFonts w:ascii="Times New Roman" w:hAnsi="Times New Roman" w:cs="Times New Roman"/>
          <w:szCs w:val="20"/>
        </w:rPr>
        <w:t>c) a reversão de saldo de provisões anteriormente constituídas;</w:t>
      </w:r>
    </w:p>
    <w:p w:rsidR="00CD73D7" w:rsidRPr="00FA3856" w:rsidRDefault="00CD73D7" w:rsidP="00C20C5D">
      <w:pPr>
        <w:pStyle w:val="NormalWeb"/>
        <w:spacing w:before="0" w:after="0"/>
        <w:ind w:left="600" w:firstLine="108"/>
        <w:jc w:val="both"/>
        <w:rPr>
          <w:rFonts w:ascii="Times New Roman" w:hAnsi="Times New Roman" w:cs="Times New Roman"/>
          <w:szCs w:val="20"/>
        </w:rPr>
      </w:pPr>
      <w:r w:rsidRPr="00FA3856">
        <w:rPr>
          <w:rFonts w:ascii="Times New Roman" w:hAnsi="Times New Roman" w:cs="Times New Roman"/>
          <w:szCs w:val="20"/>
        </w:rPr>
        <w:t>d) os lucros e dividendos decorrentes de participações societárias avaliadas pelo custo de aquisição e a contrapartida do ajuste por aumento do valor de investimentos avaliados pelo método da equivalência patrimonial;</w:t>
      </w:r>
    </w:p>
    <w:p w:rsidR="00CD73D7" w:rsidRPr="00FA3856" w:rsidRDefault="00CD73D7" w:rsidP="00C20C5D">
      <w:pPr>
        <w:pStyle w:val="NormalWeb"/>
        <w:spacing w:before="0" w:after="0"/>
        <w:ind w:firstLine="600"/>
        <w:jc w:val="both"/>
        <w:rPr>
          <w:rFonts w:ascii="Times New Roman" w:hAnsi="Times New Roman" w:cs="Times New Roman"/>
          <w:szCs w:val="20"/>
        </w:rPr>
      </w:pPr>
      <w:r w:rsidRPr="00FA3856">
        <w:rPr>
          <w:rFonts w:ascii="Times New Roman" w:hAnsi="Times New Roman" w:cs="Times New Roman"/>
          <w:szCs w:val="20"/>
        </w:rPr>
        <w:t>e) os juros sobre o capital próprio auferidos.</w:t>
      </w:r>
    </w:p>
    <w:p w:rsidR="00C20C5D" w:rsidRPr="00FA3856" w:rsidRDefault="00C20C5D" w:rsidP="001A6818">
      <w:pPr>
        <w:pStyle w:val="NormalWeb"/>
        <w:spacing w:before="0" w:after="0"/>
        <w:ind w:left="600"/>
        <w:jc w:val="both"/>
        <w:rPr>
          <w:rFonts w:ascii="Times New Roman" w:hAnsi="Times New Roman" w:cs="Times New Roman"/>
          <w:b/>
          <w:bCs/>
          <w:szCs w:val="20"/>
        </w:rPr>
      </w:pPr>
    </w:p>
    <w:p w:rsidR="00CD73D7" w:rsidRPr="00FA3856" w:rsidRDefault="00CD73D7" w:rsidP="00C20C5D">
      <w:pPr>
        <w:pStyle w:val="NormalWeb"/>
        <w:spacing w:before="0" w:after="0"/>
        <w:ind w:left="600"/>
        <w:jc w:val="both"/>
        <w:rPr>
          <w:rFonts w:ascii="Times New Roman" w:hAnsi="Times New Roman" w:cs="Times New Roman"/>
          <w:szCs w:val="20"/>
        </w:rPr>
      </w:pPr>
      <w:r w:rsidRPr="00FA3856">
        <w:rPr>
          <w:rFonts w:ascii="Times New Roman" w:hAnsi="Times New Roman" w:cs="Times New Roman"/>
          <w:b/>
          <w:bCs/>
          <w:szCs w:val="20"/>
        </w:rPr>
        <w:t>Atenção:</w:t>
      </w:r>
      <w:r w:rsidR="00C20C5D" w:rsidRPr="00FA3856">
        <w:rPr>
          <w:rFonts w:ascii="Times New Roman" w:hAnsi="Times New Roman" w:cs="Times New Roman"/>
          <w:szCs w:val="20"/>
        </w:rPr>
        <w:t xml:space="preserve"> </w:t>
      </w:r>
      <w:r w:rsidRPr="00FA3856">
        <w:rPr>
          <w:rFonts w:ascii="Times New Roman" w:hAnsi="Times New Roman" w:cs="Times New Roman"/>
          <w:szCs w:val="20"/>
        </w:rPr>
        <w:t>Para efeito de determinar a base de cálculo mensal estimada do imposto de renda, as emissoras de rádio e televisão, obrigadas à divulgação gratuita de propaganda partidária ou eleitoral, podem deduzir 0,8 (oito décimos) do resultado da multiplicação do preço do espaço comercializável pelo tempo efetivamente utilizado pela emissora em programação destinada à publicidade comercial, no período de duração daquela propaganda, conforme regulamentação do Poder Executivo. As empresas concessionárias de serviços públicos de telecomunicações, obrigadas ao tráfego gratuito de sinais de televisão e rádio, podem excluir 0,8 (oito décimos) do valor que seria cobrado às emissoras de rádio e televisão pelos tempos destinados à divulgação gratuita de propaganda partidária ou eleitoral, para efeito da determinação da base de cálculo mensal estimada do imposto de renda, conforme definido em regulamentação do Poder Executivo.</w:t>
      </w:r>
    </w:p>
    <w:p w:rsidR="00C20C5D" w:rsidRPr="00FA3856" w:rsidRDefault="00C20C5D" w:rsidP="001A6818">
      <w:pPr>
        <w:pStyle w:val="NormalWeb"/>
        <w:spacing w:before="0" w:after="0"/>
        <w:jc w:val="both"/>
        <w:rPr>
          <w:rFonts w:ascii="Times New Roman" w:hAnsi="Times New Roman" w:cs="Times New Roman"/>
          <w:b/>
          <w:bCs/>
          <w:szCs w:val="20"/>
        </w:rPr>
      </w:pPr>
    </w:p>
    <w:p w:rsidR="00C20C5D" w:rsidRPr="00FA3856" w:rsidRDefault="00C20C5D">
      <w:pPr>
        <w:spacing w:after="200" w:line="276" w:lineRule="auto"/>
        <w:rPr>
          <w:rFonts w:eastAsia="Arial Unicode MS"/>
          <w:b/>
          <w:bCs/>
          <w:szCs w:val="20"/>
          <w:lang w:eastAsia="ar-SA"/>
        </w:rPr>
      </w:pPr>
      <w:r w:rsidRPr="00FA3856">
        <w:rPr>
          <w:b/>
          <w:bCs/>
          <w:szCs w:val="20"/>
        </w:rPr>
        <w:br w:type="page"/>
      </w:r>
    </w:p>
    <w:p w:rsidR="00CD73D7" w:rsidRPr="00FA3856" w:rsidRDefault="00B14A83" w:rsidP="001A6818">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lastRenderedPageBreak/>
        <w:t xml:space="preserve">I.6) </w:t>
      </w:r>
      <w:r w:rsidR="00CD73D7" w:rsidRPr="00FA3856">
        <w:rPr>
          <w:rFonts w:ascii="Times New Roman" w:hAnsi="Times New Roman" w:cs="Times New Roman"/>
          <w:b/>
          <w:bCs/>
          <w:szCs w:val="20"/>
        </w:rPr>
        <w:t>Determinação do Imposto de Renda Devido</w:t>
      </w:r>
    </w:p>
    <w:p w:rsidR="00C20C5D" w:rsidRPr="00FA3856" w:rsidRDefault="00C20C5D" w:rsidP="001A6818">
      <w:pPr>
        <w:pStyle w:val="NormalWeb"/>
        <w:spacing w:before="0" w:after="0"/>
        <w:jc w:val="both"/>
        <w:rPr>
          <w:rFonts w:ascii="Times New Roman" w:hAnsi="Times New Roman" w:cs="Times New Roman"/>
          <w:b/>
          <w:bCs/>
          <w:szCs w:val="20"/>
        </w:rPr>
      </w:pPr>
    </w:p>
    <w:p w:rsidR="00CD73D7" w:rsidRPr="00FA3856" w:rsidRDefault="00B14A83" w:rsidP="001A6818">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t xml:space="preserve">I.6.1) </w:t>
      </w:r>
      <w:r w:rsidR="00CD73D7" w:rsidRPr="00FA3856">
        <w:rPr>
          <w:rFonts w:ascii="Times New Roman" w:hAnsi="Times New Roman" w:cs="Times New Roman"/>
          <w:b/>
          <w:bCs/>
          <w:szCs w:val="20"/>
        </w:rPr>
        <w:t>Alíquota (Trimestral e Anual)</w:t>
      </w:r>
    </w:p>
    <w:p w:rsidR="00C20C5D" w:rsidRPr="00FA3856" w:rsidRDefault="00C20C5D" w:rsidP="001A6818">
      <w:pPr>
        <w:pStyle w:val="NormalWeb"/>
        <w:spacing w:before="0" w:after="0"/>
        <w:jc w:val="both"/>
        <w:rPr>
          <w:rFonts w:ascii="Times New Roman" w:hAnsi="Times New Roman" w:cs="Times New Roman"/>
          <w:szCs w:val="20"/>
        </w:rPr>
      </w:pPr>
    </w:p>
    <w:p w:rsidR="00CD73D7" w:rsidRPr="00FA3856" w:rsidRDefault="00CD73D7" w:rsidP="00C20C5D">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alíquota do imposto de renda é de 15% (quinze por cento) sobre o lucro real apurado pelas pessoas jurídicas em geral.</w:t>
      </w:r>
    </w:p>
    <w:p w:rsidR="00C20C5D" w:rsidRPr="00FA3856" w:rsidRDefault="00C20C5D" w:rsidP="001A6818">
      <w:pPr>
        <w:pStyle w:val="NormalWeb"/>
        <w:spacing w:before="0" w:after="0"/>
        <w:jc w:val="both"/>
        <w:rPr>
          <w:rFonts w:ascii="Times New Roman" w:hAnsi="Times New Roman" w:cs="Times New Roman"/>
          <w:b/>
          <w:bCs/>
          <w:szCs w:val="20"/>
        </w:rPr>
      </w:pPr>
    </w:p>
    <w:p w:rsidR="00CD73D7" w:rsidRPr="00FA3856" w:rsidRDefault="00B14A83" w:rsidP="001A6818">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t xml:space="preserve">I.6.2) </w:t>
      </w:r>
      <w:r w:rsidR="00CD73D7" w:rsidRPr="00FA3856">
        <w:rPr>
          <w:rFonts w:ascii="Times New Roman" w:hAnsi="Times New Roman" w:cs="Times New Roman"/>
          <w:b/>
          <w:bCs/>
          <w:szCs w:val="20"/>
        </w:rPr>
        <w:t>Adicional (Trimestral e Anual)</w:t>
      </w:r>
      <w:r w:rsidR="00CD73D7" w:rsidRPr="00FA3856">
        <w:rPr>
          <w:rFonts w:ascii="Times New Roman" w:hAnsi="Times New Roman" w:cs="Times New Roman"/>
          <w:szCs w:val="20"/>
        </w:rPr>
        <w:t xml:space="preserve"> </w:t>
      </w:r>
    </w:p>
    <w:p w:rsidR="00C20C5D" w:rsidRPr="00FA3856" w:rsidRDefault="00C20C5D" w:rsidP="001A6818">
      <w:pPr>
        <w:pStyle w:val="NormalWeb"/>
        <w:spacing w:before="0" w:after="0"/>
        <w:jc w:val="both"/>
        <w:rPr>
          <w:rFonts w:ascii="Times New Roman" w:hAnsi="Times New Roman" w:cs="Times New Roman"/>
          <w:szCs w:val="20"/>
        </w:rPr>
      </w:pPr>
    </w:p>
    <w:p w:rsidR="00CD73D7" w:rsidRPr="00FA3856" w:rsidRDefault="00CD73D7" w:rsidP="00C20C5D">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parcela do lucro real que exceder ao resultado da multiplicação de R$ 20.000,00 (vinte mil reais) pelo número dos meses do respectivo período de apuração sujeita-se à incidência do adicional, à alíquota de 10% (dez por cento). Também se encontra sujeita ao adicional a parcela da base de cálculo estimada mensal, no caso das pessoas jurídicas que optaram pela apuração anual do imposto de renda, que exceder a R$ 20.000,00 (vinte mil reais).</w:t>
      </w:r>
    </w:p>
    <w:p w:rsidR="00C20C5D" w:rsidRPr="00FA3856" w:rsidRDefault="00C20C5D" w:rsidP="001A6818">
      <w:pPr>
        <w:pStyle w:val="NormalWeb"/>
        <w:spacing w:before="0" w:after="0"/>
        <w:jc w:val="both"/>
        <w:rPr>
          <w:rFonts w:ascii="Times New Roman" w:hAnsi="Times New Roman" w:cs="Times New Roman"/>
          <w:szCs w:val="20"/>
        </w:rPr>
      </w:pPr>
    </w:p>
    <w:p w:rsidR="00CD73D7" w:rsidRPr="00FA3856" w:rsidRDefault="00CD73D7" w:rsidP="00C20C5D">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alíquota do adicional é única para todas as pessoas jurídicas, inclusive instituições financeiras, sociedades seguradoras e assemelhadas.</w:t>
      </w:r>
    </w:p>
    <w:p w:rsidR="00C20C5D" w:rsidRPr="00FA3856" w:rsidRDefault="00C20C5D" w:rsidP="001A6818">
      <w:pPr>
        <w:pStyle w:val="NormalWeb"/>
        <w:spacing w:before="0" w:after="0"/>
        <w:jc w:val="both"/>
        <w:rPr>
          <w:rFonts w:ascii="Times New Roman" w:hAnsi="Times New Roman" w:cs="Times New Roman"/>
          <w:szCs w:val="20"/>
        </w:rPr>
      </w:pPr>
    </w:p>
    <w:p w:rsidR="00CD73D7" w:rsidRPr="00FA3856" w:rsidRDefault="00CD73D7" w:rsidP="00C20C5D">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O adicion</w:t>
      </w:r>
      <w:bookmarkStart w:id="117" w:name="subitem_15.1.6"/>
      <w:bookmarkEnd w:id="117"/>
      <w:r w:rsidRPr="00FA3856">
        <w:rPr>
          <w:rFonts w:ascii="Times New Roman" w:hAnsi="Times New Roman" w:cs="Times New Roman"/>
          <w:szCs w:val="20"/>
        </w:rPr>
        <w:t>al incide, inclusive, sobre os resultados tribut</w:t>
      </w:r>
      <w:bookmarkStart w:id="118" w:name="subitem_15.1.6.1"/>
      <w:bookmarkEnd w:id="118"/>
      <w:r w:rsidRPr="00FA3856">
        <w:rPr>
          <w:rFonts w:ascii="Times New Roman" w:hAnsi="Times New Roman" w:cs="Times New Roman"/>
          <w:szCs w:val="20"/>
        </w:rPr>
        <w:t>áveis de pessoa jurídica que explore atividade rural (Lei n</w:t>
      </w:r>
      <w:r w:rsidRPr="00FA3856">
        <w:rPr>
          <w:rFonts w:ascii="Times New Roman" w:hAnsi="Times New Roman" w:cs="Times New Roman"/>
          <w:strike/>
          <w:szCs w:val="20"/>
        </w:rPr>
        <w:t>º</w:t>
      </w:r>
      <w:r w:rsidRPr="00FA3856">
        <w:rPr>
          <w:rFonts w:ascii="Times New Roman" w:hAnsi="Times New Roman" w:cs="Times New Roman"/>
          <w:szCs w:val="20"/>
        </w:rPr>
        <w:t xml:space="preserve"> 9.249, de 1995, art. 3</w:t>
      </w:r>
      <w:r w:rsidRPr="00FA3856">
        <w:rPr>
          <w:rFonts w:ascii="Times New Roman" w:hAnsi="Times New Roman" w:cs="Times New Roman"/>
          <w:strike/>
          <w:szCs w:val="20"/>
        </w:rPr>
        <w:t>º</w:t>
      </w:r>
      <w:r w:rsidRPr="00FA3856">
        <w:rPr>
          <w:rFonts w:ascii="Times New Roman" w:hAnsi="Times New Roman" w:cs="Times New Roman"/>
          <w:szCs w:val="20"/>
        </w:rPr>
        <w:t>, § 3</w:t>
      </w:r>
      <w:r w:rsidRPr="00FA3856">
        <w:rPr>
          <w:rFonts w:ascii="Times New Roman" w:hAnsi="Times New Roman" w:cs="Times New Roman"/>
          <w:strike/>
          <w:szCs w:val="20"/>
        </w:rPr>
        <w:t>º</w:t>
      </w:r>
      <w:r w:rsidRPr="00FA3856">
        <w:rPr>
          <w:rFonts w:ascii="Times New Roman" w:hAnsi="Times New Roman" w:cs="Times New Roman"/>
          <w:szCs w:val="20"/>
        </w:rPr>
        <w:t xml:space="preserve">). No caso de atividades mistas, a base de cálculo do adicional será </w:t>
      </w:r>
      <w:bookmarkStart w:id="119" w:name="Subitem_15.1.6.2"/>
      <w:bookmarkEnd w:id="119"/>
      <w:r w:rsidRPr="00FA3856">
        <w:rPr>
          <w:rFonts w:ascii="Times New Roman" w:hAnsi="Times New Roman" w:cs="Times New Roman"/>
          <w:szCs w:val="20"/>
        </w:rPr>
        <w:t>a soma do lucro real apurado nas atividades em geral com o lucro real apurado na atividade rural.</w:t>
      </w:r>
    </w:p>
    <w:p w:rsidR="00C20C5D" w:rsidRPr="00FA3856" w:rsidRDefault="00C20C5D" w:rsidP="001A6818">
      <w:pPr>
        <w:pStyle w:val="NormalWeb"/>
        <w:spacing w:before="0" w:after="0"/>
        <w:jc w:val="both"/>
        <w:rPr>
          <w:rFonts w:ascii="Times New Roman" w:hAnsi="Times New Roman" w:cs="Times New Roman"/>
          <w:b/>
          <w:bCs/>
          <w:szCs w:val="20"/>
        </w:rPr>
      </w:pPr>
    </w:p>
    <w:p w:rsidR="00CD73D7" w:rsidRPr="00FA3856" w:rsidRDefault="00B14A83" w:rsidP="001A6818">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t xml:space="preserve">I.6.3) </w:t>
      </w:r>
      <w:r w:rsidR="00CD73D7" w:rsidRPr="00FA3856">
        <w:rPr>
          <w:rFonts w:ascii="Times New Roman" w:hAnsi="Times New Roman" w:cs="Times New Roman"/>
          <w:b/>
          <w:bCs/>
          <w:szCs w:val="20"/>
        </w:rPr>
        <w:t>Suspensão ou Redução do Pagamento do Imposto de Renda Mensal (Anual)</w:t>
      </w:r>
    </w:p>
    <w:p w:rsidR="00C20C5D" w:rsidRPr="00FA3856" w:rsidRDefault="00C20C5D" w:rsidP="001A6818">
      <w:pPr>
        <w:pStyle w:val="NormalWeb"/>
        <w:spacing w:before="0" w:after="0"/>
        <w:jc w:val="both"/>
        <w:rPr>
          <w:rFonts w:ascii="Times New Roman" w:hAnsi="Times New Roman" w:cs="Times New Roman"/>
          <w:szCs w:val="20"/>
        </w:rPr>
      </w:pPr>
    </w:p>
    <w:p w:rsidR="00CD73D7" w:rsidRPr="00FA3856" w:rsidRDefault="00CD73D7" w:rsidP="00C20C5D">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pessoa jurídica pode suspender o pagamento do imposto, desde que demonstre que o valor do imposto devido, calculado com base no lucro real do período em curso, é igual ou inferior à soma do imposto de renda devido por estimativa, correspondente aos meses do mesmo ano-calendário, anteriores àquele a que se refere o balanço ou balancete levantado, conforme exemplo a seguir:</w:t>
      </w:r>
    </w:p>
    <w:p w:rsidR="00C20C5D" w:rsidRPr="00FA3856" w:rsidRDefault="00C20C5D" w:rsidP="001A6818">
      <w:pPr>
        <w:pStyle w:val="NormalWeb"/>
        <w:spacing w:before="0" w:after="0"/>
        <w:jc w:val="both"/>
        <w:rPr>
          <w:rFonts w:ascii="Times New Roman" w:hAnsi="Times New Roman" w:cs="Times New Roman"/>
          <w:szCs w:val="20"/>
        </w:rPr>
      </w:pPr>
    </w:p>
    <w:p w:rsidR="00CD73D7" w:rsidRPr="00FA3856" w:rsidRDefault="00CD73D7" w:rsidP="001A6818">
      <w:pPr>
        <w:pStyle w:val="NormalWeb"/>
        <w:spacing w:before="0" w:after="0"/>
        <w:jc w:val="both"/>
        <w:rPr>
          <w:rFonts w:ascii="Times New Roman" w:hAnsi="Times New Roman" w:cs="Times New Roman"/>
          <w:szCs w:val="20"/>
        </w:rPr>
      </w:pPr>
      <w:r w:rsidRPr="00FA3856">
        <w:rPr>
          <w:rFonts w:ascii="Times New Roman" w:hAnsi="Times New Roman" w:cs="Times New Roman"/>
          <w:b/>
          <w:szCs w:val="20"/>
        </w:rPr>
        <w:t>Exemplo 1:</w:t>
      </w:r>
      <w:r w:rsidRPr="00FA3856">
        <w:rPr>
          <w:rFonts w:ascii="Times New Roman" w:hAnsi="Times New Roman" w:cs="Times New Roman"/>
          <w:szCs w:val="20"/>
        </w:rPr>
        <w:t xml:space="preserve"> Pessoa jurídica que comercializa mercadorias levantou balanço para suspender o pagamento do IRPJ em março do ano-calendário, tendo efetuado apuração de imposto utilizando-se da base de cálculo estimada nos meses de janeiro e fevereiro.</w:t>
      </w:r>
    </w:p>
    <w:p w:rsidR="00AF7983" w:rsidRPr="00FA3856" w:rsidRDefault="00AF7983" w:rsidP="001A6818">
      <w:pPr>
        <w:pStyle w:val="NormalWeb"/>
        <w:spacing w:before="0" w:after="0"/>
        <w:jc w:val="both"/>
        <w:rPr>
          <w:rFonts w:ascii="Times New Roman" w:hAnsi="Times New Roman" w:cs="Times New Roman"/>
          <w:szCs w:val="20"/>
        </w:rPr>
      </w:pPr>
    </w:p>
    <w:p w:rsidR="00CD73D7" w:rsidRPr="00FA3856" w:rsidRDefault="00CD73D7" w:rsidP="001A6818">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Janeiro: Receita Bruta R$ 100.000,00</w:t>
      </w:r>
    </w:p>
    <w:p w:rsidR="00CD73D7" w:rsidRPr="00FA3856" w:rsidRDefault="00CD73D7" w:rsidP="001A6818">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Percentual x 8%</w:t>
      </w:r>
    </w:p>
    <w:p w:rsidR="00CD73D7" w:rsidRPr="00FA3856" w:rsidRDefault="00CD73D7" w:rsidP="001A6818">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p w:rsidR="00CD73D7" w:rsidRPr="00FA3856" w:rsidRDefault="00CD73D7" w:rsidP="001A6818">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Base estimada R$ 8.000,00</w:t>
      </w:r>
    </w:p>
    <w:p w:rsidR="00CD73D7" w:rsidRPr="00FA3856" w:rsidRDefault="00CD73D7" w:rsidP="001A6818">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Alíquota do IR</w:t>
      </w:r>
      <w:bookmarkStart w:id="120" w:name="subitem_15.1.6.3"/>
      <w:bookmarkEnd w:id="120"/>
      <w:r w:rsidRPr="00FA3856">
        <w:rPr>
          <w:rFonts w:ascii="Times New Roman" w:hAnsi="Times New Roman" w:cs="Times New Roman"/>
          <w:szCs w:val="20"/>
        </w:rPr>
        <w:t xml:space="preserve"> x 15%</w:t>
      </w:r>
    </w:p>
    <w:p w:rsidR="00CD73D7" w:rsidRPr="00FA3856" w:rsidRDefault="00CD73D7" w:rsidP="001A6818">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p w:rsidR="00CD73D7" w:rsidRPr="00FA3856" w:rsidRDefault="00CD73D7" w:rsidP="001A6818">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IR devido R$ 1.200,00</w:t>
      </w:r>
    </w:p>
    <w:p w:rsidR="00AF7983" w:rsidRPr="00FA3856" w:rsidRDefault="00AF7983" w:rsidP="001A6818">
      <w:pPr>
        <w:pStyle w:val="NormalWeb"/>
        <w:spacing w:before="0" w:after="0"/>
        <w:jc w:val="both"/>
        <w:rPr>
          <w:rFonts w:ascii="Times New Roman" w:hAnsi="Times New Roman" w:cs="Times New Roman"/>
          <w:szCs w:val="20"/>
        </w:rPr>
      </w:pPr>
    </w:p>
    <w:p w:rsidR="00CD73D7" w:rsidRPr="00FA3856" w:rsidRDefault="00CD73D7" w:rsidP="001A6818">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Fevereiro: Receita Bruta R$ 200.000,00</w:t>
      </w:r>
    </w:p>
    <w:p w:rsidR="00CD73D7" w:rsidRPr="00FA3856" w:rsidRDefault="00CD73D7" w:rsidP="001A6818">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Percentual x 8%</w:t>
      </w:r>
    </w:p>
    <w:p w:rsidR="00CD73D7" w:rsidRPr="00FA3856" w:rsidRDefault="00CD73D7" w:rsidP="001A6818">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p w:rsidR="00CD73D7" w:rsidRPr="00FA3856" w:rsidRDefault="00CD73D7" w:rsidP="001A6818">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Base estimada R$ 16.000,00</w:t>
      </w:r>
    </w:p>
    <w:p w:rsidR="00CD73D7" w:rsidRPr="00FA3856" w:rsidRDefault="00CD73D7" w:rsidP="001A6818">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Alíquota do IR x 15%</w:t>
      </w:r>
    </w:p>
    <w:p w:rsidR="00CD73D7" w:rsidRPr="00FA3856" w:rsidRDefault="00CD73D7" w:rsidP="001A6818">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p w:rsidR="00AF7983" w:rsidRPr="00FA3856" w:rsidRDefault="00CD73D7" w:rsidP="001A6818">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IR devido R$ 2.400,00</w:t>
      </w:r>
    </w:p>
    <w:p w:rsidR="00CD73D7" w:rsidRPr="00FA3856" w:rsidRDefault="00CD73D7" w:rsidP="001A6818">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lastRenderedPageBreak/>
        <w:t>Março: Lucro Real até 31/03 R$ 20.000,00</w:t>
      </w:r>
    </w:p>
    <w:p w:rsidR="00CD73D7" w:rsidRPr="00FA3856" w:rsidRDefault="00CD73D7" w:rsidP="001A6818">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Alíquota do IR x 15%</w:t>
      </w:r>
    </w:p>
    <w:p w:rsidR="00CD73D7" w:rsidRPr="00FA3856" w:rsidRDefault="00CD73D7" w:rsidP="001A6818">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p w:rsidR="00CD73D7" w:rsidRPr="00FA3856" w:rsidRDefault="00CD73D7" w:rsidP="001A6818">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IR apurado R$ 3.000,00</w:t>
      </w:r>
    </w:p>
    <w:p w:rsidR="00AF7983" w:rsidRPr="00FA3856" w:rsidRDefault="00AF7983" w:rsidP="001A6818">
      <w:pPr>
        <w:pStyle w:val="NormalWeb"/>
        <w:spacing w:before="0" w:after="0"/>
        <w:jc w:val="both"/>
        <w:rPr>
          <w:rFonts w:ascii="Times New Roman" w:hAnsi="Times New Roman" w:cs="Times New Roman"/>
          <w:szCs w:val="20"/>
        </w:rPr>
      </w:pPr>
    </w:p>
    <w:p w:rsidR="00CD73D7" w:rsidRPr="00FA3856" w:rsidRDefault="00CD73D7" w:rsidP="00AF7983">
      <w:pPr>
        <w:pStyle w:val="NormalWeb"/>
        <w:spacing w:before="0" w:after="0"/>
        <w:ind w:firstLine="600"/>
        <w:jc w:val="both"/>
        <w:rPr>
          <w:rFonts w:ascii="Times New Roman" w:hAnsi="Times New Roman" w:cs="Times New Roman"/>
          <w:szCs w:val="20"/>
        </w:rPr>
      </w:pPr>
      <w:r w:rsidRPr="00FA3856">
        <w:rPr>
          <w:rFonts w:ascii="Times New Roman" w:hAnsi="Times New Roman" w:cs="Times New Roman"/>
          <w:szCs w:val="20"/>
        </w:rPr>
        <w:t>Como a pessoa jurídica apurou o valor de R$ 3.600,00, correspondente ao imposto relativo aos meses de janeiro e fevereiro, e como o imposto calculado com base no lucro real do período compreendido a partir de 1</w:t>
      </w:r>
      <w:r w:rsidRPr="00FA3856">
        <w:rPr>
          <w:rFonts w:ascii="Times New Roman" w:hAnsi="Times New Roman" w:cs="Times New Roman"/>
          <w:strike/>
          <w:szCs w:val="20"/>
        </w:rPr>
        <w:t>º</w:t>
      </w:r>
      <w:r w:rsidRPr="00FA3856">
        <w:rPr>
          <w:rFonts w:ascii="Times New Roman" w:hAnsi="Times New Roman" w:cs="Times New Roman"/>
          <w:szCs w:val="20"/>
        </w:rPr>
        <w:t xml:space="preserve"> de janeiro até 31 de março resultou em R$ 3.000,00, poderá suspender o pagamento respectivo, por ser este inferior àquele valor.</w:t>
      </w:r>
    </w:p>
    <w:p w:rsidR="00AF7983" w:rsidRPr="00FA3856" w:rsidRDefault="00AF7983" w:rsidP="001A6818">
      <w:pPr>
        <w:pStyle w:val="NormalWeb"/>
        <w:spacing w:before="0" w:after="0"/>
        <w:ind w:left="600"/>
        <w:jc w:val="both"/>
        <w:rPr>
          <w:rFonts w:ascii="Times New Roman" w:hAnsi="Times New Roman" w:cs="Times New Roman"/>
          <w:b/>
          <w:bCs/>
          <w:szCs w:val="20"/>
        </w:rPr>
      </w:pPr>
    </w:p>
    <w:p w:rsidR="00CD73D7" w:rsidRPr="00FA3856" w:rsidRDefault="00CD73D7" w:rsidP="001A6818">
      <w:pPr>
        <w:pStyle w:val="NormalWeb"/>
        <w:spacing w:before="0" w:after="0"/>
        <w:ind w:left="600"/>
        <w:jc w:val="both"/>
        <w:rPr>
          <w:rFonts w:ascii="Times New Roman" w:hAnsi="Times New Roman" w:cs="Times New Roman"/>
          <w:szCs w:val="20"/>
        </w:rPr>
      </w:pPr>
      <w:r w:rsidRPr="00FA3856">
        <w:rPr>
          <w:rFonts w:ascii="Times New Roman" w:hAnsi="Times New Roman" w:cs="Times New Roman"/>
          <w:b/>
          <w:bCs/>
          <w:szCs w:val="20"/>
        </w:rPr>
        <w:t>Atenção:</w:t>
      </w:r>
    </w:p>
    <w:p w:rsidR="00CD73D7" w:rsidRPr="00FA3856" w:rsidRDefault="00CD73D7" w:rsidP="001A6818">
      <w:pPr>
        <w:pStyle w:val="NormalWeb"/>
        <w:spacing w:before="0" w:after="0"/>
        <w:ind w:left="600"/>
        <w:jc w:val="both"/>
        <w:rPr>
          <w:rFonts w:ascii="Times New Roman" w:hAnsi="Times New Roman" w:cs="Times New Roman"/>
          <w:szCs w:val="20"/>
        </w:rPr>
      </w:pPr>
      <w:r w:rsidRPr="00FA3856">
        <w:rPr>
          <w:rFonts w:ascii="Times New Roman" w:hAnsi="Times New Roman" w:cs="Times New Roman"/>
          <w:szCs w:val="20"/>
        </w:rPr>
        <w:t>1) O procedimento descrito no exemplo acima não desobriga o contribuinte do pagamento dos valores apurados sobre a base de cálculo estimada relativamente aos meses de janeiro e fevereiro (Lei n</w:t>
      </w:r>
      <w:r w:rsidRPr="00FA3856">
        <w:rPr>
          <w:rFonts w:ascii="Times New Roman" w:hAnsi="Times New Roman" w:cs="Times New Roman"/>
          <w:strike/>
          <w:szCs w:val="20"/>
        </w:rPr>
        <w:t>º</w:t>
      </w:r>
      <w:r w:rsidRPr="00FA3856">
        <w:rPr>
          <w:rFonts w:ascii="Times New Roman" w:hAnsi="Times New Roman" w:cs="Times New Roman"/>
          <w:szCs w:val="20"/>
        </w:rPr>
        <w:t xml:space="preserve"> 8.981, de 1995, art. 35; Lei n</w:t>
      </w:r>
      <w:r w:rsidRPr="00FA3856">
        <w:rPr>
          <w:rFonts w:ascii="Times New Roman" w:hAnsi="Times New Roman" w:cs="Times New Roman"/>
          <w:strike/>
          <w:szCs w:val="20"/>
        </w:rPr>
        <w:t>º</w:t>
      </w:r>
      <w:r w:rsidRPr="00FA3856">
        <w:rPr>
          <w:rFonts w:ascii="Times New Roman" w:hAnsi="Times New Roman" w:cs="Times New Roman"/>
          <w:szCs w:val="20"/>
        </w:rPr>
        <w:t xml:space="preserve"> 9.430, de 1996, art. 2</w:t>
      </w:r>
      <w:r w:rsidRPr="00FA3856">
        <w:rPr>
          <w:rFonts w:ascii="Times New Roman" w:hAnsi="Times New Roman" w:cs="Times New Roman"/>
          <w:strike/>
          <w:szCs w:val="20"/>
        </w:rPr>
        <w:t>º</w:t>
      </w:r>
      <w:r w:rsidRPr="00FA3856">
        <w:rPr>
          <w:rFonts w:ascii="Times New Roman" w:hAnsi="Times New Roman" w:cs="Times New Roman"/>
          <w:szCs w:val="20"/>
        </w:rPr>
        <w:t>; Decreto n</w:t>
      </w:r>
      <w:r w:rsidRPr="00FA3856">
        <w:rPr>
          <w:rFonts w:ascii="Times New Roman" w:hAnsi="Times New Roman" w:cs="Times New Roman"/>
          <w:strike/>
          <w:szCs w:val="20"/>
        </w:rPr>
        <w:t>º</w:t>
      </w:r>
      <w:r w:rsidRPr="00FA3856">
        <w:rPr>
          <w:rFonts w:ascii="Times New Roman" w:hAnsi="Times New Roman" w:cs="Times New Roman"/>
          <w:szCs w:val="20"/>
        </w:rPr>
        <w:t xml:space="preserve"> 3.000, de 1999, art. 230).</w:t>
      </w:r>
    </w:p>
    <w:p w:rsidR="00CD73D7" w:rsidRPr="00FA3856" w:rsidRDefault="00CD73D7" w:rsidP="001A6818">
      <w:pPr>
        <w:pStyle w:val="NormalWeb"/>
        <w:spacing w:before="0" w:after="0"/>
        <w:ind w:left="600"/>
        <w:jc w:val="both"/>
        <w:rPr>
          <w:rFonts w:ascii="Times New Roman" w:hAnsi="Times New Roman" w:cs="Times New Roman"/>
          <w:szCs w:val="20"/>
        </w:rPr>
      </w:pPr>
      <w:r w:rsidRPr="00FA3856">
        <w:rPr>
          <w:rFonts w:ascii="Times New Roman" w:hAnsi="Times New Roman" w:cs="Times New Roman"/>
          <w:szCs w:val="20"/>
        </w:rPr>
        <w:t>2) Os valores devidos relativos ao imposto apurado sobre a base de cálculo estimada que não tiverem sido pagos nas datas de vencimento previstas na legislação específica devem ser pagos com os acréscimos legais (multa de mora e juros de mora).</w:t>
      </w:r>
    </w:p>
    <w:p w:rsidR="00CD73D7" w:rsidRPr="00FA3856" w:rsidRDefault="00CD73D7" w:rsidP="001A6818">
      <w:pPr>
        <w:pStyle w:val="NormalWeb"/>
        <w:spacing w:before="0" w:after="0"/>
        <w:ind w:left="600"/>
        <w:jc w:val="both"/>
        <w:rPr>
          <w:rFonts w:ascii="Times New Roman" w:hAnsi="Times New Roman" w:cs="Times New Roman"/>
          <w:szCs w:val="20"/>
        </w:rPr>
      </w:pPr>
      <w:r w:rsidRPr="00FA3856">
        <w:rPr>
          <w:rFonts w:ascii="Times New Roman" w:hAnsi="Times New Roman" w:cs="Times New Roman"/>
          <w:szCs w:val="20"/>
        </w:rPr>
        <w:t>3) Considerando o exemplo 1 e o disposto no item "2" acima, temos:</w:t>
      </w:r>
    </w:p>
    <w:p w:rsidR="00CD73D7" w:rsidRPr="00FA3856" w:rsidRDefault="00CD73D7" w:rsidP="001A6818">
      <w:pPr>
        <w:pStyle w:val="NormalWeb"/>
        <w:spacing w:before="0" w:after="0"/>
        <w:ind w:left="600"/>
        <w:jc w:val="both"/>
        <w:rPr>
          <w:rFonts w:ascii="Times New Roman" w:hAnsi="Times New Roman" w:cs="Times New Roman"/>
          <w:szCs w:val="20"/>
        </w:rPr>
      </w:pPr>
      <w:r w:rsidRPr="00FA3856">
        <w:rPr>
          <w:rFonts w:ascii="Times New Roman" w:hAnsi="Times New Roman" w:cs="Times New Roman"/>
          <w:szCs w:val="20"/>
        </w:rPr>
        <w:t>IR devido JAN - R$ 1.200,00 - vencimento último dia útil de FEV</w:t>
      </w:r>
    </w:p>
    <w:p w:rsidR="00CD73D7" w:rsidRPr="00FA3856" w:rsidRDefault="00CD73D7" w:rsidP="001A6818">
      <w:pPr>
        <w:pStyle w:val="NormalWeb"/>
        <w:spacing w:before="0" w:after="0"/>
        <w:ind w:left="600"/>
        <w:jc w:val="both"/>
        <w:rPr>
          <w:rFonts w:ascii="Times New Roman" w:hAnsi="Times New Roman" w:cs="Times New Roman"/>
          <w:szCs w:val="20"/>
        </w:rPr>
      </w:pPr>
      <w:r w:rsidRPr="00FA3856">
        <w:rPr>
          <w:rFonts w:ascii="Times New Roman" w:hAnsi="Times New Roman" w:cs="Times New Roman"/>
          <w:szCs w:val="20"/>
        </w:rPr>
        <w:t>IR devido FEV - R$ 2.400,00 - vencimento último dia útil de MAR</w:t>
      </w:r>
    </w:p>
    <w:p w:rsidR="00CD73D7" w:rsidRPr="00FA3856" w:rsidRDefault="00CD73D7" w:rsidP="001A6818">
      <w:pPr>
        <w:pStyle w:val="NormalWeb"/>
        <w:spacing w:before="0" w:after="0"/>
        <w:ind w:left="600"/>
        <w:jc w:val="both"/>
        <w:rPr>
          <w:rFonts w:ascii="Times New Roman" w:hAnsi="Times New Roman" w:cs="Times New Roman"/>
          <w:szCs w:val="20"/>
        </w:rPr>
      </w:pPr>
      <w:r w:rsidRPr="00FA3856">
        <w:rPr>
          <w:rFonts w:ascii="Times New Roman" w:hAnsi="Times New Roman" w:cs="Times New Roman"/>
          <w:szCs w:val="20"/>
        </w:rPr>
        <w:t>IR devido MAR - R$ - - vencimento último dia útil de ABR</w:t>
      </w:r>
    </w:p>
    <w:p w:rsidR="00AF7983" w:rsidRPr="00FA3856" w:rsidRDefault="00AF7983" w:rsidP="001A6818">
      <w:pPr>
        <w:pStyle w:val="NormalWeb"/>
        <w:spacing w:before="0" w:after="0"/>
        <w:jc w:val="both"/>
        <w:rPr>
          <w:rFonts w:ascii="Times New Roman" w:hAnsi="Times New Roman" w:cs="Times New Roman"/>
          <w:szCs w:val="20"/>
        </w:rPr>
      </w:pPr>
    </w:p>
    <w:p w:rsidR="00CD73D7" w:rsidRPr="00FA3856" w:rsidRDefault="00CD73D7" w:rsidP="00AF7983">
      <w:pPr>
        <w:pStyle w:val="NormalWeb"/>
        <w:spacing w:before="0" w:after="0"/>
        <w:ind w:firstLine="600"/>
        <w:jc w:val="both"/>
        <w:rPr>
          <w:rFonts w:ascii="Times New Roman" w:hAnsi="Times New Roman" w:cs="Times New Roman"/>
          <w:szCs w:val="20"/>
        </w:rPr>
      </w:pPr>
      <w:r w:rsidRPr="00FA3856">
        <w:rPr>
          <w:rFonts w:ascii="Times New Roman" w:hAnsi="Times New Roman" w:cs="Times New Roman"/>
          <w:szCs w:val="20"/>
        </w:rPr>
        <w:t>O valor do imposto mensal pode ser reduzido ao montante correspondente à diferença positiva entre o imposto devido, calculado com base no lucro real do período em curso, e a soma do imposto de renda devido, correspondente aos meses do mesmo ano-calendário, anteriores àquele a que se refere o balanço ou balancete levantado, conforme exemplo a seguir:</w:t>
      </w:r>
    </w:p>
    <w:p w:rsidR="00AF7983" w:rsidRPr="00FA3856" w:rsidRDefault="00AF7983" w:rsidP="001A6818">
      <w:pPr>
        <w:pStyle w:val="NormalWeb"/>
        <w:spacing w:before="0" w:after="0"/>
        <w:jc w:val="both"/>
        <w:rPr>
          <w:rFonts w:ascii="Times New Roman" w:hAnsi="Times New Roman" w:cs="Times New Roman"/>
          <w:szCs w:val="20"/>
        </w:rPr>
      </w:pPr>
    </w:p>
    <w:p w:rsidR="00CD73D7" w:rsidRPr="00FA3856" w:rsidRDefault="00CD73D7" w:rsidP="001A6818">
      <w:pPr>
        <w:pStyle w:val="NormalWeb"/>
        <w:spacing w:before="0" w:after="0"/>
        <w:jc w:val="both"/>
        <w:rPr>
          <w:rFonts w:ascii="Times New Roman" w:hAnsi="Times New Roman" w:cs="Times New Roman"/>
          <w:szCs w:val="20"/>
        </w:rPr>
      </w:pPr>
      <w:r w:rsidRPr="00FA3856">
        <w:rPr>
          <w:rFonts w:ascii="Times New Roman" w:hAnsi="Times New Roman" w:cs="Times New Roman"/>
          <w:b/>
          <w:szCs w:val="20"/>
        </w:rPr>
        <w:t xml:space="preserve">Exemplo 2: </w:t>
      </w:r>
      <w:r w:rsidRPr="00FA3856">
        <w:rPr>
          <w:rFonts w:ascii="Times New Roman" w:hAnsi="Times New Roman" w:cs="Times New Roman"/>
          <w:szCs w:val="20"/>
        </w:rPr>
        <w:t>Pessoa jurídica que comercializa mercadorias levantou balanço para reduzir o pagamento do IRPJ em março do ano-calendário, tendo efetuado apuração de imposto utilizando-se da base de cálculo estimada nos meses de janeiro e fevereiro.</w:t>
      </w:r>
    </w:p>
    <w:p w:rsidR="00AF7983" w:rsidRPr="00FA3856" w:rsidRDefault="00AF7983" w:rsidP="001A6818">
      <w:pPr>
        <w:pStyle w:val="NormalWeb"/>
        <w:spacing w:before="0" w:after="0"/>
        <w:jc w:val="both"/>
        <w:rPr>
          <w:rFonts w:ascii="Times New Roman" w:hAnsi="Times New Roman" w:cs="Times New Roman"/>
          <w:szCs w:val="20"/>
        </w:rPr>
      </w:pPr>
    </w:p>
    <w:p w:rsidR="00CD73D7" w:rsidRPr="00FA3856" w:rsidRDefault="00CD73D7" w:rsidP="001A6818">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Janeiro: Receita Bruta R$100.000,00</w:t>
      </w:r>
    </w:p>
    <w:p w:rsidR="00CD73D7" w:rsidRPr="00FA3856" w:rsidRDefault="00CD73D7" w:rsidP="001A6818">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Percentual x 8%</w:t>
      </w:r>
    </w:p>
    <w:p w:rsidR="00CD73D7" w:rsidRPr="00FA3856" w:rsidRDefault="00CD73D7" w:rsidP="001A6818">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p w:rsidR="00CD73D7" w:rsidRPr="00FA3856" w:rsidRDefault="00CD73D7" w:rsidP="001A6818">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Base estimada R$ 8.000,00</w:t>
      </w:r>
    </w:p>
    <w:p w:rsidR="00CD73D7" w:rsidRPr="00FA3856" w:rsidRDefault="00CD73D7" w:rsidP="001A6818">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Alíquota do IR x 15%</w:t>
      </w:r>
    </w:p>
    <w:p w:rsidR="00CD73D7" w:rsidRPr="00FA3856" w:rsidRDefault="00CD73D7" w:rsidP="001A6818">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p w:rsidR="00CD73D7" w:rsidRPr="00FA3856" w:rsidRDefault="00CD73D7" w:rsidP="001A6818">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IR devido R$ 1.200,00</w:t>
      </w:r>
    </w:p>
    <w:p w:rsidR="00AF7983" w:rsidRPr="00FA3856" w:rsidRDefault="00AF7983" w:rsidP="001A6818">
      <w:pPr>
        <w:pStyle w:val="NormalWeb"/>
        <w:spacing w:before="0" w:after="0"/>
        <w:jc w:val="both"/>
        <w:rPr>
          <w:rFonts w:ascii="Times New Roman" w:hAnsi="Times New Roman" w:cs="Times New Roman"/>
          <w:szCs w:val="20"/>
        </w:rPr>
      </w:pPr>
    </w:p>
    <w:p w:rsidR="00CD73D7" w:rsidRPr="00FA3856" w:rsidRDefault="00CD73D7" w:rsidP="001A6818">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Fevereiro: Receita Bruta R$200.000,00</w:t>
      </w:r>
    </w:p>
    <w:p w:rsidR="00CD73D7" w:rsidRPr="00FA3856" w:rsidRDefault="00CD73D7" w:rsidP="001A6818">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Percentual x 8%</w:t>
      </w:r>
    </w:p>
    <w:p w:rsidR="00CD73D7" w:rsidRPr="00FA3856" w:rsidRDefault="00CD73D7" w:rsidP="001A6818">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p w:rsidR="00CD73D7" w:rsidRPr="00FA3856" w:rsidRDefault="00CD73D7" w:rsidP="001A6818">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Base estimada R$ 16.000,00</w:t>
      </w:r>
    </w:p>
    <w:p w:rsidR="00CD73D7" w:rsidRPr="00FA3856" w:rsidRDefault="00CD73D7" w:rsidP="001A6818">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Alíquota do IR x 15%</w:t>
      </w:r>
    </w:p>
    <w:p w:rsidR="00CD73D7" w:rsidRPr="00FA3856" w:rsidRDefault="00CD73D7" w:rsidP="001A6818">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p w:rsidR="00CD73D7" w:rsidRPr="00FA3856" w:rsidRDefault="00CD73D7" w:rsidP="001A6818">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IR devido R$ 2.400,00</w:t>
      </w:r>
    </w:p>
    <w:p w:rsidR="00AF7983" w:rsidRPr="00FA3856" w:rsidRDefault="00AF7983" w:rsidP="001A6818">
      <w:pPr>
        <w:pStyle w:val="NormalWeb"/>
        <w:spacing w:before="0" w:after="0"/>
        <w:jc w:val="both"/>
        <w:rPr>
          <w:rFonts w:ascii="Times New Roman" w:hAnsi="Times New Roman" w:cs="Times New Roman"/>
          <w:szCs w:val="20"/>
        </w:rPr>
      </w:pPr>
    </w:p>
    <w:p w:rsidR="00CD73D7" w:rsidRPr="00FA3856" w:rsidRDefault="00CD73D7" w:rsidP="001A6818">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lastRenderedPageBreak/>
        <w:t>Março: Receita Bruta R$ 150.000,00</w:t>
      </w:r>
    </w:p>
    <w:p w:rsidR="00CD73D7" w:rsidRPr="00FA3856" w:rsidRDefault="00CD73D7" w:rsidP="001A6818">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Percentual x 8%</w:t>
      </w:r>
    </w:p>
    <w:p w:rsidR="00CD73D7" w:rsidRPr="00FA3856" w:rsidRDefault="00CD73D7" w:rsidP="001A6818">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p w:rsidR="00CD73D7" w:rsidRPr="00FA3856" w:rsidRDefault="00CD73D7" w:rsidP="001A6818">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Base estimada R$ 12.000,00</w:t>
      </w:r>
    </w:p>
    <w:p w:rsidR="00CD73D7" w:rsidRPr="00FA3856" w:rsidRDefault="00CD73D7" w:rsidP="001A6818">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Alíquota do IR x 15%</w:t>
      </w:r>
    </w:p>
    <w:p w:rsidR="00CD73D7" w:rsidRPr="00FA3856" w:rsidRDefault="00CD73D7" w:rsidP="001A6818">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p w:rsidR="00CD73D7" w:rsidRPr="00FA3856" w:rsidRDefault="00CD73D7" w:rsidP="001A6818">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IR devido R$ 1.800,00</w:t>
      </w:r>
    </w:p>
    <w:p w:rsidR="00AF7983" w:rsidRPr="00FA3856" w:rsidRDefault="00AF7983" w:rsidP="001A6818">
      <w:pPr>
        <w:pStyle w:val="NormalWeb"/>
        <w:spacing w:before="0" w:after="0"/>
        <w:jc w:val="both"/>
        <w:rPr>
          <w:rFonts w:ascii="Times New Roman" w:hAnsi="Times New Roman" w:cs="Times New Roman"/>
          <w:szCs w:val="20"/>
        </w:rPr>
      </w:pPr>
    </w:p>
    <w:p w:rsidR="00CD73D7" w:rsidRPr="00FA3856" w:rsidRDefault="00CD73D7" w:rsidP="001A6818">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Março: Lucro Real até 31/03 R$ 30.000,00</w:t>
      </w:r>
    </w:p>
    <w:p w:rsidR="00CD73D7" w:rsidRPr="00FA3856" w:rsidRDefault="00CD73D7" w:rsidP="001A6818">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Alíquota do IR x 15%</w:t>
      </w:r>
    </w:p>
    <w:p w:rsidR="00CD73D7" w:rsidRPr="00FA3856" w:rsidRDefault="00CD73D7" w:rsidP="001A6818">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p w:rsidR="00CD73D7" w:rsidRPr="00FA3856" w:rsidRDefault="00CD73D7" w:rsidP="001A6818">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IR apurado R$ 4.500,00</w:t>
      </w:r>
    </w:p>
    <w:p w:rsidR="00AF7983" w:rsidRPr="00FA3856" w:rsidRDefault="00AF7983" w:rsidP="001A6818">
      <w:pPr>
        <w:pStyle w:val="NormalWeb"/>
        <w:spacing w:before="0" w:after="0"/>
        <w:jc w:val="both"/>
        <w:rPr>
          <w:rFonts w:ascii="Times New Roman" w:hAnsi="Times New Roman" w:cs="Times New Roman"/>
          <w:szCs w:val="20"/>
        </w:rPr>
      </w:pPr>
    </w:p>
    <w:p w:rsidR="00CD73D7" w:rsidRPr="00FA3856" w:rsidRDefault="00CD73D7" w:rsidP="00AF7983">
      <w:pPr>
        <w:pStyle w:val="NormalWeb"/>
        <w:spacing w:before="0" w:after="0"/>
        <w:ind w:firstLine="600"/>
        <w:jc w:val="both"/>
        <w:rPr>
          <w:rFonts w:ascii="Times New Roman" w:hAnsi="Times New Roman" w:cs="Times New Roman"/>
          <w:szCs w:val="20"/>
        </w:rPr>
      </w:pPr>
      <w:r w:rsidRPr="00FA3856">
        <w:rPr>
          <w:rFonts w:ascii="Times New Roman" w:hAnsi="Times New Roman" w:cs="Times New Roman"/>
          <w:szCs w:val="20"/>
        </w:rPr>
        <w:t>Como a pessoa jurídica apurou o valor de R$ 3.600,00, correspondente ao imposto relativo aos meses de janeiro e fevereiro, e como o imposto calculado com base no lucro real do período compreendido a partir de 1</w:t>
      </w:r>
      <w:r w:rsidRPr="00FA3856">
        <w:rPr>
          <w:rFonts w:ascii="Times New Roman" w:hAnsi="Times New Roman" w:cs="Times New Roman"/>
          <w:strike/>
          <w:szCs w:val="20"/>
        </w:rPr>
        <w:t>º</w:t>
      </w:r>
      <w:r w:rsidRPr="00FA3856">
        <w:rPr>
          <w:rFonts w:ascii="Times New Roman" w:hAnsi="Times New Roman" w:cs="Times New Roman"/>
          <w:szCs w:val="20"/>
        </w:rPr>
        <w:t xml:space="preserve"> de janeiro até 31 de março resultou em R$ 4.500,00, ela pode reduzir o valor a ser pago para R$ 900,00 (R$ 4.500,00 - R$ 3.600,00), em vez de R$ 1.800,00, apurado sobre a base de cálculo estimada de março.</w:t>
      </w:r>
    </w:p>
    <w:p w:rsidR="00AF7983" w:rsidRPr="00FA3856" w:rsidRDefault="00AF7983" w:rsidP="001A6818">
      <w:pPr>
        <w:pStyle w:val="NormalWeb"/>
        <w:spacing w:before="0" w:after="0"/>
        <w:ind w:left="600"/>
        <w:jc w:val="both"/>
        <w:rPr>
          <w:rStyle w:val="Forte"/>
          <w:rFonts w:ascii="Times New Roman" w:hAnsi="Times New Roman" w:cs="Times New Roman"/>
          <w:szCs w:val="20"/>
        </w:rPr>
      </w:pPr>
    </w:p>
    <w:p w:rsidR="00CD73D7" w:rsidRPr="00FA3856" w:rsidRDefault="00CD73D7" w:rsidP="001A6818">
      <w:pPr>
        <w:pStyle w:val="NormalWeb"/>
        <w:spacing w:before="0" w:after="0"/>
        <w:ind w:left="600"/>
        <w:jc w:val="both"/>
        <w:rPr>
          <w:rFonts w:ascii="Times New Roman" w:hAnsi="Times New Roman" w:cs="Times New Roman"/>
          <w:szCs w:val="20"/>
        </w:rPr>
      </w:pPr>
      <w:r w:rsidRPr="00FA3856">
        <w:rPr>
          <w:rStyle w:val="Forte"/>
          <w:rFonts w:ascii="Times New Roman" w:hAnsi="Times New Roman" w:cs="Times New Roman"/>
          <w:szCs w:val="20"/>
        </w:rPr>
        <w:t>Atenção:</w:t>
      </w:r>
    </w:p>
    <w:p w:rsidR="00CD73D7" w:rsidRPr="00FA3856" w:rsidRDefault="00CD73D7" w:rsidP="001A6818">
      <w:pPr>
        <w:pStyle w:val="NormalWeb"/>
        <w:spacing w:before="0" w:after="0"/>
        <w:ind w:left="600"/>
        <w:jc w:val="both"/>
        <w:rPr>
          <w:rFonts w:ascii="Times New Roman" w:hAnsi="Times New Roman" w:cs="Times New Roman"/>
          <w:szCs w:val="20"/>
        </w:rPr>
      </w:pPr>
      <w:r w:rsidRPr="00FA3856">
        <w:rPr>
          <w:rFonts w:ascii="Times New Roman" w:hAnsi="Times New Roman" w:cs="Times New Roman"/>
          <w:szCs w:val="20"/>
        </w:rPr>
        <w:t>1) O procedimento descrito no exemplo acima não desobriga o contribuinte do pagamento dos valores apurados sobre a base de cálculo estimada relativamente aos meses de janeiro e fevereiro (Lei n</w:t>
      </w:r>
      <w:r w:rsidRPr="00FA3856">
        <w:rPr>
          <w:rFonts w:ascii="Times New Roman" w:hAnsi="Times New Roman" w:cs="Times New Roman"/>
          <w:strike/>
          <w:szCs w:val="20"/>
        </w:rPr>
        <w:t>º</w:t>
      </w:r>
      <w:r w:rsidRPr="00FA3856">
        <w:rPr>
          <w:rFonts w:ascii="Times New Roman" w:hAnsi="Times New Roman" w:cs="Times New Roman"/>
          <w:szCs w:val="20"/>
        </w:rPr>
        <w:t xml:space="preserve"> 8.981, de 1995, art. 35; Lei n</w:t>
      </w:r>
      <w:r w:rsidRPr="00FA3856">
        <w:rPr>
          <w:rFonts w:ascii="Times New Roman" w:hAnsi="Times New Roman" w:cs="Times New Roman"/>
          <w:strike/>
          <w:szCs w:val="20"/>
        </w:rPr>
        <w:t>º</w:t>
      </w:r>
      <w:r w:rsidRPr="00FA3856">
        <w:rPr>
          <w:rFonts w:ascii="Times New Roman" w:hAnsi="Times New Roman" w:cs="Times New Roman"/>
          <w:szCs w:val="20"/>
        </w:rPr>
        <w:t xml:space="preserve"> 9.430, de 1996, art. 2</w:t>
      </w:r>
      <w:r w:rsidRPr="00FA3856">
        <w:rPr>
          <w:rFonts w:ascii="Times New Roman" w:hAnsi="Times New Roman" w:cs="Times New Roman"/>
          <w:strike/>
          <w:szCs w:val="20"/>
        </w:rPr>
        <w:t>º</w:t>
      </w:r>
      <w:r w:rsidRPr="00FA3856">
        <w:rPr>
          <w:rFonts w:ascii="Times New Roman" w:hAnsi="Times New Roman" w:cs="Times New Roman"/>
          <w:szCs w:val="20"/>
        </w:rPr>
        <w:t>; Decreto n</w:t>
      </w:r>
      <w:r w:rsidRPr="00FA3856">
        <w:rPr>
          <w:rFonts w:ascii="Times New Roman" w:hAnsi="Times New Roman" w:cs="Times New Roman"/>
          <w:strike/>
          <w:szCs w:val="20"/>
        </w:rPr>
        <w:t>º</w:t>
      </w:r>
      <w:r w:rsidRPr="00FA3856">
        <w:rPr>
          <w:rFonts w:ascii="Times New Roman" w:hAnsi="Times New Roman" w:cs="Times New Roman"/>
          <w:szCs w:val="20"/>
        </w:rPr>
        <w:t xml:space="preserve"> 3.000, de 1999, art. 230).</w:t>
      </w:r>
    </w:p>
    <w:p w:rsidR="00CD73D7" w:rsidRPr="00FA3856" w:rsidRDefault="00CD73D7" w:rsidP="001A6818">
      <w:pPr>
        <w:pStyle w:val="NormalWeb"/>
        <w:spacing w:before="0" w:after="0"/>
        <w:ind w:left="600"/>
        <w:jc w:val="both"/>
        <w:rPr>
          <w:rFonts w:ascii="Times New Roman" w:hAnsi="Times New Roman" w:cs="Times New Roman"/>
          <w:szCs w:val="20"/>
        </w:rPr>
      </w:pPr>
      <w:r w:rsidRPr="00FA3856">
        <w:rPr>
          <w:rFonts w:ascii="Times New Roman" w:hAnsi="Times New Roman" w:cs="Times New Roman"/>
          <w:szCs w:val="20"/>
        </w:rPr>
        <w:t>2) Os valores devidos relativos ao imposto apurado sobre a base de cálculo estimada que não tiverem sido pagos nas datas de vencimento previstas na legislação específica devem ser pagos com os acréscimos legais (multa de mora e juros de mora).</w:t>
      </w:r>
    </w:p>
    <w:p w:rsidR="00CD73D7" w:rsidRPr="00FA3856" w:rsidRDefault="00CD73D7" w:rsidP="001A6818">
      <w:pPr>
        <w:pStyle w:val="NormalWeb"/>
        <w:spacing w:before="0" w:after="0"/>
        <w:ind w:left="600"/>
        <w:jc w:val="both"/>
        <w:rPr>
          <w:rFonts w:ascii="Times New Roman" w:hAnsi="Times New Roman" w:cs="Times New Roman"/>
          <w:szCs w:val="20"/>
        </w:rPr>
      </w:pPr>
      <w:r w:rsidRPr="00FA3856">
        <w:rPr>
          <w:rFonts w:ascii="Times New Roman" w:hAnsi="Times New Roman" w:cs="Times New Roman"/>
          <w:szCs w:val="20"/>
        </w:rPr>
        <w:t>3) Considerando o exemplo 2 e o disposto no item "2" acima, temos:</w:t>
      </w:r>
    </w:p>
    <w:p w:rsidR="00CD73D7" w:rsidRPr="00FA3856" w:rsidRDefault="00CD73D7" w:rsidP="001A6818">
      <w:pPr>
        <w:pStyle w:val="NormalWeb"/>
        <w:spacing w:before="0" w:after="0"/>
        <w:ind w:left="600"/>
        <w:jc w:val="both"/>
        <w:rPr>
          <w:rFonts w:ascii="Times New Roman" w:hAnsi="Times New Roman" w:cs="Times New Roman"/>
          <w:szCs w:val="20"/>
        </w:rPr>
      </w:pPr>
      <w:r w:rsidRPr="00FA3856">
        <w:rPr>
          <w:rFonts w:ascii="Times New Roman" w:hAnsi="Times New Roman" w:cs="Times New Roman"/>
          <w:szCs w:val="20"/>
        </w:rPr>
        <w:t>IR devido JAN - R$ 1.200,00 - vencimento último dia útil de FEV</w:t>
      </w:r>
    </w:p>
    <w:p w:rsidR="00CD73D7" w:rsidRPr="00FA3856" w:rsidRDefault="00CD73D7" w:rsidP="001A6818">
      <w:pPr>
        <w:pStyle w:val="NormalWeb"/>
        <w:spacing w:before="0" w:after="0"/>
        <w:ind w:left="600"/>
        <w:jc w:val="both"/>
        <w:rPr>
          <w:rFonts w:ascii="Times New Roman" w:hAnsi="Times New Roman" w:cs="Times New Roman"/>
          <w:szCs w:val="20"/>
        </w:rPr>
      </w:pPr>
      <w:r w:rsidRPr="00FA3856">
        <w:rPr>
          <w:rFonts w:ascii="Times New Roman" w:hAnsi="Times New Roman" w:cs="Times New Roman"/>
          <w:szCs w:val="20"/>
        </w:rPr>
        <w:t>IR devido FEV - R$ 2.400,00 - vencimento último dia útil de MAR</w:t>
      </w:r>
    </w:p>
    <w:p w:rsidR="00CD73D7" w:rsidRPr="00FA3856" w:rsidRDefault="00CD73D7" w:rsidP="001A6818">
      <w:pPr>
        <w:pStyle w:val="NormalWeb"/>
        <w:spacing w:before="0" w:after="0"/>
        <w:ind w:left="600"/>
        <w:jc w:val="both"/>
        <w:rPr>
          <w:rFonts w:ascii="Times New Roman" w:hAnsi="Times New Roman" w:cs="Times New Roman"/>
          <w:szCs w:val="20"/>
        </w:rPr>
      </w:pPr>
      <w:r w:rsidRPr="00FA3856">
        <w:rPr>
          <w:rFonts w:ascii="Times New Roman" w:hAnsi="Times New Roman" w:cs="Times New Roman"/>
          <w:szCs w:val="20"/>
        </w:rPr>
        <w:t>IR devido MAR - R$ 900,00 - vencimento último dia útil de ABR</w:t>
      </w:r>
    </w:p>
    <w:p w:rsidR="00AF7983" w:rsidRPr="00FA3856" w:rsidRDefault="00AF7983" w:rsidP="001A6818">
      <w:pPr>
        <w:pStyle w:val="NormalWeb"/>
        <w:spacing w:before="0" w:after="0"/>
        <w:jc w:val="both"/>
        <w:rPr>
          <w:rFonts w:ascii="Times New Roman" w:hAnsi="Times New Roman" w:cs="Times New Roman"/>
          <w:szCs w:val="20"/>
        </w:rPr>
      </w:pPr>
    </w:p>
    <w:p w:rsidR="00CD73D7" w:rsidRPr="00FA3856" w:rsidRDefault="00CD73D7" w:rsidP="00AF7983">
      <w:pPr>
        <w:pStyle w:val="NormalWeb"/>
        <w:spacing w:before="0" w:after="0"/>
        <w:ind w:firstLine="600"/>
        <w:jc w:val="both"/>
        <w:rPr>
          <w:rFonts w:ascii="Times New Roman" w:hAnsi="Times New Roman" w:cs="Times New Roman"/>
          <w:szCs w:val="20"/>
        </w:rPr>
      </w:pPr>
      <w:r w:rsidRPr="00FA3856">
        <w:rPr>
          <w:rFonts w:ascii="Times New Roman" w:hAnsi="Times New Roman" w:cs="Times New Roman"/>
          <w:szCs w:val="20"/>
        </w:rPr>
        <w:t>A diferença verificada, correspondente ao imposto de renda apurado a maior, no período abrangido pelo balanço de suspensão, não pode ser utilizada para reduzir o montante do imposto devido em meses subsequentes do mesmo ano-calendário, calculado com base na receita bruta e acréscimos.</w:t>
      </w:r>
    </w:p>
    <w:p w:rsidR="00AF7983" w:rsidRPr="00FA3856" w:rsidRDefault="00AF7983" w:rsidP="001A6818">
      <w:pPr>
        <w:pStyle w:val="NormalWeb"/>
        <w:spacing w:before="0" w:after="0"/>
        <w:jc w:val="both"/>
        <w:rPr>
          <w:rFonts w:ascii="Times New Roman" w:hAnsi="Times New Roman" w:cs="Times New Roman"/>
          <w:szCs w:val="20"/>
        </w:rPr>
      </w:pPr>
    </w:p>
    <w:p w:rsidR="00CD73D7" w:rsidRPr="00FA3856" w:rsidRDefault="00CD73D7" w:rsidP="00AF7983">
      <w:pPr>
        <w:pStyle w:val="NormalWeb"/>
        <w:spacing w:before="0" w:after="0"/>
        <w:ind w:firstLine="600"/>
        <w:jc w:val="both"/>
        <w:rPr>
          <w:rFonts w:ascii="Times New Roman" w:hAnsi="Times New Roman" w:cs="Times New Roman"/>
          <w:szCs w:val="20"/>
        </w:rPr>
      </w:pPr>
      <w:r w:rsidRPr="00FA3856">
        <w:rPr>
          <w:rFonts w:ascii="Times New Roman" w:hAnsi="Times New Roman" w:cs="Times New Roman"/>
          <w:szCs w:val="20"/>
        </w:rPr>
        <w:t>Caso a pessoa jurídica pretenda suspender ou reduzir o valor do imposto devido, em qualquer outro mês do ano-calendário, deve levantar novo balanço ou balancete do período em curso.</w:t>
      </w:r>
    </w:p>
    <w:p w:rsidR="00AF7983" w:rsidRPr="00FA3856" w:rsidRDefault="00AF7983" w:rsidP="001A6818">
      <w:pPr>
        <w:pStyle w:val="NormalWeb"/>
        <w:spacing w:before="0" w:after="0"/>
        <w:jc w:val="both"/>
        <w:rPr>
          <w:rFonts w:ascii="Times New Roman" w:hAnsi="Times New Roman" w:cs="Times New Roman"/>
          <w:szCs w:val="20"/>
        </w:rPr>
      </w:pPr>
    </w:p>
    <w:p w:rsidR="00CD73D7" w:rsidRPr="00FA3856" w:rsidRDefault="00CD73D7" w:rsidP="00AF7983">
      <w:pPr>
        <w:pStyle w:val="NormalWeb"/>
        <w:spacing w:before="0" w:after="0"/>
        <w:ind w:firstLine="600"/>
        <w:jc w:val="both"/>
        <w:rPr>
          <w:rFonts w:ascii="Times New Roman" w:hAnsi="Times New Roman" w:cs="Times New Roman"/>
          <w:szCs w:val="20"/>
        </w:rPr>
      </w:pPr>
      <w:r w:rsidRPr="00FA3856">
        <w:rPr>
          <w:rFonts w:ascii="Times New Roman" w:hAnsi="Times New Roman" w:cs="Times New Roman"/>
          <w:szCs w:val="20"/>
        </w:rPr>
        <w:t xml:space="preserve">O pagamento do imposto de renda relativo ao mês de janeiro do ano-calendário pode ser efetuado com base em balanço ou balancete de suspensão ou redução, se ficar demonstrado que o imposto devido no período é inferior ao calculado sobre a base de cálculo estimada. Os balanços ou balancetes de suspensão ou redução devem ser levantados com observância das leis comerciais e fiscais e transcritos no livro Diário até a data fixada para pagamento do imposto do respectivo mês. Esses balanços ou balancetes somente produzem efeitos para fins de determinação do imposto de renda e da contribuição social sobre o lucro líquido do período em curso. </w:t>
      </w:r>
    </w:p>
    <w:p w:rsidR="00AF7983" w:rsidRPr="00FA3856" w:rsidRDefault="00AF7983" w:rsidP="001A6818">
      <w:pPr>
        <w:pStyle w:val="NormalWeb"/>
        <w:spacing w:before="0" w:after="0"/>
        <w:jc w:val="both"/>
        <w:rPr>
          <w:rFonts w:ascii="Times New Roman" w:hAnsi="Times New Roman" w:cs="Times New Roman"/>
          <w:szCs w:val="20"/>
        </w:rPr>
      </w:pPr>
    </w:p>
    <w:p w:rsidR="00CD73D7" w:rsidRPr="00FA3856" w:rsidRDefault="00CD73D7" w:rsidP="00AF7983">
      <w:pPr>
        <w:pStyle w:val="NormalWeb"/>
        <w:spacing w:before="0" w:after="0"/>
        <w:ind w:firstLine="600"/>
        <w:jc w:val="both"/>
        <w:rPr>
          <w:rFonts w:ascii="Times New Roman" w:hAnsi="Times New Roman" w:cs="Times New Roman"/>
          <w:szCs w:val="20"/>
        </w:rPr>
      </w:pPr>
      <w:r w:rsidRPr="00FA3856">
        <w:rPr>
          <w:rFonts w:ascii="Times New Roman" w:hAnsi="Times New Roman" w:cs="Times New Roman"/>
          <w:szCs w:val="20"/>
        </w:rPr>
        <w:t>Para os efeitos deste subitem, considera-se período em curso aquele compreendido a partir de 1º de janeiro ou o do início de atividade até o último dia do mês a que se referir o balanço ou balancete. O imposto devido no período em curso é o resultado da aplicação da alíquota do imposto sobre o lucro real, acrescido do adicional, e subtraído, quando for o caso, dos incentivos fiscais de dedução e de isenção ou redução.</w:t>
      </w:r>
    </w:p>
    <w:p w:rsidR="00CD73D7" w:rsidRPr="00FA3856" w:rsidRDefault="00CD73D7" w:rsidP="00AF7983">
      <w:pPr>
        <w:pStyle w:val="NormalWeb"/>
        <w:spacing w:before="0" w:after="0"/>
        <w:ind w:firstLine="600"/>
        <w:jc w:val="both"/>
        <w:rPr>
          <w:rFonts w:ascii="Times New Roman" w:hAnsi="Times New Roman" w:cs="Times New Roman"/>
          <w:szCs w:val="20"/>
        </w:rPr>
      </w:pPr>
      <w:r w:rsidRPr="00FA3856">
        <w:rPr>
          <w:rFonts w:ascii="Times New Roman" w:hAnsi="Times New Roman" w:cs="Times New Roman"/>
          <w:szCs w:val="20"/>
        </w:rPr>
        <w:lastRenderedPageBreak/>
        <w:t>Para fins de determinação do resultado contábil, a pessoa jurídica deverá promover, ao final de cada período de apuração, levantamento e avaliação de seus estoques, segundo a legislação específica, dispensada a escrituração do livro "Registro de Inventário". A pessoa jurídica que possuir registro permanente de estoques, integrado e coordenado com a contabilidade, somente estará obrigada a ajustar os saldos contábeis, pelo confronto com a contagem física, ao final do ano-calendário ou do encerramento do período de apuração, nos casos de incorporação, fusão, cisão ou extinção da pessoa jurídica.</w:t>
      </w:r>
    </w:p>
    <w:p w:rsidR="00CD73D7" w:rsidRPr="00FA3856" w:rsidRDefault="00CD73D7" w:rsidP="001A6818">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O resultado do período em curso deve ser ajustado por todas as adições determinadas, exclusões e compensações de prejuízos fiscais admitidas pela legislação do imposto de renda. A demonstração do lucro real relativa ao período abrangido pelos balanços ou balancetes de suspensão ou redução deve ser transcrita no Livro de Apuração do Lucro Real (Lalur). A cada balanço ou balancete levantado para fins de suspensão ou redução do imposto, o contribuinte deve determinar um novo lucro real para o período em curso, desconsiderando aqueles apurados em meses anteriores do mesmo ano-calendário. As adições, exclusões e compensações de prejuízos fiscais computadas na apuração do lucro real, correspondentes aos balanços ou balancetes, devem constar, discriminadamente, na Parte A do Lalur, para fins de elaboração da demonstração do lucro real do período em curso, não cabendo nenhum registro na Parte B do referido livro.</w:t>
      </w:r>
    </w:p>
    <w:p w:rsidR="00AF7983" w:rsidRPr="00FA3856" w:rsidRDefault="00AF7983" w:rsidP="001A6818">
      <w:pPr>
        <w:pStyle w:val="NormalWeb"/>
        <w:spacing w:before="0" w:after="0"/>
        <w:jc w:val="both"/>
        <w:rPr>
          <w:rFonts w:ascii="Times New Roman" w:hAnsi="Times New Roman" w:cs="Times New Roman"/>
          <w:szCs w:val="20"/>
        </w:rPr>
      </w:pPr>
    </w:p>
    <w:p w:rsidR="00CD73D7" w:rsidRPr="00FA3856" w:rsidRDefault="00CD73D7" w:rsidP="00AF7983">
      <w:pPr>
        <w:pStyle w:val="NormalWeb"/>
        <w:spacing w:before="0" w:after="0"/>
        <w:ind w:firstLine="600"/>
        <w:jc w:val="both"/>
        <w:rPr>
          <w:rFonts w:ascii="Times New Roman" w:hAnsi="Times New Roman" w:cs="Times New Roman"/>
          <w:szCs w:val="20"/>
        </w:rPr>
      </w:pPr>
      <w:r w:rsidRPr="00FA3856">
        <w:rPr>
          <w:rFonts w:ascii="Times New Roman" w:hAnsi="Times New Roman" w:cs="Times New Roman"/>
          <w:szCs w:val="20"/>
        </w:rPr>
        <w:t>Ocorrendo apuração de prejuízo fiscal, a pessoa jurídica está dispensada do pagamento do imposto correspondente ao mês em que foi levantado o balanço ou balancete de suspensão.</w:t>
      </w:r>
    </w:p>
    <w:p w:rsidR="00AF7983" w:rsidRPr="00FA3856" w:rsidRDefault="00AF7983" w:rsidP="00AF7983">
      <w:pPr>
        <w:pStyle w:val="NormalWeb"/>
        <w:spacing w:before="0" w:after="0"/>
        <w:jc w:val="both"/>
        <w:rPr>
          <w:rFonts w:ascii="Times New Roman" w:hAnsi="Times New Roman" w:cs="Times New Roman"/>
          <w:b/>
          <w:bCs/>
          <w:szCs w:val="20"/>
        </w:rPr>
      </w:pPr>
    </w:p>
    <w:p w:rsidR="00CD73D7" w:rsidRPr="00FA3856" w:rsidRDefault="00CD73D7" w:rsidP="00AF7983">
      <w:pPr>
        <w:pStyle w:val="NormalWeb"/>
        <w:spacing w:before="0" w:after="0"/>
        <w:ind w:firstLine="600"/>
        <w:jc w:val="both"/>
        <w:rPr>
          <w:rFonts w:ascii="Times New Roman" w:hAnsi="Times New Roman" w:cs="Times New Roman"/>
          <w:szCs w:val="20"/>
        </w:rPr>
      </w:pPr>
      <w:r w:rsidRPr="00FA3856">
        <w:rPr>
          <w:rFonts w:ascii="Times New Roman" w:hAnsi="Times New Roman" w:cs="Times New Roman"/>
          <w:b/>
          <w:bCs/>
          <w:szCs w:val="20"/>
        </w:rPr>
        <w:t>Atenção:</w:t>
      </w:r>
    </w:p>
    <w:p w:rsidR="00CD73D7" w:rsidRPr="00FA3856" w:rsidRDefault="00CD73D7" w:rsidP="001A6818">
      <w:pPr>
        <w:pStyle w:val="NormalWeb"/>
        <w:spacing w:before="0" w:after="0"/>
        <w:ind w:left="600"/>
        <w:jc w:val="both"/>
        <w:rPr>
          <w:rFonts w:ascii="Times New Roman" w:hAnsi="Times New Roman" w:cs="Times New Roman"/>
          <w:szCs w:val="20"/>
        </w:rPr>
      </w:pPr>
      <w:r w:rsidRPr="00FA3856">
        <w:rPr>
          <w:rFonts w:ascii="Times New Roman" w:hAnsi="Times New Roman" w:cs="Times New Roman"/>
          <w:szCs w:val="20"/>
        </w:rPr>
        <w:t>1)A pessoa jurídica, tributada segundo as normas de tributação em bases universais, que levantar balanço ou balancete de suspensão ou redução em 31 de dezembro deve computar os lucros disponibilizados, nos termos do art. 1</w:t>
      </w:r>
      <w:r w:rsidRPr="00FA3856">
        <w:rPr>
          <w:rFonts w:ascii="Times New Roman" w:hAnsi="Times New Roman" w:cs="Times New Roman"/>
          <w:strike/>
          <w:szCs w:val="20"/>
        </w:rPr>
        <w:t>º</w:t>
      </w:r>
      <w:r w:rsidRPr="00FA3856">
        <w:rPr>
          <w:rFonts w:ascii="Times New Roman" w:hAnsi="Times New Roman" w:cs="Times New Roman"/>
          <w:szCs w:val="20"/>
        </w:rPr>
        <w:t xml:space="preserve"> da Lei n</w:t>
      </w:r>
      <w:r w:rsidRPr="00FA3856">
        <w:rPr>
          <w:rFonts w:ascii="Times New Roman" w:hAnsi="Times New Roman" w:cs="Times New Roman"/>
          <w:strike/>
          <w:szCs w:val="20"/>
        </w:rPr>
        <w:t>º</w:t>
      </w:r>
      <w:r w:rsidRPr="00FA3856">
        <w:rPr>
          <w:rFonts w:ascii="Times New Roman" w:hAnsi="Times New Roman" w:cs="Times New Roman"/>
          <w:szCs w:val="20"/>
        </w:rPr>
        <w:t xml:space="preserve"> 9.532, de 1997, com nova redação dada pelo art. 3</w:t>
      </w:r>
      <w:r w:rsidRPr="00FA3856">
        <w:rPr>
          <w:rFonts w:ascii="Times New Roman" w:hAnsi="Times New Roman" w:cs="Times New Roman"/>
          <w:strike/>
          <w:szCs w:val="20"/>
        </w:rPr>
        <w:t>º</w:t>
      </w:r>
      <w:r w:rsidRPr="00FA3856">
        <w:rPr>
          <w:rFonts w:ascii="Times New Roman" w:hAnsi="Times New Roman" w:cs="Times New Roman"/>
          <w:szCs w:val="20"/>
        </w:rPr>
        <w:t xml:space="preserve"> da Lei n</w:t>
      </w:r>
      <w:r w:rsidRPr="00FA3856">
        <w:rPr>
          <w:rFonts w:ascii="Times New Roman" w:hAnsi="Times New Roman" w:cs="Times New Roman"/>
          <w:strike/>
          <w:szCs w:val="20"/>
        </w:rPr>
        <w:t>º</w:t>
      </w:r>
      <w:r w:rsidRPr="00FA3856">
        <w:rPr>
          <w:rFonts w:ascii="Times New Roman" w:hAnsi="Times New Roman" w:cs="Times New Roman"/>
          <w:szCs w:val="20"/>
        </w:rPr>
        <w:t xml:space="preserve"> 9.959, de 2000, pelo art. 35 da MP n</w:t>
      </w:r>
      <w:r w:rsidRPr="00FA3856">
        <w:rPr>
          <w:rFonts w:ascii="Times New Roman" w:hAnsi="Times New Roman" w:cs="Times New Roman"/>
          <w:strike/>
          <w:szCs w:val="20"/>
        </w:rPr>
        <w:t>º</w:t>
      </w:r>
      <w:r w:rsidRPr="00FA3856">
        <w:rPr>
          <w:rFonts w:ascii="Times New Roman" w:hAnsi="Times New Roman" w:cs="Times New Roman"/>
          <w:szCs w:val="20"/>
        </w:rPr>
        <w:t xml:space="preserve"> 1.991-15, de 2000, e reedições; e pelo art. 74 da </w:t>
      </w:r>
      <w:hyperlink r:id="rId212" w:anchor="MP1807" w:history="1">
        <w:r w:rsidRPr="00FA3856">
          <w:rPr>
            <w:rStyle w:val="Hyperlink"/>
            <w:rFonts w:ascii="Times New Roman" w:hAnsi="Times New Roman" w:cs="Times New Roman"/>
            <w:color w:val="auto"/>
            <w:szCs w:val="20"/>
          </w:rPr>
          <w:t>MP n</w:t>
        </w:r>
        <w:r w:rsidRPr="00FA3856">
          <w:rPr>
            <w:rStyle w:val="Hyperlink"/>
            <w:rFonts w:ascii="Times New Roman" w:hAnsi="Times New Roman" w:cs="Times New Roman"/>
            <w:strike/>
            <w:color w:val="auto"/>
            <w:szCs w:val="20"/>
          </w:rPr>
          <w:t>º</w:t>
        </w:r>
        <w:r w:rsidRPr="00FA3856">
          <w:rPr>
            <w:rStyle w:val="Hyperlink"/>
            <w:rFonts w:ascii="Times New Roman" w:hAnsi="Times New Roman" w:cs="Times New Roman"/>
            <w:color w:val="auto"/>
            <w:szCs w:val="20"/>
          </w:rPr>
          <w:t xml:space="preserve"> 2.158-34</w:t>
        </w:r>
      </w:hyperlink>
      <w:r w:rsidRPr="00FA3856">
        <w:rPr>
          <w:rFonts w:ascii="Times New Roman" w:hAnsi="Times New Roman" w:cs="Times New Roman"/>
          <w:szCs w:val="20"/>
        </w:rPr>
        <w:t xml:space="preserve">, de 2001, e os rendimentos e os ganhos de capital, auferidos no exterior, nesse balanço ou balancete, para fins do cálculo </w:t>
      </w:r>
      <w:r w:rsidR="00AF7983" w:rsidRPr="00FA3856">
        <w:rPr>
          <w:rFonts w:ascii="Times New Roman" w:hAnsi="Times New Roman" w:cs="Times New Roman"/>
          <w:szCs w:val="20"/>
        </w:rPr>
        <w:t>do imposto de renda</w:t>
      </w:r>
      <w:r w:rsidRPr="00FA3856">
        <w:rPr>
          <w:rFonts w:ascii="Times New Roman" w:hAnsi="Times New Roman" w:cs="Times New Roman"/>
          <w:szCs w:val="20"/>
        </w:rPr>
        <w:t>.</w:t>
      </w:r>
    </w:p>
    <w:p w:rsidR="00CD73D7" w:rsidRPr="00FA3856" w:rsidRDefault="00CD73D7" w:rsidP="001A6818">
      <w:pPr>
        <w:pStyle w:val="NormalWeb"/>
        <w:spacing w:before="0" w:after="0"/>
        <w:ind w:left="600"/>
        <w:jc w:val="both"/>
        <w:rPr>
          <w:rFonts w:ascii="Times New Roman" w:hAnsi="Times New Roman" w:cs="Times New Roman"/>
          <w:szCs w:val="20"/>
        </w:rPr>
      </w:pPr>
      <w:r w:rsidRPr="00FA3856">
        <w:rPr>
          <w:rFonts w:ascii="Times New Roman" w:hAnsi="Times New Roman" w:cs="Times New Roman"/>
          <w:szCs w:val="20"/>
        </w:rPr>
        <w:t>2) Para efeito de determinar a base de cálculo mensal do imposto de renda com base em balanço ou balancete de suspensão ou redução, as emissoras de rádio e televisão, obrigadas à divulgação gratuita de propaganda partidária ou eleitoral, podem deduzir 0,8 (oito décimos) do resultado da multiplicação do preço do espaço comercializável pelo tempo efetivamente utilizado pela emissora em programação destinada à publicidade comercial, no período de duração daquela propaganda, conforme regulamentação do Poder Executivo. As empresas concessionárias de serviços públicos de telecomunicações, obrigadas ao tráfego gratuito de sinais de televisão e rádio, podem excluir 0,8 (oito décimos) do valor que seria cobrado às emissoras de rádio e televisão pelos tempos destinados à divulgação gratuita de propaganda partidária ou eleitoral, para efeito da determinação da base de cálculo mensal do imposto de renda com base em balanço ou balancete de suspensão ou redução, conforme definido em regulamentação do Poder Executivo.</w:t>
      </w:r>
    </w:p>
    <w:p w:rsidR="00AF7983" w:rsidRPr="00FA3856" w:rsidRDefault="00AF7983" w:rsidP="001A6818">
      <w:pPr>
        <w:pStyle w:val="NormalWeb"/>
        <w:spacing w:before="0" w:after="0"/>
        <w:jc w:val="both"/>
        <w:rPr>
          <w:rFonts w:ascii="Times New Roman" w:hAnsi="Times New Roman" w:cs="Times New Roman"/>
          <w:b/>
          <w:bCs/>
          <w:szCs w:val="20"/>
        </w:rPr>
      </w:pPr>
    </w:p>
    <w:p w:rsidR="00CD73D7" w:rsidRPr="00FA3856" w:rsidRDefault="00B14A83" w:rsidP="001A6818">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t xml:space="preserve">I.6.4) </w:t>
      </w:r>
      <w:r w:rsidR="00CD73D7" w:rsidRPr="00FA3856">
        <w:rPr>
          <w:rFonts w:ascii="Times New Roman" w:hAnsi="Times New Roman" w:cs="Times New Roman"/>
          <w:b/>
          <w:bCs/>
          <w:szCs w:val="20"/>
        </w:rPr>
        <w:t>Dedução do Imposto Devido (Trimestral e Anual)</w:t>
      </w:r>
    </w:p>
    <w:p w:rsidR="00AF7983" w:rsidRPr="00FA3856" w:rsidRDefault="00AF7983" w:rsidP="001A6818">
      <w:pPr>
        <w:pStyle w:val="NormalWeb"/>
        <w:spacing w:before="0" w:after="0"/>
        <w:jc w:val="both"/>
        <w:rPr>
          <w:rFonts w:ascii="Times New Roman" w:hAnsi="Times New Roman" w:cs="Times New Roman"/>
          <w:szCs w:val="20"/>
        </w:rPr>
      </w:pPr>
    </w:p>
    <w:p w:rsidR="00CD73D7" w:rsidRPr="00FA3856" w:rsidRDefault="00CD73D7" w:rsidP="00AF7983">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pessoa jurídica sujeita ao lucro real pode deduzir do imposto devido:</w:t>
      </w:r>
    </w:p>
    <w:p w:rsidR="00AF7983" w:rsidRPr="00FA3856" w:rsidRDefault="00AF7983" w:rsidP="001A6818">
      <w:pPr>
        <w:pStyle w:val="NormalWeb"/>
        <w:spacing w:before="0" w:after="0"/>
        <w:jc w:val="both"/>
        <w:rPr>
          <w:rFonts w:ascii="Times New Roman" w:hAnsi="Times New Roman" w:cs="Times New Roman"/>
          <w:szCs w:val="20"/>
        </w:rPr>
      </w:pPr>
    </w:p>
    <w:p w:rsidR="00CD73D7" w:rsidRPr="00FA3856" w:rsidRDefault="00CD73D7" w:rsidP="00AF7983">
      <w:pPr>
        <w:pStyle w:val="NormalWeb"/>
        <w:spacing w:before="0" w:after="0"/>
        <w:ind w:left="600"/>
        <w:jc w:val="both"/>
        <w:rPr>
          <w:rFonts w:ascii="Times New Roman" w:hAnsi="Times New Roman" w:cs="Times New Roman"/>
          <w:szCs w:val="20"/>
        </w:rPr>
      </w:pPr>
      <w:r w:rsidRPr="00FA3856">
        <w:rPr>
          <w:rFonts w:ascii="Times New Roman" w:hAnsi="Times New Roman" w:cs="Times New Roman"/>
          <w:szCs w:val="20"/>
        </w:rPr>
        <w:t>a) os seguintes incentivos fiscais: Caráter Cultural e Artístico, Programa de Alimentação do Trabalhador, Desenvolvimento Tecnológico Industrial/Agropecuário, aprovados até 31 de dezembro de 2005, Atividade Audiovisual, Fundos do Direito da Criança e do Adolescente, Regionais de Redução e/ou Isenção do Imposto, Isenção/Prouni, e de Redução por Reinvestimento, Atividades de Caráter Desportivo, Fundos Nacional, Estaduais ou Municipais do Idoso e Remuneração da Prorrogação da Licença-Maternidade, em conformidade com a legislação pertinente;</w:t>
      </w:r>
    </w:p>
    <w:p w:rsidR="00AF7983" w:rsidRPr="00FA3856" w:rsidRDefault="00AF7983" w:rsidP="001A6818">
      <w:pPr>
        <w:pStyle w:val="NormalWeb"/>
        <w:spacing w:before="0" w:after="0"/>
        <w:ind w:left="600"/>
        <w:jc w:val="both"/>
        <w:rPr>
          <w:rFonts w:ascii="Times New Roman" w:hAnsi="Times New Roman" w:cs="Times New Roman"/>
          <w:b/>
          <w:bCs/>
          <w:szCs w:val="20"/>
        </w:rPr>
      </w:pPr>
    </w:p>
    <w:p w:rsidR="00CD73D7" w:rsidRPr="00FA3856" w:rsidRDefault="00CD73D7" w:rsidP="00AF7983">
      <w:pPr>
        <w:pStyle w:val="NormalWeb"/>
        <w:spacing w:before="0" w:after="0"/>
        <w:ind w:left="600"/>
        <w:jc w:val="both"/>
        <w:rPr>
          <w:rFonts w:ascii="Times New Roman" w:hAnsi="Times New Roman" w:cs="Times New Roman"/>
          <w:szCs w:val="20"/>
        </w:rPr>
      </w:pPr>
      <w:r w:rsidRPr="00FA3856">
        <w:rPr>
          <w:rFonts w:ascii="Times New Roman" w:hAnsi="Times New Roman" w:cs="Times New Roman"/>
          <w:b/>
          <w:bCs/>
          <w:szCs w:val="20"/>
        </w:rPr>
        <w:t>Atenção:</w:t>
      </w:r>
      <w:r w:rsidR="00AF7983" w:rsidRPr="00FA3856">
        <w:rPr>
          <w:rFonts w:ascii="Times New Roman" w:hAnsi="Times New Roman" w:cs="Times New Roman"/>
          <w:szCs w:val="20"/>
        </w:rPr>
        <w:t xml:space="preserve"> </w:t>
      </w:r>
      <w:r w:rsidRPr="00FA3856">
        <w:rPr>
          <w:rFonts w:ascii="Times New Roman" w:hAnsi="Times New Roman" w:cs="Times New Roman"/>
          <w:szCs w:val="20"/>
        </w:rPr>
        <w:t>Os incentivos fiscais citados acima, à exceção dos relativos a Desenvolvimento Tecnológico Industrial/Agropecuário, aprovados até 31 de dezembro de 2005, dos Re</w:t>
      </w:r>
      <w:bookmarkStart w:id="121" w:name="subitem_15.1.6.4"/>
      <w:bookmarkEnd w:id="121"/>
      <w:r w:rsidRPr="00FA3856">
        <w:rPr>
          <w:rFonts w:ascii="Times New Roman" w:hAnsi="Times New Roman" w:cs="Times New Roman"/>
          <w:szCs w:val="20"/>
        </w:rPr>
        <w:t>gionais de Redução e/ou Isenção do Imposto, e dos de Redução por Reinvestimento, podem ser deduzidos do imposto devido calculado sobre base de cálculo estimada mensalmente com base na receita bruta.</w:t>
      </w:r>
    </w:p>
    <w:p w:rsidR="00AF7983" w:rsidRPr="00FA3856" w:rsidRDefault="00AF7983" w:rsidP="001A6818">
      <w:pPr>
        <w:pStyle w:val="NormalWeb"/>
        <w:spacing w:before="0" w:after="0"/>
        <w:jc w:val="both"/>
        <w:rPr>
          <w:rFonts w:ascii="Times New Roman" w:hAnsi="Times New Roman" w:cs="Times New Roman"/>
          <w:szCs w:val="20"/>
        </w:rPr>
      </w:pPr>
    </w:p>
    <w:p w:rsidR="00CD73D7" w:rsidRPr="00FA3856" w:rsidRDefault="00CD73D7" w:rsidP="00AF7983">
      <w:pPr>
        <w:pStyle w:val="NormalWeb"/>
        <w:spacing w:before="0" w:after="0"/>
        <w:ind w:firstLine="600"/>
        <w:jc w:val="both"/>
        <w:rPr>
          <w:rFonts w:ascii="Times New Roman" w:hAnsi="Times New Roman" w:cs="Times New Roman"/>
          <w:szCs w:val="20"/>
        </w:rPr>
      </w:pPr>
      <w:r w:rsidRPr="00FA3856">
        <w:rPr>
          <w:rFonts w:ascii="Times New Roman" w:hAnsi="Times New Roman" w:cs="Times New Roman"/>
          <w:szCs w:val="20"/>
        </w:rPr>
        <w:t>b) o imposto de renda pago ou retido na fonte sobre as receitas que integram a base de cálculo do imposto devido;</w:t>
      </w:r>
    </w:p>
    <w:p w:rsidR="00CD73D7" w:rsidRPr="00FA3856" w:rsidRDefault="00CD73D7" w:rsidP="00AF7983">
      <w:pPr>
        <w:pStyle w:val="NormalWeb"/>
        <w:spacing w:before="0" w:after="0"/>
        <w:ind w:firstLine="600"/>
        <w:jc w:val="both"/>
        <w:rPr>
          <w:rFonts w:ascii="Times New Roman" w:hAnsi="Times New Roman" w:cs="Times New Roman"/>
          <w:szCs w:val="20"/>
        </w:rPr>
      </w:pPr>
      <w:r w:rsidRPr="00FA3856">
        <w:rPr>
          <w:rFonts w:ascii="Times New Roman" w:hAnsi="Times New Roman" w:cs="Times New Roman"/>
          <w:szCs w:val="20"/>
        </w:rPr>
        <w:t>c) imposto pago no exterior sobre lucros disponibilizados, rendi</w:t>
      </w:r>
      <w:r w:rsidR="00AF7983" w:rsidRPr="00FA3856">
        <w:rPr>
          <w:rFonts w:ascii="Times New Roman" w:hAnsi="Times New Roman" w:cs="Times New Roman"/>
          <w:szCs w:val="20"/>
        </w:rPr>
        <w:t>mentos e ganhos de capital</w:t>
      </w:r>
      <w:r w:rsidRPr="00FA3856">
        <w:rPr>
          <w:rFonts w:ascii="Times New Roman" w:hAnsi="Times New Roman" w:cs="Times New Roman"/>
          <w:szCs w:val="20"/>
        </w:rPr>
        <w:t>;</w:t>
      </w:r>
    </w:p>
    <w:p w:rsidR="00AF7983" w:rsidRPr="00FA3856" w:rsidRDefault="00AF7983" w:rsidP="001A6818">
      <w:pPr>
        <w:pStyle w:val="NormalWeb"/>
        <w:spacing w:before="0" w:after="0"/>
        <w:ind w:left="600"/>
        <w:jc w:val="both"/>
        <w:rPr>
          <w:rFonts w:ascii="Times New Roman" w:hAnsi="Times New Roman" w:cs="Times New Roman"/>
          <w:b/>
          <w:bCs/>
          <w:szCs w:val="20"/>
        </w:rPr>
      </w:pPr>
    </w:p>
    <w:p w:rsidR="00AF7983" w:rsidRPr="00FA3856" w:rsidRDefault="00AF7983">
      <w:pPr>
        <w:spacing w:after="200" w:line="276" w:lineRule="auto"/>
        <w:rPr>
          <w:rFonts w:eastAsia="Arial Unicode MS"/>
          <w:b/>
          <w:bCs/>
          <w:szCs w:val="20"/>
          <w:lang w:eastAsia="ar-SA"/>
        </w:rPr>
      </w:pPr>
      <w:r w:rsidRPr="00FA3856">
        <w:rPr>
          <w:b/>
          <w:bCs/>
          <w:szCs w:val="20"/>
        </w:rPr>
        <w:br w:type="page"/>
      </w:r>
    </w:p>
    <w:p w:rsidR="00CD73D7" w:rsidRPr="00FA3856" w:rsidRDefault="00CD73D7" w:rsidP="001A6818">
      <w:pPr>
        <w:pStyle w:val="NormalWeb"/>
        <w:spacing w:before="0" w:after="0"/>
        <w:ind w:left="600"/>
        <w:jc w:val="both"/>
        <w:rPr>
          <w:rFonts w:ascii="Times New Roman" w:hAnsi="Times New Roman" w:cs="Times New Roman"/>
          <w:szCs w:val="20"/>
        </w:rPr>
      </w:pPr>
      <w:r w:rsidRPr="00FA3856">
        <w:rPr>
          <w:rFonts w:ascii="Times New Roman" w:hAnsi="Times New Roman" w:cs="Times New Roman"/>
          <w:b/>
          <w:bCs/>
          <w:szCs w:val="20"/>
        </w:rPr>
        <w:lastRenderedPageBreak/>
        <w:t>Atenção:</w:t>
      </w:r>
    </w:p>
    <w:p w:rsidR="00CD73D7" w:rsidRPr="00FA3856" w:rsidRDefault="00CD73D7" w:rsidP="001A6818">
      <w:pPr>
        <w:pStyle w:val="NormalWeb"/>
        <w:spacing w:before="0" w:after="0"/>
        <w:ind w:left="600"/>
        <w:jc w:val="both"/>
        <w:rPr>
          <w:rFonts w:ascii="Times New Roman" w:hAnsi="Times New Roman" w:cs="Times New Roman"/>
          <w:szCs w:val="20"/>
        </w:rPr>
      </w:pPr>
      <w:r w:rsidRPr="00FA3856">
        <w:rPr>
          <w:rFonts w:ascii="Times New Roman" w:hAnsi="Times New Roman" w:cs="Times New Roman"/>
          <w:szCs w:val="20"/>
        </w:rPr>
        <w:t>1) A compensação dos tributos pagos no país de domicílio da filial, sucursal, cont</w:t>
      </w:r>
      <w:r w:rsidR="00AF7983" w:rsidRPr="00FA3856">
        <w:rPr>
          <w:rFonts w:ascii="Times New Roman" w:hAnsi="Times New Roman" w:cs="Times New Roman"/>
          <w:szCs w:val="20"/>
        </w:rPr>
        <w:t>rolada ou coligada da pessoa jur</w:t>
      </w:r>
      <w:r w:rsidRPr="00FA3856">
        <w:rPr>
          <w:rFonts w:ascii="Times New Roman" w:hAnsi="Times New Roman" w:cs="Times New Roman"/>
          <w:szCs w:val="20"/>
        </w:rPr>
        <w:t>ídica e o pago relativamente a rendimentos e ganhos de capital auferidos no exterior está limitada:</w:t>
      </w:r>
    </w:p>
    <w:p w:rsidR="00CD73D7" w:rsidRPr="00FA3856" w:rsidRDefault="00CD73D7" w:rsidP="00AF7983">
      <w:pPr>
        <w:pStyle w:val="NormalWeb"/>
        <w:spacing w:before="0" w:after="0"/>
        <w:ind w:left="1416"/>
        <w:jc w:val="both"/>
        <w:rPr>
          <w:rFonts w:ascii="Times New Roman" w:hAnsi="Times New Roman" w:cs="Times New Roman"/>
          <w:szCs w:val="20"/>
        </w:rPr>
      </w:pPr>
      <w:r w:rsidRPr="00FA3856">
        <w:rPr>
          <w:rFonts w:ascii="Times New Roman" w:hAnsi="Times New Roman" w:cs="Times New Roman"/>
          <w:szCs w:val="20"/>
        </w:rPr>
        <w:t>- ao imposto pago no exterior, correspond</w:t>
      </w:r>
      <w:bookmarkStart w:id="122" w:name="subitem_15.1.6.4/Atencao"/>
      <w:bookmarkEnd w:id="122"/>
      <w:r w:rsidRPr="00FA3856">
        <w:rPr>
          <w:rFonts w:ascii="Times New Roman" w:hAnsi="Times New Roman" w:cs="Times New Roman"/>
          <w:szCs w:val="20"/>
        </w:rPr>
        <w:t>ente aos lucros de cada filial, sucursal, controlada ou coligada e aos rendimentos e ganhos de capital que houverem sido computados na determinação do lucro real; e</w:t>
      </w:r>
    </w:p>
    <w:p w:rsidR="00AF7983" w:rsidRPr="00FA3856" w:rsidRDefault="00CD73D7" w:rsidP="00AF7983">
      <w:pPr>
        <w:pStyle w:val="NormalWeb"/>
        <w:spacing w:before="0" w:after="0"/>
        <w:ind w:left="1308" w:firstLine="108"/>
        <w:jc w:val="both"/>
        <w:rPr>
          <w:rFonts w:ascii="Times New Roman" w:hAnsi="Times New Roman" w:cs="Times New Roman"/>
          <w:szCs w:val="20"/>
        </w:rPr>
      </w:pPr>
      <w:r w:rsidRPr="00FA3856">
        <w:rPr>
          <w:rFonts w:ascii="Times New Roman" w:hAnsi="Times New Roman" w:cs="Times New Roman"/>
          <w:szCs w:val="20"/>
        </w:rPr>
        <w:t>- à diferença positiva entre os valores calculados sobre o lucro real com e sem a inclusão dos referidos lucros, rendimentos e ganhos de capital provenientes do exterior.</w:t>
      </w:r>
    </w:p>
    <w:p w:rsidR="00CD73D7" w:rsidRPr="00FA3856" w:rsidRDefault="00CD73D7" w:rsidP="001A6818">
      <w:pPr>
        <w:pStyle w:val="NormalWeb"/>
        <w:spacing w:before="0" w:after="0"/>
        <w:ind w:left="600"/>
        <w:jc w:val="both"/>
        <w:rPr>
          <w:rFonts w:ascii="Times New Roman" w:hAnsi="Times New Roman" w:cs="Times New Roman"/>
          <w:szCs w:val="20"/>
        </w:rPr>
      </w:pPr>
      <w:r w:rsidRPr="00FA3856">
        <w:rPr>
          <w:rFonts w:ascii="Times New Roman" w:hAnsi="Times New Roman" w:cs="Times New Roman"/>
          <w:szCs w:val="20"/>
        </w:rPr>
        <w:t>2) O imposto pago no exterior não pode ser compensado nos recolhimentos mensais referentes aos meses de janeiro a novembro e no caso de pagamento do imposto no mês de dezembro com base na receita bruta e acréscimos.</w:t>
      </w:r>
    </w:p>
    <w:p w:rsidR="00CD73D7" w:rsidRPr="00FA3856" w:rsidRDefault="00CD73D7" w:rsidP="001A6818">
      <w:pPr>
        <w:pStyle w:val="NormalWeb"/>
        <w:spacing w:before="0" w:after="0"/>
        <w:ind w:left="600"/>
        <w:jc w:val="both"/>
        <w:rPr>
          <w:rFonts w:ascii="Times New Roman" w:hAnsi="Times New Roman" w:cs="Times New Roman"/>
          <w:szCs w:val="20"/>
        </w:rPr>
      </w:pPr>
      <w:r w:rsidRPr="00FA3856">
        <w:rPr>
          <w:rFonts w:ascii="Times New Roman" w:hAnsi="Times New Roman" w:cs="Times New Roman"/>
          <w:szCs w:val="20"/>
        </w:rPr>
        <w:t>3) Conversão para Reais - o tributo pago no exterior, a ser compensado, é convertido em Reais tomando-se por base a taxa de câmbio da moeda do país de origem, fixada para venda, pelo Banco Central do Brasil, correspondente à data de seu efetivo pagamento. Caso a moeda do país de origem não tenha cotação no Brasil, o seu valor é convertido em Dólares dos Estados Unidos da América e, em seguida, em Reais.</w:t>
      </w:r>
    </w:p>
    <w:p w:rsidR="00AF7983" w:rsidRPr="00FA3856" w:rsidRDefault="00AF7983" w:rsidP="001A6818">
      <w:pPr>
        <w:pStyle w:val="NormalWeb"/>
        <w:spacing w:before="0" w:after="0"/>
        <w:jc w:val="both"/>
        <w:rPr>
          <w:rFonts w:ascii="Times New Roman" w:hAnsi="Times New Roman" w:cs="Times New Roman"/>
          <w:szCs w:val="20"/>
        </w:rPr>
      </w:pPr>
    </w:p>
    <w:p w:rsidR="00CD73D7" w:rsidRPr="00FA3856" w:rsidRDefault="00CD73D7" w:rsidP="00AF7983">
      <w:pPr>
        <w:pStyle w:val="NormalWeb"/>
        <w:spacing w:before="0" w:after="0"/>
        <w:ind w:left="600"/>
        <w:jc w:val="both"/>
        <w:rPr>
          <w:rFonts w:ascii="Times New Roman" w:hAnsi="Times New Roman" w:cs="Times New Roman"/>
          <w:szCs w:val="20"/>
        </w:rPr>
      </w:pPr>
      <w:r w:rsidRPr="00FA3856">
        <w:rPr>
          <w:rFonts w:ascii="Times New Roman" w:hAnsi="Times New Roman" w:cs="Times New Roman"/>
          <w:szCs w:val="20"/>
        </w:rPr>
        <w:t>d) o imposto retido na fonte sobre rendimentos pagos ou creditados a filial, sucursal, controlada ou coligada de pessoa jurídica domiciliada no Brasil, não compensado em virtude de a beneficiária ser domiciliada em país enquadrado nas disposições do art. 24 da Lei n</w:t>
      </w:r>
      <w:r w:rsidRPr="00FA3856">
        <w:rPr>
          <w:rFonts w:ascii="Times New Roman" w:hAnsi="Times New Roman" w:cs="Times New Roman"/>
          <w:strike/>
          <w:szCs w:val="20"/>
        </w:rPr>
        <w:t>º</w:t>
      </w:r>
      <w:r w:rsidRPr="00FA3856">
        <w:rPr>
          <w:rFonts w:ascii="Times New Roman" w:hAnsi="Times New Roman" w:cs="Times New Roman"/>
          <w:szCs w:val="20"/>
        </w:rPr>
        <w:t xml:space="preserve"> 9.430, de 1996, quando os resultados da filial, sucursal, controlada ou coligada, que contenham os referidos rendimentos, forem computados na determinação do lucro real da pessoa jurídica no Brasil (MP n</w:t>
      </w:r>
      <w:r w:rsidRPr="00FA3856">
        <w:rPr>
          <w:rFonts w:ascii="Times New Roman" w:hAnsi="Times New Roman" w:cs="Times New Roman"/>
          <w:strike/>
          <w:szCs w:val="20"/>
        </w:rPr>
        <w:t>º</w:t>
      </w:r>
      <w:r w:rsidRPr="00FA3856">
        <w:rPr>
          <w:rFonts w:ascii="Times New Roman" w:hAnsi="Times New Roman" w:cs="Times New Roman"/>
          <w:szCs w:val="20"/>
        </w:rPr>
        <w:t xml:space="preserve"> 1.858-6, de 1999, e reedições);</w:t>
      </w:r>
    </w:p>
    <w:p w:rsidR="00CD73D7" w:rsidRPr="00FA3856" w:rsidRDefault="00CD73D7" w:rsidP="00AF7983">
      <w:pPr>
        <w:pStyle w:val="NormalWeb"/>
        <w:spacing w:before="0" w:after="0"/>
        <w:ind w:firstLine="600"/>
        <w:jc w:val="both"/>
        <w:rPr>
          <w:rFonts w:ascii="Times New Roman" w:hAnsi="Times New Roman" w:cs="Times New Roman"/>
          <w:szCs w:val="20"/>
        </w:rPr>
      </w:pPr>
      <w:r w:rsidRPr="00FA3856">
        <w:rPr>
          <w:rFonts w:ascii="Times New Roman" w:hAnsi="Times New Roman" w:cs="Times New Roman"/>
          <w:szCs w:val="20"/>
        </w:rPr>
        <w:t>e) o imposto de renda retido na fonte por órgãos públicos, conforme art. 64 da Lei n</w:t>
      </w:r>
      <w:r w:rsidRPr="00FA3856">
        <w:rPr>
          <w:rFonts w:ascii="Times New Roman" w:hAnsi="Times New Roman" w:cs="Times New Roman"/>
          <w:strike/>
          <w:szCs w:val="20"/>
        </w:rPr>
        <w:t>º</w:t>
      </w:r>
      <w:r w:rsidRPr="00FA3856">
        <w:rPr>
          <w:rFonts w:ascii="Times New Roman" w:hAnsi="Times New Roman" w:cs="Times New Roman"/>
          <w:szCs w:val="20"/>
        </w:rPr>
        <w:t xml:space="preserve"> 9.430, de 1996;</w:t>
      </w:r>
    </w:p>
    <w:p w:rsidR="00CD73D7" w:rsidRPr="00FA3856" w:rsidRDefault="00CD73D7" w:rsidP="00AF7983">
      <w:pPr>
        <w:pStyle w:val="NormalWeb"/>
        <w:spacing w:before="0" w:after="0"/>
        <w:ind w:firstLine="600"/>
        <w:jc w:val="both"/>
        <w:rPr>
          <w:rFonts w:ascii="Times New Roman" w:hAnsi="Times New Roman" w:cs="Times New Roman"/>
          <w:szCs w:val="20"/>
        </w:rPr>
      </w:pPr>
      <w:r w:rsidRPr="00FA3856">
        <w:rPr>
          <w:rFonts w:ascii="Times New Roman" w:hAnsi="Times New Roman" w:cs="Times New Roman"/>
          <w:szCs w:val="20"/>
        </w:rPr>
        <w:t>f) o imposto de renda retido na fonte por Entidades da Administração Pública Federal (Lei nº 10.833/2003, art. 34).</w:t>
      </w:r>
    </w:p>
    <w:p w:rsidR="00AF7983" w:rsidRPr="00FA3856" w:rsidRDefault="00AF7983" w:rsidP="001A6818">
      <w:pPr>
        <w:pStyle w:val="NormalWeb"/>
        <w:spacing w:before="0" w:after="0"/>
        <w:jc w:val="both"/>
        <w:rPr>
          <w:rFonts w:ascii="Times New Roman" w:hAnsi="Times New Roman" w:cs="Times New Roman"/>
          <w:b/>
          <w:bCs/>
          <w:szCs w:val="20"/>
        </w:rPr>
      </w:pPr>
    </w:p>
    <w:p w:rsidR="00CD73D7" w:rsidRPr="00FA3856" w:rsidRDefault="00B14A83" w:rsidP="001A6818">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t xml:space="preserve">I.6.5) </w:t>
      </w:r>
      <w:r w:rsidR="00CD73D7" w:rsidRPr="00FA3856">
        <w:rPr>
          <w:rFonts w:ascii="Times New Roman" w:hAnsi="Times New Roman" w:cs="Times New Roman"/>
          <w:b/>
          <w:bCs/>
          <w:szCs w:val="20"/>
        </w:rPr>
        <w:t>Compensações do Imposto de Renda Devido (Trimestral e Anual)</w:t>
      </w:r>
      <w:r w:rsidR="00CD73D7" w:rsidRPr="00FA3856">
        <w:rPr>
          <w:rFonts w:ascii="Times New Roman" w:hAnsi="Times New Roman" w:cs="Times New Roman"/>
          <w:szCs w:val="20"/>
        </w:rPr>
        <w:t xml:space="preserve"> </w:t>
      </w:r>
    </w:p>
    <w:p w:rsidR="00AF7983" w:rsidRPr="00FA3856" w:rsidRDefault="00AF7983" w:rsidP="001A6818">
      <w:pPr>
        <w:pStyle w:val="NormalWeb"/>
        <w:spacing w:before="0" w:after="0"/>
        <w:jc w:val="both"/>
        <w:rPr>
          <w:rFonts w:ascii="Times New Roman" w:hAnsi="Times New Roman" w:cs="Times New Roman"/>
          <w:szCs w:val="20"/>
        </w:rPr>
      </w:pPr>
    </w:p>
    <w:p w:rsidR="00CD73D7" w:rsidRPr="00FA3856" w:rsidRDefault="00CD73D7" w:rsidP="00AF7983">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pessoa jurídica pode efetuar as seguintes compensações:</w:t>
      </w:r>
    </w:p>
    <w:p w:rsidR="00AF7983" w:rsidRPr="00FA3856" w:rsidRDefault="00AF7983" w:rsidP="001A6818">
      <w:pPr>
        <w:pStyle w:val="NormalWeb"/>
        <w:spacing w:before="0" w:after="0"/>
        <w:jc w:val="both"/>
        <w:rPr>
          <w:rFonts w:ascii="Times New Roman" w:hAnsi="Times New Roman" w:cs="Times New Roman"/>
          <w:szCs w:val="20"/>
        </w:rPr>
      </w:pPr>
    </w:p>
    <w:p w:rsidR="00CD73D7" w:rsidRPr="00FA3856" w:rsidRDefault="00CD73D7" w:rsidP="00AF7983">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pagamentos indevidos ou a maior de imposto de renda;</w:t>
      </w:r>
    </w:p>
    <w:p w:rsidR="00CD73D7" w:rsidRPr="00FA3856" w:rsidRDefault="00CD73D7" w:rsidP="00AF7983">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b) saldo negativo de imposto de renda de períodos anteriores;</w:t>
      </w:r>
    </w:p>
    <w:p w:rsidR="00CD73D7" w:rsidRPr="00FA3856" w:rsidRDefault="00CD73D7" w:rsidP="00AF7983">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c) outras compensações efetuadas mediante Declaração de Compensação (PER/DComp) ou processo administrativo.</w:t>
      </w:r>
    </w:p>
    <w:p w:rsidR="00AF7983" w:rsidRPr="00FA3856" w:rsidRDefault="00AF7983" w:rsidP="001A6818">
      <w:pPr>
        <w:pStyle w:val="NormalWeb"/>
        <w:spacing w:before="0" w:after="0"/>
        <w:jc w:val="both"/>
        <w:rPr>
          <w:rFonts w:ascii="Times New Roman" w:hAnsi="Times New Roman" w:cs="Times New Roman"/>
          <w:szCs w:val="20"/>
        </w:rPr>
      </w:pPr>
    </w:p>
    <w:p w:rsidR="00CD73D7" w:rsidRPr="00FA3856" w:rsidRDefault="00CD73D7" w:rsidP="00AF7983">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As compensações efetuadas devem ser demonstradas na DCTF.</w:t>
      </w:r>
    </w:p>
    <w:p w:rsidR="00AF7983" w:rsidRPr="00FA3856" w:rsidRDefault="00AF7983" w:rsidP="001A6818">
      <w:pPr>
        <w:pStyle w:val="NormalWeb"/>
        <w:spacing w:before="0" w:after="0"/>
        <w:jc w:val="both"/>
        <w:rPr>
          <w:rFonts w:ascii="Times New Roman" w:hAnsi="Times New Roman" w:cs="Times New Roman"/>
          <w:b/>
          <w:bCs/>
          <w:szCs w:val="20"/>
        </w:rPr>
      </w:pPr>
    </w:p>
    <w:p w:rsidR="00CD73D7" w:rsidRPr="00FA3856" w:rsidRDefault="00B14A83" w:rsidP="001A6818">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t xml:space="preserve">I.6.6) </w:t>
      </w:r>
      <w:r w:rsidR="00CD73D7" w:rsidRPr="00FA3856">
        <w:rPr>
          <w:rFonts w:ascii="Times New Roman" w:hAnsi="Times New Roman" w:cs="Times New Roman"/>
          <w:b/>
          <w:bCs/>
          <w:szCs w:val="20"/>
        </w:rPr>
        <w:t>Opção para Aplicação em Investimentos Regionais (Trimestral e Anual)</w:t>
      </w:r>
    </w:p>
    <w:p w:rsidR="00AF7983" w:rsidRPr="00FA3856" w:rsidRDefault="00AF7983" w:rsidP="001A6818">
      <w:pPr>
        <w:pStyle w:val="NormalWeb"/>
        <w:spacing w:before="0" w:after="0"/>
        <w:jc w:val="both"/>
        <w:rPr>
          <w:rFonts w:ascii="Times New Roman" w:hAnsi="Times New Roman" w:cs="Times New Roman"/>
          <w:szCs w:val="20"/>
        </w:rPr>
      </w:pPr>
    </w:p>
    <w:p w:rsidR="00CD73D7" w:rsidRPr="00FA3856" w:rsidRDefault="00CD73D7" w:rsidP="00AF7983">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pessoa jurídica ou grupos de empresas coligadas de que trata o art. 9</w:t>
      </w:r>
      <w:r w:rsidRPr="00FA3856">
        <w:rPr>
          <w:rFonts w:ascii="Times New Roman" w:hAnsi="Times New Roman" w:cs="Times New Roman"/>
          <w:strike/>
          <w:szCs w:val="20"/>
        </w:rPr>
        <w:t>º</w:t>
      </w:r>
      <w:r w:rsidRPr="00FA3856">
        <w:rPr>
          <w:rFonts w:ascii="Times New Roman" w:hAnsi="Times New Roman" w:cs="Times New Roman"/>
          <w:szCs w:val="20"/>
        </w:rPr>
        <w:t xml:space="preserve"> da Lei n</w:t>
      </w:r>
      <w:r w:rsidRPr="00FA3856">
        <w:rPr>
          <w:rFonts w:ascii="Times New Roman" w:hAnsi="Times New Roman" w:cs="Times New Roman"/>
          <w:strike/>
          <w:szCs w:val="20"/>
        </w:rPr>
        <w:t>º</w:t>
      </w:r>
      <w:r w:rsidRPr="00FA3856">
        <w:rPr>
          <w:rFonts w:ascii="Times New Roman" w:hAnsi="Times New Roman" w:cs="Times New Roman"/>
          <w:szCs w:val="20"/>
        </w:rPr>
        <w:t xml:space="preserve"> 8.167, de 1991, alterado pela Medida Provisória n</w:t>
      </w:r>
      <w:r w:rsidRPr="00FA3856">
        <w:rPr>
          <w:rFonts w:ascii="Times New Roman" w:hAnsi="Times New Roman" w:cs="Times New Roman"/>
          <w:strike/>
          <w:szCs w:val="20"/>
        </w:rPr>
        <w:t>º</w:t>
      </w:r>
      <w:r w:rsidRPr="00FA3856">
        <w:rPr>
          <w:rFonts w:ascii="Times New Roman" w:hAnsi="Times New Roman" w:cs="Times New Roman"/>
          <w:szCs w:val="20"/>
        </w:rPr>
        <w:t xml:space="preserve"> 2.199-14, de 24 de agosto de 2001, que, isolada ou conjuntamente, detenha(m), pelo menos, cinquenta e um por cento do capital votante de sociedade titular de projetos nas áreas de atuação da Sudam e da Sudene ou do G</w:t>
      </w:r>
      <w:bookmarkStart w:id="123" w:name="Subitem_15.1.6.5"/>
      <w:bookmarkEnd w:id="123"/>
      <w:r w:rsidRPr="00FA3856">
        <w:rPr>
          <w:rFonts w:ascii="Times New Roman" w:hAnsi="Times New Roman" w:cs="Times New Roman"/>
          <w:szCs w:val="20"/>
        </w:rPr>
        <w:t>rupo Executivo para Recuperação Econômica do Estado do Espírito Santo (Geres), aprovados, no órgão competente, até o dia 2 de maio de 2001, enquadrado em setores da economia considerados, pelo Poder Executivo, prioritários para o desenvolvimento regional, que sejam beneficiários das aplicações no Finor, Finam e Funres, podem manifestar a opção pela aplicação de parte do imposto de renda em investimentos regionai</w:t>
      </w:r>
      <w:bookmarkStart w:id="124" w:name="subitem_15.1.6.6"/>
      <w:bookmarkEnd w:id="124"/>
      <w:r w:rsidRPr="00FA3856">
        <w:rPr>
          <w:rFonts w:ascii="Times New Roman" w:hAnsi="Times New Roman" w:cs="Times New Roman"/>
          <w:szCs w:val="20"/>
        </w:rPr>
        <w:t>s na declaração ou no curso do ano-calendário, nas datas de pagamento do imposto com base no lucro estimado, apurado mensalmente, ou no lucro real, apurado trimestralmente (MP n</w:t>
      </w:r>
      <w:r w:rsidRPr="00FA3856">
        <w:rPr>
          <w:rFonts w:ascii="Times New Roman" w:hAnsi="Times New Roman" w:cs="Times New Roman"/>
          <w:strike/>
          <w:szCs w:val="20"/>
        </w:rPr>
        <w:t>º</w:t>
      </w:r>
      <w:r w:rsidRPr="00FA3856">
        <w:rPr>
          <w:rFonts w:ascii="Times New Roman" w:hAnsi="Times New Roman" w:cs="Times New Roman"/>
          <w:szCs w:val="20"/>
        </w:rPr>
        <w:t xml:space="preserve"> 2.199-14, de 2001, art. 4</w:t>
      </w:r>
      <w:r w:rsidRPr="00FA3856">
        <w:rPr>
          <w:rFonts w:ascii="Times New Roman" w:hAnsi="Times New Roman" w:cs="Times New Roman"/>
          <w:strike/>
          <w:szCs w:val="20"/>
        </w:rPr>
        <w:t>º</w:t>
      </w:r>
      <w:r w:rsidRPr="00FA3856">
        <w:rPr>
          <w:rFonts w:ascii="Times New Roman" w:hAnsi="Times New Roman" w:cs="Times New Roman"/>
          <w:szCs w:val="20"/>
        </w:rPr>
        <w:t>, e MP n</w:t>
      </w:r>
      <w:r w:rsidRPr="00FA3856">
        <w:rPr>
          <w:rFonts w:ascii="Times New Roman" w:hAnsi="Times New Roman" w:cs="Times New Roman"/>
          <w:strike/>
          <w:szCs w:val="20"/>
        </w:rPr>
        <w:t>º</w:t>
      </w:r>
      <w:r w:rsidRPr="00FA3856">
        <w:rPr>
          <w:rFonts w:ascii="Times New Roman" w:hAnsi="Times New Roman" w:cs="Times New Roman"/>
          <w:szCs w:val="20"/>
        </w:rPr>
        <w:t xml:space="preserve"> 2.145, de 2 de maio de 2001, art. 50, XX, atuais MP n</w:t>
      </w:r>
      <w:r w:rsidRPr="00FA3856">
        <w:rPr>
          <w:rFonts w:ascii="Times New Roman" w:hAnsi="Times New Roman" w:cs="Times New Roman"/>
          <w:strike/>
          <w:szCs w:val="20"/>
        </w:rPr>
        <w:t>º</w:t>
      </w:r>
      <w:r w:rsidRPr="00FA3856">
        <w:rPr>
          <w:rFonts w:ascii="Times New Roman" w:hAnsi="Times New Roman" w:cs="Times New Roman"/>
          <w:szCs w:val="20"/>
        </w:rPr>
        <w:t xml:space="preserve"> 2.156-5, de 2001, art. 32, XVIII, e n</w:t>
      </w:r>
      <w:r w:rsidRPr="00FA3856">
        <w:rPr>
          <w:rFonts w:ascii="Times New Roman" w:hAnsi="Times New Roman" w:cs="Times New Roman"/>
          <w:strike/>
          <w:szCs w:val="20"/>
        </w:rPr>
        <w:t>º</w:t>
      </w:r>
      <w:r w:rsidRPr="00FA3856">
        <w:rPr>
          <w:rFonts w:ascii="Times New Roman" w:hAnsi="Times New Roman" w:cs="Times New Roman"/>
          <w:szCs w:val="20"/>
        </w:rPr>
        <w:t xml:space="preserve"> 2.157-5, de 2001, art. 32, IV). </w:t>
      </w:r>
    </w:p>
    <w:p w:rsidR="00AF7983" w:rsidRPr="00FA3856" w:rsidRDefault="00AF7983" w:rsidP="001A6818">
      <w:pPr>
        <w:pStyle w:val="NormalWeb"/>
        <w:spacing w:before="0" w:after="0"/>
        <w:jc w:val="both"/>
        <w:rPr>
          <w:rFonts w:ascii="Times New Roman" w:hAnsi="Times New Roman" w:cs="Times New Roman"/>
          <w:szCs w:val="20"/>
        </w:rPr>
      </w:pPr>
    </w:p>
    <w:p w:rsidR="00CD73D7" w:rsidRPr="00FA3856" w:rsidRDefault="00CD73D7" w:rsidP="00AF7983">
      <w:pPr>
        <w:pStyle w:val="NormalWeb"/>
        <w:spacing w:before="0" w:after="0"/>
        <w:ind w:firstLine="600"/>
        <w:jc w:val="both"/>
        <w:rPr>
          <w:rFonts w:ascii="Times New Roman" w:hAnsi="Times New Roman" w:cs="Times New Roman"/>
          <w:szCs w:val="20"/>
        </w:rPr>
      </w:pPr>
      <w:r w:rsidRPr="00FA3856">
        <w:rPr>
          <w:rFonts w:ascii="Times New Roman" w:hAnsi="Times New Roman" w:cs="Times New Roman"/>
          <w:szCs w:val="20"/>
        </w:rPr>
        <w:t>O disposto neste tópico (exceto em relação ao tratamento do PIN e Proterra) se aplica às pessoas jurídicas domiciliadas no Estado do Espírito Santo, as quais poderão optar pela aplicação no Funres, no percentual de 9% (nove por cento) do imposto devido, relativamente aos períodos de apuração encerrados a partir de 1</w:t>
      </w:r>
      <w:r w:rsidRPr="00FA3856">
        <w:rPr>
          <w:rFonts w:ascii="Times New Roman" w:hAnsi="Times New Roman" w:cs="Times New Roman"/>
          <w:strike/>
          <w:szCs w:val="20"/>
        </w:rPr>
        <w:t>º</w:t>
      </w:r>
      <w:r w:rsidRPr="00FA3856">
        <w:rPr>
          <w:rFonts w:ascii="Times New Roman" w:hAnsi="Times New Roman" w:cs="Times New Roman"/>
          <w:szCs w:val="20"/>
        </w:rPr>
        <w:t xml:space="preserve"> de janeiro de 2009 até 31 de dezembro de 2013.</w:t>
      </w:r>
    </w:p>
    <w:p w:rsidR="00AF7983" w:rsidRPr="00FA3856" w:rsidRDefault="00AF7983" w:rsidP="001A6818">
      <w:pPr>
        <w:pStyle w:val="NormalWeb"/>
        <w:spacing w:before="0" w:after="0"/>
        <w:ind w:left="600"/>
        <w:jc w:val="both"/>
        <w:rPr>
          <w:rFonts w:ascii="Times New Roman" w:hAnsi="Times New Roman" w:cs="Times New Roman"/>
          <w:b/>
          <w:bCs/>
          <w:szCs w:val="20"/>
        </w:rPr>
      </w:pPr>
    </w:p>
    <w:p w:rsidR="00CD73D7" w:rsidRPr="00FA3856" w:rsidRDefault="00CD73D7" w:rsidP="001A6818">
      <w:pPr>
        <w:pStyle w:val="NormalWeb"/>
        <w:spacing w:before="0" w:after="0"/>
        <w:ind w:left="600"/>
        <w:jc w:val="both"/>
        <w:rPr>
          <w:rFonts w:ascii="Times New Roman" w:hAnsi="Times New Roman" w:cs="Times New Roman"/>
          <w:szCs w:val="20"/>
        </w:rPr>
      </w:pPr>
      <w:r w:rsidRPr="00FA3856">
        <w:rPr>
          <w:rFonts w:ascii="Times New Roman" w:hAnsi="Times New Roman" w:cs="Times New Roman"/>
          <w:b/>
          <w:bCs/>
          <w:szCs w:val="20"/>
        </w:rPr>
        <w:lastRenderedPageBreak/>
        <w:t>Atenção:</w:t>
      </w:r>
    </w:p>
    <w:p w:rsidR="00CD73D7" w:rsidRPr="00FA3856" w:rsidRDefault="00CD73D7" w:rsidP="001A6818">
      <w:pPr>
        <w:pStyle w:val="NormalWeb"/>
        <w:spacing w:before="0" w:after="0"/>
        <w:ind w:left="600"/>
        <w:jc w:val="both"/>
        <w:rPr>
          <w:rFonts w:ascii="Times New Roman" w:hAnsi="Times New Roman" w:cs="Times New Roman"/>
          <w:szCs w:val="20"/>
        </w:rPr>
      </w:pPr>
      <w:r w:rsidRPr="00FA3856">
        <w:rPr>
          <w:rFonts w:ascii="Times New Roman" w:hAnsi="Times New Roman" w:cs="Times New Roman"/>
          <w:szCs w:val="20"/>
        </w:rPr>
        <w:t>1) As aplicações somente podem ser efetuadas até o final do prazo previsto para a implantação dos respectivos projetos.</w:t>
      </w:r>
    </w:p>
    <w:p w:rsidR="00CD73D7" w:rsidRPr="00FA3856" w:rsidRDefault="00CD73D7" w:rsidP="001A6818">
      <w:pPr>
        <w:pStyle w:val="NormalWeb"/>
        <w:spacing w:before="0" w:after="0"/>
        <w:ind w:left="601"/>
        <w:jc w:val="both"/>
        <w:rPr>
          <w:rFonts w:ascii="Times New Roman" w:hAnsi="Times New Roman" w:cs="Times New Roman"/>
          <w:szCs w:val="20"/>
        </w:rPr>
      </w:pPr>
      <w:r w:rsidRPr="00FA3856">
        <w:rPr>
          <w:rFonts w:ascii="Times New Roman" w:hAnsi="Times New Roman" w:cs="Times New Roman"/>
          <w:szCs w:val="20"/>
        </w:rPr>
        <w:t>2) A opção para aplicação em Investimentos Regionais ficou extinta a partir de 2 de maio de 2001 para as pessoas jurídicas que não se enquadrem no art. 9</w:t>
      </w:r>
      <w:r w:rsidRPr="00FA3856">
        <w:rPr>
          <w:rFonts w:ascii="Times New Roman" w:hAnsi="Times New Roman" w:cs="Times New Roman"/>
          <w:strike/>
          <w:szCs w:val="20"/>
        </w:rPr>
        <w:t>º</w:t>
      </w:r>
      <w:r w:rsidRPr="00FA3856">
        <w:rPr>
          <w:rFonts w:ascii="Times New Roman" w:hAnsi="Times New Roman" w:cs="Times New Roman"/>
          <w:szCs w:val="20"/>
        </w:rPr>
        <w:t xml:space="preserve"> da Lei n</w:t>
      </w:r>
      <w:r w:rsidRPr="00FA3856">
        <w:rPr>
          <w:rFonts w:ascii="Times New Roman" w:hAnsi="Times New Roman" w:cs="Times New Roman"/>
          <w:strike/>
          <w:szCs w:val="20"/>
        </w:rPr>
        <w:t>º</w:t>
      </w:r>
      <w:r w:rsidRPr="00FA3856">
        <w:rPr>
          <w:rFonts w:ascii="Times New Roman" w:hAnsi="Times New Roman" w:cs="Times New Roman"/>
          <w:szCs w:val="20"/>
        </w:rPr>
        <w:t xml:space="preserve"> 8.167, de 1991. (MP n</w:t>
      </w:r>
      <w:r w:rsidRPr="00FA3856">
        <w:rPr>
          <w:rFonts w:ascii="Times New Roman" w:hAnsi="Times New Roman" w:cs="Times New Roman"/>
          <w:strike/>
          <w:szCs w:val="20"/>
        </w:rPr>
        <w:t>º</w:t>
      </w:r>
      <w:r w:rsidRPr="00FA3856">
        <w:rPr>
          <w:rFonts w:ascii="Times New Roman" w:hAnsi="Times New Roman" w:cs="Times New Roman"/>
          <w:szCs w:val="20"/>
        </w:rPr>
        <w:t xml:space="preserve"> 2.199-14, de 2001, art. 4</w:t>
      </w:r>
      <w:r w:rsidRPr="00FA3856">
        <w:rPr>
          <w:rFonts w:ascii="Times New Roman" w:hAnsi="Times New Roman" w:cs="Times New Roman"/>
          <w:strike/>
          <w:szCs w:val="20"/>
        </w:rPr>
        <w:t>º</w:t>
      </w:r>
      <w:r w:rsidRPr="00FA3856">
        <w:rPr>
          <w:rFonts w:ascii="Times New Roman" w:hAnsi="Times New Roman" w:cs="Times New Roman"/>
          <w:szCs w:val="20"/>
        </w:rPr>
        <w:t>, e MP n</w:t>
      </w:r>
      <w:r w:rsidRPr="00FA3856">
        <w:rPr>
          <w:rFonts w:ascii="Times New Roman" w:hAnsi="Times New Roman" w:cs="Times New Roman"/>
          <w:strike/>
          <w:szCs w:val="20"/>
        </w:rPr>
        <w:t>º</w:t>
      </w:r>
      <w:r w:rsidRPr="00FA3856">
        <w:rPr>
          <w:rFonts w:ascii="Times New Roman" w:hAnsi="Times New Roman" w:cs="Times New Roman"/>
          <w:szCs w:val="20"/>
        </w:rPr>
        <w:t xml:space="preserve"> 2.145, de 2001, art. 50, XX, atuais MP n</w:t>
      </w:r>
      <w:r w:rsidRPr="00FA3856">
        <w:rPr>
          <w:rFonts w:ascii="Times New Roman" w:hAnsi="Times New Roman" w:cs="Times New Roman"/>
          <w:strike/>
          <w:szCs w:val="20"/>
        </w:rPr>
        <w:t>º</w:t>
      </w:r>
      <w:r w:rsidRPr="00FA3856">
        <w:rPr>
          <w:rFonts w:ascii="Times New Roman" w:hAnsi="Times New Roman" w:cs="Times New Roman"/>
          <w:szCs w:val="20"/>
        </w:rPr>
        <w:t xml:space="preserve"> 2.156-5, de 2001, art. 32, XVIII, e n</w:t>
      </w:r>
      <w:r w:rsidRPr="00FA3856">
        <w:rPr>
          <w:rFonts w:ascii="Times New Roman" w:hAnsi="Times New Roman" w:cs="Times New Roman"/>
          <w:strike/>
          <w:szCs w:val="20"/>
        </w:rPr>
        <w:t>º</w:t>
      </w:r>
      <w:r w:rsidRPr="00FA3856">
        <w:rPr>
          <w:rFonts w:ascii="Times New Roman" w:hAnsi="Times New Roman" w:cs="Times New Roman"/>
          <w:szCs w:val="20"/>
        </w:rPr>
        <w:t xml:space="preserve"> 2.157-5, de 2001, art. 32, IV).</w:t>
      </w:r>
    </w:p>
    <w:p w:rsidR="00CD73D7" w:rsidRPr="00FA3856" w:rsidRDefault="00CD73D7" w:rsidP="001A6818">
      <w:pPr>
        <w:pStyle w:val="NormalWeb"/>
        <w:spacing w:before="0" w:after="0"/>
        <w:ind w:left="601"/>
        <w:jc w:val="both"/>
        <w:rPr>
          <w:rFonts w:ascii="Times New Roman" w:hAnsi="Times New Roman" w:cs="Times New Roman"/>
          <w:szCs w:val="20"/>
        </w:rPr>
      </w:pPr>
      <w:r w:rsidRPr="00FA3856">
        <w:rPr>
          <w:rFonts w:ascii="Times New Roman" w:hAnsi="Times New Roman" w:cs="Times New Roman"/>
          <w:szCs w:val="20"/>
        </w:rPr>
        <w:t>3) Os incentivos de que trata este tópico também se aplicam às SCP tributadas com base no lucro real, das quais a declarante seja sócia ostensiva. A opção somente poderá ser efetuada em relação à parte do imposto devido, exclusive o adicional, pertencente à sócia ostensiva, ou seja, não se aplica à parte do imposto que cabe aos demais sócios.</w:t>
      </w:r>
    </w:p>
    <w:p w:rsidR="00AF7983" w:rsidRPr="00FA3856" w:rsidRDefault="00AF7983" w:rsidP="001A6818">
      <w:pPr>
        <w:pStyle w:val="NormalWeb"/>
        <w:spacing w:before="0" w:after="0"/>
        <w:jc w:val="both"/>
        <w:rPr>
          <w:rFonts w:ascii="Times New Roman" w:hAnsi="Times New Roman" w:cs="Times New Roman"/>
          <w:szCs w:val="20"/>
        </w:rPr>
      </w:pPr>
    </w:p>
    <w:p w:rsidR="00CD73D7" w:rsidRPr="00FA3856" w:rsidRDefault="00CD73D7" w:rsidP="00AF7983">
      <w:pPr>
        <w:pStyle w:val="NormalWeb"/>
        <w:spacing w:before="0" w:after="0"/>
        <w:ind w:firstLine="601"/>
        <w:jc w:val="both"/>
        <w:rPr>
          <w:rFonts w:ascii="Times New Roman" w:hAnsi="Times New Roman" w:cs="Times New Roman"/>
          <w:szCs w:val="20"/>
        </w:rPr>
      </w:pPr>
      <w:r w:rsidRPr="00FA3856">
        <w:rPr>
          <w:rFonts w:ascii="Times New Roman" w:hAnsi="Times New Roman" w:cs="Times New Roman"/>
          <w:szCs w:val="20"/>
        </w:rPr>
        <w:t>Sem prejuízo do limite específico para cada incentivo, o conjunto das aplicações em favor do Fundo de Investimentos do Nordeste (Finor) e do Fundo de Investimentos da Amazônia (Finam) não pode exceder, em cada período de apuração, a 10% (dez por cento), relativamente aos períodos de apuração encerrados a partir de 1</w:t>
      </w:r>
      <w:r w:rsidRPr="00FA3856">
        <w:rPr>
          <w:rFonts w:ascii="Times New Roman" w:hAnsi="Times New Roman" w:cs="Times New Roman"/>
          <w:strike/>
          <w:szCs w:val="20"/>
        </w:rPr>
        <w:t>º</w:t>
      </w:r>
      <w:r w:rsidRPr="00FA3856">
        <w:rPr>
          <w:rFonts w:ascii="Times New Roman" w:hAnsi="Times New Roman" w:cs="Times New Roman"/>
          <w:szCs w:val="20"/>
        </w:rPr>
        <w:t xml:space="preserve"> de janeiro de 2009 até 31 de dezembro de 2013, incluídas as deduções compulsórias, no montante de doze por cento, em favor do Programa de Integração Nacional (PIN), de que trata o art. 5</w:t>
      </w:r>
      <w:r w:rsidRPr="00FA3856">
        <w:rPr>
          <w:rFonts w:ascii="Times New Roman" w:hAnsi="Times New Roman" w:cs="Times New Roman"/>
          <w:strike/>
          <w:szCs w:val="20"/>
        </w:rPr>
        <w:t>º</w:t>
      </w:r>
      <w:r w:rsidRPr="00FA3856">
        <w:rPr>
          <w:rFonts w:ascii="Times New Roman" w:hAnsi="Times New Roman" w:cs="Times New Roman"/>
          <w:szCs w:val="20"/>
        </w:rPr>
        <w:t xml:space="preserve"> do Decreto-lei n</w:t>
      </w:r>
      <w:r w:rsidRPr="00FA3856">
        <w:rPr>
          <w:rFonts w:ascii="Times New Roman" w:hAnsi="Times New Roman" w:cs="Times New Roman"/>
          <w:strike/>
          <w:szCs w:val="20"/>
        </w:rPr>
        <w:t>º</w:t>
      </w:r>
      <w:r w:rsidRPr="00FA3856">
        <w:rPr>
          <w:rFonts w:ascii="Times New Roman" w:hAnsi="Times New Roman" w:cs="Times New Roman"/>
          <w:szCs w:val="20"/>
        </w:rPr>
        <w:t xml:space="preserve"> 1.106, de 16 de junho de 1970, e do Programa de Redistribuição de Terras e de Estímulo à Agroindústria do Norte e do Nordeste (Proterra), de que cuida o art. 6</w:t>
      </w:r>
      <w:r w:rsidRPr="00FA3856">
        <w:rPr>
          <w:rFonts w:ascii="Times New Roman" w:hAnsi="Times New Roman" w:cs="Times New Roman"/>
          <w:strike/>
          <w:szCs w:val="20"/>
        </w:rPr>
        <w:t>º</w:t>
      </w:r>
      <w:r w:rsidRPr="00FA3856">
        <w:rPr>
          <w:rFonts w:ascii="Times New Roman" w:hAnsi="Times New Roman" w:cs="Times New Roman"/>
          <w:szCs w:val="20"/>
        </w:rPr>
        <w:t xml:space="preserve"> do Decreto-lei n</w:t>
      </w:r>
      <w:r w:rsidRPr="00FA3856">
        <w:rPr>
          <w:rFonts w:ascii="Times New Roman" w:hAnsi="Times New Roman" w:cs="Times New Roman"/>
          <w:strike/>
          <w:szCs w:val="20"/>
        </w:rPr>
        <w:t>º</w:t>
      </w:r>
      <w:r w:rsidRPr="00FA3856">
        <w:rPr>
          <w:rFonts w:ascii="Times New Roman" w:hAnsi="Times New Roman" w:cs="Times New Roman"/>
          <w:szCs w:val="20"/>
        </w:rPr>
        <w:t xml:space="preserve"> 1.179, de 6 de julho de 1971).</w:t>
      </w:r>
    </w:p>
    <w:p w:rsidR="00AF7983" w:rsidRPr="00FA3856" w:rsidRDefault="00AF7983" w:rsidP="001A6818">
      <w:pPr>
        <w:pStyle w:val="NormalWeb"/>
        <w:spacing w:before="0" w:after="0"/>
        <w:jc w:val="both"/>
        <w:rPr>
          <w:rFonts w:ascii="Times New Roman" w:hAnsi="Times New Roman" w:cs="Times New Roman"/>
          <w:szCs w:val="20"/>
        </w:rPr>
      </w:pPr>
    </w:p>
    <w:p w:rsidR="00CD73D7" w:rsidRPr="00FA3856" w:rsidRDefault="00CD73D7" w:rsidP="00AF7983">
      <w:pPr>
        <w:pStyle w:val="NormalWeb"/>
        <w:spacing w:before="0" w:after="0"/>
        <w:ind w:firstLine="601"/>
        <w:jc w:val="both"/>
        <w:rPr>
          <w:rFonts w:ascii="Times New Roman" w:hAnsi="Times New Roman" w:cs="Times New Roman"/>
          <w:szCs w:val="20"/>
        </w:rPr>
      </w:pPr>
      <w:r w:rsidRPr="00FA3856">
        <w:rPr>
          <w:rFonts w:ascii="Times New Roman" w:hAnsi="Times New Roman" w:cs="Times New Roman"/>
          <w:szCs w:val="20"/>
        </w:rPr>
        <w:t xml:space="preserve">A pessoa jurídica que efetuar pagamentos mensais deve recolher o valor correspondente à aplicação em investimentos regionais em Darf específico, com os códigos: </w:t>
      </w:r>
    </w:p>
    <w:p w:rsidR="00AF7983" w:rsidRPr="00FA3856" w:rsidRDefault="00AF7983" w:rsidP="001A6818">
      <w:pPr>
        <w:pStyle w:val="NormalWeb"/>
        <w:spacing w:before="0" w:after="0"/>
        <w:jc w:val="both"/>
        <w:rPr>
          <w:rFonts w:ascii="Times New Roman" w:hAnsi="Times New Roman" w:cs="Times New Roman"/>
          <w:szCs w:val="20"/>
        </w:rPr>
      </w:pPr>
    </w:p>
    <w:p w:rsidR="00CD73D7" w:rsidRPr="00FA3856" w:rsidRDefault="00CD73D7" w:rsidP="00AF7983">
      <w:pPr>
        <w:pStyle w:val="NormalWeb"/>
        <w:spacing w:before="0" w:after="0"/>
        <w:ind w:firstLine="601"/>
        <w:jc w:val="both"/>
        <w:rPr>
          <w:rFonts w:ascii="Times New Roman" w:hAnsi="Times New Roman" w:cs="Times New Roman"/>
          <w:szCs w:val="20"/>
        </w:rPr>
      </w:pPr>
      <w:r w:rsidRPr="00FA3856">
        <w:rPr>
          <w:rFonts w:ascii="Times New Roman" w:hAnsi="Times New Roman" w:cs="Times New Roman"/>
          <w:szCs w:val="20"/>
        </w:rPr>
        <w:t>a) 9004 IRPJ Finor Balanço Trimestral;</w:t>
      </w:r>
    </w:p>
    <w:p w:rsidR="00CD73D7" w:rsidRPr="00FA3856" w:rsidRDefault="00CD73D7" w:rsidP="00AF7983">
      <w:pPr>
        <w:pStyle w:val="NormalWeb"/>
        <w:spacing w:before="0" w:after="0"/>
        <w:ind w:firstLine="601"/>
        <w:jc w:val="both"/>
        <w:rPr>
          <w:rFonts w:ascii="Times New Roman" w:hAnsi="Times New Roman" w:cs="Times New Roman"/>
          <w:szCs w:val="20"/>
        </w:rPr>
      </w:pPr>
      <w:r w:rsidRPr="00FA3856">
        <w:rPr>
          <w:rFonts w:ascii="Times New Roman" w:hAnsi="Times New Roman" w:cs="Times New Roman"/>
          <w:szCs w:val="20"/>
        </w:rPr>
        <w:t>b) 9017 IRPJ Finor - Estimativa;</w:t>
      </w:r>
    </w:p>
    <w:p w:rsidR="00CD73D7" w:rsidRPr="00FA3856" w:rsidRDefault="00CD73D7" w:rsidP="00AF7983">
      <w:pPr>
        <w:pStyle w:val="NormalWeb"/>
        <w:spacing w:before="0" w:after="0"/>
        <w:ind w:firstLine="601"/>
        <w:jc w:val="both"/>
        <w:rPr>
          <w:rFonts w:ascii="Times New Roman" w:hAnsi="Times New Roman" w:cs="Times New Roman"/>
          <w:szCs w:val="20"/>
        </w:rPr>
      </w:pPr>
      <w:r w:rsidRPr="00FA3856">
        <w:rPr>
          <w:rFonts w:ascii="Times New Roman" w:hAnsi="Times New Roman" w:cs="Times New Roman"/>
          <w:szCs w:val="20"/>
        </w:rPr>
        <w:t>c) 9020 IRPJ Finam Balanço Trimestral;</w:t>
      </w:r>
    </w:p>
    <w:p w:rsidR="00CD73D7" w:rsidRPr="00FA3856" w:rsidRDefault="00CD73D7" w:rsidP="00AF7983">
      <w:pPr>
        <w:pStyle w:val="NormalWeb"/>
        <w:spacing w:before="0" w:after="0"/>
        <w:ind w:firstLine="601"/>
        <w:jc w:val="both"/>
        <w:rPr>
          <w:rFonts w:ascii="Times New Roman" w:hAnsi="Times New Roman" w:cs="Times New Roman"/>
          <w:szCs w:val="20"/>
        </w:rPr>
      </w:pPr>
      <w:r w:rsidRPr="00FA3856">
        <w:rPr>
          <w:rFonts w:ascii="Times New Roman" w:hAnsi="Times New Roman" w:cs="Times New Roman"/>
          <w:szCs w:val="20"/>
        </w:rPr>
        <w:t>d) 9032 IRPJ Finam Estimativa;</w:t>
      </w:r>
    </w:p>
    <w:p w:rsidR="00CD73D7" w:rsidRPr="00FA3856" w:rsidRDefault="00CD73D7" w:rsidP="00AF7983">
      <w:pPr>
        <w:pStyle w:val="NormalWeb"/>
        <w:spacing w:before="0" w:after="0"/>
        <w:ind w:firstLine="601"/>
        <w:jc w:val="both"/>
        <w:rPr>
          <w:rFonts w:ascii="Times New Roman" w:hAnsi="Times New Roman" w:cs="Times New Roman"/>
          <w:szCs w:val="20"/>
        </w:rPr>
      </w:pPr>
      <w:r w:rsidRPr="00FA3856">
        <w:rPr>
          <w:rFonts w:ascii="Times New Roman" w:hAnsi="Times New Roman" w:cs="Times New Roman"/>
          <w:szCs w:val="20"/>
        </w:rPr>
        <w:t>e) 9045 IRPJ Funres Balanço Trimestral;</w:t>
      </w:r>
    </w:p>
    <w:p w:rsidR="00CD73D7" w:rsidRPr="00FA3856" w:rsidRDefault="00CD73D7" w:rsidP="00AF7983">
      <w:pPr>
        <w:pStyle w:val="NormalWeb"/>
        <w:spacing w:before="0" w:after="0"/>
        <w:ind w:firstLine="601"/>
        <w:jc w:val="both"/>
        <w:rPr>
          <w:rFonts w:ascii="Times New Roman" w:hAnsi="Times New Roman" w:cs="Times New Roman"/>
          <w:szCs w:val="20"/>
        </w:rPr>
      </w:pPr>
      <w:r w:rsidRPr="00FA3856">
        <w:rPr>
          <w:rFonts w:ascii="Times New Roman" w:hAnsi="Times New Roman" w:cs="Times New Roman"/>
          <w:szCs w:val="20"/>
        </w:rPr>
        <w:t>f) 9058 IRPJ Funres Estimativa;</w:t>
      </w:r>
    </w:p>
    <w:p w:rsidR="00CD73D7" w:rsidRPr="00FA3856" w:rsidRDefault="00CD73D7" w:rsidP="00AF7983">
      <w:pPr>
        <w:pStyle w:val="NormalWeb"/>
        <w:spacing w:before="0" w:after="0"/>
        <w:ind w:firstLine="601"/>
        <w:jc w:val="both"/>
        <w:rPr>
          <w:rFonts w:ascii="Times New Roman" w:hAnsi="Times New Roman" w:cs="Times New Roman"/>
          <w:szCs w:val="20"/>
        </w:rPr>
      </w:pPr>
      <w:r w:rsidRPr="00FA3856">
        <w:rPr>
          <w:rFonts w:ascii="Times New Roman" w:hAnsi="Times New Roman" w:cs="Times New Roman"/>
          <w:szCs w:val="20"/>
        </w:rPr>
        <w:t>g) 9344 IRPJ Finor Ajuste;</w:t>
      </w:r>
    </w:p>
    <w:p w:rsidR="00CD73D7" w:rsidRPr="00FA3856" w:rsidRDefault="00CD73D7" w:rsidP="00AF7983">
      <w:pPr>
        <w:pStyle w:val="NormalWeb"/>
        <w:spacing w:before="0" w:after="0"/>
        <w:ind w:firstLine="601"/>
        <w:jc w:val="both"/>
        <w:rPr>
          <w:rFonts w:ascii="Times New Roman" w:hAnsi="Times New Roman" w:cs="Times New Roman"/>
          <w:szCs w:val="20"/>
        </w:rPr>
      </w:pPr>
      <w:r w:rsidRPr="00FA3856">
        <w:rPr>
          <w:rFonts w:ascii="Times New Roman" w:hAnsi="Times New Roman" w:cs="Times New Roman"/>
          <w:szCs w:val="20"/>
        </w:rPr>
        <w:t>h) 9360 IRPJ Finam Ajuste;</w:t>
      </w:r>
    </w:p>
    <w:p w:rsidR="00CD73D7" w:rsidRPr="00FA3856" w:rsidRDefault="00CD73D7" w:rsidP="00AF7983">
      <w:pPr>
        <w:pStyle w:val="NormalWeb"/>
        <w:spacing w:before="0" w:after="0"/>
        <w:ind w:firstLine="601"/>
        <w:jc w:val="both"/>
        <w:rPr>
          <w:rFonts w:ascii="Times New Roman" w:hAnsi="Times New Roman" w:cs="Times New Roman"/>
          <w:szCs w:val="20"/>
        </w:rPr>
      </w:pPr>
      <w:r w:rsidRPr="00FA3856">
        <w:rPr>
          <w:rFonts w:ascii="Times New Roman" w:hAnsi="Times New Roman" w:cs="Times New Roman"/>
          <w:szCs w:val="20"/>
        </w:rPr>
        <w:t>i) 9372 IRPJ Funres Ajuste.</w:t>
      </w:r>
    </w:p>
    <w:p w:rsidR="00AF7983" w:rsidRPr="00FA3856" w:rsidRDefault="00AF7983" w:rsidP="001A6818">
      <w:pPr>
        <w:pStyle w:val="NormalWeb"/>
        <w:spacing w:before="0" w:after="0"/>
        <w:jc w:val="both"/>
        <w:rPr>
          <w:rFonts w:ascii="Times New Roman" w:hAnsi="Times New Roman" w:cs="Times New Roman"/>
          <w:szCs w:val="20"/>
        </w:rPr>
      </w:pPr>
    </w:p>
    <w:p w:rsidR="00CD73D7" w:rsidRPr="00FA3856" w:rsidRDefault="00CD73D7" w:rsidP="00AF7983">
      <w:pPr>
        <w:pStyle w:val="NormalWeb"/>
        <w:spacing w:before="0" w:after="0"/>
        <w:ind w:firstLine="601"/>
        <w:jc w:val="both"/>
        <w:rPr>
          <w:rFonts w:ascii="Times New Roman" w:hAnsi="Times New Roman" w:cs="Times New Roman"/>
          <w:szCs w:val="20"/>
        </w:rPr>
      </w:pPr>
      <w:r w:rsidRPr="00FA3856">
        <w:rPr>
          <w:rFonts w:ascii="Times New Roman" w:hAnsi="Times New Roman" w:cs="Times New Roman"/>
          <w:szCs w:val="20"/>
        </w:rPr>
        <w:t>A parcela excedente destinada aos fundos, verificada no ajuste anual pelas pessoas jurídicas, deve ser considerada como recurso próprio aplicado no respectivo projeto, quando o recolhimento for efetuado pelas pessoas jurídicas de que trata o art. 9</w:t>
      </w:r>
      <w:r w:rsidRPr="00FA3856">
        <w:rPr>
          <w:rFonts w:ascii="Times New Roman" w:hAnsi="Times New Roman" w:cs="Times New Roman"/>
          <w:strike/>
          <w:szCs w:val="20"/>
        </w:rPr>
        <w:t>º</w:t>
      </w:r>
      <w:r w:rsidRPr="00FA3856">
        <w:rPr>
          <w:rFonts w:ascii="Times New Roman" w:hAnsi="Times New Roman" w:cs="Times New Roman"/>
          <w:szCs w:val="20"/>
        </w:rPr>
        <w:t xml:space="preserve"> da Lei n</w:t>
      </w:r>
      <w:r w:rsidRPr="00FA3856">
        <w:rPr>
          <w:rFonts w:ascii="Times New Roman" w:hAnsi="Times New Roman" w:cs="Times New Roman"/>
          <w:strike/>
          <w:szCs w:val="20"/>
        </w:rPr>
        <w:t>º</w:t>
      </w:r>
      <w:r w:rsidRPr="00FA3856">
        <w:rPr>
          <w:rFonts w:ascii="Times New Roman" w:hAnsi="Times New Roman" w:cs="Times New Roman"/>
          <w:szCs w:val="20"/>
        </w:rPr>
        <w:t xml:space="preserve"> 8.167, de 1991.</w:t>
      </w:r>
    </w:p>
    <w:p w:rsidR="00AF7983" w:rsidRPr="00FA3856" w:rsidRDefault="00AF7983" w:rsidP="001A6818">
      <w:pPr>
        <w:pStyle w:val="NormalWeb"/>
        <w:spacing w:before="0" w:after="0"/>
        <w:jc w:val="both"/>
        <w:rPr>
          <w:rFonts w:ascii="Times New Roman" w:hAnsi="Times New Roman" w:cs="Times New Roman"/>
          <w:b/>
          <w:bCs/>
          <w:szCs w:val="20"/>
        </w:rPr>
      </w:pPr>
    </w:p>
    <w:p w:rsidR="00CD73D7" w:rsidRPr="00FA3856" w:rsidRDefault="00CD73D7" w:rsidP="001A6818">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t>Valor Mínimo das Aplicações:</w:t>
      </w:r>
      <w:r w:rsidR="00AF7983" w:rsidRPr="00FA3856">
        <w:rPr>
          <w:rFonts w:ascii="Times New Roman" w:hAnsi="Times New Roman" w:cs="Times New Roman"/>
          <w:szCs w:val="20"/>
        </w:rPr>
        <w:t xml:space="preserve"> </w:t>
      </w:r>
      <w:r w:rsidRPr="00FA3856">
        <w:rPr>
          <w:rFonts w:ascii="Times New Roman" w:hAnsi="Times New Roman" w:cs="Times New Roman"/>
          <w:szCs w:val="20"/>
        </w:rPr>
        <w:t>Não devem ser consideradas aplicações inferiores a R$ 8,28.</w:t>
      </w:r>
    </w:p>
    <w:p w:rsidR="00AF7983" w:rsidRPr="00FA3856" w:rsidRDefault="00AF7983" w:rsidP="001A6818">
      <w:pPr>
        <w:pStyle w:val="NormalWeb"/>
        <w:spacing w:before="0" w:after="0"/>
        <w:jc w:val="both"/>
        <w:rPr>
          <w:rFonts w:ascii="Times New Roman" w:hAnsi="Times New Roman" w:cs="Times New Roman"/>
          <w:b/>
          <w:bCs/>
          <w:szCs w:val="20"/>
        </w:rPr>
      </w:pPr>
    </w:p>
    <w:p w:rsidR="00CD73D7" w:rsidRPr="00FA3856" w:rsidRDefault="00B14A83" w:rsidP="001A6818">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t xml:space="preserve">I.7) </w:t>
      </w:r>
      <w:r w:rsidR="00CD73D7" w:rsidRPr="00FA3856">
        <w:rPr>
          <w:rFonts w:ascii="Times New Roman" w:hAnsi="Times New Roman" w:cs="Times New Roman"/>
          <w:b/>
          <w:bCs/>
          <w:szCs w:val="20"/>
        </w:rPr>
        <w:t>Considerações Gerais sobre Pessoas Jurídicas que Exploram Atividade Rural (Trimestral e Anual)</w:t>
      </w:r>
    </w:p>
    <w:p w:rsidR="00AF7983" w:rsidRPr="00FA3856" w:rsidRDefault="00AF7983" w:rsidP="001A6818">
      <w:pPr>
        <w:pStyle w:val="NormalWeb"/>
        <w:spacing w:before="0" w:after="0"/>
        <w:jc w:val="both"/>
        <w:rPr>
          <w:rFonts w:ascii="Times New Roman" w:hAnsi="Times New Roman" w:cs="Times New Roman"/>
          <w:szCs w:val="20"/>
        </w:rPr>
      </w:pPr>
    </w:p>
    <w:p w:rsidR="00CD73D7" w:rsidRPr="00FA3856" w:rsidRDefault="00CD73D7" w:rsidP="00AF7983">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exploração da atividade rural inclui as operações de giro normal da pessoa jurídica em decorrência das seguintes atividades, consideradas rurais:</w:t>
      </w:r>
    </w:p>
    <w:p w:rsidR="00AF7983" w:rsidRPr="00FA3856" w:rsidRDefault="00AF7983" w:rsidP="001A6818">
      <w:pPr>
        <w:pStyle w:val="NormalWeb"/>
        <w:spacing w:before="0" w:after="0"/>
        <w:jc w:val="both"/>
        <w:rPr>
          <w:rFonts w:ascii="Times New Roman" w:hAnsi="Times New Roman" w:cs="Times New Roman"/>
          <w:szCs w:val="20"/>
        </w:rPr>
      </w:pPr>
    </w:p>
    <w:p w:rsidR="00CD73D7" w:rsidRPr="00FA3856" w:rsidRDefault="00CD73D7" w:rsidP="00AF7983">
      <w:pPr>
        <w:pStyle w:val="NormalWeb"/>
        <w:spacing w:before="0" w:after="0"/>
        <w:ind w:left="708"/>
        <w:jc w:val="both"/>
        <w:rPr>
          <w:rFonts w:ascii="Times New Roman" w:hAnsi="Times New Roman" w:cs="Times New Roman"/>
          <w:szCs w:val="20"/>
        </w:rPr>
      </w:pPr>
      <w:r w:rsidRPr="00FA3856">
        <w:rPr>
          <w:rFonts w:ascii="Times New Roman" w:hAnsi="Times New Roman" w:cs="Times New Roman"/>
          <w:szCs w:val="20"/>
        </w:rPr>
        <w:t>I - a agricultura;</w:t>
      </w:r>
    </w:p>
    <w:p w:rsidR="00CD73D7" w:rsidRPr="00FA3856" w:rsidRDefault="00CD73D7" w:rsidP="00AF7983">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II - a pecuária;</w:t>
      </w:r>
    </w:p>
    <w:p w:rsidR="00CD73D7" w:rsidRPr="00FA3856" w:rsidRDefault="00CD73D7" w:rsidP="00AF7983">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III - a extração e a exploração vegetal e animal;</w:t>
      </w:r>
    </w:p>
    <w:p w:rsidR="00CD73D7" w:rsidRPr="00FA3856" w:rsidRDefault="00CD73D7" w:rsidP="00AF7983">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IV - a exploração de atividades zootécnicas, tais como apicultura, avicultura, cunicultura, suinocultura, sericicultura, piscicultura e outras culturas animais;</w:t>
      </w:r>
    </w:p>
    <w:p w:rsidR="00CD73D7" w:rsidRPr="00FA3856" w:rsidRDefault="00CD73D7" w:rsidP="00AF7983">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VI - o cultivo de florestas que se destinem ao corte para comercialização, consumo ou industrialização;</w:t>
      </w:r>
    </w:p>
    <w:p w:rsidR="00CD73D7" w:rsidRPr="00FA3856" w:rsidRDefault="00CD73D7" w:rsidP="00AF7983">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VII - a venda de rebanho de renda, reprodutores ou matrizes;</w:t>
      </w:r>
    </w:p>
    <w:p w:rsidR="00CD73D7" w:rsidRPr="00FA3856" w:rsidRDefault="00CD73D7" w:rsidP="00AF7983">
      <w:pPr>
        <w:pStyle w:val="NormalWeb"/>
        <w:spacing w:before="0" w:after="0"/>
        <w:ind w:left="708"/>
        <w:jc w:val="both"/>
        <w:rPr>
          <w:rFonts w:ascii="Times New Roman" w:hAnsi="Times New Roman" w:cs="Times New Roman"/>
          <w:szCs w:val="20"/>
        </w:rPr>
      </w:pPr>
      <w:r w:rsidRPr="00FA3856">
        <w:rPr>
          <w:rFonts w:ascii="Times New Roman" w:hAnsi="Times New Roman" w:cs="Times New Roman"/>
          <w:szCs w:val="20"/>
        </w:rPr>
        <w:lastRenderedPageBreak/>
        <w:t xml:space="preserve">VIII - a transformação de produtos decorrentes da atividade rural, sem que sejam alteradas a composição e as características do produto </w:t>
      </w:r>
      <w:r w:rsidRPr="00FA3856">
        <w:rPr>
          <w:rFonts w:ascii="Times New Roman" w:hAnsi="Times New Roman" w:cs="Times New Roman"/>
          <w:i/>
          <w:iCs/>
          <w:szCs w:val="20"/>
        </w:rPr>
        <w:t>in natura</w:t>
      </w:r>
      <w:r w:rsidRPr="00FA3856">
        <w:rPr>
          <w:rFonts w:ascii="Times New Roman" w:hAnsi="Times New Roman" w:cs="Times New Roman"/>
          <w:szCs w:val="20"/>
        </w:rPr>
        <w:t xml:space="preserve">, feita pelo próprio agricultor ou </w:t>
      </w:r>
      <w:bookmarkStart w:id="125" w:name="subitem_15.1.7"/>
      <w:bookmarkEnd w:id="125"/>
      <w:r w:rsidRPr="00FA3856">
        <w:rPr>
          <w:rFonts w:ascii="Times New Roman" w:hAnsi="Times New Roman" w:cs="Times New Roman"/>
          <w:szCs w:val="20"/>
        </w:rPr>
        <w:t>criador, com equipamentos e utensílios usualmente empregados nas atividades rurais, utilizando exclusivamente matéria-prima produzida na área rural explorada, tais como:</w:t>
      </w:r>
    </w:p>
    <w:p w:rsidR="00AF7983" w:rsidRPr="00FA3856" w:rsidRDefault="00AF7983" w:rsidP="001A6818">
      <w:pPr>
        <w:pStyle w:val="NormalWeb"/>
        <w:spacing w:before="0" w:after="0"/>
        <w:jc w:val="both"/>
        <w:rPr>
          <w:rFonts w:ascii="Times New Roman" w:hAnsi="Times New Roman" w:cs="Times New Roman"/>
          <w:szCs w:val="20"/>
        </w:rPr>
      </w:pPr>
    </w:p>
    <w:p w:rsidR="00CD73D7" w:rsidRPr="00FA3856" w:rsidRDefault="00CD73D7" w:rsidP="00AF7983">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a) beneficiamento de produtos agrícolas:</w:t>
      </w:r>
    </w:p>
    <w:p w:rsidR="00CD73D7" w:rsidRPr="00FA3856" w:rsidRDefault="00CD73D7" w:rsidP="00AF7983">
      <w:pPr>
        <w:pStyle w:val="NormalWeb"/>
        <w:spacing w:before="0" w:after="0"/>
        <w:ind w:left="1416" w:firstLine="708"/>
        <w:jc w:val="both"/>
        <w:rPr>
          <w:rFonts w:ascii="Times New Roman" w:hAnsi="Times New Roman" w:cs="Times New Roman"/>
          <w:szCs w:val="20"/>
        </w:rPr>
      </w:pPr>
      <w:r w:rsidRPr="00FA3856">
        <w:rPr>
          <w:rFonts w:ascii="Times New Roman" w:hAnsi="Times New Roman" w:cs="Times New Roman"/>
          <w:szCs w:val="20"/>
        </w:rPr>
        <w:t>1. descasque de arroz e de outros prod</w:t>
      </w:r>
      <w:bookmarkStart w:id="126" w:name="subitem_15.1.7.I"/>
      <w:bookmarkEnd w:id="126"/>
      <w:r w:rsidRPr="00FA3856">
        <w:rPr>
          <w:rFonts w:ascii="Times New Roman" w:hAnsi="Times New Roman" w:cs="Times New Roman"/>
          <w:szCs w:val="20"/>
        </w:rPr>
        <w:t xml:space="preserve">utos semelhantes; </w:t>
      </w:r>
    </w:p>
    <w:p w:rsidR="00CD73D7" w:rsidRPr="00FA3856" w:rsidRDefault="00CD73D7" w:rsidP="00AF7983">
      <w:pPr>
        <w:pStyle w:val="NormalWeb"/>
        <w:spacing w:before="0" w:after="0"/>
        <w:ind w:left="1416" w:firstLine="708"/>
        <w:jc w:val="both"/>
        <w:rPr>
          <w:rFonts w:ascii="Times New Roman" w:hAnsi="Times New Roman" w:cs="Times New Roman"/>
          <w:szCs w:val="20"/>
        </w:rPr>
      </w:pPr>
      <w:r w:rsidRPr="00FA3856">
        <w:rPr>
          <w:rFonts w:ascii="Times New Roman" w:hAnsi="Times New Roman" w:cs="Times New Roman"/>
          <w:szCs w:val="20"/>
        </w:rPr>
        <w:t>2</w:t>
      </w:r>
      <w:bookmarkStart w:id="127" w:name="subitem_15.1.7.II"/>
      <w:bookmarkEnd w:id="127"/>
      <w:r w:rsidRPr="00FA3856">
        <w:rPr>
          <w:rFonts w:ascii="Times New Roman" w:hAnsi="Times New Roman" w:cs="Times New Roman"/>
          <w:szCs w:val="20"/>
        </w:rPr>
        <w:t>. debulha de milh</w:t>
      </w:r>
      <w:bookmarkStart w:id="128" w:name="subitem_15.1.7.III"/>
      <w:bookmarkEnd w:id="128"/>
      <w:r w:rsidRPr="00FA3856">
        <w:rPr>
          <w:rFonts w:ascii="Times New Roman" w:hAnsi="Times New Roman" w:cs="Times New Roman"/>
          <w:szCs w:val="20"/>
        </w:rPr>
        <w:t xml:space="preserve">o; </w:t>
      </w:r>
    </w:p>
    <w:p w:rsidR="00CD73D7" w:rsidRPr="00FA3856" w:rsidRDefault="00CD73D7" w:rsidP="00AF7983">
      <w:pPr>
        <w:pStyle w:val="NormalWeb"/>
        <w:spacing w:before="0" w:after="0"/>
        <w:ind w:left="1416" w:firstLine="708"/>
        <w:jc w:val="both"/>
        <w:rPr>
          <w:rFonts w:ascii="Times New Roman" w:hAnsi="Times New Roman" w:cs="Times New Roman"/>
          <w:szCs w:val="20"/>
        </w:rPr>
      </w:pPr>
      <w:r w:rsidRPr="00FA3856">
        <w:rPr>
          <w:rFonts w:ascii="Times New Roman" w:hAnsi="Times New Roman" w:cs="Times New Roman"/>
          <w:szCs w:val="20"/>
        </w:rPr>
        <w:t>3. conserva de frutas;</w:t>
      </w:r>
    </w:p>
    <w:p w:rsidR="00CD73D7" w:rsidRPr="00FA3856" w:rsidRDefault="00CD73D7" w:rsidP="00AF7983">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b) transformação de pro</w:t>
      </w:r>
      <w:bookmarkStart w:id="129" w:name="subitem_15.1.7.IV"/>
      <w:bookmarkEnd w:id="129"/>
      <w:r w:rsidRPr="00FA3856">
        <w:rPr>
          <w:rFonts w:ascii="Times New Roman" w:hAnsi="Times New Roman" w:cs="Times New Roman"/>
          <w:szCs w:val="20"/>
        </w:rPr>
        <w:t>dutos agrícolas:</w:t>
      </w:r>
    </w:p>
    <w:p w:rsidR="00CD73D7" w:rsidRPr="00FA3856" w:rsidRDefault="00CD73D7" w:rsidP="00AF7983">
      <w:pPr>
        <w:pStyle w:val="NormalWeb"/>
        <w:spacing w:before="0" w:after="0"/>
        <w:ind w:left="2124"/>
        <w:jc w:val="both"/>
        <w:rPr>
          <w:rFonts w:ascii="Times New Roman" w:hAnsi="Times New Roman" w:cs="Times New Roman"/>
          <w:szCs w:val="20"/>
        </w:rPr>
      </w:pPr>
      <w:r w:rsidRPr="00FA3856">
        <w:rPr>
          <w:rFonts w:ascii="Times New Roman" w:hAnsi="Times New Roman" w:cs="Times New Roman"/>
          <w:szCs w:val="20"/>
        </w:rPr>
        <w:t>1. moagem de trigo e de milho;</w:t>
      </w:r>
    </w:p>
    <w:p w:rsidR="00CD73D7" w:rsidRPr="00FA3856" w:rsidRDefault="00CD73D7" w:rsidP="00AF7983">
      <w:pPr>
        <w:pStyle w:val="NormalWeb"/>
        <w:spacing w:before="0" w:after="0"/>
        <w:ind w:left="1416" w:firstLine="708"/>
        <w:jc w:val="both"/>
        <w:rPr>
          <w:rFonts w:ascii="Times New Roman" w:hAnsi="Times New Roman" w:cs="Times New Roman"/>
          <w:szCs w:val="20"/>
        </w:rPr>
      </w:pPr>
      <w:r w:rsidRPr="00FA3856">
        <w:rPr>
          <w:rFonts w:ascii="Times New Roman" w:hAnsi="Times New Roman" w:cs="Times New Roman"/>
          <w:szCs w:val="20"/>
        </w:rPr>
        <w:t>2. moagem de cana-de-açúcar para produção de açúcar mascavo, melado, rapadura;</w:t>
      </w:r>
    </w:p>
    <w:p w:rsidR="00CD73D7" w:rsidRPr="00FA3856" w:rsidRDefault="00CD73D7" w:rsidP="00AF7983">
      <w:pPr>
        <w:pStyle w:val="NormalWeb"/>
        <w:spacing w:before="0" w:after="0"/>
        <w:ind w:left="1416" w:firstLine="708"/>
        <w:jc w:val="both"/>
        <w:rPr>
          <w:rFonts w:ascii="Times New Roman" w:hAnsi="Times New Roman" w:cs="Times New Roman"/>
          <w:szCs w:val="20"/>
        </w:rPr>
      </w:pPr>
      <w:r w:rsidRPr="00FA3856">
        <w:rPr>
          <w:rFonts w:ascii="Times New Roman" w:hAnsi="Times New Roman" w:cs="Times New Roman"/>
          <w:szCs w:val="20"/>
        </w:rPr>
        <w:t>3. grãos em farinha ou farelo;</w:t>
      </w:r>
    </w:p>
    <w:p w:rsidR="00CD73D7" w:rsidRPr="00FA3856" w:rsidRDefault="00CD73D7" w:rsidP="00AF7983">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 xml:space="preserve">c) </w:t>
      </w:r>
      <w:bookmarkStart w:id="130" w:name="subitem_15.1.7.VI"/>
      <w:bookmarkEnd w:id="130"/>
      <w:r w:rsidRPr="00FA3856">
        <w:rPr>
          <w:rFonts w:ascii="Times New Roman" w:hAnsi="Times New Roman" w:cs="Times New Roman"/>
          <w:szCs w:val="20"/>
        </w:rPr>
        <w:t>transformação de produtos zootécnicos:</w:t>
      </w:r>
    </w:p>
    <w:p w:rsidR="00CD73D7" w:rsidRPr="00FA3856" w:rsidRDefault="00CD73D7" w:rsidP="00AF7983">
      <w:pPr>
        <w:pStyle w:val="NormalWeb"/>
        <w:spacing w:before="0" w:after="0"/>
        <w:ind w:left="1416" w:firstLine="708"/>
        <w:jc w:val="both"/>
        <w:rPr>
          <w:rFonts w:ascii="Times New Roman" w:hAnsi="Times New Roman" w:cs="Times New Roman"/>
          <w:szCs w:val="20"/>
        </w:rPr>
      </w:pPr>
      <w:r w:rsidRPr="00FA3856">
        <w:rPr>
          <w:rFonts w:ascii="Times New Roman" w:hAnsi="Times New Roman" w:cs="Times New Roman"/>
          <w:szCs w:val="20"/>
        </w:rPr>
        <w:t>1. produção de mel acondicionado em embalagem de apresentação;</w:t>
      </w:r>
    </w:p>
    <w:p w:rsidR="00CD73D7" w:rsidRPr="00FA3856" w:rsidRDefault="00CD73D7" w:rsidP="00AF7983">
      <w:pPr>
        <w:pStyle w:val="NormalWeb"/>
        <w:spacing w:before="0" w:after="0"/>
        <w:ind w:left="1416" w:firstLine="708"/>
        <w:jc w:val="both"/>
        <w:rPr>
          <w:rFonts w:ascii="Times New Roman" w:hAnsi="Times New Roman" w:cs="Times New Roman"/>
          <w:szCs w:val="20"/>
        </w:rPr>
      </w:pPr>
      <w:r w:rsidRPr="00FA3856">
        <w:rPr>
          <w:rFonts w:ascii="Times New Roman" w:hAnsi="Times New Roman" w:cs="Times New Roman"/>
          <w:szCs w:val="20"/>
        </w:rPr>
        <w:t>2.</w:t>
      </w:r>
      <w:bookmarkStart w:id="131" w:name="subitem_15.1.7.VII"/>
      <w:bookmarkEnd w:id="131"/>
      <w:r w:rsidRPr="00FA3856">
        <w:rPr>
          <w:rFonts w:ascii="Times New Roman" w:hAnsi="Times New Roman" w:cs="Times New Roman"/>
          <w:szCs w:val="20"/>
        </w:rPr>
        <w:t xml:space="preserve"> laticínio (pasteurização e acondicionamento de leite; transf</w:t>
      </w:r>
      <w:bookmarkStart w:id="132" w:name="subitem_15.1.7.VIII"/>
      <w:bookmarkEnd w:id="132"/>
      <w:r w:rsidRPr="00FA3856">
        <w:rPr>
          <w:rFonts w:ascii="Times New Roman" w:hAnsi="Times New Roman" w:cs="Times New Roman"/>
          <w:szCs w:val="20"/>
        </w:rPr>
        <w:t>ormação de leite em queijo, manteiga e requeijão);</w:t>
      </w:r>
    </w:p>
    <w:p w:rsidR="00CD73D7" w:rsidRPr="00FA3856" w:rsidRDefault="00CD73D7" w:rsidP="00AF7983">
      <w:pPr>
        <w:pStyle w:val="NormalWeb"/>
        <w:spacing w:before="0" w:after="0"/>
        <w:ind w:left="1416" w:firstLine="708"/>
        <w:jc w:val="both"/>
        <w:rPr>
          <w:rFonts w:ascii="Times New Roman" w:hAnsi="Times New Roman" w:cs="Times New Roman"/>
          <w:szCs w:val="20"/>
        </w:rPr>
      </w:pPr>
      <w:r w:rsidRPr="00FA3856">
        <w:rPr>
          <w:rFonts w:ascii="Times New Roman" w:hAnsi="Times New Roman" w:cs="Times New Roman"/>
          <w:szCs w:val="20"/>
        </w:rPr>
        <w:t>3. produção de sucos de frutas acondicionados em embalagem de apresentação;</w:t>
      </w:r>
    </w:p>
    <w:p w:rsidR="00CD73D7" w:rsidRPr="00FA3856" w:rsidRDefault="00CD73D7" w:rsidP="00AF7983">
      <w:pPr>
        <w:pStyle w:val="NormalWeb"/>
        <w:spacing w:before="0" w:after="0"/>
        <w:ind w:left="1416" w:firstLine="708"/>
        <w:jc w:val="both"/>
        <w:rPr>
          <w:rFonts w:ascii="Times New Roman" w:hAnsi="Times New Roman" w:cs="Times New Roman"/>
          <w:szCs w:val="20"/>
        </w:rPr>
      </w:pPr>
      <w:r w:rsidRPr="00FA3856">
        <w:rPr>
          <w:rFonts w:ascii="Times New Roman" w:hAnsi="Times New Roman" w:cs="Times New Roman"/>
          <w:szCs w:val="20"/>
        </w:rPr>
        <w:t>4. produção de adubos orgânicos;</w:t>
      </w:r>
    </w:p>
    <w:p w:rsidR="00CD73D7" w:rsidRPr="00FA3856" w:rsidRDefault="00CD73D7" w:rsidP="00AF7983">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d) transformação de produtos florestais:</w:t>
      </w:r>
    </w:p>
    <w:p w:rsidR="00CD73D7" w:rsidRPr="00FA3856" w:rsidRDefault="00CD73D7" w:rsidP="00AF7983">
      <w:pPr>
        <w:pStyle w:val="NormalWeb"/>
        <w:spacing w:before="0" w:after="0"/>
        <w:ind w:left="1416" w:firstLine="708"/>
        <w:jc w:val="both"/>
        <w:rPr>
          <w:rFonts w:ascii="Times New Roman" w:hAnsi="Times New Roman" w:cs="Times New Roman"/>
          <w:szCs w:val="20"/>
        </w:rPr>
      </w:pPr>
      <w:r w:rsidRPr="00FA3856">
        <w:rPr>
          <w:rFonts w:ascii="Times New Roman" w:hAnsi="Times New Roman" w:cs="Times New Roman"/>
          <w:szCs w:val="20"/>
        </w:rPr>
        <w:t>1. produção de carvão vegetal;</w:t>
      </w:r>
    </w:p>
    <w:p w:rsidR="00CD73D7" w:rsidRPr="00FA3856" w:rsidRDefault="00CD73D7" w:rsidP="00AF7983">
      <w:pPr>
        <w:pStyle w:val="NormalWeb"/>
        <w:spacing w:before="0" w:after="0"/>
        <w:ind w:left="1416" w:firstLine="708"/>
        <w:jc w:val="both"/>
        <w:rPr>
          <w:rFonts w:ascii="Times New Roman" w:hAnsi="Times New Roman" w:cs="Times New Roman"/>
          <w:szCs w:val="20"/>
        </w:rPr>
      </w:pPr>
      <w:r w:rsidRPr="00FA3856">
        <w:rPr>
          <w:rFonts w:ascii="Times New Roman" w:hAnsi="Times New Roman" w:cs="Times New Roman"/>
          <w:szCs w:val="20"/>
        </w:rPr>
        <w:t>2. produção de lenha com árvores da propriedade rural;</w:t>
      </w:r>
    </w:p>
    <w:p w:rsidR="00CD73D7" w:rsidRPr="00FA3856" w:rsidRDefault="00CD73D7" w:rsidP="00AF7983">
      <w:pPr>
        <w:pStyle w:val="NormalWeb"/>
        <w:spacing w:before="0" w:after="0"/>
        <w:ind w:left="1416" w:firstLine="708"/>
        <w:jc w:val="both"/>
        <w:rPr>
          <w:rFonts w:ascii="Times New Roman" w:hAnsi="Times New Roman" w:cs="Times New Roman"/>
          <w:szCs w:val="20"/>
        </w:rPr>
      </w:pPr>
      <w:r w:rsidRPr="00FA3856">
        <w:rPr>
          <w:rFonts w:ascii="Times New Roman" w:hAnsi="Times New Roman" w:cs="Times New Roman"/>
          <w:szCs w:val="20"/>
        </w:rPr>
        <w:t xml:space="preserve">3. venda de pinheiros e madeira de árvores plantadas na propriedade rural; </w:t>
      </w:r>
    </w:p>
    <w:p w:rsidR="00CD73D7" w:rsidRPr="00FA3856" w:rsidRDefault="00CD73D7" w:rsidP="00AF7983">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e) produção de embriões de rebanho em geral, alevinos e girinos, em propriedade rural, independentemente de sua destinação (reprodução ou comercialização).</w:t>
      </w:r>
    </w:p>
    <w:p w:rsidR="00AF7983" w:rsidRPr="00FA3856" w:rsidRDefault="00AF7983" w:rsidP="001A6818">
      <w:pPr>
        <w:pStyle w:val="NormalWeb"/>
        <w:spacing w:before="0" w:after="0"/>
        <w:jc w:val="both"/>
        <w:rPr>
          <w:rFonts w:ascii="Times New Roman" w:hAnsi="Times New Roman" w:cs="Times New Roman"/>
          <w:szCs w:val="20"/>
        </w:rPr>
      </w:pPr>
    </w:p>
    <w:p w:rsidR="00CD73D7" w:rsidRPr="00FA3856" w:rsidRDefault="00CD73D7" w:rsidP="00AF7983">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 xml:space="preserve">A atividade de captura de pescado </w:t>
      </w:r>
      <w:r w:rsidRPr="00FA3856">
        <w:rPr>
          <w:rFonts w:ascii="Times New Roman" w:hAnsi="Times New Roman" w:cs="Times New Roman"/>
          <w:i/>
          <w:iCs/>
          <w:szCs w:val="20"/>
        </w:rPr>
        <w:t>in natura</w:t>
      </w:r>
      <w:r w:rsidRPr="00FA3856">
        <w:rPr>
          <w:rFonts w:ascii="Times New Roman" w:hAnsi="Times New Roman" w:cs="Times New Roman"/>
          <w:szCs w:val="20"/>
        </w:rPr>
        <w:t xml:space="preserve"> é considerada extração animal, desde que a exploração se faça com apetrechos semelhantes aos da pesca artesanal (arrastões de praia, rede de cerca, etc.), inclusive a exploração em regime de parceria.</w:t>
      </w:r>
    </w:p>
    <w:p w:rsidR="00AF7983" w:rsidRPr="00FA3856" w:rsidRDefault="00AF7983" w:rsidP="001A6818">
      <w:pPr>
        <w:pStyle w:val="NormalWeb"/>
        <w:spacing w:before="0" w:after="0"/>
        <w:jc w:val="both"/>
        <w:rPr>
          <w:rFonts w:ascii="Times New Roman" w:hAnsi="Times New Roman" w:cs="Times New Roman"/>
          <w:szCs w:val="20"/>
        </w:rPr>
      </w:pPr>
    </w:p>
    <w:p w:rsidR="00CD73D7" w:rsidRPr="00FA3856" w:rsidRDefault="00CD73D7" w:rsidP="00AF7983">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 xml:space="preserve">Considera-se unidade rural, para fins do imposto de renda, a embarcação para captura </w:t>
      </w:r>
      <w:r w:rsidRPr="00FA3856">
        <w:rPr>
          <w:rFonts w:ascii="Times New Roman" w:hAnsi="Times New Roman" w:cs="Times New Roman"/>
          <w:i/>
          <w:iCs/>
          <w:szCs w:val="20"/>
        </w:rPr>
        <w:t>in natura</w:t>
      </w:r>
      <w:r w:rsidRPr="00FA3856">
        <w:rPr>
          <w:rFonts w:ascii="Times New Roman" w:hAnsi="Times New Roman" w:cs="Times New Roman"/>
          <w:szCs w:val="20"/>
        </w:rPr>
        <w:t xml:space="preserve"> do pescado, e o imóvel, ou qualquer lugar, utilizado para exploração ininterrupta da atividade rural.</w:t>
      </w:r>
    </w:p>
    <w:p w:rsidR="00CD73D7" w:rsidRPr="00FA3856" w:rsidRDefault="00CD73D7" w:rsidP="001A6818">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Não se considera atividade rural:</w:t>
      </w:r>
    </w:p>
    <w:p w:rsidR="00AF7983" w:rsidRPr="00FA3856" w:rsidRDefault="00AF7983" w:rsidP="001A6818">
      <w:pPr>
        <w:pStyle w:val="NormalWeb"/>
        <w:spacing w:before="0" w:after="0"/>
        <w:jc w:val="both"/>
        <w:rPr>
          <w:rFonts w:ascii="Times New Roman" w:hAnsi="Times New Roman" w:cs="Times New Roman"/>
          <w:szCs w:val="20"/>
        </w:rPr>
      </w:pPr>
    </w:p>
    <w:p w:rsidR="00CD73D7" w:rsidRPr="00FA3856" w:rsidRDefault="00CD73D7" w:rsidP="00AF7983">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I - a industrialização de produtos, tais como bebidas alcoólicas em geral, óleos essenciais, arroz beneficiado em máquinas industriais, fabricação de vinho com uvas ou frutas;</w:t>
      </w:r>
    </w:p>
    <w:p w:rsidR="00CD73D7" w:rsidRPr="00FA3856" w:rsidRDefault="00CD73D7" w:rsidP="00AF7983">
      <w:pPr>
        <w:pStyle w:val="NormalWeb"/>
        <w:spacing w:before="0" w:after="0"/>
        <w:ind w:left="708"/>
        <w:jc w:val="both"/>
        <w:rPr>
          <w:rFonts w:ascii="Times New Roman" w:hAnsi="Times New Roman" w:cs="Times New Roman"/>
          <w:szCs w:val="20"/>
        </w:rPr>
      </w:pPr>
      <w:r w:rsidRPr="00FA3856">
        <w:rPr>
          <w:rFonts w:ascii="Times New Roman" w:hAnsi="Times New Roman" w:cs="Times New Roman"/>
          <w:szCs w:val="20"/>
        </w:rPr>
        <w:t>II - a comercialização de produtos rurais de terceiros e a compra e venda de rebanho com permanência em poder da pessoa jurídica rural em prazo inferior a 52 (cinquenta e dois) dias, quando em regime de confinamento, ou 138 (cento e trinta e oito) dias, nos demais casos;</w:t>
      </w:r>
    </w:p>
    <w:p w:rsidR="00CD73D7" w:rsidRPr="00FA3856" w:rsidRDefault="00CD73D7" w:rsidP="00AF7983">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 xml:space="preserve">III - o beneficiamento ou a industrialização de pescado </w:t>
      </w:r>
      <w:r w:rsidRPr="00FA3856">
        <w:rPr>
          <w:rFonts w:ascii="Times New Roman" w:hAnsi="Times New Roman" w:cs="Times New Roman"/>
          <w:i/>
          <w:iCs/>
          <w:szCs w:val="20"/>
        </w:rPr>
        <w:t>in natura</w:t>
      </w:r>
      <w:r w:rsidRPr="00FA3856">
        <w:rPr>
          <w:rFonts w:ascii="Times New Roman" w:hAnsi="Times New Roman" w:cs="Times New Roman"/>
          <w:szCs w:val="20"/>
        </w:rPr>
        <w:t>;</w:t>
      </w:r>
    </w:p>
    <w:p w:rsidR="00CD73D7" w:rsidRPr="00FA3856" w:rsidRDefault="00CD73D7" w:rsidP="00AF7983">
      <w:pPr>
        <w:pStyle w:val="NormalWeb"/>
        <w:spacing w:before="0" w:after="0"/>
        <w:ind w:left="708"/>
        <w:jc w:val="both"/>
        <w:rPr>
          <w:rFonts w:ascii="Times New Roman" w:hAnsi="Times New Roman" w:cs="Times New Roman"/>
          <w:szCs w:val="20"/>
        </w:rPr>
      </w:pPr>
      <w:r w:rsidRPr="00FA3856">
        <w:rPr>
          <w:rFonts w:ascii="Times New Roman" w:hAnsi="Times New Roman" w:cs="Times New Roman"/>
          <w:szCs w:val="20"/>
        </w:rPr>
        <w:t xml:space="preserve">IV - o ganho auferido pela pessoa jurídica rural proprietária de rebanho, entregue, mediante contrato por escrito, à outra parte contratante (simples possuidora do rebanho) para o fim específico de procriação, ainda que o rendimento seja predeterminado em número de animais; </w:t>
      </w:r>
    </w:p>
    <w:p w:rsidR="00CD73D7" w:rsidRPr="00FA3856" w:rsidRDefault="00CD73D7" w:rsidP="00AF7983">
      <w:pPr>
        <w:pStyle w:val="NormalWeb"/>
        <w:spacing w:before="0" w:after="0"/>
        <w:ind w:left="708"/>
        <w:jc w:val="both"/>
        <w:rPr>
          <w:rFonts w:ascii="Times New Roman" w:hAnsi="Times New Roman" w:cs="Times New Roman"/>
          <w:szCs w:val="20"/>
        </w:rPr>
      </w:pPr>
      <w:r w:rsidRPr="00FA3856">
        <w:rPr>
          <w:rFonts w:ascii="Times New Roman" w:hAnsi="Times New Roman" w:cs="Times New Roman"/>
          <w:szCs w:val="20"/>
        </w:rPr>
        <w:t>V - as receitas provenientes do aluguel ou arrendamento de máquinas, equipamentos agrícolas e pastagens, e da prestação de serviços em geral, inclusive a de transporte de produtos de terceiros;</w:t>
      </w:r>
    </w:p>
    <w:p w:rsidR="00CD73D7" w:rsidRPr="00FA3856" w:rsidRDefault="00CD73D7" w:rsidP="00AF7983">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VI - as receitas decorrentes da venda de recursos minerais extraídos da propriedade rural, tais como metal nobre, pedras preciosas, areia, aterro e pedreiras;</w:t>
      </w:r>
    </w:p>
    <w:p w:rsidR="00CD73D7" w:rsidRPr="00FA3856" w:rsidRDefault="00CD73D7" w:rsidP="00AF7983">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VII - as receitas financeiras de aplicações de recursos no período compreendido entre dois ciclos de produção;</w:t>
      </w:r>
    </w:p>
    <w:p w:rsidR="00CD73D7" w:rsidRPr="00FA3856" w:rsidRDefault="00CD73D7" w:rsidP="00AF7983">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VIII - os valores dos prêmios ganhos a qualquer título pelos animais que participarem em concursos, competições, feiras e exposições;</w:t>
      </w:r>
    </w:p>
    <w:p w:rsidR="00CD73D7" w:rsidRPr="00FA3856" w:rsidRDefault="00CD73D7" w:rsidP="00AF7983">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IX - os prêmios recebidos de entidades promotoras de competições hípicas pelos proprietários, criadores e profissionais do turfe;</w:t>
      </w:r>
    </w:p>
    <w:p w:rsidR="00AF7983" w:rsidRPr="00FA3856" w:rsidRDefault="00CD73D7" w:rsidP="00AF7983">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X - as receitas oriundas da exploração do turismo rural e de hotel fazenda.</w:t>
      </w:r>
    </w:p>
    <w:p w:rsidR="00CD73D7" w:rsidRPr="00FA3856" w:rsidRDefault="00CD73D7" w:rsidP="001A6818">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lastRenderedPageBreak/>
        <w:t>Segregação de receitas</w:t>
      </w:r>
      <w:r w:rsidR="00AF7983" w:rsidRPr="00FA3856">
        <w:rPr>
          <w:rFonts w:ascii="Times New Roman" w:hAnsi="Times New Roman" w:cs="Times New Roman"/>
          <w:szCs w:val="20"/>
        </w:rPr>
        <w:t xml:space="preserve">: </w:t>
      </w:r>
      <w:r w:rsidRPr="00FA3856">
        <w:rPr>
          <w:rFonts w:ascii="Times New Roman" w:hAnsi="Times New Roman" w:cs="Times New Roman"/>
          <w:szCs w:val="20"/>
        </w:rPr>
        <w:t>A pessoa jurídica rural que explorar outras atividades deve segregar, contabilmente, as receitas, os custos e as despesas referentes à atividade rural das demais atividades e demonstrar, no Livro de Apuração do Lucro Real (Lalur), separadamente, o lucro ou prejuízo contábil e o lucro ou prejuízo fiscal dessas atividades.</w:t>
      </w:r>
    </w:p>
    <w:p w:rsidR="00AF7983" w:rsidRPr="00FA3856" w:rsidRDefault="00AF7983" w:rsidP="001A6818">
      <w:pPr>
        <w:pStyle w:val="NormalWeb"/>
        <w:spacing w:before="0" w:after="0"/>
        <w:jc w:val="both"/>
        <w:rPr>
          <w:rFonts w:ascii="Times New Roman" w:hAnsi="Times New Roman" w:cs="Times New Roman"/>
          <w:szCs w:val="20"/>
        </w:rPr>
      </w:pPr>
    </w:p>
    <w:p w:rsidR="00CD73D7" w:rsidRPr="00FA3856" w:rsidRDefault="00CD73D7" w:rsidP="00AF7983">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pessoa jurídica rural deve ratear proporcionalmente à percentagem que a receita líquida de cada atividade representar em relação à receita líquida total:</w:t>
      </w:r>
    </w:p>
    <w:p w:rsidR="00AF7983" w:rsidRPr="00FA3856" w:rsidRDefault="00AF7983" w:rsidP="001A6818">
      <w:pPr>
        <w:pStyle w:val="NormalWeb"/>
        <w:spacing w:before="0" w:after="0"/>
        <w:jc w:val="both"/>
        <w:rPr>
          <w:rFonts w:ascii="Times New Roman" w:hAnsi="Times New Roman" w:cs="Times New Roman"/>
          <w:szCs w:val="20"/>
        </w:rPr>
      </w:pPr>
    </w:p>
    <w:p w:rsidR="00CD73D7" w:rsidRPr="00FA3856" w:rsidRDefault="00CD73D7" w:rsidP="00AF7983">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I - os custos e as despesas, comuns a todas as atividades;</w:t>
      </w:r>
    </w:p>
    <w:p w:rsidR="00CD73D7" w:rsidRPr="00FA3856" w:rsidRDefault="00CD73D7" w:rsidP="00AF7983">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II - os custos e as despesas não dedutíveis, comuns a todas as atividades, a serem adicionados ao lucro líquido, na determinação do lucro real;</w:t>
      </w:r>
    </w:p>
    <w:p w:rsidR="00CD73D7" w:rsidRPr="00FA3856" w:rsidRDefault="00CD73D7" w:rsidP="00AF7983">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 xml:space="preserve">III - os demais valores comuns a todas as atividades, que devam ser computados no lucro real. </w:t>
      </w:r>
    </w:p>
    <w:p w:rsidR="00AF7983" w:rsidRPr="00FA3856" w:rsidRDefault="00AF7983" w:rsidP="001A6818">
      <w:pPr>
        <w:pStyle w:val="NormalWeb"/>
        <w:spacing w:before="0" w:after="0"/>
        <w:jc w:val="both"/>
        <w:rPr>
          <w:rFonts w:ascii="Times New Roman" w:hAnsi="Times New Roman" w:cs="Times New Roman"/>
          <w:szCs w:val="20"/>
        </w:rPr>
      </w:pPr>
    </w:p>
    <w:p w:rsidR="00CD73D7" w:rsidRPr="00FA3856" w:rsidRDefault="00CD73D7" w:rsidP="00AF7983">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Na hipótese de a pessoa jurídica rural não possuir receita líquida no ano-calendário, a determinação da percentagem é efetuada com base nos custos ou despesas de cada atividade explorada.</w:t>
      </w:r>
    </w:p>
    <w:p w:rsidR="00AF7983" w:rsidRPr="00FA3856" w:rsidRDefault="00AF7983" w:rsidP="001A6818">
      <w:pPr>
        <w:pStyle w:val="NormalWeb"/>
        <w:spacing w:before="0" w:after="0"/>
        <w:jc w:val="both"/>
        <w:rPr>
          <w:rFonts w:ascii="Times New Roman" w:hAnsi="Times New Roman" w:cs="Times New Roman"/>
          <w:szCs w:val="20"/>
        </w:rPr>
      </w:pPr>
    </w:p>
    <w:p w:rsidR="00CD73D7" w:rsidRPr="00FA3856" w:rsidRDefault="00CD73D7" w:rsidP="00AF7983">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Os bens do ativo permanente imobilizado, exceto a terra nua, adquiridos por pessoa jurídica rural para uso nessa atividade podem ser depreciados integralmente no próprio ano de aquisição.</w:t>
      </w:r>
    </w:p>
    <w:p w:rsidR="00AF7983" w:rsidRPr="00FA3856" w:rsidRDefault="00AF7983" w:rsidP="001A6818">
      <w:pPr>
        <w:pStyle w:val="NormalWeb"/>
        <w:spacing w:before="0" w:after="0"/>
        <w:jc w:val="both"/>
        <w:rPr>
          <w:rFonts w:ascii="Times New Roman" w:hAnsi="Times New Roman" w:cs="Times New Roman"/>
          <w:szCs w:val="20"/>
        </w:rPr>
      </w:pPr>
    </w:p>
    <w:p w:rsidR="00CD73D7" w:rsidRPr="00FA3856" w:rsidRDefault="00CD73D7" w:rsidP="00AF7983">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O encargo de depreciação dos bens, calculado à taxa normal, deve ser registrado na escrituração comercial, e o complemento para atingir o valor integral do bem constituirá exclusão para fins de determinação da base de cálculo do imposto correspondente à atividade rural.</w:t>
      </w:r>
    </w:p>
    <w:p w:rsidR="00AF7983" w:rsidRPr="00FA3856" w:rsidRDefault="00AF7983" w:rsidP="001A6818">
      <w:pPr>
        <w:pStyle w:val="NormalWeb"/>
        <w:spacing w:before="0" w:after="0"/>
        <w:jc w:val="both"/>
        <w:rPr>
          <w:rFonts w:ascii="Times New Roman" w:hAnsi="Times New Roman" w:cs="Times New Roman"/>
          <w:szCs w:val="20"/>
        </w:rPr>
      </w:pPr>
    </w:p>
    <w:p w:rsidR="00CD73D7" w:rsidRPr="00FA3856" w:rsidRDefault="00CD73D7" w:rsidP="00AF7983">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O valor a ser excluído, correspondente à atividade rural, é igual à diferença entre o custo de aquisição do bem do ativo permanente destinado à atividade rural e o respectivo encargo de depreciação normal escriturado durante o período de apuração do imposto, e deve ser controlado na Parte B do Lalur.</w:t>
      </w:r>
    </w:p>
    <w:p w:rsidR="00AF7983" w:rsidRPr="00FA3856" w:rsidRDefault="00AF7983" w:rsidP="001A6818">
      <w:pPr>
        <w:pStyle w:val="NormalWeb"/>
        <w:spacing w:before="0" w:after="0"/>
        <w:jc w:val="both"/>
        <w:rPr>
          <w:rFonts w:ascii="Times New Roman" w:hAnsi="Times New Roman" w:cs="Times New Roman"/>
          <w:szCs w:val="20"/>
        </w:rPr>
      </w:pPr>
    </w:p>
    <w:p w:rsidR="00CD73D7" w:rsidRPr="00FA3856" w:rsidRDefault="00CD73D7" w:rsidP="00AF7983">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partir do período de apuração seguinte ao da aquisição do bem, o encargo de depreciação normal que vier a ser registrado na escrituração comercial deve ser adicionado ao resultado líquido correspondente à atividade rural, efetuando-se a baixa do respectivo valor no saldo da depreciação incentivada controlado na Parte B do Lalur.</w:t>
      </w:r>
    </w:p>
    <w:p w:rsidR="00AF7983" w:rsidRPr="00FA3856" w:rsidRDefault="00AF7983" w:rsidP="001A6818">
      <w:pPr>
        <w:pStyle w:val="NormalWeb"/>
        <w:spacing w:before="0" w:after="0"/>
        <w:jc w:val="both"/>
        <w:rPr>
          <w:rFonts w:ascii="Times New Roman" w:hAnsi="Times New Roman" w:cs="Times New Roman"/>
          <w:szCs w:val="20"/>
        </w:rPr>
      </w:pPr>
    </w:p>
    <w:p w:rsidR="00CD73D7" w:rsidRPr="00FA3856" w:rsidRDefault="00CD73D7" w:rsidP="00AF7983">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O total da depreciação acumulada, incluindo a normal e a complementar, não pode ultrapassar o custo de aquisição do bem.</w:t>
      </w:r>
    </w:p>
    <w:p w:rsidR="00AF7983" w:rsidRPr="00FA3856" w:rsidRDefault="00AF7983" w:rsidP="001A6818">
      <w:pPr>
        <w:pStyle w:val="NormalWeb"/>
        <w:spacing w:before="0" w:after="0"/>
        <w:jc w:val="both"/>
        <w:rPr>
          <w:rFonts w:ascii="Times New Roman" w:hAnsi="Times New Roman" w:cs="Times New Roman"/>
          <w:szCs w:val="20"/>
        </w:rPr>
      </w:pPr>
    </w:p>
    <w:p w:rsidR="00CD73D7" w:rsidRPr="00FA3856" w:rsidRDefault="00CD73D7" w:rsidP="00AF7983">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 xml:space="preserve">No caso de alienação dos bens, o saldo da depreciação complementar existente na Parte B do Lalur deve ser adicionado ao resultado líquido da atividade rural no período de apuração da alienação. </w:t>
      </w:r>
    </w:p>
    <w:p w:rsidR="00AF7983" w:rsidRPr="00FA3856" w:rsidRDefault="00AF7983" w:rsidP="001A6818">
      <w:pPr>
        <w:pStyle w:val="NormalWeb"/>
        <w:spacing w:before="0" w:after="0"/>
        <w:jc w:val="both"/>
        <w:rPr>
          <w:rFonts w:ascii="Times New Roman" w:hAnsi="Times New Roman" w:cs="Times New Roman"/>
          <w:szCs w:val="20"/>
        </w:rPr>
      </w:pPr>
    </w:p>
    <w:p w:rsidR="00CD73D7" w:rsidRPr="00FA3856" w:rsidRDefault="00CD73D7" w:rsidP="00AF7983">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Não faz jus ao benefício a pessoa jurídica rural que direcionar a utilização do bem exclusivamente para outras atividades estranhas à atividade rural própria.</w:t>
      </w:r>
    </w:p>
    <w:p w:rsidR="00AF7983" w:rsidRPr="00FA3856" w:rsidRDefault="00AF7983" w:rsidP="001A6818">
      <w:pPr>
        <w:pStyle w:val="NormalWeb"/>
        <w:spacing w:before="0" w:after="0"/>
        <w:jc w:val="both"/>
        <w:rPr>
          <w:rFonts w:ascii="Times New Roman" w:hAnsi="Times New Roman" w:cs="Times New Roman"/>
          <w:szCs w:val="20"/>
        </w:rPr>
      </w:pPr>
    </w:p>
    <w:p w:rsidR="00CD73D7" w:rsidRPr="00FA3856" w:rsidRDefault="00CD73D7" w:rsidP="00AF7983">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No período de apuração em que o bem já totalmente depreciado, em virtude da depreciação incentivada, for desviado exclusivamente para outras atividades, deve ser adicionado ao resultado líquido da atividade rural o saldo da depreciação complementar existente na Parte B do Lalur.</w:t>
      </w:r>
    </w:p>
    <w:p w:rsidR="00AF7983" w:rsidRPr="00FA3856" w:rsidRDefault="00AF7983" w:rsidP="001A6818">
      <w:pPr>
        <w:pStyle w:val="NormalWeb"/>
        <w:spacing w:before="0" w:after="0"/>
        <w:jc w:val="both"/>
        <w:rPr>
          <w:rFonts w:ascii="Times New Roman" w:hAnsi="Times New Roman" w:cs="Times New Roman"/>
          <w:szCs w:val="20"/>
        </w:rPr>
      </w:pPr>
    </w:p>
    <w:p w:rsidR="00CD73D7" w:rsidRPr="00FA3856" w:rsidRDefault="00CD73D7" w:rsidP="00AF7983">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Retornando o bem a ser utilizado na produção rural própria da pessoa jurídica, esta pode voltar a fazer jus ao benefício da depreciação incentivada, excluindo do resultado líquido da atividade rural, no período, a diferença entre o custo de aquisição do bem e a depreciação acumulada até a época, fazendo os devidos registros na Parte B do Lalur.</w:t>
      </w:r>
    </w:p>
    <w:p w:rsidR="00AF7983" w:rsidRPr="00FA3856" w:rsidRDefault="00AF7983" w:rsidP="001A6818">
      <w:pPr>
        <w:pStyle w:val="NormalWeb"/>
        <w:spacing w:before="0" w:after="0"/>
        <w:jc w:val="both"/>
        <w:rPr>
          <w:rFonts w:ascii="Times New Roman" w:hAnsi="Times New Roman" w:cs="Times New Roman"/>
          <w:b/>
          <w:bCs/>
          <w:szCs w:val="20"/>
        </w:rPr>
      </w:pPr>
    </w:p>
    <w:p w:rsidR="00AF7983" w:rsidRPr="00FA3856" w:rsidRDefault="00AF7983">
      <w:pPr>
        <w:spacing w:after="200" w:line="276" w:lineRule="auto"/>
        <w:rPr>
          <w:rFonts w:eastAsia="Arial Unicode MS"/>
          <w:b/>
          <w:bCs/>
          <w:szCs w:val="20"/>
          <w:lang w:eastAsia="ar-SA"/>
        </w:rPr>
      </w:pPr>
      <w:r w:rsidRPr="00FA3856">
        <w:rPr>
          <w:b/>
          <w:bCs/>
          <w:szCs w:val="20"/>
        </w:rPr>
        <w:br w:type="page"/>
      </w:r>
    </w:p>
    <w:p w:rsidR="00CD73D7" w:rsidRPr="00FA3856" w:rsidRDefault="00B14A83" w:rsidP="001A6818">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lastRenderedPageBreak/>
        <w:t xml:space="preserve">I.8) </w:t>
      </w:r>
      <w:r w:rsidR="00CD73D7" w:rsidRPr="00FA3856">
        <w:rPr>
          <w:rFonts w:ascii="Times New Roman" w:hAnsi="Times New Roman" w:cs="Times New Roman"/>
          <w:b/>
          <w:bCs/>
          <w:i/>
          <w:iCs/>
          <w:szCs w:val="20"/>
        </w:rPr>
        <w:t>Royalties</w:t>
      </w:r>
      <w:r w:rsidR="00CD73D7" w:rsidRPr="00FA3856">
        <w:rPr>
          <w:rFonts w:ascii="Times New Roman" w:hAnsi="Times New Roman" w:cs="Times New Roman"/>
          <w:b/>
          <w:bCs/>
          <w:szCs w:val="20"/>
        </w:rPr>
        <w:t xml:space="preserve"> e Assistência Técnica (Trimestral e Anual) </w:t>
      </w:r>
    </w:p>
    <w:p w:rsidR="00AF7983" w:rsidRPr="00FA3856" w:rsidRDefault="00AF7983" w:rsidP="001A6818">
      <w:pPr>
        <w:pStyle w:val="NormalWeb"/>
        <w:spacing w:before="0" w:after="0"/>
        <w:jc w:val="both"/>
        <w:rPr>
          <w:rFonts w:ascii="Times New Roman" w:hAnsi="Times New Roman" w:cs="Times New Roman"/>
          <w:szCs w:val="20"/>
        </w:rPr>
      </w:pPr>
    </w:p>
    <w:p w:rsidR="00CD73D7" w:rsidRPr="00FA3856" w:rsidRDefault="00CD73D7" w:rsidP="00AF7983">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 xml:space="preserve">A dedução de despesas com </w:t>
      </w:r>
      <w:r w:rsidRPr="00FA3856">
        <w:rPr>
          <w:rFonts w:ascii="Times New Roman" w:hAnsi="Times New Roman" w:cs="Times New Roman"/>
          <w:i/>
          <w:iCs/>
          <w:szCs w:val="20"/>
        </w:rPr>
        <w:t>royalties</w:t>
      </w:r>
      <w:r w:rsidRPr="00FA3856">
        <w:rPr>
          <w:rFonts w:ascii="Times New Roman" w:hAnsi="Times New Roman" w:cs="Times New Roman"/>
          <w:szCs w:val="20"/>
        </w:rPr>
        <w:t xml:space="preserve"> é admitida quando necessárias para que o contribuinte mantenha a posse, uso ou fruição do bem ou direito que produz o rendimento (Lei n</w:t>
      </w:r>
      <w:r w:rsidRPr="00FA3856">
        <w:rPr>
          <w:rFonts w:ascii="Times New Roman" w:hAnsi="Times New Roman" w:cs="Times New Roman"/>
          <w:strike/>
          <w:szCs w:val="20"/>
        </w:rPr>
        <w:t>º</w:t>
      </w:r>
      <w:r w:rsidRPr="00FA3856">
        <w:rPr>
          <w:rFonts w:ascii="Times New Roman" w:hAnsi="Times New Roman" w:cs="Times New Roman"/>
          <w:szCs w:val="20"/>
        </w:rPr>
        <w:t xml:space="preserve"> 4.506, de 1964, art. 71).</w:t>
      </w:r>
    </w:p>
    <w:p w:rsidR="00D4016B" w:rsidRPr="00FA3856" w:rsidRDefault="00D4016B" w:rsidP="001A6818">
      <w:pPr>
        <w:pStyle w:val="NormalWeb"/>
        <w:spacing w:before="0" w:after="0"/>
        <w:jc w:val="both"/>
        <w:rPr>
          <w:rFonts w:ascii="Times New Roman" w:hAnsi="Times New Roman" w:cs="Times New Roman"/>
          <w:szCs w:val="20"/>
        </w:rPr>
      </w:pPr>
    </w:p>
    <w:p w:rsidR="00CD73D7" w:rsidRPr="00FA3856" w:rsidRDefault="00CD73D7" w:rsidP="00D4016B">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Não são dedutíveis (Lei n</w:t>
      </w:r>
      <w:r w:rsidRPr="00FA3856">
        <w:rPr>
          <w:rFonts w:ascii="Times New Roman" w:hAnsi="Times New Roman" w:cs="Times New Roman"/>
          <w:strike/>
          <w:szCs w:val="20"/>
        </w:rPr>
        <w:t>º</w:t>
      </w:r>
      <w:r w:rsidRPr="00FA3856">
        <w:rPr>
          <w:rFonts w:ascii="Times New Roman" w:hAnsi="Times New Roman" w:cs="Times New Roman"/>
          <w:szCs w:val="20"/>
        </w:rPr>
        <w:t xml:space="preserve"> 4.506, de 1964, art. 71, parágrafo único):</w:t>
      </w:r>
    </w:p>
    <w:p w:rsidR="00D4016B" w:rsidRPr="00FA3856" w:rsidRDefault="00D4016B" w:rsidP="001A6818">
      <w:pPr>
        <w:pStyle w:val="NormalWeb"/>
        <w:spacing w:before="0" w:after="0"/>
        <w:jc w:val="both"/>
        <w:rPr>
          <w:rFonts w:ascii="Times New Roman" w:hAnsi="Times New Roman" w:cs="Times New Roman"/>
          <w:szCs w:val="20"/>
        </w:rPr>
      </w:pPr>
    </w:p>
    <w:p w:rsidR="00CD73D7" w:rsidRPr="00FA3856" w:rsidRDefault="00CD73D7" w:rsidP="00D4016B">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 xml:space="preserve">I - os </w:t>
      </w:r>
      <w:r w:rsidRPr="00FA3856">
        <w:rPr>
          <w:rFonts w:ascii="Times New Roman" w:hAnsi="Times New Roman" w:cs="Times New Roman"/>
          <w:i/>
          <w:iCs/>
          <w:szCs w:val="20"/>
        </w:rPr>
        <w:t>royalties</w:t>
      </w:r>
      <w:r w:rsidRPr="00FA3856">
        <w:rPr>
          <w:rFonts w:ascii="Times New Roman" w:hAnsi="Times New Roman" w:cs="Times New Roman"/>
          <w:szCs w:val="20"/>
        </w:rPr>
        <w:t xml:space="preserve"> pagos a sócios, pessoas físicas ou jurídicas, ou dirigentes de empresas, e a seus parentes ou dependentes;</w:t>
      </w:r>
    </w:p>
    <w:p w:rsidR="00CD73D7" w:rsidRPr="00FA3856" w:rsidRDefault="00CD73D7" w:rsidP="00D4016B">
      <w:pPr>
        <w:pStyle w:val="NormalWeb"/>
        <w:spacing w:before="0" w:after="0"/>
        <w:ind w:left="708"/>
        <w:jc w:val="both"/>
        <w:rPr>
          <w:rFonts w:ascii="Times New Roman" w:hAnsi="Times New Roman" w:cs="Times New Roman"/>
          <w:szCs w:val="20"/>
        </w:rPr>
      </w:pPr>
      <w:r w:rsidRPr="00FA3856">
        <w:rPr>
          <w:rFonts w:ascii="Times New Roman" w:hAnsi="Times New Roman" w:cs="Times New Roman"/>
          <w:szCs w:val="20"/>
        </w:rPr>
        <w:t>II - as importâncias pagas a terceiros para adquirir os direitos de uso de um bem ou direito e os pagamentos para extensão ou modificação do contrato, que constituirão aplicação de capital amortizável durante o prazo do contrato;</w:t>
      </w:r>
    </w:p>
    <w:p w:rsidR="00CD73D7" w:rsidRPr="00FA3856" w:rsidRDefault="00CD73D7" w:rsidP="00D4016B">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 xml:space="preserve">III - os </w:t>
      </w:r>
      <w:r w:rsidRPr="00FA3856">
        <w:rPr>
          <w:rFonts w:ascii="Times New Roman" w:hAnsi="Times New Roman" w:cs="Times New Roman"/>
          <w:i/>
          <w:iCs/>
          <w:szCs w:val="20"/>
        </w:rPr>
        <w:t>royalties</w:t>
      </w:r>
      <w:r w:rsidRPr="00FA3856">
        <w:rPr>
          <w:rFonts w:ascii="Times New Roman" w:hAnsi="Times New Roman" w:cs="Times New Roman"/>
          <w:szCs w:val="20"/>
        </w:rPr>
        <w:t xml:space="preserve"> pagos pelo uso de patentes de invenção, processos e fórmulas de fabricação, ou pelo uso de marcas de indústria ou de comércio, quando:</w:t>
      </w:r>
    </w:p>
    <w:p w:rsidR="00CD73D7" w:rsidRPr="00FA3856" w:rsidRDefault="00CD73D7" w:rsidP="00D4016B">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a</w:t>
      </w:r>
      <w:bookmarkStart w:id="133" w:name="subitem_15.1.8"/>
      <w:bookmarkEnd w:id="133"/>
      <w:r w:rsidRPr="00FA3856">
        <w:rPr>
          <w:rFonts w:ascii="Times New Roman" w:hAnsi="Times New Roman" w:cs="Times New Roman"/>
          <w:szCs w:val="20"/>
        </w:rPr>
        <w:t>) pagos pela filial no Brasil de empresa com sede no exterior, em benefício de sua matriz;</w:t>
      </w:r>
    </w:p>
    <w:p w:rsidR="00CD73D7" w:rsidRPr="00FA3856" w:rsidRDefault="00CD73D7" w:rsidP="00D4016B">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b) pagos pela sociedade com sede no Brasil a pessoa com domicílio no exterior que mantenha, direta ou indiretamente, controle do seu capital com direito a voto.</w:t>
      </w:r>
    </w:p>
    <w:p w:rsidR="00D4016B" w:rsidRPr="00FA3856" w:rsidRDefault="00D4016B" w:rsidP="001A6818">
      <w:pPr>
        <w:pStyle w:val="NormalWeb"/>
        <w:spacing w:before="0" w:after="0"/>
        <w:ind w:left="600"/>
        <w:jc w:val="both"/>
        <w:rPr>
          <w:rFonts w:ascii="Times New Roman" w:hAnsi="Times New Roman" w:cs="Times New Roman"/>
          <w:b/>
          <w:bCs/>
          <w:szCs w:val="20"/>
        </w:rPr>
      </w:pPr>
    </w:p>
    <w:p w:rsidR="00CD73D7" w:rsidRPr="00FA3856" w:rsidRDefault="00CD73D7" w:rsidP="00D4016B">
      <w:pPr>
        <w:pStyle w:val="NormalWeb"/>
        <w:spacing w:before="0" w:after="0"/>
        <w:ind w:left="708"/>
        <w:jc w:val="both"/>
        <w:rPr>
          <w:rFonts w:ascii="Times New Roman" w:hAnsi="Times New Roman" w:cs="Times New Roman"/>
          <w:szCs w:val="20"/>
        </w:rPr>
      </w:pPr>
      <w:r w:rsidRPr="00FA3856">
        <w:rPr>
          <w:rFonts w:ascii="Times New Roman" w:hAnsi="Times New Roman" w:cs="Times New Roman"/>
          <w:b/>
          <w:bCs/>
          <w:szCs w:val="20"/>
        </w:rPr>
        <w:t>Atenção:</w:t>
      </w:r>
      <w:r w:rsidR="00D4016B" w:rsidRPr="00FA3856">
        <w:rPr>
          <w:rFonts w:ascii="Times New Roman" w:hAnsi="Times New Roman" w:cs="Times New Roman"/>
          <w:szCs w:val="20"/>
        </w:rPr>
        <w:t xml:space="preserve"> </w:t>
      </w:r>
      <w:r w:rsidRPr="00FA3856">
        <w:rPr>
          <w:rFonts w:ascii="Times New Roman" w:hAnsi="Times New Roman" w:cs="Times New Roman"/>
          <w:szCs w:val="20"/>
        </w:rPr>
        <w:t>O disposto no subitem III.b acima não se aplica às despesas decorrentes de contratos que, posteriormente a 31 de dezembro de 1991, venham a ser assinados, averbados no Instituto Nacional da Propriedade Industrial (INPI) e registrados no Banco Central do Brasil, desde que observados os limites e condições estabelecidos pela legislação em vigor.</w:t>
      </w:r>
    </w:p>
    <w:p w:rsidR="00CD73D7" w:rsidRPr="00FA3856" w:rsidRDefault="00CD73D7" w:rsidP="001A6818">
      <w:pPr>
        <w:pStyle w:val="NormalWeb"/>
        <w:spacing w:before="0" w:after="0"/>
        <w:ind w:left="600"/>
        <w:jc w:val="both"/>
        <w:rPr>
          <w:rFonts w:ascii="Times New Roman" w:hAnsi="Times New Roman" w:cs="Times New Roman"/>
          <w:szCs w:val="20"/>
        </w:rPr>
      </w:pPr>
      <w:r w:rsidRPr="00FA3856">
        <w:rPr>
          <w:rFonts w:ascii="Times New Roman" w:hAnsi="Times New Roman" w:cs="Times New Roman"/>
          <w:szCs w:val="20"/>
        </w:rPr>
        <w:t> </w:t>
      </w:r>
    </w:p>
    <w:p w:rsidR="00CD73D7" w:rsidRPr="00FA3856" w:rsidRDefault="00CD73D7" w:rsidP="00D4016B">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 xml:space="preserve">IV - os </w:t>
      </w:r>
      <w:r w:rsidRPr="00FA3856">
        <w:rPr>
          <w:rFonts w:ascii="Times New Roman" w:hAnsi="Times New Roman" w:cs="Times New Roman"/>
          <w:i/>
          <w:iCs/>
          <w:szCs w:val="20"/>
        </w:rPr>
        <w:t>royalties</w:t>
      </w:r>
      <w:r w:rsidRPr="00FA3856">
        <w:rPr>
          <w:rFonts w:ascii="Times New Roman" w:hAnsi="Times New Roman" w:cs="Times New Roman"/>
          <w:szCs w:val="20"/>
        </w:rPr>
        <w:t xml:space="preserve"> pelo uso de patentes de invenção, processos e fórmulas de fabricação pagos ou creditados a beneficiário domiciliado no exterior:</w:t>
      </w:r>
    </w:p>
    <w:p w:rsidR="00CD73D7" w:rsidRPr="00FA3856" w:rsidRDefault="00CD73D7" w:rsidP="00D4016B">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a) que não sejam objeto de contrato registrado no Banco Central do Brasil; ou</w:t>
      </w:r>
    </w:p>
    <w:p w:rsidR="00CD73D7" w:rsidRPr="00FA3856" w:rsidRDefault="00CD73D7" w:rsidP="00D4016B">
      <w:pPr>
        <w:pStyle w:val="NormalWeb"/>
        <w:spacing w:before="0" w:after="0"/>
        <w:ind w:left="1416"/>
        <w:jc w:val="both"/>
        <w:rPr>
          <w:rFonts w:ascii="Times New Roman" w:hAnsi="Times New Roman" w:cs="Times New Roman"/>
          <w:szCs w:val="20"/>
        </w:rPr>
      </w:pPr>
      <w:r w:rsidRPr="00FA3856">
        <w:rPr>
          <w:rFonts w:ascii="Times New Roman" w:hAnsi="Times New Roman" w:cs="Times New Roman"/>
          <w:szCs w:val="20"/>
        </w:rPr>
        <w:t>b) cujos montantes excedam aos limites periodicamente fixados pelo Ministro de Estado da Fazenda para cada grupo de atividades ou produtos, segundo o grau de sua essencialidade, e em conformidade com a legislação específica sobre remessas de valores para o exterior;</w:t>
      </w:r>
    </w:p>
    <w:p w:rsidR="00CD73D7" w:rsidRPr="00FA3856" w:rsidRDefault="00CD73D7" w:rsidP="00D4016B">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 xml:space="preserve">V - os </w:t>
      </w:r>
      <w:r w:rsidRPr="00FA3856">
        <w:rPr>
          <w:rFonts w:ascii="Times New Roman" w:hAnsi="Times New Roman" w:cs="Times New Roman"/>
          <w:i/>
          <w:iCs/>
          <w:szCs w:val="20"/>
        </w:rPr>
        <w:t>royalties</w:t>
      </w:r>
      <w:r w:rsidRPr="00FA3856">
        <w:rPr>
          <w:rFonts w:ascii="Times New Roman" w:hAnsi="Times New Roman" w:cs="Times New Roman"/>
          <w:szCs w:val="20"/>
        </w:rPr>
        <w:t xml:space="preserve"> pelo uso de marcas de indústria ou de comércio pagos ou creditados a beneficiário domiciliado no exterior:</w:t>
      </w:r>
    </w:p>
    <w:p w:rsidR="00CD73D7" w:rsidRPr="00FA3856" w:rsidRDefault="00CD73D7" w:rsidP="00D4016B">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a) que não sejam objeto de contrato registrado no Banco Central do Brasil; ou</w:t>
      </w:r>
    </w:p>
    <w:p w:rsidR="00CD73D7" w:rsidRPr="00FA3856" w:rsidRDefault="00CD73D7" w:rsidP="00D4016B">
      <w:pPr>
        <w:pStyle w:val="NormalWeb"/>
        <w:spacing w:before="0" w:after="0"/>
        <w:ind w:left="1416"/>
        <w:jc w:val="both"/>
        <w:rPr>
          <w:rFonts w:ascii="Times New Roman" w:hAnsi="Times New Roman" w:cs="Times New Roman"/>
          <w:szCs w:val="20"/>
        </w:rPr>
      </w:pPr>
      <w:r w:rsidRPr="00FA3856">
        <w:rPr>
          <w:rFonts w:ascii="Times New Roman" w:hAnsi="Times New Roman" w:cs="Times New Roman"/>
          <w:szCs w:val="20"/>
        </w:rPr>
        <w:t>b) cujos montantes excedam aos limites periodicamente fixados pelo Ministro de Estado da Fazenda para cada grupo de atividades ou produtos, segundo o grau da sua essencialidade, e em conformidade com a legislação específica sobre remessas de valores para o exterior.</w:t>
      </w:r>
    </w:p>
    <w:p w:rsidR="00D4016B" w:rsidRPr="00FA3856" w:rsidRDefault="00D4016B" w:rsidP="001A6818">
      <w:pPr>
        <w:pStyle w:val="NormalWeb"/>
        <w:spacing w:before="0" w:after="0"/>
        <w:jc w:val="both"/>
        <w:rPr>
          <w:rFonts w:ascii="Times New Roman" w:hAnsi="Times New Roman" w:cs="Times New Roman"/>
          <w:szCs w:val="20"/>
        </w:rPr>
      </w:pPr>
    </w:p>
    <w:p w:rsidR="00CD73D7" w:rsidRPr="00FA3856" w:rsidRDefault="00CD73D7" w:rsidP="00D4016B">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As importâncias pagas a pessoas jurídicas ou físicas domiciliadas no exterior a título de assistência técnica, científica, administrativa ou semelhante, quer fixas, quer como percentagem da receita ou do lucro, somente podem ser deduzidas quando satisfizerem aos seguintes requisitos (Lei n</w:t>
      </w:r>
      <w:r w:rsidRPr="00FA3856">
        <w:rPr>
          <w:rFonts w:ascii="Times New Roman" w:hAnsi="Times New Roman" w:cs="Times New Roman"/>
          <w:strike/>
          <w:szCs w:val="20"/>
        </w:rPr>
        <w:t>º</w:t>
      </w:r>
      <w:r w:rsidRPr="00FA3856">
        <w:rPr>
          <w:rFonts w:ascii="Times New Roman" w:hAnsi="Times New Roman" w:cs="Times New Roman"/>
          <w:szCs w:val="20"/>
        </w:rPr>
        <w:t xml:space="preserve"> 4.506, de 1964, art. 52):</w:t>
      </w:r>
    </w:p>
    <w:p w:rsidR="00D4016B" w:rsidRPr="00FA3856" w:rsidRDefault="00D4016B" w:rsidP="001A6818">
      <w:pPr>
        <w:pStyle w:val="NormalWeb"/>
        <w:spacing w:before="0" w:after="0"/>
        <w:jc w:val="both"/>
        <w:rPr>
          <w:rFonts w:ascii="Times New Roman" w:hAnsi="Times New Roman" w:cs="Times New Roman"/>
          <w:szCs w:val="20"/>
        </w:rPr>
      </w:pPr>
    </w:p>
    <w:p w:rsidR="00CD73D7" w:rsidRPr="00FA3856" w:rsidRDefault="00CD73D7" w:rsidP="00D4016B">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I - constarem de contrato registrado no Banco Central do Brasil;</w:t>
      </w:r>
    </w:p>
    <w:p w:rsidR="00CD73D7" w:rsidRPr="00FA3856" w:rsidRDefault="00CD73D7" w:rsidP="00D4016B">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II - corresponderem a serviços efetivamente prestados à empresa mediante técnicos, desenhos ou instruções enviadas ao País, ou estudos técnicos realizados no exterior por conta da empresa;</w:t>
      </w:r>
    </w:p>
    <w:p w:rsidR="00CD73D7" w:rsidRPr="00FA3856" w:rsidRDefault="00CD73D7" w:rsidP="00D4016B">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III - o montante anual dos pagamentos não exceder ao limite fixado por ato do Ministro de Estado da Fazenda, de conformidade com a legislação específica.</w:t>
      </w:r>
    </w:p>
    <w:p w:rsidR="00D4016B" w:rsidRPr="00FA3856" w:rsidRDefault="00D4016B" w:rsidP="001A6818">
      <w:pPr>
        <w:pStyle w:val="NormalWeb"/>
        <w:spacing w:before="0" w:after="0"/>
        <w:jc w:val="both"/>
        <w:rPr>
          <w:rFonts w:ascii="Times New Roman" w:hAnsi="Times New Roman" w:cs="Times New Roman"/>
          <w:szCs w:val="20"/>
        </w:rPr>
      </w:pPr>
    </w:p>
    <w:p w:rsidR="00CD73D7" w:rsidRPr="00FA3856" w:rsidRDefault="00CD73D7" w:rsidP="00D4016B">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As despesas de assistência técnica, científica, administrativa e semelhantes somente podem ser deduzidas nos cinco primeiros anos de funcionamento da empresa ou da introdução do processo especial de produção, quando demonstrada sua necessidade, podendo esse prazo ser prorrogado até mais cinco anos por autorização do Conselho Monetário Nacional (Lei n</w:t>
      </w:r>
      <w:r w:rsidRPr="00FA3856">
        <w:rPr>
          <w:rFonts w:ascii="Times New Roman" w:hAnsi="Times New Roman" w:cs="Times New Roman"/>
          <w:strike/>
          <w:szCs w:val="20"/>
        </w:rPr>
        <w:t>º</w:t>
      </w:r>
      <w:r w:rsidRPr="00FA3856">
        <w:rPr>
          <w:rFonts w:ascii="Times New Roman" w:hAnsi="Times New Roman" w:cs="Times New Roman"/>
          <w:szCs w:val="20"/>
        </w:rPr>
        <w:t xml:space="preserve"> 4.131, de 1962, art. 12, § 3</w:t>
      </w:r>
      <w:r w:rsidRPr="00FA3856">
        <w:rPr>
          <w:rFonts w:ascii="Times New Roman" w:hAnsi="Times New Roman" w:cs="Times New Roman"/>
          <w:strike/>
          <w:szCs w:val="20"/>
        </w:rPr>
        <w:t>º</w:t>
      </w:r>
      <w:r w:rsidRPr="00FA3856">
        <w:rPr>
          <w:rFonts w:ascii="Times New Roman" w:hAnsi="Times New Roman" w:cs="Times New Roman"/>
          <w:szCs w:val="20"/>
        </w:rPr>
        <w:t>).</w:t>
      </w:r>
    </w:p>
    <w:p w:rsidR="00D4016B" w:rsidRPr="00FA3856" w:rsidRDefault="00D4016B" w:rsidP="001A6818">
      <w:pPr>
        <w:pStyle w:val="NormalWeb"/>
        <w:spacing w:before="0" w:after="0"/>
        <w:jc w:val="both"/>
        <w:rPr>
          <w:rFonts w:ascii="Times New Roman" w:hAnsi="Times New Roman" w:cs="Times New Roman"/>
          <w:szCs w:val="20"/>
        </w:rPr>
      </w:pPr>
    </w:p>
    <w:p w:rsidR="00CD73D7" w:rsidRPr="00FA3856" w:rsidRDefault="00CD73D7" w:rsidP="00D4016B">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As despesas de assistência técnica, científica, administrativa e semelhantes não são dedutíveis, quando pagas ou creditadas:</w:t>
      </w:r>
    </w:p>
    <w:p w:rsidR="00CD73D7" w:rsidRPr="00FA3856" w:rsidRDefault="00CD73D7" w:rsidP="00D4016B">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a) pela filial de empresa com sede no exterior, em benefício da sua matriz;</w:t>
      </w:r>
    </w:p>
    <w:p w:rsidR="00CD73D7" w:rsidRPr="00FA3856" w:rsidRDefault="00CD73D7" w:rsidP="00D4016B">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b) pela sociedade com sede no Brasil a pessoa domiciliada no exterior que mantenha, direta ou indiretamente, controle de seu capital com direito a voto.</w:t>
      </w:r>
    </w:p>
    <w:p w:rsidR="00CD73D7" w:rsidRPr="00FA3856" w:rsidRDefault="00CD73D7" w:rsidP="00D4016B">
      <w:pPr>
        <w:pStyle w:val="NormalWeb"/>
        <w:spacing w:before="0" w:after="0"/>
        <w:ind w:left="600"/>
        <w:jc w:val="both"/>
        <w:rPr>
          <w:rFonts w:ascii="Times New Roman" w:hAnsi="Times New Roman" w:cs="Times New Roman"/>
          <w:szCs w:val="20"/>
        </w:rPr>
      </w:pPr>
      <w:r w:rsidRPr="00FA3856">
        <w:rPr>
          <w:rFonts w:ascii="Times New Roman" w:hAnsi="Times New Roman" w:cs="Times New Roman"/>
          <w:b/>
          <w:bCs/>
          <w:szCs w:val="20"/>
        </w:rPr>
        <w:lastRenderedPageBreak/>
        <w:t>Atenção:</w:t>
      </w:r>
      <w:r w:rsidR="00D4016B" w:rsidRPr="00FA3856">
        <w:rPr>
          <w:rFonts w:ascii="Times New Roman" w:hAnsi="Times New Roman" w:cs="Times New Roman"/>
          <w:szCs w:val="20"/>
        </w:rPr>
        <w:t xml:space="preserve"> </w:t>
      </w:r>
      <w:r w:rsidRPr="00FA3856">
        <w:rPr>
          <w:rFonts w:ascii="Times New Roman" w:hAnsi="Times New Roman" w:cs="Times New Roman"/>
          <w:szCs w:val="20"/>
        </w:rPr>
        <w:t>O disposto no subitem "b" acima não se aplica às despesas decorrentes de contratos que, posteriormente a 31 de dezembro de 1991, venham a ser assinados, averbados no Instituto Nacional da Propriedade Industrial (INPI) e registrados no Banco Central do Brasil, desde que observados os limites e condições estabelecidos pela legislação em vigor.</w:t>
      </w:r>
    </w:p>
    <w:p w:rsidR="00D4016B" w:rsidRPr="00FA3856" w:rsidRDefault="00D4016B" w:rsidP="001A6818">
      <w:pPr>
        <w:pStyle w:val="NormalWeb"/>
        <w:spacing w:before="0" w:after="0"/>
        <w:jc w:val="both"/>
        <w:rPr>
          <w:rFonts w:ascii="Times New Roman" w:hAnsi="Times New Roman" w:cs="Times New Roman"/>
          <w:b/>
          <w:bCs/>
          <w:szCs w:val="20"/>
        </w:rPr>
      </w:pPr>
    </w:p>
    <w:p w:rsidR="00CD73D7" w:rsidRPr="00FA3856" w:rsidRDefault="00CD73D7" w:rsidP="001A6818">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t>Limite e Condições de Dedutibilidade</w:t>
      </w:r>
      <w:r w:rsidR="00D4016B" w:rsidRPr="00FA3856">
        <w:rPr>
          <w:rFonts w:ascii="Times New Roman" w:hAnsi="Times New Roman" w:cs="Times New Roman"/>
          <w:szCs w:val="20"/>
        </w:rPr>
        <w:t xml:space="preserve">: </w:t>
      </w:r>
      <w:r w:rsidRPr="00FA3856">
        <w:rPr>
          <w:rFonts w:ascii="Times New Roman" w:hAnsi="Times New Roman" w:cs="Times New Roman"/>
          <w:szCs w:val="20"/>
        </w:rPr>
        <w:t xml:space="preserve">As somas das quantias devidas a título de </w:t>
      </w:r>
      <w:r w:rsidRPr="00FA3856">
        <w:rPr>
          <w:rFonts w:ascii="Times New Roman" w:hAnsi="Times New Roman" w:cs="Times New Roman"/>
          <w:i/>
          <w:iCs/>
          <w:szCs w:val="20"/>
        </w:rPr>
        <w:t>royalties</w:t>
      </w:r>
      <w:r w:rsidRPr="00FA3856">
        <w:rPr>
          <w:rFonts w:ascii="Times New Roman" w:hAnsi="Times New Roman" w:cs="Times New Roman"/>
          <w:szCs w:val="20"/>
        </w:rPr>
        <w:t xml:space="preserve"> pela exploração de patentes de invenção ou uso de marcas de indústria ou de comércio e por assistência técnica, científica, ou semelhante, podem ser deduzidas até o limite máximo de cinco por cento da receita líquida das vendas do produto fabricado ou vendido. São consideradas como lucros distribuídos as quantias devidas, citadas neste parágrafo, que não satisfizerem os requisitos legais ou excederem os limites fixados.</w:t>
      </w:r>
    </w:p>
    <w:p w:rsidR="00D4016B" w:rsidRPr="00FA3856" w:rsidRDefault="00D4016B" w:rsidP="001A6818">
      <w:pPr>
        <w:pStyle w:val="NormalWeb"/>
        <w:spacing w:before="0" w:after="0"/>
        <w:jc w:val="both"/>
        <w:rPr>
          <w:rFonts w:ascii="Times New Roman" w:hAnsi="Times New Roman" w:cs="Times New Roman"/>
          <w:szCs w:val="20"/>
        </w:rPr>
      </w:pPr>
    </w:p>
    <w:p w:rsidR="00CD73D7" w:rsidRPr="00FA3856" w:rsidRDefault="00CD73D7" w:rsidP="00D4016B">
      <w:pPr>
        <w:pStyle w:val="NormalWeb"/>
        <w:spacing w:before="0" w:after="0"/>
        <w:ind w:firstLine="600"/>
        <w:jc w:val="both"/>
        <w:rPr>
          <w:rFonts w:ascii="Times New Roman" w:hAnsi="Times New Roman" w:cs="Times New Roman"/>
          <w:szCs w:val="20"/>
        </w:rPr>
      </w:pPr>
      <w:r w:rsidRPr="00FA3856">
        <w:rPr>
          <w:rFonts w:ascii="Times New Roman" w:hAnsi="Times New Roman" w:cs="Times New Roman"/>
          <w:szCs w:val="20"/>
        </w:rPr>
        <w:t xml:space="preserve">A dedutibilidade das importâncias pagas ou creditadas pelas pessoas jurídicas, a título de aluguéis ou </w:t>
      </w:r>
      <w:r w:rsidRPr="00FA3856">
        <w:rPr>
          <w:rFonts w:ascii="Times New Roman" w:hAnsi="Times New Roman" w:cs="Times New Roman"/>
          <w:i/>
          <w:iCs/>
          <w:szCs w:val="20"/>
        </w:rPr>
        <w:t>royalties</w:t>
      </w:r>
      <w:r w:rsidRPr="00FA3856">
        <w:rPr>
          <w:rFonts w:ascii="Times New Roman" w:hAnsi="Times New Roman" w:cs="Times New Roman"/>
          <w:szCs w:val="20"/>
        </w:rPr>
        <w:t xml:space="preserve"> pela exploração ou cessão de patentes ou pelo uso ou cessão de marcas, e a título de remuneração que envolva transferência de tecnologia (assistência técnica, científica, administrativa ou semelhantes, projetos ou serviços técnicos especializados) somente é admitida a partir da averbação do respectivo ato ou contrato no Instituto Nacional da Propriedade Industrial (INPI), em conformidade com o disposto na Lei n</w:t>
      </w:r>
      <w:r w:rsidRPr="00FA3856">
        <w:rPr>
          <w:rFonts w:ascii="Times New Roman" w:hAnsi="Times New Roman" w:cs="Times New Roman"/>
          <w:strike/>
          <w:szCs w:val="20"/>
        </w:rPr>
        <w:t>º</w:t>
      </w:r>
      <w:r w:rsidRPr="00FA3856">
        <w:rPr>
          <w:rFonts w:ascii="Times New Roman" w:hAnsi="Times New Roman" w:cs="Times New Roman"/>
          <w:szCs w:val="20"/>
        </w:rPr>
        <w:t xml:space="preserve"> 9.279, de 1996.</w:t>
      </w:r>
    </w:p>
    <w:p w:rsidR="00D4016B" w:rsidRPr="00FA3856" w:rsidRDefault="00D4016B" w:rsidP="001A6818">
      <w:pPr>
        <w:pStyle w:val="NormalWeb"/>
        <w:spacing w:before="0" w:after="0"/>
        <w:ind w:left="600"/>
        <w:jc w:val="both"/>
        <w:rPr>
          <w:rFonts w:ascii="Times New Roman" w:hAnsi="Times New Roman" w:cs="Times New Roman"/>
          <w:b/>
          <w:bCs/>
          <w:szCs w:val="20"/>
        </w:rPr>
      </w:pPr>
    </w:p>
    <w:p w:rsidR="00CD73D7" w:rsidRPr="00FA3856" w:rsidRDefault="00CD73D7" w:rsidP="001A6818">
      <w:pPr>
        <w:pStyle w:val="NormalWeb"/>
        <w:spacing w:before="0" w:after="0"/>
        <w:ind w:left="600"/>
        <w:jc w:val="both"/>
        <w:rPr>
          <w:rFonts w:ascii="Times New Roman" w:hAnsi="Times New Roman" w:cs="Times New Roman"/>
          <w:szCs w:val="20"/>
        </w:rPr>
      </w:pPr>
      <w:r w:rsidRPr="00FA3856">
        <w:rPr>
          <w:rFonts w:ascii="Times New Roman" w:hAnsi="Times New Roman" w:cs="Times New Roman"/>
          <w:b/>
          <w:bCs/>
          <w:szCs w:val="20"/>
        </w:rPr>
        <w:t>Atenção:</w:t>
      </w:r>
    </w:p>
    <w:p w:rsidR="00CD73D7" w:rsidRPr="00FA3856" w:rsidRDefault="00CD73D7" w:rsidP="001A6818">
      <w:pPr>
        <w:pStyle w:val="NormalWeb"/>
        <w:spacing w:before="0" w:after="0"/>
        <w:ind w:left="600"/>
        <w:jc w:val="both"/>
        <w:rPr>
          <w:rFonts w:ascii="Times New Roman" w:hAnsi="Times New Roman" w:cs="Times New Roman"/>
          <w:szCs w:val="20"/>
        </w:rPr>
      </w:pPr>
      <w:r w:rsidRPr="00FA3856">
        <w:rPr>
          <w:rFonts w:ascii="Times New Roman" w:hAnsi="Times New Roman" w:cs="Times New Roman"/>
          <w:szCs w:val="20"/>
        </w:rPr>
        <w:t xml:space="preserve">1) As empresas industriais e agropecuárias de tecnologia de ponta ou de bens de capital não seriados que executarem PDTI ou PDTA aprovados a partir de 3 de junho de 1993 e até 31 de dezembro de 2005, podem deduzir, como despesa operacional, a soma dos pagamentos em moeda nacional ou estrangeira, efetuados a título de </w:t>
      </w:r>
      <w:r w:rsidRPr="00FA3856">
        <w:rPr>
          <w:rFonts w:ascii="Times New Roman" w:hAnsi="Times New Roman" w:cs="Times New Roman"/>
          <w:i/>
          <w:iCs/>
          <w:szCs w:val="20"/>
        </w:rPr>
        <w:t>royalties</w:t>
      </w:r>
      <w:r w:rsidRPr="00FA3856">
        <w:rPr>
          <w:rFonts w:ascii="Times New Roman" w:hAnsi="Times New Roman" w:cs="Times New Roman"/>
          <w:szCs w:val="20"/>
        </w:rPr>
        <w:t xml:space="preserve"> e assistência técnica ou científica, até o limite de dez por cento da receita líquida das vendas dos bens produzidos com a aplicação da tecnologia objeto desses pagamentos, desde que o PDTI ou o PDTA esteja vinculado à averbação de contrato de transferência, nos termos do Código da Propriedade Industrial. Para fazer jus a esse benefício, a pessoa jurídica deve assumir o compromisso de realizar, durante a execução do seu programa, dispêndios em pesquisa e desenvolvimento no País em montante equivalente, no mínimo, ao dobro do valor desses benefícios, atualizados monetariamente (Lei n</w:t>
      </w:r>
      <w:r w:rsidRPr="00FA3856">
        <w:rPr>
          <w:rFonts w:ascii="Times New Roman" w:hAnsi="Times New Roman" w:cs="Times New Roman"/>
          <w:strike/>
          <w:szCs w:val="20"/>
        </w:rPr>
        <w:t>º</w:t>
      </w:r>
      <w:r w:rsidRPr="00FA3856">
        <w:rPr>
          <w:rFonts w:ascii="Times New Roman" w:hAnsi="Times New Roman" w:cs="Times New Roman"/>
          <w:szCs w:val="20"/>
        </w:rPr>
        <w:t xml:space="preserve"> 8.661, de 1993, art. 4</w:t>
      </w:r>
      <w:r w:rsidRPr="00FA3856">
        <w:rPr>
          <w:rFonts w:ascii="Times New Roman" w:hAnsi="Times New Roman" w:cs="Times New Roman"/>
          <w:strike/>
          <w:szCs w:val="20"/>
        </w:rPr>
        <w:t>º</w:t>
      </w:r>
      <w:r w:rsidRPr="00FA3856">
        <w:rPr>
          <w:rFonts w:ascii="Times New Roman" w:hAnsi="Times New Roman" w:cs="Times New Roman"/>
          <w:szCs w:val="20"/>
        </w:rPr>
        <w:t>, § 3</w:t>
      </w:r>
      <w:r w:rsidRPr="00FA3856">
        <w:rPr>
          <w:rFonts w:ascii="Times New Roman" w:hAnsi="Times New Roman" w:cs="Times New Roman"/>
          <w:strike/>
          <w:szCs w:val="20"/>
        </w:rPr>
        <w:t>º</w:t>
      </w:r>
      <w:r w:rsidRPr="00FA3856">
        <w:rPr>
          <w:rFonts w:ascii="Times New Roman" w:hAnsi="Times New Roman" w:cs="Times New Roman"/>
          <w:szCs w:val="20"/>
        </w:rPr>
        <w:t>), além de observar os demais requisitos exigidos em legislação específica.</w:t>
      </w:r>
    </w:p>
    <w:p w:rsidR="00CD73D7" w:rsidRPr="00FA3856" w:rsidRDefault="00CD73D7" w:rsidP="001A6818">
      <w:pPr>
        <w:pStyle w:val="NormalWeb"/>
        <w:spacing w:before="0" w:after="0"/>
        <w:ind w:left="600"/>
        <w:jc w:val="both"/>
        <w:rPr>
          <w:rFonts w:ascii="Times New Roman" w:hAnsi="Times New Roman" w:cs="Times New Roman"/>
          <w:szCs w:val="20"/>
        </w:rPr>
      </w:pPr>
      <w:r w:rsidRPr="00FA3856">
        <w:rPr>
          <w:rFonts w:ascii="Times New Roman" w:hAnsi="Times New Roman" w:cs="Times New Roman"/>
          <w:szCs w:val="20"/>
        </w:rPr>
        <w:t>2) Os coeficientes percentuais máximos admitidos para dedução, considerados os tipos de produção ou atividade, segundo o grau de essencialidade, encontram-se nas Portarias MF n</w:t>
      </w:r>
      <w:r w:rsidRPr="00FA3856">
        <w:rPr>
          <w:rFonts w:ascii="Times New Roman" w:hAnsi="Times New Roman" w:cs="Times New Roman"/>
          <w:strike/>
          <w:szCs w:val="20"/>
        </w:rPr>
        <w:t>º</w:t>
      </w:r>
      <w:r w:rsidRPr="00FA3856">
        <w:rPr>
          <w:rFonts w:ascii="Times New Roman" w:hAnsi="Times New Roman" w:cs="Times New Roman"/>
          <w:szCs w:val="20"/>
        </w:rPr>
        <w:t>s 436, de 1958; 113, de 1959; 314, de 1970; e 60, de 1994.</w:t>
      </w:r>
    </w:p>
    <w:p w:rsidR="00D4016B" w:rsidRPr="00FA3856" w:rsidRDefault="00D4016B" w:rsidP="001A6818">
      <w:pPr>
        <w:pStyle w:val="NormalWeb"/>
        <w:spacing w:before="0" w:after="0"/>
        <w:jc w:val="both"/>
        <w:rPr>
          <w:rFonts w:ascii="Times New Roman" w:hAnsi="Times New Roman" w:cs="Times New Roman"/>
          <w:b/>
          <w:bCs/>
          <w:szCs w:val="20"/>
        </w:rPr>
      </w:pPr>
    </w:p>
    <w:p w:rsidR="00CD73D7" w:rsidRPr="00FA3856" w:rsidRDefault="00B14A83" w:rsidP="001A6818">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t xml:space="preserve">I.9) </w:t>
      </w:r>
      <w:r w:rsidR="00CD73D7" w:rsidRPr="00FA3856">
        <w:rPr>
          <w:rFonts w:ascii="Times New Roman" w:hAnsi="Times New Roman" w:cs="Times New Roman"/>
          <w:b/>
          <w:bCs/>
          <w:szCs w:val="20"/>
        </w:rPr>
        <w:t>Considerações Gerais sobre Compensação de Prejuízos (Trimestral e Anual)</w:t>
      </w:r>
    </w:p>
    <w:p w:rsidR="00D4016B" w:rsidRPr="00FA3856" w:rsidRDefault="00D4016B" w:rsidP="001A6818">
      <w:pPr>
        <w:pStyle w:val="NormalWeb"/>
        <w:spacing w:before="0" w:after="0"/>
        <w:jc w:val="both"/>
        <w:rPr>
          <w:rFonts w:ascii="Times New Roman" w:hAnsi="Times New Roman" w:cs="Times New Roman"/>
          <w:b/>
          <w:bCs/>
          <w:szCs w:val="20"/>
        </w:rPr>
      </w:pPr>
    </w:p>
    <w:p w:rsidR="00CD73D7" w:rsidRPr="00FA3856" w:rsidRDefault="00CD73D7" w:rsidP="00D4016B">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pessoa jurídica pode compensar o prejuízo fiscal apurado na demonstração do lucro real e registrado no Livro de Apuração do Lucro Real (Lalur), desde que mantenha os livros e documentos, exigidos pela legislação fiscal, comprobatórios do montante do prejuízo fiscal utilizado para a compensação.</w:t>
      </w:r>
    </w:p>
    <w:p w:rsidR="00D4016B" w:rsidRPr="00FA3856" w:rsidRDefault="00D4016B" w:rsidP="001A6818">
      <w:pPr>
        <w:pStyle w:val="NormalWeb"/>
        <w:spacing w:before="0" w:after="0"/>
        <w:jc w:val="both"/>
        <w:rPr>
          <w:rFonts w:ascii="Times New Roman" w:hAnsi="Times New Roman" w:cs="Times New Roman"/>
          <w:szCs w:val="20"/>
        </w:rPr>
      </w:pPr>
    </w:p>
    <w:p w:rsidR="00CD73D7" w:rsidRPr="00FA3856" w:rsidRDefault="00CD73D7" w:rsidP="00D4016B">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O prejuízo fiscal apurado a partir do encerramento do ano-calendário de 1995 pode ser compensado, cumulativamente com os prejuízos fiscais apurados até 31 de dezembro de 1994, com o lucro líquido ajustado pelas adições e exclusões previstas na legislação do imposto de renda, observado o limite máximo, para compensação, de 30% (trinta por cento) do referido lucro líquido ajustado.</w:t>
      </w:r>
    </w:p>
    <w:p w:rsidR="00D4016B" w:rsidRPr="00FA3856" w:rsidRDefault="00D4016B" w:rsidP="001A6818">
      <w:pPr>
        <w:pStyle w:val="NormalWeb"/>
        <w:spacing w:before="0" w:after="0"/>
        <w:jc w:val="both"/>
        <w:rPr>
          <w:rFonts w:ascii="Times New Roman" w:hAnsi="Times New Roman" w:cs="Times New Roman"/>
          <w:szCs w:val="20"/>
        </w:rPr>
      </w:pPr>
    </w:p>
    <w:p w:rsidR="00CD73D7" w:rsidRPr="00FA3856" w:rsidRDefault="00CD73D7" w:rsidP="00D4016B">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pessoa jurídica pode, ainda, compensar os prejuízos fiscais apurados até 31 de</w:t>
      </w:r>
      <w:bookmarkStart w:id="134" w:name="subitem_15.1.9"/>
      <w:bookmarkEnd w:id="134"/>
      <w:r w:rsidRPr="00FA3856">
        <w:rPr>
          <w:rFonts w:ascii="Times New Roman" w:hAnsi="Times New Roman" w:cs="Times New Roman"/>
          <w:szCs w:val="20"/>
        </w:rPr>
        <w:t xml:space="preserve"> dezembro de 1994, independentemente do prazo previsto na legislação vigente à época, se, naquela data, estes fossem passíveis de compensação, na forma da legislação então aplicável.</w:t>
      </w:r>
    </w:p>
    <w:p w:rsidR="00D4016B" w:rsidRPr="00FA3856" w:rsidRDefault="00D4016B" w:rsidP="001A6818">
      <w:pPr>
        <w:pStyle w:val="NormalWeb"/>
        <w:spacing w:before="0" w:after="0"/>
        <w:jc w:val="both"/>
        <w:rPr>
          <w:rFonts w:ascii="Times New Roman" w:hAnsi="Times New Roman" w:cs="Times New Roman"/>
          <w:b/>
          <w:bCs/>
          <w:szCs w:val="20"/>
        </w:rPr>
      </w:pPr>
    </w:p>
    <w:p w:rsidR="00D4016B" w:rsidRPr="00FA3856" w:rsidRDefault="00D4016B" w:rsidP="001A6818">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t xml:space="preserve">I.9.1) </w:t>
      </w:r>
      <w:r w:rsidR="00CD73D7" w:rsidRPr="00FA3856">
        <w:rPr>
          <w:rFonts w:ascii="Times New Roman" w:hAnsi="Times New Roman" w:cs="Times New Roman"/>
          <w:b/>
          <w:bCs/>
          <w:szCs w:val="20"/>
        </w:rPr>
        <w:t>Pessoa Jurídica Excluída da Limitação</w:t>
      </w:r>
    </w:p>
    <w:p w:rsidR="00D4016B" w:rsidRPr="00FA3856" w:rsidRDefault="00D4016B" w:rsidP="001A6818">
      <w:pPr>
        <w:pStyle w:val="NormalWeb"/>
        <w:spacing w:before="0" w:after="0"/>
        <w:jc w:val="both"/>
        <w:rPr>
          <w:rFonts w:ascii="Times New Roman" w:hAnsi="Times New Roman" w:cs="Times New Roman"/>
          <w:szCs w:val="20"/>
        </w:rPr>
      </w:pPr>
    </w:p>
    <w:p w:rsidR="00CD73D7" w:rsidRPr="00FA3856" w:rsidRDefault="00CD73D7" w:rsidP="00D4016B">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O limite de 30% (trinta por cento) não se aplica aos prejuízos fiscais, apurados pela pessoa jurídica, decorrentes da exploração de atividade rural e compensados com o lucro real da mesma atividade, e aos apurados pela empresa industrial titular de Programas Especiais de Exportação aprovados até 3 de junho de 1993 pela Befiex, nos termos do art. 95 da Lei n</w:t>
      </w:r>
      <w:r w:rsidRPr="00FA3856">
        <w:rPr>
          <w:rFonts w:ascii="Times New Roman" w:hAnsi="Times New Roman" w:cs="Times New Roman"/>
          <w:strike/>
          <w:szCs w:val="20"/>
        </w:rPr>
        <w:t>º</w:t>
      </w:r>
      <w:r w:rsidRPr="00FA3856">
        <w:rPr>
          <w:rFonts w:ascii="Times New Roman" w:hAnsi="Times New Roman" w:cs="Times New Roman"/>
          <w:szCs w:val="20"/>
        </w:rPr>
        <w:t xml:space="preserve"> 8.981, de 1995, com redação dada pela Lei n</w:t>
      </w:r>
      <w:r w:rsidRPr="00FA3856">
        <w:rPr>
          <w:rFonts w:ascii="Times New Roman" w:hAnsi="Times New Roman" w:cs="Times New Roman"/>
          <w:strike/>
          <w:szCs w:val="20"/>
        </w:rPr>
        <w:t>º</w:t>
      </w:r>
      <w:r w:rsidRPr="00FA3856">
        <w:rPr>
          <w:rFonts w:ascii="Times New Roman" w:hAnsi="Times New Roman" w:cs="Times New Roman"/>
          <w:szCs w:val="20"/>
        </w:rPr>
        <w:t xml:space="preserve"> 9.065, de 1995.</w:t>
      </w:r>
    </w:p>
    <w:p w:rsidR="00D4016B" w:rsidRPr="00FA3856" w:rsidRDefault="00D4016B">
      <w:pPr>
        <w:spacing w:after="200" w:line="276" w:lineRule="auto"/>
        <w:rPr>
          <w:rFonts w:eastAsia="Arial Unicode MS"/>
          <w:b/>
          <w:bCs/>
          <w:szCs w:val="20"/>
          <w:lang w:eastAsia="ar-SA"/>
        </w:rPr>
      </w:pPr>
      <w:r w:rsidRPr="00FA3856">
        <w:rPr>
          <w:b/>
          <w:bCs/>
          <w:szCs w:val="20"/>
        </w:rPr>
        <w:br w:type="page"/>
      </w:r>
    </w:p>
    <w:p w:rsidR="00CD73D7" w:rsidRPr="00FA3856" w:rsidRDefault="00D4016B" w:rsidP="001A6818">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lastRenderedPageBreak/>
        <w:t>I.9.2</w:t>
      </w:r>
      <w:r w:rsidR="00CD73D7" w:rsidRPr="00FA3856">
        <w:rPr>
          <w:rFonts w:ascii="Times New Roman" w:hAnsi="Times New Roman" w:cs="Times New Roman"/>
          <w:b/>
          <w:bCs/>
          <w:szCs w:val="20"/>
        </w:rPr>
        <w:t>) Prejuízos Não Operacionais</w:t>
      </w:r>
    </w:p>
    <w:p w:rsidR="00D4016B" w:rsidRPr="00FA3856" w:rsidRDefault="00D4016B" w:rsidP="001A6818">
      <w:pPr>
        <w:pStyle w:val="NormalWeb"/>
        <w:spacing w:before="0" w:after="0"/>
        <w:jc w:val="both"/>
        <w:rPr>
          <w:rFonts w:ascii="Times New Roman" w:hAnsi="Times New Roman" w:cs="Times New Roman"/>
          <w:szCs w:val="20"/>
        </w:rPr>
      </w:pPr>
    </w:p>
    <w:p w:rsidR="00CD73D7" w:rsidRPr="00FA3856" w:rsidRDefault="00CD73D7" w:rsidP="00D4016B">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Os prejuízos não operacionais apurados pela pessoa jurídica a partir de 1</w:t>
      </w:r>
      <w:r w:rsidRPr="00FA3856">
        <w:rPr>
          <w:rFonts w:ascii="Times New Roman" w:hAnsi="Times New Roman" w:cs="Times New Roman"/>
          <w:strike/>
          <w:szCs w:val="20"/>
        </w:rPr>
        <w:t>º</w:t>
      </w:r>
      <w:r w:rsidRPr="00FA3856">
        <w:rPr>
          <w:rFonts w:ascii="Times New Roman" w:hAnsi="Times New Roman" w:cs="Times New Roman"/>
          <w:szCs w:val="20"/>
        </w:rPr>
        <w:t xml:space="preserve"> de janeiro de 1996 somente podem ser compensados, nos períodos de apuração subsequentes ao de sua apuração, com lucros da mesma natureza, observado o limite de 30% (trinta por cento).</w:t>
      </w:r>
    </w:p>
    <w:p w:rsidR="00D4016B" w:rsidRPr="00FA3856" w:rsidRDefault="00D4016B" w:rsidP="001A6818">
      <w:pPr>
        <w:pStyle w:val="NormalWeb"/>
        <w:spacing w:before="0" w:after="0"/>
        <w:jc w:val="both"/>
        <w:rPr>
          <w:rFonts w:ascii="Times New Roman" w:hAnsi="Times New Roman" w:cs="Times New Roman"/>
          <w:szCs w:val="20"/>
        </w:rPr>
      </w:pPr>
    </w:p>
    <w:p w:rsidR="00CD73D7" w:rsidRPr="00FA3856" w:rsidRDefault="00CD73D7" w:rsidP="00D4016B">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Consideram-se "não operacionais" os resultados decorrentes da alienação de bens ou direitos do ativo permanente. O "resultado não operacional" é igual à diferença, positiva ou negativa, entre o valor pelo qual o bem ou direito houver sido alienado e o seu valor contábil.</w:t>
      </w:r>
    </w:p>
    <w:p w:rsidR="00D4016B" w:rsidRPr="00FA3856" w:rsidRDefault="00D4016B" w:rsidP="001A6818">
      <w:pPr>
        <w:pStyle w:val="NormalWeb"/>
        <w:spacing w:before="0" w:after="0"/>
        <w:jc w:val="both"/>
        <w:rPr>
          <w:rFonts w:ascii="Times New Roman" w:hAnsi="Times New Roman" w:cs="Times New Roman"/>
          <w:szCs w:val="20"/>
        </w:rPr>
      </w:pPr>
    </w:p>
    <w:p w:rsidR="00CD73D7" w:rsidRPr="00FA3856" w:rsidRDefault="00CD73D7" w:rsidP="00D4016B">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Os resultados não operacionais de todas as alienações ocorridas durante o período de apuração devem ser apurados englobadamente e, positivos ou negativos, integram o lucro real.</w:t>
      </w:r>
    </w:p>
    <w:p w:rsidR="00D4016B" w:rsidRPr="00FA3856" w:rsidRDefault="00D4016B" w:rsidP="001A6818">
      <w:pPr>
        <w:pStyle w:val="NormalWeb"/>
        <w:spacing w:before="0" w:after="0"/>
        <w:jc w:val="both"/>
        <w:rPr>
          <w:rFonts w:ascii="Times New Roman" w:hAnsi="Times New Roman" w:cs="Times New Roman"/>
          <w:szCs w:val="20"/>
        </w:rPr>
      </w:pPr>
    </w:p>
    <w:p w:rsidR="00CD73D7" w:rsidRPr="00FA3856" w:rsidRDefault="00CD73D7" w:rsidP="00D4016B">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separação em prejuízos não operacionais e em prejuízos das demais atividades somente é exigida se, no período de apuração, forem verificados, cumulativamente, resultados não operacionais negativos e lucro real negativo (prejuízo fiscal). Nesse caso, a pessoa jurídica deve comparar o prejuízo não operacional com o prejuízo fiscal apurado na demonstração do lucro real, observado o seguinte:</w:t>
      </w:r>
    </w:p>
    <w:p w:rsidR="00D4016B" w:rsidRPr="00FA3856" w:rsidRDefault="00D4016B" w:rsidP="001A6818">
      <w:pPr>
        <w:pStyle w:val="NormalWeb"/>
        <w:spacing w:before="0" w:after="0"/>
        <w:jc w:val="both"/>
        <w:rPr>
          <w:rFonts w:ascii="Times New Roman" w:hAnsi="Times New Roman" w:cs="Times New Roman"/>
          <w:szCs w:val="20"/>
        </w:rPr>
      </w:pPr>
    </w:p>
    <w:p w:rsidR="00CD73D7" w:rsidRPr="00FA3856" w:rsidRDefault="00CD73D7" w:rsidP="00D4016B">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I) se o prejuízo fiscal for maior, todo o resultado não operacional negativo será considerado prejuízo fiscal não operacional e a parcela excedente é considerada prejuízo fiscal das demais atividades;</w:t>
      </w:r>
    </w:p>
    <w:p w:rsidR="00CD73D7" w:rsidRPr="00FA3856" w:rsidRDefault="00CD73D7" w:rsidP="00D4016B">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II) se todo o resultado não operacional negativo for maior ou igual ao prejuízo fiscal, todo o prejuízo fiscal é considerado não operacional.</w:t>
      </w:r>
    </w:p>
    <w:p w:rsidR="00D4016B" w:rsidRPr="00FA3856" w:rsidRDefault="00D4016B" w:rsidP="001A6818">
      <w:pPr>
        <w:pStyle w:val="NormalWeb"/>
        <w:spacing w:before="0" w:after="0"/>
        <w:jc w:val="both"/>
        <w:rPr>
          <w:rFonts w:ascii="Times New Roman" w:hAnsi="Times New Roman" w:cs="Times New Roman"/>
          <w:szCs w:val="20"/>
        </w:rPr>
      </w:pPr>
    </w:p>
    <w:p w:rsidR="00CD73D7" w:rsidRPr="00FA3856" w:rsidRDefault="00CD73D7" w:rsidP="00D4016B">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Os prejuízos não operacionais e os decorrentes das atividades operacionais da pessoa jurídica devem ser controlados em folhas específicas, individualizadas por espécie, na Parte B do Lalur, para compensação com lucros da mesma natureza apurados nos períodos subsequentes.</w:t>
      </w:r>
    </w:p>
    <w:p w:rsidR="00D4016B" w:rsidRPr="00FA3856" w:rsidRDefault="00D4016B" w:rsidP="001A6818">
      <w:pPr>
        <w:pStyle w:val="NormalWeb"/>
        <w:spacing w:before="0" w:after="0"/>
        <w:jc w:val="both"/>
        <w:rPr>
          <w:rFonts w:ascii="Times New Roman" w:hAnsi="Times New Roman" w:cs="Times New Roman"/>
          <w:szCs w:val="20"/>
        </w:rPr>
      </w:pPr>
    </w:p>
    <w:p w:rsidR="00CD73D7" w:rsidRPr="00FA3856" w:rsidRDefault="00CD73D7" w:rsidP="00D4016B">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 xml:space="preserve">O valor do prejuízo fiscal não operacional a ser compensado em cada período de apuração subsequente não pode exceder o total dos resultados não operacionais positivos apurados no período da compensação. </w:t>
      </w:r>
    </w:p>
    <w:p w:rsidR="00D4016B" w:rsidRPr="00FA3856" w:rsidRDefault="00D4016B" w:rsidP="00D4016B">
      <w:pPr>
        <w:pStyle w:val="NormalWeb"/>
        <w:spacing w:before="0" w:after="0"/>
        <w:ind w:firstLine="708"/>
        <w:jc w:val="both"/>
        <w:rPr>
          <w:rFonts w:ascii="Times New Roman" w:hAnsi="Times New Roman" w:cs="Times New Roman"/>
          <w:szCs w:val="20"/>
        </w:rPr>
      </w:pPr>
    </w:p>
    <w:p w:rsidR="00CD73D7" w:rsidRPr="00FA3856" w:rsidRDefault="00CD73D7" w:rsidP="00D4016B">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soma dos prejuízos fiscais não operacionais com os prejuízos decorrentes de outras atividades da pessoa jurídica, a ser compensada, não pode exceder o limite de 30% (trinta por cento) do lucro líquido do período de apuração da compensação, ajustado pelas adições e exclusões previstas e autorizadas pela legislação do imposto de renda.</w:t>
      </w:r>
    </w:p>
    <w:p w:rsidR="00D4016B" w:rsidRPr="00FA3856" w:rsidRDefault="00D4016B" w:rsidP="001A6818">
      <w:pPr>
        <w:pStyle w:val="NormalWeb"/>
        <w:spacing w:before="0" w:after="0"/>
        <w:jc w:val="both"/>
        <w:rPr>
          <w:rFonts w:ascii="Times New Roman" w:hAnsi="Times New Roman" w:cs="Times New Roman"/>
          <w:szCs w:val="20"/>
        </w:rPr>
      </w:pPr>
    </w:p>
    <w:p w:rsidR="00CD73D7" w:rsidRPr="00FA3856" w:rsidRDefault="00CD73D7" w:rsidP="00D4016B">
      <w:pPr>
        <w:pStyle w:val="NormalWeb"/>
        <w:spacing w:before="0" w:after="0"/>
        <w:ind w:firstLine="600"/>
        <w:jc w:val="both"/>
        <w:rPr>
          <w:rFonts w:ascii="Times New Roman" w:hAnsi="Times New Roman" w:cs="Times New Roman"/>
          <w:szCs w:val="20"/>
        </w:rPr>
      </w:pPr>
      <w:r w:rsidRPr="00FA3856">
        <w:rPr>
          <w:rFonts w:ascii="Times New Roman" w:hAnsi="Times New Roman" w:cs="Times New Roman"/>
          <w:szCs w:val="20"/>
        </w:rPr>
        <w:t>No período em que for apurado resultado não operacional positivo, todo o seu valor será utilizado para compensar os prejuízos fiscais não operacionais de períodos anteriores, ainda que a parcela do lucro real admitida para compensação não seja suficiente ou que tenha sido apurado prejuízo fiscal. Nessa hipótese, a parcela dos prejuízos fiscais não operacionais compensados com os lucros não operacionais que não puder ser compensada com o lucro real, seja em virtude do limite de 30% (trinta por cento) ou de ter ocorrido prejuízo fiscal no período de apuração, será considerada prejuízo das demais atividades, devendo ser promovidos os devidos ajustes na Parte B do Lalur.</w:t>
      </w:r>
    </w:p>
    <w:p w:rsidR="00D4016B" w:rsidRPr="00FA3856" w:rsidRDefault="00D4016B" w:rsidP="001A6818">
      <w:pPr>
        <w:pStyle w:val="NormalWeb"/>
        <w:spacing w:before="0" w:after="0"/>
        <w:ind w:left="600"/>
        <w:jc w:val="both"/>
        <w:rPr>
          <w:rFonts w:ascii="Times New Roman" w:hAnsi="Times New Roman" w:cs="Times New Roman"/>
          <w:b/>
          <w:bCs/>
          <w:szCs w:val="20"/>
        </w:rPr>
      </w:pPr>
    </w:p>
    <w:p w:rsidR="00CD73D7" w:rsidRPr="00FA3856" w:rsidRDefault="00CD73D7" w:rsidP="00D4016B">
      <w:pPr>
        <w:pStyle w:val="NormalWeb"/>
        <w:spacing w:before="0" w:after="0"/>
        <w:ind w:left="600"/>
        <w:jc w:val="both"/>
        <w:rPr>
          <w:rFonts w:ascii="Times New Roman" w:hAnsi="Times New Roman" w:cs="Times New Roman"/>
          <w:szCs w:val="20"/>
        </w:rPr>
      </w:pPr>
      <w:r w:rsidRPr="00FA3856">
        <w:rPr>
          <w:rFonts w:ascii="Times New Roman" w:hAnsi="Times New Roman" w:cs="Times New Roman"/>
          <w:b/>
          <w:bCs/>
          <w:szCs w:val="20"/>
        </w:rPr>
        <w:t>Atenção:</w:t>
      </w:r>
      <w:r w:rsidR="00D4016B" w:rsidRPr="00FA3856">
        <w:rPr>
          <w:rFonts w:ascii="Times New Roman" w:hAnsi="Times New Roman" w:cs="Times New Roman"/>
          <w:szCs w:val="20"/>
        </w:rPr>
        <w:t xml:space="preserve"> </w:t>
      </w:r>
      <w:r w:rsidRPr="00FA3856">
        <w:rPr>
          <w:rFonts w:ascii="Times New Roman" w:hAnsi="Times New Roman" w:cs="Times New Roman"/>
          <w:szCs w:val="20"/>
        </w:rPr>
        <w:t>O disposto neste item não se aplica às perdas decorrentes de baixa de bens ou direitos do ativo permanente em virtude de terem se tornado imprestáveis, obsoletos ou caído em desuso, ainda que posteriormente venham a ser alienados como sucata.</w:t>
      </w:r>
    </w:p>
    <w:p w:rsidR="00D4016B" w:rsidRPr="00FA3856" w:rsidRDefault="00D4016B" w:rsidP="001A6818">
      <w:pPr>
        <w:pStyle w:val="NormalWeb"/>
        <w:spacing w:before="0" w:after="0"/>
        <w:jc w:val="both"/>
        <w:rPr>
          <w:rFonts w:ascii="Times New Roman" w:hAnsi="Times New Roman" w:cs="Times New Roman"/>
          <w:b/>
          <w:bCs/>
          <w:szCs w:val="20"/>
        </w:rPr>
      </w:pPr>
    </w:p>
    <w:p w:rsidR="00D4016B" w:rsidRPr="00FA3856" w:rsidRDefault="00D4016B">
      <w:pPr>
        <w:spacing w:after="200" w:line="276" w:lineRule="auto"/>
        <w:rPr>
          <w:rFonts w:eastAsia="Arial Unicode MS"/>
          <w:b/>
          <w:bCs/>
          <w:szCs w:val="20"/>
          <w:lang w:eastAsia="ar-SA"/>
        </w:rPr>
      </w:pPr>
      <w:r w:rsidRPr="00FA3856">
        <w:rPr>
          <w:b/>
          <w:bCs/>
          <w:szCs w:val="20"/>
        </w:rPr>
        <w:br w:type="page"/>
      </w:r>
    </w:p>
    <w:p w:rsidR="00CD73D7" w:rsidRPr="00FA3856" w:rsidRDefault="00D4016B" w:rsidP="001A6818">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lastRenderedPageBreak/>
        <w:t>I.9.3</w:t>
      </w:r>
      <w:r w:rsidR="00CD73D7" w:rsidRPr="00FA3856">
        <w:rPr>
          <w:rFonts w:ascii="Times New Roman" w:hAnsi="Times New Roman" w:cs="Times New Roman"/>
          <w:b/>
          <w:bCs/>
          <w:szCs w:val="20"/>
        </w:rPr>
        <w:t>) Mudança de Controle Societário e de Ramo de Atividade</w:t>
      </w:r>
    </w:p>
    <w:p w:rsidR="00D4016B" w:rsidRPr="00FA3856" w:rsidRDefault="00D4016B" w:rsidP="001A6818">
      <w:pPr>
        <w:pStyle w:val="NormalWeb"/>
        <w:spacing w:before="0" w:after="0"/>
        <w:jc w:val="both"/>
        <w:rPr>
          <w:rFonts w:ascii="Times New Roman" w:hAnsi="Times New Roman" w:cs="Times New Roman"/>
          <w:szCs w:val="20"/>
        </w:rPr>
      </w:pPr>
    </w:p>
    <w:p w:rsidR="00CD73D7" w:rsidRPr="00FA3856" w:rsidRDefault="00CD73D7" w:rsidP="00D4016B">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pessoa jurídica não pode compensar seus próprios prejuízos fiscais, se, entre a data da apuração e a da compensação, houver ocorrido, cumulativamente, modificação de seu controle societário e do ramo de atividade (Decreto-lei n</w:t>
      </w:r>
      <w:r w:rsidRPr="00FA3856">
        <w:rPr>
          <w:rFonts w:ascii="Times New Roman" w:hAnsi="Times New Roman" w:cs="Times New Roman"/>
          <w:strike/>
          <w:szCs w:val="20"/>
        </w:rPr>
        <w:t>º</w:t>
      </w:r>
      <w:r w:rsidRPr="00FA3856">
        <w:rPr>
          <w:rFonts w:ascii="Times New Roman" w:hAnsi="Times New Roman" w:cs="Times New Roman"/>
          <w:szCs w:val="20"/>
        </w:rPr>
        <w:t xml:space="preserve"> 2.341, de 1987, art. 32; Decreto n</w:t>
      </w:r>
      <w:r w:rsidRPr="00FA3856">
        <w:rPr>
          <w:rFonts w:ascii="Times New Roman" w:hAnsi="Times New Roman" w:cs="Times New Roman"/>
          <w:strike/>
          <w:szCs w:val="20"/>
        </w:rPr>
        <w:t>º</w:t>
      </w:r>
      <w:r w:rsidRPr="00FA3856">
        <w:rPr>
          <w:rFonts w:ascii="Times New Roman" w:hAnsi="Times New Roman" w:cs="Times New Roman"/>
          <w:szCs w:val="20"/>
        </w:rPr>
        <w:t xml:space="preserve"> 3.000, de 1999, art. 513).</w:t>
      </w:r>
    </w:p>
    <w:p w:rsidR="00D4016B" w:rsidRPr="00FA3856" w:rsidRDefault="00D4016B" w:rsidP="001A6818">
      <w:pPr>
        <w:pStyle w:val="NormalWeb"/>
        <w:spacing w:before="0" w:after="0"/>
        <w:jc w:val="both"/>
        <w:rPr>
          <w:rFonts w:ascii="Times New Roman" w:hAnsi="Times New Roman" w:cs="Times New Roman"/>
          <w:b/>
          <w:bCs/>
          <w:szCs w:val="20"/>
        </w:rPr>
      </w:pPr>
    </w:p>
    <w:p w:rsidR="00CD73D7" w:rsidRPr="00FA3856" w:rsidRDefault="00D4016B" w:rsidP="001A6818">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t>I.9.4</w:t>
      </w:r>
      <w:r w:rsidR="00CD73D7" w:rsidRPr="00FA3856">
        <w:rPr>
          <w:rFonts w:ascii="Times New Roman" w:hAnsi="Times New Roman" w:cs="Times New Roman"/>
          <w:b/>
          <w:bCs/>
          <w:szCs w:val="20"/>
        </w:rPr>
        <w:t>) Incorporação, Fusão e Cisão</w:t>
      </w:r>
    </w:p>
    <w:p w:rsidR="00D4016B" w:rsidRPr="00FA3856" w:rsidRDefault="00D4016B" w:rsidP="001A6818">
      <w:pPr>
        <w:pStyle w:val="NormalWeb"/>
        <w:spacing w:before="0" w:after="0"/>
        <w:jc w:val="both"/>
        <w:rPr>
          <w:rFonts w:ascii="Times New Roman" w:hAnsi="Times New Roman" w:cs="Times New Roman"/>
          <w:szCs w:val="20"/>
        </w:rPr>
      </w:pPr>
    </w:p>
    <w:p w:rsidR="00CD73D7" w:rsidRPr="00FA3856" w:rsidRDefault="00CD73D7" w:rsidP="00D4016B">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pessoa jurídica sucessora por incorporação, fusão ou cisão não pode compensar prejuízos fiscais da sucedida.</w:t>
      </w:r>
    </w:p>
    <w:p w:rsidR="00D4016B" w:rsidRPr="00FA3856" w:rsidRDefault="00D4016B" w:rsidP="001A6818">
      <w:pPr>
        <w:pStyle w:val="NormalWeb"/>
        <w:spacing w:before="0" w:after="0"/>
        <w:jc w:val="both"/>
        <w:rPr>
          <w:rFonts w:ascii="Times New Roman" w:hAnsi="Times New Roman" w:cs="Times New Roman"/>
          <w:szCs w:val="20"/>
        </w:rPr>
      </w:pPr>
    </w:p>
    <w:p w:rsidR="00CD73D7" w:rsidRPr="00FA3856" w:rsidRDefault="00CD73D7" w:rsidP="00D4016B">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No caso de cisão parcial, a pessoa jurídica cindida poderá compensar os seus próprios prejuízos, proporcionalmente à parcela remanescente do patrimônio líquido (Decreto-lei n</w:t>
      </w:r>
      <w:r w:rsidRPr="00FA3856">
        <w:rPr>
          <w:rFonts w:ascii="Times New Roman" w:hAnsi="Times New Roman" w:cs="Times New Roman"/>
          <w:strike/>
          <w:szCs w:val="20"/>
        </w:rPr>
        <w:t>º</w:t>
      </w:r>
      <w:r w:rsidRPr="00FA3856">
        <w:rPr>
          <w:rFonts w:ascii="Times New Roman" w:hAnsi="Times New Roman" w:cs="Times New Roman"/>
          <w:szCs w:val="20"/>
        </w:rPr>
        <w:t xml:space="preserve"> 2.341, de 1987, art. 33, parágrafo único; Decreto n</w:t>
      </w:r>
      <w:r w:rsidRPr="00FA3856">
        <w:rPr>
          <w:rFonts w:ascii="Times New Roman" w:hAnsi="Times New Roman" w:cs="Times New Roman"/>
          <w:strike/>
          <w:szCs w:val="20"/>
        </w:rPr>
        <w:t>º</w:t>
      </w:r>
      <w:r w:rsidRPr="00FA3856">
        <w:rPr>
          <w:rFonts w:ascii="Times New Roman" w:hAnsi="Times New Roman" w:cs="Times New Roman"/>
          <w:szCs w:val="20"/>
        </w:rPr>
        <w:t xml:space="preserve"> 3.000, de 1999, art. 514, parágrafo único).</w:t>
      </w:r>
    </w:p>
    <w:p w:rsidR="00D4016B" w:rsidRPr="00FA3856" w:rsidRDefault="00D4016B" w:rsidP="001A6818">
      <w:pPr>
        <w:pStyle w:val="NormalWeb"/>
        <w:spacing w:before="0" w:after="0"/>
        <w:jc w:val="both"/>
        <w:rPr>
          <w:rFonts w:ascii="Times New Roman" w:hAnsi="Times New Roman" w:cs="Times New Roman"/>
          <w:b/>
          <w:bCs/>
          <w:szCs w:val="20"/>
        </w:rPr>
      </w:pPr>
    </w:p>
    <w:p w:rsidR="00CD73D7" w:rsidRPr="00FA3856" w:rsidRDefault="00D4016B" w:rsidP="001A6818">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t>I.9.5</w:t>
      </w:r>
      <w:r w:rsidR="00CD73D7" w:rsidRPr="00FA3856">
        <w:rPr>
          <w:rFonts w:ascii="Times New Roman" w:hAnsi="Times New Roman" w:cs="Times New Roman"/>
          <w:b/>
          <w:bCs/>
          <w:szCs w:val="20"/>
        </w:rPr>
        <w:t>) Sociedade em Conta de Participação (SCP)</w:t>
      </w:r>
    </w:p>
    <w:p w:rsidR="00D4016B" w:rsidRPr="00FA3856" w:rsidRDefault="00D4016B" w:rsidP="001A6818">
      <w:pPr>
        <w:pStyle w:val="NormalWeb"/>
        <w:spacing w:before="0" w:after="0"/>
        <w:jc w:val="both"/>
        <w:rPr>
          <w:rFonts w:ascii="Times New Roman" w:hAnsi="Times New Roman" w:cs="Times New Roman"/>
          <w:szCs w:val="20"/>
        </w:rPr>
      </w:pPr>
    </w:p>
    <w:p w:rsidR="00CD73D7" w:rsidRPr="00FA3856" w:rsidRDefault="00CD73D7" w:rsidP="00D4016B">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O prejuízo fiscal apurado por Sociedade em Conta de Participação (SCP) somente pode ser compensado com o lucro real decorrente da mesma Sociedade em Conta de Participação (SCP).</w:t>
      </w:r>
      <w:r w:rsidR="00D4016B" w:rsidRPr="00FA3856">
        <w:rPr>
          <w:rFonts w:ascii="Times New Roman" w:hAnsi="Times New Roman" w:cs="Times New Roman"/>
          <w:szCs w:val="20"/>
        </w:rPr>
        <w:t xml:space="preserve"> </w:t>
      </w:r>
      <w:r w:rsidRPr="00FA3856">
        <w:rPr>
          <w:rFonts w:ascii="Times New Roman" w:hAnsi="Times New Roman" w:cs="Times New Roman"/>
          <w:szCs w:val="20"/>
        </w:rPr>
        <w:t>É vedada a compensação de prejuízos fiscais e lucros entre duas ou mais SCP ou entre estas e o sócio ostensivo.</w:t>
      </w:r>
    </w:p>
    <w:p w:rsidR="00D4016B" w:rsidRPr="00FA3856" w:rsidRDefault="00D4016B" w:rsidP="001A6818">
      <w:pPr>
        <w:pStyle w:val="NormalWeb"/>
        <w:spacing w:before="0" w:after="0"/>
        <w:jc w:val="both"/>
        <w:rPr>
          <w:rFonts w:ascii="Times New Roman" w:hAnsi="Times New Roman" w:cs="Times New Roman"/>
          <w:b/>
          <w:bCs/>
          <w:szCs w:val="20"/>
        </w:rPr>
      </w:pPr>
    </w:p>
    <w:p w:rsidR="00CD73D7" w:rsidRPr="00FA3856" w:rsidRDefault="00D4016B" w:rsidP="001A6818">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t>I.9.6</w:t>
      </w:r>
      <w:r w:rsidR="00CD73D7" w:rsidRPr="00FA3856">
        <w:rPr>
          <w:rFonts w:ascii="Times New Roman" w:hAnsi="Times New Roman" w:cs="Times New Roman"/>
          <w:b/>
          <w:bCs/>
          <w:szCs w:val="20"/>
        </w:rPr>
        <w:t xml:space="preserve">) Atividade Rural </w:t>
      </w:r>
    </w:p>
    <w:p w:rsidR="00D4016B" w:rsidRPr="00FA3856" w:rsidRDefault="00D4016B" w:rsidP="001A6818">
      <w:pPr>
        <w:pStyle w:val="NormalWeb"/>
        <w:spacing w:before="0" w:after="0"/>
        <w:jc w:val="both"/>
        <w:rPr>
          <w:rFonts w:ascii="Times New Roman" w:hAnsi="Times New Roman" w:cs="Times New Roman"/>
          <w:szCs w:val="20"/>
        </w:rPr>
      </w:pPr>
    </w:p>
    <w:p w:rsidR="00CD73D7" w:rsidRPr="00FA3856" w:rsidRDefault="00CD73D7" w:rsidP="00D4016B">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O prejuízo fiscal apurado na atividade rural pode ser compensado com o resultado positivo da mesma atividade, obtido em períodos posteriores, não se lhe aplicando o limite de 30% (trinta por cento) do lucro líquido ajustado, para fins de redução por compensação de prejuízos fiscais.</w:t>
      </w:r>
    </w:p>
    <w:p w:rsidR="00D4016B" w:rsidRPr="00FA3856" w:rsidRDefault="00D4016B" w:rsidP="001A6818">
      <w:pPr>
        <w:pStyle w:val="NormalWeb"/>
        <w:spacing w:before="0" w:after="0"/>
        <w:jc w:val="both"/>
        <w:rPr>
          <w:rFonts w:ascii="Times New Roman" w:hAnsi="Times New Roman" w:cs="Times New Roman"/>
          <w:szCs w:val="20"/>
        </w:rPr>
      </w:pPr>
    </w:p>
    <w:p w:rsidR="00CD73D7" w:rsidRPr="00FA3856" w:rsidRDefault="00CD73D7" w:rsidP="00D4016B">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O prejuízo fiscal da atividade rural apurado no período pode ser compensado com o lucro real das demais atividades apurado no mesmo período, sem limite.</w:t>
      </w:r>
    </w:p>
    <w:p w:rsidR="00D4016B" w:rsidRPr="00FA3856" w:rsidRDefault="00D4016B" w:rsidP="001A6818">
      <w:pPr>
        <w:pStyle w:val="NormalWeb"/>
        <w:spacing w:before="0" w:after="0"/>
        <w:jc w:val="both"/>
        <w:rPr>
          <w:rFonts w:ascii="Times New Roman" w:hAnsi="Times New Roman" w:cs="Times New Roman"/>
          <w:szCs w:val="20"/>
        </w:rPr>
      </w:pPr>
    </w:p>
    <w:p w:rsidR="00CD73D7" w:rsidRPr="00FA3856" w:rsidRDefault="00CD73D7" w:rsidP="00D4016B">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O prejuízo fiscal da atividade rural pode ser compensado com o lucro real de outras atividades, em períodos de apuração subsequentes, observado o limite de 30% (trinta por cento) do lucro líquido ajustado.</w:t>
      </w:r>
    </w:p>
    <w:p w:rsidR="00D4016B" w:rsidRPr="00FA3856" w:rsidRDefault="00D4016B" w:rsidP="001A6818">
      <w:pPr>
        <w:pStyle w:val="NormalWeb"/>
        <w:spacing w:before="0" w:after="0"/>
        <w:jc w:val="both"/>
        <w:rPr>
          <w:rFonts w:ascii="Times New Roman" w:hAnsi="Times New Roman" w:cs="Times New Roman"/>
          <w:b/>
          <w:bCs/>
          <w:szCs w:val="20"/>
        </w:rPr>
      </w:pPr>
    </w:p>
    <w:p w:rsidR="00CD73D7" w:rsidRPr="00FA3856" w:rsidRDefault="00D4016B" w:rsidP="001A6818">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t>I.9.7</w:t>
      </w:r>
      <w:r w:rsidR="00CD73D7" w:rsidRPr="00FA3856">
        <w:rPr>
          <w:rFonts w:ascii="Times New Roman" w:hAnsi="Times New Roman" w:cs="Times New Roman"/>
          <w:b/>
          <w:bCs/>
          <w:szCs w:val="20"/>
        </w:rPr>
        <w:t>) Prejuízos Fiscais Incorridos no Exterior</w:t>
      </w:r>
    </w:p>
    <w:p w:rsidR="00D4016B" w:rsidRPr="00FA3856" w:rsidRDefault="00D4016B" w:rsidP="001A6818">
      <w:pPr>
        <w:pStyle w:val="NormalWeb"/>
        <w:spacing w:before="0" w:after="0"/>
        <w:jc w:val="both"/>
        <w:rPr>
          <w:rFonts w:ascii="Times New Roman" w:hAnsi="Times New Roman" w:cs="Times New Roman"/>
          <w:szCs w:val="20"/>
        </w:rPr>
      </w:pPr>
    </w:p>
    <w:p w:rsidR="00CD73D7" w:rsidRPr="00FA3856" w:rsidRDefault="00CD73D7" w:rsidP="00D4016B">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 xml:space="preserve">Não são compensáveis com lucros auferidos no Brasil os prejuízos e perdas decorrentes das operações ocorridas no exterior, a saber: </w:t>
      </w:r>
    </w:p>
    <w:p w:rsidR="00D4016B" w:rsidRPr="00FA3856" w:rsidRDefault="00D4016B" w:rsidP="001A6818">
      <w:pPr>
        <w:pStyle w:val="NormalWeb"/>
        <w:spacing w:before="0" w:after="0"/>
        <w:jc w:val="both"/>
        <w:rPr>
          <w:rFonts w:ascii="Times New Roman" w:hAnsi="Times New Roman" w:cs="Times New Roman"/>
          <w:szCs w:val="20"/>
        </w:rPr>
      </w:pPr>
    </w:p>
    <w:p w:rsidR="00CD73D7" w:rsidRPr="00FA3856" w:rsidRDefault="00CD73D7" w:rsidP="00D4016B">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I - os prejuízos de filiais, sucursais, controladas ou coligadas, no exterior;</w:t>
      </w:r>
    </w:p>
    <w:p w:rsidR="00CD73D7" w:rsidRPr="00FA3856" w:rsidRDefault="00CD73D7" w:rsidP="00D4016B">
      <w:pPr>
        <w:pStyle w:val="NormalWeb"/>
        <w:spacing w:before="0" w:after="0"/>
        <w:ind w:left="708"/>
        <w:jc w:val="both"/>
        <w:rPr>
          <w:rFonts w:ascii="Times New Roman" w:hAnsi="Times New Roman" w:cs="Times New Roman"/>
          <w:szCs w:val="20"/>
        </w:rPr>
      </w:pPr>
      <w:r w:rsidRPr="00FA3856">
        <w:rPr>
          <w:rFonts w:ascii="Times New Roman" w:hAnsi="Times New Roman" w:cs="Times New Roman"/>
          <w:szCs w:val="20"/>
        </w:rPr>
        <w:t>II - os prejuízos e as perdas de capital decorrentes de aplicações e operações efetuadas no exterior pela própria empresa brasileira, inclusive em relação à alienação de filiais e sucursais e de participações societárias em pessoas jurídicas domiciliadas no exterior.</w:t>
      </w:r>
    </w:p>
    <w:p w:rsidR="00D4016B" w:rsidRPr="00FA3856" w:rsidRDefault="00D4016B" w:rsidP="001A6818">
      <w:pPr>
        <w:pStyle w:val="NormalWeb"/>
        <w:spacing w:before="0" w:after="0"/>
        <w:jc w:val="both"/>
        <w:rPr>
          <w:rFonts w:ascii="Times New Roman" w:hAnsi="Times New Roman" w:cs="Times New Roman"/>
          <w:szCs w:val="20"/>
        </w:rPr>
      </w:pPr>
    </w:p>
    <w:p w:rsidR="00D4016B" w:rsidRPr="00FA3856" w:rsidRDefault="00D4016B" w:rsidP="00D4016B">
      <w:pPr>
        <w:pStyle w:val="NormalWeb"/>
        <w:spacing w:before="0" w:after="0"/>
        <w:ind w:firstLine="708"/>
        <w:jc w:val="both"/>
        <w:rPr>
          <w:rFonts w:ascii="Times New Roman" w:hAnsi="Times New Roman" w:cs="Times New Roman"/>
          <w:szCs w:val="20"/>
        </w:rPr>
      </w:pPr>
    </w:p>
    <w:p w:rsidR="00D4016B" w:rsidRPr="00FA3856" w:rsidRDefault="00D4016B" w:rsidP="00D4016B">
      <w:pPr>
        <w:pStyle w:val="NormalWeb"/>
        <w:spacing w:before="0" w:after="0"/>
        <w:ind w:firstLine="708"/>
        <w:jc w:val="both"/>
        <w:rPr>
          <w:rFonts w:ascii="Times New Roman" w:hAnsi="Times New Roman" w:cs="Times New Roman"/>
          <w:szCs w:val="20"/>
        </w:rPr>
      </w:pPr>
    </w:p>
    <w:p w:rsidR="00D4016B" w:rsidRPr="00FA3856" w:rsidRDefault="00D4016B" w:rsidP="00D4016B">
      <w:pPr>
        <w:pStyle w:val="NormalWeb"/>
        <w:spacing w:before="0" w:after="0"/>
        <w:ind w:firstLine="708"/>
        <w:jc w:val="both"/>
        <w:rPr>
          <w:rFonts w:ascii="Times New Roman" w:hAnsi="Times New Roman" w:cs="Times New Roman"/>
          <w:szCs w:val="20"/>
        </w:rPr>
      </w:pPr>
    </w:p>
    <w:p w:rsidR="00D4016B" w:rsidRPr="00FA3856" w:rsidRDefault="00D4016B" w:rsidP="00D4016B">
      <w:pPr>
        <w:pStyle w:val="NormalWeb"/>
        <w:spacing w:before="0" w:after="0"/>
        <w:ind w:firstLine="708"/>
        <w:jc w:val="both"/>
        <w:rPr>
          <w:rFonts w:ascii="Times New Roman" w:hAnsi="Times New Roman" w:cs="Times New Roman"/>
          <w:szCs w:val="20"/>
        </w:rPr>
      </w:pPr>
    </w:p>
    <w:p w:rsidR="00D4016B" w:rsidRPr="00FA3856" w:rsidRDefault="00D4016B" w:rsidP="00D4016B">
      <w:pPr>
        <w:pStyle w:val="NormalWeb"/>
        <w:spacing w:before="0" w:after="0"/>
        <w:ind w:firstLine="708"/>
        <w:jc w:val="both"/>
        <w:rPr>
          <w:rFonts w:ascii="Times New Roman" w:hAnsi="Times New Roman" w:cs="Times New Roman"/>
          <w:szCs w:val="20"/>
        </w:rPr>
      </w:pPr>
    </w:p>
    <w:p w:rsidR="00CD73D7" w:rsidRPr="00FA3856" w:rsidRDefault="00CD73D7" w:rsidP="00D4016B">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lastRenderedPageBreak/>
        <w:t>Os prejuízos apurados com base na escrituração contábil da filial, sucursal, controlada ou coligada, no exterior, efetuada segundo as normas legais do país de seu domicílio, podem ser compensados, não se lhes aplicando a limitação da compensação de prejuízos de 30% (trinta por cento), desde que:</w:t>
      </w:r>
    </w:p>
    <w:p w:rsidR="00D4016B" w:rsidRPr="00FA3856" w:rsidRDefault="00D4016B" w:rsidP="001A6818">
      <w:pPr>
        <w:pStyle w:val="NormalWeb"/>
        <w:spacing w:before="0" w:after="0"/>
        <w:jc w:val="both"/>
        <w:rPr>
          <w:rFonts w:ascii="Times New Roman" w:hAnsi="Times New Roman" w:cs="Times New Roman"/>
          <w:szCs w:val="20"/>
        </w:rPr>
      </w:pPr>
    </w:p>
    <w:p w:rsidR="00CD73D7" w:rsidRPr="00FA3856" w:rsidRDefault="00CD73D7" w:rsidP="00D4016B">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I - os prejuízos apurados por uma controlada ou coligada, no exterior, somente sejam compensados com lucros dessa mesma controlada ou coligada;</w:t>
      </w:r>
    </w:p>
    <w:p w:rsidR="00CD73D7" w:rsidRPr="00FA3856" w:rsidRDefault="00CD73D7" w:rsidP="00D4016B">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II - os prejuízos de filiais e sucursais com resultados consolidados por país, quando a matriz no Brasil indicar uma filial ou sucursal como entidade líder no referido país, sejam compensados com os lucros de outra filial e sucursal no mesmo país.</w:t>
      </w:r>
    </w:p>
    <w:p w:rsidR="00D4016B" w:rsidRPr="00FA3856" w:rsidRDefault="00D4016B" w:rsidP="001A6818">
      <w:pPr>
        <w:pStyle w:val="NormalWeb"/>
        <w:spacing w:before="0" w:after="0"/>
        <w:jc w:val="both"/>
        <w:rPr>
          <w:rFonts w:ascii="Times New Roman" w:hAnsi="Times New Roman" w:cs="Times New Roman"/>
          <w:szCs w:val="20"/>
        </w:rPr>
      </w:pPr>
    </w:p>
    <w:p w:rsidR="00CD73D7" w:rsidRPr="00FA3856" w:rsidRDefault="00CD73D7" w:rsidP="00D4016B">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empresa brasileira que absorver patrimônio de filial, sucursal, controlada ou coligada, no exterior, de outra empresa brasileira, e continuar a exploração das atividades no exterior, poderá compensar, na forma prevista na legislação, os prejuízos acumulados pela referida filial, sucursal, controlada ou coligada, correspondentes aos períodos iniciados a partir do ano-calendário de 1996.</w:t>
      </w:r>
    </w:p>
    <w:p w:rsidR="00D4016B" w:rsidRPr="00FA3856" w:rsidRDefault="00D4016B" w:rsidP="001A6818">
      <w:pPr>
        <w:pStyle w:val="NormalWeb"/>
        <w:spacing w:before="0" w:after="0"/>
        <w:jc w:val="both"/>
        <w:rPr>
          <w:rFonts w:ascii="Times New Roman" w:hAnsi="Times New Roman" w:cs="Times New Roman"/>
          <w:b/>
          <w:bCs/>
          <w:szCs w:val="20"/>
        </w:rPr>
      </w:pPr>
    </w:p>
    <w:p w:rsidR="00CD73D7" w:rsidRPr="00FA3856" w:rsidRDefault="00B14A83" w:rsidP="001A6818">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t xml:space="preserve">I.10) </w:t>
      </w:r>
      <w:r w:rsidR="00CD73D7" w:rsidRPr="00FA3856">
        <w:rPr>
          <w:rFonts w:ascii="Times New Roman" w:hAnsi="Times New Roman" w:cs="Times New Roman"/>
          <w:b/>
          <w:bCs/>
          <w:szCs w:val="20"/>
        </w:rPr>
        <w:t>Pagamento do Imposto (Trimestral e Anual)</w:t>
      </w:r>
    </w:p>
    <w:p w:rsidR="00D4016B" w:rsidRPr="00FA3856" w:rsidRDefault="00D4016B" w:rsidP="001A6818">
      <w:pPr>
        <w:pStyle w:val="NormalWeb"/>
        <w:spacing w:before="0" w:after="0"/>
        <w:jc w:val="both"/>
        <w:rPr>
          <w:rFonts w:ascii="Times New Roman" w:hAnsi="Times New Roman" w:cs="Times New Roman"/>
          <w:b/>
          <w:bCs/>
          <w:szCs w:val="20"/>
        </w:rPr>
      </w:pPr>
    </w:p>
    <w:p w:rsidR="00CD73D7" w:rsidRPr="00FA3856" w:rsidRDefault="00B14A83" w:rsidP="001A6818">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t xml:space="preserve">I.10.1) </w:t>
      </w:r>
      <w:r w:rsidR="00CD73D7" w:rsidRPr="00FA3856">
        <w:rPr>
          <w:rFonts w:ascii="Times New Roman" w:hAnsi="Times New Roman" w:cs="Times New Roman"/>
          <w:b/>
          <w:bCs/>
          <w:szCs w:val="20"/>
        </w:rPr>
        <w:t>Local de Pagamento</w:t>
      </w:r>
    </w:p>
    <w:p w:rsidR="00D4016B" w:rsidRPr="00FA3856" w:rsidRDefault="00D4016B" w:rsidP="001A6818">
      <w:pPr>
        <w:pStyle w:val="NormalWeb"/>
        <w:spacing w:before="0" w:after="0"/>
        <w:jc w:val="both"/>
        <w:rPr>
          <w:rFonts w:ascii="Times New Roman" w:hAnsi="Times New Roman" w:cs="Times New Roman"/>
          <w:szCs w:val="20"/>
        </w:rPr>
      </w:pPr>
    </w:p>
    <w:p w:rsidR="00CD73D7" w:rsidRPr="00FA3856" w:rsidRDefault="00CD73D7" w:rsidP="00D4016B">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pessoa jurídica deve pagar o imposto nas agências bancárias integrantes da rede arrecadadora de receitas federais.</w:t>
      </w:r>
    </w:p>
    <w:p w:rsidR="00D4016B" w:rsidRPr="00FA3856" w:rsidRDefault="00D4016B" w:rsidP="001A6818">
      <w:pPr>
        <w:pStyle w:val="NormalWeb"/>
        <w:spacing w:before="0" w:after="0"/>
        <w:jc w:val="both"/>
        <w:rPr>
          <w:rFonts w:ascii="Times New Roman" w:hAnsi="Times New Roman" w:cs="Times New Roman"/>
          <w:b/>
          <w:bCs/>
          <w:szCs w:val="20"/>
        </w:rPr>
      </w:pPr>
    </w:p>
    <w:p w:rsidR="00CD73D7" w:rsidRPr="00FA3856" w:rsidRDefault="00B14A83" w:rsidP="001A6818">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t xml:space="preserve">I.10.2) </w:t>
      </w:r>
      <w:r w:rsidR="00D4016B" w:rsidRPr="00FA3856">
        <w:rPr>
          <w:rFonts w:ascii="Times New Roman" w:hAnsi="Times New Roman" w:cs="Times New Roman"/>
          <w:b/>
          <w:bCs/>
          <w:szCs w:val="20"/>
        </w:rPr>
        <w:t>D</w:t>
      </w:r>
      <w:r w:rsidR="00CD73D7" w:rsidRPr="00FA3856">
        <w:rPr>
          <w:rFonts w:ascii="Times New Roman" w:hAnsi="Times New Roman" w:cs="Times New Roman"/>
          <w:b/>
          <w:bCs/>
          <w:szCs w:val="20"/>
        </w:rPr>
        <w:t xml:space="preserve">ocumento a Utilizar </w:t>
      </w:r>
    </w:p>
    <w:p w:rsidR="00D4016B" w:rsidRPr="00FA3856" w:rsidRDefault="00D4016B" w:rsidP="001A6818">
      <w:pPr>
        <w:pStyle w:val="NormalWeb"/>
        <w:spacing w:before="0" w:after="0"/>
        <w:jc w:val="both"/>
        <w:rPr>
          <w:rFonts w:ascii="Times New Roman" w:hAnsi="Times New Roman" w:cs="Times New Roman"/>
          <w:szCs w:val="20"/>
        </w:rPr>
      </w:pPr>
    </w:p>
    <w:p w:rsidR="00CD73D7" w:rsidRPr="00FA3856" w:rsidRDefault="00CD73D7" w:rsidP="00D4016B">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O pagamento deve ser feito mediante a utilização do Documento de Arrecadação de Receitas Federais (Darf), sob os seguintes códigos:</w:t>
      </w:r>
    </w:p>
    <w:p w:rsidR="00D4016B" w:rsidRPr="00FA3856" w:rsidRDefault="00D4016B" w:rsidP="001A6818">
      <w:pPr>
        <w:pStyle w:val="NormalWeb"/>
        <w:spacing w:before="0" w:after="0"/>
        <w:jc w:val="both"/>
        <w:rPr>
          <w:rFonts w:ascii="Times New Roman" w:hAnsi="Times New Roman" w:cs="Times New Roman"/>
          <w:szCs w:val="20"/>
        </w:rPr>
      </w:pPr>
    </w:p>
    <w:p w:rsidR="00CD73D7" w:rsidRPr="00FA3856" w:rsidRDefault="00CD73D7" w:rsidP="00D4016B">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2362 - IRPJ - Obrigadas a Apurar o Lucro Real - Estimativa Mensal;</w:t>
      </w:r>
    </w:p>
    <w:p w:rsidR="00CD73D7" w:rsidRPr="00FA3856" w:rsidRDefault="00CD73D7" w:rsidP="00D4016B">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b) 2319 - IRPJ - Instituições Financeiras - Estimativa Mensal;</w:t>
      </w:r>
    </w:p>
    <w:p w:rsidR="00CD73D7" w:rsidRPr="00FA3856" w:rsidRDefault="00CD73D7" w:rsidP="00D4016B">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c) 0220 - IRPJ - Obrigadas a Apurar o Lucro Real - Trimestral;</w:t>
      </w:r>
    </w:p>
    <w:p w:rsidR="00CD73D7" w:rsidRPr="00FA3856" w:rsidRDefault="00CD73D7" w:rsidP="00D4016B">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d) 1599 - IRPJ - Instituições Financeiras - Trimestral;</w:t>
      </w:r>
    </w:p>
    <w:p w:rsidR="00CD73D7" w:rsidRPr="00FA3856" w:rsidRDefault="00CD73D7" w:rsidP="00D4016B">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e) 5993 - IRPJ - Optantes pela Tributação com Base no Lucro Real - Estimativa Mensal;</w:t>
      </w:r>
    </w:p>
    <w:p w:rsidR="00CD73D7" w:rsidRPr="00FA3856" w:rsidRDefault="00CD73D7" w:rsidP="00D4016B">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f) 3373 - IRPJ - Optantes pela Tributação com Base no Lucro Real - Trimestral;</w:t>
      </w:r>
    </w:p>
    <w:p w:rsidR="00CD73D7" w:rsidRPr="00FA3856" w:rsidRDefault="00CD73D7" w:rsidP="00D4016B">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g) 2390 - IRPJ - Instituições Financeiras - Ajuste Anual;</w:t>
      </w:r>
    </w:p>
    <w:p w:rsidR="00CD73D7" w:rsidRPr="00FA3856" w:rsidRDefault="00CD73D7" w:rsidP="00D4016B">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 xml:space="preserve">h) 2430 </w:t>
      </w:r>
      <w:bookmarkStart w:id="135" w:name="subitem_15.1.10"/>
      <w:bookmarkEnd w:id="135"/>
      <w:r w:rsidRPr="00FA3856">
        <w:rPr>
          <w:rFonts w:ascii="Times New Roman" w:hAnsi="Times New Roman" w:cs="Times New Roman"/>
          <w:szCs w:val="20"/>
        </w:rPr>
        <w:t>- IRPJ - Obrigadas a Apurar o Lucro Real - Ajuste</w:t>
      </w:r>
      <w:bookmarkStart w:id="136" w:name="Subitem_15.1.10.1"/>
      <w:bookmarkEnd w:id="136"/>
      <w:r w:rsidRPr="00FA3856">
        <w:rPr>
          <w:rFonts w:ascii="Times New Roman" w:hAnsi="Times New Roman" w:cs="Times New Roman"/>
          <w:szCs w:val="20"/>
        </w:rPr>
        <w:t xml:space="preserve"> Anual;</w:t>
      </w:r>
    </w:p>
    <w:p w:rsidR="00CD73D7" w:rsidRPr="00FA3856" w:rsidRDefault="00CD73D7" w:rsidP="00D4016B">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i) 2456 - IRPJ - Optantes pela Tributação com Base no Lucro Real - Ajuste Anual.</w:t>
      </w:r>
    </w:p>
    <w:p w:rsidR="00D4016B" w:rsidRPr="00FA3856" w:rsidRDefault="00D4016B" w:rsidP="001A6818">
      <w:pPr>
        <w:pStyle w:val="NormalWeb"/>
        <w:spacing w:before="0" w:after="0"/>
        <w:jc w:val="both"/>
        <w:rPr>
          <w:rFonts w:ascii="Times New Roman" w:hAnsi="Times New Roman" w:cs="Times New Roman"/>
          <w:b/>
          <w:bCs/>
          <w:szCs w:val="20"/>
        </w:rPr>
      </w:pPr>
    </w:p>
    <w:p w:rsidR="00CD73D7" w:rsidRPr="00FA3856" w:rsidRDefault="005308A3" w:rsidP="001A6818">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t>I.10.3</w:t>
      </w:r>
      <w:r w:rsidR="00B14A83" w:rsidRPr="00FA3856">
        <w:rPr>
          <w:rFonts w:ascii="Times New Roman" w:hAnsi="Times New Roman" w:cs="Times New Roman"/>
          <w:b/>
          <w:bCs/>
          <w:szCs w:val="20"/>
        </w:rPr>
        <w:t xml:space="preserve">) </w:t>
      </w:r>
      <w:r w:rsidR="00CD73D7" w:rsidRPr="00FA3856">
        <w:rPr>
          <w:rFonts w:ascii="Times New Roman" w:hAnsi="Times New Roman" w:cs="Times New Roman"/>
          <w:b/>
          <w:bCs/>
          <w:szCs w:val="20"/>
        </w:rPr>
        <w:t>Prazo para Pagamento</w:t>
      </w:r>
    </w:p>
    <w:p w:rsidR="005308A3" w:rsidRPr="00FA3856" w:rsidRDefault="005308A3" w:rsidP="001A6818">
      <w:pPr>
        <w:pStyle w:val="NormalWeb"/>
        <w:spacing w:before="0" w:after="0"/>
        <w:jc w:val="both"/>
        <w:rPr>
          <w:rFonts w:ascii="Times New Roman" w:hAnsi="Times New Roman" w:cs="Times New Roman"/>
          <w:b/>
          <w:bCs/>
          <w:szCs w:val="20"/>
        </w:rPr>
      </w:pPr>
    </w:p>
    <w:p w:rsidR="00CD73D7" w:rsidRPr="00FA3856" w:rsidRDefault="005308A3" w:rsidP="001A6818">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t>I.10.3.1</w:t>
      </w:r>
      <w:r w:rsidR="00B14A83" w:rsidRPr="00FA3856">
        <w:rPr>
          <w:rFonts w:ascii="Times New Roman" w:hAnsi="Times New Roman" w:cs="Times New Roman"/>
          <w:b/>
          <w:bCs/>
          <w:szCs w:val="20"/>
        </w:rPr>
        <w:t xml:space="preserve">) </w:t>
      </w:r>
      <w:r w:rsidR="00CD73D7" w:rsidRPr="00FA3856">
        <w:rPr>
          <w:rFonts w:ascii="Times New Roman" w:hAnsi="Times New Roman" w:cs="Times New Roman"/>
          <w:b/>
          <w:bCs/>
          <w:szCs w:val="20"/>
        </w:rPr>
        <w:t>Imposto de Renda</w:t>
      </w:r>
      <w:bookmarkStart w:id="137" w:name="Subitem_15.1.10.2"/>
      <w:bookmarkEnd w:id="137"/>
      <w:r w:rsidR="00CD73D7" w:rsidRPr="00FA3856">
        <w:rPr>
          <w:rFonts w:ascii="Times New Roman" w:hAnsi="Times New Roman" w:cs="Times New Roman"/>
          <w:b/>
          <w:bCs/>
          <w:szCs w:val="20"/>
        </w:rPr>
        <w:t xml:space="preserve"> Determinado com Base no Lucro Real Trimestral</w:t>
      </w:r>
    </w:p>
    <w:p w:rsidR="005308A3" w:rsidRPr="00FA3856" w:rsidRDefault="005308A3" w:rsidP="001A6818">
      <w:pPr>
        <w:pStyle w:val="NormalWeb"/>
        <w:spacing w:before="0" w:after="0"/>
        <w:jc w:val="both"/>
        <w:rPr>
          <w:rFonts w:ascii="Times New Roman" w:hAnsi="Times New Roman" w:cs="Times New Roman"/>
          <w:szCs w:val="20"/>
        </w:rPr>
      </w:pPr>
    </w:p>
    <w:p w:rsidR="00CD73D7" w:rsidRPr="00FA3856" w:rsidRDefault="00CD73D7" w:rsidP="005308A3">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O imposto de renda devido, apurado trimestralmente, deve ser pago em quota única, até o último dia útil do mês subsequente ao do encerramento do período de apuração.</w:t>
      </w:r>
    </w:p>
    <w:p w:rsidR="005308A3" w:rsidRPr="00FA3856" w:rsidRDefault="005308A3" w:rsidP="001A6818">
      <w:pPr>
        <w:pStyle w:val="NormalWeb"/>
        <w:spacing w:before="0" w:after="0"/>
        <w:jc w:val="both"/>
        <w:rPr>
          <w:rFonts w:ascii="Times New Roman" w:hAnsi="Times New Roman" w:cs="Times New Roman"/>
          <w:szCs w:val="20"/>
        </w:rPr>
      </w:pPr>
    </w:p>
    <w:p w:rsidR="00CD73D7" w:rsidRPr="00FA3856" w:rsidRDefault="00CD73D7" w:rsidP="005308A3">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À opção da pessoa jurídica, o imposto devido pode ser pago em até três quotas mensais, iguais e sucessivas, vencíveis no último dia útil dos três meses subsequentes ao de encerramento do período de apuração a que corresponder.</w:t>
      </w:r>
    </w:p>
    <w:p w:rsidR="005308A3" w:rsidRPr="00FA3856" w:rsidRDefault="005308A3" w:rsidP="005308A3">
      <w:pPr>
        <w:pStyle w:val="NormalWeb"/>
        <w:spacing w:before="0" w:after="0"/>
        <w:ind w:firstLine="708"/>
        <w:jc w:val="both"/>
        <w:rPr>
          <w:rFonts w:ascii="Times New Roman" w:hAnsi="Times New Roman" w:cs="Times New Roman"/>
          <w:szCs w:val="20"/>
        </w:rPr>
      </w:pPr>
    </w:p>
    <w:p w:rsidR="005308A3" w:rsidRPr="00FA3856" w:rsidRDefault="00CD73D7" w:rsidP="005308A3">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Nenhuma quota pode ter valor inferior a R$ 1.000,00 (mil reais) e o imposto de valor inferior a R$ 2.000,00 (dois mil reais) deve ser pago em quota única.</w:t>
      </w:r>
      <w:r w:rsidR="005308A3" w:rsidRPr="00FA3856">
        <w:rPr>
          <w:rFonts w:ascii="Times New Roman" w:hAnsi="Times New Roman" w:cs="Times New Roman"/>
          <w:szCs w:val="20"/>
        </w:rPr>
        <w:tab/>
      </w:r>
    </w:p>
    <w:p w:rsidR="00CD73D7" w:rsidRPr="00FA3856" w:rsidRDefault="00CD73D7" w:rsidP="005308A3">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lastRenderedPageBreak/>
        <w:t>As quotas do imposto devem ser acrescidas de juros equivalentes à taxa referencial do Sistema Especial de Liquidação e Custódia (Selic), para títulos federais, acumulada mensalmente, a pa</w:t>
      </w:r>
      <w:bookmarkStart w:id="138" w:name="Subitem_15.1.11"/>
      <w:bookmarkEnd w:id="138"/>
      <w:r w:rsidRPr="00FA3856">
        <w:rPr>
          <w:rFonts w:ascii="Times New Roman" w:hAnsi="Times New Roman" w:cs="Times New Roman"/>
          <w:szCs w:val="20"/>
        </w:rPr>
        <w:t>rtir do primeiro dia do segund</w:t>
      </w:r>
      <w:bookmarkStart w:id="139" w:name="subitem_15.1.11.1"/>
      <w:bookmarkEnd w:id="139"/>
      <w:r w:rsidRPr="00FA3856">
        <w:rPr>
          <w:rFonts w:ascii="Times New Roman" w:hAnsi="Times New Roman" w:cs="Times New Roman"/>
          <w:szCs w:val="20"/>
        </w:rPr>
        <w:t>o mês subsequente ao do encerramento do período de apuração até o último dia do mês anterior ao do pagamento e de 1% (um por cento) no mês do pagamento.</w:t>
      </w:r>
    </w:p>
    <w:p w:rsidR="005308A3" w:rsidRPr="00FA3856" w:rsidRDefault="005308A3" w:rsidP="001A6818">
      <w:pPr>
        <w:pStyle w:val="NormalWeb"/>
        <w:spacing w:before="0" w:after="0"/>
        <w:jc w:val="both"/>
        <w:rPr>
          <w:rFonts w:ascii="Times New Roman" w:hAnsi="Times New Roman" w:cs="Times New Roman"/>
          <w:b/>
          <w:bCs/>
          <w:szCs w:val="20"/>
        </w:rPr>
      </w:pPr>
    </w:p>
    <w:p w:rsidR="00CD73D7" w:rsidRPr="00FA3856" w:rsidRDefault="005308A3" w:rsidP="001A6818">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t>I.10.3</w:t>
      </w:r>
      <w:r w:rsidR="00B14A83" w:rsidRPr="00FA3856">
        <w:rPr>
          <w:rFonts w:ascii="Times New Roman" w:hAnsi="Times New Roman" w:cs="Times New Roman"/>
          <w:b/>
          <w:bCs/>
          <w:szCs w:val="20"/>
        </w:rPr>
        <w:t xml:space="preserve">.2) </w:t>
      </w:r>
      <w:r w:rsidR="00CD73D7" w:rsidRPr="00FA3856">
        <w:rPr>
          <w:rFonts w:ascii="Times New Roman" w:hAnsi="Times New Roman" w:cs="Times New Roman"/>
          <w:b/>
          <w:bCs/>
          <w:szCs w:val="20"/>
        </w:rPr>
        <w:t>Imposto de Renda Determinado sobre Base de Cálculo Estimada Mensalmente ou com Base em Balanço ou Balancete de Suspensão ou Redução</w:t>
      </w:r>
    </w:p>
    <w:p w:rsidR="005308A3" w:rsidRPr="00FA3856" w:rsidRDefault="005308A3" w:rsidP="001A6818">
      <w:pPr>
        <w:pStyle w:val="NormalWeb"/>
        <w:spacing w:before="0" w:after="0"/>
        <w:jc w:val="both"/>
        <w:rPr>
          <w:rFonts w:ascii="Times New Roman" w:hAnsi="Times New Roman" w:cs="Times New Roman"/>
          <w:b/>
          <w:bCs/>
          <w:szCs w:val="20"/>
        </w:rPr>
      </w:pPr>
    </w:p>
    <w:p w:rsidR="00CD73D7" w:rsidRPr="00FA3856" w:rsidRDefault="00CD73D7" w:rsidP="001A6818">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t>I - Pagamentos Mensais</w:t>
      </w:r>
      <w:r w:rsidR="005308A3" w:rsidRPr="00FA3856">
        <w:rPr>
          <w:rFonts w:ascii="Times New Roman" w:hAnsi="Times New Roman" w:cs="Times New Roman"/>
          <w:szCs w:val="20"/>
        </w:rPr>
        <w:t xml:space="preserve">: </w:t>
      </w:r>
      <w:r w:rsidRPr="00FA3856">
        <w:rPr>
          <w:rFonts w:ascii="Times New Roman" w:hAnsi="Times New Roman" w:cs="Times New Roman"/>
          <w:szCs w:val="20"/>
        </w:rPr>
        <w:t>O imposto de renda devido, determinado mensalmente sobre a base de cálculo estimada, ou apurado em balanço ou balancete de suspensão ou redução, deve ser pago até o último dia útil do mês subsequente àquele a que se referir (Lei n</w:t>
      </w:r>
      <w:r w:rsidRPr="00FA3856">
        <w:rPr>
          <w:rFonts w:ascii="Times New Roman" w:hAnsi="Times New Roman" w:cs="Times New Roman"/>
          <w:strike/>
          <w:szCs w:val="20"/>
        </w:rPr>
        <w:t>º</w:t>
      </w:r>
      <w:r w:rsidRPr="00FA3856">
        <w:rPr>
          <w:rFonts w:ascii="Times New Roman" w:hAnsi="Times New Roman" w:cs="Times New Roman"/>
          <w:szCs w:val="20"/>
        </w:rPr>
        <w:t xml:space="preserve"> 9.430, de 1996, art. 6</w:t>
      </w:r>
      <w:r w:rsidRPr="00FA3856">
        <w:rPr>
          <w:rFonts w:ascii="Times New Roman" w:hAnsi="Times New Roman" w:cs="Times New Roman"/>
          <w:strike/>
          <w:szCs w:val="20"/>
        </w:rPr>
        <w:t>º</w:t>
      </w:r>
      <w:r w:rsidRPr="00FA3856">
        <w:rPr>
          <w:rFonts w:ascii="Times New Roman" w:hAnsi="Times New Roman" w:cs="Times New Roman"/>
          <w:szCs w:val="20"/>
        </w:rPr>
        <w:t>).</w:t>
      </w:r>
    </w:p>
    <w:p w:rsidR="005308A3" w:rsidRPr="00FA3856" w:rsidRDefault="005308A3" w:rsidP="001A6818">
      <w:pPr>
        <w:pStyle w:val="NormalWeb"/>
        <w:spacing w:before="0" w:after="0"/>
        <w:jc w:val="both"/>
        <w:rPr>
          <w:rFonts w:ascii="Times New Roman" w:hAnsi="Times New Roman" w:cs="Times New Roman"/>
          <w:b/>
          <w:bCs/>
          <w:szCs w:val="20"/>
        </w:rPr>
      </w:pPr>
    </w:p>
    <w:p w:rsidR="00CD73D7" w:rsidRPr="00FA3856" w:rsidRDefault="00CD73D7" w:rsidP="001A6818">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t>II - Saldo do Imposto Apurado em 31 de Dezembro do ano-calendário (ajuste anual)</w:t>
      </w:r>
      <w:r w:rsidR="005308A3" w:rsidRPr="00FA3856">
        <w:rPr>
          <w:rFonts w:ascii="Times New Roman" w:hAnsi="Times New Roman" w:cs="Times New Roman"/>
          <w:szCs w:val="20"/>
        </w:rPr>
        <w:t xml:space="preserve">: </w:t>
      </w:r>
      <w:r w:rsidRPr="00FA3856">
        <w:rPr>
          <w:rFonts w:ascii="Times New Roman" w:hAnsi="Times New Roman" w:cs="Times New Roman"/>
          <w:szCs w:val="20"/>
        </w:rPr>
        <w:t>O saldo do imposto de renda apurado em 31 de dezembro do ano-calendário:</w:t>
      </w:r>
    </w:p>
    <w:p w:rsidR="005308A3" w:rsidRPr="00FA3856" w:rsidRDefault="005308A3" w:rsidP="001A6818">
      <w:pPr>
        <w:pStyle w:val="NormalWeb"/>
        <w:spacing w:before="0" w:after="0"/>
        <w:jc w:val="both"/>
        <w:rPr>
          <w:rFonts w:ascii="Times New Roman" w:hAnsi="Times New Roman" w:cs="Times New Roman"/>
          <w:szCs w:val="20"/>
        </w:rPr>
      </w:pPr>
    </w:p>
    <w:p w:rsidR="00CD73D7" w:rsidRPr="00FA3856" w:rsidRDefault="00CD73D7" w:rsidP="005308A3">
      <w:pPr>
        <w:pStyle w:val="NormalWeb"/>
        <w:spacing w:before="0" w:after="0"/>
        <w:ind w:left="708"/>
        <w:jc w:val="both"/>
        <w:rPr>
          <w:rFonts w:ascii="Times New Roman" w:hAnsi="Times New Roman" w:cs="Times New Roman"/>
          <w:szCs w:val="20"/>
        </w:rPr>
      </w:pPr>
      <w:r w:rsidRPr="00FA3856">
        <w:rPr>
          <w:rFonts w:ascii="Times New Roman" w:hAnsi="Times New Roman" w:cs="Times New Roman"/>
          <w:szCs w:val="20"/>
        </w:rPr>
        <w:t>a) será pago em quota única até o último dia útil do mês de março do ano subsequente. O saldo do imposto deve ser acrescido de juros equivalentes à taxa referencial do Sistema Especial de Liquidação e Custódia (Selic), para títulos federais, acumulada mensalme</w:t>
      </w:r>
      <w:bookmarkStart w:id="140" w:name="Subitem_15.1.11.2"/>
      <w:bookmarkEnd w:id="140"/>
      <w:r w:rsidRPr="00FA3856">
        <w:rPr>
          <w:rFonts w:ascii="Times New Roman" w:hAnsi="Times New Roman" w:cs="Times New Roman"/>
          <w:szCs w:val="20"/>
        </w:rPr>
        <w:t>nte, a partir de 1</w:t>
      </w:r>
      <w:r w:rsidRPr="00FA3856">
        <w:rPr>
          <w:rFonts w:ascii="Times New Roman" w:hAnsi="Times New Roman" w:cs="Times New Roman"/>
          <w:strike/>
          <w:szCs w:val="20"/>
        </w:rPr>
        <w:t>º</w:t>
      </w:r>
      <w:r w:rsidRPr="00FA3856">
        <w:rPr>
          <w:rFonts w:ascii="Times New Roman" w:hAnsi="Times New Roman" w:cs="Times New Roman"/>
          <w:szCs w:val="20"/>
        </w:rPr>
        <w:t xml:space="preserve"> de fevereiro do ano subsequente até o último dia do mês anterior ao do pagamento e de 1% (um por cento) no mês do pagamento</w:t>
      </w:r>
      <w:bookmarkStart w:id="141" w:name="subitem_15.1.11.I"/>
      <w:bookmarkEnd w:id="141"/>
      <w:r w:rsidRPr="00FA3856">
        <w:rPr>
          <w:rFonts w:ascii="Times New Roman" w:hAnsi="Times New Roman" w:cs="Times New Roman"/>
          <w:szCs w:val="20"/>
        </w:rPr>
        <w:t>;</w:t>
      </w:r>
    </w:p>
    <w:p w:rsidR="00CD73D7" w:rsidRPr="00FA3856" w:rsidRDefault="00CD73D7" w:rsidP="005308A3">
      <w:pPr>
        <w:pStyle w:val="NormalWeb"/>
        <w:spacing w:before="0" w:after="0"/>
        <w:ind w:left="708"/>
        <w:jc w:val="both"/>
        <w:rPr>
          <w:rFonts w:ascii="Times New Roman" w:hAnsi="Times New Roman" w:cs="Times New Roman"/>
          <w:szCs w:val="20"/>
        </w:rPr>
      </w:pPr>
      <w:r w:rsidRPr="00FA3856">
        <w:rPr>
          <w:rFonts w:ascii="Times New Roman" w:hAnsi="Times New Roman" w:cs="Times New Roman"/>
          <w:szCs w:val="20"/>
        </w:rPr>
        <w:t>b) pode ser compensado com o imposto de renda devido a partir do mês de janeiro do ano-calendário subsequente ao do encerramento do período de apuração, assegurada a alternativa de requerer a restituição, observando-se o seguinte:</w:t>
      </w:r>
    </w:p>
    <w:p w:rsidR="00CD73D7" w:rsidRPr="00FA3856" w:rsidRDefault="00CD73D7" w:rsidP="005308A3">
      <w:pPr>
        <w:pStyle w:val="NormalWeb"/>
        <w:spacing w:before="0" w:after="0"/>
        <w:ind w:left="1416"/>
        <w:jc w:val="both"/>
        <w:rPr>
          <w:rFonts w:ascii="Times New Roman" w:hAnsi="Times New Roman" w:cs="Times New Roman"/>
          <w:szCs w:val="20"/>
        </w:rPr>
      </w:pPr>
      <w:r w:rsidRPr="00FA3856">
        <w:rPr>
          <w:rFonts w:ascii="Times New Roman" w:hAnsi="Times New Roman" w:cs="Times New Roman"/>
          <w:szCs w:val="20"/>
        </w:rPr>
        <w:t>b.1) os valores pagos, nos vencimentos estipulados</w:t>
      </w:r>
      <w:bookmarkStart w:id="142" w:name="subitem_15.1.11.2.II"/>
      <w:bookmarkEnd w:id="142"/>
      <w:r w:rsidRPr="00FA3856">
        <w:rPr>
          <w:rFonts w:ascii="Times New Roman" w:hAnsi="Times New Roman" w:cs="Times New Roman"/>
          <w:szCs w:val="20"/>
        </w:rPr>
        <w:t xml:space="preserve"> na legislação específica, com base na receita bruta e acréscimos ou em balanço ou balancete de suspensão ou redução nos meses de janeiro a novembro, que excederem ao valor devido anualmente, devem ser atualizados pelos juros equivalentes à taxa referencial do Sistema Especial de Liquidação e Custódia (Selic) para Títulos Federais, acumulada mensalmente, a partir de 1</w:t>
      </w:r>
      <w:r w:rsidRPr="00FA3856">
        <w:rPr>
          <w:rFonts w:ascii="Times New Roman" w:hAnsi="Times New Roman" w:cs="Times New Roman"/>
          <w:strike/>
          <w:szCs w:val="20"/>
        </w:rPr>
        <w:t>º</w:t>
      </w:r>
      <w:r w:rsidRPr="00FA3856">
        <w:rPr>
          <w:rFonts w:ascii="Times New Roman" w:hAnsi="Times New Roman" w:cs="Times New Roman"/>
          <w:szCs w:val="20"/>
        </w:rPr>
        <w:t xml:space="preserve"> janeiro do ano-calendário subsequente àquele que se referir o ajuste anual até o mês anterior ao da compensação e de 1% relativamente ao mês da compensação que estiver sendo efetuada;</w:t>
      </w:r>
    </w:p>
    <w:p w:rsidR="00CD73D7" w:rsidRPr="00FA3856" w:rsidRDefault="00CD73D7" w:rsidP="005308A3">
      <w:pPr>
        <w:pStyle w:val="NormalWeb"/>
        <w:spacing w:before="0" w:after="0"/>
        <w:ind w:left="1416"/>
        <w:jc w:val="both"/>
        <w:rPr>
          <w:rFonts w:ascii="Times New Roman" w:hAnsi="Times New Roman" w:cs="Times New Roman"/>
          <w:szCs w:val="20"/>
        </w:rPr>
      </w:pPr>
      <w:r w:rsidRPr="00FA3856">
        <w:rPr>
          <w:rFonts w:ascii="Times New Roman" w:hAnsi="Times New Roman" w:cs="Times New Roman"/>
          <w:szCs w:val="20"/>
        </w:rPr>
        <w:t>b.2) o valor pago, no vencimento estipulado em legislação específica, com base na receita bruta e acréscimos ou em balanço ou balancete de suspensão ou redução relativo ao mês de dezembro, que exceder ao valor devido anualmente, deve ser acrescido dos juros equivalentes à taxa referencial do Sistema Especial de Liquidação e Custódia (Selic) para Títulos Federais, acumulada mensalmente, a partir 1</w:t>
      </w:r>
      <w:r w:rsidRPr="00FA3856">
        <w:rPr>
          <w:rFonts w:ascii="Times New Roman" w:hAnsi="Times New Roman" w:cs="Times New Roman"/>
          <w:strike/>
          <w:szCs w:val="20"/>
        </w:rPr>
        <w:t>º</w:t>
      </w:r>
      <w:r w:rsidRPr="00FA3856">
        <w:rPr>
          <w:rFonts w:ascii="Times New Roman" w:hAnsi="Times New Roman" w:cs="Times New Roman"/>
          <w:szCs w:val="20"/>
        </w:rPr>
        <w:t xml:space="preserve"> de fevereiro até o mês anterior ao da compensação e de 1% relativamente ao mês em que a compensação estiver sendo efetuada.</w:t>
      </w:r>
    </w:p>
    <w:p w:rsidR="00CE1927" w:rsidRPr="00FA3856" w:rsidRDefault="00CE1927" w:rsidP="001A6818">
      <w:pPr>
        <w:pStyle w:val="NormalWeb"/>
        <w:spacing w:before="0" w:after="0"/>
        <w:jc w:val="both"/>
        <w:rPr>
          <w:rFonts w:ascii="Times New Roman" w:hAnsi="Times New Roman" w:cs="Times New Roman"/>
          <w:szCs w:val="20"/>
        </w:rPr>
      </w:pPr>
    </w:p>
    <w:p w:rsidR="00CE1927" w:rsidRPr="00FA3856" w:rsidRDefault="00B14A83" w:rsidP="001A6818">
      <w:pPr>
        <w:jc w:val="both"/>
        <w:rPr>
          <w:szCs w:val="20"/>
        </w:rPr>
      </w:pPr>
      <w:r w:rsidRPr="00FA3856">
        <w:rPr>
          <w:b/>
          <w:bCs/>
          <w:szCs w:val="20"/>
        </w:rPr>
        <w:t xml:space="preserve">II) </w:t>
      </w:r>
      <w:r w:rsidR="00CE1927" w:rsidRPr="00FA3856">
        <w:rPr>
          <w:b/>
          <w:bCs/>
          <w:szCs w:val="20"/>
        </w:rPr>
        <w:t>Lucros Disponibilizados no Exterior</w:t>
      </w:r>
    </w:p>
    <w:p w:rsidR="00CE1927" w:rsidRPr="00FA3856" w:rsidRDefault="00CE1927" w:rsidP="001A6818">
      <w:pPr>
        <w:jc w:val="both"/>
        <w:rPr>
          <w:szCs w:val="20"/>
        </w:rPr>
      </w:pPr>
      <w:r w:rsidRPr="00FA3856">
        <w:rPr>
          <w:szCs w:val="20"/>
        </w:rPr>
        <w:t> </w:t>
      </w:r>
    </w:p>
    <w:p w:rsidR="00CE1927" w:rsidRPr="00FA3856" w:rsidRDefault="00CE1927" w:rsidP="005308A3">
      <w:pPr>
        <w:ind w:firstLine="708"/>
        <w:jc w:val="both"/>
        <w:rPr>
          <w:szCs w:val="20"/>
        </w:rPr>
      </w:pPr>
      <w:r w:rsidRPr="00FA3856">
        <w:rPr>
          <w:szCs w:val="20"/>
        </w:rPr>
        <w:t>Os lucros são considerados disponibilizados para a empresa no Brasil, no caso de filial, sucursal, coligadas ou controladas, na data do balanço no qual tiverem sido apurados.</w:t>
      </w:r>
    </w:p>
    <w:p w:rsidR="005308A3" w:rsidRPr="00FA3856" w:rsidRDefault="005308A3" w:rsidP="001A6818">
      <w:pPr>
        <w:jc w:val="both"/>
        <w:rPr>
          <w:szCs w:val="20"/>
        </w:rPr>
      </w:pPr>
    </w:p>
    <w:p w:rsidR="00CE1927" w:rsidRPr="00FA3856" w:rsidRDefault="00CE1927" w:rsidP="005308A3">
      <w:pPr>
        <w:ind w:firstLine="708"/>
        <w:jc w:val="both"/>
        <w:rPr>
          <w:szCs w:val="20"/>
        </w:rPr>
      </w:pPr>
      <w:r w:rsidRPr="00FA3856">
        <w:rPr>
          <w:szCs w:val="20"/>
        </w:rPr>
        <w:t>No caso de encerramento do processo de liquidação da empresa no Brasil, os recursos correspondentes aos lucros auferidos no exterior, por intermédio de suas filiais, sucursais, controladas e coligadas, ainda não tributados no Brasil, são considerados disponibilizados na data do balanço de encerramento, devendo, nessa mesma data, ser computados para fins de determinação do lucro real e da base de cálculo da CSLL.</w:t>
      </w:r>
    </w:p>
    <w:p w:rsidR="005308A3" w:rsidRPr="00FA3856" w:rsidRDefault="005308A3" w:rsidP="001A6818">
      <w:pPr>
        <w:jc w:val="both"/>
        <w:rPr>
          <w:szCs w:val="20"/>
        </w:rPr>
      </w:pPr>
    </w:p>
    <w:p w:rsidR="00CE1927" w:rsidRPr="00FA3856" w:rsidRDefault="00CE1927" w:rsidP="005308A3">
      <w:pPr>
        <w:ind w:firstLine="708"/>
        <w:jc w:val="both"/>
        <w:rPr>
          <w:szCs w:val="20"/>
        </w:rPr>
      </w:pPr>
      <w:r w:rsidRPr="00FA3856">
        <w:rPr>
          <w:szCs w:val="20"/>
        </w:rPr>
        <w:t>No caso de encerramento de atividades da filial, sucursal, controlada ou coligada, domiciliadas no exterior, os lucros auferidos por seu intermédio, ainda não tributados no Brasil, são considerados disponibilizados, devendo ser computados, para fins de determinação do lucro real e da base de cálculo da CSLL, no balanço levantado em 31 de dezembro do respectivo ano-calendário ou na data do encerramento das atividades da empresa no Brasil.</w:t>
      </w:r>
    </w:p>
    <w:p w:rsidR="005308A3" w:rsidRPr="00FA3856" w:rsidRDefault="005308A3" w:rsidP="001A6818">
      <w:pPr>
        <w:jc w:val="both"/>
        <w:rPr>
          <w:szCs w:val="20"/>
        </w:rPr>
      </w:pPr>
    </w:p>
    <w:p w:rsidR="00CE1927" w:rsidRPr="00FA3856" w:rsidRDefault="00CE1927" w:rsidP="005308A3">
      <w:pPr>
        <w:ind w:firstLine="708"/>
        <w:jc w:val="both"/>
        <w:rPr>
          <w:szCs w:val="20"/>
        </w:rPr>
      </w:pPr>
      <w:r w:rsidRPr="00FA3856">
        <w:rPr>
          <w:szCs w:val="20"/>
        </w:rPr>
        <w:t>Os lucros ainda não tributados no Brasil, auferidos por filial, sucursal, controlada ou coligada, domiciliadas no exterior, cujo patrimônio for absorvido por pessoa jurídica sediada no Brasil, em virtude de incorporação, fusão ou cisão, são computados, para fins de determinação do lucro real e da base de cálculo da CSLL, no balanço levantado em 31 de dezembro do ano-calendário do evento.</w:t>
      </w:r>
    </w:p>
    <w:p w:rsidR="00CE1927" w:rsidRPr="00FA3856" w:rsidRDefault="00CE1927" w:rsidP="001A6818">
      <w:pPr>
        <w:jc w:val="both"/>
        <w:rPr>
          <w:szCs w:val="20"/>
        </w:rPr>
      </w:pPr>
      <w:r w:rsidRPr="00FA3856">
        <w:rPr>
          <w:szCs w:val="20"/>
        </w:rPr>
        <w:t>No caso de cisão, total ou parcial, a responsabilidade da cindida e de cada sucessora é proporcional aos valores, respectivamente, remanescentes e absorvidos do patrimônio líquido.</w:t>
      </w:r>
    </w:p>
    <w:p w:rsidR="00CE1927" w:rsidRPr="00FA3856" w:rsidRDefault="00CE1927" w:rsidP="005308A3">
      <w:pPr>
        <w:ind w:firstLine="708"/>
        <w:jc w:val="both"/>
        <w:rPr>
          <w:szCs w:val="20"/>
        </w:rPr>
      </w:pPr>
      <w:r w:rsidRPr="00FA3856">
        <w:rPr>
          <w:szCs w:val="20"/>
        </w:rPr>
        <w:lastRenderedPageBreak/>
        <w:t>Ocorrendo a absorção do patrimônio da filial, sucursal, controlada ou coligada por empresa sediada no exterior, os lucros ainda não tributados no Brasil, apurados até a data do evento, são considerados disponibilizados, devendo ser computados, para fins de determinação do lucro real e da base de cálculo da CSLL da beneficiária no Brasil, no balanço levantado em 31 de dezembro do ano-calendário do respectivo evento.</w:t>
      </w:r>
    </w:p>
    <w:p w:rsidR="005308A3" w:rsidRPr="00FA3856" w:rsidRDefault="005308A3" w:rsidP="005308A3">
      <w:pPr>
        <w:ind w:firstLine="708"/>
        <w:jc w:val="both"/>
        <w:rPr>
          <w:szCs w:val="20"/>
        </w:rPr>
      </w:pPr>
    </w:p>
    <w:p w:rsidR="00CE1927" w:rsidRPr="00FA3856" w:rsidRDefault="00CE1927" w:rsidP="005308A3">
      <w:pPr>
        <w:ind w:firstLine="708"/>
        <w:jc w:val="both"/>
        <w:rPr>
          <w:szCs w:val="20"/>
        </w:rPr>
      </w:pPr>
      <w:r w:rsidRPr="00FA3856">
        <w:rPr>
          <w:szCs w:val="20"/>
        </w:rPr>
        <w:t>Na hipótese de alienação do patrimônio da filial ou sucursal, ou da participação societária em controlada ou coligada, no exterior, os lucros ainda não tributados no Brasil devem ser considerados, para fins de determinação do lucro real e da base de cálculo da CSLL da alienante no Brasil, no balanço levantado em 31 de dezembro do ano-calendário em que ocorrer a alienação.</w:t>
      </w:r>
    </w:p>
    <w:p w:rsidR="005308A3" w:rsidRPr="00FA3856" w:rsidRDefault="005308A3" w:rsidP="001A6818">
      <w:pPr>
        <w:jc w:val="both"/>
        <w:rPr>
          <w:szCs w:val="20"/>
        </w:rPr>
      </w:pPr>
    </w:p>
    <w:p w:rsidR="00CE1927" w:rsidRPr="00FA3856" w:rsidRDefault="00CE1927" w:rsidP="005308A3">
      <w:pPr>
        <w:ind w:firstLine="708"/>
        <w:jc w:val="both"/>
        <w:rPr>
          <w:szCs w:val="20"/>
        </w:rPr>
      </w:pPr>
      <w:r w:rsidRPr="00FA3856">
        <w:rPr>
          <w:szCs w:val="20"/>
        </w:rPr>
        <w:t>Os lucros a serem adicionados à base de cálculo do lucro presumido são considerados pelos seus valores antes de descontado o tributo pago no país de origem.</w:t>
      </w:r>
    </w:p>
    <w:p w:rsidR="005308A3" w:rsidRPr="00FA3856" w:rsidRDefault="005308A3" w:rsidP="001A6818">
      <w:pPr>
        <w:jc w:val="both"/>
        <w:rPr>
          <w:szCs w:val="20"/>
        </w:rPr>
      </w:pPr>
    </w:p>
    <w:p w:rsidR="00CE1927" w:rsidRPr="00FA3856" w:rsidRDefault="00CE1927" w:rsidP="005308A3">
      <w:pPr>
        <w:ind w:firstLine="708"/>
        <w:jc w:val="both"/>
        <w:rPr>
          <w:szCs w:val="20"/>
        </w:rPr>
      </w:pPr>
      <w:r w:rsidRPr="00FA3856">
        <w:rPr>
          <w:szCs w:val="20"/>
        </w:rPr>
        <w:t>Os créditos de imposto de renda de que trata o art. 26 da Lei n</w:t>
      </w:r>
      <w:r w:rsidRPr="00FA3856">
        <w:rPr>
          <w:strike/>
          <w:szCs w:val="20"/>
        </w:rPr>
        <w:t>º</w:t>
      </w:r>
      <w:r w:rsidRPr="00FA3856">
        <w:rPr>
          <w:szCs w:val="20"/>
        </w:rPr>
        <w:t xml:space="preserve"> 9.249, de 1995, relativos a lucros auferidos no exterior, somente são compensados com o imposto de renda devido no Brasil se referidos lucros forem computados na base de cálculo do imposto, no Brasil, até o final do segundo ano-calendário </w:t>
      </w:r>
      <w:r w:rsidR="00B5790B" w:rsidRPr="00FA3856">
        <w:rPr>
          <w:szCs w:val="20"/>
        </w:rPr>
        <w:t>subsequente</w:t>
      </w:r>
      <w:r w:rsidRPr="00FA3856">
        <w:rPr>
          <w:szCs w:val="20"/>
        </w:rPr>
        <w:t xml:space="preserve"> ao de sua apuração.</w:t>
      </w:r>
    </w:p>
    <w:p w:rsidR="005308A3" w:rsidRPr="00FA3856" w:rsidRDefault="005308A3" w:rsidP="001A6818">
      <w:pPr>
        <w:jc w:val="both"/>
        <w:rPr>
          <w:szCs w:val="20"/>
        </w:rPr>
      </w:pPr>
    </w:p>
    <w:p w:rsidR="00CE1927" w:rsidRPr="00FA3856" w:rsidRDefault="00CE1927" w:rsidP="005308A3">
      <w:pPr>
        <w:ind w:firstLine="708"/>
        <w:jc w:val="both"/>
        <w:rPr>
          <w:szCs w:val="20"/>
        </w:rPr>
      </w:pPr>
      <w:r w:rsidRPr="00FA3856">
        <w:rPr>
          <w:szCs w:val="20"/>
        </w:rPr>
        <w:t>No caso de a pessoa jurídica possuir atividade geral e rural, os lucros disponibilizados no exterior devem ser informados na coluna "Atividade Geral".</w:t>
      </w:r>
    </w:p>
    <w:p w:rsidR="00CE1927" w:rsidRPr="00FA3856" w:rsidRDefault="00CE1927" w:rsidP="001A6818">
      <w:pPr>
        <w:pStyle w:val="NormalWeb"/>
        <w:spacing w:before="0" w:after="0"/>
        <w:jc w:val="both"/>
        <w:rPr>
          <w:rFonts w:ascii="Times New Roman" w:hAnsi="Times New Roman" w:cs="Times New Roman"/>
          <w:szCs w:val="20"/>
        </w:rPr>
      </w:pPr>
    </w:p>
    <w:p w:rsidR="00CE1927" w:rsidRPr="00FA3856" w:rsidRDefault="00B14A83" w:rsidP="001A6818">
      <w:pPr>
        <w:jc w:val="both"/>
        <w:rPr>
          <w:szCs w:val="20"/>
        </w:rPr>
      </w:pPr>
      <w:r w:rsidRPr="00FA3856">
        <w:rPr>
          <w:b/>
          <w:bCs/>
          <w:szCs w:val="20"/>
        </w:rPr>
        <w:t xml:space="preserve">III) </w:t>
      </w:r>
      <w:r w:rsidR="00CE1927" w:rsidRPr="00FA3856">
        <w:rPr>
          <w:b/>
          <w:bCs/>
          <w:szCs w:val="20"/>
        </w:rPr>
        <w:t>Distribuição de lucros</w:t>
      </w:r>
    </w:p>
    <w:p w:rsidR="00CE1927" w:rsidRPr="00FA3856" w:rsidRDefault="00CE1927" w:rsidP="001A6818">
      <w:pPr>
        <w:jc w:val="both"/>
        <w:rPr>
          <w:szCs w:val="20"/>
        </w:rPr>
      </w:pPr>
      <w:r w:rsidRPr="00FA3856">
        <w:rPr>
          <w:szCs w:val="20"/>
        </w:rPr>
        <w:t> </w:t>
      </w:r>
    </w:p>
    <w:p w:rsidR="00CE1927" w:rsidRPr="00FA3856" w:rsidRDefault="00CE1927" w:rsidP="001A6818">
      <w:pPr>
        <w:jc w:val="both"/>
        <w:rPr>
          <w:szCs w:val="20"/>
        </w:rPr>
      </w:pPr>
      <w:r w:rsidRPr="00FA3856">
        <w:rPr>
          <w:b/>
          <w:bCs/>
          <w:szCs w:val="20"/>
        </w:rPr>
        <w:t>Lucro Real</w:t>
      </w:r>
      <w:r w:rsidR="005308A3" w:rsidRPr="00FA3856">
        <w:rPr>
          <w:szCs w:val="20"/>
        </w:rPr>
        <w:t xml:space="preserve">: </w:t>
      </w:r>
      <w:r w:rsidRPr="00FA3856">
        <w:rPr>
          <w:szCs w:val="20"/>
        </w:rPr>
        <w:t>Os lucros e dividendos pagos ou creditados a sócios, acionistas ou titular de empresa individual são isentos do imposto de renda, desde que apurados, a partir de 1996, em balanço.</w:t>
      </w:r>
    </w:p>
    <w:p w:rsidR="00CE1927" w:rsidRPr="00FA3856" w:rsidRDefault="00CE1927" w:rsidP="001A6818">
      <w:pPr>
        <w:jc w:val="both"/>
        <w:rPr>
          <w:szCs w:val="20"/>
        </w:rPr>
      </w:pPr>
      <w:r w:rsidRPr="00FA3856">
        <w:rPr>
          <w:szCs w:val="20"/>
        </w:rPr>
        <w:t> </w:t>
      </w:r>
    </w:p>
    <w:p w:rsidR="00CE1927" w:rsidRPr="00FA3856" w:rsidRDefault="00CE1927" w:rsidP="001A6818">
      <w:pPr>
        <w:jc w:val="both"/>
        <w:rPr>
          <w:szCs w:val="20"/>
        </w:rPr>
      </w:pPr>
      <w:r w:rsidRPr="00FA3856">
        <w:rPr>
          <w:b/>
          <w:bCs/>
          <w:szCs w:val="20"/>
        </w:rPr>
        <w:t>Lucro Presumido ou Lucro Arbitrado</w:t>
      </w:r>
      <w:r w:rsidR="005308A3" w:rsidRPr="00FA3856">
        <w:rPr>
          <w:szCs w:val="20"/>
        </w:rPr>
        <w:t xml:space="preserve">: </w:t>
      </w:r>
      <w:r w:rsidRPr="00FA3856">
        <w:rPr>
          <w:szCs w:val="20"/>
        </w:rPr>
        <w:t>Os lucros ou dividendos calculados com base nos resultados apurados a partir do mês de janeiro de 1996, pagos ou creditados pela pessoa jurídica tributada com base no lucro presumido ou arbitrado, não estão sujeitos à incidência do imposto de renda na fonte, nem integram a base de cálculo do imposto de renda do beneficiário, pessoa física ou jurídica, domiciliado no País ou no exterior (Lei n</w:t>
      </w:r>
      <w:r w:rsidRPr="00FA3856">
        <w:rPr>
          <w:strike/>
          <w:szCs w:val="20"/>
        </w:rPr>
        <w:t>º</w:t>
      </w:r>
      <w:r w:rsidRPr="00FA3856">
        <w:rPr>
          <w:szCs w:val="20"/>
        </w:rPr>
        <w:t xml:space="preserve"> 9.249, de 1995, art. 10).</w:t>
      </w:r>
    </w:p>
    <w:p w:rsidR="005308A3" w:rsidRPr="00FA3856" w:rsidRDefault="005308A3" w:rsidP="001A6818">
      <w:pPr>
        <w:jc w:val="both"/>
        <w:rPr>
          <w:szCs w:val="20"/>
        </w:rPr>
      </w:pPr>
    </w:p>
    <w:p w:rsidR="00CE1927" w:rsidRPr="00FA3856" w:rsidRDefault="00CE1927" w:rsidP="005308A3">
      <w:pPr>
        <w:ind w:firstLine="708"/>
        <w:jc w:val="both"/>
        <w:rPr>
          <w:szCs w:val="20"/>
        </w:rPr>
      </w:pPr>
      <w:r w:rsidRPr="00FA3856">
        <w:rPr>
          <w:szCs w:val="20"/>
        </w:rPr>
        <w:t>Poderá ser distribuído, a título de lucros, sem incidência do imposto:</w:t>
      </w:r>
    </w:p>
    <w:p w:rsidR="005308A3" w:rsidRPr="00FA3856" w:rsidRDefault="005308A3" w:rsidP="001A6818">
      <w:pPr>
        <w:jc w:val="both"/>
        <w:rPr>
          <w:szCs w:val="20"/>
        </w:rPr>
      </w:pPr>
    </w:p>
    <w:p w:rsidR="00CE1927" w:rsidRPr="00FA3856" w:rsidRDefault="00CE1927" w:rsidP="005308A3">
      <w:pPr>
        <w:ind w:left="708"/>
        <w:jc w:val="both"/>
        <w:rPr>
          <w:szCs w:val="20"/>
        </w:rPr>
      </w:pPr>
      <w:r w:rsidRPr="00FA3856">
        <w:rPr>
          <w:szCs w:val="20"/>
        </w:rPr>
        <w:t>a) o valor do lucro presumido ou arbitrado (base de cálculo do imposto), diminuído do imposto de renda da pessoa jurídica (IRPJ), inclusive adicional, quando devido, da contribuição social sobre o lucro líquido (CSLL), da contribuição para financiamento da seguridade social (Cofins) e das contribuições para o PIS/Pasep (ADN Cosit n</w:t>
      </w:r>
      <w:r w:rsidRPr="00FA3856">
        <w:rPr>
          <w:strike/>
          <w:szCs w:val="20"/>
        </w:rPr>
        <w:t>º</w:t>
      </w:r>
      <w:r w:rsidRPr="00FA3856">
        <w:rPr>
          <w:szCs w:val="20"/>
        </w:rPr>
        <w:t xml:space="preserve"> 4, de 29 de janeiro de 1996); ou</w:t>
      </w:r>
    </w:p>
    <w:p w:rsidR="00CE1927" w:rsidRPr="00FA3856" w:rsidRDefault="00CE1927" w:rsidP="005308A3">
      <w:pPr>
        <w:ind w:left="600" w:firstLine="108"/>
        <w:jc w:val="both"/>
        <w:rPr>
          <w:szCs w:val="20"/>
        </w:rPr>
      </w:pPr>
      <w:r w:rsidRPr="00FA3856">
        <w:rPr>
          <w:szCs w:val="20"/>
        </w:rPr>
        <w:t xml:space="preserve">b) a parcela do lucro e dividendos excedentes ao valor determinado na alínea "a", desde que a pessoa jurídica demonstre, mediante escrituração contábil feita com observância da lei comercial, que o lucro efetivo é maior que o determinado segundo as normas para apuração do lucro presumido. </w:t>
      </w:r>
    </w:p>
    <w:p w:rsidR="005308A3" w:rsidRPr="00FA3856" w:rsidRDefault="005308A3" w:rsidP="001A6818">
      <w:pPr>
        <w:ind w:left="600"/>
        <w:jc w:val="both"/>
        <w:rPr>
          <w:b/>
          <w:bCs/>
          <w:szCs w:val="20"/>
        </w:rPr>
      </w:pPr>
    </w:p>
    <w:p w:rsidR="00CE1927" w:rsidRPr="00FA3856" w:rsidRDefault="00CE1927" w:rsidP="005308A3">
      <w:pPr>
        <w:ind w:left="600"/>
        <w:jc w:val="both"/>
        <w:rPr>
          <w:szCs w:val="20"/>
        </w:rPr>
      </w:pPr>
      <w:r w:rsidRPr="00FA3856">
        <w:rPr>
          <w:b/>
          <w:bCs/>
          <w:szCs w:val="20"/>
        </w:rPr>
        <w:t>Atenção:</w:t>
      </w:r>
      <w:r w:rsidR="005308A3" w:rsidRPr="00FA3856">
        <w:rPr>
          <w:szCs w:val="20"/>
        </w:rPr>
        <w:t xml:space="preserve"> </w:t>
      </w:r>
      <w:r w:rsidRPr="00FA3856">
        <w:rPr>
          <w:szCs w:val="20"/>
        </w:rPr>
        <w:t xml:space="preserve">Essa isenção não abrange os valores pagos a outro título, tais como </w:t>
      </w:r>
      <w:r w:rsidRPr="00FA3856">
        <w:rPr>
          <w:i/>
          <w:iCs/>
          <w:szCs w:val="20"/>
        </w:rPr>
        <w:t>pró-labore</w:t>
      </w:r>
      <w:r w:rsidRPr="00FA3856">
        <w:rPr>
          <w:szCs w:val="20"/>
        </w:rPr>
        <w:t>, aluguéis e serviços prestados, que se sujeitam à incidência do imposto de renda na fonte e na declaração de rendimentos dos beneficiários.</w:t>
      </w:r>
    </w:p>
    <w:p w:rsidR="00CE1927" w:rsidRPr="00FA3856" w:rsidRDefault="00CE1927" w:rsidP="001A6818">
      <w:pPr>
        <w:ind w:left="600"/>
        <w:jc w:val="both"/>
        <w:rPr>
          <w:szCs w:val="20"/>
        </w:rPr>
      </w:pPr>
      <w:r w:rsidRPr="00FA3856">
        <w:rPr>
          <w:szCs w:val="20"/>
        </w:rPr>
        <w:t> </w:t>
      </w:r>
    </w:p>
    <w:p w:rsidR="00CE1927" w:rsidRPr="00FA3856" w:rsidRDefault="00CE1927" w:rsidP="001A6818">
      <w:pPr>
        <w:jc w:val="both"/>
        <w:rPr>
          <w:szCs w:val="20"/>
        </w:rPr>
      </w:pPr>
      <w:r w:rsidRPr="00FA3856">
        <w:rPr>
          <w:b/>
          <w:bCs/>
          <w:szCs w:val="20"/>
        </w:rPr>
        <w:t>Lucros Distribuídos que Excederem ao Valor Apurado na Escrituração</w:t>
      </w:r>
      <w:r w:rsidR="005308A3" w:rsidRPr="00FA3856">
        <w:rPr>
          <w:szCs w:val="20"/>
        </w:rPr>
        <w:t xml:space="preserve">: </w:t>
      </w:r>
      <w:r w:rsidRPr="00FA3856">
        <w:rPr>
          <w:szCs w:val="20"/>
        </w:rPr>
        <w:t>A parcela dos rendimentos pagos ou creditados a sócio ou acionista ou ao titular da pessoa jurídica, a título de lucros ou dividendos distribuídos, ainda que por conta de período de apuração não encerrado, que exceder ao valor apurado com base na escrituração contábil, deve ser imputada aos lucros acumulados ou reservas de lucros de exercícios anteriores, ficando sujeita à incidência do imposto de renda calculado segundo o disposto na legislação específica, com acréscimos legais.</w:t>
      </w:r>
    </w:p>
    <w:p w:rsidR="005308A3" w:rsidRPr="00FA3856" w:rsidRDefault="005308A3" w:rsidP="001A6818">
      <w:pPr>
        <w:jc w:val="both"/>
        <w:rPr>
          <w:szCs w:val="20"/>
        </w:rPr>
      </w:pPr>
    </w:p>
    <w:p w:rsidR="00CE1927" w:rsidRPr="00FA3856" w:rsidRDefault="00CE1927" w:rsidP="005308A3">
      <w:pPr>
        <w:ind w:firstLine="708"/>
        <w:jc w:val="both"/>
        <w:rPr>
          <w:szCs w:val="20"/>
        </w:rPr>
      </w:pPr>
      <w:r w:rsidRPr="00FA3856">
        <w:rPr>
          <w:szCs w:val="20"/>
        </w:rPr>
        <w:t>O disposto no parágrafo acima não abrange a distribuição de lucros e dividendos efetuada, após o encerramento do trimestre correspondente, com base no lucro presumido ou arbitrado diminuído do imposto e das contribuições a que estiver sujeita a pessoa jurídica.</w:t>
      </w:r>
    </w:p>
    <w:p w:rsidR="005308A3" w:rsidRPr="00FA3856" w:rsidRDefault="005308A3" w:rsidP="005308A3">
      <w:pPr>
        <w:ind w:firstLine="708"/>
        <w:jc w:val="both"/>
        <w:rPr>
          <w:szCs w:val="20"/>
        </w:rPr>
      </w:pPr>
    </w:p>
    <w:p w:rsidR="00CE1927" w:rsidRPr="00FA3856" w:rsidRDefault="00CE1927" w:rsidP="005308A3">
      <w:pPr>
        <w:ind w:firstLine="708"/>
        <w:jc w:val="both"/>
        <w:rPr>
          <w:szCs w:val="20"/>
        </w:rPr>
      </w:pPr>
      <w:r w:rsidRPr="00FA3856">
        <w:rPr>
          <w:szCs w:val="20"/>
        </w:rPr>
        <w:lastRenderedPageBreak/>
        <w:t xml:space="preserve">Inexistindo lucros acumulados ou reservas de lucros em montante suficiente, a parcela excedente deve ser submetida à tributação, nos termos do </w:t>
      </w:r>
      <w:r w:rsidR="00A63445">
        <w:rPr>
          <w:szCs w:val="20"/>
        </w:rPr>
        <w:t>art. 61 da Lei n</w:t>
      </w:r>
      <w:r w:rsidR="00A63445">
        <w:rPr>
          <w:szCs w:val="20"/>
          <w:u w:val="single"/>
          <w:vertAlign w:val="superscript"/>
        </w:rPr>
        <w:t>o</w:t>
      </w:r>
      <w:r w:rsidR="00A63445">
        <w:rPr>
          <w:szCs w:val="20"/>
        </w:rPr>
        <w:t xml:space="preserve"> 8.981/1995</w:t>
      </w:r>
      <w:r w:rsidRPr="00FA3856">
        <w:rPr>
          <w:szCs w:val="20"/>
        </w:rPr>
        <w:t xml:space="preserve"> (</w:t>
      </w:r>
      <w:r w:rsidR="00933034">
        <w:rPr>
          <w:szCs w:val="20"/>
        </w:rPr>
        <w:t xml:space="preserve">Art. 238, </w:t>
      </w:r>
      <w:r w:rsidR="00A63445">
        <w:rPr>
          <w:szCs w:val="20"/>
        </w:rPr>
        <w:t>§ 4</w:t>
      </w:r>
      <w:r w:rsidR="00A63445">
        <w:rPr>
          <w:szCs w:val="20"/>
          <w:u w:val="single"/>
          <w:vertAlign w:val="superscript"/>
        </w:rPr>
        <w:t>o</w:t>
      </w:r>
      <w:r w:rsidR="00A63445">
        <w:rPr>
          <w:szCs w:val="20"/>
        </w:rPr>
        <w:t>, da Instrução Normativa n</w:t>
      </w:r>
      <w:r w:rsidR="00A63445">
        <w:rPr>
          <w:szCs w:val="20"/>
          <w:u w:val="single"/>
          <w:vertAlign w:val="superscript"/>
        </w:rPr>
        <w:t>o</w:t>
      </w:r>
      <w:r w:rsidR="00A63445">
        <w:rPr>
          <w:szCs w:val="20"/>
        </w:rPr>
        <w:t xml:space="preserve"> 1.700, de 14 de março de 2017</w:t>
      </w:r>
      <w:r w:rsidRPr="00FA3856">
        <w:rPr>
          <w:szCs w:val="20"/>
        </w:rPr>
        <w:t>).</w:t>
      </w:r>
    </w:p>
    <w:p w:rsidR="005308A3" w:rsidRPr="00FA3856" w:rsidRDefault="005308A3" w:rsidP="001A6818">
      <w:pPr>
        <w:jc w:val="both"/>
        <w:rPr>
          <w:szCs w:val="20"/>
        </w:rPr>
      </w:pPr>
    </w:p>
    <w:p w:rsidR="00CE1927" w:rsidRPr="00FA3856" w:rsidRDefault="00CE1927" w:rsidP="005308A3">
      <w:pPr>
        <w:ind w:firstLine="708"/>
        <w:jc w:val="both"/>
        <w:rPr>
          <w:szCs w:val="20"/>
        </w:rPr>
      </w:pPr>
      <w:r w:rsidRPr="00FA3856">
        <w:rPr>
          <w:szCs w:val="20"/>
        </w:rPr>
        <w:t>A distribuição de rendimentos a título de lucros ou dividendos que não tenham sido apurados em balanço sujeita-se à incidência do imposto de renda na forma prevista no parágrafo anterior.</w:t>
      </w:r>
    </w:p>
    <w:p w:rsidR="00CE1927" w:rsidRPr="00FA3856" w:rsidRDefault="00CE1927" w:rsidP="001A6818">
      <w:pPr>
        <w:pStyle w:val="NormalWeb"/>
        <w:spacing w:before="0" w:after="0"/>
        <w:jc w:val="both"/>
        <w:rPr>
          <w:rFonts w:ascii="Times New Roman" w:hAnsi="Times New Roman" w:cs="Times New Roman"/>
          <w:szCs w:val="20"/>
        </w:rPr>
      </w:pPr>
    </w:p>
    <w:p w:rsidR="00CE1927" w:rsidRPr="00FA3856" w:rsidRDefault="00B14A83" w:rsidP="001A6818">
      <w:pPr>
        <w:jc w:val="both"/>
        <w:rPr>
          <w:szCs w:val="20"/>
        </w:rPr>
      </w:pPr>
      <w:r w:rsidRPr="00FA3856">
        <w:rPr>
          <w:b/>
          <w:bCs/>
          <w:szCs w:val="20"/>
        </w:rPr>
        <w:t xml:space="preserve">IV) </w:t>
      </w:r>
      <w:r w:rsidR="00CE1927" w:rsidRPr="00FA3856">
        <w:rPr>
          <w:b/>
          <w:bCs/>
          <w:szCs w:val="20"/>
        </w:rPr>
        <w:t>Instruções para Cálculo do Imposto Postergado</w:t>
      </w:r>
    </w:p>
    <w:p w:rsidR="00CE1927" w:rsidRPr="00FA3856" w:rsidRDefault="00CE1927" w:rsidP="001A6818">
      <w:pPr>
        <w:jc w:val="both"/>
        <w:rPr>
          <w:szCs w:val="20"/>
        </w:rPr>
      </w:pPr>
      <w:r w:rsidRPr="00FA3856">
        <w:rPr>
          <w:szCs w:val="20"/>
        </w:rPr>
        <w:t> </w:t>
      </w:r>
    </w:p>
    <w:p w:rsidR="00CE1927" w:rsidRPr="00FA3856" w:rsidRDefault="00CE1927" w:rsidP="005308A3">
      <w:pPr>
        <w:ind w:firstLine="708"/>
        <w:jc w:val="both"/>
        <w:rPr>
          <w:szCs w:val="20"/>
        </w:rPr>
      </w:pPr>
      <w:r w:rsidRPr="00FA3856">
        <w:rPr>
          <w:szCs w:val="20"/>
        </w:rPr>
        <w:t>Relativo a período encerrado a partir de 1</w:t>
      </w:r>
      <w:r w:rsidRPr="00FA3856">
        <w:rPr>
          <w:strike/>
          <w:szCs w:val="20"/>
        </w:rPr>
        <w:t>º</w:t>
      </w:r>
      <w:r w:rsidRPr="00FA3856">
        <w:rPr>
          <w:szCs w:val="20"/>
        </w:rPr>
        <w:t xml:space="preserve"> de janeiro de 1995, multiplicar a base de cálculo do imposto de renda postergado pela alíquota do imposto de renda vigente no ano-calendário da postergação.</w:t>
      </w:r>
    </w:p>
    <w:p w:rsidR="00CE1927" w:rsidRPr="00FA3856" w:rsidRDefault="00CE1927" w:rsidP="001A6818">
      <w:pPr>
        <w:jc w:val="both"/>
        <w:rPr>
          <w:szCs w:val="20"/>
        </w:rPr>
      </w:pPr>
      <w:r w:rsidRPr="00FA3856">
        <w:rPr>
          <w:szCs w:val="20"/>
        </w:rPr>
        <w:t> </w:t>
      </w:r>
    </w:p>
    <w:p w:rsidR="00CE1927" w:rsidRPr="00FA3856" w:rsidRDefault="00CE1927" w:rsidP="001A6818">
      <w:pPr>
        <w:jc w:val="both"/>
        <w:rPr>
          <w:szCs w:val="20"/>
        </w:rPr>
      </w:pPr>
      <w:r w:rsidRPr="00FA3856">
        <w:rPr>
          <w:b/>
          <w:bCs/>
          <w:szCs w:val="20"/>
        </w:rPr>
        <w:t>Adicional</w:t>
      </w:r>
      <w:r w:rsidR="005308A3" w:rsidRPr="00FA3856">
        <w:rPr>
          <w:szCs w:val="20"/>
        </w:rPr>
        <w:t xml:space="preserve">: </w:t>
      </w:r>
      <w:r w:rsidRPr="00FA3856">
        <w:rPr>
          <w:szCs w:val="20"/>
        </w:rPr>
        <w:t>A pessoa jurídica deve verificar se a soma da base de cálculo do imposto de renda postergado com o lucro real declarado, correspondente ao período de apuração da postergação, excede ou não ao limite estabelecido para o cálculo do adicional. Caso exceda, deve calcular o adicional sobre a parcela excedente e incluir o resultado na linha correspondente. Não havendo excesso, não incide o adicional sobre a base de cálculo do imposto de renda postergado, ainda que a pessoa jurídica esteja sujeita a este no período de apuração em que está informando o valor do imposto postergado.</w:t>
      </w:r>
    </w:p>
    <w:p w:rsidR="00CE1927" w:rsidRPr="00FA3856" w:rsidRDefault="00CE1927" w:rsidP="001A6818">
      <w:pPr>
        <w:pStyle w:val="NormalWeb"/>
        <w:spacing w:before="0" w:after="0"/>
        <w:jc w:val="both"/>
        <w:rPr>
          <w:rFonts w:ascii="Times New Roman" w:hAnsi="Times New Roman" w:cs="Times New Roman"/>
          <w:szCs w:val="20"/>
        </w:rPr>
      </w:pPr>
    </w:p>
    <w:p w:rsidR="00CE1927" w:rsidRPr="00FA3856" w:rsidRDefault="00B14A83" w:rsidP="001A6818">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t xml:space="preserve">V) </w:t>
      </w:r>
      <w:r w:rsidR="00CE1927" w:rsidRPr="00FA3856">
        <w:rPr>
          <w:rFonts w:ascii="Times New Roman" w:hAnsi="Times New Roman" w:cs="Times New Roman"/>
          <w:b/>
          <w:bCs/>
          <w:szCs w:val="20"/>
        </w:rPr>
        <w:t>Considerações Gerais sobre Incentivos (Trimestral e Anual)</w:t>
      </w:r>
      <w:r w:rsidR="00CE1927" w:rsidRPr="00FA3856">
        <w:rPr>
          <w:rFonts w:ascii="Times New Roman" w:hAnsi="Times New Roman" w:cs="Times New Roman"/>
          <w:szCs w:val="20"/>
        </w:rPr>
        <w:t xml:space="preserve"> </w:t>
      </w:r>
    </w:p>
    <w:p w:rsidR="005308A3" w:rsidRPr="00FA3856" w:rsidRDefault="005308A3" w:rsidP="001A6818">
      <w:pPr>
        <w:pStyle w:val="NormalWeb"/>
        <w:spacing w:before="0" w:after="0"/>
        <w:jc w:val="both"/>
        <w:rPr>
          <w:rFonts w:ascii="Times New Roman" w:hAnsi="Times New Roman" w:cs="Times New Roman"/>
          <w:szCs w:val="20"/>
        </w:rPr>
      </w:pPr>
    </w:p>
    <w:p w:rsidR="00CE1927" w:rsidRPr="00FA3856" w:rsidRDefault="00CE1927" w:rsidP="005308A3">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Não têm direito aos benefícios fiscais relacionados neste item:</w:t>
      </w:r>
    </w:p>
    <w:p w:rsidR="005308A3" w:rsidRPr="00FA3856" w:rsidRDefault="005308A3" w:rsidP="005308A3">
      <w:pPr>
        <w:pStyle w:val="NormalWeb"/>
        <w:spacing w:before="0" w:after="0"/>
        <w:ind w:firstLine="708"/>
        <w:jc w:val="both"/>
        <w:rPr>
          <w:rFonts w:ascii="Times New Roman" w:hAnsi="Times New Roman" w:cs="Times New Roman"/>
          <w:szCs w:val="20"/>
        </w:rPr>
      </w:pPr>
    </w:p>
    <w:p w:rsidR="00CE1927" w:rsidRPr="00FA3856" w:rsidRDefault="00CE1927" w:rsidP="005308A3">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as pessoas jurídicas tributadas com base no lucro presumido;</w:t>
      </w:r>
    </w:p>
    <w:p w:rsidR="00CE1927" w:rsidRPr="00FA3856" w:rsidRDefault="00CE1927" w:rsidP="005308A3">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b) as pessoas jurídicas tributadas com base no lucro arbitrado;</w:t>
      </w:r>
    </w:p>
    <w:p w:rsidR="00CE1927" w:rsidRPr="00FA3856" w:rsidRDefault="00CE1927" w:rsidP="005308A3">
      <w:pPr>
        <w:pStyle w:val="NormalWeb"/>
        <w:spacing w:before="0" w:after="0"/>
        <w:ind w:left="708"/>
        <w:jc w:val="both"/>
        <w:rPr>
          <w:rFonts w:ascii="Times New Roman" w:hAnsi="Times New Roman" w:cs="Times New Roman"/>
          <w:szCs w:val="20"/>
        </w:rPr>
      </w:pPr>
      <w:r w:rsidRPr="00FA3856">
        <w:rPr>
          <w:rFonts w:ascii="Times New Roman" w:hAnsi="Times New Roman" w:cs="Times New Roman"/>
          <w:szCs w:val="20"/>
        </w:rPr>
        <w:t>c) as microempresas e empresas de pequeno porte, optantes pelo Regime Especial Unificado de Arrecadação de Tributos e Contribuições SIMPLES NACIONAL (Lei Complementar n</w:t>
      </w:r>
      <w:r w:rsidRPr="00FA3856">
        <w:rPr>
          <w:rFonts w:ascii="Times New Roman" w:hAnsi="Times New Roman" w:cs="Times New Roman"/>
          <w:strike/>
          <w:szCs w:val="20"/>
        </w:rPr>
        <w:t>º</w:t>
      </w:r>
      <w:r w:rsidRPr="00FA3856">
        <w:rPr>
          <w:rFonts w:ascii="Times New Roman" w:hAnsi="Times New Roman" w:cs="Times New Roman"/>
          <w:szCs w:val="20"/>
        </w:rPr>
        <w:t xml:space="preserve"> 123, de 2006, art. 24).</w:t>
      </w:r>
    </w:p>
    <w:p w:rsidR="005308A3" w:rsidRPr="00FA3856" w:rsidRDefault="005308A3" w:rsidP="001A6818">
      <w:pPr>
        <w:pStyle w:val="NormalWeb"/>
        <w:spacing w:before="0" w:after="0"/>
        <w:jc w:val="both"/>
        <w:rPr>
          <w:rFonts w:ascii="Times New Roman" w:hAnsi="Times New Roman" w:cs="Times New Roman"/>
          <w:szCs w:val="20"/>
        </w:rPr>
      </w:pPr>
    </w:p>
    <w:p w:rsidR="00CE1927" w:rsidRPr="00FA3856" w:rsidRDefault="00CE1927" w:rsidP="005308A3">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vedação de que trata a letra "a" não se aplica às pessoas jurídicas que optarem pelo regime de tributação com base no lucro presumido durante o período em que submetidas ao Programa de Recuperação Fiscal (Refis), relativamente aos incentivos de isenção e redução do imposto.</w:t>
      </w:r>
    </w:p>
    <w:p w:rsidR="005308A3" w:rsidRPr="00FA3856" w:rsidRDefault="005308A3" w:rsidP="001A6818">
      <w:pPr>
        <w:pStyle w:val="NormalWeb"/>
        <w:spacing w:before="0" w:after="0"/>
        <w:jc w:val="both"/>
        <w:rPr>
          <w:rFonts w:ascii="Times New Roman" w:hAnsi="Times New Roman" w:cs="Times New Roman"/>
          <w:szCs w:val="20"/>
        </w:rPr>
      </w:pPr>
    </w:p>
    <w:p w:rsidR="00CE1927" w:rsidRPr="00FA3856" w:rsidRDefault="00CE1927" w:rsidP="005308A3">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prática de atos que configurem crimes contra a ordem tributária (Lei n</w:t>
      </w:r>
      <w:r w:rsidRPr="00FA3856">
        <w:rPr>
          <w:rFonts w:ascii="Times New Roman" w:hAnsi="Times New Roman" w:cs="Times New Roman"/>
          <w:strike/>
          <w:szCs w:val="20"/>
        </w:rPr>
        <w:t>º</w:t>
      </w:r>
      <w:r w:rsidRPr="00FA3856">
        <w:rPr>
          <w:rFonts w:ascii="Times New Roman" w:hAnsi="Times New Roman" w:cs="Times New Roman"/>
          <w:szCs w:val="20"/>
        </w:rPr>
        <w:t xml:space="preserve"> 8.137, de 27 de dezembro de 1990), e a </w:t>
      </w:r>
      <w:bookmarkStart w:id="143" w:name="subitem_15.7"/>
      <w:bookmarkEnd w:id="143"/>
      <w:r w:rsidRPr="00FA3856">
        <w:rPr>
          <w:rFonts w:ascii="Times New Roman" w:hAnsi="Times New Roman" w:cs="Times New Roman"/>
          <w:szCs w:val="20"/>
        </w:rPr>
        <w:t>falta de emissão de notas fiscais, nos termos da Lei n</w:t>
      </w:r>
      <w:r w:rsidRPr="00FA3856">
        <w:rPr>
          <w:rFonts w:ascii="Times New Roman" w:hAnsi="Times New Roman" w:cs="Times New Roman"/>
          <w:strike/>
          <w:szCs w:val="20"/>
        </w:rPr>
        <w:t>º</w:t>
      </w:r>
      <w:r w:rsidRPr="00FA3856">
        <w:rPr>
          <w:rFonts w:ascii="Times New Roman" w:hAnsi="Times New Roman" w:cs="Times New Roman"/>
          <w:szCs w:val="20"/>
        </w:rPr>
        <w:t xml:space="preserve"> 8.846, de 21 de janeiro de 1994, acarretam à pessoa jurídica infratora a perda, no ano-calendário correspondente, dos incentivos e benefícios de redução ou isenção previstos na legislação tributária.</w:t>
      </w:r>
    </w:p>
    <w:p w:rsidR="00CE1927" w:rsidRPr="00FA3856" w:rsidRDefault="00CE1927" w:rsidP="001A6818">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Para os fins de cálculo dos incentivos de dedução do imposto referidos neste subitem, deve ser excluída, do imposto de renda devido, a parcela do imposto correspondente a lucros, rendimentos ou ganhos de capital auferidos no exterior (Lei n</w:t>
      </w:r>
      <w:r w:rsidRPr="00FA3856">
        <w:rPr>
          <w:rFonts w:ascii="Times New Roman" w:hAnsi="Times New Roman" w:cs="Times New Roman"/>
          <w:strike/>
          <w:szCs w:val="20"/>
        </w:rPr>
        <w:t>º</w:t>
      </w:r>
      <w:r w:rsidRPr="00FA3856">
        <w:rPr>
          <w:rFonts w:ascii="Times New Roman" w:hAnsi="Times New Roman" w:cs="Times New Roman"/>
          <w:szCs w:val="20"/>
        </w:rPr>
        <w:t xml:space="preserve"> 9.323, de 1996, arts. 1</w:t>
      </w:r>
      <w:r w:rsidRPr="00FA3856">
        <w:rPr>
          <w:rFonts w:ascii="Times New Roman" w:hAnsi="Times New Roman" w:cs="Times New Roman"/>
          <w:strike/>
          <w:szCs w:val="20"/>
        </w:rPr>
        <w:t>º</w:t>
      </w:r>
      <w:r w:rsidRPr="00FA3856">
        <w:rPr>
          <w:rFonts w:ascii="Times New Roman" w:hAnsi="Times New Roman" w:cs="Times New Roman"/>
          <w:szCs w:val="20"/>
        </w:rPr>
        <w:t xml:space="preserve"> e 3</w:t>
      </w:r>
      <w:r w:rsidRPr="00FA3856">
        <w:rPr>
          <w:rFonts w:ascii="Times New Roman" w:hAnsi="Times New Roman" w:cs="Times New Roman"/>
          <w:strike/>
          <w:szCs w:val="20"/>
        </w:rPr>
        <w:t>º</w:t>
      </w:r>
      <w:r w:rsidRPr="00FA3856">
        <w:rPr>
          <w:rFonts w:ascii="Times New Roman" w:hAnsi="Times New Roman" w:cs="Times New Roman"/>
          <w:szCs w:val="20"/>
        </w:rPr>
        <w:t>; Lei n</w:t>
      </w:r>
      <w:r w:rsidRPr="00FA3856">
        <w:rPr>
          <w:rFonts w:ascii="Times New Roman" w:hAnsi="Times New Roman" w:cs="Times New Roman"/>
          <w:strike/>
          <w:szCs w:val="20"/>
        </w:rPr>
        <w:t>º</w:t>
      </w:r>
      <w:r w:rsidRPr="00FA3856">
        <w:rPr>
          <w:rFonts w:ascii="Times New Roman" w:hAnsi="Times New Roman" w:cs="Times New Roman"/>
          <w:szCs w:val="20"/>
        </w:rPr>
        <w:t xml:space="preserve"> 9.430, de 1996, art. 16, § 4</w:t>
      </w:r>
      <w:r w:rsidRPr="00FA3856">
        <w:rPr>
          <w:rFonts w:ascii="Times New Roman" w:hAnsi="Times New Roman" w:cs="Times New Roman"/>
          <w:strike/>
          <w:szCs w:val="20"/>
        </w:rPr>
        <w:t>º</w:t>
      </w:r>
      <w:r w:rsidRPr="00FA3856">
        <w:rPr>
          <w:rFonts w:ascii="Times New Roman" w:hAnsi="Times New Roman" w:cs="Times New Roman"/>
          <w:szCs w:val="20"/>
        </w:rPr>
        <w:t>).</w:t>
      </w:r>
    </w:p>
    <w:p w:rsidR="005308A3" w:rsidRPr="00FA3856" w:rsidRDefault="005308A3" w:rsidP="001A6818">
      <w:pPr>
        <w:pStyle w:val="NormalWeb"/>
        <w:spacing w:before="0" w:after="0"/>
        <w:jc w:val="both"/>
        <w:rPr>
          <w:rFonts w:ascii="Times New Roman" w:hAnsi="Times New Roman" w:cs="Times New Roman"/>
          <w:szCs w:val="20"/>
        </w:rPr>
      </w:pPr>
    </w:p>
    <w:p w:rsidR="00CE1927" w:rsidRPr="00FA3856" w:rsidRDefault="00CE1927" w:rsidP="005308A3">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Na determinação dos limites dos incentivos, não é permitido qualquer dedução, a título de incentivo fiscal, do adicional do imposto de renda (§ 4</w:t>
      </w:r>
      <w:r w:rsidRPr="00FA3856">
        <w:rPr>
          <w:rFonts w:ascii="Times New Roman" w:hAnsi="Times New Roman" w:cs="Times New Roman"/>
          <w:strike/>
          <w:szCs w:val="20"/>
        </w:rPr>
        <w:t>º</w:t>
      </w:r>
      <w:r w:rsidRPr="00FA3856">
        <w:rPr>
          <w:rFonts w:ascii="Times New Roman" w:hAnsi="Times New Roman" w:cs="Times New Roman"/>
          <w:szCs w:val="20"/>
        </w:rPr>
        <w:t xml:space="preserve"> do art. 3</w:t>
      </w:r>
      <w:r w:rsidRPr="00FA3856">
        <w:rPr>
          <w:rFonts w:ascii="Times New Roman" w:hAnsi="Times New Roman" w:cs="Times New Roman"/>
          <w:strike/>
          <w:szCs w:val="20"/>
        </w:rPr>
        <w:t>º</w:t>
      </w:r>
      <w:r w:rsidRPr="00FA3856">
        <w:rPr>
          <w:rFonts w:ascii="Times New Roman" w:hAnsi="Times New Roman" w:cs="Times New Roman"/>
          <w:szCs w:val="20"/>
        </w:rPr>
        <w:t xml:space="preserve"> da Lei n</w:t>
      </w:r>
      <w:r w:rsidRPr="00FA3856">
        <w:rPr>
          <w:rFonts w:ascii="Times New Roman" w:hAnsi="Times New Roman" w:cs="Times New Roman"/>
          <w:strike/>
          <w:szCs w:val="20"/>
        </w:rPr>
        <w:t>º</w:t>
      </w:r>
      <w:r w:rsidRPr="00FA3856">
        <w:rPr>
          <w:rFonts w:ascii="Times New Roman" w:hAnsi="Times New Roman" w:cs="Times New Roman"/>
          <w:szCs w:val="20"/>
        </w:rPr>
        <w:t xml:space="preserve"> 9.249, de 1995).</w:t>
      </w:r>
    </w:p>
    <w:p w:rsidR="005308A3" w:rsidRPr="00FA3856" w:rsidRDefault="005308A3" w:rsidP="001A6818">
      <w:pPr>
        <w:pStyle w:val="NormalWeb"/>
        <w:spacing w:before="0" w:after="0"/>
        <w:jc w:val="both"/>
        <w:rPr>
          <w:rFonts w:ascii="Times New Roman" w:hAnsi="Times New Roman" w:cs="Times New Roman"/>
          <w:b/>
          <w:bCs/>
          <w:szCs w:val="20"/>
        </w:rPr>
      </w:pPr>
    </w:p>
    <w:p w:rsidR="005308A3" w:rsidRPr="00FA3856" w:rsidRDefault="005308A3">
      <w:pPr>
        <w:spacing w:after="200" w:line="276" w:lineRule="auto"/>
        <w:rPr>
          <w:rFonts w:eastAsia="Arial Unicode MS"/>
          <w:b/>
          <w:bCs/>
          <w:szCs w:val="20"/>
          <w:lang w:eastAsia="ar-SA"/>
        </w:rPr>
      </w:pPr>
      <w:r w:rsidRPr="00FA3856">
        <w:rPr>
          <w:b/>
          <w:bCs/>
          <w:szCs w:val="20"/>
        </w:rPr>
        <w:br w:type="page"/>
      </w:r>
    </w:p>
    <w:p w:rsidR="00CE1927" w:rsidRPr="00FA3856" w:rsidRDefault="00B14A83" w:rsidP="001A6818">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lastRenderedPageBreak/>
        <w:t xml:space="preserve">V.1) </w:t>
      </w:r>
      <w:r w:rsidR="00CE1927" w:rsidRPr="00FA3856">
        <w:rPr>
          <w:rFonts w:ascii="Times New Roman" w:hAnsi="Times New Roman" w:cs="Times New Roman"/>
          <w:b/>
          <w:bCs/>
          <w:szCs w:val="20"/>
        </w:rPr>
        <w:t>Caráter Cultural e Artístico</w:t>
      </w:r>
    </w:p>
    <w:p w:rsidR="005308A3" w:rsidRPr="00FA3856" w:rsidRDefault="005308A3" w:rsidP="001A6818">
      <w:pPr>
        <w:pStyle w:val="NormalWeb"/>
        <w:spacing w:before="0" w:after="0"/>
        <w:jc w:val="both"/>
        <w:rPr>
          <w:rFonts w:ascii="Times New Roman" w:hAnsi="Times New Roman" w:cs="Times New Roman"/>
          <w:szCs w:val="20"/>
        </w:rPr>
      </w:pPr>
    </w:p>
    <w:p w:rsidR="00CE1927" w:rsidRPr="00FA3856" w:rsidRDefault="00CE1927" w:rsidP="005308A3">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pessoa jurídica pode deduzir do imposto devido as quantias efetivamente realizadas no período de apuração a título de doações ou patrocínio, tanto mediante contribuições ao Fundo Nacional de Cultura (FNC) na forma de doações, nos termos do inciso II do art. 5</w:t>
      </w:r>
      <w:r w:rsidRPr="00FA3856">
        <w:rPr>
          <w:rFonts w:ascii="Times New Roman" w:hAnsi="Times New Roman" w:cs="Times New Roman"/>
          <w:strike/>
          <w:szCs w:val="20"/>
        </w:rPr>
        <w:t>º</w:t>
      </w:r>
      <w:r w:rsidRPr="00FA3856">
        <w:rPr>
          <w:rFonts w:ascii="Times New Roman" w:hAnsi="Times New Roman" w:cs="Times New Roman"/>
          <w:szCs w:val="20"/>
        </w:rPr>
        <w:t xml:space="preserve"> da Lei n</w:t>
      </w:r>
      <w:r w:rsidRPr="00FA3856">
        <w:rPr>
          <w:rFonts w:ascii="Times New Roman" w:hAnsi="Times New Roman" w:cs="Times New Roman"/>
          <w:strike/>
          <w:szCs w:val="20"/>
        </w:rPr>
        <w:t>º</w:t>
      </w:r>
      <w:r w:rsidRPr="00FA3856">
        <w:rPr>
          <w:rFonts w:ascii="Times New Roman" w:hAnsi="Times New Roman" w:cs="Times New Roman"/>
          <w:szCs w:val="20"/>
        </w:rPr>
        <w:t xml:space="preserve"> 8.313, de 1991, quanto mediante apoio direto a projetos:</w:t>
      </w:r>
    </w:p>
    <w:p w:rsidR="005308A3" w:rsidRPr="00FA3856" w:rsidRDefault="005308A3" w:rsidP="001A6818">
      <w:pPr>
        <w:pStyle w:val="NormalWeb"/>
        <w:spacing w:before="0" w:after="0"/>
        <w:jc w:val="both"/>
        <w:rPr>
          <w:rFonts w:ascii="Times New Roman" w:hAnsi="Times New Roman" w:cs="Times New Roman"/>
          <w:szCs w:val="20"/>
        </w:rPr>
      </w:pPr>
    </w:p>
    <w:p w:rsidR="00CE1927" w:rsidRPr="00FA3856" w:rsidRDefault="00CE1927" w:rsidP="005308A3">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culturais aprovados na forma da regulamentação do Programa Nacional de Apoio à Cultura (Pronac) nos termos do inciso II do art. 26 da Lei n</w:t>
      </w:r>
      <w:r w:rsidRPr="00FA3856">
        <w:rPr>
          <w:rFonts w:ascii="Times New Roman" w:hAnsi="Times New Roman" w:cs="Times New Roman"/>
          <w:strike/>
          <w:szCs w:val="20"/>
        </w:rPr>
        <w:t>º</w:t>
      </w:r>
      <w:r w:rsidRPr="00FA3856">
        <w:rPr>
          <w:rFonts w:ascii="Times New Roman" w:hAnsi="Times New Roman" w:cs="Times New Roman"/>
          <w:szCs w:val="20"/>
        </w:rPr>
        <w:t xml:space="preserve"> 8.313, de 1991;</w:t>
      </w:r>
    </w:p>
    <w:p w:rsidR="00CE1927" w:rsidRPr="00FA3856" w:rsidRDefault="00CE1927" w:rsidP="005308A3">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 xml:space="preserve">b) relacionados à produção cultural, a que se refere o art. 18, </w:t>
      </w:r>
      <w:r w:rsidRPr="00FA3856">
        <w:rPr>
          <w:rFonts w:ascii="Times New Roman" w:hAnsi="Times New Roman" w:cs="Times New Roman"/>
          <w:i/>
          <w:iCs/>
          <w:szCs w:val="20"/>
        </w:rPr>
        <w:t>caput</w:t>
      </w:r>
      <w:r w:rsidRPr="00FA3856">
        <w:rPr>
          <w:rFonts w:ascii="Times New Roman" w:hAnsi="Times New Roman" w:cs="Times New Roman"/>
          <w:szCs w:val="20"/>
        </w:rPr>
        <w:t xml:space="preserve"> e §§ 1</w:t>
      </w:r>
      <w:r w:rsidRPr="00FA3856">
        <w:rPr>
          <w:rFonts w:ascii="Times New Roman" w:hAnsi="Times New Roman" w:cs="Times New Roman"/>
          <w:strike/>
          <w:szCs w:val="20"/>
        </w:rPr>
        <w:t>º</w:t>
      </w:r>
      <w:r w:rsidRPr="00FA3856">
        <w:rPr>
          <w:rFonts w:ascii="Times New Roman" w:hAnsi="Times New Roman" w:cs="Times New Roman"/>
          <w:szCs w:val="20"/>
        </w:rPr>
        <w:t xml:space="preserve"> e 3</w:t>
      </w:r>
      <w:r w:rsidRPr="00FA3856">
        <w:rPr>
          <w:rFonts w:ascii="Times New Roman" w:hAnsi="Times New Roman" w:cs="Times New Roman"/>
          <w:strike/>
          <w:szCs w:val="20"/>
        </w:rPr>
        <w:t>º</w:t>
      </w:r>
      <w:r w:rsidRPr="00FA3856">
        <w:rPr>
          <w:rFonts w:ascii="Times New Roman" w:hAnsi="Times New Roman" w:cs="Times New Roman"/>
          <w:szCs w:val="20"/>
        </w:rPr>
        <w:t>, da Lei n</w:t>
      </w:r>
      <w:r w:rsidRPr="00FA3856">
        <w:rPr>
          <w:rFonts w:ascii="Times New Roman" w:hAnsi="Times New Roman" w:cs="Times New Roman"/>
          <w:strike/>
          <w:szCs w:val="20"/>
        </w:rPr>
        <w:t>º</w:t>
      </w:r>
      <w:r w:rsidRPr="00FA3856">
        <w:rPr>
          <w:rFonts w:ascii="Times New Roman" w:hAnsi="Times New Roman" w:cs="Times New Roman"/>
          <w:szCs w:val="20"/>
        </w:rPr>
        <w:t xml:space="preserve"> 8.313, de 1991, nos segmentos de:</w:t>
      </w:r>
    </w:p>
    <w:p w:rsidR="00CE1927" w:rsidRPr="00FA3856" w:rsidRDefault="00CE1927" w:rsidP="005308A3">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b.1) artes cênicas;</w:t>
      </w:r>
    </w:p>
    <w:p w:rsidR="00CE1927" w:rsidRPr="00FA3856" w:rsidRDefault="00CE1927" w:rsidP="005308A3">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b.2) livros de valor artístico, literário ou humanístico;</w:t>
      </w:r>
    </w:p>
    <w:p w:rsidR="00CE1927" w:rsidRPr="00FA3856" w:rsidRDefault="00CE1927" w:rsidP="005308A3">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b.3) música erudita ou instrumental;</w:t>
      </w:r>
    </w:p>
    <w:p w:rsidR="00CE1927" w:rsidRPr="00FA3856" w:rsidRDefault="00CE1927" w:rsidP="005308A3">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b.4) exposições de artes visuais;</w:t>
      </w:r>
    </w:p>
    <w:p w:rsidR="00CE1927" w:rsidRPr="00FA3856" w:rsidRDefault="00CE1927" w:rsidP="005308A3">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b.5) doações de acervos para bibliote</w:t>
      </w:r>
      <w:bookmarkStart w:id="144" w:name="subitem_15.7.1"/>
      <w:bookmarkEnd w:id="144"/>
      <w:r w:rsidRPr="00FA3856">
        <w:rPr>
          <w:rFonts w:ascii="Times New Roman" w:hAnsi="Times New Roman" w:cs="Times New Roman"/>
          <w:szCs w:val="20"/>
        </w:rPr>
        <w:t>cas públicas, museus, arquivos públicos e cinematecas, treinamento de pessoal e aquisição de equipamentos para a manutenção desses acervos;</w:t>
      </w:r>
    </w:p>
    <w:p w:rsidR="00CE1927" w:rsidRPr="00FA3856" w:rsidRDefault="00CE1927" w:rsidP="005308A3">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 xml:space="preserve">b.6) produção de obras cinematográficas e videofonográficas de curta e média metragens e preservação e difusão do acervo audiovisual; </w:t>
      </w:r>
    </w:p>
    <w:p w:rsidR="00CE1927" w:rsidRPr="00FA3856" w:rsidRDefault="00CE1927" w:rsidP="005308A3">
      <w:pPr>
        <w:pStyle w:val="NormalWeb"/>
        <w:spacing w:before="0" w:after="0"/>
        <w:ind w:left="1416"/>
        <w:jc w:val="both"/>
        <w:rPr>
          <w:rFonts w:ascii="Times New Roman" w:hAnsi="Times New Roman" w:cs="Times New Roman"/>
          <w:szCs w:val="20"/>
        </w:rPr>
      </w:pPr>
      <w:r w:rsidRPr="00FA3856">
        <w:rPr>
          <w:rFonts w:ascii="Times New Roman" w:hAnsi="Times New Roman" w:cs="Times New Roman"/>
          <w:szCs w:val="20"/>
        </w:rPr>
        <w:t>b.7) preservação do patrimônio cultural material e imaterial; e</w:t>
      </w:r>
    </w:p>
    <w:p w:rsidR="00CE1927" w:rsidRPr="00FA3856" w:rsidRDefault="00CE1927" w:rsidP="005308A3">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b.8) construção e manutenção de salas de cinema e teatro, que poderão funcionar também como centros culturais comunitários, em Municípios com menos de 100.000 (cem mil) habitantes.</w:t>
      </w:r>
    </w:p>
    <w:p w:rsidR="00CE1927" w:rsidRPr="00FA3856" w:rsidRDefault="00CE1927" w:rsidP="005308A3">
      <w:pPr>
        <w:pStyle w:val="NormalWeb"/>
        <w:spacing w:before="0" w:after="0"/>
        <w:ind w:left="708"/>
        <w:jc w:val="both"/>
        <w:rPr>
          <w:rFonts w:ascii="Times New Roman" w:hAnsi="Times New Roman" w:cs="Times New Roman"/>
          <w:szCs w:val="20"/>
        </w:rPr>
      </w:pPr>
      <w:r w:rsidRPr="00FA3856">
        <w:rPr>
          <w:rFonts w:ascii="Times New Roman" w:hAnsi="Times New Roman" w:cs="Times New Roman"/>
          <w:szCs w:val="20"/>
        </w:rPr>
        <w:t xml:space="preserve">c) relativos à produção de obras cinematográficas e videofonográficas brasileiras de longa, média e curta metragens de produção independente, de </w:t>
      </w:r>
      <w:r w:rsidR="00B5790B" w:rsidRPr="00FA3856">
        <w:rPr>
          <w:rFonts w:ascii="Times New Roman" w:hAnsi="Times New Roman" w:cs="Times New Roman"/>
          <w:szCs w:val="20"/>
        </w:rPr>
        <w:t>coprodução</w:t>
      </w:r>
      <w:r w:rsidRPr="00FA3856">
        <w:rPr>
          <w:rFonts w:ascii="Times New Roman" w:hAnsi="Times New Roman" w:cs="Times New Roman"/>
          <w:szCs w:val="20"/>
        </w:rPr>
        <w:t xml:space="preserve"> de obras cinematográficas e videofonográficas brasileiras de produção independente, de telefilmes, minisséries, documentais, ficcionais, animações e de programas de televisão de caráter educativo e cultural, brasileiros de produção independente, aprovados pela Agência Nacional do Cinema (Ancine) nos termos do § 6</w:t>
      </w:r>
      <w:r w:rsidRPr="00FA3856">
        <w:rPr>
          <w:rFonts w:ascii="Times New Roman" w:hAnsi="Times New Roman" w:cs="Times New Roman"/>
          <w:strike/>
          <w:szCs w:val="20"/>
        </w:rPr>
        <w:t>º</w:t>
      </w:r>
      <w:r w:rsidRPr="00FA3856">
        <w:rPr>
          <w:rFonts w:ascii="Times New Roman" w:hAnsi="Times New Roman" w:cs="Times New Roman"/>
          <w:szCs w:val="20"/>
        </w:rPr>
        <w:t xml:space="preserve"> do art. 39 da Medida Provisória n</w:t>
      </w:r>
      <w:r w:rsidRPr="00FA3856">
        <w:rPr>
          <w:rFonts w:ascii="Times New Roman" w:hAnsi="Times New Roman" w:cs="Times New Roman"/>
          <w:strike/>
          <w:szCs w:val="20"/>
        </w:rPr>
        <w:t>º</w:t>
      </w:r>
      <w:r w:rsidRPr="00FA3856">
        <w:rPr>
          <w:rFonts w:ascii="Times New Roman" w:hAnsi="Times New Roman" w:cs="Times New Roman"/>
          <w:szCs w:val="20"/>
        </w:rPr>
        <w:t xml:space="preserve"> 2.228-1, de 6 de agosto de 2001, desde que produzidos com os recursos de que trata o inciso X desse mesmo art. 39 (Lei nº 11.437, de 2006, art. 7º).</w:t>
      </w:r>
    </w:p>
    <w:p w:rsidR="005308A3" w:rsidRPr="00FA3856" w:rsidRDefault="005308A3" w:rsidP="001A6818">
      <w:pPr>
        <w:pStyle w:val="NormalWeb"/>
        <w:spacing w:before="0" w:after="0"/>
        <w:jc w:val="both"/>
        <w:rPr>
          <w:rFonts w:ascii="Times New Roman" w:hAnsi="Times New Roman" w:cs="Times New Roman"/>
          <w:szCs w:val="20"/>
        </w:rPr>
      </w:pPr>
    </w:p>
    <w:p w:rsidR="00CE1927" w:rsidRPr="00FA3856" w:rsidRDefault="00CE1927" w:rsidP="005308A3">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 xml:space="preserve">Os projetos culturais devem ser previamente aprovados pelo Ministério da Cultura (MinC), observado o disposto em seus atos baixados para este fim. </w:t>
      </w:r>
    </w:p>
    <w:p w:rsidR="005308A3" w:rsidRPr="00FA3856" w:rsidRDefault="005308A3" w:rsidP="001A6818">
      <w:pPr>
        <w:pStyle w:val="NormalWeb"/>
        <w:spacing w:before="0" w:after="0"/>
        <w:jc w:val="both"/>
        <w:rPr>
          <w:rFonts w:ascii="Times New Roman" w:hAnsi="Times New Roman" w:cs="Times New Roman"/>
          <w:szCs w:val="20"/>
        </w:rPr>
      </w:pPr>
    </w:p>
    <w:p w:rsidR="00CE1927" w:rsidRPr="00FA3856" w:rsidRDefault="00CE1927" w:rsidP="005308A3">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Os projetos de que tratam as letras a e b, relacionados a obras cinematográficas e videofonográficas, devem ser previamente aprovados pelo MinC ou pela Ancine.</w:t>
      </w:r>
    </w:p>
    <w:p w:rsidR="005308A3" w:rsidRPr="00FA3856" w:rsidRDefault="005308A3" w:rsidP="001A6818">
      <w:pPr>
        <w:pStyle w:val="NormalWeb"/>
        <w:spacing w:before="0" w:after="0"/>
        <w:jc w:val="both"/>
        <w:rPr>
          <w:rFonts w:ascii="Times New Roman" w:hAnsi="Times New Roman" w:cs="Times New Roman"/>
          <w:szCs w:val="20"/>
        </w:rPr>
      </w:pPr>
    </w:p>
    <w:p w:rsidR="00CE1927" w:rsidRPr="00FA3856" w:rsidRDefault="00CE1927" w:rsidP="005308A3">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Somente podem usufruir os benefícios fiscais culturais os incentivadores que obedecerem, para suas doações ou patrocínios, o período definido pelas portarias de homologação do MinC ou Ancine, publicadas no Diário Oficial da União.</w:t>
      </w:r>
    </w:p>
    <w:p w:rsidR="005308A3" w:rsidRPr="00FA3856" w:rsidRDefault="005308A3" w:rsidP="001A6818">
      <w:pPr>
        <w:pStyle w:val="NormalWeb"/>
        <w:spacing w:before="0" w:after="0"/>
        <w:jc w:val="both"/>
        <w:rPr>
          <w:rFonts w:ascii="Times New Roman" w:hAnsi="Times New Roman" w:cs="Times New Roman"/>
          <w:szCs w:val="20"/>
        </w:rPr>
      </w:pPr>
    </w:p>
    <w:p w:rsidR="00CE1927" w:rsidRPr="00FA3856" w:rsidRDefault="00CE1927" w:rsidP="005308A3">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pessoa jurídica pode deduzir do imposto devido o valor calculado deste incentivo, observando-se a legislação de concessão dos projetos e os limites legais estabelecidos, conforme a seguir:</w:t>
      </w:r>
    </w:p>
    <w:p w:rsidR="005308A3" w:rsidRPr="00FA3856" w:rsidRDefault="005308A3" w:rsidP="001A6818">
      <w:pPr>
        <w:pStyle w:val="NormalWeb"/>
        <w:spacing w:before="0" w:after="0"/>
        <w:jc w:val="both"/>
        <w:rPr>
          <w:rFonts w:ascii="Times New Roman" w:hAnsi="Times New Roman" w:cs="Times New Roman"/>
          <w:szCs w:val="20"/>
        </w:rPr>
      </w:pPr>
    </w:p>
    <w:p w:rsidR="00CE1927" w:rsidRPr="00FA3856" w:rsidRDefault="00CE1927" w:rsidP="005308A3">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projetos aprovados nos termos dos arts. 25 e 26 da Lei n</w:t>
      </w:r>
      <w:r w:rsidRPr="00FA3856">
        <w:rPr>
          <w:rFonts w:ascii="Times New Roman" w:hAnsi="Times New Roman" w:cs="Times New Roman"/>
          <w:strike/>
          <w:szCs w:val="20"/>
        </w:rPr>
        <w:t>º</w:t>
      </w:r>
      <w:r w:rsidRPr="00FA3856">
        <w:rPr>
          <w:rFonts w:ascii="Times New Roman" w:hAnsi="Times New Roman" w:cs="Times New Roman"/>
          <w:szCs w:val="20"/>
        </w:rPr>
        <w:t xml:space="preserve"> 8.313, de 1991:</w:t>
      </w:r>
    </w:p>
    <w:p w:rsidR="00CE1927" w:rsidRPr="00FA3856" w:rsidRDefault="00CE1927" w:rsidP="005308A3">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a.1) 40% do somatório das doações;</w:t>
      </w:r>
    </w:p>
    <w:p w:rsidR="00CE1927" w:rsidRPr="00FA3856" w:rsidRDefault="00CE1927" w:rsidP="005308A3">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a.2) 30% do somatório dos patrocínios;</w:t>
      </w:r>
    </w:p>
    <w:p w:rsidR="00CE1927" w:rsidRPr="00FA3856" w:rsidRDefault="00CE1927" w:rsidP="005308A3">
      <w:pPr>
        <w:pStyle w:val="NormalWeb"/>
        <w:spacing w:before="0" w:after="0"/>
        <w:ind w:left="708"/>
        <w:jc w:val="both"/>
        <w:rPr>
          <w:rFonts w:ascii="Times New Roman" w:hAnsi="Times New Roman" w:cs="Times New Roman"/>
          <w:szCs w:val="20"/>
        </w:rPr>
      </w:pPr>
      <w:r w:rsidRPr="00FA3856">
        <w:rPr>
          <w:rFonts w:ascii="Times New Roman" w:hAnsi="Times New Roman" w:cs="Times New Roman"/>
          <w:szCs w:val="20"/>
        </w:rPr>
        <w:t>b) projetos aprovados nos termos dos arts. 25 e 26 da Lei n</w:t>
      </w:r>
      <w:r w:rsidRPr="00FA3856">
        <w:rPr>
          <w:rFonts w:ascii="Times New Roman" w:hAnsi="Times New Roman" w:cs="Times New Roman"/>
          <w:strike/>
          <w:szCs w:val="20"/>
        </w:rPr>
        <w:t>º</w:t>
      </w:r>
      <w:r w:rsidRPr="00FA3856">
        <w:rPr>
          <w:rFonts w:ascii="Times New Roman" w:hAnsi="Times New Roman" w:cs="Times New Roman"/>
          <w:szCs w:val="20"/>
        </w:rPr>
        <w:t xml:space="preserve"> 8.313, de 1991, combinados com o § 6</w:t>
      </w:r>
      <w:r w:rsidRPr="00FA3856">
        <w:rPr>
          <w:rFonts w:ascii="Times New Roman" w:hAnsi="Times New Roman" w:cs="Times New Roman"/>
          <w:strike/>
          <w:szCs w:val="20"/>
        </w:rPr>
        <w:t>º</w:t>
      </w:r>
      <w:r w:rsidRPr="00FA3856">
        <w:rPr>
          <w:rFonts w:ascii="Times New Roman" w:hAnsi="Times New Roman" w:cs="Times New Roman"/>
          <w:szCs w:val="20"/>
        </w:rPr>
        <w:t xml:space="preserve"> do art. 39 da Medida Provisória n</w:t>
      </w:r>
      <w:r w:rsidRPr="00FA3856">
        <w:rPr>
          <w:rFonts w:ascii="Times New Roman" w:hAnsi="Times New Roman" w:cs="Times New Roman"/>
          <w:strike/>
          <w:szCs w:val="20"/>
        </w:rPr>
        <w:t>º</w:t>
      </w:r>
      <w:r w:rsidRPr="00FA3856">
        <w:rPr>
          <w:rFonts w:ascii="Times New Roman" w:hAnsi="Times New Roman" w:cs="Times New Roman"/>
          <w:szCs w:val="20"/>
        </w:rPr>
        <w:t xml:space="preserve"> 2.228-1, de 2001, produzidos com os recursos de que trata o inciso X desse mesmo art. 39:</w:t>
      </w:r>
    </w:p>
    <w:p w:rsidR="00CE1927" w:rsidRPr="00FA3856" w:rsidRDefault="00CE1927" w:rsidP="005308A3">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b.1) 40% do somatório das doações;</w:t>
      </w:r>
    </w:p>
    <w:p w:rsidR="00CE1927" w:rsidRPr="00FA3856" w:rsidRDefault="00CE1927" w:rsidP="005308A3">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b.2) 30% do somatório dos patrocínios;</w:t>
      </w:r>
    </w:p>
    <w:p w:rsidR="005308A3" w:rsidRPr="00FA3856" w:rsidRDefault="005308A3" w:rsidP="001A6818">
      <w:pPr>
        <w:pStyle w:val="NormalWeb"/>
        <w:spacing w:before="0" w:after="0"/>
        <w:jc w:val="both"/>
        <w:rPr>
          <w:rFonts w:ascii="Times New Roman" w:hAnsi="Times New Roman" w:cs="Times New Roman"/>
          <w:szCs w:val="20"/>
        </w:rPr>
      </w:pPr>
    </w:p>
    <w:p w:rsidR="005308A3" w:rsidRPr="00FA3856" w:rsidRDefault="005308A3">
      <w:pPr>
        <w:spacing w:after="200" w:line="276" w:lineRule="auto"/>
        <w:rPr>
          <w:rFonts w:eastAsia="Arial Unicode MS"/>
          <w:szCs w:val="20"/>
          <w:lang w:eastAsia="ar-SA"/>
        </w:rPr>
      </w:pPr>
      <w:r w:rsidRPr="00FA3856">
        <w:rPr>
          <w:szCs w:val="20"/>
        </w:rPr>
        <w:br w:type="page"/>
      </w:r>
    </w:p>
    <w:p w:rsidR="005308A3" w:rsidRPr="00FA3856" w:rsidRDefault="00CE1927" w:rsidP="005308A3">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lastRenderedPageBreak/>
        <w:t>A dedução a título de doações ou patrocínios de que tratam as letras a e b não poderá exceder isoladamente a 4% do imposto devido, antes do adicional, com base:</w:t>
      </w:r>
    </w:p>
    <w:p w:rsidR="00CE1927" w:rsidRPr="00FA3856" w:rsidRDefault="00CE1927" w:rsidP="005308A3">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1) no lucro real trimestral;</w:t>
      </w:r>
    </w:p>
    <w:p w:rsidR="00CE1927" w:rsidRPr="00FA3856" w:rsidRDefault="00CE1927" w:rsidP="005308A3">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2) no lucro real apurado no ajuste anual.</w:t>
      </w:r>
    </w:p>
    <w:p w:rsidR="005308A3" w:rsidRPr="00FA3856" w:rsidRDefault="005308A3" w:rsidP="001A6818">
      <w:pPr>
        <w:pStyle w:val="NormalWeb"/>
        <w:spacing w:before="0" w:after="0"/>
        <w:jc w:val="both"/>
        <w:rPr>
          <w:rFonts w:ascii="Times New Roman" w:hAnsi="Times New Roman" w:cs="Times New Roman"/>
          <w:szCs w:val="20"/>
        </w:rPr>
      </w:pPr>
    </w:p>
    <w:p w:rsidR="005308A3" w:rsidRPr="00FA3856" w:rsidRDefault="00CE1927" w:rsidP="005308A3">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dedução também se aplica ao imposto determinado com base no lucro estimado, calculado com base na receita bruta e acréscimos. Porém, o valor deduzido do IRPJ com base no lucro estimado:</w:t>
      </w:r>
    </w:p>
    <w:p w:rsidR="00CE1927" w:rsidRPr="00FA3856" w:rsidRDefault="00CE1927" w:rsidP="005308A3">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1) não será considerado imposto pago por estimativa; e</w:t>
      </w:r>
    </w:p>
    <w:p w:rsidR="00CE1927" w:rsidRPr="00FA3856" w:rsidRDefault="00CE1927" w:rsidP="005308A3">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2) deve compor o valor a ser deduzido do imposto devido no ajuste anual.</w:t>
      </w:r>
    </w:p>
    <w:p w:rsidR="005308A3" w:rsidRPr="00FA3856" w:rsidRDefault="005308A3" w:rsidP="001A6818">
      <w:pPr>
        <w:pStyle w:val="NormalWeb"/>
        <w:spacing w:before="0" w:after="0"/>
        <w:jc w:val="both"/>
        <w:rPr>
          <w:rFonts w:ascii="Times New Roman" w:hAnsi="Times New Roman" w:cs="Times New Roman"/>
          <w:szCs w:val="20"/>
        </w:rPr>
      </w:pPr>
    </w:p>
    <w:p w:rsidR="00CE1927" w:rsidRPr="00FA3856" w:rsidRDefault="00CE1927" w:rsidP="005308A3">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 xml:space="preserve">Eventuais excessos ao limite de 4% de </w:t>
      </w:r>
      <w:r w:rsidR="00E00235">
        <w:rPr>
          <w:rFonts w:ascii="Times New Roman" w:hAnsi="Times New Roman" w:cs="Times New Roman"/>
          <w:szCs w:val="20"/>
        </w:rPr>
        <w:t>dedução não poderão</w:t>
      </w:r>
      <w:r w:rsidRPr="00FA3856">
        <w:rPr>
          <w:rFonts w:ascii="Times New Roman" w:hAnsi="Times New Roman" w:cs="Times New Roman"/>
          <w:szCs w:val="20"/>
        </w:rPr>
        <w:t xml:space="preserve"> ser deduzido</w:t>
      </w:r>
      <w:r w:rsidR="00E00235">
        <w:rPr>
          <w:rFonts w:ascii="Times New Roman" w:hAnsi="Times New Roman" w:cs="Times New Roman"/>
          <w:szCs w:val="20"/>
        </w:rPr>
        <w:t>s</w:t>
      </w:r>
      <w:r w:rsidRPr="00FA3856">
        <w:rPr>
          <w:rFonts w:ascii="Times New Roman" w:hAnsi="Times New Roman" w:cs="Times New Roman"/>
          <w:szCs w:val="20"/>
        </w:rPr>
        <w:t xml:space="preserve"> do imposto devido em períodos de apuração posteriores.</w:t>
      </w:r>
    </w:p>
    <w:p w:rsidR="005308A3" w:rsidRPr="00FA3856" w:rsidRDefault="005308A3" w:rsidP="001A6818">
      <w:pPr>
        <w:pStyle w:val="NormalWeb"/>
        <w:spacing w:before="0" w:after="0"/>
        <w:jc w:val="both"/>
        <w:rPr>
          <w:rFonts w:ascii="Times New Roman" w:hAnsi="Times New Roman" w:cs="Times New Roman"/>
          <w:szCs w:val="20"/>
        </w:rPr>
      </w:pPr>
    </w:p>
    <w:p w:rsidR="00CE1927" w:rsidRPr="00FA3856" w:rsidRDefault="00CE1927" w:rsidP="005308A3">
      <w:pPr>
        <w:pStyle w:val="NormalWeb"/>
        <w:spacing w:before="0" w:after="0"/>
        <w:ind w:left="708"/>
        <w:jc w:val="both"/>
        <w:rPr>
          <w:rFonts w:ascii="Times New Roman" w:hAnsi="Times New Roman" w:cs="Times New Roman"/>
          <w:szCs w:val="20"/>
        </w:rPr>
      </w:pPr>
      <w:r w:rsidRPr="00FA3856">
        <w:rPr>
          <w:rFonts w:ascii="Times New Roman" w:hAnsi="Times New Roman" w:cs="Times New Roman"/>
          <w:szCs w:val="20"/>
        </w:rPr>
        <w:t>c) projetos aprovados nos termos do art. 18 da Lei n</w:t>
      </w:r>
      <w:r w:rsidRPr="00FA3856">
        <w:rPr>
          <w:rFonts w:ascii="Times New Roman" w:hAnsi="Times New Roman" w:cs="Times New Roman"/>
          <w:strike/>
          <w:szCs w:val="20"/>
        </w:rPr>
        <w:t>º</w:t>
      </w:r>
      <w:r w:rsidRPr="00FA3856">
        <w:rPr>
          <w:rFonts w:ascii="Times New Roman" w:hAnsi="Times New Roman" w:cs="Times New Roman"/>
          <w:szCs w:val="20"/>
        </w:rPr>
        <w:t xml:space="preserve"> 8.313, de 1991, alterado pela Lei n</w:t>
      </w:r>
      <w:r w:rsidRPr="00FA3856">
        <w:rPr>
          <w:rFonts w:ascii="Times New Roman" w:hAnsi="Times New Roman" w:cs="Times New Roman"/>
          <w:strike/>
          <w:szCs w:val="20"/>
        </w:rPr>
        <w:t>º</w:t>
      </w:r>
      <w:r w:rsidRPr="00FA3856">
        <w:rPr>
          <w:rFonts w:ascii="Times New Roman" w:hAnsi="Times New Roman" w:cs="Times New Roman"/>
          <w:szCs w:val="20"/>
        </w:rPr>
        <w:t xml:space="preserve"> 9.874, de 23 de novembro de 1999, e pelo art. 53 da MP n</w:t>
      </w:r>
      <w:r w:rsidRPr="00FA3856">
        <w:rPr>
          <w:rFonts w:ascii="Times New Roman" w:hAnsi="Times New Roman" w:cs="Times New Roman"/>
          <w:strike/>
          <w:szCs w:val="20"/>
        </w:rPr>
        <w:t>º</w:t>
      </w:r>
      <w:r w:rsidRPr="00FA3856">
        <w:rPr>
          <w:rFonts w:ascii="Times New Roman" w:hAnsi="Times New Roman" w:cs="Times New Roman"/>
          <w:szCs w:val="20"/>
        </w:rPr>
        <w:t xml:space="preserve"> 2.228, de 2001:</w:t>
      </w:r>
    </w:p>
    <w:p w:rsidR="00CE1927" w:rsidRPr="00FA3856" w:rsidRDefault="00CE1927" w:rsidP="005308A3">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c.1) 100% do somatório das doações;</w:t>
      </w:r>
    </w:p>
    <w:p w:rsidR="00CE1927" w:rsidRPr="00FA3856" w:rsidRDefault="00CE1927" w:rsidP="005308A3">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c.2) 100% do somatório dos patrocínios;</w:t>
      </w:r>
    </w:p>
    <w:p w:rsidR="00CE1927" w:rsidRPr="00FA3856" w:rsidRDefault="00CE1927" w:rsidP="005308A3">
      <w:pPr>
        <w:pStyle w:val="NormalWeb"/>
        <w:spacing w:before="0" w:after="0"/>
        <w:ind w:left="708"/>
        <w:jc w:val="both"/>
        <w:rPr>
          <w:rFonts w:ascii="Times New Roman" w:hAnsi="Times New Roman" w:cs="Times New Roman"/>
          <w:szCs w:val="20"/>
        </w:rPr>
      </w:pPr>
      <w:r w:rsidRPr="00FA3856">
        <w:rPr>
          <w:rFonts w:ascii="Times New Roman" w:hAnsi="Times New Roman" w:cs="Times New Roman"/>
          <w:szCs w:val="20"/>
        </w:rPr>
        <w:t>d) projetos aprovados nos termos do art. 18 da Lei n</w:t>
      </w:r>
      <w:r w:rsidRPr="00FA3856">
        <w:rPr>
          <w:rFonts w:ascii="Times New Roman" w:hAnsi="Times New Roman" w:cs="Times New Roman"/>
          <w:strike/>
          <w:szCs w:val="20"/>
        </w:rPr>
        <w:t>º</w:t>
      </w:r>
      <w:r w:rsidRPr="00FA3856">
        <w:rPr>
          <w:rFonts w:ascii="Times New Roman" w:hAnsi="Times New Roman" w:cs="Times New Roman"/>
          <w:szCs w:val="20"/>
        </w:rPr>
        <w:t xml:space="preserve"> 8.313, de 1991, alterado pela Lei n</w:t>
      </w:r>
      <w:r w:rsidRPr="00FA3856">
        <w:rPr>
          <w:rFonts w:ascii="Times New Roman" w:hAnsi="Times New Roman" w:cs="Times New Roman"/>
          <w:strike/>
          <w:szCs w:val="20"/>
        </w:rPr>
        <w:t>º</w:t>
      </w:r>
      <w:r w:rsidRPr="00FA3856">
        <w:rPr>
          <w:rFonts w:ascii="Times New Roman" w:hAnsi="Times New Roman" w:cs="Times New Roman"/>
          <w:szCs w:val="20"/>
        </w:rPr>
        <w:t xml:space="preserve"> 9.874, de 23 de novembro de 1999, e pelo art. 53 da MP n</w:t>
      </w:r>
      <w:r w:rsidRPr="00FA3856">
        <w:rPr>
          <w:rFonts w:ascii="Times New Roman" w:hAnsi="Times New Roman" w:cs="Times New Roman"/>
          <w:strike/>
          <w:szCs w:val="20"/>
        </w:rPr>
        <w:t>º</w:t>
      </w:r>
      <w:r w:rsidRPr="00FA3856">
        <w:rPr>
          <w:rFonts w:ascii="Times New Roman" w:hAnsi="Times New Roman" w:cs="Times New Roman"/>
          <w:szCs w:val="20"/>
        </w:rPr>
        <w:t xml:space="preserve"> 2.228, de 2001, combinados com o § 6</w:t>
      </w:r>
      <w:r w:rsidRPr="00FA3856">
        <w:rPr>
          <w:rFonts w:ascii="Times New Roman" w:hAnsi="Times New Roman" w:cs="Times New Roman"/>
          <w:strike/>
          <w:szCs w:val="20"/>
        </w:rPr>
        <w:t>º</w:t>
      </w:r>
      <w:r w:rsidRPr="00FA3856">
        <w:rPr>
          <w:rFonts w:ascii="Times New Roman" w:hAnsi="Times New Roman" w:cs="Times New Roman"/>
          <w:szCs w:val="20"/>
        </w:rPr>
        <w:t xml:space="preserve"> do art. 39 da Medida Provisória n</w:t>
      </w:r>
      <w:r w:rsidRPr="00FA3856">
        <w:rPr>
          <w:rFonts w:ascii="Times New Roman" w:hAnsi="Times New Roman" w:cs="Times New Roman"/>
          <w:strike/>
          <w:szCs w:val="20"/>
        </w:rPr>
        <w:t>º</w:t>
      </w:r>
      <w:r w:rsidRPr="00FA3856">
        <w:rPr>
          <w:rFonts w:ascii="Times New Roman" w:hAnsi="Times New Roman" w:cs="Times New Roman"/>
          <w:szCs w:val="20"/>
        </w:rPr>
        <w:t xml:space="preserve"> 2.228-1, de 2001, produzidos com os recursos de que trata o inciso X desse mesmo art. 39:</w:t>
      </w:r>
    </w:p>
    <w:p w:rsidR="00CE1927" w:rsidRPr="00FA3856" w:rsidRDefault="00CE1927" w:rsidP="005308A3">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d.1) 100% do somatório das doações;</w:t>
      </w:r>
    </w:p>
    <w:p w:rsidR="00CE1927" w:rsidRPr="00FA3856" w:rsidRDefault="00CE1927" w:rsidP="005308A3">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d.2) 100% do somatório dos patrocínios;</w:t>
      </w:r>
    </w:p>
    <w:p w:rsidR="005308A3" w:rsidRPr="00FA3856" w:rsidRDefault="005308A3" w:rsidP="001A6818">
      <w:pPr>
        <w:pStyle w:val="NormalWeb"/>
        <w:spacing w:before="0" w:after="0"/>
        <w:jc w:val="both"/>
        <w:rPr>
          <w:rFonts w:ascii="Times New Roman" w:hAnsi="Times New Roman" w:cs="Times New Roman"/>
          <w:szCs w:val="20"/>
        </w:rPr>
      </w:pPr>
    </w:p>
    <w:p w:rsidR="00CE1927" w:rsidRPr="00FA3856" w:rsidRDefault="00CE1927" w:rsidP="005308A3">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As doações feitas em favor do FNC podem ser deduzidas nos termos do item a.1, desde que sejam comprovadas por meio de recibo de depósito bancário e de declaração de recebimento firmada pelo donatário.</w:t>
      </w:r>
    </w:p>
    <w:p w:rsidR="005308A3" w:rsidRPr="00FA3856" w:rsidRDefault="005308A3" w:rsidP="001A6818">
      <w:pPr>
        <w:pStyle w:val="NormalWeb"/>
        <w:spacing w:before="0" w:after="0"/>
        <w:jc w:val="both"/>
        <w:rPr>
          <w:rFonts w:ascii="Times New Roman" w:hAnsi="Times New Roman" w:cs="Times New Roman"/>
          <w:szCs w:val="20"/>
        </w:rPr>
      </w:pPr>
    </w:p>
    <w:p w:rsidR="00CE1927" w:rsidRPr="00FA3856" w:rsidRDefault="00CE1927" w:rsidP="005308A3">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dedução a título de doações ou patrocínios de que tratam as letras c e d não poderá exceder isoladamente a 4% do imposto devido, antes do adicional, com base:</w:t>
      </w:r>
    </w:p>
    <w:p w:rsidR="00CE1927" w:rsidRPr="00FA3856" w:rsidRDefault="00CE1927" w:rsidP="005308A3">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1) no lucro real trimestral;</w:t>
      </w:r>
    </w:p>
    <w:p w:rsidR="00CE1927" w:rsidRPr="00FA3856" w:rsidRDefault="00CE1927" w:rsidP="005308A3">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2) no lucro real apurado no ajuste anual.</w:t>
      </w:r>
    </w:p>
    <w:p w:rsidR="005308A3" w:rsidRPr="00FA3856" w:rsidRDefault="005308A3" w:rsidP="001A6818">
      <w:pPr>
        <w:pStyle w:val="NormalWeb"/>
        <w:spacing w:before="0" w:after="0"/>
        <w:jc w:val="both"/>
        <w:rPr>
          <w:rFonts w:ascii="Times New Roman" w:hAnsi="Times New Roman" w:cs="Times New Roman"/>
          <w:szCs w:val="20"/>
        </w:rPr>
      </w:pPr>
    </w:p>
    <w:p w:rsidR="00CE1927" w:rsidRPr="00FA3856" w:rsidRDefault="00CE1927" w:rsidP="005308A3">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dedução também se aplica ao imposto determinado com base no lucro estimado, calculado com base na receita bruta e acréscimos. Porém, o valor deduzido do imposto com base no lucro estimado:</w:t>
      </w:r>
    </w:p>
    <w:p w:rsidR="00CE1927" w:rsidRPr="00FA3856" w:rsidRDefault="00CE1927" w:rsidP="005308A3">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1) não será considerado imposto pago por estimativa; e</w:t>
      </w:r>
    </w:p>
    <w:p w:rsidR="00CE1927" w:rsidRPr="00FA3856" w:rsidRDefault="00CE1927" w:rsidP="005308A3">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2) deve compor o valor a ser deduzido do imposto devido no ajuste anual.</w:t>
      </w:r>
    </w:p>
    <w:p w:rsidR="005308A3" w:rsidRPr="00FA3856" w:rsidRDefault="005308A3" w:rsidP="001A6818">
      <w:pPr>
        <w:pStyle w:val="NormalWeb"/>
        <w:spacing w:before="0" w:after="0"/>
        <w:jc w:val="both"/>
        <w:rPr>
          <w:rFonts w:ascii="Times New Roman" w:hAnsi="Times New Roman" w:cs="Times New Roman"/>
          <w:szCs w:val="20"/>
        </w:rPr>
      </w:pPr>
    </w:p>
    <w:p w:rsidR="00CE1927" w:rsidRPr="00FA3856" w:rsidRDefault="00CE1927" w:rsidP="005308A3">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Eventuais excessos ao limite de 4% de dedução não poderão ser deduzidos do imposto devido em períodos de apuração posteriores.</w:t>
      </w:r>
    </w:p>
    <w:p w:rsidR="005308A3" w:rsidRPr="00FA3856" w:rsidRDefault="005308A3" w:rsidP="001A6818">
      <w:pPr>
        <w:pStyle w:val="NormalWeb"/>
        <w:spacing w:before="0" w:after="0"/>
        <w:jc w:val="both"/>
        <w:rPr>
          <w:rFonts w:ascii="Times New Roman" w:hAnsi="Times New Roman" w:cs="Times New Roman"/>
          <w:szCs w:val="20"/>
        </w:rPr>
      </w:pPr>
    </w:p>
    <w:p w:rsidR="00CE1927" w:rsidRPr="00FA3856" w:rsidRDefault="00CE1927" w:rsidP="005308A3">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Além de observar o limite específico de cada incentivo, o total das deduções relativas aos incentivos em operações de caráter cultural e atividade audiovisual, inclusive os relativos aos patrocínios a projetos audiovisuais e aos investimentos nos Fundos de Financiamento da Indústria Cinematográfica Nacional (Funcines) não pode exceder a 4% do imposto devido, antes do adicional, com base:</w:t>
      </w:r>
    </w:p>
    <w:p w:rsidR="00CE1927" w:rsidRPr="00FA3856" w:rsidRDefault="00CE1927" w:rsidP="005308A3">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1) no lucro real trimestral;</w:t>
      </w:r>
    </w:p>
    <w:p w:rsidR="00CE1927" w:rsidRPr="00FA3856" w:rsidRDefault="00CE1927" w:rsidP="005308A3">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2) no lucro real apurado no ajuste anual.</w:t>
      </w:r>
    </w:p>
    <w:p w:rsidR="005308A3" w:rsidRPr="00FA3856" w:rsidRDefault="005308A3" w:rsidP="001A6818">
      <w:pPr>
        <w:pStyle w:val="NormalWeb"/>
        <w:spacing w:before="0" w:after="0"/>
        <w:jc w:val="both"/>
        <w:rPr>
          <w:rFonts w:ascii="Times New Roman" w:hAnsi="Times New Roman" w:cs="Times New Roman"/>
          <w:szCs w:val="20"/>
        </w:rPr>
      </w:pPr>
    </w:p>
    <w:p w:rsidR="005308A3" w:rsidRPr="00FA3856" w:rsidRDefault="005308A3" w:rsidP="005308A3">
      <w:pPr>
        <w:pStyle w:val="NormalWeb"/>
        <w:spacing w:before="0" w:after="0"/>
        <w:ind w:firstLine="708"/>
        <w:jc w:val="both"/>
        <w:rPr>
          <w:rFonts w:ascii="Times New Roman" w:hAnsi="Times New Roman" w:cs="Times New Roman"/>
          <w:szCs w:val="20"/>
        </w:rPr>
      </w:pPr>
    </w:p>
    <w:p w:rsidR="005308A3" w:rsidRPr="00FA3856" w:rsidRDefault="005308A3" w:rsidP="005308A3">
      <w:pPr>
        <w:pStyle w:val="NormalWeb"/>
        <w:spacing w:before="0" w:after="0"/>
        <w:ind w:firstLine="708"/>
        <w:jc w:val="both"/>
        <w:rPr>
          <w:rFonts w:ascii="Times New Roman" w:hAnsi="Times New Roman" w:cs="Times New Roman"/>
          <w:szCs w:val="20"/>
        </w:rPr>
      </w:pPr>
    </w:p>
    <w:p w:rsidR="00CE1927" w:rsidRPr="00FA3856" w:rsidRDefault="00CE1927" w:rsidP="005308A3">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lastRenderedPageBreak/>
        <w:t>A dedução também se aplica ao imposto determinado com base no lucro estimado, calculado com base na receita bruta e acréscimos. Porém, o valor deduzido do imposto com base no lucro estimado:</w:t>
      </w:r>
    </w:p>
    <w:p w:rsidR="00CE1927" w:rsidRPr="00FA3856" w:rsidRDefault="00CE1927" w:rsidP="005308A3">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1) não será considerado imposto pago por estimativa; e</w:t>
      </w:r>
    </w:p>
    <w:p w:rsidR="00CE1927" w:rsidRPr="00FA3856" w:rsidRDefault="00CE1927" w:rsidP="005308A3">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2) deve compor o valor a ser deduzido do imposto devido no ajuste anual.</w:t>
      </w:r>
    </w:p>
    <w:p w:rsidR="005308A3" w:rsidRPr="00FA3856" w:rsidRDefault="005308A3" w:rsidP="001A6818">
      <w:pPr>
        <w:pStyle w:val="NormalWeb"/>
        <w:spacing w:before="0" w:after="0"/>
        <w:jc w:val="both"/>
        <w:rPr>
          <w:rFonts w:ascii="Times New Roman" w:hAnsi="Times New Roman" w:cs="Times New Roman"/>
          <w:szCs w:val="20"/>
        </w:rPr>
      </w:pPr>
    </w:p>
    <w:p w:rsidR="00CE1927" w:rsidRPr="00FA3856" w:rsidRDefault="00CE1927" w:rsidP="005308A3">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Eventuais excessos ao limite de 4% de dedução não poderão ser deduzidos do imposto devido em períodos de apuração posteriores.</w:t>
      </w:r>
    </w:p>
    <w:p w:rsidR="005308A3" w:rsidRPr="00FA3856" w:rsidRDefault="005308A3" w:rsidP="001A6818">
      <w:pPr>
        <w:pStyle w:val="NormalWeb"/>
        <w:spacing w:before="0" w:after="0"/>
        <w:jc w:val="both"/>
        <w:rPr>
          <w:rFonts w:ascii="Times New Roman" w:hAnsi="Times New Roman" w:cs="Times New Roman"/>
          <w:szCs w:val="20"/>
        </w:rPr>
      </w:pPr>
    </w:p>
    <w:p w:rsidR="00CE1927" w:rsidRPr="00FA3856" w:rsidRDefault="00CE1927" w:rsidP="005308A3">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pessoa jurídica que tiver projeto aprovado nos termos dos arts. 25 e 26 da Lei n</w:t>
      </w:r>
      <w:r w:rsidRPr="00FA3856">
        <w:rPr>
          <w:rFonts w:ascii="Times New Roman" w:hAnsi="Times New Roman" w:cs="Times New Roman"/>
          <w:strike/>
          <w:szCs w:val="20"/>
        </w:rPr>
        <w:t>º</w:t>
      </w:r>
      <w:r w:rsidRPr="00FA3856">
        <w:rPr>
          <w:rFonts w:ascii="Times New Roman" w:hAnsi="Times New Roman" w:cs="Times New Roman"/>
          <w:szCs w:val="20"/>
        </w:rPr>
        <w:t xml:space="preserve"> 8.313, de 1991, além de efetuar as deduções do imposto devido, conforme o item "a", não terá prejudicado o direito de deduzir o valor relativo às doações e/ou aos patrocínios como despesa operacional.</w:t>
      </w:r>
    </w:p>
    <w:p w:rsidR="005308A3" w:rsidRPr="00FA3856" w:rsidRDefault="005308A3" w:rsidP="001A6818">
      <w:pPr>
        <w:pStyle w:val="NormalWeb"/>
        <w:spacing w:before="0" w:after="0"/>
        <w:jc w:val="both"/>
        <w:rPr>
          <w:rFonts w:ascii="Times New Roman" w:hAnsi="Times New Roman" w:cs="Times New Roman"/>
          <w:szCs w:val="20"/>
        </w:rPr>
      </w:pPr>
    </w:p>
    <w:p w:rsidR="00CE1927" w:rsidRPr="00FA3856" w:rsidRDefault="00CE1927" w:rsidP="005308A3">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pessoa jurídica que tiver projeto aprovado nos termos do § 6</w:t>
      </w:r>
      <w:r w:rsidRPr="00FA3856">
        <w:rPr>
          <w:rFonts w:ascii="Times New Roman" w:hAnsi="Times New Roman" w:cs="Times New Roman"/>
          <w:strike/>
          <w:szCs w:val="20"/>
        </w:rPr>
        <w:t>º</w:t>
      </w:r>
      <w:r w:rsidRPr="00FA3856">
        <w:rPr>
          <w:rFonts w:ascii="Times New Roman" w:hAnsi="Times New Roman" w:cs="Times New Roman"/>
          <w:szCs w:val="20"/>
        </w:rPr>
        <w:t xml:space="preserve"> do art. 39 da Medida Provisória n</w:t>
      </w:r>
      <w:r w:rsidRPr="00FA3856">
        <w:rPr>
          <w:rFonts w:ascii="Times New Roman" w:hAnsi="Times New Roman" w:cs="Times New Roman"/>
          <w:strike/>
          <w:szCs w:val="20"/>
        </w:rPr>
        <w:t>º</w:t>
      </w:r>
      <w:r w:rsidRPr="00FA3856">
        <w:rPr>
          <w:rFonts w:ascii="Times New Roman" w:hAnsi="Times New Roman" w:cs="Times New Roman"/>
          <w:szCs w:val="20"/>
        </w:rPr>
        <w:t xml:space="preserve"> 2.228-1, de 2001, produzidos com os recursos de que trata o inciso X desse mesmo art. 39, combinado com o art. 18 da Lei n</w:t>
      </w:r>
      <w:r w:rsidRPr="00FA3856">
        <w:rPr>
          <w:rFonts w:ascii="Times New Roman" w:hAnsi="Times New Roman" w:cs="Times New Roman"/>
          <w:strike/>
          <w:szCs w:val="20"/>
        </w:rPr>
        <w:t>º</w:t>
      </w:r>
      <w:r w:rsidRPr="00FA3856">
        <w:rPr>
          <w:rFonts w:ascii="Times New Roman" w:hAnsi="Times New Roman" w:cs="Times New Roman"/>
          <w:szCs w:val="20"/>
        </w:rPr>
        <w:t xml:space="preserve"> 8.313, de 1991, alterado pela Lei n</w:t>
      </w:r>
      <w:r w:rsidRPr="00FA3856">
        <w:rPr>
          <w:rFonts w:ascii="Times New Roman" w:hAnsi="Times New Roman" w:cs="Times New Roman"/>
          <w:strike/>
          <w:szCs w:val="20"/>
        </w:rPr>
        <w:t>º</w:t>
      </w:r>
      <w:r w:rsidRPr="00FA3856">
        <w:rPr>
          <w:rFonts w:ascii="Times New Roman" w:hAnsi="Times New Roman" w:cs="Times New Roman"/>
          <w:szCs w:val="20"/>
        </w:rPr>
        <w:t xml:space="preserve"> 9.874, de 1999, e pelo art. 53 da MP n</w:t>
      </w:r>
      <w:r w:rsidRPr="00FA3856">
        <w:rPr>
          <w:rFonts w:ascii="Times New Roman" w:hAnsi="Times New Roman" w:cs="Times New Roman"/>
          <w:strike/>
          <w:szCs w:val="20"/>
        </w:rPr>
        <w:t>º</w:t>
      </w:r>
      <w:r w:rsidRPr="00FA3856">
        <w:rPr>
          <w:rFonts w:ascii="Times New Roman" w:hAnsi="Times New Roman" w:cs="Times New Roman"/>
          <w:szCs w:val="20"/>
        </w:rPr>
        <w:t xml:space="preserve"> 2.228, de 2001, que fizer jus à dedução do imposto de renda, não pode efetuar qualquer dedução do valor correspondente a doações ou patrocínios como despesa operacional. </w:t>
      </w:r>
    </w:p>
    <w:p w:rsidR="005308A3" w:rsidRPr="00FA3856" w:rsidRDefault="005308A3" w:rsidP="001A6818">
      <w:pPr>
        <w:pStyle w:val="NormalWeb"/>
        <w:spacing w:before="0" w:after="0"/>
        <w:jc w:val="both"/>
        <w:rPr>
          <w:rFonts w:ascii="Times New Roman" w:hAnsi="Times New Roman" w:cs="Times New Roman"/>
          <w:b/>
          <w:bCs/>
          <w:szCs w:val="20"/>
        </w:rPr>
      </w:pPr>
    </w:p>
    <w:p w:rsidR="00CE1927" w:rsidRPr="00FA3856" w:rsidRDefault="00B14A83" w:rsidP="001A6818">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t xml:space="preserve">V.2) </w:t>
      </w:r>
      <w:r w:rsidR="00CE1927" w:rsidRPr="00FA3856">
        <w:rPr>
          <w:rFonts w:ascii="Times New Roman" w:hAnsi="Times New Roman" w:cs="Times New Roman"/>
          <w:b/>
          <w:bCs/>
          <w:szCs w:val="20"/>
        </w:rPr>
        <w:t>Programa de Alimentação do Trabalhador - PAT</w:t>
      </w:r>
    </w:p>
    <w:p w:rsidR="005308A3" w:rsidRPr="00FA3856" w:rsidRDefault="005308A3" w:rsidP="001A6818">
      <w:pPr>
        <w:pStyle w:val="NormalWeb"/>
        <w:spacing w:before="0" w:after="0"/>
        <w:jc w:val="both"/>
        <w:rPr>
          <w:rFonts w:ascii="Times New Roman" w:hAnsi="Times New Roman" w:cs="Times New Roman"/>
          <w:szCs w:val="20"/>
        </w:rPr>
      </w:pPr>
    </w:p>
    <w:p w:rsidR="00CE1927" w:rsidRPr="00FA3856" w:rsidRDefault="00CE1927" w:rsidP="005308A3">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pessoa jurídica que tiver Programas de Alimentação do Trabalhador aprovados pelo Ministério do Trabalho, respeitado o limite estabelecido na legislação, pode deduzir do imposto devido o valor equivalente a 15% do total das despesas de custeio efetuadas no período de apuração.</w:t>
      </w:r>
    </w:p>
    <w:p w:rsidR="005308A3" w:rsidRPr="00FA3856" w:rsidRDefault="005308A3" w:rsidP="001A6818">
      <w:pPr>
        <w:pStyle w:val="NormalWeb"/>
        <w:spacing w:before="0" w:after="0"/>
        <w:jc w:val="both"/>
        <w:rPr>
          <w:rFonts w:ascii="Times New Roman" w:hAnsi="Times New Roman" w:cs="Times New Roman"/>
          <w:szCs w:val="20"/>
        </w:rPr>
      </w:pPr>
    </w:p>
    <w:p w:rsidR="00CE1927" w:rsidRPr="00FA3856" w:rsidRDefault="00CE1927" w:rsidP="005308A3">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pessoa jurídica que estiver apurando lucro real anual deve considerar como valor do benefício o resultado da soma dos valores correspondentes aos meses do ano-calendário, observados os limites em relação ao imposto devido.</w:t>
      </w:r>
    </w:p>
    <w:p w:rsidR="005308A3" w:rsidRPr="00FA3856" w:rsidRDefault="005308A3" w:rsidP="001A6818">
      <w:pPr>
        <w:pStyle w:val="NormalWeb"/>
        <w:spacing w:before="0" w:after="0"/>
        <w:jc w:val="both"/>
        <w:rPr>
          <w:rFonts w:ascii="Times New Roman" w:hAnsi="Times New Roman" w:cs="Times New Roman"/>
          <w:szCs w:val="20"/>
        </w:rPr>
      </w:pPr>
    </w:p>
    <w:p w:rsidR="00CE1927" w:rsidRPr="00FA3856" w:rsidRDefault="00CE1927" w:rsidP="005308A3">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dedução a este título não pode exceder, isoladamente, a 4% do imposto de renda devido, antes do adicional, com base:</w:t>
      </w:r>
    </w:p>
    <w:p w:rsidR="005308A3" w:rsidRPr="00FA3856" w:rsidRDefault="005308A3" w:rsidP="001A6818">
      <w:pPr>
        <w:pStyle w:val="NormalWeb"/>
        <w:spacing w:before="0" w:after="0"/>
        <w:jc w:val="both"/>
        <w:rPr>
          <w:rFonts w:ascii="Times New Roman" w:hAnsi="Times New Roman" w:cs="Times New Roman"/>
          <w:szCs w:val="20"/>
        </w:rPr>
      </w:pPr>
    </w:p>
    <w:p w:rsidR="00CE1927" w:rsidRPr="00FA3856" w:rsidRDefault="00CE1927" w:rsidP="005308A3">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a) no lucro real trimestral;</w:t>
      </w:r>
    </w:p>
    <w:p w:rsidR="00CE1927" w:rsidRPr="00FA3856" w:rsidRDefault="00CE1927" w:rsidP="005308A3">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b) no lucro real apurado no ajuste anual.</w:t>
      </w:r>
    </w:p>
    <w:p w:rsidR="005308A3" w:rsidRPr="00FA3856" w:rsidRDefault="005308A3" w:rsidP="001A6818">
      <w:pPr>
        <w:pStyle w:val="NormalWeb"/>
        <w:spacing w:before="0" w:after="0"/>
        <w:jc w:val="both"/>
        <w:rPr>
          <w:rFonts w:ascii="Times New Roman" w:hAnsi="Times New Roman" w:cs="Times New Roman"/>
          <w:szCs w:val="20"/>
        </w:rPr>
      </w:pPr>
    </w:p>
    <w:p w:rsidR="00CE1927" w:rsidRPr="00FA3856" w:rsidRDefault="00CE1927" w:rsidP="005308A3">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dedução também se aplica ao imposto determinado com base no lucro estimado, calculado com b</w:t>
      </w:r>
      <w:bookmarkStart w:id="145" w:name="subitem_15.7.2"/>
      <w:bookmarkEnd w:id="145"/>
      <w:r w:rsidRPr="00FA3856">
        <w:rPr>
          <w:rFonts w:ascii="Times New Roman" w:hAnsi="Times New Roman" w:cs="Times New Roman"/>
          <w:szCs w:val="20"/>
        </w:rPr>
        <w:t>ase na receita bruta e acréscimos. Porém, o valor deduzido do IRPJ com base no lucro estimado:</w:t>
      </w:r>
    </w:p>
    <w:p w:rsidR="00CE1927" w:rsidRPr="00FA3856" w:rsidRDefault="00CE1927" w:rsidP="005308A3">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1) não será considerado imposto pago por estimativa; e</w:t>
      </w:r>
    </w:p>
    <w:p w:rsidR="00CE1927" w:rsidRPr="00FA3856" w:rsidRDefault="00CE1927" w:rsidP="005308A3">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2) deve compor o valor a ser deduzido do imposto devido no ajuste anual.</w:t>
      </w:r>
    </w:p>
    <w:p w:rsidR="005308A3" w:rsidRPr="00FA3856" w:rsidRDefault="005308A3" w:rsidP="005308A3">
      <w:pPr>
        <w:pStyle w:val="NormalWeb"/>
        <w:spacing w:before="0" w:after="0"/>
        <w:ind w:firstLine="708"/>
        <w:jc w:val="both"/>
        <w:rPr>
          <w:rFonts w:ascii="Times New Roman" w:hAnsi="Times New Roman" w:cs="Times New Roman"/>
          <w:szCs w:val="20"/>
        </w:rPr>
      </w:pPr>
    </w:p>
    <w:p w:rsidR="00CE1927" w:rsidRPr="00FA3856" w:rsidRDefault="00CE1927" w:rsidP="005308A3">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 xml:space="preserve">Eventuais excessos podem ser transferidos para dedução nos dois anos-calendário </w:t>
      </w:r>
      <w:r w:rsidR="00B5790B" w:rsidRPr="00FA3856">
        <w:rPr>
          <w:rFonts w:ascii="Times New Roman" w:hAnsi="Times New Roman" w:cs="Times New Roman"/>
          <w:szCs w:val="20"/>
        </w:rPr>
        <w:t>subsequentes</w:t>
      </w:r>
      <w:r w:rsidRPr="00FA3856">
        <w:rPr>
          <w:rFonts w:ascii="Times New Roman" w:hAnsi="Times New Roman" w:cs="Times New Roman"/>
          <w:szCs w:val="20"/>
        </w:rPr>
        <w:t xml:space="preserve"> (Decreto n</w:t>
      </w:r>
      <w:r w:rsidRPr="00FA3856">
        <w:rPr>
          <w:rFonts w:ascii="Times New Roman" w:hAnsi="Times New Roman" w:cs="Times New Roman"/>
          <w:strike/>
          <w:szCs w:val="20"/>
        </w:rPr>
        <w:t>º</w:t>
      </w:r>
      <w:r w:rsidRPr="00FA3856">
        <w:rPr>
          <w:rFonts w:ascii="Times New Roman" w:hAnsi="Times New Roman" w:cs="Times New Roman"/>
          <w:szCs w:val="20"/>
        </w:rPr>
        <w:t xml:space="preserve"> 3.000, de 1999, art. 582).</w:t>
      </w:r>
    </w:p>
    <w:p w:rsidR="005308A3" w:rsidRPr="00FA3856" w:rsidRDefault="005308A3" w:rsidP="001A6818">
      <w:pPr>
        <w:pStyle w:val="NormalWeb"/>
        <w:spacing w:before="0" w:after="0"/>
        <w:jc w:val="both"/>
        <w:rPr>
          <w:rFonts w:ascii="Times New Roman" w:hAnsi="Times New Roman" w:cs="Times New Roman"/>
          <w:szCs w:val="20"/>
        </w:rPr>
      </w:pPr>
    </w:p>
    <w:p w:rsidR="00CE1927" w:rsidRPr="00FA3856" w:rsidRDefault="00CE1927" w:rsidP="005308A3">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Observado o limite específico de cada incentivo, o total das deduções do imposto, apurado no encerramento do período trimestral, anual (ajuste), ou no período correspondente ao balanço ou balancete de suspensão ou redução, relativas ao PAT - Programa de Alimentação do Trabalhador e aos Programas de Desenvolvimento Tecnológico Industrial (PDTI) e Programa de Desenvolvimento Tecnológico Agropecuário (PDTA), aprovados a partir de 3 de junho de 1993, não pode exceder a 4% do imposto devido, antes do adicional (Lei n</w:t>
      </w:r>
      <w:r w:rsidRPr="00FA3856">
        <w:rPr>
          <w:rFonts w:ascii="Times New Roman" w:hAnsi="Times New Roman" w:cs="Times New Roman"/>
          <w:strike/>
          <w:szCs w:val="20"/>
        </w:rPr>
        <w:t>º</w:t>
      </w:r>
      <w:r w:rsidRPr="00FA3856">
        <w:rPr>
          <w:rFonts w:ascii="Times New Roman" w:hAnsi="Times New Roman" w:cs="Times New Roman"/>
          <w:szCs w:val="20"/>
        </w:rPr>
        <w:t xml:space="preserve"> 9.532, de 1997, art. 6</w:t>
      </w:r>
      <w:r w:rsidRPr="00FA3856">
        <w:rPr>
          <w:rFonts w:ascii="Times New Roman" w:hAnsi="Times New Roman" w:cs="Times New Roman"/>
          <w:strike/>
          <w:szCs w:val="20"/>
        </w:rPr>
        <w:t>º</w:t>
      </w:r>
      <w:r w:rsidRPr="00FA3856">
        <w:rPr>
          <w:rFonts w:ascii="Times New Roman" w:hAnsi="Times New Roman" w:cs="Times New Roman"/>
          <w:szCs w:val="20"/>
        </w:rPr>
        <w:t>, I, e art. 81, II).</w:t>
      </w:r>
    </w:p>
    <w:p w:rsidR="005308A3" w:rsidRPr="00FA3856" w:rsidRDefault="005308A3" w:rsidP="001A6818">
      <w:pPr>
        <w:pStyle w:val="NormalWeb"/>
        <w:spacing w:before="0" w:after="0"/>
        <w:jc w:val="both"/>
        <w:rPr>
          <w:rFonts w:ascii="Times New Roman" w:hAnsi="Times New Roman" w:cs="Times New Roman"/>
          <w:b/>
          <w:bCs/>
          <w:szCs w:val="20"/>
        </w:rPr>
      </w:pPr>
    </w:p>
    <w:p w:rsidR="005308A3" w:rsidRPr="00FA3856" w:rsidRDefault="005308A3" w:rsidP="001A6818">
      <w:pPr>
        <w:pStyle w:val="NormalWeb"/>
        <w:spacing w:before="0" w:after="0"/>
        <w:jc w:val="both"/>
        <w:rPr>
          <w:rFonts w:ascii="Times New Roman" w:hAnsi="Times New Roman" w:cs="Times New Roman"/>
          <w:b/>
          <w:bCs/>
          <w:szCs w:val="20"/>
        </w:rPr>
      </w:pPr>
    </w:p>
    <w:p w:rsidR="005308A3" w:rsidRPr="00FA3856" w:rsidRDefault="005308A3" w:rsidP="001A6818">
      <w:pPr>
        <w:pStyle w:val="NormalWeb"/>
        <w:spacing w:before="0" w:after="0"/>
        <w:jc w:val="both"/>
        <w:rPr>
          <w:rFonts w:ascii="Times New Roman" w:hAnsi="Times New Roman" w:cs="Times New Roman"/>
          <w:b/>
          <w:bCs/>
          <w:szCs w:val="20"/>
        </w:rPr>
      </w:pPr>
    </w:p>
    <w:p w:rsidR="005308A3" w:rsidRPr="00FA3856" w:rsidRDefault="005308A3" w:rsidP="001A6818">
      <w:pPr>
        <w:pStyle w:val="NormalWeb"/>
        <w:spacing w:before="0" w:after="0"/>
        <w:jc w:val="both"/>
        <w:rPr>
          <w:rFonts w:ascii="Times New Roman" w:hAnsi="Times New Roman" w:cs="Times New Roman"/>
          <w:b/>
          <w:bCs/>
          <w:szCs w:val="20"/>
        </w:rPr>
      </w:pPr>
    </w:p>
    <w:p w:rsidR="00CE1927" w:rsidRPr="00FA3856" w:rsidRDefault="00B14A83" w:rsidP="001A6818">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lastRenderedPageBreak/>
        <w:t xml:space="preserve">V.3) </w:t>
      </w:r>
      <w:r w:rsidR="00CE1927" w:rsidRPr="00FA3856">
        <w:rPr>
          <w:rFonts w:ascii="Times New Roman" w:hAnsi="Times New Roman" w:cs="Times New Roman"/>
          <w:b/>
          <w:bCs/>
          <w:szCs w:val="20"/>
        </w:rPr>
        <w:t>Atividade Audiovisual</w:t>
      </w:r>
    </w:p>
    <w:p w:rsidR="005308A3" w:rsidRPr="00FA3856" w:rsidRDefault="005308A3" w:rsidP="001A6818">
      <w:pPr>
        <w:pStyle w:val="NormalWeb"/>
        <w:spacing w:before="0" w:after="0"/>
        <w:jc w:val="both"/>
        <w:rPr>
          <w:rFonts w:ascii="Times New Roman" w:hAnsi="Times New Roman" w:cs="Times New Roman"/>
          <w:szCs w:val="20"/>
        </w:rPr>
      </w:pPr>
    </w:p>
    <w:p w:rsidR="00CE1927" w:rsidRPr="00FA3856" w:rsidRDefault="00CE1927" w:rsidP="005308A3">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Observado o limite específico de cada incentivo, o total das deduções do imposto relativo aos incentivos Atividade Audiovisual e Atividade Cultural não pode exceder a 4% do imposto devido (Lei n</w:t>
      </w:r>
      <w:r w:rsidRPr="00FA3856">
        <w:rPr>
          <w:rFonts w:ascii="Times New Roman" w:hAnsi="Times New Roman" w:cs="Times New Roman"/>
          <w:strike/>
          <w:szCs w:val="20"/>
        </w:rPr>
        <w:t>º</w:t>
      </w:r>
      <w:r w:rsidRPr="00FA3856">
        <w:rPr>
          <w:rFonts w:ascii="Times New Roman" w:hAnsi="Times New Roman" w:cs="Times New Roman"/>
          <w:szCs w:val="20"/>
        </w:rPr>
        <w:t xml:space="preserve"> 8.849, de 1994, art. 6</w:t>
      </w:r>
      <w:r w:rsidRPr="00FA3856">
        <w:rPr>
          <w:rFonts w:ascii="Times New Roman" w:hAnsi="Times New Roman" w:cs="Times New Roman"/>
          <w:strike/>
          <w:szCs w:val="20"/>
        </w:rPr>
        <w:t>º</w:t>
      </w:r>
      <w:r w:rsidRPr="00FA3856">
        <w:rPr>
          <w:rFonts w:ascii="Times New Roman" w:hAnsi="Times New Roman" w:cs="Times New Roman"/>
          <w:szCs w:val="20"/>
        </w:rPr>
        <w:t>, Lei n</w:t>
      </w:r>
      <w:r w:rsidRPr="00FA3856">
        <w:rPr>
          <w:rFonts w:ascii="Times New Roman" w:hAnsi="Times New Roman" w:cs="Times New Roman"/>
          <w:strike/>
          <w:szCs w:val="20"/>
        </w:rPr>
        <w:t>º</w:t>
      </w:r>
      <w:r w:rsidRPr="00FA3856">
        <w:rPr>
          <w:rFonts w:ascii="Times New Roman" w:hAnsi="Times New Roman" w:cs="Times New Roman"/>
          <w:szCs w:val="20"/>
        </w:rPr>
        <w:t xml:space="preserve"> 9.064, de 1995, art. 2</w:t>
      </w:r>
      <w:r w:rsidRPr="00FA3856">
        <w:rPr>
          <w:rFonts w:ascii="Times New Roman" w:hAnsi="Times New Roman" w:cs="Times New Roman"/>
          <w:strike/>
          <w:szCs w:val="20"/>
        </w:rPr>
        <w:t>º</w:t>
      </w:r>
      <w:r w:rsidRPr="00FA3856">
        <w:rPr>
          <w:rFonts w:ascii="Times New Roman" w:hAnsi="Times New Roman" w:cs="Times New Roman"/>
          <w:szCs w:val="20"/>
        </w:rPr>
        <w:t>, Lei n</w:t>
      </w:r>
      <w:r w:rsidRPr="00FA3856">
        <w:rPr>
          <w:rFonts w:ascii="Times New Roman" w:hAnsi="Times New Roman" w:cs="Times New Roman"/>
          <w:strike/>
          <w:szCs w:val="20"/>
        </w:rPr>
        <w:t>º</w:t>
      </w:r>
      <w:r w:rsidRPr="00FA3856">
        <w:rPr>
          <w:rFonts w:ascii="Times New Roman" w:hAnsi="Times New Roman" w:cs="Times New Roman"/>
          <w:szCs w:val="20"/>
        </w:rPr>
        <w:t xml:space="preserve"> 9.323, de 5 de dezembro de 1996, art. 1</w:t>
      </w:r>
      <w:r w:rsidRPr="00FA3856">
        <w:rPr>
          <w:rFonts w:ascii="Times New Roman" w:hAnsi="Times New Roman" w:cs="Times New Roman"/>
          <w:strike/>
          <w:szCs w:val="20"/>
        </w:rPr>
        <w:t>º</w:t>
      </w:r>
      <w:r w:rsidRPr="00FA3856">
        <w:rPr>
          <w:rFonts w:ascii="Times New Roman" w:hAnsi="Times New Roman" w:cs="Times New Roman"/>
          <w:szCs w:val="20"/>
        </w:rPr>
        <w:t>, Lei n</w:t>
      </w:r>
      <w:r w:rsidRPr="00FA3856">
        <w:rPr>
          <w:rFonts w:ascii="Times New Roman" w:hAnsi="Times New Roman" w:cs="Times New Roman"/>
          <w:strike/>
          <w:szCs w:val="20"/>
        </w:rPr>
        <w:t>º</w:t>
      </w:r>
      <w:r w:rsidRPr="00FA3856">
        <w:rPr>
          <w:rFonts w:ascii="Times New Roman" w:hAnsi="Times New Roman" w:cs="Times New Roman"/>
          <w:szCs w:val="20"/>
        </w:rPr>
        <w:t xml:space="preserve"> 9.532, de 1997, art. 6</w:t>
      </w:r>
      <w:r w:rsidRPr="00FA3856">
        <w:rPr>
          <w:rFonts w:ascii="Times New Roman" w:hAnsi="Times New Roman" w:cs="Times New Roman"/>
          <w:strike/>
          <w:szCs w:val="20"/>
        </w:rPr>
        <w:t>º</w:t>
      </w:r>
      <w:r w:rsidRPr="00FA3856">
        <w:rPr>
          <w:rFonts w:ascii="Times New Roman" w:hAnsi="Times New Roman" w:cs="Times New Roman"/>
          <w:szCs w:val="20"/>
        </w:rPr>
        <w:t xml:space="preserve">, </w:t>
      </w:r>
      <w:r w:rsidR="00B5790B" w:rsidRPr="00FA3856">
        <w:rPr>
          <w:rFonts w:ascii="Times New Roman" w:hAnsi="Times New Roman" w:cs="Times New Roman"/>
          <w:szCs w:val="20"/>
        </w:rPr>
        <w:t>II, MP</w:t>
      </w:r>
      <w:r w:rsidRPr="00FA3856">
        <w:rPr>
          <w:rFonts w:ascii="Times New Roman" w:hAnsi="Times New Roman" w:cs="Times New Roman"/>
          <w:szCs w:val="20"/>
        </w:rPr>
        <w:t xml:space="preserve"> n</w:t>
      </w:r>
      <w:r w:rsidRPr="00FA3856">
        <w:rPr>
          <w:rFonts w:ascii="Times New Roman" w:hAnsi="Times New Roman" w:cs="Times New Roman"/>
          <w:strike/>
          <w:szCs w:val="20"/>
        </w:rPr>
        <w:t>º</w:t>
      </w:r>
      <w:r w:rsidRPr="00FA3856">
        <w:rPr>
          <w:rFonts w:ascii="Times New Roman" w:hAnsi="Times New Roman" w:cs="Times New Roman"/>
          <w:szCs w:val="20"/>
        </w:rPr>
        <w:t xml:space="preserve"> 2.189-49, de 2001, art. 10, I, e MP n</w:t>
      </w:r>
      <w:r w:rsidRPr="00FA3856">
        <w:rPr>
          <w:rFonts w:ascii="Times New Roman" w:hAnsi="Times New Roman" w:cs="Times New Roman"/>
          <w:strike/>
          <w:szCs w:val="20"/>
        </w:rPr>
        <w:t>º</w:t>
      </w:r>
      <w:r w:rsidRPr="00FA3856">
        <w:rPr>
          <w:rFonts w:ascii="Times New Roman" w:hAnsi="Times New Roman" w:cs="Times New Roman"/>
          <w:szCs w:val="20"/>
        </w:rPr>
        <w:t xml:space="preserve"> 2.228, de 2001, art. 45, § 2</w:t>
      </w:r>
      <w:r w:rsidRPr="00FA3856">
        <w:rPr>
          <w:rFonts w:ascii="Times New Roman" w:hAnsi="Times New Roman" w:cs="Times New Roman"/>
          <w:strike/>
          <w:szCs w:val="20"/>
        </w:rPr>
        <w:t>º</w:t>
      </w:r>
      <w:r w:rsidRPr="00FA3856">
        <w:rPr>
          <w:rFonts w:ascii="Times New Roman" w:hAnsi="Times New Roman" w:cs="Times New Roman"/>
          <w:szCs w:val="20"/>
        </w:rPr>
        <w:t>, na redação dada pela Lei n</w:t>
      </w:r>
      <w:r w:rsidRPr="00FA3856">
        <w:rPr>
          <w:rFonts w:ascii="Times New Roman" w:hAnsi="Times New Roman" w:cs="Times New Roman"/>
          <w:strike/>
          <w:szCs w:val="20"/>
        </w:rPr>
        <w:t>º</w:t>
      </w:r>
      <w:r w:rsidRPr="00FA3856">
        <w:rPr>
          <w:rFonts w:ascii="Times New Roman" w:hAnsi="Times New Roman" w:cs="Times New Roman"/>
          <w:szCs w:val="20"/>
        </w:rPr>
        <w:t xml:space="preserve"> 11.437, de 2006).</w:t>
      </w:r>
    </w:p>
    <w:p w:rsidR="005308A3" w:rsidRPr="00FA3856" w:rsidRDefault="005308A3" w:rsidP="001A6818">
      <w:pPr>
        <w:pStyle w:val="NormalWeb"/>
        <w:spacing w:before="0" w:after="0"/>
        <w:jc w:val="both"/>
        <w:rPr>
          <w:rFonts w:ascii="Times New Roman" w:hAnsi="Times New Roman" w:cs="Times New Roman"/>
          <w:b/>
          <w:bCs/>
          <w:szCs w:val="20"/>
        </w:rPr>
      </w:pPr>
    </w:p>
    <w:p w:rsidR="00CE1927" w:rsidRPr="00FA3856" w:rsidRDefault="00B14A83" w:rsidP="001A6818">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t xml:space="preserve">V.3.1) </w:t>
      </w:r>
      <w:r w:rsidR="00CE1927" w:rsidRPr="00FA3856">
        <w:rPr>
          <w:rFonts w:ascii="Times New Roman" w:hAnsi="Times New Roman" w:cs="Times New Roman"/>
          <w:b/>
          <w:bCs/>
          <w:szCs w:val="20"/>
        </w:rPr>
        <w:t>Produção de obras e projetos audiovisuais</w:t>
      </w:r>
    </w:p>
    <w:p w:rsidR="005308A3" w:rsidRPr="00FA3856" w:rsidRDefault="005308A3" w:rsidP="001A6818">
      <w:pPr>
        <w:pStyle w:val="NormalWeb"/>
        <w:spacing w:before="0" w:after="0"/>
        <w:jc w:val="both"/>
        <w:rPr>
          <w:rFonts w:ascii="Times New Roman" w:hAnsi="Times New Roman" w:cs="Times New Roman"/>
          <w:szCs w:val="20"/>
        </w:rPr>
      </w:pPr>
    </w:p>
    <w:p w:rsidR="00CE1927" w:rsidRPr="00FA3856" w:rsidRDefault="00CE1927" w:rsidP="005308A3">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Até o exercício fiscal de 2016, inclusive, as pessoas jurídicas sujeitas ao lucro real podem deduzir do imposto devido as quantias referentes a investimentos feitos na produção de obras audiovisuais cinematográficas brasileiras de produção independente (Lei n</w:t>
      </w:r>
      <w:r w:rsidRPr="00FA3856">
        <w:rPr>
          <w:rFonts w:ascii="Times New Roman" w:hAnsi="Times New Roman" w:cs="Times New Roman"/>
          <w:strike/>
          <w:szCs w:val="20"/>
        </w:rPr>
        <w:t>º</w:t>
      </w:r>
      <w:r w:rsidRPr="00FA3856">
        <w:rPr>
          <w:rFonts w:ascii="Times New Roman" w:hAnsi="Times New Roman" w:cs="Times New Roman"/>
          <w:szCs w:val="20"/>
        </w:rPr>
        <w:t xml:space="preserve"> 8.685, de 1993, art. 1</w:t>
      </w:r>
      <w:r w:rsidRPr="00FA3856">
        <w:rPr>
          <w:rFonts w:ascii="Times New Roman" w:hAnsi="Times New Roman" w:cs="Times New Roman"/>
          <w:strike/>
          <w:szCs w:val="20"/>
        </w:rPr>
        <w:t>º</w:t>
      </w:r>
      <w:r w:rsidRPr="00FA3856">
        <w:rPr>
          <w:rFonts w:ascii="Times New Roman" w:hAnsi="Times New Roman" w:cs="Times New Roman"/>
          <w:szCs w:val="20"/>
        </w:rPr>
        <w:t xml:space="preserve"> na redação dada</w:t>
      </w:r>
      <w:bookmarkStart w:id="146" w:name="subitem_15.7.3"/>
      <w:bookmarkEnd w:id="146"/>
      <w:r w:rsidRPr="00FA3856">
        <w:rPr>
          <w:rFonts w:ascii="Times New Roman" w:hAnsi="Times New Roman" w:cs="Times New Roman"/>
          <w:szCs w:val="20"/>
        </w:rPr>
        <w:t xml:space="preserve"> pela Lei n</w:t>
      </w:r>
      <w:r w:rsidRPr="00FA3856">
        <w:rPr>
          <w:rFonts w:ascii="Times New Roman" w:hAnsi="Times New Roman" w:cs="Times New Roman"/>
          <w:strike/>
          <w:szCs w:val="20"/>
        </w:rPr>
        <w:t>º</w:t>
      </w:r>
      <w:r w:rsidRPr="00FA3856">
        <w:rPr>
          <w:rFonts w:ascii="Times New Roman" w:hAnsi="Times New Roman" w:cs="Times New Roman"/>
          <w:szCs w:val="20"/>
        </w:rPr>
        <w:t xml:space="preserve"> 12.375, de 2010, e Decreto n</w:t>
      </w:r>
      <w:r w:rsidRPr="00FA3856">
        <w:rPr>
          <w:rFonts w:ascii="Times New Roman" w:hAnsi="Times New Roman" w:cs="Times New Roman"/>
          <w:strike/>
          <w:szCs w:val="20"/>
        </w:rPr>
        <w:t>º</w:t>
      </w:r>
      <w:r w:rsidRPr="00FA3856">
        <w:rPr>
          <w:rFonts w:ascii="Times New Roman" w:hAnsi="Times New Roman" w:cs="Times New Roman"/>
          <w:szCs w:val="20"/>
        </w:rPr>
        <w:t xml:space="preserve"> 6.304, de 2007, art. 3</w:t>
      </w:r>
      <w:r w:rsidRPr="00FA3856">
        <w:rPr>
          <w:rFonts w:ascii="Times New Roman" w:hAnsi="Times New Roman" w:cs="Times New Roman"/>
          <w:strike/>
          <w:szCs w:val="20"/>
        </w:rPr>
        <w:t>º</w:t>
      </w:r>
      <w:r w:rsidRPr="00FA3856">
        <w:rPr>
          <w:rFonts w:ascii="Times New Roman" w:hAnsi="Times New Roman" w:cs="Times New Roman"/>
          <w:szCs w:val="20"/>
        </w:rPr>
        <w:t>, inciso I) e em projetos específicos da área audiovisual, cinematográfica de exibição, distribuição e infraestrutura técnica, cujo projeto tenha sido apresentado por empresa brasileira (Decreto n</w:t>
      </w:r>
      <w:r w:rsidRPr="00FA3856">
        <w:rPr>
          <w:rFonts w:ascii="Times New Roman" w:hAnsi="Times New Roman" w:cs="Times New Roman"/>
          <w:strike/>
          <w:szCs w:val="20"/>
        </w:rPr>
        <w:t>º</w:t>
      </w:r>
      <w:r w:rsidRPr="00FA3856">
        <w:rPr>
          <w:rFonts w:ascii="Times New Roman" w:hAnsi="Times New Roman" w:cs="Times New Roman"/>
          <w:szCs w:val="20"/>
        </w:rPr>
        <w:t xml:space="preserve"> 6.304, de 2007, art. 3</w:t>
      </w:r>
      <w:r w:rsidRPr="00FA3856">
        <w:rPr>
          <w:rFonts w:ascii="Times New Roman" w:hAnsi="Times New Roman" w:cs="Times New Roman"/>
          <w:strike/>
          <w:szCs w:val="20"/>
        </w:rPr>
        <w:t>º</w:t>
      </w:r>
      <w:r w:rsidRPr="00FA3856">
        <w:rPr>
          <w:rFonts w:ascii="Times New Roman" w:hAnsi="Times New Roman" w:cs="Times New Roman"/>
          <w:szCs w:val="20"/>
        </w:rPr>
        <w:t>, inciso II), desde que os investimentos tenham sido feitos mediante a aquisição de cotas representativas de direitos de comercialização sobre as referidas obras, desde que estes investimentos sejam realiz</w:t>
      </w:r>
      <w:bookmarkStart w:id="147" w:name="subitem_15.7.3.1"/>
      <w:bookmarkEnd w:id="147"/>
      <w:r w:rsidRPr="00FA3856">
        <w:rPr>
          <w:rFonts w:ascii="Times New Roman" w:hAnsi="Times New Roman" w:cs="Times New Roman"/>
          <w:szCs w:val="20"/>
        </w:rPr>
        <w:t>ados no mercado de capitais, em ativos previstos em lei, e autorizados pela Comissão de Valores Mobiliários.</w:t>
      </w:r>
    </w:p>
    <w:p w:rsidR="005308A3" w:rsidRPr="00FA3856" w:rsidRDefault="005308A3" w:rsidP="001A6818">
      <w:pPr>
        <w:pStyle w:val="NormalWeb"/>
        <w:spacing w:before="0" w:after="0"/>
        <w:jc w:val="both"/>
        <w:rPr>
          <w:rFonts w:ascii="Times New Roman" w:hAnsi="Times New Roman" w:cs="Times New Roman"/>
          <w:szCs w:val="20"/>
        </w:rPr>
      </w:pPr>
    </w:p>
    <w:p w:rsidR="00CE1927" w:rsidRPr="00FA3856" w:rsidRDefault="00CE1927" w:rsidP="005308A3">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 xml:space="preserve">Sem prejuízo do disposto neste tópico, também poderão ser deduzidos os investimentos na produção de obras cinematográficas e videofonográficas brasileiras de longa, média e curta metragens de produção independente, de </w:t>
      </w:r>
      <w:r w:rsidR="00B5790B" w:rsidRPr="00FA3856">
        <w:rPr>
          <w:rFonts w:ascii="Times New Roman" w:hAnsi="Times New Roman" w:cs="Times New Roman"/>
          <w:szCs w:val="20"/>
        </w:rPr>
        <w:t>coprodução</w:t>
      </w:r>
      <w:r w:rsidRPr="00FA3856">
        <w:rPr>
          <w:rFonts w:ascii="Times New Roman" w:hAnsi="Times New Roman" w:cs="Times New Roman"/>
          <w:szCs w:val="20"/>
        </w:rPr>
        <w:t xml:space="preserve"> de obras cinematográficas e videofonográficas brasileiras de produção independente, de telefilmes, minisséries, documentais, ficcionais, animações e de programas de televisão de caráter educativo e cultural, brasileiros de produção independente, nos termos do § 6</w:t>
      </w:r>
      <w:r w:rsidRPr="00FA3856">
        <w:rPr>
          <w:rFonts w:ascii="Times New Roman" w:hAnsi="Times New Roman" w:cs="Times New Roman"/>
          <w:strike/>
          <w:szCs w:val="20"/>
        </w:rPr>
        <w:t>º</w:t>
      </w:r>
      <w:r w:rsidRPr="00FA3856">
        <w:rPr>
          <w:rFonts w:ascii="Times New Roman" w:hAnsi="Times New Roman" w:cs="Times New Roman"/>
          <w:szCs w:val="20"/>
        </w:rPr>
        <w:t xml:space="preserve"> do art. 39 da Medida Provisória n</w:t>
      </w:r>
      <w:r w:rsidRPr="00FA3856">
        <w:rPr>
          <w:rFonts w:ascii="Times New Roman" w:hAnsi="Times New Roman" w:cs="Times New Roman"/>
          <w:strike/>
          <w:szCs w:val="20"/>
        </w:rPr>
        <w:t>º</w:t>
      </w:r>
      <w:r w:rsidRPr="00FA3856">
        <w:rPr>
          <w:rFonts w:ascii="Times New Roman" w:hAnsi="Times New Roman" w:cs="Times New Roman"/>
          <w:szCs w:val="20"/>
        </w:rPr>
        <w:t xml:space="preserve"> 2.228-1, de 2001, desde que produzidos com os recursos de que trata o inciso X desse mesmo artigo 39.</w:t>
      </w:r>
    </w:p>
    <w:p w:rsidR="005308A3" w:rsidRPr="00FA3856" w:rsidRDefault="005308A3" w:rsidP="001A6818">
      <w:pPr>
        <w:pStyle w:val="NormalWeb"/>
        <w:spacing w:before="0" w:after="0"/>
        <w:jc w:val="both"/>
        <w:rPr>
          <w:rFonts w:ascii="Times New Roman" w:hAnsi="Times New Roman" w:cs="Times New Roman"/>
          <w:szCs w:val="20"/>
        </w:rPr>
      </w:pPr>
    </w:p>
    <w:p w:rsidR="00CE1927" w:rsidRPr="00FA3856" w:rsidRDefault="00CE1927" w:rsidP="005308A3">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Os projetos devem ser previamente aprovados pela Ancine (Decreto n</w:t>
      </w:r>
      <w:r w:rsidRPr="00FA3856">
        <w:rPr>
          <w:rFonts w:ascii="Times New Roman" w:hAnsi="Times New Roman" w:cs="Times New Roman"/>
          <w:strike/>
          <w:szCs w:val="20"/>
        </w:rPr>
        <w:t>º</w:t>
      </w:r>
      <w:r w:rsidRPr="00FA3856">
        <w:rPr>
          <w:rFonts w:ascii="Times New Roman" w:hAnsi="Times New Roman" w:cs="Times New Roman"/>
          <w:szCs w:val="20"/>
        </w:rPr>
        <w:t xml:space="preserve"> 6.304, de 2007, art. 15).</w:t>
      </w:r>
    </w:p>
    <w:p w:rsidR="005308A3" w:rsidRPr="00FA3856" w:rsidRDefault="005308A3" w:rsidP="001A6818">
      <w:pPr>
        <w:pStyle w:val="NormalWeb"/>
        <w:spacing w:before="0" w:after="0"/>
        <w:jc w:val="both"/>
        <w:rPr>
          <w:rFonts w:ascii="Times New Roman" w:hAnsi="Times New Roman" w:cs="Times New Roman"/>
          <w:szCs w:val="20"/>
        </w:rPr>
      </w:pPr>
    </w:p>
    <w:p w:rsidR="00CE1927" w:rsidRPr="00FA3856" w:rsidRDefault="00CE1927" w:rsidP="005308A3">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 xml:space="preserve">A dedução a </w:t>
      </w:r>
      <w:r w:rsidR="00B5790B" w:rsidRPr="00FA3856">
        <w:rPr>
          <w:rFonts w:ascii="Times New Roman" w:hAnsi="Times New Roman" w:cs="Times New Roman"/>
          <w:szCs w:val="20"/>
        </w:rPr>
        <w:t>título</w:t>
      </w:r>
      <w:r w:rsidRPr="00FA3856">
        <w:rPr>
          <w:rFonts w:ascii="Times New Roman" w:hAnsi="Times New Roman" w:cs="Times New Roman"/>
          <w:szCs w:val="20"/>
        </w:rPr>
        <w:t xml:space="preserve"> de investimentos em obras audiovisuais fica limitada isoladamente a 3% do imposto devido, antes do adicional, com base:</w:t>
      </w:r>
    </w:p>
    <w:p w:rsidR="005308A3" w:rsidRPr="00FA3856" w:rsidRDefault="005308A3" w:rsidP="001A6818">
      <w:pPr>
        <w:pStyle w:val="NormalWeb"/>
        <w:spacing w:before="0" w:after="0"/>
        <w:jc w:val="both"/>
        <w:rPr>
          <w:rFonts w:ascii="Times New Roman" w:hAnsi="Times New Roman" w:cs="Times New Roman"/>
          <w:szCs w:val="20"/>
        </w:rPr>
      </w:pPr>
    </w:p>
    <w:p w:rsidR="00CE1927" w:rsidRPr="00FA3856" w:rsidRDefault="00CE1927" w:rsidP="005308A3">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a) no lucro real trimestral;</w:t>
      </w:r>
    </w:p>
    <w:p w:rsidR="00CE1927" w:rsidRPr="00FA3856" w:rsidRDefault="00CE1927" w:rsidP="005308A3">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b) no lucro real apurado no ajuste anual.</w:t>
      </w:r>
    </w:p>
    <w:p w:rsidR="005308A3" w:rsidRPr="00FA3856" w:rsidRDefault="005308A3" w:rsidP="001A6818">
      <w:pPr>
        <w:pStyle w:val="NormalWeb"/>
        <w:spacing w:before="0" w:after="0"/>
        <w:jc w:val="both"/>
        <w:rPr>
          <w:rFonts w:ascii="Times New Roman" w:hAnsi="Times New Roman" w:cs="Times New Roman"/>
          <w:szCs w:val="20"/>
        </w:rPr>
      </w:pPr>
    </w:p>
    <w:p w:rsidR="00CE1927" w:rsidRPr="00FA3856" w:rsidRDefault="00CE1927" w:rsidP="005308A3">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dedução também se aplica ao imposto determinado com base no lucro estimado, calculado com base na receita bruta e acréscimos. Porém, o valor deduzido do imposto com base no lucro estimado:</w:t>
      </w:r>
    </w:p>
    <w:p w:rsidR="00CE1927" w:rsidRPr="00FA3856" w:rsidRDefault="00CE1927" w:rsidP="005308A3">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a) não será considerado imposto pago por estimativa; e</w:t>
      </w:r>
    </w:p>
    <w:p w:rsidR="00CE1927" w:rsidRPr="00FA3856" w:rsidRDefault="00CE1927" w:rsidP="005308A3">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b) deve compor o valor a ser deduzido do imposto devido no ajuste anual.</w:t>
      </w:r>
    </w:p>
    <w:p w:rsidR="005308A3" w:rsidRPr="00FA3856" w:rsidRDefault="005308A3" w:rsidP="001A6818">
      <w:pPr>
        <w:pStyle w:val="NormalWeb"/>
        <w:spacing w:before="0" w:after="0"/>
        <w:jc w:val="both"/>
        <w:rPr>
          <w:rFonts w:ascii="Times New Roman" w:hAnsi="Times New Roman" w:cs="Times New Roman"/>
          <w:szCs w:val="20"/>
        </w:rPr>
      </w:pPr>
    </w:p>
    <w:p w:rsidR="00CE1927" w:rsidRPr="00FA3856" w:rsidRDefault="00CE1927" w:rsidP="005308A3">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Eventuais excessos ao limite de 3% de dedução não poderão ser deduzidos do imposto devido em períodos de apuração posteriores.</w:t>
      </w:r>
    </w:p>
    <w:p w:rsidR="005308A3" w:rsidRPr="00FA3856" w:rsidRDefault="005308A3" w:rsidP="001A6818">
      <w:pPr>
        <w:pStyle w:val="NormalWeb"/>
        <w:spacing w:before="0" w:after="0"/>
        <w:jc w:val="both"/>
        <w:rPr>
          <w:rFonts w:ascii="Times New Roman" w:hAnsi="Times New Roman" w:cs="Times New Roman"/>
          <w:szCs w:val="20"/>
        </w:rPr>
      </w:pPr>
    </w:p>
    <w:p w:rsidR="00CE1927" w:rsidRPr="00FA3856" w:rsidRDefault="00CE1927" w:rsidP="005308A3">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dedução do imposto a título de Atividade Audiovisual não prejudica a exclusão dos valores relativos à aquisição dos Certificados de Investimentos do lucro líquido para fins de determinação do lucro real.</w:t>
      </w:r>
    </w:p>
    <w:p w:rsidR="005308A3" w:rsidRPr="00FA3856" w:rsidRDefault="005308A3" w:rsidP="005308A3">
      <w:pPr>
        <w:pStyle w:val="NormalWeb"/>
        <w:spacing w:before="0" w:after="0"/>
        <w:ind w:firstLine="708"/>
        <w:jc w:val="both"/>
        <w:rPr>
          <w:rFonts w:ascii="Times New Roman" w:hAnsi="Times New Roman" w:cs="Times New Roman"/>
          <w:szCs w:val="20"/>
        </w:rPr>
      </w:pPr>
    </w:p>
    <w:p w:rsidR="00CE1927" w:rsidRPr="00FA3856" w:rsidRDefault="00CE1927" w:rsidP="005308A3">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Os investimentos nos projetos de que trata o § 6</w:t>
      </w:r>
      <w:r w:rsidRPr="00FA3856">
        <w:rPr>
          <w:rFonts w:ascii="Times New Roman" w:hAnsi="Times New Roman" w:cs="Times New Roman"/>
          <w:strike/>
          <w:szCs w:val="20"/>
        </w:rPr>
        <w:t>º</w:t>
      </w:r>
      <w:r w:rsidRPr="00FA3856">
        <w:rPr>
          <w:rFonts w:ascii="Times New Roman" w:hAnsi="Times New Roman" w:cs="Times New Roman"/>
          <w:szCs w:val="20"/>
        </w:rPr>
        <w:t xml:space="preserve"> do art. 39 da Medida Provisória n</w:t>
      </w:r>
      <w:r w:rsidRPr="00FA3856">
        <w:rPr>
          <w:rFonts w:ascii="Times New Roman" w:hAnsi="Times New Roman" w:cs="Times New Roman"/>
          <w:strike/>
          <w:szCs w:val="20"/>
        </w:rPr>
        <w:t>º</w:t>
      </w:r>
      <w:r w:rsidRPr="00FA3856">
        <w:rPr>
          <w:rFonts w:ascii="Times New Roman" w:hAnsi="Times New Roman" w:cs="Times New Roman"/>
          <w:szCs w:val="20"/>
        </w:rPr>
        <w:t xml:space="preserve"> 2.228-1, de 2001, não podem ser excluídos do lucro líquido para fins de determinação do lucro real.</w:t>
      </w:r>
    </w:p>
    <w:p w:rsidR="005308A3" w:rsidRPr="00FA3856" w:rsidRDefault="005308A3" w:rsidP="001A6818">
      <w:pPr>
        <w:pStyle w:val="NormalWeb"/>
        <w:spacing w:before="0" w:after="0"/>
        <w:jc w:val="both"/>
        <w:rPr>
          <w:rFonts w:ascii="Times New Roman" w:hAnsi="Times New Roman" w:cs="Times New Roman"/>
          <w:b/>
          <w:bCs/>
          <w:szCs w:val="20"/>
        </w:rPr>
      </w:pPr>
    </w:p>
    <w:p w:rsidR="005308A3" w:rsidRPr="00FA3856" w:rsidRDefault="005308A3" w:rsidP="001A6818">
      <w:pPr>
        <w:pStyle w:val="NormalWeb"/>
        <w:spacing w:before="0" w:after="0"/>
        <w:jc w:val="both"/>
        <w:rPr>
          <w:rFonts w:ascii="Times New Roman" w:hAnsi="Times New Roman" w:cs="Times New Roman"/>
          <w:b/>
          <w:bCs/>
          <w:szCs w:val="20"/>
        </w:rPr>
      </w:pPr>
    </w:p>
    <w:p w:rsidR="005308A3" w:rsidRPr="00FA3856" w:rsidRDefault="005308A3" w:rsidP="001A6818">
      <w:pPr>
        <w:pStyle w:val="NormalWeb"/>
        <w:spacing w:before="0" w:after="0"/>
        <w:jc w:val="both"/>
        <w:rPr>
          <w:rFonts w:ascii="Times New Roman" w:hAnsi="Times New Roman" w:cs="Times New Roman"/>
          <w:b/>
          <w:bCs/>
          <w:szCs w:val="20"/>
        </w:rPr>
      </w:pPr>
    </w:p>
    <w:p w:rsidR="00CE1927" w:rsidRPr="00FA3856" w:rsidRDefault="00B14A83" w:rsidP="001A6818">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lastRenderedPageBreak/>
        <w:t xml:space="preserve">V.3.2) </w:t>
      </w:r>
      <w:r w:rsidR="00CE1927" w:rsidRPr="00FA3856">
        <w:rPr>
          <w:rFonts w:ascii="Times New Roman" w:hAnsi="Times New Roman" w:cs="Times New Roman"/>
          <w:b/>
          <w:bCs/>
          <w:szCs w:val="20"/>
        </w:rPr>
        <w:t>As quantias referentes a Patrocínio</w:t>
      </w:r>
    </w:p>
    <w:p w:rsidR="00C22B54" w:rsidRPr="00FA3856" w:rsidRDefault="00C22B54" w:rsidP="001A6818">
      <w:pPr>
        <w:pStyle w:val="NormalWeb"/>
        <w:spacing w:before="0" w:after="0"/>
        <w:jc w:val="both"/>
        <w:rPr>
          <w:rFonts w:ascii="Times New Roman" w:hAnsi="Times New Roman" w:cs="Times New Roman"/>
          <w:szCs w:val="20"/>
        </w:rPr>
      </w:pPr>
    </w:p>
    <w:p w:rsidR="00CE1927" w:rsidRPr="00FA3856" w:rsidRDefault="00CE1927" w:rsidP="00C22B54">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Até o exercício fiscal de 2016, inclusive, as pessoas jurídicas sujeitas ao lucro real podem deduzir do imposto devido as quantias referentes a patrocínio a projeto previamente aprovado pela ANCINE para a produção de obras audiovisuais cinematográficas brasileiras de produção independente (Decreto n</w:t>
      </w:r>
      <w:r w:rsidRPr="00FA3856">
        <w:rPr>
          <w:rFonts w:ascii="Times New Roman" w:hAnsi="Times New Roman" w:cs="Times New Roman"/>
          <w:strike/>
          <w:szCs w:val="20"/>
        </w:rPr>
        <w:t>º</w:t>
      </w:r>
      <w:r w:rsidRPr="00FA3856">
        <w:rPr>
          <w:rFonts w:ascii="Times New Roman" w:hAnsi="Times New Roman" w:cs="Times New Roman"/>
          <w:szCs w:val="20"/>
        </w:rPr>
        <w:t xml:space="preserve"> 6.304, de 2007, art. 5</w:t>
      </w:r>
      <w:r w:rsidRPr="00FA3856">
        <w:rPr>
          <w:rFonts w:ascii="Times New Roman" w:hAnsi="Times New Roman" w:cs="Times New Roman"/>
          <w:strike/>
          <w:szCs w:val="20"/>
        </w:rPr>
        <w:t>º</w:t>
      </w:r>
      <w:r w:rsidRPr="00FA3856">
        <w:rPr>
          <w:rFonts w:ascii="Times New Roman" w:hAnsi="Times New Roman" w:cs="Times New Roman"/>
          <w:szCs w:val="20"/>
        </w:rPr>
        <w:t>, I) e em projetos específicos da área audiovisual, cinematográfica de exibição, distribuição e infraestrutura técnica, cujo projeto tenha sido apresentado por empresa brasileira (Decreto n</w:t>
      </w:r>
      <w:r w:rsidRPr="00FA3856">
        <w:rPr>
          <w:rFonts w:ascii="Times New Roman" w:hAnsi="Times New Roman" w:cs="Times New Roman"/>
          <w:strike/>
          <w:szCs w:val="20"/>
        </w:rPr>
        <w:t>º</w:t>
      </w:r>
      <w:r w:rsidRPr="00FA3856">
        <w:rPr>
          <w:rFonts w:ascii="Times New Roman" w:hAnsi="Times New Roman" w:cs="Times New Roman"/>
          <w:szCs w:val="20"/>
        </w:rPr>
        <w:t xml:space="preserve"> 6.304, de 2007, art. 5</w:t>
      </w:r>
      <w:r w:rsidRPr="00FA3856">
        <w:rPr>
          <w:rFonts w:ascii="Times New Roman" w:hAnsi="Times New Roman" w:cs="Times New Roman"/>
          <w:strike/>
          <w:szCs w:val="20"/>
        </w:rPr>
        <w:t>º</w:t>
      </w:r>
      <w:r w:rsidRPr="00FA3856">
        <w:rPr>
          <w:rFonts w:ascii="Times New Roman" w:hAnsi="Times New Roman" w:cs="Times New Roman"/>
          <w:szCs w:val="20"/>
        </w:rPr>
        <w:t>, II).</w:t>
      </w:r>
    </w:p>
    <w:p w:rsidR="00C22B54" w:rsidRPr="00FA3856" w:rsidRDefault="00C22B54" w:rsidP="001A6818">
      <w:pPr>
        <w:pStyle w:val="NormalWeb"/>
        <w:spacing w:before="0" w:after="0"/>
        <w:jc w:val="both"/>
        <w:rPr>
          <w:rFonts w:ascii="Times New Roman" w:hAnsi="Times New Roman" w:cs="Times New Roman"/>
          <w:szCs w:val="20"/>
        </w:rPr>
      </w:pPr>
    </w:p>
    <w:p w:rsidR="00CE1927" w:rsidRPr="00FA3856" w:rsidRDefault="00CE1927" w:rsidP="00C22B54">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Os projetos devem ser previamente aprovados pela Ancine (Decreto n</w:t>
      </w:r>
      <w:r w:rsidRPr="00FA3856">
        <w:rPr>
          <w:rFonts w:ascii="Times New Roman" w:hAnsi="Times New Roman" w:cs="Times New Roman"/>
          <w:strike/>
          <w:szCs w:val="20"/>
        </w:rPr>
        <w:t>º</w:t>
      </w:r>
      <w:r w:rsidRPr="00FA3856">
        <w:rPr>
          <w:rFonts w:ascii="Times New Roman" w:hAnsi="Times New Roman" w:cs="Times New Roman"/>
          <w:szCs w:val="20"/>
        </w:rPr>
        <w:t xml:space="preserve"> 6.304, de 2007, art. 15).</w:t>
      </w:r>
    </w:p>
    <w:p w:rsidR="00C22B54" w:rsidRPr="00FA3856" w:rsidRDefault="00C22B54" w:rsidP="001A6818">
      <w:pPr>
        <w:pStyle w:val="NormalWeb"/>
        <w:spacing w:before="0" w:after="0"/>
        <w:jc w:val="both"/>
        <w:rPr>
          <w:rFonts w:ascii="Times New Roman" w:hAnsi="Times New Roman" w:cs="Times New Roman"/>
          <w:szCs w:val="20"/>
        </w:rPr>
      </w:pPr>
    </w:p>
    <w:p w:rsidR="00CE1927" w:rsidRPr="00FA3856" w:rsidRDefault="00CE1927" w:rsidP="00C22B54">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 xml:space="preserve">A dedução a </w:t>
      </w:r>
      <w:r w:rsidR="00B5790B" w:rsidRPr="00FA3856">
        <w:rPr>
          <w:rFonts w:ascii="Times New Roman" w:hAnsi="Times New Roman" w:cs="Times New Roman"/>
          <w:szCs w:val="20"/>
        </w:rPr>
        <w:t>título</w:t>
      </w:r>
      <w:r w:rsidRPr="00FA3856">
        <w:rPr>
          <w:rFonts w:ascii="Times New Roman" w:hAnsi="Times New Roman" w:cs="Times New Roman"/>
          <w:szCs w:val="20"/>
        </w:rPr>
        <w:t xml:space="preserve"> de patrocínio audiovisual fica limitada isoladamente a 4% (quatro por cento) do valor do imposto devido, antes do adicional, com base:</w:t>
      </w:r>
    </w:p>
    <w:p w:rsidR="00C22B54" w:rsidRPr="00FA3856" w:rsidRDefault="00C22B54" w:rsidP="001A6818">
      <w:pPr>
        <w:pStyle w:val="NormalWeb"/>
        <w:spacing w:before="0" w:after="0"/>
        <w:jc w:val="both"/>
        <w:rPr>
          <w:rFonts w:ascii="Times New Roman" w:hAnsi="Times New Roman" w:cs="Times New Roman"/>
          <w:szCs w:val="20"/>
        </w:rPr>
      </w:pPr>
      <w:bookmarkStart w:id="148" w:name="subitem_15.7.3.2"/>
      <w:bookmarkEnd w:id="148"/>
    </w:p>
    <w:p w:rsidR="00CE1927" w:rsidRPr="00FA3856" w:rsidRDefault="00CE1927" w:rsidP="00C22B54">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a) no lucro real trimestral;</w:t>
      </w:r>
    </w:p>
    <w:p w:rsidR="00CE1927" w:rsidRPr="00FA3856" w:rsidRDefault="00CE1927" w:rsidP="00C22B54">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b) no lucro real apurado no ajuste anual.</w:t>
      </w:r>
    </w:p>
    <w:p w:rsidR="00C22B54" w:rsidRPr="00FA3856" w:rsidRDefault="00C22B54" w:rsidP="001A6818">
      <w:pPr>
        <w:pStyle w:val="NormalWeb"/>
        <w:spacing w:before="0" w:after="0"/>
        <w:jc w:val="both"/>
        <w:rPr>
          <w:rFonts w:ascii="Times New Roman" w:hAnsi="Times New Roman" w:cs="Times New Roman"/>
          <w:szCs w:val="20"/>
        </w:rPr>
      </w:pPr>
    </w:p>
    <w:p w:rsidR="00CE1927" w:rsidRPr="00FA3856" w:rsidRDefault="00CE1927" w:rsidP="00C22B54">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dedução também se aplica ao imposto determinado com base no lucro estimado, calculado com base na receita bruta e acréscimos. Porém, o valor deduzido do imposto com base no lucro estimado:</w:t>
      </w:r>
    </w:p>
    <w:p w:rsidR="00C22B54" w:rsidRPr="00FA3856" w:rsidRDefault="00C22B54" w:rsidP="00C22B54">
      <w:pPr>
        <w:pStyle w:val="NormalWeb"/>
        <w:spacing w:before="0" w:after="0"/>
        <w:ind w:firstLine="708"/>
        <w:jc w:val="both"/>
        <w:rPr>
          <w:rFonts w:ascii="Times New Roman" w:hAnsi="Times New Roman" w:cs="Times New Roman"/>
          <w:szCs w:val="20"/>
        </w:rPr>
      </w:pPr>
    </w:p>
    <w:p w:rsidR="00CE1927" w:rsidRPr="00FA3856" w:rsidRDefault="00CE1927" w:rsidP="00C22B54">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não será considerado imposto pago por estimativa; e</w:t>
      </w:r>
    </w:p>
    <w:p w:rsidR="00CE1927" w:rsidRPr="00FA3856" w:rsidRDefault="00CE1927" w:rsidP="00C22B54">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b) deve compor o valor a ser deduzido do imposto devido no ajuste anual.</w:t>
      </w:r>
    </w:p>
    <w:p w:rsidR="00C22B54" w:rsidRPr="00FA3856" w:rsidRDefault="00C22B54" w:rsidP="001A6818">
      <w:pPr>
        <w:pStyle w:val="NormalWeb"/>
        <w:spacing w:before="0" w:after="0"/>
        <w:jc w:val="both"/>
        <w:rPr>
          <w:rFonts w:ascii="Times New Roman" w:hAnsi="Times New Roman" w:cs="Times New Roman"/>
          <w:szCs w:val="20"/>
        </w:rPr>
      </w:pPr>
    </w:p>
    <w:p w:rsidR="00CE1927" w:rsidRPr="00FA3856" w:rsidRDefault="00CE1927" w:rsidP="00C22B54">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Eventuais excessos ao limite de 4% de dedução não poderão ser deduzidos do imposto devido em períodos de apuração posteriores.</w:t>
      </w:r>
    </w:p>
    <w:p w:rsidR="00C22B54" w:rsidRPr="00FA3856" w:rsidRDefault="00C22B54" w:rsidP="001A6818">
      <w:pPr>
        <w:pStyle w:val="NormalWeb"/>
        <w:spacing w:before="0" w:after="0"/>
        <w:jc w:val="both"/>
        <w:rPr>
          <w:rFonts w:ascii="Times New Roman" w:hAnsi="Times New Roman" w:cs="Times New Roman"/>
          <w:szCs w:val="20"/>
        </w:rPr>
      </w:pPr>
    </w:p>
    <w:p w:rsidR="00CE1927" w:rsidRPr="00FA3856" w:rsidRDefault="00CE1927" w:rsidP="00C22B54">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Observado o limite específico de cada incentivo e o disposto no § 4</w:t>
      </w:r>
      <w:r w:rsidRPr="00FA3856">
        <w:rPr>
          <w:rFonts w:ascii="Times New Roman" w:hAnsi="Times New Roman" w:cs="Times New Roman"/>
          <w:strike/>
          <w:szCs w:val="20"/>
        </w:rPr>
        <w:t>º</w:t>
      </w:r>
      <w:r w:rsidRPr="00FA3856">
        <w:rPr>
          <w:rFonts w:ascii="Times New Roman" w:hAnsi="Times New Roman" w:cs="Times New Roman"/>
          <w:szCs w:val="20"/>
        </w:rPr>
        <w:t xml:space="preserve"> do art. 3</w:t>
      </w:r>
      <w:r w:rsidRPr="00FA3856">
        <w:rPr>
          <w:rFonts w:ascii="Times New Roman" w:hAnsi="Times New Roman" w:cs="Times New Roman"/>
          <w:strike/>
          <w:szCs w:val="20"/>
        </w:rPr>
        <w:t>º</w:t>
      </w:r>
      <w:r w:rsidRPr="00FA3856">
        <w:rPr>
          <w:rFonts w:ascii="Times New Roman" w:hAnsi="Times New Roman" w:cs="Times New Roman"/>
          <w:szCs w:val="20"/>
        </w:rPr>
        <w:t xml:space="preserve"> da Lei n</w:t>
      </w:r>
      <w:r w:rsidRPr="00FA3856">
        <w:rPr>
          <w:rFonts w:ascii="Times New Roman" w:hAnsi="Times New Roman" w:cs="Times New Roman"/>
          <w:strike/>
          <w:szCs w:val="20"/>
        </w:rPr>
        <w:t>º</w:t>
      </w:r>
      <w:r w:rsidRPr="00FA3856">
        <w:rPr>
          <w:rFonts w:ascii="Times New Roman" w:hAnsi="Times New Roman" w:cs="Times New Roman"/>
          <w:szCs w:val="20"/>
        </w:rPr>
        <w:t xml:space="preserve"> 9.249, de 26 de dezembro de 1995, o total das deduções referentes às doações e aos patrocínios culturais (Lei n</w:t>
      </w:r>
      <w:r w:rsidRPr="00FA3856">
        <w:rPr>
          <w:rFonts w:ascii="Times New Roman" w:hAnsi="Times New Roman" w:cs="Times New Roman"/>
          <w:strike/>
          <w:szCs w:val="20"/>
        </w:rPr>
        <w:t>º</w:t>
      </w:r>
      <w:r w:rsidRPr="00FA3856">
        <w:rPr>
          <w:rFonts w:ascii="Times New Roman" w:hAnsi="Times New Roman" w:cs="Times New Roman"/>
          <w:szCs w:val="20"/>
        </w:rPr>
        <w:t xml:space="preserve"> 8.313, de 1991, art. 26), aos investimentos audiovisuais (Decreto n</w:t>
      </w:r>
      <w:r w:rsidRPr="00FA3856">
        <w:rPr>
          <w:rFonts w:ascii="Times New Roman" w:hAnsi="Times New Roman" w:cs="Times New Roman"/>
          <w:strike/>
          <w:szCs w:val="20"/>
        </w:rPr>
        <w:t>º</w:t>
      </w:r>
      <w:r w:rsidRPr="00FA3856">
        <w:rPr>
          <w:rFonts w:ascii="Times New Roman" w:hAnsi="Times New Roman" w:cs="Times New Roman"/>
          <w:szCs w:val="20"/>
        </w:rPr>
        <w:t xml:space="preserve"> 6.304, de 2007, art. 3</w:t>
      </w:r>
      <w:r w:rsidRPr="00FA3856">
        <w:rPr>
          <w:rFonts w:ascii="Times New Roman" w:hAnsi="Times New Roman" w:cs="Times New Roman"/>
          <w:strike/>
          <w:szCs w:val="20"/>
        </w:rPr>
        <w:t>º</w:t>
      </w:r>
      <w:r w:rsidRPr="00FA3856">
        <w:rPr>
          <w:rFonts w:ascii="Times New Roman" w:hAnsi="Times New Roman" w:cs="Times New Roman"/>
          <w:szCs w:val="20"/>
        </w:rPr>
        <w:t>), aos patrocínios audiovisuais (Decreto n</w:t>
      </w:r>
      <w:r w:rsidRPr="00FA3856">
        <w:rPr>
          <w:rFonts w:ascii="Times New Roman" w:hAnsi="Times New Roman" w:cs="Times New Roman"/>
          <w:strike/>
          <w:szCs w:val="20"/>
        </w:rPr>
        <w:t>º</w:t>
      </w:r>
      <w:r w:rsidRPr="00FA3856">
        <w:rPr>
          <w:rFonts w:ascii="Times New Roman" w:hAnsi="Times New Roman" w:cs="Times New Roman"/>
          <w:szCs w:val="20"/>
        </w:rPr>
        <w:t xml:space="preserve"> 6.304, de 2007, art. 5</w:t>
      </w:r>
      <w:r w:rsidRPr="00FA3856">
        <w:rPr>
          <w:rFonts w:ascii="Times New Roman" w:hAnsi="Times New Roman" w:cs="Times New Roman"/>
          <w:strike/>
          <w:szCs w:val="20"/>
        </w:rPr>
        <w:t>º</w:t>
      </w:r>
      <w:r w:rsidRPr="00FA3856">
        <w:rPr>
          <w:rFonts w:ascii="Times New Roman" w:hAnsi="Times New Roman" w:cs="Times New Roman"/>
          <w:szCs w:val="20"/>
        </w:rPr>
        <w:t>) e aos Funcines (Decreto n</w:t>
      </w:r>
      <w:r w:rsidRPr="00FA3856">
        <w:rPr>
          <w:rFonts w:ascii="Times New Roman" w:hAnsi="Times New Roman" w:cs="Times New Roman"/>
          <w:strike/>
          <w:szCs w:val="20"/>
        </w:rPr>
        <w:t>º</w:t>
      </w:r>
      <w:r w:rsidRPr="00FA3856">
        <w:rPr>
          <w:rFonts w:ascii="Times New Roman" w:hAnsi="Times New Roman" w:cs="Times New Roman"/>
          <w:szCs w:val="20"/>
        </w:rPr>
        <w:t xml:space="preserve"> 6.304, de 2007, art. 22), não poderá exceder a 4% do imposto devido pela pessoa jurídica, antes do adicional (Decreto n</w:t>
      </w:r>
      <w:r w:rsidRPr="00FA3856">
        <w:rPr>
          <w:rFonts w:ascii="Times New Roman" w:hAnsi="Times New Roman" w:cs="Times New Roman"/>
          <w:strike/>
          <w:szCs w:val="20"/>
        </w:rPr>
        <w:t>º</w:t>
      </w:r>
      <w:r w:rsidRPr="00FA3856">
        <w:rPr>
          <w:rFonts w:ascii="Times New Roman" w:hAnsi="Times New Roman" w:cs="Times New Roman"/>
          <w:szCs w:val="20"/>
        </w:rPr>
        <w:t xml:space="preserve"> 6.304, de 2007, art. 28) com base:</w:t>
      </w:r>
    </w:p>
    <w:p w:rsidR="00C22B54" w:rsidRPr="00FA3856" w:rsidRDefault="00C22B54" w:rsidP="001A6818">
      <w:pPr>
        <w:pStyle w:val="NormalWeb"/>
        <w:spacing w:before="0" w:after="0"/>
        <w:jc w:val="both"/>
        <w:rPr>
          <w:rFonts w:ascii="Times New Roman" w:hAnsi="Times New Roman" w:cs="Times New Roman"/>
          <w:szCs w:val="20"/>
        </w:rPr>
      </w:pPr>
    </w:p>
    <w:p w:rsidR="00CE1927" w:rsidRPr="00FA3856" w:rsidRDefault="00CE1927" w:rsidP="00C22B54">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no lucro real trimestral;</w:t>
      </w:r>
    </w:p>
    <w:p w:rsidR="00CE1927" w:rsidRPr="00FA3856" w:rsidRDefault="00CE1927" w:rsidP="00C22B54">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b) no lucro real apurado no ajuste anual.</w:t>
      </w:r>
    </w:p>
    <w:p w:rsidR="00C22B54" w:rsidRPr="00FA3856" w:rsidRDefault="00C22B54" w:rsidP="001A6818">
      <w:pPr>
        <w:pStyle w:val="NormalWeb"/>
        <w:spacing w:before="0" w:after="0"/>
        <w:jc w:val="both"/>
        <w:rPr>
          <w:rFonts w:ascii="Times New Roman" w:hAnsi="Times New Roman" w:cs="Times New Roman"/>
          <w:szCs w:val="20"/>
        </w:rPr>
      </w:pPr>
    </w:p>
    <w:p w:rsidR="00CE1927" w:rsidRPr="00FA3856" w:rsidRDefault="00CE1927" w:rsidP="00C22B54">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dedução também se aplica ao imposto determinado com base no lucro estimado, calculado com base na receita bruta e acréscimos. Porém, o valor deduzido do imposto com base no lucro estimado:</w:t>
      </w:r>
    </w:p>
    <w:p w:rsidR="00C22B54" w:rsidRPr="00FA3856" w:rsidRDefault="00C22B54" w:rsidP="001A6818">
      <w:pPr>
        <w:pStyle w:val="NormalWeb"/>
        <w:spacing w:before="0" w:after="0"/>
        <w:jc w:val="both"/>
        <w:rPr>
          <w:rFonts w:ascii="Times New Roman" w:hAnsi="Times New Roman" w:cs="Times New Roman"/>
          <w:szCs w:val="20"/>
        </w:rPr>
      </w:pPr>
    </w:p>
    <w:p w:rsidR="00CE1927" w:rsidRPr="00FA3856" w:rsidRDefault="00CE1927" w:rsidP="00C22B54">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não será considerado imposto pago por estimativa; e</w:t>
      </w:r>
    </w:p>
    <w:p w:rsidR="00CE1927" w:rsidRPr="00FA3856" w:rsidRDefault="00CE1927" w:rsidP="00C22B54">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b) deve compor o valor a ser deduzido do imposto devido no ajuste anual.</w:t>
      </w:r>
    </w:p>
    <w:p w:rsidR="00C22B54" w:rsidRPr="00FA3856" w:rsidRDefault="00C22B54" w:rsidP="001A6818">
      <w:pPr>
        <w:pStyle w:val="NormalWeb"/>
        <w:spacing w:before="0" w:after="0"/>
        <w:jc w:val="both"/>
        <w:rPr>
          <w:rFonts w:ascii="Times New Roman" w:hAnsi="Times New Roman" w:cs="Times New Roman"/>
          <w:szCs w:val="20"/>
        </w:rPr>
      </w:pPr>
    </w:p>
    <w:p w:rsidR="00CE1927" w:rsidRPr="00FA3856" w:rsidRDefault="00CE1927" w:rsidP="00C22B54">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Eventuais excessos ao limite de 4% de dedução não poderão ser deduzidos do imposto devido em períodos de apuração posteriores.</w:t>
      </w:r>
    </w:p>
    <w:p w:rsidR="00C22B54" w:rsidRPr="00FA3856" w:rsidRDefault="00C22B54" w:rsidP="001A6818">
      <w:pPr>
        <w:pStyle w:val="NormalWeb"/>
        <w:spacing w:before="0" w:after="0"/>
        <w:jc w:val="both"/>
        <w:rPr>
          <w:rFonts w:ascii="Times New Roman" w:hAnsi="Times New Roman" w:cs="Times New Roman"/>
          <w:szCs w:val="20"/>
        </w:rPr>
      </w:pPr>
    </w:p>
    <w:p w:rsidR="00CE1927" w:rsidRPr="00FA3856" w:rsidRDefault="00CE1927" w:rsidP="00C22B54">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O valor do patrocínio não poderá ser deduzido como despesa para fins de determinação do lucro real e da base de cálculo da CSLL.</w:t>
      </w:r>
    </w:p>
    <w:p w:rsidR="00C22B54" w:rsidRPr="00FA3856" w:rsidRDefault="00C22B54" w:rsidP="001A6818">
      <w:pPr>
        <w:pStyle w:val="NormalWeb"/>
        <w:spacing w:before="0" w:after="0"/>
        <w:jc w:val="both"/>
        <w:rPr>
          <w:rFonts w:ascii="Times New Roman" w:hAnsi="Times New Roman" w:cs="Times New Roman"/>
          <w:szCs w:val="20"/>
        </w:rPr>
      </w:pPr>
    </w:p>
    <w:p w:rsidR="00CE1927" w:rsidRPr="00FA3856" w:rsidRDefault="00CE1927" w:rsidP="00C22B54">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Eventuais excessos ao limite de 4% de dedução não poderão ser deduzidos do imposto devido em períodos de apuração posteriores.</w:t>
      </w:r>
    </w:p>
    <w:p w:rsidR="00C22B54" w:rsidRPr="00FA3856" w:rsidRDefault="00C22B54" w:rsidP="001A6818">
      <w:pPr>
        <w:pStyle w:val="NormalWeb"/>
        <w:spacing w:before="0" w:after="0"/>
        <w:jc w:val="both"/>
        <w:rPr>
          <w:rFonts w:ascii="Times New Roman" w:hAnsi="Times New Roman" w:cs="Times New Roman"/>
          <w:b/>
          <w:bCs/>
          <w:szCs w:val="20"/>
        </w:rPr>
      </w:pPr>
    </w:p>
    <w:p w:rsidR="00CE1927" w:rsidRPr="00FA3856" w:rsidRDefault="00B14A83" w:rsidP="001A6818">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lastRenderedPageBreak/>
        <w:t xml:space="preserve">V.3.3) </w:t>
      </w:r>
      <w:r w:rsidR="00CE1927" w:rsidRPr="00FA3856">
        <w:rPr>
          <w:rFonts w:ascii="Times New Roman" w:hAnsi="Times New Roman" w:cs="Times New Roman"/>
          <w:b/>
          <w:bCs/>
          <w:szCs w:val="20"/>
        </w:rPr>
        <w:t>Aquisição de quotas dos Funcines</w:t>
      </w:r>
    </w:p>
    <w:p w:rsidR="00C22B54" w:rsidRPr="00FA3856" w:rsidRDefault="00C22B54" w:rsidP="001A6818">
      <w:pPr>
        <w:pStyle w:val="NormalWeb"/>
        <w:spacing w:before="0" w:after="0"/>
        <w:jc w:val="both"/>
        <w:rPr>
          <w:rFonts w:ascii="Times New Roman" w:hAnsi="Times New Roman" w:cs="Times New Roman"/>
          <w:szCs w:val="20"/>
        </w:rPr>
      </w:pPr>
    </w:p>
    <w:p w:rsidR="00CE1927" w:rsidRPr="00FA3856" w:rsidRDefault="00CE1927" w:rsidP="00C22B54">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Até o período de apuração relativo ao ano-calendário de 2016, inclusive, as pessoas jurídicas sujeitas à tributação com base no lucro real podem deduzir do imposto devido parcela do valor correspondente às quantias aplicadas na aquisição de quotas dos Fundos de Financiamento da Indústria Cinematográfica Nacional (Funcines).</w:t>
      </w:r>
    </w:p>
    <w:p w:rsidR="00C22B54" w:rsidRPr="00FA3856" w:rsidRDefault="00C22B54" w:rsidP="001A6818">
      <w:pPr>
        <w:pStyle w:val="NormalWeb"/>
        <w:spacing w:before="0" w:after="0"/>
        <w:jc w:val="both"/>
        <w:rPr>
          <w:rFonts w:ascii="Times New Roman" w:hAnsi="Times New Roman" w:cs="Times New Roman"/>
          <w:szCs w:val="20"/>
        </w:rPr>
      </w:pPr>
    </w:p>
    <w:p w:rsidR="00CE1927" w:rsidRPr="00FA3856" w:rsidRDefault="00CE1927" w:rsidP="00C22B54">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 xml:space="preserve">Essa dedução pode ser utilizada de forma alternativa ou conjunta às referidas nos itens </w:t>
      </w:r>
      <w:r w:rsidR="00C22B54" w:rsidRPr="00FA3856">
        <w:rPr>
          <w:rFonts w:ascii="Times New Roman" w:hAnsi="Times New Roman" w:cs="Times New Roman"/>
          <w:szCs w:val="20"/>
        </w:rPr>
        <w:t>V.3.1</w:t>
      </w:r>
      <w:r w:rsidRPr="00FA3856">
        <w:rPr>
          <w:rFonts w:ascii="Times New Roman" w:hAnsi="Times New Roman" w:cs="Times New Roman"/>
          <w:szCs w:val="20"/>
        </w:rPr>
        <w:t xml:space="preserve"> e </w:t>
      </w:r>
      <w:r w:rsidR="00C22B54" w:rsidRPr="00FA3856">
        <w:rPr>
          <w:rFonts w:ascii="Times New Roman" w:hAnsi="Times New Roman" w:cs="Times New Roman"/>
          <w:szCs w:val="20"/>
        </w:rPr>
        <w:t>V</w:t>
      </w:r>
      <w:r w:rsidRPr="00FA3856">
        <w:rPr>
          <w:rFonts w:ascii="Times New Roman" w:hAnsi="Times New Roman" w:cs="Times New Roman"/>
          <w:szCs w:val="20"/>
        </w:rPr>
        <w:t>.3.2 até o ano-calendário de 2016, quando se extinguirá este benefício.</w:t>
      </w:r>
    </w:p>
    <w:p w:rsidR="00C22B54" w:rsidRPr="00FA3856" w:rsidRDefault="00C22B54" w:rsidP="001A6818">
      <w:pPr>
        <w:pStyle w:val="NormalWeb"/>
        <w:spacing w:before="0" w:after="0"/>
        <w:jc w:val="both"/>
        <w:rPr>
          <w:rFonts w:ascii="Times New Roman" w:hAnsi="Times New Roman" w:cs="Times New Roman"/>
          <w:szCs w:val="20"/>
        </w:rPr>
      </w:pPr>
    </w:p>
    <w:p w:rsidR="00C22B54" w:rsidRPr="00FA3856" w:rsidRDefault="00CE1927" w:rsidP="00C22B54">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dedução a título de Funcines está limitada isoladamente a 3% (três por cento) do imposto devido, antes do adicional, com base:</w:t>
      </w:r>
    </w:p>
    <w:p w:rsidR="00CE1927" w:rsidRPr="00FA3856" w:rsidRDefault="00CE1927" w:rsidP="00C22B54">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a) no lucro real trimestral;</w:t>
      </w:r>
    </w:p>
    <w:p w:rsidR="00CE1927" w:rsidRPr="00FA3856" w:rsidRDefault="00CE1927" w:rsidP="00C22B54">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b) no lucro real apurado no ajuste anual.</w:t>
      </w:r>
    </w:p>
    <w:p w:rsidR="00C22B54" w:rsidRPr="00FA3856" w:rsidRDefault="00C22B54" w:rsidP="001A6818">
      <w:pPr>
        <w:pStyle w:val="NormalWeb"/>
        <w:spacing w:before="0" w:after="0"/>
        <w:jc w:val="both"/>
        <w:rPr>
          <w:rFonts w:ascii="Times New Roman" w:hAnsi="Times New Roman" w:cs="Times New Roman"/>
          <w:szCs w:val="20"/>
        </w:rPr>
      </w:pPr>
    </w:p>
    <w:p w:rsidR="00CE1927" w:rsidRPr="00FA3856" w:rsidRDefault="00CE1927" w:rsidP="00C22B54">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dedução também se aplica ao imposto determinado com base no lucro estimado, calculado com base na rec</w:t>
      </w:r>
      <w:bookmarkStart w:id="149" w:name="subitem_15.7.3.3"/>
      <w:bookmarkEnd w:id="149"/>
      <w:r w:rsidRPr="00FA3856">
        <w:rPr>
          <w:rFonts w:ascii="Times New Roman" w:hAnsi="Times New Roman" w:cs="Times New Roman"/>
          <w:szCs w:val="20"/>
        </w:rPr>
        <w:t>eita bruta e acréscimos. Porém, o valor deduzido do imposto com base no lucro estimado:</w:t>
      </w:r>
    </w:p>
    <w:p w:rsidR="00CE1927" w:rsidRPr="00FA3856" w:rsidRDefault="00CE1927" w:rsidP="00C22B54">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a) não será considerado imposto pago por estimativa; e</w:t>
      </w:r>
    </w:p>
    <w:p w:rsidR="00CE1927" w:rsidRPr="00FA3856" w:rsidRDefault="00CE1927" w:rsidP="00C22B54">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b) deve compor o valor a ser deduzido do imposto devido no ajuste anual.</w:t>
      </w:r>
    </w:p>
    <w:p w:rsidR="00C22B54" w:rsidRPr="00FA3856" w:rsidRDefault="00C22B54" w:rsidP="001A6818">
      <w:pPr>
        <w:pStyle w:val="NormalWeb"/>
        <w:spacing w:before="0" w:after="0"/>
        <w:jc w:val="both"/>
        <w:rPr>
          <w:rFonts w:ascii="Times New Roman" w:hAnsi="Times New Roman" w:cs="Times New Roman"/>
          <w:szCs w:val="20"/>
        </w:rPr>
      </w:pPr>
    </w:p>
    <w:p w:rsidR="00CE1927" w:rsidRPr="00FA3856" w:rsidRDefault="00CE1927" w:rsidP="00C22B54">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Eventuais excessos ao limite de 3% de dedução não podem ser utilizados em período de apuração posterior.</w:t>
      </w:r>
    </w:p>
    <w:p w:rsidR="00C22B54" w:rsidRPr="00FA3856" w:rsidRDefault="00C22B54" w:rsidP="001A6818">
      <w:pPr>
        <w:pStyle w:val="NormalWeb"/>
        <w:spacing w:before="0" w:after="0"/>
        <w:jc w:val="both"/>
        <w:rPr>
          <w:rFonts w:ascii="Times New Roman" w:hAnsi="Times New Roman" w:cs="Times New Roman"/>
          <w:szCs w:val="20"/>
        </w:rPr>
      </w:pPr>
    </w:p>
    <w:p w:rsidR="00CE1927" w:rsidRPr="00FA3856" w:rsidRDefault="00CE1927" w:rsidP="00C22B54">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O valor dos investimentos efetuados com aquisição de quotas dos Funcines não pode ser deduzido do lucro líquido, na determinação do lucro real e da contribuição social sobre o lucro líquido (Lei n</w:t>
      </w:r>
      <w:r w:rsidRPr="00FA3856">
        <w:rPr>
          <w:rFonts w:ascii="Times New Roman" w:hAnsi="Times New Roman" w:cs="Times New Roman"/>
          <w:strike/>
          <w:szCs w:val="20"/>
        </w:rPr>
        <w:t>º</w:t>
      </w:r>
      <w:r w:rsidRPr="00FA3856">
        <w:rPr>
          <w:rFonts w:ascii="Times New Roman" w:hAnsi="Times New Roman" w:cs="Times New Roman"/>
          <w:szCs w:val="20"/>
        </w:rPr>
        <w:t xml:space="preserve"> 11.437, de 2006, art. 20).</w:t>
      </w:r>
    </w:p>
    <w:p w:rsidR="00C22B54" w:rsidRPr="00FA3856" w:rsidRDefault="00C22B54" w:rsidP="001A6818">
      <w:pPr>
        <w:pStyle w:val="NormalWeb"/>
        <w:spacing w:before="0" w:after="0"/>
        <w:jc w:val="both"/>
        <w:rPr>
          <w:rFonts w:ascii="Times New Roman" w:hAnsi="Times New Roman" w:cs="Times New Roman"/>
          <w:szCs w:val="20"/>
        </w:rPr>
      </w:pPr>
    </w:p>
    <w:p w:rsidR="00CE1927" w:rsidRPr="00FA3856" w:rsidRDefault="00CE1927" w:rsidP="00C22B54">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pessoa jurídica que alienar as quotas dos Funcines somente pode considerar como custo de aquisição, na determinação do ganho de capital, os valores deduzidos na determinação do lucro real na hipótese em que a alienação ocorra após cinco anos da data de sua aquisição.</w:t>
      </w:r>
    </w:p>
    <w:p w:rsidR="00C22B54" w:rsidRPr="00FA3856" w:rsidRDefault="00C22B54" w:rsidP="001A6818">
      <w:pPr>
        <w:pStyle w:val="NormalWeb"/>
        <w:spacing w:before="0" w:after="0"/>
        <w:jc w:val="both"/>
        <w:rPr>
          <w:rFonts w:ascii="Times New Roman" w:hAnsi="Times New Roman" w:cs="Times New Roman"/>
          <w:szCs w:val="20"/>
        </w:rPr>
      </w:pPr>
    </w:p>
    <w:p w:rsidR="00CE1927" w:rsidRPr="00FA3856" w:rsidRDefault="00CE1927" w:rsidP="00C22B54">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Em qualquer hipótese, não é dedutível, para fins de determinação do lucro real ou da contribuição social sobre o lucro líquido, a perda apurada na alienação das quotas dos Funcines.</w:t>
      </w:r>
    </w:p>
    <w:p w:rsidR="00C22B54" w:rsidRPr="00FA3856" w:rsidRDefault="00C22B54" w:rsidP="001A6818">
      <w:pPr>
        <w:pStyle w:val="NormalWeb"/>
        <w:spacing w:before="0" w:after="0"/>
        <w:jc w:val="both"/>
        <w:rPr>
          <w:rFonts w:ascii="Times New Roman" w:hAnsi="Times New Roman" w:cs="Times New Roman"/>
          <w:b/>
          <w:bCs/>
          <w:szCs w:val="20"/>
        </w:rPr>
      </w:pPr>
    </w:p>
    <w:p w:rsidR="00CE1927" w:rsidRPr="00FA3856" w:rsidRDefault="00B14A83" w:rsidP="001A6818">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t xml:space="preserve">V.4) </w:t>
      </w:r>
      <w:r w:rsidR="00CE1927" w:rsidRPr="00FA3856">
        <w:rPr>
          <w:rFonts w:ascii="Times New Roman" w:hAnsi="Times New Roman" w:cs="Times New Roman"/>
          <w:b/>
          <w:bCs/>
          <w:szCs w:val="20"/>
        </w:rPr>
        <w:t>Fundos dos Direitos da Criança e do Adolescente</w:t>
      </w:r>
    </w:p>
    <w:p w:rsidR="00C22B54" w:rsidRPr="00FA3856" w:rsidRDefault="00C22B54" w:rsidP="001A6818">
      <w:pPr>
        <w:pStyle w:val="NormalWeb"/>
        <w:spacing w:before="0" w:after="0"/>
        <w:jc w:val="both"/>
        <w:rPr>
          <w:rFonts w:ascii="Times New Roman" w:hAnsi="Times New Roman" w:cs="Times New Roman"/>
          <w:szCs w:val="20"/>
        </w:rPr>
      </w:pPr>
    </w:p>
    <w:p w:rsidR="00CE1927" w:rsidRPr="00FA3856" w:rsidRDefault="00CE1927" w:rsidP="00C22B54">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pessoa jurídica pode deduzir, do imposto de renda devido em cada período de apuração, o total das doações efetuadas aos Fundos dos Direitos da Criança e do Adolescente nacional, estaduais ou municipais, devidamente comprovados.</w:t>
      </w:r>
    </w:p>
    <w:p w:rsidR="00C22B54" w:rsidRPr="00FA3856" w:rsidRDefault="00C22B54" w:rsidP="001A6818">
      <w:pPr>
        <w:pStyle w:val="NormalWeb"/>
        <w:spacing w:before="0" w:after="0"/>
        <w:jc w:val="both"/>
        <w:rPr>
          <w:rFonts w:ascii="Times New Roman" w:hAnsi="Times New Roman" w:cs="Times New Roman"/>
          <w:szCs w:val="20"/>
        </w:rPr>
      </w:pPr>
    </w:p>
    <w:p w:rsidR="00C22B54" w:rsidRPr="00FA3856" w:rsidRDefault="00CE1927" w:rsidP="00C22B54">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O limite máximo de dedução permitida a título de doações aos Fundos dos Direitos da Criança e do Adolescente nacional, estaduais ou municipais, é de 1% do imposto devido, antes do adicional, com base:</w:t>
      </w:r>
    </w:p>
    <w:p w:rsidR="00CE1927" w:rsidRPr="00FA3856" w:rsidRDefault="00CE1927" w:rsidP="00C22B54">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a) no lucro real trimestral;</w:t>
      </w:r>
    </w:p>
    <w:p w:rsidR="00CE1927" w:rsidRPr="00FA3856" w:rsidRDefault="00CE1927" w:rsidP="00C22B54">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b) no lucro real apurado no ajuste anual.</w:t>
      </w:r>
    </w:p>
    <w:p w:rsidR="00C22B54" w:rsidRPr="00FA3856" w:rsidRDefault="00C22B54" w:rsidP="001A6818">
      <w:pPr>
        <w:pStyle w:val="NormalWeb"/>
        <w:spacing w:before="0" w:after="0"/>
        <w:jc w:val="both"/>
        <w:rPr>
          <w:rFonts w:ascii="Times New Roman" w:hAnsi="Times New Roman" w:cs="Times New Roman"/>
          <w:szCs w:val="20"/>
        </w:rPr>
      </w:pPr>
    </w:p>
    <w:p w:rsidR="00CE1927" w:rsidRPr="00FA3856" w:rsidRDefault="00CE1927" w:rsidP="00C22B54">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dedução também se aplica ao imposto determinado com base no lucro estimado, calculado com base na receita bruta e acréscimos. Porém, o valor deduzido do imposto com base no lucro estimado:</w:t>
      </w:r>
    </w:p>
    <w:p w:rsidR="00CE1927" w:rsidRPr="00FA3856" w:rsidRDefault="00CE1927" w:rsidP="00C22B54">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a) não será considerado imposto pago por estimativa; e</w:t>
      </w:r>
    </w:p>
    <w:p w:rsidR="00CE1927" w:rsidRPr="00FA3856" w:rsidRDefault="00CE1927" w:rsidP="00C22B54">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 xml:space="preserve">b) deve compor o valor a ser deduzido </w:t>
      </w:r>
      <w:bookmarkStart w:id="150" w:name="subitem_15.7.4"/>
      <w:bookmarkEnd w:id="150"/>
      <w:r w:rsidRPr="00FA3856">
        <w:rPr>
          <w:rFonts w:ascii="Times New Roman" w:hAnsi="Times New Roman" w:cs="Times New Roman"/>
          <w:szCs w:val="20"/>
        </w:rPr>
        <w:t>do imposto devido no ajuste anual.</w:t>
      </w:r>
    </w:p>
    <w:p w:rsidR="00CE1927" w:rsidRPr="00FA3856" w:rsidRDefault="00CE1927" w:rsidP="00C22B54">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lastRenderedPageBreak/>
        <w:t>O limite de dedução no percentual de 1% (um por cento) do IRPJ devido será considerado isoladamente.</w:t>
      </w:r>
    </w:p>
    <w:p w:rsidR="00C22B54" w:rsidRPr="00FA3856" w:rsidRDefault="00C22B54" w:rsidP="001A6818">
      <w:pPr>
        <w:pStyle w:val="NormalWeb"/>
        <w:spacing w:before="0" w:after="0"/>
        <w:jc w:val="both"/>
        <w:rPr>
          <w:rFonts w:ascii="Times New Roman" w:hAnsi="Times New Roman" w:cs="Times New Roman"/>
          <w:szCs w:val="20"/>
        </w:rPr>
      </w:pPr>
    </w:p>
    <w:p w:rsidR="00CE1927" w:rsidRPr="00FA3856" w:rsidRDefault="00CE1927" w:rsidP="00C22B54">
      <w:pPr>
        <w:pStyle w:val="NormalWeb"/>
        <w:spacing w:before="0" w:after="0"/>
        <w:ind w:firstLine="601"/>
        <w:jc w:val="both"/>
        <w:rPr>
          <w:rFonts w:ascii="Times New Roman" w:hAnsi="Times New Roman" w:cs="Times New Roman"/>
          <w:szCs w:val="20"/>
        </w:rPr>
      </w:pPr>
      <w:r w:rsidRPr="00FA3856">
        <w:rPr>
          <w:rFonts w:ascii="Times New Roman" w:hAnsi="Times New Roman" w:cs="Times New Roman"/>
          <w:szCs w:val="20"/>
        </w:rPr>
        <w:t>Eventuais excessos ao limite de 1% de dedução não podem ser utilizados em período de apuração posterior.</w:t>
      </w:r>
    </w:p>
    <w:p w:rsidR="00C22B54" w:rsidRPr="00FA3856" w:rsidRDefault="00C22B54" w:rsidP="001A6818">
      <w:pPr>
        <w:pStyle w:val="NormalWeb"/>
        <w:spacing w:before="0" w:after="0"/>
        <w:ind w:left="601"/>
        <w:jc w:val="both"/>
        <w:rPr>
          <w:rFonts w:ascii="Times New Roman" w:hAnsi="Times New Roman" w:cs="Times New Roman"/>
          <w:b/>
          <w:bCs/>
          <w:szCs w:val="20"/>
        </w:rPr>
      </w:pPr>
    </w:p>
    <w:p w:rsidR="00CE1927" w:rsidRPr="00FA3856" w:rsidRDefault="00CE1927" w:rsidP="00C22B54">
      <w:pPr>
        <w:pStyle w:val="NormalWeb"/>
        <w:spacing w:before="0" w:after="0"/>
        <w:ind w:left="601"/>
        <w:jc w:val="both"/>
        <w:rPr>
          <w:rFonts w:ascii="Times New Roman" w:hAnsi="Times New Roman" w:cs="Times New Roman"/>
          <w:szCs w:val="20"/>
        </w:rPr>
      </w:pPr>
      <w:r w:rsidRPr="00FA3856">
        <w:rPr>
          <w:rFonts w:ascii="Times New Roman" w:hAnsi="Times New Roman" w:cs="Times New Roman"/>
          <w:b/>
          <w:bCs/>
          <w:szCs w:val="20"/>
        </w:rPr>
        <w:t>Atenção:</w:t>
      </w:r>
      <w:r w:rsidR="00C22B54" w:rsidRPr="00FA3856">
        <w:rPr>
          <w:rFonts w:ascii="Times New Roman" w:hAnsi="Times New Roman" w:cs="Times New Roman"/>
          <w:szCs w:val="20"/>
        </w:rPr>
        <w:t xml:space="preserve"> </w:t>
      </w:r>
      <w:r w:rsidRPr="00FA3856">
        <w:rPr>
          <w:rFonts w:ascii="Times New Roman" w:hAnsi="Times New Roman" w:cs="Times New Roman"/>
          <w:szCs w:val="20"/>
        </w:rPr>
        <w:t>O valor correspondente às doações efetuadas não é dedutível como despesa operacional na determinação do lucro real e da base de cálculo da contribuição social sobre o lucro líquido (Lei n</w:t>
      </w:r>
      <w:r w:rsidRPr="00FA3856">
        <w:rPr>
          <w:rFonts w:ascii="Times New Roman" w:hAnsi="Times New Roman" w:cs="Times New Roman"/>
          <w:strike/>
          <w:szCs w:val="20"/>
        </w:rPr>
        <w:t>º</w:t>
      </w:r>
      <w:r w:rsidRPr="00FA3856">
        <w:rPr>
          <w:rFonts w:ascii="Times New Roman" w:hAnsi="Times New Roman" w:cs="Times New Roman"/>
          <w:szCs w:val="20"/>
        </w:rPr>
        <w:t xml:space="preserve"> 9.249, de 1995, art. 13, inciso VI).</w:t>
      </w:r>
    </w:p>
    <w:p w:rsidR="00C22B54" w:rsidRPr="00FA3856" w:rsidRDefault="00C22B54" w:rsidP="001A6818">
      <w:pPr>
        <w:pStyle w:val="NormalWeb"/>
        <w:spacing w:before="0" w:after="0"/>
        <w:jc w:val="both"/>
        <w:rPr>
          <w:rFonts w:ascii="Times New Roman" w:hAnsi="Times New Roman" w:cs="Times New Roman"/>
          <w:b/>
          <w:bCs/>
          <w:szCs w:val="20"/>
        </w:rPr>
      </w:pPr>
    </w:p>
    <w:p w:rsidR="00CE1927" w:rsidRPr="00FA3856" w:rsidRDefault="00B14A83" w:rsidP="001A6818">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t xml:space="preserve">V.5) </w:t>
      </w:r>
      <w:r w:rsidR="00CE1927" w:rsidRPr="00FA3856">
        <w:rPr>
          <w:rFonts w:ascii="Times New Roman" w:hAnsi="Times New Roman" w:cs="Times New Roman"/>
          <w:b/>
          <w:bCs/>
          <w:szCs w:val="20"/>
        </w:rPr>
        <w:t>Atividades de Caráter Desportivo</w:t>
      </w:r>
    </w:p>
    <w:p w:rsidR="00C22B54" w:rsidRPr="00FA3856" w:rsidRDefault="00C22B54" w:rsidP="001A6818">
      <w:pPr>
        <w:pStyle w:val="NormalWeb"/>
        <w:spacing w:before="0" w:after="0"/>
        <w:jc w:val="both"/>
        <w:rPr>
          <w:rFonts w:ascii="Times New Roman" w:hAnsi="Times New Roman" w:cs="Times New Roman"/>
          <w:szCs w:val="20"/>
        </w:rPr>
      </w:pPr>
    </w:p>
    <w:p w:rsidR="00CE1927" w:rsidRPr="00FA3856" w:rsidRDefault="00CE1927" w:rsidP="00C22B54">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partir do ano-calendário de 2007, e até o ano-calendário de 2015, inclusive, poderão ser deduzidos do imposto devido pela pessoa jurídica tributada com base no lucro real os valores despendidos a título de patrocínio ou doação, no apoio direto a projetos desportivos e paradesportivos previamente aprovados pelo Ministério do Esporte (Decreto n</w:t>
      </w:r>
      <w:r w:rsidRPr="00FA3856">
        <w:rPr>
          <w:rFonts w:ascii="Times New Roman" w:hAnsi="Times New Roman" w:cs="Times New Roman"/>
          <w:strike/>
          <w:szCs w:val="20"/>
        </w:rPr>
        <w:t>º</w:t>
      </w:r>
      <w:r w:rsidRPr="00FA3856">
        <w:rPr>
          <w:rFonts w:ascii="Times New Roman" w:hAnsi="Times New Roman" w:cs="Times New Roman"/>
          <w:szCs w:val="20"/>
        </w:rPr>
        <w:t xml:space="preserve"> 6.180, de 2007, art. 1</w:t>
      </w:r>
      <w:r w:rsidRPr="00FA3856">
        <w:rPr>
          <w:rFonts w:ascii="Times New Roman" w:hAnsi="Times New Roman" w:cs="Times New Roman"/>
          <w:strike/>
          <w:szCs w:val="20"/>
        </w:rPr>
        <w:t>º</w:t>
      </w:r>
      <w:r w:rsidRPr="00FA3856">
        <w:rPr>
          <w:rFonts w:ascii="Times New Roman" w:hAnsi="Times New Roman" w:cs="Times New Roman"/>
          <w:szCs w:val="20"/>
        </w:rPr>
        <w:t>).</w:t>
      </w:r>
    </w:p>
    <w:p w:rsidR="00C22B54" w:rsidRPr="00FA3856" w:rsidRDefault="00C22B54" w:rsidP="001A6818">
      <w:pPr>
        <w:pStyle w:val="NormalWeb"/>
        <w:spacing w:before="0" w:after="0"/>
        <w:jc w:val="both"/>
        <w:rPr>
          <w:rFonts w:ascii="Times New Roman" w:hAnsi="Times New Roman" w:cs="Times New Roman"/>
          <w:szCs w:val="20"/>
        </w:rPr>
      </w:pPr>
    </w:p>
    <w:p w:rsidR="00CE1927" w:rsidRPr="00FA3856" w:rsidRDefault="00CE1927" w:rsidP="00C22B54">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As deduções relativas às atividades de caráter desportivo ficam limitadas a 1% (um por cento) do imposto devido antes do adicional, com base (Decreto n</w:t>
      </w:r>
      <w:r w:rsidRPr="00FA3856">
        <w:rPr>
          <w:rFonts w:ascii="Times New Roman" w:hAnsi="Times New Roman" w:cs="Times New Roman"/>
          <w:strike/>
          <w:szCs w:val="20"/>
        </w:rPr>
        <w:t>º</w:t>
      </w:r>
      <w:r w:rsidRPr="00FA3856">
        <w:rPr>
          <w:rFonts w:ascii="Times New Roman" w:hAnsi="Times New Roman" w:cs="Times New Roman"/>
          <w:szCs w:val="20"/>
        </w:rPr>
        <w:t xml:space="preserve"> 6.180, de 2007, art. 1</w:t>
      </w:r>
      <w:r w:rsidRPr="00FA3856">
        <w:rPr>
          <w:rFonts w:ascii="Times New Roman" w:hAnsi="Times New Roman" w:cs="Times New Roman"/>
          <w:strike/>
          <w:szCs w:val="20"/>
        </w:rPr>
        <w:t>º</w:t>
      </w:r>
      <w:r w:rsidRPr="00FA3856">
        <w:rPr>
          <w:rFonts w:ascii="Times New Roman" w:hAnsi="Times New Roman" w:cs="Times New Roman"/>
          <w:szCs w:val="20"/>
        </w:rPr>
        <w:t xml:space="preserve"> § 1</w:t>
      </w:r>
      <w:r w:rsidRPr="00FA3856">
        <w:rPr>
          <w:rFonts w:ascii="Times New Roman" w:hAnsi="Times New Roman" w:cs="Times New Roman"/>
          <w:strike/>
          <w:szCs w:val="20"/>
        </w:rPr>
        <w:t>º</w:t>
      </w:r>
    </w:p>
    <w:p w:rsidR="00CE1927" w:rsidRPr="00FA3856" w:rsidRDefault="00CE1927" w:rsidP="00C22B54">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a) no lucro real trimestral;</w:t>
      </w:r>
    </w:p>
    <w:p w:rsidR="00CE1927" w:rsidRPr="00FA3856" w:rsidRDefault="00CE1927" w:rsidP="00C22B54">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b) no lucro real apurado no ajuste anual.</w:t>
      </w:r>
    </w:p>
    <w:p w:rsidR="00C22B54" w:rsidRPr="00FA3856" w:rsidRDefault="00C22B54" w:rsidP="001A6818">
      <w:pPr>
        <w:pStyle w:val="NormalWeb"/>
        <w:spacing w:before="0" w:after="0"/>
        <w:jc w:val="both"/>
        <w:rPr>
          <w:rFonts w:ascii="Times New Roman" w:hAnsi="Times New Roman" w:cs="Times New Roman"/>
          <w:szCs w:val="20"/>
        </w:rPr>
      </w:pPr>
    </w:p>
    <w:p w:rsidR="00CE1927" w:rsidRPr="00FA3856" w:rsidRDefault="00CE1927" w:rsidP="00C22B54">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dedução também se aplica ao imposto determinado com base no lucro estimado, calculado com base na receita bruta e acréscimos. Porém, o valor deduzido do imposto com base no</w:t>
      </w:r>
      <w:bookmarkStart w:id="151" w:name="subitem_15.7.5"/>
      <w:bookmarkEnd w:id="151"/>
      <w:r w:rsidRPr="00FA3856">
        <w:rPr>
          <w:rFonts w:ascii="Times New Roman" w:hAnsi="Times New Roman" w:cs="Times New Roman"/>
          <w:szCs w:val="20"/>
        </w:rPr>
        <w:t xml:space="preserve"> lucro estimado:</w:t>
      </w:r>
    </w:p>
    <w:p w:rsidR="00CE1927" w:rsidRPr="00FA3856" w:rsidRDefault="00CE1927" w:rsidP="00C22B54">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a) não será considerado imposto pago por estimativa; e</w:t>
      </w:r>
    </w:p>
    <w:p w:rsidR="00CE1927" w:rsidRPr="00FA3856" w:rsidRDefault="00CE1927" w:rsidP="00C22B54">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b) deve compor o valor a ser deduzido do imposto devido no ajuste anual.</w:t>
      </w:r>
    </w:p>
    <w:p w:rsidR="00C22B54" w:rsidRPr="00FA3856" w:rsidRDefault="00C22B54" w:rsidP="001A6818">
      <w:pPr>
        <w:pStyle w:val="NormalWeb"/>
        <w:spacing w:before="0" w:after="0"/>
        <w:jc w:val="both"/>
        <w:rPr>
          <w:rFonts w:ascii="Times New Roman" w:hAnsi="Times New Roman" w:cs="Times New Roman"/>
          <w:szCs w:val="20"/>
        </w:rPr>
      </w:pPr>
    </w:p>
    <w:p w:rsidR="00CE1927" w:rsidRPr="00FA3856" w:rsidRDefault="00CE1927" w:rsidP="00C22B54">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O limite de dedução no percentual de 1% (um por cento) do IRPJ devido, de que trata o § 2</w:t>
      </w:r>
      <w:r w:rsidRPr="00FA3856">
        <w:rPr>
          <w:rFonts w:ascii="Times New Roman" w:hAnsi="Times New Roman" w:cs="Times New Roman"/>
          <w:strike/>
          <w:szCs w:val="20"/>
        </w:rPr>
        <w:t>º</w:t>
      </w:r>
      <w:r w:rsidRPr="00FA3856">
        <w:rPr>
          <w:rFonts w:ascii="Times New Roman" w:hAnsi="Times New Roman" w:cs="Times New Roman"/>
          <w:szCs w:val="20"/>
        </w:rPr>
        <w:t xml:space="preserve"> será considerado isoladamente, não se submetendo a limite conjunto com outras deduções do IRPJ a título de incentivo.</w:t>
      </w:r>
    </w:p>
    <w:p w:rsidR="00C22B54" w:rsidRPr="00FA3856" w:rsidRDefault="00C22B54" w:rsidP="001A6818">
      <w:pPr>
        <w:pStyle w:val="NormalWeb"/>
        <w:spacing w:before="0" w:after="0"/>
        <w:jc w:val="both"/>
        <w:rPr>
          <w:rFonts w:ascii="Times New Roman" w:hAnsi="Times New Roman" w:cs="Times New Roman"/>
          <w:szCs w:val="20"/>
        </w:rPr>
      </w:pPr>
    </w:p>
    <w:p w:rsidR="00CE1927" w:rsidRPr="00FA3856" w:rsidRDefault="00CE1927" w:rsidP="00C22B54">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Eventuais excessos ao limite de 1% de dedução não podem ser utilizados em período de apuração posterior.</w:t>
      </w:r>
    </w:p>
    <w:p w:rsidR="00C22B54" w:rsidRPr="00FA3856" w:rsidRDefault="00C22B54" w:rsidP="001A6818">
      <w:pPr>
        <w:pStyle w:val="NormalWeb"/>
        <w:spacing w:before="0" w:after="0"/>
        <w:jc w:val="both"/>
        <w:rPr>
          <w:rFonts w:ascii="Times New Roman" w:hAnsi="Times New Roman" w:cs="Times New Roman"/>
          <w:szCs w:val="20"/>
        </w:rPr>
      </w:pPr>
    </w:p>
    <w:p w:rsidR="00CE1927" w:rsidRPr="00FA3856" w:rsidRDefault="00CE1927" w:rsidP="00C22B54">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O valor das doações e patrocínios não poderá ser deduzido como despesa para fins de determinação do lucro real e da base de cálculo da CSLL.</w:t>
      </w:r>
    </w:p>
    <w:p w:rsidR="00C22B54" w:rsidRPr="00FA3856" w:rsidRDefault="00C22B54" w:rsidP="001A6818">
      <w:pPr>
        <w:pStyle w:val="NormalWeb"/>
        <w:spacing w:before="0" w:after="0"/>
        <w:jc w:val="both"/>
        <w:rPr>
          <w:rFonts w:ascii="Times New Roman" w:hAnsi="Times New Roman" w:cs="Times New Roman"/>
          <w:szCs w:val="20"/>
        </w:rPr>
      </w:pPr>
    </w:p>
    <w:p w:rsidR="00CE1927" w:rsidRPr="00FA3856" w:rsidRDefault="00CE1927" w:rsidP="00C22B54">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dedução corresponderá somente ao valor dos investimentos efetuados dentro do respectivo período de apuração.</w:t>
      </w:r>
    </w:p>
    <w:p w:rsidR="00C22B54" w:rsidRPr="00FA3856" w:rsidRDefault="00C22B54" w:rsidP="001A6818">
      <w:pPr>
        <w:pStyle w:val="NormalWeb"/>
        <w:spacing w:before="0" w:after="0"/>
        <w:jc w:val="both"/>
        <w:rPr>
          <w:rFonts w:ascii="Times New Roman" w:hAnsi="Times New Roman" w:cs="Times New Roman"/>
          <w:szCs w:val="20"/>
        </w:rPr>
      </w:pPr>
    </w:p>
    <w:p w:rsidR="00CE1927" w:rsidRPr="00FA3856" w:rsidRDefault="00CE1927" w:rsidP="00C22B54">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Não são dedutíveis os valores destinados a patrocínio ou doação em favor de projetos que beneficiem, direta ou indiretamente, pessoa física ou jurídica vinculada a doador ou patrocinador (Decreto n</w:t>
      </w:r>
      <w:r w:rsidRPr="00FA3856">
        <w:rPr>
          <w:rFonts w:ascii="Times New Roman" w:hAnsi="Times New Roman" w:cs="Times New Roman"/>
          <w:strike/>
          <w:szCs w:val="20"/>
        </w:rPr>
        <w:t>º</w:t>
      </w:r>
      <w:r w:rsidRPr="00FA3856">
        <w:rPr>
          <w:rFonts w:ascii="Times New Roman" w:hAnsi="Times New Roman" w:cs="Times New Roman"/>
          <w:szCs w:val="20"/>
        </w:rPr>
        <w:t xml:space="preserve"> 6.180, de 2007, art. 1</w:t>
      </w:r>
      <w:r w:rsidRPr="00FA3856">
        <w:rPr>
          <w:rFonts w:ascii="Times New Roman" w:hAnsi="Times New Roman" w:cs="Times New Roman"/>
          <w:strike/>
          <w:szCs w:val="20"/>
        </w:rPr>
        <w:t>º</w:t>
      </w:r>
      <w:r w:rsidRPr="00FA3856">
        <w:rPr>
          <w:rFonts w:ascii="Times New Roman" w:hAnsi="Times New Roman" w:cs="Times New Roman"/>
          <w:szCs w:val="20"/>
        </w:rPr>
        <w:t xml:space="preserve"> § 4</w:t>
      </w:r>
      <w:r w:rsidRPr="00FA3856">
        <w:rPr>
          <w:rFonts w:ascii="Times New Roman" w:hAnsi="Times New Roman" w:cs="Times New Roman"/>
          <w:strike/>
          <w:szCs w:val="20"/>
        </w:rPr>
        <w:t>º</w:t>
      </w:r>
      <w:r w:rsidRPr="00FA3856">
        <w:rPr>
          <w:rFonts w:ascii="Times New Roman" w:hAnsi="Times New Roman" w:cs="Times New Roman"/>
          <w:szCs w:val="20"/>
        </w:rPr>
        <w:t>).</w:t>
      </w:r>
    </w:p>
    <w:p w:rsidR="00C22B54" w:rsidRPr="00FA3856" w:rsidRDefault="00C22B54" w:rsidP="001A6818">
      <w:pPr>
        <w:pStyle w:val="NormalWeb"/>
        <w:spacing w:before="0" w:after="0"/>
        <w:jc w:val="both"/>
        <w:rPr>
          <w:rFonts w:ascii="Times New Roman" w:hAnsi="Times New Roman" w:cs="Times New Roman"/>
          <w:szCs w:val="20"/>
        </w:rPr>
      </w:pPr>
    </w:p>
    <w:p w:rsidR="00CE1927" w:rsidRPr="00FA3856" w:rsidRDefault="00CE1927" w:rsidP="00C22B54">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Na hipótese de o projeto desportivo ou paradesportivo versar sobre a dedução do imposto a título de doação mediante a distribuição gratuita de ingresso para eventos de caráter desportivo e paradesportivo a empregados da pessoa jurídica e seus dependentes legais ou a integrantes de comunidades de vulnerabilidade social, dele deverá constar, necessariamente (Decreto n</w:t>
      </w:r>
      <w:r w:rsidRPr="00FA3856">
        <w:rPr>
          <w:rFonts w:ascii="Times New Roman" w:hAnsi="Times New Roman" w:cs="Times New Roman"/>
          <w:strike/>
          <w:szCs w:val="20"/>
        </w:rPr>
        <w:t>º</w:t>
      </w:r>
      <w:r w:rsidRPr="00FA3856">
        <w:rPr>
          <w:rFonts w:ascii="Times New Roman" w:hAnsi="Times New Roman" w:cs="Times New Roman"/>
          <w:szCs w:val="20"/>
        </w:rPr>
        <w:t xml:space="preserve"> 6.180, de 2007, art. 10):</w:t>
      </w:r>
    </w:p>
    <w:p w:rsidR="00CE1927" w:rsidRPr="00FA3856" w:rsidRDefault="00CE1927" w:rsidP="00C22B54">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a) a quantidade prevista de ingressos que serão distribuídos;</w:t>
      </w:r>
    </w:p>
    <w:p w:rsidR="00CE1927" w:rsidRPr="00FA3856" w:rsidRDefault="00CE1927" w:rsidP="00C22B54">
      <w:pPr>
        <w:pStyle w:val="NormalWeb"/>
        <w:spacing w:before="0" w:after="0"/>
        <w:ind w:left="1416"/>
        <w:jc w:val="both"/>
        <w:rPr>
          <w:rFonts w:ascii="Times New Roman" w:hAnsi="Times New Roman" w:cs="Times New Roman"/>
          <w:szCs w:val="20"/>
        </w:rPr>
      </w:pPr>
      <w:r w:rsidRPr="00FA3856">
        <w:rPr>
          <w:rFonts w:ascii="Times New Roman" w:hAnsi="Times New Roman" w:cs="Times New Roman"/>
          <w:szCs w:val="20"/>
        </w:rPr>
        <w:t xml:space="preserve">b) o valor unitário do ingresso que será igual ou inferior ao definido pela entidade promotora do evento desportivo, que deverá guardar compatibilidade com outros eventos da mesma natureza; e </w:t>
      </w:r>
    </w:p>
    <w:p w:rsidR="00CE1927" w:rsidRPr="00FA3856" w:rsidRDefault="00CE1927" w:rsidP="00C22B54">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c) a comunidade de vulnerabilidade social beneficiária da distribuição gratuita dos ingressos individuais, se for o caso. </w:t>
      </w:r>
    </w:p>
    <w:p w:rsidR="00CE1927" w:rsidRPr="00FA3856" w:rsidRDefault="00CE1927" w:rsidP="00C22B54">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lastRenderedPageBreak/>
        <w:t>Os projetos desportivos e paradesportivos, em cujo favor serão captados e direcionados os recursos oriundos dos incentivos previstos deverão atender a pelo menos uma das seguintes manifestações (Decreto n</w:t>
      </w:r>
      <w:r w:rsidRPr="00FA3856">
        <w:rPr>
          <w:rFonts w:ascii="Times New Roman" w:hAnsi="Times New Roman" w:cs="Times New Roman"/>
          <w:strike/>
          <w:szCs w:val="20"/>
        </w:rPr>
        <w:t>º</w:t>
      </w:r>
      <w:r w:rsidRPr="00FA3856">
        <w:rPr>
          <w:rFonts w:ascii="Times New Roman" w:hAnsi="Times New Roman" w:cs="Times New Roman"/>
          <w:szCs w:val="20"/>
        </w:rPr>
        <w:t xml:space="preserve"> 6.180, de 2007, art. 4º):</w:t>
      </w:r>
    </w:p>
    <w:p w:rsidR="00CE1927" w:rsidRPr="00FA3856" w:rsidRDefault="00CE1927" w:rsidP="00C22B54">
      <w:pPr>
        <w:pStyle w:val="NormalWeb"/>
        <w:spacing w:before="0" w:after="0"/>
        <w:ind w:left="1416"/>
        <w:jc w:val="both"/>
        <w:rPr>
          <w:rFonts w:ascii="Times New Roman" w:hAnsi="Times New Roman" w:cs="Times New Roman"/>
          <w:szCs w:val="20"/>
        </w:rPr>
      </w:pPr>
      <w:r w:rsidRPr="00FA3856">
        <w:rPr>
          <w:rFonts w:ascii="Times New Roman" w:hAnsi="Times New Roman" w:cs="Times New Roman"/>
          <w:szCs w:val="20"/>
        </w:rPr>
        <w:t>a) desporto educacional, cujo público beneficiário deverá ser de alunos regularmente matriculados em instituição de ensino de qualquer sistema, nos termos dos arts. 16 a 20 da Lei n</w:t>
      </w:r>
      <w:r w:rsidRPr="00FA3856">
        <w:rPr>
          <w:rFonts w:ascii="Times New Roman" w:hAnsi="Times New Roman" w:cs="Times New Roman"/>
          <w:strike/>
          <w:szCs w:val="20"/>
        </w:rPr>
        <w:t>º</w:t>
      </w:r>
      <w:r w:rsidRPr="00FA3856">
        <w:rPr>
          <w:rFonts w:ascii="Times New Roman" w:hAnsi="Times New Roman" w:cs="Times New Roman"/>
          <w:szCs w:val="20"/>
        </w:rPr>
        <w:t xml:space="preserve"> 9.394, de 20 de dezembro de 1996, evitando-se a seletividade e a hipercompetitividade de seus praticantes, com a finalidade de alcançar o desenvolvimento integral do indivíduo e a sua formação para o exercício da cidadania e a prática do lazer;</w:t>
      </w:r>
    </w:p>
    <w:p w:rsidR="00CE1927" w:rsidRPr="00FA3856" w:rsidRDefault="00CE1927" w:rsidP="00C22B54">
      <w:pPr>
        <w:pStyle w:val="NormalWeb"/>
        <w:spacing w:before="0" w:after="0"/>
        <w:ind w:left="1416"/>
        <w:jc w:val="both"/>
        <w:rPr>
          <w:rFonts w:ascii="Times New Roman" w:hAnsi="Times New Roman" w:cs="Times New Roman"/>
          <w:szCs w:val="20"/>
        </w:rPr>
      </w:pPr>
      <w:r w:rsidRPr="00FA3856">
        <w:rPr>
          <w:rFonts w:ascii="Times New Roman" w:hAnsi="Times New Roman" w:cs="Times New Roman"/>
          <w:szCs w:val="20"/>
        </w:rPr>
        <w:t>b) desporto de participação, caracterizado pela prática voluntária, compreendendo as modalidades desportivas com finalidade de contribuir para a integração dos praticantes na plenitude da vida social, na promoção da saúde e educação e na preservação do meio ambiente; e</w:t>
      </w:r>
    </w:p>
    <w:p w:rsidR="00CE1927" w:rsidRPr="00FA3856" w:rsidRDefault="00CE1927" w:rsidP="00C22B54">
      <w:pPr>
        <w:pStyle w:val="NormalWeb"/>
        <w:spacing w:before="0" w:after="0"/>
        <w:ind w:left="1416"/>
        <w:jc w:val="both"/>
        <w:rPr>
          <w:rFonts w:ascii="Times New Roman" w:hAnsi="Times New Roman" w:cs="Times New Roman"/>
          <w:szCs w:val="20"/>
        </w:rPr>
      </w:pPr>
      <w:r w:rsidRPr="00FA3856">
        <w:rPr>
          <w:rFonts w:ascii="Times New Roman" w:hAnsi="Times New Roman" w:cs="Times New Roman"/>
          <w:szCs w:val="20"/>
        </w:rPr>
        <w:t>c) desporto de rendimento, praticado segundo regras nacionais e internacionais, com a finalidade de obter resultados, integrar pessoas e comunidades do País e estas com as de outras nações.</w:t>
      </w:r>
    </w:p>
    <w:p w:rsidR="00C22B54" w:rsidRPr="00FA3856" w:rsidRDefault="00C22B54" w:rsidP="001A6818">
      <w:pPr>
        <w:pStyle w:val="NormalWeb"/>
        <w:spacing w:before="0" w:after="0"/>
        <w:jc w:val="both"/>
        <w:rPr>
          <w:rFonts w:ascii="Times New Roman" w:hAnsi="Times New Roman" w:cs="Times New Roman"/>
          <w:b/>
          <w:bCs/>
          <w:szCs w:val="20"/>
        </w:rPr>
      </w:pPr>
    </w:p>
    <w:p w:rsidR="00CE1927" w:rsidRPr="00FA3856" w:rsidRDefault="00B14A83" w:rsidP="001A6818">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t xml:space="preserve">V.6) </w:t>
      </w:r>
      <w:r w:rsidR="00CE1927" w:rsidRPr="00FA3856">
        <w:rPr>
          <w:rFonts w:ascii="Times New Roman" w:hAnsi="Times New Roman" w:cs="Times New Roman"/>
          <w:b/>
          <w:bCs/>
          <w:szCs w:val="20"/>
        </w:rPr>
        <w:t xml:space="preserve">Fundos Nacional, Estaduais ou Municipais do Idoso </w:t>
      </w:r>
    </w:p>
    <w:p w:rsidR="00C22B54" w:rsidRPr="00FA3856" w:rsidRDefault="00C22B54" w:rsidP="001A6818">
      <w:pPr>
        <w:pStyle w:val="NormalWeb"/>
        <w:spacing w:before="0" w:after="0"/>
        <w:jc w:val="both"/>
        <w:rPr>
          <w:rFonts w:ascii="Times New Roman" w:hAnsi="Times New Roman" w:cs="Times New Roman"/>
          <w:szCs w:val="20"/>
        </w:rPr>
      </w:pPr>
    </w:p>
    <w:p w:rsidR="00CE1927" w:rsidRPr="00A63445" w:rsidRDefault="00CE1927" w:rsidP="00C22B54">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partir de 1</w:t>
      </w:r>
      <w:r w:rsidRPr="00FA3856">
        <w:rPr>
          <w:rFonts w:ascii="Times New Roman" w:hAnsi="Times New Roman" w:cs="Times New Roman"/>
          <w:strike/>
          <w:szCs w:val="20"/>
        </w:rPr>
        <w:t>º</w:t>
      </w:r>
      <w:r w:rsidRPr="00FA3856">
        <w:rPr>
          <w:rFonts w:ascii="Times New Roman" w:hAnsi="Times New Roman" w:cs="Times New Roman"/>
          <w:szCs w:val="20"/>
        </w:rPr>
        <w:t xml:space="preserve"> de janeiro de 2011, a pessoa jurídica poderá deduzir do IRPJ devido, em cada período de apuração, o total das doações feitas ao Fundo Nacional do Idoso devidamente comprovadas, vedada a dedução como despesa operacional. (Lei n</w:t>
      </w:r>
      <w:r w:rsidRPr="00FA3856">
        <w:rPr>
          <w:rFonts w:ascii="Times New Roman" w:hAnsi="Times New Roman" w:cs="Times New Roman"/>
          <w:strike/>
          <w:szCs w:val="20"/>
        </w:rPr>
        <w:t>º</w:t>
      </w:r>
      <w:r w:rsidRPr="00FA3856">
        <w:rPr>
          <w:rFonts w:ascii="Times New Roman" w:hAnsi="Times New Roman" w:cs="Times New Roman"/>
          <w:szCs w:val="20"/>
        </w:rPr>
        <w:t xml:space="preserve"> 12.213, de 2010, art. 3</w:t>
      </w:r>
      <w:r w:rsidR="00A63445">
        <w:rPr>
          <w:rFonts w:ascii="Times New Roman" w:hAnsi="Times New Roman" w:cs="Times New Roman"/>
          <w:szCs w:val="20"/>
          <w:u w:val="single"/>
          <w:vertAlign w:val="superscript"/>
        </w:rPr>
        <w:t>o</w:t>
      </w:r>
      <w:r w:rsidR="00A63445">
        <w:rPr>
          <w:rFonts w:ascii="Times New Roman" w:hAnsi="Times New Roman" w:cs="Times New Roman"/>
          <w:szCs w:val="20"/>
        </w:rPr>
        <w:t>).</w:t>
      </w:r>
    </w:p>
    <w:p w:rsidR="00C22B54" w:rsidRPr="00FA3856" w:rsidRDefault="00C22B54" w:rsidP="001A6818">
      <w:pPr>
        <w:pStyle w:val="NormalWeb"/>
        <w:spacing w:before="0" w:after="0"/>
        <w:jc w:val="both"/>
        <w:rPr>
          <w:rFonts w:ascii="Times New Roman" w:hAnsi="Times New Roman" w:cs="Times New Roman"/>
          <w:szCs w:val="20"/>
        </w:rPr>
      </w:pPr>
    </w:p>
    <w:p w:rsidR="00CE1927" w:rsidRPr="00FA3856" w:rsidRDefault="00CE1927" w:rsidP="00C22B54">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Somente será dedutível a doação efetivamente realizada no período de apuração do IRPJ.</w:t>
      </w:r>
    </w:p>
    <w:p w:rsidR="00C22B54" w:rsidRPr="00FA3856" w:rsidRDefault="00C22B54" w:rsidP="001A6818">
      <w:pPr>
        <w:pStyle w:val="NormalWeb"/>
        <w:spacing w:before="0" w:after="0"/>
        <w:jc w:val="both"/>
        <w:rPr>
          <w:rFonts w:ascii="Times New Roman" w:hAnsi="Times New Roman" w:cs="Times New Roman"/>
          <w:szCs w:val="20"/>
        </w:rPr>
      </w:pPr>
    </w:p>
    <w:p w:rsidR="00CE1927" w:rsidRPr="00FA3856" w:rsidRDefault="00CE1927" w:rsidP="00C22B54">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dedução não poderá exceder em cada período de apuração a 1% (um por cento) do IRPJ devido com base:</w:t>
      </w:r>
    </w:p>
    <w:p w:rsidR="00CE1927" w:rsidRPr="00FA3856" w:rsidRDefault="00CE1927" w:rsidP="00C22B54">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a) no lucro real trimestral; ou,</w:t>
      </w:r>
    </w:p>
    <w:p w:rsidR="00CE1927" w:rsidRPr="00FA3856" w:rsidRDefault="00CE1927" w:rsidP="00C22B54">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b) no lucro real apurado no ajuste anual.</w:t>
      </w:r>
    </w:p>
    <w:p w:rsidR="00C22B54" w:rsidRPr="00FA3856" w:rsidRDefault="00C22B54" w:rsidP="001A6818">
      <w:pPr>
        <w:pStyle w:val="NormalWeb"/>
        <w:spacing w:before="0" w:after="0"/>
        <w:jc w:val="both"/>
        <w:rPr>
          <w:rFonts w:ascii="Times New Roman" w:hAnsi="Times New Roman" w:cs="Times New Roman"/>
          <w:szCs w:val="20"/>
        </w:rPr>
      </w:pPr>
    </w:p>
    <w:p w:rsidR="00CE1927" w:rsidRPr="00FA3856" w:rsidRDefault="00CE1927" w:rsidP="00C22B54">
      <w:pPr>
        <w:pStyle w:val="NormalWeb"/>
        <w:spacing w:before="0" w:after="0"/>
        <w:ind w:left="708"/>
        <w:jc w:val="both"/>
        <w:rPr>
          <w:rFonts w:ascii="Times New Roman" w:hAnsi="Times New Roman" w:cs="Times New Roman"/>
          <w:szCs w:val="20"/>
        </w:rPr>
      </w:pPr>
      <w:r w:rsidRPr="00FA3856">
        <w:rPr>
          <w:rFonts w:ascii="Times New Roman" w:hAnsi="Times New Roman" w:cs="Times New Roman"/>
          <w:szCs w:val="20"/>
        </w:rPr>
        <w:t>O valor das doações excedente ao limite de dedução de 1% (um por cento) não poderá ser deduzido do IRPJ devido em períodos de apuração posteriores.</w:t>
      </w:r>
    </w:p>
    <w:p w:rsidR="00C22B54" w:rsidRPr="00FA3856" w:rsidRDefault="00C22B54" w:rsidP="001A6818">
      <w:pPr>
        <w:pStyle w:val="NormalWeb"/>
        <w:spacing w:before="0" w:after="0"/>
        <w:jc w:val="both"/>
        <w:rPr>
          <w:rFonts w:ascii="Times New Roman" w:hAnsi="Times New Roman" w:cs="Times New Roman"/>
          <w:szCs w:val="20"/>
        </w:rPr>
      </w:pPr>
    </w:p>
    <w:p w:rsidR="00CE1927" w:rsidRPr="00FA3856" w:rsidRDefault="00CE1927" w:rsidP="00C22B54">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dedução também se aplica ao IRPJ determinado com base no lucro estimado, calculado com base na rece</w:t>
      </w:r>
      <w:bookmarkStart w:id="152" w:name="subitem_15.7.6"/>
      <w:bookmarkEnd w:id="152"/>
      <w:r w:rsidRPr="00FA3856">
        <w:rPr>
          <w:rFonts w:ascii="Times New Roman" w:hAnsi="Times New Roman" w:cs="Times New Roman"/>
          <w:szCs w:val="20"/>
        </w:rPr>
        <w:t>ita bruta e acréscimos ou com base no resultado apurado em balanço ou balancete de redução.</w:t>
      </w:r>
    </w:p>
    <w:p w:rsidR="00C22B54" w:rsidRPr="00FA3856" w:rsidRDefault="00C22B54" w:rsidP="001A6818">
      <w:pPr>
        <w:pStyle w:val="NormalWeb"/>
        <w:spacing w:before="0" w:after="0"/>
        <w:jc w:val="both"/>
        <w:rPr>
          <w:rFonts w:ascii="Times New Roman" w:hAnsi="Times New Roman" w:cs="Times New Roman"/>
          <w:szCs w:val="20"/>
        </w:rPr>
      </w:pPr>
    </w:p>
    <w:p w:rsidR="00CE1927" w:rsidRPr="00FA3856" w:rsidRDefault="00CE1927" w:rsidP="00C22B54">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O valor deduzido do IRPJ com base no lucro estimado:</w:t>
      </w:r>
    </w:p>
    <w:p w:rsidR="00CE1927" w:rsidRPr="00FA3856" w:rsidRDefault="00CE1927" w:rsidP="00C22B54">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a) não será considerado IRPJ pago por estimativa; e</w:t>
      </w:r>
    </w:p>
    <w:p w:rsidR="00CE1927" w:rsidRPr="00FA3856" w:rsidRDefault="00CE1927" w:rsidP="00C22B54">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b) deve compor o valor a ser deduzido do IRPJ devido no ajuste anual.</w:t>
      </w:r>
    </w:p>
    <w:p w:rsidR="00C22B54" w:rsidRPr="00FA3856" w:rsidRDefault="00C22B54" w:rsidP="001A6818">
      <w:pPr>
        <w:pStyle w:val="NormalWeb"/>
        <w:spacing w:before="0" w:after="0"/>
        <w:jc w:val="both"/>
        <w:rPr>
          <w:rFonts w:ascii="Times New Roman" w:hAnsi="Times New Roman" w:cs="Times New Roman"/>
          <w:szCs w:val="20"/>
        </w:rPr>
      </w:pPr>
    </w:p>
    <w:p w:rsidR="00CE1927" w:rsidRPr="00FA3856" w:rsidRDefault="00CE1927" w:rsidP="00C22B54">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 xml:space="preserve">O valor total das quantias doadas não poderá ser deduzido do lucro </w:t>
      </w:r>
      <w:r w:rsidR="00B5790B" w:rsidRPr="00FA3856">
        <w:rPr>
          <w:rFonts w:ascii="Times New Roman" w:hAnsi="Times New Roman" w:cs="Times New Roman"/>
          <w:szCs w:val="20"/>
        </w:rPr>
        <w:t>líquido</w:t>
      </w:r>
      <w:r w:rsidRPr="00FA3856">
        <w:rPr>
          <w:rFonts w:ascii="Times New Roman" w:hAnsi="Times New Roman" w:cs="Times New Roman"/>
          <w:szCs w:val="20"/>
        </w:rPr>
        <w:t xml:space="preserve"> como despesas operacionais.</w:t>
      </w:r>
    </w:p>
    <w:p w:rsidR="00C22B54" w:rsidRPr="00FA3856" w:rsidRDefault="00C22B54" w:rsidP="001A6818">
      <w:pPr>
        <w:pStyle w:val="NormalWeb"/>
        <w:spacing w:before="0" w:after="0"/>
        <w:jc w:val="both"/>
        <w:rPr>
          <w:rFonts w:ascii="Times New Roman" w:hAnsi="Times New Roman" w:cs="Times New Roman"/>
          <w:szCs w:val="20"/>
        </w:rPr>
      </w:pPr>
    </w:p>
    <w:p w:rsidR="00CE1927" w:rsidRPr="00FA3856" w:rsidRDefault="00CE1927" w:rsidP="00C22B54">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O valor total das quantias doadas registrado na escrituração contábil como custo ou despesa operacional deverá ser adicionado ao lucro líquido para fins de apuração do lucro real e da base de cálculo da CSLL.</w:t>
      </w:r>
    </w:p>
    <w:p w:rsidR="00C22B54" w:rsidRPr="00FA3856" w:rsidRDefault="00C22B54" w:rsidP="00C22B54">
      <w:pPr>
        <w:pStyle w:val="NormalWeb"/>
        <w:spacing w:before="0" w:after="0"/>
        <w:ind w:firstLine="708"/>
        <w:jc w:val="both"/>
        <w:rPr>
          <w:rFonts w:ascii="Times New Roman" w:hAnsi="Times New Roman" w:cs="Times New Roman"/>
          <w:szCs w:val="20"/>
        </w:rPr>
      </w:pPr>
    </w:p>
    <w:p w:rsidR="00CE1927" w:rsidRPr="00FA3856" w:rsidRDefault="00CE1927" w:rsidP="00C22B54">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As doações podem ser efetuadas em moeda ou em bens.</w:t>
      </w:r>
    </w:p>
    <w:p w:rsidR="00C22B54" w:rsidRPr="00FA3856" w:rsidRDefault="00C22B54" w:rsidP="001A6818">
      <w:pPr>
        <w:pStyle w:val="NormalWeb"/>
        <w:spacing w:before="0" w:after="0"/>
        <w:jc w:val="both"/>
        <w:rPr>
          <w:rFonts w:ascii="Times New Roman" w:hAnsi="Times New Roman" w:cs="Times New Roman"/>
          <w:szCs w:val="20"/>
        </w:rPr>
      </w:pPr>
    </w:p>
    <w:p w:rsidR="00CE1927" w:rsidRPr="00FA3856" w:rsidRDefault="00CE1927" w:rsidP="00C22B54">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As doações efetuadas em moeda devem ser depositadas em conta específica, aberta em instituição financeira pública, vinculada ao Fundo Nacional do Idoso.</w:t>
      </w:r>
    </w:p>
    <w:p w:rsidR="00CE1927" w:rsidRPr="00FA3856" w:rsidRDefault="00CE1927" w:rsidP="001A6818">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p w:rsidR="00C22B54" w:rsidRPr="00FA3856" w:rsidRDefault="00C22B54">
      <w:pPr>
        <w:spacing w:after="200" w:line="276" w:lineRule="auto"/>
        <w:rPr>
          <w:rFonts w:eastAsia="Arial Unicode MS"/>
          <w:b/>
          <w:bCs/>
          <w:szCs w:val="20"/>
          <w:lang w:eastAsia="ar-SA"/>
        </w:rPr>
      </w:pPr>
      <w:r w:rsidRPr="00FA3856">
        <w:rPr>
          <w:b/>
          <w:bCs/>
          <w:szCs w:val="20"/>
        </w:rPr>
        <w:br w:type="page"/>
      </w:r>
    </w:p>
    <w:p w:rsidR="00CE1927" w:rsidRPr="00FA3856" w:rsidRDefault="00B14A83" w:rsidP="001A6818">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lastRenderedPageBreak/>
        <w:t xml:space="preserve">V.6.1) </w:t>
      </w:r>
      <w:r w:rsidR="00CE1927" w:rsidRPr="00FA3856">
        <w:rPr>
          <w:rFonts w:ascii="Times New Roman" w:hAnsi="Times New Roman" w:cs="Times New Roman"/>
          <w:b/>
          <w:bCs/>
          <w:szCs w:val="20"/>
        </w:rPr>
        <w:t>Programa Nacional de Apoio à Atenção Oncológica -</w:t>
      </w:r>
      <w:r w:rsidR="00CE1927" w:rsidRPr="00FA3856">
        <w:rPr>
          <w:rFonts w:ascii="Times New Roman" w:hAnsi="Times New Roman" w:cs="Times New Roman"/>
          <w:szCs w:val="20"/>
        </w:rPr>
        <w:t xml:space="preserve"> </w:t>
      </w:r>
      <w:r w:rsidR="00CE1927" w:rsidRPr="00FA3856">
        <w:rPr>
          <w:rFonts w:ascii="Times New Roman" w:hAnsi="Times New Roman" w:cs="Times New Roman"/>
          <w:b/>
          <w:bCs/>
          <w:szCs w:val="20"/>
        </w:rPr>
        <w:t>PRONON</w:t>
      </w:r>
    </w:p>
    <w:p w:rsidR="00C22B54" w:rsidRPr="00FA3856" w:rsidRDefault="00C22B54" w:rsidP="001A6818">
      <w:pPr>
        <w:pStyle w:val="NormalWeb"/>
        <w:spacing w:before="0" w:after="0"/>
        <w:jc w:val="both"/>
        <w:rPr>
          <w:rFonts w:ascii="Times New Roman" w:hAnsi="Times New Roman" w:cs="Times New Roman"/>
          <w:szCs w:val="20"/>
        </w:rPr>
      </w:pPr>
    </w:p>
    <w:p w:rsidR="00CE1927" w:rsidRPr="00FA3856" w:rsidRDefault="00CE1927" w:rsidP="00C22B54">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partir do ano-calendário de 2013 até o ano-calendário de 2016, a União facultará às pessoas físicas na qualidade de incentivadoras a opção de deduzirem do imposto os valores correspondentes às doações e aos patrocínios diretamente efetuados em prol de ações e serviços desenvolvidos no âmbito do PRONON e desenvolvidos por instituições:</w:t>
      </w:r>
    </w:p>
    <w:p w:rsidR="00CE1927" w:rsidRPr="00FA3856" w:rsidRDefault="00CE1927" w:rsidP="00C22B54">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a) certificadas como entidades beneficentes de assistência social, na forma da Lei n</w:t>
      </w:r>
      <w:r w:rsidRPr="00FA3856">
        <w:rPr>
          <w:rFonts w:ascii="Times New Roman" w:hAnsi="Times New Roman" w:cs="Times New Roman"/>
          <w:strike/>
          <w:szCs w:val="20"/>
        </w:rPr>
        <w:t>º</w:t>
      </w:r>
      <w:r w:rsidRPr="00FA3856">
        <w:rPr>
          <w:rFonts w:ascii="Times New Roman" w:hAnsi="Times New Roman" w:cs="Times New Roman"/>
          <w:szCs w:val="20"/>
        </w:rPr>
        <w:t xml:space="preserve"> 12.101, de 27 de novembro de 2009; ou</w:t>
      </w:r>
    </w:p>
    <w:p w:rsidR="00CE1927" w:rsidRPr="00FA3856" w:rsidRDefault="00CE1927" w:rsidP="00C22B54">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b) qualificadas como organizações sociais, na forma da Lei n</w:t>
      </w:r>
      <w:r w:rsidRPr="00FA3856">
        <w:rPr>
          <w:rFonts w:ascii="Times New Roman" w:hAnsi="Times New Roman" w:cs="Times New Roman"/>
          <w:strike/>
          <w:szCs w:val="20"/>
        </w:rPr>
        <w:t>º</w:t>
      </w:r>
      <w:r w:rsidRPr="00FA3856">
        <w:rPr>
          <w:rFonts w:ascii="Times New Roman" w:hAnsi="Times New Roman" w:cs="Times New Roman"/>
          <w:szCs w:val="20"/>
        </w:rPr>
        <w:t xml:space="preserve"> 9.637, de 15 de maio de 1998; ou</w:t>
      </w:r>
    </w:p>
    <w:p w:rsidR="00CE1927" w:rsidRPr="00FA3856" w:rsidRDefault="00CE1927" w:rsidP="00C22B54">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c) qualificadas como Organizações da Sociedade Civil de Interesse Público - OSCIP, na forma da Lei n</w:t>
      </w:r>
      <w:r w:rsidRPr="00FA3856">
        <w:rPr>
          <w:rFonts w:ascii="Times New Roman" w:hAnsi="Times New Roman" w:cs="Times New Roman"/>
          <w:strike/>
          <w:szCs w:val="20"/>
        </w:rPr>
        <w:t>º</w:t>
      </w:r>
      <w:r w:rsidRPr="00FA3856">
        <w:rPr>
          <w:rFonts w:ascii="Times New Roman" w:hAnsi="Times New Roman" w:cs="Times New Roman"/>
          <w:szCs w:val="20"/>
        </w:rPr>
        <w:t xml:space="preserve"> 9.790, de 23 de março de 1999.</w:t>
      </w:r>
    </w:p>
    <w:p w:rsidR="00C22B54" w:rsidRPr="00FA3856" w:rsidRDefault="00C22B54" w:rsidP="001A6818">
      <w:pPr>
        <w:pStyle w:val="NormalWeb"/>
        <w:spacing w:before="0" w:after="0"/>
        <w:jc w:val="both"/>
        <w:rPr>
          <w:rFonts w:ascii="Times New Roman" w:hAnsi="Times New Roman" w:cs="Times New Roman"/>
          <w:szCs w:val="20"/>
        </w:rPr>
      </w:pPr>
    </w:p>
    <w:p w:rsidR="00CE1927" w:rsidRPr="00FA3856" w:rsidRDefault="00CE1927" w:rsidP="00C22B54">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As doações poderão assumir as seguintes espécies de atos gratuitos:</w:t>
      </w:r>
    </w:p>
    <w:p w:rsidR="00CE1927" w:rsidRPr="00FA3856" w:rsidRDefault="00CE1927" w:rsidP="00C22B54">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a) transferência</w:t>
      </w:r>
      <w:bookmarkStart w:id="153" w:name="subitem_15.7.6.1"/>
      <w:bookmarkEnd w:id="153"/>
      <w:r w:rsidRPr="00FA3856">
        <w:rPr>
          <w:rFonts w:ascii="Times New Roman" w:hAnsi="Times New Roman" w:cs="Times New Roman"/>
          <w:szCs w:val="20"/>
        </w:rPr>
        <w:t xml:space="preserve"> de quantias em dinheiro;</w:t>
      </w:r>
    </w:p>
    <w:p w:rsidR="00CE1927" w:rsidRPr="00FA3856" w:rsidRDefault="00CE1927" w:rsidP="00C22B54">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b) transferência de bens móveis ou imóveis;</w:t>
      </w:r>
    </w:p>
    <w:p w:rsidR="00CE1927" w:rsidRPr="00FA3856" w:rsidRDefault="00CE1927" w:rsidP="00C22B54">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c) comodato ou cessão de uso de bens imóveis ou equipamentos;</w:t>
      </w:r>
    </w:p>
    <w:p w:rsidR="00CE1927" w:rsidRPr="00FA3856" w:rsidRDefault="00CE1927" w:rsidP="00C22B54">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d) realização de despesas em conservação, manutenção ou reparos nos bens</w:t>
      </w:r>
      <w:r w:rsidR="00B5790B" w:rsidRPr="00FA3856">
        <w:rPr>
          <w:rFonts w:ascii="Times New Roman" w:hAnsi="Times New Roman" w:cs="Times New Roman"/>
          <w:szCs w:val="20"/>
        </w:rPr>
        <w:t xml:space="preserve"> móveis, imóveis e equipamentos</w:t>
      </w:r>
      <w:r w:rsidRPr="00FA3856">
        <w:rPr>
          <w:rFonts w:ascii="Times New Roman" w:hAnsi="Times New Roman" w:cs="Times New Roman"/>
          <w:szCs w:val="20"/>
        </w:rPr>
        <w:t>; e</w:t>
      </w:r>
    </w:p>
    <w:p w:rsidR="00CE1927" w:rsidRPr="00FA3856" w:rsidRDefault="00CE1927" w:rsidP="00C22B54">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e) fornecimento de material de consumo, hospitalar ou clínico, de medicamentos ou de produtos de alimentação.</w:t>
      </w:r>
    </w:p>
    <w:p w:rsidR="00C22B54" w:rsidRPr="00FA3856" w:rsidRDefault="00C22B54" w:rsidP="001A6818">
      <w:pPr>
        <w:pStyle w:val="NormalWeb"/>
        <w:spacing w:before="0" w:after="0"/>
        <w:jc w:val="both"/>
        <w:rPr>
          <w:rFonts w:ascii="Times New Roman" w:hAnsi="Times New Roman" w:cs="Times New Roman"/>
          <w:szCs w:val="20"/>
        </w:rPr>
      </w:pPr>
    </w:p>
    <w:p w:rsidR="00CE1927" w:rsidRPr="00FA3856" w:rsidRDefault="00CE1927" w:rsidP="00C22B54">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Considera-se patrocínio a prestação do incentivo com finalidade promocional.</w:t>
      </w:r>
    </w:p>
    <w:p w:rsidR="00C22B54" w:rsidRPr="00FA3856" w:rsidRDefault="00C22B54" w:rsidP="001A6818">
      <w:pPr>
        <w:pStyle w:val="NormalWeb"/>
        <w:spacing w:before="0" w:after="0"/>
        <w:jc w:val="both"/>
        <w:rPr>
          <w:rFonts w:ascii="Times New Roman" w:hAnsi="Times New Roman" w:cs="Times New Roman"/>
          <w:szCs w:val="20"/>
        </w:rPr>
      </w:pPr>
    </w:p>
    <w:p w:rsidR="00CE1927" w:rsidRPr="00FA3856" w:rsidRDefault="00CE1927" w:rsidP="00C22B54">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pessoa jurídica incentivadora tributada com base no lucro real poderá deduzir do imposto sobre a renda devido, em cada período de apuração, trimestral ou anual, o valor total das doações e dos patrocínios, vedada a dedução como despesa operacional.</w:t>
      </w:r>
    </w:p>
    <w:p w:rsidR="00C22B54" w:rsidRPr="00FA3856" w:rsidRDefault="00C22B54" w:rsidP="001A6818">
      <w:pPr>
        <w:pStyle w:val="NormalWeb"/>
        <w:spacing w:before="0" w:after="0"/>
        <w:jc w:val="both"/>
        <w:rPr>
          <w:rFonts w:ascii="Times New Roman" w:hAnsi="Times New Roman" w:cs="Times New Roman"/>
          <w:szCs w:val="20"/>
        </w:rPr>
      </w:pPr>
    </w:p>
    <w:p w:rsidR="00CE1927" w:rsidRPr="00FA3856" w:rsidRDefault="00CE1927" w:rsidP="00C22B54">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As deduções, relativamente às pessoas jurídicas tributadas com base no lucro real:</w:t>
      </w:r>
    </w:p>
    <w:p w:rsidR="00CE1927" w:rsidRPr="00FA3856" w:rsidRDefault="00CE1927" w:rsidP="00C22B54">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a) deverão corresponder às doações e aos patrocínios efetuados dentro do período de apuração trimestral ou anual do imposto; e</w:t>
      </w:r>
    </w:p>
    <w:p w:rsidR="00CE1927" w:rsidRPr="00FA3856" w:rsidRDefault="00CE1927" w:rsidP="00C22B54">
      <w:pPr>
        <w:pStyle w:val="NormalWeb"/>
        <w:spacing w:before="0" w:after="0"/>
        <w:ind w:left="1416"/>
        <w:jc w:val="both"/>
        <w:rPr>
          <w:rFonts w:ascii="Times New Roman" w:hAnsi="Times New Roman" w:cs="Times New Roman"/>
          <w:szCs w:val="20"/>
        </w:rPr>
      </w:pPr>
      <w:r w:rsidRPr="00FA3856">
        <w:rPr>
          <w:rFonts w:ascii="Times New Roman" w:hAnsi="Times New Roman" w:cs="Times New Roman"/>
          <w:szCs w:val="20"/>
        </w:rPr>
        <w:t>b) ficam limitadas a um por cento do imposto sobre a renda devido em cada período de apuração trimestral ou anual com relação ao PRONON, observado o disposto no § 4º do art. 3º da Lei nº 9.249, de 26 de dezembro de 1995.</w:t>
      </w:r>
    </w:p>
    <w:p w:rsidR="00C22B54" w:rsidRPr="00FA3856" w:rsidRDefault="00C22B54" w:rsidP="001A6818">
      <w:pPr>
        <w:pStyle w:val="NormalWeb"/>
        <w:spacing w:before="0" w:after="0"/>
        <w:jc w:val="both"/>
        <w:rPr>
          <w:rFonts w:ascii="Times New Roman" w:hAnsi="Times New Roman" w:cs="Times New Roman"/>
          <w:szCs w:val="20"/>
        </w:rPr>
      </w:pPr>
    </w:p>
    <w:p w:rsidR="00CE1927" w:rsidRPr="00FA3856" w:rsidRDefault="00CE1927" w:rsidP="00C22B54">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Na hipótese da doação em bens, o doador deverá considerar como valor dos bens doados, para as pessoas jurídicas, o valor contábil dos bens. Em qualquer hipótese o valor da dedução não poderá ultrapassar o valor de mercado.</w:t>
      </w:r>
    </w:p>
    <w:p w:rsidR="00C22B54" w:rsidRPr="00FA3856" w:rsidRDefault="00C22B54" w:rsidP="001A6818">
      <w:pPr>
        <w:pStyle w:val="NormalWeb"/>
        <w:spacing w:before="0" w:after="0"/>
        <w:jc w:val="both"/>
        <w:rPr>
          <w:rFonts w:ascii="Times New Roman" w:hAnsi="Times New Roman" w:cs="Times New Roman"/>
          <w:szCs w:val="20"/>
        </w:rPr>
      </w:pPr>
    </w:p>
    <w:p w:rsidR="00CE1927" w:rsidRPr="00FA3856" w:rsidRDefault="00CE1927" w:rsidP="00C22B54">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instituição beneficiária titular da ação ou serviço deve emitir recibo em favor do doador ou patrocinador, na forma e condições estabelecidas em ato da Secretaria da Receita Federal do Brasil.</w:t>
      </w:r>
    </w:p>
    <w:p w:rsidR="00C22B54" w:rsidRPr="00FA3856" w:rsidRDefault="00C22B54" w:rsidP="00C22B54">
      <w:pPr>
        <w:pStyle w:val="NormalWeb"/>
        <w:spacing w:before="0" w:after="0"/>
        <w:ind w:firstLine="708"/>
        <w:jc w:val="both"/>
        <w:rPr>
          <w:rFonts w:ascii="Times New Roman" w:hAnsi="Times New Roman" w:cs="Times New Roman"/>
          <w:szCs w:val="20"/>
        </w:rPr>
      </w:pPr>
    </w:p>
    <w:p w:rsidR="00CE1927" w:rsidRPr="00FA3856" w:rsidRDefault="00CE1927" w:rsidP="00C22B54">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As ações e serviços deverão ser aprovados previamente pelo Ministério da Saúde.</w:t>
      </w:r>
    </w:p>
    <w:p w:rsidR="00C22B54" w:rsidRPr="00FA3856" w:rsidRDefault="00C22B54" w:rsidP="001A6818">
      <w:pPr>
        <w:pStyle w:val="NormalWeb"/>
        <w:spacing w:before="0" w:after="0"/>
        <w:jc w:val="both"/>
        <w:rPr>
          <w:rFonts w:ascii="Times New Roman" w:hAnsi="Times New Roman" w:cs="Times New Roman"/>
          <w:b/>
          <w:bCs/>
          <w:szCs w:val="20"/>
        </w:rPr>
      </w:pPr>
    </w:p>
    <w:p w:rsidR="00CE1927" w:rsidRPr="00FA3856" w:rsidRDefault="00B14A83" w:rsidP="001A6818">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t xml:space="preserve">V.6.2) </w:t>
      </w:r>
      <w:r w:rsidR="00CE1927" w:rsidRPr="00FA3856">
        <w:rPr>
          <w:rFonts w:ascii="Times New Roman" w:hAnsi="Times New Roman" w:cs="Times New Roman"/>
          <w:b/>
          <w:bCs/>
          <w:szCs w:val="20"/>
        </w:rPr>
        <w:t>Programa Nacional de Apoio à Atenção da Saúde da Pes</w:t>
      </w:r>
      <w:r w:rsidR="00B5790B" w:rsidRPr="00FA3856">
        <w:rPr>
          <w:rFonts w:ascii="Times New Roman" w:hAnsi="Times New Roman" w:cs="Times New Roman"/>
          <w:b/>
          <w:bCs/>
          <w:szCs w:val="20"/>
        </w:rPr>
        <w:t xml:space="preserve">soa com Deficiência </w:t>
      </w:r>
      <w:r w:rsidR="00B5790B" w:rsidRPr="00FA3856">
        <w:rPr>
          <w:rFonts w:ascii="Times New Roman" w:hAnsi="Times New Roman" w:cs="Times New Roman"/>
          <w:szCs w:val="20"/>
        </w:rPr>
        <w:t xml:space="preserve">- </w:t>
      </w:r>
      <w:r w:rsidR="00CE1927" w:rsidRPr="00FA3856">
        <w:rPr>
          <w:rFonts w:ascii="Times New Roman" w:hAnsi="Times New Roman" w:cs="Times New Roman"/>
          <w:b/>
          <w:bCs/>
          <w:szCs w:val="20"/>
        </w:rPr>
        <w:t>PRONAS/PCD</w:t>
      </w:r>
    </w:p>
    <w:p w:rsidR="00C22B54" w:rsidRPr="00FA3856" w:rsidRDefault="00C22B54" w:rsidP="001A6818">
      <w:pPr>
        <w:pStyle w:val="NormalWeb"/>
        <w:spacing w:before="0" w:after="0"/>
        <w:jc w:val="both"/>
        <w:rPr>
          <w:rFonts w:ascii="Times New Roman" w:hAnsi="Times New Roman" w:cs="Times New Roman"/>
          <w:szCs w:val="20"/>
        </w:rPr>
      </w:pPr>
    </w:p>
    <w:p w:rsidR="00CE1927" w:rsidRPr="00FA3856" w:rsidRDefault="00CE1927" w:rsidP="00C22B54">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partir do ano-calendário de 2013 até o ano-calendário de 2016, a União facultará às pessoas físicas na qualidade de incentivadoras a opção de deduzirem do imposto os valores correspondentes às doações e aos patrocínios diretamente efetuados em prol de ações e serviços desenvolvidos no âmbito do PRONAS/PCD e desenvolvidos por instituições:</w:t>
      </w:r>
    </w:p>
    <w:p w:rsidR="00C22B54" w:rsidRPr="00FA3856" w:rsidRDefault="00C22B54" w:rsidP="001A6818">
      <w:pPr>
        <w:pStyle w:val="NormalWeb"/>
        <w:spacing w:before="0" w:after="0"/>
        <w:jc w:val="both"/>
        <w:rPr>
          <w:rFonts w:ascii="Times New Roman" w:hAnsi="Times New Roman" w:cs="Times New Roman"/>
          <w:szCs w:val="20"/>
        </w:rPr>
      </w:pPr>
    </w:p>
    <w:p w:rsidR="00CE1927" w:rsidRPr="00FA3856" w:rsidRDefault="00CE1927" w:rsidP="00C22B54">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a) certificadas como entidades beneficentes de assistência social, na forma da Lei n</w:t>
      </w:r>
      <w:r w:rsidRPr="00FA3856">
        <w:rPr>
          <w:rFonts w:ascii="Times New Roman" w:hAnsi="Times New Roman" w:cs="Times New Roman"/>
          <w:strike/>
          <w:szCs w:val="20"/>
        </w:rPr>
        <w:t>º</w:t>
      </w:r>
      <w:r w:rsidRPr="00FA3856">
        <w:rPr>
          <w:rFonts w:ascii="Times New Roman" w:hAnsi="Times New Roman" w:cs="Times New Roman"/>
          <w:szCs w:val="20"/>
        </w:rPr>
        <w:t xml:space="preserve"> 12.101, de 27 de novembro de 2009; ou</w:t>
      </w:r>
    </w:p>
    <w:p w:rsidR="00CE1927" w:rsidRPr="00FA3856" w:rsidRDefault="00CE1927" w:rsidP="00C22B54">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b) qualificadas como organizações sociais, na forma da Lei n</w:t>
      </w:r>
      <w:r w:rsidRPr="00FA3856">
        <w:rPr>
          <w:rFonts w:ascii="Times New Roman" w:hAnsi="Times New Roman" w:cs="Times New Roman"/>
          <w:strike/>
          <w:szCs w:val="20"/>
        </w:rPr>
        <w:t>º</w:t>
      </w:r>
      <w:r w:rsidRPr="00FA3856">
        <w:rPr>
          <w:rFonts w:ascii="Times New Roman" w:hAnsi="Times New Roman" w:cs="Times New Roman"/>
          <w:szCs w:val="20"/>
        </w:rPr>
        <w:t xml:space="preserve"> 9.637, de 15 de maio de 1998; ou</w:t>
      </w:r>
    </w:p>
    <w:p w:rsidR="00CE1927" w:rsidRPr="00FA3856" w:rsidRDefault="00CE1927" w:rsidP="00C22B54">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c) qualificadas como Organizações da Sociedade Civil de Interesse Público - OSCIP, na forma da Lei n</w:t>
      </w:r>
      <w:r w:rsidRPr="00FA3856">
        <w:rPr>
          <w:rFonts w:ascii="Times New Roman" w:hAnsi="Times New Roman" w:cs="Times New Roman"/>
          <w:strike/>
          <w:szCs w:val="20"/>
        </w:rPr>
        <w:t>º</w:t>
      </w:r>
      <w:r w:rsidRPr="00FA3856">
        <w:rPr>
          <w:rFonts w:ascii="Times New Roman" w:hAnsi="Times New Roman" w:cs="Times New Roman"/>
          <w:szCs w:val="20"/>
        </w:rPr>
        <w:t xml:space="preserve"> 9.790, de 23 de março de 1999.</w:t>
      </w:r>
    </w:p>
    <w:p w:rsidR="00CE1927" w:rsidRPr="00FA3856" w:rsidRDefault="00CE1927" w:rsidP="00C22B54">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lastRenderedPageBreak/>
        <w:t>As doações poderão assumir as seguintes espécies de a</w:t>
      </w:r>
      <w:bookmarkStart w:id="154" w:name="subitem_15.7.6.2"/>
      <w:bookmarkEnd w:id="154"/>
      <w:r w:rsidRPr="00FA3856">
        <w:rPr>
          <w:rFonts w:ascii="Times New Roman" w:hAnsi="Times New Roman" w:cs="Times New Roman"/>
          <w:szCs w:val="20"/>
        </w:rPr>
        <w:t>tos gratuitos:</w:t>
      </w:r>
    </w:p>
    <w:p w:rsidR="00C22B54" w:rsidRPr="00FA3856" w:rsidRDefault="00C22B54" w:rsidP="00C22B54">
      <w:pPr>
        <w:pStyle w:val="NormalWeb"/>
        <w:spacing w:before="0" w:after="0"/>
        <w:jc w:val="both"/>
        <w:rPr>
          <w:rFonts w:ascii="Times New Roman" w:hAnsi="Times New Roman" w:cs="Times New Roman"/>
          <w:szCs w:val="20"/>
        </w:rPr>
      </w:pPr>
    </w:p>
    <w:p w:rsidR="00CE1927" w:rsidRPr="00FA3856" w:rsidRDefault="00CE1927" w:rsidP="00C22B54">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a) transferência de quantias em dinheiro;</w:t>
      </w:r>
    </w:p>
    <w:p w:rsidR="00CE1927" w:rsidRPr="00FA3856" w:rsidRDefault="00CE1927" w:rsidP="00C22B54">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b) transferência de bens móveis ou imóveis;</w:t>
      </w:r>
    </w:p>
    <w:p w:rsidR="00CE1927" w:rsidRPr="00FA3856" w:rsidRDefault="00CE1927" w:rsidP="00C22B54">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c) comodato ou cessão de uso de bens imóveis ou equipamentos;</w:t>
      </w:r>
    </w:p>
    <w:p w:rsidR="00CE1927" w:rsidRPr="00FA3856" w:rsidRDefault="00CE1927" w:rsidP="00C22B54">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d) realização de despesas em conservação, manutenção ou reparos nos bens móveis, imóveis</w:t>
      </w:r>
      <w:r w:rsidR="00B5790B" w:rsidRPr="00FA3856">
        <w:rPr>
          <w:rFonts w:ascii="Times New Roman" w:hAnsi="Times New Roman" w:cs="Times New Roman"/>
          <w:szCs w:val="20"/>
        </w:rPr>
        <w:t xml:space="preserve"> e equipamentos</w:t>
      </w:r>
      <w:r w:rsidRPr="00FA3856">
        <w:rPr>
          <w:rFonts w:ascii="Times New Roman" w:hAnsi="Times New Roman" w:cs="Times New Roman"/>
          <w:szCs w:val="20"/>
        </w:rPr>
        <w:t>; e</w:t>
      </w:r>
    </w:p>
    <w:p w:rsidR="00CE1927" w:rsidRPr="00FA3856" w:rsidRDefault="00CE1927" w:rsidP="00C22B54">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e) fornecimento de material de consumo, hospitalar ou clínico, de medicamentos ou de produtos de alimentação.</w:t>
      </w:r>
    </w:p>
    <w:p w:rsidR="00C22B54" w:rsidRPr="00FA3856" w:rsidRDefault="00C22B54" w:rsidP="001A6818">
      <w:pPr>
        <w:pStyle w:val="NormalWeb"/>
        <w:spacing w:before="0" w:after="0"/>
        <w:jc w:val="both"/>
        <w:rPr>
          <w:rFonts w:ascii="Times New Roman" w:hAnsi="Times New Roman" w:cs="Times New Roman"/>
          <w:szCs w:val="20"/>
        </w:rPr>
      </w:pPr>
    </w:p>
    <w:p w:rsidR="00CE1927" w:rsidRPr="00FA3856" w:rsidRDefault="00CE1927" w:rsidP="00C22B54">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Considera-se patrocínio a prestação do incentivo com finalidade promocional.</w:t>
      </w:r>
    </w:p>
    <w:p w:rsidR="00C22B54" w:rsidRPr="00FA3856" w:rsidRDefault="00C22B54" w:rsidP="001A6818">
      <w:pPr>
        <w:pStyle w:val="NormalWeb"/>
        <w:spacing w:before="0" w:after="0"/>
        <w:jc w:val="both"/>
        <w:rPr>
          <w:rFonts w:ascii="Times New Roman" w:hAnsi="Times New Roman" w:cs="Times New Roman"/>
          <w:szCs w:val="20"/>
        </w:rPr>
      </w:pPr>
    </w:p>
    <w:p w:rsidR="00CE1927" w:rsidRPr="00FA3856" w:rsidRDefault="00CE1927" w:rsidP="00C22B54">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pessoa jurídica incentivadora tributada com base no lucro real poderá deduzir do imposto sobre a renda devido, em cada período de apuração, trimestral ou anual, o valor total das doações e dos patrocínios, vedada a dedução como despesa operacional.</w:t>
      </w:r>
    </w:p>
    <w:p w:rsidR="00C22B54" w:rsidRPr="00FA3856" w:rsidRDefault="00C22B54" w:rsidP="001A6818">
      <w:pPr>
        <w:pStyle w:val="NormalWeb"/>
        <w:spacing w:before="0" w:after="0"/>
        <w:jc w:val="both"/>
        <w:rPr>
          <w:rFonts w:ascii="Times New Roman" w:hAnsi="Times New Roman" w:cs="Times New Roman"/>
          <w:szCs w:val="20"/>
        </w:rPr>
      </w:pPr>
    </w:p>
    <w:p w:rsidR="00CE1927" w:rsidRPr="00FA3856" w:rsidRDefault="00CE1927" w:rsidP="00C22B54">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As deduções, relativamente às pessoas jurídicas tributadas com base no lucro real:</w:t>
      </w:r>
    </w:p>
    <w:p w:rsidR="00CE1927" w:rsidRPr="00FA3856" w:rsidRDefault="00CE1927" w:rsidP="00C22B54">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a) deverão corresponder às doações e aos patrocínios efetuados dentro do período de apuração trimestral ou anual do imposto; e</w:t>
      </w:r>
    </w:p>
    <w:p w:rsidR="00CE1927" w:rsidRPr="00FA3856" w:rsidRDefault="00CE1927" w:rsidP="00C22B54">
      <w:pPr>
        <w:pStyle w:val="NormalWeb"/>
        <w:spacing w:before="0" w:after="0"/>
        <w:ind w:left="1416"/>
        <w:jc w:val="both"/>
        <w:rPr>
          <w:rFonts w:ascii="Times New Roman" w:hAnsi="Times New Roman" w:cs="Times New Roman"/>
          <w:szCs w:val="20"/>
        </w:rPr>
      </w:pPr>
      <w:r w:rsidRPr="00FA3856">
        <w:rPr>
          <w:rFonts w:ascii="Times New Roman" w:hAnsi="Times New Roman" w:cs="Times New Roman"/>
          <w:szCs w:val="20"/>
        </w:rPr>
        <w:t>b) ficam limitadas a um por cento do imposto sobre a renda devido em cada período de apuração trimestral ou anual com relação ao PRONAS/PCD, observado o disposto no § 4</w:t>
      </w:r>
      <w:r w:rsidRPr="00FA3856">
        <w:rPr>
          <w:rFonts w:ascii="Times New Roman" w:hAnsi="Times New Roman" w:cs="Times New Roman"/>
          <w:strike/>
          <w:szCs w:val="20"/>
        </w:rPr>
        <w:t>º</w:t>
      </w:r>
      <w:r w:rsidRPr="00FA3856">
        <w:rPr>
          <w:rFonts w:ascii="Times New Roman" w:hAnsi="Times New Roman" w:cs="Times New Roman"/>
          <w:szCs w:val="20"/>
        </w:rPr>
        <w:t xml:space="preserve"> do art. 3</w:t>
      </w:r>
      <w:r w:rsidRPr="00FA3856">
        <w:rPr>
          <w:rFonts w:ascii="Times New Roman" w:hAnsi="Times New Roman" w:cs="Times New Roman"/>
          <w:strike/>
          <w:szCs w:val="20"/>
        </w:rPr>
        <w:t>º</w:t>
      </w:r>
      <w:r w:rsidRPr="00FA3856">
        <w:rPr>
          <w:rFonts w:ascii="Times New Roman" w:hAnsi="Times New Roman" w:cs="Times New Roman"/>
          <w:szCs w:val="20"/>
        </w:rPr>
        <w:t xml:space="preserve"> da Lei n</w:t>
      </w:r>
      <w:r w:rsidRPr="00FA3856">
        <w:rPr>
          <w:rFonts w:ascii="Times New Roman" w:hAnsi="Times New Roman" w:cs="Times New Roman"/>
          <w:strike/>
          <w:szCs w:val="20"/>
        </w:rPr>
        <w:t>º</w:t>
      </w:r>
      <w:r w:rsidRPr="00FA3856">
        <w:rPr>
          <w:rFonts w:ascii="Times New Roman" w:hAnsi="Times New Roman" w:cs="Times New Roman"/>
          <w:szCs w:val="20"/>
        </w:rPr>
        <w:t xml:space="preserve"> 9.249, de 26 de dezembro de 1995.</w:t>
      </w:r>
    </w:p>
    <w:p w:rsidR="00C22B54" w:rsidRPr="00FA3856" w:rsidRDefault="00C22B54" w:rsidP="001A6818">
      <w:pPr>
        <w:pStyle w:val="NormalWeb"/>
        <w:spacing w:before="0" w:after="0"/>
        <w:jc w:val="both"/>
        <w:rPr>
          <w:rFonts w:ascii="Times New Roman" w:hAnsi="Times New Roman" w:cs="Times New Roman"/>
          <w:szCs w:val="20"/>
        </w:rPr>
      </w:pPr>
    </w:p>
    <w:p w:rsidR="00CE1927" w:rsidRPr="00FA3856" w:rsidRDefault="00CE1927" w:rsidP="00C22B54">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Na hipótese da doação em bens, o doador deverá considerar como valor dos bens doados, para as pessoas jurídicas, o valor contábil dos bens. Em qualquer hipótese o valor da dedução não poderá ultrapassar o valor de mercado.</w:t>
      </w:r>
    </w:p>
    <w:p w:rsidR="00C22B54" w:rsidRPr="00FA3856" w:rsidRDefault="00C22B54" w:rsidP="001A6818">
      <w:pPr>
        <w:pStyle w:val="NormalWeb"/>
        <w:spacing w:before="0" w:after="0"/>
        <w:jc w:val="both"/>
        <w:rPr>
          <w:rFonts w:ascii="Times New Roman" w:hAnsi="Times New Roman" w:cs="Times New Roman"/>
          <w:szCs w:val="20"/>
        </w:rPr>
      </w:pPr>
    </w:p>
    <w:p w:rsidR="00CE1927" w:rsidRPr="00FA3856" w:rsidRDefault="00CE1927" w:rsidP="00C22B54">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instituição beneficiária titular da ação ou serviço deve emitir recibo em favor do doador ou patrocinador, na forma e condições estabelecidas em ato da Secretaria da Receita Federal do Brasil.</w:t>
      </w:r>
    </w:p>
    <w:p w:rsidR="00C22B54" w:rsidRPr="00FA3856" w:rsidRDefault="00C22B54" w:rsidP="001A6818">
      <w:pPr>
        <w:pStyle w:val="NormalWeb"/>
        <w:spacing w:before="0" w:after="0"/>
        <w:jc w:val="both"/>
        <w:rPr>
          <w:rFonts w:ascii="Times New Roman" w:hAnsi="Times New Roman" w:cs="Times New Roman"/>
          <w:szCs w:val="20"/>
        </w:rPr>
      </w:pPr>
    </w:p>
    <w:p w:rsidR="00CE1927" w:rsidRPr="00FA3856" w:rsidRDefault="00CE1927" w:rsidP="00C22B54">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As ações e serviços deverão ser aprovados previamente pelo Ministério da Saúde.</w:t>
      </w:r>
    </w:p>
    <w:p w:rsidR="00C22B54" w:rsidRPr="00FA3856" w:rsidRDefault="00C22B54" w:rsidP="001A6818">
      <w:pPr>
        <w:pStyle w:val="NormalWeb"/>
        <w:spacing w:before="0" w:after="0"/>
        <w:jc w:val="both"/>
        <w:rPr>
          <w:rFonts w:ascii="Times New Roman" w:hAnsi="Times New Roman" w:cs="Times New Roman"/>
          <w:b/>
          <w:bCs/>
          <w:szCs w:val="20"/>
        </w:rPr>
      </w:pPr>
    </w:p>
    <w:p w:rsidR="00CE1927" w:rsidRPr="00FA3856" w:rsidRDefault="00B14A83" w:rsidP="001A6818">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t xml:space="preserve">V.7) </w:t>
      </w:r>
      <w:r w:rsidR="00CE1927" w:rsidRPr="00FA3856">
        <w:rPr>
          <w:rFonts w:ascii="Times New Roman" w:hAnsi="Times New Roman" w:cs="Times New Roman"/>
          <w:b/>
          <w:bCs/>
          <w:szCs w:val="20"/>
        </w:rPr>
        <w:t xml:space="preserve">Remuneração da Prorrogação da Licença-Maternidade </w:t>
      </w:r>
    </w:p>
    <w:p w:rsidR="00E304F7" w:rsidRPr="00FA3856" w:rsidRDefault="00E304F7" w:rsidP="001A6818">
      <w:pPr>
        <w:pStyle w:val="NormalWeb"/>
        <w:spacing w:before="0" w:after="0"/>
        <w:jc w:val="both"/>
        <w:rPr>
          <w:rFonts w:ascii="Times New Roman" w:hAnsi="Times New Roman" w:cs="Times New Roman"/>
          <w:szCs w:val="20"/>
        </w:rPr>
      </w:pPr>
    </w:p>
    <w:p w:rsidR="00CE1927" w:rsidRPr="00FA3856" w:rsidRDefault="00CE1927" w:rsidP="00E304F7">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partir de 1</w:t>
      </w:r>
      <w:r w:rsidRPr="00FA3856">
        <w:rPr>
          <w:rFonts w:ascii="Times New Roman" w:hAnsi="Times New Roman" w:cs="Times New Roman"/>
          <w:szCs w:val="20"/>
          <w:u w:val="single"/>
          <w:vertAlign w:val="superscript"/>
        </w:rPr>
        <w:t>o</w:t>
      </w:r>
      <w:r w:rsidRPr="00FA3856">
        <w:rPr>
          <w:rFonts w:ascii="Times New Roman" w:hAnsi="Times New Roman" w:cs="Times New Roman"/>
          <w:szCs w:val="20"/>
        </w:rPr>
        <w:t xml:space="preserve"> de janeiro de 2010, observadas as normas complementares a serem editadas pela Secretaria da Receita Federal do Brasil, a pessoa jurídica tributada com base no lucro real, que aderir ao Programa Empresa Cidadã, poderá deduzir do imposto devido, em cada período de apuração, o total da remuneração da empregada pago no período de prorrogação de sua licença-maternidade, vedada a dedução como despesa operacional. (Lei nº 11.770/2008, art. 5º e Decreto nº 7.052, de 2009)</w:t>
      </w:r>
    </w:p>
    <w:p w:rsidR="00E304F7" w:rsidRPr="00FA3856" w:rsidRDefault="00E304F7" w:rsidP="001A6818">
      <w:pPr>
        <w:pStyle w:val="NormalWeb"/>
        <w:spacing w:before="0" w:after="0"/>
        <w:jc w:val="both"/>
        <w:rPr>
          <w:rFonts w:ascii="Times New Roman" w:hAnsi="Times New Roman" w:cs="Times New Roman"/>
          <w:szCs w:val="20"/>
        </w:rPr>
      </w:pPr>
    </w:p>
    <w:p w:rsidR="00CE1927" w:rsidRPr="00FA3856" w:rsidRDefault="00CE1927" w:rsidP="00E304F7">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As pessoas jurídicas poderão aderir ao Programa Empresa Cidadã, mediante requerimento dirigido à Secretaria da Receita Federal do Brasil.</w:t>
      </w:r>
    </w:p>
    <w:p w:rsidR="00E304F7" w:rsidRPr="00FA3856" w:rsidRDefault="00E304F7" w:rsidP="001A6818">
      <w:pPr>
        <w:pStyle w:val="NormalWeb"/>
        <w:spacing w:before="0" w:after="0"/>
        <w:jc w:val="both"/>
        <w:rPr>
          <w:rFonts w:ascii="Times New Roman" w:hAnsi="Times New Roman" w:cs="Times New Roman"/>
          <w:szCs w:val="20"/>
        </w:rPr>
      </w:pPr>
    </w:p>
    <w:p w:rsidR="00CE1927" w:rsidRPr="00FA3856" w:rsidRDefault="00CE1927" w:rsidP="00E304F7">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dedução de que trata o caput fica limitada, vedado o aproveitamento de eventual excesso em período de apuração posterior, ao valor do IRPJ devido com base:</w:t>
      </w:r>
    </w:p>
    <w:p w:rsidR="00CE1927" w:rsidRPr="00FA3856" w:rsidRDefault="00CE1927" w:rsidP="00E304F7">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a) </w:t>
      </w:r>
      <w:bookmarkStart w:id="155" w:name="subitem_15.7.7"/>
      <w:bookmarkEnd w:id="155"/>
      <w:r w:rsidRPr="00FA3856">
        <w:rPr>
          <w:rFonts w:ascii="Times New Roman" w:hAnsi="Times New Roman" w:cs="Times New Roman"/>
          <w:szCs w:val="20"/>
        </w:rPr>
        <w:t xml:space="preserve"> no lucro real trimestral; ou,</w:t>
      </w:r>
    </w:p>
    <w:p w:rsidR="00CE1927" w:rsidRPr="00FA3856" w:rsidRDefault="00CE1927" w:rsidP="00E304F7">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b) no lucro real apurado no ajuste anual.</w:t>
      </w:r>
    </w:p>
    <w:p w:rsidR="00E304F7" w:rsidRPr="00FA3856" w:rsidRDefault="00E304F7" w:rsidP="001A6818">
      <w:pPr>
        <w:pStyle w:val="NormalWeb"/>
        <w:spacing w:before="0" w:after="0"/>
        <w:jc w:val="both"/>
        <w:rPr>
          <w:rFonts w:ascii="Times New Roman" w:hAnsi="Times New Roman" w:cs="Times New Roman"/>
          <w:szCs w:val="20"/>
        </w:rPr>
      </w:pPr>
    </w:p>
    <w:p w:rsidR="00CE1927" w:rsidRPr="00FA3856" w:rsidRDefault="00CE1927" w:rsidP="00E304F7">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dedução também se aplica ao imposto determinado com base no lucro estimado, calculado com base na receita bruta e acréscimos ou com base no resultado apurado em balanço ou balancete de redução.</w:t>
      </w:r>
    </w:p>
    <w:p w:rsidR="00E304F7" w:rsidRPr="00FA3856" w:rsidRDefault="00E304F7" w:rsidP="001A6818">
      <w:pPr>
        <w:pStyle w:val="NormalWeb"/>
        <w:spacing w:before="0" w:after="0"/>
        <w:jc w:val="both"/>
        <w:rPr>
          <w:rFonts w:ascii="Times New Roman" w:hAnsi="Times New Roman" w:cs="Times New Roman"/>
          <w:szCs w:val="20"/>
        </w:rPr>
      </w:pPr>
    </w:p>
    <w:p w:rsidR="00CE1927" w:rsidRPr="00FA3856" w:rsidRDefault="00CE1927" w:rsidP="00E304F7">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lastRenderedPageBreak/>
        <w:t xml:space="preserve">O valor deduzido do </w:t>
      </w:r>
      <w:r w:rsidR="00E00235">
        <w:rPr>
          <w:rFonts w:ascii="Times New Roman" w:hAnsi="Times New Roman" w:cs="Times New Roman"/>
          <w:szCs w:val="20"/>
        </w:rPr>
        <w:t>IRPJ com base no lucro estimado</w:t>
      </w:r>
      <w:r w:rsidRPr="00FA3856">
        <w:rPr>
          <w:rFonts w:ascii="Times New Roman" w:hAnsi="Times New Roman" w:cs="Times New Roman"/>
          <w:szCs w:val="20"/>
        </w:rPr>
        <w:t>:</w:t>
      </w:r>
    </w:p>
    <w:p w:rsidR="00CE1927" w:rsidRPr="00FA3856" w:rsidRDefault="00CE1927" w:rsidP="00E304F7">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a) não será considerado IRPJ pago por estimativa; e</w:t>
      </w:r>
    </w:p>
    <w:p w:rsidR="00CE1927" w:rsidRPr="00FA3856" w:rsidRDefault="00CE1927" w:rsidP="00E304F7">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b) deve compor o valor a ser deduzido do IRPJ devido no ajuste anual.</w:t>
      </w:r>
    </w:p>
    <w:p w:rsidR="00E304F7" w:rsidRPr="00FA3856" w:rsidRDefault="00E304F7" w:rsidP="001A6818">
      <w:pPr>
        <w:pStyle w:val="NormalWeb"/>
        <w:spacing w:before="0" w:after="0"/>
        <w:jc w:val="both"/>
        <w:rPr>
          <w:rFonts w:ascii="Times New Roman" w:hAnsi="Times New Roman" w:cs="Times New Roman"/>
          <w:szCs w:val="20"/>
        </w:rPr>
      </w:pPr>
    </w:p>
    <w:p w:rsidR="00CE1927" w:rsidRPr="00FA3856" w:rsidRDefault="00CE1927" w:rsidP="00E304F7">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O valor total das despesas decorrentes da remuneração da empregada pago no período de prorrogação de sua licença-maternidade registrado na escrituração comercial deverá ser adicionado ao lucro líquido para fins de apuração do lucro real e da base de cálculo da CSLL.</w:t>
      </w:r>
    </w:p>
    <w:p w:rsidR="00E304F7" w:rsidRPr="00FA3856" w:rsidRDefault="00E304F7" w:rsidP="001A6818">
      <w:pPr>
        <w:pStyle w:val="NormalWeb"/>
        <w:spacing w:before="0" w:after="0"/>
        <w:jc w:val="both"/>
        <w:rPr>
          <w:rFonts w:ascii="Times New Roman" w:hAnsi="Times New Roman" w:cs="Times New Roman"/>
          <w:szCs w:val="20"/>
        </w:rPr>
      </w:pPr>
    </w:p>
    <w:p w:rsidR="00CE1927" w:rsidRPr="00FA3856" w:rsidRDefault="00CE1927" w:rsidP="00E304F7">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Será beneficiada pelo Programa Empresa Cidadã a empregada da pessoa jurídica que aderir ao Programa, desde que a empregada requeira a prorrogação do salário-maternidade até o final do primeiro mês após o parto.</w:t>
      </w:r>
    </w:p>
    <w:p w:rsidR="00E304F7" w:rsidRPr="00FA3856" w:rsidRDefault="00E304F7" w:rsidP="001A6818">
      <w:pPr>
        <w:pStyle w:val="NormalWeb"/>
        <w:spacing w:before="0" w:after="0"/>
        <w:jc w:val="both"/>
        <w:rPr>
          <w:rFonts w:ascii="Times New Roman" w:hAnsi="Times New Roman" w:cs="Times New Roman"/>
          <w:szCs w:val="20"/>
        </w:rPr>
      </w:pPr>
    </w:p>
    <w:p w:rsidR="00CE1927" w:rsidRPr="00FA3856" w:rsidRDefault="00CE1927" w:rsidP="00E304F7">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 xml:space="preserve">A prorrogação iniciar-se-á no dia </w:t>
      </w:r>
      <w:r w:rsidR="00B5790B" w:rsidRPr="00FA3856">
        <w:rPr>
          <w:rFonts w:ascii="Times New Roman" w:hAnsi="Times New Roman" w:cs="Times New Roman"/>
          <w:szCs w:val="20"/>
        </w:rPr>
        <w:t>subsequente</w:t>
      </w:r>
      <w:r w:rsidRPr="00FA3856">
        <w:rPr>
          <w:rFonts w:ascii="Times New Roman" w:hAnsi="Times New Roman" w:cs="Times New Roman"/>
          <w:szCs w:val="20"/>
        </w:rPr>
        <w:t xml:space="preserve"> ao término da vigência do benefício de que tratam os arts. 71 e 71-A da Lei nº 8.213, de 1991.</w:t>
      </w:r>
    </w:p>
    <w:p w:rsidR="00E304F7" w:rsidRPr="00FA3856" w:rsidRDefault="00E304F7" w:rsidP="001A6818">
      <w:pPr>
        <w:pStyle w:val="NormalWeb"/>
        <w:spacing w:before="0" w:after="0"/>
        <w:jc w:val="both"/>
        <w:rPr>
          <w:rFonts w:ascii="Times New Roman" w:hAnsi="Times New Roman" w:cs="Times New Roman"/>
          <w:szCs w:val="20"/>
        </w:rPr>
      </w:pPr>
    </w:p>
    <w:p w:rsidR="00CE1927" w:rsidRPr="00FA3856" w:rsidRDefault="00CE1927" w:rsidP="00E304F7">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prorrogação beneficia, inclusive, no caso de parto antecipado, e também a empregada de pessoa jurídica que adotar ou obtiver guarda judicial para fins de adoção de criança, pelos seguintes períodos:</w:t>
      </w:r>
    </w:p>
    <w:p w:rsidR="00CE1927" w:rsidRPr="00FA3856" w:rsidRDefault="00CE1927" w:rsidP="00E304F7">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a) por sessenta dias, quando se tratar de criança de até um ano de idade;</w:t>
      </w:r>
    </w:p>
    <w:p w:rsidR="00CE1927" w:rsidRPr="00FA3856" w:rsidRDefault="00CE1927" w:rsidP="00E304F7">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 xml:space="preserve">b) por trinta dias, quando se tratar de criança a partir de um ano até quatro anos de idade completos; e </w:t>
      </w:r>
    </w:p>
    <w:p w:rsidR="00CE1927" w:rsidRPr="00FA3856" w:rsidRDefault="00CE1927" w:rsidP="00E304F7">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c) por quinze dias, quando se tratar de criança a partir de quatro anos até completar oito anos de idade.</w:t>
      </w:r>
    </w:p>
    <w:p w:rsidR="00E304F7" w:rsidRPr="00FA3856" w:rsidRDefault="00E304F7" w:rsidP="001A6818">
      <w:pPr>
        <w:pStyle w:val="NormalWeb"/>
        <w:spacing w:before="0" w:after="0"/>
        <w:jc w:val="both"/>
        <w:rPr>
          <w:rFonts w:ascii="Times New Roman" w:hAnsi="Times New Roman" w:cs="Times New Roman"/>
          <w:szCs w:val="20"/>
        </w:rPr>
      </w:pPr>
    </w:p>
    <w:p w:rsidR="00CE1927" w:rsidRPr="00FA3856" w:rsidRDefault="00CE1927" w:rsidP="00E304F7">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As pessoas jurídicas poderão aderir ao Programa Empresa Cidadã, mediante requerimento dirigido à Secretaria da Receita Federal do Brasil.</w:t>
      </w:r>
    </w:p>
    <w:p w:rsidR="00E304F7" w:rsidRPr="00FA3856" w:rsidRDefault="00E304F7" w:rsidP="001A6818">
      <w:pPr>
        <w:pStyle w:val="NormalWeb"/>
        <w:spacing w:before="0" w:after="0"/>
        <w:jc w:val="both"/>
        <w:rPr>
          <w:rFonts w:ascii="Times New Roman" w:hAnsi="Times New Roman" w:cs="Times New Roman"/>
          <w:b/>
          <w:bCs/>
          <w:szCs w:val="20"/>
        </w:rPr>
      </w:pPr>
    </w:p>
    <w:p w:rsidR="00CE1927" w:rsidRPr="00FA3856" w:rsidRDefault="00B14A83" w:rsidP="001A6818">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t xml:space="preserve">V.8) </w:t>
      </w:r>
      <w:r w:rsidR="00CE1927" w:rsidRPr="00FA3856">
        <w:rPr>
          <w:rFonts w:ascii="Times New Roman" w:hAnsi="Times New Roman" w:cs="Times New Roman"/>
          <w:b/>
          <w:bCs/>
          <w:szCs w:val="20"/>
        </w:rPr>
        <w:t>Desenvolvimento Tecnológico Industrial/Agropecuário PDTI/PDTA</w:t>
      </w:r>
    </w:p>
    <w:p w:rsidR="00E304F7" w:rsidRPr="00FA3856" w:rsidRDefault="00E304F7" w:rsidP="001A6818">
      <w:pPr>
        <w:pStyle w:val="NormalWeb"/>
        <w:spacing w:before="0" w:after="0"/>
        <w:jc w:val="both"/>
        <w:rPr>
          <w:rFonts w:ascii="Times New Roman" w:hAnsi="Times New Roman" w:cs="Times New Roman"/>
          <w:szCs w:val="20"/>
        </w:rPr>
      </w:pPr>
    </w:p>
    <w:p w:rsidR="00CE1927" w:rsidRPr="00FA3856" w:rsidRDefault="00CE1927" w:rsidP="00E304F7">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pessoa jurídica titular de Programa de Desenvolvimento Tecnológico Industrial (PDTI) ou Programa de Desenvolvimento Tecnológico Agropecuário (PDTA), aprovados até 31 de dezembro de 2005, nos termos do Decreto n</w:t>
      </w:r>
      <w:r w:rsidRPr="00FA3856">
        <w:rPr>
          <w:rFonts w:ascii="Times New Roman" w:hAnsi="Times New Roman" w:cs="Times New Roman"/>
          <w:strike/>
          <w:szCs w:val="20"/>
        </w:rPr>
        <w:t>º</w:t>
      </w:r>
      <w:r w:rsidRPr="00FA3856">
        <w:rPr>
          <w:rFonts w:ascii="Times New Roman" w:hAnsi="Times New Roman" w:cs="Times New Roman"/>
          <w:szCs w:val="20"/>
        </w:rPr>
        <w:t xml:space="preserve"> 96.760, de 1988, alterado pelo Decreto n</w:t>
      </w:r>
      <w:r w:rsidRPr="00FA3856">
        <w:rPr>
          <w:rFonts w:ascii="Times New Roman" w:hAnsi="Times New Roman" w:cs="Times New Roman"/>
          <w:strike/>
          <w:szCs w:val="20"/>
        </w:rPr>
        <w:t>º</w:t>
      </w:r>
      <w:r w:rsidRPr="00FA3856">
        <w:rPr>
          <w:rFonts w:ascii="Times New Roman" w:hAnsi="Times New Roman" w:cs="Times New Roman"/>
          <w:szCs w:val="20"/>
        </w:rPr>
        <w:t xml:space="preserve"> 99.073, de 1990, ou no Decreto n</w:t>
      </w:r>
      <w:r w:rsidRPr="00FA3856">
        <w:rPr>
          <w:rFonts w:ascii="Times New Roman" w:hAnsi="Times New Roman" w:cs="Times New Roman"/>
          <w:strike/>
          <w:szCs w:val="20"/>
        </w:rPr>
        <w:t>º</w:t>
      </w:r>
      <w:r w:rsidRPr="00FA3856">
        <w:rPr>
          <w:rFonts w:ascii="Times New Roman" w:hAnsi="Times New Roman" w:cs="Times New Roman"/>
          <w:szCs w:val="20"/>
        </w:rPr>
        <w:t xml:space="preserve"> 949, de 1993, pode deduzir do imposto devido o valor equivalente ao resultado da aplicação da alíquota de 15% sobre o total dos dispêndios realizados em atividades de desenvolvimento tecnológico no período de apuração, observados os limites permitidos.</w:t>
      </w:r>
    </w:p>
    <w:p w:rsidR="00E304F7" w:rsidRPr="00FA3856" w:rsidRDefault="00E304F7" w:rsidP="001A6818">
      <w:pPr>
        <w:pStyle w:val="NormalWeb"/>
        <w:spacing w:before="0" w:after="0"/>
        <w:jc w:val="both"/>
        <w:rPr>
          <w:rFonts w:ascii="Times New Roman" w:hAnsi="Times New Roman" w:cs="Times New Roman"/>
          <w:szCs w:val="20"/>
        </w:rPr>
      </w:pPr>
    </w:p>
    <w:p w:rsidR="00CE1927" w:rsidRPr="00FA3856" w:rsidRDefault="00CE1927" w:rsidP="00E304F7">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dedução do imposto de renda a este título não pode exceder, isoladamente, a 4% do imposto de renda devido, antes do adicional, com base:</w:t>
      </w:r>
    </w:p>
    <w:p w:rsidR="00CE1927" w:rsidRPr="00FA3856" w:rsidRDefault="00CE1927" w:rsidP="00E304F7">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a) no lucro real trimestral;</w:t>
      </w:r>
    </w:p>
    <w:p w:rsidR="00CE1927" w:rsidRPr="00FA3856" w:rsidRDefault="00CE1927" w:rsidP="00E304F7">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b) no lucro real apurado no ajuste anual.</w:t>
      </w:r>
    </w:p>
    <w:p w:rsidR="00E304F7" w:rsidRPr="00FA3856" w:rsidRDefault="00E304F7" w:rsidP="001A6818">
      <w:pPr>
        <w:pStyle w:val="NormalWeb"/>
        <w:spacing w:before="0" w:after="0"/>
        <w:jc w:val="both"/>
        <w:rPr>
          <w:rFonts w:ascii="Times New Roman" w:hAnsi="Times New Roman" w:cs="Times New Roman"/>
          <w:szCs w:val="20"/>
        </w:rPr>
      </w:pPr>
    </w:p>
    <w:p w:rsidR="00CE1927" w:rsidRPr="00FA3856" w:rsidRDefault="00CE1927" w:rsidP="00E304F7">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dedução também se</w:t>
      </w:r>
      <w:bookmarkStart w:id="156" w:name="subitem_15.7.8"/>
      <w:bookmarkEnd w:id="156"/>
      <w:r w:rsidRPr="00FA3856">
        <w:rPr>
          <w:rFonts w:ascii="Times New Roman" w:hAnsi="Times New Roman" w:cs="Times New Roman"/>
          <w:szCs w:val="20"/>
        </w:rPr>
        <w:t xml:space="preserve"> aplica ao imposto determinado com base no lucro estimado, calculado com base na receita bruta e acréscimos ou com base no resultado apurado em balanço ou balancete de redução. Porém, o valor deduzido do imposto com base no lucro estimado:</w:t>
      </w:r>
    </w:p>
    <w:p w:rsidR="00CE1927" w:rsidRPr="00FA3856" w:rsidRDefault="00CE1927" w:rsidP="00E304F7">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a) não será considerado imposto pago por estimativa; e</w:t>
      </w:r>
    </w:p>
    <w:p w:rsidR="00CE1927" w:rsidRPr="00FA3856" w:rsidRDefault="00CE1927" w:rsidP="00E304F7">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b) deve compor o valor a ser deduzido do imposto devido no ajuste anual.</w:t>
      </w:r>
    </w:p>
    <w:p w:rsidR="00E304F7" w:rsidRPr="00FA3856" w:rsidRDefault="00E304F7" w:rsidP="001A6818">
      <w:pPr>
        <w:pStyle w:val="NormalWeb"/>
        <w:spacing w:before="0" w:after="0"/>
        <w:jc w:val="both"/>
        <w:rPr>
          <w:rFonts w:ascii="Times New Roman" w:hAnsi="Times New Roman" w:cs="Times New Roman"/>
          <w:szCs w:val="20"/>
        </w:rPr>
      </w:pPr>
    </w:p>
    <w:p w:rsidR="00CE1927" w:rsidRPr="00FA3856" w:rsidRDefault="00CE1927" w:rsidP="00E304F7">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Observado o limite específico de cada incentivo, o total das deduções do imposto devido relativas ao PAT - Programa de Alimentação ao Trabalhador e aos Programas de Desenvolvimento Tecnológico Industrial (PDTI) e Programa de Desenvolvimento Tecnológico Agropecuário (PDTA) não pode exceder a 4% do imposto devido (Lei n</w:t>
      </w:r>
      <w:r w:rsidRPr="00FA3856">
        <w:rPr>
          <w:rFonts w:ascii="Times New Roman" w:hAnsi="Times New Roman" w:cs="Times New Roman"/>
          <w:strike/>
          <w:szCs w:val="20"/>
        </w:rPr>
        <w:t>º</w:t>
      </w:r>
      <w:r w:rsidRPr="00FA3856">
        <w:rPr>
          <w:rFonts w:ascii="Times New Roman" w:hAnsi="Times New Roman" w:cs="Times New Roman"/>
          <w:szCs w:val="20"/>
        </w:rPr>
        <w:t xml:space="preserve"> 9.532, de 1997, art. 6</w:t>
      </w:r>
      <w:r w:rsidRPr="00FA3856">
        <w:rPr>
          <w:rFonts w:ascii="Times New Roman" w:hAnsi="Times New Roman" w:cs="Times New Roman"/>
          <w:strike/>
          <w:szCs w:val="20"/>
        </w:rPr>
        <w:t>º</w:t>
      </w:r>
      <w:r w:rsidRPr="00FA3856">
        <w:rPr>
          <w:rFonts w:ascii="Times New Roman" w:hAnsi="Times New Roman" w:cs="Times New Roman"/>
          <w:szCs w:val="20"/>
        </w:rPr>
        <w:t>, I e art. 81, II).</w:t>
      </w:r>
    </w:p>
    <w:p w:rsidR="00E304F7" w:rsidRPr="00FA3856" w:rsidRDefault="00E304F7" w:rsidP="001A6818">
      <w:pPr>
        <w:pStyle w:val="NormalWeb"/>
        <w:spacing w:before="0" w:after="0"/>
        <w:jc w:val="both"/>
        <w:rPr>
          <w:rFonts w:ascii="Times New Roman" w:hAnsi="Times New Roman" w:cs="Times New Roman"/>
          <w:szCs w:val="20"/>
        </w:rPr>
      </w:pPr>
    </w:p>
    <w:p w:rsidR="00CE1927" w:rsidRPr="00FA3856" w:rsidRDefault="00CE1927" w:rsidP="00E304F7">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Os incentivos PDTI/PDTA cujos projetos foram aprovados após 3 de junho de 1993 não podem ser utilizados cumulativamente com outros da mesma natureza, previstos em lei anterior ou superveniente (Lei n</w:t>
      </w:r>
      <w:r w:rsidRPr="00FA3856">
        <w:rPr>
          <w:rFonts w:ascii="Times New Roman" w:hAnsi="Times New Roman" w:cs="Times New Roman"/>
          <w:strike/>
          <w:szCs w:val="20"/>
        </w:rPr>
        <w:t>º</w:t>
      </w:r>
      <w:r w:rsidRPr="00FA3856">
        <w:rPr>
          <w:rFonts w:ascii="Times New Roman" w:hAnsi="Times New Roman" w:cs="Times New Roman"/>
          <w:szCs w:val="20"/>
        </w:rPr>
        <w:t xml:space="preserve"> 8.661, de 1993, art. 9</w:t>
      </w:r>
      <w:r w:rsidRPr="00FA3856">
        <w:rPr>
          <w:rFonts w:ascii="Times New Roman" w:hAnsi="Times New Roman" w:cs="Times New Roman"/>
          <w:strike/>
          <w:szCs w:val="20"/>
        </w:rPr>
        <w:t>º</w:t>
      </w:r>
      <w:r w:rsidRPr="00FA3856">
        <w:rPr>
          <w:rFonts w:ascii="Times New Roman" w:hAnsi="Times New Roman" w:cs="Times New Roman"/>
          <w:szCs w:val="20"/>
        </w:rPr>
        <w:t>).</w:t>
      </w:r>
    </w:p>
    <w:p w:rsidR="00CE1927" w:rsidRPr="00FA3856" w:rsidRDefault="00CE1927" w:rsidP="001A6818">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lastRenderedPageBreak/>
        <w:t> </w:t>
      </w:r>
      <w:r w:rsidR="00E304F7" w:rsidRPr="00FA3856">
        <w:rPr>
          <w:rFonts w:ascii="Times New Roman" w:hAnsi="Times New Roman" w:cs="Times New Roman"/>
          <w:b/>
          <w:bCs/>
          <w:szCs w:val="20"/>
        </w:rPr>
        <w:t>V.9</w:t>
      </w:r>
      <w:r w:rsidR="00B14A83" w:rsidRPr="00FA3856">
        <w:rPr>
          <w:rFonts w:ascii="Times New Roman" w:hAnsi="Times New Roman" w:cs="Times New Roman"/>
          <w:b/>
          <w:bCs/>
          <w:szCs w:val="20"/>
        </w:rPr>
        <w:t xml:space="preserve">) </w:t>
      </w:r>
      <w:r w:rsidRPr="00FA3856">
        <w:rPr>
          <w:rFonts w:ascii="Times New Roman" w:hAnsi="Times New Roman" w:cs="Times New Roman"/>
          <w:b/>
          <w:bCs/>
          <w:szCs w:val="20"/>
        </w:rPr>
        <w:t>Operações de Aquisição de Vale-Cultura (Lei nº 12.761/2012, art. 10)</w:t>
      </w:r>
    </w:p>
    <w:p w:rsidR="00E304F7" w:rsidRPr="00FA3856" w:rsidRDefault="00E304F7" w:rsidP="001A6818">
      <w:pPr>
        <w:pStyle w:val="NormalWeb"/>
        <w:spacing w:before="0" w:after="0"/>
        <w:jc w:val="both"/>
        <w:rPr>
          <w:rFonts w:ascii="Times New Roman" w:hAnsi="Times New Roman" w:cs="Times New Roman"/>
          <w:szCs w:val="20"/>
        </w:rPr>
      </w:pPr>
    </w:p>
    <w:p w:rsidR="00CE1927" w:rsidRPr="00FA3856" w:rsidRDefault="00CE1927" w:rsidP="00E304F7">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partir da publicação do Decreto nº 8.084, de 26 de agosto de 2013, até o exercício de 2017, ano-calendário de 2016, o valor despendido a título de aquisição do vale-cultura poderá ser deduzido do IRPJ devido pela pessoa jurídica beneficiária, tributada com base no lucro real.</w:t>
      </w:r>
    </w:p>
    <w:p w:rsidR="00E304F7" w:rsidRPr="00FA3856" w:rsidRDefault="00E304F7" w:rsidP="001A6818">
      <w:pPr>
        <w:pStyle w:val="NormalWeb"/>
        <w:spacing w:before="0" w:after="0"/>
        <w:jc w:val="both"/>
        <w:rPr>
          <w:rFonts w:ascii="Times New Roman" w:hAnsi="Times New Roman" w:cs="Times New Roman"/>
          <w:szCs w:val="20"/>
        </w:rPr>
      </w:pPr>
    </w:p>
    <w:p w:rsidR="00CE1927" w:rsidRPr="00FA3856" w:rsidRDefault="00CE1927" w:rsidP="00E304F7">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 xml:space="preserve">Observado o disposto no § 4º do art. 3º da Lei nº 9.249, de 26 de dezembro de 1995, a dedução a esse título fica limitada a 1% (um por cento) do IRPJ devido com base: </w:t>
      </w:r>
    </w:p>
    <w:p w:rsidR="00CE1927" w:rsidRPr="00FA3856" w:rsidRDefault="00CE1927" w:rsidP="00E304F7">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a) no lucro real trimestral; ou,</w:t>
      </w:r>
    </w:p>
    <w:p w:rsidR="00CE1927" w:rsidRPr="00FA3856" w:rsidRDefault="00CE1927" w:rsidP="00E304F7">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b) no lucro real apurado no ajuste anual.</w:t>
      </w:r>
    </w:p>
    <w:p w:rsidR="00E304F7" w:rsidRPr="00FA3856" w:rsidRDefault="00E304F7" w:rsidP="001A6818">
      <w:pPr>
        <w:pStyle w:val="NormalWeb"/>
        <w:spacing w:before="0" w:after="0"/>
        <w:jc w:val="both"/>
        <w:rPr>
          <w:rFonts w:ascii="Times New Roman" w:hAnsi="Times New Roman" w:cs="Times New Roman"/>
          <w:szCs w:val="20"/>
        </w:rPr>
      </w:pPr>
    </w:p>
    <w:p w:rsidR="00CE1927" w:rsidRPr="00FA3856" w:rsidRDefault="00CE1927" w:rsidP="00E304F7">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dedução também se aplica ao IRPJ determinado com base no lucro estimado, calculado com base na receita bruta e acréscimos ou com base no resultado apurado em balanço ou balancete de redução.</w:t>
      </w:r>
    </w:p>
    <w:p w:rsidR="00E304F7" w:rsidRPr="00FA3856" w:rsidRDefault="00E304F7" w:rsidP="001A6818">
      <w:pPr>
        <w:pStyle w:val="NormalWeb"/>
        <w:spacing w:before="0" w:after="0"/>
        <w:jc w:val="both"/>
        <w:rPr>
          <w:rFonts w:ascii="Times New Roman" w:hAnsi="Times New Roman" w:cs="Times New Roman"/>
          <w:szCs w:val="20"/>
        </w:rPr>
      </w:pPr>
    </w:p>
    <w:p w:rsidR="00CE1927" w:rsidRPr="00FA3856" w:rsidRDefault="00CE1927" w:rsidP="00E304F7">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 xml:space="preserve">Porém, o valor deduzido do IRPJ com base no lucro </w:t>
      </w:r>
      <w:bookmarkStart w:id="157" w:name="subitem_15.7.8-A"/>
      <w:bookmarkEnd w:id="157"/>
      <w:r w:rsidRPr="00FA3856">
        <w:rPr>
          <w:rFonts w:ascii="Times New Roman" w:hAnsi="Times New Roman" w:cs="Times New Roman"/>
          <w:szCs w:val="20"/>
        </w:rPr>
        <w:t>estimado:</w:t>
      </w:r>
    </w:p>
    <w:p w:rsidR="00CE1927" w:rsidRPr="00FA3856" w:rsidRDefault="00CE1927" w:rsidP="00E304F7">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a) não será considerado IRPJ pago por estimativa; e</w:t>
      </w:r>
    </w:p>
    <w:p w:rsidR="00CE1927" w:rsidRPr="00FA3856" w:rsidRDefault="00CE1927" w:rsidP="00E304F7">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b) deve compor o valor a ser deduzido do IRPJ devido no ajuste anual.</w:t>
      </w:r>
    </w:p>
    <w:p w:rsidR="00E304F7" w:rsidRPr="00FA3856" w:rsidRDefault="00E304F7" w:rsidP="001A6818">
      <w:pPr>
        <w:pStyle w:val="NormalWeb"/>
        <w:spacing w:before="0" w:after="0"/>
        <w:jc w:val="both"/>
        <w:rPr>
          <w:rFonts w:ascii="Times New Roman" w:hAnsi="Times New Roman" w:cs="Times New Roman"/>
          <w:szCs w:val="20"/>
        </w:rPr>
      </w:pPr>
    </w:p>
    <w:p w:rsidR="00CE1927" w:rsidRPr="00FA3856" w:rsidRDefault="00E304F7" w:rsidP="00E304F7">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 xml:space="preserve">O </w:t>
      </w:r>
      <w:r w:rsidR="00CE1927" w:rsidRPr="00FA3856">
        <w:rPr>
          <w:rFonts w:ascii="Times New Roman" w:hAnsi="Times New Roman" w:cs="Times New Roman"/>
          <w:szCs w:val="20"/>
        </w:rPr>
        <w:t>limite de dedução no percentual de 1% (um por cento) do IRPJ devido será considerado isoladamente, não se submetendo a limite conjunto com outras deduções do IRPJ a título de incentivo.</w:t>
      </w:r>
    </w:p>
    <w:p w:rsidR="00E304F7" w:rsidRPr="00FA3856" w:rsidRDefault="00E304F7" w:rsidP="001A6818">
      <w:pPr>
        <w:pStyle w:val="NormalWeb"/>
        <w:spacing w:before="0" w:after="0"/>
        <w:jc w:val="both"/>
        <w:rPr>
          <w:rFonts w:ascii="Times New Roman" w:hAnsi="Times New Roman" w:cs="Times New Roman"/>
          <w:szCs w:val="20"/>
        </w:rPr>
      </w:pPr>
    </w:p>
    <w:p w:rsidR="00CE1927" w:rsidRPr="00FA3856" w:rsidRDefault="00CE1927" w:rsidP="00E304F7">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pessoa jurídica beneficiária poderá deduzir o valor despendido a título de aquisição do vale-cultura como despesa operacional para fins de apuração do IRPJ.</w:t>
      </w:r>
    </w:p>
    <w:p w:rsidR="00E304F7" w:rsidRPr="00FA3856" w:rsidRDefault="00E304F7" w:rsidP="001A6818">
      <w:pPr>
        <w:pStyle w:val="NormalWeb"/>
        <w:spacing w:before="0" w:after="0"/>
        <w:jc w:val="both"/>
        <w:rPr>
          <w:rFonts w:ascii="Times New Roman" w:hAnsi="Times New Roman" w:cs="Times New Roman"/>
          <w:szCs w:val="20"/>
        </w:rPr>
      </w:pPr>
    </w:p>
    <w:p w:rsidR="00CE1927" w:rsidRPr="00FA3856" w:rsidRDefault="00CE1927" w:rsidP="00E304F7">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 xml:space="preserve">A pessoa jurídica beneficiária deverá adicionar o valor deduzido como despesa </w:t>
      </w:r>
      <w:r w:rsidR="00B5790B" w:rsidRPr="00FA3856">
        <w:rPr>
          <w:rFonts w:ascii="Times New Roman" w:hAnsi="Times New Roman" w:cs="Times New Roman"/>
          <w:szCs w:val="20"/>
        </w:rPr>
        <w:t>operacional para</w:t>
      </w:r>
      <w:r w:rsidRPr="00FA3856">
        <w:rPr>
          <w:rFonts w:ascii="Times New Roman" w:hAnsi="Times New Roman" w:cs="Times New Roman"/>
          <w:szCs w:val="20"/>
        </w:rPr>
        <w:t xml:space="preserve"> fins de apuração da base de cálculo da CSLL.</w:t>
      </w:r>
    </w:p>
    <w:p w:rsidR="00E304F7" w:rsidRPr="00FA3856" w:rsidRDefault="00E304F7" w:rsidP="001A6818">
      <w:pPr>
        <w:pStyle w:val="NormalWeb"/>
        <w:spacing w:before="0" w:after="0"/>
        <w:jc w:val="both"/>
        <w:rPr>
          <w:rFonts w:ascii="Times New Roman" w:hAnsi="Times New Roman" w:cs="Times New Roman"/>
          <w:szCs w:val="20"/>
        </w:rPr>
      </w:pPr>
    </w:p>
    <w:p w:rsidR="00CE1927" w:rsidRPr="00FA3856" w:rsidRDefault="00B5790B" w:rsidP="00E304F7">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dedução</w:t>
      </w:r>
      <w:r w:rsidR="00CE1927" w:rsidRPr="00FA3856">
        <w:rPr>
          <w:rFonts w:ascii="Times New Roman" w:hAnsi="Times New Roman" w:cs="Times New Roman"/>
          <w:szCs w:val="20"/>
        </w:rPr>
        <w:t xml:space="preserve"> somente se aplica em relação ao valor do vale-cultura distribuído ao usuário no </w:t>
      </w:r>
      <w:r w:rsidRPr="00FA3856">
        <w:rPr>
          <w:rFonts w:ascii="Times New Roman" w:hAnsi="Times New Roman" w:cs="Times New Roman"/>
          <w:szCs w:val="20"/>
        </w:rPr>
        <w:t>período</w:t>
      </w:r>
      <w:r w:rsidR="00CE1927" w:rsidRPr="00FA3856">
        <w:rPr>
          <w:rFonts w:ascii="Times New Roman" w:hAnsi="Times New Roman" w:cs="Times New Roman"/>
          <w:szCs w:val="20"/>
        </w:rPr>
        <w:t xml:space="preserve"> de apuração do IRPJ, não abrange a parcela descontada da remuneração do empregado a título de vale-cultura.</w:t>
      </w:r>
    </w:p>
    <w:p w:rsidR="00E304F7" w:rsidRPr="00FA3856" w:rsidRDefault="00E304F7" w:rsidP="001A6818">
      <w:pPr>
        <w:pStyle w:val="NormalWeb"/>
        <w:spacing w:before="0" w:after="0"/>
        <w:jc w:val="both"/>
        <w:rPr>
          <w:rFonts w:ascii="Times New Roman" w:hAnsi="Times New Roman" w:cs="Times New Roman"/>
          <w:szCs w:val="20"/>
        </w:rPr>
      </w:pPr>
    </w:p>
    <w:p w:rsidR="00CE1927" w:rsidRPr="00FA3856" w:rsidRDefault="00CE1927" w:rsidP="00E304F7">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O valor correspondente ao vale-cultura:</w:t>
      </w:r>
    </w:p>
    <w:p w:rsidR="00CE1927" w:rsidRPr="00FA3856" w:rsidRDefault="00CE1927" w:rsidP="00E304F7">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a) não integra o salário-de-contribuição de que trata o art. 28 da Lei nº 8.212, de 24 de julho de 1991; e</w:t>
      </w:r>
    </w:p>
    <w:p w:rsidR="00CE1927" w:rsidRPr="00FA3856" w:rsidRDefault="00CE1927" w:rsidP="00E304F7">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b) é isento do imposto sobre a renda das pessoas físicas.</w:t>
      </w:r>
    </w:p>
    <w:p w:rsidR="00E304F7" w:rsidRPr="00FA3856" w:rsidRDefault="00E304F7" w:rsidP="001A6818">
      <w:pPr>
        <w:pStyle w:val="NormalWeb"/>
        <w:spacing w:before="0" w:after="0"/>
        <w:jc w:val="both"/>
        <w:rPr>
          <w:rFonts w:ascii="Times New Roman" w:hAnsi="Times New Roman" w:cs="Times New Roman"/>
          <w:szCs w:val="20"/>
        </w:rPr>
      </w:pPr>
    </w:p>
    <w:p w:rsidR="00CE1927" w:rsidRPr="00FA3856" w:rsidRDefault="00CE1927" w:rsidP="00E304F7">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parcela do valor correspondente ao vale-cultura, cujo ônus seja da empresa beneficiária, não constitui base de incidência de contribuição previdenciária ou do Fundo de Garantia do Tempo de Serviço - FGTS.</w:t>
      </w:r>
    </w:p>
    <w:p w:rsidR="00E304F7" w:rsidRPr="00FA3856" w:rsidRDefault="00E304F7" w:rsidP="001A6818">
      <w:pPr>
        <w:pStyle w:val="NormalWeb"/>
        <w:spacing w:before="0" w:after="0"/>
        <w:jc w:val="both"/>
        <w:rPr>
          <w:rFonts w:ascii="Times New Roman" w:hAnsi="Times New Roman" w:cs="Times New Roman"/>
          <w:szCs w:val="20"/>
        </w:rPr>
      </w:pPr>
    </w:p>
    <w:p w:rsidR="00CE1927" w:rsidRPr="00FA3856" w:rsidRDefault="00CE1927" w:rsidP="00E304F7">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O valor mensal do vale-cultura, por usuário, será de R$ 50,00 (cinquenta reais).</w:t>
      </w:r>
    </w:p>
    <w:p w:rsidR="00E304F7" w:rsidRPr="00FA3856" w:rsidRDefault="00E304F7" w:rsidP="001A6818">
      <w:pPr>
        <w:pStyle w:val="NormalWeb"/>
        <w:spacing w:before="0" w:after="0"/>
        <w:jc w:val="both"/>
        <w:rPr>
          <w:rFonts w:ascii="Times New Roman" w:hAnsi="Times New Roman" w:cs="Times New Roman"/>
          <w:szCs w:val="20"/>
        </w:rPr>
      </w:pPr>
    </w:p>
    <w:p w:rsidR="00CE1927" w:rsidRPr="00FA3856" w:rsidRDefault="00CE1927" w:rsidP="00E304F7">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O fornecimento do vale-cultura dependerá de prévia aceitação pelo trabalhador.</w:t>
      </w:r>
    </w:p>
    <w:p w:rsidR="00E304F7" w:rsidRPr="00FA3856" w:rsidRDefault="00E304F7" w:rsidP="001A6818">
      <w:pPr>
        <w:pStyle w:val="NormalWeb"/>
        <w:spacing w:before="0" w:after="0"/>
        <w:jc w:val="both"/>
        <w:rPr>
          <w:rFonts w:ascii="Times New Roman" w:hAnsi="Times New Roman" w:cs="Times New Roman"/>
          <w:szCs w:val="20"/>
        </w:rPr>
      </w:pPr>
    </w:p>
    <w:p w:rsidR="00CE1927" w:rsidRPr="00FA3856" w:rsidRDefault="00CE1927" w:rsidP="00E304F7">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 xml:space="preserve">O trabalhador poderá reconsiderar, a qualquer tempo, a sua decisão sobre o recebimento do vale-cultura. </w:t>
      </w:r>
    </w:p>
    <w:p w:rsidR="00E304F7" w:rsidRPr="00FA3856" w:rsidRDefault="00E304F7" w:rsidP="001A6818">
      <w:pPr>
        <w:pStyle w:val="NormalWeb"/>
        <w:spacing w:before="0" w:after="0"/>
        <w:jc w:val="both"/>
        <w:rPr>
          <w:rFonts w:ascii="Times New Roman" w:hAnsi="Times New Roman" w:cs="Times New Roman"/>
          <w:szCs w:val="20"/>
        </w:rPr>
      </w:pPr>
    </w:p>
    <w:p w:rsidR="00CE1927" w:rsidRPr="00FA3856" w:rsidRDefault="00CE1927" w:rsidP="00E304F7">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É vedada a reversão do valor do vale-cultura em dinheiro. A vedação compreende a entrega do valor do vale-cultura em dinheiro, a qualquer título, pelas empresas beneficiária, operadora e recebedora, ou a troca do vale-cultura em dinheiro pelo próprio trabalhador.</w:t>
      </w:r>
    </w:p>
    <w:p w:rsidR="00CE1927" w:rsidRPr="00FA3856" w:rsidRDefault="00CE1927" w:rsidP="00E304F7">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lastRenderedPageBreak/>
        <w:t>O trabalhador com vínculo empregatício e que perceba até cinco salários mínimos mensais, terá descontado de sua remuneração os seguintes percentuais do valor do vale-cultura:</w:t>
      </w:r>
    </w:p>
    <w:p w:rsidR="00CE1927" w:rsidRPr="00FA3856" w:rsidRDefault="00CE1927" w:rsidP="00E304F7">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a) até um salário mínimo: dois por cento;</w:t>
      </w:r>
    </w:p>
    <w:p w:rsidR="00CE1927" w:rsidRPr="00FA3856" w:rsidRDefault="00CE1927" w:rsidP="00E304F7">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b) acima de um salário mínimo e até dois salários mínimos: quatro por cento;</w:t>
      </w:r>
    </w:p>
    <w:p w:rsidR="00CE1927" w:rsidRPr="00FA3856" w:rsidRDefault="00CE1927" w:rsidP="00E304F7">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c) acima de dois salários mínimos e até três salários mínimos: seis por cento;</w:t>
      </w:r>
    </w:p>
    <w:p w:rsidR="00CE1927" w:rsidRPr="00FA3856" w:rsidRDefault="00CE1927" w:rsidP="00E304F7">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d) acima de três salários mínimos e até quatro salários mínimos: oito por cento; e</w:t>
      </w:r>
    </w:p>
    <w:p w:rsidR="00CE1927" w:rsidRPr="00FA3856" w:rsidRDefault="00CE1927" w:rsidP="00E304F7">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e) acima de quatro salários mínimos e até cinco salários mínimos: dez por cento.</w:t>
      </w:r>
    </w:p>
    <w:p w:rsidR="00E304F7" w:rsidRPr="00FA3856" w:rsidRDefault="00E304F7" w:rsidP="001A6818">
      <w:pPr>
        <w:pStyle w:val="NormalWeb"/>
        <w:spacing w:before="0" w:after="0"/>
        <w:jc w:val="both"/>
        <w:rPr>
          <w:rFonts w:ascii="Times New Roman" w:hAnsi="Times New Roman" w:cs="Times New Roman"/>
          <w:szCs w:val="20"/>
        </w:rPr>
      </w:pPr>
    </w:p>
    <w:p w:rsidR="00CE1927" w:rsidRPr="00FA3856" w:rsidRDefault="00CE1927" w:rsidP="00E304F7">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O trabalhador com vínculo empregatício e renda superior a cinco salários mínimos mensais terá descontado de sua remuneração os seguintes percentuais do valor do vale-cultura:</w:t>
      </w:r>
    </w:p>
    <w:p w:rsidR="00CE1927" w:rsidRPr="00FA3856" w:rsidRDefault="00CE1927" w:rsidP="00E304F7">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a) acima de cinco salários mínimos e até seis salários mínimos - vinte por cento;</w:t>
      </w:r>
    </w:p>
    <w:p w:rsidR="00CE1927" w:rsidRPr="00FA3856" w:rsidRDefault="00CE1927" w:rsidP="00E304F7">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b) acima de seis salários mínimos e até oito salários mínimos - trinta e cinco por cento;</w:t>
      </w:r>
    </w:p>
    <w:p w:rsidR="00CE1927" w:rsidRPr="00FA3856" w:rsidRDefault="00CE1927" w:rsidP="00E304F7">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c) acima de oito salários mínimos e até dez salários mínimos - cinquenta e cinco por cento;</w:t>
      </w:r>
    </w:p>
    <w:p w:rsidR="00CE1927" w:rsidRPr="00FA3856" w:rsidRDefault="00CE1927" w:rsidP="00E304F7">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d) acima de dez salários mínimos e até doze salários mínimos - setenta por cento; e</w:t>
      </w:r>
    </w:p>
    <w:p w:rsidR="00CE1927" w:rsidRPr="00FA3856" w:rsidRDefault="00CE1927" w:rsidP="00E304F7">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 xml:space="preserve">e) acima de doze salários mínimos: noventa por cento. </w:t>
      </w:r>
    </w:p>
    <w:p w:rsidR="00E304F7" w:rsidRPr="00FA3856" w:rsidRDefault="00E304F7" w:rsidP="001A6818">
      <w:pPr>
        <w:pStyle w:val="NormalWeb"/>
        <w:spacing w:before="0" w:after="0"/>
        <w:jc w:val="both"/>
        <w:rPr>
          <w:rFonts w:ascii="Times New Roman" w:hAnsi="Times New Roman" w:cs="Times New Roman"/>
          <w:szCs w:val="20"/>
        </w:rPr>
      </w:pPr>
    </w:p>
    <w:p w:rsidR="00CE1927" w:rsidRPr="00FA3856" w:rsidRDefault="00CE1927" w:rsidP="00E304F7">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 xml:space="preserve">O fornecimento do vale-cultura dependerá de prévia aceitação pelo trabalhador. O trabalhador poderá reconsiderar, a qualquer tempo, a sua decisão sobre o recebimento do vale-cultura. </w:t>
      </w:r>
    </w:p>
    <w:p w:rsidR="00E304F7" w:rsidRPr="00FA3856" w:rsidRDefault="00E304F7" w:rsidP="001A6818">
      <w:pPr>
        <w:pStyle w:val="NormalWeb"/>
        <w:spacing w:before="0" w:after="0"/>
        <w:jc w:val="both"/>
        <w:rPr>
          <w:rFonts w:ascii="Times New Roman" w:hAnsi="Times New Roman" w:cs="Times New Roman"/>
          <w:szCs w:val="20"/>
        </w:rPr>
      </w:pPr>
    </w:p>
    <w:p w:rsidR="00CE1927" w:rsidRPr="00FA3856" w:rsidRDefault="00CE1927" w:rsidP="00E304F7">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É vedada a reversão do valor do vale-cultura em dinheiro. A vedação compreende a entrega do valor do vale-cultura em dinheiro, a qualquer título, pelas empresas beneficiária, operadora e recebedora, ou a troca do vale-cultura em dinheiro pelo próprio trabalhador.</w:t>
      </w:r>
    </w:p>
    <w:p w:rsidR="00E304F7" w:rsidRPr="00FA3856" w:rsidRDefault="00E304F7" w:rsidP="001A6818">
      <w:pPr>
        <w:pStyle w:val="NormalWeb"/>
        <w:spacing w:before="0" w:after="0"/>
        <w:jc w:val="both"/>
        <w:rPr>
          <w:rFonts w:ascii="Times New Roman" w:hAnsi="Times New Roman" w:cs="Times New Roman"/>
          <w:b/>
          <w:bCs/>
          <w:szCs w:val="20"/>
        </w:rPr>
      </w:pPr>
    </w:p>
    <w:p w:rsidR="00CE1927" w:rsidRPr="00FA3856" w:rsidRDefault="00B14A83" w:rsidP="001A6818">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t xml:space="preserve">V.9) </w:t>
      </w:r>
      <w:r w:rsidR="00CE1927" w:rsidRPr="00FA3856">
        <w:rPr>
          <w:rFonts w:ascii="Times New Roman" w:hAnsi="Times New Roman" w:cs="Times New Roman"/>
          <w:b/>
          <w:bCs/>
          <w:szCs w:val="20"/>
        </w:rPr>
        <w:t>Limites Individuais e Coletivos dos Incentivos em Relação ao Imposto Devido</w:t>
      </w:r>
    </w:p>
    <w:p w:rsidR="00E304F7" w:rsidRPr="00FA3856" w:rsidRDefault="00E304F7" w:rsidP="001A6818">
      <w:pPr>
        <w:pStyle w:val="NormalWeb"/>
        <w:spacing w:before="0" w:after="0"/>
        <w:jc w:val="both"/>
        <w:rPr>
          <w:rFonts w:ascii="Times New Roman" w:hAnsi="Times New Roman" w:cs="Times New Roman"/>
          <w:szCs w:val="20"/>
        </w:rPr>
      </w:pPr>
    </w:p>
    <w:p w:rsidR="00CE1927" w:rsidRPr="00FA3856" w:rsidRDefault="00CE1927" w:rsidP="00E304F7">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Para os fins de cálculo dos incentivos de dedução do imposto referidos neste subitem, deve ser excluída, do imposto de renda devido, a parcela do imposto correspondente a lucros, rendimentos ou ganhos de capital auferidos no exterior (Lei n</w:t>
      </w:r>
      <w:r w:rsidRPr="00FA3856">
        <w:rPr>
          <w:rFonts w:ascii="Times New Roman" w:hAnsi="Times New Roman" w:cs="Times New Roman"/>
          <w:strike/>
          <w:szCs w:val="20"/>
        </w:rPr>
        <w:t>º</w:t>
      </w:r>
      <w:r w:rsidRPr="00FA3856">
        <w:rPr>
          <w:rFonts w:ascii="Times New Roman" w:hAnsi="Times New Roman" w:cs="Times New Roman"/>
          <w:szCs w:val="20"/>
        </w:rPr>
        <w:t xml:space="preserve"> 9.323, de 1996, arts. 1</w:t>
      </w:r>
      <w:r w:rsidRPr="00FA3856">
        <w:rPr>
          <w:rFonts w:ascii="Times New Roman" w:hAnsi="Times New Roman" w:cs="Times New Roman"/>
          <w:strike/>
          <w:szCs w:val="20"/>
        </w:rPr>
        <w:t>º</w:t>
      </w:r>
      <w:r w:rsidRPr="00FA3856">
        <w:rPr>
          <w:rFonts w:ascii="Times New Roman" w:hAnsi="Times New Roman" w:cs="Times New Roman"/>
          <w:szCs w:val="20"/>
        </w:rPr>
        <w:t xml:space="preserve"> e 3</w:t>
      </w:r>
      <w:r w:rsidRPr="00FA3856">
        <w:rPr>
          <w:rFonts w:ascii="Times New Roman" w:hAnsi="Times New Roman" w:cs="Times New Roman"/>
          <w:strike/>
          <w:szCs w:val="20"/>
        </w:rPr>
        <w:t>º</w:t>
      </w:r>
      <w:r w:rsidRPr="00FA3856">
        <w:rPr>
          <w:rFonts w:ascii="Times New Roman" w:hAnsi="Times New Roman" w:cs="Times New Roman"/>
          <w:szCs w:val="20"/>
        </w:rPr>
        <w:t>; Lei n</w:t>
      </w:r>
      <w:r w:rsidRPr="00FA3856">
        <w:rPr>
          <w:rFonts w:ascii="Times New Roman" w:hAnsi="Times New Roman" w:cs="Times New Roman"/>
          <w:strike/>
          <w:szCs w:val="20"/>
        </w:rPr>
        <w:t>º</w:t>
      </w:r>
      <w:r w:rsidRPr="00FA3856">
        <w:rPr>
          <w:rFonts w:ascii="Times New Roman" w:hAnsi="Times New Roman" w:cs="Times New Roman"/>
          <w:szCs w:val="20"/>
        </w:rPr>
        <w:t xml:space="preserve"> 9.430, de 1996, art. 16, § 4</w:t>
      </w:r>
      <w:r w:rsidRPr="00FA3856">
        <w:rPr>
          <w:rFonts w:ascii="Times New Roman" w:hAnsi="Times New Roman" w:cs="Times New Roman"/>
          <w:strike/>
          <w:szCs w:val="20"/>
        </w:rPr>
        <w:t>º</w:t>
      </w:r>
      <w:r w:rsidRPr="00FA3856">
        <w:rPr>
          <w:rFonts w:ascii="Times New Roman" w:hAnsi="Times New Roman" w:cs="Times New Roman"/>
          <w:szCs w:val="20"/>
        </w:rPr>
        <w:t>).</w:t>
      </w:r>
    </w:p>
    <w:p w:rsidR="00E304F7" w:rsidRPr="00FA3856" w:rsidRDefault="00E304F7" w:rsidP="001A6818">
      <w:pPr>
        <w:pStyle w:val="NormalWeb"/>
        <w:spacing w:before="0" w:after="0"/>
        <w:jc w:val="both"/>
        <w:rPr>
          <w:rFonts w:ascii="Times New Roman" w:hAnsi="Times New Roman" w:cs="Times New Roman"/>
          <w:szCs w:val="20"/>
        </w:rPr>
      </w:pPr>
    </w:p>
    <w:p w:rsidR="00CE1927" w:rsidRPr="00FA3856" w:rsidRDefault="00CE1927" w:rsidP="00E304F7">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Na determinação dos limites dos incentivos, não é permitido qualquer dedução a título de incentivo fiscal do adicional do imposto de renda (Lei n</w:t>
      </w:r>
      <w:r w:rsidRPr="00FA3856">
        <w:rPr>
          <w:rFonts w:ascii="Times New Roman" w:hAnsi="Times New Roman" w:cs="Times New Roman"/>
          <w:strike/>
          <w:szCs w:val="20"/>
        </w:rPr>
        <w:t>º</w:t>
      </w:r>
      <w:r w:rsidRPr="00FA3856">
        <w:rPr>
          <w:rFonts w:ascii="Times New Roman" w:hAnsi="Times New Roman" w:cs="Times New Roman"/>
          <w:szCs w:val="20"/>
        </w:rPr>
        <w:t xml:space="preserve"> 9.249, de 1995, art. 3</w:t>
      </w:r>
      <w:r w:rsidRPr="00FA3856">
        <w:rPr>
          <w:rFonts w:ascii="Times New Roman" w:hAnsi="Times New Roman" w:cs="Times New Roman"/>
          <w:strike/>
          <w:szCs w:val="20"/>
        </w:rPr>
        <w:t>º</w:t>
      </w:r>
      <w:r w:rsidRPr="00FA3856">
        <w:rPr>
          <w:rFonts w:ascii="Times New Roman" w:hAnsi="Times New Roman" w:cs="Times New Roman"/>
          <w:szCs w:val="20"/>
        </w:rPr>
        <w:t>, § 4</w:t>
      </w:r>
      <w:r w:rsidRPr="00FA3856">
        <w:rPr>
          <w:rFonts w:ascii="Times New Roman" w:hAnsi="Times New Roman" w:cs="Times New Roman"/>
          <w:strike/>
          <w:szCs w:val="20"/>
        </w:rPr>
        <w:t>º</w:t>
      </w:r>
      <w:r w:rsidRPr="00FA3856">
        <w:rPr>
          <w:rFonts w:ascii="Times New Roman" w:hAnsi="Times New Roman" w:cs="Times New Roman"/>
          <w:szCs w:val="20"/>
        </w:rPr>
        <w:t>).</w:t>
      </w:r>
    </w:p>
    <w:p w:rsidR="00E304F7" w:rsidRPr="00FA3856" w:rsidRDefault="00E304F7" w:rsidP="001A6818">
      <w:pPr>
        <w:pStyle w:val="NormalWeb"/>
        <w:spacing w:before="0" w:after="0"/>
        <w:jc w:val="both"/>
        <w:rPr>
          <w:rFonts w:ascii="Times New Roman" w:hAnsi="Times New Roman" w:cs="Times New Roman"/>
          <w:szCs w:val="20"/>
        </w:rPr>
      </w:pPr>
    </w:p>
    <w:p w:rsidR="00CE1927" w:rsidRPr="00FA3856" w:rsidRDefault="00CE1927" w:rsidP="001A6818">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Limites Individuais</w:t>
      </w:r>
    </w:p>
    <w:tbl>
      <w:tblPr>
        <w:tblW w:w="6538" w:type="dxa"/>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999"/>
        <w:gridCol w:w="1539"/>
      </w:tblGrid>
      <w:tr w:rsidR="0073224C" w:rsidRPr="00FA3856" w:rsidTr="0073224C">
        <w:trPr>
          <w:tblCellSpacing w:w="7" w:type="dxa"/>
          <w:jc w:val="center"/>
        </w:trPr>
        <w:tc>
          <w:tcPr>
            <w:tcW w:w="4978" w:type="dxa"/>
            <w:tcMar>
              <w:top w:w="0" w:type="dxa"/>
              <w:left w:w="0" w:type="dxa"/>
              <w:bottom w:w="0" w:type="dxa"/>
              <w:right w:w="0" w:type="dxa"/>
            </w:tcMar>
            <w:vAlign w:val="center"/>
            <w:hideMark/>
          </w:tcPr>
          <w:p w:rsidR="0073224C" w:rsidRPr="00FA3856" w:rsidRDefault="0073224C" w:rsidP="001A6818">
            <w:pPr>
              <w:jc w:val="both"/>
              <w:rPr>
                <w:color w:val="000000"/>
                <w:szCs w:val="20"/>
              </w:rPr>
            </w:pPr>
            <w:r w:rsidRPr="00FA3856">
              <w:rPr>
                <w:color w:val="000000"/>
                <w:szCs w:val="20"/>
              </w:rPr>
              <w:t>Incentivo</w:t>
            </w:r>
          </w:p>
        </w:tc>
        <w:tc>
          <w:tcPr>
            <w:tcW w:w="1518" w:type="dxa"/>
            <w:tcMar>
              <w:top w:w="0" w:type="dxa"/>
              <w:left w:w="0" w:type="dxa"/>
              <w:bottom w:w="0" w:type="dxa"/>
              <w:right w:w="0" w:type="dxa"/>
            </w:tcMar>
            <w:vAlign w:val="center"/>
            <w:hideMark/>
          </w:tcPr>
          <w:p w:rsidR="0073224C" w:rsidRPr="00FA3856" w:rsidRDefault="0073224C" w:rsidP="0073224C">
            <w:pPr>
              <w:jc w:val="center"/>
              <w:rPr>
                <w:color w:val="000000"/>
                <w:szCs w:val="20"/>
              </w:rPr>
            </w:pPr>
            <w:r w:rsidRPr="00FA3856">
              <w:rPr>
                <w:color w:val="000000"/>
                <w:szCs w:val="20"/>
              </w:rPr>
              <w:t>Limite individual</w:t>
            </w:r>
          </w:p>
        </w:tc>
      </w:tr>
      <w:tr w:rsidR="0073224C" w:rsidRPr="00FA3856" w:rsidTr="0073224C">
        <w:trPr>
          <w:tblCellSpacing w:w="7" w:type="dxa"/>
          <w:jc w:val="center"/>
        </w:trPr>
        <w:tc>
          <w:tcPr>
            <w:tcW w:w="4978" w:type="dxa"/>
            <w:tcMar>
              <w:top w:w="0" w:type="dxa"/>
              <w:left w:w="0" w:type="dxa"/>
              <w:bottom w:w="0" w:type="dxa"/>
              <w:right w:w="0" w:type="dxa"/>
            </w:tcMar>
            <w:vAlign w:val="center"/>
            <w:hideMark/>
          </w:tcPr>
          <w:p w:rsidR="0073224C" w:rsidRPr="00FA3856" w:rsidRDefault="0073224C" w:rsidP="001A6818">
            <w:pPr>
              <w:jc w:val="both"/>
              <w:rPr>
                <w:color w:val="000000"/>
                <w:szCs w:val="20"/>
              </w:rPr>
            </w:pPr>
            <w:r w:rsidRPr="00FA3856">
              <w:rPr>
                <w:color w:val="000000"/>
                <w:szCs w:val="20"/>
              </w:rPr>
              <w:t>Operação de Caráter Cultural e Artístico (Lei n</w:t>
            </w:r>
            <w:r w:rsidRPr="00FA3856">
              <w:rPr>
                <w:strike/>
                <w:color w:val="000000"/>
                <w:szCs w:val="20"/>
              </w:rPr>
              <w:t>º</w:t>
            </w:r>
            <w:r w:rsidRPr="00FA3856">
              <w:rPr>
                <w:color w:val="000000"/>
                <w:szCs w:val="20"/>
              </w:rPr>
              <w:t xml:space="preserve"> 8.313/1991)</w:t>
            </w:r>
          </w:p>
        </w:tc>
        <w:tc>
          <w:tcPr>
            <w:tcW w:w="1518" w:type="dxa"/>
            <w:tcMar>
              <w:top w:w="0" w:type="dxa"/>
              <w:left w:w="0" w:type="dxa"/>
              <w:bottom w:w="0" w:type="dxa"/>
              <w:right w:w="0" w:type="dxa"/>
            </w:tcMar>
            <w:vAlign w:val="center"/>
            <w:hideMark/>
          </w:tcPr>
          <w:p w:rsidR="0073224C" w:rsidRPr="00FA3856" w:rsidRDefault="0073224C" w:rsidP="0073224C">
            <w:pPr>
              <w:jc w:val="center"/>
              <w:rPr>
                <w:color w:val="000000"/>
                <w:szCs w:val="20"/>
              </w:rPr>
            </w:pPr>
            <w:r w:rsidRPr="00FA3856">
              <w:rPr>
                <w:color w:val="000000"/>
                <w:szCs w:val="20"/>
              </w:rPr>
              <w:t>4%</w:t>
            </w:r>
          </w:p>
        </w:tc>
      </w:tr>
      <w:tr w:rsidR="0073224C" w:rsidRPr="00FA3856" w:rsidTr="0073224C">
        <w:trPr>
          <w:tblCellSpacing w:w="7" w:type="dxa"/>
          <w:jc w:val="center"/>
        </w:trPr>
        <w:tc>
          <w:tcPr>
            <w:tcW w:w="4978" w:type="dxa"/>
            <w:tcMar>
              <w:top w:w="0" w:type="dxa"/>
              <w:left w:w="0" w:type="dxa"/>
              <w:bottom w:w="0" w:type="dxa"/>
              <w:right w:w="0" w:type="dxa"/>
            </w:tcMar>
            <w:vAlign w:val="center"/>
            <w:hideMark/>
          </w:tcPr>
          <w:p w:rsidR="0073224C" w:rsidRPr="00FA3856" w:rsidRDefault="0073224C" w:rsidP="001A6818">
            <w:pPr>
              <w:jc w:val="both"/>
              <w:rPr>
                <w:color w:val="000000"/>
                <w:szCs w:val="20"/>
              </w:rPr>
            </w:pPr>
            <w:r w:rsidRPr="00FA3856">
              <w:rPr>
                <w:color w:val="000000"/>
                <w:szCs w:val="20"/>
              </w:rPr>
              <w:t>Operações de Aquisição de Vale-Cultura</w:t>
            </w:r>
          </w:p>
        </w:tc>
        <w:tc>
          <w:tcPr>
            <w:tcW w:w="1518" w:type="dxa"/>
            <w:tcMar>
              <w:top w:w="0" w:type="dxa"/>
              <w:left w:w="0" w:type="dxa"/>
              <w:bottom w:w="0" w:type="dxa"/>
              <w:right w:w="0" w:type="dxa"/>
            </w:tcMar>
            <w:vAlign w:val="center"/>
            <w:hideMark/>
          </w:tcPr>
          <w:p w:rsidR="0073224C" w:rsidRPr="00FA3856" w:rsidRDefault="0073224C" w:rsidP="0073224C">
            <w:pPr>
              <w:jc w:val="center"/>
              <w:rPr>
                <w:color w:val="000000"/>
                <w:szCs w:val="20"/>
              </w:rPr>
            </w:pPr>
            <w:r w:rsidRPr="00FA3856">
              <w:rPr>
                <w:color w:val="000000"/>
                <w:szCs w:val="20"/>
              </w:rPr>
              <w:t>1%</w:t>
            </w:r>
          </w:p>
        </w:tc>
      </w:tr>
      <w:tr w:rsidR="0073224C" w:rsidRPr="00FA3856" w:rsidTr="0073224C">
        <w:trPr>
          <w:tblCellSpacing w:w="7" w:type="dxa"/>
          <w:jc w:val="center"/>
        </w:trPr>
        <w:tc>
          <w:tcPr>
            <w:tcW w:w="4978" w:type="dxa"/>
            <w:tcMar>
              <w:top w:w="0" w:type="dxa"/>
              <w:left w:w="0" w:type="dxa"/>
              <w:bottom w:w="0" w:type="dxa"/>
              <w:right w:w="0" w:type="dxa"/>
            </w:tcMar>
            <w:vAlign w:val="center"/>
            <w:hideMark/>
          </w:tcPr>
          <w:p w:rsidR="0073224C" w:rsidRPr="00FA3856" w:rsidRDefault="0073224C" w:rsidP="001A6818">
            <w:pPr>
              <w:jc w:val="both"/>
              <w:rPr>
                <w:color w:val="000000"/>
                <w:szCs w:val="20"/>
              </w:rPr>
            </w:pPr>
            <w:r w:rsidRPr="00FA3856">
              <w:rPr>
                <w:color w:val="000000"/>
                <w:szCs w:val="20"/>
              </w:rPr>
              <w:t>PAT - Programa de Alimentação do Trabalhador</w:t>
            </w:r>
          </w:p>
        </w:tc>
        <w:tc>
          <w:tcPr>
            <w:tcW w:w="1518" w:type="dxa"/>
            <w:tcMar>
              <w:top w:w="0" w:type="dxa"/>
              <w:left w:w="0" w:type="dxa"/>
              <w:bottom w:w="0" w:type="dxa"/>
              <w:right w:w="0" w:type="dxa"/>
            </w:tcMar>
            <w:vAlign w:val="center"/>
            <w:hideMark/>
          </w:tcPr>
          <w:p w:rsidR="0073224C" w:rsidRPr="00FA3856" w:rsidRDefault="0073224C" w:rsidP="0073224C">
            <w:pPr>
              <w:jc w:val="center"/>
              <w:rPr>
                <w:color w:val="000000"/>
                <w:szCs w:val="20"/>
              </w:rPr>
            </w:pPr>
            <w:r w:rsidRPr="00FA3856">
              <w:rPr>
                <w:color w:val="000000"/>
                <w:szCs w:val="20"/>
              </w:rPr>
              <w:t>4%</w:t>
            </w:r>
          </w:p>
        </w:tc>
      </w:tr>
      <w:tr w:rsidR="0073224C" w:rsidRPr="00FA3856" w:rsidTr="0073224C">
        <w:trPr>
          <w:tblCellSpacing w:w="7" w:type="dxa"/>
          <w:jc w:val="center"/>
        </w:trPr>
        <w:tc>
          <w:tcPr>
            <w:tcW w:w="4978" w:type="dxa"/>
            <w:tcMar>
              <w:top w:w="0" w:type="dxa"/>
              <w:left w:w="0" w:type="dxa"/>
              <w:bottom w:w="0" w:type="dxa"/>
              <w:right w:w="0" w:type="dxa"/>
            </w:tcMar>
            <w:vAlign w:val="center"/>
            <w:hideMark/>
          </w:tcPr>
          <w:p w:rsidR="0073224C" w:rsidRPr="00FA3856" w:rsidRDefault="0073224C" w:rsidP="001A6818">
            <w:pPr>
              <w:jc w:val="both"/>
              <w:rPr>
                <w:color w:val="000000"/>
                <w:szCs w:val="20"/>
              </w:rPr>
            </w:pPr>
            <w:r w:rsidRPr="00FA3856">
              <w:rPr>
                <w:color w:val="000000"/>
                <w:szCs w:val="20"/>
              </w:rPr>
              <w:t>PDTI/PDTA aprovado após 03.06.93</w:t>
            </w:r>
          </w:p>
        </w:tc>
        <w:tc>
          <w:tcPr>
            <w:tcW w:w="1518" w:type="dxa"/>
            <w:tcMar>
              <w:top w:w="0" w:type="dxa"/>
              <w:left w:w="0" w:type="dxa"/>
              <w:bottom w:w="0" w:type="dxa"/>
              <w:right w:w="0" w:type="dxa"/>
            </w:tcMar>
            <w:vAlign w:val="center"/>
            <w:hideMark/>
          </w:tcPr>
          <w:p w:rsidR="0073224C" w:rsidRPr="00FA3856" w:rsidRDefault="0073224C" w:rsidP="0073224C">
            <w:pPr>
              <w:jc w:val="center"/>
              <w:rPr>
                <w:color w:val="000000"/>
                <w:szCs w:val="20"/>
              </w:rPr>
            </w:pPr>
            <w:r w:rsidRPr="00FA3856">
              <w:rPr>
                <w:color w:val="000000"/>
                <w:szCs w:val="20"/>
              </w:rPr>
              <w:t>4%</w:t>
            </w:r>
          </w:p>
        </w:tc>
      </w:tr>
      <w:tr w:rsidR="0073224C" w:rsidRPr="00FA3856" w:rsidTr="0073224C">
        <w:trPr>
          <w:tblCellSpacing w:w="7" w:type="dxa"/>
          <w:jc w:val="center"/>
        </w:trPr>
        <w:tc>
          <w:tcPr>
            <w:tcW w:w="4978" w:type="dxa"/>
            <w:tcMar>
              <w:top w:w="0" w:type="dxa"/>
              <w:left w:w="0" w:type="dxa"/>
              <w:bottom w:w="0" w:type="dxa"/>
              <w:right w:w="0" w:type="dxa"/>
            </w:tcMar>
            <w:vAlign w:val="center"/>
            <w:hideMark/>
          </w:tcPr>
          <w:p w:rsidR="0073224C" w:rsidRPr="00FA3856" w:rsidRDefault="0073224C" w:rsidP="001A6818">
            <w:pPr>
              <w:jc w:val="both"/>
              <w:rPr>
                <w:color w:val="000000"/>
                <w:szCs w:val="20"/>
              </w:rPr>
            </w:pPr>
            <w:r w:rsidRPr="00FA3856">
              <w:rPr>
                <w:color w:val="000000"/>
                <w:szCs w:val="20"/>
              </w:rPr>
              <w:t xml:space="preserve">Atividades Audiovisuais </w:t>
            </w:r>
            <w:bookmarkStart w:id="158" w:name="subitem_15.7.9"/>
            <w:bookmarkEnd w:id="158"/>
            <w:r w:rsidRPr="00FA3856">
              <w:rPr>
                <w:color w:val="000000"/>
                <w:szCs w:val="20"/>
              </w:rPr>
              <w:t>(Lei nº 8.685, de 1993)</w:t>
            </w:r>
          </w:p>
        </w:tc>
        <w:tc>
          <w:tcPr>
            <w:tcW w:w="1518" w:type="dxa"/>
            <w:tcMar>
              <w:top w:w="0" w:type="dxa"/>
              <w:left w:w="0" w:type="dxa"/>
              <w:bottom w:w="0" w:type="dxa"/>
              <w:right w:w="0" w:type="dxa"/>
            </w:tcMar>
            <w:vAlign w:val="center"/>
            <w:hideMark/>
          </w:tcPr>
          <w:p w:rsidR="0073224C" w:rsidRPr="00FA3856" w:rsidRDefault="0073224C" w:rsidP="0073224C">
            <w:pPr>
              <w:jc w:val="center"/>
              <w:rPr>
                <w:color w:val="000000"/>
                <w:szCs w:val="20"/>
              </w:rPr>
            </w:pPr>
            <w:r w:rsidRPr="00FA3856">
              <w:rPr>
                <w:color w:val="000000"/>
                <w:szCs w:val="20"/>
              </w:rPr>
              <w:t>4%</w:t>
            </w:r>
          </w:p>
        </w:tc>
      </w:tr>
      <w:tr w:rsidR="0073224C" w:rsidRPr="00FA3856" w:rsidTr="0073224C">
        <w:trPr>
          <w:tblCellSpacing w:w="7" w:type="dxa"/>
          <w:jc w:val="center"/>
        </w:trPr>
        <w:tc>
          <w:tcPr>
            <w:tcW w:w="4978" w:type="dxa"/>
            <w:tcMar>
              <w:top w:w="0" w:type="dxa"/>
              <w:left w:w="0" w:type="dxa"/>
              <w:bottom w:w="0" w:type="dxa"/>
              <w:right w:w="0" w:type="dxa"/>
            </w:tcMar>
            <w:vAlign w:val="center"/>
            <w:hideMark/>
          </w:tcPr>
          <w:p w:rsidR="0073224C" w:rsidRPr="00FA3856" w:rsidRDefault="0073224C" w:rsidP="001A6818">
            <w:pPr>
              <w:jc w:val="both"/>
              <w:rPr>
                <w:color w:val="000000"/>
                <w:szCs w:val="20"/>
              </w:rPr>
            </w:pPr>
            <w:r w:rsidRPr="00FA3856">
              <w:rPr>
                <w:color w:val="000000"/>
                <w:szCs w:val="20"/>
              </w:rPr>
              <w:t>Fundos dos Direitos da Criança e do Adolescente</w:t>
            </w:r>
          </w:p>
        </w:tc>
        <w:tc>
          <w:tcPr>
            <w:tcW w:w="1518" w:type="dxa"/>
            <w:tcMar>
              <w:top w:w="0" w:type="dxa"/>
              <w:left w:w="0" w:type="dxa"/>
              <w:bottom w:w="0" w:type="dxa"/>
              <w:right w:w="0" w:type="dxa"/>
            </w:tcMar>
            <w:vAlign w:val="center"/>
            <w:hideMark/>
          </w:tcPr>
          <w:p w:rsidR="0073224C" w:rsidRPr="00FA3856" w:rsidRDefault="0073224C" w:rsidP="0073224C">
            <w:pPr>
              <w:jc w:val="center"/>
              <w:rPr>
                <w:color w:val="000000"/>
                <w:szCs w:val="20"/>
              </w:rPr>
            </w:pPr>
            <w:r w:rsidRPr="00FA3856">
              <w:rPr>
                <w:color w:val="000000"/>
                <w:szCs w:val="20"/>
              </w:rPr>
              <w:t>1%</w:t>
            </w:r>
          </w:p>
        </w:tc>
      </w:tr>
      <w:tr w:rsidR="0073224C" w:rsidRPr="00FA3856" w:rsidTr="0073224C">
        <w:trPr>
          <w:tblCellSpacing w:w="7" w:type="dxa"/>
          <w:jc w:val="center"/>
        </w:trPr>
        <w:tc>
          <w:tcPr>
            <w:tcW w:w="4978" w:type="dxa"/>
            <w:tcMar>
              <w:top w:w="0" w:type="dxa"/>
              <w:left w:w="0" w:type="dxa"/>
              <w:bottom w:w="0" w:type="dxa"/>
              <w:right w:w="0" w:type="dxa"/>
            </w:tcMar>
            <w:vAlign w:val="center"/>
            <w:hideMark/>
          </w:tcPr>
          <w:p w:rsidR="0073224C" w:rsidRPr="00FA3856" w:rsidRDefault="0073224C" w:rsidP="001A6818">
            <w:pPr>
              <w:jc w:val="both"/>
              <w:rPr>
                <w:color w:val="000000"/>
                <w:szCs w:val="20"/>
              </w:rPr>
            </w:pPr>
            <w:r w:rsidRPr="00FA3856">
              <w:rPr>
                <w:color w:val="000000"/>
                <w:szCs w:val="20"/>
              </w:rPr>
              <w:t>Fundos Nacional, Estaduais ou Municipais do Idoso</w:t>
            </w:r>
          </w:p>
        </w:tc>
        <w:tc>
          <w:tcPr>
            <w:tcW w:w="1518" w:type="dxa"/>
            <w:tcMar>
              <w:top w:w="0" w:type="dxa"/>
              <w:left w:w="0" w:type="dxa"/>
              <w:bottom w:w="0" w:type="dxa"/>
              <w:right w:w="0" w:type="dxa"/>
            </w:tcMar>
            <w:vAlign w:val="center"/>
            <w:hideMark/>
          </w:tcPr>
          <w:p w:rsidR="0073224C" w:rsidRPr="00FA3856" w:rsidRDefault="0073224C" w:rsidP="0073224C">
            <w:pPr>
              <w:jc w:val="center"/>
              <w:rPr>
                <w:color w:val="000000"/>
                <w:szCs w:val="20"/>
              </w:rPr>
            </w:pPr>
            <w:r w:rsidRPr="00FA3856">
              <w:rPr>
                <w:color w:val="000000"/>
                <w:szCs w:val="20"/>
              </w:rPr>
              <w:t>1%</w:t>
            </w:r>
          </w:p>
        </w:tc>
      </w:tr>
      <w:tr w:rsidR="0073224C" w:rsidRPr="00FA3856" w:rsidTr="0073224C">
        <w:trPr>
          <w:tblCellSpacing w:w="7" w:type="dxa"/>
          <w:jc w:val="center"/>
        </w:trPr>
        <w:tc>
          <w:tcPr>
            <w:tcW w:w="4978" w:type="dxa"/>
            <w:tcMar>
              <w:top w:w="0" w:type="dxa"/>
              <w:left w:w="0" w:type="dxa"/>
              <w:bottom w:w="0" w:type="dxa"/>
              <w:right w:w="0" w:type="dxa"/>
            </w:tcMar>
            <w:vAlign w:val="center"/>
            <w:hideMark/>
          </w:tcPr>
          <w:p w:rsidR="0073224C" w:rsidRPr="00FA3856" w:rsidRDefault="0073224C" w:rsidP="001A6818">
            <w:pPr>
              <w:jc w:val="both"/>
              <w:rPr>
                <w:color w:val="000000"/>
                <w:szCs w:val="20"/>
              </w:rPr>
            </w:pPr>
            <w:r w:rsidRPr="00FA3856">
              <w:rPr>
                <w:color w:val="000000"/>
                <w:szCs w:val="20"/>
              </w:rPr>
              <w:t>Atividades de Caráter Desportivo</w:t>
            </w:r>
          </w:p>
        </w:tc>
        <w:tc>
          <w:tcPr>
            <w:tcW w:w="1518" w:type="dxa"/>
            <w:tcMar>
              <w:top w:w="0" w:type="dxa"/>
              <w:left w:w="0" w:type="dxa"/>
              <w:bottom w:w="0" w:type="dxa"/>
              <w:right w:w="0" w:type="dxa"/>
            </w:tcMar>
            <w:vAlign w:val="center"/>
            <w:hideMark/>
          </w:tcPr>
          <w:p w:rsidR="0073224C" w:rsidRPr="00FA3856" w:rsidRDefault="0073224C" w:rsidP="0073224C">
            <w:pPr>
              <w:jc w:val="center"/>
              <w:rPr>
                <w:color w:val="000000"/>
                <w:szCs w:val="20"/>
              </w:rPr>
            </w:pPr>
            <w:r w:rsidRPr="00FA3856">
              <w:rPr>
                <w:color w:val="000000"/>
                <w:szCs w:val="20"/>
              </w:rPr>
              <w:t>1%</w:t>
            </w:r>
          </w:p>
        </w:tc>
      </w:tr>
      <w:tr w:rsidR="0073224C" w:rsidRPr="00FA3856" w:rsidTr="0073224C">
        <w:trPr>
          <w:tblCellSpacing w:w="7" w:type="dxa"/>
          <w:jc w:val="center"/>
        </w:trPr>
        <w:tc>
          <w:tcPr>
            <w:tcW w:w="4978" w:type="dxa"/>
            <w:tcMar>
              <w:top w:w="0" w:type="dxa"/>
              <w:left w:w="0" w:type="dxa"/>
              <w:bottom w:w="0" w:type="dxa"/>
              <w:right w:w="0" w:type="dxa"/>
            </w:tcMar>
            <w:vAlign w:val="center"/>
            <w:hideMark/>
          </w:tcPr>
          <w:p w:rsidR="0073224C" w:rsidRPr="00FA3856" w:rsidRDefault="0073224C" w:rsidP="001A6818">
            <w:pPr>
              <w:jc w:val="both"/>
              <w:rPr>
                <w:color w:val="000000"/>
                <w:szCs w:val="20"/>
              </w:rPr>
            </w:pPr>
            <w:r w:rsidRPr="00FA3856">
              <w:rPr>
                <w:color w:val="000000"/>
                <w:szCs w:val="20"/>
              </w:rPr>
              <w:t>PRONON</w:t>
            </w:r>
          </w:p>
        </w:tc>
        <w:tc>
          <w:tcPr>
            <w:tcW w:w="1518" w:type="dxa"/>
            <w:tcMar>
              <w:top w:w="0" w:type="dxa"/>
              <w:left w:w="0" w:type="dxa"/>
              <w:bottom w:w="0" w:type="dxa"/>
              <w:right w:w="0" w:type="dxa"/>
            </w:tcMar>
            <w:vAlign w:val="center"/>
            <w:hideMark/>
          </w:tcPr>
          <w:p w:rsidR="0073224C" w:rsidRPr="00FA3856" w:rsidRDefault="0073224C" w:rsidP="0073224C">
            <w:pPr>
              <w:jc w:val="center"/>
              <w:rPr>
                <w:color w:val="000000"/>
                <w:szCs w:val="20"/>
              </w:rPr>
            </w:pPr>
            <w:r w:rsidRPr="00FA3856">
              <w:rPr>
                <w:color w:val="000000"/>
                <w:szCs w:val="20"/>
              </w:rPr>
              <w:t>1%</w:t>
            </w:r>
          </w:p>
        </w:tc>
      </w:tr>
      <w:tr w:rsidR="0073224C" w:rsidRPr="00FA3856" w:rsidTr="0073224C">
        <w:trPr>
          <w:tblCellSpacing w:w="7" w:type="dxa"/>
          <w:jc w:val="center"/>
        </w:trPr>
        <w:tc>
          <w:tcPr>
            <w:tcW w:w="4978" w:type="dxa"/>
            <w:tcMar>
              <w:top w:w="0" w:type="dxa"/>
              <w:left w:w="0" w:type="dxa"/>
              <w:bottom w:w="0" w:type="dxa"/>
              <w:right w:w="0" w:type="dxa"/>
            </w:tcMar>
            <w:vAlign w:val="center"/>
            <w:hideMark/>
          </w:tcPr>
          <w:p w:rsidR="0073224C" w:rsidRPr="00FA3856" w:rsidRDefault="0073224C" w:rsidP="001A6818">
            <w:pPr>
              <w:jc w:val="both"/>
              <w:rPr>
                <w:color w:val="000000"/>
                <w:szCs w:val="20"/>
              </w:rPr>
            </w:pPr>
            <w:r w:rsidRPr="00FA3856">
              <w:rPr>
                <w:color w:val="000000"/>
                <w:szCs w:val="20"/>
              </w:rPr>
              <w:t>PRONAS/PCD</w:t>
            </w:r>
          </w:p>
        </w:tc>
        <w:tc>
          <w:tcPr>
            <w:tcW w:w="1518" w:type="dxa"/>
            <w:tcMar>
              <w:top w:w="0" w:type="dxa"/>
              <w:left w:w="0" w:type="dxa"/>
              <w:bottom w:w="0" w:type="dxa"/>
              <w:right w:w="0" w:type="dxa"/>
            </w:tcMar>
            <w:vAlign w:val="center"/>
            <w:hideMark/>
          </w:tcPr>
          <w:p w:rsidR="0073224C" w:rsidRPr="00FA3856" w:rsidRDefault="0073224C" w:rsidP="0073224C">
            <w:pPr>
              <w:jc w:val="center"/>
              <w:rPr>
                <w:color w:val="000000"/>
                <w:szCs w:val="20"/>
              </w:rPr>
            </w:pPr>
            <w:r w:rsidRPr="00FA3856">
              <w:rPr>
                <w:color w:val="000000"/>
                <w:szCs w:val="20"/>
              </w:rPr>
              <w:t>1%</w:t>
            </w:r>
          </w:p>
        </w:tc>
      </w:tr>
    </w:tbl>
    <w:p w:rsidR="00CE1927" w:rsidRPr="00FA3856" w:rsidRDefault="00CE1927" w:rsidP="001A6818">
      <w:pPr>
        <w:pStyle w:val="NormalWeb"/>
        <w:spacing w:before="0" w:after="0"/>
        <w:jc w:val="both"/>
        <w:rPr>
          <w:rFonts w:ascii="Times New Roman" w:hAnsi="Times New Roman" w:cs="Times New Roman"/>
          <w:color w:val="000000"/>
          <w:szCs w:val="20"/>
        </w:rPr>
      </w:pPr>
      <w:r w:rsidRPr="00FA3856">
        <w:rPr>
          <w:rFonts w:ascii="Times New Roman" w:hAnsi="Times New Roman" w:cs="Times New Roman"/>
          <w:szCs w:val="20"/>
        </w:rPr>
        <w:lastRenderedPageBreak/>
        <w:t> </w:t>
      </w:r>
    </w:p>
    <w:p w:rsidR="00CE1927" w:rsidRPr="00FA3856" w:rsidRDefault="00CE1927" w:rsidP="001A6818">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Limites Coletivos</w:t>
      </w:r>
    </w:p>
    <w:tbl>
      <w:tblPr>
        <w:tblW w:w="6341" w:type="dxa"/>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036"/>
        <w:gridCol w:w="1305"/>
      </w:tblGrid>
      <w:tr w:rsidR="0073224C" w:rsidRPr="00FA3856" w:rsidTr="0073224C">
        <w:trPr>
          <w:tblCellSpacing w:w="7" w:type="dxa"/>
          <w:jc w:val="center"/>
        </w:trPr>
        <w:tc>
          <w:tcPr>
            <w:tcW w:w="0" w:type="auto"/>
            <w:tcMar>
              <w:top w:w="0" w:type="dxa"/>
              <w:left w:w="0" w:type="dxa"/>
              <w:bottom w:w="0" w:type="dxa"/>
              <w:right w:w="0" w:type="dxa"/>
            </w:tcMar>
            <w:vAlign w:val="center"/>
            <w:hideMark/>
          </w:tcPr>
          <w:p w:rsidR="0073224C" w:rsidRPr="00FA3856" w:rsidRDefault="0073224C" w:rsidP="001A6818">
            <w:pPr>
              <w:jc w:val="both"/>
              <w:rPr>
                <w:color w:val="000000"/>
                <w:szCs w:val="20"/>
              </w:rPr>
            </w:pPr>
            <w:r w:rsidRPr="00FA3856">
              <w:rPr>
                <w:color w:val="000000"/>
                <w:szCs w:val="20"/>
              </w:rPr>
              <w:t>Incentivo</w:t>
            </w:r>
          </w:p>
        </w:tc>
        <w:tc>
          <w:tcPr>
            <w:tcW w:w="0" w:type="auto"/>
            <w:tcMar>
              <w:top w:w="0" w:type="dxa"/>
              <w:left w:w="0" w:type="dxa"/>
              <w:bottom w:w="0" w:type="dxa"/>
              <w:right w:w="0" w:type="dxa"/>
            </w:tcMar>
            <w:vAlign w:val="center"/>
            <w:hideMark/>
          </w:tcPr>
          <w:p w:rsidR="0073224C" w:rsidRPr="00FA3856" w:rsidRDefault="0073224C" w:rsidP="0073224C">
            <w:pPr>
              <w:jc w:val="center"/>
              <w:rPr>
                <w:color w:val="000000"/>
                <w:szCs w:val="20"/>
              </w:rPr>
            </w:pPr>
            <w:r w:rsidRPr="00FA3856">
              <w:rPr>
                <w:color w:val="000000"/>
                <w:szCs w:val="20"/>
              </w:rPr>
              <w:t>Limite coletivo</w:t>
            </w:r>
          </w:p>
        </w:tc>
      </w:tr>
      <w:tr w:rsidR="0073224C" w:rsidRPr="00FA3856" w:rsidTr="0073224C">
        <w:trPr>
          <w:tblCellSpacing w:w="7" w:type="dxa"/>
          <w:jc w:val="center"/>
        </w:trPr>
        <w:tc>
          <w:tcPr>
            <w:tcW w:w="0" w:type="auto"/>
            <w:tcMar>
              <w:top w:w="0" w:type="dxa"/>
              <w:left w:w="0" w:type="dxa"/>
              <w:bottom w:w="0" w:type="dxa"/>
              <w:right w:w="0" w:type="dxa"/>
            </w:tcMar>
            <w:vAlign w:val="center"/>
            <w:hideMark/>
          </w:tcPr>
          <w:p w:rsidR="0073224C" w:rsidRPr="00FA3856" w:rsidRDefault="0073224C" w:rsidP="001A6818">
            <w:pPr>
              <w:jc w:val="both"/>
              <w:rPr>
                <w:color w:val="000000"/>
                <w:szCs w:val="20"/>
              </w:rPr>
            </w:pPr>
            <w:r w:rsidRPr="00FA3856">
              <w:rPr>
                <w:color w:val="000000"/>
                <w:szCs w:val="20"/>
              </w:rPr>
              <w:t>Operação de Caráter Cultural e Artístico (Lei n</w:t>
            </w:r>
            <w:r w:rsidRPr="00FA3856">
              <w:rPr>
                <w:strike/>
                <w:color w:val="000000"/>
                <w:szCs w:val="20"/>
              </w:rPr>
              <w:t>º</w:t>
            </w:r>
            <w:r w:rsidRPr="00FA3856">
              <w:rPr>
                <w:color w:val="000000"/>
                <w:szCs w:val="20"/>
              </w:rPr>
              <w:t xml:space="preserve"> 8.313/1991)</w:t>
            </w:r>
          </w:p>
        </w:tc>
        <w:tc>
          <w:tcPr>
            <w:tcW w:w="0" w:type="auto"/>
            <w:vMerge w:val="restart"/>
            <w:tcMar>
              <w:top w:w="0" w:type="dxa"/>
              <w:left w:w="0" w:type="dxa"/>
              <w:bottom w:w="0" w:type="dxa"/>
              <w:right w:w="0" w:type="dxa"/>
            </w:tcMar>
            <w:vAlign w:val="center"/>
            <w:hideMark/>
          </w:tcPr>
          <w:p w:rsidR="0073224C" w:rsidRPr="00FA3856" w:rsidRDefault="0073224C" w:rsidP="0073224C">
            <w:pPr>
              <w:jc w:val="center"/>
              <w:rPr>
                <w:color w:val="000000"/>
                <w:szCs w:val="20"/>
              </w:rPr>
            </w:pPr>
            <w:r w:rsidRPr="00FA3856">
              <w:rPr>
                <w:color w:val="000000"/>
                <w:szCs w:val="20"/>
              </w:rPr>
              <w:t>4%</w:t>
            </w:r>
          </w:p>
          <w:p w:rsidR="0073224C" w:rsidRPr="00FA3856" w:rsidRDefault="0073224C" w:rsidP="0073224C">
            <w:pPr>
              <w:jc w:val="center"/>
              <w:rPr>
                <w:color w:val="000000"/>
                <w:szCs w:val="20"/>
              </w:rPr>
            </w:pPr>
          </w:p>
        </w:tc>
      </w:tr>
      <w:tr w:rsidR="0073224C" w:rsidRPr="00FA3856" w:rsidTr="0073224C">
        <w:trPr>
          <w:tblCellSpacing w:w="7" w:type="dxa"/>
          <w:jc w:val="center"/>
        </w:trPr>
        <w:tc>
          <w:tcPr>
            <w:tcW w:w="0" w:type="auto"/>
            <w:tcMar>
              <w:top w:w="0" w:type="dxa"/>
              <w:left w:w="0" w:type="dxa"/>
              <w:bottom w:w="0" w:type="dxa"/>
              <w:right w:w="0" w:type="dxa"/>
            </w:tcMar>
            <w:vAlign w:val="center"/>
            <w:hideMark/>
          </w:tcPr>
          <w:p w:rsidR="0073224C" w:rsidRPr="00FA3856" w:rsidRDefault="0073224C" w:rsidP="001A6818">
            <w:pPr>
              <w:jc w:val="both"/>
              <w:rPr>
                <w:color w:val="000000"/>
                <w:szCs w:val="20"/>
              </w:rPr>
            </w:pPr>
            <w:r w:rsidRPr="00FA3856">
              <w:rPr>
                <w:color w:val="000000"/>
                <w:szCs w:val="20"/>
              </w:rPr>
              <w:t>Atividades Audiovisuais (Lei nº 8.685, de 1993)</w:t>
            </w:r>
          </w:p>
        </w:tc>
        <w:tc>
          <w:tcPr>
            <w:tcW w:w="0" w:type="auto"/>
            <w:vMerge/>
            <w:vAlign w:val="center"/>
            <w:hideMark/>
          </w:tcPr>
          <w:p w:rsidR="0073224C" w:rsidRPr="00FA3856" w:rsidRDefault="0073224C" w:rsidP="0073224C">
            <w:pPr>
              <w:jc w:val="center"/>
              <w:rPr>
                <w:color w:val="000000"/>
                <w:szCs w:val="20"/>
              </w:rPr>
            </w:pPr>
          </w:p>
        </w:tc>
      </w:tr>
    </w:tbl>
    <w:p w:rsidR="00CE1927" w:rsidRPr="00FA3856" w:rsidRDefault="00CE1927" w:rsidP="001A6818">
      <w:pPr>
        <w:jc w:val="both"/>
        <w:rPr>
          <w:color w:val="000000"/>
          <w:szCs w:val="20"/>
        </w:rPr>
      </w:pPr>
      <w:r w:rsidRPr="00FA3856">
        <w:rPr>
          <w:color w:val="000000"/>
          <w:szCs w:val="20"/>
        </w:rPr>
        <w:t> </w:t>
      </w:r>
    </w:p>
    <w:tbl>
      <w:tblPr>
        <w:tblW w:w="6006" w:type="dxa"/>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548"/>
        <w:gridCol w:w="1458"/>
      </w:tblGrid>
      <w:tr w:rsidR="0073224C" w:rsidRPr="00FA3856" w:rsidTr="0073224C">
        <w:trPr>
          <w:tblCellSpacing w:w="7" w:type="dxa"/>
          <w:jc w:val="center"/>
        </w:trPr>
        <w:tc>
          <w:tcPr>
            <w:tcW w:w="0" w:type="auto"/>
            <w:tcMar>
              <w:top w:w="0" w:type="dxa"/>
              <w:left w:w="0" w:type="dxa"/>
              <w:bottom w:w="0" w:type="dxa"/>
              <w:right w:w="0" w:type="dxa"/>
            </w:tcMar>
            <w:vAlign w:val="center"/>
            <w:hideMark/>
          </w:tcPr>
          <w:p w:rsidR="0073224C" w:rsidRPr="00FA3856" w:rsidRDefault="0073224C" w:rsidP="001A6818">
            <w:pPr>
              <w:jc w:val="both"/>
              <w:rPr>
                <w:color w:val="000000"/>
                <w:szCs w:val="20"/>
              </w:rPr>
            </w:pPr>
            <w:r w:rsidRPr="00FA3856">
              <w:rPr>
                <w:color w:val="000000"/>
                <w:szCs w:val="20"/>
              </w:rPr>
              <w:t>Incentivo</w:t>
            </w:r>
          </w:p>
        </w:tc>
        <w:tc>
          <w:tcPr>
            <w:tcW w:w="0" w:type="auto"/>
            <w:tcMar>
              <w:top w:w="0" w:type="dxa"/>
              <w:left w:w="0" w:type="dxa"/>
              <w:bottom w:w="0" w:type="dxa"/>
              <w:right w:w="0" w:type="dxa"/>
            </w:tcMar>
            <w:vAlign w:val="center"/>
            <w:hideMark/>
          </w:tcPr>
          <w:p w:rsidR="0073224C" w:rsidRPr="00FA3856" w:rsidRDefault="0073224C" w:rsidP="0073224C">
            <w:pPr>
              <w:jc w:val="center"/>
              <w:rPr>
                <w:color w:val="000000"/>
                <w:szCs w:val="20"/>
              </w:rPr>
            </w:pPr>
            <w:r w:rsidRPr="00FA3856">
              <w:rPr>
                <w:color w:val="000000"/>
                <w:szCs w:val="20"/>
              </w:rPr>
              <w:t>Limite coletivo</w:t>
            </w:r>
          </w:p>
        </w:tc>
      </w:tr>
      <w:tr w:rsidR="0073224C" w:rsidRPr="00FA3856" w:rsidTr="0073224C">
        <w:trPr>
          <w:tblCellSpacing w:w="7" w:type="dxa"/>
          <w:jc w:val="center"/>
        </w:trPr>
        <w:tc>
          <w:tcPr>
            <w:tcW w:w="0" w:type="auto"/>
            <w:tcMar>
              <w:top w:w="0" w:type="dxa"/>
              <w:left w:w="0" w:type="dxa"/>
              <w:bottom w:w="0" w:type="dxa"/>
              <w:right w:w="0" w:type="dxa"/>
            </w:tcMar>
            <w:vAlign w:val="center"/>
            <w:hideMark/>
          </w:tcPr>
          <w:p w:rsidR="0073224C" w:rsidRPr="00FA3856" w:rsidRDefault="0073224C" w:rsidP="001A6818">
            <w:pPr>
              <w:jc w:val="both"/>
              <w:rPr>
                <w:color w:val="000000"/>
                <w:szCs w:val="20"/>
              </w:rPr>
            </w:pPr>
            <w:r w:rsidRPr="00FA3856">
              <w:rPr>
                <w:color w:val="000000"/>
                <w:szCs w:val="20"/>
              </w:rPr>
              <w:t>PAT - Programa de Alimentação do Trabalhador</w:t>
            </w:r>
          </w:p>
        </w:tc>
        <w:tc>
          <w:tcPr>
            <w:tcW w:w="0" w:type="auto"/>
            <w:vMerge w:val="restart"/>
            <w:tcMar>
              <w:top w:w="0" w:type="dxa"/>
              <w:left w:w="0" w:type="dxa"/>
              <w:bottom w:w="0" w:type="dxa"/>
              <w:right w:w="0" w:type="dxa"/>
            </w:tcMar>
            <w:vAlign w:val="center"/>
            <w:hideMark/>
          </w:tcPr>
          <w:p w:rsidR="0073224C" w:rsidRPr="00FA3856" w:rsidRDefault="0073224C" w:rsidP="0073224C">
            <w:pPr>
              <w:jc w:val="center"/>
              <w:rPr>
                <w:color w:val="000000"/>
                <w:szCs w:val="20"/>
              </w:rPr>
            </w:pPr>
            <w:r w:rsidRPr="00FA3856">
              <w:rPr>
                <w:color w:val="000000"/>
                <w:szCs w:val="20"/>
              </w:rPr>
              <w:t>4%</w:t>
            </w:r>
          </w:p>
        </w:tc>
      </w:tr>
      <w:tr w:rsidR="0073224C" w:rsidRPr="00FA3856" w:rsidTr="0073224C">
        <w:trPr>
          <w:tblCellSpacing w:w="7" w:type="dxa"/>
          <w:jc w:val="center"/>
        </w:trPr>
        <w:tc>
          <w:tcPr>
            <w:tcW w:w="0" w:type="auto"/>
            <w:tcMar>
              <w:top w:w="0" w:type="dxa"/>
              <w:left w:w="0" w:type="dxa"/>
              <w:bottom w:w="0" w:type="dxa"/>
              <w:right w:w="0" w:type="dxa"/>
            </w:tcMar>
            <w:vAlign w:val="center"/>
            <w:hideMark/>
          </w:tcPr>
          <w:p w:rsidR="0073224C" w:rsidRPr="00FA3856" w:rsidRDefault="0073224C" w:rsidP="001A6818">
            <w:pPr>
              <w:jc w:val="both"/>
              <w:rPr>
                <w:color w:val="000000"/>
                <w:szCs w:val="20"/>
              </w:rPr>
            </w:pPr>
            <w:r w:rsidRPr="00FA3856">
              <w:rPr>
                <w:color w:val="000000"/>
                <w:szCs w:val="20"/>
              </w:rPr>
              <w:t>PDTI/PDTA aprovado após 03.06.93</w:t>
            </w:r>
          </w:p>
        </w:tc>
        <w:tc>
          <w:tcPr>
            <w:tcW w:w="0" w:type="auto"/>
            <w:vMerge/>
            <w:vAlign w:val="center"/>
            <w:hideMark/>
          </w:tcPr>
          <w:p w:rsidR="0073224C" w:rsidRPr="00FA3856" w:rsidRDefault="0073224C" w:rsidP="0073224C">
            <w:pPr>
              <w:jc w:val="center"/>
              <w:rPr>
                <w:color w:val="000000"/>
                <w:szCs w:val="20"/>
              </w:rPr>
            </w:pPr>
          </w:p>
        </w:tc>
      </w:tr>
    </w:tbl>
    <w:p w:rsidR="0073224C" w:rsidRPr="00FA3856" w:rsidRDefault="0073224C" w:rsidP="001A6818">
      <w:pPr>
        <w:pStyle w:val="NormalWeb"/>
        <w:spacing w:before="0" w:after="0"/>
        <w:ind w:left="17"/>
        <w:jc w:val="both"/>
        <w:rPr>
          <w:rFonts w:ascii="Times New Roman" w:hAnsi="Times New Roman" w:cs="Times New Roman"/>
          <w:b/>
          <w:bCs/>
          <w:szCs w:val="20"/>
        </w:rPr>
      </w:pPr>
    </w:p>
    <w:p w:rsidR="00CE1927" w:rsidRPr="00FA3856" w:rsidRDefault="00B14A83" w:rsidP="001A6818">
      <w:pPr>
        <w:pStyle w:val="NormalWeb"/>
        <w:spacing w:before="0" w:after="0"/>
        <w:ind w:left="17"/>
        <w:jc w:val="both"/>
        <w:rPr>
          <w:rFonts w:ascii="Times New Roman" w:hAnsi="Times New Roman" w:cs="Times New Roman"/>
          <w:color w:val="000000"/>
          <w:szCs w:val="20"/>
        </w:rPr>
      </w:pPr>
      <w:r w:rsidRPr="00FA3856">
        <w:rPr>
          <w:rFonts w:ascii="Times New Roman" w:hAnsi="Times New Roman" w:cs="Times New Roman"/>
          <w:b/>
          <w:bCs/>
          <w:szCs w:val="20"/>
        </w:rPr>
        <w:t xml:space="preserve">V.10) </w:t>
      </w:r>
      <w:r w:rsidR="00CE1927" w:rsidRPr="00FA3856">
        <w:rPr>
          <w:rFonts w:ascii="Times New Roman" w:hAnsi="Times New Roman" w:cs="Times New Roman"/>
          <w:b/>
          <w:bCs/>
          <w:szCs w:val="20"/>
        </w:rPr>
        <w:t>Incentivos à Pesquisa Tecnológica e Desenvolvimento de Inovação Tecnológica</w:t>
      </w:r>
    </w:p>
    <w:p w:rsidR="0073224C" w:rsidRPr="00FA3856" w:rsidRDefault="0073224C" w:rsidP="001A6818">
      <w:pPr>
        <w:pStyle w:val="NormalWeb"/>
        <w:spacing w:before="0" w:after="0"/>
        <w:ind w:left="601"/>
        <w:jc w:val="both"/>
        <w:rPr>
          <w:rFonts w:ascii="Times New Roman" w:hAnsi="Times New Roman" w:cs="Times New Roman"/>
          <w:b/>
          <w:bCs/>
          <w:szCs w:val="20"/>
        </w:rPr>
      </w:pPr>
    </w:p>
    <w:p w:rsidR="00CE1927" w:rsidRPr="00FA3856" w:rsidRDefault="00CE1927" w:rsidP="0073224C">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Os Incentivos à pesquisa tecnológica e desenvolvimento de inovação tecnológica de que trata este item também se aplicam às instalações de empresas em Zonas de Processamento de Exportação (ZPE) criadas nos termos do inciso V do § 4</w:t>
      </w:r>
      <w:r w:rsidRPr="00FA3856">
        <w:rPr>
          <w:rFonts w:ascii="Times New Roman" w:hAnsi="Times New Roman" w:cs="Times New Roman"/>
          <w:strike/>
          <w:szCs w:val="20"/>
        </w:rPr>
        <w:t>º</w:t>
      </w:r>
      <w:r w:rsidRPr="00FA3856">
        <w:rPr>
          <w:rFonts w:ascii="Times New Roman" w:hAnsi="Times New Roman" w:cs="Times New Roman"/>
          <w:szCs w:val="20"/>
        </w:rPr>
        <w:t xml:space="preserve"> do art. 18 da Lei n</w:t>
      </w:r>
      <w:r w:rsidRPr="00FA3856">
        <w:rPr>
          <w:rFonts w:ascii="Times New Roman" w:hAnsi="Times New Roman" w:cs="Times New Roman"/>
          <w:strike/>
          <w:szCs w:val="20"/>
        </w:rPr>
        <w:t>º</w:t>
      </w:r>
      <w:r w:rsidRPr="00FA3856">
        <w:rPr>
          <w:rFonts w:ascii="Times New Roman" w:hAnsi="Times New Roman" w:cs="Times New Roman"/>
          <w:szCs w:val="20"/>
        </w:rPr>
        <w:t xml:space="preserve"> 11.508, de 20 de julho de 2007.</w:t>
      </w:r>
    </w:p>
    <w:p w:rsidR="0073224C" w:rsidRPr="00FA3856" w:rsidRDefault="0073224C" w:rsidP="001A6818">
      <w:pPr>
        <w:pStyle w:val="NormalWeb"/>
        <w:spacing w:before="0" w:after="0"/>
        <w:jc w:val="both"/>
        <w:rPr>
          <w:rFonts w:ascii="Times New Roman" w:hAnsi="Times New Roman" w:cs="Times New Roman"/>
          <w:b/>
          <w:bCs/>
          <w:szCs w:val="20"/>
        </w:rPr>
      </w:pPr>
    </w:p>
    <w:p w:rsidR="00CE1927" w:rsidRPr="00FA3856" w:rsidRDefault="00B14A83" w:rsidP="001A6818">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t xml:space="preserve">V.10.1) </w:t>
      </w:r>
      <w:r w:rsidR="00CE1927" w:rsidRPr="00FA3856">
        <w:rPr>
          <w:rFonts w:ascii="Times New Roman" w:hAnsi="Times New Roman" w:cs="Times New Roman"/>
          <w:b/>
          <w:bCs/>
          <w:szCs w:val="20"/>
        </w:rPr>
        <w:t>Deduções de Dispêndios para Efeito de Apuração do Lucro Real e da Base de Cálculo da CSLL</w:t>
      </w:r>
    </w:p>
    <w:p w:rsidR="0073224C" w:rsidRPr="00FA3856" w:rsidRDefault="0073224C" w:rsidP="001A6818">
      <w:pPr>
        <w:pStyle w:val="NormalWeb"/>
        <w:spacing w:before="0" w:after="0"/>
        <w:jc w:val="both"/>
        <w:rPr>
          <w:rFonts w:ascii="Times New Roman" w:hAnsi="Times New Roman" w:cs="Times New Roman"/>
          <w:szCs w:val="20"/>
        </w:rPr>
      </w:pPr>
    </w:p>
    <w:p w:rsidR="00CE1927" w:rsidRPr="00FA3856" w:rsidRDefault="00CE1927" w:rsidP="0073224C">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pessoa jurídica poderá deduzir do lucro líquido, para fins de determinação do lucro real e da base de cálculo da CSLL, o valor correspondente à soma dos dispêndios pagos a pessoas físicas ou jurídicas residentes e domiciliadas no País, realizados no período de apuração com pesquisa tecnológica e desenvolvimento de inovação tecnológica, classificáveis como despesas opera</w:t>
      </w:r>
      <w:bookmarkStart w:id="159" w:name="subitem_15.7.10"/>
      <w:bookmarkEnd w:id="159"/>
      <w:r w:rsidRPr="00FA3856">
        <w:rPr>
          <w:rFonts w:ascii="Times New Roman" w:hAnsi="Times New Roman" w:cs="Times New Roman"/>
          <w:szCs w:val="20"/>
        </w:rPr>
        <w:t>cionais pela legislação do IRPJ, inclusive:</w:t>
      </w:r>
    </w:p>
    <w:p w:rsidR="0073224C" w:rsidRPr="00FA3856" w:rsidRDefault="0073224C" w:rsidP="001A6818">
      <w:pPr>
        <w:pStyle w:val="NormalWeb"/>
        <w:spacing w:before="0" w:after="0"/>
        <w:jc w:val="both"/>
        <w:rPr>
          <w:rFonts w:ascii="Times New Roman" w:hAnsi="Times New Roman" w:cs="Times New Roman"/>
          <w:szCs w:val="20"/>
        </w:rPr>
      </w:pPr>
    </w:p>
    <w:p w:rsidR="00CE1927" w:rsidRPr="00FA3856" w:rsidRDefault="00CE1927" w:rsidP="0073224C">
      <w:pPr>
        <w:pStyle w:val="NormalWeb"/>
        <w:spacing w:before="0" w:after="0"/>
        <w:ind w:left="1416"/>
        <w:jc w:val="both"/>
        <w:rPr>
          <w:rFonts w:ascii="Times New Roman" w:hAnsi="Times New Roman" w:cs="Times New Roman"/>
          <w:szCs w:val="20"/>
        </w:rPr>
      </w:pPr>
      <w:r w:rsidRPr="00FA3856">
        <w:rPr>
          <w:rFonts w:ascii="Times New Roman" w:hAnsi="Times New Roman" w:cs="Times New Roman"/>
          <w:szCs w:val="20"/>
        </w:rPr>
        <w:t xml:space="preserve">a) os contratados no País com universidade, instituição de pesquisa ou inventor independente de que trata o </w:t>
      </w:r>
      <w:hyperlink r:id="rId213" w:anchor="art2ix" w:history="1">
        <w:r w:rsidRPr="00FA3856">
          <w:rPr>
            <w:rStyle w:val="Hyperlink"/>
            <w:rFonts w:ascii="Times New Roman" w:hAnsi="Times New Roman" w:cs="Times New Roman"/>
            <w:color w:val="auto"/>
            <w:szCs w:val="20"/>
          </w:rPr>
          <w:t>inciso IX do art. 2º da Lei nº 10.973, de 2 de dezembro de 2004,</w:t>
        </w:r>
      </w:hyperlink>
      <w:r w:rsidRPr="00FA3856">
        <w:rPr>
          <w:rFonts w:ascii="Times New Roman" w:hAnsi="Times New Roman" w:cs="Times New Roman"/>
          <w:szCs w:val="20"/>
        </w:rPr>
        <w:t xml:space="preserve"> desde que a pessoa jurídica que efetuou o dispêndio</w:t>
      </w:r>
      <w:bookmarkStart w:id="160" w:name="subitem_15.7.10.1"/>
      <w:bookmarkEnd w:id="160"/>
      <w:r w:rsidRPr="00FA3856">
        <w:rPr>
          <w:rFonts w:ascii="Times New Roman" w:hAnsi="Times New Roman" w:cs="Times New Roman"/>
          <w:szCs w:val="20"/>
        </w:rPr>
        <w:t xml:space="preserve"> fique com a responsabilidade, o risco empresarial, a gestão e o controle da utilização dos resultados dos dispêndios;</w:t>
      </w:r>
    </w:p>
    <w:p w:rsidR="00CE1927" w:rsidRPr="00FA3856" w:rsidRDefault="00CE1927" w:rsidP="0073224C">
      <w:pPr>
        <w:pStyle w:val="NormalWeb"/>
        <w:spacing w:before="0" w:after="0"/>
        <w:ind w:left="1416"/>
        <w:jc w:val="both"/>
        <w:rPr>
          <w:rFonts w:ascii="Times New Roman" w:hAnsi="Times New Roman" w:cs="Times New Roman"/>
          <w:szCs w:val="20"/>
        </w:rPr>
      </w:pPr>
      <w:r w:rsidRPr="00FA3856">
        <w:rPr>
          <w:rFonts w:ascii="Times New Roman" w:hAnsi="Times New Roman" w:cs="Times New Roman"/>
          <w:szCs w:val="20"/>
        </w:rPr>
        <w:t xml:space="preserve">b) as importâncias transferidas ao inventor independente de que trata o </w:t>
      </w:r>
      <w:hyperlink r:id="rId214" w:anchor="art2ix" w:history="1">
        <w:r w:rsidRPr="00FA3856">
          <w:rPr>
            <w:rStyle w:val="Hyperlink"/>
            <w:rFonts w:ascii="Times New Roman" w:hAnsi="Times New Roman" w:cs="Times New Roman"/>
            <w:color w:val="auto"/>
            <w:szCs w:val="20"/>
          </w:rPr>
          <w:t>inciso IX do art. 2º da Lei nº 10.973, de 2 de dezembro de 2004,</w:t>
        </w:r>
      </w:hyperlink>
      <w:r w:rsidRPr="00FA3856">
        <w:rPr>
          <w:rFonts w:ascii="Times New Roman" w:hAnsi="Times New Roman" w:cs="Times New Roman"/>
          <w:szCs w:val="20"/>
        </w:rPr>
        <w:t xml:space="preserve"> e a microempresas e empresas de pequeno porte de que trata a Lei Complementar n</w:t>
      </w:r>
      <w:r w:rsidRPr="00FA3856">
        <w:rPr>
          <w:rFonts w:ascii="Times New Roman" w:hAnsi="Times New Roman" w:cs="Times New Roman"/>
          <w:strike/>
          <w:szCs w:val="20"/>
        </w:rPr>
        <w:t>º</w:t>
      </w:r>
      <w:r w:rsidRPr="00FA3856">
        <w:rPr>
          <w:rFonts w:ascii="Times New Roman" w:hAnsi="Times New Roman" w:cs="Times New Roman"/>
          <w:szCs w:val="20"/>
        </w:rPr>
        <w:t xml:space="preserve"> 123, de 14 de dezembro de 2006, destinadas à execução de pesquisa tecnológica e de desenvolvimento de inovação tecnológica de interesse e por conta e ordem da pessoa jurídica que promoveu a transferência, ainda que a pessoa jurídica recebedora dessas importâncias venha a ter participação no resultado econômico do produto resultante.</w:t>
      </w:r>
    </w:p>
    <w:p w:rsidR="0073224C" w:rsidRPr="00FA3856" w:rsidRDefault="0073224C" w:rsidP="001A6818">
      <w:pPr>
        <w:pStyle w:val="NormalWeb"/>
        <w:spacing w:before="0" w:after="0"/>
        <w:jc w:val="both"/>
        <w:rPr>
          <w:rFonts w:ascii="Times New Roman" w:hAnsi="Times New Roman" w:cs="Times New Roman"/>
          <w:szCs w:val="20"/>
        </w:rPr>
      </w:pPr>
    </w:p>
    <w:p w:rsidR="00CE1927" w:rsidRPr="00FA3856" w:rsidRDefault="00CE1927" w:rsidP="0073224C">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As importâncias recebidas na forma da letra b não constituem receita das microempresas e empresa de pequeno porte sujeitas ao lucro real, desde que utilizadas integralmente na realização da pesquisa ou desenvolvimento de inovação tecnológica. Hipótese em que os dispêndios efetuados com a execução da pesquisa tecnológica e desenvolvimento de inovação tecnológica não serão dedutíveis na apuração do lucro real nem na determinação da base de cálculo da CSLL.</w:t>
      </w:r>
    </w:p>
    <w:p w:rsidR="0073224C" w:rsidRPr="00FA3856" w:rsidRDefault="0073224C" w:rsidP="001A6818">
      <w:pPr>
        <w:pStyle w:val="NormalWeb"/>
        <w:spacing w:before="0" w:after="0"/>
        <w:jc w:val="both"/>
        <w:rPr>
          <w:rFonts w:ascii="Times New Roman" w:hAnsi="Times New Roman" w:cs="Times New Roman"/>
          <w:szCs w:val="20"/>
        </w:rPr>
      </w:pPr>
    </w:p>
    <w:p w:rsidR="00CE1927" w:rsidRPr="00FA3856" w:rsidRDefault="00CE1927" w:rsidP="0073224C">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 xml:space="preserve">O disposto </w:t>
      </w:r>
      <w:r w:rsidR="00B5790B" w:rsidRPr="00FA3856">
        <w:rPr>
          <w:rFonts w:ascii="Times New Roman" w:hAnsi="Times New Roman" w:cs="Times New Roman"/>
          <w:szCs w:val="20"/>
        </w:rPr>
        <w:t>na letra</w:t>
      </w:r>
      <w:r w:rsidRPr="00FA3856">
        <w:rPr>
          <w:rFonts w:ascii="Times New Roman" w:hAnsi="Times New Roman" w:cs="Times New Roman"/>
          <w:szCs w:val="20"/>
        </w:rPr>
        <w:t xml:space="preserve"> b não se aplica a microempresas e empresas de pequeno porte optantes pelo Regime Especial Unificado de Arrecadação de Tributos e Contribuições devidos pelas Microempresas e Empresas de Pequeno Porte (Simples Nacional) de que trata a Lei Complementar n</w:t>
      </w:r>
      <w:r w:rsidRPr="00FA3856">
        <w:rPr>
          <w:rFonts w:ascii="Times New Roman" w:hAnsi="Times New Roman" w:cs="Times New Roman"/>
          <w:strike/>
          <w:szCs w:val="20"/>
        </w:rPr>
        <w:t>º</w:t>
      </w:r>
      <w:r w:rsidRPr="00FA3856">
        <w:rPr>
          <w:rFonts w:ascii="Times New Roman" w:hAnsi="Times New Roman" w:cs="Times New Roman"/>
          <w:szCs w:val="20"/>
        </w:rPr>
        <w:t xml:space="preserve"> 123, de 14 de dezembro de 2006.</w:t>
      </w:r>
    </w:p>
    <w:p w:rsidR="0073224C" w:rsidRPr="00FA3856" w:rsidRDefault="0073224C" w:rsidP="001A6818">
      <w:pPr>
        <w:pStyle w:val="NormalWeb"/>
        <w:spacing w:before="0" w:after="0"/>
        <w:jc w:val="both"/>
        <w:rPr>
          <w:rFonts w:ascii="Times New Roman" w:hAnsi="Times New Roman" w:cs="Times New Roman"/>
          <w:szCs w:val="20"/>
        </w:rPr>
      </w:pPr>
    </w:p>
    <w:p w:rsidR="00CE1927" w:rsidRPr="00FA3856" w:rsidRDefault="00CE1927" w:rsidP="0073224C">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Não é permitido o uso dos incentivos previstos neste subitem em relação aos dispêndios com pesquisa tecnológica e com desenvolvimento da inovação tecnológica, explorados ou contratados com empresas não tipificadas como microempresas e empresas de pequeno porte.</w:t>
      </w:r>
    </w:p>
    <w:p w:rsidR="0073224C" w:rsidRPr="00FA3856" w:rsidRDefault="0073224C" w:rsidP="001A6818">
      <w:pPr>
        <w:pStyle w:val="NormalWeb"/>
        <w:spacing w:before="0" w:after="0"/>
        <w:jc w:val="both"/>
        <w:rPr>
          <w:rFonts w:ascii="Times New Roman" w:hAnsi="Times New Roman" w:cs="Times New Roman"/>
          <w:szCs w:val="20"/>
        </w:rPr>
      </w:pPr>
    </w:p>
    <w:p w:rsidR="00CE1927" w:rsidRPr="00FA3856" w:rsidRDefault="00CE1927" w:rsidP="0073224C">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Essa vedação não impede, porém, a dedução, como despesas operacionais, dos dispêndios com pesquisa tecnológica e com desenvolvimento da inovação tecnológica, explorados ou contratados no País por empresas não tipificadas como microempresas e empresas de pequeno porte.</w:t>
      </w:r>
      <w:r w:rsidR="00DB03FC" w:rsidRPr="00FA3856">
        <w:rPr>
          <w:rFonts w:ascii="Times New Roman" w:hAnsi="Times New Roman" w:cs="Times New Roman"/>
          <w:szCs w:val="20"/>
        </w:rPr>
        <w:t xml:space="preserve"> </w:t>
      </w:r>
      <w:r w:rsidRPr="00FA3856">
        <w:rPr>
          <w:rFonts w:ascii="Times New Roman" w:hAnsi="Times New Roman" w:cs="Times New Roman"/>
          <w:szCs w:val="20"/>
        </w:rPr>
        <w:t xml:space="preserve">A parcela da depreciação normal das máquinas, equipamentos, aparelhos e instrumentos, e da amortização normal </w:t>
      </w:r>
      <w:r w:rsidRPr="00FA3856">
        <w:rPr>
          <w:rFonts w:ascii="Times New Roman" w:hAnsi="Times New Roman" w:cs="Times New Roman"/>
          <w:szCs w:val="20"/>
        </w:rPr>
        <w:lastRenderedPageBreak/>
        <w:t>dos bens intangíveis, destinados à utilização nas atividades de pesquisa tecnológica e desenvolvimento de inovação tecnológica, ainda que classificadas como despesas operacionais, não se tipificam como dispêndios realizados em pesquisa tecnológica e desenvolvimento de inovação tecnológica, para efeito da dedução para fins de terminação do lucro e da base de cálculo da CSLL.</w:t>
      </w:r>
    </w:p>
    <w:p w:rsidR="0073224C" w:rsidRPr="00FA3856" w:rsidRDefault="0073224C" w:rsidP="001A6818">
      <w:pPr>
        <w:pStyle w:val="NormalWeb"/>
        <w:spacing w:before="0" w:after="0"/>
        <w:ind w:left="601"/>
        <w:jc w:val="both"/>
        <w:rPr>
          <w:rFonts w:ascii="Times New Roman" w:hAnsi="Times New Roman" w:cs="Times New Roman"/>
          <w:b/>
          <w:bCs/>
          <w:szCs w:val="20"/>
        </w:rPr>
      </w:pPr>
    </w:p>
    <w:p w:rsidR="00CE1927" w:rsidRPr="00FA3856" w:rsidRDefault="00CE1927" w:rsidP="0073224C">
      <w:pPr>
        <w:pStyle w:val="NormalWeb"/>
        <w:spacing w:before="0" w:after="0"/>
        <w:ind w:left="601"/>
        <w:jc w:val="both"/>
        <w:rPr>
          <w:rFonts w:ascii="Times New Roman" w:hAnsi="Times New Roman" w:cs="Times New Roman"/>
          <w:szCs w:val="20"/>
        </w:rPr>
      </w:pPr>
      <w:r w:rsidRPr="00FA3856">
        <w:rPr>
          <w:rFonts w:ascii="Times New Roman" w:hAnsi="Times New Roman" w:cs="Times New Roman"/>
          <w:b/>
          <w:bCs/>
          <w:szCs w:val="20"/>
        </w:rPr>
        <w:t>Atenção:</w:t>
      </w:r>
      <w:r w:rsidR="0073224C" w:rsidRPr="00FA3856">
        <w:rPr>
          <w:rFonts w:ascii="Times New Roman" w:hAnsi="Times New Roman" w:cs="Times New Roman"/>
          <w:szCs w:val="20"/>
        </w:rPr>
        <w:t xml:space="preserve"> </w:t>
      </w:r>
      <w:r w:rsidRPr="00FA3856">
        <w:rPr>
          <w:rFonts w:ascii="Times New Roman" w:hAnsi="Times New Roman" w:cs="Times New Roman"/>
          <w:szCs w:val="20"/>
        </w:rPr>
        <w:t xml:space="preserve">Na hipótese de dispêndios com assistência técnica, científica ou assemelhados e de royalties por patentes industriais pagos a pessoa física ou jurídica no exterior, a dedutibilidade fica condicionada à observância do disposto </w:t>
      </w:r>
      <w:r w:rsidR="0073224C" w:rsidRPr="00FA3856">
        <w:rPr>
          <w:rFonts w:ascii="Times New Roman" w:hAnsi="Times New Roman" w:cs="Times New Roman"/>
          <w:szCs w:val="20"/>
        </w:rPr>
        <w:t>no subitem I.8)</w:t>
      </w:r>
      <w:r w:rsidRPr="00FA3856">
        <w:rPr>
          <w:rFonts w:ascii="Times New Roman" w:hAnsi="Times New Roman" w:cs="Times New Roman"/>
          <w:szCs w:val="20"/>
        </w:rPr>
        <w:t xml:space="preserve"> </w:t>
      </w:r>
      <w:r w:rsidRPr="00FA3856">
        <w:rPr>
          <w:rFonts w:ascii="Times New Roman" w:hAnsi="Times New Roman" w:cs="Times New Roman"/>
          <w:i/>
          <w:iCs/>
          <w:szCs w:val="20"/>
        </w:rPr>
        <w:t>Royalties</w:t>
      </w:r>
      <w:r w:rsidRPr="00FA3856">
        <w:rPr>
          <w:rFonts w:ascii="Times New Roman" w:hAnsi="Times New Roman" w:cs="Times New Roman"/>
          <w:szCs w:val="20"/>
        </w:rPr>
        <w:t xml:space="preserve"> e Assistência Técnica (Trimestral e Anual).</w:t>
      </w:r>
    </w:p>
    <w:p w:rsidR="0073224C" w:rsidRPr="00FA3856" w:rsidRDefault="0073224C" w:rsidP="001A6818">
      <w:pPr>
        <w:pStyle w:val="NormalWeb"/>
        <w:spacing w:before="0" w:after="0"/>
        <w:jc w:val="both"/>
        <w:rPr>
          <w:rFonts w:ascii="Times New Roman" w:hAnsi="Times New Roman" w:cs="Times New Roman"/>
          <w:b/>
          <w:bCs/>
          <w:szCs w:val="20"/>
        </w:rPr>
      </w:pPr>
    </w:p>
    <w:p w:rsidR="00CE1927" w:rsidRPr="00FA3856" w:rsidRDefault="00B14A83" w:rsidP="001A6818">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t xml:space="preserve">V.10.2) </w:t>
      </w:r>
      <w:r w:rsidR="00CE1927" w:rsidRPr="00FA3856">
        <w:rPr>
          <w:rFonts w:ascii="Times New Roman" w:hAnsi="Times New Roman" w:cs="Times New Roman"/>
          <w:b/>
          <w:bCs/>
          <w:szCs w:val="20"/>
        </w:rPr>
        <w:t>Depreciações e Amortizações Aceleradas para Efeito de Apuração do Lucro Real e da Base de Cálculo da CSLL</w:t>
      </w:r>
    </w:p>
    <w:p w:rsidR="0073224C" w:rsidRPr="00FA3856" w:rsidRDefault="0073224C" w:rsidP="001A6818">
      <w:pPr>
        <w:pStyle w:val="NormalWeb"/>
        <w:spacing w:before="0" w:after="0"/>
        <w:jc w:val="both"/>
        <w:rPr>
          <w:rFonts w:ascii="Times New Roman" w:hAnsi="Times New Roman" w:cs="Times New Roman"/>
          <w:szCs w:val="20"/>
        </w:rPr>
      </w:pPr>
    </w:p>
    <w:p w:rsidR="00CE1927" w:rsidRPr="00FA3856" w:rsidRDefault="00CE1927" w:rsidP="0073224C">
      <w:pPr>
        <w:pStyle w:val="NormalWeb"/>
        <w:spacing w:before="0" w:after="0"/>
        <w:ind w:firstLine="601"/>
        <w:jc w:val="both"/>
        <w:rPr>
          <w:rFonts w:ascii="Times New Roman" w:hAnsi="Times New Roman" w:cs="Times New Roman"/>
          <w:szCs w:val="20"/>
        </w:rPr>
      </w:pPr>
      <w:r w:rsidRPr="00FA3856">
        <w:rPr>
          <w:rFonts w:ascii="Times New Roman" w:hAnsi="Times New Roman" w:cs="Times New Roman"/>
          <w:szCs w:val="20"/>
        </w:rPr>
        <w:t>A pessoa jurídica que explorar atividades de pesquisa tecnológica e desenvolvimento de inovação tecnológica poderá usufruir de depreciação acelerada, calculada pela aplicação da taxa de depreciação usualmente admitida, multiplicada por dois, sem prejuízo da depreciação normal das máquinas, equipamentos, aparelhos e instrumentos novos, destinados à utilização nas atividades de pesquisa tecnológica e desenvolvimento de inovação tecnológica.</w:t>
      </w:r>
    </w:p>
    <w:p w:rsidR="0073224C" w:rsidRPr="00FA3856" w:rsidRDefault="0073224C" w:rsidP="001A6818">
      <w:pPr>
        <w:pStyle w:val="NormalWeb"/>
        <w:spacing w:before="0" w:after="0"/>
        <w:ind w:left="601"/>
        <w:jc w:val="both"/>
        <w:rPr>
          <w:rFonts w:ascii="Times New Roman" w:hAnsi="Times New Roman" w:cs="Times New Roman"/>
          <w:b/>
          <w:bCs/>
          <w:szCs w:val="20"/>
        </w:rPr>
      </w:pPr>
    </w:p>
    <w:p w:rsidR="00CE1927" w:rsidRPr="00FA3856" w:rsidRDefault="00CE1927" w:rsidP="001A6818">
      <w:pPr>
        <w:pStyle w:val="NormalWeb"/>
        <w:spacing w:before="0" w:after="0"/>
        <w:ind w:left="601"/>
        <w:jc w:val="both"/>
        <w:rPr>
          <w:rFonts w:ascii="Times New Roman" w:hAnsi="Times New Roman" w:cs="Times New Roman"/>
          <w:szCs w:val="20"/>
        </w:rPr>
      </w:pPr>
      <w:r w:rsidRPr="00FA3856">
        <w:rPr>
          <w:rFonts w:ascii="Times New Roman" w:hAnsi="Times New Roman" w:cs="Times New Roman"/>
          <w:b/>
          <w:bCs/>
          <w:szCs w:val="20"/>
        </w:rPr>
        <w:t>Atenção:</w:t>
      </w:r>
    </w:p>
    <w:p w:rsidR="00CE1927" w:rsidRPr="00FA3856" w:rsidRDefault="00CE1927" w:rsidP="001A6818">
      <w:pPr>
        <w:pStyle w:val="NormalWeb"/>
        <w:spacing w:before="0" w:after="0"/>
        <w:ind w:left="601"/>
        <w:jc w:val="both"/>
        <w:rPr>
          <w:rFonts w:ascii="Times New Roman" w:hAnsi="Times New Roman" w:cs="Times New Roman"/>
          <w:szCs w:val="20"/>
        </w:rPr>
      </w:pPr>
      <w:r w:rsidRPr="00FA3856">
        <w:rPr>
          <w:rFonts w:ascii="Times New Roman" w:hAnsi="Times New Roman" w:cs="Times New Roman"/>
          <w:szCs w:val="20"/>
        </w:rPr>
        <w:t>1) A depreciação acelerada nesse caso somente poderá ser efetuada a partir da data em que o bem estiver instalado, posto em serviço ou em condições de produzir.</w:t>
      </w:r>
    </w:p>
    <w:p w:rsidR="00CE1927" w:rsidRPr="00FA3856" w:rsidRDefault="00CE1927" w:rsidP="001A6818">
      <w:pPr>
        <w:pStyle w:val="NormalWeb"/>
        <w:spacing w:before="0" w:after="0"/>
        <w:ind w:left="601"/>
        <w:jc w:val="both"/>
        <w:rPr>
          <w:rFonts w:ascii="Times New Roman" w:hAnsi="Times New Roman" w:cs="Times New Roman"/>
          <w:szCs w:val="20"/>
        </w:rPr>
      </w:pPr>
      <w:r w:rsidRPr="00FA3856">
        <w:rPr>
          <w:rFonts w:ascii="Times New Roman" w:hAnsi="Times New Roman" w:cs="Times New Roman"/>
          <w:szCs w:val="20"/>
        </w:rPr>
        <w:t>2) A depreciação acelerada multiplicada por dois não se aplica para fins de determinação da base de cálculo da CS</w:t>
      </w:r>
      <w:bookmarkStart w:id="161" w:name="subitem_15.7.10.2"/>
      <w:bookmarkEnd w:id="161"/>
      <w:r w:rsidRPr="00FA3856">
        <w:rPr>
          <w:rFonts w:ascii="Times New Roman" w:hAnsi="Times New Roman" w:cs="Times New Roman"/>
          <w:szCs w:val="20"/>
        </w:rPr>
        <w:t>LL.</w:t>
      </w:r>
    </w:p>
    <w:p w:rsidR="0073224C" w:rsidRPr="00FA3856" w:rsidRDefault="0073224C" w:rsidP="001A6818">
      <w:pPr>
        <w:pStyle w:val="NormalWeb"/>
        <w:spacing w:before="0" w:after="0"/>
        <w:jc w:val="both"/>
        <w:rPr>
          <w:rFonts w:ascii="Times New Roman" w:hAnsi="Times New Roman" w:cs="Times New Roman"/>
          <w:szCs w:val="20"/>
        </w:rPr>
      </w:pPr>
    </w:p>
    <w:p w:rsidR="00CE1927" w:rsidRPr="00FA3856" w:rsidRDefault="00CE1927" w:rsidP="0073224C">
      <w:pPr>
        <w:pStyle w:val="NormalWeb"/>
        <w:spacing w:before="0" w:after="0"/>
        <w:ind w:firstLine="601"/>
        <w:jc w:val="both"/>
        <w:rPr>
          <w:rFonts w:ascii="Times New Roman" w:hAnsi="Times New Roman" w:cs="Times New Roman"/>
          <w:szCs w:val="20"/>
        </w:rPr>
      </w:pPr>
      <w:r w:rsidRPr="00FA3856">
        <w:rPr>
          <w:rFonts w:ascii="Times New Roman" w:hAnsi="Times New Roman" w:cs="Times New Roman"/>
          <w:szCs w:val="20"/>
        </w:rPr>
        <w:t>A partir de 13 de maio de 2008 (edição da Medida Provisória n</w:t>
      </w:r>
      <w:r w:rsidRPr="00FA3856">
        <w:rPr>
          <w:rFonts w:ascii="Times New Roman" w:hAnsi="Times New Roman" w:cs="Times New Roman"/>
          <w:strike/>
          <w:szCs w:val="20"/>
        </w:rPr>
        <w:t>º</w:t>
      </w:r>
      <w:r w:rsidRPr="00FA3856">
        <w:rPr>
          <w:rFonts w:ascii="Times New Roman" w:hAnsi="Times New Roman" w:cs="Times New Roman"/>
          <w:szCs w:val="20"/>
        </w:rPr>
        <w:t xml:space="preserve"> 428, de 12 de maio de 2008), a depreciação acelerada passa a ser integral, no próprio ano da aquisição das máquinas, equipamentos, aparelhos e instrumentos, novos adquiridos para utilização nas atividades de pesquisa tecnológica e desenvolvimento de inovação tecnológica, para fins de determinação do lucro real e da base de cálculo da CSLL.</w:t>
      </w:r>
    </w:p>
    <w:p w:rsidR="0073224C" w:rsidRPr="00FA3856" w:rsidRDefault="0073224C" w:rsidP="001A6818">
      <w:pPr>
        <w:pStyle w:val="NormalWeb"/>
        <w:spacing w:before="0" w:after="0"/>
        <w:jc w:val="both"/>
        <w:rPr>
          <w:rFonts w:ascii="Times New Roman" w:hAnsi="Times New Roman" w:cs="Times New Roman"/>
          <w:szCs w:val="20"/>
        </w:rPr>
      </w:pPr>
    </w:p>
    <w:p w:rsidR="00CE1927" w:rsidRPr="00FA3856" w:rsidRDefault="00CE1927" w:rsidP="0073224C">
      <w:pPr>
        <w:pStyle w:val="NormalWeb"/>
        <w:spacing w:before="0" w:after="0"/>
        <w:ind w:firstLine="601"/>
        <w:jc w:val="both"/>
        <w:rPr>
          <w:rFonts w:ascii="Times New Roman" w:hAnsi="Times New Roman" w:cs="Times New Roman"/>
          <w:szCs w:val="20"/>
        </w:rPr>
      </w:pPr>
      <w:r w:rsidRPr="00FA3856">
        <w:rPr>
          <w:rFonts w:ascii="Times New Roman" w:hAnsi="Times New Roman" w:cs="Times New Roman"/>
          <w:szCs w:val="20"/>
        </w:rPr>
        <w:t>Nas duas hipóteses (acelerada ou integral), a quota de depreciação acelerada será controlada no Lalur. E o total da depreciação acumulada, incluindo a contábil e a acelerada, não poderá ultrapassar o custo de aquisição do bem que está sendo depreciado. A partir do período de apuração em que for atingido esse limite, o valor da depreciação, registrado na escrituração comercial, deverá ser adicionado ao lucro líquido para efeito de determinação do lucro real (na primeira e na segunda hipóteses) e também para determinação da base de cálculo da CSLL (na segunda hipótese).</w:t>
      </w:r>
    </w:p>
    <w:p w:rsidR="0073224C" w:rsidRPr="00FA3856" w:rsidRDefault="0073224C" w:rsidP="001A6818">
      <w:pPr>
        <w:pStyle w:val="NormalWeb"/>
        <w:spacing w:before="0" w:after="0"/>
        <w:jc w:val="both"/>
        <w:rPr>
          <w:rFonts w:ascii="Times New Roman" w:hAnsi="Times New Roman" w:cs="Times New Roman"/>
          <w:szCs w:val="20"/>
        </w:rPr>
      </w:pPr>
    </w:p>
    <w:p w:rsidR="00CE1927" w:rsidRPr="00FA3856" w:rsidRDefault="00CE1927" w:rsidP="0073224C">
      <w:pPr>
        <w:pStyle w:val="NormalWeb"/>
        <w:spacing w:before="0" w:after="0"/>
        <w:ind w:firstLine="601"/>
        <w:jc w:val="both"/>
        <w:rPr>
          <w:rFonts w:ascii="Times New Roman" w:hAnsi="Times New Roman" w:cs="Times New Roman"/>
          <w:szCs w:val="20"/>
        </w:rPr>
      </w:pPr>
      <w:r w:rsidRPr="00FA3856">
        <w:rPr>
          <w:rFonts w:ascii="Times New Roman" w:hAnsi="Times New Roman" w:cs="Times New Roman"/>
          <w:szCs w:val="20"/>
        </w:rPr>
        <w:t>A pessoa jurídica que explorar atividades de pesquisa tecnológica e desenvolvimento de inovação tecnológica também poderá usufruir de amortização acelerada, mediante dedução como custo ou despesa operacional, no período de apuração em que forem efetuados, dos dispêndios relativos à aquisição de bens intangíveis, vinculados exclusivamente às atividades de pesquisa tecnológica e desenvolvimento de inovação tecnológica, para efeito de apuração do IRPJ (não se aplica para a CSLL).</w:t>
      </w:r>
    </w:p>
    <w:p w:rsidR="0073224C" w:rsidRPr="00FA3856" w:rsidRDefault="0073224C" w:rsidP="001A6818">
      <w:pPr>
        <w:pStyle w:val="NormalWeb"/>
        <w:spacing w:before="0" w:after="0"/>
        <w:ind w:left="601"/>
        <w:jc w:val="both"/>
        <w:rPr>
          <w:rFonts w:ascii="Times New Roman" w:hAnsi="Times New Roman" w:cs="Times New Roman"/>
          <w:b/>
          <w:bCs/>
          <w:szCs w:val="20"/>
        </w:rPr>
      </w:pPr>
    </w:p>
    <w:p w:rsidR="00CE1927" w:rsidRPr="00FA3856" w:rsidRDefault="00CE1927" w:rsidP="0073224C">
      <w:pPr>
        <w:pStyle w:val="NormalWeb"/>
        <w:spacing w:before="0" w:after="0"/>
        <w:ind w:left="601"/>
        <w:jc w:val="both"/>
        <w:rPr>
          <w:rFonts w:ascii="Times New Roman" w:hAnsi="Times New Roman" w:cs="Times New Roman"/>
          <w:szCs w:val="20"/>
        </w:rPr>
      </w:pPr>
      <w:r w:rsidRPr="00FA3856">
        <w:rPr>
          <w:rFonts w:ascii="Times New Roman" w:hAnsi="Times New Roman" w:cs="Times New Roman"/>
          <w:b/>
          <w:bCs/>
          <w:szCs w:val="20"/>
        </w:rPr>
        <w:t>Atenção:</w:t>
      </w:r>
      <w:r w:rsidR="0073224C" w:rsidRPr="00FA3856">
        <w:rPr>
          <w:rFonts w:ascii="Times New Roman" w:hAnsi="Times New Roman" w:cs="Times New Roman"/>
          <w:szCs w:val="20"/>
        </w:rPr>
        <w:t xml:space="preserve"> </w:t>
      </w:r>
      <w:r w:rsidRPr="00FA3856">
        <w:rPr>
          <w:rFonts w:ascii="Times New Roman" w:hAnsi="Times New Roman" w:cs="Times New Roman"/>
          <w:szCs w:val="20"/>
        </w:rPr>
        <w:t>A amortização acelerada não se aplica para fins de determinação da base de cálculo da CSLL.</w:t>
      </w:r>
    </w:p>
    <w:p w:rsidR="0073224C" w:rsidRPr="00FA3856" w:rsidRDefault="0073224C" w:rsidP="001A6818">
      <w:pPr>
        <w:pStyle w:val="NormalWeb"/>
        <w:spacing w:before="0" w:after="0"/>
        <w:jc w:val="both"/>
        <w:rPr>
          <w:rFonts w:ascii="Times New Roman" w:hAnsi="Times New Roman" w:cs="Times New Roman"/>
          <w:szCs w:val="20"/>
        </w:rPr>
      </w:pPr>
    </w:p>
    <w:p w:rsidR="00CE1927" w:rsidRPr="00FA3856" w:rsidRDefault="00CE1927" w:rsidP="0073224C">
      <w:pPr>
        <w:pStyle w:val="NormalWeb"/>
        <w:spacing w:before="0" w:after="0"/>
        <w:ind w:firstLine="601"/>
        <w:jc w:val="both"/>
        <w:rPr>
          <w:rFonts w:ascii="Times New Roman" w:hAnsi="Times New Roman" w:cs="Times New Roman"/>
          <w:szCs w:val="20"/>
        </w:rPr>
      </w:pPr>
      <w:r w:rsidRPr="00FA3856">
        <w:rPr>
          <w:rFonts w:ascii="Times New Roman" w:hAnsi="Times New Roman" w:cs="Times New Roman"/>
          <w:szCs w:val="20"/>
        </w:rPr>
        <w:t>Caso a pessoa jurídica não tenha registrado a amortização acelerada incentivada diretamente na contabilidade, poderá excluir o valor correspondente aos dispêndios relativos à aquisição de bens intangíveis do lucro líquido para fins de determinação do lucro real. Sendo que, nessa hipótese, a quota de amortização acelerada será controlada no Lalur. O total da amortização acumulada, incluindo a contábil e a acelerada, não poderá ultrapassar o custo de aquisição do bem que está sendo amortizado. A partir do período de apuração em que for atingido esse limite, o valor da amortização, registrado na escrituração comercial, deverá ser adicionado ao lucro líquido para efeito de determinação do lucro real.</w:t>
      </w:r>
    </w:p>
    <w:p w:rsidR="0073224C" w:rsidRPr="00FA3856" w:rsidRDefault="0073224C">
      <w:pPr>
        <w:spacing w:after="200" w:line="276" w:lineRule="auto"/>
        <w:rPr>
          <w:rFonts w:eastAsia="Arial Unicode MS"/>
          <w:b/>
          <w:bCs/>
          <w:szCs w:val="20"/>
          <w:lang w:eastAsia="ar-SA"/>
        </w:rPr>
      </w:pPr>
      <w:r w:rsidRPr="00FA3856">
        <w:rPr>
          <w:b/>
          <w:bCs/>
          <w:szCs w:val="20"/>
        </w:rPr>
        <w:br w:type="page"/>
      </w:r>
    </w:p>
    <w:p w:rsidR="00CE1927" w:rsidRPr="00FA3856" w:rsidRDefault="00B14A83" w:rsidP="001A6818">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lastRenderedPageBreak/>
        <w:t xml:space="preserve">V.10.3) </w:t>
      </w:r>
      <w:r w:rsidR="00CE1927" w:rsidRPr="00FA3856">
        <w:rPr>
          <w:rFonts w:ascii="Times New Roman" w:hAnsi="Times New Roman" w:cs="Times New Roman"/>
          <w:b/>
          <w:bCs/>
          <w:szCs w:val="20"/>
        </w:rPr>
        <w:t>Exclusões de Dispêndios para Efeito de Apuração do Lucro Real e da Base de Cálculo da CSLL</w:t>
      </w:r>
    </w:p>
    <w:p w:rsidR="0073224C" w:rsidRPr="00FA3856" w:rsidRDefault="0073224C" w:rsidP="001A6818">
      <w:pPr>
        <w:pStyle w:val="NormalWeb"/>
        <w:spacing w:before="0" w:after="0"/>
        <w:jc w:val="both"/>
        <w:rPr>
          <w:rFonts w:ascii="Times New Roman" w:hAnsi="Times New Roman" w:cs="Times New Roman"/>
          <w:szCs w:val="20"/>
        </w:rPr>
      </w:pPr>
    </w:p>
    <w:p w:rsidR="00CE1927" w:rsidRPr="00FA3856" w:rsidRDefault="00CE1927" w:rsidP="0073224C">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 xml:space="preserve">Sem prejuízo das deduções como despesas operacionais como assinalado no subitem </w:t>
      </w:r>
      <w:r w:rsidR="0073224C" w:rsidRPr="00FA3856">
        <w:rPr>
          <w:rFonts w:ascii="Times New Roman" w:hAnsi="Times New Roman" w:cs="Times New Roman"/>
          <w:bCs/>
          <w:szCs w:val="20"/>
        </w:rPr>
        <w:t>V.10.1</w:t>
      </w:r>
      <w:r w:rsidRPr="00FA3856">
        <w:rPr>
          <w:rFonts w:ascii="Times New Roman" w:hAnsi="Times New Roman" w:cs="Times New Roman"/>
          <w:szCs w:val="20"/>
        </w:rPr>
        <w:t>, a pessoa jurídica poderá excluir do lucro líquido, para fins de determinação do lucro real e da base de cálculo da CSLL, o valor correspondente a até 60% (sessenta por cento) da soma dos dispêndios realizados no período de apuração com pesquisa tecnológica e desenvolvimento de inovação tecnológica.</w:t>
      </w:r>
    </w:p>
    <w:p w:rsidR="0073224C" w:rsidRPr="00FA3856" w:rsidRDefault="0073224C" w:rsidP="001A6818">
      <w:pPr>
        <w:pStyle w:val="NormalWeb"/>
        <w:spacing w:before="0" w:after="0"/>
        <w:jc w:val="both"/>
        <w:rPr>
          <w:rFonts w:ascii="Times New Roman" w:hAnsi="Times New Roman" w:cs="Times New Roman"/>
          <w:szCs w:val="20"/>
        </w:rPr>
      </w:pPr>
    </w:p>
    <w:p w:rsidR="00CE1927" w:rsidRPr="00FA3856" w:rsidRDefault="00CE1927" w:rsidP="0073224C">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exclusão poderá chegar a:</w:t>
      </w:r>
    </w:p>
    <w:p w:rsidR="0073224C" w:rsidRPr="00FA3856" w:rsidRDefault="0073224C" w:rsidP="0073224C">
      <w:pPr>
        <w:pStyle w:val="NormalWeb"/>
        <w:spacing w:before="0" w:after="0"/>
        <w:ind w:left="1416"/>
        <w:jc w:val="both"/>
        <w:rPr>
          <w:rFonts w:ascii="Times New Roman" w:hAnsi="Times New Roman" w:cs="Times New Roman"/>
          <w:szCs w:val="20"/>
        </w:rPr>
      </w:pPr>
    </w:p>
    <w:p w:rsidR="00CE1927" w:rsidRPr="00FA3856" w:rsidRDefault="00CE1927" w:rsidP="0073224C">
      <w:pPr>
        <w:pStyle w:val="NormalWeb"/>
        <w:spacing w:before="0" w:after="0"/>
        <w:ind w:left="1416"/>
        <w:jc w:val="both"/>
        <w:rPr>
          <w:rFonts w:ascii="Times New Roman" w:hAnsi="Times New Roman" w:cs="Times New Roman"/>
          <w:szCs w:val="20"/>
        </w:rPr>
      </w:pPr>
      <w:r w:rsidRPr="00FA3856">
        <w:rPr>
          <w:rFonts w:ascii="Times New Roman" w:hAnsi="Times New Roman" w:cs="Times New Roman"/>
          <w:szCs w:val="20"/>
        </w:rPr>
        <w:t>a) até 80% (oitenta por cento), no caso de a pessoa jurídica incrementar o número de pesquisadores contratados no ano-calendário de gozo do incentivo em percentual acima de 5% (cinco por cento), em relação à média de pesquisadores com contratos em vigor no ano-calendário anterior ao de gozo do incentivo; e</w:t>
      </w:r>
    </w:p>
    <w:p w:rsidR="00CE1927" w:rsidRPr="00FA3856" w:rsidRDefault="00CE1927" w:rsidP="0073224C">
      <w:pPr>
        <w:pStyle w:val="NormalWeb"/>
        <w:spacing w:before="0" w:after="0"/>
        <w:ind w:left="1416"/>
        <w:jc w:val="both"/>
        <w:rPr>
          <w:rFonts w:ascii="Times New Roman" w:hAnsi="Times New Roman" w:cs="Times New Roman"/>
          <w:szCs w:val="20"/>
        </w:rPr>
      </w:pPr>
      <w:r w:rsidRPr="00FA3856">
        <w:rPr>
          <w:rFonts w:ascii="Times New Roman" w:hAnsi="Times New Roman" w:cs="Times New Roman"/>
          <w:szCs w:val="20"/>
        </w:rPr>
        <w:t>b) até 70% (set</w:t>
      </w:r>
      <w:bookmarkStart w:id="162" w:name="subitem_15.7.10.3"/>
      <w:bookmarkEnd w:id="162"/>
      <w:r w:rsidRPr="00FA3856">
        <w:rPr>
          <w:rFonts w:ascii="Times New Roman" w:hAnsi="Times New Roman" w:cs="Times New Roman"/>
          <w:szCs w:val="20"/>
        </w:rPr>
        <w:t>enta por cento), no caso de a pessoa jurídica incrementar o número de pesquisadores contratados no ano-calendário de gozo do incentivo até 5% (cinco por cento), em relação à média de pesquisadores com contratos em vigor no ano-calendário anterior ao de gozo do incentivo.</w:t>
      </w:r>
    </w:p>
    <w:p w:rsidR="0073224C" w:rsidRPr="00FA3856" w:rsidRDefault="0073224C" w:rsidP="001A6818">
      <w:pPr>
        <w:pStyle w:val="NormalWeb"/>
        <w:spacing w:before="0" w:after="0"/>
        <w:jc w:val="both"/>
        <w:rPr>
          <w:rFonts w:ascii="Times New Roman" w:hAnsi="Times New Roman" w:cs="Times New Roman"/>
          <w:szCs w:val="20"/>
        </w:rPr>
      </w:pPr>
    </w:p>
    <w:p w:rsidR="00CE1927" w:rsidRPr="00FA3856" w:rsidRDefault="00CE1927" w:rsidP="0073224C">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Para o cálculo dos percentuais assinalados:</w:t>
      </w:r>
    </w:p>
    <w:p w:rsidR="00CE1927" w:rsidRPr="00FA3856" w:rsidRDefault="00CE1927" w:rsidP="0073224C">
      <w:pPr>
        <w:pStyle w:val="NormalWeb"/>
        <w:spacing w:before="0" w:after="0"/>
        <w:ind w:left="1416"/>
        <w:jc w:val="both"/>
        <w:rPr>
          <w:rFonts w:ascii="Times New Roman" w:hAnsi="Times New Roman" w:cs="Times New Roman"/>
          <w:szCs w:val="20"/>
        </w:rPr>
      </w:pPr>
      <w:r w:rsidRPr="00FA3856">
        <w:rPr>
          <w:rFonts w:ascii="Times New Roman" w:hAnsi="Times New Roman" w:cs="Times New Roman"/>
          <w:szCs w:val="20"/>
        </w:rPr>
        <w:t>a) também podem ser considerados os pesquisadores já contratados pela empresa, não atuantes em projeto de pesquisa tecnológica e desenvolvimento de inovação tecnológica, que alterem os seus contratos de trabalho e passem a exercer a função de pesquisador em projeto de pesquisa tecnológica e desenvolvimento de inovação tecnológica da empresa.</w:t>
      </w:r>
    </w:p>
    <w:p w:rsidR="00CE1927" w:rsidRPr="00FA3856" w:rsidRDefault="00CE1927" w:rsidP="0073224C">
      <w:pPr>
        <w:pStyle w:val="NormalWeb"/>
        <w:spacing w:before="0" w:after="0"/>
        <w:ind w:left="1416"/>
        <w:jc w:val="both"/>
        <w:rPr>
          <w:rFonts w:ascii="Times New Roman" w:hAnsi="Times New Roman" w:cs="Times New Roman"/>
          <w:szCs w:val="20"/>
        </w:rPr>
      </w:pPr>
      <w:r w:rsidRPr="00FA3856">
        <w:rPr>
          <w:rFonts w:ascii="Times New Roman" w:hAnsi="Times New Roman" w:cs="Times New Roman"/>
          <w:szCs w:val="20"/>
        </w:rPr>
        <w:t>b) não podem ser considerados os pesquisadores sem dedicação exclusiva em projeto de pesquisa tecnológica e desenvolvimento de inovação tecnológica da empresa.</w:t>
      </w:r>
    </w:p>
    <w:p w:rsidR="0073224C" w:rsidRPr="00FA3856" w:rsidRDefault="0073224C" w:rsidP="001A6818">
      <w:pPr>
        <w:pStyle w:val="NormalWeb"/>
        <w:spacing w:before="0" w:after="0"/>
        <w:jc w:val="both"/>
        <w:rPr>
          <w:rFonts w:ascii="Times New Roman" w:hAnsi="Times New Roman" w:cs="Times New Roman"/>
          <w:szCs w:val="20"/>
        </w:rPr>
      </w:pPr>
    </w:p>
    <w:p w:rsidR="00CE1927" w:rsidRPr="00FA3856" w:rsidRDefault="00CE1927" w:rsidP="0073224C">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Na hipótese de pessoa jurídica que se dedica exclusivamente a pesquisa tecnológica e desenvolvimento de inovação tecnológica, para o cálculo dos percentuais, também poderão ser considerados os sócios que atuem com dedicação de pelo menos 20 (vinte) horas semanais na atividade de pesquisa tecnológica e desenvolvimento de inovação tecnológica explorada pela própria pessoa jurídica.</w:t>
      </w:r>
    </w:p>
    <w:p w:rsidR="0073224C" w:rsidRPr="00FA3856" w:rsidRDefault="0073224C" w:rsidP="001A6818">
      <w:pPr>
        <w:pStyle w:val="NormalWeb"/>
        <w:spacing w:before="0" w:after="0"/>
        <w:jc w:val="both"/>
        <w:rPr>
          <w:rFonts w:ascii="Times New Roman" w:hAnsi="Times New Roman" w:cs="Times New Roman"/>
          <w:szCs w:val="20"/>
        </w:rPr>
      </w:pPr>
    </w:p>
    <w:p w:rsidR="00CE1927" w:rsidRPr="00FA3856" w:rsidRDefault="00CE1927" w:rsidP="0073224C">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Sem prejuízo das deduções nos percentuais assinalados, a pessoa jurídica poderá excluir do lucro líquido, na determinação do lucro real e da base de cálculo da CSLL, o valor de até 20% (vinte por cento) da soma dos dispêndios ou pagamentos vinculados à pesquisa tecnológica e desenvolvimento de inovação tecnológica objeto de patente concedida ou cultivar registrado. Hipótese em que os dispêndios deverão ser registrados na Parte B do Lalur e excluídos na determinação do lucro real e da base de cálculo da CSLL no período de apuração da concessão da patente ou do registro do cultivar.</w:t>
      </w:r>
    </w:p>
    <w:p w:rsidR="0073224C" w:rsidRPr="00FA3856" w:rsidRDefault="0073224C" w:rsidP="001A6818">
      <w:pPr>
        <w:pStyle w:val="NormalWeb"/>
        <w:spacing w:before="0" w:after="0"/>
        <w:jc w:val="both"/>
        <w:rPr>
          <w:rFonts w:ascii="Times New Roman" w:hAnsi="Times New Roman" w:cs="Times New Roman"/>
          <w:szCs w:val="20"/>
        </w:rPr>
      </w:pPr>
    </w:p>
    <w:p w:rsidR="00CE1927" w:rsidRPr="00FA3856" w:rsidRDefault="00CE1927" w:rsidP="0073224C">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Em qualquer das hipóteses a exclusão fica limitada ao valor do lucro real e da base de cálculo da CSLL, antes da própria exclusão, vedado o aproveitamento de eventual excesso em período de apuração posterior, exceto na hipótese da pessoa jurídica que se dedica exclusivamente à pesquisa tecnológica e desenvolvimento de inovação tecnológica.</w:t>
      </w:r>
    </w:p>
    <w:p w:rsidR="0073224C" w:rsidRPr="00FA3856" w:rsidRDefault="0073224C" w:rsidP="001A6818">
      <w:pPr>
        <w:pStyle w:val="NormalWeb"/>
        <w:spacing w:before="0" w:after="0"/>
        <w:jc w:val="both"/>
        <w:rPr>
          <w:rFonts w:ascii="Times New Roman" w:hAnsi="Times New Roman" w:cs="Times New Roman"/>
          <w:b/>
          <w:bCs/>
          <w:szCs w:val="20"/>
        </w:rPr>
      </w:pPr>
    </w:p>
    <w:p w:rsidR="00CE1927" w:rsidRPr="00FA3856" w:rsidRDefault="00B14A83" w:rsidP="001A6818">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t xml:space="preserve">V.10.4) </w:t>
      </w:r>
      <w:r w:rsidR="00CE1927" w:rsidRPr="00FA3856">
        <w:rPr>
          <w:rFonts w:ascii="Times New Roman" w:hAnsi="Times New Roman" w:cs="Times New Roman"/>
          <w:b/>
          <w:bCs/>
          <w:szCs w:val="20"/>
        </w:rPr>
        <w:t>Exclusões de Dispêndios Contratados com ICT para Efeito de Apuração do Lucro Real e da Base de Cálculo da CSLL</w:t>
      </w:r>
    </w:p>
    <w:p w:rsidR="0073224C" w:rsidRPr="00FA3856" w:rsidRDefault="0073224C" w:rsidP="001A6818">
      <w:pPr>
        <w:pStyle w:val="NormalWeb"/>
        <w:spacing w:before="0" w:after="0"/>
        <w:jc w:val="both"/>
        <w:rPr>
          <w:rFonts w:ascii="Times New Roman" w:hAnsi="Times New Roman" w:cs="Times New Roman"/>
          <w:szCs w:val="20"/>
        </w:rPr>
      </w:pPr>
    </w:p>
    <w:p w:rsidR="00CE1927" w:rsidRPr="00FA3856" w:rsidRDefault="00CE1927" w:rsidP="0073224C">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pessoa jurídica poderá excluir do lucro líquido, para efeito de apuração do lucro real e da base de cálculo da CSLL, o valor dos dispêndios efetivados em projeto de pesquisa científica e tecnológica e de inovação tecnológica a ser executado por Instituição Científica e Tecnológica (ICT), a que se refere o inciso V do caput do art. 2</w:t>
      </w:r>
      <w:r w:rsidRPr="00FA3856">
        <w:rPr>
          <w:rFonts w:ascii="Times New Roman" w:hAnsi="Times New Roman" w:cs="Times New Roman"/>
          <w:strike/>
          <w:szCs w:val="20"/>
        </w:rPr>
        <w:t>º</w:t>
      </w:r>
      <w:r w:rsidRPr="00FA3856">
        <w:rPr>
          <w:rFonts w:ascii="Times New Roman" w:hAnsi="Times New Roman" w:cs="Times New Roman"/>
          <w:szCs w:val="20"/>
        </w:rPr>
        <w:t xml:space="preserve"> da Lei n</w:t>
      </w:r>
      <w:r w:rsidRPr="00FA3856">
        <w:rPr>
          <w:rFonts w:ascii="Times New Roman" w:hAnsi="Times New Roman" w:cs="Times New Roman"/>
          <w:strike/>
          <w:szCs w:val="20"/>
        </w:rPr>
        <w:t>º</w:t>
      </w:r>
      <w:r w:rsidRPr="00FA3856">
        <w:rPr>
          <w:rFonts w:ascii="Times New Roman" w:hAnsi="Times New Roman" w:cs="Times New Roman"/>
          <w:szCs w:val="20"/>
        </w:rPr>
        <w:t xml:space="preserve"> 10.973, de 2 de dezembro de 2004.</w:t>
      </w:r>
    </w:p>
    <w:p w:rsidR="0073224C" w:rsidRPr="00FA3856" w:rsidRDefault="0073224C" w:rsidP="001A6818">
      <w:pPr>
        <w:pStyle w:val="NormalWeb"/>
        <w:spacing w:before="0" w:after="0"/>
        <w:jc w:val="both"/>
        <w:rPr>
          <w:rFonts w:ascii="Times New Roman" w:hAnsi="Times New Roman" w:cs="Times New Roman"/>
          <w:szCs w:val="20"/>
        </w:rPr>
      </w:pPr>
    </w:p>
    <w:p w:rsidR="00CE1927" w:rsidRPr="00FA3856" w:rsidRDefault="00CE1927" w:rsidP="0073224C">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exclusão:</w:t>
      </w:r>
    </w:p>
    <w:p w:rsidR="0073224C" w:rsidRPr="00FA3856" w:rsidRDefault="0073224C" w:rsidP="0073224C">
      <w:pPr>
        <w:pStyle w:val="NormalWeb"/>
        <w:spacing w:before="0" w:after="0"/>
        <w:ind w:left="708" w:firstLine="708"/>
        <w:jc w:val="both"/>
        <w:rPr>
          <w:rFonts w:ascii="Times New Roman" w:hAnsi="Times New Roman" w:cs="Times New Roman"/>
          <w:szCs w:val="20"/>
        </w:rPr>
      </w:pPr>
    </w:p>
    <w:p w:rsidR="00CE1927" w:rsidRPr="00FA3856" w:rsidRDefault="00CE1927" w:rsidP="0073224C">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a) corresponderá, à opção da pessoa jurídica, a, no mínimo, a metade e, no máximo, duas vezes e meia o valor dos dispêndios efetuados.</w:t>
      </w:r>
    </w:p>
    <w:p w:rsidR="00CE1927" w:rsidRPr="00FA3856" w:rsidRDefault="00CE1927" w:rsidP="0073224C">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 xml:space="preserve">b) deverá ser realizada no período de apuração em que os recursos forem efetivamente despendidos; </w:t>
      </w:r>
    </w:p>
    <w:p w:rsidR="00CE1927" w:rsidRPr="00FA3856" w:rsidRDefault="00CE1927" w:rsidP="0073224C">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c) fica limitada ao valor do lucro real e da base de cálculo da CSLL antes da própria exclus</w:t>
      </w:r>
      <w:bookmarkStart w:id="163" w:name="subitem_15.7.10.4"/>
      <w:bookmarkEnd w:id="163"/>
      <w:r w:rsidRPr="00FA3856">
        <w:rPr>
          <w:rFonts w:ascii="Times New Roman" w:hAnsi="Times New Roman" w:cs="Times New Roman"/>
          <w:szCs w:val="20"/>
        </w:rPr>
        <w:t>ão, vedado o aproveitamento de eventual excesso em período de apuração posterior.</w:t>
      </w:r>
    </w:p>
    <w:p w:rsidR="0073224C" w:rsidRPr="00FA3856" w:rsidRDefault="0073224C" w:rsidP="001A6818">
      <w:pPr>
        <w:pStyle w:val="NormalWeb"/>
        <w:spacing w:before="0" w:after="0"/>
        <w:jc w:val="both"/>
        <w:rPr>
          <w:rFonts w:ascii="Times New Roman" w:hAnsi="Times New Roman" w:cs="Times New Roman"/>
          <w:szCs w:val="20"/>
        </w:rPr>
      </w:pPr>
    </w:p>
    <w:p w:rsidR="00CE1927" w:rsidRPr="00FA3856" w:rsidRDefault="00CE1927" w:rsidP="0073224C">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Deverão ser adicionados na apuração do lucro real e na base de cálculo da CSLL os dispêndios registrados como despesa ou custo operacional. As adições serão proporcionais ao valor da exclusão referida quando a exclusão for inferior a 100% (cem por cento).</w:t>
      </w:r>
    </w:p>
    <w:p w:rsidR="00CE1927" w:rsidRPr="00FA3856" w:rsidRDefault="00CE1927" w:rsidP="0073224C">
      <w:pPr>
        <w:pStyle w:val="NormalWeb"/>
        <w:spacing w:before="0" w:after="0"/>
        <w:ind w:left="708"/>
        <w:jc w:val="both"/>
        <w:rPr>
          <w:rFonts w:ascii="Times New Roman" w:hAnsi="Times New Roman" w:cs="Times New Roman"/>
          <w:szCs w:val="20"/>
        </w:rPr>
      </w:pPr>
      <w:r w:rsidRPr="00FA3856">
        <w:rPr>
          <w:rFonts w:ascii="Times New Roman" w:hAnsi="Times New Roman" w:cs="Times New Roman"/>
          <w:szCs w:val="20"/>
        </w:rPr>
        <w:lastRenderedPageBreak/>
        <w:t>A pessoa jurídica somente poderá fazer uso da exclusão apenas em relação aos projetos previamente aprovados:</w:t>
      </w:r>
    </w:p>
    <w:p w:rsidR="0073224C" w:rsidRPr="00FA3856" w:rsidRDefault="0073224C" w:rsidP="001A6818">
      <w:pPr>
        <w:pStyle w:val="NormalWeb"/>
        <w:spacing w:before="0" w:after="0"/>
        <w:jc w:val="both"/>
        <w:rPr>
          <w:rFonts w:ascii="Times New Roman" w:hAnsi="Times New Roman" w:cs="Times New Roman"/>
          <w:szCs w:val="20"/>
        </w:rPr>
      </w:pPr>
    </w:p>
    <w:p w:rsidR="00CE1927" w:rsidRPr="00FA3856" w:rsidRDefault="00CE1927" w:rsidP="0073224C">
      <w:pPr>
        <w:pStyle w:val="NormalWeb"/>
        <w:spacing w:before="0" w:after="0"/>
        <w:ind w:left="1416"/>
        <w:jc w:val="both"/>
        <w:rPr>
          <w:rFonts w:ascii="Times New Roman" w:hAnsi="Times New Roman" w:cs="Times New Roman"/>
          <w:szCs w:val="20"/>
        </w:rPr>
      </w:pPr>
      <w:r w:rsidRPr="00FA3856">
        <w:rPr>
          <w:rFonts w:ascii="Times New Roman" w:hAnsi="Times New Roman" w:cs="Times New Roman"/>
          <w:szCs w:val="20"/>
        </w:rPr>
        <w:t>a) pelo Comitê Permanente de Acompanhamento de Ações de Pesquisa Científica e Tecnológica e de Inovação Tecnológica constituído por representantes do Ministério da Ciência e Tecnologia, do Ministério do Desenvolvimento, Indústria e Comércio Exterior e do Ministério da Educação, indicados pelos respectivos Ministros de Estado;</w:t>
      </w:r>
    </w:p>
    <w:p w:rsidR="00CE1927" w:rsidRPr="00FA3856" w:rsidRDefault="00CE1927" w:rsidP="0073224C">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b) pelo órgão máximo da ICT, ouvido o núcleo de inovação tecnológica da instituição, na forma do art. 16 da Lei n</w:t>
      </w:r>
      <w:r w:rsidRPr="00FA3856">
        <w:rPr>
          <w:rFonts w:ascii="Times New Roman" w:hAnsi="Times New Roman" w:cs="Times New Roman"/>
          <w:strike/>
          <w:szCs w:val="20"/>
        </w:rPr>
        <w:t>º</w:t>
      </w:r>
      <w:r w:rsidRPr="00FA3856">
        <w:rPr>
          <w:rFonts w:ascii="Times New Roman" w:hAnsi="Times New Roman" w:cs="Times New Roman"/>
          <w:szCs w:val="20"/>
        </w:rPr>
        <w:t xml:space="preserve"> 10.973, de 2 de dezembro de 2004.</w:t>
      </w:r>
    </w:p>
    <w:p w:rsidR="0073224C" w:rsidRPr="00FA3856" w:rsidRDefault="0073224C" w:rsidP="001A6818">
      <w:pPr>
        <w:pStyle w:val="NormalWeb"/>
        <w:spacing w:before="0" w:after="0"/>
        <w:ind w:left="601"/>
        <w:jc w:val="both"/>
        <w:rPr>
          <w:rFonts w:ascii="Times New Roman" w:hAnsi="Times New Roman" w:cs="Times New Roman"/>
          <w:b/>
          <w:bCs/>
          <w:szCs w:val="20"/>
        </w:rPr>
      </w:pPr>
    </w:p>
    <w:p w:rsidR="00CE1927" w:rsidRPr="00FA3856" w:rsidRDefault="00CE1927" w:rsidP="0073224C">
      <w:pPr>
        <w:pStyle w:val="NormalWeb"/>
        <w:spacing w:before="0" w:after="0"/>
        <w:ind w:left="601"/>
        <w:jc w:val="both"/>
        <w:rPr>
          <w:rFonts w:ascii="Times New Roman" w:hAnsi="Times New Roman" w:cs="Times New Roman"/>
          <w:szCs w:val="20"/>
        </w:rPr>
      </w:pPr>
      <w:r w:rsidRPr="00FA3856">
        <w:rPr>
          <w:rFonts w:ascii="Times New Roman" w:hAnsi="Times New Roman" w:cs="Times New Roman"/>
          <w:b/>
          <w:bCs/>
          <w:szCs w:val="20"/>
        </w:rPr>
        <w:t>Atenção</w:t>
      </w:r>
      <w:r w:rsidR="0073224C" w:rsidRPr="00FA3856">
        <w:rPr>
          <w:rFonts w:ascii="Times New Roman" w:hAnsi="Times New Roman" w:cs="Times New Roman"/>
          <w:szCs w:val="20"/>
        </w:rPr>
        <w:t xml:space="preserve">: </w:t>
      </w:r>
      <w:r w:rsidRPr="00FA3856">
        <w:rPr>
          <w:rFonts w:ascii="Times New Roman" w:hAnsi="Times New Roman" w:cs="Times New Roman"/>
          <w:szCs w:val="20"/>
        </w:rPr>
        <w:t>Relativamente ao ano-calendário de 2012, tendo em conta se tratar de matéria que depende de regulamentação, não poderão ser excluídos do lucro líquido, para efeito de apuração do lucro real e da base de cálculo da CSLL, os dispêndios efetivados em projeto de pesquisa científica e tecnológica e de inovação tecnológica executado por Entidades Científicas e Tecnológicas Privadas, sem Fins Lucrativos.</w:t>
      </w:r>
    </w:p>
    <w:p w:rsidR="0073224C" w:rsidRPr="00FA3856" w:rsidRDefault="0073224C" w:rsidP="001A6818">
      <w:pPr>
        <w:pStyle w:val="NormalWeb"/>
        <w:spacing w:before="0" w:after="0"/>
        <w:jc w:val="both"/>
        <w:rPr>
          <w:rFonts w:ascii="Times New Roman" w:hAnsi="Times New Roman" w:cs="Times New Roman"/>
          <w:b/>
          <w:bCs/>
          <w:szCs w:val="20"/>
        </w:rPr>
      </w:pPr>
    </w:p>
    <w:p w:rsidR="00CE1927" w:rsidRPr="00FA3856" w:rsidRDefault="00B14A83" w:rsidP="001A6818">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t xml:space="preserve">V.10.5) </w:t>
      </w:r>
      <w:r w:rsidR="00CE1927" w:rsidRPr="00FA3856">
        <w:rPr>
          <w:rFonts w:ascii="Times New Roman" w:hAnsi="Times New Roman" w:cs="Times New Roman"/>
          <w:b/>
          <w:bCs/>
          <w:szCs w:val="20"/>
        </w:rPr>
        <w:t>Exclusões de Dispêndios em Relação às Atividades de Informática e Automação para Efeito de Apuração do Lucro Real e da Base de Cálculo da CSLL</w:t>
      </w:r>
    </w:p>
    <w:p w:rsidR="0073224C" w:rsidRPr="00FA3856" w:rsidRDefault="0073224C" w:rsidP="001A6818">
      <w:pPr>
        <w:pStyle w:val="NormalWeb"/>
        <w:spacing w:before="0" w:after="0"/>
        <w:jc w:val="both"/>
        <w:rPr>
          <w:rFonts w:ascii="Times New Roman" w:hAnsi="Times New Roman" w:cs="Times New Roman"/>
          <w:szCs w:val="20"/>
        </w:rPr>
      </w:pPr>
    </w:p>
    <w:p w:rsidR="00CE1927" w:rsidRPr="00FA3856" w:rsidRDefault="00CE1927" w:rsidP="0073224C">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As pessoas jurídicas que se utilizarem dos benefícios de que tratam as Lei n</w:t>
      </w:r>
      <w:r w:rsidRPr="00FA3856">
        <w:rPr>
          <w:rFonts w:ascii="Times New Roman" w:hAnsi="Times New Roman" w:cs="Times New Roman"/>
          <w:strike/>
          <w:szCs w:val="20"/>
        </w:rPr>
        <w:t>º</w:t>
      </w:r>
      <w:r w:rsidRPr="00FA3856">
        <w:rPr>
          <w:rFonts w:ascii="Times New Roman" w:hAnsi="Times New Roman" w:cs="Times New Roman"/>
          <w:szCs w:val="20"/>
        </w:rPr>
        <w:t>s 8.248, de 23 de outubro de 1991, n</w:t>
      </w:r>
      <w:r w:rsidRPr="00FA3856">
        <w:rPr>
          <w:rFonts w:ascii="Times New Roman" w:hAnsi="Times New Roman" w:cs="Times New Roman"/>
          <w:strike/>
          <w:szCs w:val="20"/>
        </w:rPr>
        <w:t>º</w:t>
      </w:r>
      <w:r w:rsidRPr="00FA3856">
        <w:rPr>
          <w:rFonts w:ascii="Times New Roman" w:hAnsi="Times New Roman" w:cs="Times New Roman"/>
          <w:szCs w:val="20"/>
        </w:rPr>
        <w:t xml:space="preserve"> 8.387, de 30 de dezembro de 1991, e n</w:t>
      </w:r>
      <w:r w:rsidRPr="00FA3856">
        <w:rPr>
          <w:rFonts w:ascii="Times New Roman" w:hAnsi="Times New Roman" w:cs="Times New Roman"/>
          <w:strike/>
          <w:szCs w:val="20"/>
        </w:rPr>
        <w:t>º</w:t>
      </w:r>
      <w:r w:rsidRPr="00FA3856">
        <w:rPr>
          <w:rFonts w:ascii="Times New Roman" w:hAnsi="Times New Roman" w:cs="Times New Roman"/>
          <w:szCs w:val="20"/>
        </w:rPr>
        <w:t xml:space="preserve"> 10.176, de 11 de janeiro de 2001, em relação às atividades de informática e automação, poderão excluir do lucro líquido, para fins de apuração do lucro real e da base de cálculo da CSLL, o valor correspondente a até 160% (cento e sessenta por cento) dos dispêndios realizados no período de apuração com pesquisa tecnológica e desenvolvimento de inovação tecnológica.</w:t>
      </w:r>
    </w:p>
    <w:p w:rsidR="0073224C" w:rsidRPr="00FA3856" w:rsidRDefault="0073224C" w:rsidP="001A6818">
      <w:pPr>
        <w:pStyle w:val="NormalWeb"/>
        <w:spacing w:before="0" w:after="0"/>
        <w:jc w:val="both"/>
        <w:rPr>
          <w:rFonts w:ascii="Times New Roman" w:hAnsi="Times New Roman" w:cs="Times New Roman"/>
          <w:szCs w:val="20"/>
        </w:rPr>
      </w:pPr>
    </w:p>
    <w:p w:rsidR="00CE1927" w:rsidRPr="00FA3856" w:rsidRDefault="00CE1927" w:rsidP="0073224C">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parcela da amortização normal dos bens intangíveis e a parcela da depreciação normal das máquinas, equipamentos, aparelhos e instrumentos, destinados à utilização nas</w:t>
      </w:r>
      <w:bookmarkStart w:id="164" w:name="subitem_15.7.10.5"/>
      <w:bookmarkEnd w:id="164"/>
      <w:r w:rsidRPr="00FA3856">
        <w:rPr>
          <w:rFonts w:ascii="Times New Roman" w:hAnsi="Times New Roman" w:cs="Times New Roman"/>
          <w:szCs w:val="20"/>
        </w:rPr>
        <w:t xml:space="preserve"> atividades de pesquisa tecnológica e desenvolvimento de inovação tecnológica, ainda que classificadas como despesas operacionais, não se tipificam como dispêndios realizados em pesquisa tecnológica e desenvolvimento de inovação tecnológica, para efeito da dedução.</w:t>
      </w:r>
    </w:p>
    <w:p w:rsidR="0073224C" w:rsidRPr="00FA3856" w:rsidRDefault="0073224C" w:rsidP="001A6818">
      <w:pPr>
        <w:pStyle w:val="NormalWeb"/>
        <w:spacing w:before="0" w:after="0"/>
        <w:jc w:val="both"/>
        <w:rPr>
          <w:rFonts w:ascii="Times New Roman" w:hAnsi="Times New Roman" w:cs="Times New Roman"/>
          <w:szCs w:val="20"/>
        </w:rPr>
      </w:pPr>
    </w:p>
    <w:p w:rsidR="00CE1927" w:rsidRPr="00FA3856" w:rsidRDefault="00CE1927" w:rsidP="0073224C">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exclusão de que trata o caput poderá chegar a:</w:t>
      </w:r>
    </w:p>
    <w:p w:rsidR="0073224C" w:rsidRPr="00FA3856" w:rsidRDefault="0073224C" w:rsidP="001A6818">
      <w:pPr>
        <w:pStyle w:val="NormalWeb"/>
        <w:spacing w:before="0" w:after="0"/>
        <w:jc w:val="both"/>
        <w:rPr>
          <w:rFonts w:ascii="Times New Roman" w:hAnsi="Times New Roman" w:cs="Times New Roman"/>
          <w:szCs w:val="20"/>
        </w:rPr>
      </w:pPr>
    </w:p>
    <w:p w:rsidR="00CE1927" w:rsidRPr="00FA3856" w:rsidRDefault="00CE1927" w:rsidP="0073224C">
      <w:pPr>
        <w:pStyle w:val="NormalWeb"/>
        <w:spacing w:before="0" w:after="0"/>
        <w:ind w:left="1416"/>
        <w:jc w:val="both"/>
        <w:rPr>
          <w:rFonts w:ascii="Times New Roman" w:hAnsi="Times New Roman" w:cs="Times New Roman"/>
          <w:szCs w:val="20"/>
        </w:rPr>
      </w:pPr>
      <w:r w:rsidRPr="00FA3856">
        <w:rPr>
          <w:rFonts w:ascii="Times New Roman" w:hAnsi="Times New Roman" w:cs="Times New Roman"/>
          <w:szCs w:val="20"/>
        </w:rPr>
        <w:t>a) até 170% (cento e setenta por cento), no caso de a pessoa jurídica incrementar o número de pesquisadores contratados no ano-calendário de gozo do incentivo até 5% (cinco por cento), em relação à média de pesquisadores com contratos em vigor no ano-calendário anterior ao de gozo do incentivo; e</w:t>
      </w:r>
    </w:p>
    <w:p w:rsidR="00CE1927" w:rsidRPr="00FA3856" w:rsidRDefault="00CE1927" w:rsidP="0073224C">
      <w:pPr>
        <w:pStyle w:val="NormalWeb"/>
        <w:spacing w:before="0" w:after="0"/>
        <w:ind w:left="1416"/>
        <w:jc w:val="both"/>
        <w:rPr>
          <w:rFonts w:ascii="Times New Roman" w:hAnsi="Times New Roman" w:cs="Times New Roman"/>
          <w:szCs w:val="20"/>
        </w:rPr>
      </w:pPr>
      <w:r w:rsidRPr="00FA3856">
        <w:rPr>
          <w:rFonts w:ascii="Times New Roman" w:hAnsi="Times New Roman" w:cs="Times New Roman"/>
          <w:szCs w:val="20"/>
        </w:rPr>
        <w:t>b) até 180% (cento e oitenta por cento), no caso de a pessoa jurídica incrementar o número de pesquisadores contratados no ano-calendário de gozo do incentivo em percentual acima de 5% (cinco por cento), em relação à média de pesquisadores com contratos em vigor no ano-calendário anterior ao de gozo do incentivo.</w:t>
      </w:r>
    </w:p>
    <w:p w:rsidR="0073224C" w:rsidRPr="00FA3856" w:rsidRDefault="0073224C" w:rsidP="001A6818">
      <w:pPr>
        <w:pStyle w:val="NormalWeb"/>
        <w:spacing w:before="0" w:after="0"/>
        <w:jc w:val="both"/>
        <w:rPr>
          <w:rFonts w:ascii="Times New Roman" w:hAnsi="Times New Roman" w:cs="Times New Roman"/>
          <w:szCs w:val="20"/>
        </w:rPr>
      </w:pPr>
    </w:p>
    <w:p w:rsidR="00CE1927" w:rsidRPr="00FA3856" w:rsidRDefault="00CE1927" w:rsidP="0073224C">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Para o cálculo dos percentuais assinalados:</w:t>
      </w:r>
    </w:p>
    <w:p w:rsidR="00CE1927" w:rsidRPr="00FA3856" w:rsidRDefault="00CE1927" w:rsidP="0073224C">
      <w:pPr>
        <w:pStyle w:val="NormalWeb"/>
        <w:spacing w:before="0" w:after="0"/>
        <w:ind w:left="1416"/>
        <w:jc w:val="both"/>
        <w:rPr>
          <w:rFonts w:ascii="Times New Roman" w:hAnsi="Times New Roman" w:cs="Times New Roman"/>
          <w:szCs w:val="20"/>
        </w:rPr>
      </w:pPr>
      <w:r w:rsidRPr="00FA3856">
        <w:rPr>
          <w:rFonts w:ascii="Times New Roman" w:hAnsi="Times New Roman" w:cs="Times New Roman"/>
          <w:szCs w:val="20"/>
        </w:rPr>
        <w:t>a) também podem ser considerados os casos de pesquisadores já contratados pela empresa, não atuantes em projeto de pesquisa tecnológica e desenvolvimento de inovação tecnológica, que alterarem os seus contratos de trabalho e passem a exercer função de pesquisador em projeto de pesquisa tecnológica e desenvolvimento de inovação tecnológica da empresa.</w:t>
      </w:r>
    </w:p>
    <w:p w:rsidR="00CE1927" w:rsidRPr="00FA3856" w:rsidRDefault="00CE1927" w:rsidP="0073224C">
      <w:pPr>
        <w:pStyle w:val="NormalWeb"/>
        <w:spacing w:before="0" w:after="0"/>
        <w:ind w:left="1416"/>
        <w:jc w:val="both"/>
        <w:rPr>
          <w:rFonts w:ascii="Times New Roman" w:hAnsi="Times New Roman" w:cs="Times New Roman"/>
          <w:szCs w:val="20"/>
        </w:rPr>
      </w:pPr>
      <w:r w:rsidRPr="00FA3856">
        <w:rPr>
          <w:rFonts w:ascii="Times New Roman" w:hAnsi="Times New Roman" w:cs="Times New Roman"/>
          <w:szCs w:val="20"/>
        </w:rPr>
        <w:t>b) não podem ser considerados os casos de pesquisadores sem dedicação exclusiva em projeto de pesquisa tecnológica e desenvolvimento de inovação tecnológica da empresa.</w:t>
      </w:r>
    </w:p>
    <w:p w:rsidR="0073224C" w:rsidRPr="00FA3856" w:rsidRDefault="0073224C" w:rsidP="001A6818">
      <w:pPr>
        <w:pStyle w:val="NormalWeb"/>
        <w:spacing w:before="0" w:after="0"/>
        <w:jc w:val="both"/>
        <w:rPr>
          <w:rFonts w:ascii="Times New Roman" w:hAnsi="Times New Roman" w:cs="Times New Roman"/>
          <w:szCs w:val="20"/>
        </w:rPr>
      </w:pPr>
    </w:p>
    <w:p w:rsidR="00CE1927" w:rsidRPr="00FA3856" w:rsidRDefault="00CE1927" w:rsidP="0073224C">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Na hipótese de pessoa jurídica que se dedica exclusivamente à pesquisa tecnológica e desenvolvimento de inovação tecnológica, para o cálculo dos percentuais, também poderão ser considerados os sócios que atuem com dedicação de pelo menos 20 (vinte) horas semanais na atividade de pesquisa tecnológica e desenvolvimento de inovação tecnológica explorada pela própria pessoa jurídica.</w:t>
      </w:r>
    </w:p>
    <w:p w:rsidR="0073224C" w:rsidRPr="00FA3856" w:rsidRDefault="0073224C" w:rsidP="001A6818">
      <w:pPr>
        <w:pStyle w:val="NormalWeb"/>
        <w:spacing w:before="0" w:after="0"/>
        <w:jc w:val="both"/>
        <w:rPr>
          <w:rFonts w:ascii="Times New Roman" w:hAnsi="Times New Roman" w:cs="Times New Roman"/>
          <w:szCs w:val="20"/>
        </w:rPr>
      </w:pPr>
    </w:p>
    <w:p w:rsidR="00CE1927" w:rsidRPr="00FA3856" w:rsidRDefault="00CE1927" w:rsidP="0073224C">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partir do período de apuração em que ocorrer a exclusão, o valor da depreciação ou amortização relativo aos dispêndios, conforme o caso, registrado na escrituração comercial deverá ser adicionado ao lucro líquido para efeito de determinação do lucro real e da base de cálculo da CSLL.</w:t>
      </w:r>
    </w:p>
    <w:p w:rsidR="0073224C" w:rsidRPr="00FA3856" w:rsidRDefault="0073224C" w:rsidP="001A6818">
      <w:pPr>
        <w:pStyle w:val="NormalWeb"/>
        <w:spacing w:before="0" w:after="0"/>
        <w:jc w:val="both"/>
        <w:rPr>
          <w:rFonts w:ascii="Times New Roman" w:hAnsi="Times New Roman" w:cs="Times New Roman"/>
          <w:szCs w:val="20"/>
        </w:rPr>
      </w:pPr>
    </w:p>
    <w:p w:rsidR="0073224C" w:rsidRPr="00FA3856" w:rsidRDefault="0073224C" w:rsidP="001A6818">
      <w:pPr>
        <w:pStyle w:val="NormalWeb"/>
        <w:spacing w:before="0" w:after="0"/>
        <w:jc w:val="both"/>
        <w:rPr>
          <w:rFonts w:ascii="Times New Roman" w:hAnsi="Times New Roman" w:cs="Times New Roman"/>
          <w:szCs w:val="20"/>
        </w:rPr>
      </w:pPr>
    </w:p>
    <w:p w:rsidR="0073224C" w:rsidRPr="00FA3856" w:rsidRDefault="0073224C" w:rsidP="001A6818">
      <w:pPr>
        <w:pStyle w:val="NormalWeb"/>
        <w:spacing w:before="0" w:after="0"/>
        <w:jc w:val="both"/>
        <w:rPr>
          <w:rFonts w:ascii="Times New Roman" w:hAnsi="Times New Roman" w:cs="Times New Roman"/>
          <w:szCs w:val="20"/>
        </w:rPr>
      </w:pPr>
    </w:p>
    <w:p w:rsidR="00CE1927" w:rsidRPr="00FA3856" w:rsidRDefault="00CE1927" w:rsidP="0073224C">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lastRenderedPageBreak/>
        <w:t xml:space="preserve">Para efeito </w:t>
      </w:r>
      <w:r w:rsidR="0073224C" w:rsidRPr="00FA3856">
        <w:rPr>
          <w:rFonts w:ascii="Times New Roman" w:hAnsi="Times New Roman" w:cs="Times New Roman"/>
          <w:szCs w:val="20"/>
        </w:rPr>
        <w:t xml:space="preserve">deste subitem </w:t>
      </w:r>
      <w:r w:rsidRPr="00FA3856">
        <w:rPr>
          <w:rFonts w:ascii="Times New Roman" w:hAnsi="Times New Roman" w:cs="Times New Roman"/>
          <w:szCs w:val="20"/>
        </w:rPr>
        <w:t>consideram-se atividades de informática e automação as exploradas com o intuito de produzir os seguintes bens e serviços:</w:t>
      </w:r>
    </w:p>
    <w:p w:rsidR="0073224C" w:rsidRPr="00FA3856" w:rsidRDefault="0073224C" w:rsidP="001A6818">
      <w:pPr>
        <w:pStyle w:val="NormalWeb"/>
        <w:spacing w:before="0" w:after="0"/>
        <w:jc w:val="both"/>
        <w:rPr>
          <w:rFonts w:ascii="Times New Roman" w:hAnsi="Times New Roman" w:cs="Times New Roman"/>
          <w:szCs w:val="20"/>
        </w:rPr>
      </w:pPr>
    </w:p>
    <w:p w:rsidR="00CE1927" w:rsidRPr="00FA3856" w:rsidRDefault="00CE1927" w:rsidP="0073224C">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a) componentes eletrônicos a semicondutor, optoeletrônicos, bem como os respectivos insumos de natureza eletrônica;</w:t>
      </w:r>
    </w:p>
    <w:p w:rsidR="00CE1927" w:rsidRPr="00FA3856" w:rsidRDefault="00CE1927" w:rsidP="0073224C">
      <w:pPr>
        <w:pStyle w:val="NormalWeb"/>
        <w:spacing w:before="0" w:after="0"/>
        <w:ind w:left="1416"/>
        <w:jc w:val="both"/>
        <w:rPr>
          <w:rFonts w:ascii="Times New Roman" w:hAnsi="Times New Roman" w:cs="Times New Roman"/>
          <w:szCs w:val="20"/>
        </w:rPr>
      </w:pPr>
      <w:r w:rsidRPr="00FA3856">
        <w:rPr>
          <w:rFonts w:ascii="Times New Roman" w:hAnsi="Times New Roman" w:cs="Times New Roman"/>
          <w:szCs w:val="20"/>
        </w:rPr>
        <w:t>b) máquinas, equipamentos e dispositivos baseados em técnica digital, com funções de coleta, tratamento, estruturação, armazenamento, comutação, transmissão, recuperação ou apresentação da informação, seus respectivos insumos eletrônicos, partes, peças e suporte físico para operação;</w:t>
      </w:r>
    </w:p>
    <w:p w:rsidR="00CE1927" w:rsidRPr="00FA3856" w:rsidRDefault="00CE1927" w:rsidP="0073224C">
      <w:pPr>
        <w:pStyle w:val="NormalWeb"/>
        <w:spacing w:before="0" w:after="0"/>
        <w:ind w:left="1416"/>
        <w:jc w:val="both"/>
        <w:rPr>
          <w:rFonts w:ascii="Times New Roman" w:hAnsi="Times New Roman" w:cs="Times New Roman"/>
          <w:szCs w:val="20"/>
        </w:rPr>
      </w:pPr>
      <w:r w:rsidRPr="00FA3856">
        <w:rPr>
          <w:rFonts w:ascii="Times New Roman" w:hAnsi="Times New Roman" w:cs="Times New Roman"/>
          <w:szCs w:val="20"/>
        </w:rPr>
        <w:t>c) programas para computadores, máquinas, equipamentos e dispositivos de tratamento da informação e respectiva documentação técnica associada (software);</w:t>
      </w:r>
    </w:p>
    <w:p w:rsidR="00CE1927" w:rsidRPr="00FA3856" w:rsidRDefault="00CE1927" w:rsidP="0073224C">
      <w:pPr>
        <w:pStyle w:val="NormalWeb"/>
        <w:spacing w:before="0" w:after="0"/>
        <w:ind w:left="1416"/>
        <w:jc w:val="both"/>
        <w:rPr>
          <w:rFonts w:ascii="Times New Roman" w:hAnsi="Times New Roman" w:cs="Times New Roman"/>
          <w:szCs w:val="20"/>
        </w:rPr>
      </w:pPr>
      <w:r w:rsidRPr="00FA3856">
        <w:rPr>
          <w:rFonts w:ascii="Times New Roman" w:hAnsi="Times New Roman" w:cs="Times New Roman"/>
          <w:szCs w:val="20"/>
        </w:rPr>
        <w:t>d) serviços técnicos associados aos bens e serviços descritos nas letras a, b e c;</w:t>
      </w:r>
    </w:p>
    <w:p w:rsidR="00CE1927" w:rsidRPr="00FA3856" w:rsidRDefault="00CE1927" w:rsidP="0073224C">
      <w:pPr>
        <w:pStyle w:val="NormalWeb"/>
        <w:spacing w:before="0" w:after="0"/>
        <w:ind w:left="1416"/>
        <w:jc w:val="both"/>
        <w:rPr>
          <w:rFonts w:ascii="Times New Roman" w:hAnsi="Times New Roman" w:cs="Times New Roman"/>
          <w:szCs w:val="20"/>
        </w:rPr>
      </w:pPr>
      <w:r w:rsidRPr="00FA3856">
        <w:rPr>
          <w:rFonts w:ascii="Times New Roman" w:hAnsi="Times New Roman" w:cs="Times New Roman"/>
          <w:szCs w:val="20"/>
        </w:rPr>
        <w:t>e) aparelhos telefônicos por fio com unidade auscultador-microfone sem fio, que incorporem controle por técnicas digitais, classificáveis no Código 8517.11.00 da Nomenclatura Comum do Mercosul (NCM);</w:t>
      </w:r>
    </w:p>
    <w:p w:rsidR="00CE1927" w:rsidRPr="00FA3856" w:rsidRDefault="00CE1927" w:rsidP="0073224C">
      <w:pPr>
        <w:pStyle w:val="NormalWeb"/>
        <w:spacing w:before="0" w:after="0"/>
        <w:ind w:left="1416"/>
        <w:jc w:val="both"/>
        <w:rPr>
          <w:rFonts w:ascii="Times New Roman" w:hAnsi="Times New Roman" w:cs="Times New Roman"/>
          <w:szCs w:val="20"/>
        </w:rPr>
      </w:pPr>
      <w:r w:rsidRPr="00FA3856">
        <w:rPr>
          <w:rFonts w:ascii="Times New Roman" w:hAnsi="Times New Roman" w:cs="Times New Roman"/>
          <w:szCs w:val="20"/>
        </w:rPr>
        <w:t xml:space="preserve">d) terminais portáteis de telefonia celular, classificáveis no Código 8517.12.31 da NCM; ou </w:t>
      </w:r>
    </w:p>
    <w:p w:rsidR="00CE1927" w:rsidRPr="00FA3856" w:rsidRDefault="00CE1927" w:rsidP="0073224C">
      <w:pPr>
        <w:pStyle w:val="NormalWeb"/>
        <w:spacing w:before="0" w:after="0"/>
        <w:ind w:left="1416"/>
        <w:jc w:val="both"/>
        <w:rPr>
          <w:rFonts w:ascii="Times New Roman" w:hAnsi="Times New Roman" w:cs="Times New Roman"/>
          <w:szCs w:val="20"/>
        </w:rPr>
      </w:pPr>
      <w:r w:rsidRPr="00FA3856">
        <w:rPr>
          <w:rFonts w:ascii="Times New Roman" w:hAnsi="Times New Roman" w:cs="Times New Roman"/>
          <w:szCs w:val="20"/>
        </w:rPr>
        <w:t xml:space="preserve">e) unidades de saída por vídeo (monitores), </w:t>
      </w:r>
      <w:r w:rsidR="00B5790B" w:rsidRPr="00FA3856">
        <w:rPr>
          <w:rFonts w:ascii="Times New Roman" w:hAnsi="Times New Roman" w:cs="Times New Roman"/>
          <w:szCs w:val="20"/>
        </w:rPr>
        <w:t>classificáveis nas</w:t>
      </w:r>
      <w:r w:rsidRPr="00FA3856">
        <w:rPr>
          <w:rFonts w:ascii="Times New Roman" w:hAnsi="Times New Roman" w:cs="Times New Roman"/>
          <w:szCs w:val="20"/>
        </w:rPr>
        <w:t xml:space="preserve"> Subposições 8528.41 e 8528.51 da NCM, desprovidas de interfaces e circuitarias para recepção de sinal de </w:t>
      </w:r>
      <w:r w:rsidR="00B5790B" w:rsidRPr="00FA3856">
        <w:rPr>
          <w:rFonts w:ascii="Times New Roman" w:hAnsi="Times New Roman" w:cs="Times New Roman"/>
          <w:szCs w:val="20"/>
        </w:rPr>
        <w:t>radiofrequência</w:t>
      </w:r>
      <w:r w:rsidRPr="00FA3856">
        <w:rPr>
          <w:rFonts w:ascii="Times New Roman" w:hAnsi="Times New Roman" w:cs="Times New Roman"/>
          <w:szCs w:val="20"/>
        </w:rPr>
        <w:t xml:space="preserve"> ou mesmo vídeo composto, próprias para operar com máquinas, equipamentos ou dispositivos baseados em técnica digital da Posição 8471 da NCM (com funções de coleta, tratamento, estruturação, armazenamento, comutação, transmissão, recuperação ou apresentação da informação).</w:t>
      </w:r>
    </w:p>
    <w:p w:rsidR="0073224C" w:rsidRPr="00FA3856" w:rsidRDefault="0073224C" w:rsidP="001A6818">
      <w:pPr>
        <w:pStyle w:val="NormalWeb"/>
        <w:spacing w:before="0" w:after="0"/>
        <w:jc w:val="both"/>
        <w:rPr>
          <w:rFonts w:ascii="Times New Roman" w:hAnsi="Times New Roman" w:cs="Times New Roman"/>
          <w:szCs w:val="20"/>
        </w:rPr>
      </w:pPr>
    </w:p>
    <w:p w:rsidR="00CE1927" w:rsidRPr="00FA3856" w:rsidRDefault="00CE1927" w:rsidP="0073224C">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 xml:space="preserve">A pessoa jurídica que exercer outras atividades além das atividades de informática e automação que geraram os benefícios de que trata este subitem, poderá usufruir, em relação a essas outras atividades, no que couber, os demais benefícios de que tratam os subitens </w:t>
      </w:r>
      <w:r w:rsidR="0073224C" w:rsidRPr="00FA3856">
        <w:rPr>
          <w:rFonts w:ascii="Times New Roman" w:hAnsi="Times New Roman" w:cs="Times New Roman"/>
          <w:szCs w:val="20"/>
        </w:rPr>
        <w:t>V</w:t>
      </w:r>
      <w:r w:rsidRPr="00FA3856">
        <w:rPr>
          <w:rFonts w:ascii="Times New Roman" w:hAnsi="Times New Roman" w:cs="Times New Roman"/>
          <w:szCs w:val="20"/>
        </w:rPr>
        <w:t xml:space="preserve">.10.1 a </w:t>
      </w:r>
      <w:r w:rsidR="0073224C" w:rsidRPr="00FA3856">
        <w:rPr>
          <w:rFonts w:ascii="Times New Roman" w:hAnsi="Times New Roman" w:cs="Times New Roman"/>
          <w:szCs w:val="20"/>
        </w:rPr>
        <w:t>V</w:t>
      </w:r>
      <w:r w:rsidRPr="00FA3856">
        <w:rPr>
          <w:rFonts w:ascii="Times New Roman" w:hAnsi="Times New Roman" w:cs="Times New Roman"/>
          <w:szCs w:val="20"/>
        </w:rPr>
        <w:t>.10.4.</w:t>
      </w:r>
    </w:p>
    <w:p w:rsidR="00EB727C" w:rsidRPr="00FA3856" w:rsidRDefault="00EB727C" w:rsidP="001A6818">
      <w:pPr>
        <w:pStyle w:val="NormalWeb"/>
        <w:spacing w:before="0" w:after="0"/>
        <w:jc w:val="both"/>
        <w:rPr>
          <w:rFonts w:ascii="Times New Roman" w:hAnsi="Times New Roman" w:cs="Times New Roman"/>
          <w:b/>
          <w:bCs/>
          <w:szCs w:val="20"/>
        </w:rPr>
      </w:pPr>
    </w:p>
    <w:p w:rsidR="00CE1927" w:rsidRPr="00FA3856" w:rsidRDefault="00B14A83" w:rsidP="001A6818">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t xml:space="preserve">V.11) </w:t>
      </w:r>
      <w:r w:rsidR="00CE1927" w:rsidRPr="00FA3856">
        <w:rPr>
          <w:rFonts w:ascii="Times New Roman" w:hAnsi="Times New Roman" w:cs="Times New Roman"/>
          <w:b/>
          <w:bCs/>
          <w:szCs w:val="20"/>
        </w:rPr>
        <w:t>Incentivos Regionais de Redução e/ou Isenção do Imposto</w:t>
      </w:r>
    </w:p>
    <w:p w:rsidR="00EB727C" w:rsidRPr="00FA3856" w:rsidRDefault="00EB727C" w:rsidP="001A6818">
      <w:pPr>
        <w:pStyle w:val="NormalWeb"/>
        <w:spacing w:before="0" w:after="0"/>
        <w:jc w:val="both"/>
        <w:rPr>
          <w:rFonts w:ascii="Times New Roman" w:hAnsi="Times New Roman" w:cs="Times New Roman"/>
          <w:b/>
          <w:bCs/>
          <w:szCs w:val="20"/>
        </w:rPr>
      </w:pPr>
    </w:p>
    <w:p w:rsidR="00CE1927" w:rsidRPr="00FA3856" w:rsidRDefault="00B14A83" w:rsidP="001A6818">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t xml:space="preserve">V.11.1) </w:t>
      </w:r>
      <w:r w:rsidR="00CE1927" w:rsidRPr="00FA3856">
        <w:rPr>
          <w:rFonts w:ascii="Times New Roman" w:hAnsi="Times New Roman" w:cs="Times New Roman"/>
          <w:b/>
          <w:bCs/>
          <w:szCs w:val="20"/>
        </w:rPr>
        <w:t>Empreendimentos na área de atuação da</w:t>
      </w:r>
      <w:r w:rsidR="00CE1927" w:rsidRPr="00FA3856">
        <w:rPr>
          <w:rStyle w:val="Forte"/>
          <w:rFonts w:ascii="Times New Roman" w:hAnsi="Times New Roman" w:cs="Times New Roman"/>
          <w:szCs w:val="20"/>
        </w:rPr>
        <w:t xml:space="preserve"> Sudam e da Sudene</w:t>
      </w:r>
    </w:p>
    <w:p w:rsidR="00EB727C" w:rsidRPr="00FA3856" w:rsidRDefault="00EB727C" w:rsidP="001A6818">
      <w:pPr>
        <w:pStyle w:val="NormalWeb"/>
        <w:spacing w:before="0" w:after="0"/>
        <w:jc w:val="both"/>
        <w:rPr>
          <w:rFonts w:ascii="Times New Roman" w:hAnsi="Times New Roman" w:cs="Times New Roman"/>
          <w:szCs w:val="20"/>
        </w:rPr>
      </w:pPr>
    </w:p>
    <w:p w:rsidR="00CE1927" w:rsidRPr="00FA3856" w:rsidRDefault="00CE1927" w:rsidP="00EB727C">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Sem prejuízo das demais normas em vigor aplicáveis à matéria, a partir do ano-calendário de 2000, as pessoas jurídicas que tenham projeto protocolizado e aprovado até 31 de dezembro de 2018 para instalação, ampliação, modernização ou diversificação enquadrado em setores da economia considerados, em ato do Poder Executivo, prioritários para o desenvolvimento regional, nas áreas de atuação da Sudene e da Sudam terão direito à redução de 75% (setenta e cinco por cento) do imposto sobre a renda e adicionais calculados com base no lucro da exploração.</w:t>
      </w:r>
    </w:p>
    <w:p w:rsidR="00EB727C" w:rsidRPr="00FA3856" w:rsidRDefault="00EB727C" w:rsidP="001A6818">
      <w:pPr>
        <w:pStyle w:val="NormalWeb"/>
        <w:spacing w:before="0" w:after="0"/>
        <w:jc w:val="both"/>
        <w:rPr>
          <w:rFonts w:ascii="Times New Roman" w:hAnsi="Times New Roman" w:cs="Times New Roman"/>
          <w:szCs w:val="20"/>
        </w:rPr>
      </w:pPr>
    </w:p>
    <w:p w:rsidR="00CE1927" w:rsidRPr="00FA3856" w:rsidRDefault="00CE1927" w:rsidP="00EB727C">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fruição do benefício fiscal referido dar-se-á a partir do ano-calendário subsequente àquele em que o projeto de instalação, ampliação, modernização ou diversi</w:t>
      </w:r>
      <w:bookmarkStart w:id="165" w:name="subitem_15.7.11"/>
      <w:bookmarkEnd w:id="165"/>
      <w:r w:rsidRPr="00FA3856">
        <w:rPr>
          <w:rFonts w:ascii="Times New Roman" w:hAnsi="Times New Roman" w:cs="Times New Roman"/>
          <w:szCs w:val="20"/>
        </w:rPr>
        <w:t>ficação entrar em operação, segundo laudo expedido pelo Ministé</w:t>
      </w:r>
      <w:bookmarkStart w:id="166" w:name="subitem_15.7.11.1"/>
      <w:bookmarkEnd w:id="166"/>
      <w:r w:rsidRPr="00FA3856">
        <w:rPr>
          <w:rFonts w:ascii="Times New Roman" w:hAnsi="Times New Roman" w:cs="Times New Roman"/>
          <w:szCs w:val="20"/>
        </w:rPr>
        <w:t>rio da Integração Nacional até o último dia útil do mês de março do ano-calendário subsequente ao do início da operação.</w:t>
      </w:r>
    </w:p>
    <w:p w:rsidR="00EB727C" w:rsidRPr="00FA3856" w:rsidRDefault="00EB727C" w:rsidP="001A6818">
      <w:pPr>
        <w:pStyle w:val="NormalWeb"/>
        <w:spacing w:before="0" w:after="0"/>
        <w:jc w:val="both"/>
        <w:rPr>
          <w:rFonts w:ascii="Times New Roman" w:hAnsi="Times New Roman" w:cs="Times New Roman"/>
          <w:szCs w:val="20"/>
        </w:rPr>
      </w:pPr>
    </w:p>
    <w:p w:rsidR="00CE1927" w:rsidRPr="00FA3856" w:rsidRDefault="00CE1927" w:rsidP="00EB727C">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Na hipótese de expedição de laudo constitutivo após o último dia útil do mês de março do ano-calendário subsequente ao do início da operação, a fruição do benefício dar-se-á a partir do ano-calendário da expedição do laudo.</w:t>
      </w:r>
    </w:p>
    <w:p w:rsidR="00EB727C" w:rsidRPr="00FA3856" w:rsidRDefault="00EB727C" w:rsidP="001A6818">
      <w:pPr>
        <w:pStyle w:val="NormalWeb"/>
        <w:spacing w:before="0" w:after="0"/>
        <w:jc w:val="both"/>
        <w:rPr>
          <w:rFonts w:ascii="Times New Roman" w:hAnsi="Times New Roman" w:cs="Times New Roman"/>
          <w:szCs w:val="20"/>
        </w:rPr>
      </w:pPr>
    </w:p>
    <w:p w:rsidR="00CE1927" w:rsidRPr="00FA3856" w:rsidRDefault="00CE1927" w:rsidP="00EB727C">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Para os fins deste item, a diversificação e a modernização total de empreendimento existente serão consideradas implantação de nova unidade produtora, segundo critérios estabelecidos em regulamento.</w:t>
      </w:r>
    </w:p>
    <w:p w:rsidR="00EB727C" w:rsidRPr="00FA3856" w:rsidRDefault="00EB727C" w:rsidP="001A6818">
      <w:pPr>
        <w:pStyle w:val="NormalWeb"/>
        <w:spacing w:before="0" w:after="0"/>
        <w:jc w:val="both"/>
        <w:rPr>
          <w:rFonts w:ascii="Times New Roman" w:hAnsi="Times New Roman" w:cs="Times New Roman"/>
          <w:szCs w:val="20"/>
        </w:rPr>
      </w:pPr>
    </w:p>
    <w:p w:rsidR="00CE1927" w:rsidRPr="00FA3856" w:rsidRDefault="00CE1927" w:rsidP="00EB727C">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Nas hipóteses de ampliação e de modernização parcial do empreendimento, o benefício previsto neste item fica condicionado ao aumento da capacidade real instalada na linha de produção ampliada ou modernizada em, no mínimo:</w:t>
      </w:r>
    </w:p>
    <w:p w:rsidR="00CE1927" w:rsidRPr="00FA3856" w:rsidRDefault="00CE1927" w:rsidP="00EB727C">
      <w:pPr>
        <w:pStyle w:val="NormalWeb"/>
        <w:spacing w:before="0" w:after="0"/>
        <w:ind w:left="1416"/>
        <w:jc w:val="both"/>
        <w:rPr>
          <w:rFonts w:ascii="Times New Roman" w:hAnsi="Times New Roman" w:cs="Times New Roman"/>
          <w:szCs w:val="20"/>
        </w:rPr>
      </w:pPr>
      <w:r w:rsidRPr="00FA3856">
        <w:rPr>
          <w:rFonts w:ascii="Times New Roman" w:hAnsi="Times New Roman" w:cs="Times New Roman"/>
          <w:szCs w:val="20"/>
        </w:rPr>
        <w:t xml:space="preserve">a) vinte por cento, nos casos de empreendimentos de </w:t>
      </w:r>
      <w:r w:rsidR="00B5790B" w:rsidRPr="00FA3856">
        <w:rPr>
          <w:rFonts w:ascii="Times New Roman" w:hAnsi="Times New Roman" w:cs="Times New Roman"/>
          <w:szCs w:val="20"/>
        </w:rPr>
        <w:t>infraestrutura</w:t>
      </w:r>
      <w:r w:rsidRPr="00FA3856">
        <w:rPr>
          <w:rFonts w:ascii="Times New Roman" w:hAnsi="Times New Roman" w:cs="Times New Roman"/>
          <w:szCs w:val="20"/>
        </w:rPr>
        <w:t xml:space="preserve"> (Lei nº 9.808, de 20 de julho de 1999) ou estruturadores, nos termos e nas condições estabelecidos pelo Poder Executivo; e</w:t>
      </w:r>
    </w:p>
    <w:p w:rsidR="00CE1927" w:rsidRPr="00FA3856" w:rsidRDefault="00CE1927" w:rsidP="00EB727C">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b) cinquenta por cento, nos casos dos demais empreendimentos prioritários.</w:t>
      </w:r>
    </w:p>
    <w:p w:rsidR="00EB727C" w:rsidRPr="00FA3856" w:rsidRDefault="00EB727C" w:rsidP="001A6818">
      <w:pPr>
        <w:pStyle w:val="NormalWeb"/>
        <w:spacing w:before="0" w:after="0"/>
        <w:ind w:left="601"/>
        <w:jc w:val="both"/>
        <w:rPr>
          <w:rFonts w:ascii="Times New Roman" w:hAnsi="Times New Roman" w:cs="Times New Roman"/>
          <w:b/>
          <w:bCs/>
          <w:szCs w:val="20"/>
        </w:rPr>
      </w:pPr>
    </w:p>
    <w:p w:rsidR="00CE1927" w:rsidRPr="00FA3856" w:rsidRDefault="00CE1927" w:rsidP="00EB727C">
      <w:pPr>
        <w:pStyle w:val="NormalWeb"/>
        <w:spacing w:before="0" w:after="0"/>
        <w:ind w:left="601"/>
        <w:jc w:val="both"/>
        <w:rPr>
          <w:rFonts w:ascii="Times New Roman" w:hAnsi="Times New Roman" w:cs="Times New Roman"/>
          <w:szCs w:val="20"/>
        </w:rPr>
      </w:pPr>
      <w:r w:rsidRPr="00FA3856">
        <w:rPr>
          <w:rFonts w:ascii="Times New Roman" w:hAnsi="Times New Roman" w:cs="Times New Roman"/>
          <w:b/>
          <w:bCs/>
          <w:szCs w:val="20"/>
        </w:rPr>
        <w:lastRenderedPageBreak/>
        <w:t>Atenção:</w:t>
      </w:r>
      <w:r w:rsidR="00EB727C" w:rsidRPr="00FA3856">
        <w:rPr>
          <w:rFonts w:ascii="Times New Roman" w:hAnsi="Times New Roman" w:cs="Times New Roman"/>
          <w:szCs w:val="20"/>
        </w:rPr>
        <w:t xml:space="preserve"> </w:t>
      </w:r>
      <w:r w:rsidRPr="00FA3856">
        <w:rPr>
          <w:rFonts w:ascii="Times New Roman" w:hAnsi="Times New Roman" w:cs="Times New Roman"/>
          <w:szCs w:val="20"/>
        </w:rPr>
        <w:t>Os incentivos ao Desenvolvimento Regional d</w:t>
      </w:r>
      <w:r w:rsidR="00EB727C" w:rsidRPr="00FA3856">
        <w:rPr>
          <w:rFonts w:ascii="Times New Roman" w:hAnsi="Times New Roman" w:cs="Times New Roman"/>
          <w:szCs w:val="20"/>
        </w:rPr>
        <w:t xml:space="preserve">e que trata este item </w:t>
      </w:r>
      <w:r w:rsidRPr="00FA3856">
        <w:rPr>
          <w:rFonts w:ascii="Times New Roman" w:hAnsi="Times New Roman" w:cs="Times New Roman"/>
          <w:szCs w:val="20"/>
        </w:rPr>
        <w:t>também se aplicam às instalações de empresas em Zonas de Processamento de Exportação (ZPE) criadas nos termos do inciso V do § 4</w:t>
      </w:r>
      <w:r w:rsidRPr="00FA3856">
        <w:rPr>
          <w:rFonts w:ascii="Times New Roman" w:hAnsi="Times New Roman" w:cs="Times New Roman"/>
          <w:strike/>
          <w:szCs w:val="20"/>
        </w:rPr>
        <w:t>º</w:t>
      </w:r>
      <w:r w:rsidRPr="00FA3856">
        <w:rPr>
          <w:rFonts w:ascii="Times New Roman" w:hAnsi="Times New Roman" w:cs="Times New Roman"/>
          <w:szCs w:val="20"/>
        </w:rPr>
        <w:t xml:space="preserve"> do art. 18 da Lei n</w:t>
      </w:r>
      <w:r w:rsidRPr="00FA3856">
        <w:rPr>
          <w:rFonts w:ascii="Times New Roman" w:hAnsi="Times New Roman" w:cs="Times New Roman"/>
          <w:strike/>
          <w:szCs w:val="20"/>
        </w:rPr>
        <w:t>º</w:t>
      </w:r>
      <w:r w:rsidRPr="00FA3856">
        <w:rPr>
          <w:rFonts w:ascii="Times New Roman" w:hAnsi="Times New Roman" w:cs="Times New Roman"/>
          <w:szCs w:val="20"/>
        </w:rPr>
        <w:t xml:space="preserve"> 11.508, de 20 de julho de 2007, na hipótese de a ZPE estar situada na área de atuação da Sudene ou da Sudam.</w:t>
      </w:r>
    </w:p>
    <w:p w:rsidR="00CE1927" w:rsidRPr="00FA3856" w:rsidRDefault="00CE1927" w:rsidP="001A6818">
      <w:pPr>
        <w:pStyle w:val="NormalWeb"/>
        <w:spacing w:before="0" w:after="0"/>
        <w:ind w:left="601"/>
        <w:jc w:val="both"/>
        <w:rPr>
          <w:rFonts w:ascii="Times New Roman" w:hAnsi="Times New Roman" w:cs="Times New Roman"/>
          <w:szCs w:val="20"/>
        </w:rPr>
      </w:pPr>
      <w:r w:rsidRPr="00FA3856">
        <w:rPr>
          <w:rFonts w:ascii="Times New Roman" w:hAnsi="Times New Roman" w:cs="Times New Roman"/>
          <w:szCs w:val="20"/>
        </w:rPr>
        <w:t> </w:t>
      </w:r>
    </w:p>
    <w:p w:rsidR="00CE1927" w:rsidRPr="00FA3856" w:rsidRDefault="00EB727C" w:rsidP="001A6818">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t>V.11.1-A</w:t>
      </w:r>
      <w:r w:rsidR="00B14A83" w:rsidRPr="00FA3856">
        <w:rPr>
          <w:rFonts w:ascii="Times New Roman" w:hAnsi="Times New Roman" w:cs="Times New Roman"/>
          <w:b/>
          <w:bCs/>
          <w:szCs w:val="20"/>
        </w:rPr>
        <w:t xml:space="preserve">) </w:t>
      </w:r>
      <w:r w:rsidR="00CE1927" w:rsidRPr="00FA3856">
        <w:rPr>
          <w:rFonts w:ascii="Times New Roman" w:hAnsi="Times New Roman" w:cs="Times New Roman"/>
          <w:b/>
          <w:bCs/>
          <w:szCs w:val="20"/>
        </w:rPr>
        <w:t>Empreendimentos fabricantes de máquinas, equipamentos, instrumentos e dispositivos, baseados em tecnologia digital, voltados para o programa de inclusão digital, na área de atuação da Sudene e da Sudam.</w:t>
      </w:r>
    </w:p>
    <w:p w:rsidR="00EB727C" w:rsidRPr="00FA3856" w:rsidRDefault="00EB727C" w:rsidP="001A6818">
      <w:pPr>
        <w:pStyle w:val="NormalWeb"/>
        <w:spacing w:before="0" w:after="0"/>
        <w:jc w:val="both"/>
        <w:rPr>
          <w:rFonts w:ascii="Times New Roman" w:hAnsi="Times New Roman" w:cs="Times New Roman"/>
          <w:szCs w:val="20"/>
        </w:rPr>
      </w:pPr>
    </w:p>
    <w:p w:rsidR="00CE1927" w:rsidRPr="00FA3856" w:rsidRDefault="00CE1927" w:rsidP="00EB727C">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partir de 23 de agosto de 2011 (data de início de vigência da Medida Provisória nº 540, de 2011) as pessoas jurídicas que tenham projeto protocolizado e aprovado até 31 de dezembro de 2018 para instalação, ampliação, modernização ou diversificação de empreendimentos para fabricação de máquinas, equipamentos, instrumentos e dispositivos, baseados em tecnologia digital, voltados para o programa de inclusão digital na área de atuação da Sudene terão direito à isenção do IRPJ e adicional, calculados com base no lucro da exploração.</w:t>
      </w:r>
    </w:p>
    <w:p w:rsidR="00EB727C" w:rsidRPr="00FA3856" w:rsidRDefault="00EB727C" w:rsidP="001A6818">
      <w:pPr>
        <w:pStyle w:val="NormalWeb"/>
        <w:spacing w:before="0" w:after="0"/>
        <w:jc w:val="both"/>
        <w:rPr>
          <w:rFonts w:ascii="Times New Roman" w:hAnsi="Times New Roman" w:cs="Times New Roman"/>
          <w:szCs w:val="20"/>
        </w:rPr>
      </w:pPr>
    </w:p>
    <w:p w:rsidR="00CE1927" w:rsidRPr="00FA3856" w:rsidRDefault="00CE1927" w:rsidP="00EB727C">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Consideram-se voltados para o programa de inclusão digital, os projetos de empreendimento de</w:t>
      </w:r>
      <w:bookmarkStart w:id="167" w:name="subitem_15.7.11.1-A"/>
      <w:bookmarkEnd w:id="167"/>
      <w:r w:rsidRPr="00FA3856">
        <w:rPr>
          <w:rFonts w:ascii="Times New Roman" w:hAnsi="Times New Roman" w:cs="Times New Roman"/>
          <w:szCs w:val="20"/>
        </w:rPr>
        <w:t xml:space="preserve"> instalação, ampliação, modernização ou diversificação de atividade, fabricante das seguintes unidades e máquinas de processamento de dados:</w:t>
      </w:r>
    </w:p>
    <w:p w:rsidR="00EB727C" w:rsidRPr="00FA3856" w:rsidRDefault="00EB727C" w:rsidP="001A6818">
      <w:pPr>
        <w:pStyle w:val="NormalWeb"/>
        <w:spacing w:before="0" w:after="0"/>
        <w:jc w:val="both"/>
        <w:rPr>
          <w:rFonts w:ascii="Times New Roman" w:hAnsi="Times New Roman" w:cs="Times New Roman"/>
          <w:szCs w:val="20"/>
        </w:rPr>
      </w:pPr>
    </w:p>
    <w:p w:rsidR="00CE1927" w:rsidRPr="00FA3856" w:rsidRDefault="00CE1927" w:rsidP="00EB727C">
      <w:pPr>
        <w:pStyle w:val="NormalWeb"/>
        <w:spacing w:before="0" w:after="0"/>
        <w:ind w:left="1416"/>
        <w:jc w:val="both"/>
        <w:rPr>
          <w:rFonts w:ascii="Times New Roman" w:hAnsi="Times New Roman" w:cs="Times New Roman"/>
          <w:szCs w:val="20"/>
        </w:rPr>
      </w:pPr>
      <w:r w:rsidRPr="00FA3856">
        <w:rPr>
          <w:rFonts w:ascii="Times New Roman" w:hAnsi="Times New Roman" w:cs="Times New Roman"/>
          <w:szCs w:val="20"/>
        </w:rPr>
        <w:t>a) de unidades de processamento digital classificadas no código 8471.50.10 da Tabela de Incidência do IPI - TIPI, produzidas no País conforme processo produtivo básico estabelecido pelo Poder Executivo;</w:t>
      </w:r>
    </w:p>
    <w:p w:rsidR="00CE1927" w:rsidRPr="00FA3856" w:rsidRDefault="00CE1927" w:rsidP="00EB727C">
      <w:pPr>
        <w:pStyle w:val="NormalWeb"/>
        <w:spacing w:before="0" w:after="0"/>
        <w:ind w:left="1416"/>
        <w:jc w:val="both"/>
        <w:rPr>
          <w:rFonts w:ascii="Times New Roman" w:hAnsi="Times New Roman" w:cs="Times New Roman"/>
          <w:szCs w:val="20"/>
        </w:rPr>
      </w:pPr>
      <w:r w:rsidRPr="00FA3856">
        <w:rPr>
          <w:rFonts w:ascii="Times New Roman" w:hAnsi="Times New Roman" w:cs="Times New Roman"/>
          <w:szCs w:val="20"/>
        </w:rPr>
        <w:t>b) de máquinas automáticas para processamento de dados, digitais, portáteis, de peso inferior a 3,5Kg (três quilos e meio), com tela (écran) de área superior a 140cm² (cento e quarenta centímetros quadrados), classificadas nos códigos 8471.30.12, 8471.30.19 ou 8471.30.90 da Tipi, produzidas no País conforme processo produtivo básico estabelecido pelo Poder Executivo;</w:t>
      </w:r>
    </w:p>
    <w:p w:rsidR="00CE1927" w:rsidRPr="00FA3856" w:rsidRDefault="00CE1927" w:rsidP="00EB727C">
      <w:pPr>
        <w:pStyle w:val="NormalWeb"/>
        <w:spacing w:before="0" w:after="0"/>
        <w:ind w:left="1416"/>
        <w:jc w:val="both"/>
        <w:rPr>
          <w:rFonts w:ascii="Times New Roman" w:hAnsi="Times New Roman" w:cs="Times New Roman"/>
          <w:szCs w:val="20"/>
        </w:rPr>
      </w:pPr>
      <w:r w:rsidRPr="00FA3856">
        <w:rPr>
          <w:rFonts w:ascii="Times New Roman" w:hAnsi="Times New Roman" w:cs="Times New Roman"/>
          <w:szCs w:val="20"/>
        </w:rPr>
        <w:t>c) de máquinas automáticas de processamento de dados, apresentadas sob a forma de sistemas, do código 8471.49 da Tipi, contendo exclusivamente 1 (uma) unidade de processamento digital, 1 (uma) unidade de saída por vídeo (monitor), 1 (um) teclado (unidade de entrada), 1 (um) mouse (unidade de entrada), classificados, respectivamente, nos códigos 8471.50.10, 8471.60.7, 8471.60.52 e 8471.60.53 da Tipi produzidas no País conforme processo produtivo básico estabelecido pelo Poder Executivo;</w:t>
      </w:r>
    </w:p>
    <w:p w:rsidR="00CE1927" w:rsidRPr="00FA3856" w:rsidRDefault="00CE1927" w:rsidP="00EB727C">
      <w:pPr>
        <w:pStyle w:val="NormalWeb"/>
        <w:spacing w:before="0" w:after="0"/>
        <w:ind w:left="1416"/>
        <w:jc w:val="both"/>
        <w:rPr>
          <w:rFonts w:ascii="Times New Roman" w:hAnsi="Times New Roman" w:cs="Times New Roman"/>
          <w:szCs w:val="20"/>
        </w:rPr>
      </w:pPr>
      <w:r w:rsidRPr="00FA3856">
        <w:rPr>
          <w:rFonts w:ascii="Times New Roman" w:hAnsi="Times New Roman" w:cs="Times New Roman"/>
          <w:szCs w:val="20"/>
        </w:rPr>
        <w:t>d) de teclado (unidade de entrada) e de mouse (unidade de entrada) classificados, respectivamente, nos códigos 8471.60.52 e 8471.60.53 da Tipi, quando acompanharem a unidade de processamento digital classificada no código 8471.50.10 da Tipi;</w:t>
      </w:r>
    </w:p>
    <w:p w:rsidR="00CE1927" w:rsidRPr="00FA3856" w:rsidRDefault="00CE1927" w:rsidP="00EB727C">
      <w:pPr>
        <w:pStyle w:val="NormalWeb"/>
        <w:spacing w:before="0" w:after="0"/>
        <w:ind w:left="1416"/>
        <w:jc w:val="both"/>
        <w:rPr>
          <w:rFonts w:ascii="Times New Roman" w:hAnsi="Times New Roman" w:cs="Times New Roman"/>
          <w:szCs w:val="20"/>
        </w:rPr>
      </w:pPr>
      <w:r w:rsidRPr="00FA3856">
        <w:rPr>
          <w:rFonts w:ascii="Times New Roman" w:hAnsi="Times New Roman" w:cs="Times New Roman"/>
          <w:szCs w:val="20"/>
        </w:rPr>
        <w:t>e) modems, classificados nas posições 8517.62.55, 8517.62.62 ou 8517.62.72 da Tipi;</w:t>
      </w:r>
    </w:p>
    <w:p w:rsidR="00CE1927" w:rsidRPr="00FA3856" w:rsidRDefault="00CE1927" w:rsidP="00EB727C">
      <w:pPr>
        <w:pStyle w:val="NormalWeb"/>
        <w:spacing w:before="0" w:after="0"/>
        <w:ind w:left="1416"/>
        <w:jc w:val="both"/>
        <w:rPr>
          <w:rFonts w:ascii="Times New Roman" w:hAnsi="Times New Roman" w:cs="Times New Roman"/>
          <w:szCs w:val="20"/>
        </w:rPr>
      </w:pPr>
      <w:r w:rsidRPr="00FA3856">
        <w:rPr>
          <w:rFonts w:ascii="Times New Roman" w:hAnsi="Times New Roman" w:cs="Times New Roman"/>
          <w:szCs w:val="20"/>
        </w:rPr>
        <w:t>f) máquinas automáticas de processamento de dados, portáteis, sem teclado, que tenham uma unidade central de processamento com entrada e saída de dados por meio de uma tela sensível ao toque de área superior a 140 cm² (cento e quarenta centímetros quadrados) e inferior a 600 cm² (seiscentos centímetros quadrados) e que não possuam função de comando remoto (tablet PC) classificadas na subposição 8471.41 da Tipi, produzidas no País conforme processo produtivo básico estabelecido pelo Poder Executivo;</w:t>
      </w:r>
    </w:p>
    <w:p w:rsidR="00CE1927" w:rsidRPr="00FA3856" w:rsidRDefault="00CE1927" w:rsidP="00EB727C">
      <w:pPr>
        <w:pStyle w:val="NormalWeb"/>
        <w:spacing w:before="0" w:after="0"/>
        <w:ind w:left="1416"/>
        <w:jc w:val="both"/>
        <w:rPr>
          <w:rFonts w:ascii="Times New Roman" w:hAnsi="Times New Roman" w:cs="Times New Roman"/>
          <w:szCs w:val="20"/>
        </w:rPr>
      </w:pPr>
      <w:r w:rsidRPr="00FA3856">
        <w:rPr>
          <w:rFonts w:ascii="Times New Roman" w:hAnsi="Times New Roman" w:cs="Times New Roman"/>
          <w:szCs w:val="20"/>
        </w:rPr>
        <w:t>g) telefones portáteis de redes celulares que possibilitem o acesso à internet em alta velocidade do tipo smartphone classificados na posição 8517.12.31 da Tipi, produzidos no País conforme processo produtivo básico estabelecido pelo Poder Executivo;</w:t>
      </w:r>
    </w:p>
    <w:p w:rsidR="00CE1927" w:rsidRPr="00FA3856" w:rsidRDefault="00CE1927" w:rsidP="00EB727C">
      <w:pPr>
        <w:pStyle w:val="NormalWeb"/>
        <w:spacing w:before="0" w:after="0"/>
        <w:ind w:left="1416"/>
        <w:jc w:val="both"/>
        <w:rPr>
          <w:rFonts w:ascii="Times New Roman" w:hAnsi="Times New Roman" w:cs="Times New Roman"/>
          <w:szCs w:val="20"/>
        </w:rPr>
      </w:pPr>
      <w:r w:rsidRPr="00FA3856">
        <w:rPr>
          <w:rFonts w:ascii="Times New Roman" w:hAnsi="Times New Roman" w:cs="Times New Roman"/>
          <w:szCs w:val="20"/>
        </w:rPr>
        <w:t>h) equipamentos terminais de clientes (roteadores digitais) classificados nas posições 8517.62.41 e 8517.62.77 da Tipi, desenvolvidos no País conforme processo produtivo básico estabelecido pelo Poder Executivo.</w:t>
      </w:r>
    </w:p>
    <w:p w:rsidR="00EB727C" w:rsidRPr="00FA3856" w:rsidRDefault="00EB727C" w:rsidP="001A6818">
      <w:pPr>
        <w:pStyle w:val="NormalWeb"/>
        <w:spacing w:before="0" w:after="0"/>
        <w:jc w:val="both"/>
        <w:rPr>
          <w:rFonts w:ascii="Times New Roman" w:hAnsi="Times New Roman" w:cs="Times New Roman"/>
          <w:szCs w:val="20"/>
        </w:rPr>
      </w:pPr>
    </w:p>
    <w:p w:rsidR="00CE1927" w:rsidRPr="00FA3856" w:rsidRDefault="00CE1927" w:rsidP="00EB727C">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Os produtos de que trata este item atenderão aos termos e condições estabelecidos em regulamento, inclusive quanto ao valor e especificações técnicas.</w:t>
      </w:r>
    </w:p>
    <w:p w:rsidR="00EB727C" w:rsidRPr="00FA3856" w:rsidRDefault="00EB727C" w:rsidP="001A6818">
      <w:pPr>
        <w:pStyle w:val="NormalWeb"/>
        <w:spacing w:before="0" w:after="0"/>
        <w:jc w:val="both"/>
        <w:rPr>
          <w:rFonts w:ascii="Times New Roman" w:hAnsi="Times New Roman" w:cs="Times New Roman"/>
          <w:szCs w:val="20"/>
        </w:rPr>
      </w:pPr>
    </w:p>
    <w:p w:rsidR="00CE1927" w:rsidRPr="00FA3856" w:rsidRDefault="00CE1927" w:rsidP="00EB727C">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Consideram-se baseados em tecnologia digital para efeito deste item, os projetos de empreendimento de instalação, ampliação, modernização ou diversificação de atividade, cujo processo de fabricação seja estruturado preponderantemente nas máquinas e unidades de tecnologia de que tratam as alíneas</w:t>
      </w:r>
      <w:r w:rsidR="00B5790B" w:rsidRPr="00FA3856">
        <w:rPr>
          <w:rFonts w:ascii="Times New Roman" w:hAnsi="Times New Roman" w:cs="Times New Roman"/>
          <w:szCs w:val="20"/>
        </w:rPr>
        <w:t xml:space="preserve"> a) a h)</w:t>
      </w:r>
      <w:r w:rsidRPr="00FA3856">
        <w:rPr>
          <w:rFonts w:ascii="Times New Roman" w:hAnsi="Times New Roman" w:cs="Times New Roman"/>
          <w:szCs w:val="20"/>
        </w:rPr>
        <w:t>; discriminadas anteriormente.</w:t>
      </w:r>
    </w:p>
    <w:p w:rsidR="00EB727C" w:rsidRPr="00FA3856" w:rsidRDefault="00EB727C" w:rsidP="001A6818">
      <w:pPr>
        <w:pStyle w:val="NormalWeb"/>
        <w:spacing w:before="0" w:after="0"/>
        <w:jc w:val="both"/>
        <w:rPr>
          <w:rFonts w:ascii="Times New Roman" w:hAnsi="Times New Roman" w:cs="Times New Roman"/>
          <w:szCs w:val="20"/>
        </w:rPr>
      </w:pPr>
    </w:p>
    <w:p w:rsidR="00CE1927" w:rsidRPr="00FA3856" w:rsidRDefault="00CE1927" w:rsidP="00EB727C">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 xml:space="preserve">No caso da alínea </w:t>
      </w:r>
      <w:r w:rsidR="00EB727C" w:rsidRPr="00FA3856">
        <w:rPr>
          <w:rFonts w:ascii="Times New Roman" w:hAnsi="Times New Roman" w:cs="Times New Roman"/>
          <w:szCs w:val="20"/>
        </w:rPr>
        <w:t>“f”</w:t>
      </w:r>
      <w:r w:rsidRPr="00FA3856">
        <w:rPr>
          <w:rFonts w:ascii="Times New Roman" w:hAnsi="Times New Roman" w:cs="Times New Roman"/>
          <w:szCs w:val="20"/>
        </w:rPr>
        <w:t>, a isenção do imposto alcança somente os Tablets PC produzidos no País conforme processo produtivo básico estabelecido em Portaria Interministerial dos Ministérios do Desenvolvimento, Indústria e Comércio Exterior e da Ciência, Tecnologia e Inovação.</w:t>
      </w:r>
    </w:p>
    <w:p w:rsidR="00CE1927" w:rsidRPr="00FA3856" w:rsidRDefault="00CE1927" w:rsidP="00EB727C">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lastRenderedPageBreak/>
        <w:t xml:space="preserve">Nas notas fiscais emitidas pelo fabricante, relativas às vendas dos produtos de que tratam as alíneas </w:t>
      </w:r>
      <w:r w:rsidR="00EB727C" w:rsidRPr="00FA3856">
        <w:rPr>
          <w:rFonts w:ascii="Times New Roman" w:hAnsi="Times New Roman" w:cs="Times New Roman"/>
          <w:szCs w:val="20"/>
        </w:rPr>
        <w:t>“a” a “h”</w:t>
      </w:r>
      <w:r w:rsidRPr="00FA3856">
        <w:rPr>
          <w:rFonts w:ascii="Times New Roman" w:hAnsi="Times New Roman" w:cs="Times New Roman"/>
          <w:szCs w:val="20"/>
        </w:rPr>
        <w:t xml:space="preserve"> discriminadas anteriormente, deverá constar a expressão</w:t>
      </w:r>
      <w:r w:rsidR="00EB727C" w:rsidRPr="00FA3856">
        <w:rPr>
          <w:rFonts w:ascii="Times New Roman" w:hAnsi="Times New Roman" w:cs="Times New Roman"/>
          <w:szCs w:val="20"/>
        </w:rPr>
        <w:t xml:space="preserve"> “</w:t>
      </w:r>
      <w:r w:rsidRPr="00FA3856">
        <w:rPr>
          <w:rFonts w:ascii="Times New Roman" w:hAnsi="Times New Roman" w:cs="Times New Roman"/>
          <w:szCs w:val="20"/>
        </w:rPr>
        <w:t>Produto base</w:t>
      </w:r>
      <w:r w:rsidR="00EB727C" w:rsidRPr="00FA3856">
        <w:rPr>
          <w:rFonts w:ascii="Times New Roman" w:hAnsi="Times New Roman" w:cs="Times New Roman"/>
          <w:szCs w:val="20"/>
        </w:rPr>
        <w:t>ado em tecnologia digital”</w:t>
      </w:r>
      <w:r w:rsidRPr="00FA3856">
        <w:rPr>
          <w:rFonts w:ascii="Times New Roman" w:hAnsi="Times New Roman" w:cs="Times New Roman"/>
          <w:szCs w:val="20"/>
        </w:rPr>
        <w:t>, e conforme o caso, com a especificação do ato que aprova o processo produtivo básico respectivo.</w:t>
      </w:r>
    </w:p>
    <w:p w:rsidR="00EB727C" w:rsidRPr="00FA3856" w:rsidRDefault="00EB727C" w:rsidP="001A6818">
      <w:pPr>
        <w:pStyle w:val="NormalWeb"/>
        <w:spacing w:before="0" w:after="0"/>
        <w:jc w:val="both"/>
        <w:rPr>
          <w:rFonts w:ascii="Times New Roman" w:hAnsi="Times New Roman" w:cs="Times New Roman"/>
          <w:szCs w:val="20"/>
        </w:rPr>
      </w:pPr>
    </w:p>
    <w:p w:rsidR="00CE1927" w:rsidRPr="00FA3856" w:rsidRDefault="00CE1927" w:rsidP="00EB727C">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 xml:space="preserve">No caso de projeto de que tratam as </w:t>
      </w:r>
      <w:r w:rsidR="00EB727C" w:rsidRPr="00FA3856">
        <w:rPr>
          <w:rFonts w:ascii="Times New Roman" w:hAnsi="Times New Roman" w:cs="Times New Roman"/>
          <w:szCs w:val="20"/>
        </w:rPr>
        <w:t xml:space="preserve">alíneas “a” a “h” </w:t>
      </w:r>
      <w:r w:rsidRPr="00FA3856">
        <w:rPr>
          <w:rFonts w:ascii="Times New Roman" w:hAnsi="Times New Roman" w:cs="Times New Roman"/>
          <w:szCs w:val="20"/>
        </w:rPr>
        <w:t xml:space="preserve">discriminadas anteriormente que já esteja sendo utilizado para o benefício fiscal nos termos </w:t>
      </w:r>
      <w:r w:rsidR="00EB727C" w:rsidRPr="00FA3856">
        <w:rPr>
          <w:rFonts w:ascii="Times New Roman" w:hAnsi="Times New Roman" w:cs="Times New Roman"/>
          <w:szCs w:val="20"/>
        </w:rPr>
        <w:t>do subitem V.11.1</w:t>
      </w:r>
      <w:r w:rsidRPr="00FA3856">
        <w:rPr>
          <w:rFonts w:ascii="Times New Roman" w:hAnsi="Times New Roman" w:cs="Times New Roman"/>
          <w:szCs w:val="20"/>
        </w:rPr>
        <w:t>, o prazo de fruição é de 10 (dez) anos contado a partir da data de publicação da Medida Provisória nº 540, de 2 de agosto de 2011.</w:t>
      </w:r>
    </w:p>
    <w:p w:rsidR="00EB727C" w:rsidRPr="00FA3856" w:rsidRDefault="00EB727C" w:rsidP="001A6818">
      <w:pPr>
        <w:pStyle w:val="NormalWeb"/>
        <w:spacing w:before="0" w:after="0"/>
        <w:jc w:val="both"/>
        <w:rPr>
          <w:rFonts w:ascii="Times New Roman" w:hAnsi="Times New Roman" w:cs="Times New Roman"/>
          <w:szCs w:val="20"/>
        </w:rPr>
      </w:pPr>
    </w:p>
    <w:p w:rsidR="00CE1927" w:rsidRPr="00FA3856" w:rsidRDefault="00CE1927" w:rsidP="00EB727C">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Na hipótese de expedição de laudo constitutivo após o último dia útil do mês de março do ano-calendário subsequente ao do início da operação, a fruição do benefício dar-se-á a partir do ano-calendário da expedição do laudo.</w:t>
      </w:r>
    </w:p>
    <w:p w:rsidR="00EB727C" w:rsidRPr="00FA3856" w:rsidRDefault="00EB727C" w:rsidP="001A6818">
      <w:pPr>
        <w:pStyle w:val="NormalWeb"/>
        <w:spacing w:before="0" w:after="0"/>
        <w:jc w:val="both"/>
        <w:rPr>
          <w:rFonts w:ascii="Times New Roman" w:hAnsi="Times New Roman" w:cs="Times New Roman"/>
          <w:b/>
          <w:bCs/>
          <w:szCs w:val="20"/>
        </w:rPr>
      </w:pPr>
    </w:p>
    <w:p w:rsidR="00CE1927" w:rsidRPr="00FA3856" w:rsidRDefault="00EB727C" w:rsidP="001A6818">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t>V.11.1</w:t>
      </w:r>
      <w:r w:rsidR="001A6818" w:rsidRPr="00FA3856">
        <w:rPr>
          <w:rFonts w:ascii="Times New Roman" w:hAnsi="Times New Roman" w:cs="Times New Roman"/>
          <w:b/>
          <w:bCs/>
          <w:szCs w:val="20"/>
        </w:rPr>
        <w:t xml:space="preserve">.1) </w:t>
      </w:r>
      <w:r w:rsidR="00CE1927" w:rsidRPr="00FA3856">
        <w:rPr>
          <w:rFonts w:ascii="Times New Roman" w:hAnsi="Times New Roman" w:cs="Times New Roman"/>
          <w:b/>
          <w:bCs/>
          <w:szCs w:val="20"/>
        </w:rPr>
        <w:t>Da Isenção Transformada em Redução</w:t>
      </w:r>
    </w:p>
    <w:p w:rsidR="00EB727C" w:rsidRPr="00FA3856" w:rsidRDefault="00EB727C" w:rsidP="001A6818">
      <w:pPr>
        <w:pStyle w:val="NormalWeb"/>
        <w:spacing w:before="0" w:after="0"/>
        <w:jc w:val="both"/>
        <w:rPr>
          <w:rFonts w:ascii="Times New Roman" w:hAnsi="Times New Roman" w:cs="Times New Roman"/>
          <w:szCs w:val="20"/>
        </w:rPr>
      </w:pPr>
    </w:p>
    <w:p w:rsidR="00CE1927" w:rsidRPr="00FA3856" w:rsidRDefault="00CE1927" w:rsidP="00EB727C">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pessoa jurídica que tenha instalado, ampliado, modernizado ou diversificado empreendimento industrial ou agrícola na área de atuação da Sudam e da Sudene até 31 de dezembro de 1997, nos termos da Lei n</w:t>
      </w:r>
      <w:r w:rsidRPr="00FA3856">
        <w:rPr>
          <w:rFonts w:ascii="Times New Roman" w:hAnsi="Times New Roman" w:cs="Times New Roman"/>
          <w:strike/>
          <w:szCs w:val="20"/>
        </w:rPr>
        <w:t>º</w:t>
      </w:r>
      <w:r w:rsidRPr="00FA3856">
        <w:rPr>
          <w:rFonts w:ascii="Times New Roman" w:hAnsi="Times New Roman" w:cs="Times New Roman"/>
          <w:szCs w:val="20"/>
        </w:rPr>
        <w:t xml:space="preserve"> 9.808, de 1999, art. 13, ou quando esse empreendimento industrial ou agrícola seja decorrente de projeto aprovado ou protocolizado até 14 de novembro de 1997, pode deduzir, do imposto de renda devido, o valor correspondente ao benefício fiscal de isenção, concedido nos termos da legislação de regência, calculado com base no lucro da exploração do empreendimento.</w:t>
      </w:r>
    </w:p>
    <w:p w:rsidR="00EB727C" w:rsidRPr="00FA3856" w:rsidRDefault="00EB727C" w:rsidP="001A6818">
      <w:pPr>
        <w:pStyle w:val="NormalWeb"/>
        <w:spacing w:before="0" w:after="0"/>
        <w:jc w:val="both"/>
        <w:rPr>
          <w:rFonts w:ascii="Times New Roman" w:hAnsi="Times New Roman" w:cs="Times New Roman"/>
          <w:szCs w:val="20"/>
        </w:rPr>
      </w:pPr>
    </w:p>
    <w:p w:rsidR="00CE1927" w:rsidRPr="00FA3856" w:rsidRDefault="00CE1927" w:rsidP="00EB727C">
      <w:pPr>
        <w:pStyle w:val="NormalWeb"/>
        <w:spacing w:before="0" w:after="0"/>
        <w:ind w:firstLine="601"/>
        <w:jc w:val="both"/>
        <w:rPr>
          <w:rFonts w:ascii="Times New Roman" w:hAnsi="Times New Roman" w:cs="Times New Roman"/>
          <w:szCs w:val="20"/>
        </w:rPr>
      </w:pPr>
      <w:r w:rsidRPr="00FA3856">
        <w:rPr>
          <w:rFonts w:ascii="Times New Roman" w:hAnsi="Times New Roman" w:cs="Times New Roman"/>
          <w:szCs w:val="20"/>
        </w:rPr>
        <w:t>Para os empreendimentos industriais ou agrícolas instalados a partir de 1</w:t>
      </w:r>
      <w:r w:rsidRPr="00FA3856">
        <w:rPr>
          <w:rFonts w:ascii="Times New Roman" w:hAnsi="Times New Roman" w:cs="Times New Roman"/>
          <w:strike/>
          <w:szCs w:val="20"/>
        </w:rPr>
        <w:t>º</w:t>
      </w:r>
      <w:r w:rsidRPr="00FA3856">
        <w:rPr>
          <w:rFonts w:ascii="Times New Roman" w:hAnsi="Times New Roman" w:cs="Times New Roman"/>
          <w:szCs w:val="20"/>
        </w:rPr>
        <w:t xml:space="preserve"> de janeiro de 1998 ou cujo projeto tenha sido aprovado ou protocolizado após 14 de novembro de 1997 e até 23 de agosto de 2000, o valor do benefício f</w:t>
      </w:r>
      <w:bookmarkStart w:id="168" w:name="subitem_15.7.11.1.1"/>
      <w:bookmarkEnd w:id="168"/>
      <w:r w:rsidRPr="00FA3856">
        <w:rPr>
          <w:rFonts w:ascii="Times New Roman" w:hAnsi="Times New Roman" w:cs="Times New Roman"/>
          <w:szCs w:val="20"/>
        </w:rPr>
        <w:t>iscal, calculado com base no lucro da exploração, corresponde à redução de 25% do imposto, a partir de 1</w:t>
      </w:r>
      <w:r w:rsidRPr="00FA3856">
        <w:rPr>
          <w:rFonts w:ascii="Times New Roman" w:hAnsi="Times New Roman" w:cs="Times New Roman"/>
          <w:strike/>
          <w:szCs w:val="20"/>
        </w:rPr>
        <w:t>º</w:t>
      </w:r>
      <w:r w:rsidRPr="00FA3856">
        <w:rPr>
          <w:rFonts w:ascii="Times New Roman" w:hAnsi="Times New Roman" w:cs="Times New Roman"/>
          <w:szCs w:val="20"/>
        </w:rPr>
        <w:t xml:space="preserve"> de janeiro de 2009 até 31 de dezembro de 2013 (Lei n</w:t>
      </w:r>
      <w:r w:rsidRPr="00FA3856">
        <w:rPr>
          <w:rFonts w:ascii="Times New Roman" w:hAnsi="Times New Roman" w:cs="Times New Roman"/>
          <w:strike/>
          <w:szCs w:val="20"/>
        </w:rPr>
        <w:t>º</w:t>
      </w:r>
      <w:r w:rsidRPr="00FA3856">
        <w:rPr>
          <w:rFonts w:ascii="Times New Roman" w:hAnsi="Times New Roman" w:cs="Times New Roman"/>
          <w:szCs w:val="20"/>
        </w:rPr>
        <w:t xml:space="preserve"> 9.532, de 1997, art. 3</w:t>
      </w:r>
      <w:r w:rsidRPr="00FA3856">
        <w:rPr>
          <w:rFonts w:ascii="Times New Roman" w:hAnsi="Times New Roman" w:cs="Times New Roman"/>
          <w:strike/>
          <w:szCs w:val="20"/>
        </w:rPr>
        <w:t>º</w:t>
      </w:r>
      <w:r w:rsidRPr="00FA3856">
        <w:rPr>
          <w:rFonts w:ascii="Times New Roman" w:hAnsi="Times New Roman" w:cs="Times New Roman"/>
          <w:szCs w:val="20"/>
        </w:rPr>
        <w:t>, I, II, III e § 1</w:t>
      </w:r>
      <w:r w:rsidRPr="00FA3856">
        <w:rPr>
          <w:rFonts w:ascii="Times New Roman" w:hAnsi="Times New Roman" w:cs="Times New Roman"/>
          <w:strike/>
          <w:szCs w:val="20"/>
        </w:rPr>
        <w:t>º</w:t>
      </w:r>
      <w:r w:rsidRPr="00FA3856">
        <w:rPr>
          <w:rFonts w:ascii="Times New Roman" w:hAnsi="Times New Roman" w:cs="Times New Roman"/>
          <w:szCs w:val="20"/>
        </w:rPr>
        <w:t>; e Lei n</w:t>
      </w:r>
      <w:r w:rsidRPr="00FA3856">
        <w:rPr>
          <w:rFonts w:ascii="Times New Roman" w:hAnsi="Times New Roman" w:cs="Times New Roman"/>
          <w:strike/>
          <w:szCs w:val="20"/>
        </w:rPr>
        <w:t>º</w:t>
      </w:r>
      <w:r w:rsidRPr="00FA3856">
        <w:rPr>
          <w:rFonts w:ascii="Times New Roman" w:hAnsi="Times New Roman" w:cs="Times New Roman"/>
          <w:szCs w:val="20"/>
        </w:rPr>
        <w:t xml:space="preserve"> 9.808, de 1999, art. 13).</w:t>
      </w:r>
    </w:p>
    <w:p w:rsidR="00EB727C" w:rsidRPr="00FA3856" w:rsidRDefault="00EB727C" w:rsidP="001A6818">
      <w:pPr>
        <w:pStyle w:val="NormalWeb"/>
        <w:spacing w:before="0" w:after="0"/>
        <w:ind w:left="601"/>
        <w:jc w:val="both"/>
        <w:rPr>
          <w:rFonts w:ascii="Times New Roman" w:hAnsi="Times New Roman" w:cs="Times New Roman"/>
          <w:b/>
          <w:bCs/>
          <w:szCs w:val="20"/>
        </w:rPr>
      </w:pPr>
    </w:p>
    <w:p w:rsidR="00CE1927" w:rsidRPr="00FA3856" w:rsidRDefault="00CE1927" w:rsidP="001A6818">
      <w:pPr>
        <w:pStyle w:val="NormalWeb"/>
        <w:spacing w:before="0" w:after="0"/>
        <w:ind w:left="601"/>
        <w:jc w:val="both"/>
        <w:rPr>
          <w:rFonts w:ascii="Times New Roman" w:hAnsi="Times New Roman" w:cs="Times New Roman"/>
          <w:szCs w:val="20"/>
        </w:rPr>
      </w:pPr>
      <w:r w:rsidRPr="00FA3856">
        <w:rPr>
          <w:rFonts w:ascii="Times New Roman" w:hAnsi="Times New Roman" w:cs="Times New Roman"/>
          <w:b/>
          <w:bCs/>
          <w:szCs w:val="20"/>
        </w:rPr>
        <w:t>Atenção:</w:t>
      </w:r>
    </w:p>
    <w:p w:rsidR="00CE1927" w:rsidRPr="00FA3856" w:rsidRDefault="00CE1927" w:rsidP="001A6818">
      <w:pPr>
        <w:pStyle w:val="NormalWeb"/>
        <w:spacing w:before="0" w:after="0"/>
        <w:ind w:left="601"/>
        <w:jc w:val="both"/>
        <w:rPr>
          <w:rFonts w:ascii="Times New Roman" w:hAnsi="Times New Roman" w:cs="Times New Roman"/>
          <w:szCs w:val="20"/>
        </w:rPr>
      </w:pPr>
      <w:r w:rsidRPr="00FA3856">
        <w:rPr>
          <w:rFonts w:ascii="Times New Roman" w:hAnsi="Times New Roman" w:cs="Times New Roman"/>
          <w:szCs w:val="20"/>
        </w:rPr>
        <w:t>1) para os projetos protocolizados e aprovados após 23 de agosto de 2000, até 31 de dezembro de 2013, a Medida Provisória n</w:t>
      </w:r>
      <w:r w:rsidRPr="00FA3856">
        <w:rPr>
          <w:rFonts w:ascii="Times New Roman" w:hAnsi="Times New Roman" w:cs="Times New Roman"/>
          <w:strike/>
          <w:szCs w:val="20"/>
        </w:rPr>
        <w:t>º</w:t>
      </w:r>
      <w:r w:rsidRPr="00FA3856">
        <w:rPr>
          <w:rFonts w:ascii="Times New Roman" w:hAnsi="Times New Roman" w:cs="Times New Roman"/>
          <w:szCs w:val="20"/>
        </w:rPr>
        <w:t xml:space="preserve"> 2.058, de 2000, atual MP n</w:t>
      </w:r>
      <w:r w:rsidRPr="00FA3856">
        <w:rPr>
          <w:rFonts w:ascii="Times New Roman" w:hAnsi="Times New Roman" w:cs="Times New Roman"/>
          <w:strike/>
          <w:szCs w:val="20"/>
        </w:rPr>
        <w:t>º</w:t>
      </w:r>
      <w:r w:rsidRPr="00FA3856">
        <w:rPr>
          <w:rFonts w:ascii="Times New Roman" w:hAnsi="Times New Roman" w:cs="Times New Roman"/>
          <w:szCs w:val="20"/>
        </w:rPr>
        <w:t xml:space="preserve"> 2.199-14, de 2001, prevê redução de 75% do imposto sobre a renda exclusivamente para os empreendimentos aprovados para instalação, ampliação, modernização ou diversificação de atividade, enquadrados em setores da economia considerados, em ato do Poder Executivo, prioritários para o desenvolvimento regional, nas áreas de atuação da Sudene e da Sudam (MP n</w:t>
      </w:r>
      <w:r w:rsidRPr="00FA3856">
        <w:rPr>
          <w:rFonts w:ascii="Times New Roman" w:hAnsi="Times New Roman" w:cs="Times New Roman"/>
          <w:strike/>
          <w:szCs w:val="20"/>
        </w:rPr>
        <w:t>º</w:t>
      </w:r>
      <w:r w:rsidRPr="00FA3856">
        <w:rPr>
          <w:rFonts w:ascii="Times New Roman" w:hAnsi="Times New Roman" w:cs="Times New Roman"/>
          <w:szCs w:val="20"/>
        </w:rPr>
        <w:t xml:space="preserve"> 2.058, de 2000, art. 1</w:t>
      </w:r>
      <w:r w:rsidRPr="00FA3856">
        <w:rPr>
          <w:rFonts w:ascii="Times New Roman" w:hAnsi="Times New Roman" w:cs="Times New Roman"/>
          <w:strike/>
          <w:szCs w:val="20"/>
        </w:rPr>
        <w:t>º</w:t>
      </w:r>
      <w:r w:rsidRPr="00FA3856">
        <w:rPr>
          <w:rFonts w:ascii="Times New Roman" w:hAnsi="Times New Roman" w:cs="Times New Roman"/>
          <w:szCs w:val="20"/>
        </w:rPr>
        <w:t xml:space="preserve">, e reedições). </w:t>
      </w:r>
    </w:p>
    <w:p w:rsidR="00CE1927" w:rsidRPr="00FA3856" w:rsidRDefault="00CE1927" w:rsidP="001A6818">
      <w:pPr>
        <w:pStyle w:val="NormalWeb"/>
        <w:spacing w:before="0" w:after="0"/>
        <w:ind w:left="601"/>
        <w:jc w:val="both"/>
        <w:rPr>
          <w:rFonts w:ascii="Times New Roman" w:hAnsi="Times New Roman" w:cs="Times New Roman"/>
          <w:szCs w:val="20"/>
        </w:rPr>
      </w:pPr>
      <w:r w:rsidRPr="00FA3856">
        <w:rPr>
          <w:rFonts w:ascii="Times New Roman" w:hAnsi="Times New Roman" w:cs="Times New Roman"/>
          <w:szCs w:val="20"/>
        </w:rPr>
        <w:t>2) As pessoas jurídicas devem pleitear o reconhecimento desse direito à Secretaria da Receita Federal do Brasil, instruindo o pedido com o laudo expedido pelo órgão competente do Ministério da Integração Nacional (MI) (IN SRF n</w:t>
      </w:r>
      <w:r w:rsidRPr="00FA3856">
        <w:rPr>
          <w:rFonts w:ascii="Times New Roman" w:hAnsi="Times New Roman" w:cs="Times New Roman"/>
          <w:strike/>
          <w:szCs w:val="20"/>
        </w:rPr>
        <w:t>º</w:t>
      </w:r>
      <w:r w:rsidRPr="00FA3856">
        <w:rPr>
          <w:rFonts w:ascii="Times New Roman" w:hAnsi="Times New Roman" w:cs="Times New Roman"/>
          <w:szCs w:val="20"/>
        </w:rPr>
        <w:t xml:space="preserve"> 267, de 23 de dezembro de 2002, arts. 59 a 61).</w:t>
      </w:r>
    </w:p>
    <w:p w:rsidR="00CE1927" w:rsidRPr="00FA3856" w:rsidRDefault="00CE1927" w:rsidP="001A6818">
      <w:pPr>
        <w:pStyle w:val="NormalWeb"/>
        <w:spacing w:before="0" w:after="0"/>
        <w:ind w:left="601"/>
        <w:jc w:val="both"/>
        <w:rPr>
          <w:rFonts w:ascii="Times New Roman" w:hAnsi="Times New Roman" w:cs="Times New Roman"/>
          <w:szCs w:val="20"/>
        </w:rPr>
      </w:pPr>
      <w:r w:rsidRPr="00FA3856">
        <w:rPr>
          <w:rFonts w:ascii="Times New Roman" w:hAnsi="Times New Roman" w:cs="Times New Roman"/>
          <w:szCs w:val="20"/>
        </w:rPr>
        <w:t>3) A pessoa jurídica que se utilizar indevidamente do benefício estará sujeita ao pagamento do imposto em relação a cada período de apuração, acrescido de juros e multa, sem prejuízo das sanções penais cabíveis.</w:t>
      </w:r>
    </w:p>
    <w:p w:rsidR="00EB727C" w:rsidRPr="00FA3856" w:rsidRDefault="00EB727C" w:rsidP="001A6818">
      <w:pPr>
        <w:pStyle w:val="NormalWeb"/>
        <w:spacing w:before="0" w:after="0"/>
        <w:jc w:val="both"/>
        <w:rPr>
          <w:rFonts w:ascii="Times New Roman" w:hAnsi="Times New Roman" w:cs="Times New Roman"/>
          <w:b/>
          <w:bCs/>
          <w:szCs w:val="20"/>
        </w:rPr>
      </w:pPr>
    </w:p>
    <w:p w:rsidR="00CE1927" w:rsidRPr="00FA3856" w:rsidRDefault="001A6818" w:rsidP="001A6818">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t xml:space="preserve">V.11.1.2) </w:t>
      </w:r>
      <w:r w:rsidR="00CE1927" w:rsidRPr="00FA3856">
        <w:rPr>
          <w:rFonts w:ascii="Times New Roman" w:hAnsi="Times New Roman" w:cs="Times New Roman"/>
          <w:b/>
          <w:bCs/>
          <w:szCs w:val="20"/>
        </w:rPr>
        <w:t>Da Isenção de 50% Transformada em Redução de 12,50%</w:t>
      </w:r>
    </w:p>
    <w:p w:rsidR="00EB727C" w:rsidRPr="00FA3856" w:rsidRDefault="00EB727C" w:rsidP="001A6818">
      <w:pPr>
        <w:pStyle w:val="NormalWeb"/>
        <w:spacing w:before="0" w:after="0"/>
        <w:jc w:val="both"/>
        <w:rPr>
          <w:rFonts w:ascii="Times New Roman" w:hAnsi="Times New Roman" w:cs="Times New Roman"/>
          <w:szCs w:val="20"/>
        </w:rPr>
      </w:pPr>
    </w:p>
    <w:p w:rsidR="00CE1927" w:rsidRPr="00FA3856" w:rsidRDefault="00CE1927" w:rsidP="00EB727C">
      <w:pPr>
        <w:pStyle w:val="NormalWeb"/>
        <w:spacing w:before="0" w:after="0"/>
        <w:ind w:firstLine="601"/>
        <w:jc w:val="both"/>
        <w:rPr>
          <w:rFonts w:ascii="Times New Roman" w:hAnsi="Times New Roman" w:cs="Times New Roman"/>
          <w:szCs w:val="20"/>
        </w:rPr>
      </w:pPr>
      <w:r w:rsidRPr="00FA3856">
        <w:rPr>
          <w:rFonts w:ascii="Times New Roman" w:hAnsi="Times New Roman" w:cs="Times New Roman"/>
          <w:szCs w:val="20"/>
        </w:rPr>
        <w:t>O benefício de que trata este item só se aplica às pessoas jurídicas que mantenham empreendimentos nos setores da economia considerados, pelo Poder Executivo, prioritários para o desenvolvimento regional e às que têm sede na área de jurisdição da Zona Franca de Manaus, reconhecidos como de interesse para o desenvolvimento da região (</w:t>
      </w:r>
      <w:hyperlink r:id="rId215" w:anchor="MP2058" w:history="1">
        <w:r w:rsidRPr="00FA3856">
          <w:rPr>
            <w:rStyle w:val="Hyperlink"/>
            <w:rFonts w:ascii="Times New Roman" w:hAnsi="Times New Roman" w:cs="Times New Roman"/>
            <w:color w:val="auto"/>
            <w:szCs w:val="20"/>
          </w:rPr>
          <w:t>MP n</w:t>
        </w:r>
        <w:r w:rsidRPr="00FA3856">
          <w:rPr>
            <w:rStyle w:val="Hyperlink"/>
            <w:rFonts w:ascii="Times New Roman" w:hAnsi="Times New Roman" w:cs="Times New Roman"/>
            <w:strike/>
            <w:color w:val="auto"/>
            <w:szCs w:val="20"/>
          </w:rPr>
          <w:t>º</w:t>
        </w:r>
        <w:r w:rsidRPr="00FA3856">
          <w:rPr>
            <w:rStyle w:val="Hyperlink"/>
            <w:rFonts w:ascii="Times New Roman" w:hAnsi="Times New Roman" w:cs="Times New Roman"/>
            <w:color w:val="auto"/>
            <w:szCs w:val="20"/>
          </w:rPr>
          <w:t xml:space="preserve"> 2.058</w:t>
        </w:r>
      </w:hyperlink>
      <w:r w:rsidRPr="00FA3856">
        <w:rPr>
          <w:rFonts w:ascii="Times New Roman" w:hAnsi="Times New Roman" w:cs="Times New Roman"/>
          <w:szCs w:val="20"/>
        </w:rPr>
        <w:t>, de 2000, art. 2</w:t>
      </w:r>
      <w:r w:rsidRPr="00FA3856">
        <w:rPr>
          <w:rFonts w:ascii="Times New Roman" w:hAnsi="Times New Roman" w:cs="Times New Roman"/>
          <w:strike/>
          <w:szCs w:val="20"/>
        </w:rPr>
        <w:t>º</w:t>
      </w:r>
      <w:r w:rsidRPr="00FA3856">
        <w:rPr>
          <w:rFonts w:ascii="Times New Roman" w:hAnsi="Times New Roman" w:cs="Times New Roman"/>
          <w:szCs w:val="20"/>
        </w:rPr>
        <w:t>, e reedições);</w:t>
      </w:r>
    </w:p>
    <w:p w:rsidR="00EB727C" w:rsidRPr="00FA3856" w:rsidRDefault="00EB727C" w:rsidP="001A6818">
      <w:pPr>
        <w:pStyle w:val="NormalWeb"/>
        <w:spacing w:before="0" w:after="0"/>
        <w:ind w:left="601"/>
        <w:jc w:val="both"/>
        <w:rPr>
          <w:rFonts w:ascii="Times New Roman" w:hAnsi="Times New Roman" w:cs="Times New Roman"/>
          <w:b/>
          <w:bCs/>
          <w:szCs w:val="20"/>
        </w:rPr>
      </w:pPr>
    </w:p>
    <w:p w:rsidR="00CE1927" w:rsidRPr="00FA3856" w:rsidRDefault="00CE1927" w:rsidP="001A6818">
      <w:pPr>
        <w:pStyle w:val="NormalWeb"/>
        <w:spacing w:before="0" w:after="0"/>
        <w:ind w:left="601"/>
        <w:jc w:val="both"/>
        <w:rPr>
          <w:rFonts w:ascii="Times New Roman" w:hAnsi="Times New Roman" w:cs="Times New Roman"/>
          <w:szCs w:val="20"/>
        </w:rPr>
      </w:pPr>
      <w:r w:rsidRPr="00FA3856">
        <w:rPr>
          <w:rFonts w:ascii="Times New Roman" w:hAnsi="Times New Roman" w:cs="Times New Roman"/>
          <w:b/>
          <w:bCs/>
          <w:szCs w:val="20"/>
        </w:rPr>
        <w:t>Atenção:</w:t>
      </w:r>
    </w:p>
    <w:p w:rsidR="00CE1927" w:rsidRPr="00FA3856" w:rsidRDefault="00CE1927" w:rsidP="001A6818">
      <w:pPr>
        <w:pStyle w:val="NormalWeb"/>
        <w:spacing w:before="0" w:after="0"/>
        <w:ind w:left="601"/>
        <w:jc w:val="both"/>
        <w:rPr>
          <w:rFonts w:ascii="Times New Roman" w:hAnsi="Times New Roman" w:cs="Times New Roman"/>
          <w:szCs w:val="20"/>
        </w:rPr>
      </w:pPr>
      <w:r w:rsidRPr="00FA3856">
        <w:rPr>
          <w:rFonts w:ascii="Times New Roman" w:hAnsi="Times New Roman" w:cs="Times New Roman"/>
          <w:szCs w:val="20"/>
        </w:rPr>
        <w:t>1) As pessoas jurídicas devem pleitear o reconhecimento desse direito à Secretaria da Receita Federal do Brasil, instruindo o pedido com a declaração de que trata o item seguinte (IN SRF n</w:t>
      </w:r>
      <w:r w:rsidRPr="00FA3856">
        <w:rPr>
          <w:rFonts w:ascii="Times New Roman" w:hAnsi="Times New Roman" w:cs="Times New Roman"/>
          <w:strike/>
          <w:szCs w:val="20"/>
        </w:rPr>
        <w:t>º</w:t>
      </w:r>
      <w:r w:rsidRPr="00FA3856">
        <w:rPr>
          <w:rFonts w:ascii="Times New Roman" w:hAnsi="Times New Roman" w:cs="Times New Roman"/>
          <w:szCs w:val="20"/>
        </w:rPr>
        <w:t xml:space="preserve"> 267, de 23 de dezembro de 2002, arts. 78 e </w:t>
      </w:r>
      <w:bookmarkStart w:id="169" w:name="subitem_15.7.11.1.2"/>
      <w:bookmarkEnd w:id="169"/>
      <w:r w:rsidRPr="00FA3856">
        <w:rPr>
          <w:rFonts w:ascii="Times New Roman" w:hAnsi="Times New Roman" w:cs="Times New Roman"/>
          <w:szCs w:val="20"/>
        </w:rPr>
        <w:t>89).</w:t>
      </w:r>
    </w:p>
    <w:p w:rsidR="00CE1927" w:rsidRPr="00FA3856" w:rsidRDefault="00CE1927" w:rsidP="001A6818">
      <w:pPr>
        <w:pStyle w:val="NormalWeb"/>
        <w:spacing w:before="0" w:after="0"/>
        <w:ind w:left="601"/>
        <w:jc w:val="both"/>
        <w:rPr>
          <w:rFonts w:ascii="Times New Roman" w:hAnsi="Times New Roman" w:cs="Times New Roman"/>
          <w:szCs w:val="20"/>
        </w:rPr>
      </w:pPr>
      <w:r w:rsidRPr="00FA3856">
        <w:rPr>
          <w:rFonts w:ascii="Times New Roman" w:hAnsi="Times New Roman" w:cs="Times New Roman"/>
          <w:szCs w:val="20"/>
        </w:rPr>
        <w:t>2) A fruição do benefício fiscal tem efeito a partir da data em que a pessoa jurídica apresentar ao órgão competente do Ministério da Integração Nacional requerimento solicitando a declaração de que satisfaz às condições estabelecidas para gozo do favor fiscal.</w:t>
      </w:r>
    </w:p>
    <w:p w:rsidR="00CE1927" w:rsidRPr="00FA3856" w:rsidRDefault="00CE1927" w:rsidP="001A6818">
      <w:pPr>
        <w:pStyle w:val="NormalWeb"/>
        <w:spacing w:before="0" w:after="0"/>
        <w:ind w:left="601"/>
        <w:jc w:val="both"/>
        <w:rPr>
          <w:rFonts w:ascii="Times New Roman" w:hAnsi="Times New Roman" w:cs="Times New Roman"/>
          <w:szCs w:val="20"/>
        </w:rPr>
      </w:pPr>
      <w:r w:rsidRPr="00FA3856">
        <w:rPr>
          <w:rFonts w:ascii="Times New Roman" w:hAnsi="Times New Roman" w:cs="Times New Roman"/>
          <w:szCs w:val="20"/>
        </w:rPr>
        <w:t>3) A pessoa jurídica que se utilizar indevidamente do benefício estará sujeita ao pagamento do imposto em relação a cada período de apuração, acrescido de juros e multa, sem prejuízo das sanções penais cabíveis.</w:t>
      </w:r>
    </w:p>
    <w:p w:rsidR="00CE1927" w:rsidRPr="00FA3856" w:rsidRDefault="001A6818" w:rsidP="001A6818">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lastRenderedPageBreak/>
        <w:t xml:space="preserve">V.11.2) </w:t>
      </w:r>
      <w:r w:rsidR="00CE1927" w:rsidRPr="00FA3856">
        <w:rPr>
          <w:rFonts w:ascii="Times New Roman" w:hAnsi="Times New Roman" w:cs="Times New Roman"/>
          <w:b/>
          <w:bCs/>
          <w:szCs w:val="20"/>
        </w:rPr>
        <w:t>Incentivos de Redução por Reinvestimento</w:t>
      </w:r>
    </w:p>
    <w:p w:rsidR="00EB727C" w:rsidRPr="00FA3856" w:rsidRDefault="00EB727C" w:rsidP="001A6818">
      <w:pPr>
        <w:pStyle w:val="NormalWeb"/>
        <w:spacing w:before="0" w:after="0"/>
        <w:jc w:val="both"/>
        <w:rPr>
          <w:rFonts w:ascii="Times New Roman" w:hAnsi="Times New Roman" w:cs="Times New Roman"/>
          <w:szCs w:val="20"/>
        </w:rPr>
      </w:pPr>
    </w:p>
    <w:p w:rsidR="00CE1927" w:rsidRPr="00FA3856" w:rsidRDefault="00CE1927" w:rsidP="00EB727C">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As pessoas jurídicas que tenham empreendimentos industriais ou agroindustriais, inclusive de construção civil, em operação nas áreas da Sudene e da Sudam, considerados, em ato do Poder Executivo, prioritários para o desenvolvimento regional, para os períodos de apuração encerrados a partir de 1</w:t>
      </w:r>
      <w:r w:rsidRPr="00FA3856">
        <w:rPr>
          <w:rFonts w:ascii="Times New Roman" w:hAnsi="Times New Roman" w:cs="Times New Roman"/>
          <w:strike/>
          <w:szCs w:val="20"/>
        </w:rPr>
        <w:t>º</w:t>
      </w:r>
      <w:r w:rsidRPr="00FA3856">
        <w:rPr>
          <w:rFonts w:ascii="Times New Roman" w:hAnsi="Times New Roman" w:cs="Times New Roman"/>
          <w:szCs w:val="20"/>
        </w:rPr>
        <w:t xml:space="preserve"> de janeiro de 1998 até 31 de dezembro de 2013, poderão depositar no Banco do Nordeste do Brasil S/A e no Banco da Amazônia S/A, respectivamente, 30% (trinta por cento) do valor do imposto devido pelos referidos empreendimentos, calculado sobre o lucro da exploração, acrescido de 50% (</w:t>
      </w:r>
      <w:r w:rsidR="00B5790B" w:rsidRPr="00FA3856">
        <w:rPr>
          <w:rFonts w:ascii="Times New Roman" w:hAnsi="Times New Roman" w:cs="Times New Roman"/>
          <w:szCs w:val="20"/>
        </w:rPr>
        <w:t>cinquenta</w:t>
      </w:r>
      <w:r w:rsidRPr="00FA3856">
        <w:rPr>
          <w:rFonts w:ascii="Times New Roman" w:hAnsi="Times New Roman" w:cs="Times New Roman"/>
          <w:szCs w:val="20"/>
        </w:rPr>
        <w:t xml:space="preserve"> por cento) de recursos próprios, ficando, porém, a liberação desses recursos condicionada à aprovação, pelas Agências do Desenvolvimento Regional, dos respectivos projetos técnico-econômicos de moderni</w:t>
      </w:r>
      <w:bookmarkStart w:id="170" w:name="subitem_15.7.11.2"/>
      <w:bookmarkEnd w:id="170"/>
      <w:r w:rsidRPr="00FA3856">
        <w:rPr>
          <w:rFonts w:ascii="Times New Roman" w:hAnsi="Times New Roman" w:cs="Times New Roman"/>
          <w:szCs w:val="20"/>
        </w:rPr>
        <w:t>zação ou complementação de equipamento (Lei n</w:t>
      </w:r>
      <w:r w:rsidRPr="00FA3856">
        <w:rPr>
          <w:rFonts w:ascii="Times New Roman" w:hAnsi="Times New Roman" w:cs="Times New Roman"/>
          <w:strike/>
          <w:szCs w:val="20"/>
        </w:rPr>
        <w:t>º</w:t>
      </w:r>
      <w:r w:rsidRPr="00FA3856">
        <w:rPr>
          <w:rFonts w:ascii="Times New Roman" w:hAnsi="Times New Roman" w:cs="Times New Roman"/>
          <w:szCs w:val="20"/>
        </w:rPr>
        <w:t xml:space="preserve"> 8.167, de 1991, art. 19, Lei n</w:t>
      </w:r>
      <w:r w:rsidRPr="00FA3856">
        <w:rPr>
          <w:rFonts w:ascii="Times New Roman" w:hAnsi="Times New Roman" w:cs="Times New Roman"/>
          <w:strike/>
          <w:szCs w:val="20"/>
        </w:rPr>
        <w:t>º</w:t>
      </w:r>
      <w:r w:rsidRPr="00FA3856">
        <w:rPr>
          <w:rFonts w:ascii="Times New Roman" w:hAnsi="Times New Roman" w:cs="Times New Roman"/>
          <w:szCs w:val="20"/>
        </w:rPr>
        <w:t xml:space="preserve"> 8.191, de 1991, art. 4</w:t>
      </w:r>
      <w:r w:rsidRPr="00FA3856">
        <w:rPr>
          <w:rFonts w:ascii="Times New Roman" w:hAnsi="Times New Roman" w:cs="Times New Roman"/>
          <w:strike/>
          <w:szCs w:val="20"/>
        </w:rPr>
        <w:t>º</w:t>
      </w:r>
      <w:r w:rsidRPr="00FA3856">
        <w:rPr>
          <w:rFonts w:ascii="Times New Roman" w:hAnsi="Times New Roman" w:cs="Times New Roman"/>
          <w:szCs w:val="20"/>
        </w:rPr>
        <w:t>; MP n</w:t>
      </w:r>
      <w:r w:rsidRPr="00FA3856">
        <w:rPr>
          <w:rFonts w:ascii="Times New Roman" w:hAnsi="Times New Roman" w:cs="Times New Roman"/>
          <w:strike/>
          <w:szCs w:val="20"/>
        </w:rPr>
        <w:t>º</w:t>
      </w:r>
      <w:r w:rsidRPr="00FA3856">
        <w:rPr>
          <w:rFonts w:ascii="Times New Roman" w:hAnsi="Times New Roman" w:cs="Times New Roman"/>
          <w:szCs w:val="20"/>
        </w:rPr>
        <w:t xml:space="preserve"> 2.058, de 2000, art. 4</w:t>
      </w:r>
      <w:r w:rsidRPr="00FA3856">
        <w:rPr>
          <w:rFonts w:ascii="Times New Roman" w:hAnsi="Times New Roman" w:cs="Times New Roman"/>
          <w:strike/>
          <w:szCs w:val="20"/>
        </w:rPr>
        <w:t>º</w:t>
      </w:r>
      <w:r w:rsidRPr="00FA3856">
        <w:rPr>
          <w:rFonts w:ascii="Times New Roman" w:hAnsi="Times New Roman" w:cs="Times New Roman"/>
          <w:szCs w:val="20"/>
        </w:rPr>
        <w:t xml:space="preserve">, e reedições). </w:t>
      </w:r>
    </w:p>
    <w:p w:rsidR="00EB727C" w:rsidRPr="00FA3856" w:rsidRDefault="00EB727C" w:rsidP="001A6818">
      <w:pPr>
        <w:pStyle w:val="NormalWeb"/>
        <w:spacing w:before="0" w:after="0"/>
        <w:jc w:val="both"/>
        <w:rPr>
          <w:rFonts w:ascii="Times New Roman" w:hAnsi="Times New Roman" w:cs="Times New Roman"/>
          <w:szCs w:val="20"/>
        </w:rPr>
      </w:pPr>
    </w:p>
    <w:p w:rsidR="00CE1927" w:rsidRPr="00FA3856" w:rsidRDefault="00CE1927" w:rsidP="00EB727C">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Para efeito do cálculo da dedução deste incentivo, deve ser excluída, do imposto devido, a parcela correspondente a lucros, rendimentos ou ganhos de capital oriundos do exterior (Lei n</w:t>
      </w:r>
      <w:r w:rsidRPr="00FA3856">
        <w:rPr>
          <w:rFonts w:ascii="Times New Roman" w:hAnsi="Times New Roman" w:cs="Times New Roman"/>
          <w:strike/>
          <w:szCs w:val="20"/>
        </w:rPr>
        <w:t>º</w:t>
      </w:r>
      <w:r w:rsidRPr="00FA3856">
        <w:rPr>
          <w:rFonts w:ascii="Times New Roman" w:hAnsi="Times New Roman" w:cs="Times New Roman"/>
          <w:szCs w:val="20"/>
        </w:rPr>
        <w:t xml:space="preserve"> 9.430, de 1996, art. 16, § 4</w:t>
      </w:r>
      <w:r w:rsidRPr="00FA3856">
        <w:rPr>
          <w:rFonts w:ascii="Times New Roman" w:hAnsi="Times New Roman" w:cs="Times New Roman"/>
          <w:strike/>
          <w:szCs w:val="20"/>
        </w:rPr>
        <w:t>º</w:t>
      </w:r>
      <w:r w:rsidRPr="00FA3856">
        <w:rPr>
          <w:rFonts w:ascii="Times New Roman" w:hAnsi="Times New Roman" w:cs="Times New Roman"/>
          <w:szCs w:val="20"/>
        </w:rPr>
        <w:t>).</w:t>
      </w:r>
    </w:p>
    <w:p w:rsidR="00EB727C" w:rsidRPr="00FA3856" w:rsidRDefault="00EB727C" w:rsidP="001A6818">
      <w:pPr>
        <w:pStyle w:val="NormalWeb"/>
        <w:spacing w:before="0" w:after="0"/>
        <w:jc w:val="both"/>
        <w:rPr>
          <w:rFonts w:ascii="Times New Roman" w:hAnsi="Times New Roman" w:cs="Times New Roman"/>
          <w:szCs w:val="20"/>
        </w:rPr>
      </w:pPr>
    </w:p>
    <w:p w:rsidR="00CE1927" w:rsidRPr="00FA3856" w:rsidRDefault="00CE1927" w:rsidP="00EB727C">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O valor da Redução por Reinvestimento não pode ser superior ao valor do imposto de renda devido após as deduções dos seguintes incentivos: Operações de Caráter Cultural e Artístico (Lei n</w:t>
      </w:r>
      <w:r w:rsidRPr="00FA3856">
        <w:rPr>
          <w:rFonts w:ascii="Times New Roman" w:hAnsi="Times New Roman" w:cs="Times New Roman"/>
          <w:strike/>
          <w:szCs w:val="20"/>
        </w:rPr>
        <w:t>º</w:t>
      </w:r>
      <w:r w:rsidRPr="00FA3856">
        <w:rPr>
          <w:rFonts w:ascii="Times New Roman" w:hAnsi="Times New Roman" w:cs="Times New Roman"/>
          <w:szCs w:val="20"/>
        </w:rPr>
        <w:t xml:space="preserve"> 8.313, de 1991, art. 18, § 3</w:t>
      </w:r>
      <w:r w:rsidRPr="00FA3856">
        <w:rPr>
          <w:rFonts w:ascii="Times New Roman" w:hAnsi="Times New Roman" w:cs="Times New Roman"/>
          <w:strike/>
          <w:szCs w:val="20"/>
        </w:rPr>
        <w:t>º</w:t>
      </w:r>
      <w:r w:rsidRPr="00FA3856">
        <w:rPr>
          <w:rFonts w:ascii="Times New Roman" w:hAnsi="Times New Roman" w:cs="Times New Roman"/>
          <w:szCs w:val="20"/>
        </w:rPr>
        <w:t>, Lei n</w:t>
      </w:r>
      <w:r w:rsidRPr="00FA3856">
        <w:rPr>
          <w:rFonts w:ascii="Times New Roman" w:hAnsi="Times New Roman" w:cs="Times New Roman"/>
          <w:strike/>
          <w:szCs w:val="20"/>
        </w:rPr>
        <w:t>º</w:t>
      </w:r>
      <w:r w:rsidRPr="00FA3856">
        <w:rPr>
          <w:rFonts w:ascii="Times New Roman" w:hAnsi="Times New Roman" w:cs="Times New Roman"/>
          <w:szCs w:val="20"/>
        </w:rPr>
        <w:t xml:space="preserve"> 9.874, de 1999, e MP n</w:t>
      </w:r>
      <w:r w:rsidRPr="00FA3856">
        <w:rPr>
          <w:rFonts w:ascii="Times New Roman" w:hAnsi="Times New Roman" w:cs="Times New Roman"/>
          <w:strike/>
          <w:szCs w:val="20"/>
        </w:rPr>
        <w:t>º</w:t>
      </w:r>
      <w:r w:rsidRPr="00FA3856">
        <w:rPr>
          <w:rFonts w:ascii="Times New Roman" w:hAnsi="Times New Roman" w:cs="Times New Roman"/>
          <w:szCs w:val="20"/>
        </w:rPr>
        <w:t xml:space="preserve"> 2.228-1, de 2001), Operações de Aquisição de Vale-Cultura (Lei nº 12.761/2012, art. 10), Programa de Alimentação do Trabalhador, Desenvolvimento Tecnológico Industrial/Agropecuário, Atividade Audiovisual, Atividade de Caráter Desportivo, Fundos dos Direitos da Criança e do Adolescente e do Idoso, Programa Nacional de Apoio à Atenção Oncológica - PRONON, Programa Nacional de Apoio à Atenção da Saúde da Pessoa com Deficiência - PRONAS/PCD, Remuneração da Prorrogação da Licença-Maternidade, Redução e/ou Isenção do Imposto, e da Isenção de que trata o art. 176, e seu parágrafo único, do Decreto n</w:t>
      </w:r>
      <w:r w:rsidRPr="00FA3856">
        <w:rPr>
          <w:rFonts w:ascii="Times New Roman" w:hAnsi="Times New Roman" w:cs="Times New Roman"/>
          <w:strike/>
          <w:szCs w:val="20"/>
        </w:rPr>
        <w:t>º</w:t>
      </w:r>
      <w:r w:rsidRPr="00FA3856">
        <w:rPr>
          <w:rFonts w:ascii="Times New Roman" w:hAnsi="Times New Roman" w:cs="Times New Roman"/>
          <w:szCs w:val="20"/>
        </w:rPr>
        <w:t xml:space="preserve"> 3.000, de 1999.</w:t>
      </w:r>
    </w:p>
    <w:p w:rsidR="00EB727C" w:rsidRPr="00FA3856" w:rsidRDefault="00EB727C" w:rsidP="001A6818">
      <w:pPr>
        <w:pStyle w:val="NormalWeb"/>
        <w:spacing w:before="0" w:after="0"/>
        <w:jc w:val="both"/>
        <w:rPr>
          <w:rFonts w:ascii="Times New Roman" w:hAnsi="Times New Roman" w:cs="Times New Roman"/>
          <w:szCs w:val="20"/>
        </w:rPr>
      </w:pPr>
    </w:p>
    <w:p w:rsidR="00CE1927" w:rsidRPr="00FA3856" w:rsidRDefault="00CE1927" w:rsidP="00EB727C">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O incentivo fiscal de que trata este item não pode ser usufruído cumulativamente com outros idênticos, salvo quando expressamente autorizado (Lei n</w:t>
      </w:r>
      <w:r w:rsidRPr="00FA3856">
        <w:rPr>
          <w:rFonts w:ascii="Times New Roman" w:hAnsi="Times New Roman" w:cs="Times New Roman"/>
          <w:strike/>
          <w:szCs w:val="20"/>
        </w:rPr>
        <w:t>º</w:t>
      </w:r>
      <w:r w:rsidRPr="00FA3856">
        <w:rPr>
          <w:rFonts w:ascii="Times New Roman" w:hAnsi="Times New Roman" w:cs="Times New Roman"/>
          <w:szCs w:val="20"/>
        </w:rPr>
        <w:t xml:space="preserve"> 8.191, de 1991, art. 5</w:t>
      </w:r>
      <w:r w:rsidRPr="00FA3856">
        <w:rPr>
          <w:rFonts w:ascii="Times New Roman" w:hAnsi="Times New Roman" w:cs="Times New Roman"/>
          <w:strike/>
          <w:szCs w:val="20"/>
        </w:rPr>
        <w:t>º</w:t>
      </w:r>
      <w:r w:rsidRPr="00FA3856">
        <w:rPr>
          <w:rFonts w:ascii="Times New Roman" w:hAnsi="Times New Roman" w:cs="Times New Roman"/>
          <w:szCs w:val="20"/>
        </w:rPr>
        <w:t>; Decreto n</w:t>
      </w:r>
      <w:r w:rsidRPr="00FA3856">
        <w:rPr>
          <w:rFonts w:ascii="Times New Roman" w:hAnsi="Times New Roman" w:cs="Times New Roman"/>
          <w:strike/>
          <w:szCs w:val="20"/>
        </w:rPr>
        <w:t>º</w:t>
      </w:r>
      <w:r w:rsidRPr="00FA3856">
        <w:rPr>
          <w:rFonts w:ascii="Times New Roman" w:hAnsi="Times New Roman" w:cs="Times New Roman"/>
          <w:szCs w:val="20"/>
        </w:rPr>
        <w:t xml:space="preserve"> 3.000, de 1999, arts. 592 a 598). O adicional não deve ser computado na base de cálculo deste incentivo fiscal.</w:t>
      </w:r>
    </w:p>
    <w:p w:rsidR="00EB727C" w:rsidRPr="00FA3856" w:rsidRDefault="00EB727C" w:rsidP="001A6818">
      <w:pPr>
        <w:pStyle w:val="NormalWeb"/>
        <w:spacing w:before="0" w:after="0"/>
        <w:jc w:val="both"/>
        <w:rPr>
          <w:rFonts w:ascii="Times New Roman" w:hAnsi="Times New Roman" w:cs="Times New Roman"/>
          <w:szCs w:val="20"/>
        </w:rPr>
      </w:pPr>
    </w:p>
    <w:p w:rsidR="00CE1927" w:rsidRPr="00FA3856" w:rsidRDefault="00CE1927" w:rsidP="00EB727C">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pessoa jurídica deve efetuar o depósito relativo ao benefício tratado neste tópico no Banco do Nordeste do Brasil S/A (na área da Sudene) ou no Banco da Amazônia S/A (na área da Sudam) no mesmo prazo fixado para o pagamento do imposto, podendo antecipar total ou parcialmente a sua efetivação, observando-se a legislação pertinente.</w:t>
      </w:r>
    </w:p>
    <w:p w:rsidR="00EB727C" w:rsidRPr="00FA3856" w:rsidRDefault="00EB727C" w:rsidP="001A6818">
      <w:pPr>
        <w:pStyle w:val="NormalWeb"/>
        <w:spacing w:before="0" w:after="0"/>
        <w:jc w:val="both"/>
        <w:rPr>
          <w:rFonts w:ascii="Times New Roman" w:hAnsi="Times New Roman" w:cs="Times New Roman"/>
          <w:szCs w:val="20"/>
        </w:rPr>
      </w:pPr>
    </w:p>
    <w:p w:rsidR="00CE1927" w:rsidRPr="00FA3856" w:rsidRDefault="00CE1927" w:rsidP="00EB727C">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O benefício fiscal tratado neste tópico fica extinto relativamente aos períodos de apuração encerrados a partir de 1</w:t>
      </w:r>
      <w:r w:rsidRPr="00FA3856">
        <w:rPr>
          <w:rFonts w:ascii="Times New Roman" w:hAnsi="Times New Roman" w:cs="Times New Roman"/>
          <w:strike/>
          <w:szCs w:val="20"/>
        </w:rPr>
        <w:t>º</w:t>
      </w:r>
      <w:r w:rsidRPr="00FA3856">
        <w:rPr>
          <w:rFonts w:ascii="Times New Roman" w:hAnsi="Times New Roman" w:cs="Times New Roman"/>
          <w:szCs w:val="20"/>
        </w:rPr>
        <w:t xml:space="preserve"> de janeiro de 2014 (Lei n</w:t>
      </w:r>
      <w:r w:rsidRPr="00FA3856">
        <w:rPr>
          <w:rFonts w:ascii="Times New Roman" w:hAnsi="Times New Roman" w:cs="Times New Roman"/>
          <w:strike/>
          <w:szCs w:val="20"/>
        </w:rPr>
        <w:t>º</w:t>
      </w:r>
      <w:r w:rsidRPr="00FA3856">
        <w:rPr>
          <w:rFonts w:ascii="Times New Roman" w:hAnsi="Times New Roman" w:cs="Times New Roman"/>
          <w:szCs w:val="20"/>
        </w:rPr>
        <w:t xml:space="preserve"> 9.532, de 1997, art. 2</w:t>
      </w:r>
      <w:r w:rsidRPr="00FA3856">
        <w:rPr>
          <w:rFonts w:ascii="Times New Roman" w:hAnsi="Times New Roman" w:cs="Times New Roman"/>
          <w:strike/>
          <w:szCs w:val="20"/>
        </w:rPr>
        <w:t>º</w:t>
      </w:r>
      <w:r w:rsidRPr="00FA3856">
        <w:rPr>
          <w:rFonts w:ascii="Times New Roman" w:hAnsi="Times New Roman" w:cs="Times New Roman"/>
          <w:szCs w:val="20"/>
        </w:rPr>
        <w:t>, § 2</w:t>
      </w:r>
      <w:r w:rsidRPr="00FA3856">
        <w:rPr>
          <w:rFonts w:ascii="Times New Roman" w:hAnsi="Times New Roman" w:cs="Times New Roman"/>
          <w:strike/>
          <w:szCs w:val="20"/>
        </w:rPr>
        <w:t>º</w:t>
      </w:r>
      <w:r w:rsidRPr="00FA3856">
        <w:rPr>
          <w:rFonts w:ascii="Times New Roman" w:hAnsi="Times New Roman" w:cs="Times New Roman"/>
          <w:szCs w:val="20"/>
        </w:rPr>
        <w:t>).</w:t>
      </w:r>
    </w:p>
    <w:p w:rsidR="00EB727C" w:rsidRPr="00FA3856" w:rsidRDefault="00EB727C" w:rsidP="001A6818">
      <w:pPr>
        <w:pStyle w:val="NormalWeb"/>
        <w:spacing w:before="0" w:after="0"/>
        <w:jc w:val="both"/>
        <w:rPr>
          <w:rFonts w:ascii="Times New Roman" w:hAnsi="Times New Roman" w:cs="Times New Roman"/>
          <w:szCs w:val="20"/>
        </w:rPr>
      </w:pPr>
    </w:p>
    <w:p w:rsidR="00CE1927" w:rsidRPr="00FA3856" w:rsidRDefault="00CE1927" w:rsidP="001A6818">
      <w:pPr>
        <w:pStyle w:val="NormalWeb"/>
        <w:spacing w:before="0" w:after="0"/>
        <w:jc w:val="both"/>
        <w:rPr>
          <w:rFonts w:ascii="Times New Roman" w:hAnsi="Times New Roman" w:cs="Times New Roman"/>
          <w:b/>
          <w:szCs w:val="20"/>
        </w:rPr>
      </w:pPr>
      <w:r w:rsidRPr="00FA3856">
        <w:rPr>
          <w:rFonts w:ascii="Times New Roman" w:hAnsi="Times New Roman" w:cs="Times New Roman"/>
          <w:b/>
          <w:szCs w:val="20"/>
        </w:rPr>
        <w:t>Critér</w:t>
      </w:r>
      <w:r w:rsidR="00EB727C" w:rsidRPr="00FA3856">
        <w:rPr>
          <w:rFonts w:ascii="Times New Roman" w:hAnsi="Times New Roman" w:cs="Times New Roman"/>
          <w:b/>
          <w:szCs w:val="20"/>
        </w:rPr>
        <w:t xml:space="preserve">ios para Efetivação do Depósito: </w:t>
      </w:r>
      <w:r w:rsidRPr="00FA3856">
        <w:rPr>
          <w:rFonts w:ascii="Times New Roman" w:hAnsi="Times New Roman" w:cs="Times New Roman"/>
          <w:szCs w:val="20"/>
        </w:rPr>
        <w:t xml:space="preserve">O valor do depósito a ser efetuado pela pessoa jurídica, tributada com base no lucro real, é determinado multiplicando-se o valor indicado </w:t>
      </w:r>
      <w:r w:rsidR="00A36A8B" w:rsidRPr="00FA3856">
        <w:rPr>
          <w:rFonts w:ascii="Times New Roman" w:hAnsi="Times New Roman" w:cs="Times New Roman"/>
          <w:szCs w:val="20"/>
        </w:rPr>
        <w:t xml:space="preserve">na </w:t>
      </w:r>
      <w:r w:rsidR="00717EF8" w:rsidRPr="00FA3856">
        <w:rPr>
          <w:rFonts w:ascii="Times New Roman" w:hAnsi="Times New Roman" w:cs="Times New Roman"/>
          <w:szCs w:val="20"/>
        </w:rPr>
        <w:t>linha N630/18</w:t>
      </w:r>
      <w:r w:rsidRPr="00FA3856">
        <w:rPr>
          <w:rFonts w:ascii="Times New Roman" w:hAnsi="Times New Roman" w:cs="Times New Roman"/>
          <w:szCs w:val="20"/>
        </w:rPr>
        <w:t xml:space="preserve"> por 1,5 (um inteiro e cinco décimos). </w:t>
      </w:r>
    </w:p>
    <w:p w:rsidR="00EB727C" w:rsidRPr="00FA3856" w:rsidRDefault="00EB727C" w:rsidP="001A6818">
      <w:pPr>
        <w:pStyle w:val="NormalWeb"/>
        <w:spacing w:before="0" w:after="0"/>
        <w:jc w:val="both"/>
        <w:rPr>
          <w:rFonts w:ascii="Times New Roman" w:hAnsi="Times New Roman" w:cs="Times New Roman"/>
          <w:szCs w:val="20"/>
        </w:rPr>
      </w:pPr>
    </w:p>
    <w:p w:rsidR="00CE1927" w:rsidRPr="00FA3856" w:rsidRDefault="00CE1927" w:rsidP="00EB727C">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O valor de cada parcela a ser depositado caso a pessoa jurídica submetida à apuração pelo lucro real trimestral tenha optado pelo pagamento em quotas do imposto de renda é determinado:</w:t>
      </w:r>
    </w:p>
    <w:p w:rsidR="00EB727C" w:rsidRPr="00FA3856" w:rsidRDefault="00EB727C" w:rsidP="001A6818">
      <w:pPr>
        <w:pStyle w:val="NormalWeb"/>
        <w:spacing w:before="0" w:after="0"/>
        <w:jc w:val="both"/>
        <w:rPr>
          <w:rFonts w:ascii="Times New Roman" w:hAnsi="Times New Roman" w:cs="Times New Roman"/>
          <w:szCs w:val="20"/>
        </w:rPr>
      </w:pPr>
    </w:p>
    <w:p w:rsidR="00CE1927" w:rsidRPr="00FA3856" w:rsidRDefault="00CE1927" w:rsidP="00EB727C">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 xml:space="preserve">a) dividindo-se o valor informado </w:t>
      </w:r>
      <w:r w:rsidR="00717EF8" w:rsidRPr="00FA3856">
        <w:rPr>
          <w:rFonts w:ascii="Times New Roman" w:hAnsi="Times New Roman" w:cs="Times New Roman"/>
          <w:szCs w:val="20"/>
        </w:rPr>
        <w:t>na linha N630/18</w:t>
      </w:r>
      <w:r w:rsidRPr="00FA3856">
        <w:rPr>
          <w:rFonts w:ascii="Times New Roman" w:hAnsi="Times New Roman" w:cs="Times New Roman"/>
          <w:szCs w:val="20"/>
        </w:rPr>
        <w:t xml:space="preserve"> pelo número de quotas em que é recolhido o imposto de renda a pagar;</w:t>
      </w:r>
    </w:p>
    <w:p w:rsidR="00CE1927" w:rsidRPr="00FA3856" w:rsidRDefault="00CE1927" w:rsidP="00A36A8B">
      <w:pPr>
        <w:pStyle w:val="NormalWeb"/>
        <w:spacing w:before="0" w:after="0"/>
        <w:ind w:left="1416"/>
        <w:jc w:val="both"/>
        <w:rPr>
          <w:rFonts w:ascii="Times New Roman" w:hAnsi="Times New Roman" w:cs="Times New Roman"/>
          <w:szCs w:val="20"/>
        </w:rPr>
      </w:pPr>
      <w:r w:rsidRPr="00FA3856">
        <w:rPr>
          <w:rFonts w:ascii="Times New Roman" w:hAnsi="Times New Roman" w:cs="Times New Roman"/>
          <w:szCs w:val="20"/>
        </w:rPr>
        <w:t xml:space="preserve">b) acrescendo-se a cada uma os juros equivalentes à taxa referencial do Sistema Especial de Liquidação e Custódia (Selic) para Títulos Federais, acumulada mensalmente, aplicada a cada quota do imposto, observado o disposto </w:t>
      </w:r>
      <w:r w:rsidR="00A36A8B" w:rsidRPr="00FA3856">
        <w:rPr>
          <w:rFonts w:ascii="Times New Roman" w:hAnsi="Times New Roman" w:cs="Times New Roman"/>
          <w:szCs w:val="20"/>
        </w:rPr>
        <w:t>no subitem V.11.1.1</w:t>
      </w:r>
      <w:r w:rsidRPr="00FA3856">
        <w:rPr>
          <w:rFonts w:ascii="Times New Roman" w:hAnsi="Times New Roman" w:cs="Times New Roman"/>
          <w:szCs w:val="20"/>
        </w:rPr>
        <w:t>.</w:t>
      </w:r>
    </w:p>
    <w:p w:rsidR="00CE1927" w:rsidRPr="00FA3856" w:rsidRDefault="00CE1927" w:rsidP="00A36A8B">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c) multiplicando-se por 1,5 (um inteiro e cinco décimos) o valor apurado conforme a letra "b".</w:t>
      </w:r>
    </w:p>
    <w:p w:rsidR="00A36A8B" w:rsidRPr="00FA3856" w:rsidRDefault="00A36A8B" w:rsidP="00A36A8B">
      <w:pPr>
        <w:pStyle w:val="NormalWeb"/>
        <w:spacing w:before="0" w:after="0"/>
        <w:jc w:val="both"/>
        <w:rPr>
          <w:rFonts w:ascii="Times New Roman" w:hAnsi="Times New Roman" w:cs="Times New Roman"/>
          <w:b/>
          <w:bCs/>
          <w:szCs w:val="20"/>
        </w:rPr>
      </w:pPr>
    </w:p>
    <w:p w:rsidR="00CE1927" w:rsidRPr="00FA3856" w:rsidRDefault="00CE1927" w:rsidP="00A36A8B">
      <w:pPr>
        <w:pStyle w:val="NormalWeb"/>
        <w:spacing w:before="0" w:after="0"/>
        <w:ind w:left="708"/>
        <w:jc w:val="both"/>
        <w:rPr>
          <w:rFonts w:ascii="Times New Roman" w:hAnsi="Times New Roman" w:cs="Times New Roman"/>
          <w:szCs w:val="20"/>
        </w:rPr>
      </w:pPr>
      <w:r w:rsidRPr="00FA3856">
        <w:rPr>
          <w:rFonts w:ascii="Times New Roman" w:hAnsi="Times New Roman" w:cs="Times New Roman"/>
          <w:b/>
          <w:bCs/>
          <w:szCs w:val="20"/>
        </w:rPr>
        <w:t>Atenção:</w:t>
      </w:r>
      <w:r w:rsidR="00A36A8B" w:rsidRPr="00FA3856">
        <w:rPr>
          <w:rFonts w:ascii="Times New Roman" w:hAnsi="Times New Roman" w:cs="Times New Roman"/>
          <w:szCs w:val="20"/>
        </w:rPr>
        <w:t xml:space="preserve"> </w:t>
      </w:r>
      <w:r w:rsidRPr="00FA3856">
        <w:rPr>
          <w:rFonts w:ascii="Times New Roman" w:hAnsi="Times New Roman" w:cs="Times New Roman"/>
          <w:szCs w:val="20"/>
        </w:rPr>
        <w:t xml:space="preserve">As parcelas não depositadas até o último dia útil do ano-calendário </w:t>
      </w:r>
      <w:r w:rsidR="00B5790B" w:rsidRPr="00FA3856">
        <w:rPr>
          <w:rFonts w:ascii="Times New Roman" w:hAnsi="Times New Roman" w:cs="Times New Roman"/>
          <w:szCs w:val="20"/>
        </w:rPr>
        <w:t>subsequente</w:t>
      </w:r>
      <w:r w:rsidRPr="00FA3856">
        <w:rPr>
          <w:rFonts w:ascii="Times New Roman" w:hAnsi="Times New Roman" w:cs="Times New Roman"/>
          <w:szCs w:val="20"/>
        </w:rPr>
        <w:t xml:space="preserve"> ao de apuração do lucro real correspondente serão recolhidas como imposto (Decreto n</w:t>
      </w:r>
      <w:r w:rsidRPr="00FA3856">
        <w:rPr>
          <w:rFonts w:ascii="Times New Roman" w:hAnsi="Times New Roman" w:cs="Times New Roman"/>
          <w:strike/>
          <w:szCs w:val="20"/>
        </w:rPr>
        <w:t>º</w:t>
      </w:r>
      <w:r w:rsidRPr="00FA3856">
        <w:rPr>
          <w:rFonts w:ascii="Times New Roman" w:hAnsi="Times New Roman" w:cs="Times New Roman"/>
          <w:szCs w:val="20"/>
        </w:rPr>
        <w:t xml:space="preserve"> 3.000, de 1999, art. 612, § 2</w:t>
      </w:r>
      <w:r w:rsidRPr="00FA3856">
        <w:rPr>
          <w:rFonts w:ascii="Times New Roman" w:hAnsi="Times New Roman" w:cs="Times New Roman"/>
          <w:strike/>
          <w:szCs w:val="20"/>
        </w:rPr>
        <w:t>º</w:t>
      </w:r>
      <w:r w:rsidRPr="00FA3856">
        <w:rPr>
          <w:rFonts w:ascii="Times New Roman" w:hAnsi="Times New Roman" w:cs="Times New Roman"/>
          <w:szCs w:val="20"/>
        </w:rPr>
        <w:t>).</w:t>
      </w:r>
    </w:p>
    <w:p w:rsidR="00A36A8B" w:rsidRPr="00FA3856" w:rsidRDefault="00A36A8B">
      <w:pPr>
        <w:spacing w:after="200" w:line="276" w:lineRule="auto"/>
        <w:rPr>
          <w:rFonts w:eastAsia="Arial Unicode MS"/>
          <w:b/>
          <w:bCs/>
          <w:szCs w:val="20"/>
          <w:lang w:eastAsia="ar-SA"/>
        </w:rPr>
      </w:pPr>
      <w:r w:rsidRPr="00FA3856">
        <w:rPr>
          <w:b/>
          <w:bCs/>
          <w:szCs w:val="20"/>
        </w:rPr>
        <w:br w:type="page"/>
      </w:r>
    </w:p>
    <w:p w:rsidR="00CE1927" w:rsidRPr="00FA3856" w:rsidRDefault="001A6818" w:rsidP="001A6818">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lastRenderedPageBreak/>
        <w:t xml:space="preserve">V.12) </w:t>
      </w:r>
      <w:r w:rsidR="00CE1927" w:rsidRPr="00FA3856">
        <w:rPr>
          <w:rFonts w:ascii="Times New Roman" w:hAnsi="Times New Roman" w:cs="Times New Roman"/>
          <w:b/>
          <w:bCs/>
          <w:szCs w:val="20"/>
        </w:rPr>
        <w:t>15.7.12 - Redução em 100% das alíquotas do IRPJ e adicional ao PADIS</w:t>
      </w:r>
    </w:p>
    <w:p w:rsidR="00A36A8B" w:rsidRPr="00FA3856" w:rsidRDefault="00A36A8B" w:rsidP="001A6818">
      <w:pPr>
        <w:pStyle w:val="NormalWeb"/>
        <w:spacing w:before="0" w:after="0"/>
        <w:jc w:val="both"/>
        <w:rPr>
          <w:rFonts w:ascii="Times New Roman" w:hAnsi="Times New Roman" w:cs="Times New Roman"/>
          <w:szCs w:val="20"/>
        </w:rPr>
      </w:pPr>
    </w:p>
    <w:p w:rsidR="00CE1927" w:rsidRPr="00FA3856" w:rsidRDefault="00CE1927" w:rsidP="00A36A8B">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pessoa jurídica beneficiária do Programa de Apoio ao Desenvolvimento Tecnológico da Indústria de Semicondutores (Padis), nos termos e condições estabelecidos pela Lei n</w:t>
      </w:r>
      <w:r w:rsidRPr="00FA3856">
        <w:rPr>
          <w:rFonts w:ascii="Times New Roman" w:hAnsi="Times New Roman" w:cs="Times New Roman"/>
          <w:strike/>
          <w:szCs w:val="20"/>
        </w:rPr>
        <w:t>º</w:t>
      </w:r>
      <w:r w:rsidRPr="00FA3856">
        <w:rPr>
          <w:rFonts w:ascii="Times New Roman" w:hAnsi="Times New Roman" w:cs="Times New Roman"/>
          <w:szCs w:val="20"/>
        </w:rPr>
        <w:t xml:space="preserve"> 11.484, de 31 de maio de 2007, terá as alíquotas do IRPJ e adicional reduzidas em 100% (cem por cento) incidente sobre o lucro da exploração, desde que realize investimento em pesquisa e desenvolvimento na forma do art. 6</w:t>
      </w:r>
      <w:r w:rsidRPr="00FA3856">
        <w:rPr>
          <w:rFonts w:ascii="Times New Roman" w:hAnsi="Times New Roman" w:cs="Times New Roman"/>
          <w:strike/>
          <w:szCs w:val="20"/>
        </w:rPr>
        <w:t>º</w:t>
      </w:r>
      <w:r w:rsidRPr="00FA3856">
        <w:rPr>
          <w:rFonts w:ascii="Times New Roman" w:hAnsi="Times New Roman" w:cs="Times New Roman"/>
          <w:szCs w:val="20"/>
        </w:rPr>
        <w:t xml:space="preserve"> da mesma Lei n</w:t>
      </w:r>
      <w:r w:rsidRPr="00FA3856">
        <w:rPr>
          <w:rFonts w:ascii="Times New Roman" w:hAnsi="Times New Roman" w:cs="Times New Roman"/>
          <w:strike/>
          <w:szCs w:val="20"/>
        </w:rPr>
        <w:t>º</w:t>
      </w:r>
      <w:r w:rsidRPr="00FA3856">
        <w:rPr>
          <w:rFonts w:ascii="Times New Roman" w:hAnsi="Times New Roman" w:cs="Times New Roman"/>
          <w:szCs w:val="20"/>
        </w:rPr>
        <w:t xml:space="preserve"> 11.484, de 2007, e que exerça, isoladamente ou em conjunto, em relação a dispositivos:</w:t>
      </w:r>
    </w:p>
    <w:p w:rsidR="00A36A8B" w:rsidRPr="00FA3856" w:rsidRDefault="00A36A8B" w:rsidP="00A36A8B">
      <w:pPr>
        <w:pStyle w:val="NormalWeb"/>
        <w:spacing w:before="0" w:after="0"/>
        <w:ind w:firstLine="708"/>
        <w:jc w:val="both"/>
        <w:rPr>
          <w:rFonts w:ascii="Times New Roman" w:hAnsi="Times New Roman" w:cs="Times New Roman"/>
          <w:szCs w:val="20"/>
        </w:rPr>
      </w:pPr>
    </w:p>
    <w:p w:rsidR="00CE1927" w:rsidRPr="00FA3856" w:rsidRDefault="00CE1927" w:rsidP="00A36A8B">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I - eletrônicos semicondutores classificados nas posições 85.41 e 85.42 da Nomenclatura Comum do Mercosul (NCM), as atividades de:</w:t>
      </w:r>
    </w:p>
    <w:p w:rsidR="00CE1927" w:rsidRPr="00FA3856" w:rsidRDefault="00CE1927" w:rsidP="00A36A8B">
      <w:pPr>
        <w:pStyle w:val="NormalWeb"/>
        <w:spacing w:before="0" w:after="0"/>
        <w:ind w:left="1416" w:firstLine="708"/>
        <w:jc w:val="both"/>
        <w:rPr>
          <w:rFonts w:ascii="Times New Roman" w:hAnsi="Times New Roman" w:cs="Times New Roman"/>
          <w:szCs w:val="20"/>
        </w:rPr>
      </w:pPr>
      <w:r w:rsidRPr="00FA3856">
        <w:rPr>
          <w:rFonts w:ascii="Times New Roman" w:hAnsi="Times New Roman" w:cs="Times New Roman"/>
          <w:szCs w:val="20"/>
        </w:rPr>
        <w:t>a) concepção, desenvolvimento e projeto (design);</w:t>
      </w:r>
    </w:p>
    <w:p w:rsidR="00CE1927" w:rsidRPr="00FA3856" w:rsidRDefault="00CE1927" w:rsidP="00A36A8B">
      <w:pPr>
        <w:pStyle w:val="NormalWeb"/>
        <w:spacing w:before="0" w:after="0"/>
        <w:ind w:left="1416" w:firstLine="708"/>
        <w:jc w:val="both"/>
        <w:rPr>
          <w:rFonts w:ascii="Times New Roman" w:hAnsi="Times New Roman" w:cs="Times New Roman"/>
          <w:szCs w:val="20"/>
        </w:rPr>
      </w:pPr>
      <w:r w:rsidRPr="00FA3856">
        <w:rPr>
          <w:rFonts w:ascii="Times New Roman" w:hAnsi="Times New Roman" w:cs="Times New Roman"/>
          <w:szCs w:val="20"/>
        </w:rPr>
        <w:t>b) difusão ou processamento físico-químico; ou</w:t>
      </w:r>
    </w:p>
    <w:p w:rsidR="00CE1927" w:rsidRPr="00FA3856" w:rsidRDefault="00CE1927" w:rsidP="00A36A8B">
      <w:pPr>
        <w:pStyle w:val="NormalWeb"/>
        <w:spacing w:before="0" w:after="0"/>
        <w:ind w:left="1416" w:firstLine="708"/>
        <w:jc w:val="both"/>
        <w:rPr>
          <w:rFonts w:ascii="Times New Roman" w:hAnsi="Times New Roman" w:cs="Times New Roman"/>
          <w:szCs w:val="20"/>
        </w:rPr>
      </w:pPr>
      <w:r w:rsidRPr="00FA3856">
        <w:rPr>
          <w:rFonts w:ascii="Times New Roman" w:hAnsi="Times New Roman" w:cs="Times New Roman"/>
          <w:szCs w:val="20"/>
        </w:rPr>
        <w:t>c) encapsulamento e teste;</w:t>
      </w:r>
    </w:p>
    <w:p w:rsidR="00CE1927" w:rsidRPr="00FA3856" w:rsidRDefault="00CE1927" w:rsidP="00A36A8B">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II - mostra</w:t>
      </w:r>
      <w:bookmarkStart w:id="171" w:name="subitem_15.7.12"/>
      <w:bookmarkEnd w:id="171"/>
      <w:r w:rsidRPr="00FA3856">
        <w:rPr>
          <w:rFonts w:ascii="Times New Roman" w:hAnsi="Times New Roman" w:cs="Times New Roman"/>
          <w:szCs w:val="20"/>
        </w:rPr>
        <w:t>dores de informação (displays) abrangendo as seguintes atividades:</w:t>
      </w:r>
    </w:p>
    <w:p w:rsidR="00CE1927" w:rsidRPr="00FA3856" w:rsidRDefault="00CE1927" w:rsidP="00A36A8B">
      <w:pPr>
        <w:pStyle w:val="NormalWeb"/>
        <w:spacing w:before="0" w:after="0"/>
        <w:ind w:left="1416" w:firstLine="708"/>
        <w:jc w:val="both"/>
        <w:rPr>
          <w:rFonts w:ascii="Times New Roman" w:hAnsi="Times New Roman" w:cs="Times New Roman"/>
          <w:szCs w:val="20"/>
        </w:rPr>
      </w:pPr>
      <w:r w:rsidRPr="00FA3856">
        <w:rPr>
          <w:rFonts w:ascii="Times New Roman" w:hAnsi="Times New Roman" w:cs="Times New Roman"/>
          <w:szCs w:val="20"/>
        </w:rPr>
        <w:t>a) concepção, desenvolvimento e projeto (design);</w:t>
      </w:r>
    </w:p>
    <w:p w:rsidR="00CE1927" w:rsidRPr="00FA3856" w:rsidRDefault="00CE1927" w:rsidP="00A36A8B">
      <w:pPr>
        <w:pStyle w:val="NormalWeb"/>
        <w:spacing w:before="0" w:after="0"/>
        <w:ind w:left="1416" w:firstLine="708"/>
        <w:jc w:val="both"/>
        <w:rPr>
          <w:rFonts w:ascii="Times New Roman" w:hAnsi="Times New Roman" w:cs="Times New Roman"/>
          <w:szCs w:val="20"/>
        </w:rPr>
      </w:pPr>
      <w:r w:rsidRPr="00FA3856">
        <w:rPr>
          <w:rFonts w:ascii="Times New Roman" w:hAnsi="Times New Roman" w:cs="Times New Roman"/>
          <w:szCs w:val="20"/>
        </w:rPr>
        <w:t>b) fabricação dos elementos fotossensíveis, foto ou eletroluminescentes e emissores de luz; ou</w:t>
      </w:r>
    </w:p>
    <w:p w:rsidR="00CE1927" w:rsidRPr="00FA3856" w:rsidRDefault="00CE1927" w:rsidP="00A36A8B">
      <w:pPr>
        <w:pStyle w:val="NormalWeb"/>
        <w:spacing w:before="0" w:after="0"/>
        <w:ind w:left="1416" w:firstLine="708"/>
        <w:jc w:val="both"/>
        <w:rPr>
          <w:rFonts w:ascii="Times New Roman" w:hAnsi="Times New Roman" w:cs="Times New Roman"/>
          <w:szCs w:val="20"/>
        </w:rPr>
      </w:pPr>
      <w:r w:rsidRPr="00FA3856">
        <w:rPr>
          <w:rFonts w:ascii="Times New Roman" w:hAnsi="Times New Roman" w:cs="Times New Roman"/>
          <w:szCs w:val="20"/>
        </w:rPr>
        <w:t>c) montagem final do mostrador e testes elétricos e ópticos.</w:t>
      </w:r>
    </w:p>
    <w:p w:rsidR="00A36A8B" w:rsidRPr="00FA3856" w:rsidRDefault="00A36A8B" w:rsidP="001A6818">
      <w:pPr>
        <w:pStyle w:val="NormalWeb"/>
        <w:spacing w:before="0" w:after="0"/>
        <w:jc w:val="both"/>
        <w:rPr>
          <w:rFonts w:ascii="Times New Roman" w:hAnsi="Times New Roman" w:cs="Times New Roman"/>
          <w:szCs w:val="20"/>
        </w:rPr>
      </w:pPr>
    </w:p>
    <w:p w:rsidR="00CE1927" w:rsidRPr="00FA3856" w:rsidRDefault="00CE1927" w:rsidP="00A36A8B">
      <w:pPr>
        <w:pStyle w:val="NormalWeb"/>
        <w:spacing w:before="0" w:after="0"/>
        <w:ind w:left="708"/>
        <w:jc w:val="both"/>
        <w:rPr>
          <w:rFonts w:ascii="Times New Roman" w:hAnsi="Times New Roman" w:cs="Times New Roman"/>
          <w:szCs w:val="20"/>
        </w:rPr>
      </w:pPr>
      <w:r w:rsidRPr="00FA3856">
        <w:rPr>
          <w:rFonts w:ascii="Times New Roman" w:hAnsi="Times New Roman" w:cs="Times New Roman"/>
          <w:szCs w:val="20"/>
        </w:rPr>
        <w:t>Para efeitos deste item 5.7.12, considera-se que a pessoa jurídica exerce as atividades:</w:t>
      </w:r>
    </w:p>
    <w:p w:rsidR="00CE1927" w:rsidRPr="00FA3856" w:rsidRDefault="00CE1927" w:rsidP="00A36A8B">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I - isoladamente, quando executar todas as etapas previstas na alínea em que se enquadrar; ou</w:t>
      </w:r>
    </w:p>
    <w:p w:rsidR="00CE1927" w:rsidRPr="00FA3856" w:rsidRDefault="00CE1927" w:rsidP="00A36A8B">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II - em conjunto, quando executar todas as atividades previstas no inciso em que se enquadrar.</w:t>
      </w:r>
    </w:p>
    <w:p w:rsidR="00A36A8B" w:rsidRPr="00FA3856" w:rsidRDefault="00A36A8B" w:rsidP="001A6818">
      <w:pPr>
        <w:pStyle w:val="NormalWeb"/>
        <w:spacing w:before="0" w:after="0"/>
        <w:jc w:val="both"/>
        <w:rPr>
          <w:rFonts w:ascii="Times New Roman" w:hAnsi="Times New Roman" w:cs="Times New Roman"/>
          <w:szCs w:val="20"/>
        </w:rPr>
      </w:pPr>
    </w:p>
    <w:p w:rsidR="00CE1927" w:rsidRPr="00FA3856" w:rsidRDefault="00CE1927" w:rsidP="00A36A8B">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Os mostradores de informações (displays) alcançam os relacionados em ato do Poder Executivo, com tecnologia baseada em componentes de cristal líquido (LCD), fotoluminescentes (painel mostrador de plasma - PDP), eletroluminescentes (diodos emissores de luz - LED, diodos emissores de luz orgânicos - OLED ou displays eletroluminescentes a filme fino - TFEL) ou similares com microestruturas de emissão de campo elétrico, destinados à utilização como insumo em equipamentos eletrônicos. Não alcança os tubos de raios catódicos (CRT).</w:t>
      </w:r>
    </w:p>
    <w:p w:rsidR="00A36A8B" w:rsidRPr="00FA3856" w:rsidRDefault="00A36A8B" w:rsidP="001A6818">
      <w:pPr>
        <w:pStyle w:val="NormalWeb"/>
        <w:spacing w:before="0" w:after="0"/>
        <w:jc w:val="both"/>
        <w:rPr>
          <w:rFonts w:ascii="Times New Roman" w:hAnsi="Times New Roman" w:cs="Times New Roman"/>
          <w:szCs w:val="20"/>
        </w:rPr>
      </w:pPr>
    </w:p>
    <w:p w:rsidR="00CE1927" w:rsidRPr="00FA3856" w:rsidRDefault="00CE1927" w:rsidP="00A36A8B">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Para fazer jus à redução em 100% (cem por cento) das alíquotas do IRPJ e adicional incidente sobre o lucro da exploração, a pessoa jurídica deve exercer, exclusivamente, as ativida</w:t>
      </w:r>
      <w:r w:rsidR="00A36A8B" w:rsidRPr="00FA3856">
        <w:rPr>
          <w:rFonts w:ascii="Times New Roman" w:hAnsi="Times New Roman" w:cs="Times New Roman"/>
          <w:szCs w:val="20"/>
        </w:rPr>
        <w:t>des previstas neste subitem.</w:t>
      </w:r>
    </w:p>
    <w:p w:rsidR="00A36A8B" w:rsidRPr="00FA3856" w:rsidRDefault="00A36A8B" w:rsidP="001A6818">
      <w:pPr>
        <w:pStyle w:val="NormalWeb"/>
        <w:spacing w:before="0" w:after="0"/>
        <w:jc w:val="both"/>
        <w:rPr>
          <w:rFonts w:ascii="Times New Roman" w:hAnsi="Times New Roman" w:cs="Times New Roman"/>
          <w:szCs w:val="20"/>
        </w:rPr>
      </w:pPr>
    </w:p>
    <w:p w:rsidR="00CE1927" w:rsidRPr="00FA3856" w:rsidRDefault="00CE1927" w:rsidP="00A36A8B">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As reduções de alíquotas aplicam-se também no caso da venda de projeto (design) quando efetuada por pessoa jurídica beneficiária do Programa de Apoio ao Desenvolvimento Tecnológico da Indústria de Semicondutores (Fades).</w:t>
      </w:r>
    </w:p>
    <w:p w:rsidR="00A36A8B" w:rsidRPr="00FA3856" w:rsidRDefault="00A36A8B" w:rsidP="001A6818">
      <w:pPr>
        <w:pStyle w:val="NormalWeb"/>
        <w:spacing w:before="0" w:after="0"/>
        <w:jc w:val="both"/>
        <w:rPr>
          <w:rFonts w:ascii="Times New Roman" w:hAnsi="Times New Roman" w:cs="Times New Roman"/>
          <w:szCs w:val="20"/>
        </w:rPr>
      </w:pPr>
    </w:p>
    <w:p w:rsidR="00CE1927" w:rsidRPr="00FA3856" w:rsidRDefault="00CE1927" w:rsidP="00A36A8B">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Para usufruir da redução de alíquotas, a pessoa jurídica deverá demonstrar em sua contabilidade, com clareza e exatidão, os elementos que compõem as receitas, custos, despesas e resultados do período de apuração, referentes às vendas sobre as quais recaia a redução, segregados das demais atividades.</w:t>
      </w:r>
    </w:p>
    <w:p w:rsidR="00A36A8B" w:rsidRPr="00FA3856" w:rsidRDefault="00A36A8B" w:rsidP="001A6818">
      <w:pPr>
        <w:pStyle w:val="NormalWeb"/>
        <w:spacing w:before="0" w:after="0"/>
        <w:jc w:val="both"/>
        <w:rPr>
          <w:rFonts w:ascii="Times New Roman" w:hAnsi="Times New Roman" w:cs="Times New Roman"/>
          <w:szCs w:val="20"/>
        </w:rPr>
      </w:pPr>
    </w:p>
    <w:p w:rsidR="00CE1927" w:rsidRPr="00FA3856" w:rsidRDefault="00CE1927" w:rsidP="00A36A8B">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O valor do IRPJ que deixar de ser pago em virtude da redução das alíquotas de que trata caput não poderá ser distribuído aos sócios e constituirá reserva de incentivo fiscal da pessoa jurídica que somente poderá ser utilizada para absorção de prejuízos ou aumento do capital social.</w:t>
      </w:r>
    </w:p>
    <w:p w:rsidR="00A36A8B" w:rsidRPr="00FA3856" w:rsidRDefault="00A36A8B" w:rsidP="001A6818">
      <w:pPr>
        <w:pStyle w:val="NormalWeb"/>
        <w:spacing w:before="0" w:after="0"/>
        <w:jc w:val="both"/>
        <w:rPr>
          <w:rFonts w:ascii="Times New Roman" w:hAnsi="Times New Roman" w:cs="Times New Roman"/>
          <w:szCs w:val="20"/>
        </w:rPr>
      </w:pPr>
    </w:p>
    <w:p w:rsidR="00CE1927" w:rsidRPr="00FA3856" w:rsidRDefault="00CE1927" w:rsidP="00A36A8B">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Consideram-se distribuição do valor do IRPJ:</w:t>
      </w:r>
    </w:p>
    <w:p w:rsidR="00CE1927" w:rsidRPr="00FA3856" w:rsidRDefault="00CE1927" w:rsidP="00A36A8B">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 xml:space="preserve">I - a restituição de capital aos sócios em caso de redução do capital social, até o montante do aumento com a incorporação da reserva de capital; e </w:t>
      </w:r>
    </w:p>
    <w:p w:rsidR="00CE1927" w:rsidRPr="00FA3856" w:rsidRDefault="00CE1927" w:rsidP="00A36A8B">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 xml:space="preserve">II - a partilha do acervo líquido da sociedade dissolvida até o valor do saldo da reserva de capital. </w:t>
      </w:r>
    </w:p>
    <w:p w:rsidR="00CE1927" w:rsidRPr="00FA3856" w:rsidRDefault="00CE1927" w:rsidP="00A36A8B">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lastRenderedPageBreak/>
        <w:t>As reduções de alíquotas não se aplicam cumulativamente com outras reduções ou isenções relativas ao IRPJ ressalvado em relação aos dispêndios com pesquisa tecnológica e desenvolvimento de inovação tecnológica contratados no País com universidade, instituição de pesquisa ou inventor independente de que trata o inciso IX do art. 2</w:t>
      </w:r>
      <w:r w:rsidRPr="00FA3856">
        <w:rPr>
          <w:rFonts w:ascii="Times New Roman" w:hAnsi="Times New Roman" w:cs="Times New Roman"/>
          <w:strike/>
          <w:szCs w:val="20"/>
        </w:rPr>
        <w:t>º</w:t>
      </w:r>
      <w:r w:rsidRPr="00FA3856">
        <w:rPr>
          <w:rFonts w:ascii="Times New Roman" w:hAnsi="Times New Roman" w:cs="Times New Roman"/>
          <w:szCs w:val="20"/>
        </w:rPr>
        <w:t xml:space="preserve"> da Lei n</w:t>
      </w:r>
      <w:r w:rsidRPr="00FA3856">
        <w:rPr>
          <w:rFonts w:ascii="Times New Roman" w:hAnsi="Times New Roman" w:cs="Times New Roman"/>
          <w:strike/>
          <w:szCs w:val="20"/>
        </w:rPr>
        <w:t>º</w:t>
      </w:r>
      <w:r w:rsidRPr="00FA3856">
        <w:rPr>
          <w:rFonts w:ascii="Times New Roman" w:hAnsi="Times New Roman" w:cs="Times New Roman"/>
          <w:szCs w:val="20"/>
        </w:rPr>
        <w:t xml:space="preserve"> 10.973, de 2 de dezembro de 2004, desde que a pessoa jurídica que efetuou o dispêndio fique com a responsabilidade, o risco empresarial, a gestão e o controle da utilização dos resultados dos dispêndios.</w:t>
      </w:r>
    </w:p>
    <w:p w:rsidR="00A36A8B" w:rsidRPr="00FA3856" w:rsidRDefault="00A36A8B" w:rsidP="001A6818">
      <w:pPr>
        <w:pStyle w:val="NormalWeb"/>
        <w:spacing w:before="0" w:after="0"/>
        <w:jc w:val="both"/>
        <w:rPr>
          <w:rFonts w:ascii="Times New Roman" w:hAnsi="Times New Roman" w:cs="Times New Roman"/>
          <w:szCs w:val="20"/>
        </w:rPr>
      </w:pPr>
    </w:p>
    <w:p w:rsidR="00CE1927" w:rsidRPr="00FA3856" w:rsidRDefault="00CE1927" w:rsidP="00A36A8B">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 xml:space="preserve">Para o gozo da redução das alíquotas do IRPJ e adicional, a pessoa jurídica desta deverá investir, anualmente, em atividades de pesquisa e desenvolvimento a serem realizadas no País, no mínimo, 5% (cinco por cento) do seu faturamento bruto no mercado interno, deduzidos o IRPJ incidente na comercialização dos dispositivos decorrentes </w:t>
      </w:r>
      <w:r w:rsidR="00B5790B" w:rsidRPr="00FA3856">
        <w:rPr>
          <w:rFonts w:ascii="Times New Roman" w:hAnsi="Times New Roman" w:cs="Times New Roman"/>
          <w:szCs w:val="20"/>
        </w:rPr>
        <w:t>dos produtos</w:t>
      </w:r>
      <w:r w:rsidRPr="00FA3856">
        <w:rPr>
          <w:rFonts w:ascii="Times New Roman" w:hAnsi="Times New Roman" w:cs="Times New Roman"/>
          <w:szCs w:val="20"/>
        </w:rPr>
        <w:t xml:space="preserve"> da pesquisa e o valor das aquisições de produtos incentivados nos termos do Capítulo I da Lei n</w:t>
      </w:r>
      <w:r w:rsidRPr="00FA3856">
        <w:rPr>
          <w:rFonts w:ascii="Times New Roman" w:hAnsi="Times New Roman" w:cs="Times New Roman"/>
          <w:strike/>
          <w:szCs w:val="20"/>
        </w:rPr>
        <w:t>º</w:t>
      </w:r>
      <w:r w:rsidRPr="00FA3856">
        <w:rPr>
          <w:rFonts w:ascii="Times New Roman" w:hAnsi="Times New Roman" w:cs="Times New Roman"/>
          <w:szCs w:val="20"/>
        </w:rPr>
        <w:t xml:space="preserve"> 11.484, de 2007.</w:t>
      </w:r>
    </w:p>
    <w:p w:rsidR="00A36A8B" w:rsidRPr="00FA3856" w:rsidRDefault="00A36A8B" w:rsidP="001A6818">
      <w:pPr>
        <w:pStyle w:val="NormalWeb"/>
        <w:spacing w:before="0" w:after="0"/>
        <w:jc w:val="both"/>
        <w:rPr>
          <w:rFonts w:ascii="Times New Roman" w:hAnsi="Times New Roman" w:cs="Times New Roman"/>
          <w:szCs w:val="20"/>
        </w:rPr>
      </w:pPr>
    </w:p>
    <w:p w:rsidR="00CE1927" w:rsidRPr="00FA3856" w:rsidRDefault="00CE1927" w:rsidP="00A36A8B">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No mínimo 1% (um por cento) do faturamento bruto, deverá ser aplicado mediante convênio com centros ou institutos de pesquisa ou entidades brasileiras de ensino, oficiais ou reconhecidas, credenciados pelo Comitê da Área de Tecnologia da Informação (CATI), de que trata o art. 30 do Decreto n</w:t>
      </w:r>
      <w:r w:rsidRPr="00FA3856">
        <w:rPr>
          <w:rFonts w:ascii="Times New Roman" w:hAnsi="Times New Roman" w:cs="Times New Roman"/>
          <w:strike/>
          <w:szCs w:val="20"/>
        </w:rPr>
        <w:t>º</w:t>
      </w:r>
      <w:r w:rsidRPr="00FA3856">
        <w:rPr>
          <w:rFonts w:ascii="Times New Roman" w:hAnsi="Times New Roman" w:cs="Times New Roman"/>
          <w:szCs w:val="20"/>
        </w:rPr>
        <w:t xml:space="preserve"> 5.506, de 26 de setembro de 2006, ou pelo Comitê das Atividades de Pesquisa e Desenvolvimento na Amazônia (CABDA), de que trata o art. 26 do Decreto n</w:t>
      </w:r>
      <w:r w:rsidRPr="00FA3856">
        <w:rPr>
          <w:rFonts w:ascii="Times New Roman" w:hAnsi="Times New Roman" w:cs="Times New Roman"/>
          <w:strike/>
          <w:szCs w:val="20"/>
        </w:rPr>
        <w:t>º</w:t>
      </w:r>
      <w:r w:rsidRPr="00FA3856">
        <w:rPr>
          <w:rFonts w:ascii="Times New Roman" w:hAnsi="Times New Roman" w:cs="Times New Roman"/>
          <w:szCs w:val="20"/>
        </w:rPr>
        <w:t xml:space="preserve"> 6.008, de 29 de dezembro de 2006.</w:t>
      </w:r>
    </w:p>
    <w:p w:rsidR="00A36A8B" w:rsidRPr="00FA3856" w:rsidRDefault="00A36A8B" w:rsidP="001A6818">
      <w:pPr>
        <w:pStyle w:val="NormalWeb"/>
        <w:spacing w:before="0" w:after="0"/>
        <w:jc w:val="both"/>
        <w:rPr>
          <w:rFonts w:ascii="Times New Roman" w:hAnsi="Times New Roman" w:cs="Times New Roman"/>
          <w:b/>
          <w:bCs/>
          <w:szCs w:val="20"/>
        </w:rPr>
      </w:pPr>
    </w:p>
    <w:p w:rsidR="00CE1927" w:rsidRPr="00FA3856" w:rsidRDefault="001A6818" w:rsidP="001A6818">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t xml:space="preserve">V.13) </w:t>
      </w:r>
      <w:r w:rsidR="00CE1927" w:rsidRPr="00FA3856">
        <w:rPr>
          <w:rFonts w:ascii="Times New Roman" w:hAnsi="Times New Roman" w:cs="Times New Roman"/>
          <w:b/>
          <w:bCs/>
          <w:szCs w:val="20"/>
        </w:rPr>
        <w:t>Exclusão de custos e despesas com capacitação de pessoal que atua no desenvolvimento de software para as Empresas de TI e de TIC</w:t>
      </w:r>
    </w:p>
    <w:p w:rsidR="00A36A8B" w:rsidRPr="00FA3856" w:rsidRDefault="00A36A8B" w:rsidP="001A6818">
      <w:pPr>
        <w:pStyle w:val="NormalWeb"/>
        <w:spacing w:before="0" w:after="0"/>
        <w:jc w:val="both"/>
        <w:rPr>
          <w:rFonts w:ascii="Times New Roman" w:hAnsi="Times New Roman" w:cs="Times New Roman"/>
          <w:szCs w:val="20"/>
        </w:rPr>
      </w:pPr>
    </w:p>
    <w:p w:rsidR="00CE1927" w:rsidRPr="00FA3856" w:rsidRDefault="00CE1927" w:rsidP="00A36A8B">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As empresas dos setores de Tecnologia da Informação (TI) e de Tecnologia da Informação e da Comunicação (TIC) poderão excluir do lucro líquido os custos e despesas com capacitação de pessoal que atua no desenvolvimento de programas de computador (software), para efeito de apuração do lucro real, sem prejuízo da dedução normal.</w:t>
      </w:r>
    </w:p>
    <w:p w:rsidR="00A36A8B" w:rsidRPr="00FA3856" w:rsidRDefault="00A36A8B" w:rsidP="001A6818">
      <w:pPr>
        <w:pStyle w:val="NormalWeb"/>
        <w:spacing w:before="0" w:after="0"/>
        <w:jc w:val="both"/>
        <w:rPr>
          <w:rFonts w:ascii="Times New Roman" w:hAnsi="Times New Roman" w:cs="Times New Roman"/>
          <w:szCs w:val="20"/>
        </w:rPr>
      </w:pPr>
    </w:p>
    <w:p w:rsidR="00CE1927" w:rsidRPr="00FA3856" w:rsidRDefault="00CE1927" w:rsidP="00A36A8B">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exclusão fica limitada ao valor do lucro real antes da própria exclusão, vedado o aproveitamento de eventual excesso em período de apuração posterior.</w:t>
      </w:r>
    </w:p>
    <w:p w:rsidR="00A36A8B" w:rsidRPr="00FA3856" w:rsidRDefault="00A36A8B" w:rsidP="001A6818">
      <w:pPr>
        <w:pStyle w:val="NormalWeb"/>
        <w:spacing w:before="0" w:after="0"/>
        <w:jc w:val="both"/>
        <w:rPr>
          <w:rFonts w:ascii="Times New Roman" w:hAnsi="Times New Roman" w:cs="Times New Roman"/>
          <w:szCs w:val="20"/>
        </w:rPr>
      </w:pPr>
    </w:p>
    <w:p w:rsidR="00CE1927" w:rsidRPr="00FA3856" w:rsidRDefault="00CE1927" w:rsidP="00A36A8B">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Serão admitidos no cálculo da exclusão, os custos e despesas correspondentes ao custeio de curso técnico, superior ou avançado (pós-graduação), de formação ou especialização específica em TI ou TIC, inclusive custeio de bo</w:t>
      </w:r>
      <w:bookmarkStart w:id="172" w:name="subitem_15.7.13"/>
      <w:bookmarkEnd w:id="172"/>
      <w:r w:rsidRPr="00FA3856">
        <w:rPr>
          <w:rFonts w:ascii="Times New Roman" w:hAnsi="Times New Roman" w:cs="Times New Roman"/>
          <w:szCs w:val="20"/>
        </w:rPr>
        <w:t>lsa de estudo, oferecido ao trabalhador que tenha vínculo empregatício com empresa beneficiária, mediante contrato de trabalho formal, e atue no desenvolvimento de software para a exploração de TI ou de TIC no âmbito da empresa.</w:t>
      </w:r>
    </w:p>
    <w:p w:rsidR="00A36A8B" w:rsidRPr="00FA3856" w:rsidRDefault="00A36A8B" w:rsidP="001A6818">
      <w:pPr>
        <w:pStyle w:val="NormalWeb"/>
        <w:spacing w:before="0" w:after="0"/>
        <w:jc w:val="both"/>
        <w:rPr>
          <w:rFonts w:ascii="Times New Roman" w:hAnsi="Times New Roman" w:cs="Times New Roman"/>
          <w:szCs w:val="20"/>
        </w:rPr>
      </w:pPr>
    </w:p>
    <w:p w:rsidR="00CE1927" w:rsidRPr="00FA3856" w:rsidRDefault="00CE1927" w:rsidP="00A36A8B">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O benefício somente se aplica ao curso técnico, superior ou avançado, ainda que na modalidade de ensino a distância:</w:t>
      </w:r>
    </w:p>
    <w:p w:rsidR="00CE1927" w:rsidRPr="00FA3856" w:rsidRDefault="00CE1927" w:rsidP="00A36A8B">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a) oferecido por instituição de educação devidamente credenciadas pelo Ministério da Educação ou pelos órgãos de educação estaduais ou municipais competentes, conforme o caso;</w:t>
      </w:r>
    </w:p>
    <w:p w:rsidR="00CE1927" w:rsidRPr="00FA3856" w:rsidRDefault="00CE1927" w:rsidP="00A36A8B">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b) devidamente reconhecido pelo Ministério da Educação ou pelos órgãos de educação estaduais ou municipais competentes, conforme o caso.</w:t>
      </w:r>
    </w:p>
    <w:p w:rsidR="00A36A8B" w:rsidRPr="00FA3856" w:rsidRDefault="00A36A8B" w:rsidP="001A6818">
      <w:pPr>
        <w:pStyle w:val="NormalWeb"/>
        <w:spacing w:before="0" w:after="0"/>
        <w:jc w:val="both"/>
        <w:rPr>
          <w:rFonts w:ascii="Times New Roman" w:hAnsi="Times New Roman" w:cs="Times New Roman"/>
          <w:szCs w:val="20"/>
        </w:rPr>
      </w:pPr>
    </w:p>
    <w:p w:rsidR="00CE1927" w:rsidRPr="00FA3856" w:rsidRDefault="00CE1927" w:rsidP="00A36A8B">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O curso técnico ou superior, além de atender aos requisitos de que tratam as letras a e b deverá constar do Catálogo Nacional de Cursos Técnicos ou do Catálogo Nacional de Cursos Superiores de Tecnologia, elaborados pelo Ministério da Educação.</w:t>
      </w:r>
    </w:p>
    <w:p w:rsidR="00A36A8B" w:rsidRPr="00FA3856" w:rsidRDefault="00A36A8B" w:rsidP="001A6818">
      <w:pPr>
        <w:pStyle w:val="NormalWeb"/>
        <w:spacing w:before="0" w:after="0"/>
        <w:jc w:val="both"/>
        <w:rPr>
          <w:rFonts w:ascii="Times New Roman" w:hAnsi="Times New Roman" w:cs="Times New Roman"/>
          <w:szCs w:val="20"/>
        </w:rPr>
      </w:pPr>
    </w:p>
    <w:p w:rsidR="00CE1927" w:rsidRPr="00FA3856" w:rsidRDefault="00CE1927" w:rsidP="00A36A8B">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O gasto com curso de ensino e proficiência em idiomas estrangeiros não será admitido no cálculo da exclusão, salvo se o treinamento for prestado no âmbito do curso técnico, superior ou de pós-graduação.</w:t>
      </w:r>
    </w:p>
    <w:p w:rsidR="00A36A8B" w:rsidRPr="00FA3856" w:rsidRDefault="00A36A8B" w:rsidP="001A6818">
      <w:pPr>
        <w:pStyle w:val="NormalWeb"/>
        <w:spacing w:before="0" w:after="0"/>
        <w:jc w:val="both"/>
        <w:rPr>
          <w:rFonts w:ascii="Times New Roman" w:hAnsi="Times New Roman" w:cs="Times New Roman"/>
          <w:b/>
          <w:bCs/>
          <w:szCs w:val="20"/>
        </w:rPr>
      </w:pPr>
    </w:p>
    <w:p w:rsidR="00A36A8B" w:rsidRPr="00FA3856" w:rsidRDefault="00A36A8B">
      <w:pPr>
        <w:spacing w:after="200" w:line="276" w:lineRule="auto"/>
        <w:rPr>
          <w:rFonts w:eastAsia="Arial Unicode MS"/>
          <w:b/>
          <w:bCs/>
          <w:szCs w:val="20"/>
          <w:lang w:eastAsia="ar-SA"/>
        </w:rPr>
      </w:pPr>
      <w:r w:rsidRPr="00FA3856">
        <w:rPr>
          <w:b/>
          <w:bCs/>
          <w:szCs w:val="20"/>
        </w:rPr>
        <w:br w:type="page"/>
      </w:r>
    </w:p>
    <w:p w:rsidR="00CE1927" w:rsidRPr="00FA3856" w:rsidRDefault="001A6818" w:rsidP="001A6818">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lastRenderedPageBreak/>
        <w:t xml:space="preserve">V.14) </w:t>
      </w:r>
      <w:r w:rsidR="00CE1927" w:rsidRPr="00FA3856">
        <w:rPr>
          <w:rFonts w:ascii="Times New Roman" w:hAnsi="Times New Roman" w:cs="Times New Roman"/>
          <w:b/>
          <w:bCs/>
          <w:szCs w:val="20"/>
        </w:rPr>
        <w:t>Do Incentivo à Pessoa Jurídica que Explore Atividade de Hotelaria</w:t>
      </w:r>
    </w:p>
    <w:p w:rsidR="00A36A8B" w:rsidRPr="00FA3856" w:rsidRDefault="00A36A8B" w:rsidP="001A6818">
      <w:pPr>
        <w:pStyle w:val="NormalWeb"/>
        <w:spacing w:before="0" w:after="0"/>
        <w:jc w:val="both"/>
        <w:rPr>
          <w:rFonts w:ascii="Times New Roman" w:hAnsi="Times New Roman" w:cs="Times New Roman"/>
          <w:szCs w:val="20"/>
        </w:rPr>
      </w:pPr>
    </w:p>
    <w:p w:rsidR="00CE1927" w:rsidRPr="00FA3856" w:rsidRDefault="00CE1927" w:rsidP="00A36A8B">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Para efeito de apuração da base de cálculo do imposto, a pessoa jurídica que explore a atividade de hotelaria poderá utilizar depreciação acelerada incentivada de bens móveis integrantes do ativo imobilizado, adquiridos a partir de 3 de janeiro de 2008, até 31 de dezembro de 2010, calculada pela aplicação da taxa de depreciação admitida pela legislação tributária, sem prejuízo da depreciação contábil (Lei nº 11.727/2008, art. 1º).</w:t>
      </w:r>
    </w:p>
    <w:p w:rsidR="00A36A8B" w:rsidRPr="00FA3856" w:rsidRDefault="00A36A8B" w:rsidP="001A6818">
      <w:pPr>
        <w:pStyle w:val="NormalWeb"/>
        <w:spacing w:before="0" w:after="0"/>
        <w:jc w:val="both"/>
        <w:rPr>
          <w:rFonts w:ascii="Times New Roman" w:hAnsi="Times New Roman" w:cs="Times New Roman"/>
          <w:szCs w:val="20"/>
        </w:rPr>
      </w:pPr>
    </w:p>
    <w:p w:rsidR="00CE1927" w:rsidRPr="00FA3856" w:rsidRDefault="00CE1927" w:rsidP="00A36A8B">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quota de depreciação acelerada incentivada constituirá exclusão do lucro líquido para fins de determinação do lucro real e será controlada no Lalur.</w:t>
      </w:r>
    </w:p>
    <w:p w:rsidR="00A36A8B" w:rsidRPr="00FA3856" w:rsidRDefault="00A36A8B" w:rsidP="001A6818">
      <w:pPr>
        <w:pStyle w:val="NormalWeb"/>
        <w:spacing w:before="0" w:after="0"/>
        <w:jc w:val="both"/>
        <w:rPr>
          <w:rFonts w:ascii="Times New Roman" w:hAnsi="Times New Roman" w:cs="Times New Roman"/>
          <w:szCs w:val="20"/>
        </w:rPr>
      </w:pPr>
    </w:p>
    <w:p w:rsidR="00CE1927" w:rsidRPr="00FA3856" w:rsidRDefault="00CE1927" w:rsidP="00A36A8B">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O total da depreciação acumulada, incluindo a contábil e a acelerada incentivada, não poderá ultrapassar o custo de aquisição do bem.</w:t>
      </w:r>
    </w:p>
    <w:p w:rsidR="00A36A8B" w:rsidRPr="00FA3856" w:rsidRDefault="00A36A8B" w:rsidP="001A6818">
      <w:pPr>
        <w:pStyle w:val="NormalWeb"/>
        <w:spacing w:before="0" w:after="0"/>
        <w:jc w:val="both"/>
        <w:rPr>
          <w:rFonts w:ascii="Times New Roman" w:hAnsi="Times New Roman" w:cs="Times New Roman"/>
          <w:szCs w:val="20"/>
        </w:rPr>
      </w:pPr>
    </w:p>
    <w:p w:rsidR="00CE1927" w:rsidRPr="00FA3856" w:rsidRDefault="00CE1927" w:rsidP="00A36A8B">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partir do período de apuração em que for a</w:t>
      </w:r>
      <w:bookmarkStart w:id="173" w:name="subitem_15.7.14"/>
      <w:bookmarkEnd w:id="173"/>
      <w:r w:rsidRPr="00FA3856">
        <w:rPr>
          <w:rFonts w:ascii="Times New Roman" w:hAnsi="Times New Roman" w:cs="Times New Roman"/>
          <w:szCs w:val="20"/>
        </w:rPr>
        <w:t>tingido o limite do custo de aquisição do bem, o valor da depreciação, registrado na contabilidade, deverá ser adicionado ao lucro líquido para efeito de determinação do lucro real.</w:t>
      </w:r>
    </w:p>
    <w:p w:rsidR="00A36A8B" w:rsidRPr="00FA3856" w:rsidRDefault="00A36A8B" w:rsidP="001A6818">
      <w:pPr>
        <w:pStyle w:val="NormalWeb"/>
        <w:spacing w:before="0" w:after="0"/>
        <w:jc w:val="both"/>
        <w:rPr>
          <w:rFonts w:ascii="Times New Roman" w:hAnsi="Times New Roman" w:cs="Times New Roman"/>
          <w:szCs w:val="20"/>
        </w:rPr>
      </w:pPr>
    </w:p>
    <w:p w:rsidR="00CE1927" w:rsidRPr="00FA3856" w:rsidRDefault="00CE1927" w:rsidP="00A36A8B">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depreciação acelerada incentivada de que trata este artigo também se aplica aos empreendimentos hoteleiros explorados com redução do imposto com base no lucro da exploração nas áreas de atuação da Sudam e da Sudene.</w:t>
      </w:r>
    </w:p>
    <w:p w:rsidR="00A36A8B" w:rsidRPr="00FA3856" w:rsidRDefault="00A36A8B" w:rsidP="001A6818">
      <w:pPr>
        <w:pStyle w:val="NormalWeb"/>
        <w:spacing w:before="0" w:after="0"/>
        <w:jc w:val="both"/>
        <w:rPr>
          <w:rFonts w:ascii="Times New Roman" w:hAnsi="Times New Roman" w:cs="Times New Roman"/>
          <w:b/>
          <w:bCs/>
          <w:szCs w:val="20"/>
        </w:rPr>
      </w:pPr>
    </w:p>
    <w:p w:rsidR="00CE1927" w:rsidRPr="00FA3856" w:rsidRDefault="001A6818" w:rsidP="001A6818">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t xml:space="preserve">V.15) </w:t>
      </w:r>
      <w:r w:rsidR="00CE1927" w:rsidRPr="00FA3856">
        <w:rPr>
          <w:rFonts w:ascii="Times New Roman" w:hAnsi="Times New Roman" w:cs="Times New Roman"/>
          <w:b/>
          <w:bCs/>
          <w:szCs w:val="20"/>
        </w:rPr>
        <w:t>Do Incentivo às Empresas Industriais, Fabricantes de Veículos e de Autopeças</w:t>
      </w:r>
    </w:p>
    <w:p w:rsidR="00A36A8B" w:rsidRPr="00FA3856" w:rsidRDefault="00A36A8B" w:rsidP="001A6818">
      <w:pPr>
        <w:pStyle w:val="NormalWeb"/>
        <w:spacing w:before="0" w:after="0"/>
        <w:jc w:val="both"/>
        <w:rPr>
          <w:rFonts w:ascii="Times New Roman" w:hAnsi="Times New Roman" w:cs="Times New Roman"/>
          <w:szCs w:val="20"/>
        </w:rPr>
      </w:pPr>
    </w:p>
    <w:p w:rsidR="00CE1927" w:rsidRPr="00FA3856" w:rsidRDefault="00CE1927" w:rsidP="00A36A8B">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Para efeito de apuração do imposto, as empresas industriais fabricantes de veículos e de autopeças terão direito à depreciação acelerada, calculada pela aplicação da taxa de depreciação usualmente admitida, multiplicada por 4 (quatro), sem prejuízo da depreciação normal das máquinas, equipamentos, aparelhos e instrumentos, novos, relacionados em regulamento, adquiridos entre 1</w:t>
      </w:r>
      <w:r w:rsidRPr="00FA3856">
        <w:rPr>
          <w:rFonts w:ascii="Times New Roman" w:hAnsi="Times New Roman" w:cs="Times New Roman"/>
          <w:strike/>
          <w:szCs w:val="20"/>
        </w:rPr>
        <w:t>º</w:t>
      </w:r>
      <w:r w:rsidRPr="00FA3856">
        <w:rPr>
          <w:rFonts w:ascii="Times New Roman" w:hAnsi="Times New Roman" w:cs="Times New Roman"/>
          <w:szCs w:val="20"/>
        </w:rPr>
        <w:t xml:space="preserve"> de maio de 2008 e 31 de dezembro de 2010, destinados ao ativo imobilizado e empregados em processo industrial do adquirente (Lei n</w:t>
      </w:r>
      <w:r w:rsidRPr="00FA3856">
        <w:rPr>
          <w:rFonts w:ascii="Times New Roman" w:hAnsi="Times New Roman" w:cs="Times New Roman"/>
          <w:strike/>
          <w:szCs w:val="20"/>
        </w:rPr>
        <w:t>º</w:t>
      </w:r>
      <w:r w:rsidRPr="00FA3856">
        <w:rPr>
          <w:rFonts w:ascii="Times New Roman" w:hAnsi="Times New Roman" w:cs="Times New Roman"/>
          <w:szCs w:val="20"/>
        </w:rPr>
        <w:t xml:space="preserve"> 11.774, de 2008, art. 11).</w:t>
      </w:r>
    </w:p>
    <w:p w:rsidR="00CE1927" w:rsidRPr="00FA3856" w:rsidRDefault="00CE1927" w:rsidP="001A6818">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A depreciação acelerada de que trata o caput deste artigo constituirá exclusão do lucro líquido para fins de determinação do lucro real e será escriturada no livro fiscal de apuração do lucro real.</w:t>
      </w:r>
    </w:p>
    <w:p w:rsidR="00A36A8B" w:rsidRPr="00FA3856" w:rsidRDefault="00A36A8B" w:rsidP="001A6818">
      <w:pPr>
        <w:pStyle w:val="NormalWeb"/>
        <w:spacing w:before="0" w:after="0"/>
        <w:jc w:val="both"/>
        <w:rPr>
          <w:rFonts w:ascii="Times New Roman" w:hAnsi="Times New Roman" w:cs="Times New Roman"/>
          <w:szCs w:val="20"/>
        </w:rPr>
      </w:pPr>
    </w:p>
    <w:p w:rsidR="00CE1927" w:rsidRPr="00FA3856" w:rsidRDefault="00CE1927" w:rsidP="00A36A8B">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O total da deprecia</w:t>
      </w:r>
      <w:bookmarkStart w:id="174" w:name="subitem_15.7.15"/>
      <w:bookmarkEnd w:id="174"/>
      <w:r w:rsidRPr="00FA3856">
        <w:rPr>
          <w:rFonts w:ascii="Times New Roman" w:hAnsi="Times New Roman" w:cs="Times New Roman"/>
          <w:szCs w:val="20"/>
        </w:rPr>
        <w:t>ção acumulada, incluindo a normal e a acelerada, não poderá ultrapassar o custo de aquisição do bem.</w:t>
      </w:r>
    </w:p>
    <w:p w:rsidR="00A36A8B" w:rsidRPr="00FA3856" w:rsidRDefault="00A36A8B" w:rsidP="001A6818">
      <w:pPr>
        <w:pStyle w:val="NormalWeb"/>
        <w:spacing w:before="0" w:after="0"/>
        <w:jc w:val="both"/>
        <w:rPr>
          <w:rFonts w:ascii="Times New Roman" w:hAnsi="Times New Roman" w:cs="Times New Roman"/>
          <w:szCs w:val="20"/>
        </w:rPr>
      </w:pPr>
    </w:p>
    <w:p w:rsidR="00CE1927" w:rsidRPr="00FA3856" w:rsidRDefault="00CE1927" w:rsidP="00A36A8B">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partir do período de apuração em que for atingido o limite do custo de aquisição do bem, o valor da depreciação normal, registrado na escrituração comercial, será adicionado ao lucro líquido para efeito de determinação do lucro real.</w:t>
      </w:r>
    </w:p>
    <w:p w:rsidR="00A36A8B" w:rsidRPr="00FA3856" w:rsidRDefault="00A36A8B" w:rsidP="001A6818">
      <w:pPr>
        <w:pStyle w:val="NormalWeb"/>
        <w:spacing w:before="0" w:after="0"/>
        <w:jc w:val="both"/>
        <w:rPr>
          <w:rFonts w:ascii="Times New Roman" w:hAnsi="Times New Roman" w:cs="Times New Roman"/>
          <w:szCs w:val="20"/>
        </w:rPr>
      </w:pPr>
    </w:p>
    <w:p w:rsidR="00CE1927" w:rsidRPr="00FA3856" w:rsidRDefault="00CE1927" w:rsidP="00A36A8B">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 xml:space="preserve">A depreciação acelerada deverá ser calculada antes da aplicação dos coeficientes de depreciação acelerada previstos no </w:t>
      </w:r>
      <w:hyperlink r:id="rId216" w:anchor="art69" w:history="1">
        <w:r w:rsidRPr="00FA3856">
          <w:rPr>
            <w:rStyle w:val="Hyperlink"/>
            <w:rFonts w:ascii="Times New Roman" w:hAnsi="Times New Roman" w:cs="Times New Roman"/>
            <w:color w:val="auto"/>
            <w:szCs w:val="20"/>
          </w:rPr>
          <w:t>art. 69 da Lei n</w:t>
        </w:r>
        <w:r w:rsidRPr="00FA3856">
          <w:rPr>
            <w:rStyle w:val="Hyperlink"/>
            <w:rFonts w:ascii="Times New Roman" w:hAnsi="Times New Roman" w:cs="Times New Roman"/>
            <w:strike/>
            <w:color w:val="auto"/>
            <w:szCs w:val="20"/>
          </w:rPr>
          <w:t>º</w:t>
        </w:r>
        <w:r w:rsidRPr="00FA3856">
          <w:rPr>
            <w:rStyle w:val="Hyperlink"/>
            <w:rFonts w:ascii="Times New Roman" w:hAnsi="Times New Roman" w:cs="Times New Roman"/>
            <w:color w:val="auto"/>
            <w:szCs w:val="20"/>
          </w:rPr>
          <w:t xml:space="preserve"> 3.470, de 28 de novembro de 1958.</w:t>
        </w:r>
      </w:hyperlink>
    </w:p>
    <w:p w:rsidR="00A36A8B" w:rsidRPr="00FA3856" w:rsidRDefault="00A36A8B" w:rsidP="001A6818">
      <w:pPr>
        <w:pStyle w:val="NormalWeb"/>
        <w:spacing w:before="0" w:after="0"/>
        <w:jc w:val="both"/>
        <w:rPr>
          <w:rFonts w:ascii="Times New Roman" w:hAnsi="Times New Roman" w:cs="Times New Roman"/>
          <w:b/>
          <w:bCs/>
          <w:szCs w:val="20"/>
        </w:rPr>
      </w:pPr>
    </w:p>
    <w:p w:rsidR="00CE1927" w:rsidRPr="00FA3856" w:rsidRDefault="001A6818" w:rsidP="001A6818">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t xml:space="preserve">V.16) </w:t>
      </w:r>
      <w:r w:rsidR="00CE1927" w:rsidRPr="00FA3856">
        <w:rPr>
          <w:rFonts w:ascii="Times New Roman" w:hAnsi="Times New Roman" w:cs="Times New Roman"/>
          <w:b/>
          <w:bCs/>
          <w:szCs w:val="20"/>
        </w:rPr>
        <w:t>Do Incentivo às Pessoas Jurídicas Fabricantes de Bens de Capital</w:t>
      </w:r>
    </w:p>
    <w:p w:rsidR="00A36A8B" w:rsidRPr="00FA3856" w:rsidRDefault="00A36A8B" w:rsidP="001A6818">
      <w:pPr>
        <w:pStyle w:val="NormalWeb"/>
        <w:spacing w:before="0" w:after="0"/>
        <w:jc w:val="both"/>
        <w:rPr>
          <w:rFonts w:ascii="Times New Roman" w:hAnsi="Times New Roman" w:cs="Times New Roman"/>
          <w:szCs w:val="20"/>
        </w:rPr>
      </w:pPr>
    </w:p>
    <w:p w:rsidR="00CE1927" w:rsidRPr="00FA3856" w:rsidRDefault="00CE1927" w:rsidP="00A36A8B">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Para efeito de apuração do imposto, as pessoas jurídicas fabricantes de bens de capital, sem prejuízo da depreciação normal, terão direito à depreciação acelerada, calculada pela aplicação da taxa de depreciação usualmente admitida, multiplicada por 4 (quatro), das máquinas, equipamentos, aparelhos e instrumentos, novos, relacionados em regulamento, adquiridos entre 1</w:t>
      </w:r>
      <w:r w:rsidRPr="00FA3856">
        <w:rPr>
          <w:rFonts w:ascii="Times New Roman" w:hAnsi="Times New Roman" w:cs="Times New Roman"/>
          <w:strike/>
          <w:szCs w:val="20"/>
        </w:rPr>
        <w:t>º</w:t>
      </w:r>
      <w:r w:rsidRPr="00FA3856">
        <w:rPr>
          <w:rFonts w:ascii="Times New Roman" w:hAnsi="Times New Roman" w:cs="Times New Roman"/>
          <w:szCs w:val="20"/>
        </w:rPr>
        <w:t xml:space="preserve"> de maio de 2008 e 31 de dezembro de 2010, destinados ao ativo imobilizado e empregados em processo industrial do adquirente (Lei n</w:t>
      </w:r>
      <w:r w:rsidRPr="00FA3856">
        <w:rPr>
          <w:rFonts w:ascii="Times New Roman" w:hAnsi="Times New Roman" w:cs="Times New Roman"/>
          <w:strike/>
          <w:szCs w:val="20"/>
        </w:rPr>
        <w:t>º</w:t>
      </w:r>
      <w:r w:rsidRPr="00FA3856">
        <w:rPr>
          <w:rFonts w:ascii="Times New Roman" w:hAnsi="Times New Roman" w:cs="Times New Roman"/>
          <w:szCs w:val="20"/>
        </w:rPr>
        <w:t xml:space="preserve"> 11.774, de 2008, art. 12).</w:t>
      </w:r>
    </w:p>
    <w:p w:rsidR="00A36A8B" w:rsidRPr="00FA3856" w:rsidRDefault="00A36A8B" w:rsidP="001A6818">
      <w:pPr>
        <w:pStyle w:val="NormalWeb"/>
        <w:spacing w:before="0" w:after="0"/>
        <w:jc w:val="both"/>
        <w:rPr>
          <w:rFonts w:ascii="Times New Roman" w:hAnsi="Times New Roman" w:cs="Times New Roman"/>
          <w:szCs w:val="20"/>
        </w:rPr>
      </w:pPr>
    </w:p>
    <w:p w:rsidR="00CE1927" w:rsidRPr="00FA3856" w:rsidRDefault="00CE1927" w:rsidP="00A36A8B">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depreciação acelerada constituirá exclusão do lucro líquido para fins de determinação do lucro real, e será escriturada no livro fiscal de apuração do lucro real.</w:t>
      </w:r>
    </w:p>
    <w:p w:rsidR="00A36A8B" w:rsidRPr="00FA3856" w:rsidRDefault="00A36A8B" w:rsidP="001A6818">
      <w:pPr>
        <w:pStyle w:val="NormalWeb"/>
        <w:spacing w:before="0" w:after="0"/>
        <w:jc w:val="both"/>
        <w:rPr>
          <w:rFonts w:ascii="Times New Roman" w:hAnsi="Times New Roman" w:cs="Times New Roman"/>
          <w:szCs w:val="20"/>
        </w:rPr>
      </w:pPr>
    </w:p>
    <w:p w:rsidR="00CE1927" w:rsidRPr="00FA3856" w:rsidRDefault="00CE1927" w:rsidP="00A36A8B">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 xml:space="preserve">O total da depreciação acumulada, incluindo a normal e a acelerada, não </w:t>
      </w:r>
      <w:bookmarkStart w:id="175" w:name="subitem_15.7.16"/>
      <w:bookmarkEnd w:id="175"/>
      <w:r w:rsidRPr="00FA3856">
        <w:rPr>
          <w:rFonts w:ascii="Times New Roman" w:hAnsi="Times New Roman" w:cs="Times New Roman"/>
          <w:szCs w:val="20"/>
        </w:rPr>
        <w:t>poderá ultrapassar o custo de aquisição do bem.</w:t>
      </w:r>
    </w:p>
    <w:p w:rsidR="00CE1927" w:rsidRPr="00FA3856" w:rsidRDefault="00CE1927" w:rsidP="00A36A8B">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lastRenderedPageBreak/>
        <w:t>A partir do período de apuração em que for atingido o limite do custo de aquisição do bem, o valor da depreciação normal, registrado na escrituração comercial, será adicionado ao lucro líquido para efeito de determinação do lucro real.</w:t>
      </w:r>
    </w:p>
    <w:p w:rsidR="00A36A8B" w:rsidRPr="00FA3856" w:rsidRDefault="00A36A8B" w:rsidP="001A6818">
      <w:pPr>
        <w:pStyle w:val="NormalWeb"/>
        <w:spacing w:before="0" w:after="0"/>
        <w:jc w:val="both"/>
        <w:rPr>
          <w:rFonts w:ascii="Times New Roman" w:hAnsi="Times New Roman" w:cs="Times New Roman"/>
          <w:szCs w:val="20"/>
        </w:rPr>
      </w:pPr>
    </w:p>
    <w:p w:rsidR="00CE1927" w:rsidRPr="00FA3856" w:rsidRDefault="00CE1927" w:rsidP="00A36A8B">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Para fins de uso da depreciação acelerada são consideradas as máquinas, equipamentos, aparelhos e instrumentos relacionados:</w:t>
      </w:r>
    </w:p>
    <w:p w:rsidR="00A36A8B" w:rsidRPr="00FA3856" w:rsidRDefault="00CE1927" w:rsidP="00A36A8B">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a)  no Anexo I, do Decreto n</w:t>
      </w:r>
      <w:r w:rsidRPr="00FA3856">
        <w:rPr>
          <w:rFonts w:ascii="Times New Roman" w:hAnsi="Times New Roman" w:cs="Times New Roman"/>
          <w:strike/>
          <w:szCs w:val="20"/>
        </w:rPr>
        <w:t>º</w:t>
      </w:r>
      <w:r w:rsidRPr="00FA3856">
        <w:rPr>
          <w:rFonts w:ascii="Times New Roman" w:hAnsi="Times New Roman" w:cs="Times New Roman"/>
          <w:szCs w:val="20"/>
        </w:rPr>
        <w:t xml:space="preserve"> 6.701, de 2008, no caso das pessoas jurídica fabricantes de veículos e autopeças; e</w:t>
      </w:r>
      <w:r w:rsidR="00A36A8B" w:rsidRPr="00FA3856">
        <w:rPr>
          <w:rFonts w:ascii="Times New Roman" w:hAnsi="Times New Roman" w:cs="Times New Roman"/>
          <w:szCs w:val="20"/>
        </w:rPr>
        <w:t xml:space="preserve"> </w:t>
      </w:r>
    </w:p>
    <w:p w:rsidR="00CE1927" w:rsidRPr="00FA3856" w:rsidRDefault="00A36A8B" w:rsidP="00A36A8B">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b)</w:t>
      </w:r>
      <w:r w:rsidR="00CE1927" w:rsidRPr="00FA3856">
        <w:rPr>
          <w:rFonts w:ascii="Times New Roman" w:hAnsi="Times New Roman" w:cs="Times New Roman"/>
          <w:szCs w:val="20"/>
        </w:rPr>
        <w:t xml:space="preserve"> </w:t>
      </w:r>
      <w:r w:rsidRPr="00FA3856">
        <w:rPr>
          <w:rFonts w:ascii="Times New Roman" w:hAnsi="Times New Roman" w:cs="Times New Roman"/>
          <w:szCs w:val="20"/>
        </w:rPr>
        <w:t xml:space="preserve"> </w:t>
      </w:r>
      <w:r w:rsidR="00CE1927" w:rsidRPr="00FA3856">
        <w:rPr>
          <w:rFonts w:ascii="Times New Roman" w:hAnsi="Times New Roman" w:cs="Times New Roman"/>
          <w:szCs w:val="20"/>
        </w:rPr>
        <w:t>no Anexo II, do Decreto n</w:t>
      </w:r>
      <w:r w:rsidR="00CE1927" w:rsidRPr="00FA3856">
        <w:rPr>
          <w:rFonts w:ascii="Times New Roman" w:hAnsi="Times New Roman" w:cs="Times New Roman"/>
          <w:strike/>
          <w:szCs w:val="20"/>
        </w:rPr>
        <w:t>º</w:t>
      </w:r>
      <w:r w:rsidR="00CE1927" w:rsidRPr="00FA3856">
        <w:rPr>
          <w:rFonts w:ascii="Times New Roman" w:hAnsi="Times New Roman" w:cs="Times New Roman"/>
          <w:szCs w:val="20"/>
        </w:rPr>
        <w:t xml:space="preserve"> 6.701, de 2008, no caso das pessoas jurídicas fabricantes de bens de capital.</w:t>
      </w:r>
    </w:p>
    <w:p w:rsidR="00A36A8B" w:rsidRPr="00FA3856" w:rsidRDefault="00A36A8B" w:rsidP="001A6818">
      <w:pPr>
        <w:pStyle w:val="NormalWeb"/>
        <w:spacing w:before="0" w:after="0"/>
        <w:jc w:val="both"/>
        <w:rPr>
          <w:rFonts w:ascii="Times New Roman" w:hAnsi="Times New Roman" w:cs="Times New Roman"/>
          <w:szCs w:val="20"/>
        </w:rPr>
      </w:pPr>
    </w:p>
    <w:p w:rsidR="00CE1927" w:rsidRPr="00FA3856" w:rsidRDefault="00CE1927" w:rsidP="00A36A8B">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 xml:space="preserve">A depreciação acelerada de que trata o caput deste artigo deverá ser calculada antes da aplicação dos coeficientes de depreciação acelerada previstos no </w:t>
      </w:r>
      <w:hyperlink r:id="rId217" w:anchor="art69" w:history="1">
        <w:r w:rsidRPr="00FA3856">
          <w:rPr>
            <w:rStyle w:val="Hyperlink"/>
            <w:rFonts w:ascii="Times New Roman" w:hAnsi="Times New Roman" w:cs="Times New Roman"/>
            <w:color w:val="auto"/>
            <w:szCs w:val="20"/>
          </w:rPr>
          <w:t>art. 69 da Lei n</w:t>
        </w:r>
        <w:r w:rsidRPr="00FA3856">
          <w:rPr>
            <w:rStyle w:val="Hyperlink"/>
            <w:rFonts w:ascii="Times New Roman" w:hAnsi="Times New Roman" w:cs="Times New Roman"/>
            <w:strike/>
            <w:color w:val="auto"/>
            <w:szCs w:val="20"/>
          </w:rPr>
          <w:t>º</w:t>
        </w:r>
        <w:r w:rsidRPr="00FA3856">
          <w:rPr>
            <w:rStyle w:val="Hyperlink"/>
            <w:rFonts w:ascii="Times New Roman" w:hAnsi="Times New Roman" w:cs="Times New Roman"/>
            <w:color w:val="auto"/>
            <w:szCs w:val="20"/>
          </w:rPr>
          <w:t xml:space="preserve"> 3.470, de 28 de novembro de 1958.</w:t>
        </w:r>
      </w:hyperlink>
    </w:p>
    <w:p w:rsidR="00CE1927" w:rsidRPr="00FA3856" w:rsidRDefault="00CE1927" w:rsidP="001A6818">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p w:rsidR="00CE1927" w:rsidRPr="00FA3856" w:rsidRDefault="001A6818" w:rsidP="001A6818">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t xml:space="preserve">V.17) </w:t>
      </w:r>
      <w:r w:rsidR="00CE1927" w:rsidRPr="00FA3856">
        <w:rPr>
          <w:rFonts w:ascii="Times New Roman" w:hAnsi="Times New Roman" w:cs="Times New Roman"/>
          <w:b/>
          <w:bCs/>
          <w:szCs w:val="20"/>
        </w:rPr>
        <w:t>Do Incentivo às Pessoas Jurídicas de Transporte de Mercadoria</w:t>
      </w:r>
    </w:p>
    <w:p w:rsidR="00A36A8B" w:rsidRPr="00FA3856" w:rsidRDefault="00A36A8B" w:rsidP="001A6818">
      <w:pPr>
        <w:pStyle w:val="NormalWeb"/>
        <w:spacing w:before="0" w:after="0"/>
        <w:jc w:val="both"/>
        <w:rPr>
          <w:rFonts w:ascii="Times New Roman" w:hAnsi="Times New Roman" w:cs="Times New Roman"/>
          <w:szCs w:val="20"/>
        </w:rPr>
      </w:pPr>
    </w:p>
    <w:p w:rsidR="00CE1927" w:rsidRPr="00FA3856" w:rsidRDefault="00CE1927" w:rsidP="00A36A8B">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Para efeito de apuração do imposto, as pessoas jurídicas tributadas com base no lucro real terão direito à depreciação acelerada, calculada pela aplicação da taxa de depreciação usualmente admitida multiplicada por 3 (três), sem prejuízo da depreciação contábil:</w:t>
      </w:r>
    </w:p>
    <w:p w:rsidR="00A36A8B" w:rsidRPr="00FA3856" w:rsidRDefault="00A36A8B" w:rsidP="00A36A8B">
      <w:pPr>
        <w:pStyle w:val="NormalWeb"/>
        <w:spacing w:before="0" w:after="0"/>
        <w:ind w:left="708"/>
        <w:jc w:val="both"/>
        <w:rPr>
          <w:rFonts w:ascii="Times New Roman" w:hAnsi="Times New Roman" w:cs="Times New Roman"/>
          <w:szCs w:val="20"/>
        </w:rPr>
      </w:pPr>
    </w:p>
    <w:p w:rsidR="00CE1927" w:rsidRPr="00FA3856" w:rsidRDefault="00CE1927" w:rsidP="00A36A8B">
      <w:pPr>
        <w:pStyle w:val="NormalWeb"/>
        <w:spacing w:before="0" w:after="0"/>
        <w:ind w:left="1416"/>
        <w:jc w:val="both"/>
        <w:rPr>
          <w:rFonts w:ascii="Times New Roman" w:hAnsi="Times New Roman" w:cs="Times New Roman"/>
          <w:szCs w:val="20"/>
        </w:rPr>
      </w:pPr>
      <w:r w:rsidRPr="00FA3856">
        <w:rPr>
          <w:rFonts w:ascii="Times New Roman" w:hAnsi="Times New Roman" w:cs="Times New Roman"/>
          <w:szCs w:val="20"/>
        </w:rPr>
        <w:t>a) de veículos automóveis para transporte de mercadorias, destinados ao ativo imobilizado da pessoa jurídica adquirente, classificados nas posições 87.04.21.10 (exceto Ex 01), 87.04.21.20 (exceto Ex 01), 87.04.21.30 (exceto Ex 01), 87.04.21.90 (exceto Ex 01 e Ex 02), 87.04.22, 87.04.23, 87.04.31.10 Ex 01, 87.04.31.20 Ex 01, 87.04.31.30 Ex 01, 87.04.31.90 Ex 01, e 87.04.32, da Tabela de Incidência do Imposto sobre Produtos Industrializados - TIPI, aprovada pelo Decreto nº 7.660, de 23 de dezembro de 2011;</w:t>
      </w:r>
    </w:p>
    <w:p w:rsidR="00CE1927" w:rsidRPr="00FA3856" w:rsidRDefault="00CE1927" w:rsidP="00A36A8B">
      <w:pPr>
        <w:pStyle w:val="NormalWeb"/>
        <w:spacing w:before="0" w:after="0"/>
        <w:ind w:left="1416"/>
        <w:jc w:val="both"/>
        <w:rPr>
          <w:rFonts w:ascii="Times New Roman" w:hAnsi="Times New Roman" w:cs="Times New Roman"/>
          <w:szCs w:val="20"/>
        </w:rPr>
      </w:pPr>
      <w:bookmarkStart w:id="176" w:name="subitem_15.7.17"/>
      <w:bookmarkEnd w:id="176"/>
      <w:r w:rsidRPr="00FA3856">
        <w:rPr>
          <w:rFonts w:ascii="Times New Roman" w:hAnsi="Times New Roman" w:cs="Times New Roman"/>
          <w:szCs w:val="20"/>
        </w:rPr>
        <w:t>b) de vagões, locomotivas, locotratores e tênderes, destinados ao ativo imobilizado da pessoa jurídica adquirente, classificados nas posições 86.01, 86.02 e 86.06 da Tipi.</w:t>
      </w:r>
    </w:p>
    <w:p w:rsidR="00A36A8B" w:rsidRPr="00FA3856" w:rsidRDefault="00A36A8B" w:rsidP="001A6818">
      <w:pPr>
        <w:pStyle w:val="NormalWeb"/>
        <w:spacing w:before="0" w:after="0"/>
        <w:jc w:val="both"/>
        <w:rPr>
          <w:rFonts w:ascii="Times New Roman" w:hAnsi="Times New Roman" w:cs="Times New Roman"/>
          <w:szCs w:val="20"/>
        </w:rPr>
      </w:pPr>
    </w:p>
    <w:p w:rsidR="00CE1927" w:rsidRPr="00FA3856" w:rsidRDefault="00CE1927" w:rsidP="00A36A8B">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O disposto neste item somente se aplica aos bens novos, que tenham sido adquiridos ou objeto de contrato de encomenda entre 1o de setembro de 2012 e 31 de dezembro de 2012.</w:t>
      </w:r>
    </w:p>
    <w:p w:rsidR="00A36A8B" w:rsidRPr="00FA3856" w:rsidRDefault="00A36A8B" w:rsidP="001A6818">
      <w:pPr>
        <w:pStyle w:val="NormalWeb"/>
        <w:spacing w:before="0" w:after="0"/>
        <w:jc w:val="both"/>
        <w:rPr>
          <w:rFonts w:ascii="Times New Roman" w:hAnsi="Times New Roman" w:cs="Times New Roman"/>
          <w:szCs w:val="20"/>
        </w:rPr>
      </w:pPr>
    </w:p>
    <w:p w:rsidR="00CE1927" w:rsidRPr="00FA3856" w:rsidRDefault="00CE1927" w:rsidP="00A36A8B">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depreciação acelerada de que trata este item:</w:t>
      </w:r>
    </w:p>
    <w:p w:rsidR="00A36A8B" w:rsidRPr="00FA3856" w:rsidRDefault="00A36A8B" w:rsidP="001A6818">
      <w:pPr>
        <w:pStyle w:val="NormalWeb"/>
        <w:spacing w:before="0" w:after="0"/>
        <w:jc w:val="both"/>
        <w:rPr>
          <w:rFonts w:ascii="Times New Roman" w:hAnsi="Times New Roman" w:cs="Times New Roman"/>
          <w:szCs w:val="20"/>
        </w:rPr>
      </w:pPr>
    </w:p>
    <w:p w:rsidR="00CE1927" w:rsidRPr="00FA3856" w:rsidRDefault="00CE1927" w:rsidP="00A36A8B">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 xml:space="preserve">a) constituirá exclusão do lucro líquido para fins de determinação do lucro real e será controlada no livro fiscal de apuração do lucro real; </w:t>
      </w:r>
    </w:p>
    <w:p w:rsidR="00CE1927" w:rsidRPr="00FA3856" w:rsidRDefault="00CE1927" w:rsidP="00A36A8B">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 xml:space="preserve">b) deverá ser calculada antes da aplicação dos coeficientes de depreciação acelerada a que faz referência o art. 69 da Lei no 3.470, de 28 de novembro de 1958; e </w:t>
      </w:r>
    </w:p>
    <w:p w:rsidR="00CE1927" w:rsidRPr="00FA3856" w:rsidRDefault="00CE1927" w:rsidP="00A36A8B">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c) deverá ser apurada a partir de 1º de janeiro de 2013.</w:t>
      </w:r>
    </w:p>
    <w:p w:rsidR="00A36A8B" w:rsidRPr="00FA3856" w:rsidRDefault="00A36A8B" w:rsidP="001A6818">
      <w:pPr>
        <w:pStyle w:val="NormalWeb"/>
        <w:spacing w:before="0" w:after="0"/>
        <w:jc w:val="both"/>
        <w:rPr>
          <w:rFonts w:ascii="Times New Roman" w:hAnsi="Times New Roman" w:cs="Times New Roman"/>
          <w:szCs w:val="20"/>
        </w:rPr>
      </w:pPr>
    </w:p>
    <w:p w:rsidR="00CE1927" w:rsidRPr="00FA3856" w:rsidRDefault="00CE1927" w:rsidP="00A36A8B">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O total da depreciação acumulada, incluindo a contábil e a acelerada incentivada, não poderá ultrapassar o custo de aquisição do bem.</w:t>
      </w:r>
    </w:p>
    <w:p w:rsidR="00A36A8B" w:rsidRPr="00FA3856" w:rsidRDefault="00A36A8B" w:rsidP="001A6818">
      <w:pPr>
        <w:pStyle w:val="NormalWeb"/>
        <w:spacing w:before="0" w:after="0"/>
        <w:jc w:val="both"/>
        <w:rPr>
          <w:rFonts w:ascii="Times New Roman" w:hAnsi="Times New Roman" w:cs="Times New Roman"/>
          <w:szCs w:val="20"/>
        </w:rPr>
      </w:pPr>
    </w:p>
    <w:p w:rsidR="00CE1927" w:rsidRPr="00FA3856" w:rsidRDefault="00CE1927" w:rsidP="00A36A8B">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partir do período de apuração em que for atingido o limite mencionado anteriormente, o valor da depreciação, registrado na contabilidade, deverá ser adicionado ao lucro líquido para efeito de determinação do lucro real.</w:t>
      </w:r>
    </w:p>
    <w:p w:rsidR="00A36A8B" w:rsidRPr="00FA3856" w:rsidRDefault="00A36A8B" w:rsidP="001A6818">
      <w:pPr>
        <w:pStyle w:val="NormalWeb"/>
        <w:spacing w:before="0" w:after="0"/>
        <w:jc w:val="both"/>
        <w:rPr>
          <w:rFonts w:ascii="Times New Roman" w:hAnsi="Times New Roman" w:cs="Times New Roman"/>
          <w:b/>
          <w:bCs/>
          <w:szCs w:val="20"/>
        </w:rPr>
      </w:pPr>
    </w:p>
    <w:p w:rsidR="00CE1927" w:rsidRPr="00FA3856" w:rsidRDefault="001A6818" w:rsidP="001A6818">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t xml:space="preserve">V.18) </w:t>
      </w:r>
      <w:r w:rsidR="00CE1927" w:rsidRPr="00FA3856">
        <w:rPr>
          <w:rFonts w:ascii="Times New Roman" w:hAnsi="Times New Roman" w:cs="Times New Roman"/>
          <w:b/>
          <w:bCs/>
          <w:szCs w:val="20"/>
        </w:rPr>
        <w:t xml:space="preserve">Do Incentivo às Pessoas Jurídicas que Tenham Projeto Aprovado para Instalação, Ampliação, Modernização ou Diversificação de Atividades em </w:t>
      </w:r>
      <w:r w:rsidR="00E00235" w:rsidRPr="00FA3856">
        <w:rPr>
          <w:rFonts w:ascii="Times New Roman" w:hAnsi="Times New Roman" w:cs="Times New Roman"/>
          <w:b/>
          <w:bCs/>
          <w:szCs w:val="20"/>
        </w:rPr>
        <w:t>Microrregiões</w:t>
      </w:r>
      <w:r w:rsidR="00CE1927" w:rsidRPr="00FA3856">
        <w:rPr>
          <w:rFonts w:ascii="Times New Roman" w:hAnsi="Times New Roman" w:cs="Times New Roman"/>
          <w:b/>
          <w:bCs/>
          <w:szCs w:val="20"/>
        </w:rPr>
        <w:t xml:space="preserve"> Menos Desenvolvidas na Área da Sudam (Lei nº 11.196/2005, art. 31)</w:t>
      </w:r>
    </w:p>
    <w:p w:rsidR="00A36A8B" w:rsidRPr="00FA3856" w:rsidRDefault="00A36A8B" w:rsidP="001A6818">
      <w:pPr>
        <w:pStyle w:val="NormalWeb"/>
        <w:spacing w:before="0" w:after="0"/>
        <w:jc w:val="both"/>
        <w:rPr>
          <w:rFonts w:ascii="Times New Roman" w:hAnsi="Times New Roman" w:cs="Times New Roman"/>
          <w:szCs w:val="20"/>
        </w:rPr>
      </w:pPr>
    </w:p>
    <w:p w:rsidR="00CE1927" w:rsidRPr="00FA3856" w:rsidRDefault="00CE1927" w:rsidP="00A36A8B">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Sem prejuízo das demais normas em vigor aplicáveis à matéria, para bens adquiridos a partir do ano-calendário de 2006 e até 31 de dezembro de 2018, as pessoas jurídicas que tenham projeto aprovado para instalação, ampliação, modernização ou diversificação enquadrado em setores da economia considerados prioritários para o desenvolvimento regional, em microrregiões menos desenvolvidas localizadas na área de atuação da Sudam, terão direito à depreciação acelerada incentivada, para efeito de cálculo do IRPJ.</w:t>
      </w:r>
    </w:p>
    <w:p w:rsidR="00A36A8B" w:rsidRPr="00FA3856" w:rsidRDefault="00A36A8B" w:rsidP="001A6818">
      <w:pPr>
        <w:pStyle w:val="NormalWeb"/>
        <w:spacing w:before="0" w:after="0"/>
        <w:jc w:val="both"/>
        <w:rPr>
          <w:rFonts w:ascii="Times New Roman" w:hAnsi="Times New Roman" w:cs="Times New Roman"/>
          <w:szCs w:val="20"/>
        </w:rPr>
      </w:pPr>
    </w:p>
    <w:p w:rsidR="00CE1927" w:rsidRPr="00FA3856" w:rsidRDefault="00CE1927" w:rsidP="00A36A8B">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lastRenderedPageBreak/>
        <w:t>A depreciação acelerada de que trata o caput aplica-se:</w:t>
      </w:r>
    </w:p>
    <w:p w:rsidR="00CE1927" w:rsidRPr="00FA3856" w:rsidRDefault="00CE1927" w:rsidP="00A36A8B">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a) às microrregiões definidas pelo Poder Executiv</w:t>
      </w:r>
      <w:bookmarkStart w:id="177" w:name="subitem_15.7.18"/>
      <w:bookmarkEnd w:id="177"/>
      <w:r w:rsidRPr="00FA3856">
        <w:rPr>
          <w:rFonts w:ascii="Times New Roman" w:hAnsi="Times New Roman" w:cs="Times New Roman"/>
          <w:szCs w:val="20"/>
        </w:rPr>
        <w:t>o;</w:t>
      </w:r>
    </w:p>
    <w:p w:rsidR="00CE1927" w:rsidRPr="00FA3856" w:rsidRDefault="00CE1927" w:rsidP="00A36A8B">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b) a máquinas, equipamentos, aparelhos e instrumentos, novos, destinados à utilização em projeto de instalação, ampliação, modernização ou diversificação de atividade.</w:t>
      </w:r>
    </w:p>
    <w:p w:rsidR="00A36A8B" w:rsidRPr="00FA3856" w:rsidRDefault="00A36A8B" w:rsidP="001A6818">
      <w:pPr>
        <w:pStyle w:val="NormalWeb"/>
        <w:spacing w:before="0" w:after="0"/>
        <w:jc w:val="both"/>
        <w:rPr>
          <w:rFonts w:ascii="Times New Roman" w:hAnsi="Times New Roman" w:cs="Times New Roman"/>
          <w:szCs w:val="20"/>
        </w:rPr>
      </w:pPr>
    </w:p>
    <w:p w:rsidR="00CE1927" w:rsidRPr="00FA3856" w:rsidRDefault="00CE1927" w:rsidP="00A36A8B">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depreciação acelerada de que trata este item consiste na depreciação integral, no próprio ano da aquisição ou até o 4º (quarto) ano subsequente à aquisição, de máquinas, equipamentos, aparelhos e instrumentos, novos, adquiridos a partir de 31 de agosto de 2012.</w:t>
      </w:r>
    </w:p>
    <w:p w:rsidR="00A36A8B" w:rsidRPr="00FA3856" w:rsidRDefault="00A36A8B" w:rsidP="001A6818">
      <w:pPr>
        <w:pStyle w:val="NormalWeb"/>
        <w:spacing w:before="0" w:after="0"/>
        <w:jc w:val="both"/>
        <w:rPr>
          <w:rFonts w:ascii="Times New Roman" w:hAnsi="Times New Roman" w:cs="Times New Roman"/>
          <w:szCs w:val="20"/>
        </w:rPr>
      </w:pPr>
    </w:p>
    <w:p w:rsidR="00CE1927" w:rsidRPr="00FA3856" w:rsidRDefault="00CE1927" w:rsidP="00A36A8B">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quota de depreciação acelerada, correspondente ao benefício, constituirá exclusão do lucro líquido para fins de determinação do lucro real e será escriturada no Lalur.</w:t>
      </w:r>
    </w:p>
    <w:p w:rsidR="00A36A8B" w:rsidRPr="00FA3856" w:rsidRDefault="00A36A8B" w:rsidP="001A6818">
      <w:pPr>
        <w:pStyle w:val="NormalWeb"/>
        <w:spacing w:before="0" w:after="0"/>
        <w:jc w:val="both"/>
        <w:rPr>
          <w:rFonts w:ascii="Times New Roman" w:hAnsi="Times New Roman" w:cs="Times New Roman"/>
          <w:szCs w:val="20"/>
        </w:rPr>
      </w:pPr>
    </w:p>
    <w:p w:rsidR="00CE1927" w:rsidRPr="00FA3856" w:rsidRDefault="00CE1927" w:rsidP="00A36A8B">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O total da depreciação acumulada, incluindo a normal e a acelerada, não poderá ultrapassar o custo de aquisição do bem.</w:t>
      </w:r>
    </w:p>
    <w:p w:rsidR="00A36A8B" w:rsidRPr="00FA3856" w:rsidRDefault="00A36A8B" w:rsidP="001A6818">
      <w:pPr>
        <w:pStyle w:val="NormalWeb"/>
        <w:spacing w:before="0" w:after="0"/>
        <w:jc w:val="both"/>
        <w:rPr>
          <w:rFonts w:ascii="Times New Roman" w:hAnsi="Times New Roman" w:cs="Times New Roman"/>
          <w:szCs w:val="20"/>
        </w:rPr>
      </w:pPr>
    </w:p>
    <w:p w:rsidR="00CE1927" w:rsidRPr="00FA3856" w:rsidRDefault="00CE1927" w:rsidP="00A36A8B">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partir do período de apuração em que for atingido o limite de ultrapassar o custo de aquisição do bem, o valor da depreciação normal, registrado na escrituração comercial, será adicionado ao lucro líquido para efeito de determinação do lucro real.</w:t>
      </w:r>
    </w:p>
    <w:p w:rsidR="00A36A8B" w:rsidRPr="00FA3856" w:rsidRDefault="00A36A8B" w:rsidP="001A6818">
      <w:pPr>
        <w:pStyle w:val="NormalWeb"/>
        <w:spacing w:before="0" w:after="0"/>
        <w:jc w:val="both"/>
        <w:rPr>
          <w:rFonts w:ascii="Times New Roman" w:hAnsi="Times New Roman" w:cs="Times New Roman"/>
          <w:szCs w:val="20"/>
        </w:rPr>
      </w:pPr>
    </w:p>
    <w:p w:rsidR="00CE1927" w:rsidRPr="00FA3856" w:rsidRDefault="00CE1927" w:rsidP="00A36A8B">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fruição da depreciação acelerada de que trata este artigo fica condicionada à fruição da redução do IRPJ de que trata o item 15.7.11.1 em favor de empreendimentos na área de atuação da Sudam e da Sudene.</w:t>
      </w:r>
    </w:p>
    <w:p w:rsidR="00847484" w:rsidRPr="00FA3856" w:rsidRDefault="00847484" w:rsidP="001A6818">
      <w:pPr>
        <w:pStyle w:val="NormalWeb"/>
        <w:spacing w:before="0" w:after="0"/>
        <w:jc w:val="both"/>
        <w:rPr>
          <w:rFonts w:ascii="Times New Roman" w:hAnsi="Times New Roman" w:cs="Times New Roman"/>
          <w:szCs w:val="20"/>
        </w:rPr>
      </w:pPr>
    </w:p>
    <w:p w:rsidR="00847484" w:rsidRPr="00FA3856" w:rsidRDefault="001A6818" w:rsidP="00A36A8B">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t xml:space="preserve">VI) </w:t>
      </w:r>
      <w:r w:rsidR="00847484" w:rsidRPr="00FA3856">
        <w:rPr>
          <w:rFonts w:ascii="Times New Roman" w:hAnsi="Times New Roman" w:cs="Times New Roman"/>
          <w:b/>
          <w:bCs/>
          <w:szCs w:val="20"/>
        </w:rPr>
        <w:t>TRATAMENTO DAS VARIAÇÕES CAMBIAIS - MP N</w:t>
      </w:r>
      <w:r w:rsidR="00847484" w:rsidRPr="00FA3856">
        <w:rPr>
          <w:rFonts w:ascii="Times New Roman" w:hAnsi="Times New Roman" w:cs="Times New Roman"/>
          <w:b/>
          <w:bCs/>
          <w:strike/>
          <w:szCs w:val="20"/>
        </w:rPr>
        <w:t>º</w:t>
      </w:r>
      <w:r w:rsidR="00847484" w:rsidRPr="00FA3856">
        <w:rPr>
          <w:rFonts w:ascii="Times New Roman" w:hAnsi="Times New Roman" w:cs="Times New Roman"/>
          <w:b/>
          <w:bCs/>
          <w:szCs w:val="20"/>
        </w:rPr>
        <w:t xml:space="preserve"> </w:t>
      </w:r>
      <w:r w:rsidR="00A63445">
        <w:rPr>
          <w:rFonts w:ascii="Times New Roman" w:hAnsi="Times New Roman" w:cs="Times New Roman"/>
          <w:b/>
          <w:bCs/>
          <w:szCs w:val="20"/>
        </w:rPr>
        <w:t>1.858-10/1999 e reedições</w:t>
      </w:r>
      <w:r w:rsidR="00847484" w:rsidRPr="00FA3856">
        <w:rPr>
          <w:rFonts w:ascii="Times New Roman" w:hAnsi="Times New Roman" w:cs="Times New Roman"/>
          <w:b/>
          <w:bCs/>
          <w:szCs w:val="20"/>
        </w:rPr>
        <w:t>, ART. 30</w:t>
      </w:r>
    </w:p>
    <w:p w:rsidR="00847484" w:rsidRPr="00FA3856" w:rsidRDefault="00847484" w:rsidP="00A36A8B">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p w:rsidR="00847484" w:rsidRPr="00FA3856" w:rsidRDefault="00847484" w:rsidP="009846B3">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partir de 1</w:t>
      </w:r>
      <w:r w:rsidRPr="00FA3856">
        <w:rPr>
          <w:rFonts w:ascii="Times New Roman" w:hAnsi="Times New Roman" w:cs="Times New Roman"/>
          <w:strike/>
          <w:szCs w:val="20"/>
        </w:rPr>
        <w:t>º</w:t>
      </w:r>
      <w:r w:rsidRPr="00FA3856">
        <w:rPr>
          <w:rFonts w:ascii="Times New Roman" w:hAnsi="Times New Roman" w:cs="Times New Roman"/>
          <w:szCs w:val="20"/>
        </w:rPr>
        <w:t xml:space="preserve"> de janeiro de 2000, as variações monetárias dos direitos de crédito e das obrigações do contribuinte, em função da taxa de câmbio, serão consideradas, para efeito de determinação da base de cálculo do imposto de renda, da contribuição social sobre o lucro líquido, da contribuição para o PIS/Pasep e da Cofins, bem assim da determinação do lucro da exploração, quando da liquidação da correspondente operação, conforme disposto no art. 30 da </w:t>
      </w:r>
      <w:hyperlink r:id="rId218" w:anchor="MP1807" w:history="1">
        <w:r w:rsidRPr="00FA3856">
          <w:rPr>
            <w:rStyle w:val="Hyperlink"/>
            <w:rFonts w:ascii="Times New Roman" w:hAnsi="Times New Roman" w:cs="Times New Roman"/>
            <w:color w:val="auto"/>
            <w:szCs w:val="20"/>
          </w:rPr>
          <w:t>MP n</w:t>
        </w:r>
        <w:r w:rsidRPr="00FA3856">
          <w:rPr>
            <w:rStyle w:val="Hyperlink"/>
            <w:rFonts w:ascii="Times New Roman" w:hAnsi="Times New Roman" w:cs="Times New Roman"/>
            <w:strike/>
            <w:color w:val="auto"/>
            <w:szCs w:val="20"/>
          </w:rPr>
          <w:t>º</w:t>
        </w:r>
        <w:r w:rsidRPr="00FA3856">
          <w:rPr>
            <w:rStyle w:val="Hyperlink"/>
            <w:rFonts w:ascii="Times New Roman" w:hAnsi="Times New Roman" w:cs="Times New Roman"/>
            <w:color w:val="auto"/>
            <w:szCs w:val="20"/>
          </w:rPr>
          <w:t xml:space="preserve"> 1.858-10</w:t>
        </w:r>
      </w:hyperlink>
      <w:r w:rsidRPr="00FA3856">
        <w:rPr>
          <w:rFonts w:ascii="Times New Roman" w:hAnsi="Times New Roman" w:cs="Times New Roman"/>
          <w:szCs w:val="20"/>
        </w:rPr>
        <w:t>, de 1999, e reedições, na IN SRF n</w:t>
      </w:r>
      <w:r w:rsidRPr="00FA3856">
        <w:rPr>
          <w:rFonts w:ascii="Times New Roman" w:hAnsi="Times New Roman" w:cs="Times New Roman"/>
          <w:strike/>
          <w:szCs w:val="20"/>
        </w:rPr>
        <w:t>º</w:t>
      </w:r>
      <w:r w:rsidRPr="00FA3856">
        <w:rPr>
          <w:rFonts w:ascii="Times New Roman" w:hAnsi="Times New Roman" w:cs="Times New Roman"/>
          <w:szCs w:val="20"/>
        </w:rPr>
        <w:t xml:space="preserve"> 345, de 28 de julho de 2003 e na IN RFB n</w:t>
      </w:r>
      <w:r w:rsidRPr="00FA3856">
        <w:rPr>
          <w:rFonts w:ascii="Times New Roman" w:hAnsi="Times New Roman" w:cs="Times New Roman"/>
          <w:strike/>
          <w:szCs w:val="20"/>
        </w:rPr>
        <w:t>º</w:t>
      </w:r>
      <w:r w:rsidRPr="00FA3856">
        <w:rPr>
          <w:rFonts w:ascii="Times New Roman" w:hAnsi="Times New Roman" w:cs="Times New Roman"/>
          <w:szCs w:val="20"/>
        </w:rPr>
        <w:t xml:space="preserve"> 1.079, de 3 novembro de 2010.</w:t>
      </w:r>
    </w:p>
    <w:p w:rsidR="009846B3" w:rsidRPr="00FA3856" w:rsidRDefault="009846B3" w:rsidP="00A36A8B">
      <w:pPr>
        <w:pStyle w:val="NormalWeb"/>
        <w:spacing w:before="0" w:after="0"/>
        <w:ind w:left="731"/>
        <w:jc w:val="both"/>
        <w:rPr>
          <w:rFonts w:ascii="Times New Roman" w:hAnsi="Times New Roman" w:cs="Times New Roman"/>
          <w:b/>
          <w:bCs/>
          <w:szCs w:val="20"/>
        </w:rPr>
      </w:pPr>
    </w:p>
    <w:p w:rsidR="00847484" w:rsidRPr="00FA3856" w:rsidRDefault="00847484" w:rsidP="009846B3">
      <w:pPr>
        <w:pStyle w:val="NormalWeb"/>
        <w:spacing w:before="0" w:after="0"/>
        <w:ind w:left="731"/>
        <w:jc w:val="both"/>
        <w:rPr>
          <w:rFonts w:ascii="Times New Roman" w:hAnsi="Times New Roman" w:cs="Times New Roman"/>
          <w:szCs w:val="20"/>
        </w:rPr>
      </w:pPr>
      <w:r w:rsidRPr="00FA3856">
        <w:rPr>
          <w:rFonts w:ascii="Times New Roman" w:hAnsi="Times New Roman" w:cs="Times New Roman"/>
          <w:b/>
          <w:bCs/>
          <w:szCs w:val="20"/>
        </w:rPr>
        <w:t>Atenção:</w:t>
      </w:r>
      <w:r w:rsidR="009846B3" w:rsidRPr="00FA3856">
        <w:rPr>
          <w:rFonts w:ascii="Times New Roman" w:hAnsi="Times New Roman" w:cs="Times New Roman"/>
          <w:szCs w:val="20"/>
        </w:rPr>
        <w:t xml:space="preserve"> </w:t>
      </w:r>
      <w:r w:rsidRPr="00FA3856">
        <w:rPr>
          <w:rFonts w:ascii="Times New Roman" w:hAnsi="Times New Roman" w:cs="Times New Roman"/>
          <w:szCs w:val="20"/>
        </w:rPr>
        <w:t>O disposto neste item não se aplica às pessoas jurídicas tributadas com base no lucro presumido que estejam reconhecendo integralmente suas receitas na medida do recebimento.</w:t>
      </w:r>
    </w:p>
    <w:p w:rsidR="009846B3" w:rsidRPr="00FA3856" w:rsidRDefault="009846B3" w:rsidP="00A36A8B">
      <w:pPr>
        <w:pStyle w:val="NormalWeb"/>
        <w:spacing w:before="0" w:after="0"/>
        <w:jc w:val="both"/>
        <w:rPr>
          <w:rFonts w:ascii="Times New Roman" w:hAnsi="Times New Roman" w:cs="Times New Roman"/>
          <w:color w:val="000000"/>
          <w:szCs w:val="20"/>
        </w:rPr>
      </w:pPr>
    </w:p>
    <w:p w:rsidR="00847484" w:rsidRPr="00FA3856" w:rsidRDefault="00847484" w:rsidP="009846B3">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color w:val="000000"/>
          <w:szCs w:val="20"/>
        </w:rPr>
        <w:t>À opção da pessoa jurídica, as variações monetárias poderão ser consideradas na determinação da base de cálculo de todos os tributos e contribuições referidos no</w:t>
      </w:r>
      <w:r w:rsidRPr="00FA3856">
        <w:rPr>
          <w:rStyle w:val="apple-converted-space"/>
          <w:rFonts w:ascii="Times New Roman" w:hAnsi="Times New Roman" w:cs="Times New Roman"/>
          <w:color w:val="000000"/>
          <w:szCs w:val="20"/>
        </w:rPr>
        <w:t> </w:t>
      </w:r>
      <w:r w:rsidRPr="00FA3856">
        <w:rPr>
          <w:rFonts w:ascii="Times New Roman" w:hAnsi="Times New Roman" w:cs="Times New Roman"/>
          <w:color w:val="000000"/>
          <w:szCs w:val="20"/>
        </w:rPr>
        <w:t>parágrafo anterior, segundo o regime de competência. Esta opção aplicar-se-á a todo o ano-calendário.</w:t>
      </w:r>
    </w:p>
    <w:p w:rsidR="009846B3" w:rsidRPr="00FA3856" w:rsidRDefault="009846B3" w:rsidP="00A36A8B">
      <w:pPr>
        <w:pStyle w:val="NormalWeb"/>
        <w:spacing w:before="0" w:after="0"/>
        <w:ind w:left="731"/>
        <w:jc w:val="both"/>
        <w:rPr>
          <w:rFonts w:ascii="Times New Roman" w:hAnsi="Times New Roman" w:cs="Times New Roman"/>
          <w:b/>
          <w:bCs/>
          <w:szCs w:val="20"/>
        </w:rPr>
      </w:pPr>
    </w:p>
    <w:p w:rsidR="00847484" w:rsidRPr="00FA3856" w:rsidRDefault="00847484" w:rsidP="00A36A8B">
      <w:pPr>
        <w:pStyle w:val="NormalWeb"/>
        <w:spacing w:before="0" w:after="0"/>
        <w:ind w:left="731"/>
        <w:jc w:val="both"/>
        <w:rPr>
          <w:rFonts w:ascii="Times New Roman" w:hAnsi="Times New Roman" w:cs="Times New Roman"/>
          <w:szCs w:val="20"/>
        </w:rPr>
      </w:pPr>
      <w:r w:rsidRPr="00FA3856">
        <w:rPr>
          <w:rFonts w:ascii="Times New Roman" w:hAnsi="Times New Roman" w:cs="Times New Roman"/>
          <w:b/>
          <w:bCs/>
          <w:szCs w:val="20"/>
        </w:rPr>
        <w:t>Atenção:</w:t>
      </w:r>
    </w:p>
    <w:p w:rsidR="00847484" w:rsidRPr="00FA3856" w:rsidRDefault="00847484" w:rsidP="00A36A8B">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color w:val="000000"/>
          <w:szCs w:val="20"/>
        </w:rPr>
        <w:t>1) A partir do ano-calendário de 2011:</w:t>
      </w:r>
    </w:p>
    <w:p w:rsidR="00847484" w:rsidRPr="00FA3856" w:rsidRDefault="00847484" w:rsidP="009846B3">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color w:val="000000"/>
          <w:szCs w:val="20"/>
        </w:rPr>
        <w:t>a) o direito de efetuar a opção pelo regime de competência somente poderá ser exercido no mês de janeiro; e</w:t>
      </w:r>
    </w:p>
    <w:p w:rsidR="00847484" w:rsidRPr="00FA3856" w:rsidRDefault="00847484" w:rsidP="009846B3">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color w:val="000000"/>
          <w:szCs w:val="20"/>
        </w:rPr>
        <w:t>b) o direito de alterar o regime adotado na forma do item "a", no decorrer do ano-calendário, é restrito aos casos em que ocorra elevada oscilação da taxa de câmbio</w:t>
      </w:r>
    </w:p>
    <w:p w:rsidR="00847484" w:rsidRPr="00FA3856" w:rsidRDefault="00847484" w:rsidP="00A36A8B">
      <w:pPr>
        <w:pStyle w:val="NormalWeb"/>
        <w:spacing w:before="0" w:after="0"/>
        <w:ind w:left="708"/>
        <w:jc w:val="both"/>
        <w:rPr>
          <w:rFonts w:ascii="Times New Roman" w:hAnsi="Times New Roman" w:cs="Times New Roman"/>
          <w:szCs w:val="20"/>
        </w:rPr>
      </w:pPr>
      <w:r w:rsidRPr="00FA3856">
        <w:rPr>
          <w:rFonts w:ascii="Times New Roman" w:hAnsi="Times New Roman" w:cs="Times New Roman"/>
          <w:szCs w:val="20"/>
        </w:rPr>
        <w:t xml:space="preserve">2) </w:t>
      </w:r>
      <w:r w:rsidRPr="00FA3856">
        <w:rPr>
          <w:rFonts w:ascii="Times New Roman" w:hAnsi="Times New Roman" w:cs="Times New Roman"/>
          <w:color w:val="000000"/>
          <w:szCs w:val="20"/>
        </w:rPr>
        <w:t>Considera-se elevada oscilação da taxa de câmbio aquela superior a percentual determinado pelo Poder Executivo.</w:t>
      </w:r>
    </w:p>
    <w:p w:rsidR="009846B3" w:rsidRPr="00FA3856" w:rsidRDefault="009846B3" w:rsidP="00A36A8B">
      <w:pPr>
        <w:pStyle w:val="NormalWeb"/>
        <w:spacing w:before="0" w:after="0"/>
        <w:jc w:val="both"/>
        <w:rPr>
          <w:rFonts w:ascii="Times New Roman" w:hAnsi="Times New Roman" w:cs="Times New Roman"/>
          <w:szCs w:val="20"/>
        </w:rPr>
      </w:pPr>
    </w:p>
    <w:p w:rsidR="00847484" w:rsidRPr="00FA3856" w:rsidRDefault="00847484" w:rsidP="009846B3">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O contribuinte deve efetuar o acompanhamento individualizado de cada operação, a fim de apurar os valores que devem compor o lucro da exploração e a base de cálculo do imposto de renda, da contribuição social sobre o lucro líquido, das contribuições para o PIS/Pasep e da Cofins, e o controle no Livro de Apuração do Lucro Real (Lalur).</w:t>
      </w:r>
    </w:p>
    <w:p w:rsidR="009846B3" w:rsidRPr="00FA3856" w:rsidRDefault="009846B3" w:rsidP="00A36A8B">
      <w:pPr>
        <w:pStyle w:val="NormalWeb"/>
        <w:spacing w:before="0" w:after="0"/>
        <w:jc w:val="both"/>
        <w:rPr>
          <w:rFonts w:ascii="Times New Roman" w:hAnsi="Times New Roman" w:cs="Times New Roman"/>
          <w:szCs w:val="20"/>
        </w:rPr>
      </w:pPr>
    </w:p>
    <w:p w:rsidR="00F93F76" w:rsidRPr="00FA3856" w:rsidRDefault="00F93F76" w:rsidP="009846B3">
      <w:pPr>
        <w:pStyle w:val="NormalWeb"/>
        <w:spacing w:before="0" w:after="0"/>
        <w:ind w:firstLine="708"/>
        <w:jc w:val="both"/>
        <w:rPr>
          <w:rFonts w:ascii="Times New Roman" w:hAnsi="Times New Roman" w:cs="Times New Roman"/>
          <w:szCs w:val="20"/>
        </w:rPr>
      </w:pPr>
    </w:p>
    <w:p w:rsidR="00F93F76" w:rsidRPr="00FA3856" w:rsidRDefault="00F93F76" w:rsidP="009846B3">
      <w:pPr>
        <w:pStyle w:val="NormalWeb"/>
        <w:spacing w:before="0" w:after="0"/>
        <w:ind w:firstLine="708"/>
        <w:jc w:val="both"/>
        <w:rPr>
          <w:rFonts w:ascii="Times New Roman" w:hAnsi="Times New Roman" w:cs="Times New Roman"/>
          <w:szCs w:val="20"/>
        </w:rPr>
      </w:pPr>
    </w:p>
    <w:p w:rsidR="00F93F76" w:rsidRPr="00FA3856" w:rsidRDefault="00F93F76" w:rsidP="009846B3">
      <w:pPr>
        <w:pStyle w:val="NormalWeb"/>
        <w:spacing w:before="0" w:after="0"/>
        <w:ind w:firstLine="708"/>
        <w:jc w:val="both"/>
        <w:rPr>
          <w:rFonts w:ascii="Times New Roman" w:hAnsi="Times New Roman" w:cs="Times New Roman"/>
          <w:szCs w:val="20"/>
        </w:rPr>
      </w:pPr>
    </w:p>
    <w:p w:rsidR="00847484" w:rsidRPr="00FA3856" w:rsidRDefault="00847484" w:rsidP="009846B3">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lastRenderedPageBreak/>
        <w:t>No registro das operações a ser realizado conforme o modelo de ficha de controle a seguir, o contribuinte deve observar que:</w:t>
      </w:r>
    </w:p>
    <w:p w:rsidR="00847484" w:rsidRPr="00FA3856" w:rsidRDefault="00847484" w:rsidP="009846B3">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a) as variações cambiais devem ser apuradas, no mínimo, em períodos correspondentes aos meses-calendário;</w:t>
      </w:r>
    </w:p>
    <w:p w:rsidR="00847484" w:rsidRPr="00FA3856" w:rsidRDefault="00847484" w:rsidP="009846B3">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b) antes do registro das liquidações ocorridas, ainda que parciais, deve ser apurada a variação cambial verificada entre a data da última apuração e a data da liquidação;</w:t>
      </w:r>
    </w:p>
    <w:p w:rsidR="00847484" w:rsidRPr="00FA3856" w:rsidRDefault="00847484" w:rsidP="00F93F76">
      <w:pPr>
        <w:pStyle w:val="NormalWeb"/>
        <w:spacing w:before="0" w:after="0"/>
        <w:ind w:left="1416"/>
        <w:jc w:val="both"/>
        <w:rPr>
          <w:rFonts w:ascii="Times New Roman" w:hAnsi="Times New Roman" w:cs="Times New Roman"/>
          <w:szCs w:val="20"/>
        </w:rPr>
      </w:pPr>
      <w:r w:rsidRPr="00FA3856">
        <w:rPr>
          <w:rFonts w:ascii="Times New Roman" w:hAnsi="Times New Roman" w:cs="Times New Roman"/>
          <w:szCs w:val="20"/>
        </w:rPr>
        <w:t xml:space="preserve">c) na coluna "Principal em R$" deve ser informado o valor resultante da multiplicação do valor liquidado em moeda estrangeira, a ser indicado na coluna "Principal em US$", pela cotação do dólar na data da liquidação, total ou parcial, da operação. </w:t>
      </w:r>
    </w:p>
    <w:p w:rsidR="00847484" w:rsidRPr="00FA3856" w:rsidRDefault="00847484" w:rsidP="00F93F76">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d) a variação cambial liquidada deve ser calculada mediante a multiplicação do valor liquidado em moeda estrangeira pela diferença entre:</w:t>
      </w:r>
    </w:p>
    <w:p w:rsidR="00847484" w:rsidRPr="00FA3856" w:rsidRDefault="00847484" w:rsidP="00F93F76">
      <w:pPr>
        <w:pStyle w:val="NormalWeb"/>
        <w:spacing w:before="0" w:after="0"/>
        <w:ind w:left="1416" w:firstLine="708"/>
        <w:jc w:val="both"/>
        <w:rPr>
          <w:rFonts w:ascii="Times New Roman" w:hAnsi="Times New Roman" w:cs="Times New Roman"/>
          <w:szCs w:val="20"/>
        </w:rPr>
      </w:pPr>
      <w:r w:rsidRPr="00FA3856">
        <w:rPr>
          <w:rFonts w:ascii="Times New Roman" w:hAnsi="Times New Roman" w:cs="Times New Roman"/>
          <w:szCs w:val="20"/>
        </w:rPr>
        <w:t>1) o valor da cotação da moeda estrangeira na data da liquidação, total ou parcial, da operação; e</w:t>
      </w:r>
    </w:p>
    <w:p w:rsidR="00847484" w:rsidRPr="00FA3856" w:rsidRDefault="00847484" w:rsidP="00F93F76">
      <w:pPr>
        <w:pStyle w:val="NormalWeb"/>
        <w:spacing w:before="0" w:after="0"/>
        <w:ind w:left="1416" w:firstLine="708"/>
        <w:jc w:val="both"/>
        <w:rPr>
          <w:rFonts w:ascii="Times New Roman" w:hAnsi="Times New Roman" w:cs="Times New Roman"/>
          <w:szCs w:val="20"/>
        </w:rPr>
      </w:pPr>
      <w:r w:rsidRPr="00FA3856">
        <w:rPr>
          <w:rFonts w:ascii="Times New Roman" w:hAnsi="Times New Roman" w:cs="Times New Roman"/>
          <w:szCs w:val="20"/>
        </w:rPr>
        <w:t>2) o valor da cotação da moeda estrangeira em 31/12/1999 ou na data de início da operação, se a mesma tiver sido iniciada após 31/12/1999;</w:t>
      </w:r>
    </w:p>
    <w:p w:rsidR="00847484" w:rsidRPr="00FA3856" w:rsidRDefault="00847484" w:rsidP="00F93F76">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e) nas colunas V.C.A. R$ e V.C.P. R$ devem ser informadas as variações cambiais ativas (V.C.A. R$) ou passivas (V.C.P. R$) verificadas;</w:t>
      </w:r>
    </w:p>
    <w:p w:rsidR="00847484" w:rsidRPr="00FA3856" w:rsidRDefault="00847484" w:rsidP="00F93F76">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f) o controle dos valores, para fins de determinação do imposto de renda com base no lucro real, deve ser feito no Lalur.</w:t>
      </w:r>
    </w:p>
    <w:p w:rsidR="00F93F76" w:rsidRPr="00FA3856" w:rsidRDefault="00F93F76" w:rsidP="00A36A8B">
      <w:pPr>
        <w:pStyle w:val="NormalWeb"/>
        <w:spacing w:before="0" w:after="0"/>
        <w:jc w:val="both"/>
        <w:rPr>
          <w:rFonts w:ascii="Times New Roman" w:hAnsi="Times New Roman" w:cs="Times New Roman"/>
          <w:b/>
          <w:bCs/>
          <w:szCs w:val="20"/>
        </w:rPr>
      </w:pPr>
    </w:p>
    <w:p w:rsidR="00847484" w:rsidRPr="00FA3856" w:rsidRDefault="00847484" w:rsidP="00A36A8B">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t>Exemplo:</w:t>
      </w:r>
      <w:r w:rsidRPr="00FA3856">
        <w:rPr>
          <w:rFonts w:ascii="Times New Roman" w:hAnsi="Times New Roman" w:cs="Times New Roman"/>
          <w:szCs w:val="20"/>
        </w:rPr>
        <w:t xml:space="preserve"> Em 31/12/2012, a pessoa jurídica registrou em seu ativo circulante um direito de crédito no valor de R$ 340.000,00, correspondente a US$ 200.000,00, admitindo o valor hipotético de cotação de R$ 1,70 por dólar. </w:t>
      </w:r>
    </w:p>
    <w:p w:rsidR="00847484" w:rsidRPr="00FA3856" w:rsidRDefault="00847484" w:rsidP="00A36A8B">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p w:rsidR="00847484" w:rsidRPr="00FA3856" w:rsidRDefault="00847484" w:rsidP="00A36A8B">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t>QUADRO DE ACOMPANHAMENTO POR OPERAÇÃO CONSTANTE DO BALANÇO</w:t>
      </w:r>
    </w:p>
    <w:p w:rsidR="00847484" w:rsidRPr="00FA3856" w:rsidRDefault="00847484" w:rsidP="00A36A8B">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tbl>
      <w:tblPr>
        <w:tblpPr w:leftFromText="141" w:rightFromText="141" w:vertAnchor="text" w:tblpXSpec="center" w:tblpY="1"/>
        <w:tblOverlap w:val="never"/>
        <w:tblW w:w="11828" w:type="dxa"/>
        <w:tblCellSpacing w:w="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70"/>
        <w:gridCol w:w="1947"/>
        <w:gridCol w:w="976"/>
        <w:gridCol w:w="844"/>
        <w:gridCol w:w="944"/>
        <w:gridCol w:w="1172"/>
        <w:gridCol w:w="1012"/>
        <w:gridCol w:w="844"/>
        <w:gridCol w:w="966"/>
        <w:gridCol w:w="994"/>
        <w:gridCol w:w="959"/>
      </w:tblGrid>
      <w:tr w:rsidR="00847484" w:rsidRPr="00FA3856" w:rsidTr="00F93F76">
        <w:trPr>
          <w:tblCellSpacing w:w="7" w:type="dxa"/>
        </w:trPr>
        <w:tc>
          <w:tcPr>
            <w:tcW w:w="1728" w:type="pct"/>
            <w:gridSpan w:val="3"/>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rPr>
                <w:rFonts w:ascii="Times New Roman" w:hAnsi="Times New Roman" w:cs="Times New Roman"/>
                <w:szCs w:val="20"/>
              </w:rPr>
            </w:pPr>
            <w:r w:rsidRPr="00FA3856">
              <w:rPr>
                <w:rFonts w:ascii="Times New Roman" w:hAnsi="Times New Roman" w:cs="Times New Roman"/>
                <w:szCs w:val="20"/>
              </w:rPr>
              <w:t>Di</w:t>
            </w:r>
            <w:r w:rsidR="00F93F76" w:rsidRPr="00FA3856">
              <w:rPr>
                <w:rFonts w:ascii="Times New Roman" w:hAnsi="Times New Roman" w:cs="Times New Roman"/>
                <w:szCs w:val="20"/>
              </w:rPr>
              <w:t xml:space="preserve">reito de Crédito na </w:t>
            </w:r>
            <w:r w:rsidRPr="00FA3856">
              <w:rPr>
                <w:rFonts w:ascii="Times New Roman" w:hAnsi="Times New Roman" w:cs="Times New Roman"/>
                <w:szCs w:val="20"/>
              </w:rPr>
              <w:t>Empresa ZYW</w:t>
            </w:r>
          </w:p>
        </w:tc>
        <w:tc>
          <w:tcPr>
            <w:tcW w:w="1669" w:type="pct"/>
            <w:gridSpan w:val="4"/>
            <w:tcBorders>
              <w:top w:val="outset" w:sz="6" w:space="0" w:color="auto"/>
              <w:left w:val="outset" w:sz="6" w:space="0" w:color="auto"/>
              <w:bottom w:val="outset" w:sz="6" w:space="0" w:color="auto"/>
              <w:right w:val="outset" w:sz="6" w:space="0" w:color="auto"/>
            </w:tcBorders>
            <w:vAlign w:val="center"/>
            <w:hideMark/>
          </w:tcPr>
          <w:p w:rsidR="00847484" w:rsidRPr="00FA3856" w:rsidRDefault="00F93F76" w:rsidP="00F93F76">
            <w:pPr>
              <w:pStyle w:val="NormalWeb"/>
              <w:spacing w:before="0" w:after="0"/>
              <w:rPr>
                <w:rFonts w:ascii="Times New Roman" w:hAnsi="Times New Roman" w:cs="Times New Roman"/>
                <w:szCs w:val="20"/>
              </w:rPr>
            </w:pPr>
            <w:r w:rsidRPr="00FA3856">
              <w:rPr>
                <w:rFonts w:ascii="Times New Roman" w:hAnsi="Times New Roman" w:cs="Times New Roman"/>
                <w:szCs w:val="20"/>
              </w:rPr>
              <w:t>Operações L</w:t>
            </w:r>
            <w:r w:rsidR="00847484" w:rsidRPr="00FA3856">
              <w:rPr>
                <w:rFonts w:ascii="Times New Roman" w:hAnsi="Times New Roman" w:cs="Times New Roman"/>
                <w:szCs w:val="20"/>
              </w:rPr>
              <w:t>iquidadas</w:t>
            </w:r>
          </w:p>
        </w:tc>
        <w:tc>
          <w:tcPr>
            <w:tcW w:w="758" w:type="pct"/>
            <w:gridSpan w:val="2"/>
            <w:tcBorders>
              <w:top w:val="outset" w:sz="6" w:space="0" w:color="auto"/>
              <w:left w:val="outset" w:sz="6" w:space="0" w:color="auto"/>
              <w:bottom w:val="outset" w:sz="6" w:space="0" w:color="auto"/>
              <w:right w:val="outset" w:sz="6" w:space="0" w:color="auto"/>
            </w:tcBorders>
            <w:vAlign w:val="center"/>
            <w:hideMark/>
          </w:tcPr>
          <w:p w:rsidR="00847484" w:rsidRPr="00FA3856" w:rsidRDefault="00F93F76" w:rsidP="00F93F76">
            <w:pPr>
              <w:pStyle w:val="NormalWeb"/>
              <w:spacing w:before="0" w:after="0"/>
              <w:rPr>
                <w:rFonts w:ascii="Times New Roman" w:hAnsi="Times New Roman" w:cs="Times New Roman"/>
                <w:szCs w:val="20"/>
              </w:rPr>
            </w:pPr>
            <w:r w:rsidRPr="00FA3856">
              <w:rPr>
                <w:rFonts w:ascii="Times New Roman" w:hAnsi="Times New Roman" w:cs="Times New Roman"/>
                <w:szCs w:val="20"/>
              </w:rPr>
              <w:t>Apropriação das V</w:t>
            </w:r>
            <w:r w:rsidR="00847484" w:rsidRPr="00FA3856">
              <w:rPr>
                <w:rFonts w:ascii="Times New Roman" w:hAnsi="Times New Roman" w:cs="Times New Roman"/>
                <w:szCs w:val="20"/>
              </w:rPr>
              <w:t>ariações</w:t>
            </w:r>
          </w:p>
        </w:tc>
        <w:tc>
          <w:tcPr>
            <w:tcW w:w="815" w:type="pct"/>
            <w:gridSpan w:val="2"/>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rPr>
                <w:rFonts w:ascii="Times New Roman" w:hAnsi="Times New Roman" w:cs="Times New Roman"/>
                <w:szCs w:val="20"/>
              </w:rPr>
            </w:pPr>
            <w:r w:rsidRPr="00FA3856">
              <w:rPr>
                <w:rFonts w:ascii="Times New Roman" w:hAnsi="Times New Roman" w:cs="Times New Roman"/>
                <w:szCs w:val="20"/>
              </w:rPr>
              <w:t> </w:t>
            </w:r>
          </w:p>
        </w:tc>
      </w:tr>
      <w:tr w:rsidR="00F93F76" w:rsidRPr="00FA3856" w:rsidTr="00F93F76">
        <w:trPr>
          <w:tblCellSpacing w:w="7" w:type="dxa"/>
        </w:trPr>
        <w:tc>
          <w:tcPr>
            <w:tcW w:w="491"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rPr>
                <w:rFonts w:ascii="Times New Roman" w:hAnsi="Times New Roman" w:cs="Times New Roman"/>
                <w:szCs w:val="20"/>
              </w:rPr>
            </w:pPr>
            <w:r w:rsidRPr="00FA3856">
              <w:rPr>
                <w:rFonts w:ascii="Times New Roman" w:hAnsi="Times New Roman" w:cs="Times New Roman"/>
                <w:szCs w:val="20"/>
              </w:rPr>
              <w:t>Data</w:t>
            </w:r>
          </w:p>
        </w:tc>
        <w:tc>
          <w:tcPr>
            <w:tcW w:w="825"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rPr>
                <w:rFonts w:ascii="Times New Roman" w:hAnsi="Times New Roman" w:cs="Times New Roman"/>
                <w:szCs w:val="20"/>
              </w:rPr>
            </w:pPr>
            <w:r w:rsidRPr="00FA3856">
              <w:rPr>
                <w:rFonts w:ascii="Times New Roman" w:hAnsi="Times New Roman" w:cs="Times New Roman"/>
                <w:szCs w:val="20"/>
              </w:rPr>
              <w:t>Histórico</w:t>
            </w:r>
          </w:p>
        </w:tc>
        <w:tc>
          <w:tcPr>
            <w:tcW w:w="400"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Taxa US$</w:t>
            </w:r>
          </w:p>
        </w:tc>
        <w:tc>
          <w:tcPr>
            <w:tcW w:w="355"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rPr>
                <w:rFonts w:ascii="Times New Roman" w:hAnsi="Times New Roman" w:cs="Times New Roman"/>
                <w:szCs w:val="20"/>
              </w:rPr>
            </w:pPr>
            <w:r w:rsidRPr="00FA3856">
              <w:rPr>
                <w:rFonts w:ascii="Times New Roman" w:hAnsi="Times New Roman" w:cs="Times New Roman"/>
                <w:szCs w:val="20"/>
              </w:rPr>
              <w:t>Principal em US$</w:t>
            </w:r>
          </w:p>
        </w:tc>
        <w:tc>
          <w:tcPr>
            <w:tcW w:w="393"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rPr>
                <w:rFonts w:ascii="Times New Roman" w:hAnsi="Times New Roman" w:cs="Times New Roman"/>
                <w:szCs w:val="20"/>
              </w:rPr>
            </w:pPr>
            <w:r w:rsidRPr="00FA3856">
              <w:rPr>
                <w:rFonts w:ascii="Times New Roman" w:hAnsi="Times New Roman" w:cs="Times New Roman"/>
                <w:szCs w:val="20"/>
              </w:rPr>
              <w:t>Principal em R$</w:t>
            </w:r>
          </w:p>
        </w:tc>
        <w:tc>
          <w:tcPr>
            <w:tcW w:w="495"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rPr>
                <w:rFonts w:ascii="Times New Roman" w:hAnsi="Times New Roman" w:cs="Times New Roman"/>
                <w:szCs w:val="20"/>
              </w:rPr>
            </w:pPr>
            <w:r w:rsidRPr="00FA3856">
              <w:rPr>
                <w:rFonts w:ascii="Times New Roman" w:hAnsi="Times New Roman" w:cs="Times New Roman"/>
                <w:szCs w:val="20"/>
              </w:rPr>
              <w:t>V.C.A</w:t>
            </w:r>
            <w:r w:rsidRPr="00FA3856">
              <w:rPr>
                <w:rFonts w:ascii="Times New Roman" w:hAnsi="Times New Roman" w:cs="Times New Roman"/>
                <w:szCs w:val="20"/>
              </w:rPr>
              <w:br/>
              <w:t>R$</w:t>
            </w:r>
          </w:p>
        </w:tc>
        <w:tc>
          <w:tcPr>
            <w:tcW w:w="409"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rPr>
                <w:rFonts w:ascii="Times New Roman" w:hAnsi="Times New Roman" w:cs="Times New Roman"/>
                <w:szCs w:val="20"/>
              </w:rPr>
            </w:pPr>
            <w:r w:rsidRPr="00FA3856">
              <w:rPr>
                <w:rFonts w:ascii="Times New Roman" w:hAnsi="Times New Roman" w:cs="Times New Roman"/>
                <w:szCs w:val="20"/>
              </w:rPr>
              <w:t>V.C.P</w:t>
            </w:r>
            <w:r w:rsidRPr="00FA3856">
              <w:rPr>
                <w:rFonts w:ascii="Times New Roman" w:hAnsi="Times New Roman" w:cs="Times New Roman"/>
                <w:szCs w:val="20"/>
              </w:rPr>
              <w:br/>
              <w:t>R$</w:t>
            </w:r>
          </w:p>
        </w:tc>
        <w:tc>
          <w:tcPr>
            <w:tcW w:w="351"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rPr>
                <w:rFonts w:ascii="Times New Roman" w:hAnsi="Times New Roman" w:cs="Times New Roman"/>
                <w:szCs w:val="20"/>
              </w:rPr>
            </w:pPr>
            <w:r w:rsidRPr="00FA3856">
              <w:rPr>
                <w:rFonts w:ascii="Times New Roman" w:hAnsi="Times New Roman" w:cs="Times New Roman"/>
                <w:szCs w:val="20"/>
              </w:rPr>
              <w:t>    V.C.A</w:t>
            </w:r>
            <w:r w:rsidRPr="00FA3856">
              <w:rPr>
                <w:rFonts w:ascii="Times New Roman" w:hAnsi="Times New Roman" w:cs="Times New Roman"/>
                <w:szCs w:val="20"/>
              </w:rPr>
              <w:br/>
              <w:t>R$</w:t>
            </w:r>
          </w:p>
        </w:tc>
        <w:tc>
          <w:tcPr>
            <w:tcW w:w="402"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rPr>
                <w:rFonts w:ascii="Times New Roman" w:hAnsi="Times New Roman" w:cs="Times New Roman"/>
                <w:szCs w:val="20"/>
              </w:rPr>
            </w:pPr>
            <w:r w:rsidRPr="00FA3856">
              <w:rPr>
                <w:rFonts w:ascii="Times New Roman" w:hAnsi="Times New Roman" w:cs="Times New Roman"/>
                <w:szCs w:val="20"/>
              </w:rPr>
              <w:t>V.C.P</w:t>
            </w:r>
            <w:r w:rsidRPr="00FA3856">
              <w:rPr>
                <w:rFonts w:ascii="Times New Roman" w:hAnsi="Times New Roman" w:cs="Times New Roman"/>
                <w:szCs w:val="20"/>
              </w:rPr>
              <w:br/>
              <w:t>R$</w:t>
            </w:r>
          </w:p>
        </w:tc>
        <w:tc>
          <w:tcPr>
            <w:tcW w:w="414"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rPr>
                <w:rFonts w:ascii="Times New Roman" w:hAnsi="Times New Roman" w:cs="Times New Roman"/>
                <w:szCs w:val="20"/>
              </w:rPr>
            </w:pPr>
            <w:r w:rsidRPr="00FA3856">
              <w:rPr>
                <w:rFonts w:ascii="Times New Roman" w:hAnsi="Times New Roman" w:cs="Times New Roman"/>
                <w:szCs w:val="20"/>
              </w:rPr>
              <w:t>Saldo em</w:t>
            </w:r>
            <w:r w:rsidRPr="00FA3856">
              <w:rPr>
                <w:rFonts w:ascii="Times New Roman" w:hAnsi="Times New Roman" w:cs="Times New Roman"/>
                <w:szCs w:val="20"/>
              </w:rPr>
              <w:br/>
              <w:t>R$</w:t>
            </w:r>
          </w:p>
        </w:tc>
        <w:tc>
          <w:tcPr>
            <w:tcW w:w="395"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rPr>
                <w:rFonts w:ascii="Times New Roman" w:hAnsi="Times New Roman" w:cs="Times New Roman"/>
                <w:szCs w:val="20"/>
              </w:rPr>
            </w:pPr>
            <w:r w:rsidRPr="00FA3856">
              <w:rPr>
                <w:rFonts w:ascii="Times New Roman" w:hAnsi="Times New Roman" w:cs="Times New Roman"/>
                <w:szCs w:val="20"/>
              </w:rPr>
              <w:t xml:space="preserve">Saldo em </w:t>
            </w:r>
            <w:r w:rsidRPr="00FA3856">
              <w:rPr>
                <w:rFonts w:ascii="Times New Roman" w:hAnsi="Times New Roman" w:cs="Times New Roman"/>
                <w:szCs w:val="20"/>
              </w:rPr>
              <w:br/>
              <w:t>US$</w:t>
            </w:r>
          </w:p>
        </w:tc>
      </w:tr>
      <w:tr w:rsidR="00F93F76" w:rsidRPr="00FA3856" w:rsidTr="00F93F76">
        <w:trPr>
          <w:tblCellSpacing w:w="7" w:type="dxa"/>
        </w:trPr>
        <w:tc>
          <w:tcPr>
            <w:tcW w:w="491"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tc>
        <w:tc>
          <w:tcPr>
            <w:tcW w:w="825"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tc>
        <w:tc>
          <w:tcPr>
            <w:tcW w:w="400"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center"/>
              <w:rPr>
                <w:rFonts w:ascii="Times New Roman" w:hAnsi="Times New Roman" w:cs="Times New Roman"/>
                <w:szCs w:val="20"/>
              </w:rPr>
            </w:pPr>
          </w:p>
        </w:tc>
        <w:tc>
          <w:tcPr>
            <w:tcW w:w="355"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tc>
        <w:tc>
          <w:tcPr>
            <w:tcW w:w="393"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tc>
        <w:tc>
          <w:tcPr>
            <w:tcW w:w="495"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tc>
        <w:tc>
          <w:tcPr>
            <w:tcW w:w="409"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tc>
        <w:tc>
          <w:tcPr>
            <w:tcW w:w="351"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tc>
        <w:tc>
          <w:tcPr>
            <w:tcW w:w="402"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tc>
        <w:tc>
          <w:tcPr>
            <w:tcW w:w="414"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tc>
        <w:tc>
          <w:tcPr>
            <w:tcW w:w="395"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tc>
      </w:tr>
      <w:tr w:rsidR="00F93F76" w:rsidRPr="00FA3856" w:rsidTr="00F93F76">
        <w:trPr>
          <w:tblCellSpacing w:w="7" w:type="dxa"/>
        </w:trPr>
        <w:tc>
          <w:tcPr>
            <w:tcW w:w="491"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31/12/2011</w:t>
            </w:r>
          </w:p>
        </w:tc>
        <w:tc>
          <w:tcPr>
            <w:tcW w:w="825"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Saldo Inicial</w:t>
            </w:r>
          </w:p>
        </w:tc>
        <w:tc>
          <w:tcPr>
            <w:tcW w:w="400"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1,70</w:t>
            </w:r>
          </w:p>
        </w:tc>
        <w:tc>
          <w:tcPr>
            <w:tcW w:w="355"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tc>
        <w:tc>
          <w:tcPr>
            <w:tcW w:w="393"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tc>
        <w:tc>
          <w:tcPr>
            <w:tcW w:w="495"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tc>
        <w:tc>
          <w:tcPr>
            <w:tcW w:w="409"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tc>
        <w:tc>
          <w:tcPr>
            <w:tcW w:w="351"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tc>
        <w:tc>
          <w:tcPr>
            <w:tcW w:w="402"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tc>
        <w:tc>
          <w:tcPr>
            <w:tcW w:w="414"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340.000,00</w:t>
            </w:r>
          </w:p>
        </w:tc>
        <w:tc>
          <w:tcPr>
            <w:tcW w:w="395"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200.000,00</w:t>
            </w:r>
          </w:p>
        </w:tc>
      </w:tr>
      <w:tr w:rsidR="00F93F76" w:rsidRPr="00FA3856" w:rsidTr="00F93F76">
        <w:trPr>
          <w:tblCellSpacing w:w="7" w:type="dxa"/>
        </w:trPr>
        <w:tc>
          <w:tcPr>
            <w:tcW w:w="491"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31/01/2012</w:t>
            </w:r>
          </w:p>
        </w:tc>
        <w:tc>
          <w:tcPr>
            <w:tcW w:w="825"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V.C.A. - janeiro/2011</w:t>
            </w:r>
          </w:p>
        </w:tc>
        <w:tc>
          <w:tcPr>
            <w:tcW w:w="400"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1,73</w:t>
            </w:r>
          </w:p>
        </w:tc>
        <w:tc>
          <w:tcPr>
            <w:tcW w:w="355"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tc>
        <w:tc>
          <w:tcPr>
            <w:tcW w:w="393"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tc>
        <w:tc>
          <w:tcPr>
            <w:tcW w:w="495"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tc>
        <w:tc>
          <w:tcPr>
            <w:tcW w:w="409"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tc>
        <w:tc>
          <w:tcPr>
            <w:tcW w:w="351"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6.000,00</w:t>
            </w:r>
          </w:p>
        </w:tc>
        <w:tc>
          <w:tcPr>
            <w:tcW w:w="402"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tc>
        <w:tc>
          <w:tcPr>
            <w:tcW w:w="414"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346.000,00</w:t>
            </w:r>
          </w:p>
        </w:tc>
        <w:tc>
          <w:tcPr>
            <w:tcW w:w="395"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200.000,00</w:t>
            </w:r>
          </w:p>
        </w:tc>
      </w:tr>
      <w:tr w:rsidR="00F93F76" w:rsidRPr="00FA3856" w:rsidTr="00F93F76">
        <w:trPr>
          <w:tblCellSpacing w:w="7" w:type="dxa"/>
        </w:trPr>
        <w:tc>
          <w:tcPr>
            <w:tcW w:w="491"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28/02/2012</w:t>
            </w:r>
          </w:p>
        </w:tc>
        <w:tc>
          <w:tcPr>
            <w:tcW w:w="825"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V.C.A. - fevereiro/2011</w:t>
            </w:r>
          </w:p>
        </w:tc>
        <w:tc>
          <w:tcPr>
            <w:tcW w:w="400"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1,75</w:t>
            </w:r>
          </w:p>
        </w:tc>
        <w:tc>
          <w:tcPr>
            <w:tcW w:w="355"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tc>
        <w:tc>
          <w:tcPr>
            <w:tcW w:w="393"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tc>
        <w:tc>
          <w:tcPr>
            <w:tcW w:w="495"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tc>
        <w:tc>
          <w:tcPr>
            <w:tcW w:w="409"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tc>
        <w:tc>
          <w:tcPr>
            <w:tcW w:w="351"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4.000,00</w:t>
            </w:r>
          </w:p>
        </w:tc>
        <w:tc>
          <w:tcPr>
            <w:tcW w:w="402"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tc>
        <w:tc>
          <w:tcPr>
            <w:tcW w:w="414"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350.000,00</w:t>
            </w:r>
          </w:p>
        </w:tc>
        <w:tc>
          <w:tcPr>
            <w:tcW w:w="395"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200.000,00</w:t>
            </w:r>
          </w:p>
        </w:tc>
      </w:tr>
      <w:tr w:rsidR="00F93F76" w:rsidRPr="00FA3856" w:rsidTr="00F93F76">
        <w:trPr>
          <w:tblCellSpacing w:w="7" w:type="dxa"/>
        </w:trPr>
        <w:tc>
          <w:tcPr>
            <w:tcW w:w="491"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28/02/2012</w:t>
            </w:r>
          </w:p>
        </w:tc>
        <w:tc>
          <w:tcPr>
            <w:tcW w:w="825"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Liquidação Parcial</w:t>
            </w:r>
          </w:p>
        </w:tc>
        <w:tc>
          <w:tcPr>
            <w:tcW w:w="400"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1,75</w:t>
            </w:r>
          </w:p>
        </w:tc>
        <w:tc>
          <w:tcPr>
            <w:tcW w:w="355"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20.000,00</w:t>
            </w:r>
          </w:p>
        </w:tc>
        <w:tc>
          <w:tcPr>
            <w:tcW w:w="393"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35.000,00</w:t>
            </w:r>
          </w:p>
        </w:tc>
        <w:tc>
          <w:tcPr>
            <w:tcW w:w="495"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1.000,00 (1)</w:t>
            </w:r>
          </w:p>
        </w:tc>
        <w:tc>
          <w:tcPr>
            <w:tcW w:w="409"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tc>
        <w:tc>
          <w:tcPr>
            <w:tcW w:w="351"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tc>
        <w:tc>
          <w:tcPr>
            <w:tcW w:w="402"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tc>
        <w:tc>
          <w:tcPr>
            <w:tcW w:w="414"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315.000,00</w:t>
            </w:r>
          </w:p>
        </w:tc>
        <w:tc>
          <w:tcPr>
            <w:tcW w:w="395"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180.000,00</w:t>
            </w:r>
          </w:p>
        </w:tc>
      </w:tr>
      <w:tr w:rsidR="00F93F76" w:rsidRPr="00FA3856" w:rsidTr="00F93F76">
        <w:trPr>
          <w:tblCellSpacing w:w="7" w:type="dxa"/>
        </w:trPr>
        <w:tc>
          <w:tcPr>
            <w:tcW w:w="491"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31/03/2012</w:t>
            </w:r>
          </w:p>
        </w:tc>
        <w:tc>
          <w:tcPr>
            <w:tcW w:w="825"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V.C.A. - março/2011</w:t>
            </w:r>
          </w:p>
        </w:tc>
        <w:tc>
          <w:tcPr>
            <w:tcW w:w="400"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1,80</w:t>
            </w:r>
          </w:p>
        </w:tc>
        <w:tc>
          <w:tcPr>
            <w:tcW w:w="355"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tc>
        <w:tc>
          <w:tcPr>
            <w:tcW w:w="393"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tc>
        <w:tc>
          <w:tcPr>
            <w:tcW w:w="495"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tc>
        <w:tc>
          <w:tcPr>
            <w:tcW w:w="409"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tc>
        <w:tc>
          <w:tcPr>
            <w:tcW w:w="351"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9.000,00</w:t>
            </w:r>
          </w:p>
        </w:tc>
        <w:tc>
          <w:tcPr>
            <w:tcW w:w="402"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tc>
        <w:tc>
          <w:tcPr>
            <w:tcW w:w="414"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324.000,00</w:t>
            </w:r>
          </w:p>
        </w:tc>
        <w:tc>
          <w:tcPr>
            <w:tcW w:w="395"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180.000,00</w:t>
            </w:r>
          </w:p>
        </w:tc>
      </w:tr>
      <w:tr w:rsidR="00F93F76" w:rsidRPr="00FA3856" w:rsidTr="00F93F76">
        <w:trPr>
          <w:tblCellSpacing w:w="7" w:type="dxa"/>
        </w:trPr>
        <w:tc>
          <w:tcPr>
            <w:tcW w:w="491"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1</w:t>
            </w:r>
            <w:r w:rsidRPr="00FA3856">
              <w:rPr>
                <w:rFonts w:ascii="Times New Roman" w:hAnsi="Times New Roman" w:cs="Times New Roman"/>
                <w:strike/>
                <w:szCs w:val="20"/>
              </w:rPr>
              <w:t>º</w:t>
            </w:r>
            <w:r w:rsidRPr="00FA3856">
              <w:rPr>
                <w:rFonts w:ascii="Times New Roman" w:hAnsi="Times New Roman" w:cs="Times New Roman"/>
                <w:szCs w:val="20"/>
              </w:rPr>
              <w:t xml:space="preserve"> Trim/2012</w:t>
            </w:r>
          </w:p>
        </w:tc>
        <w:tc>
          <w:tcPr>
            <w:tcW w:w="825"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Total</w:t>
            </w:r>
          </w:p>
        </w:tc>
        <w:tc>
          <w:tcPr>
            <w:tcW w:w="400"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center"/>
              <w:rPr>
                <w:rFonts w:ascii="Times New Roman" w:hAnsi="Times New Roman" w:cs="Times New Roman"/>
                <w:szCs w:val="20"/>
              </w:rPr>
            </w:pPr>
          </w:p>
        </w:tc>
        <w:tc>
          <w:tcPr>
            <w:tcW w:w="355"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tc>
        <w:tc>
          <w:tcPr>
            <w:tcW w:w="393"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tc>
        <w:tc>
          <w:tcPr>
            <w:tcW w:w="495"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1.000,00</w:t>
            </w:r>
          </w:p>
        </w:tc>
        <w:tc>
          <w:tcPr>
            <w:tcW w:w="409"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tc>
        <w:tc>
          <w:tcPr>
            <w:tcW w:w="351"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19.000,00</w:t>
            </w:r>
          </w:p>
        </w:tc>
        <w:tc>
          <w:tcPr>
            <w:tcW w:w="402"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tc>
        <w:tc>
          <w:tcPr>
            <w:tcW w:w="414"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tc>
        <w:tc>
          <w:tcPr>
            <w:tcW w:w="395"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tc>
      </w:tr>
      <w:tr w:rsidR="00F93F76" w:rsidRPr="00FA3856" w:rsidTr="00F93F76">
        <w:trPr>
          <w:tblCellSpacing w:w="7" w:type="dxa"/>
        </w:trPr>
        <w:tc>
          <w:tcPr>
            <w:tcW w:w="491"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tc>
        <w:tc>
          <w:tcPr>
            <w:tcW w:w="825"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tc>
        <w:tc>
          <w:tcPr>
            <w:tcW w:w="400"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center"/>
              <w:rPr>
                <w:rFonts w:ascii="Times New Roman" w:hAnsi="Times New Roman" w:cs="Times New Roman"/>
                <w:szCs w:val="20"/>
              </w:rPr>
            </w:pPr>
          </w:p>
        </w:tc>
        <w:tc>
          <w:tcPr>
            <w:tcW w:w="355"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tc>
        <w:tc>
          <w:tcPr>
            <w:tcW w:w="393"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tc>
        <w:tc>
          <w:tcPr>
            <w:tcW w:w="495"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tc>
        <w:tc>
          <w:tcPr>
            <w:tcW w:w="409"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tc>
        <w:tc>
          <w:tcPr>
            <w:tcW w:w="351"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tc>
        <w:tc>
          <w:tcPr>
            <w:tcW w:w="402"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tc>
        <w:tc>
          <w:tcPr>
            <w:tcW w:w="414"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tc>
        <w:tc>
          <w:tcPr>
            <w:tcW w:w="395"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tc>
      </w:tr>
      <w:tr w:rsidR="00F93F76" w:rsidRPr="00FA3856" w:rsidTr="00F93F76">
        <w:trPr>
          <w:tblCellSpacing w:w="7" w:type="dxa"/>
        </w:trPr>
        <w:tc>
          <w:tcPr>
            <w:tcW w:w="491"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30/04/2012</w:t>
            </w:r>
          </w:p>
        </w:tc>
        <w:tc>
          <w:tcPr>
            <w:tcW w:w="825"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V.C.A. - abril/2011</w:t>
            </w:r>
          </w:p>
        </w:tc>
        <w:tc>
          <w:tcPr>
            <w:tcW w:w="400"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1,90</w:t>
            </w:r>
          </w:p>
        </w:tc>
        <w:tc>
          <w:tcPr>
            <w:tcW w:w="355"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tc>
        <w:tc>
          <w:tcPr>
            <w:tcW w:w="393"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tc>
        <w:tc>
          <w:tcPr>
            <w:tcW w:w="495"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tc>
        <w:tc>
          <w:tcPr>
            <w:tcW w:w="409"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tc>
        <w:tc>
          <w:tcPr>
            <w:tcW w:w="351"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18.000,00</w:t>
            </w:r>
          </w:p>
        </w:tc>
        <w:tc>
          <w:tcPr>
            <w:tcW w:w="402"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tc>
        <w:tc>
          <w:tcPr>
            <w:tcW w:w="414"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342.000,00</w:t>
            </w:r>
          </w:p>
        </w:tc>
        <w:tc>
          <w:tcPr>
            <w:tcW w:w="395"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180.000,00</w:t>
            </w:r>
          </w:p>
        </w:tc>
      </w:tr>
      <w:tr w:rsidR="00F93F76" w:rsidRPr="00FA3856" w:rsidTr="00F93F76">
        <w:trPr>
          <w:tblCellSpacing w:w="7" w:type="dxa"/>
        </w:trPr>
        <w:tc>
          <w:tcPr>
            <w:tcW w:w="491"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30/04/2012</w:t>
            </w:r>
          </w:p>
        </w:tc>
        <w:tc>
          <w:tcPr>
            <w:tcW w:w="825"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Liquidação Parcial</w:t>
            </w:r>
          </w:p>
        </w:tc>
        <w:tc>
          <w:tcPr>
            <w:tcW w:w="400"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1,90</w:t>
            </w:r>
          </w:p>
        </w:tc>
        <w:tc>
          <w:tcPr>
            <w:tcW w:w="355"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90.000,00</w:t>
            </w:r>
          </w:p>
        </w:tc>
        <w:tc>
          <w:tcPr>
            <w:tcW w:w="393"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171.000,00</w:t>
            </w:r>
          </w:p>
        </w:tc>
        <w:tc>
          <w:tcPr>
            <w:tcW w:w="495"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18.000,00 (2)</w:t>
            </w:r>
          </w:p>
        </w:tc>
        <w:tc>
          <w:tcPr>
            <w:tcW w:w="409"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tc>
        <w:tc>
          <w:tcPr>
            <w:tcW w:w="351"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tc>
        <w:tc>
          <w:tcPr>
            <w:tcW w:w="402"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tc>
        <w:tc>
          <w:tcPr>
            <w:tcW w:w="414"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171.000,00</w:t>
            </w:r>
          </w:p>
        </w:tc>
        <w:tc>
          <w:tcPr>
            <w:tcW w:w="395"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90.000,00</w:t>
            </w:r>
          </w:p>
        </w:tc>
      </w:tr>
      <w:tr w:rsidR="00F93F76" w:rsidRPr="00FA3856" w:rsidTr="00F93F76">
        <w:trPr>
          <w:tblCellSpacing w:w="7" w:type="dxa"/>
        </w:trPr>
        <w:tc>
          <w:tcPr>
            <w:tcW w:w="491"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31/05/2012</w:t>
            </w:r>
          </w:p>
        </w:tc>
        <w:tc>
          <w:tcPr>
            <w:tcW w:w="825"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V.C.A. - maio/2011</w:t>
            </w:r>
          </w:p>
        </w:tc>
        <w:tc>
          <w:tcPr>
            <w:tcW w:w="400"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1,95</w:t>
            </w:r>
          </w:p>
        </w:tc>
        <w:tc>
          <w:tcPr>
            <w:tcW w:w="355"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tc>
        <w:tc>
          <w:tcPr>
            <w:tcW w:w="393"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tc>
        <w:tc>
          <w:tcPr>
            <w:tcW w:w="495"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tc>
        <w:tc>
          <w:tcPr>
            <w:tcW w:w="409"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tc>
        <w:tc>
          <w:tcPr>
            <w:tcW w:w="351"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4.500,00</w:t>
            </w:r>
          </w:p>
        </w:tc>
        <w:tc>
          <w:tcPr>
            <w:tcW w:w="402"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tc>
        <w:tc>
          <w:tcPr>
            <w:tcW w:w="414"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175.500,00</w:t>
            </w:r>
          </w:p>
        </w:tc>
        <w:tc>
          <w:tcPr>
            <w:tcW w:w="395"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90.000,00</w:t>
            </w:r>
          </w:p>
        </w:tc>
      </w:tr>
      <w:tr w:rsidR="00F93F76" w:rsidRPr="00FA3856" w:rsidTr="00F93F76">
        <w:trPr>
          <w:tblCellSpacing w:w="7" w:type="dxa"/>
        </w:trPr>
        <w:tc>
          <w:tcPr>
            <w:tcW w:w="491"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30/06/2012</w:t>
            </w:r>
          </w:p>
        </w:tc>
        <w:tc>
          <w:tcPr>
            <w:tcW w:w="825"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V.C.A. - junho/2011</w:t>
            </w:r>
          </w:p>
        </w:tc>
        <w:tc>
          <w:tcPr>
            <w:tcW w:w="400"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2,00</w:t>
            </w:r>
          </w:p>
        </w:tc>
        <w:tc>
          <w:tcPr>
            <w:tcW w:w="355"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tc>
        <w:tc>
          <w:tcPr>
            <w:tcW w:w="393"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tc>
        <w:tc>
          <w:tcPr>
            <w:tcW w:w="495"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tc>
        <w:tc>
          <w:tcPr>
            <w:tcW w:w="409"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tc>
        <w:tc>
          <w:tcPr>
            <w:tcW w:w="351"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4.500,00</w:t>
            </w:r>
          </w:p>
        </w:tc>
        <w:tc>
          <w:tcPr>
            <w:tcW w:w="402"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tc>
        <w:tc>
          <w:tcPr>
            <w:tcW w:w="414"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180.000,00</w:t>
            </w:r>
          </w:p>
        </w:tc>
        <w:tc>
          <w:tcPr>
            <w:tcW w:w="395"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90.000,00</w:t>
            </w:r>
          </w:p>
        </w:tc>
      </w:tr>
      <w:tr w:rsidR="00F93F76" w:rsidRPr="00FA3856" w:rsidTr="00F93F76">
        <w:trPr>
          <w:tblCellSpacing w:w="7" w:type="dxa"/>
        </w:trPr>
        <w:tc>
          <w:tcPr>
            <w:tcW w:w="491"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2</w:t>
            </w:r>
            <w:r w:rsidRPr="00FA3856">
              <w:rPr>
                <w:rFonts w:ascii="Times New Roman" w:hAnsi="Times New Roman" w:cs="Times New Roman"/>
                <w:strike/>
                <w:szCs w:val="20"/>
              </w:rPr>
              <w:t>º</w:t>
            </w:r>
            <w:r w:rsidRPr="00FA3856">
              <w:rPr>
                <w:rFonts w:ascii="Times New Roman" w:hAnsi="Times New Roman" w:cs="Times New Roman"/>
                <w:szCs w:val="20"/>
              </w:rPr>
              <w:t xml:space="preserve"> Trim/2012</w:t>
            </w:r>
          </w:p>
        </w:tc>
        <w:tc>
          <w:tcPr>
            <w:tcW w:w="825"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Total</w:t>
            </w:r>
          </w:p>
        </w:tc>
        <w:tc>
          <w:tcPr>
            <w:tcW w:w="400"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center"/>
              <w:rPr>
                <w:rFonts w:ascii="Times New Roman" w:hAnsi="Times New Roman" w:cs="Times New Roman"/>
                <w:szCs w:val="20"/>
              </w:rPr>
            </w:pPr>
          </w:p>
        </w:tc>
        <w:tc>
          <w:tcPr>
            <w:tcW w:w="355"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tc>
        <w:tc>
          <w:tcPr>
            <w:tcW w:w="393"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tc>
        <w:tc>
          <w:tcPr>
            <w:tcW w:w="495"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18.000,00</w:t>
            </w:r>
          </w:p>
        </w:tc>
        <w:tc>
          <w:tcPr>
            <w:tcW w:w="409"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tc>
        <w:tc>
          <w:tcPr>
            <w:tcW w:w="351"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27.000,00</w:t>
            </w:r>
          </w:p>
        </w:tc>
        <w:tc>
          <w:tcPr>
            <w:tcW w:w="402"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tc>
        <w:tc>
          <w:tcPr>
            <w:tcW w:w="414"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tc>
        <w:tc>
          <w:tcPr>
            <w:tcW w:w="395"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tc>
      </w:tr>
      <w:tr w:rsidR="00F93F76" w:rsidRPr="00FA3856" w:rsidTr="00F93F76">
        <w:trPr>
          <w:tblCellSpacing w:w="7" w:type="dxa"/>
        </w:trPr>
        <w:tc>
          <w:tcPr>
            <w:tcW w:w="491"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tc>
        <w:tc>
          <w:tcPr>
            <w:tcW w:w="825"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tc>
        <w:tc>
          <w:tcPr>
            <w:tcW w:w="400"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center"/>
              <w:rPr>
                <w:rFonts w:ascii="Times New Roman" w:hAnsi="Times New Roman" w:cs="Times New Roman"/>
                <w:szCs w:val="20"/>
              </w:rPr>
            </w:pPr>
          </w:p>
        </w:tc>
        <w:tc>
          <w:tcPr>
            <w:tcW w:w="355"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tc>
        <w:tc>
          <w:tcPr>
            <w:tcW w:w="393"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tc>
        <w:tc>
          <w:tcPr>
            <w:tcW w:w="495"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tc>
        <w:tc>
          <w:tcPr>
            <w:tcW w:w="409"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tc>
        <w:tc>
          <w:tcPr>
            <w:tcW w:w="351"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tc>
        <w:tc>
          <w:tcPr>
            <w:tcW w:w="402"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tc>
        <w:tc>
          <w:tcPr>
            <w:tcW w:w="414"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tc>
        <w:tc>
          <w:tcPr>
            <w:tcW w:w="395"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tc>
      </w:tr>
      <w:tr w:rsidR="00F93F76" w:rsidRPr="00FA3856" w:rsidTr="00F93F76">
        <w:trPr>
          <w:tblCellSpacing w:w="7" w:type="dxa"/>
        </w:trPr>
        <w:tc>
          <w:tcPr>
            <w:tcW w:w="491"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31/07/2012</w:t>
            </w:r>
          </w:p>
        </w:tc>
        <w:tc>
          <w:tcPr>
            <w:tcW w:w="825"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V.C.P. - julho/2011</w:t>
            </w:r>
          </w:p>
        </w:tc>
        <w:tc>
          <w:tcPr>
            <w:tcW w:w="400"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center"/>
              <w:rPr>
                <w:rFonts w:ascii="Times New Roman" w:hAnsi="Times New Roman" w:cs="Times New Roman"/>
                <w:szCs w:val="20"/>
              </w:rPr>
            </w:pPr>
            <w:r w:rsidRPr="00FA3856">
              <w:rPr>
                <w:rFonts w:ascii="Times New Roman" w:hAnsi="Times New Roman" w:cs="Times New Roman"/>
                <w:szCs w:val="20"/>
                <w:lang w:val="en-US"/>
              </w:rPr>
              <w:t>1,50</w:t>
            </w:r>
          </w:p>
        </w:tc>
        <w:tc>
          <w:tcPr>
            <w:tcW w:w="355"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tc>
        <w:tc>
          <w:tcPr>
            <w:tcW w:w="393"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tc>
        <w:tc>
          <w:tcPr>
            <w:tcW w:w="495"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tc>
        <w:tc>
          <w:tcPr>
            <w:tcW w:w="409"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tc>
        <w:tc>
          <w:tcPr>
            <w:tcW w:w="351"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tc>
        <w:tc>
          <w:tcPr>
            <w:tcW w:w="402"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lang w:val="en-US"/>
              </w:rPr>
              <w:t>45.000,00 </w:t>
            </w:r>
          </w:p>
        </w:tc>
        <w:tc>
          <w:tcPr>
            <w:tcW w:w="414"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lang w:val="en-US"/>
              </w:rPr>
              <w:t>135.000,00 </w:t>
            </w:r>
          </w:p>
        </w:tc>
        <w:tc>
          <w:tcPr>
            <w:tcW w:w="395"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lang w:val="en-US"/>
              </w:rPr>
              <w:t>90.000,00 </w:t>
            </w:r>
          </w:p>
        </w:tc>
      </w:tr>
      <w:tr w:rsidR="00F93F76" w:rsidRPr="00FA3856" w:rsidTr="00F93F76">
        <w:trPr>
          <w:tblCellSpacing w:w="7" w:type="dxa"/>
        </w:trPr>
        <w:tc>
          <w:tcPr>
            <w:tcW w:w="491"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lang w:val="en-US"/>
              </w:rPr>
              <w:t>31/08/2012 </w:t>
            </w:r>
          </w:p>
        </w:tc>
        <w:tc>
          <w:tcPr>
            <w:tcW w:w="825"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lang w:val="en-US"/>
              </w:rPr>
              <w:t xml:space="preserve">V.C.P.  </w:t>
            </w:r>
            <w:r w:rsidRPr="00FA3856">
              <w:rPr>
                <w:rFonts w:ascii="Times New Roman" w:hAnsi="Times New Roman" w:cs="Times New Roman"/>
                <w:szCs w:val="20"/>
              </w:rPr>
              <w:t>agosto/2011</w:t>
            </w:r>
          </w:p>
        </w:tc>
        <w:tc>
          <w:tcPr>
            <w:tcW w:w="400"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1,00</w:t>
            </w:r>
          </w:p>
        </w:tc>
        <w:tc>
          <w:tcPr>
            <w:tcW w:w="355"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tc>
        <w:tc>
          <w:tcPr>
            <w:tcW w:w="393"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tc>
        <w:tc>
          <w:tcPr>
            <w:tcW w:w="495"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tc>
        <w:tc>
          <w:tcPr>
            <w:tcW w:w="409"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tc>
        <w:tc>
          <w:tcPr>
            <w:tcW w:w="351"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tc>
        <w:tc>
          <w:tcPr>
            <w:tcW w:w="402"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45.000,00</w:t>
            </w:r>
          </w:p>
        </w:tc>
        <w:tc>
          <w:tcPr>
            <w:tcW w:w="414"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90.000,00</w:t>
            </w:r>
          </w:p>
        </w:tc>
        <w:tc>
          <w:tcPr>
            <w:tcW w:w="395"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90.000,00</w:t>
            </w:r>
          </w:p>
        </w:tc>
      </w:tr>
      <w:tr w:rsidR="00F93F76" w:rsidRPr="00FA3856" w:rsidTr="00F93F76">
        <w:trPr>
          <w:tblCellSpacing w:w="7" w:type="dxa"/>
        </w:trPr>
        <w:tc>
          <w:tcPr>
            <w:tcW w:w="491"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lastRenderedPageBreak/>
              <w:t>15/09/2012</w:t>
            </w:r>
          </w:p>
        </w:tc>
        <w:tc>
          <w:tcPr>
            <w:tcW w:w="825"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V.C.A. - 31/08 a 15/09</w:t>
            </w:r>
          </w:p>
        </w:tc>
        <w:tc>
          <w:tcPr>
            <w:tcW w:w="400"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1,20</w:t>
            </w:r>
          </w:p>
        </w:tc>
        <w:tc>
          <w:tcPr>
            <w:tcW w:w="355"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tc>
        <w:tc>
          <w:tcPr>
            <w:tcW w:w="393"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tc>
        <w:tc>
          <w:tcPr>
            <w:tcW w:w="495"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tc>
        <w:tc>
          <w:tcPr>
            <w:tcW w:w="409"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tc>
        <w:tc>
          <w:tcPr>
            <w:tcW w:w="351"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18.000,00</w:t>
            </w:r>
          </w:p>
        </w:tc>
        <w:tc>
          <w:tcPr>
            <w:tcW w:w="402"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tc>
        <w:tc>
          <w:tcPr>
            <w:tcW w:w="414"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108.000,00</w:t>
            </w:r>
          </w:p>
        </w:tc>
        <w:tc>
          <w:tcPr>
            <w:tcW w:w="395"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90.000,00</w:t>
            </w:r>
          </w:p>
        </w:tc>
      </w:tr>
      <w:tr w:rsidR="00F93F76" w:rsidRPr="00FA3856" w:rsidTr="00F93F76">
        <w:trPr>
          <w:tblCellSpacing w:w="7" w:type="dxa"/>
        </w:trPr>
        <w:tc>
          <w:tcPr>
            <w:tcW w:w="491"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15/09/2012</w:t>
            </w:r>
          </w:p>
        </w:tc>
        <w:tc>
          <w:tcPr>
            <w:tcW w:w="825"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Liquidação Parcial</w:t>
            </w:r>
          </w:p>
        </w:tc>
        <w:tc>
          <w:tcPr>
            <w:tcW w:w="400"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1,20</w:t>
            </w:r>
          </w:p>
        </w:tc>
        <w:tc>
          <w:tcPr>
            <w:tcW w:w="355"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45.000,00</w:t>
            </w:r>
          </w:p>
        </w:tc>
        <w:tc>
          <w:tcPr>
            <w:tcW w:w="393"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54.000,00</w:t>
            </w:r>
          </w:p>
        </w:tc>
        <w:tc>
          <w:tcPr>
            <w:tcW w:w="495"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tc>
        <w:tc>
          <w:tcPr>
            <w:tcW w:w="409"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22.500,00</w:t>
            </w:r>
            <w:r w:rsidRPr="00FA3856">
              <w:rPr>
                <w:rFonts w:ascii="Times New Roman" w:hAnsi="Times New Roman" w:cs="Times New Roman"/>
                <w:szCs w:val="20"/>
              </w:rPr>
              <w:br/>
              <w:t>(3)</w:t>
            </w:r>
          </w:p>
        </w:tc>
        <w:tc>
          <w:tcPr>
            <w:tcW w:w="351"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tc>
        <w:tc>
          <w:tcPr>
            <w:tcW w:w="402"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tc>
        <w:tc>
          <w:tcPr>
            <w:tcW w:w="414"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54.000,00</w:t>
            </w:r>
          </w:p>
        </w:tc>
        <w:tc>
          <w:tcPr>
            <w:tcW w:w="395"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45.000,00</w:t>
            </w:r>
          </w:p>
        </w:tc>
      </w:tr>
      <w:tr w:rsidR="00F93F76" w:rsidRPr="00FA3856" w:rsidTr="00F93F76">
        <w:trPr>
          <w:tblCellSpacing w:w="7" w:type="dxa"/>
        </w:trPr>
        <w:tc>
          <w:tcPr>
            <w:tcW w:w="491"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30/09/2012</w:t>
            </w:r>
          </w:p>
        </w:tc>
        <w:tc>
          <w:tcPr>
            <w:tcW w:w="825"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V.C.P. - 15/09 a 31/09</w:t>
            </w:r>
          </w:p>
        </w:tc>
        <w:tc>
          <w:tcPr>
            <w:tcW w:w="400"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1,15</w:t>
            </w:r>
          </w:p>
        </w:tc>
        <w:tc>
          <w:tcPr>
            <w:tcW w:w="355"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tc>
        <w:tc>
          <w:tcPr>
            <w:tcW w:w="393"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tc>
        <w:tc>
          <w:tcPr>
            <w:tcW w:w="495"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tc>
        <w:tc>
          <w:tcPr>
            <w:tcW w:w="409"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tc>
        <w:tc>
          <w:tcPr>
            <w:tcW w:w="351"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tc>
        <w:tc>
          <w:tcPr>
            <w:tcW w:w="402"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2.250,00</w:t>
            </w:r>
          </w:p>
        </w:tc>
        <w:tc>
          <w:tcPr>
            <w:tcW w:w="414"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51.750,00</w:t>
            </w:r>
          </w:p>
        </w:tc>
        <w:tc>
          <w:tcPr>
            <w:tcW w:w="395"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45.000,00</w:t>
            </w:r>
          </w:p>
        </w:tc>
      </w:tr>
      <w:tr w:rsidR="00F93F76" w:rsidRPr="00FA3856" w:rsidTr="00F93F76">
        <w:trPr>
          <w:tblCellSpacing w:w="7" w:type="dxa"/>
        </w:trPr>
        <w:tc>
          <w:tcPr>
            <w:tcW w:w="491"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30/09/2012</w:t>
            </w:r>
          </w:p>
        </w:tc>
        <w:tc>
          <w:tcPr>
            <w:tcW w:w="825"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Liquidação Parcial</w:t>
            </w:r>
          </w:p>
        </w:tc>
        <w:tc>
          <w:tcPr>
            <w:tcW w:w="400"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1,15</w:t>
            </w:r>
          </w:p>
        </w:tc>
        <w:tc>
          <w:tcPr>
            <w:tcW w:w="355"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45.000,00</w:t>
            </w:r>
          </w:p>
        </w:tc>
        <w:tc>
          <w:tcPr>
            <w:tcW w:w="393"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51.750,00</w:t>
            </w:r>
          </w:p>
        </w:tc>
        <w:tc>
          <w:tcPr>
            <w:tcW w:w="495"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tc>
        <w:tc>
          <w:tcPr>
            <w:tcW w:w="409"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24.750,00 (4)</w:t>
            </w:r>
          </w:p>
        </w:tc>
        <w:tc>
          <w:tcPr>
            <w:tcW w:w="351"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tc>
        <w:tc>
          <w:tcPr>
            <w:tcW w:w="402"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tc>
        <w:tc>
          <w:tcPr>
            <w:tcW w:w="414"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0,00</w:t>
            </w:r>
          </w:p>
        </w:tc>
        <w:tc>
          <w:tcPr>
            <w:tcW w:w="395"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0,00</w:t>
            </w:r>
          </w:p>
        </w:tc>
      </w:tr>
      <w:tr w:rsidR="00F93F76" w:rsidRPr="00FA3856" w:rsidTr="00F93F76">
        <w:trPr>
          <w:tblCellSpacing w:w="7" w:type="dxa"/>
        </w:trPr>
        <w:tc>
          <w:tcPr>
            <w:tcW w:w="491"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3</w:t>
            </w:r>
            <w:r w:rsidRPr="00FA3856">
              <w:rPr>
                <w:rFonts w:ascii="Times New Roman" w:hAnsi="Times New Roman" w:cs="Times New Roman"/>
                <w:strike/>
                <w:szCs w:val="20"/>
              </w:rPr>
              <w:t>º</w:t>
            </w:r>
            <w:r w:rsidRPr="00FA3856">
              <w:rPr>
                <w:rFonts w:ascii="Times New Roman" w:hAnsi="Times New Roman" w:cs="Times New Roman"/>
                <w:szCs w:val="20"/>
              </w:rPr>
              <w:t xml:space="preserve"> Trim/2012</w:t>
            </w:r>
          </w:p>
        </w:tc>
        <w:tc>
          <w:tcPr>
            <w:tcW w:w="825"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Total</w:t>
            </w:r>
          </w:p>
        </w:tc>
        <w:tc>
          <w:tcPr>
            <w:tcW w:w="400"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center"/>
              <w:rPr>
                <w:rFonts w:ascii="Times New Roman" w:hAnsi="Times New Roman" w:cs="Times New Roman"/>
                <w:szCs w:val="20"/>
              </w:rPr>
            </w:pPr>
          </w:p>
        </w:tc>
        <w:tc>
          <w:tcPr>
            <w:tcW w:w="355"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tc>
        <w:tc>
          <w:tcPr>
            <w:tcW w:w="393"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tc>
        <w:tc>
          <w:tcPr>
            <w:tcW w:w="495"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tc>
        <w:tc>
          <w:tcPr>
            <w:tcW w:w="409"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47.250,00</w:t>
            </w:r>
          </w:p>
        </w:tc>
        <w:tc>
          <w:tcPr>
            <w:tcW w:w="351"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18.000,00</w:t>
            </w:r>
          </w:p>
        </w:tc>
        <w:tc>
          <w:tcPr>
            <w:tcW w:w="402"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92.250,00</w:t>
            </w:r>
          </w:p>
        </w:tc>
        <w:tc>
          <w:tcPr>
            <w:tcW w:w="414"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tc>
        <w:tc>
          <w:tcPr>
            <w:tcW w:w="395" w:type="pct"/>
            <w:tcBorders>
              <w:top w:val="outset" w:sz="6" w:space="0" w:color="auto"/>
              <w:left w:val="outset" w:sz="6" w:space="0" w:color="auto"/>
              <w:bottom w:val="outset" w:sz="6" w:space="0" w:color="auto"/>
              <w:right w:val="outset" w:sz="6" w:space="0" w:color="auto"/>
            </w:tcBorders>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tc>
      </w:tr>
    </w:tbl>
    <w:p w:rsidR="00847484" w:rsidRPr="00FA3856" w:rsidRDefault="00F93F76" w:rsidP="00A36A8B">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br w:type="textWrapping" w:clear="all"/>
      </w:r>
      <w:r w:rsidR="00847484" w:rsidRPr="00FA3856">
        <w:rPr>
          <w:rFonts w:ascii="Times New Roman" w:hAnsi="Times New Roman" w:cs="Times New Roman"/>
          <w:szCs w:val="20"/>
        </w:rPr>
        <w:t> </w:t>
      </w:r>
    </w:p>
    <w:p w:rsidR="00847484" w:rsidRPr="00FA3856" w:rsidRDefault="00847484" w:rsidP="00A36A8B">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(1) Variação cambial ativa liquidada em 28 de fevereiro de 2013</w:t>
      </w:r>
    </w:p>
    <w:p w:rsidR="00847484" w:rsidRPr="00FA3856" w:rsidRDefault="00847484" w:rsidP="00A36A8B">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(Cotação em 28/02/2013 - Cotação em 31/12/2012) x Principal liquidado em dólares</w:t>
      </w:r>
    </w:p>
    <w:p w:rsidR="00847484" w:rsidRPr="00FA3856" w:rsidRDefault="00847484" w:rsidP="00A36A8B">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(R$ 1,75 - R$ 1,70) x US$ 20.000,00</w:t>
      </w:r>
    </w:p>
    <w:p w:rsidR="00847484" w:rsidRPr="00FA3856" w:rsidRDefault="00847484" w:rsidP="00A36A8B">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R$ 1.000,00</w:t>
      </w:r>
    </w:p>
    <w:p w:rsidR="00F93F76" w:rsidRPr="00FA3856" w:rsidRDefault="00F93F76" w:rsidP="00A36A8B">
      <w:pPr>
        <w:pStyle w:val="NormalWeb"/>
        <w:spacing w:before="0" w:after="0"/>
        <w:jc w:val="both"/>
        <w:rPr>
          <w:rFonts w:ascii="Times New Roman" w:hAnsi="Times New Roman" w:cs="Times New Roman"/>
          <w:szCs w:val="20"/>
        </w:rPr>
      </w:pPr>
    </w:p>
    <w:p w:rsidR="00847484" w:rsidRPr="00FA3856" w:rsidRDefault="00847484" w:rsidP="00A36A8B">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(2) Variação cambial ativa liquidada em 30 de abril de 2013= (Cotação em 30/04/2013 - Cotação em 31/12/2012) x Principal liquidado em dólares</w:t>
      </w:r>
    </w:p>
    <w:p w:rsidR="00847484" w:rsidRPr="00FA3856" w:rsidRDefault="00847484" w:rsidP="00A36A8B">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(R$ 1,90 - R$ 1,70) x US$ 90.000,00</w:t>
      </w:r>
    </w:p>
    <w:p w:rsidR="00847484" w:rsidRPr="00FA3856" w:rsidRDefault="00847484" w:rsidP="00A36A8B">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R$ 18.000,00</w:t>
      </w:r>
    </w:p>
    <w:p w:rsidR="00F93F76" w:rsidRPr="00FA3856" w:rsidRDefault="00F93F76" w:rsidP="00A36A8B">
      <w:pPr>
        <w:pStyle w:val="NormalWeb"/>
        <w:spacing w:before="0" w:after="0"/>
        <w:jc w:val="both"/>
        <w:rPr>
          <w:rFonts w:ascii="Times New Roman" w:hAnsi="Times New Roman" w:cs="Times New Roman"/>
          <w:szCs w:val="20"/>
        </w:rPr>
      </w:pPr>
    </w:p>
    <w:p w:rsidR="00847484" w:rsidRPr="00FA3856" w:rsidRDefault="00847484" w:rsidP="00A36A8B">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(3) Variação cambial passiva liquidada em 15 de setembro de 2013</w:t>
      </w:r>
    </w:p>
    <w:p w:rsidR="00847484" w:rsidRPr="00FA3856" w:rsidRDefault="00847484" w:rsidP="00A36A8B">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(Cotação em 15/09/2013 - Cotação em 31/12/2012) x Principal liquidado em dólares</w:t>
      </w:r>
    </w:p>
    <w:p w:rsidR="00847484" w:rsidRPr="00FA3856" w:rsidRDefault="00847484" w:rsidP="00A36A8B">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(R$ 1,20 - R$ 1,70) x US$ 45.000,00</w:t>
      </w:r>
    </w:p>
    <w:p w:rsidR="00847484" w:rsidRPr="00FA3856" w:rsidRDefault="00847484" w:rsidP="00A36A8B">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R$ 22.500,00</w:t>
      </w:r>
    </w:p>
    <w:p w:rsidR="00847484" w:rsidRPr="00FA3856" w:rsidRDefault="00847484" w:rsidP="00A36A8B">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Obs.: como a cotação do dólar em 15/09/2012 era menor que a cotação do dólar em 31/12/2011, o valor apurado deve ser considerado como variação cambial passiva liquidada.</w:t>
      </w:r>
    </w:p>
    <w:p w:rsidR="00F93F76" w:rsidRPr="00FA3856" w:rsidRDefault="00F93F76" w:rsidP="00A36A8B">
      <w:pPr>
        <w:pStyle w:val="NormalWeb"/>
        <w:spacing w:before="0" w:after="0"/>
        <w:jc w:val="both"/>
        <w:rPr>
          <w:rFonts w:ascii="Times New Roman" w:hAnsi="Times New Roman" w:cs="Times New Roman"/>
          <w:szCs w:val="20"/>
        </w:rPr>
      </w:pPr>
    </w:p>
    <w:p w:rsidR="00847484" w:rsidRPr="00FA3856" w:rsidRDefault="00847484" w:rsidP="00A36A8B">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(4) Variação cambial passiva liquidada em 30 de setembro de 2012</w:t>
      </w:r>
    </w:p>
    <w:p w:rsidR="00847484" w:rsidRPr="00FA3856" w:rsidRDefault="00847484" w:rsidP="00A36A8B">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(Cotação em 30/09/2012 - Cotação em 31/12/2011) x Principal liquidado em dólares</w:t>
      </w:r>
    </w:p>
    <w:p w:rsidR="00847484" w:rsidRPr="00FA3856" w:rsidRDefault="00847484" w:rsidP="00A36A8B">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(R$ 1,15 - R$ 1,70) x US$ 45.000,00</w:t>
      </w:r>
    </w:p>
    <w:p w:rsidR="00847484" w:rsidRPr="00FA3856" w:rsidRDefault="00847484" w:rsidP="00A36A8B">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R$ 24.750,00</w:t>
      </w:r>
    </w:p>
    <w:p w:rsidR="00F93F76" w:rsidRPr="00FA3856" w:rsidRDefault="00F93F76" w:rsidP="00A36A8B">
      <w:pPr>
        <w:pStyle w:val="NormalWeb"/>
        <w:spacing w:before="0" w:after="0"/>
        <w:jc w:val="both"/>
        <w:rPr>
          <w:rFonts w:ascii="Times New Roman" w:hAnsi="Times New Roman" w:cs="Times New Roman"/>
          <w:szCs w:val="20"/>
        </w:rPr>
      </w:pPr>
    </w:p>
    <w:p w:rsidR="00847484" w:rsidRPr="00FA3856" w:rsidRDefault="00847484" w:rsidP="00A36A8B">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Obs.: como a cotação do dólar em 30/09/2012 era menor que a cotação do dólar em 31/12/2011, o valor apurado deve ser considerado como variação cambial passiva liquidada.</w:t>
      </w:r>
    </w:p>
    <w:p w:rsidR="00847484" w:rsidRPr="00FA3856" w:rsidRDefault="00847484" w:rsidP="00A36A8B">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p w:rsidR="00F93F76" w:rsidRPr="00FA3856" w:rsidRDefault="00F93F76">
      <w:pPr>
        <w:spacing w:after="200" w:line="276" w:lineRule="auto"/>
        <w:rPr>
          <w:rFonts w:eastAsia="Arial Unicode MS"/>
          <w:b/>
          <w:bCs/>
          <w:szCs w:val="20"/>
          <w:lang w:eastAsia="ar-SA"/>
        </w:rPr>
      </w:pPr>
      <w:r w:rsidRPr="00FA3856">
        <w:rPr>
          <w:b/>
          <w:bCs/>
          <w:szCs w:val="20"/>
        </w:rPr>
        <w:br w:type="page"/>
      </w:r>
    </w:p>
    <w:p w:rsidR="00847484" w:rsidRPr="00FA3856" w:rsidRDefault="001A6818" w:rsidP="00A36A8B">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lastRenderedPageBreak/>
        <w:t xml:space="preserve">VII) </w:t>
      </w:r>
      <w:r w:rsidR="00847484" w:rsidRPr="00FA3856">
        <w:rPr>
          <w:rFonts w:ascii="Times New Roman" w:hAnsi="Times New Roman" w:cs="Times New Roman"/>
          <w:b/>
          <w:bCs/>
          <w:szCs w:val="20"/>
        </w:rPr>
        <w:t>Do Imposto de Renda</w:t>
      </w:r>
    </w:p>
    <w:p w:rsidR="00847484" w:rsidRPr="00FA3856" w:rsidRDefault="00847484" w:rsidP="00A36A8B">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p w:rsidR="00847484" w:rsidRPr="00FA3856" w:rsidRDefault="001A6818" w:rsidP="00A36A8B">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t xml:space="preserve">VII.1) </w:t>
      </w:r>
      <w:r w:rsidR="00847484" w:rsidRPr="00FA3856">
        <w:rPr>
          <w:rFonts w:ascii="Times New Roman" w:hAnsi="Times New Roman" w:cs="Times New Roman"/>
          <w:b/>
          <w:bCs/>
          <w:szCs w:val="20"/>
        </w:rPr>
        <w:t>Do Lucro Real</w:t>
      </w:r>
    </w:p>
    <w:p w:rsidR="00F93F76" w:rsidRPr="00FA3856" w:rsidRDefault="00F93F76" w:rsidP="00A36A8B">
      <w:pPr>
        <w:pStyle w:val="NormalWeb"/>
        <w:spacing w:before="0" w:after="0"/>
        <w:jc w:val="both"/>
        <w:rPr>
          <w:rFonts w:ascii="Times New Roman" w:hAnsi="Times New Roman" w:cs="Times New Roman"/>
          <w:szCs w:val="20"/>
        </w:rPr>
      </w:pPr>
    </w:p>
    <w:p w:rsidR="00847484" w:rsidRPr="00FA3856" w:rsidRDefault="00847484" w:rsidP="00F93F76">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 xml:space="preserve">A pessoa jurídica tributada com base no lucro real trimestral deve demonstrar o reconhecimento das variações cambiais na </w:t>
      </w:r>
      <w:r w:rsidR="00553BFA" w:rsidRPr="00FA3856">
        <w:rPr>
          <w:rFonts w:ascii="Times New Roman" w:hAnsi="Times New Roman" w:cs="Times New Roman"/>
          <w:szCs w:val="20"/>
        </w:rPr>
        <w:t>ECF</w:t>
      </w:r>
      <w:r w:rsidRPr="00FA3856">
        <w:rPr>
          <w:rFonts w:ascii="Times New Roman" w:hAnsi="Times New Roman" w:cs="Times New Roman"/>
          <w:szCs w:val="20"/>
        </w:rPr>
        <w:t xml:space="preserve"> conforme o disposto a seguir. Procedimento similar deve ser adotado pelas pessoas jurídicas que apuram o imposto de renda anualmente.</w:t>
      </w:r>
    </w:p>
    <w:p w:rsidR="00F93F76" w:rsidRPr="00FA3856" w:rsidRDefault="00F93F76" w:rsidP="00A36A8B">
      <w:pPr>
        <w:pStyle w:val="NormalWeb"/>
        <w:spacing w:before="0" w:after="0"/>
        <w:jc w:val="both"/>
        <w:rPr>
          <w:rFonts w:ascii="Times New Roman" w:hAnsi="Times New Roman" w:cs="Times New Roman"/>
          <w:szCs w:val="20"/>
        </w:rPr>
      </w:pPr>
    </w:p>
    <w:p w:rsidR="00847484" w:rsidRPr="00FA3856" w:rsidRDefault="00847484" w:rsidP="00A36A8B">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w:t>
      </w:r>
      <w:r w:rsidRPr="00FA3856">
        <w:rPr>
          <w:rFonts w:ascii="Times New Roman" w:hAnsi="Times New Roman" w:cs="Times New Roman"/>
          <w:b/>
          <w:bCs/>
          <w:szCs w:val="20"/>
        </w:rPr>
        <w:t>Demonstração do Resultado</w:t>
      </w:r>
      <w:r w:rsidRPr="00FA3856">
        <w:rPr>
          <w:rFonts w:ascii="Times New Roman" w:hAnsi="Times New Roman" w:cs="Times New Roman"/>
          <w:szCs w:val="20"/>
        </w:rPr>
        <w:t xml:space="preserve"> - PJ em Geral" </w:t>
      </w:r>
    </w:p>
    <w:tbl>
      <w:tblPr>
        <w:tblW w:w="8775"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87"/>
        <w:gridCol w:w="1316"/>
        <w:gridCol w:w="1580"/>
        <w:gridCol w:w="1492"/>
      </w:tblGrid>
      <w:tr w:rsidR="00847484" w:rsidRPr="00FA3856" w:rsidTr="00F93F76">
        <w:trPr>
          <w:trHeight w:val="20"/>
          <w:tblCellSpacing w:w="0" w:type="dxa"/>
          <w:jc w:val="center"/>
        </w:trPr>
        <w:tc>
          <w:tcPr>
            <w:tcW w:w="2500" w:type="pct"/>
            <w:vAlign w:val="center"/>
            <w:hideMark/>
          </w:tcPr>
          <w:p w:rsidR="00847484" w:rsidRPr="00FA3856" w:rsidRDefault="00847484" w:rsidP="00F93F76">
            <w:pPr>
              <w:pStyle w:val="NormalWeb"/>
              <w:spacing w:before="0" w:after="0"/>
              <w:jc w:val="center"/>
              <w:rPr>
                <w:rFonts w:ascii="Times New Roman" w:hAnsi="Times New Roman" w:cs="Times New Roman"/>
                <w:szCs w:val="20"/>
              </w:rPr>
            </w:pPr>
          </w:p>
        </w:tc>
        <w:tc>
          <w:tcPr>
            <w:tcW w:w="750" w:type="pct"/>
            <w:vAlign w:val="center"/>
            <w:hideMark/>
          </w:tcPr>
          <w:p w:rsidR="00847484" w:rsidRPr="00FA3856" w:rsidRDefault="00847484" w:rsidP="00F93F76">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1</w:t>
            </w:r>
            <w:r w:rsidRPr="00FA3856">
              <w:rPr>
                <w:rFonts w:ascii="Times New Roman" w:hAnsi="Times New Roman" w:cs="Times New Roman"/>
                <w:strike/>
                <w:szCs w:val="20"/>
              </w:rPr>
              <w:t>º</w:t>
            </w:r>
            <w:r w:rsidRPr="00FA3856">
              <w:rPr>
                <w:rFonts w:ascii="Times New Roman" w:hAnsi="Times New Roman" w:cs="Times New Roman"/>
                <w:szCs w:val="20"/>
              </w:rPr>
              <w:t xml:space="preserve"> Trim</w:t>
            </w:r>
          </w:p>
        </w:tc>
        <w:tc>
          <w:tcPr>
            <w:tcW w:w="900" w:type="pct"/>
            <w:vAlign w:val="center"/>
            <w:hideMark/>
          </w:tcPr>
          <w:p w:rsidR="00847484" w:rsidRPr="00FA3856" w:rsidRDefault="00847484" w:rsidP="00F93F76">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2</w:t>
            </w:r>
            <w:r w:rsidRPr="00FA3856">
              <w:rPr>
                <w:rFonts w:ascii="Times New Roman" w:hAnsi="Times New Roman" w:cs="Times New Roman"/>
                <w:strike/>
                <w:szCs w:val="20"/>
              </w:rPr>
              <w:t>º</w:t>
            </w:r>
            <w:r w:rsidRPr="00FA3856">
              <w:rPr>
                <w:rFonts w:ascii="Times New Roman" w:hAnsi="Times New Roman" w:cs="Times New Roman"/>
                <w:szCs w:val="20"/>
              </w:rPr>
              <w:t xml:space="preserve"> Trim</w:t>
            </w:r>
          </w:p>
        </w:tc>
        <w:tc>
          <w:tcPr>
            <w:tcW w:w="850" w:type="pct"/>
            <w:vAlign w:val="center"/>
            <w:hideMark/>
          </w:tcPr>
          <w:p w:rsidR="00847484" w:rsidRPr="00FA3856" w:rsidRDefault="00847484" w:rsidP="00F93F76">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3</w:t>
            </w:r>
            <w:r w:rsidRPr="00FA3856">
              <w:rPr>
                <w:rFonts w:ascii="Times New Roman" w:hAnsi="Times New Roman" w:cs="Times New Roman"/>
                <w:strike/>
                <w:szCs w:val="20"/>
              </w:rPr>
              <w:t>º</w:t>
            </w:r>
            <w:r w:rsidRPr="00FA3856">
              <w:rPr>
                <w:rFonts w:ascii="Times New Roman" w:hAnsi="Times New Roman" w:cs="Times New Roman"/>
                <w:szCs w:val="20"/>
              </w:rPr>
              <w:t xml:space="preserve"> Trim</w:t>
            </w:r>
          </w:p>
        </w:tc>
      </w:tr>
      <w:tr w:rsidR="00847484" w:rsidRPr="00FA3856" w:rsidTr="00F93F76">
        <w:trPr>
          <w:trHeight w:val="20"/>
          <w:tblCellSpacing w:w="0" w:type="dxa"/>
          <w:jc w:val="center"/>
        </w:trPr>
        <w:tc>
          <w:tcPr>
            <w:tcW w:w="2500" w:type="pct"/>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Lucro Bruto</w:t>
            </w:r>
          </w:p>
        </w:tc>
        <w:tc>
          <w:tcPr>
            <w:tcW w:w="750" w:type="pct"/>
            <w:vAlign w:val="center"/>
            <w:hideMark/>
          </w:tcPr>
          <w:p w:rsidR="00847484" w:rsidRPr="00FA3856" w:rsidRDefault="00847484" w:rsidP="00F93F76">
            <w:pPr>
              <w:pStyle w:val="NormalWeb"/>
              <w:spacing w:before="0" w:after="0"/>
              <w:jc w:val="right"/>
              <w:rPr>
                <w:rFonts w:ascii="Times New Roman" w:hAnsi="Times New Roman" w:cs="Times New Roman"/>
                <w:szCs w:val="20"/>
              </w:rPr>
            </w:pPr>
            <w:r w:rsidRPr="00FA3856">
              <w:rPr>
                <w:rFonts w:ascii="Times New Roman" w:hAnsi="Times New Roman" w:cs="Times New Roman"/>
                <w:szCs w:val="20"/>
              </w:rPr>
              <w:t>100.000,00</w:t>
            </w:r>
          </w:p>
        </w:tc>
        <w:tc>
          <w:tcPr>
            <w:tcW w:w="900" w:type="pct"/>
            <w:vAlign w:val="center"/>
            <w:hideMark/>
          </w:tcPr>
          <w:p w:rsidR="00847484" w:rsidRPr="00FA3856" w:rsidRDefault="00847484" w:rsidP="00F93F76">
            <w:pPr>
              <w:pStyle w:val="NormalWeb"/>
              <w:spacing w:before="0" w:after="0"/>
              <w:jc w:val="right"/>
              <w:rPr>
                <w:rFonts w:ascii="Times New Roman" w:hAnsi="Times New Roman" w:cs="Times New Roman"/>
                <w:szCs w:val="20"/>
              </w:rPr>
            </w:pPr>
            <w:r w:rsidRPr="00FA3856">
              <w:rPr>
                <w:rFonts w:ascii="Times New Roman" w:hAnsi="Times New Roman" w:cs="Times New Roman"/>
                <w:szCs w:val="20"/>
              </w:rPr>
              <w:t>40.000,00</w:t>
            </w:r>
          </w:p>
        </w:tc>
        <w:tc>
          <w:tcPr>
            <w:tcW w:w="850" w:type="pct"/>
            <w:vAlign w:val="center"/>
            <w:hideMark/>
          </w:tcPr>
          <w:p w:rsidR="00847484" w:rsidRPr="00FA3856" w:rsidRDefault="00847484" w:rsidP="00F93F76">
            <w:pPr>
              <w:pStyle w:val="NormalWeb"/>
              <w:spacing w:before="0" w:after="0"/>
              <w:jc w:val="right"/>
              <w:rPr>
                <w:rFonts w:ascii="Times New Roman" w:hAnsi="Times New Roman" w:cs="Times New Roman"/>
                <w:szCs w:val="20"/>
              </w:rPr>
            </w:pPr>
            <w:r w:rsidRPr="00FA3856">
              <w:rPr>
                <w:rFonts w:ascii="Times New Roman" w:hAnsi="Times New Roman" w:cs="Times New Roman"/>
                <w:szCs w:val="20"/>
              </w:rPr>
              <w:t>60.000,00</w:t>
            </w:r>
          </w:p>
        </w:tc>
      </w:tr>
      <w:tr w:rsidR="00847484" w:rsidRPr="00FA3856" w:rsidTr="00F93F76">
        <w:trPr>
          <w:trHeight w:val="20"/>
          <w:tblCellSpacing w:w="0" w:type="dxa"/>
          <w:jc w:val="center"/>
        </w:trPr>
        <w:tc>
          <w:tcPr>
            <w:tcW w:w="2500" w:type="pct"/>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Variações Cambiais Ativas</w:t>
            </w:r>
          </w:p>
        </w:tc>
        <w:tc>
          <w:tcPr>
            <w:tcW w:w="750" w:type="pct"/>
            <w:vAlign w:val="center"/>
            <w:hideMark/>
          </w:tcPr>
          <w:p w:rsidR="00847484" w:rsidRPr="00FA3856" w:rsidRDefault="00847484" w:rsidP="00F93F76">
            <w:pPr>
              <w:pStyle w:val="NormalWeb"/>
              <w:spacing w:before="0" w:after="0"/>
              <w:jc w:val="right"/>
              <w:rPr>
                <w:rFonts w:ascii="Times New Roman" w:hAnsi="Times New Roman" w:cs="Times New Roman"/>
                <w:szCs w:val="20"/>
              </w:rPr>
            </w:pPr>
            <w:r w:rsidRPr="00FA3856">
              <w:rPr>
                <w:rFonts w:ascii="Times New Roman" w:hAnsi="Times New Roman" w:cs="Times New Roman"/>
                <w:szCs w:val="20"/>
              </w:rPr>
              <w:t>19.000,00</w:t>
            </w:r>
          </w:p>
        </w:tc>
        <w:tc>
          <w:tcPr>
            <w:tcW w:w="900" w:type="pct"/>
            <w:vAlign w:val="center"/>
            <w:hideMark/>
          </w:tcPr>
          <w:p w:rsidR="00847484" w:rsidRPr="00FA3856" w:rsidRDefault="00847484" w:rsidP="00F93F76">
            <w:pPr>
              <w:pStyle w:val="NormalWeb"/>
              <w:spacing w:before="0" w:after="0"/>
              <w:jc w:val="right"/>
              <w:rPr>
                <w:rFonts w:ascii="Times New Roman" w:hAnsi="Times New Roman" w:cs="Times New Roman"/>
                <w:szCs w:val="20"/>
              </w:rPr>
            </w:pPr>
            <w:r w:rsidRPr="00FA3856">
              <w:rPr>
                <w:rFonts w:ascii="Times New Roman" w:hAnsi="Times New Roman" w:cs="Times New Roman"/>
                <w:szCs w:val="20"/>
              </w:rPr>
              <w:t>27.000,00</w:t>
            </w:r>
          </w:p>
        </w:tc>
        <w:tc>
          <w:tcPr>
            <w:tcW w:w="850" w:type="pct"/>
            <w:vAlign w:val="center"/>
            <w:hideMark/>
          </w:tcPr>
          <w:p w:rsidR="00847484" w:rsidRPr="00FA3856" w:rsidRDefault="00847484" w:rsidP="00F93F76">
            <w:pPr>
              <w:pStyle w:val="NormalWeb"/>
              <w:spacing w:before="0" w:after="0"/>
              <w:jc w:val="right"/>
              <w:rPr>
                <w:rFonts w:ascii="Times New Roman" w:hAnsi="Times New Roman" w:cs="Times New Roman"/>
                <w:szCs w:val="20"/>
              </w:rPr>
            </w:pPr>
            <w:r w:rsidRPr="00FA3856">
              <w:rPr>
                <w:rFonts w:ascii="Times New Roman" w:hAnsi="Times New Roman" w:cs="Times New Roman"/>
                <w:szCs w:val="20"/>
              </w:rPr>
              <w:t>18.000,00</w:t>
            </w:r>
          </w:p>
        </w:tc>
      </w:tr>
      <w:tr w:rsidR="00847484" w:rsidRPr="00FA3856" w:rsidTr="00F93F76">
        <w:trPr>
          <w:trHeight w:val="20"/>
          <w:tblCellSpacing w:w="0" w:type="dxa"/>
          <w:jc w:val="center"/>
        </w:trPr>
        <w:tc>
          <w:tcPr>
            <w:tcW w:w="2500" w:type="pct"/>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Outras Receitas Financeiras</w:t>
            </w:r>
          </w:p>
        </w:tc>
        <w:tc>
          <w:tcPr>
            <w:tcW w:w="750" w:type="pct"/>
            <w:vAlign w:val="center"/>
            <w:hideMark/>
          </w:tcPr>
          <w:p w:rsidR="00847484" w:rsidRPr="00FA3856" w:rsidRDefault="00847484" w:rsidP="00F93F76">
            <w:pPr>
              <w:pStyle w:val="NormalWeb"/>
              <w:spacing w:before="0" w:after="0"/>
              <w:jc w:val="right"/>
              <w:rPr>
                <w:rFonts w:ascii="Times New Roman" w:hAnsi="Times New Roman" w:cs="Times New Roman"/>
                <w:szCs w:val="20"/>
              </w:rPr>
            </w:pPr>
            <w:r w:rsidRPr="00FA3856">
              <w:rPr>
                <w:rFonts w:ascii="Times New Roman" w:hAnsi="Times New Roman" w:cs="Times New Roman"/>
                <w:szCs w:val="20"/>
              </w:rPr>
              <w:t>3.000,00</w:t>
            </w:r>
          </w:p>
        </w:tc>
        <w:tc>
          <w:tcPr>
            <w:tcW w:w="900" w:type="pct"/>
            <w:vAlign w:val="center"/>
            <w:hideMark/>
          </w:tcPr>
          <w:p w:rsidR="00847484" w:rsidRPr="00FA3856" w:rsidRDefault="00847484" w:rsidP="00F93F76">
            <w:pPr>
              <w:pStyle w:val="NormalWeb"/>
              <w:spacing w:before="0" w:after="0"/>
              <w:jc w:val="right"/>
              <w:rPr>
                <w:rFonts w:ascii="Times New Roman" w:hAnsi="Times New Roman" w:cs="Times New Roman"/>
                <w:szCs w:val="20"/>
              </w:rPr>
            </w:pPr>
            <w:r w:rsidRPr="00FA3856">
              <w:rPr>
                <w:rFonts w:ascii="Times New Roman" w:hAnsi="Times New Roman" w:cs="Times New Roman"/>
                <w:szCs w:val="20"/>
              </w:rPr>
              <w:t>1.000,00</w:t>
            </w:r>
          </w:p>
        </w:tc>
        <w:tc>
          <w:tcPr>
            <w:tcW w:w="850" w:type="pct"/>
            <w:vAlign w:val="center"/>
            <w:hideMark/>
          </w:tcPr>
          <w:p w:rsidR="00847484" w:rsidRPr="00FA3856" w:rsidRDefault="00847484" w:rsidP="00F93F76">
            <w:pPr>
              <w:pStyle w:val="NormalWeb"/>
              <w:spacing w:before="0" w:after="0"/>
              <w:jc w:val="right"/>
              <w:rPr>
                <w:rFonts w:ascii="Times New Roman" w:hAnsi="Times New Roman" w:cs="Times New Roman"/>
                <w:szCs w:val="20"/>
              </w:rPr>
            </w:pPr>
            <w:r w:rsidRPr="00FA3856">
              <w:rPr>
                <w:rFonts w:ascii="Times New Roman" w:hAnsi="Times New Roman" w:cs="Times New Roman"/>
                <w:szCs w:val="20"/>
              </w:rPr>
              <w:t>4.000,00</w:t>
            </w:r>
          </w:p>
        </w:tc>
      </w:tr>
      <w:tr w:rsidR="00847484" w:rsidRPr="00FA3856" w:rsidTr="00F93F76">
        <w:trPr>
          <w:trHeight w:val="20"/>
          <w:tblCellSpacing w:w="0" w:type="dxa"/>
          <w:jc w:val="center"/>
        </w:trPr>
        <w:tc>
          <w:tcPr>
            <w:tcW w:w="2500" w:type="pct"/>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(-)Variações Cambias Passivas</w:t>
            </w:r>
          </w:p>
        </w:tc>
        <w:tc>
          <w:tcPr>
            <w:tcW w:w="750" w:type="pct"/>
            <w:vAlign w:val="center"/>
            <w:hideMark/>
          </w:tcPr>
          <w:p w:rsidR="00847484" w:rsidRPr="00FA3856" w:rsidRDefault="00847484" w:rsidP="00F93F76">
            <w:pPr>
              <w:pStyle w:val="NormalWeb"/>
              <w:spacing w:before="0" w:after="0"/>
              <w:jc w:val="right"/>
              <w:rPr>
                <w:rFonts w:ascii="Times New Roman" w:hAnsi="Times New Roman" w:cs="Times New Roman"/>
                <w:szCs w:val="20"/>
              </w:rPr>
            </w:pPr>
            <w:r w:rsidRPr="00FA3856">
              <w:rPr>
                <w:rFonts w:ascii="Times New Roman" w:hAnsi="Times New Roman" w:cs="Times New Roman"/>
                <w:szCs w:val="20"/>
              </w:rPr>
              <w:t>0,00</w:t>
            </w:r>
          </w:p>
        </w:tc>
        <w:tc>
          <w:tcPr>
            <w:tcW w:w="900" w:type="pct"/>
            <w:vAlign w:val="center"/>
            <w:hideMark/>
          </w:tcPr>
          <w:p w:rsidR="00847484" w:rsidRPr="00FA3856" w:rsidRDefault="00847484" w:rsidP="00F93F76">
            <w:pPr>
              <w:pStyle w:val="NormalWeb"/>
              <w:spacing w:before="0" w:after="0"/>
              <w:jc w:val="right"/>
              <w:rPr>
                <w:rFonts w:ascii="Times New Roman" w:hAnsi="Times New Roman" w:cs="Times New Roman"/>
                <w:szCs w:val="20"/>
              </w:rPr>
            </w:pPr>
            <w:r w:rsidRPr="00FA3856">
              <w:rPr>
                <w:rFonts w:ascii="Times New Roman" w:hAnsi="Times New Roman" w:cs="Times New Roman"/>
                <w:szCs w:val="20"/>
              </w:rPr>
              <w:t>0,00</w:t>
            </w:r>
          </w:p>
        </w:tc>
        <w:tc>
          <w:tcPr>
            <w:tcW w:w="850" w:type="pct"/>
            <w:vAlign w:val="center"/>
            <w:hideMark/>
          </w:tcPr>
          <w:p w:rsidR="00847484" w:rsidRPr="00FA3856" w:rsidRDefault="00847484" w:rsidP="00F93F76">
            <w:pPr>
              <w:pStyle w:val="NormalWeb"/>
              <w:spacing w:before="0" w:after="0"/>
              <w:jc w:val="right"/>
              <w:rPr>
                <w:rFonts w:ascii="Times New Roman" w:hAnsi="Times New Roman" w:cs="Times New Roman"/>
                <w:szCs w:val="20"/>
              </w:rPr>
            </w:pPr>
            <w:r w:rsidRPr="00FA3856">
              <w:rPr>
                <w:rFonts w:ascii="Times New Roman" w:hAnsi="Times New Roman" w:cs="Times New Roman"/>
                <w:szCs w:val="20"/>
              </w:rPr>
              <w:t>-92.250,00</w:t>
            </w:r>
          </w:p>
        </w:tc>
      </w:tr>
      <w:tr w:rsidR="00847484" w:rsidRPr="00FA3856" w:rsidTr="00F93F76">
        <w:trPr>
          <w:trHeight w:val="20"/>
          <w:tblCellSpacing w:w="0" w:type="dxa"/>
          <w:jc w:val="center"/>
        </w:trPr>
        <w:tc>
          <w:tcPr>
            <w:tcW w:w="2500" w:type="pct"/>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(-)Outras Despesas Financeiras</w:t>
            </w:r>
          </w:p>
        </w:tc>
        <w:tc>
          <w:tcPr>
            <w:tcW w:w="750" w:type="pct"/>
            <w:vAlign w:val="center"/>
            <w:hideMark/>
          </w:tcPr>
          <w:p w:rsidR="00847484" w:rsidRPr="00FA3856" w:rsidRDefault="00847484" w:rsidP="00F93F76">
            <w:pPr>
              <w:pStyle w:val="NormalWeb"/>
              <w:spacing w:before="0" w:after="0"/>
              <w:jc w:val="right"/>
              <w:rPr>
                <w:rFonts w:ascii="Times New Roman" w:hAnsi="Times New Roman" w:cs="Times New Roman"/>
                <w:szCs w:val="20"/>
              </w:rPr>
            </w:pPr>
            <w:r w:rsidRPr="00FA3856">
              <w:rPr>
                <w:rFonts w:ascii="Times New Roman" w:hAnsi="Times New Roman" w:cs="Times New Roman"/>
                <w:szCs w:val="20"/>
              </w:rPr>
              <w:t>-1.000,00</w:t>
            </w:r>
          </w:p>
        </w:tc>
        <w:tc>
          <w:tcPr>
            <w:tcW w:w="900" w:type="pct"/>
            <w:vAlign w:val="center"/>
            <w:hideMark/>
          </w:tcPr>
          <w:p w:rsidR="00847484" w:rsidRPr="00FA3856" w:rsidRDefault="00847484" w:rsidP="00F93F76">
            <w:pPr>
              <w:pStyle w:val="NormalWeb"/>
              <w:spacing w:before="0" w:after="0"/>
              <w:jc w:val="right"/>
              <w:rPr>
                <w:rFonts w:ascii="Times New Roman" w:hAnsi="Times New Roman" w:cs="Times New Roman"/>
                <w:szCs w:val="20"/>
              </w:rPr>
            </w:pPr>
            <w:r w:rsidRPr="00FA3856">
              <w:rPr>
                <w:rFonts w:ascii="Times New Roman" w:hAnsi="Times New Roman" w:cs="Times New Roman"/>
                <w:szCs w:val="20"/>
              </w:rPr>
              <w:t>-5.000,00</w:t>
            </w:r>
          </w:p>
        </w:tc>
        <w:tc>
          <w:tcPr>
            <w:tcW w:w="850" w:type="pct"/>
            <w:vAlign w:val="center"/>
            <w:hideMark/>
          </w:tcPr>
          <w:p w:rsidR="00847484" w:rsidRPr="00FA3856" w:rsidRDefault="00847484" w:rsidP="00F93F76">
            <w:pPr>
              <w:pStyle w:val="NormalWeb"/>
              <w:spacing w:before="0" w:after="0"/>
              <w:jc w:val="right"/>
              <w:rPr>
                <w:rFonts w:ascii="Times New Roman" w:hAnsi="Times New Roman" w:cs="Times New Roman"/>
                <w:szCs w:val="20"/>
              </w:rPr>
            </w:pPr>
            <w:r w:rsidRPr="00FA3856">
              <w:rPr>
                <w:rFonts w:ascii="Times New Roman" w:hAnsi="Times New Roman" w:cs="Times New Roman"/>
                <w:szCs w:val="20"/>
              </w:rPr>
              <w:t>0,00</w:t>
            </w:r>
          </w:p>
        </w:tc>
      </w:tr>
      <w:tr w:rsidR="00847484" w:rsidRPr="00FA3856" w:rsidTr="00F93F76">
        <w:trPr>
          <w:trHeight w:val="20"/>
          <w:tblCellSpacing w:w="0" w:type="dxa"/>
          <w:jc w:val="center"/>
        </w:trPr>
        <w:tc>
          <w:tcPr>
            <w:tcW w:w="2500" w:type="pct"/>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xml:space="preserve">= </w:t>
            </w:r>
            <w:r w:rsidR="00F93F76" w:rsidRPr="00FA3856">
              <w:rPr>
                <w:rFonts w:ascii="Times New Roman" w:hAnsi="Times New Roman" w:cs="Times New Roman"/>
                <w:szCs w:val="20"/>
              </w:rPr>
              <w:t xml:space="preserve"> </w:t>
            </w:r>
            <w:r w:rsidRPr="00FA3856">
              <w:rPr>
                <w:rFonts w:ascii="Times New Roman" w:hAnsi="Times New Roman" w:cs="Times New Roman"/>
                <w:szCs w:val="20"/>
              </w:rPr>
              <w:t>Lucro Líquido antes da CSLL</w:t>
            </w:r>
          </w:p>
        </w:tc>
        <w:tc>
          <w:tcPr>
            <w:tcW w:w="750" w:type="pct"/>
            <w:vAlign w:val="center"/>
            <w:hideMark/>
          </w:tcPr>
          <w:p w:rsidR="00847484" w:rsidRPr="00FA3856" w:rsidRDefault="00847484" w:rsidP="00F93F76">
            <w:pPr>
              <w:pStyle w:val="NormalWeb"/>
              <w:spacing w:before="0" w:after="0"/>
              <w:jc w:val="right"/>
              <w:rPr>
                <w:rFonts w:ascii="Times New Roman" w:hAnsi="Times New Roman" w:cs="Times New Roman"/>
                <w:szCs w:val="20"/>
              </w:rPr>
            </w:pPr>
            <w:r w:rsidRPr="00FA3856">
              <w:rPr>
                <w:rFonts w:ascii="Times New Roman" w:hAnsi="Times New Roman" w:cs="Times New Roman"/>
                <w:szCs w:val="20"/>
              </w:rPr>
              <w:t>121.000,00</w:t>
            </w:r>
          </w:p>
        </w:tc>
        <w:tc>
          <w:tcPr>
            <w:tcW w:w="900" w:type="pct"/>
            <w:vAlign w:val="center"/>
            <w:hideMark/>
          </w:tcPr>
          <w:p w:rsidR="00847484" w:rsidRPr="00FA3856" w:rsidRDefault="00847484" w:rsidP="00F93F76">
            <w:pPr>
              <w:pStyle w:val="NormalWeb"/>
              <w:spacing w:before="0" w:after="0"/>
              <w:jc w:val="right"/>
              <w:rPr>
                <w:rFonts w:ascii="Times New Roman" w:hAnsi="Times New Roman" w:cs="Times New Roman"/>
                <w:szCs w:val="20"/>
              </w:rPr>
            </w:pPr>
            <w:r w:rsidRPr="00FA3856">
              <w:rPr>
                <w:rFonts w:ascii="Times New Roman" w:hAnsi="Times New Roman" w:cs="Times New Roman"/>
                <w:szCs w:val="20"/>
              </w:rPr>
              <w:t>63.000,00</w:t>
            </w:r>
          </w:p>
        </w:tc>
        <w:tc>
          <w:tcPr>
            <w:tcW w:w="850" w:type="pct"/>
            <w:vAlign w:val="center"/>
            <w:hideMark/>
          </w:tcPr>
          <w:p w:rsidR="00847484" w:rsidRPr="00FA3856" w:rsidRDefault="00847484" w:rsidP="00F93F76">
            <w:pPr>
              <w:pStyle w:val="NormalWeb"/>
              <w:spacing w:before="0" w:after="0"/>
              <w:jc w:val="right"/>
              <w:rPr>
                <w:rFonts w:ascii="Times New Roman" w:hAnsi="Times New Roman" w:cs="Times New Roman"/>
                <w:szCs w:val="20"/>
              </w:rPr>
            </w:pPr>
            <w:r w:rsidRPr="00FA3856">
              <w:rPr>
                <w:rFonts w:ascii="Times New Roman" w:hAnsi="Times New Roman" w:cs="Times New Roman"/>
                <w:szCs w:val="20"/>
              </w:rPr>
              <w:t>-10.250,00</w:t>
            </w:r>
          </w:p>
        </w:tc>
      </w:tr>
      <w:tr w:rsidR="00847484" w:rsidRPr="00FA3856" w:rsidTr="00F93F76">
        <w:trPr>
          <w:trHeight w:val="20"/>
          <w:tblCellSpacing w:w="0" w:type="dxa"/>
          <w:jc w:val="center"/>
        </w:trPr>
        <w:tc>
          <w:tcPr>
            <w:tcW w:w="2500" w:type="pct"/>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w:t>
            </w:r>
            <w:r w:rsidR="00F93F76" w:rsidRPr="00FA3856">
              <w:rPr>
                <w:rFonts w:ascii="Times New Roman" w:hAnsi="Times New Roman" w:cs="Times New Roman"/>
                <w:szCs w:val="20"/>
              </w:rPr>
              <w:t xml:space="preserve"> </w:t>
            </w:r>
            <w:r w:rsidRPr="00FA3856">
              <w:rPr>
                <w:rFonts w:ascii="Times New Roman" w:hAnsi="Times New Roman" w:cs="Times New Roman"/>
                <w:szCs w:val="20"/>
              </w:rPr>
              <w:t>CSLL</w:t>
            </w:r>
          </w:p>
        </w:tc>
        <w:tc>
          <w:tcPr>
            <w:tcW w:w="750" w:type="pct"/>
            <w:vAlign w:val="center"/>
            <w:hideMark/>
          </w:tcPr>
          <w:p w:rsidR="00847484" w:rsidRPr="00FA3856" w:rsidRDefault="00847484" w:rsidP="00F93F76">
            <w:pPr>
              <w:pStyle w:val="NormalWeb"/>
              <w:spacing w:before="0" w:after="0"/>
              <w:jc w:val="right"/>
              <w:rPr>
                <w:rFonts w:ascii="Times New Roman" w:hAnsi="Times New Roman" w:cs="Times New Roman"/>
                <w:szCs w:val="20"/>
              </w:rPr>
            </w:pPr>
            <w:r w:rsidRPr="00FA3856">
              <w:rPr>
                <w:rFonts w:ascii="Times New Roman" w:hAnsi="Times New Roman" w:cs="Times New Roman"/>
                <w:szCs w:val="20"/>
              </w:rPr>
              <w:t>-10.000,00</w:t>
            </w:r>
          </w:p>
        </w:tc>
        <w:tc>
          <w:tcPr>
            <w:tcW w:w="900" w:type="pct"/>
            <w:vAlign w:val="center"/>
            <w:hideMark/>
          </w:tcPr>
          <w:p w:rsidR="00847484" w:rsidRPr="00FA3856" w:rsidRDefault="00847484" w:rsidP="00F93F76">
            <w:pPr>
              <w:pStyle w:val="NormalWeb"/>
              <w:spacing w:before="0" w:after="0"/>
              <w:jc w:val="right"/>
              <w:rPr>
                <w:rFonts w:ascii="Times New Roman" w:hAnsi="Times New Roman" w:cs="Times New Roman"/>
                <w:szCs w:val="20"/>
              </w:rPr>
            </w:pPr>
            <w:r w:rsidRPr="00FA3856">
              <w:rPr>
                <w:rFonts w:ascii="Times New Roman" w:hAnsi="Times New Roman" w:cs="Times New Roman"/>
                <w:szCs w:val="20"/>
              </w:rPr>
              <w:t>-3.000,00</w:t>
            </w:r>
          </w:p>
        </w:tc>
        <w:tc>
          <w:tcPr>
            <w:tcW w:w="850" w:type="pct"/>
            <w:vAlign w:val="center"/>
            <w:hideMark/>
          </w:tcPr>
          <w:p w:rsidR="00847484" w:rsidRPr="00FA3856" w:rsidRDefault="00847484" w:rsidP="00F93F76">
            <w:pPr>
              <w:pStyle w:val="NormalWeb"/>
              <w:spacing w:before="0" w:after="0"/>
              <w:jc w:val="right"/>
              <w:rPr>
                <w:rFonts w:ascii="Times New Roman" w:hAnsi="Times New Roman" w:cs="Times New Roman"/>
                <w:szCs w:val="20"/>
              </w:rPr>
            </w:pPr>
            <w:r w:rsidRPr="00FA3856">
              <w:rPr>
                <w:rFonts w:ascii="Times New Roman" w:hAnsi="Times New Roman" w:cs="Times New Roman"/>
                <w:szCs w:val="20"/>
              </w:rPr>
              <w:t>-20.000,00</w:t>
            </w:r>
          </w:p>
        </w:tc>
      </w:tr>
      <w:tr w:rsidR="00847484" w:rsidRPr="00FA3856" w:rsidTr="00F93F76">
        <w:trPr>
          <w:trHeight w:val="20"/>
          <w:tblCellSpacing w:w="0" w:type="dxa"/>
          <w:jc w:val="center"/>
        </w:trPr>
        <w:tc>
          <w:tcPr>
            <w:tcW w:w="2500" w:type="pct"/>
            <w:vAlign w:val="center"/>
            <w:hideMark/>
          </w:tcPr>
          <w:p w:rsidR="00847484" w:rsidRPr="00FA3856" w:rsidRDefault="00847484" w:rsidP="00F93F7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Lucro Líquido antes do IRPJ</w:t>
            </w:r>
          </w:p>
        </w:tc>
        <w:tc>
          <w:tcPr>
            <w:tcW w:w="750" w:type="pct"/>
            <w:vAlign w:val="center"/>
            <w:hideMark/>
          </w:tcPr>
          <w:p w:rsidR="00847484" w:rsidRPr="00FA3856" w:rsidRDefault="00847484" w:rsidP="00F93F76">
            <w:pPr>
              <w:pStyle w:val="NormalWeb"/>
              <w:spacing w:before="0" w:after="0"/>
              <w:jc w:val="right"/>
              <w:rPr>
                <w:rFonts w:ascii="Times New Roman" w:hAnsi="Times New Roman" w:cs="Times New Roman"/>
                <w:szCs w:val="20"/>
              </w:rPr>
            </w:pPr>
            <w:r w:rsidRPr="00FA3856">
              <w:rPr>
                <w:rFonts w:ascii="Times New Roman" w:hAnsi="Times New Roman" w:cs="Times New Roman"/>
                <w:szCs w:val="20"/>
              </w:rPr>
              <w:t>111.000,00</w:t>
            </w:r>
          </w:p>
        </w:tc>
        <w:tc>
          <w:tcPr>
            <w:tcW w:w="900" w:type="pct"/>
            <w:vAlign w:val="center"/>
            <w:hideMark/>
          </w:tcPr>
          <w:p w:rsidR="00847484" w:rsidRPr="00FA3856" w:rsidRDefault="00847484" w:rsidP="00F93F76">
            <w:pPr>
              <w:pStyle w:val="NormalWeb"/>
              <w:spacing w:before="0" w:after="0"/>
              <w:jc w:val="right"/>
              <w:rPr>
                <w:rFonts w:ascii="Times New Roman" w:hAnsi="Times New Roman" w:cs="Times New Roman"/>
                <w:szCs w:val="20"/>
              </w:rPr>
            </w:pPr>
            <w:r w:rsidRPr="00FA3856">
              <w:rPr>
                <w:rFonts w:ascii="Times New Roman" w:hAnsi="Times New Roman" w:cs="Times New Roman"/>
                <w:szCs w:val="20"/>
              </w:rPr>
              <w:t>60.000,00</w:t>
            </w:r>
          </w:p>
        </w:tc>
        <w:tc>
          <w:tcPr>
            <w:tcW w:w="850" w:type="pct"/>
            <w:vAlign w:val="center"/>
            <w:hideMark/>
          </w:tcPr>
          <w:p w:rsidR="00847484" w:rsidRPr="00FA3856" w:rsidRDefault="00847484" w:rsidP="00F93F76">
            <w:pPr>
              <w:pStyle w:val="NormalWeb"/>
              <w:spacing w:before="0" w:after="0"/>
              <w:jc w:val="right"/>
              <w:rPr>
                <w:rFonts w:ascii="Times New Roman" w:hAnsi="Times New Roman" w:cs="Times New Roman"/>
                <w:szCs w:val="20"/>
              </w:rPr>
            </w:pPr>
            <w:r w:rsidRPr="00FA3856">
              <w:rPr>
                <w:rFonts w:ascii="Times New Roman" w:hAnsi="Times New Roman" w:cs="Times New Roman"/>
                <w:szCs w:val="20"/>
              </w:rPr>
              <w:t>-30.250,00</w:t>
            </w:r>
          </w:p>
        </w:tc>
      </w:tr>
    </w:tbl>
    <w:p w:rsidR="00F93F76" w:rsidRPr="00FA3856" w:rsidRDefault="00F93F76" w:rsidP="00A36A8B">
      <w:pPr>
        <w:pStyle w:val="NormalWeb"/>
        <w:spacing w:before="0" w:after="0"/>
        <w:jc w:val="both"/>
        <w:rPr>
          <w:rFonts w:ascii="Times New Roman" w:hAnsi="Times New Roman" w:cs="Times New Roman"/>
          <w:szCs w:val="20"/>
        </w:rPr>
      </w:pPr>
    </w:p>
    <w:p w:rsidR="00847484" w:rsidRPr="00FA3856" w:rsidRDefault="00847484" w:rsidP="00A36A8B">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w:t>
      </w:r>
      <w:r w:rsidRPr="00FA3856">
        <w:rPr>
          <w:rFonts w:ascii="Times New Roman" w:hAnsi="Times New Roman" w:cs="Times New Roman"/>
          <w:b/>
          <w:bCs/>
          <w:szCs w:val="20"/>
        </w:rPr>
        <w:t>Demonstração do Lucro Real</w:t>
      </w:r>
      <w:bookmarkStart w:id="178" w:name="subitem_19.1"/>
      <w:bookmarkEnd w:id="178"/>
      <w:r w:rsidRPr="00FA3856">
        <w:rPr>
          <w:rFonts w:ascii="Times New Roman" w:hAnsi="Times New Roman" w:cs="Times New Roman"/>
          <w:szCs w:val="20"/>
        </w:rPr>
        <w:t xml:space="preserve"> - PJ em Geral" </w:t>
      </w:r>
    </w:p>
    <w:tbl>
      <w:tblPr>
        <w:tblW w:w="8367"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656"/>
        <w:gridCol w:w="1237"/>
        <w:gridCol w:w="1237"/>
        <w:gridCol w:w="1237"/>
      </w:tblGrid>
      <w:tr w:rsidR="00847484" w:rsidRPr="00FA3856" w:rsidTr="00EF5A6B">
        <w:trPr>
          <w:trHeight w:val="20"/>
          <w:tblCellSpacing w:w="0" w:type="dxa"/>
          <w:jc w:val="center"/>
        </w:trPr>
        <w:tc>
          <w:tcPr>
            <w:tcW w:w="2782" w:type="pct"/>
            <w:hideMark/>
          </w:tcPr>
          <w:p w:rsidR="00847484" w:rsidRPr="00FA3856" w:rsidRDefault="00847484" w:rsidP="00EF5A6B">
            <w:pPr>
              <w:pStyle w:val="NormalWeb"/>
              <w:spacing w:before="0" w:after="0"/>
              <w:jc w:val="center"/>
              <w:rPr>
                <w:rFonts w:ascii="Times New Roman" w:hAnsi="Times New Roman" w:cs="Times New Roman"/>
                <w:szCs w:val="20"/>
              </w:rPr>
            </w:pPr>
          </w:p>
        </w:tc>
        <w:tc>
          <w:tcPr>
            <w:tcW w:w="739" w:type="pct"/>
            <w:hideMark/>
          </w:tcPr>
          <w:p w:rsidR="00847484" w:rsidRPr="00FA3856" w:rsidRDefault="00847484" w:rsidP="00EF5A6B">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1</w:t>
            </w:r>
            <w:r w:rsidRPr="00FA3856">
              <w:rPr>
                <w:rFonts w:ascii="Times New Roman" w:hAnsi="Times New Roman" w:cs="Times New Roman"/>
                <w:strike/>
                <w:szCs w:val="20"/>
              </w:rPr>
              <w:t>º</w:t>
            </w:r>
            <w:r w:rsidRPr="00FA3856">
              <w:rPr>
                <w:rFonts w:ascii="Times New Roman" w:hAnsi="Times New Roman" w:cs="Times New Roman"/>
                <w:szCs w:val="20"/>
              </w:rPr>
              <w:t xml:space="preserve"> Trim</w:t>
            </w:r>
          </w:p>
        </w:tc>
        <w:tc>
          <w:tcPr>
            <w:tcW w:w="739" w:type="pct"/>
            <w:hideMark/>
          </w:tcPr>
          <w:p w:rsidR="00847484" w:rsidRPr="00FA3856" w:rsidRDefault="00847484" w:rsidP="00EF5A6B">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2</w:t>
            </w:r>
            <w:r w:rsidRPr="00FA3856">
              <w:rPr>
                <w:rFonts w:ascii="Times New Roman" w:hAnsi="Times New Roman" w:cs="Times New Roman"/>
                <w:strike/>
                <w:szCs w:val="20"/>
              </w:rPr>
              <w:t>º</w:t>
            </w:r>
            <w:bookmarkStart w:id="179" w:name="subitem_19.1.1"/>
            <w:bookmarkEnd w:id="179"/>
            <w:r w:rsidRPr="00FA3856">
              <w:rPr>
                <w:rFonts w:ascii="Times New Roman" w:hAnsi="Times New Roman" w:cs="Times New Roman"/>
                <w:szCs w:val="20"/>
              </w:rPr>
              <w:t xml:space="preserve"> Trim</w:t>
            </w:r>
          </w:p>
        </w:tc>
        <w:tc>
          <w:tcPr>
            <w:tcW w:w="739" w:type="pct"/>
            <w:hideMark/>
          </w:tcPr>
          <w:p w:rsidR="00847484" w:rsidRPr="00FA3856" w:rsidRDefault="00847484" w:rsidP="00EF5A6B">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3</w:t>
            </w:r>
            <w:r w:rsidRPr="00FA3856">
              <w:rPr>
                <w:rFonts w:ascii="Times New Roman" w:hAnsi="Times New Roman" w:cs="Times New Roman"/>
                <w:strike/>
                <w:szCs w:val="20"/>
              </w:rPr>
              <w:t>º</w:t>
            </w:r>
            <w:r w:rsidRPr="00FA3856">
              <w:rPr>
                <w:rFonts w:ascii="Times New Roman" w:hAnsi="Times New Roman" w:cs="Times New Roman"/>
                <w:szCs w:val="20"/>
              </w:rPr>
              <w:t xml:space="preserve"> Trim</w:t>
            </w:r>
          </w:p>
        </w:tc>
      </w:tr>
      <w:tr w:rsidR="00847484" w:rsidRPr="00FA3856" w:rsidTr="00EF5A6B">
        <w:trPr>
          <w:trHeight w:val="20"/>
          <w:tblCellSpacing w:w="0" w:type="dxa"/>
          <w:jc w:val="center"/>
        </w:trPr>
        <w:tc>
          <w:tcPr>
            <w:tcW w:w="2782" w:type="pct"/>
            <w:hideMark/>
          </w:tcPr>
          <w:p w:rsidR="00847484" w:rsidRPr="00FA3856" w:rsidRDefault="00847484" w:rsidP="00EF5A6B">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Lucro Líquido antes do IRPJ</w:t>
            </w:r>
          </w:p>
        </w:tc>
        <w:tc>
          <w:tcPr>
            <w:tcW w:w="739" w:type="pct"/>
            <w:hideMark/>
          </w:tcPr>
          <w:p w:rsidR="00847484" w:rsidRPr="00FA3856" w:rsidRDefault="00847484" w:rsidP="00EF5A6B">
            <w:pPr>
              <w:pStyle w:val="NormalWeb"/>
              <w:spacing w:before="0" w:after="0"/>
              <w:jc w:val="right"/>
              <w:rPr>
                <w:rFonts w:ascii="Times New Roman" w:hAnsi="Times New Roman" w:cs="Times New Roman"/>
                <w:szCs w:val="20"/>
              </w:rPr>
            </w:pPr>
            <w:r w:rsidRPr="00FA3856">
              <w:rPr>
                <w:rFonts w:ascii="Times New Roman" w:hAnsi="Times New Roman" w:cs="Times New Roman"/>
                <w:szCs w:val="20"/>
              </w:rPr>
              <w:t>111.000,00</w:t>
            </w:r>
          </w:p>
        </w:tc>
        <w:tc>
          <w:tcPr>
            <w:tcW w:w="739" w:type="pct"/>
            <w:hideMark/>
          </w:tcPr>
          <w:p w:rsidR="00847484" w:rsidRPr="00FA3856" w:rsidRDefault="00847484" w:rsidP="00EF5A6B">
            <w:pPr>
              <w:pStyle w:val="NormalWeb"/>
              <w:spacing w:before="0" w:after="0"/>
              <w:jc w:val="right"/>
              <w:rPr>
                <w:rFonts w:ascii="Times New Roman" w:hAnsi="Times New Roman" w:cs="Times New Roman"/>
                <w:szCs w:val="20"/>
              </w:rPr>
            </w:pPr>
            <w:r w:rsidRPr="00FA3856">
              <w:rPr>
                <w:rFonts w:ascii="Times New Roman" w:hAnsi="Times New Roman" w:cs="Times New Roman"/>
                <w:szCs w:val="20"/>
              </w:rPr>
              <w:t>60.000,00</w:t>
            </w:r>
          </w:p>
        </w:tc>
        <w:tc>
          <w:tcPr>
            <w:tcW w:w="739" w:type="pct"/>
            <w:hideMark/>
          </w:tcPr>
          <w:p w:rsidR="00847484" w:rsidRPr="00FA3856" w:rsidRDefault="00847484" w:rsidP="00EF5A6B">
            <w:pPr>
              <w:pStyle w:val="NormalWeb"/>
              <w:spacing w:before="0" w:after="0"/>
              <w:jc w:val="right"/>
              <w:rPr>
                <w:rFonts w:ascii="Times New Roman" w:hAnsi="Times New Roman" w:cs="Times New Roman"/>
                <w:szCs w:val="20"/>
              </w:rPr>
            </w:pPr>
            <w:r w:rsidRPr="00FA3856">
              <w:rPr>
                <w:rFonts w:ascii="Times New Roman" w:hAnsi="Times New Roman" w:cs="Times New Roman"/>
                <w:szCs w:val="20"/>
              </w:rPr>
              <w:t>-30.250,00,</w:t>
            </w:r>
          </w:p>
        </w:tc>
      </w:tr>
      <w:tr w:rsidR="00847484" w:rsidRPr="00FA3856" w:rsidTr="00EF5A6B">
        <w:trPr>
          <w:trHeight w:val="20"/>
          <w:tblCellSpacing w:w="0" w:type="dxa"/>
          <w:jc w:val="center"/>
        </w:trPr>
        <w:tc>
          <w:tcPr>
            <w:tcW w:w="2782" w:type="pct"/>
            <w:hideMark/>
          </w:tcPr>
          <w:p w:rsidR="00847484" w:rsidRPr="00FA3856" w:rsidRDefault="00847484" w:rsidP="00EF5A6B">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CSLL</w:t>
            </w:r>
          </w:p>
        </w:tc>
        <w:tc>
          <w:tcPr>
            <w:tcW w:w="739" w:type="pct"/>
            <w:hideMark/>
          </w:tcPr>
          <w:p w:rsidR="00847484" w:rsidRPr="00FA3856" w:rsidRDefault="00847484" w:rsidP="00EF5A6B">
            <w:pPr>
              <w:pStyle w:val="NormalWeb"/>
              <w:spacing w:before="0" w:after="0"/>
              <w:jc w:val="right"/>
              <w:rPr>
                <w:rFonts w:ascii="Times New Roman" w:hAnsi="Times New Roman" w:cs="Times New Roman"/>
                <w:szCs w:val="20"/>
              </w:rPr>
            </w:pPr>
            <w:r w:rsidRPr="00FA3856">
              <w:rPr>
                <w:rFonts w:ascii="Times New Roman" w:hAnsi="Times New Roman" w:cs="Times New Roman"/>
                <w:szCs w:val="20"/>
              </w:rPr>
              <w:t>10.000,00</w:t>
            </w:r>
          </w:p>
        </w:tc>
        <w:tc>
          <w:tcPr>
            <w:tcW w:w="739" w:type="pct"/>
            <w:hideMark/>
          </w:tcPr>
          <w:p w:rsidR="00847484" w:rsidRPr="00FA3856" w:rsidRDefault="00847484" w:rsidP="00EF5A6B">
            <w:pPr>
              <w:pStyle w:val="NormalWeb"/>
              <w:spacing w:before="0" w:after="0"/>
              <w:jc w:val="right"/>
              <w:rPr>
                <w:rFonts w:ascii="Times New Roman" w:hAnsi="Times New Roman" w:cs="Times New Roman"/>
                <w:szCs w:val="20"/>
              </w:rPr>
            </w:pPr>
            <w:r w:rsidRPr="00FA3856">
              <w:rPr>
                <w:rFonts w:ascii="Times New Roman" w:hAnsi="Times New Roman" w:cs="Times New Roman"/>
                <w:szCs w:val="20"/>
              </w:rPr>
              <w:t>3.000,00</w:t>
            </w:r>
          </w:p>
        </w:tc>
        <w:tc>
          <w:tcPr>
            <w:tcW w:w="739" w:type="pct"/>
            <w:hideMark/>
          </w:tcPr>
          <w:p w:rsidR="00847484" w:rsidRPr="00FA3856" w:rsidRDefault="00847484" w:rsidP="00EF5A6B">
            <w:pPr>
              <w:pStyle w:val="NormalWeb"/>
              <w:spacing w:before="0" w:after="0"/>
              <w:jc w:val="right"/>
              <w:rPr>
                <w:rFonts w:ascii="Times New Roman" w:hAnsi="Times New Roman" w:cs="Times New Roman"/>
                <w:szCs w:val="20"/>
              </w:rPr>
            </w:pPr>
            <w:r w:rsidRPr="00FA3856">
              <w:rPr>
                <w:rFonts w:ascii="Times New Roman" w:hAnsi="Times New Roman" w:cs="Times New Roman"/>
                <w:szCs w:val="20"/>
              </w:rPr>
              <w:t>20.000,00</w:t>
            </w:r>
          </w:p>
        </w:tc>
      </w:tr>
      <w:tr w:rsidR="00847484" w:rsidRPr="00FA3856" w:rsidTr="00EF5A6B">
        <w:trPr>
          <w:trHeight w:val="20"/>
          <w:tblCellSpacing w:w="0" w:type="dxa"/>
          <w:jc w:val="center"/>
        </w:trPr>
        <w:tc>
          <w:tcPr>
            <w:tcW w:w="2782" w:type="pct"/>
            <w:hideMark/>
          </w:tcPr>
          <w:p w:rsidR="00847484" w:rsidRPr="00FA3856" w:rsidRDefault="00EF5A6B" w:rsidP="00EF5A6B">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Variações Cambiais</w:t>
            </w:r>
            <w:r w:rsidR="00847484" w:rsidRPr="00FA3856">
              <w:rPr>
                <w:rFonts w:ascii="Times New Roman" w:hAnsi="Times New Roman" w:cs="Times New Roman"/>
                <w:szCs w:val="20"/>
              </w:rPr>
              <w:t xml:space="preserve"> Passivas (</w:t>
            </w:r>
            <w:hyperlink r:id="rId219" w:anchor="MP1807" w:history="1">
              <w:r w:rsidR="00847484" w:rsidRPr="00FA3856">
                <w:rPr>
                  <w:rStyle w:val="Hyperlink"/>
                  <w:rFonts w:ascii="Times New Roman" w:hAnsi="Times New Roman" w:cs="Times New Roman"/>
                  <w:color w:val="auto"/>
                  <w:szCs w:val="20"/>
                </w:rPr>
                <w:t>MP n</w:t>
              </w:r>
              <w:r w:rsidR="00847484" w:rsidRPr="00FA3856">
                <w:rPr>
                  <w:rStyle w:val="Hyperlink"/>
                  <w:rFonts w:ascii="Times New Roman" w:hAnsi="Times New Roman" w:cs="Times New Roman"/>
                  <w:strike/>
                  <w:color w:val="auto"/>
                  <w:szCs w:val="20"/>
                </w:rPr>
                <w:t>º</w:t>
              </w:r>
              <w:r w:rsidR="00847484" w:rsidRPr="00FA3856">
                <w:rPr>
                  <w:rStyle w:val="Hyperlink"/>
                  <w:rFonts w:ascii="Times New Roman" w:hAnsi="Times New Roman" w:cs="Times New Roman"/>
                  <w:color w:val="auto"/>
                  <w:szCs w:val="20"/>
                </w:rPr>
                <w:t xml:space="preserve"> 1.858-10</w:t>
              </w:r>
            </w:hyperlink>
            <w:r w:rsidR="00847484" w:rsidRPr="00FA3856">
              <w:rPr>
                <w:rFonts w:ascii="Times New Roman" w:hAnsi="Times New Roman" w:cs="Times New Roman"/>
                <w:szCs w:val="20"/>
              </w:rPr>
              <w:t>, de 1999)</w:t>
            </w:r>
          </w:p>
        </w:tc>
        <w:tc>
          <w:tcPr>
            <w:tcW w:w="739" w:type="pct"/>
            <w:hideMark/>
          </w:tcPr>
          <w:p w:rsidR="00847484" w:rsidRPr="00FA3856" w:rsidRDefault="00847484" w:rsidP="00EF5A6B">
            <w:pPr>
              <w:pStyle w:val="NormalWeb"/>
              <w:spacing w:before="0" w:after="0"/>
              <w:jc w:val="right"/>
              <w:rPr>
                <w:rFonts w:ascii="Times New Roman" w:hAnsi="Times New Roman" w:cs="Times New Roman"/>
                <w:szCs w:val="20"/>
              </w:rPr>
            </w:pPr>
            <w:r w:rsidRPr="00FA3856">
              <w:rPr>
                <w:rFonts w:ascii="Times New Roman" w:hAnsi="Times New Roman" w:cs="Times New Roman"/>
                <w:szCs w:val="20"/>
              </w:rPr>
              <w:t>0,00</w:t>
            </w:r>
          </w:p>
        </w:tc>
        <w:tc>
          <w:tcPr>
            <w:tcW w:w="739" w:type="pct"/>
            <w:hideMark/>
          </w:tcPr>
          <w:p w:rsidR="00847484" w:rsidRPr="00FA3856" w:rsidRDefault="00847484" w:rsidP="00EF5A6B">
            <w:pPr>
              <w:pStyle w:val="NormalWeb"/>
              <w:spacing w:before="0" w:after="0"/>
              <w:jc w:val="right"/>
              <w:rPr>
                <w:rFonts w:ascii="Times New Roman" w:hAnsi="Times New Roman" w:cs="Times New Roman"/>
                <w:szCs w:val="20"/>
              </w:rPr>
            </w:pPr>
            <w:r w:rsidRPr="00FA3856">
              <w:rPr>
                <w:rFonts w:ascii="Times New Roman" w:hAnsi="Times New Roman" w:cs="Times New Roman"/>
                <w:szCs w:val="20"/>
              </w:rPr>
              <w:t>0,00</w:t>
            </w:r>
          </w:p>
        </w:tc>
        <w:tc>
          <w:tcPr>
            <w:tcW w:w="739" w:type="pct"/>
            <w:hideMark/>
          </w:tcPr>
          <w:p w:rsidR="00847484" w:rsidRPr="00FA3856" w:rsidRDefault="00847484" w:rsidP="00EF5A6B">
            <w:pPr>
              <w:pStyle w:val="NormalWeb"/>
              <w:spacing w:before="0" w:after="0"/>
              <w:jc w:val="right"/>
              <w:rPr>
                <w:rFonts w:ascii="Times New Roman" w:hAnsi="Times New Roman" w:cs="Times New Roman"/>
                <w:szCs w:val="20"/>
              </w:rPr>
            </w:pPr>
            <w:r w:rsidRPr="00FA3856">
              <w:rPr>
                <w:rFonts w:ascii="Times New Roman" w:hAnsi="Times New Roman" w:cs="Times New Roman"/>
                <w:szCs w:val="20"/>
              </w:rPr>
              <w:t>92.250,00</w:t>
            </w:r>
          </w:p>
        </w:tc>
      </w:tr>
      <w:tr w:rsidR="00847484" w:rsidRPr="00FA3856" w:rsidTr="00EF5A6B">
        <w:trPr>
          <w:trHeight w:val="20"/>
          <w:tblCellSpacing w:w="0" w:type="dxa"/>
          <w:jc w:val="center"/>
        </w:trPr>
        <w:tc>
          <w:tcPr>
            <w:tcW w:w="2782" w:type="pct"/>
            <w:hideMark/>
          </w:tcPr>
          <w:p w:rsidR="00847484" w:rsidRPr="00FA3856" w:rsidRDefault="00EF5A6B" w:rsidP="00EF5A6B">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Variações Cambiais Ativas - Operações</w:t>
            </w:r>
            <w:r w:rsidR="00847484" w:rsidRPr="00FA3856">
              <w:rPr>
                <w:rFonts w:ascii="Times New Roman" w:hAnsi="Times New Roman" w:cs="Times New Roman"/>
                <w:szCs w:val="20"/>
              </w:rPr>
              <w:t xml:space="preserve"> Liquidadas</w:t>
            </w:r>
          </w:p>
        </w:tc>
        <w:tc>
          <w:tcPr>
            <w:tcW w:w="739" w:type="pct"/>
            <w:hideMark/>
          </w:tcPr>
          <w:p w:rsidR="00847484" w:rsidRPr="00FA3856" w:rsidRDefault="00847484" w:rsidP="00EF5A6B">
            <w:pPr>
              <w:pStyle w:val="NormalWeb"/>
              <w:spacing w:before="0" w:after="0"/>
              <w:jc w:val="right"/>
              <w:rPr>
                <w:rFonts w:ascii="Times New Roman" w:hAnsi="Times New Roman" w:cs="Times New Roman"/>
                <w:szCs w:val="20"/>
              </w:rPr>
            </w:pPr>
            <w:r w:rsidRPr="00FA3856">
              <w:rPr>
                <w:rFonts w:ascii="Times New Roman" w:hAnsi="Times New Roman" w:cs="Times New Roman"/>
                <w:szCs w:val="20"/>
              </w:rPr>
              <w:t>1.000,00</w:t>
            </w:r>
          </w:p>
        </w:tc>
        <w:tc>
          <w:tcPr>
            <w:tcW w:w="739" w:type="pct"/>
            <w:hideMark/>
          </w:tcPr>
          <w:p w:rsidR="00847484" w:rsidRPr="00FA3856" w:rsidRDefault="00847484" w:rsidP="00EF5A6B">
            <w:pPr>
              <w:pStyle w:val="NormalWeb"/>
              <w:spacing w:before="0" w:after="0"/>
              <w:jc w:val="right"/>
              <w:rPr>
                <w:rFonts w:ascii="Times New Roman" w:hAnsi="Times New Roman" w:cs="Times New Roman"/>
                <w:szCs w:val="20"/>
              </w:rPr>
            </w:pPr>
            <w:r w:rsidRPr="00FA3856">
              <w:rPr>
                <w:rFonts w:ascii="Times New Roman" w:hAnsi="Times New Roman" w:cs="Times New Roman"/>
                <w:szCs w:val="20"/>
              </w:rPr>
              <w:t>18.000,00</w:t>
            </w:r>
          </w:p>
        </w:tc>
        <w:tc>
          <w:tcPr>
            <w:tcW w:w="739" w:type="pct"/>
            <w:hideMark/>
          </w:tcPr>
          <w:p w:rsidR="00847484" w:rsidRPr="00FA3856" w:rsidRDefault="00847484" w:rsidP="00EF5A6B">
            <w:pPr>
              <w:pStyle w:val="NormalWeb"/>
              <w:spacing w:before="0" w:after="0"/>
              <w:jc w:val="right"/>
              <w:rPr>
                <w:rFonts w:ascii="Times New Roman" w:hAnsi="Times New Roman" w:cs="Times New Roman"/>
                <w:szCs w:val="20"/>
              </w:rPr>
            </w:pPr>
            <w:r w:rsidRPr="00FA3856">
              <w:rPr>
                <w:rFonts w:ascii="Times New Roman" w:hAnsi="Times New Roman" w:cs="Times New Roman"/>
                <w:szCs w:val="20"/>
              </w:rPr>
              <w:t>0,00</w:t>
            </w:r>
          </w:p>
        </w:tc>
      </w:tr>
      <w:tr w:rsidR="00EF5A6B" w:rsidRPr="00FA3856" w:rsidTr="00EF5A6B">
        <w:trPr>
          <w:trHeight w:val="20"/>
          <w:tblCellSpacing w:w="0" w:type="dxa"/>
          <w:jc w:val="center"/>
        </w:trPr>
        <w:tc>
          <w:tcPr>
            <w:tcW w:w="2782" w:type="pct"/>
            <w:hideMark/>
          </w:tcPr>
          <w:p w:rsidR="00847484" w:rsidRPr="00FA3856" w:rsidRDefault="00847484" w:rsidP="00EF5A6B">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w:t>
            </w:r>
            <w:r w:rsidR="00EF5A6B" w:rsidRPr="00FA3856">
              <w:rPr>
                <w:rFonts w:ascii="Times New Roman" w:hAnsi="Times New Roman" w:cs="Times New Roman"/>
                <w:szCs w:val="20"/>
              </w:rPr>
              <w:t xml:space="preserve"> Variações Cambiais</w:t>
            </w:r>
            <w:r w:rsidRPr="00FA3856">
              <w:rPr>
                <w:rFonts w:ascii="Times New Roman" w:hAnsi="Times New Roman" w:cs="Times New Roman"/>
                <w:szCs w:val="20"/>
              </w:rPr>
              <w:t xml:space="preserve"> Ativas (</w:t>
            </w:r>
            <w:hyperlink r:id="rId220" w:anchor="MP1807" w:history="1">
              <w:r w:rsidRPr="00FA3856">
                <w:rPr>
                  <w:rStyle w:val="Hyperlink"/>
                  <w:rFonts w:ascii="Times New Roman" w:hAnsi="Times New Roman" w:cs="Times New Roman"/>
                  <w:color w:val="auto"/>
                  <w:szCs w:val="20"/>
                </w:rPr>
                <w:t>MP n</w:t>
              </w:r>
              <w:r w:rsidRPr="00FA3856">
                <w:rPr>
                  <w:rStyle w:val="Hyperlink"/>
                  <w:rFonts w:ascii="Times New Roman" w:hAnsi="Times New Roman" w:cs="Times New Roman"/>
                  <w:strike/>
                  <w:color w:val="auto"/>
                  <w:szCs w:val="20"/>
                </w:rPr>
                <w:t>º</w:t>
              </w:r>
              <w:r w:rsidRPr="00FA3856">
                <w:rPr>
                  <w:rStyle w:val="Hyperlink"/>
                  <w:rFonts w:ascii="Times New Roman" w:hAnsi="Times New Roman" w:cs="Times New Roman"/>
                  <w:color w:val="auto"/>
                  <w:szCs w:val="20"/>
                </w:rPr>
                <w:t xml:space="preserve"> 1.858-10</w:t>
              </w:r>
            </w:hyperlink>
            <w:r w:rsidRPr="00FA3856">
              <w:rPr>
                <w:rFonts w:ascii="Times New Roman" w:hAnsi="Times New Roman" w:cs="Times New Roman"/>
                <w:szCs w:val="20"/>
              </w:rPr>
              <w:t>, de 1999)</w:t>
            </w:r>
          </w:p>
        </w:tc>
        <w:tc>
          <w:tcPr>
            <w:tcW w:w="739" w:type="pct"/>
            <w:hideMark/>
          </w:tcPr>
          <w:p w:rsidR="00847484" w:rsidRPr="00FA3856" w:rsidRDefault="00847484" w:rsidP="00EF5A6B">
            <w:pPr>
              <w:pStyle w:val="NormalWeb"/>
              <w:spacing w:before="0" w:after="0"/>
              <w:jc w:val="right"/>
              <w:rPr>
                <w:rFonts w:ascii="Times New Roman" w:hAnsi="Times New Roman" w:cs="Times New Roman"/>
                <w:szCs w:val="20"/>
              </w:rPr>
            </w:pPr>
            <w:r w:rsidRPr="00FA3856">
              <w:rPr>
                <w:rFonts w:ascii="Times New Roman" w:hAnsi="Times New Roman" w:cs="Times New Roman"/>
                <w:szCs w:val="20"/>
              </w:rPr>
              <w:t>-19.000,00</w:t>
            </w:r>
          </w:p>
        </w:tc>
        <w:tc>
          <w:tcPr>
            <w:tcW w:w="739" w:type="pct"/>
            <w:hideMark/>
          </w:tcPr>
          <w:p w:rsidR="00847484" w:rsidRPr="00FA3856" w:rsidRDefault="00847484" w:rsidP="00EF5A6B">
            <w:pPr>
              <w:pStyle w:val="NormalWeb"/>
              <w:spacing w:before="0" w:after="0"/>
              <w:jc w:val="right"/>
              <w:rPr>
                <w:rFonts w:ascii="Times New Roman" w:hAnsi="Times New Roman" w:cs="Times New Roman"/>
                <w:szCs w:val="20"/>
              </w:rPr>
            </w:pPr>
            <w:r w:rsidRPr="00FA3856">
              <w:rPr>
                <w:rFonts w:ascii="Times New Roman" w:hAnsi="Times New Roman" w:cs="Times New Roman"/>
                <w:szCs w:val="20"/>
              </w:rPr>
              <w:t>-27.000,00</w:t>
            </w:r>
          </w:p>
        </w:tc>
        <w:tc>
          <w:tcPr>
            <w:tcW w:w="739" w:type="pct"/>
            <w:hideMark/>
          </w:tcPr>
          <w:p w:rsidR="00847484" w:rsidRPr="00FA3856" w:rsidRDefault="00847484" w:rsidP="00EF5A6B">
            <w:pPr>
              <w:pStyle w:val="NormalWeb"/>
              <w:spacing w:before="0" w:after="0"/>
              <w:jc w:val="right"/>
              <w:rPr>
                <w:rFonts w:ascii="Times New Roman" w:hAnsi="Times New Roman" w:cs="Times New Roman"/>
                <w:szCs w:val="20"/>
              </w:rPr>
            </w:pPr>
            <w:r w:rsidRPr="00FA3856">
              <w:rPr>
                <w:rFonts w:ascii="Times New Roman" w:hAnsi="Times New Roman" w:cs="Times New Roman"/>
                <w:szCs w:val="20"/>
              </w:rPr>
              <w:t>-18.000,00</w:t>
            </w:r>
          </w:p>
        </w:tc>
      </w:tr>
      <w:tr w:rsidR="00847484" w:rsidRPr="00FA3856" w:rsidTr="00EF5A6B">
        <w:trPr>
          <w:trHeight w:val="20"/>
          <w:tblCellSpacing w:w="0" w:type="dxa"/>
          <w:jc w:val="center"/>
        </w:trPr>
        <w:tc>
          <w:tcPr>
            <w:tcW w:w="2782" w:type="pct"/>
            <w:hideMark/>
          </w:tcPr>
          <w:p w:rsidR="00847484" w:rsidRPr="00FA3856" w:rsidRDefault="00EF5A6B" w:rsidP="00EF5A6B">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Variações Cambiais Passivas - Operações Liquidadas</w:t>
            </w:r>
          </w:p>
        </w:tc>
        <w:tc>
          <w:tcPr>
            <w:tcW w:w="739" w:type="pct"/>
            <w:hideMark/>
          </w:tcPr>
          <w:p w:rsidR="00847484" w:rsidRPr="00FA3856" w:rsidRDefault="00847484" w:rsidP="00EF5A6B">
            <w:pPr>
              <w:pStyle w:val="NormalWeb"/>
              <w:spacing w:before="0" w:after="0"/>
              <w:jc w:val="right"/>
              <w:rPr>
                <w:rFonts w:ascii="Times New Roman" w:hAnsi="Times New Roman" w:cs="Times New Roman"/>
                <w:szCs w:val="20"/>
              </w:rPr>
            </w:pPr>
            <w:r w:rsidRPr="00FA3856">
              <w:rPr>
                <w:rFonts w:ascii="Times New Roman" w:hAnsi="Times New Roman" w:cs="Times New Roman"/>
                <w:szCs w:val="20"/>
              </w:rPr>
              <w:t>0,00</w:t>
            </w:r>
          </w:p>
        </w:tc>
        <w:tc>
          <w:tcPr>
            <w:tcW w:w="739" w:type="pct"/>
            <w:hideMark/>
          </w:tcPr>
          <w:p w:rsidR="00847484" w:rsidRPr="00FA3856" w:rsidRDefault="00847484" w:rsidP="00EF5A6B">
            <w:pPr>
              <w:pStyle w:val="NormalWeb"/>
              <w:spacing w:before="0" w:after="0"/>
              <w:jc w:val="right"/>
              <w:rPr>
                <w:rFonts w:ascii="Times New Roman" w:hAnsi="Times New Roman" w:cs="Times New Roman"/>
                <w:szCs w:val="20"/>
              </w:rPr>
            </w:pPr>
            <w:r w:rsidRPr="00FA3856">
              <w:rPr>
                <w:rFonts w:ascii="Times New Roman" w:hAnsi="Times New Roman" w:cs="Times New Roman"/>
                <w:szCs w:val="20"/>
              </w:rPr>
              <w:t>0,00</w:t>
            </w:r>
          </w:p>
        </w:tc>
        <w:tc>
          <w:tcPr>
            <w:tcW w:w="739" w:type="pct"/>
            <w:hideMark/>
          </w:tcPr>
          <w:p w:rsidR="00847484" w:rsidRPr="00FA3856" w:rsidRDefault="00847484" w:rsidP="00EF5A6B">
            <w:pPr>
              <w:pStyle w:val="NormalWeb"/>
              <w:spacing w:before="0" w:after="0"/>
              <w:jc w:val="right"/>
              <w:rPr>
                <w:rFonts w:ascii="Times New Roman" w:hAnsi="Times New Roman" w:cs="Times New Roman"/>
                <w:szCs w:val="20"/>
              </w:rPr>
            </w:pPr>
            <w:r w:rsidRPr="00FA3856">
              <w:rPr>
                <w:rFonts w:ascii="Times New Roman" w:hAnsi="Times New Roman" w:cs="Times New Roman"/>
                <w:szCs w:val="20"/>
              </w:rPr>
              <w:t>-47.250,00</w:t>
            </w:r>
          </w:p>
        </w:tc>
      </w:tr>
      <w:tr w:rsidR="00847484" w:rsidRPr="00FA3856" w:rsidTr="00EF5A6B">
        <w:trPr>
          <w:trHeight w:val="20"/>
          <w:tblCellSpacing w:w="0" w:type="dxa"/>
          <w:jc w:val="center"/>
        </w:trPr>
        <w:tc>
          <w:tcPr>
            <w:tcW w:w="2782" w:type="pct"/>
            <w:hideMark/>
          </w:tcPr>
          <w:p w:rsidR="00847484" w:rsidRPr="00FA3856" w:rsidRDefault="00847484" w:rsidP="00EF5A6B">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xml:space="preserve">= </w:t>
            </w:r>
            <w:r w:rsidR="00EF5A6B" w:rsidRPr="00FA3856">
              <w:rPr>
                <w:rFonts w:ascii="Times New Roman" w:hAnsi="Times New Roman" w:cs="Times New Roman"/>
                <w:szCs w:val="20"/>
              </w:rPr>
              <w:t xml:space="preserve"> </w:t>
            </w:r>
            <w:r w:rsidRPr="00FA3856">
              <w:rPr>
                <w:rFonts w:ascii="Times New Roman" w:hAnsi="Times New Roman" w:cs="Times New Roman"/>
                <w:szCs w:val="20"/>
              </w:rPr>
              <w:t>Lucro Real</w:t>
            </w:r>
          </w:p>
        </w:tc>
        <w:tc>
          <w:tcPr>
            <w:tcW w:w="739" w:type="pct"/>
            <w:hideMark/>
          </w:tcPr>
          <w:p w:rsidR="00847484" w:rsidRPr="00FA3856" w:rsidRDefault="00847484" w:rsidP="00EF5A6B">
            <w:pPr>
              <w:pStyle w:val="NormalWeb"/>
              <w:spacing w:before="0" w:after="0"/>
              <w:jc w:val="right"/>
              <w:rPr>
                <w:rFonts w:ascii="Times New Roman" w:hAnsi="Times New Roman" w:cs="Times New Roman"/>
                <w:szCs w:val="20"/>
              </w:rPr>
            </w:pPr>
            <w:r w:rsidRPr="00FA3856">
              <w:rPr>
                <w:rFonts w:ascii="Times New Roman" w:hAnsi="Times New Roman" w:cs="Times New Roman"/>
                <w:szCs w:val="20"/>
              </w:rPr>
              <w:t>103.000,00</w:t>
            </w:r>
          </w:p>
        </w:tc>
        <w:tc>
          <w:tcPr>
            <w:tcW w:w="739" w:type="pct"/>
            <w:hideMark/>
          </w:tcPr>
          <w:p w:rsidR="00847484" w:rsidRPr="00FA3856" w:rsidRDefault="00847484" w:rsidP="00EF5A6B">
            <w:pPr>
              <w:pStyle w:val="NormalWeb"/>
              <w:spacing w:before="0" w:after="0"/>
              <w:jc w:val="right"/>
              <w:rPr>
                <w:rFonts w:ascii="Times New Roman" w:hAnsi="Times New Roman" w:cs="Times New Roman"/>
                <w:szCs w:val="20"/>
              </w:rPr>
            </w:pPr>
            <w:r w:rsidRPr="00FA3856">
              <w:rPr>
                <w:rFonts w:ascii="Times New Roman" w:hAnsi="Times New Roman" w:cs="Times New Roman"/>
                <w:szCs w:val="20"/>
              </w:rPr>
              <w:t>54.000,00</w:t>
            </w:r>
          </w:p>
        </w:tc>
        <w:tc>
          <w:tcPr>
            <w:tcW w:w="739" w:type="pct"/>
            <w:hideMark/>
          </w:tcPr>
          <w:p w:rsidR="00847484" w:rsidRPr="00FA3856" w:rsidRDefault="00847484" w:rsidP="00EF5A6B">
            <w:pPr>
              <w:pStyle w:val="NormalWeb"/>
              <w:spacing w:before="0" w:after="0"/>
              <w:jc w:val="right"/>
              <w:rPr>
                <w:rFonts w:ascii="Times New Roman" w:hAnsi="Times New Roman" w:cs="Times New Roman"/>
                <w:szCs w:val="20"/>
              </w:rPr>
            </w:pPr>
            <w:r w:rsidRPr="00FA3856">
              <w:rPr>
                <w:rFonts w:ascii="Times New Roman" w:hAnsi="Times New Roman" w:cs="Times New Roman"/>
                <w:szCs w:val="20"/>
              </w:rPr>
              <w:t>16.750,00</w:t>
            </w:r>
          </w:p>
        </w:tc>
      </w:tr>
    </w:tbl>
    <w:p w:rsidR="00847484" w:rsidRPr="00FA3856" w:rsidRDefault="00847484" w:rsidP="00A36A8B">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p w:rsidR="00EF5A6B" w:rsidRPr="00FA3856" w:rsidRDefault="00EF5A6B">
      <w:pPr>
        <w:spacing w:after="200" w:line="276" w:lineRule="auto"/>
        <w:rPr>
          <w:rFonts w:eastAsia="Arial Unicode MS"/>
          <w:b/>
          <w:bCs/>
          <w:szCs w:val="20"/>
          <w:lang w:eastAsia="ar-SA"/>
        </w:rPr>
      </w:pPr>
      <w:r w:rsidRPr="00FA3856">
        <w:rPr>
          <w:b/>
          <w:bCs/>
          <w:szCs w:val="20"/>
        </w:rPr>
        <w:br w:type="page"/>
      </w:r>
    </w:p>
    <w:p w:rsidR="00847484" w:rsidRPr="00FA3856" w:rsidRDefault="001A6818" w:rsidP="00A36A8B">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lastRenderedPageBreak/>
        <w:t xml:space="preserve">VII.2) </w:t>
      </w:r>
      <w:r w:rsidR="00847484" w:rsidRPr="00FA3856">
        <w:rPr>
          <w:rFonts w:ascii="Times New Roman" w:hAnsi="Times New Roman" w:cs="Times New Roman"/>
          <w:b/>
          <w:bCs/>
          <w:szCs w:val="20"/>
        </w:rPr>
        <w:t>Do Lucro da Exploração</w:t>
      </w:r>
    </w:p>
    <w:p w:rsidR="00EF5A6B" w:rsidRPr="00FA3856" w:rsidRDefault="00EF5A6B" w:rsidP="00A36A8B">
      <w:pPr>
        <w:pStyle w:val="NormalWeb"/>
        <w:spacing w:before="0" w:after="0"/>
        <w:jc w:val="both"/>
        <w:rPr>
          <w:rFonts w:ascii="Times New Roman" w:hAnsi="Times New Roman" w:cs="Times New Roman"/>
          <w:szCs w:val="20"/>
        </w:rPr>
      </w:pPr>
    </w:p>
    <w:p w:rsidR="00847484" w:rsidRPr="00FA3856" w:rsidRDefault="00847484" w:rsidP="00EF5A6B">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pessoa jurídica que estiver sujeita ao cálculo do lucro da exploração deve preencher da seguinte forma a "</w:t>
      </w:r>
      <w:r w:rsidRPr="00FA3856">
        <w:rPr>
          <w:rFonts w:ascii="Times New Roman" w:hAnsi="Times New Roman" w:cs="Times New Roman"/>
          <w:b/>
          <w:bCs/>
          <w:szCs w:val="20"/>
        </w:rPr>
        <w:t>Demonstração do Lucro da Exploração</w:t>
      </w:r>
      <w:r w:rsidRPr="00FA3856">
        <w:rPr>
          <w:rFonts w:ascii="Times New Roman" w:hAnsi="Times New Roman" w:cs="Times New Roman"/>
          <w:szCs w:val="20"/>
        </w:rPr>
        <w:t xml:space="preserve"> - PJ em Geral":</w:t>
      </w:r>
    </w:p>
    <w:p w:rsidR="00114A1D" w:rsidRPr="00FA3856" w:rsidRDefault="00114A1D" w:rsidP="00EF5A6B">
      <w:pPr>
        <w:pStyle w:val="NormalWeb"/>
        <w:spacing w:before="0" w:after="0"/>
        <w:ind w:firstLine="708"/>
        <w:jc w:val="both"/>
        <w:rPr>
          <w:rFonts w:ascii="Times New Roman" w:hAnsi="Times New Roman" w:cs="Times New Roman"/>
          <w:szCs w:val="20"/>
        </w:rPr>
      </w:pPr>
    </w:p>
    <w:tbl>
      <w:tblPr>
        <w:tblW w:w="9537"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226"/>
        <w:gridCol w:w="1379"/>
        <w:gridCol w:w="1553"/>
        <w:gridCol w:w="1379"/>
      </w:tblGrid>
      <w:tr w:rsidR="00847484" w:rsidRPr="00FA3856" w:rsidTr="00114A1D">
        <w:trPr>
          <w:trHeight w:val="20"/>
          <w:tblCellSpacing w:w="0" w:type="dxa"/>
          <w:jc w:val="center"/>
        </w:trPr>
        <w:tc>
          <w:tcPr>
            <w:tcW w:w="2740" w:type="pct"/>
            <w:hideMark/>
          </w:tcPr>
          <w:p w:rsidR="00847484" w:rsidRPr="00FA3856" w:rsidRDefault="00847484" w:rsidP="00114A1D">
            <w:pPr>
              <w:pStyle w:val="NormalWeb"/>
              <w:spacing w:before="0" w:after="0"/>
              <w:jc w:val="center"/>
              <w:rPr>
                <w:rFonts w:ascii="Times New Roman" w:hAnsi="Times New Roman" w:cs="Times New Roman"/>
                <w:szCs w:val="20"/>
              </w:rPr>
            </w:pPr>
          </w:p>
        </w:tc>
        <w:tc>
          <w:tcPr>
            <w:tcW w:w="723" w:type="pct"/>
            <w:hideMark/>
          </w:tcPr>
          <w:p w:rsidR="00847484" w:rsidRPr="00FA3856" w:rsidRDefault="00847484" w:rsidP="00114A1D">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1</w:t>
            </w:r>
            <w:r w:rsidRPr="00FA3856">
              <w:rPr>
                <w:rFonts w:ascii="Times New Roman" w:hAnsi="Times New Roman" w:cs="Times New Roman"/>
                <w:strike/>
                <w:szCs w:val="20"/>
              </w:rPr>
              <w:t>º</w:t>
            </w:r>
            <w:r w:rsidRPr="00FA3856">
              <w:rPr>
                <w:rFonts w:ascii="Times New Roman" w:hAnsi="Times New Roman" w:cs="Times New Roman"/>
                <w:szCs w:val="20"/>
              </w:rPr>
              <w:t xml:space="preserve"> Trim</w:t>
            </w:r>
          </w:p>
        </w:tc>
        <w:tc>
          <w:tcPr>
            <w:tcW w:w="814" w:type="pct"/>
            <w:hideMark/>
          </w:tcPr>
          <w:p w:rsidR="00847484" w:rsidRPr="00FA3856" w:rsidRDefault="00847484" w:rsidP="00114A1D">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2</w:t>
            </w:r>
            <w:r w:rsidRPr="00FA3856">
              <w:rPr>
                <w:rFonts w:ascii="Times New Roman" w:hAnsi="Times New Roman" w:cs="Times New Roman"/>
                <w:strike/>
                <w:szCs w:val="20"/>
              </w:rPr>
              <w:t>º</w:t>
            </w:r>
            <w:r w:rsidRPr="00FA3856">
              <w:rPr>
                <w:rFonts w:ascii="Times New Roman" w:hAnsi="Times New Roman" w:cs="Times New Roman"/>
                <w:szCs w:val="20"/>
              </w:rPr>
              <w:t xml:space="preserve"> Trim</w:t>
            </w:r>
          </w:p>
        </w:tc>
        <w:tc>
          <w:tcPr>
            <w:tcW w:w="723" w:type="pct"/>
            <w:hideMark/>
          </w:tcPr>
          <w:p w:rsidR="00847484" w:rsidRPr="00FA3856" w:rsidRDefault="00847484" w:rsidP="00114A1D">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3</w:t>
            </w:r>
            <w:r w:rsidRPr="00FA3856">
              <w:rPr>
                <w:rFonts w:ascii="Times New Roman" w:hAnsi="Times New Roman" w:cs="Times New Roman"/>
                <w:strike/>
                <w:szCs w:val="20"/>
              </w:rPr>
              <w:t>º</w:t>
            </w:r>
            <w:r w:rsidRPr="00FA3856">
              <w:rPr>
                <w:rFonts w:ascii="Times New Roman" w:hAnsi="Times New Roman" w:cs="Times New Roman"/>
                <w:szCs w:val="20"/>
              </w:rPr>
              <w:t xml:space="preserve"> Trim</w:t>
            </w:r>
          </w:p>
        </w:tc>
      </w:tr>
      <w:tr w:rsidR="00847484" w:rsidRPr="00FA3856" w:rsidTr="00114A1D">
        <w:trPr>
          <w:trHeight w:val="20"/>
          <w:tblCellSpacing w:w="0" w:type="dxa"/>
          <w:jc w:val="center"/>
        </w:trPr>
        <w:tc>
          <w:tcPr>
            <w:tcW w:w="2740" w:type="pct"/>
            <w:hideMark/>
          </w:tcPr>
          <w:p w:rsidR="00847484" w:rsidRPr="00FA3856" w:rsidRDefault="00847484" w:rsidP="00EF5A6B">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Lucro Líquido Antes do IRPJ</w:t>
            </w:r>
          </w:p>
        </w:tc>
        <w:tc>
          <w:tcPr>
            <w:tcW w:w="723" w:type="pct"/>
            <w:hideMark/>
          </w:tcPr>
          <w:p w:rsidR="00847484" w:rsidRPr="00FA3856" w:rsidRDefault="00847484" w:rsidP="00114A1D">
            <w:pPr>
              <w:pStyle w:val="NormalWeb"/>
              <w:spacing w:before="0" w:after="0"/>
              <w:jc w:val="right"/>
              <w:rPr>
                <w:rFonts w:ascii="Times New Roman" w:hAnsi="Times New Roman" w:cs="Times New Roman"/>
                <w:szCs w:val="20"/>
              </w:rPr>
            </w:pPr>
            <w:r w:rsidRPr="00FA3856">
              <w:rPr>
                <w:rFonts w:ascii="Times New Roman" w:hAnsi="Times New Roman" w:cs="Times New Roman"/>
                <w:szCs w:val="20"/>
              </w:rPr>
              <w:t>111.000,00</w:t>
            </w:r>
          </w:p>
        </w:tc>
        <w:tc>
          <w:tcPr>
            <w:tcW w:w="814" w:type="pct"/>
            <w:hideMark/>
          </w:tcPr>
          <w:p w:rsidR="00847484" w:rsidRPr="00FA3856" w:rsidRDefault="00847484" w:rsidP="00114A1D">
            <w:pPr>
              <w:pStyle w:val="NormalWeb"/>
              <w:spacing w:before="0" w:after="0"/>
              <w:jc w:val="right"/>
              <w:rPr>
                <w:rFonts w:ascii="Times New Roman" w:hAnsi="Times New Roman" w:cs="Times New Roman"/>
                <w:szCs w:val="20"/>
              </w:rPr>
            </w:pPr>
            <w:r w:rsidRPr="00FA3856">
              <w:rPr>
                <w:rFonts w:ascii="Times New Roman" w:hAnsi="Times New Roman" w:cs="Times New Roman"/>
                <w:szCs w:val="20"/>
              </w:rPr>
              <w:t>60.000,00</w:t>
            </w:r>
          </w:p>
        </w:tc>
        <w:tc>
          <w:tcPr>
            <w:tcW w:w="723" w:type="pct"/>
            <w:hideMark/>
          </w:tcPr>
          <w:p w:rsidR="00847484" w:rsidRPr="00FA3856" w:rsidRDefault="00847484" w:rsidP="00114A1D">
            <w:pPr>
              <w:pStyle w:val="NormalWeb"/>
              <w:spacing w:before="0" w:after="0"/>
              <w:jc w:val="right"/>
              <w:rPr>
                <w:rFonts w:ascii="Times New Roman" w:hAnsi="Times New Roman" w:cs="Times New Roman"/>
                <w:szCs w:val="20"/>
              </w:rPr>
            </w:pPr>
            <w:r w:rsidRPr="00FA3856">
              <w:rPr>
                <w:rFonts w:ascii="Times New Roman" w:hAnsi="Times New Roman" w:cs="Times New Roman"/>
                <w:szCs w:val="20"/>
              </w:rPr>
              <w:t>-30.250,00,</w:t>
            </w:r>
          </w:p>
        </w:tc>
      </w:tr>
      <w:tr w:rsidR="00847484" w:rsidRPr="00FA3856" w:rsidTr="00114A1D">
        <w:trPr>
          <w:trHeight w:val="20"/>
          <w:tblCellSpacing w:w="0" w:type="dxa"/>
          <w:jc w:val="center"/>
        </w:trPr>
        <w:tc>
          <w:tcPr>
            <w:tcW w:w="2740" w:type="pct"/>
            <w:hideMark/>
          </w:tcPr>
          <w:p w:rsidR="00847484" w:rsidRPr="00FA3856" w:rsidRDefault="00847484" w:rsidP="00EF5A6B">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CSLL</w:t>
            </w:r>
          </w:p>
        </w:tc>
        <w:tc>
          <w:tcPr>
            <w:tcW w:w="723" w:type="pct"/>
            <w:hideMark/>
          </w:tcPr>
          <w:p w:rsidR="00847484" w:rsidRPr="00FA3856" w:rsidRDefault="00847484" w:rsidP="00114A1D">
            <w:pPr>
              <w:pStyle w:val="NormalWeb"/>
              <w:spacing w:before="0" w:after="0"/>
              <w:jc w:val="right"/>
              <w:rPr>
                <w:rFonts w:ascii="Times New Roman" w:hAnsi="Times New Roman" w:cs="Times New Roman"/>
                <w:szCs w:val="20"/>
              </w:rPr>
            </w:pPr>
            <w:r w:rsidRPr="00FA3856">
              <w:rPr>
                <w:rFonts w:ascii="Times New Roman" w:hAnsi="Times New Roman" w:cs="Times New Roman"/>
                <w:szCs w:val="20"/>
              </w:rPr>
              <w:t>10.000,00</w:t>
            </w:r>
          </w:p>
        </w:tc>
        <w:tc>
          <w:tcPr>
            <w:tcW w:w="814" w:type="pct"/>
            <w:hideMark/>
          </w:tcPr>
          <w:p w:rsidR="00847484" w:rsidRPr="00FA3856" w:rsidRDefault="00847484" w:rsidP="00114A1D">
            <w:pPr>
              <w:pStyle w:val="NormalWeb"/>
              <w:spacing w:before="0" w:after="0"/>
              <w:jc w:val="right"/>
              <w:rPr>
                <w:rFonts w:ascii="Times New Roman" w:hAnsi="Times New Roman" w:cs="Times New Roman"/>
                <w:szCs w:val="20"/>
              </w:rPr>
            </w:pPr>
            <w:r w:rsidRPr="00FA3856">
              <w:rPr>
                <w:rFonts w:ascii="Times New Roman" w:hAnsi="Times New Roman" w:cs="Times New Roman"/>
                <w:szCs w:val="20"/>
              </w:rPr>
              <w:t>3.000,00</w:t>
            </w:r>
          </w:p>
        </w:tc>
        <w:tc>
          <w:tcPr>
            <w:tcW w:w="723" w:type="pct"/>
            <w:hideMark/>
          </w:tcPr>
          <w:p w:rsidR="00847484" w:rsidRPr="00FA3856" w:rsidRDefault="00847484" w:rsidP="00114A1D">
            <w:pPr>
              <w:pStyle w:val="NormalWeb"/>
              <w:spacing w:before="0" w:after="0"/>
              <w:jc w:val="right"/>
              <w:rPr>
                <w:rFonts w:ascii="Times New Roman" w:hAnsi="Times New Roman" w:cs="Times New Roman"/>
                <w:szCs w:val="20"/>
              </w:rPr>
            </w:pPr>
            <w:r w:rsidRPr="00FA3856">
              <w:rPr>
                <w:rFonts w:ascii="Times New Roman" w:hAnsi="Times New Roman" w:cs="Times New Roman"/>
                <w:szCs w:val="20"/>
              </w:rPr>
              <w:t>20.000,00</w:t>
            </w:r>
          </w:p>
        </w:tc>
      </w:tr>
      <w:tr w:rsidR="00114A1D" w:rsidRPr="00FA3856" w:rsidTr="00114A1D">
        <w:trPr>
          <w:trHeight w:val="20"/>
          <w:tblCellSpacing w:w="0" w:type="dxa"/>
          <w:jc w:val="center"/>
        </w:trPr>
        <w:tc>
          <w:tcPr>
            <w:tcW w:w="2740" w:type="pct"/>
            <w:hideMark/>
          </w:tcPr>
          <w:p w:rsidR="00114A1D" w:rsidRPr="00FA3856" w:rsidRDefault="00114A1D" w:rsidP="00114A1D">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Variações Cambiais Passivas (</w:t>
            </w:r>
            <w:hyperlink r:id="rId221" w:anchor="MP1807" w:history="1">
              <w:r w:rsidRPr="00FA3856">
                <w:rPr>
                  <w:rStyle w:val="Hyperlink"/>
                  <w:rFonts w:ascii="Times New Roman" w:hAnsi="Times New Roman" w:cs="Times New Roman"/>
                  <w:color w:val="auto"/>
                  <w:szCs w:val="20"/>
                </w:rPr>
                <w:t>MP n</w:t>
              </w:r>
              <w:r w:rsidRPr="00FA3856">
                <w:rPr>
                  <w:rStyle w:val="Hyperlink"/>
                  <w:rFonts w:ascii="Times New Roman" w:hAnsi="Times New Roman" w:cs="Times New Roman"/>
                  <w:strike/>
                  <w:color w:val="auto"/>
                  <w:szCs w:val="20"/>
                </w:rPr>
                <w:t>º</w:t>
              </w:r>
              <w:r w:rsidRPr="00FA3856">
                <w:rPr>
                  <w:rStyle w:val="Hyperlink"/>
                  <w:rFonts w:ascii="Times New Roman" w:hAnsi="Times New Roman" w:cs="Times New Roman"/>
                  <w:color w:val="auto"/>
                  <w:szCs w:val="20"/>
                </w:rPr>
                <w:t xml:space="preserve"> 1.858-10</w:t>
              </w:r>
            </w:hyperlink>
            <w:r w:rsidRPr="00FA3856">
              <w:rPr>
                <w:rFonts w:ascii="Times New Roman" w:hAnsi="Times New Roman" w:cs="Times New Roman"/>
                <w:szCs w:val="20"/>
              </w:rPr>
              <w:t>, de 1999)</w:t>
            </w:r>
          </w:p>
        </w:tc>
        <w:tc>
          <w:tcPr>
            <w:tcW w:w="723" w:type="pct"/>
            <w:hideMark/>
          </w:tcPr>
          <w:p w:rsidR="00114A1D" w:rsidRPr="00FA3856" w:rsidRDefault="00114A1D" w:rsidP="00114A1D">
            <w:pPr>
              <w:pStyle w:val="NormalWeb"/>
              <w:spacing w:before="0" w:after="0"/>
              <w:jc w:val="right"/>
              <w:rPr>
                <w:rFonts w:ascii="Times New Roman" w:hAnsi="Times New Roman" w:cs="Times New Roman"/>
                <w:szCs w:val="20"/>
              </w:rPr>
            </w:pPr>
            <w:r w:rsidRPr="00FA3856">
              <w:rPr>
                <w:rFonts w:ascii="Times New Roman" w:hAnsi="Times New Roman" w:cs="Times New Roman"/>
                <w:szCs w:val="20"/>
              </w:rPr>
              <w:t>0,00</w:t>
            </w:r>
          </w:p>
        </w:tc>
        <w:tc>
          <w:tcPr>
            <w:tcW w:w="814" w:type="pct"/>
            <w:hideMark/>
          </w:tcPr>
          <w:p w:rsidR="00114A1D" w:rsidRPr="00FA3856" w:rsidRDefault="00114A1D" w:rsidP="00114A1D">
            <w:pPr>
              <w:pStyle w:val="NormalWeb"/>
              <w:spacing w:before="0" w:after="0"/>
              <w:jc w:val="right"/>
              <w:rPr>
                <w:rFonts w:ascii="Times New Roman" w:hAnsi="Times New Roman" w:cs="Times New Roman"/>
                <w:szCs w:val="20"/>
              </w:rPr>
            </w:pPr>
            <w:r w:rsidRPr="00FA3856">
              <w:rPr>
                <w:rFonts w:ascii="Times New Roman" w:hAnsi="Times New Roman" w:cs="Times New Roman"/>
                <w:szCs w:val="20"/>
              </w:rPr>
              <w:t>0,00</w:t>
            </w:r>
          </w:p>
        </w:tc>
        <w:tc>
          <w:tcPr>
            <w:tcW w:w="723" w:type="pct"/>
            <w:hideMark/>
          </w:tcPr>
          <w:p w:rsidR="00114A1D" w:rsidRPr="00FA3856" w:rsidRDefault="00114A1D" w:rsidP="00114A1D">
            <w:pPr>
              <w:pStyle w:val="NormalWeb"/>
              <w:spacing w:before="0" w:after="0"/>
              <w:jc w:val="right"/>
              <w:rPr>
                <w:rFonts w:ascii="Times New Roman" w:hAnsi="Times New Roman" w:cs="Times New Roman"/>
                <w:szCs w:val="20"/>
              </w:rPr>
            </w:pPr>
            <w:r w:rsidRPr="00FA3856">
              <w:rPr>
                <w:rFonts w:ascii="Times New Roman" w:hAnsi="Times New Roman" w:cs="Times New Roman"/>
                <w:szCs w:val="20"/>
              </w:rPr>
              <w:t>92.250,00</w:t>
            </w:r>
          </w:p>
        </w:tc>
      </w:tr>
      <w:tr w:rsidR="00114A1D" w:rsidRPr="00FA3856" w:rsidTr="00114A1D">
        <w:trPr>
          <w:trHeight w:val="20"/>
          <w:tblCellSpacing w:w="0" w:type="dxa"/>
          <w:jc w:val="center"/>
        </w:trPr>
        <w:tc>
          <w:tcPr>
            <w:tcW w:w="2740" w:type="pct"/>
            <w:hideMark/>
          </w:tcPr>
          <w:p w:rsidR="00114A1D" w:rsidRPr="00FA3856" w:rsidRDefault="00114A1D" w:rsidP="00114A1D">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Variações Cambiais Ativas - Operações Liquidadas</w:t>
            </w:r>
          </w:p>
        </w:tc>
        <w:tc>
          <w:tcPr>
            <w:tcW w:w="723" w:type="pct"/>
            <w:hideMark/>
          </w:tcPr>
          <w:p w:rsidR="00114A1D" w:rsidRPr="00FA3856" w:rsidRDefault="00114A1D" w:rsidP="00114A1D">
            <w:pPr>
              <w:pStyle w:val="NormalWeb"/>
              <w:spacing w:before="0" w:after="0"/>
              <w:jc w:val="right"/>
              <w:rPr>
                <w:rFonts w:ascii="Times New Roman" w:hAnsi="Times New Roman" w:cs="Times New Roman"/>
                <w:szCs w:val="20"/>
              </w:rPr>
            </w:pPr>
            <w:r w:rsidRPr="00FA3856">
              <w:rPr>
                <w:rFonts w:ascii="Times New Roman" w:hAnsi="Times New Roman" w:cs="Times New Roman"/>
                <w:szCs w:val="20"/>
              </w:rPr>
              <w:t>1.000,00</w:t>
            </w:r>
          </w:p>
        </w:tc>
        <w:tc>
          <w:tcPr>
            <w:tcW w:w="814" w:type="pct"/>
            <w:hideMark/>
          </w:tcPr>
          <w:p w:rsidR="00114A1D" w:rsidRPr="00FA3856" w:rsidRDefault="00114A1D" w:rsidP="00114A1D">
            <w:pPr>
              <w:pStyle w:val="NormalWeb"/>
              <w:spacing w:before="0" w:after="0"/>
              <w:jc w:val="right"/>
              <w:rPr>
                <w:rFonts w:ascii="Times New Roman" w:hAnsi="Times New Roman" w:cs="Times New Roman"/>
                <w:szCs w:val="20"/>
              </w:rPr>
            </w:pPr>
            <w:r w:rsidRPr="00FA3856">
              <w:rPr>
                <w:rFonts w:ascii="Times New Roman" w:hAnsi="Times New Roman" w:cs="Times New Roman"/>
                <w:szCs w:val="20"/>
              </w:rPr>
              <w:t>18.000,00</w:t>
            </w:r>
          </w:p>
        </w:tc>
        <w:tc>
          <w:tcPr>
            <w:tcW w:w="723" w:type="pct"/>
            <w:hideMark/>
          </w:tcPr>
          <w:p w:rsidR="00114A1D" w:rsidRPr="00FA3856" w:rsidRDefault="00114A1D" w:rsidP="00114A1D">
            <w:pPr>
              <w:pStyle w:val="NormalWeb"/>
              <w:spacing w:before="0" w:after="0"/>
              <w:jc w:val="right"/>
              <w:rPr>
                <w:rFonts w:ascii="Times New Roman" w:hAnsi="Times New Roman" w:cs="Times New Roman"/>
                <w:szCs w:val="20"/>
              </w:rPr>
            </w:pPr>
            <w:r w:rsidRPr="00FA3856">
              <w:rPr>
                <w:rFonts w:ascii="Times New Roman" w:hAnsi="Times New Roman" w:cs="Times New Roman"/>
                <w:szCs w:val="20"/>
              </w:rPr>
              <w:t>0,00</w:t>
            </w:r>
          </w:p>
        </w:tc>
      </w:tr>
      <w:tr w:rsidR="00114A1D" w:rsidRPr="00FA3856" w:rsidTr="00114A1D">
        <w:trPr>
          <w:trHeight w:val="20"/>
          <w:tblCellSpacing w:w="0" w:type="dxa"/>
          <w:jc w:val="center"/>
        </w:trPr>
        <w:tc>
          <w:tcPr>
            <w:tcW w:w="2740" w:type="pct"/>
            <w:hideMark/>
          </w:tcPr>
          <w:p w:rsidR="00114A1D" w:rsidRPr="00FA3856" w:rsidRDefault="00114A1D" w:rsidP="00114A1D">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Variações Cambiais Ativas (</w:t>
            </w:r>
            <w:hyperlink r:id="rId222" w:anchor="MP1807" w:history="1">
              <w:r w:rsidRPr="00FA3856">
                <w:rPr>
                  <w:rStyle w:val="Hyperlink"/>
                  <w:rFonts w:ascii="Times New Roman" w:hAnsi="Times New Roman" w:cs="Times New Roman"/>
                  <w:color w:val="auto"/>
                  <w:szCs w:val="20"/>
                </w:rPr>
                <w:t>MP n</w:t>
              </w:r>
              <w:r w:rsidRPr="00FA3856">
                <w:rPr>
                  <w:rStyle w:val="Hyperlink"/>
                  <w:rFonts w:ascii="Times New Roman" w:hAnsi="Times New Roman" w:cs="Times New Roman"/>
                  <w:strike/>
                  <w:color w:val="auto"/>
                  <w:szCs w:val="20"/>
                </w:rPr>
                <w:t>º</w:t>
              </w:r>
              <w:r w:rsidRPr="00FA3856">
                <w:rPr>
                  <w:rStyle w:val="Hyperlink"/>
                  <w:rFonts w:ascii="Times New Roman" w:hAnsi="Times New Roman" w:cs="Times New Roman"/>
                  <w:color w:val="auto"/>
                  <w:szCs w:val="20"/>
                </w:rPr>
                <w:t xml:space="preserve"> 1.858-10</w:t>
              </w:r>
            </w:hyperlink>
            <w:r w:rsidRPr="00FA3856">
              <w:rPr>
                <w:rFonts w:ascii="Times New Roman" w:hAnsi="Times New Roman" w:cs="Times New Roman"/>
                <w:szCs w:val="20"/>
              </w:rPr>
              <w:t>, de 1999)</w:t>
            </w:r>
          </w:p>
        </w:tc>
        <w:tc>
          <w:tcPr>
            <w:tcW w:w="723" w:type="pct"/>
            <w:hideMark/>
          </w:tcPr>
          <w:p w:rsidR="00114A1D" w:rsidRPr="00FA3856" w:rsidRDefault="00114A1D" w:rsidP="00114A1D">
            <w:pPr>
              <w:pStyle w:val="NormalWeb"/>
              <w:spacing w:before="0" w:after="0"/>
              <w:jc w:val="right"/>
              <w:rPr>
                <w:rFonts w:ascii="Times New Roman" w:hAnsi="Times New Roman" w:cs="Times New Roman"/>
                <w:szCs w:val="20"/>
              </w:rPr>
            </w:pPr>
            <w:r w:rsidRPr="00FA3856">
              <w:rPr>
                <w:rFonts w:ascii="Times New Roman" w:hAnsi="Times New Roman" w:cs="Times New Roman"/>
                <w:szCs w:val="20"/>
              </w:rPr>
              <w:t>-19.000</w:t>
            </w:r>
            <w:bookmarkStart w:id="180" w:name="subitem_19.1.2"/>
            <w:bookmarkEnd w:id="180"/>
            <w:r w:rsidRPr="00FA3856">
              <w:rPr>
                <w:rFonts w:ascii="Times New Roman" w:hAnsi="Times New Roman" w:cs="Times New Roman"/>
                <w:szCs w:val="20"/>
              </w:rPr>
              <w:t>,00</w:t>
            </w:r>
          </w:p>
        </w:tc>
        <w:tc>
          <w:tcPr>
            <w:tcW w:w="814" w:type="pct"/>
            <w:hideMark/>
          </w:tcPr>
          <w:p w:rsidR="00114A1D" w:rsidRPr="00FA3856" w:rsidRDefault="00114A1D" w:rsidP="00114A1D">
            <w:pPr>
              <w:pStyle w:val="NormalWeb"/>
              <w:spacing w:before="0" w:after="0"/>
              <w:jc w:val="right"/>
              <w:rPr>
                <w:rFonts w:ascii="Times New Roman" w:hAnsi="Times New Roman" w:cs="Times New Roman"/>
                <w:szCs w:val="20"/>
              </w:rPr>
            </w:pPr>
            <w:r w:rsidRPr="00FA3856">
              <w:rPr>
                <w:rFonts w:ascii="Times New Roman" w:hAnsi="Times New Roman" w:cs="Times New Roman"/>
                <w:szCs w:val="20"/>
              </w:rPr>
              <w:t>-27.000,00</w:t>
            </w:r>
          </w:p>
        </w:tc>
        <w:tc>
          <w:tcPr>
            <w:tcW w:w="723" w:type="pct"/>
            <w:hideMark/>
          </w:tcPr>
          <w:p w:rsidR="00114A1D" w:rsidRPr="00FA3856" w:rsidRDefault="00114A1D" w:rsidP="00114A1D">
            <w:pPr>
              <w:pStyle w:val="NormalWeb"/>
              <w:spacing w:before="0" w:after="0"/>
              <w:jc w:val="right"/>
              <w:rPr>
                <w:rFonts w:ascii="Times New Roman" w:hAnsi="Times New Roman" w:cs="Times New Roman"/>
                <w:szCs w:val="20"/>
              </w:rPr>
            </w:pPr>
            <w:r w:rsidRPr="00FA3856">
              <w:rPr>
                <w:rFonts w:ascii="Times New Roman" w:hAnsi="Times New Roman" w:cs="Times New Roman"/>
                <w:szCs w:val="20"/>
              </w:rPr>
              <w:t>-18.000,00</w:t>
            </w:r>
          </w:p>
        </w:tc>
      </w:tr>
      <w:tr w:rsidR="00114A1D" w:rsidRPr="00FA3856" w:rsidTr="00114A1D">
        <w:trPr>
          <w:trHeight w:val="20"/>
          <w:tblCellSpacing w:w="0" w:type="dxa"/>
          <w:jc w:val="center"/>
        </w:trPr>
        <w:tc>
          <w:tcPr>
            <w:tcW w:w="2740" w:type="pct"/>
            <w:hideMark/>
          </w:tcPr>
          <w:p w:rsidR="00114A1D" w:rsidRPr="00FA3856" w:rsidRDefault="00114A1D" w:rsidP="00114A1D">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Variações Cambiais Passivas - Operações Liquidadas</w:t>
            </w:r>
          </w:p>
        </w:tc>
        <w:tc>
          <w:tcPr>
            <w:tcW w:w="723" w:type="pct"/>
            <w:hideMark/>
          </w:tcPr>
          <w:p w:rsidR="00114A1D" w:rsidRPr="00FA3856" w:rsidRDefault="00114A1D" w:rsidP="00114A1D">
            <w:pPr>
              <w:pStyle w:val="NormalWeb"/>
              <w:spacing w:before="0" w:after="0"/>
              <w:jc w:val="right"/>
              <w:rPr>
                <w:rFonts w:ascii="Times New Roman" w:hAnsi="Times New Roman" w:cs="Times New Roman"/>
                <w:szCs w:val="20"/>
              </w:rPr>
            </w:pPr>
            <w:r w:rsidRPr="00FA3856">
              <w:rPr>
                <w:rFonts w:ascii="Times New Roman" w:hAnsi="Times New Roman" w:cs="Times New Roman"/>
                <w:szCs w:val="20"/>
              </w:rPr>
              <w:t>0,00</w:t>
            </w:r>
          </w:p>
        </w:tc>
        <w:tc>
          <w:tcPr>
            <w:tcW w:w="814" w:type="pct"/>
            <w:hideMark/>
          </w:tcPr>
          <w:p w:rsidR="00114A1D" w:rsidRPr="00FA3856" w:rsidRDefault="00114A1D" w:rsidP="00114A1D">
            <w:pPr>
              <w:pStyle w:val="NormalWeb"/>
              <w:spacing w:before="0" w:after="0"/>
              <w:jc w:val="right"/>
              <w:rPr>
                <w:rFonts w:ascii="Times New Roman" w:hAnsi="Times New Roman" w:cs="Times New Roman"/>
                <w:szCs w:val="20"/>
              </w:rPr>
            </w:pPr>
            <w:r w:rsidRPr="00FA3856">
              <w:rPr>
                <w:rFonts w:ascii="Times New Roman" w:hAnsi="Times New Roman" w:cs="Times New Roman"/>
                <w:szCs w:val="20"/>
              </w:rPr>
              <w:t>0,00</w:t>
            </w:r>
          </w:p>
        </w:tc>
        <w:tc>
          <w:tcPr>
            <w:tcW w:w="723" w:type="pct"/>
            <w:hideMark/>
          </w:tcPr>
          <w:p w:rsidR="00114A1D" w:rsidRPr="00FA3856" w:rsidRDefault="00114A1D" w:rsidP="00114A1D">
            <w:pPr>
              <w:pStyle w:val="NormalWeb"/>
              <w:spacing w:before="0" w:after="0"/>
              <w:jc w:val="right"/>
              <w:rPr>
                <w:rFonts w:ascii="Times New Roman" w:hAnsi="Times New Roman" w:cs="Times New Roman"/>
                <w:szCs w:val="20"/>
              </w:rPr>
            </w:pPr>
            <w:r w:rsidRPr="00FA3856">
              <w:rPr>
                <w:rFonts w:ascii="Times New Roman" w:hAnsi="Times New Roman" w:cs="Times New Roman"/>
                <w:szCs w:val="20"/>
              </w:rPr>
              <w:t>-47.250,00</w:t>
            </w:r>
          </w:p>
        </w:tc>
      </w:tr>
      <w:tr w:rsidR="00847484" w:rsidRPr="00FA3856" w:rsidTr="00114A1D">
        <w:trPr>
          <w:trHeight w:val="20"/>
          <w:tblCellSpacing w:w="0" w:type="dxa"/>
          <w:jc w:val="center"/>
        </w:trPr>
        <w:tc>
          <w:tcPr>
            <w:tcW w:w="2740" w:type="pct"/>
            <w:hideMark/>
          </w:tcPr>
          <w:p w:rsidR="00847484" w:rsidRPr="00FA3856" w:rsidRDefault="00847484" w:rsidP="00114A1D">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w:t>
            </w:r>
            <w:r w:rsidR="00114A1D" w:rsidRPr="00FA3856">
              <w:rPr>
                <w:rFonts w:ascii="Times New Roman" w:hAnsi="Times New Roman" w:cs="Times New Roman"/>
                <w:szCs w:val="20"/>
              </w:rPr>
              <w:t xml:space="preserve"> Receitas Financeiras Excedentes das </w:t>
            </w:r>
            <w:r w:rsidR="00B5790B" w:rsidRPr="00FA3856">
              <w:rPr>
                <w:rFonts w:ascii="Times New Roman" w:hAnsi="Times New Roman" w:cs="Times New Roman"/>
                <w:szCs w:val="20"/>
              </w:rPr>
              <w:t>Despesas</w:t>
            </w:r>
            <w:r w:rsidR="00114A1D" w:rsidRPr="00FA3856">
              <w:rPr>
                <w:rFonts w:ascii="Times New Roman" w:hAnsi="Times New Roman" w:cs="Times New Roman"/>
                <w:szCs w:val="20"/>
              </w:rPr>
              <w:t xml:space="preserve"> Financeiras</w:t>
            </w:r>
          </w:p>
        </w:tc>
        <w:tc>
          <w:tcPr>
            <w:tcW w:w="723" w:type="pct"/>
            <w:hideMark/>
          </w:tcPr>
          <w:p w:rsidR="00847484" w:rsidRPr="00FA3856" w:rsidRDefault="00847484" w:rsidP="00114A1D">
            <w:pPr>
              <w:pStyle w:val="NormalWeb"/>
              <w:spacing w:before="0" w:after="0"/>
              <w:jc w:val="right"/>
              <w:rPr>
                <w:rFonts w:ascii="Times New Roman" w:hAnsi="Times New Roman" w:cs="Times New Roman"/>
                <w:szCs w:val="20"/>
              </w:rPr>
            </w:pPr>
            <w:r w:rsidRPr="00FA3856">
              <w:rPr>
                <w:rFonts w:ascii="Times New Roman" w:hAnsi="Times New Roman" w:cs="Times New Roman"/>
                <w:szCs w:val="20"/>
              </w:rPr>
              <w:t>-3.000,00</w:t>
            </w:r>
          </w:p>
        </w:tc>
        <w:tc>
          <w:tcPr>
            <w:tcW w:w="814" w:type="pct"/>
            <w:hideMark/>
          </w:tcPr>
          <w:p w:rsidR="00847484" w:rsidRPr="00FA3856" w:rsidRDefault="00847484" w:rsidP="00114A1D">
            <w:pPr>
              <w:pStyle w:val="NormalWeb"/>
              <w:spacing w:before="0" w:after="0"/>
              <w:jc w:val="right"/>
              <w:rPr>
                <w:rFonts w:ascii="Times New Roman" w:hAnsi="Times New Roman" w:cs="Times New Roman"/>
                <w:szCs w:val="20"/>
              </w:rPr>
            </w:pPr>
            <w:r w:rsidRPr="00FA3856">
              <w:rPr>
                <w:rFonts w:ascii="Times New Roman" w:hAnsi="Times New Roman" w:cs="Times New Roman"/>
                <w:szCs w:val="20"/>
              </w:rPr>
              <w:t>-14.000,00</w:t>
            </w:r>
          </w:p>
        </w:tc>
        <w:tc>
          <w:tcPr>
            <w:tcW w:w="723" w:type="pct"/>
            <w:hideMark/>
          </w:tcPr>
          <w:p w:rsidR="00847484" w:rsidRPr="00FA3856" w:rsidRDefault="00847484" w:rsidP="00114A1D">
            <w:pPr>
              <w:pStyle w:val="NormalWeb"/>
              <w:spacing w:before="0" w:after="0"/>
              <w:jc w:val="right"/>
              <w:rPr>
                <w:rFonts w:ascii="Times New Roman" w:hAnsi="Times New Roman" w:cs="Times New Roman"/>
                <w:szCs w:val="20"/>
              </w:rPr>
            </w:pPr>
            <w:r w:rsidRPr="00FA3856">
              <w:rPr>
                <w:rFonts w:ascii="Times New Roman" w:hAnsi="Times New Roman" w:cs="Times New Roman"/>
                <w:szCs w:val="20"/>
              </w:rPr>
              <w:t>0,00</w:t>
            </w:r>
          </w:p>
        </w:tc>
      </w:tr>
      <w:tr w:rsidR="00847484" w:rsidRPr="00FA3856" w:rsidTr="00114A1D">
        <w:trPr>
          <w:trHeight w:val="20"/>
          <w:tblCellSpacing w:w="0" w:type="dxa"/>
          <w:jc w:val="center"/>
        </w:trPr>
        <w:tc>
          <w:tcPr>
            <w:tcW w:w="2740" w:type="pct"/>
            <w:hideMark/>
          </w:tcPr>
          <w:p w:rsidR="00847484" w:rsidRPr="00FA3856" w:rsidRDefault="00847484" w:rsidP="00EF5A6B">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tc>
        <w:tc>
          <w:tcPr>
            <w:tcW w:w="723" w:type="pct"/>
            <w:hideMark/>
          </w:tcPr>
          <w:p w:rsidR="00847484" w:rsidRPr="00FA3856" w:rsidRDefault="00847484" w:rsidP="00114A1D">
            <w:pPr>
              <w:pStyle w:val="NormalWeb"/>
              <w:spacing w:before="0" w:after="0"/>
              <w:jc w:val="right"/>
              <w:rPr>
                <w:rFonts w:ascii="Times New Roman" w:hAnsi="Times New Roman" w:cs="Times New Roman"/>
                <w:szCs w:val="20"/>
              </w:rPr>
            </w:pPr>
            <w:r w:rsidRPr="00FA3856">
              <w:rPr>
                <w:rFonts w:ascii="Times New Roman" w:hAnsi="Times New Roman" w:cs="Times New Roman"/>
                <w:szCs w:val="20"/>
              </w:rPr>
              <w:t> </w:t>
            </w:r>
          </w:p>
        </w:tc>
        <w:tc>
          <w:tcPr>
            <w:tcW w:w="814" w:type="pct"/>
            <w:hideMark/>
          </w:tcPr>
          <w:p w:rsidR="00847484" w:rsidRPr="00FA3856" w:rsidRDefault="00847484" w:rsidP="00114A1D">
            <w:pPr>
              <w:pStyle w:val="NormalWeb"/>
              <w:spacing w:before="0" w:after="0"/>
              <w:jc w:val="right"/>
              <w:rPr>
                <w:rFonts w:ascii="Times New Roman" w:hAnsi="Times New Roman" w:cs="Times New Roman"/>
                <w:szCs w:val="20"/>
              </w:rPr>
            </w:pPr>
            <w:r w:rsidRPr="00FA3856">
              <w:rPr>
                <w:rFonts w:ascii="Times New Roman" w:hAnsi="Times New Roman" w:cs="Times New Roman"/>
                <w:szCs w:val="20"/>
              </w:rPr>
              <w:t> </w:t>
            </w:r>
          </w:p>
        </w:tc>
        <w:tc>
          <w:tcPr>
            <w:tcW w:w="723" w:type="pct"/>
            <w:hideMark/>
          </w:tcPr>
          <w:p w:rsidR="00847484" w:rsidRPr="00FA3856" w:rsidRDefault="00847484" w:rsidP="00114A1D">
            <w:pPr>
              <w:pStyle w:val="NormalWeb"/>
              <w:spacing w:before="0" w:after="0"/>
              <w:jc w:val="right"/>
              <w:rPr>
                <w:rFonts w:ascii="Times New Roman" w:hAnsi="Times New Roman" w:cs="Times New Roman"/>
                <w:szCs w:val="20"/>
              </w:rPr>
            </w:pPr>
            <w:r w:rsidRPr="00FA3856">
              <w:rPr>
                <w:rFonts w:ascii="Times New Roman" w:hAnsi="Times New Roman" w:cs="Times New Roman"/>
                <w:szCs w:val="20"/>
              </w:rPr>
              <w:t> </w:t>
            </w:r>
          </w:p>
        </w:tc>
      </w:tr>
      <w:tr w:rsidR="00847484" w:rsidRPr="00FA3856" w:rsidTr="00114A1D">
        <w:trPr>
          <w:trHeight w:val="20"/>
          <w:tblCellSpacing w:w="0" w:type="dxa"/>
          <w:jc w:val="center"/>
        </w:trPr>
        <w:tc>
          <w:tcPr>
            <w:tcW w:w="2740" w:type="pct"/>
            <w:hideMark/>
          </w:tcPr>
          <w:p w:rsidR="00847484" w:rsidRPr="00FA3856" w:rsidRDefault="00114A1D" w:rsidP="00114A1D">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xml:space="preserve">= </w:t>
            </w:r>
            <w:r w:rsidR="00847484" w:rsidRPr="00FA3856">
              <w:rPr>
                <w:rFonts w:ascii="Times New Roman" w:hAnsi="Times New Roman" w:cs="Times New Roman"/>
                <w:szCs w:val="20"/>
              </w:rPr>
              <w:t>Lucro da Exploração</w:t>
            </w:r>
          </w:p>
        </w:tc>
        <w:tc>
          <w:tcPr>
            <w:tcW w:w="723" w:type="pct"/>
            <w:hideMark/>
          </w:tcPr>
          <w:p w:rsidR="00847484" w:rsidRPr="00FA3856" w:rsidRDefault="00847484" w:rsidP="00114A1D">
            <w:pPr>
              <w:pStyle w:val="NormalWeb"/>
              <w:spacing w:before="0" w:after="0"/>
              <w:jc w:val="right"/>
              <w:rPr>
                <w:rFonts w:ascii="Times New Roman" w:hAnsi="Times New Roman" w:cs="Times New Roman"/>
                <w:szCs w:val="20"/>
              </w:rPr>
            </w:pPr>
            <w:r w:rsidRPr="00FA3856">
              <w:rPr>
                <w:rFonts w:ascii="Times New Roman" w:hAnsi="Times New Roman" w:cs="Times New Roman"/>
                <w:szCs w:val="20"/>
              </w:rPr>
              <w:t>100.000,00</w:t>
            </w:r>
          </w:p>
        </w:tc>
        <w:tc>
          <w:tcPr>
            <w:tcW w:w="814" w:type="pct"/>
            <w:hideMark/>
          </w:tcPr>
          <w:p w:rsidR="00847484" w:rsidRPr="00FA3856" w:rsidRDefault="00847484" w:rsidP="00114A1D">
            <w:pPr>
              <w:pStyle w:val="NormalWeb"/>
              <w:spacing w:before="0" w:after="0"/>
              <w:jc w:val="right"/>
              <w:rPr>
                <w:rFonts w:ascii="Times New Roman" w:hAnsi="Times New Roman" w:cs="Times New Roman"/>
                <w:szCs w:val="20"/>
              </w:rPr>
            </w:pPr>
            <w:r w:rsidRPr="00FA3856">
              <w:rPr>
                <w:rFonts w:ascii="Times New Roman" w:hAnsi="Times New Roman" w:cs="Times New Roman"/>
                <w:szCs w:val="20"/>
              </w:rPr>
              <w:t>40.000,00</w:t>
            </w:r>
          </w:p>
        </w:tc>
        <w:tc>
          <w:tcPr>
            <w:tcW w:w="723" w:type="pct"/>
            <w:hideMark/>
          </w:tcPr>
          <w:p w:rsidR="00847484" w:rsidRPr="00FA3856" w:rsidRDefault="00847484" w:rsidP="00114A1D">
            <w:pPr>
              <w:pStyle w:val="NormalWeb"/>
              <w:spacing w:before="0" w:after="0"/>
              <w:jc w:val="right"/>
              <w:rPr>
                <w:rFonts w:ascii="Times New Roman" w:hAnsi="Times New Roman" w:cs="Times New Roman"/>
                <w:szCs w:val="20"/>
              </w:rPr>
            </w:pPr>
            <w:r w:rsidRPr="00FA3856">
              <w:rPr>
                <w:rFonts w:ascii="Times New Roman" w:hAnsi="Times New Roman" w:cs="Times New Roman"/>
                <w:szCs w:val="20"/>
              </w:rPr>
              <w:t>16.750,00</w:t>
            </w:r>
          </w:p>
        </w:tc>
      </w:tr>
    </w:tbl>
    <w:p w:rsidR="00114A1D" w:rsidRPr="00FA3856" w:rsidRDefault="00114A1D" w:rsidP="00A36A8B">
      <w:pPr>
        <w:pStyle w:val="NormalWeb"/>
        <w:spacing w:before="0" w:after="0"/>
        <w:jc w:val="both"/>
        <w:rPr>
          <w:rFonts w:ascii="Times New Roman" w:hAnsi="Times New Roman" w:cs="Times New Roman"/>
          <w:b/>
          <w:bCs/>
          <w:szCs w:val="20"/>
        </w:rPr>
      </w:pPr>
    </w:p>
    <w:p w:rsidR="00847484" w:rsidRPr="00FA3856" w:rsidRDefault="001A6818" w:rsidP="00A36A8B">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t xml:space="preserve">VII.3) </w:t>
      </w:r>
      <w:r w:rsidR="00847484" w:rsidRPr="00FA3856">
        <w:rPr>
          <w:rFonts w:ascii="Times New Roman" w:hAnsi="Times New Roman" w:cs="Times New Roman"/>
          <w:b/>
          <w:bCs/>
          <w:szCs w:val="20"/>
        </w:rPr>
        <w:t>Do Controle no Livro de Apuração do Lucro Real (Lalur)</w:t>
      </w:r>
    </w:p>
    <w:p w:rsidR="00114A1D" w:rsidRPr="00FA3856" w:rsidRDefault="00114A1D" w:rsidP="00A36A8B">
      <w:pPr>
        <w:pStyle w:val="NormalWeb"/>
        <w:spacing w:before="0" w:after="0"/>
        <w:jc w:val="both"/>
        <w:rPr>
          <w:rFonts w:ascii="Times New Roman" w:hAnsi="Times New Roman" w:cs="Times New Roman"/>
          <w:szCs w:val="20"/>
        </w:rPr>
      </w:pPr>
    </w:p>
    <w:p w:rsidR="00847484" w:rsidRPr="00FA3856" w:rsidRDefault="00847484" w:rsidP="00114A1D">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Parte B do Lalur deve ser preenchida conforme o disposto a seguir:</w:t>
      </w:r>
    </w:p>
    <w:p w:rsidR="00847484" w:rsidRPr="00FA3856" w:rsidRDefault="00847484" w:rsidP="00A36A8B">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tbl>
      <w:tblPr>
        <w:tblW w:w="9089" w:type="dxa"/>
        <w:jc w:val="center"/>
        <w:tblCellSpacing w:w="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00"/>
        <w:gridCol w:w="993"/>
        <w:gridCol w:w="1099"/>
        <w:gridCol w:w="1100"/>
        <w:gridCol w:w="1125"/>
        <w:gridCol w:w="472"/>
      </w:tblGrid>
      <w:tr w:rsidR="00A75154" w:rsidRPr="00FA3856" w:rsidTr="00A75154">
        <w:trPr>
          <w:tblCellSpacing w:w="7" w:type="dxa"/>
          <w:jc w:val="center"/>
        </w:trPr>
        <w:tc>
          <w:tcPr>
            <w:tcW w:w="2354" w:type="pct"/>
            <w:tcBorders>
              <w:top w:val="outset" w:sz="6" w:space="0" w:color="auto"/>
              <w:left w:val="outset" w:sz="6" w:space="0" w:color="auto"/>
              <w:bottom w:val="outset" w:sz="6" w:space="0" w:color="auto"/>
              <w:right w:val="outset" w:sz="6" w:space="0" w:color="auto"/>
            </w:tcBorders>
            <w:hideMark/>
          </w:tcPr>
          <w:p w:rsidR="00A75154" w:rsidRPr="00FA3856" w:rsidRDefault="00A75154" w:rsidP="00A75154">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Histórico</w:t>
            </w:r>
          </w:p>
        </w:tc>
        <w:tc>
          <w:tcPr>
            <w:tcW w:w="539" w:type="pct"/>
            <w:tcBorders>
              <w:top w:val="outset" w:sz="6" w:space="0" w:color="auto"/>
              <w:left w:val="outset" w:sz="6" w:space="0" w:color="auto"/>
              <w:bottom w:val="outset" w:sz="6" w:space="0" w:color="auto"/>
              <w:right w:val="outset" w:sz="6" w:space="0" w:color="auto"/>
            </w:tcBorders>
            <w:hideMark/>
          </w:tcPr>
          <w:p w:rsidR="00A75154" w:rsidRPr="00FA3856" w:rsidRDefault="00A75154" w:rsidP="00A75154">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Data</w:t>
            </w:r>
          </w:p>
        </w:tc>
        <w:tc>
          <w:tcPr>
            <w:tcW w:w="597" w:type="pct"/>
            <w:tcBorders>
              <w:top w:val="outset" w:sz="6" w:space="0" w:color="auto"/>
              <w:left w:val="outset" w:sz="6" w:space="0" w:color="auto"/>
              <w:bottom w:val="outset" w:sz="6" w:space="0" w:color="auto"/>
              <w:right w:val="outset" w:sz="6" w:space="0" w:color="auto"/>
            </w:tcBorders>
          </w:tcPr>
          <w:p w:rsidR="00A75154" w:rsidRPr="00FA3856" w:rsidRDefault="00A75154" w:rsidP="00A75154">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Débito</w:t>
            </w:r>
          </w:p>
        </w:tc>
        <w:tc>
          <w:tcPr>
            <w:tcW w:w="597" w:type="pct"/>
            <w:tcBorders>
              <w:top w:val="outset" w:sz="6" w:space="0" w:color="auto"/>
              <w:left w:val="outset" w:sz="6" w:space="0" w:color="auto"/>
              <w:bottom w:val="outset" w:sz="6" w:space="0" w:color="auto"/>
              <w:right w:val="outset" w:sz="6" w:space="0" w:color="auto"/>
            </w:tcBorders>
            <w:hideMark/>
          </w:tcPr>
          <w:p w:rsidR="00A75154" w:rsidRPr="00FA3856" w:rsidRDefault="00A75154" w:rsidP="00A75154">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Crédito</w:t>
            </w:r>
          </w:p>
        </w:tc>
        <w:tc>
          <w:tcPr>
            <w:tcW w:w="611" w:type="pct"/>
            <w:tcBorders>
              <w:top w:val="outset" w:sz="6" w:space="0" w:color="auto"/>
              <w:left w:val="outset" w:sz="6" w:space="0" w:color="auto"/>
              <w:bottom w:val="outset" w:sz="6" w:space="0" w:color="auto"/>
              <w:right w:val="outset" w:sz="6" w:space="0" w:color="auto"/>
            </w:tcBorders>
            <w:hideMark/>
          </w:tcPr>
          <w:p w:rsidR="00A75154" w:rsidRPr="00FA3856" w:rsidRDefault="00A75154" w:rsidP="00A75154">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Saldo</w:t>
            </w:r>
          </w:p>
        </w:tc>
        <w:tc>
          <w:tcPr>
            <w:tcW w:w="248" w:type="pct"/>
            <w:tcBorders>
              <w:top w:val="outset" w:sz="6" w:space="0" w:color="auto"/>
              <w:left w:val="outset" w:sz="6" w:space="0" w:color="auto"/>
              <w:bottom w:val="outset" w:sz="6" w:space="0" w:color="auto"/>
              <w:right w:val="outset" w:sz="6" w:space="0" w:color="auto"/>
            </w:tcBorders>
            <w:hideMark/>
          </w:tcPr>
          <w:p w:rsidR="00A75154" w:rsidRPr="00FA3856" w:rsidRDefault="00A75154" w:rsidP="00A75154">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D/C</w:t>
            </w:r>
          </w:p>
        </w:tc>
      </w:tr>
      <w:tr w:rsidR="00A75154" w:rsidRPr="00FA3856" w:rsidTr="00A75154">
        <w:trPr>
          <w:tblCellSpacing w:w="7" w:type="dxa"/>
          <w:jc w:val="center"/>
        </w:trPr>
        <w:tc>
          <w:tcPr>
            <w:tcW w:w="2354" w:type="pct"/>
            <w:tcBorders>
              <w:top w:val="outset" w:sz="6" w:space="0" w:color="auto"/>
              <w:left w:val="outset" w:sz="6" w:space="0" w:color="auto"/>
              <w:bottom w:val="outset" w:sz="6" w:space="0" w:color="auto"/>
              <w:right w:val="outset" w:sz="6" w:space="0" w:color="auto"/>
            </w:tcBorders>
            <w:hideMark/>
          </w:tcPr>
          <w:p w:rsidR="00A75154" w:rsidRPr="00FA3856" w:rsidRDefault="00A75154" w:rsidP="00A75154">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Saldo Inicial</w:t>
            </w:r>
          </w:p>
        </w:tc>
        <w:tc>
          <w:tcPr>
            <w:tcW w:w="539" w:type="pct"/>
            <w:tcBorders>
              <w:top w:val="outset" w:sz="6" w:space="0" w:color="auto"/>
              <w:left w:val="outset" w:sz="6" w:space="0" w:color="auto"/>
              <w:bottom w:val="outset" w:sz="6" w:space="0" w:color="auto"/>
              <w:right w:val="outset" w:sz="6" w:space="0" w:color="auto"/>
            </w:tcBorders>
            <w:hideMark/>
          </w:tcPr>
          <w:p w:rsidR="00A75154" w:rsidRPr="00FA3856" w:rsidRDefault="00A75154" w:rsidP="00A75154">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31/12</w:t>
            </w:r>
          </w:p>
        </w:tc>
        <w:tc>
          <w:tcPr>
            <w:tcW w:w="597" w:type="pct"/>
            <w:tcBorders>
              <w:top w:val="outset" w:sz="6" w:space="0" w:color="auto"/>
              <w:left w:val="outset" w:sz="6" w:space="0" w:color="auto"/>
              <w:bottom w:val="outset" w:sz="6" w:space="0" w:color="auto"/>
              <w:right w:val="outset" w:sz="6" w:space="0" w:color="auto"/>
            </w:tcBorders>
          </w:tcPr>
          <w:p w:rsidR="00A75154" w:rsidRPr="00FA3856" w:rsidRDefault="00A75154" w:rsidP="00A75154">
            <w:pPr>
              <w:pStyle w:val="NormalWeb"/>
              <w:spacing w:before="0" w:after="0"/>
              <w:jc w:val="right"/>
              <w:rPr>
                <w:rFonts w:ascii="Times New Roman" w:hAnsi="Times New Roman" w:cs="Times New Roman"/>
                <w:szCs w:val="20"/>
              </w:rPr>
            </w:pPr>
            <w:r w:rsidRPr="00FA3856">
              <w:rPr>
                <w:rFonts w:ascii="Times New Roman" w:hAnsi="Times New Roman" w:cs="Times New Roman"/>
                <w:szCs w:val="20"/>
              </w:rPr>
              <w:t> </w:t>
            </w:r>
          </w:p>
        </w:tc>
        <w:tc>
          <w:tcPr>
            <w:tcW w:w="597" w:type="pct"/>
            <w:tcBorders>
              <w:top w:val="outset" w:sz="6" w:space="0" w:color="auto"/>
              <w:left w:val="outset" w:sz="6" w:space="0" w:color="auto"/>
              <w:bottom w:val="outset" w:sz="6" w:space="0" w:color="auto"/>
              <w:right w:val="outset" w:sz="6" w:space="0" w:color="auto"/>
            </w:tcBorders>
            <w:hideMark/>
          </w:tcPr>
          <w:p w:rsidR="00A75154" w:rsidRPr="00FA3856" w:rsidRDefault="00A75154" w:rsidP="00A75154">
            <w:pPr>
              <w:pStyle w:val="NormalWeb"/>
              <w:spacing w:before="0" w:after="0"/>
              <w:jc w:val="right"/>
              <w:rPr>
                <w:rFonts w:ascii="Times New Roman" w:hAnsi="Times New Roman" w:cs="Times New Roman"/>
                <w:szCs w:val="20"/>
              </w:rPr>
            </w:pPr>
            <w:r w:rsidRPr="00FA3856">
              <w:rPr>
                <w:rFonts w:ascii="Times New Roman" w:hAnsi="Times New Roman" w:cs="Times New Roman"/>
                <w:szCs w:val="20"/>
              </w:rPr>
              <w:t> </w:t>
            </w:r>
          </w:p>
        </w:tc>
        <w:tc>
          <w:tcPr>
            <w:tcW w:w="611" w:type="pct"/>
            <w:tcBorders>
              <w:top w:val="outset" w:sz="6" w:space="0" w:color="auto"/>
              <w:left w:val="outset" w:sz="6" w:space="0" w:color="auto"/>
              <w:bottom w:val="outset" w:sz="6" w:space="0" w:color="auto"/>
              <w:right w:val="outset" w:sz="6" w:space="0" w:color="auto"/>
            </w:tcBorders>
            <w:hideMark/>
          </w:tcPr>
          <w:p w:rsidR="00A75154" w:rsidRPr="00FA3856" w:rsidRDefault="00A75154" w:rsidP="00A75154">
            <w:pPr>
              <w:pStyle w:val="NormalWeb"/>
              <w:spacing w:before="0" w:after="0"/>
              <w:jc w:val="right"/>
              <w:rPr>
                <w:rFonts w:ascii="Times New Roman" w:hAnsi="Times New Roman" w:cs="Times New Roman"/>
                <w:szCs w:val="20"/>
              </w:rPr>
            </w:pPr>
            <w:r w:rsidRPr="00FA3856">
              <w:rPr>
                <w:rFonts w:ascii="Times New Roman" w:hAnsi="Times New Roman" w:cs="Times New Roman"/>
                <w:szCs w:val="20"/>
              </w:rPr>
              <w:t>0,00</w:t>
            </w:r>
          </w:p>
        </w:tc>
        <w:tc>
          <w:tcPr>
            <w:tcW w:w="248" w:type="pct"/>
            <w:tcBorders>
              <w:top w:val="outset" w:sz="6" w:space="0" w:color="auto"/>
              <w:left w:val="outset" w:sz="6" w:space="0" w:color="auto"/>
              <w:bottom w:val="outset" w:sz="6" w:space="0" w:color="auto"/>
              <w:right w:val="outset" w:sz="6" w:space="0" w:color="auto"/>
            </w:tcBorders>
            <w:hideMark/>
          </w:tcPr>
          <w:p w:rsidR="00A75154" w:rsidRPr="00FA3856" w:rsidRDefault="00A75154" w:rsidP="00A75154">
            <w:pPr>
              <w:pStyle w:val="NormalWeb"/>
              <w:spacing w:before="0" w:after="0"/>
              <w:jc w:val="center"/>
              <w:rPr>
                <w:rFonts w:ascii="Times New Roman" w:hAnsi="Times New Roman" w:cs="Times New Roman"/>
                <w:szCs w:val="20"/>
              </w:rPr>
            </w:pPr>
          </w:p>
        </w:tc>
      </w:tr>
      <w:tr w:rsidR="00A75154" w:rsidRPr="00FA3856" w:rsidTr="00A75154">
        <w:trPr>
          <w:tblCellSpacing w:w="7" w:type="dxa"/>
          <w:jc w:val="center"/>
        </w:trPr>
        <w:tc>
          <w:tcPr>
            <w:tcW w:w="2354" w:type="pct"/>
            <w:tcBorders>
              <w:top w:val="outset" w:sz="6" w:space="0" w:color="auto"/>
              <w:left w:val="outset" w:sz="6" w:space="0" w:color="auto"/>
              <w:bottom w:val="outset" w:sz="6" w:space="0" w:color="auto"/>
              <w:right w:val="outset" w:sz="6" w:space="0" w:color="auto"/>
            </w:tcBorders>
            <w:hideMark/>
          </w:tcPr>
          <w:p w:rsidR="00A75154" w:rsidRPr="00FA3856" w:rsidRDefault="00A75154" w:rsidP="00A75154">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Variação Cambial Ativa Jan</w:t>
            </w:r>
          </w:p>
        </w:tc>
        <w:tc>
          <w:tcPr>
            <w:tcW w:w="539" w:type="pct"/>
            <w:tcBorders>
              <w:top w:val="outset" w:sz="6" w:space="0" w:color="auto"/>
              <w:left w:val="outset" w:sz="6" w:space="0" w:color="auto"/>
              <w:bottom w:val="outset" w:sz="6" w:space="0" w:color="auto"/>
              <w:right w:val="outset" w:sz="6" w:space="0" w:color="auto"/>
            </w:tcBorders>
            <w:hideMark/>
          </w:tcPr>
          <w:p w:rsidR="00A75154" w:rsidRPr="00FA3856" w:rsidRDefault="00A75154" w:rsidP="00A75154">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31/01</w:t>
            </w:r>
          </w:p>
        </w:tc>
        <w:tc>
          <w:tcPr>
            <w:tcW w:w="597" w:type="pct"/>
            <w:tcBorders>
              <w:top w:val="outset" w:sz="6" w:space="0" w:color="auto"/>
              <w:left w:val="outset" w:sz="6" w:space="0" w:color="auto"/>
              <w:bottom w:val="outset" w:sz="6" w:space="0" w:color="auto"/>
              <w:right w:val="outset" w:sz="6" w:space="0" w:color="auto"/>
            </w:tcBorders>
          </w:tcPr>
          <w:p w:rsidR="00A75154" w:rsidRPr="00FA3856" w:rsidRDefault="00A75154" w:rsidP="00A75154">
            <w:pPr>
              <w:pStyle w:val="NormalWeb"/>
              <w:spacing w:before="0" w:after="0"/>
              <w:jc w:val="right"/>
              <w:rPr>
                <w:rFonts w:ascii="Times New Roman" w:hAnsi="Times New Roman" w:cs="Times New Roman"/>
                <w:szCs w:val="20"/>
              </w:rPr>
            </w:pPr>
            <w:r w:rsidRPr="00FA3856">
              <w:rPr>
                <w:rFonts w:ascii="Times New Roman" w:hAnsi="Times New Roman" w:cs="Times New Roman"/>
                <w:szCs w:val="20"/>
              </w:rPr>
              <w:t> </w:t>
            </w:r>
          </w:p>
        </w:tc>
        <w:tc>
          <w:tcPr>
            <w:tcW w:w="597" w:type="pct"/>
            <w:tcBorders>
              <w:top w:val="outset" w:sz="6" w:space="0" w:color="auto"/>
              <w:left w:val="outset" w:sz="6" w:space="0" w:color="auto"/>
              <w:bottom w:val="outset" w:sz="6" w:space="0" w:color="auto"/>
              <w:right w:val="outset" w:sz="6" w:space="0" w:color="auto"/>
            </w:tcBorders>
            <w:hideMark/>
          </w:tcPr>
          <w:p w:rsidR="00A75154" w:rsidRPr="00FA3856" w:rsidRDefault="00A75154" w:rsidP="00A75154">
            <w:pPr>
              <w:pStyle w:val="NormalWeb"/>
              <w:spacing w:before="0" w:after="0"/>
              <w:jc w:val="right"/>
              <w:rPr>
                <w:rFonts w:ascii="Times New Roman" w:hAnsi="Times New Roman" w:cs="Times New Roman"/>
                <w:szCs w:val="20"/>
              </w:rPr>
            </w:pPr>
            <w:r w:rsidRPr="00FA3856">
              <w:rPr>
                <w:rFonts w:ascii="Times New Roman" w:hAnsi="Times New Roman" w:cs="Times New Roman"/>
                <w:szCs w:val="20"/>
              </w:rPr>
              <w:t>6.000,00</w:t>
            </w:r>
          </w:p>
        </w:tc>
        <w:tc>
          <w:tcPr>
            <w:tcW w:w="611" w:type="pct"/>
            <w:tcBorders>
              <w:top w:val="outset" w:sz="6" w:space="0" w:color="auto"/>
              <w:left w:val="outset" w:sz="6" w:space="0" w:color="auto"/>
              <w:bottom w:val="outset" w:sz="6" w:space="0" w:color="auto"/>
              <w:right w:val="outset" w:sz="6" w:space="0" w:color="auto"/>
            </w:tcBorders>
            <w:hideMark/>
          </w:tcPr>
          <w:p w:rsidR="00A75154" w:rsidRPr="00FA3856" w:rsidRDefault="00A75154" w:rsidP="00A75154">
            <w:pPr>
              <w:pStyle w:val="NormalWeb"/>
              <w:spacing w:before="0" w:after="0"/>
              <w:jc w:val="right"/>
              <w:rPr>
                <w:rFonts w:ascii="Times New Roman" w:hAnsi="Times New Roman" w:cs="Times New Roman"/>
                <w:szCs w:val="20"/>
              </w:rPr>
            </w:pPr>
            <w:r w:rsidRPr="00FA3856">
              <w:rPr>
                <w:rFonts w:ascii="Times New Roman" w:hAnsi="Times New Roman" w:cs="Times New Roman"/>
                <w:szCs w:val="20"/>
              </w:rPr>
              <w:t>6.000,00</w:t>
            </w:r>
          </w:p>
        </w:tc>
        <w:tc>
          <w:tcPr>
            <w:tcW w:w="248" w:type="pct"/>
            <w:tcBorders>
              <w:top w:val="outset" w:sz="6" w:space="0" w:color="auto"/>
              <w:left w:val="outset" w:sz="6" w:space="0" w:color="auto"/>
              <w:bottom w:val="outset" w:sz="6" w:space="0" w:color="auto"/>
              <w:right w:val="outset" w:sz="6" w:space="0" w:color="auto"/>
            </w:tcBorders>
            <w:hideMark/>
          </w:tcPr>
          <w:p w:rsidR="00A75154" w:rsidRPr="00FA3856" w:rsidRDefault="00A75154" w:rsidP="00A75154">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C</w:t>
            </w:r>
          </w:p>
        </w:tc>
      </w:tr>
      <w:tr w:rsidR="00A75154" w:rsidRPr="00FA3856" w:rsidTr="00A75154">
        <w:trPr>
          <w:tblCellSpacing w:w="7" w:type="dxa"/>
          <w:jc w:val="center"/>
        </w:trPr>
        <w:tc>
          <w:tcPr>
            <w:tcW w:w="2354" w:type="pct"/>
            <w:tcBorders>
              <w:top w:val="outset" w:sz="6" w:space="0" w:color="auto"/>
              <w:left w:val="outset" w:sz="6" w:space="0" w:color="auto"/>
              <w:bottom w:val="outset" w:sz="6" w:space="0" w:color="auto"/>
              <w:right w:val="outset" w:sz="6" w:space="0" w:color="auto"/>
            </w:tcBorders>
            <w:hideMark/>
          </w:tcPr>
          <w:p w:rsidR="00A75154" w:rsidRPr="00FA3856" w:rsidRDefault="00A75154" w:rsidP="00A75154">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Variação Cambial Ativa Fev</w:t>
            </w:r>
          </w:p>
        </w:tc>
        <w:tc>
          <w:tcPr>
            <w:tcW w:w="539" w:type="pct"/>
            <w:tcBorders>
              <w:top w:val="outset" w:sz="6" w:space="0" w:color="auto"/>
              <w:left w:val="outset" w:sz="6" w:space="0" w:color="auto"/>
              <w:bottom w:val="outset" w:sz="6" w:space="0" w:color="auto"/>
              <w:right w:val="outset" w:sz="6" w:space="0" w:color="auto"/>
            </w:tcBorders>
            <w:hideMark/>
          </w:tcPr>
          <w:p w:rsidR="00A75154" w:rsidRPr="00FA3856" w:rsidRDefault="00A75154" w:rsidP="00A75154">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28/02</w:t>
            </w:r>
          </w:p>
        </w:tc>
        <w:tc>
          <w:tcPr>
            <w:tcW w:w="597" w:type="pct"/>
            <w:tcBorders>
              <w:top w:val="outset" w:sz="6" w:space="0" w:color="auto"/>
              <w:left w:val="outset" w:sz="6" w:space="0" w:color="auto"/>
              <w:bottom w:val="outset" w:sz="6" w:space="0" w:color="auto"/>
              <w:right w:val="outset" w:sz="6" w:space="0" w:color="auto"/>
            </w:tcBorders>
          </w:tcPr>
          <w:p w:rsidR="00A75154" w:rsidRPr="00FA3856" w:rsidRDefault="00A75154" w:rsidP="00A75154">
            <w:pPr>
              <w:pStyle w:val="NormalWeb"/>
              <w:spacing w:before="0" w:after="0"/>
              <w:jc w:val="right"/>
              <w:rPr>
                <w:rFonts w:ascii="Times New Roman" w:hAnsi="Times New Roman" w:cs="Times New Roman"/>
                <w:szCs w:val="20"/>
              </w:rPr>
            </w:pPr>
            <w:r w:rsidRPr="00FA3856">
              <w:rPr>
                <w:rFonts w:ascii="Times New Roman" w:hAnsi="Times New Roman" w:cs="Times New Roman"/>
                <w:szCs w:val="20"/>
              </w:rPr>
              <w:t> </w:t>
            </w:r>
          </w:p>
        </w:tc>
        <w:tc>
          <w:tcPr>
            <w:tcW w:w="597" w:type="pct"/>
            <w:tcBorders>
              <w:top w:val="outset" w:sz="6" w:space="0" w:color="auto"/>
              <w:left w:val="outset" w:sz="6" w:space="0" w:color="auto"/>
              <w:bottom w:val="outset" w:sz="6" w:space="0" w:color="auto"/>
              <w:right w:val="outset" w:sz="6" w:space="0" w:color="auto"/>
            </w:tcBorders>
            <w:hideMark/>
          </w:tcPr>
          <w:p w:rsidR="00A75154" w:rsidRPr="00FA3856" w:rsidRDefault="00A75154" w:rsidP="00A75154">
            <w:pPr>
              <w:pStyle w:val="NormalWeb"/>
              <w:spacing w:before="0" w:after="0"/>
              <w:jc w:val="right"/>
              <w:rPr>
                <w:rFonts w:ascii="Times New Roman" w:hAnsi="Times New Roman" w:cs="Times New Roman"/>
                <w:szCs w:val="20"/>
              </w:rPr>
            </w:pPr>
            <w:r w:rsidRPr="00FA3856">
              <w:rPr>
                <w:rFonts w:ascii="Times New Roman" w:hAnsi="Times New Roman" w:cs="Times New Roman"/>
                <w:szCs w:val="20"/>
              </w:rPr>
              <w:t>4.000,00</w:t>
            </w:r>
          </w:p>
        </w:tc>
        <w:tc>
          <w:tcPr>
            <w:tcW w:w="611" w:type="pct"/>
            <w:tcBorders>
              <w:top w:val="outset" w:sz="6" w:space="0" w:color="auto"/>
              <w:left w:val="outset" w:sz="6" w:space="0" w:color="auto"/>
              <w:bottom w:val="outset" w:sz="6" w:space="0" w:color="auto"/>
              <w:right w:val="outset" w:sz="6" w:space="0" w:color="auto"/>
            </w:tcBorders>
            <w:hideMark/>
          </w:tcPr>
          <w:p w:rsidR="00A75154" w:rsidRPr="00FA3856" w:rsidRDefault="00A75154" w:rsidP="00A75154">
            <w:pPr>
              <w:pStyle w:val="NormalWeb"/>
              <w:spacing w:before="0" w:after="0"/>
              <w:jc w:val="right"/>
              <w:rPr>
                <w:rFonts w:ascii="Times New Roman" w:hAnsi="Times New Roman" w:cs="Times New Roman"/>
                <w:szCs w:val="20"/>
              </w:rPr>
            </w:pPr>
            <w:r w:rsidRPr="00FA3856">
              <w:rPr>
                <w:rFonts w:ascii="Times New Roman" w:hAnsi="Times New Roman" w:cs="Times New Roman"/>
                <w:szCs w:val="20"/>
              </w:rPr>
              <w:t>10.000,00</w:t>
            </w:r>
          </w:p>
        </w:tc>
        <w:tc>
          <w:tcPr>
            <w:tcW w:w="248" w:type="pct"/>
            <w:tcBorders>
              <w:top w:val="outset" w:sz="6" w:space="0" w:color="auto"/>
              <w:left w:val="outset" w:sz="6" w:space="0" w:color="auto"/>
              <w:bottom w:val="outset" w:sz="6" w:space="0" w:color="auto"/>
              <w:right w:val="outset" w:sz="6" w:space="0" w:color="auto"/>
            </w:tcBorders>
            <w:hideMark/>
          </w:tcPr>
          <w:p w:rsidR="00A75154" w:rsidRPr="00FA3856" w:rsidRDefault="00A75154" w:rsidP="00A75154">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C</w:t>
            </w:r>
          </w:p>
        </w:tc>
      </w:tr>
      <w:tr w:rsidR="00A75154" w:rsidRPr="00FA3856" w:rsidTr="00A75154">
        <w:trPr>
          <w:tblCellSpacing w:w="7" w:type="dxa"/>
          <w:jc w:val="center"/>
        </w:trPr>
        <w:tc>
          <w:tcPr>
            <w:tcW w:w="2354" w:type="pct"/>
            <w:tcBorders>
              <w:top w:val="outset" w:sz="6" w:space="0" w:color="auto"/>
              <w:left w:val="outset" w:sz="6" w:space="0" w:color="auto"/>
              <w:bottom w:val="outset" w:sz="6" w:space="0" w:color="auto"/>
              <w:right w:val="outset" w:sz="6" w:space="0" w:color="auto"/>
            </w:tcBorders>
            <w:hideMark/>
          </w:tcPr>
          <w:p w:rsidR="00A75154" w:rsidRPr="00FA3856" w:rsidRDefault="00A75154" w:rsidP="00A75154">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Variação Cambial Ativa - Oper. Liquidada</w:t>
            </w:r>
          </w:p>
        </w:tc>
        <w:tc>
          <w:tcPr>
            <w:tcW w:w="539" w:type="pct"/>
            <w:tcBorders>
              <w:top w:val="outset" w:sz="6" w:space="0" w:color="auto"/>
              <w:left w:val="outset" w:sz="6" w:space="0" w:color="auto"/>
              <w:bottom w:val="outset" w:sz="6" w:space="0" w:color="auto"/>
              <w:right w:val="outset" w:sz="6" w:space="0" w:color="auto"/>
            </w:tcBorders>
            <w:hideMark/>
          </w:tcPr>
          <w:p w:rsidR="00A75154" w:rsidRPr="00FA3856" w:rsidRDefault="00A75154" w:rsidP="00A75154">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28/02</w:t>
            </w:r>
          </w:p>
        </w:tc>
        <w:tc>
          <w:tcPr>
            <w:tcW w:w="597" w:type="pct"/>
            <w:tcBorders>
              <w:top w:val="outset" w:sz="6" w:space="0" w:color="auto"/>
              <w:left w:val="outset" w:sz="6" w:space="0" w:color="auto"/>
              <w:bottom w:val="outset" w:sz="6" w:space="0" w:color="auto"/>
              <w:right w:val="outset" w:sz="6" w:space="0" w:color="auto"/>
            </w:tcBorders>
          </w:tcPr>
          <w:p w:rsidR="00A75154" w:rsidRPr="00FA3856" w:rsidRDefault="00A75154" w:rsidP="00A75154">
            <w:pPr>
              <w:pStyle w:val="NormalWeb"/>
              <w:spacing w:before="0" w:after="0"/>
              <w:jc w:val="right"/>
              <w:rPr>
                <w:rFonts w:ascii="Times New Roman" w:hAnsi="Times New Roman" w:cs="Times New Roman"/>
                <w:szCs w:val="20"/>
              </w:rPr>
            </w:pPr>
            <w:r w:rsidRPr="00FA3856">
              <w:rPr>
                <w:rFonts w:ascii="Times New Roman" w:hAnsi="Times New Roman" w:cs="Times New Roman"/>
                <w:szCs w:val="20"/>
              </w:rPr>
              <w:t>1.000,00</w:t>
            </w:r>
          </w:p>
        </w:tc>
        <w:tc>
          <w:tcPr>
            <w:tcW w:w="597" w:type="pct"/>
            <w:tcBorders>
              <w:top w:val="outset" w:sz="6" w:space="0" w:color="auto"/>
              <w:left w:val="outset" w:sz="6" w:space="0" w:color="auto"/>
              <w:bottom w:val="outset" w:sz="6" w:space="0" w:color="auto"/>
              <w:right w:val="outset" w:sz="6" w:space="0" w:color="auto"/>
            </w:tcBorders>
            <w:hideMark/>
          </w:tcPr>
          <w:p w:rsidR="00A75154" w:rsidRPr="00FA3856" w:rsidRDefault="00A75154" w:rsidP="00A75154">
            <w:pPr>
              <w:pStyle w:val="NormalWeb"/>
              <w:spacing w:before="0" w:after="0"/>
              <w:jc w:val="right"/>
              <w:rPr>
                <w:rFonts w:ascii="Times New Roman" w:hAnsi="Times New Roman" w:cs="Times New Roman"/>
                <w:szCs w:val="20"/>
              </w:rPr>
            </w:pPr>
            <w:r w:rsidRPr="00FA3856">
              <w:rPr>
                <w:rFonts w:ascii="Times New Roman" w:hAnsi="Times New Roman" w:cs="Times New Roman"/>
                <w:szCs w:val="20"/>
              </w:rPr>
              <w:t> </w:t>
            </w:r>
          </w:p>
        </w:tc>
        <w:tc>
          <w:tcPr>
            <w:tcW w:w="611" w:type="pct"/>
            <w:tcBorders>
              <w:top w:val="outset" w:sz="6" w:space="0" w:color="auto"/>
              <w:left w:val="outset" w:sz="6" w:space="0" w:color="auto"/>
              <w:bottom w:val="outset" w:sz="6" w:space="0" w:color="auto"/>
              <w:right w:val="outset" w:sz="6" w:space="0" w:color="auto"/>
            </w:tcBorders>
            <w:hideMark/>
          </w:tcPr>
          <w:p w:rsidR="00A75154" w:rsidRPr="00FA3856" w:rsidRDefault="00A75154" w:rsidP="00A75154">
            <w:pPr>
              <w:pStyle w:val="NormalWeb"/>
              <w:spacing w:before="0" w:after="0"/>
              <w:jc w:val="right"/>
              <w:rPr>
                <w:rFonts w:ascii="Times New Roman" w:hAnsi="Times New Roman" w:cs="Times New Roman"/>
                <w:szCs w:val="20"/>
              </w:rPr>
            </w:pPr>
            <w:r w:rsidRPr="00FA3856">
              <w:rPr>
                <w:rFonts w:ascii="Times New Roman" w:hAnsi="Times New Roman" w:cs="Times New Roman"/>
                <w:szCs w:val="20"/>
              </w:rPr>
              <w:t>9.000,00</w:t>
            </w:r>
          </w:p>
        </w:tc>
        <w:tc>
          <w:tcPr>
            <w:tcW w:w="248" w:type="pct"/>
            <w:tcBorders>
              <w:top w:val="outset" w:sz="6" w:space="0" w:color="auto"/>
              <w:left w:val="outset" w:sz="6" w:space="0" w:color="auto"/>
              <w:bottom w:val="outset" w:sz="6" w:space="0" w:color="auto"/>
              <w:right w:val="outset" w:sz="6" w:space="0" w:color="auto"/>
            </w:tcBorders>
            <w:hideMark/>
          </w:tcPr>
          <w:p w:rsidR="00A75154" w:rsidRPr="00FA3856" w:rsidRDefault="00A75154" w:rsidP="00A75154">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C</w:t>
            </w:r>
          </w:p>
        </w:tc>
      </w:tr>
      <w:tr w:rsidR="00A75154" w:rsidRPr="00FA3856" w:rsidTr="00A75154">
        <w:trPr>
          <w:tblCellSpacing w:w="7" w:type="dxa"/>
          <w:jc w:val="center"/>
        </w:trPr>
        <w:tc>
          <w:tcPr>
            <w:tcW w:w="2354" w:type="pct"/>
            <w:tcBorders>
              <w:top w:val="outset" w:sz="6" w:space="0" w:color="auto"/>
              <w:left w:val="outset" w:sz="6" w:space="0" w:color="auto"/>
              <w:bottom w:val="outset" w:sz="6" w:space="0" w:color="auto"/>
              <w:right w:val="outset" w:sz="6" w:space="0" w:color="auto"/>
            </w:tcBorders>
            <w:hideMark/>
          </w:tcPr>
          <w:p w:rsidR="00A75154" w:rsidRPr="00FA3856" w:rsidRDefault="00A75154" w:rsidP="00A75154">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Variação Cambial Ativa Mar</w:t>
            </w:r>
          </w:p>
        </w:tc>
        <w:tc>
          <w:tcPr>
            <w:tcW w:w="539" w:type="pct"/>
            <w:tcBorders>
              <w:top w:val="outset" w:sz="6" w:space="0" w:color="auto"/>
              <w:left w:val="outset" w:sz="6" w:space="0" w:color="auto"/>
              <w:bottom w:val="outset" w:sz="6" w:space="0" w:color="auto"/>
              <w:right w:val="outset" w:sz="6" w:space="0" w:color="auto"/>
            </w:tcBorders>
            <w:hideMark/>
          </w:tcPr>
          <w:p w:rsidR="00A75154" w:rsidRPr="00FA3856" w:rsidRDefault="00A75154" w:rsidP="00A75154">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31/03</w:t>
            </w:r>
          </w:p>
        </w:tc>
        <w:tc>
          <w:tcPr>
            <w:tcW w:w="597" w:type="pct"/>
            <w:tcBorders>
              <w:top w:val="outset" w:sz="6" w:space="0" w:color="auto"/>
              <w:left w:val="outset" w:sz="6" w:space="0" w:color="auto"/>
              <w:bottom w:val="outset" w:sz="6" w:space="0" w:color="auto"/>
              <w:right w:val="outset" w:sz="6" w:space="0" w:color="auto"/>
            </w:tcBorders>
          </w:tcPr>
          <w:p w:rsidR="00A75154" w:rsidRPr="00FA3856" w:rsidRDefault="00A75154" w:rsidP="00A75154">
            <w:pPr>
              <w:pStyle w:val="NormalWeb"/>
              <w:spacing w:before="0" w:after="0"/>
              <w:jc w:val="right"/>
              <w:rPr>
                <w:rFonts w:ascii="Times New Roman" w:hAnsi="Times New Roman" w:cs="Times New Roman"/>
                <w:szCs w:val="20"/>
              </w:rPr>
            </w:pPr>
            <w:r w:rsidRPr="00FA3856">
              <w:rPr>
                <w:rFonts w:ascii="Times New Roman" w:hAnsi="Times New Roman" w:cs="Times New Roman"/>
                <w:szCs w:val="20"/>
              </w:rPr>
              <w:t> </w:t>
            </w:r>
          </w:p>
        </w:tc>
        <w:tc>
          <w:tcPr>
            <w:tcW w:w="597" w:type="pct"/>
            <w:tcBorders>
              <w:top w:val="outset" w:sz="6" w:space="0" w:color="auto"/>
              <w:left w:val="outset" w:sz="6" w:space="0" w:color="auto"/>
              <w:bottom w:val="outset" w:sz="6" w:space="0" w:color="auto"/>
              <w:right w:val="outset" w:sz="6" w:space="0" w:color="auto"/>
            </w:tcBorders>
            <w:hideMark/>
          </w:tcPr>
          <w:p w:rsidR="00A75154" w:rsidRPr="00FA3856" w:rsidRDefault="00A75154" w:rsidP="00A75154">
            <w:pPr>
              <w:pStyle w:val="NormalWeb"/>
              <w:spacing w:before="0" w:after="0"/>
              <w:jc w:val="right"/>
              <w:rPr>
                <w:rFonts w:ascii="Times New Roman" w:hAnsi="Times New Roman" w:cs="Times New Roman"/>
                <w:szCs w:val="20"/>
              </w:rPr>
            </w:pPr>
            <w:r w:rsidRPr="00FA3856">
              <w:rPr>
                <w:rFonts w:ascii="Times New Roman" w:hAnsi="Times New Roman" w:cs="Times New Roman"/>
                <w:szCs w:val="20"/>
              </w:rPr>
              <w:t>9.000,00</w:t>
            </w:r>
          </w:p>
        </w:tc>
        <w:tc>
          <w:tcPr>
            <w:tcW w:w="611" w:type="pct"/>
            <w:tcBorders>
              <w:top w:val="outset" w:sz="6" w:space="0" w:color="auto"/>
              <w:left w:val="outset" w:sz="6" w:space="0" w:color="auto"/>
              <w:bottom w:val="outset" w:sz="6" w:space="0" w:color="auto"/>
              <w:right w:val="outset" w:sz="6" w:space="0" w:color="auto"/>
            </w:tcBorders>
            <w:hideMark/>
          </w:tcPr>
          <w:p w:rsidR="00A75154" w:rsidRPr="00FA3856" w:rsidRDefault="00A75154" w:rsidP="00A75154">
            <w:pPr>
              <w:pStyle w:val="NormalWeb"/>
              <w:spacing w:before="0" w:after="0"/>
              <w:jc w:val="right"/>
              <w:rPr>
                <w:rFonts w:ascii="Times New Roman" w:hAnsi="Times New Roman" w:cs="Times New Roman"/>
                <w:szCs w:val="20"/>
              </w:rPr>
            </w:pPr>
            <w:r w:rsidRPr="00FA3856">
              <w:rPr>
                <w:rFonts w:ascii="Times New Roman" w:hAnsi="Times New Roman" w:cs="Times New Roman"/>
                <w:szCs w:val="20"/>
              </w:rPr>
              <w:t>18.000,00</w:t>
            </w:r>
          </w:p>
        </w:tc>
        <w:tc>
          <w:tcPr>
            <w:tcW w:w="248" w:type="pct"/>
            <w:tcBorders>
              <w:top w:val="outset" w:sz="6" w:space="0" w:color="auto"/>
              <w:left w:val="outset" w:sz="6" w:space="0" w:color="auto"/>
              <w:bottom w:val="outset" w:sz="6" w:space="0" w:color="auto"/>
              <w:right w:val="outset" w:sz="6" w:space="0" w:color="auto"/>
            </w:tcBorders>
            <w:hideMark/>
          </w:tcPr>
          <w:p w:rsidR="00A75154" w:rsidRPr="00FA3856" w:rsidRDefault="00A75154" w:rsidP="00A75154">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C</w:t>
            </w:r>
          </w:p>
        </w:tc>
      </w:tr>
      <w:tr w:rsidR="00A75154" w:rsidRPr="00FA3856" w:rsidTr="00A75154">
        <w:trPr>
          <w:tblCellSpacing w:w="7" w:type="dxa"/>
          <w:jc w:val="center"/>
        </w:trPr>
        <w:tc>
          <w:tcPr>
            <w:tcW w:w="2354" w:type="pct"/>
            <w:tcBorders>
              <w:top w:val="outset" w:sz="6" w:space="0" w:color="auto"/>
              <w:left w:val="outset" w:sz="6" w:space="0" w:color="auto"/>
              <w:bottom w:val="outset" w:sz="6" w:space="0" w:color="auto"/>
              <w:right w:val="outset" w:sz="6" w:space="0" w:color="auto"/>
            </w:tcBorders>
            <w:hideMark/>
          </w:tcPr>
          <w:p w:rsidR="00A75154" w:rsidRPr="00FA3856" w:rsidRDefault="00A75154" w:rsidP="00A75154">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Variação Cambial Ativa Abr</w:t>
            </w:r>
          </w:p>
        </w:tc>
        <w:tc>
          <w:tcPr>
            <w:tcW w:w="539" w:type="pct"/>
            <w:tcBorders>
              <w:top w:val="outset" w:sz="6" w:space="0" w:color="auto"/>
              <w:left w:val="outset" w:sz="6" w:space="0" w:color="auto"/>
              <w:bottom w:val="outset" w:sz="6" w:space="0" w:color="auto"/>
              <w:right w:val="outset" w:sz="6" w:space="0" w:color="auto"/>
            </w:tcBorders>
            <w:hideMark/>
          </w:tcPr>
          <w:p w:rsidR="00A75154" w:rsidRPr="00FA3856" w:rsidRDefault="00A75154" w:rsidP="00A75154">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30/04</w:t>
            </w:r>
          </w:p>
        </w:tc>
        <w:tc>
          <w:tcPr>
            <w:tcW w:w="597" w:type="pct"/>
            <w:tcBorders>
              <w:top w:val="outset" w:sz="6" w:space="0" w:color="auto"/>
              <w:left w:val="outset" w:sz="6" w:space="0" w:color="auto"/>
              <w:bottom w:val="outset" w:sz="6" w:space="0" w:color="auto"/>
              <w:right w:val="outset" w:sz="6" w:space="0" w:color="auto"/>
            </w:tcBorders>
          </w:tcPr>
          <w:p w:rsidR="00A75154" w:rsidRPr="00FA3856" w:rsidRDefault="00A75154" w:rsidP="00A75154">
            <w:pPr>
              <w:pStyle w:val="NormalWeb"/>
              <w:spacing w:before="0" w:after="0"/>
              <w:jc w:val="right"/>
              <w:rPr>
                <w:rFonts w:ascii="Times New Roman" w:hAnsi="Times New Roman" w:cs="Times New Roman"/>
                <w:szCs w:val="20"/>
              </w:rPr>
            </w:pPr>
            <w:r w:rsidRPr="00FA3856">
              <w:rPr>
                <w:rFonts w:ascii="Times New Roman" w:hAnsi="Times New Roman" w:cs="Times New Roman"/>
                <w:szCs w:val="20"/>
              </w:rPr>
              <w:t> </w:t>
            </w:r>
          </w:p>
        </w:tc>
        <w:tc>
          <w:tcPr>
            <w:tcW w:w="597" w:type="pct"/>
            <w:tcBorders>
              <w:top w:val="outset" w:sz="6" w:space="0" w:color="auto"/>
              <w:left w:val="outset" w:sz="6" w:space="0" w:color="auto"/>
              <w:bottom w:val="outset" w:sz="6" w:space="0" w:color="auto"/>
              <w:right w:val="outset" w:sz="6" w:space="0" w:color="auto"/>
            </w:tcBorders>
            <w:hideMark/>
          </w:tcPr>
          <w:p w:rsidR="00A75154" w:rsidRPr="00FA3856" w:rsidRDefault="00A75154" w:rsidP="00A75154">
            <w:pPr>
              <w:pStyle w:val="NormalWeb"/>
              <w:spacing w:before="0" w:after="0"/>
              <w:jc w:val="right"/>
              <w:rPr>
                <w:rFonts w:ascii="Times New Roman" w:hAnsi="Times New Roman" w:cs="Times New Roman"/>
                <w:szCs w:val="20"/>
              </w:rPr>
            </w:pPr>
            <w:r w:rsidRPr="00FA3856">
              <w:rPr>
                <w:rFonts w:ascii="Times New Roman" w:hAnsi="Times New Roman" w:cs="Times New Roman"/>
                <w:szCs w:val="20"/>
              </w:rPr>
              <w:t>18.000,00</w:t>
            </w:r>
          </w:p>
        </w:tc>
        <w:tc>
          <w:tcPr>
            <w:tcW w:w="611" w:type="pct"/>
            <w:tcBorders>
              <w:top w:val="outset" w:sz="6" w:space="0" w:color="auto"/>
              <w:left w:val="outset" w:sz="6" w:space="0" w:color="auto"/>
              <w:bottom w:val="outset" w:sz="6" w:space="0" w:color="auto"/>
              <w:right w:val="outset" w:sz="6" w:space="0" w:color="auto"/>
            </w:tcBorders>
            <w:hideMark/>
          </w:tcPr>
          <w:p w:rsidR="00A75154" w:rsidRPr="00FA3856" w:rsidRDefault="00A75154" w:rsidP="00A75154">
            <w:pPr>
              <w:pStyle w:val="NormalWeb"/>
              <w:spacing w:before="0" w:after="0"/>
              <w:jc w:val="right"/>
              <w:rPr>
                <w:rFonts w:ascii="Times New Roman" w:hAnsi="Times New Roman" w:cs="Times New Roman"/>
                <w:szCs w:val="20"/>
              </w:rPr>
            </w:pPr>
            <w:r w:rsidRPr="00FA3856">
              <w:rPr>
                <w:rFonts w:ascii="Times New Roman" w:hAnsi="Times New Roman" w:cs="Times New Roman"/>
                <w:szCs w:val="20"/>
              </w:rPr>
              <w:t>36.000,00</w:t>
            </w:r>
          </w:p>
        </w:tc>
        <w:tc>
          <w:tcPr>
            <w:tcW w:w="248" w:type="pct"/>
            <w:tcBorders>
              <w:top w:val="outset" w:sz="6" w:space="0" w:color="auto"/>
              <w:left w:val="outset" w:sz="6" w:space="0" w:color="auto"/>
              <w:bottom w:val="outset" w:sz="6" w:space="0" w:color="auto"/>
              <w:right w:val="outset" w:sz="6" w:space="0" w:color="auto"/>
            </w:tcBorders>
            <w:hideMark/>
          </w:tcPr>
          <w:p w:rsidR="00A75154" w:rsidRPr="00FA3856" w:rsidRDefault="00A75154" w:rsidP="00A75154">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C</w:t>
            </w:r>
          </w:p>
        </w:tc>
      </w:tr>
      <w:tr w:rsidR="00A75154" w:rsidRPr="00FA3856" w:rsidTr="00A75154">
        <w:trPr>
          <w:tblCellSpacing w:w="7" w:type="dxa"/>
          <w:jc w:val="center"/>
        </w:trPr>
        <w:tc>
          <w:tcPr>
            <w:tcW w:w="2354" w:type="pct"/>
            <w:tcBorders>
              <w:top w:val="outset" w:sz="6" w:space="0" w:color="auto"/>
              <w:left w:val="outset" w:sz="6" w:space="0" w:color="auto"/>
              <w:bottom w:val="outset" w:sz="6" w:space="0" w:color="auto"/>
              <w:right w:val="outset" w:sz="6" w:space="0" w:color="auto"/>
            </w:tcBorders>
            <w:hideMark/>
          </w:tcPr>
          <w:p w:rsidR="00A75154" w:rsidRPr="00FA3856" w:rsidRDefault="00A75154" w:rsidP="00A75154">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Variação Cambial Ativa - Oper. Liquidada</w:t>
            </w:r>
          </w:p>
        </w:tc>
        <w:tc>
          <w:tcPr>
            <w:tcW w:w="539" w:type="pct"/>
            <w:tcBorders>
              <w:top w:val="outset" w:sz="6" w:space="0" w:color="auto"/>
              <w:left w:val="outset" w:sz="6" w:space="0" w:color="auto"/>
              <w:bottom w:val="outset" w:sz="6" w:space="0" w:color="auto"/>
              <w:right w:val="outset" w:sz="6" w:space="0" w:color="auto"/>
            </w:tcBorders>
            <w:hideMark/>
          </w:tcPr>
          <w:p w:rsidR="00A75154" w:rsidRPr="00FA3856" w:rsidRDefault="00A75154" w:rsidP="00A75154">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30/04</w:t>
            </w:r>
          </w:p>
        </w:tc>
        <w:tc>
          <w:tcPr>
            <w:tcW w:w="597" w:type="pct"/>
            <w:tcBorders>
              <w:top w:val="outset" w:sz="6" w:space="0" w:color="auto"/>
              <w:left w:val="outset" w:sz="6" w:space="0" w:color="auto"/>
              <w:bottom w:val="outset" w:sz="6" w:space="0" w:color="auto"/>
              <w:right w:val="outset" w:sz="6" w:space="0" w:color="auto"/>
            </w:tcBorders>
          </w:tcPr>
          <w:p w:rsidR="00A75154" w:rsidRPr="00FA3856" w:rsidRDefault="00A75154" w:rsidP="00A75154">
            <w:pPr>
              <w:pStyle w:val="NormalWeb"/>
              <w:spacing w:before="0" w:after="0"/>
              <w:jc w:val="right"/>
              <w:rPr>
                <w:rFonts w:ascii="Times New Roman" w:hAnsi="Times New Roman" w:cs="Times New Roman"/>
                <w:szCs w:val="20"/>
              </w:rPr>
            </w:pPr>
            <w:r w:rsidRPr="00FA3856">
              <w:rPr>
                <w:rFonts w:ascii="Times New Roman" w:hAnsi="Times New Roman" w:cs="Times New Roman"/>
                <w:szCs w:val="20"/>
              </w:rPr>
              <w:t>18.000,00</w:t>
            </w:r>
          </w:p>
        </w:tc>
        <w:tc>
          <w:tcPr>
            <w:tcW w:w="597" w:type="pct"/>
            <w:tcBorders>
              <w:top w:val="outset" w:sz="6" w:space="0" w:color="auto"/>
              <w:left w:val="outset" w:sz="6" w:space="0" w:color="auto"/>
              <w:bottom w:val="outset" w:sz="6" w:space="0" w:color="auto"/>
              <w:right w:val="outset" w:sz="6" w:space="0" w:color="auto"/>
            </w:tcBorders>
            <w:hideMark/>
          </w:tcPr>
          <w:p w:rsidR="00A75154" w:rsidRPr="00FA3856" w:rsidRDefault="00A75154" w:rsidP="00A75154">
            <w:pPr>
              <w:pStyle w:val="NormalWeb"/>
              <w:spacing w:before="0" w:after="0"/>
              <w:jc w:val="right"/>
              <w:rPr>
                <w:rFonts w:ascii="Times New Roman" w:hAnsi="Times New Roman" w:cs="Times New Roman"/>
                <w:szCs w:val="20"/>
              </w:rPr>
            </w:pPr>
            <w:r w:rsidRPr="00FA3856">
              <w:rPr>
                <w:rFonts w:ascii="Times New Roman" w:hAnsi="Times New Roman" w:cs="Times New Roman"/>
                <w:szCs w:val="20"/>
              </w:rPr>
              <w:t> </w:t>
            </w:r>
          </w:p>
        </w:tc>
        <w:tc>
          <w:tcPr>
            <w:tcW w:w="611" w:type="pct"/>
            <w:tcBorders>
              <w:top w:val="outset" w:sz="6" w:space="0" w:color="auto"/>
              <w:left w:val="outset" w:sz="6" w:space="0" w:color="auto"/>
              <w:bottom w:val="outset" w:sz="6" w:space="0" w:color="auto"/>
              <w:right w:val="outset" w:sz="6" w:space="0" w:color="auto"/>
            </w:tcBorders>
            <w:hideMark/>
          </w:tcPr>
          <w:p w:rsidR="00A75154" w:rsidRPr="00FA3856" w:rsidRDefault="00A75154" w:rsidP="00A75154">
            <w:pPr>
              <w:pStyle w:val="NormalWeb"/>
              <w:spacing w:before="0" w:after="0"/>
              <w:jc w:val="right"/>
              <w:rPr>
                <w:rFonts w:ascii="Times New Roman" w:hAnsi="Times New Roman" w:cs="Times New Roman"/>
                <w:szCs w:val="20"/>
              </w:rPr>
            </w:pPr>
            <w:r w:rsidRPr="00FA3856">
              <w:rPr>
                <w:rFonts w:ascii="Times New Roman" w:hAnsi="Times New Roman" w:cs="Times New Roman"/>
                <w:szCs w:val="20"/>
              </w:rPr>
              <w:t>18.000,00</w:t>
            </w:r>
          </w:p>
        </w:tc>
        <w:tc>
          <w:tcPr>
            <w:tcW w:w="248" w:type="pct"/>
            <w:tcBorders>
              <w:top w:val="outset" w:sz="6" w:space="0" w:color="auto"/>
              <w:left w:val="outset" w:sz="6" w:space="0" w:color="auto"/>
              <w:bottom w:val="outset" w:sz="6" w:space="0" w:color="auto"/>
              <w:right w:val="outset" w:sz="6" w:space="0" w:color="auto"/>
            </w:tcBorders>
            <w:hideMark/>
          </w:tcPr>
          <w:p w:rsidR="00A75154" w:rsidRPr="00FA3856" w:rsidRDefault="00A75154" w:rsidP="00A75154">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C</w:t>
            </w:r>
          </w:p>
        </w:tc>
      </w:tr>
      <w:tr w:rsidR="00A75154" w:rsidRPr="00FA3856" w:rsidTr="00A75154">
        <w:trPr>
          <w:tblCellSpacing w:w="7" w:type="dxa"/>
          <w:jc w:val="center"/>
        </w:trPr>
        <w:tc>
          <w:tcPr>
            <w:tcW w:w="2354" w:type="pct"/>
            <w:tcBorders>
              <w:top w:val="outset" w:sz="6" w:space="0" w:color="auto"/>
              <w:left w:val="outset" w:sz="6" w:space="0" w:color="auto"/>
              <w:bottom w:val="outset" w:sz="6" w:space="0" w:color="auto"/>
              <w:right w:val="outset" w:sz="6" w:space="0" w:color="auto"/>
            </w:tcBorders>
            <w:hideMark/>
          </w:tcPr>
          <w:p w:rsidR="00A75154" w:rsidRPr="00FA3856" w:rsidRDefault="00A75154" w:rsidP="00A75154">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Variação Cambial Ativa Maio</w:t>
            </w:r>
          </w:p>
        </w:tc>
        <w:tc>
          <w:tcPr>
            <w:tcW w:w="539" w:type="pct"/>
            <w:tcBorders>
              <w:top w:val="outset" w:sz="6" w:space="0" w:color="auto"/>
              <w:left w:val="outset" w:sz="6" w:space="0" w:color="auto"/>
              <w:bottom w:val="outset" w:sz="6" w:space="0" w:color="auto"/>
              <w:right w:val="outset" w:sz="6" w:space="0" w:color="auto"/>
            </w:tcBorders>
            <w:hideMark/>
          </w:tcPr>
          <w:p w:rsidR="00A75154" w:rsidRPr="00FA3856" w:rsidRDefault="00A75154" w:rsidP="00A75154">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31/05</w:t>
            </w:r>
          </w:p>
        </w:tc>
        <w:tc>
          <w:tcPr>
            <w:tcW w:w="597" w:type="pct"/>
            <w:tcBorders>
              <w:top w:val="outset" w:sz="6" w:space="0" w:color="auto"/>
              <w:left w:val="outset" w:sz="6" w:space="0" w:color="auto"/>
              <w:bottom w:val="outset" w:sz="6" w:space="0" w:color="auto"/>
              <w:right w:val="outset" w:sz="6" w:space="0" w:color="auto"/>
            </w:tcBorders>
          </w:tcPr>
          <w:p w:rsidR="00A75154" w:rsidRPr="00FA3856" w:rsidRDefault="00A75154" w:rsidP="00A75154">
            <w:pPr>
              <w:pStyle w:val="NormalWeb"/>
              <w:spacing w:before="0" w:after="0"/>
              <w:jc w:val="right"/>
              <w:rPr>
                <w:rFonts w:ascii="Times New Roman" w:hAnsi="Times New Roman" w:cs="Times New Roman"/>
                <w:szCs w:val="20"/>
              </w:rPr>
            </w:pPr>
            <w:r w:rsidRPr="00FA3856">
              <w:rPr>
                <w:rFonts w:ascii="Times New Roman" w:hAnsi="Times New Roman" w:cs="Times New Roman"/>
                <w:szCs w:val="20"/>
              </w:rPr>
              <w:t> </w:t>
            </w:r>
          </w:p>
        </w:tc>
        <w:tc>
          <w:tcPr>
            <w:tcW w:w="597" w:type="pct"/>
            <w:tcBorders>
              <w:top w:val="outset" w:sz="6" w:space="0" w:color="auto"/>
              <w:left w:val="outset" w:sz="6" w:space="0" w:color="auto"/>
              <w:bottom w:val="outset" w:sz="6" w:space="0" w:color="auto"/>
              <w:right w:val="outset" w:sz="6" w:space="0" w:color="auto"/>
            </w:tcBorders>
            <w:hideMark/>
          </w:tcPr>
          <w:p w:rsidR="00A75154" w:rsidRPr="00FA3856" w:rsidRDefault="00A75154" w:rsidP="00A75154">
            <w:pPr>
              <w:pStyle w:val="NormalWeb"/>
              <w:spacing w:before="0" w:after="0"/>
              <w:jc w:val="right"/>
              <w:rPr>
                <w:rFonts w:ascii="Times New Roman" w:hAnsi="Times New Roman" w:cs="Times New Roman"/>
                <w:szCs w:val="20"/>
              </w:rPr>
            </w:pPr>
            <w:r w:rsidRPr="00FA3856">
              <w:rPr>
                <w:rFonts w:ascii="Times New Roman" w:hAnsi="Times New Roman" w:cs="Times New Roman"/>
                <w:szCs w:val="20"/>
              </w:rPr>
              <w:t>4.500,00</w:t>
            </w:r>
          </w:p>
        </w:tc>
        <w:tc>
          <w:tcPr>
            <w:tcW w:w="611" w:type="pct"/>
            <w:tcBorders>
              <w:top w:val="outset" w:sz="6" w:space="0" w:color="auto"/>
              <w:left w:val="outset" w:sz="6" w:space="0" w:color="auto"/>
              <w:bottom w:val="outset" w:sz="6" w:space="0" w:color="auto"/>
              <w:right w:val="outset" w:sz="6" w:space="0" w:color="auto"/>
            </w:tcBorders>
            <w:hideMark/>
          </w:tcPr>
          <w:p w:rsidR="00A75154" w:rsidRPr="00FA3856" w:rsidRDefault="00A75154" w:rsidP="00A75154">
            <w:pPr>
              <w:pStyle w:val="NormalWeb"/>
              <w:spacing w:before="0" w:after="0"/>
              <w:jc w:val="right"/>
              <w:rPr>
                <w:rFonts w:ascii="Times New Roman" w:hAnsi="Times New Roman" w:cs="Times New Roman"/>
                <w:szCs w:val="20"/>
              </w:rPr>
            </w:pPr>
            <w:r w:rsidRPr="00FA3856">
              <w:rPr>
                <w:rFonts w:ascii="Times New Roman" w:hAnsi="Times New Roman" w:cs="Times New Roman"/>
                <w:szCs w:val="20"/>
              </w:rPr>
              <w:t>22.500,00</w:t>
            </w:r>
          </w:p>
        </w:tc>
        <w:tc>
          <w:tcPr>
            <w:tcW w:w="248" w:type="pct"/>
            <w:tcBorders>
              <w:top w:val="outset" w:sz="6" w:space="0" w:color="auto"/>
              <w:left w:val="outset" w:sz="6" w:space="0" w:color="auto"/>
              <w:bottom w:val="outset" w:sz="6" w:space="0" w:color="auto"/>
              <w:right w:val="outset" w:sz="6" w:space="0" w:color="auto"/>
            </w:tcBorders>
            <w:hideMark/>
          </w:tcPr>
          <w:p w:rsidR="00A75154" w:rsidRPr="00FA3856" w:rsidRDefault="00A75154" w:rsidP="00A75154">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C</w:t>
            </w:r>
          </w:p>
        </w:tc>
      </w:tr>
      <w:tr w:rsidR="00A75154" w:rsidRPr="00FA3856" w:rsidTr="00A75154">
        <w:trPr>
          <w:tblCellSpacing w:w="7" w:type="dxa"/>
          <w:jc w:val="center"/>
        </w:trPr>
        <w:tc>
          <w:tcPr>
            <w:tcW w:w="2354" w:type="pct"/>
            <w:tcBorders>
              <w:top w:val="outset" w:sz="6" w:space="0" w:color="auto"/>
              <w:left w:val="outset" w:sz="6" w:space="0" w:color="auto"/>
              <w:bottom w:val="outset" w:sz="6" w:space="0" w:color="auto"/>
              <w:right w:val="outset" w:sz="6" w:space="0" w:color="auto"/>
            </w:tcBorders>
            <w:hideMark/>
          </w:tcPr>
          <w:p w:rsidR="00A75154" w:rsidRPr="00FA3856" w:rsidRDefault="00A75154" w:rsidP="00A75154">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Variação Cambial Ativa Jun</w:t>
            </w:r>
          </w:p>
        </w:tc>
        <w:tc>
          <w:tcPr>
            <w:tcW w:w="539" w:type="pct"/>
            <w:tcBorders>
              <w:top w:val="outset" w:sz="6" w:space="0" w:color="auto"/>
              <w:left w:val="outset" w:sz="6" w:space="0" w:color="auto"/>
              <w:bottom w:val="outset" w:sz="6" w:space="0" w:color="auto"/>
              <w:right w:val="outset" w:sz="6" w:space="0" w:color="auto"/>
            </w:tcBorders>
            <w:hideMark/>
          </w:tcPr>
          <w:p w:rsidR="00A75154" w:rsidRPr="00FA3856" w:rsidRDefault="00A75154" w:rsidP="00A75154">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30/06</w:t>
            </w:r>
          </w:p>
        </w:tc>
        <w:tc>
          <w:tcPr>
            <w:tcW w:w="597" w:type="pct"/>
            <w:tcBorders>
              <w:top w:val="outset" w:sz="6" w:space="0" w:color="auto"/>
              <w:left w:val="outset" w:sz="6" w:space="0" w:color="auto"/>
              <w:bottom w:val="outset" w:sz="6" w:space="0" w:color="auto"/>
              <w:right w:val="outset" w:sz="6" w:space="0" w:color="auto"/>
            </w:tcBorders>
          </w:tcPr>
          <w:p w:rsidR="00A75154" w:rsidRPr="00FA3856" w:rsidRDefault="00A75154" w:rsidP="00A75154">
            <w:pPr>
              <w:pStyle w:val="NormalWeb"/>
              <w:spacing w:before="0" w:after="0"/>
              <w:jc w:val="right"/>
              <w:rPr>
                <w:rFonts w:ascii="Times New Roman" w:hAnsi="Times New Roman" w:cs="Times New Roman"/>
                <w:szCs w:val="20"/>
              </w:rPr>
            </w:pPr>
            <w:r w:rsidRPr="00FA3856">
              <w:rPr>
                <w:rFonts w:ascii="Times New Roman" w:hAnsi="Times New Roman" w:cs="Times New Roman"/>
                <w:szCs w:val="20"/>
              </w:rPr>
              <w:t> </w:t>
            </w:r>
          </w:p>
        </w:tc>
        <w:tc>
          <w:tcPr>
            <w:tcW w:w="597" w:type="pct"/>
            <w:tcBorders>
              <w:top w:val="outset" w:sz="6" w:space="0" w:color="auto"/>
              <w:left w:val="outset" w:sz="6" w:space="0" w:color="auto"/>
              <w:bottom w:val="outset" w:sz="6" w:space="0" w:color="auto"/>
              <w:right w:val="outset" w:sz="6" w:space="0" w:color="auto"/>
            </w:tcBorders>
            <w:hideMark/>
          </w:tcPr>
          <w:p w:rsidR="00A75154" w:rsidRPr="00FA3856" w:rsidRDefault="00A75154" w:rsidP="00A75154">
            <w:pPr>
              <w:pStyle w:val="NormalWeb"/>
              <w:spacing w:before="0" w:after="0"/>
              <w:jc w:val="right"/>
              <w:rPr>
                <w:rFonts w:ascii="Times New Roman" w:hAnsi="Times New Roman" w:cs="Times New Roman"/>
                <w:szCs w:val="20"/>
              </w:rPr>
            </w:pPr>
            <w:r w:rsidRPr="00FA3856">
              <w:rPr>
                <w:rFonts w:ascii="Times New Roman" w:hAnsi="Times New Roman" w:cs="Times New Roman"/>
                <w:szCs w:val="20"/>
              </w:rPr>
              <w:t>4.500,00</w:t>
            </w:r>
          </w:p>
        </w:tc>
        <w:tc>
          <w:tcPr>
            <w:tcW w:w="611" w:type="pct"/>
            <w:tcBorders>
              <w:top w:val="outset" w:sz="6" w:space="0" w:color="auto"/>
              <w:left w:val="outset" w:sz="6" w:space="0" w:color="auto"/>
              <w:bottom w:val="outset" w:sz="6" w:space="0" w:color="auto"/>
              <w:right w:val="outset" w:sz="6" w:space="0" w:color="auto"/>
            </w:tcBorders>
            <w:hideMark/>
          </w:tcPr>
          <w:p w:rsidR="00A75154" w:rsidRPr="00FA3856" w:rsidRDefault="00A75154" w:rsidP="00A75154">
            <w:pPr>
              <w:pStyle w:val="NormalWeb"/>
              <w:spacing w:before="0" w:after="0"/>
              <w:jc w:val="right"/>
              <w:rPr>
                <w:rFonts w:ascii="Times New Roman" w:hAnsi="Times New Roman" w:cs="Times New Roman"/>
                <w:szCs w:val="20"/>
              </w:rPr>
            </w:pPr>
            <w:r w:rsidRPr="00FA3856">
              <w:rPr>
                <w:rFonts w:ascii="Times New Roman" w:hAnsi="Times New Roman" w:cs="Times New Roman"/>
                <w:szCs w:val="20"/>
              </w:rPr>
              <w:t>27.000,00</w:t>
            </w:r>
          </w:p>
        </w:tc>
        <w:tc>
          <w:tcPr>
            <w:tcW w:w="248" w:type="pct"/>
            <w:tcBorders>
              <w:top w:val="outset" w:sz="6" w:space="0" w:color="auto"/>
              <w:left w:val="outset" w:sz="6" w:space="0" w:color="auto"/>
              <w:bottom w:val="outset" w:sz="6" w:space="0" w:color="auto"/>
              <w:right w:val="outset" w:sz="6" w:space="0" w:color="auto"/>
            </w:tcBorders>
            <w:hideMark/>
          </w:tcPr>
          <w:p w:rsidR="00A75154" w:rsidRPr="00FA3856" w:rsidRDefault="00A75154" w:rsidP="00A75154">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C</w:t>
            </w:r>
          </w:p>
        </w:tc>
      </w:tr>
      <w:tr w:rsidR="00A75154" w:rsidRPr="00FA3856" w:rsidTr="00A75154">
        <w:trPr>
          <w:tblCellSpacing w:w="7" w:type="dxa"/>
          <w:jc w:val="center"/>
        </w:trPr>
        <w:tc>
          <w:tcPr>
            <w:tcW w:w="2354" w:type="pct"/>
            <w:tcBorders>
              <w:top w:val="outset" w:sz="6" w:space="0" w:color="auto"/>
              <w:left w:val="outset" w:sz="6" w:space="0" w:color="auto"/>
              <w:bottom w:val="outset" w:sz="6" w:space="0" w:color="auto"/>
              <w:right w:val="outset" w:sz="6" w:space="0" w:color="auto"/>
            </w:tcBorders>
            <w:hideMark/>
          </w:tcPr>
          <w:p w:rsidR="00A75154" w:rsidRPr="00FA3856" w:rsidRDefault="00A75154" w:rsidP="00A75154">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Variação Cambial Passiva Jul</w:t>
            </w:r>
          </w:p>
        </w:tc>
        <w:tc>
          <w:tcPr>
            <w:tcW w:w="539" w:type="pct"/>
            <w:tcBorders>
              <w:top w:val="outset" w:sz="6" w:space="0" w:color="auto"/>
              <w:left w:val="outset" w:sz="6" w:space="0" w:color="auto"/>
              <w:bottom w:val="outset" w:sz="6" w:space="0" w:color="auto"/>
              <w:right w:val="outset" w:sz="6" w:space="0" w:color="auto"/>
            </w:tcBorders>
            <w:hideMark/>
          </w:tcPr>
          <w:p w:rsidR="00A75154" w:rsidRPr="00FA3856" w:rsidRDefault="00A75154" w:rsidP="00A75154">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31/07</w:t>
            </w:r>
          </w:p>
        </w:tc>
        <w:tc>
          <w:tcPr>
            <w:tcW w:w="597" w:type="pct"/>
            <w:tcBorders>
              <w:top w:val="outset" w:sz="6" w:space="0" w:color="auto"/>
              <w:left w:val="outset" w:sz="6" w:space="0" w:color="auto"/>
              <w:bottom w:val="outset" w:sz="6" w:space="0" w:color="auto"/>
              <w:right w:val="outset" w:sz="6" w:space="0" w:color="auto"/>
            </w:tcBorders>
          </w:tcPr>
          <w:p w:rsidR="00A75154" w:rsidRPr="00FA3856" w:rsidRDefault="00A75154" w:rsidP="00A75154">
            <w:pPr>
              <w:pStyle w:val="NormalWeb"/>
              <w:spacing w:before="0" w:after="0"/>
              <w:jc w:val="right"/>
              <w:rPr>
                <w:rFonts w:ascii="Times New Roman" w:hAnsi="Times New Roman" w:cs="Times New Roman"/>
                <w:szCs w:val="20"/>
              </w:rPr>
            </w:pPr>
            <w:r w:rsidRPr="00FA3856">
              <w:rPr>
                <w:rFonts w:ascii="Times New Roman" w:hAnsi="Times New Roman" w:cs="Times New Roman"/>
                <w:szCs w:val="20"/>
              </w:rPr>
              <w:t>45.000,00</w:t>
            </w:r>
          </w:p>
        </w:tc>
        <w:tc>
          <w:tcPr>
            <w:tcW w:w="597" w:type="pct"/>
            <w:tcBorders>
              <w:top w:val="outset" w:sz="6" w:space="0" w:color="auto"/>
              <w:left w:val="outset" w:sz="6" w:space="0" w:color="auto"/>
              <w:bottom w:val="outset" w:sz="6" w:space="0" w:color="auto"/>
              <w:right w:val="outset" w:sz="6" w:space="0" w:color="auto"/>
            </w:tcBorders>
            <w:hideMark/>
          </w:tcPr>
          <w:p w:rsidR="00A75154" w:rsidRPr="00FA3856" w:rsidRDefault="00A75154" w:rsidP="00A75154">
            <w:pPr>
              <w:pStyle w:val="NormalWeb"/>
              <w:spacing w:before="0" w:after="0"/>
              <w:jc w:val="right"/>
              <w:rPr>
                <w:rFonts w:ascii="Times New Roman" w:hAnsi="Times New Roman" w:cs="Times New Roman"/>
                <w:szCs w:val="20"/>
              </w:rPr>
            </w:pPr>
            <w:r w:rsidRPr="00FA3856">
              <w:rPr>
                <w:rFonts w:ascii="Times New Roman" w:hAnsi="Times New Roman" w:cs="Times New Roman"/>
                <w:szCs w:val="20"/>
              </w:rPr>
              <w:t> </w:t>
            </w:r>
          </w:p>
        </w:tc>
        <w:tc>
          <w:tcPr>
            <w:tcW w:w="611" w:type="pct"/>
            <w:tcBorders>
              <w:top w:val="outset" w:sz="6" w:space="0" w:color="auto"/>
              <w:left w:val="outset" w:sz="6" w:space="0" w:color="auto"/>
              <w:bottom w:val="outset" w:sz="6" w:space="0" w:color="auto"/>
              <w:right w:val="outset" w:sz="6" w:space="0" w:color="auto"/>
            </w:tcBorders>
            <w:hideMark/>
          </w:tcPr>
          <w:p w:rsidR="00A75154" w:rsidRPr="00FA3856" w:rsidRDefault="00A75154" w:rsidP="00A75154">
            <w:pPr>
              <w:pStyle w:val="NormalWeb"/>
              <w:spacing w:before="0" w:after="0"/>
              <w:jc w:val="right"/>
              <w:rPr>
                <w:rFonts w:ascii="Times New Roman" w:hAnsi="Times New Roman" w:cs="Times New Roman"/>
                <w:szCs w:val="20"/>
              </w:rPr>
            </w:pPr>
            <w:r w:rsidRPr="00FA3856">
              <w:rPr>
                <w:rFonts w:ascii="Times New Roman" w:hAnsi="Times New Roman" w:cs="Times New Roman"/>
                <w:szCs w:val="20"/>
              </w:rPr>
              <w:t>(18.000,00)</w:t>
            </w:r>
          </w:p>
        </w:tc>
        <w:tc>
          <w:tcPr>
            <w:tcW w:w="248" w:type="pct"/>
            <w:tcBorders>
              <w:top w:val="outset" w:sz="6" w:space="0" w:color="auto"/>
              <w:left w:val="outset" w:sz="6" w:space="0" w:color="auto"/>
              <w:bottom w:val="outset" w:sz="6" w:space="0" w:color="auto"/>
              <w:right w:val="outset" w:sz="6" w:space="0" w:color="auto"/>
            </w:tcBorders>
            <w:hideMark/>
          </w:tcPr>
          <w:p w:rsidR="00A75154" w:rsidRPr="00FA3856" w:rsidRDefault="00A75154" w:rsidP="00A75154">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D</w:t>
            </w:r>
          </w:p>
        </w:tc>
      </w:tr>
      <w:tr w:rsidR="00A75154" w:rsidRPr="00FA3856" w:rsidTr="00A75154">
        <w:trPr>
          <w:tblCellSpacing w:w="7" w:type="dxa"/>
          <w:jc w:val="center"/>
        </w:trPr>
        <w:tc>
          <w:tcPr>
            <w:tcW w:w="2354" w:type="pct"/>
            <w:tcBorders>
              <w:top w:val="outset" w:sz="6" w:space="0" w:color="auto"/>
              <w:left w:val="outset" w:sz="6" w:space="0" w:color="auto"/>
              <w:bottom w:val="outset" w:sz="6" w:space="0" w:color="auto"/>
              <w:right w:val="outset" w:sz="6" w:space="0" w:color="auto"/>
            </w:tcBorders>
            <w:hideMark/>
          </w:tcPr>
          <w:p w:rsidR="00A75154" w:rsidRPr="00FA3856" w:rsidRDefault="00A75154" w:rsidP="00A75154">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Variação Cambial Passiva Ago</w:t>
            </w:r>
          </w:p>
        </w:tc>
        <w:tc>
          <w:tcPr>
            <w:tcW w:w="539" w:type="pct"/>
            <w:tcBorders>
              <w:top w:val="outset" w:sz="6" w:space="0" w:color="auto"/>
              <w:left w:val="outset" w:sz="6" w:space="0" w:color="auto"/>
              <w:bottom w:val="outset" w:sz="6" w:space="0" w:color="auto"/>
              <w:right w:val="outset" w:sz="6" w:space="0" w:color="auto"/>
            </w:tcBorders>
            <w:hideMark/>
          </w:tcPr>
          <w:p w:rsidR="00A75154" w:rsidRPr="00FA3856" w:rsidRDefault="00A75154" w:rsidP="00A75154">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31/08</w:t>
            </w:r>
          </w:p>
        </w:tc>
        <w:tc>
          <w:tcPr>
            <w:tcW w:w="597" w:type="pct"/>
            <w:tcBorders>
              <w:top w:val="outset" w:sz="6" w:space="0" w:color="auto"/>
              <w:left w:val="outset" w:sz="6" w:space="0" w:color="auto"/>
              <w:bottom w:val="outset" w:sz="6" w:space="0" w:color="auto"/>
              <w:right w:val="outset" w:sz="6" w:space="0" w:color="auto"/>
            </w:tcBorders>
          </w:tcPr>
          <w:p w:rsidR="00A75154" w:rsidRPr="00FA3856" w:rsidRDefault="00A75154" w:rsidP="00A75154">
            <w:pPr>
              <w:pStyle w:val="NormalWeb"/>
              <w:spacing w:before="0" w:after="0"/>
              <w:jc w:val="right"/>
              <w:rPr>
                <w:rFonts w:ascii="Times New Roman" w:hAnsi="Times New Roman" w:cs="Times New Roman"/>
                <w:szCs w:val="20"/>
              </w:rPr>
            </w:pPr>
            <w:r w:rsidRPr="00FA3856">
              <w:rPr>
                <w:rFonts w:ascii="Times New Roman" w:hAnsi="Times New Roman" w:cs="Times New Roman"/>
                <w:szCs w:val="20"/>
              </w:rPr>
              <w:t>45.000,00</w:t>
            </w:r>
          </w:p>
        </w:tc>
        <w:tc>
          <w:tcPr>
            <w:tcW w:w="597" w:type="pct"/>
            <w:tcBorders>
              <w:top w:val="outset" w:sz="6" w:space="0" w:color="auto"/>
              <w:left w:val="outset" w:sz="6" w:space="0" w:color="auto"/>
              <w:bottom w:val="outset" w:sz="6" w:space="0" w:color="auto"/>
              <w:right w:val="outset" w:sz="6" w:space="0" w:color="auto"/>
            </w:tcBorders>
            <w:hideMark/>
          </w:tcPr>
          <w:p w:rsidR="00A75154" w:rsidRPr="00FA3856" w:rsidRDefault="00A75154" w:rsidP="00A75154">
            <w:pPr>
              <w:pStyle w:val="NormalWeb"/>
              <w:spacing w:before="0" w:after="0"/>
              <w:jc w:val="right"/>
              <w:rPr>
                <w:rFonts w:ascii="Times New Roman" w:hAnsi="Times New Roman" w:cs="Times New Roman"/>
                <w:szCs w:val="20"/>
              </w:rPr>
            </w:pPr>
            <w:r w:rsidRPr="00FA3856">
              <w:rPr>
                <w:rFonts w:ascii="Times New Roman" w:hAnsi="Times New Roman" w:cs="Times New Roman"/>
                <w:szCs w:val="20"/>
              </w:rPr>
              <w:t> </w:t>
            </w:r>
          </w:p>
        </w:tc>
        <w:tc>
          <w:tcPr>
            <w:tcW w:w="611" w:type="pct"/>
            <w:tcBorders>
              <w:top w:val="outset" w:sz="6" w:space="0" w:color="auto"/>
              <w:left w:val="outset" w:sz="6" w:space="0" w:color="auto"/>
              <w:bottom w:val="outset" w:sz="6" w:space="0" w:color="auto"/>
              <w:right w:val="outset" w:sz="6" w:space="0" w:color="auto"/>
            </w:tcBorders>
            <w:hideMark/>
          </w:tcPr>
          <w:p w:rsidR="00A75154" w:rsidRPr="00FA3856" w:rsidRDefault="00A75154" w:rsidP="00A75154">
            <w:pPr>
              <w:pStyle w:val="NormalWeb"/>
              <w:spacing w:before="0" w:after="0"/>
              <w:jc w:val="right"/>
              <w:rPr>
                <w:rFonts w:ascii="Times New Roman" w:hAnsi="Times New Roman" w:cs="Times New Roman"/>
                <w:szCs w:val="20"/>
              </w:rPr>
            </w:pPr>
            <w:r w:rsidRPr="00FA3856">
              <w:rPr>
                <w:rFonts w:ascii="Times New Roman" w:hAnsi="Times New Roman" w:cs="Times New Roman"/>
                <w:szCs w:val="20"/>
              </w:rPr>
              <w:t>(63.000,00)</w:t>
            </w:r>
          </w:p>
        </w:tc>
        <w:tc>
          <w:tcPr>
            <w:tcW w:w="248" w:type="pct"/>
            <w:tcBorders>
              <w:top w:val="outset" w:sz="6" w:space="0" w:color="auto"/>
              <w:left w:val="outset" w:sz="6" w:space="0" w:color="auto"/>
              <w:bottom w:val="outset" w:sz="6" w:space="0" w:color="auto"/>
              <w:right w:val="outset" w:sz="6" w:space="0" w:color="auto"/>
            </w:tcBorders>
            <w:hideMark/>
          </w:tcPr>
          <w:p w:rsidR="00A75154" w:rsidRPr="00FA3856" w:rsidRDefault="00A75154" w:rsidP="00A75154">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D</w:t>
            </w:r>
          </w:p>
        </w:tc>
      </w:tr>
      <w:tr w:rsidR="00A75154" w:rsidRPr="00FA3856" w:rsidTr="00A75154">
        <w:trPr>
          <w:tblCellSpacing w:w="7" w:type="dxa"/>
          <w:jc w:val="center"/>
        </w:trPr>
        <w:tc>
          <w:tcPr>
            <w:tcW w:w="2354" w:type="pct"/>
            <w:tcBorders>
              <w:top w:val="outset" w:sz="6" w:space="0" w:color="auto"/>
              <w:left w:val="outset" w:sz="6" w:space="0" w:color="auto"/>
              <w:bottom w:val="outset" w:sz="6" w:space="0" w:color="auto"/>
              <w:right w:val="outset" w:sz="6" w:space="0" w:color="auto"/>
            </w:tcBorders>
            <w:hideMark/>
          </w:tcPr>
          <w:p w:rsidR="00A75154" w:rsidRPr="00FA3856" w:rsidRDefault="00A75154" w:rsidP="00A75154">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Variação Cambial Ativa 31/08</w:t>
            </w:r>
            <w:bookmarkStart w:id="181" w:name="subitem_19.1.3"/>
            <w:bookmarkEnd w:id="181"/>
            <w:r w:rsidRPr="00FA3856">
              <w:rPr>
                <w:rFonts w:ascii="Times New Roman" w:hAnsi="Times New Roman" w:cs="Times New Roman"/>
                <w:szCs w:val="20"/>
              </w:rPr>
              <w:t xml:space="preserve"> a 15/09</w:t>
            </w:r>
          </w:p>
        </w:tc>
        <w:tc>
          <w:tcPr>
            <w:tcW w:w="539" w:type="pct"/>
            <w:tcBorders>
              <w:top w:val="outset" w:sz="6" w:space="0" w:color="auto"/>
              <w:left w:val="outset" w:sz="6" w:space="0" w:color="auto"/>
              <w:bottom w:val="outset" w:sz="6" w:space="0" w:color="auto"/>
              <w:right w:val="outset" w:sz="6" w:space="0" w:color="auto"/>
            </w:tcBorders>
            <w:hideMark/>
          </w:tcPr>
          <w:p w:rsidR="00A75154" w:rsidRPr="00FA3856" w:rsidRDefault="00A75154" w:rsidP="00A75154">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15/09</w:t>
            </w:r>
          </w:p>
        </w:tc>
        <w:tc>
          <w:tcPr>
            <w:tcW w:w="597" w:type="pct"/>
            <w:tcBorders>
              <w:top w:val="outset" w:sz="6" w:space="0" w:color="auto"/>
              <w:left w:val="outset" w:sz="6" w:space="0" w:color="auto"/>
              <w:bottom w:val="outset" w:sz="6" w:space="0" w:color="auto"/>
              <w:right w:val="outset" w:sz="6" w:space="0" w:color="auto"/>
            </w:tcBorders>
          </w:tcPr>
          <w:p w:rsidR="00A75154" w:rsidRPr="00FA3856" w:rsidRDefault="00A75154" w:rsidP="00A75154">
            <w:pPr>
              <w:pStyle w:val="NormalWeb"/>
              <w:spacing w:before="0" w:after="0"/>
              <w:jc w:val="right"/>
              <w:rPr>
                <w:rFonts w:ascii="Times New Roman" w:hAnsi="Times New Roman" w:cs="Times New Roman"/>
                <w:szCs w:val="20"/>
              </w:rPr>
            </w:pPr>
            <w:r w:rsidRPr="00FA3856">
              <w:rPr>
                <w:rFonts w:ascii="Times New Roman" w:hAnsi="Times New Roman" w:cs="Times New Roman"/>
                <w:szCs w:val="20"/>
              </w:rPr>
              <w:t> </w:t>
            </w:r>
          </w:p>
        </w:tc>
        <w:tc>
          <w:tcPr>
            <w:tcW w:w="597" w:type="pct"/>
            <w:tcBorders>
              <w:top w:val="outset" w:sz="6" w:space="0" w:color="auto"/>
              <w:left w:val="outset" w:sz="6" w:space="0" w:color="auto"/>
              <w:bottom w:val="outset" w:sz="6" w:space="0" w:color="auto"/>
              <w:right w:val="outset" w:sz="6" w:space="0" w:color="auto"/>
            </w:tcBorders>
            <w:hideMark/>
          </w:tcPr>
          <w:p w:rsidR="00A75154" w:rsidRPr="00FA3856" w:rsidRDefault="00A75154" w:rsidP="00A75154">
            <w:pPr>
              <w:pStyle w:val="NormalWeb"/>
              <w:spacing w:before="0" w:after="0"/>
              <w:jc w:val="right"/>
              <w:rPr>
                <w:rFonts w:ascii="Times New Roman" w:hAnsi="Times New Roman" w:cs="Times New Roman"/>
                <w:szCs w:val="20"/>
              </w:rPr>
            </w:pPr>
            <w:r w:rsidRPr="00FA3856">
              <w:rPr>
                <w:rFonts w:ascii="Times New Roman" w:hAnsi="Times New Roman" w:cs="Times New Roman"/>
                <w:szCs w:val="20"/>
              </w:rPr>
              <w:t>18.000,00</w:t>
            </w:r>
          </w:p>
        </w:tc>
        <w:tc>
          <w:tcPr>
            <w:tcW w:w="611" w:type="pct"/>
            <w:tcBorders>
              <w:top w:val="outset" w:sz="6" w:space="0" w:color="auto"/>
              <w:left w:val="outset" w:sz="6" w:space="0" w:color="auto"/>
              <w:bottom w:val="outset" w:sz="6" w:space="0" w:color="auto"/>
              <w:right w:val="outset" w:sz="6" w:space="0" w:color="auto"/>
            </w:tcBorders>
            <w:hideMark/>
          </w:tcPr>
          <w:p w:rsidR="00A75154" w:rsidRPr="00FA3856" w:rsidRDefault="00A75154" w:rsidP="00A75154">
            <w:pPr>
              <w:pStyle w:val="NormalWeb"/>
              <w:spacing w:before="0" w:after="0"/>
              <w:jc w:val="right"/>
              <w:rPr>
                <w:rFonts w:ascii="Times New Roman" w:hAnsi="Times New Roman" w:cs="Times New Roman"/>
                <w:szCs w:val="20"/>
              </w:rPr>
            </w:pPr>
            <w:r w:rsidRPr="00FA3856">
              <w:rPr>
                <w:rFonts w:ascii="Times New Roman" w:hAnsi="Times New Roman" w:cs="Times New Roman"/>
                <w:szCs w:val="20"/>
              </w:rPr>
              <w:t>(45.000,00)</w:t>
            </w:r>
          </w:p>
        </w:tc>
        <w:tc>
          <w:tcPr>
            <w:tcW w:w="248" w:type="pct"/>
            <w:tcBorders>
              <w:top w:val="outset" w:sz="6" w:space="0" w:color="auto"/>
              <w:left w:val="outset" w:sz="6" w:space="0" w:color="auto"/>
              <w:bottom w:val="outset" w:sz="6" w:space="0" w:color="auto"/>
              <w:right w:val="outset" w:sz="6" w:space="0" w:color="auto"/>
            </w:tcBorders>
            <w:hideMark/>
          </w:tcPr>
          <w:p w:rsidR="00A75154" w:rsidRPr="00FA3856" w:rsidRDefault="00A75154" w:rsidP="00A75154">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D</w:t>
            </w:r>
          </w:p>
        </w:tc>
      </w:tr>
      <w:tr w:rsidR="00A75154" w:rsidRPr="00FA3856" w:rsidTr="00A75154">
        <w:trPr>
          <w:tblCellSpacing w:w="7" w:type="dxa"/>
          <w:jc w:val="center"/>
        </w:trPr>
        <w:tc>
          <w:tcPr>
            <w:tcW w:w="2354" w:type="pct"/>
            <w:tcBorders>
              <w:top w:val="outset" w:sz="6" w:space="0" w:color="auto"/>
              <w:left w:val="outset" w:sz="6" w:space="0" w:color="auto"/>
              <w:bottom w:val="outset" w:sz="6" w:space="0" w:color="auto"/>
              <w:right w:val="outset" w:sz="6" w:space="0" w:color="auto"/>
            </w:tcBorders>
            <w:hideMark/>
          </w:tcPr>
          <w:p w:rsidR="00A75154" w:rsidRPr="00FA3856" w:rsidRDefault="00A75154" w:rsidP="00A75154">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Variação Cambial Passiva - Oper. Liquidada</w:t>
            </w:r>
          </w:p>
        </w:tc>
        <w:tc>
          <w:tcPr>
            <w:tcW w:w="539" w:type="pct"/>
            <w:tcBorders>
              <w:top w:val="outset" w:sz="6" w:space="0" w:color="auto"/>
              <w:left w:val="outset" w:sz="6" w:space="0" w:color="auto"/>
              <w:bottom w:val="outset" w:sz="6" w:space="0" w:color="auto"/>
              <w:right w:val="outset" w:sz="6" w:space="0" w:color="auto"/>
            </w:tcBorders>
            <w:hideMark/>
          </w:tcPr>
          <w:p w:rsidR="00A75154" w:rsidRPr="00FA3856" w:rsidRDefault="00A75154" w:rsidP="00A75154">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15/09</w:t>
            </w:r>
          </w:p>
        </w:tc>
        <w:tc>
          <w:tcPr>
            <w:tcW w:w="597" w:type="pct"/>
            <w:tcBorders>
              <w:top w:val="outset" w:sz="6" w:space="0" w:color="auto"/>
              <w:left w:val="outset" w:sz="6" w:space="0" w:color="auto"/>
              <w:bottom w:val="outset" w:sz="6" w:space="0" w:color="auto"/>
              <w:right w:val="outset" w:sz="6" w:space="0" w:color="auto"/>
            </w:tcBorders>
          </w:tcPr>
          <w:p w:rsidR="00A75154" w:rsidRPr="00FA3856" w:rsidRDefault="00A75154" w:rsidP="00A75154">
            <w:pPr>
              <w:pStyle w:val="NormalWeb"/>
              <w:spacing w:before="0" w:after="0"/>
              <w:jc w:val="right"/>
              <w:rPr>
                <w:rFonts w:ascii="Times New Roman" w:hAnsi="Times New Roman" w:cs="Times New Roman"/>
                <w:szCs w:val="20"/>
              </w:rPr>
            </w:pPr>
            <w:r w:rsidRPr="00FA3856">
              <w:rPr>
                <w:rFonts w:ascii="Times New Roman" w:hAnsi="Times New Roman" w:cs="Times New Roman"/>
                <w:szCs w:val="20"/>
              </w:rPr>
              <w:t> </w:t>
            </w:r>
          </w:p>
        </w:tc>
        <w:tc>
          <w:tcPr>
            <w:tcW w:w="597" w:type="pct"/>
            <w:tcBorders>
              <w:top w:val="outset" w:sz="6" w:space="0" w:color="auto"/>
              <w:left w:val="outset" w:sz="6" w:space="0" w:color="auto"/>
              <w:bottom w:val="outset" w:sz="6" w:space="0" w:color="auto"/>
              <w:right w:val="outset" w:sz="6" w:space="0" w:color="auto"/>
            </w:tcBorders>
            <w:hideMark/>
          </w:tcPr>
          <w:p w:rsidR="00A75154" w:rsidRPr="00FA3856" w:rsidRDefault="00A75154" w:rsidP="00A75154">
            <w:pPr>
              <w:pStyle w:val="NormalWeb"/>
              <w:spacing w:before="0" w:after="0"/>
              <w:jc w:val="right"/>
              <w:rPr>
                <w:rFonts w:ascii="Times New Roman" w:hAnsi="Times New Roman" w:cs="Times New Roman"/>
                <w:szCs w:val="20"/>
              </w:rPr>
            </w:pPr>
            <w:r w:rsidRPr="00FA3856">
              <w:rPr>
                <w:rFonts w:ascii="Times New Roman" w:hAnsi="Times New Roman" w:cs="Times New Roman"/>
                <w:szCs w:val="20"/>
              </w:rPr>
              <w:t>22.500,00</w:t>
            </w:r>
          </w:p>
        </w:tc>
        <w:tc>
          <w:tcPr>
            <w:tcW w:w="611" w:type="pct"/>
            <w:tcBorders>
              <w:top w:val="outset" w:sz="6" w:space="0" w:color="auto"/>
              <w:left w:val="outset" w:sz="6" w:space="0" w:color="auto"/>
              <w:bottom w:val="outset" w:sz="6" w:space="0" w:color="auto"/>
              <w:right w:val="outset" w:sz="6" w:space="0" w:color="auto"/>
            </w:tcBorders>
            <w:hideMark/>
          </w:tcPr>
          <w:p w:rsidR="00A75154" w:rsidRPr="00FA3856" w:rsidRDefault="00A75154" w:rsidP="00A75154">
            <w:pPr>
              <w:pStyle w:val="NormalWeb"/>
              <w:spacing w:before="0" w:after="0"/>
              <w:jc w:val="right"/>
              <w:rPr>
                <w:rFonts w:ascii="Times New Roman" w:hAnsi="Times New Roman" w:cs="Times New Roman"/>
                <w:szCs w:val="20"/>
              </w:rPr>
            </w:pPr>
            <w:r w:rsidRPr="00FA3856">
              <w:rPr>
                <w:rFonts w:ascii="Times New Roman" w:hAnsi="Times New Roman" w:cs="Times New Roman"/>
                <w:szCs w:val="20"/>
              </w:rPr>
              <w:t>(22.500,00)</w:t>
            </w:r>
          </w:p>
        </w:tc>
        <w:tc>
          <w:tcPr>
            <w:tcW w:w="248" w:type="pct"/>
            <w:tcBorders>
              <w:top w:val="outset" w:sz="6" w:space="0" w:color="auto"/>
              <w:left w:val="outset" w:sz="6" w:space="0" w:color="auto"/>
              <w:bottom w:val="outset" w:sz="6" w:space="0" w:color="auto"/>
              <w:right w:val="outset" w:sz="6" w:space="0" w:color="auto"/>
            </w:tcBorders>
            <w:hideMark/>
          </w:tcPr>
          <w:p w:rsidR="00A75154" w:rsidRPr="00FA3856" w:rsidRDefault="00A75154" w:rsidP="00A75154">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D</w:t>
            </w:r>
          </w:p>
        </w:tc>
      </w:tr>
      <w:tr w:rsidR="00A75154" w:rsidRPr="00FA3856" w:rsidTr="00A75154">
        <w:trPr>
          <w:tblCellSpacing w:w="7" w:type="dxa"/>
          <w:jc w:val="center"/>
        </w:trPr>
        <w:tc>
          <w:tcPr>
            <w:tcW w:w="2354" w:type="pct"/>
            <w:tcBorders>
              <w:top w:val="outset" w:sz="6" w:space="0" w:color="auto"/>
              <w:left w:val="outset" w:sz="6" w:space="0" w:color="auto"/>
              <w:bottom w:val="outset" w:sz="6" w:space="0" w:color="auto"/>
              <w:right w:val="outset" w:sz="6" w:space="0" w:color="auto"/>
            </w:tcBorders>
            <w:hideMark/>
          </w:tcPr>
          <w:p w:rsidR="00A75154" w:rsidRPr="00FA3856" w:rsidRDefault="00A75154" w:rsidP="00A75154">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Variação Cambial Passiva 15/09 a 30/09</w:t>
            </w:r>
          </w:p>
        </w:tc>
        <w:tc>
          <w:tcPr>
            <w:tcW w:w="539" w:type="pct"/>
            <w:tcBorders>
              <w:top w:val="outset" w:sz="6" w:space="0" w:color="auto"/>
              <w:left w:val="outset" w:sz="6" w:space="0" w:color="auto"/>
              <w:bottom w:val="outset" w:sz="6" w:space="0" w:color="auto"/>
              <w:right w:val="outset" w:sz="6" w:space="0" w:color="auto"/>
            </w:tcBorders>
            <w:hideMark/>
          </w:tcPr>
          <w:p w:rsidR="00A75154" w:rsidRPr="00FA3856" w:rsidRDefault="00A75154" w:rsidP="00A75154">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30/09</w:t>
            </w:r>
          </w:p>
        </w:tc>
        <w:tc>
          <w:tcPr>
            <w:tcW w:w="597" w:type="pct"/>
            <w:tcBorders>
              <w:top w:val="outset" w:sz="6" w:space="0" w:color="auto"/>
              <w:left w:val="outset" w:sz="6" w:space="0" w:color="auto"/>
              <w:bottom w:val="outset" w:sz="6" w:space="0" w:color="auto"/>
              <w:right w:val="outset" w:sz="6" w:space="0" w:color="auto"/>
            </w:tcBorders>
          </w:tcPr>
          <w:p w:rsidR="00A75154" w:rsidRPr="00FA3856" w:rsidRDefault="00A75154" w:rsidP="00A75154">
            <w:pPr>
              <w:pStyle w:val="NormalWeb"/>
              <w:spacing w:before="0" w:after="0"/>
              <w:jc w:val="right"/>
              <w:rPr>
                <w:rFonts w:ascii="Times New Roman" w:hAnsi="Times New Roman" w:cs="Times New Roman"/>
                <w:szCs w:val="20"/>
              </w:rPr>
            </w:pPr>
            <w:r w:rsidRPr="00FA3856">
              <w:rPr>
                <w:rFonts w:ascii="Times New Roman" w:hAnsi="Times New Roman" w:cs="Times New Roman"/>
                <w:szCs w:val="20"/>
              </w:rPr>
              <w:t>2.250,00</w:t>
            </w:r>
          </w:p>
        </w:tc>
        <w:tc>
          <w:tcPr>
            <w:tcW w:w="597" w:type="pct"/>
            <w:tcBorders>
              <w:top w:val="outset" w:sz="6" w:space="0" w:color="auto"/>
              <w:left w:val="outset" w:sz="6" w:space="0" w:color="auto"/>
              <w:bottom w:val="outset" w:sz="6" w:space="0" w:color="auto"/>
              <w:right w:val="outset" w:sz="6" w:space="0" w:color="auto"/>
            </w:tcBorders>
            <w:hideMark/>
          </w:tcPr>
          <w:p w:rsidR="00A75154" w:rsidRPr="00FA3856" w:rsidRDefault="00A75154" w:rsidP="00A75154">
            <w:pPr>
              <w:pStyle w:val="NormalWeb"/>
              <w:spacing w:before="0" w:after="0"/>
              <w:jc w:val="right"/>
              <w:rPr>
                <w:rFonts w:ascii="Times New Roman" w:hAnsi="Times New Roman" w:cs="Times New Roman"/>
                <w:szCs w:val="20"/>
              </w:rPr>
            </w:pPr>
            <w:r w:rsidRPr="00FA3856">
              <w:rPr>
                <w:rFonts w:ascii="Times New Roman" w:hAnsi="Times New Roman" w:cs="Times New Roman"/>
                <w:szCs w:val="20"/>
              </w:rPr>
              <w:t> </w:t>
            </w:r>
          </w:p>
        </w:tc>
        <w:tc>
          <w:tcPr>
            <w:tcW w:w="611" w:type="pct"/>
            <w:tcBorders>
              <w:top w:val="outset" w:sz="6" w:space="0" w:color="auto"/>
              <w:left w:val="outset" w:sz="6" w:space="0" w:color="auto"/>
              <w:bottom w:val="outset" w:sz="6" w:space="0" w:color="auto"/>
              <w:right w:val="outset" w:sz="6" w:space="0" w:color="auto"/>
            </w:tcBorders>
            <w:hideMark/>
          </w:tcPr>
          <w:p w:rsidR="00A75154" w:rsidRPr="00FA3856" w:rsidRDefault="00A75154" w:rsidP="00A75154">
            <w:pPr>
              <w:pStyle w:val="NormalWeb"/>
              <w:spacing w:before="0" w:after="0"/>
              <w:jc w:val="right"/>
              <w:rPr>
                <w:rFonts w:ascii="Times New Roman" w:hAnsi="Times New Roman" w:cs="Times New Roman"/>
                <w:szCs w:val="20"/>
              </w:rPr>
            </w:pPr>
            <w:r w:rsidRPr="00FA3856">
              <w:rPr>
                <w:rFonts w:ascii="Times New Roman" w:hAnsi="Times New Roman" w:cs="Times New Roman"/>
                <w:szCs w:val="20"/>
              </w:rPr>
              <w:t>(24.750,00)</w:t>
            </w:r>
          </w:p>
        </w:tc>
        <w:tc>
          <w:tcPr>
            <w:tcW w:w="248" w:type="pct"/>
            <w:tcBorders>
              <w:top w:val="outset" w:sz="6" w:space="0" w:color="auto"/>
              <w:left w:val="outset" w:sz="6" w:space="0" w:color="auto"/>
              <w:bottom w:val="outset" w:sz="6" w:space="0" w:color="auto"/>
              <w:right w:val="outset" w:sz="6" w:space="0" w:color="auto"/>
            </w:tcBorders>
            <w:hideMark/>
          </w:tcPr>
          <w:p w:rsidR="00A75154" w:rsidRPr="00FA3856" w:rsidRDefault="00A75154" w:rsidP="00A75154">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D</w:t>
            </w:r>
          </w:p>
        </w:tc>
      </w:tr>
      <w:tr w:rsidR="00A75154" w:rsidRPr="00FA3856" w:rsidTr="00A75154">
        <w:trPr>
          <w:tblCellSpacing w:w="7" w:type="dxa"/>
          <w:jc w:val="center"/>
        </w:trPr>
        <w:tc>
          <w:tcPr>
            <w:tcW w:w="2354" w:type="pct"/>
            <w:tcBorders>
              <w:top w:val="outset" w:sz="6" w:space="0" w:color="auto"/>
              <w:left w:val="outset" w:sz="6" w:space="0" w:color="auto"/>
              <w:bottom w:val="outset" w:sz="6" w:space="0" w:color="auto"/>
              <w:right w:val="outset" w:sz="6" w:space="0" w:color="auto"/>
            </w:tcBorders>
            <w:hideMark/>
          </w:tcPr>
          <w:p w:rsidR="00A75154" w:rsidRPr="00FA3856" w:rsidRDefault="00A75154" w:rsidP="00A75154">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Variação Cambial Passiva - Oper. Liquidada</w:t>
            </w:r>
          </w:p>
        </w:tc>
        <w:tc>
          <w:tcPr>
            <w:tcW w:w="539" w:type="pct"/>
            <w:tcBorders>
              <w:top w:val="outset" w:sz="6" w:space="0" w:color="auto"/>
              <w:left w:val="outset" w:sz="6" w:space="0" w:color="auto"/>
              <w:bottom w:val="outset" w:sz="6" w:space="0" w:color="auto"/>
              <w:right w:val="outset" w:sz="6" w:space="0" w:color="auto"/>
            </w:tcBorders>
            <w:hideMark/>
          </w:tcPr>
          <w:p w:rsidR="00A75154" w:rsidRPr="00FA3856" w:rsidRDefault="00A75154" w:rsidP="00A75154">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30/09</w:t>
            </w:r>
          </w:p>
        </w:tc>
        <w:tc>
          <w:tcPr>
            <w:tcW w:w="597" w:type="pct"/>
            <w:tcBorders>
              <w:top w:val="outset" w:sz="6" w:space="0" w:color="auto"/>
              <w:left w:val="outset" w:sz="6" w:space="0" w:color="auto"/>
              <w:bottom w:val="outset" w:sz="6" w:space="0" w:color="auto"/>
              <w:right w:val="outset" w:sz="6" w:space="0" w:color="auto"/>
            </w:tcBorders>
          </w:tcPr>
          <w:p w:rsidR="00A75154" w:rsidRPr="00FA3856" w:rsidRDefault="00A75154" w:rsidP="00A75154">
            <w:pPr>
              <w:pStyle w:val="NormalWeb"/>
              <w:spacing w:before="0" w:after="0"/>
              <w:jc w:val="right"/>
              <w:rPr>
                <w:rFonts w:ascii="Times New Roman" w:hAnsi="Times New Roman" w:cs="Times New Roman"/>
                <w:szCs w:val="20"/>
              </w:rPr>
            </w:pPr>
            <w:r w:rsidRPr="00FA3856">
              <w:rPr>
                <w:rFonts w:ascii="Times New Roman" w:hAnsi="Times New Roman" w:cs="Times New Roman"/>
                <w:szCs w:val="20"/>
              </w:rPr>
              <w:t> </w:t>
            </w:r>
          </w:p>
        </w:tc>
        <w:tc>
          <w:tcPr>
            <w:tcW w:w="597" w:type="pct"/>
            <w:tcBorders>
              <w:top w:val="outset" w:sz="6" w:space="0" w:color="auto"/>
              <w:left w:val="outset" w:sz="6" w:space="0" w:color="auto"/>
              <w:bottom w:val="outset" w:sz="6" w:space="0" w:color="auto"/>
              <w:right w:val="outset" w:sz="6" w:space="0" w:color="auto"/>
            </w:tcBorders>
            <w:hideMark/>
          </w:tcPr>
          <w:p w:rsidR="00A75154" w:rsidRPr="00FA3856" w:rsidRDefault="00A75154" w:rsidP="00A75154">
            <w:pPr>
              <w:pStyle w:val="NormalWeb"/>
              <w:spacing w:before="0" w:after="0"/>
              <w:jc w:val="right"/>
              <w:rPr>
                <w:rFonts w:ascii="Times New Roman" w:hAnsi="Times New Roman" w:cs="Times New Roman"/>
                <w:szCs w:val="20"/>
              </w:rPr>
            </w:pPr>
            <w:r w:rsidRPr="00FA3856">
              <w:rPr>
                <w:rFonts w:ascii="Times New Roman" w:hAnsi="Times New Roman" w:cs="Times New Roman"/>
                <w:szCs w:val="20"/>
              </w:rPr>
              <w:t>24.750,00</w:t>
            </w:r>
          </w:p>
        </w:tc>
        <w:tc>
          <w:tcPr>
            <w:tcW w:w="611" w:type="pct"/>
            <w:tcBorders>
              <w:top w:val="outset" w:sz="6" w:space="0" w:color="auto"/>
              <w:left w:val="outset" w:sz="6" w:space="0" w:color="auto"/>
              <w:bottom w:val="outset" w:sz="6" w:space="0" w:color="auto"/>
              <w:right w:val="outset" w:sz="6" w:space="0" w:color="auto"/>
            </w:tcBorders>
            <w:hideMark/>
          </w:tcPr>
          <w:p w:rsidR="00A75154" w:rsidRPr="00FA3856" w:rsidRDefault="00A75154" w:rsidP="00A75154">
            <w:pPr>
              <w:pStyle w:val="NormalWeb"/>
              <w:spacing w:before="0" w:after="0"/>
              <w:jc w:val="right"/>
              <w:rPr>
                <w:rFonts w:ascii="Times New Roman" w:hAnsi="Times New Roman" w:cs="Times New Roman"/>
                <w:szCs w:val="20"/>
              </w:rPr>
            </w:pPr>
            <w:r w:rsidRPr="00FA3856">
              <w:rPr>
                <w:rFonts w:ascii="Times New Roman" w:hAnsi="Times New Roman" w:cs="Times New Roman"/>
                <w:szCs w:val="20"/>
              </w:rPr>
              <w:t>0,00</w:t>
            </w:r>
          </w:p>
        </w:tc>
        <w:tc>
          <w:tcPr>
            <w:tcW w:w="248" w:type="pct"/>
            <w:tcBorders>
              <w:top w:val="outset" w:sz="6" w:space="0" w:color="auto"/>
              <w:left w:val="outset" w:sz="6" w:space="0" w:color="auto"/>
              <w:bottom w:val="outset" w:sz="6" w:space="0" w:color="auto"/>
              <w:right w:val="outset" w:sz="6" w:space="0" w:color="auto"/>
            </w:tcBorders>
            <w:hideMark/>
          </w:tcPr>
          <w:p w:rsidR="00A75154" w:rsidRPr="00FA3856" w:rsidRDefault="00A75154" w:rsidP="00A75154">
            <w:pPr>
              <w:pStyle w:val="NormalWeb"/>
              <w:spacing w:before="0" w:after="0"/>
              <w:jc w:val="center"/>
              <w:rPr>
                <w:rFonts w:ascii="Times New Roman" w:hAnsi="Times New Roman" w:cs="Times New Roman"/>
                <w:szCs w:val="20"/>
              </w:rPr>
            </w:pPr>
          </w:p>
        </w:tc>
      </w:tr>
      <w:tr w:rsidR="00A75154" w:rsidRPr="00FA3856" w:rsidTr="00A75154">
        <w:trPr>
          <w:tblCellSpacing w:w="7" w:type="dxa"/>
          <w:jc w:val="center"/>
        </w:trPr>
        <w:tc>
          <w:tcPr>
            <w:tcW w:w="2354" w:type="pct"/>
            <w:tcBorders>
              <w:top w:val="outset" w:sz="6" w:space="0" w:color="auto"/>
              <w:left w:val="outset" w:sz="6" w:space="0" w:color="auto"/>
              <w:bottom w:val="outset" w:sz="6" w:space="0" w:color="auto"/>
              <w:right w:val="outset" w:sz="6" w:space="0" w:color="auto"/>
            </w:tcBorders>
            <w:hideMark/>
          </w:tcPr>
          <w:p w:rsidR="00A75154" w:rsidRPr="00FA3856" w:rsidRDefault="00A75154" w:rsidP="00A75154">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Saldo em 31/12</w:t>
            </w:r>
          </w:p>
        </w:tc>
        <w:tc>
          <w:tcPr>
            <w:tcW w:w="539" w:type="pct"/>
            <w:tcBorders>
              <w:top w:val="outset" w:sz="6" w:space="0" w:color="auto"/>
              <w:left w:val="outset" w:sz="6" w:space="0" w:color="auto"/>
              <w:bottom w:val="outset" w:sz="6" w:space="0" w:color="auto"/>
              <w:right w:val="outset" w:sz="6" w:space="0" w:color="auto"/>
            </w:tcBorders>
            <w:hideMark/>
          </w:tcPr>
          <w:p w:rsidR="00A75154" w:rsidRPr="00FA3856" w:rsidRDefault="00A75154" w:rsidP="00A75154">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31/12</w:t>
            </w:r>
          </w:p>
        </w:tc>
        <w:tc>
          <w:tcPr>
            <w:tcW w:w="597" w:type="pct"/>
            <w:tcBorders>
              <w:top w:val="outset" w:sz="6" w:space="0" w:color="auto"/>
              <w:left w:val="outset" w:sz="6" w:space="0" w:color="auto"/>
              <w:bottom w:val="outset" w:sz="6" w:space="0" w:color="auto"/>
              <w:right w:val="outset" w:sz="6" w:space="0" w:color="auto"/>
            </w:tcBorders>
          </w:tcPr>
          <w:p w:rsidR="00A75154" w:rsidRPr="00FA3856" w:rsidRDefault="00A75154" w:rsidP="00A75154">
            <w:pPr>
              <w:pStyle w:val="NormalWeb"/>
              <w:spacing w:before="0" w:after="0"/>
              <w:jc w:val="right"/>
              <w:rPr>
                <w:rFonts w:ascii="Times New Roman" w:hAnsi="Times New Roman" w:cs="Times New Roman"/>
                <w:szCs w:val="20"/>
              </w:rPr>
            </w:pPr>
            <w:r w:rsidRPr="00FA3856">
              <w:rPr>
                <w:rFonts w:ascii="Times New Roman" w:hAnsi="Times New Roman" w:cs="Times New Roman"/>
                <w:szCs w:val="20"/>
              </w:rPr>
              <w:t> </w:t>
            </w:r>
          </w:p>
        </w:tc>
        <w:tc>
          <w:tcPr>
            <w:tcW w:w="597" w:type="pct"/>
            <w:tcBorders>
              <w:top w:val="outset" w:sz="6" w:space="0" w:color="auto"/>
              <w:left w:val="outset" w:sz="6" w:space="0" w:color="auto"/>
              <w:bottom w:val="outset" w:sz="6" w:space="0" w:color="auto"/>
              <w:right w:val="outset" w:sz="6" w:space="0" w:color="auto"/>
            </w:tcBorders>
            <w:hideMark/>
          </w:tcPr>
          <w:p w:rsidR="00A75154" w:rsidRPr="00FA3856" w:rsidRDefault="00A75154" w:rsidP="00A75154">
            <w:pPr>
              <w:pStyle w:val="NormalWeb"/>
              <w:spacing w:before="0" w:after="0"/>
              <w:jc w:val="right"/>
              <w:rPr>
                <w:rFonts w:ascii="Times New Roman" w:hAnsi="Times New Roman" w:cs="Times New Roman"/>
                <w:szCs w:val="20"/>
              </w:rPr>
            </w:pPr>
            <w:r w:rsidRPr="00FA3856">
              <w:rPr>
                <w:rFonts w:ascii="Times New Roman" w:hAnsi="Times New Roman" w:cs="Times New Roman"/>
                <w:szCs w:val="20"/>
              </w:rPr>
              <w:t> </w:t>
            </w:r>
          </w:p>
        </w:tc>
        <w:tc>
          <w:tcPr>
            <w:tcW w:w="611" w:type="pct"/>
            <w:tcBorders>
              <w:top w:val="outset" w:sz="6" w:space="0" w:color="auto"/>
              <w:left w:val="outset" w:sz="6" w:space="0" w:color="auto"/>
              <w:bottom w:val="outset" w:sz="6" w:space="0" w:color="auto"/>
              <w:right w:val="outset" w:sz="6" w:space="0" w:color="auto"/>
            </w:tcBorders>
            <w:hideMark/>
          </w:tcPr>
          <w:p w:rsidR="00A75154" w:rsidRPr="00FA3856" w:rsidRDefault="00A75154" w:rsidP="00A75154">
            <w:pPr>
              <w:pStyle w:val="NormalWeb"/>
              <w:spacing w:before="0" w:after="0"/>
              <w:jc w:val="right"/>
              <w:rPr>
                <w:rFonts w:ascii="Times New Roman" w:hAnsi="Times New Roman" w:cs="Times New Roman"/>
                <w:szCs w:val="20"/>
              </w:rPr>
            </w:pPr>
            <w:r w:rsidRPr="00FA3856">
              <w:rPr>
                <w:rFonts w:ascii="Times New Roman" w:hAnsi="Times New Roman" w:cs="Times New Roman"/>
                <w:szCs w:val="20"/>
              </w:rPr>
              <w:t>0,00</w:t>
            </w:r>
          </w:p>
        </w:tc>
        <w:tc>
          <w:tcPr>
            <w:tcW w:w="248" w:type="pct"/>
            <w:tcBorders>
              <w:top w:val="outset" w:sz="6" w:space="0" w:color="auto"/>
              <w:left w:val="outset" w:sz="6" w:space="0" w:color="auto"/>
              <w:bottom w:val="outset" w:sz="6" w:space="0" w:color="auto"/>
              <w:right w:val="outset" w:sz="6" w:space="0" w:color="auto"/>
            </w:tcBorders>
            <w:hideMark/>
          </w:tcPr>
          <w:p w:rsidR="00A75154" w:rsidRPr="00FA3856" w:rsidRDefault="00A75154" w:rsidP="00A75154">
            <w:pPr>
              <w:pStyle w:val="NormalWeb"/>
              <w:spacing w:before="0" w:after="0"/>
              <w:jc w:val="center"/>
              <w:rPr>
                <w:rFonts w:ascii="Times New Roman" w:hAnsi="Times New Roman" w:cs="Times New Roman"/>
                <w:szCs w:val="20"/>
              </w:rPr>
            </w:pPr>
          </w:p>
        </w:tc>
      </w:tr>
    </w:tbl>
    <w:p w:rsidR="00847484" w:rsidRPr="00FA3856" w:rsidRDefault="001A6818" w:rsidP="00A36A8B">
      <w:pPr>
        <w:jc w:val="both"/>
        <w:rPr>
          <w:szCs w:val="20"/>
        </w:rPr>
      </w:pPr>
      <w:r w:rsidRPr="00FA3856">
        <w:rPr>
          <w:b/>
          <w:bCs/>
          <w:szCs w:val="20"/>
        </w:rPr>
        <w:lastRenderedPageBreak/>
        <w:t xml:space="preserve">VIII) </w:t>
      </w:r>
      <w:r w:rsidR="00847484" w:rsidRPr="00FA3856">
        <w:rPr>
          <w:b/>
          <w:bCs/>
          <w:szCs w:val="20"/>
        </w:rPr>
        <w:t>Alteração do Critério de Reconhecimento das Variações Monetárias</w:t>
      </w:r>
    </w:p>
    <w:p w:rsidR="00847484" w:rsidRPr="00FA3856" w:rsidRDefault="00847484" w:rsidP="00A36A8B">
      <w:pPr>
        <w:jc w:val="both"/>
        <w:rPr>
          <w:szCs w:val="20"/>
        </w:rPr>
      </w:pPr>
      <w:r w:rsidRPr="00FA3856">
        <w:rPr>
          <w:szCs w:val="20"/>
        </w:rPr>
        <w:t> </w:t>
      </w:r>
    </w:p>
    <w:p w:rsidR="00847484" w:rsidRPr="00FA3856" w:rsidRDefault="00847484" w:rsidP="00114A1D">
      <w:pPr>
        <w:ind w:firstLine="708"/>
        <w:jc w:val="both"/>
        <w:rPr>
          <w:szCs w:val="20"/>
        </w:rPr>
      </w:pPr>
      <w:r w:rsidRPr="00FA3856">
        <w:rPr>
          <w:szCs w:val="20"/>
        </w:rPr>
        <w:t>Na hipótese de alteração do critério de reconhecimento das variações monetárias para o regime de competência, devem ser computadas, na base de cálculo do IRPJ e da CSLL, em 31 de dezembro do período de encerramento do ano precedente ao da opção, as variações monetárias incorridas até essa data, inclusive as de períodos anteriores.</w:t>
      </w:r>
    </w:p>
    <w:p w:rsidR="00847484" w:rsidRPr="00FA3856" w:rsidRDefault="00847484" w:rsidP="00A36A8B">
      <w:pPr>
        <w:jc w:val="both"/>
        <w:rPr>
          <w:szCs w:val="20"/>
        </w:rPr>
      </w:pPr>
      <w:r w:rsidRPr="00FA3856">
        <w:rPr>
          <w:szCs w:val="20"/>
        </w:rPr>
        <w:t>Na hipótese de alteração do critério de reconhecimento das variações monetárias pelo regime de competência para o regime de reconhecimento quando da liquidação da operação, no período de apuração em que ocorrer essa liquidação devem ser computadas, na base de cálculo do IRPJ e da CSLL, as variações monetárias relativas ao período de 1</w:t>
      </w:r>
      <w:r w:rsidRPr="00FA3856">
        <w:rPr>
          <w:strike/>
          <w:szCs w:val="20"/>
        </w:rPr>
        <w:t>º</w:t>
      </w:r>
      <w:r w:rsidRPr="00FA3856">
        <w:rPr>
          <w:szCs w:val="20"/>
        </w:rPr>
        <w:t xml:space="preserve"> de janeiro do ano-calendário da opção até a data da liquidação.</w:t>
      </w:r>
    </w:p>
    <w:p w:rsidR="00114A1D" w:rsidRPr="00FA3856" w:rsidRDefault="00114A1D" w:rsidP="00A36A8B">
      <w:pPr>
        <w:pStyle w:val="NormalWeb"/>
        <w:spacing w:before="0" w:after="0"/>
        <w:jc w:val="both"/>
        <w:rPr>
          <w:rFonts w:ascii="Times New Roman" w:eastAsia="Times New Roman" w:hAnsi="Times New Roman" w:cs="Times New Roman"/>
          <w:color w:val="0000FF"/>
          <w:szCs w:val="20"/>
          <w:lang w:eastAsia="pt-BR"/>
        </w:rPr>
      </w:pPr>
    </w:p>
    <w:p w:rsidR="0073224C" w:rsidRPr="00FA3856" w:rsidRDefault="00114A1D" w:rsidP="00A36A8B">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t>IX) C</w:t>
      </w:r>
      <w:r w:rsidR="0073224C" w:rsidRPr="00FA3856">
        <w:rPr>
          <w:rFonts w:ascii="Times New Roman" w:hAnsi="Times New Roman" w:cs="Times New Roman"/>
          <w:b/>
          <w:bCs/>
          <w:szCs w:val="20"/>
        </w:rPr>
        <w:t>ONTRIBUIÇÃO SOCIAL SOBRE O LU</w:t>
      </w:r>
      <w:bookmarkStart w:id="182" w:name="subitem_19.1.4"/>
      <w:bookmarkEnd w:id="182"/>
      <w:r w:rsidR="0073224C" w:rsidRPr="00FA3856">
        <w:rPr>
          <w:rFonts w:ascii="Times New Roman" w:hAnsi="Times New Roman" w:cs="Times New Roman"/>
          <w:b/>
          <w:bCs/>
          <w:szCs w:val="20"/>
        </w:rPr>
        <w:t>CRO LÍQUIDO (CSLL)</w:t>
      </w:r>
    </w:p>
    <w:p w:rsidR="0073224C" w:rsidRPr="00FA3856" w:rsidRDefault="0073224C" w:rsidP="00A36A8B">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p w:rsidR="0073224C" w:rsidRPr="00FA3856" w:rsidRDefault="0073224C" w:rsidP="00114A1D">
      <w:pPr>
        <w:pStyle w:val="NormalWeb"/>
        <w:spacing w:before="0" w:after="0"/>
        <w:ind w:firstLine="600"/>
        <w:jc w:val="both"/>
        <w:rPr>
          <w:rFonts w:ascii="Times New Roman" w:hAnsi="Times New Roman" w:cs="Times New Roman"/>
          <w:szCs w:val="20"/>
        </w:rPr>
      </w:pPr>
      <w:r w:rsidRPr="00FA3856">
        <w:rPr>
          <w:rFonts w:ascii="Times New Roman" w:hAnsi="Times New Roman" w:cs="Times New Roman"/>
          <w:szCs w:val="20"/>
        </w:rPr>
        <w:t>Aplicam-se à CSLL, no que couberem, as disposições da legislação do imposto sobre a renda referentes à administração, ao lançamento, à consulta, à cobrança, às penalidades, às garantias e ao processo administrativo, mantidas a base de cálculo e as alíquotas previstas na legislação da referida contribuição (Lei n</w:t>
      </w:r>
      <w:r w:rsidRPr="00FA3856">
        <w:rPr>
          <w:rFonts w:ascii="Times New Roman" w:hAnsi="Times New Roman" w:cs="Times New Roman"/>
          <w:strike/>
          <w:szCs w:val="20"/>
        </w:rPr>
        <w:t>º</w:t>
      </w:r>
      <w:r w:rsidRPr="00FA3856">
        <w:rPr>
          <w:rFonts w:ascii="Times New Roman" w:hAnsi="Times New Roman" w:cs="Times New Roman"/>
          <w:szCs w:val="20"/>
        </w:rPr>
        <w:t xml:space="preserve"> 7.689, de 1988, art. 6</w:t>
      </w:r>
      <w:r w:rsidRPr="00FA3856">
        <w:rPr>
          <w:rFonts w:ascii="Times New Roman" w:hAnsi="Times New Roman" w:cs="Times New Roman"/>
          <w:strike/>
          <w:szCs w:val="20"/>
        </w:rPr>
        <w:t>º</w:t>
      </w:r>
      <w:r w:rsidRPr="00FA3856">
        <w:rPr>
          <w:rFonts w:ascii="Times New Roman" w:hAnsi="Times New Roman" w:cs="Times New Roman"/>
          <w:szCs w:val="20"/>
        </w:rPr>
        <w:t>, e Lei n</w:t>
      </w:r>
      <w:r w:rsidRPr="00FA3856">
        <w:rPr>
          <w:rFonts w:ascii="Times New Roman" w:hAnsi="Times New Roman" w:cs="Times New Roman"/>
          <w:strike/>
          <w:szCs w:val="20"/>
        </w:rPr>
        <w:t>º</w:t>
      </w:r>
      <w:r w:rsidRPr="00FA3856">
        <w:rPr>
          <w:rFonts w:ascii="Times New Roman" w:hAnsi="Times New Roman" w:cs="Times New Roman"/>
          <w:szCs w:val="20"/>
        </w:rPr>
        <w:t xml:space="preserve"> 8.981, de 1995, art. 57). </w:t>
      </w:r>
    </w:p>
    <w:p w:rsidR="00114A1D" w:rsidRPr="00FA3856" w:rsidRDefault="00114A1D" w:rsidP="00A36A8B">
      <w:pPr>
        <w:pStyle w:val="NormalWeb"/>
        <w:spacing w:before="0" w:after="0"/>
        <w:ind w:left="600"/>
        <w:jc w:val="both"/>
        <w:rPr>
          <w:rStyle w:val="Forte"/>
          <w:rFonts w:ascii="Times New Roman" w:hAnsi="Times New Roman" w:cs="Times New Roman"/>
          <w:szCs w:val="20"/>
        </w:rPr>
      </w:pPr>
    </w:p>
    <w:p w:rsidR="0073224C" w:rsidRPr="00FA3856" w:rsidRDefault="0073224C" w:rsidP="00A36A8B">
      <w:pPr>
        <w:pStyle w:val="NormalWeb"/>
        <w:spacing w:before="0" w:after="0"/>
        <w:ind w:left="600"/>
        <w:jc w:val="both"/>
        <w:rPr>
          <w:rFonts w:ascii="Times New Roman" w:hAnsi="Times New Roman" w:cs="Times New Roman"/>
          <w:szCs w:val="20"/>
        </w:rPr>
      </w:pPr>
      <w:r w:rsidRPr="00FA3856">
        <w:rPr>
          <w:rStyle w:val="Forte"/>
          <w:rFonts w:ascii="Times New Roman" w:hAnsi="Times New Roman" w:cs="Times New Roman"/>
          <w:szCs w:val="20"/>
        </w:rPr>
        <w:t>Atenção:</w:t>
      </w:r>
    </w:p>
    <w:p w:rsidR="0073224C" w:rsidRPr="00FA3856" w:rsidRDefault="0073224C" w:rsidP="00A36A8B">
      <w:pPr>
        <w:pStyle w:val="NormalWeb"/>
        <w:spacing w:before="0" w:after="0"/>
        <w:ind w:left="600"/>
        <w:jc w:val="both"/>
        <w:rPr>
          <w:rFonts w:ascii="Times New Roman" w:hAnsi="Times New Roman" w:cs="Times New Roman"/>
          <w:szCs w:val="20"/>
        </w:rPr>
      </w:pPr>
      <w:r w:rsidRPr="00FA3856">
        <w:rPr>
          <w:rFonts w:ascii="Times New Roman" w:hAnsi="Times New Roman" w:cs="Times New Roman"/>
          <w:szCs w:val="20"/>
        </w:rPr>
        <w:t>1) As entidades sem fins lucrativos de que trata o inciso I do art. 12 do Decreto n</w:t>
      </w:r>
      <w:r w:rsidRPr="00FA3856">
        <w:rPr>
          <w:rFonts w:ascii="Times New Roman" w:hAnsi="Times New Roman" w:cs="Times New Roman"/>
          <w:strike/>
          <w:szCs w:val="20"/>
        </w:rPr>
        <w:t>º</w:t>
      </w:r>
      <w:r w:rsidRPr="00FA3856">
        <w:rPr>
          <w:rFonts w:ascii="Times New Roman" w:hAnsi="Times New Roman" w:cs="Times New Roman"/>
          <w:szCs w:val="20"/>
        </w:rPr>
        <w:t xml:space="preserve"> 3.048, de 6 de maio de 1999, que não se enquadrem na imunidade ou isenção da Lei n</w:t>
      </w:r>
      <w:r w:rsidRPr="00FA3856">
        <w:rPr>
          <w:rFonts w:ascii="Times New Roman" w:hAnsi="Times New Roman" w:cs="Times New Roman"/>
          <w:strike/>
          <w:szCs w:val="20"/>
        </w:rPr>
        <w:t>º</w:t>
      </w:r>
      <w:r w:rsidRPr="00FA3856">
        <w:rPr>
          <w:rFonts w:ascii="Times New Roman" w:hAnsi="Times New Roman" w:cs="Times New Roman"/>
          <w:szCs w:val="20"/>
        </w:rPr>
        <w:t xml:space="preserve"> 9.532, de 1997, devem apurar a base de cálculo e a CSLL devida nos termos da legislação comercial e fiscal.</w:t>
      </w:r>
    </w:p>
    <w:p w:rsidR="0073224C" w:rsidRPr="00FA3856" w:rsidRDefault="0073224C" w:rsidP="00A36A8B">
      <w:pPr>
        <w:pStyle w:val="NormalWeb"/>
        <w:spacing w:before="0" w:after="0"/>
        <w:ind w:left="600"/>
        <w:jc w:val="both"/>
        <w:rPr>
          <w:rFonts w:ascii="Times New Roman" w:hAnsi="Times New Roman" w:cs="Times New Roman"/>
          <w:szCs w:val="20"/>
        </w:rPr>
      </w:pPr>
      <w:r w:rsidRPr="00FA3856">
        <w:rPr>
          <w:rFonts w:ascii="Times New Roman" w:hAnsi="Times New Roman" w:cs="Times New Roman"/>
          <w:szCs w:val="20"/>
        </w:rPr>
        <w:t>2) As associações de poupança e empréstimo estão isentas do imposto sobre a renda, mas são contribuintes da contribuição social sobre o lucro líquido.</w:t>
      </w:r>
    </w:p>
    <w:p w:rsidR="0073224C" w:rsidRPr="00FA3856" w:rsidRDefault="0073224C" w:rsidP="00A36A8B">
      <w:pPr>
        <w:pStyle w:val="NormalWeb"/>
        <w:spacing w:before="0" w:after="0"/>
        <w:ind w:left="600"/>
        <w:jc w:val="both"/>
        <w:rPr>
          <w:rFonts w:ascii="Times New Roman" w:hAnsi="Times New Roman" w:cs="Times New Roman"/>
          <w:szCs w:val="20"/>
        </w:rPr>
      </w:pPr>
      <w:r w:rsidRPr="00FA3856">
        <w:rPr>
          <w:rFonts w:ascii="Times New Roman" w:hAnsi="Times New Roman" w:cs="Times New Roman"/>
          <w:szCs w:val="20"/>
        </w:rPr>
        <w:t>3) São isentas da CSLL as entidades fechadas de previdência complementar, relativamente aos fatos geradores ocorridos a partir de 1</w:t>
      </w:r>
      <w:r w:rsidRPr="00FA3856">
        <w:rPr>
          <w:rFonts w:ascii="Times New Roman" w:hAnsi="Times New Roman" w:cs="Times New Roman"/>
          <w:strike/>
          <w:szCs w:val="20"/>
        </w:rPr>
        <w:t>º</w:t>
      </w:r>
      <w:r w:rsidRPr="00FA3856">
        <w:rPr>
          <w:rFonts w:ascii="Times New Roman" w:hAnsi="Times New Roman" w:cs="Times New Roman"/>
          <w:szCs w:val="20"/>
        </w:rPr>
        <w:t xml:space="preserve"> de janeiro de 2002.</w:t>
      </w:r>
    </w:p>
    <w:p w:rsidR="0073224C" w:rsidRPr="00FA3856" w:rsidRDefault="0073224C" w:rsidP="00A36A8B">
      <w:pPr>
        <w:pStyle w:val="NormalWeb"/>
        <w:spacing w:before="0" w:after="0"/>
        <w:ind w:left="600"/>
        <w:jc w:val="both"/>
        <w:rPr>
          <w:rFonts w:ascii="Times New Roman" w:hAnsi="Times New Roman" w:cs="Times New Roman"/>
          <w:szCs w:val="20"/>
        </w:rPr>
      </w:pPr>
      <w:r w:rsidRPr="00FA3856">
        <w:rPr>
          <w:rFonts w:ascii="Times New Roman" w:hAnsi="Times New Roman" w:cs="Times New Roman"/>
          <w:szCs w:val="20"/>
        </w:rPr>
        <w:t>4) As entidades sujeitas à CSLL deverão ajustar o resultado do período com as adições determinadas e exclusões admitidas, conforme legislação vigente, para fins de determinação da base de cálculo da contribuição.</w:t>
      </w:r>
    </w:p>
    <w:p w:rsidR="0073224C" w:rsidRPr="00FA3856" w:rsidRDefault="0073224C" w:rsidP="00A36A8B">
      <w:pPr>
        <w:pStyle w:val="NormalWeb"/>
        <w:spacing w:before="0" w:after="0"/>
        <w:ind w:left="600"/>
        <w:jc w:val="both"/>
        <w:rPr>
          <w:rFonts w:ascii="Times New Roman" w:hAnsi="Times New Roman" w:cs="Times New Roman"/>
          <w:szCs w:val="20"/>
        </w:rPr>
      </w:pPr>
      <w:r w:rsidRPr="00FA3856">
        <w:rPr>
          <w:rFonts w:ascii="Times New Roman" w:hAnsi="Times New Roman" w:cs="Times New Roman"/>
          <w:szCs w:val="20"/>
        </w:rPr>
        <w:t>5) As entidades sujeitas a planificação contábil própria apuram a CSLL de acordo com essa planificação.</w:t>
      </w:r>
    </w:p>
    <w:p w:rsidR="0073224C" w:rsidRPr="00FA3856" w:rsidRDefault="0073224C" w:rsidP="00A36A8B">
      <w:pPr>
        <w:pStyle w:val="NormalWeb"/>
        <w:spacing w:before="0" w:after="0"/>
        <w:ind w:left="600"/>
        <w:jc w:val="both"/>
        <w:rPr>
          <w:rFonts w:ascii="Times New Roman" w:hAnsi="Times New Roman" w:cs="Times New Roman"/>
          <w:szCs w:val="20"/>
        </w:rPr>
      </w:pPr>
      <w:r w:rsidRPr="00FA3856">
        <w:rPr>
          <w:rFonts w:ascii="Times New Roman" w:hAnsi="Times New Roman" w:cs="Times New Roman"/>
          <w:szCs w:val="20"/>
        </w:rPr>
        <w:t> </w:t>
      </w:r>
    </w:p>
    <w:p w:rsidR="0073224C" w:rsidRPr="00FA3856" w:rsidRDefault="00114A1D" w:rsidP="00A36A8B">
      <w:pPr>
        <w:jc w:val="both"/>
        <w:rPr>
          <w:szCs w:val="20"/>
        </w:rPr>
      </w:pPr>
      <w:r w:rsidRPr="00FA3856">
        <w:rPr>
          <w:b/>
          <w:bCs/>
          <w:szCs w:val="20"/>
        </w:rPr>
        <w:t xml:space="preserve">IX.1) </w:t>
      </w:r>
      <w:r w:rsidR="0073224C" w:rsidRPr="00FA3856">
        <w:rPr>
          <w:b/>
          <w:bCs/>
          <w:szCs w:val="20"/>
        </w:rPr>
        <w:t xml:space="preserve">Alíquotas </w:t>
      </w:r>
    </w:p>
    <w:p w:rsidR="0073224C" w:rsidRPr="00FA3856" w:rsidRDefault="0073224C" w:rsidP="00A36A8B">
      <w:pPr>
        <w:jc w:val="both"/>
        <w:rPr>
          <w:szCs w:val="20"/>
        </w:rPr>
      </w:pPr>
      <w:r w:rsidRPr="00FA3856">
        <w:rPr>
          <w:szCs w:val="20"/>
        </w:rPr>
        <w:t> </w:t>
      </w:r>
    </w:p>
    <w:p w:rsidR="0073224C" w:rsidRPr="00FA3856" w:rsidRDefault="0073224C" w:rsidP="00114A1D">
      <w:pPr>
        <w:ind w:firstLine="708"/>
        <w:jc w:val="both"/>
        <w:rPr>
          <w:szCs w:val="20"/>
        </w:rPr>
      </w:pPr>
      <w:r w:rsidRPr="00FA3856">
        <w:rPr>
          <w:szCs w:val="20"/>
        </w:rPr>
        <w:t>Desde 1</w:t>
      </w:r>
      <w:r w:rsidRPr="00FA3856">
        <w:rPr>
          <w:strike/>
          <w:szCs w:val="20"/>
        </w:rPr>
        <w:t>º</w:t>
      </w:r>
      <w:r w:rsidRPr="00FA3856">
        <w:rPr>
          <w:szCs w:val="20"/>
        </w:rPr>
        <w:t xml:space="preserve"> de maio de 2008, a alíquota da CSLL é de (Lei n</w:t>
      </w:r>
      <w:r w:rsidRPr="00FA3856">
        <w:rPr>
          <w:strike/>
          <w:szCs w:val="20"/>
        </w:rPr>
        <w:t>º</w:t>
      </w:r>
      <w:r w:rsidRPr="00FA3856">
        <w:rPr>
          <w:szCs w:val="20"/>
        </w:rPr>
        <w:t xml:space="preserve"> 11.727, de 2008, art. 17):</w:t>
      </w:r>
    </w:p>
    <w:p w:rsidR="00114A1D" w:rsidRPr="00FA3856" w:rsidRDefault="00114A1D" w:rsidP="00A36A8B">
      <w:pPr>
        <w:jc w:val="both"/>
        <w:rPr>
          <w:szCs w:val="20"/>
        </w:rPr>
      </w:pPr>
    </w:p>
    <w:p w:rsidR="0073224C" w:rsidRPr="00FA3856" w:rsidRDefault="0073224C" w:rsidP="00114A1D">
      <w:pPr>
        <w:ind w:left="1416"/>
        <w:jc w:val="both"/>
        <w:rPr>
          <w:szCs w:val="20"/>
        </w:rPr>
      </w:pPr>
      <w:r w:rsidRPr="00FA3856">
        <w:rPr>
          <w:szCs w:val="20"/>
        </w:rPr>
        <w:t>I - 15% (quinze por cento), no caso das pessoas jurídicas de seguros privados, das de capitalização e das referidas nos incisos I a VII, IX e X do § 1</w:t>
      </w:r>
      <w:r w:rsidRPr="00FA3856">
        <w:rPr>
          <w:strike/>
          <w:szCs w:val="20"/>
        </w:rPr>
        <w:t>º</w:t>
      </w:r>
      <w:r w:rsidRPr="00FA3856">
        <w:rPr>
          <w:szCs w:val="20"/>
        </w:rPr>
        <w:t xml:space="preserve"> do art. 1</w:t>
      </w:r>
      <w:r w:rsidRPr="00FA3856">
        <w:rPr>
          <w:strike/>
          <w:szCs w:val="20"/>
        </w:rPr>
        <w:t>º</w:t>
      </w:r>
      <w:r w:rsidRPr="00FA3856">
        <w:rPr>
          <w:szCs w:val="20"/>
        </w:rPr>
        <w:t xml:space="preserve"> da Lei Complementar n</w:t>
      </w:r>
      <w:r w:rsidRPr="00FA3856">
        <w:rPr>
          <w:strike/>
          <w:szCs w:val="20"/>
        </w:rPr>
        <w:t>º</w:t>
      </w:r>
      <w:r w:rsidRPr="00FA3856">
        <w:rPr>
          <w:szCs w:val="20"/>
        </w:rPr>
        <w:t xml:space="preserve"> 105, de 10 de janeiro de 2001; e</w:t>
      </w:r>
    </w:p>
    <w:p w:rsidR="0073224C" w:rsidRPr="00FA3856" w:rsidRDefault="0073224C" w:rsidP="00114A1D">
      <w:pPr>
        <w:ind w:left="708" w:firstLine="708"/>
        <w:jc w:val="both"/>
        <w:rPr>
          <w:szCs w:val="20"/>
        </w:rPr>
      </w:pPr>
      <w:r w:rsidRPr="00FA3856">
        <w:rPr>
          <w:szCs w:val="20"/>
        </w:rPr>
        <w:t>II - 9% (nove por cento), no caso das demais pessoas jurídicas.</w:t>
      </w:r>
    </w:p>
    <w:p w:rsidR="0073224C" w:rsidRPr="00FA3856" w:rsidRDefault="0073224C" w:rsidP="00A36A8B">
      <w:pPr>
        <w:ind w:left="1077"/>
        <w:jc w:val="both"/>
        <w:rPr>
          <w:szCs w:val="20"/>
        </w:rPr>
      </w:pPr>
      <w:r w:rsidRPr="00FA3856">
        <w:rPr>
          <w:szCs w:val="20"/>
        </w:rPr>
        <w:t> </w:t>
      </w:r>
    </w:p>
    <w:p w:rsidR="0073224C" w:rsidRPr="00FA3856" w:rsidRDefault="00114A1D" w:rsidP="00A36A8B">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t>IX.2)</w:t>
      </w:r>
      <w:r w:rsidR="0073224C" w:rsidRPr="00FA3856">
        <w:rPr>
          <w:rFonts w:ascii="Times New Roman" w:hAnsi="Times New Roman" w:cs="Times New Roman"/>
          <w:b/>
          <w:bCs/>
          <w:szCs w:val="20"/>
        </w:rPr>
        <w:t xml:space="preserve"> Apuração Trimestral da CSLL</w:t>
      </w:r>
    </w:p>
    <w:p w:rsidR="0073224C" w:rsidRPr="00FA3856" w:rsidRDefault="0073224C" w:rsidP="00A36A8B">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p w:rsidR="0073224C" w:rsidRPr="00FA3856" w:rsidRDefault="0073224C" w:rsidP="00114A1D">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As pessoas jurídicas tributadas pelo lucro real trimestral devem apurar trimestralmente a CSLL.</w:t>
      </w:r>
    </w:p>
    <w:p w:rsidR="00114A1D" w:rsidRPr="00FA3856" w:rsidRDefault="00114A1D" w:rsidP="00A36A8B">
      <w:pPr>
        <w:pStyle w:val="NormalWeb"/>
        <w:spacing w:before="0" w:after="0"/>
        <w:jc w:val="both"/>
        <w:rPr>
          <w:rFonts w:ascii="Times New Roman" w:hAnsi="Times New Roman" w:cs="Times New Roman"/>
          <w:szCs w:val="20"/>
        </w:rPr>
      </w:pPr>
    </w:p>
    <w:p w:rsidR="0073224C" w:rsidRPr="00FA3856" w:rsidRDefault="0073224C" w:rsidP="00114A1D">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base de cálculo da CSLL corresponde ao resultado contábil do período ajustado pelas adições determinadas, pelas exclusões admitidas e pelas compensações de base de cálculo negativa até o limite definido em legislação específica vigente à época da ocorrência dos fatos geradores (Lei n</w:t>
      </w:r>
      <w:r w:rsidRPr="00FA3856">
        <w:rPr>
          <w:rFonts w:ascii="Times New Roman" w:hAnsi="Times New Roman" w:cs="Times New Roman"/>
          <w:strike/>
          <w:szCs w:val="20"/>
        </w:rPr>
        <w:t>º</w:t>
      </w:r>
      <w:r w:rsidRPr="00FA3856">
        <w:rPr>
          <w:rFonts w:ascii="Times New Roman" w:hAnsi="Times New Roman" w:cs="Times New Roman"/>
          <w:szCs w:val="20"/>
        </w:rPr>
        <w:t xml:space="preserve"> 7.689, de 1988, art. 2</w:t>
      </w:r>
      <w:r w:rsidRPr="00FA3856">
        <w:rPr>
          <w:rFonts w:ascii="Times New Roman" w:hAnsi="Times New Roman" w:cs="Times New Roman"/>
          <w:strike/>
          <w:szCs w:val="20"/>
        </w:rPr>
        <w:t>º</w:t>
      </w:r>
      <w:r w:rsidRPr="00FA3856">
        <w:rPr>
          <w:rFonts w:ascii="Times New Roman" w:hAnsi="Times New Roman" w:cs="Times New Roman"/>
          <w:szCs w:val="20"/>
        </w:rPr>
        <w:t>, e alterações posteriores).</w:t>
      </w:r>
    </w:p>
    <w:p w:rsidR="00114A1D" w:rsidRPr="00FA3856" w:rsidRDefault="00114A1D" w:rsidP="00A36A8B">
      <w:pPr>
        <w:pStyle w:val="NormalWeb"/>
        <w:spacing w:before="0" w:after="0"/>
        <w:jc w:val="both"/>
        <w:rPr>
          <w:rFonts w:ascii="Times New Roman" w:hAnsi="Times New Roman" w:cs="Times New Roman"/>
          <w:szCs w:val="20"/>
        </w:rPr>
      </w:pPr>
    </w:p>
    <w:p w:rsidR="0073224C" w:rsidRPr="00FA3856" w:rsidRDefault="0073224C" w:rsidP="00114A1D">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O valor da CSLL não pode ser deduzido para efeito de determinação do lucro real, nem de sua própria base de cálculo (Lei n</w:t>
      </w:r>
      <w:r w:rsidRPr="00FA3856">
        <w:rPr>
          <w:rFonts w:ascii="Times New Roman" w:hAnsi="Times New Roman" w:cs="Times New Roman"/>
          <w:strike/>
          <w:szCs w:val="20"/>
        </w:rPr>
        <w:t>º</w:t>
      </w:r>
      <w:r w:rsidRPr="00FA3856">
        <w:rPr>
          <w:rFonts w:ascii="Times New Roman" w:hAnsi="Times New Roman" w:cs="Times New Roman"/>
          <w:szCs w:val="20"/>
        </w:rPr>
        <w:t xml:space="preserve"> 9.316, de 1996, art. 1</w:t>
      </w:r>
      <w:r w:rsidRPr="00FA3856">
        <w:rPr>
          <w:rFonts w:ascii="Times New Roman" w:hAnsi="Times New Roman" w:cs="Times New Roman"/>
          <w:strike/>
          <w:szCs w:val="20"/>
        </w:rPr>
        <w:t>º</w:t>
      </w:r>
      <w:r w:rsidRPr="00FA3856">
        <w:rPr>
          <w:rFonts w:ascii="Times New Roman" w:hAnsi="Times New Roman" w:cs="Times New Roman"/>
          <w:szCs w:val="20"/>
        </w:rPr>
        <w:t>).</w:t>
      </w:r>
    </w:p>
    <w:p w:rsidR="00114A1D" w:rsidRPr="00FA3856" w:rsidRDefault="00114A1D" w:rsidP="00A36A8B">
      <w:pPr>
        <w:pStyle w:val="NormalWeb"/>
        <w:spacing w:before="0" w:after="0"/>
        <w:jc w:val="both"/>
        <w:rPr>
          <w:rFonts w:ascii="Times New Roman" w:hAnsi="Times New Roman" w:cs="Times New Roman"/>
          <w:szCs w:val="20"/>
        </w:rPr>
      </w:pPr>
    </w:p>
    <w:p w:rsidR="00114A1D" w:rsidRPr="00FA3856" w:rsidRDefault="00114A1D" w:rsidP="00114A1D">
      <w:pPr>
        <w:pStyle w:val="NormalWeb"/>
        <w:spacing w:before="0" w:after="0"/>
        <w:ind w:firstLine="708"/>
        <w:jc w:val="both"/>
        <w:rPr>
          <w:rFonts w:ascii="Times New Roman" w:hAnsi="Times New Roman" w:cs="Times New Roman"/>
          <w:szCs w:val="20"/>
        </w:rPr>
      </w:pPr>
    </w:p>
    <w:p w:rsidR="0073224C" w:rsidRPr="00FA3856" w:rsidRDefault="0073224C" w:rsidP="00114A1D">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lastRenderedPageBreak/>
        <w:t xml:space="preserve">Da CSLL trimestral, resultante da aplicação da alíquota prevista </w:t>
      </w:r>
      <w:r w:rsidR="00114A1D" w:rsidRPr="00FA3856">
        <w:rPr>
          <w:rFonts w:ascii="Times New Roman" w:hAnsi="Times New Roman" w:cs="Times New Roman"/>
          <w:szCs w:val="20"/>
        </w:rPr>
        <w:t>no subitem IX.1</w:t>
      </w:r>
      <w:r w:rsidRPr="00FA3856">
        <w:rPr>
          <w:rFonts w:ascii="Times New Roman" w:hAnsi="Times New Roman" w:cs="Times New Roman"/>
          <w:szCs w:val="20"/>
        </w:rPr>
        <w:t xml:space="preserve"> sobre o resultado ajustado, pode ser deduzido o valor:</w:t>
      </w:r>
    </w:p>
    <w:p w:rsidR="0073224C" w:rsidRPr="00FA3856" w:rsidRDefault="0073224C" w:rsidP="00114A1D">
      <w:pPr>
        <w:pStyle w:val="NormalWeb"/>
        <w:spacing w:before="0" w:after="0"/>
        <w:ind w:left="708"/>
        <w:jc w:val="both"/>
        <w:rPr>
          <w:rFonts w:ascii="Times New Roman" w:hAnsi="Times New Roman" w:cs="Times New Roman"/>
          <w:szCs w:val="20"/>
        </w:rPr>
      </w:pPr>
      <w:r w:rsidRPr="00FA3856">
        <w:rPr>
          <w:rFonts w:ascii="Times New Roman" w:hAnsi="Times New Roman" w:cs="Times New Roman"/>
          <w:szCs w:val="20"/>
        </w:rPr>
        <w:t>a) da CSLL retida por órgão público, autarquia, fundação da administração pública federal, sociedade de economia mista, empresa pública e demais entidades em que a União, direta ou indiretamente, detenha a maioria do capital social com direito a voto, e que dela recebam recursos do Tesouro Nacional e estejam obrigadas a registrar sua execução orçamentária e financeira na modalidade total no Sistema Integrado de Administração Financeira do Governo Federal - SIAFI;</w:t>
      </w:r>
    </w:p>
    <w:p w:rsidR="0073224C" w:rsidRPr="00FA3856" w:rsidRDefault="0073224C" w:rsidP="00114A1D">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 xml:space="preserve">b) do saldo negativo de CSLL de períodos de apuração anteriores, de que trata </w:t>
      </w:r>
      <w:r w:rsidR="00114A1D" w:rsidRPr="00FA3856">
        <w:rPr>
          <w:rFonts w:ascii="Times New Roman" w:hAnsi="Times New Roman" w:cs="Times New Roman"/>
          <w:szCs w:val="20"/>
        </w:rPr>
        <w:t>o subitem IX.4</w:t>
      </w:r>
      <w:r w:rsidRPr="00FA3856">
        <w:rPr>
          <w:rFonts w:ascii="Times New Roman" w:hAnsi="Times New Roman" w:cs="Times New Roman"/>
          <w:szCs w:val="20"/>
        </w:rPr>
        <w:t>;</w:t>
      </w:r>
    </w:p>
    <w:p w:rsidR="0073224C" w:rsidRPr="00FA3856" w:rsidRDefault="0073224C" w:rsidP="00114A1D">
      <w:pPr>
        <w:pStyle w:val="NormalWeb"/>
        <w:spacing w:before="0" w:after="0"/>
        <w:ind w:left="708"/>
        <w:jc w:val="both"/>
        <w:rPr>
          <w:rFonts w:ascii="Times New Roman" w:hAnsi="Times New Roman" w:cs="Times New Roman"/>
          <w:szCs w:val="20"/>
        </w:rPr>
      </w:pPr>
      <w:r w:rsidRPr="00FA3856">
        <w:rPr>
          <w:rFonts w:ascii="Times New Roman" w:hAnsi="Times New Roman" w:cs="Times New Roman"/>
          <w:szCs w:val="20"/>
        </w:rPr>
        <w:t>c) da CSLL retida por outra pessoa jurídica de direito privado sobre receitas auferidas, no período, pela prestação de serviços de limpeza, conservação, manutenção, segurança, vigilância, transporte de valores, e locação de mão-de-obra, pela prestação de serviços de assessoria creditícia, mercadológica, gestão de crédito, seleção e riscos, administração de contas a pagar e a receber e pela remuneração de serviços profissionais.</w:t>
      </w:r>
    </w:p>
    <w:p w:rsidR="00114A1D" w:rsidRPr="00FA3856" w:rsidRDefault="00114A1D" w:rsidP="00A36A8B">
      <w:pPr>
        <w:pStyle w:val="NormalWeb"/>
        <w:spacing w:before="0" w:after="0"/>
        <w:jc w:val="both"/>
        <w:rPr>
          <w:rFonts w:ascii="Times New Roman" w:hAnsi="Times New Roman" w:cs="Times New Roman"/>
          <w:szCs w:val="20"/>
        </w:rPr>
      </w:pPr>
    </w:p>
    <w:p w:rsidR="0073224C" w:rsidRPr="00FA3856" w:rsidRDefault="0073224C" w:rsidP="00114A1D">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Pode ser deduzido da CSLL apurada com base no resultado ajustado do trimestre encerrado em 31 de dezembro o imposto pago no exterior durante o ano-calendário ou que vier a ser pago até 31 de março do ano-calendário subsequente, que exceder o valor compensável com o IRPJ devido no Brasil, relativo a lucros disponibilizados no exterior, nos termos do art. 1</w:t>
      </w:r>
      <w:r w:rsidRPr="00FA3856">
        <w:rPr>
          <w:rFonts w:ascii="Times New Roman" w:hAnsi="Times New Roman" w:cs="Times New Roman"/>
          <w:strike/>
          <w:szCs w:val="20"/>
        </w:rPr>
        <w:t>º</w:t>
      </w:r>
      <w:r w:rsidRPr="00FA3856">
        <w:rPr>
          <w:rFonts w:ascii="Times New Roman" w:hAnsi="Times New Roman" w:cs="Times New Roman"/>
          <w:szCs w:val="20"/>
        </w:rPr>
        <w:t xml:space="preserve"> da Lei n</w:t>
      </w:r>
      <w:r w:rsidRPr="00FA3856">
        <w:rPr>
          <w:rFonts w:ascii="Times New Roman" w:hAnsi="Times New Roman" w:cs="Times New Roman"/>
          <w:strike/>
          <w:szCs w:val="20"/>
        </w:rPr>
        <w:t>º</w:t>
      </w:r>
      <w:r w:rsidRPr="00FA3856">
        <w:rPr>
          <w:rFonts w:ascii="Times New Roman" w:hAnsi="Times New Roman" w:cs="Times New Roman"/>
          <w:szCs w:val="20"/>
        </w:rPr>
        <w:t xml:space="preserve"> 9.532, de 1997, com as alterações introduzidas pela Medida Provisória n</w:t>
      </w:r>
      <w:r w:rsidRPr="00FA3856">
        <w:rPr>
          <w:rFonts w:ascii="Times New Roman" w:hAnsi="Times New Roman" w:cs="Times New Roman"/>
          <w:strike/>
          <w:szCs w:val="20"/>
        </w:rPr>
        <w:t>º</w:t>
      </w:r>
      <w:r w:rsidRPr="00FA3856">
        <w:rPr>
          <w:rFonts w:ascii="Times New Roman" w:hAnsi="Times New Roman" w:cs="Times New Roman"/>
          <w:szCs w:val="20"/>
        </w:rPr>
        <w:t xml:space="preserve"> 2.158-35, de 2001, e a rendimentos e ganhos de capital auferidos no exterior, durante o ano-calendário a que se refere o balanço, até o limite do valor da CSLL acrescido em decorrência dessa adição.</w:t>
      </w:r>
    </w:p>
    <w:p w:rsidR="0073224C" w:rsidRPr="00FA3856" w:rsidRDefault="0073224C" w:rsidP="00A36A8B">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p w:rsidR="0073224C" w:rsidRPr="00FA3856" w:rsidRDefault="00114A1D" w:rsidP="00A36A8B">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t xml:space="preserve">IX.3) </w:t>
      </w:r>
      <w:r w:rsidR="0073224C" w:rsidRPr="00FA3856">
        <w:rPr>
          <w:rFonts w:ascii="Times New Roman" w:hAnsi="Times New Roman" w:cs="Times New Roman"/>
          <w:b/>
          <w:bCs/>
          <w:szCs w:val="20"/>
        </w:rPr>
        <w:t>Apuração Anual da CSLL, com Recolhimentos Mensais sobre a Base de Cálculo Estimada</w:t>
      </w:r>
    </w:p>
    <w:p w:rsidR="0073224C" w:rsidRPr="00FA3856" w:rsidRDefault="0073224C" w:rsidP="00A36A8B">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p w:rsidR="0073224C" w:rsidRPr="00FA3856" w:rsidRDefault="0073224C" w:rsidP="00114A1D">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pessoa jurídica que apurar anualmente o imposto sobre a renda com base no lucro real também deve apurar a CSLL anualmente com base no resultado ajustado, em 31 de dezembro de cada ano.</w:t>
      </w:r>
      <w:r w:rsidR="00114A1D" w:rsidRPr="00FA3856">
        <w:rPr>
          <w:rFonts w:ascii="Times New Roman" w:hAnsi="Times New Roman" w:cs="Times New Roman"/>
          <w:szCs w:val="20"/>
        </w:rPr>
        <w:t xml:space="preserve"> </w:t>
      </w:r>
      <w:r w:rsidRPr="00FA3856">
        <w:rPr>
          <w:rFonts w:ascii="Times New Roman" w:hAnsi="Times New Roman" w:cs="Times New Roman"/>
          <w:szCs w:val="20"/>
        </w:rPr>
        <w:t>Os valores de CSLL efetivamente pagos calculados sobre a base de cálculo estimada mensalmente, no transcorrer do ano-calendário, podem ser deduzidos do valor de CSLL apurado anualmente (ajuste).</w:t>
      </w:r>
      <w:r w:rsidR="00114A1D" w:rsidRPr="00FA3856">
        <w:rPr>
          <w:rFonts w:ascii="Times New Roman" w:hAnsi="Times New Roman" w:cs="Times New Roman"/>
          <w:szCs w:val="20"/>
        </w:rPr>
        <w:t xml:space="preserve"> </w:t>
      </w:r>
      <w:r w:rsidRPr="00FA3856">
        <w:rPr>
          <w:rFonts w:ascii="Times New Roman" w:hAnsi="Times New Roman" w:cs="Times New Roman"/>
          <w:szCs w:val="20"/>
        </w:rPr>
        <w:t>O valor da CSLL não pode ser deduzido para efeito de determinação do lucro real e da própria base de cálculo (Lei n</w:t>
      </w:r>
      <w:r w:rsidRPr="00FA3856">
        <w:rPr>
          <w:rFonts w:ascii="Times New Roman" w:hAnsi="Times New Roman" w:cs="Times New Roman"/>
          <w:strike/>
          <w:szCs w:val="20"/>
        </w:rPr>
        <w:t>º</w:t>
      </w:r>
      <w:r w:rsidRPr="00FA3856">
        <w:rPr>
          <w:rFonts w:ascii="Times New Roman" w:hAnsi="Times New Roman" w:cs="Times New Roman"/>
          <w:szCs w:val="20"/>
        </w:rPr>
        <w:t xml:space="preserve"> 9.316, de 1996, art. 1</w:t>
      </w:r>
      <w:r w:rsidRPr="00FA3856">
        <w:rPr>
          <w:rFonts w:ascii="Times New Roman" w:hAnsi="Times New Roman" w:cs="Times New Roman"/>
          <w:strike/>
          <w:szCs w:val="20"/>
        </w:rPr>
        <w:t>º</w:t>
      </w:r>
      <w:r w:rsidRPr="00FA3856">
        <w:rPr>
          <w:rFonts w:ascii="Times New Roman" w:hAnsi="Times New Roman" w:cs="Times New Roman"/>
          <w:szCs w:val="20"/>
        </w:rPr>
        <w:t>).</w:t>
      </w:r>
    </w:p>
    <w:p w:rsidR="0073224C" w:rsidRPr="00FA3856" w:rsidRDefault="0073224C" w:rsidP="00A36A8B">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p w:rsidR="0073224C" w:rsidRPr="00FA3856" w:rsidRDefault="00114A1D" w:rsidP="00A36A8B">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t>IX.3.1)</w:t>
      </w:r>
      <w:r w:rsidR="0073224C" w:rsidRPr="00FA3856">
        <w:rPr>
          <w:rFonts w:ascii="Times New Roman" w:hAnsi="Times New Roman" w:cs="Times New Roman"/>
          <w:b/>
          <w:bCs/>
          <w:szCs w:val="20"/>
        </w:rPr>
        <w:t xml:space="preserve"> Base de Cálculo</w:t>
      </w:r>
    </w:p>
    <w:p w:rsidR="00114A1D" w:rsidRPr="00FA3856" w:rsidRDefault="00114A1D" w:rsidP="00A36A8B">
      <w:pPr>
        <w:pStyle w:val="NormalWeb"/>
        <w:spacing w:before="0" w:after="0"/>
        <w:jc w:val="both"/>
        <w:rPr>
          <w:rFonts w:ascii="Times New Roman" w:hAnsi="Times New Roman" w:cs="Times New Roman"/>
          <w:b/>
          <w:bCs/>
          <w:szCs w:val="20"/>
        </w:rPr>
      </w:pPr>
    </w:p>
    <w:p w:rsidR="0073224C" w:rsidRPr="00FA3856" w:rsidRDefault="00114A1D" w:rsidP="00A36A8B">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t>IX.3.1.1)</w:t>
      </w:r>
      <w:r w:rsidR="0073224C" w:rsidRPr="00FA3856">
        <w:rPr>
          <w:rFonts w:ascii="Times New Roman" w:hAnsi="Times New Roman" w:cs="Times New Roman"/>
          <w:b/>
          <w:bCs/>
          <w:szCs w:val="20"/>
        </w:rPr>
        <w:t xml:space="preserve"> Pessoas Jurídicas de Natureza Comercial, Industrial ou de Prestação de Serviços </w:t>
      </w:r>
    </w:p>
    <w:p w:rsidR="00114A1D" w:rsidRPr="00FA3856" w:rsidRDefault="00114A1D" w:rsidP="00A36A8B">
      <w:pPr>
        <w:pStyle w:val="NormalWeb"/>
        <w:spacing w:before="0" w:after="0"/>
        <w:jc w:val="both"/>
        <w:rPr>
          <w:rFonts w:ascii="Times New Roman" w:hAnsi="Times New Roman" w:cs="Times New Roman"/>
          <w:szCs w:val="20"/>
        </w:rPr>
      </w:pPr>
    </w:p>
    <w:p w:rsidR="0073224C" w:rsidRPr="00FA3856" w:rsidRDefault="0073224C" w:rsidP="00114A1D">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base de cálculo da CSLL, em cada mês, será determinada pela soma:</w:t>
      </w:r>
    </w:p>
    <w:p w:rsidR="00114A1D" w:rsidRPr="00FA3856" w:rsidRDefault="0073224C" w:rsidP="00114A1D">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1) de 12% (doze por cento) ou de 32% (trinta e dois por cento) da receita bruta auferida no período;</w:t>
      </w:r>
    </w:p>
    <w:p w:rsidR="00114A1D" w:rsidRPr="00FA3856" w:rsidRDefault="0073224C" w:rsidP="00114A1D">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 xml:space="preserve">2) dos rendimentos e ganhos líquidos auferidos em aplicações financeiras </w:t>
      </w:r>
      <w:r w:rsidR="00114A1D" w:rsidRPr="00FA3856">
        <w:rPr>
          <w:rFonts w:ascii="Times New Roman" w:hAnsi="Times New Roman" w:cs="Times New Roman"/>
          <w:szCs w:val="20"/>
        </w:rPr>
        <w:t>de renda fixa e renda variável;</w:t>
      </w:r>
    </w:p>
    <w:p w:rsidR="0073224C" w:rsidRPr="00FA3856" w:rsidRDefault="0073224C" w:rsidP="00114A1D">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3) dos ganhos de capital, das demais receitas e dos resultados positivos decorrentes de receitas não compreendidas na atividade, no mês em que forem auferidos, inclusive:</w:t>
      </w:r>
    </w:p>
    <w:p w:rsidR="0073224C" w:rsidRPr="00FA3856" w:rsidRDefault="0073224C" w:rsidP="00114A1D">
      <w:pPr>
        <w:pStyle w:val="NormalWeb"/>
        <w:spacing w:before="0" w:after="0"/>
        <w:ind w:left="1416" w:firstLine="708"/>
        <w:jc w:val="both"/>
        <w:rPr>
          <w:rFonts w:ascii="Times New Roman" w:hAnsi="Times New Roman" w:cs="Times New Roman"/>
          <w:szCs w:val="20"/>
        </w:rPr>
      </w:pPr>
      <w:r w:rsidRPr="00FA3856">
        <w:rPr>
          <w:rFonts w:ascii="Times New Roman" w:hAnsi="Times New Roman" w:cs="Times New Roman"/>
          <w:szCs w:val="20"/>
        </w:rPr>
        <w:t>a) os rendimentos auferidos nas operações de mútuo realizadas entre pessoas jurídicas ou entre pessoa jurídica e pessoa física;</w:t>
      </w:r>
    </w:p>
    <w:p w:rsidR="0073224C" w:rsidRPr="00FA3856" w:rsidRDefault="0073224C" w:rsidP="00114A1D">
      <w:pPr>
        <w:pStyle w:val="NormalWeb"/>
        <w:spacing w:before="0" w:after="0"/>
        <w:ind w:left="2124"/>
        <w:jc w:val="both"/>
        <w:rPr>
          <w:rFonts w:ascii="Times New Roman" w:hAnsi="Times New Roman" w:cs="Times New Roman"/>
          <w:szCs w:val="20"/>
        </w:rPr>
      </w:pPr>
      <w:r w:rsidRPr="00FA3856">
        <w:rPr>
          <w:rFonts w:ascii="Times New Roman" w:hAnsi="Times New Roman" w:cs="Times New Roman"/>
          <w:szCs w:val="20"/>
        </w:rPr>
        <w:t>b) os ganhos de capital auferidos na alienação de participações societárias permanentes em sociedades coligadas e controladas, e de participações societárias que permaneceram no ativo da pessoa jurídica até o término do ano-calendário seguinte ao de suas aquisições;</w:t>
      </w:r>
    </w:p>
    <w:p w:rsidR="0073224C" w:rsidRPr="00FA3856" w:rsidRDefault="0073224C" w:rsidP="00114A1D">
      <w:pPr>
        <w:pStyle w:val="NormalWeb"/>
        <w:spacing w:before="0" w:after="0"/>
        <w:ind w:left="2124"/>
        <w:jc w:val="both"/>
        <w:rPr>
          <w:rFonts w:ascii="Times New Roman" w:hAnsi="Times New Roman" w:cs="Times New Roman"/>
          <w:szCs w:val="20"/>
        </w:rPr>
      </w:pPr>
      <w:r w:rsidRPr="00FA3856">
        <w:rPr>
          <w:rFonts w:ascii="Times New Roman" w:hAnsi="Times New Roman" w:cs="Times New Roman"/>
          <w:szCs w:val="20"/>
        </w:rPr>
        <w:t>c) os ganhos auferidos em operações de cobertura (</w:t>
      </w:r>
      <w:r w:rsidRPr="00FA3856">
        <w:rPr>
          <w:rFonts w:ascii="Times New Roman" w:hAnsi="Times New Roman" w:cs="Times New Roman"/>
          <w:i/>
          <w:iCs/>
          <w:szCs w:val="20"/>
        </w:rPr>
        <w:t>hedge</w:t>
      </w:r>
      <w:r w:rsidRPr="00FA3856">
        <w:rPr>
          <w:rFonts w:ascii="Times New Roman" w:hAnsi="Times New Roman" w:cs="Times New Roman"/>
          <w:szCs w:val="20"/>
        </w:rPr>
        <w:t xml:space="preserve">) realizadas em bolsas de valores, de mercadorias e de futuros ou no mercado de balcão; </w:t>
      </w:r>
    </w:p>
    <w:p w:rsidR="0073224C" w:rsidRPr="00FA3856" w:rsidRDefault="0073224C" w:rsidP="00114A1D">
      <w:pPr>
        <w:pStyle w:val="NormalWeb"/>
        <w:spacing w:before="0" w:after="0"/>
        <w:ind w:left="1416" w:firstLine="708"/>
        <w:jc w:val="both"/>
        <w:rPr>
          <w:rFonts w:ascii="Times New Roman" w:hAnsi="Times New Roman" w:cs="Times New Roman"/>
          <w:szCs w:val="20"/>
        </w:rPr>
      </w:pPr>
      <w:r w:rsidRPr="00FA3856">
        <w:rPr>
          <w:rFonts w:ascii="Times New Roman" w:hAnsi="Times New Roman" w:cs="Times New Roman"/>
          <w:szCs w:val="20"/>
        </w:rPr>
        <w:t>d) a receita de locação de imóvel, quando não for este o objeto social da pessoa jurídica, deduzida dos encargos necessários à sua percepção;</w:t>
      </w:r>
    </w:p>
    <w:p w:rsidR="0073224C" w:rsidRPr="00FA3856" w:rsidRDefault="0073224C" w:rsidP="00114A1D">
      <w:pPr>
        <w:pStyle w:val="NormalWeb"/>
        <w:spacing w:before="0" w:after="0"/>
        <w:ind w:left="2124"/>
        <w:jc w:val="both"/>
        <w:rPr>
          <w:rFonts w:ascii="Times New Roman" w:hAnsi="Times New Roman" w:cs="Times New Roman"/>
          <w:szCs w:val="20"/>
        </w:rPr>
      </w:pPr>
      <w:r w:rsidRPr="00FA3856">
        <w:rPr>
          <w:rFonts w:ascii="Times New Roman" w:hAnsi="Times New Roman" w:cs="Times New Roman"/>
          <w:szCs w:val="20"/>
        </w:rPr>
        <w:t>e) os juros equivalentes à taxa referencial do Sistema Especial de Liquidação e de Custódia (Selic) para títulos federais, acumulada mensalmente, relativos a impostos e contribuições a serem restituídos ou compensados;</w:t>
      </w:r>
    </w:p>
    <w:p w:rsidR="0073224C" w:rsidRPr="00FA3856" w:rsidRDefault="0073224C" w:rsidP="00114A1D">
      <w:pPr>
        <w:pStyle w:val="NormalWeb"/>
        <w:spacing w:before="0" w:after="0"/>
        <w:ind w:left="2124"/>
        <w:jc w:val="both"/>
        <w:rPr>
          <w:rFonts w:ascii="Times New Roman" w:hAnsi="Times New Roman" w:cs="Times New Roman"/>
          <w:szCs w:val="20"/>
        </w:rPr>
      </w:pPr>
      <w:r w:rsidRPr="00FA3856">
        <w:rPr>
          <w:rFonts w:ascii="Times New Roman" w:hAnsi="Times New Roman" w:cs="Times New Roman"/>
          <w:szCs w:val="20"/>
        </w:rPr>
        <w:t>f) as receitas financeiras decorrentes das variações monetárias dos direitos de crédito e das obrigações do contribuinte, em função de índices ou coeficientes aplicáveis por disposição legal ou contratual;</w:t>
      </w:r>
    </w:p>
    <w:p w:rsidR="0073224C" w:rsidRPr="00FA3856" w:rsidRDefault="0073224C" w:rsidP="00114A1D">
      <w:pPr>
        <w:pStyle w:val="NormalWeb"/>
        <w:spacing w:before="0" w:after="0"/>
        <w:ind w:left="1416" w:firstLine="708"/>
        <w:jc w:val="both"/>
        <w:rPr>
          <w:rFonts w:ascii="Times New Roman" w:hAnsi="Times New Roman" w:cs="Times New Roman"/>
          <w:szCs w:val="20"/>
        </w:rPr>
      </w:pPr>
      <w:r w:rsidRPr="00FA3856">
        <w:rPr>
          <w:rFonts w:ascii="Times New Roman" w:hAnsi="Times New Roman" w:cs="Times New Roman"/>
          <w:szCs w:val="20"/>
        </w:rPr>
        <w:t>g) os ganhos de capital auferidos na devolução de capital em bens e direitos;</w:t>
      </w:r>
    </w:p>
    <w:p w:rsidR="0073224C" w:rsidRPr="00FA3856" w:rsidRDefault="0073224C" w:rsidP="00BD6449">
      <w:pPr>
        <w:pStyle w:val="NormalWeb"/>
        <w:spacing w:before="0" w:after="0"/>
        <w:ind w:left="2124"/>
        <w:jc w:val="both"/>
        <w:rPr>
          <w:rFonts w:ascii="Times New Roman" w:hAnsi="Times New Roman" w:cs="Times New Roman"/>
          <w:szCs w:val="20"/>
        </w:rPr>
      </w:pPr>
      <w:r w:rsidRPr="00FA3856">
        <w:rPr>
          <w:rFonts w:ascii="Times New Roman" w:hAnsi="Times New Roman" w:cs="Times New Roman"/>
          <w:szCs w:val="20"/>
        </w:rPr>
        <w:t>h) a diferença entre o valor em dinheiro ou o valor dos bens e direitos recebidos de instituição isenta, a título de devolução de patrimônio, e o valor em dinheiro ou o valor dos bens e direitos entregue para a formação do referido patrimônio.</w:t>
      </w:r>
    </w:p>
    <w:p w:rsidR="0073224C" w:rsidRPr="00FA3856" w:rsidRDefault="0073224C" w:rsidP="00A36A8B">
      <w:pPr>
        <w:pStyle w:val="NormalWeb"/>
        <w:spacing w:before="0" w:after="0"/>
        <w:ind w:left="600"/>
        <w:jc w:val="both"/>
        <w:rPr>
          <w:rFonts w:ascii="Times New Roman" w:hAnsi="Times New Roman" w:cs="Times New Roman"/>
          <w:szCs w:val="20"/>
        </w:rPr>
      </w:pPr>
      <w:r w:rsidRPr="00FA3856">
        <w:rPr>
          <w:rFonts w:ascii="Times New Roman" w:hAnsi="Times New Roman" w:cs="Times New Roman"/>
          <w:b/>
          <w:bCs/>
          <w:szCs w:val="20"/>
        </w:rPr>
        <w:lastRenderedPageBreak/>
        <w:t>Atenção:</w:t>
      </w:r>
    </w:p>
    <w:p w:rsidR="0073224C" w:rsidRPr="00FA3856" w:rsidRDefault="0073224C" w:rsidP="00A36A8B">
      <w:pPr>
        <w:pStyle w:val="NormalWeb"/>
        <w:spacing w:before="0" w:after="0"/>
        <w:ind w:left="600"/>
        <w:jc w:val="both"/>
        <w:rPr>
          <w:rFonts w:ascii="Times New Roman" w:hAnsi="Times New Roman" w:cs="Times New Roman"/>
          <w:szCs w:val="20"/>
        </w:rPr>
      </w:pPr>
      <w:r w:rsidRPr="00FA3856">
        <w:rPr>
          <w:rFonts w:ascii="Times New Roman" w:hAnsi="Times New Roman" w:cs="Times New Roman"/>
          <w:szCs w:val="20"/>
        </w:rPr>
        <w:t>1) A partir de 1</w:t>
      </w:r>
      <w:r w:rsidRPr="00FA3856">
        <w:rPr>
          <w:rFonts w:ascii="Times New Roman" w:hAnsi="Times New Roman" w:cs="Times New Roman"/>
          <w:strike/>
          <w:szCs w:val="20"/>
        </w:rPr>
        <w:t>º</w:t>
      </w:r>
      <w:r w:rsidRPr="00FA3856">
        <w:rPr>
          <w:rFonts w:ascii="Times New Roman" w:hAnsi="Times New Roman" w:cs="Times New Roman"/>
          <w:szCs w:val="20"/>
        </w:rPr>
        <w:t xml:space="preserve"> de setembro de 2003, o percentual da receita bruta considerado para efeito de determinação da base de cálculo da CSLL, a que se refere o item 1 acima, é de 32% (trinta e dois por cento), para as atividades de:</w:t>
      </w:r>
    </w:p>
    <w:p w:rsidR="0073224C" w:rsidRPr="00FA3856" w:rsidRDefault="0073224C" w:rsidP="00BD6449">
      <w:pPr>
        <w:pStyle w:val="NormalWeb"/>
        <w:spacing w:before="0" w:after="0"/>
        <w:ind w:left="1308" w:firstLine="108"/>
        <w:jc w:val="both"/>
        <w:rPr>
          <w:rFonts w:ascii="Times New Roman" w:hAnsi="Times New Roman" w:cs="Times New Roman"/>
          <w:szCs w:val="20"/>
        </w:rPr>
      </w:pPr>
      <w:r w:rsidRPr="00FA3856">
        <w:rPr>
          <w:rFonts w:ascii="Times New Roman" w:hAnsi="Times New Roman" w:cs="Times New Roman"/>
          <w:szCs w:val="20"/>
        </w:rPr>
        <w:t>a) prestação de serviços em geral, observado o disposto no item seguinte;</w:t>
      </w:r>
    </w:p>
    <w:p w:rsidR="0073224C" w:rsidRPr="00FA3856" w:rsidRDefault="0073224C" w:rsidP="00BD6449">
      <w:pPr>
        <w:pStyle w:val="NormalWeb"/>
        <w:spacing w:before="0" w:after="0"/>
        <w:ind w:left="1200" w:firstLine="216"/>
        <w:jc w:val="both"/>
        <w:rPr>
          <w:rFonts w:ascii="Times New Roman" w:hAnsi="Times New Roman" w:cs="Times New Roman"/>
          <w:szCs w:val="20"/>
        </w:rPr>
      </w:pPr>
      <w:r w:rsidRPr="00FA3856">
        <w:rPr>
          <w:rFonts w:ascii="Times New Roman" w:hAnsi="Times New Roman" w:cs="Times New Roman"/>
          <w:szCs w:val="20"/>
        </w:rPr>
        <w:t>b) intermediação de negócios;</w:t>
      </w:r>
    </w:p>
    <w:p w:rsidR="0073224C" w:rsidRPr="00FA3856" w:rsidRDefault="0073224C" w:rsidP="00BD6449">
      <w:pPr>
        <w:pStyle w:val="NormalWeb"/>
        <w:spacing w:before="0" w:after="0"/>
        <w:ind w:left="1092" w:firstLine="324"/>
        <w:jc w:val="both"/>
        <w:rPr>
          <w:rFonts w:ascii="Times New Roman" w:hAnsi="Times New Roman" w:cs="Times New Roman"/>
          <w:szCs w:val="20"/>
        </w:rPr>
      </w:pPr>
      <w:r w:rsidRPr="00FA3856">
        <w:rPr>
          <w:rFonts w:ascii="Times New Roman" w:hAnsi="Times New Roman" w:cs="Times New Roman"/>
          <w:szCs w:val="20"/>
        </w:rPr>
        <w:t>c) administração, locação ou cessão de bens imóveis, móveis e direitos de qualquer natureza;</w:t>
      </w:r>
    </w:p>
    <w:p w:rsidR="0073224C" w:rsidRPr="00FA3856" w:rsidRDefault="0073224C" w:rsidP="00BD6449">
      <w:pPr>
        <w:pStyle w:val="NormalWeb"/>
        <w:spacing w:before="0" w:after="0"/>
        <w:ind w:left="1416"/>
        <w:jc w:val="both"/>
        <w:rPr>
          <w:rFonts w:ascii="Times New Roman" w:hAnsi="Times New Roman" w:cs="Times New Roman"/>
          <w:szCs w:val="20"/>
        </w:rPr>
      </w:pPr>
      <w:r w:rsidRPr="00FA3856">
        <w:rPr>
          <w:rFonts w:ascii="Times New Roman" w:hAnsi="Times New Roman" w:cs="Times New Roman"/>
          <w:szCs w:val="20"/>
        </w:rPr>
        <w:t>d) prestação cumulativa e contínua de serviços de assessoria creditícia, mercadológica, gestão de crédito, seleção de riscos, administração de contas a pagar e a receber, e compra de direitos creditórios resultantes de vendas mercantis a prazo ou de prestação de serviços (</w:t>
      </w:r>
      <w:r w:rsidRPr="00FA3856">
        <w:rPr>
          <w:rFonts w:ascii="Times New Roman" w:hAnsi="Times New Roman" w:cs="Times New Roman"/>
          <w:i/>
          <w:iCs/>
          <w:szCs w:val="20"/>
        </w:rPr>
        <w:t>factoring</w:t>
      </w:r>
      <w:r w:rsidRPr="00FA3856">
        <w:rPr>
          <w:rFonts w:ascii="Times New Roman" w:hAnsi="Times New Roman" w:cs="Times New Roman"/>
          <w:szCs w:val="20"/>
        </w:rPr>
        <w:t>).</w:t>
      </w:r>
    </w:p>
    <w:p w:rsidR="0073224C" w:rsidRPr="00FA3856" w:rsidRDefault="0073224C" w:rsidP="00A36A8B">
      <w:pPr>
        <w:pStyle w:val="NormalWeb"/>
        <w:spacing w:before="0" w:after="0"/>
        <w:ind w:left="600"/>
        <w:jc w:val="both"/>
        <w:rPr>
          <w:rFonts w:ascii="Times New Roman" w:hAnsi="Times New Roman" w:cs="Times New Roman"/>
          <w:szCs w:val="20"/>
        </w:rPr>
      </w:pPr>
      <w:r w:rsidRPr="00FA3856">
        <w:rPr>
          <w:rFonts w:ascii="Times New Roman" w:hAnsi="Times New Roman" w:cs="Times New Roman"/>
          <w:szCs w:val="20"/>
        </w:rPr>
        <w:t>2) Para as atividades de prestação de serviços hospitalares e de transporte, inclusive de carga, o percentual de receita bruta a ser considerado é de 12% (doze por cento).</w:t>
      </w:r>
    </w:p>
    <w:p w:rsidR="0073224C" w:rsidRPr="00FA3856" w:rsidRDefault="0073224C" w:rsidP="00A36A8B">
      <w:pPr>
        <w:pStyle w:val="NormalWeb"/>
        <w:spacing w:before="0" w:after="0"/>
        <w:ind w:left="600"/>
        <w:jc w:val="both"/>
        <w:rPr>
          <w:rFonts w:ascii="Times New Roman" w:hAnsi="Times New Roman" w:cs="Times New Roman"/>
          <w:szCs w:val="20"/>
        </w:rPr>
      </w:pPr>
      <w:r w:rsidRPr="00FA3856">
        <w:rPr>
          <w:rFonts w:ascii="Times New Roman" w:hAnsi="Times New Roman" w:cs="Times New Roman"/>
          <w:szCs w:val="20"/>
        </w:rPr>
        <w:t>3) No caso de atividades diversificadas, será aplicado o percentual correspondente a cada atividade.</w:t>
      </w:r>
    </w:p>
    <w:p w:rsidR="0073224C" w:rsidRPr="00FA3856" w:rsidRDefault="0073224C" w:rsidP="00A36A8B">
      <w:pPr>
        <w:pStyle w:val="NormalWeb"/>
        <w:spacing w:before="0" w:after="0"/>
        <w:ind w:left="600"/>
        <w:jc w:val="both"/>
        <w:rPr>
          <w:rFonts w:ascii="Times New Roman" w:hAnsi="Times New Roman" w:cs="Times New Roman"/>
          <w:szCs w:val="20"/>
        </w:rPr>
      </w:pPr>
      <w:r w:rsidRPr="00FA3856">
        <w:rPr>
          <w:rFonts w:ascii="Times New Roman" w:hAnsi="Times New Roman" w:cs="Times New Roman"/>
          <w:szCs w:val="20"/>
        </w:rPr>
        <w:t>4) A partir de 1º de janeiro de 2006, o percentual também passou a ser aplicado sobre a receita financeira da pessoa jurídica que explore atividades imobiliárias relativas a loteamento de terrenos, incorporação imobiliária, construção de prédios destinados à venda, bem como a venda de imóveis construídos ou adquiridos para a revenda, quando decorrente da comercialização de imóveis e for apurada por meio de índices ou coeficientes previstos em contrato. (Lei nº 11.196, de 2005, art. 34).</w:t>
      </w:r>
    </w:p>
    <w:p w:rsidR="00BD6449" w:rsidRPr="00FA3856" w:rsidRDefault="00BD6449" w:rsidP="00A36A8B">
      <w:pPr>
        <w:pStyle w:val="NormalWeb"/>
        <w:spacing w:before="0" w:after="0"/>
        <w:jc w:val="both"/>
        <w:rPr>
          <w:rFonts w:ascii="Times New Roman" w:hAnsi="Times New Roman" w:cs="Times New Roman"/>
          <w:szCs w:val="20"/>
        </w:rPr>
      </w:pPr>
    </w:p>
    <w:p w:rsidR="0073224C" w:rsidRPr="00FA3856" w:rsidRDefault="0073224C" w:rsidP="00BD6449">
      <w:pPr>
        <w:pStyle w:val="NormalWeb"/>
        <w:spacing w:before="0" w:after="0"/>
        <w:ind w:firstLine="600"/>
        <w:jc w:val="both"/>
        <w:rPr>
          <w:rFonts w:ascii="Times New Roman" w:hAnsi="Times New Roman" w:cs="Times New Roman"/>
          <w:szCs w:val="20"/>
        </w:rPr>
      </w:pPr>
      <w:r w:rsidRPr="00FA3856">
        <w:rPr>
          <w:rFonts w:ascii="Times New Roman" w:hAnsi="Times New Roman" w:cs="Times New Roman"/>
          <w:szCs w:val="20"/>
        </w:rPr>
        <w:t>O ganho de capital, nas alienações de bens do ativo não-circulante, exceto realizável a longo prazo, e de ouro não considerado ativo financeiro, corresponde à diferença positiva verificada entre o valor da alienação e o respectivo valor contábil.</w:t>
      </w:r>
    </w:p>
    <w:p w:rsidR="00BD6449" w:rsidRPr="00FA3856" w:rsidRDefault="00BD6449" w:rsidP="00A36A8B">
      <w:pPr>
        <w:pStyle w:val="NormalWeb"/>
        <w:spacing w:before="0" w:after="0"/>
        <w:jc w:val="both"/>
        <w:rPr>
          <w:rFonts w:ascii="Times New Roman" w:hAnsi="Times New Roman" w:cs="Times New Roman"/>
          <w:szCs w:val="20"/>
        </w:rPr>
      </w:pPr>
    </w:p>
    <w:p w:rsidR="0073224C" w:rsidRPr="00FA3856" w:rsidRDefault="0073224C" w:rsidP="00BD6449">
      <w:pPr>
        <w:pStyle w:val="NormalWeb"/>
        <w:spacing w:before="0" w:after="0"/>
        <w:ind w:firstLine="600"/>
        <w:jc w:val="both"/>
        <w:rPr>
          <w:rFonts w:ascii="Times New Roman" w:hAnsi="Times New Roman" w:cs="Times New Roman"/>
          <w:szCs w:val="20"/>
        </w:rPr>
      </w:pPr>
      <w:r w:rsidRPr="00FA3856">
        <w:rPr>
          <w:rFonts w:ascii="Times New Roman" w:hAnsi="Times New Roman" w:cs="Times New Roman"/>
          <w:szCs w:val="20"/>
        </w:rPr>
        <w:t>Para efeito de apuração do ganho de capital, considera-se valor contábil:</w:t>
      </w:r>
    </w:p>
    <w:p w:rsidR="00BD6449" w:rsidRPr="00FA3856" w:rsidRDefault="00BD6449" w:rsidP="00A36A8B">
      <w:pPr>
        <w:pStyle w:val="NormalWeb"/>
        <w:spacing w:before="0" w:after="0"/>
        <w:jc w:val="both"/>
        <w:rPr>
          <w:rFonts w:ascii="Times New Roman" w:hAnsi="Times New Roman" w:cs="Times New Roman"/>
          <w:szCs w:val="20"/>
        </w:rPr>
      </w:pPr>
    </w:p>
    <w:p w:rsidR="0073224C" w:rsidRPr="00FA3856" w:rsidRDefault="0073224C" w:rsidP="00BD6449">
      <w:pPr>
        <w:pStyle w:val="NormalWeb"/>
        <w:spacing w:before="0" w:after="0"/>
        <w:ind w:firstLine="600"/>
        <w:jc w:val="both"/>
        <w:rPr>
          <w:rFonts w:ascii="Times New Roman" w:hAnsi="Times New Roman" w:cs="Times New Roman"/>
          <w:szCs w:val="20"/>
        </w:rPr>
      </w:pPr>
      <w:r w:rsidRPr="00FA3856">
        <w:rPr>
          <w:rFonts w:ascii="Times New Roman" w:hAnsi="Times New Roman" w:cs="Times New Roman"/>
          <w:szCs w:val="20"/>
        </w:rPr>
        <w:t>1) No caso de investimentos permanentes em:</w:t>
      </w:r>
    </w:p>
    <w:p w:rsidR="0073224C" w:rsidRPr="00FA3856" w:rsidRDefault="0073224C" w:rsidP="00BD6449">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a) participações societárias avaliadas pelo custo de aquisição, o valor de aquisição;</w:t>
      </w:r>
    </w:p>
    <w:p w:rsidR="0073224C" w:rsidRPr="00FA3856" w:rsidRDefault="0073224C" w:rsidP="00BD6449">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b) participações societárias avaliadas pelo valor de patrimônio líquido, a soma algébrica dos seguintes valores:</w:t>
      </w:r>
    </w:p>
    <w:p w:rsidR="0073224C" w:rsidRPr="00FA3856" w:rsidRDefault="0073224C" w:rsidP="00BD6449">
      <w:pPr>
        <w:pStyle w:val="NormalWeb"/>
        <w:spacing w:before="0" w:after="0"/>
        <w:ind w:left="1416" w:firstLine="708"/>
        <w:jc w:val="both"/>
        <w:rPr>
          <w:rFonts w:ascii="Times New Roman" w:hAnsi="Times New Roman" w:cs="Times New Roman"/>
          <w:szCs w:val="20"/>
        </w:rPr>
      </w:pPr>
      <w:r w:rsidRPr="00FA3856">
        <w:rPr>
          <w:rFonts w:ascii="Times New Roman" w:hAnsi="Times New Roman" w:cs="Times New Roman"/>
          <w:szCs w:val="20"/>
        </w:rPr>
        <w:t>I. do patrimônio líquido pelo qual o investimento estiver registrado;</w:t>
      </w:r>
    </w:p>
    <w:p w:rsidR="0073224C" w:rsidRPr="00FA3856" w:rsidRDefault="0073224C" w:rsidP="00BD6449">
      <w:pPr>
        <w:pStyle w:val="NormalWeb"/>
        <w:spacing w:before="0" w:after="0"/>
        <w:ind w:left="1416" w:firstLine="708"/>
        <w:jc w:val="both"/>
        <w:rPr>
          <w:rFonts w:ascii="Times New Roman" w:hAnsi="Times New Roman" w:cs="Times New Roman"/>
          <w:szCs w:val="20"/>
        </w:rPr>
      </w:pPr>
      <w:r w:rsidRPr="00FA3856">
        <w:rPr>
          <w:rFonts w:ascii="Times New Roman" w:hAnsi="Times New Roman" w:cs="Times New Roman"/>
          <w:szCs w:val="20"/>
        </w:rPr>
        <w:t>II. do ágio ou deságio na aquisição do investimento;</w:t>
      </w:r>
    </w:p>
    <w:p w:rsidR="0073224C" w:rsidRPr="00FA3856" w:rsidRDefault="0073224C" w:rsidP="00BD6449">
      <w:pPr>
        <w:pStyle w:val="NormalWeb"/>
        <w:spacing w:before="0" w:after="0"/>
        <w:ind w:left="1416" w:firstLine="708"/>
        <w:jc w:val="both"/>
        <w:rPr>
          <w:rFonts w:ascii="Times New Roman" w:hAnsi="Times New Roman" w:cs="Times New Roman"/>
          <w:szCs w:val="20"/>
        </w:rPr>
      </w:pPr>
      <w:r w:rsidRPr="00FA3856">
        <w:rPr>
          <w:rFonts w:ascii="Times New Roman" w:hAnsi="Times New Roman" w:cs="Times New Roman"/>
          <w:szCs w:val="20"/>
        </w:rPr>
        <w:t>III. da provisão para perdas, constituída até 31 de dezembro de 1995, quando dedutível.</w:t>
      </w:r>
    </w:p>
    <w:p w:rsidR="0073224C" w:rsidRPr="00FA3856" w:rsidRDefault="0073224C" w:rsidP="00BD6449">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2) No caso das aplicações em ouro, não considerado ativo financeiro, o valor de aquisição;</w:t>
      </w:r>
    </w:p>
    <w:p w:rsidR="0073224C" w:rsidRPr="00FA3856" w:rsidRDefault="0073224C" w:rsidP="00BD6449">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3) No caso dos demais bens e direitos do ativo não-circulante, exceto realizável a longo prazo, o custo de aquisição, diminuído dos encargos de depreciação, amortização ou exaustão acumulados.</w:t>
      </w:r>
    </w:p>
    <w:p w:rsidR="00BD6449" w:rsidRPr="00FA3856" w:rsidRDefault="00BD6449" w:rsidP="00A36A8B">
      <w:pPr>
        <w:pStyle w:val="NormalWeb"/>
        <w:spacing w:before="0" w:after="0"/>
        <w:jc w:val="both"/>
        <w:rPr>
          <w:rFonts w:ascii="Times New Roman" w:hAnsi="Times New Roman" w:cs="Times New Roman"/>
          <w:szCs w:val="20"/>
        </w:rPr>
      </w:pPr>
    </w:p>
    <w:p w:rsidR="0073224C" w:rsidRPr="00FA3856" w:rsidRDefault="0073224C" w:rsidP="00BD6449">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baixa de investimento relevante e influente em sociedade coligada ou controlada deve ser precedida de avaliação pelo valor de patrimônio líquido, com base em balanço patrimonial ou balancete de verificação da coligada ou controlada, levantado na data da alienação ou liquidação ou até trinta dias, no máximo, antes dessa data.</w:t>
      </w:r>
    </w:p>
    <w:p w:rsidR="00BD6449" w:rsidRPr="00FA3856" w:rsidRDefault="00BD6449" w:rsidP="00A36A8B">
      <w:pPr>
        <w:pStyle w:val="NormalWeb"/>
        <w:spacing w:before="0" w:after="0"/>
        <w:jc w:val="both"/>
        <w:rPr>
          <w:rFonts w:ascii="Times New Roman" w:hAnsi="Times New Roman" w:cs="Times New Roman"/>
          <w:szCs w:val="20"/>
        </w:rPr>
      </w:pPr>
    </w:p>
    <w:p w:rsidR="0073224C" w:rsidRPr="00FA3856" w:rsidRDefault="0073224C" w:rsidP="00BD6449">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No caso de outros bens e direitos não classificados no ativo não-circulante, exceto realizável a longo prazo, considera-se valor contábil o custo de aquisição.</w:t>
      </w:r>
    </w:p>
    <w:p w:rsidR="00BD6449" w:rsidRPr="00FA3856" w:rsidRDefault="00BD6449" w:rsidP="00A36A8B">
      <w:pPr>
        <w:pStyle w:val="NormalWeb"/>
        <w:spacing w:before="0" w:after="0"/>
        <w:jc w:val="both"/>
        <w:rPr>
          <w:rFonts w:ascii="Times New Roman" w:hAnsi="Times New Roman" w:cs="Times New Roman"/>
          <w:szCs w:val="20"/>
        </w:rPr>
      </w:pPr>
    </w:p>
    <w:p w:rsidR="0073224C" w:rsidRPr="00FA3856" w:rsidRDefault="0073224C" w:rsidP="00BD6449">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O ganho de capital auferido na venda de bens do ativo não-circulante, exceto realizável a longo prazo, para recebimento do preço, no todo ou em parte, após o término do ano-calendário seguinte ao da contratação deve integrar a base de cálculo mensal da CSLL, podendo, para efeito de determinar o resultado ajustado, ser computado na proporção da parcela do preço recebida em cada mês.</w:t>
      </w:r>
    </w:p>
    <w:p w:rsidR="0073224C" w:rsidRPr="00FA3856" w:rsidRDefault="0073224C" w:rsidP="00A36A8B">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As receitas financeiras decorrentes das variações monetárias dos direitos de crédito e das obrigações do contribuinte, em função da taxa de câmbio, são consideradas, para efeito de determinação da base de cálculo da CSLL, quando da liquidação da correspondente operação. À opção da pessoa jurídica, as variações monetárias podem ser consideradas segundo o regime de competência, o qual deve ser aplicado a todo o ano-calendário.</w:t>
      </w:r>
    </w:p>
    <w:p w:rsidR="0073224C" w:rsidRPr="00FA3856" w:rsidRDefault="0073224C" w:rsidP="00A36A8B">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p w:rsidR="00BD6449" w:rsidRPr="00FA3856" w:rsidRDefault="00BD6449" w:rsidP="00A36A8B">
      <w:pPr>
        <w:pStyle w:val="NormalWeb"/>
        <w:spacing w:before="0" w:after="0"/>
        <w:jc w:val="both"/>
        <w:rPr>
          <w:rFonts w:ascii="Times New Roman" w:hAnsi="Times New Roman" w:cs="Times New Roman"/>
          <w:b/>
          <w:bCs/>
          <w:szCs w:val="20"/>
        </w:rPr>
      </w:pPr>
    </w:p>
    <w:p w:rsidR="0073224C" w:rsidRPr="00FA3856" w:rsidRDefault="00BD6449" w:rsidP="00A36A8B">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lastRenderedPageBreak/>
        <w:t>IX.3.1.2)</w:t>
      </w:r>
      <w:r w:rsidR="0073224C" w:rsidRPr="00FA3856">
        <w:rPr>
          <w:rFonts w:ascii="Times New Roman" w:hAnsi="Times New Roman" w:cs="Times New Roman"/>
          <w:b/>
          <w:bCs/>
          <w:szCs w:val="20"/>
        </w:rPr>
        <w:t xml:space="preserve"> Efeito dos Balanços de Suspensão ou Redução no Pagamento da CSLL</w:t>
      </w:r>
    </w:p>
    <w:p w:rsidR="00BD6449" w:rsidRPr="00FA3856" w:rsidRDefault="00BD6449" w:rsidP="00A36A8B">
      <w:pPr>
        <w:pStyle w:val="NormalWeb"/>
        <w:spacing w:before="0" w:after="0"/>
        <w:jc w:val="both"/>
        <w:rPr>
          <w:rFonts w:ascii="Times New Roman" w:hAnsi="Times New Roman" w:cs="Times New Roman"/>
          <w:szCs w:val="20"/>
        </w:rPr>
      </w:pPr>
    </w:p>
    <w:p w:rsidR="0073224C" w:rsidRPr="00FA3856" w:rsidRDefault="0073224C" w:rsidP="00BD6449">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mesma forma de tributação adotada pela pessoa jurídica, para fins de apuração do imposto de renda, deve ser empregada para fins de apuração da CSLL.</w:t>
      </w:r>
    </w:p>
    <w:p w:rsidR="0073224C" w:rsidRPr="00FA3856" w:rsidRDefault="0073224C" w:rsidP="00A36A8B">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Assim, a pessoa jurídica que levantou balanço ou balancete para suspender ou reduzir o pagamento do imposto de renda, em determinado mês do ano-calendário, deve apurar a base de cálculo da CSLL sobre o resultado do período apurado nesse mesmo balanço, ajustado pelas adições determinadas, pelas exclusões permitidas e pelas compensações de base de cálculo negativa da CSLL, observados os limites definidos na legislação pertinente.</w:t>
      </w:r>
    </w:p>
    <w:p w:rsidR="00BD6449" w:rsidRPr="00FA3856" w:rsidRDefault="00BD6449" w:rsidP="00A36A8B">
      <w:pPr>
        <w:pStyle w:val="NormalWeb"/>
        <w:spacing w:before="0" w:after="0"/>
        <w:jc w:val="both"/>
        <w:rPr>
          <w:rFonts w:ascii="Times New Roman" w:hAnsi="Times New Roman" w:cs="Times New Roman"/>
          <w:szCs w:val="20"/>
        </w:rPr>
      </w:pPr>
    </w:p>
    <w:p w:rsidR="0073224C" w:rsidRPr="00FA3856" w:rsidRDefault="0073224C" w:rsidP="00BD6449">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pessoa jurídica que levantar balanço ou balancete de suspensão ou redução do pagamento do IRPJ e da CSLL em 31 de dezembro deve computar os lucros, oriundos do exterior, disponibilizados nos termos do art. 1</w:t>
      </w:r>
      <w:r w:rsidRPr="00FA3856">
        <w:rPr>
          <w:rFonts w:ascii="Times New Roman" w:hAnsi="Times New Roman" w:cs="Times New Roman"/>
          <w:strike/>
          <w:szCs w:val="20"/>
        </w:rPr>
        <w:t>º</w:t>
      </w:r>
      <w:r w:rsidRPr="00FA3856">
        <w:rPr>
          <w:rFonts w:ascii="Times New Roman" w:hAnsi="Times New Roman" w:cs="Times New Roman"/>
          <w:szCs w:val="20"/>
        </w:rPr>
        <w:t xml:space="preserve"> da Lei n</w:t>
      </w:r>
      <w:r w:rsidRPr="00FA3856">
        <w:rPr>
          <w:rFonts w:ascii="Times New Roman" w:hAnsi="Times New Roman" w:cs="Times New Roman"/>
          <w:strike/>
          <w:szCs w:val="20"/>
        </w:rPr>
        <w:t>º</w:t>
      </w:r>
      <w:r w:rsidRPr="00FA3856">
        <w:rPr>
          <w:rFonts w:ascii="Times New Roman" w:hAnsi="Times New Roman" w:cs="Times New Roman"/>
          <w:szCs w:val="20"/>
        </w:rPr>
        <w:t xml:space="preserve"> 9.532, de 1997, observado o disposto no art. 74 da Medida Provisória n</w:t>
      </w:r>
      <w:r w:rsidRPr="00FA3856">
        <w:rPr>
          <w:rFonts w:ascii="Times New Roman" w:hAnsi="Times New Roman" w:cs="Times New Roman"/>
          <w:strike/>
          <w:szCs w:val="20"/>
        </w:rPr>
        <w:t>º</w:t>
      </w:r>
      <w:r w:rsidRPr="00FA3856">
        <w:rPr>
          <w:rFonts w:ascii="Times New Roman" w:hAnsi="Times New Roman" w:cs="Times New Roman"/>
          <w:szCs w:val="20"/>
        </w:rPr>
        <w:t xml:space="preserve"> 2.158-35 de 24 de agosto de 2001. A pessoa jurídica deve computar também os rendimentos e ganhos de capital, auferidos no exterior, nesse balanço ou balancete, para fins de incidência da CSLL.</w:t>
      </w:r>
    </w:p>
    <w:p w:rsidR="0073224C" w:rsidRPr="00FA3856" w:rsidRDefault="0073224C" w:rsidP="00A36A8B">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p w:rsidR="0073224C" w:rsidRPr="00FA3856" w:rsidRDefault="00BD6449" w:rsidP="00A36A8B">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t>IX.4)</w:t>
      </w:r>
      <w:r w:rsidR="0073224C" w:rsidRPr="00FA3856">
        <w:rPr>
          <w:rFonts w:ascii="Times New Roman" w:hAnsi="Times New Roman" w:cs="Times New Roman"/>
          <w:b/>
          <w:bCs/>
          <w:szCs w:val="20"/>
        </w:rPr>
        <w:t xml:space="preserve"> Considerações Gerais sobre Compensação de Base de Cálculo Negativa</w:t>
      </w:r>
    </w:p>
    <w:p w:rsidR="0073224C" w:rsidRPr="00FA3856" w:rsidRDefault="0073224C" w:rsidP="00A36A8B">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p w:rsidR="0073224C" w:rsidRPr="00FA3856" w:rsidRDefault="0073224C" w:rsidP="00BD6449">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 xml:space="preserve">A pessoa jurídica pode compensar a base de cálculo negativa, desde que mantenha os livros e documentos, exigidos pela legislação fiscal, comprobatórios do montante dessa base utilizado para a compensação. </w:t>
      </w:r>
    </w:p>
    <w:p w:rsidR="00BD6449" w:rsidRPr="00FA3856" w:rsidRDefault="00BD6449" w:rsidP="00A36A8B">
      <w:pPr>
        <w:pStyle w:val="NormalWeb"/>
        <w:spacing w:before="0" w:after="0"/>
        <w:jc w:val="both"/>
        <w:rPr>
          <w:rFonts w:ascii="Times New Roman" w:hAnsi="Times New Roman" w:cs="Times New Roman"/>
          <w:szCs w:val="20"/>
        </w:rPr>
      </w:pPr>
    </w:p>
    <w:p w:rsidR="0073224C" w:rsidRPr="00FA3856" w:rsidRDefault="0073224C" w:rsidP="00BD6449">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As bases de cálculo negativas podem ser compensadas com os resultados dos períodos de apuração subsequentes, ajustados pelas adições e exclusões previstas na legislação da CSLL, observado o limite máximo de redução de trinta por cento do resultado ajustado.</w:t>
      </w:r>
    </w:p>
    <w:p w:rsidR="00BD6449" w:rsidRPr="00FA3856" w:rsidRDefault="00BD6449" w:rsidP="00A36A8B">
      <w:pPr>
        <w:pStyle w:val="NormalWeb"/>
        <w:spacing w:before="0" w:after="0"/>
        <w:jc w:val="both"/>
        <w:rPr>
          <w:rFonts w:ascii="Times New Roman" w:hAnsi="Times New Roman" w:cs="Times New Roman"/>
          <w:szCs w:val="20"/>
        </w:rPr>
      </w:pPr>
    </w:p>
    <w:p w:rsidR="0073224C" w:rsidRPr="00FA3856" w:rsidRDefault="0073224C" w:rsidP="00BD6449">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base de cálculo negativa das atividades em geral pode ser compensada com base positiva da atividade rural apurada no próprio período de apuração, ou vice-versa.</w:t>
      </w:r>
    </w:p>
    <w:p w:rsidR="00BD6449" w:rsidRPr="00FA3856" w:rsidRDefault="00BD6449" w:rsidP="00A36A8B">
      <w:pPr>
        <w:pStyle w:val="NormalWeb"/>
        <w:spacing w:before="0" w:after="0"/>
        <w:jc w:val="both"/>
        <w:rPr>
          <w:rFonts w:ascii="Times New Roman" w:hAnsi="Times New Roman" w:cs="Times New Roman"/>
          <w:szCs w:val="20"/>
        </w:rPr>
      </w:pPr>
    </w:p>
    <w:p w:rsidR="0073224C" w:rsidRPr="00FA3856" w:rsidRDefault="0073224C" w:rsidP="00BD6449">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pessoa jurídica não pode compensar sua própria base de cálculo negativa se entre a data da apuração e a da compensação houver ocorrido, cumulativamente, modificação de seu controle societário e do ramo de atividade. A pessoa jurídica sucessora por incorporação, fusão ou cisão não pode compensar base de cálculo negativa da sucedida (Decreto-Lei n</w:t>
      </w:r>
      <w:r w:rsidRPr="00FA3856">
        <w:rPr>
          <w:rFonts w:ascii="Times New Roman" w:hAnsi="Times New Roman" w:cs="Times New Roman"/>
          <w:strike/>
          <w:szCs w:val="20"/>
        </w:rPr>
        <w:t>º</w:t>
      </w:r>
      <w:r w:rsidRPr="00FA3856">
        <w:rPr>
          <w:rFonts w:ascii="Times New Roman" w:hAnsi="Times New Roman" w:cs="Times New Roman"/>
          <w:szCs w:val="20"/>
        </w:rPr>
        <w:t xml:space="preserve"> 2.341, de 29 de junho de 1987, arts. 32 e 33; </w:t>
      </w:r>
      <w:hyperlink r:id="rId223" w:anchor="MP1807" w:history="1">
        <w:r w:rsidRPr="00FA3856">
          <w:rPr>
            <w:rStyle w:val="Hyperlink"/>
            <w:rFonts w:ascii="Times New Roman" w:hAnsi="Times New Roman" w:cs="Times New Roman"/>
            <w:color w:val="auto"/>
            <w:szCs w:val="20"/>
          </w:rPr>
          <w:t>MP n</w:t>
        </w:r>
        <w:r w:rsidRPr="00FA3856">
          <w:rPr>
            <w:rStyle w:val="Hyperlink"/>
            <w:rFonts w:ascii="Times New Roman" w:hAnsi="Times New Roman" w:cs="Times New Roman"/>
            <w:strike/>
            <w:color w:val="auto"/>
            <w:szCs w:val="20"/>
          </w:rPr>
          <w:t>º</w:t>
        </w:r>
        <w:r w:rsidRPr="00FA3856">
          <w:rPr>
            <w:rStyle w:val="Hyperlink"/>
            <w:rFonts w:ascii="Times New Roman" w:hAnsi="Times New Roman" w:cs="Times New Roman"/>
            <w:color w:val="auto"/>
            <w:szCs w:val="20"/>
          </w:rPr>
          <w:t xml:space="preserve"> 1.858-6</w:t>
        </w:r>
      </w:hyperlink>
      <w:r w:rsidRPr="00FA3856">
        <w:rPr>
          <w:rFonts w:ascii="Times New Roman" w:hAnsi="Times New Roman" w:cs="Times New Roman"/>
          <w:szCs w:val="20"/>
        </w:rPr>
        <w:t>, de 1999, art. 20, e reedições).</w:t>
      </w:r>
    </w:p>
    <w:p w:rsidR="00BD6449" w:rsidRPr="00FA3856" w:rsidRDefault="00BD6449" w:rsidP="00A36A8B">
      <w:pPr>
        <w:pStyle w:val="NormalWeb"/>
        <w:spacing w:before="0" w:after="0"/>
        <w:jc w:val="both"/>
        <w:rPr>
          <w:rFonts w:ascii="Times New Roman" w:hAnsi="Times New Roman" w:cs="Times New Roman"/>
          <w:szCs w:val="20"/>
        </w:rPr>
      </w:pPr>
    </w:p>
    <w:p w:rsidR="0073224C" w:rsidRPr="00FA3856" w:rsidRDefault="0073224C" w:rsidP="00BD6449">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No caso de cisão parcial, a pessoa jurídica cindida pode compensar sua própria base de cálculo negativa, proporcionalmente à parcela remanescente do patrimônio líquido.</w:t>
      </w:r>
    </w:p>
    <w:p w:rsidR="0073224C" w:rsidRPr="00FA3856" w:rsidRDefault="0073224C" w:rsidP="00A36A8B">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p w:rsidR="0073224C" w:rsidRPr="00FA3856" w:rsidRDefault="00BD6449" w:rsidP="00A36A8B">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t>IX.4.1</w:t>
      </w:r>
      <w:r w:rsidR="0073224C" w:rsidRPr="00FA3856">
        <w:rPr>
          <w:rFonts w:ascii="Times New Roman" w:hAnsi="Times New Roman" w:cs="Times New Roman"/>
          <w:b/>
          <w:bCs/>
          <w:szCs w:val="20"/>
        </w:rPr>
        <w:t>) Atividade Rural - Compensação de Base de Cálculo Negativa</w:t>
      </w:r>
    </w:p>
    <w:p w:rsidR="00BD6449" w:rsidRPr="00FA3856" w:rsidRDefault="00BD6449" w:rsidP="00A36A8B">
      <w:pPr>
        <w:pStyle w:val="NormalWeb"/>
        <w:spacing w:before="0" w:after="0"/>
        <w:jc w:val="both"/>
        <w:rPr>
          <w:rFonts w:ascii="Times New Roman" w:hAnsi="Times New Roman" w:cs="Times New Roman"/>
          <w:szCs w:val="20"/>
        </w:rPr>
      </w:pPr>
    </w:p>
    <w:p w:rsidR="0073224C" w:rsidRPr="00FA3856" w:rsidRDefault="0073224C" w:rsidP="00BD6449">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base de cálculo da CSLL da atividade rural, quando negativa, pode ser compensada com o resultado dessa mesma atividade, apurado em períodos subsequentes, ajustado pelas adições e exclusões previstas na legislação, sem o limite máximo de redução de trinta por cento (</w:t>
      </w:r>
      <w:hyperlink r:id="rId224" w:anchor="MP1807" w:history="1">
        <w:r w:rsidRPr="00FA3856">
          <w:rPr>
            <w:rStyle w:val="Hyperlink"/>
            <w:rFonts w:ascii="Times New Roman" w:hAnsi="Times New Roman" w:cs="Times New Roman"/>
            <w:color w:val="auto"/>
            <w:szCs w:val="20"/>
          </w:rPr>
          <w:t>MP n</w:t>
        </w:r>
        <w:r w:rsidRPr="00FA3856">
          <w:rPr>
            <w:rStyle w:val="Hyperlink"/>
            <w:rFonts w:ascii="Times New Roman" w:hAnsi="Times New Roman" w:cs="Times New Roman"/>
            <w:strike/>
            <w:color w:val="auto"/>
            <w:szCs w:val="20"/>
          </w:rPr>
          <w:t>º</w:t>
        </w:r>
        <w:r w:rsidRPr="00FA3856">
          <w:rPr>
            <w:rStyle w:val="Hyperlink"/>
            <w:rFonts w:ascii="Times New Roman" w:hAnsi="Times New Roman" w:cs="Times New Roman"/>
            <w:color w:val="auto"/>
            <w:szCs w:val="20"/>
          </w:rPr>
          <w:t xml:space="preserve"> 1.991-15</w:t>
        </w:r>
      </w:hyperlink>
      <w:r w:rsidRPr="00FA3856">
        <w:rPr>
          <w:rFonts w:ascii="Times New Roman" w:hAnsi="Times New Roman" w:cs="Times New Roman"/>
          <w:szCs w:val="20"/>
        </w:rPr>
        <w:t>, de 2000, art. 42, e reedições).</w:t>
      </w:r>
    </w:p>
    <w:p w:rsidR="00BD6449" w:rsidRPr="00FA3856" w:rsidRDefault="00BD6449" w:rsidP="00A36A8B">
      <w:pPr>
        <w:pStyle w:val="NormalWeb"/>
        <w:spacing w:before="0" w:after="0"/>
        <w:jc w:val="both"/>
        <w:rPr>
          <w:rFonts w:ascii="Times New Roman" w:hAnsi="Times New Roman" w:cs="Times New Roman"/>
          <w:szCs w:val="20"/>
        </w:rPr>
      </w:pPr>
    </w:p>
    <w:p w:rsidR="0073224C" w:rsidRPr="00FA3856" w:rsidRDefault="0073224C" w:rsidP="00BD6449">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base de cálculo da CSLL da atividade rural, quando negativa, pode ser compensada com o resultado das atividades em geral, apurado no mesmo período, sem o limite máximo de redução de trinta por cento.</w:t>
      </w:r>
    </w:p>
    <w:p w:rsidR="00BD6449" w:rsidRPr="00FA3856" w:rsidRDefault="00BD6449" w:rsidP="00A36A8B">
      <w:pPr>
        <w:pStyle w:val="NormalWeb"/>
        <w:spacing w:before="0" w:after="0"/>
        <w:jc w:val="both"/>
        <w:rPr>
          <w:rFonts w:ascii="Times New Roman" w:hAnsi="Times New Roman" w:cs="Times New Roman"/>
          <w:szCs w:val="20"/>
        </w:rPr>
      </w:pPr>
    </w:p>
    <w:p w:rsidR="0073224C" w:rsidRPr="00FA3856" w:rsidRDefault="0073224C" w:rsidP="00BD6449">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base de cálculo da CSLL da atividade rural, quando negativa, pode ser compensada com o resultado das atividades em geral, apurado em períodos de apuração subsequentes, observado o limite máximo de redução de trinta por cento.</w:t>
      </w:r>
    </w:p>
    <w:p w:rsidR="0073224C" w:rsidRPr="00FA3856" w:rsidRDefault="0073224C" w:rsidP="00A36A8B">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p w:rsidR="00BD6449" w:rsidRPr="00FA3856" w:rsidRDefault="00BD6449" w:rsidP="00A36A8B">
      <w:pPr>
        <w:pStyle w:val="NormalWeb"/>
        <w:spacing w:before="0" w:after="0"/>
        <w:jc w:val="both"/>
        <w:rPr>
          <w:rFonts w:ascii="Times New Roman" w:hAnsi="Times New Roman" w:cs="Times New Roman"/>
          <w:b/>
          <w:bCs/>
          <w:szCs w:val="20"/>
        </w:rPr>
      </w:pPr>
    </w:p>
    <w:p w:rsidR="00BD6449" w:rsidRPr="00FA3856" w:rsidRDefault="00BD6449" w:rsidP="00A36A8B">
      <w:pPr>
        <w:pStyle w:val="NormalWeb"/>
        <w:spacing w:before="0" w:after="0"/>
        <w:jc w:val="both"/>
        <w:rPr>
          <w:rFonts w:ascii="Times New Roman" w:hAnsi="Times New Roman" w:cs="Times New Roman"/>
          <w:b/>
          <w:bCs/>
          <w:szCs w:val="20"/>
        </w:rPr>
      </w:pPr>
    </w:p>
    <w:p w:rsidR="0073224C" w:rsidRPr="00FA3856" w:rsidRDefault="00BD6449" w:rsidP="00A36A8B">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lastRenderedPageBreak/>
        <w:t>IX.5)</w:t>
      </w:r>
      <w:r w:rsidR="0073224C" w:rsidRPr="00FA3856">
        <w:rPr>
          <w:rFonts w:ascii="Times New Roman" w:hAnsi="Times New Roman" w:cs="Times New Roman"/>
          <w:b/>
          <w:bCs/>
          <w:szCs w:val="20"/>
        </w:rPr>
        <w:t xml:space="preserve"> Pagamento da CSLL</w:t>
      </w:r>
    </w:p>
    <w:p w:rsidR="0073224C" w:rsidRPr="00FA3856" w:rsidRDefault="0073224C" w:rsidP="00A36A8B">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p w:rsidR="0073224C" w:rsidRPr="00FA3856" w:rsidRDefault="00BD6449" w:rsidP="00A36A8B">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t>IX.5.1)</w:t>
      </w:r>
      <w:r w:rsidR="0073224C" w:rsidRPr="00FA3856">
        <w:rPr>
          <w:rFonts w:ascii="Times New Roman" w:hAnsi="Times New Roman" w:cs="Times New Roman"/>
          <w:b/>
          <w:bCs/>
          <w:szCs w:val="20"/>
        </w:rPr>
        <w:t xml:space="preserve"> Local de Pagamento</w:t>
      </w:r>
    </w:p>
    <w:p w:rsidR="00BD6449" w:rsidRPr="00FA3856" w:rsidRDefault="00BD6449" w:rsidP="00A36A8B">
      <w:pPr>
        <w:pStyle w:val="NormalWeb"/>
        <w:spacing w:before="0" w:after="0"/>
        <w:jc w:val="both"/>
        <w:rPr>
          <w:rFonts w:ascii="Times New Roman" w:hAnsi="Times New Roman" w:cs="Times New Roman"/>
          <w:szCs w:val="20"/>
        </w:rPr>
      </w:pPr>
    </w:p>
    <w:p w:rsidR="0073224C" w:rsidRPr="00FA3856" w:rsidRDefault="0073224C" w:rsidP="00BD6449">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pessoa jurídica deve pagar a CSLL por intermédio dos Bancos integrantes da rede arrecadadora de receitas federais.</w:t>
      </w:r>
    </w:p>
    <w:p w:rsidR="0073224C" w:rsidRPr="00FA3856" w:rsidRDefault="0073224C" w:rsidP="00A36A8B">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p w:rsidR="0073224C" w:rsidRPr="00FA3856" w:rsidRDefault="00BD6449" w:rsidP="00A36A8B">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t xml:space="preserve">IX.5.2) </w:t>
      </w:r>
      <w:r w:rsidR="0073224C" w:rsidRPr="00FA3856">
        <w:rPr>
          <w:rFonts w:ascii="Times New Roman" w:hAnsi="Times New Roman" w:cs="Times New Roman"/>
          <w:b/>
          <w:bCs/>
          <w:szCs w:val="20"/>
        </w:rPr>
        <w:t>Documento a Utilizar</w:t>
      </w:r>
    </w:p>
    <w:p w:rsidR="00BD6449" w:rsidRPr="00FA3856" w:rsidRDefault="00BD6449" w:rsidP="00A36A8B">
      <w:pPr>
        <w:pStyle w:val="NormalWeb"/>
        <w:spacing w:before="0" w:after="0"/>
        <w:jc w:val="both"/>
        <w:rPr>
          <w:rFonts w:ascii="Times New Roman" w:hAnsi="Times New Roman" w:cs="Times New Roman"/>
          <w:szCs w:val="20"/>
        </w:rPr>
      </w:pPr>
    </w:p>
    <w:p w:rsidR="0073224C" w:rsidRPr="00FA3856" w:rsidRDefault="0073224C" w:rsidP="00BD6449">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O pagamento é feito mediante a utilização do Documento de Arrecadação de Receitas Federais (Darf), sob os seguintes códigos:</w:t>
      </w:r>
    </w:p>
    <w:p w:rsidR="00BD6449" w:rsidRPr="00FA3856" w:rsidRDefault="00BD6449" w:rsidP="00A36A8B">
      <w:pPr>
        <w:pStyle w:val="NormalWeb"/>
        <w:spacing w:before="0" w:after="0"/>
        <w:jc w:val="both"/>
        <w:rPr>
          <w:rFonts w:ascii="Times New Roman" w:hAnsi="Times New Roman" w:cs="Times New Roman"/>
          <w:szCs w:val="20"/>
        </w:rPr>
      </w:pPr>
    </w:p>
    <w:p w:rsidR="0073224C" w:rsidRPr="00FA3856" w:rsidRDefault="0073224C" w:rsidP="00BD6449">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a) 2484 CSLL - Pessoas Jurídicas não Financeiras - Resultado Ajustado - Estimativa Mensal;</w:t>
      </w:r>
    </w:p>
    <w:p w:rsidR="0073224C" w:rsidRPr="00FA3856" w:rsidRDefault="0073224C" w:rsidP="00BD6449">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 xml:space="preserve">b) 2469 CSLL - Entidades Financeiras - Estimativa Mensal; </w:t>
      </w:r>
    </w:p>
    <w:p w:rsidR="0073224C" w:rsidRPr="00FA3856" w:rsidRDefault="0073224C" w:rsidP="00BD6449">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c) 6012 CSLL - Pessoas Jurídicas não Financeiras - Resultado Ajustado - Apuração Trimestral;</w:t>
      </w:r>
    </w:p>
    <w:p w:rsidR="0073224C" w:rsidRPr="00FA3856" w:rsidRDefault="0073224C" w:rsidP="00BD6449">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d) 2030 CSLL - Entidades Financeiras - Apuração Trimestral;</w:t>
      </w:r>
    </w:p>
    <w:p w:rsidR="0073224C" w:rsidRPr="00FA3856" w:rsidRDefault="0073224C" w:rsidP="00BD6449">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e) 6773 CSLL - Pessoas Jurídicas não Financeiras - Resultado Ajustado - Ajuste Anual;</w:t>
      </w:r>
      <w:r w:rsidR="00BD6449" w:rsidRPr="00FA3856">
        <w:rPr>
          <w:rFonts w:ascii="Times New Roman" w:hAnsi="Times New Roman" w:cs="Times New Roman"/>
          <w:szCs w:val="20"/>
        </w:rPr>
        <w:t xml:space="preserve"> e</w:t>
      </w:r>
    </w:p>
    <w:p w:rsidR="0073224C" w:rsidRPr="00FA3856" w:rsidRDefault="0073224C" w:rsidP="00BD6449">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f) 6758 CSLL - Entidades Finance</w:t>
      </w:r>
      <w:r w:rsidR="00BD6449" w:rsidRPr="00FA3856">
        <w:rPr>
          <w:rFonts w:ascii="Times New Roman" w:hAnsi="Times New Roman" w:cs="Times New Roman"/>
          <w:szCs w:val="20"/>
        </w:rPr>
        <w:t>iras - Resultado - Ajuste Anual.</w:t>
      </w:r>
    </w:p>
    <w:p w:rsidR="0073224C" w:rsidRPr="00FA3856" w:rsidRDefault="0073224C" w:rsidP="00A36A8B">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p w:rsidR="0073224C" w:rsidRPr="00FA3856" w:rsidRDefault="00BD6449" w:rsidP="00A36A8B">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t xml:space="preserve">IX.5.3) </w:t>
      </w:r>
      <w:r w:rsidR="0073224C" w:rsidRPr="00FA3856">
        <w:rPr>
          <w:rFonts w:ascii="Times New Roman" w:hAnsi="Times New Roman" w:cs="Times New Roman"/>
          <w:b/>
          <w:bCs/>
          <w:szCs w:val="20"/>
        </w:rPr>
        <w:t>Prazo para Pagamento</w:t>
      </w:r>
    </w:p>
    <w:p w:rsidR="00BD6449" w:rsidRPr="00FA3856" w:rsidRDefault="00BD6449" w:rsidP="00A36A8B">
      <w:pPr>
        <w:pStyle w:val="NormalWeb"/>
        <w:spacing w:before="0" w:after="0"/>
        <w:jc w:val="both"/>
        <w:rPr>
          <w:rFonts w:ascii="Times New Roman" w:hAnsi="Times New Roman" w:cs="Times New Roman"/>
          <w:b/>
          <w:bCs/>
          <w:szCs w:val="20"/>
        </w:rPr>
      </w:pPr>
    </w:p>
    <w:p w:rsidR="0073224C" w:rsidRPr="00FA3856" w:rsidRDefault="00BD6449" w:rsidP="00A36A8B">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t>IX.5.3.1)</w:t>
      </w:r>
      <w:r w:rsidR="0073224C" w:rsidRPr="00FA3856">
        <w:rPr>
          <w:rFonts w:ascii="Times New Roman" w:hAnsi="Times New Roman" w:cs="Times New Roman"/>
          <w:b/>
          <w:bCs/>
          <w:szCs w:val="20"/>
        </w:rPr>
        <w:t xml:space="preserve"> Apurada Trimestralmente</w:t>
      </w:r>
    </w:p>
    <w:p w:rsidR="00BD6449" w:rsidRPr="00FA3856" w:rsidRDefault="00BD6449" w:rsidP="00A36A8B">
      <w:pPr>
        <w:pStyle w:val="NormalWeb"/>
        <w:spacing w:before="0" w:after="0"/>
        <w:jc w:val="both"/>
        <w:rPr>
          <w:rFonts w:ascii="Times New Roman" w:hAnsi="Times New Roman" w:cs="Times New Roman"/>
          <w:szCs w:val="20"/>
        </w:rPr>
      </w:pPr>
    </w:p>
    <w:p w:rsidR="0073224C" w:rsidRPr="00FA3856" w:rsidRDefault="0073224C" w:rsidP="00BD6449">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CSLL, apurada t</w:t>
      </w:r>
      <w:bookmarkStart w:id="183" w:name="Subitem_16.6.1"/>
      <w:bookmarkEnd w:id="183"/>
      <w:r w:rsidRPr="00FA3856">
        <w:rPr>
          <w:rFonts w:ascii="Times New Roman" w:hAnsi="Times New Roman" w:cs="Times New Roman"/>
          <w:szCs w:val="20"/>
        </w:rPr>
        <w:t>rimestralmente, deve ser paga em quota única, até o último dia útil do mês subsequente ao do encerramento do período de apuração.</w:t>
      </w:r>
    </w:p>
    <w:p w:rsidR="00BD6449" w:rsidRPr="00FA3856" w:rsidRDefault="00BD6449" w:rsidP="00A36A8B">
      <w:pPr>
        <w:pStyle w:val="NormalWeb"/>
        <w:spacing w:before="0" w:after="0"/>
        <w:jc w:val="both"/>
        <w:rPr>
          <w:rFonts w:ascii="Times New Roman" w:hAnsi="Times New Roman" w:cs="Times New Roman"/>
          <w:szCs w:val="20"/>
        </w:rPr>
      </w:pPr>
    </w:p>
    <w:p w:rsidR="0073224C" w:rsidRPr="00FA3856" w:rsidRDefault="0073224C" w:rsidP="00BD6449">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À opção da pesso</w:t>
      </w:r>
      <w:bookmarkStart w:id="184" w:name="Subitem_16.6.2"/>
      <w:bookmarkEnd w:id="184"/>
      <w:r w:rsidRPr="00FA3856">
        <w:rPr>
          <w:rFonts w:ascii="Times New Roman" w:hAnsi="Times New Roman" w:cs="Times New Roman"/>
          <w:szCs w:val="20"/>
        </w:rPr>
        <w:t>a jurídica, a CSLL pode ser paga em até três quotas mensais, iguais e sucessivas, vencíveis no último dia útil dos três meses subsequentes ao de encerramento do período de apuração a que corresponder.</w:t>
      </w:r>
    </w:p>
    <w:p w:rsidR="00BD6449" w:rsidRPr="00FA3856" w:rsidRDefault="00BD6449" w:rsidP="00A36A8B">
      <w:pPr>
        <w:pStyle w:val="NormalWeb"/>
        <w:spacing w:before="0" w:after="0"/>
        <w:jc w:val="both"/>
        <w:rPr>
          <w:rFonts w:ascii="Times New Roman" w:hAnsi="Times New Roman" w:cs="Times New Roman"/>
          <w:szCs w:val="20"/>
        </w:rPr>
      </w:pPr>
    </w:p>
    <w:p w:rsidR="0073224C" w:rsidRPr="00FA3856" w:rsidRDefault="0073224C" w:rsidP="00BD6449">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Nenhuma quota pode ter valor inferior a R$ 1.000,00 (mil reais) e a CSLL de valor inferior a R$ 2.000,00 (dois mil reais) deve ser paga em quota única.</w:t>
      </w:r>
    </w:p>
    <w:p w:rsidR="00BD6449" w:rsidRPr="00FA3856" w:rsidRDefault="00BD6449" w:rsidP="00A36A8B">
      <w:pPr>
        <w:pStyle w:val="NormalWeb"/>
        <w:spacing w:before="0" w:after="0"/>
        <w:jc w:val="both"/>
        <w:rPr>
          <w:rFonts w:ascii="Times New Roman" w:hAnsi="Times New Roman" w:cs="Times New Roman"/>
          <w:szCs w:val="20"/>
        </w:rPr>
      </w:pPr>
    </w:p>
    <w:p w:rsidR="0073224C" w:rsidRPr="00FA3856" w:rsidRDefault="0073224C" w:rsidP="00BD6449">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 xml:space="preserve">As quotas da CSLL são acrescidas de juros equivalentes à taxa referencial do Sistema Especial de Liquidação e Custódia (Selic), para títulos federais, acumulada mensalmente, a partir do primeiro dia do segundo mês subsequente ao do encerramento do período de </w:t>
      </w:r>
      <w:bookmarkStart w:id="185" w:name="Subitem_16.6.3"/>
      <w:bookmarkEnd w:id="185"/>
      <w:r w:rsidRPr="00FA3856">
        <w:rPr>
          <w:rFonts w:ascii="Times New Roman" w:hAnsi="Times New Roman" w:cs="Times New Roman"/>
          <w:szCs w:val="20"/>
        </w:rPr>
        <w:t xml:space="preserve">apuração até o último dia do </w:t>
      </w:r>
      <w:bookmarkStart w:id="186" w:name="Subitem_16.6.3.1"/>
      <w:bookmarkEnd w:id="186"/>
      <w:r w:rsidRPr="00FA3856">
        <w:rPr>
          <w:rFonts w:ascii="Times New Roman" w:hAnsi="Times New Roman" w:cs="Times New Roman"/>
          <w:szCs w:val="20"/>
        </w:rPr>
        <w:t>mês anterior ao do pagamento e de 1% (um por cento) no mês do pagamento.</w:t>
      </w:r>
    </w:p>
    <w:p w:rsidR="00BD6449" w:rsidRPr="00FA3856" w:rsidRDefault="00BD6449" w:rsidP="00A36A8B">
      <w:pPr>
        <w:pStyle w:val="NormalWeb"/>
        <w:spacing w:before="0" w:after="0"/>
        <w:jc w:val="both"/>
        <w:rPr>
          <w:rFonts w:ascii="Times New Roman" w:hAnsi="Times New Roman" w:cs="Times New Roman"/>
          <w:szCs w:val="20"/>
        </w:rPr>
      </w:pPr>
    </w:p>
    <w:p w:rsidR="0073224C" w:rsidRPr="00FA3856" w:rsidRDefault="0073224C" w:rsidP="00BD6449">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primeira quota ou quota única, quando paga até o vencimento, não sofre acréscimos.</w:t>
      </w:r>
    </w:p>
    <w:p w:rsidR="00BD6449" w:rsidRPr="00FA3856" w:rsidRDefault="00BD6449" w:rsidP="00A36A8B">
      <w:pPr>
        <w:pStyle w:val="NormalWeb"/>
        <w:spacing w:before="0" w:after="0"/>
        <w:jc w:val="both"/>
        <w:rPr>
          <w:rFonts w:ascii="Times New Roman" w:hAnsi="Times New Roman" w:cs="Times New Roman"/>
          <w:szCs w:val="20"/>
        </w:rPr>
      </w:pPr>
    </w:p>
    <w:p w:rsidR="0073224C" w:rsidRPr="00FA3856" w:rsidRDefault="0073224C" w:rsidP="00BD6449">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 xml:space="preserve">O saldo da CSLL, se negativo, pode ser restituído ou compensado com a CSLL devida a partir do encerramento do trimestre, acrescido de juros equivalentes à taxa Selic para títulos federais, acumulada mensalmente, calculados a partir do mês </w:t>
      </w:r>
      <w:r w:rsidR="00B5790B" w:rsidRPr="00FA3856">
        <w:rPr>
          <w:rFonts w:ascii="Times New Roman" w:hAnsi="Times New Roman" w:cs="Times New Roman"/>
          <w:szCs w:val="20"/>
        </w:rPr>
        <w:t>subsequente</w:t>
      </w:r>
      <w:r w:rsidRPr="00FA3856">
        <w:rPr>
          <w:rFonts w:ascii="Times New Roman" w:hAnsi="Times New Roman" w:cs="Times New Roman"/>
          <w:szCs w:val="20"/>
        </w:rPr>
        <w:t xml:space="preserve"> ao do encerramento do período de apuração até o mês anterior ao da restituição ou compensação e de um por cento relativamente ao mês em que estiver sendo efetuada a restituição ou compensação (ADN Cosit n</w:t>
      </w:r>
      <w:r w:rsidRPr="00FA3856">
        <w:rPr>
          <w:rFonts w:ascii="Times New Roman" w:hAnsi="Times New Roman" w:cs="Times New Roman"/>
          <w:strike/>
          <w:szCs w:val="20"/>
        </w:rPr>
        <w:t>º</w:t>
      </w:r>
      <w:r w:rsidRPr="00FA3856">
        <w:rPr>
          <w:rFonts w:ascii="Times New Roman" w:hAnsi="Times New Roman" w:cs="Times New Roman"/>
          <w:szCs w:val="20"/>
        </w:rPr>
        <w:t xml:space="preserve"> 31, de 27 de outubro de 1999).</w:t>
      </w:r>
    </w:p>
    <w:p w:rsidR="00BD6449" w:rsidRPr="00FA3856" w:rsidRDefault="00BD6449">
      <w:pPr>
        <w:spacing w:after="200" w:line="276" w:lineRule="auto"/>
        <w:rPr>
          <w:rFonts w:eastAsia="Arial Unicode MS"/>
          <w:b/>
          <w:bCs/>
          <w:szCs w:val="20"/>
          <w:lang w:eastAsia="ar-SA"/>
        </w:rPr>
      </w:pPr>
      <w:r w:rsidRPr="00FA3856">
        <w:rPr>
          <w:b/>
          <w:bCs/>
          <w:szCs w:val="20"/>
        </w:rPr>
        <w:br w:type="page"/>
      </w:r>
    </w:p>
    <w:p w:rsidR="0073224C" w:rsidRPr="00FA3856" w:rsidRDefault="00BD6449" w:rsidP="00A36A8B">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lastRenderedPageBreak/>
        <w:t>IX.5.3.2)</w:t>
      </w:r>
      <w:r w:rsidR="0073224C" w:rsidRPr="00FA3856">
        <w:rPr>
          <w:rFonts w:ascii="Times New Roman" w:hAnsi="Times New Roman" w:cs="Times New Roman"/>
          <w:b/>
          <w:bCs/>
          <w:szCs w:val="20"/>
        </w:rPr>
        <w:t xml:space="preserve"> Apurada Mensalmente por Estimativa</w:t>
      </w:r>
    </w:p>
    <w:p w:rsidR="00BD6449" w:rsidRPr="00FA3856" w:rsidRDefault="00BD6449" w:rsidP="00A36A8B">
      <w:pPr>
        <w:pStyle w:val="NormalWeb"/>
        <w:spacing w:before="0" w:after="0"/>
        <w:jc w:val="both"/>
        <w:rPr>
          <w:rFonts w:ascii="Times New Roman" w:hAnsi="Times New Roman" w:cs="Times New Roman"/>
          <w:b/>
          <w:bCs/>
          <w:szCs w:val="20"/>
        </w:rPr>
      </w:pPr>
    </w:p>
    <w:p w:rsidR="0073224C" w:rsidRPr="00FA3856" w:rsidRDefault="00BD6449" w:rsidP="00A36A8B">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t xml:space="preserve">IX.5.3.2.1) </w:t>
      </w:r>
      <w:r w:rsidR="0073224C" w:rsidRPr="00FA3856">
        <w:rPr>
          <w:rFonts w:ascii="Times New Roman" w:hAnsi="Times New Roman" w:cs="Times New Roman"/>
          <w:b/>
          <w:bCs/>
          <w:szCs w:val="20"/>
        </w:rPr>
        <w:t>Pagamentos Mensais</w:t>
      </w:r>
    </w:p>
    <w:p w:rsidR="00BD6449" w:rsidRPr="00FA3856" w:rsidRDefault="00BD6449" w:rsidP="00A36A8B">
      <w:pPr>
        <w:pStyle w:val="NormalWeb"/>
        <w:spacing w:before="0" w:after="0"/>
        <w:jc w:val="both"/>
        <w:rPr>
          <w:rFonts w:ascii="Times New Roman" w:hAnsi="Times New Roman" w:cs="Times New Roman"/>
          <w:szCs w:val="20"/>
        </w:rPr>
      </w:pPr>
    </w:p>
    <w:p w:rsidR="0073224C" w:rsidRPr="00FA3856" w:rsidRDefault="0073224C" w:rsidP="00BD6449">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CSLL determinada mensalmente com base na receita bruta e acréscimos ou em balanço ou balancete de suspensão ou redução deve ser paga até o último dia útil do mês subsequente àquele a que se referir (Lei n</w:t>
      </w:r>
      <w:r w:rsidRPr="00FA3856">
        <w:rPr>
          <w:rFonts w:ascii="Times New Roman" w:hAnsi="Times New Roman" w:cs="Times New Roman"/>
          <w:strike/>
          <w:szCs w:val="20"/>
        </w:rPr>
        <w:t>º</w:t>
      </w:r>
      <w:r w:rsidRPr="00FA3856">
        <w:rPr>
          <w:rFonts w:ascii="Times New Roman" w:hAnsi="Times New Roman" w:cs="Times New Roman"/>
          <w:szCs w:val="20"/>
        </w:rPr>
        <w:t xml:space="preserve"> 9.430, de 1996, art. 6</w:t>
      </w:r>
      <w:r w:rsidRPr="00FA3856">
        <w:rPr>
          <w:rFonts w:ascii="Times New Roman" w:hAnsi="Times New Roman" w:cs="Times New Roman"/>
          <w:strike/>
          <w:szCs w:val="20"/>
        </w:rPr>
        <w:t>º</w:t>
      </w:r>
      <w:r w:rsidRPr="00FA3856">
        <w:rPr>
          <w:rFonts w:ascii="Times New Roman" w:hAnsi="Times New Roman" w:cs="Times New Roman"/>
          <w:szCs w:val="20"/>
        </w:rPr>
        <w:t>).</w:t>
      </w:r>
    </w:p>
    <w:p w:rsidR="00BD6449" w:rsidRPr="00FA3856" w:rsidRDefault="00BD6449" w:rsidP="00A36A8B">
      <w:pPr>
        <w:pStyle w:val="NormalWeb"/>
        <w:spacing w:before="0" w:after="0"/>
        <w:jc w:val="both"/>
        <w:rPr>
          <w:rFonts w:ascii="Times New Roman" w:hAnsi="Times New Roman" w:cs="Times New Roman"/>
          <w:b/>
          <w:bCs/>
          <w:szCs w:val="20"/>
        </w:rPr>
      </w:pPr>
    </w:p>
    <w:p w:rsidR="0073224C" w:rsidRPr="00FA3856" w:rsidRDefault="00BD6449" w:rsidP="00A36A8B">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t xml:space="preserve">IX.5.3.2.2) </w:t>
      </w:r>
      <w:r w:rsidR="0073224C" w:rsidRPr="00FA3856">
        <w:rPr>
          <w:rFonts w:ascii="Times New Roman" w:hAnsi="Times New Roman" w:cs="Times New Roman"/>
          <w:b/>
          <w:bCs/>
          <w:szCs w:val="20"/>
        </w:rPr>
        <w:t xml:space="preserve">Saldo da CSLL Apurado em 31 de Dezembro (ajuste anual): </w:t>
      </w:r>
    </w:p>
    <w:p w:rsidR="00BD6449" w:rsidRPr="00FA3856" w:rsidRDefault="00BD6449" w:rsidP="00A36A8B">
      <w:pPr>
        <w:pStyle w:val="NormalWeb"/>
        <w:spacing w:before="0" w:after="0"/>
        <w:jc w:val="both"/>
        <w:rPr>
          <w:rFonts w:ascii="Times New Roman" w:hAnsi="Times New Roman" w:cs="Times New Roman"/>
          <w:szCs w:val="20"/>
        </w:rPr>
      </w:pPr>
    </w:p>
    <w:p w:rsidR="0073224C" w:rsidRPr="00FA3856" w:rsidRDefault="0073224C" w:rsidP="00BD6449">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O saldo da CSLL apurado em 31 de dezembro do ano-calendário será:</w:t>
      </w:r>
    </w:p>
    <w:p w:rsidR="0073224C" w:rsidRPr="00FA3856" w:rsidRDefault="0073224C" w:rsidP="00BD6449">
      <w:pPr>
        <w:pStyle w:val="NormalWeb"/>
        <w:spacing w:before="0" w:after="0"/>
        <w:ind w:left="1416"/>
        <w:jc w:val="both"/>
        <w:rPr>
          <w:rFonts w:ascii="Times New Roman" w:hAnsi="Times New Roman" w:cs="Times New Roman"/>
          <w:szCs w:val="20"/>
        </w:rPr>
      </w:pPr>
      <w:r w:rsidRPr="00FA3856">
        <w:rPr>
          <w:rFonts w:ascii="Times New Roman" w:hAnsi="Times New Roman" w:cs="Times New Roman"/>
          <w:szCs w:val="20"/>
        </w:rPr>
        <w:t>a) pago em quota única até o último dia útil do mês de março do ano subsequente. O saldo da CSLL é acrescido de juros equivalentes à taxa referencial do Sistema Especial de Liquidação e Custódia (Selic), para títulos federais, acumulada mensalmente, a partir de 1</w:t>
      </w:r>
      <w:r w:rsidRPr="00FA3856">
        <w:rPr>
          <w:rFonts w:ascii="Times New Roman" w:hAnsi="Times New Roman" w:cs="Times New Roman"/>
          <w:strike/>
          <w:szCs w:val="20"/>
        </w:rPr>
        <w:t>º</w:t>
      </w:r>
      <w:r w:rsidRPr="00FA3856">
        <w:rPr>
          <w:rFonts w:ascii="Times New Roman" w:hAnsi="Times New Roman" w:cs="Times New Roman"/>
          <w:szCs w:val="20"/>
        </w:rPr>
        <w:t xml:space="preserve"> de fevereiro do ano subsequente até o último dia do mês anterior ao do pagamento e de 1% (um por cento) no mês do pagamento;</w:t>
      </w:r>
    </w:p>
    <w:p w:rsidR="0073224C" w:rsidRPr="00FA3856" w:rsidRDefault="0073224C" w:rsidP="00BD6449">
      <w:pPr>
        <w:pStyle w:val="NormalWeb"/>
        <w:spacing w:before="0" w:after="0"/>
        <w:ind w:left="1416"/>
        <w:jc w:val="both"/>
        <w:rPr>
          <w:rFonts w:ascii="Times New Roman" w:hAnsi="Times New Roman" w:cs="Times New Roman"/>
          <w:szCs w:val="20"/>
        </w:rPr>
      </w:pPr>
      <w:r w:rsidRPr="00FA3856">
        <w:rPr>
          <w:rFonts w:ascii="Times New Roman" w:hAnsi="Times New Roman" w:cs="Times New Roman"/>
          <w:szCs w:val="20"/>
        </w:rPr>
        <w:t>b)</w:t>
      </w:r>
      <w:bookmarkStart w:id="187" w:name="Subitem_16.6.3.2"/>
      <w:bookmarkEnd w:id="187"/>
      <w:r w:rsidRPr="00FA3856">
        <w:rPr>
          <w:rFonts w:ascii="Times New Roman" w:hAnsi="Times New Roman" w:cs="Times New Roman"/>
          <w:szCs w:val="20"/>
        </w:rPr>
        <w:t xml:space="preserve"> pode ser compensado com a CSLL devida a partir do mês de janeiro do ano-calendário subsequente ao do encerramento do período de apuração, se negativo, assegurada a alternativa de requerer a restituição. </w:t>
      </w:r>
    </w:p>
    <w:p w:rsidR="00BD6449" w:rsidRPr="00FA3856" w:rsidRDefault="00BD6449" w:rsidP="00A36A8B">
      <w:pPr>
        <w:jc w:val="both"/>
        <w:rPr>
          <w:b/>
          <w:bCs/>
          <w:szCs w:val="20"/>
        </w:rPr>
      </w:pPr>
    </w:p>
    <w:p w:rsidR="0073224C" w:rsidRPr="00FA3856" w:rsidRDefault="00BD6449" w:rsidP="00A36A8B">
      <w:pPr>
        <w:jc w:val="both"/>
        <w:rPr>
          <w:szCs w:val="20"/>
        </w:rPr>
      </w:pPr>
      <w:r w:rsidRPr="00FA3856">
        <w:rPr>
          <w:b/>
          <w:bCs/>
          <w:szCs w:val="20"/>
        </w:rPr>
        <w:t>X)</w:t>
      </w:r>
      <w:r w:rsidR="0073224C" w:rsidRPr="00FA3856">
        <w:rPr>
          <w:b/>
          <w:bCs/>
          <w:szCs w:val="20"/>
        </w:rPr>
        <w:t xml:space="preserve"> Instruções para Cálculo da CSLL Postergada</w:t>
      </w:r>
    </w:p>
    <w:p w:rsidR="0073224C" w:rsidRPr="00FA3856" w:rsidRDefault="0073224C" w:rsidP="00A36A8B">
      <w:pPr>
        <w:jc w:val="both"/>
        <w:rPr>
          <w:szCs w:val="20"/>
        </w:rPr>
      </w:pPr>
      <w:r w:rsidRPr="00FA3856">
        <w:rPr>
          <w:szCs w:val="20"/>
        </w:rPr>
        <w:t> </w:t>
      </w:r>
    </w:p>
    <w:p w:rsidR="0073224C" w:rsidRPr="00FA3856" w:rsidRDefault="0073224C" w:rsidP="00A36A8B">
      <w:pPr>
        <w:ind w:left="160"/>
        <w:jc w:val="both"/>
        <w:rPr>
          <w:szCs w:val="20"/>
        </w:rPr>
      </w:pPr>
      <w:r w:rsidRPr="00FA3856">
        <w:rPr>
          <w:szCs w:val="20"/>
        </w:rPr>
        <w:t>a) Relativa a período de apuração encerrado a partir de 1</w:t>
      </w:r>
      <w:r w:rsidRPr="00FA3856">
        <w:rPr>
          <w:strike/>
          <w:szCs w:val="20"/>
        </w:rPr>
        <w:t>º</w:t>
      </w:r>
      <w:r w:rsidRPr="00FA3856">
        <w:rPr>
          <w:szCs w:val="20"/>
        </w:rPr>
        <w:t xml:space="preserve"> de janeiro de 1993 até 31 de agosto de 1994:</w:t>
      </w:r>
    </w:p>
    <w:p w:rsidR="0073224C" w:rsidRPr="00FA3856" w:rsidRDefault="0073224C" w:rsidP="00BD6449">
      <w:pPr>
        <w:ind w:left="160" w:firstLine="548"/>
        <w:jc w:val="both"/>
        <w:rPr>
          <w:szCs w:val="20"/>
        </w:rPr>
      </w:pPr>
      <w:r w:rsidRPr="00FA3856">
        <w:rPr>
          <w:szCs w:val="20"/>
        </w:rPr>
        <w:t>a.1) dividir a base de cálculo da contribuição social sobre o lucro líquido postergada pelo valor da Ufir no último dia do mês do período de apuração;</w:t>
      </w:r>
    </w:p>
    <w:p w:rsidR="0073224C" w:rsidRPr="00FA3856" w:rsidRDefault="0073224C" w:rsidP="00BD6449">
      <w:pPr>
        <w:ind w:left="160" w:firstLine="548"/>
        <w:jc w:val="both"/>
        <w:rPr>
          <w:szCs w:val="20"/>
        </w:rPr>
      </w:pPr>
      <w:r w:rsidRPr="00FA3856">
        <w:rPr>
          <w:szCs w:val="20"/>
        </w:rPr>
        <w:t>a.2.) multiplicar o valor em Ufir apurado em "a.1" (base de cálculo da CSLL postergada), pela alíquota da CSLL vigente no exercício financeiro da postergação;</w:t>
      </w:r>
    </w:p>
    <w:p w:rsidR="0073224C" w:rsidRPr="00FA3856" w:rsidRDefault="0073224C" w:rsidP="00BD6449">
      <w:pPr>
        <w:ind w:left="160" w:firstLine="548"/>
        <w:jc w:val="both"/>
        <w:rPr>
          <w:szCs w:val="20"/>
        </w:rPr>
      </w:pPr>
      <w:r w:rsidRPr="00FA3856">
        <w:rPr>
          <w:szCs w:val="20"/>
        </w:rPr>
        <w:t>a.3) multiplicar o resultado obtido em "a.2" (CSLL postergada) pelo valor da Ufir vigente no ano de 1997, ou seja, R$0,9108;</w:t>
      </w:r>
    </w:p>
    <w:p w:rsidR="0073224C" w:rsidRPr="00FA3856" w:rsidRDefault="0073224C" w:rsidP="00A36A8B">
      <w:pPr>
        <w:ind w:left="160"/>
        <w:jc w:val="both"/>
        <w:rPr>
          <w:szCs w:val="20"/>
        </w:rPr>
      </w:pPr>
      <w:r w:rsidRPr="00FA3856">
        <w:rPr>
          <w:szCs w:val="20"/>
        </w:rPr>
        <w:t>b) Relativa a período de apuração encerrado a partir de 1</w:t>
      </w:r>
      <w:r w:rsidRPr="00FA3856">
        <w:rPr>
          <w:strike/>
          <w:szCs w:val="20"/>
        </w:rPr>
        <w:t>º</w:t>
      </w:r>
      <w:r w:rsidRPr="00FA3856">
        <w:rPr>
          <w:szCs w:val="20"/>
        </w:rPr>
        <w:t xml:space="preserve"> de setembro de 1994 até 31 de dezembro de 1994:</w:t>
      </w:r>
    </w:p>
    <w:p w:rsidR="0073224C" w:rsidRPr="00FA3856" w:rsidRDefault="0073224C" w:rsidP="004255D7">
      <w:pPr>
        <w:ind w:left="160" w:firstLine="548"/>
        <w:jc w:val="both"/>
        <w:rPr>
          <w:szCs w:val="20"/>
        </w:rPr>
      </w:pPr>
      <w:r w:rsidRPr="00FA3856">
        <w:rPr>
          <w:szCs w:val="20"/>
        </w:rPr>
        <w:t xml:space="preserve">b.1) dividir a base de cálculo da contribuição social sobre o lucro líquido postergada pelo valor da Ufir no mês </w:t>
      </w:r>
      <w:r w:rsidR="00B5790B" w:rsidRPr="00FA3856">
        <w:rPr>
          <w:szCs w:val="20"/>
        </w:rPr>
        <w:t>subsequente</w:t>
      </w:r>
      <w:r w:rsidRPr="00FA3856">
        <w:rPr>
          <w:szCs w:val="20"/>
        </w:rPr>
        <w:t xml:space="preserve"> ao do encerramento do período de apuração;</w:t>
      </w:r>
    </w:p>
    <w:p w:rsidR="0073224C" w:rsidRPr="00FA3856" w:rsidRDefault="0073224C" w:rsidP="004255D7">
      <w:pPr>
        <w:ind w:left="160" w:firstLine="548"/>
        <w:jc w:val="both"/>
        <w:rPr>
          <w:szCs w:val="20"/>
        </w:rPr>
      </w:pPr>
      <w:r w:rsidRPr="00FA3856">
        <w:rPr>
          <w:szCs w:val="20"/>
        </w:rPr>
        <w:t>b.2) seguir os mesmos procedimentos referidos nas letras "a.2" e "a.3" acima mencionados;</w:t>
      </w:r>
    </w:p>
    <w:p w:rsidR="0073224C" w:rsidRPr="00FA3856" w:rsidRDefault="0073224C" w:rsidP="00A36A8B">
      <w:pPr>
        <w:ind w:left="160"/>
        <w:jc w:val="both"/>
        <w:rPr>
          <w:szCs w:val="20"/>
        </w:rPr>
      </w:pPr>
      <w:r w:rsidRPr="00FA3856">
        <w:rPr>
          <w:szCs w:val="20"/>
        </w:rPr>
        <w:t>c) Relativa a período encerrado a partir de 1</w:t>
      </w:r>
      <w:r w:rsidRPr="00FA3856">
        <w:rPr>
          <w:strike/>
          <w:szCs w:val="20"/>
        </w:rPr>
        <w:t>º</w:t>
      </w:r>
      <w:r w:rsidRPr="00FA3856">
        <w:rPr>
          <w:szCs w:val="20"/>
        </w:rPr>
        <w:t xml:space="preserve"> de janeiro de 1995:</w:t>
      </w:r>
    </w:p>
    <w:p w:rsidR="0073224C" w:rsidRPr="00FA3856" w:rsidRDefault="0073224C" w:rsidP="004255D7">
      <w:pPr>
        <w:ind w:left="160" w:firstLine="548"/>
        <w:jc w:val="both"/>
        <w:rPr>
          <w:szCs w:val="20"/>
        </w:rPr>
      </w:pPr>
      <w:r w:rsidRPr="00FA3856">
        <w:rPr>
          <w:szCs w:val="20"/>
        </w:rPr>
        <w:t xml:space="preserve">c.1) multiplicar a base de cálculo da contribuição social sobre o lucro líquido postergada pela alíquota da CSLL vigente no ano-calendário da postergação. </w:t>
      </w:r>
    </w:p>
    <w:p w:rsidR="004255D7" w:rsidRPr="00FA3856" w:rsidRDefault="004255D7" w:rsidP="00A36A8B">
      <w:pPr>
        <w:ind w:left="800"/>
        <w:jc w:val="both"/>
        <w:rPr>
          <w:b/>
          <w:bCs/>
          <w:szCs w:val="20"/>
        </w:rPr>
      </w:pPr>
    </w:p>
    <w:p w:rsidR="0073224C" w:rsidRPr="00FA3856" w:rsidRDefault="0073224C" w:rsidP="004255D7">
      <w:pPr>
        <w:ind w:left="800"/>
        <w:jc w:val="both"/>
        <w:rPr>
          <w:szCs w:val="20"/>
        </w:rPr>
      </w:pPr>
      <w:r w:rsidRPr="00FA3856">
        <w:rPr>
          <w:b/>
          <w:bCs/>
          <w:szCs w:val="20"/>
        </w:rPr>
        <w:t>Atenção:</w:t>
      </w:r>
      <w:r w:rsidR="004255D7" w:rsidRPr="00FA3856">
        <w:rPr>
          <w:szCs w:val="20"/>
        </w:rPr>
        <w:t xml:space="preserve"> </w:t>
      </w:r>
      <w:r w:rsidRPr="00FA3856">
        <w:rPr>
          <w:szCs w:val="20"/>
        </w:rPr>
        <w:t>Os juros de mora, calculados em função da variação da taxa Selic, cuja aplicação foi estabelecida para os tributos e contribuições federais de fato gerador ocorrido a partir de 01/01/1995, incidem também, a partir de 01/01/1997, sobre os tributos e contribuições de fato gerador ocorrido até 31/12/1994. Nesse caso, a pessoa jurídica deve considerar, para fins de cálculo dos juros de mora, o percentual acumulado de 1% ao mês até 31/12/1996 e a variação acumulada da taxa Selic a partir de 01/01/1997 até o último dia do mês anterior ao do pagamento e mais 1% no mês do efetivo pagamento.</w:t>
      </w:r>
    </w:p>
    <w:p w:rsidR="0073224C" w:rsidRPr="00FA3856" w:rsidRDefault="0073224C" w:rsidP="00A36A8B">
      <w:pPr>
        <w:ind w:left="800"/>
        <w:jc w:val="both"/>
        <w:rPr>
          <w:szCs w:val="20"/>
        </w:rPr>
      </w:pPr>
      <w:r w:rsidRPr="00FA3856">
        <w:rPr>
          <w:szCs w:val="20"/>
        </w:rPr>
        <w:t> </w:t>
      </w:r>
    </w:p>
    <w:p w:rsidR="0073224C" w:rsidRPr="00FA3856" w:rsidRDefault="004255D7" w:rsidP="00A36A8B">
      <w:pPr>
        <w:jc w:val="both"/>
        <w:rPr>
          <w:szCs w:val="20"/>
        </w:rPr>
      </w:pPr>
      <w:r w:rsidRPr="00FA3856">
        <w:rPr>
          <w:b/>
          <w:bCs/>
          <w:szCs w:val="20"/>
        </w:rPr>
        <w:t xml:space="preserve">XI) </w:t>
      </w:r>
      <w:r w:rsidR="0073224C" w:rsidRPr="00FA3856">
        <w:rPr>
          <w:b/>
          <w:bCs/>
          <w:szCs w:val="20"/>
        </w:rPr>
        <w:t>Bônus de Adimplência Fiscal</w:t>
      </w:r>
    </w:p>
    <w:p w:rsidR="0073224C" w:rsidRPr="00FA3856" w:rsidRDefault="0073224C" w:rsidP="00A36A8B">
      <w:pPr>
        <w:jc w:val="both"/>
        <w:rPr>
          <w:szCs w:val="20"/>
        </w:rPr>
      </w:pPr>
      <w:r w:rsidRPr="00FA3856">
        <w:rPr>
          <w:szCs w:val="20"/>
        </w:rPr>
        <w:t> </w:t>
      </w:r>
    </w:p>
    <w:p w:rsidR="0073224C" w:rsidRPr="00FA3856" w:rsidRDefault="0073224C" w:rsidP="004255D7">
      <w:pPr>
        <w:ind w:firstLine="708"/>
        <w:jc w:val="both"/>
        <w:rPr>
          <w:szCs w:val="20"/>
        </w:rPr>
      </w:pPr>
      <w:r w:rsidRPr="00FA3856">
        <w:rPr>
          <w:szCs w:val="20"/>
        </w:rPr>
        <w:t>A partir do ano-calendário de 2003, as pessoas jurídicas adimplentes com os tributos e contribuições administrados pela RFB nos últimos cinco anos-calendário, submetidas ao regime de tributação com base no lucro real ou presumido, podem se beneficiar do bônus de adimplência fiscal de que trata o art. 38 da Lei n</w:t>
      </w:r>
      <w:r w:rsidRPr="00FA3856">
        <w:rPr>
          <w:strike/>
          <w:szCs w:val="20"/>
        </w:rPr>
        <w:t>º</w:t>
      </w:r>
      <w:r w:rsidRPr="00FA3856">
        <w:rPr>
          <w:szCs w:val="20"/>
        </w:rPr>
        <w:t xml:space="preserve"> 10.637, de 2002.</w:t>
      </w:r>
    </w:p>
    <w:p w:rsidR="004255D7" w:rsidRPr="00FA3856" w:rsidRDefault="004255D7" w:rsidP="00A36A8B">
      <w:pPr>
        <w:jc w:val="both"/>
        <w:rPr>
          <w:szCs w:val="20"/>
        </w:rPr>
      </w:pPr>
    </w:p>
    <w:p w:rsidR="0073224C" w:rsidRPr="00FA3856" w:rsidRDefault="0073224C" w:rsidP="004255D7">
      <w:pPr>
        <w:ind w:firstLine="708"/>
        <w:jc w:val="both"/>
        <w:rPr>
          <w:szCs w:val="20"/>
        </w:rPr>
      </w:pPr>
      <w:r w:rsidRPr="00FA3856">
        <w:rPr>
          <w:szCs w:val="20"/>
        </w:rPr>
        <w:t>O período de cinco anos-calendário é computado por ano completo, inclusive aquele em relação ao qual se dá o aproveitamento do bônus.</w:t>
      </w:r>
    </w:p>
    <w:p w:rsidR="0073224C" w:rsidRPr="00FA3856" w:rsidRDefault="0073224C" w:rsidP="00A36A8B">
      <w:pPr>
        <w:jc w:val="both"/>
        <w:rPr>
          <w:szCs w:val="20"/>
        </w:rPr>
      </w:pPr>
      <w:r w:rsidRPr="00FA3856">
        <w:rPr>
          <w:szCs w:val="20"/>
        </w:rPr>
        <w:t> </w:t>
      </w:r>
    </w:p>
    <w:p w:rsidR="0073224C" w:rsidRPr="00FA3856" w:rsidRDefault="004255D7" w:rsidP="00A36A8B">
      <w:pPr>
        <w:jc w:val="both"/>
        <w:rPr>
          <w:szCs w:val="20"/>
        </w:rPr>
      </w:pPr>
      <w:r w:rsidRPr="00FA3856">
        <w:rPr>
          <w:b/>
          <w:bCs/>
          <w:szCs w:val="20"/>
        </w:rPr>
        <w:lastRenderedPageBreak/>
        <w:t xml:space="preserve">XI.1) </w:t>
      </w:r>
      <w:r w:rsidR="0073224C" w:rsidRPr="00FA3856">
        <w:rPr>
          <w:b/>
          <w:bCs/>
          <w:szCs w:val="20"/>
        </w:rPr>
        <w:t>Forma de Cálculo</w:t>
      </w:r>
    </w:p>
    <w:p w:rsidR="004255D7" w:rsidRPr="00FA3856" w:rsidRDefault="004255D7" w:rsidP="00A36A8B">
      <w:pPr>
        <w:jc w:val="both"/>
        <w:rPr>
          <w:szCs w:val="20"/>
        </w:rPr>
      </w:pPr>
    </w:p>
    <w:p w:rsidR="0073224C" w:rsidRPr="00FA3856" w:rsidRDefault="0073224C" w:rsidP="004255D7">
      <w:pPr>
        <w:ind w:firstLine="708"/>
        <w:jc w:val="both"/>
        <w:rPr>
          <w:szCs w:val="20"/>
        </w:rPr>
      </w:pPr>
      <w:r w:rsidRPr="00FA3856">
        <w:rPr>
          <w:szCs w:val="20"/>
        </w:rPr>
        <w:t>O bônus de adimplência fiscal é calculado aplicando-se o percentual de 1% (um por cento) sobre a base de cálculo da CSLL, determinada segundo as normas estabelecidas para as pessoas jurídicas submetidas ao regime de apuração com base no resultado presumido, relativamente ao ano-calendário em que for permitido seu aproveitamento.</w:t>
      </w:r>
    </w:p>
    <w:p w:rsidR="004255D7" w:rsidRPr="00FA3856" w:rsidRDefault="004255D7" w:rsidP="00A36A8B">
      <w:pPr>
        <w:jc w:val="both"/>
        <w:rPr>
          <w:szCs w:val="20"/>
        </w:rPr>
      </w:pPr>
    </w:p>
    <w:p w:rsidR="0073224C" w:rsidRPr="00FA3856" w:rsidRDefault="0073224C" w:rsidP="004255D7">
      <w:pPr>
        <w:ind w:firstLine="708"/>
        <w:jc w:val="both"/>
        <w:rPr>
          <w:szCs w:val="20"/>
        </w:rPr>
      </w:pPr>
      <w:r w:rsidRPr="00FA3856">
        <w:rPr>
          <w:szCs w:val="20"/>
        </w:rPr>
        <w:t>Na hipótese de período de apuração trimestral, o bônus é calculado em relação aos quatro trimestres do ano-calendário e pode ser deduzido da CSLL devida correspondente ao último trimestre.</w:t>
      </w:r>
    </w:p>
    <w:p w:rsidR="0073224C" w:rsidRPr="00FA3856" w:rsidRDefault="0073224C" w:rsidP="00A36A8B">
      <w:pPr>
        <w:jc w:val="both"/>
        <w:rPr>
          <w:szCs w:val="20"/>
        </w:rPr>
      </w:pPr>
      <w:r w:rsidRPr="00FA3856">
        <w:rPr>
          <w:szCs w:val="20"/>
        </w:rPr>
        <w:t> </w:t>
      </w:r>
    </w:p>
    <w:p w:rsidR="0073224C" w:rsidRPr="00FA3856" w:rsidRDefault="004255D7" w:rsidP="00A36A8B">
      <w:pPr>
        <w:jc w:val="both"/>
        <w:rPr>
          <w:szCs w:val="20"/>
        </w:rPr>
      </w:pPr>
      <w:r w:rsidRPr="00FA3856">
        <w:rPr>
          <w:b/>
          <w:bCs/>
          <w:szCs w:val="20"/>
        </w:rPr>
        <w:t>XI.2)</w:t>
      </w:r>
      <w:r w:rsidR="0073224C" w:rsidRPr="00FA3856">
        <w:rPr>
          <w:b/>
          <w:bCs/>
          <w:szCs w:val="20"/>
        </w:rPr>
        <w:t xml:space="preserve"> Utilização do Bônus</w:t>
      </w:r>
    </w:p>
    <w:p w:rsidR="004255D7" w:rsidRPr="00FA3856" w:rsidRDefault="004255D7" w:rsidP="00A36A8B">
      <w:pPr>
        <w:jc w:val="both"/>
        <w:rPr>
          <w:szCs w:val="20"/>
        </w:rPr>
      </w:pPr>
    </w:p>
    <w:p w:rsidR="004255D7" w:rsidRPr="00FA3856" w:rsidRDefault="0073224C" w:rsidP="004255D7">
      <w:pPr>
        <w:ind w:firstLine="708"/>
        <w:jc w:val="both"/>
        <w:rPr>
          <w:szCs w:val="20"/>
        </w:rPr>
      </w:pPr>
      <w:r w:rsidRPr="00FA3856">
        <w:rPr>
          <w:szCs w:val="20"/>
        </w:rPr>
        <w:t>O bônus pode ser utilizado deduzindo-se da CSLL devida:</w:t>
      </w:r>
    </w:p>
    <w:p w:rsidR="0073224C" w:rsidRPr="00FA3856" w:rsidRDefault="0073224C" w:rsidP="004255D7">
      <w:pPr>
        <w:ind w:left="708" w:firstLine="708"/>
        <w:jc w:val="both"/>
        <w:rPr>
          <w:szCs w:val="20"/>
        </w:rPr>
      </w:pPr>
      <w:r w:rsidRPr="00FA3856">
        <w:rPr>
          <w:szCs w:val="20"/>
        </w:rPr>
        <w:t>1) no último trimestre do ano-calendário, no caso de pessoa jurídica tributada com base no resultado ajustado trimestral ou resultado presumido;</w:t>
      </w:r>
    </w:p>
    <w:p w:rsidR="0073224C" w:rsidRPr="00FA3856" w:rsidRDefault="0073224C" w:rsidP="004255D7">
      <w:pPr>
        <w:ind w:left="708" w:firstLine="708"/>
        <w:jc w:val="both"/>
        <w:rPr>
          <w:szCs w:val="20"/>
        </w:rPr>
      </w:pPr>
      <w:r w:rsidRPr="00FA3856">
        <w:rPr>
          <w:szCs w:val="20"/>
        </w:rPr>
        <w:t>2) no ajuste anual, na hipótese de pessoa jurídica tributada com base no resultado ajustado anual.</w:t>
      </w:r>
    </w:p>
    <w:p w:rsidR="004255D7" w:rsidRPr="00FA3856" w:rsidRDefault="004255D7" w:rsidP="00A36A8B">
      <w:pPr>
        <w:jc w:val="both"/>
        <w:rPr>
          <w:szCs w:val="20"/>
        </w:rPr>
      </w:pPr>
    </w:p>
    <w:p w:rsidR="0073224C" w:rsidRPr="00FA3856" w:rsidRDefault="0073224C" w:rsidP="004255D7">
      <w:pPr>
        <w:ind w:firstLine="708"/>
        <w:jc w:val="both"/>
        <w:rPr>
          <w:szCs w:val="20"/>
        </w:rPr>
      </w:pPr>
      <w:r w:rsidRPr="00FA3856">
        <w:rPr>
          <w:szCs w:val="20"/>
        </w:rPr>
        <w:t>A parcela do bônus que não puder ser aproveitada no período de apuração a que se refere o parágrafo acima pode ser deduzida nos anos-calendário subsequentes, da seguinte forma:</w:t>
      </w:r>
    </w:p>
    <w:p w:rsidR="0073224C" w:rsidRPr="00FA3856" w:rsidRDefault="0073224C" w:rsidP="004255D7">
      <w:pPr>
        <w:ind w:left="708" w:firstLine="708"/>
        <w:jc w:val="both"/>
        <w:rPr>
          <w:szCs w:val="20"/>
        </w:rPr>
      </w:pPr>
      <w:r w:rsidRPr="00FA3856">
        <w:rPr>
          <w:szCs w:val="20"/>
        </w:rPr>
        <w:t>1) em cada trimestre, no caso de pessoa jurídica tributada com base no resultado ajustado trimestral ou presumido;</w:t>
      </w:r>
    </w:p>
    <w:p w:rsidR="0073224C" w:rsidRPr="00FA3856" w:rsidRDefault="0073224C" w:rsidP="004255D7">
      <w:pPr>
        <w:ind w:left="708" w:firstLine="708"/>
        <w:jc w:val="both"/>
        <w:rPr>
          <w:szCs w:val="20"/>
        </w:rPr>
      </w:pPr>
      <w:r w:rsidRPr="00FA3856">
        <w:rPr>
          <w:szCs w:val="20"/>
        </w:rPr>
        <w:t>2) no ajuste anual, no caso de pessoa jurídica tributada com base no resultado ajustado anual.</w:t>
      </w:r>
    </w:p>
    <w:p w:rsidR="004255D7" w:rsidRPr="00FA3856" w:rsidRDefault="004255D7" w:rsidP="00A36A8B">
      <w:pPr>
        <w:ind w:left="720"/>
        <w:jc w:val="both"/>
        <w:rPr>
          <w:b/>
          <w:bCs/>
          <w:szCs w:val="20"/>
        </w:rPr>
      </w:pPr>
    </w:p>
    <w:p w:rsidR="0073224C" w:rsidRPr="00FA3856" w:rsidRDefault="0073224C" w:rsidP="004255D7">
      <w:pPr>
        <w:ind w:left="720"/>
        <w:jc w:val="both"/>
        <w:rPr>
          <w:szCs w:val="20"/>
        </w:rPr>
      </w:pPr>
      <w:r w:rsidRPr="00FA3856">
        <w:rPr>
          <w:b/>
          <w:bCs/>
          <w:szCs w:val="20"/>
        </w:rPr>
        <w:t>Atenção:</w:t>
      </w:r>
      <w:r w:rsidR="004255D7" w:rsidRPr="00FA3856">
        <w:rPr>
          <w:szCs w:val="20"/>
        </w:rPr>
        <w:t xml:space="preserve"> </w:t>
      </w:r>
      <w:r w:rsidRPr="00FA3856">
        <w:rPr>
          <w:szCs w:val="20"/>
        </w:rPr>
        <w:t>É vedado o ressarcimento ou a compensação distinta da referida neste subitem.</w:t>
      </w:r>
    </w:p>
    <w:p w:rsidR="0073224C" w:rsidRPr="00FA3856" w:rsidRDefault="0073224C" w:rsidP="00A36A8B">
      <w:pPr>
        <w:jc w:val="both"/>
        <w:rPr>
          <w:szCs w:val="20"/>
        </w:rPr>
      </w:pPr>
      <w:r w:rsidRPr="00FA3856">
        <w:rPr>
          <w:szCs w:val="20"/>
        </w:rPr>
        <w:t> </w:t>
      </w:r>
    </w:p>
    <w:p w:rsidR="0073224C" w:rsidRPr="00FA3856" w:rsidRDefault="004255D7" w:rsidP="00A36A8B">
      <w:pPr>
        <w:jc w:val="both"/>
        <w:rPr>
          <w:szCs w:val="20"/>
        </w:rPr>
      </w:pPr>
      <w:r w:rsidRPr="00FA3856">
        <w:rPr>
          <w:b/>
          <w:bCs/>
          <w:szCs w:val="20"/>
        </w:rPr>
        <w:t>IX.3)</w:t>
      </w:r>
      <w:r w:rsidR="0073224C" w:rsidRPr="00FA3856">
        <w:rPr>
          <w:b/>
          <w:bCs/>
          <w:szCs w:val="20"/>
        </w:rPr>
        <w:t xml:space="preserve"> Pessoas Jurídicas Impedidas</w:t>
      </w:r>
    </w:p>
    <w:p w:rsidR="004255D7" w:rsidRPr="00FA3856" w:rsidRDefault="004255D7" w:rsidP="00A36A8B">
      <w:pPr>
        <w:jc w:val="both"/>
        <w:rPr>
          <w:szCs w:val="20"/>
        </w:rPr>
      </w:pPr>
    </w:p>
    <w:p w:rsidR="0073224C" w:rsidRPr="00FA3856" w:rsidRDefault="0073224C" w:rsidP="004255D7">
      <w:pPr>
        <w:ind w:firstLine="708"/>
        <w:jc w:val="both"/>
        <w:rPr>
          <w:szCs w:val="20"/>
        </w:rPr>
      </w:pPr>
      <w:r w:rsidRPr="00FA3856">
        <w:rPr>
          <w:szCs w:val="20"/>
        </w:rPr>
        <w:t>Não faz jus ao bônus a pessoa jurídica que, nos últimos cinco anos-calendário, se enquadre em qualquer das seguintes hipóteses, em relação aos tributos e contribuições administrados pela RFB:</w:t>
      </w:r>
    </w:p>
    <w:p w:rsidR="0073224C" w:rsidRPr="00FA3856" w:rsidRDefault="0073224C" w:rsidP="004255D7">
      <w:pPr>
        <w:ind w:left="708" w:firstLine="708"/>
        <w:jc w:val="both"/>
        <w:rPr>
          <w:szCs w:val="20"/>
        </w:rPr>
      </w:pPr>
      <w:r w:rsidRPr="00FA3856">
        <w:rPr>
          <w:szCs w:val="20"/>
        </w:rPr>
        <w:t>1) lançamento de ofício;</w:t>
      </w:r>
    </w:p>
    <w:p w:rsidR="0073224C" w:rsidRPr="00FA3856" w:rsidRDefault="0073224C" w:rsidP="004255D7">
      <w:pPr>
        <w:ind w:left="708" w:firstLine="708"/>
        <w:jc w:val="both"/>
        <w:rPr>
          <w:szCs w:val="20"/>
        </w:rPr>
      </w:pPr>
      <w:r w:rsidRPr="00FA3856">
        <w:rPr>
          <w:szCs w:val="20"/>
        </w:rPr>
        <w:t>2) débitos com exigibilidade suspensa;</w:t>
      </w:r>
    </w:p>
    <w:p w:rsidR="0073224C" w:rsidRPr="00FA3856" w:rsidRDefault="0073224C" w:rsidP="004255D7">
      <w:pPr>
        <w:ind w:left="708" w:firstLine="708"/>
        <w:jc w:val="both"/>
        <w:rPr>
          <w:szCs w:val="20"/>
        </w:rPr>
      </w:pPr>
      <w:r w:rsidRPr="00FA3856">
        <w:rPr>
          <w:szCs w:val="20"/>
        </w:rPr>
        <w:t>3) inscrição em dívida ativa;</w:t>
      </w:r>
    </w:p>
    <w:p w:rsidR="0073224C" w:rsidRPr="00FA3856" w:rsidRDefault="0073224C" w:rsidP="004255D7">
      <w:pPr>
        <w:ind w:left="708" w:firstLine="708"/>
        <w:jc w:val="both"/>
        <w:rPr>
          <w:szCs w:val="20"/>
        </w:rPr>
      </w:pPr>
      <w:r w:rsidRPr="00FA3856">
        <w:rPr>
          <w:szCs w:val="20"/>
        </w:rPr>
        <w:t>4) recolhimentos ou pagamentos em atraso;</w:t>
      </w:r>
    </w:p>
    <w:p w:rsidR="0073224C" w:rsidRPr="00FA3856" w:rsidRDefault="0073224C" w:rsidP="004255D7">
      <w:pPr>
        <w:ind w:left="708" w:firstLine="708"/>
        <w:jc w:val="both"/>
        <w:rPr>
          <w:szCs w:val="20"/>
        </w:rPr>
      </w:pPr>
      <w:r w:rsidRPr="00FA3856">
        <w:rPr>
          <w:szCs w:val="20"/>
        </w:rPr>
        <w:t>5) falta ou atraso no cumprimento de obrigação acessória.</w:t>
      </w:r>
    </w:p>
    <w:p w:rsidR="004255D7" w:rsidRPr="00FA3856" w:rsidRDefault="004255D7" w:rsidP="00A36A8B">
      <w:pPr>
        <w:jc w:val="both"/>
        <w:rPr>
          <w:szCs w:val="20"/>
        </w:rPr>
      </w:pPr>
    </w:p>
    <w:p w:rsidR="0073224C" w:rsidRPr="00FA3856" w:rsidRDefault="0073224C" w:rsidP="004255D7">
      <w:pPr>
        <w:ind w:firstLine="708"/>
        <w:jc w:val="both"/>
        <w:rPr>
          <w:szCs w:val="20"/>
        </w:rPr>
      </w:pPr>
      <w:r w:rsidRPr="00FA3856">
        <w:rPr>
          <w:szCs w:val="20"/>
        </w:rPr>
        <w:t>Na hipótese de decisão definitiva, na esfera administrativa ou judicial, que implique desoneração integral da pessoa jurídica, as restrições referidas nos itens 1 e 2 serão desconsideradas desde a origem. Neste caso, a pessoa jurídica pode calcular, a partir do ano-calendário em que obteve a decisão definitiva, o bônus em relação aos anos-calendário em que estava impedida de deduzi-lo.</w:t>
      </w:r>
    </w:p>
    <w:p w:rsidR="0073224C" w:rsidRPr="00FA3856" w:rsidRDefault="0073224C" w:rsidP="00A36A8B">
      <w:pPr>
        <w:jc w:val="both"/>
        <w:rPr>
          <w:szCs w:val="20"/>
        </w:rPr>
      </w:pPr>
      <w:r w:rsidRPr="00FA3856">
        <w:rPr>
          <w:szCs w:val="20"/>
        </w:rPr>
        <w:t> </w:t>
      </w:r>
    </w:p>
    <w:p w:rsidR="0073224C" w:rsidRPr="00FA3856" w:rsidRDefault="004255D7" w:rsidP="00A36A8B">
      <w:pPr>
        <w:jc w:val="both"/>
        <w:rPr>
          <w:szCs w:val="20"/>
        </w:rPr>
      </w:pPr>
      <w:r w:rsidRPr="00FA3856">
        <w:rPr>
          <w:b/>
          <w:bCs/>
          <w:szCs w:val="20"/>
        </w:rPr>
        <w:t>XI.4)</w:t>
      </w:r>
      <w:r w:rsidR="0073224C" w:rsidRPr="00FA3856">
        <w:rPr>
          <w:b/>
          <w:bCs/>
          <w:szCs w:val="20"/>
        </w:rPr>
        <w:t xml:space="preserve"> Multas</w:t>
      </w:r>
    </w:p>
    <w:p w:rsidR="004255D7" w:rsidRPr="00FA3856" w:rsidRDefault="004255D7" w:rsidP="00A36A8B">
      <w:pPr>
        <w:jc w:val="both"/>
        <w:rPr>
          <w:szCs w:val="20"/>
        </w:rPr>
      </w:pPr>
    </w:p>
    <w:p w:rsidR="0073224C" w:rsidRPr="00FA3856" w:rsidRDefault="0073224C" w:rsidP="004255D7">
      <w:pPr>
        <w:ind w:firstLine="708"/>
        <w:jc w:val="both"/>
        <w:rPr>
          <w:szCs w:val="20"/>
        </w:rPr>
      </w:pPr>
      <w:r w:rsidRPr="00FA3856">
        <w:rPr>
          <w:szCs w:val="20"/>
        </w:rPr>
        <w:t>A utilização indevida do bônus implica a imposição das seguintes multas calculadas sobre o valor da CSLL que deixar de ser recolhida em razão da dedução indevida do bônus:</w:t>
      </w:r>
    </w:p>
    <w:p w:rsidR="0073224C" w:rsidRPr="00FA3856" w:rsidRDefault="0073224C" w:rsidP="004255D7">
      <w:pPr>
        <w:ind w:left="708" w:firstLine="708"/>
        <w:jc w:val="both"/>
        <w:rPr>
          <w:szCs w:val="20"/>
        </w:rPr>
      </w:pPr>
      <w:r w:rsidRPr="00FA3856">
        <w:rPr>
          <w:szCs w:val="20"/>
        </w:rPr>
        <w:t xml:space="preserve">1) 150% (cento e </w:t>
      </w:r>
      <w:r w:rsidR="00B5790B" w:rsidRPr="00FA3856">
        <w:rPr>
          <w:szCs w:val="20"/>
        </w:rPr>
        <w:t>cinquenta</w:t>
      </w:r>
      <w:r w:rsidRPr="00FA3856">
        <w:rPr>
          <w:szCs w:val="20"/>
        </w:rPr>
        <w:t xml:space="preserve"> por cento);</w:t>
      </w:r>
    </w:p>
    <w:p w:rsidR="0073224C" w:rsidRPr="00FA3856" w:rsidRDefault="0073224C" w:rsidP="004255D7">
      <w:pPr>
        <w:ind w:left="708" w:firstLine="708"/>
        <w:jc w:val="both"/>
        <w:rPr>
          <w:szCs w:val="20"/>
        </w:rPr>
      </w:pPr>
      <w:r w:rsidRPr="00FA3856">
        <w:rPr>
          <w:szCs w:val="20"/>
        </w:rPr>
        <w:t>2) 225% (duzentos e vinte e cinco por cento), nos casos de não atendimento pelo sujeito passivo, no prazo marcado, de intimação para prestar esclarecimentos.</w:t>
      </w:r>
    </w:p>
    <w:p w:rsidR="0073224C" w:rsidRPr="00FA3856" w:rsidRDefault="0073224C" w:rsidP="00A36A8B">
      <w:pPr>
        <w:jc w:val="both"/>
        <w:rPr>
          <w:szCs w:val="20"/>
        </w:rPr>
      </w:pPr>
      <w:r w:rsidRPr="00FA3856">
        <w:rPr>
          <w:szCs w:val="20"/>
        </w:rPr>
        <w:t> </w:t>
      </w:r>
    </w:p>
    <w:p w:rsidR="004255D7" w:rsidRPr="00FA3856" w:rsidRDefault="004255D7" w:rsidP="00A36A8B">
      <w:pPr>
        <w:jc w:val="both"/>
        <w:rPr>
          <w:b/>
          <w:bCs/>
          <w:szCs w:val="20"/>
        </w:rPr>
      </w:pPr>
    </w:p>
    <w:p w:rsidR="004255D7" w:rsidRPr="00FA3856" w:rsidRDefault="004255D7" w:rsidP="00A36A8B">
      <w:pPr>
        <w:jc w:val="both"/>
        <w:rPr>
          <w:b/>
          <w:bCs/>
          <w:szCs w:val="20"/>
        </w:rPr>
      </w:pPr>
    </w:p>
    <w:p w:rsidR="004255D7" w:rsidRPr="00FA3856" w:rsidRDefault="004255D7" w:rsidP="00A36A8B">
      <w:pPr>
        <w:jc w:val="both"/>
        <w:rPr>
          <w:b/>
          <w:bCs/>
          <w:szCs w:val="20"/>
        </w:rPr>
      </w:pPr>
    </w:p>
    <w:p w:rsidR="0073224C" w:rsidRPr="00FA3856" w:rsidRDefault="004255D7" w:rsidP="00A36A8B">
      <w:pPr>
        <w:jc w:val="both"/>
        <w:rPr>
          <w:szCs w:val="20"/>
        </w:rPr>
      </w:pPr>
      <w:r w:rsidRPr="00FA3856">
        <w:rPr>
          <w:b/>
          <w:bCs/>
          <w:szCs w:val="20"/>
        </w:rPr>
        <w:lastRenderedPageBreak/>
        <w:t xml:space="preserve">XI.5) </w:t>
      </w:r>
      <w:r w:rsidR="0073224C" w:rsidRPr="00FA3856">
        <w:rPr>
          <w:b/>
          <w:bCs/>
          <w:szCs w:val="20"/>
        </w:rPr>
        <w:t>Contabilização</w:t>
      </w:r>
    </w:p>
    <w:p w:rsidR="004255D7" w:rsidRPr="00FA3856" w:rsidRDefault="004255D7" w:rsidP="00A36A8B">
      <w:pPr>
        <w:jc w:val="both"/>
        <w:rPr>
          <w:szCs w:val="20"/>
        </w:rPr>
      </w:pPr>
    </w:p>
    <w:p w:rsidR="0073224C" w:rsidRPr="00FA3856" w:rsidRDefault="0073224C" w:rsidP="004255D7">
      <w:pPr>
        <w:ind w:firstLine="708"/>
        <w:jc w:val="both"/>
        <w:rPr>
          <w:szCs w:val="20"/>
        </w:rPr>
      </w:pPr>
      <w:r w:rsidRPr="00FA3856">
        <w:rPr>
          <w:szCs w:val="20"/>
        </w:rPr>
        <w:t>O bônus deve ser registrado na contabilidade da pessoa jurídica beneficiária, observando-se o seguinte:</w:t>
      </w:r>
    </w:p>
    <w:p w:rsidR="0073224C" w:rsidRPr="00FA3856" w:rsidRDefault="0073224C" w:rsidP="004255D7">
      <w:pPr>
        <w:ind w:left="708" w:firstLine="708"/>
        <w:jc w:val="both"/>
        <w:rPr>
          <w:szCs w:val="20"/>
        </w:rPr>
      </w:pPr>
      <w:r w:rsidRPr="00FA3856">
        <w:rPr>
          <w:szCs w:val="20"/>
        </w:rPr>
        <w:t>1) na aquisição do direito, a débito de conta de Ativo Circulante e a crédito de Lucros ou Prejuízos Acumulados;</w:t>
      </w:r>
    </w:p>
    <w:p w:rsidR="0073224C" w:rsidRPr="00FA3856" w:rsidRDefault="0073224C" w:rsidP="004255D7">
      <w:pPr>
        <w:ind w:left="708" w:firstLine="708"/>
        <w:jc w:val="both"/>
        <w:rPr>
          <w:szCs w:val="20"/>
        </w:rPr>
      </w:pPr>
      <w:r w:rsidRPr="00FA3856">
        <w:rPr>
          <w:szCs w:val="20"/>
        </w:rPr>
        <w:t>2) na utilização, a débito da provisão para pagamento da CSLL e a crédito da conta de Ativo Circulante referida no item 1 acima.</w:t>
      </w:r>
    </w:p>
    <w:p w:rsidR="004255D7" w:rsidRPr="00FA3856" w:rsidRDefault="004255D7" w:rsidP="004255D7">
      <w:pPr>
        <w:ind w:left="708" w:firstLine="708"/>
        <w:jc w:val="both"/>
        <w:rPr>
          <w:szCs w:val="20"/>
        </w:rPr>
      </w:pPr>
    </w:p>
    <w:p w:rsidR="00AB6137" w:rsidRPr="00FA3856" w:rsidRDefault="00AB6137" w:rsidP="00867F54">
      <w:pPr>
        <w:pStyle w:val="Ttulo4"/>
      </w:pPr>
      <w:bookmarkStart w:id="188" w:name="_Toc479713714"/>
      <w:r w:rsidRPr="00FA3856">
        <w:t>Registro L001: Abertura do Bloco L</w:t>
      </w:r>
      <w:bookmarkEnd w:id="188"/>
    </w:p>
    <w:p w:rsidR="00AD60FF" w:rsidRDefault="00AD60FF" w:rsidP="00AB6137">
      <w:pPr>
        <w:pStyle w:val="PSDS-MarcadoresNivel2"/>
        <w:numPr>
          <w:ilvl w:val="0"/>
          <w:numId w:val="0"/>
        </w:numPr>
        <w:rPr>
          <w:rFonts w:ascii="Times New Roman" w:hAnsi="Times New Roman"/>
        </w:rPr>
      </w:pPr>
    </w:p>
    <w:p w:rsidR="00AD60FF" w:rsidRDefault="00B35FA3" w:rsidP="00AD60FF">
      <w:pPr>
        <w:pStyle w:val="PSDS-MarcadoresNivel2"/>
        <w:numPr>
          <w:ilvl w:val="0"/>
          <w:numId w:val="0"/>
        </w:numPr>
        <w:jc w:val="center"/>
        <w:rPr>
          <w:rFonts w:ascii="Times New Roman" w:hAnsi="Times New Roman"/>
        </w:rPr>
      </w:pPr>
      <w:r>
        <w:rPr>
          <w:rFonts w:ascii="Times New Roman" w:hAnsi="Times New Roman"/>
        </w:rPr>
        <w:object w:dxaOrig="13200" w:dyaOrig="3090">
          <v:shape id="_x0000_i1654" type="#_x0000_t75" style="width:663.75pt;height:158.25pt" o:ole="">
            <v:imagedata r:id="rId225" o:title=""/>
          </v:shape>
          <o:OLEObject Type="Link" ProgID="Excel.Sheet.12" ShapeID="_x0000_i1654" DrawAspect="Content" r:id="rId226" UpdateMode="Always">
            <o:LinkType>EnhancedMetaFile</o:LinkType>
            <o:LockedField>false</o:LockedField>
          </o:OLEObject>
        </w:object>
      </w:r>
    </w:p>
    <w:p w:rsidR="00AD60FF" w:rsidRDefault="00AD60FF" w:rsidP="00AB6137">
      <w:pPr>
        <w:pStyle w:val="PSDS-MarcadoresNivel2"/>
        <w:numPr>
          <w:ilvl w:val="0"/>
          <w:numId w:val="0"/>
        </w:numPr>
        <w:rPr>
          <w:rFonts w:ascii="Times New Roman" w:hAnsi="Times New Roman"/>
        </w:rPr>
      </w:pPr>
    </w:p>
    <w:p w:rsidR="00AB6137" w:rsidRPr="00FA3856" w:rsidRDefault="00AB6137" w:rsidP="00AB6137">
      <w:pPr>
        <w:pStyle w:val="PSDS-MarcadoresNivel2"/>
        <w:numPr>
          <w:ilvl w:val="0"/>
          <w:numId w:val="0"/>
        </w:numPr>
        <w:rPr>
          <w:rFonts w:ascii="Times New Roman" w:hAnsi="Times New Roman"/>
        </w:rPr>
      </w:pPr>
      <w:r w:rsidRPr="00FA3856">
        <w:rPr>
          <w:rFonts w:ascii="Times New Roman" w:hAnsi="Times New Roman"/>
        </w:rPr>
        <w:t>I – Regras de Validação do Registro:</w:t>
      </w:r>
    </w:p>
    <w:p w:rsidR="00AB6137" w:rsidRPr="00FA3856" w:rsidRDefault="00AB6137" w:rsidP="00AB6137">
      <w:pPr>
        <w:pStyle w:val="PSDS-MarcadoresNivel2"/>
        <w:numPr>
          <w:ilvl w:val="0"/>
          <w:numId w:val="0"/>
        </w:numPr>
        <w:rPr>
          <w:rFonts w:ascii="Times New Roman" w:hAnsi="Times New Roman"/>
        </w:rPr>
      </w:pPr>
    </w:p>
    <w:p w:rsidR="00AB6137" w:rsidRPr="00FA3856" w:rsidRDefault="007D0E74" w:rsidP="00AB6137">
      <w:pPr>
        <w:pStyle w:val="Corpodetexto"/>
        <w:ind w:left="708" w:firstLine="12"/>
        <w:rPr>
          <w:rFonts w:ascii="Times New Roman" w:hAnsi="Times New Roman"/>
          <w:szCs w:val="20"/>
        </w:rPr>
      </w:pPr>
      <w:hyperlink r:id="rId227" w:anchor="REGRA_OCORRENCIA_UNITARIA_ARQ" w:history="1">
        <w:r w:rsidR="00AB6137" w:rsidRPr="00FA3856">
          <w:rPr>
            <w:rFonts w:ascii="Times New Roman" w:hAnsi="Times New Roman"/>
            <w:b/>
            <w:szCs w:val="20"/>
          </w:rPr>
          <w:t>REGRA_OCORRENCIA_UNITARIA_ARQ</w:t>
        </w:r>
      </w:hyperlink>
      <w:r w:rsidR="00AB6137" w:rsidRPr="00FA3856">
        <w:rPr>
          <w:rFonts w:ascii="Times New Roman" w:hAnsi="Times New Roman"/>
          <w:color w:val="auto"/>
          <w:szCs w:val="20"/>
        </w:rPr>
        <w:t xml:space="preserve">: </w:t>
      </w:r>
      <w:r w:rsidR="00AB6137" w:rsidRPr="00FA3856">
        <w:rPr>
          <w:rFonts w:ascii="Times New Roman" w:hAnsi="Times New Roman"/>
          <w:szCs w:val="20"/>
        </w:rPr>
        <w:t>Verifica se registro ocorreu apenas uma vez por arq</w:t>
      </w:r>
      <w:r w:rsidR="00BC760B" w:rsidRPr="00FA3856">
        <w:rPr>
          <w:rFonts w:ascii="Times New Roman" w:hAnsi="Times New Roman"/>
          <w:szCs w:val="20"/>
        </w:rPr>
        <w:t>uivo, considerando a chave “L</w:t>
      </w:r>
      <w:r w:rsidR="00AB6137" w:rsidRPr="00FA3856">
        <w:rPr>
          <w:rFonts w:ascii="Times New Roman" w:hAnsi="Times New Roman"/>
          <w:szCs w:val="20"/>
        </w:rPr>
        <w:t>001” (REG). Se a regra não for cumprida, a ECF gera um erro.</w:t>
      </w:r>
    </w:p>
    <w:p w:rsidR="00AB6137" w:rsidRPr="00FA3856" w:rsidRDefault="00AB6137" w:rsidP="00AB6137">
      <w:pPr>
        <w:pStyle w:val="Corpodetexto"/>
        <w:ind w:left="708" w:firstLine="12"/>
        <w:rPr>
          <w:rFonts w:ascii="Times New Roman" w:hAnsi="Times New Roman"/>
          <w:b/>
          <w:szCs w:val="20"/>
        </w:rPr>
      </w:pPr>
    </w:p>
    <w:p w:rsidR="00342F1D" w:rsidRDefault="007F6CEC" w:rsidP="007F6CEC">
      <w:pPr>
        <w:pStyle w:val="Corpodetexto"/>
        <w:rPr>
          <w:rFonts w:ascii="Times New Roman" w:hAnsi="Times New Roman"/>
          <w:b/>
          <w:color w:val="002060"/>
          <w:szCs w:val="20"/>
        </w:rPr>
      </w:pPr>
      <w:r w:rsidRPr="00FA3856">
        <w:rPr>
          <w:rFonts w:ascii="Times New Roman" w:hAnsi="Times New Roman"/>
          <w:b/>
          <w:color w:val="002060"/>
          <w:szCs w:val="20"/>
        </w:rPr>
        <w:t xml:space="preserve">Exemplo de Preenchimento: </w:t>
      </w:r>
    </w:p>
    <w:p w:rsidR="00342F1D" w:rsidRDefault="00342F1D" w:rsidP="007F6CEC">
      <w:pPr>
        <w:pStyle w:val="Corpodetexto"/>
        <w:rPr>
          <w:rFonts w:ascii="Times New Roman" w:hAnsi="Times New Roman"/>
          <w:b/>
          <w:color w:val="002060"/>
          <w:szCs w:val="20"/>
        </w:rPr>
      </w:pPr>
    </w:p>
    <w:p w:rsidR="007F6CEC" w:rsidRPr="00FA3856" w:rsidRDefault="007F6CEC" w:rsidP="007F6CEC">
      <w:pPr>
        <w:pStyle w:val="Corpodetexto"/>
        <w:rPr>
          <w:rFonts w:ascii="Times New Roman" w:hAnsi="Times New Roman"/>
          <w:b/>
          <w:color w:val="002060"/>
          <w:szCs w:val="20"/>
        </w:rPr>
      </w:pPr>
      <w:r w:rsidRPr="00FA3856">
        <w:rPr>
          <w:rFonts w:ascii="Times New Roman" w:hAnsi="Times New Roman"/>
          <w:b/>
          <w:color w:val="002060"/>
          <w:szCs w:val="20"/>
        </w:rPr>
        <w:t>|L001|0|</w:t>
      </w:r>
    </w:p>
    <w:p w:rsidR="007F6CEC" w:rsidRPr="00FA3856" w:rsidRDefault="007F6CEC" w:rsidP="007F6CEC">
      <w:pPr>
        <w:pStyle w:val="Corpodetexto"/>
        <w:ind w:firstLine="708"/>
        <w:rPr>
          <w:rFonts w:ascii="Times New Roman" w:hAnsi="Times New Roman"/>
          <w:color w:val="002060"/>
          <w:szCs w:val="20"/>
        </w:rPr>
      </w:pPr>
      <w:r w:rsidRPr="00FA3856">
        <w:rPr>
          <w:rFonts w:ascii="Times New Roman" w:hAnsi="Times New Roman"/>
          <w:color w:val="002060"/>
          <w:szCs w:val="20"/>
        </w:rPr>
        <w:t>|L001|: Identificação do tipo do registro.</w:t>
      </w:r>
    </w:p>
    <w:p w:rsidR="007F6CEC" w:rsidRPr="00FA3856" w:rsidRDefault="007F6CEC" w:rsidP="007F6CEC">
      <w:pPr>
        <w:pStyle w:val="Corpodetexto"/>
        <w:ind w:firstLine="708"/>
        <w:rPr>
          <w:rFonts w:ascii="Times New Roman" w:hAnsi="Times New Roman"/>
          <w:color w:val="002060"/>
          <w:szCs w:val="20"/>
        </w:rPr>
      </w:pPr>
      <w:r w:rsidRPr="00FA3856">
        <w:rPr>
          <w:rFonts w:ascii="Times New Roman" w:hAnsi="Times New Roman"/>
          <w:color w:val="002060"/>
          <w:szCs w:val="20"/>
        </w:rPr>
        <w:t>|0|: Indica que o bloco possui dados informados.</w:t>
      </w:r>
    </w:p>
    <w:p w:rsidR="00982029" w:rsidRPr="00FA3856" w:rsidRDefault="00982029">
      <w:pPr>
        <w:rPr>
          <w:b/>
          <w:bCs/>
          <w:color w:val="0000FF"/>
          <w:szCs w:val="20"/>
        </w:rPr>
      </w:pPr>
      <w:r w:rsidRPr="00FA3856">
        <w:rPr>
          <w:color w:val="0000FF"/>
          <w:szCs w:val="20"/>
        </w:rPr>
        <w:br w:type="page"/>
      </w:r>
    </w:p>
    <w:p w:rsidR="00AB6137" w:rsidRPr="00FA3856" w:rsidRDefault="00AB6137" w:rsidP="00867F54">
      <w:pPr>
        <w:pStyle w:val="Ttulo4"/>
      </w:pPr>
      <w:bookmarkStart w:id="189" w:name="_Toc479713715"/>
      <w:r w:rsidRPr="00FA3856">
        <w:lastRenderedPageBreak/>
        <w:t>Registro L030: Identificação dos Períodos e Formas de Apuração do IRPJ e da CSLL no Ano-Calendário</w:t>
      </w:r>
      <w:bookmarkEnd w:id="189"/>
    </w:p>
    <w:p w:rsidR="00AB6137" w:rsidRPr="00FA3856" w:rsidRDefault="00AB6137" w:rsidP="00AB6137">
      <w:pPr>
        <w:jc w:val="both"/>
        <w:rPr>
          <w:szCs w:val="20"/>
        </w:rPr>
      </w:pPr>
    </w:p>
    <w:p w:rsidR="00AB6137" w:rsidRPr="00FA3856" w:rsidRDefault="00AB6137" w:rsidP="00AB6137">
      <w:pPr>
        <w:pStyle w:val="PSDS-CorpodeTexto0"/>
        <w:ind w:firstLine="708"/>
        <w:rPr>
          <w:rFonts w:ascii="Times New Roman" w:hAnsi="Times New Roman"/>
        </w:rPr>
      </w:pPr>
      <w:r w:rsidRPr="00FA3856">
        <w:rPr>
          <w:rFonts w:ascii="Times New Roman" w:hAnsi="Times New Roman"/>
        </w:rPr>
        <w:t>Registro de identificação dos períodos da escrituração necessários conforme definições de parâmetros do Bloco 0.</w:t>
      </w:r>
    </w:p>
    <w:p w:rsidR="000108E6" w:rsidRDefault="000108E6" w:rsidP="00982029">
      <w:pPr>
        <w:pStyle w:val="PSDS-MarcadoresNivel2"/>
        <w:numPr>
          <w:ilvl w:val="0"/>
          <w:numId w:val="0"/>
        </w:numPr>
        <w:rPr>
          <w:rFonts w:ascii="Times New Roman" w:hAnsi="Times New Roman"/>
        </w:rPr>
      </w:pPr>
    </w:p>
    <w:p w:rsidR="000108E6" w:rsidRDefault="00B35FA3" w:rsidP="000108E6">
      <w:pPr>
        <w:pStyle w:val="PSDS-MarcadoresNivel2"/>
        <w:numPr>
          <w:ilvl w:val="0"/>
          <w:numId w:val="0"/>
        </w:numPr>
        <w:jc w:val="center"/>
        <w:rPr>
          <w:rFonts w:ascii="Times New Roman" w:hAnsi="Times New Roman"/>
        </w:rPr>
      </w:pPr>
      <w:r>
        <w:rPr>
          <w:rFonts w:ascii="Times New Roman" w:hAnsi="Times New Roman"/>
        </w:rPr>
        <w:object w:dxaOrig="13935" w:dyaOrig="2700">
          <v:shape id="_x0000_i1656" type="#_x0000_t75" style="width:691.5pt;height:129.75pt" o:ole="">
            <v:imagedata r:id="rId228" o:title=""/>
          </v:shape>
          <o:OLEObject Type="Link" ProgID="Excel.Sheet.12" ShapeID="_x0000_i1656" DrawAspect="Content" r:id="rId229" UpdateMode="Always">
            <o:LinkType>EnhancedMetaFile</o:LinkType>
            <o:LockedField>false</o:LockedField>
          </o:OLEObject>
        </w:object>
      </w:r>
    </w:p>
    <w:p w:rsidR="000108E6" w:rsidRDefault="000108E6">
      <w:pPr>
        <w:spacing w:after="200" w:line="276" w:lineRule="auto"/>
        <w:rPr>
          <w:b/>
          <w:szCs w:val="20"/>
        </w:rPr>
      </w:pPr>
      <w:r>
        <w:br w:type="page"/>
      </w:r>
    </w:p>
    <w:p w:rsidR="000108E6" w:rsidRDefault="00B35FA3" w:rsidP="000108E6">
      <w:pPr>
        <w:pStyle w:val="PSDS-MarcadoresNivel2"/>
        <w:numPr>
          <w:ilvl w:val="0"/>
          <w:numId w:val="0"/>
        </w:numPr>
        <w:jc w:val="center"/>
        <w:rPr>
          <w:rFonts w:ascii="Times New Roman" w:hAnsi="Times New Roman"/>
        </w:rPr>
      </w:pPr>
      <w:r>
        <w:rPr>
          <w:rFonts w:ascii="Times New Roman" w:hAnsi="Times New Roman"/>
        </w:rPr>
        <w:object w:dxaOrig="13935" w:dyaOrig="7680">
          <v:shape id="_x0000_i1658" type="#_x0000_t75" style="width:691.5pt;height:388.5pt" o:ole="">
            <v:imagedata r:id="rId230" o:title=""/>
          </v:shape>
          <o:OLEObject Type="Link" ProgID="Excel.Sheet.12" ShapeID="_x0000_i1658" DrawAspect="Content" r:id="rId231" UpdateMode="Always">
            <o:LinkType>EnhancedMetaFile</o:LinkType>
            <o:LockedField>false</o:LockedField>
          </o:OLEObject>
        </w:object>
      </w:r>
    </w:p>
    <w:p w:rsidR="000108E6" w:rsidRDefault="000108E6">
      <w:pPr>
        <w:spacing w:after="200" w:line="276" w:lineRule="auto"/>
        <w:rPr>
          <w:b/>
          <w:szCs w:val="20"/>
        </w:rPr>
      </w:pPr>
      <w:r>
        <w:br w:type="page"/>
      </w:r>
    </w:p>
    <w:p w:rsidR="00982029" w:rsidRPr="00FA3856" w:rsidRDefault="00982029" w:rsidP="00982029">
      <w:pPr>
        <w:pStyle w:val="PSDS-MarcadoresNivel2"/>
        <w:numPr>
          <w:ilvl w:val="0"/>
          <w:numId w:val="0"/>
        </w:numPr>
        <w:rPr>
          <w:rFonts w:ascii="Times New Roman" w:hAnsi="Times New Roman"/>
        </w:rPr>
      </w:pPr>
      <w:r w:rsidRPr="00FA3856">
        <w:rPr>
          <w:rFonts w:ascii="Times New Roman" w:hAnsi="Times New Roman"/>
        </w:rPr>
        <w:lastRenderedPageBreak/>
        <w:t>I – Regras de Validação do Registro:</w:t>
      </w:r>
    </w:p>
    <w:p w:rsidR="00982029" w:rsidRPr="00FA3856" w:rsidRDefault="00982029" w:rsidP="00982029">
      <w:pPr>
        <w:pStyle w:val="Corpodetexto"/>
        <w:ind w:left="708" w:firstLine="12"/>
        <w:rPr>
          <w:rFonts w:ascii="Times New Roman" w:hAnsi="Times New Roman"/>
          <w:szCs w:val="20"/>
        </w:rPr>
      </w:pPr>
    </w:p>
    <w:p w:rsidR="00982029" w:rsidRPr="00FA3856" w:rsidRDefault="007D0E74" w:rsidP="00982029">
      <w:pPr>
        <w:pStyle w:val="Corpodetexto"/>
        <w:ind w:left="708" w:firstLine="12"/>
        <w:rPr>
          <w:rFonts w:ascii="Times New Roman" w:hAnsi="Times New Roman"/>
          <w:szCs w:val="20"/>
        </w:rPr>
      </w:pPr>
      <w:hyperlink r:id="rId232" w:anchor="REGRA_OCORRENCIA_UNITARIA_ARQ" w:history="1">
        <w:r w:rsidR="00982029" w:rsidRPr="00FA3856">
          <w:rPr>
            <w:rFonts w:ascii="Times New Roman" w:hAnsi="Times New Roman"/>
            <w:b/>
            <w:szCs w:val="20"/>
          </w:rPr>
          <w:t>REGRA_</w:t>
        </w:r>
      </w:hyperlink>
      <w:r w:rsidR="00982029" w:rsidRPr="00FA3856">
        <w:rPr>
          <w:rFonts w:ascii="Times New Roman" w:hAnsi="Times New Roman"/>
          <w:b/>
          <w:szCs w:val="20"/>
        </w:rPr>
        <w:t>DUPLICIDADE_DESPREZADA</w:t>
      </w:r>
      <w:r w:rsidR="00982029" w:rsidRPr="00FA3856">
        <w:rPr>
          <w:rFonts w:ascii="Times New Roman" w:hAnsi="Times New Roman"/>
          <w:color w:val="auto"/>
          <w:szCs w:val="20"/>
        </w:rPr>
        <w:t xml:space="preserve">: </w:t>
      </w:r>
      <w:r w:rsidR="00982029" w:rsidRPr="00FA3856">
        <w:rPr>
          <w:rFonts w:ascii="Times New Roman" w:hAnsi="Times New Roman"/>
          <w:szCs w:val="20"/>
        </w:rPr>
        <w:t>Verifica se o registro já foi importado anteriormente, de acordo com a chave e os registros pais. Se a regra não for cumprida, a ECF gera um aviso.</w:t>
      </w:r>
    </w:p>
    <w:p w:rsidR="00982029" w:rsidRPr="00FA3856" w:rsidRDefault="00982029" w:rsidP="00982029">
      <w:pPr>
        <w:pStyle w:val="Corpodetexto"/>
        <w:ind w:left="708" w:firstLine="12"/>
        <w:rPr>
          <w:rFonts w:ascii="Times New Roman" w:hAnsi="Times New Roman"/>
          <w:szCs w:val="20"/>
        </w:rPr>
      </w:pPr>
    </w:p>
    <w:p w:rsidR="00982029" w:rsidRPr="00FA3856" w:rsidRDefault="007D0E74" w:rsidP="00982029">
      <w:pPr>
        <w:pStyle w:val="Corpodetexto"/>
        <w:ind w:left="708" w:firstLine="12"/>
        <w:rPr>
          <w:rFonts w:ascii="Times New Roman" w:hAnsi="Times New Roman"/>
          <w:b/>
          <w:szCs w:val="20"/>
        </w:rPr>
      </w:pPr>
      <w:hyperlink r:id="rId233" w:anchor="REGRA_OCORRENCIA_UNITARIA_ARQ" w:history="1">
        <w:r w:rsidR="00982029" w:rsidRPr="00FA3856">
          <w:rPr>
            <w:rFonts w:ascii="Times New Roman" w:hAnsi="Times New Roman"/>
            <w:b/>
            <w:szCs w:val="20"/>
          </w:rPr>
          <w:t>REGRA_</w:t>
        </w:r>
      </w:hyperlink>
      <w:r w:rsidR="00982029" w:rsidRPr="00FA3856">
        <w:rPr>
          <w:rFonts w:ascii="Times New Roman" w:hAnsi="Times New Roman"/>
          <w:b/>
          <w:szCs w:val="20"/>
        </w:rPr>
        <w:t>PERIODO_DESPREZADO</w:t>
      </w:r>
      <w:r w:rsidR="00982029" w:rsidRPr="00FA3856">
        <w:rPr>
          <w:rFonts w:ascii="Times New Roman" w:hAnsi="Times New Roman"/>
          <w:color w:val="auto"/>
          <w:szCs w:val="20"/>
        </w:rPr>
        <w:t xml:space="preserve">: </w:t>
      </w:r>
      <w:r w:rsidR="00982029" w:rsidRPr="00FA3856">
        <w:rPr>
          <w:rFonts w:ascii="Times New Roman" w:hAnsi="Times New Roman"/>
          <w:szCs w:val="20"/>
        </w:rPr>
        <w:t>Verifica se a linha deste período existe no arquivo de importação, mas não deve ser importado, pois as datas não compatíveis com o período da ECF. Gera um aviso.</w:t>
      </w:r>
    </w:p>
    <w:p w:rsidR="00982029" w:rsidRPr="00FA3856" w:rsidRDefault="00982029" w:rsidP="00982029">
      <w:pPr>
        <w:pStyle w:val="Corpodetexto"/>
        <w:ind w:left="708" w:firstLine="12"/>
        <w:rPr>
          <w:rFonts w:ascii="Times New Roman" w:hAnsi="Times New Roman"/>
          <w:b/>
          <w:szCs w:val="20"/>
        </w:rPr>
      </w:pPr>
    </w:p>
    <w:p w:rsidR="00AB6137" w:rsidRPr="00FA3856" w:rsidRDefault="007D0E74" w:rsidP="00982029">
      <w:pPr>
        <w:pStyle w:val="Corpodetexto"/>
        <w:ind w:left="708" w:firstLine="12"/>
        <w:rPr>
          <w:rFonts w:ascii="Times New Roman" w:hAnsi="Times New Roman"/>
          <w:b/>
          <w:szCs w:val="20"/>
        </w:rPr>
      </w:pPr>
      <w:hyperlink r:id="rId234" w:anchor="REGRA_OCORRENCIA_UNITARIA_ARQ" w:history="1">
        <w:r w:rsidR="00982029" w:rsidRPr="00FA3856">
          <w:rPr>
            <w:rFonts w:ascii="Times New Roman" w:hAnsi="Times New Roman"/>
            <w:b/>
            <w:szCs w:val="20"/>
          </w:rPr>
          <w:t>REGRA_</w:t>
        </w:r>
      </w:hyperlink>
      <w:r w:rsidR="00982029" w:rsidRPr="00FA3856">
        <w:rPr>
          <w:rFonts w:ascii="Times New Roman" w:hAnsi="Times New Roman"/>
          <w:b/>
          <w:szCs w:val="20"/>
        </w:rPr>
        <w:t>LINHA_ALTERADA</w:t>
      </w:r>
      <w:r w:rsidR="00982029" w:rsidRPr="00FA3856">
        <w:rPr>
          <w:rFonts w:ascii="Times New Roman" w:hAnsi="Times New Roman"/>
          <w:color w:val="auto"/>
          <w:szCs w:val="20"/>
        </w:rPr>
        <w:t xml:space="preserve">: </w:t>
      </w:r>
      <w:r w:rsidR="00982029" w:rsidRPr="00FA3856">
        <w:rPr>
          <w:rFonts w:ascii="Times New Roman" w:hAnsi="Times New Roman"/>
          <w:szCs w:val="20"/>
        </w:rPr>
        <w:t>Verifica se a linha deste período existe no arquivo de importação, mas deve ser alterada, pois as datas não compatíveis com o período da ECF. Gera um aviso.</w:t>
      </w:r>
    </w:p>
    <w:p w:rsidR="00982029" w:rsidRPr="00FA3856" w:rsidRDefault="00982029" w:rsidP="001A6818">
      <w:pPr>
        <w:pStyle w:val="Corpodetexto"/>
        <w:rPr>
          <w:rFonts w:ascii="Times New Roman" w:hAnsi="Times New Roman"/>
          <w:b/>
          <w:szCs w:val="20"/>
        </w:rPr>
      </w:pPr>
    </w:p>
    <w:p w:rsidR="00342F1D" w:rsidRDefault="0059179C" w:rsidP="001A6818">
      <w:pPr>
        <w:pStyle w:val="Corpodetexto"/>
        <w:rPr>
          <w:rFonts w:ascii="Times New Roman" w:hAnsi="Times New Roman"/>
          <w:b/>
          <w:color w:val="002060"/>
          <w:szCs w:val="20"/>
        </w:rPr>
      </w:pPr>
      <w:r w:rsidRPr="00FA3856">
        <w:rPr>
          <w:rFonts w:ascii="Times New Roman" w:hAnsi="Times New Roman"/>
          <w:b/>
          <w:color w:val="002060"/>
          <w:szCs w:val="20"/>
        </w:rPr>
        <w:t xml:space="preserve">Exemplo de Preenchimento: </w:t>
      </w:r>
    </w:p>
    <w:p w:rsidR="00342F1D" w:rsidRDefault="00342F1D" w:rsidP="001A6818">
      <w:pPr>
        <w:pStyle w:val="Corpodetexto"/>
        <w:rPr>
          <w:rFonts w:ascii="Times New Roman" w:hAnsi="Times New Roman"/>
          <w:b/>
          <w:color w:val="002060"/>
          <w:szCs w:val="20"/>
        </w:rPr>
      </w:pPr>
    </w:p>
    <w:p w:rsidR="001A6818" w:rsidRPr="00FA3856" w:rsidRDefault="001A6818" w:rsidP="001A6818">
      <w:pPr>
        <w:pStyle w:val="Corpodetexto"/>
        <w:rPr>
          <w:rFonts w:ascii="Times New Roman" w:hAnsi="Times New Roman"/>
          <w:b/>
          <w:color w:val="002060"/>
          <w:szCs w:val="20"/>
        </w:rPr>
      </w:pPr>
      <w:r w:rsidRPr="00FA3856">
        <w:rPr>
          <w:rFonts w:ascii="Times New Roman" w:hAnsi="Times New Roman"/>
          <w:b/>
          <w:color w:val="002060"/>
          <w:szCs w:val="20"/>
        </w:rPr>
        <w:t>|L030|01012014|31032014|T01|</w:t>
      </w:r>
    </w:p>
    <w:p w:rsidR="001A6818" w:rsidRPr="00FA3856" w:rsidRDefault="001A6818" w:rsidP="001A6818">
      <w:pPr>
        <w:pStyle w:val="Corpodetexto"/>
        <w:ind w:firstLine="708"/>
        <w:rPr>
          <w:rFonts w:ascii="Times New Roman" w:hAnsi="Times New Roman"/>
          <w:color w:val="002060"/>
          <w:szCs w:val="20"/>
        </w:rPr>
      </w:pPr>
      <w:r w:rsidRPr="00FA3856">
        <w:rPr>
          <w:rFonts w:ascii="Times New Roman" w:hAnsi="Times New Roman"/>
          <w:color w:val="002060"/>
          <w:szCs w:val="20"/>
        </w:rPr>
        <w:t>|L030|: Identificação do tipo do registro.</w:t>
      </w:r>
    </w:p>
    <w:p w:rsidR="001A6818" w:rsidRPr="00FA3856" w:rsidRDefault="001A6818" w:rsidP="001A6818">
      <w:pPr>
        <w:pStyle w:val="Corpodetexto"/>
        <w:ind w:firstLine="708"/>
        <w:rPr>
          <w:rFonts w:ascii="Times New Roman" w:hAnsi="Times New Roman"/>
          <w:color w:val="002060"/>
          <w:szCs w:val="20"/>
        </w:rPr>
      </w:pPr>
      <w:r w:rsidRPr="00FA3856">
        <w:rPr>
          <w:rFonts w:ascii="Times New Roman" w:hAnsi="Times New Roman"/>
          <w:color w:val="002060"/>
          <w:szCs w:val="20"/>
        </w:rPr>
        <w:t>|01012014|: Data de início do período (01/01/2014).</w:t>
      </w:r>
    </w:p>
    <w:p w:rsidR="001A6818" w:rsidRPr="00FA3856" w:rsidRDefault="001A6818" w:rsidP="001A6818">
      <w:pPr>
        <w:pStyle w:val="Corpodetexto"/>
        <w:ind w:firstLine="708"/>
        <w:rPr>
          <w:rFonts w:ascii="Times New Roman" w:hAnsi="Times New Roman"/>
          <w:color w:val="002060"/>
          <w:szCs w:val="20"/>
        </w:rPr>
      </w:pPr>
      <w:r w:rsidRPr="00FA3856">
        <w:rPr>
          <w:rFonts w:ascii="Times New Roman" w:hAnsi="Times New Roman"/>
          <w:color w:val="002060"/>
          <w:szCs w:val="20"/>
        </w:rPr>
        <w:t>|31032014|: Data de fim do período (31/03/2014).</w:t>
      </w:r>
    </w:p>
    <w:p w:rsidR="001A6818" w:rsidRPr="00FA3856" w:rsidRDefault="001A6818" w:rsidP="001A6818">
      <w:pPr>
        <w:pStyle w:val="Corpodetexto"/>
        <w:ind w:firstLine="708"/>
        <w:rPr>
          <w:rFonts w:ascii="Times New Roman" w:hAnsi="Times New Roman"/>
          <w:color w:val="002060"/>
          <w:szCs w:val="20"/>
        </w:rPr>
      </w:pPr>
      <w:r w:rsidRPr="00FA3856">
        <w:rPr>
          <w:rFonts w:ascii="Times New Roman" w:hAnsi="Times New Roman"/>
          <w:color w:val="002060"/>
          <w:szCs w:val="20"/>
        </w:rPr>
        <w:t>|T01|: Período de apuração (T01 = 1</w:t>
      </w:r>
      <w:r w:rsidRPr="00FA3856">
        <w:rPr>
          <w:rFonts w:ascii="Times New Roman" w:hAnsi="Times New Roman"/>
          <w:color w:val="002060"/>
          <w:szCs w:val="20"/>
          <w:u w:val="single"/>
          <w:vertAlign w:val="superscript"/>
        </w:rPr>
        <w:t>o</w:t>
      </w:r>
      <w:r w:rsidRPr="00FA3856">
        <w:rPr>
          <w:rFonts w:ascii="Times New Roman" w:hAnsi="Times New Roman"/>
          <w:color w:val="002060"/>
          <w:szCs w:val="20"/>
        </w:rPr>
        <w:t xml:space="preserve"> Trimestre).</w:t>
      </w:r>
    </w:p>
    <w:p w:rsidR="001A6818" w:rsidRPr="00FA3856" w:rsidRDefault="001A6818" w:rsidP="001A6818">
      <w:pPr>
        <w:pStyle w:val="Corpodetexto"/>
        <w:rPr>
          <w:rFonts w:ascii="Times New Roman" w:hAnsi="Times New Roman"/>
          <w:b/>
          <w:szCs w:val="20"/>
        </w:rPr>
      </w:pPr>
    </w:p>
    <w:p w:rsidR="00982029" w:rsidRPr="00FA3856" w:rsidRDefault="00982029">
      <w:pPr>
        <w:rPr>
          <w:b/>
          <w:bCs/>
          <w:color w:val="0000FF"/>
          <w:szCs w:val="20"/>
        </w:rPr>
      </w:pPr>
      <w:r w:rsidRPr="00FA3856">
        <w:rPr>
          <w:color w:val="0000FF"/>
          <w:szCs w:val="20"/>
        </w:rPr>
        <w:br w:type="page"/>
      </w:r>
    </w:p>
    <w:p w:rsidR="00816B4B" w:rsidRPr="00FA3856" w:rsidRDefault="00816B4B" w:rsidP="00867F54">
      <w:pPr>
        <w:pStyle w:val="Ttulo4"/>
      </w:pPr>
      <w:bookmarkStart w:id="190" w:name="_Toc479713716"/>
      <w:r w:rsidRPr="00FA3856">
        <w:lastRenderedPageBreak/>
        <w:t>Registro L100: Balanço Patrimonial</w:t>
      </w:r>
      <w:bookmarkEnd w:id="190"/>
    </w:p>
    <w:p w:rsidR="00816B4B" w:rsidRPr="00FA3856" w:rsidRDefault="00816B4B" w:rsidP="00816B4B">
      <w:pPr>
        <w:jc w:val="both"/>
        <w:rPr>
          <w:szCs w:val="20"/>
        </w:rPr>
      </w:pPr>
    </w:p>
    <w:p w:rsidR="000008D9" w:rsidRDefault="00816B4B" w:rsidP="00130982">
      <w:pPr>
        <w:ind w:firstLine="708"/>
        <w:rPr>
          <w:szCs w:val="20"/>
          <w:lang w:val="pt-PT"/>
        </w:rPr>
      </w:pPr>
      <w:r w:rsidRPr="00FA3856">
        <w:rPr>
          <w:szCs w:val="20"/>
        </w:rPr>
        <w:t>Apresenta o balanço patrimonial com base nas contas referenciais para o período de apuração.</w:t>
      </w:r>
      <w:r w:rsidR="00E30685" w:rsidRPr="00FA3856">
        <w:rPr>
          <w:szCs w:val="20"/>
        </w:rPr>
        <w:t xml:space="preserve"> </w:t>
      </w:r>
      <w:r w:rsidR="0095043D" w:rsidRPr="00FA3856">
        <w:rPr>
          <w:szCs w:val="20"/>
          <w:lang w:val="pt-PT"/>
        </w:rPr>
        <w:t>O saldo inicial pode ser replicado do registro E010/E015 ou preenchido.</w:t>
      </w:r>
      <w:r w:rsidR="00E30685" w:rsidRPr="00FA3856">
        <w:rPr>
          <w:szCs w:val="20"/>
        </w:rPr>
        <w:t xml:space="preserve"> </w:t>
      </w:r>
      <w:r w:rsidR="0095043D" w:rsidRPr="00FA3856">
        <w:rPr>
          <w:szCs w:val="20"/>
          <w:lang w:val="pt-PT"/>
        </w:rPr>
        <w:t xml:space="preserve">O saldo final será recuperado do registro K155/K156. </w:t>
      </w:r>
      <w:r w:rsidR="009F59E4" w:rsidRPr="009F59E4">
        <w:rPr>
          <w:b/>
          <w:szCs w:val="20"/>
          <w:highlight w:val="yellow"/>
          <w:lang w:val="pt-PT"/>
        </w:rPr>
        <w:t>Os saldos finais do registro L100 não são editáveis.</w:t>
      </w:r>
    </w:p>
    <w:p w:rsidR="002E0590" w:rsidRDefault="00B35FA3" w:rsidP="002E0590">
      <w:pPr>
        <w:jc w:val="center"/>
        <w:rPr>
          <w:b/>
          <w:szCs w:val="20"/>
          <w:lang w:val="pt-PT"/>
        </w:rPr>
      </w:pPr>
      <w:r>
        <w:rPr>
          <w:b/>
          <w:szCs w:val="20"/>
          <w:lang w:val="pt-PT"/>
        </w:rPr>
        <w:object w:dxaOrig="14295" w:dyaOrig="8100">
          <v:shape id="_x0000_i1660" type="#_x0000_t75" style="width:712.5pt;height:411pt" o:ole="">
            <v:imagedata r:id="rId235" o:title=""/>
          </v:shape>
          <o:OLEObject Type="Link" ProgID="Excel.Sheet.12" ShapeID="_x0000_i1660" DrawAspect="Content" r:id="rId236" UpdateMode="Always">
            <o:LinkType>EnhancedMetaFile</o:LinkType>
            <o:LockedField>false</o:LockedField>
          </o:OLEObject>
        </w:object>
      </w:r>
    </w:p>
    <w:p w:rsidR="000008D9" w:rsidRDefault="000008D9" w:rsidP="000008D9">
      <w:pPr>
        <w:jc w:val="center"/>
        <w:rPr>
          <w:b/>
          <w:szCs w:val="20"/>
          <w:lang w:val="pt-PT"/>
        </w:rPr>
      </w:pPr>
    </w:p>
    <w:p w:rsidR="000008D9" w:rsidRDefault="00B35FA3" w:rsidP="002E0590">
      <w:pPr>
        <w:jc w:val="center"/>
        <w:rPr>
          <w:b/>
          <w:szCs w:val="20"/>
          <w:lang w:val="pt-PT"/>
        </w:rPr>
      </w:pPr>
      <w:r>
        <w:rPr>
          <w:b/>
          <w:szCs w:val="20"/>
          <w:lang w:val="pt-PT"/>
        </w:rPr>
        <w:object w:dxaOrig="14295" w:dyaOrig="1890">
          <v:shape id="_x0000_i1662" type="#_x0000_t75" style="width:712.5pt;height:98.25pt" o:ole="">
            <v:imagedata r:id="rId237" o:title=""/>
          </v:shape>
          <o:OLEObject Type="Link" ProgID="Excel.Sheet.12" ShapeID="_x0000_i1662" DrawAspect="Content" r:id="rId238" UpdateMode="Always">
            <o:LinkType>EnhancedMetaFile</o:LinkType>
            <o:LockedField>false</o:LockedField>
          </o:OLEObject>
        </w:object>
      </w:r>
    </w:p>
    <w:p w:rsidR="002E0590" w:rsidRDefault="002E0590" w:rsidP="00816B4B">
      <w:pPr>
        <w:rPr>
          <w:b/>
          <w:szCs w:val="20"/>
          <w:lang w:val="pt-PT"/>
        </w:rPr>
      </w:pPr>
    </w:p>
    <w:p w:rsidR="00AB6137" w:rsidRPr="00FA3856" w:rsidRDefault="00E30685" w:rsidP="00816B4B">
      <w:pPr>
        <w:rPr>
          <w:b/>
          <w:szCs w:val="20"/>
          <w:lang w:val="pt-PT"/>
        </w:rPr>
      </w:pPr>
      <w:r w:rsidRPr="00FA3856">
        <w:rPr>
          <w:b/>
          <w:szCs w:val="20"/>
          <w:lang w:val="pt-PT"/>
        </w:rPr>
        <w:t>I – Regras de Validação do Registro:</w:t>
      </w:r>
    </w:p>
    <w:p w:rsidR="00E30685" w:rsidRPr="00FA3856" w:rsidRDefault="00E30685" w:rsidP="00816B4B">
      <w:pPr>
        <w:rPr>
          <w:b/>
          <w:szCs w:val="20"/>
          <w:lang w:val="pt-PT"/>
        </w:rPr>
      </w:pPr>
    </w:p>
    <w:p w:rsidR="00982029" w:rsidRPr="00FA3856" w:rsidRDefault="005D3CB5" w:rsidP="005D3CB5">
      <w:pPr>
        <w:pStyle w:val="Corpodetexto"/>
        <w:ind w:left="708"/>
        <w:rPr>
          <w:rFonts w:ascii="Times New Roman" w:hAnsi="Times New Roman"/>
          <w:szCs w:val="20"/>
        </w:rPr>
      </w:pPr>
      <w:r w:rsidRPr="00FA3856">
        <w:rPr>
          <w:rFonts w:ascii="Times New Roman" w:hAnsi="Times New Roman"/>
          <w:b/>
          <w:bCs/>
          <w:szCs w:val="20"/>
        </w:rPr>
        <w:t xml:space="preserve">REGRA_COMPARA_CONT_REF_SI: </w:t>
      </w:r>
      <w:r w:rsidRPr="00FA3856">
        <w:rPr>
          <w:rFonts w:ascii="Times New Roman" w:hAnsi="Times New Roman"/>
          <w:bCs/>
          <w:szCs w:val="20"/>
        </w:rPr>
        <w:t xml:space="preserve">Verifica se </w:t>
      </w:r>
      <w:r w:rsidR="0059179C" w:rsidRPr="00FA3856">
        <w:rPr>
          <w:rFonts w:ascii="Times New Roman" w:hAnsi="Times New Roman"/>
          <w:bCs/>
          <w:szCs w:val="20"/>
        </w:rPr>
        <w:t>L100.</w:t>
      </w:r>
      <w:r w:rsidR="00375E89" w:rsidRPr="00FA3856">
        <w:rPr>
          <w:rFonts w:ascii="Times New Roman" w:hAnsi="Times New Roman"/>
          <w:color w:val="auto"/>
          <w:szCs w:val="20"/>
        </w:rPr>
        <w:t xml:space="preserve">VAL_CTA_REF_INI </w:t>
      </w:r>
      <w:r w:rsidRPr="00FA3856">
        <w:rPr>
          <w:rFonts w:ascii="Times New Roman" w:hAnsi="Times New Roman"/>
          <w:color w:val="auto"/>
          <w:szCs w:val="20"/>
        </w:rPr>
        <w:t>é igual ao somatório dos saldos iniciais dos registros K155 “pai” da mesma conta referencial, multiplicado pelo saldo final do registro K156 dividido pelo saldo final do registro K155 “pai”.</w:t>
      </w:r>
      <w:r w:rsidRPr="00FA3856">
        <w:rPr>
          <w:rFonts w:ascii="Times New Roman" w:hAnsi="Times New Roman"/>
          <w:szCs w:val="20"/>
        </w:rPr>
        <w:t xml:space="preserve"> </w:t>
      </w:r>
      <w:r w:rsidR="00982029" w:rsidRPr="00FA3856">
        <w:rPr>
          <w:rFonts w:ascii="Times New Roman" w:hAnsi="Times New Roman"/>
          <w:bCs/>
          <w:szCs w:val="20"/>
        </w:rPr>
        <w:t xml:space="preserve">Se </w:t>
      </w:r>
      <w:r w:rsidR="00982029" w:rsidRPr="00FA3856">
        <w:rPr>
          <w:rFonts w:ascii="Times New Roman" w:hAnsi="Times New Roman"/>
          <w:szCs w:val="20"/>
        </w:rPr>
        <w:t>a regra não for cumprida, a ECF gera um aviso.</w:t>
      </w:r>
    </w:p>
    <w:p w:rsidR="00982029" w:rsidRPr="00FA3856" w:rsidRDefault="00982029" w:rsidP="00982029">
      <w:pPr>
        <w:pStyle w:val="PSDS-CorpodeTexto0"/>
        <w:rPr>
          <w:rFonts w:ascii="Times New Roman" w:hAnsi="Times New Roman"/>
          <w:b/>
        </w:rPr>
      </w:pPr>
    </w:p>
    <w:p w:rsidR="00982029" w:rsidRPr="00FA3856" w:rsidRDefault="005D3CB5" w:rsidP="005D3CB5">
      <w:pPr>
        <w:pStyle w:val="PSDS-CorpodeTexto0"/>
        <w:ind w:left="708"/>
        <w:rPr>
          <w:rFonts w:ascii="Times New Roman" w:hAnsi="Times New Roman"/>
        </w:rPr>
      </w:pPr>
      <w:r w:rsidRPr="00FA3856">
        <w:rPr>
          <w:rFonts w:ascii="Times New Roman" w:hAnsi="Times New Roman"/>
          <w:b/>
          <w:lang w:val="pt-PT"/>
        </w:rPr>
        <w:t xml:space="preserve">REGRA_COMPARA_CONT_REF_SF: </w:t>
      </w:r>
      <w:r w:rsidRPr="00FA3856">
        <w:rPr>
          <w:rFonts w:ascii="Times New Roman" w:hAnsi="Times New Roman"/>
          <w:lang w:val="pt-PT"/>
        </w:rPr>
        <w:t xml:space="preserve">Verifica, para cada período da escrturação, se o somatório do saldo final do registro K156 é igual a  </w:t>
      </w:r>
      <w:r w:rsidR="0059179C" w:rsidRPr="00FA3856">
        <w:rPr>
          <w:rFonts w:ascii="Times New Roman" w:hAnsi="Times New Roman"/>
          <w:lang w:val="pt-PT"/>
        </w:rPr>
        <w:t>L100.</w:t>
      </w:r>
      <w:r w:rsidR="00375E89" w:rsidRPr="00FA3856">
        <w:rPr>
          <w:rFonts w:ascii="Times New Roman" w:hAnsi="Times New Roman"/>
        </w:rPr>
        <w:t>VAL_CTA_REF_INI</w:t>
      </w:r>
      <w:r w:rsidRPr="00FA3856">
        <w:rPr>
          <w:rFonts w:ascii="Times New Roman" w:hAnsi="Times New Roman"/>
        </w:rPr>
        <w:t xml:space="preserve">, para a mesma conta referencial. </w:t>
      </w:r>
      <w:r w:rsidRPr="00FA3856">
        <w:rPr>
          <w:rFonts w:ascii="Times New Roman" w:hAnsi="Times New Roman"/>
          <w:bCs/>
        </w:rPr>
        <w:t xml:space="preserve">Se </w:t>
      </w:r>
      <w:r w:rsidRPr="00FA3856">
        <w:rPr>
          <w:rFonts w:ascii="Times New Roman" w:hAnsi="Times New Roman"/>
        </w:rPr>
        <w:t>a regra não for cumprida, a ECF gera um aviso.</w:t>
      </w:r>
    </w:p>
    <w:p w:rsidR="00982029" w:rsidRPr="00FA3856" w:rsidRDefault="00982029" w:rsidP="00816B4B">
      <w:pPr>
        <w:rPr>
          <w:b/>
          <w:szCs w:val="20"/>
          <w:lang w:val="pt-PT"/>
        </w:rPr>
      </w:pPr>
    </w:p>
    <w:p w:rsidR="00D55017" w:rsidRDefault="007D0E74" w:rsidP="004E2017">
      <w:pPr>
        <w:pStyle w:val="Corpodetexto"/>
        <w:ind w:left="708"/>
        <w:rPr>
          <w:rFonts w:ascii="Times New Roman" w:hAnsi="Times New Roman"/>
          <w:szCs w:val="20"/>
        </w:rPr>
      </w:pPr>
      <w:hyperlink w:anchor="REGRA_COMPATIBILIDADE_R100_E010" w:history="1">
        <w:r w:rsidR="00E30685" w:rsidRPr="00FA3856">
          <w:rPr>
            <w:rStyle w:val="Hyperlink"/>
            <w:rFonts w:ascii="Times New Roman" w:hAnsi="Times New Roman"/>
            <w:b/>
            <w:color w:val="auto"/>
            <w:szCs w:val="20"/>
          </w:rPr>
          <w:t>REGRA_COMPATIBILIDADE_L100_E010</w:t>
        </w:r>
      </w:hyperlink>
      <w:r w:rsidR="00E30685" w:rsidRPr="00FA3856">
        <w:rPr>
          <w:rStyle w:val="Hyperlink"/>
          <w:rFonts w:ascii="Times New Roman" w:hAnsi="Times New Roman"/>
          <w:b/>
          <w:color w:val="auto"/>
          <w:szCs w:val="20"/>
        </w:rPr>
        <w:t>:</w:t>
      </w:r>
      <w:r w:rsidR="00D55017" w:rsidRPr="00FA3856">
        <w:rPr>
          <w:rStyle w:val="Hyperlink"/>
          <w:rFonts w:ascii="Times New Roman" w:hAnsi="Times New Roman"/>
          <w:b/>
          <w:color w:val="auto"/>
          <w:szCs w:val="20"/>
        </w:rPr>
        <w:t xml:space="preserve"> </w:t>
      </w:r>
      <w:r w:rsidR="00D55017" w:rsidRPr="00FA3856">
        <w:rPr>
          <w:rStyle w:val="Hyperlink"/>
          <w:rFonts w:ascii="Times New Roman" w:hAnsi="Times New Roman"/>
          <w:color w:val="auto"/>
          <w:szCs w:val="20"/>
        </w:rPr>
        <w:t>Verifica, se os cam</w:t>
      </w:r>
      <w:r w:rsidR="008C16B2" w:rsidRPr="00FA3856">
        <w:rPr>
          <w:rStyle w:val="Hyperlink"/>
          <w:rFonts w:ascii="Times New Roman" w:hAnsi="Times New Roman"/>
          <w:color w:val="auto"/>
          <w:szCs w:val="20"/>
        </w:rPr>
        <w:t>pos do registro L</w:t>
      </w:r>
      <w:r w:rsidR="00D55017" w:rsidRPr="00FA3856">
        <w:rPr>
          <w:rStyle w:val="Hyperlink"/>
          <w:rFonts w:ascii="Times New Roman" w:hAnsi="Times New Roman"/>
          <w:color w:val="auto"/>
          <w:szCs w:val="20"/>
        </w:rPr>
        <w:t xml:space="preserve">100, com algum valor maior que zero, são referenciados no registro E010. </w:t>
      </w:r>
      <w:r w:rsidR="00D55017" w:rsidRPr="00FA3856">
        <w:rPr>
          <w:rFonts w:ascii="Times New Roman" w:hAnsi="Times New Roman"/>
          <w:bCs/>
          <w:szCs w:val="20"/>
        </w:rPr>
        <w:t xml:space="preserve">Se </w:t>
      </w:r>
      <w:r w:rsidR="00D55017" w:rsidRPr="00FA3856">
        <w:rPr>
          <w:rFonts w:ascii="Times New Roman" w:hAnsi="Times New Roman"/>
          <w:szCs w:val="20"/>
        </w:rPr>
        <w:t>a regra não for cumprida, a ECF gera um aviso.</w:t>
      </w:r>
    </w:p>
    <w:p w:rsidR="005218C7" w:rsidRDefault="005218C7" w:rsidP="004E2017">
      <w:pPr>
        <w:pStyle w:val="Corpodetexto"/>
        <w:ind w:left="708"/>
        <w:rPr>
          <w:rFonts w:ascii="Times New Roman" w:hAnsi="Times New Roman"/>
          <w:szCs w:val="20"/>
        </w:rPr>
      </w:pPr>
    </w:p>
    <w:p w:rsidR="005218C7" w:rsidRPr="00FA3856" w:rsidRDefault="007D0E74" w:rsidP="005218C7">
      <w:pPr>
        <w:pStyle w:val="PSDS-CorpodeTexto0"/>
        <w:ind w:left="708"/>
        <w:jc w:val="both"/>
        <w:rPr>
          <w:rFonts w:ascii="Times New Roman" w:hAnsi="Times New Roman"/>
        </w:rPr>
      </w:pPr>
      <w:hyperlink w:anchor="REGRA_COMPATIBILIDADE_R100_E010" w:history="1">
        <w:r w:rsidR="005218C7">
          <w:rPr>
            <w:rStyle w:val="Hyperlink"/>
            <w:rFonts w:ascii="Times New Roman" w:hAnsi="Times New Roman"/>
            <w:b/>
            <w:color w:val="auto"/>
          </w:rPr>
          <w:t>REGRA_COMPATIBILIDADE_L</w:t>
        </w:r>
        <w:r w:rsidR="005218C7" w:rsidRPr="00FA3856">
          <w:rPr>
            <w:rStyle w:val="Hyperlink"/>
            <w:rFonts w:ascii="Times New Roman" w:hAnsi="Times New Roman"/>
            <w:b/>
            <w:color w:val="auto"/>
          </w:rPr>
          <w:t>100_E010</w:t>
        </w:r>
      </w:hyperlink>
      <w:r w:rsidR="005218C7" w:rsidRPr="00FA3856">
        <w:rPr>
          <w:rStyle w:val="Hyperlink"/>
          <w:rFonts w:ascii="Times New Roman" w:hAnsi="Times New Roman"/>
          <w:b/>
          <w:color w:val="auto"/>
        </w:rPr>
        <w:t xml:space="preserve">: </w:t>
      </w:r>
      <w:r w:rsidR="005218C7">
        <w:rPr>
          <w:rStyle w:val="Hyperlink"/>
          <w:rFonts w:ascii="Times New Roman" w:hAnsi="Times New Roman"/>
          <w:color w:val="auto"/>
        </w:rPr>
        <w:t>Verifica se o saldo inicial do primeiro período de apuração da escrituração é diferente dos saldos finais da ECF recuperada. O erro ocorre se (0010.FORMA_TRIB = “1”, “2”, “3” ou “4”) e 0010.HASH_ECF_ANTERIOR é diferente de vazio e L030.DT.INI é igual a 0000.DT_INI e (L100.</w:t>
      </w:r>
      <w:r w:rsidR="001B58FE">
        <w:rPr>
          <w:rStyle w:val="Hyperlink"/>
          <w:rFonts w:ascii="Times New Roman" w:hAnsi="Times New Roman"/>
          <w:color w:val="auto"/>
        </w:rPr>
        <w:t xml:space="preserve">VAL_CTA_REF_INI diferente de </w:t>
      </w:r>
      <w:r w:rsidR="005218C7">
        <w:rPr>
          <w:rStyle w:val="Hyperlink"/>
          <w:rFonts w:ascii="Times New Roman" w:hAnsi="Times New Roman"/>
          <w:color w:val="auto"/>
        </w:rPr>
        <w:t xml:space="preserve">zero e não for localizada a mesma conta referencial no registro E010 ou L100.VAL_CTA_REF_INI diferente de E010.VAL_CTA_REF ou L100.IND_VAL_CTA_REF_INI diferente de E010.IND_VAL_CTA_REF). </w:t>
      </w:r>
      <w:r w:rsidR="005218C7" w:rsidRPr="00FA3856">
        <w:rPr>
          <w:rFonts w:ascii="Times New Roman" w:hAnsi="Times New Roman"/>
          <w:bCs/>
        </w:rPr>
        <w:t xml:space="preserve">Se </w:t>
      </w:r>
      <w:r w:rsidR="005218C7" w:rsidRPr="00FA3856">
        <w:rPr>
          <w:rFonts w:ascii="Times New Roman" w:hAnsi="Times New Roman"/>
        </w:rPr>
        <w:t xml:space="preserve">a regra não for cumprida, a ECF gera um </w:t>
      </w:r>
      <w:r w:rsidR="005218C7">
        <w:rPr>
          <w:rFonts w:ascii="Times New Roman" w:hAnsi="Times New Roman"/>
        </w:rPr>
        <w:t>erro.</w:t>
      </w:r>
    </w:p>
    <w:p w:rsidR="00982029" w:rsidRPr="00FA3856" w:rsidRDefault="00982029" w:rsidP="00982029">
      <w:pPr>
        <w:pStyle w:val="Corpodetexto"/>
        <w:rPr>
          <w:rFonts w:ascii="Times New Roman" w:hAnsi="Times New Roman"/>
          <w:szCs w:val="20"/>
        </w:rPr>
      </w:pPr>
    </w:p>
    <w:p w:rsidR="00FE5D23" w:rsidRPr="00FA3856" w:rsidRDefault="007D0E74" w:rsidP="00FE5D23">
      <w:pPr>
        <w:pStyle w:val="Corpodetexto"/>
        <w:ind w:left="708" w:firstLine="12"/>
        <w:rPr>
          <w:rFonts w:ascii="Times New Roman" w:hAnsi="Times New Roman"/>
          <w:szCs w:val="20"/>
        </w:rPr>
      </w:pPr>
      <w:hyperlink r:id="rId239" w:anchor="REGRA_OCORRENCIA_UNITARIA_ARQ" w:history="1">
        <w:r w:rsidR="00FE5D23" w:rsidRPr="00FA3856">
          <w:rPr>
            <w:rFonts w:ascii="Times New Roman" w:hAnsi="Times New Roman"/>
            <w:b/>
            <w:szCs w:val="20"/>
          </w:rPr>
          <w:t>REGRA_</w:t>
        </w:r>
      </w:hyperlink>
      <w:r w:rsidR="00FE5D23" w:rsidRPr="00FA3856">
        <w:rPr>
          <w:rFonts w:ascii="Times New Roman" w:hAnsi="Times New Roman"/>
          <w:b/>
          <w:szCs w:val="20"/>
        </w:rPr>
        <w:t>DUPLICIDADE_DESPREZADA</w:t>
      </w:r>
      <w:r w:rsidR="00FE5D23" w:rsidRPr="00FA3856">
        <w:rPr>
          <w:rFonts w:ascii="Times New Roman" w:hAnsi="Times New Roman"/>
          <w:color w:val="auto"/>
          <w:szCs w:val="20"/>
        </w:rPr>
        <w:t xml:space="preserve">: </w:t>
      </w:r>
      <w:r w:rsidR="00FE5D23" w:rsidRPr="00FA3856">
        <w:rPr>
          <w:rFonts w:ascii="Times New Roman" w:hAnsi="Times New Roman"/>
          <w:szCs w:val="20"/>
        </w:rPr>
        <w:t>Verifica se o registro já foi importado anteriormente, de acordo com a chave e os registros pais. Se a regra não for cumprida, a ECF gera um aviso.</w:t>
      </w:r>
    </w:p>
    <w:p w:rsidR="00FE5D23" w:rsidRPr="00FA3856" w:rsidRDefault="00FE5D23" w:rsidP="00FE5D23">
      <w:pPr>
        <w:pStyle w:val="Corpodetexto"/>
        <w:ind w:left="708" w:firstLine="12"/>
        <w:rPr>
          <w:rFonts w:ascii="Times New Roman" w:hAnsi="Times New Roman"/>
          <w:szCs w:val="20"/>
        </w:rPr>
      </w:pPr>
    </w:p>
    <w:p w:rsidR="00FE5D23" w:rsidRPr="00FA3856" w:rsidRDefault="007D0E74" w:rsidP="00FE5D23">
      <w:pPr>
        <w:pStyle w:val="Corpodetexto"/>
        <w:ind w:left="708" w:firstLine="12"/>
        <w:rPr>
          <w:rFonts w:ascii="Times New Roman" w:hAnsi="Times New Roman"/>
          <w:szCs w:val="20"/>
        </w:rPr>
      </w:pPr>
      <w:hyperlink r:id="rId240" w:anchor="REGRA_OCORRENCIA_UNITARIA_ARQ" w:history="1">
        <w:r w:rsidR="00FE5D23" w:rsidRPr="00FA3856">
          <w:rPr>
            <w:rFonts w:ascii="Times New Roman" w:hAnsi="Times New Roman"/>
            <w:b/>
            <w:szCs w:val="20"/>
          </w:rPr>
          <w:t>REGRA_</w:t>
        </w:r>
      </w:hyperlink>
      <w:r w:rsidR="00FE5D23" w:rsidRPr="00FA3856">
        <w:rPr>
          <w:rFonts w:ascii="Times New Roman" w:hAnsi="Times New Roman"/>
          <w:b/>
          <w:szCs w:val="20"/>
        </w:rPr>
        <w:t>LINHA_DESPREZADA</w:t>
      </w:r>
      <w:r w:rsidR="00FE5D23" w:rsidRPr="00FA3856">
        <w:rPr>
          <w:rFonts w:ascii="Times New Roman" w:hAnsi="Times New Roman"/>
          <w:color w:val="auto"/>
          <w:szCs w:val="20"/>
        </w:rPr>
        <w:t xml:space="preserve">: </w:t>
      </w:r>
      <w:r w:rsidR="00FE5D23" w:rsidRPr="00FA3856">
        <w:rPr>
          <w:rFonts w:ascii="Times New Roman" w:hAnsi="Times New Roman"/>
          <w:szCs w:val="20"/>
        </w:rPr>
        <w:t>Verifica se o registro existe na importação, mas não será importado por não existir na tabela dinâmica devido às configurações do bloco 0 ou da tabela dinâmica. Gera um aviso.</w:t>
      </w:r>
    </w:p>
    <w:p w:rsidR="00FE5D23" w:rsidRPr="00FA3856" w:rsidRDefault="00FE5D23" w:rsidP="00FE5D23">
      <w:pPr>
        <w:pStyle w:val="Corpodetexto"/>
        <w:ind w:left="708" w:firstLine="12"/>
        <w:rPr>
          <w:rFonts w:ascii="Times New Roman" w:hAnsi="Times New Roman"/>
          <w:b/>
          <w:szCs w:val="20"/>
        </w:rPr>
      </w:pPr>
    </w:p>
    <w:p w:rsidR="00FE5D23" w:rsidRPr="00FA3856" w:rsidRDefault="007D0E74" w:rsidP="00FE5D23">
      <w:pPr>
        <w:pStyle w:val="Corpodetexto"/>
        <w:ind w:left="708" w:firstLine="12"/>
        <w:rPr>
          <w:rFonts w:ascii="Times New Roman" w:hAnsi="Times New Roman"/>
          <w:szCs w:val="20"/>
        </w:rPr>
      </w:pPr>
      <w:hyperlink r:id="rId241" w:anchor="REGRA_OCORRENCIA_UNITARIA_ARQ" w:history="1">
        <w:r w:rsidR="00FE5D23" w:rsidRPr="00FA3856">
          <w:rPr>
            <w:rFonts w:ascii="Times New Roman" w:hAnsi="Times New Roman"/>
            <w:b/>
            <w:szCs w:val="20"/>
          </w:rPr>
          <w:t>REGRA_</w:t>
        </w:r>
      </w:hyperlink>
      <w:r w:rsidR="00FE5D23" w:rsidRPr="00FA3856">
        <w:rPr>
          <w:rFonts w:ascii="Times New Roman" w:hAnsi="Times New Roman"/>
          <w:b/>
          <w:szCs w:val="20"/>
        </w:rPr>
        <w:t>LINHA_ATUALIZADA</w:t>
      </w:r>
      <w:r w:rsidR="00FE5D23" w:rsidRPr="00FA3856">
        <w:rPr>
          <w:rFonts w:ascii="Times New Roman" w:hAnsi="Times New Roman"/>
          <w:color w:val="auto"/>
          <w:szCs w:val="20"/>
        </w:rPr>
        <w:t xml:space="preserve">: </w:t>
      </w:r>
      <w:r w:rsidR="00FE5D23" w:rsidRPr="00FA3856">
        <w:rPr>
          <w:rFonts w:ascii="Times New Roman" w:hAnsi="Times New Roman"/>
          <w:szCs w:val="20"/>
        </w:rPr>
        <w:t>Verifica se o registro está desatualizado em relação à tabela da RFB. Gera um aviso.</w:t>
      </w:r>
    </w:p>
    <w:p w:rsidR="005918A1" w:rsidRPr="00FA3856" w:rsidRDefault="005918A1" w:rsidP="00FE5D23">
      <w:pPr>
        <w:pStyle w:val="Corpodetexto"/>
        <w:ind w:left="708" w:firstLine="12"/>
        <w:rPr>
          <w:rFonts w:ascii="Times New Roman" w:hAnsi="Times New Roman"/>
          <w:szCs w:val="20"/>
        </w:rPr>
      </w:pPr>
    </w:p>
    <w:p w:rsidR="005918A1" w:rsidRPr="00FA3856" w:rsidRDefault="005918A1" w:rsidP="005918A1">
      <w:pPr>
        <w:pStyle w:val="Corpodetexto"/>
        <w:ind w:left="708" w:firstLine="12"/>
        <w:rPr>
          <w:rFonts w:ascii="Times New Roman" w:hAnsi="Times New Roman"/>
          <w:szCs w:val="20"/>
        </w:rPr>
      </w:pPr>
      <w:r w:rsidRPr="00FA3856">
        <w:rPr>
          <w:rFonts w:ascii="Times New Roman" w:hAnsi="Times New Roman"/>
          <w:b/>
          <w:szCs w:val="20"/>
        </w:rPr>
        <w:t xml:space="preserve">REGRA_BALANCO_SALDO_FINAL: </w:t>
      </w:r>
      <w:r w:rsidRPr="00FA3856">
        <w:rPr>
          <w:rFonts w:ascii="Times New Roman" w:hAnsi="Times New Roman"/>
          <w:szCs w:val="20"/>
        </w:rPr>
        <w:t>Verifica se o saldo final do ativo é igual ao saldo final do passivo.</w:t>
      </w:r>
      <w:r w:rsidR="002A6E26" w:rsidRPr="00FA3856">
        <w:rPr>
          <w:rFonts w:ascii="Times New Roman" w:hAnsi="Times New Roman"/>
          <w:szCs w:val="20"/>
        </w:rPr>
        <w:t xml:space="preserve"> Gera um </w:t>
      </w:r>
      <w:r w:rsidR="00231B11" w:rsidRPr="00FA3856">
        <w:rPr>
          <w:rFonts w:ascii="Times New Roman" w:hAnsi="Times New Roman"/>
          <w:szCs w:val="20"/>
        </w:rPr>
        <w:t>erro, caso L030.PER_APUR = “A00” ou “A12” ou “T04”.</w:t>
      </w:r>
    </w:p>
    <w:p w:rsidR="005918A1" w:rsidRPr="00FA3856" w:rsidRDefault="00231B11" w:rsidP="00231B11">
      <w:pPr>
        <w:pStyle w:val="Corpodetexto"/>
        <w:tabs>
          <w:tab w:val="left" w:pos="3825"/>
        </w:tabs>
        <w:ind w:left="708" w:firstLine="12"/>
        <w:rPr>
          <w:rFonts w:ascii="Times New Roman" w:hAnsi="Times New Roman"/>
          <w:b/>
          <w:szCs w:val="20"/>
        </w:rPr>
      </w:pPr>
      <w:r w:rsidRPr="00FA3856">
        <w:rPr>
          <w:rFonts w:ascii="Times New Roman" w:hAnsi="Times New Roman"/>
          <w:b/>
          <w:szCs w:val="20"/>
        </w:rPr>
        <w:tab/>
      </w:r>
    </w:p>
    <w:p w:rsidR="005918A1" w:rsidRPr="00FA3856" w:rsidRDefault="005918A1" w:rsidP="00FE5D23">
      <w:pPr>
        <w:pStyle w:val="Corpodetexto"/>
        <w:ind w:left="708" w:firstLine="12"/>
        <w:rPr>
          <w:rFonts w:ascii="Times New Roman" w:hAnsi="Times New Roman"/>
          <w:b/>
          <w:szCs w:val="20"/>
        </w:rPr>
      </w:pPr>
      <w:r w:rsidRPr="00FA3856">
        <w:rPr>
          <w:rFonts w:ascii="Times New Roman" w:hAnsi="Times New Roman"/>
          <w:b/>
          <w:szCs w:val="20"/>
        </w:rPr>
        <w:t xml:space="preserve">REGRA_BALANCO_SALDO_INICIAL: </w:t>
      </w:r>
      <w:r w:rsidRPr="00FA3856">
        <w:rPr>
          <w:rFonts w:ascii="Times New Roman" w:hAnsi="Times New Roman"/>
          <w:szCs w:val="20"/>
        </w:rPr>
        <w:t>Verifica se o saldo inicial do ativo é igual ao saldo inicial do passivo.</w:t>
      </w:r>
      <w:r w:rsidR="002A6E26" w:rsidRPr="00FA3856">
        <w:rPr>
          <w:rFonts w:ascii="Times New Roman" w:hAnsi="Times New Roman"/>
          <w:szCs w:val="20"/>
        </w:rPr>
        <w:t xml:space="preserve"> </w:t>
      </w:r>
      <w:r w:rsidR="00231B11" w:rsidRPr="00FA3856">
        <w:rPr>
          <w:rFonts w:ascii="Times New Roman" w:hAnsi="Times New Roman"/>
          <w:szCs w:val="20"/>
        </w:rPr>
        <w:t>Gera um erro, caso L030.PER_APUR = “A00” ou “A01” ou “A02” ou “A03” ou “A04” ou “A05” ou “A06” ou “A07” ou “A08” ou “A09” ou “A10”</w:t>
      </w:r>
      <w:r w:rsidR="00E00235" w:rsidRPr="00FA3856">
        <w:rPr>
          <w:rFonts w:ascii="Times New Roman" w:hAnsi="Times New Roman"/>
          <w:szCs w:val="20"/>
        </w:rPr>
        <w:t>ou “</w:t>
      </w:r>
      <w:r w:rsidR="00231B11" w:rsidRPr="00FA3856">
        <w:rPr>
          <w:rFonts w:ascii="Times New Roman" w:hAnsi="Times New Roman"/>
          <w:szCs w:val="20"/>
        </w:rPr>
        <w:t>A11” ou “A12” ou “A00” ou “T01”.</w:t>
      </w:r>
    </w:p>
    <w:p w:rsidR="00342F1D" w:rsidRDefault="002E0590" w:rsidP="00342F1D">
      <w:pPr>
        <w:rPr>
          <w:b/>
          <w:szCs w:val="20"/>
          <w:lang w:val="pt-PT"/>
        </w:rPr>
      </w:pPr>
      <w:r>
        <w:rPr>
          <w:b/>
          <w:szCs w:val="20"/>
          <w:lang w:val="pt-PT"/>
        </w:rPr>
        <w:br w:type="page"/>
      </w:r>
      <w:r w:rsidR="00962F8C">
        <w:rPr>
          <w:b/>
          <w:szCs w:val="20"/>
          <w:lang w:val="pt-PT"/>
        </w:rPr>
        <w:lastRenderedPageBreak/>
        <w:t>II</w:t>
      </w:r>
      <w:r w:rsidR="00962F8C" w:rsidRPr="00FA3856">
        <w:rPr>
          <w:b/>
          <w:szCs w:val="20"/>
          <w:lang w:val="pt-PT"/>
        </w:rPr>
        <w:t xml:space="preserve"> – </w:t>
      </w:r>
      <w:r w:rsidR="00962F8C">
        <w:rPr>
          <w:b/>
          <w:szCs w:val="20"/>
          <w:lang w:val="pt-PT"/>
        </w:rPr>
        <w:t>Plano de Contas Referencial</w:t>
      </w:r>
      <w:r w:rsidR="00342F1D">
        <w:rPr>
          <w:b/>
          <w:szCs w:val="20"/>
          <w:lang w:val="pt-PT"/>
        </w:rPr>
        <w:t>:</w:t>
      </w:r>
    </w:p>
    <w:p w:rsidR="00990970" w:rsidRPr="00FA3856" w:rsidRDefault="00990970" w:rsidP="00342F1D">
      <w:pPr>
        <w:rPr>
          <w:b/>
          <w:szCs w:val="20"/>
          <w:lang w:val="pt-PT"/>
        </w:rPr>
      </w:pPr>
      <w:r w:rsidRPr="00FA3856">
        <w:rPr>
          <w:b/>
          <w:szCs w:val="20"/>
          <w:lang w:val="pt-PT"/>
        </w:rPr>
        <w:t>Código: Chave da linha.</w:t>
      </w:r>
    </w:p>
    <w:p w:rsidR="00990970" w:rsidRPr="00FA3856" w:rsidRDefault="00990970" w:rsidP="00342F1D">
      <w:pPr>
        <w:rPr>
          <w:b/>
          <w:szCs w:val="20"/>
          <w:lang w:val="pt-PT"/>
        </w:rPr>
      </w:pPr>
      <w:r w:rsidRPr="00FA3856">
        <w:rPr>
          <w:b/>
          <w:szCs w:val="20"/>
          <w:lang w:val="pt-PT"/>
        </w:rPr>
        <w:t>Ordem: Ordem de apresentação das linhas.</w:t>
      </w:r>
    </w:p>
    <w:p w:rsidR="00990970" w:rsidRPr="00FA3856" w:rsidRDefault="00990970" w:rsidP="00342F1D">
      <w:pPr>
        <w:rPr>
          <w:b/>
          <w:szCs w:val="20"/>
          <w:lang w:val="pt-PT"/>
        </w:rPr>
      </w:pPr>
      <w:r w:rsidRPr="00FA3856">
        <w:rPr>
          <w:b/>
          <w:szCs w:val="20"/>
          <w:lang w:val="pt-PT"/>
        </w:rPr>
        <w:t>Tipo: S = Sintética; A = Analítica</w:t>
      </w:r>
    </w:p>
    <w:p w:rsidR="00990970" w:rsidRDefault="00990970" w:rsidP="00342F1D">
      <w:pPr>
        <w:tabs>
          <w:tab w:val="left" w:pos="2985"/>
        </w:tabs>
        <w:rPr>
          <w:b/>
          <w:szCs w:val="20"/>
          <w:lang w:val="pt-PT"/>
        </w:rPr>
      </w:pPr>
      <w:r w:rsidRPr="00FA3856">
        <w:rPr>
          <w:b/>
          <w:szCs w:val="20"/>
          <w:lang w:val="pt-PT"/>
        </w:rPr>
        <w:t>Natureza: 01 = Ativo; 02 = Passivo; 03 = Patrimônio Líquido</w:t>
      </w:r>
    </w:p>
    <w:p w:rsidR="00962F8C" w:rsidRDefault="00962F8C" w:rsidP="00962F8C">
      <w:pPr>
        <w:rPr>
          <w:b/>
          <w:szCs w:val="20"/>
        </w:rPr>
      </w:pPr>
    </w:p>
    <w:p w:rsidR="00962F8C" w:rsidRDefault="00962F8C" w:rsidP="00962F8C">
      <w:pPr>
        <w:rPr>
          <w:b/>
          <w:szCs w:val="20"/>
        </w:rPr>
      </w:pPr>
      <w:r>
        <w:rPr>
          <w:b/>
          <w:szCs w:val="20"/>
        </w:rPr>
        <w:t xml:space="preserve">II.1 – </w:t>
      </w:r>
      <w:r w:rsidR="002E0590" w:rsidRPr="002E0590">
        <w:rPr>
          <w:b/>
          <w:szCs w:val="20"/>
        </w:rPr>
        <w:t>L100A - Plano de Contas Referencial - Contas Patrimoniais - PJ do Lucro Real - PJ em Geral</w:t>
      </w:r>
      <w:r w:rsidR="002E0590">
        <w:rPr>
          <w:b/>
          <w:szCs w:val="20"/>
        </w:rPr>
        <w:t>:</w:t>
      </w:r>
    </w:p>
    <w:p w:rsidR="00962F8C" w:rsidRPr="009A54D6" w:rsidRDefault="00486CDA" w:rsidP="00962F8C">
      <w:pPr>
        <w:tabs>
          <w:tab w:val="left" w:pos="2985"/>
        </w:tabs>
        <w:rPr>
          <w:b/>
          <w:szCs w:val="20"/>
          <w:lang w:val="pt-PT"/>
        </w:rPr>
      </w:pPr>
      <w:r>
        <w:rPr>
          <w:b/>
          <w:szCs w:val="20"/>
        </w:rPr>
        <w:object w:dxaOrig="1534" w:dyaOrig="997">
          <v:shape id="_x0000_i1123" type="#_x0000_t75" style="width:79.5pt;height:50.25pt" o:ole="">
            <v:imagedata r:id="rId242" o:title=""/>
          </v:shape>
          <o:OLEObject Type="Link" ProgID="Excel.Sheet.12" ShapeID="_x0000_i1123" DrawAspect="Content" r:id="rId243" UpdateMode="OnCall">
            <o:LinkType>EnhancedMetaFile</o:LinkType>
            <o:LockedField>false</o:LockedField>
          </o:OLEObject>
        </w:object>
      </w:r>
    </w:p>
    <w:p w:rsidR="00962F8C" w:rsidRDefault="00962F8C" w:rsidP="00962F8C">
      <w:pPr>
        <w:rPr>
          <w:b/>
          <w:szCs w:val="20"/>
          <w:lang w:val="pt-PT"/>
        </w:rPr>
      </w:pPr>
      <w:r>
        <w:rPr>
          <w:b/>
          <w:szCs w:val="20"/>
          <w:lang w:val="pt-PT"/>
        </w:rPr>
        <w:t xml:space="preserve">II.2 – </w:t>
      </w:r>
      <w:r w:rsidR="002E0590" w:rsidRPr="002E0590">
        <w:rPr>
          <w:b/>
          <w:szCs w:val="20"/>
          <w:lang w:val="pt-PT"/>
        </w:rPr>
        <w:t xml:space="preserve">L100B - Plano de Contas Referencial - Contas Patrimoniais - PJ do Lucro Real </w:t>
      </w:r>
      <w:r w:rsidR="002E0590">
        <w:rPr>
          <w:b/>
          <w:szCs w:val="20"/>
          <w:lang w:val="pt-PT"/>
        </w:rPr>
        <w:t>–</w:t>
      </w:r>
      <w:r w:rsidR="002E0590" w:rsidRPr="002E0590">
        <w:rPr>
          <w:b/>
          <w:szCs w:val="20"/>
          <w:lang w:val="pt-PT"/>
        </w:rPr>
        <w:t xml:space="preserve"> Financeiras</w:t>
      </w:r>
      <w:r w:rsidR="002E0590">
        <w:rPr>
          <w:b/>
          <w:szCs w:val="20"/>
          <w:lang w:val="pt-PT"/>
        </w:rPr>
        <w:t>:</w:t>
      </w:r>
    </w:p>
    <w:p w:rsidR="00962F8C" w:rsidRPr="009A54D6" w:rsidRDefault="00486CDA" w:rsidP="00962F8C">
      <w:pPr>
        <w:tabs>
          <w:tab w:val="left" w:pos="2985"/>
        </w:tabs>
        <w:rPr>
          <w:b/>
          <w:szCs w:val="20"/>
          <w:lang w:val="pt-PT"/>
        </w:rPr>
      </w:pPr>
      <w:r>
        <w:rPr>
          <w:b/>
          <w:szCs w:val="20"/>
          <w:lang w:val="pt-PT"/>
        </w:rPr>
        <w:object w:dxaOrig="1534" w:dyaOrig="997">
          <v:shape id="_x0000_i1124" type="#_x0000_t75" style="width:79.5pt;height:50.25pt" o:ole="">
            <v:imagedata r:id="rId244" o:title=""/>
          </v:shape>
          <o:OLEObject Type="Link" ProgID="Excel.Sheet.12" ShapeID="_x0000_i1124" DrawAspect="Content" r:id="rId245" UpdateMode="OnCall">
            <o:LinkType>EnhancedMetaFile</o:LinkType>
            <o:LockedField>false</o:LockedField>
          </o:OLEObject>
        </w:object>
      </w:r>
    </w:p>
    <w:p w:rsidR="00962F8C" w:rsidRDefault="00962F8C" w:rsidP="002E0590">
      <w:pPr>
        <w:rPr>
          <w:b/>
          <w:szCs w:val="20"/>
          <w:lang w:val="pt-PT"/>
        </w:rPr>
      </w:pPr>
      <w:r>
        <w:rPr>
          <w:b/>
          <w:szCs w:val="20"/>
          <w:lang w:val="pt-PT"/>
        </w:rPr>
        <w:t xml:space="preserve">II.3 – </w:t>
      </w:r>
      <w:r w:rsidR="002E0590" w:rsidRPr="002E0590">
        <w:rPr>
          <w:b/>
          <w:szCs w:val="20"/>
          <w:lang w:val="pt-PT"/>
        </w:rPr>
        <w:t>L100C - Plano de Contas Referencial - Contas Patrimoniais - PJ do Lucro Real - Seguradoras ou Entidades Abertas de Previdência Complementar</w:t>
      </w:r>
      <w:r w:rsidR="002E0590">
        <w:rPr>
          <w:b/>
          <w:szCs w:val="20"/>
          <w:lang w:val="pt-PT"/>
        </w:rPr>
        <w:t>:</w:t>
      </w:r>
    </w:p>
    <w:p w:rsidR="002E0590" w:rsidRPr="00C44EBF" w:rsidRDefault="00486CDA" w:rsidP="002E0590">
      <w:pPr>
        <w:rPr>
          <w:b/>
          <w:szCs w:val="20"/>
          <w:lang w:val="pt-PT"/>
        </w:rPr>
      </w:pPr>
      <w:r>
        <w:rPr>
          <w:b/>
          <w:szCs w:val="20"/>
          <w:lang w:val="pt-PT"/>
        </w:rPr>
        <w:object w:dxaOrig="1534" w:dyaOrig="997">
          <v:shape id="_x0000_i1125" type="#_x0000_t75" style="width:79.5pt;height:50.25pt" o:ole="">
            <v:imagedata r:id="rId246" o:title=""/>
          </v:shape>
          <o:OLEObject Type="Link" ProgID="Excel.Sheet.12" ShapeID="_x0000_i1125" DrawAspect="Content" r:id="rId247" UpdateMode="OnCall">
            <o:LinkType>EnhancedMetaFile</o:LinkType>
            <o:LockedField>false</o:LockedField>
          </o:OLEObject>
        </w:object>
      </w:r>
    </w:p>
    <w:p w:rsidR="00C44EBF" w:rsidRDefault="0059179C" w:rsidP="001A6818">
      <w:pPr>
        <w:pStyle w:val="Corpodetexto"/>
        <w:rPr>
          <w:rFonts w:ascii="Times New Roman" w:hAnsi="Times New Roman"/>
          <w:b/>
          <w:color w:val="002060"/>
          <w:szCs w:val="20"/>
        </w:rPr>
      </w:pPr>
      <w:r w:rsidRPr="00FA3856">
        <w:rPr>
          <w:rFonts w:ascii="Times New Roman" w:hAnsi="Times New Roman"/>
          <w:b/>
          <w:color w:val="002060"/>
          <w:szCs w:val="20"/>
        </w:rPr>
        <w:t>Exemplo de Preenchimento:</w:t>
      </w:r>
    </w:p>
    <w:p w:rsidR="00C44EBF" w:rsidRDefault="00C44EBF" w:rsidP="001A6818">
      <w:pPr>
        <w:pStyle w:val="Corpodetexto"/>
        <w:rPr>
          <w:rFonts w:ascii="Times New Roman" w:hAnsi="Times New Roman"/>
          <w:b/>
          <w:color w:val="002060"/>
          <w:szCs w:val="20"/>
        </w:rPr>
      </w:pPr>
    </w:p>
    <w:p w:rsidR="001A6818" w:rsidRPr="00FA3856" w:rsidRDefault="001A6818" w:rsidP="001A6818">
      <w:pPr>
        <w:pStyle w:val="Corpodetexto"/>
        <w:rPr>
          <w:rFonts w:ascii="Times New Roman" w:hAnsi="Times New Roman"/>
          <w:b/>
          <w:color w:val="002060"/>
          <w:szCs w:val="20"/>
        </w:rPr>
      </w:pPr>
      <w:r w:rsidRPr="00FA3856">
        <w:rPr>
          <w:rFonts w:ascii="Times New Roman" w:hAnsi="Times New Roman"/>
          <w:b/>
          <w:color w:val="002060"/>
          <w:szCs w:val="20"/>
        </w:rPr>
        <w:t>|L100|2.03.04.01.99|Contas de Patrimônio Líquido Não Classificadas|A|5|03|2.03.04.01|10000,00|C|20000,00|C|</w:t>
      </w:r>
    </w:p>
    <w:p w:rsidR="001A6818" w:rsidRPr="00FA3856" w:rsidRDefault="001A6818" w:rsidP="001A6818">
      <w:pPr>
        <w:pStyle w:val="Corpodetexto"/>
        <w:ind w:firstLine="708"/>
        <w:rPr>
          <w:rFonts w:ascii="Times New Roman" w:hAnsi="Times New Roman"/>
          <w:color w:val="002060"/>
          <w:szCs w:val="20"/>
        </w:rPr>
      </w:pPr>
      <w:r w:rsidRPr="00FA3856">
        <w:rPr>
          <w:rFonts w:ascii="Times New Roman" w:hAnsi="Times New Roman"/>
          <w:color w:val="002060"/>
          <w:szCs w:val="20"/>
        </w:rPr>
        <w:t>|L100|: Identificação do tipo do registro.</w:t>
      </w:r>
    </w:p>
    <w:p w:rsidR="001A6818" w:rsidRPr="00FA3856" w:rsidRDefault="001A6818" w:rsidP="001A6818">
      <w:pPr>
        <w:pStyle w:val="Corpodetexto"/>
        <w:ind w:firstLine="708"/>
        <w:rPr>
          <w:rFonts w:ascii="Times New Roman" w:hAnsi="Times New Roman"/>
          <w:color w:val="002060"/>
          <w:szCs w:val="20"/>
        </w:rPr>
      </w:pPr>
      <w:r w:rsidRPr="00FA3856">
        <w:rPr>
          <w:rFonts w:ascii="Times New Roman" w:hAnsi="Times New Roman"/>
          <w:color w:val="002060"/>
          <w:szCs w:val="20"/>
        </w:rPr>
        <w:t>|2.03.04.01.99|: Código da linha.</w:t>
      </w:r>
      <w:r w:rsidRPr="00FA3856">
        <w:rPr>
          <w:rFonts w:ascii="Times New Roman" w:hAnsi="Times New Roman"/>
          <w:color w:val="002060"/>
          <w:szCs w:val="20"/>
        </w:rPr>
        <w:tab/>
      </w:r>
    </w:p>
    <w:p w:rsidR="001A6818" w:rsidRPr="00FA3856" w:rsidRDefault="001A6818" w:rsidP="001A6818">
      <w:pPr>
        <w:pStyle w:val="Corpodetexto"/>
        <w:ind w:firstLine="708"/>
        <w:rPr>
          <w:rFonts w:ascii="Times New Roman" w:hAnsi="Times New Roman"/>
          <w:color w:val="002060"/>
          <w:szCs w:val="20"/>
        </w:rPr>
      </w:pPr>
      <w:r w:rsidRPr="00FA3856">
        <w:rPr>
          <w:rFonts w:ascii="Times New Roman" w:hAnsi="Times New Roman"/>
          <w:color w:val="002060"/>
          <w:szCs w:val="20"/>
        </w:rPr>
        <w:t>|Contas de Patrimônio Líquido Não Classificadas|: Descrição da linha.</w:t>
      </w:r>
    </w:p>
    <w:p w:rsidR="001A6818" w:rsidRPr="00FA3856" w:rsidRDefault="001A6818" w:rsidP="001A6818">
      <w:pPr>
        <w:pStyle w:val="Corpodetexto"/>
        <w:ind w:firstLine="708"/>
        <w:rPr>
          <w:rFonts w:ascii="Times New Roman" w:hAnsi="Times New Roman"/>
          <w:color w:val="002060"/>
          <w:szCs w:val="20"/>
        </w:rPr>
      </w:pPr>
      <w:r w:rsidRPr="00FA3856">
        <w:rPr>
          <w:rFonts w:ascii="Times New Roman" w:hAnsi="Times New Roman"/>
          <w:color w:val="002060"/>
          <w:szCs w:val="20"/>
        </w:rPr>
        <w:t>|A|: Tipo da conta (A = Analítica).</w:t>
      </w:r>
    </w:p>
    <w:p w:rsidR="001A6818" w:rsidRPr="00FA3856" w:rsidRDefault="001A6818" w:rsidP="001A6818">
      <w:pPr>
        <w:pStyle w:val="Corpodetexto"/>
        <w:ind w:firstLine="708"/>
        <w:rPr>
          <w:rFonts w:ascii="Times New Roman" w:hAnsi="Times New Roman"/>
          <w:color w:val="002060"/>
          <w:szCs w:val="20"/>
        </w:rPr>
      </w:pPr>
      <w:r w:rsidRPr="00FA3856">
        <w:rPr>
          <w:rFonts w:ascii="Times New Roman" w:hAnsi="Times New Roman"/>
          <w:color w:val="002060"/>
          <w:szCs w:val="20"/>
        </w:rPr>
        <w:t>|5|: Nível da conta.</w:t>
      </w:r>
    </w:p>
    <w:p w:rsidR="001A6818" w:rsidRPr="00FA3856" w:rsidRDefault="001A6818" w:rsidP="001A6818">
      <w:pPr>
        <w:pStyle w:val="Corpodetexto"/>
        <w:ind w:firstLine="708"/>
        <w:rPr>
          <w:rFonts w:ascii="Times New Roman" w:hAnsi="Times New Roman"/>
          <w:color w:val="002060"/>
          <w:szCs w:val="20"/>
        </w:rPr>
      </w:pPr>
      <w:r w:rsidRPr="00FA3856">
        <w:rPr>
          <w:rFonts w:ascii="Times New Roman" w:hAnsi="Times New Roman"/>
          <w:color w:val="002060"/>
          <w:szCs w:val="20"/>
        </w:rPr>
        <w:t>|03|: Natureza da conta (03 = Contas do Patrimônio Líquido).</w:t>
      </w:r>
    </w:p>
    <w:p w:rsidR="001A6818" w:rsidRPr="00FA3856" w:rsidRDefault="001A6818" w:rsidP="001A6818">
      <w:pPr>
        <w:pStyle w:val="Corpodetexto"/>
        <w:ind w:firstLine="708"/>
        <w:rPr>
          <w:rFonts w:ascii="Times New Roman" w:hAnsi="Times New Roman"/>
          <w:color w:val="002060"/>
          <w:szCs w:val="20"/>
        </w:rPr>
      </w:pPr>
      <w:r w:rsidRPr="00FA3856">
        <w:rPr>
          <w:rFonts w:ascii="Times New Roman" w:hAnsi="Times New Roman"/>
          <w:color w:val="002060"/>
          <w:szCs w:val="20"/>
        </w:rPr>
        <w:t>|2.03.04.01|: Código da conta superior.</w:t>
      </w:r>
    </w:p>
    <w:p w:rsidR="001A6818" w:rsidRPr="00FA3856" w:rsidRDefault="001A6818" w:rsidP="001A6818">
      <w:pPr>
        <w:pStyle w:val="Corpodetexto"/>
        <w:ind w:firstLine="708"/>
        <w:rPr>
          <w:rFonts w:ascii="Times New Roman" w:hAnsi="Times New Roman"/>
          <w:color w:val="002060"/>
          <w:szCs w:val="20"/>
        </w:rPr>
      </w:pPr>
      <w:r w:rsidRPr="00FA3856">
        <w:rPr>
          <w:rFonts w:ascii="Times New Roman" w:hAnsi="Times New Roman"/>
          <w:color w:val="002060"/>
          <w:szCs w:val="20"/>
        </w:rPr>
        <w:t>|10000,00|: Valor do saldo inicial (R$ 10.000,00).</w:t>
      </w:r>
    </w:p>
    <w:p w:rsidR="001A6818" w:rsidRPr="00FA3856" w:rsidRDefault="001A6818" w:rsidP="001A6818">
      <w:pPr>
        <w:pStyle w:val="Corpodetexto"/>
        <w:ind w:firstLine="708"/>
        <w:rPr>
          <w:rFonts w:ascii="Times New Roman" w:hAnsi="Times New Roman"/>
          <w:color w:val="002060"/>
          <w:szCs w:val="20"/>
        </w:rPr>
      </w:pPr>
      <w:r w:rsidRPr="00FA3856">
        <w:rPr>
          <w:rFonts w:ascii="Times New Roman" w:hAnsi="Times New Roman"/>
          <w:color w:val="002060"/>
          <w:szCs w:val="20"/>
        </w:rPr>
        <w:t xml:space="preserve">|C|: Indicador do sinal do saldo </w:t>
      </w:r>
      <w:r w:rsidR="00B5790B" w:rsidRPr="00FA3856">
        <w:rPr>
          <w:rFonts w:ascii="Times New Roman" w:hAnsi="Times New Roman"/>
          <w:color w:val="002060"/>
          <w:szCs w:val="20"/>
        </w:rPr>
        <w:t>inicial</w:t>
      </w:r>
      <w:r w:rsidRPr="00FA3856">
        <w:rPr>
          <w:rFonts w:ascii="Times New Roman" w:hAnsi="Times New Roman"/>
          <w:color w:val="002060"/>
          <w:szCs w:val="20"/>
        </w:rPr>
        <w:t xml:space="preserve"> da conta (C = Credor).</w:t>
      </w:r>
    </w:p>
    <w:p w:rsidR="001A6818" w:rsidRPr="00FA3856" w:rsidRDefault="001A6818" w:rsidP="001A6818">
      <w:pPr>
        <w:pStyle w:val="Corpodetexto"/>
        <w:ind w:firstLine="708"/>
        <w:rPr>
          <w:rFonts w:ascii="Times New Roman" w:hAnsi="Times New Roman"/>
          <w:color w:val="002060"/>
          <w:szCs w:val="20"/>
        </w:rPr>
      </w:pPr>
      <w:r w:rsidRPr="00FA3856">
        <w:rPr>
          <w:rFonts w:ascii="Times New Roman" w:hAnsi="Times New Roman"/>
          <w:color w:val="002060"/>
          <w:szCs w:val="20"/>
        </w:rPr>
        <w:t xml:space="preserve">|20000,00|: Valor do saldo </w:t>
      </w:r>
      <w:r w:rsidR="00FA406C">
        <w:rPr>
          <w:rFonts w:ascii="Times New Roman" w:hAnsi="Times New Roman"/>
          <w:color w:val="002060"/>
          <w:szCs w:val="20"/>
        </w:rPr>
        <w:t>final</w:t>
      </w:r>
      <w:r w:rsidRPr="00FA3856">
        <w:rPr>
          <w:rFonts w:ascii="Times New Roman" w:hAnsi="Times New Roman"/>
          <w:color w:val="002060"/>
          <w:szCs w:val="20"/>
        </w:rPr>
        <w:t xml:space="preserve"> (R$ 20.000,00).</w:t>
      </w:r>
    </w:p>
    <w:p w:rsidR="001A6818" w:rsidRPr="00FA3856" w:rsidRDefault="001A6818" w:rsidP="001A6818">
      <w:pPr>
        <w:pStyle w:val="Corpodetexto"/>
        <w:ind w:firstLine="708"/>
        <w:rPr>
          <w:rFonts w:ascii="Times New Roman" w:hAnsi="Times New Roman"/>
          <w:color w:val="002060"/>
          <w:szCs w:val="20"/>
        </w:rPr>
      </w:pPr>
      <w:r w:rsidRPr="00FA3856">
        <w:rPr>
          <w:rFonts w:ascii="Times New Roman" w:hAnsi="Times New Roman"/>
          <w:color w:val="002060"/>
          <w:szCs w:val="20"/>
        </w:rPr>
        <w:t>|C|: Indicador do sinal do saldo final da conta (C = Credor).</w:t>
      </w:r>
    </w:p>
    <w:p w:rsidR="001A6818" w:rsidRPr="00FA3856" w:rsidRDefault="001A6818" w:rsidP="003C38ED">
      <w:pPr>
        <w:ind w:firstLine="708"/>
        <w:jc w:val="both"/>
        <w:rPr>
          <w:color w:val="0000FF"/>
          <w:szCs w:val="20"/>
        </w:rPr>
      </w:pPr>
    </w:p>
    <w:p w:rsidR="00B4633D" w:rsidRPr="00FA3856" w:rsidRDefault="0021402F" w:rsidP="00867F54">
      <w:pPr>
        <w:pStyle w:val="Ttulo4"/>
      </w:pPr>
      <w:r w:rsidRPr="00FA3856">
        <w:br w:type="page"/>
      </w:r>
      <w:r w:rsidR="00B4633D" w:rsidRPr="00FA3856">
        <w:lastRenderedPageBreak/>
        <w:t xml:space="preserve"> </w:t>
      </w:r>
      <w:bookmarkStart w:id="191" w:name="_Toc479713717"/>
      <w:r w:rsidR="00B4633D" w:rsidRPr="00FA3856">
        <w:t>Registro L200: Método de Avaliação d</w:t>
      </w:r>
      <w:r w:rsidR="005879E9" w:rsidRPr="00FA3856">
        <w:t>o Estoque Final</w:t>
      </w:r>
      <w:bookmarkEnd w:id="191"/>
    </w:p>
    <w:p w:rsidR="00B4633D" w:rsidRPr="00FA3856" w:rsidRDefault="00B4633D" w:rsidP="00B4633D">
      <w:pPr>
        <w:ind w:firstLine="708"/>
        <w:jc w:val="both"/>
        <w:rPr>
          <w:szCs w:val="20"/>
        </w:rPr>
      </w:pPr>
    </w:p>
    <w:p w:rsidR="00B4633D" w:rsidRPr="00FA3856" w:rsidRDefault="00B4633D" w:rsidP="00B4633D">
      <w:pPr>
        <w:ind w:firstLine="708"/>
        <w:jc w:val="both"/>
        <w:rPr>
          <w:szCs w:val="20"/>
        </w:rPr>
      </w:pPr>
      <w:r w:rsidRPr="00FA3856">
        <w:rPr>
          <w:szCs w:val="20"/>
        </w:rPr>
        <w:t xml:space="preserve">Apresenta o método de avaliação de estoques </w:t>
      </w:r>
    </w:p>
    <w:p w:rsidR="00B4633D" w:rsidRDefault="00B4633D" w:rsidP="00816B4B">
      <w:pPr>
        <w:rPr>
          <w:szCs w:val="20"/>
        </w:rPr>
      </w:pPr>
    </w:p>
    <w:p w:rsidR="00A566A6" w:rsidRPr="00FA3856" w:rsidRDefault="00B35FA3" w:rsidP="00A566A6">
      <w:pPr>
        <w:jc w:val="center"/>
        <w:rPr>
          <w:szCs w:val="20"/>
        </w:rPr>
      </w:pPr>
      <w:r>
        <w:rPr>
          <w:szCs w:val="20"/>
        </w:rPr>
        <w:object w:dxaOrig="13920" w:dyaOrig="4380">
          <v:shape id="_x0000_i1667" type="#_x0000_t75" style="width:691.5pt;height:3in" o:ole="">
            <v:imagedata r:id="rId248" o:title=""/>
          </v:shape>
          <o:OLEObject Type="Link" ProgID="Excel.Sheet.12" ShapeID="_x0000_i1667" DrawAspect="Content" r:id="rId249" UpdateMode="Always">
            <o:LinkType>EnhancedMetaFile</o:LinkType>
            <o:LockedField>false</o:LockedField>
          </o:OLEObject>
        </w:object>
      </w:r>
    </w:p>
    <w:p w:rsidR="00A566A6" w:rsidRDefault="00A566A6" w:rsidP="001A6818">
      <w:pPr>
        <w:pStyle w:val="Corpodetexto"/>
        <w:rPr>
          <w:rFonts w:ascii="Times New Roman" w:hAnsi="Times New Roman"/>
          <w:b/>
          <w:color w:val="002060"/>
          <w:szCs w:val="20"/>
        </w:rPr>
      </w:pPr>
    </w:p>
    <w:p w:rsidR="00342F1D" w:rsidRDefault="0059179C" w:rsidP="001A6818">
      <w:pPr>
        <w:pStyle w:val="Corpodetexto"/>
        <w:rPr>
          <w:rFonts w:ascii="Times New Roman" w:hAnsi="Times New Roman"/>
          <w:b/>
          <w:color w:val="002060"/>
          <w:szCs w:val="20"/>
        </w:rPr>
      </w:pPr>
      <w:r w:rsidRPr="00FA3856">
        <w:rPr>
          <w:rFonts w:ascii="Times New Roman" w:hAnsi="Times New Roman"/>
          <w:b/>
          <w:color w:val="002060"/>
          <w:szCs w:val="20"/>
        </w:rPr>
        <w:t xml:space="preserve">Exemplo de Preenchimento: </w:t>
      </w:r>
    </w:p>
    <w:p w:rsidR="00342F1D" w:rsidRDefault="00342F1D" w:rsidP="001A6818">
      <w:pPr>
        <w:pStyle w:val="Corpodetexto"/>
        <w:rPr>
          <w:rFonts w:ascii="Times New Roman" w:hAnsi="Times New Roman"/>
          <w:b/>
          <w:color w:val="002060"/>
          <w:szCs w:val="20"/>
        </w:rPr>
      </w:pPr>
    </w:p>
    <w:p w:rsidR="001A6818" w:rsidRPr="00FA3856" w:rsidRDefault="001A6818" w:rsidP="001A6818">
      <w:pPr>
        <w:pStyle w:val="Corpodetexto"/>
        <w:rPr>
          <w:rFonts w:ascii="Times New Roman" w:hAnsi="Times New Roman"/>
          <w:b/>
          <w:color w:val="002060"/>
          <w:szCs w:val="20"/>
        </w:rPr>
      </w:pPr>
      <w:r w:rsidRPr="00FA3856">
        <w:rPr>
          <w:rFonts w:ascii="Times New Roman" w:hAnsi="Times New Roman"/>
          <w:b/>
          <w:color w:val="002060"/>
          <w:szCs w:val="20"/>
        </w:rPr>
        <w:t>|L200|2|</w:t>
      </w:r>
    </w:p>
    <w:p w:rsidR="001A6818" w:rsidRPr="00FA3856" w:rsidRDefault="001A6818" w:rsidP="001A6818">
      <w:pPr>
        <w:pStyle w:val="Corpodetexto"/>
        <w:ind w:firstLine="708"/>
        <w:rPr>
          <w:rFonts w:ascii="Times New Roman" w:hAnsi="Times New Roman"/>
          <w:color w:val="002060"/>
          <w:szCs w:val="20"/>
        </w:rPr>
      </w:pPr>
      <w:r w:rsidRPr="00FA3856">
        <w:rPr>
          <w:rFonts w:ascii="Times New Roman" w:hAnsi="Times New Roman"/>
          <w:color w:val="002060"/>
          <w:szCs w:val="20"/>
        </w:rPr>
        <w:t>|L200|: Identificação do tipo do registro.</w:t>
      </w:r>
    </w:p>
    <w:p w:rsidR="001A6818" w:rsidRPr="00FA3856" w:rsidRDefault="001A6818" w:rsidP="001A6818">
      <w:pPr>
        <w:pStyle w:val="Corpodetexto"/>
        <w:ind w:firstLine="708"/>
        <w:rPr>
          <w:rFonts w:ascii="Times New Roman" w:hAnsi="Times New Roman"/>
          <w:color w:val="002060"/>
          <w:szCs w:val="20"/>
        </w:rPr>
      </w:pPr>
      <w:r w:rsidRPr="00FA3856">
        <w:rPr>
          <w:rFonts w:ascii="Times New Roman" w:hAnsi="Times New Roman"/>
          <w:color w:val="002060"/>
          <w:szCs w:val="20"/>
        </w:rPr>
        <w:t>|2|: Método de avaliação do estoque final (2 = PEPS).</w:t>
      </w:r>
    </w:p>
    <w:p w:rsidR="001A6818" w:rsidRPr="00FA3856" w:rsidRDefault="001A6818" w:rsidP="00816B4B">
      <w:pPr>
        <w:rPr>
          <w:szCs w:val="20"/>
        </w:rPr>
      </w:pPr>
    </w:p>
    <w:p w:rsidR="00161EF7" w:rsidRPr="00FA3856" w:rsidRDefault="00161EF7">
      <w:pPr>
        <w:rPr>
          <w:b/>
          <w:bCs/>
          <w:color w:val="0000FF"/>
          <w:szCs w:val="20"/>
        </w:rPr>
      </w:pPr>
      <w:r w:rsidRPr="00FA3856">
        <w:rPr>
          <w:color w:val="0000FF"/>
          <w:szCs w:val="20"/>
        </w:rPr>
        <w:br w:type="page"/>
      </w:r>
    </w:p>
    <w:p w:rsidR="004E2017" w:rsidRPr="00FA3856" w:rsidRDefault="00B4633D" w:rsidP="00867F54">
      <w:pPr>
        <w:pStyle w:val="Ttulo4"/>
      </w:pPr>
      <w:bookmarkStart w:id="192" w:name="_Toc479713718"/>
      <w:r w:rsidRPr="00FA3856">
        <w:lastRenderedPageBreak/>
        <w:t>Registro L21</w:t>
      </w:r>
      <w:r w:rsidR="004E2017" w:rsidRPr="00FA3856">
        <w:t>0: Informativo da Composição de Custos</w:t>
      </w:r>
      <w:bookmarkEnd w:id="192"/>
    </w:p>
    <w:p w:rsidR="00B37B2B" w:rsidRPr="00FA3856" w:rsidRDefault="00B37B2B" w:rsidP="004E2017">
      <w:pPr>
        <w:ind w:firstLine="708"/>
        <w:jc w:val="both"/>
        <w:rPr>
          <w:szCs w:val="20"/>
        </w:rPr>
      </w:pPr>
    </w:p>
    <w:p w:rsidR="004E2017" w:rsidRPr="00FA3856" w:rsidRDefault="00B37B2B" w:rsidP="004E2017">
      <w:pPr>
        <w:ind w:firstLine="708"/>
        <w:jc w:val="both"/>
        <w:rPr>
          <w:szCs w:val="20"/>
        </w:rPr>
      </w:pPr>
      <w:r w:rsidRPr="00FA3856">
        <w:rPr>
          <w:szCs w:val="20"/>
        </w:rPr>
        <w:t>Apresenta</w:t>
      </w:r>
      <w:r w:rsidR="004E2017" w:rsidRPr="00FA3856">
        <w:rPr>
          <w:szCs w:val="20"/>
        </w:rPr>
        <w:t xml:space="preserve"> a composição </w:t>
      </w:r>
      <w:r w:rsidR="00AB6137" w:rsidRPr="00FA3856">
        <w:rPr>
          <w:szCs w:val="20"/>
        </w:rPr>
        <w:t>dos custos dos produtos fabricação própr</w:t>
      </w:r>
      <w:r w:rsidR="00EC55DC" w:rsidRPr="00FA3856">
        <w:rPr>
          <w:szCs w:val="20"/>
        </w:rPr>
        <w:t>i</w:t>
      </w:r>
      <w:r w:rsidR="00AB6137" w:rsidRPr="00FA3856">
        <w:rPr>
          <w:szCs w:val="20"/>
        </w:rPr>
        <w:t xml:space="preserve">a vendidos </w:t>
      </w:r>
      <w:r w:rsidR="004E2017" w:rsidRPr="00FA3856">
        <w:rPr>
          <w:szCs w:val="20"/>
        </w:rPr>
        <w:t>e custo</w:t>
      </w:r>
      <w:r w:rsidR="00EC55DC" w:rsidRPr="00FA3856">
        <w:rPr>
          <w:szCs w:val="20"/>
        </w:rPr>
        <w:t>s</w:t>
      </w:r>
      <w:r w:rsidR="004E2017" w:rsidRPr="00FA3856">
        <w:rPr>
          <w:szCs w:val="20"/>
        </w:rPr>
        <w:t xml:space="preserve"> dos serviços prestados </w:t>
      </w:r>
      <w:r w:rsidR="00AB6137" w:rsidRPr="00FA3856">
        <w:rPr>
          <w:szCs w:val="20"/>
        </w:rPr>
        <w:t xml:space="preserve">no período para as empresas que utilizam o inventário permanente. </w:t>
      </w:r>
    </w:p>
    <w:p w:rsidR="007D696B" w:rsidRPr="00FA3856" w:rsidRDefault="007D696B" w:rsidP="004E2017">
      <w:pPr>
        <w:ind w:firstLine="708"/>
        <w:jc w:val="both"/>
        <w:rPr>
          <w:szCs w:val="20"/>
        </w:rPr>
      </w:pPr>
    </w:p>
    <w:p w:rsidR="007D696B" w:rsidRPr="00FA3856" w:rsidRDefault="007D696B" w:rsidP="004E2017">
      <w:pPr>
        <w:ind w:firstLine="708"/>
        <w:jc w:val="both"/>
        <w:rPr>
          <w:szCs w:val="20"/>
        </w:rPr>
      </w:pPr>
      <w:r w:rsidRPr="00FA3856">
        <w:rPr>
          <w:b/>
          <w:szCs w:val="20"/>
        </w:rPr>
        <w:t xml:space="preserve">Observação: </w:t>
      </w:r>
      <w:r w:rsidRPr="00FA3856">
        <w:rPr>
          <w:szCs w:val="20"/>
        </w:rPr>
        <w:t>No caso de lucro real estimativa (anual), o preenchimento do registro L210 será:</w:t>
      </w:r>
    </w:p>
    <w:p w:rsidR="007D696B" w:rsidRPr="00FA3856" w:rsidRDefault="007D696B" w:rsidP="004E2017">
      <w:pPr>
        <w:ind w:firstLine="708"/>
        <w:jc w:val="both"/>
        <w:rPr>
          <w:szCs w:val="20"/>
        </w:rPr>
      </w:pPr>
    </w:p>
    <w:p w:rsidR="007D696B" w:rsidRPr="00FA3856" w:rsidRDefault="007D696B" w:rsidP="004E2017">
      <w:pPr>
        <w:ind w:firstLine="708"/>
        <w:jc w:val="both"/>
        <w:rPr>
          <w:szCs w:val="20"/>
        </w:rPr>
      </w:pPr>
      <w:r w:rsidRPr="00FA3856">
        <w:rPr>
          <w:szCs w:val="20"/>
        </w:rPr>
        <w:t>- No caso</w:t>
      </w:r>
      <w:r w:rsidR="001A3329" w:rsidRPr="00FA3856">
        <w:rPr>
          <w:szCs w:val="20"/>
        </w:rPr>
        <w:t xml:space="preserve"> de receita bruta</w:t>
      </w:r>
      <w:r w:rsidRPr="00FA3856">
        <w:rPr>
          <w:szCs w:val="20"/>
        </w:rPr>
        <w:t xml:space="preserve">: </w:t>
      </w:r>
      <w:r w:rsidR="003C4F78" w:rsidRPr="00FA3856">
        <w:rPr>
          <w:szCs w:val="20"/>
        </w:rPr>
        <w:t>somente será informado o período anual (A00)</w:t>
      </w:r>
    </w:p>
    <w:p w:rsidR="007D696B" w:rsidRPr="00FA3856" w:rsidRDefault="007D696B" w:rsidP="004E2017">
      <w:pPr>
        <w:ind w:firstLine="708"/>
        <w:jc w:val="both"/>
        <w:rPr>
          <w:szCs w:val="20"/>
        </w:rPr>
      </w:pPr>
      <w:r w:rsidRPr="00FA3856">
        <w:rPr>
          <w:szCs w:val="20"/>
        </w:rPr>
        <w:t>- No caso de balanço ou balancete: mensal, com saldos acumulados de um mês para outro.</w:t>
      </w:r>
    </w:p>
    <w:p w:rsidR="005A337B" w:rsidRDefault="005A337B" w:rsidP="00392448">
      <w:pPr>
        <w:rPr>
          <w:b/>
          <w:szCs w:val="20"/>
          <w:lang w:val="pt-PT"/>
        </w:rPr>
      </w:pPr>
    </w:p>
    <w:p w:rsidR="005A337B" w:rsidRDefault="00B35FA3" w:rsidP="005A337B">
      <w:pPr>
        <w:jc w:val="center"/>
        <w:rPr>
          <w:b/>
          <w:szCs w:val="20"/>
          <w:lang w:val="pt-PT"/>
        </w:rPr>
      </w:pPr>
      <w:r>
        <w:rPr>
          <w:b/>
          <w:szCs w:val="20"/>
          <w:lang w:val="pt-PT"/>
        </w:rPr>
        <w:object w:dxaOrig="13965" w:dyaOrig="4065">
          <v:shape id="_x0000_i1669" type="#_x0000_t75" style="width:698.25pt;height:202.5pt" o:ole="">
            <v:imagedata r:id="rId250" o:title=""/>
          </v:shape>
          <o:OLEObject Type="Link" ProgID="Excel.Sheet.12" ShapeID="_x0000_i1669" DrawAspect="Content" r:id="rId251" UpdateMode="Always">
            <o:LinkType>EnhancedMetaFile</o:LinkType>
            <o:LockedField>false</o:LockedField>
          </o:OLEObject>
        </w:object>
      </w:r>
    </w:p>
    <w:p w:rsidR="005A337B" w:rsidRDefault="005A337B" w:rsidP="00392448">
      <w:pPr>
        <w:rPr>
          <w:b/>
          <w:szCs w:val="20"/>
          <w:lang w:val="pt-PT"/>
        </w:rPr>
      </w:pPr>
    </w:p>
    <w:p w:rsidR="00392448" w:rsidRPr="00FA3856" w:rsidRDefault="00392448" w:rsidP="00392448">
      <w:pPr>
        <w:rPr>
          <w:b/>
          <w:szCs w:val="20"/>
          <w:lang w:val="pt-PT"/>
        </w:rPr>
      </w:pPr>
      <w:r w:rsidRPr="00FA3856">
        <w:rPr>
          <w:b/>
          <w:szCs w:val="20"/>
          <w:lang w:val="pt-PT"/>
        </w:rPr>
        <w:t>I – Regras de Validação do Registro:</w:t>
      </w:r>
    </w:p>
    <w:p w:rsidR="00392448" w:rsidRPr="00FA3856" w:rsidRDefault="00392448" w:rsidP="00392448">
      <w:pPr>
        <w:rPr>
          <w:b/>
          <w:szCs w:val="20"/>
          <w:lang w:val="pt-PT"/>
        </w:rPr>
      </w:pPr>
    </w:p>
    <w:p w:rsidR="00FE5D23" w:rsidRPr="00FA3856" w:rsidRDefault="007D0E74" w:rsidP="00FE5D23">
      <w:pPr>
        <w:pStyle w:val="Corpodetexto"/>
        <w:ind w:left="708" w:firstLine="12"/>
        <w:rPr>
          <w:rFonts w:ascii="Times New Roman" w:hAnsi="Times New Roman"/>
          <w:szCs w:val="20"/>
        </w:rPr>
      </w:pPr>
      <w:hyperlink r:id="rId252" w:anchor="REGRA_OCORRENCIA_UNITARIA_ARQ" w:history="1">
        <w:r w:rsidR="00FE5D23" w:rsidRPr="00FA3856">
          <w:rPr>
            <w:rFonts w:ascii="Times New Roman" w:hAnsi="Times New Roman"/>
            <w:b/>
            <w:szCs w:val="20"/>
          </w:rPr>
          <w:t>REGRA_</w:t>
        </w:r>
      </w:hyperlink>
      <w:r w:rsidR="00FE5D23" w:rsidRPr="00FA3856">
        <w:rPr>
          <w:rFonts w:ascii="Times New Roman" w:hAnsi="Times New Roman"/>
          <w:b/>
          <w:szCs w:val="20"/>
        </w:rPr>
        <w:t>DUPLICIDADE_DESPREZADA</w:t>
      </w:r>
      <w:r w:rsidR="00FE5D23" w:rsidRPr="00FA3856">
        <w:rPr>
          <w:rFonts w:ascii="Times New Roman" w:hAnsi="Times New Roman"/>
          <w:color w:val="auto"/>
          <w:szCs w:val="20"/>
        </w:rPr>
        <w:t xml:space="preserve">: </w:t>
      </w:r>
      <w:r w:rsidR="00FE5D23" w:rsidRPr="00FA3856">
        <w:rPr>
          <w:rFonts w:ascii="Times New Roman" w:hAnsi="Times New Roman"/>
          <w:szCs w:val="20"/>
        </w:rPr>
        <w:t>Verifica se o registro já foi importado anteriormente, de acordo com a chave e os registros pais. Se a regra não for cumprida, a ECF gera um aviso.</w:t>
      </w:r>
    </w:p>
    <w:p w:rsidR="00FE5D23" w:rsidRPr="00FA3856" w:rsidRDefault="00FE5D23" w:rsidP="00FE5D23">
      <w:pPr>
        <w:pStyle w:val="Corpodetexto"/>
        <w:ind w:left="708" w:firstLine="12"/>
        <w:rPr>
          <w:rFonts w:ascii="Times New Roman" w:hAnsi="Times New Roman"/>
          <w:szCs w:val="20"/>
        </w:rPr>
      </w:pPr>
    </w:p>
    <w:p w:rsidR="00FE5D23" w:rsidRPr="00FA3856" w:rsidRDefault="007D0E74" w:rsidP="00FE5D23">
      <w:pPr>
        <w:pStyle w:val="Corpodetexto"/>
        <w:ind w:left="708" w:firstLine="12"/>
        <w:rPr>
          <w:rFonts w:ascii="Times New Roman" w:hAnsi="Times New Roman"/>
          <w:szCs w:val="20"/>
        </w:rPr>
      </w:pPr>
      <w:hyperlink r:id="rId253" w:anchor="REGRA_OCORRENCIA_UNITARIA_ARQ" w:history="1">
        <w:r w:rsidR="00FE5D23" w:rsidRPr="00FA3856">
          <w:rPr>
            <w:rFonts w:ascii="Times New Roman" w:hAnsi="Times New Roman"/>
            <w:b/>
            <w:szCs w:val="20"/>
          </w:rPr>
          <w:t>REGRA_</w:t>
        </w:r>
      </w:hyperlink>
      <w:r w:rsidR="00FE5D23" w:rsidRPr="00FA3856">
        <w:rPr>
          <w:rFonts w:ascii="Times New Roman" w:hAnsi="Times New Roman"/>
          <w:b/>
          <w:szCs w:val="20"/>
        </w:rPr>
        <w:t>LINHA_DESPREZADA</w:t>
      </w:r>
      <w:r w:rsidR="00FE5D23" w:rsidRPr="00FA3856">
        <w:rPr>
          <w:rFonts w:ascii="Times New Roman" w:hAnsi="Times New Roman"/>
          <w:color w:val="auto"/>
          <w:szCs w:val="20"/>
        </w:rPr>
        <w:t xml:space="preserve">: </w:t>
      </w:r>
      <w:r w:rsidR="00FE5D23" w:rsidRPr="00FA3856">
        <w:rPr>
          <w:rFonts w:ascii="Times New Roman" w:hAnsi="Times New Roman"/>
          <w:szCs w:val="20"/>
        </w:rPr>
        <w:t>Verifica se o registro existe na importação, mas não será importado por não existir na tabela dinâmica devido às configurações do bloco 0 ou da tabela dinâmica. Gera um aviso.</w:t>
      </w:r>
    </w:p>
    <w:p w:rsidR="00FE5D23" w:rsidRPr="00FA3856" w:rsidRDefault="00FE5D23" w:rsidP="00FE5D23">
      <w:pPr>
        <w:pStyle w:val="Corpodetexto"/>
        <w:ind w:left="708" w:firstLine="12"/>
        <w:rPr>
          <w:rFonts w:ascii="Times New Roman" w:hAnsi="Times New Roman"/>
          <w:b/>
          <w:szCs w:val="20"/>
        </w:rPr>
      </w:pPr>
    </w:p>
    <w:p w:rsidR="00FE5D23" w:rsidRPr="00FA3856" w:rsidRDefault="007D0E74" w:rsidP="00FE5D23">
      <w:pPr>
        <w:pStyle w:val="Corpodetexto"/>
        <w:ind w:left="708" w:firstLine="12"/>
        <w:rPr>
          <w:rFonts w:ascii="Times New Roman" w:hAnsi="Times New Roman"/>
          <w:b/>
          <w:szCs w:val="20"/>
        </w:rPr>
      </w:pPr>
      <w:hyperlink r:id="rId254" w:anchor="REGRA_OCORRENCIA_UNITARIA_ARQ" w:history="1">
        <w:r w:rsidR="00FE5D23" w:rsidRPr="00FA3856">
          <w:rPr>
            <w:rFonts w:ascii="Times New Roman" w:hAnsi="Times New Roman"/>
            <w:b/>
            <w:szCs w:val="20"/>
          </w:rPr>
          <w:t>REGRA_</w:t>
        </w:r>
      </w:hyperlink>
      <w:r w:rsidR="00FE5D23" w:rsidRPr="00FA3856">
        <w:rPr>
          <w:rFonts w:ascii="Times New Roman" w:hAnsi="Times New Roman"/>
          <w:b/>
          <w:szCs w:val="20"/>
        </w:rPr>
        <w:t>LINHA_ATUALIZADA</w:t>
      </w:r>
      <w:r w:rsidR="00FE5D23" w:rsidRPr="00FA3856">
        <w:rPr>
          <w:rFonts w:ascii="Times New Roman" w:hAnsi="Times New Roman"/>
          <w:color w:val="auto"/>
          <w:szCs w:val="20"/>
        </w:rPr>
        <w:t xml:space="preserve">: </w:t>
      </w:r>
      <w:r w:rsidR="00FE5D23" w:rsidRPr="00FA3856">
        <w:rPr>
          <w:rFonts w:ascii="Times New Roman" w:hAnsi="Times New Roman"/>
          <w:szCs w:val="20"/>
        </w:rPr>
        <w:t>Verifica se o registro está desatualizado em relação à tabela da RFB. Gera um aviso.</w:t>
      </w:r>
    </w:p>
    <w:p w:rsidR="00A36DBB" w:rsidRDefault="00A36DBB" w:rsidP="004E2017">
      <w:pPr>
        <w:rPr>
          <w:b/>
          <w:szCs w:val="20"/>
          <w:lang w:val="pt-PT"/>
        </w:rPr>
      </w:pPr>
    </w:p>
    <w:p w:rsidR="002B3B3F" w:rsidRDefault="002B3B3F" w:rsidP="004E2017">
      <w:pPr>
        <w:rPr>
          <w:b/>
          <w:szCs w:val="20"/>
          <w:lang w:val="pt-PT"/>
        </w:rPr>
      </w:pPr>
    </w:p>
    <w:p w:rsidR="002B3B3F" w:rsidRDefault="002B3B3F" w:rsidP="004E2017">
      <w:pPr>
        <w:rPr>
          <w:b/>
          <w:szCs w:val="20"/>
          <w:lang w:val="pt-PT"/>
        </w:rPr>
      </w:pPr>
    </w:p>
    <w:p w:rsidR="002B3B3F" w:rsidRDefault="002B3B3F" w:rsidP="004E2017">
      <w:pPr>
        <w:rPr>
          <w:b/>
          <w:szCs w:val="20"/>
          <w:lang w:val="pt-PT"/>
        </w:rPr>
      </w:pPr>
    </w:p>
    <w:p w:rsidR="002B3B3F" w:rsidRDefault="002B3B3F" w:rsidP="004E2017">
      <w:pPr>
        <w:rPr>
          <w:b/>
          <w:szCs w:val="20"/>
          <w:lang w:val="pt-PT"/>
        </w:rPr>
      </w:pPr>
    </w:p>
    <w:p w:rsidR="004E2017" w:rsidRPr="00FA3856" w:rsidRDefault="00392448" w:rsidP="004E2017">
      <w:pPr>
        <w:rPr>
          <w:b/>
          <w:szCs w:val="20"/>
          <w:lang w:val="pt-PT"/>
        </w:rPr>
      </w:pPr>
      <w:r w:rsidRPr="00FA3856">
        <w:rPr>
          <w:b/>
          <w:szCs w:val="20"/>
          <w:lang w:val="pt-PT"/>
        </w:rPr>
        <w:t>I</w:t>
      </w:r>
      <w:r w:rsidR="004E2017" w:rsidRPr="00FA3856">
        <w:rPr>
          <w:b/>
          <w:szCs w:val="20"/>
          <w:lang w:val="pt-PT"/>
        </w:rPr>
        <w:t>I – Regras de Validação de Campos:</w:t>
      </w:r>
    </w:p>
    <w:p w:rsidR="004E2017" w:rsidRPr="00FA3856" w:rsidRDefault="004E2017" w:rsidP="004E2017">
      <w:pPr>
        <w:rPr>
          <w:b/>
          <w:szCs w:val="20"/>
          <w:lang w:val="pt-PT"/>
        </w:rPr>
      </w:pPr>
    </w:p>
    <w:tbl>
      <w:tblPr>
        <w:tblW w:w="14817"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85"/>
        <w:gridCol w:w="2450"/>
        <w:gridCol w:w="11165"/>
        <w:gridCol w:w="717"/>
      </w:tblGrid>
      <w:tr w:rsidR="004E2017" w:rsidRPr="00FA3856" w:rsidTr="00375E89">
        <w:trPr>
          <w:jc w:val="center"/>
        </w:trPr>
        <w:tc>
          <w:tcPr>
            <w:tcW w:w="485" w:type="dxa"/>
            <w:tcBorders>
              <w:top w:val="single" w:sz="6" w:space="0" w:color="auto"/>
              <w:left w:val="single" w:sz="6" w:space="0" w:color="auto"/>
              <w:bottom w:val="single" w:sz="6" w:space="0" w:color="auto"/>
              <w:right w:val="single" w:sz="6" w:space="0" w:color="auto"/>
            </w:tcBorders>
            <w:shd w:val="pct10" w:color="auto" w:fill="FFFFFF"/>
          </w:tcPr>
          <w:p w:rsidR="004E2017" w:rsidRPr="00FA3856" w:rsidRDefault="004E2017" w:rsidP="00B37B2B">
            <w:pPr>
              <w:pStyle w:val="PSDS-CorpodeTexto0"/>
              <w:jc w:val="center"/>
              <w:rPr>
                <w:rFonts w:ascii="Times New Roman" w:hAnsi="Times New Roman"/>
                <w:b/>
                <w:bCs/>
              </w:rPr>
            </w:pPr>
            <w:r w:rsidRPr="00FA3856">
              <w:rPr>
                <w:rFonts w:ascii="Times New Roman" w:hAnsi="Times New Roman"/>
                <w:b/>
                <w:bCs/>
              </w:rPr>
              <w:t>Nº</w:t>
            </w:r>
          </w:p>
        </w:tc>
        <w:tc>
          <w:tcPr>
            <w:tcW w:w="2450" w:type="dxa"/>
            <w:tcBorders>
              <w:top w:val="single" w:sz="6" w:space="0" w:color="auto"/>
              <w:left w:val="single" w:sz="6" w:space="0" w:color="auto"/>
              <w:bottom w:val="single" w:sz="6" w:space="0" w:color="auto"/>
              <w:right w:val="single" w:sz="6" w:space="0" w:color="auto"/>
            </w:tcBorders>
            <w:shd w:val="pct10" w:color="auto" w:fill="FFFFFF"/>
          </w:tcPr>
          <w:p w:rsidR="004E2017" w:rsidRPr="00FA3856" w:rsidRDefault="004E2017" w:rsidP="00B37B2B">
            <w:pPr>
              <w:pStyle w:val="PSDS-CorpodeTexto0"/>
              <w:jc w:val="center"/>
              <w:rPr>
                <w:rFonts w:ascii="Times New Roman" w:hAnsi="Times New Roman"/>
                <w:b/>
                <w:bCs/>
              </w:rPr>
            </w:pPr>
            <w:r w:rsidRPr="00FA3856">
              <w:rPr>
                <w:rFonts w:ascii="Times New Roman" w:hAnsi="Times New Roman"/>
                <w:b/>
                <w:bCs/>
              </w:rPr>
              <w:t>Campo</w:t>
            </w:r>
          </w:p>
        </w:tc>
        <w:tc>
          <w:tcPr>
            <w:tcW w:w="11165" w:type="dxa"/>
            <w:tcBorders>
              <w:top w:val="single" w:sz="6" w:space="0" w:color="auto"/>
              <w:left w:val="single" w:sz="6" w:space="0" w:color="auto"/>
              <w:bottom w:val="single" w:sz="6" w:space="0" w:color="auto"/>
              <w:right w:val="single" w:sz="6" w:space="0" w:color="auto"/>
            </w:tcBorders>
            <w:shd w:val="pct10" w:color="auto" w:fill="FFFFFF"/>
          </w:tcPr>
          <w:p w:rsidR="004E2017" w:rsidRPr="00FA3856" w:rsidRDefault="004E2017" w:rsidP="00B37B2B">
            <w:pPr>
              <w:pStyle w:val="PSDS-CorpodeTexto0"/>
              <w:jc w:val="center"/>
              <w:rPr>
                <w:rFonts w:ascii="Times New Roman" w:hAnsi="Times New Roman"/>
                <w:b/>
                <w:bCs/>
              </w:rPr>
            </w:pPr>
            <w:r w:rsidRPr="00FA3856">
              <w:rPr>
                <w:rFonts w:ascii="Times New Roman" w:hAnsi="Times New Roman"/>
                <w:b/>
                <w:bCs/>
              </w:rPr>
              <w:t>Regras de Validação do Campo</w:t>
            </w:r>
          </w:p>
        </w:tc>
        <w:tc>
          <w:tcPr>
            <w:tcW w:w="717" w:type="dxa"/>
            <w:tcBorders>
              <w:top w:val="single" w:sz="6" w:space="0" w:color="auto"/>
              <w:left w:val="single" w:sz="6" w:space="0" w:color="auto"/>
              <w:bottom w:val="single" w:sz="6" w:space="0" w:color="auto"/>
              <w:right w:val="single" w:sz="6" w:space="0" w:color="auto"/>
            </w:tcBorders>
            <w:shd w:val="pct10" w:color="auto" w:fill="FFFFFF"/>
          </w:tcPr>
          <w:p w:rsidR="004E2017" w:rsidRPr="00FA3856" w:rsidRDefault="004E2017" w:rsidP="00B37B2B">
            <w:pPr>
              <w:pStyle w:val="PSDS-CorpodeTexto0"/>
              <w:jc w:val="center"/>
              <w:rPr>
                <w:rFonts w:ascii="Times New Roman" w:hAnsi="Times New Roman"/>
                <w:b/>
                <w:bCs/>
              </w:rPr>
            </w:pPr>
            <w:r w:rsidRPr="00FA3856">
              <w:rPr>
                <w:rFonts w:ascii="Times New Roman" w:hAnsi="Times New Roman"/>
                <w:b/>
                <w:bCs/>
              </w:rPr>
              <w:t>Tipo</w:t>
            </w:r>
          </w:p>
        </w:tc>
      </w:tr>
      <w:tr w:rsidR="0012324D" w:rsidRPr="00FA3856" w:rsidTr="00375E89">
        <w:trPr>
          <w:jc w:val="center"/>
        </w:trPr>
        <w:tc>
          <w:tcPr>
            <w:tcW w:w="485" w:type="dxa"/>
            <w:tcBorders>
              <w:top w:val="single" w:sz="6" w:space="0" w:color="auto"/>
              <w:left w:val="single" w:sz="6" w:space="0" w:color="auto"/>
              <w:bottom w:val="single" w:sz="6" w:space="0" w:color="auto"/>
              <w:right w:val="single" w:sz="6" w:space="0" w:color="auto"/>
            </w:tcBorders>
          </w:tcPr>
          <w:p w:rsidR="0012324D" w:rsidRPr="00FA3856" w:rsidRDefault="0012324D" w:rsidP="0012324D">
            <w:pPr>
              <w:pStyle w:val="PSDS-CorpodeTexto0"/>
              <w:suppressAutoHyphens w:val="0"/>
              <w:rPr>
                <w:rFonts w:ascii="Times New Roman" w:hAnsi="Times New Roman"/>
                <w:b/>
                <w:bCs/>
                <w:lang w:val="pt-PT"/>
              </w:rPr>
            </w:pPr>
            <w:r w:rsidRPr="00FA3856">
              <w:rPr>
                <w:rFonts w:ascii="Times New Roman" w:hAnsi="Times New Roman"/>
                <w:b/>
                <w:bCs/>
                <w:lang w:val="pt-PT"/>
              </w:rPr>
              <w:t>4</w:t>
            </w:r>
          </w:p>
        </w:tc>
        <w:tc>
          <w:tcPr>
            <w:tcW w:w="2450" w:type="dxa"/>
            <w:tcBorders>
              <w:top w:val="single" w:sz="6" w:space="0" w:color="auto"/>
              <w:left w:val="single" w:sz="6" w:space="0" w:color="auto"/>
              <w:bottom w:val="single" w:sz="6" w:space="0" w:color="auto"/>
              <w:right w:val="single" w:sz="6" w:space="0" w:color="auto"/>
            </w:tcBorders>
          </w:tcPr>
          <w:p w:rsidR="0012324D" w:rsidRPr="00FA3856" w:rsidRDefault="0012324D" w:rsidP="0012324D">
            <w:pPr>
              <w:pStyle w:val="PSDS-CorpodeTexto0"/>
              <w:rPr>
                <w:rFonts w:ascii="Times New Roman" w:hAnsi="Times New Roman"/>
              </w:rPr>
            </w:pPr>
            <w:r w:rsidRPr="00FA3856">
              <w:rPr>
                <w:rFonts w:ascii="Times New Roman" w:hAnsi="Times New Roman"/>
              </w:rPr>
              <w:t>VALOR</w:t>
            </w:r>
          </w:p>
        </w:tc>
        <w:tc>
          <w:tcPr>
            <w:tcW w:w="11165" w:type="dxa"/>
            <w:tcBorders>
              <w:top w:val="single" w:sz="6" w:space="0" w:color="auto"/>
              <w:left w:val="single" w:sz="6" w:space="0" w:color="auto"/>
              <w:bottom w:val="single" w:sz="6" w:space="0" w:color="auto"/>
              <w:right w:val="single" w:sz="6" w:space="0" w:color="auto"/>
            </w:tcBorders>
          </w:tcPr>
          <w:p w:rsidR="0012324D" w:rsidRPr="00FA3856" w:rsidRDefault="0012324D" w:rsidP="0012324D">
            <w:pPr>
              <w:pStyle w:val="Corpodetexto"/>
              <w:rPr>
                <w:rFonts w:ascii="Times New Roman" w:hAnsi="Times New Roman"/>
                <w:szCs w:val="20"/>
              </w:rPr>
            </w:pPr>
            <w:r w:rsidRPr="00FA3856">
              <w:rPr>
                <w:rFonts w:ascii="Times New Roman" w:hAnsi="Times New Roman"/>
                <w:b/>
                <w:bCs/>
                <w:szCs w:val="20"/>
              </w:rPr>
              <w:t>REGRA_OBRIGATORIO_TIPO_DIFERENTE_R</w:t>
            </w:r>
            <w:r w:rsidRPr="00FA3856">
              <w:rPr>
                <w:rFonts w:ascii="Times New Roman" w:hAnsi="Times New Roman"/>
                <w:szCs w:val="20"/>
              </w:rPr>
              <w:t xml:space="preserve">: </w:t>
            </w:r>
            <w:r w:rsidRPr="00FA3856">
              <w:rPr>
                <w:rStyle w:val="Hyperlink"/>
                <w:rFonts w:ascii="Times New Roman" w:hAnsi="Times New Roman"/>
                <w:bCs/>
                <w:color w:val="auto"/>
                <w:szCs w:val="20"/>
                <w:lang w:val="pt-PT"/>
              </w:rPr>
              <w:t xml:space="preserve">Verifica se o campo está preenchido quando o tipo da linha </w:t>
            </w:r>
            <w:r w:rsidR="00E00235" w:rsidRPr="00FA3856">
              <w:rPr>
                <w:rStyle w:val="Hyperlink"/>
                <w:rFonts w:ascii="Times New Roman" w:hAnsi="Times New Roman"/>
                <w:bCs/>
                <w:color w:val="auto"/>
                <w:szCs w:val="20"/>
                <w:lang w:val="pt-PT"/>
              </w:rPr>
              <w:t>é diferente</w:t>
            </w:r>
            <w:r w:rsidRPr="00FA3856">
              <w:rPr>
                <w:rStyle w:val="Hyperlink"/>
                <w:rFonts w:ascii="Times New Roman" w:hAnsi="Times New Roman"/>
                <w:bCs/>
                <w:color w:val="auto"/>
                <w:szCs w:val="20"/>
                <w:lang w:val="pt-PT"/>
              </w:rPr>
              <w:t xml:space="preserve"> de “R”.</w:t>
            </w:r>
          </w:p>
        </w:tc>
        <w:tc>
          <w:tcPr>
            <w:tcW w:w="717" w:type="dxa"/>
            <w:tcBorders>
              <w:top w:val="single" w:sz="6" w:space="0" w:color="auto"/>
              <w:left w:val="single" w:sz="6" w:space="0" w:color="auto"/>
              <w:bottom w:val="single" w:sz="6" w:space="0" w:color="auto"/>
              <w:right w:val="single" w:sz="6" w:space="0" w:color="auto"/>
            </w:tcBorders>
          </w:tcPr>
          <w:p w:rsidR="0012324D" w:rsidRPr="00FA3856" w:rsidRDefault="0012324D" w:rsidP="0012324D">
            <w:pPr>
              <w:pStyle w:val="PSDS-CorpodeTexto0"/>
              <w:rPr>
                <w:rFonts w:ascii="Times New Roman" w:hAnsi="Times New Roman"/>
              </w:rPr>
            </w:pPr>
            <w:r w:rsidRPr="00FA3856">
              <w:rPr>
                <w:rFonts w:ascii="Times New Roman" w:hAnsi="Times New Roman"/>
              </w:rPr>
              <w:t>Erro</w:t>
            </w:r>
          </w:p>
          <w:p w:rsidR="0012324D" w:rsidRPr="00FA3856" w:rsidRDefault="0012324D" w:rsidP="0012324D">
            <w:pPr>
              <w:pStyle w:val="PSDS-CorpodeTexto0"/>
              <w:rPr>
                <w:rFonts w:ascii="Times New Roman" w:hAnsi="Times New Roman"/>
              </w:rPr>
            </w:pPr>
          </w:p>
        </w:tc>
      </w:tr>
    </w:tbl>
    <w:p w:rsidR="00392448" w:rsidRPr="00FA3856" w:rsidRDefault="00392448" w:rsidP="00392448">
      <w:pPr>
        <w:rPr>
          <w:b/>
          <w:szCs w:val="20"/>
          <w:lang w:val="pt-PT"/>
        </w:rPr>
      </w:pPr>
    </w:p>
    <w:p w:rsidR="00BF5F2B" w:rsidRPr="00FA3856" w:rsidRDefault="00BF5F2B" w:rsidP="00392448">
      <w:pPr>
        <w:rPr>
          <w:b/>
          <w:szCs w:val="20"/>
          <w:lang w:val="pt-PT"/>
        </w:rPr>
      </w:pPr>
      <w:r w:rsidRPr="00FA3856">
        <w:rPr>
          <w:b/>
          <w:szCs w:val="20"/>
          <w:lang w:val="pt-PT"/>
        </w:rPr>
        <w:t>I</w:t>
      </w:r>
      <w:r w:rsidR="00392448" w:rsidRPr="00FA3856">
        <w:rPr>
          <w:b/>
          <w:szCs w:val="20"/>
          <w:lang w:val="pt-PT"/>
        </w:rPr>
        <w:t>II</w:t>
      </w:r>
      <w:r w:rsidRPr="00FA3856">
        <w:rPr>
          <w:b/>
          <w:szCs w:val="20"/>
          <w:lang w:val="pt-PT"/>
        </w:rPr>
        <w:t xml:space="preserve"> – Tabela Dinâmica:</w:t>
      </w:r>
      <w:r w:rsidR="002E0590">
        <w:rPr>
          <w:b/>
          <w:szCs w:val="20"/>
          <w:lang w:val="pt-PT"/>
        </w:rPr>
        <w:t xml:space="preserve"> </w:t>
      </w:r>
      <w:r w:rsidR="002E0590" w:rsidRPr="002E0590">
        <w:rPr>
          <w:b/>
          <w:szCs w:val="20"/>
          <w:lang w:val="pt-PT"/>
        </w:rPr>
        <w:t>L210 - Informativo de Composição de Custos</w:t>
      </w:r>
    </w:p>
    <w:p w:rsidR="00342F1D" w:rsidRDefault="00F114D3" w:rsidP="00342F1D">
      <w:pPr>
        <w:rPr>
          <w:b/>
          <w:szCs w:val="20"/>
        </w:rPr>
      </w:pPr>
      <w:r w:rsidRPr="00FA3856">
        <w:rPr>
          <w:b/>
          <w:szCs w:val="20"/>
        </w:rPr>
        <w:t xml:space="preserve">R = Rótulo; E = Editável; CA = Cálculo Alterável; CNA </w:t>
      </w:r>
      <w:r w:rsidR="00342F1D">
        <w:rPr>
          <w:b/>
          <w:szCs w:val="20"/>
        </w:rPr>
        <w:t xml:space="preserve">= Cálculo Não Alterável </w:t>
      </w:r>
    </w:p>
    <w:p w:rsidR="002E0590" w:rsidRPr="00342F1D" w:rsidRDefault="00486CDA" w:rsidP="00342F1D">
      <w:pPr>
        <w:rPr>
          <w:b/>
          <w:szCs w:val="20"/>
        </w:rPr>
      </w:pPr>
      <w:r>
        <w:rPr>
          <w:b/>
          <w:color w:val="002060"/>
          <w:szCs w:val="20"/>
        </w:rPr>
        <w:object w:dxaOrig="1534" w:dyaOrig="997">
          <v:shape id="_x0000_i1128" type="#_x0000_t75" style="width:79.5pt;height:50.25pt" o:ole="">
            <v:imagedata r:id="rId255" o:title=""/>
          </v:shape>
          <o:OLEObject Type="Link" ProgID="Excel.Sheet.12" ShapeID="_x0000_i1128" DrawAspect="Content" r:id="rId256" UpdateMode="OnCall">
            <o:LinkType>EnhancedMetaFile</o:LinkType>
            <o:LockedField>false</o:LockedField>
          </o:OLEObject>
        </w:object>
      </w:r>
    </w:p>
    <w:p w:rsidR="00C44EBF" w:rsidRDefault="003B0389" w:rsidP="001A6818">
      <w:pPr>
        <w:pStyle w:val="Corpodetexto"/>
        <w:rPr>
          <w:rFonts w:ascii="Times New Roman" w:hAnsi="Times New Roman"/>
          <w:b/>
          <w:color w:val="002060"/>
          <w:szCs w:val="20"/>
        </w:rPr>
      </w:pPr>
      <w:r w:rsidRPr="00FA3856">
        <w:rPr>
          <w:rFonts w:ascii="Times New Roman" w:hAnsi="Times New Roman"/>
          <w:b/>
          <w:color w:val="002060"/>
          <w:szCs w:val="20"/>
        </w:rPr>
        <w:t xml:space="preserve">Exemplo de preenchimento: </w:t>
      </w:r>
    </w:p>
    <w:p w:rsidR="00C44EBF" w:rsidRDefault="00C44EBF" w:rsidP="001A6818">
      <w:pPr>
        <w:pStyle w:val="Corpodetexto"/>
        <w:rPr>
          <w:rFonts w:ascii="Times New Roman" w:hAnsi="Times New Roman"/>
          <w:b/>
          <w:color w:val="002060"/>
          <w:szCs w:val="20"/>
        </w:rPr>
      </w:pPr>
    </w:p>
    <w:p w:rsidR="001A6818" w:rsidRPr="00FA3856" w:rsidRDefault="001A6818" w:rsidP="001A6818">
      <w:pPr>
        <w:pStyle w:val="Corpodetexto"/>
        <w:rPr>
          <w:rFonts w:ascii="Times New Roman" w:hAnsi="Times New Roman"/>
          <w:b/>
          <w:color w:val="002060"/>
          <w:szCs w:val="20"/>
        </w:rPr>
      </w:pPr>
      <w:r w:rsidRPr="00FA3856">
        <w:rPr>
          <w:rFonts w:ascii="Times New Roman" w:hAnsi="Times New Roman"/>
          <w:b/>
          <w:color w:val="002060"/>
          <w:szCs w:val="20"/>
        </w:rPr>
        <w:t>|L210|92|Constituição de Provisões|1000,00|</w:t>
      </w:r>
    </w:p>
    <w:p w:rsidR="001A6818" w:rsidRPr="00FA3856" w:rsidRDefault="001A6818" w:rsidP="001A6818">
      <w:pPr>
        <w:pStyle w:val="Corpodetexto"/>
        <w:ind w:firstLine="708"/>
        <w:rPr>
          <w:rFonts w:ascii="Times New Roman" w:hAnsi="Times New Roman"/>
          <w:color w:val="002060"/>
          <w:szCs w:val="20"/>
        </w:rPr>
      </w:pPr>
      <w:r w:rsidRPr="00FA3856">
        <w:rPr>
          <w:rFonts w:ascii="Times New Roman" w:hAnsi="Times New Roman"/>
          <w:color w:val="002060"/>
          <w:szCs w:val="20"/>
        </w:rPr>
        <w:t>|L210|: Identificação do tipo do registro.</w:t>
      </w:r>
    </w:p>
    <w:p w:rsidR="001A6818" w:rsidRPr="00FA3856" w:rsidRDefault="001A6818" w:rsidP="001A6818">
      <w:pPr>
        <w:pStyle w:val="Corpodetexto"/>
        <w:ind w:firstLine="708"/>
        <w:rPr>
          <w:rFonts w:ascii="Times New Roman" w:hAnsi="Times New Roman"/>
          <w:color w:val="002060"/>
          <w:szCs w:val="20"/>
        </w:rPr>
      </w:pPr>
      <w:r w:rsidRPr="00FA3856">
        <w:rPr>
          <w:rFonts w:ascii="Times New Roman" w:hAnsi="Times New Roman"/>
          <w:color w:val="002060"/>
          <w:szCs w:val="20"/>
        </w:rPr>
        <w:t>|92|: Código da linha.</w:t>
      </w:r>
      <w:r w:rsidRPr="00FA3856">
        <w:rPr>
          <w:rFonts w:ascii="Times New Roman" w:hAnsi="Times New Roman"/>
          <w:color w:val="002060"/>
          <w:szCs w:val="20"/>
        </w:rPr>
        <w:tab/>
      </w:r>
    </w:p>
    <w:p w:rsidR="001A6818" w:rsidRPr="00FA3856" w:rsidRDefault="001A6818" w:rsidP="001A6818">
      <w:pPr>
        <w:pStyle w:val="Corpodetexto"/>
        <w:ind w:firstLine="708"/>
        <w:rPr>
          <w:rFonts w:ascii="Times New Roman" w:hAnsi="Times New Roman"/>
          <w:color w:val="002060"/>
          <w:szCs w:val="20"/>
        </w:rPr>
      </w:pPr>
      <w:r w:rsidRPr="00FA3856">
        <w:rPr>
          <w:rFonts w:ascii="Times New Roman" w:hAnsi="Times New Roman"/>
          <w:color w:val="002060"/>
          <w:szCs w:val="20"/>
        </w:rPr>
        <w:t>|Constituição de Provisões|: Descrição da linha.</w:t>
      </w:r>
    </w:p>
    <w:p w:rsidR="001A6818" w:rsidRPr="00FA3856" w:rsidRDefault="001A6818" w:rsidP="001A6818">
      <w:pPr>
        <w:pStyle w:val="Corpodetexto"/>
        <w:ind w:firstLine="708"/>
        <w:rPr>
          <w:rFonts w:ascii="Times New Roman" w:hAnsi="Times New Roman"/>
          <w:color w:val="002060"/>
          <w:szCs w:val="20"/>
        </w:rPr>
      </w:pPr>
      <w:r w:rsidRPr="00FA3856">
        <w:rPr>
          <w:rFonts w:ascii="Times New Roman" w:hAnsi="Times New Roman"/>
          <w:color w:val="002060"/>
          <w:szCs w:val="20"/>
        </w:rPr>
        <w:t>|1000,00|: Valor da linha (R$ 1.000,00).</w:t>
      </w:r>
    </w:p>
    <w:p w:rsidR="000A2B94" w:rsidRPr="00FA3856" w:rsidRDefault="000A2B94" w:rsidP="001A6818">
      <w:pPr>
        <w:pStyle w:val="Corpodetexto"/>
        <w:ind w:firstLine="708"/>
        <w:rPr>
          <w:rFonts w:ascii="Times New Roman" w:hAnsi="Times New Roman"/>
          <w:color w:val="002060"/>
          <w:szCs w:val="20"/>
        </w:rPr>
      </w:pPr>
    </w:p>
    <w:p w:rsidR="001B6DF5" w:rsidRPr="00FA3856" w:rsidRDefault="001B6DF5">
      <w:pPr>
        <w:spacing w:after="200" w:line="276" w:lineRule="auto"/>
        <w:rPr>
          <w:b/>
          <w:bCs/>
          <w:color w:val="0000FF"/>
          <w:szCs w:val="20"/>
        </w:rPr>
      </w:pPr>
      <w:r w:rsidRPr="00FA3856">
        <w:rPr>
          <w:color w:val="0000FF"/>
          <w:szCs w:val="20"/>
        </w:rPr>
        <w:br w:type="page"/>
      </w:r>
    </w:p>
    <w:p w:rsidR="00B37B2B" w:rsidRPr="00FA3856" w:rsidRDefault="00B37B2B" w:rsidP="00867F54">
      <w:pPr>
        <w:pStyle w:val="Ttulo4"/>
      </w:pPr>
      <w:bookmarkStart w:id="193" w:name="_Toc479713719"/>
      <w:r w:rsidRPr="00FA3856">
        <w:lastRenderedPageBreak/>
        <w:t xml:space="preserve">Registro L300: Demonstração </w:t>
      </w:r>
      <w:r w:rsidR="00FB6D67" w:rsidRPr="00FA3856">
        <w:t xml:space="preserve">do </w:t>
      </w:r>
      <w:r w:rsidR="003C4022" w:rsidRPr="00FA3856">
        <w:t xml:space="preserve">Resultado </w:t>
      </w:r>
      <w:r w:rsidR="00A21A42" w:rsidRPr="00FA3856">
        <w:t>Líquido no Período Fiscal</w:t>
      </w:r>
      <w:bookmarkEnd w:id="193"/>
    </w:p>
    <w:p w:rsidR="00271294" w:rsidRPr="00FA3856" w:rsidRDefault="00271294" w:rsidP="00961C08">
      <w:pPr>
        <w:ind w:firstLine="708"/>
        <w:rPr>
          <w:szCs w:val="20"/>
        </w:rPr>
      </w:pPr>
    </w:p>
    <w:p w:rsidR="00B37B2B" w:rsidRPr="009F59E4" w:rsidRDefault="00B37B2B" w:rsidP="009F59E4">
      <w:pPr>
        <w:ind w:firstLine="708"/>
        <w:rPr>
          <w:szCs w:val="20"/>
          <w:lang w:val="pt-PT"/>
        </w:rPr>
      </w:pPr>
      <w:r w:rsidRPr="00FA3856">
        <w:rPr>
          <w:szCs w:val="20"/>
        </w:rPr>
        <w:t>Apresenta o demonstrativo do resultado do exercício para o perío</w:t>
      </w:r>
      <w:r w:rsidR="00961C08" w:rsidRPr="00FA3856">
        <w:rPr>
          <w:szCs w:val="20"/>
        </w:rPr>
        <w:t xml:space="preserve">do de apuração. </w:t>
      </w:r>
      <w:r w:rsidR="009F59E4">
        <w:rPr>
          <w:b/>
          <w:szCs w:val="20"/>
          <w:highlight w:val="yellow"/>
          <w:lang w:val="pt-PT"/>
        </w:rPr>
        <w:t>Os saldos finais do registro L3</w:t>
      </w:r>
      <w:r w:rsidR="009F59E4" w:rsidRPr="009F59E4">
        <w:rPr>
          <w:b/>
          <w:szCs w:val="20"/>
          <w:highlight w:val="yellow"/>
          <w:lang w:val="pt-PT"/>
        </w:rPr>
        <w:t>00 não são editáveis.</w:t>
      </w:r>
    </w:p>
    <w:p w:rsidR="00B37B2B" w:rsidRPr="00FA3856" w:rsidRDefault="00B37B2B" w:rsidP="00B37B2B">
      <w:pPr>
        <w:jc w:val="both"/>
        <w:rPr>
          <w:szCs w:val="20"/>
        </w:rPr>
      </w:pPr>
    </w:p>
    <w:p w:rsidR="00DE5266" w:rsidRPr="00FA3856" w:rsidRDefault="00DE5266" w:rsidP="00DE5266">
      <w:pPr>
        <w:ind w:firstLine="708"/>
        <w:rPr>
          <w:b/>
          <w:szCs w:val="20"/>
        </w:rPr>
      </w:pPr>
      <w:r w:rsidRPr="00FA3856">
        <w:rPr>
          <w:b/>
          <w:szCs w:val="20"/>
          <w:lang w:val="pt-PT"/>
        </w:rPr>
        <w:t xml:space="preserve">Atenção: Os planos referenciais correspondentes ao registro L300 estão </w:t>
      </w:r>
      <w:r w:rsidR="007D2307" w:rsidRPr="00FA3856">
        <w:rPr>
          <w:b/>
          <w:szCs w:val="20"/>
          <w:lang w:val="pt-PT"/>
        </w:rPr>
        <w:t>no anexo, em A</w:t>
      </w:r>
      <w:r w:rsidRPr="00FA3856">
        <w:rPr>
          <w:b/>
          <w:szCs w:val="20"/>
          <w:lang w:val="pt-PT"/>
        </w:rPr>
        <w:t>.1.1.2. Contas de Resultado</w:t>
      </w:r>
    </w:p>
    <w:p w:rsidR="00CC6BF6" w:rsidRDefault="00CC6BF6" w:rsidP="007925EF">
      <w:pPr>
        <w:rPr>
          <w:b/>
          <w:szCs w:val="20"/>
          <w:lang w:val="pt-PT"/>
        </w:rPr>
      </w:pPr>
    </w:p>
    <w:p w:rsidR="004417B8" w:rsidRPr="00FA3856" w:rsidRDefault="00B35FA3" w:rsidP="004417B8">
      <w:pPr>
        <w:jc w:val="center"/>
        <w:rPr>
          <w:b/>
          <w:szCs w:val="20"/>
          <w:lang w:val="pt-PT"/>
        </w:rPr>
      </w:pPr>
      <w:r>
        <w:rPr>
          <w:b/>
          <w:szCs w:val="20"/>
          <w:lang w:val="pt-PT"/>
        </w:rPr>
        <w:object w:dxaOrig="14190" w:dyaOrig="7365">
          <v:shape id="_x0000_i1672" type="#_x0000_t75" style="width:705pt;height:367.5pt" o:ole="">
            <v:imagedata r:id="rId257" o:title=""/>
          </v:shape>
          <o:OLEObject Type="Link" ProgID="Excel.Sheet.12" ShapeID="_x0000_i1672" DrawAspect="Content" r:id="rId258" UpdateMode="Always">
            <o:LinkType>EnhancedMetaFile</o:LinkType>
            <o:LockedField>false</o:LockedField>
          </o:OLEObject>
        </w:object>
      </w:r>
    </w:p>
    <w:p w:rsidR="004417B8" w:rsidRDefault="004417B8">
      <w:pPr>
        <w:spacing w:after="200" w:line="276" w:lineRule="auto"/>
        <w:rPr>
          <w:b/>
          <w:szCs w:val="20"/>
          <w:lang w:val="pt-PT"/>
        </w:rPr>
      </w:pPr>
      <w:r>
        <w:rPr>
          <w:b/>
          <w:szCs w:val="20"/>
          <w:lang w:val="pt-PT"/>
        </w:rPr>
        <w:br w:type="page"/>
      </w:r>
    </w:p>
    <w:p w:rsidR="00392448" w:rsidRPr="00FA3856" w:rsidRDefault="00392448" w:rsidP="007925EF">
      <w:pPr>
        <w:rPr>
          <w:b/>
          <w:szCs w:val="20"/>
          <w:lang w:val="pt-PT"/>
        </w:rPr>
      </w:pPr>
      <w:r w:rsidRPr="00FA3856">
        <w:rPr>
          <w:b/>
          <w:szCs w:val="20"/>
          <w:lang w:val="pt-PT"/>
        </w:rPr>
        <w:lastRenderedPageBreak/>
        <w:t>I – R</w:t>
      </w:r>
      <w:r w:rsidR="007925EF" w:rsidRPr="00FA3856">
        <w:rPr>
          <w:b/>
          <w:szCs w:val="20"/>
          <w:lang w:val="pt-PT"/>
        </w:rPr>
        <w:t>egras de Validação do Registro:</w:t>
      </w:r>
    </w:p>
    <w:p w:rsidR="001A6818" w:rsidRPr="00FA3856" w:rsidRDefault="001A6818" w:rsidP="007925EF">
      <w:pPr>
        <w:rPr>
          <w:b/>
          <w:szCs w:val="20"/>
          <w:lang w:val="pt-PT"/>
        </w:rPr>
      </w:pPr>
    </w:p>
    <w:p w:rsidR="00FE5D23" w:rsidRPr="00FA3856" w:rsidRDefault="007D0E74" w:rsidP="00FE5D23">
      <w:pPr>
        <w:pStyle w:val="Corpodetexto"/>
        <w:ind w:left="708" w:firstLine="12"/>
        <w:rPr>
          <w:rFonts w:ascii="Times New Roman" w:hAnsi="Times New Roman"/>
          <w:szCs w:val="20"/>
        </w:rPr>
      </w:pPr>
      <w:hyperlink r:id="rId259" w:anchor="REGRA_OCORRENCIA_UNITARIA_ARQ" w:history="1">
        <w:r w:rsidR="00FE5D23" w:rsidRPr="00FA3856">
          <w:rPr>
            <w:rFonts w:ascii="Times New Roman" w:hAnsi="Times New Roman"/>
            <w:b/>
            <w:szCs w:val="20"/>
          </w:rPr>
          <w:t>REGRA_</w:t>
        </w:r>
      </w:hyperlink>
      <w:r w:rsidR="00FE5D23" w:rsidRPr="00FA3856">
        <w:rPr>
          <w:rFonts w:ascii="Times New Roman" w:hAnsi="Times New Roman"/>
          <w:b/>
          <w:szCs w:val="20"/>
        </w:rPr>
        <w:t>DUPLICIDADE_DESPREZADA</w:t>
      </w:r>
      <w:r w:rsidR="00FE5D23" w:rsidRPr="00FA3856">
        <w:rPr>
          <w:rFonts w:ascii="Times New Roman" w:hAnsi="Times New Roman"/>
          <w:color w:val="auto"/>
          <w:szCs w:val="20"/>
        </w:rPr>
        <w:t xml:space="preserve">: </w:t>
      </w:r>
      <w:r w:rsidR="00FE5D23" w:rsidRPr="00FA3856">
        <w:rPr>
          <w:rFonts w:ascii="Times New Roman" w:hAnsi="Times New Roman"/>
          <w:szCs w:val="20"/>
        </w:rPr>
        <w:t>Verifica se o registro já foi importado anteriormente, de acordo com a chave e os registros pais. Se a regra não for cumprida, a ECF gera um aviso.</w:t>
      </w:r>
    </w:p>
    <w:p w:rsidR="00FE5D23" w:rsidRPr="00FA3856" w:rsidRDefault="00FE5D23" w:rsidP="00FE5D23">
      <w:pPr>
        <w:pStyle w:val="Corpodetexto"/>
        <w:ind w:left="708" w:firstLine="12"/>
        <w:rPr>
          <w:rFonts w:ascii="Times New Roman" w:hAnsi="Times New Roman"/>
          <w:szCs w:val="20"/>
        </w:rPr>
      </w:pPr>
    </w:p>
    <w:p w:rsidR="00FE5D23" w:rsidRPr="00FA3856" w:rsidRDefault="007D0E74" w:rsidP="00FE5D23">
      <w:pPr>
        <w:pStyle w:val="Corpodetexto"/>
        <w:ind w:left="708" w:firstLine="12"/>
        <w:rPr>
          <w:rFonts w:ascii="Times New Roman" w:hAnsi="Times New Roman"/>
          <w:szCs w:val="20"/>
        </w:rPr>
      </w:pPr>
      <w:hyperlink r:id="rId260" w:anchor="REGRA_OCORRENCIA_UNITARIA_ARQ" w:history="1">
        <w:r w:rsidR="00FE5D23" w:rsidRPr="00FA3856">
          <w:rPr>
            <w:rFonts w:ascii="Times New Roman" w:hAnsi="Times New Roman"/>
            <w:b/>
            <w:szCs w:val="20"/>
          </w:rPr>
          <w:t>REGRA_</w:t>
        </w:r>
      </w:hyperlink>
      <w:r w:rsidR="00FE5D23" w:rsidRPr="00FA3856">
        <w:rPr>
          <w:rFonts w:ascii="Times New Roman" w:hAnsi="Times New Roman"/>
          <w:b/>
          <w:szCs w:val="20"/>
        </w:rPr>
        <w:t>LINHA_DESPREZADA</w:t>
      </w:r>
      <w:r w:rsidR="00FE5D23" w:rsidRPr="00FA3856">
        <w:rPr>
          <w:rFonts w:ascii="Times New Roman" w:hAnsi="Times New Roman"/>
          <w:color w:val="auto"/>
          <w:szCs w:val="20"/>
        </w:rPr>
        <w:t xml:space="preserve">: </w:t>
      </w:r>
      <w:r w:rsidR="00FE5D23" w:rsidRPr="00FA3856">
        <w:rPr>
          <w:rFonts w:ascii="Times New Roman" w:hAnsi="Times New Roman"/>
          <w:szCs w:val="20"/>
        </w:rPr>
        <w:t>Verifica se o registro existe na importação, mas não será importado por não existir na tabela dinâmica devido às configurações do bloco 0 ou da tabela dinâmica. Gera um aviso.</w:t>
      </w:r>
    </w:p>
    <w:p w:rsidR="00FE5D23" w:rsidRPr="00FA3856" w:rsidRDefault="00FE5D23" w:rsidP="00FE5D23">
      <w:pPr>
        <w:pStyle w:val="Corpodetexto"/>
        <w:ind w:left="708" w:firstLine="12"/>
        <w:rPr>
          <w:rFonts w:ascii="Times New Roman" w:hAnsi="Times New Roman"/>
          <w:b/>
          <w:szCs w:val="20"/>
        </w:rPr>
      </w:pPr>
    </w:p>
    <w:p w:rsidR="00FE5D23" w:rsidRPr="00FA3856" w:rsidRDefault="007D0E74" w:rsidP="00FE5D23">
      <w:pPr>
        <w:pStyle w:val="Corpodetexto"/>
        <w:ind w:left="708" w:firstLine="12"/>
        <w:rPr>
          <w:rFonts w:ascii="Times New Roman" w:hAnsi="Times New Roman"/>
          <w:b/>
          <w:szCs w:val="20"/>
        </w:rPr>
      </w:pPr>
      <w:hyperlink r:id="rId261" w:anchor="REGRA_OCORRENCIA_UNITARIA_ARQ" w:history="1">
        <w:r w:rsidR="00FE5D23" w:rsidRPr="00FA3856">
          <w:rPr>
            <w:rFonts w:ascii="Times New Roman" w:hAnsi="Times New Roman"/>
            <w:b/>
            <w:szCs w:val="20"/>
          </w:rPr>
          <w:t>REGRA_</w:t>
        </w:r>
      </w:hyperlink>
      <w:r w:rsidR="00FE5D23" w:rsidRPr="00FA3856">
        <w:rPr>
          <w:rFonts w:ascii="Times New Roman" w:hAnsi="Times New Roman"/>
          <w:b/>
          <w:szCs w:val="20"/>
        </w:rPr>
        <w:t>LINHA_ATUALIZADA</w:t>
      </w:r>
      <w:r w:rsidR="00FE5D23" w:rsidRPr="00FA3856">
        <w:rPr>
          <w:rFonts w:ascii="Times New Roman" w:hAnsi="Times New Roman"/>
          <w:color w:val="auto"/>
          <w:szCs w:val="20"/>
        </w:rPr>
        <w:t xml:space="preserve">: </w:t>
      </w:r>
      <w:r w:rsidR="00FE5D23" w:rsidRPr="00FA3856">
        <w:rPr>
          <w:rFonts w:ascii="Times New Roman" w:hAnsi="Times New Roman"/>
          <w:szCs w:val="20"/>
        </w:rPr>
        <w:t>Verifica se o registro está desatualizado em relação à tabela da RFB. Gera um aviso.</w:t>
      </w:r>
    </w:p>
    <w:p w:rsidR="00B82067" w:rsidRDefault="00B82067" w:rsidP="009775E6">
      <w:pPr>
        <w:rPr>
          <w:b/>
          <w:szCs w:val="20"/>
        </w:rPr>
      </w:pPr>
    </w:p>
    <w:p w:rsidR="00D467F3" w:rsidRPr="00FA3856" w:rsidRDefault="00D467F3" w:rsidP="00D467F3">
      <w:pPr>
        <w:rPr>
          <w:b/>
          <w:szCs w:val="20"/>
          <w:lang w:val="pt-PT"/>
        </w:rPr>
      </w:pPr>
      <w:r w:rsidRPr="00FA3856">
        <w:rPr>
          <w:b/>
          <w:szCs w:val="20"/>
          <w:lang w:val="pt-PT"/>
        </w:rPr>
        <w:t>II – Regras de Validação de Campos:</w:t>
      </w:r>
    </w:p>
    <w:p w:rsidR="00D467F3" w:rsidRPr="00FA3856" w:rsidRDefault="00D467F3" w:rsidP="00D467F3">
      <w:pPr>
        <w:rPr>
          <w:b/>
          <w:szCs w:val="20"/>
          <w:lang w:val="pt-PT"/>
        </w:rPr>
      </w:pPr>
    </w:p>
    <w:tbl>
      <w:tblPr>
        <w:tblW w:w="15367"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85"/>
        <w:gridCol w:w="3000"/>
        <w:gridCol w:w="11165"/>
        <w:gridCol w:w="717"/>
      </w:tblGrid>
      <w:tr w:rsidR="00D467F3" w:rsidRPr="00FA3856" w:rsidTr="00D467F3">
        <w:trPr>
          <w:jc w:val="center"/>
        </w:trPr>
        <w:tc>
          <w:tcPr>
            <w:tcW w:w="485" w:type="dxa"/>
            <w:tcBorders>
              <w:top w:val="single" w:sz="6" w:space="0" w:color="auto"/>
              <w:left w:val="single" w:sz="6" w:space="0" w:color="auto"/>
              <w:bottom w:val="single" w:sz="6" w:space="0" w:color="auto"/>
              <w:right w:val="single" w:sz="6" w:space="0" w:color="auto"/>
            </w:tcBorders>
            <w:shd w:val="pct10" w:color="auto" w:fill="FFFFFF"/>
          </w:tcPr>
          <w:p w:rsidR="00D467F3" w:rsidRPr="00FA3856" w:rsidRDefault="00D467F3" w:rsidP="00D467F3">
            <w:pPr>
              <w:pStyle w:val="PSDS-CorpodeTexto0"/>
              <w:jc w:val="center"/>
              <w:rPr>
                <w:rFonts w:ascii="Times New Roman" w:hAnsi="Times New Roman"/>
                <w:b/>
                <w:bCs/>
              </w:rPr>
            </w:pPr>
            <w:r w:rsidRPr="00FA3856">
              <w:rPr>
                <w:rFonts w:ascii="Times New Roman" w:hAnsi="Times New Roman"/>
                <w:b/>
                <w:bCs/>
              </w:rPr>
              <w:t>Nº</w:t>
            </w:r>
          </w:p>
        </w:tc>
        <w:tc>
          <w:tcPr>
            <w:tcW w:w="3000" w:type="dxa"/>
            <w:tcBorders>
              <w:top w:val="single" w:sz="6" w:space="0" w:color="auto"/>
              <w:left w:val="single" w:sz="6" w:space="0" w:color="auto"/>
              <w:bottom w:val="single" w:sz="6" w:space="0" w:color="auto"/>
              <w:right w:val="single" w:sz="6" w:space="0" w:color="auto"/>
            </w:tcBorders>
            <w:shd w:val="pct10" w:color="auto" w:fill="FFFFFF"/>
          </w:tcPr>
          <w:p w:rsidR="00D467F3" w:rsidRPr="00FA3856" w:rsidRDefault="00D467F3" w:rsidP="00D467F3">
            <w:pPr>
              <w:pStyle w:val="PSDS-CorpodeTexto0"/>
              <w:jc w:val="center"/>
              <w:rPr>
                <w:rFonts w:ascii="Times New Roman" w:hAnsi="Times New Roman"/>
                <w:b/>
                <w:bCs/>
              </w:rPr>
            </w:pPr>
            <w:r w:rsidRPr="00FA3856">
              <w:rPr>
                <w:rFonts w:ascii="Times New Roman" w:hAnsi="Times New Roman"/>
                <w:b/>
                <w:bCs/>
              </w:rPr>
              <w:t>Campo</w:t>
            </w:r>
          </w:p>
        </w:tc>
        <w:tc>
          <w:tcPr>
            <w:tcW w:w="11165" w:type="dxa"/>
            <w:tcBorders>
              <w:top w:val="single" w:sz="6" w:space="0" w:color="auto"/>
              <w:left w:val="single" w:sz="6" w:space="0" w:color="auto"/>
              <w:bottom w:val="single" w:sz="6" w:space="0" w:color="auto"/>
              <w:right w:val="single" w:sz="6" w:space="0" w:color="auto"/>
            </w:tcBorders>
            <w:shd w:val="pct10" w:color="auto" w:fill="FFFFFF"/>
          </w:tcPr>
          <w:p w:rsidR="00D467F3" w:rsidRPr="00FA3856" w:rsidRDefault="00D467F3" w:rsidP="00D467F3">
            <w:pPr>
              <w:pStyle w:val="PSDS-CorpodeTexto0"/>
              <w:jc w:val="center"/>
              <w:rPr>
                <w:rFonts w:ascii="Times New Roman" w:hAnsi="Times New Roman"/>
                <w:b/>
                <w:bCs/>
              </w:rPr>
            </w:pPr>
            <w:r w:rsidRPr="00FA3856">
              <w:rPr>
                <w:rFonts w:ascii="Times New Roman" w:hAnsi="Times New Roman"/>
                <w:b/>
                <w:bCs/>
              </w:rPr>
              <w:t>Regras de Validação do Campo</w:t>
            </w:r>
          </w:p>
        </w:tc>
        <w:tc>
          <w:tcPr>
            <w:tcW w:w="717" w:type="dxa"/>
            <w:tcBorders>
              <w:top w:val="single" w:sz="6" w:space="0" w:color="auto"/>
              <w:left w:val="single" w:sz="6" w:space="0" w:color="auto"/>
              <w:bottom w:val="single" w:sz="6" w:space="0" w:color="auto"/>
              <w:right w:val="single" w:sz="6" w:space="0" w:color="auto"/>
            </w:tcBorders>
            <w:shd w:val="pct10" w:color="auto" w:fill="FFFFFF"/>
          </w:tcPr>
          <w:p w:rsidR="00D467F3" w:rsidRPr="00FA3856" w:rsidRDefault="00D467F3" w:rsidP="00D467F3">
            <w:pPr>
              <w:pStyle w:val="PSDS-CorpodeTexto0"/>
              <w:jc w:val="center"/>
              <w:rPr>
                <w:rFonts w:ascii="Times New Roman" w:hAnsi="Times New Roman"/>
                <w:b/>
                <w:bCs/>
              </w:rPr>
            </w:pPr>
            <w:r w:rsidRPr="00FA3856">
              <w:rPr>
                <w:rFonts w:ascii="Times New Roman" w:hAnsi="Times New Roman"/>
                <w:b/>
                <w:bCs/>
              </w:rPr>
              <w:t>Tipo</w:t>
            </w:r>
          </w:p>
        </w:tc>
      </w:tr>
      <w:tr w:rsidR="00D467F3" w:rsidRPr="00FA3856" w:rsidTr="00D467F3">
        <w:trPr>
          <w:jc w:val="center"/>
        </w:trPr>
        <w:tc>
          <w:tcPr>
            <w:tcW w:w="485" w:type="dxa"/>
            <w:tcBorders>
              <w:top w:val="single" w:sz="6" w:space="0" w:color="auto"/>
              <w:left w:val="single" w:sz="6" w:space="0" w:color="auto"/>
              <w:bottom w:val="single" w:sz="6" w:space="0" w:color="auto"/>
              <w:right w:val="single" w:sz="6" w:space="0" w:color="auto"/>
            </w:tcBorders>
          </w:tcPr>
          <w:p w:rsidR="00D467F3" w:rsidRPr="00FA3856" w:rsidRDefault="00D467F3" w:rsidP="00D467F3">
            <w:pPr>
              <w:pStyle w:val="PSDS-CorpodeTexto0"/>
              <w:suppressAutoHyphens w:val="0"/>
              <w:rPr>
                <w:rFonts w:ascii="Times New Roman" w:hAnsi="Times New Roman"/>
                <w:b/>
                <w:bCs/>
                <w:lang w:val="pt-PT"/>
              </w:rPr>
            </w:pPr>
            <w:r w:rsidRPr="00FA3856">
              <w:rPr>
                <w:rFonts w:ascii="Times New Roman" w:hAnsi="Times New Roman"/>
                <w:b/>
                <w:bCs/>
                <w:lang w:val="pt-PT"/>
              </w:rPr>
              <w:t>4</w:t>
            </w:r>
          </w:p>
        </w:tc>
        <w:tc>
          <w:tcPr>
            <w:tcW w:w="3000" w:type="dxa"/>
            <w:tcBorders>
              <w:top w:val="single" w:sz="6" w:space="0" w:color="auto"/>
              <w:left w:val="single" w:sz="6" w:space="0" w:color="auto"/>
              <w:bottom w:val="single" w:sz="6" w:space="0" w:color="auto"/>
              <w:right w:val="single" w:sz="6" w:space="0" w:color="auto"/>
            </w:tcBorders>
          </w:tcPr>
          <w:p w:rsidR="00D467F3" w:rsidRPr="00FA3856" w:rsidRDefault="00D467F3" w:rsidP="00D467F3">
            <w:pPr>
              <w:pStyle w:val="PSDS-CorpodeTexto0"/>
              <w:rPr>
                <w:rFonts w:ascii="Times New Roman" w:hAnsi="Times New Roman"/>
              </w:rPr>
            </w:pPr>
            <w:r w:rsidRPr="00FA3856">
              <w:rPr>
                <w:rFonts w:ascii="Times New Roman" w:hAnsi="Times New Roman"/>
              </w:rPr>
              <w:t>VALOR</w:t>
            </w:r>
          </w:p>
        </w:tc>
        <w:tc>
          <w:tcPr>
            <w:tcW w:w="11165" w:type="dxa"/>
            <w:tcBorders>
              <w:top w:val="single" w:sz="6" w:space="0" w:color="auto"/>
              <w:left w:val="single" w:sz="6" w:space="0" w:color="auto"/>
              <w:bottom w:val="single" w:sz="6" w:space="0" w:color="auto"/>
              <w:right w:val="single" w:sz="6" w:space="0" w:color="auto"/>
            </w:tcBorders>
          </w:tcPr>
          <w:p w:rsidR="00D467F3" w:rsidRPr="00FA3856" w:rsidRDefault="00D467F3" w:rsidP="00D467F3">
            <w:pPr>
              <w:pStyle w:val="Corpodetexto"/>
              <w:rPr>
                <w:rFonts w:ascii="Times New Roman" w:hAnsi="Times New Roman"/>
                <w:szCs w:val="20"/>
              </w:rPr>
            </w:pPr>
            <w:r w:rsidRPr="00FA3856">
              <w:rPr>
                <w:rFonts w:ascii="Times New Roman" w:hAnsi="Times New Roman"/>
                <w:b/>
                <w:bCs/>
                <w:szCs w:val="20"/>
              </w:rPr>
              <w:t>REGRA_OBRIGATORIO_TIPO_DIFERENTE_R</w:t>
            </w:r>
            <w:r w:rsidRPr="00FA3856">
              <w:rPr>
                <w:rFonts w:ascii="Times New Roman" w:hAnsi="Times New Roman"/>
                <w:szCs w:val="20"/>
              </w:rPr>
              <w:t xml:space="preserve">: </w:t>
            </w:r>
            <w:r w:rsidRPr="00FA3856">
              <w:rPr>
                <w:rStyle w:val="Hyperlink"/>
                <w:rFonts w:ascii="Times New Roman" w:hAnsi="Times New Roman"/>
                <w:bCs/>
                <w:color w:val="auto"/>
                <w:szCs w:val="20"/>
                <w:lang w:val="pt-PT"/>
              </w:rPr>
              <w:t>Verifica se o campo está preenchido quando o tipo da linha é diferente de “R”.</w:t>
            </w:r>
          </w:p>
        </w:tc>
        <w:tc>
          <w:tcPr>
            <w:tcW w:w="717" w:type="dxa"/>
            <w:tcBorders>
              <w:top w:val="single" w:sz="6" w:space="0" w:color="auto"/>
              <w:left w:val="single" w:sz="6" w:space="0" w:color="auto"/>
              <w:bottom w:val="single" w:sz="6" w:space="0" w:color="auto"/>
              <w:right w:val="single" w:sz="6" w:space="0" w:color="auto"/>
            </w:tcBorders>
          </w:tcPr>
          <w:p w:rsidR="00D467F3" w:rsidRPr="00FA3856" w:rsidRDefault="00D467F3" w:rsidP="00D467F3">
            <w:pPr>
              <w:pStyle w:val="PSDS-CorpodeTexto0"/>
              <w:rPr>
                <w:rFonts w:ascii="Times New Roman" w:hAnsi="Times New Roman"/>
              </w:rPr>
            </w:pPr>
            <w:r w:rsidRPr="00FA3856">
              <w:rPr>
                <w:rFonts w:ascii="Times New Roman" w:hAnsi="Times New Roman"/>
              </w:rPr>
              <w:t>Erro</w:t>
            </w:r>
          </w:p>
          <w:p w:rsidR="00D467F3" w:rsidRPr="00FA3856" w:rsidRDefault="00D467F3" w:rsidP="00D467F3">
            <w:pPr>
              <w:pStyle w:val="PSDS-CorpodeTexto0"/>
              <w:rPr>
                <w:rFonts w:ascii="Times New Roman" w:hAnsi="Times New Roman"/>
              </w:rPr>
            </w:pPr>
          </w:p>
        </w:tc>
      </w:tr>
    </w:tbl>
    <w:p w:rsidR="00D467F3" w:rsidRDefault="00D467F3" w:rsidP="009775E6">
      <w:pPr>
        <w:rPr>
          <w:b/>
          <w:szCs w:val="20"/>
        </w:rPr>
      </w:pPr>
    </w:p>
    <w:p w:rsidR="008F3123" w:rsidRPr="00FA3856" w:rsidRDefault="00D467F3" w:rsidP="008F3123">
      <w:pPr>
        <w:rPr>
          <w:b/>
          <w:szCs w:val="20"/>
          <w:lang w:val="pt-PT"/>
        </w:rPr>
      </w:pPr>
      <w:r>
        <w:rPr>
          <w:b/>
          <w:szCs w:val="20"/>
          <w:lang w:val="pt-PT"/>
        </w:rPr>
        <w:t>I</w:t>
      </w:r>
      <w:r w:rsidR="00990970">
        <w:rPr>
          <w:b/>
          <w:szCs w:val="20"/>
          <w:lang w:val="pt-PT"/>
        </w:rPr>
        <w:t>II</w:t>
      </w:r>
      <w:r w:rsidR="008F3123" w:rsidRPr="00FA3856">
        <w:rPr>
          <w:b/>
          <w:szCs w:val="20"/>
          <w:lang w:val="pt-PT"/>
        </w:rPr>
        <w:t xml:space="preserve"> – </w:t>
      </w:r>
      <w:r w:rsidR="008F3123">
        <w:rPr>
          <w:b/>
          <w:szCs w:val="20"/>
          <w:lang w:val="pt-PT"/>
        </w:rPr>
        <w:t>Plano de Contas Referencial</w:t>
      </w:r>
      <w:r w:rsidR="008F3123" w:rsidRPr="00FA3856">
        <w:rPr>
          <w:b/>
          <w:szCs w:val="20"/>
          <w:lang w:val="pt-PT"/>
        </w:rPr>
        <w:t>:</w:t>
      </w:r>
    </w:p>
    <w:p w:rsidR="00990970" w:rsidRPr="00FA3856" w:rsidRDefault="00990970" w:rsidP="00990970">
      <w:pPr>
        <w:rPr>
          <w:b/>
          <w:szCs w:val="20"/>
          <w:lang w:val="pt-PT"/>
        </w:rPr>
      </w:pPr>
      <w:r w:rsidRPr="00FA3856">
        <w:rPr>
          <w:b/>
          <w:szCs w:val="20"/>
          <w:lang w:val="pt-PT"/>
        </w:rPr>
        <w:t>Código: Chave da linha.</w:t>
      </w:r>
    </w:p>
    <w:p w:rsidR="00990970" w:rsidRPr="00FA3856" w:rsidRDefault="00990970" w:rsidP="00990970">
      <w:pPr>
        <w:rPr>
          <w:b/>
          <w:szCs w:val="20"/>
          <w:lang w:val="pt-PT"/>
        </w:rPr>
      </w:pPr>
      <w:r w:rsidRPr="00FA3856">
        <w:rPr>
          <w:b/>
          <w:szCs w:val="20"/>
          <w:lang w:val="pt-PT"/>
        </w:rPr>
        <w:t>Ordem: Ordem de apresentação das linhas.</w:t>
      </w:r>
    </w:p>
    <w:p w:rsidR="00990970" w:rsidRPr="00FA3856" w:rsidRDefault="00990970" w:rsidP="00990970">
      <w:pPr>
        <w:rPr>
          <w:b/>
          <w:szCs w:val="20"/>
          <w:lang w:val="pt-PT"/>
        </w:rPr>
      </w:pPr>
      <w:r w:rsidRPr="00FA3856">
        <w:rPr>
          <w:b/>
          <w:szCs w:val="20"/>
          <w:lang w:val="pt-PT"/>
        </w:rPr>
        <w:t>Tipo: S = Sintética; A = Analítica</w:t>
      </w:r>
    </w:p>
    <w:p w:rsidR="00990970" w:rsidRDefault="00990970" w:rsidP="00990970">
      <w:pPr>
        <w:tabs>
          <w:tab w:val="left" w:pos="2985"/>
        </w:tabs>
        <w:rPr>
          <w:b/>
          <w:szCs w:val="20"/>
          <w:lang w:val="pt-PT"/>
        </w:rPr>
      </w:pPr>
      <w:r w:rsidRPr="00FA3856">
        <w:rPr>
          <w:b/>
          <w:szCs w:val="20"/>
          <w:lang w:val="pt-PT"/>
        </w:rPr>
        <w:t>Natureza: 01 = Ativo; 02 = Passivo; 03 = Patrimônio Líquido</w:t>
      </w:r>
    </w:p>
    <w:p w:rsidR="008F3123" w:rsidRDefault="008F3123" w:rsidP="009775E6">
      <w:pPr>
        <w:rPr>
          <w:b/>
          <w:szCs w:val="20"/>
        </w:rPr>
      </w:pPr>
    </w:p>
    <w:p w:rsidR="008F3123" w:rsidRDefault="00990970" w:rsidP="009775E6">
      <w:pPr>
        <w:rPr>
          <w:b/>
          <w:szCs w:val="20"/>
        </w:rPr>
      </w:pPr>
      <w:r>
        <w:rPr>
          <w:b/>
          <w:szCs w:val="20"/>
        </w:rPr>
        <w:t>I</w:t>
      </w:r>
      <w:r w:rsidR="00D467F3">
        <w:rPr>
          <w:b/>
          <w:szCs w:val="20"/>
        </w:rPr>
        <w:t>I</w:t>
      </w:r>
      <w:r>
        <w:rPr>
          <w:b/>
          <w:szCs w:val="20"/>
        </w:rPr>
        <w:t>I</w:t>
      </w:r>
      <w:r w:rsidR="002E0590">
        <w:rPr>
          <w:b/>
          <w:szCs w:val="20"/>
        </w:rPr>
        <w:t xml:space="preserve">.1 – </w:t>
      </w:r>
      <w:r w:rsidR="002E0590" w:rsidRPr="002E0590">
        <w:rPr>
          <w:b/>
          <w:szCs w:val="20"/>
        </w:rPr>
        <w:t>L300A - Plano de Contas Referencial - Contas de Resultado - PJ do Lucro Real - PJ em Geral</w:t>
      </w:r>
      <w:r w:rsidR="008F3123">
        <w:rPr>
          <w:b/>
          <w:szCs w:val="20"/>
        </w:rPr>
        <w:t>:</w:t>
      </w:r>
    </w:p>
    <w:p w:rsidR="008F3123" w:rsidRPr="009A54D6" w:rsidRDefault="00486CDA" w:rsidP="008F3123">
      <w:pPr>
        <w:tabs>
          <w:tab w:val="left" w:pos="2985"/>
        </w:tabs>
        <w:rPr>
          <w:b/>
          <w:szCs w:val="20"/>
          <w:lang w:val="pt-PT"/>
        </w:rPr>
      </w:pPr>
      <w:r>
        <w:rPr>
          <w:b/>
          <w:szCs w:val="20"/>
          <w:lang w:val="pt-PT"/>
        </w:rPr>
        <w:object w:dxaOrig="1534" w:dyaOrig="997">
          <v:shape id="_x0000_i1130" type="#_x0000_t75" style="width:79.5pt;height:50.25pt" o:ole="">
            <v:imagedata r:id="rId262" o:title=""/>
          </v:shape>
          <o:OLEObject Type="Link" ProgID="Excel.Sheet.12" ShapeID="_x0000_i1130" DrawAspect="Content" r:id="rId263" UpdateMode="OnCall">
            <o:LinkType>EnhancedMetaFile</o:LinkType>
            <o:LockedField>false</o:LockedField>
          </o:OLEObject>
        </w:object>
      </w:r>
    </w:p>
    <w:p w:rsidR="008F3123" w:rsidRDefault="00990970" w:rsidP="008F3123">
      <w:pPr>
        <w:rPr>
          <w:b/>
          <w:szCs w:val="20"/>
          <w:lang w:val="pt-PT"/>
        </w:rPr>
      </w:pPr>
      <w:r>
        <w:rPr>
          <w:b/>
          <w:szCs w:val="20"/>
          <w:lang w:val="pt-PT"/>
        </w:rPr>
        <w:t>II</w:t>
      </w:r>
      <w:r w:rsidR="00D467F3">
        <w:rPr>
          <w:b/>
          <w:szCs w:val="20"/>
          <w:lang w:val="pt-PT"/>
        </w:rPr>
        <w:t>I</w:t>
      </w:r>
      <w:r w:rsidR="002E0590">
        <w:rPr>
          <w:b/>
          <w:szCs w:val="20"/>
          <w:lang w:val="pt-PT"/>
        </w:rPr>
        <w:t xml:space="preserve">.2 – </w:t>
      </w:r>
      <w:r w:rsidR="002E0590" w:rsidRPr="002E0590">
        <w:rPr>
          <w:b/>
          <w:szCs w:val="20"/>
          <w:lang w:val="pt-PT"/>
        </w:rPr>
        <w:t>L300B - Plano de Contas Referencial - Contas de Resultado - PJ do Lucro Real - Financeiras</w:t>
      </w:r>
      <w:r w:rsidR="008F3123">
        <w:rPr>
          <w:b/>
          <w:szCs w:val="20"/>
          <w:lang w:val="pt-PT"/>
        </w:rPr>
        <w:t>:</w:t>
      </w:r>
    </w:p>
    <w:p w:rsidR="008F3123" w:rsidRPr="009A54D6" w:rsidRDefault="00486CDA" w:rsidP="008F3123">
      <w:pPr>
        <w:tabs>
          <w:tab w:val="left" w:pos="2985"/>
        </w:tabs>
        <w:rPr>
          <w:b/>
          <w:szCs w:val="20"/>
          <w:lang w:val="pt-PT"/>
        </w:rPr>
      </w:pPr>
      <w:r>
        <w:rPr>
          <w:b/>
          <w:szCs w:val="20"/>
          <w:lang w:val="pt-PT"/>
        </w:rPr>
        <w:object w:dxaOrig="1534" w:dyaOrig="997">
          <v:shape id="_x0000_i1131" type="#_x0000_t75" style="width:79.5pt;height:50.25pt" o:ole="">
            <v:imagedata r:id="rId264" o:title=""/>
          </v:shape>
          <o:OLEObject Type="Link" ProgID="Excel.Sheet.12" ShapeID="_x0000_i1131" DrawAspect="Content" r:id="rId265" UpdateMode="OnCall">
            <o:LinkType>EnhancedMetaFile</o:LinkType>
            <o:LockedField>false</o:LockedField>
          </o:OLEObject>
        </w:object>
      </w:r>
    </w:p>
    <w:p w:rsidR="008F3123" w:rsidRDefault="00990970" w:rsidP="008F3123">
      <w:pPr>
        <w:rPr>
          <w:b/>
          <w:szCs w:val="20"/>
          <w:lang w:val="pt-PT"/>
        </w:rPr>
      </w:pPr>
      <w:r>
        <w:rPr>
          <w:b/>
          <w:szCs w:val="20"/>
          <w:lang w:val="pt-PT"/>
        </w:rPr>
        <w:t>II</w:t>
      </w:r>
      <w:r w:rsidR="00D467F3">
        <w:rPr>
          <w:b/>
          <w:szCs w:val="20"/>
          <w:lang w:val="pt-PT"/>
        </w:rPr>
        <w:t>I</w:t>
      </w:r>
      <w:r w:rsidR="00962F8C">
        <w:rPr>
          <w:b/>
          <w:szCs w:val="20"/>
          <w:lang w:val="pt-PT"/>
        </w:rPr>
        <w:t xml:space="preserve">.3 – </w:t>
      </w:r>
      <w:r w:rsidR="002E0590" w:rsidRPr="002E0590">
        <w:rPr>
          <w:b/>
          <w:szCs w:val="20"/>
          <w:lang w:val="pt-PT"/>
        </w:rPr>
        <w:t>L300C - Plano de Contas Referencial - Contas de Resultado - PJ do Lucro Real - Seguradoras ou Entidades Abertas de Previdência Complementar</w:t>
      </w:r>
      <w:r w:rsidR="00962F8C">
        <w:rPr>
          <w:b/>
          <w:szCs w:val="20"/>
          <w:lang w:val="pt-PT"/>
        </w:rPr>
        <w:t>:</w:t>
      </w:r>
    </w:p>
    <w:p w:rsidR="008F3123" w:rsidRPr="00962F8C" w:rsidRDefault="00486CDA" w:rsidP="00962F8C">
      <w:pPr>
        <w:tabs>
          <w:tab w:val="left" w:pos="2985"/>
        </w:tabs>
        <w:rPr>
          <w:b/>
          <w:szCs w:val="20"/>
          <w:lang w:val="pt-PT"/>
        </w:rPr>
      </w:pPr>
      <w:r>
        <w:rPr>
          <w:b/>
          <w:szCs w:val="20"/>
          <w:lang w:val="pt-PT"/>
        </w:rPr>
        <w:object w:dxaOrig="1534" w:dyaOrig="997">
          <v:shape id="_x0000_i1132" type="#_x0000_t75" style="width:79.5pt;height:50.25pt" o:ole="">
            <v:imagedata r:id="rId266" o:title=""/>
          </v:shape>
          <o:OLEObject Type="Link" ProgID="Excel.Sheet.12" ShapeID="_x0000_i1132" DrawAspect="Content" r:id="rId267" UpdateMode="OnCall">
            <o:LinkType>EnhancedMetaFile</o:LinkType>
            <o:LockedField>false</o:LockedField>
          </o:OLEObject>
        </w:object>
      </w:r>
    </w:p>
    <w:p w:rsidR="00990970" w:rsidRDefault="00990970">
      <w:pPr>
        <w:spacing w:after="200" w:line="276" w:lineRule="auto"/>
        <w:rPr>
          <w:b/>
          <w:color w:val="002060"/>
          <w:szCs w:val="20"/>
          <w:lang w:eastAsia="ar-SA"/>
        </w:rPr>
      </w:pPr>
      <w:r>
        <w:rPr>
          <w:b/>
          <w:color w:val="002060"/>
          <w:szCs w:val="20"/>
        </w:rPr>
        <w:br w:type="page"/>
      </w:r>
    </w:p>
    <w:p w:rsidR="00342F1D" w:rsidRDefault="003B0389" w:rsidP="001E0308">
      <w:pPr>
        <w:pStyle w:val="Corpodetexto"/>
        <w:rPr>
          <w:rFonts w:ascii="Times New Roman" w:hAnsi="Times New Roman"/>
          <w:b/>
          <w:color w:val="002060"/>
          <w:szCs w:val="20"/>
        </w:rPr>
      </w:pPr>
      <w:r w:rsidRPr="00FA3856">
        <w:rPr>
          <w:rFonts w:ascii="Times New Roman" w:hAnsi="Times New Roman"/>
          <w:b/>
          <w:color w:val="002060"/>
          <w:szCs w:val="20"/>
        </w:rPr>
        <w:lastRenderedPageBreak/>
        <w:t xml:space="preserve">Exemplo de Preenchimento: </w:t>
      </w:r>
    </w:p>
    <w:p w:rsidR="00342F1D" w:rsidRDefault="00342F1D" w:rsidP="001E0308">
      <w:pPr>
        <w:pStyle w:val="Corpodetexto"/>
        <w:rPr>
          <w:rFonts w:ascii="Times New Roman" w:hAnsi="Times New Roman"/>
          <w:b/>
          <w:color w:val="002060"/>
          <w:szCs w:val="20"/>
        </w:rPr>
      </w:pPr>
    </w:p>
    <w:p w:rsidR="001E0308" w:rsidRPr="00FA3856" w:rsidRDefault="001E0308" w:rsidP="001E0308">
      <w:pPr>
        <w:pStyle w:val="Corpodetexto"/>
        <w:rPr>
          <w:rFonts w:ascii="Times New Roman" w:hAnsi="Times New Roman"/>
          <w:b/>
          <w:color w:val="002060"/>
          <w:szCs w:val="20"/>
        </w:rPr>
      </w:pPr>
      <w:r w:rsidRPr="00FA3856">
        <w:rPr>
          <w:rFonts w:ascii="Times New Roman" w:hAnsi="Times New Roman"/>
          <w:b/>
          <w:color w:val="002060"/>
          <w:szCs w:val="20"/>
        </w:rPr>
        <w:t>|L300|3.11.05.01.03.03|Outras Participações|A|6|04|3.11.05.01.03|10000,00|D|</w:t>
      </w:r>
    </w:p>
    <w:p w:rsidR="001E0308" w:rsidRPr="00FA3856" w:rsidRDefault="001E0308" w:rsidP="001E0308">
      <w:pPr>
        <w:pStyle w:val="Corpodetexto"/>
        <w:ind w:firstLine="708"/>
        <w:rPr>
          <w:rFonts w:ascii="Times New Roman" w:hAnsi="Times New Roman"/>
          <w:color w:val="002060"/>
          <w:szCs w:val="20"/>
        </w:rPr>
      </w:pPr>
      <w:r w:rsidRPr="00FA3856">
        <w:rPr>
          <w:rFonts w:ascii="Times New Roman" w:hAnsi="Times New Roman"/>
          <w:color w:val="002060"/>
          <w:szCs w:val="20"/>
        </w:rPr>
        <w:t>|L300|: Identificação do tipo do registro.</w:t>
      </w:r>
    </w:p>
    <w:p w:rsidR="001E0308" w:rsidRPr="00FA3856" w:rsidRDefault="001E0308" w:rsidP="001E0308">
      <w:pPr>
        <w:pStyle w:val="Corpodetexto"/>
        <w:ind w:firstLine="708"/>
        <w:rPr>
          <w:rFonts w:ascii="Times New Roman" w:hAnsi="Times New Roman"/>
          <w:color w:val="002060"/>
          <w:szCs w:val="20"/>
        </w:rPr>
      </w:pPr>
      <w:r w:rsidRPr="00FA3856">
        <w:rPr>
          <w:rFonts w:ascii="Times New Roman" w:hAnsi="Times New Roman"/>
          <w:color w:val="002060"/>
          <w:szCs w:val="20"/>
        </w:rPr>
        <w:t>|3.11.05.01.03.03|: Código da linha.</w:t>
      </w:r>
      <w:r w:rsidRPr="00FA3856">
        <w:rPr>
          <w:rFonts w:ascii="Times New Roman" w:hAnsi="Times New Roman"/>
          <w:color w:val="002060"/>
          <w:szCs w:val="20"/>
        </w:rPr>
        <w:tab/>
      </w:r>
    </w:p>
    <w:p w:rsidR="001E0308" w:rsidRPr="00FA3856" w:rsidRDefault="001E0308" w:rsidP="001E0308">
      <w:pPr>
        <w:pStyle w:val="Corpodetexto"/>
        <w:ind w:firstLine="708"/>
        <w:rPr>
          <w:rFonts w:ascii="Times New Roman" w:hAnsi="Times New Roman"/>
          <w:color w:val="002060"/>
          <w:szCs w:val="20"/>
        </w:rPr>
      </w:pPr>
      <w:r w:rsidRPr="00FA3856">
        <w:rPr>
          <w:rFonts w:ascii="Times New Roman" w:hAnsi="Times New Roman"/>
          <w:color w:val="002060"/>
          <w:szCs w:val="20"/>
        </w:rPr>
        <w:t>|Outras Participações|: Descrição da linha.</w:t>
      </w:r>
    </w:p>
    <w:p w:rsidR="001E0308" w:rsidRPr="00FA3856" w:rsidRDefault="001E0308" w:rsidP="001E0308">
      <w:pPr>
        <w:pStyle w:val="Corpodetexto"/>
        <w:ind w:firstLine="708"/>
        <w:rPr>
          <w:rFonts w:ascii="Times New Roman" w:hAnsi="Times New Roman"/>
          <w:color w:val="002060"/>
          <w:szCs w:val="20"/>
        </w:rPr>
      </w:pPr>
      <w:r w:rsidRPr="00FA3856">
        <w:rPr>
          <w:rFonts w:ascii="Times New Roman" w:hAnsi="Times New Roman"/>
          <w:color w:val="002060"/>
          <w:szCs w:val="20"/>
        </w:rPr>
        <w:t>|A|: Tipo da conta (A = Analítica).</w:t>
      </w:r>
    </w:p>
    <w:p w:rsidR="001E0308" w:rsidRPr="00FA3856" w:rsidRDefault="001E0308" w:rsidP="001E0308">
      <w:pPr>
        <w:pStyle w:val="Corpodetexto"/>
        <w:ind w:firstLine="708"/>
        <w:rPr>
          <w:rFonts w:ascii="Times New Roman" w:hAnsi="Times New Roman"/>
          <w:color w:val="002060"/>
          <w:szCs w:val="20"/>
        </w:rPr>
      </w:pPr>
      <w:r w:rsidRPr="00FA3856">
        <w:rPr>
          <w:rFonts w:ascii="Times New Roman" w:hAnsi="Times New Roman"/>
          <w:color w:val="002060"/>
          <w:szCs w:val="20"/>
        </w:rPr>
        <w:t>|6|: Nível da conta.</w:t>
      </w:r>
    </w:p>
    <w:p w:rsidR="001E0308" w:rsidRPr="00FA3856" w:rsidRDefault="001E0308" w:rsidP="001E0308">
      <w:pPr>
        <w:pStyle w:val="Corpodetexto"/>
        <w:ind w:firstLine="708"/>
        <w:rPr>
          <w:rFonts w:ascii="Times New Roman" w:hAnsi="Times New Roman"/>
          <w:color w:val="002060"/>
          <w:szCs w:val="20"/>
        </w:rPr>
      </w:pPr>
      <w:r w:rsidRPr="00FA3856">
        <w:rPr>
          <w:rFonts w:ascii="Times New Roman" w:hAnsi="Times New Roman"/>
          <w:color w:val="002060"/>
          <w:szCs w:val="20"/>
        </w:rPr>
        <w:t>|04|: Natureza da conta (04 = Contas de Resultado).</w:t>
      </w:r>
    </w:p>
    <w:p w:rsidR="001E0308" w:rsidRPr="00FA3856" w:rsidRDefault="001E0308" w:rsidP="001E0308">
      <w:pPr>
        <w:pStyle w:val="Corpodetexto"/>
        <w:ind w:firstLine="708"/>
        <w:rPr>
          <w:rFonts w:ascii="Times New Roman" w:hAnsi="Times New Roman"/>
          <w:color w:val="002060"/>
          <w:szCs w:val="20"/>
        </w:rPr>
      </w:pPr>
      <w:r w:rsidRPr="00FA3856">
        <w:rPr>
          <w:rFonts w:ascii="Times New Roman" w:hAnsi="Times New Roman"/>
          <w:color w:val="002060"/>
          <w:szCs w:val="20"/>
        </w:rPr>
        <w:t>|3.11.05.01.03|: Código da conta superior.</w:t>
      </w:r>
    </w:p>
    <w:p w:rsidR="001E0308" w:rsidRPr="00FA3856" w:rsidRDefault="001E0308" w:rsidP="001E0308">
      <w:pPr>
        <w:pStyle w:val="Corpodetexto"/>
        <w:ind w:firstLine="708"/>
        <w:rPr>
          <w:rFonts w:ascii="Times New Roman" w:hAnsi="Times New Roman"/>
          <w:color w:val="002060"/>
          <w:szCs w:val="20"/>
        </w:rPr>
      </w:pPr>
      <w:r w:rsidRPr="00FA3856">
        <w:rPr>
          <w:rFonts w:ascii="Times New Roman" w:hAnsi="Times New Roman"/>
          <w:color w:val="002060"/>
          <w:szCs w:val="20"/>
        </w:rPr>
        <w:t>|10000,00|: Valor da linha (R$ 10.000,00).</w:t>
      </w:r>
    </w:p>
    <w:p w:rsidR="001E0308" w:rsidRPr="00FA3856" w:rsidRDefault="001E0308" w:rsidP="001E0308">
      <w:pPr>
        <w:pStyle w:val="Corpodetexto"/>
        <w:ind w:firstLine="708"/>
        <w:rPr>
          <w:rFonts w:ascii="Times New Roman" w:hAnsi="Times New Roman"/>
          <w:color w:val="002060"/>
          <w:szCs w:val="20"/>
        </w:rPr>
      </w:pPr>
      <w:r w:rsidRPr="00FA3856">
        <w:rPr>
          <w:rFonts w:ascii="Times New Roman" w:hAnsi="Times New Roman"/>
          <w:color w:val="002060"/>
          <w:szCs w:val="20"/>
        </w:rPr>
        <w:t xml:space="preserve">|D|: Indicador do </w:t>
      </w:r>
      <w:r w:rsidR="00B5790B" w:rsidRPr="00FA3856">
        <w:rPr>
          <w:rFonts w:ascii="Times New Roman" w:hAnsi="Times New Roman"/>
          <w:color w:val="002060"/>
          <w:szCs w:val="20"/>
        </w:rPr>
        <w:t>sinal</w:t>
      </w:r>
      <w:r w:rsidRPr="00FA3856">
        <w:rPr>
          <w:rFonts w:ascii="Times New Roman" w:hAnsi="Times New Roman"/>
          <w:color w:val="002060"/>
          <w:szCs w:val="20"/>
        </w:rPr>
        <w:t xml:space="preserve"> do saldo final da conta (D = Devedor).</w:t>
      </w:r>
    </w:p>
    <w:p w:rsidR="001E0308" w:rsidRPr="00FA3856" w:rsidRDefault="001E0308" w:rsidP="001E0308">
      <w:pPr>
        <w:rPr>
          <w:b/>
          <w:szCs w:val="20"/>
        </w:rPr>
      </w:pPr>
      <w:r w:rsidRPr="00FA3856">
        <w:rPr>
          <w:b/>
          <w:szCs w:val="20"/>
        </w:rPr>
        <w:br w:type="page"/>
      </w:r>
    </w:p>
    <w:p w:rsidR="00AB6137" w:rsidRPr="00FA3856" w:rsidRDefault="00AB6137" w:rsidP="00867F54">
      <w:pPr>
        <w:pStyle w:val="Ttulo4"/>
      </w:pPr>
      <w:bookmarkStart w:id="194" w:name="_Toc479713720"/>
      <w:r w:rsidRPr="00FA3856">
        <w:lastRenderedPageBreak/>
        <w:t>Registro L990: Encerramento do Bloco L</w:t>
      </w:r>
      <w:bookmarkEnd w:id="194"/>
    </w:p>
    <w:p w:rsidR="004417B8" w:rsidRDefault="004417B8" w:rsidP="001A6818">
      <w:pPr>
        <w:pStyle w:val="Corpodetexto"/>
        <w:rPr>
          <w:rFonts w:ascii="Times New Roman" w:hAnsi="Times New Roman"/>
          <w:b/>
          <w:color w:val="002060"/>
          <w:szCs w:val="20"/>
        </w:rPr>
      </w:pPr>
    </w:p>
    <w:p w:rsidR="004417B8" w:rsidRDefault="00B35FA3" w:rsidP="004417B8">
      <w:pPr>
        <w:pStyle w:val="Corpodetexto"/>
        <w:jc w:val="center"/>
        <w:rPr>
          <w:rFonts w:ascii="Times New Roman" w:hAnsi="Times New Roman"/>
          <w:b/>
          <w:color w:val="002060"/>
          <w:szCs w:val="20"/>
        </w:rPr>
      </w:pPr>
      <w:r>
        <w:rPr>
          <w:rFonts w:ascii="Times New Roman" w:hAnsi="Times New Roman"/>
          <w:b/>
          <w:color w:val="002060"/>
          <w:szCs w:val="20"/>
        </w:rPr>
        <w:object w:dxaOrig="14355" w:dyaOrig="2175">
          <v:shape id="_x0000_i1677" type="#_x0000_t75" style="width:712.5pt;height:107.25pt" o:ole="">
            <v:imagedata r:id="rId268" o:title=""/>
          </v:shape>
          <o:OLEObject Type="Link" ProgID="Excel.Sheet.12" ShapeID="_x0000_i1677" DrawAspect="Content" r:id="rId269" UpdateMode="Always">
            <o:LinkType>EnhancedMetaFile</o:LinkType>
            <o:LockedField>false</o:LockedField>
          </o:OLEObject>
        </w:object>
      </w:r>
    </w:p>
    <w:p w:rsidR="004417B8" w:rsidRDefault="004417B8" w:rsidP="001A6818">
      <w:pPr>
        <w:pStyle w:val="Corpodetexto"/>
        <w:rPr>
          <w:rFonts w:ascii="Times New Roman" w:hAnsi="Times New Roman"/>
          <w:b/>
          <w:color w:val="002060"/>
          <w:szCs w:val="20"/>
        </w:rPr>
      </w:pPr>
    </w:p>
    <w:p w:rsidR="00342F1D" w:rsidRDefault="001A6818" w:rsidP="001A6818">
      <w:pPr>
        <w:pStyle w:val="Corpodetexto"/>
        <w:rPr>
          <w:rFonts w:ascii="Times New Roman" w:hAnsi="Times New Roman"/>
          <w:b/>
          <w:color w:val="002060"/>
          <w:szCs w:val="20"/>
        </w:rPr>
      </w:pPr>
      <w:r w:rsidRPr="00FA3856">
        <w:rPr>
          <w:rFonts w:ascii="Times New Roman" w:hAnsi="Times New Roman"/>
          <w:b/>
          <w:color w:val="002060"/>
          <w:szCs w:val="20"/>
        </w:rPr>
        <w:t xml:space="preserve">Exemplo de Preenchimento: </w:t>
      </w:r>
    </w:p>
    <w:p w:rsidR="00342F1D" w:rsidRDefault="00342F1D" w:rsidP="001A6818">
      <w:pPr>
        <w:pStyle w:val="Corpodetexto"/>
        <w:rPr>
          <w:rFonts w:ascii="Times New Roman" w:hAnsi="Times New Roman"/>
          <w:b/>
          <w:color w:val="002060"/>
          <w:szCs w:val="20"/>
        </w:rPr>
      </w:pPr>
    </w:p>
    <w:p w:rsidR="001A6818" w:rsidRPr="00FA3856" w:rsidRDefault="001A6818" w:rsidP="001A6818">
      <w:pPr>
        <w:pStyle w:val="Corpodetexto"/>
        <w:rPr>
          <w:rFonts w:ascii="Times New Roman" w:hAnsi="Times New Roman"/>
          <w:b/>
          <w:color w:val="002060"/>
          <w:szCs w:val="20"/>
        </w:rPr>
      </w:pPr>
      <w:r w:rsidRPr="00FA3856">
        <w:rPr>
          <w:rFonts w:ascii="Times New Roman" w:hAnsi="Times New Roman"/>
          <w:b/>
          <w:color w:val="002060"/>
          <w:szCs w:val="20"/>
        </w:rPr>
        <w:t>|L990|2000|</w:t>
      </w:r>
    </w:p>
    <w:p w:rsidR="001A6818" w:rsidRPr="00FA3856" w:rsidRDefault="001A6818" w:rsidP="001A6818">
      <w:pPr>
        <w:pStyle w:val="Corpodetexto"/>
        <w:ind w:firstLine="708"/>
        <w:rPr>
          <w:rFonts w:ascii="Times New Roman" w:hAnsi="Times New Roman"/>
          <w:color w:val="002060"/>
          <w:szCs w:val="20"/>
        </w:rPr>
      </w:pPr>
      <w:r w:rsidRPr="00FA3856">
        <w:rPr>
          <w:rFonts w:ascii="Times New Roman" w:hAnsi="Times New Roman"/>
          <w:color w:val="002060"/>
          <w:szCs w:val="20"/>
        </w:rPr>
        <w:t>|L990|: Identificação do tipo do registro.</w:t>
      </w:r>
    </w:p>
    <w:p w:rsidR="001A6818" w:rsidRPr="00FA3856" w:rsidRDefault="001A6818" w:rsidP="001A6818">
      <w:pPr>
        <w:pStyle w:val="Corpodetexto"/>
        <w:ind w:firstLine="708"/>
        <w:rPr>
          <w:rFonts w:ascii="Times New Roman" w:hAnsi="Times New Roman"/>
          <w:color w:val="002060"/>
          <w:szCs w:val="20"/>
        </w:rPr>
      </w:pPr>
      <w:r w:rsidRPr="00FA3856">
        <w:rPr>
          <w:rFonts w:ascii="Times New Roman" w:hAnsi="Times New Roman"/>
          <w:color w:val="002060"/>
          <w:szCs w:val="20"/>
        </w:rPr>
        <w:t>|2000|: A quantidade total de registros do Bloco L é 2.000 (dois mil registros).</w:t>
      </w:r>
    </w:p>
    <w:p w:rsidR="001A6818" w:rsidRPr="00FA3856" w:rsidRDefault="001A6818" w:rsidP="00BC760B">
      <w:pPr>
        <w:rPr>
          <w:szCs w:val="20"/>
        </w:rPr>
      </w:pPr>
    </w:p>
    <w:p w:rsidR="008C4EDF" w:rsidRPr="00FA3856" w:rsidRDefault="008C4EDF">
      <w:pPr>
        <w:rPr>
          <w:b/>
          <w:bCs/>
          <w:color w:val="0000FF"/>
          <w:szCs w:val="20"/>
        </w:rPr>
      </w:pPr>
      <w:r w:rsidRPr="00FA3856">
        <w:rPr>
          <w:color w:val="0000FF"/>
          <w:szCs w:val="20"/>
        </w:rPr>
        <w:br w:type="page"/>
      </w:r>
    </w:p>
    <w:p w:rsidR="00BC760B" w:rsidRPr="00FA3856" w:rsidRDefault="00BC760B" w:rsidP="00867F54">
      <w:pPr>
        <w:pStyle w:val="Ttulo3"/>
      </w:pPr>
      <w:bookmarkStart w:id="195" w:name="_Toc479713721"/>
      <w:r w:rsidRPr="00FA3856">
        <w:lastRenderedPageBreak/>
        <w:t xml:space="preserve">Bloco M: Livro Eletrônico de Apuração do Lucro Real (e-Lalur) e Livro </w:t>
      </w:r>
      <w:r w:rsidR="00B5790B" w:rsidRPr="00FA3856">
        <w:t>Eletrônico</w:t>
      </w:r>
      <w:r w:rsidRPr="00FA3856">
        <w:t xml:space="preserve"> de Apuração da Base de Cálculo da CSLL (e-Lacs)</w:t>
      </w:r>
      <w:bookmarkEnd w:id="195"/>
    </w:p>
    <w:p w:rsidR="00BC760B" w:rsidRPr="00FA3856" w:rsidRDefault="00BC760B" w:rsidP="00BC760B">
      <w:pPr>
        <w:pStyle w:val="PSDS-MarcadoresNivel3"/>
        <w:tabs>
          <w:tab w:val="clear" w:pos="1440"/>
        </w:tabs>
        <w:spacing w:before="0" w:after="0"/>
        <w:ind w:left="720" w:firstLine="0"/>
        <w:rPr>
          <w:rFonts w:ascii="Times New Roman" w:hAnsi="Times New Roman" w:cs="Times New Roman"/>
          <w:szCs w:val="20"/>
        </w:rPr>
      </w:pPr>
    </w:p>
    <w:p w:rsidR="00BC760B" w:rsidRPr="00FA3856" w:rsidRDefault="00BC760B" w:rsidP="00867F54">
      <w:pPr>
        <w:pStyle w:val="Ttulo4"/>
      </w:pPr>
      <w:bookmarkStart w:id="196" w:name="_Toc479713722"/>
      <w:r w:rsidRPr="00FA3856">
        <w:t>Registro M001: Abertura do Bloco M</w:t>
      </w:r>
      <w:bookmarkEnd w:id="196"/>
    </w:p>
    <w:p w:rsidR="002B3B3F" w:rsidRDefault="002B3B3F" w:rsidP="00BC760B">
      <w:pPr>
        <w:pStyle w:val="PSDS-MarcadoresNivel2"/>
        <w:numPr>
          <w:ilvl w:val="0"/>
          <w:numId w:val="0"/>
        </w:numPr>
        <w:rPr>
          <w:rFonts w:ascii="Times New Roman" w:hAnsi="Times New Roman"/>
        </w:rPr>
      </w:pPr>
    </w:p>
    <w:p w:rsidR="002B3B3F" w:rsidRDefault="00B35FA3" w:rsidP="002B3B3F">
      <w:pPr>
        <w:pStyle w:val="PSDS-MarcadoresNivel2"/>
        <w:numPr>
          <w:ilvl w:val="0"/>
          <w:numId w:val="0"/>
        </w:numPr>
        <w:jc w:val="center"/>
        <w:rPr>
          <w:rFonts w:ascii="Times New Roman" w:hAnsi="Times New Roman"/>
        </w:rPr>
      </w:pPr>
      <w:r>
        <w:rPr>
          <w:rFonts w:ascii="Times New Roman" w:hAnsi="Times New Roman"/>
        </w:rPr>
        <w:object w:dxaOrig="13335" w:dyaOrig="3240">
          <v:shape id="_x0000_i1679" type="#_x0000_t75" style="width:669.75pt;height:165.75pt" o:ole="">
            <v:imagedata r:id="rId270" o:title=""/>
          </v:shape>
          <o:OLEObject Type="Link" ProgID="Excel.Sheet.12" ShapeID="_x0000_i1679" DrawAspect="Content" r:id="rId271" UpdateMode="Always">
            <o:LinkType>EnhancedMetaFile</o:LinkType>
            <o:LockedField>false</o:LockedField>
          </o:OLEObject>
        </w:object>
      </w:r>
    </w:p>
    <w:p w:rsidR="002B3B3F" w:rsidRDefault="002B3B3F" w:rsidP="00BC760B">
      <w:pPr>
        <w:pStyle w:val="PSDS-MarcadoresNivel2"/>
        <w:numPr>
          <w:ilvl w:val="0"/>
          <w:numId w:val="0"/>
        </w:numPr>
        <w:rPr>
          <w:rFonts w:ascii="Times New Roman" w:hAnsi="Times New Roman"/>
        </w:rPr>
      </w:pPr>
    </w:p>
    <w:p w:rsidR="00BC760B" w:rsidRPr="00FA3856" w:rsidRDefault="00BC760B" w:rsidP="00BC760B">
      <w:pPr>
        <w:pStyle w:val="PSDS-MarcadoresNivel2"/>
        <w:numPr>
          <w:ilvl w:val="0"/>
          <w:numId w:val="0"/>
        </w:numPr>
        <w:rPr>
          <w:rFonts w:ascii="Times New Roman" w:hAnsi="Times New Roman"/>
        </w:rPr>
      </w:pPr>
      <w:r w:rsidRPr="00FA3856">
        <w:rPr>
          <w:rFonts w:ascii="Times New Roman" w:hAnsi="Times New Roman"/>
        </w:rPr>
        <w:t>I – Regras de Validação do Registro:</w:t>
      </w:r>
    </w:p>
    <w:p w:rsidR="00BC760B" w:rsidRPr="00FA3856" w:rsidRDefault="00BC760B" w:rsidP="00BC760B">
      <w:pPr>
        <w:pStyle w:val="PSDS-MarcadoresNivel2"/>
        <w:numPr>
          <w:ilvl w:val="0"/>
          <w:numId w:val="0"/>
        </w:numPr>
        <w:rPr>
          <w:rFonts w:ascii="Times New Roman" w:hAnsi="Times New Roman"/>
        </w:rPr>
      </w:pPr>
    </w:p>
    <w:p w:rsidR="00BC760B" w:rsidRPr="00FA3856" w:rsidRDefault="007D0E74" w:rsidP="00BC760B">
      <w:pPr>
        <w:pStyle w:val="Corpodetexto"/>
        <w:ind w:left="708" w:firstLine="12"/>
        <w:rPr>
          <w:rFonts w:ascii="Times New Roman" w:hAnsi="Times New Roman"/>
          <w:szCs w:val="20"/>
        </w:rPr>
      </w:pPr>
      <w:hyperlink r:id="rId272" w:anchor="REGRA_OCORRENCIA_UNITARIA_ARQ" w:history="1">
        <w:r w:rsidR="00BC760B" w:rsidRPr="00FA3856">
          <w:rPr>
            <w:rFonts w:ascii="Times New Roman" w:hAnsi="Times New Roman"/>
            <w:b/>
            <w:szCs w:val="20"/>
          </w:rPr>
          <w:t>REGRA_OCORRENCIA_UNITARIA_ARQ</w:t>
        </w:r>
      </w:hyperlink>
      <w:r w:rsidR="00BC760B" w:rsidRPr="00FA3856">
        <w:rPr>
          <w:rFonts w:ascii="Times New Roman" w:hAnsi="Times New Roman"/>
          <w:color w:val="auto"/>
          <w:szCs w:val="20"/>
        </w:rPr>
        <w:t xml:space="preserve">: </w:t>
      </w:r>
      <w:r w:rsidR="00BC760B" w:rsidRPr="00FA3856">
        <w:rPr>
          <w:rFonts w:ascii="Times New Roman" w:hAnsi="Times New Roman"/>
          <w:szCs w:val="20"/>
        </w:rPr>
        <w:t>Verifica se registro ocorreu apenas uma vez por arquivo, considerando a chave “M001” (REG). Se a regra não for cumprida, a ECF gera um erro.</w:t>
      </w:r>
    </w:p>
    <w:p w:rsidR="00161EF7" w:rsidRPr="00FA3856" w:rsidRDefault="00161EF7" w:rsidP="00407813">
      <w:pPr>
        <w:pStyle w:val="Corpodetexto"/>
        <w:rPr>
          <w:rFonts w:ascii="Times New Roman" w:hAnsi="Times New Roman"/>
          <w:szCs w:val="20"/>
        </w:rPr>
      </w:pPr>
    </w:p>
    <w:p w:rsidR="00342F1D" w:rsidRDefault="00407813" w:rsidP="00407813">
      <w:pPr>
        <w:pStyle w:val="Corpodetexto"/>
        <w:rPr>
          <w:rFonts w:ascii="Times New Roman" w:hAnsi="Times New Roman"/>
          <w:b/>
          <w:color w:val="002060"/>
          <w:szCs w:val="20"/>
        </w:rPr>
      </w:pPr>
      <w:r w:rsidRPr="00FA3856">
        <w:rPr>
          <w:rFonts w:ascii="Times New Roman" w:hAnsi="Times New Roman"/>
          <w:b/>
          <w:color w:val="002060"/>
          <w:szCs w:val="20"/>
        </w:rPr>
        <w:t xml:space="preserve">Exemplo de Preenchimento: </w:t>
      </w:r>
    </w:p>
    <w:p w:rsidR="00342F1D" w:rsidRDefault="00342F1D" w:rsidP="00407813">
      <w:pPr>
        <w:pStyle w:val="Corpodetexto"/>
        <w:rPr>
          <w:rFonts w:ascii="Times New Roman" w:hAnsi="Times New Roman"/>
          <w:b/>
          <w:color w:val="002060"/>
          <w:szCs w:val="20"/>
        </w:rPr>
      </w:pPr>
    </w:p>
    <w:p w:rsidR="00407813" w:rsidRPr="00FA3856" w:rsidRDefault="00407813" w:rsidP="00407813">
      <w:pPr>
        <w:pStyle w:val="Corpodetexto"/>
        <w:rPr>
          <w:rFonts w:ascii="Times New Roman" w:hAnsi="Times New Roman"/>
          <w:b/>
          <w:color w:val="002060"/>
          <w:szCs w:val="20"/>
        </w:rPr>
      </w:pPr>
      <w:r w:rsidRPr="00FA3856">
        <w:rPr>
          <w:rFonts w:ascii="Times New Roman" w:hAnsi="Times New Roman"/>
          <w:b/>
          <w:color w:val="002060"/>
          <w:szCs w:val="20"/>
        </w:rPr>
        <w:t>|M001|0|</w:t>
      </w:r>
    </w:p>
    <w:p w:rsidR="00407813" w:rsidRPr="00FA3856" w:rsidRDefault="00407813" w:rsidP="00407813">
      <w:pPr>
        <w:pStyle w:val="Corpodetexto"/>
        <w:ind w:firstLine="708"/>
        <w:rPr>
          <w:rFonts w:ascii="Times New Roman" w:hAnsi="Times New Roman"/>
          <w:color w:val="002060"/>
          <w:szCs w:val="20"/>
        </w:rPr>
      </w:pPr>
      <w:r w:rsidRPr="00FA3856">
        <w:rPr>
          <w:rFonts w:ascii="Times New Roman" w:hAnsi="Times New Roman"/>
          <w:color w:val="002060"/>
          <w:szCs w:val="20"/>
        </w:rPr>
        <w:t>|M001|: Identificação do tipo do registro.</w:t>
      </w:r>
    </w:p>
    <w:p w:rsidR="00407813" w:rsidRPr="00FA3856" w:rsidRDefault="00407813" w:rsidP="00407813">
      <w:pPr>
        <w:pStyle w:val="Corpodetexto"/>
        <w:ind w:firstLine="708"/>
        <w:rPr>
          <w:rFonts w:ascii="Times New Roman" w:hAnsi="Times New Roman"/>
          <w:color w:val="002060"/>
          <w:szCs w:val="20"/>
        </w:rPr>
      </w:pPr>
      <w:r w:rsidRPr="00FA3856">
        <w:rPr>
          <w:rFonts w:ascii="Times New Roman" w:hAnsi="Times New Roman"/>
          <w:color w:val="002060"/>
          <w:szCs w:val="20"/>
        </w:rPr>
        <w:t>|0|: Indica que o bloco possui dados informados.</w:t>
      </w:r>
    </w:p>
    <w:p w:rsidR="00407813" w:rsidRPr="00FA3856" w:rsidRDefault="00407813" w:rsidP="00407813">
      <w:pPr>
        <w:pStyle w:val="Corpodetexto"/>
        <w:rPr>
          <w:rFonts w:ascii="Times New Roman" w:hAnsi="Times New Roman"/>
          <w:szCs w:val="20"/>
        </w:rPr>
      </w:pPr>
    </w:p>
    <w:p w:rsidR="00161EF7" w:rsidRPr="00FA3856" w:rsidRDefault="00161EF7">
      <w:pPr>
        <w:rPr>
          <w:b/>
          <w:bCs/>
          <w:color w:val="0000FF"/>
          <w:szCs w:val="20"/>
        </w:rPr>
      </w:pPr>
      <w:r w:rsidRPr="00FA3856">
        <w:rPr>
          <w:color w:val="0000FF"/>
          <w:szCs w:val="20"/>
        </w:rPr>
        <w:br w:type="page"/>
      </w:r>
    </w:p>
    <w:p w:rsidR="002A238A" w:rsidRPr="00FA3856" w:rsidRDefault="002A238A" w:rsidP="00867F54">
      <w:pPr>
        <w:pStyle w:val="Ttulo4"/>
      </w:pPr>
      <w:bookmarkStart w:id="197" w:name="_Toc479713723"/>
      <w:r w:rsidRPr="00FA3856">
        <w:lastRenderedPageBreak/>
        <w:t>Registro M010: Identificação da Conta na Parte B do e-Lalur e do e-Lacs</w:t>
      </w:r>
      <w:bookmarkEnd w:id="197"/>
    </w:p>
    <w:p w:rsidR="002A238A" w:rsidRPr="00FA3856" w:rsidRDefault="002A238A" w:rsidP="002A238A">
      <w:pPr>
        <w:rPr>
          <w:szCs w:val="20"/>
        </w:rPr>
      </w:pPr>
    </w:p>
    <w:p w:rsidR="002A238A" w:rsidRDefault="002A238A" w:rsidP="002A238A">
      <w:pPr>
        <w:ind w:firstLine="708"/>
        <w:rPr>
          <w:szCs w:val="20"/>
          <w:lang w:val="pt-PT"/>
        </w:rPr>
      </w:pPr>
      <w:r w:rsidRPr="00FA3856">
        <w:rPr>
          <w:szCs w:val="20"/>
        </w:rPr>
        <w:t xml:space="preserve">Cadastra os saldos iniciais no período da escrituração das contas da parte B utilizadas no e-LALUR e no e-LACS. </w:t>
      </w:r>
      <w:r w:rsidR="001321E4" w:rsidRPr="00FA3856">
        <w:rPr>
          <w:szCs w:val="20"/>
        </w:rPr>
        <w:t xml:space="preserve">O </w:t>
      </w:r>
      <w:r w:rsidR="001321E4" w:rsidRPr="00FA3856">
        <w:rPr>
          <w:szCs w:val="20"/>
          <w:lang w:val="pt-PT"/>
        </w:rPr>
        <w:t>r</w:t>
      </w:r>
      <w:r w:rsidRPr="00FA3856">
        <w:rPr>
          <w:szCs w:val="20"/>
          <w:lang w:val="pt-PT"/>
        </w:rPr>
        <w:t xml:space="preserve">egistro pode ser replicado da </w:t>
      </w:r>
      <w:r w:rsidR="00734700" w:rsidRPr="00FA3856">
        <w:rPr>
          <w:szCs w:val="20"/>
          <w:lang w:val="pt-PT"/>
        </w:rPr>
        <w:t>ECF</w:t>
      </w:r>
      <w:r w:rsidRPr="00FA3856">
        <w:rPr>
          <w:szCs w:val="20"/>
          <w:lang w:val="pt-PT"/>
        </w:rPr>
        <w:t xml:space="preserve"> anterior, importado e/ou editado.</w:t>
      </w:r>
    </w:p>
    <w:p w:rsidR="00B41541" w:rsidRDefault="00B41541" w:rsidP="00AC1E83">
      <w:pPr>
        <w:rPr>
          <w:szCs w:val="20"/>
          <w:lang w:val="pt-PT"/>
        </w:rPr>
      </w:pPr>
    </w:p>
    <w:p w:rsidR="00AC1E83" w:rsidRDefault="00B35FA3" w:rsidP="00AC1E83">
      <w:pPr>
        <w:jc w:val="center"/>
        <w:rPr>
          <w:szCs w:val="20"/>
          <w:lang w:val="pt-PT"/>
        </w:rPr>
      </w:pPr>
      <w:r>
        <w:rPr>
          <w:szCs w:val="20"/>
          <w:lang w:val="pt-PT"/>
        </w:rPr>
        <w:object w:dxaOrig="13815" w:dyaOrig="7080">
          <v:shape id="_x0000_i1681" type="#_x0000_t75" style="width:684pt;height:5in" o:ole="">
            <v:imagedata r:id="rId273" o:title=""/>
          </v:shape>
          <o:OLEObject Type="Link" ProgID="Excel.Sheet.12" ShapeID="_x0000_i1681" DrawAspect="Content" r:id="rId274" UpdateMode="Always">
            <o:LinkType>EnhancedMetaFile</o:LinkType>
            <o:LockedField>false</o:LockedField>
          </o:OLEObject>
        </w:object>
      </w:r>
    </w:p>
    <w:p w:rsidR="00B41541" w:rsidRDefault="00B41541" w:rsidP="00B41541">
      <w:pPr>
        <w:pStyle w:val="PSDS-MarcadoresNivel2"/>
        <w:numPr>
          <w:ilvl w:val="0"/>
          <w:numId w:val="0"/>
        </w:numPr>
        <w:jc w:val="center"/>
        <w:rPr>
          <w:rFonts w:ascii="Times New Roman" w:hAnsi="Times New Roman"/>
        </w:rPr>
      </w:pPr>
    </w:p>
    <w:p w:rsidR="00B41541" w:rsidRDefault="00B41541" w:rsidP="003E29E7">
      <w:pPr>
        <w:pStyle w:val="PSDS-MarcadoresNivel2"/>
        <w:numPr>
          <w:ilvl w:val="0"/>
          <w:numId w:val="0"/>
        </w:numPr>
        <w:rPr>
          <w:rFonts w:ascii="Times New Roman" w:hAnsi="Times New Roman"/>
        </w:rPr>
      </w:pPr>
    </w:p>
    <w:p w:rsidR="00B41541" w:rsidRDefault="00B41541" w:rsidP="00B41541">
      <w:pPr>
        <w:pStyle w:val="PSDS-MarcadoresNivel2"/>
        <w:numPr>
          <w:ilvl w:val="0"/>
          <w:numId w:val="0"/>
        </w:numPr>
        <w:jc w:val="center"/>
        <w:rPr>
          <w:rFonts w:ascii="Times New Roman" w:hAnsi="Times New Roman"/>
        </w:rPr>
      </w:pPr>
    </w:p>
    <w:p w:rsidR="00B41541" w:rsidRDefault="00B41541" w:rsidP="003E29E7">
      <w:pPr>
        <w:pStyle w:val="PSDS-MarcadoresNivel2"/>
        <w:numPr>
          <w:ilvl w:val="0"/>
          <w:numId w:val="0"/>
        </w:numPr>
        <w:rPr>
          <w:rFonts w:ascii="Times New Roman" w:hAnsi="Times New Roman"/>
        </w:rPr>
      </w:pPr>
    </w:p>
    <w:p w:rsidR="00AC1E83" w:rsidRDefault="00AC1E83" w:rsidP="003E29E7">
      <w:pPr>
        <w:pStyle w:val="PSDS-MarcadoresNivel2"/>
        <w:numPr>
          <w:ilvl w:val="0"/>
          <w:numId w:val="0"/>
        </w:numPr>
        <w:rPr>
          <w:rFonts w:ascii="Times New Roman" w:hAnsi="Times New Roman"/>
        </w:rPr>
      </w:pPr>
    </w:p>
    <w:p w:rsidR="00AC1E83" w:rsidRDefault="00B35FA3" w:rsidP="00AC1E83">
      <w:pPr>
        <w:pStyle w:val="PSDS-MarcadoresNivel2"/>
        <w:numPr>
          <w:ilvl w:val="0"/>
          <w:numId w:val="0"/>
        </w:numPr>
        <w:jc w:val="center"/>
        <w:rPr>
          <w:rFonts w:ascii="Times New Roman" w:hAnsi="Times New Roman"/>
        </w:rPr>
      </w:pPr>
      <w:r>
        <w:rPr>
          <w:rFonts w:ascii="Times New Roman" w:hAnsi="Times New Roman"/>
        </w:rPr>
        <w:object w:dxaOrig="13815" w:dyaOrig="5910">
          <v:shape id="_x0000_i1683" type="#_x0000_t75" style="width:684pt;height:295.5pt" o:ole="">
            <v:imagedata r:id="rId275" o:title=""/>
          </v:shape>
          <o:OLEObject Type="Link" ProgID="Excel.Sheet.12" ShapeID="_x0000_i1683" DrawAspect="Content" r:id="rId276" UpdateMode="Always">
            <o:LinkType>EnhancedMetaFile</o:LinkType>
            <o:LockedField>false</o:LockedField>
          </o:OLEObject>
        </w:object>
      </w:r>
    </w:p>
    <w:p w:rsidR="00AC1E83" w:rsidRDefault="00AC1E83" w:rsidP="003E29E7">
      <w:pPr>
        <w:pStyle w:val="PSDS-MarcadoresNivel2"/>
        <w:numPr>
          <w:ilvl w:val="0"/>
          <w:numId w:val="0"/>
        </w:numPr>
        <w:rPr>
          <w:rFonts w:ascii="Times New Roman" w:hAnsi="Times New Roman"/>
        </w:rPr>
      </w:pPr>
    </w:p>
    <w:p w:rsidR="00AC1E83" w:rsidRDefault="00AC1E83">
      <w:pPr>
        <w:spacing w:after="200" w:line="276" w:lineRule="auto"/>
        <w:rPr>
          <w:b/>
          <w:szCs w:val="20"/>
        </w:rPr>
      </w:pPr>
      <w:r>
        <w:br w:type="page"/>
      </w:r>
    </w:p>
    <w:p w:rsidR="003E29E7" w:rsidRPr="00FA3856" w:rsidRDefault="003E29E7" w:rsidP="003E29E7">
      <w:pPr>
        <w:pStyle w:val="PSDS-MarcadoresNivel2"/>
        <w:numPr>
          <w:ilvl w:val="0"/>
          <w:numId w:val="0"/>
        </w:numPr>
        <w:rPr>
          <w:rFonts w:ascii="Times New Roman" w:hAnsi="Times New Roman"/>
        </w:rPr>
      </w:pPr>
      <w:r w:rsidRPr="00FA3856">
        <w:rPr>
          <w:rFonts w:ascii="Times New Roman" w:hAnsi="Times New Roman"/>
        </w:rPr>
        <w:lastRenderedPageBreak/>
        <w:t>I – Regras de Validação do Registro:</w:t>
      </w:r>
    </w:p>
    <w:p w:rsidR="003E29E7" w:rsidRPr="00FA3856" w:rsidRDefault="003E29E7" w:rsidP="005302DE">
      <w:pPr>
        <w:rPr>
          <w:szCs w:val="20"/>
          <w:lang w:val="pt-PT"/>
        </w:rPr>
      </w:pPr>
    </w:p>
    <w:p w:rsidR="004B061E" w:rsidRPr="004B061E" w:rsidRDefault="003E29E7" w:rsidP="004B061E">
      <w:pPr>
        <w:ind w:left="708"/>
        <w:rPr>
          <w:szCs w:val="20"/>
          <w:lang w:val="pt-PT"/>
        </w:rPr>
      </w:pPr>
      <w:r w:rsidRPr="00FA3856">
        <w:rPr>
          <w:b/>
          <w:szCs w:val="20"/>
          <w:lang w:val="pt-PT"/>
        </w:rPr>
        <w:t xml:space="preserve">REGRA_DIVERGENCIA_E020_M010: </w:t>
      </w:r>
      <w:r w:rsidRPr="00FA3856">
        <w:rPr>
          <w:szCs w:val="20"/>
          <w:lang w:val="pt-PT"/>
        </w:rPr>
        <w:t>Verifica se os dados recuperados no registro E020 são iguais aos dados do registro M010. Se a regra não for cumpriada, a ECF gera um aviso.</w:t>
      </w:r>
      <w:r w:rsidR="004B061E">
        <w:rPr>
          <w:szCs w:val="20"/>
          <w:lang w:val="pt-PT"/>
        </w:rPr>
        <w:t xml:space="preserve"> O erro ocorre se 0010.FORMA_TRIB = “1”, “2”, “3” ou “4”, para cada M010 localizado no registro E020 com conteúdo diferente em qualquer dos seguintes campos do registro M010: DESC_CTA_B; DT_AP_LAL; COD_LAN_ORIG; DESC_LAN_ORIG; DT_LIM_LAL e TRIBUTO.</w:t>
      </w:r>
    </w:p>
    <w:p w:rsidR="004B061E" w:rsidRPr="004B061E" w:rsidRDefault="004B061E" w:rsidP="005302DE">
      <w:pPr>
        <w:rPr>
          <w:b/>
          <w:szCs w:val="20"/>
        </w:rPr>
      </w:pPr>
    </w:p>
    <w:p w:rsidR="003E29E7" w:rsidRDefault="003E29E7" w:rsidP="00BF1CEB">
      <w:pPr>
        <w:ind w:left="708"/>
        <w:rPr>
          <w:szCs w:val="20"/>
          <w:lang w:val="pt-PT"/>
        </w:rPr>
      </w:pPr>
      <w:r w:rsidRPr="00FA3856">
        <w:rPr>
          <w:b/>
          <w:szCs w:val="20"/>
          <w:lang w:val="pt-PT"/>
        </w:rPr>
        <w:t>REGRA_</w:t>
      </w:r>
      <w:r w:rsidR="00BF1CEB">
        <w:rPr>
          <w:b/>
          <w:szCs w:val="20"/>
          <w:lang w:val="pt-PT"/>
        </w:rPr>
        <w:t>EXISTENCIA</w:t>
      </w:r>
      <w:r w:rsidRPr="00FA3856">
        <w:rPr>
          <w:b/>
          <w:szCs w:val="20"/>
          <w:lang w:val="pt-PT"/>
        </w:rPr>
        <w:t xml:space="preserve">_M010: </w:t>
      </w:r>
      <w:r w:rsidRPr="00FA3856">
        <w:rPr>
          <w:szCs w:val="20"/>
          <w:lang w:val="pt-PT"/>
        </w:rPr>
        <w:t xml:space="preserve">Verifica se os saldos recuperados no registro E020 </w:t>
      </w:r>
      <w:r w:rsidR="00BF1CEB">
        <w:rPr>
          <w:szCs w:val="20"/>
          <w:lang w:val="pt-PT"/>
        </w:rPr>
        <w:t>existem no registro</w:t>
      </w:r>
      <w:r w:rsidRPr="00FA3856">
        <w:rPr>
          <w:szCs w:val="20"/>
          <w:lang w:val="pt-PT"/>
        </w:rPr>
        <w:t xml:space="preserve"> M010.</w:t>
      </w:r>
      <w:r w:rsidR="00BF1CEB">
        <w:rPr>
          <w:szCs w:val="20"/>
          <w:lang w:val="pt-PT"/>
        </w:rPr>
        <w:t xml:space="preserve"> O erro ocorre se 0010.FORMA_TRIB = “1”, “2”, “3” ou “4”, para cada E020 com VL_SALDO_FIN diferente de zero não localizado no registro M010.</w:t>
      </w:r>
    </w:p>
    <w:p w:rsidR="004B061E" w:rsidRDefault="004B061E" w:rsidP="00BF1CEB">
      <w:pPr>
        <w:ind w:left="708"/>
        <w:rPr>
          <w:szCs w:val="20"/>
          <w:lang w:val="pt-PT"/>
        </w:rPr>
      </w:pPr>
    </w:p>
    <w:p w:rsidR="004B061E" w:rsidRDefault="004B061E" w:rsidP="004B061E">
      <w:pPr>
        <w:ind w:left="708"/>
        <w:rPr>
          <w:szCs w:val="20"/>
          <w:lang w:val="pt-PT"/>
        </w:rPr>
      </w:pPr>
      <w:r>
        <w:rPr>
          <w:b/>
          <w:szCs w:val="20"/>
          <w:lang w:val="pt-PT"/>
        </w:rPr>
        <w:t xml:space="preserve">REGRA_SALDOS_M010_E020: </w:t>
      </w:r>
      <w:r>
        <w:rPr>
          <w:szCs w:val="20"/>
          <w:lang w:val="pt-PT"/>
        </w:rPr>
        <w:t xml:space="preserve">Verifica se os saldos recuperados no registro E020 são iguais aos saldos do registro M010. O erro ocorre se 0010.FORMA_TRIB = “1”, “2”, “3” ou “4”, para cada M010 localizado no registro E020 com conteúdo diferente em qualquer dos seguintes campos do registro M010: </w:t>
      </w:r>
    </w:p>
    <w:p w:rsidR="00B41541" w:rsidRDefault="00B41541" w:rsidP="004B061E">
      <w:pPr>
        <w:ind w:left="708" w:firstLine="708"/>
        <w:rPr>
          <w:szCs w:val="20"/>
          <w:lang w:val="pt-PT"/>
        </w:rPr>
      </w:pPr>
    </w:p>
    <w:p w:rsidR="004B061E" w:rsidRDefault="004B061E" w:rsidP="004B061E">
      <w:pPr>
        <w:ind w:left="708" w:firstLine="708"/>
        <w:rPr>
          <w:szCs w:val="20"/>
          <w:lang w:val="pt-PT"/>
        </w:rPr>
      </w:pPr>
      <w:r>
        <w:rPr>
          <w:szCs w:val="20"/>
          <w:lang w:val="pt-PT"/>
        </w:rPr>
        <w:t>E020.VL_SALDO_FIN diferente de M010_VL_SALDO_INI</w:t>
      </w:r>
    </w:p>
    <w:p w:rsidR="004B061E" w:rsidRDefault="004B061E" w:rsidP="004B061E">
      <w:pPr>
        <w:ind w:left="708" w:firstLine="708"/>
        <w:rPr>
          <w:szCs w:val="20"/>
          <w:lang w:val="pt-PT"/>
        </w:rPr>
      </w:pPr>
      <w:r>
        <w:rPr>
          <w:szCs w:val="20"/>
          <w:lang w:val="pt-PT"/>
        </w:rPr>
        <w:t>Ou</w:t>
      </w:r>
    </w:p>
    <w:p w:rsidR="004B061E" w:rsidRDefault="004B061E" w:rsidP="004B061E">
      <w:pPr>
        <w:ind w:left="708" w:firstLine="708"/>
        <w:rPr>
          <w:szCs w:val="20"/>
          <w:lang w:val="pt-PT"/>
        </w:rPr>
      </w:pPr>
      <w:r>
        <w:rPr>
          <w:szCs w:val="20"/>
          <w:lang w:val="pt-PT"/>
        </w:rPr>
        <w:t>E</w:t>
      </w:r>
      <w:r w:rsidR="00A0041B">
        <w:rPr>
          <w:szCs w:val="20"/>
          <w:lang w:val="pt-PT"/>
        </w:rPr>
        <w:t>020.IND_VL_SALDO_FIN diferente de M010_IND_VL_SALDO_INI</w:t>
      </w:r>
    </w:p>
    <w:p w:rsidR="004B061E" w:rsidRPr="004B061E" w:rsidRDefault="004B061E" w:rsidP="005302DE">
      <w:pPr>
        <w:rPr>
          <w:b/>
          <w:szCs w:val="20"/>
        </w:rPr>
      </w:pPr>
    </w:p>
    <w:p w:rsidR="003E29E7" w:rsidRPr="00FA3856" w:rsidRDefault="003E29E7" w:rsidP="005302DE">
      <w:pPr>
        <w:rPr>
          <w:b/>
          <w:szCs w:val="20"/>
          <w:lang w:val="pt-PT"/>
        </w:rPr>
      </w:pPr>
      <w:r w:rsidRPr="00FA3856">
        <w:rPr>
          <w:b/>
          <w:szCs w:val="20"/>
          <w:lang w:val="pt-PT"/>
        </w:rPr>
        <w:t>II – Regras de Validação de Campos:</w:t>
      </w:r>
    </w:p>
    <w:p w:rsidR="003E29E7" w:rsidRPr="00FA3856" w:rsidRDefault="003E29E7" w:rsidP="005302DE">
      <w:pPr>
        <w:rPr>
          <w:b/>
          <w:szCs w:val="20"/>
          <w:lang w:val="pt-PT"/>
        </w:rPr>
      </w:pPr>
    </w:p>
    <w:tbl>
      <w:tblPr>
        <w:tblW w:w="16370"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85"/>
        <w:gridCol w:w="3000"/>
        <w:gridCol w:w="12168"/>
        <w:gridCol w:w="717"/>
      </w:tblGrid>
      <w:tr w:rsidR="003E29E7" w:rsidRPr="00FA3856" w:rsidTr="0057204C">
        <w:trPr>
          <w:jc w:val="center"/>
        </w:trPr>
        <w:tc>
          <w:tcPr>
            <w:tcW w:w="485" w:type="dxa"/>
            <w:tcBorders>
              <w:top w:val="single" w:sz="6" w:space="0" w:color="auto"/>
              <w:left w:val="single" w:sz="6" w:space="0" w:color="auto"/>
              <w:bottom w:val="single" w:sz="6" w:space="0" w:color="auto"/>
              <w:right w:val="single" w:sz="6" w:space="0" w:color="auto"/>
            </w:tcBorders>
            <w:shd w:val="pct10" w:color="auto" w:fill="FFFFFF"/>
          </w:tcPr>
          <w:p w:rsidR="003E29E7" w:rsidRPr="00FA3856" w:rsidRDefault="003E29E7" w:rsidP="00723FE4">
            <w:pPr>
              <w:pStyle w:val="PSDS-CorpodeTexto0"/>
              <w:jc w:val="center"/>
              <w:rPr>
                <w:rFonts w:ascii="Times New Roman" w:hAnsi="Times New Roman"/>
                <w:b/>
                <w:bCs/>
              </w:rPr>
            </w:pPr>
            <w:r w:rsidRPr="00FA3856">
              <w:rPr>
                <w:rFonts w:ascii="Times New Roman" w:hAnsi="Times New Roman"/>
                <w:b/>
                <w:bCs/>
              </w:rPr>
              <w:t>Nº</w:t>
            </w:r>
          </w:p>
        </w:tc>
        <w:tc>
          <w:tcPr>
            <w:tcW w:w="3000" w:type="dxa"/>
            <w:tcBorders>
              <w:top w:val="single" w:sz="6" w:space="0" w:color="auto"/>
              <w:left w:val="single" w:sz="6" w:space="0" w:color="auto"/>
              <w:bottom w:val="single" w:sz="6" w:space="0" w:color="auto"/>
              <w:right w:val="single" w:sz="6" w:space="0" w:color="auto"/>
            </w:tcBorders>
            <w:shd w:val="pct10" w:color="auto" w:fill="FFFFFF"/>
          </w:tcPr>
          <w:p w:rsidR="003E29E7" w:rsidRPr="00FA3856" w:rsidRDefault="003E29E7" w:rsidP="00723FE4">
            <w:pPr>
              <w:pStyle w:val="PSDS-CorpodeTexto0"/>
              <w:jc w:val="center"/>
              <w:rPr>
                <w:rFonts w:ascii="Times New Roman" w:hAnsi="Times New Roman"/>
                <w:b/>
                <w:bCs/>
              </w:rPr>
            </w:pPr>
            <w:r w:rsidRPr="00FA3856">
              <w:rPr>
                <w:rFonts w:ascii="Times New Roman" w:hAnsi="Times New Roman"/>
                <w:b/>
                <w:bCs/>
              </w:rPr>
              <w:t>Campo</w:t>
            </w:r>
          </w:p>
        </w:tc>
        <w:tc>
          <w:tcPr>
            <w:tcW w:w="12168" w:type="dxa"/>
            <w:tcBorders>
              <w:top w:val="single" w:sz="6" w:space="0" w:color="auto"/>
              <w:left w:val="single" w:sz="6" w:space="0" w:color="auto"/>
              <w:bottom w:val="single" w:sz="6" w:space="0" w:color="auto"/>
              <w:right w:val="single" w:sz="6" w:space="0" w:color="auto"/>
            </w:tcBorders>
            <w:shd w:val="pct10" w:color="auto" w:fill="FFFFFF"/>
          </w:tcPr>
          <w:p w:rsidR="003E29E7" w:rsidRPr="00FA3856" w:rsidRDefault="003E29E7" w:rsidP="00723FE4">
            <w:pPr>
              <w:pStyle w:val="PSDS-CorpodeTexto0"/>
              <w:jc w:val="center"/>
              <w:rPr>
                <w:rFonts w:ascii="Times New Roman" w:hAnsi="Times New Roman"/>
                <w:b/>
                <w:bCs/>
              </w:rPr>
            </w:pPr>
            <w:r w:rsidRPr="00FA3856">
              <w:rPr>
                <w:rFonts w:ascii="Times New Roman" w:hAnsi="Times New Roman"/>
                <w:b/>
                <w:bCs/>
              </w:rPr>
              <w:t>Regras de Validação do Campo</w:t>
            </w:r>
          </w:p>
        </w:tc>
        <w:tc>
          <w:tcPr>
            <w:tcW w:w="717" w:type="dxa"/>
            <w:tcBorders>
              <w:top w:val="single" w:sz="6" w:space="0" w:color="auto"/>
              <w:left w:val="single" w:sz="6" w:space="0" w:color="auto"/>
              <w:bottom w:val="single" w:sz="6" w:space="0" w:color="auto"/>
              <w:right w:val="single" w:sz="6" w:space="0" w:color="auto"/>
            </w:tcBorders>
            <w:shd w:val="pct10" w:color="auto" w:fill="FFFFFF"/>
          </w:tcPr>
          <w:p w:rsidR="003E29E7" w:rsidRPr="00FA3856" w:rsidRDefault="003E29E7" w:rsidP="00723FE4">
            <w:pPr>
              <w:pStyle w:val="PSDS-CorpodeTexto0"/>
              <w:jc w:val="center"/>
              <w:rPr>
                <w:rFonts w:ascii="Times New Roman" w:hAnsi="Times New Roman"/>
                <w:b/>
                <w:bCs/>
              </w:rPr>
            </w:pPr>
            <w:r w:rsidRPr="00FA3856">
              <w:rPr>
                <w:rFonts w:ascii="Times New Roman" w:hAnsi="Times New Roman"/>
                <w:b/>
                <w:bCs/>
              </w:rPr>
              <w:t>Tipo</w:t>
            </w:r>
          </w:p>
        </w:tc>
      </w:tr>
      <w:tr w:rsidR="003E29E7" w:rsidRPr="00FA3856" w:rsidTr="0057204C">
        <w:trPr>
          <w:jc w:val="center"/>
        </w:trPr>
        <w:tc>
          <w:tcPr>
            <w:tcW w:w="485" w:type="dxa"/>
            <w:tcBorders>
              <w:top w:val="single" w:sz="6" w:space="0" w:color="auto"/>
              <w:left w:val="single" w:sz="6" w:space="0" w:color="auto"/>
              <w:bottom w:val="single" w:sz="6" w:space="0" w:color="auto"/>
              <w:right w:val="single" w:sz="6" w:space="0" w:color="auto"/>
            </w:tcBorders>
          </w:tcPr>
          <w:p w:rsidR="003E29E7" w:rsidRPr="00FA3856" w:rsidRDefault="003E29E7" w:rsidP="00723FE4">
            <w:pPr>
              <w:pStyle w:val="PSDS-CorpodeTexto0"/>
              <w:suppressAutoHyphens w:val="0"/>
              <w:rPr>
                <w:rFonts w:ascii="Times New Roman" w:hAnsi="Times New Roman"/>
                <w:b/>
                <w:bCs/>
                <w:lang w:val="pt-PT"/>
              </w:rPr>
            </w:pPr>
            <w:r w:rsidRPr="00FA3856">
              <w:rPr>
                <w:rFonts w:ascii="Times New Roman" w:hAnsi="Times New Roman"/>
                <w:b/>
                <w:bCs/>
                <w:lang w:val="pt-PT"/>
              </w:rPr>
              <w:t>4</w:t>
            </w:r>
          </w:p>
        </w:tc>
        <w:tc>
          <w:tcPr>
            <w:tcW w:w="3000" w:type="dxa"/>
            <w:tcBorders>
              <w:top w:val="single" w:sz="6" w:space="0" w:color="auto"/>
              <w:left w:val="single" w:sz="6" w:space="0" w:color="auto"/>
              <w:bottom w:val="single" w:sz="6" w:space="0" w:color="auto"/>
              <w:right w:val="single" w:sz="6" w:space="0" w:color="auto"/>
            </w:tcBorders>
          </w:tcPr>
          <w:p w:rsidR="003E29E7" w:rsidRPr="00FA3856" w:rsidRDefault="003E29E7" w:rsidP="00723FE4">
            <w:pPr>
              <w:pStyle w:val="PSDS-CorpodeTexto0"/>
              <w:rPr>
                <w:rFonts w:ascii="Times New Roman" w:hAnsi="Times New Roman"/>
              </w:rPr>
            </w:pPr>
            <w:r w:rsidRPr="00FA3856">
              <w:rPr>
                <w:rFonts w:ascii="Times New Roman" w:hAnsi="Times New Roman"/>
              </w:rPr>
              <w:t>DT_AP_LAL</w:t>
            </w:r>
          </w:p>
        </w:tc>
        <w:tc>
          <w:tcPr>
            <w:tcW w:w="12168" w:type="dxa"/>
            <w:tcBorders>
              <w:top w:val="single" w:sz="6" w:space="0" w:color="auto"/>
              <w:left w:val="single" w:sz="6" w:space="0" w:color="auto"/>
              <w:bottom w:val="single" w:sz="6" w:space="0" w:color="auto"/>
              <w:right w:val="single" w:sz="6" w:space="0" w:color="auto"/>
            </w:tcBorders>
          </w:tcPr>
          <w:p w:rsidR="003E29E7" w:rsidRDefault="003E29E7" w:rsidP="003E29E7">
            <w:pPr>
              <w:pStyle w:val="Corpodetexto"/>
              <w:rPr>
                <w:rFonts w:ascii="Times New Roman" w:hAnsi="Times New Roman"/>
                <w:szCs w:val="20"/>
              </w:rPr>
            </w:pPr>
            <w:r w:rsidRPr="00FA3856">
              <w:rPr>
                <w:rFonts w:ascii="Times New Roman" w:hAnsi="Times New Roman"/>
                <w:b/>
                <w:bCs/>
                <w:szCs w:val="20"/>
              </w:rPr>
              <w:t xml:space="preserve">REGRA_MENOR_IGUAL_DT_FIN: </w:t>
            </w:r>
            <w:r w:rsidRPr="00FA3856">
              <w:rPr>
                <w:rFonts w:ascii="Times New Roman" w:hAnsi="Times New Roman"/>
                <w:szCs w:val="20"/>
              </w:rPr>
              <w:t xml:space="preserve">Verifica se </w:t>
            </w:r>
            <w:r w:rsidR="00375E89" w:rsidRPr="00FA3856">
              <w:rPr>
                <w:rFonts w:ascii="Times New Roman" w:hAnsi="Times New Roman"/>
                <w:szCs w:val="20"/>
              </w:rPr>
              <w:t xml:space="preserve">M010.DT_AP_LAL </w:t>
            </w:r>
            <w:r w:rsidRPr="00FA3856">
              <w:rPr>
                <w:rFonts w:ascii="Times New Roman" w:hAnsi="Times New Roman"/>
                <w:szCs w:val="20"/>
              </w:rPr>
              <w:t>é menor ou igual a 0000.DT_FIN.</w:t>
            </w:r>
          </w:p>
          <w:p w:rsidR="00426DDB" w:rsidRDefault="00426DDB" w:rsidP="003E29E7">
            <w:pPr>
              <w:pStyle w:val="Corpodetexto"/>
              <w:rPr>
                <w:rFonts w:ascii="Times New Roman" w:hAnsi="Times New Roman"/>
                <w:szCs w:val="20"/>
              </w:rPr>
            </w:pPr>
          </w:p>
          <w:p w:rsidR="00426DDB" w:rsidRPr="00426DDB" w:rsidRDefault="00426DDB" w:rsidP="003E29E7">
            <w:pPr>
              <w:pStyle w:val="Corpodetexto"/>
              <w:rPr>
                <w:rFonts w:ascii="Times New Roman" w:hAnsi="Times New Roman"/>
                <w:bCs/>
                <w:szCs w:val="20"/>
              </w:rPr>
            </w:pPr>
            <w:r w:rsidRPr="0070069F">
              <w:rPr>
                <w:rFonts w:ascii="Times New Roman" w:hAnsi="Times New Roman"/>
                <w:b/>
                <w:bCs/>
                <w:szCs w:val="20"/>
              </w:rPr>
              <w:t xml:space="preserve">REGRA_CONTA_PERIODO_ANTERIOR: </w:t>
            </w:r>
            <w:r w:rsidRPr="0070069F">
              <w:rPr>
                <w:rFonts w:ascii="Times New Roman" w:hAnsi="Times New Roman"/>
                <w:bCs/>
                <w:szCs w:val="20"/>
              </w:rPr>
              <w:t>Caso M010.DT_AP_LAL for menor que 0000.DT_INI e M010.COD_CTA_B e M010.COD_TRIBUTO não existirem no registro E020 (E020.COD_CTA_B e E020.TRIBUTO), o sistema gera um aviso (A data de criação da conta na parte B é anterior à data de início da ECF. Verifique se essa informação está correta).</w:t>
            </w:r>
          </w:p>
        </w:tc>
        <w:tc>
          <w:tcPr>
            <w:tcW w:w="717" w:type="dxa"/>
            <w:tcBorders>
              <w:top w:val="single" w:sz="6" w:space="0" w:color="auto"/>
              <w:left w:val="single" w:sz="6" w:space="0" w:color="auto"/>
              <w:bottom w:val="single" w:sz="6" w:space="0" w:color="auto"/>
              <w:right w:val="single" w:sz="6" w:space="0" w:color="auto"/>
            </w:tcBorders>
          </w:tcPr>
          <w:p w:rsidR="003E29E7" w:rsidRDefault="003E29E7" w:rsidP="00723FE4">
            <w:pPr>
              <w:pStyle w:val="PSDS-CorpodeTexto0"/>
              <w:rPr>
                <w:rFonts w:ascii="Times New Roman" w:hAnsi="Times New Roman"/>
              </w:rPr>
            </w:pPr>
            <w:r w:rsidRPr="00FA3856">
              <w:rPr>
                <w:rFonts w:ascii="Times New Roman" w:hAnsi="Times New Roman"/>
              </w:rPr>
              <w:t>Erro</w:t>
            </w:r>
          </w:p>
          <w:p w:rsidR="00426DDB" w:rsidRDefault="00426DDB" w:rsidP="00723FE4">
            <w:pPr>
              <w:pStyle w:val="PSDS-CorpodeTexto0"/>
              <w:rPr>
                <w:rFonts w:ascii="Times New Roman" w:hAnsi="Times New Roman"/>
              </w:rPr>
            </w:pPr>
          </w:p>
          <w:p w:rsidR="00426DDB" w:rsidRPr="00FA3856" w:rsidRDefault="00426DDB" w:rsidP="00723FE4">
            <w:pPr>
              <w:pStyle w:val="PSDS-CorpodeTexto0"/>
              <w:rPr>
                <w:rFonts w:ascii="Times New Roman" w:hAnsi="Times New Roman"/>
              </w:rPr>
            </w:pPr>
            <w:r>
              <w:rPr>
                <w:rFonts w:ascii="Times New Roman" w:hAnsi="Times New Roman"/>
              </w:rPr>
              <w:t>Aviso</w:t>
            </w:r>
          </w:p>
          <w:p w:rsidR="003E29E7" w:rsidRPr="00FA3856" w:rsidRDefault="003E29E7" w:rsidP="00723FE4">
            <w:pPr>
              <w:pStyle w:val="PSDS-CorpodeTexto0"/>
              <w:rPr>
                <w:rFonts w:ascii="Times New Roman" w:hAnsi="Times New Roman"/>
              </w:rPr>
            </w:pPr>
          </w:p>
        </w:tc>
      </w:tr>
      <w:tr w:rsidR="0057204C" w:rsidRPr="00FA3856" w:rsidTr="006A4D3C">
        <w:trPr>
          <w:jc w:val="center"/>
        </w:trPr>
        <w:tc>
          <w:tcPr>
            <w:tcW w:w="485" w:type="dxa"/>
            <w:tcBorders>
              <w:top w:val="single" w:sz="6" w:space="0" w:color="auto"/>
              <w:left w:val="single" w:sz="6" w:space="0" w:color="auto"/>
              <w:bottom w:val="single" w:sz="6" w:space="0" w:color="auto"/>
              <w:right w:val="single" w:sz="6" w:space="0" w:color="auto"/>
            </w:tcBorders>
          </w:tcPr>
          <w:p w:rsidR="0057204C" w:rsidRPr="00FA3856" w:rsidRDefault="0057204C" w:rsidP="006A4D3C">
            <w:pPr>
              <w:pStyle w:val="PSDS-CorpodeTexto0"/>
              <w:suppressAutoHyphens w:val="0"/>
              <w:rPr>
                <w:rFonts w:ascii="Times New Roman" w:hAnsi="Times New Roman"/>
                <w:b/>
                <w:bCs/>
                <w:lang w:val="pt-PT"/>
              </w:rPr>
            </w:pPr>
            <w:r w:rsidRPr="00FA3856">
              <w:rPr>
                <w:rFonts w:ascii="Times New Roman" w:hAnsi="Times New Roman"/>
                <w:b/>
                <w:bCs/>
                <w:lang w:val="pt-PT"/>
              </w:rPr>
              <w:t>9</w:t>
            </w:r>
          </w:p>
        </w:tc>
        <w:tc>
          <w:tcPr>
            <w:tcW w:w="3000" w:type="dxa"/>
            <w:tcBorders>
              <w:top w:val="single" w:sz="6" w:space="0" w:color="auto"/>
              <w:left w:val="single" w:sz="6" w:space="0" w:color="auto"/>
              <w:bottom w:val="single" w:sz="6" w:space="0" w:color="auto"/>
              <w:right w:val="single" w:sz="6" w:space="0" w:color="auto"/>
            </w:tcBorders>
          </w:tcPr>
          <w:p w:rsidR="0057204C" w:rsidRPr="00FA3856" w:rsidRDefault="0086664D" w:rsidP="006A4D3C">
            <w:pPr>
              <w:pStyle w:val="PSDS-CorpodeTexto0"/>
              <w:rPr>
                <w:rFonts w:ascii="Times New Roman" w:hAnsi="Times New Roman"/>
              </w:rPr>
            </w:pPr>
            <w:r w:rsidRPr="00FA3856">
              <w:rPr>
                <w:rFonts w:ascii="Times New Roman" w:hAnsi="Times New Roman"/>
              </w:rPr>
              <w:t>VL</w:t>
            </w:r>
            <w:r w:rsidR="0057204C" w:rsidRPr="00FA3856">
              <w:rPr>
                <w:rFonts w:ascii="Times New Roman" w:hAnsi="Times New Roman"/>
              </w:rPr>
              <w:t>_SALDO_INI</w:t>
            </w:r>
          </w:p>
        </w:tc>
        <w:tc>
          <w:tcPr>
            <w:tcW w:w="12168" w:type="dxa"/>
            <w:tcBorders>
              <w:top w:val="single" w:sz="6" w:space="0" w:color="auto"/>
              <w:left w:val="single" w:sz="6" w:space="0" w:color="auto"/>
              <w:bottom w:val="single" w:sz="6" w:space="0" w:color="auto"/>
              <w:right w:val="single" w:sz="6" w:space="0" w:color="auto"/>
            </w:tcBorders>
          </w:tcPr>
          <w:p w:rsidR="0057204C" w:rsidRPr="00FA3856" w:rsidRDefault="0057204C" w:rsidP="006A4D3C">
            <w:pPr>
              <w:pStyle w:val="Corpodetexto"/>
              <w:rPr>
                <w:rFonts w:ascii="Times New Roman" w:hAnsi="Times New Roman"/>
                <w:szCs w:val="20"/>
              </w:rPr>
            </w:pPr>
            <w:r w:rsidRPr="00FA3856">
              <w:rPr>
                <w:rStyle w:val="Hyperlink"/>
                <w:rFonts w:ascii="Times New Roman" w:hAnsi="Times New Roman"/>
                <w:b/>
                <w:color w:val="auto"/>
                <w:szCs w:val="20"/>
              </w:rPr>
              <w:t xml:space="preserve">REGRA_DT_AP_ZERO: </w:t>
            </w:r>
            <w:r w:rsidRPr="00FA3856">
              <w:rPr>
                <w:rStyle w:val="Hyperlink"/>
                <w:rFonts w:ascii="Times New Roman" w:hAnsi="Times New Roman"/>
                <w:color w:val="auto"/>
                <w:szCs w:val="20"/>
              </w:rPr>
              <w:t xml:space="preserve">Verifica, quando </w:t>
            </w:r>
            <w:r w:rsidR="00375E89" w:rsidRPr="00FA3856">
              <w:rPr>
                <w:rStyle w:val="Hyperlink"/>
                <w:rFonts w:ascii="Times New Roman" w:hAnsi="Times New Roman"/>
                <w:color w:val="auto"/>
                <w:szCs w:val="20"/>
              </w:rPr>
              <w:t xml:space="preserve">M010.DT_AP_LAL </w:t>
            </w:r>
            <w:r w:rsidRPr="00FA3856">
              <w:rPr>
                <w:rStyle w:val="Hyperlink"/>
                <w:rFonts w:ascii="Times New Roman" w:hAnsi="Times New Roman"/>
                <w:color w:val="auto"/>
                <w:szCs w:val="20"/>
              </w:rPr>
              <w:t>estiver dent</w:t>
            </w:r>
            <w:r w:rsidR="0086664D" w:rsidRPr="00FA3856">
              <w:rPr>
                <w:rStyle w:val="Hyperlink"/>
                <w:rFonts w:ascii="Times New Roman" w:hAnsi="Times New Roman"/>
                <w:color w:val="auto"/>
                <w:szCs w:val="20"/>
              </w:rPr>
              <w:t>ro do período de apuraç</w:t>
            </w:r>
            <w:r w:rsidR="00375E89" w:rsidRPr="00FA3856">
              <w:rPr>
                <w:rStyle w:val="Hyperlink"/>
                <w:rFonts w:ascii="Times New Roman" w:hAnsi="Times New Roman"/>
                <w:color w:val="auto"/>
                <w:szCs w:val="20"/>
              </w:rPr>
              <w:t xml:space="preserve">ão, se M010.VL_SALDO_INI </w:t>
            </w:r>
            <w:r w:rsidRPr="00FA3856">
              <w:rPr>
                <w:rStyle w:val="Hyperlink"/>
                <w:rFonts w:ascii="Times New Roman" w:hAnsi="Times New Roman"/>
                <w:color w:val="auto"/>
                <w:szCs w:val="20"/>
              </w:rPr>
              <w:t>é igual a zero.</w:t>
            </w:r>
          </w:p>
        </w:tc>
        <w:tc>
          <w:tcPr>
            <w:tcW w:w="717" w:type="dxa"/>
            <w:tcBorders>
              <w:top w:val="single" w:sz="6" w:space="0" w:color="auto"/>
              <w:left w:val="single" w:sz="6" w:space="0" w:color="auto"/>
              <w:bottom w:val="single" w:sz="6" w:space="0" w:color="auto"/>
              <w:right w:val="single" w:sz="6" w:space="0" w:color="auto"/>
            </w:tcBorders>
          </w:tcPr>
          <w:p w:rsidR="0057204C" w:rsidRPr="00FA3856" w:rsidRDefault="0057204C" w:rsidP="006A4D3C">
            <w:pPr>
              <w:pStyle w:val="PSDS-CorpodeTexto0"/>
              <w:rPr>
                <w:rFonts w:ascii="Times New Roman" w:hAnsi="Times New Roman"/>
              </w:rPr>
            </w:pPr>
            <w:r w:rsidRPr="00FA3856">
              <w:rPr>
                <w:rFonts w:ascii="Times New Roman" w:hAnsi="Times New Roman"/>
              </w:rPr>
              <w:t>Erro</w:t>
            </w:r>
          </w:p>
          <w:p w:rsidR="0057204C" w:rsidRPr="00FA3856" w:rsidRDefault="0057204C" w:rsidP="006A4D3C">
            <w:pPr>
              <w:pStyle w:val="PSDS-CorpodeTexto0"/>
              <w:rPr>
                <w:rFonts w:ascii="Times New Roman" w:hAnsi="Times New Roman"/>
              </w:rPr>
            </w:pPr>
          </w:p>
        </w:tc>
      </w:tr>
      <w:tr w:rsidR="003E29E7" w:rsidRPr="00FA3856" w:rsidTr="0057204C">
        <w:trPr>
          <w:jc w:val="center"/>
        </w:trPr>
        <w:tc>
          <w:tcPr>
            <w:tcW w:w="485" w:type="dxa"/>
            <w:tcBorders>
              <w:top w:val="single" w:sz="6" w:space="0" w:color="auto"/>
              <w:left w:val="single" w:sz="6" w:space="0" w:color="auto"/>
              <w:bottom w:val="single" w:sz="6" w:space="0" w:color="auto"/>
              <w:right w:val="single" w:sz="6" w:space="0" w:color="auto"/>
            </w:tcBorders>
          </w:tcPr>
          <w:p w:rsidR="003E29E7" w:rsidRPr="00FA3856" w:rsidRDefault="0057204C" w:rsidP="00723FE4">
            <w:pPr>
              <w:pStyle w:val="PSDS-CorpodeTexto0"/>
              <w:suppressAutoHyphens w:val="0"/>
              <w:rPr>
                <w:rFonts w:ascii="Times New Roman" w:hAnsi="Times New Roman"/>
                <w:b/>
                <w:bCs/>
                <w:lang w:val="pt-PT"/>
              </w:rPr>
            </w:pPr>
            <w:r w:rsidRPr="00FA3856">
              <w:rPr>
                <w:rFonts w:ascii="Times New Roman" w:hAnsi="Times New Roman"/>
                <w:b/>
                <w:bCs/>
                <w:lang w:val="pt-PT"/>
              </w:rPr>
              <w:t>11</w:t>
            </w:r>
          </w:p>
        </w:tc>
        <w:tc>
          <w:tcPr>
            <w:tcW w:w="3000" w:type="dxa"/>
            <w:tcBorders>
              <w:top w:val="single" w:sz="6" w:space="0" w:color="auto"/>
              <w:left w:val="single" w:sz="6" w:space="0" w:color="auto"/>
              <w:bottom w:val="single" w:sz="6" w:space="0" w:color="auto"/>
              <w:right w:val="single" w:sz="6" w:space="0" w:color="auto"/>
            </w:tcBorders>
          </w:tcPr>
          <w:p w:rsidR="003E29E7" w:rsidRPr="00FA3856" w:rsidRDefault="0057204C" w:rsidP="003E29E7">
            <w:pPr>
              <w:pStyle w:val="PSDS-CorpodeTexto0"/>
              <w:rPr>
                <w:rFonts w:ascii="Times New Roman" w:hAnsi="Times New Roman"/>
              </w:rPr>
            </w:pPr>
            <w:r w:rsidRPr="00FA3856">
              <w:rPr>
                <w:rFonts w:ascii="Times New Roman" w:hAnsi="Times New Roman"/>
                <w:lang w:val="pt-PT"/>
              </w:rPr>
              <w:t>CNPJ_SIT_ESP</w:t>
            </w:r>
          </w:p>
        </w:tc>
        <w:tc>
          <w:tcPr>
            <w:tcW w:w="12168" w:type="dxa"/>
            <w:tcBorders>
              <w:top w:val="single" w:sz="6" w:space="0" w:color="auto"/>
              <w:left w:val="single" w:sz="6" w:space="0" w:color="auto"/>
              <w:bottom w:val="single" w:sz="6" w:space="0" w:color="auto"/>
              <w:right w:val="single" w:sz="6" w:space="0" w:color="auto"/>
            </w:tcBorders>
          </w:tcPr>
          <w:p w:rsidR="003E29E7" w:rsidRPr="00FA3856" w:rsidRDefault="007D0E74" w:rsidP="003E29E7">
            <w:pPr>
              <w:pStyle w:val="Corpodetexto"/>
              <w:rPr>
                <w:rFonts w:ascii="Times New Roman" w:hAnsi="Times New Roman"/>
                <w:szCs w:val="20"/>
              </w:rPr>
            </w:pPr>
            <w:hyperlink w:anchor="REGRA_VALIDA_CNPJ" w:history="1">
              <w:r w:rsidR="0057204C" w:rsidRPr="00FA3856">
                <w:rPr>
                  <w:rStyle w:val="Hyperlink"/>
                  <w:rFonts w:ascii="Times New Roman" w:hAnsi="Times New Roman"/>
                  <w:b/>
                  <w:bCs/>
                  <w:color w:val="auto"/>
                  <w:szCs w:val="20"/>
                  <w:lang w:val="pt-PT"/>
                </w:rPr>
                <w:t>REGRA_VALIDA_CNPJ</w:t>
              </w:r>
            </w:hyperlink>
            <w:r w:rsidR="0057204C" w:rsidRPr="00FA3856">
              <w:rPr>
                <w:rFonts w:ascii="Times New Roman" w:hAnsi="Times New Roman"/>
                <w:b/>
                <w:bCs/>
                <w:szCs w:val="20"/>
                <w:lang w:val="pt-PT"/>
              </w:rPr>
              <w:t xml:space="preserve">: </w:t>
            </w:r>
            <w:r w:rsidR="0057204C" w:rsidRPr="00FA3856">
              <w:rPr>
                <w:rFonts w:ascii="Times New Roman" w:hAnsi="Times New Roman"/>
                <w:szCs w:val="20"/>
              </w:rPr>
              <w:t xml:space="preserve"> Verifica se a regra de formação do código é válida.</w:t>
            </w:r>
          </w:p>
        </w:tc>
        <w:tc>
          <w:tcPr>
            <w:tcW w:w="717" w:type="dxa"/>
            <w:tcBorders>
              <w:top w:val="single" w:sz="6" w:space="0" w:color="auto"/>
              <w:left w:val="single" w:sz="6" w:space="0" w:color="auto"/>
              <w:bottom w:val="single" w:sz="6" w:space="0" w:color="auto"/>
              <w:right w:val="single" w:sz="6" w:space="0" w:color="auto"/>
            </w:tcBorders>
          </w:tcPr>
          <w:p w:rsidR="003E29E7" w:rsidRPr="00FA3856" w:rsidRDefault="003E29E7" w:rsidP="00723FE4">
            <w:pPr>
              <w:pStyle w:val="PSDS-CorpodeTexto0"/>
              <w:rPr>
                <w:rFonts w:ascii="Times New Roman" w:hAnsi="Times New Roman"/>
              </w:rPr>
            </w:pPr>
            <w:r w:rsidRPr="00FA3856">
              <w:rPr>
                <w:rFonts w:ascii="Times New Roman" w:hAnsi="Times New Roman"/>
              </w:rPr>
              <w:t>Erro</w:t>
            </w:r>
          </w:p>
          <w:p w:rsidR="003E29E7" w:rsidRPr="00FA3856" w:rsidRDefault="003E29E7" w:rsidP="00723FE4">
            <w:pPr>
              <w:pStyle w:val="PSDS-CorpodeTexto0"/>
              <w:rPr>
                <w:rFonts w:ascii="Times New Roman" w:hAnsi="Times New Roman"/>
              </w:rPr>
            </w:pPr>
          </w:p>
        </w:tc>
      </w:tr>
    </w:tbl>
    <w:p w:rsidR="00B41541" w:rsidRDefault="00B41541" w:rsidP="00480B29">
      <w:pPr>
        <w:pStyle w:val="Corpodetexto"/>
        <w:rPr>
          <w:rFonts w:ascii="Times New Roman" w:hAnsi="Times New Roman"/>
          <w:b/>
          <w:color w:val="002060"/>
          <w:szCs w:val="20"/>
        </w:rPr>
      </w:pPr>
    </w:p>
    <w:p w:rsidR="00AC1E83" w:rsidRDefault="00AC1E83">
      <w:pPr>
        <w:spacing w:after="200" w:line="276" w:lineRule="auto"/>
        <w:rPr>
          <w:b/>
          <w:color w:val="002060"/>
          <w:szCs w:val="20"/>
          <w:lang w:eastAsia="ar-SA"/>
        </w:rPr>
      </w:pPr>
      <w:r>
        <w:rPr>
          <w:b/>
          <w:color w:val="002060"/>
          <w:szCs w:val="20"/>
        </w:rPr>
        <w:br w:type="page"/>
      </w:r>
    </w:p>
    <w:p w:rsidR="00342F1D" w:rsidRDefault="0086664D" w:rsidP="00480B29">
      <w:pPr>
        <w:pStyle w:val="Corpodetexto"/>
        <w:rPr>
          <w:rFonts w:ascii="Times New Roman" w:hAnsi="Times New Roman"/>
          <w:b/>
          <w:color w:val="002060"/>
          <w:szCs w:val="20"/>
        </w:rPr>
      </w:pPr>
      <w:r w:rsidRPr="00FA3856">
        <w:rPr>
          <w:rFonts w:ascii="Times New Roman" w:hAnsi="Times New Roman"/>
          <w:b/>
          <w:color w:val="002060"/>
          <w:szCs w:val="20"/>
        </w:rPr>
        <w:lastRenderedPageBreak/>
        <w:t xml:space="preserve">Exemplo de Preenchimento: </w:t>
      </w:r>
    </w:p>
    <w:p w:rsidR="00342F1D" w:rsidRDefault="00342F1D" w:rsidP="00480B29">
      <w:pPr>
        <w:pStyle w:val="Corpodetexto"/>
        <w:rPr>
          <w:rFonts w:ascii="Times New Roman" w:hAnsi="Times New Roman"/>
          <w:b/>
          <w:color w:val="002060"/>
          <w:szCs w:val="20"/>
        </w:rPr>
      </w:pPr>
    </w:p>
    <w:p w:rsidR="00480B29" w:rsidRPr="00FA3856" w:rsidRDefault="00480B29" w:rsidP="00480B29">
      <w:pPr>
        <w:pStyle w:val="Corpodetexto"/>
        <w:rPr>
          <w:rFonts w:ascii="Times New Roman" w:hAnsi="Times New Roman"/>
          <w:b/>
          <w:color w:val="002060"/>
          <w:szCs w:val="20"/>
        </w:rPr>
      </w:pPr>
      <w:r w:rsidRPr="00FA3856">
        <w:rPr>
          <w:rFonts w:ascii="Times New Roman" w:hAnsi="Times New Roman"/>
          <w:b/>
          <w:color w:val="002060"/>
          <w:szCs w:val="20"/>
        </w:rPr>
        <w:t>|M010|101|CONTA DA PARTE B|01012013|103|Depreciação Acelerada Incentivada - (Lei nº 11.196/2005, art. 31)|</w:t>
      </w:r>
      <w:r w:rsidR="00C741A4" w:rsidRPr="00FA3856">
        <w:rPr>
          <w:rFonts w:ascii="Times New Roman" w:hAnsi="Times New Roman"/>
          <w:b/>
          <w:color w:val="002060"/>
          <w:szCs w:val="20"/>
        </w:rPr>
        <w:t>31122016|I|1000,00|D||</w:t>
      </w:r>
    </w:p>
    <w:p w:rsidR="00480B29" w:rsidRPr="00FA3856" w:rsidRDefault="00480B29" w:rsidP="00480B29">
      <w:pPr>
        <w:pStyle w:val="Corpodetexto"/>
        <w:ind w:firstLine="708"/>
        <w:rPr>
          <w:rFonts w:ascii="Times New Roman" w:hAnsi="Times New Roman"/>
          <w:color w:val="002060"/>
          <w:szCs w:val="20"/>
        </w:rPr>
      </w:pPr>
      <w:r w:rsidRPr="00FA3856">
        <w:rPr>
          <w:rFonts w:ascii="Times New Roman" w:hAnsi="Times New Roman"/>
          <w:color w:val="002060"/>
          <w:szCs w:val="20"/>
        </w:rPr>
        <w:t>|M010|: Identificação do tipo do registro.</w:t>
      </w:r>
    </w:p>
    <w:p w:rsidR="00480B29" w:rsidRPr="00FA3856" w:rsidRDefault="00480B29" w:rsidP="00480B29">
      <w:pPr>
        <w:pStyle w:val="Corpodetexto"/>
        <w:ind w:firstLine="708"/>
        <w:rPr>
          <w:rFonts w:ascii="Times New Roman" w:hAnsi="Times New Roman"/>
          <w:color w:val="002060"/>
          <w:szCs w:val="20"/>
        </w:rPr>
      </w:pPr>
      <w:r w:rsidRPr="00FA3856">
        <w:rPr>
          <w:rFonts w:ascii="Times New Roman" w:hAnsi="Times New Roman"/>
          <w:color w:val="002060"/>
          <w:szCs w:val="20"/>
        </w:rPr>
        <w:t>|101|: Código da conta na parte B.</w:t>
      </w:r>
    </w:p>
    <w:p w:rsidR="00480B29" w:rsidRPr="00FA3856" w:rsidRDefault="00480B29" w:rsidP="00480B29">
      <w:pPr>
        <w:pStyle w:val="Corpodetexto"/>
        <w:ind w:firstLine="708"/>
        <w:rPr>
          <w:rFonts w:ascii="Times New Roman" w:hAnsi="Times New Roman"/>
          <w:color w:val="002060"/>
          <w:szCs w:val="20"/>
        </w:rPr>
      </w:pPr>
      <w:r w:rsidRPr="00FA3856">
        <w:rPr>
          <w:rFonts w:ascii="Times New Roman" w:hAnsi="Times New Roman"/>
          <w:color w:val="002060"/>
          <w:szCs w:val="20"/>
        </w:rPr>
        <w:t>|CONTA DA PARTE B|: Descrição da conta.</w:t>
      </w:r>
    </w:p>
    <w:p w:rsidR="00480B29" w:rsidRPr="00FA3856" w:rsidRDefault="00480B29" w:rsidP="00480B29">
      <w:pPr>
        <w:pStyle w:val="Corpodetexto"/>
        <w:ind w:firstLine="708"/>
        <w:rPr>
          <w:rFonts w:ascii="Times New Roman" w:hAnsi="Times New Roman"/>
          <w:color w:val="002060"/>
          <w:szCs w:val="20"/>
        </w:rPr>
      </w:pPr>
      <w:r w:rsidRPr="00FA3856">
        <w:rPr>
          <w:rFonts w:ascii="Times New Roman" w:hAnsi="Times New Roman"/>
          <w:color w:val="002060"/>
          <w:szCs w:val="20"/>
        </w:rPr>
        <w:t>|01012013|: Data da criação (01/01/2013).</w:t>
      </w:r>
    </w:p>
    <w:p w:rsidR="00480B29" w:rsidRPr="00FA3856" w:rsidRDefault="00480B29" w:rsidP="00480B29">
      <w:pPr>
        <w:pStyle w:val="Corpodetexto"/>
        <w:ind w:firstLine="708"/>
        <w:rPr>
          <w:rFonts w:ascii="Times New Roman" w:hAnsi="Times New Roman"/>
          <w:color w:val="002060"/>
          <w:szCs w:val="20"/>
        </w:rPr>
      </w:pPr>
      <w:r w:rsidRPr="00FA3856">
        <w:rPr>
          <w:rFonts w:ascii="Times New Roman" w:hAnsi="Times New Roman"/>
          <w:color w:val="002060"/>
          <w:szCs w:val="20"/>
        </w:rPr>
        <w:t>|103|: Código do lançamento na parte A do e-Lalur ou do e-Lacs que deu origem da conta.</w:t>
      </w:r>
    </w:p>
    <w:p w:rsidR="00480B29" w:rsidRPr="00FA3856" w:rsidRDefault="00480B29" w:rsidP="00480B29">
      <w:pPr>
        <w:pStyle w:val="Corpodetexto"/>
        <w:ind w:firstLine="708"/>
        <w:rPr>
          <w:rFonts w:ascii="Times New Roman" w:hAnsi="Times New Roman"/>
          <w:color w:val="002060"/>
          <w:szCs w:val="20"/>
        </w:rPr>
      </w:pPr>
      <w:r w:rsidRPr="00FA3856">
        <w:rPr>
          <w:rFonts w:ascii="Times New Roman" w:hAnsi="Times New Roman"/>
          <w:color w:val="002060"/>
          <w:szCs w:val="20"/>
        </w:rPr>
        <w:t xml:space="preserve">||Depreciação Acelerada Incentivada - (Lei nº 11.196/2005, art. 31)|: </w:t>
      </w:r>
      <w:r w:rsidR="00B5790B" w:rsidRPr="00FA3856">
        <w:rPr>
          <w:rFonts w:ascii="Times New Roman" w:hAnsi="Times New Roman"/>
          <w:color w:val="002060"/>
          <w:szCs w:val="20"/>
        </w:rPr>
        <w:t>Descrição</w:t>
      </w:r>
      <w:r w:rsidRPr="00FA3856">
        <w:rPr>
          <w:rFonts w:ascii="Times New Roman" w:hAnsi="Times New Roman"/>
          <w:color w:val="002060"/>
          <w:szCs w:val="20"/>
        </w:rPr>
        <w:t xml:space="preserve"> do lançamento na parte A do e-Lalur ou do e-Lacs que deu origem da conta.</w:t>
      </w:r>
    </w:p>
    <w:p w:rsidR="00C741A4" w:rsidRPr="00FA3856" w:rsidRDefault="00C741A4" w:rsidP="00480B29">
      <w:pPr>
        <w:pStyle w:val="Corpodetexto"/>
        <w:ind w:firstLine="708"/>
        <w:rPr>
          <w:rFonts w:ascii="Times New Roman" w:hAnsi="Times New Roman"/>
          <w:color w:val="002060"/>
          <w:szCs w:val="20"/>
        </w:rPr>
      </w:pPr>
      <w:r w:rsidRPr="00FA3856">
        <w:rPr>
          <w:rFonts w:ascii="Times New Roman" w:hAnsi="Times New Roman"/>
          <w:color w:val="002060"/>
          <w:szCs w:val="20"/>
        </w:rPr>
        <w:t xml:space="preserve">|31122016|: Data limite para a </w:t>
      </w:r>
      <w:r w:rsidR="00B5790B" w:rsidRPr="00FA3856">
        <w:rPr>
          <w:rFonts w:ascii="Times New Roman" w:hAnsi="Times New Roman"/>
          <w:color w:val="002060"/>
          <w:szCs w:val="20"/>
        </w:rPr>
        <w:t>exclusão</w:t>
      </w:r>
      <w:r w:rsidRPr="00FA3856">
        <w:rPr>
          <w:rFonts w:ascii="Times New Roman" w:hAnsi="Times New Roman"/>
          <w:color w:val="002060"/>
          <w:szCs w:val="20"/>
        </w:rPr>
        <w:t>, adição ou compensação do valor controlado (31/12/2016).</w:t>
      </w:r>
    </w:p>
    <w:p w:rsidR="00C741A4" w:rsidRPr="00FA3856" w:rsidRDefault="00C741A4" w:rsidP="00480B29">
      <w:pPr>
        <w:pStyle w:val="Corpodetexto"/>
        <w:ind w:firstLine="708"/>
        <w:rPr>
          <w:rFonts w:ascii="Times New Roman" w:hAnsi="Times New Roman"/>
          <w:color w:val="002060"/>
          <w:szCs w:val="20"/>
        </w:rPr>
      </w:pPr>
      <w:r w:rsidRPr="00FA3856">
        <w:rPr>
          <w:rFonts w:ascii="Times New Roman" w:hAnsi="Times New Roman"/>
          <w:color w:val="002060"/>
          <w:szCs w:val="20"/>
        </w:rPr>
        <w:t>|I|: Tributo (I = Imposto de Renda Pessoa Jurídica).</w:t>
      </w:r>
    </w:p>
    <w:p w:rsidR="00C741A4" w:rsidRPr="00FA3856" w:rsidRDefault="00C741A4" w:rsidP="00480B29">
      <w:pPr>
        <w:pStyle w:val="Corpodetexto"/>
        <w:ind w:firstLine="708"/>
        <w:rPr>
          <w:rFonts w:ascii="Times New Roman" w:hAnsi="Times New Roman"/>
          <w:color w:val="002060"/>
          <w:szCs w:val="20"/>
        </w:rPr>
      </w:pPr>
      <w:r w:rsidRPr="00FA3856">
        <w:rPr>
          <w:rFonts w:ascii="Times New Roman" w:hAnsi="Times New Roman"/>
          <w:color w:val="002060"/>
          <w:szCs w:val="20"/>
        </w:rPr>
        <w:t>|1000,00|: Valor do saldo inicial desta escrituração (R$ 1.000,00).</w:t>
      </w:r>
    </w:p>
    <w:p w:rsidR="00C741A4" w:rsidRPr="00FA3856" w:rsidRDefault="00C741A4" w:rsidP="00480B29">
      <w:pPr>
        <w:pStyle w:val="Corpodetexto"/>
        <w:ind w:firstLine="708"/>
        <w:rPr>
          <w:rFonts w:ascii="Times New Roman" w:hAnsi="Times New Roman"/>
          <w:color w:val="002060"/>
          <w:szCs w:val="20"/>
        </w:rPr>
      </w:pPr>
      <w:r w:rsidRPr="00FA3856">
        <w:rPr>
          <w:rFonts w:ascii="Times New Roman" w:hAnsi="Times New Roman"/>
          <w:color w:val="002060"/>
          <w:szCs w:val="20"/>
        </w:rPr>
        <w:t>|D|: Indicador de saldo inicial.</w:t>
      </w:r>
    </w:p>
    <w:p w:rsidR="00C741A4" w:rsidRPr="00FA3856" w:rsidRDefault="00C741A4" w:rsidP="00480B29">
      <w:pPr>
        <w:pStyle w:val="Corpodetexto"/>
        <w:ind w:firstLine="708"/>
        <w:rPr>
          <w:rFonts w:ascii="Times New Roman" w:hAnsi="Times New Roman"/>
          <w:color w:val="002060"/>
          <w:szCs w:val="20"/>
        </w:rPr>
      </w:pPr>
      <w:r w:rsidRPr="00FA3856">
        <w:rPr>
          <w:rFonts w:ascii="Times New Roman" w:hAnsi="Times New Roman"/>
          <w:color w:val="002060"/>
          <w:szCs w:val="20"/>
        </w:rPr>
        <w:t>||: CNPJ no caso de situação especial (não há).</w:t>
      </w:r>
    </w:p>
    <w:p w:rsidR="0086664D" w:rsidRPr="00FA3856" w:rsidRDefault="0086664D">
      <w:pPr>
        <w:spacing w:after="200" w:line="276" w:lineRule="auto"/>
        <w:rPr>
          <w:b/>
          <w:bCs/>
          <w:color w:val="0000FF"/>
          <w:szCs w:val="20"/>
        </w:rPr>
      </w:pPr>
      <w:r w:rsidRPr="00FA3856">
        <w:rPr>
          <w:color w:val="0000FF"/>
          <w:szCs w:val="20"/>
        </w:rPr>
        <w:br w:type="page"/>
      </w:r>
    </w:p>
    <w:p w:rsidR="00C81D2E" w:rsidRPr="00FA3856" w:rsidRDefault="005302DE" w:rsidP="00867F54">
      <w:pPr>
        <w:pStyle w:val="Ttulo4"/>
      </w:pPr>
      <w:bookmarkStart w:id="198" w:name="_Toc479713724"/>
      <w:r w:rsidRPr="00FA3856">
        <w:lastRenderedPageBreak/>
        <w:t>Registro M</w:t>
      </w:r>
      <w:r w:rsidR="00C81D2E" w:rsidRPr="00FA3856">
        <w:t>030: Identificação dos Períodos e Formas de</w:t>
      </w:r>
      <w:r w:rsidRPr="00FA3856">
        <w:t xml:space="preserve"> Apuração do IRPJ e da CSLL das Empresas Tributadas pelo Lucro Real</w:t>
      </w:r>
      <w:bookmarkEnd w:id="198"/>
    </w:p>
    <w:p w:rsidR="00C81D2E" w:rsidRPr="00FA3856" w:rsidRDefault="00C81D2E" w:rsidP="005302DE">
      <w:pPr>
        <w:jc w:val="both"/>
        <w:rPr>
          <w:szCs w:val="20"/>
        </w:rPr>
      </w:pPr>
    </w:p>
    <w:p w:rsidR="00C81D2E" w:rsidRDefault="00C81D2E" w:rsidP="005302DE">
      <w:pPr>
        <w:pStyle w:val="PSDS-CorpodeTexto0"/>
        <w:ind w:firstLine="708"/>
        <w:rPr>
          <w:rFonts w:ascii="Times New Roman" w:hAnsi="Times New Roman"/>
        </w:rPr>
      </w:pPr>
      <w:r w:rsidRPr="00FA3856">
        <w:rPr>
          <w:rFonts w:ascii="Times New Roman" w:hAnsi="Times New Roman"/>
        </w:rPr>
        <w:t>Registro de identificação dos períodos da escrituração necessários conforme definições de parâmetros do Bloco 0.</w:t>
      </w:r>
    </w:p>
    <w:p w:rsidR="00E42C9D" w:rsidRPr="00FA3856" w:rsidRDefault="00E42C9D" w:rsidP="005302DE">
      <w:pPr>
        <w:pStyle w:val="PSDS-CorpodeTexto0"/>
        <w:ind w:firstLine="708"/>
        <w:rPr>
          <w:rFonts w:ascii="Times New Roman" w:hAnsi="Times New Roman"/>
        </w:rPr>
      </w:pPr>
    </w:p>
    <w:p w:rsidR="00E42C9D" w:rsidRDefault="00B35FA3" w:rsidP="002B3B3F">
      <w:pPr>
        <w:pStyle w:val="PSDS-MarcadoresNivel2"/>
        <w:numPr>
          <w:ilvl w:val="0"/>
          <w:numId w:val="0"/>
        </w:numPr>
        <w:jc w:val="center"/>
        <w:rPr>
          <w:rFonts w:ascii="Times New Roman" w:hAnsi="Times New Roman"/>
        </w:rPr>
      </w:pPr>
      <w:r>
        <w:rPr>
          <w:rFonts w:ascii="Times New Roman" w:hAnsi="Times New Roman"/>
        </w:rPr>
        <w:object w:dxaOrig="14535" w:dyaOrig="3600">
          <v:shape id="_x0000_i1685" type="#_x0000_t75" style="width:727.5pt;height:180pt" o:ole="">
            <v:imagedata r:id="rId277" o:title=""/>
          </v:shape>
          <o:OLEObject Type="Link" ProgID="Excel.Sheet.12" ShapeID="_x0000_i1685" DrawAspect="Content" r:id="rId278" UpdateMode="Always">
            <o:LinkType>EnhancedMetaFile</o:LinkType>
            <o:LockedField>false</o:LockedField>
          </o:OLEObject>
        </w:object>
      </w:r>
    </w:p>
    <w:p w:rsidR="00E42C9D" w:rsidRDefault="00E42C9D" w:rsidP="00083330">
      <w:pPr>
        <w:pStyle w:val="PSDS-MarcadoresNivel2"/>
        <w:numPr>
          <w:ilvl w:val="0"/>
          <w:numId w:val="0"/>
        </w:numPr>
        <w:rPr>
          <w:rFonts w:ascii="Times New Roman" w:hAnsi="Times New Roman"/>
        </w:rPr>
      </w:pPr>
    </w:p>
    <w:p w:rsidR="00E42C9D" w:rsidRDefault="00E42C9D" w:rsidP="00083330">
      <w:pPr>
        <w:pStyle w:val="PSDS-MarcadoresNivel2"/>
        <w:numPr>
          <w:ilvl w:val="0"/>
          <w:numId w:val="0"/>
        </w:numPr>
        <w:rPr>
          <w:rFonts w:ascii="Times New Roman" w:hAnsi="Times New Roman"/>
        </w:rPr>
      </w:pPr>
    </w:p>
    <w:p w:rsidR="00E42C9D" w:rsidRDefault="00E42C9D" w:rsidP="00083330">
      <w:pPr>
        <w:pStyle w:val="PSDS-MarcadoresNivel2"/>
        <w:numPr>
          <w:ilvl w:val="0"/>
          <w:numId w:val="0"/>
        </w:numPr>
        <w:rPr>
          <w:rFonts w:ascii="Times New Roman" w:hAnsi="Times New Roman"/>
        </w:rPr>
      </w:pPr>
    </w:p>
    <w:p w:rsidR="00E42C9D" w:rsidRDefault="00E42C9D" w:rsidP="00083330">
      <w:pPr>
        <w:pStyle w:val="PSDS-MarcadoresNivel2"/>
        <w:numPr>
          <w:ilvl w:val="0"/>
          <w:numId w:val="0"/>
        </w:numPr>
        <w:rPr>
          <w:rFonts w:ascii="Times New Roman" w:hAnsi="Times New Roman"/>
        </w:rPr>
      </w:pPr>
    </w:p>
    <w:p w:rsidR="00E42C9D" w:rsidRDefault="00E42C9D" w:rsidP="00083330">
      <w:pPr>
        <w:pStyle w:val="PSDS-MarcadoresNivel2"/>
        <w:numPr>
          <w:ilvl w:val="0"/>
          <w:numId w:val="0"/>
        </w:numPr>
        <w:rPr>
          <w:rFonts w:ascii="Times New Roman" w:hAnsi="Times New Roman"/>
        </w:rPr>
      </w:pPr>
    </w:p>
    <w:p w:rsidR="00E42C9D" w:rsidRDefault="00E42C9D" w:rsidP="00083330">
      <w:pPr>
        <w:pStyle w:val="PSDS-MarcadoresNivel2"/>
        <w:numPr>
          <w:ilvl w:val="0"/>
          <w:numId w:val="0"/>
        </w:numPr>
        <w:rPr>
          <w:rFonts w:ascii="Times New Roman" w:hAnsi="Times New Roman"/>
        </w:rPr>
      </w:pPr>
    </w:p>
    <w:p w:rsidR="00E42C9D" w:rsidRDefault="00E42C9D" w:rsidP="00083330">
      <w:pPr>
        <w:pStyle w:val="PSDS-MarcadoresNivel2"/>
        <w:numPr>
          <w:ilvl w:val="0"/>
          <w:numId w:val="0"/>
        </w:numPr>
        <w:rPr>
          <w:rFonts w:ascii="Times New Roman" w:hAnsi="Times New Roman"/>
        </w:rPr>
      </w:pPr>
    </w:p>
    <w:p w:rsidR="00E42C9D" w:rsidRDefault="00E42C9D" w:rsidP="00083330">
      <w:pPr>
        <w:pStyle w:val="PSDS-MarcadoresNivel2"/>
        <w:numPr>
          <w:ilvl w:val="0"/>
          <w:numId w:val="0"/>
        </w:numPr>
        <w:rPr>
          <w:rFonts w:ascii="Times New Roman" w:hAnsi="Times New Roman"/>
        </w:rPr>
      </w:pPr>
    </w:p>
    <w:p w:rsidR="00E42C9D" w:rsidRDefault="00E42C9D" w:rsidP="00083330">
      <w:pPr>
        <w:pStyle w:val="PSDS-MarcadoresNivel2"/>
        <w:numPr>
          <w:ilvl w:val="0"/>
          <w:numId w:val="0"/>
        </w:numPr>
        <w:rPr>
          <w:rFonts w:ascii="Times New Roman" w:hAnsi="Times New Roman"/>
        </w:rPr>
      </w:pPr>
    </w:p>
    <w:p w:rsidR="00E42C9D" w:rsidRDefault="00E42C9D" w:rsidP="00083330">
      <w:pPr>
        <w:pStyle w:val="PSDS-MarcadoresNivel2"/>
        <w:numPr>
          <w:ilvl w:val="0"/>
          <w:numId w:val="0"/>
        </w:numPr>
        <w:rPr>
          <w:rFonts w:ascii="Times New Roman" w:hAnsi="Times New Roman"/>
        </w:rPr>
      </w:pPr>
    </w:p>
    <w:p w:rsidR="00E42C9D" w:rsidRDefault="00E42C9D" w:rsidP="00083330">
      <w:pPr>
        <w:pStyle w:val="PSDS-MarcadoresNivel2"/>
        <w:numPr>
          <w:ilvl w:val="0"/>
          <w:numId w:val="0"/>
        </w:numPr>
        <w:rPr>
          <w:rFonts w:ascii="Times New Roman" w:hAnsi="Times New Roman"/>
        </w:rPr>
      </w:pPr>
    </w:p>
    <w:p w:rsidR="00E42C9D" w:rsidRDefault="00E42C9D" w:rsidP="00083330">
      <w:pPr>
        <w:pStyle w:val="PSDS-MarcadoresNivel2"/>
        <w:numPr>
          <w:ilvl w:val="0"/>
          <w:numId w:val="0"/>
        </w:numPr>
        <w:rPr>
          <w:rFonts w:ascii="Times New Roman" w:hAnsi="Times New Roman"/>
        </w:rPr>
      </w:pPr>
    </w:p>
    <w:p w:rsidR="00E42C9D" w:rsidRDefault="00E42C9D" w:rsidP="00083330">
      <w:pPr>
        <w:pStyle w:val="PSDS-MarcadoresNivel2"/>
        <w:numPr>
          <w:ilvl w:val="0"/>
          <w:numId w:val="0"/>
        </w:numPr>
        <w:rPr>
          <w:rFonts w:ascii="Times New Roman" w:hAnsi="Times New Roman"/>
        </w:rPr>
      </w:pPr>
    </w:p>
    <w:p w:rsidR="00E42C9D" w:rsidRDefault="00E42C9D" w:rsidP="00083330">
      <w:pPr>
        <w:pStyle w:val="PSDS-MarcadoresNivel2"/>
        <w:numPr>
          <w:ilvl w:val="0"/>
          <w:numId w:val="0"/>
        </w:numPr>
        <w:rPr>
          <w:rFonts w:ascii="Times New Roman" w:hAnsi="Times New Roman"/>
        </w:rPr>
      </w:pPr>
    </w:p>
    <w:p w:rsidR="00E42C9D" w:rsidRDefault="00E42C9D" w:rsidP="00083330">
      <w:pPr>
        <w:pStyle w:val="PSDS-MarcadoresNivel2"/>
        <w:numPr>
          <w:ilvl w:val="0"/>
          <w:numId w:val="0"/>
        </w:numPr>
        <w:rPr>
          <w:rFonts w:ascii="Times New Roman" w:hAnsi="Times New Roman"/>
        </w:rPr>
      </w:pPr>
    </w:p>
    <w:p w:rsidR="00E42C9D" w:rsidRDefault="00E42C9D" w:rsidP="00083330">
      <w:pPr>
        <w:pStyle w:val="PSDS-MarcadoresNivel2"/>
        <w:numPr>
          <w:ilvl w:val="0"/>
          <w:numId w:val="0"/>
        </w:numPr>
        <w:rPr>
          <w:rFonts w:ascii="Times New Roman" w:hAnsi="Times New Roman"/>
        </w:rPr>
      </w:pPr>
    </w:p>
    <w:p w:rsidR="00E42C9D" w:rsidRDefault="00E42C9D" w:rsidP="00083330">
      <w:pPr>
        <w:pStyle w:val="PSDS-MarcadoresNivel2"/>
        <w:numPr>
          <w:ilvl w:val="0"/>
          <w:numId w:val="0"/>
        </w:numPr>
        <w:rPr>
          <w:rFonts w:ascii="Times New Roman" w:hAnsi="Times New Roman"/>
        </w:rPr>
      </w:pPr>
    </w:p>
    <w:p w:rsidR="00E42C9D" w:rsidRDefault="00E42C9D" w:rsidP="002B3B3F">
      <w:pPr>
        <w:pStyle w:val="PSDS-MarcadoresNivel2"/>
        <w:numPr>
          <w:ilvl w:val="0"/>
          <w:numId w:val="0"/>
        </w:numPr>
        <w:jc w:val="center"/>
        <w:rPr>
          <w:rFonts w:ascii="Times New Roman" w:hAnsi="Times New Roman"/>
        </w:rPr>
      </w:pPr>
    </w:p>
    <w:p w:rsidR="00AC1E83" w:rsidRDefault="00B35FA3" w:rsidP="002B3B3F">
      <w:pPr>
        <w:pStyle w:val="PSDS-MarcadoresNivel2"/>
        <w:numPr>
          <w:ilvl w:val="0"/>
          <w:numId w:val="0"/>
        </w:numPr>
        <w:jc w:val="center"/>
        <w:rPr>
          <w:rFonts w:ascii="Times New Roman" w:hAnsi="Times New Roman"/>
        </w:rPr>
      </w:pPr>
      <w:r>
        <w:rPr>
          <w:rFonts w:ascii="Times New Roman" w:hAnsi="Times New Roman"/>
        </w:rPr>
        <w:object w:dxaOrig="14535" w:dyaOrig="8205">
          <v:shape id="_x0000_i1687" type="#_x0000_t75" style="width:727.5pt;height:410.25pt" o:ole="">
            <v:imagedata r:id="rId279" o:title=""/>
          </v:shape>
          <o:OLEObject Type="Link" ProgID="Excel.Sheet.12" ShapeID="_x0000_i1687" DrawAspect="Content" r:id="rId280" UpdateMode="Always">
            <o:LinkType>EnhancedMetaFile</o:LinkType>
            <o:LockedField>false</o:LockedField>
          </o:OLEObject>
        </w:object>
      </w:r>
    </w:p>
    <w:p w:rsidR="00E42C9D" w:rsidRDefault="00E42C9D">
      <w:pPr>
        <w:spacing w:after="200" w:line="276" w:lineRule="auto"/>
        <w:rPr>
          <w:b/>
          <w:szCs w:val="20"/>
        </w:rPr>
      </w:pPr>
      <w:r>
        <w:br w:type="page"/>
      </w:r>
    </w:p>
    <w:p w:rsidR="00083330" w:rsidRPr="00FA3856" w:rsidRDefault="00083330" w:rsidP="00083330">
      <w:pPr>
        <w:pStyle w:val="PSDS-MarcadoresNivel2"/>
        <w:numPr>
          <w:ilvl w:val="0"/>
          <w:numId w:val="0"/>
        </w:numPr>
        <w:rPr>
          <w:rFonts w:ascii="Times New Roman" w:hAnsi="Times New Roman"/>
        </w:rPr>
      </w:pPr>
      <w:r w:rsidRPr="00FA3856">
        <w:rPr>
          <w:rFonts w:ascii="Times New Roman" w:hAnsi="Times New Roman"/>
        </w:rPr>
        <w:lastRenderedPageBreak/>
        <w:t>I – Regras de Validação do Registro:</w:t>
      </w:r>
    </w:p>
    <w:p w:rsidR="00083330" w:rsidRPr="00FA3856" w:rsidRDefault="00083330" w:rsidP="00083330">
      <w:pPr>
        <w:pStyle w:val="Corpodetexto"/>
        <w:ind w:left="708" w:firstLine="12"/>
        <w:rPr>
          <w:rFonts w:ascii="Times New Roman" w:hAnsi="Times New Roman"/>
          <w:szCs w:val="20"/>
        </w:rPr>
      </w:pPr>
    </w:p>
    <w:p w:rsidR="00083330" w:rsidRPr="00FA3856" w:rsidRDefault="007D0E74" w:rsidP="00083330">
      <w:pPr>
        <w:pStyle w:val="Corpodetexto"/>
        <w:ind w:left="708" w:firstLine="12"/>
        <w:rPr>
          <w:rFonts w:ascii="Times New Roman" w:hAnsi="Times New Roman"/>
          <w:szCs w:val="20"/>
        </w:rPr>
      </w:pPr>
      <w:hyperlink r:id="rId281" w:anchor="REGRA_OCORRENCIA_UNITARIA_ARQ" w:history="1">
        <w:r w:rsidR="00083330" w:rsidRPr="00FA3856">
          <w:rPr>
            <w:rFonts w:ascii="Times New Roman" w:hAnsi="Times New Roman"/>
            <w:b/>
            <w:szCs w:val="20"/>
          </w:rPr>
          <w:t>REGRA_</w:t>
        </w:r>
      </w:hyperlink>
      <w:r w:rsidR="00083330" w:rsidRPr="00FA3856">
        <w:rPr>
          <w:rFonts w:ascii="Times New Roman" w:hAnsi="Times New Roman"/>
          <w:b/>
          <w:szCs w:val="20"/>
        </w:rPr>
        <w:t>DUPLICIDADE_DESPREZADA</w:t>
      </w:r>
      <w:r w:rsidR="00083330" w:rsidRPr="00FA3856">
        <w:rPr>
          <w:rFonts w:ascii="Times New Roman" w:hAnsi="Times New Roman"/>
          <w:color w:val="auto"/>
          <w:szCs w:val="20"/>
        </w:rPr>
        <w:t xml:space="preserve">: </w:t>
      </w:r>
      <w:r w:rsidR="00083330" w:rsidRPr="00FA3856">
        <w:rPr>
          <w:rFonts w:ascii="Times New Roman" w:hAnsi="Times New Roman"/>
          <w:szCs w:val="20"/>
        </w:rPr>
        <w:t>Verifica se o registro já foi importado anteriormente, de acordo com a chave e os registros pais. Se a regra não for cumprida, a ECF gera um aviso.</w:t>
      </w:r>
    </w:p>
    <w:p w:rsidR="00083330" w:rsidRPr="00FA3856" w:rsidRDefault="00083330" w:rsidP="00083330">
      <w:pPr>
        <w:pStyle w:val="Corpodetexto"/>
        <w:ind w:left="708" w:firstLine="12"/>
        <w:rPr>
          <w:rFonts w:ascii="Times New Roman" w:hAnsi="Times New Roman"/>
          <w:szCs w:val="20"/>
        </w:rPr>
      </w:pPr>
    </w:p>
    <w:p w:rsidR="00083330" w:rsidRPr="00FA3856" w:rsidRDefault="007D0E74" w:rsidP="00083330">
      <w:pPr>
        <w:pStyle w:val="Corpodetexto"/>
        <w:ind w:left="708" w:firstLine="12"/>
        <w:rPr>
          <w:rFonts w:ascii="Times New Roman" w:hAnsi="Times New Roman"/>
          <w:b/>
          <w:szCs w:val="20"/>
        </w:rPr>
      </w:pPr>
      <w:hyperlink r:id="rId282" w:anchor="REGRA_OCORRENCIA_UNITARIA_ARQ" w:history="1">
        <w:r w:rsidR="00083330" w:rsidRPr="00FA3856">
          <w:rPr>
            <w:rFonts w:ascii="Times New Roman" w:hAnsi="Times New Roman"/>
            <w:b/>
            <w:szCs w:val="20"/>
          </w:rPr>
          <w:t>REGRA_</w:t>
        </w:r>
      </w:hyperlink>
      <w:r w:rsidR="00083330" w:rsidRPr="00FA3856">
        <w:rPr>
          <w:rFonts w:ascii="Times New Roman" w:hAnsi="Times New Roman"/>
          <w:b/>
          <w:szCs w:val="20"/>
        </w:rPr>
        <w:t>PERIODO_DESPREZADO</w:t>
      </w:r>
      <w:r w:rsidR="00083330" w:rsidRPr="00FA3856">
        <w:rPr>
          <w:rFonts w:ascii="Times New Roman" w:hAnsi="Times New Roman"/>
          <w:color w:val="auto"/>
          <w:szCs w:val="20"/>
        </w:rPr>
        <w:t xml:space="preserve">: </w:t>
      </w:r>
      <w:r w:rsidR="00083330" w:rsidRPr="00FA3856">
        <w:rPr>
          <w:rFonts w:ascii="Times New Roman" w:hAnsi="Times New Roman"/>
          <w:szCs w:val="20"/>
        </w:rPr>
        <w:t>Verifica se a linha deste período existe no arquivo de importação, mas não deve ser importado, pois as datas não compatíveis com o período da ECF. Gera um aviso.</w:t>
      </w:r>
    </w:p>
    <w:p w:rsidR="00083330" w:rsidRPr="00FA3856" w:rsidRDefault="00083330" w:rsidP="00083330">
      <w:pPr>
        <w:pStyle w:val="Corpodetexto"/>
        <w:ind w:left="708" w:firstLine="12"/>
        <w:rPr>
          <w:rFonts w:ascii="Times New Roman" w:hAnsi="Times New Roman"/>
          <w:b/>
          <w:szCs w:val="20"/>
        </w:rPr>
      </w:pPr>
    </w:p>
    <w:p w:rsidR="00083330" w:rsidRPr="00FA3856" w:rsidRDefault="007D0E74" w:rsidP="00083330">
      <w:pPr>
        <w:pStyle w:val="Corpodetexto"/>
        <w:ind w:left="708" w:firstLine="12"/>
        <w:rPr>
          <w:rFonts w:ascii="Times New Roman" w:hAnsi="Times New Roman"/>
          <w:b/>
          <w:szCs w:val="20"/>
        </w:rPr>
      </w:pPr>
      <w:hyperlink r:id="rId283" w:anchor="REGRA_OCORRENCIA_UNITARIA_ARQ" w:history="1">
        <w:r w:rsidR="00083330" w:rsidRPr="00FA3856">
          <w:rPr>
            <w:rFonts w:ascii="Times New Roman" w:hAnsi="Times New Roman"/>
            <w:b/>
            <w:szCs w:val="20"/>
          </w:rPr>
          <w:t>REGRA_</w:t>
        </w:r>
      </w:hyperlink>
      <w:r w:rsidR="00083330" w:rsidRPr="00FA3856">
        <w:rPr>
          <w:rFonts w:ascii="Times New Roman" w:hAnsi="Times New Roman"/>
          <w:b/>
          <w:szCs w:val="20"/>
        </w:rPr>
        <w:t>LINHA_ALTERADA</w:t>
      </w:r>
      <w:r w:rsidR="00083330" w:rsidRPr="00FA3856">
        <w:rPr>
          <w:rFonts w:ascii="Times New Roman" w:hAnsi="Times New Roman"/>
          <w:color w:val="auto"/>
          <w:szCs w:val="20"/>
        </w:rPr>
        <w:t xml:space="preserve">: </w:t>
      </w:r>
      <w:r w:rsidR="00083330" w:rsidRPr="00FA3856">
        <w:rPr>
          <w:rFonts w:ascii="Times New Roman" w:hAnsi="Times New Roman"/>
          <w:szCs w:val="20"/>
        </w:rPr>
        <w:t>Verifica se a linha deste período existe no arquivo de importação, mas deve ser alterada, pois as datas não compatíveis com o período da ECF. Gera um aviso.</w:t>
      </w:r>
    </w:p>
    <w:p w:rsidR="00083330" w:rsidRPr="00FA3856" w:rsidRDefault="00083330" w:rsidP="005302DE">
      <w:pPr>
        <w:jc w:val="both"/>
        <w:rPr>
          <w:szCs w:val="20"/>
          <w:lang w:val="pt-PT"/>
        </w:rPr>
      </w:pPr>
    </w:p>
    <w:p w:rsidR="00342F1D" w:rsidRDefault="0086664D" w:rsidP="00407813">
      <w:pPr>
        <w:pStyle w:val="Corpodetexto"/>
        <w:rPr>
          <w:rFonts w:ascii="Times New Roman" w:hAnsi="Times New Roman"/>
          <w:b/>
          <w:color w:val="002060"/>
          <w:szCs w:val="20"/>
        </w:rPr>
      </w:pPr>
      <w:r w:rsidRPr="00FA3856">
        <w:rPr>
          <w:rFonts w:ascii="Times New Roman" w:hAnsi="Times New Roman"/>
          <w:b/>
          <w:color w:val="002060"/>
          <w:szCs w:val="20"/>
        </w:rPr>
        <w:t xml:space="preserve">Exemplo de Preenchimento: </w:t>
      </w:r>
    </w:p>
    <w:p w:rsidR="00342F1D" w:rsidRDefault="00342F1D" w:rsidP="00407813">
      <w:pPr>
        <w:pStyle w:val="Corpodetexto"/>
        <w:rPr>
          <w:rFonts w:ascii="Times New Roman" w:hAnsi="Times New Roman"/>
          <w:b/>
          <w:color w:val="002060"/>
          <w:szCs w:val="20"/>
        </w:rPr>
      </w:pPr>
    </w:p>
    <w:p w:rsidR="00407813" w:rsidRPr="00FA3856" w:rsidRDefault="00407813" w:rsidP="00407813">
      <w:pPr>
        <w:pStyle w:val="Corpodetexto"/>
        <w:rPr>
          <w:rFonts w:ascii="Times New Roman" w:hAnsi="Times New Roman"/>
          <w:b/>
          <w:color w:val="002060"/>
          <w:szCs w:val="20"/>
        </w:rPr>
      </w:pPr>
      <w:r w:rsidRPr="00FA3856">
        <w:rPr>
          <w:rFonts w:ascii="Times New Roman" w:hAnsi="Times New Roman"/>
          <w:b/>
          <w:color w:val="002060"/>
          <w:szCs w:val="20"/>
        </w:rPr>
        <w:t>|M030|01012014|31032014|T01|</w:t>
      </w:r>
    </w:p>
    <w:p w:rsidR="00407813" w:rsidRPr="00FA3856" w:rsidRDefault="00407813" w:rsidP="00407813">
      <w:pPr>
        <w:pStyle w:val="Corpodetexto"/>
        <w:ind w:firstLine="708"/>
        <w:rPr>
          <w:rFonts w:ascii="Times New Roman" w:hAnsi="Times New Roman"/>
          <w:color w:val="002060"/>
          <w:szCs w:val="20"/>
        </w:rPr>
      </w:pPr>
      <w:r w:rsidRPr="00FA3856">
        <w:rPr>
          <w:rFonts w:ascii="Times New Roman" w:hAnsi="Times New Roman"/>
          <w:color w:val="002060"/>
          <w:szCs w:val="20"/>
        </w:rPr>
        <w:t>|M030|: Identificação do tipo do registro.</w:t>
      </w:r>
    </w:p>
    <w:p w:rsidR="00407813" w:rsidRPr="00FA3856" w:rsidRDefault="00407813" w:rsidP="00407813">
      <w:pPr>
        <w:pStyle w:val="Corpodetexto"/>
        <w:ind w:firstLine="708"/>
        <w:rPr>
          <w:rFonts w:ascii="Times New Roman" w:hAnsi="Times New Roman"/>
          <w:color w:val="002060"/>
          <w:szCs w:val="20"/>
        </w:rPr>
      </w:pPr>
      <w:r w:rsidRPr="00FA3856">
        <w:rPr>
          <w:rFonts w:ascii="Times New Roman" w:hAnsi="Times New Roman"/>
          <w:color w:val="002060"/>
          <w:szCs w:val="20"/>
        </w:rPr>
        <w:t>|01012014|: Data de início do período (01/01/2014).</w:t>
      </w:r>
    </w:p>
    <w:p w:rsidR="00407813" w:rsidRPr="00FA3856" w:rsidRDefault="00407813" w:rsidP="00407813">
      <w:pPr>
        <w:pStyle w:val="Corpodetexto"/>
        <w:ind w:firstLine="708"/>
        <w:rPr>
          <w:rFonts w:ascii="Times New Roman" w:hAnsi="Times New Roman"/>
          <w:color w:val="002060"/>
          <w:szCs w:val="20"/>
        </w:rPr>
      </w:pPr>
      <w:r w:rsidRPr="00FA3856">
        <w:rPr>
          <w:rFonts w:ascii="Times New Roman" w:hAnsi="Times New Roman"/>
          <w:color w:val="002060"/>
          <w:szCs w:val="20"/>
        </w:rPr>
        <w:t>|31032014|: Data de fim do período (31/03/2014).</w:t>
      </w:r>
    </w:p>
    <w:p w:rsidR="00407813" w:rsidRPr="00FA3856" w:rsidRDefault="00407813" w:rsidP="00407813">
      <w:pPr>
        <w:pStyle w:val="Corpodetexto"/>
        <w:ind w:firstLine="708"/>
        <w:rPr>
          <w:rFonts w:ascii="Times New Roman" w:hAnsi="Times New Roman"/>
          <w:color w:val="002060"/>
          <w:szCs w:val="20"/>
        </w:rPr>
      </w:pPr>
      <w:r w:rsidRPr="00FA3856">
        <w:rPr>
          <w:rFonts w:ascii="Times New Roman" w:hAnsi="Times New Roman"/>
          <w:color w:val="002060"/>
          <w:szCs w:val="20"/>
        </w:rPr>
        <w:t>|T01|: Período de apuração (T01 = 1</w:t>
      </w:r>
      <w:r w:rsidRPr="00FA3856">
        <w:rPr>
          <w:rFonts w:ascii="Times New Roman" w:hAnsi="Times New Roman"/>
          <w:color w:val="002060"/>
          <w:szCs w:val="20"/>
          <w:u w:val="single"/>
          <w:vertAlign w:val="superscript"/>
        </w:rPr>
        <w:t>o</w:t>
      </w:r>
      <w:r w:rsidRPr="00FA3856">
        <w:rPr>
          <w:rFonts w:ascii="Times New Roman" w:hAnsi="Times New Roman"/>
          <w:color w:val="002060"/>
          <w:szCs w:val="20"/>
        </w:rPr>
        <w:t xml:space="preserve"> Trimestre).</w:t>
      </w:r>
    </w:p>
    <w:p w:rsidR="00083330" w:rsidRPr="00FA3856" w:rsidRDefault="00083330">
      <w:pPr>
        <w:rPr>
          <w:b/>
          <w:bCs/>
          <w:color w:val="0000FF"/>
          <w:szCs w:val="20"/>
        </w:rPr>
      </w:pPr>
      <w:r w:rsidRPr="00FA3856">
        <w:rPr>
          <w:color w:val="0000FF"/>
          <w:szCs w:val="20"/>
        </w:rPr>
        <w:br w:type="page"/>
      </w:r>
    </w:p>
    <w:p w:rsidR="001F1F7B" w:rsidRPr="00FA3856" w:rsidRDefault="001F1F7B" w:rsidP="00867F54">
      <w:pPr>
        <w:pStyle w:val="Ttulo4"/>
      </w:pPr>
      <w:bookmarkStart w:id="199" w:name="_Toc479713725"/>
      <w:r w:rsidRPr="00FA3856">
        <w:lastRenderedPageBreak/>
        <w:t>Registro M300: Demonstração do Lucro Real</w:t>
      </w:r>
      <w:bookmarkEnd w:id="199"/>
    </w:p>
    <w:p w:rsidR="001F1F7B" w:rsidRPr="00FA3856" w:rsidRDefault="001F1F7B" w:rsidP="001F1F7B">
      <w:pPr>
        <w:jc w:val="both"/>
        <w:rPr>
          <w:szCs w:val="20"/>
        </w:rPr>
      </w:pPr>
    </w:p>
    <w:p w:rsidR="001F1F7B" w:rsidRDefault="001F1F7B" w:rsidP="001F1F7B">
      <w:pPr>
        <w:ind w:firstLine="708"/>
        <w:rPr>
          <w:szCs w:val="20"/>
        </w:rPr>
      </w:pPr>
      <w:r w:rsidRPr="00FA3856">
        <w:rPr>
          <w:szCs w:val="20"/>
        </w:rPr>
        <w:t>Apresenta os lançamentos da parte A do e-LALUR. Este registro demonstrará a apuração da base de cálculo da IRPJ anual, trimestral e nos meses com estimativa apurada com base no balanço/balancete.</w:t>
      </w:r>
    </w:p>
    <w:p w:rsidR="002B375B" w:rsidRPr="00FA3856" w:rsidRDefault="002B375B" w:rsidP="001F1F7B">
      <w:pPr>
        <w:ind w:firstLine="708"/>
        <w:rPr>
          <w:szCs w:val="20"/>
        </w:rPr>
      </w:pPr>
    </w:p>
    <w:p w:rsidR="001F1F7B" w:rsidRPr="00FA3856" w:rsidRDefault="001F1F7B" w:rsidP="001F1F7B">
      <w:pPr>
        <w:ind w:firstLine="708"/>
        <w:rPr>
          <w:szCs w:val="20"/>
        </w:rPr>
      </w:pPr>
    </w:p>
    <w:tbl>
      <w:tblPr>
        <w:tblStyle w:val="Tabelacomgrade"/>
        <w:tblW w:w="0" w:type="auto"/>
        <w:jc w:val="center"/>
        <w:tblLook w:val="04A0" w:firstRow="1" w:lastRow="0" w:firstColumn="1" w:lastColumn="0" w:noHBand="0" w:noVBand="1"/>
      </w:tblPr>
      <w:tblGrid>
        <w:gridCol w:w="1766"/>
        <w:gridCol w:w="2589"/>
        <w:gridCol w:w="2128"/>
        <w:gridCol w:w="4189"/>
      </w:tblGrid>
      <w:tr w:rsidR="001F1F7B" w:rsidRPr="00FA3856" w:rsidTr="001F1F7B">
        <w:trPr>
          <w:jc w:val="center"/>
        </w:trPr>
        <w:tc>
          <w:tcPr>
            <w:tcW w:w="1766" w:type="dxa"/>
          </w:tcPr>
          <w:p w:rsidR="001F1F7B" w:rsidRPr="00FA3856" w:rsidRDefault="001F1F7B" w:rsidP="001F1F7B">
            <w:pPr>
              <w:jc w:val="center"/>
              <w:rPr>
                <w:b/>
                <w:color w:val="222222"/>
                <w:szCs w:val="20"/>
              </w:rPr>
            </w:pPr>
            <w:r w:rsidRPr="00FA3856">
              <w:rPr>
                <w:b/>
                <w:color w:val="222222"/>
                <w:szCs w:val="20"/>
              </w:rPr>
              <w:t>Livro da Parte A</w:t>
            </w:r>
          </w:p>
        </w:tc>
        <w:tc>
          <w:tcPr>
            <w:tcW w:w="2589" w:type="dxa"/>
          </w:tcPr>
          <w:p w:rsidR="001F1F7B" w:rsidRPr="00FA3856" w:rsidRDefault="001F1F7B" w:rsidP="001F1F7B">
            <w:pPr>
              <w:jc w:val="center"/>
              <w:rPr>
                <w:b/>
                <w:color w:val="222222"/>
                <w:szCs w:val="20"/>
              </w:rPr>
            </w:pPr>
            <w:r w:rsidRPr="00FA3856">
              <w:rPr>
                <w:b/>
                <w:color w:val="222222"/>
                <w:szCs w:val="20"/>
              </w:rPr>
              <w:t>Saldo da Conta da Parte B</w:t>
            </w:r>
          </w:p>
        </w:tc>
        <w:tc>
          <w:tcPr>
            <w:tcW w:w="2128" w:type="dxa"/>
          </w:tcPr>
          <w:p w:rsidR="001F1F7B" w:rsidRPr="00FA3856" w:rsidRDefault="001F1F7B" w:rsidP="001F1F7B">
            <w:pPr>
              <w:jc w:val="center"/>
              <w:rPr>
                <w:b/>
                <w:color w:val="222222"/>
                <w:szCs w:val="20"/>
              </w:rPr>
            </w:pPr>
            <w:r w:rsidRPr="00FA3856">
              <w:rPr>
                <w:b/>
                <w:color w:val="222222"/>
                <w:szCs w:val="20"/>
              </w:rPr>
              <w:t>Sinal do Lançamento na Parte B</w:t>
            </w:r>
          </w:p>
        </w:tc>
        <w:tc>
          <w:tcPr>
            <w:tcW w:w="4189" w:type="dxa"/>
          </w:tcPr>
          <w:p w:rsidR="001F1F7B" w:rsidRPr="00FA3856" w:rsidRDefault="001F1F7B" w:rsidP="001F1F7B">
            <w:pPr>
              <w:jc w:val="center"/>
              <w:rPr>
                <w:b/>
                <w:color w:val="222222"/>
                <w:szCs w:val="20"/>
              </w:rPr>
            </w:pPr>
            <w:r w:rsidRPr="00FA3856">
              <w:rPr>
                <w:b/>
                <w:color w:val="222222"/>
                <w:szCs w:val="20"/>
              </w:rPr>
              <w:t>Utilização</w:t>
            </w:r>
          </w:p>
        </w:tc>
      </w:tr>
      <w:tr w:rsidR="001F1F7B" w:rsidRPr="00FA3856" w:rsidTr="001F1F7B">
        <w:trPr>
          <w:jc w:val="center"/>
        </w:trPr>
        <w:tc>
          <w:tcPr>
            <w:tcW w:w="1766" w:type="dxa"/>
          </w:tcPr>
          <w:p w:rsidR="001F1F7B" w:rsidRPr="00FA3856" w:rsidRDefault="001F1F7B" w:rsidP="001F1F7B">
            <w:pPr>
              <w:jc w:val="center"/>
              <w:rPr>
                <w:color w:val="222222"/>
                <w:szCs w:val="20"/>
              </w:rPr>
            </w:pPr>
            <w:r w:rsidRPr="00FA3856">
              <w:rPr>
                <w:color w:val="222222"/>
                <w:szCs w:val="20"/>
              </w:rPr>
              <w:t>Adição</w:t>
            </w:r>
          </w:p>
        </w:tc>
        <w:tc>
          <w:tcPr>
            <w:tcW w:w="2589" w:type="dxa"/>
          </w:tcPr>
          <w:p w:rsidR="001F1F7B" w:rsidRPr="00FA3856" w:rsidRDefault="001F1F7B" w:rsidP="001F1F7B">
            <w:pPr>
              <w:jc w:val="center"/>
              <w:rPr>
                <w:color w:val="222222"/>
                <w:szCs w:val="20"/>
              </w:rPr>
            </w:pPr>
            <w:r w:rsidRPr="00FA3856">
              <w:rPr>
                <w:color w:val="222222"/>
                <w:szCs w:val="20"/>
              </w:rPr>
              <w:t>Credor</w:t>
            </w:r>
          </w:p>
        </w:tc>
        <w:tc>
          <w:tcPr>
            <w:tcW w:w="2128" w:type="dxa"/>
          </w:tcPr>
          <w:p w:rsidR="001F1F7B" w:rsidRPr="00FA3856" w:rsidRDefault="001F1F7B" w:rsidP="001F1F7B">
            <w:pPr>
              <w:jc w:val="center"/>
              <w:rPr>
                <w:color w:val="222222"/>
                <w:szCs w:val="20"/>
              </w:rPr>
            </w:pPr>
            <w:r w:rsidRPr="00FA3856">
              <w:rPr>
                <w:color w:val="222222"/>
                <w:szCs w:val="20"/>
              </w:rPr>
              <w:t>Devedor</w:t>
            </w:r>
          </w:p>
        </w:tc>
        <w:tc>
          <w:tcPr>
            <w:tcW w:w="4189" w:type="dxa"/>
          </w:tcPr>
          <w:p w:rsidR="001F1F7B" w:rsidRPr="00FA3856" w:rsidRDefault="001F1F7B" w:rsidP="001F1F7B">
            <w:pPr>
              <w:rPr>
                <w:color w:val="222222"/>
                <w:szCs w:val="20"/>
              </w:rPr>
            </w:pPr>
            <w:r w:rsidRPr="00FA3856">
              <w:rPr>
                <w:color w:val="222222"/>
                <w:szCs w:val="20"/>
              </w:rPr>
              <w:t>Utilização de saldo para adição</w:t>
            </w:r>
          </w:p>
        </w:tc>
      </w:tr>
      <w:tr w:rsidR="001F1F7B" w:rsidRPr="00FA3856" w:rsidTr="001F1F7B">
        <w:trPr>
          <w:jc w:val="center"/>
        </w:trPr>
        <w:tc>
          <w:tcPr>
            <w:tcW w:w="1766" w:type="dxa"/>
          </w:tcPr>
          <w:p w:rsidR="001F1F7B" w:rsidRPr="00FA3856" w:rsidRDefault="001F1F7B" w:rsidP="001F1F7B">
            <w:pPr>
              <w:jc w:val="center"/>
              <w:rPr>
                <w:color w:val="222222"/>
                <w:szCs w:val="20"/>
              </w:rPr>
            </w:pPr>
            <w:r w:rsidRPr="00FA3856">
              <w:rPr>
                <w:color w:val="222222"/>
                <w:szCs w:val="20"/>
              </w:rPr>
              <w:t>Adição</w:t>
            </w:r>
          </w:p>
        </w:tc>
        <w:tc>
          <w:tcPr>
            <w:tcW w:w="2589" w:type="dxa"/>
          </w:tcPr>
          <w:p w:rsidR="001F1F7B" w:rsidRPr="00FA3856" w:rsidRDefault="001F1F7B" w:rsidP="001F1F7B">
            <w:pPr>
              <w:jc w:val="center"/>
              <w:rPr>
                <w:color w:val="222222"/>
                <w:szCs w:val="20"/>
              </w:rPr>
            </w:pPr>
            <w:r w:rsidRPr="00FA3856">
              <w:rPr>
                <w:color w:val="222222"/>
                <w:szCs w:val="20"/>
              </w:rPr>
              <w:t>Devedor</w:t>
            </w:r>
          </w:p>
        </w:tc>
        <w:tc>
          <w:tcPr>
            <w:tcW w:w="2128" w:type="dxa"/>
          </w:tcPr>
          <w:p w:rsidR="001F1F7B" w:rsidRPr="00FA3856" w:rsidRDefault="001F1F7B" w:rsidP="001F1F7B">
            <w:pPr>
              <w:jc w:val="center"/>
              <w:rPr>
                <w:color w:val="222222"/>
                <w:szCs w:val="20"/>
              </w:rPr>
            </w:pPr>
            <w:r w:rsidRPr="00FA3856">
              <w:rPr>
                <w:color w:val="222222"/>
                <w:szCs w:val="20"/>
              </w:rPr>
              <w:t>Devedor</w:t>
            </w:r>
          </w:p>
        </w:tc>
        <w:tc>
          <w:tcPr>
            <w:tcW w:w="4189" w:type="dxa"/>
          </w:tcPr>
          <w:p w:rsidR="001F1F7B" w:rsidRPr="00FA3856" w:rsidRDefault="001F1F7B" w:rsidP="001F1F7B">
            <w:pPr>
              <w:rPr>
                <w:color w:val="222222"/>
                <w:szCs w:val="20"/>
              </w:rPr>
            </w:pPr>
            <w:r w:rsidRPr="00FA3856">
              <w:rPr>
                <w:color w:val="222222"/>
                <w:szCs w:val="20"/>
              </w:rPr>
              <w:t>Constituição de saldo para posterior exclusão</w:t>
            </w:r>
          </w:p>
        </w:tc>
      </w:tr>
      <w:tr w:rsidR="001F1F7B" w:rsidRPr="00FA3856" w:rsidTr="001F1F7B">
        <w:trPr>
          <w:jc w:val="center"/>
        </w:trPr>
        <w:tc>
          <w:tcPr>
            <w:tcW w:w="1766" w:type="dxa"/>
          </w:tcPr>
          <w:p w:rsidR="001F1F7B" w:rsidRPr="00FA3856" w:rsidRDefault="001F1F7B" w:rsidP="001F1F7B">
            <w:pPr>
              <w:jc w:val="center"/>
              <w:rPr>
                <w:color w:val="222222"/>
                <w:szCs w:val="20"/>
              </w:rPr>
            </w:pPr>
            <w:r w:rsidRPr="00FA3856">
              <w:rPr>
                <w:color w:val="222222"/>
                <w:szCs w:val="20"/>
              </w:rPr>
              <w:t>Exclusão</w:t>
            </w:r>
          </w:p>
        </w:tc>
        <w:tc>
          <w:tcPr>
            <w:tcW w:w="2589" w:type="dxa"/>
          </w:tcPr>
          <w:p w:rsidR="001F1F7B" w:rsidRPr="00FA3856" w:rsidRDefault="001F1F7B" w:rsidP="001F1F7B">
            <w:pPr>
              <w:jc w:val="center"/>
              <w:rPr>
                <w:color w:val="222222"/>
                <w:szCs w:val="20"/>
              </w:rPr>
            </w:pPr>
            <w:r w:rsidRPr="00FA3856">
              <w:rPr>
                <w:color w:val="222222"/>
                <w:szCs w:val="20"/>
              </w:rPr>
              <w:t>Devedor</w:t>
            </w:r>
          </w:p>
        </w:tc>
        <w:tc>
          <w:tcPr>
            <w:tcW w:w="2128" w:type="dxa"/>
          </w:tcPr>
          <w:p w:rsidR="001F1F7B" w:rsidRPr="00FA3856" w:rsidRDefault="001F1F7B" w:rsidP="001F1F7B">
            <w:pPr>
              <w:jc w:val="center"/>
              <w:rPr>
                <w:color w:val="222222"/>
                <w:szCs w:val="20"/>
              </w:rPr>
            </w:pPr>
            <w:r w:rsidRPr="00FA3856">
              <w:rPr>
                <w:color w:val="222222"/>
                <w:szCs w:val="20"/>
              </w:rPr>
              <w:t>Credor</w:t>
            </w:r>
          </w:p>
        </w:tc>
        <w:tc>
          <w:tcPr>
            <w:tcW w:w="4189" w:type="dxa"/>
          </w:tcPr>
          <w:p w:rsidR="001F1F7B" w:rsidRPr="00FA3856" w:rsidRDefault="001F1F7B" w:rsidP="001F1F7B">
            <w:pPr>
              <w:rPr>
                <w:color w:val="222222"/>
                <w:szCs w:val="20"/>
              </w:rPr>
            </w:pPr>
            <w:r w:rsidRPr="00FA3856">
              <w:rPr>
                <w:color w:val="222222"/>
                <w:szCs w:val="20"/>
              </w:rPr>
              <w:t>Utilização de saldo para exclusão</w:t>
            </w:r>
          </w:p>
        </w:tc>
      </w:tr>
      <w:tr w:rsidR="001F1F7B" w:rsidRPr="00FA3856" w:rsidTr="001F1F7B">
        <w:trPr>
          <w:jc w:val="center"/>
        </w:trPr>
        <w:tc>
          <w:tcPr>
            <w:tcW w:w="1766" w:type="dxa"/>
          </w:tcPr>
          <w:p w:rsidR="001F1F7B" w:rsidRPr="00FA3856" w:rsidRDefault="001F1F7B" w:rsidP="001F1F7B">
            <w:pPr>
              <w:jc w:val="center"/>
              <w:rPr>
                <w:color w:val="222222"/>
                <w:szCs w:val="20"/>
              </w:rPr>
            </w:pPr>
            <w:r w:rsidRPr="00FA3856">
              <w:rPr>
                <w:color w:val="222222"/>
                <w:szCs w:val="20"/>
              </w:rPr>
              <w:t>Exclusão</w:t>
            </w:r>
          </w:p>
        </w:tc>
        <w:tc>
          <w:tcPr>
            <w:tcW w:w="2589" w:type="dxa"/>
          </w:tcPr>
          <w:p w:rsidR="001F1F7B" w:rsidRPr="00FA3856" w:rsidRDefault="001F1F7B" w:rsidP="001F1F7B">
            <w:pPr>
              <w:jc w:val="center"/>
              <w:rPr>
                <w:color w:val="222222"/>
                <w:szCs w:val="20"/>
              </w:rPr>
            </w:pPr>
            <w:r w:rsidRPr="00FA3856">
              <w:rPr>
                <w:color w:val="222222"/>
                <w:szCs w:val="20"/>
              </w:rPr>
              <w:t>Credor</w:t>
            </w:r>
          </w:p>
        </w:tc>
        <w:tc>
          <w:tcPr>
            <w:tcW w:w="2128" w:type="dxa"/>
          </w:tcPr>
          <w:p w:rsidR="001F1F7B" w:rsidRPr="00FA3856" w:rsidRDefault="001F1F7B" w:rsidP="001F1F7B">
            <w:pPr>
              <w:jc w:val="center"/>
              <w:rPr>
                <w:color w:val="222222"/>
                <w:szCs w:val="20"/>
              </w:rPr>
            </w:pPr>
            <w:r w:rsidRPr="00FA3856">
              <w:rPr>
                <w:color w:val="222222"/>
                <w:szCs w:val="20"/>
              </w:rPr>
              <w:t>Credor</w:t>
            </w:r>
          </w:p>
        </w:tc>
        <w:tc>
          <w:tcPr>
            <w:tcW w:w="4189" w:type="dxa"/>
          </w:tcPr>
          <w:p w:rsidR="001F1F7B" w:rsidRPr="00FA3856" w:rsidRDefault="001F1F7B" w:rsidP="001F1F7B">
            <w:pPr>
              <w:rPr>
                <w:color w:val="222222"/>
                <w:szCs w:val="20"/>
              </w:rPr>
            </w:pPr>
            <w:r w:rsidRPr="00FA3856">
              <w:rPr>
                <w:color w:val="222222"/>
                <w:szCs w:val="20"/>
              </w:rPr>
              <w:t>Constituição de saldo para posterior adição</w:t>
            </w:r>
          </w:p>
        </w:tc>
      </w:tr>
    </w:tbl>
    <w:p w:rsidR="001F1F7B" w:rsidRPr="00FA3856" w:rsidRDefault="001F1F7B" w:rsidP="001F1F7B">
      <w:pPr>
        <w:jc w:val="both"/>
        <w:rPr>
          <w:szCs w:val="20"/>
        </w:rPr>
      </w:pPr>
    </w:p>
    <w:tbl>
      <w:tblPr>
        <w:tblStyle w:val="Tabelacomgrade"/>
        <w:tblW w:w="0" w:type="auto"/>
        <w:jc w:val="center"/>
        <w:tblLook w:val="04A0" w:firstRow="1" w:lastRow="0" w:firstColumn="1" w:lastColumn="0" w:noHBand="0" w:noVBand="1"/>
      </w:tblPr>
      <w:tblGrid>
        <w:gridCol w:w="3384"/>
        <w:gridCol w:w="1894"/>
        <w:gridCol w:w="2541"/>
        <w:gridCol w:w="2555"/>
        <w:gridCol w:w="2555"/>
      </w:tblGrid>
      <w:tr w:rsidR="001F1F7B" w:rsidRPr="00FA3856" w:rsidTr="001F1F7B">
        <w:trPr>
          <w:jc w:val="center"/>
        </w:trPr>
        <w:tc>
          <w:tcPr>
            <w:tcW w:w="3384" w:type="dxa"/>
          </w:tcPr>
          <w:p w:rsidR="001F1F7B" w:rsidRPr="00FA3856" w:rsidRDefault="001F1F7B" w:rsidP="001F1F7B">
            <w:pPr>
              <w:jc w:val="center"/>
              <w:rPr>
                <w:b/>
                <w:color w:val="222222"/>
                <w:szCs w:val="20"/>
              </w:rPr>
            </w:pPr>
            <w:r w:rsidRPr="00FA3856">
              <w:rPr>
                <w:b/>
                <w:color w:val="222222"/>
                <w:szCs w:val="20"/>
              </w:rPr>
              <w:t>Livro da Parte A</w:t>
            </w:r>
          </w:p>
        </w:tc>
        <w:tc>
          <w:tcPr>
            <w:tcW w:w="1894" w:type="dxa"/>
          </w:tcPr>
          <w:p w:rsidR="001F1F7B" w:rsidRPr="00FA3856" w:rsidRDefault="001F1F7B" w:rsidP="001F1F7B">
            <w:pPr>
              <w:jc w:val="center"/>
              <w:rPr>
                <w:b/>
                <w:color w:val="222222"/>
                <w:szCs w:val="20"/>
              </w:rPr>
            </w:pPr>
            <w:r w:rsidRPr="00FA3856">
              <w:rPr>
                <w:b/>
                <w:color w:val="222222"/>
                <w:szCs w:val="20"/>
              </w:rPr>
              <w:t>Sinal no M300</w:t>
            </w:r>
          </w:p>
        </w:tc>
        <w:tc>
          <w:tcPr>
            <w:tcW w:w="2541" w:type="dxa"/>
          </w:tcPr>
          <w:p w:rsidR="001F1F7B" w:rsidRPr="00FA3856" w:rsidRDefault="001F1F7B" w:rsidP="001F1F7B">
            <w:pPr>
              <w:jc w:val="center"/>
              <w:rPr>
                <w:b/>
                <w:color w:val="222222"/>
                <w:szCs w:val="20"/>
              </w:rPr>
            </w:pPr>
            <w:r w:rsidRPr="00FA3856">
              <w:rPr>
                <w:b/>
                <w:color w:val="222222"/>
                <w:szCs w:val="20"/>
              </w:rPr>
              <w:t>Indicador no M305</w:t>
            </w:r>
          </w:p>
          <w:p w:rsidR="001F1F7B" w:rsidRPr="00FA3856" w:rsidRDefault="001F1F7B" w:rsidP="001F1F7B">
            <w:pPr>
              <w:jc w:val="center"/>
              <w:rPr>
                <w:b/>
                <w:color w:val="222222"/>
                <w:szCs w:val="20"/>
              </w:rPr>
            </w:pPr>
            <w:r w:rsidRPr="00FA3856">
              <w:rPr>
                <w:b/>
                <w:color w:val="222222"/>
                <w:szCs w:val="20"/>
              </w:rPr>
              <w:t>(Sinal do lançamento na conta da Parte B)</w:t>
            </w:r>
          </w:p>
        </w:tc>
        <w:tc>
          <w:tcPr>
            <w:tcW w:w="2555" w:type="dxa"/>
          </w:tcPr>
          <w:p w:rsidR="001F1F7B" w:rsidRPr="00FA3856" w:rsidRDefault="001F1F7B" w:rsidP="001F1F7B">
            <w:pPr>
              <w:jc w:val="center"/>
              <w:rPr>
                <w:b/>
                <w:color w:val="222222"/>
                <w:szCs w:val="20"/>
              </w:rPr>
            </w:pPr>
            <w:r w:rsidRPr="00FA3856">
              <w:rPr>
                <w:b/>
                <w:color w:val="222222"/>
                <w:szCs w:val="20"/>
              </w:rPr>
              <w:t>Indicador no M310</w:t>
            </w:r>
          </w:p>
          <w:p w:rsidR="001F1F7B" w:rsidRPr="00FA3856" w:rsidRDefault="001F1F7B" w:rsidP="001F1F7B">
            <w:pPr>
              <w:jc w:val="center"/>
              <w:rPr>
                <w:b/>
                <w:color w:val="222222"/>
                <w:szCs w:val="20"/>
              </w:rPr>
            </w:pPr>
            <w:r w:rsidRPr="00FA3856">
              <w:rPr>
                <w:b/>
                <w:color w:val="222222"/>
                <w:szCs w:val="20"/>
              </w:rPr>
              <w:t>Conta de Resultado</w:t>
            </w:r>
          </w:p>
          <w:p w:rsidR="001F1F7B" w:rsidRPr="00FA3856" w:rsidRDefault="001F1F7B" w:rsidP="001F1F7B">
            <w:pPr>
              <w:jc w:val="center"/>
              <w:rPr>
                <w:b/>
                <w:color w:val="222222"/>
                <w:szCs w:val="20"/>
              </w:rPr>
            </w:pPr>
            <w:r w:rsidRPr="00FA3856">
              <w:rPr>
                <w:b/>
                <w:color w:val="222222"/>
                <w:szCs w:val="20"/>
              </w:rPr>
              <w:t>(Sinal do saldo da conta contábil de resultado)</w:t>
            </w:r>
          </w:p>
        </w:tc>
        <w:tc>
          <w:tcPr>
            <w:tcW w:w="2555" w:type="dxa"/>
          </w:tcPr>
          <w:p w:rsidR="001F1F7B" w:rsidRPr="00FA3856" w:rsidRDefault="001F1F7B" w:rsidP="001F1F7B">
            <w:pPr>
              <w:jc w:val="center"/>
              <w:rPr>
                <w:b/>
                <w:color w:val="222222"/>
                <w:szCs w:val="20"/>
              </w:rPr>
            </w:pPr>
            <w:r w:rsidRPr="00FA3856">
              <w:rPr>
                <w:b/>
                <w:color w:val="222222"/>
                <w:szCs w:val="20"/>
              </w:rPr>
              <w:t>Indicador no M310</w:t>
            </w:r>
          </w:p>
          <w:p w:rsidR="001F1F7B" w:rsidRPr="00FA3856" w:rsidRDefault="001F1F7B" w:rsidP="001F1F7B">
            <w:pPr>
              <w:jc w:val="center"/>
              <w:rPr>
                <w:b/>
                <w:color w:val="222222"/>
                <w:szCs w:val="20"/>
              </w:rPr>
            </w:pPr>
            <w:r w:rsidRPr="00FA3856">
              <w:rPr>
                <w:b/>
                <w:color w:val="222222"/>
                <w:szCs w:val="20"/>
              </w:rPr>
              <w:t>Conta Patrimonial</w:t>
            </w:r>
          </w:p>
          <w:p w:rsidR="001F1F7B" w:rsidRPr="00FA3856" w:rsidRDefault="001F1F7B" w:rsidP="001F1F7B">
            <w:pPr>
              <w:jc w:val="center"/>
              <w:rPr>
                <w:b/>
                <w:color w:val="222222"/>
                <w:szCs w:val="20"/>
              </w:rPr>
            </w:pPr>
            <w:r w:rsidRPr="00FA3856">
              <w:rPr>
                <w:b/>
                <w:color w:val="222222"/>
                <w:szCs w:val="20"/>
              </w:rPr>
              <w:t>(Sinal do saldo da conta contábil patrimonial)</w:t>
            </w:r>
          </w:p>
        </w:tc>
      </w:tr>
      <w:tr w:rsidR="001F1F7B" w:rsidRPr="00FA3856" w:rsidTr="001F1F7B">
        <w:trPr>
          <w:jc w:val="center"/>
        </w:trPr>
        <w:tc>
          <w:tcPr>
            <w:tcW w:w="3384" w:type="dxa"/>
          </w:tcPr>
          <w:p w:rsidR="001F1F7B" w:rsidRPr="00FA3856" w:rsidRDefault="001F1F7B" w:rsidP="001F1F7B">
            <w:pPr>
              <w:jc w:val="center"/>
              <w:rPr>
                <w:color w:val="222222"/>
                <w:szCs w:val="20"/>
              </w:rPr>
            </w:pPr>
            <w:r w:rsidRPr="00FA3856">
              <w:rPr>
                <w:color w:val="222222"/>
                <w:szCs w:val="20"/>
              </w:rPr>
              <w:t>Adição ou Lucro</w:t>
            </w:r>
          </w:p>
        </w:tc>
        <w:tc>
          <w:tcPr>
            <w:tcW w:w="1894" w:type="dxa"/>
          </w:tcPr>
          <w:p w:rsidR="001F1F7B" w:rsidRPr="00FA3856" w:rsidRDefault="001F1F7B" w:rsidP="001F1F7B">
            <w:pPr>
              <w:jc w:val="center"/>
              <w:rPr>
                <w:color w:val="222222"/>
                <w:szCs w:val="20"/>
              </w:rPr>
            </w:pPr>
            <w:r w:rsidRPr="00FA3856">
              <w:rPr>
                <w:color w:val="222222"/>
                <w:szCs w:val="20"/>
              </w:rPr>
              <w:t>+ (positivo)</w:t>
            </w:r>
          </w:p>
        </w:tc>
        <w:tc>
          <w:tcPr>
            <w:tcW w:w="2541" w:type="dxa"/>
          </w:tcPr>
          <w:p w:rsidR="001F1F7B" w:rsidRPr="00FA3856" w:rsidRDefault="001F1F7B" w:rsidP="001F1F7B">
            <w:pPr>
              <w:jc w:val="center"/>
              <w:rPr>
                <w:color w:val="222222"/>
                <w:szCs w:val="20"/>
              </w:rPr>
            </w:pPr>
            <w:r w:rsidRPr="00FA3856">
              <w:rPr>
                <w:color w:val="222222"/>
                <w:szCs w:val="20"/>
              </w:rPr>
              <w:t>D – Devedor</w:t>
            </w:r>
          </w:p>
        </w:tc>
        <w:tc>
          <w:tcPr>
            <w:tcW w:w="2555" w:type="dxa"/>
          </w:tcPr>
          <w:p w:rsidR="001F1F7B" w:rsidRPr="00FA3856" w:rsidRDefault="001F1F7B" w:rsidP="001F1F7B">
            <w:pPr>
              <w:jc w:val="center"/>
              <w:rPr>
                <w:color w:val="222222"/>
                <w:szCs w:val="20"/>
              </w:rPr>
            </w:pPr>
            <w:r w:rsidRPr="00FA3856">
              <w:rPr>
                <w:color w:val="222222"/>
                <w:szCs w:val="20"/>
              </w:rPr>
              <w:t>D – Devedor</w:t>
            </w:r>
          </w:p>
        </w:tc>
        <w:tc>
          <w:tcPr>
            <w:tcW w:w="2555" w:type="dxa"/>
          </w:tcPr>
          <w:p w:rsidR="001F1F7B" w:rsidRPr="00FA3856" w:rsidRDefault="001F1F7B" w:rsidP="001F1F7B">
            <w:pPr>
              <w:jc w:val="center"/>
              <w:rPr>
                <w:color w:val="222222"/>
                <w:szCs w:val="20"/>
              </w:rPr>
            </w:pPr>
            <w:r w:rsidRPr="00FA3856">
              <w:rPr>
                <w:color w:val="222222"/>
                <w:szCs w:val="20"/>
              </w:rPr>
              <w:t>C – Credor</w:t>
            </w:r>
          </w:p>
        </w:tc>
      </w:tr>
      <w:tr w:rsidR="001F1F7B" w:rsidRPr="00FA3856" w:rsidTr="001F1F7B">
        <w:trPr>
          <w:jc w:val="center"/>
        </w:trPr>
        <w:tc>
          <w:tcPr>
            <w:tcW w:w="3384" w:type="dxa"/>
          </w:tcPr>
          <w:p w:rsidR="001F1F7B" w:rsidRPr="00FA3856" w:rsidRDefault="001F1F7B" w:rsidP="001F1F7B">
            <w:pPr>
              <w:jc w:val="center"/>
              <w:rPr>
                <w:color w:val="222222"/>
                <w:szCs w:val="20"/>
              </w:rPr>
            </w:pPr>
            <w:r w:rsidRPr="00FA3856">
              <w:rPr>
                <w:color w:val="222222"/>
                <w:szCs w:val="20"/>
              </w:rPr>
              <w:t>Adição ou Lucro</w:t>
            </w:r>
          </w:p>
        </w:tc>
        <w:tc>
          <w:tcPr>
            <w:tcW w:w="1894" w:type="dxa"/>
          </w:tcPr>
          <w:p w:rsidR="001F1F7B" w:rsidRDefault="001F1F7B" w:rsidP="001F1F7B">
            <w:pPr>
              <w:jc w:val="center"/>
              <w:rPr>
                <w:color w:val="222222"/>
                <w:szCs w:val="20"/>
              </w:rPr>
            </w:pPr>
            <w:r w:rsidRPr="00FA3856">
              <w:rPr>
                <w:color w:val="222222"/>
                <w:szCs w:val="20"/>
              </w:rPr>
              <w:t>- (negativo)</w:t>
            </w:r>
          </w:p>
          <w:p w:rsidR="001F1F7B" w:rsidRPr="00000BE2" w:rsidRDefault="001F1F7B" w:rsidP="001F1F7B">
            <w:pPr>
              <w:jc w:val="center"/>
              <w:rPr>
                <w:b/>
                <w:color w:val="222222"/>
                <w:szCs w:val="20"/>
              </w:rPr>
            </w:pPr>
            <w:r w:rsidRPr="00000BE2">
              <w:rPr>
                <w:b/>
                <w:color w:val="222222"/>
                <w:szCs w:val="20"/>
              </w:rPr>
              <w:t>Erro no programa</w:t>
            </w:r>
          </w:p>
        </w:tc>
        <w:tc>
          <w:tcPr>
            <w:tcW w:w="2541" w:type="dxa"/>
          </w:tcPr>
          <w:p w:rsidR="001F1F7B" w:rsidRPr="00FA3856" w:rsidRDefault="001F1F7B" w:rsidP="001F1F7B">
            <w:pPr>
              <w:jc w:val="center"/>
              <w:rPr>
                <w:color w:val="222222"/>
                <w:szCs w:val="20"/>
              </w:rPr>
            </w:pPr>
            <w:r w:rsidRPr="00FA3856">
              <w:rPr>
                <w:color w:val="222222"/>
                <w:szCs w:val="20"/>
              </w:rPr>
              <w:t>C – Credor</w:t>
            </w:r>
          </w:p>
        </w:tc>
        <w:tc>
          <w:tcPr>
            <w:tcW w:w="2555" w:type="dxa"/>
          </w:tcPr>
          <w:p w:rsidR="001F1F7B" w:rsidRPr="00FA3856" w:rsidRDefault="001F1F7B" w:rsidP="001F1F7B">
            <w:pPr>
              <w:jc w:val="center"/>
              <w:rPr>
                <w:color w:val="222222"/>
                <w:szCs w:val="20"/>
              </w:rPr>
            </w:pPr>
            <w:r w:rsidRPr="00FA3856">
              <w:rPr>
                <w:color w:val="222222"/>
                <w:szCs w:val="20"/>
              </w:rPr>
              <w:t>C – Credor</w:t>
            </w:r>
          </w:p>
        </w:tc>
        <w:tc>
          <w:tcPr>
            <w:tcW w:w="2555" w:type="dxa"/>
          </w:tcPr>
          <w:p w:rsidR="001F1F7B" w:rsidRPr="00FA3856" w:rsidRDefault="001F1F7B" w:rsidP="001F1F7B">
            <w:pPr>
              <w:jc w:val="center"/>
              <w:rPr>
                <w:color w:val="222222"/>
                <w:szCs w:val="20"/>
              </w:rPr>
            </w:pPr>
            <w:r w:rsidRPr="00FA3856">
              <w:rPr>
                <w:color w:val="222222"/>
                <w:szCs w:val="20"/>
              </w:rPr>
              <w:t>D - Devedor</w:t>
            </w:r>
          </w:p>
        </w:tc>
      </w:tr>
      <w:tr w:rsidR="001F1F7B" w:rsidRPr="00FA3856" w:rsidTr="001F1F7B">
        <w:trPr>
          <w:jc w:val="center"/>
        </w:trPr>
        <w:tc>
          <w:tcPr>
            <w:tcW w:w="3384" w:type="dxa"/>
          </w:tcPr>
          <w:p w:rsidR="001F1F7B" w:rsidRPr="00FA3856" w:rsidRDefault="001F1F7B" w:rsidP="001F1F7B">
            <w:pPr>
              <w:jc w:val="center"/>
              <w:rPr>
                <w:color w:val="222222"/>
                <w:szCs w:val="20"/>
              </w:rPr>
            </w:pPr>
            <w:r w:rsidRPr="00FA3856">
              <w:rPr>
                <w:color w:val="222222"/>
                <w:szCs w:val="20"/>
              </w:rPr>
              <w:t>Exclusão ou Compensação de Prejuízo</w:t>
            </w:r>
          </w:p>
        </w:tc>
        <w:tc>
          <w:tcPr>
            <w:tcW w:w="1894" w:type="dxa"/>
          </w:tcPr>
          <w:p w:rsidR="001F1F7B" w:rsidRPr="00FA3856" w:rsidRDefault="001F1F7B" w:rsidP="001F1F7B">
            <w:pPr>
              <w:jc w:val="center"/>
              <w:rPr>
                <w:color w:val="222222"/>
                <w:szCs w:val="20"/>
              </w:rPr>
            </w:pPr>
            <w:r w:rsidRPr="00FA3856">
              <w:rPr>
                <w:color w:val="222222"/>
                <w:szCs w:val="20"/>
              </w:rPr>
              <w:t>+ (positivo)</w:t>
            </w:r>
          </w:p>
        </w:tc>
        <w:tc>
          <w:tcPr>
            <w:tcW w:w="2541" w:type="dxa"/>
          </w:tcPr>
          <w:p w:rsidR="001F1F7B" w:rsidRPr="00FA3856" w:rsidRDefault="001F1F7B" w:rsidP="001F1F7B">
            <w:pPr>
              <w:jc w:val="center"/>
              <w:rPr>
                <w:color w:val="222222"/>
                <w:szCs w:val="20"/>
              </w:rPr>
            </w:pPr>
            <w:r w:rsidRPr="00FA3856">
              <w:rPr>
                <w:color w:val="222222"/>
                <w:szCs w:val="20"/>
              </w:rPr>
              <w:t>C – Credor</w:t>
            </w:r>
          </w:p>
        </w:tc>
        <w:tc>
          <w:tcPr>
            <w:tcW w:w="2555" w:type="dxa"/>
          </w:tcPr>
          <w:p w:rsidR="001F1F7B" w:rsidRPr="00FA3856" w:rsidRDefault="001F1F7B" w:rsidP="001F1F7B">
            <w:pPr>
              <w:jc w:val="center"/>
              <w:rPr>
                <w:color w:val="222222"/>
                <w:szCs w:val="20"/>
              </w:rPr>
            </w:pPr>
            <w:r w:rsidRPr="00FA3856">
              <w:rPr>
                <w:color w:val="222222"/>
                <w:szCs w:val="20"/>
              </w:rPr>
              <w:t>C – Credor</w:t>
            </w:r>
          </w:p>
        </w:tc>
        <w:tc>
          <w:tcPr>
            <w:tcW w:w="2555" w:type="dxa"/>
          </w:tcPr>
          <w:p w:rsidR="001F1F7B" w:rsidRPr="00FA3856" w:rsidRDefault="001F1F7B" w:rsidP="001F1F7B">
            <w:pPr>
              <w:jc w:val="center"/>
              <w:rPr>
                <w:color w:val="222222"/>
                <w:szCs w:val="20"/>
              </w:rPr>
            </w:pPr>
            <w:r w:rsidRPr="00FA3856">
              <w:rPr>
                <w:color w:val="222222"/>
                <w:szCs w:val="20"/>
              </w:rPr>
              <w:t>D - Devedor</w:t>
            </w:r>
          </w:p>
        </w:tc>
      </w:tr>
      <w:tr w:rsidR="001F1F7B" w:rsidRPr="00FA3856" w:rsidTr="001F1F7B">
        <w:trPr>
          <w:jc w:val="center"/>
        </w:trPr>
        <w:tc>
          <w:tcPr>
            <w:tcW w:w="3384" w:type="dxa"/>
          </w:tcPr>
          <w:p w:rsidR="001F1F7B" w:rsidRPr="00FA3856" w:rsidRDefault="001F1F7B" w:rsidP="001F1F7B">
            <w:pPr>
              <w:jc w:val="center"/>
              <w:rPr>
                <w:color w:val="222222"/>
                <w:szCs w:val="20"/>
              </w:rPr>
            </w:pPr>
            <w:r w:rsidRPr="00FA3856">
              <w:rPr>
                <w:color w:val="222222"/>
                <w:szCs w:val="20"/>
              </w:rPr>
              <w:t>Exclusão ou Compensação de Prejuízo</w:t>
            </w:r>
          </w:p>
        </w:tc>
        <w:tc>
          <w:tcPr>
            <w:tcW w:w="1894" w:type="dxa"/>
          </w:tcPr>
          <w:p w:rsidR="001F1F7B" w:rsidRDefault="001F1F7B" w:rsidP="001F1F7B">
            <w:pPr>
              <w:jc w:val="center"/>
              <w:rPr>
                <w:color w:val="222222"/>
                <w:szCs w:val="20"/>
              </w:rPr>
            </w:pPr>
            <w:r w:rsidRPr="00FA3856">
              <w:rPr>
                <w:color w:val="222222"/>
                <w:szCs w:val="20"/>
              </w:rPr>
              <w:t>- (negativo)</w:t>
            </w:r>
          </w:p>
          <w:p w:rsidR="001F1F7B" w:rsidRPr="00000BE2" w:rsidRDefault="001F1F7B" w:rsidP="001F1F7B">
            <w:pPr>
              <w:jc w:val="center"/>
              <w:rPr>
                <w:b/>
                <w:color w:val="222222"/>
                <w:szCs w:val="20"/>
              </w:rPr>
            </w:pPr>
            <w:r w:rsidRPr="00000BE2">
              <w:rPr>
                <w:b/>
                <w:color w:val="222222"/>
                <w:szCs w:val="20"/>
              </w:rPr>
              <w:t>Erro no programa</w:t>
            </w:r>
          </w:p>
        </w:tc>
        <w:tc>
          <w:tcPr>
            <w:tcW w:w="2541" w:type="dxa"/>
          </w:tcPr>
          <w:p w:rsidR="001F1F7B" w:rsidRPr="00FA3856" w:rsidRDefault="001F1F7B" w:rsidP="001F1F7B">
            <w:pPr>
              <w:jc w:val="center"/>
              <w:rPr>
                <w:color w:val="222222"/>
                <w:szCs w:val="20"/>
              </w:rPr>
            </w:pPr>
            <w:r w:rsidRPr="00FA3856">
              <w:rPr>
                <w:color w:val="222222"/>
                <w:szCs w:val="20"/>
              </w:rPr>
              <w:t>D - Devedor</w:t>
            </w:r>
          </w:p>
        </w:tc>
        <w:tc>
          <w:tcPr>
            <w:tcW w:w="2555" w:type="dxa"/>
          </w:tcPr>
          <w:p w:rsidR="001F1F7B" w:rsidRPr="00FA3856" w:rsidRDefault="001F1F7B" w:rsidP="001F1F7B">
            <w:pPr>
              <w:jc w:val="center"/>
              <w:rPr>
                <w:color w:val="222222"/>
                <w:szCs w:val="20"/>
              </w:rPr>
            </w:pPr>
            <w:r w:rsidRPr="00FA3856">
              <w:rPr>
                <w:color w:val="222222"/>
                <w:szCs w:val="20"/>
              </w:rPr>
              <w:t>D - Devedor</w:t>
            </w:r>
          </w:p>
        </w:tc>
        <w:tc>
          <w:tcPr>
            <w:tcW w:w="2555" w:type="dxa"/>
          </w:tcPr>
          <w:p w:rsidR="001F1F7B" w:rsidRPr="00FA3856" w:rsidRDefault="001F1F7B" w:rsidP="001F1F7B">
            <w:pPr>
              <w:jc w:val="center"/>
              <w:rPr>
                <w:color w:val="222222"/>
                <w:szCs w:val="20"/>
              </w:rPr>
            </w:pPr>
            <w:r w:rsidRPr="00FA3856">
              <w:rPr>
                <w:color w:val="222222"/>
                <w:szCs w:val="20"/>
              </w:rPr>
              <w:t>C – Credor</w:t>
            </w:r>
          </w:p>
        </w:tc>
      </w:tr>
    </w:tbl>
    <w:p w:rsidR="001F1F7B" w:rsidRDefault="001F1F7B" w:rsidP="001F1F7B">
      <w:pPr>
        <w:rPr>
          <w:b/>
          <w:szCs w:val="20"/>
          <w:lang w:val="pt-PT"/>
        </w:rPr>
      </w:pPr>
    </w:p>
    <w:p w:rsidR="001F1F7B" w:rsidRDefault="001F1F7B" w:rsidP="001F1F7B">
      <w:pPr>
        <w:rPr>
          <w:b/>
          <w:szCs w:val="20"/>
          <w:lang w:val="pt-PT"/>
        </w:rPr>
      </w:pPr>
    </w:p>
    <w:p w:rsidR="001F1F7B" w:rsidRDefault="001F1F7B" w:rsidP="001F1F7B">
      <w:pPr>
        <w:rPr>
          <w:b/>
          <w:szCs w:val="20"/>
          <w:lang w:val="pt-PT"/>
        </w:rPr>
      </w:pPr>
    </w:p>
    <w:p w:rsidR="001F1F7B" w:rsidRDefault="001F1F7B" w:rsidP="001F1F7B">
      <w:pPr>
        <w:rPr>
          <w:b/>
          <w:szCs w:val="20"/>
          <w:lang w:val="pt-PT"/>
        </w:rPr>
      </w:pPr>
    </w:p>
    <w:p w:rsidR="001F1F7B" w:rsidRDefault="001F1F7B" w:rsidP="001F1F7B">
      <w:pPr>
        <w:rPr>
          <w:b/>
          <w:szCs w:val="20"/>
          <w:lang w:val="pt-PT"/>
        </w:rPr>
      </w:pPr>
    </w:p>
    <w:p w:rsidR="001F1F7B" w:rsidRDefault="001F1F7B" w:rsidP="001F1F7B">
      <w:pPr>
        <w:rPr>
          <w:b/>
          <w:szCs w:val="20"/>
          <w:lang w:val="pt-PT"/>
        </w:rPr>
      </w:pPr>
    </w:p>
    <w:p w:rsidR="001F1F7B" w:rsidRDefault="001F1F7B" w:rsidP="001F1F7B">
      <w:pPr>
        <w:rPr>
          <w:b/>
          <w:szCs w:val="20"/>
          <w:lang w:val="pt-PT"/>
        </w:rPr>
      </w:pPr>
    </w:p>
    <w:p w:rsidR="001F1F7B" w:rsidRDefault="001F1F7B" w:rsidP="001F1F7B">
      <w:pPr>
        <w:rPr>
          <w:b/>
          <w:szCs w:val="20"/>
          <w:lang w:val="pt-PT"/>
        </w:rPr>
      </w:pPr>
    </w:p>
    <w:p w:rsidR="001F1F7B" w:rsidRDefault="001F1F7B" w:rsidP="001F1F7B">
      <w:pPr>
        <w:rPr>
          <w:b/>
          <w:szCs w:val="20"/>
          <w:lang w:val="pt-PT"/>
        </w:rPr>
      </w:pPr>
    </w:p>
    <w:p w:rsidR="001F1F7B" w:rsidRDefault="001F1F7B" w:rsidP="001F1F7B">
      <w:pPr>
        <w:rPr>
          <w:b/>
          <w:szCs w:val="20"/>
          <w:lang w:val="pt-PT"/>
        </w:rPr>
      </w:pPr>
    </w:p>
    <w:p w:rsidR="001F1F7B" w:rsidRDefault="001F1F7B" w:rsidP="001F1F7B">
      <w:pPr>
        <w:rPr>
          <w:b/>
          <w:szCs w:val="20"/>
          <w:lang w:val="pt-PT"/>
        </w:rPr>
      </w:pPr>
    </w:p>
    <w:p w:rsidR="001F1F7B" w:rsidRDefault="001F1F7B" w:rsidP="001F1F7B">
      <w:pPr>
        <w:rPr>
          <w:b/>
          <w:szCs w:val="20"/>
          <w:lang w:val="pt-PT"/>
        </w:rPr>
      </w:pPr>
    </w:p>
    <w:p w:rsidR="001F1F7B" w:rsidRDefault="001F1F7B" w:rsidP="001F1F7B">
      <w:pPr>
        <w:rPr>
          <w:b/>
          <w:szCs w:val="20"/>
          <w:lang w:val="pt-PT"/>
        </w:rPr>
      </w:pPr>
    </w:p>
    <w:p w:rsidR="001F1F7B" w:rsidRDefault="001F1F7B" w:rsidP="001F1F7B">
      <w:pPr>
        <w:rPr>
          <w:b/>
          <w:szCs w:val="20"/>
          <w:lang w:val="pt-PT"/>
        </w:rPr>
      </w:pPr>
    </w:p>
    <w:p w:rsidR="001F1F7B" w:rsidRDefault="001F1F7B" w:rsidP="001F1F7B">
      <w:pPr>
        <w:rPr>
          <w:b/>
          <w:szCs w:val="20"/>
          <w:lang w:val="pt-PT"/>
        </w:rPr>
      </w:pPr>
    </w:p>
    <w:p w:rsidR="002B375B" w:rsidRDefault="002B375B" w:rsidP="001F1F7B">
      <w:pPr>
        <w:rPr>
          <w:b/>
          <w:szCs w:val="20"/>
          <w:lang w:val="pt-PT"/>
        </w:rPr>
      </w:pPr>
    </w:p>
    <w:p w:rsidR="002B375B" w:rsidRDefault="002B375B" w:rsidP="001F1F7B">
      <w:pPr>
        <w:rPr>
          <w:b/>
          <w:szCs w:val="20"/>
          <w:lang w:val="pt-PT"/>
        </w:rPr>
      </w:pPr>
    </w:p>
    <w:p w:rsidR="002B375B" w:rsidRDefault="00B35FA3" w:rsidP="002B375B">
      <w:pPr>
        <w:jc w:val="center"/>
        <w:rPr>
          <w:b/>
          <w:szCs w:val="20"/>
          <w:lang w:val="pt-PT"/>
        </w:rPr>
      </w:pPr>
      <w:r>
        <w:rPr>
          <w:b/>
          <w:szCs w:val="20"/>
          <w:lang w:val="pt-PT"/>
        </w:rPr>
        <w:object w:dxaOrig="14880" w:dyaOrig="9150">
          <v:shape id="_x0000_i1689" type="#_x0000_t75" style="width:743.25pt;height:456pt" o:ole="">
            <v:imagedata r:id="rId284" o:title=""/>
          </v:shape>
          <o:OLEObject Type="Link" ProgID="Excel.Sheet.12" ShapeID="_x0000_i1689" DrawAspect="Content" r:id="rId285" UpdateMode="Always">
            <o:LinkType>EnhancedMetaFile</o:LinkType>
            <o:LockedField>false</o:LockedField>
          </o:OLEObject>
        </w:object>
      </w:r>
    </w:p>
    <w:p w:rsidR="001F1F7B" w:rsidRDefault="001F1F7B" w:rsidP="001F1F7B">
      <w:pPr>
        <w:rPr>
          <w:b/>
          <w:szCs w:val="20"/>
          <w:lang w:val="pt-PT"/>
        </w:rPr>
      </w:pPr>
    </w:p>
    <w:p w:rsidR="001F1F7B" w:rsidRDefault="001F1F7B" w:rsidP="001F1F7B">
      <w:pPr>
        <w:jc w:val="center"/>
        <w:rPr>
          <w:b/>
          <w:szCs w:val="20"/>
          <w:lang w:val="pt-PT"/>
        </w:rPr>
      </w:pPr>
    </w:p>
    <w:p w:rsidR="00C44EBF" w:rsidRDefault="00C44EBF" w:rsidP="001F1F7B">
      <w:pPr>
        <w:rPr>
          <w:b/>
          <w:szCs w:val="20"/>
          <w:lang w:val="pt-PT"/>
        </w:rPr>
      </w:pPr>
    </w:p>
    <w:p w:rsidR="00AC1E83" w:rsidRDefault="00B35FA3" w:rsidP="00AC1E83">
      <w:pPr>
        <w:jc w:val="center"/>
        <w:rPr>
          <w:b/>
          <w:szCs w:val="20"/>
          <w:lang w:val="pt-PT"/>
        </w:rPr>
      </w:pPr>
      <w:r>
        <w:rPr>
          <w:b/>
          <w:szCs w:val="20"/>
          <w:lang w:val="pt-PT"/>
        </w:rPr>
        <w:object w:dxaOrig="14880" w:dyaOrig="645">
          <v:shape id="_x0000_i1691" type="#_x0000_t75" style="width:743.25pt;height:33pt" o:ole="">
            <v:imagedata r:id="rId286" o:title=""/>
          </v:shape>
          <o:OLEObject Type="Link" ProgID="Excel.Sheet.12" ShapeID="_x0000_i1691" DrawAspect="Content" r:id="rId287" UpdateMode="Always">
            <o:LinkType>EnhancedMetaFile</o:LinkType>
            <o:LockedField>false</o:LockedField>
          </o:OLEObject>
        </w:object>
      </w:r>
    </w:p>
    <w:p w:rsidR="00AC1E83" w:rsidRDefault="00AC1E83" w:rsidP="001F1F7B">
      <w:pPr>
        <w:rPr>
          <w:b/>
          <w:szCs w:val="20"/>
          <w:lang w:val="pt-PT"/>
        </w:rPr>
      </w:pPr>
    </w:p>
    <w:p w:rsidR="001F1F7B" w:rsidRPr="00FA3856" w:rsidRDefault="001F1F7B" w:rsidP="001F1F7B">
      <w:pPr>
        <w:rPr>
          <w:b/>
          <w:szCs w:val="20"/>
          <w:lang w:val="pt-PT"/>
        </w:rPr>
      </w:pPr>
      <w:r w:rsidRPr="00FA3856">
        <w:rPr>
          <w:b/>
          <w:szCs w:val="20"/>
          <w:lang w:val="pt-PT"/>
        </w:rPr>
        <w:t>Exemplo de preenchimento quando M300.IND_RELACAO = “3” (Conta Conta da Parte B e Conta Contábil):</w:t>
      </w:r>
    </w:p>
    <w:p w:rsidR="001F1F7B" w:rsidRPr="00FA3856" w:rsidRDefault="001F1F7B" w:rsidP="001F1F7B">
      <w:pPr>
        <w:rPr>
          <w:b/>
          <w:szCs w:val="20"/>
          <w:lang w:val="pt-PT"/>
        </w:rPr>
      </w:pPr>
    </w:p>
    <w:p w:rsidR="001F1F7B" w:rsidRPr="00FA3856" w:rsidRDefault="001F1F7B" w:rsidP="001F1F7B">
      <w:pPr>
        <w:rPr>
          <w:szCs w:val="20"/>
        </w:rPr>
      </w:pPr>
      <w:r w:rsidRPr="00FA3856">
        <w:rPr>
          <w:szCs w:val="20"/>
        </w:rPr>
        <w:t>1 - Contabilidade da Empresa - Constituição da Provisão</w:t>
      </w:r>
    </w:p>
    <w:p w:rsidR="001F1F7B" w:rsidRPr="00FA3856" w:rsidRDefault="001F1F7B" w:rsidP="001F1F7B">
      <w:pPr>
        <w:ind w:firstLine="708"/>
        <w:rPr>
          <w:szCs w:val="20"/>
        </w:rPr>
      </w:pPr>
      <w:r w:rsidRPr="00FA3856">
        <w:rPr>
          <w:szCs w:val="20"/>
        </w:rPr>
        <w:t>Débito: Despesas com Provisão 100</w:t>
      </w:r>
    </w:p>
    <w:p w:rsidR="001F1F7B" w:rsidRPr="00FA3856" w:rsidRDefault="001F1F7B" w:rsidP="001F1F7B">
      <w:pPr>
        <w:ind w:firstLine="708"/>
        <w:rPr>
          <w:szCs w:val="20"/>
        </w:rPr>
      </w:pPr>
      <w:r w:rsidRPr="00FA3856">
        <w:rPr>
          <w:szCs w:val="20"/>
        </w:rPr>
        <w:t>Crédito: Perdas Estimadas com Créditos de Liquidação Duvidosa 100</w:t>
      </w:r>
    </w:p>
    <w:p w:rsidR="001F1F7B" w:rsidRPr="00FA3856" w:rsidRDefault="001F1F7B" w:rsidP="001F1F7B">
      <w:pPr>
        <w:ind w:firstLine="708"/>
        <w:rPr>
          <w:szCs w:val="20"/>
        </w:rPr>
      </w:pPr>
      <w:r w:rsidRPr="00FA3856">
        <w:rPr>
          <w:szCs w:val="20"/>
        </w:rPr>
        <w:t>Essa despesa é indedutível, e será adicionada na Parte A do e-Lalur e também será constituído um saldo de mesmo valor na Parte B, para exclusões futuras (lançamento do tipo 3).</w:t>
      </w:r>
    </w:p>
    <w:p w:rsidR="001F1F7B" w:rsidRPr="00FA3856" w:rsidRDefault="001F1F7B" w:rsidP="001F1F7B">
      <w:pPr>
        <w:rPr>
          <w:szCs w:val="20"/>
        </w:rPr>
      </w:pPr>
    </w:p>
    <w:p w:rsidR="001F1F7B" w:rsidRPr="00FA3856" w:rsidRDefault="001F1F7B" w:rsidP="001F1F7B">
      <w:pPr>
        <w:rPr>
          <w:szCs w:val="20"/>
        </w:rPr>
      </w:pPr>
      <w:r w:rsidRPr="00FA3856">
        <w:rPr>
          <w:szCs w:val="20"/>
        </w:rPr>
        <w:t>2 - Reversão da Provisão:</w:t>
      </w:r>
    </w:p>
    <w:p w:rsidR="001F1F7B" w:rsidRPr="00FA3856" w:rsidRDefault="001F1F7B" w:rsidP="001F1F7B">
      <w:pPr>
        <w:ind w:firstLine="708"/>
        <w:rPr>
          <w:szCs w:val="20"/>
        </w:rPr>
      </w:pPr>
      <w:r w:rsidRPr="00FA3856">
        <w:rPr>
          <w:szCs w:val="20"/>
        </w:rPr>
        <w:t>Débito: Perdas Estimadas com Créditos de Liquidação Duvidosa 50</w:t>
      </w:r>
    </w:p>
    <w:p w:rsidR="001F1F7B" w:rsidRPr="00FA3856" w:rsidRDefault="001F1F7B" w:rsidP="001F1F7B">
      <w:pPr>
        <w:ind w:firstLine="708"/>
        <w:rPr>
          <w:szCs w:val="20"/>
        </w:rPr>
      </w:pPr>
      <w:r w:rsidRPr="00FA3856">
        <w:rPr>
          <w:szCs w:val="20"/>
        </w:rPr>
        <w:t>Crédito: Reversão da Provisão da Provisão (Receita)</w:t>
      </w:r>
      <w:r>
        <w:rPr>
          <w:szCs w:val="20"/>
        </w:rPr>
        <w:t xml:space="preserve"> 50</w:t>
      </w:r>
    </w:p>
    <w:p w:rsidR="001F1F7B" w:rsidRDefault="001F1F7B" w:rsidP="001F1F7B">
      <w:pPr>
        <w:ind w:firstLine="708"/>
        <w:rPr>
          <w:szCs w:val="20"/>
        </w:rPr>
      </w:pPr>
      <w:r w:rsidRPr="00FA3856">
        <w:rPr>
          <w:szCs w:val="20"/>
        </w:rPr>
        <w:t xml:space="preserve">Nesse caso, há uma exclusão na Parta A do e-Lalur, reduzindo o saldo </w:t>
      </w:r>
      <w:r>
        <w:rPr>
          <w:szCs w:val="20"/>
        </w:rPr>
        <w:t>da parte B e também há a reversão do saldo na parte contábil (lançamento do tipo 3</w:t>
      </w:r>
      <w:r w:rsidRPr="00FA3856">
        <w:rPr>
          <w:szCs w:val="20"/>
        </w:rPr>
        <w:t>).</w:t>
      </w:r>
    </w:p>
    <w:p w:rsidR="001F1F7B" w:rsidRPr="00FA3856" w:rsidRDefault="001F1F7B" w:rsidP="001F1F7B">
      <w:pPr>
        <w:rPr>
          <w:szCs w:val="20"/>
        </w:rPr>
      </w:pPr>
    </w:p>
    <w:p w:rsidR="001F1F7B" w:rsidRPr="00FA3856" w:rsidRDefault="001F1F7B" w:rsidP="001F1F7B">
      <w:pPr>
        <w:rPr>
          <w:szCs w:val="20"/>
        </w:rPr>
      </w:pPr>
      <w:r w:rsidRPr="00FA3856">
        <w:rPr>
          <w:szCs w:val="20"/>
        </w:rPr>
        <w:t>3 - Perda considera incobrável (Perda consumada)</w:t>
      </w:r>
    </w:p>
    <w:p w:rsidR="001F1F7B" w:rsidRPr="00FA3856" w:rsidRDefault="001F1F7B" w:rsidP="001F1F7B">
      <w:pPr>
        <w:ind w:firstLine="708"/>
        <w:rPr>
          <w:szCs w:val="20"/>
        </w:rPr>
      </w:pPr>
      <w:r w:rsidRPr="00FA3856">
        <w:rPr>
          <w:szCs w:val="20"/>
        </w:rPr>
        <w:t>Débito: Perdas Estimadas com Créditos de Liquidação Duvidosa 30</w:t>
      </w:r>
    </w:p>
    <w:p w:rsidR="001F1F7B" w:rsidRPr="00FA3856" w:rsidRDefault="001F1F7B" w:rsidP="001F1F7B">
      <w:pPr>
        <w:ind w:firstLine="708"/>
        <w:rPr>
          <w:szCs w:val="20"/>
        </w:rPr>
      </w:pPr>
      <w:r w:rsidRPr="00FA3856">
        <w:rPr>
          <w:szCs w:val="20"/>
        </w:rPr>
        <w:t>Crédito: Duplicadas a Receber   30</w:t>
      </w:r>
    </w:p>
    <w:p w:rsidR="001F1F7B" w:rsidRPr="00FA3856" w:rsidRDefault="001B58FE" w:rsidP="001F1F7B">
      <w:pPr>
        <w:ind w:firstLine="708"/>
        <w:rPr>
          <w:szCs w:val="20"/>
        </w:rPr>
      </w:pPr>
      <w:r w:rsidRPr="00FA3856">
        <w:rPr>
          <w:szCs w:val="20"/>
        </w:rPr>
        <w:t>Nesse</w:t>
      </w:r>
      <w:r w:rsidR="001F1F7B" w:rsidRPr="00FA3856">
        <w:rPr>
          <w:szCs w:val="20"/>
        </w:rPr>
        <w:t xml:space="preserve"> caso, há uma exclusão na Parta A do e-Lalur, reduzindo o saldo da parte B (lançamento do tipo 1).</w:t>
      </w:r>
    </w:p>
    <w:p w:rsidR="001F1F7B" w:rsidRPr="00FA3856" w:rsidRDefault="001F1F7B" w:rsidP="001F1F7B">
      <w:pPr>
        <w:rPr>
          <w:szCs w:val="20"/>
        </w:rPr>
      </w:pPr>
    </w:p>
    <w:p w:rsidR="001F1F7B" w:rsidRPr="00FA3856" w:rsidRDefault="001F1F7B" w:rsidP="001F1F7B">
      <w:pPr>
        <w:rPr>
          <w:b/>
          <w:szCs w:val="20"/>
        </w:rPr>
      </w:pPr>
      <w:r w:rsidRPr="00FA3856">
        <w:rPr>
          <w:b/>
          <w:szCs w:val="20"/>
        </w:rPr>
        <w:t>I – Regras de Validação do Registro:</w:t>
      </w:r>
    </w:p>
    <w:p w:rsidR="001F1F7B" w:rsidRPr="00FA3856" w:rsidRDefault="001F1F7B" w:rsidP="001F1F7B">
      <w:pPr>
        <w:rPr>
          <w:b/>
          <w:szCs w:val="20"/>
        </w:rPr>
      </w:pPr>
    </w:p>
    <w:p w:rsidR="001F1F7B" w:rsidRPr="00FA3856" w:rsidRDefault="001F1F7B" w:rsidP="001F1F7B">
      <w:pPr>
        <w:pStyle w:val="PSDS-CorpodeTexto0"/>
        <w:ind w:left="708"/>
        <w:jc w:val="both"/>
        <w:rPr>
          <w:rFonts w:ascii="Times New Roman" w:hAnsi="Times New Roman"/>
          <w:b/>
          <w:bCs/>
          <w:lang w:val="pt-PT"/>
        </w:rPr>
      </w:pPr>
      <w:r w:rsidRPr="00FA3856">
        <w:rPr>
          <w:rFonts w:ascii="Times New Roman" w:hAnsi="Times New Roman"/>
          <w:b/>
          <w:bCs/>
          <w:lang w:val="pt-PT"/>
        </w:rPr>
        <w:t xml:space="preserve">REGRA_VALOR_DETALHADO: </w:t>
      </w:r>
    </w:p>
    <w:p w:rsidR="001F1F7B" w:rsidRPr="00FA3856" w:rsidRDefault="001F1F7B" w:rsidP="001F1F7B">
      <w:pPr>
        <w:pStyle w:val="PSDS-CorpodeTexto0"/>
        <w:ind w:left="708"/>
        <w:jc w:val="both"/>
        <w:rPr>
          <w:rFonts w:ascii="Times New Roman" w:hAnsi="Times New Roman"/>
          <w:bCs/>
          <w:lang w:val="pt-PT"/>
        </w:rPr>
      </w:pPr>
      <w:r w:rsidRPr="00FA3856">
        <w:rPr>
          <w:rFonts w:ascii="Times New Roman" w:hAnsi="Times New Roman"/>
          <w:bCs/>
          <w:lang w:val="pt-PT"/>
        </w:rPr>
        <w:t xml:space="preserve">Verifica, quando M300.IND_RELACAO for igual a “1” (com conta da parte B), se o M300.VALOR é igual ao somatório de M305.VALOR_CTA. </w:t>
      </w:r>
    </w:p>
    <w:p w:rsidR="001F1F7B" w:rsidRPr="00FA3856" w:rsidRDefault="001F1F7B" w:rsidP="001F1F7B">
      <w:pPr>
        <w:pStyle w:val="PSDS-CorpodeTexto0"/>
        <w:ind w:left="708"/>
        <w:jc w:val="both"/>
        <w:rPr>
          <w:rFonts w:ascii="Times New Roman" w:hAnsi="Times New Roman"/>
          <w:bCs/>
          <w:lang w:val="pt-PT"/>
        </w:rPr>
      </w:pPr>
      <w:r w:rsidRPr="00FA3856">
        <w:rPr>
          <w:rFonts w:ascii="Times New Roman" w:hAnsi="Times New Roman"/>
          <w:bCs/>
          <w:lang w:val="pt-PT"/>
        </w:rPr>
        <w:t xml:space="preserve">Verifica, quando M300.IND_RELACAO for igual a “2” (com conta contábil) se o M300.VALOR é igual ao somatório de M310.VALOR_CTA. </w:t>
      </w:r>
    </w:p>
    <w:p w:rsidR="001F1F7B" w:rsidRPr="00FA3856" w:rsidRDefault="001F1F7B" w:rsidP="001F1F7B">
      <w:pPr>
        <w:pStyle w:val="PSDS-CorpodeTexto0"/>
        <w:ind w:left="708"/>
        <w:jc w:val="both"/>
        <w:rPr>
          <w:rFonts w:ascii="Times New Roman" w:hAnsi="Times New Roman"/>
          <w:bCs/>
          <w:lang w:val="pt-PT"/>
        </w:rPr>
      </w:pPr>
      <w:r w:rsidRPr="00FA3856">
        <w:rPr>
          <w:rFonts w:ascii="Times New Roman" w:hAnsi="Times New Roman"/>
          <w:bCs/>
          <w:lang w:val="pt-PT"/>
        </w:rPr>
        <w:t xml:space="preserve">Verifica, quando M300.IND_RELACAO for igual a “3” (com conta da parte B e conta contábil) se o M300.VALOR é igual ao somatório de M305.VALOR_CTA </w:t>
      </w:r>
      <w:r w:rsidRPr="0070069F">
        <w:rPr>
          <w:rFonts w:ascii="Times New Roman" w:hAnsi="Times New Roman"/>
          <w:bCs/>
          <w:lang w:val="pt-PT"/>
        </w:rPr>
        <w:t>ou é igual ao somatório de M310.VALOR_CTA ou é igual ao somatório de M305.VALOR_CTA com M310.VALOR_CTA.</w:t>
      </w:r>
      <w:r w:rsidRPr="00FA3856">
        <w:rPr>
          <w:rFonts w:ascii="Times New Roman" w:hAnsi="Times New Roman"/>
          <w:bCs/>
          <w:lang w:val="pt-PT"/>
        </w:rPr>
        <w:t xml:space="preserve"> </w:t>
      </w:r>
    </w:p>
    <w:p w:rsidR="001F1F7B" w:rsidRPr="00FA3856" w:rsidRDefault="001F1F7B" w:rsidP="001F1F7B">
      <w:pPr>
        <w:pStyle w:val="PSDS-CorpodeTexto0"/>
        <w:rPr>
          <w:rFonts w:ascii="Times New Roman" w:hAnsi="Times New Roman"/>
          <w:bCs/>
          <w:lang w:val="pt-PT"/>
        </w:rPr>
      </w:pPr>
    </w:p>
    <w:p w:rsidR="001F1F7B" w:rsidRPr="00FA3856" w:rsidRDefault="001F1F7B" w:rsidP="001F1F7B">
      <w:pPr>
        <w:pStyle w:val="PSDS-CorpodeTexto0"/>
        <w:ind w:left="708"/>
        <w:rPr>
          <w:rFonts w:ascii="Times New Roman" w:hAnsi="Times New Roman"/>
          <w:bCs/>
          <w:lang w:val="pt-PT"/>
        </w:rPr>
      </w:pPr>
      <w:r w:rsidRPr="00FA3856">
        <w:rPr>
          <w:rFonts w:ascii="Times New Roman" w:hAnsi="Times New Roman"/>
          <w:bCs/>
          <w:lang w:val="pt-PT"/>
        </w:rPr>
        <w:t>O somatorio deve fazer a seguinte conversão de sinais:</w:t>
      </w:r>
      <w:r w:rsidRPr="00FA3856">
        <w:rPr>
          <w:rFonts w:ascii="Times New Roman" w:hAnsi="Times New Roman"/>
          <w:bCs/>
          <w:lang w:val="pt-PT"/>
        </w:rPr>
        <w:br/>
      </w:r>
      <w:r w:rsidRPr="00FA3856">
        <w:rPr>
          <w:rFonts w:ascii="Times New Roman" w:hAnsi="Times New Roman"/>
          <w:bCs/>
          <w:lang w:val="pt-PT"/>
        </w:rPr>
        <w:br/>
        <w:t xml:space="preserve">Se M300.TIPO_LANCAMENTO = “A” (Adição) ou “L” (Lucro): </w:t>
      </w:r>
    </w:p>
    <w:p w:rsidR="001F1F7B" w:rsidRPr="00FA3856" w:rsidRDefault="001F1F7B" w:rsidP="001F1F7B">
      <w:pPr>
        <w:pStyle w:val="PSDS-CorpodeTexto0"/>
        <w:ind w:left="1416"/>
        <w:rPr>
          <w:rFonts w:ascii="Times New Roman" w:hAnsi="Times New Roman"/>
          <w:bCs/>
          <w:lang w:val="pt-PT"/>
        </w:rPr>
      </w:pPr>
      <w:r w:rsidRPr="00FA3856">
        <w:rPr>
          <w:rFonts w:ascii="Times New Roman" w:hAnsi="Times New Roman"/>
          <w:bCs/>
          <w:lang w:val="pt-PT"/>
        </w:rPr>
        <w:t xml:space="preserve">- Se M305.IND_VL_CTA = “D”, então ”+” (valor positivo). </w:t>
      </w:r>
      <w:r w:rsidRPr="00FA3856">
        <w:rPr>
          <w:rFonts w:ascii="Times New Roman" w:hAnsi="Times New Roman"/>
          <w:bCs/>
          <w:lang w:val="pt-PT"/>
        </w:rPr>
        <w:br/>
        <w:t xml:space="preserve">- Se M305.IND_VL_CTA = “C”, então ”-” (valor negativo). </w:t>
      </w:r>
    </w:p>
    <w:p w:rsidR="001F1F7B" w:rsidRPr="00FA3856" w:rsidRDefault="001F1F7B" w:rsidP="001F1F7B">
      <w:pPr>
        <w:pStyle w:val="PSDS-CorpodeTexto0"/>
        <w:ind w:left="1416"/>
        <w:rPr>
          <w:rFonts w:ascii="Times New Roman" w:hAnsi="Times New Roman"/>
          <w:bCs/>
          <w:lang w:val="pt-PT"/>
        </w:rPr>
      </w:pPr>
      <w:r w:rsidRPr="00FA3856">
        <w:rPr>
          <w:rFonts w:ascii="Times New Roman" w:hAnsi="Times New Roman"/>
          <w:bCs/>
          <w:lang w:val="pt-PT"/>
        </w:rPr>
        <w:t>- Se J050.COD_NAT = “4” (Conta de resultado) e M310.IND_VL_CTA = “D”, então ”+” (valor positivo).</w:t>
      </w:r>
      <w:r w:rsidRPr="00FA3856">
        <w:rPr>
          <w:rFonts w:ascii="Times New Roman" w:hAnsi="Times New Roman"/>
          <w:bCs/>
          <w:lang w:val="pt-PT"/>
        </w:rPr>
        <w:br/>
        <w:t>- Se J050.COD_NAT = “4” (Conta de resultado) e M310.IND_VL_CTA = “C”, então ”-” (valor negativo).</w:t>
      </w:r>
      <w:r w:rsidRPr="00FA3856">
        <w:rPr>
          <w:rFonts w:ascii="Times New Roman" w:hAnsi="Times New Roman"/>
          <w:bCs/>
          <w:lang w:val="pt-PT"/>
        </w:rPr>
        <w:br/>
        <w:t>- Se J050.COD_NAT = “1, 2 ou 3” (Conta de ativo, passivo ou patrimônio líquido) e M310.IND_VL_CTA = “D”, então ”-” (valor negativo).</w:t>
      </w:r>
      <w:r w:rsidRPr="00FA3856">
        <w:rPr>
          <w:rFonts w:ascii="Times New Roman" w:hAnsi="Times New Roman"/>
          <w:bCs/>
          <w:lang w:val="pt-PT"/>
        </w:rPr>
        <w:br/>
      </w:r>
      <w:r w:rsidRPr="00FA3856">
        <w:rPr>
          <w:rFonts w:ascii="Times New Roman" w:hAnsi="Times New Roman"/>
          <w:bCs/>
          <w:lang w:val="pt-PT"/>
        </w:rPr>
        <w:lastRenderedPageBreak/>
        <w:t>- Se J050.COD_NAT = “1, 2 ou 3” (Conta de ativo, passivo ou patrimônio líquido) e M310.IND_VL_CTA = “C”, então ”+” (valor positivo).</w:t>
      </w:r>
      <w:r w:rsidRPr="00FA3856">
        <w:rPr>
          <w:rFonts w:ascii="Times New Roman" w:hAnsi="Times New Roman"/>
          <w:bCs/>
          <w:lang w:val="pt-PT"/>
        </w:rPr>
        <w:br/>
      </w:r>
    </w:p>
    <w:p w:rsidR="001F1F7B" w:rsidRPr="00FA3856" w:rsidRDefault="001F1F7B" w:rsidP="009E2D8D">
      <w:pPr>
        <w:spacing w:after="200" w:line="276" w:lineRule="auto"/>
        <w:rPr>
          <w:bCs/>
          <w:lang w:val="pt-PT"/>
        </w:rPr>
      </w:pPr>
      <w:r>
        <w:rPr>
          <w:bCs/>
          <w:lang w:val="pt-PT"/>
        </w:rPr>
        <w:br w:type="page"/>
      </w:r>
      <w:r w:rsidRPr="00FA3856">
        <w:rPr>
          <w:bCs/>
          <w:lang w:val="pt-PT"/>
        </w:rPr>
        <w:lastRenderedPageBreak/>
        <w:t xml:space="preserve">Se M300.TIPO_LANCAMENTO = “E” (Exclusão) ou “P” (Prejuízo): </w:t>
      </w:r>
    </w:p>
    <w:p w:rsidR="001F1F7B" w:rsidRPr="00FA3856" w:rsidRDefault="001F1F7B" w:rsidP="001F1F7B">
      <w:pPr>
        <w:pStyle w:val="PSDS-CorpodeTexto0"/>
        <w:ind w:left="1416"/>
        <w:rPr>
          <w:rFonts w:ascii="Times New Roman" w:hAnsi="Times New Roman"/>
          <w:bCs/>
          <w:lang w:val="pt-PT"/>
        </w:rPr>
      </w:pPr>
      <w:r w:rsidRPr="00FA3856">
        <w:rPr>
          <w:rFonts w:ascii="Times New Roman" w:hAnsi="Times New Roman"/>
          <w:bCs/>
          <w:lang w:val="pt-PT"/>
        </w:rPr>
        <w:t xml:space="preserve">- Se M305.IND_VL_CTA = “D”, então ”-” (valor negativo). </w:t>
      </w:r>
      <w:r w:rsidRPr="00FA3856">
        <w:rPr>
          <w:rFonts w:ascii="Times New Roman" w:hAnsi="Times New Roman"/>
          <w:bCs/>
          <w:lang w:val="pt-PT"/>
        </w:rPr>
        <w:br/>
        <w:t xml:space="preserve">- Se M305.IND_VL_CTA = “C”, então ”+” (valor positivo). </w:t>
      </w:r>
    </w:p>
    <w:p w:rsidR="001F1F7B" w:rsidRPr="00FA3856" w:rsidRDefault="001F1F7B" w:rsidP="001F1F7B">
      <w:pPr>
        <w:pStyle w:val="PSDS-CorpodeTexto0"/>
        <w:ind w:left="1416"/>
        <w:rPr>
          <w:rFonts w:ascii="Times New Roman" w:hAnsi="Times New Roman"/>
          <w:bCs/>
          <w:lang w:val="pt-PT"/>
        </w:rPr>
      </w:pPr>
      <w:r w:rsidRPr="00FA3856">
        <w:rPr>
          <w:rFonts w:ascii="Times New Roman" w:hAnsi="Times New Roman"/>
          <w:bCs/>
          <w:lang w:val="pt-PT"/>
        </w:rPr>
        <w:t>- Se J050.COD_NAT = “4” (Conta de resultado) e M310.IND_VL_CTA = “D”, então ”-” (valor negativo).</w:t>
      </w:r>
      <w:r w:rsidRPr="00FA3856">
        <w:rPr>
          <w:rFonts w:ascii="Times New Roman" w:hAnsi="Times New Roman"/>
          <w:bCs/>
          <w:lang w:val="pt-PT"/>
        </w:rPr>
        <w:br/>
        <w:t>- Se J050.COD_NAT = “4” (Conta de resultado) e M310.IND_VL_CTA = “C”, então ”+” (valor positivo).</w:t>
      </w:r>
      <w:r w:rsidRPr="00FA3856">
        <w:rPr>
          <w:rFonts w:ascii="Times New Roman" w:hAnsi="Times New Roman"/>
          <w:bCs/>
          <w:lang w:val="pt-PT"/>
        </w:rPr>
        <w:br/>
        <w:t>- Se J050.COD_NAT = “1, 2 ou 3” (Conta de ativo, passivo ou patrimônio líquido) e M310.IND_VL_CTA = “D”, então ”+” (valor positivo).</w:t>
      </w:r>
      <w:r w:rsidRPr="00FA3856">
        <w:rPr>
          <w:rFonts w:ascii="Times New Roman" w:hAnsi="Times New Roman"/>
          <w:bCs/>
          <w:lang w:val="pt-PT"/>
        </w:rPr>
        <w:br/>
        <w:t>- Se J050.COD_NAT = “1, 2 ou 3” (Conta de ativo, passivo ou patrimônio líquido) e M310.IND_VL_CTA = “C”, então ”-” (valor negativo).</w:t>
      </w:r>
    </w:p>
    <w:p w:rsidR="001F1F7B" w:rsidRPr="00FA3856" w:rsidRDefault="001F1F7B" w:rsidP="001F1F7B">
      <w:pPr>
        <w:pStyle w:val="PSDS-CorpodeTexto0"/>
        <w:ind w:left="1416"/>
        <w:rPr>
          <w:rFonts w:ascii="Times New Roman" w:hAnsi="Times New Roman"/>
        </w:rPr>
      </w:pPr>
    </w:p>
    <w:p w:rsidR="001F1F7B" w:rsidRPr="00FA3856" w:rsidRDefault="007D0E74" w:rsidP="001F1F7B">
      <w:pPr>
        <w:pStyle w:val="Corpodetexto"/>
        <w:ind w:left="708" w:firstLine="12"/>
        <w:rPr>
          <w:rFonts w:ascii="Times New Roman" w:hAnsi="Times New Roman"/>
          <w:szCs w:val="20"/>
        </w:rPr>
      </w:pPr>
      <w:hyperlink r:id="rId288" w:anchor="REGRA_OCORRENCIA_UNITARIA_ARQ" w:history="1">
        <w:r w:rsidR="001F1F7B" w:rsidRPr="00FA3856">
          <w:rPr>
            <w:rFonts w:ascii="Times New Roman" w:hAnsi="Times New Roman"/>
            <w:b/>
            <w:szCs w:val="20"/>
          </w:rPr>
          <w:t>REGRA_</w:t>
        </w:r>
      </w:hyperlink>
      <w:r w:rsidR="001F1F7B" w:rsidRPr="00FA3856">
        <w:rPr>
          <w:rFonts w:ascii="Times New Roman" w:hAnsi="Times New Roman"/>
          <w:b/>
          <w:szCs w:val="20"/>
        </w:rPr>
        <w:t>DUPLICIDADE_DESPREZADA</w:t>
      </w:r>
      <w:r w:rsidR="001F1F7B" w:rsidRPr="00FA3856">
        <w:rPr>
          <w:rFonts w:ascii="Times New Roman" w:hAnsi="Times New Roman"/>
          <w:color w:val="auto"/>
          <w:szCs w:val="20"/>
        </w:rPr>
        <w:t xml:space="preserve">: </w:t>
      </w:r>
      <w:r w:rsidR="001F1F7B" w:rsidRPr="00FA3856">
        <w:rPr>
          <w:rFonts w:ascii="Times New Roman" w:hAnsi="Times New Roman"/>
          <w:szCs w:val="20"/>
        </w:rPr>
        <w:t>Verifica se o registro já foi importado anteriormente, de acordo com a chave e os registros pais. Se a regra não for cumprida, a ECF gera um aviso.</w:t>
      </w:r>
    </w:p>
    <w:p w:rsidR="001F1F7B" w:rsidRPr="00FA3856" w:rsidRDefault="001F1F7B" w:rsidP="001F1F7B">
      <w:pPr>
        <w:pStyle w:val="Corpodetexto"/>
        <w:ind w:left="708" w:firstLine="12"/>
        <w:rPr>
          <w:rFonts w:ascii="Times New Roman" w:hAnsi="Times New Roman"/>
          <w:szCs w:val="20"/>
        </w:rPr>
      </w:pPr>
    </w:p>
    <w:p w:rsidR="001F1F7B" w:rsidRPr="00FA3856" w:rsidRDefault="007D0E74" w:rsidP="001F1F7B">
      <w:pPr>
        <w:pStyle w:val="Corpodetexto"/>
        <w:ind w:left="708" w:firstLine="12"/>
        <w:rPr>
          <w:rFonts w:ascii="Times New Roman" w:hAnsi="Times New Roman"/>
          <w:szCs w:val="20"/>
        </w:rPr>
      </w:pPr>
      <w:hyperlink r:id="rId289" w:anchor="REGRA_OCORRENCIA_UNITARIA_ARQ" w:history="1">
        <w:r w:rsidR="001F1F7B" w:rsidRPr="00FA3856">
          <w:rPr>
            <w:rFonts w:ascii="Times New Roman" w:hAnsi="Times New Roman"/>
            <w:b/>
            <w:szCs w:val="20"/>
          </w:rPr>
          <w:t>REGRA_</w:t>
        </w:r>
      </w:hyperlink>
      <w:r w:rsidR="001F1F7B" w:rsidRPr="00FA3856">
        <w:rPr>
          <w:rFonts w:ascii="Times New Roman" w:hAnsi="Times New Roman"/>
          <w:b/>
          <w:szCs w:val="20"/>
        </w:rPr>
        <w:t>LINHA_DESPREZADA</w:t>
      </w:r>
      <w:r w:rsidR="001F1F7B" w:rsidRPr="00FA3856">
        <w:rPr>
          <w:rFonts w:ascii="Times New Roman" w:hAnsi="Times New Roman"/>
          <w:color w:val="auto"/>
          <w:szCs w:val="20"/>
        </w:rPr>
        <w:t xml:space="preserve">: </w:t>
      </w:r>
      <w:r w:rsidR="001F1F7B" w:rsidRPr="00FA3856">
        <w:rPr>
          <w:rFonts w:ascii="Times New Roman" w:hAnsi="Times New Roman"/>
          <w:szCs w:val="20"/>
        </w:rPr>
        <w:t>Verifica se o registro existe na importação, mas não será importado por não existir na tabela dinâmica devido às configurações do bloco 0 ou da tabela dinâmica. Gera um aviso.</w:t>
      </w:r>
    </w:p>
    <w:p w:rsidR="001F1F7B" w:rsidRPr="00FA3856" w:rsidRDefault="001F1F7B" w:rsidP="001F1F7B">
      <w:pPr>
        <w:pStyle w:val="Corpodetexto"/>
        <w:ind w:left="708" w:firstLine="12"/>
        <w:rPr>
          <w:rFonts w:ascii="Times New Roman" w:hAnsi="Times New Roman"/>
          <w:b/>
          <w:szCs w:val="20"/>
        </w:rPr>
      </w:pPr>
    </w:p>
    <w:p w:rsidR="001F1F7B" w:rsidRPr="00FA3856" w:rsidRDefault="007D0E74" w:rsidP="001F1F7B">
      <w:pPr>
        <w:pStyle w:val="Corpodetexto"/>
        <w:ind w:left="708" w:firstLine="12"/>
        <w:rPr>
          <w:rFonts w:ascii="Times New Roman" w:hAnsi="Times New Roman"/>
          <w:b/>
          <w:szCs w:val="20"/>
        </w:rPr>
      </w:pPr>
      <w:hyperlink r:id="rId290" w:anchor="REGRA_OCORRENCIA_UNITARIA_ARQ" w:history="1">
        <w:r w:rsidR="001F1F7B" w:rsidRPr="00FA3856">
          <w:rPr>
            <w:rFonts w:ascii="Times New Roman" w:hAnsi="Times New Roman"/>
            <w:b/>
            <w:szCs w:val="20"/>
          </w:rPr>
          <w:t>REGRA_</w:t>
        </w:r>
      </w:hyperlink>
      <w:r w:rsidR="001F1F7B" w:rsidRPr="00FA3856">
        <w:rPr>
          <w:rFonts w:ascii="Times New Roman" w:hAnsi="Times New Roman"/>
          <w:b/>
          <w:szCs w:val="20"/>
        </w:rPr>
        <w:t>LINHA_ATUALIZADA</w:t>
      </w:r>
      <w:r w:rsidR="001F1F7B" w:rsidRPr="00FA3856">
        <w:rPr>
          <w:rFonts w:ascii="Times New Roman" w:hAnsi="Times New Roman"/>
          <w:color w:val="auto"/>
          <w:szCs w:val="20"/>
        </w:rPr>
        <w:t xml:space="preserve">: </w:t>
      </w:r>
      <w:r w:rsidR="001F1F7B" w:rsidRPr="00FA3856">
        <w:rPr>
          <w:rFonts w:ascii="Times New Roman" w:hAnsi="Times New Roman"/>
          <w:szCs w:val="20"/>
        </w:rPr>
        <w:t>Verifica se o registro está desatualizado em relação à tabela da RFB. Gera um aviso.</w:t>
      </w:r>
    </w:p>
    <w:p w:rsidR="00AC1E83" w:rsidRDefault="00AC1E83" w:rsidP="001F1F7B">
      <w:pPr>
        <w:rPr>
          <w:b/>
          <w:szCs w:val="20"/>
          <w:lang w:val="pt-PT"/>
        </w:rPr>
      </w:pPr>
    </w:p>
    <w:p w:rsidR="001F1F7B" w:rsidRPr="00FA3856" w:rsidRDefault="001F1F7B" w:rsidP="001F1F7B">
      <w:pPr>
        <w:rPr>
          <w:b/>
          <w:szCs w:val="20"/>
          <w:lang w:val="pt-PT"/>
        </w:rPr>
      </w:pPr>
      <w:r w:rsidRPr="00FA3856">
        <w:rPr>
          <w:b/>
          <w:szCs w:val="20"/>
          <w:lang w:val="pt-PT"/>
        </w:rPr>
        <w:t>II – Regras de Validação de Campos:</w:t>
      </w:r>
    </w:p>
    <w:p w:rsidR="001F1F7B" w:rsidRPr="00FA3856" w:rsidRDefault="001F1F7B" w:rsidP="001F1F7B">
      <w:pPr>
        <w:rPr>
          <w:b/>
          <w:szCs w:val="20"/>
          <w:lang w:val="pt-PT"/>
        </w:rPr>
      </w:pPr>
    </w:p>
    <w:tbl>
      <w:tblPr>
        <w:tblW w:w="16370"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85"/>
        <w:gridCol w:w="3000"/>
        <w:gridCol w:w="12168"/>
        <w:gridCol w:w="717"/>
      </w:tblGrid>
      <w:tr w:rsidR="001F1F7B" w:rsidRPr="00FA3856" w:rsidTr="001F1F7B">
        <w:trPr>
          <w:tblHeader/>
          <w:jc w:val="center"/>
        </w:trPr>
        <w:tc>
          <w:tcPr>
            <w:tcW w:w="485" w:type="dxa"/>
            <w:tcBorders>
              <w:top w:val="single" w:sz="6" w:space="0" w:color="auto"/>
              <w:left w:val="single" w:sz="6" w:space="0" w:color="auto"/>
              <w:bottom w:val="single" w:sz="6" w:space="0" w:color="auto"/>
              <w:right w:val="single" w:sz="6" w:space="0" w:color="auto"/>
            </w:tcBorders>
            <w:shd w:val="pct10" w:color="auto" w:fill="FFFFFF"/>
          </w:tcPr>
          <w:p w:rsidR="001F1F7B" w:rsidRPr="00FA3856" w:rsidRDefault="001F1F7B" w:rsidP="001F1F7B">
            <w:pPr>
              <w:pStyle w:val="PSDS-CorpodeTexto0"/>
              <w:jc w:val="center"/>
              <w:rPr>
                <w:rFonts w:ascii="Times New Roman" w:hAnsi="Times New Roman"/>
                <w:b/>
                <w:bCs/>
              </w:rPr>
            </w:pPr>
            <w:r w:rsidRPr="00FA3856">
              <w:rPr>
                <w:rFonts w:ascii="Times New Roman" w:hAnsi="Times New Roman"/>
                <w:b/>
                <w:bCs/>
              </w:rPr>
              <w:t>Nº</w:t>
            </w:r>
          </w:p>
        </w:tc>
        <w:tc>
          <w:tcPr>
            <w:tcW w:w="3000" w:type="dxa"/>
            <w:tcBorders>
              <w:top w:val="single" w:sz="6" w:space="0" w:color="auto"/>
              <w:left w:val="single" w:sz="6" w:space="0" w:color="auto"/>
              <w:bottom w:val="single" w:sz="6" w:space="0" w:color="auto"/>
              <w:right w:val="single" w:sz="6" w:space="0" w:color="auto"/>
            </w:tcBorders>
            <w:shd w:val="pct10" w:color="auto" w:fill="FFFFFF"/>
          </w:tcPr>
          <w:p w:rsidR="001F1F7B" w:rsidRPr="00FA3856" w:rsidRDefault="001F1F7B" w:rsidP="001F1F7B">
            <w:pPr>
              <w:pStyle w:val="PSDS-CorpodeTexto0"/>
              <w:jc w:val="center"/>
              <w:rPr>
                <w:rFonts w:ascii="Times New Roman" w:hAnsi="Times New Roman"/>
                <w:b/>
                <w:bCs/>
              </w:rPr>
            </w:pPr>
            <w:r w:rsidRPr="00FA3856">
              <w:rPr>
                <w:rFonts w:ascii="Times New Roman" w:hAnsi="Times New Roman"/>
                <w:b/>
                <w:bCs/>
              </w:rPr>
              <w:t>Campo</w:t>
            </w:r>
          </w:p>
        </w:tc>
        <w:tc>
          <w:tcPr>
            <w:tcW w:w="12168" w:type="dxa"/>
            <w:tcBorders>
              <w:top w:val="single" w:sz="6" w:space="0" w:color="auto"/>
              <w:left w:val="single" w:sz="6" w:space="0" w:color="auto"/>
              <w:bottom w:val="single" w:sz="6" w:space="0" w:color="auto"/>
              <w:right w:val="single" w:sz="6" w:space="0" w:color="auto"/>
            </w:tcBorders>
            <w:shd w:val="pct10" w:color="auto" w:fill="FFFFFF"/>
          </w:tcPr>
          <w:p w:rsidR="001F1F7B" w:rsidRPr="00FA3856" w:rsidRDefault="001F1F7B" w:rsidP="001F1F7B">
            <w:pPr>
              <w:pStyle w:val="PSDS-CorpodeTexto0"/>
              <w:jc w:val="center"/>
              <w:rPr>
                <w:rFonts w:ascii="Times New Roman" w:hAnsi="Times New Roman"/>
                <w:b/>
                <w:bCs/>
              </w:rPr>
            </w:pPr>
            <w:r w:rsidRPr="00FA3856">
              <w:rPr>
                <w:rFonts w:ascii="Times New Roman" w:hAnsi="Times New Roman"/>
                <w:b/>
                <w:bCs/>
              </w:rPr>
              <w:t>Regras de Validação do Campo</w:t>
            </w:r>
          </w:p>
        </w:tc>
        <w:tc>
          <w:tcPr>
            <w:tcW w:w="717" w:type="dxa"/>
            <w:tcBorders>
              <w:top w:val="single" w:sz="6" w:space="0" w:color="auto"/>
              <w:left w:val="single" w:sz="6" w:space="0" w:color="auto"/>
              <w:bottom w:val="single" w:sz="6" w:space="0" w:color="auto"/>
              <w:right w:val="single" w:sz="6" w:space="0" w:color="auto"/>
            </w:tcBorders>
            <w:shd w:val="pct10" w:color="auto" w:fill="FFFFFF"/>
          </w:tcPr>
          <w:p w:rsidR="001F1F7B" w:rsidRPr="00FA3856" w:rsidRDefault="001F1F7B" w:rsidP="001F1F7B">
            <w:pPr>
              <w:pStyle w:val="PSDS-CorpodeTexto0"/>
              <w:jc w:val="center"/>
              <w:rPr>
                <w:rFonts w:ascii="Times New Roman" w:hAnsi="Times New Roman"/>
                <w:b/>
                <w:bCs/>
              </w:rPr>
            </w:pPr>
            <w:r w:rsidRPr="00FA3856">
              <w:rPr>
                <w:rFonts w:ascii="Times New Roman" w:hAnsi="Times New Roman"/>
                <w:b/>
                <w:bCs/>
              </w:rPr>
              <w:t>Tipo</w:t>
            </w:r>
          </w:p>
        </w:tc>
      </w:tr>
      <w:tr w:rsidR="001F1F7B" w:rsidRPr="00FA3856" w:rsidTr="001F1F7B">
        <w:trPr>
          <w:jc w:val="center"/>
        </w:trPr>
        <w:tc>
          <w:tcPr>
            <w:tcW w:w="485" w:type="dxa"/>
            <w:tcBorders>
              <w:top w:val="single" w:sz="6" w:space="0" w:color="auto"/>
              <w:left w:val="single" w:sz="6" w:space="0" w:color="auto"/>
              <w:bottom w:val="single" w:sz="6" w:space="0" w:color="auto"/>
              <w:right w:val="single" w:sz="6" w:space="0" w:color="auto"/>
            </w:tcBorders>
          </w:tcPr>
          <w:p w:rsidR="001F1F7B" w:rsidRPr="00FA3856" w:rsidRDefault="001F1F7B" w:rsidP="001F1F7B">
            <w:pPr>
              <w:pStyle w:val="PSDS-CorpodeTexto0"/>
              <w:suppressAutoHyphens w:val="0"/>
              <w:rPr>
                <w:rFonts w:ascii="Times New Roman" w:hAnsi="Times New Roman"/>
                <w:b/>
                <w:bCs/>
                <w:lang w:val="pt-PT"/>
              </w:rPr>
            </w:pPr>
            <w:r w:rsidRPr="00FA3856">
              <w:rPr>
                <w:rFonts w:ascii="Times New Roman" w:hAnsi="Times New Roman"/>
                <w:b/>
                <w:bCs/>
                <w:lang w:val="pt-PT"/>
              </w:rPr>
              <w:t>4</w:t>
            </w:r>
          </w:p>
        </w:tc>
        <w:tc>
          <w:tcPr>
            <w:tcW w:w="3000" w:type="dxa"/>
            <w:tcBorders>
              <w:top w:val="single" w:sz="6" w:space="0" w:color="auto"/>
              <w:left w:val="single" w:sz="6" w:space="0" w:color="auto"/>
              <w:bottom w:val="single" w:sz="6" w:space="0" w:color="auto"/>
              <w:right w:val="single" w:sz="6" w:space="0" w:color="auto"/>
            </w:tcBorders>
          </w:tcPr>
          <w:p w:rsidR="001F1F7B" w:rsidRPr="00FA3856" w:rsidRDefault="001F1F7B" w:rsidP="001F1F7B">
            <w:pPr>
              <w:pStyle w:val="PSDS-CorpodeTexto0"/>
              <w:rPr>
                <w:rFonts w:ascii="Times New Roman" w:hAnsi="Times New Roman"/>
              </w:rPr>
            </w:pPr>
            <w:r w:rsidRPr="00FA3856">
              <w:rPr>
                <w:rFonts w:ascii="Times New Roman" w:hAnsi="Times New Roman"/>
              </w:rPr>
              <w:t>TIPO_LANCAMENTO</w:t>
            </w:r>
          </w:p>
        </w:tc>
        <w:tc>
          <w:tcPr>
            <w:tcW w:w="12168" w:type="dxa"/>
            <w:tcBorders>
              <w:top w:val="single" w:sz="6" w:space="0" w:color="auto"/>
              <w:left w:val="single" w:sz="6" w:space="0" w:color="auto"/>
              <w:bottom w:val="single" w:sz="6" w:space="0" w:color="auto"/>
              <w:right w:val="single" w:sz="6" w:space="0" w:color="auto"/>
            </w:tcBorders>
          </w:tcPr>
          <w:p w:rsidR="001F1F7B" w:rsidRPr="00FA3856" w:rsidRDefault="001F1F7B" w:rsidP="001F1F7B">
            <w:pPr>
              <w:pStyle w:val="Corpodetexto"/>
              <w:rPr>
                <w:rStyle w:val="Hyperlink"/>
                <w:rFonts w:ascii="Times New Roman" w:hAnsi="Times New Roman"/>
                <w:bCs/>
                <w:color w:val="auto"/>
                <w:szCs w:val="20"/>
                <w:lang w:val="pt-PT"/>
              </w:rPr>
            </w:pPr>
            <w:r w:rsidRPr="00FA3856">
              <w:rPr>
                <w:rStyle w:val="Hyperlink"/>
                <w:rFonts w:ascii="Times New Roman" w:hAnsi="Times New Roman"/>
                <w:b/>
                <w:bCs/>
                <w:color w:val="auto"/>
                <w:szCs w:val="20"/>
                <w:lang w:val="pt-PT"/>
              </w:rPr>
              <w:t xml:space="preserve">REGRA_OBRIGATORIO_TIPO_E: </w:t>
            </w:r>
            <w:r w:rsidRPr="00FA3856">
              <w:rPr>
                <w:rStyle w:val="Hyperlink"/>
                <w:rFonts w:ascii="Times New Roman" w:hAnsi="Times New Roman"/>
                <w:bCs/>
                <w:color w:val="auto"/>
                <w:szCs w:val="20"/>
                <w:lang w:val="pt-PT"/>
              </w:rPr>
              <w:t>Verifica se M300.TIPO_LANCAMENTO não está preenchido quando o tipo de linha é “E”.</w:t>
            </w:r>
          </w:p>
          <w:p w:rsidR="001F1F7B" w:rsidRPr="00FA3856" w:rsidRDefault="001F1F7B" w:rsidP="001F1F7B">
            <w:pPr>
              <w:pStyle w:val="Corpodetexto"/>
              <w:rPr>
                <w:rStyle w:val="Hyperlink"/>
                <w:rFonts w:ascii="Times New Roman" w:hAnsi="Times New Roman"/>
                <w:b/>
                <w:bCs/>
                <w:color w:val="auto"/>
                <w:szCs w:val="20"/>
                <w:lang w:val="pt-PT"/>
              </w:rPr>
            </w:pPr>
          </w:p>
          <w:p w:rsidR="001F1F7B" w:rsidRPr="00FA3856" w:rsidRDefault="001F1F7B" w:rsidP="001F1F7B">
            <w:pPr>
              <w:pStyle w:val="Corpodetexto"/>
              <w:rPr>
                <w:rStyle w:val="Hyperlink"/>
                <w:rFonts w:ascii="Times New Roman" w:hAnsi="Times New Roman"/>
                <w:bCs/>
                <w:color w:val="auto"/>
                <w:szCs w:val="20"/>
                <w:lang w:val="pt-PT"/>
              </w:rPr>
            </w:pPr>
            <w:r w:rsidRPr="00FA3856">
              <w:rPr>
                <w:rStyle w:val="Hyperlink"/>
                <w:rFonts w:ascii="Times New Roman" w:hAnsi="Times New Roman"/>
                <w:b/>
                <w:bCs/>
                <w:color w:val="auto"/>
                <w:szCs w:val="20"/>
                <w:lang w:val="pt-PT"/>
              </w:rPr>
              <w:t xml:space="preserve">REGRA_NAO_PREENCHER_TIPO_DIFERENTE_E: </w:t>
            </w:r>
            <w:r w:rsidRPr="00FA3856">
              <w:rPr>
                <w:rStyle w:val="Hyperlink"/>
                <w:rFonts w:ascii="Times New Roman" w:hAnsi="Times New Roman"/>
                <w:bCs/>
                <w:color w:val="auto"/>
                <w:szCs w:val="20"/>
                <w:lang w:val="pt-PT"/>
              </w:rPr>
              <w:t>Verifica se M300.TIP_LANCAMENTO está preenchido quando o tipo da linha é “E”.</w:t>
            </w:r>
          </w:p>
          <w:p w:rsidR="001F1F7B" w:rsidRPr="00FA3856" w:rsidRDefault="001F1F7B" w:rsidP="001F1F7B">
            <w:pPr>
              <w:pStyle w:val="Corpodetexto"/>
              <w:rPr>
                <w:rFonts w:ascii="Times New Roman" w:hAnsi="Times New Roman"/>
                <w:b/>
                <w:bCs/>
                <w:szCs w:val="20"/>
              </w:rPr>
            </w:pPr>
          </w:p>
          <w:p w:rsidR="001F1F7B" w:rsidRPr="00FA3856" w:rsidRDefault="001F1F7B" w:rsidP="001F1F7B">
            <w:pPr>
              <w:pStyle w:val="Corpodetexto"/>
              <w:rPr>
                <w:rFonts w:ascii="Times New Roman" w:hAnsi="Times New Roman"/>
                <w:b/>
                <w:bCs/>
                <w:szCs w:val="20"/>
              </w:rPr>
            </w:pPr>
            <w:r w:rsidRPr="00FA3856">
              <w:rPr>
                <w:rFonts w:ascii="Times New Roman" w:hAnsi="Times New Roman"/>
                <w:b/>
                <w:bCs/>
                <w:szCs w:val="20"/>
              </w:rPr>
              <w:t xml:space="preserve">REGRA_RELACAO_INEXISTENTE: </w:t>
            </w:r>
          </w:p>
          <w:p w:rsidR="001F1F7B" w:rsidRPr="00FA3856" w:rsidRDefault="001F1F7B" w:rsidP="001F1F7B">
            <w:pPr>
              <w:pStyle w:val="Corpodetexto"/>
              <w:rPr>
                <w:rFonts w:ascii="Times New Roman" w:hAnsi="Times New Roman"/>
                <w:bCs/>
                <w:szCs w:val="20"/>
              </w:rPr>
            </w:pPr>
            <w:r w:rsidRPr="00FA3856">
              <w:rPr>
                <w:rFonts w:ascii="Times New Roman" w:hAnsi="Times New Roman"/>
                <w:b/>
                <w:bCs/>
                <w:szCs w:val="20"/>
              </w:rPr>
              <w:t xml:space="preserve">- </w:t>
            </w:r>
            <w:r w:rsidRPr="00FA3856">
              <w:rPr>
                <w:rFonts w:ascii="Times New Roman" w:hAnsi="Times New Roman"/>
                <w:bCs/>
                <w:szCs w:val="20"/>
              </w:rPr>
              <w:t>Verifica se existe, pelo menos, um registro M305/M355 filho e não existe um registro M310/M360 filho, quando M300.IND_RELACAO é igual a “1” (Com Conta da Parte B).</w:t>
            </w:r>
          </w:p>
          <w:p w:rsidR="001F1F7B" w:rsidRPr="00FA3856" w:rsidRDefault="001F1F7B" w:rsidP="001F1F7B">
            <w:pPr>
              <w:pStyle w:val="Corpodetexto"/>
              <w:rPr>
                <w:rFonts w:ascii="Times New Roman" w:hAnsi="Times New Roman"/>
                <w:bCs/>
                <w:szCs w:val="20"/>
              </w:rPr>
            </w:pPr>
            <w:r w:rsidRPr="00FA3856">
              <w:rPr>
                <w:rFonts w:ascii="Times New Roman" w:hAnsi="Times New Roman"/>
                <w:b/>
                <w:bCs/>
                <w:szCs w:val="20"/>
              </w:rPr>
              <w:t xml:space="preserve">- </w:t>
            </w:r>
            <w:r w:rsidRPr="00FA3856">
              <w:rPr>
                <w:rFonts w:ascii="Times New Roman" w:hAnsi="Times New Roman"/>
                <w:bCs/>
                <w:szCs w:val="20"/>
              </w:rPr>
              <w:t xml:space="preserve">Verifica se não existe registro M305/M355 filho e existe, pelo menos, um registro M310/M360 filho, quando M300.IND_RELACAO é igual a “2” (Com Conta </w:t>
            </w:r>
            <w:r w:rsidR="003571AB">
              <w:rPr>
                <w:rFonts w:ascii="Times New Roman" w:hAnsi="Times New Roman"/>
                <w:bCs/>
                <w:szCs w:val="20"/>
              </w:rPr>
              <w:t>Contábil</w:t>
            </w:r>
            <w:r w:rsidRPr="00FA3856">
              <w:rPr>
                <w:rFonts w:ascii="Times New Roman" w:hAnsi="Times New Roman"/>
                <w:bCs/>
                <w:szCs w:val="20"/>
              </w:rPr>
              <w:t>).</w:t>
            </w:r>
          </w:p>
          <w:p w:rsidR="001F1F7B" w:rsidRPr="00FA3856" w:rsidRDefault="001F1F7B" w:rsidP="001F1F7B">
            <w:pPr>
              <w:pStyle w:val="Corpodetexto"/>
              <w:rPr>
                <w:rFonts w:ascii="Times New Roman" w:hAnsi="Times New Roman"/>
                <w:bCs/>
                <w:szCs w:val="20"/>
              </w:rPr>
            </w:pPr>
            <w:r w:rsidRPr="00FA3856">
              <w:rPr>
                <w:rFonts w:ascii="Times New Roman" w:hAnsi="Times New Roman"/>
                <w:b/>
                <w:bCs/>
                <w:szCs w:val="20"/>
              </w:rPr>
              <w:t xml:space="preserve">- </w:t>
            </w:r>
            <w:r w:rsidRPr="00FA3856">
              <w:rPr>
                <w:rFonts w:ascii="Times New Roman" w:hAnsi="Times New Roman"/>
                <w:bCs/>
                <w:szCs w:val="20"/>
              </w:rPr>
              <w:t>Verifica se existe, pelo menos, um registro M305/M355 filho e, pelo menos, um registro M310/M360 filho, quando M300.IND_RELACAO é igual a “3” (Com Conta da Parte B e Conta Contábil).</w:t>
            </w:r>
          </w:p>
          <w:p w:rsidR="001F1F7B" w:rsidRPr="00FA3856" w:rsidRDefault="001F1F7B" w:rsidP="001F1F7B">
            <w:pPr>
              <w:pStyle w:val="Corpodetexto"/>
              <w:rPr>
                <w:rFonts w:ascii="Times New Roman" w:hAnsi="Times New Roman"/>
                <w:bCs/>
                <w:szCs w:val="20"/>
              </w:rPr>
            </w:pPr>
            <w:r w:rsidRPr="00FA3856">
              <w:rPr>
                <w:rFonts w:ascii="Times New Roman" w:hAnsi="Times New Roman"/>
                <w:b/>
                <w:bCs/>
                <w:szCs w:val="20"/>
              </w:rPr>
              <w:t xml:space="preserve">- </w:t>
            </w:r>
            <w:r w:rsidRPr="00FA3856">
              <w:rPr>
                <w:rFonts w:ascii="Times New Roman" w:hAnsi="Times New Roman"/>
                <w:bCs/>
                <w:szCs w:val="20"/>
              </w:rPr>
              <w:t>Verifica se não existe registro M305/M355 filho e se não existe um registro M310/M360 filho, quando M300.IND_RELACAO é igual a “4” (Com Conta da Parte B).</w:t>
            </w:r>
          </w:p>
        </w:tc>
        <w:tc>
          <w:tcPr>
            <w:tcW w:w="717" w:type="dxa"/>
            <w:tcBorders>
              <w:top w:val="single" w:sz="6" w:space="0" w:color="auto"/>
              <w:left w:val="single" w:sz="6" w:space="0" w:color="auto"/>
              <w:bottom w:val="single" w:sz="6" w:space="0" w:color="auto"/>
              <w:right w:val="single" w:sz="6" w:space="0" w:color="auto"/>
            </w:tcBorders>
          </w:tcPr>
          <w:p w:rsidR="001F1F7B" w:rsidRPr="00FA3856" w:rsidRDefault="001F1F7B" w:rsidP="001F1F7B">
            <w:pPr>
              <w:pStyle w:val="PSDS-CorpodeTexto0"/>
              <w:rPr>
                <w:rFonts w:ascii="Times New Roman" w:hAnsi="Times New Roman"/>
              </w:rPr>
            </w:pPr>
            <w:r w:rsidRPr="00FA3856">
              <w:rPr>
                <w:rFonts w:ascii="Times New Roman" w:hAnsi="Times New Roman"/>
              </w:rPr>
              <w:t>Erro</w:t>
            </w:r>
          </w:p>
          <w:p w:rsidR="001F1F7B" w:rsidRPr="00FA3856" w:rsidRDefault="001F1F7B" w:rsidP="001F1F7B">
            <w:pPr>
              <w:pStyle w:val="PSDS-CorpodeTexto0"/>
              <w:rPr>
                <w:rFonts w:ascii="Times New Roman" w:hAnsi="Times New Roman"/>
              </w:rPr>
            </w:pPr>
          </w:p>
          <w:p w:rsidR="001F1F7B" w:rsidRPr="00FA3856" w:rsidRDefault="001F1F7B" w:rsidP="001F1F7B">
            <w:pPr>
              <w:pStyle w:val="PSDS-CorpodeTexto0"/>
              <w:rPr>
                <w:rFonts w:ascii="Times New Roman" w:hAnsi="Times New Roman"/>
              </w:rPr>
            </w:pPr>
            <w:r w:rsidRPr="00FA3856">
              <w:rPr>
                <w:rFonts w:ascii="Times New Roman" w:hAnsi="Times New Roman"/>
              </w:rPr>
              <w:t>Erro</w:t>
            </w:r>
          </w:p>
          <w:p w:rsidR="001F1F7B" w:rsidRPr="00FA3856" w:rsidRDefault="001F1F7B" w:rsidP="001F1F7B">
            <w:pPr>
              <w:pStyle w:val="PSDS-CorpodeTexto0"/>
              <w:rPr>
                <w:rFonts w:ascii="Times New Roman" w:hAnsi="Times New Roman"/>
              </w:rPr>
            </w:pPr>
          </w:p>
          <w:p w:rsidR="001F1F7B" w:rsidRPr="00FA3856" w:rsidRDefault="001F1F7B" w:rsidP="001F1F7B">
            <w:pPr>
              <w:pStyle w:val="PSDS-CorpodeTexto0"/>
              <w:rPr>
                <w:rFonts w:ascii="Times New Roman" w:hAnsi="Times New Roman"/>
              </w:rPr>
            </w:pPr>
            <w:r w:rsidRPr="00FA3856">
              <w:rPr>
                <w:rFonts w:ascii="Times New Roman" w:hAnsi="Times New Roman"/>
              </w:rPr>
              <w:t>Erro</w:t>
            </w:r>
          </w:p>
          <w:p w:rsidR="001F1F7B" w:rsidRPr="00FA3856" w:rsidRDefault="001F1F7B" w:rsidP="001F1F7B">
            <w:pPr>
              <w:pStyle w:val="PSDS-CorpodeTexto0"/>
              <w:rPr>
                <w:rFonts w:ascii="Times New Roman" w:hAnsi="Times New Roman"/>
              </w:rPr>
            </w:pPr>
          </w:p>
        </w:tc>
      </w:tr>
      <w:tr w:rsidR="001F1F7B" w:rsidRPr="00FA3856" w:rsidTr="001F1F7B">
        <w:trPr>
          <w:jc w:val="center"/>
        </w:trPr>
        <w:tc>
          <w:tcPr>
            <w:tcW w:w="485" w:type="dxa"/>
            <w:tcBorders>
              <w:top w:val="single" w:sz="6" w:space="0" w:color="auto"/>
              <w:left w:val="single" w:sz="6" w:space="0" w:color="auto"/>
              <w:bottom w:val="single" w:sz="6" w:space="0" w:color="auto"/>
              <w:right w:val="single" w:sz="6" w:space="0" w:color="auto"/>
            </w:tcBorders>
          </w:tcPr>
          <w:p w:rsidR="001F1F7B" w:rsidRPr="00FA3856" w:rsidRDefault="001F1F7B" w:rsidP="001F1F7B">
            <w:pPr>
              <w:pStyle w:val="PSDS-CorpodeTexto0"/>
              <w:suppressAutoHyphens w:val="0"/>
              <w:rPr>
                <w:rFonts w:ascii="Times New Roman" w:hAnsi="Times New Roman"/>
                <w:b/>
                <w:bCs/>
                <w:lang w:val="pt-PT"/>
              </w:rPr>
            </w:pPr>
            <w:r w:rsidRPr="00FA3856">
              <w:rPr>
                <w:rFonts w:ascii="Times New Roman" w:hAnsi="Times New Roman"/>
                <w:b/>
                <w:bCs/>
                <w:lang w:val="pt-PT"/>
              </w:rPr>
              <w:t>5</w:t>
            </w:r>
          </w:p>
        </w:tc>
        <w:tc>
          <w:tcPr>
            <w:tcW w:w="3000" w:type="dxa"/>
            <w:tcBorders>
              <w:top w:val="single" w:sz="6" w:space="0" w:color="auto"/>
              <w:left w:val="single" w:sz="6" w:space="0" w:color="auto"/>
              <w:bottom w:val="single" w:sz="6" w:space="0" w:color="auto"/>
              <w:right w:val="single" w:sz="6" w:space="0" w:color="auto"/>
            </w:tcBorders>
          </w:tcPr>
          <w:p w:rsidR="001F1F7B" w:rsidRPr="00FA3856" w:rsidRDefault="001F1F7B" w:rsidP="001F1F7B">
            <w:pPr>
              <w:pStyle w:val="PSDS-CorpodeTexto0"/>
              <w:rPr>
                <w:rFonts w:ascii="Times New Roman" w:hAnsi="Times New Roman"/>
              </w:rPr>
            </w:pPr>
            <w:r w:rsidRPr="00FA3856">
              <w:rPr>
                <w:rFonts w:ascii="Times New Roman" w:hAnsi="Times New Roman"/>
              </w:rPr>
              <w:t>IND_RELACAO</w:t>
            </w:r>
          </w:p>
        </w:tc>
        <w:tc>
          <w:tcPr>
            <w:tcW w:w="12168" w:type="dxa"/>
            <w:tcBorders>
              <w:top w:val="single" w:sz="6" w:space="0" w:color="auto"/>
              <w:left w:val="single" w:sz="6" w:space="0" w:color="auto"/>
              <w:bottom w:val="single" w:sz="6" w:space="0" w:color="auto"/>
              <w:right w:val="single" w:sz="6" w:space="0" w:color="auto"/>
            </w:tcBorders>
          </w:tcPr>
          <w:p w:rsidR="001F1F7B" w:rsidRPr="00FA3856" w:rsidRDefault="001F1F7B" w:rsidP="001F1F7B">
            <w:pPr>
              <w:pStyle w:val="Corpodetexto"/>
              <w:rPr>
                <w:rFonts w:ascii="Times New Roman" w:hAnsi="Times New Roman"/>
                <w:bCs/>
                <w:szCs w:val="20"/>
              </w:rPr>
            </w:pPr>
            <w:r w:rsidRPr="00FA3856">
              <w:rPr>
                <w:rFonts w:ascii="Times New Roman" w:hAnsi="Times New Roman"/>
                <w:b/>
                <w:bCs/>
                <w:szCs w:val="20"/>
              </w:rPr>
              <w:t xml:space="preserve">REGRA_IND_RELACAO: </w:t>
            </w:r>
            <w:r w:rsidRPr="00FA3856">
              <w:rPr>
                <w:rFonts w:ascii="Times New Roman" w:hAnsi="Times New Roman"/>
                <w:bCs/>
                <w:szCs w:val="20"/>
              </w:rPr>
              <w:t>Verifica, quando M300.TIPO_LANCAMENTO for igual a “P” (compensação de prejuízo), se M300.IND_RELACAO é igual a “1” (com conta da parte B).</w:t>
            </w:r>
          </w:p>
          <w:p w:rsidR="001F1F7B" w:rsidRPr="00FA3856" w:rsidRDefault="001F1F7B" w:rsidP="001F1F7B">
            <w:pPr>
              <w:pStyle w:val="Corpodetexto"/>
              <w:rPr>
                <w:rFonts w:ascii="Times New Roman" w:hAnsi="Times New Roman"/>
                <w:bCs/>
                <w:szCs w:val="20"/>
              </w:rPr>
            </w:pPr>
          </w:p>
          <w:p w:rsidR="001F1F7B" w:rsidRPr="00FA3856" w:rsidRDefault="001F1F7B" w:rsidP="001F1F7B">
            <w:pPr>
              <w:pStyle w:val="Corpodetexto"/>
              <w:rPr>
                <w:rStyle w:val="Hyperlink"/>
                <w:rFonts w:ascii="Times New Roman" w:hAnsi="Times New Roman"/>
                <w:bCs/>
                <w:color w:val="auto"/>
                <w:szCs w:val="20"/>
                <w:lang w:val="pt-PT"/>
              </w:rPr>
            </w:pPr>
            <w:r w:rsidRPr="00FA3856">
              <w:rPr>
                <w:rStyle w:val="Hyperlink"/>
                <w:rFonts w:ascii="Times New Roman" w:hAnsi="Times New Roman"/>
                <w:b/>
                <w:bCs/>
                <w:color w:val="auto"/>
                <w:szCs w:val="20"/>
                <w:lang w:val="pt-PT"/>
              </w:rPr>
              <w:t xml:space="preserve">REGRA_OBRIGATORIO_TIPO_E: </w:t>
            </w:r>
            <w:r w:rsidRPr="00FA3856">
              <w:rPr>
                <w:rStyle w:val="Hyperlink"/>
                <w:rFonts w:ascii="Times New Roman" w:hAnsi="Times New Roman"/>
                <w:bCs/>
                <w:color w:val="auto"/>
                <w:szCs w:val="20"/>
                <w:lang w:val="pt-PT"/>
              </w:rPr>
              <w:t>Verifica se o campo M300.IND_RELACAO não está preenchido quando o tipo de linha é “E”.</w:t>
            </w:r>
          </w:p>
          <w:p w:rsidR="001F1F7B" w:rsidRPr="00FA3856" w:rsidRDefault="001F1F7B" w:rsidP="001F1F7B">
            <w:pPr>
              <w:pStyle w:val="Corpodetexto"/>
              <w:rPr>
                <w:rStyle w:val="Hyperlink"/>
                <w:rFonts w:ascii="Times New Roman" w:hAnsi="Times New Roman"/>
                <w:bCs/>
                <w:color w:val="auto"/>
                <w:szCs w:val="20"/>
                <w:lang w:val="pt-PT"/>
              </w:rPr>
            </w:pPr>
          </w:p>
          <w:p w:rsidR="001F1F7B" w:rsidRPr="00FA3856" w:rsidRDefault="001F1F7B" w:rsidP="001F1F7B">
            <w:pPr>
              <w:pStyle w:val="Corpodetexto"/>
              <w:rPr>
                <w:rStyle w:val="Hyperlink"/>
                <w:rFonts w:ascii="Times New Roman" w:hAnsi="Times New Roman"/>
                <w:bCs/>
                <w:color w:val="auto"/>
                <w:szCs w:val="20"/>
                <w:lang w:val="pt-PT"/>
              </w:rPr>
            </w:pPr>
            <w:r w:rsidRPr="00FA3856">
              <w:rPr>
                <w:rStyle w:val="Hyperlink"/>
                <w:rFonts w:ascii="Times New Roman" w:hAnsi="Times New Roman"/>
                <w:b/>
                <w:bCs/>
                <w:color w:val="auto"/>
                <w:szCs w:val="20"/>
                <w:lang w:val="pt-PT"/>
              </w:rPr>
              <w:t xml:space="preserve">REGRA_NAO_PREENCHER_TIPO_DIFERENTE_E: </w:t>
            </w:r>
            <w:r w:rsidRPr="00FA3856">
              <w:rPr>
                <w:rStyle w:val="Hyperlink"/>
                <w:rFonts w:ascii="Times New Roman" w:hAnsi="Times New Roman"/>
                <w:bCs/>
                <w:color w:val="auto"/>
                <w:szCs w:val="20"/>
                <w:lang w:val="pt-PT"/>
              </w:rPr>
              <w:t>Verifica se o campo M300.IND_RELACAO está preenchido quando o tipo da linha é “E”.</w:t>
            </w:r>
          </w:p>
          <w:p w:rsidR="00AC1E83" w:rsidRPr="00FA3856" w:rsidRDefault="00AC1E83" w:rsidP="001F1F7B">
            <w:pPr>
              <w:pStyle w:val="Corpodetexto"/>
              <w:rPr>
                <w:rFonts w:ascii="Times New Roman" w:hAnsi="Times New Roman"/>
                <w:bCs/>
                <w:color w:val="auto"/>
                <w:szCs w:val="20"/>
                <w:lang w:val="pt-PT"/>
              </w:rPr>
            </w:pPr>
          </w:p>
        </w:tc>
        <w:tc>
          <w:tcPr>
            <w:tcW w:w="717" w:type="dxa"/>
            <w:tcBorders>
              <w:top w:val="single" w:sz="6" w:space="0" w:color="auto"/>
              <w:left w:val="single" w:sz="6" w:space="0" w:color="auto"/>
              <w:bottom w:val="single" w:sz="6" w:space="0" w:color="auto"/>
              <w:right w:val="single" w:sz="6" w:space="0" w:color="auto"/>
            </w:tcBorders>
          </w:tcPr>
          <w:p w:rsidR="001F1F7B" w:rsidRPr="00FA3856" w:rsidRDefault="001F1F7B" w:rsidP="001F1F7B">
            <w:pPr>
              <w:pStyle w:val="PSDS-CorpodeTexto0"/>
              <w:rPr>
                <w:rFonts w:ascii="Times New Roman" w:hAnsi="Times New Roman"/>
              </w:rPr>
            </w:pPr>
            <w:r w:rsidRPr="00FA3856">
              <w:rPr>
                <w:rFonts w:ascii="Times New Roman" w:hAnsi="Times New Roman"/>
              </w:rPr>
              <w:t>Erro</w:t>
            </w:r>
          </w:p>
          <w:p w:rsidR="001F1F7B" w:rsidRPr="00FA3856" w:rsidRDefault="001F1F7B" w:rsidP="001F1F7B">
            <w:pPr>
              <w:pStyle w:val="PSDS-CorpodeTexto0"/>
              <w:rPr>
                <w:rFonts w:ascii="Times New Roman" w:hAnsi="Times New Roman"/>
              </w:rPr>
            </w:pPr>
          </w:p>
          <w:p w:rsidR="001F1F7B" w:rsidRPr="00FA3856" w:rsidRDefault="001F1F7B" w:rsidP="001F1F7B">
            <w:pPr>
              <w:pStyle w:val="PSDS-CorpodeTexto0"/>
              <w:rPr>
                <w:rFonts w:ascii="Times New Roman" w:hAnsi="Times New Roman"/>
              </w:rPr>
            </w:pPr>
          </w:p>
          <w:p w:rsidR="001F1F7B" w:rsidRPr="00FA3856" w:rsidRDefault="001F1F7B" w:rsidP="001F1F7B">
            <w:pPr>
              <w:pStyle w:val="PSDS-CorpodeTexto0"/>
              <w:rPr>
                <w:rFonts w:ascii="Times New Roman" w:hAnsi="Times New Roman"/>
              </w:rPr>
            </w:pPr>
            <w:r w:rsidRPr="00FA3856">
              <w:rPr>
                <w:rFonts w:ascii="Times New Roman" w:hAnsi="Times New Roman"/>
              </w:rPr>
              <w:t>Erro</w:t>
            </w:r>
          </w:p>
          <w:p w:rsidR="001F1F7B" w:rsidRPr="00FA3856" w:rsidRDefault="001F1F7B" w:rsidP="001F1F7B">
            <w:pPr>
              <w:pStyle w:val="PSDS-CorpodeTexto0"/>
              <w:rPr>
                <w:rFonts w:ascii="Times New Roman" w:hAnsi="Times New Roman"/>
              </w:rPr>
            </w:pPr>
          </w:p>
          <w:p w:rsidR="001F1F7B" w:rsidRPr="00FA3856" w:rsidRDefault="001F1F7B" w:rsidP="001F1F7B">
            <w:pPr>
              <w:pStyle w:val="PSDS-CorpodeTexto0"/>
              <w:rPr>
                <w:rFonts w:ascii="Times New Roman" w:hAnsi="Times New Roman"/>
              </w:rPr>
            </w:pPr>
            <w:r w:rsidRPr="00FA3856">
              <w:rPr>
                <w:rFonts w:ascii="Times New Roman" w:hAnsi="Times New Roman"/>
              </w:rPr>
              <w:t>Erro</w:t>
            </w:r>
          </w:p>
        </w:tc>
      </w:tr>
      <w:tr w:rsidR="001F1F7B" w:rsidRPr="00FA3856" w:rsidTr="001F1F7B">
        <w:trPr>
          <w:jc w:val="center"/>
        </w:trPr>
        <w:tc>
          <w:tcPr>
            <w:tcW w:w="485" w:type="dxa"/>
            <w:tcBorders>
              <w:top w:val="single" w:sz="6" w:space="0" w:color="auto"/>
              <w:left w:val="single" w:sz="6" w:space="0" w:color="auto"/>
              <w:bottom w:val="single" w:sz="6" w:space="0" w:color="auto"/>
              <w:right w:val="single" w:sz="6" w:space="0" w:color="auto"/>
            </w:tcBorders>
          </w:tcPr>
          <w:p w:rsidR="001F1F7B" w:rsidRPr="00FA3856" w:rsidRDefault="001F1F7B" w:rsidP="001F1F7B">
            <w:pPr>
              <w:pStyle w:val="PSDS-CorpodeTexto0"/>
              <w:suppressAutoHyphens w:val="0"/>
              <w:rPr>
                <w:rFonts w:ascii="Times New Roman" w:hAnsi="Times New Roman"/>
                <w:b/>
                <w:bCs/>
                <w:lang w:val="pt-PT"/>
              </w:rPr>
            </w:pPr>
            <w:r w:rsidRPr="00FA3856">
              <w:rPr>
                <w:rFonts w:ascii="Times New Roman" w:hAnsi="Times New Roman"/>
                <w:b/>
                <w:bCs/>
                <w:lang w:val="pt-PT"/>
              </w:rPr>
              <w:lastRenderedPageBreak/>
              <w:t>6</w:t>
            </w:r>
          </w:p>
        </w:tc>
        <w:tc>
          <w:tcPr>
            <w:tcW w:w="3000" w:type="dxa"/>
            <w:tcBorders>
              <w:top w:val="single" w:sz="6" w:space="0" w:color="auto"/>
              <w:left w:val="single" w:sz="6" w:space="0" w:color="auto"/>
              <w:bottom w:val="single" w:sz="6" w:space="0" w:color="auto"/>
              <w:right w:val="single" w:sz="6" w:space="0" w:color="auto"/>
            </w:tcBorders>
          </w:tcPr>
          <w:p w:rsidR="001F1F7B" w:rsidRPr="00FA3856" w:rsidRDefault="001F1F7B" w:rsidP="001F1F7B">
            <w:pPr>
              <w:pStyle w:val="PSDS-CorpodeTexto0"/>
              <w:rPr>
                <w:rFonts w:ascii="Times New Roman" w:hAnsi="Times New Roman"/>
              </w:rPr>
            </w:pPr>
            <w:r w:rsidRPr="00FA3856">
              <w:rPr>
                <w:rFonts w:ascii="Times New Roman" w:hAnsi="Times New Roman"/>
                <w:lang w:val="pt-PT"/>
              </w:rPr>
              <w:t>VALOR</w:t>
            </w:r>
          </w:p>
        </w:tc>
        <w:tc>
          <w:tcPr>
            <w:tcW w:w="12168" w:type="dxa"/>
            <w:tcBorders>
              <w:top w:val="single" w:sz="6" w:space="0" w:color="auto"/>
              <w:left w:val="single" w:sz="6" w:space="0" w:color="auto"/>
              <w:bottom w:val="single" w:sz="6" w:space="0" w:color="auto"/>
              <w:right w:val="single" w:sz="6" w:space="0" w:color="auto"/>
            </w:tcBorders>
          </w:tcPr>
          <w:p w:rsidR="001F1F7B" w:rsidRPr="00FA3856" w:rsidRDefault="001F1F7B" w:rsidP="001F1F7B">
            <w:pPr>
              <w:pStyle w:val="Corpodetexto"/>
              <w:rPr>
                <w:rStyle w:val="Hyperlink"/>
                <w:rFonts w:ascii="Times New Roman" w:hAnsi="Times New Roman"/>
                <w:bCs/>
                <w:color w:val="auto"/>
                <w:szCs w:val="20"/>
                <w:lang w:val="pt-PT"/>
              </w:rPr>
            </w:pPr>
            <w:r w:rsidRPr="00FA3856">
              <w:rPr>
                <w:rStyle w:val="Hyperlink"/>
                <w:rFonts w:ascii="Times New Roman" w:hAnsi="Times New Roman"/>
                <w:b/>
                <w:bCs/>
                <w:color w:val="auto"/>
                <w:szCs w:val="20"/>
                <w:lang w:val="pt-PT"/>
              </w:rPr>
              <w:t xml:space="preserve">REGRA_OBRIGATORIO_TIPO_R: </w:t>
            </w:r>
            <w:r w:rsidRPr="00FA3856">
              <w:rPr>
                <w:rStyle w:val="Hyperlink"/>
                <w:rFonts w:ascii="Times New Roman" w:hAnsi="Times New Roman"/>
                <w:bCs/>
                <w:color w:val="auto"/>
                <w:szCs w:val="20"/>
                <w:lang w:val="pt-PT"/>
              </w:rPr>
              <w:t>Verifica se o campo M300.VALOR não está preenchido quando o tipo de linha é “R”.</w:t>
            </w:r>
          </w:p>
          <w:p w:rsidR="001F1F7B" w:rsidRPr="00FA3856" w:rsidRDefault="001F1F7B" w:rsidP="001F1F7B">
            <w:pPr>
              <w:pStyle w:val="Corpodetexto"/>
              <w:rPr>
                <w:rStyle w:val="Hyperlink"/>
                <w:rFonts w:ascii="Times New Roman" w:hAnsi="Times New Roman"/>
                <w:bCs/>
                <w:color w:val="auto"/>
                <w:szCs w:val="20"/>
                <w:lang w:val="pt-PT"/>
              </w:rPr>
            </w:pPr>
          </w:p>
          <w:p w:rsidR="001F1F7B" w:rsidRPr="00FA3856" w:rsidRDefault="001F1F7B" w:rsidP="001F1F7B">
            <w:pPr>
              <w:pStyle w:val="Corpodetexto"/>
              <w:rPr>
                <w:rStyle w:val="Hyperlink"/>
                <w:rFonts w:ascii="Times New Roman" w:hAnsi="Times New Roman"/>
                <w:bCs/>
                <w:color w:val="auto"/>
                <w:szCs w:val="20"/>
                <w:lang w:val="pt-PT"/>
              </w:rPr>
            </w:pPr>
            <w:r w:rsidRPr="00FA3856">
              <w:rPr>
                <w:rStyle w:val="Hyperlink"/>
                <w:rFonts w:ascii="Times New Roman" w:hAnsi="Times New Roman"/>
                <w:b/>
                <w:bCs/>
                <w:color w:val="auto"/>
                <w:szCs w:val="20"/>
                <w:lang w:val="pt-PT"/>
              </w:rPr>
              <w:t xml:space="preserve">REGRA_NAO_PREENCHER_TIPO_DIFERENTE_R: </w:t>
            </w:r>
            <w:r w:rsidRPr="00FA3856">
              <w:rPr>
                <w:rStyle w:val="Hyperlink"/>
                <w:rFonts w:ascii="Times New Roman" w:hAnsi="Times New Roman"/>
                <w:bCs/>
                <w:color w:val="auto"/>
                <w:szCs w:val="20"/>
                <w:lang w:val="pt-PT"/>
              </w:rPr>
              <w:t>Verifica se o campo M300.VALOR está preenchido quando o tipo da linha é “R”.</w:t>
            </w:r>
          </w:p>
          <w:p w:rsidR="001F1F7B" w:rsidRPr="00FA3856" w:rsidRDefault="001F1F7B" w:rsidP="001F1F7B">
            <w:pPr>
              <w:pStyle w:val="Corpodetexto"/>
              <w:rPr>
                <w:rFonts w:ascii="Times New Roman" w:hAnsi="Times New Roman"/>
                <w:szCs w:val="20"/>
              </w:rPr>
            </w:pPr>
          </w:p>
        </w:tc>
        <w:tc>
          <w:tcPr>
            <w:tcW w:w="717" w:type="dxa"/>
            <w:tcBorders>
              <w:top w:val="single" w:sz="6" w:space="0" w:color="auto"/>
              <w:left w:val="single" w:sz="6" w:space="0" w:color="auto"/>
              <w:bottom w:val="single" w:sz="6" w:space="0" w:color="auto"/>
              <w:right w:val="single" w:sz="6" w:space="0" w:color="auto"/>
            </w:tcBorders>
          </w:tcPr>
          <w:p w:rsidR="001F1F7B" w:rsidRPr="00FA3856" w:rsidRDefault="001F1F7B" w:rsidP="001F1F7B">
            <w:pPr>
              <w:pStyle w:val="PSDS-CorpodeTexto0"/>
              <w:rPr>
                <w:rFonts w:ascii="Times New Roman" w:hAnsi="Times New Roman"/>
              </w:rPr>
            </w:pPr>
            <w:r w:rsidRPr="00FA3856">
              <w:rPr>
                <w:rFonts w:ascii="Times New Roman" w:hAnsi="Times New Roman"/>
              </w:rPr>
              <w:t>Erro</w:t>
            </w:r>
          </w:p>
          <w:p w:rsidR="001F1F7B" w:rsidRPr="00FA3856" w:rsidRDefault="001F1F7B" w:rsidP="001F1F7B">
            <w:pPr>
              <w:pStyle w:val="PSDS-CorpodeTexto0"/>
              <w:rPr>
                <w:rFonts w:ascii="Times New Roman" w:hAnsi="Times New Roman"/>
              </w:rPr>
            </w:pPr>
          </w:p>
          <w:p w:rsidR="001F1F7B" w:rsidRPr="00FA3856" w:rsidRDefault="001F1F7B" w:rsidP="001F1F7B">
            <w:pPr>
              <w:pStyle w:val="PSDS-CorpodeTexto0"/>
              <w:rPr>
                <w:rFonts w:ascii="Times New Roman" w:hAnsi="Times New Roman"/>
              </w:rPr>
            </w:pPr>
            <w:r w:rsidRPr="00FA3856">
              <w:rPr>
                <w:rFonts w:ascii="Times New Roman" w:hAnsi="Times New Roman"/>
              </w:rPr>
              <w:t>Erro</w:t>
            </w:r>
          </w:p>
        </w:tc>
      </w:tr>
      <w:tr w:rsidR="001F1F7B" w:rsidRPr="00FA3856" w:rsidTr="001F1F7B">
        <w:trPr>
          <w:jc w:val="center"/>
        </w:trPr>
        <w:tc>
          <w:tcPr>
            <w:tcW w:w="485" w:type="dxa"/>
            <w:tcBorders>
              <w:top w:val="single" w:sz="6" w:space="0" w:color="auto"/>
              <w:left w:val="single" w:sz="6" w:space="0" w:color="auto"/>
              <w:bottom w:val="single" w:sz="6" w:space="0" w:color="auto"/>
              <w:right w:val="single" w:sz="6" w:space="0" w:color="auto"/>
            </w:tcBorders>
          </w:tcPr>
          <w:p w:rsidR="001F1F7B" w:rsidRPr="00FA3856" w:rsidRDefault="001F1F7B" w:rsidP="001F1F7B">
            <w:pPr>
              <w:pStyle w:val="PSDS-CorpodeTexto0"/>
              <w:suppressAutoHyphens w:val="0"/>
              <w:rPr>
                <w:rFonts w:ascii="Times New Roman" w:hAnsi="Times New Roman"/>
                <w:b/>
                <w:bCs/>
                <w:lang w:val="pt-PT"/>
              </w:rPr>
            </w:pPr>
            <w:r w:rsidRPr="00FA3856">
              <w:rPr>
                <w:rFonts w:ascii="Times New Roman" w:hAnsi="Times New Roman"/>
                <w:b/>
                <w:bCs/>
                <w:lang w:val="pt-PT"/>
              </w:rPr>
              <w:t>7</w:t>
            </w:r>
          </w:p>
        </w:tc>
        <w:tc>
          <w:tcPr>
            <w:tcW w:w="3000" w:type="dxa"/>
            <w:tcBorders>
              <w:top w:val="single" w:sz="6" w:space="0" w:color="auto"/>
              <w:left w:val="single" w:sz="6" w:space="0" w:color="auto"/>
              <w:bottom w:val="single" w:sz="6" w:space="0" w:color="auto"/>
              <w:right w:val="single" w:sz="6" w:space="0" w:color="auto"/>
            </w:tcBorders>
          </w:tcPr>
          <w:p w:rsidR="001F1F7B" w:rsidRPr="00FA3856" w:rsidRDefault="001F1F7B" w:rsidP="001F1F7B">
            <w:pPr>
              <w:pStyle w:val="PSDS-CorpodeTexto0"/>
              <w:rPr>
                <w:rFonts w:ascii="Times New Roman" w:hAnsi="Times New Roman"/>
              </w:rPr>
            </w:pPr>
            <w:r w:rsidRPr="00FA3856">
              <w:rPr>
                <w:rFonts w:ascii="Times New Roman" w:hAnsi="Times New Roman"/>
                <w:lang w:val="pt-PT"/>
              </w:rPr>
              <w:t>HIST_LAN_LAL</w:t>
            </w:r>
          </w:p>
        </w:tc>
        <w:tc>
          <w:tcPr>
            <w:tcW w:w="12168" w:type="dxa"/>
            <w:tcBorders>
              <w:top w:val="single" w:sz="6" w:space="0" w:color="auto"/>
              <w:left w:val="single" w:sz="6" w:space="0" w:color="auto"/>
              <w:bottom w:val="single" w:sz="6" w:space="0" w:color="auto"/>
              <w:right w:val="single" w:sz="6" w:space="0" w:color="auto"/>
            </w:tcBorders>
          </w:tcPr>
          <w:p w:rsidR="001F1F7B" w:rsidRPr="00FA3856" w:rsidRDefault="001F1F7B" w:rsidP="001F1F7B">
            <w:pPr>
              <w:pStyle w:val="Corpodetexto"/>
              <w:rPr>
                <w:rFonts w:ascii="Times New Roman" w:hAnsi="Times New Roman"/>
                <w:szCs w:val="20"/>
              </w:rPr>
            </w:pPr>
            <w:r w:rsidRPr="00FA3856">
              <w:rPr>
                <w:rStyle w:val="Hyperlink"/>
                <w:rFonts w:ascii="Times New Roman" w:hAnsi="Times New Roman"/>
                <w:b/>
                <w:bCs/>
                <w:color w:val="auto"/>
                <w:szCs w:val="20"/>
                <w:lang w:val="pt-PT"/>
              </w:rPr>
              <w:t xml:space="preserve">REGRA_NAO_PREENCHER_TIPO_DIFERENTE_E: </w:t>
            </w:r>
            <w:r w:rsidRPr="00FA3856">
              <w:rPr>
                <w:rStyle w:val="Hyperlink"/>
                <w:rFonts w:ascii="Times New Roman" w:hAnsi="Times New Roman"/>
                <w:bCs/>
                <w:color w:val="auto"/>
                <w:szCs w:val="20"/>
                <w:lang w:val="pt-PT"/>
              </w:rPr>
              <w:t>Verifica se o campo M300.HIST_LAN_LAL está preenchido quando o tipo da linha é “E” e M300.IND_RELACAO = “4” (Sem relacionamento).</w:t>
            </w:r>
          </w:p>
        </w:tc>
        <w:tc>
          <w:tcPr>
            <w:tcW w:w="717" w:type="dxa"/>
            <w:tcBorders>
              <w:top w:val="single" w:sz="6" w:space="0" w:color="auto"/>
              <w:left w:val="single" w:sz="6" w:space="0" w:color="auto"/>
              <w:bottom w:val="single" w:sz="6" w:space="0" w:color="auto"/>
              <w:right w:val="single" w:sz="6" w:space="0" w:color="auto"/>
            </w:tcBorders>
          </w:tcPr>
          <w:p w:rsidR="001F1F7B" w:rsidRPr="00FA3856" w:rsidRDefault="001F1F7B" w:rsidP="001F1F7B">
            <w:pPr>
              <w:pStyle w:val="PSDS-CorpodeTexto0"/>
              <w:rPr>
                <w:rFonts w:ascii="Times New Roman" w:hAnsi="Times New Roman"/>
              </w:rPr>
            </w:pPr>
            <w:r w:rsidRPr="00FA3856">
              <w:rPr>
                <w:rFonts w:ascii="Times New Roman" w:hAnsi="Times New Roman"/>
              </w:rPr>
              <w:t>Erro</w:t>
            </w:r>
          </w:p>
          <w:p w:rsidR="001F1F7B" w:rsidRPr="00FA3856" w:rsidRDefault="001F1F7B" w:rsidP="001F1F7B">
            <w:pPr>
              <w:pStyle w:val="PSDS-CorpodeTexto0"/>
              <w:rPr>
                <w:rFonts w:ascii="Times New Roman" w:hAnsi="Times New Roman"/>
              </w:rPr>
            </w:pPr>
          </w:p>
        </w:tc>
      </w:tr>
    </w:tbl>
    <w:p w:rsidR="001F1F7B" w:rsidRPr="00FA3856" w:rsidRDefault="001F1F7B" w:rsidP="001F1F7B">
      <w:pPr>
        <w:rPr>
          <w:b/>
          <w:szCs w:val="20"/>
          <w:lang w:val="pt-PT"/>
        </w:rPr>
      </w:pPr>
    </w:p>
    <w:p w:rsidR="001F1F7B" w:rsidRDefault="001F1F7B" w:rsidP="00AC1E83">
      <w:pPr>
        <w:spacing w:line="276" w:lineRule="auto"/>
        <w:rPr>
          <w:b/>
          <w:szCs w:val="20"/>
        </w:rPr>
      </w:pPr>
      <w:r w:rsidRPr="00FA3856">
        <w:rPr>
          <w:b/>
          <w:szCs w:val="20"/>
          <w:lang w:val="pt-PT"/>
        </w:rPr>
        <w:t>III – Tabela</w:t>
      </w:r>
      <w:r w:rsidR="00404DF2">
        <w:rPr>
          <w:b/>
          <w:szCs w:val="20"/>
          <w:lang w:val="pt-PT"/>
        </w:rPr>
        <w:t>s</w:t>
      </w:r>
      <w:r w:rsidRPr="00FA3856">
        <w:rPr>
          <w:b/>
          <w:szCs w:val="20"/>
          <w:lang w:val="pt-PT"/>
        </w:rPr>
        <w:t xml:space="preserve"> Dinâmica</w:t>
      </w:r>
      <w:r w:rsidR="00AC1E83">
        <w:rPr>
          <w:b/>
          <w:szCs w:val="20"/>
          <w:lang w:val="pt-PT"/>
        </w:rPr>
        <w:t>s:</w:t>
      </w:r>
      <w:r w:rsidR="00AC1E83">
        <w:rPr>
          <w:b/>
          <w:szCs w:val="20"/>
        </w:rPr>
        <w:t xml:space="preserve"> </w:t>
      </w:r>
    </w:p>
    <w:p w:rsidR="00404DF2" w:rsidRPr="00FA3856" w:rsidRDefault="00404DF2" w:rsidP="00AC1E83">
      <w:pPr>
        <w:rPr>
          <w:b/>
          <w:szCs w:val="20"/>
        </w:rPr>
      </w:pPr>
      <w:r w:rsidRPr="00FA3856">
        <w:rPr>
          <w:b/>
          <w:szCs w:val="20"/>
        </w:rPr>
        <w:t>Formato: NS = Numérico Com Sinal; N = Numérico Sem Sinal</w:t>
      </w:r>
    </w:p>
    <w:p w:rsidR="00404DF2" w:rsidRPr="00FA3856" w:rsidRDefault="00404DF2" w:rsidP="00AC1E83">
      <w:pPr>
        <w:rPr>
          <w:b/>
          <w:szCs w:val="20"/>
        </w:rPr>
      </w:pPr>
      <w:r w:rsidRPr="00FA3856">
        <w:rPr>
          <w:b/>
          <w:szCs w:val="20"/>
        </w:rPr>
        <w:t>Tipo: R = Rótulo; E = Editável; CA = Cálculo Alterável; CNA = Cálculo Não Alterável</w:t>
      </w:r>
    </w:p>
    <w:p w:rsidR="00404DF2" w:rsidRPr="00FA3856" w:rsidRDefault="00404DF2" w:rsidP="00AC1E83">
      <w:pPr>
        <w:rPr>
          <w:b/>
          <w:szCs w:val="20"/>
        </w:rPr>
      </w:pPr>
      <w:r w:rsidRPr="00FA3856">
        <w:rPr>
          <w:b/>
          <w:szCs w:val="20"/>
        </w:rPr>
        <w:t>Tipo_Lançamento: A = Adição; E = Exclusão; P = Compensação de Prejuízos; R = Rótulo; L = Lucro</w:t>
      </w:r>
    </w:p>
    <w:p w:rsidR="00404DF2" w:rsidRPr="00FA3856" w:rsidRDefault="00404DF2" w:rsidP="00404DF2">
      <w:pPr>
        <w:rPr>
          <w:b/>
          <w:szCs w:val="20"/>
        </w:rPr>
      </w:pPr>
    </w:p>
    <w:p w:rsidR="00404DF2" w:rsidRPr="00FA3856" w:rsidRDefault="00404DF2" w:rsidP="00404DF2">
      <w:pPr>
        <w:rPr>
          <w:b/>
          <w:szCs w:val="20"/>
        </w:rPr>
      </w:pPr>
      <w:r w:rsidRPr="00FA3856">
        <w:rPr>
          <w:b/>
          <w:szCs w:val="20"/>
        </w:rPr>
        <w:t>Atenção: Códigos do tipo XX.XX não significam que são hierarquicamente subordinados a códigos do tipo XX. Todos os códigos possuem a mesma hierarquia.</w:t>
      </w:r>
    </w:p>
    <w:p w:rsidR="00404DF2" w:rsidRPr="00FA3856" w:rsidRDefault="00404DF2" w:rsidP="001F1F7B">
      <w:pPr>
        <w:rPr>
          <w:b/>
          <w:szCs w:val="20"/>
        </w:rPr>
      </w:pPr>
    </w:p>
    <w:p w:rsidR="00181F8F" w:rsidRDefault="00404DF2" w:rsidP="001F1F7B">
      <w:pPr>
        <w:rPr>
          <w:b/>
          <w:szCs w:val="20"/>
        </w:rPr>
      </w:pPr>
      <w:r>
        <w:rPr>
          <w:b/>
          <w:szCs w:val="20"/>
        </w:rPr>
        <w:t xml:space="preserve">III.1 – </w:t>
      </w:r>
      <w:r w:rsidR="003C67BC" w:rsidRPr="003C67BC">
        <w:rPr>
          <w:b/>
          <w:szCs w:val="20"/>
        </w:rPr>
        <w:t>M300A - Demonstrativo do Lucro Real (e-Lalur-Parte A) - PJ em Geral</w:t>
      </w:r>
      <w:r>
        <w:rPr>
          <w:b/>
          <w:szCs w:val="20"/>
        </w:rPr>
        <w:t>:</w:t>
      </w:r>
    </w:p>
    <w:p w:rsidR="007A0597" w:rsidRDefault="00486CDA" w:rsidP="001F1F7B">
      <w:pPr>
        <w:rPr>
          <w:b/>
          <w:szCs w:val="20"/>
        </w:rPr>
      </w:pPr>
      <w:r>
        <w:rPr>
          <w:b/>
          <w:szCs w:val="20"/>
        </w:rPr>
        <w:object w:dxaOrig="1534" w:dyaOrig="997">
          <v:shape id="_x0000_i1141" type="#_x0000_t75" style="width:79.5pt;height:50.25pt" o:ole="">
            <v:imagedata r:id="rId291" o:title=""/>
          </v:shape>
          <o:OLEObject Type="Link" ProgID="Excel.Sheet.12" ShapeID="_x0000_i1141" DrawAspect="Content" r:id="rId292" UpdateMode="OnCall">
            <o:LinkType>EnhancedMetaFile</o:LinkType>
            <o:LockedField>false</o:LockedField>
          </o:OLEObject>
        </w:object>
      </w:r>
    </w:p>
    <w:p w:rsidR="00181F8F" w:rsidRDefault="00404DF2" w:rsidP="001F1F7B">
      <w:pPr>
        <w:rPr>
          <w:b/>
          <w:szCs w:val="20"/>
        </w:rPr>
      </w:pPr>
      <w:r>
        <w:rPr>
          <w:b/>
          <w:szCs w:val="20"/>
        </w:rPr>
        <w:t>I</w:t>
      </w:r>
      <w:r w:rsidR="007A0597">
        <w:rPr>
          <w:b/>
          <w:szCs w:val="20"/>
        </w:rPr>
        <w:t xml:space="preserve">II.2 – </w:t>
      </w:r>
      <w:r w:rsidR="003C67BC" w:rsidRPr="003C67BC">
        <w:rPr>
          <w:b/>
          <w:szCs w:val="20"/>
        </w:rPr>
        <w:t>M300B - Demonstrativo do Lucro Real (e-Lalur-Parte A) - Financeira</w:t>
      </w:r>
      <w:r w:rsidR="003C67BC">
        <w:rPr>
          <w:b/>
          <w:szCs w:val="20"/>
        </w:rPr>
        <w:t>s</w:t>
      </w:r>
      <w:r w:rsidR="007A0597">
        <w:rPr>
          <w:b/>
          <w:szCs w:val="20"/>
        </w:rPr>
        <w:t xml:space="preserve">: </w:t>
      </w:r>
    </w:p>
    <w:p w:rsidR="00404DF2" w:rsidRDefault="00486CDA" w:rsidP="001F1F7B">
      <w:pPr>
        <w:rPr>
          <w:b/>
          <w:szCs w:val="20"/>
        </w:rPr>
      </w:pPr>
      <w:r>
        <w:rPr>
          <w:b/>
          <w:szCs w:val="20"/>
        </w:rPr>
        <w:object w:dxaOrig="1534" w:dyaOrig="997">
          <v:shape id="_x0000_i1142" type="#_x0000_t75" style="width:79.5pt;height:50.25pt" o:ole="">
            <v:imagedata r:id="rId293" o:title=""/>
          </v:shape>
          <o:OLEObject Type="Link" ProgID="Excel.Sheet.12" ShapeID="_x0000_i1142" DrawAspect="Content" r:id="rId294" UpdateMode="OnCall">
            <o:LinkType>EnhancedMetaFile</o:LinkType>
            <o:LockedField>false</o:LockedField>
          </o:OLEObject>
        </w:object>
      </w:r>
    </w:p>
    <w:p w:rsidR="00181F8F" w:rsidRDefault="001F1F7B" w:rsidP="001F1F7B">
      <w:pPr>
        <w:rPr>
          <w:b/>
          <w:szCs w:val="20"/>
        </w:rPr>
      </w:pPr>
      <w:r w:rsidRPr="00FA3856">
        <w:rPr>
          <w:b/>
          <w:szCs w:val="20"/>
        </w:rPr>
        <w:t xml:space="preserve">III.3 – </w:t>
      </w:r>
      <w:r w:rsidR="003C67BC" w:rsidRPr="003C67BC">
        <w:rPr>
          <w:b/>
          <w:szCs w:val="20"/>
        </w:rPr>
        <w:t>M300C - Demonstrativo do Lucro Real (e-Lalur-Parte A) - Seguradoras ou Entidades Abertas de Previdência Complementar</w:t>
      </w:r>
      <w:r w:rsidR="007A0597">
        <w:rPr>
          <w:b/>
          <w:szCs w:val="20"/>
        </w:rPr>
        <w:t xml:space="preserve">: </w:t>
      </w:r>
    </w:p>
    <w:p w:rsidR="00F004FC" w:rsidRDefault="00486CDA" w:rsidP="001F1F7B">
      <w:pPr>
        <w:pStyle w:val="Corpodetexto"/>
        <w:rPr>
          <w:rFonts w:ascii="Times New Roman" w:hAnsi="Times New Roman"/>
          <w:b/>
          <w:color w:val="002060"/>
          <w:szCs w:val="20"/>
        </w:rPr>
      </w:pPr>
      <w:r>
        <w:rPr>
          <w:rFonts w:ascii="Times New Roman" w:hAnsi="Times New Roman"/>
          <w:b/>
          <w:color w:val="002060"/>
          <w:szCs w:val="20"/>
        </w:rPr>
        <w:object w:dxaOrig="1534" w:dyaOrig="997">
          <v:shape id="_x0000_i1143" type="#_x0000_t75" style="width:79.5pt;height:50.25pt" o:ole="">
            <v:imagedata r:id="rId295" o:title=""/>
          </v:shape>
          <o:OLEObject Type="Link" ProgID="Excel.Sheet.12" ShapeID="_x0000_i1143" DrawAspect="Content" r:id="rId296" UpdateMode="OnCall">
            <o:LinkType>EnhancedMetaFile</o:LinkType>
            <o:LockedField>false</o:LockedField>
          </o:OLEObject>
        </w:object>
      </w:r>
    </w:p>
    <w:p w:rsidR="003C67BC" w:rsidRDefault="003C67BC">
      <w:pPr>
        <w:spacing w:after="200" w:line="276" w:lineRule="auto"/>
        <w:rPr>
          <w:b/>
          <w:color w:val="002060"/>
          <w:szCs w:val="20"/>
          <w:lang w:eastAsia="ar-SA"/>
        </w:rPr>
      </w:pPr>
      <w:r>
        <w:rPr>
          <w:b/>
          <w:color w:val="002060"/>
          <w:szCs w:val="20"/>
        </w:rPr>
        <w:br w:type="page"/>
      </w:r>
    </w:p>
    <w:p w:rsidR="00C44EBF" w:rsidRDefault="001F1F7B" w:rsidP="001F1F7B">
      <w:pPr>
        <w:pStyle w:val="Corpodetexto"/>
        <w:rPr>
          <w:rFonts w:ascii="Times New Roman" w:hAnsi="Times New Roman"/>
          <w:b/>
          <w:color w:val="002060"/>
          <w:szCs w:val="20"/>
        </w:rPr>
      </w:pPr>
      <w:r w:rsidRPr="00FA3856">
        <w:rPr>
          <w:rFonts w:ascii="Times New Roman" w:hAnsi="Times New Roman"/>
          <w:b/>
          <w:color w:val="002060"/>
          <w:szCs w:val="20"/>
        </w:rPr>
        <w:lastRenderedPageBreak/>
        <w:t xml:space="preserve">Exemplo de Preenchimento: </w:t>
      </w:r>
    </w:p>
    <w:p w:rsidR="00C44EBF" w:rsidRDefault="00C44EBF" w:rsidP="001F1F7B">
      <w:pPr>
        <w:pStyle w:val="Corpodetexto"/>
        <w:rPr>
          <w:rFonts w:ascii="Times New Roman" w:hAnsi="Times New Roman"/>
          <w:b/>
          <w:color w:val="002060"/>
          <w:szCs w:val="20"/>
        </w:rPr>
      </w:pPr>
    </w:p>
    <w:p w:rsidR="001F1F7B" w:rsidRPr="00FA3856" w:rsidRDefault="001F1F7B" w:rsidP="001F1F7B">
      <w:pPr>
        <w:pStyle w:val="Corpodetexto"/>
        <w:rPr>
          <w:rFonts w:ascii="Times New Roman" w:hAnsi="Times New Roman"/>
          <w:b/>
          <w:color w:val="002060"/>
          <w:szCs w:val="20"/>
        </w:rPr>
      </w:pPr>
      <w:r w:rsidRPr="00FA3856">
        <w:rPr>
          <w:rFonts w:ascii="Times New Roman" w:hAnsi="Times New Roman"/>
          <w:b/>
          <w:color w:val="002060"/>
          <w:szCs w:val="20"/>
        </w:rPr>
        <w:t>|M300|138|(-) Outras Exclusões|E|1|1000,00|LANÇAMENTO DE EXCLUSÃO XXXX|</w:t>
      </w:r>
    </w:p>
    <w:p w:rsidR="001F1F7B" w:rsidRPr="00FA3856" w:rsidRDefault="001F1F7B" w:rsidP="001F1F7B">
      <w:pPr>
        <w:pStyle w:val="Corpodetexto"/>
        <w:ind w:firstLine="708"/>
        <w:rPr>
          <w:rFonts w:ascii="Times New Roman" w:hAnsi="Times New Roman"/>
          <w:color w:val="002060"/>
          <w:szCs w:val="20"/>
        </w:rPr>
      </w:pPr>
      <w:r w:rsidRPr="00FA3856">
        <w:rPr>
          <w:rFonts w:ascii="Times New Roman" w:hAnsi="Times New Roman"/>
          <w:color w:val="002060"/>
          <w:szCs w:val="20"/>
        </w:rPr>
        <w:t>|M300|: Identificação do tipo do registro.</w:t>
      </w:r>
    </w:p>
    <w:p w:rsidR="001F1F7B" w:rsidRPr="00FA3856" w:rsidRDefault="001F1F7B" w:rsidP="001F1F7B">
      <w:pPr>
        <w:pStyle w:val="Corpodetexto"/>
        <w:ind w:firstLine="708"/>
        <w:rPr>
          <w:rFonts w:ascii="Times New Roman" w:hAnsi="Times New Roman"/>
          <w:color w:val="002060"/>
          <w:szCs w:val="20"/>
        </w:rPr>
      </w:pPr>
      <w:r w:rsidRPr="00FA3856">
        <w:rPr>
          <w:rFonts w:ascii="Times New Roman" w:hAnsi="Times New Roman"/>
          <w:color w:val="002060"/>
          <w:szCs w:val="20"/>
        </w:rPr>
        <w:t>|138|: Código do lançamento.</w:t>
      </w:r>
    </w:p>
    <w:p w:rsidR="001F1F7B" w:rsidRPr="00FA3856" w:rsidRDefault="001F1F7B" w:rsidP="001F1F7B">
      <w:pPr>
        <w:pStyle w:val="Corpodetexto"/>
        <w:ind w:firstLine="708"/>
        <w:rPr>
          <w:rFonts w:ascii="Times New Roman" w:hAnsi="Times New Roman"/>
          <w:color w:val="002060"/>
          <w:szCs w:val="20"/>
        </w:rPr>
      </w:pPr>
      <w:r w:rsidRPr="00FA3856">
        <w:rPr>
          <w:rFonts w:ascii="Times New Roman" w:hAnsi="Times New Roman"/>
          <w:color w:val="002060"/>
          <w:szCs w:val="20"/>
        </w:rPr>
        <w:t>|(-) Outras Exclusões|: Descrição.</w:t>
      </w:r>
    </w:p>
    <w:p w:rsidR="001F1F7B" w:rsidRPr="00FA3856" w:rsidRDefault="001F1F7B" w:rsidP="001F1F7B">
      <w:pPr>
        <w:pStyle w:val="Corpodetexto"/>
        <w:ind w:firstLine="708"/>
        <w:rPr>
          <w:rFonts w:ascii="Times New Roman" w:hAnsi="Times New Roman"/>
          <w:color w:val="002060"/>
          <w:szCs w:val="20"/>
        </w:rPr>
      </w:pPr>
      <w:r w:rsidRPr="00FA3856">
        <w:rPr>
          <w:rFonts w:ascii="Times New Roman" w:hAnsi="Times New Roman"/>
          <w:color w:val="002060"/>
          <w:szCs w:val="20"/>
        </w:rPr>
        <w:t>|E|: Tipo do lançamento (E = Exclusão).</w:t>
      </w:r>
    </w:p>
    <w:p w:rsidR="001F1F7B" w:rsidRPr="00FA3856" w:rsidRDefault="001F1F7B" w:rsidP="001F1F7B">
      <w:pPr>
        <w:pStyle w:val="Corpodetexto"/>
        <w:ind w:firstLine="708"/>
        <w:rPr>
          <w:rFonts w:ascii="Times New Roman" w:hAnsi="Times New Roman"/>
          <w:color w:val="002060"/>
          <w:szCs w:val="20"/>
        </w:rPr>
      </w:pPr>
      <w:r w:rsidRPr="00FA3856">
        <w:rPr>
          <w:rFonts w:ascii="Times New Roman" w:hAnsi="Times New Roman"/>
          <w:color w:val="002060"/>
          <w:szCs w:val="20"/>
        </w:rPr>
        <w:t>|1|: Indicador de relacionamento (1 = Com Conta da Parte B).</w:t>
      </w:r>
    </w:p>
    <w:p w:rsidR="001F1F7B" w:rsidRPr="00FA3856" w:rsidRDefault="001F1F7B" w:rsidP="001F1F7B">
      <w:pPr>
        <w:pStyle w:val="Corpodetexto"/>
        <w:ind w:firstLine="708"/>
        <w:rPr>
          <w:rFonts w:ascii="Times New Roman" w:hAnsi="Times New Roman"/>
          <w:color w:val="002060"/>
          <w:szCs w:val="20"/>
        </w:rPr>
      </w:pPr>
      <w:r w:rsidRPr="00FA3856">
        <w:rPr>
          <w:rFonts w:ascii="Times New Roman" w:hAnsi="Times New Roman"/>
          <w:color w:val="002060"/>
          <w:szCs w:val="20"/>
        </w:rPr>
        <w:t>|1000,00|: Valor (R$ 1.000,00</w:t>
      </w:r>
    </w:p>
    <w:p w:rsidR="001F1F7B" w:rsidRPr="00FA3856" w:rsidRDefault="001F1F7B" w:rsidP="001F1F7B">
      <w:pPr>
        <w:pStyle w:val="Corpodetexto"/>
        <w:ind w:firstLine="708"/>
        <w:rPr>
          <w:rFonts w:ascii="Times New Roman" w:hAnsi="Times New Roman"/>
          <w:color w:val="002060"/>
          <w:szCs w:val="20"/>
        </w:rPr>
      </w:pPr>
      <w:r w:rsidRPr="00FA3856">
        <w:rPr>
          <w:rFonts w:ascii="Times New Roman" w:hAnsi="Times New Roman"/>
          <w:color w:val="002060"/>
          <w:szCs w:val="20"/>
        </w:rPr>
        <w:t>|LANÇAMENTO DE EXCLUSÃO XXXX|: Histórico do lançamento.</w:t>
      </w:r>
    </w:p>
    <w:p w:rsidR="001F1F7B" w:rsidRPr="00FA3856" w:rsidRDefault="001F1F7B" w:rsidP="001F1F7B">
      <w:pPr>
        <w:spacing w:after="200" w:line="276" w:lineRule="auto"/>
        <w:rPr>
          <w:b/>
          <w:bCs/>
          <w:color w:val="0000FF"/>
          <w:szCs w:val="20"/>
        </w:rPr>
      </w:pPr>
      <w:r w:rsidRPr="00FA3856">
        <w:rPr>
          <w:color w:val="0000FF"/>
          <w:szCs w:val="20"/>
        </w:rPr>
        <w:br w:type="page"/>
      </w:r>
    </w:p>
    <w:p w:rsidR="00353EE7" w:rsidRPr="00FA3856" w:rsidRDefault="00353EE7" w:rsidP="00867F54">
      <w:pPr>
        <w:pStyle w:val="Ttulo4"/>
      </w:pPr>
      <w:bookmarkStart w:id="200" w:name="_Toc479713726"/>
      <w:r w:rsidRPr="00FA3856">
        <w:lastRenderedPageBreak/>
        <w:t>Registro M305: Conta da Parte B do e-Lalur</w:t>
      </w:r>
      <w:bookmarkEnd w:id="200"/>
    </w:p>
    <w:p w:rsidR="005302DE" w:rsidRPr="00FA3856" w:rsidRDefault="005302DE" w:rsidP="005302DE">
      <w:pPr>
        <w:rPr>
          <w:szCs w:val="20"/>
        </w:rPr>
      </w:pPr>
    </w:p>
    <w:p w:rsidR="00C81D2E" w:rsidRPr="00FA3856" w:rsidRDefault="00C81D2E" w:rsidP="00353EE7">
      <w:pPr>
        <w:pStyle w:val="PSDS-MarcadoresNivel1"/>
        <w:numPr>
          <w:ilvl w:val="0"/>
          <w:numId w:val="0"/>
        </w:numPr>
        <w:spacing w:before="0" w:after="0"/>
        <w:ind w:firstLine="708"/>
        <w:rPr>
          <w:rFonts w:ascii="Times New Roman" w:hAnsi="Times New Roman"/>
          <w:b w:val="0"/>
          <w:bCs/>
        </w:rPr>
      </w:pPr>
      <w:r w:rsidRPr="00FA3856">
        <w:rPr>
          <w:rFonts w:ascii="Times New Roman" w:hAnsi="Times New Roman"/>
          <w:b w:val="0"/>
        </w:rPr>
        <w:t xml:space="preserve">Relacionamento </w:t>
      </w:r>
      <w:r w:rsidR="00353EE7" w:rsidRPr="00FA3856">
        <w:rPr>
          <w:rFonts w:ascii="Times New Roman" w:hAnsi="Times New Roman"/>
          <w:b w:val="0"/>
        </w:rPr>
        <w:t>do lançamento da parte A do e-Lalur com a conta da parte B do e-Lalur, de acordo com as regras abaixo:</w:t>
      </w:r>
    </w:p>
    <w:p w:rsidR="0071683A" w:rsidRDefault="005D3493" w:rsidP="0071683A">
      <w:pPr>
        <w:pStyle w:val="PSDS-MarcadoresNivel1"/>
        <w:numPr>
          <w:ilvl w:val="0"/>
          <w:numId w:val="0"/>
        </w:numPr>
        <w:spacing w:before="0" w:after="0"/>
        <w:rPr>
          <w:b w:val="0"/>
          <w:bCs/>
          <w:lang w:val="pt-PT"/>
        </w:rPr>
      </w:pPr>
      <w:r w:rsidRPr="00FA3856">
        <w:rPr>
          <w:rFonts w:ascii="Times New Roman" w:hAnsi="Times New Roman"/>
          <w:b w:val="0"/>
        </w:rPr>
        <w:br/>
        <w:t xml:space="preserve">        </w:t>
      </w:r>
      <w:r w:rsidRPr="00FA3856">
        <w:rPr>
          <w:rFonts w:ascii="Times New Roman" w:hAnsi="Times New Roman"/>
          <w:b w:val="0"/>
        </w:rPr>
        <w:tab/>
        <w:t>- Se adição, debita na conta da parte B e credita na parte A. </w:t>
      </w:r>
      <w:r w:rsidRPr="00FA3856">
        <w:rPr>
          <w:rFonts w:ascii="Times New Roman" w:hAnsi="Times New Roman"/>
          <w:b w:val="0"/>
        </w:rPr>
        <w:br/>
        <w:t xml:space="preserve">        </w:t>
      </w:r>
      <w:r w:rsidRPr="00FA3856">
        <w:rPr>
          <w:rFonts w:ascii="Times New Roman" w:hAnsi="Times New Roman"/>
          <w:b w:val="0"/>
        </w:rPr>
        <w:tab/>
        <w:t>- Se exclusão, credita conta da parte B e debita na parte A. </w:t>
      </w:r>
      <w:r w:rsidRPr="00FA3856">
        <w:rPr>
          <w:rFonts w:ascii="Times New Roman" w:hAnsi="Times New Roman"/>
          <w:b w:val="0"/>
        </w:rPr>
        <w:br/>
        <w:t xml:space="preserve">        </w:t>
      </w:r>
      <w:r w:rsidRPr="00FA3856">
        <w:rPr>
          <w:rFonts w:ascii="Times New Roman" w:hAnsi="Times New Roman"/>
          <w:b w:val="0"/>
        </w:rPr>
        <w:tab/>
        <w:t>- Se prejuízo, credita conta da parte B e debita na parte A </w:t>
      </w:r>
      <w:r w:rsidRPr="00FA3856">
        <w:rPr>
          <w:rFonts w:ascii="Times New Roman" w:hAnsi="Times New Roman"/>
          <w:b w:val="0"/>
        </w:rPr>
        <w:br/>
      </w:r>
    </w:p>
    <w:p w:rsidR="0071683A" w:rsidRPr="00FA3856" w:rsidRDefault="00B35FA3" w:rsidP="0071683A">
      <w:pPr>
        <w:pStyle w:val="PSDS-MarcadoresNivel1"/>
        <w:numPr>
          <w:ilvl w:val="0"/>
          <w:numId w:val="0"/>
        </w:numPr>
        <w:spacing w:before="0" w:after="0"/>
        <w:jc w:val="center"/>
        <w:rPr>
          <w:b w:val="0"/>
          <w:bCs/>
          <w:lang w:val="pt-PT"/>
        </w:rPr>
      </w:pPr>
      <w:r>
        <w:rPr>
          <w:b w:val="0"/>
          <w:bCs/>
          <w:lang w:val="pt-PT"/>
        </w:rPr>
        <w:object w:dxaOrig="14175" w:dyaOrig="5175">
          <v:shape id="_x0000_i1696" type="#_x0000_t75" style="width:705pt;height:260.25pt" o:ole="">
            <v:imagedata r:id="rId297" o:title=""/>
          </v:shape>
          <o:OLEObject Type="Link" ProgID="Excel.Sheet.12" ShapeID="_x0000_i1696" DrawAspect="Content" r:id="rId298" UpdateMode="Always">
            <o:LinkType>EnhancedMetaFile</o:LinkType>
            <o:LockedField>false</o:LockedField>
          </o:OLEObject>
        </w:object>
      </w:r>
    </w:p>
    <w:p w:rsidR="00375E89" w:rsidRPr="00FA3856" w:rsidRDefault="00375E89">
      <w:pPr>
        <w:spacing w:after="200" w:line="276" w:lineRule="auto"/>
        <w:rPr>
          <w:b/>
          <w:bCs/>
          <w:szCs w:val="20"/>
          <w:lang w:val="pt-PT"/>
        </w:rPr>
      </w:pPr>
      <w:r w:rsidRPr="00FA3856">
        <w:rPr>
          <w:b/>
          <w:bCs/>
          <w:szCs w:val="20"/>
          <w:lang w:val="pt-PT"/>
        </w:rPr>
        <w:br w:type="page"/>
      </w:r>
    </w:p>
    <w:p w:rsidR="00353EE7" w:rsidRPr="00FA3856" w:rsidRDefault="004F789D" w:rsidP="00375E89">
      <w:pPr>
        <w:spacing w:after="200" w:line="276" w:lineRule="auto"/>
        <w:rPr>
          <w:b/>
          <w:bCs/>
          <w:szCs w:val="20"/>
          <w:lang w:val="pt-PT"/>
        </w:rPr>
      </w:pPr>
      <w:r w:rsidRPr="00FA3856">
        <w:rPr>
          <w:b/>
          <w:bCs/>
          <w:szCs w:val="20"/>
          <w:lang w:val="pt-PT"/>
        </w:rPr>
        <w:lastRenderedPageBreak/>
        <w:t>I</w:t>
      </w:r>
      <w:r w:rsidR="00353EE7" w:rsidRPr="00FA3856">
        <w:rPr>
          <w:b/>
          <w:bCs/>
          <w:szCs w:val="20"/>
          <w:lang w:val="pt-PT"/>
        </w:rPr>
        <w:t xml:space="preserve"> – Regras de Validação de Campos:</w:t>
      </w:r>
    </w:p>
    <w:p w:rsidR="00353EE7" w:rsidRPr="00FA3856" w:rsidRDefault="00353EE7" w:rsidP="00353EE7">
      <w:pPr>
        <w:rPr>
          <w:b/>
          <w:bCs/>
          <w:szCs w:val="20"/>
          <w:lang w:val="pt-PT"/>
        </w:rPr>
      </w:pPr>
    </w:p>
    <w:tbl>
      <w:tblPr>
        <w:tblW w:w="13028"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85"/>
        <w:gridCol w:w="3000"/>
        <w:gridCol w:w="8826"/>
        <w:gridCol w:w="717"/>
      </w:tblGrid>
      <w:tr w:rsidR="00353EE7" w:rsidRPr="00FA3856" w:rsidTr="00353EE7">
        <w:trPr>
          <w:jc w:val="center"/>
        </w:trPr>
        <w:tc>
          <w:tcPr>
            <w:tcW w:w="485" w:type="dxa"/>
            <w:tcBorders>
              <w:top w:val="single" w:sz="6" w:space="0" w:color="auto"/>
              <w:left w:val="single" w:sz="6" w:space="0" w:color="auto"/>
              <w:bottom w:val="single" w:sz="6" w:space="0" w:color="auto"/>
              <w:right w:val="single" w:sz="6" w:space="0" w:color="auto"/>
            </w:tcBorders>
            <w:shd w:val="pct10" w:color="auto" w:fill="FFFFFF"/>
          </w:tcPr>
          <w:p w:rsidR="00353EE7" w:rsidRPr="00FA3856" w:rsidRDefault="00353EE7" w:rsidP="00353EE7">
            <w:pPr>
              <w:pStyle w:val="PSDS-CorpodeTexto0"/>
              <w:jc w:val="center"/>
              <w:rPr>
                <w:rFonts w:ascii="Times New Roman" w:hAnsi="Times New Roman"/>
                <w:b/>
                <w:bCs/>
              </w:rPr>
            </w:pPr>
            <w:r w:rsidRPr="00FA3856">
              <w:rPr>
                <w:rFonts w:ascii="Times New Roman" w:hAnsi="Times New Roman"/>
                <w:b/>
                <w:bCs/>
              </w:rPr>
              <w:t>Nº</w:t>
            </w:r>
          </w:p>
        </w:tc>
        <w:tc>
          <w:tcPr>
            <w:tcW w:w="3000" w:type="dxa"/>
            <w:tcBorders>
              <w:top w:val="single" w:sz="6" w:space="0" w:color="auto"/>
              <w:left w:val="single" w:sz="6" w:space="0" w:color="auto"/>
              <w:bottom w:val="single" w:sz="6" w:space="0" w:color="auto"/>
              <w:right w:val="single" w:sz="6" w:space="0" w:color="auto"/>
            </w:tcBorders>
            <w:shd w:val="pct10" w:color="auto" w:fill="FFFFFF"/>
          </w:tcPr>
          <w:p w:rsidR="00353EE7" w:rsidRPr="00FA3856" w:rsidRDefault="00353EE7" w:rsidP="00353EE7">
            <w:pPr>
              <w:pStyle w:val="PSDS-CorpodeTexto0"/>
              <w:jc w:val="center"/>
              <w:rPr>
                <w:rFonts w:ascii="Times New Roman" w:hAnsi="Times New Roman"/>
                <w:b/>
                <w:bCs/>
              </w:rPr>
            </w:pPr>
            <w:r w:rsidRPr="00FA3856">
              <w:rPr>
                <w:rFonts w:ascii="Times New Roman" w:hAnsi="Times New Roman"/>
                <w:b/>
                <w:bCs/>
              </w:rPr>
              <w:t>Campo</w:t>
            </w:r>
          </w:p>
        </w:tc>
        <w:tc>
          <w:tcPr>
            <w:tcW w:w="8826" w:type="dxa"/>
            <w:tcBorders>
              <w:top w:val="single" w:sz="6" w:space="0" w:color="auto"/>
              <w:left w:val="single" w:sz="6" w:space="0" w:color="auto"/>
              <w:bottom w:val="single" w:sz="6" w:space="0" w:color="auto"/>
              <w:right w:val="single" w:sz="6" w:space="0" w:color="auto"/>
            </w:tcBorders>
            <w:shd w:val="pct10" w:color="auto" w:fill="FFFFFF"/>
          </w:tcPr>
          <w:p w:rsidR="00353EE7" w:rsidRPr="00FA3856" w:rsidRDefault="00353EE7" w:rsidP="00353EE7">
            <w:pPr>
              <w:pStyle w:val="PSDS-CorpodeTexto0"/>
              <w:jc w:val="center"/>
              <w:rPr>
                <w:rFonts w:ascii="Times New Roman" w:hAnsi="Times New Roman"/>
                <w:b/>
                <w:bCs/>
              </w:rPr>
            </w:pPr>
            <w:r w:rsidRPr="00FA3856">
              <w:rPr>
                <w:rFonts w:ascii="Times New Roman" w:hAnsi="Times New Roman"/>
                <w:b/>
                <w:bCs/>
              </w:rPr>
              <w:t>Regras de Validação do Campo</w:t>
            </w:r>
          </w:p>
        </w:tc>
        <w:tc>
          <w:tcPr>
            <w:tcW w:w="717" w:type="dxa"/>
            <w:tcBorders>
              <w:top w:val="single" w:sz="6" w:space="0" w:color="auto"/>
              <w:left w:val="single" w:sz="6" w:space="0" w:color="auto"/>
              <w:bottom w:val="single" w:sz="6" w:space="0" w:color="auto"/>
              <w:right w:val="single" w:sz="6" w:space="0" w:color="auto"/>
            </w:tcBorders>
            <w:shd w:val="pct10" w:color="auto" w:fill="FFFFFF"/>
          </w:tcPr>
          <w:p w:rsidR="00353EE7" w:rsidRPr="00FA3856" w:rsidRDefault="00353EE7" w:rsidP="00353EE7">
            <w:pPr>
              <w:pStyle w:val="PSDS-CorpodeTexto0"/>
              <w:jc w:val="center"/>
              <w:rPr>
                <w:rFonts w:ascii="Times New Roman" w:hAnsi="Times New Roman"/>
                <w:b/>
                <w:bCs/>
              </w:rPr>
            </w:pPr>
            <w:r w:rsidRPr="00FA3856">
              <w:rPr>
                <w:rFonts w:ascii="Times New Roman" w:hAnsi="Times New Roman"/>
                <w:b/>
                <w:bCs/>
              </w:rPr>
              <w:t>Tipo</w:t>
            </w:r>
          </w:p>
        </w:tc>
      </w:tr>
      <w:tr w:rsidR="00353EE7" w:rsidRPr="00FA3856" w:rsidTr="00353EE7">
        <w:trPr>
          <w:jc w:val="center"/>
        </w:trPr>
        <w:tc>
          <w:tcPr>
            <w:tcW w:w="485" w:type="dxa"/>
            <w:tcBorders>
              <w:top w:val="single" w:sz="6" w:space="0" w:color="auto"/>
              <w:left w:val="single" w:sz="6" w:space="0" w:color="auto"/>
              <w:bottom w:val="single" w:sz="6" w:space="0" w:color="auto"/>
              <w:right w:val="single" w:sz="6" w:space="0" w:color="auto"/>
            </w:tcBorders>
          </w:tcPr>
          <w:p w:rsidR="00353EE7" w:rsidRPr="00FA3856" w:rsidRDefault="005A78EA" w:rsidP="00353EE7">
            <w:pPr>
              <w:pStyle w:val="PSDS-CorpodeTexto0"/>
              <w:suppressAutoHyphens w:val="0"/>
              <w:rPr>
                <w:rFonts w:ascii="Times New Roman" w:hAnsi="Times New Roman"/>
                <w:b/>
                <w:bCs/>
                <w:lang w:val="pt-PT"/>
              </w:rPr>
            </w:pPr>
            <w:r w:rsidRPr="00FA3856">
              <w:rPr>
                <w:rFonts w:ascii="Times New Roman" w:hAnsi="Times New Roman"/>
                <w:b/>
                <w:bCs/>
                <w:lang w:val="pt-PT"/>
              </w:rPr>
              <w:t>4</w:t>
            </w:r>
          </w:p>
        </w:tc>
        <w:tc>
          <w:tcPr>
            <w:tcW w:w="3000" w:type="dxa"/>
            <w:tcBorders>
              <w:top w:val="single" w:sz="6" w:space="0" w:color="auto"/>
              <w:left w:val="single" w:sz="6" w:space="0" w:color="auto"/>
              <w:bottom w:val="single" w:sz="6" w:space="0" w:color="auto"/>
              <w:right w:val="single" w:sz="6" w:space="0" w:color="auto"/>
            </w:tcBorders>
          </w:tcPr>
          <w:p w:rsidR="00353EE7" w:rsidRPr="00FA3856" w:rsidRDefault="0094046A" w:rsidP="00353EE7">
            <w:pPr>
              <w:pStyle w:val="PSDS-CorpodeTexto0"/>
              <w:rPr>
                <w:rFonts w:ascii="Times New Roman" w:hAnsi="Times New Roman"/>
                <w:lang w:val="pt-PT"/>
              </w:rPr>
            </w:pPr>
            <w:r w:rsidRPr="00FA3856">
              <w:rPr>
                <w:rFonts w:ascii="Times New Roman" w:hAnsi="Times New Roman"/>
                <w:lang w:val="pt-PT"/>
              </w:rPr>
              <w:t>IND_VL_CTA</w:t>
            </w:r>
          </w:p>
        </w:tc>
        <w:tc>
          <w:tcPr>
            <w:tcW w:w="8826" w:type="dxa"/>
            <w:tcBorders>
              <w:top w:val="single" w:sz="6" w:space="0" w:color="auto"/>
              <w:left w:val="single" w:sz="6" w:space="0" w:color="auto"/>
              <w:bottom w:val="single" w:sz="6" w:space="0" w:color="auto"/>
              <w:right w:val="single" w:sz="6" w:space="0" w:color="auto"/>
            </w:tcBorders>
          </w:tcPr>
          <w:p w:rsidR="00353EE7" w:rsidRPr="00FA3856" w:rsidRDefault="0094046A" w:rsidP="004F789D">
            <w:pPr>
              <w:pStyle w:val="PSDS-MarcadoresNivel3"/>
              <w:tabs>
                <w:tab w:val="clear" w:pos="1440"/>
              </w:tabs>
              <w:spacing w:before="0" w:after="0"/>
              <w:ind w:left="0" w:firstLine="0"/>
              <w:rPr>
                <w:rFonts w:ascii="Times New Roman" w:hAnsi="Times New Roman" w:cs="Times New Roman"/>
                <w:b w:val="0"/>
                <w:szCs w:val="20"/>
              </w:rPr>
            </w:pPr>
            <w:r w:rsidRPr="00FA3856">
              <w:rPr>
                <w:rFonts w:ascii="Times New Roman" w:hAnsi="Times New Roman" w:cs="Times New Roman"/>
                <w:szCs w:val="20"/>
              </w:rPr>
              <w:t>REGRA</w:t>
            </w:r>
            <w:r w:rsidR="00353EE7" w:rsidRPr="00FA3856">
              <w:rPr>
                <w:rFonts w:ascii="Times New Roman" w:hAnsi="Times New Roman" w:cs="Times New Roman"/>
                <w:szCs w:val="20"/>
              </w:rPr>
              <w:t>_PEA</w:t>
            </w:r>
            <w:r w:rsidR="004F789D" w:rsidRPr="00FA3856">
              <w:rPr>
                <w:rFonts w:ascii="Times New Roman" w:hAnsi="Times New Roman" w:cs="Times New Roman"/>
                <w:szCs w:val="20"/>
              </w:rPr>
              <w:t>:</w:t>
            </w:r>
            <w:r w:rsidR="004F789D" w:rsidRPr="00FA3856">
              <w:rPr>
                <w:rFonts w:ascii="Times New Roman" w:hAnsi="Times New Roman" w:cs="Times New Roman"/>
                <w:b w:val="0"/>
                <w:szCs w:val="20"/>
              </w:rPr>
              <w:t xml:space="preserve"> Verifica as regras abaixo:</w:t>
            </w:r>
          </w:p>
          <w:p w:rsidR="005A0117" w:rsidRPr="00FA3856" w:rsidRDefault="005D3493" w:rsidP="007C4842">
            <w:pPr>
              <w:pStyle w:val="PSDS-MarcadoresNivel3"/>
              <w:tabs>
                <w:tab w:val="clear" w:pos="1440"/>
              </w:tabs>
              <w:spacing w:before="0" w:after="0"/>
              <w:ind w:left="720" w:firstLine="0"/>
              <w:rPr>
                <w:rFonts w:ascii="Times New Roman" w:hAnsi="Times New Roman" w:cs="Times New Roman"/>
                <w:b w:val="0"/>
                <w:szCs w:val="20"/>
              </w:rPr>
            </w:pPr>
            <w:r w:rsidRPr="00FA3856">
              <w:rPr>
                <w:rFonts w:ascii="Times New Roman" w:hAnsi="Times New Roman" w:cs="Times New Roman"/>
                <w:b w:val="0"/>
                <w:szCs w:val="20"/>
              </w:rPr>
              <w:t xml:space="preserve">- Se </w:t>
            </w:r>
            <w:r w:rsidR="00952ADB" w:rsidRPr="00FA3856">
              <w:rPr>
                <w:rFonts w:ascii="Times New Roman" w:hAnsi="Times New Roman" w:cs="Times New Roman"/>
                <w:b w:val="0"/>
                <w:szCs w:val="20"/>
              </w:rPr>
              <w:t xml:space="preserve">faz </w:t>
            </w:r>
            <w:r w:rsidRPr="00FA3856">
              <w:rPr>
                <w:rFonts w:ascii="Times New Roman" w:hAnsi="Times New Roman" w:cs="Times New Roman"/>
                <w:b w:val="0"/>
                <w:szCs w:val="20"/>
              </w:rPr>
              <w:t>adição</w:t>
            </w:r>
            <w:r w:rsidR="00952ADB" w:rsidRPr="00FA3856">
              <w:rPr>
                <w:rFonts w:ascii="Times New Roman" w:hAnsi="Times New Roman" w:cs="Times New Roman"/>
                <w:b w:val="0"/>
                <w:szCs w:val="20"/>
              </w:rPr>
              <w:t xml:space="preserve"> na parte A (crédito na parte A)</w:t>
            </w:r>
            <w:r w:rsidRPr="00FA3856">
              <w:rPr>
                <w:rFonts w:ascii="Times New Roman" w:hAnsi="Times New Roman" w:cs="Times New Roman"/>
                <w:b w:val="0"/>
                <w:szCs w:val="20"/>
              </w:rPr>
              <w:t>, debita na conta da parte B. </w:t>
            </w:r>
            <w:r w:rsidRPr="00FA3856">
              <w:rPr>
                <w:rFonts w:ascii="Times New Roman" w:hAnsi="Times New Roman" w:cs="Times New Roman"/>
                <w:b w:val="0"/>
                <w:szCs w:val="20"/>
              </w:rPr>
              <w:br/>
              <w:t xml:space="preserve">- Se </w:t>
            </w:r>
            <w:r w:rsidR="00952ADB" w:rsidRPr="00FA3856">
              <w:rPr>
                <w:rFonts w:ascii="Times New Roman" w:hAnsi="Times New Roman" w:cs="Times New Roman"/>
                <w:b w:val="0"/>
                <w:szCs w:val="20"/>
              </w:rPr>
              <w:t xml:space="preserve">faz </w:t>
            </w:r>
            <w:r w:rsidRPr="00FA3856">
              <w:rPr>
                <w:rFonts w:ascii="Times New Roman" w:hAnsi="Times New Roman" w:cs="Times New Roman"/>
                <w:b w:val="0"/>
                <w:szCs w:val="20"/>
              </w:rPr>
              <w:t>exclusão</w:t>
            </w:r>
            <w:r w:rsidR="00952ADB" w:rsidRPr="00FA3856">
              <w:rPr>
                <w:rFonts w:ascii="Times New Roman" w:hAnsi="Times New Roman" w:cs="Times New Roman"/>
                <w:b w:val="0"/>
                <w:szCs w:val="20"/>
              </w:rPr>
              <w:t xml:space="preserve"> na parte A (débito na parte A)</w:t>
            </w:r>
            <w:r w:rsidRPr="00FA3856">
              <w:rPr>
                <w:rFonts w:ascii="Times New Roman" w:hAnsi="Times New Roman" w:cs="Times New Roman"/>
                <w:b w:val="0"/>
                <w:szCs w:val="20"/>
              </w:rPr>
              <w:t>, credita conta da parte B. </w:t>
            </w:r>
            <w:r w:rsidRPr="00FA3856">
              <w:rPr>
                <w:rFonts w:ascii="Times New Roman" w:hAnsi="Times New Roman" w:cs="Times New Roman"/>
                <w:b w:val="0"/>
                <w:szCs w:val="20"/>
              </w:rPr>
              <w:br/>
              <w:t> - Se</w:t>
            </w:r>
            <w:r w:rsidR="00952ADB" w:rsidRPr="00FA3856">
              <w:rPr>
                <w:rFonts w:ascii="Times New Roman" w:hAnsi="Times New Roman" w:cs="Times New Roman"/>
                <w:b w:val="0"/>
                <w:szCs w:val="20"/>
              </w:rPr>
              <w:t xml:space="preserve"> compensa</w:t>
            </w:r>
            <w:r w:rsidRPr="00FA3856">
              <w:rPr>
                <w:rFonts w:ascii="Times New Roman" w:hAnsi="Times New Roman" w:cs="Times New Roman"/>
                <w:b w:val="0"/>
                <w:szCs w:val="20"/>
              </w:rPr>
              <w:t xml:space="preserve"> prejuízo</w:t>
            </w:r>
            <w:r w:rsidR="00952ADB" w:rsidRPr="00FA3856">
              <w:rPr>
                <w:rFonts w:ascii="Times New Roman" w:hAnsi="Times New Roman" w:cs="Times New Roman"/>
                <w:b w:val="0"/>
                <w:szCs w:val="20"/>
              </w:rPr>
              <w:t xml:space="preserve"> na parte A (débito na parte A</w:t>
            </w:r>
            <w:r w:rsidR="00607820" w:rsidRPr="00FA3856">
              <w:rPr>
                <w:rFonts w:ascii="Times New Roman" w:hAnsi="Times New Roman" w:cs="Times New Roman"/>
                <w:b w:val="0"/>
                <w:szCs w:val="20"/>
              </w:rPr>
              <w:t>), credita</w:t>
            </w:r>
            <w:r w:rsidR="00952ADB" w:rsidRPr="00FA3856">
              <w:rPr>
                <w:rFonts w:ascii="Times New Roman" w:hAnsi="Times New Roman" w:cs="Times New Roman"/>
                <w:b w:val="0"/>
                <w:szCs w:val="20"/>
              </w:rPr>
              <w:t xml:space="preserve"> conta da parte B.</w:t>
            </w:r>
            <w:r w:rsidRPr="00FA3856">
              <w:rPr>
                <w:rFonts w:ascii="Times New Roman" w:hAnsi="Times New Roman" w:cs="Times New Roman"/>
                <w:b w:val="0"/>
                <w:szCs w:val="20"/>
              </w:rPr>
              <w:t> </w:t>
            </w:r>
            <w:r w:rsidRPr="00FA3856">
              <w:rPr>
                <w:rFonts w:ascii="Times New Roman" w:hAnsi="Times New Roman" w:cs="Times New Roman"/>
                <w:b w:val="0"/>
                <w:szCs w:val="20"/>
              </w:rPr>
              <w:br/>
            </w:r>
          </w:p>
          <w:p w:rsidR="00353EE7" w:rsidRPr="00FA3856" w:rsidRDefault="00353EE7" w:rsidP="004F789D">
            <w:pPr>
              <w:pStyle w:val="PSDS-MarcadoresNivel3"/>
              <w:tabs>
                <w:tab w:val="clear" w:pos="1440"/>
              </w:tabs>
              <w:spacing w:before="0" w:after="0"/>
              <w:ind w:left="0" w:firstLine="0"/>
              <w:rPr>
                <w:rFonts w:ascii="Times New Roman" w:hAnsi="Times New Roman" w:cs="Times New Roman"/>
                <w:b w:val="0"/>
                <w:szCs w:val="20"/>
              </w:rPr>
            </w:pPr>
            <w:r w:rsidRPr="00FA3856">
              <w:rPr>
                <w:rFonts w:ascii="Times New Roman" w:hAnsi="Times New Roman" w:cs="Times New Roman"/>
                <w:b w:val="0"/>
                <w:szCs w:val="20"/>
              </w:rPr>
              <w:t xml:space="preserve">O erro ocorre se </w:t>
            </w:r>
            <w:r w:rsidR="00607820" w:rsidRPr="00FA3856">
              <w:rPr>
                <w:rFonts w:ascii="Times New Roman" w:hAnsi="Times New Roman" w:cs="Times New Roman"/>
                <w:b w:val="0"/>
                <w:szCs w:val="20"/>
              </w:rPr>
              <w:t>o campo</w:t>
            </w:r>
            <w:r w:rsidRPr="00FA3856">
              <w:rPr>
                <w:rFonts w:ascii="Times New Roman" w:hAnsi="Times New Roman" w:cs="Times New Roman"/>
                <w:b w:val="0"/>
                <w:szCs w:val="20"/>
              </w:rPr>
              <w:t xml:space="preserve"> </w:t>
            </w:r>
            <w:r w:rsidR="004F789D" w:rsidRPr="00FA3856">
              <w:rPr>
                <w:rFonts w:ascii="Times New Roman" w:hAnsi="Times New Roman" w:cs="Times New Roman"/>
                <w:b w:val="0"/>
                <w:szCs w:val="20"/>
              </w:rPr>
              <w:t>M300.TIPO_LANCAMENTO</w:t>
            </w:r>
            <w:r w:rsidRPr="00FA3856">
              <w:rPr>
                <w:rFonts w:ascii="Times New Roman" w:hAnsi="Times New Roman" w:cs="Times New Roman"/>
                <w:b w:val="0"/>
                <w:szCs w:val="20"/>
              </w:rPr>
              <w:t xml:space="preserve"> é igual a:</w:t>
            </w:r>
          </w:p>
          <w:p w:rsidR="00353EE7" w:rsidRPr="00FA3856" w:rsidRDefault="004F789D" w:rsidP="004F789D">
            <w:pPr>
              <w:pStyle w:val="PSDS-MarcadoresNivel3"/>
              <w:tabs>
                <w:tab w:val="clear" w:pos="1440"/>
              </w:tabs>
              <w:spacing w:before="0" w:after="0"/>
              <w:ind w:left="720" w:firstLine="0"/>
              <w:rPr>
                <w:rFonts w:ascii="Times New Roman" w:hAnsi="Times New Roman" w:cs="Times New Roman"/>
                <w:b w:val="0"/>
                <w:szCs w:val="20"/>
              </w:rPr>
            </w:pPr>
            <w:r w:rsidRPr="00FA3856">
              <w:rPr>
                <w:rFonts w:ascii="Times New Roman" w:hAnsi="Times New Roman" w:cs="Times New Roman"/>
                <w:b w:val="0"/>
                <w:szCs w:val="20"/>
              </w:rPr>
              <w:t>- “</w:t>
            </w:r>
            <w:r w:rsidR="00353EE7" w:rsidRPr="00FA3856">
              <w:rPr>
                <w:rFonts w:ascii="Times New Roman" w:hAnsi="Times New Roman" w:cs="Times New Roman"/>
                <w:b w:val="0"/>
                <w:szCs w:val="20"/>
              </w:rPr>
              <w:t>A</w:t>
            </w:r>
            <w:r w:rsidRPr="00FA3856">
              <w:rPr>
                <w:rFonts w:ascii="Times New Roman" w:hAnsi="Times New Roman" w:cs="Times New Roman"/>
                <w:b w:val="0"/>
                <w:szCs w:val="20"/>
              </w:rPr>
              <w:t>”</w:t>
            </w:r>
            <w:r w:rsidR="00353EE7" w:rsidRPr="00FA3856">
              <w:rPr>
                <w:rFonts w:ascii="Times New Roman" w:hAnsi="Times New Roman" w:cs="Times New Roman"/>
                <w:b w:val="0"/>
                <w:szCs w:val="20"/>
              </w:rPr>
              <w:t xml:space="preserve"> </w:t>
            </w:r>
            <w:r w:rsidRPr="00FA3856">
              <w:rPr>
                <w:rFonts w:ascii="Times New Roman" w:hAnsi="Times New Roman" w:cs="Times New Roman"/>
                <w:b w:val="0"/>
                <w:szCs w:val="20"/>
              </w:rPr>
              <w:t>(</w:t>
            </w:r>
            <w:r w:rsidR="00353EE7" w:rsidRPr="00FA3856">
              <w:rPr>
                <w:rFonts w:ascii="Times New Roman" w:hAnsi="Times New Roman" w:cs="Times New Roman"/>
                <w:b w:val="0"/>
                <w:szCs w:val="20"/>
              </w:rPr>
              <w:t>adição</w:t>
            </w:r>
            <w:r w:rsidRPr="00FA3856">
              <w:rPr>
                <w:rFonts w:ascii="Times New Roman" w:hAnsi="Times New Roman" w:cs="Times New Roman"/>
                <w:b w:val="0"/>
                <w:szCs w:val="20"/>
              </w:rPr>
              <w:t>)</w:t>
            </w:r>
            <w:r w:rsidR="00353EE7" w:rsidRPr="00FA3856">
              <w:rPr>
                <w:rFonts w:ascii="Times New Roman" w:hAnsi="Times New Roman" w:cs="Times New Roman"/>
                <w:b w:val="0"/>
                <w:szCs w:val="20"/>
              </w:rPr>
              <w:t xml:space="preserve"> e </w:t>
            </w:r>
            <w:r w:rsidR="001A17A0" w:rsidRPr="00FA3856">
              <w:rPr>
                <w:rFonts w:ascii="Times New Roman" w:hAnsi="Times New Roman" w:cs="Times New Roman"/>
                <w:b w:val="0"/>
                <w:szCs w:val="20"/>
              </w:rPr>
              <w:t>M305.</w:t>
            </w:r>
            <w:r w:rsidR="0094046A" w:rsidRPr="00FA3856">
              <w:rPr>
                <w:rFonts w:ascii="Times New Roman" w:hAnsi="Times New Roman" w:cs="Times New Roman"/>
                <w:b w:val="0"/>
                <w:szCs w:val="20"/>
              </w:rPr>
              <w:t>IND_VL_CTA</w:t>
            </w:r>
            <w:r w:rsidR="00375E89" w:rsidRPr="00FA3856">
              <w:rPr>
                <w:rFonts w:ascii="Times New Roman" w:hAnsi="Times New Roman" w:cs="Times New Roman"/>
                <w:b w:val="0"/>
                <w:szCs w:val="20"/>
              </w:rPr>
              <w:t xml:space="preserve"> </w:t>
            </w:r>
            <w:r w:rsidRPr="00FA3856">
              <w:rPr>
                <w:rFonts w:ascii="Times New Roman" w:hAnsi="Times New Roman" w:cs="Times New Roman"/>
                <w:b w:val="0"/>
                <w:szCs w:val="20"/>
              </w:rPr>
              <w:t xml:space="preserve">é igual a </w:t>
            </w:r>
            <w:r w:rsidR="00353EE7" w:rsidRPr="00FA3856">
              <w:rPr>
                <w:rFonts w:ascii="Times New Roman" w:hAnsi="Times New Roman" w:cs="Times New Roman"/>
                <w:b w:val="0"/>
                <w:szCs w:val="20"/>
              </w:rPr>
              <w:t xml:space="preserve">“C” </w:t>
            </w:r>
          </w:p>
          <w:p w:rsidR="00353EE7" w:rsidRPr="00FA3856" w:rsidRDefault="004F789D" w:rsidP="004F789D">
            <w:pPr>
              <w:pStyle w:val="PSDS-MarcadoresNivel3"/>
              <w:tabs>
                <w:tab w:val="clear" w:pos="1440"/>
              </w:tabs>
              <w:spacing w:before="0" w:after="0"/>
              <w:ind w:left="720" w:firstLine="0"/>
              <w:rPr>
                <w:rFonts w:ascii="Times New Roman" w:hAnsi="Times New Roman" w:cs="Times New Roman"/>
                <w:b w:val="0"/>
                <w:szCs w:val="20"/>
              </w:rPr>
            </w:pPr>
            <w:r w:rsidRPr="00FA3856">
              <w:rPr>
                <w:rFonts w:ascii="Times New Roman" w:hAnsi="Times New Roman" w:cs="Times New Roman"/>
                <w:b w:val="0"/>
                <w:szCs w:val="20"/>
              </w:rPr>
              <w:t>- “</w:t>
            </w:r>
            <w:r w:rsidR="00353EE7" w:rsidRPr="00FA3856">
              <w:rPr>
                <w:rFonts w:ascii="Times New Roman" w:hAnsi="Times New Roman" w:cs="Times New Roman"/>
                <w:b w:val="0"/>
                <w:szCs w:val="20"/>
              </w:rPr>
              <w:t>E</w:t>
            </w:r>
            <w:r w:rsidRPr="00FA3856">
              <w:rPr>
                <w:rFonts w:ascii="Times New Roman" w:hAnsi="Times New Roman" w:cs="Times New Roman"/>
                <w:b w:val="0"/>
                <w:szCs w:val="20"/>
              </w:rPr>
              <w:t>” (exclusão)</w:t>
            </w:r>
            <w:r w:rsidR="00353EE7" w:rsidRPr="00FA3856">
              <w:rPr>
                <w:rFonts w:ascii="Times New Roman" w:hAnsi="Times New Roman" w:cs="Times New Roman"/>
                <w:b w:val="0"/>
                <w:szCs w:val="20"/>
              </w:rPr>
              <w:t xml:space="preserve"> </w:t>
            </w:r>
            <w:r w:rsidR="0094046A" w:rsidRPr="00FA3856">
              <w:rPr>
                <w:rFonts w:ascii="Times New Roman" w:hAnsi="Times New Roman" w:cs="Times New Roman"/>
                <w:b w:val="0"/>
                <w:szCs w:val="20"/>
              </w:rPr>
              <w:t xml:space="preserve">e </w:t>
            </w:r>
            <w:r w:rsidR="001A17A0" w:rsidRPr="00FA3856">
              <w:rPr>
                <w:rFonts w:ascii="Times New Roman" w:hAnsi="Times New Roman" w:cs="Times New Roman"/>
                <w:b w:val="0"/>
                <w:szCs w:val="20"/>
              </w:rPr>
              <w:t>M305.</w:t>
            </w:r>
            <w:r w:rsidR="0094046A" w:rsidRPr="00FA3856">
              <w:rPr>
                <w:rFonts w:ascii="Times New Roman" w:hAnsi="Times New Roman" w:cs="Times New Roman"/>
                <w:b w:val="0"/>
                <w:szCs w:val="20"/>
              </w:rPr>
              <w:t>IND_VL_CTA</w:t>
            </w:r>
            <w:r w:rsidRPr="00FA3856">
              <w:rPr>
                <w:rFonts w:ascii="Times New Roman" w:hAnsi="Times New Roman" w:cs="Times New Roman"/>
                <w:b w:val="0"/>
                <w:szCs w:val="20"/>
              </w:rPr>
              <w:t xml:space="preserve"> é igual a “D”</w:t>
            </w:r>
          </w:p>
          <w:p w:rsidR="00353EE7" w:rsidRPr="00FA3856" w:rsidRDefault="004F789D" w:rsidP="004F789D">
            <w:pPr>
              <w:pStyle w:val="PSDS-MarcadoresNivel3"/>
              <w:tabs>
                <w:tab w:val="clear" w:pos="1440"/>
              </w:tabs>
              <w:spacing w:before="0" w:after="0"/>
              <w:ind w:left="720" w:firstLine="0"/>
              <w:rPr>
                <w:rFonts w:ascii="Times New Roman" w:hAnsi="Times New Roman" w:cs="Times New Roman"/>
                <w:b w:val="0"/>
                <w:szCs w:val="20"/>
              </w:rPr>
            </w:pPr>
            <w:r w:rsidRPr="00FA3856">
              <w:rPr>
                <w:rFonts w:ascii="Times New Roman" w:hAnsi="Times New Roman" w:cs="Times New Roman"/>
                <w:b w:val="0"/>
                <w:szCs w:val="20"/>
              </w:rPr>
              <w:t>- “</w:t>
            </w:r>
            <w:r w:rsidR="00353EE7" w:rsidRPr="00FA3856">
              <w:rPr>
                <w:rFonts w:ascii="Times New Roman" w:hAnsi="Times New Roman" w:cs="Times New Roman"/>
                <w:b w:val="0"/>
                <w:szCs w:val="20"/>
              </w:rPr>
              <w:t>P</w:t>
            </w:r>
            <w:r w:rsidRPr="00FA3856">
              <w:rPr>
                <w:rFonts w:ascii="Times New Roman" w:hAnsi="Times New Roman" w:cs="Times New Roman"/>
                <w:b w:val="0"/>
                <w:szCs w:val="20"/>
              </w:rPr>
              <w:t>”</w:t>
            </w:r>
            <w:r w:rsidR="00353EE7" w:rsidRPr="00FA3856">
              <w:rPr>
                <w:rFonts w:ascii="Times New Roman" w:hAnsi="Times New Roman" w:cs="Times New Roman"/>
                <w:b w:val="0"/>
                <w:szCs w:val="20"/>
              </w:rPr>
              <w:t xml:space="preserve"> </w:t>
            </w:r>
            <w:r w:rsidRPr="00FA3856">
              <w:rPr>
                <w:rFonts w:ascii="Times New Roman" w:hAnsi="Times New Roman" w:cs="Times New Roman"/>
                <w:b w:val="0"/>
                <w:szCs w:val="20"/>
              </w:rPr>
              <w:t>(compensaç</w:t>
            </w:r>
            <w:r w:rsidR="0094046A" w:rsidRPr="00FA3856">
              <w:rPr>
                <w:rFonts w:ascii="Times New Roman" w:hAnsi="Times New Roman" w:cs="Times New Roman"/>
                <w:b w:val="0"/>
                <w:szCs w:val="20"/>
              </w:rPr>
              <w:t xml:space="preserve">ão de prejuízos) e </w:t>
            </w:r>
            <w:r w:rsidR="001A17A0" w:rsidRPr="00FA3856">
              <w:rPr>
                <w:rFonts w:ascii="Times New Roman" w:hAnsi="Times New Roman" w:cs="Times New Roman"/>
                <w:b w:val="0"/>
                <w:szCs w:val="20"/>
              </w:rPr>
              <w:t>M305.</w:t>
            </w:r>
            <w:r w:rsidR="0094046A" w:rsidRPr="00FA3856">
              <w:rPr>
                <w:rFonts w:ascii="Times New Roman" w:hAnsi="Times New Roman" w:cs="Times New Roman"/>
                <w:b w:val="0"/>
                <w:szCs w:val="20"/>
              </w:rPr>
              <w:t>IND_VL_CTA</w:t>
            </w:r>
            <w:r w:rsidRPr="00FA3856">
              <w:rPr>
                <w:rFonts w:ascii="Times New Roman" w:hAnsi="Times New Roman" w:cs="Times New Roman"/>
                <w:b w:val="0"/>
                <w:szCs w:val="20"/>
              </w:rPr>
              <w:t xml:space="preserve"> é igual a “D”</w:t>
            </w:r>
          </w:p>
        </w:tc>
        <w:tc>
          <w:tcPr>
            <w:tcW w:w="717" w:type="dxa"/>
            <w:tcBorders>
              <w:top w:val="single" w:sz="6" w:space="0" w:color="auto"/>
              <w:left w:val="single" w:sz="6" w:space="0" w:color="auto"/>
              <w:bottom w:val="single" w:sz="6" w:space="0" w:color="auto"/>
              <w:right w:val="single" w:sz="6" w:space="0" w:color="auto"/>
            </w:tcBorders>
          </w:tcPr>
          <w:p w:rsidR="00353EE7" w:rsidRPr="00FA3856" w:rsidRDefault="001C1E84" w:rsidP="00353EE7">
            <w:pPr>
              <w:pStyle w:val="PSDS-CorpodeTexto0"/>
              <w:rPr>
                <w:rFonts w:ascii="Times New Roman" w:hAnsi="Times New Roman"/>
                <w:lang w:val="pt-PT"/>
              </w:rPr>
            </w:pPr>
            <w:r w:rsidRPr="00FA3856">
              <w:rPr>
                <w:rFonts w:ascii="Times New Roman" w:hAnsi="Times New Roman"/>
                <w:lang w:val="pt-PT"/>
              </w:rPr>
              <w:t>Aviso</w:t>
            </w:r>
          </w:p>
          <w:p w:rsidR="00353EE7" w:rsidRPr="00FA3856" w:rsidRDefault="00353EE7" w:rsidP="00353EE7">
            <w:pPr>
              <w:pStyle w:val="PSDS-CorpodeTexto0"/>
              <w:rPr>
                <w:rFonts w:ascii="Times New Roman" w:hAnsi="Times New Roman"/>
                <w:lang w:val="pt-PT"/>
              </w:rPr>
            </w:pPr>
          </w:p>
        </w:tc>
      </w:tr>
    </w:tbl>
    <w:p w:rsidR="00353EE7" w:rsidRPr="00FA3856" w:rsidRDefault="00353EE7" w:rsidP="005A78EA">
      <w:pPr>
        <w:pStyle w:val="PSDS-MarcadoresNivel3"/>
        <w:tabs>
          <w:tab w:val="clear" w:pos="1440"/>
        </w:tabs>
        <w:spacing w:before="0" w:after="0"/>
        <w:ind w:left="0" w:firstLine="0"/>
        <w:rPr>
          <w:rFonts w:ascii="Times New Roman" w:hAnsi="Times New Roman" w:cs="Times New Roman"/>
          <w:szCs w:val="20"/>
        </w:rPr>
      </w:pPr>
    </w:p>
    <w:p w:rsidR="00342F1D" w:rsidRDefault="00E16268" w:rsidP="00E16268">
      <w:pPr>
        <w:pStyle w:val="Corpodetexto"/>
        <w:rPr>
          <w:rFonts w:ascii="Times New Roman" w:hAnsi="Times New Roman"/>
          <w:b/>
          <w:color w:val="002060"/>
          <w:szCs w:val="20"/>
        </w:rPr>
      </w:pPr>
      <w:r w:rsidRPr="00FA3856">
        <w:rPr>
          <w:rFonts w:ascii="Times New Roman" w:hAnsi="Times New Roman"/>
          <w:b/>
          <w:color w:val="002060"/>
          <w:szCs w:val="20"/>
        </w:rPr>
        <w:t xml:space="preserve">Exemplo de Preenchimento: </w:t>
      </w:r>
    </w:p>
    <w:p w:rsidR="00342F1D" w:rsidRDefault="00342F1D" w:rsidP="00E16268">
      <w:pPr>
        <w:pStyle w:val="Corpodetexto"/>
        <w:rPr>
          <w:rFonts w:ascii="Times New Roman" w:hAnsi="Times New Roman"/>
          <w:b/>
          <w:color w:val="002060"/>
          <w:szCs w:val="20"/>
        </w:rPr>
      </w:pPr>
    </w:p>
    <w:p w:rsidR="00E16268" w:rsidRPr="00FA3856" w:rsidRDefault="00E16268" w:rsidP="00E16268">
      <w:pPr>
        <w:pStyle w:val="Corpodetexto"/>
        <w:rPr>
          <w:rFonts w:ascii="Times New Roman" w:hAnsi="Times New Roman"/>
          <w:b/>
          <w:color w:val="002060"/>
          <w:szCs w:val="20"/>
        </w:rPr>
      </w:pPr>
      <w:r w:rsidRPr="00FA3856">
        <w:rPr>
          <w:rFonts w:ascii="Times New Roman" w:hAnsi="Times New Roman"/>
          <w:b/>
          <w:color w:val="002060"/>
          <w:szCs w:val="20"/>
        </w:rPr>
        <w:t>|M305|101|2000,00|D|</w:t>
      </w:r>
    </w:p>
    <w:p w:rsidR="00E16268" w:rsidRPr="00FA3856" w:rsidRDefault="00E16268" w:rsidP="00E16268">
      <w:pPr>
        <w:pStyle w:val="Corpodetexto"/>
        <w:ind w:firstLine="708"/>
        <w:rPr>
          <w:rFonts w:ascii="Times New Roman" w:hAnsi="Times New Roman"/>
          <w:color w:val="002060"/>
          <w:szCs w:val="20"/>
        </w:rPr>
      </w:pPr>
      <w:r w:rsidRPr="00FA3856">
        <w:rPr>
          <w:rFonts w:ascii="Times New Roman" w:hAnsi="Times New Roman"/>
          <w:color w:val="002060"/>
          <w:szCs w:val="20"/>
        </w:rPr>
        <w:t>|M305|: Identificação do tipo do registro.</w:t>
      </w:r>
    </w:p>
    <w:p w:rsidR="00E16268" w:rsidRPr="00FA3856" w:rsidRDefault="00E16268" w:rsidP="00E16268">
      <w:pPr>
        <w:pStyle w:val="Corpodetexto"/>
        <w:ind w:firstLine="708"/>
        <w:rPr>
          <w:rFonts w:ascii="Times New Roman" w:hAnsi="Times New Roman"/>
          <w:color w:val="002060"/>
          <w:szCs w:val="20"/>
        </w:rPr>
      </w:pPr>
      <w:r w:rsidRPr="00FA3856">
        <w:rPr>
          <w:rFonts w:ascii="Times New Roman" w:hAnsi="Times New Roman"/>
          <w:color w:val="002060"/>
          <w:szCs w:val="20"/>
        </w:rPr>
        <w:t>|101|: Código da conta na parte B.</w:t>
      </w:r>
    </w:p>
    <w:p w:rsidR="00E16268" w:rsidRPr="00FA3856" w:rsidRDefault="00E16268" w:rsidP="00E16268">
      <w:pPr>
        <w:pStyle w:val="Corpodetexto"/>
        <w:ind w:firstLine="708"/>
        <w:rPr>
          <w:rFonts w:ascii="Times New Roman" w:hAnsi="Times New Roman"/>
          <w:color w:val="002060"/>
          <w:szCs w:val="20"/>
        </w:rPr>
      </w:pPr>
      <w:r w:rsidRPr="00FA3856">
        <w:rPr>
          <w:rFonts w:ascii="Times New Roman" w:hAnsi="Times New Roman"/>
          <w:color w:val="002060"/>
          <w:szCs w:val="20"/>
        </w:rPr>
        <w:t>|2000,00|: Valor total dos lançamentos adicionados ou excluídos da conta (R$ 2.000,00).</w:t>
      </w:r>
    </w:p>
    <w:p w:rsidR="00E16268" w:rsidRPr="00FA3856" w:rsidRDefault="00E16268" w:rsidP="00E16268">
      <w:pPr>
        <w:ind w:firstLine="708"/>
        <w:jc w:val="both"/>
        <w:rPr>
          <w:szCs w:val="20"/>
        </w:rPr>
      </w:pPr>
      <w:r w:rsidRPr="00FA3856">
        <w:rPr>
          <w:color w:val="002060"/>
          <w:szCs w:val="20"/>
        </w:rPr>
        <w:t>|D|: Indicador do valor do lançamento (D = Prejuízos ou valores que reduzam a base de cálculo da contribuição social em períodos subsequentes).</w:t>
      </w:r>
    </w:p>
    <w:p w:rsidR="00E16268" w:rsidRPr="00FA3856" w:rsidRDefault="00E16268" w:rsidP="005A78EA">
      <w:pPr>
        <w:pStyle w:val="PSDS-MarcadoresNivel3"/>
        <w:tabs>
          <w:tab w:val="clear" w:pos="1440"/>
        </w:tabs>
        <w:spacing w:before="0" w:after="0"/>
        <w:ind w:left="0" w:firstLine="0"/>
        <w:rPr>
          <w:rFonts w:ascii="Times New Roman" w:hAnsi="Times New Roman" w:cs="Times New Roman"/>
          <w:szCs w:val="20"/>
        </w:rPr>
      </w:pPr>
    </w:p>
    <w:p w:rsidR="00E16268" w:rsidRPr="00FA3856" w:rsidRDefault="00E16268">
      <w:pPr>
        <w:spacing w:after="200" w:line="276" w:lineRule="auto"/>
        <w:rPr>
          <w:b/>
          <w:bCs/>
          <w:color w:val="0000FF"/>
          <w:szCs w:val="20"/>
        </w:rPr>
      </w:pPr>
      <w:r w:rsidRPr="00FA3856">
        <w:rPr>
          <w:color w:val="0000FF"/>
          <w:szCs w:val="20"/>
        </w:rPr>
        <w:br w:type="page"/>
      </w:r>
    </w:p>
    <w:p w:rsidR="005A78EA" w:rsidRPr="00FA3856" w:rsidRDefault="005A78EA" w:rsidP="00867F54">
      <w:pPr>
        <w:pStyle w:val="Ttulo4"/>
      </w:pPr>
      <w:bookmarkStart w:id="201" w:name="_Toc479713727"/>
      <w:r w:rsidRPr="00FA3856">
        <w:lastRenderedPageBreak/>
        <w:t>Registro M310: Contas Contábeis Relacionadas ao Lançamento da Parte A do e-Lalur</w:t>
      </w:r>
      <w:bookmarkEnd w:id="201"/>
    </w:p>
    <w:p w:rsidR="005A78EA" w:rsidRPr="00FA3856" w:rsidRDefault="005A78EA" w:rsidP="005A78EA">
      <w:pPr>
        <w:rPr>
          <w:szCs w:val="20"/>
        </w:rPr>
      </w:pPr>
    </w:p>
    <w:p w:rsidR="005A78EA" w:rsidRPr="00FA3856" w:rsidRDefault="005A78EA" w:rsidP="005A78EA">
      <w:pPr>
        <w:pStyle w:val="PSDS-MarcadoresNivel1"/>
        <w:numPr>
          <w:ilvl w:val="0"/>
          <w:numId w:val="0"/>
        </w:numPr>
        <w:spacing w:before="0" w:after="0"/>
        <w:ind w:firstLine="708"/>
        <w:rPr>
          <w:rFonts w:ascii="Times New Roman" w:hAnsi="Times New Roman"/>
          <w:b w:val="0"/>
          <w:bCs/>
        </w:rPr>
      </w:pPr>
      <w:r w:rsidRPr="00FA3856">
        <w:rPr>
          <w:rFonts w:ascii="Times New Roman" w:hAnsi="Times New Roman"/>
          <w:b w:val="0"/>
        </w:rPr>
        <w:t xml:space="preserve">Relaciona </w:t>
      </w:r>
      <w:r w:rsidR="00607820" w:rsidRPr="00FA3856">
        <w:rPr>
          <w:rFonts w:ascii="Times New Roman" w:hAnsi="Times New Roman"/>
          <w:b w:val="0"/>
        </w:rPr>
        <w:t>os</w:t>
      </w:r>
      <w:r w:rsidRPr="00FA3856">
        <w:rPr>
          <w:rFonts w:ascii="Times New Roman" w:hAnsi="Times New Roman"/>
          <w:b w:val="0"/>
        </w:rPr>
        <w:t xml:space="preserve"> lançamentos da parte A do e-Lalur com as contas contábeis.</w:t>
      </w:r>
    </w:p>
    <w:p w:rsidR="00181F8F" w:rsidRDefault="00181F8F" w:rsidP="00282055">
      <w:pPr>
        <w:rPr>
          <w:b/>
          <w:bCs/>
          <w:szCs w:val="20"/>
          <w:lang w:val="pt-PT"/>
        </w:rPr>
      </w:pPr>
    </w:p>
    <w:p w:rsidR="00181F8F" w:rsidRDefault="00B35FA3" w:rsidP="00181F8F">
      <w:pPr>
        <w:jc w:val="center"/>
        <w:rPr>
          <w:b/>
          <w:bCs/>
          <w:szCs w:val="20"/>
          <w:lang w:val="pt-PT"/>
        </w:rPr>
      </w:pPr>
      <w:r>
        <w:rPr>
          <w:b/>
          <w:bCs/>
          <w:szCs w:val="20"/>
          <w:lang w:val="pt-PT"/>
        </w:rPr>
        <w:object w:dxaOrig="13845" w:dyaOrig="4950">
          <v:shape id="_x0000_i1698" type="#_x0000_t75" style="width:690.75pt;height:249pt" o:ole="">
            <v:imagedata r:id="rId299" o:title=""/>
          </v:shape>
          <o:OLEObject Type="Link" ProgID="Excel.Sheet.12" ShapeID="_x0000_i1698" DrawAspect="Content" r:id="rId300" UpdateMode="Always">
            <o:LinkType>EnhancedMetaFile</o:LinkType>
            <o:LockedField>false</o:LockedField>
          </o:OLEObject>
        </w:object>
      </w:r>
    </w:p>
    <w:p w:rsidR="00181F8F" w:rsidRDefault="00181F8F" w:rsidP="00282055">
      <w:pPr>
        <w:rPr>
          <w:b/>
          <w:bCs/>
          <w:szCs w:val="20"/>
          <w:lang w:val="pt-PT"/>
        </w:rPr>
      </w:pPr>
    </w:p>
    <w:p w:rsidR="00282055" w:rsidRPr="00FA3856" w:rsidRDefault="00282055" w:rsidP="00282055">
      <w:pPr>
        <w:rPr>
          <w:b/>
          <w:bCs/>
          <w:szCs w:val="20"/>
          <w:lang w:val="pt-PT"/>
        </w:rPr>
      </w:pPr>
      <w:r w:rsidRPr="00FA3856">
        <w:rPr>
          <w:b/>
          <w:bCs/>
          <w:szCs w:val="20"/>
          <w:lang w:val="pt-PT"/>
        </w:rPr>
        <w:t>I – Regras de Validação do Registro:</w:t>
      </w:r>
    </w:p>
    <w:p w:rsidR="00E16268" w:rsidRPr="00FA3856" w:rsidRDefault="00E16268" w:rsidP="00282055">
      <w:pPr>
        <w:rPr>
          <w:b/>
          <w:bCs/>
          <w:szCs w:val="20"/>
          <w:lang w:val="pt-PT"/>
        </w:rPr>
      </w:pPr>
    </w:p>
    <w:p w:rsidR="00D51B27" w:rsidRPr="00FA3856" w:rsidRDefault="00D51B27" w:rsidP="00D51B27">
      <w:pPr>
        <w:pStyle w:val="PSDS-CorpodeTexto0"/>
        <w:ind w:left="708"/>
        <w:jc w:val="both"/>
        <w:rPr>
          <w:rFonts w:ascii="Times New Roman" w:hAnsi="Times New Roman"/>
          <w:bCs/>
          <w:lang w:val="pt-PT"/>
        </w:rPr>
      </w:pPr>
      <w:r w:rsidRPr="00FA3856">
        <w:rPr>
          <w:rFonts w:ascii="Times New Roman" w:hAnsi="Times New Roman"/>
          <w:b/>
          <w:bCs/>
          <w:lang w:val="pt-PT"/>
        </w:rPr>
        <w:t xml:space="preserve">REGRA_REGISTRO_M312_OBRIGATORIO: </w:t>
      </w:r>
      <w:r w:rsidRPr="00FA3856">
        <w:rPr>
          <w:rFonts w:ascii="Times New Roman" w:hAnsi="Times New Roman"/>
          <w:bCs/>
          <w:lang w:val="pt-PT"/>
        </w:rPr>
        <w:t xml:space="preserve">Verifica se o registro M312 foi preenchido no caso de </w:t>
      </w:r>
      <w:r w:rsidR="00375E89" w:rsidRPr="00FA3856">
        <w:rPr>
          <w:rFonts w:ascii="Times New Roman" w:hAnsi="Times New Roman"/>
          <w:bCs/>
          <w:lang w:val="pt-PT"/>
        </w:rPr>
        <w:t>M310.VL_CTA</w:t>
      </w:r>
      <w:r w:rsidRPr="00FA3856">
        <w:rPr>
          <w:rFonts w:ascii="Times New Roman" w:hAnsi="Times New Roman"/>
          <w:bCs/>
          <w:lang w:val="pt-PT"/>
        </w:rPr>
        <w:t xml:space="preserve">, para o mesmo </w:t>
      </w:r>
      <w:r w:rsidR="00375E89" w:rsidRPr="00FA3856">
        <w:rPr>
          <w:rFonts w:ascii="Times New Roman" w:hAnsi="Times New Roman"/>
          <w:bCs/>
          <w:lang w:val="pt-PT"/>
        </w:rPr>
        <w:t xml:space="preserve">M310.COD_CTA </w:t>
      </w:r>
      <w:r w:rsidRPr="00FA3856">
        <w:rPr>
          <w:rFonts w:ascii="Times New Roman" w:hAnsi="Times New Roman"/>
          <w:bCs/>
          <w:lang w:val="pt-PT"/>
        </w:rPr>
        <w:t xml:space="preserve">e </w:t>
      </w:r>
      <w:r w:rsidR="00375E89" w:rsidRPr="00FA3856">
        <w:rPr>
          <w:rFonts w:ascii="Times New Roman" w:hAnsi="Times New Roman"/>
          <w:bCs/>
          <w:lang w:val="pt-PT"/>
        </w:rPr>
        <w:t>M310.COD_CCUS</w:t>
      </w:r>
      <w:r w:rsidRPr="00FA3856">
        <w:rPr>
          <w:rFonts w:ascii="Times New Roman" w:hAnsi="Times New Roman"/>
          <w:bCs/>
          <w:lang w:val="pt-PT"/>
        </w:rPr>
        <w:t>:</w:t>
      </w:r>
    </w:p>
    <w:p w:rsidR="00D51B27" w:rsidRPr="00FA3856" w:rsidRDefault="00D51B27" w:rsidP="00D51B27">
      <w:pPr>
        <w:pStyle w:val="PSDS-CorpodeTexto0"/>
        <w:ind w:left="708"/>
        <w:jc w:val="both"/>
        <w:rPr>
          <w:rFonts w:ascii="Times New Roman" w:hAnsi="Times New Roman"/>
          <w:bCs/>
          <w:lang w:val="pt-PT"/>
        </w:rPr>
      </w:pPr>
    </w:p>
    <w:p w:rsidR="00D51B27" w:rsidRPr="00FA3856" w:rsidRDefault="00D51B27" w:rsidP="00D51B27">
      <w:pPr>
        <w:pStyle w:val="PSDS-CorpodeTexto0"/>
        <w:ind w:left="708"/>
        <w:jc w:val="both"/>
        <w:rPr>
          <w:rFonts w:ascii="Times New Roman" w:hAnsi="Times New Roman"/>
          <w:bCs/>
          <w:lang w:val="pt-PT"/>
        </w:rPr>
      </w:pPr>
      <w:r w:rsidRPr="00FA3856">
        <w:rPr>
          <w:rFonts w:ascii="Times New Roman" w:hAnsi="Times New Roman"/>
          <w:bCs/>
          <w:lang w:val="pt-PT"/>
        </w:rPr>
        <w:t xml:space="preserve">- </w:t>
      </w:r>
      <w:r w:rsidR="00375E89" w:rsidRPr="00FA3856">
        <w:rPr>
          <w:rFonts w:ascii="Times New Roman" w:hAnsi="Times New Roman"/>
          <w:bCs/>
          <w:lang w:val="pt-PT"/>
        </w:rPr>
        <w:t xml:space="preserve">No caso de J050.COD_NAT </w:t>
      </w:r>
      <w:r w:rsidRPr="00FA3856">
        <w:rPr>
          <w:rFonts w:ascii="Times New Roman" w:hAnsi="Times New Roman"/>
          <w:bCs/>
          <w:lang w:val="pt-PT"/>
        </w:rPr>
        <w:t xml:space="preserve">igual </w:t>
      </w:r>
      <w:r w:rsidR="00CD37AE" w:rsidRPr="00FA3856">
        <w:rPr>
          <w:rFonts w:ascii="Times New Roman" w:hAnsi="Times New Roman"/>
          <w:bCs/>
          <w:lang w:val="pt-PT"/>
        </w:rPr>
        <w:t>a</w:t>
      </w:r>
      <w:r w:rsidRPr="00FA3856">
        <w:rPr>
          <w:rFonts w:ascii="Times New Roman" w:hAnsi="Times New Roman"/>
          <w:bCs/>
          <w:lang w:val="pt-PT"/>
        </w:rPr>
        <w:t>“1” (Ativo), “2” (Passivo) ou “3” (Patrimônio Líquido):</w:t>
      </w:r>
    </w:p>
    <w:p w:rsidR="003571AB" w:rsidRDefault="00D51B27" w:rsidP="003571AB">
      <w:pPr>
        <w:pStyle w:val="PSDS-CorpodeTexto0"/>
        <w:ind w:left="708" w:firstLine="708"/>
        <w:jc w:val="both"/>
        <w:rPr>
          <w:rFonts w:ascii="Times New Roman" w:hAnsi="Times New Roman"/>
          <w:bCs/>
          <w:lang w:val="pt-PT"/>
        </w:rPr>
      </w:pPr>
      <w:r w:rsidRPr="00FA3856">
        <w:rPr>
          <w:rFonts w:ascii="Times New Roman" w:hAnsi="Times New Roman"/>
          <w:bCs/>
          <w:lang w:val="pt-PT"/>
        </w:rPr>
        <w:t>- For diferente do saldo final da conta em K155.</w:t>
      </w:r>
      <w:r w:rsidR="00375E89" w:rsidRPr="00FA3856">
        <w:rPr>
          <w:rFonts w:ascii="Times New Roman" w:hAnsi="Times New Roman"/>
          <w:lang w:val="es-ES_tradnl"/>
        </w:rPr>
        <w:t xml:space="preserve">VL_SLD_FIN </w:t>
      </w:r>
      <w:r w:rsidR="00042EF7" w:rsidRPr="00FA3856">
        <w:rPr>
          <w:rFonts w:ascii="Times New Roman" w:hAnsi="Times New Roman"/>
          <w:bCs/>
          <w:lang w:val="pt-PT"/>
        </w:rPr>
        <w:t>no período de apuração; ou</w:t>
      </w:r>
      <w:r w:rsidR="003571AB">
        <w:rPr>
          <w:rFonts w:ascii="Times New Roman" w:hAnsi="Times New Roman"/>
          <w:bCs/>
          <w:lang w:val="pt-PT"/>
        </w:rPr>
        <w:tab/>
      </w:r>
    </w:p>
    <w:p w:rsidR="00D51B27" w:rsidRPr="00FA3856" w:rsidRDefault="00D51B27" w:rsidP="003571AB">
      <w:pPr>
        <w:pStyle w:val="PSDS-CorpodeTexto0"/>
        <w:ind w:left="1416"/>
        <w:jc w:val="both"/>
        <w:rPr>
          <w:rFonts w:ascii="Times New Roman" w:hAnsi="Times New Roman"/>
          <w:bCs/>
          <w:lang w:val="pt-PT"/>
        </w:rPr>
      </w:pPr>
      <w:r w:rsidRPr="00FA3856">
        <w:rPr>
          <w:rFonts w:ascii="Times New Roman" w:hAnsi="Times New Roman"/>
          <w:bCs/>
          <w:lang w:val="pt-PT"/>
        </w:rPr>
        <w:t>- For diferente do resultado da diferença entre o saldo final da conta em K155.</w:t>
      </w:r>
      <w:r w:rsidRPr="00FA3856">
        <w:rPr>
          <w:rFonts w:ascii="Times New Roman" w:hAnsi="Times New Roman"/>
          <w:lang w:val="es-ES_tradnl"/>
        </w:rPr>
        <w:t>VL_SLD_FIN</w:t>
      </w:r>
      <w:r w:rsidR="00375E89" w:rsidRPr="00FA3856">
        <w:rPr>
          <w:rFonts w:ascii="Times New Roman" w:hAnsi="Times New Roman"/>
          <w:bCs/>
          <w:lang w:val="pt-PT"/>
        </w:rPr>
        <w:t xml:space="preserve"> </w:t>
      </w:r>
      <w:r w:rsidRPr="00FA3856">
        <w:rPr>
          <w:rFonts w:ascii="Times New Roman" w:hAnsi="Times New Roman"/>
          <w:bCs/>
          <w:lang w:val="pt-PT"/>
        </w:rPr>
        <w:t>e o saldo inicial da c</w:t>
      </w:r>
      <w:r w:rsidR="00375E89" w:rsidRPr="00FA3856">
        <w:rPr>
          <w:rFonts w:ascii="Times New Roman" w:hAnsi="Times New Roman"/>
          <w:bCs/>
          <w:lang w:val="pt-PT"/>
        </w:rPr>
        <w:t xml:space="preserve">onta em K155.VL_SLD_INI </w:t>
      </w:r>
      <w:r w:rsidRPr="00FA3856">
        <w:rPr>
          <w:rFonts w:ascii="Times New Roman" w:hAnsi="Times New Roman"/>
          <w:bCs/>
          <w:lang w:val="pt-PT"/>
        </w:rPr>
        <w:t>no período de apuração</w:t>
      </w:r>
      <w:r w:rsidR="00042EF7" w:rsidRPr="00FA3856">
        <w:rPr>
          <w:rFonts w:ascii="Times New Roman" w:hAnsi="Times New Roman"/>
          <w:bCs/>
          <w:lang w:val="pt-PT"/>
        </w:rPr>
        <w:t xml:space="preserve"> (saldo do período); ou</w:t>
      </w:r>
    </w:p>
    <w:p w:rsidR="00042EF7" w:rsidRPr="00FA3856" w:rsidRDefault="00042EF7" w:rsidP="003571AB">
      <w:pPr>
        <w:pStyle w:val="PSDS-CorpodeTexto0"/>
        <w:ind w:left="708" w:firstLine="708"/>
        <w:jc w:val="both"/>
        <w:rPr>
          <w:rFonts w:ascii="Times New Roman" w:hAnsi="Times New Roman"/>
          <w:bCs/>
          <w:lang w:val="pt-PT"/>
        </w:rPr>
      </w:pPr>
      <w:r w:rsidRPr="00FA3856">
        <w:rPr>
          <w:rFonts w:ascii="Times New Roman" w:hAnsi="Times New Roman"/>
          <w:bCs/>
          <w:lang w:val="pt-PT"/>
        </w:rPr>
        <w:t xml:space="preserve">- For diferente do total de débitos </w:t>
      </w:r>
      <w:r w:rsidR="00375E89" w:rsidRPr="00FA3856">
        <w:rPr>
          <w:rFonts w:ascii="Times New Roman" w:hAnsi="Times New Roman"/>
          <w:bCs/>
          <w:lang w:val="pt-PT"/>
        </w:rPr>
        <w:t>da conta em K155.VL_DEB</w:t>
      </w:r>
      <w:r w:rsidRPr="00FA3856">
        <w:rPr>
          <w:rFonts w:ascii="Times New Roman" w:hAnsi="Times New Roman"/>
          <w:bCs/>
          <w:lang w:val="pt-PT"/>
        </w:rPr>
        <w:t>; ou</w:t>
      </w:r>
    </w:p>
    <w:p w:rsidR="00042EF7" w:rsidRPr="00FA3856" w:rsidRDefault="00042EF7" w:rsidP="003571AB">
      <w:pPr>
        <w:pStyle w:val="PSDS-CorpodeTexto0"/>
        <w:ind w:left="708" w:firstLine="708"/>
        <w:jc w:val="both"/>
        <w:rPr>
          <w:rFonts w:ascii="Times New Roman" w:hAnsi="Times New Roman"/>
          <w:bCs/>
          <w:lang w:val="pt-PT"/>
        </w:rPr>
      </w:pPr>
      <w:r w:rsidRPr="00FA3856">
        <w:rPr>
          <w:rFonts w:ascii="Times New Roman" w:hAnsi="Times New Roman"/>
          <w:bCs/>
          <w:lang w:val="pt-PT"/>
        </w:rPr>
        <w:t>- For diferente do total de crédito d</w:t>
      </w:r>
      <w:r w:rsidR="00375E89" w:rsidRPr="00FA3856">
        <w:rPr>
          <w:rFonts w:ascii="Times New Roman" w:hAnsi="Times New Roman"/>
          <w:bCs/>
          <w:lang w:val="pt-PT"/>
        </w:rPr>
        <w:t>a conta me K155_VL_CRED.</w:t>
      </w:r>
    </w:p>
    <w:p w:rsidR="00D51B27" w:rsidRPr="00FA3856" w:rsidRDefault="00D51B27" w:rsidP="00D51B27">
      <w:pPr>
        <w:pStyle w:val="PSDS-CorpodeTexto0"/>
        <w:ind w:left="708"/>
        <w:jc w:val="both"/>
        <w:rPr>
          <w:rFonts w:ascii="Times New Roman" w:hAnsi="Times New Roman"/>
          <w:bCs/>
          <w:lang w:val="pt-PT"/>
        </w:rPr>
      </w:pPr>
    </w:p>
    <w:p w:rsidR="00D51B27" w:rsidRPr="00FA3856" w:rsidRDefault="00D51B27" w:rsidP="00D51B27">
      <w:pPr>
        <w:pStyle w:val="PSDS-CorpodeTexto0"/>
        <w:ind w:left="708"/>
        <w:jc w:val="both"/>
        <w:rPr>
          <w:rFonts w:ascii="Times New Roman" w:hAnsi="Times New Roman"/>
          <w:bCs/>
          <w:lang w:val="pt-PT"/>
        </w:rPr>
      </w:pPr>
      <w:r w:rsidRPr="00FA3856">
        <w:rPr>
          <w:rFonts w:ascii="Times New Roman" w:hAnsi="Times New Roman"/>
          <w:bCs/>
          <w:lang w:val="pt-PT"/>
        </w:rPr>
        <w:t xml:space="preserve">- </w:t>
      </w:r>
      <w:r w:rsidR="00375E89" w:rsidRPr="00FA3856">
        <w:rPr>
          <w:rFonts w:ascii="Times New Roman" w:hAnsi="Times New Roman"/>
          <w:bCs/>
          <w:lang w:val="pt-PT"/>
        </w:rPr>
        <w:t xml:space="preserve">No caso de J050.COD_NAT </w:t>
      </w:r>
      <w:r w:rsidRPr="00FA3856">
        <w:rPr>
          <w:rFonts w:ascii="Times New Roman" w:hAnsi="Times New Roman"/>
          <w:bCs/>
          <w:lang w:val="pt-PT"/>
        </w:rPr>
        <w:t>igual “4” (Contas de Resultado), for diferente do saldo final da conta em K355.</w:t>
      </w:r>
      <w:r w:rsidR="00375E89" w:rsidRPr="00FA3856">
        <w:rPr>
          <w:rFonts w:ascii="Times New Roman" w:hAnsi="Times New Roman"/>
          <w:color w:val="000000"/>
          <w:shd w:val="clear" w:color="auto" w:fill="FFFFFF"/>
          <w:lang w:val="pt-PT"/>
        </w:rPr>
        <w:t>VL_SLD_FIN</w:t>
      </w:r>
      <w:r w:rsidRPr="00FA3856">
        <w:rPr>
          <w:rFonts w:ascii="Times New Roman" w:hAnsi="Times New Roman"/>
          <w:bCs/>
          <w:lang w:val="pt-PT"/>
        </w:rPr>
        <w:t>.</w:t>
      </w:r>
    </w:p>
    <w:p w:rsidR="00D51B27" w:rsidRPr="00FA3856" w:rsidRDefault="00D51B27" w:rsidP="00D51B27">
      <w:pPr>
        <w:pStyle w:val="PSDS-CorpodeTexto0"/>
        <w:ind w:firstLine="708"/>
        <w:jc w:val="both"/>
        <w:rPr>
          <w:rFonts w:ascii="Times New Roman" w:hAnsi="Times New Roman"/>
          <w:bCs/>
          <w:lang w:val="pt-PT"/>
        </w:rPr>
      </w:pPr>
      <w:r w:rsidRPr="00FA3856">
        <w:rPr>
          <w:rFonts w:ascii="Times New Roman" w:hAnsi="Times New Roman"/>
          <w:bCs/>
          <w:lang w:val="pt-PT"/>
        </w:rPr>
        <w:t>Se a regra não for cumprida, o sistema gera um erro.</w:t>
      </w:r>
    </w:p>
    <w:p w:rsidR="00B24D5A" w:rsidRPr="00FA3856" w:rsidRDefault="009E2D8D" w:rsidP="00B24D5A">
      <w:pPr>
        <w:rPr>
          <w:b/>
          <w:bCs/>
          <w:szCs w:val="20"/>
          <w:lang w:val="pt-PT"/>
        </w:rPr>
      </w:pPr>
      <w:r>
        <w:rPr>
          <w:b/>
          <w:bCs/>
          <w:szCs w:val="20"/>
          <w:lang w:val="pt-PT"/>
        </w:rPr>
        <w:lastRenderedPageBreak/>
        <w:t>II</w:t>
      </w:r>
      <w:r w:rsidR="00B24D5A" w:rsidRPr="00FA3856">
        <w:rPr>
          <w:b/>
          <w:bCs/>
          <w:szCs w:val="20"/>
          <w:lang w:val="pt-PT"/>
        </w:rPr>
        <w:t xml:space="preserve"> – Regras de Validação de Campos:</w:t>
      </w:r>
    </w:p>
    <w:p w:rsidR="00B24D5A" w:rsidRPr="00FA3856" w:rsidRDefault="00B24D5A" w:rsidP="00B24D5A">
      <w:pPr>
        <w:rPr>
          <w:b/>
          <w:bCs/>
          <w:szCs w:val="20"/>
          <w:lang w:val="pt-PT"/>
        </w:rPr>
      </w:pPr>
    </w:p>
    <w:tbl>
      <w:tblPr>
        <w:tblW w:w="16370"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85"/>
        <w:gridCol w:w="3000"/>
        <w:gridCol w:w="12168"/>
        <w:gridCol w:w="717"/>
      </w:tblGrid>
      <w:tr w:rsidR="00B24D5A" w:rsidRPr="00FA3856" w:rsidTr="00E16268">
        <w:trPr>
          <w:jc w:val="center"/>
        </w:trPr>
        <w:tc>
          <w:tcPr>
            <w:tcW w:w="485" w:type="dxa"/>
            <w:tcBorders>
              <w:top w:val="single" w:sz="6" w:space="0" w:color="auto"/>
              <w:left w:val="single" w:sz="6" w:space="0" w:color="auto"/>
              <w:bottom w:val="single" w:sz="6" w:space="0" w:color="auto"/>
              <w:right w:val="single" w:sz="6" w:space="0" w:color="auto"/>
            </w:tcBorders>
            <w:shd w:val="pct10" w:color="auto" w:fill="FFFFFF"/>
          </w:tcPr>
          <w:p w:rsidR="00B24D5A" w:rsidRPr="00FA3856" w:rsidRDefault="00B24D5A" w:rsidP="0046613B">
            <w:pPr>
              <w:pStyle w:val="PSDS-CorpodeTexto0"/>
              <w:jc w:val="center"/>
              <w:rPr>
                <w:rFonts w:ascii="Times New Roman" w:hAnsi="Times New Roman"/>
                <w:b/>
                <w:bCs/>
              </w:rPr>
            </w:pPr>
            <w:r w:rsidRPr="00FA3856">
              <w:rPr>
                <w:rFonts w:ascii="Times New Roman" w:hAnsi="Times New Roman"/>
                <w:b/>
                <w:bCs/>
              </w:rPr>
              <w:t>Nº</w:t>
            </w:r>
          </w:p>
        </w:tc>
        <w:tc>
          <w:tcPr>
            <w:tcW w:w="3000" w:type="dxa"/>
            <w:tcBorders>
              <w:top w:val="single" w:sz="6" w:space="0" w:color="auto"/>
              <w:left w:val="single" w:sz="6" w:space="0" w:color="auto"/>
              <w:bottom w:val="single" w:sz="6" w:space="0" w:color="auto"/>
              <w:right w:val="single" w:sz="6" w:space="0" w:color="auto"/>
            </w:tcBorders>
            <w:shd w:val="pct10" w:color="auto" w:fill="FFFFFF"/>
          </w:tcPr>
          <w:p w:rsidR="00B24D5A" w:rsidRPr="00FA3856" w:rsidRDefault="00B24D5A" w:rsidP="0046613B">
            <w:pPr>
              <w:pStyle w:val="PSDS-CorpodeTexto0"/>
              <w:jc w:val="center"/>
              <w:rPr>
                <w:rFonts w:ascii="Times New Roman" w:hAnsi="Times New Roman"/>
                <w:b/>
                <w:bCs/>
              </w:rPr>
            </w:pPr>
            <w:r w:rsidRPr="00FA3856">
              <w:rPr>
                <w:rFonts w:ascii="Times New Roman" w:hAnsi="Times New Roman"/>
                <w:b/>
                <w:bCs/>
              </w:rPr>
              <w:t>Campo</w:t>
            </w:r>
          </w:p>
        </w:tc>
        <w:tc>
          <w:tcPr>
            <w:tcW w:w="12168" w:type="dxa"/>
            <w:tcBorders>
              <w:top w:val="single" w:sz="6" w:space="0" w:color="auto"/>
              <w:left w:val="single" w:sz="6" w:space="0" w:color="auto"/>
              <w:bottom w:val="single" w:sz="6" w:space="0" w:color="auto"/>
              <w:right w:val="single" w:sz="6" w:space="0" w:color="auto"/>
            </w:tcBorders>
            <w:shd w:val="pct10" w:color="auto" w:fill="FFFFFF"/>
          </w:tcPr>
          <w:p w:rsidR="00B24D5A" w:rsidRPr="00FA3856" w:rsidRDefault="00B24D5A" w:rsidP="0046613B">
            <w:pPr>
              <w:pStyle w:val="PSDS-CorpodeTexto0"/>
              <w:jc w:val="center"/>
              <w:rPr>
                <w:rFonts w:ascii="Times New Roman" w:hAnsi="Times New Roman"/>
                <w:b/>
                <w:bCs/>
              </w:rPr>
            </w:pPr>
            <w:r w:rsidRPr="00FA3856">
              <w:rPr>
                <w:rFonts w:ascii="Times New Roman" w:hAnsi="Times New Roman"/>
                <w:b/>
                <w:bCs/>
              </w:rPr>
              <w:t>Regras de Validação do Campo</w:t>
            </w:r>
          </w:p>
        </w:tc>
        <w:tc>
          <w:tcPr>
            <w:tcW w:w="717" w:type="dxa"/>
            <w:tcBorders>
              <w:top w:val="single" w:sz="6" w:space="0" w:color="auto"/>
              <w:left w:val="single" w:sz="6" w:space="0" w:color="auto"/>
              <w:bottom w:val="single" w:sz="6" w:space="0" w:color="auto"/>
              <w:right w:val="single" w:sz="6" w:space="0" w:color="auto"/>
            </w:tcBorders>
            <w:shd w:val="pct10" w:color="auto" w:fill="FFFFFF"/>
          </w:tcPr>
          <w:p w:rsidR="00B24D5A" w:rsidRPr="00FA3856" w:rsidRDefault="00B24D5A" w:rsidP="0046613B">
            <w:pPr>
              <w:pStyle w:val="PSDS-CorpodeTexto0"/>
              <w:jc w:val="center"/>
              <w:rPr>
                <w:rFonts w:ascii="Times New Roman" w:hAnsi="Times New Roman"/>
                <w:b/>
                <w:bCs/>
              </w:rPr>
            </w:pPr>
            <w:r w:rsidRPr="00FA3856">
              <w:rPr>
                <w:rFonts w:ascii="Times New Roman" w:hAnsi="Times New Roman"/>
                <w:b/>
                <w:bCs/>
              </w:rPr>
              <w:t>Tipo</w:t>
            </w:r>
          </w:p>
        </w:tc>
      </w:tr>
      <w:tr w:rsidR="00282055" w:rsidRPr="00FA3856" w:rsidTr="00E16268">
        <w:trPr>
          <w:jc w:val="center"/>
        </w:trPr>
        <w:tc>
          <w:tcPr>
            <w:tcW w:w="485" w:type="dxa"/>
            <w:tcBorders>
              <w:top w:val="single" w:sz="6" w:space="0" w:color="auto"/>
              <w:left w:val="single" w:sz="6" w:space="0" w:color="auto"/>
              <w:bottom w:val="single" w:sz="6" w:space="0" w:color="auto"/>
              <w:right w:val="single" w:sz="6" w:space="0" w:color="auto"/>
            </w:tcBorders>
          </w:tcPr>
          <w:p w:rsidR="00282055" w:rsidRPr="00FA3856" w:rsidRDefault="00282055" w:rsidP="00723FE4">
            <w:pPr>
              <w:pStyle w:val="PSDS-CorpodeTexto0"/>
              <w:suppressAutoHyphens w:val="0"/>
              <w:rPr>
                <w:rFonts w:ascii="Times New Roman" w:hAnsi="Times New Roman"/>
                <w:b/>
                <w:bCs/>
                <w:lang w:val="pt-PT"/>
              </w:rPr>
            </w:pPr>
            <w:r w:rsidRPr="00FA3856">
              <w:rPr>
                <w:rFonts w:ascii="Times New Roman" w:hAnsi="Times New Roman"/>
                <w:b/>
                <w:bCs/>
                <w:lang w:val="pt-PT"/>
              </w:rPr>
              <w:t>2</w:t>
            </w:r>
          </w:p>
        </w:tc>
        <w:tc>
          <w:tcPr>
            <w:tcW w:w="3000" w:type="dxa"/>
            <w:tcBorders>
              <w:top w:val="single" w:sz="6" w:space="0" w:color="auto"/>
              <w:left w:val="single" w:sz="6" w:space="0" w:color="auto"/>
              <w:bottom w:val="single" w:sz="6" w:space="0" w:color="auto"/>
              <w:right w:val="single" w:sz="6" w:space="0" w:color="auto"/>
            </w:tcBorders>
          </w:tcPr>
          <w:p w:rsidR="00282055" w:rsidRPr="00FA3856" w:rsidRDefault="00282055" w:rsidP="00723FE4">
            <w:pPr>
              <w:pStyle w:val="PSDS-CorpodeTexto0"/>
              <w:rPr>
                <w:rFonts w:ascii="Times New Roman" w:hAnsi="Times New Roman"/>
                <w:lang w:val="pt-PT"/>
              </w:rPr>
            </w:pPr>
            <w:r w:rsidRPr="00FA3856">
              <w:rPr>
                <w:rFonts w:ascii="Times New Roman" w:hAnsi="Times New Roman"/>
                <w:lang w:val="pt-PT"/>
              </w:rPr>
              <w:t>COD_CTA</w:t>
            </w:r>
          </w:p>
        </w:tc>
        <w:tc>
          <w:tcPr>
            <w:tcW w:w="12168" w:type="dxa"/>
            <w:tcBorders>
              <w:top w:val="single" w:sz="6" w:space="0" w:color="auto"/>
              <w:left w:val="single" w:sz="6" w:space="0" w:color="auto"/>
              <w:bottom w:val="single" w:sz="6" w:space="0" w:color="auto"/>
              <w:right w:val="single" w:sz="6" w:space="0" w:color="auto"/>
            </w:tcBorders>
          </w:tcPr>
          <w:p w:rsidR="00282055" w:rsidRDefault="00282055" w:rsidP="00723FE4">
            <w:pPr>
              <w:pStyle w:val="PSDS-CorpodeTexto0"/>
              <w:rPr>
                <w:rFonts w:ascii="Times New Roman" w:hAnsi="Times New Roman"/>
              </w:rPr>
            </w:pPr>
            <w:r w:rsidRPr="00FA3856">
              <w:rPr>
                <w:rFonts w:ascii="Times New Roman" w:hAnsi="Times New Roman"/>
                <w:b/>
              </w:rPr>
              <w:t>REGRA_RELACIONAMENTO_PATRIMONIAL:</w:t>
            </w:r>
            <w:r w:rsidR="00FC3B72" w:rsidRPr="00FA3856">
              <w:rPr>
                <w:rFonts w:ascii="Times New Roman" w:hAnsi="Times New Roman"/>
                <w:b/>
              </w:rPr>
              <w:t xml:space="preserve"> </w:t>
            </w:r>
            <w:r w:rsidR="00FC3B72" w:rsidRPr="00FA3856">
              <w:rPr>
                <w:rFonts w:ascii="Times New Roman" w:hAnsi="Times New Roman"/>
              </w:rPr>
              <w:t>Verifica se a natureza da conta é patrimonial.</w:t>
            </w:r>
          </w:p>
          <w:p w:rsidR="001A091D" w:rsidRDefault="001A091D" w:rsidP="00723FE4">
            <w:pPr>
              <w:pStyle w:val="PSDS-CorpodeTexto0"/>
              <w:rPr>
                <w:rFonts w:ascii="Times New Roman" w:hAnsi="Times New Roman"/>
              </w:rPr>
            </w:pPr>
          </w:p>
          <w:p w:rsidR="001A091D" w:rsidRPr="001A091D" w:rsidRDefault="001A091D" w:rsidP="00723FE4">
            <w:pPr>
              <w:pStyle w:val="PSDS-CorpodeTexto0"/>
              <w:rPr>
                <w:rFonts w:ascii="Times New Roman" w:hAnsi="Times New Roman"/>
                <w:lang w:val="pt-PT"/>
              </w:rPr>
            </w:pPr>
            <w:r w:rsidRPr="001A091D">
              <w:rPr>
                <w:rFonts w:ascii="Times New Roman" w:hAnsi="Times New Roman"/>
                <w:b/>
                <w:highlight w:val="yellow"/>
              </w:rPr>
              <w:t xml:space="preserve">REGRA_VALIDA_CONTA_BALANCO_DRE: </w:t>
            </w:r>
            <w:r w:rsidRPr="001A091D">
              <w:rPr>
                <w:rFonts w:ascii="Times New Roman" w:hAnsi="Times New Roman"/>
                <w:highlight w:val="yellow"/>
              </w:rPr>
              <w:t>Verifica se o campo M310.COD_CTA e o campo M310.COD_CCUS existem no registro K155 ou no registro K355 para o mesmo período de apuração.</w:t>
            </w:r>
          </w:p>
        </w:tc>
        <w:tc>
          <w:tcPr>
            <w:tcW w:w="717" w:type="dxa"/>
            <w:tcBorders>
              <w:top w:val="single" w:sz="6" w:space="0" w:color="auto"/>
              <w:left w:val="single" w:sz="6" w:space="0" w:color="auto"/>
              <w:bottom w:val="single" w:sz="6" w:space="0" w:color="auto"/>
              <w:right w:val="single" w:sz="6" w:space="0" w:color="auto"/>
            </w:tcBorders>
          </w:tcPr>
          <w:p w:rsidR="00282055" w:rsidRDefault="00FC3B72" w:rsidP="00723FE4">
            <w:pPr>
              <w:pStyle w:val="PSDS-CorpodeTexto0"/>
              <w:rPr>
                <w:rFonts w:ascii="Times New Roman" w:hAnsi="Times New Roman"/>
                <w:lang w:val="pt-PT"/>
              </w:rPr>
            </w:pPr>
            <w:r w:rsidRPr="00FA3856">
              <w:rPr>
                <w:rFonts w:ascii="Times New Roman" w:hAnsi="Times New Roman"/>
                <w:lang w:val="pt-PT"/>
              </w:rPr>
              <w:t>Aviso</w:t>
            </w:r>
          </w:p>
          <w:p w:rsidR="001A091D" w:rsidRDefault="001A091D" w:rsidP="00723FE4">
            <w:pPr>
              <w:pStyle w:val="PSDS-CorpodeTexto0"/>
              <w:rPr>
                <w:rFonts w:ascii="Times New Roman" w:hAnsi="Times New Roman"/>
                <w:lang w:val="pt-PT"/>
              </w:rPr>
            </w:pPr>
          </w:p>
          <w:p w:rsidR="001A091D" w:rsidRPr="00FA3856" w:rsidRDefault="001A091D" w:rsidP="00723FE4">
            <w:pPr>
              <w:pStyle w:val="PSDS-CorpodeTexto0"/>
              <w:rPr>
                <w:rFonts w:ascii="Times New Roman" w:hAnsi="Times New Roman"/>
                <w:lang w:val="pt-PT"/>
              </w:rPr>
            </w:pPr>
            <w:r w:rsidRPr="001A091D">
              <w:rPr>
                <w:rFonts w:ascii="Times New Roman" w:hAnsi="Times New Roman"/>
                <w:highlight w:val="yellow"/>
                <w:lang w:val="pt-PT"/>
              </w:rPr>
              <w:t>Erro</w:t>
            </w:r>
          </w:p>
          <w:p w:rsidR="00282055" w:rsidRPr="00FA3856" w:rsidRDefault="00282055" w:rsidP="00723FE4">
            <w:pPr>
              <w:pStyle w:val="PSDS-CorpodeTexto0"/>
              <w:rPr>
                <w:rFonts w:ascii="Times New Roman" w:hAnsi="Times New Roman"/>
                <w:lang w:val="pt-PT"/>
              </w:rPr>
            </w:pPr>
          </w:p>
        </w:tc>
      </w:tr>
      <w:tr w:rsidR="00956C46" w:rsidRPr="00FA3856" w:rsidTr="00E16268">
        <w:trPr>
          <w:jc w:val="center"/>
        </w:trPr>
        <w:tc>
          <w:tcPr>
            <w:tcW w:w="485" w:type="dxa"/>
            <w:tcBorders>
              <w:top w:val="single" w:sz="6" w:space="0" w:color="auto"/>
              <w:left w:val="single" w:sz="6" w:space="0" w:color="auto"/>
              <w:bottom w:val="single" w:sz="6" w:space="0" w:color="auto"/>
              <w:right w:val="single" w:sz="6" w:space="0" w:color="auto"/>
            </w:tcBorders>
          </w:tcPr>
          <w:p w:rsidR="00956C46" w:rsidRPr="00FA3856" w:rsidRDefault="00956C46" w:rsidP="00723FE4">
            <w:pPr>
              <w:pStyle w:val="PSDS-CorpodeTexto0"/>
              <w:suppressAutoHyphens w:val="0"/>
              <w:rPr>
                <w:rFonts w:ascii="Times New Roman" w:hAnsi="Times New Roman"/>
                <w:b/>
                <w:bCs/>
                <w:lang w:val="pt-PT"/>
              </w:rPr>
            </w:pPr>
            <w:r w:rsidRPr="00FA3856">
              <w:rPr>
                <w:rFonts w:ascii="Times New Roman" w:hAnsi="Times New Roman"/>
                <w:b/>
                <w:bCs/>
                <w:lang w:val="pt-PT"/>
              </w:rPr>
              <w:t>4</w:t>
            </w:r>
          </w:p>
        </w:tc>
        <w:tc>
          <w:tcPr>
            <w:tcW w:w="3000" w:type="dxa"/>
            <w:tcBorders>
              <w:top w:val="single" w:sz="6" w:space="0" w:color="auto"/>
              <w:left w:val="single" w:sz="6" w:space="0" w:color="auto"/>
              <w:bottom w:val="single" w:sz="6" w:space="0" w:color="auto"/>
              <w:right w:val="single" w:sz="6" w:space="0" w:color="auto"/>
            </w:tcBorders>
          </w:tcPr>
          <w:p w:rsidR="00956C46" w:rsidRPr="00FA3856" w:rsidRDefault="00956C46" w:rsidP="00723FE4">
            <w:pPr>
              <w:pStyle w:val="PSDS-CorpodeTexto0"/>
              <w:rPr>
                <w:rFonts w:ascii="Times New Roman" w:hAnsi="Times New Roman"/>
                <w:lang w:val="pt-PT"/>
              </w:rPr>
            </w:pPr>
            <w:r w:rsidRPr="00FA3856">
              <w:rPr>
                <w:rFonts w:ascii="Times New Roman" w:hAnsi="Times New Roman"/>
                <w:lang w:val="pt-PT"/>
              </w:rPr>
              <w:t>VL_CTA</w:t>
            </w:r>
          </w:p>
        </w:tc>
        <w:tc>
          <w:tcPr>
            <w:tcW w:w="12168" w:type="dxa"/>
            <w:tcBorders>
              <w:top w:val="single" w:sz="6" w:space="0" w:color="auto"/>
              <w:left w:val="single" w:sz="6" w:space="0" w:color="auto"/>
              <w:bottom w:val="single" w:sz="6" w:space="0" w:color="auto"/>
              <w:right w:val="single" w:sz="6" w:space="0" w:color="auto"/>
            </w:tcBorders>
          </w:tcPr>
          <w:p w:rsidR="00956C46" w:rsidRPr="00FA3856" w:rsidRDefault="00956C46" w:rsidP="00723FE4">
            <w:pPr>
              <w:pStyle w:val="PSDS-CorpodeTexto0"/>
              <w:rPr>
                <w:rFonts w:ascii="Times New Roman" w:hAnsi="Times New Roman"/>
              </w:rPr>
            </w:pPr>
            <w:r w:rsidRPr="00FA3856">
              <w:rPr>
                <w:rFonts w:ascii="Times New Roman" w:hAnsi="Times New Roman"/>
                <w:b/>
              </w:rPr>
              <w:t xml:space="preserve">REGRA_SALDO_CONTABIL_MENOR: </w:t>
            </w:r>
            <w:r w:rsidRPr="00FA3856">
              <w:rPr>
                <w:rFonts w:ascii="Times New Roman" w:hAnsi="Times New Roman"/>
              </w:rPr>
              <w:t xml:space="preserve">Verifica se </w:t>
            </w:r>
            <w:r w:rsidR="001A17A0" w:rsidRPr="00FA3856">
              <w:rPr>
                <w:rFonts w:ascii="Times New Roman" w:hAnsi="Times New Roman"/>
              </w:rPr>
              <w:t xml:space="preserve">M310.VL_CTA </w:t>
            </w:r>
            <w:r w:rsidRPr="00FA3856">
              <w:rPr>
                <w:rFonts w:ascii="Times New Roman" w:hAnsi="Times New Roman"/>
              </w:rPr>
              <w:t>é menor ou igual ao saldo final da conta no período menos os outros lançament</w:t>
            </w:r>
            <w:r w:rsidR="001E0CF5" w:rsidRPr="00FA3856">
              <w:rPr>
                <w:rFonts w:ascii="Times New Roman" w:hAnsi="Times New Roman"/>
              </w:rPr>
              <w:t>os no mesmo período de apuração para a parte A.</w:t>
            </w:r>
          </w:p>
          <w:p w:rsidR="00956C46" w:rsidRPr="00FA3856" w:rsidRDefault="00956C46" w:rsidP="00723FE4">
            <w:pPr>
              <w:pStyle w:val="PSDS-CorpodeTexto0"/>
              <w:rPr>
                <w:rFonts w:ascii="Times New Roman" w:hAnsi="Times New Roman"/>
                <w:b/>
              </w:rPr>
            </w:pPr>
          </w:p>
          <w:p w:rsidR="00956C46" w:rsidRPr="00FA3856" w:rsidRDefault="00956C46" w:rsidP="00375E89">
            <w:pPr>
              <w:pStyle w:val="PSDS-CorpodeTexto0"/>
              <w:rPr>
                <w:rFonts w:ascii="Times New Roman" w:hAnsi="Times New Roman"/>
                <w:lang w:val="pt-PT"/>
              </w:rPr>
            </w:pPr>
            <w:r w:rsidRPr="00FA3856">
              <w:rPr>
                <w:rFonts w:ascii="Times New Roman" w:hAnsi="Times New Roman"/>
                <w:b/>
              </w:rPr>
              <w:t>REGRA_OBRIGATORIA_M310_VL_CTA:</w:t>
            </w:r>
            <w:r w:rsidRPr="00FA3856">
              <w:rPr>
                <w:rFonts w:ascii="Times New Roman" w:hAnsi="Times New Roman"/>
              </w:rPr>
              <w:t xml:space="preserve"> Verifica se </w:t>
            </w:r>
            <w:r w:rsidR="001A17A0" w:rsidRPr="00FA3856">
              <w:rPr>
                <w:rFonts w:ascii="Times New Roman" w:hAnsi="Times New Roman"/>
              </w:rPr>
              <w:t xml:space="preserve">M310.VL_CTA </w:t>
            </w:r>
            <w:r w:rsidRPr="00FA3856">
              <w:rPr>
                <w:rFonts w:ascii="Times New Roman" w:hAnsi="Times New Roman"/>
              </w:rPr>
              <w:t>foi preenchido quando M300.</w:t>
            </w:r>
            <w:r w:rsidRPr="00FA3856">
              <w:rPr>
                <w:rFonts w:ascii="Times New Roman" w:hAnsi="Times New Roman"/>
                <w:lang w:val="pt-PT"/>
              </w:rPr>
              <w:t xml:space="preserve"> IND_RELACAO for igual a “2” (com conta contábil).</w:t>
            </w:r>
          </w:p>
        </w:tc>
        <w:tc>
          <w:tcPr>
            <w:tcW w:w="717" w:type="dxa"/>
            <w:tcBorders>
              <w:top w:val="single" w:sz="6" w:space="0" w:color="auto"/>
              <w:left w:val="single" w:sz="6" w:space="0" w:color="auto"/>
              <w:bottom w:val="single" w:sz="6" w:space="0" w:color="auto"/>
              <w:right w:val="single" w:sz="6" w:space="0" w:color="auto"/>
            </w:tcBorders>
          </w:tcPr>
          <w:p w:rsidR="00956C46" w:rsidRPr="00FA3856" w:rsidRDefault="00956C46" w:rsidP="00723FE4">
            <w:pPr>
              <w:pStyle w:val="PSDS-CorpodeTexto0"/>
              <w:rPr>
                <w:rFonts w:ascii="Times New Roman" w:hAnsi="Times New Roman"/>
                <w:lang w:val="pt-PT"/>
              </w:rPr>
            </w:pPr>
            <w:r w:rsidRPr="00FA3856">
              <w:rPr>
                <w:rFonts w:ascii="Times New Roman" w:hAnsi="Times New Roman"/>
                <w:lang w:val="pt-PT"/>
              </w:rPr>
              <w:t>Erro</w:t>
            </w:r>
          </w:p>
          <w:p w:rsidR="00956C46" w:rsidRPr="00FA3856" w:rsidRDefault="00956C46" w:rsidP="00723FE4">
            <w:pPr>
              <w:pStyle w:val="PSDS-CorpodeTexto0"/>
              <w:rPr>
                <w:rFonts w:ascii="Times New Roman" w:hAnsi="Times New Roman"/>
                <w:lang w:val="pt-PT"/>
              </w:rPr>
            </w:pPr>
          </w:p>
          <w:p w:rsidR="00956C46" w:rsidRPr="00FA3856" w:rsidRDefault="00956C46" w:rsidP="00723FE4">
            <w:pPr>
              <w:pStyle w:val="PSDS-CorpodeTexto0"/>
              <w:rPr>
                <w:rFonts w:ascii="Times New Roman" w:hAnsi="Times New Roman"/>
                <w:lang w:val="pt-PT"/>
              </w:rPr>
            </w:pPr>
            <w:r w:rsidRPr="00FA3856">
              <w:rPr>
                <w:rFonts w:ascii="Times New Roman" w:hAnsi="Times New Roman"/>
                <w:lang w:val="pt-PT"/>
              </w:rPr>
              <w:t>Erro</w:t>
            </w:r>
          </w:p>
          <w:p w:rsidR="00956C46" w:rsidRPr="00FA3856" w:rsidRDefault="00956C46" w:rsidP="00723FE4">
            <w:pPr>
              <w:pStyle w:val="PSDS-CorpodeTexto0"/>
              <w:rPr>
                <w:rFonts w:ascii="Times New Roman" w:hAnsi="Times New Roman"/>
                <w:lang w:val="pt-PT"/>
              </w:rPr>
            </w:pPr>
          </w:p>
        </w:tc>
      </w:tr>
      <w:tr w:rsidR="00042EF7" w:rsidRPr="00FA3856" w:rsidTr="00001BD0">
        <w:trPr>
          <w:jc w:val="center"/>
        </w:trPr>
        <w:tc>
          <w:tcPr>
            <w:tcW w:w="485" w:type="dxa"/>
            <w:tcBorders>
              <w:top w:val="single" w:sz="6" w:space="0" w:color="auto"/>
              <w:left w:val="single" w:sz="6" w:space="0" w:color="auto"/>
              <w:bottom w:val="single" w:sz="6" w:space="0" w:color="auto"/>
              <w:right w:val="single" w:sz="6" w:space="0" w:color="auto"/>
            </w:tcBorders>
          </w:tcPr>
          <w:p w:rsidR="00042EF7" w:rsidRPr="00FA3856" w:rsidRDefault="00042EF7" w:rsidP="00001BD0">
            <w:pPr>
              <w:pStyle w:val="PSDS-CorpodeTexto0"/>
              <w:suppressAutoHyphens w:val="0"/>
              <w:rPr>
                <w:rFonts w:ascii="Times New Roman" w:hAnsi="Times New Roman"/>
                <w:b/>
                <w:bCs/>
                <w:lang w:val="pt-PT"/>
              </w:rPr>
            </w:pPr>
            <w:r w:rsidRPr="00FA3856">
              <w:rPr>
                <w:rFonts w:ascii="Times New Roman" w:hAnsi="Times New Roman"/>
                <w:b/>
                <w:bCs/>
                <w:lang w:val="pt-PT"/>
              </w:rPr>
              <w:t>5</w:t>
            </w:r>
          </w:p>
        </w:tc>
        <w:tc>
          <w:tcPr>
            <w:tcW w:w="3000" w:type="dxa"/>
            <w:tcBorders>
              <w:top w:val="single" w:sz="6" w:space="0" w:color="auto"/>
              <w:left w:val="single" w:sz="6" w:space="0" w:color="auto"/>
              <w:bottom w:val="single" w:sz="6" w:space="0" w:color="auto"/>
              <w:right w:val="single" w:sz="6" w:space="0" w:color="auto"/>
            </w:tcBorders>
          </w:tcPr>
          <w:p w:rsidR="00042EF7" w:rsidRPr="00FA3856" w:rsidRDefault="00042EF7" w:rsidP="00001BD0">
            <w:pPr>
              <w:pStyle w:val="PSDS-CorpodeTexto0"/>
              <w:rPr>
                <w:rFonts w:ascii="Times New Roman" w:hAnsi="Times New Roman"/>
                <w:lang w:val="pt-PT"/>
              </w:rPr>
            </w:pPr>
            <w:r w:rsidRPr="00FA3856">
              <w:rPr>
                <w:rFonts w:ascii="Times New Roman" w:hAnsi="Times New Roman"/>
                <w:lang w:val="pt-PT"/>
              </w:rPr>
              <w:t>IND_VL_CTA</w:t>
            </w:r>
          </w:p>
        </w:tc>
        <w:tc>
          <w:tcPr>
            <w:tcW w:w="12168" w:type="dxa"/>
            <w:tcBorders>
              <w:top w:val="single" w:sz="6" w:space="0" w:color="auto"/>
              <w:left w:val="single" w:sz="6" w:space="0" w:color="auto"/>
              <w:bottom w:val="single" w:sz="6" w:space="0" w:color="auto"/>
              <w:right w:val="single" w:sz="6" w:space="0" w:color="auto"/>
            </w:tcBorders>
          </w:tcPr>
          <w:p w:rsidR="00042EF7" w:rsidRPr="00FA3856" w:rsidRDefault="00042EF7" w:rsidP="00001BD0">
            <w:pPr>
              <w:pStyle w:val="PSDS-CorpodeTexto0"/>
              <w:rPr>
                <w:rFonts w:ascii="Times New Roman" w:hAnsi="Times New Roman"/>
                <w:lang w:val="pt-PT"/>
              </w:rPr>
            </w:pPr>
            <w:r w:rsidRPr="00FA3856">
              <w:rPr>
                <w:rFonts w:ascii="Times New Roman" w:hAnsi="Times New Roman"/>
                <w:b/>
              </w:rPr>
              <w:t xml:space="preserve">REGRA_INDICADOR_CONTABIL_DIFERENTE: </w:t>
            </w:r>
            <w:r w:rsidRPr="00FA3856">
              <w:rPr>
                <w:rFonts w:ascii="Times New Roman" w:hAnsi="Times New Roman"/>
              </w:rPr>
              <w:t>Verifica se o indicador do saldo final da conta no período é igual ao indicador do valor da conta utilizado no relacio</w:t>
            </w:r>
            <w:r w:rsidR="00375E89" w:rsidRPr="00FA3856">
              <w:rPr>
                <w:rFonts w:ascii="Times New Roman" w:hAnsi="Times New Roman"/>
              </w:rPr>
              <w:t>namento M310.IND_VL_CTA</w:t>
            </w:r>
            <w:r w:rsidRPr="00FA3856">
              <w:rPr>
                <w:rFonts w:ascii="Times New Roman" w:hAnsi="Times New Roman"/>
              </w:rPr>
              <w:t>.</w:t>
            </w:r>
          </w:p>
        </w:tc>
        <w:tc>
          <w:tcPr>
            <w:tcW w:w="717" w:type="dxa"/>
            <w:tcBorders>
              <w:top w:val="single" w:sz="6" w:space="0" w:color="auto"/>
              <w:left w:val="single" w:sz="6" w:space="0" w:color="auto"/>
              <w:bottom w:val="single" w:sz="6" w:space="0" w:color="auto"/>
              <w:right w:val="single" w:sz="6" w:space="0" w:color="auto"/>
            </w:tcBorders>
          </w:tcPr>
          <w:p w:rsidR="00042EF7" w:rsidRPr="00FA3856" w:rsidRDefault="00215A82" w:rsidP="00001BD0">
            <w:pPr>
              <w:pStyle w:val="PSDS-CorpodeTexto0"/>
              <w:rPr>
                <w:rFonts w:ascii="Times New Roman" w:hAnsi="Times New Roman"/>
                <w:lang w:val="pt-PT"/>
              </w:rPr>
            </w:pPr>
            <w:r>
              <w:rPr>
                <w:rFonts w:ascii="Times New Roman" w:hAnsi="Times New Roman"/>
                <w:lang w:val="pt-PT"/>
              </w:rPr>
              <w:t>Aviso</w:t>
            </w:r>
          </w:p>
        </w:tc>
      </w:tr>
    </w:tbl>
    <w:p w:rsidR="00E16268" w:rsidRPr="00FA3856" w:rsidRDefault="00E16268" w:rsidP="00E16268">
      <w:pPr>
        <w:pStyle w:val="Corpodetexto"/>
        <w:rPr>
          <w:rFonts w:ascii="Times New Roman" w:hAnsi="Times New Roman"/>
          <w:b/>
          <w:color w:val="002060"/>
          <w:szCs w:val="20"/>
        </w:rPr>
      </w:pPr>
    </w:p>
    <w:p w:rsidR="00342F1D" w:rsidRDefault="00E16268" w:rsidP="00E16268">
      <w:pPr>
        <w:pStyle w:val="Corpodetexto"/>
        <w:rPr>
          <w:rFonts w:ascii="Times New Roman" w:hAnsi="Times New Roman"/>
          <w:b/>
          <w:color w:val="002060"/>
          <w:szCs w:val="20"/>
        </w:rPr>
      </w:pPr>
      <w:r w:rsidRPr="00FA3856">
        <w:rPr>
          <w:rFonts w:ascii="Times New Roman" w:hAnsi="Times New Roman"/>
          <w:b/>
          <w:color w:val="002060"/>
          <w:szCs w:val="20"/>
        </w:rPr>
        <w:t xml:space="preserve">Exemplo de Preenchimento: </w:t>
      </w:r>
    </w:p>
    <w:p w:rsidR="00342F1D" w:rsidRDefault="00342F1D" w:rsidP="00E16268">
      <w:pPr>
        <w:pStyle w:val="Corpodetexto"/>
        <w:rPr>
          <w:rFonts w:ascii="Times New Roman" w:hAnsi="Times New Roman"/>
          <w:b/>
          <w:color w:val="002060"/>
          <w:szCs w:val="20"/>
        </w:rPr>
      </w:pPr>
    </w:p>
    <w:p w:rsidR="00E16268" w:rsidRPr="00FA3856" w:rsidRDefault="00E16268" w:rsidP="00E16268">
      <w:pPr>
        <w:pStyle w:val="Corpodetexto"/>
        <w:rPr>
          <w:rFonts w:ascii="Times New Roman" w:hAnsi="Times New Roman"/>
          <w:b/>
          <w:color w:val="002060"/>
          <w:szCs w:val="20"/>
        </w:rPr>
      </w:pPr>
      <w:r w:rsidRPr="00FA3856">
        <w:rPr>
          <w:rFonts w:ascii="Times New Roman" w:hAnsi="Times New Roman"/>
          <w:b/>
          <w:color w:val="002060"/>
          <w:szCs w:val="20"/>
        </w:rPr>
        <w:t>|M310|1.01.01.01||1000,00|D|</w:t>
      </w:r>
    </w:p>
    <w:p w:rsidR="00E16268" w:rsidRPr="00FA3856" w:rsidRDefault="00E16268" w:rsidP="00E16268">
      <w:pPr>
        <w:pStyle w:val="Corpodetexto"/>
        <w:ind w:firstLine="708"/>
        <w:rPr>
          <w:rFonts w:ascii="Times New Roman" w:hAnsi="Times New Roman"/>
          <w:color w:val="002060"/>
          <w:szCs w:val="20"/>
        </w:rPr>
      </w:pPr>
      <w:r w:rsidRPr="00FA3856">
        <w:rPr>
          <w:rFonts w:ascii="Times New Roman" w:hAnsi="Times New Roman"/>
          <w:color w:val="002060"/>
          <w:szCs w:val="20"/>
        </w:rPr>
        <w:t>|M310|: Identificação do tipo do registro.</w:t>
      </w:r>
    </w:p>
    <w:p w:rsidR="00E16268" w:rsidRPr="00FA3856" w:rsidRDefault="00E16268" w:rsidP="00E16268">
      <w:pPr>
        <w:pStyle w:val="Corpodetexto"/>
        <w:ind w:firstLine="708"/>
        <w:rPr>
          <w:rFonts w:ascii="Times New Roman" w:hAnsi="Times New Roman"/>
          <w:color w:val="002060"/>
          <w:szCs w:val="20"/>
        </w:rPr>
      </w:pPr>
      <w:r w:rsidRPr="00FA3856">
        <w:rPr>
          <w:rFonts w:ascii="Times New Roman" w:hAnsi="Times New Roman"/>
          <w:color w:val="002060"/>
          <w:szCs w:val="20"/>
        </w:rPr>
        <w:t>|1.01.01.01|: Código da conta contábil.</w:t>
      </w:r>
    </w:p>
    <w:p w:rsidR="00E16268" w:rsidRPr="00FA3856" w:rsidRDefault="00E16268" w:rsidP="00E16268">
      <w:pPr>
        <w:pStyle w:val="Corpodetexto"/>
        <w:ind w:firstLine="708"/>
        <w:rPr>
          <w:rFonts w:ascii="Times New Roman" w:hAnsi="Times New Roman"/>
          <w:color w:val="002060"/>
          <w:szCs w:val="20"/>
        </w:rPr>
      </w:pPr>
      <w:r w:rsidRPr="00FA3856">
        <w:rPr>
          <w:rFonts w:ascii="Times New Roman" w:hAnsi="Times New Roman"/>
          <w:color w:val="002060"/>
          <w:szCs w:val="20"/>
        </w:rPr>
        <w:t>||: Código do centro de custos (não há).</w:t>
      </w:r>
    </w:p>
    <w:p w:rsidR="00E16268" w:rsidRPr="00FA3856" w:rsidRDefault="00E16268" w:rsidP="00E16268">
      <w:pPr>
        <w:pStyle w:val="Corpodetexto"/>
        <w:ind w:firstLine="708"/>
        <w:rPr>
          <w:rFonts w:ascii="Times New Roman" w:hAnsi="Times New Roman"/>
          <w:color w:val="002060"/>
          <w:szCs w:val="20"/>
        </w:rPr>
      </w:pPr>
      <w:r w:rsidRPr="00FA3856">
        <w:rPr>
          <w:rFonts w:ascii="Times New Roman" w:hAnsi="Times New Roman"/>
          <w:color w:val="002060"/>
          <w:szCs w:val="20"/>
        </w:rPr>
        <w:t>|1000,00|: Valor da conta utilizado no lançamento da parte A do e-Lacs (R$ 1.000,00).</w:t>
      </w:r>
    </w:p>
    <w:p w:rsidR="00E16268" w:rsidRPr="00FA3856" w:rsidRDefault="00E16268" w:rsidP="00E16268">
      <w:pPr>
        <w:pStyle w:val="Corpodetexto"/>
        <w:ind w:firstLine="708"/>
        <w:rPr>
          <w:rFonts w:ascii="Times New Roman" w:hAnsi="Times New Roman"/>
          <w:szCs w:val="20"/>
          <w:lang w:val="pt-PT"/>
        </w:rPr>
      </w:pPr>
      <w:r w:rsidRPr="00FA3856">
        <w:rPr>
          <w:rFonts w:ascii="Times New Roman" w:hAnsi="Times New Roman"/>
          <w:color w:val="002060"/>
          <w:szCs w:val="20"/>
        </w:rPr>
        <w:t>|D|: Indicador do valor da conta utilizado no lançamento da parte A do e-Lacs (D = Devedor).</w:t>
      </w:r>
    </w:p>
    <w:p w:rsidR="00C81D2E" w:rsidRPr="00FA3856" w:rsidRDefault="00C81D2E" w:rsidP="00B24D5A">
      <w:pPr>
        <w:pStyle w:val="PSDS-MarcadoresNivel3"/>
        <w:tabs>
          <w:tab w:val="clear" w:pos="1440"/>
        </w:tabs>
        <w:spacing w:before="0" w:after="0"/>
        <w:ind w:left="0" w:firstLine="0"/>
        <w:rPr>
          <w:rFonts w:ascii="Times New Roman" w:hAnsi="Times New Roman" w:cs="Times New Roman"/>
          <w:szCs w:val="20"/>
        </w:rPr>
      </w:pPr>
    </w:p>
    <w:p w:rsidR="00161EF7" w:rsidRPr="00FA3856" w:rsidRDefault="00161EF7">
      <w:pPr>
        <w:rPr>
          <w:b/>
          <w:bCs/>
          <w:color w:val="0000FF"/>
          <w:szCs w:val="20"/>
        </w:rPr>
      </w:pPr>
      <w:r w:rsidRPr="00FA3856">
        <w:rPr>
          <w:color w:val="0000FF"/>
          <w:szCs w:val="20"/>
        </w:rPr>
        <w:br w:type="page"/>
      </w:r>
    </w:p>
    <w:p w:rsidR="00B24D5A" w:rsidRPr="00FA3856" w:rsidRDefault="00B24D5A" w:rsidP="00867F54">
      <w:pPr>
        <w:pStyle w:val="Ttulo4"/>
      </w:pPr>
      <w:bookmarkStart w:id="202" w:name="_Toc479713728"/>
      <w:r w:rsidRPr="00FA3856">
        <w:lastRenderedPageBreak/>
        <w:t>Registro M312: Números dos Lançamentos Relacionados à Conta Contábil</w:t>
      </w:r>
      <w:bookmarkEnd w:id="202"/>
    </w:p>
    <w:p w:rsidR="00B24D5A" w:rsidRPr="00FA3856" w:rsidRDefault="00B24D5A" w:rsidP="00B24D5A">
      <w:pPr>
        <w:rPr>
          <w:szCs w:val="20"/>
        </w:rPr>
      </w:pPr>
    </w:p>
    <w:p w:rsidR="00544BA2" w:rsidRPr="00FA3856" w:rsidRDefault="00544BA2" w:rsidP="00544BA2">
      <w:pPr>
        <w:jc w:val="both"/>
        <w:rPr>
          <w:szCs w:val="20"/>
          <w:lang w:val="pt-PT"/>
        </w:rPr>
      </w:pPr>
      <w:r w:rsidRPr="00FA3856">
        <w:rPr>
          <w:szCs w:val="20"/>
        </w:rPr>
        <w:tab/>
        <w:t>Esse registro é de preenchimento facultativo para PJ Componente do Sistema Financeiro (</w:t>
      </w:r>
      <w:r w:rsidRPr="00FA3856">
        <w:rPr>
          <w:bCs/>
          <w:szCs w:val="20"/>
          <w:lang w:val="pt-PT"/>
        </w:rPr>
        <w:t>0010.</w:t>
      </w:r>
      <w:r w:rsidRPr="00FA3856">
        <w:rPr>
          <w:szCs w:val="20"/>
        </w:rPr>
        <w:t>COD_QUALIF_PJ = “02</w:t>
      </w:r>
      <w:r w:rsidR="00C73500" w:rsidRPr="00FA3856">
        <w:rPr>
          <w:szCs w:val="20"/>
        </w:rPr>
        <w:t xml:space="preserve">”) ou </w:t>
      </w:r>
      <w:r w:rsidRPr="00FA3856">
        <w:rPr>
          <w:szCs w:val="20"/>
        </w:rPr>
        <w:t>Sociedades Seguradoras, de Capitalização ou Entidade Aberta de Previdência Complementar (</w:t>
      </w:r>
      <w:r w:rsidRPr="00FA3856">
        <w:rPr>
          <w:bCs/>
          <w:szCs w:val="20"/>
          <w:lang w:val="pt-PT"/>
        </w:rPr>
        <w:t>0010.</w:t>
      </w:r>
      <w:r w:rsidRPr="00FA3856">
        <w:rPr>
          <w:szCs w:val="20"/>
        </w:rPr>
        <w:t>COD_QUALIF_PJ = “03”)</w:t>
      </w:r>
      <w:r w:rsidRPr="00FA3856">
        <w:rPr>
          <w:szCs w:val="20"/>
          <w:lang w:val="pt-PT"/>
        </w:rPr>
        <w:t>, que utilizam a forma de escrituração “B” (Balancetes Diários) na ECD e não informam lançamentos.</w:t>
      </w:r>
    </w:p>
    <w:p w:rsidR="00544BA2" w:rsidRPr="00FA3856" w:rsidRDefault="00544BA2" w:rsidP="00544BA2">
      <w:pPr>
        <w:rPr>
          <w:szCs w:val="20"/>
        </w:rPr>
      </w:pPr>
    </w:p>
    <w:p w:rsidR="009501C0" w:rsidRPr="00FA3856" w:rsidRDefault="00544BA2" w:rsidP="00544BA2">
      <w:pPr>
        <w:ind w:firstLine="708"/>
        <w:rPr>
          <w:szCs w:val="20"/>
        </w:rPr>
      </w:pPr>
      <w:r w:rsidRPr="00FA3856">
        <w:rPr>
          <w:szCs w:val="20"/>
        </w:rPr>
        <w:t>Nos demais casos, o registro a</w:t>
      </w:r>
      <w:r w:rsidR="009501C0" w:rsidRPr="00FA3856">
        <w:rPr>
          <w:szCs w:val="20"/>
        </w:rPr>
        <w:t xml:space="preserve">presenta o número dos lançamentos contábeis </w:t>
      </w:r>
      <w:r w:rsidR="00CC7CDF" w:rsidRPr="00FA3856">
        <w:rPr>
          <w:szCs w:val="20"/>
        </w:rPr>
        <w:t xml:space="preserve">que foram informados na ECD </w:t>
      </w:r>
      <w:r w:rsidR="009501C0" w:rsidRPr="00FA3856">
        <w:rPr>
          <w:szCs w:val="20"/>
        </w:rPr>
        <w:t>relacionados ao lançamento da conta da parte A, quando não for utilizado, no caso de conta patrimoni</w:t>
      </w:r>
      <w:r w:rsidRPr="00FA3856">
        <w:rPr>
          <w:szCs w:val="20"/>
        </w:rPr>
        <w:t>al:</w:t>
      </w:r>
    </w:p>
    <w:p w:rsidR="00544BA2" w:rsidRPr="00FA3856" w:rsidRDefault="00544BA2" w:rsidP="009501C0">
      <w:pPr>
        <w:ind w:firstLine="708"/>
        <w:rPr>
          <w:szCs w:val="20"/>
        </w:rPr>
      </w:pPr>
    </w:p>
    <w:p w:rsidR="009501C0" w:rsidRPr="00FA3856" w:rsidRDefault="009501C0" w:rsidP="009501C0">
      <w:pPr>
        <w:ind w:firstLine="708"/>
        <w:rPr>
          <w:szCs w:val="20"/>
        </w:rPr>
      </w:pPr>
      <w:r w:rsidRPr="00FA3856">
        <w:rPr>
          <w:szCs w:val="20"/>
        </w:rPr>
        <w:t xml:space="preserve">I)  O saldo total da conta contábil (M310.VL_CTA &lt; K155.VL_SLD_FIN); ou </w:t>
      </w:r>
    </w:p>
    <w:p w:rsidR="009501C0" w:rsidRPr="00FA3856" w:rsidRDefault="009501C0" w:rsidP="009501C0">
      <w:pPr>
        <w:ind w:firstLine="708"/>
        <w:rPr>
          <w:szCs w:val="20"/>
        </w:rPr>
      </w:pPr>
      <w:r w:rsidRPr="00FA3856">
        <w:rPr>
          <w:szCs w:val="20"/>
        </w:rPr>
        <w:t xml:space="preserve">II) O saldo do período (saldo final – saldo inicial) da conta contábil (M310.VL_CTA &lt; (K155.VL_SLD_FIN – K155.VL_SLD_INI); ou </w:t>
      </w:r>
    </w:p>
    <w:p w:rsidR="009501C0" w:rsidRPr="00FA3856" w:rsidRDefault="009501C0" w:rsidP="009501C0">
      <w:pPr>
        <w:ind w:firstLine="708"/>
        <w:rPr>
          <w:szCs w:val="20"/>
        </w:rPr>
      </w:pPr>
      <w:r w:rsidRPr="00FA3856">
        <w:rPr>
          <w:szCs w:val="20"/>
        </w:rPr>
        <w:t xml:space="preserve">III) O total de débitos da conta contábil no período (M310.VL_CTA &lt; K155.VL_DEB); ou </w:t>
      </w:r>
    </w:p>
    <w:p w:rsidR="009501C0" w:rsidRPr="00FA3856" w:rsidRDefault="009501C0" w:rsidP="009501C0">
      <w:pPr>
        <w:ind w:firstLine="708"/>
        <w:rPr>
          <w:szCs w:val="20"/>
        </w:rPr>
      </w:pPr>
      <w:r w:rsidRPr="00FA3856">
        <w:rPr>
          <w:szCs w:val="20"/>
        </w:rPr>
        <w:t>I</w:t>
      </w:r>
      <w:r w:rsidR="003B394A" w:rsidRPr="00FA3856">
        <w:rPr>
          <w:szCs w:val="20"/>
        </w:rPr>
        <w:t>V) O total de créditos da conta</w:t>
      </w:r>
      <w:r w:rsidRPr="00FA3856">
        <w:rPr>
          <w:szCs w:val="20"/>
        </w:rPr>
        <w:t xml:space="preserve"> contábil no período (M310.VL_CTA &lt; K155.VL_CRED).</w:t>
      </w:r>
    </w:p>
    <w:p w:rsidR="009501C0" w:rsidRPr="00FA3856" w:rsidRDefault="009501C0" w:rsidP="009501C0">
      <w:pPr>
        <w:ind w:firstLine="708"/>
        <w:rPr>
          <w:szCs w:val="20"/>
        </w:rPr>
      </w:pPr>
    </w:p>
    <w:p w:rsidR="009501C0" w:rsidRPr="00FA3856" w:rsidRDefault="009501C0" w:rsidP="009501C0">
      <w:pPr>
        <w:ind w:firstLine="708"/>
        <w:rPr>
          <w:szCs w:val="20"/>
        </w:rPr>
      </w:pPr>
      <w:r w:rsidRPr="00FA3856">
        <w:rPr>
          <w:szCs w:val="20"/>
        </w:rPr>
        <w:t>Apr</w:t>
      </w:r>
      <w:r w:rsidR="007B172A" w:rsidRPr="00FA3856">
        <w:rPr>
          <w:szCs w:val="20"/>
        </w:rPr>
        <w:t xml:space="preserve">esenta o número dos lançamentos </w:t>
      </w:r>
      <w:r w:rsidRPr="00FA3856">
        <w:rPr>
          <w:szCs w:val="20"/>
        </w:rPr>
        <w:t xml:space="preserve">contábeis </w:t>
      </w:r>
      <w:r w:rsidR="007B172A" w:rsidRPr="00FA3856">
        <w:rPr>
          <w:szCs w:val="20"/>
        </w:rPr>
        <w:t xml:space="preserve">do período referenciado no registro M030, </w:t>
      </w:r>
      <w:r w:rsidRPr="00FA3856">
        <w:rPr>
          <w:szCs w:val="20"/>
        </w:rPr>
        <w:t>relacionados ao lançamento da conta da parte A, quando não for utilizado, no caso de conta resultado:</w:t>
      </w:r>
    </w:p>
    <w:p w:rsidR="009501C0" w:rsidRPr="00FA3856" w:rsidRDefault="009501C0" w:rsidP="009501C0">
      <w:pPr>
        <w:ind w:firstLine="708"/>
        <w:rPr>
          <w:szCs w:val="20"/>
        </w:rPr>
      </w:pPr>
      <w:r w:rsidRPr="00FA3856">
        <w:rPr>
          <w:szCs w:val="20"/>
        </w:rPr>
        <w:t xml:space="preserve"> </w:t>
      </w:r>
    </w:p>
    <w:p w:rsidR="009501C0" w:rsidRPr="00FA3856" w:rsidRDefault="009501C0" w:rsidP="009501C0">
      <w:pPr>
        <w:ind w:firstLine="708"/>
        <w:rPr>
          <w:szCs w:val="20"/>
        </w:rPr>
      </w:pPr>
      <w:r w:rsidRPr="00FA3856">
        <w:rPr>
          <w:szCs w:val="20"/>
        </w:rPr>
        <w:t>I)  O saldo total da conta contábil (M310.VL_CTA &lt; K355.VL_SLD_FIN).</w:t>
      </w:r>
    </w:p>
    <w:p w:rsidR="00544BA2" w:rsidRPr="00FA3856" w:rsidRDefault="00544BA2" w:rsidP="009501C0">
      <w:pPr>
        <w:ind w:firstLine="708"/>
        <w:rPr>
          <w:szCs w:val="20"/>
        </w:rPr>
      </w:pPr>
    </w:p>
    <w:p w:rsidR="00544BA2" w:rsidRPr="00FA3856" w:rsidRDefault="00544BA2" w:rsidP="009501C0">
      <w:pPr>
        <w:ind w:firstLine="708"/>
        <w:rPr>
          <w:szCs w:val="20"/>
        </w:rPr>
      </w:pPr>
      <w:r w:rsidRPr="00FA3856">
        <w:rPr>
          <w:b/>
          <w:szCs w:val="20"/>
        </w:rPr>
        <w:t xml:space="preserve">Observação: </w:t>
      </w:r>
      <w:r w:rsidRPr="00FA3856">
        <w:rPr>
          <w:szCs w:val="20"/>
        </w:rPr>
        <w:t>No caso de apuração anual do IRPJ, se os números dos lançamentos já foram informados em períodos de apuraç</w:t>
      </w:r>
      <w:r w:rsidR="001B58FE">
        <w:rPr>
          <w:szCs w:val="20"/>
        </w:rPr>
        <w:t>ão anteriores, não é necessário</w:t>
      </w:r>
      <w:r w:rsidRPr="00FA3856">
        <w:rPr>
          <w:szCs w:val="20"/>
        </w:rPr>
        <w:t xml:space="preserve"> repeti-los.</w:t>
      </w:r>
    </w:p>
    <w:p w:rsidR="00222A73" w:rsidRDefault="00222A73" w:rsidP="005302DE">
      <w:pPr>
        <w:rPr>
          <w:szCs w:val="20"/>
          <w:lang w:val="pt-PT"/>
        </w:rPr>
      </w:pPr>
    </w:p>
    <w:p w:rsidR="00A34CEC" w:rsidRPr="00FA3856" w:rsidRDefault="00B35FA3" w:rsidP="00A34CEC">
      <w:pPr>
        <w:jc w:val="center"/>
        <w:rPr>
          <w:szCs w:val="20"/>
          <w:lang w:val="pt-PT"/>
        </w:rPr>
      </w:pPr>
      <w:r>
        <w:rPr>
          <w:szCs w:val="20"/>
          <w:lang w:val="pt-PT"/>
        </w:rPr>
        <w:object w:dxaOrig="13875" w:dyaOrig="3075">
          <v:shape id="_x0000_i1700" type="#_x0000_t75" style="width:690.75pt;height:158.25pt" o:ole="">
            <v:imagedata r:id="rId301" o:title=""/>
          </v:shape>
          <o:OLEObject Type="Link" ProgID="Excel.Sheet.12" ShapeID="_x0000_i1700" DrawAspect="Content" r:id="rId302" UpdateMode="Always">
            <o:LinkType>EnhancedMetaFile</o:LinkType>
            <o:LockedField>false</o:LockedField>
          </o:OLEObject>
        </w:object>
      </w:r>
    </w:p>
    <w:p w:rsidR="00A34CEC" w:rsidRDefault="00A34CEC" w:rsidP="006F5895">
      <w:pPr>
        <w:rPr>
          <w:b/>
          <w:bCs/>
          <w:szCs w:val="20"/>
          <w:lang w:val="pt-PT"/>
        </w:rPr>
      </w:pPr>
    </w:p>
    <w:p w:rsidR="006F5895" w:rsidRPr="00FA3856" w:rsidRDefault="006F5895" w:rsidP="006F5895">
      <w:pPr>
        <w:rPr>
          <w:b/>
          <w:bCs/>
          <w:szCs w:val="20"/>
          <w:lang w:val="pt-PT"/>
        </w:rPr>
      </w:pPr>
      <w:r w:rsidRPr="00FA3856">
        <w:rPr>
          <w:b/>
          <w:bCs/>
          <w:szCs w:val="20"/>
          <w:lang w:val="pt-PT"/>
        </w:rPr>
        <w:t>I – Regras de Validação do Registro:</w:t>
      </w:r>
    </w:p>
    <w:p w:rsidR="006F5895" w:rsidRPr="00FA3856" w:rsidRDefault="006F5895" w:rsidP="006F5895">
      <w:pPr>
        <w:rPr>
          <w:b/>
          <w:bCs/>
          <w:szCs w:val="20"/>
          <w:lang w:val="pt-PT"/>
        </w:rPr>
      </w:pPr>
    </w:p>
    <w:p w:rsidR="006F5895" w:rsidRPr="00FA3856" w:rsidRDefault="003571AB" w:rsidP="006F5895">
      <w:pPr>
        <w:rPr>
          <w:bCs/>
          <w:szCs w:val="20"/>
        </w:rPr>
      </w:pPr>
      <w:r>
        <w:rPr>
          <w:b/>
          <w:bCs/>
          <w:szCs w:val="20"/>
          <w:lang w:val="pt-PT"/>
        </w:rPr>
        <w:tab/>
        <w:t>REGRA_</w:t>
      </w:r>
      <w:r w:rsidR="006F5895" w:rsidRPr="00FA3856">
        <w:rPr>
          <w:b/>
          <w:bCs/>
          <w:szCs w:val="20"/>
          <w:lang w:val="pt-PT"/>
        </w:rPr>
        <w:t>FINANCEIRAS</w:t>
      </w:r>
      <w:r w:rsidR="00CA1269" w:rsidRPr="00FA3856">
        <w:rPr>
          <w:b/>
          <w:bCs/>
          <w:szCs w:val="20"/>
          <w:lang w:val="pt-PT"/>
        </w:rPr>
        <w:t>_NAO_OBRIGATORIO</w:t>
      </w:r>
      <w:r w:rsidR="006F5895" w:rsidRPr="00FA3856">
        <w:rPr>
          <w:b/>
          <w:bCs/>
          <w:szCs w:val="20"/>
          <w:lang w:val="pt-PT"/>
        </w:rPr>
        <w:t xml:space="preserve">: </w:t>
      </w:r>
      <w:r w:rsidR="00CA1269" w:rsidRPr="00FA3856">
        <w:rPr>
          <w:bCs/>
          <w:szCs w:val="20"/>
          <w:lang w:val="pt-PT"/>
        </w:rPr>
        <w:t>Se 0010.</w:t>
      </w:r>
      <w:r w:rsidR="00CA1269" w:rsidRPr="00FA3856">
        <w:rPr>
          <w:szCs w:val="20"/>
        </w:rPr>
        <w:t>COD_QUALIF_PJ = “02” ou “03” ou 0010.</w:t>
      </w:r>
      <w:r w:rsidR="00CA1269" w:rsidRPr="00FA3856">
        <w:rPr>
          <w:szCs w:val="20"/>
          <w:lang w:val="pt-PT"/>
        </w:rPr>
        <w:t xml:space="preserve"> FORMA_TRIB = “08” ou “09”, o registro é facultativo.</w:t>
      </w:r>
    </w:p>
    <w:p w:rsidR="006F5895" w:rsidRPr="00FA3856" w:rsidRDefault="006F5895" w:rsidP="005302DE">
      <w:pPr>
        <w:rPr>
          <w:szCs w:val="20"/>
          <w:lang w:val="pt-PT"/>
        </w:rPr>
      </w:pPr>
    </w:p>
    <w:p w:rsidR="00342F1D" w:rsidRDefault="00342F1D">
      <w:pPr>
        <w:spacing w:after="200" w:line="276" w:lineRule="auto"/>
        <w:rPr>
          <w:b/>
          <w:color w:val="002060"/>
          <w:szCs w:val="20"/>
          <w:lang w:eastAsia="ar-SA"/>
        </w:rPr>
      </w:pPr>
      <w:r>
        <w:rPr>
          <w:b/>
          <w:color w:val="002060"/>
          <w:szCs w:val="20"/>
        </w:rPr>
        <w:br w:type="page"/>
      </w:r>
    </w:p>
    <w:p w:rsidR="00342F1D" w:rsidRDefault="00E16268" w:rsidP="00E16268">
      <w:pPr>
        <w:pStyle w:val="Corpodetexto"/>
        <w:rPr>
          <w:rFonts w:ascii="Times New Roman" w:hAnsi="Times New Roman"/>
          <w:b/>
          <w:color w:val="002060"/>
          <w:szCs w:val="20"/>
        </w:rPr>
      </w:pPr>
      <w:r w:rsidRPr="00FA3856">
        <w:rPr>
          <w:rFonts w:ascii="Times New Roman" w:hAnsi="Times New Roman"/>
          <w:b/>
          <w:color w:val="002060"/>
          <w:szCs w:val="20"/>
        </w:rPr>
        <w:lastRenderedPageBreak/>
        <w:t xml:space="preserve">Exemplo de Preenchimento: </w:t>
      </w:r>
    </w:p>
    <w:p w:rsidR="00342F1D" w:rsidRDefault="00342F1D" w:rsidP="00E16268">
      <w:pPr>
        <w:pStyle w:val="Corpodetexto"/>
        <w:rPr>
          <w:rFonts w:ascii="Times New Roman" w:hAnsi="Times New Roman"/>
          <w:b/>
          <w:color w:val="002060"/>
          <w:szCs w:val="20"/>
        </w:rPr>
      </w:pPr>
    </w:p>
    <w:p w:rsidR="00E16268" w:rsidRPr="00FA3856" w:rsidRDefault="00E16268" w:rsidP="00E16268">
      <w:pPr>
        <w:pStyle w:val="Corpodetexto"/>
        <w:rPr>
          <w:rFonts w:ascii="Times New Roman" w:hAnsi="Times New Roman"/>
          <w:b/>
          <w:color w:val="002060"/>
          <w:szCs w:val="20"/>
        </w:rPr>
      </w:pPr>
      <w:r w:rsidRPr="00FA3856">
        <w:rPr>
          <w:rFonts w:ascii="Times New Roman" w:hAnsi="Times New Roman"/>
          <w:b/>
          <w:color w:val="002060"/>
          <w:szCs w:val="20"/>
        </w:rPr>
        <w:t>|M312|12345|</w:t>
      </w:r>
    </w:p>
    <w:p w:rsidR="00E16268" w:rsidRPr="00FA3856" w:rsidRDefault="00E16268" w:rsidP="00E16268">
      <w:pPr>
        <w:pStyle w:val="Corpodetexto"/>
        <w:ind w:firstLine="708"/>
        <w:rPr>
          <w:rFonts w:ascii="Times New Roman" w:hAnsi="Times New Roman"/>
          <w:color w:val="002060"/>
          <w:szCs w:val="20"/>
        </w:rPr>
      </w:pPr>
      <w:r w:rsidRPr="00FA3856">
        <w:rPr>
          <w:rFonts w:ascii="Times New Roman" w:hAnsi="Times New Roman"/>
          <w:color w:val="002060"/>
          <w:szCs w:val="20"/>
        </w:rPr>
        <w:t>|M312|: Identificação do tipo do registro.</w:t>
      </w:r>
    </w:p>
    <w:p w:rsidR="00E16268" w:rsidRPr="00FA3856" w:rsidRDefault="00E16268" w:rsidP="00737B6B">
      <w:pPr>
        <w:pStyle w:val="Corpodetexto"/>
        <w:ind w:firstLine="708"/>
        <w:rPr>
          <w:b/>
          <w:bCs/>
          <w:color w:val="0000FF"/>
          <w:szCs w:val="20"/>
        </w:rPr>
      </w:pPr>
      <w:r w:rsidRPr="00FA3856">
        <w:rPr>
          <w:rFonts w:ascii="Times New Roman" w:hAnsi="Times New Roman"/>
          <w:color w:val="002060"/>
          <w:szCs w:val="20"/>
        </w:rPr>
        <w:t>|12345|: Número do lançamento.</w:t>
      </w:r>
      <w:r w:rsidRPr="00FA3856">
        <w:rPr>
          <w:color w:val="0000FF"/>
          <w:szCs w:val="20"/>
        </w:rPr>
        <w:br w:type="page"/>
      </w:r>
    </w:p>
    <w:p w:rsidR="00EF0D55" w:rsidRPr="00FA3856" w:rsidRDefault="00EF0D55" w:rsidP="00867F54">
      <w:pPr>
        <w:pStyle w:val="Ttulo4"/>
      </w:pPr>
      <w:bookmarkStart w:id="203" w:name="_Toc479713729"/>
      <w:r w:rsidRPr="00FA3856">
        <w:lastRenderedPageBreak/>
        <w:t>Registro M315: Identificação de Processos Judiciais e Administrativos Referentes ao Lançamento</w:t>
      </w:r>
      <w:bookmarkEnd w:id="203"/>
    </w:p>
    <w:p w:rsidR="00EF0D55" w:rsidRPr="00FA3856" w:rsidRDefault="00EF0D55" w:rsidP="00EF0D55">
      <w:pPr>
        <w:pStyle w:val="PSDS-MarcadoresNivel2"/>
        <w:numPr>
          <w:ilvl w:val="0"/>
          <w:numId w:val="0"/>
        </w:numPr>
        <w:spacing w:before="0" w:after="0"/>
        <w:ind w:left="360"/>
        <w:rPr>
          <w:rFonts w:ascii="Times New Roman" w:hAnsi="Times New Roman"/>
        </w:rPr>
      </w:pPr>
    </w:p>
    <w:p w:rsidR="00EF0D55" w:rsidRPr="00FA3856" w:rsidRDefault="001A17A0" w:rsidP="00161EF7">
      <w:pPr>
        <w:ind w:firstLine="708"/>
        <w:rPr>
          <w:szCs w:val="20"/>
        </w:rPr>
      </w:pPr>
      <w:r w:rsidRPr="00FA3856">
        <w:rPr>
          <w:szCs w:val="20"/>
        </w:rPr>
        <w:t xml:space="preserve">Identifica os </w:t>
      </w:r>
      <w:r w:rsidR="001B58FE" w:rsidRPr="00FA3856">
        <w:rPr>
          <w:szCs w:val="20"/>
        </w:rPr>
        <w:t>processos</w:t>
      </w:r>
      <w:r w:rsidRPr="00FA3856">
        <w:rPr>
          <w:szCs w:val="20"/>
        </w:rPr>
        <w:t xml:space="preserve"> judiciais ou administrativos utilizados</w:t>
      </w:r>
      <w:r w:rsidR="00EF0D55" w:rsidRPr="00FA3856">
        <w:rPr>
          <w:szCs w:val="20"/>
        </w:rPr>
        <w:t xml:space="preserve"> que em</w:t>
      </w:r>
      <w:r w:rsidRPr="00FA3856">
        <w:rPr>
          <w:szCs w:val="20"/>
        </w:rPr>
        <w:t>basaram</w:t>
      </w:r>
      <w:r w:rsidR="00FC7995" w:rsidRPr="00FA3856">
        <w:rPr>
          <w:szCs w:val="20"/>
        </w:rPr>
        <w:t xml:space="preserve"> adições menores que as previstas na legislação </w:t>
      </w:r>
      <w:r w:rsidR="00777B0B" w:rsidRPr="00FA3856">
        <w:rPr>
          <w:szCs w:val="20"/>
        </w:rPr>
        <w:t xml:space="preserve">ou falta de adição e </w:t>
      </w:r>
      <w:r w:rsidR="00FC7995" w:rsidRPr="00FA3856">
        <w:rPr>
          <w:szCs w:val="20"/>
        </w:rPr>
        <w:t>exclusões maiores que as previstas na l</w:t>
      </w:r>
      <w:r w:rsidR="00777B0B" w:rsidRPr="00FA3856">
        <w:rPr>
          <w:szCs w:val="20"/>
        </w:rPr>
        <w:t xml:space="preserve">egislação na parte A do e-Lalur (tratamento diverso do regramento fiscal). </w:t>
      </w:r>
    </w:p>
    <w:p w:rsidR="00A34CEC" w:rsidRDefault="00A34CEC" w:rsidP="00E16268">
      <w:pPr>
        <w:pStyle w:val="Corpodetexto"/>
        <w:rPr>
          <w:rFonts w:ascii="Times New Roman" w:hAnsi="Times New Roman"/>
          <w:b/>
          <w:color w:val="002060"/>
          <w:szCs w:val="20"/>
        </w:rPr>
      </w:pPr>
    </w:p>
    <w:p w:rsidR="00A34CEC" w:rsidRDefault="00B35FA3" w:rsidP="00A34CEC">
      <w:pPr>
        <w:pStyle w:val="Corpodetexto"/>
        <w:jc w:val="center"/>
        <w:rPr>
          <w:rFonts w:ascii="Times New Roman" w:hAnsi="Times New Roman"/>
          <w:b/>
          <w:color w:val="002060"/>
          <w:szCs w:val="20"/>
        </w:rPr>
      </w:pPr>
      <w:r>
        <w:rPr>
          <w:rFonts w:ascii="Times New Roman" w:hAnsi="Times New Roman"/>
          <w:b/>
          <w:color w:val="002060"/>
          <w:szCs w:val="20"/>
        </w:rPr>
        <w:object w:dxaOrig="13860" w:dyaOrig="3165">
          <v:shape id="_x0000_i1702" type="#_x0000_t75" style="width:690.75pt;height:158.25pt" o:ole="">
            <v:imagedata r:id="rId303" o:title=""/>
          </v:shape>
          <o:OLEObject Type="Link" ProgID="Excel.Sheet.12" ShapeID="_x0000_i1702" DrawAspect="Content" r:id="rId304" UpdateMode="Always">
            <o:LinkType>EnhancedMetaFile</o:LinkType>
            <o:LockedField>false</o:LockedField>
          </o:OLEObject>
        </w:object>
      </w:r>
    </w:p>
    <w:p w:rsidR="00736E72" w:rsidRDefault="00736E72" w:rsidP="00E16268">
      <w:pPr>
        <w:pStyle w:val="Corpodetexto"/>
        <w:rPr>
          <w:rFonts w:ascii="Times New Roman" w:hAnsi="Times New Roman"/>
          <w:b/>
          <w:color w:val="002060"/>
          <w:szCs w:val="20"/>
        </w:rPr>
      </w:pPr>
    </w:p>
    <w:p w:rsidR="00342F1D" w:rsidRDefault="00E16268" w:rsidP="00E16268">
      <w:pPr>
        <w:pStyle w:val="Corpodetexto"/>
        <w:rPr>
          <w:rFonts w:ascii="Times New Roman" w:hAnsi="Times New Roman"/>
          <w:b/>
          <w:color w:val="002060"/>
          <w:szCs w:val="20"/>
        </w:rPr>
      </w:pPr>
      <w:r w:rsidRPr="00FA3856">
        <w:rPr>
          <w:rFonts w:ascii="Times New Roman" w:hAnsi="Times New Roman"/>
          <w:b/>
          <w:color w:val="002060"/>
          <w:szCs w:val="20"/>
        </w:rPr>
        <w:t xml:space="preserve">Exemplo de Preenchimento: </w:t>
      </w:r>
    </w:p>
    <w:p w:rsidR="00342F1D" w:rsidRDefault="00342F1D" w:rsidP="00E16268">
      <w:pPr>
        <w:pStyle w:val="Corpodetexto"/>
        <w:rPr>
          <w:rFonts w:ascii="Times New Roman" w:hAnsi="Times New Roman"/>
          <w:b/>
          <w:color w:val="002060"/>
          <w:szCs w:val="20"/>
        </w:rPr>
      </w:pPr>
    </w:p>
    <w:p w:rsidR="00E16268" w:rsidRPr="00FA3856" w:rsidRDefault="00E16268" w:rsidP="00E16268">
      <w:pPr>
        <w:pStyle w:val="Corpodetexto"/>
        <w:rPr>
          <w:rFonts w:ascii="Times New Roman" w:hAnsi="Times New Roman"/>
          <w:b/>
          <w:color w:val="002060"/>
          <w:szCs w:val="20"/>
        </w:rPr>
      </w:pPr>
      <w:r w:rsidRPr="00FA3856">
        <w:rPr>
          <w:rFonts w:ascii="Times New Roman" w:hAnsi="Times New Roman"/>
          <w:b/>
          <w:color w:val="002060"/>
          <w:szCs w:val="20"/>
        </w:rPr>
        <w:t>|M315|1|123456789|</w:t>
      </w:r>
    </w:p>
    <w:p w:rsidR="00E16268" w:rsidRPr="00FA3856" w:rsidRDefault="00E16268" w:rsidP="00E16268">
      <w:pPr>
        <w:pStyle w:val="Corpodetexto"/>
        <w:ind w:firstLine="708"/>
        <w:rPr>
          <w:rFonts w:ascii="Times New Roman" w:hAnsi="Times New Roman"/>
          <w:color w:val="002060"/>
          <w:szCs w:val="20"/>
        </w:rPr>
      </w:pPr>
      <w:r w:rsidRPr="00FA3856">
        <w:rPr>
          <w:rFonts w:ascii="Times New Roman" w:hAnsi="Times New Roman"/>
          <w:color w:val="002060"/>
          <w:szCs w:val="20"/>
        </w:rPr>
        <w:t>|M315|: Identificação do tipo do registro.</w:t>
      </w:r>
    </w:p>
    <w:p w:rsidR="00E16268" w:rsidRPr="00FA3856" w:rsidRDefault="00E16268" w:rsidP="00E16268">
      <w:pPr>
        <w:pStyle w:val="Corpodetexto"/>
        <w:ind w:firstLine="708"/>
        <w:rPr>
          <w:rFonts w:ascii="Times New Roman" w:hAnsi="Times New Roman"/>
          <w:color w:val="002060"/>
          <w:szCs w:val="20"/>
        </w:rPr>
      </w:pPr>
      <w:r w:rsidRPr="00FA3856">
        <w:rPr>
          <w:rFonts w:ascii="Times New Roman" w:hAnsi="Times New Roman"/>
          <w:color w:val="002060"/>
          <w:szCs w:val="20"/>
        </w:rPr>
        <w:t>|1|: Tipo do processo (1 = Judicial).</w:t>
      </w:r>
    </w:p>
    <w:p w:rsidR="00E16268" w:rsidRPr="00FA3856" w:rsidRDefault="00E16268" w:rsidP="00E16268">
      <w:pPr>
        <w:pStyle w:val="Corpodetexto"/>
        <w:ind w:firstLine="708"/>
        <w:rPr>
          <w:rFonts w:ascii="Times New Roman" w:hAnsi="Times New Roman"/>
          <w:szCs w:val="20"/>
          <w:lang w:val="pt-PT"/>
        </w:rPr>
      </w:pPr>
      <w:r w:rsidRPr="00FA3856">
        <w:rPr>
          <w:rFonts w:ascii="Times New Roman" w:hAnsi="Times New Roman"/>
          <w:color w:val="002060"/>
          <w:szCs w:val="20"/>
        </w:rPr>
        <w:t>|123456789|: Número do processo.</w:t>
      </w:r>
    </w:p>
    <w:p w:rsidR="00E16268" w:rsidRPr="00FA3856" w:rsidRDefault="00E16268">
      <w:pPr>
        <w:spacing w:after="200" w:line="276" w:lineRule="auto"/>
        <w:rPr>
          <w:b/>
          <w:bCs/>
          <w:color w:val="0000FF"/>
          <w:szCs w:val="20"/>
        </w:rPr>
      </w:pPr>
      <w:r w:rsidRPr="00FA3856">
        <w:rPr>
          <w:color w:val="0000FF"/>
          <w:szCs w:val="20"/>
        </w:rPr>
        <w:br w:type="page"/>
      </w:r>
    </w:p>
    <w:p w:rsidR="00945449" w:rsidRPr="00FA3856" w:rsidRDefault="00945449" w:rsidP="00867F54">
      <w:pPr>
        <w:pStyle w:val="Ttulo4"/>
      </w:pPr>
      <w:bookmarkStart w:id="204" w:name="_Toc479713730"/>
      <w:r w:rsidRPr="00FA3856">
        <w:lastRenderedPageBreak/>
        <w:t xml:space="preserve">Registro M350: </w:t>
      </w:r>
      <w:r w:rsidR="00E377D5" w:rsidRPr="00FA3856">
        <w:t>Demonstração da Base de Cálculo da CSLL</w:t>
      </w:r>
      <w:bookmarkEnd w:id="204"/>
    </w:p>
    <w:p w:rsidR="00945449" w:rsidRPr="00FA3856" w:rsidRDefault="00945449" w:rsidP="00945449">
      <w:pPr>
        <w:jc w:val="both"/>
        <w:rPr>
          <w:szCs w:val="20"/>
        </w:rPr>
      </w:pPr>
    </w:p>
    <w:p w:rsidR="00945449" w:rsidRPr="00FA3856" w:rsidRDefault="00945449" w:rsidP="00945449">
      <w:pPr>
        <w:ind w:firstLine="708"/>
        <w:rPr>
          <w:szCs w:val="20"/>
        </w:rPr>
      </w:pPr>
      <w:r w:rsidRPr="00FA3856">
        <w:rPr>
          <w:szCs w:val="20"/>
        </w:rPr>
        <w:t>Apresenta os lançamentos da parte A do e-Lacs. Este registro demonstrará a apuração da base de cálculo da CSLL anual, trimestral e nos meses com estimativa apurada com base no balanço/balancete.</w:t>
      </w:r>
    </w:p>
    <w:p w:rsidR="00A570FD" w:rsidRPr="00FA3856" w:rsidRDefault="00A570FD" w:rsidP="00945449">
      <w:pPr>
        <w:ind w:firstLine="708"/>
        <w:rPr>
          <w:szCs w:val="20"/>
        </w:rPr>
      </w:pPr>
    </w:p>
    <w:tbl>
      <w:tblPr>
        <w:tblStyle w:val="Tabelacomgrade"/>
        <w:tblW w:w="0" w:type="auto"/>
        <w:jc w:val="center"/>
        <w:tblLook w:val="04A0" w:firstRow="1" w:lastRow="0" w:firstColumn="1" w:lastColumn="0" w:noHBand="0" w:noVBand="1"/>
      </w:tblPr>
      <w:tblGrid>
        <w:gridCol w:w="1766"/>
        <w:gridCol w:w="2589"/>
        <w:gridCol w:w="3089"/>
        <w:gridCol w:w="4189"/>
      </w:tblGrid>
      <w:tr w:rsidR="00A570FD" w:rsidRPr="00FA3856" w:rsidTr="00D448FF">
        <w:trPr>
          <w:jc w:val="center"/>
        </w:trPr>
        <w:tc>
          <w:tcPr>
            <w:tcW w:w="1766" w:type="dxa"/>
          </w:tcPr>
          <w:p w:rsidR="00A570FD" w:rsidRPr="00FA3856" w:rsidRDefault="00A570FD" w:rsidP="00A570FD">
            <w:pPr>
              <w:jc w:val="center"/>
              <w:rPr>
                <w:b/>
                <w:color w:val="222222"/>
                <w:szCs w:val="20"/>
              </w:rPr>
            </w:pPr>
            <w:r w:rsidRPr="00FA3856">
              <w:rPr>
                <w:b/>
                <w:color w:val="222222"/>
                <w:szCs w:val="20"/>
              </w:rPr>
              <w:t>Livro da Parte A</w:t>
            </w:r>
          </w:p>
        </w:tc>
        <w:tc>
          <w:tcPr>
            <w:tcW w:w="2589" w:type="dxa"/>
          </w:tcPr>
          <w:p w:rsidR="00A570FD" w:rsidRPr="00FA3856" w:rsidRDefault="00A570FD" w:rsidP="00A570FD">
            <w:pPr>
              <w:jc w:val="center"/>
              <w:rPr>
                <w:b/>
                <w:color w:val="222222"/>
                <w:szCs w:val="20"/>
              </w:rPr>
            </w:pPr>
            <w:r w:rsidRPr="00FA3856">
              <w:rPr>
                <w:b/>
                <w:color w:val="222222"/>
                <w:szCs w:val="20"/>
              </w:rPr>
              <w:t>Saldo da Conta da Parte B</w:t>
            </w:r>
          </w:p>
        </w:tc>
        <w:tc>
          <w:tcPr>
            <w:tcW w:w="3089" w:type="dxa"/>
          </w:tcPr>
          <w:p w:rsidR="00A570FD" w:rsidRPr="00FA3856" w:rsidRDefault="00A570FD" w:rsidP="00A570FD">
            <w:pPr>
              <w:jc w:val="center"/>
              <w:rPr>
                <w:b/>
                <w:color w:val="222222"/>
                <w:szCs w:val="20"/>
              </w:rPr>
            </w:pPr>
            <w:r w:rsidRPr="00FA3856">
              <w:rPr>
                <w:b/>
                <w:color w:val="222222"/>
                <w:szCs w:val="20"/>
              </w:rPr>
              <w:t>Sinal do Lançamento</w:t>
            </w:r>
            <w:r w:rsidR="008A161D" w:rsidRPr="00FA3856">
              <w:rPr>
                <w:b/>
                <w:color w:val="222222"/>
                <w:szCs w:val="20"/>
              </w:rPr>
              <w:t xml:space="preserve"> na Parte B</w:t>
            </w:r>
          </w:p>
        </w:tc>
        <w:tc>
          <w:tcPr>
            <w:tcW w:w="4189" w:type="dxa"/>
          </w:tcPr>
          <w:p w:rsidR="00A570FD" w:rsidRPr="00FA3856" w:rsidRDefault="00A570FD" w:rsidP="00A570FD">
            <w:pPr>
              <w:jc w:val="center"/>
              <w:rPr>
                <w:b/>
                <w:color w:val="222222"/>
                <w:szCs w:val="20"/>
              </w:rPr>
            </w:pPr>
            <w:r w:rsidRPr="00FA3856">
              <w:rPr>
                <w:b/>
                <w:color w:val="222222"/>
                <w:szCs w:val="20"/>
              </w:rPr>
              <w:t>Utilização</w:t>
            </w:r>
          </w:p>
        </w:tc>
      </w:tr>
      <w:tr w:rsidR="00A570FD" w:rsidRPr="00FA3856" w:rsidTr="00D448FF">
        <w:trPr>
          <w:jc w:val="center"/>
        </w:trPr>
        <w:tc>
          <w:tcPr>
            <w:tcW w:w="1766" w:type="dxa"/>
          </w:tcPr>
          <w:p w:rsidR="00A570FD" w:rsidRPr="00FA3856" w:rsidRDefault="00A570FD" w:rsidP="00A570FD">
            <w:pPr>
              <w:jc w:val="center"/>
              <w:rPr>
                <w:color w:val="222222"/>
                <w:szCs w:val="20"/>
              </w:rPr>
            </w:pPr>
            <w:r w:rsidRPr="00FA3856">
              <w:rPr>
                <w:color w:val="222222"/>
                <w:szCs w:val="20"/>
              </w:rPr>
              <w:t>Adição</w:t>
            </w:r>
          </w:p>
        </w:tc>
        <w:tc>
          <w:tcPr>
            <w:tcW w:w="2589" w:type="dxa"/>
          </w:tcPr>
          <w:p w:rsidR="00A570FD" w:rsidRPr="00FA3856" w:rsidRDefault="00A570FD" w:rsidP="00A570FD">
            <w:pPr>
              <w:jc w:val="center"/>
              <w:rPr>
                <w:color w:val="222222"/>
                <w:szCs w:val="20"/>
              </w:rPr>
            </w:pPr>
            <w:r w:rsidRPr="00FA3856">
              <w:rPr>
                <w:color w:val="222222"/>
                <w:szCs w:val="20"/>
              </w:rPr>
              <w:t>Credor</w:t>
            </w:r>
          </w:p>
        </w:tc>
        <w:tc>
          <w:tcPr>
            <w:tcW w:w="3089" w:type="dxa"/>
          </w:tcPr>
          <w:p w:rsidR="00A570FD" w:rsidRPr="00FA3856" w:rsidRDefault="00A570FD" w:rsidP="00A570FD">
            <w:pPr>
              <w:jc w:val="center"/>
              <w:rPr>
                <w:color w:val="222222"/>
                <w:szCs w:val="20"/>
              </w:rPr>
            </w:pPr>
            <w:r w:rsidRPr="00FA3856">
              <w:rPr>
                <w:color w:val="222222"/>
                <w:szCs w:val="20"/>
              </w:rPr>
              <w:t>Devedor</w:t>
            </w:r>
          </w:p>
        </w:tc>
        <w:tc>
          <w:tcPr>
            <w:tcW w:w="4189" w:type="dxa"/>
          </w:tcPr>
          <w:p w:rsidR="00A570FD" w:rsidRPr="00FA3856" w:rsidRDefault="00A570FD" w:rsidP="00A570FD">
            <w:pPr>
              <w:rPr>
                <w:color w:val="222222"/>
                <w:szCs w:val="20"/>
              </w:rPr>
            </w:pPr>
            <w:r w:rsidRPr="00FA3856">
              <w:rPr>
                <w:color w:val="222222"/>
                <w:szCs w:val="20"/>
              </w:rPr>
              <w:t>Utilização de saldo para adição</w:t>
            </w:r>
          </w:p>
        </w:tc>
      </w:tr>
      <w:tr w:rsidR="00A570FD" w:rsidRPr="00FA3856" w:rsidTr="00D448FF">
        <w:trPr>
          <w:jc w:val="center"/>
        </w:trPr>
        <w:tc>
          <w:tcPr>
            <w:tcW w:w="1766" w:type="dxa"/>
          </w:tcPr>
          <w:p w:rsidR="00A570FD" w:rsidRPr="00FA3856" w:rsidRDefault="00A570FD" w:rsidP="00A570FD">
            <w:pPr>
              <w:jc w:val="center"/>
              <w:rPr>
                <w:color w:val="222222"/>
                <w:szCs w:val="20"/>
              </w:rPr>
            </w:pPr>
            <w:r w:rsidRPr="00FA3856">
              <w:rPr>
                <w:color w:val="222222"/>
                <w:szCs w:val="20"/>
              </w:rPr>
              <w:t>Adição</w:t>
            </w:r>
          </w:p>
        </w:tc>
        <w:tc>
          <w:tcPr>
            <w:tcW w:w="2589" w:type="dxa"/>
          </w:tcPr>
          <w:p w:rsidR="00A570FD" w:rsidRPr="00FA3856" w:rsidRDefault="00A570FD" w:rsidP="00A570FD">
            <w:pPr>
              <w:jc w:val="center"/>
              <w:rPr>
                <w:color w:val="222222"/>
                <w:szCs w:val="20"/>
              </w:rPr>
            </w:pPr>
            <w:r w:rsidRPr="00FA3856">
              <w:rPr>
                <w:color w:val="222222"/>
                <w:szCs w:val="20"/>
              </w:rPr>
              <w:t>Devedor</w:t>
            </w:r>
          </w:p>
        </w:tc>
        <w:tc>
          <w:tcPr>
            <w:tcW w:w="3089" w:type="dxa"/>
          </w:tcPr>
          <w:p w:rsidR="00A570FD" w:rsidRPr="00FA3856" w:rsidRDefault="00A570FD" w:rsidP="00A570FD">
            <w:pPr>
              <w:jc w:val="center"/>
              <w:rPr>
                <w:color w:val="222222"/>
                <w:szCs w:val="20"/>
              </w:rPr>
            </w:pPr>
            <w:r w:rsidRPr="00FA3856">
              <w:rPr>
                <w:color w:val="222222"/>
                <w:szCs w:val="20"/>
              </w:rPr>
              <w:t>Devedor</w:t>
            </w:r>
          </w:p>
        </w:tc>
        <w:tc>
          <w:tcPr>
            <w:tcW w:w="4189" w:type="dxa"/>
          </w:tcPr>
          <w:p w:rsidR="00A570FD" w:rsidRPr="00FA3856" w:rsidRDefault="00A570FD" w:rsidP="00A570FD">
            <w:pPr>
              <w:rPr>
                <w:color w:val="222222"/>
                <w:szCs w:val="20"/>
              </w:rPr>
            </w:pPr>
            <w:r w:rsidRPr="00FA3856">
              <w:rPr>
                <w:color w:val="222222"/>
                <w:szCs w:val="20"/>
              </w:rPr>
              <w:t>Constituição de saldo para posterior exclusão</w:t>
            </w:r>
          </w:p>
        </w:tc>
      </w:tr>
      <w:tr w:rsidR="00A570FD" w:rsidRPr="00FA3856" w:rsidTr="00D448FF">
        <w:trPr>
          <w:jc w:val="center"/>
        </w:trPr>
        <w:tc>
          <w:tcPr>
            <w:tcW w:w="1766" w:type="dxa"/>
          </w:tcPr>
          <w:p w:rsidR="00A570FD" w:rsidRPr="00FA3856" w:rsidRDefault="00A570FD" w:rsidP="00A570FD">
            <w:pPr>
              <w:jc w:val="center"/>
              <w:rPr>
                <w:color w:val="222222"/>
                <w:szCs w:val="20"/>
              </w:rPr>
            </w:pPr>
            <w:r w:rsidRPr="00FA3856">
              <w:rPr>
                <w:color w:val="222222"/>
                <w:szCs w:val="20"/>
              </w:rPr>
              <w:t>Exclusão</w:t>
            </w:r>
          </w:p>
        </w:tc>
        <w:tc>
          <w:tcPr>
            <w:tcW w:w="2589" w:type="dxa"/>
          </w:tcPr>
          <w:p w:rsidR="00A570FD" w:rsidRPr="00FA3856" w:rsidRDefault="00A570FD" w:rsidP="00A570FD">
            <w:pPr>
              <w:jc w:val="center"/>
              <w:rPr>
                <w:color w:val="222222"/>
                <w:szCs w:val="20"/>
              </w:rPr>
            </w:pPr>
            <w:r w:rsidRPr="00FA3856">
              <w:rPr>
                <w:color w:val="222222"/>
                <w:szCs w:val="20"/>
              </w:rPr>
              <w:t>Devedor</w:t>
            </w:r>
          </w:p>
        </w:tc>
        <w:tc>
          <w:tcPr>
            <w:tcW w:w="3089" w:type="dxa"/>
          </w:tcPr>
          <w:p w:rsidR="00A570FD" w:rsidRPr="00FA3856" w:rsidRDefault="00A570FD" w:rsidP="00A570FD">
            <w:pPr>
              <w:jc w:val="center"/>
              <w:rPr>
                <w:color w:val="222222"/>
                <w:szCs w:val="20"/>
              </w:rPr>
            </w:pPr>
            <w:r w:rsidRPr="00FA3856">
              <w:rPr>
                <w:color w:val="222222"/>
                <w:szCs w:val="20"/>
              </w:rPr>
              <w:t>Credor</w:t>
            </w:r>
          </w:p>
        </w:tc>
        <w:tc>
          <w:tcPr>
            <w:tcW w:w="4189" w:type="dxa"/>
          </w:tcPr>
          <w:p w:rsidR="00A570FD" w:rsidRPr="00FA3856" w:rsidRDefault="00A570FD" w:rsidP="00A570FD">
            <w:pPr>
              <w:rPr>
                <w:color w:val="222222"/>
                <w:szCs w:val="20"/>
              </w:rPr>
            </w:pPr>
            <w:r w:rsidRPr="00FA3856">
              <w:rPr>
                <w:color w:val="222222"/>
                <w:szCs w:val="20"/>
              </w:rPr>
              <w:t>Utilização de saldo para exclusão</w:t>
            </w:r>
          </w:p>
        </w:tc>
      </w:tr>
      <w:tr w:rsidR="00A570FD" w:rsidRPr="00FA3856" w:rsidTr="00D448FF">
        <w:trPr>
          <w:jc w:val="center"/>
        </w:trPr>
        <w:tc>
          <w:tcPr>
            <w:tcW w:w="1766" w:type="dxa"/>
          </w:tcPr>
          <w:p w:rsidR="00A570FD" w:rsidRPr="00FA3856" w:rsidRDefault="00A570FD" w:rsidP="00A570FD">
            <w:pPr>
              <w:jc w:val="center"/>
              <w:rPr>
                <w:color w:val="222222"/>
                <w:szCs w:val="20"/>
              </w:rPr>
            </w:pPr>
            <w:r w:rsidRPr="00FA3856">
              <w:rPr>
                <w:color w:val="222222"/>
                <w:szCs w:val="20"/>
              </w:rPr>
              <w:t>Exclusão</w:t>
            </w:r>
          </w:p>
        </w:tc>
        <w:tc>
          <w:tcPr>
            <w:tcW w:w="2589" w:type="dxa"/>
          </w:tcPr>
          <w:p w:rsidR="00A570FD" w:rsidRPr="00FA3856" w:rsidRDefault="00A570FD" w:rsidP="00A570FD">
            <w:pPr>
              <w:jc w:val="center"/>
              <w:rPr>
                <w:color w:val="222222"/>
                <w:szCs w:val="20"/>
              </w:rPr>
            </w:pPr>
            <w:r w:rsidRPr="00FA3856">
              <w:rPr>
                <w:color w:val="222222"/>
                <w:szCs w:val="20"/>
              </w:rPr>
              <w:t>Credor</w:t>
            </w:r>
          </w:p>
        </w:tc>
        <w:tc>
          <w:tcPr>
            <w:tcW w:w="3089" w:type="dxa"/>
          </w:tcPr>
          <w:p w:rsidR="00A570FD" w:rsidRPr="00FA3856" w:rsidRDefault="00A570FD" w:rsidP="00A570FD">
            <w:pPr>
              <w:jc w:val="center"/>
              <w:rPr>
                <w:color w:val="222222"/>
                <w:szCs w:val="20"/>
              </w:rPr>
            </w:pPr>
            <w:r w:rsidRPr="00FA3856">
              <w:rPr>
                <w:color w:val="222222"/>
                <w:szCs w:val="20"/>
              </w:rPr>
              <w:t>Credor</w:t>
            </w:r>
          </w:p>
        </w:tc>
        <w:tc>
          <w:tcPr>
            <w:tcW w:w="4189" w:type="dxa"/>
          </w:tcPr>
          <w:p w:rsidR="00A570FD" w:rsidRPr="00FA3856" w:rsidRDefault="00A570FD" w:rsidP="00A570FD">
            <w:pPr>
              <w:rPr>
                <w:color w:val="222222"/>
                <w:szCs w:val="20"/>
              </w:rPr>
            </w:pPr>
            <w:r w:rsidRPr="00FA3856">
              <w:rPr>
                <w:color w:val="222222"/>
                <w:szCs w:val="20"/>
              </w:rPr>
              <w:t>Constituição de saldo para posterior adição</w:t>
            </w:r>
          </w:p>
        </w:tc>
      </w:tr>
    </w:tbl>
    <w:p w:rsidR="00945449" w:rsidRPr="00FA3856" w:rsidRDefault="00945449" w:rsidP="00945449">
      <w:pPr>
        <w:jc w:val="both"/>
        <w:rPr>
          <w:szCs w:val="20"/>
        </w:rPr>
      </w:pPr>
    </w:p>
    <w:tbl>
      <w:tblPr>
        <w:tblStyle w:val="Tabelacomgrade"/>
        <w:tblW w:w="0" w:type="auto"/>
        <w:jc w:val="center"/>
        <w:tblLook w:val="04A0" w:firstRow="1" w:lastRow="0" w:firstColumn="1" w:lastColumn="0" w:noHBand="0" w:noVBand="1"/>
      </w:tblPr>
      <w:tblGrid>
        <w:gridCol w:w="3384"/>
        <w:gridCol w:w="1894"/>
        <w:gridCol w:w="2541"/>
        <w:gridCol w:w="2555"/>
        <w:gridCol w:w="2555"/>
      </w:tblGrid>
      <w:tr w:rsidR="000A2B94" w:rsidRPr="00FA3856" w:rsidTr="00000BE2">
        <w:trPr>
          <w:jc w:val="center"/>
        </w:trPr>
        <w:tc>
          <w:tcPr>
            <w:tcW w:w="3384" w:type="dxa"/>
          </w:tcPr>
          <w:p w:rsidR="000A2B94" w:rsidRPr="00FA3856" w:rsidRDefault="000A2B94" w:rsidP="00F0248E">
            <w:pPr>
              <w:jc w:val="center"/>
              <w:rPr>
                <w:b/>
                <w:color w:val="222222"/>
                <w:szCs w:val="20"/>
              </w:rPr>
            </w:pPr>
            <w:r w:rsidRPr="00FA3856">
              <w:rPr>
                <w:b/>
                <w:color w:val="222222"/>
                <w:szCs w:val="20"/>
              </w:rPr>
              <w:t>Livro da Parte A</w:t>
            </w:r>
          </w:p>
        </w:tc>
        <w:tc>
          <w:tcPr>
            <w:tcW w:w="1894" w:type="dxa"/>
          </w:tcPr>
          <w:p w:rsidR="000A2B94" w:rsidRPr="00FA3856" w:rsidRDefault="00602283" w:rsidP="00F0248E">
            <w:pPr>
              <w:jc w:val="center"/>
              <w:rPr>
                <w:b/>
                <w:color w:val="222222"/>
                <w:szCs w:val="20"/>
              </w:rPr>
            </w:pPr>
            <w:r w:rsidRPr="00FA3856">
              <w:rPr>
                <w:b/>
                <w:color w:val="222222"/>
                <w:szCs w:val="20"/>
              </w:rPr>
              <w:t>Sinal no M35</w:t>
            </w:r>
            <w:r w:rsidR="000A2B94" w:rsidRPr="00FA3856">
              <w:rPr>
                <w:b/>
                <w:color w:val="222222"/>
                <w:szCs w:val="20"/>
              </w:rPr>
              <w:t>0</w:t>
            </w:r>
          </w:p>
        </w:tc>
        <w:tc>
          <w:tcPr>
            <w:tcW w:w="2541" w:type="dxa"/>
          </w:tcPr>
          <w:p w:rsidR="000A2B94" w:rsidRPr="00FA3856" w:rsidRDefault="000A2B94" w:rsidP="00F0248E">
            <w:pPr>
              <w:jc w:val="center"/>
              <w:rPr>
                <w:b/>
                <w:color w:val="222222"/>
                <w:szCs w:val="20"/>
              </w:rPr>
            </w:pPr>
            <w:r w:rsidRPr="00FA3856">
              <w:rPr>
                <w:b/>
                <w:color w:val="222222"/>
                <w:szCs w:val="20"/>
              </w:rPr>
              <w:t xml:space="preserve">Indicador no </w:t>
            </w:r>
            <w:r w:rsidR="00602283" w:rsidRPr="00FA3856">
              <w:rPr>
                <w:b/>
                <w:color w:val="222222"/>
                <w:szCs w:val="20"/>
              </w:rPr>
              <w:t>M35</w:t>
            </w:r>
            <w:r w:rsidRPr="00FA3856">
              <w:rPr>
                <w:b/>
                <w:color w:val="222222"/>
                <w:szCs w:val="20"/>
              </w:rPr>
              <w:t>5</w:t>
            </w:r>
          </w:p>
          <w:p w:rsidR="000A2B94" w:rsidRPr="00FA3856" w:rsidRDefault="000A2B94" w:rsidP="00F0248E">
            <w:pPr>
              <w:jc w:val="center"/>
              <w:rPr>
                <w:b/>
                <w:color w:val="222222"/>
                <w:szCs w:val="20"/>
              </w:rPr>
            </w:pPr>
            <w:r w:rsidRPr="00FA3856">
              <w:rPr>
                <w:b/>
                <w:color w:val="222222"/>
                <w:szCs w:val="20"/>
              </w:rPr>
              <w:t>(Sinal do lançamento na conta da Parte B)</w:t>
            </w:r>
          </w:p>
        </w:tc>
        <w:tc>
          <w:tcPr>
            <w:tcW w:w="2555" w:type="dxa"/>
          </w:tcPr>
          <w:p w:rsidR="000A2B94" w:rsidRPr="00FA3856" w:rsidRDefault="00602283" w:rsidP="00F0248E">
            <w:pPr>
              <w:jc w:val="center"/>
              <w:rPr>
                <w:b/>
                <w:color w:val="222222"/>
                <w:szCs w:val="20"/>
              </w:rPr>
            </w:pPr>
            <w:r w:rsidRPr="00FA3856">
              <w:rPr>
                <w:b/>
                <w:color w:val="222222"/>
                <w:szCs w:val="20"/>
              </w:rPr>
              <w:t>Indicador no M36</w:t>
            </w:r>
            <w:r w:rsidR="000A2B94" w:rsidRPr="00FA3856">
              <w:rPr>
                <w:b/>
                <w:color w:val="222222"/>
                <w:szCs w:val="20"/>
              </w:rPr>
              <w:t>0</w:t>
            </w:r>
          </w:p>
          <w:p w:rsidR="000A2B94" w:rsidRPr="00FA3856" w:rsidRDefault="000A2B94" w:rsidP="00F0248E">
            <w:pPr>
              <w:jc w:val="center"/>
              <w:rPr>
                <w:b/>
                <w:color w:val="222222"/>
                <w:szCs w:val="20"/>
              </w:rPr>
            </w:pPr>
            <w:r w:rsidRPr="00FA3856">
              <w:rPr>
                <w:b/>
                <w:color w:val="222222"/>
                <w:szCs w:val="20"/>
              </w:rPr>
              <w:t>Conta de Resultado</w:t>
            </w:r>
          </w:p>
          <w:p w:rsidR="000A2B94" w:rsidRPr="00FA3856" w:rsidRDefault="000A2B94" w:rsidP="00F0248E">
            <w:pPr>
              <w:jc w:val="center"/>
              <w:rPr>
                <w:b/>
                <w:color w:val="222222"/>
                <w:szCs w:val="20"/>
              </w:rPr>
            </w:pPr>
            <w:r w:rsidRPr="00FA3856">
              <w:rPr>
                <w:b/>
                <w:color w:val="222222"/>
                <w:szCs w:val="20"/>
              </w:rPr>
              <w:t>(Sinal do saldo da conta contábil de resultado)</w:t>
            </w:r>
          </w:p>
        </w:tc>
        <w:tc>
          <w:tcPr>
            <w:tcW w:w="2555" w:type="dxa"/>
          </w:tcPr>
          <w:p w:rsidR="000A2B94" w:rsidRPr="00FA3856" w:rsidRDefault="00602283" w:rsidP="00F0248E">
            <w:pPr>
              <w:jc w:val="center"/>
              <w:rPr>
                <w:b/>
                <w:color w:val="222222"/>
                <w:szCs w:val="20"/>
              </w:rPr>
            </w:pPr>
            <w:r w:rsidRPr="00FA3856">
              <w:rPr>
                <w:b/>
                <w:color w:val="222222"/>
                <w:szCs w:val="20"/>
              </w:rPr>
              <w:t>Indicador no M36</w:t>
            </w:r>
            <w:r w:rsidR="000A2B94" w:rsidRPr="00FA3856">
              <w:rPr>
                <w:b/>
                <w:color w:val="222222"/>
                <w:szCs w:val="20"/>
              </w:rPr>
              <w:t>0</w:t>
            </w:r>
          </w:p>
          <w:p w:rsidR="000A2B94" w:rsidRPr="00FA3856" w:rsidRDefault="000A2B94" w:rsidP="00F0248E">
            <w:pPr>
              <w:jc w:val="center"/>
              <w:rPr>
                <w:b/>
                <w:color w:val="222222"/>
                <w:szCs w:val="20"/>
              </w:rPr>
            </w:pPr>
            <w:r w:rsidRPr="00FA3856">
              <w:rPr>
                <w:b/>
                <w:color w:val="222222"/>
                <w:szCs w:val="20"/>
              </w:rPr>
              <w:t>Conta Patrimonial</w:t>
            </w:r>
          </w:p>
          <w:p w:rsidR="000A2B94" w:rsidRPr="00FA3856" w:rsidRDefault="000A2B94" w:rsidP="00F0248E">
            <w:pPr>
              <w:jc w:val="center"/>
              <w:rPr>
                <w:b/>
                <w:color w:val="222222"/>
                <w:szCs w:val="20"/>
              </w:rPr>
            </w:pPr>
            <w:r w:rsidRPr="00FA3856">
              <w:rPr>
                <w:b/>
                <w:color w:val="222222"/>
                <w:szCs w:val="20"/>
              </w:rPr>
              <w:t>(Sinal do saldo da conta contábil patrimonial)</w:t>
            </w:r>
          </w:p>
        </w:tc>
      </w:tr>
      <w:tr w:rsidR="000A2B94" w:rsidRPr="00FA3856" w:rsidTr="00000BE2">
        <w:trPr>
          <w:jc w:val="center"/>
        </w:trPr>
        <w:tc>
          <w:tcPr>
            <w:tcW w:w="3384" w:type="dxa"/>
          </w:tcPr>
          <w:p w:rsidR="000A2B94" w:rsidRPr="00FA3856" w:rsidRDefault="000A2B94" w:rsidP="00F0248E">
            <w:pPr>
              <w:jc w:val="center"/>
              <w:rPr>
                <w:color w:val="222222"/>
                <w:szCs w:val="20"/>
              </w:rPr>
            </w:pPr>
            <w:r w:rsidRPr="00FA3856">
              <w:rPr>
                <w:color w:val="222222"/>
                <w:szCs w:val="20"/>
              </w:rPr>
              <w:t>Adição ou Lucro</w:t>
            </w:r>
          </w:p>
        </w:tc>
        <w:tc>
          <w:tcPr>
            <w:tcW w:w="1894" w:type="dxa"/>
          </w:tcPr>
          <w:p w:rsidR="000A2B94" w:rsidRPr="00FA3856" w:rsidRDefault="000A2B94" w:rsidP="00F0248E">
            <w:pPr>
              <w:jc w:val="center"/>
              <w:rPr>
                <w:color w:val="222222"/>
                <w:szCs w:val="20"/>
              </w:rPr>
            </w:pPr>
            <w:r w:rsidRPr="00FA3856">
              <w:rPr>
                <w:color w:val="222222"/>
                <w:szCs w:val="20"/>
              </w:rPr>
              <w:t>+ (positivo)</w:t>
            </w:r>
          </w:p>
        </w:tc>
        <w:tc>
          <w:tcPr>
            <w:tcW w:w="2541" w:type="dxa"/>
          </w:tcPr>
          <w:p w:rsidR="000A2B94" w:rsidRPr="00FA3856" w:rsidRDefault="000A2B94" w:rsidP="00F0248E">
            <w:pPr>
              <w:jc w:val="center"/>
              <w:rPr>
                <w:color w:val="222222"/>
                <w:szCs w:val="20"/>
              </w:rPr>
            </w:pPr>
            <w:r w:rsidRPr="00FA3856">
              <w:rPr>
                <w:color w:val="222222"/>
                <w:szCs w:val="20"/>
              </w:rPr>
              <w:t>D – Devedor</w:t>
            </w:r>
          </w:p>
        </w:tc>
        <w:tc>
          <w:tcPr>
            <w:tcW w:w="2555" w:type="dxa"/>
          </w:tcPr>
          <w:p w:rsidR="000A2B94" w:rsidRPr="00FA3856" w:rsidRDefault="000A2B94" w:rsidP="00F0248E">
            <w:pPr>
              <w:jc w:val="center"/>
              <w:rPr>
                <w:color w:val="222222"/>
                <w:szCs w:val="20"/>
              </w:rPr>
            </w:pPr>
            <w:r w:rsidRPr="00FA3856">
              <w:rPr>
                <w:color w:val="222222"/>
                <w:szCs w:val="20"/>
              </w:rPr>
              <w:t>D – Devedor</w:t>
            </w:r>
          </w:p>
        </w:tc>
        <w:tc>
          <w:tcPr>
            <w:tcW w:w="2555" w:type="dxa"/>
          </w:tcPr>
          <w:p w:rsidR="000A2B94" w:rsidRPr="00FA3856" w:rsidRDefault="000A2B94" w:rsidP="00F0248E">
            <w:pPr>
              <w:jc w:val="center"/>
              <w:rPr>
                <w:color w:val="222222"/>
                <w:szCs w:val="20"/>
              </w:rPr>
            </w:pPr>
            <w:r w:rsidRPr="00FA3856">
              <w:rPr>
                <w:color w:val="222222"/>
                <w:szCs w:val="20"/>
              </w:rPr>
              <w:t>C – Credor</w:t>
            </w:r>
          </w:p>
        </w:tc>
      </w:tr>
      <w:tr w:rsidR="000A2B94" w:rsidRPr="00FA3856" w:rsidTr="00000BE2">
        <w:trPr>
          <w:jc w:val="center"/>
        </w:trPr>
        <w:tc>
          <w:tcPr>
            <w:tcW w:w="3384" w:type="dxa"/>
          </w:tcPr>
          <w:p w:rsidR="000A2B94" w:rsidRPr="00FA3856" w:rsidRDefault="000A2B94" w:rsidP="00F0248E">
            <w:pPr>
              <w:jc w:val="center"/>
              <w:rPr>
                <w:color w:val="222222"/>
                <w:szCs w:val="20"/>
              </w:rPr>
            </w:pPr>
            <w:r w:rsidRPr="00FA3856">
              <w:rPr>
                <w:color w:val="222222"/>
                <w:szCs w:val="20"/>
              </w:rPr>
              <w:t>Adição ou Lucro</w:t>
            </w:r>
          </w:p>
        </w:tc>
        <w:tc>
          <w:tcPr>
            <w:tcW w:w="1894" w:type="dxa"/>
          </w:tcPr>
          <w:p w:rsidR="000A2B94" w:rsidRDefault="000A2B94" w:rsidP="00F0248E">
            <w:pPr>
              <w:jc w:val="center"/>
              <w:rPr>
                <w:color w:val="222222"/>
                <w:szCs w:val="20"/>
              </w:rPr>
            </w:pPr>
            <w:r w:rsidRPr="00FA3856">
              <w:rPr>
                <w:color w:val="222222"/>
                <w:szCs w:val="20"/>
              </w:rPr>
              <w:t>- (negativo)</w:t>
            </w:r>
          </w:p>
          <w:p w:rsidR="004B7B4C" w:rsidRPr="00000BE2" w:rsidRDefault="004B7B4C" w:rsidP="00F0248E">
            <w:pPr>
              <w:jc w:val="center"/>
              <w:rPr>
                <w:b/>
                <w:color w:val="222222"/>
                <w:szCs w:val="20"/>
              </w:rPr>
            </w:pPr>
            <w:r w:rsidRPr="00000BE2">
              <w:rPr>
                <w:b/>
                <w:color w:val="222222"/>
                <w:szCs w:val="20"/>
              </w:rPr>
              <w:t>Erro do programa</w:t>
            </w:r>
          </w:p>
        </w:tc>
        <w:tc>
          <w:tcPr>
            <w:tcW w:w="2541" w:type="dxa"/>
          </w:tcPr>
          <w:p w:rsidR="000A2B94" w:rsidRPr="00FA3856" w:rsidRDefault="000A2B94" w:rsidP="00F0248E">
            <w:pPr>
              <w:jc w:val="center"/>
              <w:rPr>
                <w:color w:val="222222"/>
                <w:szCs w:val="20"/>
              </w:rPr>
            </w:pPr>
            <w:r w:rsidRPr="00FA3856">
              <w:rPr>
                <w:color w:val="222222"/>
                <w:szCs w:val="20"/>
              </w:rPr>
              <w:t>C – Credor</w:t>
            </w:r>
          </w:p>
        </w:tc>
        <w:tc>
          <w:tcPr>
            <w:tcW w:w="2555" w:type="dxa"/>
          </w:tcPr>
          <w:p w:rsidR="000A2B94" w:rsidRPr="00FA3856" w:rsidRDefault="000A2B94" w:rsidP="00F0248E">
            <w:pPr>
              <w:jc w:val="center"/>
              <w:rPr>
                <w:color w:val="222222"/>
                <w:szCs w:val="20"/>
              </w:rPr>
            </w:pPr>
            <w:r w:rsidRPr="00FA3856">
              <w:rPr>
                <w:color w:val="222222"/>
                <w:szCs w:val="20"/>
              </w:rPr>
              <w:t>C – Credor</w:t>
            </w:r>
          </w:p>
        </w:tc>
        <w:tc>
          <w:tcPr>
            <w:tcW w:w="2555" w:type="dxa"/>
          </w:tcPr>
          <w:p w:rsidR="000A2B94" w:rsidRPr="00FA3856" w:rsidRDefault="000A2B94" w:rsidP="00F0248E">
            <w:pPr>
              <w:jc w:val="center"/>
              <w:rPr>
                <w:color w:val="222222"/>
                <w:szCs w:val="20"/>
              </w:rPr>
            </w:pPr>
            <w:r w:rsidRPr="00FA3856">
              <w:rPr>
                <w:color w:val="222222"/>
                <w:szCs w:val="20"/>
              </w:rPr>
              <w:t>D - Devedor</w:t>
            </w:r>
          </w:p>
        </w:tc>
      </w:tr>
      <w:tr w:rsidR="000A2B94" w:rsidRPr="00FA3856" w:rsidTr="00000BE2">
        <w:trPr>
          <w:jc w:val="center"/>
        </w:trPr>
        <w:tc>
          <w:tcPr>
            <w:tcW w:w="3384" w:type="dxa"/>
          </w:tcPr>
          <w:p w:rsidR="000A2B94" w:rsidRPr="00FA3856" w:rsidRDefault="000A2B94" w:rsidP="00F0248E">
            <w:pPr>
              <w:jc w:val="center"/>
              <w:rPr>
                <w:color w:val="222222"/>
                <w:szCs w:val="20"/>
              </w:rPr>
            </w:pPr>
            <w:r w:rsidRPr="00FA3856">
              <w:rPr>
                <w:color w:val="222222"/>
                <w:szCs w:val="20"/>
              </w:rPr>
              <w:t>Exclusão ou Compensação de Prejuízo</w:t>
            </w:r>
          </w:p>
        </w:tc>
        <w:tc>
          <w:tcPr>
            <w:tcW w:w="1894" w:type="dxa"/>
          </w:tcPr>
          <w:p w:rsidR="000A2B94" w:rsidRPr="00FA3856" w:rsidRDefault="000A2B94" w:rsidP="00F0248E">
            <w:pPr>
              <w:jc w:val="center"/>
              <w:rPr>
                <w:color w:val="222222"/>
                <w:szCs w:val="20"/>
              </w:rPr>
            </w:pPr>
            <w:r w:rsidRPr="00FA3856">
              <w:rPr>
                <w:color w:val="222222"/>
                <w:szCs w:val="20"/>
              </w:rPr>
              <w:t>+ (positivo)</w:t>
            </w:r>
          </w:p>
        </w:tc>
        <w:tc>
          <w:tcPr>
            <w:tcW w:w="2541" w:type="dxa"/>
          </w:tcPr>
          <w:p w:rsidR="000A2B94" w:rsidRPr="00FA3856" w:rsidRDefault="000A2B94" w:rsidP="00F0248E">
            <w:pPr>
              <w:jc w:val="center"/>
              <w:rPr>
                <w:color w:val="222222"/>
                <w:szCs w:val="20"/>
              </w:rPr>
            </w:pPr>
            <w:r w:rsidRPr="00FA3856">
              <w:rPr>
                <w:color w:val="222222"/>
                <w:szCs w:val="20"/>
              </w:rPr>
              <w:t>C – Credor</w:t>
            </w:r>
          </w:p>
        </w:tc>
        <w:tc>
          <w:tcPr>
            <w:tcW w:w="2555" w:type="dxa"/>
          </w:tcPr>
          <w:p w:rsidR="000A2B94" w:rsidRPr="00FA3856" w:rsidRDefault="000A2B94" w:rsidP="00F0248E">
            <w:pPr>
              <w:jc w:val="center"/>
              <w:rPr>
                <w:color w:val="222222"/>
                <w:szCs w:val="20"/>
              </w:rPr>
            </w:pPr>
            <w:r w:rsidRPr="00FA3856">
              <w:rPr>
                <w:color w:val="222222"/>
                <w:szCs w:val="20"/>
              </w:rPr>
              <w:t>C – Credor</w:t>
            </w:r>
          </w:p>
        </w:tc>
        <w:tc>
          <w:tcPr>
            <w:tcW w:w="2555" w:type="dxa"/>
          </w:tcPr>
          <w:p w:rsidR="000A2B94" w:rsidRPr="00FA3856" w:rsidRDefault="000A2B94" w:rsidP="00F0248E">
            <w:pPr>
              <w:jc w:val="center"/>
              <w:rPr>
                <w:color w:val="222222"/>
                <w:szCs w:val="20"/>
              </w:rPr>
            </w:pPr>
            <w:r w:rsidRPr="00FA3856">
              <w:rPr>
                <w:color w:val="222222"/>
                <w:szCs w:val="20"/>
              </w:rPr>
              <w:t>D - Devedor</w:t>
            </w:r>
          </w:p>
        </w:tc>
      </w:tr>
      <w:tr w:rsidR="000A2B94" w:rsidRPr="00FA3856" w:rsidTr="00000BE2">
        <w:trPr>
          <w:jc w:val="center"/>
        </w:trPr>
        <w:tc>
          <w:tcPr>
            <w:tcW w:w="3384" w:type="dxa"/>
          </w:tcPr>
          <w:p w:rsidR="000A2B94" w:rsidRPr="00FA3856" w:rsidRDefault="000A2B94" w:rsidP="00F0248E">
            <w:pPr>
              <w:jc w:val="center"/>
              <w:rPr>
                <w:color w:val="222222"/>
                <w:szCs w:val="20"/>
              </w:rPr>
            </w:pPr>
            <w:r w:rsidRPr="00FA3856">
              <w:rPr>
                <w:color w:val="222222"/>
                <w:szCs w:val="20"/>
              </w:rPr>
              <w:t>Exclusão ou Compensação de Prejuízo</w:t>
            </w:r>
          </w:p>
        </w:tc>
        <w:tc>
          <w:tcPr>
            <w:tcW w:w="1894" w:type="dxa"/>
          </w:tcPr>
          <w:p w:rsidR="000A2B94" w:rsidRDefault="000A2B94" w:rsidP="00F0248E">
            <w:pPr>
              <w:jc w:val="center"/>
              <w:rPr>
                <w:color w:val="222222"/>
                <w:szCs w:val="20"/>
              </w:rPr>
            </w:pPr>
            <w:r w:rsidRPr="00FA3856">
              <w:rPr>
                <w:color w:val="222222"/>
                <w:szCs w:val="20"/>
              </w:rPr>
              <w:t>- (negativo)</w:t>
            </w:r>
          </w:p>
          <w:p w:rsidR="004B7B4C" w:rsidRPr="00000BE2" w:rsidRDefault="004B7B4C" w:rsidP="00F0248E">
            <w:pPr>
              <w:jc w:val="center"/>
              <w:rPr>
                <w:b/>
                <w:color w:val="222222"/>
                <w:szCs w:val="20"/>
              </w:rPr>
            </w:pPr>
            <w:r w:rsidRPr="00000BE2">
              <w:rPr>
                <w:b/>
                <w:color w:val="222222"/>
                <w:szCs w:val="20"/>
              </w:rPr>
              <w:t>Erro do programa</w:t>
            </w:r>
          </w:p>
        </w:tc>
        <w:tc>
          <w:tcPr>
            <w:tcW w:w="2541" w:type="dxa"/>
          </w:tcPr>
          <w:p w:rsidR="000A2B94" w:rsidRPr="00FA3856" w:rsidRDefault="000A2B94" w:rsidP="00F0248E">
            <w:pPr>
              <w:jc w:val="center"/>
              <w:rPr>
                <w:color w:val="222222"/>
                <w:szCs w:val="20"/>
              </w:rPr>
            </w:pPr>
            <w:r w:rsidRPr="00FA3856">
              <w:rPr>
                <w:color w:val="222222"/>
                <w:szCs w:val="20"/>
              </w:rPr>
              <w:t>D - Devedor</w:t>
            </w:r>
          </w:p>
        </w:tc>
        <w:tc>
          <w:tcPr>
            <w:tcW w:w="2555" w:type="dxa"/>
          </w:tcPr>
          <w:p w:rsidR="000A2B94" w:rsidRPr="00FA3856" w:rsidRDefault="000A2B94" w:rsidP="00F0248E">
            <w:pPr>
              <w:jc w:val="center"/>
              <w:rPr>
                <w:color w:val="222222"/>
                <w:szCs w:val="20"/>
              </w:rPr>
            </w:pPr>
            <w:r w:rsidRPr="00FA3856">
              <w:rPr>
                <w:color w:val="222222"/>
                <w:szCs w:val="20"/>
              </w:rPr>
              <w:t>D - Devedor</w:t>
            </w:r>
          </w:p>
        </w:tc>
        <w:tc>
          <w:tcPr>
            <w:tcW w:w="2555" w:type="dxa"/>
          </w:tcPr>
          <w:p w:rsidR="000A2B94" w:rsidRPr="00FA3856" w:rsidRDefault="000A2B94" w:rsidP="00F0248E">
            <w:pPr>
              <w:jc w:val="center"/>
              <w:rPr>
                <w:color w:val="222222"/>
                <w:szCs w:val="20"/>
              </w:rPr>
            </w:pPr>
            <w:r w:rsidRPr="00FA3856">
              <w:rPr>
                <w:color w:val="222222"/>
                <w:szCs w:val="20"/>
              </w:rPr>
              <w:t>C – Credor</w:t>
            </w:r>
          </w:p>
        </w:tc>
      </w:tr>
    </w:tbl>
    <w:p w:rsidR="006D7B2F" w:rsidRDefault="006D7B2F" w:rsidP="007314B9">
      <w:pPr>
        <w:rPr>
          <w:b/>
          <w:szCs w:val="20"/>
          <w:lang w:val="pt-PT"/>
        </w:rPr>
      </w:pPr>
    </w:p>
    <w:p w:rsidR="006D7B2F" w:rsidRDefault="006D7B2F" w:rsidP="007314B9">
      <w:pPr>
        <w:rPr>
          <w:b/>
          <w:szCs w:val="20"/>
          <w:lang w:val="pt-PT"/>
        </w:rPr>
      </w:pPr>
    </w:p>
    <w:p w:rsidR="006D7B2F" w:rsidRDefault="006D7B2F" w:rsidP="007314B9">
      <w:pPr>
        <w:rPr>
          <w:b/>
          <w:szCs w:val="20"/>
          <w:lang w:val="pt-PT"/>
        </w:rPr>
      </w:pPr>
    </w:p>
    <w:p w:rsidR="006D7B2F" w:rsidRDefault="006D7B2F" w:rsidP="007314B9">
      <w:pPr>
        <w:rPr>
          <w:b/>
          <w:szCs w:val="20"/>
          <w:lang w:val="pt-PT"/>
        </w:rPr>
      </w:pPr>
    </w:p>
    <w:p w:rsidR="006D7B2F" w:rsidRDefault="006D7B2F" w:rsidP="007314B9">
      <w:pPr>
        <w:rPr>
          <w:b/>
          <w:szCs w:val="20"/>
          <w:lang w:val="pt-PT"/>
        </w:rPr>
      </w:pPr>
    </w:p>
    <w:p w:rsidR="006D7B2F" w:rsidRDefault="006D7B2F" w:rsidP="007314B9">
      <w:pPr>
        <w:rPr>
          <w:b/>
          <w:szCs w:val="20"/>
          <w:lang w:val="pt-PT"/>
        </w:rPr>
      </w:pPr>
    </w:p>
    <w:p w:rsidR="006D7B2F" w:rsidRDefault="006D7B2F" w:rsidP="007314B9">
      <w:pPr>
        <w:rPr>
          <w:b/>
          <w:szCs w:val="20"/>
          <w:lang w:val="pt-PT"/>
        </w:rPr>
      </w:pPr>
    </w:p>
    <w:p w:rsidR="006D7B2F" w:rsidRDefault="006D7B2F" w:rsidP="007314B9">
      <w:pPr>
        <w:rPr>
          <w:b/>
          <w:szCs w:val="20"/>
          <w:lang w:val="pt-PT"/>
        </w:rPr>
      </w:pPr>
    </w:p>
    <w:p w:rsidR="006D7B2F" w:rsidRDefault="006D7B2F" w:rsidP="007314B9">
      <w:pPr>
        <w:rPr>
          <w:b/>
          <w:szCs w:val="20"/>
          <w:lang w:val="pt-PT"/>
        </w:rPr>
      </w:pPr>
    </w:p>
    <w:p w:rsidR="006D7B2F" w:rsidRDefault="006D7B2F" w:rsidP="007314B9">
      <w:pPr>
        <w:rPr>
          <w:b/>
          <w:szCs w:val="20"/>
          <w:lang w:val="pt-PT"/>
        </w:rPr>
      </w:pPr>
    </w:p>
    <w:p w:rsidR="006D7B2F" w:rsidRDefault="006D7B2F" w:rsidP="007314B9">
      <w:pPr>
        <w:rPr>
          <w:b/>
          <w:szCs w:val="20"/>
          <w:lang w:val="pt-PT"/>
        </w:rPr>
      </w:pPr>
    </w:p>
    <w:p w:rsidR="006D7B2F" w:rsidRDefault="006D7B2F" w:rsidP="007314B9">
      <w:pPr>
        <w:rPr>
          <w:b/>
          <w:szCs w:val="20"/>
          <w:lang w:val="pt-PT"/>
        </w:rPr>
      </w:pPr>
    </w:p>
    <w:p w:rsidR="006D7B2F" w:rsidRDefault="006D7B2F" w:rsidP="007314B9">
      <w:pPr>
        <w:rPr>
          <w:b/>
          <w:szCs w:val="20"/>
          <w:lang w:val="pt-PT"/>
        </w:rPr>
      </w:pPr>
    </w:p>
    <w:p w:rsidR="006D7B2F" w:rsidRDefault="006D7B2F" w:rsidP="007314B9">
      <w:pPr>
        <w:rPr>
          <w:b/>
          <w:szCs w:val="20"/>
          <w:lang w:val="pt-PT"/>
        </w:rPr>
      </w:pPr>
    </w:p>
    <w:p w:rsidR="006D7B2F" w:rsidRDefault="006D7B2F" w:rsidP="007314B9">
      <w:pPr>
        <w:rPr>
          <w:b/>
          <w:szCs w:val="20"/>
          <w:lang w:val="pt-PT"/>
        </w:rPr>
      </w:pPr>
    </w:p>
    <w:p w:rsidR="006D7B2F" w:rsidRDefault="006D7B2F" w:rsidP="007314B9">
      <w:pPr>
        <w:rPr>
          <w:b/>
          <w:szCs w:val="20"/>
          <w:lang w:val="pt-PT"/>
        </w:rPr>
      </w:pPr>
    </w:p>
    <w:p w:rsidR="006D7B2F" w:rsidRDefault="006D7B2F" w:rsidP="007314B9">
      <w:pPr>
        <w:rPr>
          <w:b/>
          <w:szCs w:val="20"/>
          <w:lang w:val="pt-PT"/>
        </w:rPr>
      </w:pPr>
    </w:p>
    <w:p w:rsidR="006D7B2F" w:rsidRDefault="006D7B2F" w:rsidP="007314B9">
      <w:pPr>
        <w:rPr>
          <w:b/>
          <w:szCs w:val="20"/>
          <w:lang w:val="pt-PT"/>
        </w:rPr>
      </w:pPr>
    </w:p>
    <w:p w:rsidR="006D7B2F" w:rsidRDefault="006D7B2F" w:rsidP="007314B9">
      <w:pPr>
        <w:rPr>
          <w:b/>
          <w:szCs w:val="20"/>
          <w:lang w:val="pt-PT"/>
        </w:rPr>
      </w:pPr>
    </w:p>
    <w:p w:rsidR="006D7B2F" w:rsidRDefault="00B35FA3" w:rsidP="006D7B2F">
      <w:pPr>
        <w:jc w:val="center"/>
        <w:rPr>
          <w:b/>
          <w:szCs w:val="20"/>
          <w:lang w:val="pt-PT"/>
        </w:rPr>
      </w:pPr>
      <w:r>
        <w:rPr>
          <w:b/>
          <w:szCs w:val="20"/>
          <w:lang w:val="pt-PT"/>
        </w:rPr>
        <w:object w:dxaOrig="14550" w:dyaOrig="9285">
          <v:shape id="_x0000_i1704" type="#_x0000_t75" style="width:727.5pt;height:467.25pt" o:ole="">
            <v:imagedata r:id="rId305" o:title=""/>
          </v:shape>
          <o:OLEObject Type="Link" ProgID="Excel.Sheet.12" ShapeID="_x0000_i1704" DrawAspect="Content" r:id="rId306" UpdateMode="Always">
            <o:LinkType>EnhancedMetaFile</o:LinkType>
            <o:LockedField>false</o:LockedField>
          </o:OLEObject>
        </w:object>
      </w:r>
    </w:p>
    <w:p w:rsidR="00012703" w:rsidRDefault="00012703" w:rsidP="007314B9">
      <w:pPr>
        <w:rPr>
          <w:b/>
          <w:szCs w:val="20"/>
          <w:lang w:val="pt-PT"/>
        </w:rPr>
      </w:pPr>
    </w:p>
    <w:p w:rsidR="003C67BC" w:rsidRDefault="00B35FA3" w:rsidP="003C67BC">
      <w:pPr>
        <w:jc w:val="center"/>
        <w:rPr>
          <w:b/>
          <w:szCs w:val="20"/>
          <w:lang w:val="pt-PT"/>
        </w:rPr>
      </w:pPr>
      <w:r>
        <w:rPr>
          <w:b/>
          <w:szCs w:val="20"/>
          <w:lang w:val="pt-PT"/>
        </w:rPr>
        <w:object w:dxaOrig="14550" w:dyaOrig="645">
          <v:shape id="_x0000_i1706" type="#_x0000_t75" style="width:727.5pt;height:29.25pt" o:ole="">
            <v:imagedata r:id="rId307" o:title=""/>
          </v:shape>
          <o:OLEObject Type="Link" ProgID="Excel.Sheet.12" ShapeID="_x0000_i1706" DrawAspect="Content" r:id="rId308" UpdateMode="Always">
            <o:LinkType>EnhancedMetaFile</o:LinkType>
            <o:LockedField>false</o:LockedField>
          </o:OLEObject>
        </w:object>
      </w:r>
    </w:p>
    <w:p w:rsidR="003C67BC" w:rsidRDefault="003C67BC" w:rsidP="007314B9">
      <w:pPr>
        <w:rPr>
          <w:b/>
          <w:szCs w:val="20"/>
          <w:lang w:val="pt-PT"/>
        </w:rPr>
      </w:pPr>
    </w:p>
    <w:p w:rsidR="007314B9" w:rsidRPr="00FA3856" w:rsidRDefault="007314B9" w:rsidP="007314B9">
      <w:pPr>
        <w:rPr>
          <w:b/>
          <w:szCs w:val="20"/>
          <w:lang w:val="pt-PT"/>
        </w:rPr>
      </w:pPr>
      <w:r w:rsidRPr="00FA3856">
        <w:rPr>
          <w:b/>
          <w:szCs w:val="20"/>
          <w:lang w:val="pt-PT"/>
        </w:rPr>
        <w:t>Exemplo de preenchimento quando M350.IND_RELACAO = “3” (Conta Conta da Parte B e Conta Contábil):</w:t>
      </w:r>
    </w:p>
    <w:p w:rsidR="007314B9" w:rsidRPr="00FA3856" w:rsidRDefault="007314B9" w:rsidP="007314B9">
      <w:pPr>
        <w:rPr>
          <w:b/>
          <w:szCs w:val="20"/>
          <w:lang w:val="pt-PT"/>
        </w:rPr>
      </w:pPr>
    </w:p>
    <w:p w:rsidR="007314B9" w:rsidRPr="00FA3856" w:rsidRDefault="007314B9" w:rsidP="007314B9">
      <w:pPr>
        <w:rPr>
          <w:szCs w:val="20"/>
        </w:rPr>
      </w:pPr>
      <w:r w:rsidRPr="00FA3856">
        <w:rPr>
          <w:szCs w:val="20"/>
        </w:rPr>
        <w:t>1 - Contabilidade da Empresa - Constituição da Provisão</w:t>
      </w:r>
    </w:p>
    <w:p w:rsidR="007314B9" w:rsidRPr="00FA3856" w:rsidRDefault="007314B9" w:rsidP="007314B9">
      <w:pPr>
        <w:ind w:firstLine="708"/>
        <w:rPr>
          <w:szCs w:val="20"/>
        </w:rPr>
      </w:pPr>
      <w:r w:rsidRPr="00FA3856">
        <w:rPr>
          <w:szCs w:val="20"/>
        </w:rPr>
        <w:t>Débito: Despesas com Provisão 100</w:t>
      </w:r>
    </w:p>
    <w:p w:rsidR="007314B9" w:rsidRPr="00FA3856" w:rsidRDefault="007314B9" w:rsidP="007314B9">
      <w:pPr>
        <w:ind w:firstLine="708"/>
        <w:rPr>
          <w:szCs w:val="20"/>
        </w:rPr>
      </w:pPr>
      <w:r w:rsidRPr="00FA3856">
        <w:rPr>
          <w:szCs w:val="20"/>
        </w:rPr>
        <w:t>Crédito: Perdas Estimadas com Créditos de Liquidação Duvidosa 100</w:t>
      </w:r>
    </w:p>
    <w:p w:rsidR="007314B9" w:rsidRPr="00FA3856" w:rsidRDefault="007314B9" w:rsidP="007314B9">
      <w:pPr>
        <w:ind w:firstLine="708"/>
        <w:rPr>
          <w:szCs w:val="20"/>
        </w:rPr>
      </w:pPr>
      <w:r w:rsidRPr="00FA3856">
        <w:rPr>
          <w:szCs w:val="20"/>
        </w:rPr>
        <w:t>Essa despesa é indedutível, e será adicionada na Parte A do e-Lalur e também será constituído um saldo de mesmo valor na Parte B, para exclusões futuras (lançamento do tipo 3).</w:t>
      </w:r>
    </w:p>
    <w:p w:rsidR="007314B9" w:rsidRPr="00FA3856" w:rsidRDefault="007314B9" w:rsidP="007314B9">
      <w:pPr>
        <w:rPr>
          <w:szCs w:val="20"/>
        </w:rPr>
      </w:pPr>
    </w:p>
    <w:p w:rsidR="00395908" w:rsidRPr="00FA3856" w:rsidRDefault="00395908" w:rsidP="00395908">
      <w:pPr>
        <w:rPr>
          <w:szCs w:val="20"/>
        </w:rPr>
      </w:pPr>
      <w:r w:rsidRPr="00FA3856">
        <w:rPr>
          <w:szCs w:val="20"/>
        </w:rPr>
        <w:t>2 - Reversão da Provisão:</w:t>
      </w:r>
    </w:p>
    <w:p w:rsidR="00395908" w:rsidRPr="00FA3856" w:rsidRDefault="00395908" w:rsidP="00395908">
      <w:pPr>
        <w:ind w:firstLine="708"/>
        <w:rPr>
          <w:szCs w:val="20"/>
        </w:rPr>
      </w:pPr>
      <w:r w:rsidRPr="00FA3856">
        <w:rPr>
          <w:szCs w:val="20"/>
        </w:rPr>
        <w:t>Débito: Perdas Estimadas com Créditos de Liquidação Duvidosa 50</w:t>
      </w:r>
    </w:p>
    <w:p w:rsidR="00395908" w:rsidRPr="00FA3856" w:rsidRDefault="00395908" w:rsidP="00395908">
      <w:pPr>
        <w:ind w:firstLine="708"/>
        <w:rPr>
          <w:szCs w:val="20"/>
        </w:rPr>
      </w:pPr>
      <w:r w:rsidRPr="00FA3856">
        <w:rPr>
          <w:szCs w:val="20"/>
        </w:rPr>
        <w:t>Crédito: Reversão da Provisão da Provisão (Receita)</w:t>
      </w:r>
      <w:r>
        <w:rPr>
          <w:szCs w:val="20"/>
        </w:rPr>
        <w:t xml:space="preserve"> 50</w:t>
      </w:r>
    </w:p>
    <w:p w:rsidR="00395908" w:rsidRDefault="00395908" w:rsidP="00395908">
      <w:pPr>
        <w:ind w:firstLine="708"/>
        <w:rPr>
          <w:szCs w:val="20"/>
        </w:rPr>
      </w:pPr>
      <w:r w:rsidRPr="00FA3856">
        <w:rPr>
          <w:szCs w:val="20"/>
        </w:rPr>
        <w:t xml:space="preserve">Nesse caso, há uma exclusão na Parta A do e-Lalur, reduzindo o saldo </w:t>
      </w:r>
      <w:r>
        <w:rPr>
          <w:szCs w:val="20"/>
        </w:rPr>
        <w:t>da parte B e também há a reversão do saldo na parte contábil (lançamento do tipo 3</w:t>
      </w:r>
      <w:r w:rsidRPr="00FA3856">
        <w:rPr>
          <w:szCs w:val="20"/>
        </w:rPr>
        <w:t>).</w:t>
      </w:r>
    </w:p>
    <w:p w:rsidR="006D7B2F" w:rsidRDefault="006D7B2F" w:rsidP="007314B9">
      <w:pPr>
        <w:rPr>
          <w:szCs w:val="20"/>
        </w:rPr>
      </w:pPr>
    </w:p>
    <w:p w:rsidR="007314B9" w:rsidRPr="00FA3856" w:rsidRDefault="007314B9" w:rsidP="007314B9">
      <w:pPr>
        <w:rPr>
          <w:szCs w:val="20"/>
        </w:rPr>
      </w:pPr>
      <w:r w:rsidRPr="00FA3856">
        <w:rPr>
          <w:szCs w:val="20"/>
        </w:rPr>
        <w:t>3 - Perda considera incobrável (Perda consumada)</w:t>
      </w:r>
    </w:p>
    <w:p w:rsidR="007314B9" w:rsidRPr="00FA3856" w:rsidRDefault="007314B9" w:rsidP="007314B9">
      <w:pPr>
        <w:ind w:firstLine="708"/>
        <w:rPr>
          <w:szCs w:val="20"/>
        </w:rPr>
      </w:pPr>
      <w:r w:rsidRPr="00FA3856">
        <w:rPr>
          <w:szCs w:val="20"/>
        </w:rPr>
        <w:t>Débito: Perdas Estimadas com Créditos de Liquidação Duvidosa 30</w:t>
      </w:r>
    </w:p>
    <w:p w:rsidR="007314B9" w:rsidRPr="00FA3856" w:rsidRDefault="007314B9" w:rsidP="007314B9">
      <w:pPr>
        <w:ind w:firstLine="708"/>
        <w:rPr>
          <w:szCs w:val="20"/>
        </w:rPr>
      </w:pPr>
      <w:r w:rsidRPr="00FA3856">
        <w:rPr>
          <w:szCs w:val="20"/>
        </w:rPr>
        <w:t>Crédito: Duplicadas a Receber   30</w:t>
      </w:r>
    </w:p>
    <w:p w:rsidR="007314B9" w:rsidRPr="00FA3856" w:rsidRDefault="001B58FE" w:rsidP="007314B9">
      <w:pPr>
        <w:ind w:firstLine="708"/>
        <w:rPr>
          <w:szCs w:val="20"/>
        </w:rPr>
      </w:pPr>
      <w:r w:rsidRPr="00FA3856">
        <w:rPr>
          <w:szCs w:val="20"/>
        </w:rPr>
        <w:t>Nesse</w:t>
      </w:r>
      <w:r w:rsidR="007314B9" w:rsidRPr="00FA3856">
        <w:rPr>
          <w:szCs w:val="20"/>
        </w:rPr>
        <w:t xml:space="preserve"> caso, há uma exclusão na Parta A do e-Lalur, reduzindo o saldo da parte B (lançamento do tipo 1).</w:t>
      </w:r>
    </w:p>
    <w:p w:rsidR="007314B9" w:rsidRPr="00FA3856" w:rsidRDefault="007314B9" w:rsidP="00FC3B72">
      <w:pPr>
        <w:rPr>
          <w:b/>
          <w:szCs w:val="20"/>
        </w:rPr>
      </w:pPr>
    </w:p>
    <w:p w:rsidR="00FC3B72" w:rsidRPr="00FA3856" w:rsidRDefault="00FC3B72" w:rsidP="00FC3B72">
      <w:pPr>
        <w:rPr>
          <w:b/>
          <w:szCs w:val="20"/>
        </w:rPr>
      </w:pPr>
      <w:r w:rsidRPr="00FA3856">
        <w:rPr>
          <w:b/>
          <w:szCs w:val="20"/>
        </w:rPr>
        <w:t>I – Regras de Validação do Registro:</w:t>
      </w:r>
    </w:p>
    <w:p w:rsidR="00FC3B72" w:rsidRPr="00FA3856" w:rsidRDefault="00FC3B72" w:rsidP="00FC3B72">
      <w:pPr>
        <w:rPr>
          <w:b/>
          <w:szCs w:val="20"/>
        </w:rPr>
      </w:pPr>
    </w:p>
    <w:p w:rsidR="008D75B9" w:rsidRPr="00FA3856" w:rsidRDefault="008D75B9" w:rsidP="008D75B9">
      <w:pPr>
        <w:pStyle w:val="PSDS-CorpodeTexto0"/>
        <w:ind w:left="708"/>
        <w:jc w:val="both"/>
        <w:rPr>
          <w:rFonts w:ascii="Times New Roman" w:hAnsi="Times New Roman"/>
          <w:b/>
          <w:bCs/>
          <w:lang w:val="pt-PT"/>
        </w:rPr>
      </w:pPr>
      <w:r w:rsidRPr="00FA3856">
        <w:rPr>
          <w:rFonts w:ascii="Times New Roman" w:hAnsi="Times New Roman"/>
          <w:b/>
          <w:bCs/>
          <w:lang w:val="pt-PT"/>
        </w:rPr>
        <w:t xml:space="preserve">REGRA_VALOR_DETALHADO_CSLL: </w:t>
      </w:r>
    </w:p>
    <w:p w:rsidR="008D75B9" w:rsidRPr="00FA3856" w:rsidRDefault="008D75B9" w:rsidP="008D75B9">
      <w:pPr>
        <w:pStyle w:val="PSDS-CorpodeTexto0"/>
        <w:ind w:left="708"/>
        <w:jc w:val="both"/>
        <w:rPr>
          <w:rFonts w:ascii="Times New Roman" w:hAnsi="Times New Roman"/>
          <w:bCs/>
          <w:lang w:val="pt-PT"/>
        </w:rPr>
      </w:pPr>
      <w:r w:rsidRPr="00FA3856">
        <w:rPr>
          <w:rFonts w:ascii="Times New Roman" w:hAnsi="Times New Roman"/>
          <w:bCs/>
          <w:lang w:val="pt-PT"/>
        </w:rPr>
        <w:t xml:space="preserve">Verifica, quando M350.IND_RELACAO for igual a “1” (com conta da parte B), se o M350.VALOR é igual ao somatório de M355.VALOR_CTA. </w:t>
      </w:r>
    </w:p>
    <w:p w:rsidR="008D75B9" w:rsidRPr="00FA3856" w:rsidRDefault="008D75B9" w:rsidP="008D75B9">
      <w:pPr>
        <w:pStyle w:val="PSDS-CorpodeTexto0"/>
        <w:ind w:left="708"/>
        <w:jc w:val="both"/>
        <w:rPr>
          <w:rFonts w:ascii="Times New Roman" w:hAnsi="Times New Roman"/>
          <w:bCs/>
          <w:lang w:val="pt-PT"/>
        </w:rPr>
      </w:pPr>
      <w:r w:rsidRPr="00FA3856">
        <w:rPr>
          <w:rFonts w:ascii="Times New Roman" w:hAnsi="Times New Roman"/>
          <w:bCs/>
          <w:lang w:val="pt-PT"/>
        </w:rPr>
        <w:t xml:space="preserve">Verifica, quando M350.IND_RELACAO for igual a “2” (com conta contábil) se o M350.VALOR é igual ao somatório de M360.VALOR_CTA. </w:t>
      </w:r>
    </w:p>
    <w:p w:rsidR="008D75B9" w:rsidRPr="00FA3856" w:rsidRDefault="008D75B9" w:rsidP="008D75B9">
      <w:pPr>
        <w:pStyle w:val="PSDS-CorpodeTexto0"/>
        <w:ind w:left="708"/>
        <w:jc w:val="both"/>
        <w:rPr>
          <w:rFonts w:ascii="Times New Roman" w:hAnsi="Times New Roman"/>
          <w:bCs/>
          <w:lang w:val="pt-PT"/>
        </w:rPr>
      </w:pPr>
      <w:r w:rsidRPr="00FA3856">
        <w:rPr>
          <w:rFonts w:ascii="Times New Roman" w:hAnsi="Times New Roman"/>
          <w:bCs/>
          <w:lang w:val="pt-PT"/>
        </w:rPr>
        <w:t xml:space="preserve">Verifica, quando M350.IND_RELACAO for igual a “3” (com conta da parte B e conta contábil) se o M350.VALOR é igual ao somatório de M355.VALOR_CTA </w:t>
      </w:r>
      <w:r w:rsidR="003F4F02" w:rsidRPr="0070069F">
        <w:rPr>
          <w:rFonts w:ascii="Times New Roman" w:hAnsi="Times New Roman"/>
          <w:bCs/>
          <w:lang w:val="pt-PT"/>
        </w:rPr>
        <w:t>ou é igual ao somatório de M360.VALOR_CTA</w:t>
      </w:r>
      <w:r w:rsidR="003F4F02" w:rsidRPr="00FA3856">
        <w:rPr>
          <w:rFonts w:ascii="Times New Roman" w:hAnsi="Times New Roman"/>
          <w:bCs/>
          <w:lang w:val="pt-PT"/>
        </w:rPr>
        <w:t xml:space="preserve"> </w:t>
      </w:r>
      <w:r w:rsidRPr="00FA3856">
        <w:rPr>
          <w:rFonts w:ascii="Times New Roman" w:hAnsi="Times New Roman"/>
          <w:bCs/>
          <w:lang w:val="pt-PT"/>
        </w:rPr>
        <w:t xml:space="preserve">ou é igual ao somatório de M355.VALOR_CTA com M360.VALOR_CTA. </w:t>
      </w:r>
    </w:p>
    <w:p w:rsidR="008D75B9" w:rsidRPr="00FA3856" w:rsidRDefault="008D75B9" w:rsidP="00392C27">
      <w:pPr>
        <w:pStyle w:val="PSDS-CorpodeTexto0"/>
        <w:rPr>
          <w:rFonts w:ascii="Times New Roman" w:hAnsi="Times New Roman"/>
          <w:bCs/>
          <w:lang w:val="pt-PT"/>
        </w:rPr>
      </w:pPr>
    </w:p>
    <w:p w:rsidR="008D75B9" w:rsidRPr="00FA3856" w:rsidRDefault="008D75B9" w:rsidP="008D75B9">
      <w:pPr>
        <w:pStyle w:val="PSDS-CorpodeTexto0"/>
        <w:ind w:left="708"/>
        <w:rPr>
          <w:rFonts w:ascii="Times New Roman" w:hAnsi="Times New Roman"/>
          <w:bCs/>
          <w:lang w:val="pt-PT"/>
        </w:rPr>
      </w:pPr>
      <w:r w:rsidRPr="00FA3856">
        <w:rPr>
          <w:rFonts w:ascii="Times New Roman" w:hAnsi="Times New Roman"/>
          <w:bCs/>
          <w:lang w:val="pt-PT"/>
        </w:rPr>
        <w:t>O somatorio deve fazer a seguinte conversão de sinais:</w:t>
      </w:r>
      <w:r w:rsidRPr="00FA3856">
        <w:rPr>
          <w:rFonts w:ascii="Times New Roman" w:hAnsi="Times New Roman"/>
          <w:bCs/>
          <w:lang w:val="pt-PT"/>
        </w:rPr>
        <w:br/>
      </w:r>
      <w:r w:rsidRPr="00FA3856">
        <w:rPr>
          <w:rFonts w:ascii="Times New Roman" w:hAnsi="Times New Roman"/>
          <w:bCs/>
          <w:lang w:val="pt-PT"/>
        </w:rPr>
        <w:br/>
        <w:t xml:space="preserve">Se M350.TIPO_LANCAMENTO = “A” (Adição) ou “L” (Lucro): </w:t>
      </w:r>
    </w:p>
    <w:p w:rsidR="008D75B9" w:rsidRPr="00FA3856" w:rsidRDefault="008D75B9" w:rsidP="008D75B9">
      <w:pPr>
        <w:pStyle w:val="PSDS-CorpodeTexto0"/>
        <w:ind w:left="1416"/>
        <w:rPr>
          <w:rFonts w:ascii="Times New Roman" w:hAnsi="Times New Roman"/>
          <w:bCs/>
          <w:lang w:val="pt-PT"/>
        </w:rPr>
      </w:pPr>
      <w:r w:rsidRPr="00FA3856">
        <w:rPr>
          <w:rFonts w:ascii="Times New Roman" w:hAnsi="Times New Roman"/>
          <w:bCs/>
          <w:lang w:val="pt-PT"/>
        </w:rPr>
        <w:t xml:space="preserve">- Se M355.IND_VL_CTA = “D”, então ”+” (valor positivo). </w:t>
      </w:r>
      <w:r w:rsidRPr="00FA3856">
        <w:rPr>
          <w:rFonts w:ascii="Times New Roman" w:hAnsi="Times New Roman"/>
          <w:bCs/>
          <w:lang w:val="pt-PT"/>
        </w:rPr>
        <w:br/>
        <w:t xml:space="preserve">- Se M355.IND_VL_CTA = “C”, então ”-” (valor negativo). </w:t>
      </w:r>
    </w:p>
    <w:p w:rsidR="008D75B9" w:rsidRDefault="008D75B9" w:rsidP="008D75B9">
      <w:pPr>
        <w:pStyle w:val="PSDS-CorpodeTexto0"/>
        <w:ind w:left="1416"/>
        <w:rPr>
          <w:rFonts w:ascii="Times New Roman" w:hAnsi="Times New Roman"/>
          <w:bCs/>
          <w:lang w:val="pt-PT"/>
        </w:rPr>
      </w:pPr>
      <w:r w:rsidRPr="00FA3856">
        <w:rPr>
          <w:rFonts w:ascii="Times New Roman" w:hAnsi="Times New Roman"/>
          <w:bCs/>
          <w:lang w:val="pt-PT"/>
        </w:rPr>
        <w:t>- Se J050.COD_NAT = “4” (Conta de resultado) e M360.IND_VL_CTA = “D”, então ”+” (valor positivo).</w:t>
      </w:r>
      <w:r w:rsidRPr="00FA3856">
        <w:rPr>
          <w:rFonts w:ascii="Times New Roman" w:hAnsi="Times New Roman"/>
          <w:bCs/>
          <w:lang w:val="pt-PT"/>
        </w:rPr>
        <w:br/>
        <w:t>- Se J050.COD_NAT = “4” (Conta de resultado) e M360.IND_VL_CTA = “C”, então ”-” (valor negativo).</w:t>
      </w:r>
      <w:r w:rsidRPr="00FA3856">
        <w:rPr>
          <w:rFonts w:ascii="Times New Roman" w:hAnsi="Times New Roman"/>
          <w:bCs/>
          <w:lang w:val="pt-PT"/>
        </w:rPr>
        <w:br/>
        <w:t>- Se J050.COD_NAT = “1, 2 ou 3” (Conta de ativo, passivo ou patrimônio líquido) e M360.IND_VL_CTA = “D”, então ”-” (valor negativo).</w:t>
      </w:r>
      <w:r w:rsidRPr="00FA3856">
        <w:rPr>
          <w:rFonts w:ascii="Times New Roman" w:hAnsi="Times New Roman"/>
          <w:bCs/>
          <w:lang w:val="pt-PT"/>
        </w:rPr>
        <w:br/>
        <w:t>- Se J050.COD_NAT = “1, 2 ou 3” (Conta de ativo, passivo ou patrimônio líquido) e M360.IND_VL_CTA = “C”, então ”+” (valor positivo).</w:t>
      </w:r>
      <w:r w:rsidRPr="00FA3856">
        <w:rPr>
          <w:rFonts w:ascii="Times New Roman" w:hAnsi="Times New Roman"/>
          <w:bCs/>
          <w:lang w:val="pt-PT"/>
        </w:rPr>
        <w:br/>
      </w:r>
    </w:p>
    <w:p w:rsidR="003571AB" w:rsidRPr="00FA3856" w:rsidRDefault="003571AB" w:rsidP="008D75B9">
      <w:pPr>
        <w:pStyle w:val="PSDS-CorpodeTexto0"/>
        <w:ind w:left="1416"/>
        <w:rPr>
          <w:rFonts w:ascii="Times New Roman" w:hAnsi="Times New Roman"/>
          <w:bCs/>
          <w:lang w:val="pt-PT"/>
        </w:rPr>
      </w:pPr>
    </w:p>
    <w:p w:rsidR="008D75B9" w:rsidRPr="00FA3856" w:rsidRDefault="008D75B9" w:rsidP="008D75B9">
      <w:pPr>
        <w:pStyle w:val="PSDS-CorpodeTexto0"/>
        <w:ind w:firstLine="708"/>
        <w:rPr>
          <w:rFonts w:ascii="Times New Roman" w:hAnsi="Times New Roman"/>
          <w:bCs/>
          <w:lang w:val="pt-PT"/>
        </w:rPr>
      </w:pPr>
      <w:r w:rsidRPr="00FA3856">
        <w:rPr>
          <w:rFonts w:ascii="Times New Roman" w:hAnsi="Times New Roman"/>
          <w:bCs/>
          <w:lang w:val="pt-PT"/>
        </w:rPr>
        <w:lastRenderedPageBreak/>
        <w:t xml:space="preserve">Se M350.TIPO_LANCAMENTO = “E” (Exclusão) ou “P” (Prejuízo): </w:t>
      </w:r>
    </w:p>
    <w:p w:rsidR="008D75B9" w:rsidRPr="00FA3856" w:rsidRDefault="008D75B9" w:rsidP="008D75B9">
      <w:pPr>
        <w:pStyle w:val="PSDS-CorpodeTexto0"/>
        <w:ind w:left="1416"/>
        <w:rPr>
          <w:rFonts w:ascii="Times New Roman" w:hAnsi="Times New Roman"/>
          <w:bCs/>
          <w:lang w:val="pt-PT"/>
        </w:rPr>
      </w:pPr>
      <w:r w:rsidRPr="00FA3856">
        <w:rPr>
          <w:rFonts w:ascii="Times New Roman" w:hAnsi="Times New Roman"/>
          <w:bCs/>
          <w:lang w:val="pt-PT"/>
        </w:rPr>
        <w:t xml:space="preserve">- Se M355.IND_VL_CTA = “D”, então ”-” (valor negativo). </w:t>
      </w:r>
      <w:r w:rsidRPr="00FA3856">
        <w:rPr>
          <w:rFonts w:ascii="Times New Roman" w:hAnsi="Times New Roman"/>
          <w:bCs/>
          <w:lang w:val="pt-PT"/>
        </w:rPr>
        <w:br/>
        <w:t xml:space="preserve">- Se M355.IND_VL_CTA = “C”, então ”+” (valor positivo). </w:t>
      </w:r>
    </w:p>
    <w:p w:rsidR="008D75B9" w:rsidRPr="00FA3856" w:rsidRDefault="008D75B9" w:rsidP="008D75B9">
      <w:pPr>
        <w:pStyle w:val="PSDS-CorpodeTexto0"/>
        <w:ind w:left="1416"/>
        <w:rPr>
          <w:rFonts w:ascii="Times New Roman" w:hAnsi="Times New Roman"/>
          <w:bCs/>
          <w:lang w:val="pt-PT"/>
        </w:rPr>
      </w:pPr>
      <w:r w:rsidRPr="00FA3856">
        <w:rPr>
          <w:rFonts w:ascii="Times New Roman" w:hAnsi="Times New Roman"/>
          <w:bCs/>
          <w:lang w:val="pt-PT"/>
        </w:rPr>
        <w:t>- Se J050.COD_NAT = “4” (Conta de resultado) e M360.IND_VL_CTA = “D”, então ”-” (valor negativo).</w:t>
      </w:r>
      <w:r w:rsidRPr="00FA3856">
        <w:rPr>
          <w:rFonts w:ascii="Times New Roman" w:hAnsi="Times New Roman"/>
          <w:bCs/>
          <w:lang w:val="pt-PT"/>
        </w:rPr>
        <w:br/>
        <w:t>- Se J050.COD_NAT = “4” (Conta de resultado) e M360.IND_VL_CTA = “C”, então ”+” (valor positivo).</w:t>
      </w:r>
      <w:r w:rsidRPr="00FA3856">
        <w:rPr>
          <w:rFonts w:ascii="Times New Roman" w:hAnsi="Times New Roman"/>
          <w:bCs/>
          <w:lang w:val="pt-PT"/>
        </w:rPr>
        <w:br/>
        <w:t>- Se J050.COD_NAT = “1, 2 ou 3” (Conta de ativo, passivo ou patrimônio líquido) e M360.IND_VL_CTA = “D”, então ”+” (valor positivo).</w:t>
      </w:r>
      <w:r w:rsidRPr="00FA3856">
        <w:rPr>
          <w:rFonts w:ascii="Times New Roman" w:hAnsi="Times New Roman"/>
          <w:bCs/>
          <w:lang w:val="pt-PT"/>
        </w:rPr>
        <w:br/>
        <w:t>- Se J050.COD_NAT = “1, 2 ou 3” (Conta de ativo, passivo ou patrimônio líquido) e M360.IND_VL_CTA = “C”, então ”-” (valor negativo)</w:t>
      </w:r>
      <w:r w:rsidR="00CE3C5B" w:rsidRPr="00FA3856">
        <w:rPr>
          <w:rFonts w:ascii="Times New Roman" w:hAnsi="Times New Roman"/>
          <w:bCs/>
          <w:lang w:val="pt-PT"/>
        </w:rPr>
        <w:t>.</w:t>
      </w:r>
    </w:p>
    <w:p w:rsidR="00FC3B72" w:rsidRPr="00FA3856" w:rsidRDefault="00FC3B72" w:rsidP="00FC3B72">
      <w:pPr>
        <w:pStyle w:val="Corpodetexto"/>
        <w:ind w:left="708" w:firstLine="12"/>
        <w:rPr>
          <w:rFonts w:ascii="Times New Roman" w:hAnsi="Times New Roman"/>
          <w:szCs w:val="20"/>
          <w:lang w:val="pt-PT"/>
        </w:rPr>
      </w:pPr>
    </w:p>
    <w:p w:rsidR="00FE5D23" w:rsidRPr="00FA3856" w:rsidRDefault="007D0E74" w:rsidP="00FE5D23">
      <w:pPr>
        <w:pStyle w:val="Corpodetexto"/>
        <w:ind w:left="708" w:firstLine="12"/>
        <w:rPr>
          <w:rFonts w:ascii="Times New Roman" w:hAnsi="Times New Roman"/>
          <w:szCs w:val="20"/>
        </w:rPr>
      </w:pPr>
      <w:hyperlink r:id="rId309" w:anchor="REGRA_OCORRENCIA_UNITARIA_ARQ" w:history="1">
        <w:r w:rsidR="00FE5D23" w:rsidRPr="00FA3856">
          <w:rPr>
            <w:rFonts w:ascii="Times New Roman" w:hAnsi="Times New Roman"/>
            <w:b/>
            <w:szCs w:val="20"/>
          </w:rPr>
          <w:t>REGRA_</w:t>
        </w:r>
      </w:hyperlink>
      <w:r w:rsidR="00FE5D23" w:rsidRPr="00FA3856">
        <w:rPr>
          <w:rFonts w:ascii="Times New Roman" w:hAnsi="Times New Roman"/>
          <w:b/>
          <w:szCs w:val="20"/>
        </w:rPr>
        <w:t>DUPLICIDADE_DESPREZADA</w:t>
      </w:r>
      <w:r w:rsidR="00FE5D23" w:rsidRPr="00FA3856">
        <w:rPr>
          <w:rFonts w:ascii="Times New Roman" w:hAnsi="Times New Roman"/>
          <w:color w:val="auto"/>
          <w:szCs w:val="20"/>
        </w:rPr>
        <w:t xml:space="preserve">: </w:t>
      </w:r>
      <w:r w:rsidR="00FE5D23" w:rsidRPr="00FA3856">
        <w:rPr>
          <w:rFonts w:ascii="Times New Roman" w:hAnsi="Times New Roman"/>
          <w:szCs w:val="20"/>
        </w:rPr>
        <w:t>Verifica se o registro já foi importado anteriormente, de acordo com a chave e os registros pais. Se a regra não for cumprida, a ECF gera um aviso.</w:t>
      </w:r>
    </w:p>
    <w:p w:rsidR="00FE5D23" w:rsidRPr="00FA3856" w:rsidRDefault="00FE5D23" w:rsidP="00FE5D23">
      <w:pPr>
        <w:pStyle w:val="Corpodetexto"/>
        <w:ind w:left="708" w:firstLine="12"/>
        <w:rPr>
          <w:rFonts w:ascii="Times New Roman" w:hAnsi="Times New Roman"/>
          <w:szCs w:val="20"/>
        </w:rPr>
      </w:pPr>
    </w:p>
    <w:p w:rsidR="00FE5D23" w:rsidRPr="00FA3856" w:rsidRDefault="007D0E74" w:rsidP="00FE5D23">
      <w:pPr>
        <w:pStyle w:val="Corpodetexto"/>
        <w:ind w:left="708" w:firstLine="12"/>
        <w:rPr>
          <w:rFonts w:ascii="Times New Roman" w:hAnsi="Times New Roman"/>
          <w:szCs w:val="20"/>
        </w:rPr>
      </w:pPr>
      <w:hyperlink r:id="rId310" w:anchor="REGRA_OCORRENCIA_UNITARIA_ARQ" w:history="1">
        <w:r w:rsidR="00FE5D23" w:rsidRPr="00FA3856">
          <w:rPr>
            <w:rFonts w:ascii="Times New Roman" w:hAnsi="Times New Roman"/>
            <w:b/>
            <w:szCs w:val="20"/>
          </w:rPr>
          <w:t>REGRA_</w:t>
        </w:r>
      </w:hyperlink>
      <w:r w:rsidR="00FE5D23" w:rsidRPr="00FA3856">
        <w:rPr>
          <w:rFonts w:ascii="Times New Roman" w:hAnsi="Times New Roman"/>
          <w:b/>
          <w:szCs w:val="20"/>
        </w:rPr>
        <w:t>LINHA_DESPREZADA</w:t>
      </w:r>
      <w:r w:rsidR="00FE5D23" w:rsidRPr="00FA3856">
        <w:rPr>
          <w:rFonts w:ascii="Times New Roman" w:hAnsi="Times New Roman"/>
          <w:color w:val="auto"/>
          <w:szCs w:val="20"/>
        </w:rPr>
        <w:t xml:space="preserve">: </w:t>
      </w:r>
      <w:r w:rsidR="00FE5D23" w:rsidRPr="00FA3856">
        <w:rPr>
          <w:rFonts w:ascii="Times New Roman" w:hAnsi="Times New Roman"/>
          <w:szCs w:val="20"/>
        </w:rPr>
        <w:t>Verifica se o registro existe na importação, mas não será importado por não existir na tabela dinâmica devido às configurações do bloco 0 ou da tabela dinâmica. Gera um aviso.</w:t>
      </w:r>
    </w:p>
    <w:p w:rsidR="00FE5D23" w:rsidRPr="00FA3856" w:rsidRDefault="00FE5D23" w:rsidP="00FE5D23">
      <w:pPr>
        <w:pStyle w:val="Corpodetexto"/>
        <w:ind w:left="708" w:firstLine="12"/>
        <w:rPr>
          <w:rFonts w:ascii="Times New Roman" w:hAnsi="Times New Roman"/>
          <w:b/>
          <w:szCs w:val="20"/>
        </w:rPr>
      </w:pPr>
    </w:p>
    <w:p w:rsidR="00FE5D23" w:rsidRPr="00FA3856" w:rsidRDefault="007D0E74" w:rsidP="00FE5D23">
      <w:pPr>
        <w:pStyle w:val="Corpodetexto"/>
        <w:ind w:left="708" w:firstLine="12"/>
        <w:rPr>
          <w:rFonts w:ascii="Times New Roman" w:hAnsi="Times New Roman"/>
          <w:b/>
          <w:szCs w:val="20"/>
        </w:rPr>
      </w:pPr>
      <w:hyperlink r:id="rId311" w:anchor="REGRA_OCORRENCIA_UNITARIA_ARQ" w:history="1">
        <w:r w:rsidR="00FE5D23" w:rsidRPr="00FA3856">
          <w:rPr>
            <w:rFonts w:ascii="Times New Roman" w:hAnsi="Times New Roman"/>
            <w:b/>
            <w:szCs w:val="20"/>
          </w:rPr>
          <w:t>REGRA_</w:t>
        </w:r>
      </w:hyperlink>
      <w:r w:rsidR="00FE5D23" w:rsidRPr="00FA3856">
        <w:rPr>
          <w:rFonts w:ascii="Times New Roman" w:hAnsi="Times New Roman"/>
          <w:b/>
          <w:szCs w:val="20"/>
        </w:rPr>
        <w:t>LINHA_ATUALIZADA</w:t>
      </w:r>
      <w:r w:rsidR="00FE5D23" w:rsidRPr="00FA3856">
        <w:rPr>
          <w:rFonts w:ascii="Times New Roman" w:hAnsi="Times New Roman"/>
          <w:color w:val="auto"/>
          <w:szCs w:val="20"/>
        </w:rPr>
        <w:t xml:space="preserve">: </w:t>
      </w:r>
      <w:r w:rsidR="00FE5D23" w:rsidRPr="00FA3856">
        <w:rPr>
          <w:rFonts w:ascii="Times New Roman" w:hAnsi="Times New Roman"/>
          <w:szCs w:val="20"/>
        </w:rPr>
        <w:t>Verifica se o registro está desatualizado em relação à tabela da RFB. Gera um aviso.</w:t>
      </w:r>
    </w:p>
    <w:p w:rsidR="00FC3B72" w:rsidRPr="00FA3856" w:rsidRDefault="00FC3B72" w:rsidP="00FC3B72">
      <w:pPr>
        <w:rPr>
          <w:b/>
          <w:szCs w:val="20"/>
        </w:rPr>
      </w:pPr>
    </w:p>
    <w:p w:rsidR="00FC3B72" w:rsidRPr="00FA3856" w:rsidRDefault="00FC3B72" w:rsidP="00FC3B72">
      <w:pPr>
        <w:rPr>
          <w:b/>
          <w:szCs w:val="20"/>
          <w:lang w:val="pt-PT"/>
        </w:rPr>
      </w:pPr>
      <w:r w:rsidRPr="00FA3856">
        <w:rPr>
          <w:b/>
          <w:szCs w:val="20"/>
          <w:lang w:val="pt-PT"/>
        </w:rPr>
        <w:t>II – Regras de Validação de Campos:</w:t>
      </w:r>
    </w:p>
    <w:p w:rsidR="00FC3B72" w:rsidRPr="00FA3856" w:rsidRDefault="00FC3B72" w:rsidP="00FC3B72">
      <w:pPr>
        <w:rPr>
          <w:b/>
          <w:szCs w:val="20"/>
          <w:lang w:val="pt-PT"/>
        </w:rPr>
      </w:pPr>
    </w:p>
    <w:tbl>
      <w:tblPr>
        <w:tblW w:w="16370"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85"/>
        <w:gridCol w:w="3000"/>
        <w:gridCol w:w="12168"/>
        <w:gridCol w:w="717"/>
      </w:tblGrid>
      <w:tr w:rsidR="00FC3B72" w:rsidRPr="00FA3856" w:rsidTr="00B61297">
        <w:trPr>
          <w:tblHeader/>
          <w:jc w:val="center"/>
        </w:trPr>
        <w:tc>
          <w:tcPr>
            <w:tcW w:w="485" w:type="dxa"/>
            <w:tcBorders>
              <w:top w:val="single" w:sz="6" w:space="0" w:color="auto"/>
              <w:left w:val="single" w:sz="6" w:space="0" w:color="auto"/>
              <w:bottom w:val="single" w:sz="6" w:space="0" w:color="auto"/>
              <w:right w:val="single" w:sz="6" w:space="0" w:color="auto"/>
            </w:tcBorders>
            <w:shd w:val="pct10" w:color="auto" w:fill="FFFFFF"/>
          </w:tcPr>
          <w:p w:rsidR="00FC3B72" w:rsidRPr="00FA3856" w:rsidRDefault="00FC3B72" w:rsidP="00723FE4">
            <w:pPr>
              <w:pStyle w:val="PSDS-CorpodeTexto0"/>
              <w:jc w:val="center"/>
              <w:rPr>
                <w:rFonts w:ascii="Times New Roman" w:hAnsi="Times New Roman"/>
                <w:b/>
                <w:bCs/>
              </w:rPr>
            </w:pPr>
            <w:r w:rsidRPr="00FA3856">
              <w:rPr>
                <w:rFonts w:ascii="Times New Roman" w:hAnsi="Times New Roman"/>
                <w:b/>
                <w:bCs/>
              </w:rPr>
              <w:t>Nº</w:t>
            </w:r>
          </w:p>
        </w:tc>
        <w:tc>
          <w:tcPr>
            <w:tcW w:w="3000" w:type="dxa"/>
            <w:tcBorders>
              <w:top w:val="single" w:sz="6" w:space="0" w:color="auto"/>
              <w:left w:val="single" w:sz="6" w:space="0" w:color="auto"/>
              <w:bottom w:val="single" w:sz="6" w:space="0" w:color="auto"/>
              <w:right w:val="single" w:sz="6" w:space="0" w:color="auto"/>
            </w:tcBorders>
            <w:shd w:val="pct10" w:color="auto" w:fill="FFFFFF"/>
          </w:tcPr>
          <w:p w:rsidR="00FC3B72" w:rsidRPr="00FA3856" w:rsidRDefault="00FC3B72" w:rsidP="00723FE4">
            <w:pPr>
              <w:pStyle w:val="PSDS-CorpodeTexto0"/>
              <w:jc w:val="center"/>
              <w:rPr>
                <w:rFonts w:ascii="Times New Roman" w:hAnsi="Times New Roman"/>
                <w:b/>
                <w:bCs/>
              </w:rPr>
            </w:pPr>
            <w:r w:rsidRPr="00FA3856">
              <w:rPr>
                <w:rFonts w:ascii="Times New Roman" w:hAnsi="Times New Roman"/>
                <w:b/>
                <w:bCs/>
              </w:rPr>
              <w:t>Campo</w:t>
            </w:r>
          </w:p>
        </w:tc>
        <w:tc>
          <w:tcPr>
            <w:tcW w:w="12168" w:type="dxa"/>
            <w:tcBorders>
              <w:top w:val="single" w:sz="6" w:space="0" w:color="auto"/>
              <w:left w:val="single" w:sz="6" w:space="0" w:color="auto"/>
              <w:bottom w:val="single" w:sz="6" w:space="0" w:color="auto"/>
              <w:right w:val="single" w:sz="6" w:space="0" w:color="auto"/>
            </w:tcBorders>
            <w:shd w:val="pct10" w:color="auto" w:fill="FFFFFF"/>
          </w:tcPr>
          <w:p w:rsidR="00FC3B72" w:rsidRPr="00FA3856" w:rsidRDefault="00FC3B72" w:rsidP="00723FE4">
            <w:pPr>
              <w:pStyle w:val="PSDS-CorpodeTexto0"/>
              <w:jc w:val="center"/>
              <w:rPr>
                <w:rFonts w:ascii="Times New Roman" w:hAnsi="Times New Roman"/>
                <w:b/>
                <w:bCs/>
              </w:rPr>
            </w:pPr>
            <w:r w:rsidRPr="00FA3856">
              <w:rPr>
                <w:rFonts w:ascii="Times New Roman" w:hAnsi="Times New Roman"/>
                <w:b/>
                <w:bCs/>
              </w:rPr>
              <w:t>Regras de Validação do Campo</w:t>
            </w:r>
          </w:p>
        </w:tc>
        <w:tc>
          <w:tcPr>
            <w:tcW w:w="717" w:type="dxa"/>
            <w:tcBorders>
              <w:top w:val="single" w:sz="6" w:space="0" w:color="auto"/>
              <w:left w:val="single" w:sz="6" w:space="0" w:color="auto"/>
              <w:bottom w:val="single" w:sz="6" w:space="0" w:color="auto"/>
              <w:right w:val="single" w:sz="6" w:space="0" w:color="auto"/>
            </w:tcBorders>
            <w:shd w:val="pct10" w:color="auto" w:fill="FFFFFF"/>
          </w:tcPr>
          <w:p w:rsidR="00FC3B72" w:rsidRPr="00FA3856" w:rsidRDefault="00FC3B72" w:rsidP="00723FE4">
            <w:pPr>
              <w:pStyle w:val="PSDS-CorpodeTexto0"/>
              <w:jc w:val="center"/>
              <w:rPr>
                <w:rFonts w:ascii="Times New Roman" w:hAnsi="Times New Roman"/>
                <w:b/>
                <w:bCs/>
              </w:rPr>
            </w:pPr>
            <w:r w:rsidRPr="00FA3856">
              <w:rPr>
                <w:rFonts w:ascii="Times New Roman" w:hAnsi="Times New Roman"/>
                <w:b/>
                <w:bCs/>
              </w:rPr>
              <w:t>Tipo</w:t>
            </w:r>
          </w:p>
        </w:tc>
      </w:tr>
      <w:tr w:rsidR="00FC3B72" w:rsidRPr="00FA3856" w:rsidTr="00B61297">
        <w:trPr>
          <w:jc w:val="center"/>
        </w:trPr>
        <w:tc>
          <w:tcPr>
            <w:tcW w:w="485" w:type="dxa"/>
            <w:tcBorders>
              <w:top w:val="single" w:sz="6" w:space="0" w:color="auto"/>
              <w:left w:val="single" w:sz="6" w:space="0" w:color="auto"/>
              <w:bottom w:val="single" w:sz="6" w:space="0" w:color="auto"/>
              <w:right w:val="single" w:sz="6" w:space="0" w:color="auto"/>
            </w:tcBorders>
          </w:tcPr>
          <w:p w:rsidR="00FC3B72" w:rsidRPr="00FA3856" w:rsidRDefault="00FC3B72" w:rsidP="00723FE4">
            <w:pPr>
              <w:pStyle w:val="PSDS-CorpodeTexto0"/>
              <w:suppressAutoHyphens w:val="0"/>
              <w:rPr>
                <w:rFonts w:ascii="Times New Roman" w:hAnsi="Times New Roman"/>
                <w:b/>
                <w:bCs/>
                <w:lang w:val="pt-PT"/>
              </w:rPr>
            </w:pPr>
            <w:r w:rsidRPr="00FA3856">
              <w:rPr>
                <w:rFonts w:ascii="Times New Roman" w:hAnsi="Times New Roman"/>
                <w:b/>
                <w:bCs/>
                <w:lang w:val="pt-PT"/>
              </w:rPr>
              <w:t>4</w:t>
            </w:r>
          </w:p>
        </w:tc>
        <w:tc>
          <w:tcPr>
            <w:tcW w:w="3000" w:type="dxa"/>
            <w:tcBorders>
              <w:top w:val="single" w:sz="6" w:space="0" w:color="auto"/>
              <w:left w:val="single" w:sz="6" w:space="0" w:color="auto"/>
              <w:bottom w:val="single" w:sz="6" w:space="0" w:color="auto"/>
              <w:right w:val="single" w:sz="6" w:space="0" w:color="auto"/>
            </w:tcBorders>
          </w:tcPr>
          <w:p w:rsidR="00FC3B72" w:rsidRPr="00FA3856" w:rsidRDefault="00FC3B72" w:rsidP="00723FE4">
            <w:pPr>
              <w:pStyle w:val="PSDS-CorpodeTexto0"/>
              <w:rPr>
                <w:rFonts w:ascii="Times New Roman" w:hAnsi="Times New Roman"/>
              </w:rPr>
            </w:pPr>
            <w:r w:rsidRPr="00FA3856">
              <w:rPr>
                <w:rFonts w:ascii="Times New Roman" w:hAnsi="Times New Roman"/>
              </w:rPr>
              <w:t>TIPO_LANCAMENTO</w:t>
            </w:r>
          </w:p>
        </w:tc>
        <w:tc>
          <w:tcPr>
            <w:tcW w:w="12168" w:type="dxa"/>
            <w:tcBorders>
              <w:top w:val="single" w:sz="6" w:space="0" w:color="auto"/>
              <w:left w:val="single" w:sz="6" w:space="0" w:color="auto"/>
              <w:bottom w:val="single" w:sz="6" w:space="0" w:color="auto"/>
              <w:right w:val="single" w:sz="6" w:space="0" w:color="auto"/>
            </w:tcBorders>
          </w:tcPr>
          <w:p w:rsidR="00D448FF" w:rsidRPr="00FA3856" w:rsidRDefault="00D448FF" w:rsidP="00723FE4">
            <w:pPr>
              <w:pStyle w:val="Corpodetexto"/>
              <w:rPr>
                <w:rStyle w:val="Hyperlink"/>
                <w:rFonts w:ascii="Times New Roman" w:hAnsi="Times New Roman"/>
                <w:bCs/>
                <w:color w:val="auto"/>
                <w:szCs w:val="20"/>
                <w:lang w:val="pt-PT"/>
              </w:rPr>
            </w:pPr>
            <w:r w:rsidRPr="00FA3856">
              <w:rPr>
                <w:rStyle w:val="Hyperlink"/>
                <w:rFonts w:ascii="Times New Roman" w:hAnsi="Times New Roman"/>
                <w:b/>
                <w:bCs/>
                <w:color w:val="auto"/>
                <w:szCs w:val="20"/>
                <w:lang w:val="pt-PT"/>
              </w:rPr>
              <w:t xml:space="preserve">REGRA_OBRIGATORIO_TIPO_E: </w:t>
            </w:r>
            <w:r w:rsidRPr="00FA3856">
              <w:rPr>
                <w:rStyle w:val="Hyperlink"/>
                <w:rFonts w:ascii="Times New Roman" w:hAnsi="Times New Roman"/>
                <w:bCs/>
                <w:color w:val="auto"/>
                <w:szCs w:val="20"/>
                <w:lang w:val="pt-PT"/>
              </w:rPr>
              <w:t xml:space="preserve">Verifica se </w:t>
            </w:r>
            <w:r w:rsidR="000419FB" w:rsidRPr="00FA3856">
              <w:rPr>
                <w:rStyle w:val="Hyperlink"/>
                <w:rFonts w:ascii="Times New Roman" w:hAnsi="Times New Roman"/>
                <w:bCs/>
                <w:color w:val="auto"/>
                <w:szCs w:val="20"/>
                <w:lang w:val="pt-PT"/>
              </w:rPr>
              <w:t>o ca</w:t>
            </w:r>
            <w:r w:rsidR="00375E89" w:rsidRPr="00FA3856">
              <w:rPr>
                <w:rStyle w:val="Hyperlink"/>
                <w:rFonts w:ascii="Times New Roman" w:hAnsi="Times New Roman"/>
                <w:bCs/>
                <w:color w:val="auto"/>
                <w:szCs w:val="20"/>
                <w:lang w:val="pt-PT"/>
              </w:rPr>
              <w:t xml:space="preserve">mpo M350.TIPO_LANCAMENTO </w:t>
            </w:r>
            <w:r w:rsidRPr="00FA3856">
              <w:rPr>
                <w:rStyle w:val="Hyperlink"/>
                <w:rFonts w:ascii="Times New Roman" w:hAnsi="Times New Roman"/>
                <w:bCs/>
                <w:color w:val="auto"/>
                <w:szCs w:val="20"/>
                <w:lang w:val="pt-PT"/>
              </w:rPr>
              <w:t>não está preenchido quando o tipo de linha é “E”.</w:t>
            </w:r>
          </w:p>
          <w:p w:rsidR="00D448FF" w:rsidRPr="00FA3856" w:rsidRDefault="00D448FF" w:rsidP="00723FE4">
            <w:pPr>
              <w:pStyle w:val="Corpodetexto"/>
              <w:rPr>
                <w:rStyle w:val="Hyperlink"/>
                <w:rFonts w:ascii="Times New Roman" w:hAnsi="Times New Roman"/>
                <w:b/>
                <w:bCs/>
                <w:color w:val="auto"/>
                <w:szCs w:val="20"/>
                <w:lang w:val="pt-PT"/>
              </w:rPr>
            </w:pPr>
          </w:p>
          <w:p w:rsidR="00FC3B72" w:rsidRPr="00FA3856" w:rsidRDefault="00FC3B72" w:rsidP="00723FE4">
            <w:pPr>
              <w:pStyle w:val="Corpodetexto"/>
              <w:rPr>
                <w:rStyle w:val="Hyperlink"/>
                <w:rFonts w:ascii="Times New Roman" w:hAnsi="Times New Roman"/>
                <w:bCs/>
                <w:color w:val="auto"/>
                <w:szCs w:val="20"/>
                <w:lang w:val="pt-PT"/>
              </w:rPr>
            </w:pPr>
            <w:r w:rsidRPr="00FA3856">
              <w:rPr>
                <w:rStyle w:val="Hyperlink"/>
                <w:rFonts w:ascii="Times New Roman" w:hAnsi="Times New Roman"/>
                <w:b/>
                <w:bCs/>
                <w:color w:val="auto"/>
                <w:szCs w:val="20"/>
                <w:lang w:val="pt-PT"/>
              </w:rPr>
              <w:t xml:space="preserve">REGRA_NAO_PREENCHER_TIPO_DIFERENTE_E: </w:t>
            </w:r>
            <w:r w:rsidRPr="00FA3856">
              <w:rPr>
                <w:rStyle w:val="Hyperlink"/>
                <w:rFonts w:ascii="Times New Roman" w:hAnsi="Times New Roman"/>
                <w:bCs/>
                <w:color w:val="auto"/>
                <w:szCs w:val="20"/>
                <w:lang w:val="pt-PT"/>
              </w:rPr>
              <w:t xml:space="preserve">Verifica se o campo </w:t>
            </w:r>
            <w:r w:rsidR="00375E89" w:rsidRPr="00FA3856">
              <w:rPr>
                <w:rStyle w:val="Hyperlink"/>
                <w:rFonts w:ascii="Times New Roman" w:hAnsi="Times New Roman"/>
                <w:bCs/>
                <w:color w:val="auto"/>
                <w:szCs w:val="20"/>
                <w:lang w:val="pt-PT"/>
              </w:rPr>
              <w:t xml:space="preserve">M350.TIP_LANCAMENTO </w:t>
            </w:r>
            <w:r w:rsidRPr="00FA3856">
              <w:rPr>
                <w:rStyle w:val="Hyperlink"/>
                <w:rFonts w:ascii="Times New Roman" w:hAnsi="Times New Roman"/>
                <w:bCs/>
                <w:color w:val="auto"/>
                <w:szCs w:val="20"/>
                <w:lang w:val="pt-PT"/>
              </w:rPr>
              <w:t>está preenchido quando o tipo da linha é “E”.</w:t>
            </w:r>
          </w:p>
          <w:p w:rsidR="00D448FF" w:rsidRPr="00FA3856" w:rsidRDefault="00D448FF" w:rsidP="00723FE4">
            <w:pPr>
              <w:pStyle w:val="Corpodetexto"/>
              <w:rPr>
                <w:rStyle w:val="Hyperlink"/>
                <w:rFonts w:ascii="Times New Roman" w:hAnsi="Times New Roman"/>
                <w:bCs/>
                <w:color w:val="auto"/>
                <w:szCs w:val="20"/>
                <w:lang w:val="pt-PT"/>
              </w:rPr>
            </w:pPr>
          </w:p>
          <w:p w:rsidR="000419FB" w:rsidRPr="00FA3856" w:rsidRDefault="000419FB" w:rsidP="00723FE4">
            <w:pPr>
              <w:pStyle w:val="Corpodetexto"/>
              <w:rPr>
                <w:rStyle w:val="Hyperlink"/>
                <w:rFonts w:ascii="Times New Roman" w:hAnsi="Times New Roman"/>
                <w:bCs/>
                <w:color w:val="auto"/>
                <w:szCs w:val="20"/>
                <w:lang w:val="pt-PT"/>
              </w:rPr>
            </w:pPr>
          </w:p>
          <w:p w:rsidR="000419FB" w:rsidRPr="00FA3856" w:rsidRDefault="000419FB" w:rsidP="00723FE4">
            <w:pPr>
              <w:pStyle w:val="Corpodetexto"/>
              <w:rPr>
                <w:rStyle w:val="Hyperlink"/>
                <w:rFonts w:ascii="Times New Roman" w:hAnsi="Times New Roman"/>
                <w:bCs/>
                <w:color w:val="auto"/>
                <w:szCs w:val="20"/>
                <w:lang w:val="pt-PT"/>
              </w:rPr>
            </w:pPr>
          </w:p>
          <w:p w:rsidR="00D448FF" w:rsidRPr="00FA3856" w:rsidRDefault="00D448FF" w:rsidP="00D448FF">
            <w:pPr>
              <w:pStyle w:val="Corpodetexto"/>
              <w:rPr>
                <w:rFonts w:ascii="Times New Roman" w:hAnsi="Times New Roman"/>
                <w:b/>
                <w:bCs/>
                <w:szCs w:val="20"/>
              </w:rPr>
            </w:pPr>
            <w:r w:rsidRPr="00FA3856">
              <w:rPr>
                <w:rFonts w:ascii="Times New Roman" w:hAnsi="Times New Roman"/>
                <w:b/>
                <w:bCs/>
                <w:szCs w:val="20"/>
              </w:rPr>
              <w:t xml:space="preserve">REGRA_RELACAO_INEXISTENTE: </w:t>
            </w:r>
          </w:p>
          <w:p w:rsidR="00D448FF" w:rsidRPr="00FA3856" w:rsidRDefault="00D448FF" w:rsidP="00D448FF">
            <w:pPr>
              <w:pStyle w:val="Corpodetexto"/>
              <w:rPr>
                <w:rFonts w:ascii="Times New Roman" w:hAnsi="Times New Roman"/>
                <w:bCs/>
                <w:szCs w:val="20"/>
              </w:rPr>
            </w:pPr>
            <w:r w:rsidRPr="00FA3856">
              <w:rPr>
                <w:rFonts w:ascii="Times New Roman" w:hAnsi="Times New Roman"/>
                <w:b/>
                <w:bCs/>
                <w:szCs w:val="20"/>
              </w:rPr>
              <w:t xml:space="preserve">- </w:t>
            </w:r>
            <w:r w:rsidRPr="00FA3856">
              <w:rPr>
                <w:rFonts w:ascii="Times New Roman" w:hAnsi="Times New Roman"/>
                <w:bCs/>
                <w:szCs w:val="20"/>
              </w:rPr>
              <w:t>Verifica se existe, pelo menos, um registro M305/M355 filho e não existe um registro M310/M360 fil</w:t>
            </w:r>
            <w:r w:rsidR="000419FB" w:rsidRPr="00FA3856">
              <w:rPr>
                <w:rFonts w:ascii="Times New Roman" w:hAnsi="Times New Roman"/>
                <w:bCs/>
                <w:szCs w:val="20"/>
              </w:rPr>
              <w:t xml:space="preserve">ho, </w:t>
            </w:r>
            <w:r w:rsidR="00375E89" w:rsidRPr="00FA3856">
              <w:rPr>
                <w:rFonts w:ascii="Times New Roman" w:hAnsi="Times New Roman"/>
                <w:bCs/>
                <w:szCs w:val="20"/>
              </w:rPr>
              <w:t xml:space="preserve">quando M350.IND_RELACAO </w:t>
            </w:r>
            <w:r w:rsidRPr="00FA3856">
              <w:rPr>
                <w:rFonts w:ascii="Times New Roman" w:hAnsi="Times New Roman"/>
                <w:bCs/>
                <w:szCs w:val="20"/>
              </w:rPr>
              <w:t>é igual a “1” (Com Conta da Parte B).</w:t>
            </w:r>
          </w:p>
          <w:p w:rsidR="00D448FF" w:rsidRPr="00FA3856" w:rsidRDefault="00D448FF" w:rsidP="00D448FF">
            <w:pPr>
              <w:pStyle w:val="Corpodetexto"/>
              <w:rPr>
                <w:rFonts w:ascii="Times New Roman" w:hAnsi="Times New Roman"/>
                <w:bCs/>
                <w:szCs w:val="20"/>
              </w:rPr>
            </w:pPr>
            <w:r w:rsidRPr="00FA3856">
              <w:rPr>
                <w:rFonts w:ascii="Times New Roman" w:hAnsi="Times New Roman"/>
                <w:b/>
                <w:bCs/>
                <w:szCs w:val="20"/>
              </w:rPr>
              <w:t xml:space="preserve">- </w:t>
            </w:r>
            <w:r w:rsidRPr="00FA3856">
              <w:rPr>
                <w:rFonts w:ascii="Times New Roman" w:hAnsi="Times New Roman"/>
                <w:bCs/>
                <w:szCs w:val="20"/>
              </w:rPr>
              <w:t>Verifica se não existe registro M305/M355 filho e existe, pelo menos, um registro M310/M360 fil</w:t>
            </w:r>
            <w:r w:rsidR="00375E89" w:rsidRPr="00FA3856">
              <w:rPr>
                <w:rFonts w:ascii="Times New Roman" w:hAnsi="Times New Roman"/>
                <w:bCs/>
                <w:szCs w:val="20"/>
              </w:rPr>
              <w:t xml:space="preserve">ho, quando M350.IND_RELACAO </w:t>
            </w:r>
            <w:r w:rsidRPr="00FA3856">
              <w:rPr>
                <w:rFonts w:ascii="Times New Roman" w:hAnsi="Times New Roman"/>
                <w:bCs/>
                <w:szCs w:val="20"/>
              </w:rPr>
              <w:t xml:space="preserve">é igual a “2” (Com Conta </w:t>
            </w:r>
            <w:r w:rsidR="003571AB">
              <w:rPr>
                <w:rFonts w:ascii="Times New Roman" w:hAnsi="Times New Roman"/>
                <w:bCs/>
                <w:szCs w:val="20"/>
              </w:rPr>
              <w:t>Contábil</w:t>
            </w:r>
            <w:r w:rsidRPr="00FA3856">
              <w:rPr>
                <w:rFonts w:ascii="Times New Roman" w:hAnsi="Times New Roman"/>
                <w:bCs/>
                <w:szCs w:val="20"/>
              </w:rPr>
              <w:t>).</w:t>
            </w:r>
          </w:p>
          <w:p w:rsidR="00D448FF" w:rsidRPr="00FA3856" w:rsidRDefault="00D448FF" w:rsidP="00D448FF">
            <w:pPr>
              <w:pStyle w:val="Corpodetexto"/>
              <w:rPr>
                <w:rFonts w:ascii="Times New Roman" w:hAnsi="Times New Roman"/>
                <w:bCs/>
                <w:szCs w:val="20"/>
              </w:rPr>
            </w:pPr>
            <w:r w:rsidRPr="00FA3856">
              <w:rPr>
                <w:rFonts w:ascii="Times New Roman" w:hAnsi="Times New Roman"/>
                <w:b/>
                <w:bCs/>
                <w:szCs w:val="20"/>
              </w:rPr>
              <w:t xml:space="preserve">- </w:t>
            </w:r>
            <w:r w:rsidRPr="00FA3856">
              <w:rPr>
                <w:rFonts w:ascii="Times New Roman" w:hAnsi="Times New Roman"/>
                <w:bCs/>
                <w:szCs w:val="20"/>
              </w:rPr>
              <w:t>Verifica se existe, pelo menos, um registro M305/M355 filho e, pelo menos, um registro M310/M360 fil</w:t>
            </w:r>
            <w:r w:rsidR="000419FB" w:rsidRPr="00FA3856">
              <w:rPr>
                <w:rFonts w:ascii="Times New Roman" w:hAnsi="Times New Roman"/>
                <w:bCs/>
                <w:szCs w:val="20"/>
              </w:rPr>
              <w:t xml:space="preserve">ho, </w:t>
            </w:r>
            <w:r w:rsidR="00375E89" w:rsidRPr="00FA3856">
              <w:rPr>
                <w:rFonts w:ascii="Times New Roman" w:hAnsi="Times New Roman"/>
                <w:bCs/>
                <w:szCs w:val="20"/>
              </w:rPr>
              <w:t xml:space="preserve">quando M350.IND_RELACAO </w:t>
            </w:r>
            <w:r w:rsidRPr="00FA3856">
              <w:rPr>
                <w:rFonts w:ascii="Times New Roman" w:hAnsi="Times New Roman"/>
                <w:bCs/>
                <w:szCs w:val="20"/>
              </w:rPr>
              <w:t>é igual a “3” (Com Conta da Parte B e Conta Contábil).</w:t>
            </w:r>
          </w:p>
          <w:p w:rsidR="00D448FF" w:rsidRPr="00FA3856" w:rsidRDefault="00D448FF" w:rsidP="00723FE4">
            <w:pPr>
              <w:pStyle w:val="Corpodetexto"/>
              <w:rPr>
                <w:rFonts w:ascii="Times New Roman" w:hAnsi="Times New Roman"/>
                <w:bCs/>
                <w:szCs w:val="20"/>
              </w:rPr>
            </w:pPr>
            <w:r w:rsidRPr="00FA3856">
              <w:rPr>
                <w:rFonts w:ascii="Times New Roman" w:hAnsi="Times New Roman"/>
                <w:b/>
                <w:bCs/>
                <w:szCs w:val="20"/>
              </w:rPr>
              <w:t xml:space="preserve">- </w:t>
            </w:r>
            <w:r w:rsidRPr="00FA3856">
              <w:rPr>
                <w:rFonts w:ascii="Times New Roman" w:hAnsi="Times New Roman"/>
                <w:bCs/>
                <w:szCs w:val="20"/>
              </w:rPr>
              <w:t>Verifica se não existe registro M305/M355 filho e se não existe um registro M310/M360 fil</w:t>
            </w:r>
            <w:r w:rsidR="000419FB" w:rsidRPr="00FA3856">
              <w:rPr>
                <w:rFonts w:ascii="Times New Roman" w:hAnsi="Times New Roman"/>
                <w:bCs/>
                <w:szCs w:val="20"/>
              </w:rPr>
              <w:t xml:space="preserve">ho, </w:t>
            </w:r>
            <w:r w:rsidR="00375E89" w:rsidRPr="00FA3856">
              <w:rPr>
                <w:rFonts w:ascii="Times New Roman" w:hAnsi="Times New Roman"/>
                <w:bCs/>
                <w:szCs w:val="20"/>
              </w:rPr>
              <w:t xml:space="preserve">quando M350.IND_RELACAO </w:t>
            </w:r>
            <w:r w:rsidRPr="00FA3856">
              <w:rPr>
                <w:rFonts w:ascii="Times New Roman" w:hAnsi="Times New Roman"/>
                <w:bCs/>
                <w:szCs w:val="20"/>
              </w:rPr>
              <w:t>é igual a “4” (Com Conta da Parte B).</w:t>
            </w:r>
          </w:p>
        </w:tc>
        <w:tc>
          <w:tcPr>
            <w:tcW w:w="717" w:type="dxa"/>
            <w:tcBorders>
              <w:top w:val="single" w:sz="6" w:space="0" w:color="auto"/>
              <w:left w:val="single" w:sz="6" w:space="0" w:color="auto"/>
              <w:bottom w:val="single" w:sz="6" w:space="0" w:color="auto"/>
              <w:right w:val="single" w:sz="6" w:space="0" w:color="auto"/>
            </w:tcBorders>
          </w:tcPr>
          <w:p w:rsidR="00FC3B72" w:rsidRPr="00FA3856" w:rsidRDefault="00FC3B72" w:rsidP="00723FE4">
            <w:pPr>
              <w:pStyle w:val="PSDS-CorpodeTexto0"/>
              <w:rPr>
                <w:rFonts w:ascii="Times New Roman" w:hAnsi="Times New Roman"/>
              </w:rPr>
            </w:pPr>
            <w:r w:rsidRPr="00FA3856">
              <w:rPr>
                <w:rFonts w:ascii="Times New Roman" w:hAnsi="Times New Roman"/>
              </w:rPr>
              <w:t>Erro</w:t>
            </w:r>
          </w:p>
          <w:p w:rsidR="00D448FF" w:rsidRPr="00FA3856" w:rsidRDefault="00D448FF" w:rsidP="00723FE4">
            <w:pPr>
              <w:pStyle w:val="PSDS-CorpodeTexto0"/>
              <w:rPr>
                <w:rFonts w:ascii="Times New Roman" w:hAnsi="Times New Roman"/>
              </w:rPr>
            </w:pPr>
          </w:p>
          <w:p w:rsidR="00D448FF" w:rsidRPr="00FA3856" w:rsidRDefault="00D448FF" w:rsidP="00723FE4">
            <w:pPr>
              <w:pStyle w:val="PSDS-CorpodeTexto0"/>
              <w:rPr>
                <w:rFonts w:ascii="Times New Roman" w:hAnsi="Times New Roman"/>
              </w:rPr>
            </w:pPr>
          </w:p>
          <w:p w:rsidR="00D448FF" w:rsidRPr="00FA3856" w:rsidRDefault="00D448FF" w:rsidP="00723FE4">
            <w:pPr>
              <w:pStyle w:val="PSDS-CorpodeTexto0"/>
              <w:rPr>
                <w:rFonts w:ascii="Times New Roman" w:hAnsi="Times New Roman"/>
              </w:rPr>
            </w:pPr>
            <w:r w:rsidRPr="00FA3856">
              <w:rPr>
                <w:rFonts w:ascii="Times New Roman" w:hAnsi="Times New Roman"/>
              </w:rPr>
              <w:t>Erro</w:t>
            </w:r>
          </w:p>
          <w:p w:rsidR="00D448FF" w:rsidRPr="00FA3856" w:rsidRDefault="00D448FF" w:rsidP="00723FE4">
            <w:pPr>
              <w:pStyle w:val="PSDS-CorpodeTexto0"/>
              <w:rPr>
                <w:rFonts w:ascii="Times New Roman" w:hAnsi="Times New Roman"/>
              </w:rPr>
            </w:pPr>
          </w:p>
          <w:p w:rsidR="00D448FF" w:rsidRPr="00FA3856" w:rsidRDefault="00D448FF" w:rsidP="00723FE4">
            <w:pPr>
              <w:pStyle w:val="PSDS-CorpodeTexto0"/>
              <w:rPr>
                <w:rFonts w:ascii="Times New Roman" w:hAnsi="Times New Roman"/>
              </w:rPr>
            </w:pPr>
          </w:p>
          <w:p w:rsidR="000419FB" w:rsidRPr="00FA3856" w:rsidRDefault="000419FB" w:rsidP="00723FE4">
            <w:pPr>
              <w:pStyle w:val="PSDS-CorpodeTexto0"/>
              <w:rPr>
                <w:rFonts w:ascii="Times New Roman" w:hAnsi="Times New Roman"/>
              </w:rPr>
            </w:pPr>
          </w:p>
          <w:p w:rsidR="000419FB" w:rsidRPr="00FA3856" w:rsidRDefault="000419FB" w:rsidP="00723FE4">
            <w:pPr>
              <w:pStyle w:val="PSDS-CorpodeTexto0"/>
              <w:rPr>
                <w:rFonts w:ascii="Times New Roman" w:hAnsi="Times New Roman"/>
              </w:rPr>
            </w:pPr>
          </w:p>
          <w:p w:rsidR="00D448FF" w:rsidRPr="00FA3856" w:rsidRDefault="00D448FF" w:rsidP="00723FE4">
            <w:pPr>
              <w:pStyle w:val="PSDS-CorpodeTexto0"/>
              <w:rPr>
                <w:rFonts w:ascii="Times New Roman" w:hAnsi="Times New Roman"/>
              </w:rPr>
            </w:pPr>
            <w:r w:rsidRPr="00FA3856">
              <w:rPr>
                <w:rFonts w:ascii="Times New Roman" w:hAnsi="Times New Roman"/>
              </w:rPr>
              <w:t>Erro</w:t>
            </w:r>
          </w:p>
          <w:p w:rsidR="00FC3B72" w:rsidRPr="00FA3856" w:rsidRDefault="00FC3B72" w:rsidP="00723FE4">
            <w:pPr>
              <w:pStyle w:val="PSDS-CorpodeTexto0"/>
              <w:rPr>
                <w:rFonts w:ascii="Times New Roman" w:hAnsi="Times New Roman"/>
              </w:rPr>
            </w:pPr>
          </w:p>
        </w:tc>
      </w:tr>
      <w:tr w:rsidR="00FC3B72" w:rsidRPr="00FA3856" w:rsidTr="00B61297">
        <w:trPr>
          <w:jc w:val="center"/>
        </w:trPr>
        <w:tc>
          <w:tcPr>
            <w:tcW w:w="485" w:type="dxa"/>
            <w:tcBorders>
              <w:top w:val="single" w:sz="6" w:space="0" w:color="auto"/>
              <w:left w:val="single" w:sz="6" w:space="0" w:color="auto"/>
              <w:bottom w:val="single" w:sz="6" w:space="0" w:color="auto"/>
              <w:right w:val="single" w:sz="6" w:space="0" w:color="auto"/>
            </w:tcBorders>
          </w:tcPr>
          <w:p w:rsidR="00FC3B72" w:rsidRPr="00FA3856" w:rsidRDefault="00FC3B72" w:rsidP="00723FE4">
            <w:pPr>
              <w:pStyle w:val="PSDS-CorpodeTexto0"/>
              <w:suppressAutoHyphens w:val="0"/>
              <w:rPr>
                <w:rFonts w:ascii="Times New Roman" w:hAnsi="Times New Roman"/>
                <w:b/>
                <w:bCs/>
                <w:lang w:val="pt-PT"/>
              </w:rPr>
            </w:pPr>
            <w:r w:rsidRPr="00FA3856">
              <w:rPr>
                <w:rFonts w:ascii="Times New Roman" w:hAnsi="Times New Roman"/>
                <w:b/>
                <w:bCs/>
                <w:lang w:val="pt-PT"/>
              </w:rPr>
              <w:t>5</w:t>
            </w:r>
          </w:p>
        </w:tc>
        <w:tc>
          <w:tcPr>
            <w:tcW w:w="3000" w:type="dxa"/>
            <w:tcBorders>
              <w:top w:val="single" w:sz="6" w:space="0" w:color="auto"/>
              <w:left w:val="single" w:sz="6" w:space="0" w:color="auto"/>
              <w:bottom w:val="single" w:sz="6" w:space="0" w:color="auto"/>
              <w:right w:val="single" w:sz="6" w:space="0" w:color="auto"/>
            </w:tcBorders>
          </w:tcPr>
          <w:p w:rsidR="00FC3B72" w:rsidRPr="00FA3856" w:rsidRDefault="00FC3B72" w:rsidP="00723FE4">
            <w:pPr>
              <w:pStyle w:val="PSDS-CorpodeTexto0"/>
              <w:rPr>
                <w:rFonts w:ascii="Times New Roman" w:hAnsi="Times New Roman"/>
              </w:rPr>
            </w:pPr>
            <w:r w:rsidRPr="00FA3856">
              <w:rPr>
                <w:rFonts w:ascii="Times New Roman" w:hAnsi="Times New Roman"/>
              </w:rPr>
              <w:t>IND_RELACAO</w:t>
            </w:r>
          </w:p>
        </w:tc>
        <w:tc>
          <w:tcPr>
            <w:tcW w:w="12168" w:type="dxa"/>
            <w:tcBorders>
              <w:top w:val="single" w:sz="6" w:space="0" w:color="auto"/>
              <w:left w:val="single" w:sz="6" w:space="0" w:color="auto"/>
              <w:bottom w:val="single" w:sz="6" w:space="0" w:color="auto"/>
              <w:right w:val="single" w:sz="6" w:space="0" w:color="auto"/>
            </w:tcBorders>
          </w:tcPr>
          <w:p w:rsidR="00FC3B72" w:rsidRPr="00FA3856" w:rsidRDefault="00FC3B72" w:rsidP="00723FE4">
            <w:pPr>
              <w:pStyle w:val="Corpodetexto"/>
              <w:rPr>
                <w:rFonts w:ascii="Times New Roman" w:hAnsi="Times New Roman"/>
                <w:bCs/>
                <w:szCs w:val="20"/>
              </w:rPr>
            </w:pPr>
            <w:r w:rsidRPr="00FA3856">
              <w:rPr>
                <w:rFonts w:ascii="Times New Roman" w:hAnsi="Times New Roman"/>
                <w:b/>
                <w:bCs/>
                <w:szCs w:val="20"/>
              </w:rPr>
              <w:t xml:space="preserve">REGRA_IND_RELACAO: </w:t>
            </w:r>
            <w:r w:rsidRPr="00FA3856">
              <w:rPr>
                <w:rFonts w:ascii="Times New Roman" w:hAnsi="Times New Roman"/>
                <w:bCs/>
                <w:szCs w:val="20"/>
              </w:rPr>
              <w:t xml:space="preserve">Verifica, quando </w:t>
            </w:r>
            <w:r w:rsidR="00375E89" w:rsidRPr="00FA3856">
              <w:rPr>
                <w:rFonts w:ascii="Times New Roman" w:hAnsi="Times New Roman"/>
                <w:bCs/>
                <w:szCs w:val="20"/>
              </w:rPr>
              <w:t xml:space="preserve">M350.TIPO_LANCAMENTO </w:t>
            </w:r>
            <w:r w:rsidRPr="00FA3856">
              <w:rPr>
                <w:rFonts w:ascii="Times New Roman" w:hAnsi="Times New Roman"/>
                <w:bCs/>
                <w:szCs w:val="20"/>
              </w:rPr>
              <w:t xml:space="preserve">for igual a “P” (compensação de prejuízo), se </w:t>
            </w:r>
            <w:r w:rsidR="000419FB" w:rsidRPr="00FA3856">
              <w:rPr>
                <w:rFonts w:ascii="Times New Roman" w:hAnsi="Times New Roman"/>
                <w:bCs/>
                <w:szCs w:val="20"/>
              </w:rPr>
              <w:t>M350.</w:t>
            </w:r>
            <w:r w:rsidR="00375E89" w:rsidRPr="00FA3856">
              <w:rPr>
                <w:rFonts w:ascii="Times New Roman" w:hAnsi="Times New Roman"/>
                <w:bCs/>
                <w:szCs w:val="20"/>
              </w:rPr>
              <w:t xml:space="preserve">IND_RELACAOé </w:t>
            </w:r>
            <w:r w:rsidRPr="00FA3856">
              <w:rPr>
                <w:rFonts w:ascii="Times New Roman" w:hAnsi="Times New Roman"/>
                <w:bCs/>
                <w:szCs w:val="20"/>
              </w:rPr>
              <w:t>igual a “1” (com conta da parte B).</w:t>
            </w:r>
          </w:p>
          <w:p w:rsidR="00FC3B72" w:rsidRPr="00FA3856" w:rsidRDefault="00FC3B72" w:rsidP="00723FE4">
            <w:pPr>
              <w:pStyle w:val="Corpodetexto"/>
              <w:rPr>
                <w:rFonts w:ascii="Times New Roman" w:hAnsi="Times New Roman"/>
                <w:bCs/>
                <w:szCs w:val="20"/>
              </w:rPr>
            </w:pPr>
          </w:p>
          <w:p w:rsidR="00FC3B72" w:rsidRPr="00FA3856" w:rsidRDefault="00D448FF" w:rsidP="00723FE4">
            <w:pPr>
              <w:pStyle w:val="Corpodetexto"/>
              <w:rPr>
                <w:rStyle w:val="Hyperlink"/>
                <w:rFonts w:ascii="Times New Roman" w:hAnsi="Times New Roman"/>
                <w:bCs/>
                <w:color w:val="auto"/>
                <w:szCs w:val="20"/>
                <w:lang w:val="pt-PT"/>
              </w:rPr>
            </w:pPr>
            <w:r w:rsidRPr="00FA3856">
              <w:rPr>
                <w:rStyle w:val="Hyperlink"/>
                <w:rFonts w:ascii="Times New Roman" w:hAnsi="Times New Roman"/>
                <w:b/>
                <w:bCs/>
                <w:color w:val="auto"/>
                <w:szCs w:val="20"/>
                <w:lang w:val="pt-PT"/>
              </w:rPr>
              <w:t xml:space="preserve">REGRA_OBRIGATORIO_TIPO_E: </w:t>
            </w:r>
            <w:r w:rsidRPr="00FA3856">
              <w:rPr>
                <w:rStyle w:val="Hyperlink"/>
                <w:rFonts w:ascii="Times New Roman" w:hAnsi="Times New Roman"/>
                <w:bCs/>
                <w:color w:val="auto"/>
                <w:szCs w:val="20"/>
                <w:lang w:val="pt-PT"/>
              </w:rPr>
              <w:t xml:space="preserve">Verifica se o campo </w:t>
            </w:r>
            <w:r w:rsidR="00375E89" w:rsidRPr="00FA3856">
              <w:rPr>
                <w:rStyle w:val="Hyperlink"/>
                <w:rFonts w:ascii="Times New Roman" w:hAnsi="Times New Roman"/>
                <w:bCs/>
                <w:color w:val="auto"/>
                <w:szCs w:val="20"/>
                <w:lang w:val="pt-PT"/>
              </w:rPr>
              <w:t xml:space="preserve">M350.IND_RELACAO </w:t>
            </w:r>
            <w:r w:rsidRPr="00FA3856">
              <w:rPr>
                <w:rStyle w:val="Hyperlink"/>
                <w:rFonts w:ascii="Times New Roman" w:hAnsi="Times New Roman"/>
                <w:bCs/>
                <w:color w:val="auto"/>
                <w:szCs w:val="20"/>
                <w:lang w:val="pt-PT"/>
              </w:rPr>
              <w:t>não está preenchido quando o tipo de linha é “E”.</w:t>
            </w:r>
          </w:p>
          <w:p w:rsidR="00D448FF" w:rsidRPr="00FA3856" w:rsidRDefault="00D448FF" w:rsidP="00723FE4">
            <w:pPr>
              <w:pStyle w:val="Corpodetexto"/>
              <w:rPr>
                <w:rStyle w:val="Hyperlink"/>
                <w:rFonts w:ascii="Times New Roman" w:hAnsi="Times New Roman"/>
                <w:bCs/>
                <w:color w:val="auto"/>
                <w:szCs w:val="20"/>
                <w:lang w:val="pt-PT"/>
              </w:rPr>
            </w:pPr>
          </w:p>
          <w:p w:rsidR="00D448FF" w:rsidRPr="00FA3856" w:rsidRDefault="00D448FF" w:rsidP="00723FE4">
            <w:pPr>
              <w:pStyle w:val="Corpodetexto"/>
              <w:rPr>
                <w:rFonts w:ascii="Times New Roman" w:hAnsi="Times New Roman"/>
                <w:bCs/>
                <w:color w:val="auto"/>
                <w:szCs w:val="20"/>
                <w:lang w:val="pt-PT"/>
              </w:rPr>
            </w:pPr>
            <w:r w:rsidRPr="00FA3856">
              <w:rPr>
                <w:rStyle w:val="Hyperlink"/>
                <w:rFonts w:ascii="Times New Roman" w:hAnsi="Times New Roman"/>
                <w:b/>
                <w:bCs/>
                <w:color w:val="auto"/>
                <w:szCs w:val="20"/>
                <w:lang w:val="pt-PT"/>
              </w:rPr>
              <w:lastRenderedPageBreak/>
              <w:t xml:space="preserve">REGRA_NAO_PREENCHER_TIPO_DIFERENTE_E: </w:t>
            </w:r>
            <w:r w:rsidRPr="00FA3856">
              <w:rPr>
                <w:rStyle w:val="Hyperlink"/>
                <w:rFonts w:ascii="Times New Roman" w:hAnsi="Times New Roman"/>
                <w:bCs/>
                <w:color w:val="auto"/>
                <w:szCs w:val="20"/>
                <w:lang w:val="pt-PT"/>
              </w:rPr>
              <w:t xml:space="preserve">Verifica se o campo </w:t>
            </w:r>
            <w:r w:rsidR="00375E89" w:rsidRPr="00FA3856">
              <w:rPr>
                <w:rStyle w:val="Hyperlink"/>
                <w:rFonts w:ascii="Times New Roman" w:hAnsi="Times New Roman"/>
                <w:bCs/>
                <w:color w:val="auto"/>
                <w:szCs w:val="20"/>
                <w:lang w:val="pt-PT"/>
              </w:rPr>
              <w:t xml:space="preserve">M350.IND_RELACAO </w:t>
            </w:r>
            <w:r w:rsidRPr="00FA3856">
              <w:rPr>
                <w:rStyle w:val="Hyperlink"/>
                <w:rFonts w:ascii="Times New Roman" w:hAnsi="Times New Roman"/>
                <w:bCs/>
                <w:color w:val="auto"/>
                <w:szCs w:val="20"/>
                <w:lang w:val="pt-PT"/>
              </w:rPr>
              <w:t>está preenchido quando o tipo da linha é “E”.</w:t>
            </w:r>
          </w:p>
        </w:tc>
        <w:tc>
          <w:tcPr>
            <w:tcW w:w="717" w:type="dxa"/>
            <w:tcBorders>
              <w:top w:val="single" w:sz="6" w:space="0" w:color="auto"/>
              <w:left w:val="single" w:sz="6" w:space="0" w:color="auto"/>
              <w:bottom w:val="single" w:sz="6" w:space="0" w:color="auto"/>
              <w:right w:val="single" w:sz="6" w:space="0" w:color="auto"/>
            </w:tcBorders>
          </w:tcPr>
          <w:p w:rsidR="00FC3B72" w:rsidRPr="00FA3856" w:rsidRDefault="00FC3B72" w:rsidP="00723FE4">
            <w:pPr>
              <w:pStyle w:val="PSDS-CorpodeTexto0"/>
              <w:rPr>
                <w:rFonts w:ascii="Times New Roman" w:hAnsi="Times New Roman"/>
              </w:rPr>
            </w:pPr>
            <w:r w:rsidRPr="00FA3856">
              <w:rPr>
                <w:rFonts w:ascii="Times New Roman" w:hAnsi="Times New Roman"/>
              </w:rPr>
              <w:lastRenderedPageBreak/>
              <w:t>Erro</w:t>
            </w:r>
          </w:p>
          <w:p w:rsidR="00FC3B72" w:rsidRPr="00FA3856" w:rsidRDefault="00FC3B72" w:rsidP="00723FE4">
            <w:pPr>
              <w:pStyle w:val="PSDS-CorpodeTexto0"/>
              <w:rPr>
                <w:rFonts w:ascii="Times New Roman" w:hAnsi="Times New Roman"/>
              </w:rPr>
            </w:pPr>
          </w:p>
          <w:p w:rsidR="00FC3B72" w:rsidRPr="00FA3856" w:rsidRDefault="00FC3B72" w:rsidP="00723FE4">
            <w:pPr>
              <w:pStyle w:val="PSDS-CorpodeTexto0"/>
              <w:rPr>
                <w:rFonts w:ascii="Times New Roman" w:hAnsi="Times New Roman"/>
              </w:rPr>
            </w:pPr>
          </w:p>
          <w:p w:rsidR="00D448FF" w:rsidRPr="00FA3856" w:rsidRDefault="00FC3B72" w:rsidP="00723FE4">
            <w:pPr>
              <w:pStyle w:val="PSDS-CorpodeTexto0"/>
              <w:rPr>
                <w:rFonts w:ascii="Times New Roman" w:hAnsi="Times New Roman"/>
              </w:rPr>
            </w:pPr>
            <w:r w:rsidRPr="00FA3856">
              <w:rPr>
                <w:rFonts w:ascii="Times New Roman" w:hAnsi="Times New Roman"/>
              </w:rPr>
              <w:t>Erro</w:t>
            </w:r>
          </w:p>
          <w:p w:rsidR="00D448FF" w:rsidRPr="00FA3856" w:rsidRDefault="00D448FF" w:rsidP="00723FE4">
            <w:pPr>
              <w:pStyle w:val="PSDS-CorpodeTexto0"/>
              <w:rPr>
                <w:rFonts w:ascii="Times New Roman" w:hAnsi="Times New Roman"/>
              </w:rPr>
            </w:pPr>
          </w:p>
          <w:p w:rsidR="00D448FF" w:rsidRPr="00FA3856" w:rsidRDefault="00D448FF" w:rsidP="00723FE4">
            <w:pPr>
              <w:pStyle w:val="PSDS-CorpodeTexto0"/>
              <w:rPr>
                <w:rFonts w:ascii="Times New Roman" w:hAnsi="Times New Roman"/>
              </w:rPr>
            </w:pPr>
            <w:r w:rsidRPr="00FA3856">
              <w:rPr>
                <w:rFonts w:ascii="Times New Roman" w:hAnsi="Times New Roman"/>
              </w:rPr>
              <w:lastRenderedPageBreak/>
              <w:t>Erro</w:t>
            </w:r>
          </w:p>
          <w:p w:rsidR="00D448FF" w:rsidRPr="00FA3856" w:rsidRDefault="00D448FF" w:rsidP="00723FE4">
            <w:pPr>
              <w:pStyle w:val="PSDS-CorpodeTexto0"/>
              <w:rPr>
                <w:rFonts w:ascii="Times New Roman" w:hAnsi="Times New Roman"/>
              </w:rPr>
            </w:pPr>
          </w:p>
        </w:tc>
      </w:tr>
      <w:tr w:rsidR="00D448FF" w:rsidRPr="00FA3856" w:rsidTr="00B61297">
        <w:trPr>
          <w:jc w:val="center"/>
        </w:trPr>
        <w:tc>
          <w:tcPr>
            <w:tcW w:w="485" w:type="dxa"/>
            <w:tcBorders>
              <w:top w:val="single" w:sz="6" w:space="0" w:color="auto"/>
              <w:left w:val="single" w:sz="6" w:space="0" w:color="auto"/>
              <w:bottom w:val="single" w:sz="6" w:space="0" w:color="auto"/>
              <w:right w:val="single" w:sz="6" w:space="0" w:color="auto"/>
            </w:tcBorders>
          </w:tcPr>
          <w:p w:rsidR="00D448FF" w:rsidRPr="00FA3856" w:rsidRDefault="00D448FF" w:rsidP="00E13CCE">
            <w:pPr>
              <w:pStyle w:val="PSDS-CorpodeTexto0"/>
              <w:suppressAutoHyphens w:val="0"/>
              <w:rPr>
                <w:rFonts w:ascii="Times New Roman" w:hAnsi="Times New Roman"/>
                <w:b/>
                <w:bCs/>
                <w:lang w:val="pt-PT"/>
              </w:rPr>
            </w:pPr>
            <w:r w:rsidRPr="00FA3856">
              <w:rPr>
                <w:rFonts w:ascii="Times New Roman" w:hAnsi="Times New Roman"/>
                <w:b/>
                <w:bCs/>
                <w:lang w:val="pt-PT"/>
              </w:rPr>
              <w:lastRenderedPageBreak/>
              <w:t>6</w:t>
            </w:r>
          </w:p>
        </w:tc>
        <w:tc>
          <w:tcPr>
            <w:tcW w:w="3000" w:type="dxa"/>
            <w:tcBorders>
              <w:top w:val="single" w:sz="6" w:space="0" w:color="auto"/>
              <w:left w:val="single" w:sz="6" w:space="0" w:color="auto"/>
              <w:bottom w:val="single" w:sz="6" w:space="0" w:color="auto"/>
              <w:right w:val="single" w:sz="6" w:space="0" w:color="auto"/>
            </w:tcBorders>
          </w:tcPr>
          <w:p w:rsidR="00D448FF" w:rsidRPr="00FA3856" w:rsidRDefault="00D448FF" w:rsidP="00E13CCE">
            <w:pPr>
              <w:pStyle w:val="PSDS-CorpodeTexto0"/>
              <w:rPr>
                <w:rFonts w:ascii="Times New Roman" w:hAnsi="Times New Roman"/>
              </w:rPr>
            </w:pPr>
            <w:r w:rsidRPr="00FA3856">
              <w:rPr>
                <w:rFonts w:ascii="Times New Roman" w:hAnsi="Times New Roman"/>
                <w:lang w:val="pt-PT"/>
              </w:rPr>
              <w:t>VALOR</w:t>
            </w:r>
          </w:p>
        </w:tc>
        <w:tc>
          <w:tcPr>
            <w:tcW w:w="12168" w:type="dxa"/>
            <w:tcBorders>
              <w:top w:val="single" w:sz="6" w:space="0" w:color="auto"/>
              <w:left w:val="single" w:sz="6" w:space="0" w:color="auto"/>
              <w:bottom w:val="single" w:sz="6" w:space="0" w:color="auto"/>
              <w:right w:val="single" w:sz="6" w:space="0" w:color="auto"/>
            </w:tcBorders>
          </w:tcPr>
          <w:p w:rsidR="00D448FF" w:rsidRPr="00FA3856" w:rsidRDefault="00D448FF" w:rsidP="00D448FF">
            <w:pPr>
              <w:pStyle w:val="Corpodetexto"/>
              <w:rPr>
                <w:rStyle w:val="Hyperlink"/>
                <w:rFonts w:ascii="Times New Roman" w:hAnsi="Times New Roman"/>
                <w:bCs/>
                <w:color w:val="auto"/>
                <w:szCs w:val="20"/>
                <w:lang w:val="pt-PT"/>
              </w:rPr>
            </w:pPr>
            <w:r w:rsidRPr="00FA3856">
              <w:rPr>
                <w:rStyle w:val="Hyperlink"/>
                <w:rFonts w:ascii="Times New Roman" w:hAnsi="Times New Roman"/>
                <w:b/>
                <w:bCs/>
                <w:color w:val="auto"/>
                <w:szCs w:val="20"/>
                <w:lang w:val="pt-PT"/>
              </w:rPr>
              <w:t xml:space="preserve">REGRA_OBRIGATORIO_TIPO_R: </w:t>
            </w:r>
            <w:r w:rsidRPr="00FA3856">
              <w:rPr>
                <w:rStyle w:val="Hyperlink"/>
                <w:rFonts w:ascii="Times New Roman" w:hAnsi="Times New Roman"/>
                <w:bCs/>
                <w:color w:val="auto"/>
                <w:szCs w:val="20"/>
                <w:lang w:val="pt-PT"/>
              </w:rPr>
              <w:t xml:space="preserve">Verifica se o campo </w:t>
            </w:r>
            <w:r w:rsidR="00375E89" w:rsidRPr="00FA3856">
              <w:rPr>
                <w:rStyle w:val="Hyperlink"/>
                <w:rFonts w:ascii="Times New Roman" w:hAnsi="Times New Roman"/>
                <w:bCs/>
                <w:color w:val="auto"/>
                <w:szCs w:val="20"/>
                <w:lang w:val="pt-PT"/>
              </w:rPr>
              <w:t xml:space="preserve">M350.VALOR </w:t>
            </w:r>
            <w:r w:rsidRPr="00FA3856">
              <w:rPr>
                <w:rStyle w:val="Hyperlink"/>
                <w:rFonts w:ascii="Times New Roman" w:hAnsi="Times New Roman"/>
                <w:bCs/>
                <w:color w:val="auto"/>
                <w:szCs w:val="20"/>
                <w:lang w:val="pt-PT"/>
              </w:rPr>
              <w:t>não está preenchido quando o tipo de linha é “R”.</w:t>
            </w:r>
          </w:p>
          <w:p w:rsidR="00D448FF" w:rsidRPr="00FA3856" w:rsidRDefault="00D448FF" w:rsidP="00D448FF">
            <w:pPr>
              <w:pStyle w:val="Corpodetexto"/>
              <w:rPr>
                <w:rStyle w:val="Hyperlink"/>
                <w:rFonts w:ascii="Times New Roman" w:hAnsi="Times New Roman"/>
                <w:bCs/>
                <w:color w:val="auto"/>
                <w:szCs w:val="20"/>
                <w:lang w:val="pt-PT"/>
              </w:rPr>
            </w:pPr>
          </w:p>
          <w:p w:rsidR="00D448FF" w:rsidRPr="00FA3856" w:rsidRDefault="00D448FF" w:rsidP="00D448FF">
            <w:pPr>
              <w:pStyle w:val="Corpodetexto"/>
              <w:rPr>
                <w:rFonts w:ascii="Times New Roman" w:hAnsi="Times New Roman"/>
                <w:szCs w:val="20"/>
              </w:rPr>
            </w:pPr>
            <w:r w:rsidRPr="00FA3856">
              <w:rPr>
                <w:rStyle w:val="Hyperlink"/>
                <w:rFonts w:ascii="Times New Roman" w:hAnsi="Times New Roman"/>
                <w:b/>
                <w:bCs/>
                <w:color w:val="auto"/>
                <w:szCs w:val="20"/>
                <w:lang w:val="pt-PT"/>
              </w:rPr>
              <w:t xml:space="preserve">REGRA_NAO_PREENCHER_TIPO_DIFERENTE_R: </w:t>
            </w:r>
            <w:r w:rsidRPr="00FA3856">
              <w:rPr>
                <w:rStyle w:val="Hyperlink"/>
                <w:rFonts w:ascii="Times New Roman" w:hAnsi="Times New Roman"/>
                <w:bCs/>
                <w:color w:val="auto"/>
                <w:szCs w:val="20"/>
                <w:lang w:val="pt-PT"/>
              </w:rPr>
              <w:t xml:space="preserve">Verifica se o campo </w:t>
            </w:r>
            <w:r w:rsidR="00375E89" w:rsidRPr="00FA3856">
              <w:rPr>
                <w:rStyle w:val="Hyperlink"/>
                <w:rFonts w:ascii="Times New Roman" w:hAnsi="Times New Roman"/>
                <w:bCs/>
                <w:color w:val="auto"/>
                <w:szCs w:val="20"/>
                <w:lang w:val="pt-PT"/>
              </w:rPr>
              <w:t xml:space="preserve">M350.VALOR </w:t>
            </w:r>
            <w:r w:rsidRPr="00FA3856">
              <w:rPr>
                <w:rStyle w:val="Hyperlink"/>
                <w:rFonts w:ascii="Times New Roman" w:hAnsi="Times New Roman"/>
                <w:bCs/>
                <w:color w:val="auto"/>
                <w:szCs w:val="20"/>
                <w:lang w:val="pt-PT"/>
              </w:rPr>
              <w:t>está preenchido quando o tipo da linha é “R”.</w:t>
            </w:r>
          </w:p>
        </w:tc>
        <w:tc>
          <w:tcPr>
            <w:tcW w:w="717" w:type="dxa"/>
            <w:tcBorders>
              <w:top w:val="single" w:sz="6" w:space="0" w:color="auto"/>
              <w:left w:val="single" w:sz="6" w:space="0" w:color="auto"/>
              <w:bottom w:val="single" w:sz="6" w:space="0" w:color="auto"/>
              <w:right w:val="single" w:sz="6" w:space="0" w:color="auto"/>
            </w:tcBorders>
          </w:tcPr>
          <w:p w:rsidR="00D448FF" w:rsidRPr="00FA3856" w:rsidRDefault="00D448FF" w:rsidP="00E13CCE">
            <w:pPr>
              <w:pStyle w:val="PSDS-CorpodeTexto0"/>
              <w:rPr>
                <w:rFonts w:ascii="Times New Roman" w:hAnsi="Times New Roman"/>
              </w:rPr>
            </w:pPr>
            <w:r w:rsidRPr="00FA3856">
              <w:rPr>
                <w:rFonts w:ascii="Times New Roman" w:hAnsi="Times New Roman"/>
              </w:rPr>
              <w:t>Erro</w:t>
            </w:r>
          </w:p>
          <w:p w:rsidR="00D448FF" w:rsidRPr="00FA3856" w:rsidRDefault="00D448FF" w:rsidP="00E13CCE">
            <w:pPr>
              <w:pStyle w:val="PSDS-CorpodeTexto0"/>
              <w:rPr>
                <w:rFonts w:ascii="Times New Roman" w:hAnsi="Times New Roman"/>
              </w:rPr>
            </w:pPr>
          </w:p>
          <w:p w:rsidR="00D448FF" w:rsidRPr="00FA3856" w:rsidRDefault="00D448FF" w:rsidP="00E13CCE">
            <w:pPr>
              <w:pStyle w:val="PSDS-CorpodeTexto0"/>
              <w:rPr>
                <w:rFonts w:ascii="Times New Roman" w:hAnsi="Times New Roman"/>
              </w:rPr>
            </w:pPr>
            <w:r w:rsidRPr="00FA3856">
              <w:rPr>
                <w:rFonts w:ascii="Times New Roman" w:hAnsi="Times New Roman"/>
              </w:rPr>
              <w:t>Erro</w:t>
            </w:r>
          </w:p>
          <w:p w:rsidR="00D448FF" w:rsidRPr="00FA3856" w:rsidRDefault="00D448FF" w:rsidP="00E13CCE">
            <w:pPr>
              <w:pStyle w:val="PSDS-CorpodeTexto0"/>
              <w:rPr>
                <w:rFonts w:ascii="Times New Roman" w:hAnsi="Times New Roman"/>
              </w:rPr>
            </w:pPr>
          </w:p>
        </w:tc>
      </w:tr>
      <w:tr w:rsidR="00FC3B72" w:rsidRPr="00FA3856" w:rsidTr="00B61297">
        <w:trPr>
          <w:jc w:val="center"/>
        </w:trPr>
        <w:tc>
          <w:tcPr>
            <w:tcW w:w="485" w:type="dxa"/>
            <w:tcBorders>
              <w:top w:val="single" w:sz="6" w:space="0" w:color="auto"/>
              <w:left w:val="single" w:sz="6" w:space="0" w:color="auto"/>
              <w:bottom w:val="single" w:sz="6" w:space="0" w:color="auto"/>
              <w:right w:val="single" w:sz="6" w:space="0" w:color="auto"/>
            </w:tcBorders>
          </w:tcPr>
          <w:p w:rsidR="00FC3B72" w:rsidRPr="00FA3856" w:rsidRDefault="00FC3B72" w:rsidP="00723FE4">
            <w:pPr>
              <w:pStyle w:val="PSDS-CorpodeTexto0"/>
              <w:suppressAutoHyphens w:val="0"/>
              <w:rPr>
                <w:rFonts w:ascii="Times New Roman" w:hAnsi="Times New Roman"/>
                <w:b/>
                <w:bCs/>
                <w:lang w:val="pt-PT"/>
              </w:rPr>
            </w:pPr>
            <w:r w:rsidRPr="00FA3856">
              <w:rPr>
                <w:rFonts w:ascii="Times New Roman" w:hAnsi="Times New Roman"/>
                <w:b/>
                <w:bCs/>
                <w:lang w:val="pt-PT"/>
              </w:rPr>
              <w:t>7</w:t>
            </w:r>
          </w:p>
        </w:tc>
        <w:tc>
          <w:tcPr>
            <w:tcW w:w="3000" w:type="dxa"/>
            <w:tcBorders>
              <w:top w:val="single" w:sz="6" w:space="0" w:color="auto"/>
              <w:left w:val="single" w:sz="6" w:space="0" w:color="auto"/>
              <w:bottom w:val="single" w:sz="6" w:space="0" w:color="auto"/>
              <w:right w:val="single" w:sz="6" w:space="0" w:color="auto"/>
            </w:tcBorders>
          </w:tcPr>
          <w:p w:rsidR="00FC3B72" w:rsidRPr="00FA3856" w:rsidRDefault="00FC3B72" w:rsidP="00723FE4">
            <w:pPr>
              <w:pStyle w:val="PSDS-CorpodeTexto0"/>
              <w:rPr>
                <w:rFonts w:ascii="Times New Roman" w:hAnsi="Times New Roman"/>
              </w:rPr>
            </w:pPr>
            <w:r w:rsidRPr="00FA3856">
              <w:rPr>
                <w:rFonts w:ascii="Times New Roman" w:hAnsi="Times New Roman"/>
                <w:lang w:val="pt-PT"/>
              </w:rPr>
              <w:t>HIST_LAN_LAL</w:t>
            </w:r>
          </w:p>
        </w:tc>
        <w:tc>
          <w:tcPr>
            <w:tcW w:w="12168" w:type="dxa"/>
            <w:tcBorders>
              <w:top w:val="single" w:sz="6" w:space="0" w:color="auto"/>
              <w:left w:val="single" w:sz="6" w:space="0" w:color="auto"/>
              <w:bottom w:val="single" w:sz="6" w:space="0" w:color="auto"/>
              <w:right w:val="single" w:sz="6" w:space="0" w:color="auto"/>
            </w:tcBorders>
          </w:tcPr>
          <w:p w:rsidR="00FC3B72" w:rsidRPr="00FA3856" w:rsidRDefault="00FC3B72" w:rsidP="00723FE4">
            <w:pPr>
              <w:pStyle w:val="Corpodetexto"/>
              <w:rPr>
                <w:rFonts w:ascii="Times New Roman" w:hAnsi="Times New Roman"/>
                <w:szCs w:val="20"/>
              </w:rPr>
            </w:pPr>
            <w:r w:rsidRPr="00FA3856">
              <w:rPr>
                <w:rStyle w:val="Hyperlink"/>
                <w:rFonts w:ascii="Times New Roman" w:hAnsi="Times New Roman"/>
                <w:b/>
                <w:bCs/>
                <w:color w:val="auto"/>
                <w:szCs w:val="20"/>
                <w:lang w:val="pt-PT"/>
              </w:rPr>
              <w:t xml:space="preserve">REGRA_NAO_PREENCHER_TIPO_DIFERENTE_E: </w:t>
            </w:r>
            <w:r w:rsidRPr="00FA3856">
              <w:rPr>
                <w:rStyle w:val="Hyperlink"/>
                <w:rFonts w:ascii="Times New Roman" w:hAnsi="Times New Roman"/>
                <w:bCs/>
                <w:color w:val="auto"/>
                <w:szCs w:val="20"/>
                <w:lang w:val="pt-PT"/>
              </w:rPr>
              <w:t xml:space="preserve">Verifica se o campo </w:t>
            </w:r>
            <w:r w:rsidR="000419FB" w:rsidRPr="00FA3856">
              <w:rPr>
                <w:rStyle w:val="Hyperlink"/>
                <w:rFonts w:ascii="Times New Roman" w:hAnsi="Times New Roman"/>
                <w:bCs/>
                <w:color w:val="auto"/>
                <w:szCs w:val="20"/>
                <w:lang w:val="pt-PT"/>
              </w:rPr>
              <w:t>M350.</w:t>
            </w:r>
            <w:r w:rsidR="00D448FF" w:rsidRPr="00FA3856">
              <w:rPr>
                <w:rStyle w:val="Hyperlink"/>
                <w:rFonts w:ascii="Times New Roman" w:hAnsi="Times New Roman"/>
                <w:bCs/>
                <w:color w:val="auto"/>
                <w:szCs w:val="20"/>
                <w:lang w:val="pt-PT"/>
              </w:rPr>
              <w:t xml:space="preserve">HIST_LAN_LAL </w:t>
            </w:r>
            <w:r w:rsidRPr="00FA3856">
              <w:rPr>
                <w:rStyle w:val="Hyperlink"/>
                <w:rFonts w:ascii="Times New Roman" w:hAnsi="Times New Roman"/>
                <w:bCs/>
                <w:color w:val="auto"/>
                <w:szCs w:val="20"/>
                <w:lang w:val="pt-PT"/>
              </w:rPr>
              <w:t>está preenchi</w:t>
            </w:r>
            <w:r w:rsidR="00CE1657" w:rsidRPr="00FA3856">
              <w:rPr>
                <w:rStyle w:val="Hyperlink"/>
                <w:rFonts w:ascii="Times New Roman" w:hAnsi="Times New Roman"/>
                <w:bCs/>
                <w:color w:val="auto"/>
                <w:szCs w:val="20"/>
                <w:lang w:val="pt-PT"/>
              </w:rPr>
              <w:t xml:space="preserve">do quando o tipo da linha é “E” e </w:t>
            </w:r>
            <w:r w:rsidR="00AA6CD3" w:rsidRPr="00FA3856">
              <w:rPr>
                <w:rStyle w:val="Hyperlink"/>
                <w:rFonts w:ascii="Times New Roman" w:hAnsi="Times New Roman"/>
                <w:bCs/>
                <w:color w:val="auto"/>
                <w:szCs w:val="20"/>
                <w:lang w:val="pt-PT"/>
              </w:rPr>
              <w:t>M350.</w:t>
            </w:r>
            <w:r w:rsidR="00CE1657" w:rsidRPr="00FA3856">
              <w:rPr>
                <w:rStyle w:val="Hyperlink"/>
                <w:rFonts w:ascii="Times New Roman" w:hAnsi="Times New Roman"/>
                <w:bCs/>
                <w:color w:val="auto"/>
                <w:szCs w:val="20"/>
                <w:lang w:val="pt-PT"/>
              </w:rPr>
              <w:t>IND_RELACAO = “4” (Sem Relacionamento).</w:t>
            </w:r>
          </w:p>
        </w:tc>
        <w:tc>
          <w:tcPr>
            <w:tcW w:w="717" w:type="dxa"/>
            <w:tcBorders>
              <w:top w:val="single" w:sz="6" w:space="0" w:color="auto"/>
              <w:left w:val="single" w:sz="6" w:space="0" w:color="auto"/>
              <w:bottom w:val="single" w:sz="6" w:space="0" w:color="auto"/>
              <w:right w:val="single" w:sz="6" w:space="0" w:color="auto"/>
            </w:tcBorders>
          </w:tcPr>
          <w:p w:rsidR="00FC3B72" w:rsidRPr="00FA3856" w:rsidRDefault="00FC3B72" w:rsidP="00723FE4">
            <w:pPr>
              <w:pStyle w:val="PSDS-CorpodeTexto0"/>
              <w:rPr>
                <w:rFonts w:ascii="Times New Roman" w:hAnsi="Times New Roman"/>
              </w:rPr>
            </w:pPr>
            <w:r w:rsidRPr="00FA3856">
              <w:rPr>
                <w:rFonts w:ascii="Times New Roman" w:hAnsi="Times New Roman"/>
              </w:rPr>
              <w:t>Erro</w:t>
            </w:r>
          </w:p>
          <w:p w:rsidR="00FC3B72" w:rsidRPr="00FA3856" w:rsidRDefault="00FC3B72" w:rsidP="00723FE4">
            <w:pPr>
              <w:pStyle w:val="PSDS-CorpodeTexto0"/>
              <w:rPr>
                <w:rFonts w:ascii="Times New Roman" w:hAnsi="Times New Roman"/>
              </w:rPr>
            </w:pPr>
          </w:p>
        </w:tc>
      </w:tr>
    </w:tbl>
    <w:p w:rsidR="00365575" w:rsidRPr="00FA3856" w:rsidRDefault="00365575" w:rsidP="00A56035">
      <w:pPr>
        <w:rPr>
          <w:b/>
          <w:szCs w:val="20"/>
          <w:lang w:val="pt-PT"/>
        </w:rPr>
      </w:pPr>
    </w:p>
    <w:p w:rsidR="00990970" w:rsidRPr="003C67BC" w:rsidRDefault="00990970" w:rsidP="00990970">
      <w:pPr>
        <w:rPr>
          <w:b/>
          <w:szCs w:val="20"/>
          <w:lang w:val="pt-PT"/>
        </w:rPr>
      </w:pPr>
      <w:r w:rsidRPr="00FA3856">
        <w:rPr>
          <w:b/>
          <w:szCs w:val="20"/>
          <w:lang w:val="pt-PT"/>
        </w:rPr>
        <w:t>III – Tabela</w:t>
      </w:r>
      <w:r>
        <w:rPr>
          <w:b/>
          <w:szCs w:val="20"/>
          <w:lang w:val="pt-PT"/>
        </w:rPr>
        <w:t>s</w:t>
      </w:r>
      <w:r w:rsidRPr="00FA3856">
        <w:rPr>
          <w:b/>
          <w:szCs w:val="20"/>
          <w:lang w:val="pt-PT"/>
        </w:rPr>
        <w:t xml:space="preserve"> Dinâmica</w:t>
      </w:r>
      <w:r w:rsidR="003C67BC">
        <w:rPr>
          <w:b/>
          <w:szCs w:val="20"/>
          <w:lang w:val="pt-PT"/>
        </w:rPr>
        <w:t>s:</w:t>
      </w:r>
    </w:p>
    <w:p w:rsidR="00990970" w:rsidRPr="00FA3856" w:rsidRDefault="00990970" w:rsidP="00990970">
      <w:pPr>
        <w:rPr>
          <w:b/>
          <w:szCs w:val="20"/>
        </w:rPr>
      </w:pPr>
      <w:r w:rsidRPr="00FA3856">
        <w:rPr>
          <w:b/>
          <w:szCs w:val="20"/>
        </w:rPr>
        <w:t>Formato: NS = Numérico Com Sinal; N = Numérico Sem Sinal</w:t>
      </w:r>
    </w:p>
    <w:p w:rsidR="00990970" w:rsidRPr="00FA3856" w:rsidRDefault="00990970" w:rsidP="00990970">
      <w:pPr>
        <w:rPr>
          <w:b/>
          <w:szCs w:val="20"/>
        </w:rPr>
      </w:pPr>
      <w:r w:rsidRPr="00FA3856">
        <w:rPr>
          <w:b/>
          <w:szCs w:val="20"/>
        </w:rPr>
        <w:t>Tipo: R = Rótulo; E = Editável; CA = Cálculo Alterável; CNA = Cálculo Não Alterável</w:t>
      </w:r>
    </w:p>
    <w:p w:rsidR="00990970" w:rsidRPr="00FA3856" w:rsidRDefault="00990970" w:rsidP="00990970">
      <w:pPr>
        <w:rPr>
          <w:b/>
          <w:szCs w:val="20"/>
        </w:rPr>
      </w:pPr>
      <w:r w:rsidRPr="00FA3856">
        <w:rPr>
          <w:b/>
          <w:szCs w:val="20"/>
        </w:rPr>
        <w:t>Tipo_Lançamento: A = Adição; E = Exclusão; P = Compensação de Prejuízos; R = Rótulo; L = Lucro</w:t>
      </w:r>
    </w:p>
    <w:p w:rsidR="00990970" w:rsidRPr="00FA3856" w:rsidRDefault="00990970" w:rsidP="00990970">
      <w:pPr>
        <w:rPr>
          <w:b/>
          <w:szCs w:val="20"/>
        </w:rPr>
      </w:pPr>
    </w:p>
    <w:p w:rsidR="00990970" w:rsidRPr="00FA3856" w:rsidRDefault="00990970" w:rsidP="00990970">
      <w:pPr>
        <w:rPr>
          <w:b/>
          <w:szCs w:val="20"/>
        </w:rPr>
      </w:pPr>
      <w:r w:rsidRPr="00FA3856">
        <w:rPr>
          <w:b/>
          <w:szCs w:val="20"/>
        </w:rPr>
        <w:t>Atenção: Códigos do tipo XX.XX não significam que são hierarquicamente subordinados a códigos do tipo XX. Todos os códigos possuem a mesma hierarquia.</w:t>
      </w:r>
    </w:p>
    <w:p w:rsidR="00A56035" w:rsidRPr="00FA3856" w:rsidRDefault="00A56035" w:rsidP="00A56035">
      <w:pPr>
        <w:rPr>
          <w:b/>
          <w:szCs w:val="20"/>
        </w:rPr>
      </w:pPr>
    </w:p>
    <w:p w:rsidR="00E13CCE" w:rsidRDefault="00B940E3" w:rsidP="00A56035">
      <w:pPr>
        <w:rPr>
          <w:b/>
          <w:szCs w:val="20"/>
        </w:rPr>
      </w:pPr>
      <w:r w:rsidRPr="00FA3856">
        <w:rPr>
          <w:b/>
          <w:szCs w:val="20"/>
        </w:rPr>
        <w:t xml:space="preserve">III.1 – </w:t>
      </w:r>
      <w:r w:rsidR="003C67BC" w:rsidRPr="003C67BC">
        <w:rPr>
          <w:b/>
          <w:szCs w:val="20"/>
        </w:rPr>
        <w:t>M350A - Demonstrativo da Base de Cálculo da CSLL (e-Lacs-Parte A) - PJ em Geral</w:t>
      </w:r>
      <w:r w:rsidR="008908D9">
        <w:rPr>
          <w:b/>
          <w:szCs w:val="20"/>
        </w:rPr>
        <w:t xml:space="preserve">: </w:t>
      </w:r>
    </w:p>
    <w:p w:rsidR="008F3123" w:rsidRDefault="00486CDA" w:rsidP="00A56035">
      <w:pPr>
        <w:rPr>
          <w:b/>
          <w:szCs w:val="20"/>
        </w:rPr>
      </w:pPr>
      <w:r>
        <w:rPr>
          <w:b/>
          <w:szCs w:val="20"/>
        </w:rPr>
        <w:object w:dxaOrig="1534" w:dyaOrig="997">
          <v:shape id="_x0000_i1150" type="#_x0000_t75" style="width:79.5pt;height:50.25pt" o:ole="">
            <v:imagedata r:id="rId312" o:title=""/>
          </v:shape>
          <o:OLEObject Type="Link" ProgID="Excel.Sheet.12" ShapeID="_x0000_i1150" DrawAspect="Content" r:id="rId313" UpdateMode="OnCall">
            <o:LinkType>EnhancedMetaFile</o:LinkType>
            <o:LockedField>false</o:LockedField>
          </o:OLEObject>
        </w:object>
      </w:r>
    </w:p>
    <w:p w:rsidR="008F3123" w:rsidRDefault="008F3123" w:rsidP="00990970">
      <w:pPr>
        <w:rPr>
          <w:b/>
          <w:szCs w:val="20"/>
        </w:rPr>
      </w:pPr>
      <w:r>
        <w:rPr>
          <w:b/>
          <w:szCs w:val="20"/>
        </w:rPr>
        <w:t>I</w:t>
      </w:r>
      <w:r w:rsidR="005A2B03" w:rsidRPr="00FA3856">
        <w:rPr>
          <w:b/>
          <w:szCs w:val="20"/>
        </w:rPr>
        <w:t xml:space="preserve">II.2 – </w:t>
      </w:r>
      <w:r w:rsidR="003C67BC" w:rsidRPr="003C67BC">
        <w:rPr>
          <w:b/>
          <w:szCs w:val="20"/>
        </w:rPr>
        <w:t>M305B - Demonstrativo da Base de Cálculo da CSLL (e-Lacs-Parte A) - Financeiras</w:t>
      </w:r>
      <w:r w:rsidR="00E71387" w:rsidRPr="00FA3856">
        <w:rPr>
          <w:b/>
          <w:szCs w:val="20"/>
        </w:rPr>
        <w:t>:</w:t>
      </w:r>
    </w:p>
    <w:p w:rsidR="00990970" w:rsidRDefault="00486CDA" w:rsidP="00990970">
      <w:pPr>
        <w:rPr>
          <w:b/>
          <w:szCs w:val="20"/>
        </w:rPr>
      </w:pPr>
      <w:r>
        <w:rPr>
          <w:b/>
          <w:szCs w:val="20"/>
        </w:rPr>
        <w:object w:dxaOrig="1534" w:dyaOrig="997">
          <v:shape id="_x0000_i1151" type="#_x0000_t75" style="width:79.5pt;height:50.25pt" o:ole="">
            <v:imagedata r:id="rId314" o:title=""/>
          </v:shape>
          <o:OLEObject Type="Link" ProgID="Excel.Sheet.12" ShapeID="_x0000_i1151" DrawAspect="Content" r:id="rId315" UpdateMode="OnCall">
            <o:LinkType>EnhancedMetaFile</o:LinkType>
            <o:LockedField>false</o:LockedField>
          </o:OLEObject>
        </w:object>
      </w:r>
    </w:p>
    <w:p w:rsidR="00A56035" w:rsidRPr="00FA3856" w:rsidRDefault="005A2B03" w:rsidP="00A56035">
      <w:pPr>
        <w:rPr>
          <w:b/>
          <w:szCs w:val="20"/>
        </w:rPr>
      </w:pPr>
      <w:r w:rsidRPr="00FA3856">
        <w:rPr>
          <w:b/>
          <w:szCs w:val="20"/>
        </w:rPr>
        <w:t xml:space="preserve">III.3 – </w:t>
      </w:r>
      <w:r w:rsidR="003C67BC" w:rsidRPr="003C67BC">
        <w:rPr>
          <w:b/>
          <w:szCs w:val="20"/>
        </w:rPr>
        <w:t>M350C - Demonstrativo da Base de Cálculo da CSLL (e-Lacs-Parte A) - Seguradoras ou Entidades Abertas de Previdência Complementar</w:t>
      </w:r>
      <w:r w:rsidR="003C67BC">
        <w:rPr>
          <w:b/>
          <w:szCs w:val="20"/>
        </w:rPr>
        <w:t>:</w:t>
      </w:r>
    </w:p>
    <w:p w:rsidR="008F3123" w:rsidRDefault="00486CDA" w:rsidP="00D448FF">
      <w:pPr>
        <w:pStyle w:val="Corpodetexto"/>
        <w:rPr>
          <w:rFonts w:ascii="Times New Roman" w:hAnsi="Times New Roman"/>
          <w:b/>
          <w:color w:val="002060"/>
          <w:szCs w:val="20"/>
        </w:rPr>
      </w:pPr>
      <w:r>
        <w:rPr>
          <w:rFonts w:ascii="Times New Roman" w:hAnsi="Times New Roman"/>
          <w:b/>
          <w:color w:val="002060"/>
          <w:szCs w:val="20"/>
        </w:rPr>
        <w:object w:dxaOrig="1534" w:dyaOrig="997">
          <v:shape id="_x0000_i1152" type="#_x0000_t75" style="width:79.5pt;height:50.25pt" o:ole="">
            <v:imagedata r:id="rId316" o:title=""/>
          </v:shape>
          <o:OLEObject Type="Link" ProgID="Excel.Sheet.12" ShapeID="_x0000_i1152" DrawAspect="Content" r:id="rId317" UpdateMode="OnCall">
            <o:LinkType>EnhancedMetaFile</o:LinkType>
            <o:LockedField>false</o:LockedField>
          </o:OLEObject>
        </w:object>
      </w:r>
    </w:p>
    <w:p w:rsidR="003C67BC" w:rsidRDefault="003C67BC">
      <w:pPr>
        <w:spacing w:after="200" w:line="276" w:lineRule="auto"/>
        <w:rPr>
          <w:b/>
          <w:color w:val="002060"/>
          <w:szCs w:val="20"/>
          <w:lang w:eastAsia="ar-SA"/>
        </w:rPr>
      </w:pPr>
      <w:r>
        <w:rPr>
          <w:b/>
          <w:color w:val="002060"/>
          <w:szCs w:val="20"/>
        </w:rPr>
        <w:br w:type="page"/>
      </w:r>
    </w:p>
    <w:p w:rsidR="00012703" w:rsidRDefault="00D448FF" w:rsidP="00D448FF">
      <w:pPr>
        <w:pStyle w:val="Corpodetexto"/>
        <w:rPr>
          <w:rFonts w:ascii="Times New Roman" w:hAnsi="Times New Roman"/>
          <w:b/>
          <w:color w:val="002060"/>
          <w:szCs w:val="20"/>
        </w:rPr>
      </w:pPr>
      <w:r w:rsidRPr="00FA3856">
        <w:rPr>
          <w:rFonts w:ascii="Times New Roman" w:hAnsi="Times New Roman"/>
          <w:b/>
          <w:color w:val="002060"/>
          <w:szCs w:val="20"/>
        </w:rPr>
        <w:lastRenderedPageBreak/>
        <w:t xml:space="preserve">Exemplo de Preenchimento: </w:t>
      </w:r>
    </w:p>
    <w:p w:rsidR="00012703" w:rsidRDefault="00012703" w:rsidP="00D448FF">
      <w:pPr>
        <w:pStyle w:val="Corpodetexto"/>
        <w:rPr>
          <w:rFonts w:ascii="Times New Roman" w:hAnsi="Times New Roman"/>
          <w:b/>
          <w:color w:val="002060"/>
          <w:szCs w:val="20"/>
        </w:rPr>
      </w:pPr>
    </w:p>
    <w:p w:rsidR="00D448FF" w:rsidRPr="00FA3856" w:rsidRDefault="00D448FF" w:rsidP="00D448FF">
      <w:pPr>
        <w:pStyle w:val="Corpodetexto"/>
        <w:rPr>
          <w:rFonts w:ascii="Times New Roman" w:hAnsi="Times New Roman"/>
          <w:b/>
          <w:color w:val="002060"/>
          <w:szCs w:val="20"/>
        </w:rPr>
      </w:pPr>
      <w:r w:rsidRPr="00FA3856">
        <w:rPr>
          <w:rFonts w:ascii="Times New Roman" w:hAnsi="Times New Roman"/>
          <w:b/>
          <w:color w:val="002060"/>
          <w:szCs w:val="20"/>
        </w:rPr>
        <w:t>|M350</w:t>
      </w:r>
      <w:r w:rsidR="00E16268" w:rsidRPr="00FA3856">
        <w:rPr>
          <w:rFonts w:ascii="Times New Roman" w:hAnsi="Times New Roman"/>
          <w:b/>
          <w:color w:val="002060"/>
          <w:szCs w:val="20"/>
        </w:rPr>
        <w:t>|138</w:t>
      </w:r>
      <w:r w:rsidR="001B58FE">
        <w:rPr>
          <w:rFonts w:ascii="Times New Roman" w:hAnsi="Times New Roman"/>
          <w:b/>
          <w:color w:val="002060"/>
          <w:szCs w:val="20"/>
        </w:rPr>
        <w:t>|</w:t>
      </w:r>
      <w:r w:rsidR="001B58FE" w:rsidRPr="00FA3856">
        <w:rPr>
          <w:rFonts w:ascii="Times New Roman" w:hAnsi="Times New Roman"/>
          <w:b/>
          <w:color w:val="002060"/>
          <w:szCs w:val="20"/>
        </w:rPr>
        <w:t>(</w:t>
      </w:r>
      <w:r w:rsidR="00E16268" w:rsidRPr="00FA3856">
        <w:rPr>
          <w:rFonts w:ascii="Times New Roman" w:hAnsi="Times New Roman"/>
          <w:b/>
          <w:color w:val="002060"/>
          <w:szCs w:val="20"/>
        </w:rPr>
        <w:t>-) Outras Exclusões</w:t>
      </w:r>
      <w:r w:rsidR="00B61297" w:rsidRPr="00FA3856">
        <w:rPr>
          <w:rFonts w:ascii="Times New Roman" w:hAnsi="Times New Roman"/>
          <w:b/>
          <w:color w:val="002060"/>
          <w:szCs w:val="20"/>
        </w:rPr>
        <w:t>|</w:t>
      </w:r>
      <w:r w:rsidR="00E16268" w:rsidRPr="00FA3856">
        <w:rPr>
          <w:rFonts w:ascii="Times New Roman" w:hAnsi="Times New Roman"/>
          <w:b/>
          <w:color w:val="002060"/>
          <w:szCs w:val="20"/>
        </w:rPr>
        <w:t>E|1|1000,00|LANÇAMENTO DE EXCLUSÃO XXXX|</w:t>
      </w:r>
    </w:p>
    <w:p w:rsidR="00D448FF" w:rsidRPr="00FA3856" w:rsidRDefault="00D448FF" w:rsidP="00D448FF">
      <w:pPr>
        <w:pStyle w:val="Corpodetexto"/>
        <w:ind w:firstLine="708"/>
        <w:rPr>
          <w:rFonts w:ascii="Times New Roman" w:hAnsi="Times New Roman"/>
          <w:color w:val="002060"/>
          <w:szCs w:val="20"/>
        </w:rPr>
      </w:pPr>
      <w:r w:rsidRPr="00FA3856">
        <w:rPr>
          <w:rFonts w:ascii="Times New Roman" w:hAnsi="Times New Roman"/>
          <w:color w:val="002060"/>
          <w:szCs w:val="20"/>
        </w:rPr>
        <w:t>|M350|: Identificação do tipo do registro.</w:t>
      </w:r>
    </w:p>
    <w:p w:rsidR="00B61297" w:rsidRPr="00FA3856" w:rsidRDefault="00E16268" w:rsidP="00D448FF">
      <w:pPr>
        <w:pStyle w:val="Corpodetexto"/>
        <w:ind w:firstLine="708"/>
        <w:rPr>
          <w:rFonts w:ascii="Times New Roman" w:hAnsi="Times New Roman"/>
          <w:color w:val="002060"/>
          <w:szCs w:val="20"/>
        </w:rPr>
      </w:pPr>
      <w:r w:rsidRPr="00FA3856">
        <w:rPr>
          <w:rFonts w:ascii="Times New Roman" w:hAnsi="Times New Roman"/>
          <w:color w:val="002060"/>
          <w:szCs w:val="20"/>
        </w:rPr>
        <w:t>|138</w:t>
      </w:r>
      <w:r w:rsidR="00B61297" w:rsidRPr="00FA3856">
        <w:rPr>
          <w:rFonts w:ascii="Times New Roman" w:hAnsi="Times New Roman"/>
          <w:color w:val="002060"/>
          <w:szCs w:val="20"/>
        </w:rPr>
        <w:t>|: Código do lançamento.</w:t>
      </w:r>
    </w:p>
    <w:p w:rsidR="00B61297" w:rsidRPr="00FA3856" w:rsidRDefault="00B61297" w:rsidP="00D448FF">
      <w:pPr>
        <w:pStyle w:val="Corpodetexto"/>
        <w:ind w:firstLine="708"/>
        <w:rPr>
          <w:rFonts w:ascii="Times New Roman" w:hAnsi="Times New Roman"/>
          <w:color w:val="002060"/>
          <w:szCs w:val="20"/>
        </w:rPr>
      </w:pPr>
      <w:r w:rsidRPr="00FA3856">
        <w:rPr>
          <w:rFonts w:ascii="Times New Roman" w:hAnsi="Times New Roman"/>
          <w:color w:val="002060"/>
          <w:szCs w:val="20"/>
        </w:rPr>
        <w:t>|</w:t>
      </w:r>
      <w:r w:rsidR="00E16268" w:rsidRPr="00FA3856">
        <w:rPr>
          <w:rFonts w:ascii="Times New Roman" w:hAnsi="Times New Roman"/>
          <w:color w:val="002060"/>
          <w:szCs w:val="20"/>
        </w:rPr>
        <w:t>(-) Outras Exclusões</w:t>
      </w:r>
      <w:r w:rsidRPr="00FA3856">
        <w:rPr>
          <w:rFonts w:ascii="Times New Roman" w:hAnsi="Times New Roman"/>
          <w:color w:val="002060"/>
          <w:szCs w:val="20"/>
        </w:rPr>
        <w:t>|: Descrição.</w:t>
      </w:r>
    </w:p>
    <w:p w:rsidR="00E16268" w:rsidRPr="00FA3856" w:rsidRDefault="00E16268" w:rsidP="00D448FF">
      <w:pPr>
        <w:pStyle w:val="Corpodetexto"/>
        <w:ind w:firstLine="708"/>
        <w:rPr>
          <w:rFonts w:ascii="Times New Roman" w:hAnsi="Times New Roman"/>
          <w:color w:val="002060"/>
          <w:szCs w:val="20"/>
        </w:rPr>
      </w:pPr>
      <w:r w:rsidRPr="00FA3856">
        <w:rPr>
          <w:rFonts w:ascii="Times New Roman" w:hAnsi="Times New Roman"/>
          <w:color w:val="002060"/>
          <w:szCs w:val="20"/>
        </w:rPr>
        <w:t>|E|: Tipo do lançamento (E = Exclusão).</w:t>
      </w:r>
    </w:p>
    <w:p w:rsidR="00E16268" w:rsidRPr="00FA3856" w:rsidRDefault="00E16268" w:rsidP="00D448FF">
      <w:pPr>
        <w:pStyle w:val="Corpodetexto"/>
        <w:ind w:firstLine="708"/>
        <w:rPr>
          <w:rFonts w:ascii="Times New Roman" w:hAnsi="Times New Roman"/>
          <w:color w:val="002060"/>
          <w:szCs w:val="20"/>
        </w:rPr>
      </w:pPr>
      <w:r w:rsidRPr="00FA3856">
        <w:rPr>
          <w:rFonts w:ascii="Times New Roman" w:hAnsi="Times New Roman"/>
          <w:color w:val="002060"/>
          <w:szCs w:val="20"/>
        </w:rPr>
        <w:t>|1|: Indicador de relacionamento (1 = Com Conta da Parte B).</w:t>
      </w:r>
    </w:p>
    <w:p w:rsidR="00E16268" w:rsidRPr="00FA3856" w:rsidRDefault="00E16268" w:rsidP="00D448FF">
      <w:pPr>
        <w:pStyle w:val="Corpodetexto"/>
        <w:ind w:firstLine="708"/>
        <w:rPr>
          <w:rFonts w:ascii="Times New Roman" w:hAnsi="Times New Roman"/>
          <w:color w:val="002060"/>
          <w:szCs w:val="20"/>
        </w:rPr>
      </w:pPr>
      <w:r w:rsidRPr="00FA3856">
        <w:rPr>
          <w:rFonts w:ascii="Times New Roman" w:hAnsi="Times New Roman"/>
          <w:color w:val="002060"/>
          <w:szCs w:val="20"/>
        </w:rPr>
        <w:t>|1000,00|: Valor (R$ 1.000,00).</w:t>
      </w:r>
    </w:p>
    <w:p w:rsidR="00E16268" w:rsidRPr="00FA3856" w:rsidRDefault="00E16268" w:rsidP="00D448FF">
      <w:pPr>
        <w:pStyle w:val="Corpodetexto"/>
        <w:ind w:firstLine="708"/>
        <w:rPr>
          <w:rFonts w:ascii="Times New Roman" w:hAnsi="Times New Roman"/>
          <w:color w:val="002060"/>
          <w:szCs w:val="20"/>
        </w:rPr>
      </w:pPr>
      <w:r w:rsidRPr="00FA3856">
        <w:rPr>
          <w:rFonts w:ascii="Times New Roman" w:hAnsi="Times New Roman"/>
          <w:color w:val="002060"/>
          <w:szCs w:val="20"/>
        </w:rPr>
        <w:t xml:space="preserve">|LANÇAMENTO DE EXCLUSÃO XXXX|: </w:t>
      </w:r>
      <w:r w:rsidR="003B394A" w:rsidRPr="00FA3856">
        <w:rPr>
          <w:rFonts w:ascii="Times New Roman" w:hAnsi="Times New Roman"/>
          <w:color w:val="002060"/>
          <w:szCs w:val="20"/>
        </w:rPr>
        <w:t>Histórico</w:t>
      </w:r>
      <w:r w:rsidRPr="00FA3856">
        <w:rPr>
          <w:rFonts w:ascii="Times New Roman" w:hAnsi="Times New Roman"/>
          <w:color w:val="002060"/>
          <w:szCs w:val="20"/>
        </w:rPr>
        <w:t xml:space="preserve"> do lançamento.</w:t>
      </w:r>
    </w:p>
    <w:p w:rsidR="003600F6" w:rsidRPr="00FA3856" w:rsidRDefault="003600F6">
      <w:pPr>
        <w:spacing w:after="200" w:line="276" w:lineRule="auto"/>
        <w:rPr>
          <w:b/>
          <w:bCs/>
          <w:color w:val="0000FF"/>
          <w:szCs w:val="20"/>
        </w:rPr>
      </w:pPr>
      <w:r w:rsidRPr="00FA3856">
        <w:rPr>
          <w:color w:val="0000FF"/>
          <w:szCs w:val="20"/>
        </w:rPr>
        <w:br w:type="page"/>
      </w:r>
    </w:p>
    <w:p w:rsidR="007366DB" w:rsidRPr="00FA3856" w:rsidRDefault="007366DB" w:rsidP="00867F54">
      <w:pPr>
        <w:pStyle w:val="Ttulo4"/>
      </w:pPr>
      <w:bookmarkStart w:id="205" w:name="_Toc479713731"/>
      <w:r w:rsidRPr="00FA3856">
        <w:lastRenderedPageBreak/>
        <w:t>Registro M355: Conta da Parte B do e-Lacs</w:t>
      </w:r>
      <w:bookmarkEnd w:id="205"/>
    </w:p>
    <w:p w:rsidR="007366DB" w:rsidRPr="00FA3856" w:rsidRDefault="007366DB" w:rsidP="007366DB">
      <w:pPr>
        <w:rPr>
          <w:szCs w:val="20"/>
        </w:rPr>
      </w:pPr>
    </w:p>
    <w:p w:rsidR="007366DB" w:rsidRPr="00FA3856" w:rsidRDefault="007366DB" w:rsidP="00E01A65">
      <w:pPr>
        <w:pStyle w:val="PSDS-MarcadoresNivel1"/>
        <w:numPr>
          <w:ilvl w:val="0"/>
          <w:numId w:val="0"/>
        </w:numPr>
        <w:spacing w:before="0" w:after="0"/>
        <w:ind w:firstLine="708"/>
        <w:rPr>
          <w:rFonts w:ascii="Times New Roman" w:hAnsi="Times New Roman"/>
          <w:b w:val="0"/>
        </w:rPr>
      </w:pPr>
      <w:r w:rsidRPr="00FA3856">
        <w:rPr>
          <w:rFonts w:ascii="Times New Roman" w:hAnsi="Times New Roman"/>
          <w:b w:val="0"/>
        </w:rPr>
        <w:t>Relacionamento do lançamento da parte A do e-Lacs com a conta da parte B do e-Lacs, de acordo com as regras abaixo:</w:t>
      </w:r>
    </w:p>
    <w:p w:rsidR="00E01A65" w:rsidRPr="00FA3856" w:rsidRDefault="00E01A65" w:rsidP="00E01A65">
      <w:pPr>
        <w:pStyle w:val="PSDS-MarcadoresNivel1"/>
        <w:numPr>
          <w:ilvl w:val="0"/>
          <w:numId w:val="0"/>
        </w:numPr>
        <w:spacing w:before="0" w:after="0"/>
        <w:ind w:firstLine="708"/>
        <w:rPr>
          <w:rFonts w:ascii="Times New Roman" w:hAnsi="Times New Roman"/>
          <w:b w:val="0"/>
          <w:bCs/>
        </w:rPr>
      </w:pPr>
    </w:p>
    <w:p w:rsidR="007366DB" w:rsidRPr="00FA3856" w:rsidRDefault="007366DB" w:rsidP="007366DB">
      <w:pPr>
        <w:pStyle w:val="PSDS-MarcadoresNivel3"/>
        <w:tabs>
          <w:tab w:val="clear" w:pos="1440"/>
        </w:tabs>
        <w:spacing w:before="0" w:after="0"/>
        <w:ind w:left="720" w:firstLine="696"/>
        <w:rPr>
          <w:rFonts w:ascii="Times New Roman" w:hAnsi="Times New Roman" w:cs="Times New Roman"/>
          <w:b w:val="0"/>
          <w:szCs w:val="20"/>
        </w:rPr>
      </w:pPr>
      <w:r w:rsidRPr="00FA3856">
        <w:rPr>
          <w:rFonts w:ascii="Times New Roman" w:hAnsi="Times New Roman" w:cs="Times New Roman"/>
          <w:b w:val="0"/>
          <w:szCs w:val="20"/>
        </w:rPr>
        <w:t>- Se adição, debita na conta da parte B e credita na parte A.</w:t>
      </w:r>
    </w:p>
    <w:p w:rsidR="007366DB" w:rsidRPr="00FA3856" w:rsidRDefault="007366DB" w:rsidP="007366DB">
      <w:pPr>
        <w:pStyle w:val="PSDS-MarcadoresNivel3"/>
        <w:tabs>
          <w:tab w:val="clear" w:pos="1440"/>
        </w:tabs>
        <w:spacing w:before="0" w:after="0"/>
        <w:ind w:left="720" w:firstLine="696"/>
        <w:rPr>
          <w:rFonts w:ascii="Times New Roman" w:hAnsi="Times New Roman" w:cs="Times New Roman"/>
          <w:b w:val="0"/>
          <w:szCs w:val="20"/>
        </w:rPr>
      </w:pPr>
      <w:r w:rsidRPr="00FA3856">
        <w:rPr>
          <w:rFonts w:ascii="Times New Roman" w:hAnsi="Times New Roman" w:cs="Times New Roman"/>
          <w:b w:val="0"/>
          <w:szCs w:val="20"/>
        </w:rPr>
        <w:t>- Se exclusão, credita conta da parte B e debita na parte A.</w:t>
      </w:r>
    </w:p>
    <w:p w:rsidR="007366DB" w:rsidRPr="00FA3856" w:rsidRDefault="007366DB" w:rsidP="00E01A65">
      <w:pPr>
        <w:pStyle w:val="PSDS-MarcadoresNivel3"/>
        <w:tabs>
          <w:tab w:val="clear" w:pos="1440"/>
        </w:tabs>
        <w:spacing w:before="0" w:after="0"/>
        <w:ind w:left="720" w:firstLine="696"/>
        <w:rPr>
          <w:rFonts w:ascii="Times New Roman" w:hAnsi="Times New Roman" w:cs="Times New Roman"/>
          <w:b w:val="0"/>
          <w:szCs w:val="20"/>
        </w:rPr>
      </w:pPr>
      <w:r w:rsidRPr="00FA3856">
        <w:rPr>
          <w:rFonts w:ascii="Times New Roman" w:hAnsi="Times New Roman" w:cs="Times New Roman"/>
          <w:b w:val="0"/>
          <w:szCs w:val="20"/>
        </w:rPr>
        <w:t>- Se prejuízo, credita conta da parte B e debita na parte A.</w:t>
      </w:r>
    </w:p>
    <w:p w:rsidR="00F004FC" w:rsidRDefault="00F004FC" w:rsidP="007366DB">
      <w:pPr>
        <w:rPr>
          <w:b/>
          <w:bCs/>
          <w:szCs w:val="20"/>
          <w:lang w:val="pt-PT"/>
        </w:rPr>
      </w:pPr>
    </w:p>
    <w:p w:rsidR="00F004FC" w:rsidRDefault="00B35FA3" w:rsidP="00F004FC">
      <w:pPr>
        <w:jc w:val="center"/>
        <w:rPr>
          <w:b/>
          <w:bCs/>
          <w:szCs w:val="20"/>
          <w:lang w:val="pt-PT"/>
        </w:rPr>
      </w:pPr>
      <w:r>
        <w:rPr>
          <w:b/>
          <w:bCs/>
          <w:szCs w:val="20"/>
          <w:lang w:val="pt-PT"/>
        </w:rPr>
        <w:object w:dxaOrig="14310" w:dyaOrig="5400">
          <v:shape id="_x0000_i1711" type="#_x0000_t75" style="width:709.5pt;height:267pt" o:ole="">
            <v:imagedata r:id="rId318" o:title=""/>
          </v:shape>
          <o:OLEObject Type="Link" ProgID="Excel.Sheet.12" ShapeID="_x0000_i1711" DrawAspect="Content" r:id="rId319" UpdateMode="Always">
            <o:LinkType>EnhancedMetaFile</o:LinkType>
            <o:LockedField>false</o:LockedField>
          </o:OLEObject>
        </w:object>
      </w:r>
    </w:p>
    <w:p w:rsidR="00F004FC" w:rsidRDefault="00F004FC" w:rsidP="007366DB">
      <w:pPr>
        <w:rPr>
          <w:b/>
          <w:bCs/>
          <w:szCs w:val="20"/>
          <w:lang w:val="pt-PT"/>
        </w:rPr>
      </w:pPr>
    </w:p>
    <w:p w:rsidR="00E01A65" w:rsidRPr="00FA3856" w:rsidRDefault="00D448FF" w:rsidP="007366DB">
      <w:pPr>
        <w:rPr>
          <w:b/>
          <w:bCs/>
          <w:szCs w:val="20"/>
          <w:lang w:val="pt-PT"/>
        </w:rPr>
      </w:pPr>
      <w:r w:rsidRPr="00FA3856">
        <w:rPr>
          <w:b/>
          <w:bCs/>
          <w:szCs w:val="20"/>
          <w:lang w:val="pt-PT"/>
        </w:rPr>
        <w:t>I – Regra de validação de registro:</w:t>
      </w:r>
    </w:p>
    <w:p w:rsidR="00D448FF" w:rsidRPr="00FA3856" w:rsidRDefault="00D448FF" w:rsidP="007366DB">
      <w:pPr>
        <w:rPr>
          <w:b/>
          <w:bCs/>
          <w:szCs w:val="20"/>
          <w:lang w:val="pt-PT"/>
        </w:rPr>
      </w:pPr>
    </w:p>
    <w:p w:rsidR="00D448FF" w:rsidRPr="00FA3856" w:rsidRDefault="00D448FF" w:rsidP="007366DB">
      <w:pPr>
        <w:rPr>
          <w:bCs/>
          <w:szCs w:val="20"/>
          <w:lang w:val="pt-PT"/>
        </w:rPr>
      </w:pPr>
      <w:r w:rsidRPr="00FA3856">
        <w:rPr>
          <w:b/>
          <w:bCs/>
          <w:szCs w:val="20"/>
          <w:lang w:val="pt-PT"/>
        </w:rPr>
        <w:t xml:space="preserve">REGRA_SALDO_DISPONIVEL_PARTE_B: </w:t>
      </w:r>
      <w:r w:rsidRPr="00FA3856">
        <w:rPr>
          <w:bCs/>
          <w:szCs w:val="20"/>
          <w:lang w:val="pt-PT"/>
        </w:rPr>
        <w:t xml:space="preserve">Verifica se </w:t>
      </w:r>
      <w:r w:rsidR="000419FB" w:rsidRPr="00FA3856">
        <w:rPr>
          <w:bCs/>
          <w:szCs w:val="20"/>
          <w:lang w:val="pt-PT"/>
        </w:rPr>
        <w:t>M355.</w:t>
      </w:r>
      <w:r w:rsidR="00563622" w:rsidRPr="00FA3856">
        <w:rPr>
          <w:bCs/>
          <w:szCs w:val="20"/>
          <w:lang w:val="pt-PT"/>
        </w:rPr>
        <w:t xml:space="preserve">VL_CTA </w:t>
      </w:r>
      <w:r w:rsidRPr="00FA3856">
        <w:rPr>
          <w:bCs/>
          <w:szCs w:val="20"/>
          <w:lang w:val="pt-PT"/>
        </w:rPr>
        <w:t>é menor ou igual ao saldo disponível do mesmo período de apuração da conta na parte B informada do registro M410. Se a regra não for cumprida, a ECF gera um erro.</w:t>
      </w:r>
    </w:p>
    <w:p w:rsidR="00473CD2" w:rsidRPr="00FA3856" w:rsidRDefault="00473CD2" w:rsidP="007366DB">
      <w:pPr>
        <w:rPr>
          <w:b/>
          <w:bCs/>
          <w:szCs w:val="20"/>
          <w:lang w:val="pt-PT"/>
        </w:rPr>
      </w:pPr>
    </w:p>
    <w:p w:rsidR="000419FB" w:rsidRPr="00FA3856" w:rsidRDefault="000419FB">
      <w:pPr>
        <w:spacing w:after="200" w:line="276" w:lineRule="auto"/>
        <w:rPr>
          <w:b/>
          <w:bCs/>
          <w:szCs w:val="20"/>
          <w:lang w:val="pt-PT"/>
        </w:rPr>
      </w:pPr>
      <w:r w:rsidRPr="00FA3856">
        <w:rPr>
          <w:b/>
          <w:bCs/>
          <w:szCs w:val="20"/>
          <w:lang w:val="pt-PT"/>
        </w:rPr>
        <w:br w:type="page"/>
      </w:r>
    </w:p>
    <w:p w:rsidR="007366DB" w:rsidRPr="00FA3856" w:rsidRDefault="00D448FF" w:rsidP="007366DB">
      <w:pPr>
        <w:rPr>
          <w:b/>
          <w:bCs/>
          <w:szCs w:val="20"/>
          <w:lang w:val="pt-PT"/>
        </w:rPr>
      </w:pPr>
      <w:r w:rsidRPr="00FA3856">
        <w:rPr>
          <w:b/>
          <w:bCs/>
          <w:szCs w:val="20"/>
          <w:lang w:val="pt-PT"/>
        </w:rPr>
        <w:lastRenderedPageBreak/>
        <w:t>I</w:t>
      </w:r>
      <w:r w:rsidR="007366DB" w:rsidRPr="00FA3856">
        <w:rPr>
          <w:b/>
          <w:bCs/>
          <w:szCs w:val="20"/>
          <w:lang w:val="pt-PT"/>
        </w:rPr>
        <w:t>I – Regras de Validação de Campos:</w:t>
      </w:r>
    </w:p>
    <w:p w:rsidR="007366DB" w:rsidRPr="00FA3856" w:rsidRDefault="007366DB" w:rsidP="007366DB">
      <w:pPr>
        <w:rPr>
          <w:b/>
          <w:bCs/>
          <w:szCs w:val="20"/>
          <w:lang w:val="pt-PT"/>
        </w:rPr>
      </w:pPr>
    </w:p>
    <w:tbl>
      <w:tblPr>
        <w:tblW w:w="13028"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85"/>
        <w:gridCol w:w="3000"/>
        <w:gridCol w:w="8826"/>
        <w:gridCol w:w="717"/>
      </w:tblGrid>
      <w:tr w:rsidR="007366DB" w:rsidRPr="00FA3856" w:rsidTr="00161EF7">
        <w:trPr>
          <w:tblHeader/>
          <w:jc w:val="center"/>
        </w:trPr>
        <w:tc>
          <w:tcPr>
            <w:tcW w:w="485" w:type="dxa"/>
            <w:tcBorders>
              <w:top w:val="single" w:sz="6" w:space="0" w:color="auto"/>
              <w:left w:val="single" w:sz="6" w:space="0" w:color="auto"/>
              <w:bottom w:val="single" w:sz="6" w:space="0" w:color="auto"/>
              <w:right w:val="single" w:sz="6" w:space="0" w:color="auto"/>
            </w:tcBorders>
            <w:shd w:val="pct10" w:color="auto" w:fill="FFFFFF"/>
          </w:tcPr>
          <w:p w:rsidR="007366DB" w:rsidRPr="00FA3856" w:rsidRDefault="007366DB" w:rsidP="0046613B">
            <w:pPr>
              <w:pStyle w:val="PSDS-CorpodeTexto0"/>
              <w:jc w:val="center"/>
              <w:rPr>
                <w:rFonts w:ascii="Times New Roman" w:hAnsi="Times New Roman"/>
                <w:b/>
                <w:bCs/>
              </w:rPr>
            </w:pPr>
            <w:r w:rsidRPr="00FA3856">
              <w:rPr>
                <w:rFonts w:ascii="Times New Roman" w:hAnsi="Times New Roman"/>
                <w:b/>
                <w:bCs/>
              </w:rPr>
              <w:t>Nº</w:t>
            </w:r>
          </w:p>
        </w:tc>
        <w:tc>
          <w:tcPr>
            <w:tcW w:w="3000" w:type="dxa"/>
            <w:tcBorders>
              <w:top w:val="single" w:sz="6" w:space="0" w:color="auto"/>
              <w:left w:val="single" w:sz="6" w:space="0" w:color="auto"/>
              <w:bottom w:val="single" w:sz="6" w:space="0" w:color="auto"/>
              <w:right w:val="single" w:sz="6" w:space="0" w:color="auto"/>
            </w:tcBorders>
            <w:shd w:val="pct10" w:color="auto" w:fill="FFFFFF"/>
          </w:tcPr>
          <w:p w:rsidR="007366DB" w:rsidRPr="00FA3856" w:rsidRDefault="007366DB" w:rsidP="0046613B">
            <w:pPr>
              <w:pStyle w:val="PSDS-CorpodeTexto0"/>
              <w:jc w:val="center"/>
              <w:rPr>
                <w:rFonts w:ascii="Times New Roman" w:hAnsi="Times New Roman"/>
                <w:b/>
                <w:bCs/>
              </w:rPr>
            </w:pPr>
            <w:r w:rsidRPr="00FA3856">
              <w:rPr>
                <w:rFonts w:ascii="Times New Roman" w:hAnsi="Times New Roman"/>
                <w:b/>
                <w:bCs/>
              </w:rPr>
              <w:t>Campo</w:t>
            </w:r>
          </w:p>
        </w:tc>
        <w:tc>
          <w:tcPr>
            <w:tcW w:w="8826" w:type="dxa"/>
            <w:tcBorders>
              <w:top w:val="single" w:sz="6" w:space="0" w:color="auto"/>
              <w:left w:val="single" w:sz="6" w:space="0" w:color="auto"/>
              <w:bottom w:val="single" w:sz="6" w:space="0" w:color="auto"/>
              <w:right w:val="single" w:sz="6" w:space="0" w:color="auto"/>
            </w:tcBorders>
            <w:shd w:val="pct10" w:color="auto" w:fill="FFFFFF"/>
          </w:tcPr>
          <w:p w:rsidR="007366DB" w:rsidRPr="00FA3856" w:rsidRDefault="007366DB" w:rsidP="0046613B">
            <w:pPr>
              <w:pStyle w:val="PSDS-CorpodeTexto0"/>
              <w:jc w:val="center"/>
              <w:rPr>
                <w:rFonts w:ascii="Times New Roman" w:hAnsi="Times New Roman"/>
                <w:b/>
                <w:bCs/>
              </w:rPr>
            </w:pPr>
            <w:r w:rsidRPr="00FA3856">
              <w:rPr>
                <w:rFonts w:ascii="Times New Roman" w:hAnsi="Times New Roman"/>
                <w:b/>
                <w:bCs/>
              </w:rPr>
              <w:t>Regras de Validação do Campo</w:t>
            </w:r>
          </w:p>
        </w:tc>
        <w:tc>
          <w:tcPr>
            <w:tcW w:w="717" w:type="dxa"/>
            <w:tcBorders>
              <w:top w:val="single" w:sz="6" w:space="0" w:color="auto"/>
              <w:left w:val="single" w:sz="6" w:space="0" w:color="auto"/>
              <w:bottom w:val="single" w:sz="6" w:space="0" w:color="auto"/>
              <w:right w:val="single" w:sz="6" w:space="0" w:color="auto"/>
            </w:tcBorders>
            <w:shd w:val="pct10" w:color="auto" w:fill="FFFFFF"/>
          </w:tcPr>
          <w:p w:rsidR="007366DB" w:rsidRPr="00FA3856" w:rsidRDefault="007366DB" w:rsidP="0046613B">
            <w:pPr>
              <w:pStyle w:val="PSDS-CorpodeTexto0"/>
              <w:jc w:val="center"/>
              <w:rPr>
                <w:rFonts w:ascii="Times New Roman" w:hAnsi="Times New Roman"/>
                <w:b/>
                <w:bCs/>
              </w:rPr>
            </w:pPr>
            <w:r w:rsidRPr="00FA3856">
              <w:rPr>
                <w:rFonts w:ascii="Times New Roman" w:hAnsi="Times New Roman"/>
                <w:b/>
                <w:bCs/>
              </w:rPr>
              <w:t>Tipo</w:t>
            </w:r>
          </w:p>
        </w:tc>
      </w:tr>
      <w:tr w:rsidR="007366DB" w:rsidRPr="00FA3856" w:rsidTr="0046613B">
        <w:trPr>
          <w:jc w:val="center"/>
        </w:trPr>
        <w:tc>
          <w:tcPr>
            <w:tcW w:w="485" w:type="dxa"/>
            <w:tcBorders>
              <w:top w:val="single" w:sz="6" w:space="0" w:color="auto"/>
              <w:left w:val="single" w:sz="6" w:space="0" w:color="auto"/>
              <w:bottom w:val="single" w:sz="6" w:space="0" w:color="auto"/>
              <w:right w:val="single" w:sz="6" w:space="0" w:color="auto"/>
            </w:tcBorders>
          </w:tcPr>
          <w:p w:rsidR="007366DB" w:rsidRPr="00FA3856" w:rsidRDefault="007366DB" w:rsidP="0046613B">
            <w:pPr>
              <w:pStyle w:val="PSDS-CorpodeTexto0"/>
              <w:suppressAutoHyphens w:val="0"/>
              <w:rPr>
                <w:rFonts w:ascii="Times New Roman" w:hAnsi="Times New Roman"/>
                <w:b/>
                <w:bCs/>
                <w:lang w:val="pt-PT"/>
              </w:rPr>
            </w:pPr>
            <w:r w:rsidRPr="00FA3856">
              <w:rPr>
                <w:rFonts w:ascii="Times New Roman" w:hAnsi="Times New Roman"/>
                <w:b/>
                <w:bCs/>
                <w:lang w:val="pt-PT"/>
              </w:rPr>
              <w:t>4</w:t>
            </w:r>
          </w:p>
        </w:tc>
        <w:tc>
          <w:tcPr>
            <w:tcW w:w="3000" w:type="dxa"/>
            <w:tcBorders>
              <w:top w:val="single" w:sz="6" w:space="0" w:color="auto"/>
              <w:left w:val="single" w:sz="6" w:space="0" w:color="auto"/>
              <w:bottom w:val="single" w:sz="6" w:space="0" w:color="auto"/>
              <w:right w:val="single" w:sz="6" w:space="0" w:color="auto"/>
            </w:tcBorders>
          </w:tcPr>
          <w:p w:rsidR="007366DB" w:rsidRPr="00FA3856" w:rsidRDefault="0094046A" w:rsidP="0046613B">
            <w:pPr>
              <w:pStyle w:val="PSDS-CorpodeTexto0"/>
              <w:rPr>
                <w:rFonts w:ascii="Times New Roman" w:hAnsi="Times New Roman"/>
                <w:lang w:val="pt-PT"/>
              </w:rPr>
            </w:pPr>
            <w:r w:rsidRPr="00FA3856">
              <w:rPr>
                <w:rFonts w:ascii="Times New Roman" w:hAnsi="Times New Roman"/>
                <w:lang w:val="pt-PT"/>
              </w:rPr>
              <w:t>IND_VL_CTA</w:t>
            </w:r>
          </w:p>
        </w:tc>
        <w:tc>
          <w:tcPr>
            <w:tcW w:w="8826" w:type="dxa"/>
            <w:tcBorders>
              <w:top w:val="single" w:sz="6" w:space="0" w:color="auto"/>
              <w:left w:val="single" w:sz="6" w:space="0" w:color="auto"/>
              <w:bottom w:val="single" w:sz="6" w:space="0" w:color="auto"/>
              <w:right w:val="single" w:sz="6" w:space="0" w:color="auto"/>
            </w:tcBorders>
          </w:tcPr>
          <w:p w:rsidR="007366DB" w:rsidRPr="00FA3856" w:rsidRDefault="00E26CE0" w:rsidP="0046613B">
            <w:pPr>
              <w:pStyle w:val="PSDS-MarcadoresNivel3"/>
              <w:tabs>
                <w:tab w:val="clear" w:pos="1440"/>
              </w:tabs>
              <w:spacing w:before="0" w:after="0"/>
              <w:ind w:left="0" w:firstLine="0"/>
              <w:rPr>
                <w:rFonts w:ascii="Times New Roman" w:hAnsi="Times New Roman" w:cs="Times New Roman"/>
                <w:b w:val="0"/>
                <w:szCs w:val="20"/>
              </w:rPr>
            </w:pPr>
            <w:r w:rsidRPr="00FA3856">
              <w:rPr>
                <w:rFonts w:ascii="Times New Roman" w:hAnsi="Times New Roman" w:cs="Times New Roman"/>
                <w:szCs w:val="20"/>
              </w:rPr>
              <w:t>REGRA_</w:t>
            </w:r>
            <w:r w:rsidR="007366DB" w:rsidRPr="00FA3856">
              <w:rPr>
                <w:rFonts w:ascii="Times New Roman" w:hAnsi="Times New Roman" w:cs="Times New Roman"/>
                <w:szCs w:val="20"/>
              </w:rPr>
              <w:t>PEA:</w:t>
            </w:r>
            <w:r w:rsidR="007366DB" w:rsidRPr="00FA3856">
              <w:rPr>
                <w:rFonts w:ascii="Times New Roman" w:hAnsi="Times New Roman" w:cs="Times New Roman"/>
                <w:b w:val="0"/>
                <w:szCs w:val="20"/>
              </w:rPr>
              <w:t xml:space="preserve"> Verifica as regras abaixo:</w:t>
            </w:r>
          </w:p>
          <w:p w:rsidR="007366DB" w:rsidRPr="00FA3856" w:rsidRDefault="007366DB" w:rsidP="0046613B">
            <w:pPr>
              <w:pStyle w:val="PSDS-MarcadoresNivel3"/>
              <w:tabs>
                <w:tab w:val="clear" w:pos="1440"/>
              </w:tabs>
              <w:spacing w:before="0" w:after="0"/>
              <w:ind w:left="720" w:firstLine="0"/>
              <w:rPr>
                <w:rFonts w:ascii="Times New Roman" w:hAnsi="Times New Roman" w:cs="Times New Roman"/>
                <w:b w:val="0"/>
                <w:szCs w:val="20"/>
              </w:rPr>
            </w:pPr>
            <w:r w:rsidRPr="00FA3856">
              <w:rPr>
                <w:rFonts w:ascii="Times New Roman" w:hAnsi="Times New Roman" w:cs="Times New Roman"/>
                <w:b w:val="0"/>
                <w:szCs w:val="20"/>
              </w:rPr>
              <w:t>- Se adição, debita na conta da parte B e credita na parte A</w:t>
            </w:r>
          </w:p>
          <w:p w:rsidR="007366DB" w:rsidRPr="00FA3856" w:rsidRDefault="007366DB" w:rsidP="0046613B">
            <w:pPr>
              <w:pStyle w:val="PSDS-MarcadoresNivel3"/>
              <w:tabs>
                <w:tab w:val="clear" w:pos="1440"/>
              </w:tabs>
              <w:spacing w:before="0" w:after="0"/>
              <w:ind w:left="720" w:firstLine="0"/>
              <w:rPr>
                <w:rFonts w:ascii="Times New Roman" w:hAnsi="Times New Roman" w:cs="Times New Roman"/>
                <w:b w:val="0"/>
                <w:szCs w:val="20"/>
              </w:rPr>
            </w:pPr>
            <w:r w:rsidRPr="00FA3856">
              <w:rPr>
                <w:rFonts w:ascii="Times New Roman" w:hAnsi="Times New Roman" w:cs="Times New Roman"/>
                <w:b w:val="0"/>
                <w:szCs w:val="20"/>
              </w:rPr>
              <w:t>- Se exclusão, credita conta da parte B e debita na parte A</w:t>
            </w:r>
          </w:p>
          <w:p w:rsidR="00ED64BA" w:rsidRPr="00FA3856" w:rsidRDefault="007366DB" w:rsidP="00161EF7">
            <w:pPr>
              <w:pStyle w:val="PSDS-MarcadoresNivel3"/>
              <w:tabs>
                <w:tab w:val="clear" w:pos="1440"/>
              </w:tabs>
              <w:spacing w:before="0" w:after="0"/>
              <w:ind w:left="720" w:firstLine="0"/>
              <w:rPr>
                <w:rFonts w:ascii="Times New Roman" w:hAnsi="Times New Roman" w:cs="Times New Roman"/>
                <w:b w:val="0"/>
                <w:szCs w:val="20"/>
              </w:rPr>
            </w:pPr>
            <w:r w:rsidRPr="00FA3856">
              <w:rPr>
                <w:rFonts w:ascii="Times New Roman" w:hAnsi="Times New Roman" w:cs="Times New Roman"/>
                <w:b w:val="0"/>
                <w:szCs w:val="20"/>
              </w:rPr>
              <w:t>- Se prejuízo, credita conta da parte B e debita na parte A</w:t>
            </w:r>
          </w:p>
          <w:p w:rsidR="007366DB" w:rsidRPr="00FA3856" w:rsidRDefault="007366DB" w:rsidP="0046613B">
            <w:pPr>
              <w:pStyle w:val="PSDS-MarcadoresNivel3"/>
              <w:tabs>
                <w:tab w:val="clear" w:pos="1440"/>
              </w:tabs>
              <w:spacing w:before="0" w:after="0"/>
              <w:ind w:left="0" w:firstLine="0"/>
              <w:rPr>
                <w:rFonts w:ascii="Times New Roman" w:hAnsi="Times New Roman" w:cs="Times New Roman"/>
                <w:b w:val="0"/>
                <w:szCs w:val="20"/>
              </w:rPr>
            </w:pPr>
            <w:r w:rsidRPr="00FA3856">
              <w:rPr>
                <w:rFonts w:ascii="Times New Roman" w:hAnsi="Times New Roman" w:cs="Times New Roman"/>
                <w:b w:val="0"/>
                <w:szCs w:val="20"/>
              </w:rPr>
              <w:t xml:space="preserve">O erro ocorre se </w:t>
            </w:r>
            <w:r w:rsidR="003B394A" w:rsidRPr="00FA3856">
              <w:rPr>
                <w:rFonts w:ascii="Times New Roman" w:hAnsi="Times New Roman" w:cs="Times New Roman"/>
                <w:b w:val="0"/>
                <w:szCs w:val="20"/>
              </w:rPr>
              <w:t>os campos</w:t>
            </w:r>
            <w:r w:rsidRPr="00FA3856">
              <w:rPr>
                <w:rFonts w:ascii="Times New Roman" w:hAnsi="Times New Roman" w:cs="Times New Roman"/>
                <w:b w:val="0"/>
                <w:szCs w:val="20"/>
              </w:rPr>
              <w:t xml:space="preserve"> M300.TIPO_LANCAMENTO é igual a:</w:t>
            </w:r>
          </w:p>
          <w:p w:rsidR="007366DB" w:rsidRPr="00FA3856" w:rsidRDefault="007366DB" w:rsidP="0046613B">
            <w:pPr>
              <w:pStyle w:val="PSDS-MarcadoresNivel3"/>
              <w:tabs>
                <w:tab w:val="clear" w:pos="1440"/>
              </w:tabs>
              <w:spacing w:before="0" w:after="0"/>
              <w:ind w:left="720" w:firstLine="0"/>
              <w:rPr>
                <w:rFonts w:ascii="Times New Roman" w:hAnsi="Times New Roman" w:cs="Times New Roman"/>
                <w:b w:val="0"/>
                <w:szCs w:val="20"/>
              </w:rPr>
            </w:pPr>
            <w:r w:rsidRPr="00FA3856">
              <w:rPr>
                <w:rFonts w:ascii="Times New Roman" w:hAnsi="Times New Roman" w:cs="Times New Roman"/>
                <w:b w:val="0"/>
                <w:szCs w:val="20"/>
              </w:rPr>
              <w:t xml:space="preserve">- “A” (adição) e </w:t>
            </w:r>
            <w:r w:rsidR="000419FB" w:rsidRPr="00FA3856">
              <w:rPr>
                <w:rFonts w:ascii="Times New Roman" w:hAnsi="Times New Roman" w:cs="Times New Roman"/>
                <w:b w:val="0"/>
                <w:szCs w:val="20"/>
              </w:rPr>
              <w:t>M355.</w:t>
            </w:r>
            <w:r w:rsidR="0094046A" w:rsidRPr="00FA3856">
              <w:rPr>
                <w:rFonts w:ascii="Times New Roman" w:hAnsi="Times New Roman" w:cs="Times New Roman"/>
                <w:b w:val="0"/>
                <w:szCs w:val="20"/>
              </w:rPr>
              <w:t>IND_VL_CTA</w:t>
            </w:r>
            <w:r w:rsidR="00563622" w:rsidRPr="00FA3856">
              <w:rPr>
                <w:rFonts w:ascii="Times New Roman" w:hAnsi="Times New Roman" w:cs="Times New Roman"/>
                <w:b w:val="0"/>
                <w:szCs w:val="20"/>
              </w:rPr>
              <w:t xml:space="preserve"> </w:t>
            </w:r>
            <w:r w:rsidRPr="00FA3856">
              <w:rPr>
                <w:rFonts w:ascii="Times New Roman" w:hAnsi="Times New Roman" w:cs="Times New Roman"/>
                <w:b w:val="0"/>
                <w:szCs w:val="20"/>
              </w:rPr>
              <w:t xml:space="preserve">é igual a “C” </w:t>
            </w:r>
          </w:p>
          <w:p w:rsidR="007366DB" w:rsidRPr="00FA3856" w:rsidRDefault="007366DB" w:rsidP="0046613B">
            <w:pPr>
              <w:pStyle w:val="PSDS-MarcadoresNivel3"/>
              <w:tabs>
                <w:tab w:val="clear" w:pos="1440"/>
              </w:tabs>
              <w:spacing w:before="0" w:after="0"/>
              <w:ind w:left="720" w:firstLine="0"/>
              <w:rPr>
                <w:rFonts w:ascii="Times New Roman" w:hAnsi="Times New Roman" w:cs="Times New Roman"/>
                <w:b w:val="0"/>
                <w:szCs w:val="20"/>
              </w:rPr>
            </w:pPr>
            <w:r w:rsidRPr="00FA3856">
              <w:rPr>
                <w:rFonts w:ascii="Times New Roman" w:hAnsi="Times New Roman" w:cs="Times New Roman"/>
                <w:b w:val="0"/>
                <w:szCs w:val="20"/>
              </w:rPr>
              <w:t xml:space="preserve">- “E” (exclusão) </w:t>
            </w:r>
            <w:r w:rsidR="0094046A" w:rsidRPr="00FA3856">
              <w:rPr>
                <w:rFonts w:ascii="Times New Roman" w:hAnsi="Times New Roman" w:cs="Times New Roman"/>
                <w:b w:val="0"/>
                <w:szCs w:val="20"/>
              </w:rPr>
              <w:t xml:space="preserve">e </w:t>
            </w:r>
            <w:r w:rsidR="000419FB" w:rsidRPr="00FA3856">
              <w:rPr>
                <w:rFonts w:ascii="Times New Roman" w:hAnsi="Times New Roman" w:cs="Times New Roman"/>
                <w:b w:val="0"/>
                <w:szCs w:val="20"/>
              </w:rPr>
              <w:t>M355.</w:t>
            </w:r>
            <w:r w:rsidR="0094046A" w:rsidRPr="00FA3856">
              <w:rPr>
                <w:rFonts w:ascii="Times New Roman" w:hAnsi="Times New Roman" w:cs="Times New Roman"/>
                <w:b w:val="0"/>
                <w:szCs w:val="20"/>
              </w:rPr>
              <w:t>IND_VL_CTA</w:t>
            </w:r>
            <w:r w:rsidRPr="00FA3856">
              <w:rPr>
                <w:rFonts w:ascii="Times New Roman" w:hAnsi="Times New Roman" w:cs="Times New Roman"/>
                <w:b w:val="0"/>
                <w:szCs w:val="20"/>
              </w:rPr>
              <w:t xml:space="preserve"> é igual a “D”</w:t>
            </w:r>
          </w:p>
          <w:p w:rsidR="007366DB" w:rsidRPr="00FA3856" w:rsidRDefault="007366DB" w:rsidP="0046613B">
            <w:pPr>
              <w:pStyle w:val="PSDS-MarcadoresNivel3"/>
              <w:tabs>
                <w:tab w:val="clear" w:pos="1440"/>
              </w:tabs>
              <w:spacing w:before="0" w:after="0"/>
              <w:ind w:left="720" w:firstLine="0"/>
              <w:rPr>
                <w:rFonts w:ascii="Times New Roman" w:hAnsi="Times New Roman" w:cs="Times New Roman"/>
                <w:b w:val="0"/>
                <w:szCs w:val="20"/>
              </w:rPr>
            </w:pPr>
            <w:r w:rsidRPr="00FA3856">
              <w:rPr>
                <w:rFonts w:ascii="Times New Roman" w:hAnsi="Times New Roman" w:cs="Times New Roman"/>
                <w:b w:val="0"/>
                <w:szCs w:val="20"/>
              </w:rPr>
              <w:t>- “P” (compensaç</w:t>
            </w:r>
            <w:r w:rsidR="0094046A" w:rsidRPr="00FA3856">
              <w:rPr>
                <w:rFonts w:ascii="Times New Roman" w:hAnsi="Times New Roman" w:cs="Times New Roman"/>
                <w:b w:val="0"/>
                <w:szCs w:val="20"/>
              </w:rPr>
              <w:t xml:space="preserve">ão de prejuízos) e </w:t>
            </w:r>
            <w:r w:rsidR="000419FB" w:rsidRPr="00FA3856">
              <w:rPr>
                <w:rFonts w:ascii="Times New Roman" w:hAnsi="Times New Roman" w:cs="Times New Roman"/>
                <w:b w:val="0"/>
                <w:szCs w:val="20"/>
              </w:rPr>
              <w:t>M355.</w:t>
            </w:r>
            <w:r w:rsidR="0094046A" w:rsidRPr="00FA3856">
              <w:rPr>
                <w:rFonts w:ascii="Times New Roman" w:hAnsi="Times New Roman" w:cs="Times New Roman"/>
                <w:b w:val="0"/>
                <w:szCs w:val="20"/>
              </w:rPr>
              <w:t>IND_VL_CTA</w:t>
            </w:r>
            <w:r w:rsidRPr="00FA3856">
              <w:rPr>
                <w:rFonts w:ascii="Times New Roman" w:hAnsi="Times New Roman" w:cs="Times New Roman"/>
                <w:b w:val="0"/>
                <w:szCs w:val="20"/>
              </w:rPr>
              <w:t xml:space="preserve"> é igual a “D”</w:t>
            </w:r>
          </w:p>
        </w:tc>
        <w:tc>
          <w:tcPr>
            <w:tcW w:w="717" w:type="dxa"/>
            <w:tcBorders>
              <w:top w:val="single" w:sz="6" w:space="0" w:color="auto"/>
              <w:left w:val="single" w:sz="6" w:space="0" w:color="auto"/>
              <w:bottom w:val="single" w:sz="6" w:space="0" w:color="auto"/>
              <w:right w:val="single" w:sz="6" w:space="0" w:color="auto"/>
            </w:tcBorders>
          </w:tcPr>
          <w:p w:rsidR="007366DB" w:rsidRPr="00FA3856" w:rsidRDefault="001C1E84" w:rsidP="0046613B">
            <w:pPr>
              <w:pStyle w:val="PSDS-CorpodeTexto0"/>
              <w:rPr>
                <w:rFonts w:ascii="Times New Roman" w:hAnsi="Times New Roman"/>
                <w:lang w:val="pt-PT"/>
              </w:rPr>
            </w:pPr>
            <w:r w:rsidRPr="00FA3856">
              <w:rPr>
                <w:rFonts w:ascii="Times New Roman" w:hAnsi="Times New Roman"/>
                <w:lang w:val="pt-PT"/>
              </w:rPr>
              <w:t>Aviso</w:t>
            </w:r>
          </w:p>
          <w:p w:rsidR="007366DB" w:rsidRPr="00FA3856" w:rsidRDefault="007366DB" w:rsidP="0046613B">
            <w:pPr>
              <w:pStyle w:val="PSDS-CorpodeTexto0"/>
              <w:rPr>
                <w:rFonts w:ascii="Times New Roman" w:hAnsi="Times New Roman"/>
                <w:lang w:val="pt-PT"/>
              </w:rPr>
            </w:pPr>
          </w:p>
        </w:tc>
      </w:tr>
    </w:tbl>
    <w:p w:rsidR="007366DB" w:rsidRPr="00FA3856" w:rsidRDefault="007366DB" w:rsidP="007366DB">
      <w:pPr>
        <w:pStyle w:val="PSDS-MarcadoresNivel3"/>
        <w:tabs>
          <w:tab w:val="clear" w:pos="1440"/>
        </w:tabs>
        <w:spacing w:before="0" w:after="0"/>
        <w:ind w:left="0" w:firstLine="0"/>
        <w:rPr>
          <w:rFonts w:ascii="Times New Roman" w:hAnsi="Times New Roman" w:cs="Times New Roman"/>
          <w:szCs w:val="20"/>
        </w:rPr>
      </w:pPr>
    </w:p>
    <w:p w:rsidR="00342F1D" w:rsidRDefault="0097491E" w:rsidP="0097491E">
      <w:pPr>
        <w:pStyle w:val="Corpodetexto"/>
        <w:rPr>
          <w:rFonts w:ascii="Times New Roman" w:hAnsi="Times New Roman"/>
          <w:b/>
          <w:color w:val="002060"/>
          <w:szCs w:val="20"/>
        </w:rPr>
      </w:pPr>
      <w:r w:rsidRPr="00FA3856">
        <w:rPr>
          <w:rFonts w:ascii="Times New Roman" w:hAnsi="Times New Roman"/>
          <w:b/>
          <w:color w:val="002060"/>
          <w:szCs w:val="20"/>
        </w:rPr>
        <w:t xml:space="preserve">Exemplo de Preenchimento: </w:t>
      </w:r>
    </w:p>
    <w:p w:rsidR="00342F1D" w:rsidRDefault="00342F1D" w:rsidP="0097491E">
      <w:pPr>
        <w:pStyle w:val="Corpodetexto"/>
        <w:rPr>
          <w:rFonts w:ascii="Times New Roman" w:hAnsi="Times New Roman"/>
          <w:b/>
          <w:color w:val="002060"/>
          <w:szCs w:val="20"/>
        </w:rPr>
      </w:pPr>
    </w:p>
    <w:p w:rsidR="0097491E" w:rsidRPr="00FA3856" w:rsidRDefault="0097491E" w:rsidP="0097491E">
      <w:pPr>
        <w:pStyle w:val="Corpodetexto"/>
        <w:rPr>
          <w:rFonts w:ascii="Times New Roman" w:hAnsi="Times New Roman"/>
          <w:b/>
          <w:color w:val="002060"/>
          <w:szCs w:val="20"/>
        </w:rPr>
      </w:pPr>
      <w:r w:rsidRPr="00FA3856">
        <w:rPr>
          <w:rFonts w:ascii="Times New Roman" w:hAnsi="Times New Roman"/>
          <w:b/>
          <w:color w:val="002060"/>
          <w:szCs w:val="20"/>
        </w:rPr>
        <w:t>|M3</w:t>
      </w:r>
      <w:r w:rsidR="00D448FF" w:rsidRPr="00FA3856">
        <w:rPr>
          <w:rFonts w:ascii="Times New Roman" w:hAnsi="Times New Roman"/>
          <w:b/>
          <w:color w:val="002060"/>
          <w:szCs w:val="20"/>
        </w:rPr>
        <w:t>55</w:t>
      </w:r>
      <w:r w:rsidRPr="00FA3856">
        <w:rPr>
          <w:rFonts w:ascii="Times New Roman" w:hAnsi="Times New Roman"/>
          <w:b/>
          <w:color w:val="002060"/>
          <w:szCs w:val="20"/>
        </w:rPr>
        <w:t>|</w:t>
      </w:r>
      <w:r w:rsidR="00D448FF" w:rsidRPr="00FA3856">
        <w:rPr>
          <w:rFonts w:ascii="Times New Roman" w:hAnsi="Times New Roman"/>
          <w:b/>
          <w:color w:val="002060"/>
          <w:szCs w:val="20"/>
        </w:rPr>
        <w:t>101|2000,00|D|</w:t>
      </w:r>
    </w:p>
    <w:p w:rsidR="0097491E" w:rsidRPr="00FA3856" w:rsidRDefault="00E16268" w:rsidP="0097491E">
      <w:pPr>
        <w:pStyle w:val="Corpodetexto"/>
        <w:ind w:firstLine="708"/>
        <w:rPr>
          <w:rFonts w:ascii="Times New Roman" w:hAnsi="Times New Roman"/>
          <w:color w:val="002060"/>
          <w:szCs w:val="20"/>
        </w:rPr>
      </w:pPr>
      <w:r w:rsidRPr="00FA3856">
        <w:rPr>
          <w:rFonts w:ascii="Times New Roman" w:hAnsi="Times New Roman"/>
          <w:color w:val="002060"/>
          <w:szCs w:val="20"/>
        </w:rPr>
        <w:t>|M355</w:t>
      </w:r>
      <w:r w:rsidR="0097491E" w:rsidRPr="00FA3856">
        <w:rPr>
          <w:rFonts w:ascii="Times New Roman" w:hAnsi="Times New Roman"/>
          <w:color w:val="002060"/>
          <w:szCs w:val="20"/>
        </w:rPr>
        <w:t>|: Identificação do tipo do registro.</w:t>
      </w:r>
    </w:p>
    <w:p w:rsidR="00D448FF" w:rsidRPr="00FA3856" w:rsidRDefault="00D448FF" w:rsidP="0097491E">
      <w:pPr>
        <w:pStyle w:val="Corpodetexto"/>
        <w:ind w:firstLine="708"/>
        <w:rPr>
          <w:rFonts w:ascii="Times New Roman" w:hAnsi="Times New Roman"/>
          <w:color w:val="002060"/>
          <w:szCs w:val="20"/>
        </w:rPr>
      </w:pPr>
      <w:r w:rsidRPr="00FA3856">
        <w:rPr>
          <w:rFonts w:ascii="Times New Roman" w:hAnsi="Times New Roman"/>
          <w:color w:val="002060"/>
          <w:szCs w:val="20"/>
        </w:rPr>
        <w:t>|101|: Código da conta na parte B.</w:t>
      </w:r>
    </w:p>
    <w:p w:rsidR="00D448FF" w:rsidRPr="00FA3856" w:rsidRDefault="00D448FF" w:rsidP="0097491E">
      <w:pPr>
        <w:pStyle w:val="Corpodetexto"/>
        <w:ind w:firstLine="708"/>
        <w:rPr>
          <w:rFonts w:ascii="Times New Roman" w:hAnsi="Times New Roman"/>
          <w:color w:val="002060"/>
          <w:szCs w:val="20"/>
        </w:rPr>
      </w:pPr>
      <w:r w:rsidRPr="00FA3856">
        <w:rPr>
          <w:rFonts w:ascii="Times New Roman" w:hAnsi="Times New Roman"/>
          <w:color w:val="002060"/>
          <w:szCs w:val="20"/>
        </w:rPr>
        <w:t>|2000,00|: Valor total dos lançamentos adicionados ou excluídos da conta (R$ 2.000,00).</w:t>
      </w:r>
    </w:p>
    <w:p w:rsidR="00D448FF" w:rsidRPr="00FA3856" w:rsidRDefault="00D448FF" w:rsidP="00D448FF">
      <w:pPr>
        <w:ind w:firstLine="708"/>
        <w:jc w:val="both"/>
        <w:rPr>
          <w:szCs w:val="20"/>
        </w:rPr>
      </w:pPr>
      <w:r w:rsidRPr="00FA3856">
        <w:rPr>
          <w:color w:val="002060"/>
          <w:szCs w:val="20"/>
        </w:rPr>
        <w:t>|D|: Indicador do valor do lançamento (D = Prejuízos ou valores que reduzam a base de cálculo da contribuição social em períodos subsequentes).</w:t>
      </w:r>
    </w:p>
    <w:p w:rsidR="00D448FF" w:rsidRPr="00FA3856" w:rsidRDefault="00D448FF" w:rsidP="0097491E">
      <w:pPr>
        <w:pStyle w:val="Corpodetexto"/>
        <w:ind w:firstLine="708"/>
        <w:rPr>
          <w:rFonts w:ascii="Times New Roman" w:hAnsi="Times New Roman"/>
          <w:color w:val="002060"/>
          <w:szCs w:val="20"/>
        </w:rPr>
      </w:pPr>
    </w:p>
    <w:p w:rsidR="00D448FF" w:rsidRPr="00FA3856" w:rsidRDefault="00D448FF" w:rsidP="0097491E">
      <w:pPr>
        <w:pStyle w:val="Corpodetexto"/>
        <w:ind w:firstLine="708"/>
        <w:rPr>
          <w:rFonts w:ascii="Times New Roman" w:hAnsi="Times New Roman"/>
          <w:color w:val="002060"/>
          <w:szCs w:val="20"/>
        </w:rPr>
      </w:pPr>
    </w:p>
    <w:p w:rsidR="00D448FF" w:rsidRPr="00FA3856" w:rsidRDefault="00D448FF" w:rsidP="0097491E">
      <w:pPr>
        <w:pStyle w:val="Corpodetexto"/>
        <w:ind w:firstLine="708"/>
        <w:rPr>
          <w:rFonts w:ascii="Times New Roman" w:hAnsi="Times New Roman"/>
          <w:color w:val="002060"/>
          <w:szCs w:val="20"/>
        </w:rPr>
      </w:pPr>
    </w:p>
    <w:p w:rsidR="0097491E" w:rsidRPr="00FA3856" w:rsidRDefault="00D448FF" w:rsidP="007366DB">
      <w:pPr>
        <w:pStyle w:val="PSDS-MarcadoresNivel3"/>
        <w:tabs>
          <w:tab w:val="clear" w:pos="1440"/>
        </w:tabs>
        <w:spacing w:before="0" w:after="0"/>
        <w:ind w:left="0" w:firstLine="0"/>
        <w:rPr>
          <w:rFonts w:ascii="Times New Roman" w:hAnsi="Times New Roman" w:cs="Times New Roman"/>
          <w:szCs w:val="20"/>
        </w:rPr>
      </w:pPr>
      <w:r w:rsidRPr="00FA3856">
        <w:rPr>
          <w:rFonts w:ascii="Times New Roman" w:hAnsi="Times New Roman" w:cs="Times New Roman"/>
          <w:szCs w:val="20"/>
        </w:rPr>
        <w:tab/>
      </w:r>
    </w:p>
    <w:p w:rsidR="0097491E" w:rsidRPr="00FA3856" w:rsidRDefault="0097491E">
      <w:pPr>
        <w:spacing w:after="200" w:line="276" w:lineRule="auto"/>
        <w:rPr>
          <w:b/>
          <w:bCs/>
          <w:color w:val="0000FF"/>
          <w:szCs w:val="20"/>
        </w:rPr>
      </w:pPr>
      <w:r w:rsidRPr="00FA3856">
        <w:rPr>
          <w:color w:val="0000FF"/>
          <w:szCs w:val="20"/>
        </w:rPr>
        <w:br w:type="page"/>
      </w:r>
    </w:p>
    <w:p w:rsidR="007366DB" w:rsidRPr="00FA3856" w:rsidRDefault="007366DB" w:rsidP="00867F54">
      <w:pPr>
        <w:pStyle w:val="Ttulo4"/>
      </w:pPr>
      <w:bookmarkStart w:id="206" w:name="_Toc479713732"/>
      <w:r w:rsidRPr="00FA3856">
        <w:lastRenderedPageBreak/>
        <w:t>Registro M360: Contas Contábeis Relacionadas ao</w:t>
      </w:r>
      <w:r w:rsidR="00272502" w:rsidRPr="00FA3856">
        <w:t xml:space="preserve"> Lançamento da Parte A do e-Lacs</w:t>
      </w:r>
      <w:bookmarkEnd w:id="206"/>
    </w:p>
    <w:p w:rsidR="007366DB" w:rsidRPr="00FA3856" w:rsidRDefault="007366DB" w:rsidP="007366DB">
      <w:pPr>
        <w:rPr>
          <w:szCs w:val="20"/>
        </w:rPr>
      </w:pPr>
    </w:p>
    <w:p w:rsidR="007366DB" w:rsidRPr="00FA3856" w:rsidRDefault="0097491E" w:rsidP="007366DB">
      <w:pPr>
        <w:pStyle w:val="PSDS-MarcadoresNivel1"/>
        <w:numPr>
          <w:ilvl w:val="0"/>
          <w:numId w:val="0"/>
        </w:numPr>
        <w:spacing w:before="0" w:after="0"/>
        <w:ind w:firstLine="708"/>
        <w:rPr>
          <w:rFonts w:ascii="Times New Roman" w:hAnsi="Times New Roman"/>
          <w:b w:val="0"/>
          <w:bCs/>
        </w:rPr>
      </w:pPr>
      <w:r w:rsidRPr="00FA3856">
        <w:rPr>
          <w:rFonts w:ascii="Times New Roman" w:hAnsi="Times New Roman"/>
          <w:b w:val="0"/>
        </w:rPr>
        <w:t xml:space="preserve">Relaciona </w:t>
      </w:r>
      <w:r w:rsidR="007366DB" w:rsidRPr="00FA3856">
        <w:rPr>
          <w:rFonts w:ascii="Times New Roman" w:hAnsi="Times New Roman"/>
          <w:b w:val="0"/>
        </w:rPr>
        <w:t>o</w:t>
      </w:r>
      <w:r w:rsidRPr="00FA3856">
        <w:rPr>
          <w:rFonts w:ascii="Times New Roman" w:hAnsi="Times New Roman"/>
          <w:b w:val="0"/>
        </w:rPr>
        <w:t>s</w:t>
      </w:r>
      <w:r w:rsidR="007366DB" w:rsidRPr="00FA3856">
        <w:rPr>
          <w:rFonts w:ascii="Times New Roman" w:hAnsi="Times New Roman"/>
          <w:b w:val="0"/>
        </w:rPr>
        <w:t xml:space="preserve"> lançamentos da parte A do e-Lacs com as contas contábeis.</w:t>
      </w:r>
    </w:p>
    <w:p w:rsidR="00161EF7" w:rsidRDefault="00161EF7" w:rsidP="00956C46">
      <w:pPr>
        <w:rPr>
          <w:b/>
          <w:bCs/>
          <w:szCs w:val="20"/>
          <w:lang w:val="pt-PT"/>
        </w:rPr>
      </w:pPr>
    </w:p>
    <w:p w:rsidR="00F004FC" w:rsidRPr="00FA3856" w:rsidRDefault="00B35FA3" w:rsidP="00F004FC">
      <w:pPr>
        <w:jc w:val="center"/>
        <w:rPr>
          <w:b/>
          <w:bCs/>
          <w:szCs w:val="20"/>
          <w:lang w:val="pt-PT"/>
        </w:rPr>
      </w:pPr>
      <w:r>
        <w:rPr>
          <w:b/>
          <w:bCs/>
          <w:szCs w:val="20"/>
          <w:lang w:val="pt-PT"/>
        </w:rPr>
        <w:object w:dxaOrig="13860" w:dyaOrig="4950">
          <v:shape id="_x0000_i1713" type="#_x0000_t75" style="width:690.75pt;height:249pt" o:ole="">
            <v:imagedata r:id="rId320" o:title=""/>
          </v:shape>
          <o:OLEObject Type="Link" ProgID="Excel.Sheet.12" ShapeID="_x0000_i1713" DrawAspect="Content" r:id="rId321" UpdateMode="Always">
            <o:LinkType>EnhancedMetaFile</o:LinkType>
            <o:LockedField>false</o:LockedField>
          </o:OLEObject>
        </w:object>
      </w:r>
    </w:p>
    <w:p w:rsidR="00F004FC" w:rsidRDefault="00F004FC" w:rsidP="00956C46">
      <w:pPr>
        <w:rPr>
          <w:b/>
          <w:bCs/>
          <w:szCs w:val="20"/>
          <w:lang w:val="pt-PT"/>
        </w:rPr>
      </w:pPr>
    </w:p>
    <w:p w:rsidR="00956C46" w:rsidRPr="00FA3856" w:rsidRDefault="00E01A65" w:rsidP="00956C46">
      <w:pPr>
        <w:rPr>
          <w:b/>
          <w:bCs/>
          <w:szCs w:val="20"/>
          <w:lang w:val="pt-PT"/>
        </w:rPr>
      </w:pPr>
      <w:r w:rsidRPr="00FA3856">
        <w:rPr>
          <w:b/>
          <w:bCs/>
          <w:szCs w:val="20"/>
          <w:lang w:val="pt-PT"/>
        </w:rPr>
        <w:t>I</w:t>
      </w:r>
      <w:r w:rsidR="00956C46" w:rsidRPr="00FA3856">
        <w:rPr>
          <w:b/>
          <w:bCs/>
          <w:szCs w:val="20"/>
          <w:lang w:val="pt-PT"/>
        </w:rPr>
        <w:t xml:space="preserve"> – Regras de Validação do Registro:</w:t>
      </w:r>
    </w:p>
    <w:p w:rsidR="0097491E" w:rsidRPr="00FA3856" w:rsidRDefault="0097491E" w:rsidP="00956C46">
      <w:pPr>
        <w:rPr>
          <w:b/>
          <w:bCs/>
          <w:szCs w:val="20"/>
          <w:lang w:val="pt-PT"/>
        </w:rPr>
      </w:pPr>
    </w:p>
    <w:p w:rsidR="00D51B27" w:rsidRPr="00FA3856" w:rsidRDefault="00D51B27" w:rsidP="00D51B27">
      <w:pPr>
        <w:pStyle w:val="PSDS-CorpodeTexto0"/>
        <w:ind w:left="708"/>
        <w:jc w:val="both"/>
        <w:rPr>
          <w:rFonts w:ascii="Times New Roman" w:hAnsi="Times New Roman"/>
          <w:bCs/>
          <w:lang w:val="pt-PT"/>
        </w:rPr>
      </w:pPr>
      <w:r w:rsidRPr="00FA3856">
        <w:rPr>
          <w:rFonts w:ascii="Times New Roman" w:hAnsi="Times New Roman"/>
          <w:b/>
          <w:bCs/>
          <w:lang w:val="pt-PT"/>
        </w:rPr>
        <w:t xml:space="preserve">REGRA_REGISTRO_M362_OBRIGATORIO: </w:t>
      </w:r>
      <w:r w:rsidRPr="00FA3856">
        <w:rPr>
          <w:rFonts w:ascii="Times New Roman" w:hAnsi="Times New Roman"/>
          <w:bCs/>
          <w:lang w:val="pt-PT"/>
        </w:rPr>
        <w:t xml:space="preserve">Verifica se o registro M362 foi preenchido no caso de </w:t>
      </w:r>
      <w:r w:rsidR="00375E89" w:rsidRPr="00FA3856">
        <w:rPr>
          <w:rFonts w:ascii="Times New Roman" w:hAnsi="Times New Roman"/>
          <w:bCs/>
          <w:lang w:val="pt-PT"/>
        </w:rPr>
        <w:t xml:space="preserve">M360.VL_CTA, </w:t>
      </w:r>
      <w:r w:rsidRPr="00FA3856">
        <w:rPr>
          <w:rFonts w:ascii="Times New Roman" w:hAnsi="Times New Roman"/>
          <w:bCs/>
          <w:lang w:val="pt-PT"/>
        </w:rPr>
        <w:t xml:space="preserve">para o mesmo </w:t>
      </w:r>
      <w:r w:rsidR="00375E89" w:rsidRPr="00FA3856">
        <w:rPr>
          <w:rFonts w:ascii="Times New Roman" w:hAnsi="Times New Roman"/>
          <w:bCs/>
          <w:lang w:val="pt-PT"/>
        </w:rPr>
        <w:t xml:space="preserve">M360.COD_CTA </w:t>
      </w:r>
      <w:r w:rsidRPr="00FA3856">
        <w:rPr>
          <w:rFonts w:ascii="Times New Roman" w:hAnsi="Times New Roman"/>
          <w:bCs/>
          <w:lang w:val="pt-PT"/>
        </w:rPr>
        <w:t xml:space="preserve">e </w:t>
      </w:r>
      <w:r w:rsidR="00375E89" w:rsidRPr="00FA3856">
        <w:rPr>
          <w:rFonts w:ascii="Times New Roman" w:hAnsi="Times New Roman"/>
          <w:bCs/>
          <w:lang w:val="pt-PT"/>
        </w:rPr>
        <w:t>M360.COD_CCUS</w:t>
      </w:r>
      <w:r w:rsidRPr="00FA3856">
        <w:rPr>
          <w:rFonts w:ascii="Times New Roman" w:hAnsi="Times New Roman"/>
          <w:bCs/>
          <w:lang w:val="pt-PT"/>
        </w:rPr>
        <w:t>:</w:t>
      </w:r>
    </w:p>
    <w:p w:rsidR="00D51B27" w:rsidRPr="00FA3856" w:rsidRDefault="00D51B27" w:rsidP="00D51B27">
      <w:pPr>
        <w:pStyle w:val="PSDS-CorpodeTexto0"/>
        <w:ind w:left="708"/>
        <w:jc w:val="both"/>
        <w:rPr>
          <w:rFonts w:ascii="Times New Roman" w:hAnsi="Times New Roman"/>
          <w:bCs/>
          <w:lang w:val="pt-PT"/>
        </w:rPr>
      </w:pPr>
    </w:p>
    <w:p w:rsidR="00D51B27" w:rsidRPr="00FA3856" w:rsidRDefault="00D51B27" w:rsidP="00D51B27">
      <w:pPr>
        <w:pStyle w:val="PSDS-CorpodeTexto0"/>
        <w:ind w:left="708"/>
        <w:jc w:val="both"/>
        <w:rPr>
          <w:rFonts w:ascii="Times New Roman" w:hAnsi="Times New Roman"/>
          <w:bCs/>
          <w:lang w:val="pt-PT"/>
        </w:rPr>
      </w:pPr>
      <w:r w:rsidRPr="00FA3856">
        <w:rPr>
          <w:rFonts w:ascii="Times New Roman" w:hAnsi="Times New Roman"/>
          <w:bCs/>
          <w:lang w:val="pt-PT"/>
        </w:rPr>
        <w:t xml:space="preserve">- </w:t>
      </w:r>
      <w:r w:rsidR="00563622" w:rsidRPr="00FA3856">
        <w:rPr>
          <w:rFonts w:ascii="Times New Roman" w:hAnsi="Times New Roman"/>
          <w:bCs/>
          <w:lang w:val="pt-PT"/>
        </w:rPr>
        <w:t xml:space="preserve">No caso de J050.COD_NAT </w:t>
      </w:r>
      <w:r w:rsidRPr="00FA3856">
        <w:rPr>
          <w:rFonts w:ascii="Times New Roman" w:hAnsi="Times New Roman"/>
          <w:bCs/>
          <w:lang w:val="pt-PT"/>
        </w:rPr>
        <w:t>igual “1” (Ativo), “2” (Passivo) ou “3” (Patrimônio Líquido):</w:t>
      </w:r>
    </w:p>
    <w:p w:rsidR="00CD37AE" w:rsidRPr="00FA3856" w:rsidRDefault="00CD37AE" w:rsidP="00CD37AE">
      <w:pPr>
        <w:pStyle w:val="PSDS-CorpodeTexto0"/>
        <w:ind w:left="1416" w:firstLine="708"/>
        <w:jc w:val="both"/>
        <w:rPr>
          <w:rFonts w:ascii="Times New Roman" w:hAnsi="Times New Roman"/>
          <w:bCs/>
          <w:lang w:val="pt-PT"/>
        </w:rPr>
      </w:pPr>
      <w:r w:rsidRPr="00FA3856">
        <w:rPr>
          <w:rFonts w:ascii="Times New Roman" w:hAnsi="Times New Roman"/>
          <w:bCs/>
          <w:lang w:val="pt-PT"/>
        </w:rPr>
        <w:t>- For diferente do saldo final da conta em K155.</w:t>
      </w:r>
      <w:r w:rsidR="00375E89" w:rsidRPr="00FA3856">
        <w:rPr>
          <w:rFonts w:ascii="Times New Roman" w:hAnsi="Times New Roman"/>
          <w:lang w:val="es-ES_tradnl"/>
        </w:rPr>
        <w:t xml:space="preserve">VL_SLD_FIN </w:t>
      </w:r>
      <w:r w:rsidRPr="00FA3856">
        <w:rPr>
          <w:rFonts w:ascii="Times New Roman" w:hAnsi="Times New Roman"/>
          <w:bCs/>
          <w:lang w:val="pt-PT"/>
        </w:rPr>
        <w:t>no período de apuração; ou</w:t>
      </w:r>
    </w:p>
    <w:p w:rsidR="00CD37AE" w:rsidRPr="00FA3856" w:rsidRDefault="00CD37AE" w:rsidP="00CD37AE">
      <w:pPr>
        <w:pStyle w:val="PSDS-CorpodeTexto0"/>
        <w:ind w:left="2124"/>
        <w:jc w:val="both"/>
        <w:rPr>
          <w:rFonts w:ascii="Times New Roman" w:hAnsi="Times New Roman"/>
          <w:bCs/>
          <w:lang w:val="pt-PT"/>
        </w:rPr>
      </w:pPr>
      <w:r w:rsidRPr="00FA3856">
        <w:rPr>
          <w:rFonts w:ascii="Times New Roman" w:hAnsi="Times New Roman"/>
          <w:bCs/>
          <w:lang w:val="pt-PT"/>
        </w:rPr>
        <w:t>- For diferente do resultado da diferença entre o saldo final da conta em K155.</w:t>
      </w:r>
      <w:r w:rsidRPr="00FA3856">
        <w:rPr>
          <w:rFonts w:ascii="Times New Roman" w:hAnsi="Times New Roman"/>
          <w:lang w:val="es-ES_tradnl"/>
        </w:rPr>
        <w:t>VL_SLD_FIN</w:t>
      </w:r>
      <w:r w:rsidR="00375E89" w:rsidRPr="00FA3856">
        <w:rPr>
          <w:rFonts w:ascii="Times New Roman" w:hAnsi="Times New Roman"/>
          <w:bCs/>
          <w:lang w:val="pt-PT"/>
        </w:rPr>
        <w:t xml:space="preserve"> </w:t>
      </w:r>
      <w:r w:rsidRPr="00FA3856">
        <w:rPr>
          <w:rFonts w:ascii="Times New Roman" w:hAnsi="Times New Roman"/>
          <w:bCs/>
          <w:lang w:val="pt-PT"/>
        </w:rPr>
        <w:t>e o saldo inicial da c</w:t>
      </w:r>
      <w:r w:rsidR="00375E89" w:rsidRPr="00FA3856">
        <w:rPr>
          <w:rFonts w:ascii="Times New Roman" w:hAnsi="Times New Roman"/>
          <w:bCs/>
          <w:lang w:val="pt-PT"/>
        </w:rPr>
        <w:t xml:space="preserve">onta em K155.VL_SLD_INI </w:t>
      </w:r>
      <w:r w:rsidRPr="00FA3856">
        <w:rPr>
          <w:rFonts w:ascii="Times New Roman" w:hAnsi="Times New Roman"/>
          <w:bCs/>
          <w:lang w:val="pt-PT"/>
        </w:rPr>
        <w:t>no período de apuração (saldo do período); ou</w:t>
      </w:r>
    </w:p>
    <w:p w:rsidR="00CD37AE" w:rsidRPr="00FA3856" w:rsidRDefault="00CD37AE" w:rsidP="00CD37AE">
      <w:pPr>
        <w:pStyle w:val="PSDS-CorpodeTexto0"/>
        <w:ind w:left="2124"/>
        <w:jc w:val="both"/>
        <w:rPr>
          <w:rFonts w:ascii="Times New Roman" w:hAnsi="Times New Roman"/>
          <w:bCs/>
          <w:lang w:val="pt-PT"/>
        </w:rPr>
      </w:pPr>
      <w:r w:rsidRPr="00FA3856">
        <w:rPr>
          <w:rFonts w:ascii="Times New Roman" w:hAnsi="Times New Roman"/>
          <w:bCs/>
          <w:lang w:val="pt-PT"/>
        </w:rPr>
        <w:t xml:space="preserve">- For diferente do total de débitos </w:t>
      </w:r>
      <w:r w:rsidR="00375E89" w:rsidRPr="00FA3856">
        <w:rPr>
          <w:rFonts w:ascii="Times New Roman" w:hAnsi="Times New Roman"/>
          <w:bCs/>
          <w:lang w:val="pt-PT"/>
        </w:rPr>
        <w:t>da conta em K155.VL_DEB</w:t>
      </w:r>
      <w:r w:rsidRPr="00FA3856">
        <w:rPr>
          <w:rFonts w:ascii="Times New Roman" w:hAnsi="Times New Roman"/>
          <w:bCs/>
          <w:lang w:val="pt-PT"/>
        </w:rPr>
        <w:t>; ou</w:t>
      </w:r>
    </w:p>
    <w:p w:rsidR="00CD37AE" w:rsidRPr="00FA3856" w:rsidRDefault="00CD37AE" w:rsidP="00CD37AE">
      <w:pPr>
        <w:pStyle w:val="PSDS-CorpodeTexto0"/>
        <w:ind w:left="2124"/>
        <w:jc w:val="both"/>
        <w:rPr>
          <w:rFonts w:ascii="Times New Roman" w:hAnsi="Times New Roman"/>
          <w:bCs/>
          <w:lang w:val="pt-PT"/>
        </w:rPr>
      </w:pPr>
      <w:r w:rsidRPr="00FA3856">
        <w:rPr>
          <w:rFonts w:ascii="Times New Roman" w:hAnsi="Times New Roman"/>
          <w:bCs/>
          <w:lang w:val="pt-PT"/>
        </w:rPr>
        <w:t>- For diferente do total de crédito d</w:t>
      </w:r>
      <w:r w:rsidR="00375E89" w:rsidRPr="00FA3856">
        <w:rPr>
          <w:rFonts w:ascii="Times New Roman" w:hAnsi="Times New Roman"/>
          <w:bCs/>
          <w:lang w:val="pt-PT"/>
        </w:rPr>
        <w:t>a conta me K155_VL_CRED</w:t>
      </w:r>
      <w:r w:rsidRPr="00FA3856">
        <w:rPr>
          <w:rFonts w:ascii="Times New Roman" w:hAnsi="Times New Roman"/>
          <w:bCs/>
          <w:lang w:val="pt-PT"/>
        </w:rPr>
        <w:t>.</w:t>
      </w:r>
    </w:p>
    <w:p w:rsidR="00D51B27" w:rsidRPr="00FA3856" w:rsidRDefault="00D51B27" w:rsidP="00D51B27">
      <w:pPr>
        <w:pStyle w:val="PSDS-CorpodeTexto0"/>
        <w:ind w:left="708"/>
        <w:jc w:val="both"/>
        <w:rPr>
          <w:rFonts w:ascii="Times New Roman" w:hAnsi="Times New Roman"/>
          <w:bCs/>
          <w:lang w:val="pt-PT"/>
        </w:rPr>
      </w:pPr>
    </w:p>
    <w:p w:rsidR="00D51B27" w:rsidRPr="00FA3856" w:rsidRDefault="00D51B27" w:rsidP="00D51B27">
      <w:pPr>
        <w:pStyle w:val="PSDS-CorpodeTexto0"/>
        <w:ind w:left="708"/>
        <w:jc w:val="both"/>
        <w:rPr>
          <w:rFonts w:ascii="Times New Roman" w:hAnsi="Times New Roman"/>
          <w:bCs/>
          <w:lang w:val="pt-PT"/>
        </w:rPr>
      </w:pPr>
      <w:r w:rsidRPr="00FA3856">
        <w:rPr>
          <w:rFonts w:ascii="Times New Roman" w:hAnsi="Times New Roman"/>
          <w:bCs/>
          <w:lang w:val="pt-PT"/>
        </w:rPr>
        <w:t xml:space="preserve">- </w:t>
      </w:r>
      <w:r w:rsidR="00375E89" w:rsidRPr="00FA3856">
        <w:rPr>
          <w:rFonts w:ascii="Times New Roman" w:hAnsi="Times New Roman"/>
          <w:bCs/>
          <w:lang w:val="pt-PT"/>
        </w:rPr>
        <w:t xml:space="preserve">No caso de J050.COD_NAT </w:t>
      </w:r>
      <w:r w:rsidRPr="00FA3856">
        <w:rPr>
          <w:rFonts w:ascii="Times New Roman" w:hAnsi="Times New Roman"/>
          <w:bCs/>
          <w:lang w:val="pt-PT"/>
        </w:rPr>
        <w:t>igual “4” (Contas de Resultado), for diferente do saldo final da conta em K355.</w:t>
      </w:r>
      <w:r w:rsidR="00375E89" w:rsidRPr="00FA3856">
        <w:rPr>
          <w:rFonts w:ascii="Times New Roman" w:hAnsi="Times New Roman"/>
          <w:color w:val="000000"/>
          <w:shd w:val="clear" w:color="auto" w:fill="FFFFFF"/>
          <w:lang w:val="pt-PT"/>
        </w:rPr>
        <w:t>VL_SLD_FIN</w:t>
      </w:r>
      <w:r w:rsidRPr="00FA3856">
        <w:rPr>
          <w:rFonts w:ascii="Times New Roman" w:hAnsi="Times New Roman"/>
          <w:bCs/>
          <w:lang w:val="pt-PT"/>
        </w:rPr>
        <w:t>.</w:t>
      </w:r>
    </w:p>
    <w:p w:rsidR="00D51B27" w:rsidRPr="00FA3856" w:rsidRDefault="00D51B27" w:rsidP="00D51B27">
      <w:pPr>
        <w:pStyle w:val="PSDS-CorpodeTexto0"/>
        <w:ind w:firstLine="708"/>
        <w:jc w:val="both"/>
        <w:rPr>
          <w:rFonts w:ascii="Times New Roman" w:hAnsi="Times New Roman"/>
          <w:bCs/>
          <w:lang w:val="pt-PT"/>
        </w:rPr>
      </w:pPr>
      <w:r w:rsidRPr="00FA3856">
        <w:rPr>
          <w:rFonts w:ascii="Times New Roman" w:hAnsi="Times New Roman"/>
          <w:bCs/>
          <w:lang w:val="pt-PT"/>
        </w:rPr>
        <w:t>Se a regra não for cumprida, o sistema gera um erro.</w:t>
      </w:r>
    </w:p>
    <w:p w:rsidR="00956C46" w:rsidRPr="00FA3856" w:rsidRDefault="00F004FC" w:rsidP="001A091D">
      <w:pPr>
        <w:spacing w:after="200" w:line="276" w:lineRule="auto"/>
        <w:rPr>
          <w:b/>
          <w:bCs/>
          <w:szCs w:val="20"/>
          <w:lang w:val="pt-PT"/>
        </w:rPr>
      </w:pPr>
      <w:r>
        <w:rPr>
          <w:b/>
          <w:bCs/>
          <w:szCs w:val="20"/>
          <w:lang w:val="pt-PT"/>
        </w:rPr>
        <w:br w:type="page"/>
      </w:r>
      <w:r w:rsidR="00956C46" w:rsidRPr="00FA3856">
        <w:rPr>
          <w:b/>
          <w:bCs/>
          <w:szCs w:val="20"/>
          <w:lang w:val="pt-PT"/>
        </w:rPr>
        <w:lastRenderedPageBreak/>
        <w:t>II – Regras de Validação de Campos:</w:t>
      </w:r>
    </w:p>
    <w:p w:rsidR="00956C46" w:rsidRPr="00FA3856" w:rsidRDefault="00956C46" w:rsidP="00956C46">
      <w:pPr>
        <w:rPr>
          <w:b/>
          <w:bCs/>
          <w:szCs w:val="20"/>
          <w:lang w:val="pt-PT"/>
        </w:rPr>
      </w:pPr>
    </w:p>
    <w:tbl>
      <w:tblPr>
        <w:tblW w:w="16370"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85"/>
        <w:gridCol w:w="3000"/>
        <w:gridCol w:w="12168"/>
        <w:gridCol w:w="717"/>
      </w:tblGrid>
      <w:tr w:rsidR="00956C46" w:rsidRPr="00FA3856" w:rsidTr="0097491E">
        <w:trPr>
          <w:jc w:val="center"/>
        </w:trPr>
        <w:tc>
          <w:tcPr>
            <w:tcW w:w="485" w:type="dxa"/>
            <w:tcBorders>
              <w:top w:val="single" w:sz="6" w:space="0" w:color="auto"/>
              <w:left w:val="single" w:sz="6" w:space="0" w:color="auto"/>
              <w:bottom w:val="single" w:sz="6" w:space="0" w:color="auto"/>
              <w:right w:val="single" w:sz="6" w:space="0" w:color="auto"/>
            </w:tcBorders>
            <w:shd w:val="pct10" w:color="auto" w:fill="FFFFFF"/>
          </w:tcPr>
          <w:p w:rsidR="00956C46" w:rsidRPr="00FA3856" w:rsidRDefault="00956C46" w:rsidP="00723FE4">
            <w:pPr>
              <w:pStyle w:val="PSDS-CorpodeTexto0"/>
              <w:jc w:val="center"/>
              <w:rPr>
                <w:rFonts w:ascii="Times New Roman" w:hAnsi="Times New Roman"/>
                <w:b/>
                <w:bCs/>
              </w:rPr>
            </w:pPr>
            <w:r w:rsidRPr="00FA3856">
              <w:rPr>
                <w:rFonts w:ascii="Times New Roman" w:hAnsi="Times New Roman"/>
                <w:b/>
                <w:bCs/>
              </w:rPr>
              <w:t>Nº</w:t>
            </w:r>
          </w:p>
        </w:tc>
        <w:tc>
          <w:tcPr>
            <w:tcW w:w="3000" w:type="dxa"/>
            <w:tcBorders>
              <w:top w:val="single" w:sz="6" w:space="0" w:color="auto"/>
              <w:left w:val="single" w:sz="6" w:space="0" w:color="auto"/>
              <w:bottom w:val="single" w:sz="6" w:space="0" w:color="auto"/>
              <w:right w:val="single" w:sz="6" w:space="0" w:color="auto"/>
            </w:tcBorders>
            <w:shd w:val="pct10" w:color="auto" w:fill="FFFFFF"/>
          </w:tcPr>
          <w:p w:rsidR="00956C46" w:rsidRPr="00FA3856" w:rsidRDefault="00956C46" w:rsidP="00723FE4">
            <w:pPr>
              <w:pStyle w:val="PSDS-CorpodeTexto0"/>
              <w:jc w:val="center"/>
              <w:rPr>
                <w:rFonts w:ascii="Times New Roman" w:hAnsi="Times New Roman"/>
                <w:b/>
                <w:bCs/>
              </w:rPr>
            </w:pPr>
            <w:r w:rsidRPr="00FA3856">
              <w:rPr>
                <w:rFonts w:ascii="Times New Roman" w:hAnsi="Times New Roman"/>
                <w:b/>
                <w:bCs/>
              </w:rPr>
              <w:t>Campo</w:t>
            </w:r>
          </w:p>
        </w:tc>
        <w:tc>
          <w:tcPr>
            <w:tcW w:w="12168" w:type="dxa"/>
            <w:tcBorders>
              <w:top w:val="single" w:sz="6" w:space="0" w:color="auto"/>
              <w:left w:val="single" w:sz="6" w:space="0" w:color="auto"/>
              <w:bottom w:val="single" w:sz="6" w:space="0" w:color="auto"/>
              <w:right w:val="single" w:sz="6" w:space="0" w:color="auto"/>
            </w:tcBorders>
            <w:shd w:val="pct10" w:color="auto" w:fill="FFFFFF"/>
          </w:tcPr>
          <w:p w:rsidR="00956C46" w:rsidRPr="00FA3856" w:rsidRDefault="00956C46" w:rsidP="00723FE4">
            <w:pPr>
              <w:pStyle w:val="PSDS-CorpodeTexto0"/>
              <w:jc w:val="center"/>
              <w:rPr>
                <w:rFonts w:ascii="Times New Roman" w:hAnsi="Times New Roman"/>
                <w:b/>
                <w:bCs/>
              </w:rPr>
            </w:pPr>
            <w:r w:rsidRPr="00FA3856">
              <w:rPr>
                <w:rFonts w:ascii="Times New Roman" w:hAnsi="Times New Roman"/>
                <w:b/>
                <w:bCs/>
              </w:rPr>
              <w:t>Regras de Validação do Campo</w:t>
            </w:r>
          </w:p>
        </w:tc>
        <w:tc>
          <w:tcPr>
            <w:tcW w:w="717" w:type="dxa"/>
            <w:tcBorders>
              <w:top w:val="single" w:sz="6" w:space="0" w:color="auto"/>
              <w:left w:val="single" w:sz="6" w:space="0" w:color="auto"/>
              <w:bottom w:val="single" w:sz="6" w:space="0" w:color="auto"/>
              <w:right w:val="single" w:sz="6" w:space="0" w:color="auto"/>
            </w:tcBorders>
            <w:shd w:val="pct10" w:color="auto" w:fill="FFFFFF"/>
          </w:tcPr>
          <w:p w:rsidR="00956C46" w:rsidRPr="00FA3856" w:rsidRDefault="00956C46" w:rsidP="00723FE4">
            <w:pPr>
              <w:pStyle w:val="PSDS-CorpodeTexto0"/>
              <w:jc w:val="center"/>
              <w:rPr>
                <w:rFonts w:ascii="Times New Roman" w:hAnsi="Times New Roman"/>
                <w:b/>
                <w:bCs/>
              </w:rPr>
            </w:pPr>
            <w:r w:rsidRPr="00FA3856">
              <w:rPr>
                <w:rFonts w:ascii="Times New Roman" w:hAnsi="Times New Roman"/>
                <w:b/>
                <w:bCs/>
              </w:rPr>
              <w:t>Tipo</w:t>
            </w:r>
          </w:p>
        </w:tc>
      </w:tr>
      <w:tr w:rsidR="00956C46" w:rsidRPr="00FA3856" w:rsidTr="0097491E">
        <w:trPr>
          <w:jc w:val="center"/>
        </w:trPr>
        <w:tc>
          <w:tcPr>
            <w:tcW w:w="485" w:type="dxa"/>
            <w:tcBorders>
              <w:top w:val="single" w:sz="6" w:space="0" w:color="auto"/>
              <w:left w:val="single" w:sz="6" w:space="0" w:color="auto"/>
              <w:bottom w:val="single" w:sz="6" w:space="0" w:color="auto"/>
              <w:right w:val="single" w:sz="6" w:space="0" w:color="auto"/>
            </w:tcBorders>
          </w:tcPr>
          <w:p w:rsidR="00956C46" w:rsidRPr="00FA3856" w:rsidRDefault="00956C46" w:rsidP="00723FE4">
            <w:pPr>
              <w:pStyle w:val="PSDS-CorpodeTexto0"/>
              <w:suppressAutoHyphens w:val="0"/>
              <w:rPr>
                <w:rFonts w:ascii="Times New Roman" w:hAnsi="Times New Roman"/>
                <w:b/>
                <w:bCs/>
                <w:lang w:val="pt-PT"/>
              </w:rPr>
            </w:pPr>
            <w:r w:rsidRPr="00FA3856">
              <w:rPr>
                <w:rFonts w:ascii="Times New Roman" w:hAnsi="Times New Roman"/>
                <w:b/>
                <w:bCs/>
                <w:lang w:val="pt-PT"/>
              </w:rPr>
              <w:t>2</w:t>
            </w:r>
          </w:p>
        </w:tc>
        <w:tc>
          <w:tcPr>
            <w:tcW w:w="3000" w:type="dxa"/>
            <w:tcBorders>
              <w:top w:val="single" w:sz="6" w:space="0" w:color="auto"/>
              <w:left w:val="single" w:sz="6" w:space="0" w:color="auto"/>
              <w:bottom w:val="single" w:sz="6" w:space="0" w:color="auto"/>
              <w:right w:val="single" w:sz="6" w:space="0" w:color="auto"/>
            </w:tcBorders>
          </w:tcPr>
          <w:p w:rsidR="00956C46" w:rsidRPr="00FA3856" w:rsidRDefault="00956C46" w:rsidP="00723FE4">
            <w:pPr>
              <w:pStyle w:val="PSDS-CorpodeTexto0"/>
              <w:rPr>
                <w:rFonts w:ascii="Times New Roman" w:hAnsi="Times New Roman"/>
                <w:lang w:val="pt-PT"/>
              </w:rPr>
            </w:pPr>
            <w:r w:rsidRPr="00FA3856">
              <w:rPr>
                <w:rFonts w:ascii="Times New Roman" w:hAnsi="Times New Roman"/>
                <w:lang w:val="pt-PT"/>
              </w:rPr>
              <w:t>COD_CTA</w:t>
            </w:r>
          </w:p>
        </w:tc>
        <w:tc>
          <w:tcPr>
            <w:tcW w:w="12168" w:type="dxa"/>
            <w:tcBorders>
              <w:top w:val="single" w:sz="6" w:space="0" w:color="auto"/>
              <w:left w:val="single" w:sz="6" w:space="0" w:color="auto"/>
              <w:bottom w:val="single" w:sz="6" w:space="0" w:color="auto"/>
              <w:right w:val="single" w:sz="6" w:space="0" w:color="auto"/>
            </w:tcBorders>
          </w:tcPr>
          <w:p w:rsidR="00956C46" w:rsidRDefault="00956C46" w:rsidP="00723FE4">
            <w:pPr>
              <w:pStyle w:val="PSDS-CorpodeTexto0"/>
              <w:rPr>
                <w:rFonts w:ascii="Times New Roman" w:hAnsi="Times New Roman"/>
              </w:rPr>
            </w:pPr>
            <w:r w:rsidRPr="00FA3856">
              <w:rPr>
                <w:rFonts w:ascii="Times New Roman" w:hAnsi="Times New Roman"/>
                <w:b/>
              </w:rPr>
              <w:t xml:space="preserve">REGRA_RELACIONAMENTO_PATRIMONIAL: </w:t>
            </w:r>
            <w:r w:rsidRPr="00FA3856">
              <w:rPr>
                <w:rFonts w:ascii="Times New Roman" w:hAnsi="Times New Roman"/>
              </w:rPr>
              <w:t>Verifica se a natureza da conta é patrimonial.</w:t>
            </w:r>
          </w:p>
          <w:p w:rsidR="001A091D" w:rsidRDefault="001A091D" w:rsidP="00723FE4">
            <w:pPr>
              <w:pStyle w:val="PSDS-CorpodeTexto0"/>
              <w:rPr>
                <w:rFonts w:ascii="Times New Roman" w:hAnsi="Times New Roman"/>
              </w:rPr>
            </w:pPr>
          </w:p>
          <w:p w:rsidR="001A091D" w:rsidRPr="00FA3856" w:rsidRDefault="001A091D" w:rsidP="00723FE4">
            <w:pPr>
              <w:pStyle w:val="PSDS-CorpodeTexto0"/>
              <w:rPr>
                <w:rFonts w:ascii="Times New Roman" w:hAnsi="Times New Roman"/>
                <w:lang w:val="pt-PT"/>
              </w:rPr>
            </w:pPr>
            <w:r w:rsidRPr="001A091D">
              <w:rPr>
                <w:rFonts w:ascii="Times New Roman" w:hAnsi="Times New Roman"/>
                <w:b/>
                <w:highlight w:val="yellow"/>
              </w:rPr>
              <w:t xml:space="preserve">REGRA_VALIDA_CONTA_BALANCO_DRE: </w:t>
            </w:r>
            <w:r w:rsidR="003571AB">
              <w:rPr>
                <w:rFonts w:ascii="Times New Roman" w:hAnsi="Times New Roman"/>
                <w:highlight w:val="yellow"/>
              </w:rPr>
              <w:t>Verifica se o campo M360.COD_CTA e o campo M36</w:t>
            </w:r>
            <w:r w:rsidRPr="001A091D">
              <w:rPr>
                <w:rFonts w:ascii="Times New Roman" w:hAnsi="Times New Roman"/>
                <w:highlight w:val="yellow"/>
              </w:rPr>
              <w:t>0.COD_CCUS existem no registro K155 ou no registro K355 para o mesmo período de apuração.</w:t>
            </w:r>
          </w:p>
        </w:tc>
        <w:tc>
          <w:tcPr>
            <w:tcW w:w="717" w:type="dxa"/>
            <w:tcBorders>
              <w:top w:val="single" w:sz="6" w:space="0" w:color="auto"/>
              <w:left w:val="single" w:sz="6" w:space="0" w:color="auto"/>
              <w:bottom w:val="single" w:sz="6" w:space="0" w:color="auto"/>
              <w:right w:val="single" w:sz="6" w:space="0" w:color="auto"/>
            </w:tcBorders>
          </w:tcPr>
          <w:p w:rsidR="00956C46" w:rsidRPr="00FA3856" w:rsidRDefault="00956C46" w:rsidP="00723FE4">
            <w:pPr>
              <w:pStyle w:val="PSDS-CorpodeTexto0"/>
              <w:rPr>
                <w:rFonts w:ascii="Times New Roman" w:hAnsi="Times New Roman"/>
                <w:lang w:val="pt-PT"/>
              </w:rPr>
            </w:pPr>
            <w:r w:rsidRPr="00FA3856">
              <w:rPr>
                <w:rFonts w:ascii="Times New Roman" w:hAnsi="Times New Roman"/>
                <w:lang w:val="pt-PT"/>
              </w:rPr>
              <w:t>Aviso</w:t>
            </w:r>
          </w:p>
          <w:p w:rsidR="00956C46" w:rsidRDefault="00956C46" w:rsidP="00723FE4">
            <w:pPr>
              <w:pStyle w:val="PSDS-CorpodeTexto0"/>
              <w:rPr>
                <w:rFonts w:ascii="Times New Roman" w:hAnsi="Times New Roman"/>
                <w:lang w:val="pt-PT"/>
              </w:rPr>
            </w:pPr>
          </w:p>
          <w:p w:rsidR="001A091D" w:rsidRPr="00FA3856" w:rsidRDefault="001A091D" w:rsidP="00723FE4">
            <w:pPr>
              <w:pStyle w:val="PSDS-CorpodeTexto0"/>
              <w:rPr>
                <w:rFonts w:ascii="Times New Roman" w:hAnsi="Times New Roman"/>
                <w:lang w:val="pt-PT"/>
              </w:rPr>
            </w:pPr>
            <w:r>
              <w:rPr>
                <w:rFonts w:ascii="Times New Roman" w:hAnsi="Times New Roman"/>
                <w:lang w:val="pt-PT"/>
              </w:rPr>
              <w:t>Erro</w:t>
            </w:r>
          </w:p>
        </w:tc>
      </w:tr>
      <w:tr w:rsidR="00956C46" w:rsidRPr="00FA3856" w:rsidTr="0097491E">
        <w:trPr>
          <w:jc w:val="center"/>
        </w:trPr>
        <w:tc>
          <w:tcPr>
            <w:tcW w:w="485" w:type="dxa"/>
            <w:tcBorders>
              <w:top w:val="single" w:sz="6" w:space="0" w:color="auto"/>
              <w:left w:val="single" w:sz="6" w:space="0" w:color="auto"/>
              <w:bottom w:val="single" w:sz="6" w:space="0" w:color="auto"/>
              <w:right w:val="single" w:sz="6" w:space="0" w:color="auto"/>
            </w:tcBorders>
          </w:tcPr>
          <w:p w:rsidR="00956C46" w:rsidRPr="00FA3856" w:rsidRDefault="00956C46" w:rsidP="00723FE4">
            <w:pPr>
              <w:pStyle w:val="PSDS-CorpodeTexto0"/>
              <w:suppressAutoHyphens w:val="0"/>
              <w:rPr>
                <w:rFonts w:ascii="Times New Roman" w:hAnsi="Times New Roman"/>
                <w:b/>
                <w:bCs/>
                <w:lang w:val="pt-PT"/>
              </w:rPr>
            </w:pPr>
            <w:r w:rsidRPr="00FA3856">
              <w:rPr>
                <w:rFonts w:ascii="Times New Roman" w:hAnsi="Times New Roman"/>
                <w:b/>
                <w:bCs/>
                <w:lang w:val="pt-PT"/>
              </w:rPr>
              <w:t>4</w:t>
            </w:r>
          </w:p>
        </w:tc>
        <w:tc>
          <w:tcPr>
            <w:tcW w:w="3000" w:type="dxa"/>
            <w:tcBorders>
              <w:top w:val="single" w:sz="6" w:space="0" w:color="auto"/>
              <w:left w:val="single" w:sz="6" w:space="0" w:color="auto"/>
              <w:bottom w:val="single" w:sz="6" w:space="0" w:color="auto"/>
              <w:right w:val="single" w:sz="6" w:space="0" w:color="auto"/>
            </w:tcBorders>
          </w:tcPr>
          <w:p w:rsidR="00956C46" w:rsidRPr="00FA3856" w:rsidRDefault="00956C46" w:rsidP="00723FE4">
            <w:pPr>
              <w:pStyle w:val="PSDS-CorpodeTexto0"/>
              <w:rPr>
                <w:rFonts w:ascii="Times New Roman" w:hAnsi="Times New Roman"/>
                <w:lang w:val="pt-PT"/>
              </w:rPr>
            </w:pPr>
            <w:r w:rsidRPr="00FA3856">
              <w:rPr>
                <w:rFonts w:ascii="Times New Roman" w:hAnsi="Times New Roman"/>
                <w:lang w:val="pt-PT"/>
              </w:rPr>
              <w:t>VL_CTA</w:t>
            </w:r>
          </w:p>
        </w:tc>
        <w:tc>
          <w:tcPr>
            <w:tcW w:w="12168" w:type="dxa"/>
            <w:tcBorders>
              <w:top w:val="single" w:sz="6" w:space="0" w:color="auto"/>
              <w:left w:val="single" w:sz="6" w:space="0" w:color="auto"/>
              <w:bottom w:val="single" w:sz="6" w:space="0" w:color="auto"/>
              <w:right w:val="single" w:sz="6" w:space="0" w:color="auto"/>
            </w:tcBorders>
          </w:tcPr>
          <w:p w:rsidR="00956C46" w:rsidRPr="00FA3856" w:rsidRDefault="00956C46" w:rsidP="00723FE4">
            <w:pPr>
              <w:pStyle w:val="PSDS-CorpodeTexto0"/>
              <w:rPr>
                <w:rFonts w:ascii="Times New Roman" w:hAnsi="Times New Roman"/>
              </w:rPr>
            </w:pPr>
            <w:r w:rsidRPr="00FA3856">
              <w:rPr>
                <w:rFonts w:ascii="Times New Roman" w:hAnsi="Times New Roman"/>
                <w:b/>
              </w:rPr>
              <w:t xml:space="preserve">REGRA_SALDO_CONTABIL_MENOR: </w:t>
            </w:r>
            <w:r w:rsidRPr="00FA3856">
              <w:rPr>
                <w:rFonts w:ascii="Times New Roman" w:hAnsi="Times New Roman"/>
              </w:rPr>
              <w:t xml:space="preserve">Verifica se </w:t>
            </w:r>
            <w:r w:rsidR="00375E89" w:rsidRPr="00FA3856">
              <w:rPr>
                <w:rFonts w:ascii="Times New Roman" w:hAnsi="Times New Roman"/>
              </w:rPr>
              <w:t xml:space="preserve">M360.VL_CTA </w:t>
            </w:r>
            <w:r w:rsidRPr="00FA3856">
              <w:rPr>
                <w:rFonts w:ascii="Times New Roman" w:hAnsi="Times New Roman"/>
              </w:rPr>
              <w:t>é menor ou igual ao saldo final da conta no período menos os outros lançament</w:t>
            </w:r>
            <w:r w:rsidR="001E0CF5" w:rsidRPr="00FA3856">
              <w:rPr>
                <w:rFonts w:ascii="Times New Roman" w:hAnsi="Times New Roman"/>
              </w:rPr>
              <w:t>os no mesmo período de apuração para a parte A.</w:t>
            </w:r>
          </w:p>
          <w:p w:rsidR="00956C46" w:rsidRPr="00FA3856" w:rsidRDefault="00956C46" w:rsidP="00723FE4">
            <w:pPr>
              <w:pStyle w:val="PSDS-CorpodeTexto0"/>
              <w:rPr>
                <w:rFonts w:ascii="Times New Roman" w:hAnsi="Times New Roman"/>
                <w:b/>
              </w:rPr>
            </w:pPr>
          </w:p>
          <w:p w:rsidR="00956C46" w:rsidRPr="00FA3856" w:rsidRDefault="00956C46" w:rsidP="00723FE4">
            <w:pPr>
              <w:pStyle w:val="PSDS-CorpodeTexto0"/>
              <w:rPr>
                <w:rFonts w:ascii="Times New Roman" w:hAnsi="Times New Roman"/>
                <w:lang w:val="pt-PT"/>
              </w:rPr>
            </w:pPr>
            <w:r w:rsidRPr="00FA3856">
              <w:rPr>
                <w:rFonts w:ascii="Times New Roman" w:hAnsi="Times New Roman"/>
                <w:b/>
              </w:rPr>
              <w:t>REGRA_OBRIGATORIA_M310_VL_CTA:</w:t>
            </w:r>
            <w:r w:rsidRPr="00FA3856">
              <w:rPr>
                <w:rFonts w:ascii="Times New Roman" w:hAnsi="Times New Roman"/>
              </w:rPr>
              <w:t xml:space="preserve"> Verifica se </w:t>
            </w:r>
            <w:r w:rsidR="00375E89" w:rsidRPr="00FA3856">
              <w:rPr>
                <w:rFonts w:ascii="Times New Roman" w:hAnsi="Times New Roman"/>
              </w:rPr>
              <w:t xml:space="preserve">M360.VL_CTA </w:t>
            </w:r>
            <w:r w:rsidRPr="00FA3856">
              <w:rPr>
                <w:rFonts w:ascii="Times New Roman" w:hAnsi="Times New Roman"/>
              </w:rPr>
              <w:t>foi preenchido quando M300.</w:t>
            </w:r>
            <w:r w:rsidRPr="00FA3856">
              <w:rPr>
                <w:rFonts w:ascii="Times New Roman" w:hAnsi="Times New Roman"/>
                <w:lang w:val="pt-PT"/>
              </w:rPr>
              <w:t xml:space="preserve"> IND_RELACAO for igual a “2” (com conta contábil).</w:t>
            </w:r>
          </w:p>
        </w:tc>
        <w:tc>
          <w:tcPr>
            <w:tcW w:w="717" w:type="dxa"/>
            <w:tcBorders>
              <w:top w:val="single" w:sz="6" w:space="0" w:color="auto"/>
              <w:left w:val="single" w:sz="6" w:space="0" w:color="auto"/>
              <w:bottom w:val="single" w:sz="6" w:space="0" w:color="auto"/>
              <w:right w:val="single" w:sz="6" w:space="0" w:color="auto"/>
            </w:tcBorders>
          </w:tcPr>
          <w:p w:rsidR="00956C46" w:rsidRPr="00FA3856" w:rsidRDefault="00956C46" w:rsidP="00723FE4">
            <w:pPr>
              <w:pStyle w:val="PSDS-CorpodeTexto0"/>
              <w:rPr>
                <w:rFonts w:ascii="Times New Roman" w:hAnsi="Times New Roman"/>
                <w:lang w:val="pt-PT"/>
              </w:rPr>
            </w:pPr>
            <w:r w:rsidRPr="00FA3856">
              <w:rPr>
                <w:rFonts w:ascii="Times New Roman" w:hAnsi="Times New Roman"/>
                <w:lang w:val="pt-PT"/>
              </w:rPr>
              <w:t>Erro</w:t>
            </w:r>
          </w:p>
          <w:p w:rsidR="00956C46" w:rsidRPr="00FA3856" w:rsidRDefault="00956C46" w:rsidP="00723FE4">
            <w:pPr>
              <w:pStyle w:val="PSDS-CorpodeTexto0"/>
              <w:rPr>
                <w:rFonts w:ascii="Times New Roman" w:hAnsi="Times New Roman"/>
                <w:lang w:val="pt-PT"/>
              </w:rPr>
            </w:pPr>
          </w:p>
          <w:p w:rsidR="00D92672" w:rsidRPr="00FA3856" w:rsidRDefault="00D92672" w:rsidP="00723FE4">
            <w:pPr>
              <w:pStyle w:val="PSDS-CorpodeTexto0"/>
              <w:rPr>
                <w:rFonts w:ascii="Times New Roman" w:hAnsi="Times New Roman"/>
                <w:lang w:val="pt-PT"/>
              </w:rPr>
            </w:pPr>
          </w:p>
          <w:p w:rsidR="00956C46" w:rsidRPr="00FA3856" w:rsidRDefault="00956C46" w:rsidP="00723FE4">
            <w:pPr>
              <w:pStyle w:val="PSDS-CorpodeTexto0"/>
              <w:rPr>
                <w:rFonts w:ascii="Times New Roman" w:hAnsi="Times New Roman"/>
                <w:lang w:val="pt-PT"/>
              </w:rPr>
            </w:pPr>
            <w:r w:rsidRPr="00FA3856">
              <w:rPr>
                <w:rFonts w:ascii="Times New Roman" w:hAnsi="Times New Roman"/>
                <w:lang w:val="pt-PT"/>
              </w:rPr>
              <w:t>Erro</w:t>
            </w:r>
          </w:p>
          <w:p w:rsidR="00956C46" w:rsidRPr="00FA3856" w:rsidRDefault="00956C46" w:rsidP="00723FE4">
            <w:pPr>
              <w:pStyle w:val="PSDS-CorpodeTexto0"/>
              <w:rPr>
                <w:rFonts w:ascii="Times New Roman" w:hAnsi="Times New Roman"/>
                <w:lang w:val="pt-PT"/>
              </w:rPr>
            </w:pPr>
          </w:p>
        </w:tc>
      </w:tr>
      <w:tr w:rsidR="00956C46" w:rsidRPr="00FA3856" w:rsidTr="0097491E">
        <w:trPr>
          <w:jc w:val="center"/>
        </w:trPr>
        <w:tc>
          <w:tcPr>
            <w:tcW w:w="485" w:type="dxa"/>
            <w:tcBorders>
              <w:top w:val="single" w:sz="6" w:space="0" w:color="auto"/>
              <w:left w:val="single" w:sz="6" w:space="0" w:color="auto"/>
              <w:bottom w:val="single" w:sz="6" w:space="0" w:color="auto"/>
              <w:right w:val="single" w:sz="6" w:space="0" w:color="auto"/>
            </w:tcBorders>
          </w:tcPr>
          <w:p w:rsidR="00956C46" w:rsidRPr="00FA3856" w:rsidRDefault="00956C46" w:rsidP="00723FE4">
            <w:pPr>
              <w:pStyle w:val="PSDS-CorpodeTexto0"/>
              <w:suppressAutoHyphens w:val="0"/>
              <w:rPr>
                <w:rFonts w:ascii="Times New Roman" w:hAnsi="Times New Roman"/>
                <w:b/>
                <w:bCs/>
                <w:lang w:val="pt-PT"/>
              </w:rPr>
            </w:pPr>
            <w:r w:rsidRPr="00FA3856">
              <w:rPr>
                <w:rFonts w:ascii="Times New Roman" w:hAnsi="Times New Roman"/>
                <w:b/>
                <w:bCs/>
                <w:lang w:val="pt-PT"/>
              </w:rPr>
              <w:t>5</w:t>
            </w:r>
          </w:p>
        </w:tc>
        <w:tc>
          <w:tcPr>
            <w:tcW w:w="3000" w:type="dxa"/>
            <w:tcBorders>
              <w:top w:val="single" w:sz="6" w:space="0" w:color="auto"/>
              <w:left w:val="single" w:sz="6" w:space="0" w:color="auto"/>
              <w:bottom w:val="single" w:sz="6" w:space="0" w:color="auto"/>
              <w:right w:val="single" w:sz="6" w:space="0" w:color="auto"/>
            </w:tcBorders>
          </w:tcPr>
          <w:p w:rsidR="00956C46" w:rsidRPr="00FA3856" w:rsidRDefault="00956C46" w:rsidP="00723FE4">
            <w:pPr>
              <w:pStyle w:val="PSDS-CorpodeTexto0"/>
              <w:rPr>
                <w:rFonts w:ascii="Times New Roman" w:hAnsi="Times New Roman"/>
                <w:lang w:val="pt-PT"/>
              </w:rPr>
            </w:pPr>
            <w:r w:rsidRPr="00FA3856">
              <w:rPr>
                <w:rFonts w:ascii="Times New Roman" w:hAnsi="Times New Roman"/>
                <w:lang w:val="pt-PT"/>
              </w:rPr>
              <w:t>IND_VL_CTA</w:t>
            </w:r>
          </w:p>
        </w:tc>
        <w:tc>
          <w:tcPr>
            <w:tcW w:w="12168" w:type="dxa"/>
            <w:tcBorders>
              <w:top w:val="single" w:sz="6" w:space="0" w:color="auto"/>
              <w:left w:val="single" w:sz="6" w:space="0" w:color="auto"/>
              <w:bottom w:val="single" w:sz="6" w:space="0" w:color="auto"/>
              <w:right w:val="single" w:sz="6" w:space="0" w:color="auto"/>
            </w:tcBorders>
          </w:tcPr>
          <w:p w:rsidR="00956C46" w:rsidRPr="00FA3856" w:rsidRDefault="00956C46" w:rsidP="00723FE4">
            <w:pPr>
              <w:pStyle w:val="PSDS-CorpodeTexto0"/>
              <w:rPr>
                <w:rFonts w:ascii="Times New Roman" w:hAnsi="Times New Roman"/>
                <w:lang w:val="pt-PT"/>
              </w:rPr>
            </w:pPr>
            <w:r w:rsidRPr="00FA3856">
              <w:rPr>
                <w:rFonts w:ascii="Times New Roman" w:hAnsi="Times New Roman"/>
                <w:b/>
              </w:rPr>
              <w:t xml:space="preserve">REGRA_INDICADOR_CONTABIL_DIFERENTE: </w:t>
            </w:r>
            <w:r w:rsidRPr="00FA3856">
              <w:rPr>
                <w:rFonts w:ascii="Times New Roman" w:hAnsi="Times New Roman"/>
              </w:rPr>
              <w:t xml:space="preserve">Verifica se o indicador do saldo final da conta no período é igual ao indicador do valor da conta utilizado no relacionamento </w:t>
            </w:r>
            <w:r w:rsidR="00375E89" w:rsidRPr="00FA3856">
              <w:rPr>
                <w:rFonts w:ascii="Times New Roman" w:hAnsi="Times New Roman"/>
              </w:rPr>
              <w:t>M360.IND_VL_CTA</w:t>
            </w:r>
            <w:r w:rsidRPr="00FA3856">
              <w:rPr>
                <w:rFonts w:ascii="Times New Roman" w:hAnsi="Times New Roman"/>
              </w:rPr>
              <w:t>.</w:t>
            </w:r>
          </w:p>
        </w:tc>
        <w:tc>
          <w:tcPr>
            <w:tcW w:w="717" w:type="dxa"/>
            <w:tcBorders>
              <w:top w:val="single" w:sz="6" w:space="0" w:color="auto"/>
              <w:left w:val="single" w:sz="6" w:space="0" w:color="auto"/>
              <w:bottom w:val="single" w:sz="6" w:space="0" w:color="auto"/>
              <w:right w:val="single" w:sz="6" w:space="0" w:color="auto"/>
            </w:tcBorders>
          </w:tcPr>
          <w:p w:rsidR="00956C46" w:rsidRPr="00FA3856" w:rsidRDefault="00215A82" w:rsidP="00723FE4">
            <w:pPr>
              <w:pStyle w:val="PSDS-CorpodeTexto0"/>
              <w:rPr>
                <w:rFonts w:ascii="Times New Roman" w:hAnsi="Times New Roman"/>
                <w:lang w:val="pt-PT"/>
              </w:rPr>
            </w:pPr>
            <w:r>
              <w:rPr>
                <w:rFonts w:ascii="Times New Roman" w:hAnsi="Times New Roman"/>
                <w:lang w:val="pt-PT"/>
              </w:rPr>
              <w:t>Aviso</w:t>
            </w:r>
          </w:p>
        </w:tc>
      </w:tr>
    </w:tbl>
    <w:p w:rsidR="00956C46" w:rsidRPr="00FA3856" w:rsidRDefault="00956C46" w:rsidP="007366DB">
      <w:pPr>
        <w:rPr>
          <w:szCs w:val="20"/>
        </w:rPr>
      </w:pPr>
    </w:p>
    <w:p w:rsidR="00342F1D" w:rsidRDefault="0097491E" w:rsidP="0097491E">
      <w:pPr>
        <w:pStyle w:val="Corpodetexto"/>
        <w:rPr>
          <w:rFonts w:ascii="Times New Roman" w:hAnsi="Times New Roman"/>
          <w:b/>
          <w:color w:val="002060"/>
          <w:szCs w:val="20"/>
        </w:rPr>
      </w:pPr>
      <w:r w:rsidRPr="00FA3856">
        <w:rPr>
          <w:rFonts w:ascii="Times New Roman" w:hAnsi="Times New Roman"/>
          <w:b/>
          <w:color w:val="002060"/>
          <w:szCs w:val="20"/>
        </w:rPr>
        <w:t xml:space="preserve">Exemplo de Preenchimento: </w:t>
      </w:r>
    </w:p>
    <w:p w:rsidR="00342F1D" w:rsidRDefault="00342F1D" w:rsidP="0097491E">
      <w:pPr>
        <w:pStyle w:val="Corpodetexto"/>
        <w:rPr>
          <w:rFonts w:ascii="Times New Roman" w:hAnsi="Times New Roman"/>
          <w:b/>
          <w:color w:val="002060"/>
          <w:szCs w:val="20"/>
        </w:rPr>
      </w:pPr>
    </w:p>
    <w:p w:rsidR="0097491E" w:rsidRPr="00FA3856" w:rsidRDefault="0097491E" w:rsidP="0097491E">
      <w:pPr>
        <w:pStyle w:val="Corpodetexto"/>
        <w:rPr>
          <w:rFonts w:ascii="Times New Roman" w:hAnsi="Times New Roman"/>
          <w:b/>
          <w:color w:val="002060"/>
          <w:szCs w:val="20"/>
        </w:rPr>
      </w:pPr>
      <w:r w:rsidRPr="00FA3856">
        <w:rPr>
          <w:rFonts w:ascii="Times New Roman" w:hAnsi="Times New Roman"/>
          <w:b/>
          <w:color w:val="002060"/>
          <w:szCs w:val="20"/>
        </w:rPr>
        <w:t>|M360|1.01.01.01||1000,00|D|</w:t>
      </w:r>
    </w:p>
    <w:p w:rsidR="0097491E" w:rsidRPr="00FA3856" w:rsidRDefault="0097491E" w:rsidP="0097491E">
      <w:pPr>
        <w:pStyle w:val="Corpodetexto"/>
        <w:ind w:firstLine="708"/>
        <w:rPr>
          <w:rFonts w:ascii="Times New Roman" w:hAnsi="Times New Roman"/>
          <w:color w:val="002060"/>
          <w:szCs w:val="20"/>
        </w:rPr>
      </w:pPr>
      <w:r w:rsidRPr="00FA3856">
        <w:rPr>
          <w:rFonts w:ascii="Times New Roman" w:hAnsi="Times New Roman"/>
          <w:color w:val="002060"/>
          <w:szCs w:val="20"/>
        </w:rPr>
        <w:t>|M360|: Identificação do tipo do registro.</w:t>
      </w:r>
    </w:p>
    <w:p w:rsidR="0097491E" w:rsidRPr="00FA3856" w:rsidRDefault="0097491E" w:rsidP="0097491E">
      <w:pPr>
        <w:pStyle w:val="Corpodetexto"/>
        <w:ind w:firstLine="708"/>
        <w:rPr>
          <w:rFonts w:ascii="Times New Roman" w:hAnsi="Times New Roman"/>
          <w:color w:val="002060"/>
          <w:szCs w:val="20"/>
        </w:rPr>
      </w:pPr>
      <w:r w:rsidRPr="00FA3856">
        <w:rPr>
          <w:rFonts w:ascii="Times New Roman" w:hAnsi="Times New Roman"/>
          <w:color w:val="002060"/>
          <w:szCs w:val="20"/>
        </w:rPr>
        <w:t>|1.01.01.01|: Código da conta contábil.</w:t>
      </w:r>
    </w:p>
    <w:p w:rsidR="0097491E" w:rsidRPr="00FA3856" w:rsidRDefault="0097491E" w:rsidP="0097491E">
      <w:pPr>
        <w:pStyle w:val="Corpodetexto"/>
        <w:ind w:firstLine="708"/>
        <w:rPr>
          <w:rFonts w:ascii="Times New Roman" w:hAnsi="Times New Roman"/>
          <w:color w:val="002060"/>
          <w:szCs w:val="20"/>
        </w:rPr>
      </w:pPr>
      <w:r w:rsidRPr="00FA3856">
        <w:rPr>
          <w:rFonts w:ascii="Times New Roman" w:hAnsi="Times New Roman"/>
          <w:color w:val="002060"/>
          <w:szCs w:val="20"/>
        </w:rPr>
        <w:t>||: Código do centro de custos (não há).</w:t>
      </w:r>
    </w:p>
    <w:p w:rsidR="0097491E" w:rsidRPr="00FA3856" w:rsidRDefault="0097491E" w:rsidP="0097491E">
      <w:pPr>
        <w:pStyle w:val="Corpodetexto"/>
        <w:ind w:firstLine="708"/>
        <w:rPr>
          <w:rFonts w:ascii="Times New Roman" w:hAnsi="Times New Roman"/>
          <w:color w:val="002060"/>
          <w:szCs w:val="20"/>
        </w:rPr>
      </w:pPr>
      <w:r w:rsidRPr="00FA3856">
        <w:rPr>
          <w:rFonts w:ascii="Times New Roman" w:hAnsi="Times New Roman"/>
          <w:color w:val="002060"/>
          <w:szCs w:val="20"/>
        </w:rPr>
        <w:t>|1000,00|: Valor da conta utilizado no lançamento da parte A do e-Lacs (R$ 1.000,00).</w:t>
      </w:r>
    </w:p>
    <w:p w:rsidR="0097491E" w:rsidRPr="00FA3856" w:rsidRDefault="0097491E" w:rsidP="0097491E">
      <w:pPr>
        <w:pStyle w:val="Corpodetexto"/>
        <w:ind w:firstLine="708"/>
        <w:rPr>
          <w:rFonts w:ascii="Times New Roman" w:hAnsi="Times New Roman"/>
          <w:szCs w:val="20"/>
          <w:lang w:val="pt-PT"/>
        </w:rPr>
      </w:pPr>
      <w:r w:rsidRPr="00FA3856">
        <w:rPr>
          <w:rFonts w:ascii="Times New Roman" w:hAnsi="Times New Roman"/>
          <w:color w:val="002060"/>
          <w:szCs w:val="20"/>
        </w:rPr>
        <w:t>|D|: Indicador do valor da conta utilizado no lançamento da parte A do e-Lacs (D = Devedor).</w:t>
      </w:r>
    </w:p>
    <w:p w:rsidR="00161EF7" w:rsidRPr="00FA3856" w:rsidRDefault="00161EF7">
      <w:pPr>
        <w:rPr>
          <w:b/>
          <w:bCs/>
          <w:color w:val="0000FF"/>
          <w:szCs w:val="20"/>
        </w:rPr>
      </w:pPr>
      <w:r w:rsidRPr="00FA3856">
        <w:rPr>
          <w:color w:val="0000FF"/>
          <w:szCs w:val="20"/>
        </w:rPr>
        <w:br w:type="page"/>
      </w:r>
    </w:p>
    <w:p w:rsidR="007366DB" w:rsidRPr="00FA3856" w:rsidRDefault="007366DB" w:rsidP="00867F54">
      <w:pPr>
        <w:pStyle w:val="Ttulo4"/>
      </w:pPr>
      <w:bookmarkStart w:id="207" w:name="_Toc479713733"/>
      <w:r w:rsidRPr="00FA3856">
        <w:lastRenderedPageBreak/>
        <w:t>Registro M362: Números dos Lançamentos Relacionados à Conta Contábil</w:t>
      </w:r>
      <w:bookmarkEnd w:id="207"/>
    </w:p>
    <w:p w:rsidR="007366DB" w:rsidRPr="00FA3856" w:rsidRDefault="007366DB" w:rsidP="007366DB">
      <w:pPr>
        <w:rPr>
          <w:szCs w:val="20"/>
        </w:rPr>
      </w:pPr>
    </w:p>
    <w:p w:rsidR="00C73500" w:rsidRPr="00FA3856" w:rsidRDefault="00C73500" w:rsidP="00C73500">
      <w:pPr>
        <w:ind w:firstLine="708"/>
        <w:jc w:val="both"/>
        <w:rPr>
          <w:szCs w:val="20"/>
          <w:lang w:val="pt-PT"/>
        </w:rPr>
      </w:pPr>
      <w:r w:rsidRPr="00FA3856">
        <w:rPr>
          <w:szCs w:val="20"/>
        </w:rPr>
        <w:t>Esse registro é de preenchimento facultativo para PJ Componente do Sistema Financeiro (</w:t>
      </w:r>
      <w:r w:rsidRPr="00FA3856">
        <w:rPr>
          <w:bCs/>
          <w:szCs w:val="20"/>
          <w:lang w:val="pt-PT"/>
        </w:rPr>
        <w:t>0010.</w:t>
      </w:r>
      <w:r w:rsidRPr="00FA3856">
        <w:rPr>
          <w:szCs w:val="20"/>
        </w:rPr>
        <w:t>COD_QUALIF_PJ = “02”) ou Sociedades Seguradoras, de Capitalização ou Entidade Aberta de Previdência Complementar (</w:t>
      </w:r>
      <w:r w:rsidRPr="00FA3856">
        <w:rPr>
          <w:bCs/>
          <w:szCs w:val="20"/>
          <w:lang w:val="pt-PT"/>
        </w:rPr>
        <w:t>0010.</w:t>
      </w:r>
      <w:r w:rsidRPr="00FA3856">
        <w:rPr>
          <w:szCs w:val="20"/>
        </w:rPr>
        <w:t>COD_QUALIF_PJ = “03”)</w:t>
      </w:r>
      <w:r w:rsidRPr="00FA3856">
        <w:rPr>
          <w:szCs w:val="20"/>
          <w:lang w:val="pt-PT"/>
        </w:rPr>
        <w:t>, que utilizam a forma de escrituração “B” (Balancetes Diários) na ECD e não informam lançamentos.</w:t>
      </w:r>
    </w:p>
    <w:p w:rsidR="00544BA2" w:rsidRPr="00FA3856" w:rsidRDefault="00544BA2" w:rsidP="00544BA2">
      <w:pPr>
        <w:rPr>
          <w:szCs w:val="20"/>
          <w:lang w:val="pt-PT"/>
        </w:rPr>
      </w:pPr>
    </w:p>
    <w:p w:rsidR="00544BA2" w:rsidRPr="00FA3856" w:rsidRDefault="00544BA2" w:rsidP="00544BA2">
      <w:pPr>
        <w:ind w:firstLine="708"/>
        <w:rPr>
          <w:szCs w:val="20"/>
        </w:rPr>
      </w:pPr>
      <w:r w:rsidRPr="00FA3856">
        <w:rPr>
          <w:szCs w:val="20"/>
        </w:rPr>
        <w:t xml:space="preserve">Nos demais casos, o registro apresenta o número dos lançamentos contábeis </w:t>
      </w:r>
      <w:r w:rsidR="00CC7CDF" w:rsidRPr="00FA3856">
        <w:rPr>
          <w:szCs w:val="20"/>
        </w:rPr>
        <w:t xml:space="preserve">que foram informados na ECD </w:t>
      </w:r>
      <w:r w:rsidRPr="00FA3856">
        <w:rPr>
          <w:szCs w:val="20"/>
        </w:rPr>
        <w:t>relacionados ao lançamento da conta da parte A, quando não for utilizado, no caso de conta patrimonial:</w:t>
      </w:r>
    </w:p>
    <w:p w:rsidR="001D6D84" w:rsidRPr="00FA3856" w:rsidRDefault="001D6D84" w:rsidP="00544BA2">
      <w:pPr>
        <w:rPr>
          <w:szCs w:val="20"/>
        </w:rPr>
      </w:pPr>
    </w:p>
    <w:p w:rsidR="001D6D84" w:rsidRPr="00FA3856" w:rsidRDefault="001D6D84" w:rsidP="001D6D84">
      <w:pPr>
        <w:ind w:firstLine="708"/>
        <w:rPr>
          <w:szCs w:val="20"/>
        </w:rPr>
      </w:pPr>
      <w:r w:rsidRPr="00FA3856">
        <w:rPr>
          <w:szCs w:val="20"/>
        </w:rPr>
        <w:t>I)  O saldo total da conta contábil</w:t>
      </w:r>
      <w:r w:rsidR="009501C0" w:rsidRPr="00FA3856">
        <w:rPr>
          <w:szCs w:val="20"/>
        </w:rPr>
        <w:t xml:space="preserve"> (M360.VL_CTA &lt; K155.VL_SLD_FIN)</w:t>
      </w:r>
      <w:r w:rsidRPr="00FA3856">
        <w:rPr>
          <w:szCs w:val="20"/>
        </w:rPr>
        <w:t xml:space="preserve">; ou </w:t>
      </w:r>
    </w:p>
    <w:p w:rsidR="001D6D84" w:rsidRPr="00FA3856" w:rsidRDefault="001D6D84" w:rsidP="001D6D84">
      <w:pPr>
        <w:ind w:firstLine="708"/>
        <w:rPr>
          <w:szCs w:val="20"/>
        </w:rPr>
      </w:pPr>
      <w:r w:rsidRPr="00FA3856">
        <w:rPr>
          <w:szCs w:val="20"/>
        </w:rPr>
        <w:t>II) O saldo do período (saldo final – saldo inicial) da conta contábil</w:t>
      </w:r>
      <w:r w:rsidR="009501C0" w:rsidRPr="00FA3856">
        <w:rPr>
          <w:szCs w:val="20"/>
        </w:rPr>
        <w:t xml:space="preserve"> (M360.VL_CTA &lt; (K155.VL_SLD_FIN – K155.VL_SLD_INI)</w:t>
      </w:r>
      <w:r w:rsidRPr="00FA3856">
        <w:rPr>
          <w:szCs w:val="20"/>
        </w:rPr>
        <w:t xml:space="preserve">; ou </w:t>
      </w:r>
    </w:p>
    <w:p w:rsidR="001D6D84" w:rsidRPr="00FA3856" w:rsidRDefault="009501C0" w:rsidP="001D6D84">
      <w:pPr>
        <w:ind w:firstLine="708"/>
        <w:rPr>
          <w:szCs w:val="20"/>
        </w:rPr>
      </w:pPr>
      <w:r w:rsidRPr="00FA3856">
        <w:rPr>
          <w:szCs w:val="20"/>
        </w:rPr>
        <w:t>III) O total de débitos</w:t>
      </w:r>
      <w:r w:rsidR="001D6D84" w:rsidRPr="00FA3856">
        <w:rPr>
          <w:szCs w:val="20"/>
        </w:rPr>
        <w:t xml:space="preserve"> da conta contábil no período</w:t>
      </w:r>
      <w:r w:rsidRPr="00FA3856">
        <w:rPr>
          <w:szCs w:val="20"/>
        </w:rPr>
        <w:t xml:space="preserve"> (M360.VL_CTA &lt; K155.VL_DEB)</w:t>
      </w:r>
      <w:r w:rsidR="001D6D84" w:rsidRPr="00FA3856">
        <w:rPr>
          <w:szCs w:val="20"/>
        </w:rPr>
        <w:t xml:space="preserve">; ou </w:t>
      </w:r>
    </w:p>
    <w:p w:rsidR="001D6D84" w:rsidRPr="00FA3856" w:rsidRDefault="009501C0" w:rsidP="001D6D84">
      <w:pPr>
        <w:ind w:firstLine="708"/>
        <w:rPr>
          <w:szCs w:val="20"/>
        </w:rPr>
      </w:pPr>
      <w:r w:rsidRPr="00FA3856">
        <w:rPr>
          <w:szCs w:val="20"/>
        </w:rPr>
        <w:t>IV) O total de créditos</w:t>
      </w:r>
      <w:r w:rsidR="003B394A" w:rsidRPr="00FA3856">
        <w:rPr>
          <w:szCs w:val="20"/>
        </w:rPr>
        <w:t xml:space="preserve"> da conta</w:t>
      </w:r>
      <w:r w:rsidR="001D6D84" w:rsidRPr="00FA3856">
        <w:rPr>
          <w:szCs w:val="20"/>
        </w:rPr>
        <w:t xml:space="preserve"> contábil no período</w:t>
      </w:r>
      <w:r w:rsidRPr="00FA3856">
        <w:rPr>
          <w:szCs w:val="20"/>
        </w:rPr>
        <w:t xml:space="preserve"> (M360.VL_CTA &lt; K155.VL_CRED)</w:t>
      </w:r>
      <w:r w:rsidR="001D6D84" w:rsidRPr="00FA3856">
        <w:rPr>
          <w:szCs w:val="20"/>
        </w:rPr>
        <w:t>.</w:t>
      </w:r>
    </w:p>
    <w:p w:rsidR="009501C0" w:rsidRPr="00FA3856" w:rsidRDefault="009501C0" w:rsidP="001D6D84">
      <w:pPr>
        <w:ind w:firstLine="708"/>
        <w:rPr>
          <w:szCs w:val="20"/>
        </w:rPr>
      </w:pPr>
    </w:p>
    <w:p w:rsidR="009501C0" w:rsidRPr="00FA3856" w:rsidRDefault="009501C0" w:rsidP="009501C0">
      <w:pPr>
        <w:ind w:firstLine="708"/>
        <w:rPr>
          <w:szCs w:val="20"/>
        </w:rPr>
      </w:pPr>
      <w:r w:rsidRPr="00FA3856">
        <w:rPr>
          <w:szCs w:val="20"/>
        </w:rPr>
        <w:t xml:space="preserve">Apresenta o número dos lançamentos contábeis </w:t>
      </w:r>
      <w:r w:rsidR="007B172A" w:rsidRPr="00FA3856">
        <w:rPr>
          <w:szCs w:val="20"/>
        </w:rPr>
        <w:t xml:space="preserve">do período referenciado no registro M030, </w:t>
      </w:r>
      <w:r w:rsidRPr="00FA3856">
        <w:rPr>
          <w:szCs w:val="20"/>
        </w:rPr>
        <w:t>relacionados ao lançamento da conta da parte A, quando não for utilizado, no caso de conta resultado:</w:t>
      </w:r>
    </w:p>
    <w:p w:rsidR="009501C0" w:rsidRPr="00FA3856" w:rsidRDefault="009501C0" w:rsidP="009501C0">
      <w:pPr>
        <w:ind w:firstLine="708"/>
        <w:rPr>
          <w:szCs w:val="20"/>
        </w:rPr>
      </w:pPr>
      <w:r w:rsidRPr="00FA3856">
        <w:rPr>
          <w:szCs w:val="20"/>
        </w:rPr>
        <w:t xml:space="preserve"> </w:t>
      </w:r>
    </w:p>
    <w:p w:rsidR="009501C0" w:rsidRPr="00FA3856" w:rsidRDefault="009501C0" w:rsidP="009501C0">
      <w:pPr>
        <w:ind w:firstLine="708"/>
        <w:rPr>
          <w:szCs w:val="20"/>
        </w:rPr>
      </w:pPr>
      <w:r w:rsidRPr="00FA3856">
        <w:rPr>
          <w:szCs w:val="20"/>
        </w:rPr>
        <w:t>I)  O saldo total da conta contábil (M360.VL_CTA &lt; K355.VL_SLD_FIN).</w:t>
      </w:r>
    </w:p>
    <w:p w:rsidR="00956C46" w:rsidRPr="00FA3856" w:rsidRDefault="00956C46" w:rsidP="007366DB">
      <w:pPr>
        <w:rPr>
          <w:szCs w:val="20"/>
        </w:rPr>
      </w:pPr>
    </w:p>
    <w:p w:rsidR="00544BA2" w:rsidRPr="00FA3856" w:rsidRDefault="00544BA2" w:rsidP="00544BA2">
      <w:pPr>
        <w:ind w:firstLine="708"/>
        <w:rPr>
          <w:szCs w:val="20"/>
        </w:rPr>
      </w:pPr>
      <w:r w:rsidRPr="00FA3856">
        <w:rPr>
          <w:b/>
          <w:szCs w:val="20"/>
        </w:rPr>
        <w:t xml:space="preserve">Observação: </w:t>
      </w:r>
      <w:r w:rsidRPr="00FA3856">
        <w:rPr>
          <w:szCs w:val="20"/>
        </w:rPr>
        <w:t>No caso de apuração anual da CSLL, se os números dos lançamentos já foram informados em períodos de apuraç</w:t>
      </w:r>
      <w:r w:rsidR="001B58FE">
        <w:rPr>
          <w:szCs w:val="20"/>
        </w:rPr>
        <w:t>ão anteriores, não é necessário</w:t>
      </w:r>
      <w:r w:rsidRPr="00FA3856">
        <w:rPr>
          <w:szCs w:val="20"/>
        </w:rPr>
        <w:t xml:space="preserve"> repeti-los.</w:t>
      </w:r>
    </w:p>
    <w:p w:rsidR="007366DB" w:rsidRDefault="007366DB" w:rsidP="007366DB">
      <w:pPr>
        <w:rPr>
          <w:szCs w:val="20"/>
          <w:lang w:val="pt-PT"/>
        </w:rPr>
      </w:pPr>
    </w:p>
    <w:p w:rsidR="00F004FC" w:rsidRPr="00FA3856" w:rsidRDefault="00B35FA3" w:rsidP="00F004FC">
      <w:pPr>
        <w:jc w:val="center"/>
        <w:rPr>
          <w:szCs w:val="20"/>
          <w:lang w:val="pt-PT"/>
        </w:rPr>
      </w:pPr>
      <w:r>
        <w:rPr>
          <w:szCs w:val="20"/>
          <w:lang w:val="pt-PT"/>
        </w:rPr>
        <w:object w:dxaOrig="13845" w:dyaOrig="3075">
          <v:shape id="_x0000_i1715" type="#_x0000_t75" style="width:690.75pt;height:158.25pt" o:ole="">
            <v:imagedata r:id="rId322" o:title=""/>
          </v:shape>
          <o:OLEObject Type="Link" ProgID="Excel.Sheet.12" ShapeID="_x0000_i1715" DrawAspect="Content" r:id="rId323" UpdateMode="Always">
            <o:LinkType>EnhancedMetaFile</o:LinkType>
            <o:LockedField>false</o:LockedField>
          </o:OLEObject>
        </w:object>
      </w:r>
    </w:p>
    <w:p w:rsidR="00F004FC" w:rsidRDefault="00F004FC" w:rsidP="00CA1269">
      <w:pPr>
        <w:rPr>
          <w:b/>
          <w:bCs/>
          <w:szCs w:val="20"/>
          <w:lang w:val="pt-PT"/>
        </w:rPr>
      </w:pPr>
    </w:p>
    <w:p w:rsidR="00CA1269" w:rsidRPr="00FA3856" w:rsidRDefault="00CA1269" w:rsidP="00CA1269">
      <w:pPr>
        <w:rPr>
          <w:b/>
          <w:bCs/>
          <w:szCs w:val="20"/>
          <w:lang w:val="pt-PT"/>
        </w:rPr>
      </w:pPr>
      <w:r w:rsidRPr="00FA3856">
        <w:rPr>
          <w:b/>
          <w:bCs/>
          <w:szCs w:val="20"/>
          <w:lang w:val="pt-PT"/>
        </w:rPr>
        <w:t>I – Regras de Validação do Registro:</w:t>
      </w:r>
    </w:p>
    <w:p w:rsidR="00CA1269" w:rsidRPr="00FA3856" w:rsidRDefault="00CA1269" w:rsidP="00CA1269">
      <w:pPr>
        <w:rPr>
          <w:b/>
          <w:bCs/>
          <w:szCs w:val="20"/>
          <w:lang w:val="pt-PT"/>
        </w:rPr>
      </w:pPr>
    </w:p>
    <w:p w:rsidR="00CA1269" w:rsidRPr="00FA3856" w:rsidRDefault="00CA1269" w:rsidP="00CA1269">
      <w:pPr>
        <w:rPr>
          <w:bCs/>
          <w:szCs w:val="20"/>
        </w:rPr>
      </w:pPr>
      <w:r w:rsidRPr="00FA3856">
        <w:rPr>
          <w:b/>
          <w:bCs/>
          <w:szCs w:val="20"/>
          <w:lang w:val="pt-PT"/>
        </w:rPr>
        <w:tab/>
        <w:t xml:space="preserve">REGRA_FINANCEIRAS_NAO_OBRIGATORIO: </w:t>
      </w:r>
      <w:r w:rsidRPr="00FA3856">
        <w:rPr>
          <w:bCs/>
          <w:szCs w:val="20"/>
          <w:lang w:val="pt-PT"/>
        </w:rPr>
        <w:t>Se 0010.</w:t>
      </w:r>
      <w:r w:rsidRPr="00FA3856">
        <w:rPr>
          <w:szCs w:val="20"/>
        </w:rPr>
        <w:t>COD_QUALIF_PJ = “02” ou “03” ou 0010.</w:t>
      </w:r>
      <w:r w:rsidRPr="00FA3856">
        <w:rPr>
          <w:szCs w:val="20"/>
          <w:lang w:val="pt-PT"/>
        </w:rPr>
        <w:t xml:space="preserve"> FORMA_TRIB = “08” ou “09”, o registro é facultativo.</w:t>
      </w:r>
    </w:p>
    <w:p w:rsidR="00CA1269" w:rsidRPr="00FA3856" w:rsidRDefault="00CA1269" w:rsidP="007366DB">
      <w:pPr>
        <w:rPr>
          <w:szCs w:val="20"/>
          <w:lang w:val="pt-PT"/>
        </w:rPr>
      </w:pPr>
    </w:p>
    <w:p w:rsidR="00342F1D" w:rsidRDefault="00342F1D">
      <w:pPr>
        <w:spacing w:after="200" w:line="276" w:lineRule="auto"/>
        <w:rPr>
          <w:b/>
          <w:color w:val="002060"/>
          <w:szCs w:val="20"/>
          <w:lang w:eastAsia="ar-SA"/>
        </w:rPr>
      </w:pPr>
      <w:r>
        <w:rPr>
          <w:b/>
          <w:color w:val="002060"/>
          <w:szCs w:val="20"/>
        </w:rPr>
        <w:br w:type="page"/>
      </w:r>
    </w:p>
    <w:p w:rsidR="00342F1D" w:rsidRDefault="0097491E" w:rsidP="0097491E">
      <w:pPr>
        <w:pStyle w:val="Corpodetexto"/>
        <w:rPr>
          <w:rFonts w:ascii="Times New Roman" w:hAnsi="Times New Roman"/>
          <w:b/>
          <w:color w:val="002060"/>
          <w:szCs w:val="20"/>
        </w:rPr>
      </w:pPr>
      <w:r w:rsidRPr="00FA3856">
        <w:rPr>
          <w:rFonts w:ascii="Times New Roman" w:hAnsi="Times New Roman"/>
          <w:b/>
          <w:color w:val="002060"/>
          <w:szCs w:val="20"/>
        </w:rPr>
        <w:lastRenderedPageBreak/>
        <w:t xml:space="preserve">Exemplo de Preenchimento: </w:t>
      </w:r>
    </w:p>
    <w:p w:rsidR="00342F1D" w:rsidRDefault="00342F1D" w:rsidP="0097491E">
      <w:pPr>
        <w:pStyle w:val="Corpodetexto"/>
        <w:rPr>
          <w:rFonts w:ascii="Times New Roman" w:hAnsi="Times New Roman"/>
          <w:b/>
          <w:color w:val="002060"/>
          <w:szCs w:val="20"/>
        </w:rPr>
      </w:pPr>
    </w:p>
    <w:p w:rsidR="0097491E" w:rsidRPr="00FA3856" w:rsidRDefault="0097491E" w:rsidP="0097491E">
      <w:pPr>
        <w:pStyle w:val="Corpodetexto"/>
        <w:rPr>
          <w:rFonts w:ascii="Times New Roman" w:hAnsi="Times New Roman"/>
          <w:b/>
          <w:color w:val="002060"/>
          <w:szCs w:val="20"/>
        </w:rPr>
      </w:pPr>
      <w:r w:rsidRPr="00FA3856">
        <w:rPr>
          <w:rFonts w:ascii="Times New Roman" w:hAnsi="Times New Roman"/>
          <w:b/>
          <w:color w:val="002060"/>
          <w:szCs w:val="20"/>
        </w:rPr>
        <w:t>|M362|12345|</w:t>
      </w:r>
    </w:p>
    <w:p w:rsidR="0097491E" w:rsidRPr="00FA3856" w:rsidRDefault="0097491E" w:rsidP="0097491E">
      <w:pPr>
        <w:pStyle w:val="Corpodetexto"/>
        <w:ind w:firstLine="708"/>
        <w:rPr>
          <w:rFonts w:ascii="Times New Roman" w:hAnsi="Times New Roman"/>
          <w:color w:val="002060"/>
          <w:szCs w:val="20"/>
        </w:rPr>
      </w:pPr>
      <w:r w:rsidRPr="00FA3856">
        <w:rPr>
          <w:rFonts w:ascii="Times New Roman" w:hAnsi="Times New Roman"/>
          <w:color w:val="002060"/>
          <w:szCs w:val="20"/>
        </w:rPr>
        <w:t>|M362|: Identificação do tipo do registro.</w:t>
      </w:r>
    </w:p>
    <w:p w:rsidR="0097491E" w:rsidRPr="00FA3856" w:rsidRDefault="0097491E" w:rsidP="0097491E">
      <w:pPr>
        <w:pStyle w:val="Corpodetexto"/>
        <w:ind w:firstLine="708"/>
        <w:rPr>
          <w:rFonts w:ascii="Times New Roman" w:hAnsi="Times New Roman"/>
          <w:szCs w:val="20"/>
          <w:lang w:val="pt-PT"/>
        </w:rPr>
      </w:pPr>
      <w:r w:rsidRPr="00FA3856">
        <w:rPr>
          <w:rFonts w:ascii="Times New Roman" w:hAnsi="Times New Roman"/>
          <w:color w:val="002060"/>
          <w:szCs w:val="20"/>
        </w:rPr>
        <w:t>|12345|: Número do lançamento.</w:t>
      </w:r>
    </w:p>
    <w:p w:rsidR="00342F1D" w:rsidRDefault="00342F1D">
      <w:pPr>
        <w:spacing w:after="200" w:line="276" w:lineRule="auto"/>
        <w:rPr>
          <w:b/>
          <w:bCs/>
          <w:color w:val="0000FF"/>
          <w:szCs w:val="20"/>
        </w:rPr>
      </w:pPr>
      <w:r>
        <w:rPr>
          <w:color w:val="0000FF"/>
          <w:szCs w:val="20"/>
        </w:rPr>
        <w:br w:type="page"/>
      </w:r>
    </w:p>
    <w:p w:rsidR="007366DB" w:rsidRPr="00FA3856" w:rsidRDefault="007366DB" w:rsidP="00867F54">
      <w:pPr>
        <w:pStyle w:val="Ttulo4"/>
      </w:pPr>
      <w:bookmarkStart w:id="208" w:name="_Toc479713734"/>
      <w:r w:rsidRPr="00FA3856">
        <w:lastRenderedPageBreak/>
        <w:t>Registro M365: Identificação de Processos Judiciais e Administrativos Referentes ao Lançamento</w:t>
      </w:r>
      <w:bookmarkEnd w:id="208"/>
    </w:p>
    <w:p w:rsidR="007366DB" w:rsidRPr="00FA3856" w:rsidRDefault="007366DB" w:rsidP="007366DB">
      <w:pPr>
        <w:pStyle w:val="PSDS-MarcadoresNivel2"/>
        <w:numPr>
          <w:ilvl w:val="0"/>
          <w:numId w:val="0"/>
        </w:numPr>
        <w:spacing w:before="0" w:after="0"/>
        <w:ind w:left="360"/>
        <w:rPr>
          <w:rFonts w:ascii="Times New Roman" w:hAnsi="Times New Roman"/>
        </w:rPr>
      </w:pPr>
    </w:p>
    <w:p w:rsidR="007366DB" w:rsidRPr="00FA3856" w:rsidRDefault="00777B0B" w:rsidP="00161EF7">
      <w:pPr>
        <w:ind w:firstLine="708"/>
        <w:rPr>
          <w:szCs w:val="20"/>
        </w:rPr>
      </w:pPr>
      <w:r w:rsidRPr="00FA3856">
        <w:rPr>
          <w:szCs w:val="20"/>
        </w:rPr>
        <w:t>Identifica os processos judiciais e administrativos utilizados que embasaram adições menores que as previstas na legislação ou falta de adição e exclusões maiores que as previstas na legislação na parte A do e-</w:t>
      </w:r>
      <w:r w:rsidR="004D20A4" w:rsidRPr="00FA3856">
        <w:rPr>
          <w:szCs w:val="20"/>
        </w:rPr>
        <w:t>Lacs</w:t>
      </w:r>
      <w:r w:rsidRPr="00FA3856">
        <w:rPr>
          <w:szCs w:val="20"/>
        </w:rPr>
        <w:t xml:space="preserve"> (tratamento </w:t>
      </w:r>
      <w:r w:rsidR="00161EF7" w:rsidRPr="00FA3856">
        <w:rPr>
          <w:szCs w:val="20"/>
        </w:rPr>
        <w:t xml:space="preserve">diverso do regramento fiscal). </w:t>
      </w:r>
    </w:p>
    <w:p w:rsidR="00F004FC" w:rsidRDefault="00F004FC" w:rsidP="0097491E">
      <w:pPr>
        <w:pStyle w:val="Corpodetexto"/>
        <w:rPr>
          <w:rFonts w:ascii="Times New Roman" w:hAnsi="Times New Roman"/>
          <w:b/>
          <w:color w:val="002060"/>
          <w:szCs w:val="20"/>
        </w:rPr>
      </w:pPr>
    </w:p>
    <w:p w:rsidR="00F004FC" w:rsidRDefault="00B35FA3" w:rsidP="00F004FC">
      <w:pPr>
        <w:pStyle w:val="Corpodetexto"/>
        <w:jc w:val="center"/>
        <w:rPr>
          <w:rFonts w:ascii="Times New Roman" w:hAnsi="Times New Roman"/>
          <w:b/>
          <w:color w:val="002060"/>
          <w:szCs w:val="20"/>
        </w:rPr>
      </w:pPr>
      <w:r>
        <w:rPr>
          <w:rFonts w:ascii="Times New Roman" w:hAnsi="Times New Roman"/>
          <w:b/>
          <w:color w:val="002060"/>
          <w:szCs w:val="20"/>
        </w:rPr>
        <w:object w:dxaOrig="13905" w:dyaOrig="3165">
          <v:shape id="_x0000_i1717" type="#_x0000_t75" style="width:690.75pt;height:158.25pt" o:ole="">
            <v:imagedata r:id="rId324" o:title=""/>
          </v:shape>
          <o:OLEObject Type="Link" ProgID="Excel.Sheet.12" ShapeID="_x0000_i1717" DrawAspect="Content" r:id="rId325" UpdateMode="Always">
            <o:LinkType>EnhancedMetaFile</o:LinkType>
            <o:LockedField>false</o:LockedField>
          </o:OLEObject>
        </w:object>
      </w:r>
    </w:p>
    <w:p w:rsidR="00F004FC" w:rsidRDefault="00F004FC" w:rsidP="0097491E">
      <w:pPr>
        <w:pStyle w:val="Corpodetexto"/>
        <w:rPr>
          <w:rFonts w:ascii="Times New Roman" w:hAnsi="Times New Roman"/>
          <w:b/>
          <w:color w:val="002060"/>
          <w:szCs w:val="20"/>
        </w:rPr>
      </w:pPr>
    </w:p>
    <w:p w:rsidR="00342F1D" w:rsidRDefault="0097491E" w:rsidP="0097491E">
      <w:pPr>
        <w:pStyle w:val="Corpodetexto"/>
        <w:rPr>
          <w:rFonts w:ascii="Times New Roman" w:hAnsi="Times New Roman"/>
          <w:b/>
          <w:color w:val="002060"/>
          <w:szCs w:val="20"/>
        </w:rPr>
      </w:pPr>
      <w:r w:rsidRPr="00FA3856">
        <w:rPr>
          <w:rFonts w:ascii="Times New Roman" w:hAnsi="Times New Roman"/>
          <w:b/>
          <w:color w:val="002060"/>
          <w:szCs w:val="20"/>
        </w:rPr>
        <w:t xml:space="preserve">Exemplo de Preenchimento: </w:t>
      </w:r>
    </w:p>
    <w:p w:rsidR="00342F1D" w:rsidRDefault="00342F1D" w:rsidP="0097491E">
      <w:pPr>
        <w:pStyle w:val="Corpodetexto"/>
        <w:rPr>
          <w:rFonts w:ascii="Times New Roman" w:hAnsi="Times New Roman"/>
          <w:b/>
          <w:color w:val="002060"/>
          <w:szCs w:val="20"/>
        </w:rPr>
      </w:pPr>
    </w:p>
    <w:p w:rsidR="0097491E" w:rsidRPr="00FA3856" w:rsidRDefault="0097491E" w:rsidP="0097491E">
      <w:pPr>
        <w:pStyle w:val="Corpodetexto"/>
        <w:rPr>
          <w:rFonts w:ascii="Times New Roman" w:hAnsi="Times New Roman"/>
          <w:b/>
          <w:color w:val="002060"/>
          <w:szCs w:val="20"/>
        </w:rPr>
      </w:pPr>
      <w:r w:rsidRPr="00FA3856">
        <w:rPr>
          <w:rFonts w:ascii="Times New Roman" w:hAnsi="Times New Roman"/>
          <w:b/>
          <w:color w:val="002060"/>
          <w:szCs w:val="20"/>
        </w:rPr>
        <w:t>|M365|1|123456789|</w:t>
      </w:r>
    </w:p>
    <w:p w:rsidR="0097491E" w:rsidRPr="00FA3856" w:rsidRDefault="0097491E" w:rsidP="0097491E">
      <w:pPr>
        <w:pStyle w:val="Corpodetexto"/>
        <w:ind w:firstLine="708"/>
        <w:rPr>
          <w:rFonts w:ascii="Times New Roman" w:hAnsi="Times New Roman"/>
          <w:color w:val="002060"/>
          <w:szCs w:val="20"/>
        </w:rPr>
      </w:pPr>
      <w:r w:rsidRPr="00FA3856">
        <w:rPr>
          <w:rFonts w:ascii="Times New Roman" w:hAnsi="Times New Roman"/>
          <w:color w:val="002060"/>
          <w:szCs w:val="20"/>
        </w:rPr>
        <w:t>|M365|: Identificação do tipo do registro.</w:t>
      </w:r>
    </w:p>
    <w:p w:rsidR="0097491E" w:rsidRPr="00FA3856" w:rsidRDefault="0097491E" w:rsidP="0097491E">
      <w:pPr>
        <w:pStyle w:val="Corpodetexto"/>
        <w:ind w:firstLine="708"/>
        <w:rPr>
          <w:rFonts w:ascii="Times New Roman" w:hAnsi="Times New Roman"/>
          <w:color w:val="002060"/>
          <w:szCs w:val="20"/>
        </w:rPr>
      </w:pPr>
      <w:r w:rsidRPr="00FA3856">
        <w:rPr>
          <w:rFonts w:ascii="Times New Roman" w:hAnsi="Times New Roman"/>
          <w:color w:val="002060"/>
          <w:szCs w:val="20"/>
        </w:rPr>
        <w:t>|1|: Tipo do processo (1 = Judicial).</w:t>
      </w:r>
    </w:p>
    <w:p w:rsidR="0097491E" w:rsidRPr="00FA3856" w:rsidRDefault="0097491E" w:rsidP="0097491E">
      <w:pPr>
        <w:pStyle w:val="Corpodetexto"/>
        <w:ind w:firstLine="708"/>
        <w:rPr>
          <w:rFonts w:ascii="Times New Roman" w:hAnsi="Times New Roman"/>
          <w:szCs w:val="20"/>
          <w:lang w:val="pt-PT"/>
        </w:rPr>
      </w:pPr>
      <w:r w:rsidRPr="00FA3856">
        <w:rPr>
          <w:rFonts w:ascii="Times New Roman" w:hAnsi="Times New Roman"/>
          <w:color w:val="002060"/>
          <w:szCs w:val="20"/>
        </w:rPr>
        <w:t>|123456789|: Número do processo.</w:t>
      </w:r>
    </w:p>
    <w:p w:rsidR="0097491E" w:rsidRPr="00FA3856" w:rsidRDefault="0097491E">
      <w:pPr>
        <w:spacing w:after="200" w:line="276" w:lineRule="auto"/>
        <w:rPr>
          <w:b/>
          <w:bCs/>
          <w:color w:val="0000FF"/>
          <w:szCs w:val="20"/>
        </w:rPr>
      </w:pPr>
      <w:r w:rsidRPr="00FA3856">
        <w:rPr>
          <w:color w:val="0000FF"/>
          <w:szCs w:val="20"/>
        </w:rPr>
        <w:br w:type="page"/>
      </w:r>
    </w:p>
    <w:p w:rsidR="00E859B5" w:rsidRPr="00FA3856" w:rsidRDefault="00E859B5" w:rsidP="00867F54">
      <w:pPr>
        <w:pStyle w:val="Ttulo4"/>
      </w:pPr>
      <w:bookmarkStart w:id="209" w:name="_Toc479713735"/>
      <w:r w:rsidRPr="00FA3856">
        <w:lastRenderedPageBreak/>
        <w:t xml:space="preserve">Registro M410: Lançamento na Conta da Parte </w:t>
      </w:r>
      <w:r w:rsidR="007E6D43" w:rsidRPr="00FA3856">
        <w:t xml:space="preserve">B </w:t>
      </w:r>
      <w:r w:rsidRPr="00FA3856">
        <w:t>do e-Lalur e do e-Lacs sem Reflexo na Parte A</w:t>
      </w:r>
      <w:bookmarkEnd w:id="209"/>
    </w:p>
    <w:p w:rsidR="00E859B5" w:rsidRPr="00FA3856" w:rsidRDefault="00E859B5" w:rsidP="00E859B5">
      <w:pPr>
        <w:rPr>
          <w:szCs w:val="20"/>
        </w:rPr>
      </w:pPr>
    </w:p>
    <w:p w:rsidR="00E859B5" w:rsidRDefault="00E859B5" w:rsidP="009752F9">
      <w:pPr>
        <w:ind w:firstLine="708"/>
        <w:rPr>
          <w:szCs w:val="20"/>
        </w:rPr>
      </w:pPr>
      <w:r w:rsidRPr="00FA3856">
        <w:rPr>
          <w:szCs w:val="20"/>
        </w:rPr>
        <w:t>Apresenta os lançamentos em contas da parte B sem reflex</w:t>
      </w:r>
      <w:r w:rsidR="009752F9" w:rsidRPr="00FA3856">
        <w:rPr>
          <w:szCs w:val="20"/>
        </w:rPr>
        <w:t>os na parte A.</w:t>
      </w:r>
    </w:p>
    <w:p w:rsidR="003C67BC" w:rsidRDefault="003C67BC" w:rsidP="003C67BC">
      <w:pPr>
        <w:jc w:val="center"/>
        <w:rPr>
          <w:b/>
          <w:szCs w:val="20"/>
          <w:lang w:val="pt-PT"/>
        </w:rPr>
      </w:pPr>
    </w:p>
    <w:p w:rsidR="00DD1F7B" w:rsidRDefault="00B35FA3" w:rsidP="003C67BC">
      <w:pPr>
        <w:jc w:val="center"/>
        <w:rPr>
          <w:b/>
          <w:szCs w:val="20"/>
          <w:lang w:val="pt-PT"/>
        </w:rPr>
      </w:pPr>
      <w:r>
        <w:rPr>
          <w:b/>
          <w:szCs w:val="20"/>
          <w:lang w:val="pt-PT"/>
        </w:rPr>
        <w:object w:dxaOrig="13965" w:dyaOrig="6990">
          <v:shape id="_x0000_i1719" type="#_x0000_t75" style="width:698.25pt;height:352.5pt" o:ole="">
            <v:imagedata r:id="rId326" o:title=""/>
          </v:shape>
          <o:OLEObject Type="Link" ProgID="Excel.Sheet.12" ShapeID="_x0000_i1719" DrawAspect="Content" r:id="rId327" UpdateMode="Always">
            <o:LinkType>EnhancedMetaFile</o:LinkType>
            <o:LockedField>false</o:LockedField>
          </o:OLEObject>
        </w:object>
      </w:r>
      <w:r w:rsidR="00DD1F7B">
        <w:rPr>
          <w:b/>
          <w:szCs w:val="20"/>
          <w:lang w:val="pt-PT"/>
        </w:rPr>
        <w:br w:type="page"/>
      </w:r>
    </w:p>
    <w:p w:rsidR="003C67BC" w:rsidRDefault="00B35FA3" w:rsidP="003C67BC">
      <w:pPr>
        <w:jc w:val="center"/>
        <w:rPr>
          <w:b/>
          <w:szCs w:val="20"/>
          <w:lang w:val="pt-PT"/>
        </w:rPr>
      </w:pPr>
      <w:r>
        <w:rPr>
          <w:b/>
          <w:szCs w:val="20"/>
          <w:lang w:val="pt-PT"/>
        </w:rPr>
        <w:object w:dxaOrig="13965" w:dyaOrig="2385">
          <v:shape id="_x0000_i1721" type="#_x0000_t75" style="width:698.25pt;height:122.25pt" o:ole="">
            <v:imagedata r:id="rId328" o:title=""/>
          </v:shape>
          <o:OLEObject Type="Link" ProgID="Excel.Sheet.12" ShapeID="_x0000_i1721" DrawAspect="Content" r:id="rId329" UpdateMode="Always">
            <o:LinkType>EnhancedMetaFile</o:LinkType>
            <o:LockedField>false</o:LockedField>
          </o:OLEObject>
        </w:object>
      </w:r>
    </w:p>
    <w:p w:rsidR="003C67BC" w:rsidRDefault="003C67BC" w:rsidP="005302DE">
      <w:pPr>
        <w:rPr>
          <w:b/>
          <w:szCs w:val="20"/>
          <w:lang w:val="pt-PT"/>
        </w:rPr>
      </w:pPr>
    </w:p>
    <w:p w:rsidR="00C81D2E" w:rsidRPr="00FA3856" w:rsidRDefault="00956C46" w:rsidP="005302DE">
      <w:pPr>
        <w:rPr>
          <w:b/>
          <w:szCs w:val="20"/>
          <w:lang w:val="pt-PT"/>
        </w:rPr>
      </w:pPr>
      <w:r w:rsidRPr="00FA3856">
        <w:rPr>
          <w:b/>
          <w:szCs w:val="20"/>
          <w:lang w:val="pt-PT"/>
        </w:rPr>
        <w:t>I – Regras de Validação do Registro:</w:t>
      </w:r>
    </w:p>
    <w:p w:rsidR="00956C46" w:rsidRPr="00FA3856" w:rsidRDefault="00956C46" w:rsidP="005302DE">
      <w:pPr>
        <w:rPr>
          <w:b/>
          <w:szCs w:val="20"/>
          <w:lang w:val="pt-PT"/>
        </w:rPr>
      </w:pPr>
    </w:p>
    <w:p w:rsidR="00956C46" w:rsidRPr="00FA3856" w:rsidRDefault="00956C46" w:rsidP="00723FE4">
      <w:pPr>
        <w:ind w:left="708"/>
        <w:rPr>
          <w:szCs w:val="20"/>
          <w:lang w:val="pt-PT"/>
        </w:rPr>
      </w:pPr>
      <w:r w:rsidRPr="00FA3856">
        <w:rPr>
          <w:b/>
          <w:szCs w:val="20"/>
          <w:lang w:val="pt-PT"/>
        </w:rPr>
        <w:t>REGRA_PREJUIZO_FISCAL:</w:t>
      </w:r>
      <w:r w:rsidR="00723FE4" w:rsidRPr="00FA3856">
        <w:rPr>
          <w:b/>
          <w:szCs w:val="20"/>
          <w:lang w:val="pt-PT"/>
        </w:rPr>
        <w:t xml:space="preserve"> </w:t>
      </w:r>
      <w:r w:rsidR="00723FE4" w:rsidRPr="00FA3856">
        <w:rPr>
          <w:szCs w:val="20"/>
          <w:lang w:val="pt-PT"/>
        </w:rPr>
        <w:t>Verifica se o somatório dos lançamentos de prejuízo fiscal é igual ao valor da base de cálculo do IRPJ. Se a regra não for cumprida, a ECF gera um erro.</w:t>
      </w:r>
    </w:p>
    <w:p w:rsidR="00956C46" w:rsidRPr="00FA3856" w:rsidRDefault="00956C46" w:rsidP="005302DE">
      <w:pPr>
        <w:rPr>
          <w:b/>
          <w:szCs w:val="20"/>
          <w:lang w:val="pt-PT"/>
        </w:rPr>
      </w:pPr>
    </w:p>
    <w:p w:rsidR="00723FE4" w:rsidRPr="00FA3856" w:rsidRDefault="00956C46" w:rsidP="00723FE4">
      <w:pPr>
        <w:ind w:left="708"/>
        <w:rPr>
          <w:szCs w:val="20"/>
          <w:lang w:val="pt-PT"/>
        </w:rPr>
      </w:pPr>
      <w:r w:rsidRPr="00FA3856">
        <w:rPr>
          <w:b/>
          <w:szCs w:val="20"/>
          <w:lang w:val="pt-PT"/>
        </w:rPr>
        <w:t>REGRA_BC_NEGATIVA:</w:t>
      </w:r>
      <w:r w:rsidR="00723FE4" w:rsidRPr="00FA3856">
        <w:rPr>
          <w:b/>
          <w:szCs w:val="20"/>
          <w:lang w:val="pt-PT"/>
        </w:rPr>
        <w:t xml:space="preserve"> </w:t>
      </w:r>
      <w:r w:rsidR="00723FE4" w:rsidRPr="00FA3856">
        <w:rPr>
          <w:szCs w:val="20"/>
          <w:lang w:val="pt-PT"/>
        </w:rPr>
        <w:t>Verifica se o somatório dos lançamentos da base de cálculo negativa da CSLL é igual ao valor da base de cálculo da CSLL. Se a regra não for cumprida, a ECF gera um erro.</w:t>
      </w:r>
    </w:p>
    <w:p w:rsidR="00956C46" w:rsidRPr="00FA3856" w:rsidRDefault="00956C46" w:rsidP="00956C46">
      <w:pPr>
        <w:rPr>
          <w:b/>
          <w:bCs/>
          <w:szCs w:val="20"/>
          <w:lang w:val="pt-PT"/>
        </w:rPr>
      </w:pPr>
    </w:p>
    <w:p w:rsidR="00956C46" w:rsidRPr="00FA3856" w:rsidRDefault="00956C46" w:rsidP="00956C46">
      <w:pPr>
        <w:rPr>
          <w:b/>
          <w:bCs/>
          <w:szCs w:val="20"/>
          <w:lang w:val="pt-PT"/>
        </w:rPr>
      </w:pPr>
      <w:r w:rsidRPr="00FA3856">
        <w:rPr>
          <w:b/>
          <w:bCs/>
          <w:szCs w:val="20"/>
          <w:lang w:val="pt-PT"/>
        </w:rPr>
        <w:t>II – Regras de Validação de Campos:</w:t>
      </w:r>
    </w:p>
    <w:p w:rsidR="00956C46" w:rsidRPr="00FA3856" w:rsidRDefault="00956C46" w:rsidP="00956C46">
      <w:pPr>
        <w:rPr>
          <w:b/>
          <w:bCs/>
          <w:szCs w:val="20"/>
          <w:lang w:val="pt-PT"/>
        </w:rPr>
      </w:pPr>
    </w:p>
    <w:tbl>
      <w:tblPr>
        <w:tblW w:w="16370"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85"/>
        <w:gridCol w:w="3000"/>
        <w:gridCol w:w="12168"/>
        <w:gridCol w:w="717"/>
      </w:tblGrid>
      <w:tr w:rsidR="00956C46" w:rsidRPr="00FA3856" w:rsidTr="00AB0707">
        <w:trPr>
          <w:jc w:val="center"/>
        </w:trPr>
        <w:tc>
          <w:tcPr>
            <w:tcW w:w="485" w:type="dxa"/>
            <w:tcBorders>
              <w:top w:val="single" w:sz="6" w:space="0" w:color="auto"/>
              <w:left w:val="single" w:sz="6" w:space="0" w:color="auto"/>
              <w:bottom w:val="single" w:sz="6" w:space="0" w:color="auto"/>
              <w:right w:val="single" w:sz="6" w:space="0" w:color="auto"/>
            </w:tcBorders>
            <w:shd w:val="pct10" w:color="auto" w:fill="FFFFFF"/>
          </w:tcPr>
          <w:p w:rsidR="00956C46" w:rsidRPr="00FA3856" w:rsidRDefault="00956C46" w:rsidP="00723FE4">
            <w:pPr>
              <w:pStyle w:val="PSDS-CorpodeTexto0"/>
              <w:jc w:val="center"/>
              <w:rPr>
                <w:rFonts w:ascii="Times New Roman" w:hAnsi="Times New Roman"/>
                <w:b/>
                <w:bCs/>
              </w:rPr>
            </w:pPr>
            <w:r w:rsidRPr="00FA3856">
              <w:rPr>
                <w:rFonts w:ascii="Times New Roman" w:hAnsi="Times New Roman"/>
                <w:b/>
                <w:bCs/>
              </w:rPr>
              <w:t>Nº</w:t>
            </w:r>
          </w:p>
        </w:tc>
        <w:tc>
          <w:tcPr>
            <w:tcW w:w="3000" w:type="dxa"/>
            <w:tcBorders>
              <w:top w:val="single" w:sz="6" w:space="0" w:color="auto"/>
              <w:left w:val="single" w:sz="6" w:space="0" w:color="auto"/>
              <w:bottom w:val="single" w:sz="6" w:space="0" w:color="auto"/>
              <w:right w:val="single" w:sz="6" w:space="0" w:color="auto"/>
            </w:tcBorders>
            <w:shd w:val="pct10" w:color="auto" w:fill="FFFFFF"/>
          </w:tcPr>
          <w:p w:rsidR="00956C46" w:rsidRPr="00FA3856" w:rsidRDefault="00956C46" w:rsidP="00723FE4">
            <w:pPr>
              <w:pStyle w:val="PSDS-CorpodeTexto0"/>
              <w:jc w:val="center"/>
              <w:rPr>
                <w:rFonts w:ascii="Times New Roman" w:hAnsi="Times New Roman"/>
                <w:b/>
                <w:bCs/>
              </w:rPr>
            </w:pPr>
            <w:r w:rsidRPr="00FA3856">
              <w:rPr>
                <w:rFonts w:ascii="Times New Roman" w:hAnsi="Times New Roman"/>
                <w:b/>
                <w:bCs/>
              </w:rPr>
              <w:t>Campo</w:t>
            </w:r>
          </w:p>
        </w:tc>
        <w:tc>
          <w:tcPr>
            <w:tcW w:w="12168" w:type="dxa"/>
            <w:tcBorders>
              <w:top w:val="single" w:sz="6" w:space="0" w:color="auto"/>
              <w:left w:val="single" w:sz="6" w:space="0" w:color="auto"/>
              <w:bottom w:val="single" w:sz="6" w:space="0" w:color="auto"/>
              <w:right w:val="single" w:sz="6" w:space="0" w:color="auto"/>
            </w:tcBorders>
            <w:shd w:val="pct10" w:color="auto" w:fill="FFFFFF"/>
          </w:tcPr>
          <w:p w:rsidR="00956C46" w:rsidRPr="00FA3856" w:rsidRDefault="00956C46" w:rsidP="00723FE4">
            <w:pPr>
              <w:pStyle w:val="PSDS-CorpodeTexto0"/>
              <w:jc w:val="center"/>
              <w:rPr>
                <w:rFonts w:ascii="Times New Roman" w:hAnsi="Times New Roman"/>
                <w:b/>
                <w:bCs/>
              </w:rPr>
            </w:pPr>
            <w:r w:rsidRPr="00FA3856">
              <w:rPr>
                <w:rFonts w:ascii="Times New Roman" w:hAnsi="Times New Roman"/>
                <w:b/>
                <w:bCs/>
              </w:rPr>
              <w:t>Regras de Validação do Campo</w:t>
            </w:r>
          </w:p>
        </w:tc>
        <w:tc>
          <w:tcPr>
            <w:tcW w:w="717" w:type="dxa"/>
            <w:tcBorders>
              <w:top w:val="single" w:sz="6" w:space="0" w:color="auto"/>
              <w:left w:val="single" w:sz="6" w:space="0" w:color="auto"/>
              <w:bottom w:val="single" w:sz="6" w:space="0" w:color="auto"/>
              <w:right w:val="single" w:sz="6" w:space="0" w:color="auto"/>
            </w:tcBorders>
            <w:shd w:val="pct10" w:color="auto" w:fill="FFFFFF"/>
          </w:tcPr>
          <w:p w:rsidR="00956C46" w:rsidRPr="00FA3856" w:rsidRDefault="00956C46" w:rsidP="00723FE4">
            <w:pPr>
              <w:pStyle w:val="PSDS-CorpodeTexto0"/>
              <w:jc w:val="center"/>
              <w:rPr>
                <w:rFonts w:ascii="Times New Roman" w:hAnsi="Times New Roman"/>
                <w:b/>
                <w:bCs/>
              </w:rPr>
            </w:pPr>
            <w:r w:rsidRPr="00FA3856">
              <w:rPr>
                <w:rFonts w:ascii="Times New Roman" w:hAnsi="Times New Roman"/>
                <w:b/>
                <w:bCs/>
              </w:rPr>
              <w:t>Tipo</w:t>
            </w:r>
          </w:p>
        </w:tc>
      </w:tr>
      <w:tr w:rsidR="00956C46" w:rsidRPr="00FA3856" w:rsidTr="00AB0707">
        <w:trPr>
          <w:jc w:val="center"/>
        </w:trPr>
        <w:tc>
          <w:tcPr>
            <w:tcW w:w="485" w:type="dxa"/>
            <w:tcBorders>
              <w:top w:val="single" w:sz="6" w:space="0" w:color="auto"/>
              <w:left w:val="single" w:sz="6" w:space="0" w:color="auto"/>
              <w:bottom w:val="single" w:sz="6" w:space="0" w:color="auto"/>
              <w:right w:val="single" w:sz="6" w:space="0" w:color="auto"/>
            </w:tcBorders>
          </w:tcPr>
          <w:p w:rsidR="00956C46" w:rsidRPr="00FA3856" w:rsidRDefault="006A6428" w:rsidP="00723FE4">
            <w:pPr>
              <w:pStyle w:val="PSDS-CorpodeTexto0"/>
              <w:suppressAutoHyphens w:val="0"/>
              <w:rPr>
                <w:rFonts w:ascii="Times New Roman" w:hAnsi="Times New Roman"/>
                <w:b/>
                <w:bCs/>
                <w:lang w:val="pt-PT"/>
              </w:rPr>
            </w:pPr>
            <w:r w:rsidRPr="00FA3856">
              <w:rPr>
                <w:rFonts w:ascii="Times New Roman" w:hAnsi="Times New Roman"/>
                <w:b/>
                <w:bCs/>
                <w:lang w:val="pt-PT"/>
              </w:rPr>
              <w:t>6</w:t>
            </w:r>
          </w:p>
        </w:tc>
        <w:tc>
          <w:tcPr>
            <w:tcW w:w="3000" w:type="dxa"/>
            <w:tcBorders>
              <w:top w:val="single" w:sz="6" w:space="0" w:color="auto"/>
              <w:left w:val="single" w:sz="6" w:space="0" w:color="auto"/>
              <w:bottom w:val="single" w:sz="6" w:space="0" w:color="auto"/>
              <w:right w:val="single" w:sz="6" w:space="0" w:color="auto"/>
            </w:tcBorders>
          </w:tcPr>
          <w:p w:rsidR="00956C46" w:rsidRPr="00FA3856" w:rsidRDefault="00956C46" w:rsidP="00723FE4">
            <w:pPr>
              <w:pStyle w:val="PSDS-CorpodeTexto0"/>
              <w:rPr>
                <w:rFonts w:ascii="Times New Roman" w:hAnsi="Times New Roman"/>
                <w:lang w:val="pt-PT"/>
              </w:rPr>
            </w:pPr>
            <w:r w:rsidRPr="00FA3856">
              <w:rPr>
                <w:rFonts w:ascii="Times New Roman" w:hAnsi="Times New Roman"/>
                <w:lang w:val="pt-PT"/>
              </w:rPr>
              <w:t>COD_CTA_B_CTP</w:t>
            </w:r>
          </w:p>
        </w:tc>
        <w:tc>
          <w:tcPr>
            <w:tcW w:w="12168" w:type="dxa"/>
            <w:tcBorders>
              <w:top w:val="single" w:sz="6" w:space="0" w:color="auto"/>
              <w:left w:val="single" w:sz="6" w:space="0" w:color="auto"/>
              <w:bottom w:val="single" w:sz="6" w:space="0" w:color="auto"/>
              <w:right w:val="single" w:sz="6" w:space="0" w:color="auto"/>
            </w:tcBorders>
          </w:tcPr>
          <w:p w:rsidR="00956C46" w:rsidRPr="00FA3856" w:rsidRDefault="00956C46" w:rsidP="00723FE4">
            <w:pPr>
              <w:pStyle w:val="PSDS-CorpodeTexto0"/>
              <w:rPr>
                <w:rFonts w:ascii="Times New Roman" w:hAnsi="Times New Roman"/>
              </w:rPr>
            </w:pPr>
            <w:r w:rsidRPr="00FA3856">
              <w:rPr>
                <w:rFonts w:ascii="Times New Roman" w:hAnsi="Times New Roman"/>
                <w:b/>
              </w:rPr>
              <w:t>REGRA_MESMO_TRIBUTO:</w:t>
            </w:r>
            <w:r w:rsidR="00723FE4" w:rsidRPr="00FA3856">
              <w:rPr>
                <w:rFonts w:ascii="Times New Roman" w:hAnsi="Times New Roman"/>
                <w:b/>
              </w:rPr>
              <w:t xml:space="preserve"> </w:t>
            </w:r>
            <w:r w:rsidR="006A6428" w:rsidRPr="00FA3856">
              <w:rPr>
                <w:rFonts w:ascii="Times New Roman" w:hAnsi="Times New Roman"/>
              </w:rPr>
              <w:t xml:space="preserve">Se </w:t>
            </w:r>
            <w:r w:rsidR="00375E89" w:rsidRPr="00FA3856">
              <w:rPr>
                <w:rFonts w:ascii="Times New Roman" w:hAnsi="Times New Roman"/>
              </w:rPr>
              <w:t xml:space="preserve">M410.COD_CTA_B_CTP </w:t>
            </w:r>
            <w:r w:rsidR="00723FE4" w:rsidRPr="00FA3856">
              <w:rPr>
                <w:rFonts w:ascii="Times New Roman" w:hAnsi="Times New Roman"/>
              </w:rPr>
              <w:t>for preenchido, as contas constantes do lançamento devem corresponder ao mesmo tributo (M010.TRIBUTO).</w:t>
            </w:r>
          </w:p>
          <w:p w:rsidR="00956C46" w:rsidRPr="00FA3856" w:rsidRDefault="00956C46" w:rsidP="00723FE4">
            <w:pPr>
              <w:pStyle w:val="PSDS-CorpodeTexto0"/>
              <w:rPr>
                <w:rFonts w:ascii="Times New Roman" w:hAnsi="Times New Roman"/>
                <w:b/>
              </w:rPr>
            </w:pPr>
          </w:p>
          <w:p w:rsidR="00956C46" w:rsidRPr="00FA3856" w:rsidRDefault="00956C46" w:rsidP="00723FE4">
            <w:pPr>
              <w:pStyle w:val="PSDS-CorpodeTexto0"/>
              <w:rPr>
                <w:rFonts w:ascii="Times New Roman" w:hAnsi="Times New Roman"/>
                <w:lang w:val="pt-PT"/>
              </w:rPr>
            </w:pPr>
            <w:r w:rsidRPr="00FA3856">
              <w:rPr>
                <w:rFonts w:ascii="Times New Roman" w:hAnsi="Times New Roman"/>
                <w:b/>
              </w:rPr>
              <w:t>REGRA_NAO_PREENCHER_CTP:</w:t>
            </w:r>
            <w:r w:rsidR="00723FE4" w:rsidRPr="00FA3856">
              <w:rPr>
                <w:rFonts w:ascii="Times New Roman" w:hAnsi="Times New Roman"/>
                <w:b/>
              </w:rPr>
              <w:t xml:space="preserve"> </w:t>
            </w:r>
            <w:r w:rsidR="00723FE4" w:rsidRPr="00FA3856">
              <w:rPr>
                <w:rFonts w:ascii="Times New Roman" w:hAnsi="Times New Roman"/>
              </w:rPr>
              <w:t>Se M4</w:t>
            </w:r>
            <w:r w:rsidR="00375E89" w:rsidRPr="00FA3856">
              <w:rPr>
                <w:rFonts w:ascii="Times New Roman" w:hAnsi="Times New Roman"/>
              </w:rPr>
              <w:t xml:space="preserve">10.IND_VAL_LAN_LALB_PB </w:t>
            </w:r>
            <w:r w:rsidR="00723FE4" w:rsidRPr="00FA3856">
              <w:rPr>
                <w:rFonts w:ascii="Times New Roman" w:hAnsi="Times New Roman"/>
              </w:rPr>
              <w:t>igual a “PF” ou “BC</w:t>
            </w:r>
            <w:r w:rsidR="006A6428" w:rsidRPr="00FA3856">
              <w:rPr>
                <w:rFonts w:ascii="Times New Roman" w:hAnsi="Times New Roman"/>
              </w:rPr>
              <w:t xml:space="preserve">”, campo </w:t>
            </w:r>
            <w:r w:rsidR="00375E89" w:rsidRPr="00FA3856">
              <w:rPr>
                <w:rFonts w:ascii="Times New Roman" w:hAnsi="Times New Roman"/>
              </w:rPr>
              <w:t xml:space="preserve">M410.COD_CTA_B_CTP </w:t>
            </w:r>
            <w:r w:rsidR="00723FE4" w:rsidRPr="00FA3856">
              <w:rPr>
                <w:rFonts w:ascii="Times New Roman" w:hAnsi="Times New Roman"/>
              </w:rPr>
              <w:t>não deve ser preenchido.</w:t>
            </w:r>
          </w:p>
        </w:tc>
        <w:tc>
          <w:tcPr>
            <w:tcW w:w="717" w:type="dxa"/>
            <w:tcBorders>
              <w:top w:val="single" w:sz="6" w:space="0" w:color="auto"/>
              <w:left w:val="single" w:sz="6" w:space="0" w:color="auto"/>
              <w:bottom w:val="single" w:sz="6" w:space="0" w:color="auto"/>
              <w:right w:val="single" w:sz="6" w:space="0" w:color="auto"/>
            </w:tcBorders>
          </w:tcPr>
          <w:p w:rsidR="00956C46" w:rsidRPr="00FA3856" w:rsidRDefault="00956C46" w:rsidP="00723FE4">
            <w:pPr>
              <w:pStyle w:val="PSDS-CorpodeTexto0"/>
              <w:rPr>
                <w:rFonts w:ascii="Times New Roman" w:hAnsi="Times New Roman"/>
                <w:lang w:val="pt-PT"/>
              </w:rPr>
            </w:pPr>
            <w:r w:rsidRPr="00FA3856">
              <w:rPr>
                <w:rFonts w:ascii="Times New Roman" w:hAnsi="Times New Roman"/>
                <w:lang w:val="pt-PT"/>
              </w:rPr>
              <w:t>Aviso</w:t>
            </w:r>
          </w:p>
          <w:p w:rsidR="00723FE4" w:rsidRPr="00FA3856" w:rsidRDefault="00723FE4" w:rsidP="00723FE4">
            <w:pPr>
              <w:pStyle w:val="PSDS-CorpodeTexto0"/>
              <w:rPr>
                <w:rFonts w:ascii="Times New Roman" w:hAnsi="Times New Roman"/>
                <w:lang w:val="pt-PT"/>
              </w:rPr>
            </w:pPr>
          </w:p>
          <w:p w:rsidR="00723FE4" w:rsidRPr="00FA3856" w:rsidRDefault="00723FE4" w:rsidP="00723FE4">
            <w:pPr>
              <w:pStyle w:val="PSDS-CorpodeTexto0"/>
              <w:rPr>
                <w:rFonts w:ascii="Times New Roman" w:hAnsi="Times New Roman"/>
                <w:lang w:val="pt-PT"/>
              </w:rPr>
            </w:pPr>
          </w:p>
          <w:p w:rsidR="00723FE4" w:rsidRPr="00FA3856" w:rsidRDefault="00723FE4" w:rsidP="00723FE4">
            <w:pPr>
              <w:pStyle w:val="PSDS-CorpodeTexto0"/>
              <w:rPr>
                <w:rFonts w:ascii="Times New Roman" w:hAnsi="Times New Roman"/>
                <w:lang w:val="pt-PT"/>
              </w:rPr>
            </w:pPr>
            <w:r w:rsidRPr="00FA3856">
              <w:rPr>
                <w:rFonts w:ascii="Times New Roman" w:hAnsi="Times New Roman"/>
                <w:lang w:val="pt-PT"/>
              </w:rPr>
              <w:t>Erro</w:t>
            </w:r>
          </w:p>
          <w:p w:rsidR="00956C46" w:rsidRPr="00FA3856" w:rsidRDefault="00956C46" w:rsidP="00723FE4">
            <w:pPr>
              <w:pStyle w:val="PSDS-CorpodeTexto0"/>
              <w:rPr>
                <w:rFonts w:ascii="Times New Roman" w:hAnsi="Times New Roman"/>
                <w:lang w:val="pt-PT"/>
              </w:rPr>
            </w:pPr>
          </w:p>
        </w:tc>
      </w:tr>
    </w:tbl>
    <w:p w:rsidR="00723FE4" w:rsidRPr="00FA3856" w:rsidRDefault="00723FE4" w:rsidP="00AB0707">
      <w:pPr>
        <w:pStyle w:val="PSDS-MarcadoresNivel2"/>
        <w:numPr>
          <w:ilvl w:val="0"/>
          <w:numId w:val="0"/>
        </w:numPr>
        <w:spacing w:before="0" w:after="0"/>
        <w:ind w:left="792" w:hanging="432"/>
        <w:rPr>
          <w:rFonts w:ascii="Times New Roman" w:hAnsi="Times New Roman"/>
          <w:color w:val="0000FF"/>
        </w:rPr>
      </w:pPr>
    </w:p>
    <w:p w:rsidR="00342F1D" w:rsidRDefault="00AB0707" w:rsidP="00AB0707">
      <w:pPr>
        <w:pStyle w:val="Corpodetexto"/>
        <w:rPr>
          <w:rFonts w:ascii="Times New Roman" w:hAnsi="Times New Roman"/>
          <w:b/>
          <w:color w:val="002060"/>
          <w:szCs w:val="20"/>
        </w:rPr>
      </w:pPr>
      <w:r w:rsidRPr="00FA3856">
        <w:rPr>
          <w:rFonts w:ascii="Times New Roman" w:hAnsi="Times New Roman"/>
          <w:b/>
          <w:color w:val="002060"/>
          <w:szCs w:val="20"/>
        </w:rPr>
        <w:t xml:space="preserve">Exemplo de Preenchimento: </w:t>
      </w:r>
    </w:p>
    <w:p w:rsidR="00342F1D" w:rsidRDefault="00342F1D" w:rsidP="00AB0707">
      <w:pPr>
        <w:pStyle w:val="Corpodetexto"/>
        <w:rPr>
          <w:rFonts w:ascii="Times New Roman" w:hAnsi="Times New Roman"/>
          <w:b/>
          <w:color w:val="002060"/>
          <w:szCs w:val="20"/>
        </w:rPr>
      </w:pPr>
    </w:p>
    <w:p w:rsidR="00AB0707" w:rsidRPr="00FA3856" w:rsidRDefault="00AB0707" w:rsidP="00AB0707">
      <w:pPr>
        <w:pStyle w:val="Corpodetexto"/>
        <w:rPr>
          <w:rFonts w:ascii="Times New Roman" w:hAnsi="Times New Roman"/>
          <w:b/>
          <w:color w:val="002060"/>
          <w:szCs w:val="20"/>
        </w:rPr>
      </w:pPr>
      <w:r w:rsidRPr="00FA3856">
        <w:rPr>
          <w:rFonts w:ascii="Times New Roman" w:hAnsi="Times New Roman"/>
          <w:b/>
          <w:color w:val="002060"/>
          <w:szCs w:val="20"/>
        </w:rPr>
        <w:t>|M410|101|</w:t>
      </w:r>
      <w:r w:rsidR="006A6428" w:rsidRPr="00FA3856">
        <w:rPr>
          <w:rFonts w:ascii="Times New Roman" w:hAnsi="Times New Roman"/>
          <w:b/>
          <w:color w:val="002060"/>
          <w:szCs w:val="20"/>
        </w:rPr>
        <w:t>I|</w:t>
      </w:r>
      <w:r w:rsidRPr="00FA3856">
        <w:rPr>
          <w:rFonts w:ascii="Times New Roman" w:hAnsi="Times New Roman"/>
          <w:b/>
          <w:color w:val="002060"/>
          <w:szCs w:val="20"/>
        </w:rPr>
        <w:t>1000,00|CR|202|LANÇAMENTO DE CRÉDITO EM VIRTUDE DA OCORRÊNCIA XXXX|</w:t>
      </w:r>
    </w:p>
    <w:p w:rsidR="00AB0707" w:rsidRPr="00FA3856" w:rsidRDefault="00AB0707" w:rsidP="00AB0707">
      <w:pPr>
        <w:pStyle w:val="Corpodetexto"/>
        <w:ind w:firstLine="708"/>
        <w:rPr>
          <w:rFonts w:ascii="Times New Roman" w:hAnsi="Times New Roman"/>
          <w:color w:val="002060"/>
          <w:szCs w:val="20"/>
        </w:rPr>
      </w:pPr>
      <w:r w:rsidRPr="00FA3856">
        <w:rPr>
          <w:rFonts w:ascii="Times New Roman" w:hAnsi="Times New Roman"/>
          <w:color w:val="002060"/>
          <w:szCs w:val="20"/>
        </w:rPr>
        <w:t>|M410|: Identificação do tipo do registro.</w:t>
      </w:r>
    </w:p>
    <w:p w:rsidR="00AB0707" w:rsidRPr="00FA3856" w:rsidRDefault="00AB0707" w:rsidP="00AB0707">
      <w:pPr>
        <w:pStyle w:val="Corpodetexto"/>
        <w:ind w:firstLine="708"/>
        <w:rPr>
          <w:rFonts w:ascii="Times New Roman" w:hAnsi="Times New Roman"/>
          <w:color w:val="002060"/>
          <w:szCs w:val="20"/>
        </w:rPr>
      </w:pPr>
      <w:r w:rsidRPr="00FA3856">
        <w:rPr>
          <w:rFonts w:ascii="Times New Roman" w:hAnsi="Times New Roman"/>
          <w:color w:val="002060"/>
          <w:szCs w:val="20"/>
        </w:rPr>
        <w:t>|101|: Código da conta da parte B.</w:t>
      </w:r>
    </w:p>
    <w:p w:rsidR="006A6428" w:rsidRPr="00FA3856" w:rsidRDefault="006A6428" w:rsidP="00AB0707">
      <w:pPr>
        <w:pStyle w:val="Corpodetexto"/>
        <w:ind w:firstLine="708"/>
        <w:rPr>
          <w:rFonts w:ascii="Times New Roman" w:hAnsi="Times New Roman"/>
          <w:color w:val="002060"/>
          <w:szCs w:val="20"/>
        </w:rPr>
      </w:pPr>
      <w:r w:rsidRPr="00FA3856">
        <w:rPr>
          <w:rFonts w:ascii="Times New Roman" w:hAnsi="Times New Roman"/>
          <w:color w:val="002060"/>
          <w:szCs w:val="20"/>
        </w:rPr>
        <w:t>|I|: Imposto de renda.</w:t>
      </w:r>
    </w:p>
    <w:p w:rsidR="00AB0707" w:rsidRPr="00FA3856" w:rsidRDefault="00AB0707" w:rsidP="00AB0707">
      <w:pPr>
        <w:pStyle w:val="Corpodetexto"/>
        <w:ind w:firstLine="708"/>
        <w:rPr>
          <w:rFonts w:ascii="Times New Roman" w:hAnsi="Times New Roman"/>
          <w:color w:val="002060"/>
          <w:szCs w:val="20"/>
        </w:rPr>
      </w:pPr>
      <w:r w:rsidRPr="00FA3856">
        <w:rPr>
          <w:rFonts w:ascii="Times New Roman" w:hAnsi="Times New Roman"/>
          <w:color w:val="002060"/>
          <w:szCs w:val="20"/>
        </w:rPr>
        <w:t>|1000,00|: Valor do lançamento (R$ 1.000,00).</w:t>
      </w:r>
    </w:p>
    <w:p w:rsidR="00AB0707" w:rsidRPr="00FA3856" w:rsidRDefault="00AB0707" w:rsidP="00AB0707">
      <w:pPr>
        <w:pStyle w:val="Corpodetexto"/>
        <w:ind w:firstLine="708"/>
        <w:rPr>
          <w:rFonts w:ascii="Times New Roman" w:hAnsi="Times New Roman"/>
          <w:color w:val="002060"/>
          <w:szCs w:val="20"/>
        </w:rPr>
      </w:pPr>
      <w:r w:rsidRPr="00FA3856">
        <w:rPr>
          <w:rFonts w:ascii="Times New Roman" w:hAnsi="Times New Roman"/>
          <w:color w:val="002060"/>
          <w:szCs w:val="20"/>
        </w:rPr>
        <w:t>|CR|: Indicador do lançamento (CR = Crédito).</w:t>
      </w:r>
    </w:p>
    <w:p w:rsidR="00AB0707" w:rsidRPr="00FA3856" w:rsidRDefault="00AB0707" w:rsidP="00AB0707">
      <w:pPr>
        <w:pStyle w:val="Corpodetexto"/>
        <w:ind w:firstLine="708"/>
        <w:rPr>
          <w:rFonts w:ascii="Times New Roman" w:hAnsi="Times New Roman"/>
          <w:color w:val="002060"/>
          <w:szCs w:val="20"/>
        </w:rPr>
      </w:pPr>
      <w:r w:rsidRPr="00FA3856">
        <w:rPr>
          <w:rFonts w:ascii="Times New Roman" w:hAnsi="Times New Roman"/>
          <w:color w:val="002060"/>
          <w:szCs w:val="20"/>
        </w:rPr>
        <w:t>|202|: Código da conta da parte B de contrapartida.</w:t>
      </w:r>
    </w:p>
    <w:p w:rsidR="00AB0707" w:rsidRPr="00FA3856" w:rsidRDefault="00AB0707" w:rsidP="00AB0707">
      <w:pPr>
        <w:pStyle w:val="Corpodetexto"/>
        <w:ind w:firstLine="708"/>
        <w:rPr>
          <w:rFonts w:ascii="Times New Roman" w:hAnsi="Times New Roman"/>
          <w:color w:val="002060"/>
          <w:szCs w:val="20"/>
        </w:rPr>
      </w:pPr>
      <w:r w:rsidRPr="00FA3856">
        <w:rPr>
          <w:rFonts w:ascii="Times New Roman" w:hAnsi="Times New Roman"/>
          <w:color w:val="002060"/>
          <w:szCs w:val="20"/>
        </w:rPr>
        <w:t>|LANÇAMENTO DE CRÉDITO EM VIRTUDE DA OCORRÊNCIA XXXX|: Histórico do lançamento.</w:t>
      </w:r>
    </w:p>
    <w:p w:rsidR="0097491E" w:rsidRPr="00FA3856" w:rsidRDefault="0097491E" w:rsidP="00AB0707">
      <w:pPr>
        <w:pStyle w:val="Corpodetexto"/>
        <w:ind w:firstLine="708"/>
        <w:rPr>
          <w:rFonts w:ascii="Times New Roman" w:hAnsi="Times New Roman"/>
          <w:color w:val="002060"/>
          <w:szCs w:val="20"/>
        </w:rPr>
      </w:pPr>
      <w:r w:rsidRPr="00FA3856">
        <w:rPr>
          <w:rFonts w:ascii="Times New Roman" w:hAnsi="Times New Roman"/>
          <w:color w:val="002060"/>
          <w:szCs w:val="20"/>
        </w:rPr>
        <w:t>|N|: Realização de valores cuja tributação tenha sido diferida (N = Não).</w:t>
      </w:r>
    </w:p>
    <w:p w:rsidR="00AB0707" w:rsidRPr="00FA3856" w:rsidRDefault="00AB0707">
      <w:pPr>
        <w:spacing w:after="200" w:line="276" w:lineRule="auto"/>
        <w:rPr>
          <w:b/>
          <w:bCs/>
          <w:color w:val="0000FF"/>
          <w:szCs w:val="20"/>
        </w:rPr>
      </w:pPr>
    </w:p>
    <w:p w:rsidR="00E859B5" w:rsidRPr="00FA3856" w:rsidRDefault="00E859B5" w:rsidP="00867F54">
      <w:pPr>
        <w:pStyle w:val="Ttulo4"/>
      </w:pPr>
      <w:bookmarkStart w:id="210" w:name="_Toc479713736"/>
      <w:r w:rsidRPr="00FA3856">
        <w:lastRenderedPageBreak/>
        <w:t>Registro M415: Identificação de Processos Judiciais e Administrativos Referentes ao Lançamento</w:t>
      </w:r>
      <w:bookmarkEnd w:id="210"/>
    </w:p>
    <w:p w:rsidR="00E859B5" w:rsidRPr="00FA3856" w:rsidRDefault="00E859B5" w:rsidP="00E859B5">
      <w:pPr>
        <w:pStyle w:val="PSDS-MarcadoresNivel2"/>
        <w:numPr>
          <w:ilvl w:val="0"/>
          <w:numId w:val="0"/>
        </w:numPr>
        <w:spacing w:before="0" w:after="0"/>
        <w:ind w:left="360"/>
        <w:rPr>
          <w:rFonts w:ascii="Times New Roman" w:hAnsi="Times New Roman"/>
        </w:rPr>
      </w:pPr>
    </w:p>
    <w:p w:rsidR="00497FA8" w:rsidRPr="00FA3856" w:rsidRDefault="00497FA8" w:rsidP="00497FA8">
      <w:pPr>
        <w:ind w:firstLine="708"/>
        <w:rPr>
          <w:szCs w:val="20"/>
        </w:rPr>
      </w:pPr>
      <w:r w:rsidRPr="00FA3856">
        <w:rPr>
          <w:szCs w:val="20"/>
        </w:rPr>
        <w:t xml:space="preserve">Identifica os </w:t>
      </w:r>
      <w:r w:rsidR="001B58FE" w:rsidRPr="00FA3856">
        <w:rPr>
          <w:szCs w:val="20"/>
        </w:rPr>
        <w:t>processos</w:t>
      </w:r>
      <w:r w:rsidRPr="00FA3856">
        <w:rPr>
          <w:szCs w:val="20"/>
        </w:rPr>
        <w:t xml:space="preserve"> judiciais ou administrativos utilizados que embasaram adições menores que as previstas na legislação ou falta de adição e exclusões maiores que as previstas na legislação na parte B do e-Lalur ou do e-Lacs (tratamento diverso do regramento fiscal). </w:t>
      </w:r>
    </w:p>
    <w:p w:rsidR="00DD1F7B" w:rsidRDefault="00DD1F7B" w:rsidP="00AB0707">
      <w:pPr>
        <w:pStyle w:val="Corpodetexto"/>
        <w:rPr>
          <w:rFonts w:ascii="Times New Roman" w:hAnsi="Times New Roman"/>
          <w:b/>
          <w:color w:val="002060"/>
          <w:szCs w:val="20"/>
        </w:rPr>
      </w:pPr>
    </w:p>
    <w:p w:rsidR="00DD1F7B" w:rsidRDefault="00B35FA3" w:rsidP="00DD1F7B">
      <w:pPr>
        <w:pStyle w:val="Corpodetexto"/>
        <w:jc w:val="center"/>
        <w:rPr>
          <w:rFonts w:ascii="Times New Roman" w:hAnsi="Times New Roman"/>
          <w:b/>
          <w:color w:val="002060"/>
          <w:szCs w:val="20"/>
        </w:rPr>
      </w:pPr>
      <w:r>
        <w:rPr>
          <w:rFonts w:ascii="Times New Roman" w:hAnsi="Times New Roman"/>
          <w:b/>
          <w:color w:val="002060"/>
          <w:szCs w:val="20"/>
        </w:rPr>
        <w:object w:dxaOrig="13845" w:dyaOrig="3165">
          <v:shape id="_x0000_i1723" type="#_x0000_t75" style="width:690.75pt;height:158.25pt" o:ole="">
            <v:imagedata r:id="rId330" o:title=""/>
          </v:shape>
          <o:OLEObject Type="Link" ProgID="Excel.Sheet.12" ShapeID="_x0000_i1723" DrawAspect="Content" r:id="rId331" UpdateMode="Always">
            <o:LinkType>EnhancedMetaFile</o:LinkType>
            <o:LockedField>false</o:LockedField>
          </o:OLEObject>
        </w:object>
      </w:r>
    </w:p>
    <w:p w:rsidR="00DD1F7B" w:rsidRDefault="00DD1F7B" w:rsidP="00AB0707">
      <w:pPr>
        <w:pStyle w:val="Corpodetexto"/>
        <w:rPr>
          <w:rFonts w:ascii="Times New Roman" w:hAnsi="Times New Roman"/>
          <w:b/>
          <w:color w:val="002060"/>
          <w:szCs w:val="20"/>
        </w:rPr>
      </w:pPr>
    </w:p>
    <w:p w:rsidR="00342F1D" w:rsidRDefault="00AB0707" w:rsidP="00AB0707">
      <w:pPr>
        <w:pStyle w:val="Corpodetexto"/>
        <w:rPr>
          <w:rFonts w:ascii="Times New Roman" w:hAnsi="Times New Roman"/>
          <w:b/>
          <w:color w:val="002060"/>
          <w:szCs w:val="20"/>
        </w:rPr>
      </w:pPr>
      <w:r w:rsidRPr="00FA3856">
        <w:rPr>
          <w:rFonts w:ascii="Times New Roman" w:hAnsi="Times New Roman"/>
          <w:b/>
          <w:color w:val="002060"/>
          <w:szCs w:val="20"/>
        </w:rPr>
        <w:t xml:space="preserve">Exemplo de Preenchimento: </w:t>
      </w:r>
    </w:p>
    <w:p w:rsidR="00342F1D" w:rsidRDefault="00342F1D" w:rsidP="00AB0707">
      <w:pPr>
        <w:pStyle w:val="Corpodetexto"/>
        <w:rPr>
          <w:rFonts w:ascii="Times New Roman" w:hAnsi="Times New Roman"/>
          <w:b/>
          <w:color w:val="002060"/>
          <w:szCs w:val="20"/>
        </w:rPr>
      </w:pPr>
    </w:p>
    <w:p w:rsidR="00AB0707" w:rsidRPr="00FA3856" w:rsidRDefault="00AB0707" w:rsidP="00AB0707">
      <w:pPr>
        <w:pStyle w:val="Corpodetexto"/>
        <w:rPr>
          <w:rFonts w:ascii="Times New Roman" w:hAnsi="Times New Roman"/>
          <w:b/>
          <w:color w:val="002060"/>
          <w:szCs w:val="20"/>
        </w:rPr>
      </w:pPr>
      <w:r w:rsidRPr="00FA3856">
        <w:rPr>
          <w:rFonts w:ascii="Times New Roman" w:hAnsi="Times New Roman"/>
          <w:b/>
          <w:color w:val="002060"/>
          <w:szCs w:val="20"/>
        </w:rPr>
        <w:t>|M415|1|123456789|</w:t>
      </w:r>
    </w:p>
    <w:p w:rsidR="00AB0707" w:rsidRPr="00FA3856" w:rsidRDefault="00AB0707" w:rsidP="00AB0707">
      <w:pPr>
        <w:pStyle w:val="Corpodetexto"/>
        <w:ind w:firstLine="708"/>
        <w:rPr>
          <w:rFonts w:ascii="Times New Roman" w:hAnsi="Times New Roman"/>
          <w:color w:val="002060"/>
          <w:szCs w:val="20"/>
        </w:rPr>
      </w:pPr>
      <w:r w:rsidRPr="00FA3856">
        <w:rPr>
          <w:rFonts w:ascii="Times New Roman" w:hAnsi="Times New Roman"/>
          <w:color w:val="002060"/>
          <w:szCs w:val="20"/>
        </w:rPr>
        <w:t>|M415|: Identificação do tipo do registro.</w:t>
      </w:r>
    </w:p>
    <w:p w:rsidR="00E859B5" w:rsidRPr="00FA3856" w:rsidRDefault="00AB0707" w:rsidP="00AB0707">
      <w:pPr>
        <w:pStyle w:val="Corpodetexto"/>
        <w:ind w:firstLine="708"/>
        <w:rPr>
          <w:rFonts w:ascii="Times New Roman" w:hAnsi="Times New Roman"/>
          <w:color w:val="002060"/>
          <w:szCs w:val="20"/>
        </w:rPr>
      </w:pPr>
      <w:r w:rsidRPr="00FA3856">
        <w:rPr>
          <w:rFonts w:ascii="Times New Roman" w:hAnsi="Times New Roman"/>
          <w:color w:val="002060"/>
          <w:szCs w:val="20"/>
        </w:rPr>
        <w:t>|1|: Tipo do processo (1 = Judicial).</w:t>
      </w:r>
    </w:p>
    <w:p w:rsidR="00AB0707" w:rsidRPr="00FA3856" w:rsidRDefault="00AB0707" w:rsidP="00AB0707">
      <w:pPr>
        <w:pStyle w:val="Corpodetexto"/>
        <w:ind w:firstLine="708"/>
        <w:rPr>
          <w:rFonts w:ascii="Times New Roman" w:hAnsi="Times New Roman"/>
          <w:szCs w:val="20"/>
          <w:lang w:val="pt-PT"/>
        </w:rPr>
      </w:pPr>
      <w:r w:rsidRPr="00FA3856">
        <w:rPr>
          <w:rFonts w:ascii="Times New Roman" w:hAnsi="Times New Roman"/>
          <w:color w:val="002060"/>
          <w:szCs w:val="20"/>
        </w:rPr>
        <w:t>|123456789|: Número do processo.</w:t>
      </w:r>
    </w:p>
    <w:p w:rsidR="00AB0707" w:rsidRPr="00FA3856" w:rsidRDefault="00AB0707">
      <w:pPr>
        <w:spacing w:after="200" w:line="276" w:lineRule="auto"/>
        <w:rPr>
          <w:b/>
          <w:bCs/>
          <w:color w:val="0000FF"/>
          <w:szCs w:val="20"/>
        </w:rPr>
      </w:pPr>
      <w:r w:rsidRPr="00FA3856">
        <w:rPr>
          <w:color w:val="0000FF"/>
          <w:szCs w:val="20"/>
        </w:rPr>
        <w:br w:type="page"/>
      </w:r>
    </w:p>
    <w:p w:rsidR="00E859B5" w:rsidRPr="00FA3856" w:rsidRDefault="00E859B5" w:rsidP="00867F54">
      <w:pPr>
        <w:pStyle w:val="Ttulo4"/>
      </w:pPr>
      <w:bookmarkStart w:id="211" w:name="_Toc479713737"/>
      <w:r w:rsidRPr="00FA3856">
        <w:lastRenderedPageBreak/>
        <w:t xml:space="preserve">Registro M500: </w:t>
      </w:r>
      <w:r w:rsidR="0046613B" w:rsidRPr="00FA3856">
        <w:t>Controle de Saldos das Contas da Parte B do e-Lalur e do e-Lacs</w:t>
      </w:r>
      <w:bookmarkEnd w:id="211"/>
    </w:p>
    <w:p w:rsidR="00E859B5" w:rsidRPr="00FA3856" w:rsidRDefault="00E859B5" w:rsidP="00E859B5">
      <w:pPr>
        <w:pStyle w:val="PSDS-MarcadoresNivel2"/>
        <w:numPr>
          <w:ilvl w:val="0"/>
          <w:numId w:val="0"/>
        </w:numPr>
        <w:spacing w:before="0" w:after="0"/>
        <w:ind w:left="360"/>
        <w:rPr>
          <w:rFonts w:ascii="Times New Roman" w:hAnsi="Times New Roman"/>
        </w:rPr>
      </w:pPr>
    </w:p>
    <w:p w:rsidR="00E859B5" w:rsidRPr="00FA3856" w:rsidRDefault="0046613B" w:rsidP="00E859B5">
      <w:pPr>
        <w:ind w:firstLine="708"/>
        <w:rPr>
          <w:szCs w:val="20"/>
        </w:rPr>
      </w:pPr>
      <w:r w:rsidRPr="00FA3856">
        <w:rPr>
          <w:szCs w:val="20"/>
        </w:rPr>
        <w:t>Apresenta a visão sintética do controle de saldos das contas da parte B do e-LALUR e e-LACS. Registro gerado pelo sistema a partir do saldo inicial e das movimentações.</w:t>
      </w:r>
    </w:p>
    <w:p w:rsidR="0046613B" w:rsidRPr="00FA3856" w:rsidRDefault="0046613B" w:rsidP="00E859B5">
      <w:pPr>
        <w:ind w:firstLine="708"/>
        <w:rPr>
          <w:szCs w:val="20"/>
        </w:rPr>
      </w:pPr>
    </w:p>
    <w:p w:rsidR="0046613B" w:rsidRPr="00FA3856" w:rsidRDefault="0046613B" w:rsidP="0046613B">
      <w:pPr>
        <w:ind w:firstLine="708"/>
        <w:rPr>
          <w:szCs w:val="20"/>
        </w:rPr>
      </w:pPr>
      <w:r w:rsidRPr="00FA3856">
        <w:rPr>
          <w:szCs w:val="20"/>
        </w:rPr>
        <w:t>- Os campos SD_FIM_LAL e IND_SD_FIM do último período serão transportados para o E020 da próxima ECF.</w:t>
      </w:r>
    </w:p>
    <w:p w:rsidR="0046613B" w:rsidRPr="00FA3856" w:rsidRDefault="0046613B" w:rsidP="0046613B">
      <w:pPr>
        <w:ind w:firstLine="708"/>
        <w:rPr>
          <w:szCs w:val="20"/>
        </w:rPr>
      </w:pPr>
      <w:r w:rsidRPr="00FA3856">
        <w:rPr>
          <w:szCs w:val="20"/>
        </w:rPr>
        <w:t>- Quando a escrituração for trimestral, o saldo final do período será transportado para o saldo inicial do período seguinte.</w:t>
      </w:r>
    </w:p>
    <w:p w:rsidR="0046613B" w:rsidRPr="00FA3856" w:rsidRDefault="0046613B" w:rsidP="0046613B">
      <w:pPr>
        <w:ind w:firstLine="708"/>
        <w:rPr>
          <w:szCs w:val="20"/>
        </w:rPr>
      </w:pPr>
      <w:r w:rsidRPr="00FA3856">
        <w:rPr>
          <w:szCs w:val="20"/>
        </w:rPr>
        <w:t xml:space="preserve">- O valor do </w:t>
      </w:r>
      <w:r w:rsidRPr="00FA3856">
        <w:rPr>
          <w:szCs w:val="20"/>
          <w:lang w:val="pt-PT"/>
        </w:rPr>
        <w:t>SD_INI_LAL do primeiro período será igual ao saldo inicial do registro M010.</w:t>
      </w:r>
    </w:p>
    <w:p w:rsidR="00BE6B28" w:rsidRDefault="00BE6B28" w:rsidP="006B7245">
      <w:pPr>
        <w:pStyle w:val="Corpodetexto"/>
        <w:rPr>
          <w:rFonts w:ascii="Times New Roman" w:hAnsi="Times New Roman"/>
          <w:b/>
          <w:color w:val="002060"/>
          <w:szCs w:val="20"/>
        </w:rPr>
      </w:pPr>
    </w:p>
    <w:p w:rsidR="00BE6B28" w:rsidRDefault="00B35FA3" w:rsidP="00BE6B28">
      <w:pPr>
        <w:pStyle w:val="Corpodetexto"/>
        <w:jc w:val="center"/>
        <w:rPr>
          <w:rFonts w:ascii="Times New Roman" w:hAnsi="Times New Roman"/>
          <w:b/>
          <w:color w:val="002060"/>
          <w:szCs w:val="20"/>
        </w:rPr>
      </w:pPr>
      <w:r>
        <w:rPr>
          <w:rFonts w:ascii="Times New Roman" w:hAnsi="Times New Roman"/>
          <w:b/>
          <w:color w:val="002060"/>
          <w:szCs w:val="20"/>
        </w:rPr>
        <w:object w:dxaOrig="14085" w:dyaOrig="7050">
          <v:shape id="_x0000_i1725" type="#_x0000_t75" style="width:704.25pt;height:352.5pt" o:ole="">
            <v:imagedata r:id="rId332" o:title=""/>
          </v:shape>
          <o:OLEObject Type="Link" ProgID="Excel.Sheet.12" ShapeID="_x0000_i1725" DrawAspect="Content" r:id="rId333" UpdateMode="Always">
            <o:LinkType>EnhancedMetaFile</o:LinkType>
            <o:LockedField>false</o:LockedField>
          </o:OLEObject>
        </w:object>
      </w:r>
    </w:p>
    <w:p w:rsidR="00D5387E" w:rsidRDefault="00D5387E" w:rsidP="00210652">
      <w:pPr>
        <w:spacing w:after="200" w:line="276" w:lineRule="auto"/>
        <w:jc w:val="center"/>
        <w:rPr>
          <w:b/>
          <w:color w:val="002060"/>
          <w:szCs w:val="20"/>
        </w:rPr>
      </w:pPr>
    </w:p>
    <w:p w:rsidR="003C67BC" w:rsidRDefault="00B35FA3" w:rsidP="00210652">
      <w:pPr>
        <w:spacing w:after="200" w:line="276" w:lineRule="auto"/>
        <w:jc w:val="center"/>
        <w:rPr>
          <w:b/>
          <w:color w:val="002060"/>
          <w:szCs w:val="20"/>
        </w:rPr>
      </w:pPr>
      <w:r>
        <w:rPr>
          <w:b/>
          <w:color w:val="002060"/>
          <w:szCs w:val="20"/>
        </w:rPr>
        <w:object w:dxaOrig="14085" w:dyaOrig="3690">
          <v:shape id="_x0000_i1727" type="#_x0000_t75" style="width:704.25pt;height:188.25pt" o:ole="">
            <v:imagedata r:id="rId334" o:title=""/>
          </v:shape>
          <o:OLEObject Type="Link" ProgID="Excel.Sheet.12" ShapeID="_x0000_i1727" DrawAspect="Content" r:id="rId335" UpdateMode="Always">
            <o:LinkType>EnhancedMetaFile</o:LinkType>
            <o:LockedField>false</o:LockedField>
          </o:OLEObject>
        </w:object>
      </w:r>
    </w:p>
    <w:p w:rsidR="0026297D" w:rsidRDefault="006B7245" w:rsidP="006B7245">
      <w:pPr>
        <w:pStyle w:val="Corpodetexto"/>
        <w:rPr>
          <w:rFonts w:ascii="Times New Roman" w:hAnsi="Times New Roman"/>
          <w:b/>
          <w:color w:val="002060"/>
          <w:szCs w:val="20"/>
        </w:rPr>
      </w:pPr>
      <w:r w:rsidRPr="00FA3856">
        <w:rPr>
          <w:rFonts w:ascii="Times New Roman" w:hAnsi="Times New Roman"/>
          <w:b/>
          <w:color w:val="002060"/>
          <w:szCs w:val="20"/>
        </w:rPr>
        <w:t xml:space="preserve">Exemplo de Preenchimento: </w:t>
      </w:r>
    </w:p>
    <w:p w:rsidR="0026297D" w:rsidRDefault="0026297D" w:rsidP="006B7245">
      <w:pPr>
        <w:pStyle w:val="Corpodetexto"/>
        <w:rPr>
          <w:rFonts w:ascii="Times New Roman" w:hAnsi="Times New Roman"/>
          <w:b/>
          <w:color w:val="002060"/>
          <w:szCs w:val="20"/>
        </w:rPr>
      </w:pPr>
    </w:p>
    <w:p w:rsidR="006B7245" w:rsidRPr="00FA3856" w:rsidRDefault="006B7245" w:rsidP="006B7245">
      <w:pPr>
        <w:pStyle w:val="Corpodetexto"/>
        <w:rPr>
          <w:rFonts w:ascii="Times New Roman" w:hAnsi="Times New Roman"/>
          <w:b/>
          <w:color w:val="002060"/>
          <w:szCs w:val="20"/>
        </w:rPr>
      </w:pPr>
      <w:r w:rsidRPr="00FA3856">
        <w:rPr>
          <w:rFonts w:ascii="Times New Roman" w:hAnsi="Times New Roman"/>
          <w:b/>
          <w:color w:val="002060"/>
          <w:szCs w:val="20"/>
        </w:rPr>
        <w:t>|M500|101|1000,00|C|500,00|D|100,00|D|400,00|C|</w:t>
      </w:r>
    </w:p>
    <w:p w:rsidR="006B7245" w:rsidRPr="00FA3856" w:rsidRDefault="006B7245" w:rsidP="006B7245">
      <w:pPr>
        <w:pStyle w:val="Corpodetexto"/>
        <w:ind w:firstLine="708"/>
        <w:rPr>
          <w:rFonts w:ascii="Times New Roman" w:hAnsi="Times New Roman"/>
          <w:color w:val="002060"/>
          <w:szCs w:val="20"/>
        </w:rPr>
      </w:pPr>
      <w:r w:rsidRPr="00FA3856">
        <w:rPr>
          <w:rFonts w:ascii="Times New Roman" w:hAnsi="Times New Roman"/>
          <w:color w:val="002060"/>
          <w:szCs w:val="20"/>
        </w:rPr>
        <w:t>|M500|: Identificação do tipo do registro.</w:t>
      </w:r>
    </w:p>
    <w:p w:rsidR="006B7245" w:rsidRPr="00FA3856" w:rsidRDefault="006B7245" w:rsidP="006B7245">
      <w:pPr>
        <w:pStyle w:val="Corpodetexto"/>
        <w:ind w:firstLine="708"/>
        <w:rPr>
          <w:rFonts w:ascii="Times New Roman" w:hAnsi="Times New Roman"/>
          <w:color w:val="002060"/>
          <w:szCs w:val="20"/>
        </w:rPr>
      </w:pPr>
      <w:r w:rsidRPr="00FA3856">
        <w:rPr>
          <w:rFonts w:ascii="Times New Roman" w:hAnsi="Times New Roman"/>
          <w:color w:val="002060"/>
          <w:szCs w:val="20"/>
        </w:rPr>
        <w:t>|101|: Código da conta da parte B (criado pelo contribuinte).</w:t>
      </w:r>
    </w:p>
    <w:p w:rsidR="006B7245" w:rsidRPr="00FA3856" w:rsidRDefault="006B7245" w:rsidP="006B7245">
      <w:pPr>
        <w:pStyle w:val="Corpodetexto"/>
        <w:ind w:firstLine="708"/>
        <w:rPr>
          <w:rFonts w:ascii="Times New Roman" w:hAnsi="Times New Roman"/>
          <w:color w:val="002060"/>
          <w:szCs w:val="20"/>
        </w:rPr>
      </w:pPr>
      <w:r w:rsidRPr="00FA3856">
        <w:rPr>
          <w:rFonts w:ascii="Times New Roman" w:hAnsi="Times New Roman"/>
          <w:color w:val="002060"/>
          <w:szCs w:val="20"/>
        </w:rPr>
        <w:t>|1000,00|: Saldo inicial da conta da parte B (R$ 1.000,00).</w:t>
      </w:r>
    </w:p>
    <w:p w:rsidR="006B7245" w:rsidRPr="00FA3856" w:rsidRDefault="006B7245" w:rsidP="006B7245">
      <w:pPr>
        <w:pStyle w:val="Corpodetexto"/>
        <w:ind w:firstLine="708"/>
        <w:rPr>
          <w:rFonts w:ascii="Times New Roman" w:hAnsi="Times New Roman"/>
          <w:color w:val="002060"/>
          <w:szCs w:val="20"/>
        </w:rPr>
      </w:pPr>
      <w:r w:rsidRPr="00FA3856">
        <w:rPr>
          <w:rFonts w:ascii="Times New Roman" w:hAnsi="Times New Roman"/>
          <w:color w:val="002060"/>
          <w:szCs w:val="20"/>
        </w:rPr>
        <w:t>|C|: Indicador do saldo inicial (C = Credor).</w:t>
      </w:r>
    </w:p>
    <w:p w:rsidR="006B7245" w:rsidRPr="00FA3856" w:rsidRDefault="006B7245" w:rsidP="006B7245">
      <w:pPr>
        <w:pStyle w:val="Corpodetexto"/>
        <w:ind w:firstLine="708"/>
        <w:rPr>
          <w:rFonts w:ascii="Times New Roman" w:hAnsi="Times New Roman"/>
          <w:color w:val="002060"/>
          <w:szCs w:val="20"/>
        </w:rPr>
      </w:pPr>
      <w:r w:rsidRPr="00FA3856">
        <w:rPr>
          <w:rFonts w:ascii="Times New Roman" w:hAnsi="Times New Roman"/>
          <w:color w:val="002060"/>
          <w:szCs w:val="20"/>
        </w:rPr>
        <w:t>|500,00|: Valor do lançamento da parte B com reflexo na parte A (R$ 500,00).</w:t>
      </w:r>
    </w:p>
    <w:p w:rsidR="006B7245" w:rsidRPr="00FA3856" w:rsidRDefault="006B7245" w:rsidP="006B7245">
      <w:pPr>
        <w:pStyle w:val="Corpodetexto"/>
        <w:ind w:firstLine="708"/>
        <w:rPr>
          <w:rFonts w:ascii="Times New Roman" w:hAnsi="Times New Roman"/>
          <w:color w:val="002060"/>
          <w:szCs w:val="20"/>
        </w:rPr>
      </w:pPr>
      <w:r w:rsidRPr="00FA3856">
        <w:rPr>
          <w:rFonts w:ascii="Times New Roman" w:hAnsi="Times New Roman"/>
          <w:color w:val="002060"/>
          <w:szCs w:val="20"/>
        </w:rPr>
        <w:t>|D|: Indicador do lançamento da parte B com reflexo na parte A (D = Devedor).</w:t>
      </w:r>
    </w:p>
    <w:p w:rsidR="006B7245" w:rsidRPr="00FA3856" w:rsidRDefault="006B7245" w:rsidP="006B7245">
      <w:pPr>
        <w:pStyle w:val="Corpodetexto"/>
        <w:ind w:firstLine="708"/>
        <w:rPr>
          <w:rFonts w:ascii="Times New Roman" w:hAnsi="Times New Roman"/>
          <w:color w:val="002060"/>
          <w:szCs w:val="20"/>
        </w:rPr>
      </w:pPr>
      <w:r w:rsidRPr="00FA3856">
        <w:rPr>
          <w:rFonts w:ascii="Times New Roman" w:hAnsi="Times New Roman"/>
          <w:color w:val="002060"/>
          <w:szCs w:val="20"/>
        </w:rPr>
        <w:t>|100,00|: Valor do lançamento da parte B sem reflexo na parte A (R$ 100,00).</w:t>
      </w:r>
    </w:p>
    <w:p w:rsidR="006B7245" w:rsidRPr="00FA3856" w:rsidRDefault="006B7245" w:rsidP="006B7245">
      <w:pPr>
        <w:pStyle w:val="Corpodetexto"/>
        <w:ind w:firstLine="708"/>
        <w:rPr>
          <w:rFonts w:ascii="Times New Roman" w:hAnsi="Times New Roman"/>
          <w:color w:val="002060"/>
          <w:szCs w:val="20"/>
        </w:rPr>
      </w:pPr>
      <w:r w:rsidRPr="00FA3856">
        <w:rPr>
          <w:rFonts w:ascii="Times New Roman" w:hAnsi="Times New Roman"/>
          <w:color w:val="002060"/>
          <w:szCs w:val="20"/>
        </w:rPr>
        <w:t>|D|: Indicador do lançamento da parte B sem reflexo na parte A (D = Devedor).</w:t>
      </w:r>
    </w:p>
    <w:p w:rsidR="006B7245" w:rsidRPr="00FA3856" w:rsidRDefault="006B7245" w:rsidP="006B7245">
      <w:pPr>
        <w:pStyle w:val="Corpodetexto"/>
        <w:ind w:firstLine="708"/>
        <w:rPr>
          <w:rFonts w:ascii="Times New Roman" w:hAnsi="Times New Roman"/>
          <w:color w:val="002060"/>
          <w:szCs w:val="20"/>
        </w:rPr>
      </w:pPr>
      <w:r w:rsidRPr="00FA3856">
        <w:rPr>
          <w:rFonts w:ascii="Times New Roman" w:hAnsi="Times New Roman"/>
          <w:color w:val="002060"/>
          <w:szCs w:val="20"/>
        </w:rPr>
        <w:t>|400,00|: Saldo final da conta da parte B (R$ 400,00 = R$ 1.000,00 – R$ 500,00 – R$ 100,00).</w:t>
      </w:r>
    </w:p>
    <w:p w:rsidR="006B7245" w:rsidRPr="00FA3856" w:rsidRDefault="006B7245" w:rsidP="006B7245">
      <w:pPr>
        <w:pStyle w:val="Corpodetexto"/>
        <w:ind w:firstLine="708"/>
        <w:rPr>
          <w:rFonts w:ascii="Times New Roman" w:hAnsi="Times New Roman"/>
          <w:color w:val="002060"/>
          <w:szCs w:val="20"/>
        </w:rPr>
      </w:pPr>
      <w:r w:rsidRPr="00FA3856">
        <w:rPr>
          <w:rFonts w:ascii="Times New Roman" w:hAnsi="Times New Roman"/>
          <w:color w:val="002060"/>
          <w:szCs w:val="20"/>
        </w:rPr>
        <w:t>|C|: Indicador do saldo final (C = Credor).</w:t>
      </w:r>
    </w:p>
    <w:p w:rsidR="00AE3B34" w:rsidRPr="00FA3856" w:rsidRDefault="00AE3B34">
      <w:pPr>
        <w:spacing w:after="200" w:line="276" w:lineRule="auto"/>
        <w:rPr>
          <w:b/>
          <w:bCs/>
          <w:color w:val="0000FF"/>
          <w:szCs w:val="20"/>
        </w:rPr>
      </w:pPr>
      <w:r w:rsidRPr="00FA3856">
        <w:rPr>
          <w:color w:val="0000FF"/>
          <w:szCs w:val="20"/>
        </w:rPr>
        <w:br w:type="page"/>
      </w:r>
    </w:p>
    <w:p w:rsidR="00BC760B" w:rsidRDefault="00BC760B" w:rsidP="00867F54">
      <w:pPr>
        <w:pStyle w:val="Ttulo4"/>
      </w:pPr>
      <w:bookmarkStart w:id="212" w:name="_Toc479713738"/>
      <w:r w:rsidRPr="00FA3856">
        <w:lastRenderedPageBreak/>
        <w:t>Registro M990: Encerramento do Bloco M</w:t>
      </w:r>
      <w:bookmarkEnd w:id="212"/>
    </w:p>
    <w:p w:rsidR="00D5387E" w:rsidRPr="00D5387E" w:rsidRDefault="00D5387E" w:rsidP="00D5387E"/>
    <w:p w:rsidR="00D5387E" w:rsidRDefault="00B35FA3" w:rsidP="00D5387E">
      <w:pPr>
        <w:pStyle w:val="Corpodetexto"/>
        <w:jc w:val="center"/>
        <w:rPr>
          <w:rFonts w:ascii="Times New Roman" w:hAnsi="Times New Roman"/>
          <w:b/>
          <w:color w:val="002060"/>
          <w:szCs w:val="20"/>
        </w:rPr>
      </w:pPr>
      <w:r>
        <w:rPr>
          <w:rFonts w:ascii="Times New Roman" w:hAnsi="Times New Roman"/>
          <w:b/>
          <w:color w:val="002060"/>
          <w:szCs w:val="20"/>
        </w:rPr>
        <w:object w:dxaOrig="14295" w:dyaOrig="2310">
          <v:shape id="_x0000_i1729" type="#_x0000_t75" style="width:712.5pt;height:115.5pt" o:ole="">
            <v:imagedata r:id="rId336" o:title=""/>
          </v:shape>
          <o:OLEObject Type="Link" ProgID="Excel.Sheet.12" ShapeID="_x0000_i1729" DrawAspect="Content" r:id="rId337" UpdateMode="Always">
            <o:LinkType>EnhancedMetaFile</o:LinkType>
            <o:LockedField>false</o:LockedField>
          </o:OLEObject>
        </w:object>
      </w:r>
    </w:p>
    <w:p w:rsidR="00D5387E" w:rsidRDefault="00D5387E" w:rsidP="00D5387E">
      <w:pPr>
        <w:pStyle w:val="Corpodetexto"/>
        <w:jc w:val="center"/>
        <w:rPr>
          <w:rFonts w:ascii="Times New Roman" w:hAnsi="Times New Roman"/>
          <w:b/>
          <w:color w:val="002060"/>
          <w:szCs w:val="20"/>
        </w:rPr>
      </w:pPr>
    </w:p>
    <w:p w:rsidR="0026297D" w:rsidRDefault="00407813" w:rsidP="00407813">
      <w:pPr>
        <w:pStyle w:val="Corpodetexto"/>
        <w:rPr>
          <w:rFonts w:ascii="Times New Roman" w:hAnsi="Times New Roman"/>
          <w:b/>
          <w:color w:val="002060"/>
          <w:szCs w:val="20"/>
        </w:rPr>
      </w:pPr>
      <w:r w:rsidRPr="00FA3856">
        <w:rPr>
          <w:rFonts w:ascii="Times New Roman" w:hAnsi="Times New Roman"/>
          <w:b/>
          <w:color w:val="002060"/>
          <w:szCs w:val="20"/>
        </w:rPr>
        <w:t xml:space="preserve">Exemplo de Preenchimento: </w:t>
      </w:r>
    </w:p>
    <w:p w:rsidR="0026297D" w:rsidRDefault="0026297D" w:rsidP="00407813">
      <w:pPr>
        <w:pStyle w:val="Corpodetexto"/>
        <w:rPr>
          <w:rFonts w:ascii="Times New Roman" w:hAnsi="Times New Roman"/>
          <w:b/>
          <w:color w:val="002060"/>
          <w:szCs w:val="20"/>
        </w:rPr>
      </w:pPr>
    </w:p>
    <w:p w:rsidR="00407813" w:rsidRPr="00FA3856" w:rsidRDefault="00407813" w:rsidP="00407813">
      <w:pPr>
        <w:pStyle w:val="Corpodetexto"/>
        <w:rPr>
          <w:rFonts w:ascii="Times New Roman" w:hAnsi="Times New Roman"/>
          <w:b/>
          <w:color w:val="002060"/>
          <w:szCs w:val="20"/>
        </w:rPr>
      </w:pPr>
      <w:r w:rsidRPr="00FA3856">
        <w:rPr>
          <w:rFonts w:ascii="Times New Roman" w:hAnsi="Times New Roman"/>
          <w:b/>
          <w:color w:val="002060"/>
          <w:szCs w:val="20"/>
        </w:rPr>
        <w:t>|M990|2000|</w:t>
      </w:r>
    </w:p>
    <w:p w:rsidR="00407813" w:rsidRPr="00FA3856" w:rsidRDefault="00407813" w:rsidP="00407813">
      <w:pPr>
        <w:pStyle w:val="Corpodetexto"/>
        <w:ind w:firstLine="708"/>
        <w:rPr>
          <w:rFonts w:ascii="Times New Roman" w:hAnsi="Times New Roman"/>
          <w:color w:val="002060"/>
          <w:szCs w:val="20"/>
        </w:rPr>
      </w:pPr>
      <w:r w:rsidRPr="00FA3856">
        <w:rPr>
          <w:rFonts w:ascii="Times New Roman" w:hAnsi="Times New Roman"/>
          <w:color w:val="002060"/>
          <w:szCs w:val="20"/>
        </w:rPr>
        <w:t>|M990|: Identificação do tipo do registro.</w:t>
      </w:r>
    </w:p>
    <w:p w:rsidR="00407813" w:rsidRPr="00FA3856" w:rsidRDefault="00407813" w:rsidP="00407813">
      <w:pPr>
        <w:pStyle w:val="Corpodetexto"/>
        <w:ind w:firstLine="708"/>
        <w:rPr>
          <w:rFonts w:ascii="Times New Roman" w:hAnsi="Times New Roman"/>
          <w:color w:val="002060"/>
          <w:szCs w:val="20"/>
        </w:rPr>
      </w:pPr>
      <w:r w:rsidRPr="00FA3856">
        <w:rPr>
          <w:rFonts w:ascii="Times New Roman" w:hAnsi="Times New Roman"/>
          <w:color w:val="002060"/>
          <w:szCs w:val="20"/>
        </w:rPr>
        <w:t>|2000|: A quantidade total de registros do Bloco M é 2.000 (dois mil registros).</w:t>
      </w:r>
    </w:p>
    <w:p w:rsidR="00407813" w:rsidRPr="00FA3856" w:rsidRDefault="00407813">
      <w:pPr>
        <w:spacing w:after="200" w:line="276" w:lineRule="auto"/>
        <w:rPr>
          <w:b/>
          <w:bCs/>
          <w:color w:val="0000FF"/>
          <w:szCs w:val="20"/>
        </w:rPr>
      </w:pPr>
      <w:r w:rsidRPr="00FA3856">
        <w:rPr>
          <w:color w:val="0000FF"/>
          <w:szCs w:val="20"/>
        </w:rPr>
        <w:br w:type="page"/>
      </w:r>
    </w:p>
    <w:p w:rsidR="0046613B" w:rsidRPr="00FA3856" w:rsidRDefault="0046613B" w:rsidP="00867F54">
      <w:pPr>
        <w:pStyle w:val="Ttulo3"/>
      </w:pPr>
      <w:bookmarkStart w:id="213" w:name="_Toc479713739"/>
      <w:r w:rsidRPr="00FA3856">
        <w:lastRenderedPageBreak/>
        <w:t xml:space="preserve">Bloco N: Cálculo do </w:t>
      </w:r>
      <w:r w:rsidR="002E6F04" w:rsidRPr="00FA3856">
        <w:t>IRPJ e da CSLL</w:t>
      </w:r>
      <w:r w:rsidR="009F7060" w:rsidRPr="00FA3856">
        <w:t xml:space="preserve"> – Lucro Real</w:t>
      </w:r>
      <w:bookmarkEnd w:id="213"/>
    </w:p>
    <w:p w:rsidR="0046613B" w:rsidRPr="00FA3856" w:rsidRDefault="0046613B" w:rsidP="0046613B">
      <w:pPr>
        <w:pStyle w:val="PSDS-MarcadoresNivel3"/>
        <w:tabs>
          <w:tab w:val="clear" w:pos="1440"/>
        </w:tabs>
        <w:spacing w:before="0" w:after="0"/>
        <w:ind w:left="720" w:firstLine="0"/>
        <w:rPr>
          <w:rFonts w:ascii="Times New Roman" w:hAnsi="Times New Roman" w:cs="Times New Roman"/>
          <w:szCs w:val="20"/>
        </w:rPr>
      </w:pPr>
    </w:p>
    <w:p w:rsidR="0046613B" w:rsidRPr="00FA3856" w:rsidRDefault="0046613B" w:rsidP="00867F54">
      <w:pPr>
        <w:pStyle w:val="Ttulo4"/>
      </w:pPr>
      <w:bookmarkStart w:id="214" w:name="_Toc479713740"/>
      <w:r w:rsidRPr="00FA3856">
        <w:t>Registro N001: Abertura do Bloco N</w:t>
      </w:r>
      <w:bookmarkEnd w:id="214"/>
    </w:p>
    <w:p w:rsidR="00D11680" w:rsidRDefault="00D11680" w:rsidP="0046613B">
      <w:pPr>
        <w:pStyle w:val="PSDS-MarcadoresNivel2"/>
        <w:numPr>
          <w:ilvl w:val="0"/>
          <w:numId w:val="0"/>
        </w:numPr>
        <w:rPr>
          <w:rFonts w:ascii="Times New Roman" w:hAnsi="Times New Roman"/>
        </w:rPr>
      </w:pPr>
    </w:p>
    <w:p w:rsidR="00D11680" w:rsidRDefault="00B35FA3" w:rsidP="00D11680">
      <w:pPr>
        <w:pStyle w:val="PSDS-MarcadoresNivel2"/>
        <w:numPr>
          <w:ilvl w:val="0"/>
          <w:numId w:val="0"/>
        </w:numPr>
        <w:jc w:val="center"/>
        <w:rPr>
          <w:rFonts w:ascii="Times New Roman" w:hAnsi="Times New Roman"/>
        </w:rPr>
      </w:pPr>
      <w:r>
        <w:rPr>
          <w:rFonts w:ascii="Times New Roman" w:hAnsi="Times New Roman"/>
        </w:rPr>
        <w:object w:dxaOrig="13335" w:dyaOrig="3090">
          <v:shape id="_x0000_i1731" type="#_x0000_t75" style="width:669.75pt;height:158.25pt" o:ole="">
            <v:imagedata r:id="rId338" o:title=""/>
          </v:shape>
          <o:OLEObject Type="Link" ProgID="Excel.Sheet.12" ShapeID="_x0000_i1731" DrawAspect="Content" r:id="rId339" UpdateMode="Always">
            <o:LinkType>EnhancedMetaFile</o:LinkType>
            <o:LockedField>false</o:LockedField>
          </o:OLEObject>
        </w:object>
      </w:r>
    </w:p>
    <w:p w:rsidR="00D11680" w:rsidRDefault="00D11680" w:rsidP="0046613B">
      <w:pPr>
        <w:pStyle w:val="PSDS-MarcadoresNivel2"/>
        <w:numPr>
          <w:ilvl w:val="0"/>
          <w:numId w:val="0"/>
        </w:numPr>
        <w:rPr>
          <w:rFonts w:ascii="Times New Roman" w:hAnsi="Times New Roman"/>
        </w:rPr>
      </w:pPr>
    </w:p>
    <w:p w:rsidR="0046613B" w:rsidRPr="00FA3856" w:rsidRDefault="0046613B" w:rsidP="0046613B">
      <w:pPr>
        <w:pStyle w:val="PSDS-MarcadoresNivel2"/>
        <w:numPr>
          <w:ilvl w:val="0"/>
          <w:numId w:val="0"/>
        </w:numPr>
        <w:rPr>
          <w:rFonts w:ascii="Times New Roman" w:hAnsi="Times New Roman"/>
        </w:rPr>
      </w:pPr>
      <w:r w:rsidRPr="00FA3856">
        <w:rPr>
          <w:rFonts w:ascii="Times New Roman" w:hAnsi="Times New Roman"/>
        </w:rPr>
        <w:t>I – Regras de Validação do Registro:</w:t>
      </w:r>
    </w:p>
    <w:p w:rsidR="0046613B" w:rsidRPr="00FA3856" w:rsidRDefault="0046613B" w:rsidP="0046613B">
      <w:pPr>
        <w:pStyle w:val="PSDS-MarcadoresNivel2"/>
        <w:numPr>
          <w:ilvl w:val="0"/>
          <w:numId w:val="0"/>
        </w:numPr>
        <w:rPr>
          <w:rFonts w:ascii="Times New Roman" w:hAnsi="Times New Roman"/>
        </w:rPr>
      </w:pPr>
    </w:p>
    <w:p w:rsidR="002E6F04" w:rsidRPr="00FA3856" w:rsidRDefault="007D0E74" w:rsidP="002E6F04">
      <w:pPr>
        <w:pStyle w:val="Corpodetexto"/>
        <w:ind w:left="708" w:firstLine="12"/>
        <w:rPr>
          <w:rFonts w:ascii="Times New Roman" w:hAnsi="Times New Roman"/>
          <w:szCs w:val="20"/>
        </w:rPr>
      </w:pPr>
      <w:hyperlink r:id="rId340" w:anchor="REGRA_OCORRENCIA_UNITARIA_ARQ" w:history="1">
        <w:r w:rsidR="0046613B" w:rsidRPr="00FA3856">
          <w:rPr>
            <w:rFonts w:ascii="Times New Roman" w:hAnsi="Times New Roman"/>
            <w:b/>
            <w:szCs w:val="20"/>
          </w:rPr>
          <w:t>REGRA_OCORRENCIA_UNITARIA_ARQ</w:t>
        </w:r>
      </w:hyperlink>
      <w:r w:rsidR="0046613B" w:rsidRPr="00FA3856">
        <w:rPr>
          <w:rFonts w:ascii="Times New Roman" w:hAnsi="Times New Roman"/>
          <w:color w:val="auto"/>
          <w:szCs w:val="20"/>
        </w:rPr>
        <w:t xml:space="preserve">: </w:t>
      </w:r>
      <w:r w:rsidR="0046613B" w:rsidRPr="00FA3856">
        <w:rPr>
          <w:rFonts w:ascii="Times New Roman" w:hAnsi="Times New Roman"/>
          <w:szCs w:val="20"/>
        </w:rPr>
        <w:t>Verifica se registro ocorreu apenas uma vez por arquivo, considerando a chave “N001” (REG). Se a regra não fo</w:t>
      </w:r>
      <w:r w:rsidR="002E6F04" w:rsidRPr="00FA3856">
        <w:rPr>
          <w:rFonts w:ascii="Times New Roman" w:hAnsi="Times New Roman"/>
          <w:szCs w:val="20"/>
        </w:rPr>
        <w:t>r cumprida, a ECF gera um erro.</w:t>
      </w:r>
    </w:p>
    <w:p w:rsidR="00213A24" w:rsidRPr="00FA3856" w:rsidRDefault="00213A24" w:rsidP="002E6F04">
      <w:pPr>
        <w:pStyle w:val="Corpodetexto"/>
        <w:ind w:left="708" w:firstLine="12"/>
        <w:rPr>
          <w:rFonts w:ascii="Times New Roman" w:hAnsi="Times New Roman"/>
          <w:szCs w:val="20"/>
        </w:rPr>
      </w:pPr>
    </w:p>
    <w:p w:rsidR="003E7A35" w:rsidRDefault="00E506D3" w:rsidP="00E506D3">
      <w:pPr>
        <w:pStyle w:val="Corpodetexto"/>
        <w:rPr>
          <w:rFonts w:ascii="Times New Roman" w:hAnsi="Times New Roman"/>
          <w:b/>
          <w:color w:val="002060"/>
          <w:szCs w:val="20"/>
        </w:rPr>
      </w:pPr>
      <w:r w:rsidRPr="00FA3856">
        <w:rPr>
          <w:rFonts w:ascii="Times New Roman" w:hAnsi="Times New Roman"/>
          <w:b/>
          <w:color w:val="002060"/>
          <w:szCs w:val="20"/>
        </w:rPr>
        <w:t xml:space="preserve">Exemplo de Preenchimento: </w:t>
      </w:r>
    </w:p>
    <w:p w:rsidR="003E7A35" w:rsidRDefault="003E7A35" w:rsidP="00E506D3">
      <w:pPr>
        <w:pStyle w:val="Corpodetexto"/>
        <w:rPr>
          <w:rFonts w:ascii="Times New Roman" w:hAnsi="Times New Roman"/>
          <w:b/>
          <w:color w:val="002060"/>
          <w:szCs w:val="20"/>
        </w:rPr>
      </w:pPr>
    </w:p>
    <w:p w:rsidR="00E506D3" w:rsidRPr="00FA3856" w:rsidRDefault="00E506D3" w:rsidP="00E506D3">
      <w:pPr>
        <w:pStyle w:val="Corpodetexto"/>
        <w:rPr>
          <w:rFonts w:ascii="Times New Roman" w:hAnsi="Times New Roman"/>
          <w:b/>
          <w:color w:val="002060"/>
          <w:szCs w:val="20"/>
        </w:rPr>
      </w:pPr>
      <w:r w:rsidRPr="00FA3856">
        <w:rPr>
          <w:rFonts w:ascii="Times New Roman" w:hAnsi="Times New Roman"/>
          <w:b/>
          <w:color w:val="002060"/>
          <w:szCs w:val="20"/>
        </w:rPr>
        <w:t>|N001|0|</w:t>
      </w:r>
    </w:p>
    <w:p w:rsidR="00E506D3" w:rsidRPr="00FA3856" w:rsidRDefault="00E506D3" w:rsidP="00E506D3">
      <w:pPr>
        <w:pStyle w:val="Corpodetexto"/>
        <w:ind w:firstLine="708"/>
        <w:rPr>
          <w:rFonts w:ascii="Times New Roman" w:hAnsi="Times New Roman"/>
          <w:color w:val="002060"/>
          <w:szCs w:val="20"/>
        </w:rPr>
      </w:pPr>
      <w:r w:rsidRPr="00FA3856">
        <w:rPr>
          <w:rFonts w:ascii="Times New Roman" w:hAnsi="Times New Roman"/>
          <w:color w:val="002060"/>
          <w:szCs w:val="20"/>
        </w:rPr>
        <w:t>|N001|: Identificação do tipo do registro.</w:t>
      </w:r>
    </w:p>
    <w:p w:rsidR="00E506D3" w:rsidRPr="00FA3856" w:rsidRDefault="00E506D3" w:rsidP="00E506D3">
      <w:pPr>
        <w:pStyle w:val="Corpodetexto"/>
        <w:ind w:firstLine="708"/>
        <w:rPr>
          <w:rFonts w:ascii="Times New Roman" w:hAnsi="Times New Roman"/>
          <w:color w:val="002060"/>
          <w:szCs w:val="20"/>
        </w:rPr>
      </w:pPr>
      <w:r w:rsidRPr="00FA3856">
        <w:rPr>
          <w:rFonts w:ascii="Times New Roman" w:hAnsi="Times New Roman"/>
          <w:color w:val="002060"/>
          <w:szCs w:val="20"/>
        </w:rPr>
        <w:t>|0|: Indica que o bloco possui dados informados.</w:t>
      </w:r>
    </w:p>
    <w:p w:rsidR="00E506D3" w:rsidRPr="00FA3856" w:rsidRDefault="00E506D3" w:rsidP="00E506D3">
      <w:pPr>
        <w:pStyle w:val="Corpodetexto"/>
        <w:ind w:left="708" w:firstLine="12"/>
        <w:rPr>
          <w:rFonts w:ascii="Times New Roman" w:hAnsi="Times New Roman"/>
          <w:szCs w:val="20"/>
        </w:rPr>
      </w:pPr>
    </w:p>
    <w:p w:rsidR="00E506D3" w:rsidRPr="00FA3856" w:rsidRDefault="00E506D3" w:rsidP="002E6F04">
      <w:pPr>
        <w:pStyle w:val="Corpodetexto"/>
        <w:ind w:left="708" w:firstLine="12"/>
        <w:rPr>
          <w:rFonts w:ascii="Times New Roman" w:hAnsi="Times New Roman"/>
          <w:szCs w:val="20"/>
        </w:rPr>
      </w:pPr>
    </w:p>
    <w:p w:rsidR="00213A24" w:rsidRPr="00FA3856" w:rsidRDefault="00213A24">
      <w:pPr>
        <w:rPr>
          <w:b/>
          <w:bCs/>
          <w:color w:val="0000FF"/>
          <w:szCs w:val="20"/>
        </w:rPr>
      </w:pPr>
      <w:r w:rsidRPr="00FA3856">
        <w:rPr>
          <w:color w:val="0000FF"/>
          <w:szCs w:val="20"/>
        </w:rPr>
        <w:br w:type="page"/>
      </w:r>
    </w:p>
    <w:p w:rsidR="002E6F04" w:rsidRPr="00FA3856" w:rsidRDefault="002E6F04" w:rsidP="00867F54">
      <w:pPr>
        <w:pStyle w:val="Ttulo4"/>
      </w:pPr>
      <w:bookmarkStart w:id="215" w:name="_Toc479713741"/>
      <w:r w:rsidRPr="00FA3856">
        <w:lastRenderedPageBreak/>
        <w:t>Registro N030: Identificação dos Períodos e Formas de Apuração do IRPJ e da CSLL das Empresas Tributadas pelo Lucro Real</w:t>
      </w:r>
      <w:bookmarkEnd w:id="215"/>
    </w:p>
    <w:p w:rsidR="002E6F04" w:rsidRPr="00FA3856" w:rsidRDefault="002E6F04" w:rsidP="002E6F04">
      <w:pPr>
        <w:jc w:val="both"/>
        <w:rPr>
          <w:szCs w:val="20"/>
        </w:rPr>
      </w:pPr>
    </w:p>
    <w:p w:rsidR="002E6F04" w:rsidRPr="00FA3856" w:rsidRDefault="002E6F04" w:rsidP="002E6F04">
      <w:pPr>
        <w:pStyle w:val="PSDS-CorpodeTexto0"/>
        <w:ind w:firstLine="708"/>
        <w:rPr>
          <w:rFonts w:ascii="Times New Roman" w:hAnsi="Times New Roman"/>
        </w:rPr>
      </w:pPr>
      <w:r w:rsidRPr="00FA3856">
        <w:rPr>
          <w:rFonts w:ascii="Times New Roman" w:hAnsi="Times New Roman"/>
        </w:rPr>
        <w:t>Registro de identificação dos períodos da escrituração necessários conforme definições de parâmetros do Bloco 0.</w:t>
      </w:r>
    </w:p>
    <w:p w:rsidR="00D11680" w:rsidRDefault="00D11680" w:rsidP="006424C4">
      <w:pPr>
        <w:pStyle w:val="PSDS-MarcadoresNivel2"/>
        <w:numPr>
          <w:ilvl w:val="0"/>
          <w:numId w:val="0"/>
        </w:numPr>
        <w:rPr>
          <w:rFonts w:ascii="Times New Roman" w:hAnsi="Times New Roman"/>
        </w:rPr>
      </w:pPr>
    </w:p>
    <w:p w:rsidR="00D11680" w:rsidRDefault="00B35FA3" w:rsidP="00D11680">
      <w:pPr>
        <w:pStyle w:val="PSDS-MarcadoresNivel2"/>
        <w:numPr>
          <w:ilvl w:val="0"/>
          <w:numId w:val="0"/>
        </w:numPr>
        <w:jc w:val="center"/>
        <w:rPr>
          <w:rFonts w:ascii="Times New Roman" w:hAnsi="Times New Roman"/>
        </w:rPr>
      </w:pPr>
      <w:r>
        <w:rPr>
          <w:rFonts w:ascii="Times New Roman" w:hAnsi="Times New Roman"/>
        </w:rPr>
        <w:object w:dxaOrig="14595" w:dyaOrig="3405">
          <v:shape id="_x0000_i1733" type="#_x0000_t75" style="width:727.5pt;height:171.75pt" o:ole="">
            <v:imagedata r:id="rId341" o:title=""/>
          </v:shape>
          <o:OLEObject Type="Link" ProgID="Excel.Sheet.12" ShapeID="_x0000_i1733" DrawAspect="Content" r:id="rId342" UpdateMode="Always">
            <o:LinkType>EnhancedMetaFile</o:LinkType>
            <o:LockedField>false</o:LockedField>
          </o:OLEObject>
        </w:object>
      </w:r>
    </w:p>
    <w:p w:rsidR="00D11680" w:rsidRDefault="00D11680">
      <w:pPr>
        <w:spacing w:after="200" w:line="276" w:lineRule="auto"/>
        <w:rPr>
          <w:b/>
          <w:szCs w:val="20"/>
        </w:rPr>
      </w:pPr>
      <w:r>
        <w:br w:type="page"/>
      </w:r>
    </w:p>
    <w:p w:rsidR="00D11680" w:rsidRDefault="00B35FA3" w:rsidP="00D11680">
      <w:pPr>
        <w:pStyle w:val="PSDS-MarcadoresNivel2"/>
        <w:numPr>
          <w:ilvl w:val="0"/>
          <w:numId w:val="0"/>
        </w:numPr>
        <w:jc w:val="center"/>
        <w:rPr>
          <w:rFonts w:ascii="Times New Roman" w:hAnsi="Times New Roman"/>
        </w:rPr>
      </w:pPr>
      <w:r>
        <w:rPr>
          <w:rFonts w:ascii="Times New Roman" w:hAnsi="Times New Roman"/>
        </w:rPr>
        <w:object w:dxaOrig="14595" w:dyaOrig="8205">
          <v:shape id="_x0000_i1735" type="#_x0000_t75" style="width:727.5pt;height:410.25pt" o:ole="">
            <v:imagedata r:id="rId343" o:title=""/>
          </v:shape>
          <o:OLEObject Type="Link" ProgID="Excel.Sheet.12" ShapeID="_x0000_i1735" DrawAspect="Content" r:id="rId344" UpdateMode="Always">
            <o:LinkType>EnhancedMetaFile</o:LinkType>
            <o:LockedField>false</o:LockedField>
          </o:OLEObject>
        </w:object>
      </w:r>
    </w:p>
    <w:p w:rsidR="00D11680" w:rsidRDefault="00D11680" w:rsidP="006424C4">
      <w:pPr>
        <w:pStyle w:val="PSDS-MarcadoresNivel2"/>
        <w:numPr>
          <w:ilvl w:val="0"/>
          <w:numId w:val="0"/>
        </w:numPr>
        <w:rPr>
          <w:rFonts w:ascii="Times New Roman" w:hAnsi="Times New Roman"/>
        </w:rPr>
      </w:pPr>
    </w:p>
    <w:p w:rsidR="00D11680" w:rsidRDefault="00D11680">
      <w:pPr>
        <w:spacing w:after="200" w:line="276" w:lineRule="auto"/>
        <w:rPr>
          <w:b/>
          <w:szCs w:val="20"/>
        </w:rPr>
      </w:pPr>
      <w:r>
        <w:br w:type="page"/>
      </w:r>
    </w:p>
    <w:p w:rsidR="006424C4" w:rsidRPr="00FA3856" w:rsidRDefault="006424C4" w:rsidP="006424C4">
      <w:pPr>
        <w:pStyle w:val="PSDS-MarcadoresNivel2"/>
        <w:numPr>
          <w:ilvl w:val="0"/>
          <w:numId w:val="0"/>
        </w:numPr>
        <w:rPr>
          <w:rFonts w:ascii="Times New Roman" w:hAnsi="Times New Roman"/>
        </w:rPr>
      </w:pPr>
      <w:r w:rsidRPr="00FA3856">
        <w:rPr>
          <w:rFonts w:ascii="Times New Roman" w:hAnsi="Times New Roman"/>
        </w:rPr>
        <w:lastRenderedPageBreak/>
        <w:t>I – Regras de Validação do Registro:</w:t>
      </w:r>
    </w:p>
    <w:p w:rsidR="006424C4" w:rsidRPr="00FA3856" w:rsidRDefault="006424C4" w:rsidP="006424C4">
      <w:pPr>
        <w:pStyle w:val="Corpodetexto"/>
        <w:ind w:left="708" w:firstLine="12"/>
        <w:rPr>
          <w:rFonts w:ascii="Times New Roman" w:hAnsi="Times New Roman"/>
          <w:szCs w:val="20"/>
        </w:rPr>
      </w:pPr>
    </w:p>
    <w:p w:rsidR="006424C4" w:rsidRPr="00FA3856" w:rsidRDefault="007D0E74" w:rsidP="006424C4">
      <w:pPr>
        <w:pStyle w:val="Corpodetexto"/>
        <w:ind w:left="708" w:firstLine="12"/>
        <w:rPr>
          <w:rFonts w:ascii="Times New Roman" w:hAnsi="Times New Roman"/>
          <w:szCs w:val="20"/>
        </w:rPr>
      </w:pPr>
      <w:hyperlink r:id="rId345" w:anchor="REGRA_OCORRENCIA_UNITARIA_ARQ" w:history="1">
        <w:r w:rsidR="006424C4" w:rsidRPr="00FA3856">
          <w:rPr>
            <w:rFonts w:ascii="Times New Roman" w:hAnsi="Times New Roman"/>
            <w:b/>
            <w:szCs w:val="20"/>
          </w:rPr>
          <w:t>REGRA_</w:t>
        </w:r>
      </w:hyperlink>
      <w:r w:rsidR="006424C4" w:rsidRPr="00FA3856">
        <w:rPr>
          <w:rFonts w:ascii="Times New Roman" w:hAnsi="Times New Roman"/>
          <w:b/>
          <w:szCs w:val="20"/>
        </w:rPr>
        <w:t>DUPLICIDADE_DESPREZADA</w:t>
      </w:r>
      <w:r w:rsidR="006424C4" w:rsidRPr="00FA3856">
        <w:rPr>
          <w:rFonts w:ascii="Times New Roman" w:hAnsi="Times New Roman"/>
          <w:color w:val="auto"/>
          <w:szCs w:val="20"/>
        </w:rPr>
        <w:t xml:space="preserve">: </w:t>
      </w:r>
      <w:r w:rsidR="006424C4" w:rsidRPr="00FA3856">
        <w:rPr>
          <w:rFonts w:ascii="Times New Roman" w:hAnsi="Times New Roman"/>
          <w:szCs w:val="20"/>
        </w:rPr>
        <w:t>Verifica se o registro já foi importado anteriormente, de acordo com a chave e os registros pais. Se a regra não for cumprida, a ECF gera um aviso.</w:t>
      </w:r>
    </w:p>
    <w:p w:rsidR="006424C4" w:rsidRPr="00FA3856" w:rsidRDefault="006424C4" w:rsidP="006424C4">
      <w:pPr>
        <w:pStyle w:val="Corpodetexto"/>
        <w:ind w:left="708" w:firstLine="12"/>
        <w:rPr>
          <w:rFonts w:ascii="Times New Roman" w:hAnsi="Times New Roman"/>
          <w:szCs w:val="20"/>
        </w:rPr>
      </w:pPr>
    </w:p>
    <w:p w:rsidR="006424C4" w:rsidRPr="00FA3856" w:rsidRDefault="007D0E74" w:rsidP="006424C4">
      <w:pPr>
        <w:pStyle w:val="Corpodetexto"/>
        <w:ind w:left="708" w:firstLine="12"/>
        <w:rPr>
          <w:rFonts w:ascii="Times New Roman" w:hAnsi="Times New Roman"/>
          <w:b/>
          <w:szCs w:val="20"/>
        </w:rPr>
      </w:pPr>
      <w:hyperlink r:id="rId346" w:anchor="REGRA_OCORRENCIA_UNITARIA_ARQ" w:history="1">
        <w:r w:rsidR="006424C4" w:rsidRPr="00FA3856">
          <w:rPr>
            <w:rFonts w:ascii="Times New Roman" w:hAnsi="Times New Roman"/>
            <w:b/>
            <w:szCs w:val="20"/>
          </w:rPr>
          <w:t>REGRA_</w:t>
        </w:r>
      </w:hyperlink>
      <w:r w:rsidR="006424C4" w:rsidRPr="00FA3856">
        <w:rPr>
          <w:rFonts w:ascii="Times New Roman" w:hAnsi="Times New Roman"/>
          <w:b/>
          <w:szCs w:val="20"/>
        </w:rPr>
        <w:t>PERIODO_DESPREZADO</w:t>
      </w:r>
      <w:r w:rsidR="006424C4" w:rsidRPr="00FA3856">
        <w:rPr>
          <w:rFonts w:ascii="Times New Roman" w:hAnsi="Times New Roman"/>
          <w:color w:val="auto"/>
          <w:szCs w:val="20"/>
        </w:rPr>
        <w:t xml:space="preserve">: </w:t>
      </w:r>
      <w:r w:rsidR="006424C4" w:rsidRPr="00FA3856">
        <w:rPr>
          <w:rFonts w:ascii="Times New Roman" w:hAnsi="Times New Roman"/>
          <w:szCs w:val="20"/>
        </w:rPr>
        <w:t>Verifica se a linha deste período existe no arquivo de importação, mas não deve ser importado, pois as datas não compatíveis com o período da ECF. Gera um aviso.</w:t>
      </w:r>
    </w:p>
    <w:p w:rsidR="006424C4" w:rsidRPr="00FA3856" w:rsidRDefault="006424C4" w:rsidP="006424C4">
      <w:pPr>
        <w:pStyle w:val="Corpodetexto"/>
        <w:ind w:left="708" w:firstLine="12"/>
        <w:rPr>
          <w:rFonts w:ascii="Times New Roman" w:hAnsi="Times New Roman"/>
          <w:b/>
          <w:szCs w:val="20"/>
        </w:rPr>
      </w:pPr>
    </w:p>
    <w:p w:rsidR="006424C4" w:rsidRPr="00FA3856" w:rsidRDefault="007D0E74" w:rsidP="006424C4">
      <w:pPr>
        <w:pStyle w:val="Corpodetexto"/>
        <w:ind w:left="708" w:firstLine="12"/>
        <w:rPr>
          <w:rFonts w:ascii="Times New Roman" w:hAnsi="Times New Roman"/>
          <w:b/>
          <w:szCs w:val="20"/>
        </w:rPr>
      </w:pPr>
      <w:hyperlink r:id="rId347" w:anchor="REGRA_OCORRENCIA_UNITARIA_ARQ" w:history="1">
        <w:r w:rsidR="006424C4" w:rsidRPr="00FA3856">
          <w:rPr>
            <w:rFonts w:ascii="Times New Roman" w:hAnsi="Times New Roman"/>
            <w:b/>
            <w:szCs w:val="20"/>
          </w:rPr>
          <w:t>REGRA_</w:t>
        </w:r>
      </w:hyperlink>
      <w:r w:rsidR="006424C4" w:rsidRPr="00FA3856">
        <w:rPr>
          <w:rFonts w:ascii="Times New Roman" w:hAnsi="Times New Roman"/>
          <w:b/>
          <w:szCs w:val="20"/>
        </w:rPr>
        <w:t>LINHA_ALTERADA</w:t>
      </w:r>
      <w:r w:rsidR="006424C4" w:rsidRPr="00FA3856">
        <w:rPr>
          <w:rFonts w:ascii="Times New Roman" w:hAnsi="Times New Roman"/>
          <w:color w:val="auto"/>
          <w:szCs w:val="20"/>
        </w:rPr>
        <w:t xml:space="preserve">: </w:t>
      </w:r>
      <w:r w:rsidR="006424C4" w:rsidRPr="00FA3856">
        <w:rPr>
          <w:rFonts w:ascii="Times New Roman" w:hAnsi="Times New Roman"/>
          <w:szCs w:val="20"/>
        </w:rPr>
        <w:t>Verifica se a linha deste período existe no arquivo de importação, mas deve ser alterada, pois as datas não compatíveis com o período da ECF. Gera um aviso.</w:t>
      </w:r>
    </w:p>
    <w:p w:rsidR="00CD73D7" w:rsidRPr="00FA3856" w:rsidRDefault="00CD73D7" w:rsidP="00CD73D7">
      <w:pPr>
        <w:pStyle w:val="Corpodetexto"/>
        <w:rPr>
          <w:rFonts w:ascii="Times New Roman" w:hAnsi="Times New Roman"/>
          <w:b/>
          <w:color w:val="002060"/>
          <w:szCs w:val="20"/>
        </w:rPr>
      </w:pPr>
    </w:p>
    <w:p w:rsidR="003E7A35" w:rsidRDefault="00CC6BF6" w:rsidP="00CD73D7">
      <w:pPr>
        <w:pStyle w:val="Corpodetexto"/>
        <w:rPr>
          <w:rFonts w:ascii="Times New Roman" w:hAnsi="Times New Roman"/>
          <w:b/>
          <w:color w:val="002060"/>
          <w:szCs w:val="20"/>
        </w:rPr>
      </w:pPr>
      <w:r w:rsidRPr="00FA3856">
        <w:rPr>
          <w:rFonts w:ascii="Times New Roman" w:hAnsi="Times New Roman"/>
          <w:b/>
          <w:color w:val="002060"/>
          <w:szCs w:val="20"/>
        </w:rPr>
        <w:t xml:space="preserve">Exemplo de Preenchimento: </w:t>
      </w:r>
    </w:p>
    <w:p w:rsidR="003E7A35" w:rsidRDefault="003E7A35" w:rsidP="00CD73D7">
      <w:pPr>
        <w:pStyle w:val="Corpodetexto"/>
        <w:rPr>
          <w:rFonts w:ascii="Times New Roman" w:hAnsi="Times New Roman"/>
          <w:b/>
          <w:color w:val="002060"/>
          <w:szCs w:val="20"/>
        </w:rPr>
      </w:pPr>
    </w:p>
    <w:p w:rsidR="00CD73D7" w:rsidRPr="00FA3856" w:rsidRDefault="00CD73D7" w:rsidP="00CD73D7">
      <w:pPr>
        <w:pStyle w:val="Corpodetexto"/>
        <w:rPr>
          <w:rFonts w:ascii="Times New Roman" w:hAnsi="Times New Roman"/>
          <w:b/>
          <w:color w:val="002060"/>
          <w:szCs w:val="20"/>
        </w:rPr>
      </w:pPr>
      <w:r w:rsidRPr="00FA3856">
        <w:rPr>
          <w:rFonts w:ascii="Times New Roman" w:hAnsi="Times New Roman"/>
          <w:b/>
          <w:color w:val="002060"/>
          <w:szCs w:val="20"/>
        </w:rPr>
        <w:t>|N030|01012014|31032014|T01|</w:t>
      </w:r>
    </w:p>
    <w:p w:rsidR="00CD73D7" w:rsidRPr="00FA3856" w:rsidRDefault="00CD73D7" w:rsidP="00CD73D7">
      <w:pPr>
        <w:pStyle w:val="Corpodetexto"/>
        <w:ind w:firstLine="708"/>
        <w:rPr>
          <w:rFonts w:ascii="Times New Roman" w:hAnsi="Times New Roman"/>
          <w:color w:val="002060"/>
          <w:szCs w:val="20"/>
        </w:rPr>
      </w:pPr>
      <w:r w:rsidRPr="00FA3856">
        <w:rPr>
          <w:rFonts w:ascii="Times New Roman" w:hAnsi="Times New Roman"/>
          <w:color w:val="002060"/>
          <w:szCs w:val="20"/>
        </w:rPr>
        <w:t>|N030|: Identificação do tipo do registro.</w:t>
      </w:r>
    </w:p>
    <w:p w:rsidR="00CD73D7" w:rsidRPr="00FA3856" w:rsidRDefault="00CD73D7" w:rsidP="00CD73D7">
      <w:pPr>
        <w:pStyle w:val="Corpodetexto"/>
        <w:ind w:firstLine="708"/>
        <w:rPr>
          <w:rFonts w:ascii="Times New Roman" w:hAnsi="Times New Roman"/>
          <w:color w:val="002060"/>
          <w:szCs w:val="20"/>
        </w:rPr>
      </w:pPr>
      <w:r w:rsidRPr="00FA3856">
        <w:rPr>
          <w:rFonts w:ascii="Times New Roman" w:hAnsi="Times New Roman"/>
          <w:color w:val="002060"/>
          <w:szCs w:val="20"/>
        </w:rPr>
        <w:t>|01012014|: Data de início do período (01/01/2014).</w:t>
      </w:r>
    </w:p>
    <w:p w:rsidR="00CD73D7" w:rsidRPr="00FA3856" w:rsidRDefault="00CD73D7" w:rsidP="00CD73D7">
      <w:pPr>
        <w:pStyle w:val="Corpodetexto"/>
        <w:ind w:firstLine="708"/>
        <w:rPr>
          <w:rFonts w:ascii="Times New Roman" w:hAnsi="Times New Roman"/>
          <w:color w:val="002060"/>
          <w:szCs w:val="20"/>
        </w:rPr>
      </w:pPr>
      <w:r w:rsidRPr="00FA3856">
        <w:rPr>
          <w:rFonts w:ascii="Times New Roman" w:hAnsi="Times New Roman"/>
          <w:color w:val="002060"/>
          <w:szCs w:val="20"/>
        </w:rPr>
        <w:t>|31032014|: Data de fim do período (31/03/2014).</w:t>
      </w:r>
    </w:p>
    <w:p w:rsidR="00CD73D7" w:rsidRPr="00FA3856" w:rsidRDefault="00CD73D7" w:rsidP="00CD73D7">
      <w:pPr>
        <w:pStyle w:val="Corpodetexto"/>
        <w:ind w:firstLine="708"/>
        <w:rPr>
          <w:rFonts w:ascii="Times New Roman" w:hAnsi="Times New Roman"/>
          <w:color w:val="002060"/>
          <w:szCs w:val="20"/>
        </w:rPr>
      </w:pPr>
      <w:r w:rsidRPr="00FA3856">
        <w:rPr>
          <w:rFonts w:ascii="Times New Roman" w:hAnsi="Times New Roman"/>
          <w:color w:val="002060"/>
          <w:szCs w:val="20"/>
        </w:rPr>
        <w:t>|T01|: Período de apuração (T01 = 1</w:t>
      </w:r>
      <w:r w:rsidRPr="00FA3856">
        <w:rPr>
          <w:rFonts w:ascii="Times New Roman" w:hAnsi="Times New Roman"/>
          <w:color w:val="002060"/>
          <w:szCs w:val="20"/>
          <w:u w:val="single"/>
          <w:vertAlign w:val="superscript"/>
        </w:rPr>
        <w:t>o</w:t>
      </w:r>
      <w:r w:rsidRPr="00FA3856">
        <w:rPr>
          <w:rFonts w:ascii="Times New Roman" w:hAnsi="Times New Roman"/>
          <w:color w:val="002060"/>
          <w:szCs w:val="20"/>
        </w:rPr>
        <w:t xml:space="preserve"> Trimestre).</w:t>
      </w:r>
    </w:p>
    <w:p w:rsidR="006424C4" w:rsidRPr="00FA3856" w:rsidRDefault="006424C4" w:rsidP="002E6F04">
      <w:pPr>
        <w:jc w:val="both"/>
        <w:rPr>
          <w:szCs w:val="20"/>
          <w:lang w:val="pt-PT"/>
        </w:rPr>
      </w:pPr>
    </w:p>
    <w:p w:rsidR="006424C4" w:rsidRPr="00FA3856" w:rsidRDefault="006424C4">
      <w:pPr>
        <w:rPr>
          <w:b/>
          <w:bCs/>
          <w:color w:val="0000FF"/>
          <w:szCs w:val="20"/>
        </w:rPr>
      </w:pPr>
      <w:r w:rsidRPr="00FA3856">
        <w:rPr>
          <w:color w:val="0000FF"/>
          <w:szCs w:val="20"/>
        </w:rPr>
        <w:br w:type="page"/>
      </w:r>
    </w:p>
    <w:p w:rsidR="00F901BA" w:rsidRPr="00FA3856" w:rsidRDefault="00F901BA" w:rsidP="00867F54">
      <w:pPr>
        <w:pStyle w:val="Ttulo4"/>
      </w:pPr>
      <w:bookmarkStart w:id="216" w:name="_Toc479713742"/>
      <w:r w:rsidRPr="00FA3856">
        <w:lastRenderedPageBreak/>
        <w:t>Registro N500: Base de Cálculo do IRPJ Sobre o Lucro Real Após as Compensações de Prejuízos</w:t>
      </w:r>
      <w:bookmarkEnd w:id="216"/>
    </w:p>
    <w:p w:rsidR="00F901BA" w:rsidRPr="00FA3856" w:rsidRDefault="00F901BA" w:rsidP="00F901BA">
      <w:pPr>
        <w:jc w:val="both"/>
        <w:rPr>
          <w:szCs w:val="20"/>
        </w:rPr>
      </w:pPr>
    </w:p>
    <w:p w:rsidR="00F901BA" w:rsidRPr="00FA3856" w:rsidRDefault="00F901BA" w:rsidP="00F901BA">
      <w:pPr>
        <w:pStyle w:val="PSDS-CorpodeTexto0"/>
        <w:ind w:firstLine="708"/>
        <w:rPr>
          <w:rFonts w:ascii="Times New Roman" w:hAnsi="Times New Roman"/>
        </w:rPr>
      </w:pPr>
      <w:r w:rsidRPr="00FA3856">
        <w:rPr>
          <w:rFonts w:ascii="Times New Roman" w:hAnsi="Times New Roman"/>
        </w:rPr>
        <w:t>Apresenta a base de cálculo do IRPJ após as compensações de prejuízos.</w:t>
      </w:r>
    </w:p>
    <w:p w:rsidR="00D11680" w:rsidRDefault="00D11680" w:rsidP="006424C4">
      <w:pPr>
        <w:pStyle w:val="PSDS-MarcadoresNivel2"/>
        <w:numPr>
          <w:ilvl w:val="0"/>
          <w:numId w:val="0"/>
        </w:numPr>
        <w:rPr>
          <w:rFonts w:ascii="Times New Roman" w:hAnsi="Times New Roman"/>
        </w:rPr>
      </w:pPr>
    </w:p>
    <w:p w:rsidR="00D11680" w:rsidRDefault="00B35FA3" w:rsidP="00D11680">
      <w:pPr>
        <w:pStyle w:val="PSDS-MarcadoresNivel2"/>
        <w:numPr>
          <w:ilvl w:val="0"/>
          <w:numId w:val="0"/>
        </w:numPr>
        <w:jc w:val="center"/>
        <w:rPr>
          <w:rFonts w:ascii="Times New Roman" w:hAnsi="Times New Roman"/>
        </w:rPr>
      </w:pPr>
      <w:r>
        <w:rPr>
          <w:rFonts w:ascii="Times New Roman" w:hAnsi="Times New Roman"/>
        </w:rPr>
        <w:object w:dxaOrig="14070" w:dyaOrig="4725">
          <v:shape id="_x0000_i1737" type="#_x0000_t75" style="width:698.25pt;height:237pt" o:ole="">
            <v:imagedata r:id="rId348" o:title=""/>
          </v:shape>
          <o:OLEObject Type="Link" ProgID="Excel.Sheet.12" ShapeID="_x0000_i1737" DrawAspect="Content" r:id="rId349" UpdateMode="Always">
            <o:LinkType>EnhancedMetaFile</o:LinkType>
            <o:LockedField>false</o:LockedField>
          </o:OLEObject>
        </w:object>
      </w:r>
    </w:p>
    <w:p w:rsidR="00D11680" w:rsidRDefault="00D11680" w:rsidP="006424C4">
      <w:pPr>
        <w:pStyle w:val="PSDS-MarcadoresNivel2"/>
        <w:numPr>
          <w:ilvl w:val="0"/>
          <w:numId w:val="0"/>
        </w:numPr>
        <w:rPr>
          <w:rFonts w:ascii="Times New Roman" w:hAnsi="Times New Roman"/>
        </w:rPr>
      </w:pPr>
    </w:p>
    <w:p w:rsidR="006424C4" w:rsidRPr="00FA3856" w:rsidRDefault="006424C4" w:rsidP="006424C4">
      <w:pPr>
        <w:pStyle w:val="PSDS-MarcadoresNivel2"/>
        <w:numPr>
          <w:ilvl w:val="0"/>
          <w:numId w:val="0"/>
        </w:numPr>
        <w:rPr>
          <w:rFonts w:ascii="Times New Roman" w:hAnsi="Times New Roman"/>
        </w:rPr>
      </w:pPr>
      <w:r w:rsidRPr="00FA3856">
        <w:rPr>
          <w:rFonts w:ascii="Times New Roman" w:hAnsi="Times New Roman"/>
        </w:rPr>
        <w:t>I – Regras de Validação do Registro:</w:t>
      </w:r>
    </w:p>
    <w:p w:rsidR="006424C4" w:rsidRPr="00FA3856" w:rsidRDefault="006424C4" w:rsidP="006424C4">
      <w:pPr>
        <w:pStyle w:val="Corpodetexto"/>
        <w:ind w:left="708" w:firstLine="12"/>
        <w:rPr>
          <w:rFonts w:ascii="Times New Roman" w:hAnsi="Times New Roman"/>
          <w:szCs w:val="20"/>
        </w:rPr>
      </w:pPr>
    </w:p>
    <w:p w:rsidR="00FE5D23" w:rsidRPr="00FA3856" w:rsidRDefault="007D0E74" w:rsidP="00FE5D23">
      <w:pPr>
        <w:pStyle w:val="Corpodetexto"/>
        <w:ind w:left="708" w:firstLine="12"/>
        <w:rPr>
          <w:rFonts w:ascii="Times New Roman" w:hAnsi="Times New Roman"/>
          <w:szCs w:val="20"/>
        </w:rPr>
      </w:pPr>
      <w:hyperlink r:id="rId350" w:anchor="REGRA_OCORRENCIA_UNITARIA_ARQ" w:history="1">
        <w:r w:rsidR="00FE5D23" w:rsidRPr="00FA3856">
          <w:rPr>
            <w:rFonts w:ascii="Times New Roman" w:hAnsi="Times New Roman"/>
            <w:b/>
            <w:szCs w:val="20"/>
          </w:rPr>
          <w:t>REGRA_</w:t>
        </w:r>
      </w:hyperlink>
      <w:r w:rsidR="00FE5D23" w:rsidRPr="00FA3856">
        <w:rPr>
          <w:rFonts w:ascii="Times New Roman" w:hAnsi="Times New Roman"/>
          <w:b/>
          <w:szCs w:val="20"/>
        </w:rPr>
        <w:t>DUPLICIDADE_DESPREZADA</w:t>
      </w:r>
      <w:r w:rsidR="00FE5D23" w:rsidRPr="00FA3856">
        <w:rPr>
          <w:rFonts w:ascii="Times New Roman" w:hAnsi="Times New Roman"/>
          <w:color w:val="auto"/>
          <w:szCs w:val="20"/>
        </w:rPr>
        <w:t xml:space="preserve">: </w:t>
      </w:r>
      <w:r w:rsidR="00FE5D23" w:rsidRPr="00FA3856">
        <w:rPr>
          <w:rFonts w:ascii="Times New Roman" w:hAnsi="Times New Roman"/>
          <w:szCs w:val="20"/>
        </w:rPr>
        <w:t>Verifica se o registro já foi importado anteriormente, de acordo com a chave e os registros pais. Se a regra não for cumprida, a ECF gera um aviso.</w:t>
      </w:r>
    </w:p>
    <w:p w:rsidR="00FE5D23" w:rsidRPr="00FA3856" w:rsidRDefault="00FE5D23" w:rsidP="00FE5D23">
      <w:pPr>
        <w:pStyle w:val="Corpodetexto"/>
        <w:ind w:left="708" w:firstLine="12"/>
        <w:rPr>
          <w:rFonts w:ascii="Times New Roman" w:hAnsi="Times New Roman"/>
          <w:szCs w:val="20"/>
        </w:rPr>
      </w:pPr>
    </w:p>
    <w:p w:rsidR="00FE5D23" w:rsidRPr="00FA3856" w:rsidRDefault="007D0E74" w:rsidP="00FE5D23">
      <w:pPr>
        <w:pStyle w:val="Corpodetexto"/>
        <w:ind w:left="708" w:firstLine="12"/>
        <w:rPr>
          <w:rFonts w:ascii="Times New Roman" w:hAnsi="Times New Roman"/>
          <w:szCs w:val="20"/>
        </w:rPr>
      </w:pPr>
      <w:hyperlink r:id="rId351" w:anchor="REGRA_OCORRENCIA_UNITARIA_ARQ" w:history="1">
        <w:r w:rsidR="00FE5D23" w:rsidRPr="00FA3856">
          <w:rPr>
            <w:rFonts w:ascii="Times New Roman" w:hAnsi="Times New Roman"/>
            <w:b/>
            <w:szCs w:val="20"/>
          </w:rPr>
          <w:t>REGRA_</w:t>
        </w:r>
      </w:hyperlink>
      <w:r w:rsidR="00FE5D23" w:rsidRPr="00FA3856">
        <w:rPr>
          <w:rFonts w:ascii="Times New Roman" w:hAnsi="Times New Roman"/>
          <w:b/>
          <w:szCs w:val="20"/>
        </w:rPr>
        <w:t>LINHA_DESPREZADA</w:t>
      </w:r>
      <w:r w:rsidR="00FE5D23" w:rsidRPr="00FA3856">
        <w:rPr>
          <w:rFonts w:ascii="Times New Roman" w:hAnsi="Times New Roman"/>
          <w:color w:val="auto"/>
          <w:szCs w:val="20"/>
        </w:rPr>
        <w:t xml:space="preserve">: </w:t>
      </w:r>
      <w:r w:rsidR="00FE5D23" w:rsidRPr="00FA3856">
        <w:rPr>
          <w:rFonts w:ascii="Times New Roman" w:hAnsi="Times New Roman"/>
          <w:szCs w:val="20"/>
        </w:rPr>
        <w:t>Verifica se o registro existe na importação, mas não será importado por não existir na tabela dinâmica devido às configurações do bloco 0 ou da tabela dinâmica. Gera um aviso.</w:t>
      </w:r>
    </w:p>
    <w:p w:rsidR="00FE5D23" w:rsidRPr="00FA3856" w:rsidRDefault="00FE5D23" w:rsidP="00FE5D23">
      <w:pPr>
        <w:pStyle w:val="Corpodetexto"/>
        <w:ind w:left="708" w:firstLine="12"/>
        <w:rPr>
          <w:rFonts w:ascii="Times New Roman" w:hAnsi="Times New Roman"/>
          <w:b/>
          <w:szCs w:val="20"/>
        </w:rPr>
      </w:pPr>
    </w:p>
    <w:p w:rsidR="00FE5D23" w:rsidRPr="00FA3856" w:rsidRDefault="007D0E74" w:rsidP="00FE5D23">
      <w:pPr>
        <w:pStyle w:val="Corpodetexto"/>
        <w:ind w:left="708" w:firstLine="12"/>
        <w:rPr>
          <w:rFonts w:ascii="Times New Roman" w:hAnsi="Times New Roman"/>
          <w:b/>
          <w:szCs w:val="20"/>
        </w:rPr>
      </w:pPr>
      <w:hyperlink r:id="rId352" w:anchor="REGRA_OCORRENCIA_UNITARIA_ARQ" w:history="1">
        <w:r w:rsidR="00FE5D23" w:rsidRPr="00FA3856">
          <w:rPr>
            <w:rFonts w:ascii="Times New Roman" w:hAnsi="Times New Roman"/>
            <w:b/>
            <w:szCs w:val="20"/>
          </w:rPr>
          <w:t>REGRA_</w:t>
        </w:r>
      </w:hyperlink>
      <w:r w:rsidR="00FE5D23" w:rsidRPr="00FA3856">
        <w:rPr>
          <w:rFonts w:ascii="Times New Roman" w:hAnsi="Times New Roman"/>
          <w:b/>
          <w:szCs w:val="20"/>
        </w:rPr>
        <w:t>LINHA_ATUALIZADA</w:t>
      </w:r>
      <w:r w:rsidR="00FE5D23" w:rsidRPr="00FA3856">
        <w:rPr>
          <w:rFonts w:ascii="Times New Roman" w:hAnsi="Times New Roman"/>
          <w:color w:val="auto"/>
          <w:szCs w:val="20"/>
        </w:rPr>
        <w:t xml:space="preserve">: </w:t>
      </w:r>
      <w:r w:rsidR="00FE5D23" w:rsidRPr="00FA3856">
        <w:rPr>
          <w:rFonts w:ascii="Times New Roman" w:hAnsi="Times New Roman"/>
          <w:szCs w:val="20"/>
        </w:rPr>
        <w:t>Verifica se o registro está desatualizado em relação à tabela da RFB. Gera um aviso.</w:t>
      </w:r>
    </w:p>
    <w:p w:rsidR="00CC6BF6" w:rsidRPr="00FA3856" w:rsidRDefault="00CC6BF6" w:rsidP="001C0D2F">
      <w:pPr>
        <w:rPr>
          <w:b/>
          <w:szCs w:val="20"/>
          <w:lang w:val="pt-PT"/>
        </w:rPr>
      </w:pPr>
    </w:p>
    <w:p w:rsidR="00012703" w:rsidRDefault="00012703">
      <w:pPr>
        <w:spacing w:after="200" w:line="276" w:lineRule="auto"/>
        <w:rPr>
          <w:b/>
          <w:szCs w:val="20"/>
          <w:lang w:val="pt-PT"/>
        </w:rPr>
      </w:pPr>
      <w:r>
        <w:rPr>
          <w:b/>
          <w:szCs w:val="20"/>
          <w:lang w:val="pt-PT"/>
        </w:rPr>
        <w:br w:type="page"/>
      </w:r>
    </w:p>
    <w:p w:rsidR="001C0D2F" w:rsidRPr="00FA3856" w:rsidRDefault="006424C4" w:rsidP="001C0D2F">
      <w:pPr>
        <w:rPr>
          <w:b/>
          <w:szCs w:val="20"/>
          <w:lang w:val="pt-PT"/>
        </w:rPr>
      </w:pPr>
      <w:r w:rsidRPr="00FA3856">
        <w:rPr>
          <w:b/>
          <w:szCs w:val="20"/>
          <w:lang w:val="pt-PT"/>
        </w:rPr>
        <w:lastRenderedPageBreak/>
        <w:t>I</w:t>
      </w:r>
      <w:r w:rsidR="001C0D2F" w:rsidRPr="00FA3856">
        <w:rPr>
          <w:b/>
          <w:szCs w:val="20"/>
          <w:lang w:val="pt-PT"/>
        </w:rPr>
        <w:t>I – Regras de Validação de Campos:</w:t>
      </w:r>
    </w:p>
    <w:p w:rsidR="001C0D2F" w:rsidRPr="00FA3856" w:rsidRDefault="001C0D2F" w:rsidP="001C0D2F">
      <w:pPr>
        <w:rPr>
          <w:b/>
          <w:szCs w:val="20"/>
          <w:lang w:val="pt-PT"/>
        </w:rPr>
      </w:pPr>
    </w:p>
    <w:tbl>
      <w:tblPr>
        <w:tblW w:w="15367"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85"/>
        <w:gridCol w:w="3000"/>
        <w:gridCol w:w="11165"/>
        <w:gridCol w:w="717"/>
      </w:tblGrid>
      <w:tr w:rsidR="001C0D2F" w:rsidRPr="00FA3856" w:rsidTr="007D731A">
        <w:trPr>
          <w:jc w:val="center"/>
        </w:trPr>
        <w:tc>
          <w:tcPr>
            <w:tcW w:w="485" w:type="dxa"/>
            <w:tcBorders>
              <w:top w:val="single" w:sz="6" w:space="0" w:color="auto"/>
              <w:left w:val="single" w:sz="6" w:space="0" w:color="auto"/>
              <w:bottom w:val="single" w:sz="6" w:space="0" w:color="auto"/>
              <w:right w:val="single" w:sz="6" w:space="0" w:color="auto"/>
            </w:tcBorders>
            <w:shd w:val="pct10" w:color="auto" w:fill="FFFFFF"/>
          </w:tcPr>
          <w:p w:rsidR="001C0D2F" w:rsidRPr="00FA3856" w:rsidRDefault="001C0D2F" w:rsidP="005667D7">
            <w:pPr>
              <w:pStyle w:val="PSDS-CorpodeTexto0"/>
              <w:jc w:val="center"/>
              <w:rPr>
                <w:rFonts w:ascii="Times New Roman" w:hAnsi="Times New Roman"/>
                <w:b/>
                <w:bCs/>
              </w:rPr>
            </w:pPr>
            <w:r w:rsidRPr="00FA3856">
              <w:rPr>
                <w:rFonts w:ascii="Times New Roman" w:hAnsi="Times New Roman"/>
                <w:b/>
                <w:bCs/>
              </w:rPr>
              <w:t>Nº</w:t>
            </w:r>
          </w:p>
        </w:tc>
        <w:tc>
          <w:tcPr>
            <w:tcW w:w="3000" w:type="dxa"/>
            <w:tcBorders>
              <w:top w:val="single" w:sz="6" w:space="0" w:color="auto"/>
              <w:left w:val="single" w:sz="6" w:space="0" w:color="auto"/>
              <w:bottom w:val="single" w:sz="6" w:space="0" w:color="auto"/>
              <w:right w:val="single" w:sz="6" w:space="0" w:color="auto"/>
            </w:tcBorders>
            <w:shd w:val="pct10" w:color="auto" w:fill="FFFFFF"/>
          </w:tcPr>
          <w:p w:rsidR="001C0D2F" w:rsidRPr="00FA3856" w:rsidRDefault="001C0D2F" w:rsidP="005667D7">
            <w:pPr>
              <w:pStyle w:val="PSDS-CorpodeTexto0"/>
              <w:jc w:val="center"/>
              <w:rPr>
                <w:rFonts w:ascii="Times New Roman" w:hAnsi="Times New Roman"/>
                <w:b/>
                <w:bCs/>
              </w:rPr>
            </w:pPr>
            <w:r w:rsidRPr="00FA3856">
              <w:rPr>
                <w:rFonts w:ascii="Times New Roman" w:hAnsi="Times New Roman"/>
                <w:b/>
                <w:bCs/>
              </w:rPr>
              <w:t>Campo</w:t>
            </w:r>
          </w:p>
        </w:tc>
        <w:tc>
          <w:tcPr>
            <w:tcW w:w="11165" w:type="dxa"/>
            <w:tcBorders>
              <w:top w:val="single" w:sz="6" w:space="0" w:color="auto"/>
              <w:left w:val="single" w:sz="6" w:space="0" w:color="auto"/>
              <w:bottom w:val="single" w:sz="6" w:space="0" w:color="auto"/>
              <w:right w:val="single" w:sz="6" w:space="0" w:color="auto"/>
            </w:tcBorders>
            <w:shd w:val="pct10" w:color="auto" w:fill="FFFFFF"/>
          </w:tcPr>
          <w:p w:rsidR="001C0D2F" w:rsidRPr="00FA3856" w:rsidRDefault="001C0D2F" w:rsidP="005667D7">
            <w:pPr>
              <w:pStyle w:val="PSDS-CorpodeTexto0"/>
              <w:jc w:val="center"/>
              <w:rPr>
                <w:rFonts w:ascii="Times New Roman" w:hAnsi="Times New Roman"/>
                <w:b/>
                <w:bCs/>
              </w:rPr>
            </w:pPr>
            <w:r w:rsidRPr="00FA3856">
              <w:rPr>
                <w:rFonts w:ascii="Times New Roman" w:hAnsi="Times New Roman"/>
                <w:b/>
                <w:bCs/>
              </w:rPr>
              <w:t>Regras de Validação do Campo</w:t>
            </w:r>
          </w:p>
        </w:tc>
        <w:tc>
          <w:tcPr>
            <w:tcW w:w="717" w:type="dxa"/>
            <w:tcBorders>
              <w:top w:val="single" w:sz="6" w:space="0" w:color="auto"/>
              <w:left w:val="single" w:sz="6" w:space="0" w:color="auto"/>
              <w:bottom w:val="single" w:sz="6" w:space="0" w:color="auto"/>
              <w:right w:val="single" w:sz="6" w:space="0" w:color="auto"/>
            </w:tcBorders>
            <w:shd w:val="pct10" w:color="auto" w:fill="FFFFFF"/>
          </w:tcPr>
          <w:p w:rsidR="001C0D2F" w:rsidRPr="00FA3856" w:rsidRDefault="001C0D2F" w:rsidP="005667D7">
            <w:pPr>
              <w:pStyle w:val="PSDS-CorpodeTexto0"/>
              <w:jc w:val="center"/>
              <w:rPr>
                <w:rFonts w:ascii="Times New Roman" w:hAnsi="Times New Roman"/>
                <w:b/>
                <w:bCs/>
              </w:rPr>
            </w:pPr>
            <w:r w:rsidRPr="00FA3856">
              <w:rPr>
                <w:rFonts w:ascii="Times New Roman" w:hAnsi="Times New Roman"/>
                <w:b/>
                <w:bCs/>
              </w:rPr>
              <w:t>Tipo</w:t>
            </w:r>
          </w:p>
        </w:tc>
      </w:tr>
      <w:tr w:rsidR="0012324D" w:rsidRPr="00FA3856" w:rsidTr="007D731A">
        <w:trPr>
          <w:jc w:val="center"/>
        </w:trPr>
        <w:tc>
          <w:tcPr>
            <w:tcW w:w="485" w:type="dxa"/>
            <w:tcBorders>
              <w:top w:val="single" w:sz="6" w:space="0" w:color="auto"/>
              <w:left w:val="single" w:sz="6" w:space="0" w:color="auto"/>
              <w:bottom w:val="single" w:sz="6" w:space="0" w:color="auto"/>
              <w:right w:val="single" w:sz="6" w:space="0" w:color="auto"/>
            </w:tcBorders>
          </w:tcPr>
          <w:p w:rsidR="0012324D" w:rsidRPr="00FA3856" w:rsidRDefault="0012324D" w:rsidP="0012324D">
            <w:pPr>
              <w:pStyle w:val="PSDS-CorpodeTexto0"/>
              <w:suppressAutoHyphens w:val="0"/>
              <w:rPr>
                <w:rFonts w:ascii="Times New Roman" w:hAnsi="Times New Roman"/>
                <w:b/>
                <w:bCs/>
                <w:lang w:val="pt-PT"/>
              </w:rPr>
            </w:pPr>
            <w:r w:rsidRPr="00FA3856">
              <w:rPr>
                <w:rFonts w:ascii="Times New Roman" w:hAnsi="Times New Roman"/>
                <w:b/>
                <w:bCs/>
                <w:lang w:val="pt-PT"/>
              </w:rPr>
              <w:t>4</w:t>
            </w:r>
          </w:p>
        </w:tc>
        <w:tc>
          <w:tcPr>
            <w:tcW w:w="3000" w:type="dxa"/>
            <w:tcBorders>
              <w:top w:val="single" w:sz="6" w:space="0" w:color="auto"/>
              <w:left w:val="single" w:sz="6" w:space="0" w:color="auto"/>
              <w:bottom w:val="single" w:sz="6" w:space="0" w:color="auto"/>
              <w:right w:val="single" w:sz="6" w:space="0" w:color="auto"/>
            </w:tcBorders>
          </w:tcPr>
          <w:p w:rsidR="0012324D" w:rsidRPr="00FA3856" w:rsidRDefault="0012324D" w:rsidP="0012324D">
            <w:pPr>
              <w:pStyle w:val="PSDS-CorpodeTexto0"/>
              <w:rPr>
                <w:rFonts w:ascii="Times New Roman" w:hAnsi="Times New Roman"/>
              </w:rPr>
            </w:pPr>
            <w:r w:rsidRPr="00FA3856">
              <w:rPr>
                <w:rFonts w:ascii="Times New Roman" w:hAnsi="Times New Roman"/>
              </w:rPr>
              <w:t>VALOR</w:t>
            </w:r>
          </w:p>
        </w:tc>
        <w:tc>
          <w:tcPr>
            <w:tcW w:w="11165" w:type="dxa"/>
            <w:tcBorders>
              <w:top w:val="single" w:sz="6" w:space="0" w:color="auto"/>
              <w:left w:val="single" w:sz="6" w:space="0" w:color="auto"/>
              <w:bottom w:val="single" w:sz="6" w:space="0" w:color="auto"/>
              <w:right w:val="single" w:sz="6" w:space="0" w:color="auto"/>
            </w:tcBorders>
          </w:tcPr>
          <w:p w:rsidR="0012324D" w:rsidRPr="00FA3856" w:rsidRDefault="0012324D" w:rsidP="0012324D">
            <w:pPr>
              <w:pStyle w:val="Corpodetexto"/>
              <w:rPr>
                <w:rFonts w:ascii="Times New Roman" w:hAnsi="Times New Roman"/>
                <w:szCs w:val="20"/>
              </w:rPr>
            </w:pPr>
            <w:r w:rsidRPr="00FA3856">
              <w:rPr>
                <w:rFonts w:ascii="Times New Roman" w:hAnsi="Times New Roman"/>
                <w:b/>
                <w:bCs/>
                <w:szCs w:val="20"/>
              </w:rPr>
              <w:t>REGRA_OBRIGATORIO_TIPO_DIFERENTE_R</w:t>
            </w:r>
            <w:r w:rsidRPr="00FA3856">
              <w:rPr>
                <w:rFonts w:ascii="Times New Roman" w:hAnsi="Times New Roman"/>
                <w:szCs w:val="20"/>
              </w:rPr>
              <w:t xml:space="preserve">: </w:t>
            </w:r>
            <w:r w:rsidRPr="00FA3856">
              <w:rPr>
                <w:rStyle w:val="Hyperlink"/>
                <w:rFonts w:ascii="Times New Roman" w:hAnsi="Times New Roman"/>
                <w:bCs/>
                <w:color w:val="auto"/>
                <w:szCs w:val="20"/>
                <w:lang w:val="pt-PT"/>
              </w:rPr>
              <w:t xml:space="preserve">Verifica se o campo está preenchido quando o tipo da linha </w:t>
            </w:r>
            <w:r w:rsidR="003B394A" w:rsidRPr="00FA3856">
              <w:rPr>
                <w:rStyle w:val="Hyperlink"/>
                <w:rFonts w:ascii="Times New Roman" w:hAnsi="Times New Roman"/>
                <w:bCs/>
                <w:color w:val="auto"/>
                <w:szCs w:val="20"/>
                <w:lang w:val="pt-PT"/>
              </w:rPr>
              <w:t>é diferente</w:t>
            </w:r>
            <w:r w:rsidRPr="00FA3856">
              <w:rPr>
                <w:rStyle w:val="Hyperlink"/>
                <w:rFonts w:ascii="Times New Roman" w:hAnsi="Times New Roman"/>
                <w:bCs/>
                <w:color w:val="auto"/>
                <w:szCs w:val="20"/>
                <w:lang w:val="pt-PT"/>
              </w:rPr>
              <w:t xml:space="preserve"> de “R”.</w:t>
            </w:r>
          </w:p>
        </w:tc>
        <w:tc>
          <w:tcPr>
            <w:tcW w:w="717" w:type="dxa"/>
            <w:tcBorders>
              <w:top w:val="single" w:sz="6" w:space="0" w:color="auto"/>
              <w:left w:val="single" w:sz="6" w:space="0" w:color="auto"/>
              <w:bottom w:val="single" w:sz="6" w:space="0" w:color="auto"/>
              <w:right w:val="single" w:sz="6" w:space="0" w:color="auto"/>
            </w:tcBorders>
          </w:tcPr>
          <w:p w:rsidR="0012324D" w:rsidRPr="00FA3856" w:rsidRDefault="0012324D" w:rsidP="0012324D">
            <w:pPr>
              <w:pStyle w:val="PSDS-CorpodeTexto0"/>
              <w:rPr>
                <w:rFonts w:ascii="Times New Roman" w:hAnsi="Times New Roman"/>
              </w:rPr>
            </w:pPr>
            <w:r w:rsidRPr="00FA3856">
              <w:rPr>
                <w:rFonts w:ascii="Times New Roman" w:hAnsi="Times New Roman"/>
              </w:rPr>
              <w:t>Erro</w:t>
            </w:r>
          </w:p>
          <w:p w:rsidR="0012324D" w:rsidRPr="00FA3856" w:rsidRDefault="0012324D" w:rsidP="0012324D">
            <w:pPr>
              <w:pStyle w:val="PSDS-CorpodeTexto0"/>
              <w:rPr>
                <w:rFonts w:ascii="Times New Roman" w:hAnsi="Times New Roman"/>
              </w:rPr>
            </w:pPr>
          </w:p>
        </w:tc>
      </w:tr>
    </w:tbl>
    <w:p w:rsidR="00012703" w:rsidRDefault="00012703" w:rsidP="00DD770B">
      <w:pPr>
        <w:rPr>
          <w:b/>
          <w:szCs w:val="20"/>
          <w:lang w:val="pt-PT"/>
        </w:rPr>
      </w:pPr>
    </w:p>
    <w:p w:rsidR="00EF005F" w:rsidRPr="00FA3856" w:rsidRDefault="006424C4" w:rsidP="00DD770B">
      <w:pPr>
        <w:rPr>
          <w:b/>
          <w:szCs w:val="20"/>
          <w:lang w:val="pt-PT"/>
        </w:rPr>
      </w:pPr>
      <w:r w:rsidRPr="00FA3856">
        <w:rPr>
          <w:b/>
          <w:szCs w:val="20"/>
          <w:lang w:val="pt-PT"/>
        </w:rPr>
        <w:t>I</w:t>
      </w:r>
      <w:r w:rsidR="0071531B" w:rsidRPr="00FA3856">
        <w:rPr>
          <w:b/>
          <w:szCs w:val="20"/>
          <w:lang w:val="pt-PT"/>
        </w:rPr>
        <w:t>II – Tabela Dinâmica:</w:t>
      </w:r>
      <w:r w:rsidR="00DD770B" w:rsidRPr="00FA3856">
        <w:rPr>
          <w:b/>
          <w:szCs w:val="20"/>
          <w:lang w:val="pt-PT"/>
        </w:rPr>
        <w:t xml:space="preserve"> </w:t>
      </w:r>
      <w:r w:rsidR="003E7A35" w:rsidRPr="003E7A35">
        <w:rPr>
          <w:b/>
          <w:szCs w:val="20"/>
          <w:lang w:val="pt-PT"/>
        </w:rPr>
        <w:t>N500 - Base de Cálculo do IRPJ Sobre o Lucro Real</w:t>
      </w:r>
    </w:p>
    <w:p w:rsidR="00012703" w:rsidRPr="00FA3856" w:rsidRDefault="00486CDA" w:rsidP="006A504D">
      <w:pPr>
        <w:rPr>
          <w:szCs w:val="20"/>
        </w:rPr>
      </w:pPr>
      <w:r>
        <w:rPr>
          <w:szCs w:val="20"/>
        </w:rPr>
        <w:object w:dxaOrig="1534" w:dyaOrig="997">
          <v:shape id="_x0000_i1167" type="#_x0000_t75" style="width:79.5pt;height:50.25pt" o:ole="">
            <v:imagedata r:id="rId353" o:title=""/>
          </v:shape>
          <o:OLEObject Type="Link" ProgID="Excel.Sheet.12" ShapeID="_x0000_i1167" DrawAspect="Content" r:id="rId354" UpdateMode="OnCall">
            <o:LinkType>EnhancedMetaFile</o:LinkType>
            <o:LockedField>false</o:LockedField>
          </o:OLEObject>
        </w:object>
      </w:r>
    </w:p>
    <w:p w:rsidR="00012703" w:rsidRDefault="007D731A" w:rsidP="007D731A">
      <w:pPr>
        <w:pStyle w:val="Corpodetexto"/>
        <w:rPr>
          <w:rFonts w:ascii="Times New Roman" w:hAnsi="Times New Roman"/>
          <w:b/>
          <w:color w:val="002060"/>
          <w:szCs w:val="20"/>
        </w:rPr>
      </w:pPr>
      <w:r w:rsidRPr="00FA3856">
        <w:rPr>
          <w:rFonts w:ascii="Times New Roman" w:hAnsi="Times New Roman"/>
          <w:b/>
          <w:color w:val="002060"/>
          <w:szCs w:val="20"/>
        </w:rPr>
        <w:t xml:space="preserve">Exemplo de Preenchimento: </w:t>
      </w:r>
    </w:p>
    <w:p w:rsidR="00012703" w:rsidRDefault="00012703" w:rsidP="007D731A">
      <w:pPr>
        <w:pStyle w:val="Corpodetexto"/>
        <w:rPr>
          <w:rFonts w:ascii="Times New Roman" w:hAnsi="Times New Roman"/>
          <w:b/>
          <w:color w:val="002060"/>
          <w:szCs w:val="20"/>
        </w:rPr>
      </w:pPr>
    </w:p>
    <w:p w:rsidR="007D731A" w:rsidRPr="00FA3856" w:rsidRDefault="007D731A" w:rsidP="007D731A">
      <w:pPr>
        <w:pStyle w:val="Corpodetexto"/>
        <w:rPr>
          <w:rFonts w:ascii="Times New Roman" w:hAnsi="Times New Roman"/>
          <w:b/>
          <w:color w:val="002060"/>
          <w:szCs w:val="20"/>
        </w:rPr>
      </w:pPr>
      <w:r w:rsidRPr="00FA3856">
        <w:rPr>
          <w:rFonts w:ascii="Times New Roman" w:hAnsi="Times New Roman"/>
          <w:b/>
          <w:color w:val="002060"/>
          <w:szCs w:val="20"/>
        </w:rPr>
        <w:t>|N500|1|Valor da base de cálculo do IRPJ|100000,00|</w:t>
      </w:r>
    </w:p>
    <w:p w:rsidR="007D731A" w:rsidRPr="00FA3856" w:rsidRDefault="007D731A" w:rsidP="007D731A">
      <w:pPr>
        <w:pStyle w:val="Corpodetexto"/>
        <w:ind w:firstLine="708"/>
        <w:rPr>
          <w:rFonts w:ascii="Times New Roman" w:hAnsi="Times New Roman"/>
          <w:color w:val="002060"/>
          <w:szCs w:val="20"/>
        </w:rPr>
      </w:pPr>
      <w:r w:rsidRPr="00FA3856">
        <w:rPr>
          <w:rFonts w:ascii="Times New Roman" w:hAnsi="Times New Roman"/>
          <w:color w:val="002060"/>
          <w:szCs w:val="20"/>
        </w:rPr>
        <w:t>|N500|: Identificação do tipo do registro.</w:t>
      </w:r>
    </w:p>
    <w:p w:rsidR="007D731A" w:rsidRPr="00FA3856" w:rsidRDefault="007D731A" w:rsidP="007D731A">
      <w:pPr>
        <w:pStyle w:val="Corpodetexto"/>
        <w:ind w:firstLine="708"/>
        <w:rPr>
          <w:rFonts w:ascii="Times New Roman" w:hAnsi="Times New Roman"/>
          <w:color w:val="002060"/>
          <w:szCs w:val="20"/>
        </w:rPr>
      </w:pPr>
      <w:r w:rsidRPr="00FA3856">
        <w:rPr>
          <w:rFonts w:ascii="Times New Roman" w:hAnsi="Times New Roman"/>
          <w:color w:val="002060"/>
          <w:szCs w:val="20"/>
        </w:rPr>
        <w:t>|1|: Código da linha.</w:t>
      </w:r>
      <w:r w:rsidRPr="00FA3856">
        <w:rPr>
          <w:rFonts w:ascii="Times New Roman" w:hAnsi="Times New Roman"/>
          <w:color w:val="002060"/>
          <w:szCs w:val="20"/>
        </w:rPr>
        <w:tab/>
      </w:r>
    </w:p>
    <w:p w:rsidR="007D731A" w:rsidRPr="00FA3856" w:rsidRDefault="007D731A" w:rsidP="007D731A">
      <w:pPr>
        <w:pStyle w:val="Corpodetexto"/>
        <w:ind w:firstLine="708"/>
        <w:rPr>
          <w:rFonts w:ascii="Times New Roman" w:hAnsi="Times New Roman"/>
          <w:color w:val="002060"/>
          <w:szCs w:val="20"/>
        </w:rPr>
      </w:pPr>
      <w:r w:rsidRPr="00FA3856">
        <w:rPr>
          <w:rFonts w:ascii="Times New Roman" w:hAnsi="Times New Roman"/>
          <w:color w:val="002060"/>
          <w:szCs w:val="20"/>
        </w:rPr>
        <w:t xml:space="preserve">|Valor da Base de Cálculo </w:t>
      </w:r>
      <w:r w:rsidR="00911F55" w:rsidRPr="00FA3856">
        <w:rPr>
          <w:rFonts w:ascii="Times New Roman" w:hAnsi="Times New Roman"/>
          <w:color w:val="002060"/>
          <w:szCs w:val="20"/>
        </w:rPr>
        <w:t>do IRPJ</w:t>
      </w:r>
      <w:r w:rsidRPr="00FA3856">
        <w:rPr>
          <w:rFonts w:ascii="Times New Roman" w:hAnsi="Times New Roman"/>
          <w:color w:val="002060"/>
          <w:szCs w:val="20"/>
        </w:rPr>
        <w:t>|: Descrição da linha.</w:t>
      </w:r>
    </w:p>
    <w:p w:rsidR="007D731A" w:rsidRPr="00FA3856" w:rsidRDefault="007D731A" w:rsidP="007D731A">
      <w:pPr>
        <w:pStyle w:val="Corpodetexto"/>
        <w:ind w:firstLine="708"/>
        <w:rPr>
          <w:rFonts w:ascii="Times New Roman" w:hAnsi="Times New Roman"/>
          <w:color w:val="002060"/>
          <w:szCs w:val="20"/>
        </w:rPr>
      </w:pPr>
      <w:r w:rsidRPr="00FA3856">
        <w:rPr>
          <w:rFonts w:ascii="Times New Roman" w:hAnsi="Times New Roman"/>
          <w:color w:val="002060"/>
          <w:szCs w:val="20"/>
        </w:rPr>
        <w:t>|100000,00|: Valor da linha (R$ 100.000,00).</w:t>
      </w:r>
    </w:p>
    <w:p w:rsidR="007D731A" w:rsidRPr="00FA3856" w:rsidRDefault="007D731A" w:rsidP="00C2194D">
      <w:pPr>
        <w:jc w:val="both"/>
        <w:rPr>
          <w:szCs w:val="20"/>
        </w:rPr>
      </w:pPr>
    </w:p>
    <w:p w:rsidR="00C2194D" w:rsidRPr="00FA3856" w:rsidRDefault="00C2194D" w:rsidP="00C2194D">
      <w:pPr>
        <w:jc w:val="both"/>
        <w:rPr>
          <w:szCs w:val="20"/>
        </w:rPr>
      </w:pPr>
      <w:r w:rsidRPr="00FA3856">
        <w:rPr>
          <w:szCs w:val="20"/>
        </w:rPr>
        <w:br w:type="page"/>
      </w:r>
    </w:p>
    <w:p w:rsidR="00B573DD" w:rsidRPr="00FA3856" w:rsidRDefault="00B573DD" w:rsidP="00867F54">
      <w:pPr>
        <w:pStyle w:val="Ttulo4"/>
      </w:pPr>
      <w:bookmarkStart w:id="217" w:name="_Toc479713743"/>
      <w:r w:rsidRPr="00FA3856">
        <w:lastRenderedPageBreak/>
        <w:t>Registro N600: Demonstração do Lucro da Exploração</w:t>
      </w:r>
      <w:bookmarkEnd w:id="217"/>
    </w:p>
    <w:p w:rsidR="00B573DD" w:rsidRPr="00FA3856" w:rsidRDefault="00B573DD" w:rsidP="00B573DD">
      <w:pPr>
        <w:jc w:val="both"/>
        <w:rPr>
          <w:szCs w:val="20"/>
        </w:rPr>
      </w:pPr>
    </w:p>
    <w:p w:rsidR="00BF78F0" w:rsidRPr="00FA3856" w:rsidRDefault="00BF78F0" w:rsidP="00BF78F0">
      <w:pPr>
        <w:pStyle w:val="PSDS-CorpodeTexto0"/>
        <w:ind w:firstLine="708"/>
        <w:rPr>
          <w:rFonts w:ascii="Times New Roman" w:hAnsi="Times New Roman"/>
        </w:rPr>
      </w:pPr>
      <w:r w:rsidRPr="00FA3856">
        <w:rPr>
          <w:rFonts w:ascii="Times New Roman" w:hAnsi="Times New Roman"/>
        </w:rPr>
        <w:t>Devem preencher este registro as pessoas jurídicas submetidas à apuração</w:t>
      </w:r>
      <w:r w:rsidRPr="00FA3856">
        <w:rPr>
          <w:rFonts w:ascii="Times New Roman" w:hAnsi="Times New Roman"/>
          <w:b/>
          <w:bCs/>
        </w:rPr>
        <w:t xml:space="preserve"> </w:t>
      </w:r>
      <w:r w:rsidRPr="00FA3856">
        <w:rPr>
          <w:rFonts w:ascii="Times New Roman" w:hAnsi="Times New Roman"/>
        </w:rPr>
        <w:t>trimestral ou anual</w:t>
      </w:r>
      <w:r w:rsidRPr="00FA3856">
        <w:rPr>
          <w:rFonts w:ascii="Times New Roman" w:hAnsi="Times New Roman"/>
          <w:b/>
          <w:bCs/>
        </w:rPr>
        <w:t xml:space="preserve"> </w:t>
      </w:r>
      <w:r w:rsidRPr="00FA3856">
        <w:rPr>
          <w:rFonts w:ascii="Times New Roman" w:hAnsi="Times New Roman"/>
        </w:rPr>
        <w:t>do imposto sobre a renda com base no lucro real</w:t>
      </w:r>
      <w:r w:rsidRPr="00FA3856">
        <w:rPr>
          <w:rFonts w:ascii="Times New Roman" w:hAnsi="Times New Roman"/>
          <w:b/>
          <w:bCs/>
        </w:rPr>
        <w:t xml:space="preserve"> </w:t>
      </w:r>
      <w:r w:rsidRPr="00FA3856">
        <w:rPr>
          <w:rFonts w:ascii="Times New Roman" w:hAnsi="Times New Roman"/>
        </w:rPr>
        <w:t>que gozem de benefícios fiscais calculados com base no lucro da exploração, tais como (PN CST n</w:t>
      </w:r>
      <w:r w:rsidRPr="00FA3856">
        <w:rPr>
          <w:rFonts w:ascii="Times New Roman" w:hAnsi="Times New Roman"/>
          <w:strike/>
        </w:rPr>
        <w:t>º</w:t>
      </w:r>
      <w:r w:rsidRPr="00FA3856">
        <w:rPr>
          <w:rFonts w:ascii="Times New Roman" w:hAnsi="Times New Roman"/>
        </w:rPr>
        <w:t xml:space="preserve"> 49, de 1979):</w:t>
      </w:r>
    </w:p>
    <w:p w:rsidR="00BF78F0" w:rsidRPr="00FA3856" w:rsidRDefault="00BF78F0" w:rsidP="00BF78F0">
      <w:pPr>
        <w:pStyle w:val="NormalWeb"/>
        <w:spacing w:before="0" w:after="0"/>
        <w:jc w:val="both"/>
        <w:rPr>
          <w:rFonts w:ascii="Times New Roman" w:hAnsi="Times New Roman" w:cs="Times New Roman"/>
          <w:szCs w:val="20"/>
        </w:rPr>
      </w:pPr>
    </w:p>
    <w:p w:rsidR="00BF78F0" w:rsidRPr="00FA3856" w:rsidRDefault="00BF78F0" w:rsidP="00BF78F0">
      <w:pPr>
        <w:pStyle w:val="NormalWeb"/>
        <w:spacing w:before="0" w:after="0"/>
        <w:ind w:left="708"/>
        <w:jc w:val="both"/>
        <w:rPr>
          <w:rFonts w:ascii="Times New Roman" w:hAnsi="Times New Roman" w:cs="Times New Roman"/>
          <w:szCs w:val="20"/>
        </w:rPr>
      </w:pPr>
      <w:r w:rsidRPr="00FA3856">
        <w:rPr>
          <w:rFonts w:ascii="Times New Roman" w:hAnsi="Times New Roman" w:cs="Times New Roman"/>
          <w:szCs w:val="20"/>
        </w:rPr>
        <w:t>a) empresas instaladas nas áreas de atuação da Superintendência do Desenvolvimento do Nordeste (Sudene) e/ou da Superintendência do Desenvolvimento da Amazônia (Sudam), que tenham direito à isenção ou redução do imposto, de acordo com as legislações respectivas;</w:t>
      </w:r>
    </w:p>
    <w:p w:rsidR="00BF78F0" w:rsidRPr="00FA3856" w:rsidRDefault="00BF78F0" w:rsidP="00BF78F0">
      <w:pPr>
        <w:pStyle w:val="NormalWeb"/>
        <w:spacing w:before="0" w:after="0"/>
        <w:ind w:left="708"/>
        <w:jc w:val="both"/>
        <w:rPr>
          <w:rFonts w:ascii="Times New Roman" w:hAnsi="Times New Roman" w:cs="Times New Roman"/>
          <w:szCs w:val="20"/>
        </w:rPr>
      </w:pPr>
      <w:r w:rsidRPr="00FA3856">
        <w:rPr>
          <w:rFonts w:ascii="Times New Roman" w:hAnsi="Times New Roman" w:cs="Times New Roman"/>
          <w:szCs w:val="20"/>
        </w:rPr>
        <w:t>b) empresas que explorem empreendimentos hoteleiros e outros empreendimentos turísticos com projetos aprovados pelo extinto Conselho Nacional de Turismo até 31 de dezembro de 1985, em gozo de redução de até 70% (setenta por cento) do imposto pelo prazo de 10 (dez) anos a partir da conclusão das obras;</w:t>
      </w:r>
    </w:p>
    <w:p w:rsidR="00BF78F0" w:rsidRPr="00FA3856" w:rsidRDefault="00BF78F0" w:rsidP="00BF78F0">
      <w:pPr>
        <w:pStyle w:val="NormalWeb"/>
        <w:spacing w:before="0" w:after="0"/>
        <w:ind w:left="708"/>
        <w:jc w:val="both"/>
        <w:rPr>
          <w:rFonts w:ascii="Times New Roman" w:hAnsi="Times New Roman" w:cs="Times New Roman"/>
          <w:szCs w:val="20"/>
        </w:rPr>
      </w:pPr>
      <w:r w:rsidRPr="00FA3856">
        <w:rPr>
          <w:rFonts w:ascii="Times New Roman" w:hAnsi="Times New Roman" w:cs="Times New Roman"/>
          <w:szCs w:val="20"/>
        </w:rPr>
        <w:t>c) empresas que instalaram, ampliaram ou modernizaram, até 31 de dezembro de 1990, na área do Programa Grande Carajás, empreendimentos dele integrantes, beneficiadas com isenção do imposto por ato do Conselho Interministerial do Programa Grande Carajás;</w:t>
      </w:r>
    </w:p>
    <w:p w:rsidR="00BF78F0" w:rsidRPr="00FA3856" w:rsidRDefault="00BF78F0" w:rsidP="00BF78F0">
      <w:pPr>
        <w:pStyle w:val="NormalWeb"/>
        <w:spacing w:before="0" w:after="0"/>
        <w:ind w:left="708"/>
        <w:jc w:val="both"/>
        <w:rPr>
          <w:rFonts w:ascii="Times New Roman" w:hAnsi="Times New Roman" w:cs="Times New Roman"/>
          <w:szCs w:val="20"/>
        </w:rPr>
      </w:pPr>
      <w:r w:rsidRPr="00FA3856">
        <w:rPr>
          <w:rFonts w:ascii="Times New Roman" w:hAnsi="Times New Roman" w:cs="Times New Roman"/>
          <w:szCs w:val="20"/>
        </w:rPr>
        <w:t>d) empresas que tenham empreendimentos industriais ou agroindustriais, inclusive de construção civil, em operação nas áreas de atuação da Sudam e da Sudene, que optarem por depositar parte do imposto devido para reinvestimento, conforme a legislação aplicável;</w:t>
      </w:r>
    </w:p>
    <w:p w:rsidR="00BF78F0" w:rsidRPr="00FA3856" w:rsidRDefault="00BF78F0" w:rsidP="00BF78F0">
      <w:pPr>
        <w:pStyle w:val="NormalWeb"/>
        <w:spacing w:before="0" w:after="0"/>
        <w:ind w:left="708"/>
        <w:jc w:val="both"/>
        <w:rPr>
          <w:rFonts w:ascii="Times New Roman" w:hAnsi="Times New Roman" w:cs="Times New Roman"/>
          <w:szCs w:val="20"/>
        </w:rPr>
      </w:pPr>
      <w:r w:rsidRPr="00FA3856">
        <w:rPr>
          <w:rFonts w:ascii="Times New Roman" w:hAnsi="Times New Roman" w:cs="Times New Roman"/>
          <w:szCs w:val="20"/>
        </w:rPr>
        <w:t>e) a pessoa jurídica que tenha projeto aprovado no âmbito do Programa de Apoio ao Desenvolvimento Tecnológico da Indústria de Semicondutores (Padis), em ato conjunto do Ministério da Fazenda, do Ministério da Ciência e Tecnologia e do Ministério do Desenvolvimento, Indústria e Comércio Exterior, nos termos e condições estabelecidos pelo Poder Executivo (Lei n</w:t>
      </w:r>
      <w:r w:rsidRPr="00FA3856">
        <w:rPr>
          <w:rFonts w:ascii="Times New Roman" w:hAnsi="Times New Roman" w:cs="Times New Roman"/>
          <w:strike/>
          <w:szCs w:val="20"/>
        </w:rPr>
        <w:t>º</w:t>
      </w:r>
      <w:r w:rsidRPr="00FA3856">
        <w:rPr>
          <w:rFonts w:ascii="Times New Roman" w:hAnsi="Times New Roman" w:cs="Times New Roman"/>
          <w:szCs w:val="20"/>
        </w:rPr>
        <w:t xml:space="preserve"> 11.484, de 2007, art. 5</w:t>
      </w:r>
      <w:r w:rsidRPr="00FA3856">
        <w:rPr>
          <w:rFonts w:ascii="Times New Roman" w:hAnsi="Times New Roman" w:cs="Times New Roman"/>
          <w:strike/>
          <w:szCs w:val="20"/>
        </w:rPr>
        <w:t>º</w:t>
      </w:r>
      <w:r w:rsidRPr="00FA3856">
        <w:rPr>
          <w:rFonts w:ascii="Times New Roman" w:hAnsi="Times New Roman" w:cs="Times New Roman"/>
          <w:szCs w:val="20"/>
        </w:rPr>
        <w:t>).</w:t>
      </w:r>
    </w:p>
    <w:p w:rsidR="00BF78F0" w:rsidRPr="00FA3856" w:rsidRDefault="00BF78F0" w:rsidP="00BF78F0">
      <w:pPr>
        <w:pStyle w:val="NormalWeb"/>
        <w:spacing w:before="0" w:after="0"/>
        <w:ind w:left="708"/>
        <w:jc w:val="both"/>
        <w:rPr>
          <w:rFonts w:ascii="Times New Roman" w:hAnsi="Times New Roman" w:cs="Times New Roman"/>
          <w:szCs w:val="20"/>
        </w:rPr>
      </w:pPr>
      <w:r w:rsidRPr="00FA3856">
        <w:rPr>
          <w:rFonts w:ascii="Times New Roman" w:hAnsi="Times New Roman" w:cs="Times New Roman"/>
          <w:szCs w:val="20"/>
        </w:rPr>
        <w:t xml:space="preserve">f) empresas que tenham empreendimentos </w:t>
      </w:r>
      <w:r w:rsidRPr="00FA3856">
        <w:rPr>
          <w:rFonts w:ascii="Times New Roman" w:hAnsi="Times New Roman" w:cs="Times New Roman"/>
          <w:color w:val="000000"/>
          <w:szCs w:val="20"/>
        </w:rPr>
        <w:t>fabricantes de máquinas, equipamentos, instrumentos e dispositivos, baseados em tecnologia digital, voltados para o programa de inclusão digital, cujo projeto tenha sido aprovado nos termos do caput do art. 1</w:t>
      </w:r>
      <w:r w:rsidRPr="00FA3856">
        <w:rPr>
          <w:rFonts w:ascii="Times New Roman" w:hAnsi="Times New Roman" w:cs="Times New Roman"/>
          <w:strike/>
          <w:szCs w:val="20"/>
        </w:rPr>
        <w:t>º</w:t>
      </w:r>
      <w:r w:rsidRPr="00FA3856">
        <w:rPr>
          <w:rFonts w:ascii="Times New Roman" w:hAnsi="Times New Roman" w:cs="Times New Roman"/>
          <w:color w:val="000000"/>
          <w:szCs w:val="20"/>
        </w:rPr>
        <w:t xml:space="preserve"> da MP n</w:t>
      </w:r>
      <w:r w:rsidRPr="00FA3856">
        <w:rPr>
          <w:rFonts w:ascii="Times New Roman" w:hAnsi="Times New Roman" w:cs="Times New Roman"/>
          <w:strike/>
          <w:szCs w:val="20"/>
        </w:rPr>
        <w:t>º</w:t>
      </w:r>
      <w:r w:rsidRPr="00FA3856">
        <w:rPr>
          <w:rFonts w:ascii="Times New Roman" w:hAnsi="Times New Roman" w:cs="Times New Roman"/>
          <w:color w:val="000000"/>
          <w:szCs w:val="20"/>
        </w:rPr>
        <w:t xml:space="preserve"> 2.199-14, de 24 de agosto de 2001;</w:t>
      </w:r>
    </w:p>
    <w:p w:rsidR="00BF78F0" w:rsidRPr="00FA3856" w:rsidRDefault="00BF78F0" w:rsidP="00BF78F0">
      <w:pPr>
        <w:pStyle w:val="NormalWeb"/>
        <w:spacing w:before="0" w:after="0"/>
        <w:ind w:left="708"/>
        <w:jc w:val="both"/>
        <w:rPr>
          <w:rFonts w:ascii="Times New Roman" w:hAnsi="Times New Roman" w:cs="Times New Roman"/>
          <w:szCs w:val="20"/>
        </w:rPr>
      </w:pPr>
      <w:r w:rsidRPr="00FA3856">
        <w:rPr>
          <w:rFonts w:ascii="Times New Roman" w:hAnsi="Times New Roman" w:cs="Times New Roman"/>
          <w:szCs w:val="20"/>
        </w:rPr>
        <w:t>g) a Subsidiária da Fifa no Brasil e a Emissora Fonte da Fifa, na hipótese de ser pessoa jurídica domiciliada no Brasil em relação às atividades próprias e diretamente vinculadas à organização ou realização dos Eventos (Competições e as seguintes atividades relacionadas às Competições, oficialmente organizadas, chanceladas, patrocinadas ou apoiadas pela Subsidiária Fifa no Brasil) de que trata o inciso VI do art. 2</w:t>
      </w:r>
      <w:r w:rsidRPr="00FA3856">
        <w:rPr>
          <w:rFonts w:ascii="Times New Roman" w:hAnsi="Times New Roman" w:cs="Times New Roman"/>
          <w:strike/>
          <w:szCs w:val="20"/>
        </w:rPr>
        <w:t>º</w:t>
      </w:r>
      <w:r w:rsidRPr="00FA3856">
        <w:rPr>
          <w:rFonts w:ascii="Times New Roman" w:hAnsi="Times New Roman" w:cs="Times New Roman"/>
          <w:szCs w:val="20"/>
        </w:rPr>
        <w:t xml:space="preserve"> da Lei n</w:t>
      </w:r>
      <w:r w:rsidRPr="00FA3856">
        <w:rPr>
          <w:rFonts w:ascii="Times New Roman" w:hAnsi="Times New Roman" w:cs="Times New Roman"/>
          <w:strike/>
          <w:szCs w:val="20"/>
        </w:rPr>
        <w:t>º</w:t>
      </w:r>
      <w:r w:rsidRPr="00FA3856">
        <w:rPr>
          <w:rFonts w:ascii="Times New Roman" w:hAnsi="Times New Roman" w:cs="Times New Roman"/>
          <w:szCs w:val="20"/>
        </w:rPr>
        <w:t xml:space="preserve"> 12.350, de 2010;</w:t>
      </w:r>
    </w:p>
    <w:p w:rsidR="00BF78F0" w:rsidRPr="00FA3856" w:rsidRDefault="00BF78F0" w:rsidP="00BF78F0">
      <w:pPr>
        <w:pStyle w:val="NormalWeb"/>
        <w:spacing w:before="0" w:after="0"/>
        <w:ind w:left="708"/>
        <w:jc w:val="both"/>
        <w:rPr>
          <w:rFonts w:ascii="Times New Roman" w:hAnsi="Times New Roman" w:cs="Times New Roman"/>
          <w:szCs w:val="20"/>
        </w:rPr>
      </w:pPr>
      <w:r w:rsidRPr="00FA3856">
        <w:rPr>
          <w:rFonts w:ascii="Times New Roman" w:hAnsi="Times New Roman" w:cs="Times New Roman"/>
          <w:szCs w:val="20"/>
        </w:rPr>
        <w:t xml:space="preserve">h) o Prestador de Serviços da Fifa de atividades </w:t>
      </w:r>
      <w:r w:rsidRPr="00FA3856">
        <w:rPr>
          <w:rFonts w:ascii="Times New Roman" w:hAnsi="Times New Roman" w:cs="Times New Roman"/>
          <w:color w:val="000000"/>
          <w:szCs w:val="20"/>
          <w:lang w:val="pt-PT"/>
        </w:rPr>
        <w:t>diretamente relacionadas à realização dos Eventos</w:t>
      </w:r>
      <w:r w:rsidRPr="00FA3856">
        <w:rPr>
          <w:rFonts w:ascii="Times New Roman" w:hAnsi="Times New Roman" w:cs="Times New Roman"/>
          <w:szCs w:val="20"/>
        </w:rPr>
        <w:t xml:space="preserve"> (Competições e as seguintes atividades relacionadas às Competições, oficialmente organizadas, chanceladas, patrocinadas ou apoiadas pela Subsidiária Fifa no Brasil) de que trata o inciso VI do art. 2</w:t>
      </w:r>
      <w:r w:rsidRPr="00FA3856">
        <w:rPr>
          <w:rFonts w:ascii="Times New Roman" w:hAnsi="Times New Roman" w:cs="Times New Roman"/>
          <w:strike/>
          <w:szCs w:val="20"/>
        </w:rPr>
        <w:t>º</w:t>
      </w:r>
      <w:r w:rsidRPr="00FA3856">
        <w:rPr>
          <w:rFonts w:ascii="Times New Roman" w:hAnsi="Times New Roman" w:cs="Times New Roman"/>
          <w:szCs w:val="20"/>
        </w:rPr>
        <w:t xml:space="preserve"> da Lei n</w:t>
      </w:r>
      <w:r w:rsidRPr="00FA3856">
        <w:rPr>
          <w:rFonts w:ascii="Times New Roman" w:hAnsi="Times New Roman" w:cs="Times New Roman"/>
          <w:strike/>
          <w:szCs w:val="20"/>
        </w:rPr>
        <w:t>º</w:t>
      </w:r>
      <w:r w:rsidRPr="00FA3856">
        <w:rPr>
          <w:rFonts w:ascii="Times New Roman" w:hAnsi="Times New Roman" w:cs="Times New Roman"/>
          <w:szCs w:val="20"/>
        </w:rPr>
        <w:t xml:space="preserve"> 12.350, de 2010;</w:t>
      </w:r>
    </w:p>
    <w:p w:rsidR="00BF78F0" w:rsidRPr="00FA3856" w:rsidRDefault="001B58FE" w:rsidP="00BF78F0">
      <w:pPr>
        <w:pStyle w:val="Corpodetexto"/>
        <w:ind w:left="708"/>
        <w:rPr>
          <w:rFonts w:ascii="Times New Roman" w:hAnsi="Times New Roman"/>
          <w:szCs w:val="20"/>
        </w:rPr>
      </w:pPr>
      <w:r w:rsidRPr="00FA3856">
        <w:rPr>
          <w:rFonts w:ascii="Times New Roman" w:hAnsi="Times New Roman"/>
          <w:szCs w:val="20"/>
        </w:rPr>
        <w:t>i) as</w:t>
      </w:r>
      <w:r w:rsidR="00BF78F0" w:rsidRPr="00FA3856">
        <w:rPr>
          <w:rFonts w:ascii="Times New Roman" w:hAnsi="Times New Roman"/>
          <w:szCs w:val="20"/>
        </w:rPr>
        <w:t xml:space="preserve"> empresas vinculadas ao Comité International Olympique - CIO, e domiciliadas no Brasil, em relação aos fatos geradores decorrentes das atividades próprias e diretamente vinculadas à organização ou realização dos Eventos (Jogos e as atividades a eles relacionadas, oficialmente organizadas, chanceladas, patrocinadas, ou apoiadas pelo CIO, APO ou RIO 2016) de que trata o art. 9</w:t>
      </w:r>
      <w:r w:rsidR="00BF78F0" w:rsidRPr="00FA3856">
        <w:rPr>
          <w:rFonts w:ascii="Times New Roman" w:hAnsi="Times New Roman"/>
          <w:strike/>
          <w:szCs w:val="20"/>
        </w:rPr>
        <w:t>º</w:t>
      </w:r>
      <w:r w:rsidR="00BF78F0" w:rsidRPr="00FA3856">
        <w:rPr>
          <w:rFonts w:ascii="Times New Roman" w:hAnsi="Times New Roman"/>
          <w:szCs w:val="20"/>
        </w:rPr>
        <w:t xml:space="preserve"> da Lei n</w:t>
      </w:r>
      <w:r w:rsidR="00BF78F0" w:rsidRPr="00FA3856">
        <w:rPr>
          <w:rFonts w:ascii="Times New Roman" w:hAnsi="Times New Roman"/>
          <w:strike/>
          <w:szCs w:val="20"/>
        </w:rPr>
        <w:t>º</w:t>
      </w:r>
      <w:r w:rsidR="00BF78F0" w:rsidRPr="00FA3856">
        <w:rPr>
          <w:rFonts w:ascii="Times New Roman" w:hAnsi="Times New Roman"/>
          <w:szCs w:val="20"/>
        </w:rPr>
        <w:t xml:space="preserve"> 12.780, de 2013;</w:t>
      </w:r>
    </w:p>
    <w:p w:rsidR="00BF78F0" w:rsidRPr="00FA3856" w:rsidRDefault="00BF78F0" w:rsidP="00BF78F0">
      <w:pPr>
        <w:pStyle w:val="Corpodetexto"/>
        <w:ind w:left="708"/>
        <w:rPr>
          <w:rFonts w:ascii="Times New Roman" w:hAnsi="Times New Roman"/>
          <w:szCs w:val="20"/>
        </w:rPr>
      </w:pPr>
      <w:r w:rsidRPr="00FA3856">
        <w:rPr>
          <w:rFonts w:ascii="Times New Roman" w:hAnsi="Times New Roman"/>
          <w:szCs w:val="20"/>
        </w:rPr>
        <w:t>j) O Comitê Organizador dos Jogos Olímpicos Rio 2016 - RIO 2016, em relação aos fatos geradores decorrentes das atividades próprias e diretamente vinculadas à organização ou realização dos Eventos (Jogos e as atividades a eles relacionadas, oficialmente organizadas, chanceladas, patrocinadas, ou apoiadas pelo CIO, APO ou RIO 2016, de que trata o art. 10 da Lei n</w:t>
      </w:r>
      <w:r w:rsidRPr="00FA3856">
        <w:rPr>
          <w:rFonts w:ascii="Times New Roman" w:hAnsi="Times New Roman"/>
          <w:strike/>
          <w:szCs w:val="20"/>
        </w:rPr>
        <w:t>º</w:t>
      </w:r>
      <w:r w:rsidRPr="00FA3856">
        <w:rPr>
          <w:rFonts w:ascii="Times New Roman" w:hAnsi="Times New Roman"/>
          <w:szCs w:val="20"/>
        </w:rPr>
        <w:t xml:space="preserve"> 12.780, de 2013.</w:t>
      </w:r>
    </w:p>
    <w:p w:rsidR="00BF78F0" w:rsidRPr="00FA3856" w:rsidRDefault="00BF78F0" w:rsidP="00BF78F0">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p w:rsidR="00BF78F0" w:rsidRPr="00FA3856" w:rsidRDefault="00BF78F0" w:rsidP="00BF78F0">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t>I) Considerações Gerais:</w:t>
      </w:r>
    </w:p>
    <w:p w:rsidR="00BF78F0" w:rsidRPr="00FA3856" w:rsidRDefault="00BF78F0" w:rsidP="00BF78F0">
      <w:pPr>
        <w:pStyle w:val="NormalWeb"/>
        <w:spacing w:before="0" w:after="0"/>
        <w:jc w:val="both"/>
        <w:rPr>
          <w:rFonts w:ascii="Times New Roman" w:hAnsi="Times New Roman" w:cs="Times New Roman"/>
          <w:szCs w:val="20"/>
        </w:rPr>
      </w:pPr>
    </w:p>
    <w:p w:rsidR="00BF78F0" w:rsidRPr="00FA3856" w:rsidRDefault="00BF78F0" w:rsidP="00BF78F0">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1) no caso de empresas que explorem a atividade rural (Lei n</w:t>
      </w:r>
      <w:r w:rsidRPr="00FA3856">
        <w:rPr>
          <w:rFonts w:ascii="Times New Roman" w:hAnsi="Times New Roman" w:cs="Times New Roman"/>
          <w:strike/>
          <w:szCs w:val="20"/>
        </w:rPr>
        <w:t>º</w:t>
      </w:r>
      <w:r w:rsidRPr="00FA3856">
        <w:rPr>
          <w:rFonts w:ascii="Times New Roman" w:hAnsi="Times New Roman" w:cs="Times New Roman"/>
          <w:szCs w:val="20"/>
        </w:rPr>
        <w:t xml:space="preserve"> 8.023, de 1990, art. 2</w:t>
      </w:r>
      <w:r w:rsidRPr="00FA3856">
        <w:rPr>
          <w:rFonts w:ascii="Times New Roman" w:hAnsi="Times New Roman" w:cs="Times New Roman"/>
          <w:strike/>
          <w:szCs w:val="20"/>
        </w:rPr>
        <w:t>º</w:t>
      </w:r>
      <w:r w:rsidRPr="00FA3856">
        <w:rPr>
          <w:rFonts w:ascii="Times New Roman" w:hAnsi="Times New Roman" w:cs="Times New Roman"/>
          <w:szCs w:val="20"/>
        </w:rPr>
        <w:t>, com a redação dada pelo art. 17 da Lei n</w:t>
      </w:r>
      <w:r w:rsidRPr="00FA3856">
        <w:rPr>
          <w:rFonts w:ascii="Times New Roman" w:hAnsi="Times New Roman" w:cs="Times New Roman"/>
          <w:strike/>
          <w:szCs w:val="20"/>
        </w:rPr>
        <w:t>º</w:t>
      </w:r>
      <w:r w:rsidRPr="00FA3856">
        <w:rPr>
          <w:rFonts w:ascii="Times New Roman" w:hAnsi="Times New Roman" w:cs="Times New Roman"/>
          <w:szCs w:val="20"/>
        </w:rPr>
        <w:t xml:space="preserve"> 9.250, de 1995), conjuntamente ou não com atividades em geral, a atividade rural </w:t>
      </w:r>
      <w:r w:rsidRPr="00FA3856">
        <w:rPr>
          <w:rFonts w:ascii="Times New Roman" w:hAnsi="Times New Roman" w:cs="Times New Roman"/>
          <w:b/>
          <w:bCs/>
          <w:szCs w:val="20"/>
        </w:rPr>
        <w:t>não</w:t>
      </w:r>
      <w:r w:rsidRPr="00FA3856">
        <w:rPr>
          <w:rFonts w:ascii="Times New Roman" w:hAnsi="Times New Roman" w:cs="Times New Roman"/>
          <w:szCs w:val="20"/>
        </w:rPr>
        <w:t xml:space="preserve"> será segregada para fins de cálculo do lucro da exploração, sendo a receita auferida informada na linha correspondente à atividade incentivada a que fizer jus ou, cas</w:t>
      </w:r>
      <w:r w:rsidR="000D2B3F" w:rsidRPr="00FA3856">
        <w:rPr>
          <w:rFonts w:ascii="Times New Roman" w:hAnsi="Times New Roman" w:cs="Times New Roman"/>
          <w:szCs w:val="20"/>
        </w:rPr>
        <w:t>o não se enquadre nas linhas N600/2 a N600/17</w:t>
      </w:r>
      <w:r w:rsidRPr="00FA3856">
        <w:rPr>
          <w:rFonts w:ascii="Times New Roman" w:hAnsi="Times New Roman" w:cs="Times New Roman"/>
          <w:szCs w:val="20"/>
        </w:rPr>
        <w:t>, incluída na linha N600/17;</w:t>
      </w:r>
    </w:p>
    <w:p w:rsidR="00BF78F0" w:rsidRPr="00FA3856" w:rsidRDefault="00BF78F0" w:rsidP="00BF78F0">
      <w:pPr>
        <w:pStyle w:val="NormalWeb"/>
        <w:spacing w:before="0" w:after="0"/>
        <w:jc w:val="both"/>
        <w:rPr>
          <w:rFonts w:ascii="Times New Roman" w:hAnsi="Times New Roman" w:cs="Times New Roman"/>
          <w:szCs w:val="20"/>
        </w:rPr>
      </w:pPr>
    </w:p>
    <w:p w:rsidR="00BF78F0" w:rsidRPr="00FA3856" w:rsidRDefault="00BF78F0" w:rsidP="00BF78F0">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2) a proporção que a receita líquida de cada atividade representa em relação à receita líquida total, calculada com base nas receitas líq</w:t>
      </w:r>
      <w:r w:rsidR="000D2B3F" w:rsidRPr="00FA3856">
        <w:rPr>
          <w:rFonts w:ascii="Times New Roman" w:hAnsi="Times New Roman" w:cs="Times New Roman"/>
          <w:szCs w:val="20"/>
        </w:rPr>
        <w:t>uidas informadas nas linhas N600/2 a N600/18</w:t>
      </w:r>
      <w:r w:rsidRPr="00FA3856">
        <w:rPr>
          <w:rFonts w:ascii="Times New Roman" w:hAnsi="Times New Roman" w:cs="Times New Roman"/>
          <w:szCs w:val="20"/>
        </w:rPr>
        <w:t>, aplicada sobre o lucro da exploração do período de apuração (trimestral ou anual) do imposto, determina a parcela do lucro da exploração que corresponde a cada uma das atividades da empresa.</w:t>
      </w:r>
    </w:p>
    <w:p w:rsidR="00BF78F0" w:rsidRPr="00FA3856" w:rsidRDefault="00BF78F0" w:rsidP="00BF78F0">
      <w:pPr>
        <w:pStyle w:val="NormalWeb"/>
        <w:spacing w:before="0" w:after="0"/>
        <w:ind w:left="600"/>
        <w:jc w:val="both"/>
        <w:rPr>
          <w:rFonts w:ascii="Times New Roman" w:hAnsi="Times New Roman" w:cs="Times New Roman"/>
          <w:b/>
          <w:bCs/>
          <w:szCs w:val="20"/>
        </w:rPr>
      </w:pPr>
    </w:p>
    <w:p w:rsidR="00BF78F0" w:rsidRPr="00FA3856" w:rsidRDefault="00BF78F0" w:rsidP="00BF78F0">
      <w:pPr>
        <w:pStyle w:val="NormalWeb"/>
        <w:spacing w:before="0" w:after="0"/>
        <w:ind w:left="600"/>
        <w:jc w:val="both"/>
        <w:rPr>
          <w:rFonts w:ascii="Times New Roman" w:hAnsi="Times New Roman" w:cs="Times New Roman"/>
          <w:b/>
          <w:bCs/>
          <w:szCs w:val="20"/>
        </w:rPr>
      </w:pPr>
    </w:p>
    <w:p w:rsidR="00BF78F0" w:rsidRPr="00FA3856" w:rsidRDefault="00BF78F0" w:rsidP="00BF78F0">
      <w:pPr>
        <w:pStyle w:val="NormalWeb"/>
        <w:spacing w:before="0" w:after="0"/>
        <w:ind w:left="600"/>
        <w:jc w:val="both"/>
        <w:rPr>
          <w:rFonts w:ascii="Times New Roman" w:hAnsi="Times New Roman" w:cs="Times New Roman"/>
          <w:b/>
          <w:bCs/>
          <w:szCs w:val="20"/>
        </w:rPr>
      </w:pPr>
    </w:p>
    <w:p w:rsidR="00BF78F0" w:rsidRPr="00FA3856" w:rsidRDefault="00BF78F0" w:rsidP="00BF78F0">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lastRenderedPageBreak/>
        <w:t>Atenção:</w:t>
      </w:r>
    </w:p>
    <w:p w:rsidR="00BF78F0" w:rsidRPr="00FA3856" w:rsidRDefault="00BF78F0" w:rsidP="00BF78F0">
      <w:pPr>
        <w:pStyle w:val="NormalWeb"/>
        <w:spacing w:before="0" w:after="0"/>
        <w:jc w:val="both"/>
        <w:rPr>
          <w:rFonts w:ascii="Times New Roman" w:hAnsi="Times New Roman" w:cs="Times New Roman"/>
          <w:szCs w:val="20"/>
        </w:rPr>
      </w:pPr>
    </w:p>
    <w:p w:rsidR="00BF78F0" w:rsidRPr="00FA3856" w:rsidRDefault="00832586" w:rsidP="00BF78F0">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1) Os valores das linhas N600/50 a N600/66</w:t>
      </w:r>
      <w:r w:rsidR="00BF78F0" w:rsidRPr="00FA3856">
        <w:rPr>
          <w:rFonts w:ascii="Times New Roman" w:hAnsi="Times New Roman" w:cs="Times New Roman"/>
          <w:szCs w:val="20"/>
        </w:rPr>
        <w:t xml:space="preserve"> serão calculados automaticamente pela ECF. Caso o sistema de contabilidade da empresa ofereça condições para apurar o lucro da exploração resultante de cada atividade incentivada, as infor</w:t>
      </w:r>
      <w:r w:rsidR="000D2B3F" w:rsidRPr="00FA3856">
        <w:rPr>
          <w:rFonts w:ascii="Times New Roman" w:hAnsi="Times New Roman" w:cs="Times New Roman"/>
          <w:szCs w:val="20"/>
        </w:rPr>
        <w:t>mações prestadas nas linhas N600/2 a N600/48</w:t>
      </w:r>
      <w:r w:rsidR="00BF78F0" w:rsidRPr="00FA3856">
        <w:rPr>
          <w:rFonts w:ascii="Times New Roman" w:hAnsi="Times New Roman" w:cs="Times New Roman"/>
          <w:szCs w:val="20"/>
        </w:rPr>
        <w:t xml:space="preserve"> terão caráter apenas informativo, podendo a pessoa jurídica al</w:t>
      </w:r>
      <w:r w:rsidR="000D2B3F" w:rsidRPr="00FA3856">
        <w:rPr>
          <w:rFonts w:ascii="Times New Roman" w:hAnsi="Times New Roman" w:cs="Times New Roman"/>
          <w:szCs w:val="20"/>
        </w:rPr>
        <w:t>terar os valores das linhas N600/50 a N600/66</w:t>
      </w:r>
      <w:r w:rsidR="00BF78F0" w:rsidRPr="00FA3856">
        <w:rPr>
          <w:rFonts w:ascii="Times New Roman" w:hAnsi="Times New Roman" w:cs="Times New Roman"/>
          <w:szCs w:val="20"/>
        </w:rPr>
        <w:t xml:space="preserve"> informando os efetivamente apurados (PN CST n</w:t>
      </w:r>
      <w:r w:rsidR="00BF78F0" w:rsidRPr="00FA3856">
        <w:rPr>
          <w:rFonts w:ascii="Times New Roman" w:hAnsi="Times New Roman" w:cs="Times New Roman"/>
          <w:strike/>
          <w:szCs w:val="20"/>
        </w:rPr>
        <w:t>º</w:t>
      </w:r>
      <w:r w:rsidR="00BF78F0" w:rsidRPr="00FA3856">
        <w:rPr>
          <w:rFonts w:ascii="Times New Roman" w:hAnsi="Times New Roman" w:cs="Times New Roman"/>
          <w:szCs w:val="20"/>
        </w:rPr>
        <w:t xml:space="preserve"> 49, de 1979);</w:t>
      </w:r>
    </w:p>
    <w:p w:rsidR="00BF78F0" w:rsidRPr="00FA3856" w:rsidRDefault="00BF78F0" w:rsidP="00BF78F0">
      <w:pPr>
        <w:pStyle w:val="NormalWeb"/>
        <w:spacing w:before="0" w:after="0"/>
        <w:jc w:val="both"/>
        <w:rPr>
          <w:rFonts w:ascii="Times New Roman" w:hAnsi="Times New Roman" w:cs="Times New Roman"/>
          <w:szCs w:val="20"/>
        </w:rPr>
      </w:pPr>
    </w:p>
    <w:p w:rsidR="00BF78F0" w:rsidRPr="00FA3856" w:rsidRDefault="00BF78F0" w:rsidP="000A539A">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2) A pessoa jurídica que se utilizar indevidamente dos benefícios está sujeita ao pagamento do imposto em relação a cada período de apuração, acrescido de juros e multa, sem prejuí</w:t>
      </w:r>
      <w:r w:rsidR="000A539A" w:rsidRPr="00FA3856">
        <w:rPr>
          <w:rFonts w:ascii="Times New Roman" w:hAnsi="Times New Roman" w:cs="Times New Roman"/>
          <w:szCs w:val="20"/>
        </w:rPr>
        <w:t>zo das sanções penais cabíveis.</w:t>
      </w:r>
    </w:p>
    <w:p w:rsidR="006435CB" w:rsidRDefault="006435CB" w:rsidP="00AC59E0">
      <w:pPr>
        <w:pStyle w:val="PSDS-MarcadoresNivel2"/>
        <w:numPr>
          <w:ilvl w:val="0"/>
          <w:numId w:val="0"/>
        </w:numPr>
        <w:jc w:val="center"/>
        <w:rPr>
          <w:rFonts w:ascii="Times New Roman" w:hAnsi="Times New Roman"/>
        </w:rPr>
      </w:pPr>
    </w:p>
    <w:p w:rsidR="006435CB" w:rsidRDefault="00B35FA3" w:rsidP="00AC59E0">
      <w:pPr>
        <w:pStyle w:val="PSDS-MarcadoresNivel2"/>
        <w:numPr>
          <w:ilvl w:val="0"/>
          <w:numId w:val="0"/>
        </w:numPr>
        <w:jc w:val="center"/>
        <w:rPr>
          <w:rFonts w:ascii="Times New Roman" w:hAnsi="Times New Roman"/>
        </w:rPr>
      </w:pPr>
      <w:r>
        <w:rPr>
          <w:rFonts w:ascii="Times New Roman" w:hAnsi="Times New Roman"/>
        </w:rPr>
        <w:object w:dxaOrig="13950" w:dyaOrig="4680">
          <v:shape id="_x0000_i1740" type="#_x0000_t75" style="width:698.25pt;height:230.25pt" o:ole="">
            <v:imagedata r:id="rId355" o:title=""/>
          </v:shape>
          <o:OLEObject Type="Link" ProgID="Excel.Sheet.12" ShapeID="_x0000_i1740" DrawAspect="Content" r:id="rId356" UpdateMode="Always">
            <o:LinkType>EnhancedMetaFile</o:LinkType>
            <o:LockedField>false</o:LockedField>
          </o:OLEObject>
        </w:object>
      </w:r>
    </w:p>
    <w:p w:rsidR="00AC59E0" w:rsidRDefault="00AC59E0" w:rsidP="006424C4">
      <w:pPr>
        <w:pStyle w:val="PSDS-MarcadoresNivel2"/>
        <w:numPr>
          <w:ilvl w:val="0"/>
          <w:numId w:val="0"/>
        </w:numPr>
        <w:rPr>
          <w:rFonts w:ascii="Times New Roman" w:hAnsi="Times New Roman"/>
        </w:rPr>
      </w:pPr>
    </w:p>
    <w:p w:rsidR="006424C4" w:rsidRPr="00FA3856" w:rsidRDefault="006424C4" w:rsidP="006424C4">
      <w:pPr>
        <w:pStyle w:val="PSDS-MarcadoresNivel2"/>
        <w:numPr>
          <w:ilvl w:val="0"/>
          <w:numId w:val="0"/>
        </w:numPr>
        <w:rPr>
          <w:rFonts w:ascii="Times New Roman" w:hAnsi="Times New Roman"/>
        </w:rPr>
      </w:pPr>
      <w:r w:rsidRPr="00FA3856">
        <w:rPr>
          <w:rFonts w:ascii="Times New Roman" w:hAnsi="Times New Roman"/>
        </w:rPr>
        <w:t>I – Regras de Validação do Registro:</w:t>
      </w:r>
    </w:p>
    <w:p w:rsidR="006424C4" w:rsidRPr="00FA3856" w:rsidRDefault="006424C4" w:rsidP="006424C4">
      <w:pPr>
        <w:pStyle w:val="Corpodetexto"/>
        <w:ind w:left="708" w:firstLine="12"/>
        <w:rPr>
          <w:rFonts w:ascii="Times New Roman" w:hAnsi="Times New Roman"/>
          <w:szCs w:val="20"/>
        </w:rPr>
      </w:pPr>
    </w:p>
    <w:p w:rsidR="00FE5D23" w:rsidRPr="00FA3856" w:rsidRDefault="007D0E74" w:rsidP="00FE5D23">
      <w:pPr>
        <w:pStyle w:val="Corpodetexto"/>
        <w:ind w:left="708" w:firstLine="12"/>
        <w:rPr>
          <w:rFonts w:ascii="Times New Roman" w:hAnsi="Times New Roman"/>
          <w:szCs w:val="20"/>
        </w:rPr>
      </w:pPr>
      <w:hyperlink r:id="rId357" w:anchor="REGRA_OCORRENCIA_UNITARIA_ARQ" w:history="1">
        <w:r w:rsidR="00FE5D23" w:rsidRPr="00FA3856">
          <w:rPr>
            <w:rFonts w:ascii="Times New Roman" w:hAnsi="Times New Roman"/>
            <w:b/>
            <w:szCs w:val="20"/>
          </w:rPr>
          <w:t>REGRA_</w:t>
        </w:r>
      </w:hyperlink>
      <w:r w:rsidR="00FE5D23" w:rsidRPr="00FA3856">
        <w:rPr>
          <w:rFonts w:ascii="Times New Roman" w:hAnsi="Times New Roman"/>
          <w:b/>
          <w:szCs w:val="20"/>
        </w:rPr>
        <w:t>DUPLICIDADE_DESPREZADA</w:t>
      </w:r>
      <w:r w:rsidR="00FE5D23" w:rsidRPr="00FA3856">
        <w:rPr>
          <w:rFonts w:ascii="Times New Roman" w:hAnsi="Times New Roman"/>
          <w:color w:val="auto"/>
          <w:szCs w:val="20"/>
        </w:rPr>
        <w:t xml:space="preserve">: </w:t>
      </w:r>
      <w:r w:rsidR="00FE5D23" w:rsidRPr="00FA3856">
        <w:rPr>
          <w:rFonts w:ascii="Times New Roman" w:hAnsi="Times New Roman"/>
          <w:szCs w:val="20"/>
        </w:rPr>
        <w:t>Verifica se o registro já foi importado anteriormente, de acordo com a chave e os registros pais. Se a regra não for cumprida, a ECF gera um aviso.</w:t>
      </w:r>
    </w:p>
    <w:p w:rsidR="00FE5D23" w:rsidRPr="00FA3856" w:rsidRDefault="00FE5D23" w:rsidP="00FE5D23">
      <w:pPr>
        <w:pStyle w:val="Corpodetexto"/>
        <w:ind w:left="708" w:firstLine="12"/>
        <w:rPr>
          <w:rFonts w:ascii="Times New Roman" w:hAnsi="Times New Roman"/>
          <w:szCs w:val="20"/>
        </w:rPr>
      </w:pPr>
    </w:p>
    <w:p w:rsidR="00FE5D23" w:rsidRPr="00FA3856" w:rsidRDefault="007D0E74" w:rsidP="00FE5D23">
      <w:pPr>
        <w:pStyle w:val="Corpodetexto"/>
        <w:ind w:left="708" w:firstLine="12"/>
        <w:rPr>
          <w:rFonts w:ascii="Times New Roman" w:hAnsi="Times New Roman"/>
          <w:szCs w:val="20"/>
        </w:rPr>
      </w:pPr>
      <w:hyperlink r:id="rId358" w:anchor="REGRA_OCORRENCIA_UNITARIA_ARQ" w:history="1">
        <w:r w:rsidR="00FE5D23" w:rsidRPr="00FA3856">
          <w:rPr>
            <w:rFonts w:ascii="Times New Roman" w:hAnsi="Times New Roman"/>
            <w:b/>
            <w:szCs w:val="20"/>
          </w:rPr>
          <w:t>REGRA_</w:t>
        </w:r>
      </w:hyperlink>
      <w:r w:rsidR="00FE5D23" w:rsidRPr="00FA3856">
        <w:rPr>
          <w:rFonts w:ascii="Times New Roman" w:hAnsi="Times New Roman"/>
          <w:b/>
          <w:szCs w:val="20"/>
        </w:rPr>
        <w:t>LINHA_DESPREZADA</w:t>
      </w:r>
      <w:r w:rsidR="00FE5D23" w:rsidRPr="00FA3856">
        <w:rPr>
          <w:rFonts w:ascii="Times New Roman" w:hAnsi="Times New Roman"/>
          <w:color w:val="auto"/>
          <w:szCs w:val="20"/>
        </w:rPr>
        <w:t xml:space="preserve">: </w:t>
      </w:r>
      <w:r w:rsidR="00FE5D23" w:rsidRPr="00FA3856">
        <w:rPr>
          <w:rFonts w:ascii="Times New Roman" w:hAnsi="Times New Roman"/>
          <w:szCs w:val="20"/>
        </w:rPr>
        <w:t>Verifica se o registro existe na importação, mas não será importado por não existir na tabela dinâmica devido às configurações do bloco 0 ou da tabela dinâmica. Gera um aviso.</w:t>
      </w:r>
    </w:p>
    <w:p w:rsidR="00FE5D23" w:rsidRPr="00FA3856" w:rsidRDefault="00FE5D23" w:rsidP="00FE5D23">
      <w:pPr>
        <w:pStyle w:val="Corpodetexto"/>
        <w:ind w:left="708" w:firstLine="12"/>
        <w:rPr>
          <w:rFonts w:ascii="Times New Roman" w:hAnsi="Times New Roman"/>
          <w:b/>
          <w:szCs w:val="20"/>
        </w:rPr>
      </w:pPr>
    </w:p>
    <w:p w:rsidR="00FE5D23" w:rsidRPr="00FA3856" w:rsidRDefault="007D0E74" w:rsidP="00FE5D23">
      <w:pPr>
        <w:pStyle w:val="Corpodetexto"/>
        <w:ind w:left="708" w:firstLine="12"/>
        <w:rPr>
          <w:rFonts w:ascii="Times New Roman" w:hAnsi="Times New Roman"/>
          <w:b/>
          <w:szCs w:val="20"/>
        </w:rPr>
      </w:pPr>
      <w:hyperlink r:id="rId359" w:anchor="REGRA_OCORRENCIA_UNITARIA_ARQ" w:history="1">
        <w:r w:rsidR="00FE5D23" w:rsidRPr="00FA3856">
          <w:rPr>
            <w:rFonts w:ascii="Times New Roman" w:hAnsi="Times New Roman"/>
            <w:b/>
            <w:szCs w:val="20"/>
          </w:rPr>
          <w:t>REGRA_</w:t>
        </w:r>
      </w:hyperlink>
      <w:r w:rsidR="00FE5D23" w:rsidRPr="00FA3856">
        <w:rPr>
          <w:rFonts w:ascii="Times New Roman" w:hAnsi="Times New Roman"/>
          <w:b/>
          <w:szCs w:val="20"/>
        </w:rPr>
        <w:t>LINHA_ATUALIZADA</w:t>
      </w:r>
      <w:r w:rsidR="00FE5D23" w:rsidRPr="00FA3856">
        <w:rPr>
          <w:rFonts w:ascii="Times New Roman" w:hAnsi="Times New Roman"/>
          <w:color w:val="auto"/>
          <w:szCs w:val="20"/>
        </w:rPr>
        <w:t xml:space="preserve">: </w:t>
      </w:r>
      <w:r w:rsidR="00FE5D23" w:rsidRPr="00FA3856">
        <w:rPr>
          <w:rFonts w:ascii="Times New Roman" w:hAnsi="Times New Roman"/>
          <w:szCs w:val="20"/>
        </w:rPr>
        <w:t>Verifica se o registro está desatualizado em relação à tabela da RFB. Gera um aviso.</w:t>
      </w:r>
    </w:p>
    <w:p w:rsidR="006424C4" w:rsidRPr="00FA3856" w:rsidRDefault="006424C4" w:rsidP="006424C4">
      <w:pPr>
        <w:rPr>
          <w:b/>
          <w:szCs w:val="20"/>
          <w:lang w:val="pt-PT"/>
        </w:rPr>
      </w:pPr>
    </w:p>
    <w:p w:rsidR="00B573DD" w:rsidRPr="00FA3856" w:rsidRDefault="00B573DD" w:rsidP="00B573DD">
      <w:pPr>
        <w:rPr>
          <w:b/>
          <w:szCs w:val="20"/>
          <w:lang w:val="pt-PT"/>
        </w:rPr>
      </w:pPr>
      <w:r w:rsidRPr="00FA3856">
        <w:rPr>
          <w:b/>
          <w:szCs w:val="20"/>
          <w:lang w:val="pt-PT"/>
        </w:rPr>
        <w:lastRenderedPageBreak/>
        <w:t>I</w:t>
      </w:r>
      <w:r w:rsidR="006424C4" w:rsidRPr="00FA3856">
        <w:rPr>
          <w:b/>
          <w:szCs w:val="20"/>
          <w:lang w:val="pt-PT"/>
        </w:rPr>
        <w:t>I</w:t>
      </w:r>
      <w:r w:rsidRPr="00FA3856">
        <w:rPr>
          <w:b/>
          <w:szCs w:val="20"/>
          <w:lang w:val="pt-PT"/>
        </w:rPr>
        <w:t xml:space="preserve"> – Regras de Validação de Campos:</w:t>
      </w:r>
    </w:p>
    <w:p w:rsidR="00B573DD" w:rsidRPr="00FA3856" w:rsidRDefault="00B573DD" w:rsidP="00B573DD">
      <w:pPr>
        <w:rPr>
          <w:b/>
          <w:szCs w:val="20"/>
          <w:lang w:val="pt-PT"/>
        </w:rPr>
      </w:pPr>
    </w:p>
    <w:tbl>
      <w:tblPr>
        <w:tblW w:w="15367"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85"/>
        <w:gridCol w:w="3000"/>
        <w:gridCol w:w="11165"/>
        <w:gridCol w:w="717"/>
      </w:tblGrid>
      <w:tr w:rsidR="00B573DD" w:rsidRPr="00FA3856" w:rsidTr="000A539A">
        <w:tc>
          <w:tcPr>
            <w:tcW w:w="485" w:type="dxa"/>
            <w:tcBorders>
              <w:top w:val="single" w:sz="6" w:space="0" w:color="auto"/>
              <w:left w:val="single" w:sz="6" w:space="0" w:color="auto"/>
              <w:bottom w:val="single" w:sz="6" w:space="0" w:color="auto"/>
              <w:right w:val="single" w:sz="6" w:space="0" w:color="auto"/>
            </w:tcBorders>
            <w:shd w:val="pct10" w:color="auto" w:fill="FFFFFF"/>
          </w:tcPr>
          <w:p w:rsidR="00B573DD" w:rsidRPr="00FA3856" w:rsidRDefault="00B573DD" w:rsidP="00DE512B">
            <w:pPr>
              <w:pStyle w:val="PSDS-CorpodeTexto0"/>
              <w:jc w:val="center"/>
              <w:rPr>
                <w:rFonts w:ascii="Times New Roman" w:hAnsi="Times New Roman"/>
                <w:b/>
                <w:bCs/>
              </w:rPr>
            </w:pPr>
            <w:r w:rsidRPr="00FA3856">
              <w:rPr>
                <w:rFonts w:ascii="Times New Roman" w:hAnsi="Times New Roman"/>
                <w:b/>
                <w:bCs/>
              </w:rPr>
              <w:t>Nº</w:t>
            </w:r>
          </w:p>
        </w:tc>
        <w:tc>
          <w:tcPr>
            <w:tcW w:w="3000" w:type="dxa"/>
            <w:tcBorders>
              <w:top w:val="single" w:sz="6" w:space="0" w:color="auto"/>
              <w:left w:val="single" w:sz="6" w:space="0" w:color="auto"/>
              <w:bottom w:val="single" w:sz="6" w:space="0" w:color="auto"/>
              <w:right w:val="single" w:sz="6" w:space="0" w:color="auto"/>
            </w:tcBorders>
            <w:shd w:val="pct10" w:color="auto" w:fill="FFFFFF"/>
          </w:tcPr>
          <w:p w:rsidR="00B573DD" w:rsidRPr="00FA3856" w:rsidRDefault="00B573DD" w:rsidP="00DE512B">
            <w:pPr>
              <w:pStyle w:val="PSDS-CorpodeTexto0"/>
              <w:jc w:val="center"/>
              <w:rPr>
                <w:rFonts w:ascii="Times New Roman" w:hAnsi="Times New Roman"/>
                <w:b/>
                <w:bCs/>
              </w:rPr>
            </w:pPr>
            <w:r w:rsidRPr="00FA3856">
              <w:rPr>
                <w:rFonts w:ascii="Times New Roman" w:hAnsi="Times New Roman"/>
                <w:b/>
                <w:bCs/>
              </w:rPr>
              <w:t>Campo</w:t>
            </w:r>
          </w:p>
        </w:tc>
        <w:tc>
          <w:tcPr>
            <w:tcW w:w="11165" w:type="dxa"/>
            <w:tcBorders>
              <w:top w:val="single" w:sz="6" w:space="0" w:color="auto"/>
              <w:left w:val="single" w:sz="6" w:space="0" w:color="auto"/>
              <w:bottom w:val="single" w:sz="6" w:space="0" w:color="auto"/>
              <w:right w:val="single" w:sz="6" w:space="0" w:color="auto"/>
            </w:tcBorders>
            <w:shd w:val="pct10" w:color="auto" w:fill="FFFFFF"/>
          </w:tcPr>
          <w:p w:rsidR="00B573DD" w:rsidRPr="00FA3856" w:rsidRDefault="00B573DD" w:rsidP="00DE512B">
            <w:pPr>
              <w:pStyle w:val="PSDS-CorpodeTexto0"/>
              <w:jc w:val="center"/>
              <w:rPr>
                <w:rFonts w:ascii="Times New Roman" w:hAnsi="Times New Roman"/>
                <w:b/>
                <w:bCs/>
              </w:rPr>
            </w:pPr>
            <w:r w:rsidRPr="00FA3856">
              <w:rPr>
                <w:rFonts w:ascii="Times New Roman" w:hAnsi="Times New Roman"/>
                <w:b/>
                <w:bCs/>
              </w:rPr>
              <w:t>Regras de Validação do Campo</w:t>
            </w:r>
          </w:p>
        </w:tc>
        <w:tc>
          <w:tcPr>
            <w:tcW w:w="717" w:type="dxa"/>
            <w:tcBorders>
              <w:top w:val="single" w:sz="6" w:space="0" w:color="auto"/>
              <w:left w:val="single" w:sz="6" w:space="0" w:color="auto"/>
              <w:bottom w:val="single" w:sz="6" w:space="0" w:color="auto"/>
              <w:right w:val="single" w:sz="6" w:space="0" w:color="auto"/>
            </w:tcBorders>
            <w:shd w:val="pct10" w:color="auto" w:fill="FFFFFF"/>
          </w:tcPr>
          <w:p w:rsidR="00B573DD" w:rsidRPr="00FA3856" w:rsidRDefault="00B573DD" w:rsidP="00DE512B">
            <w:pPr>
              <w:pStyle w:val="PSDS-CorpodeTexto0"/>
              <w:jc w:val="center"/>
              <w:rPr>
                <w:rFonts w:ascii="Times New Roman" w:hAnsi="Times New Roman"/>
                <w:b/>
                <w:bCs/>
              </w:rPr>
            </w:pPr>
            <w:r w:rsidRPr="00FA3856">
              <w:rPr>
                <w:rFonts w:ascii="Times New Roman" w:hAnsi="Times New Roman"/>
                <w:b/>
                <w:bCs/>
              </w:rPr>
              <w:t>Tipo</w:t>
            </w:r>
          </w:p>
        </w:tc>
      </w:tr>
      <w:tr w:rsidR="0012324D" w:rsidRPr="00FA3856" w:rsidTr="000A539A">
        <w:tc>
          <w:tcPr>
            <w:tcW w:w="485" w:type="dxa"/>
            <w:tcBorders>
              <w:top w:val="single" w:sz="6" w:space="0" w:color="auto"/>
              <w:left w:val="single" w:sz="6" w:space="0" w:color="auto"/>
              <w:bottom w:val="single" w:sz="6" w:space="0" w:color="auto"/>
              <w:right w:val="single" w:sz="6" w:space="0" w:color="auto"/>
            </w:tcBorders>
          </w:tcPr>
          <w:p w:rsidR="0012324D" w:rsidRPr="00FA3856" w:rsidRDefault="0012324D" w:rsidP="0012324D">
            <w:pPr>
              <w:pStyle w:val="PSDS-CorpodeTexto0"/>
              <w:suppressAutoHyphens w:val="0"/>
              <w:rPr>
                <w:rFonts w:ascii="Times New Roman" w:hAnsi="Times New Roman"/>
                <w:b/>
                <w:bCs/>
                <w:lang w:val="pt-PT"/>
              </w:rPr>
            </w:pPr>
            <w:r w:rsidRPr="00FA3856">
              <w:rPr>
                <w:rFonts w:ascii="Times New Roman" w:hAnsi="Times New Roman"/>
                <w:b/>
                <w:bCs/>
                <w:lang w:val="pt-PT"/>
              </w:rPr>
              <w:t>4</w:t>
            </w:r>
          </w:p>
        </w:tc>
        <w:tc>
          <w:tcPr>
            <w:tcW w:w="3000" w:type="dxa"/>
            <w:tcBorders>
              <w:top w:val="single" w:sz="6" w:space="0" w:color="auto"/>
              <w:left w:val="single" w:sz="6" w:space="0" w:color="auto"/>
              <w:bottom w:val="single" w:sz="6" w:space="0" w:color="auto"/>
              <w:right w:val="single" w:sz="6" w:space="0" w:color="auto"/>
            </w:tcBorders>
          </w:tcPr>
          <w:p w:rsidR="0012324D" w:rsidRPr="00FA3856" w:rsidRDefault="0012324D" w:rsidP="0012324D">
            <w:pPr>
              <w:pStyle w:val="PSDS-CorpodeTexto0"/>
              <w:rPr>
                <w:rFonts w:ascii="Times New Roman" w:hAnsi="Times New Roman"/>
              </w:rPr>
            </w:pPr>
            <w:r w:rsidRPr="00FA3856">
              <w:rPr>
                <w:rFonts w:ascii="Times New Roman" w:hAnsi="Times New Roman"/>
              </w:rPr>
              <w:t>VALOR</w:t>
            </w:r>
          </w:p>
        </w:tc>
        <w:tc>
          <w:tcPr>
            <w:tcW w:w="11165" w:type="dxa"/>
            <w:tcBorders>
              <w:top w:val="single" w:sz="6" w:space="0" w:color="auto"/>
              <w:left w:val="single" w:sz="6" w:space="0" w:color="auto"/>
              <w:bottom w:val="single" w:sz="6" w:space="0" w:color="auto"/>
              <w:right w:val="single" w:sz="6" w:space="0" w:color="auto"/>
            </w:tcBorders>
          </w:tcPr>
          <w:p w:rsidR="0012324D" w:rsidRPr="00FA3856" w:rsidRDefault="0012324D" w:rsidP="0012324D">
            <w:pPr>
              <w:pStyle w:val="Corpodetexto"/>
              <w:rPr>
                <w:rFonts w:ascii="Times New Roman" w:hAnsi="Times New Roman"/>
                <w:szCs w:val="20"/>
              </w:rPr>
            </w:pPr>
            <w:r w:rsidRPr="00FA3856">
              <w:rPr>
                <w:rFonts w:ascii="Times New Roman" w:hAnsi="Times New Roman"/>
                <w:b/>
                <w:bCs/>
                <w:szCs w:val="20"/>
              </w:rPr>
              <w:t>REGRA_OBRIGATORIO_TIPO_DIFERENTE_R</w:t>
            </w:r>
            <w:r w:rsidRPr="00FA3856">
              <w:rPr>
                <w:rFonts w:ascii="Times New Roman" w:hAnsi="Times New Roman"/>
                <w:szCs w:val="20"/>
              </w:rPr>
              <w:t xml:space="preserve">: </w:t>
            </w:r>
            <w:r w:rsidRPr="00FA3856">
              <w:rPr>
                <w:rStyle w:val="Hyperlink"/>
                <w:rFonts w:ascii="Times New Roman" w:hAnsi="Times New Roman"/>
                <w:bCs/>
                <w:color w:val="auto"/>
                <w:szCs w:val="20"/>
                <w:lang w:val="pt-PT"/>
              </w:rPr>
              <w:t xml:space="preserve">Verifica se o campo está preenchido quando o tipo da linha </w:t>
            </w:r>
            <w:r w:rsidR="003B394A" w:rsidRPr="00FA3856">
              <w:rPr>
                <w:rStyle w:val="Hyperlink"/>
                <w:rFonts w:ascii="Times New Roman" w:hAnsi="Times New Roman"/>
                <w:bCs/>
                <w:color w:val="auto"/>
                <w:szCs w:val="20"/>
                <w:lang w:val="pt-PT"/>
              </w:rPr>
              <w:t>é diferente</w:t>
            </w:r>
            <w:r w:rsidRPr="00FA3856">
              <w:rPr>
                <w:rStyle w:val="Hyperlink"/>
                <w:rFonts w:ascii="Times New Roman" w:hAnsi="Times New Roman"/>
                <w:bCs/>
                <w:color w:val="auto"/>
                <w:szCs w:val="20"/>
                <w:lang w:val="pt-PT"/>
              </w:rPr>
              <w:t xml:space="preserve"> de “R”.</w:t>
            </w:r>
          </w:p>
        </w:tc>
        <w:tc>
          <w:tcPr>
            <w:tcW w:w="717" w:type="dxa"/>
            <w:tcBorders>
              <w:top w:val="single" w:sz="6" w:space="0" w:color="auto"/>
              <w:left w:val="single" w:sz="6" w:space="0" w:color="auto"/>
              <w:bottom w:val="single" w:sz="6" w:space="0" w:color="auto"/>
              <w:right w:val="single" w:sz="6" w:space="0" w:color="auto"/>
            </w:tcBorders>
          </w:tcPr>
          <w:p w:rsidR="0012324D" w:rsidRPr="00FA3856" w:rsidRDefault="0012324D" w:rsidP="0012324D">
            <w:pPr>
              <w:pStyle w:val="PSDS-CorpodeTexto0"/>
              <w:rPr>
                <w:rFonts w:ascii="Times New Roman" w:hAnsi="Times New Roman"/>
              </w:rPr>
            </w:pPr>
            <w:r w:rsidRPr="00FA3856">
              <w:rPr>
                <w:rFonts w:ascii="Times New Roman" w:hAnsi="Times New Roman"/>
              </w:rPr>
              <w:t>Erro</w:t>
            </w:r>
          </w:p>
          <w:p w:rsidR="0012324D" w:rsidRPr="00FA3856" w:rsidRDefault="0012324D" w:rsidP="0012324D">
            <w:pPr>
              <w:pStyle w:val="PSDS-CorpodeTexto0"/>
              <w:rPr>
                <w:rFonts w:ascii="Times New Roman" w:hAnsi="Times New Roman"/>
              </w:rPr>
            </w:pPr>
          </w:p>
        </w:tc>
      </w:tr>
    </w:tbl>
    <w:p w:rsidR="002E6F04" w:rsidRPr="00FA3856" w:rsidRDefault="002E6F04" w:rsidP="00B573DD">
      <w:pPr>
        <w:rPr>
          <w:szCs w:val="20"/>
          <w:lang w:val="pt-PT"/>
        </w:rPr>
      </w:pPr>
    </w:p>
    <w:p w:rsidR="000547BB" w:rsidRDefault="000547BB" w:rsidP="006424C4">
      <w:pPr>
        <w:rPr>
          <w:b/>
          <w:szCs w:val="20"/>
          <w:lang w:val="pt-PT"/>
        </w:rPr>
      </w:pPr>
      <w:r w:rsidRPr="00FA3856">
        <w:rPr>
          <w:b/>
          <w:szCs w:val="20"/>
          <w:lang w:val="pt-PT"/>
        </w:rPr>
        <w:t>II</w:t>
      </w:r>
      <w:r w:rsidR="006424C4" w:rsidRPr="00FA3856">
        <w:rPr>
          <w:b/>
          <w:szCs w:val="20"/>
          <w:lang w:val="pt-PT"/>
        </w:rPr>
        <w:t>I</w:t>
      </w:r>
      <w:r w:rsidRPr="00FA3856">
        <w:rPr>
          <w:b/>
          <w:szCs w:val="20"/>
          <w:lang w:val="pt-PT"/>
        </w:rPr>
        <w:t xml:space="preserve"> – Tabela Dinâmica:</w:t>
      </w:r>
      <w:r w:rsidR="003E7A35">
        <w:rPr>
          <w:b/>
          <w:szCs w:val="20"/>
          <w:lang w:val="pt-PT"/>
        </w:rPr>
        <w:t xml:space="preserve"> </w:t>
      </w:r>
      <w:r w:rsidR="003E7A35" w:rsidRPr="003E7A35">
        <w:rPr>
          <w:b/>
          <w:szCs w:val="20"/>
          <w:lang w:val="pt-PT"/>
        </w:rPr>
        <w:t>N600 - Demonstrativo do Lucro da Exploração</w:t>
      </w:r>
    </w:p>
    <w:p w:rsidR="00775EF4" w:rsidRPr="003E7A35" w:rsidRDefault="00486CDA" w:rsidP="003E7A35">
      <w:pPr>
        <w:rPr>
          <w:b/>
          <w:szCs w:val="20"/>
          <w:lang w:val="pt-PT"/>
        </w:rPr>
      </w:pPr>
      <w:r>
        <w:rPr>
          <w:b/>
          <w:szCs w:val="20"/>
          <w:lang w:val="pt-PT"/>
        </w:rPr>
        <w:object w:dxaOrig="1534" w:dyaOrig="997">
          <v:shape id="_x0000_i1169" type="#_x0000_t75" style="width:79.5pt;height:50.25pt" o:ole="">
            <v:imagedata r:id="rId360" o:title=""/>
          </v:shape>
          <o:OLEObject Type="Link" ProgID="Excel.Sheet.12" ShapeID="_x0000_i1169" DrawAspect="Content" r:id="rId361" UpdateMode="OnCall">
            <o:LinkType>EnhancedMetaFile</o:LinkType>
            <o:LockedField>false</o:LockedField>
          </o:OLEObject>
        </w:object>
      </w:r>
    </w:p>
    <w:p w:rsidR="0041433B" w:rsidRPr="00FA3856" w:rsidRDefault="0041433B" w:rsidP="007D731A">
      <w:pPr>
        <w:pStyle w:val="Corpodetexto"/>
        <w:rPr>
          <w:rFonts w:ascii="Times New Roman" w:hAnsi="Times New Roman"/>
          <w:b/>
          <w:color w:val="002060"/>
          <w:szCs w:val="20"/>
        </w:rPr>
      </w:pPr>
      <w:r w:rsidRPr="00FA3856">
        <w:rPr>
          <w:rFonts w:ascii="Times New Roman" w:hAnsi="Times New Roman"/>
          <w:b/>
          <w:color w:val="002060"/>
          <w:szCs w:val="20"/>
        </w:rPr>
        <w:t>Exemplo de preenchimento:</w:t>
      </w:r>
    </w:p>
    <w:p w:rsidR="00012703" w:rsidRDefault="00012703" w:rsidP="007D731A">
      <w:pPr>
        <w:pStyle w:val="Corpodetexto"/>
        <w:rPr>
          <w:rFonts w:ascii="Times New Roman" w:hAnsi="Times New Roman"/>
          <w:b/>
          <w:color w:val="002060"/>
          <w:szCs w:val="20"/>
        </w:rPr>
      </w:pPr>
    </w:p>
    <w:p w:rsidR="007D731A" w:rsidRPr="00FA3856" w:rsidRDefault="007D731A" w:rsidP="007D731A">
      <w:pPr>
        <w:pStyle w:val="Corpodetexto"/>
        <w:rPr>
          <w:rFonts w:ascii="Times New Roman" w:hAnsi="Times New Roman"/>
          <w:b/>
          <w:color w:val="002060"/>
          <w:szCs w:val="20"/>
        </w:rPr>
      </w:pPr>
      <w:r w:rsidRPr="00FA3856">
        <w:rPr>
          <w:rFonts w:ascii="Times New Roman" w:hAnsi="Times New Roman"/>
          <w:b/>
          <w:color w:val="002060"/>
          <w:szCs w:val="20"/>
        </w:rPr>
        <w:t>|N600|66|Parcela Correspondente às Demais Atividades|10000,00|</w:t>
      </w:r>
    </w:p>
    <w:p w:rsidR="007D731A" w:rsidRPr="00FA3856" w:rsidRDefault="007D731A" w:rsidP="007D731A">
      <w:pPr>
        <w:pStyle w:val="Corpodetexto"/>
        <w:ind w:firstLine="708"/>
        <w:rPr>
          <w:rFonts w:ascii="Times New Roman" w:hAnsi="Times New Roman"/>
          <w:color w:val="002060"/>
          <w:szCs w:val="20"/>
        </w:rPr>
      </w:pPr>
      <w:r w:rsidRPr="00FA3856">
        <w:rPr>
          <w:rFonts w:ascii="Times New Roman" w:hAnsi="Times New Roman"/>
          <w:color w:val="002060"/>
          <w:szCs w:val="20"/>
        </w:rPr>
        <w:t>|N600|: Identificação do tipo do registro.</w:t>
      </w:r>
    </w:p>
    <w:p w:rsidR="007D731A" w:rsidRPr="00FA3856" w:rsidRDefault="007D731A" w:rsidP="007D731A">
      <w:pPr>
        <w:pStyle w:val="Corpodetexto"/>
        <w:ind w:firstLine="708"/>
        <w:rPr>
          <w:rFonts w:ascii="Times New Roman" w:hAnsi="Times New Roman"/>
          <w:color w:val="002060"/>
          <w:szCs w:val="20"/>
        </w:rPr>
      </w:pPr>
      <w:r w:rsidRPr="00FA3856">
        <w:rPr>
          <w:rFonts w:ascii="Times New Roman" w:hAnsi="Times New Roman"/>
          <w:color w:val="002060"/>
          <w:szCs w:val="20"/>
        </w:rPr>
        <w:t>|66|: Código da linha.</w:t>
      </w:r>
      <w:r w:rsidRPr="00FA3856">
        <w:rPr>
          <w:rFonts w:ascii="Times New Roman" w:hAnsi="Times New Roman"/>
          <w:color w:val="002060"/>
          <w:szCs w:val="20"/>
        </w:rPr>
        <w:tab/>
      </w:r>
    </w:p>
    <w:p w:rsidR="007D731A" w:rsidRPr="00FA3856" w:rsidRDefault="007D731A" w:rsidP="007D731A">
      <w:pPr>
        <w:pStyle w:val="Corpodetexto"/>
        <w:ind w:firstLine="708"/>
        <w:rPr>
          <w:rFonts w:ascii="Times New Roman" w:hAnsi="Times New Roman"/>
          <w:color w:val="002060"/>
          <w:szCs w:val="20"/>
        </w:rPr>
      </w:pPr>
      <w:r w:rsidRPr="00FA3856">
        <w:rPr>
          <w:rFonts w:ascii="Times New Roman" w:hAnsi="Times New Roman"/>
          <w:color w:val="002060"/>
          <w:szCs w:val="20"/>
        </w:rPr>
        <w:t>|Parcela Correspondente às Demais Atividades|: Descrição da linha.</w:t>
      </w:r>
    </w:p>
    <w:p w:rsidR="007D731A" w:rsidRPr="00FA3856" w:rsidRDefault="007D731A" w:rsidP="007D731A">
      <w:pPr>
        <w:pStyle w:val="Corpodetexto"/>
        <w:ind w:firstLine="708"/>
        <w:rPr>
          <w:rFonts w:ascii="Times New Roman" w:hAnsi="Times New Roman"/>
          <w:color w:val="002060"/>
          <w:szCs w:val="20"/>
        </w:rPr>
      </w:pPr>
      <w:r w:rsidRPr="00FA3856">
        <w:rPr>
          <w:rFonts w:ascii="Times New Roman" w:hAnsi="Times New Roman"/>
          <w:color w:val="002060"/>
          <w:szCs w:val="20"/>
        </w:rPr>
        <w:t>|10000,00|: Valor da linha (R$ 10.000,00).</w:t>
      </w:r>
    </w:p>
    <w:p w:rsidR="007D731A" w:rsidRPr="00FA3856" w:rsidRDefault="007D731A" w:rsidP="00800892">
      <w:pPr>
        <w:jc w:val="both"/>
        <w:rPr>
          <w:szCs w:val="20"/>
        </w:rPr>
      </w:pPr>
    </w:p>
    <w:p w:rsidR="00C2697F" w:rsidRPr="00FA3856" w:rsidRDefault="00C2697F">
      <w:pPr>
        <w:spacing w:after="200" w:line="276" w:lineRule="auto"/>
        <w:rPr>
          <w:b/>
          <w:bCs/>
          <w:color w:val="0000FF"/>
          <w:szCs w:val="20"/>
        </w:rPr>
      </w:pPr>
      <w:r w:rsidRPr="00FA3856">
        <w:rPr>
          <w:color w:val="0000FF"/>
          <w:szCs w:val="20"/>
        </w:rPr>
        <w:br w:type="page"/>
      </w:r>
    </w:p>
    <w:p w:rsidR="00586003" w:rsidRPr="00FA3856" w:rsidRDefault="00586003" w:rsidP="00867F54">
      <w:pPr>
        <w:pStyle w:val="Ttulo4"/>
      </w:pPr>
      <w:bookmarkStart w:id="218" w:name="_Toc479713744"/>
      <w:r w:rsidRPr="00FA3856">
        <w:lastRenderedPageBreak/>
        <w:t>Registro N610: Cálculo da Isenção e Redução do Imposto Sobre o Lucro Real</w:t>
      </w:r>
      <w:bookmarkEnd w:id="218"/>
    </w:p>
    <w:p w:rsidR="00586003" w:rsidRPr="00FA3856" w:rsidRDefault="00586003" w:rsidP="00586003">
      <w:pPr>
        <w:jc w:val="both"/>
        <w:rPr>
          <w:szCs w:val="20"/>
        </w:rPr>
      </w:pPr>
    </w:p>
    <w:p w:rsidR="008B2747" w:rsidRPr="00FA3856" w:rsidRDefault="007B28E6" w:rsidP="007B28E6">
      <w:pPr>
        <w:pStyle w:val="PSDS-CorpodeTexto0"/>
        <w:ind w:firstLine="708"/>
        <w:jc w:val="both"/>
        <w:rPr>
          <w:rFonts w:ascii="Times New Roman" w:hAnsi="Times New Roman"/>
        </w:rPr>
      </w:pPr>
      <w:r w:rsidRPr="00FA3856">
        <w:rPr>
          <w:rFonts w:ascii="Times New Roman" w:hAnsi="Times New Roman"/>
        </w:rPr>
        <w:t>Este registro deve ser preenchido</w:t>
      </w:r>
      <w:r w:rsidR="008B2747" w:rsidRPr="00FA3856">
        <w:rPr>
          <w:rFonts w:ascii="Times New Roman" w:hAnsi="Times New Roman"/>
        </w:rPr>
        <w:t xml:space="preserve"> pelas pessoas jurídicas sujeitas à apuração do imposto de renda trimestral ou anual, que gozem dos benefícios fiscais de redução ou isenção desse imposto com base no lucro da exploração. </w:t>
      </w:r>
    </w:p>
    <w:p w:rsidR="007B28E6" w:rsidRPr="00FA3856" w:rsidRDefault="007B28E6" w:rsidP="007B28E6">
      <w:pPr>
        <w:pStyle w:val="NormalWeb"/>
        <w:spacing w:before="0" w:after="0"/>
        <w:ind w:left="528"/>
        <w:jc w:val="both"/>
        <w:rPr>
          <w:rFonts w:ascii="Times New Roman" w:hAnsi="Times New Roman" w:cs="Times New Roman"/>
          <w:b/>
          <w:bCs/>
          <w:szCs w:val="20"/>
        </w:rPr>
      </w:pPr>
    </w:p>
    <w:p w:rsidR="008B2747" w:rsidRPr="00FA3856" w:rsidRDefault="008B2747" w:rsidP="007B28E6">
      <w:pPr>
        <w:pStyle w:val="NormalWeb"/>
        <w:spacing w:before="0" w:after="0"/>
        <w:ind w:left="528"/>
        <w:jc w:val="both"/>
        <w:rPr>
          <w:rFonts w:ascii="Times New Roman" w:hAnsi="Times New Roman" w:cs="Times New Roman"/>
          <w:szCs w:val="20"/>
        </w:rPr>
      </w:pPr>
      <w:r w:rsidRPr="00FA3856">
        <w:rPr>
          <w:rFonts w:ascii="Times New Roman" w:hAnsi="Times New Roman" w:cs="Times New Roman"/>
          <w:b/>
          <w:bCs/>
          <w:szCs w:val="20"/>
        </w:rPr>
        <w:t>Atenção:</w:t>
      </w:r>
      <w:r w:rsidR="007B28E6" w:rsidRPr="00FA3856">
        <w:rPr>
          <w:rFonts w:ascii="Times New Roman" w:hAnsi="Times New Roman" w:cs="Times New Roman"/>
          <w:szCs w:val="20"/>
        </w:rPr>
        <w:t xml:space="preserve"> Deve ser informado, neste registro</w:t>
      </w:r>
      <w:r w:rsidRPr="00FA3856">
        <w:rPr>
          <w:rFonts w:ascii="Times New Roman" w:hAnsi="Times New Roman" w:cs="Times New Roman"/>
          <w:szCs w:val="20"/>
        </w:rPr>
        <w:t>, o valor do imposto passível de redução por reinvestimento, caso a pessoa jurídica seja beneficiada com essa redução, em conformidade</w:t>
      </w:r>
      <w:r w:rsidR="007B28E6" w:rsidRPr="00FA3856">
        <w:rPr>
          <w:rFonts w:ascii="Times New Roman" w:hAnsi="Times New Roman" w:cs="Times New Roman"/>
          <w:szCs w:val="20"/>
        </w:rPr>
        <w:t xml:space="preserve"> com as instruções contidas na l</w:t>
      </w:r>
      <w:r w:rsidRPr="00FA3856">
        <w:rPr>
          <w:rFonts w:ascii="Times New Roman" w:hAnsi="Times New Roman" w:cs="Times New Roman"/>
          <w:szCs w:val="20"/>
        </w:rPr>
        <w:t xml:space="preserve">inha </w:t>
      </w:r>
      <w:r w:rsidR="007B28E6" w:rsidRPr="00FA3856">
        <w:rPr>
          <w:rFonts w:ascii="Times New Roman" w:hAnsi="Times New Roman" w:cs="Times New Roman"/>
          <w:szCs w:val="20"/>
        </w:rPr>
        <w:t>N6</w:t>
      </w:r>
      <w:r w:rsidRPr="00FA3856">
        <w:rPr>
          <w:rFonts w:ascii="Times New Roman" w:hAnsi="Times New Roman" w:cs="Times New Roman"/>
          <w:szCs w:val="20"/>
        </w:rPr>
        <w:t>10/77.</w:t>
      </w:r>
    </w:p>
    <w:p w:rsidR="008B2747" w:rsidRPr="00FA3856" w:rsidRDefault="008B2747" w:rsidP="007B28E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p w:rsidR="008B2747" w:rsidRPr="00FA3856" w:rsidRDefault="008B2747" w:rsidP="00861C00">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t xml:space="preserve">Linhas </w:t>
      </w:r>
      <w:r w:rsidR="00811824" w:rsidRPr="00FA3856">
        <w:rPr>
          <w:rFonts w:ascii="Times New Roman" w:hAnsi="Times New Roman" w:cs="Times New Roman"/>
          <w:b/>
          <w:bCs/>
          <w:szCs w:val="20"/>
        </w:rPr>
        <w:t>N6</w:t>
      </w:r>
      <w:r w:rsidRPr="00FA3856">
        <w:rPr>
          <w:rFonts w:ascii="Times New Roman" w:hAnsi="Times New Roman" w:cs="Times New Roman"/>
          <w:b/>
          <w:bCs/>
          <w:szCs w:val="20"/>
        </w:rPr>
        <w:t xml:space="preserve">10/03, </w:t>
      </w:r>
      <w:r w:rsidR="00811824" w:rsidRPr="00FA3856">
        <w:rPr>
          <w:rFonts w:ascii="Times New Roman" w:hAnsi="Times New Roman" w:cs="Times New Roman"/>
          <w:b/>
          <w:bCs/>
          <w:szCs w:val="20"/>
        </w:rPr>
        <w:t>N6</w:t>
      </w:r>
      <w:r w:rsidRPr="00FA3856">
        <w:rPr>
          <w:rFonts w:ascii="Times New Roman" w:hAnsi="Times New Roman" w:cs="Times New Roman"/>
          <w:b/>
          <w:bCs/>
          <w:szCs w:val="20"/>
        </w:rPr>
        <w:t xml:space="preserve">10/08, </w:t>
      </w:r>
      <w:r w:rsidR="00811824" w:rsidRPr="00FA3856">
        <w:rPr>
          <w:rFonts w:ascii="Times New Roman" w:hAnsi="Times New Roman" w:cs="Times New Roman"/>
          <w:b/>
          <w:bCs/>
          <w:szCs w:val="20"/>
        </w:rPr>
        <w:t>N6</w:t>
      </w:r>
      <w:r w:rsidRPr="00FA3856">
        <w:rPr>
          <w:rFonts w:ascii="Times New Roman" w:hAnsi="Times New Roman" w:cs="Times New Roman"/>
          <w:b/>
          <w:bCs/>
          <w:szCs w:val="20"/>
        </w:rPr>
        <w:t xml:space="preserve">10/13, </w:t>
      </w:r>
      <w:r w:rsidR="00811824" w:rsidRPr="00FA3856">
        <w:rPr>
          <w:rFonts w:ascii="Times New Roman" w:hAnsi="Times New Roman" w:cs="Times New Roman"/>
          <w:b/>
          <w:bCs/>
          <w:szCs w:val="20"/>
        </w:rPr>
        <w:t>N6</w:t>
      </w:r>
      <w:r w:rsidRPr="00FA3856">
        <w:rPr>
          <w:rFonts w:ascii="Times New Roman" w:hAnsi="Times New Roman" w:cs="Times New Roman"/>
          <w:b/>
          <w:bCs/>
          <w:szCs w:val="20"/>
        </w:rPr>
        <w:t xml:space="preserve">10/18, </w:t>
      </w:r>
      <w:r w:rsidR="00811824" w:rsidRPr="00FA3856">
        <w:rPr>
          <w:rFonts w:ascii="Times New Roman" w:hAnsi="Times New Roman" w:cs="Times New Roman"/>
          <w:b/>
          <w:bCs/>
          <w:szCs w:val="20"/>
        </w:rPr>
        <w:t>N6</w:t>
      </w:r>
      <w:r w:rsidRPr="00FA3856">
        <w:rPr>
          <w:rFonts w:ascii="Times New Roman" w:hAnsi="Times New Roman" w:cs="Times New Roman"/>
          <w:b/>
          <w:bCs/>
          <w:szCs w:val="20"/>
        </w:rPr>
        <w:t xml:space="preserve">10/23, </w:t>
      </w:r>
      <w:r w:rsidR="00811824" w:rsidRPr="00FA3856">
        <w:rPr>
          <w:rFonts w:ascii="Times New Roman" w:hAnsi="Times New Roman" w:cs="Times New Roman"/>
          <w:b/>
          <w:bCs/>
          <w:szCs w:val="20"/>
        </w:rPr>
        <w:t>N6</w:t>
      </w:r>
      <w:r w:rsidRPr="00FA3856">
        <w:rPr>
          <w:rFonts w:ascii="Times New Roman" w:hAnsi="Times New Roman" w:cs="Times New Roman"/>
          <w:b/>
          <w:bCs/>
          <w:szCs w:val="20"/>
        </w:rPr>
        <w:t xml:space="preserve">10/28, </w:t>
      </w:r>
      <w:r w:rsidR="00811824" w:rsidRPr="00FA3856">
        <w:rPr>
          <w:rFonts w:ascii="Times New Roman" w:hAnsi="Times New Roman" w:cs="Times New Roman"/>
          <w:b/>
          <w:bCs/>
          <w:szCs w:val="20"/>
        </w:rPr>
        <w:t>N6</w:t>
      </w:r>
      <w:r w:rsidRPr="00FA3856">
        <w:rPr>
          <w:rFonts w:ascii="Times New Roman" w:hAnsi="Times New Roman" w:cs="Times New Roman"/>
          <w:b/>
          <w:bCs/>
          <w:szCs w:val="20"/>
        </w:rPr>
        <w:t xml:space="preserve">10/33, </w:t>
      </w:r>
      <w:r w:rsidR="00811824" w:rsidRPr="00FA3856">
        <w:rPr>
          <w:rFonts w:ascii="Times New Roman" w:hAnsi="Times New Roman" w:cs="Times New Roman"/>
          <w:b/>
          <w:bCs/>
          <w:szCs w:val="20"/>
        </w:rPr>
        <w:t>N6</w:t>
      </w:r>
      <w:r w:rsidRPr="00FA3856">
        <w:rPr>
          <w:rFonts w:ascii="Times New Roman" w:hAnsi="Times New Roman" w:cs="Times New Roman"/>
          <w:b/>
          <w:bCs/>
          <w:szCs w:val="20"/>
        </w:rPr>
        <w:t xml:space="preserve">10/38, </w:t>
      </w:r>
      <w:r w:rsidR="00811824" w:rsidRPr="00FA3856">
        <w:rPr>
          <w:rFonts w:ascii="Times New Roman" w:hAnsi="Times New Roman" w:cs="Times New Roman"/>
          <w:b/>
          <w:bCs/>
          <w:szCs w:val="20"/>
        </w:rPr>
        <w:t>N6</w:t>
      </w:r>
      <w:r w:rsidRPr="00FA3856">
        <w:rPr>
          <w:rFonts w:ascii="Times New Roman" w:hAnsi="Times New Roman" w:cs="Times New Roman"/>
          <w:b/>
          <w:bCs/>
          <w:szCs w:val="20"/>
        </w:rPr>
        <w:t xml:space="preserve">10/43, </w:t>
      </w:r>
      <w:r w:rsidR="00811824" w:rsidRPr="00FA3856">
        <w:rPr>
          <w:rFonts w:ascii="Times New Roman" w:hAnsi="Times New Roman" w:cs="Times New Roman"/>
          <w:b/>
          <w:bCs/>
          <w:szCs w:val="20"/>
        </w:rPr>
        <w:t>N6</w:t>
      </w:r>
      <w:r w:rsidRPr="00FA3856">
        <w:rPr>
          <w:rFonts w:ascii="Times New Roman" w:hAnsi="Times New Roman" w:cs="Times New Roman"/>
          <w:b/>
          <w:bCs/>
          <w:szCs w:val="20"/>
        </w:rPr>
        <w:t xml:space="preserve">10/48, </w:t>
      </w:r>
      <w:r w:rsidR="00811824" w:rsidRPr="00FA3856">
        <w:rPr>
          <w:rFonts w:ascii="Times New Roman" w:hAnsi="Times New Roman" w:cs="Times New Roman"/>
          <w:b/>
          <w:bCs/>
          <w:szCs w:val="20"/>
        </w:rPr>
        <w:t>N6</w:t>
      </w:r>
      <w:r w:rsidRPr="00FA3856">
        <w:rPr>
          <w:rFonts w:ascii="Times New Roman" w:hAnsi="Times New Roman" w:cs="Times New Roman"/>
          <w:b/>
          <w:bCs/>
          <w:szCs w:val="20"/>
        </w:rPr>
        <w:t xml:space="preserve">10/53, </w:t>
      </w:r>
      <w:r w:rsidR="00811824" w:rsidRPr="00FA3856">
        <w:rPr>
          <w:rFonts w:ascii="Times New Roman" w:hAnsi="Times New Roman" w:cs="Times New Roman"/>
          <w:b/>
          <w:bCs/>
          <w:szCs w:val="20"/>
        </w:rPr>
        <w:t>N6</w:t>
      </w:r>
      <w:r w:rsidRPr="00FA3856">
        <w:rPr>
          <w:rFonts w:ascii="Times New Roman" w:hAnsi="Times New Roman" w:cs="Times New Roman"/>
          <w:b/>
          <w:bCs/>
          <w:szCs w:val="20"/>
        </w:rPr>
        <w:t xml:space="preserve">10/58, </w:t>
      </w:r>
      <w:r w:rsidR="00811824" w:rsidRPr="00FA3856">
        <w:rPr>
          <w:rFonts w:ascii="Times New Roman" w:hAnsi="Times New Roman" w:cs="Times New Roman"/>
          <w:b/>
          <w:bCs/>
          <w:szCs w:val="20"/>
        </w:rPr>
        <w:t>N6</w:t>
      </w:r>
      <w:r w:rsidRPr="00FA3856">
        <w:rPr>
          <w:rFonts w:ascii="Times New Roman" w:hAnsi="Times New Roman" w:cs="Times New Roman"/>
          <w:b/>
          <w:bCs/>
          <w:szCs w:val="20"/>
        </w:rPr>
        <w:t xml:space="preserve">10/63, </w:t>
      </w:r>
      <w:r w:rsidR="00811824" w:rsidRPr="00FA3856">
        <w:rPr>
          <w:rFonts w:ascii="Times New Roman" w:hAnsi="Times New Roman" w:cs="Times New Roman"/>
          <w:b/>
          <w:bCs/>
          <w:szCs w:val="20"/>
        </w:rPr>
        <w:t>N6</w:t>
      </w:r>
      <w:r w:rsidRPr="00FA3856">
        <w:rPr>
          <w:rFonts w:ascii="Times New Roman" w:hAnsi="Times New Roman" w:cs="Times New Roman"/>
          <w:b/>
          <w:bCs/>
          <w:szCs w:val="20"/>
        </w:rPr>
        <w:t xml:space="preserve">10/68 e </w:t>
      </w:r>
      <w:r w:rsidR="00811824" w:rsidRPr="00FA3856">
        <w:rPr>
          <w:rFonts w:ascii="Times New Roman" w:hAnsi="Times New Roman" w:cs="Times New Roman"/>
          <w:b/>
          <w:bCs/>
          <w:szCs w:val="20"/>
        </w:rPr>
        <w:t>N6</w:t>
      </w:r>
      <w:r w:rsidRPr="00FA3856">
        <w:rPr>
          <w:rFonts w:ascii="Times New Roman" w:hAnsi="Times New Roman" w:cs="Times New Roman"/>
          <w:b/>
          <w:bCs/>
          <w:szCs w:val="20"/>
        </w:rPr>
        <w:t>10/</w:t>
      </w:r>
      <w:r w:rsidR="006C0BFB" w:rsidRPr="00FA3856">
        <w:rPr>
          <w:rFonts w:ascii="Times New Roman" w:hAnsi="Times New Roman" w:cs="Times New Roman"/>
          <w:b/>
          <w:bCs/>
          <w:szCs w:val="20"/>
        </w:rPr>
        <w:t>73 -</w:t>
      </w:r>
      <w:r w:rsidRPr="00FA3856">
        <w:rPr>
          <w:rFonts w:ascii="Times New Roman" w:hAnsi="Times New Roman" w:cs="Times New Roman"/>
          <w:b/>
          <w:bCs/>
          <w:szCs w:val="20"/>
        </w:rPr>
        <w:t xml:space="preserve"> Adicional </w:t>
      </w:r>
    </w:p>
    <w:p w:rsidR="00861C00" w:rsidRPr="00FA3856" w:rsidRDefault="00861C00" w:rsidP="00811824">
      <w:pPr>
        <w:pStyle w:val="NormalWeb"/>
        <w:spacing w:before="0" w:after="0"/>
        <w:ind w:firstLine="528"/>
        <w:jc w:val="both"/>
        <w:rPr>
          <w:rFonts w:ascii="Times New Roman" w:hAnsi="Times New Roman" w:cs="Times New Roman"/>
          <w:szCs w:val="20"/>
        </w:rPr>
      </w:pPr>
    </w:p>
    <w:p w:rsidR="008B2747" w:rsidRPr="00FA3856" w:rsidRDefault="008B2747" w:rsidP="00811824">
      <w:pPr>
        <w:pStyle w:val="NormalWeb"/>
        <w:spacing w:before="0" w:after="0"/>
        <w:ind w:firstLine="528"/>
        <w:jc w:val="both"/>
        <w:rPr>
          <w:rFonts w:ascii="Times New Roman" w:hAnsi="Times New Roman" w:cs="Times New Roman"/>
          <w:szCs w:val="20"/>
        </w:rPr>
      </w:pPr>
      <w:r w:rsidRPr="00FA3856">
        <w:rPr>
          <w:rFonts w:ascii="Times New Roman" w:hAnsi="Times New Roman" w:cs="Times New Roman"/>
          <w:szCs w:val="20"/>
        </w:rPr>
        <w:t xml:space="preserve">Estas linhas somente devem ser preenchidas se a pessoa jurídica apurar lucro real sujeito à incidência do adicional de que trata a </w:t>
      </w:r>
      <w:r w:rsidR="00B85BAD" w:rsidRPr="00FA3856">
        <w:rPr>
          <w:rFonts w:ascii="Times New Roman" w:hAnsi="Times New Roman" w:cs="Times New Roman"/>
          <w:szCs w:val="20"/>
        </w:rPr>
        <w:t>linha N630/4</w:t>
      </w:r>
      <w:r w:rsidRPr="00FA3856">
        <w:rPr>
          <w:rFonts w:ascii="Times New Roman" w:hAnsi="Times New Roman" w:cs="Times New Roman"/>
          <w:szCs w:val="20"/>
        </w:rPr>
        <w:t xml:space="preserve">. </w:t>
      </w:r>
    </w:p>
    <w:p w:rsidR="00811824" w:rsidRPr="00FA3856" w:rsidRDefault="00811824" w:rsidP="007B28E6">
      <w:pPr>
        <w:pStyle w:val="NormalWeb"/>
        <w:spacing w:before="0" w:after="0"/>
        <w:jc w:val="both"/>
        <w:rPr>
          <w:rFonts w:ascii="Times New Roman" w:hAnsi="Times New Roman" w:cs="Times New Roman"/>
          <w:szCs w:val="20"/>
        </w:rPr>
      </w:pPr>
    </w:p>
    <w:p w:rsidR="008B2747" w:rsidRPr="00FA3856" w:rsidRDefault="008B2747" w:rsidP="00811824">
      <w:pPr>
        <w:pStyle w:val="NormalWeb"/>
        <w:spacing w:before="0" w:after="0"/>
        <w:ind w:firstLine="528"/>
        <w:jc w:val="both"/>
        <w:rPr>
          <w:rFonts w:ascii="Times New Roman" w:hAnsi="Times New Roman" w:cs="Times New Roman"/>
          <w:szCs w:val="20"/>
        </w:rPr>
      </w:pPr>
      <w:r w:rsidRPr="00FA3856">
        <w:rPr>
          <w:rFonts w:ascii="Times New Roman" w:hAnsi="Times New Roman" w:cs="Times New Roman"/>
          <w:szCs w:val="20"/>
        </w:rPr>
        <w:t xml:space="preserve">O rateio toma como base a proporção entre o lucro da exploração de cada atividade e o lucro real da empresa aplicado sobre o montante do adicional. Se o lucro real for menor que o lucro da exploração, o rateio do adicional deve ser efetuado com base na proporção da receita líquida de cada atividade em relação à receita líquida total, indicada </w:t>
      </w:r>
      <w:r w:rsidR="006C0BFB" w:rsidRPr="00FA3856">
        <w:rPr>
          <w:rFonts w:ascii="Times New Roman" w:hAnsi="Times New Roman" w:cs="Times New Roman"/>
          <w:szCs w:val="20"/>
        </w:rPr>
        <w:t>nas linhas</w:t>
      </w:r>
      <w:r w:rsidR="00B85BAD" w:rsidRPr="00FA3856">
        <w:rPr>
          <w:rFonts w:ascii="Times New Roman" w:hAnsi="Times New Roman" w:cs="Times New Roman"/>
          <w:szCs w:val="20"/>
        </w:rPr>
        <w:t xml:space="preserve"> N600/2 a N600/18</w:t>
      </w:r>
      <w:r w:rsidR="00811824" w:rsidRPr="00FA3856">
        <w:rPr>
          <w:rFonts w:ascii="Times New Roman" w:hAnsi="Times New Roman" w:cs="Times New Roman"/>
          <w:szCs w:val="20"/>
        </w:rPr>
        <w:t>.</w:t>
      </w:r>
      <w:r w:rsidRPr="00FA3856">
        <w:rPr>
          <w:rFonts w:ascii="Times New Roman" w:hAnsi="Times New Roman" w:cs="Times New Roman"/>
          <w:szCs w:val="20"/>
        </w:rPr>
        <w:t xml:space="preserve"> </w:t>
      </w:r>
    </w:p>
    <w:p w:rsidR="008B2747" w:rsidRPr="00FA3856" w:rsidRDefault="008B2747" w:rsidP="007B28E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p w:rsidR="008B2747" w:rsidRPr="00FA3856" w:rsidRDefault="008B2747" w:rsidP="007B28E6">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t>Exemplo:</w:t>
      </w:r>
      <w:r w:rsidR="00811824" w:rsidRPr="00FA3856">
        <w:rPr>
          <w:rFonts w:ascii="Times New Roman" w:hAnsi="Times New Roman" w:cs="Times New Roman"/>
          <w:szCs w:val="20"/>
        </w:rPr>
        <w:t xml:space="preserve"> </w:t>
      </w:r>
      <w:r w:rsidRPr="00FA3856">
        <w:rPr>
          <w:rFonts w:ascii="Times New Roman" w:hAnsi="Times New Roman" w:cs="Times New Roman"/>
          <w:szCs w:val="20"/>
        </w:rPr>
        <w:t>A pessoa jurídica, na apuração anual do imposto, obteve os seguintes resultados em 31 de dezembro:</w:t>
      </w:r>
    </w:p>
    <w:p w:rsidR="008B2747" w:rsidRPr="00FA3856" w:rsidRDefault="008B2747" w:rsidP="007B28E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p w:rsidR="008B2747" w:rsidRPr="00FA3856" w:rsidRDefault="008B2747" w:rsidP="007B28E6">
      <w:pPr>
        <w:pStyle w:val="NormalWeb"/>
        <w:spacing w:before="0" w:after="0"/>
        <w:jc w:val="both"/>
        <w:rPr>
          <w:rStyle w:val="Forte"/>
          <w:rFonts w:ascii="Times New Roman" w:hAnsi="Times New Roman" w:cs="Times New Roman"/>
          <w:szCs w:val="20"/>
        </w:rPr>
      </w:pPr>
      <w:r w:rsidRPr="00FA3856">
        <w:rPr>
          <w:rFonts w:ascii="Times New Roman" w:hAnsi="Times New Roman" w:cs="Times New Roman"/>
          <w:b/>
          <w:bCs/>
          <w:szCs w:val="20"/>
        </w:rPr>
        <w:t>a) Lucro Real menor que o Lucro da Exploração</w:t>
      </w:r>
      <w:r w:rsidRPr="00FA3856">
        <w:rPr>
          <w:rStyle w:val="Forte"/>
          <w:rFonts w:ascii="Times New Roman" w:hAnsi="Times New Roman" w:cs="Times New Roman"/>
          <w:szCs w:val="20"/>
        </w:rPr>
        <w:t xml:space="preserve">: </w:t>
      </w:r>
    </w:p>
    <w:p w:rsidR="00811824" w:rsidRPr="00FA3856" w:rsidRDefault="00811824" w:rsidP="007B28E6">
      <w:pPr>
        <w:pStyle w:val="NormalWeb"/>
        <w:spacing w:before="0" w:after="0"/>
        <w:jc w:val="both"/>
        <w:rPr>
          <w:rFonts w:ascii="Times New Roman" w:hAnsi="Times New Roman" w:cs="Times New Roman"/>
          <w:szCs w:val="20"/>
        </w:rPr>
      </w:pPr>
    </w:p>
    <w:tbl>
      <w:tblPr>
        <w:tblW w:w="8504"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34"/>
        <w:gridCol w:w="5260"/>
        <w:gridCol w:w="360"/>
        <w:gridCol w:w="1150"/>
      </w:tblGrid>
      <w:tr w:rsidR="008B2747" w:rsidRPr="00FA3856" w:rsidTr="00811824">
        <w:trPr>
          <w:trHeight w:val="238"/>
          <w:tblCellSpacing w:w="0" w:type="dxa"/>
          <w:jc w:val="center"/>
        </w:trPr>
        <w:tc>
          <w:tcPr>
            <w:tcW w:w="1734" w:type="dxa"/>
            <w:vAlign w:val="center"/>
            <w:hideMark/>
          </w:tcPr>
          <w:p w:rsidR="008B2747" w:rsidRPr="00FA3856" w:rsidRDefault="00B85BAD" w:rsidP="007B28E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Linha N600/2</w:t>
            </w:r>
          </w:p>
        </w:tc>
        <w:tc>
          <w:tcPr>
            <w:tcW w:w="5260" w:type="dxa"/>
            <w:vAlign w:val="center"/>
            <w:hideMark/>
          </w:tcPr>
          <w:p w:rsidR="008B2747" w:rsidRPr="00FA3856" w:rsidRDefault="008B2747" w:rsidP="007B28E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Receita Líquida da Atividade de Ensino Superior Isenta - Prouni</w:t>
            </w:r>
          </w:p>
        </w:tc>
        <w:tc>
          <w:tcPr>
            <w:tcW w:w="360" w:type="dxa"/>
            <w:vAlign w:val="center"/>
            <w:hideMark/>
          </w:tcPr>
          <w:p w:rsidR="008B2747" w:rsidRPr="00FA3856" w:rsidRDefault="008B2747" w:rsidP="00811824">
            <w:pPr>
              <w:jc w:val="center"/>
              <w:rPr>
                <w:szCs w:val="20"/>
              </w:rPr>
            </w:pPr>
            <w:r w:rsidRPr="00FA3856">
              <w:rPr>
                <w:szCs w:val="20"/>
              </w:rPr>
              <w:t>R$</w:t>
            </w:r>
          </w:p>
        </w:tc>
        <w:tc>
          <w:tcPr>
            <w:tcW w:w="1150" w:type="dxa"/>
            <w:vAlign w:val="center"/>
            <w:hideMark/>
          </w:tcPr>
          <w:p w:rsidR="008B2747" w:rsidRPr="00FA3856" w:rsidRDefault="008B2747" w:rsidP="00811824">
            <w:pPr>
              <w:pStyle w:val="NormalWeb"/>
              <w:spacing w:before="0" w:after="0"/>
              <w:jc w:val="right"/>
              <w:rPr>
                <w:rFonts w:ascii="Times New Roman" w:hAnsi="Times New Roman" w:cs="Times New Roman"/>
                <w:szCs w:val="20"/>
              </w:rPr>
            </w:pPr>
            <w:r w:rsidRPr="00FA3856">
              <w:rPr>
                <w:rFonts w:ascii="Times New Roman" w:hAnsi="Times New Roman" w:cs="Times New Roman"/>
                <w:szCs w:val="20"/>
              </w:rPr>
              <w:t>1.800.000,00</w:t>
            </w:r>
          </w:p>
        </w:tc>
      </w:tr>
      <w:tr w:rsidR="008B2747" w:rsidRPr="00FA3856" w:rsidTr="00811824">
        <w:trPr>
          <w:trHeight w:val="225"/>
          <w:tblCellSpacing w:w="0" w:type="dxa"/>
          <w:jc w:val="center"/>
        </w:trPr>
        <w:tc>
          <w:tcPr>
            <w:tcW w:w="1734" w:type="dxa"/>
            <w:vAlign w:val="center"/>
            <w:hideMark/>
          </w:tcPr>
          <w:p w:rsidR="008B2747" w:rsidRPr="00FA3856" w:rsidRDefault="00B85BAD" w:rsidP="007B28E6">
            <w:pPr>
              <w:pStyle w:val="NormalWeb"/>
              <w:spacing w:before="0" w:after="0" w:line="225" w:lineRule="atLeast"/>
              <w:jc w:val="both"/>
              <w:rPr>
                <w:rFonts w:ascii="Times New Roman" w:hAnsi="Times New Roman" w:cs="Times New Roman"/>
                <w:szCs w:val="20"/>
              </w:rPr>
            </w:pPr>
            <w:r w:rsidRPr="00FA3856">
              <w:rPr>
                <w:rFonts w:ascii="Times New Roman" w:hAnsi="Times New Roman" w:cs="Times New Roman"/>
                <w:szCs w:val="20"/>
              </w:rPr>
              <w:t>Linha N600/13</w:t>
            </w:r>
          </w:p>
        </w:tc>
        <w:tc>
          <w:tcPr>
            <w:tcW w:w="5260" w:type="dxa"/>
            <w:vAlign w:val="center"/>
            <w:hideMark/>
          </w:tcPr>
          <w:p w:rsidR="008B2747" w:rsidRPr="00FA3856" w:rsidRDefault="008B2747" w:rsidP="007B28E6">
            <w:pPr>
              <w:pStyle w:val="NormalWeb"/>
              <w:spacing w:before="0" w:after="0" w:line="225" w:lineRule="atLeast"/>
              <w:jc w:val="both"/>
              <w:rPr>
                <w:rFonts w:ascii="Times New Roman" w:hAnsi="Times New Roman" w:cs="Times New Roman"/>
                <w:szCs w:val="20"/>
              </w:rPr>
            </w:pPr>
            <w:r w:rsidRPr="00FA3856">
              <w:rPr>
                <w:rFonts w:ascii="Times New Roman" w:hAnsi="Times New Roman" w:cs="Times New Roman"/>
                <w:szCs w:val="20"/>
              </w:rPr>
              <w:t>Receita Líquida da Atividade com redução de 50%</w:t>
            </w:r>
          </w:p>
        </w:tc>
        <w:tc>
          <w:tcPr>
            <w:tcW w:w="360" w:type="dxa"/>
            <w:vAlign w:val="center"/>
            <w:hideMark/>
          </w:tcPr>
          <w:p w:rsidR="008B2747" w:rsidRPr="00FA3856" w:rsidRDefault="008B2747" w:rsidP="00811824">
            <w:pPr>
              <w:spacing w:line="225" w:lineRule="atLeast"/>
              <w:jc w:val="center"/>
              <w:rPr>
                <w:szCs w:val="20"/>
              </w:rPr>
            </w:pPr>
            <w:r w:rsidRPr="00FA3856">
              <w:rPr>
                <w:szCs w:val="20"/>
              </w:rPr>
              <w:t>R$</w:t>
            </w:r>
          </w:p>
        </w:tc>
        <w:tc>
          <w:tcPr>
            <w:tcW w:w="1150" w:type="dxa"/>
            <w:vAlign w:val="center"/>
            <w:hideMark/>
          </w:tcPr>
          <w:p w:rsidR="008B2747" w:rsidRPr="00FA3856" w:rsidRDefault="008B2747" w:rsidP="00811824">
            <w:pPr>
              <w:pStyle w:val="NormalWeb"/>
              <w:spacing w:before="0" w:after="0" w:line="225" w:lineRule="atLeast"/>
              <w:jc w:val="right"/>
              <w:rPr>
                <w:rFonts w:ascii="Times New Roman" w:hAnsi="Times New Roman" w:cs="Times New Roman"/>
                <w:szCs w:val="20"/>
              </w:rPr>
            </w:pPr>
            <w:r w:rsidRPr="00FA3856">
              <w:rPr>
                <w:rFonts w:ascii="Times New Roman" w:hAnsi="Times New Roman" w:cs="Times New Roman"/>
                <w:szCs w:val="20"/>
              </w:rPr>
              <w:t>900.000,00</w:t>
            </w:r>
          </w:p>
        </w:tc>
      </w:tr>
      <w:tr w:rsidR="008B2747" w:rsidRPr="00FA3856" w:rsidTr="00811824">
        <w:trPr>
          <w:trHeight w:val="238"/>
          <w:tblCellSpacing w:w="0" w:type="dxa"/>
          <w:jc w:val="center"/>
        </w:trPr>
        <w:tc>
          <w:tcPr>
            <w:tcW w:w="1734" w:type="dxa"/>
            <w:vAlign w:val="center"/>
            <w:hideMark/>
          </w:tcPr>
          <w:p w:rsidR="008B2747" w:rsidRPr="00FA3856" w:rsidRDefault="00B85BAD" w:rsidP="007B28E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Linha N600/18</w:t>
            </w:r>
          </w:p>
        </w:tc>
        <w:tc>
          <w:tcPr>
            <w:tcW w:w="5260" w:type="dxa"/>
            <w:vAlign w:val="center"/>
            <w:hideMark/>
          </w:tcPr>
          <w:p w:rsidR="008B2747" w:rsidRPr="00FA3856" w:rsidRDefault="008B2747" w:rsidP="007B28E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Receita Líquida das Demais Atividades</w:t>
            </w:r>
          </w:p>
        </w:tc>
        <w:tc>
          <w:tcPr>
            <w:tcW w:w="360" w:type="dxa"/>
            <w:vAlign w:val="center"/>
            <w:hideMark/>
          </w:tcPr>
          <w:p w:rsidR="008B2747" w:rsidRPr="00FA3856" w:rsidRDefault="008B2747" w:rsidP="00811824">
            <w:pPr>
              <w:jc w:val="center"/>
              <w:rPr>
                <w:szCs w:val="20"/>
              </w:rPr>
            </w:pPr>
            <w:r w:rsidRPr="00FA3856">
              <w:rPr>
                <w:szCs w:val="20"/>
              </w:rPr>
              <w:t>R$</w:t>
            </w:r>
          </w:p>
        </w:tc>
        <w:tc>
          <w:tcPr>
            <w:tcW w:w="1150" w:type="dxa"/>
            <w:vAlign w:val="center"/>
            <w:hideMark/>
          </w:tcPr>
          <w:p w:rsidR="008B2747" w:rsidRPr="00FA3856" w:rsidRDefault="008B2747" w:rsidP="00811824">
            <w:pPr>
              <w:pStyle w:val="NormalWeb"/>
              <w:spacing w:before="0" w:after="0"/>
              <w:jc w:val="right"/>
              <w:rPr>
                <w:rFonts w:ascii="Times New Roman" w:hAnsi="Times New Roman" w:cs="Times New Roman"/>
                <w:szCs w:val="20"/>
              </w:rPr>
            </w:pPr>
            <w:r w:rsidRPr="00FA3856">
              <w:rPr>
                <w:rFonts w:ascii="Times New Roman" w:hAnsi="Times New Roman" w:cs="Times New Roman"/>
                <w:szCs w:val="20"/>
              </w:rPr>
              <w:t>3.300.000,00</w:t>
            </w:r>
          </w:p>
        </w:tc>
      </w:tr>
      <w:tr w:rsidR="008B2747" w:rsidRPr="00FA3856" w:rsidTr="00811824">
        <w:trPr>
          <w:trHeight w:val="238"/>
          <w:tblCellSpacing w:w="0" w:type="dxa"/>
          <w:jc w:val="center"/>
        </w:trPr>
        <w:tc>
          <w:tcPr>
            <w:tcW w:w="1734" w:type="dxa"/>
            <w:vAlign w:val="center"/>
            <w:hideMark/>
          </w:tcPr>
          <w:p w:rsidR="008B2747" w:rsidRPr="00FA3856" w:rsidRDefault="00B85BAD" w:rsidP="007B28E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Linha N600/19</w:t>
            </w:r>
          </w:p>
        </w:tc>
        <w:tc>
          <w:tcPr>
            <w:tcW w:w="5260" w:type="dxa"/>
            <w:vAlign w:val="center"/>
            <w:hideMark/>
          </w:tcPr>
          <w:p w:rsidR="008B2747" w:rsidRPr="00FA3856" w:rsidRDefault="008B2747" w:rsidP="007B28E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Total da Receita Líquida</w:t>
            </w:r>
          </w:p>
        </w:tc>
        <w:tc>
          <w:tcPr>
            <w:tcW w:w="360" w:type="dxa"/>
            <w:vAlign w:val="center"/>
            <w:hideMark/>
          </w:tcPr>
          <w:p w:rsidR="008B2747" w:rsidRPr="00FA3856" w:rsidRDefault="008B2747" w:rsidP="00811824">
            <w:pPr>
              <w:jc w:val="center"/>
              <w:rPr>
                <w:szCs w:val="20"/>
              </w:rPr>
            </w:pPr>
            <w:r w:rsidRPr="00FA3856">
              <w:rPr>
                <w:szCs w:val="20"/>
              </w:rPr>
              <w:t>R$</w:t>
            </w:r>
          </w:p>
        </w:tc>
        <w:tc>
          <w:tcPr>
            <w:tcW w:w="1150" w:type="dxa"/>
            <w:vAlign w:val="center"/>
            <w:hideMark/>
          </w:tcPr>
          <w:p w:rsidR="008B2747" w:rsidRPr="00FA3856" w:rsidRDefault="008B2747" w:rsidP="00811824">
            <w:pPr>
              <w:pStyle w:val="NormalWeb"/>
              <w:spacing w:before="0" w:after="0"/>
              <w:jc w:val="right"/>
              <w:rPr>
                <w:rFonts w:ascii="Times New Roman" w:hAnsi="Times New Roman" w:cs="Times New Roman"/>
                <w:szCs w:val="20"/>
              </w:rPr>
            </w:pPr>
            <w:r w:rsidRPr="00FA3856">
              <w:rPr>
                <w:rFonts w:ascii="Times New Roman" w:hAnsi="Times New Roman" w:cs="Times New Roman"/>
                <w:szCs w:val="20"/>
              </w:rPr>
              <w:t>6.000.000,00</w:t>
            </w:r>
          </w:p>
        </w:tc>
      </w:tr>
      <w:tr w:rsidR="008B2747" w:rsidRPr="00FA3856" w:rsidTr="00811824">
        <w:trPr>
          <w:trHeight w:val="238"/>
          <w:tblCellSpacing w:w="0" w:type="dxa"/>
          <w:jc w:val="center"/>
        </w:trPr>
        <w:tc>
          <w:tcPr>
            <w:tcW w:w="1734" w:type="dxa"/>
            <w:vAlign w:val="center"/>
            <w:hideMark/>
          </w:tcPr>
          <w:p w:rsidR="008B2747" w:rsidRPr="00FA3856" w:rsidRDefault="00B85BAD" w:rsidP="007B28E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xml:space="preserve">Linha </w:t>
            </w:r>
            <w:r w:rsidR="00811824" w:rsidRPr="00FA3856">
              <w:rPr>
                <w:rFonts w:ascii="Times New Roman" w:hAnsi="Times New Roman" w:cs="Times New Roman"/>
                <w:szCs w:val="20"/>
              </w:rPr>
              <w:t>N630/03</w:t>
            </w:r>
          </w:p>
        </w:tc>
        <w:tc>
          <w:tcPr>
            <w:tcW w:w="5260" w:type="dxa"/>
            <w:vAlign w:val="center"/>
            <w:hideMark/>
          </w:tcPr>
          <w:p w:rsidR="008B2747" w:rsidRPr="00FA3856" w:rsidRDefault="008B2747" w:rsidP="007B28E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Adicional no período de apuração</w:t>
            </w:r>
          </w:p>
        </w:tc>
        <w:tc>
          <w:tcPr>
            <w:tcW w:w="360" w:type="dxa"/>
            <w:vAlign w:val="center"/>
            <w:hideMark/>
          </w:tcPr>
          <w:p w:rsidR="008B2747" w:rsidRPr="00FA3856" w:rsidRDefault="008B2747" w:rsidP="00811824">
            <w:pPr>
              <w:jc w:val="center"/>
              <w:rPr>
                <w:szCs w:val="20"/>
              </w:rPr>
            </w:pPr>
            <w:r w:rsidRPr="00FA3856">
              <w:rPr>
                <w:szCs w:val="20"/>
              </w:rPr>
              <w:t>R$</w:t>
            </w:r>
          </w:p>
        </w:tc>
        <w:tc>
          <w:tcPr>
            <w:tcW w:w="1150" w:type="dxa"/>
            <w:vAlign w:val="center"/>
            <w:hideMark/>
          </w:tcPr>
          <w:p w:rsidR="008B2747" w:rsidRPr="00FA3856" w:rsidRDefault="008B2747" w:rsidP="00811824">
            <w:pPr>
              <w:pStyle w:val="NormalWeb"/>
              <w:spacing w:before="0" w:after="0"/>
              <w:jc w:val="right"/>
              <w:rPr>
                <w:rFonts w:ascii="Times New Roman" w:hAnsi="Times New Roman" w:cs="Times New Roman"/>
                <w:szCs w:val="20"/>
              </w:rPr>
            </w:pPr>
            <w:r w:rsidRPr="00FA3856">
              <w:rPr>
                <w:rFonts w:ascii="Times New Roman" w:hAnsi="Times New Roman" w:cs="Times New Roman"/>
                <w:szCs w:val="20"/>
              </w:rPr>
              <w:t>201.600,00</w:t>
            </w:r>
          </w:p>
        </w:tc>
      </w:tr>
    </w:tbl>
    <w:p w:rsidR="00811824" w:rsidRPr="00FA3856" w:rsidRDefault="008B2747" w:rsidP="007B28E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Atividade Isenta</w:t>
      </w:r>
      <w:r w:rsidR="00811824" w:rsidRPr="00FA3856">
        <w:rPr>
          <w:rFonts w:ascii="Times New Roman" w:hAnsi="Times New Roman" w:cs="Times New Roman"/>
          <w:szCs w:val="20"/>
        </w:rPr>
        <w:t>:</w:t>
      </w:r>
    </w:p>
    <w:p w:rsidR="00811824" w:rsidRPr="00FA3856" w:rsidRDefault="00B85BAD" w:rsidP="007B28E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xml:space="preserve">Adicional da Linha </w:t>
      </w:r>
      <w:r w:rsidR="00811824" w:rsidRPr="00FA3856">
        <w:rPr>
          <w:rFonts w:ascii="Times New Roman" w:hAnsi="Times New Roman" w:cs="Times New Roman"/>
          <w:szCs w:val="20"/>
        </w:rPr>
        <w:t>N610/03 = (R$ 1.800.000,00 x R$ 201.600,00)/(R$ 6.000.000,00) = R$ 60.480,00</w:t>
      </w:r>
    </w:p>
    <w:p w:rsidR="00811824" w:rsidRPr="00FA3856" w:rsidRDefault="00811824" w:rsidP="007B28E6">
      <w:pPr>
        <w:pStyle w:val="NormalWeb"/>
        <w:spacing w:before="0" w:after="0"/>
        <w:jc w:val="both"/>
        <w:rPr>
          <w:rFonts w:ascii="Times New Roman" w:hAnsi="Times New Roman" w:cs="Times New Roman"/>
          <w:szCs w:val="20"/>
        </w:rPr>
      </w:pPr>
    </w:p>
    <w:p w:rsidR="00811824" w:rsidRPr="00FA3856" w:rsidRDefault="00811824" w:rsidP="007B28E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Atividade com Redução de 50%:</w:t>
      </w:r>
    </w:p>
    <w:p w:rsidR="00811824" w:rsidRPr="00FA3856" w:rsidRDefault="00B85BAD" w:rsidP="007B28E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Adicional da Linha</w:t>
      </w:r>
      <w:r w:rsidR="00811824" w:rsidRPr="00FA3856">
        <w:rPr>
          <w:rFonts w:ascii="Times New Roman" w:hAnsi="Times New Roman" w:cs="Times New Roman"/>
          <w:szCs w:val="20"/>
        </w:rPr>
        <w:t xml:space="preserve"> N610/58 = (R$ 900.000,00 x R$ 201.600,00)/(R$ 6.000.000,00) = R$ 30.240,00</w:t>
      </w:r>
    </w:p>
    <w:p w:rsidR="00811824" w:rsidRPr="00FA3856" w:rsidRDefault="00811824" w:rsidP="007B28E6">
      <w:pPr>
        <w:pStyle w:val="NormalWeb"/>
        <w:spacing w:before="0" w:after="0"/>
        <w:jc w:val="both"/>
        <w:rPr>
          <w:rFonts w:ascii="Times New Roman" w:hAnsi="Times New Roman" w:cs="Times New Roman"/>
          <w:szCs w:val="20"/>
        </w:rPr>
      </w:pPr>
    </w:p>
    <w:p w:rsidR="0036222A" w:rsidRPr="00FA3856" w:rsidRDefault="0036222A" w:rsidP="007B28E6">
      <w:pPr>
        <w:pStyle w:val="NormalWeb"/>
        <w:spacing w:before="0" w:after="0"/>
        <w:jc w:val="both"/>
        <w:rPr>
          <w:rFonts w:ascii="Times New Roman" w:hAnsi="Times New Roman" w:cs="Times New Roman"/>
          <w:szCs w:val="20"/>
        </w:rPr>
      </w:pPr>
    </w:p>
    <w:p w:rsidR="008B2747" w:rsidRPr="00FA3856" w:rsidRDefault="008B2747" w:rsidP="007B28E6">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t>b) Lucro Real igual ou maior que o Lucro da Exploração:</w:t>
      </w:r>
      <w:r w:rsidR="00E724E3" w:rsidRPr="00FA3856">
        <w:rPr>
          <w:rFonts w:ascii="Times New Roman" w:hAnsi="Times New Roman" w:cs="Times New Roman"/>
          <w:szCs w:val="20"/>
        </w:rPr>
        <w:t xml:space="preserve"> </w:t>
      </w:r>
      <w:r w:rsidRPr="00FA3856">
        <w:rPr>
          <w:rFonts w:ascii="Times New Roman" w:hAnsi="Times New Roman" w:cs="Times New Roman"/>
          <w:szCs w:val="20"/>
        </w:rPr>
        <w:t xml:space="preserve">Neste caso, o rateio do adicional é efetuado com base na proporção do lucro da exploração de cada uma das atividades relacionadas nas </w:t>
      </w:r>
      <w:r w:rsidR="00B85BAD" w:rsidRPr="00FA3856">
        <w:rPr>
          <w:rFonts w:ascii="Times New Roman" w:hAnsi="Times New Roman" w:cs="Times New Roman"/>
          <w:szCs w:val="20"/>
        </w:rPr>
        <w:t>linhas N600/50 a N600/64</w:t>
      </w:r>
      <w:r w:rsidR="00E724E3" w:rsidRPr="00FA3856">
        <w:rPr>
          <w:rFonts w:ascii="Times New Roman" w:hAnsi="Times New Roman" w:cs="Times New Roman"/>
          <w:szCs w:val="20"/>
        </w:rPr>
        <w:t xml:space="preserve"> </w:t>
      </w:r>
      <w:r w:rsidRPr="00FA3856">
        <w:rPr>
          <w:rFonts w:ascii="Times New Roman" w:hAnsi="Times New Roman" w:cs="Times New Roman"/>
          <w:szCs w:val="20"/>
        </w:rPr>
        <w:t>e o total do lucro real anual, conforme exemplo abaixo:  </w:t>
      </w:r>
    </w:p>
    <w:p w:rsidR="00E724E3" w:rsidRPr="00FA3856" w:rsidRDefault="00E724E3" w:rsidP="007B28E6">
      <w:pPr>
        <w:pStyle w:val="NormalWeb"/>
        <w:spacing w:before="0" w:after="0"/>
        <w:jc w:val="both"/>
        <w:rPr>
          <w:rFonts w:ascii="Times New Roman" w:hAnsi="Times New Roman" w:cs="Times New Roman"/>
          <w:szCs w:val="20"/>
        </w:rPr>
      </w:pPr>
    </w:p>
    <w:tbl>
      <w:tblPr>
        <w:tblW w:w="9756"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13"/>
        <w:gridCol w:w="5427"/>
        <w:gridCol w:w="334"/>
        <w:gridCol w:w="1082"/>
      </w:tblGrid>
      <w:tr w:rsidR="008B2747" w:rsidRPr="00FA3856" w:rsidTr="00E724E3">
        <w:trPr>
          <w:trHeight w:val="238"/>
          <w:tblCellSpacing w:w="0" w:type="dxa"/>
          <w:jc w:val="center"/>
        </w:trPr>
        <w:tc>
          <w:tcPr>
            <w:tcW w:w="2913" w:type="dxa"/>
            <w:hideMark/>
          </w:tcPr>
          <w:p w:rsidR="008B2747" w:rsidRPr="00FA3856" w:rsidRDefault="00B85BAD" w:rsidP="007B28E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Linha N600/50</w:t>
            </w:r>
          </w:p>
        </w:tc>
        <w:tc>
          <w:tcPr>
            <w:tcW w:w="5427" w:type="dxa"/>
            <w:hideMark/>
          </w:tcPr>
          <w:p w:rsidR="008B2747" w:rsidRPr="00FA3856" w:rsidRDefault="008B2747" w:rsidP="007B28E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Lucro da Exploração Atividade de Ensino Superior Isenta - Prouni</w:t>
            </w:r>
          </w:p>
        </w:tc>
        <w:tc>
          <w:tcPr>
            <w:tcW w:w="334" w:type="dxa"/>
            <w:hideMark/>
          </w:tcPr>
          <w:p w:rsidR="008B2747" w:rsidRPr="00FA3856" w:rsidRDefault="008B2747" w:rsidP="007B28E6">
            <w:pPr>
              <w:jc w:val="both"/>
              <w:rPr>
                <w:szCs w:val="20"/>
              </w:rPr>
            </w:pPr>
            <w:r w:rsidRPr="00FA3856">
              <w:rPr>
                <w:szCs w:val="20"/>
              </w:rPr>
              <w:t>R$</w:t>
            </w:r>
          </w:p>
        </w:tc>
        <w:tc>
          <w:tcPr>
            <w:tcW w:w="1082" w:type="dxa"/>
            <w:hideMark/>
          </w:tcPr>
          <w:p w:rsidR="008B2747" w:rsidRPr="00FA3856" w:rsidRDefault="008B2747" w:rsidP="00E724E3">
            <w:pPr>
              <w:pStyle w:val="NormalWeb"/>
              <w:spacing w:before="0" w:after="0"/>
              <w:jc w:val="right"/>
              <w:rPr>
                <w:rFonts w:ascii="Times New Roman" w:hAnsi="Times New Roman" w:cs="Times New Roman"/>
                <w:szCs w:val="20"/>
              </w:rPr>
            </w:pPr>
            <w:r w:rsidRPr="00FA3856">
              <w:rPr>
                <w:rFonts w:ascii="Times New Roman" w:hAnsi="Times New Roman" w:cs="Times New Roman"/>
                <w:szCs w:val="20"/>
              </w:rPr>
              <w:t>100.000,00</w:t>
            </w:r>
          </w:p>
        </w:tc>
      </w:tr>
      <w:tr w:rsidR="008B2747" w:rsidRPr="00FA3856" w:rsidTr="00E724E3">
        <w:trPr>
          <w:trHeight w:val="238"/>
          <w:tblCellSpacing w:w="0" w:type="dxa"/>
          <w:jc w:val="center"/>
        </w:trPr>
        <w:tc>
          <w:tcPr>
            <w:tcW w:w="2913" w:type="dxa"/>
            <w:hideMark/>
          </w:tcPr>
          <w:p w:rsidR="008B2747" w:rsidRPr="00FA3856" w:rsidRDefault="00B85BAD" w:rsidP="007B28E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Linha N600/62</w:t>
            </w:r>
          </w:p>
        </w:tc>
        <w:tc>
          <w:tcPr>
            <w:tcW w:w="5427" w:type="dxa"/>
            <w:hideMark/>
          </w:tcPr>
          <w:p w:rsidR="008B2747" w:rsidRPr="00FA3856" w:rsidRDefault="008B2747" w:rsidP="007B28E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Lucro da Exploração Atividade com Redução de 33,33%</w:t>
            </w:r>
          </w:p>
        </w:tc>
        <w:tc>
          <w:tcPr>
            <w:tcW w:w="334" w:type="dxa"/>
            <w:hideMark/>
          </w:tcPr>
          <w:p w:rsidR="008B2747" w:rsidRPr="00FA3856" w:rsidRDefault="008B2747" w:rsidP="007B28E6">
            <w:pPr>
              <w:jc w:val="both"/>
              <w:rPr>
                <w:szCs w:val="20"/>
              </w:rPr>
            </w:pPr>
            <w:r w:rsidRPr="00FA3856">
              <w:rPr>
                <w:szCs w:val="20"/>
              </w:rPr>
              <w:t>R$</w:t>
            </w:r>
          </w:p>
        </w:tc>
        <w:tc>
          <w:tcPr>
            <w:tcW w:w="1082" w:type="dxa"/>
            <w:hideMark/>
          </w:tcPr>
          <w:p w:rsidR="008B2747" w:rsidRPr="00FA3856" w:rsidRDefault="008B2747" w:rsidP="00E724E3">
            <w:pPr>
              <w:pStyle w:val="NormalWeb"/>
              <w:spacing w:before="0" w:after="0"/>
              <w:jc w:val="right"/>
              <w:rPr>
                <w:rFonts w:ascii="Times New Roman" w:hAnsi="Times New Roman" w:cs="Times New Roman"/>
                <w:szCs w:val="20"/>
              </w:rPr>
            </w:pPr>
            <w:r w:rsidRPr="00FA3856">
              <w:rPr>
                <w:rFonts w:ascii="Times New Roman" w:hAnsi="Times New Roman" w:cs="Times New Roman"/>
                <w:szCs w:val="20"/>
              </w:rPr>
              <w:t>200.000,00</w:t>
            </w:r>
          </w:p>
        </w:tc>
      </w:tr>
      <w:tr w:rsidR="008B2747" w:rsidRPr="00FA3856" w:rsidTr="00E724E3">
        <w:trPr>
          <w:trHeight w:val="238"/>
          <w:tblCellSpacing w:w="0" w:type="dxa"/>
          <w:jc w:val="center"/>
        </w:trPr>
        <w:tc>
          <w:tcPr>
            <w:tcW w:w="2913" w:type="dxa"/>
            <w:hideMark/>
          </w:tcPr>
          <w:p w:rsidR="008B2747" w:rsidRPr="00FA3856" w:rsidRDefault="00B85BAD" w:rsidP="007B28E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Linha M300/175 + M300/349</w:t>
            </w:r>
          </w:p>
        </w:tc>
        <w:tc>
          <w:tcPr>
            <w:tcW w:w="5427" w:type="dxa"/>
            <w:hideMark/>
          </w:tcPr>
          <w:p w:rsidR="008B2747" w:rsidRPr="00FA3856" w:rsidRDefault="008B2747" w:rsidP="007B28E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Lucro Real do período de apuração</w:t>
            </w:r>
          </w:p>
        </w:tc>
        <w:tc>
          <w:tcPr>
            <w:tcW w:w="334" w:type="dxa"/>
            <w:hideMark/>
          </w:tcPr>
          <w:p w:rsidR="008B2747" w:rsidRPr="00FA3856" w:rsidRDefault="008B2747" w:rsidP="007B28E6">
            <w:pPr>
              <w:jc w:val="both"/>
              <w:rPr>
                <w:szCs w:val="20"/>
              </w:rPr>
            </w:pPr>
            <w:r w:rsidRPr="00FA3856">
              <w:rPr>
                <w:szCs w:val="20"/>
              </w:rPr>
              <w:t>R$</w:t>
            </w:r>
          </w:p>
        </w:tc>
        <w:tc>
          <w:tcPr>
            <w:tcW w:w="1082" w:type="dxa"/>
            <w:hideMark/>
          </w:tcPr>
          <w:p w:rsidR="008B2747" w:rsidRPr="00FA3856" w:rsidRDefault="008B2747" w:rsidP="00E724E3">
            <w:pPr>
              <w:pStyle w:val="NormalWeb"/>
              <w:spacing w:before="0" w:after="0"/>
              <w:jc w:val="right"/>
              <w:rPr>
                <w:rFonts w:ascii="Times New Roman" w:hAnsi="Times New Roman" w:cs="Times New Roman"/>
                <w:szCs w:val="20"/>
              </w:rPr>
            </w:pPr>
            <w:r w:rsidRPr="00FA3856">
              <w:rPr>
                <w:rFonts w:ascii="Times New Roman" w:hAnsi="Times New Roman" w:cs="Times New Roman"/>
                <w:szCs w:val="20"/>
              </w:rPr>
              <w:t>2.256.000,00</w:t>
            </w:r>
          </w:p>
        </w:tc>
      </w:tr>
      <w:tr w:rsidR="008B2747" w:rsidRPr="00FA3856" w:rsidTr="00E724E3">
        <w:trPr>
          <w:trHeight w:val="238"/>
          <w:tblCellSpacing w:w="0" w:type="dxa"/>
          <w:jc w:val="center"/>
        </w:trPr>
        <w:tc>
          <w:tcPr>
            <w:tcW w:w="2913" w:type="dxa"/>
            <w:hideMark/>
          </w:tcPr>
          <w:p w:rsidR="008B2747" w:rsidRPr="00FA3856" w:rsidRDefault="00B85BAD" w:rsidP="007B28E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xml:space="preserve">Linha </w:t>
            </w:r>
            <w:r w:rsidR="00E724E3" w:rsidRPr="00FA3856">
              <w:rPr>
                <w:rFonts w:ascii="Times New Roman" w:hAnsi="Times New Roman" w:cs="Times New Roman"/>
                <w:szCs w:val="20"/>
              </w:rPr>
              <w:t>N630/03</w:t>
            </w:r>
          </w:p>
        </w:tc>
        <w:tc>
          <w:tcPr>
            <w:tcW w:w="5427" w:type="dxa"/>
            <w:hideMark/>
          </w:tcPr>
          <w:p w:rsidR="008B2747" w:rsidRPr="00FA3856" w:rsidRDefault="008B2747" w:rsidP="007B28E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Adicional do Período de apuração</w:t>
            </w:r>
          </w:p>
        </w:tc>
        <w:tc>
          <w:tcPr>
            <w:tcW w:w="334" w:type="dxa"/>
            <w:hideMark/>
          </w:tcPr>
          <w:p w:rsidR="008B2747" w:rsidRPr="00FA3856" w:rsidRDefault="008B2747" w:rsidP="007B28E6">
            <w:pPr>
              <w:jc w:val="both"/>
              <w:rPr>
                <w:szCs w:val="20"/>
              </w:rPr>
            </w:pPr>
            <w:r w:rsidRPr="00FA3856">
              <w:rPr>
                <w:szCs w:val="20"/>
              </w:rPr>
              <w:t>R$</w:t>
            </w:r>
          </w:p>
        </w:tc>
        <w:tc>
          <w:tcPr>
            <w:tcW w:w="1082" w:type="dxa"/>
            <w:hideMark/>
          </w:tcPr>
          <w:p w:rsidR="008B2747" w:rsidRPr="00FA3856" w:rsidRDefault="008B2747" w:rsidP="00E724E3">
            <w:pPr>
              <w:pStyle w:val="NormalWeb"/>
              <w:spacing w:before="0" w:after="0"/>
              <w:jc w:val="right"/>
              <w:rPr>
                <w:rFonts w:ascii="Times New Roman" w:hAnsi="Times New Roman" w:cs="Times New Roman"/>
                <w:szCs w:val="20"/>
              </w:rPr>
            </w:pPr>
            <w:r w:rsidRPr="00FA3856">
              <w:rPr>
                <w:rFonts w:ascii="Times New Roman" w:hAnsi="Times New Roman" w:cs="Times New Roman"/>
                <w:szCs w:val="20"/>
              </w:rPr>
              <w:t>201.600,00</w:t>
            </w:r>
          </w:p>
        </w:tc>
      </w:tr>
    </w:tbl>
    <w:p w:rsidR="00E724E3" w:rsidRPr="00FA3856" w:rsidRDefault="00E724E3" w:rsidP="007B28E6">
      <w:pPr>
        <w:pStyle w:val="NormalWeb"/>
        <w:spacing w:before="0" w:after="0"/>
        <w:jc w:val="both"/>
        <w:rPr>
          <w:rFonts w:ascii="Times New Roman" w:hAnsi="Times New Roman" w:cs="Times New Roman"/>
          <w:szCs w:val="20"/>
        </w:rPr>
      </w:pPr>
    </w:p>
    <w:p w:rsidR="008B2747" w:rsidRPr="00FA3856" w:rsidRDefault="008B2747" w:rsidP="007B28E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lastRenderedPageBreak/>
        <w:t>Atividade Isenta:</w:t>
      </w:r>
    </w:p>
    <w:p w:rsidR="00E724E3" w:rsidRPr="00FA3856" w:rsidRDefault="00B85BAD" w:rsidP="007B28E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xml:space="preserve">Adicional da Linha </w:t>
      </w:r>
      <w:r w:rsidR="00E724E3" w:rsidRPr="00FA3856">
        <w:rPr>
          <w:rFonts w:ascii="Times New Roman" w:hAnsi="Times New Roman" w:cs="Times New Roman"/>
          <w:szCs w:val="20"/>
        </w:rPr>
        <w:t>N610/03 = (R$ 100.000,00 x R$ 201.600,00)/(R$ 2.256.000,00) = R$ 8.936,17</w:t>
      </w:r>
    </w:p>
    <w:p w:rsidR="00E724E3" w:rsidRPr="00FA3856" w:rsidRDefault="00E724E3" w:rsidP="007B28E6">
      <w:pPr>
        <w:pStyle w:val="NormalWeb"/>
        <w:spacing w:before="0" w:after="0"/>
        <w:jc w:val="both"/>
        <w:rPr>
          <w:rFonts w:ascii="Times New Roman" w:hAnsi="Times New Roman" w:cs="Times New Roman"/>
          <w:szCs w:val="20"/>
        </w:rPr>
      </w:pPr>
    </w:p>
    <w:p w:rsidR="00E724E3" w:rsidRPr="00FA3856" w:rsidRDefault="00E724E3" w:rsidP="007B28E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Atividade com Redução de 33,33%:</w:t>
      </w:r>
    </w:p>
    <w:p w:rsidR="00E724E3" w:rsidRPr="00FA3856" w:rsidRDefault="00B85BAD" w:rsidP="007B28E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xml:space="preserve">Adicional da Linha </w:t>
      </w:r>
      <w:r w:rsidR="00E724E3" w:rsidRPr="00FA3856">
        <w:rPr>
          <w:rFonts w:ascii="Times New Roman" w:hAnsi="Times New Roman" w:cs="Times New Roman"/>
          <w:szCs w:val="20"/>
        </w:rPr>
        <w:t xml:space="preserve">N610/63 = (R$ 200.000,00 + </w:t>
      </w:r>
      <w:r w:rsidR="00861C00" w:rsidRPr="00FA3856">
        <w:rPr>
          <w:rFonts w:ascii="Times New Roman" w:hAnsi="Times New Roman" w:cs="Times New Roman"/>
          <w:szCs w:val="20"/>
        </w:rPr>
        <w:t>R$ 201.600,00)/(R$ 2.256.000,00) = R$ 17.872,34</w:t>
      </w:r>
    </w:p>
    <w:p w:rsidR="008B2747" w:rsidRPr="00FA3856" w:rsidRDefault="008B2747" w:rsidP="007B28E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p w:rsidR="008B2747" w:rsidRPr="00FA3856" w:rsidRDefault="008B2747" w:rsidP="007B28E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r w:rsidRPr="00FA3856">
        <w:rPr>
          <w:rFonts w:ascii="Times New Roman" w:hAnsi="Times New Roman" w:cs="Times New Roman"/>
          <w:b/>
          <w:bCs/>
          <w:szCs w:val="20"/>
        </w:rPr>
        <w:t xml:space="preserve">Linha </w:t>
      </w:r>
      <w:r w:rsidR="00861C00" w:rsidRPr="00FA3856">
        <w:rPr>
          <w:rFonts w:ascii="Times New Roman" w:hAnsi="Times New Roman" w:cs="Times New Roman"/>
          <w:b/>
          <w:bCs/>
          <w:szCs w:val="20"/>
        </w:rPr>
        <w:t>N6</w:t>
      </w:r>
      <w:r w:rsidRPr="00FA3856">
        <w:rPr>
          <w:rFonts w:ascii="Times New Roman" w:hAnsi="Times New Roman" w:cs="Times New Roman"/>
          <w:b/>
          <w:bCs/>
          <w:szCs w:val="20"/>
        </w:rPr>
        <w:t>10/77 - REDUÇÃO POR REINVESTIMENTO</w:t>
      </w:r>
    </w:p>
    <w:p w:rsidR="00861C00" w:rsidRPr="00FA3856" w:rsidRDefault="00861C00" w:rsidP="007B28E6">
      <w:pPr>
        <w:pStyle w:val="NormalWeb"/>
        <w:spacing w:before="0" w:after="0"/>
        <w:jc w:val="both"/>
        <w:rPr>
          <w:rFonts w:ascii="Times New Roman" w:hAnsi="Times New Roman" w:cs="Times New Roman"/>
          <w:szCs w:val="20"/>
        </w:rPr>
      </w:pPr>
    </w:p>
    <w:p w:rsidR="008B2747" w:rsidRPr="00FA3856" w:rsidRDefault="008B2747" w:rsidP="00861C00">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As empresas que tenham empreendimentos industriais e agroindustriais, inclusive os de construção civil (Lei n</w:t>
      </w:r>
      <w:r w:rsidRPr="00FA3856">
        <w:rPr>
          <w:rFonts w:ascii="Times New Roman" w:hAnsi="Times New Roman" w:cs="Times New Roman"/>
          <w:strike/>
          <w:szCs w:val="20"/>
        </w:rPr>
        <w:t>º</w:t>
      </w:r>
      <w:r w:rsidRPr="00FA3856">
        <w:rPr>
          <w:rFonts w:ascii="Times New Roman" w:hAnsi="Times New Roman" w:cs="Times New Roman"/>
          <w:szCs w:val="20"/>
        </w:rPr>
        <w:t xml:space="preserve"> 8.167, de 1991, art. 19, e Lei n</w:t>
      </w:r>
      <w:r w:rsidRPr="00FA3856">
        <w:rPr>
          <w:rFonts w:ascii="Times New Roman" w:hAnsi="Times New Roman" w:cs="Times New Roman"/>
          <w:strike/>
          <w:szCs w:val="20"/>
        </w:rPr>
        <w:t>º</w:t>
      </w:r>
      <w:r w:rsidRPr="00FA3856">
        <w:rPr>
          <w:rFonts w:ascii="Times New Roman" w:hAnsi="Times New Roman" w:cs="Times New Roman"/>
          <w:szCs w:val="20"/>
        </w:rPr>
        <w:t xml:space="preserve"> 8.191, de 1991, art. 4</w:t>
      </w:r>
      <w:r w:rsidRPr="00FA3856">
        <w:rPr>
          <w:rFonts w:ascii="Times New Roman" w:hAnsi="Times New Roman" w:cs="Times New Roman"/>
          <w:strike/>
          <w:szCs w:val="20"/>
        </w:rPr>
        <w:t>º</w:t>
      </w:r>
      <w:r w:rsidRPr="00FA3856">
        <w:rPr>
          <w:rFonts w:ascii="Times New Roman" w:hAnsi="Times New Roman" w:cs="Times New Roman"/>
          <w:szCs w:val="20"/>
        </w:rPr>
        <w:t>), em operação nas áreas de atuação da Sudam e da Sudene podem depositar no Banco da Amazônia S/A ou no Banco do Nordeste do Brasil S/A, para reinvestimento, 30% (trinta por cento) do valor do imposto devido, exceto adicional, pelos referidos empreendimentos, calculado sobre o lucro da exploração, acrescido de 50% (cinquenta por cento) de recursos próprios, ficando, porém, a liberação desses recursos condicionada à aprovação, pelas Agências do Desenvolvimento Regional, dos respectivos projetos técnico-econômicos de modernização ou com</w:t>
      </w:r>
      <w:bookmarkStart w:id="219" w:name="BM10/01"/>
      <w:bookmarkStart w:id="220" w:name="BM10/06"/>
      <w:bookmarkStart w:id="221" w:name="BM10/11"/>
      <w:bookmarkStart w:id="222" w:name="BM10/16"/>
      <w:bookmarkStart w:id="223" w:name="BM10/21"/>
      <w:bookmarkStart w:id="224" w:name="BM10/26"/>
      <w:bookmarkStart w:id="225" w:name="BM10/31"/>
      <w:bookmarkStart w:id="226" w:name="BM10/36"/>
      <w:bookmarkStart w:id="227" w:name="BM10/41"/>
      <w:bookmarkStart w:id="228" w:name="BM10/46"/>
      <w:bookmarkStart w:id="229" w:name="BM10/51"/>
      <w:bookmarkStart w:id="230" w:name="BM10/56"/>
      <w:bookmarkStart w:id="231" w:name="BM10/61"/>
      <w:bookmarkStart w:id="232" w:name="BM10/66"/>
      <w:bookmarkStart w:id="233" w:name="BM10/71"/>
      <w:bookmarkStart w:id="234" w:name="BM10/03"/>
      <w:bookmarkStart w:id="235" w:name="BM10/08"/>
      <w:bookmarkStart w:id="236" w:name="BM10/13"/>
      <w:bookmarkStart w:id="237" w:name="BM10/18"/>
      <w:bookmarkStart w:id="238" w:name="BM10/23"/>
      <w:bookmarkStart w:id="239" w:name="BM10/28"/>
      <w:bookmarkStart w:id="240" w:name="BM10/33"/>
      <w:bookmarkStart w:id="241" w:name="BM10/38"/>
      <w:bookmarkStart w:id="242" w:name="BM10/43"/>
      <w:bookmarkStart w:id="243" w:name="BM10/48"/>
      <w:bookmarkStart w:id="244" w:name="BM10/53"/>
      <w:bookmarkStart w:id="245" w:name="BM10/58"/>
      <w:bookmarkStart w:id="246" w:name="BM10/63"/>
      <w:bookmarkStart w:id="247" w:name="BM10/68"/>
      <w:bookmarkStart w:id="248" w:name="BM10/73"/>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r w:rsidRPr="00FA3856">
        <w:rPr>
          <w:rFonts w:ascii="Times New Roman" w:hAnsi="Times New Roman" w:cs="Times New Roman"/>
          <w:szCs w:val="20"/>
        </w:rPr>
        <w:t>plementação de equipamento.</w:t>
      </w:r>
    </w:p>
    <w:p w:rsidR="00861C00" w:rsidRPr="00FA3856" w:rsidRDefault="00861C00" w:rsidP="007B28E6">
      <w:pPr>
        <w:pStyle w:val="NormalWeb"/>
        <w:spacing w:before="0" w:after="0"/>
        <w:jc w:val="both"/>
        <w:rPr>
          <w:rFonts w:ascii="Times New Roman" w:hAnsi="Times New Roman" w:cs="Times New Roman"/>
          <w:szCs w:val="20"/>
        </w:rPr>
      </w:pPr>
    </w:p>
    <w:p w:rsidR="008B2747" w:rsidRPr="00FA3856" w:rsidRDefault="008B2747" w:rsidP="00861C00">
      <w:pPr>
        <w:pStyle w:val="NormalWeb"/>
        <w:spacing w:before="0" w:after="0"/>
        <w:ind w:firstLine="528"/>
        <w:jc w:val="both"/>
        <w:rPr>
          <w:rFonts w:ascii="Times New Roman" w:hAnsi="Times New Roman" w:cs="Times New Roman"/>
          <w:szCs w:val="20"/>
        </w:rPr>
      </w:pPr>
      <w:r w:rsidRPr="00FA3856">
        <w:rPr>
          <w:rFonts w:ascii="Times New Roman" w:hAnsi="Times New Roman" w:cs="Times New Roman"/>
          <w:szCs w:val="20"/>
        </w:rPr>
        <w:t>Os incentivos de redução do imposto por reinvestimento podem ser utilizados somente em relação aos empreendimentos dos setores da economia considerados em ato do Poder Executivo prioritários para o desenvolvimento regional.</w:t>
      </w:r>
    </w:p>
    <w:p w:rsidR="00861C00" w:rsidRPr="00FA3856" w:rsidRDefault="00861C00" w:rsidP="007B28E6">
      <w:pPr>
        <w:pStyle w:val="NormalWeb"/>
        <w:spacing w:before="0" w:after="0"/>
        <w:ind w:left="528"/>
        <w:jc w:val="both"/>
        <w:rPr>
          <w:rFonts w:ascii="Times New Roman" w:hAnsi="Times New Roman" w:cs="Times New Roman"/>
          <w:b/>
          <w:bCs/>
          <w:szCs w:val="20"/>
        </w:rPr>
      </w:pPr>
    </w:p>
    <w:p w:rsidR="008B2747" w:rsidRPr="00FA3856" w:rsidRDefault="008B2747" w:rsidP="00861C00">
      <w:pPr>
        <w:pStyle w:val="NormalWeb"/>
        <w:spacing w:before="0" w:after="0"/>
        <w:ind w:left="528"/>
        <w:jc w:val="both"/>
        <w:rPr>
          <w:rFonts w:ascii="Times New Roman" w:hAnsi="Times New Roman" w:cs="Times New Roman"/>
          <w:szCs w:val="20"/>
        </w:rPr>
      </w:pPr>
      <w:r w:rsidRPr="00FA3856">
        <w:rPr>
          <w:rFonts w:ascii="Times New Roman" w:hAnsi="Times New Roman" w:cs="Times New Roman"/>
          <w:b/>
          <w:bCs/>
          <w:szCs w:val="20"/>
        </w:rPr>
        <w:t>Atenção:</w:t>
      </w:r>
      <w:r w:rsidR="00861C00" w:rsidRPr="00FA3856">
        <w:rPr>
          <w:rFonts w:ascii="Times New Roman" w:hAnsi="Times New Roman" w:cs="Times New Roman"/>
          <w:szCs w:val="20"/>
        </w:rPr>
        <w:t xml:space="preserve"> </w:t>
      </w:r>
      <w:r w:rsidRPr="00FA3856">
        <w:rPr>
          <w:rFonts w:ascii="Times New Roman" w:hAnsi="Times New Roman" w:cs="Times New Roman"/>
          <w:szCs w:val="20"/>
        </w:rPr>
        <w:t>A pessoa jurídica que se utilizar indevidamente do benefício estará sujeita ao pagamento do imposto em relação a cada período de apuração, acrescido de juros e multa, sem prejuízo das sanções penais cabíveis.</w:t>
      </w:r>
    </w:p>
    <w:p w:rsidR="008B2747" w:rsidRPr="00FA3856" w:rsidRDefault="008B2747" w:rsidP="007B28E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p w:rsidR="008B2747" w:rsidRPr="00FA3856" w:rsidRDefault="008B2747" w:rsidP="00861C00">
      <w:pPr>
        <w:pStyle w:val="NormalWeb"/>
        <w:spacing w:before="0" w:after="0"/>
        <w:ind w:firstLine="528"/>
        <w:jc w:val="both"/>
        <w:rPr>
          <w:rFonts w:ascii="Times New Roman" w:hAnsi="Times New Roman" w:cs="Times New Roman"/>
          <w:szCs w:val="20"/>
        </w:rPr>
      </w:pPr>
      <w:r w:rsidRPr="00FA3856">
        <w:rPr>
          <w:rFonts w:ascii="Times New Roman" w:hAnsi="Times New Roman" w:cs="Times New Roman"/>
          <w:szCs w:val="20"/>
        </w:rPr>
        <w:t>O valor decorrente da redução por reinvestimento deve ser indicado nesta linha.</w:t>
      </w:r>
    </w:p>
    <w:p w:rsidR="00861C00" w:rsidRPr="00FA3856" w:rsidRDefault="00861C00" w:rsidP="00861C00">
      <w:pPr>
        <w:pStyle w:val="NormalWeb"/>
        <w:spacing w:before="0" w:after="0"/>
        <w:ind w:firstLine="528"/>
        <w:jc w:val="both"/>
        <w:rPr>
          <w:rFonts w:ascii="Times New Roman" w:hAnsi="Times New Roman" w:cs="Times New Roman"/>
          <w:szCs w:val="20"/>
        </w:rPr>
      </w:pPr>
    </w:p>
    <w:p w:rsidR="008B2747" w:rsidRPr="00FA3856" w:rsidRDefault="008B2747" w:rsidP="00861C00">
      <w:pPr>
        <w:pStyle w:val="NormalWeb"/>
        <w:spacing w:before="0" w:after="0"/>
        <w:ind w:firstLine="528"/>
        <w:jc w:val="both"/>
        <w:rPr>
          <w:rFonts w:ascii="Times New Roman" w:hAnsi="Times New Roman" w:cs="Times New Roman"/>
          <w:szCs w:val="20"/>
        </w:rPr>
      </w:pPr>
      <w:r w:rsidRPr="00FA3856">
        <w:rPr>
          <w:rFonts w:ascii="Times New Roman" w:hAnsi="Times New Roman" w:cs="Times New Roman"/>
          <w:szCs w:val="20"/>
        </w:rPr>
        <w:t>Esse incentivo não pode ser usufruído cumulativamente com outros idênticos, salvo quando expressamente autorizado em Lei.</w:t>
      </w:r>
    </w:p>
    <w:p w:rsidR="00861C00" w:rsidRPr="00FA3856" w:rsidRDefault="00861C00" w:rsidP="007B28E6">
      <w:pPr>
        <w:pStyle w:val="NormalWeb"/>
        <w:spacing w:before="0" w:after="0"/>
        <w:ind w:left="528"/>
        <w:jc w:val="both"/>
        <w:rPr>
          <w:rFonts w:ascii="Times New Roman" w:hAnsi="Times New Roman" w:cs="Times New Roman"/>
          <w:b/>
          <w:bCs/>
          <w:szCs w:val="20"/>
        </w:rPr>
      </w:pPr>
    </w:p>
    <w:p w:rsidR="008B2747" w:rsidRPr="00FA3856" w:rsidRDefault="008B2747" w:rsidP="00861C00">
      <w:pPr>
        <w:pStyle w:val="NormalWeb"/>
        <w:spacing w:before="0" w:after="0"/>
        <w:ind w:left="528"/>
        <w:jc w:val="both"/>
        <w:rPr>
          <w:rFonts w:ascii="Times New Roman" w:hAnsi="Times New Roman" w:cs="Times New Roman"/>
          <w:szCs w:val="20"/>
        </w:rPr>
      </w:pPr>
      <w:r w:rsidRPr="00FA3856">
        <w:rPr>
          <w:rFonts w:ascii="Times New Roman" w:hAnsi="Times New Roman" w:cs="Times New Roman"/>
          <w:b/>
          <w:bCs/>
          <w:szCs w:val="20"/>
        </w:rPr>
        <w:t>Atenção</w:t>
      </w:r>
      <w:r w:rsidRPr="00FA3856">
        <w:rPr>
          <w:rStyle w:val="Forte"/>
          <w:rFonts w:ascii="Times New Roman" w:hAnsi="Times New Roman" w:cs="Times New Roman"/>
          <w:szCs w:val="20"/>
        </w:rPr>
        <w:t>:</w:t>
      </w:r>
      <w:r w:rsidR="00861C00" w:rsidRPr="00FA3856">
        <w:rPr>
          <w:rFonts w:ascii="Times New Roman" w:hAnsi="Times New Roman" w:cs="Times New Roman"/>
          <w:szCs w:val="20"/>
        </w:rPr>
        <w:t xml:space="preserve"> </w:t>
      </w:r>
      <w:r w:rsidRPr="00FA3856">
        <w:rPr>
          <w:rFonts w:ascii="Times New Roman" w:hAnsi="Times New Roman" w:cs="Times New Roman"/>
          <w:szCs w:val="20"/>
        </w:rPr>
        <w:t>A pessoa jurídica não pode optar pela apl</w:t>
      </w:r>
      <w:r w:rsidR="00861C00" w:rsidRPr="00FA3856">
        <w:rPr>
          <w:rFonts w:ascii="Times New Roman" w:hAnsi="Times New Roman" w:cs="Times New Roman"/>
          <w:szCs w:val="20"/>
        </w:rPr>
        <w:t xml:space="preserve">icação em incentivos regionais (Registro N615) </w:t>
      </w:r>
      <w:r w:rsidRPr="00FA3856">
        <w:rPr>
          <w:rFonts w:ascii="Times New Roman" w:hAnsi="Times New Roman" w:cs="Times New Roman"/>
          <w:szCs w:val="20"/>
        </w:rPr>
        <w:t>do valor do imposto de renda que serviu de base para o cálculo do incentivo fiscal previsto nesta linha.</w:t>
      </w:r>
    </w:p>
    <w:p w:rsidR="008B2747" w:rsidRPr="00FA3856" w:rsidRDefault="008B2747" w:rsidP="007B28E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p w:rsidR="008B2747" w:rsidRPr="00FA3856" w:rsidRDefault="008B2747" w:rsidP="007B28E6">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t>Exemplo de Cálculo da Redução por Reinvestimento</w:t>
      </w:r>
      <w:r w:rsidR="00861C00" w:rsidRPr="00FA3856">
        <w:rPr>
          <w:rFonts w:ascii="Times New Roman" w:hAnsi="Times New Roman" w:cs="Times New Roman"/>
          <w:szCs w:val="20"/>
        </w:rPr>
        <w:t xml:space="preserve">: </w:t>
      </w:r>
      <w:r w:rsidRPr="00FA3856">
        <w:rPr>
          <w:rFonts w:ascii="Times New Roman" w:hAnsi="Times New Roman" w:cs="Times New Roman"/>
          <w:szCs w:val="20"/>
        </w:rPr>
        <w:t>A pessoa jurídica desenvolve atividades beneficiadas com isenção e redução de 75% (setenta e cinco por cento) do imposto. As atividades também estão amparadas com o incentivo de redução por reinvestimento. Assim temos:</w:t>
      </w:r>
    </w:p>
    <w:p w:rsidR="00C2697F" w:rsidRPr="00FA3856" w:rsidRDefault="00C2697F" w:rsidP="007B28E6">
      <w:pPr>
        <w:pStyle w:val="NormalWeb"/>
        <w:spacing w:before="0" w:after="0"/>
        <w:jc w:val="both"/>
        <w:rPr>
          <w:rFonts w:ascii="Times New Roman" w:hAnsi="Times New Roman" w:cs="Times New Roman"/>
          <w:szCs w:val="20"/>
        </w:rPr>
      </w:pPr>
    </w:p>
    <w:p w:rsidR="00775EF4" w:rsidRPr="00FA3856" w:rsidRDefault="00775EF4" w:rsidP="007B28E6">
      <w:pPr>
        <w:pStyle w:val="NormalWeb"/>
        <w:spacing w:before="0" w:after="0"/>
        <w:jc w:val="both"/>
        <w:rPr>
          <w:rFonts w:ascii="Times New Roman" w:hAnsi="Times New Roman" w:cs="Times New Roman"/>
          <w:szCs w:val="20"/>
        </w:rPr>
      </w:pPr>
    </w:p>
    <w:p w:rsidR="008B2747" w:rsidRPr="00FA3856" w:rsidRDefault="008B2747" w:rsidP="007B28E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Lucro da Exploração de Cada Atividade Incentivada:</w:t>
      </w:r>
    </w:p>
    <w:p w:rsidR="00861C00" w:rsidRPr="00FA3856" w:rsidRDefault="00861C00" w:rsidP="007B28E6">
      <w:pPr>
        <w:pStyle w:val="NormalWeb"/>
        <w:spacing w:before="0" w:after="0"/>
        <w:jc w:val="both"/>
        <w:rPr>
          <w:rFonts w:ascii="Times New Roman" w:hAnsi="Times New Roman" w:cs="Times New Roman"/>
          <w:szCs w:val="20"/>
        </w:rPr>
      </w:pPr>
    </w:p>
    <w:tbl>
      <w:tblPr>
        <w:tblW w:w="6860"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500"/>
        <w:gridCol w:w="360"/>
        <w:gridCol w:w="1000"/>
      </w:tblGrid>
      <w:tr w:rsidR="008B2747" w:rsidRPr="00FA3856" w:rsidTr="00861C00">
        <w:trPr>
          <w:tblCellSpacing w:w="0" w:type="dxa"/>
          <w:jc w:val="center"/>
        </w:trPr>
        <w:tc>
          <w:tcPr>
            <w:tcW w:w="5500" w:type="dxa"/>
            <w:vAlign w:val="center"/>
            <w:hideMark/>
          </w:tcPr>
          <w:p w:rsidR="008B2747" w:rsidRPr="00FA3856" w:rsidRDefault="00AA2B85" w:rsidP="007B28E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Linha N600/50</w:t>
            </w:r>
            <w:r w:rsidR="00861C00" w:rsidRPr="00FA3856">
              <w:rPr>
                <w:rFonts w:ascii="Times New Roman" w:hAnsi="Times New Roman" w:cs="Times New Roman"/>
                <w:szCs w:val="20"/>
              </w:rPr>
              <w:t xml:space="preserve"> - </w:t>
            </w:r>
            <w:r w:rsidR="008B2747" w:rsidRPr="00FA3856">
              <w:rPr>
                <w:rFonts w:ascii="Times New Roman" w:hAnsi="Times New Roman" w:cs="Times New Roman"/>
                <w:szCs w:val="20"/>
              </w:rPr>
              <w:t xml:space="preserve">Atividade de </w:t>
            </w:r>
            <w:r w:rsidR="00861C00" w:rsidRPr="00FA3856">
              <w:rPr>
                <w:rFonts w:ascii="Times New Roman" w:hAnsi="Times New Roman" w:cs="Times New Roman"/>
                <w:szCs w:val="20"/>
              </w:rPr>
              <w:t>Ensino Superior Isenta - Prouni</w:t>
            </w:r>
          </w:p>
        </w:tc>
        <w:tc>
          <w:tcPr>
            <w:tcW w:w="360" w:type="dxa"/>
            <w:vAlign w:val="center"/>
            <w:hideMark/>
          </w:tcPr>
          <w:p w:rsidR="008B2747" w:rsidRPr="00FA3856" w:rsidRDefault="008B2747" w:rsidP="00861C00">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R$</w:t>
            </w:r>
          </w:p>
        </w:tc>
        <w:tc>
          <w:tcPr>
            <w:tcW w:w="1000" w:type="dxa"/>
            <w:vAlign w:val="center"/>
            <w:hideMark/>
          </w:tcPr>
          <w:p w:rsidR="008B2747" w:rsidRPr="00FA3856" w:rsidRDefault="008B2747" w:rsidP="00861C00">
            <w:pPr>
              <w:pStyle w:val="NormalWeb"/>
              <w:spacing w:before="0" w:after="0"/>
              <w:jc w:val="right"/>
              <w:rPr>
                <w:rFonts w:ascii="Times New Roman" w:hAnsi="Times New Roman" w:cs="Times New Roman"/>
                <w:szCs w:val="20"/>
              </w:rPr>
            </w:pPr>
            <w:r w:rsidRPr="00FA3856">
              <w:rPr>
                <w:rFonts w:ascii="Times New Roman" w:hAnsi="Times New Roman" w:cs="Times New Roman"/>
                <w:szCs w:val="20"/>
              </w:rPr>
              <w:t>100.000,00</w:t>
            </w:r>
          </w:p>
        </w:tc>
      </w:tr>
      <w:tr w:rsidR="008B2747" w:rsidRPr="00FA3856" w:rsidTr="00861C00">
        <w:trPr>
          <w:tblCellSpacing w:w="0" w:type="dxa"/>
          <w:jc w:val="center"/>
        </w:trPr>
        <w:tc>
          <w:tcPr>
            <w:tcW w:w="5500" w:type="dxa"/>
            <w:vAlign w:val="center"/>
            <w:hideMark/>
          </w:tcPr>
          <w:p w:rsidR="008B2747" w:rsidRPr="00FA3856" w:rsidRDefault="00AA2B85" w:rsidP="007B28E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Linha N600/59</w:t>
            </w:r>
            <w:r w:rsidR="00861C00" w:rsidRPr="00FA3856">
              <w:rPr>
                <w:rFonts w:ascii="Times New Roman" w:hAnsi="Times New Roman" w:cs="Times New Roman"/>
                <w:szCs w:val="20"/>
              </w:rPr>
              <w:t xml:space="preserve"> - Atividade com</w:t>
            </w:r>
            <w:r w:rsidR="008B2747" w:rsidRPr="00FA3856">
              <w:rPr>
                <w:rFonts w:ascii="Times New Roman" w:hAnsi="Times New Roman" w:cs="Times New Roman"/>
                <w:szCs w:val="20"/>
              </w:rPr>
              <w:t xml:space="preserve"> Redução </w:t>
            </w:r>
            <w:r w:rsidR="00861C00" w:rsidRPr="00FA3856">
              <w:rPr>
                <w:rFonts w:ascii="Times New Roman" w:hAnsi="Times New Roman" w:cs="Times New Roman"/>
                <w:szCs w:val="20"/>
              </w:rPr>
              <w:t>de 75%</w:t>
            </w:r>
          </w:p>
        </w:tc>
        <w:tc>
          <w:tcPr>
            <w:tcW w:w="360" w:type="dxa"/>
            <w:vAlign w:val="center"/>
            <w:hideMark/>
          </w:tcPr>
          <w:p w:rsidR="008B2747" w:rsidRPr="00FA3856" w:rsidRDefault="008B2747" w:rsidP="00861C00">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R$</w:t>
            </w:r>
          </w:p>
        </w:tc>
        <w:tc>
          <w:tcPr>
            <w:tcW w:w="1000" w:type="dxa"/>
            <w:vAlign w:val="center"/>
            <w:hideMark/>
          </w:tcPr>
          <w:p w:rsidR="008B2747" w:rsidRPr="00FA3856" w:rsidRDefault="008B2747" w:rsidP="00861C00">
            <w:pPr>
              <w:pStyle w:val="NormalWeb"/>
              <w:spacing w:before="0" w:after="0"/>
              <w:jc w:val="right"/>
              <w:rPr>
                <w:rFonts w:ascii="Times New Roman" w:hAnsi="Times New Roman" w:cs="Times New Roman"/>
                <w:szCs w:val="20"/>
              </w:rPr>
            </w:pPr>
            <w:r w:rsidRPr="00FA3856">
              <w:rPr>
                <w:rFonts w:ascii="Times New Roman" w:hAnsi="Times New Roman" w:cs="Times New Roman"/>
                <w:szCs w:val="20"/>
              </w:rPr>
              <w:t>160.000,00</w:t>
            </w:r>
          </w:p>
        </w:tc>
      </w:tr>
      <w:tr w:rsidR="008B2747" w:rsidRPr="00FA3856" w:rsidTr="00861C00">
        <w:trPr>
          <w:tblCellSpacing w:w="0" w:type="dxa"/>
          <w:jc w:val="center"/>
        </w:trPr>
        <w:tc>
          <w:tcPr>
            <w:tcW w:w="5500" w:type="dxa"/>
            <w:vAlign w:val="center"/>
            <w:hideMark/>
          </w:tcPr>
          <w:p w:rsidR="008B2747" w:rsidRPr="00FA3856" w:rsidRDefault="00AA2B85" w:rsidP="007B28E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Linha N600/65</w:t>
            </w:r>
            <w:r w:rsidR="00861C00" w:rsidRPr="00FA3856">
              <w:rPr>
                <w:rFonts w:ascii="Times New Roman" w:hAnsi="Times New Roman" w:cs="Times New Roman"/>
                <w:szCs w:val="20"/>
              </w:rPr>
              <w:t xml:space="preserve"> - Atividade com Redução por Reinvestimento</w:t>
            </w:r>
          </w:p>
        </w:tc>
        <w:tc>
          <w:tcPr>
            <w:tcW w:w="360" w:type="dxa"/>
            <w:vAlign w:val="center"/>
            <w:hideMark/>
          </w:tcPr>
          <w:p w:rsidR="008B2747" w:rsidRPr="00FA3856" w:rsidRDefault="008B2747" w:rsidP="00861C00">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R$</w:t>
            </w:r>
          </w:p>
        </w:tc>
        <w:tc>
          <w:tcPr>
            <w:tcW w:w="1000" w:type="dxa"/>
            <w:vAlign w:val="center"/>
            <w:hideMark/>
          </w:tcPr>
          <w:p w:rsidR="008B2747" w:rsidRPr="00FA3856" w:rsidRDefault="008B2747" w:rsidP="00861C00">
            <w:pPr>
              <w:pStyle w:val="NormalWeb"/>
              <w:spacing w:before="0" w:after="0"/>
              <w:jc w:val="right"/>
              <w:rPr>
                <w:rFonts w:ascii="Times New Roman" w:hAnsi="Times New Roman" w:cs="Times New Roman"/>
                <w:szCs w:val="20"/>
              </w:rPr>
            </w:pPr>
            <w:r w:rsidRPr="00FA3856">
              <w:rPr>
                <w:rFonts w:ascii="Times New Roman" w:hAnsi="Times New Roman" w:cs="Times New Roman"/>
                <w:szCs w:val="20"/>
              </w:rPr>
              <w:t>70.000,00</w:t>
            </w:r>
          </w:p>
        </w:tc>
      </w:tr>
    </w:tbl>
    <w:p w:rsidR="0036222A" w:rsidRPr="00FA3856" w:rsidRDefault="0036222A" w:rsidP="007B28E6">
      <w:pPr>
        <w:pStyle w:val="NormalWeb"/>
        <w:spacing w:before="0" w:after="0"/>
        <w:jc w:val="both"/>
        <w:rPr>
          <w:rFonts w:ascii="Times New Roman" w:hAnsi="Times New Roman" w:cs="Times New Roman"/>
          <w:szCs w:val="20"/>
        </w:rPr>
      </w:pPr>
    </w:p>
    <w:p w:rsidR="00C2697F" w:rsidRPr="00FA3856" w:rsidRDefault="00C2697F" w:rsidP="007B28E6">
      <w:pPr>
        <w:pStyle w:val="NormalWeb"/>
        <w:spacing w:before="0" w:after="0"/>
        <w:jc w:val="both"/>
        <w:rPr>
          <w:rFonts w:ascii="Times New Roman" w:hAnsi="Times New Roman" w:cs="Times New Roman"/>
          <w:szCs w:val="20"/>
        </w:rPr>
      </w:pPr>
    </w:p>
    <w:p w:rsidR="00C2697F" w:rsidRPr="00FA3856" w:rsidRDefault="00C2697F" w:rsidP="007B28E6">
      <w:pPr>
        <w:pStyle w:val="NormalWeb"/>
        <w:spacing w:before="0" w:after="0"/>
        <w:jc w:val="both"/>
        <w:rPr>
          <w:rFonts w:ascii="Times New Roman" w:hAnsi="Times New Roman" w:cs="Times New Roman"/>
          <w:szCs w:val="20"/>
        </w:rPr>
      </w:pPr>
    </w:p>
    <w:p w:rsidR="00C2697F" w:rsidRPr="00FA3856" w:rsidRDefault="00C2697F" w:rsidP="007B28E6">
      <w:pPr>
        <w:pStyle w:val="NormalWeb"/>
        <w:spacing w:before="0" w:after="0"/>
        <w:jc w:val="both"/>
        <w:rPr>
          <w:rFonts w:ascii="Times New Roman" w:hAnsi="Times New Roman" w:cs="Times New Roman"/>
          <w:szCs w:val="20"/>
        </w:rPr>
      </w:pPr>
    </w:p>
    <w:p w:rsidR="00C2697F" w:rsidRPr="00FA3856" w:rsidRDefault="00C2697F" w:rsidP="007B28E6">
      <w:pPr>
        <w:pStyle w:val="NormalWeb"/>
        <w:spacing w:before="0" w:after="0"/>
        <w:jc w:val="both"/>
        <w:rPr>
          <w:rFonts w:ascii="Times New Roman" w:hAnsi="Times New Roman" w:cs="Times New Roman"/>
          <w:szCs w:val="20"/>
        </w:rPr>
      </w:pPr>
    </w:p>
    <w:p w:rsidR="008B2747" w:rsidRPr="00FA3856" w:rsidRDefault="008B2747" w:rsidP="007B28E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lastRenderedPageBreak/>
        <w:t>Imposto Devido em Cada Atividade Incentivada (alíquota de 15%):</w:t>
      </w:r>
    </w:p>
    <w:p w:rsidR="00861C00" w:rsidRPr="00FA3856" w:rsidRDefault="00861C00" w:rsidP="007B28E6">
      <w:pPr>
        <w:pStyle w:val="NormalWeb"/>
        <w:spacing w:before="0" w:after="0"/>
        <w:jc w:val="both"/>
        <w:rPr>
          <w:rFonts w:ascii="Times New Roman" w:hAnsi="Times New Roman" w:cs="Times New Roman"/>
          <w:szCs w:val="20"/>
        </w:rPr>
      </w:pPr>
    </w:p>
    <w:tbl>
      <w:tblPr>
        <w:tblW w:w="8855"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72"/>
        <w:gridCol w:w="2294"/>
        <w:gridCol w:w="1745"/>
        <w:gridCol w:w="2844"/>
      </w:tblGrid>
      <w:tr w:rsidR="008B2747" w:rsidRPr="00FA3856" w:rsidTr="00861C00">
        <w:trPr>
          <w:tblCellSpacing w:w="0" w:type="dxa"/>
          <w:jc w:val="center"/>
        </w:trPr>
        <w:tc>
          <w:tcPr>
            <w:tcW w:w="1972" w:type="dxa"/>
            <w:vAlign w:val="center"/>
            <w:hideMark/>
          </w:tcPr>
          <w:p w:rsidR="008B2747" w:rsidRPr="00FA3856" w:rsidRDefault="008B2747" w:rsidP="007B28E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Imposto</w:t>
            </w:r>
          </w:p>
        </w:tc>
        <w:tc>
          <w:tcPr>
            <w:tcW w:w="2294" w:type="dxa"/>
            <w:vAlign w:val="center"/>
            <w:hideMark/>
          </w:tcPr>
          <w:p w:rsidR="008B2747" w:rsidRPr="00FA3856" w:rsidRDefault="008B2747" w:rsidP="007B28E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Sobre Lucro da Exploração</w:t>
            </w:r>
          </w:p>
        </w:tc>
        <w:tc>
          <w:tcPr>
            <w:tcW w:w="1745" w:type="dxa"/>
            <w:vAlign w:val="center"/>
            <w:hideMark/>
          </w:tcPr>
          <w:p w:rsidR="008B2747" w:rsidRPr="00FA3856" w:rsidRDefault="008B2747" w:rsidP="007B28E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Passível de Redução</w:t>
            </w:r>
          </w:p>
        </w:tc>
        <w:tc>
          <w:tcPr>
            <w:tcW w:w="2844" w:type="dxa"/>
            <w:vAlign w:val="center"/>
            <w:hideMark/>
          </w:tcPr>
          <w:p w:rsidR="008B2747" w:rsidRPr="00FA3856" w:rsidRDefault="008B2747" w:rsidP="007B28E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Devido sobre Ativid. Incentivadas</w:t>
            </w:r>
          </w:p>
        </w:tc>
      </w:tr>
      <w:tr w:rsidR="008B2747" w:rsidRPr="00FA3856" w:rsidTr="00861C00">
        <w:trPr>
          <w:tblCellSpacing w:w="0" w:type="dxa"/>
          <w:jc w:val="center"/>
        </w:trPr>
        <w:tc>
          <w:tcPr>
            <w:tcW w:w="1972" w:type="dxa"/>
            <w:vAlign w:val="center"/>
            <w:hideMark/>
          </w:tcPr>
          <w:p w:rsidR="008B2747" w:rsidRPr="00FA3856" w:rsidRDefault="00861C00" w:rsidP="007B28E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Ativ. Isenta – Prouni</w:t>
            </w:r>
          </w:p>
        </w:tc>
        <w:tc>
          <w:tcPr>
            <w:tcW w:w="2294" w:type="dxa"/>
            <w:vAlign w:val="center"/>
            <w:hideMark/>
          </w:tcPr>
          <w:p w:rsidR="008B2747" w:rsidRPr="00FA3856" w:rsidRDefault="008B2747" w:rsidP="00861C00">
            <w:pPr>
              <w:pStyle w:val="NormalWeb"/>
              <w:spacing w:before="0" w:after="0"/>
              <w:jc w:val="right"/>
              <w:rPr>
                <w:rFonts w:ascii="Times New Roman" w:hAnsi="Times New Roman" w:cs="Times New Roman"/>
                <w:szCs w:val="20"/>
              </w:rPr>
            </w:pPr>
            <w:r w:rsidRPr="00FA3856">
              <w:rPr>
                <w:rFonts w:ascii="Times New Roman" w:hAnsi="Times New Roman" w:cs="Times New Roman"/>
                <w:szCs w:val="20"/>
              </w:rPr>
              <w:t>R$15.000,00</w:t>
            </w:r>
          </w:p>
        </w:tc>
        <w:tc>
          <w:tcPr>
            <w:tcW w:w="1745" w:type="dxa"/>
            <w:vAlign w:val="center"/>
            <w:hideMark/>
          </w:tcPr>
          <w:p w:rsidR="008B2747" w:rsidRPr="00FA3856" w:rsidRDefault="008B2747" w:rsidP="00861C00">
            <w:pPr>
              <w:pStyle w:val="NormalWeb"/>
              <w:spacing w:before="0" w:after="0"/>
              <w:jc w:val="right"/>
              <w:rPr>
                <w:rFonts w:ascii="Times New Roman" w:hAnsi="Times New Roman" w:cs="Times New Roman"/>
                <w:szCs w:val="20"/>
              </w:rPr>
            </w:pPr>
            <w:r w:rsidRPr="00FA3856">
              <w:rPr>
                <w:rFonts w:ascii="Times New Roman" w:hAnsi="Times New Roman" w:cs="Times New Roman"/>
                <w:szCs w:val="20"/>
              </w:rPr>
              <w:t>R$15.000,00</w:t>
            </w:r>
          </w:p>
        </w:tc>
        <w:tc>
          <w:tcPr>
            <w:tcW w:w="2844" w:type="dxa"/>
            <w:vAlign w:val="center"/>
            <w:hideMark/>
          </w:tcPr>
          <w:p w:rsidR="008B2747" w:rsidRPr="00FA3856" w:rsidRDefault="008B2747" w:rsidP="00861C00">
            <w:pPr>
              <w:pStyle w:val="NormalWeb"/>
              <w:spacing w:before="0" w:after="0"/>
              <w:jc w:val="right"/>
              <w:rPr>
                <w:rFonts w:ascii="Times New Roman" w:hAnsi="Times New Roman" w:cs="Times New Roman"/>
                <w:szCs w:val="20"/>
              </w:rPr>
            </w:pPr>
            <w:r w:rsidRPr="00FA3856">
              <w:rPr>
                <w:rFonts w:ascii="Times New Roman" w:hAnsi="Times New Roman" w:cs="Times New Roman"/>
                <w:szCs w:val="20"/>
              </w:rPr>
              <w:t>-</w:t>
            </w:r>
          </w:p>
        </w:tc>
      </w:tr>
      <w:tr w:rsidR="008B2747" w:rsidRPr="00FA3856" w:rsidTr="00861C00">
        <w:trPr>
          <w:tblCellSpacing w:w="0" w:type="dxa"/>
          <w:jc w:val="center"/>
        </w:trPr>
        <w:tc>
          <w:tcPr>
            <w:tcW w:w="1972" w:type="dxa"/>
            <w:vAlign w:val="center"/>
            <w:hideMark/>
          </w:tcPr>
          <w:p w:rsidR="008B2747" w:rsidRPr="00FA3856" w:rsidRDefault="008B2747" w:rsidP="007B28E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Ativ. c/Red. 75%: </w:t>
            </w:r>
          </w:p>
        </w:tc>
        <w:tc>
          <w:tcPr>
            <w:tcW w:w="2294" w:type="dxa"/>
            <w:vAlign w:val="center"/>
            <w:hideMark/>
          </w:tcPr>
          <w:p w:rsidR="008B2747" w:rsidRPr="00FA3856" w:rsidRDefault="008B2747" w:rsidP="00861C00">
            <w:pPr>
              <w:pStyle w:val="NormalWeb"/>
              <w:spacing w:before="0" w:after="0"/>
              <w:jc w:val="right"/>
              <w:rPr>
                <w:rFonts w:ascii="Times New Roman" w:hAnsi="Times New Roman" w:cs="Times New Roman"/>
                <w:szCs w:val="20"/>
              </w:rPr>
            </w:pPr>
            <w:r w:rsidRPr="00FA3856">
              <w:rPr>
                <w:rFonts w:ascii="Times New Roman" w:hAnsi="Times New Roman" w:cs="Times New Roman"/>
                <w:szCs w:val="20"/>
              </w:rPr>
              <w:t>R$24.000,00</w:t>
            </w:r>
          </w:p>
        </w:tc>
        <w:tc>
          <w:tcPr>
            <w:tcW w:w="1745" w:type="dxa"/>
            <w:vAlign w:val="center"/>
            <w:hideMark/>
          </w:tcPr>
          <w:p w:rsidR="008B2747" w:rsidRPr="00FA3856" w:rsidRDefault="008B2747" w:rsidP="00861C00">
            <w:pPr>
              <w:pStyle w:val="NormalWeb"/>
              <w:spacing w:before="0" w:after="0"/>
              <w:jc w:val="right"/>
              <w:rPr>
                <w:rFonts w:ascii="Times New Roman" w:hAnsi="Times New Roman" w:cs="Times New Roman"/>
                <w:szCs w:val="20"/>
              </w:rPr>
            </w:pPr>
            <w:r w:rsidRPr="00FA3856">
              <w:rPr>
                <w:rFonts w:ascii="Times New Roman" w:hAnsi="Times New Roman" w:cs="Times New Roman"/>
                <w:szCs w:val="20"/>
              </w:rPr>
              <w:t>R$18.000,00</w:t>
            </w:r>
          </w:p>
        </w:tc>
        <w:tc>
          <w:tcPr>
            <w:tcW w:w="2844" w:type="dxa"/>
            <w:vAlign w:val="center"/>
            <w:hideMark/>
          </w:tcPr>
          <w:p w:rsidR="008B2747" w:rsidRPr="00FA3856" w:rsidRDefault="008B2747" w:rsidP="00861C00">
            <w:pPr>
              <w:pStyle w:val="NormalWeb"/>
              <w:spacing w:before="0" w:after="0"/>
              <w:jc w:val="right"/>
              <w:rPr>
                <w:rFonts w:ascii="Times New Roman" w:hAnsi="Times New Roman" w:cs="Times New Roman"/>
                <w:szCs w:val="20"/>
              </w:rPr>
            </w:pPr>
            <w:r w:rsidRPr="00FA3856">
              <w:rPr>
                <w:rFonts w:ascii="Times New Roman" w:hAnsi="Times New Roman" w:cs="Times New Roman"/>
                <w:szCs w:val="20"/>
              </w:rPr>
              <w:t>R$ 6.000,00</w:t>
            </w:r>
          </w:p>
        </w:tc>
      </w:tr>
      <w:tr w:rsidR="008B2747" w:rsidRPr="00FA3856" w:rsidTr="00861C00">
        <w:trPr>
          <w:tblCellSpacing w:w="0" w:type="dxa"/>
          <w:jc w:val="center"/>
        </w:trPr>
        <w:tc>
          <w:tcPr>
            <w:tcW w:w="1972" w:type="dxa"/>
            <w:vAlign w:val="center"/>
            <w:hideMark/>
          </w:tcPr>
          <w:p w:rsidR="008B2747" w:rsidRPr="00FA3856" w:rsidRDefault="008B2747" w:rsidP="007B28E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Ativ. com Red. Reinv.:</w:t>
            </w:r>
          </w:p>
        </w:tc>
        <w:tc>
          <w:tcPr>
            <w:tcW w:w="2294" w:type="dxa"/>
            <w:vAlign w:val="center"/>
            <w:hideMark/>
          </w:tcPr>
          <w:p w:rsidR="008B2747" w:rsidRPr="00FA3856" w:rsidRDefault="008B2747" w:rsidP="00861C00">
            <w:pPr>
              <w:pStyle w:val="NormalWeb"/>
              <w:spacing w:before="0" w:after="0"/>
              <w:jc w:val="right"/>
              <w:rPr>
                <w:rFonts w:ascii="Times New Roman" w:hAnsi="Times New Roman" w:cs="Times New Roman"/>
                <w:szCs w:val="20"/>
              </w:rPr>
            </w:pPr>
            <w:r w:rsidRPr="00FA3856">
              <w:rPr>
                <w:rFonts w:ascii="Times New Roman" w:hAnsi="Times New Roman" w:cs="Times New Roman"/>
                <w:szCs w:val="20"/>
              </w:rPr>
              <w:t>R$10.500,00</w:t>
            </w:r>
          </w:p>
        </w:tc>
        <w:tc>
          <w:tcPr>
            <w:tcW w:w="1745" w:type="dxa"/>
            <w:vAlign w:val="center"/>
            <w:hideMark/>
          </w:tcPr>
          <w:p w:rsidR="008B2747" w:rsidRPr="00FA3856" w:rsidRDefault="008B2747" w:rsidP="00861C00">
            <w:pPr>
              <w:pStyle w:val="NormalWeb"/>
              <w:spacing w:before="0" w:after="0"/>
              <w:jc w:val="right"/>
              <w:rPr>
                <w:rFonts w:ascii="Times New Roman" w:hAnsi="Times New Roman" w:cs="Times New Roman"/>
                <w:szCs w:val="20"/>
              </w:rPr>
            </w:pPr>
            <w:r w:rsidRPr="00FA3856">
              <w:rPr>
                <w:rFonts w:ascii="Times New Roman" w:hAnsi="Times New Roman" w:cs="Times New Roman"/>
                <w:szCs w:val="20"/>
              </w:rPr>
              <w:t>-</w:t>
            </w:r>
          </w:p>
        </w:tc>
        <w:tc>
          <w:tcPr>
            <w:tcW w:w="2844" w:type="dxa"/>
            <w:vAlign w:val="center"/>
            <w:hideMark/>
          </w:tcPr>
          <w:p w:rsidR="008B2747" w:rsidRPr="00FA3856" w:rsidRDefault="008B2747" w:rsidP="00861C00">
            <w:pPr>
              <w:pStyle w:val="NormalWeb"/>
              <w:spacing w:before="0" w:after="0"/>
              <w:jc w:val="right"/>
              <w:rPr>
                <w:rFonts w:ascii="Times New Roman" w:hAnsi="Times New Roman" w:cs="Times New Roman"/>
                <w:szCs w:val="20"/>
              </w:rPr>
            </w:pPr>
            <w:r w:rsidRPr="00FA3856">
              <w:rPr>
                <w:rFonts w:ascii="Times New Roman" w:hAnsi="Times New Roman" w:cs="Times New Roman"/>
                <w:szCs w:val="20"/>
                <w:u w:val="single"/>
              </w:rPr>
              <w:t>R$10.500,00</w:t>
            </w:r>
          </w:p>
        </w:tc>
      </w:tr>
      <w:tr w:rsidR="008B2747" w:rsidRPr="00FA3856" w:rsidTr="00861C00">
        <w:trPr>
          <w:tblCellSpacing w:w="0" w:type="dxa"/>
          <w:jc w:val="center"/>
        </w:trPr>
        <w:tc>
          <w:tcPr>
            <w:tcW w:w="6011" w:type="dxa"/>
            <w:gridSpan w:val="3"/>
            <w:vAlign w:val="center"/>
            <w:hideMark/>
          </w:tcPr>
          <w:p w:rsidR="008B2747" w:rsidRPr="00FA3856" w:rsidRDefault="008B2747" w:rsidP="007B28E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Total do Imposto Devido pelas Atividades Incentivadas:</w:t>
            </w:r>
          </w:p>
        </w:tc>
        <w:tc>
          <w:tcPr>
            <w:tcW w:w="2844" w:type="dxa"/>
            <w:vAlign w:val="center"/>
            <w:hideMark/>
          </w:tcPr>
          <w:p w:rsidR="008B2747" w:rsidRPr="00FA3856" w:rsidRDefault="008B2747" w:rsidP="00861C00">
            <w:pPr>
              <w:pStyle w:val="NormalWeb"/>
              <w:spacing w:before="0" w:after="0"/>
              <w:jc w:val="right"/>
              <w:rPr>
                <w:rFonts w:ascii="Times New Roman" w:hAnsi="Times New Roman" w:cs="Times New Roman"/>
                <w:szCs w:val="20"/>
              </w:rPr>
            </w:pPr>
            <w:r w:rsidRPr="00FA3856">
              <w:rPr>
                <w:rFonts w:ascii="Times New Roman" w:hAnsi="Times New Roman" w:cs="Times New Roman"/>
                <w:szCs w:val="20"/>
              </w:rPr>
              <w:t>R$16.500,00</w:t>
            </w:r>
          </w:p>
        </w:tc>
      </w:tr>
    </w:tbl>
    <w:p w:rsidR="008B2747" w:rsidRPr="00FA3856" w:rsidRDefault="008B2747" w:rsidP="007B28E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p w:rsidR="008B2747" w:rsidRPr="00FA3856" w:rsidRDefault="008B2747" w:rsidP="007B28E6">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Valor passível de redução por reinvestimento: R$16.500,00 x 30% = R$ 4.950,00</w:t>
      </w:r>
    </w:p>
    <w:p w:rsidR="008B2747" w:rsidRPr="00FA3856" w:rsidRDefault="008B2747" w:rsidP="00861C00">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No caso do exemplo acima, a pessoa jurídica pode fazer jus ao valor de R$ 4.950,00 a título de redução por reinvestimento, observadas as instruções contidas na</w:t>
      </w:r>
      <w:r w:rsidR="00AA2B85" w:rsidRPr="00FA3856">
        <w:rPr>
          <w:rFonts w:ascii="Times New Roman" w:hAnsi="Times New Roman" w:cs="Times New Roman"/>
          <w:szCs w:val="20"/>
        </w:rPr>
        <w:t xml:space="preserve"> linha N630/18</w:t>
      </w:r>
      <w:r w:rsidR="00861C00" w:rsidRPr="00FA3856">
        <w:rPr>
          <w:rFonts w:ascii="Times New Roman" w:hAnsi="Times New Roman" w:cs="Times New Roman"/>
          <w:szCs w:val="20"/>
        </w:rPr>
        <w:t>.</w:t>
      </w:r>
    </w:p>
    <w:p w:rsidR="0036222A" w:rsidRDefault="0036222A" w:rsidP="00586003">
      <w:pPr>
        <w:rPr>
          <w:szCs w:val="20"/>
          <w:lang w:val="pt-PT"/>
        </w:rPr>
      </w:pPr>
    </w:p>
    <w:p w:rsidR="001F1557" w:rsidRPr="00FA3856" w:rsidRDefault="00B35FA3" w:rsidP="001F1557">
      <w:pPr>
        <w:jc w:val="center"/>
        <w:rPr>
          <w:szCs w:val="20"/>
          <w:lang w:val="pt-PT"/>
        </w:rPr>
      </w:pPr>
      <w:r>
        <w:rPr>
          <w:szCs w:val="20"/>
          <w:lang w:val="pt-PT"/>
        </w:rPr>
        <w:object w:dxaOrig="13845" w:dyaOrig="4680">
          <v:shape id="_x0000_i1743" type="#_x0000_t75" style="width:690.75pt;height:230.25pt" o:ole="">
            <v:imagedata r:id="rId362" o:title=""/>
          </v:shape>
          <o:OLEObject Type="Link" ProgID="Excel.Sheet.12" ShapeID="_x0000_i1743" DrawAspect="Content" r:id="rId363" UpdateMode="Always">
            <o:LinkType>EnhancedMetaFile</o:LinkType>
            <o:LockedField>false</o:LockedField>
          </o:OLEObject>
        </w:object>
      </w:r>
    </w:p>
    <w:p w:rsidR="001F1557" w:rsidRDefault="001F1557" w:rsidP="006424C4">
      <w:pPr>
        <w:pStyle w:val="PSDS-MarcadoresNivel2"/>
        <w:numPr>
          <w:ilvl w:val="0"/>
          <w:numId w:val="0"/>
        </w:numPr>
        <w:rPr>
          <w:rFonts w:ascii="Times New Roman" w:hAnsi="Times New Roman"/>
        </w:rPr>
      </w:pPr>
    </w:p>
    <w:p w:rsidR="003E7A35" w:rsidRDefault="003E7A35">
      <w:pPr>
        <w:spacing w:after="200" w:line="276" w:lineRule="auto"/>
        <w:rPr>
          <w:b/>
          <w:szCs w:val="20"/>
        </w:rPr>
      </w:pPr>
      <w:r>
        <w:br w:type="page"/>
      </w:r>
    </w:p>
    <w:p w:rsidR="006424C4" w:rsidRPr="00FA3856" w:rsidRDefault="006424C4" w:rsidP="006424C4">
      <w:pPr>
        <w:pStyle w:val="PSDS-MarcadoresNivel2"/>
        <w:numPr>
          <w:ilvl w:val="0"/>
          <w:numId w:val="0"/>
        </w:numPr>
        <w:rPr>
          <w:rFonts w:ascii="Times New Roman" w:hAnsi="Times New Roman"/>
        </w:rPr>
      </w:pPr>
      <w:r w:rsidRPr="00FA3856">
        <w:rPr>
          <w:rFonts w:ascii="Times New Roman" w:hAnsi="Times New Roman"/>
        </w:rPr>
        <w:lastRenderedPageBreak/>
        <w:t>I – Regras de Validação do Registro:</w:t>
      </w:r>
    </w:p>
    <w:p w:rsidR="006424C4" w:rsidRPr="00FA3856" w:rsidRDefault="006424C4" w:rsidP="006424C4">
      <w:pPr>
        <w:pStyle w:val="Corpodetexto"/>
        <w:ind w:left="708" w:firstLine="12"/>
        <w:rPr>
          <w:rFonts w:ascii="Times New Roman" w:hAnsi="Times New Roman"/>
          <w:szCs w:val="20"/>
        </w:rPr>
      </w:pPr>
    </w:p>
    <w:p w:rsidR="00FE5D23" w:rsidRPr="00FA3856" w:rsidRDefault="007D0E74" w:rsidP="00FE5D23">
      <w:pPr>
        <w:pStyle w:val="Corpodetexto"/>
        <w:ind w:left="708" w:firstLine="12"/>
        <w:rPr>
          <w:rFonts w:ascii="Times New Roman" w:hAnsi="Times New Roman"/>
          <w:szCs w:val="20"/>
        </w:rPr>
      </w:pPr>
      <w:hyperlink r:id="rId364" w:anchor="REGRA_OCORRENCIA_UNITARIA_ARQ" w:history="1">
        <w:r w:rsidR="00FE5D23" w:rsidRPr="00FA3856">
          <w:rPr>
            <w:rFonts w:ascii="Times New Roman" w:hAnsi="Times New Roman"/>
            <w:b/>
            <w:szCs w:val="20"/>
          </w:rPr>
          <w:t>REGRA_</w:t>
        </w:r>
      </w:hyperlink>
      <w:r w:rsidR="00FE5D23" w:rsidRPr="00FA3856">
        <w:rPr>
          <w:rFonts w:ascii="Times New Roman" w:hAnsi="Times New Roman"/>
          <w:b/>
          <w:szCs w:val="20"/>
        </w:rPr>
        <w:t>DUPLICIDADE_DESPREZADA</w:t>
      </w:r>
      <w:r w:rsidR="00FE5D23" w:rsidRPr="00FA3856">
        <w:rPr>
          <w:rFonts w:ascii="Times New Roman" w:hAnsi="Times New Roman"/>
          <w:color w:val="auto"/>
          <w:szCs w:val="20"/>
        </w:rPr>
        <w:t xml:space="preserve">: </w:t>
      </w:r>
      <w:r w:rsidR="00FE5D23" w:rsidRPr="00FA3856">
        <w:rPr>
          <w:rFonts w:ascii="Times New Roman" w:hAnsi="Times New Roman"/>
          <w:szCs w:val="20"/>
        </w:rPr>
        <w:t>Verifica se o registro já foi importado anteriormente, de acordo com a chave e os registros pais. Se a regra não for cumprida, a ECF gera um aviso.</w:t>
      </w:r>
    </w:p>
    <w:p w:rsidR="00FE5D23" w:rsidRPr="00FA3856" w:rsidRDefault="00FE5D23" w:rsidP="00FE5D23">
      <w:pPr>
        <w:pStyle w:val="Corpodetexto"/>
        <w:ind w:left="708" w:firstLine="12"/>
        <w:rPr>
          <w:rFonts w:ascii="Times New Roman" w:hAnsi="Times New Roman"/>
          <w:szCs w:val="20"/>
        </w:rPr>
      </w:pPr>
    </w:p>
    <w:p w:rsidR="00FE5D23" w:rsidRPr="00FA3856" w:rsidRDefault="007D0E74" w:rsidP="00FE5D23">
      <w:pPr>
        <w:pStyle w:val="Corpodetexto"/>
        <w:ind w:left="708" w:firstLine="12"/>
        <w:rPr>
          <w:rFonts w:ascii="Times New Roman" w:hAnsi="Times New Roman"/>
          <w:szCs w:val="20"/>
        </w:rPr>
      </w:pPr>
      <w:hyperlink r:id="rId365" w:anchor="REGRA_OCORRENCIA_UNITARIA_ARQ" w:history="1">
        <w:r w:rsidR="00FE5D23" w:rsidRPr="00FA3856">
          <w:rPr>
            <w:rFonts w:ascii="Times New Roman" w:hAnsi="Times New Roman"/>
            <w:b/>
            <w:szCs w:val="20"/>
          </w:rPr>
          <w:t>REGRA_</w:t>
        </w:r>
      </w:hyperlink>
      <w:r w:rsidR="00FE5D23" w:rsidRPr="00FA3856">
        <w:rPr>
          <w:rFonts w:ascii="Times New Roman" w:hAnsi="Times New Roman"/>
          <w:b/>
          <w:szCs w:val="20"/>
        </w:rPr>
        <w:t>LINHA_DESPREZADA</w:t>
      </w:r>
      <w:r w:rsidR="00FE5D23" w:rsidRPr="00FA3856">
        <w:rPr>
          <w:rFonts w:ascii="Times New Roman" w:hAnsi="Times New Roman"/>
          <w:color w:val="auto"/>
          <w:szCs w:val="20"/>
        </w:rPr>
        <w:t xml:space="preserve">: </w:t>
      </w:r>
      <w:r w:rsidR="00FE5D23" w:rsidRPr="00FA3856">
        <w:rPr>
          <w:rFonts w:ascii="Times New Roman" w:hAnsi="Times New Roman"/>
          <w:szCs w:val="20"/>
        </w:rPr>
        <w:t>Verifica se o registro existe na importação, mas não será importado por não existir na tabela dinâmica devido às configurações do bloco 0 ou da tabela dinâmica. Gera um aviso.</w:t>
      </w:r>
    </w:p>
    <w:p w:rsidR="00FE5D23" w:rsidRPr="00FA3856" w:rsidRDefault="00FE5D23" w:rsidP="00FE5D23">
      <w:pPr>
        <w:pStyle w:val="Corpodetexto"/>
        <w:ind w:left="708" w:firstLine="12"/>
        <w:rPr>
          <w:rFonts w:ascii="Times New Roman" w:hAnsi="Times New Roman"/>
          <w:b/>
          <w:szCs w:val="20"/>
        </w:rPr>
      </w:pPr>
    </w:p>
    <w:p w:rsidR="00FE5D23" w:rsidRPr="00FA3856" w:rsidRDefault="007D0E74" w:rsidP="00FE5D23">
      <w:pPr>
        <w:pStyle w:val="Corpodetexto"/>
        <w:ind w:left="708" w:firstLine="12"/>
        <w:rPr>
          <w:rFonts w:ascii="Times New Roman" w:hAnsi="Times New Roman"/>
          <w:szCs w:val="20"/>
        </w:rPr>
      </w:pPr>
      <w:hyperlink r:id="rId366" w:anchor="REGRA_OCORRENCIA_UNITARIA_ARQ" w:history="1">
        <w:r w:rsidR="00FE5D23" w:rsidRPr="00FA3856">
          <w:rPr>
            <w:rFonts w:ascii="Times New Roman" w:hAnsi="Times New Roman"/>
            <w:b/>
            <w:szCs w:val="20"/>
          </w:rPr>
          <w:t>REGRA_</w:t>
        </w:r>
      </w:hyperlink>
      <w:r w:rsidR="00FE5D23" w:rsidRPr="00FA3856">
        <w:rPr>
          <w:rFonts w:ascii="Times New Roman" w:hAnsi="Times New Roman"/>
          <w:b/>
          <w:szCs w:val="20"/>
        </w:rPr>
        <w:t>LINHA_ATUALIZADA</w:t>
      </w:r>
      <w:r w:rsidR="00FE5D23" w:rsidRPr="00FA3856">
        <w:rPr>
          <w:rFonts w:ascii="Times New Roman" w:hAnsi="Times New Roman"/>
          <w:color w:val="auto"/>
          <w:szCs w:val="20"/>
        </w:rPr>
        <w:t xml:space="preserve">: </w:t>
      </w:r>
      <w:r w:rsidR="00FE5D23" w:rsidRPr="00FA3856">
        <w:rPr>
          <w:rFonts w:ascii="Times New Roman" w:hAnsi="Times New Roman"/>
          <w:szCs w:val="20"/>
        </w:rPr>
        <w:t>Verifica se o registro está desatualizado em relação à tabela da RFB. Gera um aviso.</w:t>
      </w:r>
    </w:p>
    <w:p w:rsidR="0036222A" w:rsidRPr="00FA3856" w:rsidRDefault="0036222A" w:rsidP="00FE5D23">
      <w:pPr>
        <w:pStyle w:val="Corpodetexto"/>
        <w:ind w:left="708" w:firstLine="12"/>
        <w:rPr>
          <w:rFonts w:ascii="Times New Roman" w:hAnsi="Times New Roman"/>
          <w:b/>
          <w:szCs w:val="20"/>
        </w:rPr>
      </w:pPr>
    </w:p>
    <w:p w:rsidR="00586003" w:rsidRPr="00FA3856" w:rsidRDefault="00586003" w:rsidP="00586003">
      <w:pPr>
        <w:rPr>
          <w:b/>
          <w:szCs w:val="20"/>
          <w:lang w:val="pt-PT"/>
        </w:rPr>
      </w:pPr>
      <w:r w:rsidRPr="00FA3856">
        <w:rPr>
          <w:b/>
          <w:szCs w:val="20"/>
          <w:lang w:val="pt-PT"/>
        </w:rPr>
        <w:t>I</w:t>
      </w:r>
      <w:r w:rsidR="006424C4" w:rsidRPr="00FA3856">
        <w:rPr>
          <w:b/>
          <w:szCs w:val="20"/>
          <w:lang w:val="pt-PT"/>
        </w:rPr>
        <w:t>I</w:t>
      </w:r>
      <w:r w:rsidRPr="00FA3856">
        <w:rPr>
          <w:b/>
          <w:szCs w:val="20"/>
          <w:lang w:val="pt-PT"/>
        </w:rPr>
        <w:t xml:space="preserve"> – Regras de Validação de Campos:</w:t>
      </w:r>
    </w:p>
    <w:p w:rsidR="00586003" w:rsidRPr="00FA3856" w:rsidRDefault="00586003" w:rsidP="00586003">
      <w:pPr>
        <w:rPr>
          <w:b/>
          <w:szCs w:val="20"/>
          <w:lang w:val="pt-PT"/>
        </w:rPr>
      </w:pPr>
    </w:p>
    <w:tbl>
      <w:tblPr>
        <w:tblW w:w="15317"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85"/>
        <w:gridCol w:w="3000"/>
        <w:gridCol w:w="11115"/>
        <w:gridCol w:w="717"/>
      </w:tblGrid>
      <w:tr w:rsidR="00586003" w:rsidRPr="00FA3856" w:rsidTr="00371008">
        <w:trPr>
          <w:jc w:val="center"/>
        </w:trPr>
        <w:tc>
          <w:tcPr>
            <w:tcW w:w="485" w:type="dxa"/>
            <w:tcBorders>
              <w:top w:val="single" w:sz="6" w:space="0" w:color="auto"/>
              <w:left w:val="single" w:sz="6" w:space="0" w:color="auto"/>
              <w:bottom w:val="single" w:sz="6" w:space="0" w:color="auto"/>
              <w:right w:val="single" w:sz="6" w:space="0" w:color="auto"/>
            </w:tcBorders>
            <w:shd w:val="pct10" w:color="auto" w:fill="FFFFFF"/>
          </w:tcPr>
          <w:p w:rsidR="00586003" w:rsidRPr="00FA3856" w:rsidRDefault="00586003" w:rsidP="00DE512B">
            <w:pPr>
              <w:pStyle w:val="PSDS-CorpodeTexto0"/>
              <w:jc w:val="center"/>
              <w:rPr>
                <w:rFonts w:ascii="Times New Roman" w:hAnsi="Times New Roman"/>
                <w:b/>
                <w:bCs/>
              </w:rPr>
            </w:pPr>
            <w:r w:rsidRPr="00FA3856">
              <w:rPr>
                <w:rFonts w:ascii="Times New Roman" w:hAnsi="Times New Roman"/>
                <w:b/>
                <w:bCs/>
              </w:rPr>
              <w:t>Nº</w:t>
            </w:r>
          </w:p>
        </w:tc>
        <w:tc>
          <w:tcPr>
            <w:tcW w:w="3000" w:type="dxa"/>
            <w:tcBorders>
              <w:top w:val="single" w:sz="6" w:space="0" w:color="auto"/>
              <w:left w:val="single" w:sz="6" w:space="0" w:color="auto"/>
              <w:bottom w:val="single" w:sz="6" w:space="0" w:color="auto"/>
              <w:right w:val="single" w:sz="6" w:space="0" w:color="auto"/>
            </w:tcBorders>
            <w:shd w:val="pct10" w:color="auto" w:fill="FFFFFF"/>
          </w:tcPr>
          <w:p w:rsidR="00586003" w:rsidRPr="00FA3856" w:rsidRDefault="00586003" w:rsidP="00DE512B">
            <w:pPr>
              <w:pStyle w:val="PSDS-CorpodeTexto0"/>
              <w:jc w:val="center"/>
              <w:rPr>
                <w:rFonts w:ascii="Times New Roman" w:hAnsi="Times New Roman"/>
                <w:b/>
                <w:bCs/>
              </w:rPr>
            </w:pPr>
            <w:r w:rsidRPr="00FA3856">
              <w:rPr>
                <w:rFonts w:ascii="Times New Roman" w:hAnsi="Times New Roman"/>
                <w:b/>
                <w:bCs/>
              </w:rPr>
              <w:t>Campo</w:t>
            </w:r>
          </w:p>
        </w:tc>
        <w:tc>
          <w:tcPr>
            <w:tcW w:w="11115" w:type="dxa"/>
            <w:tcBorders>
              <w:top w:val="single" w:sz="6" w:space="0" w:color="auto"/>
              <w:left w:val="single" w:sz="6" w:space="0" w:color="auto"/>
              <w:bottom w:val="single" w:sz="6" w:space="0" w:color="auto"/>
              <w:right w:val="single" w:sz="6" w:space="0" w:color="auto"/>
            </w:tcBorders>
            <w:shd w:val="pct10" w:color="auto" w:fill="FFFFFF"/>
          </w:tcPr>
          <w:p w:rsidR="00586003" w:rsidRPr="00FA3856" w:rsidRDefault="00586003" w:rsidP="00DE512B">
            <w:pPr>
              <w:pStyle w:val="PSDS-CorpodeTexto0"/>
              <w:jc w:val="center"/>
              <w:rPr>
                <w:rFonts w:ascii="Times New Roman" w:hAnsi="Times New Roman"/>
                <w:b/>
                <w:bCs/>
              </w:rPr>
            </w:pPr>
            <w:r w:rsidRPr="00FA3856">
              <w:rPr>
                <w:rFonts w:ascii="Times New Roman" w:hAnsi="Times New Roman"/>
                <w:b/>
                <w:bCs/>
              </w:rPr>
              <w:t>Regras de Validação do Campo</w:t>
            </w:r>
          </w:p>
        </w:tc>
        <w:tc>
          <w:tcPr>
            <w:tcW w:w="717" w:type="dxa"/>
            <w:tcBorders>
              <w:top w:val="single" w:sz="6" w:space="0" w:color="auto"/>
              <w:left w:val="single" w:sz="6" w:space="0" w:color="auto"/>
              <w:bottom w:val="single" w:sz="6" w:space="0" w:color="auto"/>
              <w:right w:val="single" w:sz="6" w:space="0" w:color="auto"/>
            </w:tcBorders>
            <w:shd w:val="pct10" w:color="auto" w:fill="FFFFFF"/>
          </w:tcPr>
          <w:p w:rsidR="00586003" w:rsidRPr="00FA3856" w:rsidRDefault="00586003" w:rsidP="00DE512B">
            <w:pPr>
              <w:pStyle w:val="PSDS-CorpodeTexto0"/>
              <w:jc w:val="center"/>
              <w:rPr>
                <w:rFonts w:ascii="Times New Roman" w:hAnsi="Times New Roman"/>
                <w:b/>
                <w:bCs/>
              </w:rPr>
            </w:pPr>
            <w:r w:rsidRPr="00FA3856">
              <w:rPr>
                <w:rFonts w:ascii="Times New Roman" w:hAnsi="Times New Roman"/>
                <w:b/>
                <w:bCs/>
              </w:rPr>
              <w:t>Tipo</w:t>
            </w:r>
          </w:p>
        </w:tc>
      </w:tr>
      <w:tr w:rsidR="0012324D" w:rsidRPr="00FA3856" w:rsidTr="00371008">
        <w:trPr>
          <w:jc w:val="center"/>
        </w:trPr>
        <w:tc>
          <w:tcPr>
            <w:tcW w:w="485" w:type="dxa"/>
            <w:tcBorders>
              <w:top w:val="single" w:sz="6" w:space="0" w:color="auto"/>
              <w:left w:val="single" w:sz="6" w:space="0" w:color="auto"/>
              <w:bottom w:val="single" w:sz="6" w:space="0" w:color="auto"/>
              <w:right w:val="single" w:sz="6" w:space="0" w:color="auto"/>
            </w:tcBorders>
          </w:tcPr>
          <w:p w:rsidR="0012324D" w:rsidRPr="00FA3856" w:rsidRDefault="0012324D" w:rsidP="0012324D">
            <w:pPr>
              <w:pStyle w:val="PSDS-CorpodeTexto0"/>
              <w:suppressAutoHyphens w:val="0"/>
              <w:rPr>
                <w:rFonts w:ascii="Times New Roman" w:hAnsi="Times New Roman"/>
                <w:b/>
                <w:bCs/>
                <w:lang w:val="pt-PT"/>
              </w:rPr>
            </w:pPr>
            <w:r w:rsidRPr="00FA3856">
              <w:rPr>
                <w:rFonts w:ascii="Times New Roman" w:hAnsi="Times New Roman"/>
                <w:b/>
                <w:bCs/>
                <w:lang w:val="pt-PT"/>
              </w:rPr>
              <w:t>4</w:t>
            </w:r>
          </w:p>
        </w:tc>
        <w:tc>
          <w:tcPr>
            <w:tcW w:w="3000" w:type="dxa"/>
            <w:tcBorders>
              <w:top w:val="single" w:sz="6" w:space="0" w:color="auto"/>
              <w:left w:val="single" w:sz="6" w:space="0" w:color="auto"/>
              <w:bottom w:val="single" w:sz="6" w:space="0" w:color="auto"/>
              <w:right w:val="single" w:sz="6" w:space="0" w:color="auto"/>
            </w:tcBorders>
          </w:tcPr>
          <w:p w:rsidR="0012324D" w:rsidRPr="00FA3856" w:rsidRDefault="0012324D" w:rsidP="0012324D">
            <w:pPr>
              <w:pStyle w:val="PSDS-CorpodeTexto0"/>
              <w:rPr>
                <w:rFonts w:ascii="Times New Roman" w:hAnsi="Times New Roman"/>
              </w:rPr>
            </w:pPr>
            <w:r w:rsidRPr="00FA3856">
              <w:rPr>
                <w:rFonts w:ascii="Times New Roman" w:hAnsi="Times New Roman"/>
              </w:rPr>
              <w:t>VALOR</w:t>
            </w:r>
          </w:p>
        </w:tc>
        <w:tc>
          <w:tcPr>
            <w:tcW w:w="11115" w:type="dxa"/>
            <w:tcBorders>
              <w:top w:val="single" w:sz="6" w:space="0" w:color="auto"/>
              <w:left w:val="single" w:sz="6" w:space="0" w:color="auto"/>
              <w:bottom w:val="single" w:sz="6" w:space="0" w:color="auto"/>
              <w:right w:val="single" w:sz="6" w:space="0" w:color="auto"/>
            </w:tcBorders>
          </w:tcPr>
          <w:p w:rsidR="0012324D" w:rsidRPr="00FA3856" w:rsidRDefault="0012324D" w:rsidP="0012324D">
            <w:pPr>
              <w:pStyle w:val="Corpodetexto"/>
              <w:rPr>
                <w:rFonts w:ascii="Times New Roman" w:hAnsi="Times New Roman"/>
                <w:szCs w:val="20"/>
              </w:rPr>
            </w:pPr>
            <w:r w:rsidRPr="00FA3856">
              <w:rPr>
                <w:rFonts w:ascii="Times New Roman" w:hAnsi="Times New Roman"/>
                <w:b/>
                <w:bCs/>
                <w:szCs w:val="20"/>
              </w:rPr>
              <w:t>REGRA_OBRIGATORIO_TIPO_DIFERENTE_R</w:t>
            </w:r>
            <w:r w:rsidRPr="00FA3856">
              <w:rPr>
                <w:rFonts w:ascii="Times New Roman" w:hAnsi="Times New Roman"/>
                <w:szCs w:val="20"/>
              </w:rPr>
              <w:t xml:space="preserve">: </w:t>
            </w:r>
            <w:r w:rsidRPr="00FA3856">
              <w:rPr>
                <w:rStyle w:val="Hyperlink"/>
                <w:rFonts w:ascii="Times New Roman" w:hAnsi="Times New Roman"/>
                <w:bCs/>
                <w:color w:val="auto"/>
                <w:szCs w:val="20"/>
                <w:lang w:val="pt-PT"/>
              </w:rPr>
              <w:t xml:space="preserve">Verifica se o campo está preenchido quando o tipo da linha </w:t>
            </w:r>
            <w:r w:rsidR="006C0BFB" w:rsidRPr="00FA3856">
              <w:rPr>
                <w:rStyle w:val="Hyperlink"/>
                <w:rFonts w:ascii="Times New Roman" w:hAnsi="Times New Roman"/>
                <w:bCs/>
                <w:color w:val="auto"/>
                <w:szCs w:val="20"/>
                <w:lang w:val="pt-PT"/>
              </w:rPr>
              <w:t>é diferente</w:t>
            </w:r>
            <w:r w:rsidRPr="00FA3856">
              <w:rPr>
                <w:rStyle w:val="Hyperlink"/>
                <w:rFonts w:ascii="Times New Roman" w:hAnsi="Times New Roman"/>
                <w:bCs/>
                <w:color w:val="auto"/>
                <w:szCs w:val="20"/>
                <w:lang w:val="pt-PT"/>
              </w:rPr>
              <w:t xml:space="preserve"> de “R”.</w:t>
            </w:r>
          </w:p>
        </w:tc>
        <w:tc>
          <w:tcPr>
            <w:tcW w:w="717" w:type="dxa"/>
            <w:tcBorders>
              <w:top w:val="single" w:sz="6" w:space="0" w:color="auto"/>
              <w:left w:val="single" w:sz="6" w:space="0" w:color="auto"/>
              <w:bottom w:val="single" w:sz="6" w:space="0" w:color="auto"/>
              <w:right w:val="single" w:sz="6" w:space="0" w:color="auto"/>
            </w:tcBorders>
          </w:tcPr>
          <w:p w:rsidR="0012324D" w:rsidRPr="00FA3856" w:rsidRDefault="0012324D" w:rsidP="0012324D">
            <w:pPr>
              <w:pStyle w:val="PSDS-CorpodeTexto0"/>
              <w:rPr>
                <w:rFonts w:ascii="Times New Roman" w:hAnsi="Times New Roman"/>
              </w:rPr>
            </w:pPr>
            <w:r w:rsidRPr="00FA3856">
              <w:rPr>
                <w:rFonts w:ascii="Times New Roman" w:hAnsi="Times New Roman"/>
              </w:rPr>
              <w:t>Erro</w:t>
            </w:r>
          </w:p>
          <w:p w:rsidR="0012324D" w:rsidRPr="00FA3856" w:rsidRDefault="0012324D" w:rsidP="0012324D">
            <w:pPr>
              <w:pStyle w:val="PSDS-CorpodeTexto0"/>
              <w:rPr>
                <w:rFonts w:ascii="Times New Roman" w:hAnsi="Times New Roman"/>
              </w:rPr>
            </w:pPr>
          </w:p>
        </w:tc>
      </w:tr>
    </w:tbl>
    <w:p w:rsidR="00586003" w:rsidRPr="00FA3856" w:rsidRDefault="00586003" w:rsidP="00586003">
      <w:pPr>
        <w:rPr>
          <w:szCs w:val="20"/>
          <w:lang w:val="pt-PT"/>
        </w:rPr>
      </w:pPr>
    </w:p>
    <w:p w:rsidR="00486908" w:rsidRPr="00FA3856" w:rsidRDefault="00EF005F" w:rsidP="00F52412">
      <w:pPr>
        <w:rPr>
          <w:b/>
          <w:szCs w:val="20"/>
          <w:lang w:val="pt-PT"/>
        </w:rPr>
      </w:pPr>
      <w:r w:rsidRPr="00FA3856">
        <w:rPr>
          <w:b/>
          <w:szCs w:val="20"/>
          <w:lang w:val="pt-PT"/>
        </w:rPr>
        <w:t>II</w:t>
      </w:r>
      <w:r w:rsidR="006424C4" w:rsidRPr="00FA3856">
        <w:rPr>
          <w:b/>
          <w:szCs w:val="20"/>
          <w:lang w:val="pt-PT"/>
        </w:rPr>
        <w:t>I</w:t>
      </w:r>
      <w:r w:rsidRPr="00FA3856">
        <w:rPr>
          <w:b/>
          <w:szCs w:val="20"/>
          <w:lang w:val="pt-PT"/>
        </w:rPr>
        <w:t xml:space="preserve"> – Tabela Dinâmica</w:t>
      </w:r>
      <w:r w:rsidR="00F52412" w:rsidRPr="00FA3856">
        <w:rPr>
          <w:b/>
          <w:szCs w:val="20"/>
          <w:lang w:val="pt-PT"/>
        </w:rPr>
        <w:t>:</w:t>
      </w:r>
      <w:r w:rsidR="007B28E6" w:rsidRPr="00FA3856">
        <w:rPr>
          <w:b/>
          <w:szCs w:val="20"/>
          <w:lang w:val="pt-PT"/>
        </w:rPr>
        <w:t xml:space="preserve"> </w:t>
      </w:r>
      <w:r w:rsidR="003E7A35" w:rsidRPr="003E7A35">
        <w:rPr>
          <w:b/>
          <w:szCs w:val="20"/>
          <w:lang w:val="pt-PT"/>
        </w:rPr>
        <w:t>N610 - Cálculo da Isenção e Redução do Imposto Sobre o Lucro Real</w:t>
      </w:r>
    </w:p>
    <w:p w:rsidR="006435CB" w:rsidRPr="00012703" w:rsidRDefault="00486CDA" w:rsidP="00012703">
      <w:pPr>
        <w:rPr>
          <w:b/>
          <w:szCs w:val="20"/>
          <w:lang w:val="pt-PT"/>
        </w:rPr>
      </w:pPr>
      <w:r>
        <w:rPr>
          <w:b/>
          <w:szCs w:val="20"/>
          <w:lang w:val="pt-PT"/>
        </w:rPr>
        <w:object w:dxaOrig="1534" w:dyaOrig="997">
          <v:shape id="_x0000_i1171" type="#_x0000_t75" style="width:79.5pt;height:50.25pt" o:ole="">
            <v:imagedata r:id="rId367" o:title=""/>
          </v:shape>
          <o:OLEObject Type="Link" ProgID="Excel.Sheet.12" ShapeID="_x0000_i1171" DrawAspect="Content" r:id="rId368" UpdateMode="OnCall">
            <o:LinkType>EnhancedMetaFile</o:LinkType>
            <o:LockedField>false</o:LockedField>
          </o:OLEObject>
        </w:object>
      </w:r>
    </w:p>
    <w:p w:rsidR="006435CB" w:rsidRPr="00FA3856" w:rsidRDefault="006435CB" w:rsidP="006435CB">
      <w:pPr>
        <w:pStyle w:val="Corpodetexto"/>
        <w:rPr>
          <w:rFonts w:ascii="Times New Roman" w:hAnsi="Times New Roman"/>
          <w:b/>
          <w:color w:val="002060"/>
          <w:szCs w:val="20"/>
        </w:rPr>
      </w:pPr>
      <w:r w:rsidRPr="00FA3856">
        <w:rPr>
          <w:rFonts w:ascii="Times New Roman" w:hAnsi="Times New Roman"/>
          <w:b/>
          <w:color w:val="002060"/>
          <w:szCs w:val="20"/>
        </w:rPr>
        <w:t>Exemplo de preenchimento:</w:t>
      </w:r>
    </w:p>
    <w:p w:rsidR="00012703" w:rsidRDefault="00012703" w:rsidP="008B2747">
      <w:pPr>
        <w:pStyle w:val="Corpodetexto"/>
        <w:rPr>
          <w:rFonts w:ascii="Times New Roman" w:hAnsi="Times New Roman"/>
          <w:b/>
          <w:color w:val="002060"/>
          <w:szCs w:val="20"/>
        </w:rPr>
      </w:pPr>
    </w:p>
    <w:p w:rsidR="008B2747" w:rsidRPr="00FA3856" w:rsidRDefault="008B2747" w:rsidP="008B2747">
      <w:pPr>
        <w:pStyle w:val="Corpodetexto"/>
        <w:rPr>
          <w:rFonts w:ascii="Times New Roman" w:hAnsi="Times New Roman"/>
          <w:b/>
          <w:color w:val="002060"/>
          <w:szCs w:val="20"/>
        </w:rPr>
      </w:pPr>
      <w:r w:rsidRPr="00FA3856">
        <w:rPr>
          <w:rFonts w:ascii="Times New Roman" w:hAnsi="Times New Roman"/>
          <w:b/>
          <w:color w:val="002060"/>
          <w:szCs w:val="20"/>
        </w:rPr>
        <w:t>|N610|77|REDUÇÃO POR REINVESTIMENTO|10000,00|</w:t>
      </w:r>
    </w:p>
    <w:p w:rsidR="008B2747" w:rsidRPr="00FA3856" w:rsidRDefault="008B2747" w:rsidP="008B2747">
      <w:pPr>
        <w:pStyle w:val="Corpodetexto"/>
        <w:ind w:firstLine="708"/>
        <w:rPr>
          <w:rFonts w:ascii="Times New Roman" w:hAnsi="Times New Roman"/>
          <w:color w:val="002060"/>
          <w:szCs w:val="20"/>
        </w:rPr>
      </w:pPr>
      <w:r w:rsidRPr="00FA3856">
        <w:rPr>
          <w:rFonts w:ascii="Times New Roman" w:hAnsi="Times New Roman"/>
          <w:color w:val="002060"/>
          <w:szCs w:val="20"/>
        </w:rPr>
        <w:t>|N610|: Identificação do tipo do registro.</w:t>
      </w:r>
    </w:p>
    <w:p w:rsidR="008B2747" w:rsidRPr="00FA3856" w:rsidRDefault="008B2747" w:rsidP="008B2747">
      <w:pPr>
        <w:pStyle w:val="Corpodetexto"/>
        <w:ind w:firstLine="708"/>
        <w:rPr>
          <w:rFonts w:ascii="Times New Roman" w:hAnsi="Times New Roman"/>
          <w:color w:val="002060"/>
          <w:szCs w:val="20"/>
        </w:rPr>
      </w:pPr>
      <w:r w:rsidRPr="00FA3856">
        <w:rPr>
          <w:rFonts w:ascii="Times New Roman" w:hAnsi="Times New Roman"/>
          <w:color w:val="002060"/>
          <w:szCs w:val="20"/>
        </w:rPr>
        <w:t>|77|: Código da linha.</w:t>
      </w:r>
      <w:r w:rsidRPr="00FA3856">
        <w:rPr>
          <w:rFonts w:ascii="Times New Roman" w:hAnsi="Times New Roman"/>
          <w:color w:val="002060"/>
          <w:szCs w:val="20"/>
        </w:rPr>
        <w:tab/>
      </w:r>
    </w:p>
    <w:p w:rsidR="008B2747" w:rsidRPr="00FA3856" w:rsidRDefault="008B2747" w:rsidP="008B2747">
      <w:pPr>
        <w:pStyle w:val="Corpodetexto"/>
        <w:ind w:firstLine="708"/>
        <w:rPr>
          <w:rFonts w:ascii="Times New Roman" w:hAnsi="Times New Roman"/>
          <w:color w:val="002060"/>
          <w:szCs w:val="20"/>
        </w:rPr>
      </w:pPr>
      <w:r w:rsidRPr="00FA3856">
        <w:rPr>
          <w:rFonts w:ascii="Times New Roman" w:hAnsi="Times New Roman"/>
          <w:color w:val="002060"/>
          <w:szCs w:val="20"/>
        </w:rPr>
        <w:t>|REDUÇÃO POR REINVESTIMENTO|: Descrição da linha.</w:t>
      </w:r>
    </w:p>
    <w:p w:rsidR="008B2747" w:rsidRPr="00FA3856" w:rsidRDefault="008B2747" w:rsidP="008B2747">
      <w:pPr>
        <w:pStyle w:val="Corpodetexto"/>
        <w:ind w:firstLine="708"/>
        <w:rPr>
          <w:rFonts w:ascii="Times New Roman" w:hAnsi="Times New Roman"/>
          <w:color w:val="002060"/>
          <w:szCs w:val="20"/>
        </w:rPr>
      </w:pPr>
      <w:r w:rsidRPr="00FA3856">
        <w:rPr>
          <w:rFonts w:ascii="Times New Roman" w:hAnsi="Times New Roman"/>
          <w:color w:val="002060"/>
          <w:szCs w:val="20"/>
        </w:rPr>
        <w:t>|10000,00|: Valor da linha (R$ 10.000,00).</w:t>
      </w:r>
    </w:p>
    <w:p w:rsidR="00486908" w:rsidRPr="00FA3856" w:rsidRDefault="00486908" w:rsidP="00F52412">
      <w:pPr>
        <w:rPr>
          <w:b/>
          <w:szCs w:val="20"/>
          <w:lang w:val="pt-PT"/>
        </w:rPr>
      </w:pPr>
    </w:p>
    <w:p w:rsidR="00453F5D" w:rsidRPr="00FA3856" w:rsidRDefault="00453F5D" w:rsidP="00F52412">
      <w:pPr>
        <w:rPr>
          <w:b/>
          <w:szCs w:val="20"/>
          <w:lang w:val="pt-PT"/>
        </w:rPr>
      </w:pPr>
    </w:p>
    <w:p w:rsidR="004878A0" w:rsidRDefault="004878A0">
      <w:pPr>
        <w:spacing w:after="200" w:line="276" w:lineRule="auto"/>
        <w:rPr>
          <w:b/>
          <w:bCs/>
          <w:color w:val="0000FF"/>
          <w:szCs w:val="20"/>
        </w:rPr>
      </w:pPr>
      <w:r>
        <w:rPr>
          <w:color w:val="0000FF"/>
          <w:szCs w:val="20"/>
        </w:rPr>
        <w:br w:type="page"/>
      </w:r>
    </w:p>
    <w:p w:rsidR="00586003" w:rsidRPr="00FA3856" w:rsidRDefault="00586003" w:rsidP="00867F54">
      <w:pPr>
        <w:pStyle w:val="Ttulo4"/>
      </w:pPr>
      <w:bookmarkStart w:id="249" w:name="_Toc479713745"/>
      <w:r w:rsidRPr="00FA3856">
        <w:lastRenderedPageBreak/>
        <w:t xml:space="preserve">Registro N615: Informações da Base de </w:t>
      </w:r>
      <w:r w:rsidR="001B58FE" w:rsidRPr="00FA3856">
        <w:t>Cálculo</w:t>
      </w:r>
      <w:r w:rsidRPr="00FA3856">
        <w:t xml:space="preserve"> dos Incentivos Fiscais</w:t>
      </w:r>
      <w:bookmarkEnd w:id="249"/>
    </w:p>
    <w:p w:rsidR="00586003" w:rsidRPr="00FA3856" w:rsidRDefault="00586003" w:rsidP="00586003">
      <w:pPr>
        <w:jc w:val="both"/>
        <w:rPr>
          <w:szCs w:val="20"/>
        </w:rPr>
      </w:pPr>
    </w:p>
    <w:p w:rsidR="007538D5" w:rsidRPr="00FA3856" w:rsidRDefault="00E06134" w:rsidP="00E06134">
      <w:pPr>
        <w:pStyle w:val="NormalWeb"/>
        <w:spacing w:before="0" w:after="0"/>
        <w:ind w:firstLine="600"/>
        <w:jc w:val="both"/>
        <w:rPr>
          <w:rFonts w:ascii="Times New Roman" w:hAnsi="Times New Roman" w:cs="Times New Roman"/>
          <w:szCs w:val="20"/>
        </w:rPr>
      </w:pPr>
      <w:r w:rsidRPr="00FA3856">
        <w:rPr>
          <w:rFonts w:ascii="Times New Roman" w:hAnsi="Times New Roman" w:cs="Times New Roman"/>
          <w:szCs w:val="20"/>
        </w:rPr>
        <w:t>Este registro deve ser preenchido</w:t>
      </w:r>
      <w:r w:rsidR="007538D5" w:rsidRPr="00FA3856">
        <w:rPr>
          <w:rFonts w:ascii="Times New Roman" w:hAnsi="Times New Roman" w:cs="Times New Roman"/>
          <w:szCs w:val="20"/>
        </w:rPr>
        <w:t xml:space="preserve"> pelas pessoas jurídicas ou grupos de empresas coligadas de que trata o art. 9</w:t>
      </w:r>
      <w:r w:rsidR="007538D5" w:rsidRPr="00FA3856">
        <w:rPr>
          <w:rFonts w:ascii="Times New Roman" w:hAnsi="Times New Roman" w:cs="Times New Roman"/>
          <w:strike/>
          <w:szCs w:val="20"/>
        </w:rPr>
        <w:t>º</w:t>
      </w:r>
      <w:r w:rsidR="007538D5" w:rsidRPr="00FA3856">
        <w:rPr>
          <w:rFonts w:ascii="Times New Roman" w:hAnsi="Times New Roman" w:cs="Times New Roman"/>
          <w:szCs w:val="20"/>
        </w:rPr>
        <w:t xml:space="preserve"> da Lei n</w:t>
      </w:r>
      <w:r w:rsidR="007538D5" w:rsidRPr="00FA3856">
        <w:rPr>
          <w:rFonts w:ascii="Times New Roman" w:hAnsi="Times New Roman" w:cs="Times New Roman"/>
          <w:strike/>
          <w:szCs w:val="20"/>
        </w:rPr>
        <w:t>º</w:t>
      </w:r>
      <w:r w:rsidR="007538D5" w:rsidRPr="00FA3856">
        <w:rPr>
          <w:rFonts w:ascii="Times New Roman" w:hAnsi="Times New Roman" w:cs="Times New Roman"/>
          <w:szCs w:val="20"/>
        </w:rPr>
        <w:t xml:space="preserve"> 8.167, de 1991, alterado pela Medida Provisória n</w:t>
      </w:r>
      <w:r w:rsidR="007538D5" w:rsidRPr="00FA3856">
        <w:rPr>
          <w:rFonts w:ascii="Times New Roman" w:hAnsi="Times New Roman" w:cs="Times New Roman"/>
          <w:strike/>
          <w:szCs w:val="20"/>
        </w:rPr>
        <w:t>º</w:t>
      </w:r>
      <w:r w:rsidR="007538D5" w:rsidRPr="00FA3856">
        <w:rPr>
          <w:rFonts w:ascii="Times New Roman" w:hAnsi="Times New Roman" w:cs="Times New Roman"/>
          <w:szCs w:val="20"/>
        </w:rPr>
        <w:t xml:space="preserve"> 2.199-14, de 24 de agosto de 2001, titulares de empreendimento de setor da economia considerado, em ato do Poder Executivo, prioritário para o desenvolvimento regional, aprovado ou protocolizado até 2 de maio de 2001 nas áreas da Sudam e da Sudene (MP n</w:t>
      </w:r>
      <w:r w:rsidR="007538D5" w:rsidRPr="00FA3856">
        <w:rPr>
          <w:rFonts w:ascii="Times New Roman" w:hAnsi="Times New Roman" w:cs="Times New Roman"/>
          <w:strike/>
          <w:szCs w:val="20"/>
        </w:rPr>
        <w:t>º</w:t>
      </w:r>
      <w:r w:rsidR="007538D5" w:rsidRPr="00FA3856">
        <w:rPr>
          <w:rFonts w:ascii="Times New Roman" w:hAnsi="Times New Roman" w:cs="Times New Roman"/>
          <w:szCs w:val="20"/>
        </w:rPr>
        <w:t xml:space="preserve"> 2.199-14, de 2001, art. 4</w:t>
      </w:r>
      <w:r w:rsidR="007538D5" w:rsidRPr="00FA3856">
        <w:rPr>
          <w:rFonts w:ascii="Times New Roman" w:hAnsi="Times New Roman" w:cs="Times New Roman"/>
          <w:strike/>
          <w:szCs w:val="20"/>
        </w:rPr>
        <w:t>º</w:t>
      </w:r>
      <w:r w:rsidR="007538D5" w:rsidRPr="00FA3856">
        <w:rPr>
          <w:rFonts w:ascii="Times New Roman" w:hAnsi="Times New Roman" w:cs="Times New Roman"/>
          <w:szCs w:val="20"/>
        </w:rPr>
        <w:t xml:space="preserve"> e MP n</w:t>
      </w:r>
      <w:r w:rsidR="007538D5" w:rsidRPr="00FA3856">
        <w:rPr>
          <w:rFonts w:ascii="Times New Roman" w:hAnsi="Times New Roman" w:cs="Times New Roman"/>
          <w:strike/>
          <w:szCs w:val="20"/>
        </w:rPr>
        <w:t>º</w:t>
      </w:r>
      <w:r w:rsidR="007538D5" w:rsidRPr="00FA3856">
        <w:rPr>
          <w:rFonts w:ascii="Times New Roman" w:hAnsi="Times New Roman" w:cs="Times New Roman"/>
          <w:szCs w:val="20"/>
        </w:rPr>
        <w:t xml:space="preserve"> 2.145, de 2 de maio de 2001, art. 50, inciso XX, atuais MP n</w:t>
      </w:r>
      <w:r w:rsidR="007538D5" w:rsidRPr="00FA3856">
        <w:rPr>
          <w:rFonts w:ascii="Times New Roman" w:hAnsi="Times New Roman" w:cs="Times New Roman"/>
          <w:strike/>
          <w:szCs w:val="20"/>
        </w:rPr>
        <w:t>º</w:t>
      </w:r>
      <w:r w:rsidR="007538D5" w:rsidRPr="00FA3856">
        <w:rPr>
          <w:rFonts w:ascii="Times New Roman" w:hAnsi="Times New Roman" w:cs="Times New Roman"/>
          <w:szCs w:val="20"/>
        </w:rPr>
        <w:t xml:space="preserve"> 2.156-5, de 2001, art. 32, inciso XVIII, e n</w:t>
      </w:r>
      <w:r w:rsidR="007538D5" w:rsidRPr="00FA3856">
        <w:rPr>
          <w:rFonts w:ascii="Times New Roman" w:hAnsi="Times New Roman" w:cs="Times New Roman"/>
          <w:strike/>
          <w:szCs w:val="20"/>
        </w:rPr>
        <w:t>º</w:t>
      </w:r>
      <w:r w:rsidR="007538D5" w:rsidRPr="00FA3856">
        <w:rPr>
          <w:rFonts w:ascii="Times New Roman" w:hAnsi="Times New Roman" w:cs="Times New Roman"/>
          <w:szCs w:val="20"/>
        </w:rPr>
        <w:t xml:space="preserve"> 2.157-5, de 2001, art. 32, inciso IV), e MP nº 634, de 2013, arts. 1º e 2º.</w:t>
      </w:r>
    </w:p>
    <w:p w:rsidR="00E06134" w:rsidRPr="00FA3856" w:rsidRDefault="00E06134" w:rsidP="007538D5">
      <w:pPr>
        <w:pStyle w:val="NormalWeb"/>
        <w:spacing w:before="0" w:after="0"/>
        <w:ind w:left="600"/>
        <w:jc w:val="both"/>
        <w:rPr>
          <w:rFonts w:ascii="Times New Roman" w:hAnsi="Times New Roman" w:cs="Times New Roman"/>
          <w:b/>
          <w:bCs/>
          <w:szCs w:val="20"/>
        </w:rPr>
      </w:pPr>
    </w:p>
    <w:p w:rsidR="00E06134" w:rsidRPr="00FA3856" w:rsidRDefault="007538D5" w:rsidP="00AD51BC">
      <w:pPr>
        <w:pStyle w:val="NormalWeb"/>
        <w:spacing w:before="0" w:after="0"/>
        <w:ind w:left="600"/>
        <w:jc w:val="both"/>
        <w:rPr>
          <w:rFonts w:ascii="Times New Roman" w:hAnsi="Times New Roman" w:cs="Times New Roman"/>
          <w:szCs w:val="20"/>
        </w:rPr>
      </w:pPr>
      <w:r w:rsidRPr="00FA3856">
        <w:rPr>
          <w:rFonts w:ascii="Times New Roman" w:hAnsi="Times New Roman" w:cs="Times New Roman"/>
          <w:b/>
          <w:bCs/>
          <w:szCs w:val="20"/>
        </w:rPr>
        <w:t>Atenção:</w:t>
      </w:r>
    </w:p>
    <w:p w:rsidR="007538D5" w:rsidRPr="00FA3856" w:rsidRDefault="007538D5" w:rsidP="007538D5">
      <w:pPr>
        <w:pStyle w:val="NormalWeb"/>
        <w:spacing w:before="0" w:after="0"/>
        <w:ind w:left="600"/>
        <w:jc w:val="both"/>
        <w:rPr>
          <w:rFonts w:ascii="Times New Roman" w:hAnsi="Times New Roman" w:cs="Times New Roman"/>
          <w:szCs w:val="20"/>
        </w:rPr>
      </w:pPr>
      <w:r w:rsidRPr="00FA3856">
        <w:rPr>
          <w:rFonts w:ascii="Times New Roman" w:hAnsi="Times New Roman" w:cs="Times New Roman"/>
          <w:szCs w:val="20"/>
        </w:rPr>
        <w:t>1) As aplicações somente podem ser efetuadas até o final do prazo previsto para a implantação do projeto, desde que o projeto esteja em situação de regularidade, cumpridos todos os requisitos previstos e os cronogramas aprovados.</w:t>
      </w:r>
    </w:p>
    <w:p w:rsidR="007538D5" w:rsidRPr="00FA3856" w:rsidRDefault="007538D5" w:rsidP="007538D5">
      <w:pPr>
        <w:pStyle w:val="NormalWeb"/>
        <w:spacing w:before="0" w:after="0"/>
        <w:ind w:left="600"/>
        <w:jc w:val="both"/>
        <w:rPr>
          <w:rFonts w:ascii="Times New Roman" w:hAnsi="Times New Roman" w:cs="Times New Roman"/>
          <w:szCs w:val="20"/>
        </w:rPr>
      </w:pPr>
      <w:r w:rsidRPr="00FA3856">
        <w:rPr>
          <w:rFonts w:ascii="Times New Roman" w:hAnsi="Times New Roman" w:cs="Times New Roman"/>
          <w:szCs w:val="20"/>
        </w:rPr>
        <w:t>2) após 2 de maio de 2001, é veda</w:t>
      </w:r>
      <w:r w:rsidR="001A67B7" w:rsidRPr="00FA3856">
        <w:rPr>
          <w:rFonts w:ascii="Times New Roman" w:hAnsi="Times New Roman" w:cs="Times New Roman"/>
          <w:szCs w:val="20"/>
        </w:rPr>
        <w:t>da a aplicação nos fundos Finor e</w:t>
      </w:r>
      <w:r w:rsidRPr="00FA3856">
        <w:rPr>
          <w:rFonts w:ascii="Times New Roman" w:hAnsi="Times New Roman" w:cs="Times New Roman"/>
          <w:szCs w:val="20"/>
        </w:rPr>
        <w:t xml:space="preserve"> Finam pelas pessoas jurídicas que não se enquadram nas condições do art. 9</w:t>
      </w:r>
      <w:r w:rsidRPr="00FA3856">
        <w:rPr>
          <w:rFonts w:ascii="Times New Roman" w:hAnsi="Times New Roman" w:cs="Times New Roman"/>
          <w:strike/>
          <w:szCs w:val="20"/>
        </w:rPr>
        <w:t>º</w:t>
      </w:r>
      <w:r w:rsidRPr="00FA3856">
        <w:rPr>
          <w:rFonts w:ascii="Times New Roman" w:hAnsi="Times New Roman" w:cs="Times New Roman"/>
          <w:szCs w:val="20"/>
        </w:rPr>
        <w:t xml:space="preserve"> da Lei n</w:t>
      </w:r>
      <w:r w:rsidRPr="00FA3856">
        <w:rPr>
          <w:rFonts w:ascii="Times New Roman" w:hAnsi="Times New Roman" w:cs="Times New Roman"/>
          <w:strike/>
          <w:szCs w:val="20"/>
        </w:rPr>
        <w:t>º</w:t>
      </w:r>
      <w:r w:rsidRPr="00FA3856">
        <w:rPr>
          <w:rFonts w:ascii="Times New Roman" w:hAnsi="Times New Roman" w:cs="Times New Roman"/>
          <w:szCs w:val="20"/>
        </w:rPr>
        <w:t xml:space="preserve"> 8.167, de 1991 (MP n</w:t>
      </w:r>
      <w:r w:rsidRPr="00FA3856">
        <w:rPr>
          <w:rFonts w:ascii="Times New Roman" w:hAnsi="Times New Roman" w:cs="Times New Roman"/>
          <w:strike/>
          <w:szCs w:val="20"/>
        </w:rPr>
        <w:t>º</w:t>
      </w:r>
      <w:r w:rsidRPr="00FA3856">
        <w:rPr>
          <w:rFonts w:ascii="Times New Roman" w:hAnsi="Times New Roman" w:cs="Times New Roman"/>
          <w:szCs w:val="20"/>
        </w:rPr>
        <w:t xml:space="preserve"> 2.145, de 2 de maio de 2001, art. 50, inciso XX, atuais MP n</w:t>
      </w:r>
      <w:r w:rsidRPr="00FA3856">
        <w:rPr>
          <w:rFonts w:ascii="Times New Roman" w:hAnsi="Times New Roman" w:cs="Times New Roman"/>
          <w:strike/>
          <w:szCs w:val="20"/>
        </w:rPr>
        <w:t>º</w:t>
      </w:r>
      <w:r w:rsidRPr="00FA3856">
        <w:rPr>
          <w:rFonts w:ascii="Times New Roman" w:hAnsi="Times New Roman" w:cs="Times New Roman"/>
          <w:szCs w:val="20"/>
        </w:rPr>
        <w:t xml:space="preserve"> 2.156-5, de 2001, art. 32, inciso XVIII, e n</w:t>
      </w:r>
      <w:r w:rsidRPr="00FA3856">
        <w:rPr>
          <w:rFonts w:ascii="Times New Roman" w:hAnsi="Times New Roman" w:cs="Times New Roman"/>
          <w:strike/>
          <w:szCs w:val="20"/>
        </w:rPr>
        <w:t>º</w:t>
      </w:r>
      <w:r w:rsidRPr="00FA3856">
        <w:rPr>
          <w:rFonts w:ascii="Times New Roman" w:hAnsi="Times New Roman" w:cs="Times New Roman"/>
          <w:szCs w:val="20"/>
        </w:rPr>
        <w:t xml:space="preserve"> 2.157-5, de 2001, art. 32, inciso IV e MP nº 634, de 2013, arts. 1º e 2º).</w:t>
      </w:r>
    </w:p>
    <w:p w:rsidR="00E06134" w:rsidRPr="00FA3856" w:rsidRDefault="00E06134" w:rsidP="007538D5">
      <w:pPr>
        <w:pStyle w:val="NormalWeb"/>
        <w:spacing w:before="0" w:after="0"/>
        <w:jc w:val="both"/>
        <w:rPr>
          <w:rFonts w:ascii="Times New Roman" w:hAnsi="Times New Roman" w:cs="Times New Roman"/>
          <w:szCs w:val="20"/>
        </w:rPr>
      </w:pPr>
    </w:p>
    <w:p w:rsidR="007538D5" w:rsidRPr="00FA3856" w:rsidRDefault="00AD51BC" w:rsidP="007538D5">
      <w:pPr>
        <w:widowControl w:val="0"/>
        <w:jc w:val="both"/>
        <w:rPr>
          <w:szCs w:val="20"/>
        </w:rPr>
      </w:pPr>
      <w:r w:rsidRPr="00FA3856">
        <w:rPr>
          <w:b/>
          <w:bCs/>
          <w:szCs w:val="20"/>
        </w:rPr>
        <w:t>Exemplo 01:</w:t>
      </w:r>
    </w:p>
    <w:tbl>
      <w:tblPr>
        <w:tblW w:w="9356" w:type="dxa"/>
        <w:jc w:val="center"/>
        <w:tblCellSpacing w:w="0" w:type="dxa"/>
        <w:tblBorders>
          <w:top w:val="single" w:sz="6" w:space="0" w:color="000000"/>
          <w:left w:val="single" w:sz="6" w:space="0" w:color="000000"/>
          <w:bottom w:val="single" w:sz="6" w:space="0" w:color="000000"/>
          <w:right w:val="single" w:sz="6" w:space="0" w:color="000000"/>
        </w:tblBorders>
        <w:tblCellMar>
          <w:left w:w="70" w:type="dxa"/>
          <w:right w:w="70" w:type="dxa"/>
        </w:tblCellMar>
        <w:tblLook w:val="04A0" w:firstRow="1" w:lastRow="0" w:firstColumn="1" w:lastColumn="0" w:noHBand="0" w:noVBand="1"/>
      </w:tblPr>
      <w:tblGrid>
        <w:gridCol w:w="5040"/>
        <w:gridCol w:w="2160"/>
        <w:gridCol w:w="2156"/>
      </w:tblGrid>
      <w:tr w:rsidR="007538D5" w:rsidRPr="00FA3856" w:rsidTr="00AD51BC">
        <w:trPr>
          <w:tblCellSpacing w:w="0" w:type="dxa"/>
          <w:jc w:val="center"/>
        </w:trPr>
        <w:tc>
          <w:tcPr>
            <w:tcW w:w="720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7538D5" w:rsidRPr="00FA3856" w:rsidRDefault="007538D5" w:rsidP="007538D5">
            <w:pPr>
              <w:widowControl w:val="0"/>
              <w:jc w:val="both"/>
              <w:rPr>
                <w:szCs w:val="20"/>
              </w:rPr>
            </w:pPr>
            <w:r w:rsidRPr="00FA3856">
              <w:rPr>
                <w:szCs w:val="20"/>
              </w:rPr>
              <w:t>01 - BASE DE CÁLCULO DOS INCENTIVOS FISCAIS</w:t>
            </w:r>
          </w:p>
        </w:tc>
        <w:tc>
          <w:tcPr>
            <w:tcW w:w="215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7538D5" w:rsidRPr="00FA3856" w:rsidRDefault="007538D5" w:rsidP="00AD51BC">
            <w:pPr>
              <w:widowControl w:val="0"/>
              <w:jc w:val="right"/>
              <w:rPr>
                <w:szCs w:val="20"/>
              </w:rPr>
            </w:pPr>
            <w:r w:rsidRPr="00FA3856">
              <w:rPr>
                <w:szCs w:val="20"/>
              </w:rPr>
              <w:t>2.000,00</w:t>
            </w:r>
          </w:p>
        </w:tc>
      </w:tr>
      <w:tr w:rsidR="007538D5" w:rsidRPr="00FA3856" w:rsidTr="00AD51BC">
        <w:trPr>
          <w:tblCellSpacing w:w="0" w:type="dxa"/>
          <w:jc w:val="center"/>
        </w:trPr>
        <w:tc>
          <w:tcPr>
            <w:tcW w:w="50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7538D5" w:rsidRPr="00FA3856" w:rsidRDefault="007538D5" w:rsidP="007538D5">
            <w:pPr>
              <w:jc w:val="both"/>
              <w:rPr>
                <w:szCs w:val="20"/>
              </w:rPr>
            </w:pPr>
            <w:r w:rsidRPr="00FA3856">
              <w:rPr>
                <w:szCs w:val="20"/>
              </w:rPr>
              <w:t> </w:t>
            </w:r>
          </w:p>
        </w:tc>
        <w:tc>
          <w:tcPr>
            <w:tcW w:w="216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7538D5" w:rsidRPr="00FA3856" w:rsidRDefault="007538D5" w:rsidP="00AD51BC">
            <w:pPr>
              <w:pStyle w:val="Corpodetexto"/>
              <w:widowControl w:val="0"/>
              <w:jc w:val="center"/>
              <w:rPr>
                <w:rFonts w:ascii="Times New Roman" w:hAnsi="Times New Roman"/>
                <w:szCs w:val="20"/>
              </w:rPr>
            </w:pPr>
            <w:r w:rsidRPr="00FA3856">
              <w:rPr>
                <w:rFonts w:ascii="Times New Roman" w:hAnsi="Times New Roman"/>
                <w:szCs w:val="20"/>
              </w:rPr>
              <w:t>PERCENTUAL (%)</w:t>
            </w:r>
          </w:p>
        </w:tc>
        <w:tc>
          <w:tcPr>
            <w:tcW w:w="215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7538D5" w:rsidRPr="00FA3856" w:rsidRDefault="007538D5" w:rsidP="00AD51BC">
            <w:pPr>
              <w:widowControl w:val="0"/>
              <w:jc w:val="center"/>
              <w:rPr>
                <w:szCs w:val="20"/>
              </w:rPr>
            </w:pPr>
            <w:r w:rsidRPr="00FA3856">
              <w:rPr>
                <w:szCs w:val="20"/>
              </w:rPr>
              <w:t>VALOR LÍQUIDO DO INCENTIVO</w:t>
            </w:r>
          </w:p>
        </w:tc>
      </w:tr>
      <w:tr w:rsidR="007538D5" w:rsidRPr="00FA3856" w:rsidTr="00AD51BC">
        <w:trPr>
          <w:tblCellSpacing w:w="0" w:type="dxa"/>
          <w:jc w:val="center"/>
        </w:trPr>
        <w:tc>
          <w:tcPr>
            <w:tcW w:w="50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7538D5" w:rsidRPr="00FA3856" w:rsidRDefault="007538D5" w:rsidP="007538D5">
            <w:pPr>
              <w:widowControl w:val="0"/>
              <w:jc w:val="both"/>
              <w:rPr>
                <w:szCs w:val="20"/>
              </w:rPr>
            </w:pPr>
            <w:r w:rsidRPr="00FA3856">
              <w:rPr>
                <w:szCs w:val="20"/>
              </w:rPr>
              <w:t>02 - Finor (até 6%)</w:t>
            </w:r>
          </w:p>
        </w:tc>
        <w:tc>
          <w:tcPr>
            <w:tcW w:w="216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7538D5" w:rsidRPr="00FA3856" w:rsidRDefault="007538D5" w:rsidP="00AD51BC">
            <w:pPr>
              <w:widowControl w:val="0"/>
              <w:jc w:val="center"/>
              <w:rPr>
                <w:szCs w:val="20"/>
              </w:rPr>
            </w:pPr>
            <w:r w:rsidRPr="00FA3856">
              <w:rPr>
                <w:szCs w:val="20"/>
              </w:rPr>
              <w:t>0,60%</w:t>
            </w:r>
          </w:p>
        </w:tc>
        <w:tc>
          <w:tcPr>
            <w:tcW w:w="215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7538D5" w:rsidRPr="00FA3856" w:rsidRDefault="007538D5" w:rsidP="00AD51BC">
            <w:pPr>
              <w:widowControl w:val="0"/>
              <w:jc w:val="center"/>
              <w:rPr>
                <w:szCs w:val="20"/>
              </w:rPr>
            </w:pPr>
            <w:r w:rsidRPr="00FA3856">
              <w:rPr>
                <w:szCs w:val="20"/>
              </w:rPr>
              <w:t>12,00</w:t>
            </w:r>
          </w:p>
        </w:tc>
      </w:tr>
      <w:tr w:rsidR="007538D5" w:rsidRPr="00FA3856" w:rsidTr="00AD51BC">
        <w:trPr>
          <w:tblCellSpacing w:w="0" w:type="dxa"/>
          <w:jc w:val="center"/>
        </w:trPr>
        <w:tc>
          <w:tcPr>
            <w:tcW w:w="50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7538D5" w:rsidRPr="00FA3856" w:rsidRDefault="007538D5" w:rsidP="007538D5">
            <w:pPr>
              <w:widowControl w:val="0"/>
              <w:jc w:val="both"/>
              <w:rPr>
                <w:szCs w:val="20"/>
              </w:rPr>
            </w:pPr>
            <w:r w:rsidRPr="00FA3856">
              <w:rPr>
                <w:szCs w:val="20"/>
              </w:rPr>
              <w:t>03 - Finam (até 6%)</w:t>
            </w:r>
          </w:p>
        </w:tc>
        <w:tc>
          <w:tcPr>
            <w:tcW w:w="216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7538D5" w:rsidRPr="00FA3856" w:rsidRDefault="007538D5" w:rsidP="00AD51BC">
            <w:pPr>
              <w:jc w:val="center"/>
              <w:rPr>
                <w:szCs w:val="20"/>
              </w:rPr>
            </w:pPr>
          </w:p>
        </w:tc>
        <w:tc>
          <w:tcPr>
            <w:tcW w:w="215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7538D5" w:rsidRPr="00FA3856" w:rsidRDefault="007538D5" w:rsidP="00AD51BC">
            <w:pPr>
              <w:jc w:val="center"/>
              <w:rPr>
                <w:szCs w:val="20"/>
              </w:rPr>
            </w:pPr>
          </w:p>
        </w:tc>
      </w:tr>
      <w:tr w:rsidR="007538D5" w:rsidRPr="00FA3856" w:rsidTr="00AD51BC">
        <w:trPr>
          <w:tblCellSpacing w:w="0" w:type="dxa"/>
          <w:jc w:val="center"/>
        </w:trPr>
        <w:tc>
          <w:tcPr>
            <w:tcW w:w="50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7538D5" w:rsidRPr="00FA3856" w:rsidRDefault="007538D5" w:rsidP="007538D5">
            <w:pPr>
              <w:widowControl w:val="0"/>
              <w:jc w:val="both"/>
              <w:rPr>
                <w:szCs w:val="20"/>
              </w:rPr>
            </w:pPr>
            <w:r w:rsidRPr="00FA3856">
              <w:rPr>
                <w:szCs w:val="20"/>
              </w:rPr>
              <w:t xml:space="preserve">04 </w:t>
            </w:r>
            <w:r w:rsidR="001A67B7" w:rsidRPr="00FA3856">
              <w:rPr>
                <w:szCs w:val="20"/>
              </w:rPr>
              <w:t>- TOTAL DOS INCENTIVOS (até 6%)</w:t>
            </w:r>
          </w:p>
        </w:tc>
        <w:tc>
          <w:tcPr>
            <w:tcW w:w="216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7538D5" w:rsidRPr="00FA3856" w:rsidRDefault="007538D5" w:rsidP="00AD51BC">
            <w:pPr>
              <w:widowControl w:val="0"/>
              <w:jc w:val="center"/>
              <w:rPr>
                <w:szCs w:val="20"/>
              </w:rPr>
            </w:pPr>
            <w:r w:rsidRPr="00FA3856">
              <w:rPr>
                <w:szCs w:val="20"/>
              </w:rPr>
              <w:t>0,60%</w:t>
            </w:r>
          </w:p>
        </w:tc>
        <w:tc>
          <w:tcPr>
            <w:tcW w:w="215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7538D5" w:rsidRPr="00FA3856" w:rsidRDefault="007538D5" w:rsidP="00AD51BC">
            <w:pPr>
              <w:widowControl w:val="0"/>
              <w:jc w:val="center"/>
              <w:rPr>
                <w:szCs w:val="20"/>
              </w:rPr>
            </w:pPr>
            <w:r w:rsidRPr="00FA3856">
              <w:rPr>
                <w:szCs w:val="20"/>
              </w:rPr>
              <w:t>12,00</w:t>
            </w:r>
          </w:p>
        </w:tc>
      </w:tr>
    </w:tbl>
    <w:p w:rsidR="001A67B7" w:rsidRPr="00FA3856" w:rsidRDefault="001A67B7" w:rsidP="007538D5">
      <w:pPr>
        <w:widowControl w:val="0"/>
        <w:jc w:val="both"/>
        <w:rPr>
          <w:b/>
          <w:bCs/>
          <w:szCs w:val="20"/>
        </w:rPr>
      </w:pPr>
    </w:p>
    <w:p w:rsidR="007538D5" w:rsidRPr="00FA3856" w:rsidRDefault="00AD51BC" w:rsidP="007538D5">
      <w:pPr>
        <w:widowControl w:val="0"/>
        <w:jc w:val="both"/>
        <w:rPr>
          <w:szCs w:val="20"/>
        </w:rPr>
      </w:pPr>
      <w:r w:rsidRPr="00FA3856">
        <w:rPr>
          <w:b/>
          <w:bCs/>
          <w:szCs w:val="20"/>
        </w:rPr>
        <w:t>Exemplo 02:</w:t>
      </w:r>
    </w:p>
    <w:tbl>
      <w:tblPr>
        <w:tblW w:w="9356" w:type="dxa"/>
        <w:jc w:val="center"/>
        <w:tblCellSpacing w:w="0" w:type="dxa"/>
        <w:tblBorders>
          <w:top w:val="single" w:sz="6" w:space="0" w:color="000000"/>
          <w:left w:val="single" w:sz="6" w:space="0" w:color="000000"/>
          <w:bottom w:val="single" w:sz="6" w:space="0" w:color="000000"/>
          <w:right w:val="single" w:sz="6" w:space="0" w:color="000000"/>
        </w:tblBorders>
        <w:tblCellMar>
          <w:left w:w="70" w:type="dxa"/>
          <w:right w:w="70" w:type="dxa"/>
        </w:tblCellMar>
        <w:tblLook w:val="04A0" w:firstRow="1" w:lastRow="0" w:firstColumn="1" w:lastColumn="0" w:noHBand="0" w:noVBand="1"/>
      </w:tblPr>
      <w:tblGrid>
        <w:gridCol w:w="5040"/>
        <w:gridCol w:w="2160"/>
        <w:gridCol w:w="2156"/>
      </w:tblGrid>
      <w:tr w:rsidR="007538D5" w:rsidRPr="00FA3856" w:rsidTr="007538D5">
        <w:trPr>
          <w:tblCellSpacing w:w="0" w:type="dxa"/>
          <w:jc w:val="center"/>
        </w:trPr>
        <w:tc>
          <w:tcPr>
            <w:tcW w:w="720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7538D5" w:rsidRPr="00FA3856" w:rsidRDefault="007538D5" w:rsidP="007538D5">
            <w:pPr>
              <w:widowControl w:val="0"/>
              <w:jc w:val="both"/>
              <w:rPr>
                <w:szCs w:val="20"/>
              </w:rPr>
            </w:pPr>
            <w:r w:rsidRPr="00FA3856">
              <w:rPr>
                <w:szCs w:val="20"/>
              </w:rPr>
              <w:t>01 - BASE DE CÁLCULO DOS INCENTIVOS FISCAIS</w:t>
            </w:r>
          </w:p>
        </w:tc>
        <w:tc>
          <w:tcPr>
            <w:tcW w:w="215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7538D5" w:rsidRPr="00FA3856" w:rsidRDefault="007538D5" w:rsidP="007538D5">
            <w:pPr>
              <w:widowControl w:val="0"/>
              <w:jc w:val="right"/>
              <w:rPr>
                <w:szCs w:val="20"/>
              </w:rPr>
            </w:pPr>
            <w:r w:rsidRPr="00FA3856">
              <w:rPr>
                <w:szCs w:val="20"/>
              </w:rPr>
              <w:t>2.000,00</w:t>
            </w:r>
          </w:p>
        </w:tc>
      </w:tr>
      <w:tr w:rsidR="007538D5" w:rsidRPr="00FA3856" w:rsidTr="007538D5">
        <w:trPr>
          <w:tblCellSpacing w:w="0" w:type="dxa"/>
          <w:jc w:val="center"/>
        </w:trPr>
        <w:tc>
          <w:tcPr>
            <w:tcW w:w="50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7538D5" w:rsidRPr="00FA3856" w:rsidRDefault="007538D5" w:rsidP="007538D5">
            <w:pPr>
              <w:jc w:val="both"/>
              <w:rPr>
                <w:szCs w:val="20"/>
              </w:rPr>
            </w:pPr>
            <w:r w:rsidRPr="00FA3856">
              <w:rPr>
                <w:szCs w:val="20"/>
              </w:rPr>
              <w:t> </w:t>
            </w:r>
          </w:p>
        </w:tc>
        <w:tc>
          <w:tcPr>
            <w:tcW w:w="216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7538D5" w:rsidRPr="00FA3856" w:rsidRDefault="007538D5" w:rsidP="007538D5">
            <w:pPr>
              <w:pStyle w:val="Corpodetexto"/>
              <w:widowControl w:val="0"/>
              <w:jc w:val="center"/>
              <w:rPr>
                <w:rFonts w:ascii="Times New Roman" w:hAnsi="Times New Roman"/>
                <w:szCs w:val="20"/>
              </w:rPr>
            </w:pPr>
            <w:r w:rsidRPr="00FA3856">
              <w:rPr>
                <w:rFonts w:ascii="Times New Roman" w:hAnsi="Times New Roman"/>
                <w:szCs w:val="20"/>
              </w:rPr>
              <w:t>PERCENTUAL (%)</w:t>
            </w:r>
          </w:p>
        </w:tc>
        <w:tc>
          <w:tcPr>
            <w:tcW w:w="215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7538D5" w:rsidRPr="00FA3856" w:rsidRDefault="007538D5" w:rsidP="007538D5">
            <w:pPr>
              <w:widowControl w:val="0"/>
              <w:jc w:val="center"/>
              <w:rPr>
                <w:szCs w:val="20"/>
              </w:rPr>
            </w:pPr>
            <w:r w:rsidRPr="00FA3856">
              <w:rPr>
                <w:szCs w:val="20"/>
              </w:rPr>
              <w:t>VALOR LÍQUIDO DO INCENTIVO</w:t>
            </w:r>
          </w:p>
        </w:tc>
      </w:tr>
      <w:tr w:rsidR="007538D5" w:rsidRPr="00FA3856" w:rsidTr="007538D5">
        <w:trPr>
          <w:tblCellSpacing w:w="0" w:type="dxa"/>
          <w:jc w:val="center"/>
        </w:trPr>
        <w:tc>
          <w:tcPr>
            <w:tcW w:w="50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7538D5" w:rsidRPr="00FA3856" w:rsidRDefault="007538D5" w:rsidP="007538D5">
            <w:pPr>
              <w:widowControl w:val="0"/>
              <w:jc w:val="both"/>
              <w:rPr>
                <w:szCs w:val="20"/>
              </w:rPr>
            </w:pPr>
            <w:r w:rsidRPr="00FA3856">
              <w:rPr>
                <w:szCs w:val="20"/>
              </w:rPr>
              <w:t>02 - Finor (até 6%)</w:t>
            </w:r>
          </w:p>
        </w:tc>
        <w:tc>
          <w:tcPr>
            <w:tcW w:w="216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7538D5" w:rsidRPr="00FA3856" w:rsidRDefault="007538D5" w:rsidP="007538D5">
            <w:pPr>
              <w:widowControl w:val="0"/>
              <w:jc w:val="center"/>
              <w:rPr>
                <w:szCs w:val="20"/>
              </w:rPr>
            </w:pPr>
            <w:r w:rsidRPr="00FA3856">
              <w:rPr>
                <w:szCs w:val="20"/>
              </w:rPr>
              <w:t>3,00%</w:t>
            </w:r>
          </w:p>
        </w:tc>
        <w:tc>
          <w:tcPr>
            <w:tcW w:w="215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7538D5" w:rsidRPr="00FA3856" w:rsidRDefault="007538D5" w:rsidP="007538D5">
            <w:pPr>
              <w:widowControl w:val="0"/>
              <w:jc w:val="center"/>
              <w:rPr>
                <w:szCs w:val="20"/>
              </w:rPr>
            </w:pPr>
            <w:r w:rsidRPr="00FA3856">
              <w:rPr>
                <w:szCs w:val="20"/>
              </w:rPr>
              <w:t>60,00</w:t>
            </w:r>
          </w:p>
        </w:tc>
      </w:tr>
      <w:tr w:rsidR="007538D5" w:rsidRPr="00FA3856" w:rsidTr="007538D5">
        <w:trPr>
          <w:tblCellSpacing w:w="0" w:type="dxa"/>
          <w:jc w:val="center"/>
        </w:trPr>
        <w:tc>
          <w:tcPr>
            <w:tcW w:w="50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7538D5" w:rsidRPr="00FA3856" w:rsidRDefault="007538D5" w:rsidP="007538D5">
            <w:pPr>
              <w:widowControl w:val="0"/>
              <w:jc w:val="both"/>
              <w:rPr>
                <w:szCs w:val="20"/>
              </w:rPr>
            </w:pPr>
            <w:r w:rsidRPr="00FA3856">
              <w:rPr>
                <w:szCs w:val="20"/>
              </w:rPr>
              <w:t>03 - Finam (até 6%)</w:t>
            </w:r>
          </w:p>
        </w:tc>
        <w:tc>
          <w:tcPr>
            <w:tcW w:w="216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7538D5" w:rsidRPr="00FA3856" w:rsidRDefault="007538D5" w:rsidP="007538D5">
            <w:pPr>
              <w:jc w:val="center"/>
              <w:rPr>
                <w:szCs w:val="20"/>
              </w:rPr>
            </w:pPr>
          </w:p>
        </w:tc>
        <w:tc>
          <w:tcPr>
            <w:tcW w:w="215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7538D5" w:rsidRPr="00FA3856" w:rsidRDefault="007538D5" w:rsidP="007538D5">
            <w:pPr>
              <w:jc w:val="center"/>
              <w:rPr>
                <w:szCs w:val="20"/>
              </w:rPr>
            </w:pPr>
          </w:p>
        </w:tc>
      </w:tr>
      <w:tr w:rsidR="007538D5" w:rsidRPr="00FA3856" w:rsidTr="007538D5">
        <w:trPr>
          <w:tblCellSpacing w:w="0" w:type="dxa"/>
          <w:jc w:val="center"/>
        </w:trPr>
        <w:tc>
          <w:tcPr>
            <w:tcW w:w="50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7538D5" w:rsidRPr="00FA3856" w:rsidRDefault="007538D5" w:rsidP="007538D5">
            <w:pPr>
              <w:widowControl w:val="0"/>
              <w:jc w:val="both"/>
              <w:rPr>
                <w:szCs w:val="20"/>
              </w:rPr>
            </w:pPr>
            <w:r w:rsidRPr="00FA3856">
              <w:rPr>
                <w:szCs w:val="20"/>
              </w:rPr>
              <w:t xml:space="preserve">04 </w:t>
            </w:r>
            <w:r w:rsidR="001A67B7" w:rsidRPr="00FA3856">
              <w:rPr>
                <w:szCs w:val="20"/>
              </w:rPr>
              <w:t>- TOTAL DOS INCENTIVOS (até 6%)</w:t>
            </w:r>
          </w:p>
        </w:tc>
        <w:tc>
          <w:tcPr>
            <w:tcW w:w="216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7538D5" w:rsidRPr="00FA3856" w:rsidRDefault="007538D5" w:rsidP="007538D5">
            <w:pPr>
              <w:widowControl w:val="0"/>
              <w:jc w:val="center"/>
              <w:rPr>
                <w:szCs w:val="20"/>
              </w:rPr>
            </w:pPr>
            <w:r w:rsidRPr="00FA3856">
              <w:rPr>
                <w:szCs w:val="20"/>
              </w:rPr>
              <w:t>3,00%</w:t>
            </w:r>
          </w:p>
        </w:tc>
        <w:tc>
          <w:tcPr>
            <w:tcW w:w="215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7538D5" w:rsidRPr="00FA3856" w:rsidRDefault="007538D5" w:rsidP="007538D5">
            <w:pPr>
              <w:widowControl w:val="0"/>
              <w:jc w:val="center"/>
              <w:rPr>
                <w:szCs w:val="20"/>
              </w:rPr>
            </w:pPr>
            <w:r w:rsidRPr="00FA3856">
              <w:rPr>
                <w:szCs w:val="20"/>
              </w:rPr>
              <w:t>60,00</w:t>
            </w:r>
          </w:p>
        </w:tc>
      </w:tr>
    </w:tbl>
    <w:p w:rsidR="00AD51BC" w:rsidRPr="00FA3856" w:rsidRDefault="00AD51BC" w:rsidP="007538D5">
      <w:pPr>
        <w:widowControl w:val="0"/>
        <w:jc w:val="both"/>
        <w:rPr>
          <w:b/>
          <w:bCs/>
          <w:szCs w:val="20"/>
        </w:rPr>
      </w:pPr>
    </w:p>
    <w:p w:rsidR="007538D5" w:rsidRPr="00FA3856" w:rsidRDefault="00AD51BC" w:rsidP="007538D5">
      <w:pPr>
        <w:widowControl w:val="0"/>
        <w:jc w:val="both"/>
        <w:rPr>
          <w:szCs w:val="20"/>
        </w:rPr>
      </w:pPr>
      <w:r w:rsidRPr="00FA3856">
        <w:rPr>
          <w:b/>
          <w:bCs/>
          <w:szCs w:val="20"/>
        </w:rPr>
        <w:t>Exemplo 03:</w:t>
      </w:r>
    </w:p>
    <w:tbl>
      <w:tblPr>
        <w:tblW w:w="9356" w:type="dxa"/>
        <w:jc w:val="center"/>
        <w:tblCellSpacing w:w="0" w:type="dxa"/>
        <w:tblBorders>
          <w:top w:val="single" w:sz="6" w:space="0" w:color="000000"/>
          <w:left w:val="single" w:sz="6" w:space="0" w:color="000000"/>
          <w:bottom w:val="single" w:sz="6" w:space="0" w:color="000000"/>
          <w:right w:val="single" w:sz="6" w:space="0" w:color="000000"/>
        </w:tblBorders>
        <w:tblCellMar>
          <w:left w:w="70" w:type="dxa"/>
          <w:right w:w="70" w:type="dxa"/>
        </w:tblCellMar>
        <w:tblLook w:val="04A0" w:firstRow="1" w:lastRow="0" w:firstColumn="1" w:lastColumn="0" w:noHBand="0" w:noVBand="1"/>
      </w:tblPr>
      <w:tblGrid>
        <w:gridCol w:w="5040"/>
        <w:gridCol w:w="2160"/>
        <w:gridCol w:w="2156"/>
      </w:tblGrid>
      <w:tr w:rsidR="007538D5" w:rsidRPr="00FA3856" w:rsidTr="007538D5">
        <w:trPr>
          <w:tblCellSpacing w:w="0" w:type="dxa"/>
          <w:jc w:val="center"/>
        </w:trPr>
        <w:tc>
          <w:tcPr>
            <w:tcW w:w="720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7538D5" w:rsidRPr="00FA3856" w:rsidRDefault="007538D5" w:rsidP="007538D5">
            <w:pPr>
              <w:widowControl w:val="0"/>
              <w:jc w:val="both"/>
              <w:rPr>
                <w:szCs w:val="20"/>
              </w:rPr>
            </w:pPr>
            <w:r w:rsidRPr="00FA3856">
              <w:rPr>
                <w:szCs w:val="20"/>
              </w:rPr>
              <w:t>01 - BASE DE CÁLCULO DOS INCENTIVOS FISCAIS</w:t>
            </w:r>
          </w:p>
        </w:tc>
        <w:tc>
          <w:tcPr>
            <w:tcW w:w="215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7538D5" w:rsidRPr="00FA3856" w:rsidRDefault="007538D5" w:rsidP="007538D5">
            <w:pPr>
              <w:widowControl w:val="0"/>
              <w:jc w:val="right"/>
              <w:rPr>
                <w:szCs w:val="20"/>
              </w:rPr>
            </w:pPr>
            <w:r w:rsidRPr="00FA3856">
              <w:rPr>
                <w:szCs w:val="20"/>
              </w:rPr>
              <w:t>2.000,00</w:t>
            </w:r>
          </w:p>
        </w:tc>
      </w:tr>
      <w:tr w:rsidR="007538D5" w:rsidRPr="00FA3856" w:rsidTr="007538D5">
        <w:trPr>
          <w:tblCellSpacing w:w="0" w:type="dxa"/>
          <w:jc w:val="center"/>
        </w:trPr>
        <w:tc>
          <w:tcPr>
            <w:tcW w:w="50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7538D5" w:rsidRPr="00FA3856" w:rsidRDefault="007538D5" w:rsidP="007538D5">
            <w:pPr>
              <w:jc w:val="both"/>
              <w:rPr>
                <w:szCs w:val="20"/>
              </w:rPr>
            </w:pPr>
            <w:r w:rsidRPr="00FA3856">
              <w:rPr>
                <w:szCs w:val="20"/>
              </w:rPr>
              <w:t> </w:t>
            </w:r>
          </w:p>
        </w:tc>
        <w:tc>
          <w:tcPr>
            <w:tcW w:w="216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7538D5" w:rsidRPr="00FA3856" w:rsidRDefault="007538D5" w:rsidP="007538D5">
            <w:pPr>
              <w:pStyle w:val="Corpodetexto"/>
              <w:widowControl w:val="0"/>
              <w:jc w:val="center"/>
              <w:rPr>
                <w:rFonts w:ascii="Times New Roman" w:hAnsi="Times New Roman"/>
                <w:szCs w:val="20"/>
              </w:rPr>
            </w:pPr>
            <w:r w:rsidRPr="00FA3856">
              <w:rPr>
                <w:rFonts w:ascii="Times New Roman" w:hAnsi="Times New Roman"/>
                <w:szCs w:val="20"/>
              </w:rPr>
              <w:t>PERCENTUAL (%)</w:t>
            </w:r>
          </w:p>
        </w:tc>
        <w:tc>
          <w:tcPr>
            <w:tcW w:w="215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7538D5" w:rsidRPr="00FA3856" w:rsidRDefault="007538D5" w:rsidP="007538D5">
            <w:pPr>
              <w:widowControl w:val="0"/>
              <w:jc w:val="center"/>
              <w:rPr>
                <w:szCs w:val="20"/>
              </w:rPr>
            </w:pPr>
            <w:r w:rsidRPr="00FA3856">
              <w:rPr>
                <w:szCs w:val="20"/>
              </w:rPr>
              <w:t>VALOR LÍQUIDO DO INCENTIVO</w:t>
            </w:r>
          </w:p>
        </w:tc>
      </w:tr>
      <w:tr w:rsidR="007538D5" w:rsidRPr="00FA3856" w:rsidTr="007538D5">
        <w:trPr>
          <w:tblCellSpacing w:w="0" w:type="dxa"/>
          <w:jc w:val="center"/>
        </w:trPr>
        <w:tc>
          <w:tcPr>
            <w:tcW w:w="50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7538D5" w:rsidRPr="00FA3856" w:rsidRDefault="007538D5" w:rsidP="007538D5">
            <w:pPr>
              <w:widowControl w:val="0"/>
              <w:jc w:val="both"/>
              <w:rPr>
                <w:szCs w:val="20"/>
              </w:rPr>
            </w:pPr>
            <w:r w:rsidRPr="00FA3856">
              <w:rPr>
                <w:szCs w:val="20"/>
              </w:rPr>
              <w:t>02 - Finor (até 6%)</w:t>
            </w:r>
          </w:p>
        </w:tc>
        <w:tc>
          <w:tcPr>
            <w:tcW w:w="216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7538D5" w:rsidRPr="00FA3856" w:rsidRDefault="007538D5" w:rsidP="007538D5">
            <w:pPr>
              <w:widowControl w:val="0"/>
              <w:jc w:val="center"/>
              <w:rPr>
                <w:szCs w:val="20"/>
              </w:rPr>
            </w:pPr>
            <w:r w:rsidRPr="00FA3856">
              <w:rPr>
                <w:szCs w:val="20"/>
              </w:rPr>
              <w:t>3,00%</w:t>
            </w:r>
          </w:p>
        </w:tc>
        <w:tc>
          <w:tcPr>
            <w:tcW w:w="215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7538D5" w:rsidRPr="00FA3856" w:rsidRDefault="007538D5" w:rsidP="007538D5">
            <w:pPr>
              <w:widowControl w:val="0"/>
              <w:jc w:val="center"/>
              <w:rPr>
                <w:szCs w:val="20"/>
              </w:rPr>
            </w:pPr>
            <w:r w:rsidRPr="00FA3856">
              <w:rPr>
                <w:szCs w:val="20"/>
              </w:rPr>
              <w:t>60,00</w:t>
            </w:r>
          </w:p>
        </w:tc>
      </w:tr>
      <w:tr w:rsidR="007538D5" w:rsidRPr="00FA3856" w:rsidTr="007538D5">
        <w:trPr>
          <w:tblCellSpacing w:w="0" w:type="dxa"/>
          <w:jc w:val="center"/>
        </w:trPr>
        <w:tc>
          <w:tcPr>
            <w:tcW w:w="50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7538D5" w:rsidRPr="00FA3856" w:rsidRDefault="007538D5" w:rsidP="007538D5">
            <w:pPr>
              <w:widowControl w:val="0"/>
              <w:jc w:val="both"/>
              <w:rPr>
                <w:szCs w:val="20"/>
              </w:rPr>
            </w:pPr>
            <w:r w:rsidRPr="00FA3856">
              <w:rPr>
                <w:szCs w:val="20"/>
              </w:rPr>
              <w:t>03 - Finam (até 6%)</w:t>
            </w:r>
          </w:p>
        </w:tc>
        <w:tc>
          <w:tcPr>
            <w:tcW w:w="216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7538D5" w:rsidRPr="00FA3856" w:rsidRDefault="007538D5" w:rsidP="007538D5">
            <w:pPr>
              <w:widowControl w:val="0"/>
              <w:jc w:val="center"/>
              <w:rPr>
                <w:szCs w:val="20"/>
              </w:rPr>
            </w:pPr>
            <w:r w:rsidRPr="00FA3856">
              <w:rPr>
                <w:szCs w:val="20"/>
              </w:rPr>
              <w:t>3,00%</w:t>
            </w:r>
          </w:p>
        </w:tc>
        <w:tc>
          <w:tcPr>
            <w:tcW w:w="215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7538D5" w:rsidRPr="00FA3856" w:rsidRDefault="007538D5" w:rsidP="007538D5">
            <w:pPr>
              <w:widowControl w:val="0"/>
              <w:jc w:val="center"/>
              <w:rPr>
                <w:szCs w:val="20"/>
              </w:rPr>
            </w:pPr>
            <w:r w:rsidRPr="00FA3856">
              <w:rPr>
                <w:szCs w:val="20"/>
              </w:rPr>
              <w:t>60,00</w:t>
            </w:r>
          </w:p>
        </w:tc>
      </w:tr>
      <w:tr w:rsidR="007538D5" w:rsidRPr="00FA3856" w:rsidTr="007538D5">
        <w:trPr>
          <w:tblCellSpacing w:w="0" w:type="dxa"/>
          <w:jc w:val="center"/>
        </w:trPr>
        <w:tc>
          <w:tcPr>
            <w:tcW w:w="50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7538D5" w:rsidRPr="00FA3856" w:rsidRDefault="007538D5" w:rsidP="007538D5">
            <w:pPr>
              <w:widowControl w:val="0"/>
              <w:jc w:val="both"/>
              <w:rPr>
                <w:szCs w:val="20"/>
              </w:rPr>
            </w:pPr>
            <w:r w:rsidRPr="00FA3856">
              <w:rPr>
                <w:szCs w:val="20"/>
              </w:rPr>
              <w:t xml:space="preserve">04 - </w:t>
            </w:r>
            <w:r w:rsidR="001A67B7" w:rsidRPr="00FA3856">
              <w:rPr>
                <w:szCs w:val="20"/>
              </w:rPr>
              <w:t>TOTAL DOS INCENTIVOS (até 6%)</w:t>
            </w:r>
          </w:p>
        </w:tc>
        <w:tc>
          <w:tcPr>
            <w:tcW w:w="216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7538D5" w:rsidRPr="00FA3856" w:rsidRDefault="007538D5" w:rsidP="007538D5">
            <w:pPr>
              <w:widowControl w:val="0"/>
              <w:jc w:val="center"/>
              <w:rPr>
                <w:szCs w:val="20"/>
              </w:rPr>
            </w:pPr>
            <w:r w:rsidRPr="00FA3856">
              <w:rPr>
                <w:szCs w:val="20"/>
              </w:rPr>
              <w:t>6,00%</w:t>
            </w:r>
          </w:p>
        </w:tc>
        <w:tc>
          <w:tcPr>
            <w:tcW w:w="215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7538D5" w:rsidRPr="00FA3856" w:rsidRDefault="007538D5" w:rsidP="007538D5">
            <w:pPr>
              <w:widowControl w:val="0"/>
              <w:jc w:val="center"/>
              <w:rPr>
                <w:szCs w:val="20"/>
              </w:rPr>
            </w:pPr>
            <w:r w:rsidRPr="00FA3856">
              <w:rPr>
                <w:szCs w:val="20"/>
              </w:rPr>
              <w:t>120,00</w:t>
            </w:r>
          </w:p>
        </w:tc>
      </w:tr>
    </w:tbl>
    <w:p w:rsidR="00586003" w:rsidRPr="00FA3856" w:rsidRDefault="00586003" w:rsidP="00586003">
      <w:pPr>
        <w:jc w:val="both"/>
        <w:rPr>
          <w:szCs w:val="20"/>
        </w:rPr>
      </w:pPr>
    </w:p>
    <w:p w:rsidR="001A67B7" w:rsidRPr="00FA3856" w:rsidRDefault="001A67B7" w:rsidP="00586003">
      <w:pPr>
        <w:jc w:val="both"/>
        <w:rPr>
          <w:szCs w:val="20"/>
        </w:rPr>
      </w:pPr>
    </w:p>
    <w:p w:rsidR="004878A0" w:rsidRDefault="00B35FA3" w:rsidP="00A624BE">
      <w:pPr>
        <w:spacing w:after="200" w:line="276" w:lineRule="auto"/>
        <w:jc w:val="center"/>
        <w:rPr>
          <w:rFonts w:cs="Times New Roman"/>
          <w:b/>
          <w:bCs/>
          <w:szCs w:val="20"/>
        </w:rPr>
      </w:pPr>
      <w:r>
        <w:rPr>
          <w:rFonts w:cs="Times New Roman"/>
          <w:szCs w:val="20"/>
        </w:rPr>
        <w:object w:dxaOrig="15105" w:dyaOrig="9525">
          <v:shape id="_x0000_i1746" type="#_x0000_t75" style="width:756.75pt;height:475.5pt" o:ole="">
            <v:imagedata r:id="rId369" o:title=""/>
          </v:shape>
          <o:OLEObject Type="Link" ProgID="Excel.Sheet.12" ShapeID="_x0000_i1746" DrawAspect="Content" r:id="rId370" UpdateMode="Always">
            <o:LinkType>EnhancedMetaFile</o:LinkType>
            <o:LockedField>false</o:LockedField>
          </o:OLEObject>
        </w:object>
      </w:r>
      <w:r w:rsidR="004878A0">
        <w:rPr>
          <w:rFonts w:cs="Times New Roman"/>
          <w:szCs w:val="20"/>
        </w:rPr>
        <w:br w:type="page"/>
      </w:r>
    </w:p>
    <w:p w:rsidR="00A624BE" w:rsidRDefault="00B35FA3" w:rsidP="00A624BE">
      <w:pPr>
        <w:spacing w:after="200" w:line="276" w:lineRule="auto"/>
        <w:jc w:val="center"/>
        <w:rPr>
          <w:rFonts w:cs="Times New Roman"/>
          <w:b/>
          <w:bCs/>
          <w:szCs w:val="20"/>
        </w:rPr>
      </w:pPr>
      <w:r>
        <w:rPr>
          <w:rFonts w:cs="Times New Roman"/>
          <w:b/>
          <w:bCs/>
          <w:szCs w:val="20"/>
        </w:rPr>
        <w:object w:dxaOrig="15105" w:dyaOrig="7290">
          <v:shape id="_x0000_i1748" type="#_x0000_t75" style="width:756.75pt;height:366pt" o:ole="">
            <v:imagedata r:id="rId371" o:title=""/>
          </v:shape>
          <o:OLEObject Type="Link" ProgID="Excel.Sheet.12" ShapeID="_x0000_i1748" DrawAspect="Content" r:id="rId372" UpdateMode="Always">
            <o:LinkType>EnhancedMetaFile</o:LinkType>
            <o:LockedField>false</o:LockedField>
          </o:OLEObject>
        </w:object>
      </w:r>
    </w:p>
    <w:p w:rsidR="00A624BE" w:rsidRDefault="00A624BE">
      <w:pPr>
        <w:spacing w:after="200" w:line="276" w:lineRule="auto"/>
        <w:rPr>
          <w:rFonts w:cs="Times New Roman"/>
          <w:b/>
          <w:bCs/>
          <w:szCs w:val="20"/>
        </w:rPr>
      </w:pPr>
      <w:r>
        <w:rPr>
          <w:rFonts w:cs="Times New Roman"/>
          <w:szCs w:val="20"/>
        </w:rPr>
        <w:br w:type="page"/>
      </w:r>
    </w:p>
    <w:p w:rsidR="006424C4" w:rsidRPr="00FA3856" w:rsidRDefault="006424C4" w:rsidP="00C47316">
      <w:pPr>
        <w:pStyle w:val="PSDS-MarcadoresNivel3"/>
        <w:tabs>
          <w:tab w:val="clear" w:pos="1440"/>
        </w:tabs>
        <w:spacing w:before="0" w:after="0"/>
        <w:ind w:left="0" w:firstLine="0"/>
        <w:rPr>
          <w:rFonts w:ascii="Times New Roman" w:hAnsi="Times New Roman" w:cs="Times New Roman"/>
          <w:szCs w:val="20"/>
        </w:rPr>
      </w:pPr>
      <w:r w:rsidRPr="00FA3856">
        <w:rPr>
          <w:rFonts w:ascii="Times New Roman" w:hAnsi="Times New Roman" w:cs="Times New Roman"/>
          <w:szCs w:val="20"/>
        </w:rPr>
        <w:lastRenderedPageBreak/>
        <w:t>I – Regras de Validação de Campos:</w:t>
      </w:r>
    </w:p>
    <w:p w:rsidR="006424C4" w:rsidRPr="00FA3856" w:rsidRDefault="006424C4" w:rsidP="00C47316">
      <w:pPr>
        <w:pStyle w:val="PSDS-MarcadoresNivel3"/>
        <w:tabs>
          <w:tab w:val="clear" w:pos="1440"/>
        </w:tabs>
        <w:spacing w:before="0" w:after="0"/>
        <w:ind w:left="0" w:firstLine="0"/>
        <w:rPr>
          <w:rFonts w:ascii="Times New Roman" w:hAnsi="Times New Roman" w:cs="Times New Roman"/>
          <w:szCs w:val="20"/>
        </w:rPr>
      </w:pPr>
      <w:r w:rsidRPr="00FA3856">
        <w:rPr>
          <w:rFonts w:ascii="Times New Roman" w:hAnsi="Times New Roman" w:cs="Times New Roman"/>
          <w:szCs w:val="20"/>
        </w:rPr>
        <w:tab/>
      </w:r>
    </w:p>
    <w:tbl>
      <w:tblPr>
        <w:tblW w:w="16370"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85"/>
        <w:gridCol w:w="3000"/>
        <w:gridCol w:w="12168"/>
        <w:gridCol w:w="717"/>
      </w:tblGrid>
      <w:tr w:rsidR="006424C4" w:rsidRPr="00FA3856" w:rsidTr="00132266">
        <w:trPr>
          <w:tblHeader/>
          <w:jc w:val="center"/>
        </w:trPr>
        <w:tc>
          <w:tcPr>
            <w:tcW w:w="485" w:type="dxa"/>
            <w:tcBorders>
              <w:top w:val="single" w:sz="6" w:space="0" w:color="auto"/>
              <w:left w:val="single" w:sz="6" w:space="0" w:color="auto"/>
              <w:bottom w:val="single" w:sz="6" w:space="0" w:color="auto"/>
              <w:right w:val="single" w:sz="6" w:space="0" w:color="auto"/>
            </w:tcBorders>
            <w:shd w:val="pct10" w:color="auto" w:fill="FFFFFF"/>
          </w:tcPr>
          <w:p w:rsidR="006424C4" w:rsidRPr="00FA3856" w:rsidRDefault="006424C4" w:rsidP="005A27D4">
            <w:pPr>
              <w:pStyle w:val="PSDS-CorpodeTexto0"/>
              <w:jc w:val="center"/>
              <w:rPr>
                <w:rFonts w:ascii="Times New Roman" w:hAnsi="Times New Roman"/>
                <w:b/>
                <w:bCs/>
              </w:rPr>
            </w:pPr>
            <w:r w:rsidRPr="00FA3856">
              <w:rPr>
                <w:rFonts w:ascii="Times New Roman" w:hAnsi="Times New Roman"/>
                <w:b/>
                <w:bCs/>
              </w:rPr>
              <w:t>Nº</w:t>
            </w:r>
          </w:p>
        </w:tc>
        <w:tc>
          <w:tcPr>
            <w:tcW w:w="3000" w:type="dxa"/>
            <w:tcBorders>
              <w:top w:val="single" w:sz="6" w:space="0" w:color="auto"/>
              <w:left w:val="single" w:sz="6" w:space="0" w:color="auto"/>
              <w:bottom w:val="single" w:sz="6" w:space="0" w:color="auto"/>
              <w:right w:val="single" w:sz="6" w:space="0" w:color="auto"/>
            </w:tcBorders>
            <w:shd w:val="pct10" w:color="auto" w:fill="FFFFFF"/>
          </w:tcPr>
          <w:p w:rsidR="006424C4" w:rsidRPr="00FA3856" w:rsidRDefault="006424C4" w:rsidP="005A27D4">
            <w:pPr>
              <w:pStyle w:val="PSDS-CorpodeTexto0"/>
              <w:jc w:val="center"/>
              <w:rPr>
                <w:rFonts w:ascii="Times New Roman" w:hAnsi="Times New Roman"/>
                <w:b/>
                <w:bCs/>
              </w:rPr>
            </w:pPr>
            <w:r w:rsidRPr="00FA3856">
              <w:rPr>
                <w:rFonts w:ascii="Times New Roman" w:hAnsi="Times New Roman"/>
                <w:b/>
                <w:bCs/>
              </w:rPr>
              <w:t>Campo</w:t>
            </w:r>
          </w:p>
        </w:tc>
        <w:tc>
          <w:tcPr>
            <w:tcW w:w="12168" w:type="dxa"/>
            <w:tcBorders>
              <w:top w:val="single" w:sz="6" w:space="0" w:color="auto"/>
              <w:left w:val="single" w:sz="6" w:space="0" w:color="auto"/>
              <w:bottom w:val="single" w:sz="6" w:space="0" w:color="auto"/>
              <w:right w:val="single" w:sz="6" w:space="0" w:color="auto"/>
            </w:tcBorders>
            <w:shd w:val="pct10" w:color="auto" w:fill="FFFFFF"/>
          </w:tcPr>
          <w:p w:rsidR="006424C4" w:rsidRPr="00FA3856" w:rsidRDefault="006424C4" w:rsidP="005A27D4">
            <w:pPr>
              <w:pStyle w:val="PSDS-CorpodeTexto0"/>
              <w:jc w:val="center"/>
              <w:rPr>
                <w:rFonts w:ascii="Times New Roman" w:hAnsi="Times New Roman"/>
                <w:b/>
                <w:bCs/>
              </w:rPr>
            </w:pPr>
            <w:r w:rsidRPr="00FA3856">
              <w:rPr>
                <w:rFonts w:ascii="Times New Roman" w:hAnsi="Times New Roman"/>
                <w:b/>
                <w:bCs/>
              </w:rPr>
              <w:t>Regras de Validação do Campo</w:t>
            </w:r>
          </w:p>
        </w:tc>
        <w:tc>
          <w:tcPr>
            <w:tcW w:w="717" w:type="dxa"/>
            <w:tcBorders>
              <w:top w:val="single" w:sz="6" w:space="0" w:color="auto"/>
              <w:left w:val="single" w:sz="6" w:space="0" w:color="auto"/>
              <w:bottom w:val="single" w:sz="6" w:space="0" w:color="auto"/>
              <w:right w:val="single" w:sz="6" w:space="0" w:color="auto"/>
            </w:tcBorders>
            <w:shd w:val="pct10" w:color="auto" w:fill="FFFFFF"/>
          </w:tcPr>
          <w:p w:rsidR="006424C4" w:rsidRPr="00FA3856" w:rsidRDefault="006424C4" w:rsidP="005A27D4">
            <w:pPr>
              <w:pStyle w:val="PSDS-CorpodeTexto0"/>
              <w:jc w:val="center"/>
              <w:rPr>
                <w:rFonts w:ascii="Times New Roman" w:hAnsi="Times New Roman"/>
                <w:b/>
                <w:bCs/>
              </w:rPr>
            </w:pPr>
            <w:r w:rsidRPr="00FA3856">
              <w:rPr>
                <w:rFonts w:ascii="Times New Roman" w:hAnsi="Times New Roman"/>
                <w:b/>
                <w:bCs/>
              </w:rPr>
              <w:t>Tipo</w:t>
            </w:r>
          </w:p>
        </w:tc>
      </w:tr>
      <w:tr w:rsidR="006424C4" w:rsidRPr="00FA3856" w:rsidTr="00132266">
        <w:trPr>
          <w:trHeight w:val="1287"/>
          <w:jc w:val="center"/>
        </w:trPr>
        <w:tc>
          <w:tcPr>
            <w:tcW w:w="485" w:type="dxa"/>
            <w:tcBorders>
              <w:top w:val="single" w:sz="6" w:space="0" w:color="auto"/>
              <w:left w:val="single" w:sz="6" w:space="0" w:color="auto"/>
              <w:bottom w:val="single" w:sz="6" w:space="0" w:color="auto"/>
              <w:right w:val="single" w:sz="6" w:space="0" w:color="auto"/>
            </w:tcBorders>
          </w:tcPr>
          <w:p w:rsidR="006424C4" w:rsidRPr="00FA3856" w:rsidRDefault="006424C4" w:rsidP="005A27D4">
            <w:pPr>
              <w:pStyle w:val="PSDS-CorpodeTexto0"/>
              <w:suppressAutoHyphens w:val="0"/>
              <w:rPr>
                <w:rFonts w:ascii="Times New Roman" w:hAnsi="Times New Roman"/>
                <w:b/>
                <w:bCs/>
                <w:lang w:val="pt-PT"/>
              </w:rPr>
            </w:pPr>
            <w:r w:rsidRPr="00FA3856">
              <w:rPr>
                <w:rFonts w:ascii="Times New Roman" w:hAnsi="Times New Roman"/>
                <w:b/>
                <w:bCs/>
                <w:lang w:val="pt-PT"/>
              </w:rPr>
              <w:t>2</w:t>
            </w:r>
          </w:p>
        </w:tc>
        <w:tc>
          <w:tcPr>
            <w:tcW w:w="3000" w:type="dxa"/>
            <w:tcBorders>
              <w:top w:val="single" w:sz="6" w:space="0" w:color="auto"/>
              <w:left w:val="single" w:sz="6" w:space="0" w:color="auto"/>
              <w:bottom w:val="single" w:sz="6" w:space="0" w:color="auto"/>
              <w:right w:val="single" w:sz="6" w:space="0" w:color="auto"/>
            </w:tcBorders>
          </w:tcPr>
          <w:p w:rsidR="006424C4" w:rsidRPr="00FA3856" w:rsidRDefault="006424C4" w:rsidP="005A27D4">
            <w:pPr>
              <w:pStyle w:val="PSDS-CorpodeTexto0"/>
              <w:rPr>
                <w:rFonts w:ascii="Times New Roman" w:hAnsi="Times New Roman"/>
              </w:rPr>
            </w:pPr>
            <w:r w:rsidRPr="00FA3856">
              <w:rPr>
                <w:rFonts w:ascii="Times New Roman" w:hAnsi="Times New Roman"/>
              </w:rPr>
              <w:t>BASE_CALC</w:t>
            </w:r>
          </w:p>
        </w:tc>
        <w:tc>
          <w:tcPr>
            <w:tcW w:w="12168" w:type="dxa"/>
            <w:tcBorders>
              <w:top w:val="single" w:sz="6" w:space="0" w:color="auto"/>
              <w:left w:val="single" w:sz="6" w:space="0" w:color="auto"/>
              <w:bottom w:val="single" w:sz="6" w:space="0" w:color="auto"/>
              <w:right w:val="single" w:sz="6" w:space="0" w:color="auto"/>
            </w:tcBorders>
          </w:tcPr>
          <w:p w:rsidR="006424C4" w:rsidRPr="00FA3856" w:rsidRDefault="006424C4" w:rsidP="005A27D4">
            <w:pPr>
              <w:pStyle w:val="Corpodetexto"/>
              <w:rPr>
                <w:rFonts w:ascii="Times New Roman" w:hAnsi="Times New Roman"/>
                <w:szCs w:val="20"/>
              </w:rPr>
            </w:pPr>
            <w:r w:rsidRPr="00FA3856">
              <w:rPr>
                <w:rFonts w:ascii="Times New Roman" w:hAnsi="Times New Roman"/>
                <w:b/>
                <w:szCs w:val="20"/>
              </w:rPr>
              <w:t>REGRA_BASE_CALC_ZERO:</w:t>
            </w:r>
            <w:r w:rsidR="005A27D4" w:rsidRPr="00FA3856">
              <w:rPr>
                <w:rFonts w:ascii="Times New Roman" w:hAnsi="Times New Roman"/>
                <w:b/>
                <w:szCs w:val="20"/>
              </w:rPr>
              <w:t xml:space="preserve"> </w:t>
            </w:r>
            <w:r w:rsidR="005A27D4" w:rsidRPr="00FA3856">
              <w:rPr>
                <w:rFonts w:ascii="Times New Roman" w:hAnsi="Times New Roman"/>
                <w:szCs w:val="20"/>
              </w:rPr>
              <w:t xml:space="preserve">Verifica se </w:t>
            </w:r>
            <w:r w:rsidR="00375E89" w:rsidRPr="00FA3856">
              <w:rPr>
                <w:rFonts w:ascii="Times New Roman" w:hAnsi="Times New Roman"/>
                <w:szCs w:val="20"/>
              </w:rPr>
              <w:t xml:space="preserve">N615.BASE_CALC </w:t>
            </w:r>
            <w:r w:rsidR="005A27D4" w:rsidRPr="00FA3856">
              <w:rPr>
                <w:rFonts w:ascii="Times New Roman" w:hAnsi="Times New Roman"/>
                <w:szCs w:val="20"/>
              </w:rPr>
              <w:t xml:space="preserve">é igual a zero e </w:t>
            </w:r>
            <w:r w:rsidR="00375E89" w:rsidRPr="00FA3856">
              <w:rPr>
                <w:rFonts w:ascii="Times New Roman" w:hAnsi="Times New Roman"/>
                <w:szCs w:val="20"/>
              </w:rPr>
              <w:t xml:space="preserve">N615.PER_INCEN_FINOR </w:t>
            </w:r>
            <w:r w:rsidR="005A27D4" w:rsidRPr="00FA3856">
              <w:rPr>
                <w:rFonts w:ascii="Times New Roman" w:hAnsi="Times New Roman"/>
                <w:szCs w:val="20"/>
              </w:rPr>
              <w:t xml:space="preserve">+ </w:t>
            </w:r>
            <w:r w:rsidR="00371008" w:rsidRPr="00FA3856">
              <w:rPr>
                <w:rFonts w:ascii="Times New Roman" w:hAnsi="Times New Roman"/>
                <w:szCs w:val="20"/>
              </w:rPr>
              <w:t>N615.</w:t>
            </w:r>
            <w:r w:rsidR="00375E89" w:rsidRPr="00FA3856">
              <w:rPr>
                <w:rFonts w:ascii="Times New Roman" w:hAnsi="Times New Roman"/>
                <w:szCs w:val="20"/>
              </w:rPr>
              <w:t xml:space="preserve">PER_INCEN_FINAM + N615.PER_INCEN_FUNRES </w:t>
            </w:r>
            <w:r w:rsidR="005A27D4" w:rsidRPr="00FA3856">
              <w:rPr>
                <w:rFonts w:ascii="Times New Roman" w:hAnsi="Times New Roman"/>
                <w:szCs w:val="20"/>
              </w:rPr>
              <w:t>é igual a zero.</w:t>
            </w:r>
          </w:p>
          <w:p w:rsidR="006A0015" w:rsidRPr="00FA3856" w:rsidRDefault="006A0015" w:rsidP="005A27D4">
            <w:pPr>
              <w:pStyle w:val="Corpodetexto"/>
              <w:rPr>
                <w:rFonts w:ascii="Times New Roman" w:hAnsi="Times New Roman"/>
                <w:szCs w:val="20"/>
              </w:rPr>
            </w:pPr>
          </w:p>
          <w:p w:rsidR="00B07028" w:rsidRPr="00FA3856" w:rsidRDefault="006A0015" w:rsidP="00B07028">
            <w:pPr>
              <w:pStyle w:val="Corpodetexto"/>
              <w:rPr>
                <w:rFonts w:ascii="Times New Roman" w:hAnsi="Times New Roman"/>
                <w:szCs w:val="20"/>
              </w:rPr>
            </w:pPr>
            <w:r w:rsidRPr="00FA3856">
              <w:rPr>
                <w:rFonts w:ascii="Times New Roman" w:hAnsi="Times New Roman"/>
                <w:b/>
                <w:szCs w:val="20"/>
              </w:rPr>
              <w:t>REGRA_BASE_CAL_IGUAL:</w:t>
            </w:r>
            <w:r w:rsidR="00FC7995" w:rsidRPr="00FA3856">
              <w:rPr>
                <w:rFonts w:ascii="Times New Roman" w:hAnsi="Times New Roman"/>
                <w:b/>
                <w:szCs w:val="20"/>
              </w:rPr>
              <w:t xml:space="preserve"> </w:t>
            </w:r>
            <w:r w:rsidR="00FC7995" w:rsidRPr="00FA3856">
              <w:rPr>
                <w:rFonts w:ascii="Times New Roman" w:hAnsi="Times New Roman"/>
                <w:szCs w:val="20"/>
              </w:rPr>
              <w:t xml:space="preserve">Verifica </w:t>
            </w:r>
            <w:r w:rsidR="00B07028" w:rsidRPr="00FA3856">
              <w:rPr>
                <w:rFonts w:ascii="Times New Roman" w:hAnsi="Times New Roman"/>
                <w:szCs w:val="20"/>
              </w:rPr>
              <w:t xml:space="preserve">se </w:t>
            </w:r>
            <w:r w:rsidR="00375E89" w:rsidRPr="00FA3856">
              <w:rPr>
                <w:rFonts w:ascii="Times New Roman" w:hAnsi="Times New Roman"/>
                <w:szCs w:val="20"/>
              </w:rPr>
              <w:t xml:space="preserve">N615.BASE_CALC </w:t>
            </w:r>
            <w:r w:rsidR="00B07028" w:rsidRPr="00FA3856">
              <w:rPr>
                <w:rFonts w:ascii="Times New Roman" w:hAnsi="Times New Roman"/>
                <w:szCs w:val="20"/>
              </w:rPr>
              <w:t>é igual:</w:t>
            </w:r>
          </w:p>
          <w:p w:rsidR="00B07028" w:rsidRPr="00FA3856" w:rsidRDefault="00B07028" w:rsidP="00B07028">
            <w:pPr>
              <w:pStyle w:val="Corpodetexto"/>
              <w:rPr>
                <w:rFonts w:ascii="Times New Roman" w:hAnsi="Times New Roman"/>
                <w:szCs w:val="20"/>
              </w:rPr>
            </w:pPr>
            <w:r w:rsidRPr="00FA3856">
              <w:rPr>
                <w:rFonts w:ascii="Times New Roman" w:hAnsi="Times New Roman"/>
                <w:szCs w:val="20"/>
              </w:rPr>
              <w:t>N630(3) – (N630(6) + N630(7) + N630(8) + N630(9) + N630(10) + N630(11) + N630(12) + N630(13) + N630(14) + N630(15) + N630(16) + 3,33 x N630(18) + N630(19) + N630(27))</w:t>
            </w:r>
          </w:p>
          <w:p w:rsidR="00132266" w:rsidRPr="00FA3856" w:rsidRDefault="00132266" w:rsidP="00B07028">
            <w:pPr>
              <w:pStyle w:val="Corpodetexto"/>
              <w:rPr>
                <w:rFonts w:ascii="Times New Roman" w:hAnsi="Times New Roman"/>
                <w:szCs w:val="20"/>
              </w:rPr>
            </w:pPr>
          </w:p>
          <w:p w:rsidR="00132266" w:rsidRPr="00FA3856" w:rsidRDefault="00132266" w:rsidP="00132266">
            <w:pPr>
              <w:pStyle w:val="Corpodetexto"/>
              <w:rPr>
                <w:rFonts w:ascii="Times New Roman" w:hAnsi="Times New Roman"/>
                <w:szCs w:val="20"/>
              </w:rPr>
            </w:pPr>
            <w:r w:rsidRPr="00FA3856">
              <w:rPr>
                <w:rFonts w:ascii="Times New Roman" w:hAnsi="Times New Roman"/>
                <w:b/>
                <w:szCs w:val="20"/>
              </w:rPr>
              <w:t xml:space="preserve">REGRA_BASE_CAL_IGUAL_ISENCAO_REDUCAO: </w:t>
            </w:r>
            <w:r w:rsidRPr="00FA3856">
              <w:rPr>
                <w:rFonts w:ascii="Times New Roman" w:hAnsi="Times New Roman"/>
                <w:szCs w:val="20"/>
              </w:rPr>
              <w:t>Verifica, quando 0020.IND_LUC_EXP ig</w:t>
            </w:r>
            <w:r w:rsidR="00371008" w:rsidRPr="00FA3856">
              <w:rPr>
                <w:rFonts w:ascii="Times New Roman" w:hAnsi="Times New Roman"/>
                <w:szCs w:val="20"/>
              </w:rPr>
              <w:t xml:space="preserve">ual </w:t>
            </w:r>
            <w:r w:rsidR="00375E89" w:rsidRPr="00FA3856">
              <w:rPr>
                <w:rFonts w:ascii="Times New Roman" w:hAnsi="Times New Roman"/>
                <w:szCs w:val="20"/>
              </w:rPr>
              <w:t xml:space="preserve">a “S”, se N615.BASE_CALC </w:t>
            </w:r>
            <w:r w:rsidRPr="00FA3856">
              <w:rPr>
                <w:rFonts w:ascii="Times New Roman" w:hAnsi="Times New Roman"/>
                <w:szCs w:val="20"/>
              </w:rPr>
              <w:t>é igual:</w:t>
            </w:r>
          </w:p>
          <w:p w:rsidR="00132266" w:rsidRPr="00FA3856" w:rsidRDefault="00132266" w:rsidP="00E71387">
            <w:pPr>
              <w:pStyle w:val="Corpodetexto"/>
              <w:rPr>
                <w:rFonts w:ascii="Times New Roman" w:hAnsi="Times New Roman"/>
                <w:szCs w:val="20"/>
              </w:rPr>
            </w:pPr>
            <w:r w:rsidRPr="00FA3856">
              <w:rPr>
                <w:rFonts w:ascii="Times New Roman" w:hAnsi="Times New Roman"/>
                <w:szCs w:val="20"/>
              </w:rPr>
              <w:t>N630(3) – (N610(7) + N610(12) + N610(17) + (N610(47) x 75%) + (N610(52) x 70%) + (N610(57) x 50%) + (N610(62) x 33,33%) + (N610(67) x 25%) + (N610(72) x 12,50%) + N630(6) + N630(7) + N630(8) + N630(9) + N630(10) + N630(11) + N630(12) + N630(13) + N630(14) + N630(15) + N630(16) + 3,33 x N630(18) + N630(19) + N630(27))</w:t>
            </w:r>
          </w:p>
        </w:tc>
        <w:tc>
          <w:tcPr>
            <w:tcW w:w="717" w:type="dxa"/>
            <w:tcBorders>
              <w:top w:val="single" w:sz="6" w:space="0" w:color="auto"/>
              <w:left w:val="single" w:sz="6" w:space="0" w:color="auto"/>
              <w:bottom w:val="single" w:sz="6" w:space="0" w:color="auto"/>
              <w:right w:val="single" w:sz="6" w:space="0" w:color="auto"/>
            </w:tcBorders>
          </w:tcPr>
          <w:p w:rsidR="006424C4" w:rsidRPr="00FA3856" w:rsidRDefault="005A27D4" w:rsidP="005A27D4">
            <w:pPr>
              <w:pStyle w:val="PSDS-CorpodeTexto0"/>
              <w:rPr>
                <w:rFonts w:ascii="Times New Roman" w:hAnsi="Times New Roman"/>
              </w:rPr>
            </w:pPr>
            <w:r w:rsidRPr="00FA3856">
              <w:rPr>
                <w:rFonts w:ascii="Times New Roman" w:hAnsi="Times New Roman"/>
              </w:rPr>
              <w:t>Aviso</w:t>
            </w:r>
          </w:p>
          <w:p w:rsidR="00FC7995" w:rsidRPr="00FA3856" w:rsidRDefault="00FC7995" w:rsidP="005A27D4">
            <w:pPr>
              <w:pStyle w:val="PSDS-CorpodeTexto0"/>
              <w:rPr>
                <w:rFonts w:ascii="Times New Roman" w:hAnsi="Times New Roman"/>
              </w:rPr>
            </w:pPr>
          </w:p>
          <w:p w:rsidR="00FC7995" w:rsidRPr="00FA3856" w:rsidRDefault="00FC7995" w:rsidP="005A27D4">
            <w:pPr>
              <w:pStyle w:val="PSDS-CorpodeTexto0"/>
              <w:rPr>
                <w:rFonts w:ascii="Times New Roman" w:hAnsi="Times New Roman"/>
              </w:rPr>
            </w:pPr>
          </w:p>
          <w:p w:rsidR="00FC7995" w:rsidRPr="00FA3856" w:rsidRDefault="00FC7995" w:rsidP="005A27D4">
            <w:pPr>
              <w:pStyle w:val="PSDS-CorpodeTexto0"/>
              <w:rPr>
                <w:rFonts w:ascii="Times New Roman" w:hAnsi="Times New Roman"/>
              </w:rPr>
            </w:pPr>
          </w:p>
          <w:p w:rsidR="00FC7995" w:rsidRPr="00FA3856" w:rsidRDefault="00FC7995" w:rsidP="005A27D4">
            <w:pPr>
              <w:pStyle w:val="PSDS-CorpodeTexto0"/>
              <w:rPr>
                <w:rFonts w:ascii="Times New Roman" w:hAnsi="Times New Roman"/>
              </w:rPr>
            </w:pPr>
            <w:r w:rsidRPr="00FA3856">
              <w:rPr>
                <w:rFonts w:ascii="Times New Roman" w:hAnsi="Times New Roman"/>
              </w:rPr>
              <w:t>Aviso</w:t>
            </w:r>
          </w:p>
          <w:p w:rsidR="00132266" w:rsidRPr="00FA3856" w:rsidRDefault="00132266" w:rsidP="005A27D4">
            <w:pPr>
              <w:pStyle w:val="PSDS-CorpodeTexto0"/>
              <w:rPr>
                <w:rFonts w:ascii="Times New Roman" w:hAnsi="Times New Roman"/>
              </w:rPr>
            </w:pPr>
          </w:p>
          <w:p w:rsidR="00132266" w:rsidRPr="00FA3856" w:rsidRDefault="00132266" w:rsidP="005A27D4">
            <w:pPr>
              <w:pStyle w:val="PSDS-CorpodeTexto0"/>
              <w:rPr>
                <w:rFonts w:ascii="Times New Roman" w:hAnsi="Times New Roman"/>
              </w:rPr>
            </w:pPr>
          </w:p>
          <w:p w:rsidR="00132266" w:rsidRPr="00FA3856" w:rsidRDefault="00132266" w:rsidP="005A27D4">
            <w:pPr>
              <w:pStyle w:val="PSDS-CorpodeTexto0"/>
              <w:rPr>
                <w:rFonts w:ascii="Times New Roman" w:hAnsi="Times New Roman"/>
              </w:rPr>
            </w:pPr>
            <w:r w:rsidRPr="00FA3856">
              <w:rPr>
                <w:rFonts w:ascii="Times New Roman" w:hAnsi="Times New Roman"/>
              </w:rPr>
              <w:t>Aviso</w:t>
            </w:r>
          </w:p>
        </w:tc>
      </w:tr>
      <w:tr w:rsidR="006424C4" w:rsidRPr="00FA3856" w:rsidTr="00132266">
        <w:trPr>
          <w:jc w:val="center"/>
        </w:trPr>
        <w:tc>
          <w:tcPr>
            <w:tcW w:w="485" w:type="dxa"/>
            <w:tcBorders>
              <w:top w:val="single" w:sz="6" w:space="0" w:color="auto"/>
              <w:left w:val="single" w:sz="6" w:space="0" w:color="auto"/>
              <w:bottom w:val="single" w:sz="6" w:space="0" w:color="auto"/>
              <w:right w:val="single" w:sz="6" w:space="0" w:color="auto"/>
            </w:tcBorders>
          </w:tcPr>
          <w:p w:rsidR="006424C4" w:rsidRPr="00FA3856" w:rsidRDefault="006424C4" w:rsidP="005A27D4">
            <w:pPr>
              <w:pStyle w:val="PSDS-CorpodeTexto0"/>
              <w:suppressAutoHyphens w:val="0"/>
              <w:rPr>
                <w:rFonts w:ascii="Times New Roman" w:hAnsi="Times New Roman"/>
                <w:b/>
                <w:bCs/>
                <w:lang w:val="pt-PT"/>
              </w:rPr>
            </w:pPr>
            <w:r w:rsidRPr="00FA3856">
              <w:rPr>
                <w:rFonts w:ascii="Times New Roman" w:hAnsi="Times New Roman"/>
                <w:b/>
                <w:bCs/>
                <w:lang w:val="pt-PT"/>
              </w:rPr>
              <w:t>3</w:t>
            </w:r>
          </w:p>
        </w:tc>
        <w:tc>
          <w:tcPr>
            <w:tcW w:w="3000" w:type="dxa"/>
            <w:tcBorders>
              <w:top w:val="single" w:sz="6" w:space="0" w:color="auto"/>
              <w:left w:val="single" w:sz="6" w:space="0" w:color="auto"/>
              <w:bottom w:val="single" w:sz="6" w:space="0" w:color="auto"/>
              <w:right w:val="single" w:sz="6" w:space="0" w:color="auto"/>
            </w:tcBorders>
          </w:tcPr>
          <w:p w:rsidR="006424C4" w:rsidRPr="00FA3856" w:rsidRDefault="006424C4" w:rsidP="005A27D4">
            <w:pPr>
              <w:pStyle w:val="PSDS-CorpodeTexto0"/>
              <w:rPr>
                <w:rFonts w:ascii="Times New Roman" w:hAnsi="Times New Roman"/>
              </w:rPr>
            </w:pPr>
            <w:r w:rsidRPr="00FA3856">
              <w:rPr>
                <w:rFonts w:ascii="Times New Roman" w:hAnsi="Times New Roman"/>
              </w:rPr>
              <w:t>PER_INCEN_FINOR</w:t>
            </w:r>
          </w:p>
        </w:tc>
        <w:tc>
          <w:tcPr>
            <w:tcW w:w="12168" w:type="dxa"/>
            <w:tcBorders>
              <w:top w:val="single" w:sz="6" w:space="0" w:color="auto"/>
              <w:left w:val="single" w:sz="6" w:space="0" w:color="auto"/>
              <w:bottom w:val="single" w:sz="6" w:space="0" w:color="auto"/>
              <w:right w:val="single" w:sz="6" w:space="0" w:color="auto"/>
            </w:tcBorders>
          </w:tcPr>
          <w:p w:rsidR="006424C4" w:rsidRPr="00FA3856" w:rsidRDefault="006424C4" w:rsidP="005A27D4">
            <w:pPr>
              <w:pStyle w:val="Corpodetexto"/>
              <w:rPr>
                <w:rFonts w:ascii="Times New Roman" w:hAnsi="Times New Roman"/>
                <w:szCs w:val="20"/>
              </w:rPr>
            </w:pPr>
            <w:r w:rsidRPr="00FA3856">
              <w:rPr>
                <w:rFonts w:ascii="Times New Roman" w:hAnsi="Times New Roman"/>
                <w:b/>
                <w:szCs w:val="20"/>
              </w:rPr>
              <w:t>REGRA_PERCENTUAL_MAIOR_6:</w:t>
            </w:r>
            <w:r w:rsidR="005A27D4" w:rsidRPr="00FA3856">
              <w:rPr>
                <w:rFonts w:ascii="Times New Roman" w:hAnsi="Times New Roman"/>
                <w:b/>
                <w:szCs w:val="20"/>
              </w:rPr>
              <w:t xml:space="preserve"> </w:t>
            </w:r>
            <w:r w:rsidR="005A27D4" w:rsidRPr="00FA3856">
              <w:rPr>
                <w:rFonts w:ascii="Times New Roman" w:hAnsi="Times New Roman"/>
                <w:szCs w:val="20"/>
              </w:rPr>
              <w:t>Veri</w:t>
            </w:r>
            <w:r w:rsidR="00371008" w:rsidRPr="00FA3856">
              <w:rPr>
                <w:rFonts w:ascii="Times New Roman" w:hAnsi="Times New Roman"/>
                <w:szCs w:val="20"/>
              </w:rPr>
              <w:t>fica</w:t>
            </w:r>
            <w:r w:rsidR="00375E89" w:rsidRPr="00FA3856">
              <w:rPr>
                <w:rFonts w:ascii="Times New Roman" w:hAnsi="Times New Roman"/>
                <w:szCs w:val="20"/>
              </w:rPr>
              <w:t xml:space="preserve"> se N615.PER_INCEN_FINOR </w:t>
            </w:r>
            <w:r w:rsidR="005A27D4" w:rsidRPr="00FA3856">
              <w:rPr>
                <w:rFonts w:ascii="Times New Roman" w:hAnsi="Times New Roman"/>
                <w:szCs w:val="20"/>
              </w:rPr>
              <w:t>é menor ou igual a “6”.</w:t>
            </w:r>
          </w:p>
          <w:p w:rsidR="006424C4" w:rsidRPr="00FA3856" w:rsidRDefault="006424C4" w:rsidP="005A27D4">
            <w:pPr>
              <w:pStyle w:val="Corpodetexto"/>
              <w:rPr>
                <w:rFonts w:ascii="Times New Roman" w:hAnsi="Times New Roman"/>
                <w:b/>
                <w:szCs w:val="20"/>
              </w:rPr>
            </w:pPr>
          </w:p>
          <w:p w:rsidR="006424C4" w:rsidRPr="00FA3856" w:rsidRDefault="006424C4" w:rsidP="005A27D4">
            <w:pPr>
              <w:pStyle w:val="Corpodetexto"/>
              <w:rPr>
                <w:rFonts w:ascii="Times New Roman" w:hAnsi="Times New Roman"/>
                <w:szCs w:val="20"/>
              </w:rPr>
            </w:pPr>
            <w:r w:rsidRPr="00FA3856">
              <w:rPr>
                <w:rFonts w:ascii="Times New Roman" w:hAnsi="Times New Roman"/>
                <w:b/>
                <w:szCs w:val="20"/>
              </w:rPr>
              <w:t>REGRA_PERCENTUAL:</w:t>
            </w:r>
            <w:r w:rsidR="005A27D4" w:rsidRPr="00FA3856">
              <w:rPr>
                <w:rFonts w:ascii="Times New Roman" w:hAnsi="Times New Roman"/>
                <w:b/>
                <w:szCs w:val="20"/>
              </w:rPr>
              <w:t xml:space="preserve"> </w:t>
            </w:r>
            <w:r w:rsidR="005A27D4" w:rsidRPr="00FA3856">
              <w:rPr>
                <w:rFonts w:ascii="Times New Roman" w:hAnsi="Times New Roman"/>
                <w:szCs w:val="20"/>
              </w:rPr>
              <w:t xml:space="preserve">Verifica se o valor informado no campo </w:t>
            </w:r>
            <w:r w:rsidR="00375E89" w:rsidRPr="00FA3856">
              <w:rPr>
                <w:rFonts w:ascii="Times New Roman" w:hAnsi="Times New Roman"/>
                <w:szCs w:val="20"/>
              </w:rPr>
              <w:t xml:space="preserve">N615.PER_INCEN_FINOR </w:t>
            </w:r>
            <w:r w:rsidR="005A27D4" w:rsidRPr="00FA3856">
              <w:rPr>
                <w:rFonts w:ascii="Times New Roman" w:hAnsi="Times New Roman"/>
                <w:szCs w:val="20"/>
              </w:rPr>
              <w:t>está entre “0” e “100”.</w:t>
            </w:r>
          </w:p>
        </w:tc>
        <w:tc>
          <w:tcPr>
            <w:tcW w:w="717" w:type="dxa"/>
            <w:tcBorders>
              <w:top w:val="single" w:sz="6" w:space="0" w:color="auto"/>
              <w:left w:val="single" w:sz="6" w:space="0" w:color="auto"/>
              <w:bottom w:val="single" w:sz="6" w:space="0" w:color="auto"/>
              <w:right w:val="single" w:sz="6" w:space="0" w:color="auto"/>
            </w:tcBorders>
          </w:tcPr>
          <w:p w:rsidR="006424C4" w:rsidRPr="00FA3856" w:rsidRDefault="005A27D4" w:rsidP="005A27D4">
            <w:pPr>
              <w:pStyle w:val="PSDS-CorpodeTexto0"/>
              <w:rPr>
                <w:rFonts w:ascii="Times New Roman" w:hAnsi="Times New Roman"/>
              </w:rPr>
            </w:pPr>
            <w:r w:rsidRPr="00FA3856">
              <w:rPr>
                <w:rFonts w:ascii="Times New Roman" w:hAnsi="Times New Roman"/>
              </w:rPr>
              <w:t>Aviso</w:t>
            </w:r>
          </w:p>
          <w:p w:rsidR="005A27D4" w:rsidRPr="00FA3856" w:rsidRDefault="005A27D4" w:rsidP="005A27D4">
            <w:pPr>
              <w:pStyle w:val="PSDS-CorpodeTexto0"/>
              <w:rPr>
                <w:rFonts w:ascii="Times New Roman" w:hAnsi="Times New Roman"/>
              </w:rPr>
            </w:pPr>
          </w:p>
          <w:p w:rsidR="005A27D4" w:rsidRPr="00FA3856" w:rsidRDefault="005A27D4" w:rsidP="005A27D4">
            <w:pPr>
              <w:pStyle w:val="PSDS-CorpodeTexto0"/>
              <w:rPr>
                <w:rFonts w:ascii="Times New Roman" w:hAnsi="Times New Roman"/>
              </w:rPr>
            </w:pPr>
            <w:r w:rsidRPr="00FA3856">
              <w:rPr>
                <w:rFonts w:ascii="Times New Roman" w:hAnsi="Times New Roman"/>
              </w:rPr>
              <w:t>Erro</w:t>
            </w:r>
          </w:p>
        </w:tc>
      </w:tr>
      <w:tr w:rsidR="005A27D4" w:rsidRPr="00FA3856" w:rsidTr="00132266">
        <w:trPr>
          <w:jc w:val="center"/>
        </w:trPr>
        <w:tc>
          <w:tcPr>
            <w:tcW w:w="485" w:type="dxa"/>
            <w:tcBorders>
              <w:top w:val="single" w:sz="6" w:space="0" w:color="auto"/>
              <w:left w:val="single" w:sz="6" w:space="0" w:color="auto"/>
              <w:bottom w:val="single" w:sz="6" w:space="0" w:color="auto"/>
              <w:right w:val="single" w:sz="6" w:space="0" w:color="auto"/>
            </w:tcBorders>
          </w:tcPr>
          <w:p w:rsidR="005A27D4" w:rsidRPr="00FA3856" w:rsidRDefault="005A27D4" w:rsidP="005A27D4">
            <w:pPr>
              <w:pStyle w:val="PSDS-CorpodeTexto0"/>
              <w:suppressAutoHyphens w:val="0"/>
              <w:rPr>
                <w:rFonts w:ascii="Times New Roman" w:hAnsi="Times New Roman"/>
                <w:b/>
                <w:bCs/>
                <w:lang w:val="pt-PT"/>
              </w:rPr>
            </w:pPr>
            <w:r w:rsidRPr="00FA3856">
              <w:rPr>
                <w:rFonts w:ascii="Times New Roman" w:hAnsi="Times New Roman"/>
                <w:b/>
                <w:bCs/>
                <w:lang w:val="pt-PT"/>
              </w:rPr>
              <w:t>4</w:t>
            </w:r>
          </w:p>
        </w:tc>
        <w:tc>
          <w:tcPr>
            <w:tcW w:w="3000" w:type="dxa"/>
            <w:tcBorders>
              <w:top w:val="single" w:sz="6" w:space="0" w:color="auto"/>
              <w:left w:val="single" w:sz="6" w:space="0" w:color="auto"/>
              <w:bottom w:val="single" w:sz="6" w:space="0" w:color="auto"/>
              <w:right w:val="single" w:sz="6" w:space="0" w:color="auto"/>
            </w:tcBorders>
          </w:tcPr>
          <w:p w:rsidR="005A27D4" w:rsidRPr="00FA3856" w:rsidRDefault="005A27D4" w:rsidP="005A27D4">
            <w:pPr>
              <w:spacing w:before="100" w:beforeAutospacing="1" w:after="100" w:afterAutospacing="1"/>
              <w:rPr>
                <w:color w:val="222222"/>
                <w:szCs w:val="20"/>
              </w:rPr>
            </w:pPr>
            <w:r w:rsidRPr="00FA3856">
              <w:rPr>
                <w:color w:val="222222"/>
                <w:szCs w:val="20"/>
                <w:lang w:val="es-ES_tradnl"/>
              </w:rPr>
              <w:t>VL_LIQ_INCEN_ FINOR</w:t>
            </w:r>
          </w:p>
        </w:tc>
        <w:tc>
          <w:tcPr>
            <w:tcW w:w="12168" w:type="dxa"/>
            <w:tcBorders>
              <w:top w:val="single" w:sz="6" w:space="0" w:color="auto"/>
              <w:left w:val="single" w:sz="6" w:space="0" w:color="auto"/>
              <w:bottom w:val="single" w:sz="6" w:space="0" w:color="auto"/>
              <w:right w:val="single" w:sz="6" w:space="0" w:color="auto"/>
            </w:tcBorders>
          </w:tcPr>
          <w:p w:rsidR="005A27D4" w:rsidRPr="00FA3856" w:rsidRDefault="005A27D4" w:rsidP="005A27D4">
            <w:pPr>
              <w:pStyle w:val="Corpodetexto"/>
              <w:rPr>
                <w:rFonts w:ascii="Times New Roman" w:hAnsi="Times New Roman"/>
                <w:szCs w:val="20"/>
              </w:rPr>
            </w:pPr>
            <w:r w:rsidRPr="00FA3856">
              <w:rPr>
                <w:rFonts w:ascii="Times New Roman" w:hAnsi="Times New Roman"/>
                <w:b/>
                <w:szCs w:val="20"/>
              </w:rPr>
              <w:t xml:space="preserve">REGRA_FINOR_LIQUIDO_DIFERENTE: </w:t>
            </w:r>
            <w:r w:rsidRPr="00FA3856">
              <w:rPr>
                <w:rFonts w:ascii="Times New Roman" w:hAnsi="Times New Roman"/>
                <w:szCs w:val="20"/>
              </w:rPr>
              <w:t xml:space="preserve">Verifica se o valor informado em </w:t>
            </w:r>
            <w:r w:rsidR="00371008" w:rsidRPr="00FA3856">
              <w:rPr>
                <w:rFonts w:ascii="Times New Roman" w:hAnsi="Times New Roman"/>
                <w:szCs w:val="20"/>
              </w:rPr>
              <w:t>N615.</w:t>
            </w:r>
            <w:r w:rsidR="00375E89" w:rsidRPr="00FA3856">
              <w:rPr>
                <w:rFonts w:ascii="Times New Roman" w:hAnsi="Times New Roman"/>
                <w:color w:val="222222"/>
                <w:szCs w:val="20"/>
                <w:lang w:val="es-ES_tradnl" w:eastAsia="pt-BR"/>
              </w:rPr>
              <w:t xml:space="preserve">VL_LIQ_INCEN_ FINOR </w:t>
            </w:r>
            <w:r w:rsidRPr="00FA3856">
              <w:rPr>
                <w:rFonts w:ascii="Times New Roman" w:hAnsi="Times New Roman"/>
                <w:color w:val="222222"/>
                <w:szCs w:val="20"/>
                <w:lang w:val="es-ES_tradnl" w:eastAsia="pt-BR"/>
              </w:rPr>
              <w:t xml:space="preserve">é igual ao resultado da multiplicação de </w:t>
            </w:r>
            <w:r w:rsidR="00371008" w:rsidRPr="00FA3856">
              <w:rPr>
                <w:rFonts w:ascii="Times New Roman" w:hAnsi="Times New Roman"/>
                <w:color w:val="222222"/>
                <w:szCs w:val="20"/>
                <w:lang w:val="es-ES_tradnl" w:eastAsia="pt-BR"/>
              </w:rPr>
              <w:t>N615.</w:t>
            </w:r>
            <w:r w:rsidR="00375E89" w:rsidRPr="00FA3856">
              <w:rPr>
                <w:rFonts w:ascii="Times New Roman" w:hAnsi="Times New Roman"/>
                <w:szCs w:val="20"/>
              </w:rPr>
              <w:t xml:space="preserve">PER_INCEN_FINOR </w:t>
            </w:r>
            <w:r w:rsidR="006C0BFB" w:rsidRPr="00FA3856">
              <w:rPr>
                <w:rFonts w:ascii="Times New Roman" w:hAnsi="Times New Roman"/>
                <w:szCs w:val="20"/>
              </w:rPr>
              <w:t xml:space="preserve">por </w:t>
            </w:r>
            <w:r w:rsidR="001A3329" w:rsidRPr="00FA3856">
              <w:rPr>
                <w:rFonts w:ascii="Times New Roman" w:hAnsi="Times New Roman"/>
                <w:szCs w:val="20"/>
              </w:rPr>
              <w:t>N615.</w:t>
            </w:r>
            <w:r w:rsidR="006C0BFB" w:rsidRPr="00FA3856">
              <w:rPr>
                <w:rFonts w:ascii="Times New Roman" w:hAnsi="Times New Roman"/>
                <w:szCs w:val="20"/>
              </w:rPr>
              <w:t>BASE</w:t>
            </w:r>
            <w:r w:rsidR="00375E89" w:rsidRPr="00FA3856">
              <w:rPr>
                <w:rFonts w:ascii="Times New Roman" w:hAnsi="Times New Roman"/>
                <w:szCs w:val="20"/>
              </w:rPr>
              <w:t>_CALC</w:t>
            </w:r>
            <w:r w:rsidRPr="00FA3856">
              <w:rPr>
                <w:rFonts w:ascii="Times New Roman" w:hAnsi="Times New Roman"/>
                <w:szCs w:val="20"/>
              </w:rPr>
              <w:t>.</w:t>
            </w:r>
          </w:p>
        </w:tc>
        <w:tc>
          <w:tcPr>
            <w:tcW w:w="717" w:type="dxa"/>
            <w:tcBorders>
              <w:top w:val="single" w:sz="6" w:space="0" w:color="auto"/>
              <w:left w:val="single" w:sz="6" w:space="0" w:color="auto"/>
              <w:bottom w:val="single" w:sz="6" w:space="0" w:color="auto"/>
              <w:right w:val="single" w:sz="6" w:space="0" w:color="auto"/>
            </w:tcBorders>
          </w:tcPr>
          <w:p w:rsidR="005A27D4" w:rsidRPr="00FA3856" w:rsidRDefault="005A27D4" w:rsidP="005A27D4">
            <w:pPr>
              <w:pStyle w:val="PSDS-CorpodeTexto0"/>
              <w:rPr>
                <w:rFonts w:ascii="Times New Roman" w:hAnsi="Times New Roman"/>
              </w:rPr>
            </w:pPr>
            <w:r w:rsidRPr="00FA3856">
              <w:rPr>
                <w:rFonts w:ascii="Times New Roman" w:hAnsi="Times New Roman"/>
              </w:rPr>
              <w:t>Erro</w:t>
            </w:r>
          </w:p>
        </w:tc>
      </w:tr>
      <w:tr w:rsidR="005A27D4" w:rsidRPr="00FA3856" w:rsidTr="00132266">
        <w:trPr>
          <w:jc w:val="center"/>
        </w:trPr>
        <w:tc>
          <w:tcPr>
            <w:tcW w:w="485" w:type="dxa"/>
            <w:tcBorders>
              <w:top w:val="single" w:sz="6" w:space="0" w:color="auto"/>
              <w:left w:val="single" w:sz="6" w:space="0" w:color="auto"/>
              <w:bottom w:val="single" w:sz="6" w:space="0" w:color="auto"/>
              <w:right w:val="single" w:sz="6" w:space="0" w:color="auto"/>
            </w:tcBorders>
          </w:tcPr>
          <w:p w:rsidR="005A27D4" w:rsidRPr="00FA3856" w:rsidRDefault="005A27D4" w:rsidP="005A27D4">
            <w:pPr>
              <w:pStyle w:val="PSDS-CorpodeTexto0"/>
              <w:suppressAutoHyphens w:val="0"/>
              <w:rPr>
                <w:rFonts w:ascii="Times New Roman" w:hAnsi="Times New Roman"/>
                <w:b/>
                <w:bCs/>
                <w:lang w:val="pt-PT"/>
              </w:rPr>
            </w:pPr>
            <w:r w:rsidRPr="00FA3856">
              <w:rPr>
                <w:rFonts w:ascii="Times New Roman" w:hAnsi="Times New Roman"/>
                <w:b/>
                <w:bCs/>
                <w:lang w:val="pt-PT"/>
              </w:rPr>
              <w:t>5</w:t>
            </w:r>
          </w:p>
        </w:tc>
        <w:tc>
          <w:tcPr>
            <w:tcW w:w="3000" w:type="dxa"/>
            <w:tcBorders>
              <w:top w:val="single" w:sz="6" w:space="0" w:color="auto"/>
              <w:left w:val="single" w:sz="6" w:space="0" w:color="auto"/>
              <w:bottom w:val="single" w:sz="6" w:space="0" w:color="auto"/>
              <w:right w:val="single" w:sz="6" w:space="0" w:color="auto"/>
            </w:tcBorders>
          </w:tcPr>
          <w:p w:rsidR="005A27D4" w:rsidRPr="00FA3856" w:rsidRDefault="005A27D4" w:rsidP="005A27D4">
            <w:pPr>
              <w:spacing w:before="100" w:beforeAutospacing="1" w:after="100" w:afterAutospacing="1"/>
              <w:rPr>
                <w:color w:val="222222"/>
                <w:szCs w:val="20"/>
              </w:rPr>
            </w:pPr>
            <w:r w:rsidRPr="00FA3856">
              <w:rPr>
                <w:color w:val="222222"/>
                <w:szCs w:val="20"/>
                <w:lang w:val="en-US"/>
              </w:rPr>
              <w:t>PER_INCEN_ FINAM</w:t>
            </w:r>
          </w:p>
        </w:tc>
        <w:tc>
          <w:tcPr>
            <w:tcW w:w="12168" w:type="dxa"/>
            <w:tcBorders>
              <w:top w:val="single" w:sz="6" w:space="0" w:color="auto"/>
              <w:left w:val="single" w:sz="6" w:space="0" w:color="auto"/>
              <w:bottom w:val="single" w:sz="6" w:space="0" w:color="auto"/>
              <w:right w:val="single" w:sz="6" w:space="0" w:color="auto"/>
            </w:tcBorders>
          </w:tcPr>
          <w:p w:rsidR="005A27D4" w:rsidRPr="00FA3856" w:rsidRDefault="005A27D4" w:rsidP="005A27D4">
            <w:pPr>
              <w:pStyle w:val="Corpodetexto"/>
              <w:rPr>
                <w:rFonts w:ascii="Times New Roman" w:hAnsi="Times New Roman"/>
                <w:szCs w:val="20"/>
              </w:rPr>
            </w:pPr>
            <w:r w:rsidRPr="00FA3856">
              <w:rPr>
                <w:rFonts w:ascii="Times New Roman" w:hAnsi="Times New Roman"/>
                <w:b/>
                <w:szCs w:val="20"/>
              </w:rPr>
              <w:t xml:space="preserve">REGRA_PERCENTUAL_MAIOR_6: </w:t>
            </w:r>
            <w:r w:rsidRPr="00FA3856">
              <w:rPr>
                <w:rFonts w:ascii="Times New Roman" w:hAnsi="Times New Roman"/>
                <w:szCs w:val="20"/>
              </w:rPr>
              <w:t xml:space="preserve">Verifica se </w:t>
            </w:r>
            <w:r w:rsidR="00375E89" w:rsidRPr="00FA3856">
              <w:rPr>
                <w:rFonts w:ascii="Times New Roman" w:hAnsi="Times New Roman"/>
                <w:szCs w:val="20"/>
              </w:rPr>
              <w:t xml:space="preserve">N615.PER_INCEN_FINAM </w:t>
            </w:r>
            <w:r w:rsidRPr="00FA3856">
              <w:rPr>
                <w:rFonts w:ascii="Times New Roman" w:hAnsi="Times New Roman"/>
                <w:szCs w:val="20"/>
              </w:rPr>
              <w:t>é menor ou igual a “6”.</w:t>
            </w:r>
          </w:p>
          <w:p w:rsidR="005A27D4" w:rsidRPr="00FA3856" w:rsidRDefault="005A27D4" w:rsidP="005A27D4">
            <w:pPr>
              <w:pStyle w:val="Corpodetexto"/>
              <w:rPr>
                <w:rFonts w:ascii="Times New Roman" w:hAnsi="Times New Roman"/>
                <w:szCs w:val="20"/>
              </w:rPr>
            </w:pPr>
          </w:p>
          <w:p w:rsidR="005A27D4" w:rsidRPr="00FA3856" w:rsidRDefault="005A27D4" w:rsidP="005A27D4">
            <w:pPr>
              <w:pStyle w:val="Corpodetexto"/>
              <w:rPr>
                <w:rFonts w:ascii="Times New Roman" w:hAnsi="Times New Roman"/>
                <w:szCs w:val="20"/>
              </w:rPr>
            </w:pPr>
            <w:r w:rsidRPr="00FA3856">
              <w:rPr>
                <w:rFonts w:ascii="Times New Roman" w:hAnsi="Times New Roman"/>
                <w:b/>
                <w:szCs w:val="20"/>
              </w:rPr>
              <w:t xml:space="preserve">REGRA_PERCENTUAL_MAIOR_6_GERAL: </w:t>
            </w:r>
            <w:r w:rsidRPr="00FA3856">
              <w:rPr>
                <w:rFonts w:ascii="Times New Roman" w:hAnsi="Times New Roman"/>
                <w:szCs w:val="20"/>
              </w:rPr>
              <w:t xml:space="preserve">Verifica se </w:t>
            </w:r>
            <w:r w:rsidR="00375E89" w:rsidRPr="00FA3856">
              <w:rPr>
                <w:rFonts w:ascii="Times New Roman" w:hAnsi="Times New Roman"/>
                <w:szCs w:val="20"/>
              </w:rPr>
              <w:t xml:space="preserve">N615.PER_INCEN_FINOR </w:t>
            </w:r>
            <w:r w:rsidRPr="00FA3856">
              <w:rPr>
                <w:rFonts w:ascii="Times New Roman" w:hAnsi="Times New Roman"/>
                <w:szCs w:val="20"/>
              </w:rPr>
              <w:t xml:space="preserve">somado ao </w:t>
            </w:r>
            <w:r w:rsidR="00375E89" w:rsidRPr="00FA3856">
              <w:rPr>
                <w:rFonts w:ascii="Times New Roman" w:hAnsi="Times New Roman"/>
                <w:szCs w:val="20"/>
              </w:rPr>
              <w:t xml:space="preserve">N615.PER_INCEN_FINAM </w:t>
            </w:r>
            <w:r w:rsidRPr="00FA3856">
              <w:rPr>
                <w:rFonts w:ascii="Times New Roman" w:hAnsi="Times New Roman"/>
                <w:szCs w:val="20"/>
              </w:rPr>
              <w:t>é menor ou igual a “6”.</w:t>
            </w:r>
          </w:p>
          <w:p w:rsidR="005A27D4" w:rsidRPr="00FA3856" w:rsidRDefault="005A27D4" w:rsidP="005A27D4">
            <w:pPr>
              <w:pStyle w:val="Corpodetexto"/>
              <w:rPr>
                <w:rFonts w:ascii="Times New Roman" w:hAnsi="Times New Roman"/>
                <w:szCs w:val="20"/>
              </w:rPr>
            </w:pPr>
          </w:p>
          <w:p w:rsidR="005A27D4" w:rsidRPr="00FA3856" w:rsidRDefault="005A27D4" w:rsidP="005A27D4">
            <w:pPr>
              <w:pStyle w:val="Corpodetexto"/>
              <w:rPr>
                <w:rFonts w:ascii="Times New Roman" w:hAnsi="Times New Roman"/>
                <w:szCs w:val="20"/>
              </w:rPr>
            </w:pPr>
            <w:r w:rsidRPr="00FA3856">
              <w:rPr>
                <w:rFonts w:ascii="Times New Roman" w:hAnsi="Times New Roman"/>
                <w:b/>
                <w:szCs w:val="20"/>
              </w:rPr>
              <w:t xml:space="preserve">REGRA_PERCENTUAL: </w:t>
            </w:r>
            <w:r w:rsidRPr="00FA3856">
              <w:rPr>
                <w:rFonts w:ascii="Times New Roman" w:hAnsi="Times New Roman"/>
                <w:szCs w:val="20"/>
              </w:rPr>
              <w:t xml:space="preserve">Verifica se o valor informado no campo </w:t>
            </w:r>
            <w:r w:rsidR="00375E89" w:rsidRPr="00FA3856">
              <w:rPr>
                <w:rFonts w:ascii="Times New Roman" w:hAnsi="Times New Roman"/>
                <w:szCs w:val="20"/>
              </w:rPr>
              <w:t xml:space="preserve">N615.PER_INCEN_FINOR </w:t>
            </w:r>
            <w:r w:rsidRPr="00FA3856">
              <w:rPr>
                <w:rFonts w:ascii="Times New Roman" w:hAnsi="Times New Roman"/>
                <w:szCs w:val="20"/>
              </w:rPr>
              <w:t>está entre “0” e “100”.</w:t>
            </w:r>
          </w:p>
        </w:tc>
        <w:tc>
          <w:tcPr>
            <w:tcW w:w="717" w:type="dxa"/>
            <w:tcBorders>
              <w:top w:val="single" w:sz="6" w:space="0" w:color="auto"/>
              <w:left w:val="single" w:sz="6" w:space="0" w:color="auto"/>
              <w:bottom w:val="single" w:sz="6" w:space="0" w:color="auto"/>
              <w:right w:val="single" w:sz="6" w:space="0" w:color="auto"/>
            </w:tcBorders>
          </w:tcPr>
          <w:p w:rsidR="005A27D4" w:rsidRPr="00FA3856" w:rsidRDefault="005A27D4" w:rsidP="005A27D4">
            <w:pPr>
              <w:pStyle w:val="PSDS-CorpodeTexto0"/>
              <w:rPr>
                <w:rFonts w:ascii="Times New Roman" w:hAnsi="Times New Roman"/>
              </w:rPr>
            </w:pPr>
            <w:r w:rsidRPr="00FA3856">
              <w:rPr>
                <w:rFonts w:ascii="Times New Roman" w:hAnsi="Times New Roman"/>
              </w:rPr>
              <w:t>Aviso</w:t>
            </w:r>
          </w:p>
          <w:p w:rsidR="005A27D4" w:rsidRPr="00FA3856" w:rsidRDefault="005A27D4" w:rsidP="005A27D4">
            <w:pPr>
              <w:pStyle w:val="PSDS-CorpodeTexto0"/>
              <w:rPr>
                <w:rFonts w:ascii="Times New Roman" w:hAnsi="Times New Roman"/>
              </w:rPr>
            </w:pPr>
          </w:p>
          <w:p w:rsidR="005A27D4" w:rsidRPr="00FA3856" w:rsidRDefault="005A27D4" w:rsidP="005A27D4">
            <w:pPr>
              <w:pStyle w:val="PSDS-CorpodeTexto0"/>
              <w:rPr>
                <w:rFonts w:ascii="Times New Roman" w:hAnsi="Times New Roman"/>
              </w:rPr>
            </w:pPr>
          </w:p>
          <w:p w:rsidR="005A27D4" w:rsidRPr="00FA3856" w:rsidRDefault="005A27D4" w:rsidP="005A27D4">
            <w:pPr>
              <w:pStyle w:val="PSDS-CorpodeTexto0"/>
              <w:rPr>
                <w:rFonts w:ascii="Times New Roman" w:hAnsi="Times New Roman"/>
              </w:rPr>
            </w:pPr>
            <w:r w:rsidRPr="00FA3856">
              <w:rPr>
                <w:rFonts w:ascii="Times New Roman" w:hAnsi="Times New Roman"/>
              </w:rPr>
              <w:t>Aviso</w:t>
            </w:r>
          </w:p>
          <w:p w:rsidR="005A27D4" w:rsidRPr="00FA3856" w:rsidRDefault="005A27D4" w:rsidP="005A27D4">
            <w:pPr>
              <w:pStyle w:val="PSDS-CorpodeTexto0"/>
              <w:rPr>
                <w:rFonts w:ascii="Times New Roman" w:hAnsi="Times New Roman"/>
              </w:rPr>
            </w:pPr>
          </w:p>
          <w:p w:rsidR="005A27D4" w:rsidRPr="00FA3856" w:rsidRDefault="005A27D4" w:rsidP="005A27D4">
            <w:pPr>
              <w:pStyle w:val="PSDS-CorpodeTexto0"/>
              <w:rPr>
                <w:rFonts w:ascii="Times New Roman" w:hAnsi="Times New Roman"/>
              </w:rPr>
            </w:pPr>
            <w:r w:rsidRPr="00FA3856">
              <w:rPr>
                <w:rFonts w:ascii="Times New Roman" w:hAnsi="Times New Roman"/>
              </w:rPr>
              <w:t>Erro</w:t>
            </w:r>
          </w:p>
        </w:tc>
      </w:tr>
      <w:tr w:rsidR="005A27D4" w:rsidRPr="00FA3856" w:rsidTr="00132266">
        <w:trPr>
          <w:jc w:val="center"/>
        </w:trPr>
        <w:tc>
          <w:tcPr>
            <w:tcW w:w="485" w:type="dxa"/>
            <w:tcBorders>
              <w:top w:val="single" w:sz="6" w:space="0" w:color="auto"/>
              <w:left w:val="single" w:sz="6" w:space="0" w:color="auto"/>
              <w:bottom w:val="single" w:sz="6" w:space="0" w:color="auto"/>
              <w:right w:val="single" w:sz="6" w:space="0" w:color="auto"/>
            </w:tcBorders>
          </w:tcPr>
          <w:p w:rsidR="005A27D4" w:rsidRPr="00FA3856" w:rsidRDefault="005A27D4" w:rsidP="005A27D4">
            <w:pPr>
              <w:pStyle w:val="PSDS-CorpodeTexto0"/>
              <w:suppressAutoHyphens w:val="0"/>
              <w:rPr>
                <w:rFonts w:ascii="Times New Roman" w:hAnsi="Times New Roman"/>
                <w:b/>
                <w:bCs/>
                <w:lang w:val="pt-PT"/>
              </w:rPr>
            </w:pPr>
            <w:r w:rsidRPr="00FA3856">
              <w:rPr>
                <w:rFonts w:ascii="Times New Roman" w:hAnsi="Times New Roman"/>
                <w:b/>
                <w:bCs/>
                <w:lang w:val="pt-PT"/>
              </w:rPr>
              <w:t>6</w:t>
            </w:r>
          </w:p>
        </w:tc>
        <w:tc>
          <w:tcPr>
            <w:tcW w:w="3000" w:type="dxa"/>
            <w:tcBorders>
              <w:top w:val="single" w:sz="6" w:space="0" w:color="auto"/>
              <w:left w:val="single" w:sz="6" w:space="0" w:color="auto"/>
              <w:bottom w:val="single" w:sz="6" w:space="0" w:color="auto"/>
              <w:right w:val="single" w:sz="6" w:space="0" w:color="auto"/>
            </w:tcBorders>
          </w:tcPr>
          <w:p w:rsidR="005A27D4" w:rsidRPr="00FA3856" w:rsidRDefault="005A27D4" w:rsidP="005A27D4">
            <w:pPr>
              <w:spacing w:before="100" w:beforeAutospacing="1" w:after="100" w:afterAutospacing="1"/>
              <w:rPr>
                <w:color w:val="222222"/>
                <w:szCs w:val="20"/>
              </w:rPr>
            </w:pPr>
            <w:r w:rsidRPr="00FA3856">
              <w:rPr>
                <w:color w:val="222222"/>
                <w:szCs w:val="20"/>
                <w:lang w:val="es-ES_tradnl"/>
              </w:rPr>
              <w:t>VL_LIQ_INCEN_ FINAM</w:t>
            </w:r>
          </w:p>
        </w:tc>
        <w:tc>
          <w:tcPr>
            <w:tcW w:w="12168" w:type="dxa"/>
            <w:tcBorders>
              <w:top w:val="single" w:sz="6" w:space="0" w:color="auto"/>
              <w:left w:val="single" w:sz="6" w:space="0" w:color="auto"/>
              <w:bottom w:val="single" w:sz="6" w:space="0" w:color="auto"/>
              <w:right w:val="single" w:sz="6" w:space="0" w:color="auto"/>
            </w:tcBorders>
          </w:tcPr>
          <w:p w:rsidR="005A27D4" w:rsidRPr="00FA3856" w:rsidRDefault="005A27D4" w:rsidP="005A27D4">
            <w:pPr>
              <w:pStyle w:val="Corpodetexto"/>
              <w:rPr>
                <w:rFonts w:ascii="Times New Roman" w:hAnsi="Times New Roman"/>
                <w:szCs w:val="20"/>
              </w:rPr>
            </w:pPr>
            <w:r w:rsidRPr="00FA3856">
              <w:rPr>
                <w:rFonts w:ascii="Times New Roman" w:hAnsi="Times New Roman"/>
                <w:b/>
                <w:szCs w:val="20"/>
              </w:rPr>
              <w:t xml:space="preserve">REGRA_FINAM_LIQUIDO_DIFERENTE: </w:t>
            </w:r>
            <w:r w:rsidRPr="00FA3856">
              <w:rPr>
                <w:rFonts w:ascii="Times New Roman" w:hAnsi="Times New Roman"/>
                <w:szCs w:val="20"/>
              </w:rPr>
              <w:t xml:space="preserve">Verifica se o valor informado em </w:t>
            </w:r>
            <w:r w:rsidR="00371008" w:rsidRPr="00FA3856">
              <w:rPr>
                <w:rFonts w:ascii="Times New Roman" w:hAnsi="Times New Roman"/>
                <w:szCs w:val="20"/>
              </w:rPr>
              <w:t>N615.</w:t>
            </w:r>
            <w:r w:rsidR="00375E89" w:rsidRPr="00FA3856">
              <w:rPr>
                <w:rFonts w:ascii="Times New Roman" w:hAnsi="Times New Roman"/>
                <w:color w:val="222222"/>
                <w:szCs w:val="20"/>
                <w:lang w:val="es-ES_tradnl" w:eastAsia="pt-BR"/>
              </w:rPr>
              <w:t xml:space="preserve">VL_LIQ_INCEN_ FINAM </w:t>
            </w:r>
            <w:r w:rsidRPr="00FA3856">
              <w:rPr>
                <w:rFonts w:ascii="Times New Roman" w:hAnsi="Times New Roman"/>
                <w:color w:val="222222"/>
                <w:szCs w:val="20"/>
                <w:lang w:val="es-ES_tradnl" w:eastAsia="pt-BR"/>
              </w:rPr>
              <w:t xml:space="preserve">é igual ao resultado da multiplicação de </w:t>
            </w:r>
            <w:r w:rsidR="00371008" w:rsidRPr="00FA3856">
              <w:rPr>
                <w:rFonts w:ascii="Times New Roman" w:hAnsi="Times New Roman"/>
                <w:color w:val="222222"/>
                <w:szCs w:val="20"/>
                <w:lang w:val="es-ES_tradnl" w:eastAsia="pt-BR"/>
              </w:rPr>
              <w:t>N615.</w:t>
            </w:r>
            <w:r w:rsidR="00375E89" w:rsidRPr="00FA3856">
              <w:rPr>
                <w:rFonts w:ascii="Times New Roman" w:hAnsi="Times New Roman"/>
                <w:szCs w:val="20"/>
              </w:rPr>
              <w:t xml:space="preserve">PER_INCEN_FINAM </w:t>
            </w:r>
            <w:r w:rsidR="0009494E" w:rsidRPr="00FA3856">
              <w:rPr>
                <w:rFonts w:ascii="Times New Roman" w:hAnsi="Times New Roman"/>
                <w:szCs w:val="20"/>
              </w:rPr>
              <w:t xml:space="preserve">por </w:t>
            </w:r>
            <w:r w:rsidR="00375E89" w:rsidRPr="00FA3856">
              <w:rPr>
                <w:rFonts w:ascii="Times New Roman" w:hAnsi="Times New Roman"/>
                <w:szCs w:val="20"/>
              </w:rPr>
              <w:t>N615.BASE_CALC</w:t>
            </w:r>
            <w:r w:rsidRPr="00FA3856">
              <w:rPr>
                <w:rFonts w:ascii="Times New Roman" w:hAnsi="Times New Roman"/>
                <w:szCs w:val="20"/>
              </w:rPr>
              <w:t>.</w:t>
            </w:r>
          </w:p>
        </w:tc>
        <w:tc>
          <w:tcPr>
            <w:tcW w:w="717" w:type="dxa"/>
            <w:tcBorders>
              <w:top w:val="single" w:sz="6" w:space="0" w:color="auto"/>
              <w:left w:val="single" w:sz="6" w:space="0" w:color="auto"/>
              <w:bottom w:val="single" w:sz="6" w:space="0" w:color="auto"/>
              <w:right w:val="single" w:sz="6" w:space="0" w:color="auto"/>
            </w:tcBorders>
          </w:tcPr>
          <w:p w:rsidR="005A27D4" w:rsidRPr="00FA3856" w:rsidRDefault="005A27D4" w:rsidP="005A27D4">
            <w:pPr>
              <w:pStyle w:val="PSDS-CorpodeTexto0"/>
              <w:rPr>
                <w:rFonts w:ascii="Times New Roman" w:hAnsi="Times New Roman"/>
              </w:rPr>
            </w:pPr>
            <w:r w:rsidRPr="00FA3856">
              <w:rPr>
                <w:rFonts w:ascii="Times New Roman" w:hAnsi="Times New Roman"/>
              </w:rPr>
              <w:t>Erro</w:t>
            </w:r>
          </w:p>
        </w:tc>
      </w:tr>
      <w:tr w:rsidR="001176F6" w:rsidRPr="00FA3856" w:rsidTr="008B2747">
        <w:trPr>
          <w:jc w:val="center"/>
        </w:trPr>
        <w:tc>
          <w:tcPr>
            <w:tcW w:w="485" w:type="dxa"/>
            <w:tcBorders>
              <w:top w:val="single" w:sz="6" w:space="0" w:color="auto"/>
              <w:left w:val="single" w:sz="6" w:space="0" w:color="auto"/>
              <w:bottom w:val="single" w:sz="6" w:space="0" w:color="auto"/>
              <w:right w:val="single" w:sz="6" w:space="0" w:color="auto"/>
            </w:tcBorders>
          </w:tcPr>
          <w:p w:rsidR="001176F6" w:rsidRPr="00FA3856" w:rsidRDefault="005D2F91" w:rsidP="008B2747">
            <w:pPr>
              <w:pStyle w:val="PSDS-CorpodeTexto0"/>
              <w:suppressAutoHyphens w:val="0"/>
              <w:rPr>
                <w:rFonts w:ascii="Times New Roman" w:hAnsi="Times New Roman"/>
                <w:b/>
                <w:bCs/>
                <w:lang w:val="pt-PT"/>
              </w:rPr>
            </w:pPr>
            <w:r w:rsidRPr="00FA3856">
              <w:rPr>
                <w:rFonts w:ascii="Times New Roman" w:hAnsi="Times New Roman"/>
                <w:b/>
                <w:bCs/>
                <w:lang w:val="pt-PT"/>
              </w:rPr>
              <w:t>7</w:t>
            </w:r>
          </w:p>
        </w:tc>
        <w:tc>
          <w:tcPr>
            <w:tcW w:w="3000" w:type="dxa"/>
            <w:tcBorders>
              <w:top w:val="single" w:sz="6" w:space="0" w:color="auto"/>
              <w:left w:val="single" w:sz="6" w:space="0" w:color="auto"/>
              <w:bottom w:val="single" w:sz="6" w:space="0" w:color="auto"/>
              <w:right w:val="single" w:sz="6" w:space="0" w:color="auto"/>
            </w:tcBorders>
          </w:tcPr>
          <w:p w:rsidR="001176F6" w:rsidRPr="00FA3856" w:rsidRDefault="001176F6" w:rsidP="008B2747">
            <w:pPr>
              <w:spacing w:before="100" w:beforeAutospacing="1" w:after="100" w:afterAutospacing="1"/>
              <w:rPr>
                <w:color w:val="222222"/>
                <w:szCs w:val="20"/>
                <w:lang w:val="pt-PT"/>
              </w:rPr>
            </w:pPr>
            <w:r w:rsidRPr="00FA3856">
              <w:rPr>
                <w:color w:val="222222"/>
                <w:szCs w:val="20"/>
                <w:lang w:val="pt-PT"/>
              </w:rPr>
              <w:t>VL_TOTAL</w:t>
            </w:r>
          </w:p>
        </w:tc>
        <w:tc>
          <w:tcPr>
            <w:tcW w:w="12168" w:type="dxa"/>
            <w:tcBorders>
              <w:top w:val="single" w:sz="6" w:space="0" w:color="auto"/>
              <w:left w:val="single" w:sz="6" w:space="0" w:color="auto"/>
              <w:bottom w:val="single" w:sz="6" w:space="0" w:color="auto"/>
              <w:right w:val="single" w:sz="6" w:space="0" w:color="auto"/>
            </w:tcBorders>
          </w:tcPr>
          <w:p w:rsidR="001176F6" w:rsidRPr="00FA3856" w:rsidRDefault="001176F6" w:rsidP="008B2747">
            <w:pPr>
              <w:pStyle w:val="Corpodetexto"/>
              <w:rPr>
                <w:rFonts w:ascii="Times New Roman" w:hAnsi="Times New Roman"/>
                <w:szCs w:val="20"/>
              </w:rPr>
            </w:pPr>
            <w:r w:rsidRPr="00FA3856">
              <w:rPr>
                <w:rFonts w:ascii="Times New Roman" w:hAnsi="Times New Roman"/>
                <w:b/>
                <w:szCs w:val="20"/>
              </w:rPr>
              <w:t xml:space="preserve">REGRA_TOTAL_DIFERENTE: </w:t>
            </w:r>
            <w:r w:rsidRPr="00FA3856">
              <w:rPr>
                <w:rFonts w:ascii="Times New Roman" w:hAnsi="Times New Roman"/>
                <w:szCs w:val="20"/>
              </w:rPr>
              <w:t xml:space="preserve">Verifica se </w:t>
            </w:r>
            <w:r w:rsidR="00371008" w:rsidRPr="00FA3856">
              <w:rPr>
                <w:rFonts w:ascii="Times New Roman" w:hAnsi="Times New Roman"/>
                <w:szCs w:val="20"/>
              </w:rPr>
              <w:t>N615.</w:t>
            </w:r>
            <w:r w:rsidR="00375E89" w:rsidRPr="00FA3856">
              <w:rPr>
                <w:rFonts w:ascii="Times New Roman" w:hAnsi="Times New Roman"/>
                <w:color w:val="222222"/>
                <w:szCs w:val="20"/>
                <w:lang w:val="es-ES_tradnl" w:eastAsia="pt-BR"/>
              </w:rPr>
              <w:t xml:space="preserve">VL_LIQ_INCEN_ FINOR </w:t>
            </w:r>
            <w:r w:rsidRPr="00FA3856">
              <w:rPr>
                <w:rFonts w:ascii="Times New Roman" w:hAnsi="Times New Roman"/>
                <w:szCs w:val="20"/>
              </w:rPr>
              <w:t xml:space="preserve">somado ao </w:t>
            </w:r>
            <w:r w:rsidR="00371008" w:rsidRPr="00FA3856">
              <w:rPr>
                <w:rFonts w:ascii="Times New Roman" w:hAnsi="Times New Roman"/>
                <w:szCs w:val="20"/>
              </w:rPr>
              <w:t>N615.</w:t>
            </w:r>
            <w:r w:rsidR="00375E89" w:rsidRPr="00FA3856">
              <w:rPr>
                <w:rFonts w:ascii="Times New Roman" w:hAnsi="Times New Roman"/>
                <w:color w:val="222222"/>
                <w:szCs w:val="20"/>
                <w:lang w:val="es-ES_tradnl" w:eastAsia="pt-BR"/>
              </w:rPr>
              <w:t xml:space="preserve">VL_LIQ_INCEN_ FINAM </w:t>
            </w:r>
            <w:r w:rsidRPr="00FA3856">
              <w:rPr>
                <w:rFonts w:ascii="Times New Roman" w:hAnsi="Times New Roman"/>
                <w:szCs w:val="20"/>
              </w:rPr>
              <w:t xml:space="preserve">é igual ao valor informado no campo </w:t>
            </w:r>
            <w:r w:rsidR="00371008" w:rsidRPr="00FA3856">
              <w:rPr>
                <w:rFonts w:ascii="Times New Roman" w:hAnsi="Times New Roman"/>
                <w:szCs w:val="20"/>
              </w:rPr>
              <w:t>N615.</w:t>
            </w:r>
            <w:r w:rsidR="00375E89" w:rsidRPr="00FA3856">
              <w:rPr>
                <w:rFonts w:ascii="Times New Roman" w:hAnsi="Times New Roman"/>
                <w:szCs w:val="20"/>
              </w:rPr>
              <w:t>VL_TOTAL</w:t>
            </w:r>
            <w:r w:rsidR="005D2F91" w:rsidRPr="00FA3856">
              <w:rPr>
                <w:rFonts w:ascii="Times New Roman" w:hAnsi="Times New Roman"/>
                <w:szCs w:val="20"/>
              </w:rPr>
              <w:t>.</w:t>
            </w:r>
          </w:p>
        </w:tc>
        <w:tc>
          <w:tcPr>
            <w:tcW w:w="717" w:type="dxa"/>
            <w:tcBorders>
              <w:top w:val="single" w:sz="6" w:space="0" w:color="auto"/>
              <w:left w:val="single" w:sz="6" w:space="0" w:color="auto"/>
              <w:bottom w:val="single" w:sz="6" w:space="0" w:color="auto"/>
              <w:right w:val="single" w:sz="6" w:space="0" w:color="auto"/>
            </w:tcBorders>
          </w:tcPr>
          <w:p w:rsidR="001176F6" w:rsidRPr="00FA3856" w:rsidRDefault="001176F6" w:rsidP="008B2747">
            <w:pPr>
              <w:pStyle w:val="PSDS-CorpodeTexto0"/>
              <w:rPr>
                <w:rFonts w:ascii="Times New Roman" w:hAnsi="Times New Roman"/>
              </w:rPr>
            </w:pPr>
            <w:r w:rsidRPr="00FA3856">
              <w:rPr>
                <w:rFonts w:ascii="Times New Roman" w:hAnsi="Times New Roman"/>
              </w:rPr>
              <w:t>Erro</w:t>
            </w:r>
          </w:p>
          <w:p w:rsidR="001176F6" w:rsidRPr="00FA3856" w:rsidRDefault="001176F6" w:rsidP="005D2F91">
            <w:pPr>
              <w:pStyle w:val="PSDS-CorpodeTexto0"/>
              <w:rPr>
                <w:rFonts w:ascii="Times New Roman" w:hAnsi="Times New Roman"/>
              </w:rPr>
            </w:pPr>
          </w:p>
        </w:tc>
      </w:tr>
    </w:tbl>
    <w:p w:rsidR="003E7A35" w:rsidRDefault="003E7A35" w:rsidP="001B6DF5">
      <w:pPr>
        <w:spacing w:after="200" w:line="276" w:lineRule="auto"/>
        <w:rPr>
          <w:b/>
          <w:color w:val="002060"/>
          <w:szCs w:val="20"/>
        </w:rPr>
      </w:pPr>
    </w:p>
    <w:p w:rsidR="003E7A35" w:rsidRDefault="003E7A35">
      <w:pPr>
        <w:spacing w:after="200" w:line="276" w:lineRule="auto"/>
        <w:rPr>
          <w:b/>
          <w:color w:val="002060"/>
          <w:szCs w:val="20"/>
        </w:rPr>
      </w:pPr>
      <w:r>
        <w:rPr>
          <w:b/>
          <w:color w:val="002060"/>
          <w:szCs w:val="20"/>
        </w:rPr>
        <w:br w:type="page"/>
      </w:r>
    </w:p>
    <w:p w:rsidR="003E7A35" w:rsidRDefault="00371008" w:rsidP="003E7A35">
      <w:pPr>
        <w:rPr>
          <w:b/>
          <w:color w:val="002060"/>
          <w:szCs w:val="20"/>
        </w:rPr>
      </w:pPr>
      <w:r w:rsidRPr="00FA3856">
        <w:rPr>
          <w:b/>
          <w:color w:val="002060"/>
          <w:szCs w:val="20"/>
        </w:rPr>
        <w:lastRenderedPageBreak/>
        <w:t xml:space="preserve">Exemplo de Preenchimento: </w:t>
      </w:r>
    </w:p>
    <w:p w:rsidR="00AD51BC" w:rsidRPr="00FA3856" w:rsidRDefault="00AD51BC" w:rsidP="003E7A35">
      <w:pPr>
        <w:rPr>
          <w:b/>
          <w:color w:val="002060"/>
          <w:szCs w:val="20"/>
        </w:rPr>
      </w:pPr>
      <w:r w:rsidRPr="00FA3856">
        <w:rPr>
          <w:b/>
          <w:color w:val="002060"/>
          <w:szCs w:val="20"/>
        </w:rPr>
        <w:t>|N615|2000,00|3,</w:t>
      </w:r>
      <w:r w:rsidR="000F7629" w:rsidRPr="00FA3856">
        <w:rPr>
          <w:b/>
          <w:color w:val="002060"/>
          <w:szCs w:val="20"/>
        </w:rPr>
        <w:t>00|60,00|3,0</w:t>
      </w:r>
      <w:r w:rsidR="005D2F91" w:rsidRPr="00FA3856">
        <w:rPr>
          <w:b/>
          <w:color w:val="002060"/>
          <w:szCs w:val="20"/>
        </w:rPr>
        <w:t>0|60,00|120,00|</w:t>
      </w:r>
    </w:p>
    <w:p w:rsidR="00AD51BC" w:rsidRPr="00FA3856" w:rsidRDefault="00AD51BC" w:rsidP="003E7A35">
      <w:pPr>
        <w:pStyle w:val="Corpodetexto"/>
        <w:spacing w:line="240" w:lineRule="auto"/>
        <w:ind w:firstLine="708"/>
        <w:rPr>
          <w:rFonts w:ascii="Times New Roman" w:hAnsi="Times New Roman"/>
          <w:color w:val="002060"/>
          <w:szCs w:val="20"/>
        </w:rPr>
      </w:pPr>
      <w:r w:rsidRPr="00FA3856">
        <w:rPr>
          <w:rFonts w:ascii="Times New Roman" w:hAnsi="Times New Roman"/>
          <w:color w:val="002060"/>
          <w:szCs w:val="20"/>
        </w:rPr>
        <w:t>|N615|: Identificação do tipo do registro.</w:t>
      </w:r>
    </w:p>
    <w:p w:rsidR="00AD51BC" w:rsidRPr="00FA3856" w:rsidRDefault="00AD51BC" w:rsidP="003E7A35">
      <w:pPr>
        <w:pStyle w:val="Corpodetexto"/>
        <w:spacing w:line="240" w:lineRule="auto"/>
        <w:ind w:firstLine="708"/>
        <w:rPr>
          <w:rFonts w:ascii="Times New Roman" w:hAnsi="Times New Roman"/>
          <w:color w:val="002060"/>
          <w:szCs w:val="20"/>
        </w:rPr>
      </w:pPr>
      <w:r w:rsidRPr="00FA3856">
        <w:rPr>
          <w:rFonts w:ascii="Times New Roman" w:hAnsi="Times New Roman"/>
          <w:color w:val="002060"/>
          <w:szCs w:val="20"/>
        </w:rPr>
        <w:t>|2000,00|: Base de cálculo (R$ 2.000,00).</w:t>
      </w:r>
    </w:p>
    <w:p w:rsidR="00AD51BC" w:rsidRPr="00FA3856" w:rsidRDefault="00AD51BC" w:rsidP="003E7A35">
      <w:pPr>
        <w:pStyle w:val="Corpodetexto"/>
        <w:spacing w:line="240" w:lineRule="auto"/>
        <w:ind w:firstLine="708"/>
        <w:rPr>
          <w:rFonts w:ascii="Times New Roman" w:hAnsi="Times New Roman"/>
          <w:color w:val="002060"/>
          <w:szCs w:val="20"/>
        </w:rPr>
      </w:pPr>
      <w:r w:rsidRPr="00FA3856">
        <w:rPr>
          <w:rFonts w:ascii="Times New Roman" w:hAnsi="Times New Roman"/>
          <w:color w:val="002060"/>
          <w:szCs w:val="20"/>
        </w:rPr>
        <w:t>|3,00|: Percentual do incentivo FINOR (3,00%).</w:t>
      </w:r>
    </w:p>
    <w:p w:rsidR="00AD51BC" w:rsidRPr="00FA3856" w:rsidRDefault="00AD51BC" w:rsidP="003E7A35">
      <w:pPr>
        <w:pStyle w:val="Corpodetexto"/>
        <w:spacing w:line="240" w:lineRule="auto"/>
        <w:ind w:firstLine="708"/>
        <w:rPr>
          <w:rFonts w:ascii="Times New Roman" w:hAnsi="Times New Roman"/>
          <w:color w:val="002060"/>
          <w:szCs w:val="20"/>
        </w:rPr>
      </w:pPr>
      <w:r w:rsidRPr="00FA3856">
        <w:rPr>
          <w:rFonts w:ascii="Times New Roman" w:hAnsi="Times New Roman"/>
          <w:color w:val="002060"/>
          <w:szCs w:val="20"/>
        </w:rPr>
        <w:t>|2000,00|: Valor líquido do incentivo FINOR (R$ 60,00 = 3% x R$ 2.000,00).</w:t>
      </w:r>
    </w:p>
    <w:p w:rsidR="00AD51BC" w:rsidRPr="00FA3856" w:rsidRDefault="00AD51BC" w:rsidP="003E7A35">
      <w:pPr>
        <w:pStyle w:val="Corpodetexto"/>
        <w:spacing w:line="240" w:lineRule="auto"/>
        <w:ind w:firstLine="708"/>
        <w:rPr>
          <w:rFonts w:ascii="Times New Roman" w:hAnsi="Times New Roman"/>
          <w:color w:val="002060"/>
          <w:szCs w:val="20"/>
        </w:rPr>
      </w:pPr>
      <w:r w:rsidRPr="00FA3856">
        <w:rPr>
          <w:rFonts w:ascii="Times New Roman" w:hAnsi="Times New Roman"/>
          <w:color w:val="002060"/>
          <w:szCs w:val="20"/>
        </w:rPr>
        <w:t>|3,00|: Percentual do incentivo FINAM (3,00%).</w:t>
      </w:r>
    </w:p>
    <w:p w:rsidR="00AD51BC" w:rsidRPr="00FA3856" w:rsidRDefault="00AD51BC" w:rsidP="003E7A35">
      <w:pPr>
        <w:pStyle w:val="Corpodetexto"/>
        <w:spacing w:line="240" w:lineRule="auto"/>
        <w:ind w:firstLine="708"/>
        <w:rPr>
          <w:rFonts w:ascii="Times New Roman" w:hAnsi="Times New Roman"/>
          <w:color w:val="002060"/>
          <w:szCs w:val="20"/>
        </w:rPr>
      </w:pPr>
      <w:r w:rsidRPr="00FA3856">
        <w:rPr>
          <w:rFonts w:ascii="Times New Roman" w:hAnsi="Times New Roman"/>
          <w:color w:val="002060"/>
          <w:szCs w:val="20"/>
        </w:rPr>
        <w:t>|2000,00|: Valor líquido do incentivo FINAM (R$ 60,00 = 3% x R$ 2.000,00).</w:t>
      </w:r>
    </w:p>
    <w:p w:rsidR="00AD51BC" w:rsidRPr="00FA3856" w:rsidRDefault="00AD51BC" w:rsidP="003E7A35">
      <w:pPr>
        <w:pStyle w:val="Corpodetexto"/>
        <w:spacing w:line="240" w:lineRule="auto"/>
        <w:ind w:firstLine="708"/>
        <w:rPr>
          <w:rFonts w:ascii="Times New Roman" w:hAnsi="Times New Roman"/>
          <w:color w:val="002060"/>
          <w:szCs w:val="20"/>
        </w:rPr>
      </w:pPr>
      <w:r w:rsidRPr="00FA3856">
        <w:rPr>
          <w:rFonts w:ascii="Times New Roman" w:hAnsi="Times New Roman"/>
          <w:color w:val="002060"/>
          <w:szCs w:val="20"/>
        </w:rPr>
        <w:t>|120,00|: Total dos incentivos (R$ 60,00 + R$ 60,00 = R$ 120,00).</w:t>
      </w:r>
    </w:p>
    <w:p w:rsidR="003E7A35" w:rsidRDefault="003E7A35">
      <w:pPr>
        <w:spacing w:after="200" w:line="276" w:lineRule="auto"/>
        <w:rPr>
          <w:b/>
          <w:bCs/>
          <w:color w:val="0000FF"/>
          <w:szCs w:val="20"/>
        </w:rPr>
      </w:pPr>
      <w:r>
        <w:rPr>
          <w:color w:val="0000FF"/>
          <w:szCs w:val="20"/>
        </w:rPr>
        <w:br w:type="page"/>
      </w:r>
    </w:p>
    <w:p w:rsidR="00DE512B" w:rsidRPr="00FA3856" w:rsidRDefault="00DE512B" w:rsidP="00867F54">
      <w:pPr>
        <w:pStyle w:val="Ttulo4"/>
      </w:pPr>
      <w:bookmarkStart w:id="250" w:name="_Toc479713746"/>
      <w:r w:rsidRPr="00FA3856">
        <w:lastRenderedPageBreak/>
        <w:t xml:space="preserve">Registro N620: </w:t>
      </w:r>
      <w:r w:rsidR="00E377D5" w:rsidRPr="00FA3856">
        <w:t>Apuração</w:t>
      </w:r>
      <w:r w:rsidRPr="00FA3856">
        <w:t xml:space="preserve"> do IRPJ Mensal por Estimativa</w:t>
      </w:r>
      <w:bookmarkEnd w:id="250"/>
    </w:p>
    <w:p w:rsidR="00DE512B" w:rsidRPr="00FA3856" w:rsidRDefault="00DE512B" w:rsidP="00DE512B">
      <w:pPr>
        <w:jc w:val="both"/>
        <w:rPr>
          <w:szCs w:val="20"/>
        </w:rPr>
      </w:pPr>
    </w:p>
    <w:p w:rsidR="00DE512B" w:rsidRDefault="00DE512B" w:rsidP="00963BB8">
      <w:pPr>
        <w:pStyle w:val="PSDS-CorpodeTexto0"/>
        <w:ind w:firstLine="708"/>
        <w:jc w:val="both"/>
        <w:rPr>
          <w:rFonts w:ascii="Times New Roman" w:hAnsi="Times New Roman"/>
        </w:rPr>
      </w:pPr>
      <w:r w:rsidRPr="00FA3856">
        <w:rPr>
          <w:rFonts w:ascii="Times New Roman" w:hAnsi="Times New Roman"/>
        </w:rPr>
        <w:t>Apresenta o cálculo do IRPJ mensal por estimativa.</w:t>
      </w:r>
    </w:p>
    <w:p w:rsidR="00451D5D" w:rsidRPr="00FA3856" w:rsidRDefault="00451D5D" w:rsidP="00963BB8">
      <w:pPr>
        <w:pStyle w:val="PSDS-CorpodeTexto0"/>
        <w:ind w:firstLine="708"/>
        <w:jc w:val="both"/>
        <w:rPr>
          <w:rFonts w:ascii="Times New Roman" w:hAnsi="Times New Roman"/>
        </w:rPr>
      </w:pPr>
    </w:p>
    <w:p w:rsidR="00451D5D" w:rsidRDefault="00B35FA3" w:rsidP="00451D5D">
      <w:pPr>
        <w:pStyle w:val="PSDS-MarcadoresNivel2"/>
        <w:numPr>
          <w:ilvl w:val="0"/>
          <w:numId w:val="0"/>
        </w:numPr>
        <w:jc w:val="center"/>
        <w:rPr>
          <w:rFonts w:ascii="Times New Roman" w:hAnsi="Times New Roman"/>
        </w:rPr>
      </w:pPr>
      <w:r>
        <w:rPr>
          <w:rFonts w:ascii="Times New Roman" w:hAnsi="Times New Roman"/>
        </w:rPr>
        <w:object w:dxaOrig="13965" w:dyaOrig="4710">
          <v:shape id="_x0000_i1750" type="#_x0000_t75" style="width:698.25pt;height:237pt" o:ole="">
            <v:imagedata r:id="rId373" o:title=""/>
          </v:shape>
          <o:OLEObject Type="Link" ProgID="Excel.Sheet.12" ShapeID="_x0000_i1750" DrawAspect="Content" r:id="rId374" UpdateMode="Always">
            <o:LinkType>EnhancedMetaFile</o:LinkType>
            <o:LockedField>false</o:LockedField>
          </o:OLEObject>
        </w:object>
      </w:r>
    </w:p>
    <w:p w:rsidR="00451D5D" w:rsidRDefault="00451D5D" w:rsidP="0012324D">
      <w:pPr>
        <w:pStyle w:val="PSDS-MarcadoresNivel2"/>
        <w:numPr>
          <w:ilvl w:val="0"/>
          <w:numId w:val="0"/>
        </w:numPr>
        <w:rPr>
          <w:rFonts w:ascii="Times New Roman" w:hAnsi="Times New Roman"/>
        </w:rPr>
      </w:pPr>
    </w:p>
    <w:p w:rsidR="0012324D" w:rsidRPr="00FA3856" w:rsidRDefault="0012324D" w:rsidP="0012324D">
      <w:pPr>
        <w:pStyle w:val="PSDS-MarcadoresNivel2"/>
        <w:numPr>
          <w:ilvl w:val="0"/>
          <w:numId w:val="0"/>
        </w:numPr>
        <w:rPr>
          <w:rFonts w:ascii="Times New Roman" w:hAnsi="Times New Roman"/>
        </w:rPr>
      </w:pPr>
      <w:r w:rsidRPr="00FA3856">
        <w:rPr>
          <w:rFonts w:ascii="Times New Roman" w:hAnsi="Times New Roman"/>
        </w:rPr>
        <w:t>I – Regras de Validação do Registro:</w:t>
      </w:r>
    </w:p>
    <w:p w:rsidR="0012324D" w:rsidRPr="00FA3856" w:rsidRDefault="0012324D" w:rsidP="0012324D">
      <w:pPr>
        <w:pStyle w:val="Corpodetexto"/>
        <w:ind w:left="708" w:firstLine="12"/>
        <w:rPr>
          <w:rFonts w:ascii="Times New Roman" w:hAnsi="Times New Roman"/>
          <w:szCs w:val="20"/>
        </w:rPr>
      </w:pPr>
    </w:p>
    <w:p w:rsidR="00FE5D23" w:rsidRPr="00FA3856" w:rsidRDefault="007D0E74" w:rsidP="00FE5D23">
      <w:pPr>
        <w:pStyle w:val="Corpodetexto"/>
        <w:ind w:left="708" w:firstLine="12"/>
        <w:rPr>
          <w:rFonts w:ascii="Times New Roman" w:hAnsi="Times New Roman"/>
          <w:szCs w:val="20"/>
        </w:rPr>
      </w:pPr>
      <w:hyperlink r:id="rId375" w:anchor="REGRA_OCORRENCIA_UNITARIA_ARQ" w:history="1">
        <w:r w:rsidR="00FE5D23" w:rsidRPr="00FA3856">
          <w:rPr>
            <w:rFonts w:ascii="Times New Roman" w:hAnsi="Times New Roman"/>
            <w:b/>
            <w:szCs w:val="20"/>
          </w:rPr>
          <w:t>REGRA_</w:t>
        </w:r>
      </w:hyperlink>
      <w:r w:rsidR="00FE5D23" w:rsidRPr="00FA3856">
        <w:rPr>
          <w:rFonts w:ascii="Times New Roman" w:hAnsi="Times New Roman"/>
          <w:b/>
          <w:szCs w:val="20"/>
        </w:rPr>
        <w:t>DUPLICIDADE_DESPREZADA</w:t>
      </w:r>
      <w:r w:rsidR="00FE5D23" w:rsidRPr="00FA3856">
        <w:rPr>
          <w:rFonts w:ascii="Times New Roman" w:hAnsi="Times New Roman"/>
          <w:color w:val="auto"/>
          <w:szCs w:val="20"/>
        </w:rPr>
        <w:t xml:space="preserve">: </w:t>
      </w:r>
      <w:r w:rsidR="00FE5D23" w:rsidRPr="00FA3856">
        <w:rPr>
          <w:rFonts w:ascii="Times New Roman" w:hAnsi="Times New Roman"/>
          <w:szCs w:val="20"/>
        </w:rPr>
        <w:t>Verifica se o registro já foi importado anteriormente, de acordo com a chave e os registros pais. Se a regra não for cumprida, a ECF gera um aviso.</w:t>
      </w:r>
    </w:p>
    <w:p w:rsidR="00FE5D23" w:rsidRPr="00FA3856" w:rsidRDefault="00FE5D23" w:rsidP="00FE5D23">
      <w:pPr>
        <w:pStyle w:val="Corpodetexto"/>
        <w:ind w:left="708" w:firstLine="12"/>
        <w:rPr>
          <w:rFonts w:ascii="Times New Roman" w:hAnsi="Times New Roman"/>
          <w:szCs w:val="20"/>
        </w:rPr>
      </w:pPr>
    </w:p>
    <w:p w:rsidR="00FE5D23" w:rsidRPr="00FA3856" w:rsidRDefault="007D0E74" w:rsidP="00FE5D23">
      <w:pPr>
        <w:pStyle w:val="Corpodetexto"/>
        <w:ind w:left="708" w:firstLine="12"/>
        <w:rPr>
          <w:rFonts w:ascii="Times New Roman" w:hAnsi="Times New Roman"/>
          <w:szCs w:val="20"/>
        </w:rPr>
      </w:pPr>
      <w:hyperlink r:id="rId376" w:anchor="REGRA_OCORRENCIA_UNITARIA_ARQ" w:history="1">
        <w:r w:rsidR="00FE5D23" w:rsidRPr="00FA3856">
          <w:rPr>
            <w:rFonts w:ascii="Times New Roman" w:hAnsi="Times New Roman"/>
            <w:b/>
            <w:szCs w:val="20"/>
          </w:rPr>
          <w:t>REGRA_</w:t>
        </w:r>
      </w:hyperlink>
      <w:r w:rsidR="00FE5D23" w:rsidRPr="00FA3856">
        <w:rPr>
          <w:rFonts w:ascii="Times New Roman" w:hAnsi="Times New Roman"/>
          <w:b/>
          <w:szCs w:val="20"/>
        </w:rPr>
        <w:t>LINHA_DESPREZADA</w:t>
      </w:r>
      <w:r w:rsidR="00FE5D23" w:rsidRPr="00FA3856">
        <w:rPr>
          <w:rFonts w:ascii="Times New Roman" w:hAnsi="Times New Roman"/>
          <w:color w:val="auto"/>
          <w:szCs w:val="20"/>
        </w:rPr>
        <w:t xml:space="preserve">: </w:t>
      </w:r>
      <w:r w:rsidR="00FE5D23" w:rsidRPr="00FA3856">
        <w:rPr>
          <w:rFonts w:ascii="Times New Roman" w:hAnsi="Times New Roman"/>
          <w:szCs w:val="20"/>
        </w:rPr>
        <w:t>Verifica se o registro existe na importação, mas não será importado por não existir na tabela dinâmica devido às configurações do bloco 0 ou da tabela dinâmica. Gera um aviso.</w:t>
      </w:r>
    </w:p>
    <w:p w:rsidR="00FE5D23" w:rsidRPr="00FA3856" w:rsidRDefault="00FE5D23" w:rsidP="00FE5D23">
      <w:pPr>
        <w:pStyle w:val="Corpodetexto"/>
        <w:ind w:left="708" w:firstLine="12"/>
        <w:rPr>
          <w:rFonts w:ascii="Times New Roman" w:hAnsi="Times New Roman"/>
          <w:b/>
          <w:szCs w:val="20"/>
        </w:rPr>
      </w:pPr>
    </w:p>
    <w:p w:rsidR="00FE5D23" w:rsidRPr="00FA3856" w:rsidRDefault="007D0E74" w:rsidP="00FE5D23">
      <w:pPr>
        <w:pStyle w:val="Corpodetexto"/>
        <w:ind w:left="708" w:firstLine="12"/>
        <w:rPr>
          <w:rFonts w:ascii="Times New Roman" w:hAnsi="Times New Roman"/>
          <w:b/>
          <w:szCs w:val="20"/>
        </w:rPr>
      </w:pPr>
      <w:hyperlink r:id="rId377" w:anchor="REGRA_OCORRENCIA_UNITARIA_ARQ" w:history="1">
        <w:r w:rsidR="00FE5D23" w:rsidRPr="00FA3856">
          <w:rPr>
            <w:rFonts w:ascii="Times New Roman" w:hAnsi="Times New Roman"/>
            <w:b/>
            <w:szCs w:val="20"/>
          </w:rPr>
          <w:t>REGRA_</w:t>
        </w:r>
      </w:hyperlink>
      <w:r w:rsidR="00FE5D23" w:rsidRPr="00FA3856">
        <w:rPr>
          <w:rFonts w:ascii="Times New Roman" w:hAnsi="Times New Roman"/>
          <w:b/>
          <w:szCs w:val="20"/>
        </w:rPr>
        <w:t>LINHA_ATUALIZADA</w:t>
      </w:r>
      <w:r w:rsidR="00FE5D23" w:rsidRPr="00FA3856">
        <w:rPr>
          <w:rFonts w:ascii="Times New Roman" w:hAnsi="Times New Roman"/>
          <w:color w:val="auto"/>
          <w:szCs w:val="20"/>
        </w:rPr>
        <w:t xml:space="preserve">: </w:t>
      </w:r>
      <w:r w:rsidR="00FE5D23" w:rsidRPr="00FA3856">
        <w:rPr>
          <w:rFonts w:ascii="Times New Roman" w:hAnsi="Times New Roman"/>
          <w:szCs w:val="20"/>
        </w:rPr>
        <w:t>Verifica se o registro está desatualizado em relação à tabela da RFB. Gera um aviso.</w:t>
      </w:r>
    </w:p>
    <w:p w:rsidR="0012324D" w:rsidRPr="00FA3856" w:rsidRDefault="0012324D" w:rsidP="00DE512B">
      <w:pPr>
        <w:rPr>
          <w:b/>
          <w:szCs w:val="20"/>
          <w:lang w:val="pt-PT"/>
        </w:rPr>
      </w:pPr>
    </w:p>
    <w:p w:rsidR="009E2D8D" w:rsidRDefault="009E2D8D">
      <w:pPr>
        <w:spacing w:after="200" w:line="276" w:lineRule="auto"/>
        <w:rPr>
          <w:b/>
          <w:szCs w:val="20"/>
          <w:lang w:val="pt-PT"/>
        </w:rPr>
      </w:pPr>
      <w:r>
        <w:rPr>
          <w:b/>
          <w:szCs w:val="20"/>
          <w:lang w:val="pt-PT"/>
        </w:rPr>
        <w:br w:type="page"/>
      </w:r>
    </w:p>
    <w:p w:rsidR="00DE512B" w:rsidRPr="00FA3856" w:rsidRDefault="0012324D" w:rsidP="00DE512B">
      <w:pPr>
        <w:rPr>
          <w:b/>
          <w:szCs w:val="20"/>
          <w:lang w:val="pt-PT"/>
        </w:rPr>
      </w:pPr>
      <w:r w:rsidRPr="00FA3856">
        <w:rPr>
          <w:b/>
          <w:szCs w:val="20"/>
          <w:lang w:val="pt-PT"/>
        </w:rPr>
        <w:lastRenderedPageBreak/>
        <w:t>II</w:t>
      </w:r>
      <w:r w:rsidR="00DE512B" w:rsidRPr="00FA3856">
        <w:rPr>
          <w:b/>
          <w:szCs w:val="20"/>
          <w:lang w:val="pt-PT"/>
        </w:rPr>
        <w:t xml:space="preserve"> – Regras de Validação de Campos:</w:t>
      </w:r>
    </w:p>
    <w:p w:rsidR="00DE512B" w:rsidRPr="00FA3856" w:rsidRDefault="00DE512B" w:rsidP="00DE512B">
      <w:pPr>
        <w:rPr>
          <w:b/>
          <w:szCs w:val="20"/>
          <w:lang w:val="pt-PT"/>
        </w:rPr>
      </w:pPr>
    </w:p>
    <w:tbl>
      <w:tblPr>
        <w:tblW w:w="15367"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85"/>
        <w:gridCol w:w="3000"/>
        <w:gridCol w:w="11165"/>
        <w:gridCol w:w="717"/>
      </w:tblGrid>
      <w:tr w:rsidR="00DE512B" w:rsidRPr="00FA3856" w:rsidTr="00963BB8">
        <w:trPr>
          <w:jc w:val="center"/>
        </w:trPr>
        <w:tc>
          <w:tcPr>
            <w:tcW w:w="485" w:type="dxa"/>
            <w:tcBorders>
              <w:top w:val="single" w:sz="6" w:space="0" w:color="auto"/>
              <w:left w:val="single" w:sz="6" w:space="0" w:color="auto"/>
              <w:bottom w:val="single" w:sz="6" w:space="0" w:color="auto"/>
              <w:right w:val="single" w:sz="6" w:space="0" w:color="auto"/>
            </w:tcBorders>
            <w:shd w:val="pct10" w:color="auto" w:fill="FFFFFF"/>
          </w:tcPr>
          <w:p w:rsidR="00DE512B" w:rsidRPr="00FA3856" w:rsidRDefault="00DE512B" w:rsidP="00DE512B">
            <w:pPr>
              <w:pStyle w:val="PSDS-CorpodeTexto0"/>
              <w:jc w:val="center"/>
              <w:rPr>
                <w:rFonts w:ascii="Times New Roman" w:hAnsi="Times New Roman"/>
                <w:b/>
                <w:bCs/>
              </w:rPr>
            </w:pPr>
            <w:r w:rsidRPr="00FA3856">
              <w:rPr>
                <w:rFonts w:ascii="Times New Roman" w:hAnsi="Times New Roman"/>
                <w:b/>
                <w:bCs/>
              </w:rPr>
              <w:t>Nº</w:t>
            </w:r>
          </w:p>
        </w:tc>
        <w:tc>
          <w:tcPr>
            <w:tcW w:w="3000" w:type="dxa"/>
            <w:tcBorders>
              <w:top w:val="single" w:sz="6" w:space="0" w:color="auto"/>
              <w:left w:val="single" w:sz="6" w:space="0" w:color="auto"/>
              <w:bottom w:val="single" w:sz="6" w:space="0" w:color="auto"/>
              <w:right w:val="single" w:sz="6" w:space="0" w:color="auto"/>
            </w:tcBorders>
            <w:shd w:val="pct10" w:color="auto" w:fill="FFFFFF"/>
          </w:tcPr>
          <w:p w:rsidR="00DE512B" w:rsidRPr="00FA3856" w:rsidRDefault="00DE512B" w:rsidP="00DE512B">
            <w:pPr>
              <w:pStyle w:val="PSDS-CorpodeTexto0"/>
              <w:jc w:val="center"/>
              <w:rPr>
                <w:rFonts w:ascii="Times New Roman" w:hAnsi="Times New Roman"/>
                <w:b/>
                <w:bCs/>
              </w:rPr>
            </w:pPr>
            <w:r w:rsidRPr="00FA3856">
              <w:rPr>
                <w:rFonts w:ascii="Times New Roman" w:hAnsi="Times New Roman"/>
                <w:b/>
                <w:bCs/>
              </w:rPr>
              <w:t>Campo</w:t>
            </w:r>
          </w:p>
        </w:tc>
        <w:tc>
          <w:tcPr>
            <w:tcW w:w="11165" w:type="dxa"/>
            <w:tcBorders>
              <w:top w:val="single" w:sz="6" w:space="0" w:color="auto"/>
              <w:left w:val="single" w:sz="6" w:space="0" w:color="auto"/>
              <w:bottom w:val="single" w:sz="6" w:space="0" w:color="auto"/>
              <w:right w:val="single" w:sz="6" w:space="0" w:color="auto"/>
            </w:tcBorders>
            <w:shd w:val="pct10" w:color="auto" w:fill="FFFFFF"/>
          </w:tcPr>
          <w:p w:rsidR="00DE512B" w:rsidRPr="00FA3856" w:rsidRDefault="00DE512B" w:rsidP="00DE512B">
            <w:pPr>
              <w:pStyle w:val="PSDS-CorpodeTexto0"/>
              <w:jc w:val="center"/>
              <w:rPr>
                <w:rFonts w:ascii="Times New Roman" w:hAnsi="Times New Roman"/>
                <w:b/>
                <w:bCs/>
              </w:rPr>
            </w:pPr>
            <w:r w:rsidRPr="00FA3856">
              <w:rPr>
                <w:rFonts w:ascii="Times New Roman" w:hAnsi="Times New Roman"/>
                <w:b/>
                <w:bCs/>
              </w:rPr>
              <w:t>Regras de Validação do Campo</w:t>
            </w:r>
          </w:p>
        </w:tc>
        <w:tc>
          <w:tcPr>
            <w:tcW w:w="717" w:type="dxa"/>
            <w:tcBorders>
              <w:top w:val="single" w:sz="6" w:space="0" w:color="auto"/>
              <w:left w:val="single" w:sz="6" w:space="0" w:color="auto"/>
              <w:bottom w:val="single" w:sz="6" w:space="0" w:color="auto"/>
              <w:right w:val="single" w:sz="6" w:space="0" w:color="auto"/>
            </w:tcBorders>
            <w:shd w:val="pct10" w:color="auto" w:fill="FFFFFF"/>
          </w:tcPr>
          <w:p w:rsidR="00DE512B" w:rsidRPr="00FA3856" w:rsidRDefault="00DE512B" w:rsidP="00DE512B">
            <w:pPr>
              <w:pStyle w:val="PSDS-CorpodeTexto0"/>
              <w:jc w:val="center"/>
              <w:rPr>
                <w:rFonts w:ascii="Times New Roman" w:hAnsi="Times New Roman"/>
                <w:b/>
                <w:bCs/>
              </w:rPr>
            </w:pPr>
            <w:r w:rsidRPr="00FA3856">
              <w:rPr>
                <w:rFonts w:ascii="Times New Roman" w:hAnsi="Times New Roman"/>
                <w:b/>
                <w:bCs/>
              </w:rPr>
              <w:t>Tipo</w:t>
            </w:r>
          </w:p>
        </w:tc>
      </w:tr>
      <w:tr w:rsidR="00DE512B" w:rsidRPr="00FA3856" w:rsidTr="00963BB8">
        <w:trPr>
          <w:jc w:val="center"/>
        </w:trPr>
        <w:tc>
          <w:tcPr>
            <w:tcW w:w="485" w:type="dxa"/>
            <w:tcBorders>
              <w:top w:val="single" w:sz="6" w:space="0" w:color="auto"/>
              <w:left w:val="single" w:sz="6" w:space="0" w:color="auto"/>
              <w:bottom w:val="single" w:sz="6" w:space="0" w:color="auto"/>
              <w:right w:val="single" w:sz="6" w:space="0" w:color="auto"/>
            </w:tcBorders>
          </w:tcPr>
          <w:p w:rsidR="00DE512B" w:rsidRPr="00FA3856" w:rsidRDefault="00A01317" w:rsidP="00DE512B">
            <w:pPr>
              <w:pStyle w:val="PSDS-CorpodeTexto0"/>
              <w:suppressAutoHyphens w:val="0"/>
              <w:rPr>
                <w:rFonts w:ascii="Times New Roman" w:hAnsi="Times New Roman"/>
                <w:b/>
                <w:bCs/>
                <w:lang w:val="pt-PT"/>
              </w:rPr>
            </w:pPr>
            <w:r w:rsidRPr="00FA3856">
              <w:rPr>
                <w:rFonts w:ascii="Times New Roman" w:hAnsi="Times New Roman"/>
                <w:b/>
                <w:bCs/>
                <w:lang w:val="pt-PT"/>
              </w:rPr>
              <w:t>4</w:t>
            </w:r>
          </w:p>
        </w:tc>
        <w:tc>
          <w:tcPr>
            <w:tcW w:w="3000" w:type="dxa"/>
            <w:tcBorders>
              <w:top w:val="single" w:sz="6" w:space="0" w:color="auto"/>
              <w:left w:val="single" w:sz="6" w:space="0" w:color="auto"/>
              <w:bottom w:val="single" w:sz="6" w:space="0" w:color="auto"/>
              <w:right w:val="single" w:sz="6" w:space="0" w:color="auto"/>
            </w:tcBorders>
          </w:tcPr>
          <w:p w:rsidR="00DE512B" w:rsidRPr="00FA3856" w:rsidRDefault="00DE512B" w:rsidP="00DE512B">
            <w:pPr>
              <w:pStyle w:val="PSDS-CorpodeTexto0"/>
              <w:rPr>
                <w:rFonts w:ascii="Times New Roman" w:hAnsi="Times New Roman"/>
              </w:rPr>
            </w:pPr>
            <w:r w:rsidRPr="00FA3856">
              <w:rPr>
                <w:rFonts w:ascii="Times New Roman" w:hAnsi="Times New Roman"/>
              </w:rPr>
              <w:t>VALO</w:t>
            </w:r>
            <w:r w:rsidR="0086037A" w:rsidRPr="00FA3856">
              <w:rPr>
                <w:rFonts w:ascii="Times New Roman" w:hAnsi="Times New Roman"/>
              </w:rPr>
              <w:t>R</w:t>
            </w:r>
          </w:p>
        </w:tc>
        <w:tc>
          <w:tcPr>
            <w:tcW w:w="11165" w:type="dxa"/>
            <w:tcBorders>
              <w:top w:val="single" w:sz="6" w:space="0" w:color="auto"/>
              <w:left w:val="single" w:sz="6" w:space="0" w:color="auto"/>
              <w:bottom w:val="single" w:sz="6" w:space="0" w:color="auto"/>
              <w:right w:val="single" w:sz="6" w:space="0" w:color="auto"/>
            </w:tcBorders>
          </w:tcPr>
          <w:p w:rsidR="00DE512B" w:rsidRPr="00FA3856" w:rsidRDefault="0012324D" w:rsidP="00DE512B">
            <w:pPr>
              <w:pStyle w:val="Corpodetexto"/>
              <w:rPr>
                <w:rFonts w:ascii="Times New Roman" w:hAnsi="Times New Roman"/>
                <w:szCs w:val="20"/>
              </w:rPr>
            </w:pPr>
            <w:r w:rsidRPr="00FA3856">
              <w:rPr>
                <w:rFonts w:ascii="Times New Roman" w:hAnsi="Times New Roman"/>
                <w:b/>
                <w:bCs/>
                <w:szCs w:val="20"/>
              </w:rPr>
              <w:t>REGRA_OBRIGATORIO_TIPO_DIFERENTE_R</w:t>
            </w:r>
            <w:r w:rsidR="00DE512B" w:rsidRPr="00FA3856">
              <w:rPr>
                <w:rFonts w:ascii="Times New Roman" w:hAnsi="Times New Roman"/>
                <w:szCs w:val="20"/>
              </w:rPr>
              <w:t xml:space="preserve">: </w:t>
            </w:r>
            <w:r w:rsidR="00DE512B" w:rsidRPr="00FA3856">
              <w:rPr>
                <w:rStyle w:val="Hyperlink"/>
                <w:rFonts w:ascii="Times New Roman" w:hAnsi="Times New Roman"/>
                <w:bCs/>
                <w:color w:val="auto"/>
                <w:szCs w:val="20"/>
                <w:lang w:val="pt-PT"/>
              </w:rPr>
              <w:t>Verifica se o campo está preenc</w:t>
            </w:r>
            <w:r w:rsidRPr="00FA3856">
              <w:rPr>
                <w:rStyle w:val="Hyperlink"/>
                <w:rFonts w:ascii="Times New Roman" w:hAnsi="Times New Roman"/>
                <w:bCs/>
                <w:color w:val="auto"/>
                <w:szCs w:val="20"/>
                <w:lang w:val="pt-PT"/>
              </w:rPr>
              <w:t xml:space="preserve">hido quando o tipo da linha </w:t>
            </w:r>
            <w:r w:rsidR="006C0BFB" w:rsidRPr="00FA3856">
              <w:rPr>
                <w:rStyle w:val="Hyperlink"/>
                <w:rFonts w:ascii="Times New Roman" w:hAnsi="Times New Roman"/>
                <w:bCs/>
                <w:color w:val="auto"/>
                <w:szCs w:val="20"/>
                <w:lang w:val="pt-PT"/>
              </w:rPr>
              <w:t>é diferente</w:t>
            </w:r>
            <w:r w:rsidRPr="00FA3856">
              <w:rPr>
                <w:rStyle w:val="Hyperlink"/>
                <w:rFonts w:ascii="Times New Roman" w:hAnsi="Times New Roman"/>
                <w:bCs/>
                <w:color w:val="auto"/>
                <w:szCs w:val="20"/>
                <w:lang w:val="pt-PT"/>
              </w:rPr>
              <w:t xml:space="preserve"> de “R</w:t>
            </w:r>
            <w:r w:rsidR="00DE512B" w:rsidRPr="00FA3856">
              <w:rPr>
                <w:rStyle w:val="Hyperlink"/>
                <w:rFonts w:ascii="Times New Roman" w:hAnsi="Times New Roman"/>
                <w:bCs/>
                <w:color w:val="auto"/>
                <w:szCs w:val="20"/>
                <w:lang w:val="pt-PT"/>
              </w:rPr>
              <w:t>”.</w:t>
            </w:r>
          </w:p>
        </w:tc>
        <w:tc>
          <w:tcPr>
            <w:tcW w:w="717" w:type="dxa"/>
            <w:tcBorders>
              <w:top w:val="single" w:sz="6" w:space="0" w:color="auto"/>
              <w:left w:val="single" w:sz="6" w:space="0" w:color="auto"/>
              <w:bottom w:val="single" w:sz="6" w:space="0" w:color="auto"/>
              <w:right w:val="single" w:sz="6" w:space="0" w:color="auto"/>
            </w:tcBorders>
          </w:tcPr>
          <w:p w:rsidR="00DE512B" w:rsidRPr="00FA3856" w:rsidRDefault="00DE512B" w:rsidP="00DE512B">
            <w:pPr>
              <w:pStyle w:val="PSDS-CorpodeTexto0"/>
              <w:rPr>
                <w:rFonts w:ascii="Times New Roman" w:hAnsi="Times New Roman"/>
              </w:rPr>
            </w:pPr>
            <w:r w:rsidRPr="00FA3856">
              <w:rPr>
                <w:rFonts w:ascii="Times New Roman" w:hAnsi="Times New Roman"/>
              </w:rPr>
              <w:t>Erro</w:t>
            </w:r>
          </w:p>
          <w:p w:rsidR="00DE512B" w:rsidRPr="00FA3856" w:rsidRDefault="00DE512B" w:rsidP="00DE512B">
            <w:pPr>
              <w:pStyle w:val="PSDS-CorpodeTexto0"/>
              <w:rPr>
                <w:rFonts w:ascii="Times New Roman" w:hAnsi="Times New Roman"/>
              </w:rPr>
            </w:pPr>
          </w:p>
        </w:tc>
      </w:tr>
    </w:tbl>
    <w:p w:rsidR="009E2D8D" w:rsidRDefault="009E2D8D" w:rsidP="00EA70AB">
      <w:pPr>
        <w:rPr>
          <w:b/>
          <w:szCs w:val="20"/>
          <w:lang w:val="pt-PT"/>
        </w:rPr>
      </w:pPr>
    </w:p>
    <w:p w:rsidR="00EA70AB" w:rsidRPr="00FA3856" w:rsidRDefault="00EA70AB" w:rsidP="00EA70AB">
      <w:pPr>
        <w:rPr>
          <w:b/>
          <w:szCs w:val="20"/>
          <w:lang w:val="pt-PT"/>
        </w:rPr>
      </w:pPr>
      <w:r w:rsidRPr="00FA3856">
        <w:rPr>
          <w:b/>
          <w:szCs w:val="20"/>
          <w:lang w:val="pt-PT"/>
        </w:rPr>
        <w:t>I</w:t>
      </w:r>
      <w:r w:rsidR="0012324D" w:rsidRPr="00FA3856">
        <w:rPr>
          <w:b/>
          <w:szCs w:val="20"/>
          <w:lang w:val="pt-PT"/>
        </w:rPr>
        <w:t>I</w:t>
      </w:r>
      <w:r w:rsidRPr="00FA3856">
        <w:rPr>
          <w:b/>
          <w:szCs w:val="20"/>
          <w:lang w:val="pt-PT"/>
        </w:rPr>
        <w:t>I – Tabela Dinâmica:</w:t>
      </w:r>
      <w:r w:rsidR="003E7A35">
        <w:rPr>
          <w:b/>
          <w:szCs w:val="20"/>
          <w:lang w:val="pt-PT"/>
        </w:rPr>
        <w:t xml:space="preserve"> </w:t>
      </w:r>
      <w:r w:rsidR="003E7A35" w:rsidRPr="003E7A35">
        <w:rPr>
          <w:b/>
          <w:szCs w:val="20"/>
          <w:lang w:val="pt-PT"/>
        </w:rPr>
        <w:t>N620 - Apuração do IRPJ Mensal por Estimativa</w:t>
      </w:r>
    </w:p>
    <w:p w:rsidR="007476BC" w:rsidRPr="00012703" w:rsidRDefault="00486CDA" w:rsidP="00012703">
      <w:pPr>
        <w:rPr>
          <w:bCs/>
          <w:color w:val="000000"/>
          <w:szCs w:val="20"/>
        </w:rPr>
      </w:pPr>
      <w:r>
        <w:rPr>
          <w:bCs/>
          <w:color w:val="000000"/>
          <w:szCs w:val="20"/>
        </w:rPr>
        <w:object w:dxaOrig="1534" w:dyaOrig="997">
          <v:shape id="_x0000_i1175" type="#_x0000_t75" style="width:79.5pt;height:50.25pt" o:ole="">
            <v:imagedata r:id="rId378" o:title=""/>
          </v:shape>
          <o:OLEObject Type="Link" ProgID="Excel.Sheet.12" ShapeID="_x0000_i1175" DrawAspect="Content" r:id="rId379" UpdateMode="OnCall">
            <o:LinkType>EnhancedMetaFile</o:LinkType>
            <o:LockedField>false</o:LockedField>
          </o:OLEObject>
        </w:object>
      </w:r>
    </w:p>
    <w:p w:rsidR="004D1F9A" w:rsidRPr="00FA3856" w:rsidRDefault="007476BC" w:rsidP="004D1F9A">
      <w:pPr>
        <w:pStyle w:val="Corpodetexto"/>
        <w:rPr>
          <w:rFonts w:ascii="Times New Roman" w:hAnsi="Times New Roman"/>
          <w:b/>
          <w:color w:val="002060"/>
          <w:szCs w:val="20"/>
        </w:rPr>
      </w:pPr>
      <w:r>
        <w:rPr>
          <w:rFonts w:ascii="Times New Roman" w:hAnsi="Times New Roman"/>
          <w:b/>
          <w:color w:val="002060"/>
          <w:szCs w:val="20"/>
        </w:rPr>
        <w:t xml:space="preserve">Exemplo de Preenchimento: </w:t>
      </w:r>
    </w:p>
    <w:p w:rsidR="00012703" w:rsidRDefault="00012703" w:rsidP="004D1F9A">
      <w:pPr>
        <w:pStyle w:val="Corpodetexto"/>
        <w:rPr>
          <w:rFonts w:ascii="Times New Roman" w:hAnsi="Times New Roman"/>
          <w:b/>
          <w:color w:val="002060"/>
          <w:szCs w:val="20"/>
        </w:rPr>
      </w:pPr>
    </w:p>
    <w:p w:rsidR="004D1F9A" w:rsidRPr="00FA3856" w:rsidRDefault="004D1F9A" w:rsidP="004D1F9A">
      <w:pPr>
        <w:pStyle w:val="Corpodetexto"/>
        <w:rPr>
          <w:rFonts w:ascii="Times New Roman" w:hAnsi="Times New Roman"/>
          <w:b/>
          <w:color w:val="002060"/>
          <w:szCs w:val="20"/>
        </w:rPr>
      </w:pPr>
      <w:r w:rsidRPr="00FA3856">
        <w:rPr>
          <w:rFonts w:ascii="Times New Roman" w:hAnsi="Times New Roman"/>
          <w:b/>
          <w:color w:val="002060"/>
          <w:szCs w:val="20"/>
        </w:rPr>
        <w:t>|N620|7|(-) Operações de Caráter Cultural e Artístico|10000,00|</w:t>
      </w:r>
    </w:p>
    <w:p w:rsidR="004D1F9A" w:rsidRPr="00FA3856" w:rsidRDefault="004D1F9A" w:rsidP="004D1F9A">
      <w:pPr>
        <w:pStyle w:val="Corpodetexto"/>
        <w:ind w:firstLine="708"/>
        <w:rPr>
          <w:rFonts w:ascii="Times New Roman" w:hAnsi="Times New Roman"/>
          <w:color w:val="002060"/>
          <w:szCs w:val="20"/>
        </w:rPr>
      </w:pPr>
      <w:r w:rsidRPr="00FA3856">
        <w:rPr>
          <w:rFonts w:ascii="Times New Roman" w:hAnsi="Times New Roman"/>
          <w:color w:val="002060"/>
          <w:szCs w:val="20"/>
        </w:rPr>
        <w:t>|N620|: Identificação do tipo do registro.</w:t>
      </w:r>
    </w:p>
    <w:p w:rsidR="004D1F9A" w:rsidRPr="00FA3856" w:rsidRDefault="004D1F9A" w:rsidP="004D1F9A">
      <w:pPr>
        <w:pStyle w:val="Corpodetexto"/>
        <w:ind w:firstLine="708"/>
        <w:rPr>
          <w:rFonts w:ascii="Times New Roman" w:hAnsi="Times New Roman"/>
          <w:color w:val="002060"/>
          <w:szCs w:val="20"/>
        </w:rPr>
      </w:pPr>
      <w:r w:rsidRPr="00FA3856">
        <w:rPr>
          <w:rFonts w:ascii="Times New Roman" w:hAnsi="Times New Roman"/>
          <w:color w:val="002060"/>
          <w:szCs w:val="20"/>
        </w:rPr>
        <w:t>|7|: Código da linha.</w:t>
      </w:r>
      <w:r w:rsidRPr="00FA3856">
        <w:rPr>
          <w:rFonts w:ascii="Times New Roman" w:hAnsi="Times New Roman"/>
          <w:color w:val="002060"/>
          <w:szCs w:val="20"/>
        </w:rPr>
        <w:tab/>
      </w:r>
    </w:p>
    <w:p w:rsidR="004D1F9A" w:rsidRPr="00FA3856" w:rsidRDefault="004D1F9A" w:rsidP="004D1F9A">
      <w:pPr>
        <w:pStyle w:val="Corpodetexto"/>
        <w:ind w:firstLine="708"/>
        <w:rPr>
          <w:rFonts w:ascii="Times New Roman" w:hAnsi="Times New Roman"/>
          <w:color w:val="002060"/>
          <w:szCs w:val="20"/>
        </w:rPr>
      </w:pPr>
      <w:r w:rsidRPr="00FA3856">
        <w:rPr>
          <w:rFonts w:ascii="Times New Roman" w:hAnsi="Times New Roman"/>
          <w:color w:val="002060"/>
          <w:szCs w:val="20"/>
        </w:rPr>
        <w:t>|(-) Operações de Caráter Cultural e Artístico|: Descrição da linha.</w:t>
      </w:r>
    </w:p>
    <w:p w:rsidR="004D1F9A" w:rsidRPr="00FA3856" w:rsidRDefault="004D1F9A" w:rsidP="004D1F9A">
      <w:pPr>
        <w:pStyle w:val="Corpodetexto"/>
        <w:ind w:firstLine="708"/>
        <w:rPr>
          <w:rFonts w:ascii="Times New Roman" w:hAnsi="Times New Roman"/>
          <w:color w:val="002060"/>
          <w:szCs w:val="20"/>
        </w:rPr>
      </w:pPr>
      <w:r w:rsidRPr="00FA3856">
        <w:rPr>
          <w:rFonts w:ascii="Times New Roman" w:hAnsi="Times New Roman"/>
          <w:color w:val="002060"/>
          <w:szCs w:val="20"/>
        </w:rPr>
        <w:t>|10000,00|: Valor da linha (R$ 10.000,00).</w:t>
      </w:r>
    </w:p>
    <w:p w:rsidR="004D1F9A" w:rsidRPr="00FA3856" w:rsidRDefault="004D1F9A" w:rsidP="004D1F9A">
      <w:pPr>
        <w:rPr>
          <w:b/>
          <w:szCs w:val="20"/>
          <w:lang w:val="pt-PT"/>
        </w:rPr>
      </w:pPr>
    </w:p>
    <w:p w:rsidR="004D1F9A" w:rsidRPr="00FA3856" w:rsidRDefault="004D1F9A">
      <w:pPr>
        <w:rPr>
          <w:b/>
          <w:bCs/>
          <w:color w:val="0000FF"/>
          <w:szCs w:val="20"/>
        </w:rPr>
      </w:pPr>
    </w:p>
    <w:p w:rsidR="004D1F9A" w:rsidRPr="00FA3856" w:rsidRDefault="004D1F9A">
      <w:pPr>
        <w:spacing w:after="200" w:line="276" w:lineRule="auto"/>
        <w:rPr>
          <w:b/>
          <w:bCs/>
          <w:color w:val="0000FF"/>
          <w:szCs w:val="20"/>
        </w:rPr>
      </w:pPr>
      <w:r w:rsidRPr="00FA3856">
        <w:rPr>
          <w:color w:val="0000FF"/>
          <w:szCs w:val="20"/>
        </w:rPr>
        <w:br w:type="page"/>
      </w:r>
    </w:p>
    <w:p w:rsidR="00DE512B" w:rsidRPr="00FA3856" w:rsidRDefault="00DE512B" w:rsidP="00867F54">
      <w:pPr>
        <w:pStyle w:val="Ttulo4"/>
      </w:pPr>
      <w:bookmarkStart w:id="251" w:name="_Toc479713747"/>
      <w:r w:rsidRPr="00FA3856">
        <w:lastRenderedPageBreak/>
        <w:t xml:space="preserve">Registro N630: </w:t>
      </w:r>
      <w:r w:rsidR="00E377D5" w:rsidRPr="00FA3856">
        <w:t>Apuração</w:t>
      </w:r>
      <w:r w:rsidRPr="00FA3856">
        <w:t xml:space="preserve"> do IRPJ Com Base no Lucro Real</w:t>
      </w:r>
      <w:bookmarkEnd w:id="251"/>
    </w:p>
    <w:p w:rsidR="00EC0FF2" w:rsidRPr="00FA3856" w:rsidRDefault="00EC0FF2" w:rsidP="00DE512B">
      <w:pPr>
        <w:ind w:firstLine="708"/>
        <w:rPr>
          <w:szCs w:val="20"/>
        </w:rPr>
      </w:pPr>
    </w:p>
    <w:p w:rsidR="00DE512B" w:rsidRPr="00FA3856" w:rsidRDefault="00DE512B" w:rsidP="00797C0E">
      <w:pPr>
        <w:ind w:firstLine="708"/>
        <w:jc w:val="both"/>
        <w:rPr>
          <w:szCs w:val="20"/>
        </w:rPr>
      </w:pPr>
      <w:r w:rsidRPr="00FA3856">
        <w:rPr>
          <w:szCs w:val="20"/>
        </w:rPr>
        <w:t>Apresenta o cálculo do IRPJ com base no lucro real.</w:t>
      </w:r>
    </w:p>
    <w:p w:rsidR="00EC0FF2" w:rsidRDefault="00EC0FF2" w:rsidP="004177C3">
      <w:pPr>
        <w:pStyle w:val="PSDS-MarcadoresNivel2"/>
        <w:numPr>
          <w:ilvl w:val="0"/>
          <w:numId w:val="0"/>
        </w:numPr>
        <w:rPr>
          <w:rFonts w:ascii="Times New Roman" w:hAnsi="Times New Roman"/>
        </w:rPr>
      </w:pPr>
    </w:p>
    <w:p w:rsidR="009D2A97" w:rsidRPr="00FA3856" w:rsidRDefault="00B35FA3" w:rsidP="009D2A97">
      <w:pPr>
        <w:pStyle w:val="PSDS-MarcadoresNivel2"/>
        <w:numPr>
          <w:ilvl w:val="0"/>
          <w:numId w:val="0"/>
        </w:numPr>
        <w:jc w:val="center"/>
        <w:rPr>
          <w:rFonts w:ascii="Times New Roman" w:hAnsi="Times New Roman"/>
        </w:rPr>
      </w:pPr>
      <w:r>
        <w:rPr>
          <w:rFonts w:ascii="Times New Roman" w:hAnsi="Times New Roman"/>
        </w:rPr>
        <w:object w:dxaOrig="13890" w:dyaOrig="4650">
          <v:shape id="_x0000_i1753" type="#_x0000_t75" style="width:690.75pt;height:230.25pt" o:ole="">
            <v:imagedata r:id="rId380" o:title=""/>
          </v:shape>
          <o:OLEObject Type="Link" ProgID="Excel.Sheet.12" ShapeID="_x0000_i1753" DrawAspect="Content" r:id="rId381" UpdateMode="Always">
            <o:LinkType>EnhancedMetaFile</o:LinkType>
            <o:LockedField>false</o:LockedField>
          </o:OLEObject>
        </w:object>
      </w:r>
    </w:p>
    <w:p w:rsidR="009D2A97" w:rsidRDefault="009D2A97" w:rsidP="004177C3">
      <w:pPr>
        <w:pStyle w:val="PSDS-MarcadoresNivel2"/>
        <w:numPr>
          <w:ilvl w:val="0"/>
          <w:numId w:val="0"/>
        </w:numPr>
        <w:rPr>
          <w:rFonts w:ascii="Times New Roman" w:hAnsi="Times New Roman"/>
        </w:rPr>
      </w:pPr>
    </w:p>
    <w:p w:rsidR="004177C3" w:rsidRPr="00FA3856" w:rsidRDefault="004177C3" w:rsidP="004177C3">
      <w:pPr>
        <w:pStyle w:val="PSDS-MarcadoresNivel2"/>
        <w:numPr>
          <w:ilvl w:val="0"/>
          <w:numId w:val="0"/>
        </w:numPr>
        <w:rPr>
          <w:rFonts w:ascii="Times New Roman" w:hAnsi="Times New Roman"/>
        </w:rPr>
      </w:pPr>
      <w:r w:rsidRPr="00FA3856">
        <w:rPr>
          <w:rFonts w:ascii="Times New Roman" w:hAnsi="Times New Roman"/>
        </w:rPr>
        <w:t>I – Regras de Validação do Registro:</w:t>
      </w:r>
    </w:p>
    <w:p w:rsidR="004177C3" w:rsidRPr="00FA3856" w:rsidRDefault="004177C3" w:rsidP="004177C3">
      <w:pPr>
        <w:pStyle w:val="Corpodetexto"/>
        <w:ind w:left="708" w:firstLine="12"/>
        <w:rPr>
          <w:rFonts w:ascii="Times New Roman" w:hAnsi="Times New Roman"/>
          <w:szCs w:val="20"/>
        </w:rPr>
      </w:pPr>
    </w:p>
    <w:p w:rsidR="00FE5D23" w:rsidRPr="00FA3856" w:rsidRDefault="007D0E74" w:rsidP="00FE5D23">
      <w:pPr>
        <w:pStyle w:val="Corpodetexto"/>
        <w:ind w:left="708" w:firstLine="12"/>
        <w:rPr>
          <w:rFonts w:ascii="Times New Roman" w:hAnsi="Times New Roman"/>
          <w:szCs w:val="20"/>
        </w:rPr>
      </w:pPr>
      <w:hyperlink r:id="rId382" w:anchor="REGRA_OCORRENCIA_UNITARIA_ARQ" w:history="1">
        <w:r w:rsidR="00FE5D23" w:rsidRPr="00FA3856">
          <w:rPr>
            <w:rFonts w:ascii="Times New Roman" w:hAnsi="Times New Roman"/>
            <w:b/>
            <w:szCs w:val="20"/>
          </w:rPr>
          <w:t>REGRA_</w:t>
        </w:r>
      </w:hyperlink>
      <w:r w:rsidR="00FE5D23" w:rsidRPr="00FA3856">
        <w:rPr>
          <w:rFonts w:ascii="Times New Roman" w:hAnsi="Times New Roman"/>
          <w:b/>
          <w:szCs w:val="20"/>
        </w:rPr>
        <w:t>DUPLICIDADE_DESPREZADA</w:t>
      </w:r>
      <w:r w:rsidR="00FE5D23" w:rsidRPr="00FA3856">
        <w:rPr>
          <w:rFonts w:ascii="Times New Roman" w:hAnsi="Times New Roman"/>
          <w:color w:val="auto"/>
          <w:szCs w:val="20"/>
        </w:rPr>
        <w:t xml:space="preserve">: </w:t>
      </w:r>
      <w:r w:rsidR="00FE5D23" w:rsidRPr="00FA3856">
        <w:rPr>
          <w:rFonts w:ascii="Times New Roman" w:hAnsi="Times New Roman"/>
          <w:szCs w:val="20"/>
        </w:rPr>
        <w:t>Verifica se o registro já foi importado anteriormente, de acordo com a chave e os registros pais. Se a regra não for cumprida, a ECF gera um aviso.</w:t>
      </w:r>
    </w:p>
    <w:p w:rsidR="00FE5D23" w:rsidRPr="00FA3856" w:rsidRDefault="00FE5D23" w:rsidP="00FE5D23">
      <w:pPr>
        <w:pStyle w:val="Corpodetexto"/>
        <w:ind w:left="708" w:firstLine="12"/>
        <w:rPr>
          <w:rFonts w:ascii="Times New Roman" w:hAnsi="Times New Roman"/>
          <w:szCs w:val="20"/>
        </w:rPr>
      </w:pPr>
    </w:p>
    <w:p w:rsidR="00FE5D23" w:rsidRPr="00FA3856" w:rsidRDefault="007D0E74" w:rsidP="00FE5D23">
      <w:pPr>
        <w:pStyle w:val="Corpodetexto"/>
        <w:ind w:left="708" w:firstLine="12"/>
        <w:rPr>
          <w:rFonts w:ascii="Times New Roman" w:hAnsi="Times New Roman"/>
          <w:szCs w:val="20"/>
        </w:rPr>
      </w:pPr>
      <w:hyperlink r:id="rId383" w:anchor="REGRA_OCORRENCIA_UNITARIA_ARQ" w:history="1">
        <w:r w:rsidR="00FE5D23" w:rsidRPr="00FA3856">
          <w:rPr>
            <w:rFonts w:ascii="Times New Roman" w:hAnsi="Times New Roman"/>
            <w:b/>
            <w:szCs w:val="20"/>
          </w:rPr>
          <w:t>REGRA_</w:t>
        </w:r>
      </w:hyperlink>
      <w:r w:rsidR="00FE5D23" w:rsidRPr="00FA3856">
        <w:rPr>
          <w:rFonts w:ascii="Times New Roman" w:hAnsi="Times New Roman"/>
          <w:b/>
          <w:szCs w:val="20"/>
        </w:rPr>
        <w:t>LINHA_DESPREZADA</w:t>
      </w:r>
      <w:r w:rsidR="00FE5D23" w:rsidRPr="00FA3856">
        <w:rPr>
          <w:rFonts w:ascii="Times New Roman" w:hAnsi="Times New Roman"/>
          <w:color w:val="auto"/>
          <w:szCs w:val="20"/>
        </w:rPr>
        <w:t xml:space="preserve">: </w:t>
      </w:r>
      <w:r w:rsidR="00FE5D23" w:rsidRPr="00FA3856">
        <w:rPr>
          <w:rFonts w:ascii="Times New Roman" w:hAnsi="Times New Roman"/>
          <w:szCs w:val="20"/>
        </w:rPr>
        <w:t>Verifica se o registro existe na importação,</w:t>
      </w:r>
      <w:bookmarkStart w:id="252" w:name="BM11/10"/>
      <w:bookmarkEnd w:id="252"/>
      <w:r w:rsidR="00FE5D23" w:rsidRPr="00FA3856">
        <w:rPr>
          <w:rFonts w:ascii="Times New Roman" w:hAnsi="Times New Roman"/>
          <w:szCs w:val="20"/>
        </w:rPr>
        <w:t xml:space="preserve"> mas não será importado por não existir na tabela dinâmica devido às configurações do bloco 0 ou da tabela dinâmica. Gera um aviso.</w:t>
      </w:r>
    </w:p>
    <w:p w:rsidR="00FE5D23" w:rsidRPr="00FA3856" w:rsidRDefault="00FE5D23" w:rsidP="00FE5D23">
      <w:pPr>
        <w:pStyle w:val="Corpodetexto"/>
        <w:ind w:left="708" w:firstLine="12"/>
        <w:rPr>
          <w:rFonts w:ascii="Times New Roman" w:hAnsi="Times New Roman"/>
          <w:b/>
          <w:szCs w:val="20"/>
        </w:rPr>
      </w:pPr>
    </w:p>
    <w:p w:rsidR="00FE5D23" w:rsidRPr="00FA3856" w:rsidRDefault="007D0E74" w:rsidP="00FE5D23">
      <w:pPr>
        <w:pStyle w:val="Corpodetexto"/>
        <w:ind w:left="708" w:firstLine="12"/>
        <w:rPr>
          <w:rFonts w:ascii="Times New Roman" w:hAnsi="Times New Roman"/>
          <w:b/>
          <w:szCs w:val="20"/>
        </w:rPr>
      </w:pPr>
      <w:hyperlink r:id="rId384" w:anchor="REGRA_OCORRENCIA_UNITARIA_ARQ" w:history="1">
        <w:r w:rsidR="00FE5D23" w:rsidRPr="00FA3856">
          <w:rPr>
            <w:rFonts w:ascii="Times New Roman" w:hAnsi="Times New Roman"/>
            <w:b/>
            <w:szCs w:val="20"/>
          </w:rPr>
          <w:t>REGRA_</w:t>
        </w:r>
      </w:hyperlink>
      <w:r w:rsidR="00FE5D23" w:rsidRPr="00FA3856">
        <w:rPr>
          <w:rFonts w:ascii="Times New Roman" w:hAnsi="Times New Roman"/>
          <w:b/>
          <w:szCs w:val="20"/>
        </w:rPr>
        <w:t>LINHA_ATUALIZADA</w:t>
      </w:r>
      <w:r w:rsidR="00FE5D23" w:rsidRPr="00FA3856">
        <w:rPr>
          <w:rFonts w:ascii="Times New Roman" w:hAnsi="Times New Roman"/>
          <w:color w:val="auto"/>
          <w:szCs w:val="20"/>
        </w:rPr>
        <w:t xml:space="preserve">: </w:t>
      </w:r>
      <w:r w:rsidR="00FE5D23" w:rsidRPr="00FA3856">
        <w:rPr>
          <w:rFonts w:ascii="Times New Roman" w:hAnsi="Times New Roman"/>
          <w:szCs w:val="20"/>
        </w:rPr>
        <w:t>Verifica se o registro está desatualizado em relação à tabela da RFB. Gera um aviso.</w:t>
      </w:r>
    </w:p>
    <w:p w:rsidR="00754EDC" w:rsidRPr="00FA3856" w:rsidRDefault="00754EDC" w:rsidP="00DE512B">
      <w:pPr>
        <w:rPr>
          <w:b/>
          <w:szCs w:val="20"/>
          <w:lang w:val="pt-PT"/>
        </w:rPr>
      </w:pPr>
    </w:p>
    <w:p w:rsidR="00012703" w:rsidRDefault="00012703">
      <w:pPr>
        <w:spacing w:after="200" w:line="276" w:lineRule="auto"/>
        <w:rPr>
          <w:b/>
          <w:szCs w:val="20"/>
          <w:lang w:val="pt-PT"/>
        </w:rPr>
      </w:pPr>
      <w:r>
        <w:rPr>
          <w:b/>
          <w:szCs w:val="20"/>
          <w:lang w:val="pt-PT"/>
        </w:rPr>
        <w:br w:type="page"/>
      </w:r>
    </w:p>
    <w:p w:rsidR="00DE512B" w:rsidRPr="00FA3856" w:rsidRDefault="004177C3" w:rsidP="00DE512B">
      <w:pPr>
        <w:rPr>
          <w:b/>
          <w:szCs w:val="20"/>
          <w:lang w:val="pt-PT"/>
        </w:rPr>
      </w:pPr>
      <w:r w:rsidRPr="00FA3856">
        <w:rPr>
          <w:b/>
          <w:szCs w:val="20"/>
          <w:lang w:val="pt-PT"/>
        </w:rPr>
        <w:lastRenderedPageBreak/>
        <w:t>I</w:t>
      </w:r>
      <w:r w:rsidR="00DE512B" w:rsidRPr="00FA3856">
        <w:rPr>
          <w:b/>
          <w:szCs w:val="20"/>
          <w:lang w:val="pt-PT"/>
        </w:rPr>
        <w:t>I – Regras de Validação de Campos:</w:t>
      </w:r>
    </w:p>
    <w:p w:rsidR="00DE512B" w:rsidRPr="00FA3856" w:rsidRDefault="00DE512B" w:rsidP="00DE512B">
      <w:pPr>
        <w:rPr>
          <w:b/>
          <w:szCs w:val="20"/>
          <w:lang w:val="pt-PT"/>
        </w:rPr>
      </w:pPr>
    </w:p>
    <w:tbl>
      <w:tblPr>
        <w:tblW w:w="15367"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85"/>
        <w:gridCol w:w="3000"/>
        <w:gridCol w:w="11165"/>
        <w:gridCol w:w="717"/>
      </w:tblGrid>
      <w:tr w:rsidR="00DE512B" w:rsidRPr="00FA3856" w:rsidTr="003B08BE">
        <w:trPr>
          <w:jc w:val="center"/>
        </w:trPr>
        <w:tc>
          <w:tcPr>
            <w:tcW w:w="485" w:type="dxa"/>
            <w:tcBorders>
              <w:top w:val="single" w:sz="6" w:space="0" w:color="auto"/>
              <w:left w:val="single" w:sz="6" w:space="0" w:color="auto"/>
              <w:bottom w:val="single" w:sz="6" w:space="0" w:color="auto"/>
              <w:right w:val="single" w:sz="6" w:space="0" w:color="auto"/>
            </w:tcBorders>
            <w:shd w:val="pct10" w:color="auto" w:fill="FFFFFF"/>
          </w:tcPr>
          <w:p w:rsidR="00DE512B" w:rsidRPr="00FA3856" w:rsidRDefault="00DE512B" w:rsidP="00DE512B">
            <w:pPr>
              <w:pStyle w:val="PSDS-CorpodeTexto0"/>
              <w:jc w:val="center"/>
              <w:rPr>
                <w:rFonts w:ascii="Times New Roman" w:hAnsi="Times New Roman"/>
                <w:b/>
                <w:bCs/>
              </w:rPr>
            </w:pPr>
            <w:r w:rsidRPr="00FA3856">
              <w:rPr>
                <w:rFonts w:ascii="Times New Roman" w:hAnsi="Times New Roman"/>
                <w:b/>
                <w:bCs/>
              </w:rPr>
              <w:t>Nº</w:t>
            </w:r>
          </w:p>
        </w:tc>
        <w:tc>
          <w:tcPr>
            <w:tcW w:w="3000" w:type="dxa"/>
            <w:tcBorders>
              <w:top w:val="single" w:sz="6" w:space="0" w:color="auto"/>
              <w:left w:val="single" w:sz="6" w:space="0" w:color="auto"/>
              <w:bottom w:val="single" w:sz="6" w:space="0" w:color="auto"/>
              <w:right w:val="single" w:sz="6" w:space="0" w:color="auto"/>
            </w:tcBorders>
            <w:shd w:val="pct10" w:color="auto" w:fill="FFFFFF"/>
          </w:tcPr>
          <w:p w:rsidR="00DE512B" w:rsidRPr="00FA3856" w:rsidRDefault="00DE512B" w:rsidP="00DE512B">
            <w:pPr>
              <w:pStyle w:val="PSDS-CorpodeTexto0"/>
              <w:jc w:val="center"/>
              <w:rPr>
                <w:rFonts w:ascii="Times New Roman" w:hAnsi="Times New Roman"/>
                <w:b/>
                <w:bCs/>
              </w:rPr>
            </w:pPr>
            <w:r w:rsidRPr="00FA3856">
              <w:rPr>
                <w:rFonts w:ascii="Times New Roman" w:hAnsi="Times New Roman"/>
                <w:b/>
                <w:bCs/>
              </w:rPr>
              <w:t>Campo</w:t>
            </w:r>
          </w:p>
        </w:tc>
        <w:tc>
          <w:tcPr>
            <w:tcW w:w="11165" w:type="dxa"/>
            <w:tcBorders>
              <w:top w:val="single" w:sz="6" w:space="0" w:color="auto"/>
              <w:left w:val="single" w:sz="6" w:space="0" w:color="auto"/>
              <w:bottom w:val="single" w:sz="6" w:space="0" w:color="auto"/>
              <w:right w:val="single" w:sz="6" w:space="0" w:color="auto"/>
            </w:tcBorders>
            <w:shd w:val="pct10" w:color="auto" w:fill="FFFFFF"/>
          </w:tcPr>
          <w:p w:rsidR="00DE512B" w:rsidRPr="00FA3856" w:rsidRDefault="00DE512B" w:rsidP="00DE512B">
            <w:pPr>
              <w:pStyle w:val="PSDS-CorpodeTexto0"/>
              <w:jc w:val="center"/>
              <w:rPr>
                <w:rFonts w:ascii="Times New Roman" w:hAnsi="Times New Roman"/>
                <w:b/>
                <w:bCs/>
              </w:rPr>
            </w:pPr>
            <w:r w:rsidRPr="00FA3856">
              <w:rPr>
                <w:rFonts w:ascii="Times New Roman" w:hAnsi="Times New Roman"/>
                <w:b/>
                <w:bCs/>
              </w:rPr>
              <w:t>Regras de Validação do Campo</w:t>
            </w:r>
          </w:p>
        </w:tc>
        <w:tc>
          <w:tcPr>
            <w:tcW w:w="717" w:type="dxa"/>
            <w:tcBorders>
              <w:top w:val="single" w:sz="6" w:space="0" w:color="auto"/>
              <w:left w:val="single" w:sz="6" w:space="0" w:color="auto"/>
              <w:bottom w:val="single" w:sz="6" w:space="0" w:color="auto"/>
              <w:right w:val="single" w:sz="6" w:space="0" w:color="auto"/>
            </w:tcBorders>
            <w:shd w:val="pct10" w:color="auto" w:fill="FFFFFF"/>
          </w:tcPr>
          <w:p w:rsidR="00DE512B" w:rsidRPr="00FA3856" w:rsidRDefault="00DE512B" w:rsidP="00DE512B">
            <w:pPr>
              <w:pStyle w:val="PSDS-CorpodeTexto0"/>
              <w:jc w:val="center"/>
              <w:rPr>
                <w:rFonts w:ascii="Times New Roman" w:hAnsi="Times New Roman"/>
                <w:b/>
                <w:bCs/>
              </w:rPr>
            </w:pPr>
            <w:r w:rsidRPr="00FA3856">
              <w:rPr>
                <w:rFonts w:ascii="Times New Roman" w:hAnsi="Times New Roman"/>
                <w:b/>
                <w:bCs/>
              </w:rPr>
              <w:t>Tipo</w:t>
            </w:r>
          </w:p>
        </w:tc>
      </w:tr>
      <w:tr w:rsidR="0012324D" w:rsidRPr="00FA3856" w:rsidTr="003B08BE">
        <w:trPr>
          <w:jc w:val="center"/>
        </w:trPr>
        <w:tc>
          <w:tcPr>
            <w:tcW w:w="485" w:type="dxa"/>
            <w:tcBorders>
              <w:top w:val="single" w:sz="6" w:space="0" w:color="auto"/>
              <w:left w:val="single" w:sz="6" w:space="0" w:color="auto"/>
              <w:bottom w:val="single" w:sz="6" w:space="0" w:color="auto"/>
              <w:right w:val="single" w:sz="6" w:space="0" w:color="auto"/>
            </w:tcBorders>
          </w:tcPr>
          <w:p w:rsidR="0012324D" w:rsidRPr="00FA3856" w:rsidRDefault="0012324D" w:rsidP="0012324D">
            <w:pPr>
              <w:pStyle w:val="PSDS-CorpodeTexto0"/>
              <w:suppressAutoHyphens w:val="0"/>
              <w:rPr>
                <w:rFonts w:ascii="Times New Roman" w:hAnsi="Times New Roman"/>
                <w:b/>
                <w:bCs/>
                <w:lang w:val="pt-PT"/>
              </w:rPr>
            </w:pPr>
            <w:r w:rsidRPr="00FA3856">
              <w:rPr>
                <w:rFonts w:ascii="Times New Roman" w:hAnsi="Times New Roman"/>
                <w:b/>
                <w:bCs/>
                <w:lang w:val="pt-PT"/>
              </w:rPr>
              <w:t>4</w:t>
            </w:r>
          </w:p>
        </w:tc>
        <w:tc>
          <w:tcPr>
            <w:tcW w:w="3000" w:type="dxa"/>
            <w:tcBorders>
              <w:top w:val="single" w:sz="6" w:space="0" w:color="auto"/>
              <w:left w:val="single" w:sz="6" w:space="0" w:color="auto"/>
              <w:bottom w:val="single" w:sz="6" w:space="0" w:color="auto"/>
              <w:right w:val="single" w:sz="6" w:space="0" w:color="auto"/>
            </w:tcBorders>
          </w:tcPr>
          <w:p w:rsidR="0012324D" w:rsidRPr="00FA3856" w:rsidRDefault="0012324D" w:rsidP="0012324D">
            <w:pPr>
              <w:pStyle w:val="PSDS-CorpodeTexto0"/>
              <w:rPr>
                <w:rFonts w:ascii="Times New Roman" w:hAnsi="Times New Roman"/>
              </w:rPr>
            </w:pPr>
            <w:r w:rsidRPr="00FA3856">
              <w:rPr>
                <w:rFonts w:ascii="Times New Roman" w:hAnsi="Times New Roman"/>
              </w:rPr>
              <w:t>VALOR</w:t>
            </w:r>
          </w:p>
        </w:tc>
        <w:tc>
          <w:tcPr>
            <w:tcW w:w="11165" w:type="dxa"/>
            <w:tcBorders>
              <w:top w:val="single" w:sz="6" w:space="0" w:color="auto"/>
              <w:left w:val="single" w:sz="6" w:space="0" w:color="auto"/>
              <w:bottom w:val="single" w:sz="6" w:space="0" w:color="auto"/>
              <w:right w:val="single" w:sz="6" w:space="0" w:color="auto"/>
            </w:tcBorders>
          </w:tcPr>
          <w:p w:rsidR="0012324D" w:rsidRPr="00FA3856" w:rsidRDefault="0012324D" w:rsidP="0012324D">
            <w:pPr>
              <w:pStyle w:val="Corpodetexto"/>
              <w:rPr>
                <w:rFonts w:ascii="Times New Roman" w:hAnsi="Times New Roman"/>
                <w:szCs w:val="20"/>
              </w:rPr>
            </w:pPr>
            <w:r w:rsidRPr="00FA3856">
              <w:rPr>
                <w:rFonts w:ascii="Times New Roman" w:hAnsi="Times New Roman"/>
                <w:b/>
                <w:bCs/>
                <w:szCs w:val="20"/>
              </w:rPr>
              <w:t>REGRA_OBRIGATORIO_TIPO_DIFERENTE_R</w:t>
            </w:r>
            <w:r w:rsidRPr="00FA3856">
              <w:rPr>
                <w:rFonts w:ascii="Times New Roman" w:hAnsi="Times New Roman"/>
                <w:szCs w:val="20"/>
              </w:rPr>
              <w:t xml:space="preserve">: </w:t>
            </w:r>
            <w:r w:rsidRPr="00FA3856">
              <w:rPr>
                <w:rStyle w:val="Hyperlink"/>
                <w:rFonts w:ascii="Times New Roman" w:hAnsi="Times New Roman"/>
                <w:bCs/>
                <w:color w:val="auto"/>
                <w:szCs w:val="20"/>
                <w:lang w:val="pt-PT"/>
              </w:rPr>
              <w:t xml:space="preserve">Verifica se o campo está preenchido quando o tipo da linha </w:t>
            </w:r>
            <w:r w:rsidR="006C0BFB" w:rsidRPr="00FA3856">
              <w:rPr>
                <w:rStyle w:val="Hyperlink"/>
                <w:rFonts w:ascii="Times New Roman" w:hAnsi="Times New Roman"/>
                <w:bCs/>
                <w:color w:val="auto"/>
                <w:szCs w:val="20"/>
                <w:lang w:val="pt-PT"/>
              </w:rPr>
              <w:t>é diferente</w:t>
            </w:r>
            <w:r w:rsidRPr="00FA3856">
              <w:rPr>
                <w:rStyle w:val="Hyperlink"/>
                <w:rFonts w:ascii="Times New Roman" w:hAnsi="Times New Roman"/>
                <w:bCs/>
                <w:color w:val="auto"/>
                <w:szCs w:val="20"/>
                <w:lang w:val="pt-PT"/>
              </w:rPr>
              <w:t xml:space="preserve"> de “R”.</w:t>
            </w:r>
          </w:p>
        </w:tc>
        <w:tc>
          <w:tcPr>
            <w:tcW w:w="717" w:type="dxa"/>
            <w:tcBorders>
              <w:top w:val="single" w:sz="6" w:space="0" w:color="auto"/>
              <w:left w:val="single" w:sz="6" w:space="0" w:color="auto"/>
              <w:bottom w:val="single" w:sz="6" w:space="0" w:color="auto"/>
              <w:right w:val="single" w:sz="6" w:space="0" w:color="auto"/>
            </w:tcBorders>
          </w:tcPr>
          <w:p w:rsidR="0012324D" w:rsidRPr="00FA3856" w:rsidRDefault="0012324D" w:rsidP="0012324D">
            <w:pPr>
              <w:pStyle w:val="PSDS-CorpodeTexto0"/>
              <w:rPr>
                <w:rFonts w:ascii="Times New Roman" w:hAnsi="Times New Roman"/>
              </w:rPr>
            </w:pPr>
            <w:r w:rsidRPr="00FA3856">
              <w:rPr>
                <w:rFonts w:ascii="Times New Roman" w:hAnsi="Times New Roman"/>
              </w:rPr>
              <w:t>Erro</w:t>
            </w:r>
          </w:p>
          <w:p w:rsidR="0012324D" w:rsidRPr="00FA3856" w:rsidRDefault="0012324D" w:rsidP="0012324D">
            <w:pPr>
              <w:pStyle w:val="PSDS-CorpodeTexto0"/>
              <w:rPr>
                <w:rFonts w:ascii="Times New Roman" w:hAnsi="Times New Roman"/>
              </w:rPr>
            </w:pPr>
          </w:p>
        </w:tc>
      </w:tr>
    </w:tbl>
    <w:p w:rsidR="00012703" w:rsidRDefault="00012703" w:rsidP="004177C3">
      <w:pPr>
        <w:rPr>
          <w:b/>
          <w:szCs w:val="20"/>
          <w:lang w:val="pt-PT"/>
        </w:rPr>
      </w:pPr>
    </w:p>
    <w:p w:rsidR="00385278" w:rsidRPr="00FA3856" w:rsidRDefault="00385278" w:rsidP="004177C3">
      <w:pPr>
        <w:rPr>
          <w:b/>
          <w:szCs w:val="20"/>
          <w:lang w:val="pt-PT"/>
        </w:rPr>
      </w:pPr>
      <w:r w:rsidRPr="00FA3856">
        <w:rPr>
          <w:b/>
          <w:szCs w:val="20"/>
          <w:lang w:val="pt-PT"/>
        </w:rPr>
        <w:t>II</w:t>
      </w:r>
      <w:r w:rsidR="004177C3" w:rsidRPr="00FA3856">
        <w:rPr>
          <w:b/>
          <w:szCs w:val="20"/>
          <w:lang w:val="pt-PT"/>
        </w:rPr>
        <w:t>I</w:t>
      </w:r>
      <w:r w:rsidRPr="00FA3856">
        <w:rPr>
          <w:b/>
          <w:szCs w:val="20"/>
          <w:lang w:val="pt-PT"/>
        </w:rPr>
        <w:t xml:space="preserve"> – Tabela</w:t>
      </w:r>
      <w:r w:rsidR="003E7A35">
        <w:rPr>
          <w:b/>
          <w:szCs w:val="20"/>
          <w:lang w:val="pt-PT"/>
        </w:rPr>
        <w:t>s</w:t>
      </w:r>
      <w:r w:rsidRPr="00FA3856">
        <w:rPr>
          <w:b/>
          <w:szCs w:val="20"/>
          <w:lang w:val="pt-PT"/>
        </w:rPr>
        <w:t xml:space="preserve"> Dinâmica</w:t>
      </w:r>
      <w:r w:rsidR="003E7A35">
        <w:rPr>
          <w:b/>
          <w:szCs w:val="20"/>
          <w:lang w:val="pt-PT"/>
        </w:rPr>
        <w:t>s</w:t>
      </w:r>
      <w:r w:rsidRPr="00FA3856">
        <w:rPr>
          <w:b/>
          <w:szCs w:val="20"/>
          <w:lang w:val="pt-PT"/>
        </w:rPr>
        <w:t>:</w:t>
      </w:r>
    </w:p>
    <w:p w:rsidR="003B08BE" w:rsidRPr="00FA3856" w:rsidRDefault="003B08BE" w:rsidP="004177C3">
      <w:pPr>
        <w:rPr>
          <w:b/>
          <w:szCs w:val="20"/>
          <w:lang w:val="pt-PT"/>
        </w:rPr>
      </w:pPr>
    </w:p>
    <w:p w:rsidR="00385278" w:rsidRPr="00FA3856" w:rsidRDefault="003E7A35" w:rsidP="00385278">
      <w:pPr>
        <w:rPr>
          <w:b/>
          <w:color w:val="000000"/>
          <w:szCs w:val="20"/>
        </w:rPr>
      </w:pPr>
      <w:r>
        <w:rPr>
          <w:b/>
          <w:color w:val="000000"/>
          <w:szCs w:val="20"/>
        </w:rPr>
        <w:t xml:space="preserve">III.1 – </w:t>
      </w:r>
      <w:r w:rsidRPr="003E7A35">
        <w:rPr>
          <w:b/>
          <w:color w:val="000000"/>
          <w:szCs w:val="20"/>
        </w:rPr>
        <w:t>N630A - Apuração do IRPJ Com Base no Lucro Real - PJ em Geral</w:t>
      </w:r>
      <w:r w:rsidR="00916FBA" w:rsidRPr="00FA3856">
        <w:rPr>
          <w:b/>
          <w:color w:val="000000"/>
          <w:szCs w:val="20"/>
        </w:rPr>
        <w:t>:</w:t>
      </w:r>
    </w:p>
    <w:p w:rsidR="00012703" w:rsidRPr="00FA3856" w:rsidRDefault="00486CDA" w:rsidP="001E6512">
      <w:pPr>
        <w:rPr>
          <w:b/>
          <w:szCs w:val="20"/>
          <w:lang w:val="pt-PT"/>
        </w:rPr>
      </w:pPr>
      <w:r>
        <w:rPr>
          <w:b/>
          <w:szCs w:val="20"/>
          <w:lang w:val="pt-PT"/>
        </w:rPr>
        <w:object w:dxaOrig="1534" w:dyaOrig="997">
          <v:shape id="_x0000_i1177" type="#_x0000_t75" style="width:79.5pt;height:50.25pt" o:ole="">
            <v:imagedata r:id="rId385" o:title=""/>
          </v:shape>
          <o:OLEObject Type="Link" ProgID="Excel.Sheet.12" ShapeID="_x0000_i1177" DrawAspect="Content" r:id="rId386" UpdateMode="OnCall">
            <o:LinkType>EnhancedMetaFile</o:LinkType>
            <o:LockedField>false</o:LockedField>
          </o:OLEObject>
        </w:object>
      </w:r>
    </w:p>
    <w:p w:rsidR="003E7A35" w:rsidRDefault="009F0CF7" w:rsidP="001E6512">
      <w:pPr>
        <w:rPr>
          <w:b/>
          <w:szCs w:val="20"/>
          <w:lang w:val="pt-PT"/>
        </w:rPr>
      </w:pPr>
      <w:r>
        <w:rPr>
          <w:b/>
          <w:szCs w:val="20"/>
          <w:lang w:val="pt-PT"/>
        </w:rPr>
        <w:t>I</w:t>
      </w:r>
      <w:r w:rsidR="003E7A35">
        <w:rPr>
          <w:b/>
          <w:szCs w:val="20"/>
          <w:lang w:val="pt-PT"/>
        </w:rPr>
        <w:t xml:space="preserve">II.2 – </w:t>
      </w:r>
      <w:r w:rsidR="003E7A35" w:rsidRPr="003E7A35">
        <w:rPr>
          <w:b/>
          <w:szCs w:val="20"/>
          <w:lang w:val="pt-PT"/>
        </w:rPr>
        <w:t>N630B - Apuração do IRPJ Com Base no Lucro Real -  Financeiras</w:t>
      </w:r>
      <w:r w:rsidR="003E7A35">
        <w:rPr>
          <w:b/>
          <w:szCs w:val="20"/>
          <w:lang w:val="pt-PT"/>
        </w:rPr>
        <w:t>:</w:t>
      </w:r>
    </w:p>
    <w:p w:rsidR="003E7A35" w:rsidRDefault="00486CDA" w:rsidP="001E6512">
      <w:pPr>
        <w:rPr>
          <w:b/>
          <w:szCs w:val="20"/>
          <w:lang w:val="pt-PT"/>
        </w:rPr>
      </w:pPr>
      <w:r>
        <w:rPr>
          <w:b/>
          <w:szCs w:val="20"/>
          <w:lang w:val="pt-PT"/>
        </w:rPr>
        <w:object w:dxaOrig="1534" w:dyaOrig="997">
          <v:shape id="_x0000_i1178" type="#_x0000_t75" style="width:79.5pt;height:50.25pt" o:ole="">
            <v:imagedata r:id="rId387" o:title=""/>
          </v:shape>
          <o:OLEObject Type="Link" ProgID="Excel.Sheet.12" ShapeID="_x0000_i1178" DrawAspect="Content" r:id="rId388" UpdateMode="OnCall">
            <o:LinkType>EnhancedMetaFile</o:LinkType>
            <o:LockedField>false</o:LockedField>
          </o:OLEObject>
        </w:object>
      </w:r>
    </w:p>
    <w:p w:rsidR="001E6512" w:rsidRPr="00FA3856" w:rsidRDefault="003E7A35" w:rsidP="001E6512">
      <w:pPr>
        <w:rPr>
          <w:b/>
          <w:szCs w:val="20"/>
          <w:lang w:val="pt-PT"/>
        </w:rPr>
      </w:pPr>
      <w:r>
        <w:rPr>
          <w:b/>
          <w:szCs w:val="20"/>
          <w:lang w:val="pt-PT"/>
        </w:rPr>
        <w:t xml:space="preserve">III.3 – </w:t>
      </w:r>
      <w:r w:rsidR="00903EE1" w:rsidRPr="00903EE1">
        <w:rPr>
          <w:b/>
          <w:szCs w:val="20"/>
          <w:lang w:val="pt-PT"/>
        </w:rPr>
        <w:t>N630C - Apuração do IRPJ Com Base no Lucro Real -  Seguradoras, de Capitalização e Entidades Abertas de Previdência Complementar</w:t>
      </w:r>
      <w:r w:rsidR="001E6512" w:rsidRPr="00FA3856">
        <w:rPr>
          <w:b/>
          <w:szCs w:val="20"/>
          <w:lang w:val="pt-PT"/>
        </w:rPr>
        <w:t>:</w:t>
      </w:r>
    </w:p>
    <w:p w:rsidR="005151C4" w:rsidRPr="003E7A35" w:rsidRDefault="00486CDA" w:rsidP="00797C0E">
      <w:pPr>
        <w:pStyle w:val="Corpodetexto"/>
        <w:rPr>
          <w:rFonts w:ascii="Times New Roman" w:hAnsi="Times New Roman"/>
          <w:b/>
          <w:color w:val="auto"/>
          <w:szCs w:val="20"/>
          <w:lang w:val="pt-PT" w:eastAsia="en-US"/>
        </w:rPr>
      </w:pPr>
      <w:r>
        <w:rPr>
          <w:rFonts w:ascii="Times New Roman" w:hAnsi="Times New Roman"/>
          <w:b/>
          <w:color w:val="auto"/>
          <w:szCs w:val="20"/>
          <w:lang w:val="pt-PT" w:eastAsia="en-US"/>
        </w:rPr>
        <w:object w:dxaOrig="1534" w:dyaOrig="997">
          <v:shape id="_x0000_i1179" type="#_x0000_t75" style="width:79.5pt;height:50.25pt" o:ole="">
            <v:imagedata r:id="rId389" o:title=""/>
          </v:shape>
          <o:OLEObject Type="Link" ProgID="Excel.Sheet.12" ShapeID="_x0000_i1179" DrawAspect="Content" r:id="rId390" UpdateMode="OnCall">
            <o:LinkType>EnhancedMetaFile</o:LinkType>
            <o:LockedField>false</o:LockedField>
          </o:OLEObject>
        </w:object>
      </w:r>
    </w:p>
    <w:p w:rsidR="005151C4" w:rsidRDefault="004148A9" w:rsidP="00797C0E">
      <w:pPr>
        <w:pStyle w:val="Corpodetexto"/>
        <w:rPr>
          <w:rFonts w:ascii="Times New Roman" w:hAnsi="Times New Roman"/>
          <w:b/>
          <w:color w:val="002060"/>
          <w:szCs w:val="20"/>
        </w:rPr>
      </w:pPr>
      <w:r w:rsidRPr="00FA3856">
        <w:rPr>
          <w:rFonts w:ascii="Times New Roman" w:hAnsi="Times New Roman"/>
          <w:b/>
          <w:color w:val="002060"/>
          <w:szCs w:val="20"/>
        </w:rPr>
        <w:t xml:space="preserve">Exemplo de Preenchimento: </w:t>
      </w:r>
    </w:p>
    <w:p w:rsidR="00012703" w:rsidRDefault="00012703" w:rsidP="00797C0E">
      <w:pPr>
        <w:pStyle w:val="Corpodetexto"/>
        <w:rPr>
          <w:rFonts w:ascii="Times New Roman" w:hAnsi="Times New Roman"/>
          <w:b/>
          <w:color w:val="002060"/>
          <w:szCs w:val="20"/>
        </w:rPr>
      </w:pPr>
    </w:p>
    <w:p w:rsidR="00797C0E" w:rsidRPr="00FA3856" w:rsidRDefault="00797C0E" w:rsidP="00797C0E">
      <w:pPr>
        <w:pStyle w:val="Corpodetexto"/>
        <w:rPr>
          <w:rFonts w:ascii="Times New Roman" w:hAnsi="Times New Roman"/>
          <w:b/>
          <w:color w:val="002060"/>
          <w:szCs w:val="20"/>
        </w:rPr>
      </w:pPr>
      <w:r w:rsidRPr="00FA3856">
        <w:rPr>
          <w:rFonts w:ascii="Times New Roman" w:hAnsi="Times New Roman"/>
          <w:b/>
          <w:color w:val="002060"/>
          <w:szCs w:val="20"/>
        </w:rPr>
        <w:t>|N630|</w:t>
      </w:r>
      <w:r w:rsidR="003B08BE" w:rsidRPr="00FA3856">
        <w:rPr>
          <w:rFonts w:ascii="Times New Roman" w:hAnsi="Times New Roman"/>
          <w:b/>
          <w:color w:val="002060"/>
          <w:szCs w:val="20"/>
        </w:rPr>
        <w:t>21</w:t>
      </w:r>
      <w:r w:rsidRPr="00FA3856">
        <w:rPr>
          <w:rFonts w:ascii="Times New Roman" w:hAnsi="Times New Roman"/>
          <w:b/>
          <w:color w:val="002060"/>
          <w:szCs w:val="20"/>
        </w:rPr>
        <w:t>|(-) Imposto de Renda Mensal Pago por Estimativa|10000,00|</w:t>
      </w:r>
    </w:p>
    <w:p w:rsidR="00797C0E" w:rsidRPr="00FA3856" w:rsidRDefault="00797C0E" w:rsidP="00797C0E">
      <w:pPr>
        <w:pStyle w:val="Corpodetexto"/>
        <w:ind w:firstLine="708"/>
        <w:rPr>
          <w:rFonts w:ascii="Times New Roman" w:hAnsi="Times New Roman"/>
          <w:color w:val="002060"/>
          <w:szCs w:val="20"/>
        </w:rPr>
      </w:pPr>
      <w:r w:rsidRPr="00FA3856">
        <w:rPr>
          <w:rFonts w:ascii="Times New Roman" w:hAnsi="Times New Roman"/>
          <w:color w:val="002060"/>
          <w:szCs w:val="20"/>
        </w:rPr>
        <w:t>|N630|: Identificação do tipo do registro.</w:t>
      </w:r>
    </w:p>
    <w:p w:rsidR="00797C0E" w:rsidRPr="00FA3856" w:rsidRDefault="003B08BE" w:rsidP="00797C0E">
      <w:pPr>
        <w:pStyle w:val="Corpodetexto"/>
        <w:ind w:firstLine="708"/>
        <w:rPr>
          <w:rFonts w:ascii="Times New Roman" w:hAnsi="Times New Roman"/>
          <w:color w:val="002060"/>
          <w:szCs w:val="20"/>
        </w:rPr>
      </w:pPr>
      <w:r w:rsidRPr="00FA3856">
        <w:rPr>
          <w:rFonts w:ascii="Times New Roman" w:hAnsi="Times New Roman"/>
          <w:color w:val="002060"/>
          <w:szCs w:val="20"/>
        </w:rPr>
        <w:t>|21</w:t>
      </w:r>
      <w:r w:rsidR="00797C0E" w:rsidRPr="00FA3856">
        <w:rPr>
          <w:rFonts w:ascii="Times New Roman" w:hAnsi="Times New Roman"/>
          <w:color w:val="002060"/>
          <w:szCs w:val="20"/>
        </w:rPr>
        <w:t>|: Código da linha.</w:t>
      </w:r>
      <w:r w:rsidR="00797C0E" w:rsidRPr="00FA3856">
        <w:rPr>
          <w:rFonts w:ascii="Times New Roman" w:hAnsi="Times New Roman"/>
          <w:color w:val="002060"/>
          <w:szCs w:val="20"/>
        </w:rPr>
        <w:tab/>
      </w:r>
    </w:p>
    <w:p w:rsidR="00797C0E" w:rsidRPr="00FA3856" w:rsidRDefault="00797C0E" w:rsidP="00797C0E">
      <w:pPr>
        <w:pStyle w:val="Corpodetexto"/>
        <w:ind w:firstLine="708"/>
        <w:rPr>
          <w:rFonts w:ascii="Times New Roman" w:hAnsi="Times New Roman"/>
          <w:color w:val="002060"/>
          <w:szCs w:val="20"/>
        </w:rPr>
      </w:pPr>
      <w:r w:rsidRPr="00FA3856">
        <w:rPr>
          <w:rFonts w:ascii="Times New Roman" w:hAnsi="Times New Roman"/>
          <w:color w:val="002060"/>
          <w:szCs w:val="20"/>
        </w:rPr>
        <w:t>|(-) Imposto de Renda Mensal Pago por Estimativa|: Descrição da linha.</w:t>
      </w:r>
    </w:p>
    <w:p w:rsidR="00797C0E" w:rsidRPr="00FA3856" w:rsidRDefault="00797C0E" w:rsidP="00797C0E">
      <w:pPr>
        <w:pStyle w:val="Corpodetexto"/>
        <w:ind w:firstLine="708"/>
        <w:rPr>
          <w:rFonts w:ascii="Times New Roman" w:hAnsi="Times New Roman"/>
          <w:color w:val="002060"/>
          <w:szCs w:val="20"/>
        </w:rPr>
      </w:pPr>
      <w:r w:rsidRPr="00FA3856">
        <w:rPr>
          <w:rFonts w:ascii="Times New Roman" w:hAnsi="Times New Roman"/>
          <w:color w:val="002060"/>
          <w:szCs w:val="20"/>
        </w:rPr>
        <w:t>|10000,00|: Valor da linha (R$ 10.000,00).</w:t>
      </w:r>
    </w:p>
    <w:p w:rsidR="005151C4" w:rsidRDefault="005151C4">
      <w:pPr>
        <w:spacing w:after="200" w:line="276" w:lineRule="auto"/>
        <w:rPr>
          <w:b/>
          <w:bCs/>
          <w:color w:val="0000FF"/>
          <w:szCs w:val="20"/>
        </w:rPr>
      </w:pPr>
      <w:r>
        <w:rPr>
          <w:color w:val="0000FF"/>
          <w:szCs w:val="20"/>
        </w:rPr>
        <w:br w:type="page"/>
      </w:r>
    </w:p>
    <w:p w:rsidR="00DE512B" w:rsidRPr="00FA3856" w:rsidRDefault="00DE512B" w:rsidP="00867F54">
      <w:pPr>
        <w:pStyle w:val="Ttulo4"/>
      </w:pPr>
      <w:bookmarkStart w:id="253" w:name="_Toc479713748"/>
      <w:r w:rsidRPr="00FA3856">
        <w:lastRenderedPageBreak/>
        <w:t>Registro N650: Base de Cálculo da CSLL Após as Compensações da Base de Cálculo Negativa</w:t>
      </w:r>
      <w:bookmarkEnd w:id="253"/>
    </w:p>
    <w:p w:rsidR="00DE512B" w:rsidRPr="00FA3856" w:rsidRDefault="00DE512B" w:rsidP="00DE512B">
      <w:pPr>
        <w:jc w:val="both"/>
        <w:rPr>
          <w:szCs w:val="20"/>
        </w:rPr>
      </w:pPr>
    </w:p>
    <w:p w:rsidR="00DE512B" w:rsidRPr="00FA3856" w:rsidRDefault="00DE512B" w:rsidP="00DE512B">
      <w:pPr>
        <w:pStyle w:val="PSDS-MarcadoresNivel3"/>
        <w:tabs>
          <w:tab w:val="clear" w:pos="1440"/>
        </w:tabs>
        <w:spacing w:before="0" w:after="0"/>
        <w:ind w:left="0" w:firstLine="708"/>
        <w:rPr>
          <w:rFonts w:ascii="Times New Roman" w:hAnsi="Times New Roman" w:cs="Times New Roman"/>
          <w:b w:val="0"/>
          <w:szCs w:val="20"/>
        </w:rPr>
      </w:pPr>
      <w:r w:rsidRPr="00FA3856">
        <w:rPr>
          <w:rFonts w:ascii="Times New Roman" w:hAnsi="Times New Roman" w:cs="Times New Roman"/>
          <w:b w:val="0"/>
          <w:szCs w:val="20"/>
        </w:rPr>
        <w:t>Apresenta a base de cálculo da CSLL, após as compensações da base de cálculo negativa.</w:t>
      </w:r>
    </w:p>
    <w:p w:rsidR="002E0897" w:rsidRDefault="002E0897" w:rsidP="004177C3">
      <w:pPr>
        <w:pStyle w:val="PSDS-MarcadoresNivel2"/>
        <w:numPr>
          <w:ilvl w:val="0"/>
          <w:numId w:val="0"/>
        </w:numPr>
        <w:rPr>
          <w:rFonts w:ascii="Times New Roman" w:hAnsi="Times New Roman"/>
        </w:rPr>
      </w:pPr>
    </w:p>
    <w:p w:rsidR="002E0897" w:rsidRDefault="00B35FA3" w:rsidP="002E0897">
      <w:pPr>
        <w:pStyle w:val="PSDS-MarcadoresNivel2"/>
        <w:numPr>
          <w:ilvl w:val="0"/>
          <w:numId w:val="0"/>
        </w:numPr>
        <w:jc w:val="center"/>
        <w:rPr>
          <w:rFonts w:ascii="Times New Roman" w:hAnsi="Times New Roman"/>
        </w:rPr>
      </w:pPr>
      <w:r>
        <w:rPr>
          <w:rFonts w:ascii="Times New Roman" w:hAnsi="Times New Roman"/>
        </w:rPr>
        <w:object w:dxaOrig="13980" w:dyaOrig="4635">
          <v:shape id="_x0000_i1758" type="#_x0000_t75" style="width:698.25pt;height:230.25pt" o:ole="">
            <v:imagedata r:id="rId391" o:title=""/>
          </v:shape>
          <o:OLEObject Type="Link" ProgID="Excel.Sheet.12" ShapeID="_x0000_i1758" DrawAspect="Content" r:id="rId392" UpdateMode="Always">
            <o:LinkType>EnhancedMetaFile</o:LinkType>
            <o:LockedField>false</o:LockedField>
          </o:OLEObject>
        </w:object>
      </w:r>
    </w:p>
    <w:p w:rsidR="002E0897" w:rsidRDefault="002E0897" w:rsidP="004177C3">
      <w:pPr>
        <w:pStyle w:val="PSDS-MarcadoresNivel2"/>
        <w:numPr>
          <w:ilvl w:val="0"/>
          <w:numId w:val="0"/>
        </w:numPr>
        <w:rPr>
          <w:rFonts w:ascii="Times New Roman" w:hAnsi="Times New Roman"/>
        </w:rPr>
      </w:pPr>
    </w:p>
    <w:p w:rsidR="004177C3" w:rsidRPr="00FA3856" w:rsidRDefault="004177C3" w:rsidP="004177C3">
      <w:pPr>
        <w:pStyle w:val="PSDS-MarcadoresNivel2"/>
        <w:numPr>
          <w:ilvl w:val="0"/>
          <w:numId w:val="0"/>
        </w:numPr>
        <w:rPr>
          <w:rFonts w:ascii="Times New Roman" w:hAnsi="Times New Roman"/>
        </w:rPr>
      </w:pPr>
      <w:r w:rsidRPr="00FA3856">
        <w:rPr>
          <w:rFonts w:ascii="Times New Roman" w:hAnsi="Times New Roman"/>
        </w:rPr>
        <w:t>I – Regras de Validação do Registro:</w:t>
      </w:r>
    </w:p>
    <w:p w:rsidR="004177C3" w:rsidRPr="00FA3856" w:rsidRDefault="004177C3" w:rsidP="004177C3">
      <w:pPr>
        <w:pStyle w:val="Corpodetexto"/>
        <w:ind w:left="708" w:firstLine="12"/>
        <w:rPr>
          <w:rFonts w:ascii="Times New Roman" w:hAnsi="Times New Roman"/>
          <w:szCs w:val="20"/>
        </w:rPr>
      </w:pPr>
    </w:p>
    <w:p w:rsidR="00FE5D23" w:rsidRPr="00FA3856" w:rsidRDefault="007D0E74" w:rsidP="00FE5D23">
      <w:pPr>
        <w:pStyle w:val="Corpodetexto"/>
        <w:ind w:left="708" w:firstLine="12"/>
        <w:rPr>
          <w:rFonts w:ascii="Times New Roman" w:hAnsi="Times New Roman"/>
          <w:szCs w:val="20"/>
        </w:rPr>
      </w:pPr>
      <w:hyperlink r:id="rId393" w:anchor="REGRA_OCORRENCIA_UNITARIA_ARQ" w:history="1">
        <w:r w:rsidR="00FE5D23" w:rsidRPr="00FA3856">
          <w:rPr>
            <w:rFonts w:ascii="Times New Roman" w:hAnsi="Times New Roman"/>
            <w:b/>
            <w:szCs w:val="20"/>
          </w:rPr>
          <w:t>REGRA_</w:t>
        </w:r>
      </w:hyperlink>
      <w:r w:rsidR="00FE5D23" w:rsidRPr="00FA3856">
        <w:rPr>
          <w:rFonts w:ascii="Times New Roman" w:hAnsi="Times New Roman"/>
          <w:b/>
          <w:szCs w:val="20"/>
        </w:rPr>
        <w:t>DUPLICIDADE_DESPREZADA</w:t>
      </w:r>
      <w:r w:rsidR="00FE5D23" w:rsidRPr="00FA3856">
        <w:rPr>
          <w:rFonts w:ascii="Times New Roman" w:hAnsi="Times New Roman"/>
          <w:color w:val="auto"/>
          <w:szCs w:val="20"/>
        </w:rPr>
        <w:t xml:space="preserve">: </w:t>
      </w:r>
      <w:r w:rsidR="00FE5D23" w:rsidRPr="00FA3856">
        <w:rPr>
          <w:rFonts w:ascii="Times New Roman" w:hAnsi="Times New Roman"/>
          <w:szCs w:val="20"/>
        </w:rPr>
        <w:t>Verifica se o registro já foi importado anteriormente, de acordo com a chave e os registros pais. Se a regra não for cumprida, a ECF gera um aviso.</w:t>
      </w:r>
    </w:p>
    <w:p w:rsidR="00FE5D23" w:rsidRPr="00FA3856" w:rsidRDefault="00FE5D23" w:rsidP="00FE5D23">
      <w:pPr>
        <w:pStyle w:val="Corpodetexto"/>
        <w:ind w:left="708" w:firstLine="12"/>
        <w:rPr>
          <w:rFonts w:ascii="Times New Roman" w:hAnsi="Times New Roman"/>
          <w:szCs w:val="20"/>
        </w:rPr>
      </w:pPr>
    </w:p>
    <w:p w:rsidR="00FE5D23" w:rsidRPr="00FA3856" w:rsidRDefault="007D0E74" w:rsidP="00FE5D23">
      <w:pPr>
        <w:pStyle w:val="Corpodetexto"/>
        <w:ind w:left="708" w:firstLine="12"/>
        <w:rPr>
          <w:rFonts w:ascii="Times New Roman" w:hAnsi="Times New Roman"/>
          <w:szCs w:val="20"/>
        </w:rPr>
      </w:pPr>
      <w:hyperlink r:id="rId394" w:anchor="REGRA_OCORRENCIA_UNITARIA_ARQ" w:history="1">
        <w:r w:rsidR="00FE5D23" w:rsidRPr="00FA3856">
          <w:rPr>
            <w:rFonts w:ascii="Times New Roman" w:hAnsi="Times New Roman"/>
            <w:b/>
            <w:szCs w:val="20"/>
          </w:rPr>
          <w:t>REGRA_</w:t>
        </w:r>
      </w:hyperlink>
      <w:r w:rsidR="00FE5D23" w:rsidRPr="00FA3856">
        <w:rPr>
          <w:rFonts w:ascii="Times New Roman" w:hAnsi="Times New Roman"/>
          <w:b/>
          <w:szCs w:val="20"/>
        </w:rPr>
        <w:t>LINHA_DESPREZADA</w:t>
      </w:r>
      <w:r w:rsidR="00FE5D23" w:rsidRPr="00FA3856">
        <w:rPr>
          <w:rFonts w:ascii="Times New Roman" w:hAnsi="Times New Roman"/>
          <w:color w:val="auto"/>
          <w:szCs w:val="20"/>
        </w:rPr>
        <w:t xml:space="preserve">: </w:t>
      </w:r>
      <w:r w:rsidR="00FE5D23" w:rsidRPr="00FA3856">
        <w:rPr>
          <w:rFonts w:ascii="Times New Roman" w:hAnsi="Times New Roman"/>
          <w:szCs w:val="20"/>
        </w:rPr>
        <w:t>Verifica se o registro existe na importação, mas não será importado por não existir na tabela dinâmica devido às configurações do bloco 0 ou da tabela dinâmica. Gera um aviso.</w:t>
      </w:r>
    </w:p>
    <w:p w:rsidR="00FE5D23" w:rsidRPr="00FA3856" w:rsidRDefault="00FE5D23" w:rsidP="00FE5D23">
      <w:pPr>
        <w:pStyle w:val="Corpodetexto"/>
        <w:ind w:left="708" w:firstLine="12"/>
        <w:rPr>
          <w:rFonts w:ascii="Times New Roman" w:hAnsi="Times New Roman"/>
          <w:b/>
          <w:szCs w:val="20"/>
        </w:rPr>
      </w:pPr>
    </w:p>
    <w:p w:rsidR="00FE5D23" w:rsidRPr="00FA3856" w:rsidRDefault="007D0E74" w:rsidP="00FE5D23">
      <w:pPr>
        <w:pStyle w:val="Corpodetexto"/>
        <w:ind w:left="708" w:firstLine="12"/>
        <w:rPr>
          <w:rFonts w:ascii="Times New Roman" w:hAnsi="Times New Roman"/>
          <w:b/>
          <w:szCs w:val="20"/>
        </w:rPr>
      </w:pPr>
      <w:hyperlink r:id="rId395" w:anchor="REGRA_OCORRENCIA_UNITARIA_ARQ" w:history="1">
        <w:r w:rsidR="00FE5D23" w:rsidRPr="00FA3856">
          <w:rPr>
            <w:rFonts w:ascii="Times New Roman" w:hAnsi="Times New Roman"/>
            <w:b/>
            <w:szCs w:val="20"/>
          </w:rPr>
          <w:t>REGRA_</w:t>
        </w:r>
      </w:hyperlink>
      <w:r w:rsidR="00FE5D23" w:rsidRPr="00FA3856">
        <w:rPr>
          <w:rFonts w:ascii="Times New Roman" w:hAnsi="Times New Roman"/>
          <w:b/>
          <w:szCs w:val="20"/>
        </w:rPr>
        <w:t>LINHA_ATUALIZADA</w:t>
      </w:r>
      <w:r w:rsidR="00FE5D23" w:rsidRPr="00FA3856">
        <w:rPr>
          <w:rFonts w:ascii="Times New Roman" w:hAnsi="Times New Roman"/>
          <w:color w:val="auto"/>
          <w:szCs w:val="20"/>
        </w:rPr>
        <w:t xml:space="preserve">: </w:t>
      </w:r>
      <w:r w:rsidR="00FE5D23" w:rsidRPr="00FA3856">
        <w:rPr>
          <w:rFonts w:ascii="Times New Roman" w:hAnsi="Times New Roman"/>
          <w:szCs w:val="20"/>
        </w:rPr>
        <w:t>Verifica se o registro está desatualizado em relação à tabela da RFB. Gera um aviso.</w:t>
      </w:r>
    </w:p>
    <w:p w:rsidR="00966743" w:rsidRPr="00FA3856" w:rsidRDefault="00966743">
      <w:pPr>
        <w:rPr>
          <w:b/>
          <w:szCs w:val="20"/>
          <w:lang w:val="pt-PT"/>
        </w:rPr>
      </w:pPr>
    </w:p>
    <w:p w:rsidR="00012703" w:rsidRDefault="00012703">
      <w:pPr>
        <w:spacing w:after="200" w:line="276" w:lineRule="auto"/>
        <w:rPr>
          <w:b/>
          <w:szCs w:val="20"/>
          <w:lang w:val="pt-PT"/>
        </w:rPr>
      </w:pPr>
      <w:r>
        <w:rPr>
          <w:b/>
          <w:szCs w:val="20"/>
          <w:lang w:val="pt-PT"/>
        </w:rPr>
        <w:br w:type="page"/>
      </w:r>
    </w:p>
    <w:p w:rsidR="001C0D2F" w:rsidRPr="00FA3856" w:rsidRDefault="004177C3" w:rsidP="001C0D2F">
      <w:pPr>
        <w:rPr>
          <w:b/>
          <w:szCs w:val="20"/>
          <w:lang w:val="pt-PT"/>
        </w:rPr>
      </w:pPr>
      <w:r w:rsidRPr="00FA3856">
        <w:rPr>
          <w:b/>
          <w:szCs w:val="20"/>
          <w:lang w:val="pt-PT"/>
        </w:rPr>
        <w:lastRenderedPageBreak/>
        <w:t>I</w:t>
      </w:r>
      <w:r w:rsidR="001C0D2F" w:rsidRPr="00FA3856">
        <w:rPr>
          <w:b/>
          <w:szCs w:val="20"/>
          <w:lang w:val="pt-PT"/>
        </w:rPr>
        <w:t>I – Regras de Validação de Campos:</w:t>
      </w:r>
    </w:p>
    <w:p w:rsidR="001C0D2F" w:rsidRPr="00FA3856" w:rsidRDefault="001C0D2F" w:rsidP="001C0D2F">
      <w:pPr>
        <w:rPr>
          <w:b/>
          <w:szCs w:val="20"/>
          <w:lang w:val="pt-PT"/>
        </w:rPr>
      </w:pPr>
    </w:p>
    <w:tbl>
      <w:tblPr>
        <w:tblW w:w="15367"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85"/>
        <w:gridCol w:w="3000"/>
        <w:gridCol w:w="11165"/>
        <w:gridCol w:w="717"/>
      </w:tblGrid>
      <w:tr w:rsidR="001C0D2F" w:rsidRPr="00FA3856" w:rsidTr="004640C2">
        <w:trPr>
          <w:jc w:val="center"/>
        </w:trPr>
        <w:tc>
          <w:tcPr>
            <w:tcW w:w="485" w:type="dxa"/>
            <w:tcBorders>
              <w:top w:val="single" w:sz="6" w:space="0" w:color="auto"/>
              <w:left w:val="single" w:sz="6" w:space="0" w:color="auto"/>
              <w:bottom w:val="single" w:sz="6" w:space="0" w:color="auto"/>
              <w:right w:val="single" w:sz="6" w:space="0" w:color="auto"/>
            </w:tcBorders>
            <w:shd w:val="pct10" w:color="auto" w:fill="FFFFFF"/>
          </w:tcPr>
          <w:p w:rsidR="001C0D2F" w:rsidRPr="00FA3856" w:rsidRDefault="001C0D2F" w:rsidP="005667D7">
            <w:pPr>
              <w:pStyle w:val="PSDS-CorpodeTexto0"/>
              <w:jc w:val="center"/>
              <w:rPr>
                <w:rFonts w:ascii="Times New Roman" w:hAnsi="Times New Roman"/>
                <w:b/>
                <w:bCs/>
              </w:rPr>
            </w:pPr>
            <w:r w:rsidRPr="00FA3856">
              <w:rPr>
                <w:rFonts w:ascii="Times New Roman" w:hAnsi="Times New Roman"/>
                <w:b/>
                <w:bCs/>
              </w:rPr>
              <w:t>Nº</w:t>
            </w:r>
          </w:p>
        </w:tc>
        <w:tc>
          <w:tcPr>
            <w:tcW w:w="3000" w:type="dxa"/>
            <w:tcBorders>
              <w:top w:val="single" w:sz="6" w:space="0" w:color="auto"/>
              <w:left w:val="single" w:sz="6" w:space="0" w:color="auto"/>
              <w:bottom w:val="single" w:sz="6" w:space="0" w:color="auto"/>
              <w:right w:val="single" w:sz="6" w:space="0" w:color="auto"/>
            </w:tcBorders>
            <w:shd w:val="pct10" w:color="auto" w:fill="FFFFFF"/>
          </w:tcPr>
          <w:p w:rsidR="001C0D2F" w:rsidRPr="00FA3856" w:rsidRDefault="001C0D2F" w:rsidP="005667D7">
            <w:pPr>
              <w:pStyle w:val="PSDS-CorpodeTexto0"/>
              <w:jc w:val="center"/>
              <w:rPr>
                <w:rFonts w:ascii="Times New Roman" w:hAnsi="Times New Roman"/>
                <w:b/>
                <w:bCs/>
              </w:rPr>
            </w:pPr>
            <w:r w:rsidRPr="00FA3856">
              <w:rPr>
                <w:rFonts w:ascii="Times New Roman" w:hAnsi="Times New Roman"/>
                <w:b/>
                <w:bCs/>
              </w:rPr>
              <w:t>Campo</w:t>
            </w:r>
          </w:p>
        </w:tc>
        <w:tc>
          <w:tcPr>
            <w:tcW w:w="11165" w:type="dxa"/>
            <w:tcBorders>
              <w:top w:val="single" w:sz="6" w:space="0" w:color="auto"/>
              <w:left w:val="single" w:sz="6" w:space="0" w:color="auto"/>
              <w:bottom w:val="single" w:sz="6" w:space="0" w:color="auto"/>
              <w:right w:val="single" w:sz="6" w:space="0" w:color="auto"/>
            </w:tcBorders>
            <w:shd w:val="pct10" w:color="auto" w:fill="FFFFFF"/>
          </w:tcPr>
          <w:p w:rsidR="001C0D2F" w:rsidRPr="00FA3856" w:rsidRDefault="001C0D2F" w:rsidP="005667D7">
            <w:pPr>
              <w:pStyle w:val="PSDS-CorpodeTexto0"/>
              <w:jc w:val="center"/>
              <w:rPr>
                <w:rFonts w:ascii="Times New Roman" w:hAnsi="Times New Roman"/>
                <w:b/>
                <w:bCs/>
              </w:rPr>
            </w:pPr>
            <w:r w:rsidRPr="00FA3856">
              <w:rPr>
                <w:rFonts w:ascii="Times New Roman" w:hAnsi="Times New Roman"/>
                <w:b/>
                <w:bCs/>
              </w:rPr>
              <w:t>Regras de Validação do Campo</w:t>
            </w:r>
          </w:p>
        </w:tc>
        <w:tc>
          <w:tcPr>
            <w:tcW w:w="717" w:type="dxa"/>
            <w:tcBorders>
              <w:top w:val="single" w:sz="6" w:space="0" w:color="auto"/>
              <w:left w:val="single" w:sz="6" w:space="0" w:color="auto"/>
              <w:bottom w:val="single" w:sz="6" w:space="0" w:color="auto"/>
              <w:right w:val="single" w:sz="6" w:space="0" w:color="auto"/>
            </w:tcBorders>
            <w:shd w:val="pct10" w:color="auto" w:fill="FFFFFF"/>
          </w:tcPr>
          <w:p w:rsidR="001C0D2F" w:rsidRPr="00FA3856" w:rsidRDefault="001C0D2F" w:rsidP="005667D7">
            <w:pPr>
              <w:pStyle w:val="PSDS-CorpodeTexto0"/>
              <w:jc w:val="center"/>
              <w:rPr>
                <w:rFonts w:ascii="Times New Roman" w:hAnsi="Times New Roman"/>
                <w:b/>
                <w:bCs/>
              </w:rPr>
            </w:pPr>
            <w:r w:rsidRPr="00FA3856">
              <w:rPr>
                <w:rFonts w:ascii="Times New Roman" w:hAnsi="Times New Roman"/>
                <w:b/>
                <w:bCs/>
              </w:rPr>
              <w:t>Tipo</w:t>
            </w:r>
          </w:p>
        </w:tc>
      </w:tr>
      <w:tr w:rsidR="0012324D" w:rsidRPr="00FA3856" w:rsidTr="004640C2">
        <w:trPr>
          <w:jc w:val="center"/>
        </w:trPr>
        <w:tc>
          <w:tcPr>
            <w:tcW w:w="485" w:type="dxa"/>
            <w:tcBorders>
              <w:top w:val="single" w:sz="6" w:space="0" w:color="auto"/>
              <w:left w:val="single" w:sz="6" w:space="0" w:color="auto"/>
              <w:bottom w:val="single" w:sz="6" w:space="0" w:color="auto"/>
              <w:right w:val="single" w:sz="6" w:space="0" w:color="auto"/>
            </w:tcBorders>
          </w:tcPr>
          <w:p w:rsidR="0012324D" w:rsidRPr="00FA3856" w:rsidRDefault="0012324D" w:rsidP="0012324D">
            <w:pPr>
              <w:pStyle w:val="PSDS-CorpodeTexto0"/>
              <w:suppressAutoHyphens w:val="0"/>
              <w:rPr>
                <w:rFonts w:ascii="Times New Roman" w:hAnsi="Times New Roman"/>
                <w:b/>
                <w:bCs/>
                <w:lang w:val="pt-PT"/>
              </w:rPr>
            </w:pPr>
            <w:r w:rsidRPr="00FA3856">
              <w:rPr>
                <w:rFonts w:ascii="Times New Roman" w:hAnsi="Times New Roman"/>
                <w:b/>
                <w:bCs/>
                <w:lang w:val="pt-PT"/>
              </w:rPr>
              <w:t>4</w:t>
            </w:r>
          </w:p>
        </w:tc>
        <w:tc>
          <w:tcPr>
            <w:tcW w:w="3000" w:type="dxa"/>
            <w:tcBorders>
              <w:top w:val="single" w:sz="6" w:space="0" w:color="auto"/>
              <w:left w:val="single" w:sz="6" w:space="0" w:color="auto"/>
              <w:bottom w:val="single" w:sz="6" w:space="0" w:color="auto"/>
              <w:right w:val="single" w:sz="6" w:space="0" w:color="auto"/>
            </w:tcBorders>
          </w:tcPr>
          <w:p w:rsidR="0012324D" w:rsidRPr="00FA3856" w:rsidRDefault="0012324D" w:rsidP="0012324D">
            <w:pPr>
              <w:pStyle w:val="PSDS-CorpodeTexto0"/>
              <w:rPr>
                <w:rFonts w:ascii="Times New Roman" w:hAnsi="Times New Roman"/>
              </w:rPr>
            </w:pPr>
            <w:r w:rsidRPr="00FA3856">
              <w:rPr>
                <w:rFonts w:ascii="Times New Roman" w:hAnsi="Times New Roman"/>
              </w:rPr>
              <w:t>VALOR</w:t>
            </w:r>
          </w:p>
        </w:tc>
        <w:tc>
          <w:tcPr>
            <w:tcW w:w="11165" w:type="dxa"/>
            <w:tcBorders>
              <w:top w:val="single" w:sz="6" w:space="0" w:color="auto"/>
              <w:left w:val="single" w:sz="6" w:space="0" w:color="auto"/>
              <w:bottom w:val="single" w:sz="6" w:space="0" w:color="auto"/>
              <w:right w:val="single" w:sz="6" w:space="0" w:color="auto"/>
            </w:tcBorders>
          </w:tcPr>
          <w:p w:rsidR="0012324D" w:rsidRPr="00FA3856" w:rsidRDefault="0012324D" w:rsidP="0012324D">
            <w:pPr>
              <w:pStyle w:val="Corpodetexto"/>
              <w:rPr>
                <w:rFonts w:ascii="Times New Roman" w:hAnsi="Times New Roman"/>
                <w:szCs w:val="20"/>
              </w:rPr>
            </w:pPr>
            <w:r w:rsidRPr="00FA3856">
              <w:rPr>
                <w:rFonts w:ascii="Times New Roman" w:hAnsi="Times New Roman"/>
                <w:b/>
                <w:bCs/>
                <w:szCs w:val="20"/>
              </w:rPr>
              <w:t>REGRA_OBRIGATORIO_TIPO_DIFERENTE_R</w:t>
            </w:r>
            <w:r w:rsidRPr="00FA3856">
              <w:rPr>
                <w:rFonts w:ascii="Times New Roman" w:hAnsi="Times New Roman"/>
                <w:szCs w:val="20"/>
              </w:rPr>
              <w:t xml:space="preserve">: </w:t>
            </w:r>
            <w:r w:rsidRPr="00FA3856">
              <w:rPr>
                <w:rStyle w:val="Hyperlink"/>
                <w:rFonts w:ascii="Times New Roman" w:hAnsi="Times New Roman"/>
                <w:bCs/>
                <w:color w:val="auto"/>
                <w:szCs w:val="20"/>
                <w:lang w:val="pt-PT"/>
              </w:rPr>
              <w:t xml:space="preserve">Verifica se o campo está preenchido quando o tipo da linha </w:t>
            </w:r>
            <w:r w:rsidR="0063733D" w:rsidRPr="00FA3856">
              <w:rPr>
                <w:rStyle w:val="Hyperlink"/>
                <w:rFonts w:ascii="Times New Roman" w:hAnsi="Times New Roman"/>
                <w:bCs/>
                <w:color w:val="auto"/>
                <w:szCs w:val="20"/>
                <w:lang w:val="pt-PT"/>
              </w:rPr>
              <w:t>é diferente</w:t>
            </w:r>
            <w:r w:rsidRPr="00FA3856">
              <w:rPr>
                <w:rStyle w:val="Hyperlink"/>
                <w:rFonts w:ascii="Times New Roman" w:hAnsi="Times New Roman"/>
                <w:bCs/>
                <w:color w:val="auto"/>
                <w:szCs w:val="20"/>
                <w:lang w:val="pt-PT"/>
              </w:rPr>
              <w:t xml:space="preserve"> de “R”.</w:t>
            </w:r>
          </w:p>
        </w:tc>
        <w:tc>
          <w:tcPr>
            <w:tcW w:w="717" w:type="dxa"/>
            <w:tcBorders>
              <w:top w:val="single" w:sz="6" w:space="0" w:color="auto"/>
              <w:left w:val="single" w:sz="6" w:space="0" w:color="auto"/>
              <w:bottom w:val="single" w:sz="6" w:space="0" w:color="auto"/>
              <w:right w:val="single" w:sz="6" w:space="0" w:color="auto"/>
            </w:tcBorders>
          </w:tcPr>
          <w:p w:rsidR="0012324D" w:rsidRPr="00FA3856" w:rsidRDefault="0012324D" w:rsidP="0012324D">
            <w:pPr>
              <w:pStyle w:val="PSDS-CorpodeTexto0"/>
              <w:rPr>
                <w:rFonts w:ascii="Times New Roman" w:hAnsi="Times New Roman"/>
              </w:rPr>
            </w:pPr>
            <w:r w:rsidRPr="00FA3856">
              <w:rPr>
                <w:rFonts w:ascii="Times New Roman" w:hAnsi="Times New Roman"/>
              </w:rPr>
              <w:t>Erro</w:t>
            </w:r>
          </w:p>
          <w:p w:rsidR="0012324D" w:rsidRPr="00FA3856" w:rsidRDefault="0012324D" w:rsidP="0012324D">
            <w:pPr>
              <w:pStyle w:val="PSDS-CorpodeTexto0"/>
              <w:rPr>
                <w:rFonts w:ascii="Times New Roman" w:hAnsi="Times New Roman"/>
              </w:rPr>
            </w:pPr>
          </w:p>
        </w:tc>
      </w:tr>
    </w:tbl>
    <w:p w:rsidR="00012703" w:rsidRDefault="00012703" w:rsidP="00385278">
      <w:pPr>
        <w:rPr>
          <w:b/>
          <w:szCs w:val="20"/>
          <w:lang w:val="pt-PT"/>
        </w:rPr>
      </w:pPr>
    </w:p>
    <w:p w:rsidR="00385278" w:rsidRDefault="00385278" w:rsidP="00385278">
      <w:pPr>
        <w:rPr>
          <w:b/>
          <w:szCs w:val="20"/>
          <w:lang w:val="pt-PT"/>
        </w:rPr>
      </w:pPr>
      <w:r w:rsidRPr="00FA3856">
        <w:rPr>
          <w:b/>
          <w:szCs w:val="20"/>
          <w:lang w:val="pt-PT"/>
        </w:rPr>
        <w:t>I</w:t>
      </w:r>
      <w:r w:rsidR="004177C3" w:rsidRPr="00FA3856">
        <w:rPr>
          <w:b/>
          <w:szCs w:val="20"/>
          <w:lang w:val="pt-PT"/>
        </w:rPr>
        <w:t>I</w:t>
      </w:r>
      <w:r w:rsidRPr="00FA3856">
        <w:rPr>
          <w:b/>
          <w:szCs w:val="20"/>
          <w:lang w:val="pt-PT"/>
        </w:rPr>
        <w:t>I – Tabela Dinâmica:</w:t>
      </w:r>
      <w:r w:rsidR="00954EE0">
        <w:rPr>
          <w:b/>
          <w:szCs w:val="20"/>
          <w:lang w:val="pt-PT"/>
        </w:rPr>
        <w:t xml:space="preserve"> </w:t>
      </w:r>
      <w:r w:rsidR="00954EE0" w:rsidRPr="00954EE0">
        <w:rPr>
          <w:b/>
          <w:szCs w:val="20"/>
          <w:lang w:val="pt-PT"/>
        </w:rPr>
        <w:t>N650 - Base de Cálculo da CSLL (PJ do Lucro Real)</w:t>
      </w:r>
    </w:p>
    <w:p w:rsidR="00A03004" w:rsidRPr="00012703" w:rsidRDefault="00486CDA" w:rsidP="00EF69B3">
      <w:pPr>
        <w:rPr>
          <w:b/>
          <w:szCs w:val="20"/>
          <w:lang w:val="pt-PT"/>
        </w:rPr>
      </w:pPr>
      <w:r>
        <w:rPr>
          <w:b/>
          <w:szCs w:val="20"/>
          <w:lang w:val="pt-PT"/>
        </w:rPr>
        <w:object w:dxaOrig="1534" w:dyaOrig="997">
          <v:shape id="_x0000_i1181" type="#_x0000_t75" style="width:79.5pt;height:50.25pt" o:ole="">
            <v:imagedata r:id="rId396" o:title=""/>
          </v:shape>
          <o:OLEObject Type="Link" ProgID="Excel.Sheet.12" ShapeID="_x0000_i1181" DrawAspect="Content" r:id="rId397" UpdateMode="OnCall">
            <o:LinkType>EnhancedMetaFile</o:LinkType>
            <o:LockedField>false</o:LockedField>
          </o:OLEObject>
        </w:object>
      </w:r>
    </w:p>
    <w:p w:rsidR="00012703" w:rsidRDefault="004640C2" w:rsidP="004640C2">
      <w:pPr>
        <w:pStyle w:val="Corpodetexto"/>
        <w:rPr>
          <w:rFonts w:ascii="Times New Roman" w:hAnsi="Times New Roman"/>
          <w:b/>
          <w:color w:val="002060"/>
          <w:szCs w:val="20"/>
        </w:rPr>
      </w:pPr>
      <w:r w:rsidRPr="00FA3856">
        <w:rPr>
          <w:rFonts w:ascii="Times New Roman" w:hAnsi="Times New Roman"/>
          <w:b/>
          <w:color w:val="002060"/>
          <w:szCs w:val="20"/>
        </w:rPr>
        <w:t>Exemplo de Preenchiment</w:t>
      </w:r>
      <w:r w:rsidR="004148A9" w:rsidRPr="00FA3856">
        <w:rPr>
          <w:rFonts w:ascii="Times New Roman" w:hAnsi="Times New Roman"/>
          <w:b/>
          <w:color w:val="002060"/>
          <w:szCs w:val="20"/>
        </w:rPr>
        <w:t xml:space="preserve">o: </w:t>
      </w:r>
    </w:p>
    <w:p w:rsidR="00012703" w:rsidRDefault="00012703" w:rsidP="004640C2">
      <w:pPr>
        <w:pStyle w:val="Corpodetexto"/>
        <w:rPr>
          <w:rFonts w:ascii="Times New Roman" w:hAnsi="Times New Roman"/>
          <w:b/>
          <w:color w:val="002060"/>
          <w:szCs w:val="20"/>
        </w:rPr>
      </w:pPr>
    </w:p>
    <w:p w:rsidR="004640C2" w:rsidRPr="00FA3856" w:rsidRDefault="004640C2" w:rsidP="004640C2">
      <w:pPr>
        <w:pStyle w:val="Corpodetexto"/>
        <w:rPr>
          <w:rFonts w:ascii="Times New Roman" w:hAnsi="Times New Roman"/>
          <w:b/>
          <w:color w:val="002060"/>
          <w:szCs w:val="20"/>
        </w:rPr>
      </w:pPr>
      <w:r w:rsidRPr="00FA3856">
        <w:rPr>
          <w:rFonts w:ascii="Times New Roman" w:hAnsi="Times New Roman"/>
          <w:b/>
          <w:color w:val="002060"/>
          <w:szCs w:val="20"/>
        </w:rPr>
        <w:t>|N650|1|Valor da base de cálculo da CSLL|100000,00|</w:t>
      </w:r>
    </w:p>
    <w:p w:rsidR="004640C2" w:rsidRPr="00FA3856" w:rsidRDefault="004640C2" w:rsidP="004640C2">
      <w:pPr>
        <w:pStyle w:val="Corpodetexto"/>
        <w:ind w:firstLine="708"/>
        <w:rPr>
          <w:rFonts w:ascii="Times New Roman" w:hAnsi="Times New Roman"/>
          <w:color w:val="002060"/>
          <w:szCs w:val="20"/>
        </w:rPr>
      </w:pPr>
      <w:r w:rsidRPr="00FA3856">
        <w:rPr>
          <w:rFonts w:ascii="Times New Roman" w:hAnsi="Times New Roman"/>
          <w:color w:val="002060"/>
          <w:szCs w:val="20"/>
        </w:rPr>
        <w:t>|N650|: Identificação do tipo do registro.</w:t>
      </w:r>
    </w:p>
    <w:p w:rsidR="004640C2" w:rsidRPr="00FA3856" w:rsidRDefault="004640C2" w:rsidP="004640C2">
      <w:pPr>
        <w:pStyle w:val="Corpodetexto"/>
        <w:ind w:firstLine="708"/>
        <w:rPr>
          <w:rFonts w:ascii="Times New Roman" w:hAnsi="Times New Roman"/>
          <w:color w:val="002060"/>
          <w:szCs w:val="20"/>
        </w:rPr>
      </w:pPr>
      <w:r w:rsidRPr="00FA3856">
        <w:rPr>
          <w:rFonts w:ascii="Times New Roman" w:hAnsi="Times New Roman"/>
          <w:color w:val="002060"/>
          <w:szCs w:val="20"/>
        </w:rPr>
        <w:t>|1|: Código da linha.</w:t>
      </w:r>
      <w:r w:rsidRPr="00FA3856">
        <w:rPr>
          <w:rFonts w:ascii="Times New Roman" w:hAnsi="Times New Roman"/>
          <w:color w:val="002060"/>
          <w:szCs w:val="20"/>
        </w:rPr>
        <w:tab/>
      </w:r>
    </w:p>
    <w:p w:rsidR="004640C2" w:rsidRPr="00FA3856" w:rsidRDefault="004640C2" w:rsidP="004640C2">
      <w:pPr>
        <w:pStyle w:val="Corpodetexto"/>
        <w:ind w:firstLine="708"/>
        <w:rPr>
          <w:rFonts w:ascii="Times New Roman" w:hAnsi="Times New Roman"/>
          <w:color w:val="002060"/>
          <w:szCs w:val="20"/>
        </w:rPr>
      </w:pPr>
      <w:r w:rsidRPr="00FA3856">
        <w:rPr>
          <w:rFonts w:ascii="Times New Roman" w:hAnsi="Times New Roman"/>
          <w:color w:val="002060"/>
          <w:szCs w:val="20"/>
        </w:rPr>
        <w:t>|Valor da Base de Cálculo da CSLL|: Descrição da linha.</w:t>
      </w:r>
    </w:p>
    <w:p w:rsidR="004640C2" w:rsidRPr="00FA3856" w:rsidRDefault="004640C2" w:rsidP="004640C2">
      <w:pPr>
        <w:pStyle w:val="Corpodetexto"/>
        <w:ind w:firstLine="708"/>
        <w:rPr>
          <w:rFonts w:ascii="Times New Roman" w:hAnsi="Times New Roman"/>
          <w:color w:val="002060"/>
          <w:szCs w:val="20"/>
        </w:rPr>
      </w:pPr>
      <w:r w:rsidRPr="00FA3856">
        <w:rPr>
          <w:rFonts w:ascii="Times New Roman" w:hAnsi="Times New Roman"/>
          <w:color w:val="002060"/>
          <w:szCs w:val="20"/>
        </w:rPr>
        <w:t>|100000,00|: Valor da linha (R$ 100.000,00).</w:t>
      </w:r>
    </w:p>
    <w:p w:rsidR="004640C2" w:rsidRPr="00FA3856" w:rsidRDefault="004640C2" w:rsidP="00EF69B3">
      <w:pPr>
        <w:rPr>
          <w:szCs w:val="20"/>
        </w:rPr>
      </w:pPr>
    </w:p>
    <w:p w:rsidR="00264296" w:rsidRPr="00FA3856" w:rsidRDefault="00264296">
      <w:pPr>
        <w:spacing w:after="200" w:line="276" w:lineRule="auto"/>
        <w:rPr>
          <w:b/>
          <w:bCs/>
          <w:color w:val="0000FF"/>
          <w:szCs w:val="20"/>
        </w:rPr>
      </w:pPr>
      <w:r w:rsidRPr="00FA3856">
        <w:rPr>
          <w:color w:val="0000FF"/>
          <w:szCs w:val="20"/>
        </w:rPr>
        <w:br w:type="page"/>
      </w:r>
    </w:p>
    <w:p w:rsidR="00A95DCA" w:rsidRPr="00FA3856" w:rsidRDefault="00A95DCA" w:rsidP="00867F54">
      <w:pPr>
        <w:pStyle w:val="Ttulo4"/>
      </w:pPr>
      <w:bookmarkStart w:id="254" w:name="_Toc479713749"/>
      <w:r w:rsidRPr="00FA3856">
        <w:lastRenderedPageBreak/>
        <w:t xml:space="preserve">Registro N660: </w:t>
      </w:r>
      <w:r w:rsidR="00E377D5" w:rsidRPr="00FA3856">
        <w:t>Apuração</w:t>
      </w:r>
      <w:r w:rsidRPr="00FA3856">
        <w:t xml:space="preserve"> da CSLL Mensal por Estimativa</w:t>
      </w:r>
      <w:bookmarkEnd w:id="254"/>
    </w:p>
    <w:p w:rsidR="002E6F04" w:rsidRPr="00FA3856" w:rsidRDefault="002E6F04" w:rsidP="00B573DD">
      <w:pPr>
        <w:rPr>
          <w:szCs w:val="20"/>
        </w:rPr>
      </w:pPr>
    </w:p>
    <w:p w:rsidR="00264296" w:rsidRPr="00FA3856" w:rsidRDefault="00264296" w:rsidP="00264296">
      <w:pPr>
        <w:pStyle w:val="PSDS-CorpodeTexto0"/>
        <w:ind w:firstLine="708"/>
        <w:jc w:val="both"/>
        <w:rPr>
          <w:rFonts w:ascii="Times New Roman" w:hAnsi="Times New Roman"/>
        </w:rPr>
      </w:pPr>
      <w:r w:rsidRPr="00FA3856">
        <w:rPr>
          <w:rFonts w:ascii="Times New Roman" w:hAnsi="Times New Roman"/>
        </w:rPr>
        <w:t>Este registro é habilitado para a pessoa jurídica que apurou o imposto de renda com base no lucro real anual que optou por apurar a CSLL por estimativa mensal.</w:t>
      </w:r>
    </w:p>
    <w:p w:rsidR="00264296" w:rsidRPr="00FA3856" w:rsidRDefault="00264296" w:rsidP="00264296">
      <w:pPr>
        <w:pStyle w:val="PSDS-CorpodeTexto0"/>
        <w:ind w:firstLine="708"/>
        <w:jc w:val="both"/>
        <w:rPr>
          <w:rFonts w:ascii="Times New Roman" w:hAnsi="Times New Roman"/>
        </w:rPr>
      </w:pPr>
    </w:p>
    <w:p w:rsidR="00264296" w:rsidRPr="00FA3856" w:rsidRDefault="00264296" w:rsidP="00264296">
      <w:pPr>
        <w:pStyle w:val="PSDS-CorpodeTexto0"/>
        <w:jc w:val="both"/>
        <w:rPr>
          <w:rFonts w:ascii="Times New Roman" w:hAnsi="Times New Roman"/>
          <w:b/>
        </w:rPr>
      </w:pPr>
      <w:r w:rsidRPr="00FA3856">
        <w:rPr>
          <w:rFonts w:ascii="Times New Roman" w:hAnsi="Times New Roman"/>
          <w:b/>
        </w:rPr>
        <w:t>I) Apuração Anual da CSLL, com Recolhimentos Mensais sobre a Base de Cálculo Estimada</w:t>
      </w:r>
    </w:p>
    <w:p w:rsidR="00264296" w:rsidRPr="00FA3856" w:rsidRDefault="00264296" w:rsidP="00264296">
      <w:pPr>
        <w:pStyle w:val="PSDS-CorpodeTexto0"/>
        <w:ind w:firstLine="708"/>
        <w:jc w:val="both"/>
        <w:rPr>
          <w:rFonts w:ascii="Times New Roman" w:hAnsi="Times New Roman"/>
        </w:rPr>
      </w:pPr>
      <w:r w:rsidRPr="00FA3856">
        <w:rPr>
          <w:rFonts w:ascii="Times New Roman" w:hAnsi="Times New Roman"/>
        </w:rPr>
        <w:t> </w:t>
      </w:r>
    </w:p>
    <w:p w:rsidR="00264296" w:rsidRPr="00FA3856" w:rsidRDefault="00264296" w:rsidP="00264296">
      <w:pPr>
        <w:pStyle w:val="PSDS-CorpodeTexto0"/>
        <w:ind w:firstLine="708"/>
        <w:jc w:val="both"/>
        <w:rPr>
          <w:rFonts w:ascii="Times New Roman" w:hAnsi="Times New Roman"/>
        </w:rPr>
      </w:pPr>
      <w:r w:rsidRPr="00FA3856">
        <w:rPr>
          <w:rFonts w:ascii="Times New Roman" w:hAnsi="Times New Roman"/>
        </w:rPr>
        <w:t>A pessoa jurídica que apurar anualmente o imposto sobre a renda com base no lucro real também deve apurar a CSLL anualmente com base no resultado ajustado, em 31 de dezembro de cada ano.</w:t>
      </w:r>
    </w:p>
    <w:p w:rsidR="00264296" w:rsidRPr="00FA3856" w:rsidRDefault="00264296" w:rsidP="00264296">
      <w:pPr>
        <w:pStyle w:val="PSDS-CorpodeTexto0"/>
        <w:ind w:firstLine="708"/>
        <w:jc w:val="both"/>
        <w:rPr>
          <w:rFonts w:ascii="Times New Roman" w:hAnsi="Times New Roman"/>
        </w:rPr>
      </w:pPr>
    </w:p>
    <w:p w:rsidR="00264296" w:rsidRPr="00FA3856" w:rsidRDefault="00264296" w:rsidP="00264296">
      <w:pPr>
        <w:pStyle w:val="PSDS-CorpodeTexto0"/>
        <w:ind w:firstLine="708"/>
        <w:jc w:val="both"/>
        <w:rPr>
          <w:rFonts w:ascii="Times New Roman" w:hAnsi="Times New Roman"/>
        </w:rPr>
      </w:pPr>
      <w:r w:rsidRPr="00FA3856">
        <w:rPr>
          <w:rFonts w:ascii="Times New Roman" w:hAnsi="Times New Roman"/>
        </w:rPr>
        <w:t>Os valores de CSLL efetivamente pagos calculados sobre a base de cálculo estimada mensalmente, no transcorrer do ano-calendário, podem ser deduzidos do valor de CSLL apurado anualmente (ajuste).</w:t>
      </w:r>
    </w:p>
    <w:p w:rsidR="00264296" w:rsidRPr="00FA3856" w:rsidRDefault="00264296" w:rsidP="00264296">
      <w:pPr>
        <w:pStyle w:val="PSDS-CorpodeTexto0"/>
        <w:ind w:firstLine="708"/>
        <w:jc w:val="both"/>
        <w:rPr>
          <w:rFonts w:ascii="Times New Roman" w:hAnsi="Times New Roman"/>
        </w:rPr>
      </w:pPr>
      <w:r w:rsidRPr="00FA3856">
        <w:rPr>
          <w:rFonts w:ascii="Times New Roman" w:hAnsi="Times New Roman"/>
        </w:rPr>
        <w:t>O valor da CSLL não pode ser deduzido para efeito de determinação do lucro real e da própria base de cálculo (Lei nº 9.316, de 1996, art. 1º).</w:t>
      </w:r>
    </w:p>
    <w:p w:rsidR="00264296" w:rsidRPr="00FA3856" w:rsidRDefault="00264296" w:rsidP="00264296">
      <w:pPr>
        <w:pStyle w:val="PSDS-CorpodeTexto0"/>
        <w:ind w:firstLine="708"/>
        <w:jc w:val="both"/>
        <w:rPr>
          <w:rFonts w:ascii="Times New Roman" w:hAnsi="Times New Roman"/>
        </w:rPr>
      </w:pPr>
      <w:r w:rsidRPr="00FA3856">
        <w:rPr>
          <w:rFonts w:ascii="Times New Roman" w:hAnsi="Times New Roman"/>
        </w:rPr>
        <w:t> </w:t>
      </w:r>
    </w:p>
    <w:p w:rsidR="00264296" w:rsidRPr="00FA3856" w:rsidRDefault="00264296" w:rsidP="00264296">
      <w:pPr>
        <w:pStyle w:val="PSDS-CorpodeTexto0"/>
        <w:jc w:val="both"/>
        <w:rPr>
          <w:rFonts w:ascii="Times New Roman" w:hAnsi="Times New Roman"/>
          <w:b/>
        </w:rPr>
      </w:pPr>
      <w:r w:rsidRPr="00FA3856">
        <w:rPr>
          <w:rFonts w:ascii="Times New Roman" w:hAnsi="Times New Roman"/>
          <w:b/>
        </w:rPr>
        <w:t>I.1) Base de Cálculo</w:t>
      </w:r>
    </w:p>
    <w:p w:rsidR="00264296" w:rsidRPr="00FA3856" w:rsidRDefault="00264296" w:rsidP="00264296">
      <w:pPr>
        <w:pStyle w:val="PSDS-CorpodeTexto0"/>
        <w:jc w:val="both"/>
        <w:rPr>
          <w:rFonts w:ascii="Times New Roman" w:hAnsi="Times New Roman"/>
        </w:rPr>
      </w:pPr>
    </w:p>
    <w:p w:rsidR="00264296" w:rsidRPr="00FA3856" w:rsidRDefault="00264296" w:rsidP="00264296">
      <w:pPr>
        <w:pStyle w:val="PSDS-CorpodeTexto0"/>
        <w:jc w:val="both"/>
        <w:rPr>
          <w:rFonts w:ascii="Times New Roman" w:hAnsi="Times New Roman"/>
          <w:b/>
        </w:rPr>
      </w:pPr>
      <w:r w:rsidRPr="00FA3856">
        <w:rPr>
          <w:rFonts w:ascii="Times New Roman" w:hAnsi="Times New Roman"/>
          <w:b/>
        </w:rPr>
        <w:t xml:space="preserve">I.1.1) Pessoas Jurídicas de Natureza Comercial, Industrial ou de Prestação de Serviços </w:t>
      </w:r>
    </w:p>
    <w:p w:rsidR="00264296" w:rsidRPr="00FA3856" w:rsidRDefault="00264296" w:rsidP="00264296">
      <w:pPr>
        <w:pStyle w:val="PSDS-CorpodeTexto0"/>
        <w:ind w:firstLine="708"/>
        <w:jc w:val="both"/>
        <w:rPr>
          <w:rFonts w:ascii="Times New Roman" w:hAnsi="Times New Roman"/>
        </w:rPr>
      </w:pPr>
    </w:p>
    <w:p w:rsidR="00264296" w:rsidRPr="00FA3856" w:rsidRDefault="00264296" w:rsidP="00264296">
      <w:pPr>
        <w:pStyle w:val="PSDS-CorpodeTexto0"/>
        <w:ind w:firstLine="708"/>
        <w:jc w:val="both"/>
        <w:rPr>
          <w:rFonts w:ascii="Times New Roman" w:hAnsi="Times New Roman"/>
        </w:rPr>
      </w:pPr>
      <w:r w:rsidRPr="00FA3856">
        <w:rPr>
          <w:rFonts w:ascii="Times New Roman" w:hAnsi="Times New Roman"/>
        </w:rPr>
        <w:t>A base de cálculo da CSLL, em cada mês, será determinada pela soma:</w:t>
      </w:r>
    </w:p>
    <w:p w:rsidR="00264296" w:rsidRPr="00FA3856" w:rsidRDefault="00264296" w:rsidP="00264296">
      <w:pPr>
        <w:pStyle w:val="PSDS-CorpodeTexto0"/>
        <w:ind w:firstLine="708"/>
        <w:jc w:val="both"/>
        <w:rPr>
          <w:rFonts w:ascii="Times New Roman" w:hAnsi="Times New Roman"/>
        </w:rPr>
      </w:pPr>
    </w:p>
    <w:p w:rsidR="00264296" w:rsidRPr="00FA3856" w:rsidRDefault="00264296" w:rsidP="00264296">
      <w:pPr>
        <w:pStyle w:val="PSDS-CorpodeTexto0"/>
        <w:ind w:firstLine="708"/>
        <w:jc w:val="both"/>
        <w:rPr>
          <w:rFonts w:ascii="Times New Roman" w:hAnsi="Times New Roman"/>
        </w:rPr>
      </w:pPr>
      <w:r w:rsidRPr="00FA3856">
        <w:rPr>
          <w:rFonts w:ascii="Times New Roman" w:hAnsi="Times New Roman"/>
        </w:rPr>
        <w:t>1) de 12% (doze por cento) ou de 32% (trinta e dois por cento) da receita bruta auferida no período;</w:t>
      </w:r>
    </w:p>
    <w:p w:rsidR="00264296" w:rsidRPr="00FA3856" w:rsidRDefault="00264296" w:rsidP="00264296">
      <w:pPr>
        <w:pStyle w:val="PSDS-CorpodeTexto0"/>
        <w:ind w:firstLine="708"/>
        <w:jc w:val="both"/>
        <w:rPr>
          <w:rFonts w:ascii="Times New Roman" w:hAnsi="Times New Roman"/>
        </w:rPr>
      </w:pPr>
      <w:r w:rsidRPr="00FA3856">
        <w:rPr>
          <w:rFonts w:ascii="Times New Roman" w:hAnsi="Times New Roman"/>
        </w:rPr>
        <w:t>2) dos rendimentos e ganhos líquidos auferidos em aplicações financeiras de renda fixa e renda variável;</w:t>
      </w:r>
    </w:p>
    <w:p w:rsidR="00264296" w:rsidRPr="00FA3856" w:rsidRDefault="00264296" w:rsidP="00264296">
      <w:pPr>
        <w:pStyle w:val="PSDS-CorpodeTexto0"/>
        <w:ind w:firstLine="708"/>
        <w:jc w:val="both"/>
        <w:rPr>
          <w:rFonts w:ascii="Times New Roman" w:hAnsi="Times New Roman"/>
        </w:rPr>
      </w:pPr>
      <w:r w:rsidRPr="00FA3856">
        <w:rPr>
          <w:rFonts w:ascii="Times New Roman" w:hAnsi="Times New Roman"/>
        </w:rPr>
        <w:t>3) dos ganhos de capital, das demais receitas e dos resultados positivos decorrentes de receitas não compreendidas na atividade, no mês em que forem auferidos, inclusive:</w:t>
      </w:r>
    </w:p>
    <w:p w:rsidR="00264296" w:rsidRPr="00FA3856" w:rsidRDefault="00264296" w:rsidP="00264296">
      <w:pPr>
        <w:pStyle w:val="PSDS-CorpodeTexto0"/>
        <w:ind w:firstLine="708"/>
        <w:jc w:val="both"/>
        <w:rPr>
          <w:rFonts w:ascii="Times New Roman" w:hAnsi="Times New Roman"/>
        </w:rPr>
      </w:pPr>
    </w:p>
    <w:p w:rsidR="00264296" w:rsidRPr="00FA3856" w:rsidRDefault="00264296" w:rsidP="00264296">
      <w:pPr>
        <w:pStyle w:val="PSDS-CorpodeTexto0"/>
        <w:ind w:left="708" w:firstLine="708"/>
        <w:jc w:val="both"/>
        <w:rPr>
          <w:rFonts w:ascii="Times New Roman" w:hAnsi="Times New Roman"/>
        </w:rPr>
      </w:pPr>
      <w:r w:rsidRPr="00FA3856">
        <w:rPr>
          <w:rFonts w:ascii="Times New Roman" w:hAnsi="Times New Roman"/>
        </w:rPr>
        <w:t>a) os rendimentos auferidos nas operações de mútuo realizadas entre pessoas jurídicas ou entre pessoa jurídica e pessoa física;</w:t>
      </w:r>
    </w:p>
    <w:p w:rsidR="00264296" w:rsidRPr="00FA3856" w:rsidRDefault="00264296" w:rsidP="00264296">
      <w:pPr>
        <w:pStyle w:val="PSDS-CorpodeTexto0"/>
        <w:ind w:left="1416"/>
        <w:jc w:val="both"/>
        <w:rPr>
          <w:rFonts w:ascii="Times New Roman" w:hAnsi="Times New Roman"/>
        </w:rPr>
      </w:pPr>
      <w:r w:rsidRPr="00FA3856">
        <w:rPr>
          <w:rFonts w:ascii="Times New Roman" w:hAnsi="Times New Roman"/>
        </w:rPr>
        <w:t>b) os ganhos de capital auferidos na alienação de participações societárias permanentes em sociedades coligadas e controladas, e de participações societárias que permaneceram no ativo da pessoa jurídica até o término do ano-calendário seguinte ao de suas aquisições;</w:t>
      </w:r>
    </w:p>
    <w:p w:rsidR="00264296" w:rsidRPr="00FA3856" w:rsidRDefault="00264296" w:rsidP="00264296">
      <w:pPr>
        <w:pStyle w:val="PSDS-CorpodeTexto0"/>
        <w:ind w:left="708" w:firstLine="708"/>
        <w:jc w:val="both"/>
        <w:rPr>
          <w:rFonts w:ascii="Times New Roman" w:hAnsi="Times New Roman"/>
        </w:rPr>
      </w:pPr>
      <w:r w:rsidRPr="00FA3856">
        <w:rPr>
          <w:rFonts w:ascii="Times New Roman" w:hAnsi="Times New Roman"/>
        </w:rPr>
        <w:t xml:space="preserve">c) os ganhos auferidos em operações de cobertura (hedge) realizadas em bolsas de valores, de mercadorias e de futuros ou no mercado de balcão; </w:t>
      </w:r>
    </w:p>
    <w:p w:rsidR="00264296" w:rsidRPr="00FA3856" w:rsidRDefault="00264296" w:rsidP="00264296">
      <w:pPr>
        <w:pStyle w:val="PSDS-CorpodeTexto0"/>
        <w:ind w:left="708" w:firstLine="708"/>
        <w:jc w:val="both"/>
        <w:rPr>
          <w:rFonts w:ascii="Times New Roman" w:hAnsi="Times New Roman"/>
        </w:rPr>
      </w:pPr>
      <w:r w:rsidRPr="00FA3856">
        <w:rPr>
          <w:rFonts w:ascii="Times New Roman" w:hAnsi="Times New Roman"/>
        </w:rPr>
        <w:t>d) a receita de locação de imóvel, quando não for este o objeto social da pessoa jurídica, deduzida dos encargos necessários à sua percepção;</w:t>
      </w:r>
    </w:p>
    <w:p w:rsidR="00264296" w:rsidRPr="00FA3856" w:rsidRDefault="00264296" w:rsidP="00264296">
      <w:pPr>
        <w:pStyle w:val="PSDS-CorpodeTexto0"/>
        <w:ind w:left="1416"/>
        <w:jc w:val="both"/>
        <w:rPr>
          <w:rFonts w:ascii="Times New Roman" w:hAnsi="Times New Roman"/>
        </w:rPr>
      </w:pPr>
      <w:r w:rsidRPr="00FA3856">
        <w:rPr>
          <w:rFonts w:ascii="Times New Roman" w:hAnsi="Times New Roman"/>
        </w:rPr>
        <w:t>e) os juros equivalentes à taxa referencial do Sistema Especial de Liquidação e de Custódia (Selic) para títulos federais, acumulada mensalmente, relativos a impostos e contribuições a serem restituídos ou compensados;</w:t>
      </w:r>
    </w:p>
    <w:p w:rsidR="00264296" w:rsidRPr="00FA3856" w:rsidRDefault="00264296" w:rsidP="00264296">
      <w:pPr>
        <w:pStyle w:val="PSDS-CorpodeTexto0"/>
        <w:ind w:left="1416"/>
        <w:jc w:val="both"/>
        <w:rPr>
          <w:rFonts w:ascii="Times New Roman" w:hAnsi="Times New Roman"/>
        </w:rPr>
      </w:pPr>
      <w:r w:rsidRPr="00FA3856">
        <w:rPr>
          <w:rFonts w:ascii="Times New Roman" w:hAnsi="Times New Roman"/>
        </w:rPr>
        <w:t>f) as receitas financeiras decorrentes das variações monetárias dos direitos de crédito e das obrigações do contribuinte, em função de índices ou coeficientes aplicáveis por disposição legal ou contratual;</w:t>
      </w:r>
    </w:p>
    <w:p w:rsidR="00264296" w:rsidRPr="00FA3856" w:rsidRDefault="00264296" w:rsidP="00264296">
      <w:pPr>
        <w:pStyle w:val="PSDS-CorpodeTexto0"/>
        <w:ind w:left="708" w:firstLine="708"/>
        <w:jc w:val="both"/>
        <w:rPr>
          <w:rFonts w:ascii="Times New Roman" w:hAnsi="Times New Roman"/>
        </w:rPr>
      </w:pPr>
      <w:r w:rsidRPr="00FA3856">
        <w:rPr>
          <w:rFonts w:ascii="Times New Roman" w:hAnsi="Times New Roman"/>
        </w:rPr>
        <w:t>g) os ganhos de capital auferidos na devolução de capital em bens e direitos;</w:t>
      </w:r>
    </w:p>
    <w:p w:rsidR="00264296" w:rsidRPr="00FA3856" w:rsidRDefault="00264296" w:rsidP="00264296">
      <w:pPr>
        <w:pStyle w:val="PSDS-CorpodeTexto0"/>
        <w:ind w:left="1416"/>
        <w:jc w:val="both"/>
        <w:rPr>
          <w:rFonts w:ascii="Times New Roman" w:hAnsi="Times New Roman"/>
        </w:rPr>
      </w:pPr>
      <w:r w:rsidRPr="00FA3856">
        <w:rPr>
          <w:rFonts w:ascii="Times New Roman" w:hAnsi="Times New Roman"/>
        </w:rPr>
        <w:t>h) a diferença entre o valor em dinheiro ou o valor dos bens e direitos recebidos de instituição isenta, a título de devolução de patrimônio, e o valor em dinheiro ou o valor dos bens e direitos entregue para a formação do referido patrimônio.</w:t>
      </w:r>
    </w:p>
    <w:p w:rsidR="00264296" w:rsidRPr="00FA3856" w:rsidRDefault="00264296" w:rsidP="00264296">
      <w:pPr>
        <w:pStyle w:val="PSDS-CorpodeTexto0"/>
        <w:jc w:val="both"/>
        <w:rPr>
          <w:rFonts w:ascii="Times New Roman" w:hAnsi="Times New Roman"/>
        </w:rPr>
      </w:pPr>
    </w:p>
    <w:p w:rsidR="0069384A" w:rsidRPr="00FA3856" w:rsidRDefault="0069384A" w:rsidP="00264296">
      <w:pPr>
        <w:pStyle w:val="PSDS-CorpodeTexto0"/>
        <w:jc w:val="both"/>
        <w:rPr>
          <w:rFonts w:ascii="Times New Roman" w:hAnsi="Times New Roman"/>
          <w:b/>
        </w:rPr>
      </w:pPr>
    </w:p>
    <w:p w:rsidR="0069384A" w:rsidRPr="00FA3856" w:rsidRDefault="0069384A" w:rsidP="00264296">
      <w:pPr>
        <w:pStyle w:val="PSDS-CorpodeTexto0"/>
        <w:jc w:val="both"/>
        <w:rPr>
          <w:rFonts w:ascii="Times New Roman" w:hAnsi="Times New Roman"/>
          <w:b/>
        </w:rPr>
      </w:pPr>
    </w:p>
    <w:p w:rsidR="0069384A" w:rsidRPr="00FA3856" w:rsidRDefault="0069384A" w:rsidP="00264296">
      <w:pPr>
        <w:pStyle w:val="PSDS-CorpodeTexto0"/>
        <w:jc w:val="both"/>
        <w:rPr>
          <w:rFonts w:ascii="Times New Roman" w:hAnsi="Times New Roman"/>
          <w:b/>
        </w:rPr>
      </w:pPr>
    </w:p>
    <w:p w:rsidR="0069384A" w:rsidRPr="00FA3856" w:rsidRDefault="0069384A" w:rsidP="00264296">
      <w:pPr>
        <w:pStyle w:val="PSDS-CorpodeTexto0"/>
        <w:jc w:val="both"/>
        <w:rPr>
          <w:rFonts w:ascii="Times New Roman" w:hAnsi="Times New Roman"/>
          <w:b/>
        </w:rPr>
      </w:pPr>
    </w:p>
    <w:p w:rsidR="0069384A" w:rsidRPr="00FA3856" w:rsidRDefault="0069384A" w:rsidP="00264296">
      <w:pPr>
        <w:pStyle w:val="PSDS-CorpodeTexto0"/>
        <w:jc w:val="both"/>
        <w:rPr>
          <w:rFonts w:ascii="Times New Roman" w:hAnsi="Times New Roman"/>
          <w:b/>
        </w:rPr>
      </w:pPr>
    </w:p>
    <w:p w:rsidR="00264296" w:rsidRPr="00FA3856" w:rsidRDefault="00264296" w:rsidP="00264296">
      <w:pPr>
        <w:pStyle w:val="PSDS-CorpodeTexto0"/>
        <w:jc w:val="both"/>
        <w:rPr>
          <w:rFonts w:ascii="Times New Roman" w:hAnsi="Times New Roman"/>
        </w:rPr>
      </w:pPr>
      <w:r w:rsidRPr="00FA3856">
        <w:rPr>
          <w:rFonts w:ascii="Times New Roman" w:hAnsi="Times New Roman"/>
          <w:b/>
        </w:rPr>
        <w:lastRenderedPageBreak/>
        <w:t>Atenção</w:t>
      </w:r>
      <w:r w:rsidRPr="00FA3856">
        <w:rPr>
          <w:rFonts w:ascii="Times New Roman" w:hAnsi="Times New Roman"/>
        </w:rPr>
        <w:t>:</w:t>
      </w:r>
    </w:p>
    <w:p w:rsidR="00264296" w:rsidRPr="00FA3856" w:rsidRDefault="00264296" w:rsidP="00264296">
      <w:pPr>
        <w:pStyle w:val="PSDS-CorpodeTexto0"/>
        <w:ind w:left="708"/>
        <w:jc w:val="both"/>
        <w:rPr>
          <w:rFonts w:ascii="Times New Roman" w:hAnsi="Times New Roman"/>
        </w:rPr>
      </w:pPr>
      <w:r w:rsidRPr="00FA3856">
        <w:rPr>
          <w:rFonts w:ascii="Times New Roman" w:hAnsi="Times New Roman"/>
        </w:rPr>
        <w:t>1) A partir de 1º de setembro de 2003, o percentual da receita bruta considerado para efeito de determinação da base de cálculo da CSLL, a que se refere o item 1 acima, é de 32% (trinta e dois por cento), para as atividades de:</w:t>
      </w:r>
    </w:p>
    <w:p w:rsidR="00264296" w:rsidRPr="00FA3856" w:rsidRDefault="00264296" w:rsidP="00264296">
      <w:pPr>
        <w:pStyle w:val="PSDS-CorpodeTexto0"/>
        <w:ind w:left="708" w:firstLine="708"/>
        <w:jc w:val="both"/>
        <w:rPr>
          <w:rFonts w:ascii="Times New Roman" w:hAnsi="Times New Roman"/>
        </w:rPr>
      </w:pPr>
      <w:r w:rsidRPr="00FA3856">
        <w:rPr>
          <w:rFonts w:ascii="Times New Roman" w:hAnsi="Times New Roman"/>
        </w:rPr>
        <w:t>a) prestação de serviços em geral, observado o disposto no item seguinte;</w:t>
      </w:r>
    </w:p>
    <w:p w:rsidR="00264296" w:rsidRPr="00FA3856" w:rsidRDefault="00264296" w:rsidP="00264296">
      <w:pPr>
        <w:pStyle w:val="PSDS-CorpodeTexto0"/>
        <w:ind w:left="708" w:firstLine="708"/>
        <w:jc w:val="both"/>
        <w:rPr>
          <w:rFonts w:ascii="Times New Roman" w:hAnsi="Times New Roman"/>
        </w:rPr>
      </w:pPr>
      <w:r w:rsidRPr="00FA3856">
        <w:rPr>
          <w:rFonts w:ascii="Times New Roman" w:hAnsi="Times New Roman"/>
        </w:rPr>
        <w:t>b) intermediação de negócios;</w:t>
      </w:r>
    </w:p>
    <w:p w:rsidR="00264296" w:rsidRPr="00FA3856" w:rsidRDefault="00264296" w:rsidP="00264296">
      <w:pPr>
        <w:pStyle w:val="PSDS-CorpodeTexto0"/>
        <w:ind w:left="708" w:firstLine="708"/>
        <w:jc w:val="both"/>
        <w:rPr>
          <w:rFonts w:ascii="Times New Roman" w:hAnsi="Times New Roman"/>
        </w:rPr>
      </w:pPr>
      <w:r w:rsidRPr="00FA3856">
        <w:rPr>
          <w:rFonts w:ascii="Times New Roman" w:hAnsi="Times New Roman"/>
        </w:rPr>
        <w:t>c) administração, locação ou cessão de bens imóveis, móveis e direitos de qualquer natureza;</w:t>
      </w:r>
    </w:p>
    <w:p w:rsidR="00264296" w:rsidRPr="00FA3856" w:rsidRDefault="00264296" w:rsidP="00264296">
      <w:pPr>
        <w:pStyle w:val="PSDS-CorpodeTexto0"/>
        <w:ind w:left="1416"/>
        <w:jc w:val="both"/>
        <w:rPr>
          <w:rFonts w:ascii="Times New Roman" w:hAnsi="Times New Roman"/>
        </w:rPr>
      </w:pPr>
      <w:r w:rsidRPr="00FA3856">
        <w:rPr>
          <w:rFonts w:ascii="Times New Roman" w:hAnsi="Times New Roman"/>
        </w:rPr>
        <w:t>d) prestação cumulativa e contínua de serviços de assessoria creditícia, mercadológica, gestão de crédito, seleção de riscos, administração de contas a pagar e a receber, e compra de direitos creditórios resultantes de vendas mercantis a prazo ou de prestação de serviços (factoring).</w:t>
      </w:r>
    </w:p>
    <w:p w:rsidR="00264296" w:rsidRPr="00FA3856" w:rsidRDefault="00264296" w:rsidP="00264296">
      <w:pPr>
        <w:pStyle w:val="PSDS-CorpodeTexto0"/>
        <w:ind w:firstLine="708"/>
        <w:jc w:val="both"/>
        <w:rPr>
          <w:rFonts w:ascii="Times New Roman" w:hAnsi="Times New Roman"/>
        </w:rPr>
      </w:pPr>
      <w:r w:rsidRPr="00FA3856">
        <w:rPr>
          <w:rFonts w:ascii="Times New Roman" w:hAnsi="Times New Roman"/>
        </w:rPr>
        <w:t>2) Para as atividades de prestação de serviços hospitalares e de transporte, inclusive de carga, o percentual de receita bruta a ser considerado é de 12% (doze por cento).</w:t>
      </w:r>
    </w:p>
    <w:p w:rsidR="00264296" w:rsidRPr="00FA3856" w:rsidRDefault="00264296" w:rsidP="00264296">
      <w:pPr>
        <w:pStyle w:val="PSDS-CorpodeTexto0"/>
        <w:ind w:firstLine="708"/>
        <w:jc w:val="both"/>
        <w:rPr>
          <w:rFonts w:ascii="Times New Roman" w:hAnsi="Times New Roman"/>
        </w:rPr>
      </w:pPr>
      <w:r w:rsidRPr="00FA3856">
        <w:rPr>
          <w:rFonts w:ascii="Times New Roman" w:hAnsi="Times New Roman"/>
        </w:rPr>
        <w:t>3) No caso de atividades diversificadas, será aplicado o percentual correspondente a cada atividade.</w:t>
      </w:r>
    </w:p>
    <w:p w:rsidR="00264296" w:rsidRPr="00FA3856" w:rsidRDefault="00264296" w:rsidP="00264296">
      <w:pPr>
        <w:pStyle w:val="PSDS-CorpodeTexto0"/>
        <w:ind w:left="708"/>
        <w:jc w:val="both"/>
        <w:rPr>
          <w:rFonts w:ascii="Times New Roman" w:hAnsi="Times New Roman"/>
        </w:rPr>
      </w:pPr>
      <w:r w:rsidRPr="00FA3856">
        <w:rPr>
          <w:rFonts w:ascii="Times New Roman" w:hAnsi="Times New Roman"/>
        </w:rPr>
        <w:t>4) A partir de 1º de janeiro de 2006, o percentual também passou a ser aplicado sobre a receita financeira da pessoa jurídica que explore atividades imobiliárias relativas a loteamento de terrenos, incorporação imobiliária, construção de prédios destinados à venda, bem como a venda de imóveis construídos ou adquiridos para a revenda, quando decorrente da comercialização de imóveis e for apurada por meio de índices ou coeficientes previstos em contrato. (Lei nº 11.196, de 2005, art. 34).</w:t>
      </w:r>
    </w:p>
    <w:p w:rsidR="00264296" w:rsidRPr="00FA3856" w:rsidRDefault="00264296" w:rsidP="00264296">
      <w:pPr>
        <w:pStyle w:val="PSDS-CorpodeTexto0"/>
        <w:ind w:firstLine="708"/>
        <w:jc w:val="both"/>
        <w:rPr>
          <w:rFonts w:ascii="Times New Roman" w:hAnsi="Times New Roman"/>
        </w:rPr>
      </w:pPr>
    </w:p>
    <w:p w:rsidR="00264296" w:rsidRPr="00FA3856" w:rsidRDefault="00264296" w:rsidP="00264296">
      <w:pPr>
        <w:pStyle w:val="PSDS-CorpodeTexto0"/>
        <w:ind w:firstLine="708"/>
        <w:jc w:val="both"/>
        <w:rPr>
          <w:rFonts w:ascii="Times New Roman" w:hAnsi="Times New Roman"/>
        </w:rPr>
      </w:pPr>
      <w:r w:rsidRPr="00FA3856">
        <w:rPr>
          <w:rFonts w:ascii="Times New Roman" w:hAnsi="Times New Roman"/>
        </w:rPr>
        <w:t>O ganho de capital, nas alienações de bens do ativo não-circulante, exceto realizável a longo prazo, e de ouro não considerado ativo financeiro, corresponde à diferença positiva verificada entre o valor da alienação e o respectivo valor contábil.</w:t>
      </w:r>
    </w:p>
    <w:p w:rsidR="00264296" w:rsidRPr="00FA3856" w:rsidRDefault="00264296" w:rsidP="00264296">
      <w:pPr>
        <w:pStyle w:val="PSDS-CorpodeTexto0"/>
        <w:ind w:firstLine="708"/>
        <w:jc w:val="both"/>
        <w:rPr>
          <w:rFonts w:ascii="Times New Roman" w:hAnsi="Times New Roman"/>
        </w:rPr>
      </w:pPr>
    </w:p>
    <w:p w:rsidR="00264296" w:rsidRPr="00FA3856" w:rsidRDefault="00264296" w:rsidP="00264296">
      <w:pPr>
        <w:pStyle w:val="PSDS-CorpodeTexto0"/>
        <w:ind w:firstLine="708"/>
        <w:jc w:val="both"/>
        <w:rPr>
          <w:rFonts w:ascii="Times New Roman" w:hAnsi="Times New Roman"/>
        </w:rPr>
      </w:pPr>
      <w:r w:rsidRPr="00FA3856">
        <w:rPr>
          <w:rFonts w:ascii="Times New Roman" w:hAnsi="Times New Roman"/>
        </w:rPr>
        <w:t>Para efeito de apuração do ganho de capital, considera-se valor contábil:</w:t>
      </w:r>
    </w:p>
    <w:p w:rsidR="00264296" w:rsidRPr="00FA3856" w:rsidRDefault="00264296" w:rsidP="00264296">
      <w:pPr>
        <w:pStyle w:val="PSDS-CorpodeTexto0"/>
        <w:ind w:firstLine="708"/>
        <w:jc w:val="both"/>
        <w:rPr>
          <w:rFonts w:ascii="Times New Roman" w:hAnsi="Times New Roman"/>
        </w:rPr>
      </w:pPr>
    </w:p>
    <w:p w:rsidR="00264296" w:rsidRPr="00FA3856" w:rsidRDefault="00264296" w:rsidP="00264296">
      <w:pPr>
        <w:pStyle w:val="PSDS-CorpodeTexto0"/>
        <w:ind w:firstLine="708"/>
        <w:jc w:val="both"/>
        <w:rPr>
          <w:rFonts w:ascii="Times New Roman" w:hAnsi="Times New Roman"/>
        </w:rPr>
      </w:pPr>
      <w:r w:rsidRPr="00FA3856">
        <w:rPr>
          <w:rFonts w:ascii="Times New Roman" w:hAnsi="Times New Roman"/>
        </w:rPr>
        <w:t>1) No caso de</w:t>
      </w:r>
      <w:bookmarkStart w:id="255" w:name="subitem16.3.1"/>
      <w:bookmarkEnd w:id="255"/>
      <w:r w:rsidRPr="00FA3856">
        <w:rPr>
          <w:rFonts w:ascii="Times New Roman" w:hAnsi="Times New Roman"/>
        </w:rPr>
        <w:t xml:space="preserve"> investimentos perman</w:t>
      </w:r>
      <w:bookmarkStart w:id="256" w:name="subitem16.3.1.1"/>
      <w:bookmarkEnd w:id="256"/>
      <w:r w:rsidRPr="00FA3856">
        <w:rPr>
          <w:rFonts w:ascii="Times New Roman" w:hAnsi="Times New Roman"/>
        </w:rPr>
        <w:t>entes em:</w:t>
      </w:r>
    </w:p>
    <w:p w:rsidR="00264296" w:rsidRPr="00FA3856" w:rsidRDefault="00264296" w:rsidP="00264296">
      <w:pPr>
        <w:pStyle w:val="PSDS-CorpodeTexto0"/>
        <w:ind w:left="708" w:firstLine="708"/>
        <w:jc w:val="both"/>
        <w:rPr>
          <w:rFonts w:ascii="Times New Roman" w:hAnsi="Times New Roman"/>
        </w:rPr>
      </w:pPr>
      <w:r w:rsidRPr="00FA3856">
        <w:rPr>
          <w:rFonts w:ascii="Times New Roman" w:hAnsi="Times New Roman"/>
        </w:rPr>
        <w:t>a) participações societárias avaliadas pelo custo de aquisição, o valor de aquisição;</w:t>
      </w:r>
    </w:p>
    <w:p w:rsidR="00264296" w:rsidRPr="00FA3856" w:rsidRDefault="00264296" w:rsidP="00264296">
      <w:pPr>
        <w:pStyle w:val="PSDS-CorpodeTexto0"/>
        <w:ind w:left="708" w:firstLine="708"/>
        <w:jc w:val="both"/>
        <w:rPr>
          <w:rFonts w:ascii="Times New Roman" w:hAnsi="Times New Roman"/>
        </w:rPr>
      </w:pPr>
      <w:r w:rsidRPr="00FA3856">
        <w:rPr>
          <w:rFonts w:ascii="Times New Roman" w:hAnsi="Times New Roman"/>
        </w:rPr>
        <w:t>b) participações societárias avaliadas pelo valor de patrimônio líquido, a soma algébrica dos seguintes valores:</w:t>
      </w:r>
    </w:p>
    <w:p w:rsidR="00264296" w:rsidRPr="00FA3856" w:rsidRDefault="00264296" w:rsidP="00264296">
      <w:pPr>
        <w:pStyle w:val="PSDS-CorpodeTexto0"/>
        <w:ind w:left="1416" w:firstLine="708"/>
        <w:jc w:val="both"/>
        <w:rPr>
          <w:rFonts w:ascii="Times New Roman" w:hAnsi="Times New Roman"/>
        </w:rPr>
      </w:pPr>
      <w:r w:rsidRPr="00FA3856">
        <w:rPr>
          <w:rFonts w:ascii="Times New Roman" w:hAnsi="Times New Roman"/>
        </w:rPr>
        <w:t>I. do patrimônio líquido pelo qual o investimento estiver registrado;</w:t>
      </w:r>
    </w:p>
    <w:p w:rsidR="00264296" w:rsidRPr="00FA3856" w:rsidRDefault="00264296" w:rsidP="00264296">
      <w:pPr>
        <w:pStyle w:val="PSDS-CorpodeTexto0"/>
        <w:ind w:left="1416" w:firstLine="708"/>
        <w:jc w:val="both"/>
        <w:rPr>
          <w:rFonts w:ascii="Times New Roman" w:hAnsi="Times New Roman"/>
        </w:rPr>
      </w:pPr>
      <w:r w:rsidRPr="00FA3856">
        <w:rPr>
          <w:rFonts w:ascii="Times New Roman" w:hAnsi="Times New Roman"/>
        </w:rPr>
        <w:t>II. do ágio ou deságio na aquisição do investimento;</w:t>
      </w:r>
    </w:p>
    <w:p w:rsidR="00264296" w:rsidRPr="00FA3856" w:rsidRDefault="00264296" w:rsidP="00264296">
      <w:pPr>
        <w:pStyle w:val="PSDS-CorpodeTexto0"/>
        <w:ind w:left="1416" w:firstLine="708"/>
        <w:jc w:val="both"/>
        <w:rPr>
          <w:rFonts w:ascii="Times New Roman" w:hAnsi="Times New Roman"/>
        </w:rPr>
      </w:pPr>
      <w:r w:rsidRPr="00FA3856">
        <w:rPr>
          <w:rFonts w:ascii="Times New Roman" w:hAnsi="Times New Roman"/>
        </w:rPr>
        <w:t>III. da provisão para perdas, constituída até 31 de dezembro de 1995, quando dedutível.</w:t>
      </w:r>
    </w:p>
    <w:p w:rsidR="00264296" w:rsidRPr="00FA3856" w:rsidRDefault="00264296" w:rsidP="00264296">
      <w:pPr>
        <w:pStyle w:val="PSDS-CorpodeTexto0"/>
        <w:ind w:firstLine="708"/>
        <w:jc w:val="both"/>
        <w:rPr>
          <w:rFonts w:ascii="Times New Roman" w:hAnsi="Times New Roman"/>
        </w:rPr>
      </w:pPr>
      <w:r w:rsidRPr="00FA3856">
        <w:rPr>
          <w:rFonts w:ascii="Times New Roman" w:hAnsi="Times New Roman"/>
        </w:rPr>
        <w:t>2) No caso das aplicações em ouro, não considerado ativo financeiro, o valor de aquisição;</w:t>
      </w:r>
    </w:p>
    <w:p w:rsidR="00264296" w:rsidRPr="00FA3856" w:rsidRDefault="00264296" w:rsidP="00264296">
      <w:pPr>
        <w:pStyle w:val="PSDS-CorpodeTexto0"/>
        <w:ind w:firstLine="708"/>
        <w:jc w:val="both"/>
        <w:rPr>
          <w:rFonts w:ascii="Times New Roman" w:hAnsi="Times New Roman"/>
        </w:rPr>
      </w:pPr>
      <w:r w:rsidRPr="00FA3856">
        <w:rPr>
          <w:rFonts w:ascii="Times New Roman" w:hAnsi="Times New Roman"/>
        </w:rPr>
        <w:t>3) No caso dos demais bens e direitos do ativo não-circulante, exceto realizável a longo prazo, o custo de aquisição, diminuído dos encargos de depreciação, amortização ou exaustão acumulados.</w:t>
      </w:r>
    </w:p>
    <w:p w:rsidR="00264296" w:rsidRPr="00FA3856" w:rsidRDefault="00264296" w:rsidP="00264296">
      <w:pPr>
        <w:pStyle w:val="PSDS-CorpodeTexto0"/>
        <w:ind w:firstLine="708"/>
        <w:jc w:val="both"/>
        <w:rPr>
          <w:rFonts w:ascii="Times New Roman" w:hAnsi="Times New Roman"/>
        </w:rPr>
      </w:pPr>
    </w:p>
    <w:p w:rsidR="00264296" w:rsidRPr="00FA3856" w:rsidRDefault="00264296" w:rsidP="00264296">
      <w:pPr>
        <w:pStyle w:val="PSDS-CorpodeTexto0"/>
        <w:ind w:firstLine="708"/>
        <w:jc w:val="both"/>
        <w:rPr>
          <w:rFonts w:ascii="Times New Roman" w:hAnsi="Times New Roman"/>
        </w:rPr>
      </w:pPr>
      <w:r w:rsidRPr="00FA3856">
        <w:rPr>
          <w:rFonts w:ascii="Times New Roman" w:hAnsi="Times New Roman"/>
        </w:rPr>
        <w:t>A baixa de investimento relevante e influente em sociedade coligada ou controlada deve ser precedida de avaliação pelo valor de patrimônio líquido, com base em balanço patrimonial ou balancete de verificação da coligada ou controlada, levantado na data da alienação ou liquidação ou até trinta dias, no máximo, antes dessa data.</w:t>
      </w:r>
    </w:p>
    <w:p w:rsidR="00264296" w:rsidRPr="00FA3856" w:rsidRDefault="00264296" w:rsidP="00264296">
      <w:pPr>
        <w:pStyle w:val="PSDS-CorpodeTexto0"/>
        <w:ind w:firstLine="708"/>
        <w:jc w:val="both"/>
        <w:rPr>
          <w:rFonts w:ascii="Times New Roman" w:hAnsi="Times New Roman"/>
        </w:rPr>
      </w:pPr>
    </w:p>
    <w:p w:rsidR="00264296" w:rsidRPr="00FA3856" w:rsidRDefault="00264296" w:rsidP="00264296">
      <w:pPr>
        <w:pStyle w:val="PSDS-CorpodeTexto0"/>
        <w:ind w:firstLine="708"/>
        <w:jc w:val="both"/>
        <w:rPr>
          <w:rFonts w:ascii="Times New Roman" w:hAnsi="Times New Roman"/>
        </w:rPr>
      </w:pPr>
      <w:r w:rsidRPr="00FA3856">
        <w:rPr>
          <w:rFonts w:ascii="Times New Roman" w:hAnsi="Times New Roman"/>
        </w:rPr>
        <w:t>No caso de outros bens e direitos não classificados no ativo não-circulante, exceto realizável a longo prazo, considera-se valor contábil o custo de aquisição.</w:t>
      </w:r>
    </w:p>
    <w:p w:rsidR="00264296" w:rsidRPr="00FA3856" w:rsidRDefault="00264296" w:rsidP="00264296">
      <w:pPr>
        <w:pStyle w:val="PSDS-CorpodeTexto0"/>
        <w:ind w:firstLine="708"/>
        <w:jc w:val="both"/>
        <w:rPr>
          <w:rFonts w:ascii="Times New Roman" w:hAnsi="Times New Roman"/>
        </w:rPr>
      </w:pPr>
    </w:p>
    <w:p w:rsidR="00264296" w:rsidRPr="00FA3856" w:rsidRDefault="00264296" w:rsidP="00264296">
      <w:pPr>
        <w:pStyle w:val="PSDS-CorpodeTexto0"/>
        <w:ind w:firstLine="708"/>
        <w:jc w:val="both"/>
        <w:rPr>
          <w:rFonts w:ascii="Times New Roman" w:hAnsi="Times New Roman"/>
        </w:rPr>
      </w:pPr>
      <w:r w:rsidRPr="00FA3856">
        <w:rPr>
          <w:rFonts w:ascii="Times New Roman" w:hAnsi="Times New Roman"/>
        </w:rPr>
        <w:t>O ganho de capital auferido na venda de bens do ativo não-circulante, exceto realizável a longo prazo, para recebimento do preço, no todo ou em parte, após o término do ano-calendário seguinte ao da contratação deve integrar a base de cálculo mensal da CSLL, podendo, para efeito de determinar o resultado ajustado, ser computado na proporção da parcela do preço recebida em cada mês.</w:t>
      </w:r>
    </w:p>
    <w:p w:rsidR="00264296" w:rsidRPr="00FA3856" w:rsidRDefault="00264296" w:rsidP="00264296">
      <w:pPr>
        <w:pStyle w:val="PSDS-CorpodeTexto0"/>
        <w:ind w:firstLine="708"/>
        <w:jc w:val="both"/>
        <w:rPr>
          <w:rFonts w:ascii="Times New Roman" w:hAnsi="Times New Roman"/>
        </w:rPr>
      </w:pPr>
    </w:p>
    <w:p w:rsidR="00264296" w:rsidRPr="00FA3856" w:rsidRDefault="00264296" w:rsidP="00264296">
      <w:pPr>
        <w:pStyle w:val="PSDS-CorpodeTexto0"/>
        <w:ind w:firstLine="708"/>
        <w:jc w:val="both"/>
        <w:rPr>
          <w:rFonts w:ascii="Times New Roman" w:hAnsi="Times New Roman"/>
        </w:rPr>
      </w:pPr>
      <w:r w:rsidRPr="00FA3856">
        <w:rPr>
          <w:rFonts w:ascii="Times New Roman" w:hAnsi="Times New Roman"/>
        </w:rPr>
        <w:t>As receitas financeiras decorrentes das variações monetárias dos direitos de crédito e das obrigações do contribuinte, em função da taxa de câmbio, são consideradas, para efeito de determinação da base de cálculo da CSLL, quando da liquidação da correspondente operação. À opção da pessoa jurídica, as variações monetárias podem ser consideradas segundo o regime de competência, o qual deve ser aplicado a todo o ano-calendário.</w:t>
      </w:r>
    </w:p>
    <w:p w:rsidR="00264296" w:rsidRPr="00FA3856" w:rsidRDefault="00264296" w:rsidP="0069384A">
      <w:pPr>
        <w:pStyle w:val="PSDS-CorpodeTexto0"/>
        <w:jc w:val="both"/>
        <w:rPr>
          <w:rFonts w:ascii="Times New Roman" w:hAnsi="Times New Roman"/>
        </w:rPr>
      </w:pPr>
      <w:r w:rsidRPr="00FA3856">
        <w:rPr>
          <w:rFonts w:ascii="Times New Roman" w:hAnsi="Times New Roman"/>
        </w:rPr>
        <w:t> </w:t>
      </w:r>
    </w:p>
    <w:p w:rsidR="00264296" w:rsidRPr="00FA3856" w:rsidRDefault="00264296" w:rsidP="00264296">
      <w:pPr>
        <w:pStyle w:val="PSDS-CorpodeTexto0"/>
        <w:jc w:val="both"/>
        <w:rPr>
          <w:rFonts w:ascii="Times New Roman" w:hAnsi="Times New Roman"/>
          <w:b/>
        </w:rPr>
      </w:pPr>
      <w:r w:rsidRPr="00FA3856">
        <w:rPr>
          <w:rFonts w:ascii="Times New Roman" w:hAnsi="Times New Roman"/>
          <w:b/>
        </w:rPr>
        <w:lastRenderedPageBreak/>
        <w:t>I.1.2) Efeito dos Balanços de Suspensão ou Redução no Pagamento da CSLL</w:t>
      </w:r>
    </w:p>
    <w:p w:rsidR="00264296" w:rsidRPr="00FA3856" w:rsidRDefault="00264296" w:rsidP="00264296">
      <w:pPr>
        <w:pStyle w:val="PSDS-CorpodeTexto0"/>
        <w:ind w:firstLine="708"/>
        <w:jc w:val="both"/>
        <w:rPr>
          <w:rFonts w:ascii="Times New Roman" w:hAnsi="Times New Roman"/>
        </w:rPr>
      </w:pPr>
    </w:p>
    <w:p w:rsidR="00264296" w:rsidRPr="00FA3856" w:rsidRDefault="00264296" w:rsidP="00264296">
      <w:pPr>
        <w:pStyle w:val="PSDS-CorpodeTexto0"/>
        <w:ind w:firstLine="708"/>
        <w:jc w:val="both"/>
        <w:rPr>
          <w:rFonts w:ascii="Times New Roman" w:hAnsi="Times New Roman"/>
        </w:rPr>
      </w:pPr>
      <w:r w:rsidRPr="00FA3856">
        <w:rPr>
          <w:rFonts w:ascii="Times New Roman" w:hAnsi="Times New Roman"/>
        </w:rPr>
        <w:t>A mesma forma de tributação adotada pela pessoa jurídica, para fins de apuração do imposto de renda, deve ser empregada para fins de apuração da CSLL.</w:t>
      </w:r>
    </w:p>
    <w:p w:rsidR="00264296" w:rsidRPr="00FA3856" w:rsidRDefault="00264296" w:rsidP="00264296">
      <w:pPr>
        <w:pStyle w:val="PSDS-CorpodeTexto0"/>
        <w:ind w:firstLine="708"/>
        <w:jc w:val="both"/>
        <w:rPr>
          <w:rFonts w:ascii="Times New Roman" w:hAnsi="Times New Roman"/>
        </w:rPr>
      </w:pPr>
    </w:p>
    <w:p w:rsidR="00264296" w:rsidRPr="00FA3856" w:rsidRDefault="00264296" w:rsidP="00264296">
      <w:pPr>
        <w:pStyle w:val="PSDS-CorpodeTexto0"/>
        <w:ind w:firstLine="708"/>
        <w:jc w:val="both"/>
        <w:rPr>
          <w:rFonts w:ascii="Times New Roman" w:hAnsi="Times New Roman"/>
        </w:rPr>
      </w:pPr>
      <w:r w:rsidRPr="00FA3856">
        <w:rPr>
          <w:rFonts w:ascii="Times New Roman" w:hAnsi="Times New Roman"/>
        </w:rPr>
        <w:t>Assim, a pessoa jurídica que levantou balanço ou balancete para suspender ou reduzir o pagamento do imposto de renda, em determinado mês do ano-calendário, deve apurar a base de cálculo da CSLL sobre o resultado do período apurado nesse mesmo balanço, ajustado pelas adições determinadas, pelas exclusões permitidas e pelas compensações de base de cálculo negativa da CSLL, observados os limites definidos na legislação pertinente.</w:t>
      </w:r>
    </w:p>
    <w:p w:rsidR="00264296" w:rsidRPr="00FA3856" w:rsidRDefault="00264296" w:rsidP="00264296">
      <w:pPr>
        <w:pStyle w:val="PSDS-CorpodeTexto0"/>
        <w:ind w:firstLine="708"/>
        <w:jc w:val="both"/>
        <w:rPr>
          <w:rFonts w:ascii="Times New Roman" w:hAnsi="Times New Roman"/>
        </w:rPr>
      </w:pPr>
    </w:p>
    <w:p w:rsidR="00264296" w:rsidRPr="00FA3856" w:rsidRDefault="00264296" w:rsidP="00264296">
      <w:pPr>
        <w:pStyle w:val="PSDS-CorpodeTexto0"/>
        <w:ind w:firstLine="708"/>
        <w:jc w:val="both"/>
        <w:rPr>
          <w:rFonts w:ascii="Times New Roman" w:hAnsi="Times New Roman"/>
        </w:rPr>
      </w:pPr>
      <w:r w:rsidRPr="00FA3856">
        <w:rPr>
          <w:rFonts w:ascii="Times New Roman" w:hAnsi="Times New Roman"/>
        </w:rPr>
        <w:t>A pessoa jurídica que levantar balanço ou balancete de suspensão ou redução do pagamento do IRPJ e da CSLL em 31 de dezembro deve computar os lucros, oriundos do exterior, disponibilizados nos termos do art. 1º da Lei nº 9.532, de 1997, observado o disposto no art. 74 da Medida Provisória nº 2.158-35 de 24 de agosto de 2001. A pessoa jurídica deve computar também os rendimentos e ganhos de capital, auferidos no exterior, nesse balanço ou balancete, para fins de incidência da CSLL.</w:t>
      </w:r>
    </w:p>
    <w:p w:rsidR="00973E1F" w:rsidRPr="00FA3856" w:rsidRDefault="00973E1F" w:rsidP="00264296">
      <w:pPr>
        <w:pStyle w:val="PSDS-CorpodeTexto0"/>
        <w:ind w:firstLine="708"/>
        <w:jc w:val="both"/>
        <w:rPr>
          <w:rFonts w:ascii="Times New Roman" w:hAnsi="Times New Roman"/>
        </w:rPr>
      </w:pPr>
    </w:p>
    <w:p w:rsidR="00973E1F" w:rsidRPr="00FA3856" w:rsidRDefault="00973E1F" w:rsidP="00264296">
      <w:pPr>
        <w:pStyle w:val="PSDS-CorpodeTexto0"/>
        <w:ind w:firstLine="708"/>
        <w:jc w:val="both"/>
        <w:rPr>
          <w:rFonts w:ascii="Times New Roman" w:hAnsi="Times New Roman"/>
        </w:rPr>
      </w:pPr>
      <w:r w:rsidRPr="00FA3856">
        <w:rPr>
          <w:rFonts w:ascii="Times New Roman" w:hAnsi="Times New Roman"/>
        </w:rPr>
        <w:t>Informações detalhadas sobre balanço de suspensão ou redução do pagamento do IRPJ e da CSLL podem ser encontradas nas explicações iniciais do Bloco L.</w:t>
      </w:r>
    </w:p>
    <w:p w:rsidR="004148A9" w:rsidRDefault="00264296" w:rsidP="00A61625">
      <w:pPr>
        <w:pStyle w:val="PSDS-CorpodeTexto0"/>
        <w:jc w:val="both"/>
        <w:rPr>
          <w:rFonts w:ascii="Times New Roman" w:hAnsi="Times New Roman"/>
        </w:rPr>
      </w:pPr>
      <w:r w:rsidRPr="00FA3856">
        <w:rPr>
          <w:rFonts w:ascii="Times New Roman" w:hAnsi="Times New Roman"/>
        </w:rPr>
        <w:t> </w:t>
      </w:r>
    </w:p>
    <w:p w:rsidR="00A61625" w:rsidRPr="00FA3856" w:rsidRDefault="00B35FA3" w:rsidP="00A61625">
      <w:pPr>
        <w:pStyle w:val="PSDS-CorpodeTexto0"/>
        <w:jc w:val="center"/>
        <w:rPr>
          <w:rFonts w:ascii="Times New Roman" w:hAnsi="Times New Roman"/>
        </w:rPr>
      </w:pPr>
      <w:r>
        <w:rPr>
          <w:rFonts w:ascii="Times New Roman" w:hAnsi="Times New Roman"/>
        </w:rPr>
        <w:object w:dxaOrig="13890" w:dyaOrig="4665">
          <v:shape id="_x0000_i1761" type="#_x0000_t75" style="width:690.75pt;height:230.25pt" o:ole="">
            <v:imagedata r:id="rId398" o:title=""/>
          </v:shape>
          <o:OLEObject Type="Link" ProgID="Excel.Sheet.12" ShapeID="_x0000_i1761" DrawAspect="Content" r:id="rId399" UpdateMode="Always">
            <o:LinkType>EnhancedMetaFile</o:LinkType>
            <o:LockedField>false</o:LockedField>
          </o:OLEObject>
        </w:object>
      </w:r>
    </w:p>
    <w:p w:rsidR="00A61625" w:rsidRDefault="00A61625" w:rsidP="004177C3">
      <w:pPr>
        <w:pStyle w:val="PSDS-MarcadoresNivel2"/>
        <w:numPr>
          <w:ilvl w:val="0"/>
          <w:numId w:val="0"/>
        </w:numPr>
        <w:rPr>
          <w:rFonts w:ascii="Times New Roman" w:hAnsi="Times New Roman"/>
        </w:rPr>
      </w:pPr>
    </w:p>
    <w:p w:rsidR="00A61625" w:rsidRDefault="00A61625">
      <w:pPr>
        <w:spacing w:after="200" w:line="276" w:lineRule="auto"/>
        <w:rPr>
          <w:b/>
          <w:szCs w:val="20"/>
        </w:rPr>
      </w:pPr>
      <w:r>
        <w:br w:type="page"/>
      </w:r>
    </w:p>
    <w:p w:rsidR="004177C3" w:rsidRPr="00FA3856" w:rsidRDefault="004177C3" w:rsidP="004177C3">
      <w:pPr>
        <w:pStyle w:val="PSDS-MarcadoresNivel2"/>
        <w:numPr>
          <w:ilvl w:val="0"/>
          <w:numId w:val="0"/>
        </w:numPr>
        <w:rPr>
          <w:rFonts w:ascii="Times New Roman" w:hAnsi="Times New Roman"/>
        </w:rPr>
      </w:pPr>
      <w:r w:rsidRPr="00FA3856">
        <w:rPr>
          <w:rFonts w:ascii="Times New Roman" w:hAnsi="Times New Roman"/>
        </w:rPr>
        <w:lastRenderedPageBreak/>
        <w:t>I – Regras de Validação do Registro:</w:t>
      </w:r>
    </w:p>
    <w:p w:rsidR="004177C3" w:rsidRPr="00FA3856" w:rsidRDefault="004177C3" w:rsidP="004177C3">
      <w:pPr>
        <w:pStyle w:val="Corpodetexto"/>
        <w:ind w:left="708" w:firstLine="12"/>
        <w:rPr>
          <w:rFonts w:ascii="Times New Roman" w:hAnsi="Times New Roman"/>
          <w:szCs w:val="20"/>
        </w:rPr>
      </w:pPr>
    </w:p>
    <w:p w:rsidR="00FE5D23" w:rsidRPr="00FA3856" w:rsidRDefault="007D0E74" w:rsidP="00FE5D23">
      <w:pPr>
        <w:pStyle w:val="Corpodetexto"/>
        <w:ind w:left="708" w:firstLine="12"/>
        <w:rPr>
          <w:rFonts w:ascii="Times New Roman" w:hAnsi="Times New Roman"/>
          <w:szCs w:val="20"/>
        </w:rPr>
      </w:pPr>
      <w:hyperlink r:id="rId400" w:anchor="REGRA_OCORRENCIA_UNITARIA_ARQ" w:history="1">
        <w:r w:rsidR="00FE5D23" w:rsidRPr="00FA3856">
          <w:rPr>
            <w:rFonts w:ascii="Times New Roman" w:hAnsi="Times New Roman"/>
            <w:b/>
            <w:szCs w:val="20"/>
          </w:rPr>
          <w:t>REGRA_</w:t>
        </w:r>
      </w:hyperlink>
      <w:r w:rsidR="00FE5D23" w:rsidRPr="00FA3856">
        <w:rPr>
          <w:rFonts w:ascii="Times New Roman" w:hAnsi="Times New Roman"/>
          <w:b/>
          <w:szCs w:val="20"/>
        </w:rPr>
        <w:t>DUPLICIDADE_DESPREZADA</w:t>
      </w:r>
      <w:r w:rsidR="00FE5D23" w:rsidRPr="00FA3856">
        <w:rPr>
          <w:rFonts w:ascii="Times New Roman" w:hAnsi="Times New Roman"/>
          <w:color w:val="auto"/>
          <w:szCs w:val="20"/>
        </w:rPr>
        <w:t xml:space="preserve">: </w:t>
      </w:r>
      <w:r w:rsidR="00FE5D23" w:rsidRPr="00FA3856">
        <w:rPr>
          <w:rFonts w:ascii="Times New Roman" w:hAnsi="Times New Roman"/>
          <w:szCs w:val="20"/>
        </w:rPr>
        <w:t>Verifica se o registro já foi importado anteriormente, de acordo com a chave e os registros pais. Se a regra não for cumprida, a ECF gera um aviso.</w:t>
      </w:r>
    </w:p>
    <w:p w:rsidR="00FE5D23" w:rsidRPr="00FA3856" w:rsidRDefault="00FE5D23" w:rsidP="00FE5D23">
      <w:pPr>
        <w:pStyle w:val="Corpodetexto"/>
        <w:ind w:left="708" w:firstLine="12"/>
        <w:rPr>
          <w:rFonts w:ascii="Times New Roman" w:hAnsi="Times New Roman"/>
          <w:szCs w:val="20"/>
        </w:rPr>
      </w:pPr>
    </w:p>
    <w:p w:rsidR="00FE5D23" w:rsidRPr="00FA3856" w:rsidRDefault="007D0E74" w:rsidP="00FE5D23">
      <w:pPr>
        <w:pStyle w:val="Corpodetexto"/>
        <w:ind w:left="708" w:firstLine="12"/>
        <w:rPr>
          <w:rFonts w:ascii="Times New Roman" w:hAnsi="Times New Roman"/>
          <w:szCs w:val="20"/>
        </w:rPr>
      </w:pPr>
      <w:hyperlink r:id="rId401" w:anchor="REGRA_OCORRENCIA_UNITARIA_ARQ" w:history="1">
        <w:r w:rsidR="00FE5D23" w:rsidRPr="00FA3856">
          <w:rPr>
            <w:rFonts w:ascii="Times New Roman" w:hAnsi="Times New Roman"/>
            <w:b/>
            <w:szCs w:val="20"/>
          </w:rPr>
          <w:t>REGRA_</w:t>
        </w:r>
      </w:hyperlink>
      <w:r w:rsidR="00FE5D23" w:rsidRPr="00FA3856">
        <w:rPr>
          <w:rFonts w:ascii="Times New Roman" w:hAnsi="Times New Roman"/>
          <w:b/>
          <w:szCs w:val="20"/>
        </w:rPr>
        <w:t>LINHA_DESPREZADA</w:t>
      </w:r>
      <w:r w:rsidR="00FE5D23" w:rsidRPr="00FA3856">
        <w:rPr>
          <w:rFonts w:ascii="Times New Roman" w:hAnsi="Times New Roman"/>
          <w:color w:val="auto"/>
          <w:szCs w:val="20"/>
        </w:rPr>
        <w:t xml:space="preserve">: </w:t>
      </w:r>
      <w:r w:rsidR="00FE5D23" w:rsidRPr="00FA3856">
        <w:rPr>
          <w:rFonts w:ascii="Times New Roman" w:hAnsi="Times New Roman"/>
          <w:szCs w:val="20"/>
        </w:rPr>
        <w:t>Verifica se o registro existe na importação, mas não será importado por não existir na tabela dinâmica devido às configurações do bloco 0 ou da tabela dinâmica. Gera um aviso.</w:t>
      </w:r>
    </w:p>
    <w:p w:rsidR="00FE5D23" w:rsidRPr="00FA3856" w:rsidRDefault="00FE5D23" w:rsidP="00FE5D23">
      <w:pPr>
        <w:pStyle w:val="Corpodetexto"/>
        <w:ind w:left="708" w:firstLine="12"/>
        <w:rPr>
          <w:rFonts w:ascii="Times New Roman" w:hAnsi="Times New Roman"/>
          <w:b/>
          <w:szCs w:val="20"/>
        </w:rPr>
      </w:pPr>
    </w:p>
    <w:p w:rsidR="00FE5D23" w:rsidRPr="00FA3856" w:rsidRDefault="007D0E74" w:rsidP="00FE5D23">
      <w:pPr>
        <w:pStyle w:val="Corpodetexto"/>
        <w:ind w:left="708" w:firstLine="12"/>
        <w:rPr>
          <w:rFonts w:ascii="Times New Roman" w:hAnsi="Times New Roman"/>
          <w:b/>
          <w:szCs w:val="20"/>
        </w:rPr>
      </w:pPr>
      <w:hyperlink r:id="rId402" w:anchor="REGRA_OCORRENCIA_UNITARIA_ARQ" w:history="1">
        <w:r w:rsidR="00FE5D23" w:rsidRPr="00FA3856">
          <w:rPr>
            <w:rFonts w:ascii="Times New Roman" w:hAnsi="Times New Roman"/>
            <w:b/>
            <w:szCs w:val="20"/>
          </w:rPr>
          <w:t>REGRA_</w:t>
        </w:r>
      </w:hyperlink>
      <w:r w:rsidR="00FE5D23" w:rsidRPr="00FA3856">
        <w:rPr>
          <w:rFonts w:ascii="Times New Roman" w:hAnsi="Times New Roman"/>
          <w:b/>
          <w:szCs w:val="20"/>
        </w:rPr>
        <w:t>LINHA_ATUALIZADA</w:t>
      </w:r>
      <w:r w:rsidR="00FE5D23" w:rsidRPr="00FA3856">
        <w:rPr>
          <w:rFonts w:ascii="Times New Roman" w:hAnsi="Times New Roman"/>
          <w:color w:val="auto"/>
          <w:szCs w:val="20"/>
        </w:rPr>
        <w:t xml:space="preserve">: </w:t>
      </w:r>
      <w:r w:rsidR="00FE5D23" w:rsidRPr="00FA3856">
        <w:rPr>
          <w:rFonts w:ascii="Times New Roman" w:hAnsi="Times New Roman"/>
          <w:szCs w:val="20"/>
        </w:rPr>
        <w:t>Verifica se o registro está desatualizado em relação à tabela da RFB. Gera um aviso.</w:t>
      </w:r>
    </w:p>
    <w:p w:rsidR="004177C3" w:rsidRPr="00FA3856" w:rsidRDefault="004177C3" w:rsidP="00A95DCA">
      <w:pPr>
        <w:rPr>
          <w:szCs w:val="20"/>
          <w:lang w:val="pt-PT"/>
        </w:rPr>
      </w:pPr>
    </w:p>
    <w:p w:rsidR="00A95DCA" w:rsidRPr="00FA3856" w:rsidRDefault="004177C3" w:rsidP="00A95DCA">
      <w:pPr>
        <w:rPr>
          <w:b/>
          <w:szCs w:val="20"/>
          <w:lang w:val="pt-PT"/>
        </w:rPr>
      </w:pPr>
      <w:r w:rsidRPr="00FA3856">
        <w:rPr>
          <w:b/>
          <w:szCs w:val="20"/>
          <w:lang w:val="pt-PT"/>
        </w:rPr>
        <w:t>I</w:t>
      </w:r>
      <w:r w:rsidR="00A95DCA" w:rsidRPr="00FA3856">
        <w:rPr>
          <w:b/>
          <w:szCs w:val="20"/>
          <w:lang w:val="pt-PT"/>
        </w:rPr>
        <w:t>I – Regras de Validação de Campos:</w:t>
      </w:r>
    </w:p>
    <w:p w:rsidR="00A95DCA" w:rsidRPr="00FA3856" w:rsidRDefault="00A95DCA" w:rsidP="00A95DCA">
      <w:pPr>
        <w:rPr>
          <w:b/>
          <w:szCs w:val="20"/>
          <w:lang w:val="pt-PT"/>
        </w:rPr>
      </w:pPr>
    </w:p>
    <w:tbl>
      <w:tblPr>
        <w:tblW w:w="15367"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85"/>
        <w:gridCol w:w="3000"/>
        <w:gridCol w:w="11165"/>
        <w:gridCol w:w="717"/>
      </w:tblGrid>
      <w:tr w:rsidR="00A95DCA" w:rsidRPr="00FA3856" w:rsidTr="00264296">
        <w:trPr>
          <w:jc w:val="center"/>
        </w:trPr>
        <w:tc>
          <w:tcPr>
            <w:tcW w:w="485" w:type="dxa"/>
            <w:tcBorders>
              <w:top w:val="single" w:sz="6" w:space="0" w:color="auto"/>
              <w:left w:val="single" w:sz="6" w:space="0" w:color="auto"/>
              <w:bottom w:val="single" w:sz="6" w:space="0" w:color="auto"/>
              <w:right w:val="single" w:sz="6" w:space="0" w:color="auto"/>
            </w:tcBorders>
            <w:shd w:val="pct10" w:color="auto" w:fill="FFFFFF"/>
          </w:tcPr>
          <w:p w:rsidR="00A95DCA" w:rsidRPr="00FA3856" w:rsidRDefault="00A95DCA" w:rsidP="008C16B2">
            <w:pPr>
              <w:pStyle w:val="PSDS-CorpodeTexto0"/>
              <w:jc w:val="center"/>
              <w:rPr>
                <w:rFonts w:ascii="Times New Roman" w:hAnsi="Times New Roman"/>
                <w:b/>
                <w:bCs/>
              </w:rPr>
            </w:pPr>
            <w:r w:rsidRPr="00FA3856">
              <w:rPr>
                <w:rFonts w:ascii="Times New Roman" w:hAnsi="Times New Roman"/>
                <w:b/>
                <w:bCs/>
              </w:rPr>
              <w:t>Nº</w:t>
            </w:r>
          </w:p>
        </w:tc>
        <w:tc>
          <w:tcPr>
            <w:tcW w:w="3000" w:type="dxa"/>
            <w:tcBorders>
              <w:top w:val="single" w:sz="6" w:space="0" w:color="auto"/>
              <w:left w:val="single" w:sz="6" w:space="0" w:color="auto"/>
              <w:bottom w:val="single" w:sz="6" w:space="0" w:color="auto"/>
              <w:right w:val="single" w:sz="6" w:space="0" w:color="auto"/>
            </w:tcBorders>
            <w:shd w:val="pct10" w:color="auto" w:fill="FFFFFF"/>
          </w:tcPr>
          <w:p w:rsidR="00A95DCA" w:rsidRPr="00FA3856" w:rsidRDefault="00A95DCA" w:rsidP="008C16B2">
            <w:pPr>
              <w:pStyle w:val="PSDS-CorpodeTexto0"/>
              <w:jc w:val="center"/>
              <w:rPr>
                <w:rFonts w:ascii="Times New Roman" w:hAnsi="Times New Roman"/>
                <w:b/>
                <w:bCs/>
              </w:rPr>
            </w:pPr>
            <w:r w:rsidRPr="00FA3856">
              <w:rPr>
                <w:rFonts w:ascii="Times New Roman" w:hAnsi="Times New Roman"/>
                <w:b/>
                <w:bCs/>
              </w:rPr>
              <w:t>Campo</w:t>
            </w:r>
          </w:p>
        </w:tc>
        <w:tc>
          <w:tcPr>
            <w:tcW w:w="11165" w:type="dxa"/>
            <w:tcBorders>
              <w:top w:val="single" w:sz="6" w:space="0" w:color="auto"/>
              <w:left w:val="single" w:sz="6" w:space="0" w:color="auto"/>
              <w:bottom w:val="single" w:sz="6" w:space="0" w:color="auto"/>
              <w:right w:val="single" w:sz="6" w:space="0" w:color="auto"/>
            </w:tcBorders>
            <w:shd w:val="pct10" w:color="auto" w:fill="FFFFFF"/>
          </w:tcPr>
          <w:p w:rsidR="00A95DCA" w:rsidRPr="00FA3856" w:rsidRDefault="00A95DCA" w:rsidP="008C16B2">
            <w:pPr>
              <w:pStyle w:val="PSDS-CorpodeTexto0"/>
              <w:jc w:val="center"/>
              <w:rPr>
                <w:rFonts w:ascii="Times New Roman" w:hAnsi="Times New Roman"/>
                <w:b/>
                <w:bCs/>
              </w:rPr>
            </w:pPr>
            <w:r w:rsidRPr="00FA3856">
              <w:rPr>
                <w:rFonts w:ascii="Times New Roman" w:hAnsi="Times New Roman"/>
                <w:b/>
                <w:bCs/>
              </w:rPr>
              <w:t>Regras de Validação do Campo</w:t>
            </w:r>
          </w:p>
        </w:tc>
        <w:tc>
          <w:tcPr>
            <w:tcW w:w="717" w:type="dxa"/>
            <w:tcBorders>
              <w:top w:val="single" w:sz="6" w:space="0" w:color="auto"/>
              <w:left w:val="single" w:sz="6" w:space="0" w:color="auto"/>
              <w:bottom w:val="single" w:sz="6" w:space="0" w:color="auto"/>
              <w:right w:val="single" w:sz="6" w:space="0" w:color="auto"/>
            </w:tcBorders>
            <w:shd w:val="pct10" w:color="auto" w:fill="FFFFFF"/>
          </w:tcPr>
          <w:p w:rsidR="00A95DCA" w:rsidRPr="00FA3856" w:rsidRDefault="00A95DCA" w:rsidP="008C16B2">
            <w:pPr>
              <w:pStyle w:val="PSDS-CorpodeTexto0"/>
              <w:jc w:val="center"/>
              <w:rPr>
                <w:rFonts w:ascii="Times New Roman" w:hAnsi="Times New Roman"/>
                <w:b/>
                <w:bCs/>
              </w:rPr>
            </w:pPr>
            <w:r w:rsidRPr="00FA3856">
              <w:rPr>
                <w:rFonts w:ascii="Times New Roman" w:hAnsi="Times New Roman"/>
                <w:b/>
                <w:bCs/>
              </w:rPr>
              <w:t>Tipo</w:t>
            </w:r>
          </w:p>
        </w:tc>
      </w:tr>
      <w:tr w:rsidR="0012324D" w:rsidRPr="00FA3856" w:rsidTr="00264296">
        <w:trPr>
          <w:jc w:val="center"/>
        </w:trPr>
        <w:tc>
          <w:tcPr>
            <w:tcW w:w="485" w:type="dxa"/>
            <w:tcBorders>
              <w:top w:val="single" w:sz="6" w:space="0" w:color="auto"/>
              <w:left w:val="single" w:sz="6" w:space="0" w:color="auto"/>
              <w:bottom w:val="single" w:sz="6" w:space="0" w:color="auto"/>
              <w:right w:val="single" w:sz="6" w:space="0" w:color="auto"/>
            </w:tcBorders>
          </w:tcPr>
          <w:p w:rsidR="0012324D" w:rsidRPr="00FA3856" w:rsidRDefault="0012324D" w:rsidP="0012324D">
            <w:pPr>
              <w:pStyle w:val="PSDS-CorpodeTexto0"/>
              <w:suppressAutoHyphens w:val="0"/>
              <w:rPr>
                <w:rFonts w:ascii="Times New Roman" w:hAnsi="Times New Roman"/>
                <w:b/>
                <w:bCs/>
                <w:lang w:val="pt-PT"/>
              </w:rPr>
            </w:pPr>
            <w:r w:rsidRPr="00FA3856">
              <w:rPr>
                <w:rFonts w:ascii="Times New Roman" w:hAnsi="Times New Roman"/>
                <w:b/>
                <w:bCs/>
                <w:lang w:val="pt-PT"/>
              </w:rPr>
              <w:t>4</w:t>
            </w:r>
          </w:p>
        </w:tc>
        <w:tc>
          <w:tcPr>
            <w:tcW w:w="3000" w:type="dxa"/>
            <w:tcBorders>
              <w:top w:val="single" w:sz="6" w:space="0" w:color="auto"/>
              <w:left w:val="single" w:sz="6" w:space="0" w:color="auto"/>
              <w:bottom w:val="single" w:sz="6" w:space="0" w:color="auto"/>
              <w:right w:val="single" w:sz="6" w:space="0" w:color="auto"/>
            </w:tcBorders>
          </w:tcPr>
          <w:p w:rsidR="0012324D" w:rsidRPr="00FA3856" w:rsidRDefault="0012324D" w:rsidP="0012324D">
            <w:pPr>
              <w:pStyle w:val="PSDS-CorpodeTexto0"/>
              <w:rPr>
                <w:rFonts w:ascii="Times New Roman" w:hAnsi="Times New Roman"/>
              </w:rPr>
            </w:pPr>
            <w:r w:rsidRPr="00FA3856">
              <w:rPr>
                <w:rFonts w:ascii="Times New Roman" w:hAnsi="Times New Roman"/>
              </w:rPr>
              <w:t>VALOR</w:t>
            </w:r>
          </w:p>
        </w:tc>
        <w:tc>
          <w:tcPr>
            <w:tcW w:w="11165" w:type="dxa"/>
            <w:tcBorders>
              <w:top w:val="single" w:sz="6" w:space="0" w:color="auto"/>
              <w:left w:val="single" w:sz="6" w:space="0" w:color="auto"/>
              <w:bottom w:val="single" w:sz="6" w:space="0" w:color="auto"/>
              <w:right w:val="single" w:sz="6" w:space="0" w:color="auto"/>
            </w:tcBorders>
          </w:tcPr>
          <w:p w:rsidR="0012324D" w:rsidRPr="00FA3856" w:rsidRDefault="0012324D" w:rsidP="0012324D">
            <w:pPr>
              <w:pStyle w:val="Corpodetexto"/>
              <w:rPr>
                <w:rFonts w:ascii="Times New Roman" w:hAnsi="Times New Roman"/>
                <w:szCs w:val="20"/>
              </w:rPr>
            </w:pPr>
            <w:r w:rsidRPr="00FA3856">
              <w:rPr>
                <w:rFonts w:ascii="Times New Roman" w:hAnsi="Times New Roman"/>
                <w:b/>
                <w:bCs/>
                <w:szCs w:val="20"/>
              </w:rPr>
              <w:t>REGRA_OBRIGATORIO_TIPO_DIFERENTE_R</w:t>
            </w:r>
            <w:r w:rsidRPr="00FA3856">
              <w:rPr>
                <w:rFonts w:ascii="Times New Roman" w:hAnsi="Times New Roman"/>
                <w:szCs w:val="20"/>
              </w:rPr>
              <w:t xml:space="preserve">: </w:t>
            </w:r>
            <w:r w:rsidRPr="00FA3856">
              <w:rPr>
                <w:rStyle w:val="Hyperlink"/>
                <w:rFonts w:ascii="Times New Roman" w:hAnsi="Times New Roman"/>
                <w:bCs/>
                <w:color w:val="auto"/>
                <w:szCs w:val="20"/>
                <w:lang w:val="pt-PT"/>
              </w:rPr>
              <w:t xml:space="preserve">Verifica se o campo está preenchido quando o tipo da linha </w:t>
            </w:r>
            <w:r w:rsidR="001B58FE" w:rsidRPr="00FA3856">
              <w:rPr>
                <w:rStyle w:val="Hyperlink"/>
                <w:rFonts w:ascii="Times New Roman" w:hAnsi="Times New Roman"/>
                <w:bCs/>
                <w:color w:val="auto"/>
                <w:szCs w:val="20"/>
                <w:lang w:val="pt-PT"/>
              </w:rPr>
              <w:t>é diferente</w:t>
            </w:r>
            <w:r w:rsidRPr="00FA3856">
              <w:rPr>
                <w:rStyle w:val="Hyperlink"/>
                <w:rFonts w:ascii="Times New Roman" w:hAnsi="Times New Roman"/>
                <w:bCs/>
                <w:color w:val="auto"/>
                <w:szCs w:val="20"/>
                <w:lang w:val="pt-PT"/>
              </w:rPr>
              <w:t xml:space="preserve"> de “R”.</w:t>
            </w:r>
          </w:p>
        </w:tc>
        <w:tc>
          <w:tcPr>
            <w:tcW w:w="717" w:type="dxa"/>
            <w:tcBorders>
              <w:top w:val="single" w:sz="6" w:space="0" w:color="auto"/>
              <w:left w:val="single" w:sz="6" w:space="0" w:color="auto"/>
              <w:bottom w:val="single" w:sz="6" w:space="0" w:color="auto"/>
              <w:right w:val="single" w:sz="6" w:space="0" w:color="auto"/>
            </w:tcBorders>
          </w:tcPr>
          <w:p w:rsidR="0012324D" w:rsidRPr="00FA3856" w:rsidRDefault="0012324D" w:rsidP="0012324D">
            <w:pPr>
              <w:pStyle w:val="PSDS-CorpodeTexto0"/>
              <w:rPr>
                <w:rFonts w:ascii="Times New Roman" w:hAnsi="Times New Roman"/>
              </w:rPr>
            </w:pPr>
            <w:r w:rsidRPr="00FA3856">
              <w:rPr>
                <w:rFonts w:ascii="Times New Roman" w:hAnsi="Times New Roman"/>
              </w:rPr>
              <w:t>Erro</w:t>
            </w:r>
          </w:p>
          <w:p w:rsidR="0012324D" w:rsidRPr="00FA3856" w:rsidRDefault="0012324D" w:rsidP="0012324D">
            <w:pPr>
              <w:pStyle w:val="PSDS-CorpodeTexto0"/>
              <w:rPr>
                <w:rFonts w:ascii="Times New Roman" w:hAnsi="Times New Roman"/>
              </w:rPr>
            </w:pPr>
          </w:p>
        </w:tc>
      </w:tr>
    </w:tbl>
    <w:p w:rsidR="002E6F04" w:rsidRPr="00FA3856" w:rsidRDefault="002E6F04" w:rsidP="00B573DD">
      <w:pPr>
        <w:rPr>
          <w:szCs w:val="20"/>
        </w:rPr>
      </w:pPr>
    </w:p>
    <w:p w:rsidR="00264296" w:rsidRPr="00FA3856" w:rsidRDefault="004177C3" w:rsidP="001A3CDB">
      <w:pPr>
        <w:rPr>
          <w:b/>
          <w:szCs w:val="20"/>
          <w:lang w:val="pt-PT"/>
        </w:rPr>
      </w:pPr>
      <w:r w:rsidRPr="00FA3856">
        <w:rPr>
          <w:b/>
          <w:szCs w:val="20"/>
          <w:lang w:val="pt-PT"/>
        </w:rPr>
        <w:t>II</w:t>
      </w:r>
      <w:r w:rsidR="004148A9" w:rsidRPr="00FA3856">
        <w:rPr>
          <w:b/>
          <w:szCs w:val="20"/>
          <w:lang w:val="pt-PT"/>
        </w:rPr>
        <w:t>I – Tabela Dinâmica:</w:t>
      </w:r>
      <w:r w:rsidR="00954EE0">
        <w:rPr>
          <w:b/>
          <w:szCs w:val="20"/>
          <w:lang w:val="pt-PT"/>
        </w:rPr>
        <w:t xml:space="preserve"> </w:t>
      </w:r>
      <w:r w:rsidR="00954EE0" w:rsidRPr="00954EE0">
        <w:rPr>
          <w:b/>
          <w:szCs w:val="20"/>
          <w:lang w:val="pt-PT"/>
        </w:rPr>
        <w:t>N660 - Apuração da CSLL Mensal por Estimativa</w:t>
      </w:r>
    </w:p>
    <w:p w:rsidR="004148A9" w:rsidRPr="00012703" w:rsidRDefault="00486CDA" w:rsidP="00012703">
      <w:pPr>
        <w:rPr>
          <w:b/>
          <w:szCs w:val="20"/>
          <w:lang w:val="pt-PT"/>
        </w:rPr>
      </w:pPr>
      <w:r>
        <w:rPr>
          <w:b/>
          <w:szCs w:val="20"/>
          <w:lang w:val="pt-PT"/>
        </w:rPr>
        <w:object w:dxaOrig="1534" w:dyaOrig="997">
          <v:shape id="_x0000_i1183" type="#_x0000_t75" style="width:79.5pt;height:50.25pt" o:ole="">
            <v:imagedata r:id="rId403" o:title=""/>
          </v:shape>
          <o:OLEObject Type="Link" ProgID="Excel.Sheet.12" ShapeID="_x0000_i1183" DrawAspect="Content" r:id="rId404" UpdateMode="OnCall">
            <o:LinkType>EnhancedMetaFile</o:LinkType>
            <o:LockedField>false</o:LockedField>
          </o:OLEObject>
        </w:object>
      </w:r>
    </w:p>
    <w:p w:rsidR="0068443A" w:rsidRDefault="004148A9" w:rsidP="00264296">
      <w:pPr>
        <w:pStyle w:val="Corpodetexto"/>
        <w:rPr>
          <w:rFonts w:ascii="Times New Roman" w:hAnsi="Times New Roman"/>
          <w:b/>
          <w:color w:val="002060"/>
          <w:szCs w:val="20"/>
        </w:rPr>
      </w:pPr>
      <w:r w:rsidRPr="00FA3856">
        <w:rPr>
          <w:rFonts w:ascii="Times New Roman" w:hAnsi="Times New Roman"/>
          <w:b/>
          <w:color w:val="002060"/>
          <w:szCs w:val="20"/>
        </w:rPr>
        <w:t xml:space="preserve">Exemplo de Preenchimento: </w:t>
      </w:r>
    </w:p>
    <w:p w:rsidR="0068443A" w:rsidRDefault="0068443A" w:rsidP="00264296">
      <w:pPr>
        <w:pStyle w:val="Corpodetexto"/>
        <w:rPr>
          <w:rFonts w:ascii="Times New Roman" w:hAnsi="Times New Roman"/>
          <w:b/>
          <w:color w:val="002060"/>
          <w:szCs w:val="20"/>
        </w:rPr>
      </w:pPr>
    </w:p>
    <w:p w:rsidR="00264296" w:rsidRPr="00FA3856" w:rsidRDefault="00264296" w:rsidP="00264296">
      <w:pPr>
        <w:pStyle w:val="Corpodetexto"/>
        <w:rPr>
          <w:rFonts w:ascii="Times New Roman" w:hAnsi="Times New Roman"/>
          <w:b/>
          <w:color w:val="002060"/>
          <w:szCs w:val="20"/>
        </w:rPr>
      </w:pPr>
      <w:r w:rsidRPr="00FA3856">
        <w:rPr>
          <w:rFonts w:ascii="Times New Roman" w:hAnsi="Times New Roman"/>
          <w:b/>
          <w:color w:val="002060"/>
          <w:szCs w:val="20"/>
        </w:rPr>
        <w:t>|N660|19|CSLL A PAGAR|10000,00|</w:t>
      </w:r>
    </w:p>
    <w:p w:rsidR="00264296" w:rsidRPr="00FA3856" w:rsidRDefault="00264296" w:rsidP="00264296">
      <w:pPr>
        <w:pStyle w:val="Corpodetexto"/>
        <w:ind w:firstLine="708"/>
        <w:rPr>
          <w:rFonts w:ascii="Times New Roman" w:hAnsi="Times New Roman"/>
          <w:color w:val="002060"/>
          <w:szCs w:val="20"/>
        </w:rPr>
      </w:pPr>
      <w:r w:rsidRPr="00FA3856">
        <w:rPr>
          <w:rFonts w:ascii="Times New Roman" w:hAnsi="Times New Roman"/>
          <w:color w:val="002060"/>
          <w:szCs w:val="20"/>
        </w:rPr>
        <w:t>|N660|: Identificação do tipo do registro.</w:t>
      </w:r>
    </w:p>
    <w:p w:rsidR="00264296" w:rsidRPr="00FA3856" w:rsidRDefault="00264296" w:rsidP="00264296">
      <w:pPr>
        <w:pStyle w:val="Corpodetexto"/>
        <w:ind w:firstLine="708"/>
        <w:rPr>
          <w:rFonts w:ascii="Times New Roman" w:hAnsi="Times New Roman"/>
          <w:color w:val="002060"/>
          <w:szCs w:val="20"/>
        </w:rPr>
      </w:pPr>
      <w:r w:rsidRPr="00FA3856">
        <w:rPr>
          <w:rFonts w:ascii="Times New Roman" w:hAnsi="Times New Roman"/>
          <w:color w:val="002060"/>
          <w:szCs w:val="20"/>
        </w:rPr>
        <w:t>|19|: Código da linha.</w:t>
      </w:r>
      <w:r w:rsidRPr="00FA3856">
        <w:rPr>
          <w:rFonts w:ascii="Times New Roman" w:hAnsi="Times New Roman"/>
          <w:color w:val="002060"/>
          <w:szCs w:val="20"/>
        </w:rPr>
        <w:tab/>
      </w:r>
    </w:p>
    <w:p w:rsidR="00264296" w:rsidRPr="00FA3856" w:rsidRDefault="00264296" w:rsidP="00264296">
      <w:pPr>
        <w:pStyle w:val="Corpodetexto"/>
        <w:ind w:firstLine="708"/>
        <w:rPr>
          <w:rFonts w:ascii="Times New Roman" w:hAnsi="Times New Roman"/>
          <w:color w:val="002060"/>
          <w:szCs w:val="20"/>
        </w:rPr>
      </w:pPr>
      <w:r w:rsidRPr="00FA3856">
        <w:rPr>
          <w:rFonts w:ascii="Times New Roman" w:hAnsi="Times New Roman"/>
          <w:color w:val="002060"/>
          <w:szCs w:val="20"/>
        </w:rPr>
        <w:t>|CSLL A PAGAR|: Descrição da linha.</w:t>
      </w:r>
    </w:p>
    <w:p w:rsidR="00264296" w:rsidRPr="00FA3856" w:rsidRDefault="00264296" w:rsidP="00264296">
      <w:pPr>
        <w:pStyle w:val="Corpodetexto"/>
        <w:ind w:firstLine="708"/>
        <w:rPr>
          <w:rFonts w:ascii="Times New Roman" w:hAnsi="Times New Roman"/>
          <w:color w:val="002060"/>
          <w:szCs w:val="20"/>
        </w:rPr>
      </w:pPr>
      <w:r w:rsidRPr="00FA3856">
        <w:rPr>
          <w:rFonts w:ascii="Times New Roman" w:hAnsi="Times New Roman"/>
          <w:color w:val="002060"/>
          <w:szCs w:val="20"/>
        </w:rPr>
        <w:t>|10000,00|: Valor da linha (R$ 10.000,00).</w:t>
      </w:r>
    </w:p>
    <w:p w:rsidR="00264296" w:rsidRPr="00FA3856" w:rsidRDefault="00264296">
      <w:pPr>
        <w:rPr>
          <w:b/>
          <w:bCs/>
          <w:color w:val="0000FF"/>
          <w:szCs w:val="20"/>
        </w:rPr>
      </w:pPr>
    </w:p>
    <w:p w:rsidR="00264296" w:rsidRPr="00FA3856" w:rsidRDefault="00264296">
      <w:pPr>
        <w:spacing w:after="200" w:line="276" w:lineRule="auto"/>
        <w:rPr>
          <w:b/>
          <w:bCs/>
          <w:color w:val="0000FF"/>
          <w:szCs w:val="20"/>
        </w:rPr>
      </w:pPr>
      <w:r w:rsidRPr="00FA3856">
        <w:rPr>
          <w:color w:val="0000FF"/>
          <w:szCs w:val="20"/>
        </w:rPr>
        <w:br w:type="page"/>
      </w:r>
    </w:p>
    <w:p w:rsidR="00A95DCA" w:rsidRPr="00FA3856" w:rsidRDefault="00A95DCA" w:rsidP="00867F54">
      <w:pPr>
        <w:pStyle w:val="Ttulo4"/>
      </w:pPr>
      <w:bookmarkStart w:id="257" w:name="_Toc479713750"/>
      <w:r w:rsidRPr="00FA3856">
        <w:lastRenderedPageBreak/>
        <w:t xml:space="preserve">Registro N670: </w:t>
      </w:r>
      <w:r w:rsidR="00E377D5" w:rsidRPr="00FA3856">
        <w:t>Apuração</w:t>
      </w:r>
      <w:r w:rsidRPr="00FA3856">
        <w:t xml:space="preserve"> da CSLL Com Base no Lucro Real</w:t>
      </w:r>
      <w:bookmarkEnd w:id="257"/>
    </w:p>
    <w:p w:rsidR="00A95DCA" w:rsidRPr="00FA3856" w:rsidRDefault="00A95DCA" w:rsidP="00A95DCA">
      <w:pPr>
        <w:jc w:val="both"/>
        <w:rPr>
          <w:szCs w:val="20"/>
        </w:rPr>
      </w:pPr>
    </w:p>
    <w:p w:rsidR="00A95DCA" w:rsidRPr="00FA3856" w:rsidRDefault="00CD73D7" w:rsidP="00A95DCA">
      <w:pPr>
        <w:ind w:firstLine="708"/>
        <w:rPr>
          <w:szCs w:val="20"/>
        </w:rPr>
      </w:pPr>
      <w:r w:rsidRPr="00FA3856">
        <w:rPr>
          <w:szCs w:val="20"/>
        </w:rPr>
        <w:t>Este registro apresenta o cálculo da CSLL com base no lucro real.</w:t>
      </w:r>
    </w:p>
    <w:p w:rsidR="0063149E" w:rsidRDefault="0063149E" w:rsidP="004177C3">
      <w:pPr>
        <w:pStyle w:val="PSDS-MarcadoresNivel2"/>
        <w:numPr>
          <w:ilvl w:val="0"/>
          <w:numId w:val="0"/>
        </w:numPr>
        <w:rPr>
          <w:rFonts w:ascii="Times New Roman" w:hAnsi="Times New Roman"/>
        </w:rPr>
      </w:pPr>
    </w:p>
    <w:p w:rsidR="0063149E" w:rsidRDefault="00B35FA3" w:rsidP="0063149E">
      <w:pPr>
        <w:pStyle w:val="PSDS-MarcadoresNivel2"/>
        <w:numPr>
          <w:ilvl w:val="0"/>
          <w:numId w:val="0"/>
        </w:numPr>
        <w:jc w:val="center"/>
        <w:rPr>
          <w:rFonts w:ascii="Times New Roman" w:hAnsi="Times New Roman"/>
        </w:rPr>
      </w:pPr>
      <w:r>
        <w:rPr>
          <w:rFonts w:ascii="Times New Roman" w:hAnsi="Times New Roman"/>
        </w:rPr>
        <w:object w:dxaOrig="14115" w:dyaOrig="4770">
          <v:shape id="_x0000_i1764" type="#_x0000_t75" style="width:705.75pt;height:237pt" o:ole="">
            <v:imagedata r:id="rId405" o:title=""/>
          </v:shape>
          <o:OLEObject Type="Link" ProgID="Excel.Sheet.12" ShapeID="_x0000_i1764" DrawAspect="Content" r:id="rId406" UpdateMode="Always">
            <o:LinkType>EnhancedMetaFile</o:LinkType>
            <o:LockedField>false</o:LockedField>
          </o:OLEObject>
        </w:object>
      </w:r>
    </w:p>
    <w:p w:rsidR="0063149E" w:rsidRDefault="0063149E" w:rsidP="004177C3">
      <w:pPr>
        <w:pStyle w:val="PSDS-MarcadoresNivel2"/>
        <w:numPr>
          <w:ilvl w:val="0"/>
          <w:numId w:val="0"/>
        </w:numPr>
        <w:rPr>
          <w:rFonts w:ascii="Times New Roman" w:hAnsi="Times New Roman"/>
        </w:rPr>
      </w:pPr>
    </w:p>
    <w:p w:rsidR="004177C3" w:rsidRPr="00FA3856" w:rsidRDefault="004177C3" w:rsidP="004177C3">
      <w:pPr>
        <w:pStyle w:val="PSDS-MarcadoresNivel2"/>
        <w:numPr>
          <w:ilvl w:val="0"/>
          <w:numId w:val="0"/>
        </w:numPr>
        <w:rPr>
          <w:rFonts w:ascii="Times New Roman" w:hAnsi="Times New Roman"/>
        </w:rPr>
      </w:pPr>
      <w:r w:rsidRPr="00FA3856">
        <w:rPr>
          <w:rFonts w:ascii="Times New Roman" w:hAnsi="Times New Roman"/>
        </w:rPr>
        <w:t>I – Regras de Validação do Registro:</w:t>
      </w:r>
    </w:p>
    <w:p w:rsidR="004177C3" w:rsidRPr="00FA3856" w:rsidRDefault="004177C3" w:rsidP="004177C3">
      <w:pPr>
        <w:pStyle w:val="Corpodetexto"/>
        <w:ind w:left="708" w:firstLine="12"/>
        <w:rPr>
          <w:rFonts w:ascii="Times New Roman" w:hAnsi="Times New Roman"/>
          <w:szCs w:val="20"/>
        </w:rPr>
      </w:pPr>
    </w:p>
    <w:p w:rsidR="00FE5D23" w:rsidRPr="00FA3856" w:rsidRDefault="007D0E74" w:rsidP="00FE5D23">
      <w:pPr>
        <w:pStyle w:val="Corpodetexto"/>
        <w:ind w:left="708" w:firstLine="12"/>
        <w:rPr>
          <w:rFonts w:ascii="Times New Roman" w:hAnsi="Times New Roman"/>
          <w:szCs w:val="20"/>
        </w:rPr>
      </w:pPr>
      <w:hyperlink r:id="rId407" w:anchor="REGRA_OCORRENCIA_UNITARIA_ARQ" w:history="1">
        <w:r w:rsidR="00FE5D23" w:rsidRPr="00FA3856">
          <w:rPr>
            <w:rFonts w:ascii="Times New Roman" w:hAnsi="Times New Roman"/>
            <w:b/>
            <w:szCs w:val="20"/>
          </w:rPr>
          <w:t>REGRA_</w:t>
        </w:r>
      </w:hyperlink>
      <w:r w:rsidR="00FE5D23" w:rsidRPr="00FA3856">
        <w:rPr>
          <w:rFonts w:ascii="Times New Roman" w:hAnsi="Times New Roman"/>
          <w:b/>
          <w:szCs w:val="20"/>
        </w:rPr>
        <w:t>DUPLICIDADE_DESPREZADA</w:t>
      </w:r>
      <w:r w:rsidR="00FE5D23" w:rsidRPr="00FA3856">
        <w:rPr>
          <w:rFonts w:ascii="Times New Roman" w:hAnsi="Times New Roman"/>
          <w:color w:val="auto"/>
          <w:szCs w:val="20"/>
        </w:rPr>
        <w:t xml:space="preserve">: </w:t>
      </w:r>
      <w:r w:rsidR="00FE5D23" w:rsidRPr="00FA3856">
        <w:rPr>
          <w:rFonts w:ascii="Times New Roman" w:hAnsi="Times New Roman"/>
          <w:szCs w:val="20"/>
        </w:rPr>
        <w:t>Verifica se o registro já foi importado anteriormente, de acordo com a chave e os registros pais. Se a regra não for cumprida, a ECF gera um aviso.</w:t>
      </w:r>
    </w:p>
    <w:p w:rsidR="00FE5D23" w:rsidRPr="00FA3856" w:rsidRDefault="00FE5D23" w:rsidP="00FE5D23">
      <w:pPr>
        <w:pStyle w:val="Corpodetexto"/>
        <w:ind w:left="708" w:firstLine="12"/>
        <w:rPr>
          <w:rFonts w:ascii="Times New Roman" w:hAnsi="Times New Roman"/>
          <w:szCs w:val="20"/>
        </w:rPr>
      </w:pPr>
    </w:p>
    <w:p w:rsidR="00FE5D23" w:rsidRPr="00FA3856" w:rsidRDefault="007D0E74" w:rsidP="00FE5D23">
      <w:pPr>
        <w:pStyle w:val="Corpodetexto"/>
        <w:ind w:left="708" w:firstLine="12"/>
        <w:rPr>
          <w:rFonts w:ascii="Times New Roman" w:hAnsi="Times New Roman"/>
          <w:szCs w:val="20"/>
        </w:rPr>
      </w:pPr>
      <w:hyperlink r:id="rId408" w:anchor="REGRA_OCORRENCIA_UNITARIA_ARQ" w:history="1">
        <w:r w:rsidR="00FE5D23" w:rsidRPr="00FA3856">
          <w:rPr>
            <w:rFonts w:ascii="Times New Roman" w:hAnsi="Times New Roman"/>
            <w:b/>
            <w:szCs w:val="20"/>
          </w:rPr>
          <w:t>REGRA_</w:t>
        </w:r>
      </w:hyperlink>
      <w:r w:rsidR="00FE5D23" w:rsidRPr="00FA3856">
        <w:rPr>
          <w:rFonts w:ascii="Times New Roman" w:hAnsi="Times New Roman"/>
          <w:b/>
          <w:szCs w:val="20"/>
        </w:rPr>
        <w:t>LINHA_DESPREZADA</w:t>
      </w:r>
      <w:r w:rsidR="00FE5D23" w:rsidRPr="00FA3856">
        <w:rPr>
          <w:rFonts w:ascii="Times New Roman" w:hAnsi="Times New Roman"/>
          <w:color w:val="auto"/>
          <w:szCs w:val="20"/>
        </w:rPr>
        <w:t xml:space="preserve">: </w:t>
      </w:r>
      <w:r w:rsidR="00FE5D23" w:rsidRPr="00FA3856">
        <w:rPr>
          <w:rFonts w:ascii="Times New Roman" w:hAnsi="Times New Roman"/>
          <w:szCs w:val="20"/>
        </w:rPr>
        <w:t>Verifica se o registro existe na importação, mas não será importado por não existir na tabela dinâmica devido às configurações do bloco 0 ou da tabela dinâmica. Gera um aviso.</w:t>
      </w:r>
    </w:p>
    <w:p w:rsidR="00FE5D23" w:rsidRPr="00FA3856" w:rsidRDefault="00FE5D23" w:rsidP="00FE5D23">
      <w:pPr>
        <w:pStyle w:val="Corpodetexto"/>
        <w:ind w:left="708" w:firstLine="12"/>
        <w:rPr>
          <w:rFonts w:ascii="Times New Roman" w:hAnsi="Times New Roman"/>
          <w:b/>
          <w:szCs w:val="20"/>
        </w:rPr>
      </w:pPr>
    </w:p>
    <w:p w:rsidR="00FE5D23" w:rsidRPr="00FA3856" w:rsidRDefault="007D0E74" w:rsidP="00FE5D23">
      <w:pPr>
        <w:pStyle w:val="Corpodetexto"/>
        <w:ind w:left="708" w:firstLine="12"/>
        <w:rPr>
          <w:rFonts w:ascii="Times New Roman" w:hAnsi="Times New Roman"/>
          <w:b/>
          <w:szCs w:val="20"/>
        </w:rPr>
      </w:pPr>
      <w:hyperlink r:id="rId409" w:anchor="REGRA_OCORRENCIA_UNITARIA_ARQ" w:history="1">
        <w:r w:rsidR="00FE5D23" w:rsidRPr="00FA3856">
          <w:rPr>
            <w:rFonts w:ascii="Times New Roman" w:hAnsi="Times New Roman"/>
            <w:b/>
            <w:szCs w:val="20"/>
          </w:rPr>
          <w:t>REGRA_</w:t>
        </w:r>
      </w:hyperlink>
      <w:r w:rsidR="00FE5D23" w:rsidRPr="00FA3856">
        <w:rPr>
          <w:rFonts w:ascii="Times New Roman" w:hAnsi="Times New Roman"/>
          <w:b/>
          <w:szCs w:val="20"/>
        </w:rPr>
        <w:t>LINHA_ATUALIZADA</w:t>
      </w:r>
      <w:r w:rsidR="00FE5D23" w:rsidRPr="00FA3856">
        <w:rPr>
          <w:rFonts w:ascii="Times New Roman" w:hAnsi="Times New Roman"/>
          <w:color w:val="auto"/>
          <w:szCs w:val="20"/>
        </w:rPr>
        <w:t xml:space="preserve">: </w:t>
      </w:r>
      <w:r w:rsidR="00FE5D23" w:rsidRPr="00FA3856">
        <w:rPr>
          <w:rFonts w:ascii="Times New Roman" w:hAnsi="Times New Roman"/>
          <w:szCs w:val="20"/>
        </w:rPr>
        <w:t>Verifica se o registro está desatualizado em relação à tabela da RFB. Gera um aviso.</w:t>
      </w:r>
    </w:p>
    <w:p w:rsidR="004177C3" w:rsidRPr="00FA3856" w:rsidRDefault="004177C3" w:rsidP="00A95DCA">
      <w:pPr>
        <w:rPr>
          <w:b/>
          <w:szCs w:val="20"/>
          <w:lang w:val="pt-PT"/>
        </w:rPr>
      </w:pPr>
    </w:p>
    <w:p w:rsidR="00012703" w:rsidRDefault="00012703">
      <w:pPr>
        <w:spacing w:after="200" w:line="276" w:lineRule="auto"/>
        <w:rPr>
          <w:b/>
          <w:szCs w:val="20"/>
          <w:lang w:val="pt-PT"/>
        </w:rPr>
      </w:pPr>
      <w:r>
        <w:rPr>
          <w:b/>
          <w:szCs w:val="20"/>
          <w:lang w:val="pt-PT"/>
        </w:rPr>
        <w:br w:type="page"/>
      </w:r>
    </w:p>
    <w:p w:rsidR="00A95DCA" w:rsidRPr="00FA3856" w:rsidRDefault="004177C3" w:rsidP="00A95DCA">
      <w:pPr>
        <w:rPr>
          <w:b/>
          <w:szCs w:val="20"/>
          <w:lang w:val="pt-PT"/>
        </w:rPr>
      </w:pPr>
      <w:r w:rsidRPr="00FA3856">
        <w:rPr>
          <w:b/>
          <w:szCs w:val="20"/>
          <w:lang w:val="pt-PT"/>
        </w:rPr>
        <w:lastRenderedPageBreak/>
        <w:t>I</w:t>
      </w:r>
      <w:r w:rsidR="00A95DCA" w:rsidRPr="00FA3856">
        <w:rPr>
          <w:b/>
          <w:szCs w:val="20"/>
          <w:lang w:val="pt-PT"/>
        </w:rPr>
        <w:t>I – Regras de Validação de Campos:</w:t>
      </w:r>
    </w:p>
    <w:p w:rsidR="00A95DCA" w:rsidRPr="00FA3856" w:rsidRDefault="00A95DCA" w:rsidP="00A95DCA">
      <w:pPr>
        <w:rPr>
          <w:b/>
          <w:szCs w:val="20"/>
          <w:lang w:val="pt-PT"/>
        </w:rPr>
      </w:pPr>
    </w:p>
    <w:tbl>
      <w:tblPr>
        <w:tblW w:w="15367"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85"/>
        <w:gridCol w:w="3000"/>
        <w:gridCol w:w="11165"/>
        <w:gridCol w:w="717"/>
      </w:tblGrid>
      <w:tr w:rsidR="00A95DCA" w:rsidRPr="00FA3856" w:rsidTr="00272903">
        <w:trPr>
          <w:jc w:val="center"/>
        </w:trPr>
        <w:tc>
          <w:tcPr>
            <w:tcW w:w="485" w:type="dxa"/>
            <w:tcBorders>
              <w:top w:val="single" w:sz="6" w:space="0" w:color="auto"/>
              <w:left w:val="single" w:sz="6" w:space="0" w:color="auto"/>
              <w:bottom w:val="single" w:sz="6" w:space="0" w:color="auto"/>
              <w:right w:val="single" w:sz="6" w:space="0" w:color="auto"/>
            </w:tcBorders>
            <w:shd w:val="pct10" w:color="auto" w:fill="FFFFFF"/>
          </w:tcPr>
          <w:p w:rsidR="00A95DCA" w:rsidRPr="00FA3856" w:rsidRDefault="00A95DCA" w:rsidP="008C16B2">
            <w:pPr>
              <w:pStyle w:val="PSDS-CorpodeTexto0"/>
              <w:jc w:val="center"/>
              <w:rPr>
                <w:rFonts w:ascii="Times New Roman" w:hAnsi="Times New Roman"/>
                <w:b/>
                <w:bCs/>
              </w:rPr>
            </w:pPr>
            <w:r w:rsidRPr="00FA3856">
              <w:rPr>
                <w:rFonts w:ascii="Times New Roman" w:hAnsi="Times New Roman"/>
                <w:b/>
                <w:bCs/>
              </w:rPr>
              <w:t>Nº</w:t>
            </w:r>
          </w:p>
        </w:tc>
        <w:tc>
          <w:tcPr>
            <w:tcW w:w="3000" w:type="dxa"/>
            <w:tcBorders>
              <w:top w:val="single" w:sz="6" w:space="0" w:color="auto"/>
              <w:left w:val="single" w:sz="6" w:space="0" w:color="auto"/>
              <w:bottom w:val="single" w:sz="6" w:space="0" w:color="auto"/>
              <w:right w:val="single" w:sz="6" w:space="0" w:color="auto"/>
            </w:tcBorders>
            <w:shd w:val="pct10" w:color="auto" w:fill="FFFFFF"/>
          </w:tcPr>
          <w:p w:rsidR="00A95DCA" w:rsidRPr="00FA3856" w:rsidRDefault="00A95DCA" w:rsidP="008C16B2">
            <w:pPr>
              <w:pStyle w:val="PSDS-CorpodeTexto0"/>
              <w:jc w:val="center"/>
              <w:rPr>
                <w:rFonts w:ascii="Times New Roman" w:hAnsi="Times New Roman"/>
                <w:b/>
                <w:bCs/>
              </w:rPr>
            </w:pPr>
            <w:r w:rsidRPr="00FA3856">
              <w:rPr>
                <w:rFonts w:ascii="Times New Roman" w:hAnsi="Times New Roman"/>
                <w:b/>
                <w:bCs/>
              </w:rPr>
              <w:t>Campo</w:t>
            </w:r>
          </w:p>
        </w:tc>
        <w:tc>
          <w:tcPr>
            <w:tcW w:w="11165" w:type="dxa"/>
            <w:tcBorders>
              <w:top w:val="single" w:sz="6" w:space="0" w:color="auto"/>
              <w:left w:val="single" w:sz="6" w:space="0" w:color="auto"/>
              <w:bottom w:val="single" w:sz="6" w:space="0" w:color="auto"/>
              <w:right w:val="single" w:sz="6" w:space="0" w:color="auto"/>
            </w:tcBorders>
            <w:shd w:val="pct10" w:color="auto" w:fill="FFFFFF"/>
          </w:tcPr>
          <w:p w:rsidR="00A95DCA" w:rsidRPr="00FA3856" w:rsidRDefault="00A95DCA" w:rsidP="008C16B2">
            <w:pPr>
              <w:pStyle w:val="PSDS-CorpodeTexto0"/>
              <w:jc w:val="center"/>
              <w:rPr>
                <w:rFonts w:ascii="Times New Roman" w:hAnsi="Times New Roman"/>
                <w:b/>
                <w:bCs/>
              </w:rPr>
            </w:pPr>
            <w:r w:rsidRPr="00FA3856">
              <w:rPr>
                <w:rFonts w:ascii="Times New Roman" w:hAnsi="Times New Roman"/>
                <w:b/>
                <w:bCs/>
              </w:rPr>
              <w:t>Regras de Validação do Campo</w:t>
            </w:r>
          </w:p>
        </w:tc>
        <w:tc>
          <w:tcPr>
            <w:tcW w:w="717" w:type="dxa"/>
            <w:tcBorders>
              <w:top w:val="single" w:sz="6" w:space="0" w:color="auto"/>
              <w:left w:val="single" w:sz="6" w:space="0" w:color="auto"/>
              <w:bottom w:val="single" w:sz="6" w:space="0" w:color="auto"/>
              <w:right w:val="single" w:sz="6" w:space="0" w:color="auto"/>
            </w:tcBorders>
            <w:shd w:val="pct10" w:color="auto" w:fill="FFFFFF"/>
          </w:tcPr>
          <w:p w:rsidR="00A95DCA" w:rsidRPr="00FA3856" w:rsidRDefault="00A95DCA" w:rsidP="008C16B2">
            <w:pPr>
              <w:pStyle w:val="PSDS-CorpodeTexto0"/>
              <w:jc w:val="center"/>
              <w:rPr>
                <w:rFonts w:ascii="Times New Roman" w:hAnsi="Times New Roman"/>
                <w:b/>
                <w:bCs/>
              </w:rPr>
            </w:pPr>
            <w:r w:rsidRPr="00FA3856">
              <w:rPr>
                <w:rFonts w:ascii="Times New Roman" w:hAnsi="Times New Roman"/>
                <w:b/>
                <w:bCs/>
              </w:rPr>
              <w:t>Tipo</w:t>
            </w:r>
          </w:p>
        </w:tc>
      </w:tr>
      <w:tr w:rsidR="0012324D" w:rsidRPr="00FA3856" w:rsidTr="00272903">
        <w:trPr>
          <w:jc w:val="center"/>
        </w:trPr>
        <w:tc>
          <w:tcPr>
            <w:tcW w:w="485" w:type="dxa"/>
            <w:tcBorders>
              <w:top w:val="single" w:sz="6" w:space="0" w:color="auto"/>
              <w:left w:val="single" w:sz="6" w:space="0" w:color="auto"/>
              <w:bottom w:val="single" w:sz="6" w:space="0" w:color="auto"/>
              <w:right w:val="single" w:sz="6" w:space="0" w:color="auto"/>
            </w:tcBorders>
          </w:tcPr>
          <w:p w:rsidR="0012324D" w:rsidRPr="00FA3856" w:rsidRDefault="0012324D" w:rsidP="0012324D">
            <w:pPr>
              <w:pStyle w:val="PSDS-CorpodeTexto0"/>
              <w:suppressAutoHyphens w:val="0"/>
              <w:rPr>
                <w:rFonts w:ascii="Times New Roman" w:hAnsi="Times New Roman"/>
                <w:b/>
                <w:bCs/>
                <w:lang w:val="pt-PT"/>
              </w:rPr>
            </w:pPr>
            <w:r w:rsidRPr="00FA3856">
              <w:rPr>
                <w:rFonts w:ascii="Times New Roman" w:hAnsi="Times New Roman"/>
                <w:b/>
                <w:bCs/>
                <w:lang w:val="pt-PT"/>
              </w:rPr>
              <w:t>4</w:t>
            </w:r>
          </w:p>
        </w:tc>
        <w:tc>
          <w:tcPr>
            <w:tcW w:w="3000" w:type="dxa"/>
            <w:tcBorders>
              <w:top w:val="single" w:sz="6" w:space="0" w:color="auto"/>
              <w:left w:val="single" w:sz="6" w:space="0" w:color="auto"/>
              <w:bottom w:val="single" w:sz="6" w:space="0" w:color="auto"/>
              <w:right w:val="single" w:sz="6" w:space="0" w:color="auto"/>
            </w:tcBorders>
          </w:tcPr>
          <w:p w:rsidR="0012324D" w:rsidRPr="00FA3856" w:rsidRDefault="0012324D" w:rsidP="0012324D">
            <w:pPr>
              <w:pStyle w:val="PSDS-CorpodeTexto0"/>
              <w:rPr>
                <w:rFonts w:ascii="Times New Roman" w:hAnsi="Times New Roman"/>
              </w:rPr>
            </w:pPr>
            <w:r w:rsidRPr="00FA3856">
              <w:rPr>
                <w:rFonts w:ascii="Times New Roman" w:hAnsi="Times New Roman"/>
              </w:rPr>
              <w:t>VALOR</w:t>
            </w:r>
          </w:p>
        </w:tc>
        <w:tc>
          <w:tcPr>
            <w:tcW w:w="11165" w:type="dxa"/>
            <w:tcBorders>
              <w:top w:val="single" w:sz="6" w:space="0" w:color="auto"/>
              <w:left w:val="single" w:sz="6" w:space="0" w:color="auto"/>
              <w:bottom w:val="single" w:sz="6" w:space="0" w:color="auto"/>
              <w:right w:val="single" w:sz="6" w:space="0" w:color="auto"/>
            </w:tcBorders>
          </w:tcPr>
          <w:p w:rsidR="0012324D" w:rsidRPr="00FA3856" w:rsidRDefault="0012324D" w:rsidP="0012324D">
            <w:pPr>
              <w:pStyle w:val="Corpodetexto"/>
              <w:rPr>
                <w:rFonts w:ascii="Times New Roman" w:hAnsi="Times New Roman"/>
                <w:szCs w:val="20"/>
              </w:rPr>
            </w:pPr>
            <w:r w:rsidRPr="00FA3856">
              <w:rPr>
                <w:rFonts w:ascii="Times New Roman" w:hAnsi="Times New Roman"/>
                <w:b/>
                <w:bCs/>
                <w:szCs w:val="20"/>
              </w:rPr>
              <w:t>REGRA_OBRIGATORIO_TIPO_DIFERENTE_R</w:t>
            </w:r>
            <w:r w:rsidRPr="00FA3856">
              <w:rPr>
                <w:rFonts w:ascii="Times New Roman" w:hAnsi="Times New Roman"/>
                <w:szCs w:val="20"/>
              </w:rPr>
              <w:t xml:space="preserve">: </w:t>
            </w:r>
            <w:r w:rsidRPr="00FA3856">
              <w:rPr>
                <w:rStyle w:val="Hyperlink"/>
                <w:rFonts w:ascii="Times New Roman" w:hAnsi="Times New Roman"/>
                <w:bCs/>
                <w:color w:val="auto"/>
                <w:szCs w:val="20"/>
                <w:lang w:val="pt-PT"/>
              </w:rPr>
              <w:t xml:space="preserve">Verifica se o campo está preenchido quando o tipo da linha </w:t>
            </w:r>
            <w:r w:rsidR="0063733D" w:rsidRPr="00FA3856">
              <w:rPr>
                <w:rStyle w:val="Hyperlink"/>
                <w:rFonts w:ascii="Times New Roman" w:hAnsi="Times New Roman"/>
                <w:bCs/>
                <w:color w:val="auto"/>
                <w:szCs w:val="20"/>
                <w:lang w:val="pt-PT"/>
              </w:rPr>
              <w:t>é diferente</w:t>
            </w:r>
            <w:r w:rsidRPr="00FA3856">
              <w:rPr>
                <w:rStyle w:val="Hyperlink"/>
                <w:rFonts w:ascii="Times New Roman" w:hAnsi="Times New Roman"/>
                <w:bCs/>
                <w:color w:val="auto"/>
                <w:szCs w:val="20"/>
                <w:lang w:val="pt-PT"/>
              </w:rPr>
              <w:t xml:space="preserve"> de “R”.</w:t>
            </w:r>
          </w:p>
        </w:tc>
        <w:tc>
          <w:tcPr>
            <w:tcW w:w="717" w:type="dxa"/>
            <w:tcBorders>
              <w:top w:val="single" w:sz="6" w:space="0" w:color="auto"/>
              <w:left w:val="single" w:sz="6" w:space="0" w:color="auto"/>
              <w:bottom w:val="single" w:sz="6" w:space="0" w:color="auto"/>
              <w:right w:val="single" w:sz="6" w:space="0" w:color="auto"/>
            </w:tcBorders>
          </w:tcPr>
          <w:p w:rsidR="0012324D" w:rsidRPr="00FA3856" w:rsidRDefault="0012324D" w:rsidP="0012324D">
            <w:pPr>
              <w:pStyle w:val="PSDS-CorpodeTexto0"/>
              <w:rPr>
                <w:rFonts w:ascii="Times New Roman" w:hAnsi="Times New Roman"/>
              </w:rPr>
            </w:pPr>
            <w:r w:rsidRPr="00FA3856">
              <w:rPr>
                <w:rFonts w:ascii="Times New Roman" w:hAnsi="Times New Roman"/>
              </w:rPr>
              <w:t>Erro</w:t>
            </w:r>
          </w:p>
          <w:p w:rsidR="0012324D" w:rsidRPr="00FA3856" w:rsidRDefault="0012324D" w:rsidP="0012324D">
            <w:pPr>
              <w:pStyle w:val="PSDS-CorpodeTexto0"/>
              <w:rPr>
                <w:rFonts w:ascii="Times New Roman" w:hAnsi="Times New Roman"/>
              </w:rPr>
            </w:pPr>
          </w:p>
        </w:tc>
      </w:tr>
    </w:tbl>
    <w:p w:rsidR="00012703" w:rsidRDefault="00012703" w:rsidP="001A3CDB">
      <w:pPr>
        <w:rPr>
          <w:b/>
          <w:szCs w:val="20"/>
          <w:lang w:val="pt-PT"/>
        </w:rPr>
      </w:pPr>
    </w:p>
    <w:p w:rsidR="001A3CDB" w:rsidRPr="00FA3856" w:rsidRDefault="004177C3" w:rsidP="001A3CDB">
      <w:pPr>
        <w:rPr>
          <w:b/>
          <w:szCs w:val="20"/>
          <w:lang w:val="pt-PT"/>
        </w:rPr>
      </w:pPr>
      <w:r w:rsidRPr="00FA3856">
        <w:rPr>
          <w:b/>
          <w:szCs w:val="20"/>
          <w:lang w:val="pt-PT"/>
        </w:rPr>
        <w:t>I</w:t>
      </w:r>
      <w:r w:rsidR="001A3CDB" w:rsidRPr="00FA3856">
        <w:rPr>
          <w:b/>
          <w:szCs w:val="20"/>
          <w:lang w:val="pt-PT"/>
        </w:rPr>
        <w:t>II – Tabela Dinâmica:</w:t>
      </w:r>
      <w:r w:rsidR="00954EE0">
        <w:rPr>
          <w:b/>
          <w:szCs w:val="20"/>
          <w:lang w:val="pt-PT"/>
        </w:rPr>
        <w:t xml:space="preserve"> </w:t>
      </w:r>
      <w:r w:rsidR="00954EE0" w:rsidRPr="00954EE0">
        <w:rPr>
          <w:b/>
          <w:szCs w:val="20"/>
          <w:lang w:val="pt-PT"/>
        </w:rPr>
        <w:t>N670 - Apuração da CSLL (PJ do Lucro Real)</w:t>
      </w:r>
    </w:p>
    <w:p w:rsidR="00BC6BE0" w:rsidRPr="00012703" w:rsidRDefault="00486CDA" w:rsidP="00012703">
      <w:pPr>
        <w:pStyle w:val="NormalWeb"/>
        <w:spacing w:before="0" w:after="0"/>
        <w:jc w:val="both"/>
        <w:rPr>
          <w:rFonts w:ascii="Times New Roman" w:hAnsi="Times New Roman" w:cs="Times New Roman"/>
          <w:szCs w:val="20"/>
        </w:rPr>
      </w:pPr>
      <w:r>
        <w:rPr>
          <w:rFonts w:ascii="Times New Roman" w:hAnsi="Times New Roman" w:cs="Times New Roman"/>
          <w:szCs w:val="20"/>
        </w:rPr>
        <w:object w:dxaOrig="1534" w:dyaOrig="997">
          <v:shape id="_x0000_i1185" type="#_x0000_t75" style="width:79.5pt;height:50.25pt" o:ole="">
            <v:imagedata r:id="rId410" o:title=""/>
          </v:shape>
          <o:OLEObject Type="Link" ProgID="Excel.Sheet.12" ShapeID="_x0000_i1185" DrawAspect="Content" r:id="rId411" UpdateMode="OnCall">
            <o:LinkType>EnhancedMetaFile</o:LinkType>
            <o:LockedField>false</o:LockedField>
          </o:OLEObject>
        </w:object>
      </w:r>
    </w:p>
    <w:p w:rsidR="00202E6B" w:rsidRDefault="004148A9" w:rsidP="009F3147">
      <w:pPr>
        <w:pStyle w:val="Corpodetexto"/>
        <w:rPr>
          <w:rFonts w:ascii="Times New Roman" w:hAnsi="Times New Roman"/>
          <w:b/>
          <w:color w:val="002060"/>
          <w:szCs w:val="20"/>
        </w:rPr>
      </w:pPr>
      <w:r w:rsidRPr="00FA3856">
        <w:rPr>
          <w:rFonts w:ascii="Times New Roman" w:hAnsi="Times New Roman"/>
          <w:b/>
          <w:color w:val="002060"/>
          <w:szCs w:val="20"/>
        </w:rPr>
        <w:t xml:space="preserve">Exemplo de Preenchimento: </w:t>
      </w:r>
    </w:p>
    <w:p w:rsidR="00202E6B" w:rsidRDefault="00202E6B" w:rsidP="009F3147">
      <w:pPr>
        <w:pStyle w:val="Corpodetexto"/>
        <w:rPr>
          <w:rFonts w:ascii="Times New Roman" w:hAnsi="Times New Roman"/>
          <w:b/>
          <w:color w:val="002060"/>
          <w:szCs w:val="20"/>
        </w:rPr>
      </w:pPr>
    </w:p>
    <w:p w:rsidR="009F3147" w:rsidRPr="00FA3856" w:rsidRDefault="009F3147" w:rsidP="009F3147">
      <w:pPr>
        <w:pStyle w:val="Corpodetexto"/>
        <w:rPr>
          <w:rFonts w:ascii="Times New Roman" w:hAnsi="Times New Roman"/>
          <w:b/>
          <w:color w:val="002060"/>
          <w:szCs w:val="20"/>
        </w:rPr>
      </w:pPr>
      <w:r w:rsidRPr="00FA3856">
        <w:rPr>
          <w:rFonts w:ascii="Times New Roman" w:hAnsi="Times New Roman"/>
          <w:b/>
          <w:color w:val="002060"/>
          <w:szCs w:val="20"/>
        </w:rPr>
        <w:t>|N670|23|CSLL POSTERGADA DE PERÍODOS DE APURAÇÃO ANTERIORES|10000,00|</w:t>
      </w:r>
    </w:p>
    <w:p w:rsidR="009F3147" w:rsidRPr="00FA3856" w:rsidRDefault="009F3147" w:rsidP="009F3147">
      <w:pPr>
        <w:pStyle w:val="Corpodetexto"/>
        <w:ind w:firstLine="708"/>
        <w:rPr>
          <w:rFonts w:ascii="Times New Roman" w:hAnsi="Times New Roman"/>
          <w:color w:val="002060"/>
          <w:szCs w:val="20"/>
        </w:rPr>
      </w:pPr>
      <w:r w:rsidRPr="00FA3856">
        <w:rPr>
          <w:rFonts w:ascii="Times New Roman" w:hAnsi="Times New Roman"/>
          <w:color w:val="002060"/>
          <w:szCs w:val="20"/>
        </w:rPr>
        <w:t>|N670|: Identificação do tipo do registro.</w:t>
      </w:r>
    </w:p>
    <w:p w:rsidR="009F3147" w:rsidRPr="00FA3856" w:rsidRDefault="009F3147" w:rsidP="009F3147">
      <w:pPr>
        <w:pStyle w:val="Corpodetexto"/>
        <w:ind w:firstLine="708"/>
        <w:rPr>
          <w:rFonts w:ascii="Times New Roman" w:hAnsi="Times New Roman"/>
          <w:color w:val="002060"/>
          <w:szCs w:val="20"/>
        </w:rPr>
      </w:pPr>
      <w:r w:rsidRPr="00FA3856">
        <w:rPr>
          <w:rFonts w:ascii="Times New Roman" w:hAnsi="Times New Roman"/>
          <w:color w:val="002060"/>
          <w:szCs w:val="20"/>
        </w:rPr>
        <w:t>|23|: Código da linha.</w:t>
      </w:r>
      <w:r w:rsidRPr="00FA3856">
        <w:rPr>
          <w:rFonts w:ascii="Times New Roman" w:hAnsi="Times New Roman"/>
          <w:color w:val="002060"/>
          <w:szCs w:val="20"/>
        </w:rPr>
        <w:tab/>
      </w:r>
    </w:p>
    <w:p w:rsidR="009F3147" w:rsidRPr="00FA3856" w:rsidRDefault="009F3147" w:rsidP="009F3147">
      <w:pPr>
        <w:pStyle w:val="Corpodetexto"/>
        <w:ind w:firstLine="708"/>
        <w:rPr>
          <w:rFonts w:ascii="Times New Roman" w:hAnsi="Times New Roman"/>
          <w:color w:val="002060"/>
          <w:szCs w:val="20"/>
        </w:rPr>
      </w:pPr>
      <w:r w:rsidRPr="00FA3856">
        <w:rPr>
          <w:rFonts w:ascii="Times New Roman" w:hAnsi="Times New Roman"/>
          <w:color w:val="002060"/>
          <w:szCs w:val="20"/>
        </w:rPr>
        <w:t>|CSLL POSTERGADA DE PERÍODOS DE APURAÇÃO ANTERIORES|: Descrição da linha.</w:t>
      </w:r>
    </w:p>
    <w:p w:rsidR="009F3147" w:rsidRPr="00FA3856" w:rsidRDefault="009F3147" w:rsidP="009F3147">
      <w:pPr>
        <w:pStyle w:val="Corpodetexto"/>
        <w:ind w:firstLine="708"/>
        <w:rPr>
          <w:rFonts w:ascii="Times New Roman" w:hAnsi="Times New Roman"/>
          <w:color w:val="002060"/>
          <w:szCs w:val="20"/>
        </w:rPr>
      </w:pPr>
      <w:r w:rsidRPr="00FA3856">
        <w:rPr>
          <w:rFonts w:ascii="Times New Roman" w:hAnsi="Times New Roman"/>
          <w:color w:val="002060"/>
          <w:szCs w:val="20"/>
        </w:rPr>
        <w:t>|10000,00|: Valor da linha (R$ 10.000,00).</w:t>
      </w:r>
    </w:p>
    <w:p w:rsidR="009F3147" w:rsidRPr="00FA3856" w:rsidRDefault="009F3147">
      <w:pPr>
        <w:spacing w:after="200" w:line="276" w:lineRule="auto"/>
        <w:rPr>
          <w:b/>
          <w:bCs/>
          <w:color w:val="0000FF"/>
          <w:szCs w:val="20"/>
        </w:rPr>
      </w:pPr>
      <w:r w:rsidRPr="00FA3856">
        <w:rPr>
          <w:color w:val="0000FF"/>
          <w:szCs w:val="20"/>
        </w:rPr>
        <w:br w:type="page"/>
      </w:r>
    </w:p>
    <w:p w:rsidR="002E6F04" w:rsidRPr="00FA3856" w:rsidRDefault="002E6F04" w:rsidP="00867F54">
      <w:pPr>
        <w:pStyle w:val="Ttulo4"/>
      </w:pPr>
      <w:bookmarkStart w:id="258" w:name="_Toc479713751"/>
      <w:r w:rsidRPr="00FA3856">
        <w:lastRenderedPageBreak/>
        <w:t>Registro N990: Encerramento do Bloco N</w:t>
      </w:r>
      <w:bookmarkEnd w:id="258"/>
    </w:p>
    <w:p w:rsidR="00E506D3" w:rsidRDefault="00E506D3" w:rsidP="00E506D3">
      <w:pPr>
        <w:pStyle w:val="Corpodetexto"/>
        <w:rPr>
          <w:rFonts w:ascii="Times New Roman" w:hAnsi="Times New Roman"/>
          <w:b/>
          <w:color w:val="002060"/>
          <w:szCs w:val="20"/>
        </w:rPr>
      </w:pPr>
    </w:p>
    <w:p w:rsidR="00BC6BE0" w:rsidRDefault="00B35FA3" w:rsidP="00BC6BE0">
      <w:pPr>
        <w:pStyle w:val="Corpodetexto"/>
        <w:jc w:val="center"/>
        <w:rPr>
          <w:rFonts w:ascii="Times New Roman" w:hAnsi="Times New Roman"/>
          <w:b/>
          <w:color w:val="002060"/>
          <w:szCs w:val="20"/>
        </w:rPr>
      </w:pPr>
      <w:r>
        <w:rPr>
          <w:rFonts w:ascii="Times New Roman" w:hAnsi="Times New Roman"/>
          <w:b/>
          <w:color w:val="002060"/>
          <w:szCs w:val="20"/>
        </w:rPr>
        <w:object w:dxaOrig="14070" w:dyaOrig="2175">
          <v:shape id="_x0000_i1767" type="#_x0000_t75" style="width:698.25pt;height:107.25pt" o:ole="">
            <v:imagedata r:id="rId412" o:title=""/>
          </v:shape>
          <o:OLEObject Type="Link" ProgID="Excel.Sheet.12" ShapeID="_x0000_i1767" DrawAspect="Content" r:id="rId413" UpdateMode="Always">
            <o:LinkType>EnhancedMetaFile</o:LinkType>
            <o:LockedField>false</o:LockedField>
          </o:OLEObject>
        </w:object>
      </w:r>
    </w:p>
    <w:p w:rsidR="00BC6BE0" w:rsidRPr="00FA3856" w:rsidRDefault="00BC6BE0" w:rsidP="00E506D3">
      <w:pPr>
        <w:pStyle w:val="Corpodetexto"/>
        <w:rPr>
          <w:rFonts w:ascii="Times New Roman" w:hAnsi="Times New Roman"/>
          <w:b/>
          <w:color w:val="002060"/>
          <w:szCs w:val="20"/>
        </w:rPr>
      </w:pPr>
    </w:p>
    <w:p w:rsidR="00BC6BE0" w:rsidRDefault="00E506D3" w:rsidP="00E506D3">
      <w:pPr>
        <w:pStyle w:val="Corpodetexto"/>
        <w:rPr>
          <w:rFonts w:ascii="Times New Roman" w:hAnsi="Times New Roman"/>
          <w:b/>
          <w:color w:val="002060"/>
          <w:szCs w:val="20"/>
        </w:rPr>
      </w:pPr>
      <w:r w:rsidRPr="00FA3856">
        <w:rPr>
          <w:rFonts w:ascii="Times New Roman" w:hAnsi="Times New Roman"/>
          <w:b/>
          <w:color w:val="002060"/>
          <w:szCs w:val="20"/>
        </w:rPr>
        <w:t xml:space="preserve">Exemplo de Preenchimento: </w:t>
      </w:r>
    </w:p>
    <w:p w:rsidR="00BC6BE0" w:rsidRDefault="00BC6BE0" w:rsidP="00E506D3">
      <w:pPr>
        <w:pStyle w:val="Corpodetexto"/>
        <w:rPr>
          <w:rFonts w:ascii="Times New Roman" w:hAnsi="Times New Roman"/>
          <w:b/>
          <w:color w:val="002060"/>
          <w:szCs w:val="20"/>
        </w:rPr>
      </w:pPr>
    </w:p>
    <w:p w:rsidR="00E506D3" w:rsidRPr="00FA3856" w:rsidRDefault="00E506D3" w:rsidP="00E506D3">
      <w:pPr>
        <w:pStyle w:val="Corpodetexto"/>
        <w:rPr>
          <w:rFonts w:ascii="Times New Roman" w:hAnsi="Times New Roman"/>
          <w:b/>
          <w:color w:val="002060"/>
          <w:szCs w:val="20"/>
        </w:rPr>
      </w:pPr>
      <w:r w:rsidRPr="00FA3856">
        <w:rPr>
          <w:rFonts w:ascii="Times New Roman" w:hAnsi="Times New Roman"/>
          <w:b/>
          <w:color w:val="002060"/>
          <w:szCs w:val="20"/>
        </w:rPr>
        <w:t>|N990|2000|</w:t>
      </w:r>
    </w:p>
    <w:p w:rsidR="00E506D3" w:rsidRPr="00FA3856" w:rsidRDefault="00E506D3" w:rsidP="00E506D3">
      <w:pPr>
        <w:pStyle w:val="Corpodetexto"/>
        <w:ind w:firstLine="708"/>
        <w:rPr>
          <w:rFonts w:ascii="Times New Roman" w:hAnsi="Times New Roman"/>
          <w:color w:val="002060"/>
          <w:szCs w:val="20"/>
        </w:rPr>
      </w:pPr>
      <w:r w:rsidRPr="00FA3856">
        <w:rPr>
          <w:rFonts w:ascii="Times New Roman" w:hAnsi="Times New Roman"/>
          <w:color w:val="002060"/>
          <w:szCs w:val="20"/>
        </w:rPr>
        <w:t>|N990|: Identificação do tipo do registro.</w:t>
      </w:r>
    </w:p>
    <w:p w:rsidR="00E506D3" w:rsidRPr="00FA3856" w:rsidRDefault="00E506D3" w:rsidP="00E506D3">
      <w:pPr>
        <w:pStyle w:val="Corpodetexto"/>
        <w:ind w:firstLine="708"/>
        <w:rPr>
          <w:rFonts w:ascii="Times New Roman" w:hAnsi="Times New Roman"/>
          <w:color w:val="002060"/>
          <w:szCs w:val="20"/>
        </w:rPr>
      </w:pPr>
      <w:r w:rsidRPr="00FA3856">
        <w:rPr>
          <w:rFonts w:ascii="Times New Roman" w:hAnsi="Times New Roman"/>
          <w:color w:val="002060"/>
          <w:szCs w:val="20"/>
        </w:rPr>
        <w:t>|2000|: A quantidade total de registros do Bloco N é 2.000 (dois mil registros).</w:t>
      </w:r>
    </w:p>
    <w:p w:rsidR="009479AD" w:rsidRPr="00FA3856" w:rsidRDefault="009479AD" w:rsidP="009479AD">
      <w:pPr>
        <w:pStyle w:val="PSDS-MarcadoresNivel2"/>
        <w:numPr>
          <w:ilvl w:val="0"/>
          <w:numId w:val="0"/>
        </w:numPr>
        <w:rPr>
          <w:rFonts w:ascii="Times New Roman" w:hAnsi="Times New Roman"/>
        </w:rPr>
      </w:pPr>
    </w:p>
    <w:p w:rsidR="00EF69B3" w:rsidRPr="00FA3856" w:rsidRDefault="00EF69B3">
      <w:pPr>
        <w:rPr>
          <w:b/>
          <w:bCs/>
          <w:color w:val="0000FF"/>
          <w:szCs w:val="20"/>
        </w:rPr>
      </w:pPr>
      <w:r w:rsidRPr="00FA3856">
        <w:rPr>
          <w:color w:val="0000FF"/>
          <w:szCs w:val="20"/>
        </w:rPr>
        <w:br w:type="page"/>
      </w:r>
    </w:p>
    <w:p w:rsidR="009479AD" w:rsidRPr="00FA3856" w:rsidRDefault="009479AD" w:rsidP="00867F54">
      <w:pPr>
        <w:pStyle w:val="Ttulo3"/>
      </w:pPr>
      <w:bookmarkStart w:id="259" w:name="_Toc479713752"/>
      <w:r w:rsidRPr="00FA3856">
        <w:lastRenderedPageBreak/>
        <w:t>Bloco P: Lucro Presumido</w:t>
      </w:r>
      <w:bookmarkEnd w:id="259"/>
    </w:p>
    <w:p w:rsidR="009479AD" w:rsidRPr="00FA3856" w:rsidRDefault="009479AD" w:rsidP="009479AD">
      <w:pPr>
        <w:pStyle w:val="PSDS-MarcadoresNivel3"/>
        <w:tabs>
          <w:tab w:val="clear" w:pos="1440"/>
        </w:tabs>
        <w:spacing w:before="0" w:after="0"/>
        <w:ind w:left="720" w:firstLine="0"/>
        <w:rPr>
          <w:rFonts w:ascii="Times New Roman" w:hAnsi="Times New Roman" w:cs="Times New Roman"/>
          <w:szCs w:val="20"/>
        </w:rPr>
      </w:pPr>
    </w:p>
    <w:p w:rsidR="00F32E6D" w:rsidRPr="00FA3856" w:rsidRDefault="006A0AF8" w:rsidP="00F32E6D">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t>I)</w:t>
      </w:r>
      <w:r w:rsidR="00F32E6D" w:rsidRPr="00FA3856">
        <w:rPr>
          <w:rFonts w:ascii="Times New Roman" w:hAnsi="Times New Roman" w:cs="Times New Roman"/>
          <w:b/>
          <w:bCs/>
          <w:szCs w:val="20"/>
        </w:rPr>
        <w:t xml:space="preserve"> Conceito</w:t>
      </w:r>
    </w:p>
    <w:p w:rsidR="006A0AF8" w:rsidRPr="00FA3856" w:rsidRDefault="006A0AF8" w:rsidP="00F32E6D">
      <w:pPr>
        <w:pStyle w:val="NormalWeb"/>
        <w:spacing w:before="0" w:after="0"/>
        <w:jc w:val="both"/>
        <w:rPr>
          <w:rFonts w:ascii="Times New Roman" w:hAnsi="Times New Roman" w:cs="Times New Roman"/>
          <w:szCs w:val="20"/>
        </w:rPr>
      </w:pPr>
    </w:p>
    <w:p w:rsidR="00F32E6D" w:rsidRPr="00FA3856" w:rsidRDefault="00F32E6D" w:rsidP="006A0AF8">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O lucro presumido é uma forma de tributação simplificada para determinação da base de cálculo do imposto de renda e da CSLL das pessoas jurídicas que não estiverem obrigadas, no ano-calendário, à apuração do lucro real.</w:t>
      </w:r>
      <w:r w:rsidR="006A0AF8" w:rsidRPr="00FA3856">
        <w:rPr>
          <w:rFonts w:ascii="Times New Roman" w:hAnsi="Times New Roman" w:cs="Times New Roman"/>
          <w:szCs w:val="20"/>
        </w:rPr>
        <w:t xml:space="preserve"> </w:t>
      </w:r>
      <w:r w:rsidRPr="00FA3856">
        <w:rPr>
          <w:rFonts w:ascii="Times New Roman" w:hAnsi="Times New Roman" w:cs="Times New Roman"/>
          <w:szCs w:val="20"/>
        </w:rPr>
        <w:t>O imposto de renda é devido trimestralmente.</w:t>
      </w:r>
    </w:p>
    <w:p w:rsidR="006A0AF8" w:rsidRPr="00FA3856" w:rsidRDefault="006A0AF8" w:rsidP="006A0AF8">
      <w:pPr>
        <w:pStyle w:val="NormalWeb"/>
        <w:spacing w:before="0" w:after="0"/>
        <w:ind w:firstLine="708"/>
        <w:jc w:val="both"/>
        <w:rPr>
          <w:rFonts w:ascii="Times New Roman" w:hAnsi="Times New Roman" w:cs="Times New Roman"/>
          <w:szCs w:val="20"/>
        </w:rPr>
      </w:pPr>
    </w:p>
    <w:p w:rsidR="00F32E6D" w:rsidRPr="00FA3856" w:rsidRDefault="006A0AF8" w:rsidP="00F32E6D">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t>II)</w:t>
      </w:r>
      <w:r w:rsidR="00F32E6D" w:rsidRPr="00FA3856">
        <w:rPr>
          <w:rFonts w:ascii="Times New Roman" w:hAnsi="Times New Roman" w:cs="Times New Roman"/>
          <w:b/>
          <w:bCs/>
          <w:szCs w:val="20"/>
        </w:rPr>
        <w:t xml:space="preserve"> Ingresso no Sistema</w:t>
      </w:r>
    </w:p>
    <w:p w:rsidR="006A0AF8" w:rsidRPr="00FA3856" w:rsidRDefault="006A0AF8" w:rsidP="00F32E6D">
      <w:pPr>
        <w:pStyle w:val="NormalWeb"/>
        <w:spacing w:before="0" w:after="0"/>
        <w:jc w:val="both"/>
        <w:rPr>
          <w:rFonts w:ascii="Times New Roman" w:hAnsi="Times New Roman" w:cs="Times New Roman"/>
          <w:szCs w:val="20"/>
        </w:rPr>
      </w:pPr>
    </w:p>
    <w:p w:rsidR="00F32E6D" w:rsidRPr="00FA3856" w:rsidRDefault="00F32E6D" w:rsidP="006A0AF8">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opção pelo regime de tributação com base no lucro presumido é manifestada com o pagamento da primeira ou única quota do imposto devido, correspondente ao primeiro período de apuração de cada ano-calendário.</w:t>
      </w:r>
    </w:p>
    <w:p w:rsidR="006A0AF8" w:rsidRPr="00FA3856" w:rsidRDefault="006A0AF8" w:rsidP="00F32E6D">
      <w:pPr>
        <w:pStyle w:val="NormalWeb"/>
        <w:spacing w:before="0" w:after="0"/>
        <w:jc w:val="both"/>
        <w:rPr>
          <w:rFonts w:ascii="Times New Roman" w:hAnsi="Times New Roman" w:cs="Times New Roman"/>
          <w:szCs w:val="20"/>
        </w:rPr>
      </w:pPr>
    </w:p>
    <w:p w:rsidR="00F32E6D" w:rsidRPr="00FA3856" w:rsidRDefault="00F32E6D" w:rsidP="006A0AF8">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pessoa jurídica que iniciar atividades a partir do segundo trimestre manifesta a opção com o pagamento da primeira ou única quota do imposto devido, relativa ao período de apuração do início de atividade.</w:t>
      </w:r>
    </w:p>
    <w:p w:rsidR="006A0AF8" w:rsidRPr="00FA3856" w:rsidRDefault="006A0AF8" w:rsidP="006A0AF8">
      <w:pPr>
        <w:pStyle w:val="NormalWeb"/>
        <w:spacing w:before="0" w:after="0"/>
        <w:ind w:firstLine="600"/>
        <w:jc w:val="both"/>
        <w:rPr>
          <w:rFonts w:ascii="Times New Roman" w:hAnsi="Times New Roman" w:cs="Times New Roman"/>
          <w:szCs w:val="20"/>
        </w:rPr>
      </w:pPr>
    </w:p>
    <w:p w:rsidR="00F32E6D" w:rsidRPr="00FA3856" w:rsidRDefault="00F32E6D" w:rsidP="006A0AF8">
      <w:pPr>
        <w:pStyle w:val="NormalWeb"/>
        <w:spacing w:before="0" w:after="0"/>
        <w:ind w:firstLine="600"/>
        <w:jc w:val="both"/>
        <w:rPr>
          <w:rFonts w:ascii="Times New Roman" w:hAnsi="Times New Roman" w:cs="Times New Roman"/>
          <w:szCs w:val="20"/>
        </w:rPr>
      </w:pPr>
      <w:r w:rsidRPr="00FA3856">
        <w:rPr>
          <w:rFonts w:ascii="Times New Roman" w:hAnsi="Times New Roman" w:cs="Times New Roman"/>
          <w:szCs w:val="20"/>
        </w:rPr>
        <w:t>A opção pela apuração do imposto de renda com base no lucro presumido é irretratável para o ano-calendário (Lei n</w:t>
      </w:r>
      <w:r w:rsidRPr="00FA3856">
        <w:rPr>
          <w:rFonts w:ascii="Times New Roman" w:hAnsi="Times New Roman" w:cs="Times New Roman"/>
          <w:strike/>
          <w:szCs w:val="20"/>
        </w:rPr>
        <w:t>º</w:t>
      </w:r>
      <w:r w:rsidRPr="00FA3856">
        <w:rPr>
          <w:rFonts w:ascii="Times New Roman" w:hAnsi="Times New Roman" w:cs="Times New Roman"/>
          <w:szCs w:val="20"/>
        </w:rPr>
        <w:t xml:space="preserve"> 9.718, de 1998, art. 13, § 1</w:t>
      </w:r>
      <w:r w:rsidRPr="00FA3856">
        <w:rPr>
          <w:rFonts w:ascii="Times New Roman" w:hAnsi="Times New Roman" w:cs="Times New Roman"/>
          <w:strike/>
          <w:szCs w:val="20"/>
        </w:rPr>
        <w:t>º</w:t>
      </w:r>
      <w:r w:rsidRPr="00FA3856">
        <w:rPr>
          <w:rFonts w:ascii="Times New Roman" w:hAnsi="Times New Roman" w:cs="Times New Roman"/>
          <w:szCs w:val="20"/>
        </w:rPr>
        <w:t>).</w:t>
      </w:r>
    </w:p>
    <w:p w:rsidR="006A0AF8" w:rsidRPr="00FA3856" w:rsidRDefault="006A0AF8" w:rsidP="00F32E6D">
      <w:pPr>
        <w:pStyle w:val="NormalWeb"/>
        <w:spacing w:before="0" w:after="0"/>
        <w:ind w:left="600"/>
        <w:jc w:val="both"/>
        <w:rPr>
          <w:rFonts w:ascii="Times New Roman" w:hAnsi="Times New Roman" w:cs="Times New Roman"/>
          <w:b/>
          <w:bCs/>
          <w:szCs w:val="20"/>
        </w:rPr>
      </w:pPr>
    </w:p>
    <w:p w:rsidR="00F32E6D" w:rsidRPr="00FA3856" w:rsidRDefault="00F32E6D" w:rsidP="006A0AF8">
      <w:pPr>
        <w:pStyle w:val="NormalWeb"/>
        <w:spacing w:before="0" w:after="0"/>
        <w:ind w:left="600"/>
        <w:jc w:val="both"/>
        <w:rPr>
          <w:rFonts w:ascii="Times New Roman" w:hAnsi="Times New Roman" w:cs="Times New Roman"/>
          <w:szCs w:val="20"/>
        </w:rPr>
      </w:pPr>
      <w:r w:rsidRPr="00FA3856">
        <w:rPr>
          <w:rFonts w:ascii="Times New Roman" w:hAnsi="Times New Roman" w:cs="Times New Roman"/>
          <w:b/>
          <w:bCs/>
          <w:szCs w:val="20"/>
        </w:rPr>
        <w:t>Atenção:</w:t>
      </w:r>
      <w:r w:rsidR="006A0AF8" w:rsidRPr="00FA3856">
        <w:rPr>
          <w:rFonts w:ascii="Times New Roman" w:hAnsi="Times New Roman" w:cs="Times New Roman"/>
          <w:szCs w:val="20"/>
        </w:rPr>
        <w:t xml:space="preserve"> </w:t>
      </w:r>
      <w:r w:rsidRPr="00FA3856">
        <w:rPr>
          <w:rFonts w:ascii="Times New Roman" w:hAnsi="Times New Roman" w:cs="Times New Roman"/>
          <w:szCs w:val="20"/>
        </w:rPr>
        <w:t>Não podem optar pelo regime de tributação com base no lucro presumido as pessoas jurídicas que exercerem atividades de compra e venda, loteamento, incorporação e construção de imóveis, enquanto não concluídas as operações imobiliárias para as quais haja registro de custo orçado.</w:t>
      </w:r>
    </w:p>
    <w:p w:rsidR="006A0AF8" w:rsidRPr="00FA3856" w:rsidRDefault="006A0AF8" w:rsidP="006A0AF8">
      <w:pPr>
        <w:pStyle w:val="NormalWeb"/>
        <w:spacing w:before="0" w:after="0"/>
        <w:ind w:left="600"/>
        <w:jc w:val="both"/>
        <w:rPr>
          <w:rFonts w:ascii="Times New Roman" w:hAnsi="Times New Roman" w:cs="Times New Roman"/>
          <w:szCs w:val="20"/>
        </w:rPr>
      </w:pPr>
    </w:p>
    <w:p w:rsidR="00F32E6D" w:rsidRPr="00FA3856" w:rsidRDefault="006A0AF8" w:rsidP="00F32E6D">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t>III)</w:t>
      </w:r>
      <w:r w:rsidR="00F32E6D" w:rsidRPr="00FA3856">
        <w:rPr>
          <w:rFonts w:ascii="Times New Roman" w:hAnsi="Times New Roman" w:cs="Times New Roman"/>
          <w:b/>
          <w:bCs/>
          <w:szCs w:val="20"/>
        </w:rPr>
        <w:t xml:space="preserve"> Saída do Sistema</w:t>
      </w:r>
    </w:p>
    <w:p w:rsidR="006A0AF8" w:rsidRPr="00FA3856" w:rsidRDefault="006A0AF8" w:rsidP="00F32E6D">
      <w:pPr>
        <w:pStyle w:val="NormalWeb"/>
        <w:spacing w:before="0" w:after="0"/>
        <w:jc w:val="both"/>
        <w:rPr>
          <w:rFonts w:ascii="Times New Roman" w:hAnsi="Times New Roman" w:cs="Times New Roman"/>
          <w:szCs w:val="20"/>
        </w:rPr>
      </w:pPr>
    </w:p>
    <w:p w:rsidR="00F32E6D" w:rsidRPr="00FA3856" w:rsidRDefault="00F32E6D" w:rsidP="006A0AF8">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saída do sistema de tributação pelo lucro presumido é efetuada quando a pessoa jurídica deixar de se enquadrar nas condições para permanecer no sistema.</w:t>
      </w:r>
    </w:p>
    <w:p w:rsidR="006A0AF8" w:rsidRPr="00FA3856" w:rsidRDefault="006A0AF8" w:rsidP="00F32E6D">
      <w:pPr>
        <w:pStyle w:val="NormalWeb"/>
        <w:spacing w:before="0" w:after="0"/>
        <w:jc w:val="both"/>
        <w:rPr>
          <w:rFonts w:ascii="Times New Roman" w:hAnsi="Times New Roman" w:cs="Times New Roman"/>
          <w:b/>
          <w:bCs/>
          <w:szCs w:val="20"/>
        </w:rPr>
      </w:pPr>
    </w:p>
    <w:p w:rsidR="00F32E6D" w:rsidRPr="00FA3856" w:rsidRDefault="006A0AF8" w:rsidP="00F32E6D">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t xml:space="preserve">IV) </w:t>
      </w:r>
      <w:r w:rsidR="00F32E6D" w:rsidRPr="00FA3856">
        <w:rPr>
          <w:rFonts w:ascii="Times New Roman" w:hAnsi="Times New Roman" w:cs="Times New Roman"/>
          <w:b/>
          <w:bCs/>
          <w:szCs w:val="20"/>
        </w:rPr>
        <w:t>Pessoas Jurídicas Autorizadas a Optar</w:t>
      </w:r>
    </w:p>
    <w:p w:rsidR="006A0AF8" w:rsidRPr="00FA3856" w:rsidRDefault="006A0AF8" w:rsidP="00F32E6D">
      <w:pPr>
        <w:pStyle w:val="NormalWeb"/>
        <w:spacing w:before="0" w:after="0"/>
        <w:jc w:val="both"/>
        <w:rPr>
          <w:rFonts w:ascii="Times New Roman" w:hAnsi="Times New Roman" w:cs="Times New Roman"/>
          <w:b/>
          <w:bCs/>
          <w:szCs w:val="20"/>
        </w:rPr>
      </w:pPr>
    </w:p>
    <w:p w:rsidR="00F32E6D" w:rsidRPr="00FA3856" w:rsidRDefault="006A0AF8" w:rsidP="00F32E6D">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t xml:space="preserve">IV.1) </w:t>
      </w:r>
      <w:r w:rsidR="00F32E6D" w:rsidRPr="00FA3856">
        <w:rPr>
          <w:rFonts w:ascii="Times New Roman" w:hAnsi="Times New Roman" w:cs="Times New Roman"/>
          <w:b/>
          <w:bCs/>
          <w:szCs w:val="20"/>
        </w:rPr>
        <w:t>Considerações Gerais</w:t>
      </w:r>
    </w:p>
    <w:p w:rsidR="006A0AF8" w:rsidRPr="00FA3856" w:rsidRDefault="006A0AF8" w:rsidP="00F32E6D">
      <w:pPr>
        <w:pStyle w:val="NormalWeb"/>
        <w:spacing w:before="0" w:after="0"/>
        <w:jc w:val="both"/>
        <w:rPr>
          <w:rFonts w:ascii="Times New Roman" w:hAnsi="Times New Roman" w:cs="Times New Roman"/>
          <w:szCs w:val="20"/>
        </w:rPr>
      </w:pPr>
    </w:p>
    <w:p w:rsidR="00F32E6D" w:rsidRPr="00FA3856" w:rsidRDefault="00F32E6D" w:rsidP="006A0AF8">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Podem optar pela tributação com base no lucro presumido as pessoas jurídicas que, não estando obrigadas ao regime de tributação pelo lucro real, tenham auferido, no ano-calendário anterior, receita total igual ou inferior a R$ 78.000.000,00 (setenta e oito milhões de reais).</w:t>
      </w:r>
    </w:p>
    <w:p w:rsidR="006A0AF8" w:rsidRPr="00FA3856" w:rsidRDefault="006A0AF8" w:rsidP="00F32E6D">
      <w:pPr>
        <w:pStyle w:val="NormalWeb"/>
        <w:spacing w:before="0" w:after="0"/>
        <w:jc w:val="both"/>
        <w:rPr>
          <w:rFonts w:ascii="Times New Roman" w:hAnsi="Times New Roman" w:cs="Times New Roman"/>
          <w:szCs w:val="20"/>
        </w:rPr>
      </w:pPr>
    </w:p>
    <w:p w:rsidR="00F32E6D" w:rsidRPr="00FA3856" w:rsidRDefault="00F32E6D" w:rsidP="006A0AF8">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 xml:space="preserve">Considera-se receita total o somatório da receita bruta de vendas, dos ganhos </w:t>
      </w:r>
      <w:bookmarkStart w:id="260" w:name="BM17/95"/>
      <w:bookmarkStart w:id="261" w:name="BM17/96"/>
      <w:bookmarkEnd w:id="260"/>
      <w:bookmarkEnd w:id="261"/>
      <w:r w:rsidRPr="00FA3856">
        <w:rPr>
          <w:rFonts w:ascii="Times New Roman" w:hAnsi="Times New Roman" w:cs="Times New Roman"/>
          <w:szCs w:val="20"/>
        </w:rPr>
        <w:t>de capital, das demais receitas e dos resultados positivos decorrentes de receitas não compreendidas na atividade.</w:t>
      </w:r>
      <w:r w:rsidR="006A0AF8" w:rsidRPr="00FA3856">
        <w:rPr>
          <w:rFonts w:ascii="Times New Roman" w:hAnsi="Times New Roman" w:cs="Times New Roman"/>
          <w:szCs w:val="20"/>
        </w:rPr>
        <w:t xml:space="preserve"> </w:t>
      </w:r>
      <w:r w:rsidRPr="00FA3856">
        <w:rPr>
          <w:rFonts w:ascii="Times New Roman" w:hAnsi="Times New Roman" w:cs="Times New Roman"/>
          <w:szCs w:val="20"/>
        </w:rPr>
        <w:t>No caso de início de atividade, o limite será proporcional, à razão de R$ 6.500.000,00 (seis milhões e quinhentos mil reais) multiplicado pelo número de meses do período.</w:t>
      </w:r>
    </w:p>
    <w:p w:rsidR="006A0AF8" w:rsidRPr="00FA3856" w:rsidRDefault="006A0AF8" w:rsidP="00F32E6D">
      <w:pPr>
        <w:pStyle w:val="NormalWeb"/>
        <w:spacing w:before="0" w:after="0"/>
        <w:jc w:val="both"/>
        <w:rPr>
          <w:rFonts w:ascii="Times New Roman" w:hAnsi="Times New Roman" w:cs="Times New Roman"/>
          <w:szCs w:val="20"/>
        </w:rPr>
      </w:pPr>
    </w:p>
    <w:p w:rsidR="00F32E6D" w:rsidRPr="00FA3856" w:rsidRDefault="00F32E6D" w:rsidP="006A0AF8">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 xml:space="preserve">Podem, também, optar pela tributação com base no lucro presumido as pessoas jurídicas que iniciarem atividades ou que resultarem de incorporação, fusão ou cisão, desde que não estejam obrigadas à tributação pelo lucro real. </w:t>
      </w:r>
    </w:p>
    <w:p w:rsidR="006A0AF8" w:rsidRPr="00FA3856" w:rsidRDefault="006A0AF8" w:rsidP="00F32E6D">
      <w:pPr>
        <w:pStyle w:val="NormalWeb"/>
        <w:spacing w:before="0" w:after="0"/>
        <w:jc w:val="both"/>
        <w:rPr>
          <w:rFonts w:ascii="Times New Roman" w:hAnsi="Times New Roman" w:cs="Times New Roman"/>
          <w:szCs w:val="20"/>
        </w:rPr>
      </w:pPr>
    </w:p>
    <w:p w:rsidR="00F32E6D" w:rsidRPr="00FA3856" w:rsidRDefault="00F32E6D" w:rsidP="006A0AF8">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As pessoas jurídicas, tributadas pelo lucro presumido, e que, em qualquer trimestre do ano-calendário, tiverem seu lucro arbitrado, podem permanecer no regime de tributação com base no lucro presumido relativamente aos demais trimestres do ano-calendário, desd</w:t>
      </w:r>
      <w:bookmarkStart w:id="262" w:name="BM17/97"/>
      <w:bookmarkEnd w:id="262"/>
      <w:r w:rsidRPr="00FA3856">
        <w:rPr>
          <w:rFonts w:ascii="Times New Roman" w:hAnsi="Times New Roman" w:cs="Times New Roman"/>
          <w:szCs w:val="20"/>
        </w:rPr>
        <w:t>e que atendidas as disposições legais pertinentes (Lei n</w:t>
      </w:r>
      <w:r w:rsidRPr="00FA3856">
        <w:rPr>
          <w:rFonts w:ascii="Times New Roman" w:hAnsi="Times New Roman" w:cs="Times New Roman"/>
          <w:strike/>
          <w:szCs w:val="20"/>
        </w:rPr>
        <w:t>º</w:t>
      </w:r>
      <w:r w:rsidRPr="00FA3856">
        <w:rPr>
          <w:rFonts w:ascii="Times New Roman" w:hAnsi="Times New Roman" w:cs="Times New Roman"/>
          <w:szCs w:val="20"/>
        </w:rPr>
        <w:t xml:space="preserve"> 8.981, de 1995, art. 47, § 2</w:t>
      </w:r>
      <w:r w:rsidRPr="00FA3856">
        <w:rPr>
          <w:rFonts w:ascii="Times New Roman" w:hAnsi="Times New Roman" w:cs="Times New Roman"/>
          <w:strike/>
          <w:szCs w:val="20"/>
        </w:rPr>
        <w:t>º</w:t>
      </w:r>
      <w:r w:rsidRPr="00FA3856">
        <w:rPr>
          <w:rFonts w:ascii="Times New Roman" w:hAnsi="Times New Roman" w:cs="Times New Roman"/>
          <w:szCs w:val="20"/>
        </w:rPr>
        <w:t>; Lei n</w:t>
      </w:r>
      <w:r w:rsidRPr="00FA3856">
        <w:rPr>
          <w:rFonts w:ascii="Times New Roman" w:hAnsi="Times New Roman" w:cs="Times New Roman"/>
          <w:strike/>
          <w:szCs w:val="20"/>
        </w:rPr>
        <w:t>º</w:t>
      </w:r>
      <w:r w:rsidRPr="00FA3856">
        <w:rPr>
          <w:rFonts w:ascii="Times New Roman" w:hAnsi="Times New Roman" w:cs="Times New Roman"/>
          <w:szCs w:val="20"/>
        </w:rPr>
        <w:t xml:space="preserve"> 9.430, de 1996, art.1</w:t>
      </w:r>
      <w:r w:rsidRPr="00FA3856">
        <w:rPr>
          <w:rFonts w:ascii="Times New Roman" w:hAnsi="Times New Roman" w:cs="Times New Roman"/>
          <w:strike/>
          <w:szCs w:val="20"/>
        </w:rPr>
        <w:t>º</w:t>
      </w:r>
      <w:r w:rsidRPr="00FA3856">
        <w:rPr>
          <w:rFonts w:ascii="Times New Roman" w:hAnsi="Times New Roman" w:cs="Times New Roman"/>
          <w:szCs w:val="20"/>
        </w:rPr>
        <w:t xml:space="preserve">; </w:t>
      </w:r>
      <w:r w:rsidR="006D4F00">
        <w:rPr>
          <w:rFonts w:ascii="Times New Roman" w:hAnsi="Times New Roman" w:cs="Times New Roman"/>
          <w:szCs w:val="20"/>
        </w:rPr>
        <w:t>Instrução Normativa n</w:t>
      </w:r>
      <w:r w:rsidR="006D4F00">
        <w:rPr>
          <w:rFonts w:ascii="Times New Roman" w:hAnsi="Times New Roman" w:cs="Times New Roman"/>
          <w:szCs w:val="20"/>
          <w:u w:val="single"/>
          <w:vertAlign w:val="superscript"/>
        </w:rPr>
        <w:t>o</w:t>
      </w:r>
      <w:r w:rsidR="006D4F00">
        <w:rPr>
          <w:rFonts w:ascii="Times New Roman" w:hAnsi="Times New Roman" w:cs="Times New Roman"/>
          <w:szCs w:val="20"/>
        </w:rPr>
        <w:t xml:space="preserve"> 1.700/2017</w:t>
      </w:r>
      <w:r w:rsidR="00411D4D">
        <w:rPr>
          <w:rFonts w:ascii="Times New Roman" w:hAnsi="Times New Roman" w:cs="Times New Roman"/>
          <w:szCs w:val="20"/>
        </w:rPr>
        <w:t>, art. 235</w:t>
      </w:r>
      <w:r w:rsidRPr="00FA3856">
        <w:rPr>
          <w:rFonts w:ascii="Times New Roman" w:hAnsi="Times New Roman" w:cs="Times New Roman"/>
          <w:szCs w:val="20"/>
        </w:rPr>
        <w:t>).</w:t>
      </w:r>
    </w:p>
    <w:p w:rsidR="00F32E6D" w:rsidRPr="00FA3856" w:rsidRDefault="006A0AF8" w:rsidP="00F32E6D">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lastRenderedPageBreak/>
        <w:t>IV.2)</w:t>
      </w:r>
      <w:r w:rsidR="00F32E6D" w:rsidRPr="00FA3856">
        <w:rPr>
          <w:rFonts w:ascii="Times New Roman" w:hAnsi="Times New Roman" w:cs="Times New Roman"/>
          <w:b/>
          <w:bCs/>
          <w:szCs w:val="20"/>
        </w:rPr>
        <w:t xml:space="preserve"> Optantes pelo Refis</w:t>
      </w:r>
    </w:p>
    <w:p w:rsidR="006A0AF8" w:rsidRPr="00FA3856" w:rsidRDefault="006A0AF8" w:rsidP="00F32E6D">
      <w:pPr>
        <w:pStyle w:val="NormalWeb"/>
        <w:spacing w:before="0" w:after="0"/>
        <w:jc w:val="both"/>
        <w:rPr>
          <w:rFonts w:ascii="Times New Roman" w:hAnsi="Times New Roman" w:cs="Times New Roman"/>
          <w:szCs w:val="20"/>
        </w:rPr>
      </w:pPr>
    </w:p>
    <w:p w:rsidR="00F32E6D" w:rsidRPr="00FA3856" w:rsidRDefault="00F32E6D" w:rsidP="006A0AF8">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O Programa de Recuperação Fiscal (Refis), instituído pela Lei nº 9.964, de 10 de abril de 2000, destina-se a promover a regularização de créditos da União, decorrentes de débitos de pessoas jurídicas, relativos a tributos e contribuições à época administrados pela Secretaria da Receita Federal (SRF) e pelo Instituto Nacional do Seguro Social (INSS), com vencimento até 29 de fevereiro de 2000, constituídos ou não, inscritos ou não em dívida ativa, ajuizados ou a ajuizar, com exigibilidade suspensa ou não, inclusive os decorrentes de falta de recolhimento de valores retidos, observados o Decreto nº 3.431, de 24 de abril de 2000, a Lei nº 10.002, de 14 de setembro de 2000, a Lei nº 10.189, de 14 de fevereiro de 2001, e a Lei nº 10.637, de 30 de dezembro de 2002.</w:t>
      </w:r>
    </w:p>
    <w:p w:rsidR="006A0AF8" w:rsidRPr="00FA3856" w:rsidRDefault="006A0AF8" w:rsidP="00F32E6D">
      <w:pPr>
        <w:pStyle w:val="NormalWeb"/>
        <w:spacing w:before="0" w:after="0"/>
        <w:jc w:val="both"/>
        <w:rPr>
          <w:rFonts w:ascii="Times New Roman" w:hAnsi="Times New Roman" w:cs="Times New Roman"/>
          <w:szCs w:val="20"/>
        </w:rPr>
      </w:pPr>
    </w:p>
    <w:p w:rsidR="00F32E6D" w:rsidRPr="00FA3856" w:rsidRDefault="00F32E6D" w:rsidP="006A0AF8">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Não puderam ingressar no Refis as pessoas jurídicas de que tratam os incisos II e VI do art. 14 da Lei nº 9.718, de 27 de novembro de 1998.</w:t>
      </w:r>
    </w:p>
    <w:p w:rsidR="006A0AF8" w:rsidRPr="00FA3856" w:rsidRDefault="006A0AF8" w:rsidP="00F32E6D">
      <w:pPr>
        <w:pStyle w:val="NormalWeb"/>
        <w:spacing w:before="0" w:after="0"/>
        <w:jc w:val="both"/>
        <w:rPr>
          <w:rFonts w:ascii="Times New Roman" w:hAnsi="Times New Roman" w:cs="Times New Roman"/>
          <w:szCs w:val="20"/>
        </w:rPr>
      </w:pPr>
    </w:p>
    <w:p w:rsidR="00F32E6D" w:rsidRPr="00FA3856" w:rsidRDefault="00F32E6D" w:rsidP="006A0AF8">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 xml:space="preserve">As pessoas jurídicas </w:t>
      </w:r>
      <w:r w:rsidR="006A0AF8" w:rsidRPr="00FA3856">
        <w:rPr>
          <w:rFonts w:ascii="Times New Roman" w:hAnsi="Times New Roman" w:cs="Times New Roman"/>
          <w:szCs w:val="20"/>
        </w:rPr>
        <w:t xml:space="preserve">cuja receita total, no ano-calendário anterior, seja superior ao limite de R$ 78.000.000,00 (setenta e oito milhões de reais), ou de R$ 6.500.000,00 (seis milhões e quinhentos mil reais) multiplicados pelo número de meses do período, quando inferior a doze meses; cujas atividades sejam de bancos comerciais, bancos de investimentos, bancos de desenvolvimento, caixas econômicas, sociedades de crédito, financiamento e investimento, sociedades de crédito imobiliário, sociedades corretoras de títulos, valores mobiliários e câmbio, distribuidoras de títulos </w:t>
      </w:r>
      <w:bookmarkStart w:id="263" w:name="subitem_15.2.1"/>
      <w:bookmarkEnd w:id="263"/>
      <w:r w:rsidR="006A0AF8" w:rsidRPr="00FA3856">
        <w:rPr>
          <w:rFonts w:ascii="Times New Roman" w:hAnsi="Times New Roman" w:cs="Times New Roman"/>
          <w:szCs w:val="20"/>
        </w:rPr>
        <w:t>e valores mobiliários, empresas de arrendamento mercantil, cooperativas de crédito, empresas de seguros privados e de capitalização e entidades de previdência privada aberta; que tiverem lucros, rendimentos ou ganhos de capital oriundos do exterior; que, autorizadas pela legisla</w:t>
      </w:r>
      <w:bookmarkStart w:id="264" w:name="subitem_15.2.2"/>
      <w:bookmarkEnd w:id="264"/>
      <w:r w:rsidR="006A0AF8" w:rsidRPr="00FA3856">
        <w:rPr>
          <w:rFonts w:ascii="Times New Roman" w:hAnsi="Times New Roman" w:cs="Times New Roman"/>
          <w:szCs w:val="20"/>
        </w:rPr>
        <w:t xml:space="preserve">ção tributária, usufruam benefícios fiscais relativos à isenção ou redução do imposto; que, no decorrer do ano-calendário, tenham efetuado pagamento mensal do imposto de renda, determinado sobre a base de cálculo estimada, na forma do art. 2º da Lei nº 9.430, de 1996; </w:t>
      </w:r>
      <w:r w:rsidRPr="00FA3856">
        <w:rPr>
          <w:rFonts w:ascii="Times New Roman" w:hAnsi="Times New Roman" w:cs="Times New Roman"/>
          <w:szCs w:val="20"/>
        </w:rPr>
        <w:t>e as sociedades em conta de participação (SCP) que optarem pelo Programa de Recuperação Fiscal (Refis) podem, durante o período em que submetidas ao Refis, adotar o regime de tributação com base no lucro presumido. A opção pelo lucro presumido é irretratável para todo o ano-calendário (Lei n</w:t>
      </w:r>
      <w:r w:rsidRPr="00FA3856">
        <w:rPr>
          <w:rFonts w:ascii="Times New Roman" w:hAnsi="Times New Roman" w:cs="Times New Roman"/>
          <w:strike/>
          <w:szCs w:val="20"/>
        </w:rPr>
        <w:t>º</w:t>
      </w:r>
      <w:r w:rsidRPr="00FA3856">
        <w:rPr>
          <w:rFonts w:ascii="Times New Roman" w:hAnsi="Times New Roman" w:cs="Times New Roman"/>
          <w:szCs w:val="20"/>
        </w:rPr>
        <w:t xml:space="preserve"> 9.964, de 2000, art. 4</w:t>
      </w:r>
      <w:r w:rsidRPr="00FA3856">
        <w:rPr>
          <w:rFonts w:ascii="Times New Roman" w:hAnsi="Times New Roman" w:cs="Times New Roman"/>
          <w:strike/>
          <w:szCs w:val="20"/>
        </w:rPr>
        <w:t>º</w:t>
      </w:r>
      <w:r w:rsidRPr="00FA3856">
        <w:rPr>
          <w:rFonts w:ascii="Times New Roman" w:hAnsi="Times New Roman" w:cs="Times New Roman"/>
          <w:szCs w:val="20"/>
        </w:rPr>
        <w:t>).</w:t>
      </w:r>
    </w:p>
    <w:p w:rsidR="006A0AF8" w:rsidRPr="00FA3856" w:rsidRDefault="006A0AF8" w:rsidP="00F32E6D">
      <w:pPr>
        <w:pStyle w:val="NormalWeb"/>
        <w:spacing w:before="0" w:after="0"/>
        <w:jc w:val="both"/>
        <w:rPr>
          <w:rFonts w:ascii="Times New Roman" w:hAnsi="Times New Roman" w:cs="Times New Roman"/>
          <w:szCs w:val="20"/>
        </w:rPr>
      </w:pPr>
    </w:p>
    <w:p w:rsidR="00F32E6D" w:rsidRPr="00FA3856" w:rsidRDefault="00F32E6D" w:rsidP="006A0AF8">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 xml:space="preserve">Ocorrendo a exclusão dessas pessoas jurídicas do Refis, o imposto de renda e a contribuição social sobre o lucro líquido serão apurados sobre o lucro líquido contábil ajustado pelas adições e exclusões determinadas pela legislação específica, a partir do trimestre-calendário seguinte ao da </w:t>
      </w:r>
      <w:bookmarkStart w:id="265" w:name="subitem_15.2.3"/>
      <w:bookmarkEnd w:id="265"/>
      <w:r w:rsidRPr="00FA3856">
        <w:rPr>
          <w:rFonts w:ascii="Times New Roman" w:hAnsi="Times New Roman" w:cs="Times New Roman"/>
          <w:szCs w:val="20"/>
        </w:rPr>
        <w:t>exclusão.</w:t>
      </w:r>
    </w:p>
    <w:p w:rsidR="006A0AF8" w:rsidRPr="00FA3856" w:rsidRDefault="006A0AF8" w:rsidP="00F32E6D">
      <w:pPr>
        <w:pStyle w:val="NormalWeb"/>
        <w:spacing w:before="0" w:after="0"/>
        <w:jc w:val="both"/>
        <w:rPr>
          <w:rFonts w:ascii="Times New Roman" w:hAnsi="Times New Roman" w:cs="Times New Roman"/>
          <w:szCs w:val="20"/>
        </w:rPr>
      </w:pPr>
    </w:p>
    <w:p w:rsidR="00F32E6D" w:rsidRPr="00FA3856" w:rsidRDefault="00F32E6D" w:rsidP="006A0AF8">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As pessoas jurídicas que exerçam as atividades de compra e venda, loteamento, incorporação e construção de imóveis não podem optar pelo lucro presumido, ainda que tenh</w:t>
      </w:r>
      <w:bookmarkStart w:id="266" w:name="subitem_15.2.4"/>
      <w:bookmarkEnd w:id="266"/>
      <w:r w:rsidRPr="00FA3856">
        <w:rPr>
          <w:rFonts w:ascii="Times New Roman" w:hAnsi="Times New Roman" w:cs="Times New Roman"/>
          <w:szCs w:val="20"/>
        </w:rPr>
        <w:t>am ingressado no Refis, enquanto não conclu</w:t>
      </w:r>
      <w:bookmarkStart w:id="267" w:name="subitem_15.2.4.1"/>
      <w:bookmarkEnd w:id="267"/>
      <w:r w:rsidRPr="00FA3856">
        <w:rPr>
          <w:rFonts w:ascii="Times New Roman" w:hAnsi="Times New Roman" w:cs="Times New Roman"/>
          <w:szCs w:val="20"/>
        </w:rPr>
        <w:t>ídas as operações imobiliárias para as quais haja registro de custo orçado.</w:t>
      </w:r>
    </w:p>
    <w:p w:rsidR="006A0AF8" w:rsidRPr="00FA3856" w:rsidRDefault="006A0AF8" w:rsidP="00F32E6D">
      <w:pPr>
        <w:pStyle w:val="NormalWeb"/>
        <w:spacing w:before="0" w:after="0"/>
        <w:jc w:val="both"/>
        <w:rPr>
          <w:rFonts w:ascii="Times New Roman" w:hAnsi="Times New Roman" w:cs="Times New Roman"/>
          <w:b/>
          <w:bCs/>
          <w:szCs w:val="20"/>
        </w:rPr>
      </w:pPr>
    </w:p>
    <w:p w:rsidR="00F32E6D" w:rsidRPr="00FA3856" w:rsidRDefault="006A0AF8" w:rsidP="00F32E6D">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t>IV.3)</w:t>
      </w:r>
      <w:r w:rsidR="00F32E6D" w:rsidRPr="00FA3856">
        <w:rPr>
          <w:rFonts w:ascii="Times New Roman" w:hAnsi="Times New Roman" w:cs="Times New Roman"/>
          <w:b/>
          <w:bCs/>
          <w:szCs w:val="20"/>
        </w:rPr>
        <w:t xml:space="preserve"> Verificação do Limite de Receita</w:t>
      </w:r>
    </w:p>
    <w:p w:rsidR="006A0AF8" w:rsidRPr="00FA3856" w:rsidRDefault="006A0AF8" w:rsidP="00F32E6D">
      <w:pPr>
        <w:pStyle w:val="NormalWeb"/>
        <w:spacing w:before="0" w:after="0"/>
        <w:jc w:val="both"/>
        <w:rPr>
          <w:rFonts w:ascii="Times New Roman" w:hAnsi="Times New Roman" w:cs="Times New Roman"/>
          <w:szCs w:val="20"/>
        </w:rPr>
      </w:pPr>
    </w:p>
    <w:p w:rsidR="00F32E6D" w:rsidRPr="00FA3856" w:rsidRDefault="00F32E6D" w:rsidP="00027924">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 xml:space="preserve">O limite de </w:t>
      </w:r>
      <w:r w:rsidR="00027924" w:rsidRPr="00FA3856">
        <w:rPr>
          <w:rFonts w:ascii="Times New Roman" w:hAnsi="Times New Roman" w:cs="Times New Roman"/>
          <w:szCs w:val="20"/>
        </w:rPr>
        <w:t>R$ 78.000.000,00 (setenta e oito milhões de reais)</w:t>
      </w:r>
      <w:r w:rsidRPr="00FA3856">
        <w:rPr>
          <w:rFonts w:ascii="Times New Roman" w:hAnsi="Times New Roman" w:cs="Times New Roman"/>
          <w:szCs w:val="20"/>
        </w:rPr>
        <w:t xml:space="preserve"> para a opção no ano-calendário é calculado tomando-se por base o somatório das receitas totais mensais auferidas no ano-calendário anterior.</w:t>
      </w:r>
    </w:p>
    <w:p w:rsidR="006A0AF8" w:rsidRPr="00FA3856" w:rsidRDefault="006A0AF8" w:rsidP="00F32E6D">
      <w:pPr>
        <w:pStyle w:val="NormalWeb"/>
        <w:spacing w:before="0" w:after="0"/>
        <w:jc w:val="both"/>
        <w:rPr>
          <w:rFonts w:ascii="Times New Roman" w:hAnsi="Times New Roman" w:cs="Times New Roman"/>
          <w:b/>
          <w:bCs/>
          <w:szCs w:val="20"/>
        </w:rPr>
      </w:pPr>
    </w:p>
    <w:p w:rsidR="00F32E6D" w:rsidRPr="00FA3856" w:rsidRDefault="006A0AF8" w:rsidP="00F32E6D">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t>IV.3.1)</w:t>
      </w:r>
      <w:r w:rsidR="00F32E6D" w:rsidRPr="00FA3856">
        <w:rPr>
          <w:rFonts w:ascii="Times New Roman" w:hAnsi="Times New Roman" w:cs="Times New Roman"/>
          <w:b/>
          <w:bCs/>
          <w:szCs w:val="20"/>
        </w:rPr>
        <w:t xml:space="preserve"> Valores Integrantes da Receita Total</w:t>
      </w:r>
    </w:p>
    <w:p w:rsidR="006A0AF8" w:rsidRPr="00FA3856" w:rsidRDefault="006A0AF8" w:rsidP="00F32E6D">
      <w:pPr>
        <w:pStyle w:val="NormalWeb"/>
        <w:spacing w:before="0" w:after="0"/>
        <w:jc w:val="both"/>
        <w:rPr>
          <w:rFonts w:ascii="Times New Roman" w:hAnsi="Times New Roman" w:cs="Times New Roman"/>
          <w:szCs w:val="20"/>
        </w:rPr>
      </w:pPr>
    </w:p>
    <w:p w:rsidR="00F32E6D" w:rsidRPr="00FA3856" w:rsidRDefault="00F32E6D" w:rsidP="006A0AF8">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 xml:space="preserve">Integram a receita total para fins de determinação do limite de que trata </w:t>
      </w:r>
      <w:r w:rsidR="0063733D" w:rsidRPr="00FA3856">
        <w:rPr>
          <w:rFonts w:ascii="Times New Roman" w:hAnsi="Times New Roman" w:cs="Times New Roman"/>
          <w:szCs w:val="20"/>
        </w:rPr>
        <w:t>o subitem</w:t>
      </w:r>
      <w:r w:rsidRPr="00FA3856">
        <w:rPr>
          <w:rFonts w:ascii="Times New Roman" w:hAnsi="Times New Roman" w:cs="Times New Roman"/>
          <w:szCs w:val="20"/>
        </w:rPr>
        <w:t xml:space="preserve"> </w:t>
      </w:r>
      <w:r w:rsidR="006A0AF8" w:rsidRPr="00FA3856">
        <w:rPr>
          <w:rFonts w:ascii="Times New Roman" w:hAnsi="Times New Roman" w:cs="Times New Roman"/>
          <w:szCs w:val="20"/>
        </w:rPr>
        <w:t>IV.1</w:t>
      </w:r>
      <w:r w:rsidRPr="00FA3856">
        <w:rPr>
          <w:rFonts w:ascii="Times New Roman" w:hAnsi="Times New Roman" w:cs="Times New Roman"/>
          <w:szCs w:val="20"/>
        </w:rPr>
        <w:t>:</w:t>
      </w:r>
    </w:p>
    <w:p w:rsidR="006A0AF8" w:rsidRPr="00FA3856" w:rsidRDefault="006A0AF8" w:rsidP="00F32E6D">
      <w:pPr>
        <w:pStyle w:val="NormalWeb"/>
        <w:spacing w:before="0" w:after="0"/>
        <w:jc w:val="both"/>
        <w:rPr>
          <w:rFonts w:ascii="Times New Roman" w:hAnsi="Times New Roman" w:cs="Times New Roman"/>
          <w:szCs w:val="20"/>
        </w:rPr>
      </w:pPr>
    </w:p>
    <w:p w:rsidR="00F32E6D" w:rsidRPr="00FA3856" w:rsidRDefault="00F32E6D" w:rsidP="006A0AF8">
      <w:pPr>
        <w:pStyle w:val="NormalWeb"/>
        <w:spacing w:before="0" w:after="0"/>
        <w:ind w:left="708"/>
        <w:jc w:val="both"/>
        <w:rPr>
          <w:rFonts w:ascii="Times New Roman" w:hAnsi="Times New Roman" w:cs="Times New Roman"/>
          <w:szCs w:val="20"/>
        </w:rPr>
      </w:pPr>
      <w:r w:rsidRPr="00FA3856">
        <w:rPr>
          <w:rFonts w:ascii="Times New Roman" w:hAnsi="Times New Roman" w:cs="Times New Roman"/>
          <w:szCs w:val="20"/>
        </w:rPr>
        <w:t>a) as receitas da prestação de serviços, da venda de produtos de fabricação própria, da revenda de mercadorias, do transporte de cargas, da industrialização de produtos em que a matéria-prima, o produto intermediário e o material de embalagem tenham sido fornecidos por quem encomendou a industrialização, da atividade rural, e de outras atividades compreendidas nos objetivos sociais da pessoa jurídica;</w:t>
      </w:r>
    </w:p>
    <w:p w:rsidR="00F32E6D" w:rsidRPr="00FA3856" w:rsidRDefault="00F32E6D" w:rsidP="006A0AF8">
      <w:pPr>
        <w:pStyle w:val="NormalWeb"/>
        <w:spacing w:before="0" w:after="0"/>
        <w:ind w:left="708"/>
        <w:jc w:val="both"/>
        <w:rPr>
          <w:rFonts w:ascii="Times New Roman" w:hAnsi="Times New Roman" w:cs="Times New Roman"/>
          <w:szCs w:val="20"/>
        </w:rPr>
      </w:pPr>
      <w:r w:rsidRPr="00FA3856">
        <w:rPr>
          <w:rFonts w:ascii="Times New Roman" w:hAnsi="Times New Roman" w:cs="Times New Roman"/>
          <w:szCs w:val="20"/>
        </w:rPr>
        <w:t>b) as receitas de quaisquer outras fontes não relacionadas diretamente com os objetivos sociais da pessoa jurídica e os ganhos de capital;</w:t>
      </w:r>
    </w:p>
    <w:p w:rsidR="00F32E6D" w:rsidRPr="00FA3856" w:rsidRDefault="00F32E6D" w:rsidP="006A0AF8">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 xml:space="preserve">c) os ganhos líquidos obtidos em operações realizadas nos mercados de renda variável; </w:t>
      </w:r>
    </w:p>
    <w:p w:rsidR="00F32E6D" w:rsidRPr="00FA3856" w:rsidRDefault="00F32E6D" w:rsidP="006A0AF8">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d) os rendimentos nominais auferidos em aplicações financeiras de renda fixa;</w:t>
      </w:r>
    </w:p>
    <w:p w:rsidR="00F32E6D" w:rsidRPr="00FA3856" w:rsidRDefault="00F32E6D" w:rsidP="00E506D3">
      <w:pPr>
        <w:pStyle w:val="NormalWeb"/>
        <w:spacing w:before="0" w:after="0"/>
        <w:ind w:left="708"/>
        <w:jc w:val="both"/>
        <w:rPr>
          <w:rFonts w:ascii="Times New Roman" w:hAnsi="Times New Roman" w:cs="Times New Roman"/>
          <w:szCs w:val="20"/>
        </w:rPr>
      </w:pPr>
      <w:r w:rsidRPr="00FA3856">
        <w:rPr>
          <w:rFonts w:ascii="Times New Roman" w:hAnsi="Times New Roman" w:cs="Times New Roman"/>
          <w:szCs w:val="20"/>
        </w:rPr>
        <w:lastRenderedPageBreak/>
        <w:t>e) a parcela das receitas auferidas nas exportações às pessoas vinculadas ou aos países com tributação favorecida que exceder ao valor já apro</w:t>
      </w:r>
      <w:bookmarkStart w:id="268" w:name="subitem_15.2.4.2"/>
      <w:bookmarkEnd w:id="268"/>
      <w:r w:rsidRPr="00FA3856">
        <w:rPr>
          <w:rFonts w:ascii="Times New Roman" w:hAnsi="Times New Roman" w:cs="Times New Roman"/>
          <w:szCs w:val="20"/>
        </w:rPr>
        <w:t>priado na escrituração da empresa, em decorrência dos ajustes dos métodos de preços de transferências.</w:t>
      </w:r>
    </w:p>
    <w:p w:rsidR="00E506D3" w:rsidRPr="00FA3856" w:rsidRDefault="00E506D3" w:rsidP="00F32E6D">
      <w:pPr>
        <w:pStyle w:val="NormalWeb"/>
        <w:spacing w:before="0" w:after="0"/>
        <w:jc w:val="both"/>
        <w:rPr>
          <w:rFonts w:ascii="Times New Roman" w:hAnsi="Times New Roman" w:cs="Times New Roman"/>
          <w:b/>
          <w:bCs/>
          <w:szCs w:val="20"/>
        </w:rPr>
      </w:pPr>
    </w:p>
    <w:p w:rsidR="00F32E6D" w:rsidRPr="00FA3856" w:rsidRDefault="00E506D3" w:rsidP="00F32E6D">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t>IV.3.2)</w:t>
      </w:r>
      <w:r w:rsidR="00F32E6D" w:rsidRPr="00FA3856">
        <w:rPr>
          <w:rFonts w:ascii="Times New Roman" w:hAnsi="Times New Roman" w:cs="Times New Roman"/>
          <w:b/>
          <w:bCs/>
          <w:szCs w:val="20"/>
        </w:rPr>
        <w:t xml:space="preserve"> Valores não Integrantes da Receita Total</w:t>
      </w:r>
    </w:p>
    <w:p w:rsidR="00E506D3" w:rsidRPr="00FA3856" w:rsidRDefault="00E506D3" w:rsidP="00F32E6D">
      <w:pPr>
        <w:pStyle w:val="NormalWeb"/>
        <w:spacing w:before="0" w:after="0"/>
        <w:jc w:val="both"/>
        <w:rPr>
          <w:rFonts w:ascii="Times New Roman" w:hAnsi="Times New Roman" w:cs="Times New Roman"/>
          <w:szCs w:val="20"/>
        </w:rPr>
      </w:pPr>
    </w:p>
    <w:p w:rsidR="00F32E6D" w:rsidRPr="00FA3856" w:rsidRDefault="00F32E6D" w:rsidP="00E506D3">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Não integram a receita total:</w:t>
      </w:r>
    </w:p>
    <w:p w:rsidR="00E506D3" w:rsidRPr="00FA3856" w:rsidRDefault="00E506D3" w:rsidP="00F32E6D">
      <w:pPr>
        <w:pStyle w:val="NormalWeb"/>
        <w:spacing w:before="0" w:after="0"/>
        <w:jc w:val="both"/>
        <w:rPr>
          <w:rFonts w:ascii="Times New Roman" w:hAnsi="Times New Roman" w:cs="Times New Roman"/>
          <w:szCs w:val="20"/>
        </w:rPr>
      </w:pPr>
    </w:p>
    <w:p w:rsidR="00F32E6D" w:rsidRPr="00FA3856" w:rsidRDefault="00F32E6D" w:rsidP="00E506D3">
      <w:pPr>
        <w:pStyle w:val="NormalWeb"/>
        <w:spacing w:before="0" w:after="0"/>
        <w:ind w:left="708"/>
        <w:jc w:val="both"/>
        <w:rPr>
          <w:rFonts w:ascii="Times New Roman" w:hAnsi="Times New Roman" w:cs="Times New Roman"/>
          <w:szCs w:val="20"/>
        </w:rPr>
      </w:pPr>
      <w:r w:rsidRPr="00FA3856">
        <w:rPr>
          <w:rFonts w:ascii="Times New Roman" w:hAnsi="Times New Roman" w:cs="Times New Roman"/>
          <w:szCs w:val="20"/>
        </w:rPr>
        <w:t>a) as vendas canceladas, as devoluções de vendas, os descontos incondicionais concedidos e os impostos não cumulativos (IPI) cobrados destacadamente do comprador ou contratante e do qual o vendedor dos bens ou o prestador dos serviços seja mero depositário;</w:t>
      </w:r>
    </w:p>
    <w:p w:rsidR="00F32E6D" w:rsidRPr="00FA3856" w:rsidRDefault="00F32E6D" w:rsidP="00E506D3">
      <w:pPr>
        <w:pStyle w:val="NormalWeb"/>
        <w:spacing w:before="0" w:after="0"/>
        <w:ind w:left="708"/>
        <w:jc w:val="both"/>
        <w:rPr>
          <w:rFonts w:ascii="Times New Roman" w:hAnsi="Times New Roman" w:cs="Times New Roman"/>
          <w:szCs w:val="20"/>
        </w:rPr>
      </w:pPr>
      <w:r w:rsidRPr="00FA3856">
        <w:rPr>
          <w:rFonts w:ascii="Times New Roman" w:hAnsi="Times New Roman" w:cs="Times New Roman"/>
          <w:szCs w:val="20"/>
        </w:rPr>
        <w:t>b) as saídas que não decorram de vendas, a exemplo das transferências de mercadorias para outros estabelecimentos da mesma empresa.</w:t>
      </w:r>
    </w:p>
    <w:p w:rsidR="00E506D3" w:rsidRPr="00FA3856" w:rsidRDefault="00E506D3" w:rsidP="00F32E6D">
      <w:pPr>
        <w:pStyle w:val="NormalWeb"/>
        <w:spacing w:before="0" w:after="0"/>
        <w:jc w:val="both"/>
        <w:rPr>
          <w:rFonts w:ascii="Times New Roman" w:hAnsi="Times New Roman" w:cs="Times New Roman"/>
          <w:b/>
          <w:bCs/>
          <w:szCs w:val="20"/>
        </w:rPr>
      </w:pPr>
    </w:p>
    <w:p w:rsidR="00F32E6D" w:rsidRPr="00FA3856" w:rsidRDefault="00E506D3" w:rsidP="00F32E6D">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t>V)</w:t>
      </w:r>
      <w:r w:rsidR="00F32E6D" w:rsidRPr="00FA3856">
        <w:rPr>
          <w:rFonts w:ascii="Times New Roman" w:hAnsi="Times New Roman" w:cs="Times New Roman"/>
          <w:b/>
          <w:bCs/>
          <w:szCs w:val="20"/>
        </w:rPr>
        <w:t xml:space="preserve"> Determinação do Lucro Presumido</w:t>
      </w:r>
    </w:p>
    <w:p w:rsidR="00E506D3" w:rsidRPr="00FA3856" w:rsidRDefault="00E506D3" w:rsidP="00F32E6D">
      <w:pPr>
        <w:pStyle w:val="NormalWeb"/>
        <w:spacing w:before="0" w:after="0"/>
        <w:jc w:val="both"/>
        <w:rPr>
          <w:rFonts w:ascii="Times New Roman" w:hAnsi="Times New Roman" w:cs="Times New Roman"/>
          <w:b/>
          <w:bCs/>
          <w:szCs w:val="20"/>
        </w:rPr>
      </w:pPr>
    </w:p>
    <w:p w:rsidR="00F32E6D" w:rsidRPr="00FA3856" w:rsidRDefault="00E506D3" w:rsidP="00F32E6D">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t>V.1)</w:t>
      </w:r>
      <w:r w:rsidR="00F32E6D" w:rsidRPr="00FA3856">
        <w:rPr>
          <w:rFonts w:ascii="Times New Roman" w:hAnsi="Times New Roman" w:cs="Times New Roman"/>
          <w:b/>
          <w:bCs/>
          <w:szCs w:val="20"/>
        </w:rPr>
        <w:t xml:space="preserve"> Percentuais</w:t>
      </w:r>
    </w:p>
    <w:p w:rsidR="00E506D3" w:rsidRPr="00FA3856" w:rsidRDefault="00E506D3" w:rsidP="00F32E6D">
      <w:pPr>
        <w:pStyle w:val="NormalWeb"/>
        <w:spacing w:before="0" w:after="0"/>
        <w:jc w:val="both"/>
        <w:rPr>
          <w:rFonts w:ascii="Times New Roman" w:hAnsi="Times New Roman" w:cs="Times New Roman"/>
          <w:szCs w:val="20"/>
        </w:rPr>
      </w:pPr>
    </w:p>
    <w:p w:rsidR="00F32E6D" w:rsidRPr="00FA3856" w:rsidRDefault="00F32E6D" w:rsidP="00E506D3">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No ano-calendário, são aplicados os seguintes percentuais na determinação do lucro presumido:</w:t>
      </w:r>
    </w:p>
    <w:p w:rsidR="00E506D3" w:rsidRPr="00FA3856" w:rsidRDefault="00E506D3" w:rsidP="00F32E6D">
      <w:pPr>
        <w:pStyle w:val="NormalWeb"/>
        <w:spacing w:before="0" w:after="0"/>
        <w:jc w:val="both"/>
        <w:rPr>
          <w:rFonts w:ascii="Times New Roman" w:hAnsi="Times New Roman" w:cs="Times New Roman"/>
          <w:szCs w:val="20"/>
        </w:rPr>
      </w:pPr>
    </w:p>
    <w:p w:rsidR="00F32E6D" w:rsidRPr="00FA3856" w:rsidRDefault="00F32E6D" w:rsidP="00E506D3">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1,6% (um inteiro e seis décimos por cento) sobre a receita bruta mensal auferida na revenda, para consumo, de combustível derivado de petróleo, álcool etílico carburante e gás natural;</w:t>
      </w:r>
    </w:p>
    <w:p w:rsidR="00F32E6D" w:rsidRPr="00FA3856" w:rsidRDefault="00F32E6D" w:rsidP="00E506D3">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b) 8% (oito por cento) sobre a receita bruta mensal proveniente:</w:t>
      </w:r>
    </w:p>
    <w:p w:rsidR="00F32E6D" w:rsidRPr="00FA3856" w:rsidRDefault="00F32E6D" w:rsidP="00E506D3">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b.1) da venda de produtos de fabricação própria;</w:t>
      </w:r>
    </w:p>
    <w:p w:rsidR="00F32E6D" w:rsidRPr="00FA3856" w:rsidRDefault="00F32E6D" w:rsidP="00E506D3">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b.2) da venda de mercadorias adquiridas para revenda;</w:t>
      </w:r>
    </w:p>
    <w:p w:rsidR="00F32E6D" w:rsidRPr="00FA3856" w:rsidRDefault="00F32E6D" w:rsidP="00E506D3">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b.3) da industrialização de produtos em que a matéria-prima, ou o produto intermediário ou o material de embalagem tenham sido fornecidos por quem encomendou a industrialização;</w:t>
      </w:r>
    </w:p>
    <w:p w:rsidR="00F32E6D" w:rsidRPr="00FA3856" w:rsidRDefault="00F32E6D" w:rsidP="00E506D3">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 xml:space="preserve">b.4) da atividade rural; </w:t>
      </w:r>
    </w:p>
    <w:p w:rsidR="00F32E6D" w:rsidRPr="00FA3856" w:rsidRDefault="00F32E6D" w:rsidP="00E506D3">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b.5) de serviços hospitalares;</w:t>
      </w:r>
    </w:p>
    <w:p w:rsidR="00F32E6D" w:rsidRPr="00FA3856" w:rsidRDefault="00F32E6D" w:rsidP="00E506D3">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b.6) do transporte de cargas;</w:t>
      </w:r>
    </w:p>
    <w:p w:rsidR="00F32E6D" w:rsidRPr="00FA3856" w:rsidRDefault="00F32E6D" w:rsidP="00E506D3">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b.7) de outras atividades não caracterizadas como prestação de serviços;</w:t>
      </w:r>
    </w:p>
    <w:p w:rsidR="00F32E6D" w:rsidRPr="00FA3856" w:rsidRDefault="00F32E6D" w:rsidP="00E506D3">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c) 16% (dezesseis por cento) sobre a receita bruta mensal auferida pela prestação de serviços de transporte, exceto o de cargas;</w:t>
      </w:r>
    </w:p>
    <w:p w:rsidR="00F32E6D" w:rsidRPr="00FA3856" w:rsidRDefault="00F32E6D" w:rsidP="00E506D3">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d) 32% (trinta e dois por cento)</w:t>
      </w:r>
      <w:r w:rsidRPr="00FA3856">
        <w:rPr>
          <w:rFonts w:ascii="Times New Roman" w:hAnsi="Times New Roman" w:cs="Times New Roman"/>
          <w:b/>
          <w:bCs/>
          <w:szCs w:val="20"/>
        </w:rPr>
        <w:t xml:space="preserve"> </w:t>
      </w:r>
      <w:r w:rsidRPr="00FA3856">
        <w:rPr>
          <w:rFonts w:ascii="Times New Roman" w:hAnsi="Times New Roman" w:cs="Times New Roman"/>
          <w:szCs w:val="20"/>
        </w:rPr>
        <w:t>sobre a receita bruta mensal auferida com as atividades de:</w:t>
      </w:r>
    </w:p>
    <w:p w:rsidR="00F32E6D" w:rsidRPr="00FA3856" w:rsidRDefault="00F32E6D" w:rsidP="00E506D3">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d.1) prestação de serviços pelas sociedades civis, relativos ao exercício de profissão legalmente regulamentada;</w:t>
      </w:r>
    </w:p>
    <w:p w:rsidR="00F32E6D" w:rsidRPr="00FA3856" w:rsidRDefault="00F32E6D" w:rsidP="00E506D3">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d.2) intermediação de negócios;</w:t>
      </w:r>
    </w:p>
    <w:p w:rsidR="00F32E6D" w:rsidRPr="00FA3856" w:rsidRDefault="00F32E6D" w:rsidP="00E506D3">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 xml:space="preserve">d.3) administração, locação ou cessão de bens imóveis, móveis ou direitos de qualquer natureza; </w:t>
      </w:r>
    </w:p>
    <w:p w:rsidR="00F32E6D" w:rsidRPr="00FA3856" w:rsidRDefault="00F32E6D" w:rsidP="00E506D3">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d.4) construção por administração ou por empreitada unicamente de mão-de-obra;</w:t>
      </w:r>
    </w:p>
    <w:p w:rsidR="00F32E6D" w:rsidRPr="00FA3856" w:rsidRDefault="00F32E6D" w:rsidP="00E506D3">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d.5) prestação de qualquer outra espécie de serviço não mencionada anteriormente.</w:t>
      </w:r>
    </w:p>
    <w:p w:rsidR="00E506D3" w:rsidRPr="00FA3856" w:rsidRDefault="00E506D3" w:rsidP="00F32E6D">
      <w:pPr>
        <w:pStyle w:val="NormalWeb"/>
        <w:spacing w:before="0" w:after="0"/>
        <w:jc w:val="both"/>
        <w:rPr>
          <w:rFonts w:ascii="Times New Roman" w:hAnsi="Times New Roman" w:cs="Times New Roman"/>
          <w:szCs w:val="20"/>
        </w:rPr>
      </w:pPr>
    </w:p>
    <w:p w:rsidR="00F32E6D" w:rsidRPr="00FA3856" w:rsidRDefault="00F32E6D" w:rsidP="00E506D3">
      <w:pPr>
        <w:pStyle w:val="NormalWeb"/>
        <w:spacing w:before="0" w:after="0"/>
        <w:ind w:firstLine="600"/>
        <w:jc w:val="both"/>
        <w:rPr>
          <w:rFonts w:ascii="Times New Roman" w:hAnsi="Times New Roman" w:cs="Times New Roman"/>
          <w:szCs w:val="20"/>
        </w:rPr>
      </w:pPr>
      <w:r w:rsidRPr="00FA3856">
        <w:rPr>
          <w:rFonts w:ascii="Times New Roman" w:hAnsi="Times New Roman" w:cs="Times New Roman"/>
          <w:szCs w:val="20"/>
        </w:rPr>
        <w:t>As atividades de corretagem (seguros, imóveis, etc.) e as de representação comercial são consideradas atividades de intermediação de negócios.</w:t>
      </w:r>
    </w:p>
    <w:p w:rsidR="00E506D3" w:rsidRPr="00FA3856" w:rsidRDefault="00E506D3" w:rsidP="00F32E6D">
      <w:pPr>
        <w:pStyle w:val="NormalWeb"/>
        <w:spacing w:before="0" w:after="0"/>
        <w:jc w:val="both"/>
        <w:rPr>
          <w:rFonts w:ascii="Times New Roman" w:hAnsi="Times New Roman" w:cs="Times New Roman"/>
          <w:szCs w:val="20"/>
        </w:rPr>
      </w:pPr>
    </w:p>
    <w:p w:rsidR="00F32E6D" w:rsidRPr="00FA3856" w:rsidRDefault="00F32E6D" w:rsidP="00E506D3">
      <w:pPr>
        <w:pStyle w:val="NormalWeb"/>
        <w:spacing w:before="0" w:after="0"/>
        <w:ind w:firstLine="600"/>
        <w:jc w:val="both"/>
        <w:rPr>
          <w:rFonts w:ascii="Times New Roman" w:hAnsi="Times New Roman" w:cs="Times New Roman"/>
          <w:szCs w:val="20"/>
        </w:rPr>
      </w:pPr>
      <w:r w:rsidRPr="00FA3856">
        <w:rPr>
          <w:rFonts w:ascii="Times New Roman" w:hAnsi="Times New Roman" w:cs="Times New Roman"/>
          <w:szCs w:val="20"/>
        </w:rPr>
        <w:t>No caso de atividades diversificadas, deve ser aplicado o percentual correspondente sobre a receita proveniente de cada atividade.</w:t>
      </w:r>
    </w:p>
    <w:p w:rsidR="00E506D3" w:rsidRPr="00FA3856" w:rsidRDefault="00E506D3" w:rsidP="00F32E6D">
      <w:pPr>
        <w:pStyle w:val="NormalWeb"/>
        <w:spacing w:before="0" w:after="0"/>
        <w:ind w:left="600"/>
        <w:jc w:val="both"/>
        <w:rPr>
          <w:rFonts w:ascii="Times New Roman" w:hAnsi="Times New Roman" w:cs="Times New Roman"/>
          <w:b/>
          <w:bCs/>
          <w:szCs w:val="20"/>
        </w:rPr>
      </w:pPr>
    </w:p>
    <w:p w:rsidR="00F32E6D" w:rsidRPr="00FA3856" w:rsidRDefault="00F32E6D" w:rsidP="00E506D3">
      <w:pPr>
        <w:pStyle w:val="NormalWeb"/>
        <w:spacing w:before="0" w:after="0"/>
        <w:ind w:left="600"/>
        <w:jc w:val="both"/>
        <w:rPr>
          <w:rFonts w:ascii="Times New Roman" w:hAnsi="Times New Roman" w:cs="Times New Roman"/>
          <w:szCs w:val="20"/>
        </w:rPr>
      </w:pPr>
      <w:r w:rsidRPr="00FA3856">
        <w:rPr>
          <w:rFonts w:ascii="Times New Roman" w:hAnsi="Times New Roman" w:cs="Times New Roman"/>
          <w:b/>
          <w:bCs/>
          <w:szCs w:val="20"/>
        </w:rPr>
        <w:lastRenderedPageBreak/>
        <w:t>Atenção:</w:t>
      </w:r>
      <w:r w:rsidR="00E506D3" w:rsidRPr="00FA3856">
        <w:rPr>
          <w:rFonts w:ascii="Times New Roman" w:hAnsi="Times New Roman" w:cs="Times New Roman"/>
          <w:szCs w:val="20"/>
        </w:rPr>
        <w:t xml:space="preserve"> </w:t>
      </w:r>
      <w:r w:rsidRPr="00FA3856">
        <w:rPr>
          <w:rFonts w:ascii="Times New Roman" w:hAnsi="Times New Roman" w:cs="Times New Roman"/>
          <w:szCs w:val="20"/>
        </w:rPr>
        <w:t xml:space="preserve">A partir de 1º de janeiro de 2006, o percentual também passou a ser aplicado sobre a receita financeira da pessoa jurídica que explore atividades imobiliárias relativas a loteamento de terrenos, incorporação imobiliária, construção de prédios destinados à venda, bem como a venda de imóveis construídos ou adquiridos para a revenda, quando decorrente da comercialização de imóveis e for apurada por meio de índices ou coeficientes previstos em contrato (Lei nº 11.196, de 2005, art. 34). </w:t>
      </w:r>
    </w:p>
    <w:p w:rsidR="00E506D3" w:rsidRPr="00FA3856" w:rsidRDefault="00E506D3" w:rsidP="00F32E6D">
      <w:pPr>
        <w:pStyle w:val="NormalWeb"/>
        <w:spacing w:before="0" w:after="0"/>
        <w:jc w:val="both"/>
        <w:rPr>
          <w:rFonts w:ascii="Times New Roman" w:hAnsi="Times New Roman" w:cs="Times New Roman"/>
          <w:b/>
          <w:bCs/>
          <w:szCs w:val="20"/>
        </w:rPr>
      </w:pPr>
    </w:p>
    <w:p w:rsidR="00F32E6D" w:rsidRPr="00FA3856" w:rsidRDefault="00E506D3" w:rsidP="00F32E6D">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t>V.2)</w:t>
      </w:r>
      <w:r w:rsidR="00F32E6D" w:rsidRPr="00FA3856">
        <w:rPr>
          <w:rFonts w:ascii="Times New Roman" w:hAnsi="Times New Roman" w:cs="Times New Roman"/>
          <w:b/>
          <w:bCs/>
          <w:szCs w:val="20"/>
        </w:rPr>
        <w:t xml:space="preserve"> Determinação da Base de Cálculo do Imposto Por Meio de Percentual Favorecido</w:t>
      </w:r>
    </w:p>
    <w:p w:rsidR="00E506D3" w:rsidRPr="00FA3856" w:rsidRDefault="00E506D3" w:rsidP="00F32E6D">
      <w:pPr>
        <w:pStyle w:val="NormalWeb"/>
        <w:spacing w:before="0" w:after="0"/>
        <w:jc w:val="both"/>
        <w:rPr>
          <w:rFonts w:ascii="Times New Roman" w:hAnsi="Times New Roman" w:cs="Times New Roman"/>
          <w:szCs w:val="20"/>
        </w:rPr>
      </w:pPr>
    </w:p>
    <w:p w:rsidR="00F32E6D" w:rsidRPr="00FA3856" w:rsidRDefault="00F32E6D" w:rsidP="00E506D3">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As pessoas jurídicas exclusivamente prestadoras de serviços em geral, me</w:t>
      </w:r>
      <w:bookmarkStart w:id="269" w:name="subitem_15.2.4.3"/>
      <w:bookmarkEnd w:id="269"/>
      <w:r w:rsidRPr="00FA3856">
        <w:rPr>
          <w:rFonts w:ascii="Times New Roman" w:hAnsi="Times New Roman" w:cs="Times New Roman"/>
          <w:szCs w:val="20"/>
        </w:rPr>
        <w:t>ncionadas nas alíneas "d.2" a "d.</w:t>
      </w:r>
      <w:r w:rsidR="0063733D" w:rsidRPr="00FA3856">
        <w:rPr>
          <w:rFonts w:ascii="Times New Roman" w:hAnsi="Times New Roman" w:cs="Times New Roman"/>
          <w:szCs w:val="20"/>
        </w:rPr>
        <w:t>5” retros</w:t>
      </w:r>
      <w:r w:rsidRPr="00FA3856">
        <w:rPr>
          <w:rFonts w:ascii="Times New Roman" w:hAnsi="Times New Roman" w:cs="Times New Roman"/>
          <w:szCs w:val="20"/>
        </w:rPr>
        <w:t>, cuja receita bruta anual seja de até R$ 120.000,00, podem utilizar, para determinação da base de cálculo do imposto de renda trimestral, o percentual de 16% (dezesseis por cento).</w:t>
      </w:r>
    </w:p>
    <w:p w:rsidR="00E506D3" w:rsidRPr="00FA3856" w:rsidRDefault="00E506D3" w:rsidP="00F32E6D">
      <w:pPr>
        <w:pStyle w:val="NormalWeb"/>
        <w:spacing w:before="0" w:after="0"/>
        <w:jc w:val="both"/>
        <w:rPr>
          <w:rFonts w:ascii="Times New Roman" w:hAnsi="Times New Roman" w:cs="Times New Roman"/>
          <w:szCs w:val="20"/>
        </w:rPr>
      </w:pPr>
    </w:p>
    <w:p w:rsidR="00F32E6D" w:rsidRPr="00FA3856" w:rsidRDefault="00F32E6D" w:rsidP="00E506D3">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pessoa jurídica cu</w:t>
      </w:r>
      <w:bookmarkStart w:id="270" w:name="subitem_15.2.4.3.1"/>
      <w:bookmarkEnd w:id="270"/>
      <w:r w:rsidRPr="00FA3856">
        <w:rPr>
          <w:rFonts w:ascii="Times New Roman" w:hAnsi="Times New Roman" w:cs="Times New Roman"/>
          <w:szCs w:val="20"/>
        </w:rPr>
        <w:t>ja receita bruta anual acumulada até determinado trimestre do ano-calendário exceder o limite anual de R$ 120.000,00 (cento e vinte mil reais) deve determinar nova base de cálculo do imposto com a aplicação do percentual de 32% (trinta e dois por cento), e apurar a diferença do imposto postergado em cada trimestre transcorrido, no trimestre em que foi excedido o limite.</w:t>
      </w:r>
    </w:p>
    <w:p w:rsidR="00E506D3" w:rsidRPr="00FA3856" w:rsidRDefault="00E506D3" w:rsidP="00F32E6D">
      <w:pPr>
        <w:pStyle w:val="NormalWeb"/>
        <w:spacing w:before="0" w:after="0"/>
        <w:jc w:val="both"/>
        <w:rPr>
          <w:rFonts w:ascii="Times New Roman" w:hAnsi="Times New Roman" w:cs="Times New Roman"/>
          <w:szCs w:val="20"/>
        </w:rPr>
      </w:pPr>
    </w:p>
    <w:p w:rsidR="00F32E6D" w:rsidRPr="00FA3856" w:rsidRDefault="00F32E6D" w:rsidP="00E506D3">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Esta diferença deve ser paga em quota única, por meio de Darf separado, no código 2089, até o último dia útil do mês subsequente ao trimestre em que ocorrer o excesso. Após esse prazo, a diferença será paga com os acréscimos legais.</w:t>
      </w:r>
    </w:p>
    <w:p w:rsidR="00E506D3" w:rsidRPr="00FA3856" w:rsidRDefault="00E506D3" w:rsidP="00F32E6D">
      <w:pPr>
        <w:pStyle w:val="NormalWeb"/>
        <w:spacing w:before="0" w:after="0"/>
        <w:jc w:val="both"/>
        <w:rPr>
          <w:rFonts w:ascii="Times New Roman" w:hAnsi="Times New Roman" w:cs="Times New Roman"/>
          <w:b/>
          <w:bCs/>
          <w:szCs w:val="20"/>
        </w:rPr>
      </w:pPr>
    </w:p>
    <w:p w:rsidR="00F32E6D" w:rsidRPr="00FA3856" w:rsidRDefault="00E506D3" w:rsidP="00F32E6D">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t>V.3)</w:t>
      </w:r>
      <w:r w:rsidR="00F32E6D" w:rsidRPr="00FA3856">
        <w:rPr>
          <w:rFonts w:ascii="Times New Roman" w:hAnsi="Times New Roman" w:cs="Times New Roman"/>
          <w:b/>
          <w:bCs/>
          <w:szCs w:val="20"/>
        </w:rPr>
        <w:t xml:space="preserve"> Conceito de Receita Bruta</w:t>
      </w:r>
    </w:p>
    <w:p w:rsidR="00E506D3" w:rsidRPr="00FA3856" w:rsidRDefault="00E506D3" w:rsidP="00F32E6D">
      <w:pPr>
        <w:pStyle w:val="NormalWeb"/>
        <w:spacing w:before="0" w:after="0"/>
        <w:jc w:val="both"/>
        <w:rPr>
          <w:rFonts w:ascii="Times New Roman" w:hAnsi="Times New Roman" w:cs="Times New Roman"/>
          <w:szCs w:val="20"/>
        </w:rPr>
      </w:pPr>
    </w:p>
    <w:p w:rsidR="00F32E6D" w:rsidRPr="00FA3856" w:rsidRDefault="00F32E6D" w:rsidP="00E506D3">
      <w:pPr>
        <w:pStyle w:val="NormalWeb"/>
        <w:spacing w:before="0" w:after="0"/>
        <w:ind w:firstLine="600"/>
        <w:jc w:val="both"/>
        <w:rPr>
          <w:rFonts w:ascii="Times New Roman" w:hAnsi="Times New Roman" w:cs="Times New Roman"/>
          <w:szCs w:val="20"/>
        </w:rPr>
      </w:pPr>
      <w:r w:rsidRPr="00FA3856">
        <w:rPr>
          <w:rFonts w:ascii="Times New Roman" w:hAnsi="Times New Roman" w:cs="Times New Roman"/>
          <w:szCs w:val="20"/>
        </w:rPr>
        <w:t>A receita bruta compreende o produto da venda de bens nas operações de conta própria, o preço dos serviços prestados e o resultado auferido nas operações de conta alheia, excluídas as vendas canceladas, as devoluções de vendas, os descontos incondicionais concedidos e os impostos não cumulativos cobrados, destacadamente do comprador ou contratante, e dos quais o vendedor dos bens ou o prestador dos serviços seja mero depositário.</w:t>
      </w:r>
    </w:p>
    <w:p w:rsidR="00E506D3" w:rsidRPr="00FA3856" w:rsidRDefault="00E506D3" w:rsidP="00F32E6D">
      <w:pPr>
        <w:pStyle w:val="NormalWeb"/>
        <w:spacing w:before="0" w:after="0"/>
        <w:ind w:left="600"/>
        <w:jc w:val="both"/>
        <w:rPr>
          <w:rFonts w:ascii="Times New Roman" w:hAnsi="Times New Roman" w:cs="Times New Roman"/>
          <w:b/>
          <w:bCs/>
          <w:szCs w:val="20"/>
        </w:rPr>
      </w:pPr>
    </w:p>
    <w:p w:rsidR="00F32E6D" w:rsidRPr="00FA3856" w:rsidRDefault="00F32E6D" w:rsidP="00F32E6D">
      <w:pPr>
        <w:pStyle w:val="NormalWeb"/>
        <w:spacing w:before="0" w:after="0"/>
        <w:ind w:left="600"/>
        <w:jc w:val="both"/>
        <w:rPr>
          <w:rFonts w:ascii="Times New Roman" w:hAnsi="Times New Roman" w:cs="Times New Roman"/>
          <w:szCs w:val="20"/>
        </w:rPr>
      </w:pPr>
      <w:r w:rsidRPr="00FA3856">
        <w:rPr>
          <w:rFonts w:ascii="Times New Roman" w:hAnsi="Times New Roman" w:cs="Times New Roman"/>
          <w:b/>
          <w:bCs/>
          <w:szCs w:val="20"/>
        </w:rPr>
        <w:t>Atenção:</w:t>
      </w:r>
    </w:p>
    <w:p w:rsidR="00F32E6D" w:rsidRPr="00FA3856" w:rsidRDefault="00F32E6D" w:rsidP="00F32E6D">
      <w:pPr>
        <w:pStyle w:val="NormalWeb"/>
        <w:spacing w:before="0" w:after="0"/>
        <w:ind w:left="600"/>
        <w:jc w:val="both"/>
        <w:rPr>
          <w:rFonts w:ascii="Times New Roman" w:hAnsi="Times New Roman" w:cs="Times New Roman"/>
          <w:szCs w:val="20"/>
        </w:rPr>
      </w:pPr>
      <w:r w:rsidRPr="00FA3856">
        <w:rPr>
          <w:rFonts w:ascii="Times New Roman" w:hAnsi="Times New Roman" w:cs="Times New Roman"/>
          <w:szCs w:val="20"/>
        </w:rPr>
        <w:t>1) A pes</w:t>
      </w:r>
      <w:bookmarkStart w:id="271" w:name="subitem_15.2.4.3.2"/>
      <w:bookmarkEnd w:id="271"/>
      <w:r w:rsidRPr="00FA3856">
        <w:rPr>
          <w:rFonts w:ascii="Times New Roman" w:hAnsi="Times New Roman" w:cs="Times New Roman"/>
          <w:szCs w:val="20"/>
        </w:rPr>
        <w:t>soa jurídica optante pelo regime de tributação com base no lucro presumido pode adotar o critério de reconhecimento de suas receitas de venda de bens ou direitos ou de prestação de serviços pelo regime de caixa ou de competência.</w:t>
      </w:r>
    </w:p>
    <w:p w:rsidR="00F32E6D" w:rsidRPr="00FA3856" w:rsidRDefault="00F32E6D" w:rsidP="00F32E6D">
      <w:pPr>
        <w:pStyle w:val="NormalWeb"/>
        <w:spacing w:before="0" w:after="0"/>
        <w:ind w:left="600"/>
        <w:jc w:val="both"/>
        <w:rPr>
          <w:rFonts w:ascii="Times New Roman" w:hAnsi="Times New Roman" w:cs="Times New Roman"/>
          <w:szCs w:val="20"/>
        </w:rPr>
      </w:pPr>
      <w:r w:rsidRPr="00FA3856">
        <w:rPr>
          <w:rFonts w:ascii="Times New Roman" w:hAnsi="Times New Roman" w:cs="Times New Roman"/>
          <w:szCs w:val="20"/>
        </w:rPr>
        <w:t>2) As receitas próprias da venda de unidades imobiliárias (bem assim, as receitas financeiras e variações monetárias decorrentes dessa operação) que compõem a incorporação imobiliária inscrita no regime especial de tributação (RET) de que tra</w:t>
      </w:r>
      <w:bookmarkStart w:id="272" w:name="subitem_15.2.6"/>
      <w:bookmarkEnd w:id="272"/>
      <w:r w:rsidRPr="00FA3856">
        <w:rPr>
          <w:rFonts w:ascii="Times New Roman" w:hAnsi="Times New Roman" w:cs="Times New Roman"/>
          <w:szCs w:val="20"/>
        </w:rPr>
        <w:t>tam os arts. 1</w:t>
      </w:r>
      <w:r w:rsidRPr="00FA3856">
        <w:rPr>
          <w:rFonts w:ascii="Times New Roman" w:hAnsi="Times New Roman" w:cs="Times New Roman"/>
          <w:strike/>
          <w:szCs w:val="20"/>
        </w:rPr>
        <w:t>º</w:t>
      </w:r>
      <w:r w:rsidRPr="00FA3856">
        <w:rPr>
          <w:rFonts w:ascii="Times New Roman" w:hAnsi="Times New Roman" w:cs="Times New Roman"/>
          <w:szCs w:val="20"/>
        </w:rPr>
        <w:t xml:space="preserve"> a 4</w:t>
      </w:r>
      <w:r w:rsidRPr="00FA3856">
        <w:rPr>
          <w:rFonts w:ascii="Times New Roman" w:hAnsi="Times New Roman" w:cs="Times New Roman"/>
          <w:strike/>
          <w:szCs w:val="20"/>
        </w:rPr>
        <w:t>º</w:t>
      </w:r>
      <w:r w:rsidRPr="00FA3856">
        <w:rPr>
          <w:rFonts w:ascii="Times New Roman" w:hAnsi="Times New Roman" w:cs="Times New Roman"/>
          <w:szCs w:val="20"/>
        </w:rPr>
        <w:t xml:space="preserve"> da Lei n</w:t>
      </w:r>
      <w:r w:rsidRPr="00FA3856">
        <w:rPr>
          <w:rFonts w:ascii="Times New Roman" w:hAnsi="Times New Roman" w:cs="Times New Roman"/>
          <w:strike/>
          <w:szCs w:val="20"/>
        </w:rPr>
        <w:t>º</w:t>
      </w:r>
      <w:r w:rsidRPr="00FA3856">
        <w:rPr>
          <w:rFonts w:ascii="Times New Roman" w:hAnsi="Times New Roman" w:cs="Times New Roman"/>
          <w:szCs w:val="20"/>
        </w:rPr>
        <w:t xml:space="preserve"> 10.93</w:t>
      </w:r>
      <w:bookmarkStart w:id="273" w:name="subitem_15.2.6.1"/>
      <w:bookmarkEnd w:id="273"/>
      <w:r w:rsidRPr="00FA3856">
        <w:rPr>
          <w:rFonts w:ascii="Times New Roman" w:hAnsi="Times New Roman" w:cs="Times New Roman"/>
          <w:szCs w:val="20"/>
        </w:rPr>
        <w:t>1, de 2 de agosto de 2004, alterados pelo art. 111 da Lei n</w:t>
      </w:r>
      <w:r w:rsidRPr="00FA3856">
        <w:rPr>
          <w:rFonts w:ascii="Times New Roman" w:hAnsi="Times New Roman" w:cs="Times New Roman"/>
          <w:strike/>
          <w:szCs w:val="20"/>
        </w:rPr>
        <w:t>º</w:t>
      </w:r>
      <w:r w:rsidRPr="00FA3856">
        <w:rPr>
          <w:rFonts w:ascii="Times New Roman" w:hAnsi="Times New Roman" w:cs="Times New Roman"/>
          <w:szCs w:val="20"/>
        </w:rPr>
        <w:t xml:space="preserve"> 11.196, de 2005, não deverão ser computadas na recei</w:t>
      </w:r>
      <w:bookmarkStart w:id="274" w:name="subitem_15.2.6.1.a"/>
      <w:bookmarkEnd w:id="274"/>
      <w:r w:rsidRPr="00FA3856">
        <w:rPr>
          <w:rFonts w:ascii="Times New Roman" w:hAnsi="Times New Roman" w:cs="Times New Roman"/>
          <w:szCs w:val="20"/>
        </w:rPr>
        <w:t>ta bruta para efeito de apuração do IRPJ e da CSLL com base no lucro presumido ou arbitrado.</w:t>
      </w:r>
    </w:p>
    <w:p w:rsidR="00E506D3" w:rsidRPr="00FA3856" w:rsidRDefault="00E506D3" w:rsidP="00F32E6D">
      <w:pPr>
        <w:pStyle w:val="NormalWeb"/>
        <w:spacing w:before="0" w:after="0"/>
        <w:jc w:val="both"/>
        <w:rPr>
          <w:rFonts w:ascii="Times New Roman" w:hAnsi="Times New Roman" w:cs="Times New Roman"/>
          <w:b/>
          <w:bCs/>
          <w:szCs w:val="20"/>
        </w:rPr>
      </w:pPr>
    </w:p>
    <w:p w:rsidR="00F32E6D" w:rsidRPr="00FA3856" w:rsidRDefault="00E506D3" w:rsidP="00F32E6D">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t>V.3.1)</w:t>
      </w:r>
      <w:r w:rsidR="00F32E6D" w:rsidRPr="00FA3856">
        <w:rPr>
          <w:rFonts w:ascii="Times New Roman" w:hAnsi="Times New Roman" w:cs="Times New Roman"/>
          <w:b/>
          <w:bCs/>
          <w:szCs w:val="20"/>
        </w:rPr>
        <w:t xml:space="preserve"> Valores Integrantes da Base de Cálculo</w:t>
      </w:r>
    </w:p>
    <w:p w:rsidR="00E506D3" w:rsidRPr="00FA3856" w:rsidRDefault="00E506D3" w:rsidP="00F32E6D">
      <w:pPr>
        <w:pStyle w:val="NormalWeb"/>
        <w:spacing w:before="0" w:after="0"/>
        <w:jc w:val="both"/>
        <w:rPr>
          <w:rFonts w:ascii="Times New Roman" w:hAnsi="Times New Roman" w:cs="Times New Roman"/>
          <w:szCs w:val="20"/>
        </w:rPr>
      </w:pPr>
    </w:p>
    <w:p w:rsidR="00F32E6D" w:rsidRPr="00FA3856" w:rsidRDefault="00F32E6D" w:rsidP="00E506D3">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 xml:space="preserve">O lucro presumido, apurado trimestralmente, é a </w:t>
      </w:r>
      <w:bookmarkStart w:id="275" w:name="subitem_15.2.6.1.b"/>
      <w:bookmarkEnd w:id="275"/>
      <w:r w:rsidRPr="00FA3856">
        <w:rPr>
          <w:rFonts w:ascii="Times New Roman" w:hAnsi="Times New Roman" w:cs="Times New Roman"/>
          <w:szCs w:val="20"/>
        </w:rPr>
        <w:t>soma dos seguintes valores:</w:t>
      </w:r>
    </w:p>
    <w:p w:rsidR="00E506D3" w:rsidRPr="00FA3856" w:rsidRDefault="00E506D3" w:rsidP="00E506D3">
      <w:pPr>
        <w:pStyle w:val="NormalWeb"/>
        <w:spacing w:before="0" w:after="0"/>
        <w:ind w:firstLine="708"/>
        <w:jc w:val="both"/>
        <w:rPr>
          <w:rFonts w:ascii="Times New Roman" w:hAnsi="Times New Roman" w:cs="Times New Roman"/>
          <w:szCs w:val="20"/>
        </w:rPr>
      </w:pPr>
    </w:p>
    <w:p w:rsidR="00F32E6D" w:rsidRPr="00FA3856" w:rsidRDefault="00F32E6D" w:rsidP="00E506D3">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 xml:space="preserve">a) do valor obtido pela aplicação dos percentuais especificados </w:t>
      </w:r>
      <w:r w:rsidR="0063733D" w:rsidRPr="00FA3856">
        <w:rPr>
          <w:rFonts w:ascii="Times New Roman" w:hAnsi="Times New Roman" w:cs="Times New Roman"/>
          <w:szCs w:val="20"/>
        </w:rPr>
        <w:t>no subitem</w:t>
      </w:r>
      <w:r w:rsidRPr="00FA3856">
        <w:rPr>
          <w:rFonts w:ascii="Times New Roman" w:hAnsi="Times New Roman" w:cs="Times New Roman"/>
          <w:szCs w:val="20"/>
        </w:rPr>
        <w:t xml:space="preserve"> </w:t>
      </w:r>
      <w:r w:rsidR="00E506D3" w:rsidRPr="00FA3856">
        <w:rPr>
          <w:rFonts w:ascii="Times New Roman" w:hAnsi="Times New Roman" w:cs="Times New Roman"/>
          <w:szCs w:val="20"/>
        </w:rPr>
        <w:t>V.1</w:t>
      </w:r>
      <w:r w:rsidRPr="00FA3856">
        <w:rPr>
          <w:rFonts w:ascii="Times New Roman" w:hAnsi="Times New Roman" w:cs="Times New Roman"/>
          <w:szCs w:val="20"/>
        </w:rPr>
        <w:t>;</w:t>
      </w:r>
    </w:p>
    <w:p w:rsidR="00F32E6D" w:rsidRPr="00FA3856" w:rsidRDefault="00F32E6D" w:rsidP="00E506D3">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b) dos valores correspondentes aos demais resultados e ganhos de capital, assim considerados:</w:t>
      </w:r>
    </w:p>
    <w:p w:rsidR="00F32E6D" w:rsidRPr="00FA3856" w:rsidRDefault="00F32E6D" w:rsidP="00E506D3">
      <w:pPr>
        <w:pStyle w:val="NormalWeb"/>
        <w:spacing w:before="0" w:after="0"/>
        <w:ind w:left="1416"/>
        <w:jc w:val="both"/>
        <w:rPr>
          <w:rFonts w:ascii="Times New Roman" w:hAnsi="Times New Roman" w:cs="Times New Roman"/>
          <w:szCs w:val="20"/>
        </w:rPr>
      </w:pPr>
      <w:r w:rsidRPr="00FA3856">
        <w:rPr>
          <w:rFonts w:ascii="Times New Roman" w:hAnsi="Times New Roman" w:cs="Times New Roman"/>
          <w:szCs w:val="20"/>
        </w:rPr>
        <w:t>b.1) os ganhos de capital nas alienações de bens e direitos, inclusive de aplicações em ouro não caracterizado como ativo financeiro. O ganho corresponde à diferença positiva verificada, no mês, entre o valor da alienação e o respectivo custo de aquisição, diminuído dos encargos de depreciação, amortiz</w:t>
      </w:r>
      <w:bookmarkStart w:id="276" w:name="subitem_15.2.6.1.c"/>
      <w:bookmarkEnd w:id="276"/>
      <w:r w:rsidRPr="00FA3856">
        <w:rPr>
          <w:rFonts w:ascii="Times New Roman" w:hAnsi="Times New Roman" w:cs="Times New Roman"/>
          <w:szCs w:val="20"/>
        </w:rPr>
        <w:t>ação ou exaustão acumulada, ainda que a empresa não mantenha escrituração contábil;</w:t>
      </w:r>
    </w:p>
    <w:p w:rsidR="00F32E6D" w:rsidRPr="00FA3856" w:rsidRDefault="00F32E6D" w:rsidP="00E506D3">
      <w:pPr>
        <w:pStyle w:val="NormalWeb"/>
        <w:spacing w:before="0" w:after="0"/>
        <w:ind w:left="1416"/>
        <w:jc w:val="both"/>
        <w:rPr>
          <w:rFonts w:ascii="Times New Roman" w:hAnsi="Times New Roman" w:cs="Times New Roman"/>
          <w:szCs w:val="20"/>
        </w:rPr>
      </w:pPr>
      <w:r w:rsidRPr="00FA3856">
        <w:rPr>
          <w:rFonts w:ascii="Times New Roman" w:hAnsi="Times New Roman" w:cs="Times New Roman"/>
          <w:szCs w:val="20"/>
        </w:rPr>
        <w:t>b.2) os ganhos de capital auferidos na aliena</w:t>
      </w:r>
      <w:bookmarkStart w:id="277" w:name="subitem_15.2.6.1.d"/>
      <w:bookmarkEnd w:id="277"/>
      <w:r w:rsidRPr="00FA3856">
        <w:rPr>
          <w:rFonts w:ascii="Times New Roman" w:hAnsi="Times New Roman" w:cs="Times New Roman"/>
          <w:szCs w:val="20"/>
        </w:rPr>
        <w:t>ção de participações societárias permanentes em sociedades coligadas e controladas, e de participações societárias que permanecerem no ativo da pessoa jurídica até o término do ano-calendário seguinte ao de suas aquisições;</w:t>
      </w:r>
    </w:p>
    <w:p w:rsidR="00F32E6D" w:rsidRPr="00FA3856" w:rsidRDefault="00F32E6D" w:rsidP="00E506D3">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b.3) os ganhos de capital auferidos na devolução de capital em bens ou direitos;</w:t>
      </w:r>
    </w:p>
    <w:p w:rsidR="00F32E6D" w:rsidRPr="00FA3856" w:rsidRDefault="00F32E6D" w:rsidP="00E506D3">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lastRenderedPageBreak/>
        <w:t>b.4) os rendimentos auferidos nas operações de mútuo realizadas entre pessoas jurídicas controladoras, controladas, coligadas ou interligadas;</w:t>
      </w:r>
    </w:p>
    <w:p w:rsidR="00F32E6D" w:rsidRPr="00FA3856" w:rsidRDefault="00F32E6D" w:rsidP="00E506D3">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b.5) os ganhos auferidos em operações de cobertura (</w:t>
      </w:r>
      <w:r w:rsidRPr="00FA3856">
        <w:rPr>
          <w:rFonts w:ascii="Times New Roman" w:hAnsi="Times New Roman" w:cs="Times New Roman"/>
          <w:i/>
          <w:iCs/>
          <w:szCs w:val="20"/>
        </w:rPr>
        <w:t>hedge</w:t>
      </w:r>
      <w:r w:rsidRPr="00FA3856">
        <w:rPr>
          <w:rFonts w:ascii="Times New Roman" w:hAnsi="Times New Roman" w:cs="Times New Roman"/>
          <w:szCs w:val="20"/>
        </w:rPr>
        <w:t>)</w:t>
      </w:r>
      <w:r w:rsidRPr="00FA3856">
        <w:rPr>
          <w:rFonts w:ascii="Times New Roman" w:hAnsi="Times New Roman" w:cs="Times New Roman"/>
          <w:i/>
          <w:iCs/>
          <w:szCs w:val="20"/>
        </w:rPr>
        <w:t xml:space="preserve"> </w:t>
      </w:r>
      <w:r w:rsidRPr="00FA3856">
        <w:rPr>
          <w:rFonts w:ascii="Times New Roman" w:hAnsi="Times New Roman" w:cs="Times New Roman"/>
          <w:szCs w:val="20"/>
        </w:rPr>
        <w:t>realizadas em bolsas de valores, de mercadorias e de futuros ou no mercado de balcão;</w:t>
      </w:r>
    </w:p>
    <w:p w:rsidR="00F32E6D" w:rsidRPr="00FA3856" w:rsidRDefault="00F32E6D" w:rsidP="00E506D3">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b.6) a receita de locação de imóvel, quando não for este o objeto social da pessoa jurídica;</w:t>
      </w:r>
    </w:p>
    <w:p w:rsidR="00F32E6D" w:rsidRPr="00FA3856" w:rsidRDefault="00F32E6D" w:rsidP="00E506D3">
      <w:pPr>
        <w:pStyle w:val="NormalWeb"/>
        <w:spacing w:before="0" w:after="0"/>
        <w:ind w:left="1416"/>
        <w:jc w:val="both"/>
        <w:rPr>
          <w:rFonts w:ascii="Times New Roman" w:hAnsi="Times New Roman" w:cs="Times New Roman"/>
          <w:szCs w:val="20"/>
        </w:rPr>
      </w:pPr>
      <w:r w:rsidRPr="00FA3856">
        <w:rPr>
          <w:rFonts w:ascii="Times New Roman" w:hAnsi="Times New Roman" w:cs="Times New Roman"/>
          <w:szCs w:val="20"/>
        </w:rPr>
        <w:t>b.7) os juros equivalentes à taxa referencial do Sistema Especial de Liquidação e Custódia (Selic), para títulos federais, acumulada mensalmente, relativos a impostos e contribuições a serem restituídos ou compensados;</w:t>
      </w:r>
    </w:p>
    <w:p w:rsidR="00F32E6D" w:rsidRPr="00FA3856" w:rsidRDefault="00F32E6D" w:rsidP="00E506D3">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b.8) as variações monetárias ativas;</w:t>
      </w:r>
    </w:p>
    <w:p w:rsidR="00F32E6D" w:rsidRPr="00FA3856" w:rsidRDefault="00F32E6D" w:rsidP="00E506D3">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c) dos rendimentos e ganhos líquidos auferidos em aplicações financeiras de renda fixa e de renda variável;</w:t>
      </w:r>
    </w:p>
    <w:p w:rsidR="00F32E6D" w:rsidRPr="00FA3856" w:rsidRDefault="00F32E6D" w:rsidP="00E506D3">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d) dos juros sobre o capital próprio auferidos;</w:t>
      </w:r>
    </w:p>
    <w:p w:rsidR="00F32E6D" w:rsidRPr="00FA3856" w:rsidRDefault="00F32E6D" w:rsidP="00E506D3">
      <w:pPr>
        <w:pStyle w:val="NormalWeb"/>
        <w:spacing w:before="0" w:after="0"/>
        <w:ind w:left="708"/>
        <w:jc w:val="both"/>
        <w:rPr>
          <w:rFonts w:ascii="Times New Roman" w:hAnsi="Times New Roman" w:cs="Times New Roman"/>
          <w:szCs w:val="20"/>
        </w:rPr>
      </w:pPr>
      <w:r w:rsidRPr="00FA3856">
        <w:rPr>
          <w:rFonts w:ascii="Times New Roman" w:hAnsi="Times New Roman" w:cs="Times New Roman"/>
          <w:szCs w:val="20"/>
        </w:rPr>
        <w:t xml:space="preserve">e) dos valores recuperados correspondentes a custos e despesas, inclusive com perdas no recebimento de créditos, salvo se a pessoa jurídica comprovar não os ter deduzido em </w:t>
      </w:r>
      <w:bookmarkStart w:id="278" w:name="subitem_15.2.6.2"/>
      <w:bookmarkEnd w:id="278"/>
      <w:r w:rsidRPr="00FA3856">
        <w:rPr>
          <w:rFonts w:ascii="Times New Roman" w:hAnsi="Times New Roman" w:cs="Times New Roman"/>
          <w:szCs w:val="20"/>
        </w:rPr>
        <w:t>período anterior no qual tenha se submetido ao regime de tributação com base no lucro real, ou que se refiram a período no qual tenha se submetido ao regime de tributação com base no lucro presumido, arbitrado ou simples;</w:t>
      </w:r>
    </w:p>
    <w:p w:rsidR="00F32E6D" w:rsidRPr="00FA3856" w:rsidRDefault="00F32E6D" w:rsidP="00E506D3">
      <w:pPr>
        <w:pStyle w:val="NormalWeb"/>
        <w:spacing w:before="0" w:after="0"/>
        <w:ind w:left="708"/>
        <w:jc w:val="both"/>
        <w:rPr>
          <w:rFonts w:ascii="Times New Roman" w:hAnsi="Times New Roman" w:cs="Times New Roman"/>
          <w:szCs w:val="20"/>
        </w:rPr>
      </w:pPr>
      <w:r w:rsidRPr="00FA3856">
        <w:rPr>
          <w:rFonts w:ascii="Times New Roman" w:hAnsi="Times New Roman" w:cs="Times New Roman"/>
          <w:szCs w:val="20"/>
        </w:rPr>
        <w:t xml:space="preserve">f) do valor resultante da aplicação dos percentuais de que trata o subitem </w:t>
      </w:r>
      <w:r w:rsidR="00E506D3" w:rsidRPr="00FA3856">
        <w:rPr>
          <w:rFonts w:ascii="Times New Roman" w:hAnsi="Times New Roman" w:cs="Times New Roman"/>
          <w:szCs w:val="20"/>
        </w:rPr>
        <w:t>V.1</w:t>
      </w:r>
      <w:r w:rsidRPr="00FA3856">
        <w:rPr>
          <w:rFonts w:ascii="Times New Roman" w:hAnsi="Times New Roman" w:cs="Times New Roman"/>
          <w:szCs w:val="20"/>
        </w:rPr>
        <w:t xml:space="preserve"> sobre a parcela das receitas auferidas nas exportações às pessoas vinculadas ou aos países com tributação favorecida que exceder ao valor já apropriado na escrituração da empresa, decorrente dos ajustes dos métodos de preços de transferências;</w:t>
      </w:r>
    </w:p>
    <w:p w:rsidR="00F32E6D" w:rsidRPr="00FA3856" w:rsidRDefault="00F32E6D" w:rsidP="00E506D3">
      <w:pPr>
        <w:pStyle w:val="NormalWeb"/>
        <w:spacing w:before="0" w:after="0"/>
        <w:ind w:left="708"/>
        <w:jc w:val="both"/>
        <w:rPr>
          <w:rFonts w:ascii="Times New Roman" w:hAnsi="Times New Roman" w:cs="Times New Roman"/>
          <w:szCs w:val="20"/>
        </w:rPr>
      </w:pPr>
      <w:r w:rsidRPr="00FA3856">
        <w:rPr>
          <w:rFonts w:ascii="Times New Roman" w:hAnsi="Times New Roman" w:cs="Times New Roman"/>
          <w:szCs w:val="20"/>
        </w:rPr>
        <w:t xml:space="preserve">g) do valor dos encargos suportados pela mutuária que exceder ao limite calculado com base na taxa </w:t>
      </w:r>
      <w:r w:rsidRPr="00FA3856">
        <w:rPr>
          <w:rFonts w:ascii="Times New Roman" w:hAnsi="Times New Roman" w:cs="Times New Roman"/>
          <w:i/>
          <w:iCs/>
          <w:szCs w:val="20"/>
        </w:rPr>
        <w:t>Libor</w:t>
      </w:r>
      <w:r w:rsidRPr="00FA3856">
        <w:rPr>
          <w:rFonts w:ascii="Times New Roman" w:hAnsi="Times New Roman" w:cs="Times New Roman"/>
          <w:szCs w:val="20"/>
        </w:rPr>
        <w:t>, para depósitos em dólares dos Estados Unidos da América, pelo prazo de seis meses, acrescido de três por cento anuais a título de "</w:t>
      </w:r>
      <w:r w:rsidRPr="00FA3856">
        <w:rPr>
          <w:rFonts w:ascii="Times New Roman" w:hAnsi="Times New Roman" w:cs="Times New Roman"/>
          <w:i/>
          <w:iCs/>
          <w:szCs w:val="20"/>
        </w:rPr>
        <w:t>spread"</w:t>
      </w:r>
      <w:r w:rsidRPr="00FA3856">
        <w:rPr>
          <w:rFonts w:ascii="Times New Roman" w:hAnsi="Times New Roman" w:cs="Times New Roman"/>
          <w:szCs w:val="20"/>
        </w:rPr>
        <w:t>, proporcionalizados em função do período a que se referirem os juros, quando pagos ou creditados a pessoa vinculada no exterior e o contrato não for registrado no Banco Central do Brasil;</w:t>
      </w:r>
    </w:p>
    <w:p w:rsidR="00F32E6D" w:rsidRPr="00FA3856" w:rsidRDefault="00F32E6D" w:rsidP="00E506D3">
      <w:pPr>
        <w:pStyle w:val="NormalWeb"/>
        <w:spacing w:before="0" w:after="0"/>
        <w:ind w:left="708"/>
        <w:jc w:val="both"/>
        <w:rPr>
          <w:rFonts w:ascii="Times New Roman" w:hAnsi="Times New Roman" w:cs="Times New Roman"/>
          <w:szCs w:val="20"/>
        </w:rPr>
      </w:pPr>
      <w:r w:rsidRPr="00FA3856">
        <w:rPr>
          <w:rFonts w:ascii="Times New Roman" w:hAnsi="Times New Roman" w:cs="Times New Roman"/>
          <w:szCs w:val="20"/>
        </w:rPr>
        <w:t>h) da diferença de receita, au</w:t>
      </w:r>
      <w:bookmarkStart w:id="279" w:name="subitem_15.2.6.3"/>
      <w:bookmarkEnd w:id="279"/>
      <w:r w:rsidRPr="00FA3856">
        <w:rPr>
          <w:rFonts w:ascii="Times New Roman" w:hAnsi="Times New Roman" w:cs="Times New Roman"/>
          <w:szCs w:val="20"/>
        </w:rPr>
        <w:t>ferida pela mutuante, correspondente ao valor calculado com base na taxa a que se refere a alínea “g” e o valor contratado, quando este for inferior, caso o contrato, não registrado no Banco Central do Brasil, seja realizado com mutuária definida como pessoa vinculada domiciliada no exterior;</w:t>
      </w:r>
    </w:p>
    <w:p w:rsidR="00F32E6D" w:rsidRPr="00FA3856" w:rsidRDefault="00F32E6D" w:rsidP="00E506D3">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i) das multas ou qualquer outra vantagem recebida ou creditada, ainda que a título de indenização, em virtude de rescisão de contrato;</w:t>
      </w:r>
    </w:p>
    <w:p w:rsidR="00F32E6D" w:rsidRPr="00FA3856" w:rsidRDefault="00F32E6D" w:rsidP="00E506D3">
      <w:pPr>
        <w:pStyle w:val="NormalWeb"/>
        <w:spacing w:before="0" w:after="0"/>
        <w:ind w:left="600" w:firstLine="108"/>
        <w:jc w:val="both"/>
        <w:rPr>
          <w:rFonts w:ascii="Times New Roman" w:hAnsi="Times New Roman" w:cs="Times New Roman"/>
          <w:szCs w:val="20"/>
        </w:rPr>
      </w:pPr>
      <w:r w:rsidRPr="00FA3856">
        <w:rPr>
          <w:rFonts w:ascii="Times New Roman" w:hAnsi="Times New Roman" w:cs="Times New Roman"/>
          <w:szCs w:val="20"/>
        </w:rPr>
        <w:t>j) da diferença entre o valor em dinheiro ou o valor dos bens e direitos recebidos de instituição isenta, a título de devolução de patrimônio, e o valor em dinheiro ou o valor dos bens e direitos entregue para a formação do referido patrimônio (Lei n</w:t>
      </w:r>
      <w:r w:rsidRPr="00FA3856">
        <w:rPr>
          <w:rFonts w:ascii="Times New Roman" w:hAnsi="Times New Roman" w:cs="Times New Roman"/>
          <w:strike/>
          <w:szCs w:val="20"/>
        </w:rPr>
        <w:t>º</w:t>
      </w:r>
      <w:r w:rsidRPr="00FA3856">
        <w:rPr>
          <w:rFonts w:ascii="Times New Roman" w:hAnsi="Times New Roman" w:cs="Times New Roman"/>
          <w:szCs w:val="20"/>
        </w:rPr>
        <w:t xml:space="preserve"> 9.532, de 1997, art. 17, § 3</w:t>
      </w:r>
      <w:r w:rsidRPr="00FA3856">
        <w:rPr>
          <w:rFonts w:ascii="Times New Roman" w:hAnsi="Times New Roman" w:cs="Times New Roman"/>
          <w:strike/>
          <w:szCs w:val="20"/>
        </w:rPr>
        <w:t>º</w:t>
      </w:r>
      <w:r w:rsidRPr="00FA3856">
        <w:rPr>
          <w:rFonts w:ascii="Times New Roman" w:hAnsi="Times New Roman" w:cs="Times New Roman"/>
          <w:szCs w:val="20"/>
        </w:rPr>
        <w:t>, e art. 81, inciso II).</w:t>
      </w:r>
    </w:p>
    <w:p w:rsidR="00E506D3" w:rsidRPr="00FA3856" w:rsidRDefault="00E506D3" w:rsidP="00F32E6D">
      <w:pPr>
        <w:pStyle w:val="NormalWeb"/>
        <w:spacing w:before="0" w:after="0"/>
        <w:ind w:left="600"/>
        <w:jc w:val="both"/>
        <w:rPr>
          <w:rFonts w:ascii="Times New Roman" w:hAnsi="Times New Roman" w:cs="Times New Roman"/>
          <w:b/>
          <w:bCs/>
          <w:szCs w:val="20"/>
        </w:rPr>
      </w:pPr>
    </w:p>
    <w:p w:rsidR="00F32E6D" w:rsidRPr="00FA3856" w:rsidRDefault="00F32E6D" w:rsidP="00E506D3">
      <w:pPr>
        <w:pStyle w:val="NormalWeb"/>
        <w:spacing w:before="0" w:after="0"/>
        <w:ind w:firstLine="600"/>
        <w:jc w:val="both"/>
        <w:rPr>
          <w:rFonts w:ascii="Times New Roman" w:hAnsi="Times New Roman" w:cs="Times New Roman"/>
          <w:szCs w:val="20"/>
        </w:rPr>
      </w:pPr>
      <w:r w:rsidRPr="00FA3856">
        <w:rPr>
          <w:rFonts w:ascii="Times New Roman" w:hAnsi="Times New Roman" w:cs="Times New Roman"/>
          <w:b/>
          <w:bCs/>
          <w:szCs w:val="20"/>
        </w:rPr>
        <w:t>Atenção:</w:t>
      </w:r>
    </w:p>
    <w:p w:rsidR="00F32E6D" w:rsidRPr="00FA3856" w:rsidRDefault="00F32E6D" w:rsidP="00F32E6D">
      <w:pPr>
        <w:pStyle w:val="NormalWeb"/>
        <w:spacing w:before="0" w:after="0"/>
        <w:ind w:left="600"/>
        <w:jc w:val="both"/>
        <w:rPr>
          <w:rFonts w:ascii="Times New Roman" w:hAnsi="Times New Roman" w:cs="Times New Roman"/>
          <w:szCs w:val="20"/>
        </w:rPr>
      </w:pPr>
      <w:r w:rsidRPr="00FA3856">
        <w:rPr>
          <w:rFonts w:ascii="Times New Roman" w:hAnsi="Times New Roman" w:cs="Times New Roman"/>
          <w:szCs w:val="20"/>
        </w:rPr>
        <w:t>1) O resultado negativo ou perda apurados em uma operação não podem ser compensados com os resultados positivos auferidos em outras operações.</w:t>
      </w:r>
    </w:p>
    <w:p w:rsidR="00F32E6D" w:rsidRPr="00FA3856" w:rsidRDefault="00F32E6D" w:rsidP="00F32E6D">
      <w:pPr>
        <w:pStyle w:val="NormalWeb"/>
        <w:spacing w:before="0" w:after="0"/>
        <w:ind w:left="600"/>
        <w:jc w:val="both"/>
        <w:rPr>
          <w:rFonts w:ascii="Times New Roman" w:hAnsi="Times New Roman" w:cs="Times New Roman"/>
          <w:szCs w:val="20"/>
        </w:rPr>
      </w:pPr>
      <w:r w:rsidRPr="00FA3856">
        <w:rPr>
          <w:rFonts w:ascii="Times New Roman" w:hAnsi="Times New Roman" w:cs="Times New Roman"/>
          <w:szCs w:val="20"/>
        </w:rPr>
        <w:t>2) Consideram-se resultados positivos as receitas auferidas diminuídas das despesas necessárias à sua obtenção, quando efetivamente realizadas.</w:t>
      </w:r>
    </w:p>
    <w:p w:rsidR="00F32E6D" w:rsidRPr="00FA3856" w:rsidRDefault="00F32E6D" w:rsidP="00F32E6D">
      <w:pPr>
        <w:pStyle w:val="NormalWeb"/>
        <w:spacing w:before="0" w:after="0"/>
        <w:ind w:left="600"/>
        <w:jc w:val="both"/>
        <w:rPr>
          <w:rFonts w:ascii="Times New Roman" w:hAnsi="Times New Roman" w:cs="Times New Roman"/>
          <w:szCs w:val="20"/>
        </w:rPr>
      </w:pPr>
      <w:r w:rsidRPr="00FA3856">
        <w:rPr>
          <w:rFonts w:ascii="Times New Roman" w:hAnsi="Times New Roman" w:cs="Times New Roman"/>
          <w:szCs w:val="20"/>
        </w:rPr>
        <w:t>3) Quanto à alínea "b.8", a pessoa jurídica pode excluir a parcela das receitas financeiras decorrentes da variação monetária ativa dos direitos de crédito e das obrig</w:t>
      </w:r>
      <w:bookmarkStart w:id="280" w:name="subitem_15.2.6.3.1"/>
      <w:bookmarkEnd w:id="280"/>
      <w:r w:rsidRPr="00FA3856">
        <w:rPr>
          <w:rFonts w:ascii="Times New Roman" w:hAnsi="Times New Roman" w:cs="Times New Roman"/>
          <w:szCs w:val="20"/>
        </w:rPr>
        <w:t>ações, em função da taxa de câmbio, submetida à tributação, segundo o regime de competência, relativa a períodos compreendidos no ano-calendário de 1999, excedente ao valor da variação monetária efetivamente realizada, ainda que a operação tenha sido liquidada (</w:t>
      </w:r>
      <w:hyperlink r:id="rId414" w:history="1">
        <w:r w:rsidRPr="00FA3856">
          <w:rPr>
            <w:rStyle w:val="Hyperlink"/>
            <w:rFonts w:ascii="Times New Roman" w:hAnsi="Times New Roman" w:cs="Times New Roman"/>
            <w:color w:val="auto"/>
            <w:szCs w:val="20"/>
          </w:rPr>
          <w:t>MP n</w:t>
        </w:r>
        <w:r w:rsidRPr="00FA3856">
          <w:rPr>
            <w:rStyle w:val="Hyperlink"/>
            <w:rFonts w:ascii="Times New Roman" w:hAnsi="Times New Roman" w:cs="Times New Roman"/>
            <w:strike/>
            <w:color w:val="auto"/>
            <w:szCs w:val="20"/>
          </w:rPr>
          <w:t>º</w:t>
        </w:r>
        <w:r w:rsidRPr="00FA3856">
          <w:rPr>
            <w:rStyle w:val="Hyperlink"/>
            <w:rFonts w:ascii="Times New Roman" w:hAnsi="Times New Roman" w:cs="Times New Roman"/>
            <w:color w:val="auto"/>
            <w:szCs w:val="20"/>
          </w:rPr>
          <w:t xml:space="preserve"> 1.858-10</w:t>
        </w:r>
      </w:hyperlink>
      <w:r w:rsidRPr="00FA3856">
        <w:rPr>
          <w:rFonts w:ascii="Times New Roman" w:hAnsi="Times New Roman" w:cs="Times New Roman"/>
          <w:szCs w:val="20"/>
        </w:rPr>
        <w:t>, de 1999, art. 31, e reedições).</w:t>
      </w:r>
    </w:p>
    <w:p w:rsidR="00E506D3" w:rsidRPr="00FA3856" w:rsidRDefault="00F32E6D" w:rsidP="00F32E6D">
      <w:pPr>
        <w:pStyle w:val="NormalWeb"/>
        <w:spacing w:before="0" w:after="0"/>
        <w:ind w:left="600"/>
        <w:jc w:val="both"/>
        <w:rPr>
          <w:rFonts w:ascii="Times New Roman" w:hAnsi="Times New Roman" w:cs="Times New Roman"/>
          <w:szCs w:val="20"/>
        </w:rPr>
      </w:pPr>
      <w:r w:rsidRPr="00FA3856">
        <w:rPr>
          <w:rFonts w:ascii="Times New Roman" w:hAnsi="Times New Roman" w:cs="Times New Roman"/>
          <w:szCs w:val="20"/>
        </w:rPr>
        <w:t>4) As variações monetárias ativas dos direitos de crédito e das obrigações do contribuinte, em função da taxa de câmbio, são consideradas, para efeito de determinação da base de cálculo, quando da liquidação da correspondente operação. À opção da pessoa jurídica, as variações monetárias podem ser consideradas, na determinação da base de cálculo, pelo regime de competência, sendo que a opção aplica-se a todo ano-calendário (</w:t>
      </w:r>
      <w:hyperlink r:id="rId415" w:history="1">
        <w:r w:rsidRPr="00FA3856">
          <w:rPr>
            <w:rStyle w:val="Hyperlink"/>
            <w:rFonts w:ascii="Times New Roman" w:hAnsi="Times New Roman" w:cs="Times New Roman"/>
            <w:color w:val="auto"/>
            <w:szCs w:val="20"/>
          </w:rPr>
          <w:t>MP n</w:t>
        </w:r>
        <w:r w:rsidRPr="00FA3856">
          <w:rPr>
            <w:rStyle w:val="Hyperlink"/>
            <w:rFonts w:ascii="Times New Roman" w:hAnsi="Times New Roman" w:cs="Times New Roman"/>
            <w:strike/>
            <w:color w:val="auto"/>
            <w:szCs w:val="20"/>
          </w:rPr>
          <w:t>º</w:t>
        </w:r>
        <w:r w:rsidRPr="00FA3856">
          <w:rPr>
            <w:rStyle w:val="Hyperlink"/>
            <w:rFonts w:ascii="Times New Roman" w:hAnsi="Times New Roman" w:cs="Times New Roman"/>
            <w:color w:val="auto"/>
            <w:szCs w:val="20"/>
          </w:rPr>
          <w:t xml:space="preserve"> 1.858-10</w:t>
        </w:r>
      </w:hyperlink>
      <w:r w:rsidRPr="00FA3856">
        <w:rPr>
          <w:rFonts w:ascii="Times New Roman" w:hAnsi="Times New Roman" w:cs="Times New Roman"/>
          <w:szCs w:val="20"/>
        </w:rPr>
        <w:t xml:space="preserve">, de 1999, art. 31, e reedições). </w:t>
      </w:r>
    </w:p>
    <w:p w:rsidR="00F32E6D" w:rsidRPr="00FA3856" w:rsidRDefault="00F32E6D" w:rsidP="00F32E6D">
      <w:pPr>
        <w:pStyle w:val="NormalWeb"/>
        <w:spacing w:before="0" w:after="0"/>
        <w:ind w:left="600"/>
        <w:jc w:val="both"/>
        <w:rPr>
          <w:rFonts w:ascii="Times New Roman" w:hAnsi="Times New Roman" w:cs="Times New Roman"/>
          <w:szCs w:val="20"/>
        </w:rPr>
      </w:pPr>
      <w:r w:rsidRPr="00FA3856">
        <w:rPr>
          <w:rFonts w:ascii="Times New Roman" w:hAnsi="Times New Roman" w:cs="Times New Roman"/>
          <w:szCs w:val="20"/>
        </w:rPr>
        <w:t>5) Quanto à alínea "l", devem ser aplicadas as normas do inciso I do art. 17 da Lei n</w:t>
      </w:r>
      <w:r w:rsidRPr="00FA3856">
        <w:rPr>
          <w:rFonts w:ascii="Times New Roman" w:hAnsi="Times New Roman" w:cs="Times New Roman"/>
          <w:strike/>
          <w:szCs w:val="20"/>
        </w:rPr>
        <w:t>º</w:t>
      </w:r>
      <w:r w:rsidRPr="00FA3856">
        <w:rPr>
          <w:rFonts w:ascii="Times New Roman" w:hAnsi="Times New Roman" w:cs="Times New Roman"/>
          <w:szCs w:val="20"/>
        </w:rPr>
        <w:t xml:space="preserve"> 9.249, de 1995, aos valores entregues até o final de 1995 (Lei n</w:t>
      </w:r>
      <w:r w:rsidRPr="00FA3856">
        <w:rPr>
          <w:rFonts w:ascii="Times New Roman" w:hAnsi="Times New Roman" w:cs="Times New Roman"/>
          <w:strike/>
          <w:szCs w:val="20"/>
        </w:rPr>
        <w:t>º</w:t>
      </w:r>
      <w:r w:rsidRPr="00FA3856">
        <w:rPr>
          <w:rFonts w:ascii="Times New Roman" w:hAnsi="Times New Roman" w:cs="Times New Roman"/>
          <w:szCs w:val="20"/>
        </w:rPr>
        <w:t xml:space="preserve"> 9.532, de 1997, art. 17, § 1</w:t>
      </w:r>
      <w:r w:rsidRPr="00FA3856">
        <w:rPr>
          <w:rFonts w:ascii="Times New Roman" w:hAnsi="Times New Roman" w:cs="Times New Roman"/>
          <w:strike/>
          <w:szCs w:val="20"/>
        </w:rPr>
        <w:t>º</w:t>
      </w:r>
      <w:r w:rsidRPr="00FA3856">
        <w:rPr>
          <w:rFonts w:ascii="Times New Roman" w:hAnsi="Times New Roman" w:cs="Times New Roman"/>
          <w:szCs w:val="20"/>
        </w:rPr>
        <w:t>).</w:t>
      </w:r>
    </w:p>
    <w:p w:rsidR="00F32E6D" w:rsidRPr="00FA3856" w:rsidRDefault="00F32E6D" w:rsidP="00F32E6D">
      <w:pPr>
        <w:pStyle w:val="NormalWeb"/>
        <w:spacing w:before="0" w:after="0"/>
        <w:ind w:left="600"/>
        <w:jc w:val="both"/>
        <w:rPr>
          <w:rFonts w:ascii="Times New Roman" w:hAnsi="Times New Roman" w:cs="Times New Roman"/>
          <w:szCs w:val="20"/>
        </w:rPr>
      </w:pPr>
      <w:r w:rsidRPr="00FA3856">
        <w:rPr>
          <w:rFonts w:ascii="Times New Roman" w:hAnsi="Times New Roman" w:cs="Times New Roman"/>
          <w:szCs w:val="20"/>
        </w:rPr>
        <w:t>6) A pessoa jurídica que optar pelo regime de tributação com base no lucro presumido, durante o período em que submetida ao Refis, deve acrescer à base de cálculo o valor correspondente aos lucros, rendimentos e ganhos de capital oriundos do exterior, no trimestre em que forem disponibilizados os citados lucros e auferidos os rendimentos e ganhos, nos termos do art. 2</w:t>
      </w:r>
      <w:r w:rsidRPr="00FA3856">
        <w:rPr>
          <w:rFonts w:ascii="Times New Roman" w:hAnsi="Times New Roman" w:cs="Times New Roman"/>
          <w:strike/>
          <w:szCs w:val="20"/>
        </w:rPr>
        <w:t>º</w:t>
      </w:r>
      <w:r w:rsidRPr="00FA3856">
        <w:rPr>
          <w:rFonts w:ascii="Times New Roman" w:hAnsi="Times New Roman" w:cs="Times New Roman"/>
          <w:szCs w:val="20"/>
        </w:rPr>
        <w:t xml:space="preserve"> da Instrução Normativa n</w:t>
      </w:r>
      <w:r w:rsidRPr="00FA3856">
        <w:rPr>
          <w:rFonts w:ascii="Times New Roman" w:hAnsi="Times New Roman" w:cs="Times New Roman"/>
          <w:strike/>
          <w:szCs w:val="20"/>
        </w:rPr>
        <w:t>º</w:t>
      </w:r>
      <w:r w:rsidRPr="00FA3856">
        <w:rPr>
          <w:rFonts w:ascii="Times New Roman" w:hAnsi="Times New Roman" w:cs="Times New Roman"/>
          <w:szCs w:val="20"/>
        </w:rPr>
        <w:t xml:space="preserve"> 16, de 15 de fevereiro de 2001, observado o disposto no art. 74 da Medida Provisória n</w:t>
      </w:r>
      <w:r w:rsidRPr="00FA3856">
        <w:rPr>
          <w:rFonts w:ascii="Times New Roman" w:hAnsi="Times New Roman" w:cs="Times New Roman"/>
          <w:strike/>
          <w:szCs w:val="20"/>
        </w:rPr>
        <w:t>º</w:t>
      </w:r>
      <w:r w:rsidRPr="00FA3856">
        <w:rPr>
          <w:rFonts w:ascii="Times New Roman" w:hAnsi="Times New Roman" w:cs="Times New Roman"/>
          <w:szCs w:val="20"/>
        </w:rPr>
        <w:t xml:space="preserve"> 2.158-35 de 24 de agosto de 2001.</w:t>
      </w:r>
    </w:p>
    <w:p w:rsidR="00F32E6D" w:rsidRPr="00FA3856" w:rsidRDefault="00F32E6D" w:rsidP="00F32E6D">
      <w:pPr>
        <w:pStyle w:val="NormalWeb"/>
        <w:spacing w:before="0" w:after="0"/>
        <w:ind w:left="600"/>
        <w:jc w:val="both"/>
        <w:rPr>
          <w:rFonts w:ascii="Times New Roman" w:hAnsi="Times New Roman" w:cs="Times New Roman"/>
          <w:szCs w:val="20"/>
        </w:rPr>
      </w:pPr>
      <w:r w:rsidRPr="00FA3856">
        <w:rPr>
          <w:rFonts w:ascii="Times New Roman" w:hAnsi="Times New Roman" w:cs="Times New Roman"/>
          <w:szCs w:val="20"/>
        </w:rPr>
        <w:t>7) Nas atividades de compra e venda, loteamento, incorporação e construção de imóveis, as variações monetárias ativas a que se refere o art. 9</w:t>
      </w:r>
      <w:r w:rsidRPr="00FA3856">
        <w:rPr>
          <w:rFonts w:ascii="Times New Roman" w:hAnsi="Times New Roman" w:cs="Times New Roman"/>
          <w:strike/>
          <w:szCs w:val="20"/>
        </w:rPr>
        <w:t>º</w:t>
      </w:r>
      <w:r w:rsidRPr="00FA3856">
        <w:rPr>
          <w:rFonts w:ascii="Times New Roman" w:hAnsi="Times New Roman" w:cs="Times New Roman"/>
          <w:szCs w:val="20"/>
        </w:rPr>
        <w:t xml:space="preserve"> da Lei n</w:t>
      </w:r>
      <w:r w:rsidRPr="00FA3856">
        <w:rPr>
          <w:rFonts w:ascii="Times New Roman" w:hAnsi="Times New Roman" w:cs="Times New Roman"/>
          <w:strike/>
          <w:szCs w:val="20"/>
        </w:rPr>
        <w:t>º</w:t>
      </w:r>
      <w:r w:rsidRPr="00FA3856">
        <w:rPr>
          <w:rFonts w:ascii="Times New Roman" w:hAnsi="Times New Roman" w:cs="Times New Roman"/>
          <w:szCs w:val="20"/>
        </w:rPr>
        <w:t xml:space="preserve"> 9.718, de 1998, devem ser adicionadas ao próprio lucro, pelo regime de competência ou de caixa, conforme opção do contribuinte, estando vedada a opção pelo lucro presumido enquanto não concluídas as operações imobiliárias para as quais haja registro de custo orçado, inclusive se optante do </w:t>
      </w:r>
      <w:bookmarkStart w:id="281" w:name="subitem_15.2.6.3.1.f"/>
      <w:bookmarkEnd w:id="281"/>
      <w:r w:rsidRPr="00FA3856">
        <w:rPr>
          <w:rFonts w:ascii="Times New Roman" w:hAnsi="Times New Roman" w:cs="Times New Roman"/>
          <w:szCs w:val="20"/>
        </w:rPr>
        <w:t>Programa de Recuperação Fiscal (Refis).</w:t>
      </w:r>
    </w:p>
    <w:p w:rsidR="00E506D3" w:rsidRPr="00FA3856" w:rsidRDefault="00E506D3" w:rsidP="00E506D3">
      <w:pPr>
        <w:pStyle w:val="NormalWeb"/>
        <w:spacing w:before="0" w:after="0"/>
        <w:ind w:firstLine="600"/>
        <w:jc w:val="both"/>
        <w:rPr>
          <w:rFonts w:ascii="Times New Roman" w:hAnsi="Times New Roman" w:cs="Times New Roman"/>
          <w:szCs w:val="20"/>
        </w:rPr>
      </w:pPr>
    </w:p>
    <w:p w:rsidR="00E506D3" w:rsidRPr="00FA3856" w:rsidRDefault="00E506D3" w:rsidP="00E506D3">
      <w:pPr>
        <w:pStyle w:val="NormalWeb"/>
        <w:spacing w:before="0" w:after="0"/>
        <w:ind w:firstLine="600"/>
        <w:jc w:val="both"/>
        <w:rPr>
          <w:rFonts w:ascii="Times New Roman" w:hAnsi="Times New Roman" w:cs="Times New Roman"/>
          <w:szCs w:val="20"/>
        </w:rPr>
      </w:pPr>
    </w:p>
    <w:p w:rsidR="00F32E6D" w:rsidRPr="00FA3856" w:rsidRDefault="00F32E6D" w:rsidP="00E506D3">
      <w:pPr>
        <w:pStyle w:val="NormalWeb"/>
        <w:spacing w:before="0" w:after="0"/>
        <w:ind w:firstLine="600"/>
        <w:jc w:val="both"/>
        <w:rPr>
          <w:rFonts w:ascii="Times New Roman" w:hAnsi="Times New Roman" w:cs="Times New Roman"/>
          <w:szCs w:val="20"/>
        </w:rPr>
      </w:pPr>
      <w:r w:rsidRPr="00FA3856">
        <w:rPr>
          <w:rFonts w:ascii="Times New Roman" w:hAnsi="Times New Roman" w:cs="Times New Roman"/>
          <w:szCs w:val="20"/>
        </w:rPr>
        <w:lastRenderedPageBreak/>
        <w:t xml:space="preserve">l) do saldo dos valores cuja tributação tenha sido diferida de períodos de apuração anteriores (Lei nº 9.430 de 1996, art. 54). </w:t>
      </w:r>
      <w:r w:rsidR="00E506D3" w:rsidRPr="00FA3856">
        <w:rPr>
          <w:rFonts w:ascii="Times New Roman" w:hAnsi="Times New Roman" w:cs="Times New Roman"/>
          <w:szCs w:val="20"/>
        </w:rPr>
        <w:tab/>
      </w:r>
    </w:p>
    <w:p w:rsidR="00F32E6D" w:rsidRPr="00FA3856" w:rsidRDefault="00F32E6D" w:rsidP="00E506D3">
      <w:pPr>
        <w:pStyle w:val="NormalWeb"/>
        <w:spacing w:before="0" w:after="0"/>
        <w:ind w:firstLine="600"/>
        <w:jc w:val="both"/>
        <w:rPr>
          <w:rFonts w:ascii="Times New Roman" w:hAnsi="Times New Roman" w:cs="Times New Roman"/>
          <w:szCs w:val="20"/>
        </w:rPr>
      </w:pPr>
      <w:r w:rsidRPr="00FA3856">
        <w:rPr>
          <w:rFonts w:ascii="Times New Roman" w:hAnsi="Times New Roman" w:cs="Times New Roman"/>
          <w:szCs w:val="20"/>
        </w:rPr>
        <w:t>m) Outras Adições e Exclusões referentes ao RTT.</w:t>
      </w:r>
    </w:p>
    <w:p w:rsidR="00E506D3" w:rsidRPr="00FA3856" w:rsidRDefault="00E506D3" w:rsidP="00F32E6D">
      <w:pPr>
        <w:pStyle w:val="NormalWeb"/>
        <w:spacing w:before="0" w:after="0"/>
        <w:jc w:val="both"/>
        <w:rPr>
          <w:rFonts w:ascii="Times New Roman" w:hAnsi="Times New Roman" w:cs="Times New Roman"/>
          <w:b/>
          <w:bCs/>
          <w:szCs w:val="20"/>
        </w:rPr>
      </w:pPr>
    </w:p>
    <w:p w:rsidR="00F32E6D" w:rsidRPr="00FA3856" w:rsidRDefault="00E506D3" w:rsidP="00F32E6D">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t>V.4)</w:t>
      </w:r>
      <w:r w:rsidR="00F32E6D" w:rsidRPr="00FA3856">
        <w:rPr>
          <w:rFonts w:ascii="Times New Roman" w:hAnsi="Times New Roman" w:cs="Times New Roman"/>
          <w:b/>
          <w:bCs/>
          <w:szCs w:val="20"/>
        </w:rPr>
        <w:t xml:space="preserve"> Lucros Diferidos de Períodos de Apuração Anteriores</w:t>
      </w:r>
    </w:p>
    <w:p w:rsidR="00E506D3" w:rsidRPr="00FA3856" w:rsidRDefault="00E506D3" w:rsidP="00F32E6D">
      <w:pPr>
        <w:pStyle w:val="NormalWeb"/>
        <w:spacing w:before="0" w:after="0"/>
        <w:jc w:val="both"/>
        <w:rPr>
          <w:rFonts w:ascii="Times New Roman" w:hAnsi="Times New Roman" w:cs="Times New Roman"/>
          <w:szCs w:val="20"/>
        </w:rPr>
      </w:pPr>
    </w:p>
    <w:p w:rsidR="00F32E6D" w:rsidRPr="00FA3856" w:rsidRDefault="00F32E6D" w:rsidP="00E506D3">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pessoa jurídica que, em 31/12/1996, possu</w:t>
      </w:r>
      <w:bookmarkStart w:id="282" w:name="subitem_15.2.6.3.1.g"/>
      <w:bookmarkEnd w:id="282"/>
      <w:r w:rsidRPr="00FA3856">
        <w:rPr>
          <w:rFonts w:ascii="Times New Roman" w:hAnsi="Times New Roman" w:cs="Times New Roman"/>
          <w:szCs w:val="20"/>
        </w:rPr>
        <w:t xml:space="preserve">ía lucros cuja tributação houvesse sido diferida para períodos de apuração subsequentes e optou pelo regime de tributação com base no lucro presumido nos anos-calendário de 1996 a 2005, deve adicionar, à base de cálculo do imposto, os lucros diferidos, à medida que forem realizados. </w:t>
      </w:r>
    </w:p>
    <w:p w:rsidR="00E506D3" w:rsidRPr="00FA3856" w:rsidRDefault="00E506D3" w:rsidP="00F32E6D">
      <w:pPr>
        <w:pStyle w:val="NormalWeb"/>
        <w:spacing w:before="0" w:after="0"/>
        <w:jc w:val="both"/>
        <w:rPr>
          <w:rFonts w:ascii="Times New Roman" w:hAnsi="Times New Roman" w:cs="Times New Roman"/>
          <w:szCs w:val="20"/>
        </w:rPr>
      </w:pPr>
    </w:p>
    <w:p w:rsidR="00F32E6D" w:rsidRPr="00FA3856" w:rsidRDefault="00F32E6D" w:rsidP="00E506D3">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pessoa jurídica que exerceu a opção pela tributação com base no lucro presumido, e tenha sido tributada com base no lucro real, no ano-calendário</w:t>
      </w:r>
      <w:bookmarkStart w:id="283" w:name="subitem_15.2.6.3.1.h"/>
      <w:bookmarkEnd w:id="283"/>
      <w:r w:rsidRPr="00FA3856">
        <w:rPr>
          <w:rFonts w:ascii="Times New Roman" w:hAnsi="Times New Roman" w:cs="Times New Roman"/>
          <w:szCs w:val="20"/>
        </w:rPr>
        <w:t xml:space="preserve"> anterior, deve oferecer à tributação, no primeiro trimestre do ano-calendário, os saldos dos valores cuja tributação houver diferido, controlados na Parte B do Lalur.</w:t>
      </w:r>
    </w:p>
    <w:p w:rsidR="00E506D3" w:rsidRPr="00FA3856" w:rsidRDefault="00E506D3" w:rsidP="00F32E6D">
      <w:pPr>
        <w:pStyle w:val="NormalWeb"/>
        <w:spacing w:before="0" w:after="0"/>
        <w:jc w:val="both"/>
        <w:rPr>
          <w:rFonts w:ascii="Times New Roman" w:hAnsi="Times New Roman" w:cs="Times New Roman"/>
          <w:b/>
          <w:bCs/>
          <w:szCs w:val="20"/>
        </w:rPr>
      </w:pPr>
    </w:p>
    <w:p w:rsidR="00F32E6D" w:rsidRPr="00FA3856" w:rsidRDefault="00E506D3" w:rsidP="00F32E6D">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t>V.5)</w:t>
      </w:r>
      <w:r w:rsidR="00F32E6D" w:rsidRPr="00FA3856">
        <w:rPr>
          <w:rFonts w:ascii="Times New Roman" w:hAnsi="Times New Roman" w:cs="Times New Roman"/>
          <w:b/>
          <w:bCs/>
          <w:szCs w:val="20"/>
        </w:rPr>
        <w:t xml:space="preserve"> Valores de Operações Praticadas com Pessoas Vinculadas Residentes ou Domiciliadas no Exterior </w:t>
      </w:r>
    </w:p>
    <w:p w:rsidR="00E506D3" w:rsidRPr="00FA3856" w:rsidRDefault="00E506D3" w:rsidP="00F32E6D">
      <w:pPr>
        <w:pStyle w:val="NormalWeb"/>
        <w:spacing w:before="0" w:after="0"/>
        <w:jc w:val="both"/>
        <w:rPr>
          <w:rFonts w:ascii="Times New Roman" w:hAnsi="Times New Roman" w:cs="Times New Roman"/>
          <w:szCs w:val="20"/>
        </w:rPr>
      </w:pPr>
    </w:p>
    <w:p w:rsidR="00F32E6D" w:rsidRPr="00FA3856" w:rsidRDefault="00F32E6D" w:rsidP="00E506D3">
      <w:pPr>
        <w:pStyle w:val="NormalWeb"/>
        <w:spacing w:before="0" w:after="0"/>
        <w:ind w:left="708"/>
        <w:jc w:val="both"/>
        <w:rPr>
          <w:rFonts w:ascii="Times New Roman" w:hAnsi="Times New Roman" w:cs="Times New Roman"/>
          <w:szCs w:val="20"/>
        </w:rPr>
      </w:pPr>
      <w:r w:rsidRPr="00FA3856">
        <w:rPr>
          <w:rFonts w:ascii="Times New Roman" w:hAnsi="Times New Roman" w:cs="Times New Roman"/>
          <w:szCs w:val="20"/>
        </w:rPr>
        <w:t xml:space="preserve">Os valores de que tratam as alíneas "g", "h" e "i" do </w:t>
      </w:r>
      <w:bookmarkStart w:id="284" w:name="subitem_15.2.6.3.1.i"/>
      <w:bookmarkEnd w:id="284"/>
      <w:r w:rsidRPr="00FA3856">
        <w:rPr>
          <w:rFonts w:ascii="Times New Roman" w:hAnsi="Times New Roman" w:cs="Times New Roman"/>
          <w:szCs w:val="20"/>
        </w:rPr>
        <w:t xml:space="preserve">subitem </w:t>
      </w:r>
      <w:r w:rsidR="00E506D3" w:rsidRPr="00FA3856">
        <w:rPr>
          <w:rFonts w:ascii="Times New Roman" w:hAnsi="Times New Roman" w:cs="Times New Roman"/>
          <w:szCs w:val="20"/>
        </w:rPr>
        <w:t>V.3.1</w:t>
      </w:r>
      <w:r w:rsidRPr="00FA3856">
        <w:rPr>
          <w:rFonts w:ascii="Times New Roman" w:hAnsi="Times New Roman" w:cs="Times New Roman"/>
          <w:szCs w:val="20"/>
        </w:rPr>
        <w:t xml:space="preserve"> são apurados anualmente e acrescidos à base de cálculo do quarto trimestre do ano-calendário.</w:t>
      </w:r>
    </w:p>
    <w:p w:rsidR="00E506D3" w:rsidRPr="00FA3856" w:rsidRDefault="00E506D3" w:rsidP="00F32E6D">
      <w:pPr>
        <w:pStyle w:val="NormalWeb"/>
        <w:spacing w:before="0" w:after="0"/>
        <w:jc w:val="both"/>
        <w:rPr>
          <w:rFonts w:ascii="Times New Roman" w:hAnsi="Times New Roman" w:cs="Times New Roman"/>
          <w:szCs w:val="20"/>
        </w:rPr>
      </w:pPr>
    </w:p>
    <w:p w:rsidR="00F32E6D" w:rsidRPr="00FA3856" w:rsidRDefault="00F32E6D" w:rsidP="00E506D3">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diferença entre o impost</w:t>
      </w:r>
      <w:bookmarkStart w:id="285" w:name="subitem_15.2.6.3.1.J"/>
      <w:bookmarkEnd w:id="285"/>
      <w:r w:rsidRPr="00FA3856">
        <w:rPr>
          <w:rFonts w:ascii="Times New Roman" w:hAnsi="Times New Roman" w:cs="Times New Roman"/>
          <w:szCs w:val="20"/>
        </w:rPr>
        <w:t>o apurado conforme o parágrafo anterior e o calculado no decorrer do ano-calendário, sem a inclusão desses valores, deve ser recolhida conjuntamente com o imposto devido relativo ao quarto trimestre.</w:t>
      </w:r>
    </w:p>
    <w:p w:rsidR="00E506D3" w:rsidRPr="00FA3856" w:rsidRDefault="00E506D3" w:rsidP="00F32E6D">
      <w:pPr>
        <w:pStyle w:val="NormalWeb"/>
        <w:spacing w:before="0" w:after="0"/>
        <w:jc w:val="both"/>
        <w:rPr>
          <w:rFonts w:ascii="Times New Roman" w:hAnsi="Times New Roman" w:cs="Times New Roman"/>
          <w:b/>
          <w:bCs/>
          <w:szCs w:val="20"/>
        </w:rPr>
      </w:pPr>
    </w:p>
    <w:p w:rsidR="00F32E6D" w:rsidRPr="00FA3856" w:rsidRDefault="00E506D3" w:rsidP="00F32E6D">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t>V.6)</w:t>
      </w:r>
      <w:r w:rsidR="00F32E6D" w:rsidRPr="00FA3856">
        <w:rPr>
          <w:rFonts w:ascii="Times New Roman" w:hAnsi="Times New Roman" w:cs="Times New Roman"/>
          <w:b/>
          <w:bCs/>
          <w:szCs w:val="20"/>
        </w:rPr>
        <w:t xml:space="preserve"> Receitas Tributadas na Fonte</w:t>
      </w:r>
    </w:p>
    <w:p w:rsidR="00E506D3" w:rsidRPr="00FA3856" w:rsidRDefault="00E506D3" w:rsidP="00F32E6D">
      <w:pPr>
        <w:pStyle w:val="NormalWeb"/>
        <w:spacing w:before="0" w:after="0"/>
        <w:jc w:val="both"/>
        <w:rPr>
          <w:rFonts w:ascii="Times New Roman" w:hAnsi="Times New Roman" w:cs="Times New Roman"/>
          <w:szCs w:val="20"/>
        </w:rPr>
      </w:pPr>
    </w:p>
    <w:p w:rsidR="00F32E6D" w:rsidRPr="00FA3856" w:rsidRDefault="00F32E6D" w:rsidP="00E506D3">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As importâncias pagas ou creditadas à pessoa jurídica, sujeitas à incidência do imposto na fonte, têm o seguinte tratamento:</w:t>
      </w:r>
    </w:p>
    <w:p w:rsidR="00E506D3" w:rsidRPr="00FA3856" w:rsidRDefault="00E506D3" w:rsidP="00F32E6D">
      <w:pPr>
        <w:pStyle w:val="NormalWeb"/>
        <w:spacing w:before="0" w:after="0"/>
        <w:jc w:val="both"/>
        <w:rPr>
          <w:rFonts w:ascii="Times New Roman" w:hAnsi="Times New Roman" w:cs="Times New Roman"/>
          <w:szCs w:val="20"/>
        </w:rPr>
      </w:pPr>
    </w:p>
    <w:p w:rsidR="00F32E6D" w:rsidRPr="00FA3856" w:rsidRDefault="00F32E6D" w:rsidP="00E506D3">
      <w:pPr>
        <w:pStyle w:val="NormalWeb"/>
        <w:spacing w:before="0" w:after="0"/>
        <w:ind w:left="708"/>
        <w:jc w:val="both"/>
        <w:rPr>
          <w:rFonts w:ascii="Times New Roman" w:hAnsi="Times New Roman" w:cs="Times New Roman"/>
          <w:szCs w:val="20"/>
        </w:rPr>
      </w:pPr>
      <w:r w:rsidRPr="00FA3856">
        <w:rPr>
          <w:rFonts w:ascii="Times New Roman" w:hAnsi="Times New Roman" w:cs="Times New Roman"/>
          <w:szCs w:val="20"/>
        </w:rPr>
        <w:t>a) quando decorrentes da prestação de serviços caracterizadamente de natureza profissional, de comissões, corretagens ou quaisquer outras remunerações pela representação comercial ou pela mediação na realização de negócios civis e comerciais e da prestação de serviços de propaganda e publicidade, são incluídas como receitas de prestação de serviços e o imposto retido na fonte pode ser compensado com o devido trimestralmente. Para efeito de compensação, o imposto pago ou retido, constante de documento hábil, é compensado pelos valores originais, sem qualquer atualização (Lei n</w:t>
      </w:r>
      <w:r w:rsidRPr="00FA3856">
        <w:rPr>
          <w:rFonts w:ascii="Times New Roman" w:hAnsi="Times New Roman" w:cs="Times New Roman"/>
          <w:strike/>
          <w:szCs w:val="20"/>
        </w:rPr>
        <w:t>º</w:t>
      </w:r>
      <w:r w:rsidRPr="00FA3856">
        <w:rPr>
          <w:rFonts w:ascii="Times New Roman" w:hAnsi="Times New Roman" w:cs="Times New Roman"/>
          <w:szCs w:val="20"/>
        </w:rPr>
        <w:t xml:space="preserve"> 9.430, de 1996, art. 75, parágrafo único). Quando o imposto a compensar for superior ao devido no trimestre, o excesso pode ser compensado nos trimestres subsequentes, acrescido dos juros equivalentes à taxa referencial do Sistema Especial de Liquidação e Custódia (Selic), para títulos federais, acumulada mensalmente, a partir do primeiro dia do trimestre subsequente até o mês anterior ao da compensação e de 1% (um por cento) no mês da compensação;</w:t>
      </w:r>
    </w:p>
    <w:p w:rsidR="00F32E6D" w:rsidRPr="00FA3856" w:rsidRDefault="00F32E6D" w:rsidP="00E506D3">
      <w:pPr>
        <w:pStyle w:val="NormalWeb"/>
        <w:spacing w:before="0" w:after="0"/>
        <w:ind w:left="708"/>
        <w:jc w:val="both"/>
        <w:rPr>
          <w:rFonts w:ascii="Times New Roman" w:hAnsi="Times New Roman" w:cs="Times New Roman"/>
          <w:szCs w:val="20"/>
        </w:rPr>
      </w:pPr>
      <w:r w:rsidRPr="00FA3856">
        <w:rPr>
          <w:rFonts w:ascii="Times New Roman" w:hAnsi="Times New Roman" w:cs="Times New Roman"/>
          <w:szCs w:val="20"/>
        </w:rPr>
        <w:t>b) os rendimentos de aplicações financeiras de renda fixa, renda variável ou juros sobre o capital próprio são incluídos na base de cálculo e o imposto pago ou retido incidente sobre esses rendimentos pode ser compensado com o devido trimestralmente. Para efeito de compensação, o imposto pago ou retido, constante de documento hábil, é compensado pelos valores originais, sem qualquer atualização (Lei n</w:t>
      </w:r>
      <w:r w:rsidRPr="00FA3856">
        <w:rPr>
          <w:rFonts w:ascii="Times New Roman" w:hAnsi="Times New Roman" w:cs="Times New Roman"/>
          <w:strike/>
          <w:szCs w:val="20"/>
        </w:rPr>
        <w:t>º</w:t>
      </w:r>
      <w:r w:rsidRPr="00FA3856">
        <w:rPr>
          <w:rFonts w:ascii="Times New Roman" w:hAnsi="Times New Roman" w:cs="Times New Roman"/>
          <w:szCs w:val="20"/>
        </w:rPr>
        <w:t xml:space="preserve"> 9.430, de 1996, art. 75, parágrafo único). Quando o imposto a compensar for superior ao imposto devido no trimestre, o excesso pode ser compensado nos trimestres subsequentes, acrescido dos juros equivalentes à taxa referencial do Sistema Especial de Liquidação e Custódia (Selic), para títulos federais, acumulada mensalmente, a partir do primeiro dia do trimestre subsequente até o mês anterior ao da compensação e de 1% (um por cento) no mês da compensação;</w:t>
      </w:r>
    </w:p>
    <w:p w:rsidR="00F32E6D" w:rsidRPr="00FA3856" w:rsidRDefault="00F32E6D" w:rsidP="00E506D3">
      <w:pPr>
        <w:pStyle w:val="NormalWeb"/>
        <w:spacing w:before="0" w:after="0"/>
        <w:ind w:left="708"/>
        <w:jc w:val="both"/>
        <w:rPr>
          <w:rFonts w:ascii="Times New Roman" w:hAnsi="Times New Roman" w:cs="Times New Roman"/>
          <w:szCs w:val="20"/>
        </w:rPr>
      </w:pPr>
      <w:r w:rsidRPr="00FA3856">
        <w:rPr>
          <w:rFonts w:ascii="Times New Roman" w:hAnsi="Times New Roman" w:cs="Times New Roman"/>
          <w:szCs w:val="20"/>
        </w:rPr>
        <w:t>c) são considerados tributados exclusivamente na fonte os rendimentos decorrentes de participações societárias, sempre que tais rendimentos sofrerem tributação na fonte, observada a legislação da época em que forem gerados.</w:t>
      </w:r>
    </w:p>
    <w:p w:rsidR="00E506D3" w:rsidRPr="00FA3856" w:rsidRDefault="00E506D3" w:rsidP="00F32E6D">
      <w:pPr>
        <w:pStyle w:val="NormalWeb"/>
        <w:spacing w:before="0" w:after="0"/>
        <w:jc w:val="both"/>
        <w:rPr>
          <w:rFonts w:ascii="Times New Roman" w:hAnsi="Times New Roman" w:cs="Times New Roman"/>
          <w:b/>
          <w:bCs/>
          <w:szCs w:val="20"/>
        </w:rPr>
      </w:pPr>
    </w:p>
    <w:p w:rsidR="00E506D3" w:rsidRPr="00FA3856" w:rsidRDefault="00E506D3" w:rsidP="00F32E6D">
      <w:pPr>
        <w:pStyle w:val="NormalWeb"/>
        <w:spacing w:before="0" w:after="0"/>
        <w:jc w:val="both"/>
        <w:rPr>
          <w:rFonts w:ascii="Times New Roman" w:hAnsi="Times New Roman" w:cs="Times New Roman"/>
          <w:b/>
          <w:bCs/>
          <w:szCs w:val="20"/>
        </w:rPr>
      </w:pPr>
    </w:p>
    <w:p w:rsidR="00E506D3" w:rsidRPr="00FA3856" w:rsidRDefault="00E506D3" w:rsidP="00F32E6D">
      <w:pPr>
        <w:pStyle w:val="NormalWeb"/>
        <w:spacing w:before="0" w:after="0"/>
        <w:jc w:val="both"/>
        <w:rPr>
          <w:rFonts w:ascii="Times New Roman" w:hAnsi="Times New Roman" w:cs="Times New Roman"/>
          <w:b/>
          <w:bCs/>
          <w:szCs w:val="20"/>
        </w:rPr>
      </w:pPr>
    </w:p>
    <w:p w:rsidR="00E506D3" w:rsidRPr="00FA3856" w:rsidRDefault="00E506D3" w:rsidP="00F32E6D">
      <w:pPr>
        <w:pStyle w:val="NormalWeb"/>
        <w:spacing w:before="0" w:after="0"/>
        <w:jc w:val="both"/>
        <w:rPr>
          <w:rFonts w:ascii="Times New Roman" w:hAnsi="Times New Roman" w:cs="Times New Roman"/>
          <w:b/>
          <w:bCs/>
          <w:szCs w:val="20"/>
        </w:rPr>
      </w:pPr>
    </w:p>
    <w:p w:rsidR="00E506D3" w:rsidRPr="00FA3856" w:rsidRDefault="00E506D3" w:rsidP="00F32E6D">
      <w:pPr>
        <w:pStyle w:val="NormalWeb"/>
        <w:spacing w:before="0" w:after="0"/>
        <w:jc w:val="both"/>
        <w:rPr>
          <w:rFonts w:ascii="Times New Roman" w:hAnsi="Times New Roman" w:cs="Times New Roman"/>
          <w:b/>
          <w:bCs/>
          <w:szCs w:val="20"/>
        </w:rPr>
      </w:pPr>
    </w:p>
    <w:p w:rsidR="00F32E6D" w:rsidRPr="00FA3856" w:rsidRDefault="00E506D3" w:rsidP="00F32E6D">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lastRenderedPageBreak/>
        <w:t>VI)</w:t>
      </w:r>
      <w:r w:rsidR="00F32E6D" w:rsidRPr="00FA3856">
        <w:rPr>
          <w:rFonts w:ascii="Times New Roman" w:hAnsi="Times New Roman" w:cs="Times New Roman"/>
          <w:b/>
          <w:bCs/>
          <w:szCs w:val="20"/>
        </w:rPr>
        <w:t xml:space="preserve"> Determinação do Imposto de Renda Devido </w:t>
      </w:r>
    </w:p>
    <w:p w:rsidR="00E506D3" w:rsidRPr="00FA3856" w:rsidRDefault="00E506D3" w:rsidP="00F32E6D">
      <w:pPr>
        <w:pStyle w:val="NormalWeb"/>
        <w:spacing w:before="0" w:after="0"/>
        <w:jc w:val="both"/>
        <w:rPr>
          <w:rFonts w:ascii="Times New Roman" w:hAnsi="Times New Roman" w:cs="Times New Roman"/>
          <w:b/>
          <w:bCs/>
          <w:szCs w:val="20"/>
        </w:rPr>
      </w:pPr>
    </w:p>
    <w:p w:rsidR="00F32E6D" w:rsidRPr="00FA3856" w:rsidRDefault="00E506D3" w:rsidP="00F32E6D">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t>VI.1)</w:t>
      </w:r>
      <w:r w:rsidR="00F32E6D" w:rsidRPr="00FA3856">
        <w:rPr>
          <w:rFonts w:ascii="Times New Roman" w:hAnsi="Times New Roman" w:cs="Times New Roman"/>
          <w:b/>
          <w:bCs/>
          <w:szCs w:val="20"/>
        </w:rPr>
        <w:t xml:space="preserve"> Alíquota</w:t>
      </w:r>
    </w:p>
    <w:p w:rsidR="00E506D3" w:rsidRPr="00FA3856" w:rsidRDefault="00E506D3" w:rsidP="00F32E6D">
      <w:pPr>
        <w:pStyle w:val="NormalWeb"/>
        <w:spacing w:before="0" w:after="0"/>
        <w:jc w:val="both"/>
        <w:rPr>
          <w:rFonts w:ascii="Times New Roman" w:hAnsi="Times New Roman" w:cs="Times New Roman"/>
          <w:szCs w:val="20"/>
        </w:rPr>
      </w:pPr>
    </w:p>
    <w:p w:rsidR="00F32E6D" w:rsidRPr="00FA3856" w:rsidRDefault="00F32E6D" w:rsidP="00E506D3">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O imposto devido em cada trimestre é calculado mediante a aplicação da alíquota de 15% (quinze por cento) sobre a base de cálculo.</w:t>
      </w:r>
    </w:p>
    <w:p w:rsidR="00E506D3" w:rsidRPr="00FA3856" w:rsidRDefault="00E506D3" w:rsidP="00F32E6D">
      <w:pPr>
        <w:pStyle w:val="NormalWeb"/>
        <w:spacing w:before="0" w:after="0"/>
        <w:jc w:val="both"/>
        <w:rPr>
          <w:rFonts w:ascii="Times New Roman" w:hAnsi="Times New Roman" w:cs="Times New Roman"/>
          <w:b/>
          <w:bCs/>
          <w:szCs w:val="20"/>
        </w:rPr>
      </w:pPr>
    </w:p>
    <w:p w:rsidR="00F32E6D" w:rsidRPr="00FA3856" w:rsidRDefault="00E506D3" w:rsidP="00F32E6D">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t>VI.2)</w:t>
      </w:r>
      <w:r w:rsidR="00F32E6D" w:rsidRPr="00FA3856">
        <w:rPr>
          <w:rFonts w:ascii="Times New Roman" w:hAnsi="Times New Roman" w:cs="Times New Roman"/>
          <w:b/>
          <w:bCs/>
          <w:szCs w:val="20"/>
        </w:rPr>
        <w:t xml:space="preserve"> Adicional</w:t>
      </w:r>
    </w:p>
    <w:p w:rsidR="00E506D3" w:rsidRPr="00FA3856" w:rsidRDefault="00E506D3" w:rsidP="00F32E6D">
      <w:pPr>
        <w:pStyle w:val="NormalWeb"/>
        <w:spacing w:before="0" w:after="0"/>
        <w:jc w:val="both"/>
        <w:rPr>
          <w:rFonts w:ascii="Times New Roman" w:hAnsi="Times New Roman" w:cs="Times New Roman"/>
          <w:szCs w:val="20"/>
        </w:rPr>
      </w:pPr>
    </w:p>
    <w:p w:rsidR="00F32E6D" w:rsidRPr="00FA3856" w:rsidRDefault="00F32E6D" w:rsidP="00E506D3">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parcela do lucro presumido que exceder ao resultado da multiplicação de R$ 20.000,00 (vinte mil reais) pelo número dos meses do respectivo período de apuração sujeita-se à incidência do adicional, à alíquota de 10% (dez por cento).</w:t>
      </w:r>
    </w:p>
    <w:p w:rsidR="00E506D3" w:rsidRPr="00FA3856" w:rsidRDefault="00E506D3" w:rsidP="00F32E6D">
      <w:pPr>
        <w:pStyle w:val="NormalWeb"/>
        <w:spacing w:before="0" w:after="0"/>
        <w:jc w:val="both"/>
        <w:rPr>
          <w:rFonts w:ascii="Times New Roman" w:hAnsi="Times New Roman" w:cs="Times New Roman"/>
          <w:b/>
          <w:bCs/>
          <w:szCs w:val="20"/>
        </w:rPr>
      </w:pPr>
    </w:p>
    <w:p w:rsidR="00F32E6D" w:rsidRPr="00FA3856" w:rsidRDefault="00E506D3" w:rsidP="00F32E6D">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t xml:space="preserve">VI.3) </w:t>
      </w:r>
      <w:r w:rsidR="00F32E6D" w:rsidRPr="00FA3856">
        <w:rPr>
          <w:rFonts w:ascii="Times New Roman" w:hAnsi="Times New Roman" w:cs="Times New Roman"/>
          <w:b/>
          <w:bCs/>
          <w:szCs w:val="20"/>
        </w:rPr>
        <w:t>Deduções do Imposto Devido</w:t>
      </w:r>
    </w:p>
    <w:p w:rsidR="00E506D3" w:rsidRPr="00FA3856" w:rsidRDefault="00E506D3" w:rsidP="00F32E6D">
      <w:pPr>
        <w:pStyle w:val="NormalWeb"/>
        <w:spacing w:before="0" w:after="0"/>
        <w:jc w:val="both"/>
        <w:rPr>
          <w:rFonts w:ascii="Times New Roman" w:hAnsi="Times New Roman" w:cs="Times New Roman"/>
          <w:szCs w:val="20"/>
        </w:rPr>
      </w:pPr>
    </w:p>
    <w:p w:rsidR="00F32E6D" w:rsidRPr="00FA3856" w:rsidRDefault="00F32E6D" w:rsidP="00E506D3">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pessoa jurídica optante pelo lucro presumido pode deduzir</w:t>
      </w:r>
      <w:bookmarkStart w:id="286" w:name="subitem_15.2.6.3.1.l"/>
      <w:bookmarkEnd w:id="286"/>
      <w:r w:rsidRPr="00FA3856">
        <w:rPr>
          <w:rFonts w:ascii="Times New Roman" w:hAnsi="Times New Roman" w:cs="Times New Roman"/>
          <w:szCs w:val="20"/>
        </w:rPr>
        <w:t xml:space="preserve"> do imposto de renda apurado:</w:t>
      </w:r>
    </w:p>
    <w:p w:rsidR="00E506D3" w:rsidRPr="00FA3856" w:rsidRDefault="00E506D3" w:rsidP="00F32E6D">
      <w:pPr>
        <w:pStyle w:val="NormalWeb"/>
        <w:spacing w:before="0" w:after="0"/>
        <w:jc w:val="both"/>
        <w:rPr>
          <w:rFonts w:ascii="Times New Roman" w:hAnsi="Times New Roman" w:cs="Times New Roman"/>
          <w:szCs w:val="20"/>
        </w:rPr>
      </w:pPr>
    </w:p>
    <w:p w:rsidR="00F32E6D" w:rsidRPr="00FA3856" w:rsidRDefault="00F32E6D" w:rsidP="00E506D3">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 xml:space="preserve">a) o imposto de renda pago ou retido na fonte sobre receitas que integram a base de cálculo do imposto devido; </w:t>
      </w:r>
    </w:p>
    <w:p w:rsidR="00F32E6D" w:rsidRPr="00FA3856" w:rsidRDefault="00F32E6D" w:rsidP="00E506D3">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 xml:space="preserve">b) o imposto de renda retido na fonte </w:t>
      </w:r>
      <w:bookmarkStart w:id="287" w:name="subitem_15.2.6.4"/>
      <w:bookmarkEnd w:id="287"/>
      <w:r w:rsidRPr="00FA3856">
        <w:rPr>
          <w:rFonts w:ascii="Times New Roman" w:hAnsi="Times New Roman" w:cs="Times New Roman"/>
          <w:szCs w:val="20"/>
        </w:rPr>
        <w:t>por órgãos públicos, conforme art. 64 da Lei n</w:t>
      </w:r>
      <w:r w:rsidRPr="00FA3856">
        <w:rPr>
          <w:rFonts w:ascii="Times New Roman" w:hAnsi="Times New Roman" w:cs="Times New Roman"/>
          <w:strike/>
          <w:szCs w:val="20"/>
        </w:rPr>
        <w:t>º</w:t>
      </w:r>
      <w:r w:rsidRPr="00FA3856">
        <w:rPr>
          <w:rFonts w:ascii="Times New Roman" w:hAnsi="Times New Roman" w:cs="Times New Roman"/>
          <w:szCs w:val="20"/>
        </w:rPr>
        <w:t xml:space="preserve"> 9.430, de 1996;</w:t>
      </w:r>
    </w:p>
    <w:p w:rsidR="00F32E6D" w:rsidRPr="00FA3856" w:rsidRDefault="00F32E6D" w:rsidP="00E506D3">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c) o imposto de renda retido na fonte por Entidades da Administração Pública Federal (Lei nº 10.833/2003, art. 34);</w:t>
      </w:r>
    </w:p>
    <w:p w:rsidR="00F32E6D" w:rsidRPr="00FA3856" w:rsidRDefault="00F32E6D" w:rsidP="00E506D3">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d) o imposto de renda pago incidente sobre ganhos no mercado de renda variável.</w:t>
      </w:r>
    </w:p>
    <w:p w:rsidR="00E506D3" w:rsidRPr="00FA3856" w:rsidRDefault="00E506D3" w:rsidP="00F32E6D">
      <w:pPr>
        <w:pStyle w:val="NormalWeb"/>
        <w:spacing w:before="0" w:after="0"/>
        <w:jc w:val="both"/>
        <w:rPr>
          <w:rFonts w:ascii="Times New Roman" w:hAnsi="Times New Roman" w:cs="Times New Roman"/>
          <w:b/>
          <w:bCs/>
          <w:szCs w:val="20"/>
        </w:rPr>
      </w:pPr>
    </w:p>
    <w:p w:rsidR="00F32E6D" w:rsidRPr="00FA3856" w:rsidRDefault="00E506D3" w:rsidP="00F32E6D">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t>VI.4)</w:t>
      </w:r>
      <w:r w:rsidR="00F32E6D" w:rsidRPr="00FA3856">
        <w:rPr>
          <w:rFonts w:ascii="Times New Roman" w:hAnsi="Times New Roman" w:cs="Times New Roman"/>
          <w:b/>
          <w:bCs/>
          <w:szCs w:val="20"/>
        </w:rPr>
        <w:t xml:space="preserve"> Compensações do Imposto de Renda Devido </w:t>
      </w:r>
    </w:p>
    <w:p w:rsidR="00E506D3" w:rsidRPr="00FA3856" w:rsidRDefault="00E506D3" w:rsidP="00F32E6D">
      <w:pPr>
        <w:pStyle w:val="NormalWeb"/>
        <w:spacing w:before="0" w:after="0"/>
        <w:jc w:val="both"/>
        <w:rPr>
          <w:rFonts w:ascii="Times New Roman" w:hAnsi="Times New Roman" w:cs="Times New Roman"/>
          <w:szCs w:val="20"/>
        </w:rPr>
      </w:pPr>
    </w:p>
    <w:p w:rsidR="00F32E6D" w:rsidRPr="00FA3856" w:rsidRDefault="00F32E6D" w:rsidP="00E506D3">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pessoa jurídica pode efetuar as seguintes compensações:</w:t>
      </w:r>
    </w:p>
    <w:p w:rsidR="00E506D3" w:rsidRPr="00FA3856" w:rsidRDefault="00E506D3" w:rsidP="00F32E6D">
      <w:pPr>
        <w:pStyle w:val="NormalWeb"/>
        <w:spacing w:before="0" w:after="0"/>
        <w:jc w:val="both"/>
        <w:rPr>
          <w:rFonts w:ascii="Times New Roman" w:hAnsi="Times New Roman" w:cs="Times New Roman"/>
          <w:szCs w:val="20"/>
        </w:rPr>
      </w:pPr>
    </w:p>
    <w:p w:rsidR="00F32E6D" w:rsidRPr="00FA3856" w:rsidRDefault="00F32E6D" w:rsidP="00E506D3">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pagamento indevido ou a maior que o devido de imposto de renda;</w:t>
      </w:r>
    </w:p>
    <w:p w:rsidR="00F32E6D" w:rsidRPr="00FA3856" w:rsidRDefault="00F32E6D" w:rsidP="00E506D3">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b) saldo negativo de imposto de renda de períodos anteriores;</w:t>
      </w:r>
    </w:p>
    <w:p w:rsidR="00F32E6D" w:rsidRPr="00FA3856" w:rsidRDefault="00F32E6D" w:rsidP="00E506D3">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c) outras compensações efetuadas mediante Declaração de Compensação (Per/DComp) ou processo administrativo.</w:t>
      </w:r>
    </w:p>
    <w:p w:rsidR="00E506D3" w:rsidRPr="00FA3856" w:rsidRDefault="00E506D3" w:rsidP="00F32E6D">
      <w:pPr>
        <w:pStyle w:val="NormalWeb"/>
        <w:spacing w:before="0" w:after="0"/>
        <w:jc w:val="both"/>
        <w:rPr>
          <w:rFonts w:ascii="Times New Roman" w:hAnsi="Times New Roman" w:cs="Times New Roman"/>
          <w:szCs w:val="20"/>
        </w:rPr>
      </w:pPr>
    </w:p>
    <w:p w:rsidR="00F32E6D" w:rsidRPr="00FA3856" w:rsidRDefault="00F32E6D" w:rsidP="00E506D3">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As compensações efetuadas devem ser informadas na DCTF.</w:t>
      </w:r>
    </w:p>
    <w:p w:rsidR="00E506D3" w:rsidRPr="00FA3856" w:rsidRDefault="00E506D3" w:rsidP="00F32E6D">
      <w:pPr>
        <w:pStyle w:val="NormalWeb"/>
        <w:spacing w:before="0" w:after="0"/>
        <w:jc w:val="both"/>
        <w:rPr>
          <w:rFonts w:ascii="Times New Roman" w:hAnsi="Times New Roman" w:cs="Times New Roman"/>
          <w:b/>
          <w:bCs/>
          <w:szCs w:val="20"/>
        </w:rPr>
      </w:pPr>
    </w:p>
    <w:p w:rsidR="00F32E6D" w:rsidRPr="00FA3856" w:rsidRDefault="00E506D3" w:rsidP="00F32E6D">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t>VI.5)</w:t>
      </w:r>
      <w:r w:rsidR="00F32E6D" w:rsidRPr="00FA3856">
        <w:rPr>
          <w:rFonts w:ascii="Times New Roman" w:hAnsi="Times New Roman" w:cs="Times New Roman"/>
          <w:b/>
          <w:bCs/>
          <w:szCs w:val="20"/>
        </w:rPr>
        <w:t xml:space="preserve"> Incentivos Fiscais</w:t>
      </w:r>
    </w:p>
    <w:p w:rsidR="00E506D3" w:rsidRPr="00FA3856" w:rsidRDefault="00E506D3" w:rsidP="00F32E6D">
      <w:pPr>
        <w:pStyle w:val="NormalWeb"/>
        <w:spacing w:before="0" w:after="0"/>
        <w:jc w:val="both"/>
        <w:rPr>
          <w:rFonts w:ascii="Times New Roman" w:hAnsi="Times New Roman" w:cs="Times New Roman"/>
          <w:szCs w:val="20"/>
        </w:rPr>
      </w:pPr>
    </w:p>
    <w:p w:rsidR="00F32E6D" w:rsidRPr="00FA3856" w:rsidRDefault="00F32E6D" w:rsidP="00E506D3">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À pessoa juríd</w:t>
      </w:r>
      <w:bookmarkStart w:id="288" w:name="subitem_15.2.6.5"/>
      <w:bookmarkEnd w:id="288"/>
      <w:r w:rsidRPr="00FA3856">
        <w:rPr>
          <w:rFonts w:ascii="Times New Roman" w:hAnsi="Times New Roman" w:cs="Times New Roman"/>
          <w:szCs w:val="20"/>
        </w:rPr>
        <w:t>ica tributada com base no lucro presumido não é permitido qualquer dedução a título de incentivo fiscal (Lei n</w:t>
      </w:r>
      <w:r w:rsidRPr="00FA3856">
        <w:rPr>
          <w:rFonts w:ascii="Times New Roman" w:hAnsi="Times New Roman" w:cs="Times New Roman"/>
          <w:strike/>
          <w:szCs w:val="20"/>
        </w:rPr>
        <w:t>º</w:t>
      </w:r>
      <w:r w:rsidRPr="00FA3856">
        <w:rPr>
          <w:rFonts w:ascii="Times New Roman" w:hAnsi="Times New Roman" w:cs="Times New Roman"/>
          <w:szCs w:val="20"/>
        </w:rPr>
        <w:t xml:space="preserve"> 9.532, de 1997, art. 10).</w:t>
      </w:r>
    </w:p>
    <w:p w:rsidR="00E506D3" w:rsidRPr="00FA3856" w:rsidRDefault="00E506D3" w:rsidP="00F32E6D">
      <w:pPr>
        <w:pStyle w:val="NormalWeb"/>
        <w:spacing w:before="0" w:after="0"/>
        <w:jc w:val="both"/>
        <w:rPr>
          <w:rFonts w:ascii="Times New Roman" w:hAnsi="Times New Roman" w:cs="Times New Roman"/>
          <w:b/>
          <w:bCs/>
          <w:szCs w:val="20"/>
        </w:rPr>
      </w:pPr>
    </w:p>
    <w:p w:rsidR="00F32E6D" w:rsidRPr="00FA3856" w:rsidRDefault="00E506D3" w:rsidP="00F32E6D">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t>VII)</w:t>
      </w:r>
      <w:r w:rsidR="00F32E6D" w:rsidRPr="00FA3856">
        <w:rPr>
          <w:rFonts w:ascii="Times New Roman" w:hAnsi="Times New Roman" w:cs="Times New Roman"/>
          <w:b/>
          <w:bCs/>
          <w:szCs w:val="20"/>
        </w:rPr>
        <w:t xml:space="preserve"> Pagamento do Imposto</w:t>
      </w:r>
    </w:p>
    <w:p w:rsidR="00E506D3" w:rsidRPr="00FA3856" w:rsidRDefault="00E506D3" w:rsidP="00F32E6D">
      <w:pPr>
        <w:pStyle w:val="NormalWeb"/>
        <w:spacing w:before="0" w:after="0"/>
        <w:jc w:val="both"/>
        <w:rPr>
          <w:rFonts w:ascii="Times New Roman" w:hAnsi="Times New Roman" w:cs="Times New Roman"/>
          <w:b/>
          <w:bCs/>
          <w:szCs w:val="20"/>
        </w:rPr>
      </w:pPr>
    </w:p>
    <w:p w:rsidR="00F32E6D" w:rsidRPr="00FA3856" w:rsidRDefault="00E506D3" w:rsidP="00F32E6D">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t>VII.1)</w:t>
      </w:r>
      <w:r w:rsidR="00F32E6D" w:rsidRPr="00FA3856">
        <w:rPr>
          <w:rFonts w:ascii="Times New Roman" w:hAnsi="Times New Roman" w:cs="Times New Roman"/>
          <w:b/>
          <w:bCs/>
          <w:szCs w:val="20"/>
        </w:rPr>
        <w:t xml:space="preserve"> Local de Pagamento</w:t>
      </w:r>
    </w:p>
    <w:p w:rsidR="00E506D3" w:rsidRPr="00FA3856" w:rsidRDefault="00E506D3" w:rsidP="00F32E6D">
      <w:pPr>
        <w:pStyle w:val="NormalWeb"/>
        <w:spacing w:before="0" w:after="0"/>
        <w:jc w:val="both"/>
        <w:rPr>
          <w:rFonts w:ascii="Times New Roman" w:hAnsi="Times New Roman" w:cs="Times New Roman"/>
          <w:szCs w:val="20"/>
        </w:rPr>
      </w:pPr>
    </w:p>
    <w:p w:rsidR="00F32E6D" w:rsidRPr="00FA3856" w:rsidRDefault="00F32E6D" w:rsidP="00E506D3">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Os contribuintes devem pagar o imposto de renda da pessoa jurídica por intermédio dos Bancos integrantes da rede arrecadadora de receitas federais.</w:t>
      </w:r>
    </w:p>
    <w:p w:rsidR="00E506D3" w:rsidRPr="00FA3856" w:rsidRDefault="00E506D3" w:rsidP="00F32E6D">
      <w:pPr>
        <w:pStyle w:val="NormalWeb"/>
        <w:spacing w:before="0" w:after="0"/>
        <w:jc w:val="both"/>
        <w:rPr>
          <w:rFonts w:ascii="Times New Roman" w:hAnsi="Times New Roman" w:cs="Times New Roman"/>
          <w:b/>
          <w:bCs/>
          <w:szCs w:val="20"/>
        </w:rPr>
      </w:pPr>
    </w:p>
    <w:p w:rsidR="00F32E6D" w:rsidRPr="00FA3856" w:rsidRDefault="00E506D3" w:rsidP="00F32E6D">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lastRenderedPageBreak/>
        <w:t xml:space="preserve">VII.2) </w:t>
      </w:r>
      <w:r w:rsidR="00F32E6D" w:rsidRPr="00FA3856">
        <w:rPr>
          <w:rFonts w:ascii="Times New Roman" w:hAnsi="Times New Roman" w:cs="Times New Roman"/>
          <w:b/>
          <w:bCs/>
          <w:szCs w:val="20"/>
        </w:rPr>
        <w:t>Documento a Utilizar</w:t>
      </w:r>
    </w:p>
    <w:p w:rsidR="00E506D3" w:rsidRPr="00FA3856" w:rsidRDefault="00E506D3" w:rsidP="00F32E6D">
      <w:pPr>
        <w:pStyle w:val="NormalWeb"/>
        <w:spacing w:before="0" w:after="0"/>
        <w:jc w:val="both"/>
        <w:rPr>
          <w:rFonts w:ascii="Times New Roman" w:hAnsi="Times New Roman" w:cs="Times New Roman"/>
          <w:szCs w:val="20"/>
        </w:rPr>
      </w:pPr>
    </w:p>
    <w:p w:rsidR="00F32E6D" w:rsidRPr="00FA3856" w:rsidRDefault="00F32E6D" w:rsidP="00E506D3">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O pagamento deve ser feito mediante a utilização do Documento de Arrecadação de Receitas Federais (Darf), sob o código 2</w:t>
      </w:r>
      <w:bookmarkStart w:id="289" w:name="subitem_15.2.6.6"/>
      <w:bookmarkEnd w:id="289"/>
      <w:r w:rsidRPr="00FA3856">
        <w:rPr>
          <w:rFonts w:ascii="Times New Roman" w:hAnsi="Times New Roman" w:cs="Times New Roman"/>
          <w:szCs w:val="20"/>
        </w:rPr>
        <w:t>089.</w:t>
      </w:r>
    </w:p>
    <w:p w:rsidR="00E506D3" w:rsidRPr="00FA3856" w:rsidRDefault="00E506D3" w:rsidP="00F32E6D">
      <w:pPr>
        <w:pStyle w:val="NormalWeb"/>
        <w:spacing w:before="0" w:after="0"/>
        <w:jc w:val="both"/>
        <w:rPr>
          <w:rFonts w:ascii="Times New Roman" w:hAnsi="Times New Roman" w:cs="Times New Roman"/>
          <w:b/>
          <w:bCs/>
          <w:szCs w:val="20"/>
        </w:rPr>
      </w:pPr>
    </w:p>
    <w:p w:rsidR="00F32E6D" w:rsidRPr="00FA3856" w:rsidRDefault="00E506D3" w:rsidP="00F32E6D">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t>VII.3)</w:t>
      </w:r>
      <w:r w:rsidR="00F32E6D" w:rsidRPr="00FA3856">
        <w:rPr>
          <w:rFonts w:ascii="Times New Roman" w:hAnsi="Times New Roman" w:cs="Times New Roman"/>
          <w:b/>
          <w:bCs/>
          <w:szCs w:val="20"/>
        </w:rPr>
        <w:t xml:space="preserve"> Prazo para Pagamento</w:t>
      </w:r>
    </w:p>
    <w:p w:rsidR="00E506D3" w:rsidRPr="00FA3856" w:rsidRDefault="00E506D3" w:rsidP="00F32E6D">
      <w:pPr>
        <w:pStyle w:val="NormalWeb"/>
        <w:spacing w:before="0" w:after="0"/>
        <w:jc w:val="both"/>
        <w:rPr>
          <w:rFonts w:ascii="Times New Roman" w:hAnsi="Times New Roman" w:cs="Times New Roman"/>
          <w:szCs w:val="20"/>
        </w:rPr>
      </w:pPr>
    </w:p>
    <w:p w:rsidR="00E506D3" w:rsidRPr="00FA3856" w:rsidRDefault="00F32E6D" w:rsidP="00E506D3">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O imposto de renda devido, apurado trimestralmente, deve ser pago em quota única, até o último dia útil do mês subsequente ao do encerramento do período de apuração.</w:t>
      </w:r>
      <w:r w:rsidR="00E506D3" w:rsidRPr="00FA3856">
        <w:rPr>
          <w:rFonts w:ascii="Times New Roman" w:hAnsi="Times New Roman" w:cs="Times New Roman"/>
          <w:szCs w:val="20"/>
        </w:rPr>
        <w:t xml:space="preserve"> </w:t>
      </w:r>
    </w:p>
    <w:p w:rsidR="00E506D3" w:rsidRPr="00FA3856" w:rsidRDefault="00E506D3" w:rsidP="00E506D3">
      <w:pPr>
        <w:pStyle w:val="NormalWeb"/>
        <w:spacing w:before="0" w:after="0"/>
        <w:ind w:firstLine="708"/>
        <w:jc w:val="both"/>
        <w:rPr>
          <w:rFonts w:ascii="Times New Roman" w:hAnsi="Times New Roman" w:cs="Times New Roman"/>
          <w:szCs w:val="20"/>
        </w:rPr>
      </w:pPr>
    </w:p>
    <w:p w:rsidR="00F32E6D" w:rsidRPr="00FA3856" w:rsidRDefault="00F32E6D" w:rsidP="00E506D3">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À opção da pessoa jurídica, o imposto devido pode ser pago em até três quotas mensais, iguais e sucessivas, vencíveis no último dia útil dos três meses subsequentes ao de encerramento do período de apuração a que corresponder.</w:t>
      </w:r>
    </w:p>
    <w:p w:rsidR="00E506D3" w:rsidRPr="00FA3856" w:rsidRDefault="00E506D3" w:rsidP="00F32E6D">
      <w:pPr>
        <w:pStyle w:val="NormalWeb"/>
        <w:spacing w:before="0" w:after="0"/>
        <w:jc w:val="both"/>
        <w:rPr>
          <w:rFonts w:ascii="Times New Roman" w:hAnsi="Times New Roman" w:cs="Times New Roman"/>
          <w:szCs w:val="20"/>
        </w:rPr>
      </w:pPr>
    </w:p>
    <w:p w:rsidR="00F32E6D" w:rsidRPr="00FA3856" w:rsidRDefault="00F32E6D" w:rsidP="00E506D3">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Nenhuma quota pode ter valor inferior a R$ 1.000,00 (mil reais) e o imposto de valor inferior a R$ 2.000,00 (dois mil reais) será pago em quota única.</w:t>
      </w:r>
    </w:p>
    <w:p w:rsidR="00E506D3" w:rsidRPr="00FA3856" w:rsidRDefault="00E506D3" w:rsidP="00F32E6D">
      <w:pPr>
        <w:pStyle w:val="NormalWeb"/>
        <w:spacing w:before="0" w:after="0"/>
        <w:jc w:val="both"/>
        <w:rPr>
          <w:rFonts w:ascii="Times New Roman" w:hAnsi="Times New Roman" w:cs="Times New Roman"/>
          <w:szCs w:val="20"/>
        </w:rPr>
      </w:pPr>
    </w:p>
    <w:p w:rsidR="00F32E6D" w:rsidRPr="00FA3856" w:rsidRDefault="00F32E6D" w:rsidP="00E506D3">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As quotas do imposto serão acrescidas de juros equivalentes à taxa referencial do Sistema Especial de Liquidação e Custódia (Selic), para títulos federais, acumulada mensalmente, a partir do primeiro dia do segundo mês subsequente ao do encerramento do período de apuração até o último dia do mês anterior ao do pagamento e de 1% (um por cento) no mês do pagamento.</w:t>
      </w:r>
    </w:p>
    <w:p w:rsidR="00E506D3" w:rsidRPr="00FA3856" w:rsidRDefault="00E506D3" w:rsidP="00F32E6D">
      <w:pPr>
        <w:pStyle w:val="NormalWeb"/>
        <w:spacing w:before="0" w:after="0"/>
        <w:jc w:val="both"/>
        <w:rPr>
          <w:rFonts w:ascii="Times New Roman" w:hAnsi="Times New Roman" w:cs="Times New Roman"/>
          <w:b/>
          <w:bCs/>
          <w:szCs w:val="20"/>
        </w:rPr>
      </w:pPr>
    </w:p>
    <w:p w:rsidR="00F32E6D" w:rsidRPr="00FA3856" w:rsidRDefault="00E506D3" w:rsidP="00F32E6D">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t>VIII)</w:t>
      </w:r>
      <w:r w:rsidR="00F32E6D" w:rsidRPr="00FA3856">
        <w:rPr>
          <w:rFonts w:ascii="Times New Roman" w:hAnsi="Times New Roman" w:cs="Times New Roman"/>
          <w:b/>
          <w:bCs/>
          <w:szCs w:val="20"/>
        </w:rPr>
        <w:t xml:space="preserve"> Escrituração</w:t>
      </w:r>
    </w:p>
    <w:p w:rsidR="00E506D3" w:rsidRPr="00FA3856" w:rsidRDefault="00E506D3" w:rsidP="00F32E6D">
      <w:pPr>
        <w:pStyle w:val="NormalWeb"/>
        <w:spacing w:before="0" w:after="0"/>
        <w:jc w:val="both"/>
        <w:rPr>
          <w:rFonts w:ascii="Times New Roman" w:hAnsi="Times New Roman" w:cs="Times New Roman"/>
          <w:szCs w:val="20"/>
        </w:rPr>
      </w:pPr>
    </w:p>
    <w:p w:rsidR="00F32E6D" w:rsidRPr="00FA3856" w:rsidRDefault="00F32E6D" w:rsidP="00E506D3">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pessoa jurídica que optar pela tributação com base no lucro presumido deve manter:</w:t>
      </w:r>
    </w:p>
    <w:p w:rsidR="00E506D3" w:rsidRPr="00FA3856" w:rsidRDefault="00E506D3" w:rsidP="00F32E6D">
      <w:pPr>
        <w:pStyle w:val="NormalWeb"/>
        <w:spacing w:before="0" w:after="0"/>
        <w:jc w:val="both"/>
        <w:rPr>
          <w:rFonts w:ascii="Times New Roman" w:hAnsi="Times New Roman" w:cs="Times New Roman"/>
          <w:szCs w:val="20"/>
        </w:rPr>
      </w:pPr>
    </w:p>
    <w:p w:rsidR="00F32E6D" w:rsidRPr="00FA3856" w:rsidRDefault="00F32E6D" w:rsidP="00E506D3">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escrituração contábil, nos termos da legislação comercial, ou livro Caixa, no qual deve estar escriturada toda a movimentação financeira, inclusive bancária;</w:t>
      </w:r>
    </w:p>
    <w:p w:rsidR="00F32E6D" w:rsidRPr="00FA3856" w:rsidRDefault="00F32E6D" w:rsidP="00E506D3">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b) Livro Registro de Inventário, no qual devem constar registrados os estoques existentes no término do ano-calendário abrangido pelo regime de tributação simplificada; e</w:t>
      </w:r>
    </w:p>
    <w:p w:rsidR="00F32E6D" w:rsidRPr="00FA3856" w:rsidRDefault="00F32E6D" w:rsidP="00E506D3">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c) Livro de Apuração do Lucro Real, quando tiver lucros diferidos de períodos de apuração anteriores.</w:t>
      </w:r>
    </w:p>
    <w:p w:rsidR="00E506D3" w:rsidRPr="00FA3856" w:rsidRDefault="00E506D3" w:rsidP="00F32E6D">
      <w:pPr>
        <w:pStyle w:val="NormalWeb"/>
        <w:spacing w:before="0" w:after="0"/>
        <w:jc w:val="both"/>
        <w:rPr>
          <w:rFonts w:ascii="Times New Roman" w:hAnsi="Times New Roman" w:cs="Times New Roman"/>
          <w:szCs w:val="20"/>
        </w:rPr>
      </w:pPr>
    </w:p>
    <w:p w:rsidR="00F32E6D" w:rsidRPr="00FA3856" w:rsidRDefault="00F32E6D" w:rsidP="00E506D3">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documentação relativa aos atos negociais que os contribuintes praticarem ou em que intervierem, os livros de escrituração obrigatória por legislação fiscal específica e todos os demais papéis e documentos que serviram de base para a escrituração comercial e fiscal devem ser conservados em boa ordem e guarda, enquanto não prescritas eventuais ações que lhes sejam pertinentes (Decreto-Lei n</w:t>
      </w:r>
      <w:r w:rsidRPr="00FA3856">
        <w:rPr>
          <w:rFonts w:ascii="Times New Roman" w:hAnsi="Times New Roman" w:cs="Times New Roman"/>
          <w:strike/>
          <w:szCs w:val="20"/>
        </w:rPr>
        <w:t>º</w:t>
      </w:r>
      <w:r w:rsidRPr="00FA3856">
        <w:rPr>
          <w:rFonts w:ascii="Times New Roman" w:hAnsi="Times New Roman" w:cs="Times New Roman"/>
          <w:szCs w:val="20"/>
        </w:rPr>
        <w:t xml:space="preserve"> 486, de 1969, art. 4</w:t>
      </w:r>
      <w:r w:rsidRPr="00FA3856">
        <w:rPr>
          <w:rFonts w:ascii="Times New Roman" w:hAnsi="Times New Roman" w:cs="Times New Roman"/>
          <w:strike/>
          <w:szCs w:val="20"/>
        </w:rPr>
        <w:t>º</w:t>
      </w:r>
      <w:r w:rsidRPr="00FA3856">
        <w:rPr>
          <w:rFonts w:ascii="Times New Roman" w:hAnsi="Times New Roman" w:cs="Times New Roman"/>
          <w:szCs w:val="20"/>
        </w:rPr>
        <w:t>).</w:t>
      </w:r>
    </w:p>
    <w:p w:rsidR="00E506D3" w:rsidRPr="00FA3856" w:rsidRDefault="00E506D3" w:rsidP="00F32E6D">
      <w:pPr>
        <w:pStyle w:val="NormalWeb"/>
        <w:spacing w:before="0" w:after="0"/>
        <w:jc w:val="both"/>
        <w:rPr>
          <w:rFonts w:ascii="Times New Roman" w:hAnsi="Times New Roman" w:cs="Times New Roman"/>
          <w:b/>
          <w:bCs/>
          <w:szCs w:val="20"/>
        </w:rPr>
      </w:pPr>
    </w:p>
    <w:p w:rsidR="00F32E6D" w:rsidRPr="00FA3856" w:rsidRDefault="00E506D3" w:rsidP="00F32E6D">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t>IX)</w:t>
      </w:r>
      <w:r w:rsidR="00F32E6D" w:rsidRPr="00FA3856">
        <w:rPr>
          <w:rFonts w:ascii="Times New Roman" w:hAnsi="Times New Roman" w:cs="Times New Roman"/>
          <w:b/>
          <w:bCs/>
          <w:szCs w:val="20"/>
        </w:rPr>
        <w:t xml:space="preserve"> Receitas e Rendimentos não Tributáveis</w:t>
      </w:r>
    </w:p>
    <w:p w:rsidR="00E506D3" w:rsidRPr="00FA3856" w:rsidRDefault="00E506D3" w:rsidP="00F32E6D">
      <w:pPr>
        <w:pStyle w:val="NormalWeb"/>
        <w:spacing w:before="0" w:after="0"/>
        <w:jc w:val="both"/>
        <w:rPr>
          <w:rFonts w:ascii="Times New Roman" w:hAnsi="Times New Roman" w:cs="Times New Roman"/>
          <w:szCs w:val="20"/>
        </w:rPr>
      </w:pPr>
    </w:p>
    <w:p w:rsidR="00F32E6D" w:rsidRPr="00FA3856" w:rsidRDefault="00F32E6D" w:rsidP="00E506D3">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Consideram-se não tributáveis as receitas e os rendimentos relacionados abaixo:</w:t>
      </w:r>
    </w:p>
    <w:p w:rsidR="00E506D3" w:rsidRPr="00FA3856" w:rsidRDefault="00E506D3" w:rsidP="00F32E6D">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ab/>
      </w:r>
    </w:p>
    <w:p w:rsidR="00F32E6D" w:rsidRPr="00FA3856" w:rsidRDefault="00F32E6D" w:rsidP="00E506D3">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recuperações de créditos que não representem ingressos de novas receitas, e cujas perdas não tenham sido deduzidas na apuração do lucro real em períodos anteriores;</w:t>
      </w:r>
    </w:p>
    <w:p w:rsidR="00F32E6D" w:rsidRPr="00FA3856" w:rsidRDefault="00F32E6D" w:rsidP="00E506D3">
      <w:pPr>
        <w:pStyle w:val="NormalWeb"/>
        <w:spacing w:before="0" w:after="0"/>
        <w:ind w:left="708"/>
        <w:jc w:val="both"/>
        <w:rPr>
          <w:rFonts w:ascii="Times New Roman" w:hAnsi="Times New Roman" w:cs="Times New Roman"/>
          <w:szCs w:val="20"/>
        </w:rPr>
      </w:pPr>
      <w:r w:rsidRPr="00FA3856">
        <w:rPr>
          <w:rFonts w:ascii="Times New Roman" w:hAnsi="Times New Roman" w:cs="Times New Roman"/>
          <w:szCs w:val="20"/>
        </w:rPr>
        <w:t>b) a reversão de saldo de provisões anteriormente constituídas, desde que o valor provisionado não tenha sido deduzido na apuração do l</w:t>
      </w:r>
      <w:bookmarkStart w:id="290" w:name="subitem_15.2.7.1"/>
      <w:bookmarkEnd w:id="290"/>
      <w:r w:rsidRPr="00FA3856">
        <w:rPr>
          <w:rFonts w:ascii="Times New Roman" w:hAnsi="Times New Roman" w:cs="Times New Roman"/>
          <w:szCs w:val="20"/>
        </w:rPr>
        <w:t>ucro real dos períodos anteriores, ou que se refiram ao período no qual a pessoa jurídica não tenha se submetido a esse regime de tributação (Lei n</w:t>
      </w:r>
      <w:r w:rsidRPr="00FA3856">
        <w:rPr>
          <w:rFonts w:ascii="Times New Roman" w:hAnsi="Times New Roman" w:cs="Times New Roman"/>
          <w:strike/>
          <w:szCs w:val="20"/>
        </w:rPr>
        <w:t>º</w:t>
      </w:r>
      <w:bookmarkStart w:id="291" w:name="subitem_15.2.7.2"/>
      <w:bookmarkEnd w:id="291"/>
      <w:r w:rsidRPr="00FA3856">
        <w:rPr>
          <w:rFonts w:ascii="Times New Roman" w:hAnsi="Times New Roman" w:cs="Times New Roman"/>
          <w:szCs w:val="20"/>
        </w:rPr>
        <w:t xml:space="preserve"> 9.430, de 1996, art. 53);</w:t>
      </w:r>
    </w:p>
    <w:p w:rsidR="00F32E6D" w:rsidRPr="00FA3856" w:rsidRDefault="00F32E6D" w:rsidP="00E506D3">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c) os lucros e dividendos recebidos decorrentes de participações societárias no Brasil, caso se refiram a períodos em que estes sejam isentos de imposto de renda.</w:t>
      </w:r>
    </w:p>
    <w:p w:rsidR="00F32E6D" w:rsidRPr="00FA3856" w:rsidRDefault="00F32E6D" w:rsidP="00F32E6D">
      <w:pPr>
        <w:pStyle w:val="NormalWeb"/>
        <w:spacing w:before="0" w:after="0"/>
        <w:rPr>
          <w:rFonts w:ascii="Times New Roman" w:hAnsi="Times New Roman" w:cs="Times New Roman"/>
          <w:szCs w:val="20"/>
        </w:rPr>
      </w:pPr>
      <w:r w:rsidRPr="00FA3856">
        <w:rPr>
          <w:rFonts w:ascii="Times New Roman" w:hAnsi="Times New Roman" w:cs="Times New Roman"/>
          <w:szCs w:val="20"/>
        </w:rPr>
        <w:t> </w:t>
      </w:r>
    </w:p>
    <w:p w:rsidR="00020FD2" w:rsidRPr="00FA3856" w:rsidRDefault="00020FD2" w:rsidP="00020FD2">
      <w:pPr>
        <w:pStyle w:val="NormalWeb"/>
        <w:spacing w:before="0" w:after="0"/>
        <w:ind w:firstLine="708"/>
        <w:jc w:val="both"/>
        <w:rPr>
          <w:rFonts w:ascii="Times New Roman" w:hAnsi="Times New Roman" w:cs="Times New Roman"/>
          <w:szCs w:val="20"/>
        </w:rPr>
      </w:pPr>
    </w:p>
    <w:p w:rsidR="00020FD2" w:rsidRPr="00FA3856" w:rsidRDefault="00020FD2" w:rsidP="00020FD2">
      <w:pPr>
        <w:pStyle w:val="NormalWeb"/>
        <w:spacing w:before="0" w:after="0"/>
        <w:ind w:firstLine="708"/>
        <w:jc w:val="both"/>
        <w:rPr>
          <w:rFonts w:ascii="Times New Roman" w:hAnsi="Times New Roman" w:cs="Times New Roman"/>
          <w:szCs w:val="20"/>
        </w:rPr>
      </w:pPr>
    </w:p>
    <w:p w:rsidR="004148A9" w:rsidRPr="00FA3856" w:rsidRDefault="004148A9" w:rsidP="00020FD2">
      <w:pPr>
        <w:pStyle w:val="NormalWeb"/>
        <w:spacing w:before="0" w:after="0"/>
        <w:ind w:firstLine="708"/>
        <w:jc w:val="both"/>
        <w:rPr>
          <w:rFonts w:ascii="Times New Roman" w:hAnsi="Times New Roman" w:cs="Times New Roman"/>
          <w:szCs w:val="20"/>
        </w:rPr>
      </w:pPr>
    </w:p>
    <w:p w:rsidR="00020FD2" w:rsidRPr="00FA3856" w:rsidRDefault="00020FD2" w:rsidP="00020FD2">
      <w:pPr>
        <w:jc w:val="both"/>
        <w:rPr>
          <w:szCs w:val="20"/>
        </w:rPr>
      </w:pPr>
      <w:r w:rsidRPr="00FA3856">
        <w:rPr>
          <w:b/>
          <w:bCs/>
          <w:szCs w:val="20"/>
        </w:rPr>
        <w:lastRenderedPageBreak/>
        <w:t>X) Distribuição de lucros</w:t>
      </w:r>
    </w:p>
    <w:p w:rsidR="00020FD2" w:rsidRPr="00FA3856" w:rsidRDefault="00020FD2" w:rsidP="00020FD2">
      <w:pPr>
        <w:jc w:val="both"/>
        <w:rPr>
          <w:b/>
          <w:bCs/>
          <w:szCs w:val="20"/>
        </w:rPr>
      </w:pPr>
    </w:p>
    <w:p w:rsidR="00020FD2" w:rsidRPr="00FA3856" w:rsidRDefault="00020FD2" w:rsidP="00020FD2">
      <w:pPr>
        <w:ind w:firstLine="708"/>
        <w:jc w:val="both"/>
        <w:rPr>
          <w:szCs w:val="20"/>
        </w:rPr>
      </w:pPr>
      <w:r w:rsidRPr="00FA3856">
        <w:rPr>
          <w:szCs w:val="20"/>
        </w:rPr>
        <w:t>Os lucros ou dividendos calcul</w:t>
      </w:r>
      <w:bookmarkStart w:id="292" w:name="subitem_15.2.7.3"/>
      <w:bookmarkEnd w:id="292"/>
      <w:r w:rsidRPr="00FA3856">
        <w:rPr>
          <w:szCs w:val="20"/>
        </w:rPr>
        <w:t>ados com base nos resultados apurados a partir do mês de janeiro de 1996, pagos ou creditados pela pessoa jurídica tributada com base no lucro presumido ou arbitrado, não estão sujeitos à incidência do imposto de renda na fonte, nem integram a base de cálculo do imposto de renda do beneficiário, pessoa física ou jurídica, domiciliado no País ou no exterior (Lei n</w:t>
      </w:r>
      <w:r w:rsidRPr="00FA3856">
        <w:rPr>
          <w:strike/>
          <w:szCs w:val="20"/>
        </w:rPr>
        <w:t>º</w:t>
      </w:r>
      <w:r w:rsidRPr="00FA3856">
        <w:rPr>
          <w:szCs w:val="20"/>
        </w:rPr>
        <w:t xml:space="preserve"> 9.249, de 1995, art. 10).</w:t>
      </w:r>
    </w:p>
    <w:p w:rsidR="00020FD2" w:rsidRPr="00FA3856" w:rsidRDefault="00020FD2" w:rsidP="00020FD2">
      <w:pPr>
        <w:jc w:val="both"/>
        <w:rPr>
          <w:szCs w:val="20"/>
        </w:rPr>
      </w:pPr>
    </w:p>
    <w:p w:rsidR="00020FD2" w:rsidRPr="00FA3856" w:rsidRDefault="00020FD2" w:rsidP="00020FD2">
      <w:pPr>
        <w:ind w:firstLine="708"/>
        <w:jc w:val="both"/>
        <w:rPr>
          <w:szCs w:val="20"/>
        </w:rPr>
      </w:pPr>
      <w:r w:rsidRPr="00FA3856">
        <w:rPr>
          <w:szCs w:val="20"/>
        </w:rPr>
        <w:t>Poderá ser distribuído, a título de lucros, sem incidência do imposto:</w:t>
      </w:r>
    </w:p>
    <w:p w:rsidR="00020FD2" w:rsidRPr="00FA3856" w:rsidRDefault="00020FD2" w:rsidP="00020FD2">
      <w:pPr>
        <w:jc w:val="both"/>
        <w:rPr>
          <w:szCs w:val="20"/>
        </w:rPr>
      </w:pPr>
    </w:p>
    <w:p w:rsidR="00020FD2" w:rsidRPr="00FA3856" w:rsidRDefault="00020FD2" w:rsidP="00020FD2">
      <w:pPr>
        <w:ind w:left="708"/>
        <w:jc w:val="both"/>
        <w:rPr>
          <w:szCs w:val="20"/>
        </w:rPr>
      </w:pPr>
      <w:r w:rsidRPr="00FA3856">
        <w:rPr>
          <w:szCs w:val="20"/>
        </w:rPr>
        <w:t>a) o valor do lucro presumido ou arbitrado (base de cálculo do impost</w:t>
      </w:r>
      <w:bookmarkStart w:id="293" w:name="subitem_15.2.7.4"/>
      <w:bookmarkEnd w:id="293"/>
      <w:r w:rsidRPr="00FA3856">
        <w:rPr>
          <w:szCs w:val="20"/>
        </w:rPr>
        <w:t>o), diminuído do imposto de renda da pessoa jurídica (IRPJ), inclusive adicional, quando devido, da contribuição social sobre o lucro líquido (CSLL), da contribuição para financiamento da seguridade social (Cofins) e das contribuições para o PIS/Pasep (ADN Cosit n</w:t>
      </w:r>
      <w:r w:rsidRPr="00FA3856">
        <w:rPr>
          <w:strike/>
          <w:szCs w:val="20"/>
        </w:rPr>
        <w:t>º</w:t>
      </w:r>
      <w:r w:rsidRPr="00FA3856">
        <w:rPr>
          <w:szCs w:val="20"/>
        </w:rPr>
        <w:t xml:space="preserve"> 4, de 29 de janeiro de 1996); ou</w:t>
      </w:r>
      <w:r w:rsidRPr="00FA3856">
        <w:rPr>
          <w:szCs w:val="20"/>
        </w:rPr>
        <w:tab/>
      </w:r>
    </w:p>
    <w:p w:rsidR="00020FD2" w:rsidRPr="00FA3856" w:rsidRDefault="00020FD2" w:rsidP="00020FD2">
      <w:pPr>
        <w:ind w:left="708"/>
        <w:jc w:val="both"/>
        <w:rPr>
          <w:szCs w:val="20"/>
        </w:rPr>
      </w:pPr>
      <w:r w:rsidRPr="00FA3856">
        <w:rPr>
          <w:szCs w:val="20"/>
        </w:rPr>
        <w:t>b) a parcela do lucro e dividendos excedentes ao valor determinado na alínea "a", desde que a pessoa j</w:t>
      </w:r>
      <w:bookmarkStart w:id="294" w:name="subitem_15.2.7.5"/>
      <w:bookmarkEnd w:id="294"/>
      <w:r w:rsidRPr="00FA3856">
        <w:rPr>
          <w:szCs w:val="20"/>
        </w:rPr>
        <w:t>urídica demonstre, mediante escrituração contábil feita com observância da lei comercial, que o lucro efetivo é maior que o determinado segundo as normas para apuração do lucro pr</w:t>
      </w:r>
      <w:bookmarkStart w:id="295" w:name="subitem_15.2.8"/>
      <w:bookmarkEnd w:id="295"/>
      <w:r w:rsidRPr="00FA3856">
        <w:rPr>
          <w:szCs w:val="20"/>
        </w:rPr>
        <w:t xml:space="preserve">esumido. </w:t>
      </w:r>
    </w:p>
    <w:p w:rsidR="00020FD2" w:rsidRPr="00FA3856" w:rsidRDefault="00020FD2" w:rsidP="00020FD2">
      <w:pPr>
        <w:ind w:left="600"/>
        <w:jc w:val="both"/>
        <w:rPr>
          <w:b/>
          <w:bCs/>
          <w:szCs w:val="20"/>
        </w:rPr>
      </w:pPr>
    </w:p>
    <w:p w:rsidR="00020FD2" w:rsidRPr="00FA3856" w:rsidRDefault="00020FD2" w:rsidP="00020FD2">
      <w:pPr>
        <w:ind w:left="708"/>
        <w:jc w:val="both"/>
        <w:rPr>
          <w:szCs w:val="20"/>
        </w:rPr>
      </w:pPr>
      <w:r w:rsidRPr="00FA3856">
        <w:rPr>
          <w:b/>
          <w:bCs/>
          <w:szCs w:val="20"/>
        </w:rPr>
        <w:t>Atenção:</w:t>
      </w:r>
      <w:r w:rsidRPr="00FA3856">
        <w:rPr>
          <w:szCs w:val="20"/>
        </w:rPr>
        <w:t xml:space="preserve"> Essa is</w:t>
      </w:r>
      <w:bookmarkStart w:id="296" w:name="subitem_15.2.8.1"/>
      <w:bookmarkEnd w:id="296"/>
      <w:r w:rsidRPr="00FA3856">
        <w:rPr>
          <w:szCs w:val="20"/>
        </w:rPr>
        <w:t xml:space="preserve">enção não abrange os valores pagos a outro título, tais como </w:t>
      </w:r>
      <w:r w:rsidRPr="00FA3856">
        <w:rPr>
          <w:i/>
          <w:iCs/>
          <w:szCs w:val="20"/>
        </w:rPr>
        <w:t>pró-labore</w:t>
      </w:r>
      <w:r w:rsidRPr="00FA3856">
        <w:rPr>
          <w:szCs w:val="20"/>
        </w:rPr>
        <w:t>, aluguéis e serviços prestados, que se sujeitam à incidência do imposto de renda na fonte e na declaraçã</w:t>
      </w:r>
      <w:bookmarkStart w:id="297" w:name="subitem_15.2.8.2"/>
      <w:bookmarkEnd w:id="297"/>
      <w:r w:rsidRPr="00FA3856">
        <w:rPr>
          <w:szCs w:val="20"/>
        </w:rPr>
        <w:t>o de rendimentos dos beneficiários.</w:t>
      </w:r>
    </w:p>
    <w:p w:rsidR="00020FD2" w:rsidRPr="00FA3856" w:rsidRDefault="00020FD2" w:rsidP="00020FD2">
      <w:pPr>
        <w:ind w:left="600"/>
        <w:jc w:val="both"/>
        <w:rPr>
          <w:szCs w:val="20"/>
        </w:rPr>
      </w:pPr>
      <w:r w:rsidRPr="00FA3856">
        <w:rPr>
          <w:szCs w:val="20"/>
        </w:rPr>
        <w:t> </w:t>
      </w:r>
    </w:p>
    <w:p w:rsidR="00020FD2" w:rsidRPr="00FA3856" w:rsidRDefault="00020FD2" w:rsidP="00020FD2">
      <w:pPr>
        <w:jc w:val="both"/>
        <w:rPr>
          <w:szCs w:val="20"/>
        </w:rPr>
      </w:pPr>
      <w:r w:rsidRPr="00FA3856">
        <w:rPr>
          <w:b/>
          <w:bCs/>
          <w:szCs w:val="20"/>
        </w:rPr>
        <w:t>X.1) Lucros Distribuídos que Excederem ao Valor Apurado na Escrituração</w:t>
      </w:r>
    </w:p>
    <w:p w:rsidR="00020FD2" w:rsidRPr="00FA3856" w:rsidRDefault="00020FD2" w:rsidP="00020FD2">
      <w:pPr>
        <w:jc w:val="both"/>
        <w:rPr>
          <w:szCs w:val="20"/>
        </w:rPr>
      </w:pPr>
    </w:p>
    <w:p w:rsidR="00020FD2" w:rsidRPr="00FA3856" w:rsidRDefault="00020FD2" w:rsidP="00020FD2">
      <w:pPr>
        <w:ind w:firstLine="708"/>
        <w:jc w:val="both"/>
        <w:rPr>
          <w:szCs w:val="20"/>
        </w:rPr>
      </w:pPr>
      <w:r w:rsidRPr="00FA3856">
        <w:rPr>
          <w:szCs w:val="20"/>
        </w:rPr>
        <w:t>A parcela dos rendimentos pagos ou creditado</w:t>
      </w:r>
      <w:bookmarkStart w:id="298" w:name="subitem_15.2.8.3"/>
      <w:bookmarkEnd w:id="298"/>
      <w:r w:rsidRPr="00FA3856">
        <w:rPr>
          <w:szCs w:val="20"/>
        </w:rPr>
        <w:t>s a sócio ou acionista ou ao titular da pessoa jurídica, a título de lucros ou dividendos distribuídos, ainda que por conta de período de apuração não encerrado, que exceder ao valor apurado com base na escrituração contábil, deve ser imputada aos lucros acumulados ou reservas de lucros de exercícios anteriores, ficando sujeita à incidência do imposto de renda calculado segundo o disposto na legislação específica, com acréscimos legais.</w:t>
      </w:r>
    </w:p>
    <w:p w:rsidR="00020FD2" w:rsidRPr="00FA3856" w:rsidRDefault="00020FD2" w:rsidP="00020FD2">
      <w:pPr>
        <w:jc w:val="both"/>
        <w:rPr>
          <w:szCs w:val="20"/>
        </w:rPr>
      </w:pPr>
    </w:p>
    <w:p w:rsidR="00020FD2" w:rsidRPr="00FA3856" w:rsidRDefault="00020FD2" w:rsidP="00020FD2">
      <w:pPr>
        <w:ind w:firstLine="708"/>
        <w:jc w:val="both"/>
        <w:rPr>
          <w:szCs w:val="20"/>
        </w:rPr>
      </w:pPr>
      <w:r w:rsidRPr="00FA3856">
        <w:rPr>
          <w:szCs w:val="20"/>
        </w:rPr>
        <w:t>O disposto no parágrafo acima não abrange a distribuição de lucros e dividendos efetuada, após o encerramento do trimestre correspondente, com base no lucro presumido ou arbitrado diminuído do imposto e das contribuições a que estiver sujeita a pessoa jurídica.</w:t>
      </w:r>
    </w:p>
    <w:p w:rsidR="00020FD2" w:rsidRPr="00FA3856" w:rsidRDefault="00020FD2" w:rsidP="00020FD2">
      <w:pPr>
        <w:jc w:val="both"/>
        <w:rPr>
          <w:szCs w:val="20"/>
        </w:rPr>
      </w:pPr>
    </w:p>
    <w:p w:rsidR="00745FC4" w:rsidRPr="00FA3856" w:rsidRDefault="00745FC4" w:rsidP="00745FC4">
      <w:pPr>
        <w:ind w:firstLine="708"/>
        <w:jc w:val="both"/>
        <w:rPr>
          <w:szCs w:val="20"/>
        </w:rPr>
      </w:pPr>
      <w:r w:rsidRPr="00FA3856">
        <w:rPr>
          <w:szCs w:val="20"/>
        </w:rPr>
        <w:t xml:space="preserve">Inexistindo lucros acumulados ou reservas de lucros em montante suficiente, a parcela excedente deve ser submetida à tributação, nos termos do </w:t>
      </w:r>
      <w:r>
        <w:rPr>
          <w:szCs w:val="20"/>
        </w:rPr>
        <w:t>art. 61 da Lei n</w:t>
      </w:r>
      <w:r>
        <w:rPr>
          <w:szCs w:val="20"/>
          <w:u w:val="single"/>
          <w:vertAlign w:val="superscript"/>
        </w:rPr>
        <w:t>o</w:t>
      </w:r>
      <w:r>
        <w:rPr>
          <w:szCs w:val="20"/>
        </w:rPr>
        <w:t xml:space="preserve"> 8.981/1995</w:t>
      </w:r>
      <w:r w:rsidRPr="00FA3856">
        <w:rPr>
          <w:szCs w:val="20"/>
        </w:rPr>
        <w:t xml:space="preserve"> (</w:t>
      </w:r>
      <w:r>
        <w:rPr>
          <w:szCs w:val="20"/>
        </w:rPr>
        <w:t>Art. 238, § 4</w:t>
      </w:r>
      <w:r>
        <w:rPr>
          <w:szCs w:val="20"/>
          <w:u w:val="single"/>
          <w:vertAlign w:val="superscript"/>
        </w:rPr>
        <w:t>o</w:t>
      </w:r>
      <w:r>
        <w:rPr>
          <w:szCs w:val="20"/>
        </w:rPr>
        <w:t>, da Instrução Normativa n</w:t>
      </w:r>
      <w:r>
        <w:rPr>
          <w:szCs w:val="20"/>
          <w:u w:val="single"/>
          <w:vertAlign w:val="superscript"/>
        </w:rPr>
        <w:t>o</w:t>
      </w:r>
      <w:r>
        <w:rPr>
          <w:szCs w:val="20"/>
        </w:rPr>
        <w:t xml:space="preserve"> 1.700, de 14 de março de 2017</w:t>
      </w:r>
      <w:r w:rsidRPr="00FA3856">
        <w:rPr>
          <w:szCs w:val="20"/>
        </w:rPr>
        <w:t>).</w:t>
      </w:r>
    </w:p>
    <w:p w:rsidR="00020FD2" w:rsidRPr="00FA3856" w:rsidRDefault="00020FD2" w:rsidP="00020FD2">
      <w:pPr>
        <w:jc w:val="both"/>
        <w:rPr>
          <w:szCs w:val="20"/>
        </w:rPr>
      </w:pPr>
    </w:p>
    <w:p w:rsidR="00020FD2" w:rsidRPr="00FA3856" w:rsidRDefault="00020FD2" w:rsidP="00020FD2">
      <w:pPr>
        <w:ind w:firstLine="708"/>
        <w:jc w:val="both"/>
        <w:rPr>
          <w:szCs w:val="20"/>
        </w:rPr>
      </w:pPr>
      <w:r w:rsidRPr="00FA3856">
        <w:rPr>
          <w:szCs w:val="20"/>
        </w:rPr>
        <w:t>A distribuição de rendimentos a título de lucros ou dividendos que não tenham sido apurados em balanço sujeita-se à incidência do imposto de renda na forma prevista no parágrafo anterior.</w:t>
      </w:r>
    </w:p>
    <w:p w:rsidR="00020FD2" w:rsidRPr="00FA3856" w:rsidRDefault="00020FD2" w:rsidP="00BD6449">
      <w:pPr>
        <w:pStyle w:val="NormalWeb"/>
        <w:spacing w:before="0" w:after="0"/>
        <w:jc w:val="both"/>
        <w:rPr>
          <w:rFonts w:ascii="Times New Roman" w:hAnsi="Times New Roman" w:cs="Times New Roman"/>
          <w:szCs w:val="20"/>
        </w:rPr>
      </w:pPr>
    </w:p>
    <w:p w:rsidR="00BD6449" w:rsidRPr="00FA3856" w:rsidRDefault="00BD6449">
      <w:pPr>
        <w:spacing w:after="200" w:line="276" w:lineRule="auto"/>
        <w:rPr>
          <w:rFonts w:eastAsia="Arial Unicode MS"/>
          <w:b/>
          <w:bCs/>
          <w:szCs w:val="20"/>
          <w:lang w:eastAsia="ar-SA"/>
        </w:rPr>
      </w:pPr>
      <w:r w:rsidRPr="00FA3856">
        <w:rPr>
          <w:b/>
          <w:bCs/>
          <w:szCs w:val="20"/>
        </w:rPr>
        <w:br w:type="page"/>
      </w:r>
    </w:p>
    <w:p w:rsidR="00BD6449" w:rsidRPr="00FA3856" w:rsidRDefault="00BD6449" w:rsidP="00BD6449">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lastRenderedPageBreak/>
        <w:t>XI) Contribuição Social Sobre o Lucro Líquido (CSLL)</w:t>
      </w:r>
    </w:p>
    <w:p w:rsidR="00BD6449" w:rsidRPr="00FA3856" w:rsidRDefault="00BD6449" w:rsidP="00BD6449">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p w:rsidR="00BD6449" w:rsidRPr="00FA3856" w:rsidRDefault="00BD6449" w:rsidP="00BD6449">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base de cálculo da CSLL em cada trimestre, apurada com base no resultado presumido ou arbitrado, corresponde à soma dos seguintes valores:</w:t>
      </w:r>
    </w:p>
    <w:p w:rsidR="00BD6449" w:rsidRPr="00FA3856" w:rsidRDefault="00BD6449" w:rsidP="00BD6449">
      <w:pPr>
        <w:pStyle w:val="NormalWeb"/>
        <w:spacing w:before="0" w:after="0"/>
        <w:ind w:left="708" w:firstLine="708"/>
        <w:jc w:val="both"/>
        <w:rPr>
          <w:rFonts w:ascii="Times New Roman" w:hAnsi="Times New Roman" w:cs="Times New Roman"/>
          <w:szCs w:val="20"/>
        </w:rPr>
      </w:pPr>
    </w:p>
    <w:p w:rsidR="00BD6449" w:rsidRPr="00FA3856" w:rsidRDefault="00BD6449" w:rsidP="00BD6449">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1) 12% (doze por cento) ou 32% (trinta e dois por cento) da receita bruta auferida no período de apuração;</w:t>
      </w:r>
    </w:p>
    <w:p w:rsidR="00BD6449" w:rsidRPr="00FA3856" w:rsidRDefault="00BD6449" w:rsidP="00BD6449">
      <w:pPr>
        <w:pStyle w:val="NormalWeb"/>
        <w:spacing w:before="0" w:after="0"/>
        <w:ind w:left="1416"/>
        <w:jc w:val="both"/>
        <w:rPr>
          <w:rFonts w:ascii="Times New Roman" w:hAnsi="Times New Roman" w:cs="Times New Roman"/>
          <w:szCs w:val="20"/>
        </w:rPr>
      </w:pPr>
      <w:r w:rsidRPr="00FA3856">
        <w:rPr>
          <w:rFonts w:ascii="Times New Roman" w:hAnsi="Times New Roman" w:cs="Times New Roman"/>
          <w:szCs w:val="20"/>
        </w:rPr>
        <w:t>2) 12% (doze por cento) ou 32% (trinta e dois por cento) da parcela das receitas auferidas, no respectivo período de apuração, nas exportações a pessoas vinculadas ou para países com tributação favorecida, que exceder ao valor já apropriado na escrituração da empresa, na form</w:t>
      </w:r>
      <w:r w:rsidR="003E321B">
        <w:rPr>
          <w:rFonts w:ascii="Times New Roman" w:hAnsi="Times New Roman" w:cs="Times New Roman"/>
          <w:szCs w:val="20"/>
        </w:rPr>
        <w:t>a da legislação específica</w:t>
      </w:r>
      <w:r w:rsidRPr="00FA3856">
        <w:rPr>
          <w:rFonts w:ascii="Times New Roman" w:hAnsi="Times New Roman" w:cs="Times New Roman"/>
          <w:szCs w:val="20"/>
        </w:rPr>
        <w:t>;</w:t>
      </w:r>
    </w:p>
    <w:p w:rsidR="00BD6449" w:rsidRPr="00FA3856" w:rsidRDefault="00BD6449" w:rsidP="00BD6449">
      <w:pPr>
        <w:pStyle w:val="NormalWeb"/>
        <w:spacing w:before="0" w:after="0"/>
        <w:jc w:val="both"/>
        <w:rPr>
          <w:rFonts w:ascii="Times New Roman" w:hAnsi="Times New Roman" w:cs="Times New Roman"/>
          <w:b/>
          <w:bCs/>
          <w:szCs w:val="20"/>
        </w:rPr>
      </w:pPr>
    </w:p>
    <w:p w:rsidR="00BD6449" w:rsidRPr="00FA3856" w:rsidRDefault="00BD6449" w:rsidP="00BD6449">
      <w:pPr>
        <w:pStyle w:val="NormalWeb"/>
        <w:spacing w:before="0" w:after="0"/>
        <w:ind w:left="800"/>
        <w:jc w:val="both"/>
        <w:rPr>
          <w:rFonts w:ascii="Times New Roman" w:hAnsi="Times New Roman" w:cs="Times New Roman"/>
          <w:szCs w:val="20"/>
        </w:rPr>
      </w:pPr>
      <w:r w:rsidRPr="00FA3856">
        <w:rPr>
          <w:rFonts w:ascii="Times New Roman" w:hAnsi="Times New Roman" w:cs="Times New Roman"/>
          <w:b/>
          <w:bCs/>
          <w:szCs w:val="20"/>
        </w:rPr>
        <w:t>Atenção:</w:t>
      </w:r>
    </w:p>
    <w:p w:rsidR="00BD6449" w:rsidRPr="00FA3856" w:rsidRDefault="00BD6449" w:rsidP="00BD6449">
      <w:pPr>
        <w:pStyle w:val="NormalWeb"/>
        <w:spacing w:before="0" w:after="0"/>
        <w:ind w:left="800"/>
        <w:jc w:val="both"/>
        <w:rPr>
          <w:rFonts w:ascii="Times New Roman" w:hAnsi="Times New Roman" w:cs="Times New Roman"/>
          <w:szCs w:val="20"/>
        </w:rPr>
      </w:pPr>
      <w:r w:rsidRPr="00FA3856">
        <w:rPr>
          <w:rFonts w:ascii="Times New Roman" w:hAnsi="Times New Roman" w:cs="Times New Roman"/>
          <w:szCs w:val="20"/>
        </w:rPr>
        <w:t>1) O percentual da receita bruta para efeito de determinação da base de cálculo da CSLL é de 32 % (trinta e dois por cento) para as atividades de:</w:t>
      </w:r>
    </w:p>
    <w:p w:rsidR="00BD6449" w:rsidRPr="00FA3856" w:rsidRDefault="00BD6449" w:rsidP="00BD6449">
      <w:pPr>
        <w:pStyle w:val="NormalWeb"/>
        <w:spacing w:before="0" w:after="0"/>
        <w:ind w:left="800" w:firstLine="616"/>
        <w:jc w:val="both"/>
        <w:rPr>
          <w:rFonts w:ascii="Times New Roman" w:hAnsi="Times New Roman" w:cs="Times New Roman"/>
          <w:szCs w:val="20"/>
        </w:rPr>
      </w:pPr>
      <w:r w:rsidRPr="00FA3856">
        <w:rPr>
          <w:rFonts w:ascii="Times New Roman" w:hAnsi="Times New Roman" w:cs="Times New Roman"/>
          <w:szCs w:val="20"/>
        </w:rPr>
        <w:t>1.1) prestação de serviços em geral, exceto a de serviços hospitalares e de transporte;</w:t>
      </w:r>
    </w:p>
    <w:p w:rsidR="00BD6449" w:rsidRPr="00FA3856" w:rsidRDefault="00BD6449" w:rsidP="00BD6449">
      <w:pPr>
        <w:pStyle w:val="NormalWeb"/>
        <w:spacing w:before="0" w:after="0"/>
        <w:ind w:left="800" w:firstLine="616"/>
        <w:jc w:val="both"/>
        <w:rPr>
          <w:rFonts w:ascii="Times New Roman" w:hAnsi="Times New Roman" w:cs="Times New Roman"/>
          <w:szCs w:val="20"/>
        </w:rPr>
      </w:pPr>
      <w:r w:rsidRPr="00FA3856">
        <w:rPr>
          <w:rFonts w:ascii="Times New Roman" w:hAnsi="Times New Roman" w:cs="Times New Roman"/>
          <w:szCs w:val="20"/>
        </w:rPr>
        <w:t>1.2) intermediação de negócios;</w:t>
      </w:r>
    </w:p>
    <w:p w:rsidR="00BD6449" w:rsidRPr="00FA3856" w:rsidRDefault="00BD6449" w:rsidP="00BD6449">
      <w:pPr>
        <w:pStyle w:val="NormalWeb"/>
        <w:spacing w:before="0" w:after="0"/>
        <w:ind w:left="800" w:firstLine="616"/>
        <w:jc w:val="both"/>
        <w:rPr>
          <w:rFonts w:ascii="Times New Roman" w:hAnsi="Times New Roman" w:cs="Times New Roman"/>
          <w:szCs w:val="20"/>
        </w:rPr>
      </w:pPr>
      <w:r w:rsidRPr="00FA3856">
        <w:rPr>
          <w:rFonts w:ascii="Times New Roman" w:hAnsi="Times New Roman" w:cs="Times New Roman"/>
          <w:szCs w:val="20"/>
        </w:rPr>
        <w:t>1.3) administração, locação ou cessão de bens imóveis, móveis e direitos de qualquer natureza;</w:t>
      </w:r>
    </w:p>
    <w:p w:rsidR="00BD6449" w:rsidRPr="00FA3856" w:rsidRDefault="00BD6449" w:rsidP="00BD6449">
      <w:pPr>
        <w:pStyle w:val="NormalWeb"/>
        <w:spacing w:before="0" w:after="0"/>
        <w:ind w:left="1416"/>
        <w:jc w:val="both"/>
        <w:rPr>
          <w:rFonts w:ascii="Times New Roman" w:hAnsi="Times New Roman" w:cs="Times New Roman"/>
          <w:szCs w:val="20"/>
        </w:rPr>
      </w:pPr>
      <w:r w:rsidRPr="00FA3856">
        <w:rPr>
          <w:rFonts w:ascii="Times New Roman" w:hAnsi="Times New Roman" w:cs="Times New Roman"/>
          <w:szCs w:val="20"/>
        </w:rPr>
        <w:t>1.4) prestação cumulativa e contínua de serviços de assessoria creditícia, mercadológica, gestão de crédito, seleção de riscos, administração de contas a pagar e a receber, e compra de direitos creditórios resultantes de vendas mercantis a prazo ou de prestação de serviços (</w:t>
      </w:r>
      <w:r w:rsidRPr="00FA3856">
        <w:rPr>
          <w:rFonts w:ascii="Times New Roman" w:hAnsi="Times New Roman" w:cs="Times New Roman"/>
          <w:i/>
          <w:iCs/>
          <w:szCs w:val="20"/>
        </w:rPr>
        <w:t>factoring</w:t>
      </w:r>
      <w:r w:rsidRPr="00FA3856">
        <w:rPr>
          <w:rFonts w:ascii="Times New Roman" w:hAnsi="Times New Roman" w:cs="Times New Roman"/>
          <w:szCs w:val="20"/>
        </w:rPr>
        <w:t>).</w:t>
      </w:r>
    </w:p>
    <w:p w:rsidR="00BD6449" w:rsidRPr="00FA3856" w:rsidRDefault="00BD6449" w:rsidP="00BD6449">
      <w:pPr>
        <w:pStyle w:val="NormalWeb"/>
        <w:spacing w:before="0" w:after="0"/>
        <w:ind w:left="800"/>
        <w:jc w:val="both"/>
        <w:rPr>
          <w:rFonts w:ascii="Times New Roman" w:hAnsi="Times New Roman" w:cs="Times New Roman"/>
          <w:szCs w:val="20"/>
        </w:rPr>
      </w:pPr>
      <w:r w:rsidRPr="00FA3856">
        <w:rPr>
          <w:rFonts w:ascii="Times New Roman" w:hAnsi="Times New Roman" w:cs="Times New Roman"/>
          <w:szCs w:val="20"/>
        </w:rPr>
        <w:t>2) No caso de atividades diversificadas, deve ser aplicado o percentual correspondente a cada atividade.</w:t>
      </w:r>
    </w:p>
    <w:p w:rsidR="00BD6449" w:rsidRPr="00FA3856" w:rsidRDefault="00BD6449" w:rsidP="00BD6449">
      <w:pPr>
        <w:pStyle w:val="NormalWeb"/>
        <w:spacing w:before="0" w:after="0"/>
        <w:ind w:left="800"/>
        <w:jc w:val="both"/>
        <w:rPr>
          <w:rFonts w:ascii="Times New Roman" w:hAnsi="Times New Roman" w:cs="Times New Roman"/>
          <w:szCs w:val="20"/>
        </w:rPr>
      </w:pPr>
      <w:r w:rsidRPr="00FA3856">
        <w:rPr>
          <w:rFonts w:ascii="Times New Roman" w:hAnsi="Times New Roman" w:cs="Times New Roman"/>
          <w:szCs w:val="20"/>
        </w:rPr>
        <w:t>3) A partir de 1º de janeiro de 2006, para as pessoas jurídicas tributadas com base no lucro presumido, o percentual também passou a ser aplicado sobre a receita financeira da pessoa jurídica que explore atividades imobiliárias relativas a loteamento de terrenos, incorporação imobiliária, construção de prédios destinados à venda, bem como a venda de imóveis construídos ou adquiridos para a revenda, quando decorrente da comercialização de imóveis e for apurada por meio de índices ou coeficientes previstos em contrato. (Lei n</w:t>
      </w:r>
      <w:r w:rsidRPr="00FA3856">
        <w:rPr>
          <w:rFonts w:ascii="Times New Roman" w:hAnsi="Times New Roman" w:cs="Times New Roman"/>
          <w:strike/>
          <w:szCs w:val="20"/>
        </w:rPr>
        <w:t>º</w:t>
      </w:r>
      <w:r w:rsidRPr="00FA3856">
        <w:rPr>
          <w:rFonts w:ascii="Times New Roman" w:hAnsi="Times New Roman" w:cs="Times New Roman"/>
          <w:szCs w:val="20"/>
        </w:rPr>
        <w:t xml:space="preserve"> 11.196, de 2005, art. 34).</w:t>
      </w:r>
    </w:p>
    <w:p w:rsidR="00BD6449" w:rsidRPr="00FA3856" w:rsidRDefault="00BD6449" w:rsidP="00BD6449">
      <w:pPr>
        <w:pStyle w:val="NormalWeb"/>
        <w:spacing w:before="0" w:after="0"/>
        <w:ind w:left="708" w:firstLine="92"/>
        <w:jc w:val="both"/>
        <w:rPr>
          <w:rFonts w:ascii="Times New Roman" w:hAnsi="Times New Roman" w:cs="Times New Roman"/>
          <w:szCs w:val="20"/>
        </w:rPr>
      </w:pPr>
      <w:r w:rsidRPr="00FA3856">
        <w:rPr>
          <w:rFonts w:ascii="Times New Roman" w:hAnsi="Times New Roman" w:cs="Times New Roman"/>
          <w:szCs w:val="20"/>
        </w:rPr>
        <w:t>4) os ganhos de capital, os rendimentos e ganhos líquidos auferidos em aplicações financeiras, as demais receitas e os resultados positivos decorrentes de receitas não abrangidas pelo item 1 acima, auferidos no mesmo período de apuração, inclusive:</w:t>
      </w:r>
    </w:p>
    <w:p w:rsidR="00BD6449" w:rsidRPr="00FA3856" w:rsidRDefault="00BD6449" w:rsidP="00BD6449">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a) os ganhos de capital nas alienações de bens do ativo não-circulante, exceto realizável a longo prazo, e de ouro não caracterizado como ativo financeiro;</w:t>
      </w:r>
    </w:p>
    <w:p w:rsidR="00BD6449" w:rsidRPr="00FA3856" w:rsidRDefault="00BD6449" w:rsidP="00BD6449">
      <w:pPr>
        <w:pStyle w:val="NormalWeb"/>
        <w:spacing w:before="0" w:after="0"/>
        <w:ind w:left="1416"/>
        <w:jc w:val="both"/>
        <w:rPr>
          <w:rFonts w:ascii="Times New Roman" w:hAnsi="Times New Roman" w:cs="Times New Roman"/>
          <w:szCs w:val="20"/>
        </w:rPr>
      </w:pPr>
      <w:r w:rsidRPr="00FA3856">
        <w:rPr>
          <w:rFonts w:ascii="Times New Roman" w:hAnsi="Times New Roman" w:cs="Times New Roman"/>
          <w:szCs w:val="20"/>
        </w:rPr>
        <w:t>b) os ganhos de capital auferidos na alienação de participações societárias permanentes em sociedades coligadas e controladas, e de participações societárias que permaneceram no ativo da pessoa jurídica até o término do ano-calendário seguinte ao de sua aquisição;</w:t>
      </w:r>
    </w:p>
    <w:p w:rsidR="00BD6449" w:rsidRPr="00FA3856" w:rsidRDefault="00BD6449" w:rsidP="00BD6449">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c) os ganhos de capital auferidos na devolução de capital em bens ou direitos;</w:t>
      </w:r>
    </w:p>
    <w:p w:rsidR="00BD6449" w:rsidRPr="00FA3856" w:rsidRDefault="00BD6449" w:rsidP="00BD6449">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d) os rendimentos auferidos nas operações de mútuo realizadas entre pessoas jurídicas ou entre pessoa jurídica e pessoa física;</w:t>
      </w:r>
    </w:p>
    <w:p w:rsidR="00BD6449" w:rsidRPr="00FA3856" w:rsidRDefault="00BD6449" w:rsidP="00BD6449">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e) a receita de locação de imóvel, quando não for este o objeto social da pessoa jurídica, deduzida dos encargos necessários à sua percepção;</w:t>
      </w:r>
    </w:p>
    <w:p w:rsidR="00BD6449" w:rsidRPr="00FA3856" w:rsidRDefault="00BD6449" w:rsidP="00BD6449">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f) os juros equivalentes à taxa referencial do Selic para títulos federais, acumulada mensalmente, relativos a tributos e contribuições a serem restituídos ou compensados;</w:t>
      </w:r>
    </w:p>
    <w:p w:rsidR="00BD6449" w:rsidRPr="00FA3856" w:rsidRDefault="00BD6449" w:rsidP="00BD6449">
      <w:pPr>
        <w:pStyle w:val="NormalWeb"/>
        <w:spacing w:before="0" w:after="0"/>
        <w:ind w:left="1416"/>
        <w:jc w:val="both"/>
        <w:rPr>
          <w:rFonts w:ascii="Times New Roman" w:hAnsi="Times New Roman" w:cs="Times New Roman"/>
          <w:szCs w:val="20"/>
        </w:rPr>
      </w:pPr>
      <w:r w:rsidRPr="00FA3856">
        <w:rPr>
          <w:rFonts w:ascii="Times New Roman" w:hAnsi="Times New Roman" w:cs="Times New Roman"/>
          <w:szCs w:val="20"/>
        </w:rPr>
        <w:t>g) os valores recuperados correspondentes a custos e despesas, inclusive com perdas no recebimento de créditos, salvo se a pessoa jurídica comprovar não os ter deduzido em período anterior no qual tenha se submetido ao regime de incidência da CSLL com base no resultado ajustado, ou que se refiram a período no qual tenha se submetido ao regime de incidência da CSLL com base no resultado presumido, arbitrado ou Simples;</w:t>
      </w:r>
    </w:p>
    <w:p w:rsidR="00BD6449" w:rsidRPr="00FA3856" w:rsidRDefault="00BD6449" w:rsidP="00BD6449">
      <w:pPr>
        <w:pStyle w:val="NormalWeb"/>
        <w:spacing w:before="0" w:after="0"/>
        <w:ind w:left="1416"/>
        <w:jc w:val="both"/>
        <w:rPr>
          <w:rFonts w:ascii="Times New Roman" w:hAnsi="Times New Roman" w:cs="Times New Roman"/>
          <w:szCs w:val="20"/>
        </w:rPr>
      </w:pPr>
      <w:r w:rsidRPr="00FA3856">
        <w:rPr>
          <w:rFonts w:ascii="Times New Roman" w:hAnsi="Times New Roman" w:cs="Times New Roman"/>
          <w:szCs w:val="20"/>
        </w:rPr>
        <w:t>h) a diferença entre o valor em dinheiro ou o valor dos bens e direitos recebidos de instituição isenta, a título de devolução de patrimônio, e o valor em dinheiro ou o valor dos bens e direitos entregue para a formação do referido patrimônio;</w:t>
      </w:r>
    </w:p>
    <w:p w:rsidR="00BD6449" w:rsidRPr="00FA3856" w:rsidRDefault="00BD6449" w:rsidP="00BD6449">
      <w:pPr>
        <w:pStyle w:val="NormalWeb"/>
        <w:spacing w:before="0" w:after="0"/>
        <w:ind w:left="1416"/>
        <w:jc w:val="both"/>
        <w:rPr>
          <w:rFonts w:ascii="Times New Roman" w:hAnsi="Times New Roman" w:cs="Times New Roman"/>
          <w:szCs w:val="20"/>
        </w:rPr>
      </w:pPr>
      <w:r w:rsidRPr="00FA3856">
        <w:rPr>
          <w:rFonts w:ascii="Times New Roman" w:hAnsi="Times New Roman" w:cs="Times New Roman"/>
          <w:szCs w:val="20"/>
        </w:rPr>
        <w:t>i) os rendimentos e ganhos líquidos auferidos em aplicações financeiras de renda fixa e de renda variável;</w:t>
      </w:r>
    </w:p>
    <w:p w:rsidR="00BD6449" w:rsidRPr="00FA3856" w:rsidRDefault="00BD6449" w:rsidP="00BD6449">
      <w:pPr>
        <w:pStyle w:val="NormalWeb"/>
        <w:spacing w:before="0" w:after="0"/>
        <w:ind w:left="1416"/>
        <w:jc w:val="both"/>
        <w:rPr>
          <w:rFonts w:ascii="Times New Roman" w:hAnsi="Times New Roman" w:cs="Times New Roman"/>
          <w:szCs w:val="20"/>
        </w:rPr>
      </w:pPr>
      <w:r w:rsidRPr="00FA3856">
        <w:rPr>
          <w:rFonts w:ascii="Times New Roman" w:hAnsi="Times New Roman" w:cs="Times New Roman"/>
          <w:szCs w:val="20"/>
        </w:rPr>
        <w:t>j) as variações monetárias ativas dos direitos de crédito e das obrigações do contribuinte, em função da taxa de câmbio ou de índices ou coeficientes aplicáveis por disposição legal ou contratual.</w:t>
      </w:r>
    </w:p>
    <w:p w:rsidR="00BD6449" w:rsidRPr="00FA3856" w:rsidRDefault="00BD6449" w:rsidP="00BD6449">
      <w:pPr>
        <w:pStyle w:val="NormalWeb"/>
        <w:spacing w:before="0" w:after="0"/>
        <w:jc w:val="both"/>
        <w:rPr>
          <w:rFonts w:ascii="Times New Roman" w:hAnsi="Times New Roman" w:cs="Times New Roman"/>
          <w:szCs w:val="20"/>
        </w:rPr>
      </w:pPr>
    </w:p>
    <w:p w:rsidR="00BD6449" w:rsidRPr="00FA3856" w:rsidRDefault="00BD6449" w:rsidP="00BD6449">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Os valores de que trata o item 2 devem ser apurados anualmente e acrescidos ao resultado presumido ou arbitrado do último trimestre do ano-calendário, para efeito de se determinar a CSLL devida.</w:t>
      </w:r>
    </w:p>
    <w:p w:rsidR="00BD6449" w:rsidRPr="00FA3856" w:rsidRDefault="00BD6449" w:rsidP="00BD6449">
      <w:pPr>
        <w:pStyle w:val="NormalWeb"/>
        <w:spacing w:before="0" w:after="0"/>
        <w:jc w:val="both"/>
        <w:rPr>
          <w:rFonts w:ascii="Times New Roman" w:hAnsi="Times New Roman" w:cs="Times New Roman"/>
          <w:szCs w:val="20"/>
        </w:rPr>
      </w:pPr>
    </w:p>
    <w:p w:rsidR="00BD6449" w:rsidRPr="00FA3856" w:rsidRDefault="00BD6449" w:rsidP="00BD6449">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lastRenderedPageBreak/>
        <w:t>Para os efeitos da alínea "a" do item 4, o ganho de capital corresponde à diferença positiva verificada entre o valor da alienação e o respectivo valor contábil.</w:t>
      </w:r>
    </w:p>
    <w:p w:rsidR="00BD6449" w:rsidRPr="00FA3856" w:rsidRDefault="00BD6449" w:rsidP="00BD6449">
      <w:pPr>
        <w:pStyle w:val="NormalWeb"/>
        <w:spacing w:before="0" w:after="0"/>
        <w:jc w:val="both"/>
        <w:rPr>
          <w:rFonts w:ascii="Times New Roman" w:hAnsi="Times New Roman" w:cs="Times New Roman"/>
          <w:szCs w:val="20"/>
        </w:rPr>
      </w:pPr>
    </w:p>
    <w:p w:rsidR="00BD6449" w:rsidRPr="00FA3856" w:rsidRDefault="00BD6449" w:rsidP="00BD6449">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As variações cambiais a que se refere a alínea "j" do item 4 serão consideradas, para efeito de determinação do resultado presumido ou arbitrado da CSLL, quando da liquidação da correspondente operação. À opção da pessoa jurídica, as variações cambiais podem ser consideradas, na determinação da base de cálculo da CSLL, pelo regime de competência, o qual deve ser aplicado a todo o ano-calendário.</w:t>
      </w:r>
    </w:p>
    <w:p w:rsidR="00BD6449" w:rsidRPr="00FA3856" w:rsidRDefault="00BD6449" w:rsidP="00BD6449">
      <w:pPr>
        <w:pStyle w:val="NormalWeb"/>
        <w:spacing w:before="0" w:after="0"/>
        <w:jc w:val="both"/>
        <w:rPr>
          <w:rFonts w:ascii="Times New Roman" w:hAnsi="Times New Roman" w:cs="Times New Roman"/>
          <w:szCs w:val="20"/>
        </w:rPr>
      </w:pPr>
    </w:p>
    <w:p w:rsidR="00BD6449" w:rsidRPr="00FA3856" w:rsidRDefault="00BD6449" w:rsidP="00BD6449">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pessoa jurídica pode excluir a parcela das receitas financeiras decorrentes da variação monetária dos direitos de crédito e das obrigações, em função da taxa de câmbio, submetida à tributação, segundo regime de competência, relativo a períodos compreendidos no ano-calendário de 1999, excedente ao valor da variação monetária efetivamente realizada, ainda que a operação tenha sido liquidada (MP n</w:t>
      </w:r>
      <w:r w:rsidRPr="00FA3856">
        <w:rPr>
          <w:rFonts w:ascii="Times New Roman" w:hAnsi="Times New Roman" w:cs="Times New Roman"/>
          <w:strike/>
          <w:szCs w:val="20"/>
        </w:rPr>
        <w:t>º</w:t>
      </w:r>
      <w:r w:rsidRPr="00FA3856">
        <w:rPr>
          <w:rFonts w:ascii="Times New Roman" w:hAnsi="Times New Roman" w:cs="Times New Roman"/>
          <w:szCs w:val="20"/>
        </w:rPr>
        <w:t xml:space="preserve"> 1.858-10, de 1999, art. 31, parágrafo único, e reedições). </w:t>
      </w:r>
    </w:p>
    <w:p w:rsidR="00BD6449" w:rsidRPr="00FA3856" w:rsidRDefault="00BD6449" w:rsidP="00BD6449">
      <w:pPr>
        <w:pStyle w:val="NormalWeb"/>
        <w:spacing w:before="0" w:after="0"/>
        <w:jc w:val="both"/>
        <w:rPr>
          <w:rFonts w:ascii="Times New Roman" w:hAnsi="Times New Roman" w:cs="Times New Roman"/>
          <w:szCs w:val="20"/>
        </w:rPr>
      </w:pPr>
    </w:p>
    <w:p w:rsidR="00BD6449" w:rsidRPr="00FA3856" w:rsidRDefault="00BD6449" w:rsidP="00BD6449">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O valor do Vale-Pedágio obrigatório, pago pelo embarcador ao transportador, não integra o frete e não deve ser considerado receita operacional ou rendimento tributável.</w:t>
      </w:r>
    </w:p>
    <w:p w:rsidR="00BD6449" w:rsidRPr="00FA3856" w:rsidRDefault="00BD6449" w:rsidP="00BD6449">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xml:space="preserve">Será adicionado ao resultado presumido ou arbitrado o valor dos encargos suportados pela mutuária que exceder ao limite calculado com base na taxa </w:t>
      </w:r>
      <w:r w:rsidRPr="00FA3856">
        <w:rPr>
          <w:rFonts w:ascii="Times New Roman" w:hAnsi="Times New Roman" w:cs="Times New Roman"/>
          <w:i/>
          <w:iCs/>
          <w:szCs w:val="20"/>
        </w:rPr>
        <w:t>Libor</w:t>
      </w:r>
      <w:r w:rsidRPr="00FA3856">
        <w:rPr>
          <w:rFonts w:ascii="Times New Roman" w:hAnsi="Times New Roman" w:cs="Times New Roman"/>
          <w:szCs w:val="20"/>
        </w:rPr>
        <w:t xml:space="preserve">, para depósitos em dólares dos Estados Unidos da América, pelo prazo de seis meses, acrescida de três por cento anuais a título de </w:t>
      </w:r>
      <w:r w:rsidRPr="00FA3856">
        <w:rPr>
          <w:rFonts w:ascii="Times New Roman" w:hAnsi="Times New Roman" w:cs="Times New Roman"/>
          <w:i/>
          <w:iCs/>
          <w:szCs w:val="20"/>
        </w:rPr>
        <w:t>spread</w:t>
      </w:r>
      <w:r w:rsidRPr="00FA3856">
        <w:rPr>
          <w:rFonts w:ascii="Times New Roman" w:hAnsi="Times New Roman" w:cs="Times New Roman"/>
          <w:szCs w:val="20"/>
        </w:rPr>
        <w:t>, proporcionalizados em função do período a que se referirem os juros, quando pagos ou creditados a pessoa vinculada no exterior e o contrato não for registrado no Banco Central do Brasil.</w:t>
      </w:r>
    </w:p>
    <w:p w:rsidR="00BD6449" w:rsidRPr="00FA3856" w:rsidRDefault="00BD6449" w:rsidP="00BD6449">
      <w:pPr>
        <w:pStyle w:val="NormalWeb"/>
        <w:spacing w:before="0" w:after="0"/>
        <w:jc w:val="both"/>
        <w:rPr>
          <w:rFonts w:ascii="Times New Roman" w:hAnsi="Times New Roman" w:cs="Times New Roman"/>
          <w:szCs w:val="20"/>
        </w:rPr>
      </w:pPr>
    </w:p>
    <w:p w:rsidR="00BD6449" w:rsidRPr="00FA3856" w:rsidRDefault="00BD6449" w:rsidP="00BD6449">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No caso de mútuo com pessoa vinculada domiciliada no exterior, a pessoa jurídica mutuante, domiciliada no Brasil, deverá reconhecer, como receita financeira, a diferença entre o valor calculado com base na taxa a que se refere o parágrafo anterior e o valor contratado, quando este seja inferior, no caso de contrato não registrado no Banco Central do Brasil.</w:t>
      </w:r>
    </w:p>
    <w:p w:rsidR="00BD6449" w:rsidRPr="00FA3856" w:rsidRDefault="00BD6449" w:rsidP="00BD6449">
      <w:pPr>
        <w:pStyle w:val="NormalWeb"/>
        <w:spacing w:before="0" w:after="0"/>
        <w:jc w:val="both"/>
        <w:rPr>
          <w:rFonts w:ascii="Times New Roman" w:hAnsi="Times New Roman" w:cs="Times New Roman"/>
          <w:szCs w:val="20"/>
        </w:rPr>
      </w:pPr>
    </w:p>
    <w:p w:rsidR="00BD6449" w:rsidRPr="00FA3856" w:rsidRDefault="00BD6449" w:rsidP="00BD6449">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As pessoas jurídicas que tiverem lucros, rendimentos e ganhos de capital auferidos no exterior somente podem optar pelo lucro presumido durante o período em que submetidas ao Refis.</w:t>
      </w:r>
    </w:p>
    <w:p w:rsidR="00BD6449" w:rsidRPr="00FA3856" w:rsidRDefault="00BD6449" w:rsidP="00BD6449">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Os lucros disponibilizados no exterior e os rendimentos e ganhos de capital auferidos no exterior no período em que a pessoa jurídica apurar a CSLL com base no resultado arbitrado devem ser computados na base de cálculo no trimestre da disponibilização dos lucros ou do auferimento dos rendimentos e ganhos de capital.</w:t>
      </w:r>
    </w:p>
    <w:p w:rsidR="00BD6449" w:rsidRPr="00FA3856" w:rsidRDefault="00BD6449" w:rsidP="00BD6449">
      <w:pPr>
        <w:pStyle w:val="NormalWeb"/>
        <w:spacing w:before="0" w:after="0"/>
        <w:jc w:val="both"/>
        <w:rPr>
          <w:rFonts w:ascii="Times New Roman" w:hAnsi="Times New Roman" w:cs="Times New Roman"/>
          <w:szCs w:val="20"/>
        </w:rPr>
      </w:pPr>
    </w:p>
    <w:p w:rsidR="00BD6449" w:rsidRPr="00FA3856" w:rsidRDefault="00BD6449" w:rsidP="00BD6449">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Os rendimentos e ganhos de capital a que se refere o parágrafo acima são os auferidos no exterior, diretamente pela pessoa jurídica domiciliada no Brasil.</w:t>
      </w:r>
    </w:p>
    <w:p w:rsidR="00BD6449" w:rsidRPr="00FA3856" w:rsidRDefault="00BD6449" w:rsidP="00BD6449">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p w:rsidR="00BD6449" w:rsidRPr="00FA3856" w:rsidRDefault="00BD6449" w:rsidP="00BD6449">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t>XI</w:t>
      </w:r>
      <w:r w:rsidR="004255D7" w:rsidRPr="00FA3856">
        <w:rPr>
          <w:rFonts w:ascii="Times New Roman" w:hAnsi="Times New Roman" w:cs="Times New Roman"/>
          <w:b/>
          <w:bCs/>
          <w:szCs w:val="20"/>
        </w:rPr>
        <w:t>.1</w:t>
      </w:r>
      <w:r w:rsidRPr="00FA3856">
        <w:rPr>
          <w:rFonts w:ascii="Times New Roman" w:hAnsi="Times New Roman" w:cs="Times New Roman"/>
          <w:b/>
          <w:bCs/>
          <w:szCs w:val="20"/>
        </w:rPr>
        <w:t>) Pagamento da CSLL</w:t>
      </w:r>
    </w:p>
    <w:p w:rsidR="00BD6449" w:rsidRPr="00FA3856" w:rsidRDefault="00BD6449" w:rsidP="00BD6449">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p w:rsidR="00BD6449" w:rsidRPr="00FA3856" w:rsidRDefault="00BD6449" w:rsidP="00BD6449">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t>XI</w:t>
      </w:r>
      <w:r w:rsidR="004255D7" w:rsidRPr="00FA3856">
        <w:rPr>
          <w:rFonts w:ascii="Times New Roman" w:hAnsi="Times New Roman" w:cs="Times New Roman"/>
          <w:b/>
          <w:bCs/>
          <w:szCs w:val="20"/>
        </w:rPr>
        <w:t>.1</w:t>
      </w:r>
      <w:r w:rsidRPr="00FA3856">
        <w:rPr>
          <w:rFonts w:ascii="Times New Roman" w:hAnsi="Times New Roman" w:cs="Times New Roman"/>
          <w:b/>
          <w:bCs/>
          <w:szCs w:val="20"/>
        </w:rPr>
        <w:t>.1) Local de Pagamento</w:t>
      </w:r>
    </w:p>
    <w:p w:rsidR="00BD6449" w:rsidRPr="00FA3856" w:rsidRDefault="00BD6449" w:rsidP="00BD6449">
      <w:pPr>
        <w:pStyle w:val="NormalWeb"/>
        <w:spacing w:before="0" w:after="0"/>
        <w:jc w:val="both"/>
        <w:rPr>
          <w:rFonts w:ascii="Times New Roman" w:hAnsi="Times New Roman" w:cs="Times New Roman"/>
          <w:szCs w:val="20"/>
        </w:rPr>
      </w:pPr>
    </w:p>
    <w:p w:rsidR="00BD6449" w:rsidRPr="00FA3856" w:rsidRDefault="00BD6449" w:rsidP="00BD6449">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pessoa jurídica deve pagar a CSLL por intermédio dos Bancos integrantes da rede arrecadadora de receitas federais.</w:t>
      </w:r>
    </w:p>
    <w:p w:rsidR="00BD6449" w:rsidRPr="00FA3856" w:rsidRDefault="00BD6449" w:rsidP="00BD6449">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p w:rsidR="00BD6449" w:rsidRPr="00FA3856" w:rsidRDefault="00BD6449" w:rsidP="00BD6449">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t>XI</w:t>
      </w:r>
      <w:r w:rsidR="004255D7" w:rsidRPr="00FA3856">
        <w:rPr>
          <w:rFonts w:ascii="Times New Roman" w:hAnsi="Times New Roman" w:cs="Times New Roman"/>
          <w:b/>
          <w:bCs/>
          <w:szCs w:val="20"/>
        </w:rPr>
        <w:t>.1</w:t>
      </w:r>
      <w:r w:rsidRPr="00FA3856">
        <w:rPr>
          <w:rFonts w:ascii="Times New Roman" w:hAnsi="Times New Roman" w:cs="Times New Roman"/>
          <w:b/>
          <w:bCs/>
          <w:szCs w:val="20"/>
        </w:rPr>
        <w:t>.2) Documento a Utilizar</w:t>
      </w:r>
    </w:p>
    <w:p w:rsidR="00BD6449" w:rsidRPr="00FA3856" w:rsidRDefault="00BD6449" w:rsidP="00BD6449">
      <w:pPr>
        <w:pStyle w:val="NormalWeb"/>
        <w:spacing w:before="0" w:after="0"/>
        <w:jc w:val="both"/>
        <w:rPr>
          <w:rFonts w:ascii="Times New Roman" w:hAnsi="Times New Roman" w:cs="Times New Roman"/>
          <w:szCs w:val="20"/>
        </w:rPr>
      </w:pPr>
    </w:p>
    <w:p w:rsidR="00BD6449" w:rsidRPr="00FA3856" w:rsidRDefault="00BD6449" w:rsidP="004255D7">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 xml:space="preserve">O pagamento é feito mediante a utilização do Documento de Arrecadação de </w:t>
      </w:r>
      <w:r w:rsidR="004255D7" w:rsidRPr="00FA3856">
        <w:rPr>
          <w:rFonts w:ascii="Times New Roman" w:hAnsi="Times New Roman" w:cs="Times New Roman"/>
          <w:szCs w:val="20"/>
        </w:rPr>
        <w:t xml:space="preserve">Receitas Federais (Darf), sob o seguinte código </w:t>
      </w:r>
      <w:r w:rsidRPr="00FA3856">
        <w:rPr>
          <w:rFonts w:ascii="Times New Roman" w:hAnsi="Times New Roman" w:cs="Times New Roman"/>
          <w:szCs w:val="20"/>
        </w:rPr>
        <w:t>2372 - PJ optante pela apuração com Base no Result</w:t>
      </w:r>
      <w:r w:rsidR="004255D7" w:rsidRPr="00FA3856">
        <w:rPr>
          <w:rFonts w:ascii="Times New Roman" w:hAnsi="Times New Roman" w:cs="Times New Roman"/>
          <w:szCs w:val="20"/>
        </w:rPr>
        <w:t>ado Presumido ou pelo Arbitrado.</w:t>
      </w:r>
    </w:p>
    <w:p w:rsidR="00BD6449" w:rsidRPr="00FA3856" w:rsidRDefault="00BD6449" w:rsidP="00BD6449">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p w:rsidR="004255D7" w:rsidRPr="00FA3856" w:rsidRDefault="004255D7" w:rsidP="00BD6449">
      <w:pPr>
        <w:pStyle w:val="NormalWeb"/>
        <w:spacing w:before="0" w:after="0"/>
        <w:jc w:val="both"/>
        <w:rPr>
          <w:rFonts w:ascii="Times New Roman" w:hAnsi="Times New Roman" w:cs="Times New Roman"/>
          <w:b/>
          <w:bCs/>
          <w:szCs w:val="20"/>
        </w:rPr>
      </w:pPr>
    </w:p>
    <w:p w:rsidR="004255D7" w:rsidRPr="00FA3856" w:rsidRDefault="004255D7" w:rsidP="00BD6449">
      <w:pPr>
        <w:pStyle w:val="NormalWeb"/>
        <w:spacing w:before="0" w:after="0"/>
        <w:jc w:val="both"/>
        <w:rPr>
          <w:rFonts w:ascii="Times New Roman" w:hAnsi="Times New Roman" w:cs="Times New Roman"/>
          <w:b/>
          <w:bCs/>
          <w:szCs w:val="20"/>
        </w:rPr>
      </w:pPr>
    </w:p>
    <w:p w:rsidR="004255D7" w:rsidRPr="00FA3856" w:rsidRDefault="004255D7" w:rsidP="00BD6449">
      <w:pPr>
        <w:pStyle w:val="NormalWeb"/>
        <w:spacing w:before="0" w:after="0"/>
        <w:jc w:val="both"/>
        <w:rPr>
          <w:rFonts w:ascii="Times New Roman" w:hAnsi="Times New Roman" w:cs="Times New Roman"/>
          <w:b/>
          <w:bCs/>
          <w:szCs w:val="20"/>
        </w:rPr>
      </w:pPr>
    </w:p>
    <w:p w:rsidR="004255D7" w:rsidRPr="00FA3856" w:rsidRDefault="004255D7" w:rsidP="00BD6449">
      <w:pPr>
        <w:pStyle w:val="NormalWeb"/>
        <w:spacing w:before="0" w:after="0"/>
        <w:jc w:val="both"/>
        <w:rPr>
          <w:rFonts w:ascii="Times New Roman" w:hAnsi="Times New Roman" w:cs="Times New Roman"/>
          <w:b/>
          <w:bCs/>
          <w:szCs w:val="20"/>
        </w:rPr>
      </w:pPr>
    </w:p>
    <w:p w:rsidR="004255D7" w:rsidRPr="00FA3856" w:rsidRDefault="004255D7" w:rsidP="00BD6449">
      <w:pPr>
        <w:pStyle w:val="NormalWeb"/>
        <w:spacing w:before="0" w:after="0"/>
        <w:jc w:val="both"/>
        <w:rPr>
          <w:rFonts w:ascii="Times New Roman" w:hAnsi="Times New Roman" w:cs="Times New Roman"/>
          <w:b/>
          <w:bCs/>
          <w:szCs w:val="20"/>
        </w:rPr>
      </w:pPr>
    </w:p>
    <w:p w:rsidR="00BD6449" w:rsidRPr="00FA3856" w:rsidRDefault="004255D7" w:rsidP="00BD6449">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lastRenderedPageBreak/>
        <w:t>XI.1.3)</w:t>
      </w:r>
      <w:r w:rsidR="00BD6449" w:rsidRPr="00FA3856">
        <w:rPr>
          <w:rFonts w:ascii="Times New Roman" w:hAnsi="Times New Roman" w:cs="Times New Roman"/>
          <w:b/>
          <w:bCs/>
          <w:szCs w:val="20"/>
        </w:rPr>
        <w:t xml:space="preserve"> Prazo para Pagamento</w:t>
      </w:r>
    </w:p>
    <w:p w:rsidR="004255D7" w:rsidRPr="00FA3856" w:rsidRDefault="004255D7" w:rsidP="00BD6449">
      <w:pPr>
        <w:pStyle w:val="NormalWeb"/>
        <w:spacing w:before="0" w:after="0"/>
        <w:jc w:val="both"/>
        <w:rPr>
          <w:rFonts w:ascii="Times New Roman" w:hAnsi="Times New Roman" w:cs="Times New Roman"/>
          <w:szCs w:val="20"/>
        </w:rPr>
      </w:pPr>
    </w:p>
    <w:p w:rsidR="00BD6449" w:rsidRPr="00FA3856" w:rsidRDefault="00BD6449" w:rsidP="004255D7">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CSLL, apurada trimestralmente, deve ser paga em quota única, até o último dia útil do mês subsequente ao do encerramento do período de apuração.</w:t>
      </w:r>
    </w:p>
    <w:p w:rsidR="004255D7" w:rsidRPr="00FA3856" w:rsidRDefault="004255D7" w:rsidP="00BD6449">
      <w:pPr>
        <w:pStyle w:val="NormalWeb"/>
        <w:spacing w:before="0" w:after="0"/>
        <w:jc w:val="both"/>
        <w:rPr>
          <w:rFonts w:ascii="Times New Roman" w:hAnsi="Times New Roman" w:cs="Times New Roman"/>
          <w:szCs w:val="20"/>
        </w:rPr>
      </w:pPr>
    </w:p>
    <w:p w:rsidR="00BD6449" w:rsidRPr="00FA3856" w:rsidRDefault="00BD6449" w:rsidP="004255D7">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À opção da pessoa jurídica, a CSLL pode ser paga em até três quotas mensais, iguais e sucessivas, vencíveis no último dia útil dos três meses subsequentes ao de encerramento do período de apuração a que corresponder.</w:t>
      </w:r>
    </w:p>
    <w:p w:rsidR="004255D7" w:rsidRPr="00FA3856" w:rsidRDefault="004255D7" w:rsidP="00BD6449">
      <w:pPr>
        <w:pStyle w:val="NormalWeb"/>
        <w:spacing w:before="0" w:after="0"/>
        <w:jc w:val="both"/>
        <w:rPr>
          <w:rFonts w:ascii="Times New Roman" w:hAnsi="Times New Roman" w:cs="Times New Roman"/>
          <w:szCs w:val="20"/>
        </w:rPr>
      </w:pPr>
    </w:p>
    <w:p w:rsidR="00BD6449" w:rsidRPr="00FA3856" w:rsidRDefault="00BD6449" w:rsidP="004255D7">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Nenhuma quota pode ter valor inferior a R$ 1.000,00 (mil reais) e a CSLL de valor inferior a R$ 2.000,00 (dois mil reais) deve ser paga em quota única.</w:t>
      </w:r>
    </w:p>
    <w:p w:rsidR="004255D7" w:rsidRPr="00FA3856" w:rsidRDefault="004255D7" w:rsidP="00BD6449">
      <w:pPr>
        <w:pStyle w:val="NormalWeb"/>
        <w:spacing w:before="0" w:after="0"/>
        <w:jc w:val="both"/>
        <w:rPr>
          <w:rFonts w:ascii="Times New Roman" w:hAnsi="Times New Roman" w:cs="Times New Roman"/>
          <w:szCs w:val="20"/>
        </w:rPr>
      </w:pPr>
    </w:p>
    <w:p w:rsidR="00BD6449" w:rsidRPr="00FA3856" w:rsidRDefault="00BD6449" w:rsidP="004255D7">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As quotas da CSLL são acrescidas de juros equivalentes à taxa referencial do Sistema Especial de Liquidação e Custódia (Selic), para títulos federais, acumulada mensalmente, a partir do primeiro dia do segundo mês subsequente ao do encerramento do período de apuração até o último dia do mês anterior ao do pagamento e de 1% (um por cento) no mês do pagamento.</w:t>
      </w:r>
    </w:p>
    <w:p w:rsidR="004255D7" w:rsidRPr="00FA3856" w:rsidRDefault="004255D7" w:rsidP="00BD6449">
      <w:pPr>
        <w:pStyle w:val="NormalWeb"/>
        <w:spacing w:before="0" w:after="0"/>
        <w:jc w:val="both"/>
        <w:rPr>
          <w:rFonts w:ascii="Times New Roman" w:hAnsi="Times New Roman" w:cs="Times New Roman"/>
          <w:szCs w:val="20"/>
        </w:rPr>
      </w:pPr>
    </w:p>
    <w:p w:rsidR="00BD6449" w:rsidRPr="00FA3856" w:rsidRDefault="00BD6449" w:rsidP="004255D7">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primeira quota ou quota única, quando paga até o vencimento, não sofre acréscimos.</w:t>
      </w:r>
    </w:p>
    <w:p w:rsidR="004255D7" w:rsidRPr="00FA3856" w:rsidRDefault="004255D7" w:rsidP="00BD6449">
      <w:pPr>
        <w:pStyle w:val="NormalWeb"/>
        <w:spacing w:before="0" w:after="0"/>
        <w:jc w:val="both"/>
        <w:rPr>
          <w:rFonts w:ascii="Times New Roman" w:hAnsi="Times New Roman" w:cs="Times New Roman"/>
          <w:szCs w:val="20"/>
        </w:rPr>
      </w:pPr>
    </w:p>
    <w:p w:rsidR="00BD6449" w:rsidRPr="00FA3856" w:rsidRDefault="00BD6449" w:rsidP="004255D7">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 xml:space="preserve">O saldo da CSLL, se negativo, pode ser restituído ou compensado com a CSLL devida a partir do encerramento do trimestre, acrescido de juros equivalentes à taxa Selic para títulos federais, acumulada mensalmente, calculados a partir do mês </w:t>
      </w:r>
      <w:r w:rsidR="0063733D" w:rsidRPr="00FA3856">
        <w:rPr>
          <w:rFonts w:ascii="Times New Roman" w:hAnsi="Times New Roman" w:cs="Times New Roman"/>
          <w:szCs w:val="20"/>
        </w:rPr>
        <w:t>subsequente</w:t>
      </w:r>
      <w:r w:rsidRPr="00FA3856">
        <w:rPr>
          <w:rFonts w:ascii="Times New Roman" w:hAnsi="Times New Roman" w:cs="Times New Roman"/>
          <w:szCs w:val="20"/>
        </w:rPr>
        <w:t xml:space="preserve"> ao do encerramento do período de apuração até o mês anterior ao da restituição ou compensação e de um por cento relativamente ao mês em que estiver sendo efetuada a restituição ou compensação (ADN Cosit n</w:t>
      </w:r>
      <w:r w:rsidRPr="00FA3856">
        <w:rPr>
          <w:rFonts w:ascii="Times New Roman" w:hAnsi="Times New Roman" w:cs="Times New Roman"/>
          <w:strike/>
          <w:szCs w:val="20"/>
        </w:rPr>
        <w:t>º</w:t>
      </w:r>
      <w:r w:rsidRPr="00FA3856">
        <w:rPr>
          <w:rFonts w:ascii="Times New Roman" w:hAnsi="Times New Roman" w:cs="Times New Roman"/>
          <w:szCs w:val="20"/>
        </w:rPr>
        <w:t xml:space="preserve"> 31, de 27 de outubro de 1999).</w:t>
      </w:r>
    </w:p>
    <w:p w:rsidR="00BD6449" w:rsidRPr="00FA3856" w:rsidRDefault="00BD6449" w:rsidP="00BD6449">
      <w:pPr>
        <w:pStyle w:val="NormalWeb"/>
        <w:spacing w:before="0" w:after="0"/>
        <w:jc w:val="both"/>
        <w:rPr>
          <w:rFonts w:ascii="Times New Roman" w:hAnsi="Times New Roman" w:cs="Times New Roman"/>
          <w:szCs w:val="20"/>
        </w:rPr>
      </w:pPr>
    </w:p>
    <w:p w:rsidR="00020FD2" w:rsidRPr="00FA3856" w:rsidRDefault="00020FD2" w:rsidP="00F32E6D">
      <w:pPr>
        <w:pStyle w:val="NormalWeb"/>
        <w:spacing w:before="0" w:after="0"/>
        <w:rPr>
          <w:rFonts w:ascii="Times New Roman" w:hAnsi="Times New Roman" w:cs="Times New Roman"/>
          <w:szCs w:val="20"/>
        </w:rPr>
      </w:pPr>
    </w:p>
    <w:p w:rsidR="00F32E6D" w:rsidRPr="00FA3856" w:rsidRDefault="00F32E6D" w:rsidP="009479AD">
      <w:pPr>
        <w:pStyle w:val="PSDS-MarcadoresNivel3"/>
        <w:tabs>
          <w:tab w:val="clear" w:pos="1440"/>
        </w:tabs>
        <w:spacing w:before="0" w:after="0"/>
        <w:ind w:left="720" w:firstLine="0"/>
        <w:rPr>
          <w:rFonts w:ascii="Times New Roman" w:hAnsi="Times New Roman" w:cs="Times New Roman"/>
          <w:szCs w:val="20"/>
        </w:rPr>
      </w:pPr>
    </w:p>
    <w:p w:rsidR="006A0AF8" w:rsidRPr="00FA3856" w:rsidRDefault="006A0AF8">
      <w:pPr>
        <w:spacing w:after="200" w:line="276" w:lineRule="auto"/>
        <w:rPr>
          <w:b/>
          <w:bCs/>
          <w:color w:val="0000FF"/>
          <w:szCs w:val="20"/>
        </w:rPr>
      </w:pPr>
      <w:r w:rsidRPr="00FA3856">
        <w:rPr>
          <w:color w:val="0000FF"/>
          <w:szCs w:val="20"/>
        </w:rPr>
        <w:br w:type="page"/>
      </w:r>
    </w:p>
    <w:p w:rsidR="009479AD" w:rsidRPr="00FA3856" w:rsidRDefault="009479AD" w:rsidP="00867F54">
      <w:pPr>
        <w:pStyle w:val="Ttulo4"/>
      </w:pPr>
      <w:bookmarkStart w:id="299" w:name="_Toc479713753"/>
      <w:r w:rsidRPr="00FA3856">
        <w:lastRenderedPageBreak/>
        <w:t>Registro P001: Abertura do Bloco P</w:t>
      </w:r>
      <w:bookmarkEnd w:id="299"/>
    </w:p>
    <w:p w:rsidR="009479AD" w:rsidRDefault="009479AD" w:rsidP="009479AD">
      <w:pPr>
        <w:pStyle w:val="PSDS-MarcadoresNivel2"/>
        <w:numPr>
          <w:ilvl w:val="0"/>
          <w:numId w:val="0"/>
        </w:numPr>
        <w:rPr>
          <w:rFonts w:ascii="Times New Roman" w:hAnsi="Times New Roman"/>
        </w:rPr>
      </w:pPr>
    </w:p>
    <w:p w:rsidR="00C80956" w:rsidRPr="00FA3856" w:rsidRDefault="00B35FA3" w:rsidP="00C80956">
      <w:pPr>
        <w:pStyle w:val="PSDS-MarcadoresNivel2"/>
        <w:numPr>
          <w:ilvl w:val="0"/>
          <w:numId w:val="0"/>
        </w:numPr>
        <w:jc w:val="center"/>
        <w:rPr>
          <w:rFonts w:ascii="Times New Roman" w:hAnsi="Times New Roman"/>
        </w:rPr>
      </w:pPr>
      <w:r>
        <w:rPr>
          <w:rFonts w:ascii="Times New Roman" w:hAnsi="Times New Roman"/>
        </w:rPr>
        <w:object w:dxaOrig="13245" w:dyaOrig="3090">
          <v:shape id="_x0000_i1769" type="#_x0000_t75" style="width:662.25pt;height:158.25pt" o:ole="">
            <v:imagedata r:id="rId416" o:title=""/>
          </v:shape>
          <o:OLEObject Type="Link" ProgID="Excel.Sheet.12" ShapeID="_x0000_i1769" DrawAspect="Content" r:id="rId417" UpdateMode="Always">
            <o:LinkType>EnhancedMetaFile</o:LinkType>
            <o:LockedField>false</o:LockedField>
          </o:OLEObject>
        </w:object>
      </w:r>
    </w:p>
    <w:p w:rsidR="00C80956" w:rsidRDefault="00C80956" w:rsidP="009479AD">
      <w:pPr>
        <w:pStyle w:val="PSDS-MarcadoresNivel2"/>
        <w:numPr>
          <w:ilvl w:val="0"/>
          <w:numId w:val="0"/>
        </w:numPr>
        <w:rPr>
          <w:rFonts w:ascii="Times New Roman" w:hAnsi="Times New Roman"/>
        </w:rPr>
      </w:pPr>
    </w:p>
    <w:p w:rsidR="009479AD" w:rsidRPr="00FA3856" w:rsidRDefault="009479AD" w:rsidP="009479AD">
      <w:pPr>
        <w:pStyle w:val="PSDS-MarcadoresNivel2"/>
        <w:numPr>
          <w:ilvl w:val="0"/>
          <w:numId w:val="0"/>
        </w:numPr>
        <w:rPr>
          <w:rFonts w:ascii="Times New Roman" w:hAnsi="Times New Roman"/>
        </w:rPr>
      </w:pPr>
      <w:r w:rsidRPr="00FA3856">
        <w:rPr>
          <w:rFonts w:ascii="Times New Roman" w:hAnsi="Times New Roman"/>
        </w:rPr>
        <w:t>I – Regras de Validação do Registro:</w:t>
      </w:r>
    </w:p>
    <w:p w:rsidR="009479AD" w:rsidRPr="00FA3856" w:rsidRDefault="009479AD" w:rsidP="009479AD">
      <w:pPr>
        <w:pStyle w:val="PSDS-MarcadoresNivel2"/>
        <w:numPr>
          <w:ilvl w:val="0"/>
          <w:numId w:val="0"/>
        </w:numPr>
        <w:rPr>
          <w:rFonts w:ascii="Times New Roman" w:hAnsi="Times New Roman"/>
        </w:rPr>
      </w:pPr>
    </w:p>
    <w:p w:rsidR="009479AD" w:rsidRPr="00FA3856" w:rsidRDefault="007D0E74" w:rsidP="009479AD">
      <w:pPr>
        <w:pStyle w:val="Corpodetexto"/>
        <w:ind w:left="708" w:firstLine="12"/>
        <w:rPr>
          <w:rFonts w:ascii="Times New Roman" w:hAnsi="Times New Roman"/>
          <w:szCs w:val="20"/>
        </w:rPr>
      </w:pPr>
      <w:hyperlink r:id="rId418" w:anchor="REGRA_OCORRENCIA_UNITARIA_ARQ" w:history="1">
        <w:r w:rsidR="009479AD" w:rsidRPr="00FA3856">
          <w:rPr>
            <w:rFonts w:ascii="Times New Roman" w:hAnsi="Times New Roman"/>
            <w:b/>
            <w:szCs w:val="20"/>
          </w:rPr>
          <w:t>REGRA_OCORRENCIA_UNITARIA_ARQ</w:t>
        </w:r>
      </w:hyperlink>
      <w:r w:rsidR="009479AD" w:rsidRPr="00FA3856">
        <w:rPr>
          <w:rFonts w:ascii="Times New Roman" w:hAnsi="Times New Roman"/>
          <w:color w:val="auto"/>
          <w:szCs w:val="20"/>
        </w:rPr>
        <w:t xml:space="preserve">: </w:t>
      </w:r>
      <w:r w:rsidR="009479AD" w:rsidRPr="00FA3856">
        <w:rPr>
          <w:rFonts w:ascii="Times New Roman" w:hAnsi="Times New Roman"/>
          <w:szCs w:val="20"/>
        </w:rPr>
        <w:t xml:space="preserve">Verifica se registro ocorreu apenas uma vez por </w:t>
      </w:r>
      <w:r w:rsidR="00F11E71" w:rsidRPr="00FA3856">
        <w:rPr>
          <w:rFonts w:ascii="Times New Roman" w:hAnsi="Times New Roman"/>
          <w:szCs w:val="20"/>
        </w:rPr>
        <w:t>arquivo, considerando a chave “P</w:t>
      </w:r>
      <w:r w:rsidR="009479AD" w:rsidRPr="00FA3856">
        <w:rPr>
          <w:rFonts w:ascii="Times New Roman" w:hAnsi="Times New Roman"/>
          <w:szCs w:val="20"/>
        </w:rPr>
        <w:t>001” (REG). Se a regra não for cumprida, a ECF gera um erro.</w:t>
      </w:r>
    </w:p>
    <w:p w:rsidR="006A0AF8" w:rsidRPr="00FA3856" w:rsidRDefault="006A0AF8" w:rsidP="006A0AF8">
      <w:pPr>
        <w:pStyle w:val="Corpodetexto"/>
        <w:rPr>
          <w:rFonts w:ascii="Times New Roman" w:hAnsi="Times New Roman"/>
          <w:b/>
          <w:color w:val="002060"/>
          <w:szCs w:val="20"/>
        </w:rPr>
      </w:pPr>
    </w:p>
    <w:p w:rsidR="007471A8" w:rsidRDefault="006A0AF8" w:rsidP="006A0AF8">
      <w:pPr>
        <w:pStyle w:val="Corpodetexto"/>
        <w:rPr>
          <w:rFonts w:ascii="Times New Roman" w:hAnsi="Times New Roman"/>
          <w:b/>
          <w:color w:val="002060"/>
          <w:szCs w:val="20"/>
        </w:rPr>
      </w:pPr>
      <w:r w:rsidRPr="00FA3856">
        <w:rPr>
          <w:rFonts w:ascii="Times New Roman" w:hAnsi="Times New Roman"/>
          <w:b/>
          <w:color w:val="002060"/>
          <w:szCs w:val="20"/>
        </w:rPr>
        <w:t xml:space="preserve">Exemplo de Preenchimento: </w:t>
      </w:r>
    </w:p>
    <w:p w:rsidR="007471A8" w:rsidRDefault="007471A8" w:rsidP="006A0AF8">
      <w:pPr>
        <w:pStyle w:val="Corpodetexto"/>
        <w:rPr>
          <w:rFonts w:ascii="Times New Roman" w:hAnsi="Times New Roman"/>
          <w:b/>
          <w:color w:val="002060"/>
          <w:szCs w:val="20"/>
        </w:rPr>
      </w:pPr>
    </w:p>
    <w:p w:rsidR="006A0AF8" w:rsidRPr="00FA3856" w:rsidRDefault="006A0AF8" w:rsidP="006A0AF8">
      <w:pPr>
        <w:pStyle w:val="Corpodetexto"/>
        <w:rPr>
          <w:rFonts w:ascii="Times New Roman" w:hAnsi="Times New Roman"/>
          <w:b/>
          <w:color w:val="002060"/>
          <w:szCs w:val="20"/>
        </w:rPr>
      </w:pPr>
      <w:r w:rsidRPr="00FA3856">
        <w:rPr>
          <w:rFonts w:ascii="Times New Roman" w:hAnsi="Times New Roman"/>
          <w:b/>
          <w:color w:val="002060"/>
          <w:szCs w:val="20"/>
        </w:rPr>
        <w:t>|P001|0|</w:t>
      </w:r>
    </w:p>
    <w:p w:rsidR="006A0AF8" w:rsidRPr="00FA3856" w:rsidRDefault="006A0AF8" w:rsidP="006A0AF8">
      <w:pPr>
        <w:pStyle w:val="Corpodetexto"/>
        <w:ind w:firstLine="708"/>
        <w:rPr>
          <w:rFonts w:ascii="Times New Roman" w:hAnsi="Times New Roman"/>
          <w:color w:val="002060"/>
          <w:szCs w:val="20"/>
        </w:rPr>
      </w:pPr>
      <w:r w:rsidRPr="00FA3856">
        <w:rPr>
          <w:rFonts w:ascii="Times New Roman" w:hAnsi="Times New Roman"/>
          <w:color w:val="002060"/>
          <w:szCs w:val="20"/>
        </w:rPr>
        <w:t>|P001|: Identificação do tipo do registro.</w:t>
      </w:r>
    </w:p>
    <w:p w:rsidR="006A0AF8" w:rsidRPr="00FA3856" w:rsidRDefault="006A0AF8" w:rsidP="006A0AF8">
      <w:pPr>
        <w:pStyle w:val="Corpodetexto"/>
        <w:ind w:firstLine="708"/>
        <w:rPr>
          <w:rFonts w:ascii="Times New Roman" w:hAnsi="Times New Roman"/>
          <w:color w:val="002060"/>
          <w:szCs w:val="20"/>
        </w:rPr>
      </w:pPr>
      <w:r w:rsidRPr="00FA3856">
        <w:rPr>
          <w:rFonts w:ascii="Times New Roman" w:hAnsi="Times New Roman"/>
          <w:color w:val="002060"/>
          <w:szCs w:val="20"/>
        </w:rPr>
        <w:t>|0|: Indica que o bloco possui dados informados.</w:t>
      </w:r>
    </w:p>
    <w:p w:rsidR="009479AD" w:rsidRPr="00FA3856" w:rsidRDefault="009479AD" w:rsidP="009479AD">
      <w:pPr>
        <w:pStyle w:val="Corpodetexto"/>
        <w:ind w:left="708" w:firstLine="12"/>
        <w:rPr>
          <w:rFonts w:ascii="Times New Roman" w:hAnsi="Times New Roman"/>
          <w:szCs w:val="20"/>
        </w:rPr>
      </w:pPr>
    </w:p>
    <w:p w:rsidR="00FB7131" w:rsidRPr="00FA3856" w:rsidRDefault="00FB7131">
      <w:pPr>
        <w:spacing w:after="200" w:line="276" w:lineRule="auto"/>
        <w:rPr>
          <w:b/>
          <w:bCs/>
          <w:color w:val="0000FF"/>
          <w:szCs w:val="20"/>
        </w:rPr>
      </w:pPr>
      <w:r w:rsidRPr="00FA3856">
        <w:rPr>
          <w:color w:val="0000FF"/>
          <w:szCs w:val="20"/>
        </w:rPr>
        <w:br w:type="page"/>
      </w:r>
    </w:p>
    <w:p w:rsidR="002E4337" w:rsidRPr="00FA3856" w:rsidRDefault="002E4337" w:rsidP="00867F54">
      <w:pPr>
        <w:pStyle w:val="Ttulo4"/>
      </w:pPr>
      <w:bookmarkStart w:id="300" w:name="_Toc479713754"/>
      <w:r w:rsidRPr="00FA3856">
        <w:lastRenderedPageBreak/>
        <w:t>Registro P030: Identificação dos Períodos e Formas de Apuração do IRPJ e da CSLL das Empresas Tributadas pelo Lucro Presumido</w:t>
      </w:r>
      <w:bookmarkEnd w:id="300"/>
    </w:p>
    <w:p w:rsidR="002E4337" w:rsidRPr="00FA3856" w:rsidRDefault="002E4337" w:rsidP="002E4337">
      <w:pPr>
        <w:jc w:val="both"/>
        <w:rPr>
          <w:szCs w:val="20"/>
        </w:rPr>
      </w:pPr>
    </w:p>
    <w:p w:rsidR="002E4337" w:rsidRPr="00FA3856" w:rsidRDefault="002E4337" w:rsidP="002E4337">
      <w:pPr>
        <w:pStyle w:val="PSDS-CorpodeTexto0"/>
        <w:ind w:firstLine="708"/>
        <w:rPr>
          <w:rFonts w:ascii="Times New Roman" w:hAnsi="Times New Roman"/>
        </w:rPr>
      </w:pPr>
      <w:r w:rsidRPr="00FA3856">
        <w:rPr>
          <w:rFonts w:ascii="Times New Roman" w:hAnsi="Times New Roman"/>
        </w:rPr>
        <w:t>Registro de identificação dos períodos da escrituração necessários conforme definições de parâmetros do Bloco 0.</w:t>
      </w:r>
    </w:p>
    <w:p w:rsidR="008C16B2" w:rsidRDefault="008C16B2" w:rsidP="002E4337">
      <w:pPr>
        <w:jc w:val="both"/>
        <w:rPr>
          <w:szCs w:val="20"/>
          <w:lang w:val="pt-PT"/>
        </w:rPr>
      </w:pPr>
    </w:p>
    <w:p w:rsidR="003A2F43" w:rsidRPr="00FA3856" w:rsidRDefault="00B35FA3" w:rsidP="003A2F43">
      <w:pPr>
        <w:jc w:val="center"/>
        <w:rPr>
          <w:szCs w:val="20"/>
          <w:lang w:val="pt-PT"/>
        </w:rPr>
      </w:pPr>
      <w:r>
        <w:rPr>
          <w:szCs w:val="20"/>
          <w:lang w:val="pt-PT"/>
        </w:rPr>
        <w:object w:dxaOrig="14565" w:dyaOrig="6045">
          <v:shape id="_x0000_i1771" type="#_x0000_t75" style="width:727.5pt;height:302.25pt" o:ole="">
            <v:imagedata r:id="rId419" o:title=""/>
          </v:shape>
          <o:OLEObject Type="Link" ProgID="Excel.Sheet.12" ShapeID="_x0000_i1771" DrawAspect="Content" r:id="rId420" UpdateMode="Always">
            <o:LinkType>EnhancedMetaFile</o:LinkType>
            <o:LockedField>false</o:LockedField>
          </o:OLEObject>
        </w:object>
      </w:r>
    </w:p>
    <w:p w:rsidR="003A2F43" w:rsidRDefault="003A2F43" w:rsidP="004177C3">
      <w:pPr>
        <w:pStyle w:val="PSDS-MarcadoresNivel2"/>
        <w:numPr>
          <w:ilvl w:val="0"/>
          <w:numId w:val="0"/>
        </w:numPr>
        <w:rPr>
          <w:rFonts w:ascii="Times New Roman" w:hAnsi="Times New Roman"/>
        </w:rPr>
      </w:pPr>
    </w:p>
    <w:p w:rsidR="004177C3" w:rsidRPr="00FA3856" w:rsidRDefault="004177C3" w:rsidP="004177C3">
      <w:pPr>
        <w:pStyle w:val="PSDS-MarcadoresNivel2"/>
        <w:numPr>
          <w:ilvl w:val="0"/>
          <w:numId w:val="0"/>
        </w:numPr>
        <w:rPr>
          <w:rFonts w:ascii="Times New Roman" w:hAnsi="Times New Roman"/>
        </w:rPr>
      </w:pPr>
      <w:r w:rsidRPr="00FA3856">
        <w:rPr>
          <w:rFonts w:ascii="Times New Roman" w:hAnsi="Times New Roman"/>
        </w:rPr>
        <w:t>I – Regras de Validação do Registro:</w:t>
      </w:r>
    </w:p>
    <w:p w:rsidR="004177C3" w:rsidRPr="00FA3856" w:rsidRDefault="004177C3" w:rsidP="004177C3">
      <w:pPr>
        <w:pStyle w:val="Corpodetexto"/>
        <w:ind w:left="708" w:firstLine="12"/>
        <w:rPr>
          <w:rFonts w:ascii="Times New Roman" w:hAnsi="Times New Roman"/>
          <w:szCs w:val="20"/>
        </w:rPr>
      </w:pPr>
    </w:p>
    <w:p w:rsidR="004177C3" w:rsidRPr="00FA3856" w:rsidRDefault="007D0E74" w:rsidP="004177C3">
      <w:pPr>
        <w:pStyle w:val="Corpodetexto"/>
        <w:ind w:left="708" w:firstLine="12"/>
        <w:rPr>
          <w:rFonts w:ascii="Times New Roman" w:hAnsi="Times New Roman"/>
          <w:szCs w:val="20"/>
        </w:rPr>
      </w:pPr>
      <w:hyperlink r:id="rId421" w:anchor="REGRA_OCORRENCIA_UNITARIA_ARQ" w:history="1">
        <w:r w:rsidR="004177C3" w:rsidRPr="00FA3856">
          <w:rPr>
            <w:rFonts w:ascii="Times New Roman" w:hAnsi="Times New Roman"/>
            <w:b/>
            <w:szCs w:val="20"/>
          </w:rPr>
          <w:t>REGRA_</w:t>
        </w:r>
      </w:hyperlink>
      <w:r w:rsidR="004177C3" w:rsidRPr="00FA3856">
        <w:rPr>
          <w:rFonts w:ascii="Times New Roman" w:hAnsi="Times New Roman"/>
          <w:b/>
          <w:szCs w:val="20"/>
        </w:rPr>
        <w:t>DUPLICIDADE_DESPREZADA</w:t>
      </w:r>
      <w:r w:rsidR="004177C3" w:rsidRPr="00FA3856">
        <w:rPr>
          <w:rFonts w:ascii="Times New Roman" w:hAnsi="Times New Roman"/>
          <w:color w:val="auto"/>
          <w:szCs w:val="20"/>
        </w:rPr>
        <w:t xml:space="preserve">: </w:t>
      </w:r>
      <w:r w:rsidR="004177C3" w:rsidRPr="00FA3856">
        <w:rPr>
          <w:rFonts w:ascii="Times New Roman" w:hAnsi="Times New Roman"/>
          <w:szCs w:val="20"/>
        </w:rPr>
        <w:t>Verifica se o registro já foi importado anteriormente, de acordo com a chave e os registros pais. Se a regra não for cumprida, a ECF gera um aviso.</w:t>
      </w:r>
    </w:p>
    <w:p w:rsidR="004177C3" w:rsidRPr="00FA3856" w:rsidRDefault="004177C3" w:rsidP="004177C3">
      <w:pPr>
        <w:pStyle w:val="Corpodetexto"/>
        <w:ind w:left="708" w:firstLine="12"/>
        <w:rPr>
          <w:rFonts w:ascii="Times New Roman" w:hAnsi="Times New Roman"/>
          <w:szCs w:val="20"/>
        </w:rPr>
      </w:pPr>
    </w:p>
    <w:p w:rsidR="004177C3" w:rsidRPr="00FA3856" w:rsidRDefault="007D0E74" w:rsidP="004177C3">
      <w:pPr>
        <w:pStyle w:val="Corpodetexto"/>
        <w:ind w:left="708" w:firstLine="12"/>
        <w:rPr>
          <w:rFonts w:ascii="Times New Roman" w:hAnsi="Times New Roman"/>
          <w:b/>
          <w:szCs w:val="20"/>
        </w:rPr>
      </w:pPr>
      <w:hyperlink r:id="rId422" w:anchor="REGRA_OCORRENCIA_UNITARIA_ARQ" w:history="1">
        <w:r w:rsidR="004177C3" w:rsidRPr="00FA3856">
          <w:rPr>
            <w:rFonts w:ascii="Times New Roman" w:hAnsi="Times New Roman"/>
            <w:b/>
            <w:szCs w:val="20"/>
          </w:rPr>
          <w:t>REGRA_</w:t>
        </w:r>
      </w:hyperlink>
      <w:r w:rsidR="004177C3" w:rsidRPr="00FA3856">
        <w:rPr>
          <w:rFonts w:ascii="Times New Roman" w:hAnsi="Times New Roman"/>
          <w:b/>
          <w:szCs w:val="20"/>
        </w:rPr>
        <w:t>PERIODO_DESPREZADO</w:t>
      </w:r>
      <w:r w:rsidR="004177C3" w:rsidRPr="00FA3856">
        <w:rPr>
          <w:rFonts w:ascii="Times New Roman" w:hAnsi="Times New Roman"/>
          <w:color w:val="auto"/>
          <w:szCs w:val="20"/>
        </w:rPr>
        <w:t xml:space="preserve">: </w:t>
      </w:r>
      <w:r w:rsidR="004177C3" w:rsidRPr="00FA3856">
        <w:rPr>
          <w:rFonts w:ascii="Times New Roman" w:hAnsi="Times New Roman"/>
          <w:szCs w:val="20"/>
        </w:rPr>
        <w:t>Verifica se a linha deste período existe no arquivo de importação, mas não deve ser importado, pois as datas não compatíveis com o período da ECF. Gera um aviso.</w:t>
      </w:r>
    </w:p>
    <w:p w:rsidR="004177C3" w:rsidRPr="00FA3856" w:rsidRDefault="004177C3" w:rsidP="004177C3">
      <w:pPr>
        <w:pStyle w:val="Corpodetexto"/>
        <w:ind w:left="708" w:firstLine="12"/>
        <w:rPr>
          <w:rFonts w:ascii="Times New Roman" w:hAnsi="Times New Roman"/>
          <w:b/>
          <w:szCs w:val="20"/>
        </w:rPr>
      </w:pPr>
    </w:p>
    <w:p w:rsidR="00EF69B3" w:rsidRPr="00FA3856" w:rsidRDefault="007D0E74" w:rsidP="004177C3">
      <w:pPr>
        <w:pStyle w:val="Corpodetexto"/>
        <w:ind w:left="708" w:firstLine="12"/>
        <w:rPr>
          <w:rFonts w:ascii="Times New Roman" w:hAnsi="Times New Roman"/>
          <w:szCs w:val="20"/>
        </w:rPr>
      </w:pPr>
      <w:hyperlink r:id="rId423" w:anchor="REGRA_OCORRENCIA_UNITARIA_ARQ" w:history="1">
        <w:r w:rsidR="004177C3" w:rsidRPr="00FA3856">
          <w:rPr>
            <w:rFonts w:ascii="Times New Roman" w:hAnsi="Times New Roman"/>
            <w:b/>
            <w:szCs w:val="20"/>
          </w:rPr>
          <w:t>REGRA_</w:t>
        </w:r>
      </w:hyperlink>
      <w:r w:rsidR="004177C3" w:rsidRPr="00FA3856">
        <w:rPr>
          <w:rFonts w:ascii="Times New Roman" w:hAnsi="Times New Roman"/>
          <w:b/>
          <w:szCs w:val="20"/>
        </w:rPr>
        <w:t>LINHA_ALTERADA</w:t>
      </w:r>
      <w:r w:rsidR="004177C3" w:rsidRPr="00FA3856">
        <w:rPr>
          <w:rFonts w:ascii="Times New Roman" w:hAnsi="Times New Roman"/>
          <w:color w:val="auto"/>
          <w:szCs w:val="20"/>
        </w:rPr>
        <w:t xml:space="preserve">: </w:t>
      </w:r>
      <w:r w:rsidR="004177C3" w:rsidRPr="00FA3856">
        <w:rPr>
          <w:rFonts w:ascii="Times New Roman" w:hAnsi="Times New Roman"/>
          <w:szCs w:val="20"/>
        </w:rPr>
        <w:t>Verifica se a linha deste período existe no arquivo de importação, mas deve ser alterada, pois as datas não compatíveis com o período da ECF. Gera um aviso.</w:t>
      </w:r>
    </w:p>
    <w:p w:rsidR="007471A8" w:rsidRDefault="007471A8" w:rsidP="006A0AF8">
      <w:pPr>
        <w:pStyle w:val="Corpodetexto"/>
        <w:rPr>
          <w:rFonts w:ascii="Times New Roman" w:hAnsi="Times New Roman"/>
          <w:b/>
          <w:color w:val="002060"/>
          <w:szCs w:val="20"/>
        </w:rPr>
      </w:pPr>
    </w:p>
    <w:p w:rsidR="007471A8" w:rsidRDefault="00766A84" w:rsidP="006A0AF8">
      <w:pPr>
        <w:pStyle w:val="Corpodetexto"/>
        <w:rPr>
          <w:rFonts w:ascii="Times New Roman" w:hAnsi="Times New Roman"/>
          <w:b/>
          <w:color w:val="002060"/>
          <w:szCs w:val="20"/>
        </w:rPr>
      </w:pPr>
      <w:r w:rsidRPr="00FA3856">
        <w:rPr>
          <w:rFonts w:ascii="Times New Roman" w:hAnsi="Times New Roman"/>
          <w:b/>
          <w:color w:val="002060"/>
          <w:szCs w:val="20"/>
        </w:rPr>
        <w:t xml:space="preserve">Exemplo de Preenchimento: </w:t>
      </w:r>
    </w:p>
    <w:p w:rsidR="007471A8" w:rsidRDefault="007471A8" w:rsidP="006A0AF8">
      <w:pPr>
        <w:pStyle w:val="Corpodetexto"/>
        <w:rPr>
          <w:rFonts w:ascii="Times New Roman" w:hAnsi="Times New Roman"/>
          <w:b/>
          <w:color w:val="002060"/>
          <w:szCs w:val="20"/>
        </w:rPr>
      </w:pPr>
    </w:p>
    <w:p w:rsidR="006A0AF8" w:rsidRPr="00FA3856" w:rsidRDefault="00CD73D7" w:rsidP="006A0AF8">
      <w:pPr>
        <w:pStyle w:val="Corpodetexto"/>
        <w:rPr>
          <w:rFonts w:ascii="Times New Roman" w:hAnsi="Times New Roman"/>
          <w:b/>
          <w:color w:val="002060"/>
          <w:szCs w:val="20"/>
        </w:rPr>
      </w:pPr>
      <w:r w:rsidRPr="00FA3856">
        <w:rPr>
          <w:rFonts w:ascii="Times New Roman" w:hAnsi="Times New Roman"/>
          <w:b/>
          <w:color w:val="002060"/>
          <w:szCs w:val="20"/>
        </w:rPr>
        <w:t>|P030|0109</w:t>
      </w:r>
      <w:r w:rsidR="006A0AF8" w:rsidRPr="00FA3856">
        <w:rPr>
          <w:rFonts w:ascii="Times New Roman" w:hAnsi="Times New Roman"/>
          <w:b/>
          <w:color w:val="002060"/>
          <w:szCs w:val="20"/>
        </w:rPr>
        <w:t>2014|</w:t>
      </w:r>
      <w:r w:rsidRPr="00FA3856">
        <w:rPr>
          <w:rFonts w:ascii="Times New Roman" w:hAnsi="Times New Roman"/>
          <w:b/>
          <w:color w:val="002060"/>
          <w:szCs w:val="20"/>
        </w:rPr>
        <w:t>31122014|T04</w:t>
      </w:r>
      <w:r w:rsidR="006A0AF8" w:rsidRPr="00FA3856">
        <w:rPr>
          <w:rFonts w:ascii="Times New Roman" w:hAnsi="Times New Roman"/>
          <w:b/>
          <w:color w:val="002060"/>
          <w:szCs w:val="20"/>
        </w:rPr>
        <w:t>|</w:t>
      </w:r>
    </w:p>
    <w:p w:rsidR="006A0AF8" w:rsidRPr="00FA3856" w:rsidRDefault="006A0AF8" w:rsidP="006A0AF8">
      <w:pPr>
        <w:pStyle w:val="Corpodetexto"/>
        <w:ind w:firstLine="708"/>
        <w:rPr>
          <w:rFonts w:ascii="Times New Roman" w:hAnsi="Times New Roman"/>
          <w:color w:val="002060"/>
          <w:szCs w:val="20"/>
        </w:rPr>
      </w:pPr>
      <w:r w:rsidRPr="00FA3856">
        <w:rPr>
          <w:rFonts w:ascii="Times New Roman" w:hAnsi="Times New Roman"/>
          <w:color w:val="002060"/>
          <w:szCs w:val="20"/>
        </w:rPr>
        <w:t>|P030|: Identificação do tipo do registro.</w:t>
      </w:r>
    </w:p>
    <w:p w:rsidR="006A0AF8" w:rsidRPr="00FA3856" w:rsidRDefault="006A0AF8" w:rsidP="006A0AF8">
      <w:pPr>
        <w:pStyle w:val="Corpodetexto"/>
        <w:ind w:firstLine="708"/>
        <w:rPr>
          <w:rFonts w:ascii="Times New Roman" w:hAnsi="Times New Roman"/>
          <w:color w:val="002060"/>
          <w:szCs w:val="20"/>
        </w:rPr>
      </w:pPr>
      <w:r w:rsidRPr="00FA3856">
        <w:rPr>
          <w:rFonts w:ascii="Times New Roman" w:hAnsi="Times New Roman"/>
          <w:color w:val="002060"/>
          <w:szCs w:val="20"/>
        </w:rPr>
        <w:t>|</w:t>
      </w:r>
      <w:r w:rsidR="00CD73D7" w:rsidRPr="00FA3856">
        <w:rPr>
          <w:rFonts w:ascii="Times New Roman" w:hAnsi="Times New Roman"/>
          <w:color w:val="002060"/>
          <w:szCs w:val="20"/>
        </w:rPr>
        <w:t>0109</w:t>
      </w:r>
      <w:r w:rsidRPr="00FA3856">
        <w:rPr>
          <w:rFonts w:ascii="Times New Roman" w:hAnsi="Times New Roman"/>
          <w:color w:val="002060"/>
          <w:szCs w:val="20"/>
        </w:rPr>
        <w:t xml:space="preserve">2014|: </w:t>
      </w:r>
      <w:r w:rsidR="00CD73D7" w:rsidRPr="00FA3856">
        <w:rPr>
          <w:rFonts w:ascii="Times New Roman" w:hAnsi="Times New Roman"/>
          <w:color w:val="002060"/>
          <w:szCs w:val="20"/>
        </w:rPr>
        <w:t>Data de início do período (01/09</w:t>
      </w:r>
      <w:r w:rsidRPr="00FA3856">
        <w:rPr>
          <w:rFonts w:ascii="Times New Roman" w:hAnsi="Times New Roman"/>
          <w:color w:val="002060"/>
          <w:szCs w:val="20"/>
        </w:rPr>
        <w:t>/2014).</w:t>
      </w:r>
    </w:p>
    <w:p w:rsidR="006A0AF8" w:rsidRPr="00FA3856" w:rsidRDefault="006A0AF8" w:rsidP="006A0AF8">
      <w:pPr>
        <w:pStyle w:val="Corpodetexto"/>
        <w:ind w:firstLine="708"/>
        <w:rPr>
          <w:rFonts w:ascii="Times New Roman" w:hAnsi="Times New Roman"/>
          <w:color w:val="002060"/>
          <w:szCs w:val="20"/>
        </w:rPr>
      </w:pPr>
      <w:r w:rsidRPr="00FA3856">
        <w:rPr>
          <w:rFonts w:ascii="Times New Roman" w:hAnsi="Times New Roman"/>
          <w:color w:val="002060"/>
          <w:szCs w:val="20"/>
        </w:rPr>
        <w:t>|</w:t>
      </w:r>
      <w:r w:rsidR="00CD73D7" w:rsidRPr="00FA3856">
        <w:rPr>
          <w:rFonts w:ascii="Times New Roman" w:hAnsi="Times New Roman"/>
          <w:color w:val="002060"/>
          <w:szCs w:val="20"/>
        </w:rPr>
        <w:t>3112</w:t>
      </w:r>
      <w:r w:rsidRPr="00FA3856">
        <w:rPr>
          <w:rFonts w:ascii="Times New Roman" w:hAnsi="Times New Roman"/>
          <w:color w:val="002060"/>
          <w:szCs w:val="20"/>
        </w:rPr>
        <w:t>2014</w:t>
      </w:r>
      <w:r w:rsidR="00CD73D7" w:rsidRPr="00FA3856">
        <w:rPr>
          <w:rFonts w:ascii="Times New Roman" w:hAnsi="Times New Roman"/>
          <w:color w:val="002060"/>
          <w:szCs w:val="20"/>
        </w:rPr>
        <w:t>|: Data de fim do período (31/12</w:t>
      </w:r>
      <w:r w:rsidRPr="00FA3856">
        <w:rPr>
          <w:rFonts w:ascii="Times New Roman" w:hAnsi="Times New Roman"/>
          <w:color w:val="002060"/>
          <w:szCs w:val="20"/>
        </w:rPr>
        <w:t>/2014).</w:t>
      </w:r>
    </w:p>
    <w:p w:rsidR="006A0AF8" w:rsidRPr="00FA3856" w:rsidRDefault="00CD73D7" w:rsidP="006A0AF8">
      <w:pPr>
        <w:pStyle w:val="Corpodetexto"/>
        <w:ind w:firstLine="708"/>
        <w:rPr>
          <w:rFonts w:ascii="Times New Roman" w:hAnsi="Times New Roman"/>
          <w:color w:val="002060"/>
          <w:szCs w:val="20"/>
        </w:rPr>
      </w:pPr>
      <w:r w:rsidRPr="00FA3856">
        <w:rPr>
          <w:rFonts w:ascii="Times New Roman" w:hAnsi="Times New Roman"/>
          <w:color w:val="002060"/>
          <w:szCs w:val="20"/>
        </w:rPr>
        <w:t>|T04</w:t>
      </w:r>
      <w:r w:rsidR="006A0AF8" w:rsidRPr="00FA3856">
        <w:rPr>
          <w:rFonts w:ascii="Times New Roman" w:hAnsi="Times New Roman"/>
          <w:color w:val="002060"/>
          <w:szCs w:val="20"/>
        </w:rPr>
        <w:t>|: Períod</w:t>
      </w:r>
      <w:r w:rsidRPr="00FA3856">
        <w:rPr>
          <w:rFonts w:ascii="Times New Roman" w:hAnsi="Times New Roman"/>
          <w:color w:val="002060"/>
          <w:szCs w:val="20"/>
        </w:rPr>
        <w:t>o de apuração (T04 = 4</w:t>
      </w:r>
      <w:r w:rsidR="006A0AF8" w:rsidRPr="00FA3856">
        <w:rPr>
          <w:rFonts w:ascii="Times New Roman" w:hAnsi="Times New Roman"/>
          <w:color w:val="002060"/>
          <w:szCs w:val="20"/>
          <w:u w:val="single"/>
          <w:vertAlign w:val="superscript"/>
        </w:rPr>
        <w:t>o</w:t>
      </w:r>
      <w:r w:rsidR="006A0AF8" w:rsidRPr="00FA3856">
        <w:rPr>
          <w:rFonts w:ascii="Times New Roman" w:hAnsi="Times New Roman"/>
          <w:color w:val="002060"/>
          <w:szCs w:val="20"/>
        </w:rPr>
        <w:t xml:space="preserve"> Trimestre).</w:t>
      </w:r>
    </w:p>
    <w:p w:rsidR="004177C3" w:rsidRPr="00FA3856" w:rsidRDefault="004177C3" w:rsidP="004177C3">
      <w:pPr>
        <w:pStyle w:val="Corpodetexto"/>
        <w:ind w:left="708" w:firstLine="12"/>
        <w:rPr>
          <w:rFonts w:ascii="Times New Roman" w:hAnsi="Times New Roman"/>
          <w:b/>
          <w:szCs w:val="20"/>
        </w:rPr>
      </w:pPr>
    </w:p>
    <w:p w:rsidR="000B6565" w:rsidRPr="00FA3856" w:rsidRDefault="000B6565">
      <w:pPr>
        <w:spacing w:after="200" w:line="276" w:lineRule="auto"/>
        <w:rPr>
          <w:b/>
          <w:bCs/>
          <w:color w:val="0000FF"/>
          <w:szCs w:val="20"/>
        </w:rPr>
      </w:pPr>
      <w:r w:rsidRPr="00FA3856">
        <w:rPr>
          <w:color w:val="0000FF"/>
          <w:szCs w:val="20"/>
        </w:rPr>
        <w:br w:type="page"/>
      </w:r>
    </w:p>
    <w:p w:rsidR="008C16B2" w:rsidRPr="00FA3856" w:rsidRDefault="008C16B2" w:rsidP="00867F54">
      <w:pPr>
        <w:pStyle w:val="Ttulo4"/>
      </w:pPr>
      <w:bookmarkStart w:id="301" w:name="_Toc479713755"/>
      <w:r w:rsidRPr="00FA3856">
        <w:lastRenderedPageBreak/>
        <w:t>Registro P100: Balanço Patrimonial</w:t>
      </w:r>
      <w:bookmarkEnd w:id="301"/>
    </w:p>
    <w:p w:rsidR="008C16B2" w:rsidRPr="00FA3856" w:rsidRDefault="008C16B2" w:rsidP="008C16B2">
      <w:pPr>
        <w:jc w:val="both"/>
        <w:rPr>
          <w:szCs w:val="20"/>
        </w:rPr>
      </w:pPr>
    </w:p>
    <w:p w:rsidR="008C16B2" w:rsidRPr="00FA3856" w:rsidRDefault="008C16B2" w:rsidP="008C16B2">
      <w:pPr>
        <w:ind w:firstLine="708"/>
        <w:rPr>
          <w:szCs w:val="20"/>
          <w:lang w:val="pt-PT"/>
        </w:rPr>
      </w:pPr>
      <w:r w:rsidRPr="00FA3856">
        <w:rPr>
          <w:szCs w:val="20"/>
        </w:rPr>
        <w:t xml:space="preserve">Apresenta o balanço patrimonial com base nas contas referenciais para o período de apuração. </w:t>
      </w:r>
      <w:r w:rsidRPr="00FA3856">
        <w:rPr>
          <w:szCs w:val="20"/>
          <w:lang w:val="pt-PT"/>
        </w:rPr>
        <w:t>O saldo inicial pode ser replicado do registro E010/E015 ou preenchido.</w:t>
      </w:r>
      <w:r w:rsidRPr="00FA3856">
        <w:rPr>
          <w:szCs w:val="20"/>
        </w:rPr>
        <w:t xml:space="preserve"> </w:t>
      </w:r>
      <w:r w:rsidRPr="00FA3856">
        <w:rPr>
          <w:szCs w:val="20"/>
          <w:lang w:val="pt-PT"/>
        </w:rPr>
        <w:t xml:space="preserve">O saldo final será recuperado do registro K155/K156. </w:t>
      </w:r>
    </w:p>
    <w:p w:rsidR="00495B98" w:rsidRDefault="00495B98" w:rsidP="00076D64">
      <w:pPr>
        <w:rPr>
          <w:b/>
          <w:szCs w:val="20"/>
          <w:lang w:val="pt-PT"/>
        </w:rPr>
      </w:pPr>
    </w:p>
    <w:p w:rsidR="00495B98" w:rsidRDefault="00B35FA3" w:rsidP="00495B98">
      <w:pPr>
        <w:jc w:val="center"/>
        <w:rPr>
          <w:b/>
          <w:szCs w:val="20"/>
          <w:lang w:val="pt-PT"/>
        </w:rPr>
      </w:pPr>
      <w:r>
        <w:rPr>
          <w:b/>
          <w:szCs w:val="20"/>
          <w:lang w:val="pt-PT"/>
        </w:rPr>
        <w:object w:dxaOrig="14355" w:dyaOrig="7770">
          <v:shape id="_x0000_i1773" type="#_x0000_t75" style="width:712.5pt;height:389.25pt" o:ole="">
            <v:imagedata r:id="rId424" o:title=""/>
          </v:shape>
          <o:OLEObject Type="Link" ProgID="Excel.Sheet.12" ShapeID="_x0000_i1773" DrawAspect="Content" r:id="rId425" UpdateMode="Always">
            <o:LinkType>EnhancedMetaFile</o:LinkType>
            <o:LockedField>false</o:LockedField>
          </o:OLEObject>
        </w:object>
      </w:r>
    </w:p>
    <w:p w:rsidR="00495B98" w:rsidRDefault="00495B98" w:rsidP="00495B98">
      <w:pPr>
        <w:jc w:val="center"/>
        <w:rPr>
          <w:b/>
          <w:szCs w:val="20"/>
          <w:lang w:val="pt-PT"/>
        </w:rPr>
      </w:pPr>
    </w:p>
    <w:p w:rsidR="00495B98" w:rsidRDefault="00495B98" w:rsidP="00076D64">
      <w:pPr>
        <w:rPr>
          <w:b/>
          <w:szCs w:val="20"/>
          <w:lang w:val="pt-PT"/>
        </w:rPr>
      </w:pPr>
    </w:p>
    <w:p w:rsidR="007471A8" w:rsidRDefault="00B35FA3" w:rsidP="007471A8">
      <w:pPr>
        <w:jc w:val="center"/>
        <w:rPr>
          <w:b/>
          <w:szCs w:val="20"/>
          <w:lang w:val="pt-PT"/>
        </w:rPr>
      </w:pPr>
      <w:r>
        <w:rPr>
          <w:b/>
          <w:szCs w:val="20"/>
          <w:lang w:val="pt-PT"/>
        </w:rPr>
        <w:object w:dxaOrig="14355" w:dyaOrig="2205">
          <v:shape id="_x0000_i1775" type="#_x0000_t75" style="width:712.5pt;height:112.5pt" o:ole="">
            <v:imagedata r:id="rId426" o:title=""/>
          </v:shape>
          <o:OLEObject Type="Link" ProgID="Excel.Sheet.12" ShapeID="_x0000_i1775" DrawAspect="Content" r:id="rId427" UpdateMode="Always">
            <o:LinkType>EnhancedMetaFile</o:LinkType>
            <o:LockedField>false</o:LockedField>
          </o:OLEObject>
        </w:object>
      </w:r>
    </w:p>
    <w:p w:rsidR="007471A8" w:rsidRDefault="007471A8" w:rsidP="00076D64">
      <w:pPr>
        <w:rPr>
          <w:b/>
          <w:szCs w:val="20"/>
          <w:lang w:val="pt-PT"/>
        </w:rPr>
      </w:pPr>
    </w:p>
    <w:p w:rsidR="00076D64" w:rsidRPr="00FA3856" w:rsidRDefault="00076D64" w:rsidP="00076D64">
      <w:pPr>
        <w:rPr>
          <w:b/>
          <w:szCs w:val="20"/>
          <w:lang w:val="pt-PT"/>
        </w:rPr>
      </w:pPr>
      <w:r w:rsidRPr="00FA3856">
        <w:rPr>
          <w:b/>
          <w:szCs w:val="20"/>
          <w:lang w:val="pt-PT"/>
        </w:rPr>
        <w:t>I – Regras de Validação do Registro:</w:t>
      </w:r>
    </w:p>
    <w:p w:rsidR="00076D64" w:rsidRPr="00FA3856" w:rsidRDefault="00076D64" w:rsidP="00076D64">
      <w:pPr>
        <w:rPr>
          <w:b/>
          <w:szCs w:val="20"/>
          <w:lang w:val="pt-PT"/>
        </w:rPr>
      </w:pPr>
    </w:p>
    <w:p w:rsidR="00076D64" w:rsidRPr="00FA3856" w:rsidRDefault="00076D64" w:rsidP="00076D64">
      <w:pPr>
        <w:pStyle w:val="Corpodetexto"/>
        <w:ind w:left="708"/>
        <w:rPr>
          <w:rFonts w:ascii="Times New Roman" w:hAnsi="Times New Roman"/>
          <w:szCs w:val="20"/>
        </w:rPr>
      </w:pPr>
      <w:r w:rsidRPr="00FA3856">
        <w:rPr>
          <w:rFonts w:ascii="Times New Roman" w:hAnsi="Times New Roman"/>
          <w:b/>
          <w:bCs/>
          <w:szCs w:val="20"/>
        </w:rPr>
        <w:t xml:space="preserve">REGRA_COMPARA_CONT_REF_SI: </w:t>
      </w:r>
      <w:r w:rsidRPr="00FA3856">
        <w:rPr>
          <w:rFonts w:ascii="Times New Roman" w:hAnsi="Times New Roman"/>
          <w:bCs/>
          <w:szCs w:val="20"/>
        </w:rPr>
        <w:t xml:space="preserve">Verifica se </w:t>
      </w:r>
      <w:r w:rsidR="00766A84" w:rsidRPr="00FA3856">
        <w:rPr>
          <w:rFonts w:ascii="Times New Roman" w:hAnsi="Times New Roman"/>
          <w:bCs/>
          <w:szCs w:val="20"/>
        </w:rPr>
        <w:t>P100.</w:t>
      </w:r>
      <w:r w:rsidR="006234B9" w:rsidRPr="00FA3856">
        <w:rPr>
          <w:rFonts w:ascii="Times New Roman" w:hAnsi="Times New Roman"/>
          <w:color w:val="auto"/>
          <w:szCs w:val="20"/>
        </w:rPr>
        <w:t xml:space="preserve">VAL_CTA_REF_INI </w:t>
      </w:r>
      <w:r w:rsidRPr="00FA3856">
        <w:rPr>
          <w:rFonts w:ascii="Times New Roman" w:hAnsi="Times New Roman"/>
          <w:color w:val="auto"/>
          <w:szCs w:val="20"/>
        </w:rPr>
        <w:t>é igual ao somatório dos saldos iniciais dos registros K155 “pai” da mesma conta referencial, multiplicado pelo saldo final do registro K156 dividido pelo saldo final do registro K155 “pai”.</w:t>
      </w:r>
      <w:r w:rsidRPr="00FA3856">
        <w:rPr>
          <w:rFonts w:ascii="Times New Roman" w:hAnsi="Times New Roman"/>
          <w:szCs w:val="20"/>
        </w:rPr>
        <w:t xml:space="preserve"> </w:t>
      </w:r>
      <w:r w:rsidRPr="00FA3856">
        <w:rPr>
          <w:rFonts w:ascii="Times New Roman" w:hAnsi="Times New Roman"/>
          <w:bCs/>
          <w:szCs w:val="20"/>
        </w:rPr>
        <w:t xml:space="preserve">Se </w:t>
      </w:r>
      <w:r w:rsidRPr="00FA3856">
        <w:rPr>
          <w:rFonts w:ascii="Times New Roman" w:hAnsi="Times New Roman"/>
          <w:szCs w:val="20"/>
        </w:rPr>
        <w:t>a regra não for cumprida, a ECF gera um aviso.</w:t>
      </w:r>
    </w:p>
    <w:p w:rsidR="00076D64" w:rsidRPr="00FA3856" w:rsidRDefault="00076D64" w:rsidP="00076D64">
      <w:pPr>
        <w:pStyle w:val="PSDS-CorpodeTexto0"/>
        <w:rPr>
          <w:rFonts w:ascii="Times New Roman" w:hAnsi="Times New Roman"/>
          <w:b/>
        </w:rPr>
      </w:pPr>
    </w:p>
    <w:p w:rsidR="00076D64" w:rsidRPr="00FA3856" w:rsidRDefault="00076D64" w:rsidP="00076D64">
      <w:pPr>
        <w:pStyle w:val="PSDS-CorpodeTexto0"/>
        <w:ind w:left="708"/>
        <w:rPr>
          <w:rFonts w:ascii="Times New Roman" w:hAnsi="Times New Roman"/>
        </w:rPr>
      </w:pPr>
      <w:r w:rsidRPr="00FA3856">
        <w:rPr>
          <w:rFonts w:ascii="Times New Roman" w:hAnsi="Times New Roman"/>
          <w:b/>
          <w:lang w:val="pt-PT"/>
        </w:rPr>
        <w:t xml:space="preserve">REGRA_COMPARA_CONT_REF_SF: </w:t>
      </w:r>
      <w:r w:rsidRPr="00FA3856">
        <w:rPr>
          <w:rFonts w:ascii="Times New Roman" w:hAnsi="Times New Roman"/>
          <w:lang w:val="pt-PT"/>
        </w:rPr>
        <w:t xml:space="preserve">Verifica, para cada período da escrturação, se o somatório do saldo final do registro K156 é igual a  </w:t>
      </w:r>
      <w:r w:rsidR="00766A84" w:rsidRPr="00FA3856">
        <w:rPr>
          <w:rFonts w:ascii="Times New Roman" w:hAnsi="Times New Roman"/>
          <w:lang w:val="pt-PT"/>
        </w:rPr>
        <w:t>P100.</w:t>
      </w:r>
      <w:r w:rsidR="006234B9" w:rsidRPr="00FA3856">
        <w:rPr>
          <w:rFonts w:ascii="Times New Roman" w:hAnsi="Times New Roman"/>
        </w:rPr>
        <w:t>VAL_CTA_REF_INI</w:t>
      </w:r>
      <w:r w:rsidRPr="00FA3856">
        <w:rPr>
          <w:rFonts w:ascii="Times New Roman" w:hAnsi="Times New Roman"/>
        </w:rPr>
        <w:t xml:space="preserve">, para a mesma conta referencial. </w:t>
      </w:r>
      <w:r w:rsidRPr="00FA3856">
        <w:rPr>
          <w:rFonts w:ascii="Times New Roman" w:hAnsi="Times New Roman"/>
          <w:bCs/>
        </w:rPr>
        <w:t xml:space="preserve">Se </w:t>
      </w:r>
      <w:r w:rsidRPr="00FA3856">
        <w:rPr>
          <w:rFonts w:ascii="Times New Roman" w:hAnsi="Times New Roman"/>
        </w:rPr>
        <w:t>a regra não for cumprida, a ECF gera um aviso.</w:t>
      </w:r>
    </w:p>
    <w:p w:rsidR="00076D64" w:rsidRPr="00FA3856" w:rsidRDefault="00076D64" w:rsidP="00076D64">
      <w:pPr>
        <w:rPr>
          <w:b/>
          <w:szCs w:val="20"/>
          <w:lang w:val="pt-PT"/>
        </w:rPr>
      </w:pPr>
    </w:p>
    <w:p w:rsidR="00F058A8" w:rsidRPr="00FA3856" w:rsidRDefault="007D0E74" w:rsidP="00F058A8">
      <w:pPr>
        <w:pStyle w:val="PSDS-CorpodeTexto0"/>
        <w:ind w:left="708"/>
        <w:jc w:val="both"/>
        <w:rPr>
          <w:rFonts w:ascii="Times New Roman" w:hAnsi="Times New Roman"/>
        </w:rPr>
      </w:pPr>
      <w:hyperlink w:anchor="REGRA_COMPATIBILIDADE_R100_E010" w:history="1">
        <w:r w:rsidR="00076D64" w:rsidRPr="00FA3856">
          <w:rPr>
            <w:rStyle w:val="Hyperlink"/>
            <w:rFonts w:ascii="Times New Roman" w:hAnsi="Times New Roman"/>
            <w:b/>
            <w:color w:val="auto"/>
          </w:rPr>
          <w:t>REGRA_COMPATIBILIDADE_P100_E010</w:t>
        </w:r>
      </w:hyperlink>
      <w:r w:rsidR="00076D64" w:rsidRPr="00FA3856">
        <w:rPr>
          <w:rStyle w:val="Hyperlink"/>
          <w:rFonts w:ascii="Times New Roman" w:hAnsi="Times New Roman"/>
          <w:b/>
          <w:color w:val="auto"/>
        </w:rPr>
        <w:t xml:space="preserve">: </w:t>
      </w:r>
      <w:r w:rsidR="00C10A03">
        <w:rPr>
          <w:rStyle w:val="Hyperlink"/>
          <w:rFonts w:ascii="Times New Roman" w:hAnsi="Times New Roman"/>
          <w:color w:val="auto"/>
        </w:rPr>
        <w:t xml:space="preserve">Verifica se o saldo inicial do primeiro período de apuração da escrituração é diferente dos saldos finais da ECF recuperada. O erro ocorre se </w:t>
      </w:r>
      <w:r w:rsidR="00F058A8">
        <w:rPr>
          <w:rStyle w:val="Hyperlink"/>
          <w:rFonts w:ascii="Times New Roman" w:hAnsi="Times New Roman"/>
          <w:color w:val="auto"/>
        </w:rPr>
        <w:t xml:space="preserve">(0010.FORMA_TRIB = </w:t>
      </w:r>
      <w:r w:rsidR="00C10A03">
        <w:rPr>
          <w:rStyle w:val="Hyperlink"/>
          <w:rFonts w:ascii="Times New Roman" w:hAnsi="Times New Roman"/>
          <w:color w:val="auto"/>
        </w:rPr>
        <w:t>“3” ou “4”</w:t>
      </w:r>
      <w:r w:rsidR="00F058A8">
        <w:rPr>
          <w:rStyle w:val="Hyperlink"/>
          <w:rFonts w:ascii="Times New Roman" w:hAnsi="Times New Roman"/>
          <w:color w:val="auto"/>
        </w:rPr>
        <w:t>)</w:t>
      </w:r>
      <w:r w:rsidR="00C10A03">
        <w:rPr>
          <w:rStyle w:val="Hyperlink"/>
          <w:rFonts w:ascii="Times New Roman" w:hAnsi="Times New Roman"/>
          <w:color w:val="auto"/>
        </w:rPr>
        <w:t xml:space="preserve"> ou </w:t>
      </w:r>
      <w:r w:rsidR="00F058A8">
        <w:rPr>
          <w:rStyle w:val="Hyperlink"/>
          <w:rFonts w:ascii="Times New Roman" w:hAnsi="Times New Roman"/>
          <w:color w:val="auto"/>
        </w:rPr>
        <w:t>(0010.FORMA_TRIB = “5” ou “7” e 0010.TIP_ESC_PRE = “C”) e 0010.HASH_ECF_ANTERIOR é diferente de vazio e P030.DT.INI é igual a 0000.DT_INI e (P100.</w:t>
      </w:r>
      <w:r w:rsidR="001B58FE">
        <w:rPr>
          <w:rStyle w:val="Hyperlink"/>
          <w:rFonts w:ascii="Times New Roman" w:hAnsi="Times New Roman"/>
          <w:color w:val="auto"/>
        </w:rPr>
        <w:t xml:space="preserve">VAL_CTA_REF_INI diferente de </w:t>
      </w:r>
      <w:r w:rsidR="00F058A8">
        <w:rPr>
          <w:rStyle w:val="Hyperlink"/>
          <w:rFonts w:ascii="Times New Roman" w:hAnsi="Times New Roman"/>
          <w:color w:val="auto"/>
        </w:rPr>
        <w:t xml:space="preserve">zero e não for localizada a mesma conta referencial no registro E010 ou P100.VAL_CTA_REF_INI diferente de E010.VAL_CTA_REF ou P100.IND_VAL_CTA_REF_INI diferente de E010.IND_VAL_CTA_REF). </w:t>
      </w:r>
      <w:r w:rsidR="00F058A8" w:rsidRPr="00FA3856">
        <w:rPr>
          <w:rFonts w:ascii="Times New Roman" w:hAnsi="Times New Roman"/>
          <w:bCs/>
        </w:rPr>
        <w:t xml:space="preserve">Se </w:t>
      </w:r>
      <w:r w:rsidR="00F058A8" w:rsidRPr="00FA3856">
        <w:rPr>
          <w:rFonts w:ascii="Times New Roman" w:hAnsi="Times New Roman"/>
        </w:rPr>
        <w:t xml:space="preserve">a regra não for cumprida, a ECF gera um </w:t>
      </w:r>
      <w:r w:rsidR="00F058A8">
        <w:rPr>
          <w:rFonts w:ascii="Times New Roman" w:hAnsi="Times New Roman"/>
        </w:rPr>
        <w:t>erro.</w:t>
      </w:r>
    </w:p>
    <w:p w:rsidR="00076D64" w:rsidRPr="00FA3856" w:rsidRDefault="00076D64" w:rsidP="00076D64">
      <w:pPr>
        <w:pStyle w:val="Corpodetexto"/>
        <w:ind w:left="708"/>
        <w:rPr>
          <w:rFonts w:ascii="Times New Roman" w:hAnsi="Times New Roman"/>
          <w:szCs w:val="20"/>
        </w:rPr>
      </w:pPr>
    </w:p>
    <w:p w:rsidR="00FE5D23" w:rsidRPr="00FA3856" w:rsidRDefault="007D0E74" w:rsidP="00FE5D23">
      <w:pPr>
        <w:pStyle w:val="Corpodetexto"/>
        <w:ind w:left="708" w:firstLine="12"/>
        <w:rPr>
          <w:rFonts w:ascii="Times New Roman" w:hAnsi="Times New Roman"/>
          <w:szCs w:val="20"/>
        </w:rPr>
      </w:pPr>
      <w:hyperlink r:id="rId428" w:anchor="REGRA_OCORRENCIA_UNITARIA_ARQ" w:history="1">
        <w:r w:rsidR="00FE5D23" w:rsidRPr="00FA3856">
          <w:rPr>
            <w:rFonts w:ascii="Times New Roman" w:hAnsi="Times New Roman"/>
            <w:b/>
            <w:szCs w:val="20"/>
          </w:rPr>
          <w:t>REGRA_</w:t>
        </w:r>
      </w:hyperlink>
      <w:r w:rsidR="00FE5D23" w:rsidRPr="00FA3856">
        <w:rPr>
          <w:rFonts w:ascii="Times New Roman" w:hAnsi="Times New Roman"/>
          <w:b/>
          <w:szCs w:val="20"/>
        </w:rPr>
        <w:t>DUPLICIDADE_DESPREZADA</w:t>
      </w:r>
      <w:r w:rsidR="00FE5D23" w:rsidRPr="00FA3856">
        <w:rPr>
          <w:rFonts w:ascii="Times New Roman" w:hAnsi="Times New Roman"/>
          <w:color w:val="auto"/>
          <w:szCs w:val="20"/>
        </w:rPr>
        <w:t xml:space="preserve">: </w:t>
      </w:r>
      <w:r w:rsidR="00FE5D23" w:rsidRPr="00FA3856">
        <w:rPr>
          <w:rFonts w:ascii="Times New Roman" w:hAnsi="Times New Roman"/>
          <w:szCs w:val="20"/>
        </w:rPr>
        <w:t>Verifica se o registro já foi importado anteriormente, de acordo com a chave e os registros pais. Se a regra não for cumprida, a ECF gera um aviso.</w:t>
      </w:r>
    </w:p>
    <w:p w:rsidR="00FE5D23" w:rsidRPr="00FA3856" w:rsidRDefault="00FE5D23" w:rsidP="00FE5D23">
      <w:pPr>
        <w:pStyle w:val="Corpodetexto"/>
        <w:ind w:left="708" w:firstLine="12"/>
        <w:rPr>
          <w:rFonts w:ascii="Times New Roman" w:hAnsi="Times New Roman"/>
          <w:szCs w:val="20"/>
        </w:rPr>
      </w:pPr>
    </w:p>
    <w:p w:rsidR="00FE5D23" w:rsidRPr="00FA3856" w:rsidRDefault="007D0E74" w:rsidP="00FE5D23">
      <w:pPr>
        <w:pStyle w:val="Corpodetexto"/>
        <w:ind w:left="708" w:firstLine="12"/>
        <w:rPr>
          <w:rFonts w:ascii="Times New Roman" w:hAnsi="Times New Roman"/>
          <w:szCs w:val="20"/>
        </w:rPr>
      </w:pPr>
      <w:hyperlink r:id="rId429" w:anchor="REGRA_OCORRENCIA_UNITARIA_ARQ" w:history="1">
        <w:r w:rsidR="00FE5D23" w:rsidRPr="00FA3856">
          <w:rPr>
            <w:rFonts w:ascii="Times New Roman" w:hAnsi="Times New Roman"/>
            <w:b/>
            <w:szCs w:val="20"/>
          </w:rPr>
          <w:t>REGRA_</w:t>
        </w:r>
      </w:hyperlink>
      <w:r w:rsidR="00FE5D23" w:rsidRPr="00FA3856">
        <w:rPr>
          <w:rFonts w:ascii="Times New Roman" w:hAnsi="Times New Roman"/>
          <w:b/>
          <w:szCs w:val="20"/>
        </w:rPr>
        <w:t>LINHA_DESPREZADA</w:t>
      </w:r>
      <w:r w:rsidR="00FE5D23" w:rsidRPr="00FA3856">
        <w:rPr>
          <w:rFonts w:ascii="Times New Roman" w:hAnsi="Times New Roman"/>
          <w:color w:val="auto"/>
          <w:szCs w:val="20"/>
        </w:rPr>
        <w:t xml:space="preserve">: </w:t>
      </w:r>
      <w:r w:rsidR="00FE5D23" w:rsidRPr="00FA3856">
        <w:rPr>
          <w:rFonts w:ascii="Times New Roman" w:hAnsi="Times New Roman"/>
          <w:szCs w:val="20"/>
        </w:rPr>
        <w:t>Verifica se o registro existe na importação, mas não será importado por não existir na tabela dinâmica devido às configurações do bloco 0 ou da tabela dinâmica. Gera um aviso.</w:t>
      </w:r>
    </w:p>
    <w:p w:rsidR="00FE5D23" w:rsidRPr="00FA3856" w:rsidRDefault="00FE5D23" w:rsidP="00FE5D23">
      <w:pPr>
        <w:pStyle w:val="Corpodetexto"/>
        <w:ind w:left="708" w:firstLine="12"/>
        <w:rPr>
          <w:rFonts w:ascii="Times New Roman" w:hAnsi="Times New Roman"/>
          <w:b/>
          <w:szCs w:val="20"/>
        </w:rPr>
      </w:pPr>
    </w:p>
    <w:p w:rsidR="00076D64" w:rsidRPr="00FA3856" w:rsidRDefault="007D0E74" w:rsidP="00FE5D23">
      <w:pPr>
        <w:pStyle w:val="Corpodetexto"/>
        <w:ind w:left="708" w:firstLine="12"/>
        <w:rPr>
          <w:rFonts w:ascii="Times New Roman" w:hAnsi="Times New Roman"/>
          <w:szCs w:val="20"/>
        </w:rPr>
      </w:pPr>
      <w:hyperlink r:id="rId430" w:anchor="REGRA_OCORRENCIA_UNITARIA_ARQ" w:history="1">
        <w:r w:rsidR="00FE5D23" w:rsidRPr="00FA3856">
          <w:rPr>
            <w:rFonts w:ascii="Times New Roman" w:hAnsi="Times New Roman"/>
            <w:b/>
            <w:szCs w:val="20"/>
          </w:rPr>
          <w:t>REGRA_</w:t>
        </w:r>
      </w:hyperlink>
      <w:r w:rsidR="00FE5D23" w:rsidRPr="00FA3856">
        <w:rPr>
          <w:rFonts w:ascii="Times New Roman" w:hAnsi="Times New Roman"/>
          <w:b/>
          <w:szCs w:val="20"/>
        </w:rPr>
        <w:t>LINHA_ATUALIZADA</w:t>
      </w:r>
      <w:r w:rsidR="00FE5D23" w:rsidRPr="00FA3856">
        <w:rPr>
          <w:rFonts w:ascii="Times New Roman" w:hAnsi="Times New Roman"/>
          <w:color w:val="auto"/>
          <w:szCs w:val="20"/>
        </w:rPr>
        <w:t xml:space="preserve">: </w:t>
      </w:r>
      <w:r w:rsidR="00FE5D23" w:rsidRPr="00FA3856">
        <w:rPr>
          <w:rFonts w:ascii="Times New Roman" w:hAnsi="Times New Roman"/>
          <w:szCs w:val="20"/>
        </w:rPr>
        <w:t>Verifica se o registro está desatualizado em relação à tabela da RFB. Gera um aviso.</w:t>
      </w:r>
    </w:p>
    <w:p w:rsidR="005918A1" w:rsidRPr="00FA3856" w:rsidRDefault="005918A1" w:rsidP="00FE5D23">
      <w:pPr>
        <w:pStyle w:val="Corpodetexto"/>
        <w:ind w:left="708" w:firstLine="12"/>
        <w:rPr>
          <w:rFonts w:ascii="Times New Roman" w:hAnsi="Times New Roman"/>
          <w:szCs w:val="20"/>
        </w:rPr>
      </w:pPr>
    </w:p>
    <w:p w:rsidR="00231B11" w:rsidRPr="00FA3856" w:rsidRDefault="00231B11" w:rsidP="00231B11">
      <w:pPr>
        <w:pStyle w:val="Corpodetexto"/>
        <w:ind w:left="708" w:firstLine="12"/>
        <w:rPr>
          <w:rFonts w:ascii="Times New Roman" w:hAnsi="Times New Roman"/>
          <w:szCs w:val="20"/>
        </w:rPr>
      </w:pPr>
      <w:r w:rsidRPr="00FA3856">
        <w:rPr>
          <w:rFonts w:ascii="Times New Roman" w:hAnsi="Times New Roman"/>
          <w:b/>
          <w:szCs w:val="20"/>
        </w:rPr>
        <w:t xml:space="preserve">REGRA_BALANCO_SALDO_FINAL: </w:t>
      </w:r>
      <w:r w:rsidRPr="00FA3856">
        <w:rPr>
          <w:rFonts w:ascii="Times New Roman" w:hAnsi="Times New Roman"/>
          <w:szCs w:val="20"/>
        </w:rPr>
        <w:t>Verifica se o saldo final do ativo é igual ao saldo final do passivo. Gera um erro, caso P030.PER_APUR = “T04”.</w:t>
      </w:r>
    </w:p>
    <w:p w:rsidR="00231B11" w:rsidRPr="00FA3856" w:rsidRDefault="00231B11" w:rsidP="00231B11">
      <w:pPr>
        <w:pStyle w:val="Corpodetexto"/>
        <w:ind w:left="708" w:firstLine="12"/>
        <w:rPr>
          <w:rFonts w:ascii="Times New Roman" w:hAnsi="Times New Roman"/>
          <w:b/>
          <w:szCs w:val="20"/>
        </w:rPr>
      </w:pPr>
    </w:p>
    <w:p w:rsidR="00231B11" w:rsidRPr="00FA3856" w:rsidRDefault="00231B11" w:rsidP="00231B11">
      <w:pPr>
        <w:pStyle w:val="Corpodetexto"/>
        <w:ind w:left="708" w:firstLine="12"/>
        <w:rPr>
          <w:rFonts w:ascii="Times New Roman" w:hAnsi="Times New Roman"/>
          <w:b/>
          <w:szCs w:val="20"/>
        </w:rPr>
      </w:pPr>
      <w:r w:rsidRPr="00FA3856">
        <w:rPr>
          <w:rFonts w:ascii="Times New Roman" w:hAnsi="Times New Roman"/>
          <w:b/>
          <w:szCs w:val="20"/>
        </w:rPr>
        <w:t xml:space="preserve">REGRA_BALANCO_SALDO_INICIAL: </w:t>
      </w:r>
      <w:r w:rsidRPr="00FA3856">
        <w:rPr>
          <w:rFonts w:ascii="Times New Roman" w:hAnsi="Times New Roman"/>
          <w:szCs w:val="20"/>
        </w:rPr>
        <w:t>Verifica se o saldo inicial do ativo é igual ao saldo inicial do passivo. Gera um erro, caso P030.PER_APUR = “T01”.</w:t>
      </w:r>
    </w:p>
    <w:p w:rsidR="00985EE9" w:rsidRPr="00FA3856" w:rsidRDefault="00985EE9" w:rsidP="00C74DF7">
      <w:pPr>
        <w:rPr>
          <w:b/>
          <w:szCs w:val="20"/>
          <w:lang w:val="pt-PT"/>
        </w:rPr>
      </w:pPr>
    </w:p>
    <w:p w:rsidR="00C46E25" w:rsidRPr="00FA3856" w:rsidRDefault="00C46E25">
      <w:pPr>
        <w:spacing w:after="200" w:line="276" w:lineRule="auto"/>
        <w:rPr>
          <w:b/>
          <w:szCs w:val="20"/>
          <w:lang w:val="pt-PT"/>
        </w:rPr>
      </w:pPr>
      <w:r w:rsidRPr="00FA3856">
        <w:rPr>
          <w:b/>
          <w:szCs w:val="20"/>
          <w:lang w:val="pt-PT"/>
        </w:rPr>
        <w:br w:type="page"/>
      </w:r>
    </w:p>
    <w:p w:rsidR="00495B98" w:rsidRPr="00FA3856" w:rsidRDefault="00495B98" w:rsidP="00495B98">
      <w:pPr>
        <w:rPr>
          <w:b/>
          <w:szCs w:val="20"/>
          <w:lang w:val="pt-PT"/>
        </w:rPr>
      </w:pPr>
      <w:r>
        <w:rPr>
          <w:b/>
          <w:szCs w:val="20"/>
          <w:lang w:val="pt-PT"/>
        </w:rPr>
        <w:lastRenderedPageBreak/>
        <w:t>II</w:t>
      </w:r>
      <w:r w:rsidRPr="00FA3856">
        <w:rPr>
          <w:b/>
          <w:szCs w:val="20"/>
          <w:lang w:val="pt-PT"/>
        </w:rPr>
        <w:t xml:space="preserve"> – </w:t>
      </w:r>
      <w:r>
        <w:rPr>
          <w:b/>
          <w:szCs w:val="20"/>
          <w:lang w:val="pt-PT"/>
        </w:rPr>
        <w:t>Plano de Contas Referencial</w:t>
      </w:r>
      <w:r w:rsidRPr="00FA3856">
        <w:rPr>
          <w:b/>
          <w:szCs w:val="20"/>
          <w:lang w:val="pt-PT"/>
        </w:rPr>
        <w:t>:</w:t>
      </w:r>
    </w:p>
    <w:p w:rsidR="00495B98" w:rsidRPr="00FA3856" w:rsidRDefault="00495B98" w:rsidP="00495B98">
      <w:pPr>
        <w:rPr>
          <w:b/>
          <w:szCs w:val="20"/>
          <w:lang w:val="pt-PT"/>
        </w:rPr>
      </w:pPr>
      <w:r w:rsidRPr="00FA3856">
        <w:rPr>
          <w:b/>
          <w:szCs w:val="20"/>
          <w:lang w:val="pt-PT"/>
        </w:rPr>
        <w:t>Código: Chave da linha.</w:t>
      </w:r>
    </w:p>
    <w:p w:rsidR="00495B98" w:rsidRPr="00FA3856" w:rsidRDefault="00495B98" w:rsidP="00495B98">
      <w:pPr>
        <w:rPr>
          <w:b/>
          <w:szCs w:val="20"/>
          <w:lang w:val="pt-PT"/>
        </w:rPr>
      </w:pPr>
      <w:r w:rsidRPr="00FA3856">
        <w:rPr>
          <w:b/>
          <w:szCs w:val="20"/>
          <w:lang w:val="pt-PT"/>
        </w:rPr>
        <w:t>Ordem: Ordem de apresentação das linhas.</w:t>
      </w:r>
    </w:p>
    <w:p w:rsidR="00495B98" w:rsidRPr="00FA3856" w:rsidRDefault="00495B98" w:rsidP="00495B98">
      <w:pPr>
        <w:rPr>
          <w:b/>
          <w:szCs w:val="20"/>
          <w:lang w:val="pt-PT"/>
        </w:rPr>
      </w:pPr>
      <w:r w:rsidRPr="00FA3856">
        <w:rPr>
          <w:b/>
          <w:szCs w:val="20"/>
          <w:lang w:val="pt-PT"/>
        </w:rPr>
        <w:t>Tipo: S = Sintética; A = Analítica</w:t>
      </w:r>
    </w:p>
    <w:p w:rsidR="00495B98" w:rsidRDefault="00495B98" w:rsidP="00495B98">
      <w:pPr>
        <w:tabs>
          <w:tab w:val="left" w:pos="2985"/>
        </w:tabs>
        <w:rPr>
          <w:b/>
          <w:szCs w:val="20"/>
          <w:lang w:val="pt-PT"/>
        </w:rPr>
      </w:pPr>
      <w:r w:rsidRPr="00FA3856">
        <w:rPr>
          <w:b/>
          <w:szCs w:val="20"/>
          <w:lang w:val="pt-PT"/>
        </w:rPr>
        <w:t>Natureza: 01 = Ativo; 02 = Passivo; 03 = Patrimônio Líquido</w:t>
      </w:r>
    </w:p>
    <w:p w:rsidR="00495B98" w:rsidRDefault="00495B98" w:rsidP="00495B98">
      <w:pPr>
        <w:rPr>
          <w:b/>
          <w:szCs w:val="20"/>
        </w:rPr>
      </w:pPr>
    </w:p>
    <w:p w:rsidR="00495B98" w:rsidRDefault="00495B98" w:rsidP="00495B98">
      <w:pPr>
        <w:rPr>
          <w:b/>
          <w:szCs w:val="20"/>
        </w:rPr>
      </w:pPr>
      <w:r>
        <w:rPr>
          <w:b/>
          <w:szCs w:val="20"/>
        </w:rPr>
        <w:t xml:space="preserve">II.1 – </w:t>
      </w:r>
      <w:r w:rsidR="007471A8" w:rsidRPr="007471A8">
        <w:rPr>
          <w:b/>
          <w:szCs w:val="20"/>
        </w:rPr>
        <w:t>P100A - Plano de Contas Referencial - Contas Patrimoniais - PJ do Lucro Presumido - PJ em Geral</w:t>
      </w:r>
      <w:r>
        <w:rPr>
          <w:b/>
          <w:szCs w:val="20"/>
        </w:rPr>
        <w:t>:</w:t>
      </w:r>
    </w:p>
    <w:p w:rsidR="00990970" w:rsidRPr="00742226" w:rsidRDefault="00486CDA" w:rsidP="00990970">
      <w:pPr>
        <w:rPr>
          <w:lang w:eastAsia="ar-SA"/>
        </w:rPr>
      </w:pPr>
      <w:r>
        <w:rPr>
          <w:lang w:eastAsia="ar-SA"/>
        </w:rPr>
        <w:object w:dxaOrig="1534" w:dyaOrig="997">
          <v:shape id="_x0000_i1191" type="#_x0000_t75" style="width:79.5pt;height:50.25pt" o:ole="">
            <v:imagedata r:id="rId431" o:title=""/>
          </v:shape>
          <o:OLEObject Type="Link" ProgID="Excel.Sheet.12" ShapeID="_x0000_i1191" DrawAspect="Content" r:id="rId432" UpdateMode="OnCall">
            <o:LinkType>EnhancedMetaFile</o:LinkType>
            <o:LockedField>false</o:LockedField>
          </o:OLEObject>
        </w:object>
      </w:r>
    </w:p>
    <w:p w:rsidR="007471A8" w:rsidRDefault="007471A8" w:rsidP="007471A8">
      <w:pPr>
        <w:rPr>
          <w:b/>
          <w:szCs w:val="20"/>
        </w:rPr>
      </w:pPr>
      <w:r>
        <w:rPr>
          <w:b/>
          <w:szCs w:val="20"/>
        </w:rPr>
        <w:t>II.2 – P100B</w:t>
      </w:r>
      <w:r w:rsidRPr="007471A8">
        <w:rPr>
          <w:b/>
          <w:szCs w:val="20"/>
        </w:rPr>
        <w:t xml:space="preserve"> - Plano de Contas Referencial - Contas Patrimoniais - PJ do Lucro Presumido - </w:t>
      </w:r>
      <w:r>
        <w:rPr>
          <w:b/>
          <w:szCs w:val="20"/>
        </w:rPr>
        <w:t>Financeiras:</w:t>
      </w:r>
    </w:p>
    <w:p w:rsidR="007471A8" w:rsidRDefault="00486CDA" w:rsidP="00116FBF">
      <w:pPr>
        <w:pStyle w:val="Corpodetexto"/>
        <w:rPr>
          <w:rFonts w:ascii="Times New Roman" w:hAnsi="Times New Roman"/>
          <w:b/>
          <w:color w:val="002060"/>
          <w:szCs w:val="20"/>
        </w:rPr>
      </w:pPr>
      <w:r>
        <w:rPr>
          <w:rFonts w:ascii="Times New Roman" w:hAnsi="Times New Roman"/>
          <w:b/>
          <w:color w:val="002060"/>
          <w:szCs w:val="20"/>
        </w:rPr>
        <w:object w:dxaOrig="1534" w:dyaOrig="997">
          <v:shape id="_x0000_i1192" type="#_x0000_t75" style="width:79.5pt;height:50.25pt" o:ole="">
            <v:imagedata r:id="rId433" o:title=""/>
          </v:shape>
          <o:OLEObject Type="Link" ProgID="Excel.Sheet.12" ShapeID="_x0000_i1192" DrawAspect="Content" r:id="rId434" UpdateMode="OnCall">
            <o:LinkType>EnhancedMetaFile</o:LinkType>
            <o:LockedField>false</o:LockedField>
          </o:OLEObject>
        </w:object>
      </w:r>
    </w:p>
    <w:p w:rsidR="00495B98" w:rsidRDefault="00766A84" w:rsidP="00116FBF">
      <w:pPr>
        <w:pStyle w:val="Corpodetexto"/>
        <w:rPr>
          <w:rFonts w:ascii="Times New Roman" w:hAnsi="Times New Roman"/>
          <w:b/>
          <w:color w:val="002060"/>
          <w:szCs w:val="20"/>
        </w:rPr>
      </w:pPr>
      <w:r w:rsidRPr="00FA3856">
        <w:rPr>
          <w:rFonts w:ascii="Times New Roman" w:hAnsi="Times New Roman"/>
          <w:b/>
          <w:color w:val="002060"/>
          <w:szCs w:val="20"/>
        </w:rPr>
        <w:t>Exemplo de Preenchimento:</w:t>
      </w:r>
    </w:p>
    <w:p w:rsidR="00495B98" w:rsidRDefault="00495B98" w:rsidP="00116FBF">
      <w:pPr>
        <w:pStyle w:val="Corpodetexto"/>
        <w:rPr>
          <w:rFonts w:ascii="Times New Roman" w:hAnsi="Times New Roman"/>
          <w:b/>
          <w:color w:val="002060"/>
          <w:szCs w:val="20"/>
        </w:rPr>
      </w:pPr>
    </w:p>
    <w:p w:rsidR="00116FBF" w:rsidRPr="00FA3856" w:rsidRDefault="00116FBF" w:rsidP="00116FBF">
      <w:pPr>
        <w:pStyle w:val="Corpodetexto"/>
        <w:rPr>
          <w:rFonts w:ascii="Times New Roman" w:hAnsi="Times New Roman"/>
          <w:b/>
          <w:color w:val="002060"/>
          <w:szCs w:val="20"/>
        </w:rPr>
      </w:pPr>
      <w:r w:rsidRPr="00FA3856">
        <w:rPr>
          <w:rFonts w:ascii="Times New Roman" w:hAnsi="Times New Roman"/>
          <w:b/>
          <w:color w:val="002060"/>
          <w:szCs w:val="20"/>
        </w:rPr>
        <w:t>|P100|2.03.04.01.99|Contas de Patrimônio Líquido Não Classificadas|A|5|03|2.03.04.01|10000,00|C|20000,00|C|</w:t>
      </w:r>
    </w:p>
    <w:p w:rsidR="00116FBF" w:rsidRPr="00FA3856" w:rsidRDefault="00116FBF" w:rsidP="00116FBF">
      <w:pPr>
        <w:pStyle w:val="Corpodetexto"/>
        <w:ind w:firstLine="708"/>
        <w:rPr>
          <w:rFonts w:ascii="Times New Roman" w:hAnsi="Times New Roman"/>
          <w:color w:val="002060"/>
          <w:szCs w:val="20"/>
        </w:rPr>
      </w:pPr>
      <w:r w:rsidRPr="00FA3856">
        <w:rPr>
          <w:rFonts w:ascii="Times New Roman" w:hAnsi="Times New Roman"/>
          <w:color w:val="002060"/>
          <w:szCs w:val="20"/>
        </w:rPr>
        <w:t>|P100|: Identificação do tipo do registro.</w:t>
      </w:r>
    </w:p>
    <w:p w:rsidR="00116FBF" w:rsidRPr="00FA3856" w:rsidRDefault="00116FBF" w:rsidP="00116FBF">
      <w:pPr>
        <w:pStyle w:val="Corpodetexto"/>
        <w:ind w:firstLine="708"/>
        <w:rPr>
          <w:rFonts w:ascii="Times New Roman" w:hAnsi="Times New Roman"/>
          <w:color w:val="002060"/>
          <w:szCs w:val="20"/>
        </w:rPr>
      </w:pPr>
      <w:r w:rsidRPr="00FA3856">
        <w:rPr>
          <w:rFonts w:ascii="Times New Roman" w:hAnsi="Times New Roman"/>
          <w:color w:val="002060"/>
          <w:szCs w:val="20"/>
        </w:rPr>
        <w:t>|2.03.04.01.99|: Código da linha.</w:t>
      </w:r>
      <w:r w:rsidRPr="00FA3856">
        <w:rPr>
          <w:rFonts w:ascii="Times New Roman" w:hAnsi="Times New Roman"/>
          <w:color w:val="002060"/>
          <w:szCs w:val="20"/>
        </w:rPr>
        <w:tab/>
      </w:r>
    </w:p>
    <w:p w:rsidR="00116FBF" w:rsidRPr="00FA3856" w:rsidRDefault="00116FBF" w:rsidP="00116FBF">
      <w:pPr>
        <w:pStyle w:val="Corpodetexto"/>
        <w:ind w:firstLine="708"/>
        <w:rPr>
          <w:rFonts w:ascii="Times New Roman" w:hAnsi="Times New Roman"/>
          <w:color w:val="002060"/>
          <w:szCs w:val="20"/>
        </w:rPr>
      </w:pPr>
      <w:r w:rsidRPr="00FA3856">
        <w:rPr>
          <w:rFonts w:ascii="Times New Roman" w:hAnsi="Times New Roman"/>
          <w:color w:val="002060"/>
          <w:szCs w:val="20"/>
        </w:rPr>
        <w:t>|Contas de Patrimônio Líquido Não Classificadas|: Descrição da linha.</w:t>
      </w:r>
    </w:p>
    <w:p w:rsidR="00116FBF" w:rsidRPr="00FA3856" w:rsidRDefault="00116FBF" w:rsidP="00116FBF">
      <w:pPr>
        <w:pStyle w:val="Corpodetexto"/>
        <w:ind w:firstLine="708"/>
        <w:rPr>
          <w:rFonts w:ascii="Times New Roman" w:hAnsi="Times New Roman"/>
          <w:color w:val="002060"/>
          <w:szCs w:val="20"/>
        </w:rPr>
      </w:pPr>
      <w:r w:rsidRPr="00FA3856">
        <w:rPr>
          <w:rFonts w:ascii="Times New Roman" w:hAnsi="Times New Roman"/>
          <w:color w:val="002060"/>
          <w:szCs w:val="20"/>
        </w:rPr>
        <w:t>|A|: Tipo da conta (A = Analítica).</w:t>
      </w:r>
    </w:p>
    <w:p w:rsidR="00116FBF" w:rsidRPr="00FA3856" w:rsidRDefault="00116FBF" w:rsidP="00116FBF">
      <w:pPr>
        <w:pStyle w:val="Corpodetexto"/>
        <w:ind w:firstLine="708"/>
        <w:rPr>
          <w:rFonts w:ascii="Times New Roman" w:hAnsi="Times New Roman"/>
          <w:color w:val="002060"/>
          <w:szCs w:val="20"/>
        </w:rPr>
      </w:pPr>
      <w:r w:rsidRPr="00FA3856">
        <w:rPr>
          <w:rFonts w:ascii="Times New Roman" w:hAnsi="Times New Roman"/>
          <w:color w:val="002060"/>
          <w:szCs w:val="20"/>
        </w:rPr>
        <w:t>|5|: Nível da conta.</w:t>
      </w:r>
    </w:p>
    <w:p w:rsidR="00116FBF" w:rsidRPr="00FA3856" w:rsidRDefault="00116FBF" w:rsidP="00116FBF">
      <w:pPr>
        <w:pStyle w:val="Corpodetexto"/>
        <w:ind w:firstLine="708"/>
        <w:rPr>
          <w:rFonts w:ascii="Times New Roman" w:hAnsi="Times New Roman"/>
          <w:color w:val="002060"/>
          <w:szCs w:val="20"/>
        </w:rPr>
      </w:pPr>
      <w:r w:rsidRPr="00FA3856">
        <w:rPr>
          <w:rFonts w:ascii="Times New Roman" w:hAnsi="Times New Roman"/>
          <w:color w:val="002060"/>
          <w:szCs w:val="20"/>
        </w:rPr>
        <w:t>|03|: Natureza da conta (03 = Contas do Patrimônio Líquido).</w:t>
      </w:r>
    </w:p>
    <w:p w:rsidR="00116FBF" w:rsidRPr="00FA3856" w:rsidRDefault="00116FBF" w:rsidP="00116FBF">
      <w:pPr>
        <w:pStyle w:val="Corpodetexto"/>
        <w:ind w:firstLine="708"/>
        <w:rPr>
          <w:rFonts w:ascii="Times New Roman" w:hAnsi="Times New Roman"/>
          <w:color w:val="002060"/>
          <w:szCs w:val="20"/>
        </w:rPr>
      </w:pPr>
      <w:r w:rsidRPr="00FA3856">
        <w:rPr>
          <w:rFonts w:ascii="Times New Roman" w:hAnsi="Times New Roman"/>
          <w:color w:val="002060"/>
          <w:szCs w:val="20"/>
        </w:rPr>
        <w:t>|2.03.04.01|: Código da conta superior.</w:t>
      </w:r>
    </w:p>
    <w:p w:rsidR="00116FBF" w:rsidRPr="00FA3856" w:rsidRDefault="00116FBF" w:rsidP="00116FBF">
      <w:pPr>
        <w:pStyle w:val="Corpodetexto"/>
        <w:ind w:firstLine="708"/>
        <w:rPr>
          <w:rFonts w:ascii="Times New Roman" w:hAnsi="Times New Roman"/>
          <w:color w:val="002060"/>
          <w:szCs w:val="20"/>
        </w:rPr>
      </w:pPr>
      <w:r w:rsidRPr="00FA3856">
        <w:rPr>
          <w:rFonts w:ascii="Times New Roman" w:hAnsi="Times New Roman"/>
          <w:color w:val="002060"/>
          <w:szCs w:val="20"/>
        </w:rPr>
        <w:t>|10000,00|: Valor do saldo inicial (R$ 10.000,00).</w:t>
      </w:r>
    </w:p>
    <w:p w:rsidR="00116FBF" w:rsidRPr="00FA3856" w:rsidRDefault="00116FBF" w:rsidP="00116FBF">
      <w:pPr>
        <w:pStyle w:val="Corpodetexto"/>
        <w:ind w:firstLine="708"/>
        <w:rPr>
          <w:rFonts w:ascii="Times New Roman" w:hAnsi="Times New Roman"/>
          <w:color w:val="002060"/>
          <w:szCs w:val="20"/>
        </w:rPr>
      </w:pPr>
      <w:r w:rsidRPr="00FA3856">
        <w:rPr>
          <w:rFonts w:ascii="Times New Roman" w:hAnsi="Times New Roman"/>
          <w:color w:val="002060"/>
          <w:szCs w:val="20"/>
        </w:rPr>
        <w:t xml:space="preserve">|C|: Indicador do sinal do saldo </w:t>
      </w:r>
      <w:r w:rsidR="0063733D" w:rsidRPr="00FA3856">
        <w:rPr>
          <w:rFonts w:ascii="Times New Roman" w:hAnsi="Times New Roman"/>
          <w:color w:val="002060"/>
          <w:szCs w:val="20"/>
        </w:rPr>
        <w:t>inicial</w:t>
      </w:r>
      <w:r w:rsidRPr="00FA3856">
        <w:rPr>
          <w:rFonts w:ascii="Times New Roman" w:hAnsi="Times New Roman"/>
          <w:color w:val="002060"/>
          <w:szCs w:val="20"/>
        </w:rPr>
        <w:t xml:space="preserve"> da conta (C = Credor).</w:t>
      </w:r>
    </w:p>
    <w:p w:rsidR="00116FBF" w:rsidRPr="00FA3856" w:rsidRDefault="00116FBF" w:rsidP="00116FBF">
      <w:pPr>
        <w:pStyle w:val="Corpodetexto"/>
        <w:ind w:firstLine="708"/>
        <w:rPr>
          <w:rFonts w:ascii="Times New Roman" w:hAnsi="Times New Roman"/>
          <w:color w:val="002060"/>
          <w:szCs w:val="20"/>
        </w:rPr>
      </w:pPr>
      <w:r w:rsidRPr="00FA3856">
        <w:rPr>
          <w:rFonts w:ascii="Times New Roman" w:hAnsi="Times New Roman"/>
          <w:color w:val="002060"/>
          <w:szCs w:val="20"/>
        </w:rPr>
        <w:t>|20000,00|: Valor do saldo inicial (R$ 20.000,00).</w:t>
      </w:r>
    </w:p>
    <w:p w:rsidR="00116FBF" w:rsidRPr="00FA3856" w:rsidRDefault="00116FBF" w:rsidP="00116FBF">
      <w:pPr>
        <w:pStyle w:val="Corpodetexto"/>
        <w:ind w:firstLine="708"/>
        <w:rPr>
          <w:rFonts w:ascii="Times New Roman" w:hAnsi="Times New Roman"/>
          <w:color w:val="002060"/>
          <w:szCs w:val="20"/>
        </w:rPr>
      </w:pPr>
      <w:r w:rsidRPr="00FA3856">
        <w:rPr>
          <w:rFonts w:ascii="Times New Roman" w:hAnsi="Times New Roman"/>
          <w:color w:val="002060"/>
          <w:szCs w:val="20"/>
        </w:rPr>
        <w:t>|C|: Indicador do sinal do saldo final da conta (C = Credor).</w:t>
      </w:r>
    </w:p>
    <w:p w:rsidR="00463518" w:rsidRPr="00FA3856" w:rsidRDefault="00463518" w:rsidP="00AC643E">
      <w:pPr>
        <w:rPr>
          <w:b/>
          <w:szCs w:val="20"/>
          <w:lang w:val="pt-PT"/>
        </w:rPr>
      </w:pPr>
    </w:p>
    <w:p w:rsidR="00E1426A" w:rsidRPr="00FA3856" w:rsidRDefault="00E1426A">
      <w:pPr>
        <w:spacing w:after="200" w:line="276" w:lineRule="auto"/>
        <w:rPr>
          <w:b/>
          <w:bCs/>
          <w:color w:val="0000FF"/>
          <w:szCs w:val="20"/>
        </w:rPr>
      </w:pPr>
      <w:r w:rsidRPr="00FA3856">
        <w:rPr>
          <w:color w:val="0000FF"/>
          <w:szCs w:val="20"/>
        </w:rPr>
        <w:br w:type="page"/>
      </w:r>
    </w:p>
    <w:p w:rsidR="00985EE9" w:rsidRPr="00FA3856" w:rsidRDefault="00985EE9" w:rsidP="00867F54">
      <w:pPr>
        <w:pStyle w:val="Ttulo4"/>
      </w:pPr>
      <w:bookmarkStart w:id="302" w:name="_Toc479713756"/>
      <w:r w:rsidRPr="00FA3856">
        <w:lastRenderedPageBreak/>
        <w:t>Registro P130: Demonstração das Receitas Incentivadas do Lucro Presumido</w:t>
      </w:r>
      <w:bookmarkEnd w:id="302"/>
    </w:p>
    <w:p w:rsidR="00985EE9" w:rsidRPr="00FA3856" w:rsidRDefault="00985EE9" w:rsidP="00985EE9">
      <w:pPr>
        <w:rPr>
          <w:szCs w:val="20"/>
        </w:rPr>
      </w:pPr>
    </w:p>
    <w:p w:rsidR="00DF3CAB" w:rsidRPr="00FA3856" w:rsidRDefault="00DF3CAB" w:rsidP="00DF3CAB">
      <w:pPr>
        <w:pStyle w:val="PSDS-CorpodeTexto0"/>
        <w:ind w:firstLine="708"/>
        <w:rPr>
          <w:rFonts w:ascii="Times New Roman" w:hAnsi="Times New Roman"/>
        </w:rPr>
      </w:pPr>
      <w:r w:rsidRPr="00FA3856">
        <w:rPr>
          <w:rFonts w:ascii="Times New Roman" w:hAnsi="Times New Roman"/>
        </w:rPr>
        <w:t>Este registro deve ser preenchido somente pelas pessoas jurídicas optantes pelo Lucro Presumido que estejam no Refis, de que trata a Lei nº 9.964, de 10 de abril de 2000, que, autorizadas pela legislação tributária, queiram usufruir os benefícios fiscais relativos a isenção ou redução do imposto sobre a renda, tais como:</w:t>
      </w:r>
    </w:p>
    <w:p w:rsidR="00B9339A" w:rsidRPr="00FA3856" w:rsidRDefault="00B9339A" w:rsidP="00DF3CAB">
      <w:pPr>
        <w:pStyle w:val="PSDS-CorpodeTexto0"/>
        <w:ind w:firstLine="708"/>
        <w:jc w:val="both"/>
        <w:rPr>
          <w:rFonts w:ascii="Times New Roman" w:hAnsi="Times New Roman"/>
        </w:rPr>
      </w:pPr>
    </w:p>
    <w:p w:rsidR="00DF3CAB" w:rsidRPr="00FA3856" w:rsidRDefault="00DF3CAB" w:rsidP="00DF3CAB">
      <w:pPr>
        <w:pStyle w:val="PSDS-CorpodeTexto0"/>
        <w:ind w:firstLine="708"/>
        <w:jc w:val="both"/>
        <w:rPr>
          <w:rFonts w:ascii="Times New Roman" w:hAnsi="Times New Roman"/>
        </w:rPr>
      </w:pPr>
      <w:r w:rsidRPr="00FA3856">
        <w:rPr>
          <w:rFonts w:ascii="Times New Roman" w:hAnsi="Times New Roman"/>
        </w:rPr>
        <w:t xml:space="preserve">a) empresas instaladas nas áreas de atuação da Sudene e/ou da Sudam, que tenham direito </w:t>
      </w:r>
      <w:r w:rsidR="0063733D" w:rsidRPr="00FA3856">
        <w:rPr>
          <w:rFonts w:ascii="Times New Roman" w:hAnsi="Times New Roman"/>
        </w:rPr>
        <w:t>à</w:t>
      </w:r>
      <w:r w:rsidRPr="00FA3856">
        <w:rPr>
          <w:rFonts w:ascii="Times New Roman" w:hAnsi="Times New Roman"/>
        </w:rPr>
        <w:t xml:space="preserve"> isenção ou redução do imposto, de acordo com as legislações respectivas;</w:t>
      </w:r>
    </w:p>
    <w:p w:rsidR="00B9339A" w:rsidRPr="00FA3856" w:rsidRDefault="00B9339A" w:rsidP="00DF3CAB">
      <w:pPr>
        <w:pStyle w:val="PSDS-CorpodeTexto0"/>
        <w:ind w:firstLine="708"/>
        <w:jc w:val="both"/>
        <w:rPr>
          <w:rFonts w:ascii="Times New Roman" w:hAnsi="Times New Roman"/>
        </w:rPr>
      </w:pPr>
    </w:p>
    <w:p w:rsidR="00DF3CAB" w:rsidRPr="00FA3856" w:rsidRDefault="00DF3CAB" w:rsidP="00B9339A">
      <w:pPr>
        <w:pStyle w:val="PSDS-CorpodeTexto0"/>
        <w:ind w:left="708" w:firstLine="708"/>
        <w:jc w:val="both"/>
        <w:rPr>
          <w:rFonts w:ascii="Times New Roman" w:hAnsi="Times New Roman"/>
        </w:rPr>
      </w:pPr>
      <w:r w:rsidRPr="00FA3856">
        <w:rPr>
          <w:rFonts w:ascii="Times New Roman" w:hAnsi="Times New Roman"/>
          <w:b/>
        </w:rPr>
        <w:t>Atenção</w:t>
      </w:r>
      <w:r w:rsidRPr="00FA3856">
        <w:rPr>
          <w:rFonts w:ascii="Times New Roman" w:hAnsi="Times New Roman"/>
        </w:rPr>
        <w:t>:</w:t>
      </w:r>
    </w:p>
    <w:p w:rsidR="00DF3CAB" w:rsidRPr="00FA3856" w:rsidRDefault="00DF3CAB" w:rsidP="00B9339A">
      <w:pPr>
        <w:pStyle w:val="PSDS-CorpodeTexto0"/>
        <w:ind w:left="1416"/>
        <w:jc w:val="both"/>
        <w:rPr>
          <w:rFonts w:ascii="Times New Roman" w:hAnsi="Times New Roman"/>
        </w:rPr>
      </w:pPr>
      <w:r w:rsidRPr="00FA3856">
        <w:rPr>
          <w:rFonts w:ascii="Times New Roman" w:hAnsi="Times New Roman"/>
        </w:rPr>
        <w:t xml:space="preserve">1) para os projetos protocolizados e aprovados após 23 de agosto de 2000, a </w:t>
      </w:r>
      <w:hyperlink r:id="rId435" w:anchor="MP2058" w:history="1">
        <w:r w:rsidRPr="00FA3856">
          <w:rPr>
            <w:rFonts w:ascii="Times New Roman" w:hAnsi="Times New Roman"/>
          </w:rPr>
          <w:t>MP nº 2.058</w:t>
        </w:r>
      </w:hyperlink>
      <w:r w:rsidRPr="00FA3856">
        <w:rPr>
          <w:rFonts w:ascii="Times New Roman" w:hAnsi="Times New Roman"/>
        </w:rPr>
        <w:t>, de 2000, prevê redução de 75% do imposto sobre a renda exclusivamente para aqueles enquadrados em setores da economia considerados, em ato do Poder Executivo, prioritários para o desenvolvimento regional, nas áreas de atuação da Sudene e da Sudam. (</w:t>
      </w:r>
      <w:hyperlink r:id="rId436" w:anchor="MP2058" w:history="1">
        <w:r w:rsidRPr="00FA3856">
          <w:rPr>
            <w:rFonts w:ascii="Times New Roman" w:hAnsi="Times New Roman"/>
          </w:rPr>
          <w:t>MP nº 2.058</w:t>
        </w:r>
      </w:hyperlink>
      <w:r w:rsidRPr="00FA3856">
        <w:rPr>
          <w:rFonts w:ascii="Times New Roman" w:hAnsi="Times New Roman"/>
        </w:rPr>
        <w:t xml:space="preserve">, de 2000, art. 1º e </w:t>
      </w:r>
      <w:r w:rsidR="0063733D" w:rsidRPr="00FA3856">
        <w:rPr>
          <w:rFonts w:ascii="Times New Roman" w:hAnsi="Times New Roman"/>
        </w:rPr>
        <w:t>reedições)</w:t>
      </w:r>
      <w:r w:rsidRPr="00FA3856">
        <w:rPr>
          <w:rFonts w:ascii="Times New Roman" w:hAnsi="Times New Roman"/>
        </w:rPr>
        <w:t xml:space="preserve">. </w:t>
      </w:r>
    </w:p>
    <w:p w:rsidR="00DF3CAB" w:rsidRPr="00FA3856" w:rsidRDefault="00DF3CAB" w:rsidP="00B9339A">
      <w:pPr>
        <w:pStyle w:val="PSDS-CorpodeTexto0"/>
        <w:ind w:left="1416"/>
        <w:jc w:val="both"/>
        <w:rPr>
          <w:rFonts w:ascii="Times New Roman" w:hAnsi="Times New Roman"/>
        </w:rPr>
      </w:pPr>
      <w:r w:rsidRPr="00FA3856">
        <w:rPr>
          <w:rFonts w:ascii="Times New Roman" w:hAnsi="Times New Roman"/>
        </w:rPr>
        <w:t xml:space="preserve">2) o benefício de redução de 12,50% do imposto, de que trata o art. 2º da </w:t>
      </w:r>
      <w:hyperlink r:id="rId437" w:anchor="MP2058" w:history="1">
        <w:r w:rsidRPr="00FA3856">
          <w:rPr>
            <w:rFonts w:ascii="Times New Roman" w:hAnsi="Times New Roman"/>
          </w:rPr>
          <w:t>MP nº 2.058</w:t>
        </w:r>
      </w:hyperlink>
      <w:r w:rsidRPr="00FA3856">
        <w:rPr>
          <w:rFonts w:ascii="Times New Roman" w:hAnsi="Times New Roman"/>
        </w:rPr>
        <w:t>, de 2000, somente pode ser utilizado, pelas pessoas jurídicas que mantenham empreendimentos nos setores da economia considerados, pelo Poder Executivo, prioritários para o desenvolvimento regional nas áreas de atuação da Sudene e da Sudam, e para os que têm sede na área de jurisdição da Zona Franca de Manaus, reconhecidos como de interesse para o desenvolvimento da região. A fruição do benefício fiscal dá-se a partir da data em que a pessoa jurídica apresentar ao órgão competente do Ministério da Integração Nacional requerimento solicitando a declaração de que satisfaz as condições estabelecidas para gozo do favor fiscal. As pessoas jurídicas devem pleitear o reconhecimento desse direito à Secretaria da Receita Federal do Brasil, instruindo o pedido com a referida declaração (</w:t>
      </w:r>
      <w:hyperlink r:id="rId438" w:anchor="MP2058" w:history="1">
        <w:r w:rsidRPr="00FA3856">
          <w:rPr>
            <w:rFonts w:ascii="Times New Roman" w:hAnsi="Times New Roman"/>
          </w:rPr>
          <w:t>MP nº 2.058</w:t>
        </w:r>
      </w:hyperlink>
      <w:r w:rsidRPr="00FA3856">
        <w:rPr>
          <w:rFonts w:ascii="Times New Roman" w:hAnsi="Times New Roman"/>
        </w:rPr>
        <w:t>, de 2000, art. 2º e reedições);</w:t>
      </w:r>
    </w:p>
    <w:p w:rsidR="00DF3CAB" w:rsidRPr="00FA3856" w:rsidRDefault="00DF3CAB" w:rsidP="00B9339A">
      <w:pPr>
        <w:pStyle w:val="PSDS-CorpodeTexto0"/>
        <w:ind w:left="1416"/>
        <w:jc w:val="both"/>
        <w:rPr>
          <w:rFonts w:ascii="Times New Roman" w:hAnsi="Times New Roman"/>
        </w:rPr>
      </w:pPr>
      <w:r w:rsidRPr="00FA3856">
        <w:rPr>
          <w:rFonts w:ascii="Times New Roman" w:hAnsi="Times New Roman"/>
        </w:rPr>
        <w:t>3) a pessoa jurídica que se utilizar indevidamente do benefício está sujeita ao pagamento do imposto em relação a cada período de apuração, acrescido de juros e multa, sem prejuízo das sanções penais cabíveis.</w:t>
      </w:r>
    </w:p>
    <w:p w:rsidR="00B9339A" w:rsidRPr="00FA3856" w:rsidRDefault="00B9339A" w:rsidP="00DF3CAB">
      <w:pPr>
        <w:pStyle w:val="PSDS-CorpodeTexto0"/>
        <w:ind w:firstLine="708"/>
        <w:jc w:val="both"/>
        <w:rPr>
          <w:rFonts w:ascii="Times New Roman" w:hAnsi="Times New Roman"/>
        </w:rPr>
      </w:pPr>
    </w:p>
    <w:p w:rsidR="00DF3CAB" w:rsidRPr="00FA3856" w:rsidRDefault="00DF3CAB" w:rsidP="00B9339A">
      <w:pPr>
        <w:pStyle w:val="PSDS-CorpodeTexto0"/>
        <w:ind w:left="708"/>
        <w:jc w:val="both"/>
        <w:rPr>
          <w:rFonts w:ascii="Times New Roman" w:hAnsi="Times New Roman"/>
        </w:rPr>
      </w:pPr>
      <w:r w:rsidRPr="00FA3856">
        <w:rPr>
          <w:rFonts w:ascii="Times New Roman" w:hAnsi="Times New Roman"/>
        </w:rPr>
        <w:t>b) empresas que explorem empreendimentos hoteleiros e outros empreendimentos turísticos com projetos aprovados pelo extinto Conselho Nacional de Turismo até 31 de dezembro de 1985, em gozo de redução de até 70% (setenta por cento) do imposto pelo prazo de 10 (dez) anos a partir da conclusão das obras;</w:t>
      </w:r>
    </w:p>
    <w:p w:rsidR="00B9339A" w:rsidRPr="00FA3856" w:rsidRDefault="00B9339A" w:rsidP="00B9339A">
      <w:pPr>
        <w:pStyle w:val="PSDS-CorpodeTexto0"/>
        <w:jc w:val="both"/>
        <w:rPr>
          <w:rFonts w:ascii="Times New Roman" w:hAnsi="Times New Roman"/>
        </w:rPr>
      </w:pPr>
    </w:p>
    <w:p w:rsidR="00DF3CAB" w:rsidRPr="00FA3856" w:rsidRDefault="00DF3CAB" w:rsidP="00B9339A">
      <w:pPr>
        <w:pStyle w:val="PSDS-CorpodeTexto0"/>
        <w:ind w:left="708"/>
        <w:jc w:val="both"/>
        <w:rPr>
          <w:rFonts w:ascii="Times New Roman" w:hAnsi="Times New Roman"/>
        </w:rPr>
      </w:pPr>
      <w:r w:rsidRPr="00FA3856">
        <w:rPr>
          <w:rFonts w:ascii="Times New Roman" w:hAnsi="Times New Roman"/>
        </w:rPr>
        <w:t>c) empresas que instalaram, ampliaram ou modernizaram, até 31 de dezembro de 1990, na área do Programa Grande Carajás, empreendimentos dele integrantes, beneficiadas com isenção do imposto por ato do Conselho Interministerial do Programa Grande Carajás;</w:t>
      </w:r>
    </w:p>
    <w:p w:rsidR="00B9339A" w:rsidRPr="00FA3856" w:rsidRDefault="00B9339A" w:rsidP="00B9339A">
      <w:pPr>
        <w:pStyle w:val="PSDS-CorpodeTexto0"/>
        <w:jc w:val="both"/>
        <w:rPr>
          <w:rFonts w:ascii="Times New Roman" w:hAnsi="Times New Roman"/>
        </w:rPr>
      </w:pPr>
    </w:p>
    <w:p w:rsidR="00DF3CAB" w:rsidRPr="00FA3856" w:rsidRDefault="00DF3CAB" w:rsidP="00B9339A">
      <w:pPr>
        <w:pStyle w:val="PSDS-CorpodeTexto0"/>
        <w:ind w:left="708"/>
        <w:jc w:val="both"/>
        <w:rPr>
          <w:rFonts w:ascii="Times New Roman" w:hAnsi="Times New Roman"/>
        </w:rPr>
      </w:pPr>
      <w:r w:rsidRPr="00FA3856">
        <w:rPr>
          <w:rFonts w:ascii="Times New Roman" w:hAnsi="Times New Roman"/>
        </w:rPr>
        <w:t>d) empresas que tenham empreendimentos industriais ou agroindustriais, inclusive de construção civil, em operação nas áreas de atuação da Sudam e da Sudene, que optarem por depositar parte do imposto devido para reinvestimento, conforme legislação aplicável.</w:t>
      </w:r>
    </w:p>
    <w:p w:rsidR="00B9339A" w:rsidRPr="00FA3856" w:rsidRDefault="00B9339A" w:rsidP="00B9339A">
      <w:pPr>
        <w:pStyle w:val="PSDS-CorpodeTexto0"/>
        <w:ind w:left="708" w:firstLine="708"/>
        <w:jc w:val="both"/>
        <w:rPr>
          <w:rFonts w:ascii="Times New Roman" w:hAnsi="Times New Roman"/>
        </w:rPr>
      </w:pPr>
    </w:p>
    <w:p w:rsidR="00DF3CAB" w:rsidRPr="00FA3856" w:rsidRDefault="00DF3CAB" w:rsidP="00B9339A">
      <w:pPr>
        <w:pStyle w:val="PSDS-CorpodeTexto0"/>
        <w:ind w:left="708" w:firstLine="708"/>
        <w:jc w:val="both"/>
        <w:rPr>
          <w:rFonts w:ascii="Times New Roman" w:hAnsi="Times New Roman"/>
        </w:rPr>
      </w:pPr>
      <w:r w:rsidRPr="00FA3856">
        <w:rPr>
          <w:rFonts w:ascii="Times New Roman" w:hAnsi="Times New Roman"/>
          <w:b/>
        </w:rPr>
        <w:t>Atenção</w:t>
      </w:r>
      <w:r w:rsidRPr="00FA3856">
        <w:rPr>
          <w:rFonts w:ascii="Times New Roman" w:hAnsi="Times New Roman"/>
          <w:b/>
          <w:bCs/>
        </w:rPr>
        <w:t>:</w:t>
      </w:r>
    </w:p>
    <w:p w:rsidR="00DF3CAB" w:rsidRPr="00FA3856" w:rsidRDefault="00DF3CAB" w:rsidP="00B9339A">
      <w:pPr>
        <w:pStyle w:val="PSDS-CorpodeTexto0"/>
        <w:ind w:left="1416"/>
        <w:jc w:val="both"/>
        <w:rPr>
          <w:rFonts w:ascii="Times New Roman" w:hAnsi="Times New Roman"/>
        </w:rPr>
      </w:pPr>
      <w:r w:rsidRPr="00FA3856">
        <w:rPr>
          <w:rFonts w:ascii="Times New Roman" w:hAnsi="Times New Roman"/>
        </w:rPr>
        <w:t>1) o incentivo de redução do imposto por reinvestimento pode ser utilizado somente em relação aos empreendimentos dos setores da economia que venham a ser considerados, em ato do Poder Executivo, prioritários para o desenvolvimento regional.</w:t>
      </w:r>
    </w:p>
    <w:p w:rsidR="00DF3CAB" w:rsidRPr="00FA3856" w:rsidRDefault="00DF3CAB" w:rsidP="00B9339A">
      <w:pPr>
        <w:pStyle w:val="PSDS-CorpodeTexto0"/>
        <w:ind w:left="1416"/>
        <w:jc w:val="both"/>
        <w:rPr>
          <w:rFonts w:ascii="Times New Roman" w:hAnsi="Times New Roman"/>
        </w:rPr>
      </w:pPr>
      <w:r w:rsidRPr="00FA3856">
        <w:rPr>
          <w:rFonts w:ascii="Times New Roman" w:hAnsi="Times New Roman"/>
        </w:rPr>
        <w:t>2) a pessoa jurídica que se utilizar indevidamente do benefício estará sujeita ao pagamento do imposto em relação a cada período de apuração, acrescido de juros e multa, sem prejuízo das sanções penais cabíveis.</w:t>
      </w:r>
    </w:p>
    <w:p w:rsidR="00B9339A" w:rsidRPr="00FA3856" w:rsidRDefault="00B9339A" w:rsidP="00DF3CAB">
      <w:pPr>
        <w:pStyle w:val="PSDS-CorpodeTexto0"/>
        <w:ind w:firstLine="708"/>
        <w:jc w:val="both"/>
        <w:rPr>
          <w:rFonts w:ascii="Times New Roman" w:hAnsi="Times New Roman"/>
        </w:rPr>
      </w:pPr>
    </w:p>
    <w:p w:rsidR="00B9339A" w:rsidRPr="00FA3856" w:rsidRDefault="00B9339A" w:rsidP="00DF3CAB">
      <w:pPr>
        <w:pStyle w:val="PSDS-CorpodeTexto0"/>
        <w:ind w:firstLine="708"/>
        <w:jc w:val="both"/>
        <w:rPr>
          <w:rFonts w:ascii="Times New Roman" w:hAnsi="Times New Roman"/>
        </w:rPr>
      </w:pPr>
    </w:p>
    <w:p w:rsidR="00B9339A" w:rsidRPr="00FA3856" w:rsidRDefault="00B9339A" w:rsidP="00DF3CAB">
      <w:pPr>
        <w:pStyle w:val="PSDS-CorpodeTexto0"/>
        <w:ind w:firstLine="708"/>
        <w:jc w:val="both"/>
        <w:rPr>
          <w:rFonts w:ascii="Times New Roman" w:hAnsi="Times New Roman"/>
        </w:rPr>
      </w:pPr>
    </w:p>
    <w:p w:rsidR="00B9339A" w:rsidRPr="00FA3856" w:rsidRDefault="00B9339A" w:rsidP="00DF3CAB">
      <w:pPr>
        <w:pStyle w:val="PSDS-CorpodeTexto0"/>
        <w:ind w:firstLine="708"/>
        <w:jc w:val="both"/>
        <w:rPr>
          <w:rFonts w:ascii="Times New Roman" w:hAnsi="Times New Roman"/>
        </w:rPr>
      </w:pPr>
    </w:p>
    <w:p w:rsidR="00B9339A" w:rsidRPr="00FA3856" w:rsidRDefault="00B9339A" w:rsidP="00DF3CAB">
      <w:pPr>
        <w:pStyle w:val="PSDS-CorpodeTexto0"/>
        <w:ind w:firstLine="708"/>
        <w:jc w:val="both"/>
        <w:rPr>
          <w:rFonts w:ascii="Times New Roman" w:hAnsi="Times New Roman"/>
        </w:rPr>
      </w:pPr>
    </w:p>
    <w:p w:rsidR="00B9339A" w:rsidRPr="00FA3856" w:rsidRDefault="00B9339A" w:rsidP="00DF3CAB">
      <w:pPr>
        <w:pStyle w:val="PSDS-CorpodeTexto0"/>
        <w:ind w:firstLine="708"/>
        <w:jc w:val="both"/>
        <w:rPr>
          <w:rFonts w:ascii="Times New Roman" w:hAnsi="Times New Roman"/>
        </w:rPr>
      </w:pPr>
    </w:p>
    <w:p w:rsidR="00CE526B" w:rsidRDefault="00B35FA3" w:rsidP="00CE526B">
      <w:pPr>
        <w:jc w:val="center"/>
        <w:rPr>
          <w:b/>
          <w:szCs w:val="20"/>
          <w:lang w:val="pt-PT"/>
        </w:rPr>
      </w:pPr>
      <w:r>
        <w:rPr>
          <w:b/>
          <w:szCs w:val="20"/>
          <w:lang w:val="pt-PT"/>
        </w:rPr>
        <w:object w:dxaOrig="13935" w:dyaOrig="4755">
          <v:shape id="_x0000_i1779" type="#_x0000_t75" style="width:691.5pt;height:237pt" o:ole="">
            <v:imagedata r:id="rId439" o:title=""/>
          </v:shape>
          <o:OLEObject Type="Link" ProgID="Excel.Sheet.12" ShapeID="_x0000_i1779" DrawAspect="Content" r:id="rId440" UpdateMode="Always">
            <o:LinkType>EnhancedMetaFile</o:LinkType>
            <o:LockedField>false</o:LockedField>
          </o:OLEObject>
        </w:object>
      </w:r>
    </w:p>
    <w:p w:rsidR="00CE526B" w:rsidRDefault="00CE526B" w:rsidP="00985EE9">
      <w:pPr>
        <w:rPr>
          <w:b/>
          <w:szCs w:val="20"/>
          <w:lang w:val="pt-PT"/>
        </w:rPr>
      </w:pPr>
    </w:p>
    <w:p w:rsidR="00985EE9" w:rsidRPr="00FA3856" w:rsidRDefault="00985EE9" w:rsidP="00985EE9">
      <w:pPr>
        <w:rPr>
          <w:b/>
          <w:szCs w:val="20"/>
          <w:lang w:val="pt-PT"/>
        </w:rPr>
      </w:pPr>
      <w:r w:rsidRPr="00FA3856">
        <w:rPr>
          <w:b/>
          <w:szCs w:val="20"/>
          <w:lang w:val="pt-PT"/>
        </w:rPr>
        <w:t>I – Regras de Validação do Registro:</w:t>
      </w:r>
    </w:p>
    <w:p w:rsidR="00B9339A" w:rsidRPr="00FA3856" w:rsidRDefault="00B9339A" w:rsidP="00985EE9">
      <w:pPr>
        <w:rPr>
          <w:b/>
          <w:szCs w:val="20"/>
          <w:lang w:val="pt-PT"/>
        </w:rPr>
      </w:pPr>
    </w:p>
    <w:p w:rsidR="00985EE9" w:rsidRPr="00FA3856" w:rsidRDefault="007D0E74" w:rsidP="00985EE9">
      <w:pPr>
        <w:pStyle w:val="Corpodetexto"/>
        <w:ind w:left="708" w:firstLine="12"/>
        <w:rPr>
          <w:rFonts w:ascii="Times New Roman" w:hAnsi="Times New Roman"/>
          <w:szCs w:val="20"/>
        </w:rPr>
      </w:pPr>
      <w:hyperlink r:id="rId441" w:anchor="REGRA_OCORRENCIA_UNITARIA_ARQ" w:history="1">
        <w:r w:rsidR="00985EE9" w:rsidRPr="00FA3856">
          <w:rPr>
            <w:rFonts w:ascii="Times New Roman" w:hAnsi="Times New Roman"/>
            <w:b/>
            <w:szCs w:val="20"/>
          </w:rPr>
          <w:t>REGRA_</w:t>
        </w:r>
      </w:hyperlink>
      <w:r w:rsidR="00985EE9" w:rsidRPr="00FA3856">
        <w:rPr>
          <w:rFonts w:ascii="Times New Roman" w:hAnsi="Times New Roman"/>
          <w:b/>
          <w:szCs w:val="20"/>
        </w:rPr>
        <w:t>DUPLICIDADE_DESPREZADA</w:t>
      </w:r>
      <w:r w:rsidR="00985EE9" w:rsidRPr="00FA3856">
        <w:rPr>
          <w:rFonts w:ascii="Times New Roman" w:hAnsi="Times New Roman"/>
          <w:color w:val="auto"/>
          <w:szCs w:val="20"/>
        </w:rPr>
        <w:t xml:space="preserve">: </w:t>
      </w:r>
      <w:r w:rsidR="00985EE9" w:rsidRPr="00FA3856">
        <w:rPr>
          <w:rFonts w:ascii="Times New Roman" w:hAnsi="Times New Roman"/>
          <w:szCs w:val="20"/>
        </w:rPr>
        <w:t>Verifica se o registro já foi importado anteriormente, de acordo com a chave e os registros pais. Se a regra não for cumprida, a ECF gera um aviso.</w:t>
      </w:r>
    </w:p>
    <w:p w:rsidR="00985EE9" w:rsidRPr="00FA3856" w:rsidRDefault="00985EE9" w:rsidP="00985EE9">
      <w:pPr>
        <w:pStyle w:val="Corpodetexto"/>
        <w:ind w:left="708" w:firstLine="12"/>
        <w:rPr>
          <w:rFonts w:ascii="Times New Roman" w:hAnsi="Times New Roman"/>
          <w:szCs w:val="20"/>
        </w:rPr>
      </w:pPr>
    </w:p>
    <w:p w:rsidR="00985EE9" w:rsidRPr="00FA3856" w:rsidRDefault="007D0E74" w:rsidP="00985EE9">
      <w:pPr>
        <w:pStyle w:val="Corpodetexto"/>
        <w:ind w:left="708" w:firstLine="12"/>
        <w:rPr>
          <w:rFonts w:ascii="Times New Roman" w:hAnsi="Times New Roman"/>
          <w:szCs w:val="20"/>
        </w:rPr>
      </w:pPr>
      <w:hyperlink r:id="rId442" w:anchor="REGRA_OCORRENCIA_UNITARIA_ARQ" w:history="1">
        <w:r w:rsidR="00985EE9" w:rsidRPr="00FA3856">
          <w:rPr>
            <w:rFonts w:ascii="Times New Roman" w:hAnsi="Times New Roman"/>
            <w:b/>
            <w:szCs w:val="20"/>
          </w:rPr>
          <w:t>REGRA_</w:t>
        </w:r>
      </w:hyperlink>
      <w:r w:rsidR="00985EE9" w:rsidRPr="00FA3856">
        <w:rPr>
          <w:rFonts w:ascii="Times New Roman" w:hAnsi="Times New Roman"/>
          <w:b/>
          <w:szCs w:val="20"/>
        </w:rPr>
        <w:t>LINHA_DESPREZADA</w:t>
      </w:r>
      <w:r w:rsidR="00985EE9" w:rsidRPr="00FA3856">
        <w:rPr>
          <w:rFonts w:ascii="Times New Roman" w:hAnsi="Times New Roman"/>
          <w:color w:val="auto"/>
          <w:szCs w:val="20"/>
        </w:rPr>
        <w:t xml:space="preserve">: </w:t>
      </w:r>
      <w:r w:rsidR="00985EE9" w:rsidRPr="00FA3856">
        <w:rPr>
          <w:rFonts w:ascii="Times New Roman" w:hAnsi="Times New Roman"/>
          <w:szCs w:val="20"/>
        </w:rPr>
        <w:t>Verifica se o registro existe na importação, mas não será importado por não existir na tabela dinâmica devido às configurações do bloco 0 ou da tabela dinâmica. Gera um aviso.</w:t>
      </w:r>
    </w:p>
    <w:p w:rsidR="00985EE9" w:rsidRPr="00FA3856" w:rsidRDefault="00985EE9" w:rsidP="00985EE9">
      <w:pPr>
        <w:pStyle w:val="Corpodetexto"/>
        <w:ind w:left="708" w:firstLine="12"/>
        <w:rPr>
          <w:rFonts w:ascii="Times New Roman" w:hAnsi="Times New Roman"/>
          <w:b/>
          <w:szCs w:val="20"/>
        </w:rPr>
      </w:pPr>
    </w:p>
    <w:p w:rsidR="00985EE9" w:rsidRPr="00FA3856" w:rsidRDefault="007D0E74" w:rsidP="00985EE9">
      <w:pPr>
        <w:pStyle w:val="Corpodetexto"/>
        <w:ind w:left="708" w:firstLine="12"/>
        <w:rPr>
          <w:rFonts w:ascii="Times New Roman" w:hAnsi="Times New Roman"/>
          <w:b/>
          <w:szCs w:val="20"/>
        </w:rPr>
      </w:pPr>
      <w:hyperlink r:id="rId443" w:anchor="REGRA_OCORRENCIA_UNITARIA_ARQ" w:history="1">
        <w:r w:rsidR="00985EE9" w:rsidRPr="00FA3856">
          <w:rPr>
            <w:rFonts w:ascii="Times New Roman" w:hAnsi="Times New Roman"/>
            <w:b/>
            <w:szCs w:val="20"/>
          </w:rPr>
          <w:t>REGRA_</w:t>
        </w:r>
      </w:hyperlink>
      <w:r w:rsidR="00985EE9" w:rsidRPr="00FA3856">
        <w:rPr>
          <w:rFonts w:ascii="Times New Roman" w:hAnsi="Times New Roman"/>
          <w:b/>
          <w:szCs w:val="20"/>
        </w:rPr>
        <w:t>LINHA_ATUALIZADA</w:t>
      </w:r>
      <w:r w:rsidR="00985EE9" w:rsidRPr="00FA3856">
        <w:rPr>
          <w:rFonts w:ascii="Times New Roman" w:hAnsi="Times New Roman"/>
          <w:color w:val="auto"/>
          <w:szCs w:val="20"/>
        </w:rPr>
        <w:t xml:space="preserve">: </w:t>
      </w:r>
      <w:r w:rsidR="00985EE9" w:rsidRPr="00FA3856">
        <w:rPr>
          <w:rFonts w:ascii="Times New Roman" w:hAnsi="Times New Roman"/>
          <w:szCs w:val="20"/>
        </w:rPr>
        <w:t>Verifica se o registro está desatualizado em relação à tabela da RFB. Gera um aviso.</w:t>
      </w:r>
    </w:p>
    <w:p w:rsidR="00147705" w:rsidRPr="00FA3856" w:rsidRDefault="00147705" w:rsidP="00985EE9">
      <w:pPr>
        <w:rPr>
          <w:b/>
          <w:szCs w:val="20"/>
          <w:lang w:val="pt-PT"/>
        </w:rPr>
      </w:pPr>
    </w:p>
    <w:p w:rsidR="00985EE9" w:rsidRPr="00FA3856" w:rsidRDefault="00985EE9" w:rsidP="00985EE9">
      <w:pPr>
        <w:rPr>
          <w:b/>
          <w:szCs w:val="20"/>
          <w:lang w:val="pt-PT"/>
        </w:rPr>
      </w:pPr>
      <w:r w:rsidRPr="00FA3856">
        <w:rPr>
          <w:b/>
          <w:szCs w:val="20"/>
          <w:lang w:val="pt-PT"/>
        </w:rPr>
        <w:t>II – Regras de Validação de Campos:</w:t>
      </w:r>
    </w:p>
    <w:p w:rsidR="00985EE9" w:rsidRPr="00FA3856" w:rsidRDefault="00985EE9" w:rsidP="00985EE9">
      <w:pPr>
        <w:rPr>
          <w:b/>
          <w:szCs w:val="20"/>
          <w:lang w:val="pt-PT"/>
        </w:rPr>
      </w:pPr>
    </w:p>
    <w:tbl>
      <w:tblPr>
        <w:tblW w:w="15367"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85"/>
        <w:gridCol w:w="3000"/>
        <w:gridCol w:w="11165"/>
        <w:gridCol w:w="717"/>
      </w:tblGrid>
      <w:tr w:rsidR="00985EE9" w:rsidRPr="00FA3856" w:rsidTr="00A85B58">
        <w:trPr>
          <w:jc w:val="center"/>
        </w:trPr>
        <w:tc>
          <w:tcPr>
            <w:tcW w:w="485" w:type="dxa"/>
            <w:tcBorders>
              <w:top w:val="single" w:sz="6" w:space="0" w:color="auto"/>
              <w:left w:val="single" w:sz="6" w:space="0" w:color="auto"/>
              <w:bottom w:val="single" w:sz="6" w:space="0" w:color="auto"/>
              <w:right w:val="single" w:sz="6" w:space="0" w:color="auto"/>
            </w:tcBorders>
            <w:shd w:val="pct10" w:color="auto" w:fill="FFFFFF"/>
          </w:tcPr>
          <w:p w:rsidR="00985EE9" w:rsidRPr="00FA3856" w:rsidRDefault="00985EE9" w:rsidP="000662D3">
            <w:pPr>
              <w:pStyle w:val="PSDS-CorpodeTexto0"/>
              <w:jc w:val="center"/>
              <w:rPr>
                <w:rFonts w:ascii="Times New Roman" w:hAnsi="Times New Roman"/>
                <w:b/>
                <w:bCs/>
              </w:rPr>
            </w:pPr>
            <w:r w:rsidRPr="00FA3856">
              <w:rPr>
                <w:rFonts w:ascii="Times New Roman" w:hAnsi="Times New Roman"/>
                <w:b/>
                <w:bCs/>
              </w:rPr>
              <w:t>Nº</w:t>
            </w:r>
          </w:p>
        </w:tc>
        <w:tc>
          <w:tcPr>
            <w:tcW w:w="3000" w:type="dxa"/>
            <w:tcBorders>
              <w:top w:val="single" w:sz="6" w:space="0" w:color="auto"/>
              <w:left w:val="single" w:sz="6" w:space="0" w:color="auto"/>
              <w:bottom w:val="single" w:sz="6" w:space="0" w:color="auto"/>
              <w:right w:val="single" w:sz="6" w:space="0" w:color="auto"/>
            </w:tcBorders>
            <w:shd w:val="pct10" w:color="auto" w:fill="FFFFFF"/>
          </w:tcPr>
          <w:p w:rsidR="00985EE9" w:rsidRPr="00FA3856" w:rsidRDefault="00985EE9" w:rsidP="000662D3">
            <w:pPr>
              <w:pStyle w:val="PSDS-CorpodeTexto0"/>
              <w:jc w:val="center"/>
              <w:rPr>
                <w:rFonts w:ascii="Times New Roman" w:hAnsi="Times New Roman"/>
                <w:b/>
                <w:bCs/>
              </w:rPr>
            </w:pPr>
            <w:r w:rsidRPr="00FA3856">
              <w:rPr>
                <w:rFonts w:ascii="Times New Roman" w:hAnsi="Times New Roman"/>
                <w:b/>
                <w:bCs/>
              </w:rPr>
              <w:t>Campo</w:t>
            </w:r>
          </w:p>
        </w:tc>
        <w:tc>
          <w:tcPr>
            <w:tcW w:w="11165" w:type="dxa"/>
            <w:tcBorders>
              <w:top w:val="single" w:sz="6" w:space="0" w:color="auto"/>
              <w:left w:val="single" w:sz="6" w:space="0" w:color="auto"/>
              <w:bottom w:val="single" w:sz="6" w:space="0" w:color="auto"/>
              <w:right w:val="single" w:sz="6" w:space="0" w:color="auto"/>
            </w:tcBorders>
            <w:shd w:val="pct10" w:color="auto" w:fill="FFFFFF"/>
          </w:tcPr>
          <w:p w:rsidR="00985EE9" w:rsidRPr="00FA3856" w:rsidRDefault="00985EE9" w:rsidP="000662D3">
            <w:pPr>
              <w:pStyle w:val="PSDS-CorpodeTexto0"/>
              <w:jc w:val="center"/>
              <w:rPr>
                <w:rFonts w:ascii="Times New Roman" w:hAnsi="Times New Roman"/>
                <w:b/>
                <w:bCs/>
              </w:rPr>
            </w:pPr>
            <w:r w:rsidRPr="00FA3856">
              <w:rPr>
                <w:rFonts w:ascii="Times New Roman" w:hAnsi="Times New Roman"/>
                <w:b/>
                <w:bCs/>
              </w:rPr>
              <w:t>Regras de Validação do Campo</w:t>
            </w:r>
          </w:p>
        </w:tc>
        <w:tc>
          <w:tcPr>
            <w:tcW w:w="717" w:type="dxa"/>
            <w:tcBorders>
              <w:top w:val="single" w:sz="6" w:space="0" w:color="auto"/>
              <w:left w:val="single" w:sz="6" w:space="0" w:color="auto"/>
              <w:bottom w:val="single" w:sz="6" w:space="0" w:color="auto"/>
              <w:right w:val="single" w:sz="6" w:space="0" w:color="auto"/>
            </w:tcBorders>
            <w:shd w:val="pct10" w:color="auto" w:fill="FFFFFF"/>
          </w:tcPr>
          <w:p w:rsidR="00985EE9" w:rsidRPr="00FA3856" w:rsidRDefault="00985EE9" w:rsidP="000662D3">
            <w:pPr>
              <w:pStyle w:val="PSDS-CorpodeTexto0"/>
              <w:jc w:val="center"/>
              <w:rPr>
                <w:rFonts w:ascii="Times New Roman" w:hAnsi="Times New Roman"/>
                <w:b/>
                <w:bCs/>
              </w:rPr>
            </w:pPr>
            <w:r w:rsidRPr="00FA3856">
              <w:rPr>
                <w:rFonts w:ascii="Times New Roman" w:hAnsi="Times New Roman"/>
                <w:b/>
                <w:bCs/>
              </w:rPr>
              <w:t>Tipo</w:t>
            </w:r>
          </w:p>
        </w:tc>
      </w:tr>
      <w:tr w:rsidR="00985EE9" w:rsidRPr="00FA3856" w:rsidTr="00A85B58">
        <w:trPr>
          <w:jc w:val="center"/>
        </w:trPr>
        <w:tc>
          <w:tcPr>
            <w:tcW w:w="485" w:type="dxa"/>
            <w:tcBorders>
              <w:top w:val="single" w:sz="6" w:space="0" w:color="auto"/>
              <w:left w:val="single" w:sz="6" w:space="0" w:color="auto"/>
              <w:bottom w:val="single" w:sz="6" w:space="0" w:color="auto"/>
              <w:right w:val="single" w:sz="6" w:space="0" w:color="auto"/>
            </w:tcBorders>
          </w:tcPr>
          <w:p w:rsidR="00985EE9" w:rsidRPr="00FA3856" w:rsidRDefault="00985EE9" w:rsidP="000662D3">
            <w:pPr>
              <w:pStyle w:val="PSDS-CorpodeTexto0"/>
              <w:suppressAutoHyphens w:val="0"/>
              <w:rPr>
                <w:rFonts w:ascii="Times New Roman" w:hAnsi="Times New Roman"/>
                <w:b/>
                <w:bCs/>
                <w:lang w:val="pt-PT"/>
              </w:rPr>
            </w:pPr>
            <w:r w:rsidRPr="00FA3856">
              <w:rPr>
                <w:rFonts w:ascii="Times New Roman" w:hAnsi="Times New Roman"/>
                <w:b/>
                <w:bCs/>
                <w:lang w:val="pt-PT"/>
              </w:rPr>
              <w:t>4</w:t>
            </w:r>
          </w:p>
        </w:tc>
        <w:tc>
          <w:tcPr>
            <w:tcW w:w="3000" w:type="dxa"/>
            <w:tcBorders>
              <w:top w:val="single" w:sz="6" w:space="0" w:color="auto"/>
              <w:left w:val="single" w:sz="6" w:space="0" w:color="auto"/>
              <w:bottom w:val="single" w:sz="6" w:space="0" w:color="auto"/>
              <w:right w:val="single" w:sz="6" w:space="0" w:color="auto"/>
            </w:tcBorders>
          </w:tcPr>
          <w:p w:rsidR="00985EE9" w:rsidRPr="00FA3856" w:rsidRDefault="00985EE9" w:rsidP="000662D3">
            <w:pPr>
              <w:pStyle w:val="PSDS-CorpodeTexto0"/>
              <w:rPr>
                <w:rFonts w:ascii="Times New Roman" w:hAnsi="Times New Roman"/>
              </w:rPr>
            </w:pPr>
            <w:r w:rsidRPr="00FA3856">
              <w:rPr>
                <w:rFonts w:ascii="Times New Roman" w:hAnsi="Times New Roman"/>
              </w:rPr>
              <w:t>VALOR</w:t>
            </w:r>
          </w:p>
        </w:tc>
        <w:tc>
          <w:tcPr>
            <w:tcW w:w="11165" w:type="dxa"/>
            <w:tcBorders>
              <w:top w:val="single" w:sz="6" w:space="0" w:color="auto"/>
              <w:left w:val="single" w:sz="6" w:space="0" w:color="auto"/>
              <w:bottom w:val="single" w:sz="6" w:space="0" w:color="auto"/>
              <w:right w:val="single" w:sz="6" w:space="0" w:color="auto"/>
            </w:tcBorders>
          </w:tcPr>
          <w:p w:rsidR="00985EE9" w:rsidRPr="00FA3856" w:rsidRDefault="00985EE9" w:rsidP="000662D3">
            <w:pPr>
              <w:pStyle w:val="Corpodetexto"/>
              <w:rPr>
                <w:rFonts w:ascii="Times New Roman" w:hAnsi="Times New Roman"/>
                <w:szCs w:val="20"/>
              </w:rPr>
            </w:pPr>
            <w:r w:rsidRPr="00FA3856">
              <w:rPr>
                <w:rFonts w:ascii="Times New Roman" w:hAnsi="Times New Roman"/>
                <w:b/>
                <w:bCs/>
                <w:szCs w:val="20"/>
              </w:rPr>
              <w:t>REGRA_OBRIGATORIO_TIPO_DIFERENTE_R</w:t>
            </w:r>
            <w:r w:rsidRPr="00FA3856">
              <w:rPr>
                <w:rFonts w:ascii="Times New Roman" w:hAnsi="Times New Roman"/>
                <w:szCs w:val="20"/>
              </w:rPr>
              <w:t xml:space="preserve">: </w:t>
            </w:r>
            <w:r w:rsidRPr="00FA3856">
              <w:rPr>
                <w:rStyle w:val="Hyperlink"/>
                <w:rFonts w:ascii="Times New Roman" w:hAnsi="Times New Roman"/>
                <w:bCs/>
                <w:color w:val="auto"/>
                <w:szCs w:val="20"/>
                <w:lang w:val="pt-PT"/>
              </w:rPr>
              <w:t xml:space="preserve">Verifica se o campo está preenchido quando o tipo da linha </w:t>
            </w:r>
            <w:r w:rsidR="0063733D" w:rsidRPr="00FA3856">
              <w:rPr>
                <w:rStyle w:val="Hyperlink"/>
                <w:rFonts w:ascii="Times New Roman" w:hAnsi="Times New Roman"/>
                <w:bCs/>
                <w:color w:val="auto"/>
                <w:szCs w:val="20"/>
                <w:lang w:val="pt-PT"/>
              </w:rPr>
              <w:t>é diferente</w:t>
            </w:r>
            <w:r w:rsidRPr="00FA3856">
              <w:rPr>
                <w:rStyle w:val="Hyperlink"/>
                <w:rFonts w:ascii="Times New Roman" w:hAnsi="Times New Roman"/>
                <w:bCs/>
                <w:color w:val="auto"/>
                <w:szCs w:val="20"/>
                <w:lang w:val="pt-PT"/>
              </w:rPr>
              <w:t xml:space="preserve"> de “R”.</w:t>
            </w:r>
          </w:p>
        </w:tc>
        <w:tc>
          <w:tcPr>
            <w:tcW w:w="717" w:type="dxa"/>
            <w:tcBorders>
              <w:top w:val="single" w:sz="6" w:space="0" w:color="auto"/>
              <w:left w:val="single" w:sz="6" w:space="0" w:color="auto"/>
              <w:bottom w:val="single" w:sz="6" w:space="0" w:color="auto"/>
              <w:right w:val="single" w:sz="6" w:space="0" w:color="auto"/>
            </w:tcBorders>
          </w:tcPr>
          <w:p w:rsidR="00985EE9" w:rsidRPr="00FA3856" w:rsidRDefault="00985EE9" w:rsidP="000662D3">
            <w:pPr>
              <w:pStyle w:val="PSDS-CorpodeTexto0"/>
              <w:rPr>
                <w:rFonts w:ascii="Times New Roman" w:hAnsi="Times New Roman"/>
              </w:rPr>
            </w:pPr>
            <w:r w:rsidRPr="00FA3856">
              <w:rPr>
                <w:rFonts w:ascii="Times New Roman" w:hAnsi="Times New Roman"/>
              </w:rPr>
              <w:t>Erro</w:t>
            </w:r>
          </w:p>
          <w:p w:rsidR="00985EE9" w:rsidRPr="00FA3856" w:rsidRDefault="00985EE9" w:rsidP="000662D3">
            <w:pPr>
              <w:pStyle w:val="PSDS-CorpodeTexto0"/>
              <w:rPr>
                <w:rFonts w:ascii="Times New Roman" w:hAnsi="Times New Roman"/>
              </w:rPr>
            </w:pPr>
          </w:p>
        </w:tc>
      </w:tr>
    </w:tbl>
    <w:p w:rsidR="00985EE9" w:rsidRPr="00FA3856" w:rsidRDefault="00985EE9" w:rsidP="00985EE9">
      <w:pPr>
        <w:rPr>
          <w:szCs w:val="20"/>
        </w:rPr>
      </w:pPr>
    </w:p>
    <w:p w:rsidR="00B9339A" w:rsidRPr="00FA3856" w:rsidRDefault="00B9339A" w:rsidP="00985EE9">
      <w:pPr>
        <w:rPr>
          <w:b/>
          <w:szCs w:val="20"/>
        </w:rPr>
      </w:pPr>
    </w:p>
    <w:p w:rsidR="00B9339A" w:rsidRPr="00FA3856" w:rsidRDefault="00B9339A" w:rsidP="00985EE9">
      <w:pPr>
        <w:rPr>
          <w:b/>
          <w:szCs w:val="20"/>
        </w:rPr>
      </w:pPr>
    </w:p>
    <w:p w:rsidR="00B9339A" w:rsidRPr="00FA3856" w:rsidRDefault="00B9339A" w:rsidP="00985EE9">
      <w:pPr>
        <w:rPr>
          <w:b/>
          <w:szCs w:val="20"/>
        </w:rPr>
      </w:pPr>
    </w:p>
    <w:p w:rsidR="00B9339A" w:rsidRDefault="00A85B58" w:rsidP="00012703">
      <w:pPr>
        <w:rPr>
          <w:b/>
          <w:szCs w:val="20"/>
        </w:rPr>
      </w:pPr>
      <w:r w:rsidRPr="00FA3856">
        <w:rPr>
          <w:b/>
          <w:szCs w:val="20"/>
        </w:rPr>
        <w:br w:type="page"/>
      </w:r>
      <w:r w:rsidR="00012703">
        <w:rPr>
          <w:b/>
          <w:szCs w:val="20"/>
        </w:rPr>
        <w:lastRenderedPageBreak/>
        <w:t>III – Tabela Dinâmica:</w:t>
      </w:r>
      <w:r w:rsidR="007D27B2">
        <w:rPr>
          <w:b/>
          <w:szCs w:val="20"/>
        </w:rPr>
        <w:t xml:space="preserve"> </w:t>
      </w:r>
      <w:r w:rsidR="007D27B2" w:rsidRPr="007D27B2">
        <w:rPr>
          <w:b/>
          <w:szCs w:val="20"/>
        </w:rPr>
        <w:t>P130 - Demonstrativo das Receitas Incentivadas - Lucro Presumido</w:t>
      </w:r>
    </w:p>
    <w:p w:rsidR="007D27B2" w:rsidRPr="00012703" w:rsidRDefault="00486CDA" w:rsidP="00012703">
      <w:pPr>
        <w:rPr>
          <w:b/>
          <w:szCs w:val="20"/>
        </w:rPr>
      </w:pPr>
      <w:r>
        <w:rPr>
          <w:b/>
          <w:szCs w:val="20"/>
        </w:rPr>
        <w:object w:dxaOrig="1534" w:dyaOrig="997">
          <v:shape id="_x0000_i1194" type="#_x0000_t75" style="width:79.5pt;height:50.25pt" o:ole="">
            <v:imagedata r:id="rId444" o:title=""/>
          </v:shape>
          <o:OLEObject Type="Link" ProgID="Excel.Sheet.12" ShapeID="_x0000_i1194" DrawAspect="Content" r:id="rId445" UpdateMode="OnCall">
            <o:LinkType>EnhancedMetaFile</o:LinkType>
            <o:LockedField>false</o:LockedField>
          </o:OLEObject>
        </w:object>
      </w:r>
    </w:p>
    <w:p w:rsidR="00495B98" w:rsidRDefault="00766A84" w:rsidP="00B617BD">
      <w:pPr>
        <w:pStyle w:val="Corpodetexto"/>
        <w:rPr>
          <w:rFonts w:ascii="Times New Roman" w:hAnsi="Times New Roman"/>
          <w:b/>
          <w:color w:val="002060"/>
          <w:szCs w:val="20"/>
        </w:rPr>
      </w:pPr>
      <w:r w:rsidRPr="00FA3856">
        <w:rPr>
          <w:rFonts w:ascii="Times New Roman" w:hAnsi="Times New Roman"/>
          <w:b/>
          <w:color w:val="002060"/>
          <w:szCs w:val="20"/>
        </w:rPr>
        <w:t xml:space="preserve">Exemplo de Preenchimento: </w:t>
      </w:r>
    </w:p>
    <w:p w:rsidR="00495B98" w:rsidRDefault="00495B98" w:rsidP="00B617BD">
      <w:pPr>
        <w:pStyle w:val="Corpodetexto"/>
        <w:rPr>
          <w:rFonts w:ascii="Times New Roman" w:hAnsi="Times New Roman"/>
          <w:b/>
          <w:color w:val="002060"/>
          <w:szCs w:val="20"/>
        </w:rPr>
      </w:pPr>
    </w:p>
    <w:p w:rsidR="00B617BD" w:rsidRPr="00FA3856" w:rsidRDefault="00B617BD" w:rsidP="00B617BD">
      <w:pPr>
        <w:pStyle w:val="Corpodetexto"/>
        <w:rPr>
          <w:rFonts w:ascii="Times New Roman" w:hAnsi="Times New Roman"/>
          <w:b/>
          <w:color w:val="002060"/>
          <w:szCs w:val="20"/>
        </w:rPr>
      </w:pPr>
      <w:r w:rsidRPr="00FA3856">
        <w:rPr>
          <w:rFonts w:ascii="Times New Roman" w:hAnsi="Times New Roman"/>
          <w:b/>
          <w:color w:val="002060"/>
          <w:szCs w:val="20"/>
        </w:rPr>
        <w:t>|P130|82|TOTAL DO LUCRO PRESUMIDO AJUSTADO|100000,00|</w:t>
      </w:r>
    </w:p>
    <w:p w:rsidR="00B617BD" w:rsidRPr="00FA3856" w:rsidRDefault="00B617BD" w:rsidP="00B617BD">
      <w:pPr>
        <w:pStyle w:val="Corpodetexto"/>
        <w:ind w:firstLine="708"/>
        <w:rPr>
          <w:rFonts w:ascii="Times New Roman" w:hAnsi="Times New Roman"/>
          <w:color w:val="002060"/>
          <w:szCs w:val="20"/>
        </w:rPr>
      </w:pPr>
      <w:r w:rsidRPr="00FA3856">
        <w:rPr>
          <w:rFonts w:ascii="Times New Roman" w:hAnsi="Times New Roman"/>
          <w:color w:val="002060"/>
          <w:szCs w:val="20"/>
        </w:rPr>
        <w:t>|P130|: Identificação do tipo do registro.</w:t>
      </w:r>
    </w:p>
    <w:p w:rsidR="00B617BD" w:rsidRPr="00FA3856" w:rsidRDefault="00B617BD" w:rsidP="00B617BD">
      <w:pPr>
        <w:pStyle w:val="Corpodetexto"/>
        <w:ind w:firstLine="708"/>
        <w:rPr>
          <w:rFonts w:ascii="Times New Roman" w:hAnsi="Times New Roman"/>
          <w:color w:val="002060"/>
          <w:szCs w:val="20"/>
        </w:rPr>
      </w:pPr>
      <w:r w:rsidRPr="00FA3856">
        <w:rPr>
          <w:rFonts w:ascii="Times New Roman" w:hAnsi="Times New Roman"/>
          <w:color w:val="002060"/>
          <w:szCs w:val="20"/>
        </w:rPr>
        <w:t>|82|: Código da linha.</w:t>
      </w:r>
      <w:r w:rsidRPr="00FA3856">
        <w:rPr>
          <w:rFonts w:ascii="Times New Roman" w:hAnsi="Times New Roman"/>
          <w:color w:val="002060"/>
          <w:szCs w:val="20"/>
        </w:rPr>
        <w:tab/>
      </w:r>
    </w:p>
    <w:p w:rsidR="00B617BD" w:rsidRPr="00FA3856" w:rsidRDefault="00B617BD" w:rsidP="00B617BD">
      <w:pPr>
        <w:pStyle w:val="Corpodetexto"/>
        <w:ind w:firstLine="708"/>
        <w:rPr>
          <w:rFonts w:ascii="Times New Roman" w:hAnsi="Times New Roman"/>
          <w:color w:val="002060"/>
          <w:szCs w:val="20"/>
        </w:rPr>
      </w:pPr>
      <w:r w:rsidRPr="00FA3856">
        <w:rPr>
          <w:rFonts w:ascii="Times New Roman" w:hAnsi="Times New Roman"/>
          <w:color w:val="002060"/>
          <w:szCs w:val="20"/>
        </w:rPr>
        <w:t>|TOTAL DO LUCRO PRESUMIDO AJUSTADO|: Descrição da linha.</w:t>
      </w:r>
    </w:p>
    <w:p w:rsidR="00B617BD" w:rsidRPr="00FA3856" w:rsidRDefault="00B617BD" w:rsidP="00B617BD">
      <w:pPr>
        <w:pStyle w:val="Corpodetexto"/>
        <w:ind w:firstLine="708"/>
        <w:rPr>
          <w:rFonts w:ascii="Times New Roman" w:hAnsi="Times New Roman"/>
          <w:color w:val="002060"/>
          <w:szCs w:val="20"/>
        </w:rPr>
      </w:pPr>
      <w:r w:rsidRPr="00FA3856">
        <w:rPr>
          <w:rFonts w:ascii="Times New Roman" w:hAnsi="Times New Roman"/>
          <w:color w:val="002060"/>
          <w:szCs w:val="20"/>
        </w:rPr>
        <w:t>|100000,00|: Valor da linha (R$ 100.000,00).</w:t>
      </w:r>
    </w:p>
    <w:p w:rsidR="00985EE9" w:rsidRPr="00FA3856" w:rsidRDefault="00985EE9" w:rsidP="00985EE9">
      <w:pPr>
        <w:rPr>
          <w:b/>
          <w:szCs w:val="20"/>
        </w:rPr>
      </w:pPr>
    </w:p>
    <w:p w:rsidR="00985EE9" w:rsidRPr="00FA3856" w:rsidRDefault="00985EE9">
      <w:pPr>
        <w:rPr>
          <w:b/>
          <w:bCs/>
          <w:color w:val="0000FF"/>
          <w:szCs w:val="20"/>
        </w:rPr>
      </w:pPr>
      <w:r w:rsidRPr="00FA3856">
        <w:rPr>
          <w:color w:val="0000FF"/>
          <w:szCs w:val="20"/>
        </w:rPr>
        <w:br w:type="page"/>
      </w:r>
    </w:p>
    <w:p w:rsidR="00A43FC0" w:rsidRPr="00FA3856" w:rsidRDefault="00985EE9" w:rsidP="00867F54">
      <w:pPr>
        <w:pStyle w:val="Ttulo4"/>
      </w:pPr>
      <w:bookmarkStart w:id="303" w:name="_Toc479713757"/>
      <w:r w:rsidRPr="00FA3856">
        <w:lastRenderedPageBreak/>
        <w:t>Registro P15</w:t>
      </w:r>
      <w:r w:rsidR="00A43FC0" w:rsidRPr="00FA3856">
        <w:t xml:space="preserve">0: Demonstrativo do Resultado </w:t>
      </w:r>
      <w:r w:rsidR="00087651">
        <w:t>Líquido no Período Fiscal</w:t>
      </w:r>
      <w:bookmarkEnd w:id="303"/>
    </w:p>
    <w:p w:rsidR="00A43FC0" w:rsidRPr="00FA3856" w:rsidRDefault="00F023C2" w:rsidP="00F023C2">
      <w:pPr>
        <w:tabs>
          <w:tab w:val="left" w:pos="12795"/>
        </w:tabs>
        <w:jc w:val="both"/>
        <w:rPr>
          <w:szCs w:val="20"/>
        </w:rPr>
      </w:pPr>
      <w:r w:rsidRPr="00FA3856">
        <w:rPr>
          <w:szCs w:val="20"/>
        </w:rPr>
        <w:tab/>
      </w:r>
    </w:p>
    <w:p w:rsidR="00E210AD" w:rsidRPr="00FA3856" w:rsidRDefault="00E210AD" w:rsidP="00F023C2">
      <w:pPr>
        <w:pStyle w:val="PSDS-CorpodeTexto0"/>
        <w:ind w:firstLine="708"/>
        <w:jc w:val="both"/>
        <w:rPr>
          <w:rFonts w:ascii="Times New Roman" w:hAnsi="Times New Roman"/>
        </w:rPr>
      </w:pPr>
      <w:r w:rsidRPr="00FA3856">
        <w:rPr>
          <w:rFonts w:ascii="Times New Roman" w:hAnsi="Times New Roman"/>
        </w:rPr>
        <w:t>Apresenta a apuração da demonstração do resultado do exercício. Os valores serão recuperados com base nos registros J051, K355 e K356 se 0010. TIP_ESC_PRE for igual a “C” (contábil) e calculados pela própria ECF.</w:t>
      </w:r>
    </w:p>
    <w:p w:rsidR="00E210AD" w:rsidRPr="00FA3856" w:rsidRDefault="00E210AD" w:rsidP="00F023C2">
      <w:pPr>
        <w:pStyle w:val="PSDS-CorpodeTexto0"/>
        <w:ind w:firstLine="708"/>
        <w:jc w:val="both"/>
        <w:rPr>
          <w:rFonts w:ascii="Times New Roman" w:hAnsi="Times New Roman"/>
        </w:rPr>
      </w:pPr>
    </w:p>
    <w:p w:rsidR="00F023C2" w:rsidRPr="00FA3856" w:rsidRDefault="00804C7B" w:rsidP="00F023C2">
      <w:pPr>
        <w:pStyle w:val="PSDS-CorpodeTexto0"/>
        <w:ind w:firstLine="708"/>
        <w:jc w:val="both"/>
        <w:rPr>
          <w:rFonts w:ascii="Times New Roman" w:hAnsi="Times New Roman"/>
        </w:rPr>
      </w:pPr>
      <w:r w:rsidRPr="00FA3856">
        <w:rPr>
          <w:rFonts w:ascii="Times New Roman" w:hAnsi="Times New Roman"/>
          <w:b/>
        </w:rPr>
        <w:t>Aten</w:t>
      </w:r>
      <w:r w:rsidR="00F023C2" w:rsidRPr="00FA3856">
        <w:rPr>
          <w:rFonts w:ascii="Times New Roman" w:hAnsi="Times New Roman"/>
          <w:b/>
        </w:rPr>
        <w:t xml:space="preserve">ção: </w:t>
      </w:r>
      <w:r w:rsidR="00F023C2" w:rsidRPr="00FA3856">
        <w:rPr>
          <w:rFonts w:ascii="Times New Roman" w:hAnsi="Times New Roman"/>
        </w:rPr>
        <w:t>Caso 0010. TIP_ESC_PRE for igual a “L” (livro caixa), este registro não será preenchido.</w:t>
      </w:r>
    </w:p>
    <w:p w:rsidR="00804C7B" w:rsidRDefault="00804C7B" w:rsidP="00F023C2">
      <w:pPr>
        <w:pStyle w:val="PSDS-CorpodeTexto0"/>
        <w:ind w:firstLine="708"/>
        <w:jc w:val="both"/>
        <w:rPr>
          <w:rFonts w:ascii="Times New Roman" w:hAnsi="Times New Roman"/>
        </w:rPr>
      </w:pPr>
    </w:p>
    <w:p w:rsidR="00087651" w:rsidRPr="00FA3856" w:rsidRDefault="00B35FA3" w:rsidP="00087651">
      <w:pPr>
        <w:pStyle w:val="PSDS-CorpodeTexto0"/>
        <w:ind w:firstLine="708"/>
        <w:jc w:val="center"/>
        <w:rPr>
          <w:rFonts w:ascii="Times New Roman" w:hAnsi="Times New Roman"/>
        </w:rPr>
      </w:pPr>
      <w:r>
        <w:rPr>
          <w:rFonts w:ascii="Times New Roman" w:hAnsi="Times New Roman"/>
        </w:rPr>
        <w:object w:dxaOrig="13935" w:dyaOrig="7260">
          <v:shape id="_x0000_i1782" type="#_x0000_t75" style="width:740.25pt;height:354.75pt" o:ole="">
            <v:imagedata r:id="rId446" o:title=""/>
          </v:shape>
          <o:OLEObject Type="Link" ProgID="Excel.Sheet.12" ShapeID="_x0000_i1782" DrawAspect="Content" r:id="rId447" UpdateMode="Always">
            <o:LinkType>EnhancedMetaFile</o:LinkType>
            <o:LockedField>false</o:LockedField>
          </o:OLEObject>
        </w:object>
      </w:r>
    </w:p>
    <w:p w:rsidR="00D467F3" w:rsidRDefault="00D467F3">
      <w:pPr>
        <w:spacing w:after="200" w:line="276" w:lineRule="auto"/>
        <w:rPr>
          <w:b/>
          <w:szCs w:val="20"/>
          <w:lang w:val="pt-PT"/>
        </w:rPr>
      </w:pPr>
      <w:r>
        <w:rPr>
          <w:b/>
          <w:szCs w:val="20"/>
          <w:lang w:val="pt-PT"/>
        </w:rPr>
        <w:br w:type="page"/>
      </w:r>
    </w:p>
    <w:p w:rsidR="00A43FC0" w:rsidRPr="00FA3856" w:rsidRDefault="00A43FC0" w:rsidP="00985EE9">
      <w:pPr>
        <w:rPr>
          <w:b/>
          <w:szCs w:val="20"/>
          <w:lang w:val="pt-PT"/>
        </w:rPr>
      </w:pPr>
      <w:r w:rsidRPr="00FA3856">
        <w:rPr>
          <w:b/>
          <w:szCs w:val="20"/>
          <w:lang w:val="pt-PT"/>
        </w:rPr>
        <w:lastRenderedPageBreak/>
        <w:t>I – R</w:t>
      </w:r>
      <w:r w:rsidR="00985EE9" w:rsidRPr="00FA3856">
        <w:rPr>
          <w:b/>
          <w:szCs w:val="20"/>
          <w:lang w:val="pt-PT"/>
        </w:rPr>
        <w:t>egras de Validação do Registro:</w:t>
      </w:r>
    </w:p>
    <w:p w:rsidR="00F023C2" w:rsidRPr="00FA3856" w:rsidRDefault="00F023C2" w:rsidP="00A43FC0">
      <w:pPr>
        <w:pStyle w:val="Corpodetexto"/>
        <w:ind w:left="708" w:firstLine="12"/>
        <w:rPr>
          <w:rFonts w:ascii="Times New Roman" w:hAnsi="Times New Roman"/>
          <w:szCs w:val="20"/>
        </w:rPr>
      </w:pPr>
    </w:p>
    <w:p w:rsidR="00A43FC0" w:rsidRPr="00FA3856" w:rsidRDefault="007D0E74" w:rsidP="00A43FC0">
      <w:pPr>
        <w:pStyle w:val="Corpodetexto"/>
        <w:ind w:left="708" w:firstLine="12"/>
        <w:rPr>
          <w:rFonts w:ascii="Times New Roman" w:hAnsi="Times New Roman"/>
          <w:szCs w:val="20"/>
        </w:rPr>
      </w:pPr>
      <w:hyperlink r:id="rId448" w:anchor="REGRA_OCORRENCIA_UNITARIA_ARQ" w:history="1">
        <w:r w:rsidR="00A43FC0" w:rsidRPr="00FA3856">
          <w:rPr>
            <w:rFonts w:ascii="Times New Roman" w:hAnsi="Times New Roman"/>
            <w:b/>
            <w:szCs w:val="20"/>
          </w:rPr>
          <w:t>REGRA_</w:t>
        </w:r>
      </w:hyperlink>
      <w:r w:rsidR="00A43FC0" w:rsidRPr="00FA3856">
        <w:rPr>
          <w:rFonts w:ascii="Times New Roman" w:hAnsi="Times New Roman"/>
          <w:b/>
          <w:szCs w:val="20"/>
        </w:rPr>
        <w:t>DUPLICIDADE_DESPREZADA</w:t>
      </w:r>
      <w:r w:rsidR="00A43FC0" w:rsidRPr="00FA3856">
        <w:rPr>
          <w:rFonts w:ascii="Times New Roman" w:hAnsi="Times New Roman"/>
          <w:color w:val="auto"/>
          <w:szCs w:val="20"/>
        </w:rPr>
        <w:t xml:space="preserve">: </w:t>
      </w:r>
      <w:r w:rsidR="00A43FC0" w:rsidRPr="00FA3856">
        <w:rPr>
          <w:rFonts w:ascii="Times New Roman" w:hAnsi="Times New Roman"/>
          <w:szCs w:val="20"/>
        </w:rPr>
        <w:t>Verifica se o registro já foi importado anteriormente, de acordo com a chave e os registros pais. Se a regra não for cumprida, a ECF gera um aviso.</w:t>
      </w:r>
    </w:p>
    <w:p w:rsidR="00A43FC0" w:rsidRPr="00FA3856" w:rsidRDefault="00A43FC0" w:rsidP="00A43FC0">
      <w:pPr>
        <w:pStyle w:val="Corpodetexto"/>
        <w:ind w:left="708" w:firstLine="12"/>
        <w:rPr>
          <w:rFonts w:ascii="Times New Roman" w:hAnsi="Times New Roman"/>
          <w:szCs w:val="20"/>
        </w:rPr>
      </w:pPr>
    </w:p>
    <w:p w:rsidR="00A43FC0" w:rsidRPr="00FA3856" w:rsidRDefault="007D0E74" w:rsidP="00A43FC0">
      <w:pPr>
        <w:pStyle w:val="Corpodetexto"/>
        <w:ind w:left="708" w:firstLine="12"/>
        <w:rPr>
          <w:rFonts w:ascii="Times New Roman" w:hAnsi="Times New Roman"/>
          <w:szCs w:val="20"/>
        </w:rPr>
      </w:pPr>
      <w:hyperlink r:id="rId449" w:anchor="REGRA_OCORRENCIA_UNITARIA_ARQ" w:history="1">
        <w:r w:rsidR="00A43FC0" w:rsidRPr="00FA3856">
          <w:rPr>
            <w:rFonts w:ascii="Times New Roman" w:hAnsi="Times New Roman"/>
            <w:b/>
            <w:szCs w:val="20"/>
          </w:rPr>
          <w:t>REGRA_</w:t>
        </w:r>
      </w:hyperlink>
      <w:r w:rsidR="00A43FC0" w:rsidRPr="00FA3856">
        <w:rPr>
          <w:rFonts w:ascii="Times New Roman" w:hAnsi="Times New Roman"/>
          <w:b/>
          <w:szCs w:val="20"/>
        </w:rPr>
        <w:t>LINHA_DESPREZADA</w:t>
      </w:r>
      <w:r w:rsidR="00A43FC0" w:rsidRPr="00FA3856">
        <w:rPr>
          <w:rFonts w:ascii="Times New Roman" w:hAnsi="Times New Roman"/>
          <w:color w:val="auto"/>
          <w:szCs w:val="20"/>
        </w:rPr>
        <w:t xml:space="preserve">: </w:t>
      </w:r>
      <w:r w:rsidR="00A43FC0" w:rsidRPr="00FA3856">
        <w:rPr>
          <w:rFonts w:ascii="Times New Roman" w:hAnsi="Times New Roman"/>
          <w:szCs w:val="20"/>
        </w:rPr>
        <w:t>Verifica se o registro existe na importação, mas não será importado por não existir na tabela dinâmica devido às configurações do bloco 0 ou da tabela dinâmica. Gera um aviso.</w:t>
      </w:r>
    </w:p>
    <w:p w:rsidR="00A43FC0" w:rsidRPr="00FA3856" w:rsidRDefault="00A43FC0" w:rsidP="00A43FC0">
      <w:pPr>
        <w:pStyle w:val="Corpodetexto"/>
        <w:ind w:left="708" w:firstLine="12"/>
        <w:rPr>
          <w:rFonts w:ascii="Times New Roman" w:hAnsi="Times New Roman"/>
          <w:b/>
          <w:szCs w:val="20"/>
        </w:rPr>
      </w:pPr>
    </w:p>
    <w:p w:rsidR="00A43FC0" w:rsidRPr="00FA3856" w:rsidRDefault="007D0E74" w:rsidP="00A43FC0">
      <w:pPr>
        <w:pStyle w:val="Corpodetexto"/>
        <w:ind w:left="708" w:firstLine="12"/>
        <w:rPr>
          <w:rFonts w:ascii="Times New Roman" w:hAnsi="Times New Roman"/>
          <w:b/>
          <w:szCs w:val="20"/>
        </w:rPr>
      </w:pPr>
      <w:hyperlink r:id="rId450" w:anchor="REGRA_OCORRENCIA_UNITARIA_ARQ" w:history="1">
        <w:r w:rsidR="00A43FC0" w:rsidRPr="00FA3856">
          <w:rPr>
            <w:rFonts w:ascii="Times New Roman" w:hAnsi="Times New Roman"/>
            <w:b/>
            <w:szCs w:val="20"/>
          </w:rPr>
          <w:t>REGRA_</w:t>
        </w:r>
      </w:hyperlink>
      <w:r w:rsidR="00A43FC0" w:rsidRPr="00FA3856">
        <w:rPr>
          <w:rFonts w:ascii="Times New Roman" w:hAnsi="Times New Roman"/>
          <w:b/>
          <w:szCs w:val="20"/>
        </w:rPr>
        <w:t>LINHA_ATUALIZADA</w:t>
      </w:r>
      <w:r w:rsidR="00A43FC0" w:rsidRPr="00FA3856">
        <w:rPr>
          <w:rFonts w:ascii="Times New Roman" w:hAnsi="Times New Roman"/>
          <w:color w:val="auto"/>
          <w:szCs w:val="20"/>
        </w:rPr>
        <w:t xml:space="preserve">: </w:t>
      </w:r>
      <w:r w:rsidR="00A43FC0" w:rsidRPr="00FA3856">
        <w:rPr>
          <w:rFonts w:ascii="Times New Roman" w:hAnsi="Times New Roman"/>
          <w:szCs w:val="20"/>
        </w:rPr>
        <w:t>Verifica se o registro está desatualizado em relação à tabela da RFB. Gera um aviso.</w:t>
      </w:r>
    </w:p>
    <w:p w:rsidR="00766A84" w:rsidRDefault="00766A84" w:rsidP="00507874">
      <w:pPr>
        <w:rPr>
          <w:b/>
          <w:color w:val="002060"/>
          <w:szCs w:val="20"/>
        </w:rPr>
      </w:pPr>
    </w:p>
    <w:p w:rsidR="00D467F3" w:rsidRPr="00FA3856" w:rsidRDefault="00D467F3" w:rsidP="00D467F3">
      <w:pPr>
        <w:rPr>
          <w:b/>
          <w:szCs w:val="20"/>
          <w:lang w:val="pt-PT"/>
        </w:rPr>
      </w:pPr>
      <w:r w:rsidRPr="00FA3856">
        <w:rPr>
          <w:b/>
          <w:szCs w:val="20"/>
          <w:lang w:val="pt-PT"/>
        </w:rPr>
        <w:t>II – Regras de Validação de Campos:</w:t>
      </w:r>
    </w:p>
    <w:p w:rsidR="00D467F3" w:rsidRPr="00FA3856" w:rsidRDefault="00D467F3" w:rsidP="00D467F3">
      <w:pPr>
        <w:rPr>
          <w:b/>
          <w:szCs w:val="20"/>
          <w:lang w:val="pt-PT"/>
        </w:rPr>
      </w:pPr>
    </w:p>
    <w:tbl>
      <w:tblPr>
        <w:tblW w:w="15367"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85"/>
        <w:gridCol w:w="3000"/>
        <w:gridCol w:w="11165"/>
        <w:gridCol w:w="717"/>
      </w:tblGrid>
      <w:tr w:rsidR="00D467F3" w:rsidRPr="00FA3856" w:rsidTr="00D467F3">
        <w:trPr>
          <w:jc w:val="center"/>
        </w:trPr>
        <w:tc>
          <w:tcPr>
            <w:tcW w:w="485" w:type="dxa"/>
            <w:tcBorders>
              <w:top w:val="single" w:sz="6" w:space="0" w:color="auto"/>
              <w:left w:val="single" w:sz="6" w:space="0" w:color="auto"/>
              <w:bottom w:val="single" w:sz="6" w:space="0" w:color="auto"/>
              <w:right w:val="single" w:sz="6" w:space="0" w:color="auto"/>
            </w:tcBorders>
            <w:shd w:val="pct10" w:color="auto" w:fill="FFFFFF"/>
          </w:tcPr>
          <w:p w:rsidR="00D467F3" w:rsidRPr="00FA3856" w:rsidRDefault="00D467F3" w:rsidP="00D467F3">
            <w:pPr>
              <w:pStyle w:val="PSDS-CorpodeTexto0"/>
              <w:jc w:val="center"/>
              <w:rPr>
                <w:rFonts w:ascii="Times New Roman" w:hAnsi="Times New Roman"/>
                <w:b/>
                <w:bCs/>
              </w:rPr>
            </w:pPr>
            <w:r w:rsidRPr="00FA3856">
              <w:rPr>
                <w:rFonts w:ascii="Times New Roman" w:hAnsi="Times New Roman"/>
                <w:b/>
                <w:bCs/>
              </w:rPr>
              <w:t>Nº</w:t>
            </w:r>
          </w:p>
        </w:tc>
        <w:tc>
          <w:tcPr>
            <w:tcW w:w="3000" w:type="dxa"/>
            <w:tcBorders>
              <w:top w:val="single" w:sz="6" w:space="0" w:color="auto"/>
              <w:left w:val="single" w:sz="6" w:space="0" w:color="auto"/>
              <w:bottom w:val="single" w:sz="6" w:space="0" w:color="auto"/>
              <w:right w:val="single" w:sz="6" w:space="0" w:color="auto"/>
            </w:tcBorders>
            <w:shd w:val="pct10" w:color="auto" w:fill="FFFFFF"/>
          </w:tcPr>
          <w:p w:rsidR="00D467F3" w:rsidRPr="00FA3856" w:rsidRDefault="00D467F3" w:rsidP="00D467F3">
            <w:pPr>
              <w:pStyle w:val="PSDS-CorpodeTexto0"/>
              <w:jc w:val="center"/>
              <w:rPr>
                <w:rFonts w:ascii="Times New Roman" w:hAnsi="Times New Roman"/>
                <w:b/>
                <w:bCs/>
              </w:rPr>
            </w:pPr>
            <w:r w:rsidRPr="00FA3856">
              <w:rPr>
                <w:rFonts w:ascii="Times New Roman" w:hAnsi="Times New Roman"/>
                <w:b/>
                <w:bCs/>
              </w:rPr>
              <w:t>Campo</w:t>
            </w:r>
          </w:p>
        </w:tc>
        <w:tc>
          <w:tcPr>
            <w:tcW w:w="11165" w:type="dxa"/>
            <w:tcBorders>
              <w:top w:val="single" w:sz="6" w:space="0" w:color="auto"/>
              <w:left w:val="single" w:sz="6" w:space="0" w:color="auto"/>
              <w:bottom w:val="single" w:sz="6" w:space="0" w:color="auto"/>
              <w:right w:val="single" w:sz="6" w:space="0" w:color="auto"/>
            </w:tcBorders>
            <w:shd w:val="pct10" w:color="auto" w:fill="FFFFFF"/>
          </w:tcPr>
          <w:p w:rsidR="00D467F3" w:rsidRPr="00FA3856" w:rsidRDefault="00D467F3" w:rsidP="00D467F3">
            <w:pPr>
              <w:pStyle w:val="PSDS-CorpodeTexto0"/>
              <w:jc w:val="center"/>
              <w:rPr>
                <w:rFonts w:ascii="Times New Roman" w:hAnsi="Times New Roman"/>
                <w:b/>
                <w:bCs/>
              </w:rPr>
            </w:pPr>
            <w:r w:rsidRPr="00FA3856">
              <w:rPr>
                <w:rFonts w:ascii="Times New Roman" w:hAnsi="Times New Roman"/>
                <w:b/>
                <w:bCs/>
              </w:rPr>
              <w:t>Regras de Validação do Campo</w:t>
            </w:r>
          </w:p>
        </w:tc>
        <w:tc>
          <w:tcPr>
            <w:tcW w:w="717" w:type="dxa"/>
            <w:tcBorders>
              <w:top w:val="single" w:sz="6" w:space="0" w:color="auto"/>
              <w:left w:val="single" w:sz="6" w:space="0" w:color="auto"/>
              <w:bottom w:val="single" w:sz="6" w:space="0" w:color="auto"/>
              <w:right w:val="single" w:sz="6" w:space="0" w:color="auto"/>
            </w:tcBorders>
            <w:shd w:val="pct10" w:color="auto" w:fill="FFFFFF"/>
          </w:tcPr>
          <w:p w:rsidR="00D467F3" w:rsidRPr="00FA3856" w:rsidRDefault="00D467F3" w:rsidP="00D467F3">
            <w:pPr>
              <w:pStyle w:val="PSDS-CorpodeTexto0"/>
              <w:jc w:val="center"/>
              <w:rPr>
                <w:rFonts w:ascii="Times New Roman" w:hAnsi="Times New Roman"/>
                <w:b/>
                <w:bCs/>
              </w:rPr>
            </w:pPr>
            <w:r w:rsidRPr="00FA3856">
              <w:rPr>
                <w:rFonts w:ascii="Times New Roman" w:hAnsi="Times New Roman"/>
                <w:b/>
                <w:bCs/>
              </w:rPr>
              <w:t>Tipo</w:t>
            </w:r>
          </w:p>
        </w:tc>
      </w:tr>
      <w:tr w:rsidR="00D467F3" w:rsidRPr="00FA3856" w:rsidTr="00D467F3">
        <w:trPr>
          <w:jc w:val="center"/>
        </w:trPr>
        <w:tc>
          <w:tcPr>
            <w:tcW w:w="485" w:type="dxa"/>
            <w:tcBorders>
              <w:top w:val="single" w:sz="6" w:space="0" w:color="auto"/>
              <w:left w:val="single" w:sz="6" w:space="0" w:color="auto"/>
              <w:bottom w:val="single" w:sz="6" w:space="0" w:color="auto"/>
              <w:right w:val="single" w:sz="6" w:space="0" w:color="auto"/>
            </w:tcBorders>
          </w:tcPr>
          <w:p w:rsidR="00D467F3" w:rsidRPr="00FA3856" w:rsidRDefault="00D467F3" w:rsidP="00D467F3">
            <w:pPr>
              <w:pStyle w:val="PSDS-CorpodeTexto0"/>
              <w:suppressAutoHyphens w:val="0"/>
              <w:rPr>
                <w:rFonts w:ascii="Times New Roman" w:hAnsi="Times New Roman"/>
                <w:b/>
                <w:bCs/>
                <w:lang w:val="pt-PT"/>
              </w:rPr>
            </w:pPr>
            <w:r w:rsidRPr="00FA3856">
              <w:rPr>
                <w:rFonts w:ascii="Times New Roman" w:hAnsi="Times New Roman"/>
                <w:b/>
                <w:bCs/>
                <w:lang w:val="pt-PT"/>
              </w:rPr>
              <w:t>4</w:t>
            </w:r>
          </w:p>
        </w:tc>
        <w:tc>
          <w:tcPr>
            <w:tcW w:w="3000" w:type="dxa"/>
            <w:tcBorders>
              <w:top w:val="single" w:sz="6" w:space="0" w:color="auto"/>
              <w:left w:val="single" w:sz="6" w:space="0" w:color="auto"/>
              <w:bottom w:val="single" w:sz="6" w:space="0" w:color="auto"/>
              <w:right w:val="single" w:sz="6" w:space="0" w:color="auto"/>
            </w:tcBorders>
          </w:tcPr>
          <w:p w:rsidR="00D467F3" w:rsidRPr="00FA3856" w:rsidRDefault="00D467F3" w:rsidP="00D467F3">
            <w:pPr>
              <w:pStyle w:val="PSDS-CorpodeTexto0"/>
              <w:rPr>
                <w:rFonts w:ascii="Times New Roman" w:hAnsi="Times New Roman"/>
              </w:rPr>
            </w:pPr>
            <w:r w:rsidRPr="00FA3856">
              <w:rPr>
                <w:rFonts w:ascii="Times New Roman" w:hAnsi="Times New Roman"/>
              </w:rPr>
              <w:t>VALOR</w:t>
            </w:r>
          </w:p>
        </w:tc>
        <w:tc>
          <w:tcPr>
            <w:tcW w:w="11165" w:type="dxa"/>
            <w:tcBorders>
              <w:top w:val="single" w:sz="6" w:space="0" w:color="auto"/>
              <w:left w:val="single" w:sz="6" w:space="0" w:color="auto"/>
              <w:bottom w:val="single" w:sz="6" w:space="0" w:color="auto"/>
              <w:right w:val="single" w:sz="6" w:space="0" w:color="auto"/>
            </w:tcBorders>
          </w:tcPr>
          <w:p w:rsidR="00D467F3" w:rsidRPr="00FA3856" w:rsidRDefault="00D467F3" w:rsidP="00D467F3">
            <w:pPr>
              <w:pStyle w:val="Corpodetexto"/>
              <w:rPr>
                <w:rFonts w:ascii="Times New Roman" w:hAnsi="Times New Roman"/>
                <w:szCs w:val="20"/>
              </w:rPr>
            </w:pPr>
            <w:r w:rsidRPr="00FA3856">
              <w:rPr>
                <w:rFonts w:ascii="Times New Roman" w:hAnsi="Times New Roman"/>
                <w:b/>
                <w:bCs/>
                <w:szCs w:val="20"/>
              </w:rPr>
              <w:t>REGRA_OBRIGATORIO_TIPO_DIFERENTE_R</w:t>
            </w:r>
            <w:r w:rsidRPr="00FA3856">
              <w:rPr>
                <w:rFonts w:ascii="Times New Roman" w:hAnsi="Times New Roman"/>
                <w:szCs w:val="20"/>
              </w:rPr>
              <w:t xml:space="preserve">: </w:t>
            </w:r>
            <w:r w:rsidRPr="00FA3856">
              <w:rPr>
                <w:rStyle w:val="Hyperlink"/>
                <w:rFonts w:ascii="Times New Roman" w:hAnsi="Times New Roman"/>
                <w:bCs/>
                <w:color w:val="auto"/>
                <w:szCs w:val="20"/>
                <w:lang w:val="pt-PT"/>
              </w:rPr>
              <w:t>Verifica se o campo está preenchido quando o tipo da linha é diferente de “R”.</w:t>
            </w:r>
          </w:p>
        </w:tc>
        <w:tc>
          <w:tcPr>
            <w:tcW w:w="717" w:type="dxa"/>
            <w:tcBorders>
              <w:top w:val="single" w:sz="6" w:space="0" w:color="auto"/>
              <w:left w:val="single" w:sz="6" w:space="0" w:color="auto"/>
              <w:bottom w:val="single" w:sz="6" w:space="0" w:color="auto"/>
              <w:right w:val="single" w:sz="6" w:space="0" w:color="auto"/>
            </w:tcBorders>
          </w:tcPr>
          <w:p w:rsidR="00D467F3" w:rsidRPr="00FA3856" w:rsidRDefault="00D467F3" w:rsidP="00D467F3">
            <w:pPr>
              <w:pStyle w:val="PSDS-CorpodeTexto0"/>
              <w:rPr>
                <w:rFonts w:ascii="Times New Roman" w:hAnsi="Times New Roman"/>
              </w:rPr>
            </w:pPr>
            <w:r w:rsidRPr="00FA3856">
              <w:rPr>
                <w:rFonts w:ascii="Times New Roman" w:hAnsi="Times New Roman"/>
              </w:rPr>
              <w:t>Erro</w:t>
            </w:r>
          </w:p>
          <w:p w:rsidR="00D467F3" w:rsidRPr="00FA3856" w:rsidRDefault="00D467F3" w:rsidP="00D467F3">
            <w:pPr>
              <w:pStyle w:val="PSDS-CorpodeTexto0"/>
              <w:rPr>
                <w:rFonts w:ascii="Times New Roman" w:hAnsi="Times New Roman"/>
              </w:rPr>
            </w:pPr>
          </w:p>
        </w:tc>
      </w:tr>
    </w:tbl>
    <w:p w:rsidR="00D467F3" w:rsidRDefault="00D467F3" w:rsidP="00507874">
      <w:pPr>
        <w:rPr>
          <w:b/>
          <w:color w:val="002060"/>
          <w:szCs w:val="20"/>
        </w:rPr>
      </w:pPr>
    </w:p>
    <w:p w:rsidR="00446C33" w:rsidRPr="00FA3856" w:rsidRDefault="00D467F3" w:rsidP="00446C33">
      <w:pPr>
        <w:rPr>
          <w:b/>
          <w:szCs w:val="20"/>
          <w:lang w:val="pt-PT"/>
        </w:rPr>
      </w:pPr>
      <w:r>
        <w:rPr>
          <w:b/>
          <w:szCs w:val="20"/>
          <w:lang w:val="pt-PT"/>
        </w:rPr>
        <w:t>I</w:t>
      </w:r>
      <w:r w:rsidR="00446C33">
        <w:rPr>
          <w:b/>
          <w:szCs w:val="20"/>
          <w:lang w:val="pt-PT"/>
        </w:rPr>
        <w:t>II</w:t>
      </w:r>
      <w:r w:rsidR="00446C33" w:rsidRPr="00FA3856">
        <w:rPr>
          <w:b/>
          <w:szCs w:val="20"/>
          <w:lang w:val="pt-PT"/>
        </w:rPr>
        <w:t xml:space="preserve"> – </w:t>
      </w:r>
      <w:r w:rsidR="00446C33">
        <w:rPr>
          <w:b/>
          <w:szCs w:val="20"/>
          <w:lang w:val="pt-PT"/>
        </w:rPr>
        <w:t>Plano de Contas Referencial</w:t>
      </w:r>
      <w:r w:rsidR="00446C33" w:rsidRPr="00FA3856">
        <w:rPr>
          <w:b/>
          <w:szCs w:val="20"/>
          <w:lang w:val="pt-PT"/>
        </w:rPr>
        <w:t>:</w:t>
      </w:r>
    </w:p>
    <w:p w:rsidR="00446C33" w:rsidRPr="00FA3856" w:rsidRDefault="00446C33" w:rsidP="00446C33">
      <w:pPr>
        <w:rPr>
          <w:b/>
          <w:szCs w:val="20"/>
          <w:lang w:val="pt-PT"/>
        </w:rPr>
      </w:pPr>
      <w:r w:rsidRPr="00FA3856">
        <w:rPr>
          <w:b/>
          <w:szCs w:val="20"/>
          <w:lang w:val="pt-PT"/>
        </w:rPr>
        <w:t>Código: Chave da linha.</w:t>
      </w:r>
    </w:p>
    <w:p w:rsidR="00446C33" w:rsidRPr="00FA3856" w:rsidRDefault="00446C33" w:rsidP="00446C33">
      <w:pPr>
        <w:rPr>
          <w:b/>
          <w:szCs w:val="20"/>
          <w:lang w:val="pt-PT"/>
        </w:rPr>
      </w:pPr>
      <w:r w:rsidRPr="00FA3856">
        <w:rPr>
          <w:b/>
          <w:szCs w:val="20"/>
          <w:lang w:val="pt-PT"/>
        </w:rPr>
        <w:t>Ordem: Ordem de apresentação das linhas.</w:t>
      </w:r>
    </w:p>
    <w:p w:rsidR="00446C33" w:rsidRPr="00FA3856" w:rsidRDefault="00446C33" w:rsidP="00446C33">
      <w:pPr>
        <w:rPr>
          <w:b/>
          <w:szCs w:val="20"/>
          <w:lang w:val="pt-PT"/>
        </w:rPr>
      </w:pPr>
      <w:r w:rsidRPr="00FA3856">
        <w:rPr>
          <w:b/>
          <w:szCs w:val="20"/>
          <w:lang w:val="pt-PT"/>
        </w:rPr>
        <w:t>Tipo: S = Sintética; A = Analítica</w:t>
      </w:r>
    </w:p>
    <w:p w:rsidR="00446C33" w:rsidRDefault="00446C33" w:rsidP="00446C33">
      <w:pPr>
        <w:tabs>
          <w:tab w:val="left" w:pos="2985"/>
        </w:tabs>
        <w:rPr>
          <w:b/>
          <w:szCs w:val="20"/>
          <w:lang w:val="pt-PT"/>
        </w:rPr>
      </w:pPr>
      <w:r w:rsidRPr="00FA3856">
        <w:rPr>
          <w:b/>
          <w:szCs w:val="20"/>
          <w:lang w:val="pt-PT"/>
        </w:rPr>
        <w:t>Natureza: 01 = Ativo; 02 = Passivo; 03 = Patrimônio Líquido</w:t>
      </w:r>
    </w:p>
    <w:p w:rsidR="00446C33" w:rsidRDefault="00446C33" w:rsidP="00446C33">
      <w:pPr>
        <w:rPr>
          <w:b/>
          <w:szCs w:val="20"/>
        </w:rPr>
      </w:pPr>
    </w:p>
    <w:p w:rsidR="00446C33" w:rsidRDefault="00446C33" w:rsidP="00446C33">
      <w:pPr>
        <w:rPr>
          <w:b/>
          <w:szCs w:val="20"/>
        </w:rPr>
      </w:pPr>
      <w:r>
        <w:rPr>
          <w:b/>
          <w:szCs w:val="20"/>
        </w:rPr>
        <w:t>I</w:t>
      </w:r>
      <w:r w:rsidR="00D467F3">
        <w:rPr>
          <w:b/>
          <w:szCs w:val="20"/>
        </w:rPr>
        <w:t>I</w:t>
      </w:r>
      <w:r>
        <w:rPr>
          <w:b/>
          <w:szCs w:val="20"/>
        </w:rPr>
        <w:t xml:space="preserve">I.1 – </w:t>
      </w:r>
      <w:r w:rsidR="007D27B2" w:rsidRPr="007D27B2">
        <w:rPr>
          <w:b/>
          <w:szCs w:val="20"/>
        </w:rPr>
        <w:t>P150A - Plano de Contas Referencial - Contas de Resultado - PJ do Lucro Presumido - PJ em Geral</w:t>
      </w:r>
      <w:r>
        <w:rPr>
          <w:b/>
          <w:szCs w:val="20"/>
        </w:rPr>
        <w:t>:</w:t>
      </w:r>
    </w:p>
    <w:p w:rsidR="00012703" w:rsidRDefault="00486CDA" w:rsidP="00507874">
      <w:pPr>
        <w:rPr>
          <w:b/>
          <w:color w:val="002060"/>
          <w:szCs w:val="20"/>
        </w:rPr>
      </w:pPr>
      <w:r>
        <w:rPr>
          <w:b/>
          <w:color w:val="002060"/>
          <w:szCs w:val="20"/>
        </w:rPr>
        <w:object w:dxaOrig="1534" w:dyaOrig="997">
          <v:shape id="_x0000_i1196" type="#_x0000_t75" style="width:79.5pt;height:50.25pt" o:ole="">
            <v:imagedata r:id="rId451" o:title=""/>
          </v:shape>
          <o:OLEObject Type="Link" ProgID="Excel.Sheet.12" ShapeID="_x0000_i1196" DrawAspect="Content" r:id="rId452" UpdateMode="OnCall">
            <o:LinkType>EnhancedMetaFile</o:LinkType>
            <o:LockedField>false</o:LockedField>
          </o:OLEObject>
        </w:object>
      </w:r>
    </w:p>
    <w:p w:rsidR="007D27B2" w:rsidRDefault="007D27B2" w:rsidP="007D27B2">
      <w:pPr>
        <w:rPr>
          <w:b/>
          <w:szCs w:val="20"/>
        </w:rPr>
      </w:pPr>
      <w:r>
        <w:rPr>
          <w:b/>
          <w:szCs w:val="20"/>
        </w:rPr>
        <w:t>III.2 – P150B</w:t>
      </w:r>
      <w:r w:rsidRPr="007D27B2">
        <w:rPr>
          <w:b/>
          <w:szCs w:val="20"/>
        </w:rPr>
        <w:t xml:space="preserve"> - Plano de Contas Referencial - Contas de Resultado - PJ </w:t>
      </w:r>
      <w:r>
        <w:rPr>
          <w:b/>
          <w:szCs w:val="20"/>
        </w:rPr>
        <w:t>do Lucro Presumido - Financeiras:</w:t>
      </w:r>
    </w:p>
    <w:p w:rsidR="007D27B2" w:rsidRPr="00FA3856" w:rsidRDefault="00486CDA" w:rsidP="00507874">
      <w:pPr>
        <w:rPr>
          <w:b/>
          <w:color w:val="002060"/>
          <w:szCs w:val="20"/>
        </w:rPr>
      </w:pPr>
      <w:r>
        <w:rPr>
          <w:b/>
          <w:color w:val="002060"/>
          <w:szCs w:val="20"/>
        </w:rPr>
        <w:object w:dxaOrig="1534" w:dyaOrig="997">
          <v:shape id="_x0000_i1197" type="#_x0000_t75" style="width:79.5pt;height:50.25pt" o:ole="">
            <v:imagedata r:id="rId453" o:title=""/>
          </v:shape>
          <o:OLEObject Type="Link" ProgID="Excel.Sheet.12" ShapeID="_x0000_i1197" DrawAspect="Content" r:id="rId454" UpdateMode="OnCall">
            <o:LinkType>EnhancedMetaFile</o:LinkType>
            <o:LockedField>false</o:LockedField>
          </o:OLEObject>
        </w:object>
      </w:r>
    </w:p>
    <w:p w:rsidR="007D27B2" w:rsidRDefault="007D27B2">
      <w:pPr>
        <w:spacing w:after="200" w:line="276" w:lineRule="auto"/>
        <w:rPr>
          <w:b/>
          <w:color w:val="002060"/>
          <w:szCs w:val="20"/>
        </w:rPr>
      </w:pPr>
      <w:r>
        <w:rPr>
          <w:b/>
          <w:color w:val="002060"/>
          <w:szCs w:val="20"/>
        </w:rPr>
        <w:br w:type="page"/>
      </w:r>
    </w:p>
    <w:p w:rsidR="00446C33" w:rsidRDefault="00C939A3" w:rsidP="00507874">
      <w:pPr>
        <w:rPr>
          <w:b/>
          <w:color w:val="002060"/>
          <w:szCs w:val="20"/>
        </w:rPr>
      </w:pPr>
      <w:r w:rsidRPr="00FA3856">
        <w:rPr>
          <w:b/>
          <w:color w:val="002060"/>
          <w:szCs w:val="20"/>
        </w:rPr>
        <w:lastRenderedPageBreak/>
        <w:t xml:space="preserve">Exemplo de Preenchimento: </w:t>
      </w:r>
    </w:p>
    <w:p w:rsidR="00446C33" w:rsidRDefault="00446C33" w:rsidP="00507874">
      <w:pPr>
        <w:rPr>
          <w:b/>
          <w:color w:val="002060"/>
          <w:szCs w:val="20"/>
        </w:rPr>
      </w:pPr>
    </w:p>
    <w:p w:rsidR="00C939A3" w:rsidRPr="00FA3856" w:rsidRDefault="00C939A3" w:rsidP="00507874">
      <w:pPr>
        <w:rPr>
          <w:b/>
          <w:color w:val="002060"/>
          <w:szCs w:val="20"/>
          <w:lang w:eastAsia="ar-SA"/>
        </w:rPr>
      </w:pPr>
      <w:r w:rsidRPr="00FA3856">
        <w:rPr>
          <w:b/>
          <w:color w:val="002060"/>
          <w:szCs w:val="20"/>
        </w:rPr>
        <w:t>|P150|3.11.05.01.03.03|Outras Participações|A|6|04|3.11.05.01.03|10000,00|D|</w:t>
      </w:r>
    </w:p>
    <w:p w:rsidR="00C939A3" w:rsidRPr="00FA3856" w:rsidRDefault="00C939A3" w:rsidP="00507874">
      <w:pPr>
        <w:pStyle w:val="Corpodetexto"/>
        <w:spacing w:line="240" w:lineRule="auto"/>
        <w:ind w:firstLine="708"/>
        <w:rPr>
          <w:rFonts w:ascii="Times New Roman" w:hAnsi="Times New Roman"/>
          <w:color w:val="002060"/>
          <w:szCs w:val="20"/>
        </w:rPr>
      </w:pPr>
      <w:r w:rsidRPr="00FA3856">
        <w:rPr>
          <w:rFonts w:ascii="Times New Roman" w:hAnsi="Times New Roman"/>
          <w:color w:val="002060"/>
          <w:szCs w:val="20"/>
        </w:rPr>
        <w:t>|P150|: Identificação do tipo do registro.</w:t>
      </w:r>
    </w:p>
    <w:p w:rsidR="00C939A3" w:rsidRPr="00FA3856" w:rsidRDefault="005B7AA7" w:rsidP="00507874">
      <w:pPr>
        <w:pStyle w:val="Corpodetexto"/>
        <w:spacing w:line="240" w:lineRule="auto"/>
        <w:ind w:firstLine="708"/>
        <w:rPr>
          <w:rFonts w:ascii="Times New Roman" w:hAnsi="Times New Roman"/>
          <w:color w:val="002060"/>
          <w:szCs w:val="20"/>
        </w:rPr>
      </w:pPr>
      <w:r w:rsidRPr="00FA3856">
        <w:rPr>
          <w:rFonts w:ascii="Times New Roman" w:hAnsi="Times New Roman"/>
          <w:color w:val="002060"/>
          <w:szCs w:val="20"/>
        </w:rPr>
        <w:t>|3.11.05.01.03.03</w:t>
      </w:r>
      <w:r w:rsidR="00C939A3" w:rsidRPr="00FA3856">
        <w:rPr>
          <w:rFonts w:ascii="Times New Roman" w:hAnsi="Times New Roman"/>
          <w:color w:val="002060"/>
          <w:szCs w:val="20"/>
        </w:rPr>
        <w:t>|: Código da linha.</w:t>
      </w:r>
      <w:r w:rsidR="00C939A3" w:rsidRPr="00FA3856">
        <w:rPr>
          <w:rFonts w:ascii="Times New Roman" w:hAnsi="Times New Roman"/>
          <w:color w:val="002060"/>
          <w:szCs w:val="20"/>
        </w:rPr>
        <w:tab/>
      </w:r>
    </w:p>
    <w:p w:rsidR="00C939A3" w:rsidRPr="00FA3856" w:rsidRDefault="005B7AA7" w:rsidP="00507874">
      <w:pPr>
        <w:pStyle w:val="Corpodetexto"/>
        <w:spacing w:line="240" w:lineRule="auto"/>
        <w:ind w:firstLine="708"/>
        <w:rPr>
          <w:rFonts w:ascii="Times New Roman" w:hAnsi="Times New Roman"/>
          <w:color w:val="002060"/>
          <w:szCs w:val="20"/>
        </w:rPr>
      </w:pPr>
      <w:r w:rsidRPr="00FA3856">
        <w:rPr>
          <w:rFonts w:ascii="Times New Roman" w:hAnsi="Times New Roman"/>
          <w:color w:val="002060"/>
          <w:szCs w:val="20"/>
        </w:rPr>
        <w:t>|Outras Participações</w:t>
      </w:r>
      <w:r w:rsidR="00C939A3" w:rsidRPr="00FA3856">
        <w:rPr>
          <w:rFonts w:ascii="Times New Roman" w:hAnsi="Times New Roman"/>
          <w:color w:val="002060"/>
          <w:szCs w:val="20"/>
        </w:rPr>
        <w:t>|: Descrição da linha.</w:t>
      </w:r>
    </w:p>
    <w:p w:rsidR="005B7AA7" w:rsidRPr="00FA3856" w:rsidRDefault="005B7AA7" w:rsidP="00507874">
      <w:pPr>
        <w:pStyle w:val="Corpodetexto"/>
        <w:spacing w:line="240" w:lineRule="auto"/>
        <w:ind w:firstLine="708"/>
        <w:rPr>
          <w:rFonts w:ascii="Times New Roman" w:hAnsi="Times New Roman"/>
          <w:color w:val="002060"/>
          <w:szCs w:val="20"/>
        </w:rPr>
      </w:pPr>
      <w:r w:rsidRPr="00FA3856">
        <w:rPr>
          <w:rFonts w:ascii="Times New Roman" w:hAnsi="Times New Roman"/>
          <w:color w:val="002060"/>
          <w:szCs w:val="20"/>
        </w:rPr>
        <w:t>|A|: Tipo da conta (A = Analítica).</w:t>
      </w:r>
    </w:p>
    <w:p w:rsidR="005B7AA7" w:rsidRPr="00FA3856" w:rsidRDefault="005B7AA7" w:rsidP="00507874">
      <w:pPr>
        <w:pStyle w:val="Corpodetexto"/>
        <w:spacing w:line="240" w:lineRule="auto"/>
        <w:ind w:firstLine="708"/>
        <w:rPr>
          <w:rFonts w:ascii="Times New Roman" w:hAnsi="Times New Roman"/>
          <w:color w:val="002060"/>
          <w:szCs w:val="20"/>
        </w:rPr>
      </w:pPr>
      <w:r w:rsidRPr="00FA3856">
        <w:rPr>
          <w:rFonts w:ascii="Times New Roman" w:hAnsi="Times New Roman"/>
          <w:color w:val="002060"/>
          <w:szCs w:val="20"/>
        </w:rPr>
        <w:t>|6|: Nível da conta.</w:t>
      </w:r>
    </w:p>
    <w:p w:rsidR="005B7AA7" w:rsidRPr="00FA3856" w:rsidRDefault="005B7AA7" w:rsidP="00507874">
      <w:pPr>
        <w:pStyle w:val="Corpodetexto"/>
        <w:spacing w:line="240" w:lineRule="auto"/>
        <w:ind w:firstLine="708"/>
        <w:rPr>
          <w:rFonts w:ascii="Times New Roman" w:hAnsi="Times New Roman"/>
          <w:color w:val="002060"/>
          <w:szCs w:val="20"/>
        </w:rPr>
      </w:pPr>
      <w:r w:rsidRPr="00FA3856">
        <w:rPr>
          <w:rFonts w:ascii="Times New Roman" w:hAnsi="Times New Roman"/>
          <w:color w:val="002060"/>
          <w:szCs w:val="20"/>
        </w:rPr>
        <w:t>|04|: Natureza da conta (04 = Contas de Resultado).</w:t>
      </w:r>
    </w:p>
    <w:p w:rsidR="005B7AA7" w:rsidRPr="00FA3856" w:rsidRDefault="006A4A22" w:rsidP="00507874">
      <w:pPr>
        <w:pStyle w:val="Corpodetexto"/>
        <w:spacing w:line="240" w:lineRule="auto"/>
        <w:ind w:firstLine="708"/>
        <w:rPr>
          <w:rFonts w:ascii="Times New Roman" w:hAnsi="Times New Roman"/>
          <w:color w:val="002060"/>
          <w:szCs w:val="20"/>
        </w:rPr>
      </w:pPr>
      <w:r w:rsidRPr="00FA3856">
        <w:rPr>
          <w:rFonts w:ascii="Times New Roman" w:hAnsi="Times New Roman"/>
          <w:color w:val="002060"/>
          <w:szCs w:val="20"/>
        </w:rPr>
        <w:t>|3.11.05.01.03|: Código da conta superior.</w:t>
      </w:r>
    </w:p>
    <w:p w:rsidR="00C939A3" w:rsidRPr="00FA3856" w:rsidRDefault="00C939A3" w:rsidP="00507874">
      <w:pPr>
        <w:pStyle w:val="Corpodetexto"/>
        <w:spacing w:line="240" w:lineRule="auto"/>
        <w:ind w:firstLine="708"/>
        <w:rPr>
          <w:rFonts w:ascii="Times New Roman" w:hAnsi="Times New Roman"/>
          <w:color w:val="002060"/>
          <w:szCs w:val="20"/>
        </w:rPr>
      </w:pPr>
      <w:r w:rsidRPr="00FA3856">
        <w:rPr>
          <w:rFonts w:ascii="Times New Roman" w:hAnsi="Times New Roman"/>
          <w:color w:val="002060"/>
          <w:szCs w:val="20"/>
        </w:rPr>
        <w:t xml:space="preserve">|10000,00|: Valor </w:t>
      </w:r>
      <w:r w:rsidR="0063733D" w:rsidRPr="00FA3856">
        <w:rPr>
          <w:rFonts w:ascii="Times New Roman" w:hAnsi="Times New Roman"/>
          <w:color w:val="002060"/>
          <w:szCs w:val="20"/>
        </w:rPr>
        <w:t>do saldo final</w:t>
      </w:r>
      <w:r w:rsidRPr="00FA3856">
        <w:rPr>
          <w:rFonts w:ascii="Times New Roman" w:hAnsi="Times New Roman"/>
          <w:color w:val="002060"/>
          <w:szCs w:val="20"/>
        </w:rPr>
        <w:t xml:space="preserve"> (R$ 10.000,00).</w:t>
      </w:r>
    </w:p>
    <w:p w:rsidR="006A4A22" w:rsidRPr="00FA3856" w:rsidRDefault="00116FBF" w:rsidP="00507874">
      <w:pPr>
        <w:pStyle w:val="Corpodetexto"/>
        <w:spacing w:line="240" w:lineRule="auto"/>
        <w:ind w:firstLine="708"/>
        <w:rPr>
          <w:rFonts w:ascii="Times New Roman" w:hAnsi="Times New Roman"/>
          <w:color w:val="002060"/>
          <w:szCs w:val="20"/>
        </w:rPr>
      </w:pPr>
      <w:r w:rsidRPr="00FA3856">
        <w:rPr>
          <w:rFonts w:ascii="Times New Roman" w:hAnsi="Times New Roman"/>
          <w:color w:val="002060"/>
          <w:szCs w:val="20"/>
        </w:rPr>
        <w:t>|D|: Indicador do sin</w:t>
      </w:r>
      <w:r w:rsidR="006A4A22" w:rsidRPr="00FA3856">
        <w:rPr>
          <w:rFonts w:ascii="Times New Roman" w:hAnsi="Times New Roman"/>
          <w:color w:val="002060"/>
          <w:szCs w:val="20"/>
        </w:rPr>
        <w:t>a</w:t>
      </w:r>
      <w:r w:rsidRPr="00FA3856">
        <w:rPr>
          <w:rFonts w:ascii="Times New Roman" w:hAnsi="Times New Roman"/>
          <w:color w:val="002060"/>
          <w:szCs w:val="20"/>
        </w:rPr>
        <w:t>l</w:t>
      </w:r>
      <w:r w:rsidR="006A4A22" w:rsidRPr="00FA3856">
        <w:rPr>
          <w:rFonts w:ascii="Times New Roman" w:hAnsi="Times New Roman"/>
          <w:color w:val="002060"/>
          <w:szCs w:val="20"/>
        </w:rPr>
        <w:t xml:space="preserve"> do saldo final da conta (D = Devedor).</w:t>
      </w:r>
    </w:p>
    <w:p w:rsidR="007D27B2" w:rsidRDefault="007D27B2">
      <w:pPr>
        <w:spacing w:after="200" w:line="276" w:lineRule="auto"/>
        <w:rPr>
          <w:b/>
          <w:bCs/>
          <w:color w:val="0000FF"/>
          <w:szCs w:val="20"/>
        </w:rPr>
      </w:pPr>
      <w:r>
        <w:rPr>
          <w:color w:val="0000FF"/>
          <w:szCs w:val="20"/>
        </w:rPr>
        <w:br w:type="page"/>
      </w:r>
    </w:p>
    <w:p w:rsidR="00744E50" w:rsidRPr="00FA3856" w:rsidRDefault="00744E50" w:rsidP="00867F54">
      <w:pPr>
        <w:pStyle w:val="Ttulo4"/>
      </w:pPr>
      <w:bookmarkStart w:id="304" w:name="_Toc479713758"/>
      <w:r w:rsidRPr="00FA3856">
        <w:lastRenderedPageBreak/>
        <w:t xml:space="preserve">Registro P200: Apuração da Base de Cálculo </w:t>
      </w:r>
      <w:r w:rsidR="00B86E9A">
        <w:t>do IRPJ com Base n</w:t>
      </w:r>
      <w:r w:rsidRPr="00FA3856">
        <w:t>o Lucro Presumido</w:t>
      </w:r>
      <w:bookmarkEnd w:id="304"/>
    </w:p>
    <w:p w:rsidR="00744E50" w:rsidRPr="00FA3856" w:rsidRDefault="00744E50" w:rsidP="00744E50">
      <w:pPr>
        <w:rPr>
          <w:szCs w:val="20"/>
        </w:rPr>
      </w:pPr>
    </w:p>
    <w:p w:rsidR="00E210AD" w:rsidRPr="00FA3856" w:rsidRDefault="00E210AD" w:rsidP="00E210AD">
      <w:pPr>
        <w:pStyle w:val="Corpodetexto"/>
        <w:ind w:firstLine="708"/>
        <w:rPr>
          <w:rFonts w:ascii="Times New Roman" w:hAnsi="Times New Roman"/>
          <w:szCs w:val="20"/>
        </w:rPr>
      </w:pPr>
      <w:r w:rsidRPr="00FA3856">
        <w:rPr>
          <w:rFonts w:ascii="Times New Roman" w:hAnsi="Times New Roman"/>
          <w:szCs w:val="20"/>
        </w:rPr>
        <w:t xml:space="preserve">Apresenta a apuração da base de cálculo do lucro presumido. </w:t>
      </w:r>
    </w:p>
    <w:p w:rsidR="00705BCF" w:rsidRPr="00FA3856" w:rsidRDefault="00705BCF" w:rsidP="00E210AD">
      <w:pPr>
        <w:pStyle w:val="Corpodetexto"/>
        <w:ind w:firstLine="708"/>
        <w:rPr>
          <w:rFonts w:ascii="Times New Roman" w:hAnsi="Times New Roman"/>
          <w:szCs w:val="20"/>
        </w:rPr>
      </w:pPr>
    </w:p>
    <w:p w:rsidR="00705BCF" w:rsidRPr="00FA3856" w:rsidRDefault="00705BCF" w:rsidP="00705BCF">
      <w:pPr>
        <w:pStyle w:val="Corpodetexto"/>
        <w:ind w:firstLine="708"/>
        <w:rPr>
          <w:rFonts w:ascii="Times New Roman" w:hAnsi="Times New Roman"/>
          <w:szCs w:val="20"/>
        </w:rPr>
      </w:pPr>
      <w:r w:rsidRPr="00FA3856">
        <w:rPr>
          <w:rFonts w:ascii="Times New Roman" w:hAnsi="Times New Roman"/>
          <w:b/>
          <w:szCs w:val="20"/>
        </w:rPr>
        <w:t xml:space="preserve">Observação: </w:t>
      </w:r>
      <w:r w:rsidRPr="00FA3856">
        <w:rPr>
          <w:rFonts w:ascii="Times New Roman" w:hAnsi="Times New Roman"/>
          <w:szCs w:val="20"/>
        </w:rPr>
        <w:t>Os valores informados neste registro devem considerar os ajustes específicos da Lei n</w:t>
      </w:r>
      <w:r w:rsidRPr="00FA3856">
        <w:rPr>
          <w:rFonts w:ascii="Times New Roman" w:hAnsi="Times New Roman"/>
          <w:szCs w:val="20"/>
          <w:u w:val="single"/>
          <w:vertAlign w:val="superscript"/>
        </w:rPr>
        <w:t>o</w:t>
      </w:r>
      <w:r w:rsidRPr="00FA3856">
        <w:rPr>
          <w:rFonts w:ascii="Times New Roman" w:hAnsi="Times New Roman"/>
          <w:szCs w:val="20"/>
        </w:rPr>
        <w:t xml:space="preserve"> 12.973/2014 (Exemplos: Arts. 8</w:t>
      </w:r>
      <w:r w:rsidRPr="00FA3856">
        <w:rPr>
          <w:rFonts w:ascii="Times New Roman" w:hAnsi="Times New Roman"/>
          <w:szCs w:val="20"/>
          <w:u w:val="single"/>
          <w:vertAlign w:val="superscript"/>
        </w:rPr>
        <w:t>o</w:t>
      </w:r>
      <w:r w:rsidRPr="00FA3856">
        <w:rPr>
          <w:rFonts w:ascii="Times New Roman" w:hAnsi="Times New Roman"/>
          <w:szCs w:val="20"/>
        </w:rPr>
        <w:t xml:space="preserve"> e 44 da Lei n</w:t>
      </w:r>
      <w:r w:rsidRPr="00FA3856">
        <w:rPr>
          <w:rFonts w:ascii="Times New Roman" w:hAnsi="Times New Roman"/>
          <w:szCs w:val="20"/>
          <w:u w:val="single"/>
          <w:vertAlign w:val="superscript"/>
        </w:rPr>
        <w:t>o</w:t>
      </w:r>
      <w:r w:rsidRPr="00FA3856">
        <w:rPr>
          <w:rFonts w:ascii="Times New Roman" w:hAnsi="Times New Roman"/>
          <w:szCs w:val="20"/>
        </w:rPr>
        <w:t xml:space="preserve"> 12.973/2014).</w:t>
      </w:r>
    </w:p>
    <w:p w:rsidR="00622325" w:rsidRDefault="00705BCF" w:rsidP="00446C33">
      <w:pPr>
        <w:pStyle w:val="Corpodetexto"/>
        <w:tabs>
          <w:tab w:val="left" w:pos="1320"/>
        </w:tabs>
        <w:ind w:firstLine="708"/>
        <w:rPr>
          <w:rFonts w:ascii="Times New Roman" w:hAnsi="Times New Roman"/>
          <w:szCs w:val="20"/>
        </w:rPr>
      </w:pPr>
      <w:r w:rsidRPr="00FA3856">
        <w:rPr>
          <w:rFonts w:ascii="Times New Roman" w:hAnsi="Times New Roman"/>
          <w:szCs w:val="20"/>
        </w:rPr>
        <w:t xml:space="preserve"> </w:t>
      </w:r>
      <w:r w:rsidRPr="00FA3856">
        <w:rPr>
          <w:rFonts w:ascii="Times New Roman" w:hAnsi="Times New Roman"/>
          <w:szCs w:val="20"/>
        </w:rPr>
        <w:tab/>
      </w:r>
    </w:p>
    <w:p w:rsidR="00446C33" w:rsidRPr="00FA3856" w:rsidRDefault="00B35FA3" w:rsidP="00446C33">
      <w:pPr>
        <w:pStyle w:val="Corpodetexto"/>
        <w:tabs>
          <w:tab w:val="left" w:pos="1320"/>
        </w:tabs>
        <w:ind w:firstLine="708"/>
        <w:jc w:val="center"/>
        <w:rPr>
          <w:b/>
          <w:szCs w:val="20"/>
          <w:lang w:val="pt-PT"/>
        </w:rPr>
      </w:pPr>
      <w:r>
        <w:rPr>
          <w:rFonts w:ascii="Times New Roman" w:hAnsi="Times New Roman"/>
          <w:szCs w:val="20"/>
        </w:rPr>
        <w:object w:dxaOrig="13935" w:dyaOrig="4665">
          <v:shape id="_x0000_i1786" type="#_x0000_t75" style="width:746.25pt;height:222pt" o:ole="">
            <v:imagedata r:id="rId455" o:title=""/>
          </v:shape>
          <o:OLEObject Type="Link" ProgID="Excel.Sheet.12" ShapeID="_x0000_i1786" DrawAspect="Content" r:id="rId456" UpdateMode="Always">
            <o:LinkType>EnhancedMetaFile</o:LinkType>
            <o:LockedField>false</o:LockedField>
          </o:OLEObject>
        </w:object>
      </w:r>
    </w:p>
    <w:p w:rsidR="00446C33" w:rsidRDefault="00446C33" w:rsidP="00076D64">
      <w:pPr>
        <w:rPr>
          <w:b/>
          <w:szCs w:val="20"/>
          <w:lang w:val="pt-PT"/>
        </w:rPr>
      </w:pPr>
    </w:p>
    <w:p w:rsidR="00076D64" w:rsidRPr="00FA3856" w:rsidRDefault="00076D64" w:rsidP="00076D64">
      <w:pPr>
        <w:rPr>
          <w:b/>
          <w:szCs w:val="20"/>
          <w:lang w:val="pt-PT"/>
        </w:rPr>
      </w:pPr>
      <w:r w:rsidRPr="00FA3856">
        <w:rPr>
          <w:b/>
          <w:szCs w:val="20"/>
          <w:lang w:val="pt-PT"/>
        </w:rPr>
        <w:t>I – Regras de Validação do Registro:</w:t>
      </w:r>
    </w:p>
    <w:p w:rsidR="00076D64" w:rsidRPr="00FA3856" w:rsidRDefault="00076D64" w:rsidP="00076D64">
      <w:pPr>
        <w:rPr>
          <w:b/>
          <w:szCs w:val="20"/>
          <w:lang w:val="pt-PT"/>
        </w:rPr>
      </w:pPr>
    </w:p>
    <w:p w:rsidR="00076D64" w:rsidRPr="00FA3856" w:rsidRDefault="007D0E74" w:rsidP="00076D64">
      <w:pPr>
        <w:pStyle w:val="Corpodetexto"/>
        <w:ind w:left="708" w:firstLine="12"/>
        <w:rPr>
          <w:rFonts w:ascii="Times New Roman" w:hAnsi="Times New Roman"/>
          <w:szCs w:val="20"/>
        </w:rPr>
      </w:pPr>
      <w:hyperlink r:id="rId457" w:anchor="REGRA_OCORRENCIA_UNITARIA_ARQ" w:history="1">
        <w:r w:rsidR="00076D64" w:rsidRPr="00FA3856">
          <w:rPr>
            <w:rFonts w:ascii="Times New Roman" w:hAnsi="Times New Roman"/>
            <w:b/>
            <w:szCs w:val="20"/>
          </w:rPr>
          <w:t>REGRA_</w:t>
        </w:r>
      </w:hyperlink>
      <w:r w:rsidR="00076D64" w:rsidRPr="00FA3856">
        <w:rPr>
          <w:rFonts w:ascii="Times New Roman" w:hAnsi="Times New Roman"/>
          <w:b/>
          <w:szCs w:val="20"/>
        </w:rPr>
        <w:t>DUPLICIDADE_DESPREZADA</w:t>
      </w:r>
      <w:r w:rsidR="00076D64" w:rsidRPr="00FA3856">
        <w:rPr>
          <w:rFonts w:ascii="Times New Roman" w:hAnsi="Times New Roman"/>
          <w:color w:val="auto"/>
          <w:szCs w:val="20"/>
        </w:rPr>
        <w:t xml:space="preserve">: </w:t>
      </w:r>
      <w:r w:rsidR="00076D64" w:rsidRPr="00FA3856">
        <w:rPr>
          <w:rFonts w:ascii="Times New Roman" w:hAnsi="Times New Roman"/>
          <w:szCs w:val="20"/>
        </w:rPr>
        <w:t>Verifica se o registro já foi importado anteriormente, de acordo com a chave e os registros pais. Se a regra não for cumprida, a ECF gera um aviso.</w:t>
      </w:r>
    </w:p>
    <w:p w:rsidR="00076D64" w:rsidRPr="00FA3856" w:rsidRDefault="00076D64" w:rsidP="00076D64">
      <w:pPr>
        <w:pStyle w:val="Corpodetexto"/>
        <w:ind w:left="708" w:firstLine="12"/>
        <w:rPr>
          <w:rFonts w:ascii="Times New Roman" w:hAnsi="Times New Roman"/>
          <w:szCs w:val="20"/>
        </w:rPr>
      </w:pPr>
    </w:p>
    <w:p w:rsidR="00076D64" w:rsidRPr="00FA3856" w:rsidRDefault="007D0E74" w:rsidP="00076D64">
      <w:pPr>
        <w:pStyle w:val="Corpodetexto"/>
        <w:ind w:left="708" w:firstLine="12"/>
        <w:rPr>
          <w:rFonts w:ascii="Times New Roman" w:hAnsi="Times New Roman"/>
          <w:b/>
          <w:szCs w:val="20"/>
        </w:rPr>
      </w:pPr>
      <w:hyperlink r:id="rId458" w:anchor="REGRA_OCORRENCIA_UNITARIA_ARQ" w:history="1">
        <w:r w:rsidR="00076D64" w:rsidRPr="00FA3856">
          <w:rPr>
            <w:rFonts w:ascii="Times New Roman" w:hAnsi="Times New Roman"/>
            <w:b/>
            <w:szCs w:val="20"/>
          </w:rPr>
          <w:t>REGRA_</w:t>
        </w:r>
      </w:hyperlink>
      <w:r w:rsidR="00076D64" w:rsidRPr="00FA3856">
        <w:rPr>
          <w:rFonts w:ascii="Times New Roman" w:hAnsi="Times New Roman"/>
          <w:b/>
          <w:szCs w:val="20"/>
        </w:rPr>
        <w:t>PERIODO_DESPREZADO</w:t>
      </w:r>
      <w:r w:rsidR="00076D64" w:rsidRPr="00FA3856">
        <w:rPr>
          <w:rFonts w:ascii="Times New Roman" w:hAnsi="Times New Roman"/>
          <w:color w:val="auto"/>
          <w:szCs w:val="20"/>
        </w:rPr>
        <w:t xml:space="preserve">: </w:t>
      </w:r>
      <w:r w:rsidR="00076D64" w:rsidRPr="00FA3856">
        <w:rPr>
          <w:rFonts w:ascii="Times New Roman" w:hAnsi="Times New Roman"/>
          <w:szCs w:val="20"/>
        </w:rPr>
        <w:t>Verifica se a linha deste período existe no arquivo de importação, mas não deve ser importado, pois as datas não compatíveis com o período da ECF. Gera um aviso.</w:t>
      </w:r>
    </w:p>
    <w:p w:rsidR="00076D64" w:rsidRPr="00FA3856" w:rsidRDefault="00076D64" w:rsidP="00076D64">
      <w:pPr>
        <w:pStyle w:val="Corpodetexto"/>
        <w:ind w:left="708" w:firstLine="12"/>
        <w:rPr>
          <w:rFonts w:ascii="Times New Roman" w:hAnsi="Times New Roman"/>
          <w:b/>
          <w:szCs w:val="20"/>
        </w:rPr>
      </w:pPr>
    </w:p>
    <w:p w:rsidR="00076D64" w:rsidRPr="00FA3856" w:rsidRDefault="007D0E74" w:rsidP="00076D64">
      <w:pPr>
        <w:pStyle w:val="Corpodetexto"/>
        <w:ind w:left="708" w:firstLine="12"/>
        <w:rPr>
          <w:rFonts w:ascii="Times New Roman" w:hAnsi="Times New Roman"/>
          <w:b/>
          <w:szCs w:val="20"/>
        </w:rPr>
      </w:pPr>
      <w:hyperlink r:id="rId459" w:anchor="REGRA_OCORRENCIA_UNITARIA_ARQ" w:history="1">
        <w:r w:rsidR="00076D64" w:rsidRPr="00FA3856">
          <w:rPr>
            <w:rFonts w:ascii="Times New Roman" w:hAnsi="Times New Roman"/>
            <w:b/>
            <w:szCs w:val="20"/>
          </w:rPr>
          <w:t>REGRA_</w:t>
        </w:r>
      </w:hyperlink>
      <w:r w:rsidR="00076D64" w:rsidRPr="00FA3856">
        <w:rPr>
          <w:rFonts w:ascii="Times New Roman" w:hAnsi="Times New Roman"/>
          <w:b/>
          <w:szCs w:val="20"/>
        </w:rPr>
        <w:t>LINHA_ATUALIZADA</w:t>
      </w:r>
      <w:r w:rsidR="00076D64" w:rsidRPr="00FA3856">
        <w:rPr>
          <w:rFonts w:ascii="Times New Roman" w:hAnsi="Times New Roman"/>
          <w:color w:val="auto"/>
          <w:szCs w:val="20"/>
        </w:rPr>
        <w:t xml:space="preserve">: </w:t>
      </w:r>
      <w:r w:rsidR="00076D64" w:rsidRPr="00FA3856">
        <w:rPr>
          <w:rFonts w:ascii="Times New Roman" w:hAnsi="Times New Roman"/>
          <w:szCs w:val="20"/>
        </w:rPr>
        <w:t>Verifica se o registro está desatualizado em relação à tabela da RFB. Gera um aviso.</w:t>
      </w:r>
    </w:p>
    <w:p w:rsidR="00076D64" w:rsidRPr="00FA3856" w:rsidRDefault="00076D64" w:rsidP="00744E50">
      <w:pPr>
        <w:rPr>
          <w:b/>
          <w:szCs w:val="20"/>
          <w:lang w:val="pt-PT"/>
        </w:rPr>
      </w:pPr>
    </w:p>
    <w:p w:rsidR="00E505D7" w:rsidRPr="00FA3856" w:rsidRDefault="00E505D7" w:rsidP="00744E50">
      <w:pPr>
        <w:rPr>
          <w:b/>
          <w:szCs w:val="20"/>
          <w:lang w:val="pt-PT"/>
        </w:rPr>
      </w:pPr>
    </w:p>
    <w:p w:rsidR="00E505D7" w:rsidRPr="00FA3856" w:rsidRDefault="00E505D7" w:rsidP="00744E50">
      <w:pPr>
        <w:rPr>
          <w:b/>
          <w:szCs w:val="20"/>
          <w:lang w:val="pt-PT"/>
        </w:rPr>
      </w:pPr>
    </w:p>
    <w:p w:rsidR="00E505D7" w:rsidRPr="00FA3856" w:rsidRDefault="00E505D7" w:rsidP="00744E50">
      <w:pPr>
        <w:rPr>
          <w:b/>
          <w:szCs w:val="20"/>
          <w:lang w:val="pt-PT"/>
        </w:rPr>
      </w:pPr>
    </w:p>
    <w:p w:rsidR="00E505D7" w:rsidRPr="00FA3856" w:rsidRDefault="00E505D7" w:rsidP="00744E50">
      <w:pPr>
        <w:rPr>
          <w:b/>
          <w:szCs w:val="20"/>
          <w:lang w:val="pt-PT"/>
        </w:rPr>
      </w:pPr>
    </w:p>
    <w:p w:rsidR="00744E50" w:rsidRPr="00FA3856" w:rsidRDefault="00744E50" w:rsidP="00744E50">
      <w:pPr>
        <w:rPr>
          <w:b/>
          <w:szCs w:val="20"/>
          <w:lang w:val="pt-PT"/>
        </w:rPr>
      </w:pPr>
      <w:r w:rsidRPr="00FA3856">
        <w:rPr>
          <w:b/>
          <w:szCs w:val="20"/>
          <w:lang w:val="pt-PT"/>
        </w:rPr>
        <w:lastRenderedPageBreak/>
        <w:t>I</w:t>
      </w:r>
      <w:r w:rsidR="00076D64" w:rsidRPr="00FA3856">
        <w:rPr>
          <w:b/>
          <w:szCs w:val="20"/>
          <w:lang w:val="pt-PT"/>
        </w:rPr>
        <w:t>I</w:t>
      </w:r>
      <w:r w:rsidRPr="00FA3856">
        <w:rPr>
          <w:b/>
          <w:szCs w:val="20"/>
          <w:lang w:val="pt-PT"/>
        </w:rPr>
        <w:t xml:space="preserve"> – Regras de Validação de Campos:</w:t>
      </w:r>
    </w:p>
    <w:p w:rsidR="00744E50" w:rsidRPr="00FA3856" w:rsidRDefault="00744E50" w:rsidP="00744E50">
      <w:pPr>
        <w:rPr>
          <w:b/>
          <w:szCs w:val="20"/>
          <w:lang w:val="pt-PT"/>
        </w:rPr>
      </w:pPr>
    </w:p>
    <w:tbl>
      <w:tblPr>
        <w:tblW w:w="15317"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85"/>
        <w:gridCol w:w="3000"/>
        <w:gridCol w:w="11115"/>
        <w:gridCol w:w="717"/>
      </w:tblGrid>
      <w:tr w:rsidR="00744E50" w:rsidRPr="00FA3856" w:rsidTr="00507874">
        <w:trPr>
          <w:jc w:val="center"/>
        </w:trPr>
        <w:tc>
          <w:tcPr>
            <w:tcW w:w="485" w:type="dxa"/>
            <w:tcBorders>
              <w:top w:val="single" w:sz="6" w:space="0" w:color="auto"/>
              <w:left w:val="single" w:sz="6" w:space="0" w:color="auto"/>
              <w:bottom w:val="single" w:sz="6" w:space="0" w:color="auto"/>
              <w:right w:val="single" w:sz="6" w:space="0" w:color="auto"/>
            </w:tcBorders>
            <w:shd w:val="pct10" w:color="auto" w:fill="FFFFFF"/>
          </w:tcPr>
          <w:p w:rsidR="00744E50" w:rsidRPr="00FA3856" w:rsidRDefault="00744E50" w:rsidP="00EC4ABB">
            <w:pPr>
              <w:pStyle w:val="PSDS-CorpodeTexto0"/>
              <w:jc w:val="center"/>
              <w:rPr>
                <w:rFonts w:ascii="Times New Roman" w:hAnsi="Times New Roman"/>
                <w:b/>
                <w:bCs/>
              </w:rPr>
            </w:pPr>
            <w:r w:rsidRPr="00FA3856">
              <w:rPr>
                <w:rFonts w:ascii="Times New Roman" w:hAnsi="Times New Roman"/>
                <w:b/>
                <w:bCs/>
              </w:rPr>
              <w:t>Nº</w:t>
            </w:r>
          </w:p>
        </w:tc>
        <w:tc>
          <w:tcPr>
            <w:tcW w:w="3000" w:type="dxa"/>
            <w:tcBorders>
              <w:top w:val="single" w:sz="6" w:space="0" w:color="auto"/>
              <w:left w:val="single" w:sz="6" w:space="0" w:color="auto"/>
              <w:bottom w:val="single" w:sz="6" w:space="0" w:color="auto"/>
              <w:right w:val="single" w:sz="6" w:space="0" w:color="auto"/>
            </w:tcBorders>
            <w:shd w:val="pct10" w:color="auto" w:fill="FFFFFF"/>
          </w:tcPr>
          <w:p w:rsidR="00744E50" w:rsidRPr="00FA3856" w:rsidRDefault="00744E50" w:rsidP="00EC4ABB">
            <w:pPr>
              <w:pStyle w:val="PSDS-CorpodeTexto0"/>
              <w:jc w:val="center"/>
              <w:rPr>
                <w:rFonts w:ascii="Times New Roman" w:hAnsi="Times New Roman"/>
                <w:b/>
                <w:bCs/>
              </w:rPr>
            </w:pPr>
            <w:r w:rsidRPr="00FA3856">
              <w:rPr>
                <w:rFonts w:ascii="Times New Roman" w:hAnsi="Times New Roman"/>
                <w:b/>
                <w:bCs/>
              </w:rPr>
              <w:t>Campo</w:t>
            </w:r>
          </w:p>
        </w:tc>
        <w:tc>
          <w:tcPr>
            <w:tcW w:w="11115" w:type="dxa"/>
            <w:tcBorders>
              <w:top w:val="single" w:sz="6" w:space="0" w:color="auto"/>
              <w:left w:val="single" w:sz="6" w:space="0" w:color="auto"/>
              <w:bottom w:val="single" w:sz="6" w:space="0" w:color="auto"/>
              <w:right w:val="single" w:sz="6" w:space="0" w:color="auto"/>
            </w:tcBorders>
            <w:shd w:val="pct10" w:color="auto" w:fill="FFFFFF"/>
          </w:tcPr>
          <w:p w:rsidR="00744E50" w:rsidRPr="00FA3856" w:rsidRDefault="00744E50" w:rsidP="00EC4ABB">
            <w:pPr>
              <w:pStyle w:val="PSDS-CorpodeTexto0"/>
              <w:jc w:val="center"/>
              <w:rPr>
                <w:rFonts w:ascii="Times New Roman" w:hAnsi="Times New Roman"/>
                <w:b/>
                <w:bCs/>
              </w:rPr>
            </w:pPr>
            <w:r w:rsidRPr="00FA3856">
              <w:rPr>
                <w:rFonts w:ascii="Times New Roman" w:hAnsi="Times New Roman"/>
                <w:b/>
                <w:bCs/>
              </w:rPr>
              <w:t>Regras de Validação do Campo</w:t>
            </w:r>
          </w:p>
        </w:tc>
        <w:tc>
          <w:tcPr>
            <w:tcW w:w="717" w:type="dxa"/>
            <w:tcBorders>
              <w:top w:val="single" w:sz="6" w:space="0" w:color="auto"/>
              <w:left w:val="single" w:sz="6" w:space="0" w:color="auto"/>
              <w:bottom w:val="single" w:sz="6" w:space="0" w:color="auto"/>
              <w:right w:val="single" w:sz="6" w:space="0" w:color="auto"/>
            </w:tcBorders>
            <w:shd w:val="pct10" w:color="auto" w:fill="FFFFFF"/>
          </w:tcPr>
          <w:p w:rsidR="00744E50" w:rsidRPr="00FA3856" w:rsidRDefault="00744E50" w:rsidP="00EC4ABB">
            <w:pPr>
              <w:pStyle w:val="PSDS-CorpodeTexto0"/>
              <w:jc w:val="center"/>
              <w:rPr>
                <w:rFonts w:ascii="Times New Roman" w:hAnsi="Times New Roman"/>
                <w:b/>
                <w:bCs/>
              </w:rPr>
            </w:pPr>
            <w:r w:rsidRPr="00FA3856">
              <w:rPr>
                <w:rFonts w:ascii="Times New Roman" w:hAnsi="Times New Roman"/>
                <w:b/>
                <w:bCs/>
              </w:rPr>
              <w:t>Tipo</w:t>
            </w:r>
          </w:p>
        </w:tc>
      </w:tr>
      <w:tr w:rsidR="0012324D" w:rsidRPr="00FA3856" w:rsidTr="00507874">
        <w:trPr>
          <w:jc w:val="center"/>
        </w:trPr>
        <w:tc>
          <w:tcPr>
            <w:tcW w:w="485" w:type="dxa"/>
            <w:tcBorders>
              <w:top w:val="single" w:sz="6" w:space="0" w:color="auto"/>
              <w:left w:val="single" w:sz="6" w:space="0" w:color="auto"/>
              <w:bottom w:val="single" w:sz="6" w:space="0" w:color="auto"/>
              <w:right w:val="single" w:sz="6" w:space="0" w:color="auto"/>
            </w:tcBorders>
          </w:tcPr>
          <w:p w:rsidR="0012324D" w:rsidRPr="00FA3856" w:rsidRDefault="0012324D" w:rsidP="0012324D">
            <w:pPr>
              <w:pStyle w:val="PSDS-CorpodeTexto0"/>
              <w:suppressAutoHyphens w:val="0"/>
              <w:rPr>
                <w:rFonts w:ascii="Times New Roman" w:hAnsi="Times New Roman"/>
                <w:b/>
                <w:bCs/>
                <w:lang w:val="pt-PT"/>
              </w:rPr>
            </w:pPr>
            <w:r w:rsidRPr="00FA3856">
              <w:rPr>
                <w:rFonts w:ascii="Times New Roman" w:hAnsi="Times New Roman"/>
                <w:b/>
                <w:bCs/>
                <w:lang w:val="pt-PT"/>
              </w:rPr>
              <w:t>4</w:t>
            </w:r>
          </w:p>
        </w:tc>
        <w:tc>
          <w:tcPr>
            <w:tcW w:w="3000" w:type="dxa"/>
            <w:tcBorders>
              <w:top w:val="single" w:sz="6" w:space="0" w:color="auto"/>
              <w:left w:val="single" w:sz="6" w:space="0" w:color="auto"/>
              <w:bottom w:val="single" w:sz="6" w:space="0" w:color="auto"/>
              <w:right w:val="single" w:sz="6" w:space="0" w:color="auto"/>
            </w:tcBorders>
          </w:tcPr>
          <w:p w:rsidR="0012324D" w:rsidRPr="00FA3856" w:rsidRDefault="0012324D" w:rsidP="0012324D">
            <w:pPr>
              <w:pStyle w:val="PSDS-CorpodeTexto0"/>
              <w:rPr>
                <w:rFonts w:ascii="Times New Roman" w:hAnsi="Times New Roman"/>
              </w:rPr>
            </w:pPr>
            <w:r w:rsidRPr="00FA3856">
              <w:rPr>
                <w:rFonts w:ascii="Times New Roman" w:hAnsi="Times New Roman"/>
              </w:rPr>
              <w:t>VALOR</w:t>
            </w:r>
          </w:p>
        </w:tc>
        <w:tc>
          <w:tcPr>
            <w:tcW w:w="11115" w:type="dxa"/>
            <w:tcBorders>
              <w:top w:val="single" w:sz="6" w:space="0" w:color="auto"/>
              <w:left w:val="single" w:sz="6" w:space="0" w:color="auto"/>
              <w:bottom w:val="single" w:sz="6" w:space="0" w:color="auto"/>
              <w:right w:val="single" w:sz="6" w:space="0" w:color="auto"/>
            </w:tcBorders>
          </w:tcPr>
          <w:p w:rsidR="0012324D" w:rsidRPr="00FA3856" w:rsidRDefault="0012324D" w:rsidP="0012324D">
            <w:pPr>
              <w:pStyle w:val="Corpodetexto"/>
              <w:rPr>
                <w:rFonts w:ascii="Times New Roman" w:hAnsi="Times New Roman"/>
                <w:szCs w:val="20"/>
              </w:rPr>
            </w:pPr>
            <w:r w:rsidRPr="00FA3856">
              <w:rPr>
                <w:rFonts w:ascii="Times New Roman" w:hAnsi="Times New Roman"/>
                <w:b/>
                <w:bCs/>
                <w:szCs w:val="20"/>
              </w:rPr>
              <w:t>REGRA_OBRIGATORIO_TIPO_DIFERENTE_R</w:t>
            </w:r>
            <w:r w:rsidRPr="00FA3856">
              <w:rPr>
                <w:rFonts w:ascii="Times New Roman" w:hAnsi="Times New Roman"/>
                <w:szCs w:val="20"/>
              </w:rPr>
              <w:t xml:space="preserve">: </w:t>
            </w:r>
            <w:r w:rsidRPr="00FA3856">
              <w:rPr>
                <w:rStyle w:val="Hyperlink"/>
                <w:rFonts w:ascii="Times New Roman" w:hAnsi="Times New Roman"/>
                <w:bCs/>
                <w:color w:val="auto"/>
                <w:szCs w:val="20"/>
                <w:lang w:val="pt-PT"/>
              </w:rPr>
              <w:t xml:space="preserve">Verifica se o campo está preenchido quando o tipo da linha </w:t>
            </w:r>
            <w:r w:rsidR="0063733D" w:rsidRPr="00FA3856">
              <w:rPr>
                <w:rStyle w:val="Hyperlink"/>
                <w:rFonts w:ascii="Times New Roman" w:hAnsi="Times New Roman"/>
                <w:bCs/>
                <w:color w:val="auto"/>
                <w:szCs w:val="20"/>
                <w:lang w:val="pt-PT"/>
              </w:rPr>
              <w:t>é diferente</w:t>
            </w:r>
            <w:r w:rsidRPr="00FA3856">
              <w:rPr>
                <w:rStyle w:val="Hyperlink"/>
                <w:rFonts w:ascii="Times New Roman" w:hAnsi="Times New Roman"/>
                <w:bCs/>
                <w:color w:val="auto"/>
                <w:szCs w:val="20"/>
                <w:lang w:val="pt-PT"/>
              </w:rPr>
              <w:t xml:space="preserve"> de “R”.</w:t>
            </w:r>
          </w:p>
        </w:tc>
        <w:tc>
          <w:tcPr>
            <w:tcW w:w="717" w:type="dxa"/>
            <w:tcBorders>
              <w:top w:val="single" w:sz="6" w:space="0" w:color="auto"/>
              <w:left w:val="single" w:sz="6" w:space="0" w:color="auto"/>
              <w:bottom w:val="single" w:sz="6" w:space="0" w:color="auto"/>
              <w:right w:val="single" w:sz="6" w:space="0" w:color="auto"/>
            </w:tcBorders>
          </w:tcPr>
          <w:p w:rsidR="0012324D" w:rsidRPr="00FA3856" w:rsidRDefault="0012324D" w:rsidP="0012324D">
            <w:pPr>
              <w:pStyle w:val="PSDS-CorpodeTexto0"/>
              <w:rPr>
                <w:rFonts w:ascii="Times New Roman" w:hAnsi="Times New Roman"/>
              </w:rPr>
            </w:pPr>
            <w:r w:rsidRPr="00FA3856">
              <w:rPr>
                <w:rFonts w:ascii="Times New Roman" w:hAnsi="Times New Roman"/>
              </w:rPr>
              <w:t>Erro</w:t>
            </w:r>
          </w:p>
          <w:p w:rsidR="0012324D" w:rsidRPr="00FA3856" w:rsidRDefault="0012324D" w:rsidP="0012324D">
            <w:pPr>
              <w:pStyle w:val="PSDS-CorpodeTexto0"/>
              <w:rPr>
                <w:rFonts w:ascii="Times New Roman" w:hAnsi="Times New Roman"/>
              </w:rPr>
            </w:pPr>
          </w:p>
        </w:tc>
      </w:tr>
    </w:tbl>
    <w:p w:rsidR="00744E50" w:rsidRPr="00FA3856" w:rsidRDefault="00744E50" w:rsidP="00744E50">
      <w:pPr>
        <w:rPr>
          <w:szCs w:val="20"/>
        </w:rPr>
      </w:pPr>
    </w:p>
    <w:p w:rsidR="00622325" w:rsidRPr="00FA3856" w:rsidRDefault="00622325" w:rsidP="00622325">
      <w:pPr>
        <w:rPr>
          <w:b/>
          <w:szCs w:val="20"/>
          <w:lang w:val="pt-PT"/>
        </w:rPr>
      </w:pPr>
      <w:r w:rsidRPr="00FA3856">
        <w:rPr>
          <w:b/>
          <w:szCs w:val="20"/>
          <w:lang w:val="pt-PT"/>
        </w:rPr>
        <w:t>II</w:t>
      </w:r>
      <w:r w:rsidR="00076D64" w:rsidRPr="00FA3856">
        <w:rPr>
          <w:b/>
          <w:szCs w:val="20"/>
          <w:lang w:val="pt-PT"/>
        </w:rPr>
        <w:t>I</w:t>
      </w:r>
      <w:r w:rsidRPr="00FA3856">
        <w:rPr>
          <w:b/>
          <w:szCs w:val="20"/>
          <w:lang w:val="pt-PT"/>
        </w:rPr>
        <w:t xml:space="preserve">  – Tabela Dinâmica:</w:t>
      </w:r>
      <w:r w:rsidR="007D27B2">
        <w:rPr>
          <w:b/>
          <w:szCs w:val="20"/>
          <w:lang w:val="pt-PT"/>
        </w:rPr>
        <w:t xml:space="preserve"> </w:t>
      </w:r>
      <w:r w:rsidR="007D27B2" w:rsidRPr="007D27B2">
        <w:rPr>
          <w:b/>
          <w:szCs w:val="20"/>
          <w:lang w:val="pt-PT"/>
        </w:rPr>
        <w:t>P200 - Apuração da Base de Cálculo do IRPJ com base no Lucro Presumido</w:t>
      </w:r>
    </w:p>
    <w:p w:rsidR="00630F54" w:rsidRPr="00FA3856" w:rsidRDefault="00486CDA" w:rsidP="00622325">
      <w:pPr>
        <w:rPr>
          <w:b/>
          <w:szCs w:val="20"/>
          <w:lang w:val="pt-PT"/>
        </w:rPr>
      </w:pPr>
      <w:r>
        <w:rPr>
          <w:b/>
          <w:szCs w:val="20"/>
          <w:lang w:val="pt-PT"/>
        </w:rPr>
        <w:object w:dxaOrig="1534" w:dyaOrig="997">
          <v:shape id="_x0000_i1199" type="#_x0000_t75" style="width:79.5pt;height:50.25pt" o:ole="">
            <v:imagedata r:id="rId460" o:title=""/>
          </v:shape>
          <o:OLEObject Type="Link" ProgID="Excel.Sheet.12" ShapeID="_x0000_i1199" DrawAspect="Content" r:id="rId461" UpdateMode="OnCall">
            <o:LinkType>EnhancedMetaFile</o:LinkType>
            <o:LockedField>false</o:LockedField>
          </o:OLEObject>
        </w:object>
      </w:r>
    </w:p>
    <w:p w:rsidR="00AB6B20" w:rsidRDefault="00507874" w:rsidP="00B80E6A">
      <w:pPr>
        <w:pStyle w:val="Corpodetexto"/>
        <w:rPr>
          <w:rFonts w:ascii="Times New Roman" w:hAnsi="Times New Roman"/>
          <w:b/>
          <w:color w:val="002060"/>
          <w:szCs w:val="20"/>
        </w:rPr>
      </w:pPr>
      <w:r w:rsidRPr="00FA3856">
        <w:rPr>
          <w:rFonts w:ascii="Times New Roman" w:hAnsi="Times New Roman"/>
          <w:b/>
          <w:color w:val="002060"/>
          <w:szCs w:val="20"/>
        </w:rPr>
        <w:t xml:space="preserve">Exemplo de Preenchimento: </w:t>
      </w:r>
    </w:p>
    <w:p w:rsidR="00AB6B20" w:rsidRDefault="00AB6B20" w:rsidP="00B80E6A">
      <w:pPr>
        <w:pStyle w:val="Corpodetexto"/>
        <w:rPr>
          <w:rFonts w:ascii="Times New Roman" w:hAnsi="Times New Roman"/>
          <w:b/>
          <w:color w:val="002060"/>
          <w:szCs w:val="20"/>
        </w:rPr>
      </w:pPr>
    </w:p>
    <w:p w:rsidR="00B80E6A" w:rsidRPr="00FA3856" w:rsidRDefault="00B80E6A" w:rsidP="00B80E6A">
      <w:pPr>
        <w:pStyle w:val="Corpodetexto"/>
        <w:rPr>
          <w:rFonts w:ascii="Times New Roman" w:hAnsi="Times New Roman"/>
          <w:b/>
          <w:color w:val="002060"/>
          <w:szCs w:val="20"/>
        </w:rPr>
      </w:pPr>
      <w:r w:rsidRPr="00FA3856">
        <w:rPr>
          <w:rFonts w:ascii="Times New Roman" w:hAnsi="Times New Roman"/>
          <w:b/>
          <w:color w:val="002060"/>
          <w:szCs w:val="20"/>
        </w:rPr>
        <w:t>|P200|25|(-)Divulgação Eleitoral e Partidária Gratuita|10000,00|</w:t>
      </w:r>
    </w:p>
    <w:p w:rsidR="00B80E6A" w:rsidRPr="00FA3856" w:rsidRDefault="00B80E6A" w:rsidP="00B80E6A">
      <w:pPr>
        <w:pStyle w:val="Corpodetexto"/>
        <w:ind w:firstLine="708"/>
        <w:rPr>
          <w:rFonts w:ascii="Times New Roman" w:hAnsi="Times New Roman"/>
          <w:color w:val="002060"/>
          <w:szCs w:val="20"/>
        </w:rPr>
      </w:pPr>
      <w:r w:rsidRPr="00FA3856">
        <w:rPr>
          <w:rFonts w:ascii="Times New Roman" w:hAnsi="Times New Roman"/>
          <w:color w:val="002060"/>
          <w:szCs w:val="20"/>
        </w:rPr>
        <w:t>|P200|: Identificação do tipo do registro.</w:t>
      </w:r>
    </w:p>
    <w:p w:rsidR="00B80E6A" w:rsidRPr="00FA3856" w:rsidRDefault="00B80E6A" w:rsidP="00B80E6A">
      <w:pPr>
        <w:pStyle w:val="Corpodetexto"/>
        <w:ind w:firstLine="708"/>
        <w:rPr>
          <w:rFonts w:ascii="Times New Roman" w:hAnsi="Times New Roman"/>
          <w:color w:val="002060"/>
          <w:szCs w:val="20"/>
        </w:rPr>
      </w:pPr>
      <w:r w:rsidRPr="00FA3856">
        <w:rPr>
          <w:rFonts w:ascii="Times New Roman" w:hAnsi="Times New Roman"/>
          <w:color w:val="002060"/>
          <w:szCs w:val="20"/>
        </w:rPr>
        <w:t>|25|: Código da linha.</w:t>
      </w:r>
      <w:r w:rsidRPr="00FA3856">
        <w:rPr>
          <w:rFonts w:ascii="Times New Roman" w:hAnsi="Times New Roman"/>
          <w:color w:val="002060"/>
          <w:szCs w:val="20"/>
        </w:rPr>
        <w:tab/>
      </w:r>
    </w:p>
    <w:p w:rsidR="00B80E6A" w:rsidRPr="00FA3856" w:rsidRDefault="00B80E6A" w:rsidP="00B80E6A">
      <w:pPr>
        <w:pStyle w:val="Corpodetexto"/>
        <w:ind w:firstLine="708"/>
        <w:rPr>
          <w:rFonts w:ascii="Times New Roman" w:hAnsi="Times New Roman"/>
          <w:color w:val="002060"/>
          <w:szCs w:val="20"/>
        </w:rPr>
      </w:pPr>
      <w:r w:rsidRPr="00FA3856">
        <w:rPr>
          <w:rFonts w:ascii="Times New Roman" w:hAnsi="Times New Roman"/>
          <w:color w:val="002060"/>
          <w:szCs w:val="20"/>
        </w:rPr>
        <w:t>|(-)</w:t>
      </w:r>
      <w:r w:rsidR="0063733D" w:rsidRPr="00FA3856">
        <w:rPr>
          <w:rFonts w:ascii="Times New Roman" w:hAnsi="Times New Roman"/>
          <w:color w:val="002060"/>
          <w:szCs w:val="20"/>
        </w:rPr>
        <w:t>Divulgação</w:t>
      </w:r>
      <w:r w:rsidRPr="00FA3856">
        <w:rPr>
          <w:rFonts w:ascii="Times New Roman" w:hAnsi="Times New Roman"/>
          <w:color w:val="002060"/>
          <w:szCs w:val="20"/>
        </w:rPr>
        <w:t xml:space="preserve"> Eleitoral e Partidária Gratuita|: Descrição da linha.</w:t>
      </w:r>
    </w:p>
    <w:p w:rsidR="00B80E6A" w:rsidRPr="00FA3856" w:rsidRDefault="00B80E6A" w:rsidP="00B80E6A">
      <w:pPr>
        <w:pStyle w:val="Corpodetexto"/>
        <w:ind w:firstLine="708"/>
        <w:rPr>
          <w:rFonts w:ascii="Times New Roman" w:hAnsi="Times New Roman"/>
          <w:color w:val="002060"/>
          <w:szCs w:val="20"/>
        </w:rPr>
      </w:pPr>
      <w:r w:rsidRPr="00FA3856">
        <w:rPr>
          <w:rFonts w:ascii="Times New Roman" w:hAnsi="Times New Roman"/>
          <w:color w:val="002060"/>
          <w:szCs w:val="20"/>
        </w:rPr>
        <w:t>|10000,00|: Valor da linha (R$ 10.000,00).</w:t>
      </w:r>
    </w:p>
    <w:p w:rsidR="001B6DF5" w:rsidRPr="00FA3856" w:rsidRDefault="001B6DF5">
      <w:pPr>
        <w:spacing w:after="200" w:line="276" w:lineRule="auto"/>
        <w:rPr>
          <w:b/>
          <w:bCs/>
          <w:color w:val="0000FF"/>
          <w:szCs w:val="20"/>
        </w:rPr>
      </w:pPr>
      <w:r w:rsidRPr="00FA3856">
        <w:rPr>
          <w:color w:val="0000FF"/>
          <w:szCs w:val="20"/>
        </w:rPr>
        <w:br w:type="page"/>
      </w:r>
    </w:p>
    <w:p w:rsidR="00744E50" w:rsidRPr="00FA3856" w:rsidRDefault="00744E50" w:rsidP="00867F54">
      <w:pPr>
        <w:pStyle w:val="Ttulo4"/>
      </w:pPr>
      <w:bookmarkStart w:id="305" w:name="_Toc479713759"/>
      <w:r w:rsidRPr="00FA3856">
        <w:lastRenderedPageBreak/>
        <w:t>Registro P230: Cálculo da Isenção e Redução do Lucro Presumido</w:t>
      </w:r>
      <w:bookmarkEnd w:id="305"/>
    </w:p>
    <w:p w:rsidR="00744E50" w:rsidRPr="00FA3856" w:rsidRDefault="00744E50" w:rsidP="00744E50">
      <w:pPr>
        <w:rPr>
          <w:szCs w:val="20"/>
        </w:rPr>
      </w:pPr>
    </w:p>
    <w:p w:rsidR="00744E50" w:rsidRPr="00FA3856" w:rsidRDefault="00744E50" w:rsidP="00040D7B">
      <w:pPr>
        <w:pStyle w:val="PSDS-CorpodeTexto0"/>
        <w:ind w:firstLine="708"/>
        <w:jc w:val="both"/>
        <w:rPr>
          <w:rFonts w:ascii="Times New Roman" w:hAnsi="Times New Roman"/>
        </w:rPr>
      </w:pPr>
      <w:r w:rsidRPr="00FA3856">
        <w:rPr>
          <w:rFonts w:ascii="Times New Roman" w:hAnsi="Times New Roman"/>
        </w:rPr>
        <w:t>Apresenta o cálculo da isenção e redução do lucro presumido.</w:t>
      </w:r>
    </w:p>
    <w:p w:rsidR="00622325" w:rsidRDefault="00622325" w:rsidP="00744E50">
      <w:pPr>
        <w:rPr>
          <w:b/>
          <w:szCs w:val="20"/>
          <w:lang w:val="pt-PT"/>
        </w:rPr>
      </w:pPr>
    </w:p>
    <w:p w:rsidR="00C60816" w:rsidRPr="00FA3856" w:rsidRDefault="00B35FA3" w:rsidP="00C60816">
      <w:pPr>
        <w:jc w:val="center"/>
        <w:rPr>
          <w:b/>
          <w:szCs w:val="20"/>
          <w:lang w:val="pt-PT"/>
        </w:rPr>
      </w:pPr>
      <w:r>
        <w:rPr>
          <w:b/>
          <w:szCs w:val="20"/>
          <w:lang w:val="pt-PT"/>
        </w:rPr>
        <w:object w:dxaOrig="13920" w:dyaOrig="4695">
          <v:shape id="_x0000_i1789" type="#_x0000_t75" style="width:745.5pt;height:230.25pt" o:ole="">
            <v:imagedata r:id="rId462" o:title=""/>
          </v:shape>
          <o:OLEObject Type="Link" ProgID="Excel.Sheet.12" ShapeID="_x0000_i1789" DrawAspect="Content" r:id="rId463" UpdateMode="Always">
            <o:LinkType>EnhancedMetaFile</o:LinkType>
            <o:LockedField>false</o:LockedField>
          </o:OLEObject>
        </w:object>
      </w:r>
    </w:p>
    <w:p w:rsidR="00C60816" w:rsidRDefault="00C60816" w:rsidP="00FE5D23">
      <w:pPr>
        <w:rPr>
          <w:b/>
          <w:szCs w:val="20"/>
          <w:lang w:val="pt-PT"/>
        </w:rPr>
      </w:pPr>
    </w:p>
    <w:p w:rsidR="00FE5D23" w:rsidRPr="00FA3856" w:rsidRDefault="00FE5D23" w:rsidP="00FE5D23">
      <w:pPr>
        <w:rPr>
          <w:b/>
          <w:szCs w:val="20"/>
          <w:lang w:val="pt-PT"/>
        </w:rPr>
      </w:pPr>
      <w:r w:rsidRPr="00FA3856">
        <w:rPr>
          <w:b/>
          <w:szCs w:val="20"/>
          <w:lang w:val="pt-PT"/>
        </w:rPr>
        <w:t>I – Regras de Validação do Registro:</w:t>
      </w:r>
    </w:p>
    <w:p w:rsidR="00FE5D23" w:rsidRPr="00FA3856" w:rsidRDefault="00FE5D23" w:rsidP="00FE5D23">
      <w:pPr>
        <w:rPr>
          <w:b/>
          <w:szCs w:val="20"/>
          <w:lang w:val="pt-PT"/>
        </w:rPr>
      </w:pPr>
    </w:p>
    <w:p w:rsidR="00FE5D23" w:rsidRPr="00FA3856" w:rsidRDefault="007D0E74" w:rsidP="00FE5D23">
      <w:pPr>
        <w:pStyle w:val="Corpodetexto"/>
        <w:ind w:left="708" w:firstLine="12"/>
        <w:rPr>
          <w:rFonts w:ascii="Times New Roman" w:hAnsi="Times New Roman"/>
          <w:szCs w:val="20"/>
        </w:rPr>
      </w:pPr>
      <w:hyperlink r:id="rId464" w:anchor="REGRA_OCORRENCIA_UNITARIA_ARQ" w:history="1">
        <w:r w:rsidR="00FE5D23" w:rsidRPr="00FA3856">
          <w:rPr>
            <w:rFonts w:ascii="Times New Roman" w:hAnsi="Times New Roman"/>
            <w:b/>
            <w:szCs w:val="20"/>
          </w:rPr>
          <w:t>REGRA_</w:t>
        </w:r>
      </w:hyperlink>
      <w:r w:rsidR="00FE5D23" w:rsidRPr="00FA3856">
        <w:rPr>
          <w:rFonts w:ascii="Times New Roman" w:hAnsi="Times New Roman"/>
          <w:b/>
          <w:szCs w:val="20"/>
        </w:rPr>
        <w:t>DUPLICIDADE_DESPREZADA</w:t>
      </w:r>
      <w:r w:rsidR="00FE5D23" w:rsidRPr="00FA3856">
        <w:rPr>
          <w:rFonts w:ascii="Times New Roman" w:hAnsi="Times New Roman"/>
          <w:color w:val="auto"/>
          <w:szCs w:val="20"/>
        </w:rPr>
        <w:t xml:space="preserve">: </w:t>
      </w:r>
      <w:r w:rsidR="00FE5D23" w:rsidRPr="00FA3856">
        <w:rPr>
          <w:rFonts w:ascii="Times New Roman" w:hAnsi="Times New Roman"/>
          <w:szCs w:val="20"/>
        </w:rPr>
        <w:t>Verifica se o registro já foi importado anteriormente, de acordo com a chave e os registros pais. Se a regra não for cumprida, a ECF gera um aviso.</w:t>
      </w:r>
    </w:p>
    <w:p w:rsidR="00FE5D23" w:rsidRPr="00FA3856" w:rsidRDefault="00FE5D23" w:rsidP="00FE5D23">
      <w:pPr>
        <w:pStyle w:val="Corpodetexto"/>
        <w:ind w:left="708" w:firstLine="12"/>
        <w:rPr>
          <w:rFonts w:ascii="Times New Roman" w:hAnsi="Times New Roman"/>
          <w:szCs w:val="20"/>
        </w:rPr>
      </w:pPr>
    </w:p>
    <w:p w:rsidR="00FE5D23" w:rsidRPr="00FA3856" w:rsidRDefault="007D0E74" w:rsidP="00FE5D23">
      <w:pPr>
        <w:pStyle w:val="Corpodetexto"/>
        <w:ind w:left="708" w:firstLine="12"/>
        <w:rPr>
          <w:rFonts w:ascii="Times New Roman" w:hAnsi="Times New Roman"/>
          <w:szCs w:val="20"/>
        </w:rPr>
      </w:pPr>
      <w:hyperlink r:id="rId465" w:anchor="REGRA_OCORRENCIA_UNITARIA_ARQ" w:history="1">
        <w:r w:rsidR="00FE5D23" w:rsidRPr="00FA3856">
          <w:rPr>
            <w:rFonts w:ascii="Times New Roman" w:hAnsi="Times New Roman"/>
            <w:b/>
            <w:szCs w:val="20"/>
          </w:rPr>
          <w:t>REGRA_</w:t>
        </w:r>
      </w:hyperlink>
      <w:r w:rsidR="00FE5D23" w:rsidRPr="00FA3856">
        <w:rPr>
          <w:rFonts w:ascii="Times New Roman" w:hAnsi="Times New Roman"/>
          <w:b/>
          <w:szCs w:val="20"/>
        </w:rPr>
        <w:t>LINHA_DESPREZADA</w:t>
      </w:r>
      <w:r w:rsidR="00FE5D23" w:rsidRPr="00FA3856">
        <w:rPr>
          <w:rFonts w:ascii="Times New Roman" w:hAnsi="Times New Roman"/>
          <w:color w:val="auto"/>
          <w:szCs w:val="20"/>
        </w:rPr>
        <w:t xml:space="preserve">: </w:t>
      </w:r>
      <w:r w:rsidR="00FE5D23" w:rsidRPr="00FA3856">
        <w:rPr>
          <w:rFonts w:ascii="Times New Roman" w:hAnsi="Times New Roman"/>
          <w:szCs w:val="20"/>
        </w:rPr>
        <w:t>Verifica se o registro existe na importação, mas não será importado por não existir na tabela dinâmica devido às configurações do bloco 0 ou da tabela dinâmica. Gera um aviso.</w:t>
      </w:r>
    </w:p>
    <w:p w:rsidR="00FE5D23" w:rsidRPr="00FA3856" w:rsidRDefault="00FE5D23" w:rsidP="00FE5D23">
      <w:pPr>
        <w:pStyle w:val="Corpodetexto"/>
        <w:ind w:left="708" w:firstLine="12"/>
        <w:rPr>
          <w:rFonts w:ascii="Times New Roman" w:hAnsi="Times New Roman"/>
          <w:b/>
          <w:szCs w:val="20"/>
        </w:rPr>
      </w:pPr>
    </w:p>
    <w:p w:rsidR="00FE5D23" w:rsidRPr="00FA3856" w:rsidRDefault="007D0E74" w:rsidP="00FE5D23">
      <w:pPr>
        <w:pStyle w:val="Corpodetexto"/>
        <w:ind w:left="708" w:firstLine="12"/>
        <w:rPr>
          <w:rFonts w:ascii="Times New Roman" w:hAnsi="Times New Roman"/>
          <w:b/>
          <w:szCs w:val="20"/>
        </w:rPr>
      </w:pPr>
      <w:hyperlink r:id="rId466" w:anchor="REGRA_OCORRENCIA_UNITARIA_ARQ" w:history="1">
        <w:r w:rsidR="00FE5D23" w:rsidRPr="00FA3856">
          <w:rPr>
            <w:rFonts w:ascii="Times New Roman" w:hAnsi="Times New Roman"/>
            <w:b/>
            <w:szCs w:val="20"/>
          </w:rPr>
          <w:t>REGRA_</w:t>
        </w:r>
      </w:hyperlink>
      <w:r w:rsidR="00FE5D23" w:rsidRPr="00FA3856">
        <w:rPr>
          <w:rFonts w:ascii="Times New Roman" w:hAnsi="Times New Roman"/>
          <w:b/>
          <w:szCs w:val="20"/>
        </w:rPr>
        <w:t>LINHA_ATUALIZADA</w:t>
      </w:r>
      <w:r w:rsidR="00FE5D23" w:rsidRPr="00FA3856">
        <w:rPr>
          <w:rFonts w:ascii="Times New Roman" w:hAnsi="Times New Roman"/>
          <w:color w:val="auto"/>
          <w:szCs w:val="20"/>
        </w:rPr>
        <w:t xml:space="preserve">: </w:t>
      </w:r>
      <w:r w:rsidR="00FE5D23" w:rsidRPr="00FA3856">
        <w:rPr>
          <w:rFonts w:ascii="Times New Roman" w:hAnsi="Times New Roman"/>
          <w:szCs w:val="20"/>
        </w:rPr>
        <w:t>Verifica se o registro está desatualizado em relação à tabela da RFB. Gera um aviso.</w:t>
      </w:r>
    </w:p>
    <w:p w:rsidR="00076D64" w:rsidRPr="00FA3856" w:rsidRDefault="00076D64" w:rsidP="00744E50">
      <w:pPr>
        <w:rPr>
          <w:b/>
          <w:szCs w:val="20"/>
          <w:lang w:val="pt-PT"/>
        </w:rPr>
      </w:pPr>
    </w:p>
    <w:p w:rsidR="00C91374" w:rsidRPr="00FA3856" w:rsidRDefault="00C91374">
      <w:pPr>
        <w:rPr>
          <w:b/>
          <w:szCs w:val="20"/>
          <w:lang w:val="pt-PT"/>
        </w:rPr>
      </w:pPr>
      <w:r w:rsidRPr="00FA3856">
        <w:rPr>
          <w:b/>
          <w:szCs w:val="20"/>
          <w:lang w:val="pt-PT"/>
        </w:rPr>
        <w:br w:type="page"/>
      </w:r>
    </w:p>
    <w:p w:rsidR="00744E50" w:rsidRPr="00FA3856" w:rsidRDefault="00076D64" w:rsidP="00744E50">
      <w:pPr>
        <w:rPr>
          <w:b/>
          <w:szCs w:val="20"/>
          <w:lang w:val="pt-PT"/>
        </w:rPr>
      </w:pPr>
      <w:r w:rsidRPr="00FA3856">
        <w:rPr>
          <w:b/>
          <w:szCs w:val="20"/>
          <w:lang w:val="pt-PT"/>
        </w:rPr>
        <w:lastRenderedPageBreak/>
        <w:t>I</w:t>
      </w:r>
      <w:r w:rsidR="00744E50" w:rsidRPr="00FA3856">
        <w:rPr>
          <w:b/>
          <w:szCs w:val="20"/>
          <w:lang w:val="pt-PT"/>
        </w:rPr>
        <w:t>I – Regras de Validação de Campos:</w:t>
      </w:r>
    </w:p>
    <w:p w:rsidR="00744E50" w:rsidRPr="00FA3856" w:rsidRDefault="00744E50" w:rsidP="00744E50">
      <w:pPr>
        <w:rPr>
          <w:b/>
          <w:szCs w:val="20"/>
          <w:lang w:val="pt-PT"/>
        </w:rPr>
      </w:pPr>
    </w:p>
    <w:tbl>
      <w:tblPr>
        <w:tblW w:w="15317"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85"/>
        <w:gridCol w:w="3000"/>
        <w:gridCol w:w="11115"/>
        <w:gridCol w:w="717"/>
      </w:tblGrid>
      <w:tr w:rsidR="00744E50" w:rsidRPr="00FA3856" w:rsidTr="00507874">
        <w:trPr>
          <w:jc w:val="center"/>
        </w:trPr>
        <w:tc>
          <w:tcPr>
            <w:tcW w:w="485" w:type="dxa"/>
            <w:tcBorders>
              <w:top w:val="single" w:sz="6" w:space="0" w:color="auto"/>
              <w:left w:val="single" w:sz="6" w:space="0" w:color="auto"/>
              <w:bottom w:val="single" w:sz="6" w:space="0" w:color="auto"/>
              <w:right w:val="single" w:sz="6" w:space="0" w:color="auto"/>
            </w:tcBorders>
            <w:shd w:val="pct10" w:color="auto" w:fill="FFFFFF"/>
          </w:tcPr>
          <w:p w:rsidR="00744E50" w:rsidRPr="00FA3856" w:rsidRDefault="00744E50" w:rsidP="00EC4ABB">
            <w:pPr>
              <w:pStyle w:val="PSDS-CorpodeTexto0"/>
              <w:jc w:val="center"/>
              <w:rPr>
                <w:rFonts w:ascii="Times New Roman" w:hAnsi="Times New Roman"/>
                <w:b/>
                <w:bCs/>
              </w:rPr>
            </w:pPr>
            <w:r w:rsidRPr="00FA3856">
              <w:rPr>
                <w:rFonts w:ascii="Times New Roman" w:hAnsi="Times New Roman"/>
                <w:b/>
                <w:bCs/>
              </w:rPr>
              <w:t>Nº</w:t>
            </w:r>
          </w:p>
        </w:tc>
        <w:tc>
          <w:tcPr>
            <w:tcW w:w="3000" w:type="dxa"/>
            <w:tcBorders>
              <w:top w:val="single" w:sz="6" w:space="0" w:color="auto"/>
              <w:left w:val="single" w:sz="6" w:space="0" w:color="auto"/>
              <w:bottom w:val="single" w:sz="6" w:space="0" w:color="auto"/>
              <w:right w:val="single" w:sz="6" w:space="0" w:color="auto"/>
            </w:tcBorders>
            <w:shd w:val="pct10" w:color="auto" w:fill="FFFFFF"/>
          </w:tcPr>
          <w:p w:rsidR="00744E50" w:rsidRPr="00FA3856" w:rsidRDefault="00744E50" w:rsidP="00EC4ABB">
            <w:pPr>
              <w:pStyle w:val="PSDS-CorpodeTexto0"/>
              <w:jc w:val="center"/>
              <w:rPr>
                <w:rFonts w:ascii="Times New Roman" w:hAnsi="Times New Roman"/>
                <w:b/>
                <w:bCs/>
              </w:rPr>
            </w:pPr>
            <w:r w:rsidRPr="00FA3856">
              <w:rPr>
                <w:rFonts w:ascii="Times New Roman" w:hAnsi="Times New Roman"/>
                <w:b/>
                <w:bCs/>
              </w:rPr>
              <w:t>Campo</w:t>
            </w:r>
          </w:p>
        </w:tc>
        <w:tc>
          <w:tcPr>
            <w:tcW w:w="11115" w:type="dxa"/>
            <w:tcBorders>
              <w:top w:val="single" w:sz="6" w:space="0" w:color="auto"/>
              <w:left w:val="single" w:sz="6" w:space="0" w:color="auto"/>
              <w:bottom w:val="single" w:sz="6" w:space="0" w:color="auto"/>
              <w:right w:val="single" w:sz="6" w:space="0" w:color="auto"/>
            </w:tcBorders>
            <w:shd w:val="pct10" w:color="auto" w:fill="FFFFFF"/>
          </w:tcPr>
          <w:p w:rsidR="00744E50" w:rsidRPr="00FA3856" w:rsidRDefault="00744E50" w:rsidP="00EC4ABB">
            <w:pPr>
              <w:pStyle w:val="PSDS-CorpodeTexto0"/>
              <w:jc w:val="center"/>
              <w:rPr>
                <w:rFonts w:ascii="Times New Roman" w:hAnsi="Times New Roman"/>
                <w:b/>
                <w:bCs/>
              </w:rPr>
            </w:pPr>
            <w:r w:rsidRPr="00FA3856">
              <w:rPr>
                <w:rFonts w:ascii="Times New Roman" w:hAnsi="Times New Roman"/>
                <w:b/>
                <w:bCs/>
              </w:rPr>
              <w:t>Regras de Validação do Campo</w:t>
            </w:r>
          </w:p>
        </w:tc>
        <w:tc>
          <w:tcPr>
            <w:tcW w:w="717" w:type="dxa"/>
            <w:tcBorders>
              <w:top w:val="single" w:sz="6" w:space="0" w:color="auto"/>
              <w:left w:val="single" w:sz="6" w:space="0" w:color="auto"/>
              <w:bottom w:val="single" w:sz="6" w:space="0" w:color="auto"/>
              <w:right w:val="single" w:sz="6" w:space="0" w:color="auto"/>
            </w:tcBorders>
            <w:shd w:val="pct10" w:color="auto" w:fill="FFFFFF"/>
          </w:tcPr>
          <w:p w:rsidR="00744E50" w:rsidRPr="00FA3856" w:rsidRDefault="00744E50" w:rsidP="00EC4ABB">
            <w:pPr>
              <w:pStyle w:val="PSDS-CorpodeTexto0"/>
              <w:jc w:val="center"/>
              <w:rPr>
                <w:rFonts w:ascii="Times New Roman" w:hAnsi="Times New Roman"/>
                <w:b/>
                <w:bCs/>
              </w:rPr>
            </w:pPr>
            <w:r w:rsidRPr="00FA3856">
              <w:rPr>
                <w:rFonts w:ascii="Times New Roman" w:hAnsi="Times New Roman"/>
                <w:b/>
                <w:bCs/>
              </w:rPr>
              <w:t>Tipo</w:t>
            </w:r>
          </w:p>
        </w:tc>
      </w:tr>
      <w:tr w:rsidR="0012324D" w:rsidRPr="00FA3856" w:rsidTr="00507874">
        <w:trPr>
          <w:jc w:val="center"/>
        </w:trPr>
        <w:tc>
          <w:tcPr>
            <w:tcW w:w="485" w:type="dxa"/>
            <w:tcBorders>
              <w:top w:val="single" w:sz="6" w:space="0" w:color="auto"/>
              <w:left w:val="single" w:sz="6" w:space="0" w:color="auto"/>
              <w:bottom w:val="single" w:sz="6" w:space="0" w:color="auto"/>
              <w:right w:val="single" w:sz="6" w:space="0" w:color="auto"/>
            </w:tcBorders>
          </w:tcPr>
          <w:p w:rsidR="0012324D" w:rsidRPr="00FA3856" w:rsidRDefault="0012324D" w:rsidP="0012324D">
            <w:pPr>
              <w:pStyle w:val="PSDS-CorpodeTexto0"/>
              <w:suppressAutoHyphens w:val="0"/>
              <w:rPr>
                <w:rFonts w:ascii="Times New Roman" w:hAnsi="Times New Roman"/>
                <w:b/>
                <w:bCs/>
                <w:lang w:val="pt-PT"/>
              </w:rPr>
            </w:pPr>
            <w:r w:rsidRPr="00FA3856">
              <w:rPr>
                <w:rFonts w:ascii="Times New Roman" w:hAnsi="Times New Roman"/>
                <w:b/>
                <w:bCs/>
                <w:lang w:val="pt-PT"/>
              </w:rPr>
              <w:t>4</w:t>
            </w:r>
          </w:p>
        </w:tc>
        <w:tc>
          <w:tcPr>
            <w:tcW w:w="3000" w:type="dxa"/>
            <w:tcBorders>
              <w:top w:val="single" w:sz="6" w:space="0" w:color="auto"/>
              <w:left w:val="single" w:sz="6" w:space="0" w:color="auto"/>
              <w:bottom w:val="single" w:sz="6" w:space="0" w:color="auto"/>
              <w:right w:val="single" w:sz="6" w:space="0" w:color="auto"/>
            </w:tcBorders>
          </w:tcPr>
          <w:p w:rsidR="0012324D" w:rsidRPr="00FA3856" w:rsidRDefault="0012324D" w:rsidP="0012324D">
            <w:pPr>
              <w:pStyle w:val="PSDS-CorpodeTexto0"/>
              <w:rPr>
                <w:rFonts w:ascii="Times New Roman" w:hAnsi="Times New Roman"/>
              </w:rPr>
            </w:pPr>
            <w:r w:rsidRPr="00FA3856">
              <w:rPr>
                <w:rFonts w:ascii="Times New Roman" w:hAnsi="Times New Roman"/>
              </w:rPr>
              <w:t>VALOR</w:t>
            </w:r>
          </w:p>
        </w:tc>
        <w:tc>
          <w:tcPr>
            <w:tcW w:w="11115" w:type="dxa"/>
            <w:tcBorders>
              <w:top w:val="single" w:sz="6" w:space="0" w:color="auto"/>
              <w:left w:val="single" w:sz="6" w:space="0" w:color="auto"/>
              <w:bottom w:val="single" w:sz="6" w:space="0" w:color="auto"/>
              <w:right w:val="single" w:sz="6" w:space="0" w:color="auto"/>
            </w:tcBorders>
          </w:tcPr>
          <w:p w:rsidR="0012324D" w:rsidRPr="00FA3856" w:rsidRDefault="0012324D" w:rsidP="0012324D">
            <w:pPr>
              <w:pStyle w:val="Corpodetexto"/>
              <w:rPr>
                <w:rFonts w:ascii="Times New Roman" w:hAnsi="Times New Roman"/>
                <w:szCs w:val="20"/>
              </w:rPr>
            </w:pPr>
            <w:r w:rsidRPr="00FA3856">
              <w:rPr>
                <w:rFonts w:ascii="Times New Roman" w:hAnsi="Times New Roman"/>
                <w:b/>
                <w:bCs/>
                <w:szCs w:val="20"/>
              </w:rPr>
              <w:t>REGRA_OBRIGATORIO_TIPO_DIFERENTE_R</w:t>
            </w:r>
            <w:r w:rsidRPr="00FA3856">
              <w:rPr>
                <w:rFonts w:ascii="Times New Roman" w:hAnsi="Times New Roman"/>
                <w:szCs w:val="20"/>
              </w:rPr>
              <w:t xml:space="preserve">: </w:t>
            </w:r>
            <w:r w:rsidRPr="00FA3856">
              <w:rPr>
                <w:rStyle w:val="Hyperlink"/>
                <w:rFonts w:ascii="Times New Roman" w:hAnsi="Times New Roman"/>
                <w:bCs/>
                <w:color w:val="auto"/>
                <w:szCs w:val="20"/>
                <w:lang w:val="pt-PT"/>
              </w:rPr>
              <w:t xml:space="preserve">Verifica se o campo está preenchido quando o tipo da linha </w:t>
            </w:r>
            <w:r w:rsidR="0063733D" w:rsidRPr="00FA3856">
              <w:rPr>
                <w:rStyle w:val="Hyperlink"/>
                <w:rFonts w:ascii="Times New Roman" w:hAnsi="Times New Roman"/>
                <w:bCs/>
                <w:color w:val="auto"/>
                <w:szCs w:val="20"/>
                <w:lang w:val="pt-PT"/>
              </w:rPr>
              <w:t>é diferente</w:t>
            </w:r>
            <w:r w:rsidRPr="00FA3856">
              <w:rPr>
                <w:rStyle w:val="Hyperlink"/>
                <w:rFonts w:ascii="Times New Roman" w:hAnsi="Times New Roman"/>
                <w:bCs/>
                <w:color w:val="auto"/>
                <w:szCs w:val="20"/>
                <w:lang w:val="pt-PT"/>
              </w:rPr>
              <w:t xml:space="preserve"> de “R”.</w:t>
            </w:r>
          </w:p>
        </w:tc>
        <w:tc>
          <w:tcPr>
            <w:tcW w:w="717" w:type="dxa"/>
            <w:tcBorders>
              <w:top w:val="single" w:sz="6" w:space="0" w:color="auto"/>
              <w:left w:val="single" w:sz="6" w:space="0" w:color="auto"/>
              <w:bottom w:val="single" w:sz="6" w:space="0" w:color="auto"/>
              <w:right w:val="single" w:sz="6" w:space="0" w:color="auto"/>
            </w:tcBorders>
          </w:tcPr>
          <w:p w:rsidR="0012324D" w:rsidRPr="00FA3856" w:rsidRDefault="0012324D" w:rsidP="0012324D">
            <w:pPr>
              <w:pStyle w:val="PSDS-CorpodeTexto0"/>
              <w:rPr>
                <w:rFonts w:ascii="Times New Roman" w:hAnsi="Times New Roman"/>
              </w:rPr>
            </w:pPr>
            <w:r w:rsidRPr="00FA3856">
              <w:rPr>
                <w:rFonts w:ascii="Times New Roman" w:hAnsi="Times New Roman"/>
              </w:rPr>
              <w:t>Erro</w:t>
            </w:r>
          </w:p>
          <w:p w:rsidR="0012324D" w:rsidRPr="00FA3856" w:rsidRDefault="0012324D" w:rsidP="0012324D">
            <w:pPr>
              <w:pStyle w:val="PSDS-CorpodeTexto0"/>
              <w:rPr>
                <w:rFonts w:ascii="Times New Roman" w:hAnsi="Times New Roman"/>
              </w:rPr>
            </w:pPr>
          </w:p>
        </w:tc>
      </w:tr>
    </w:tbl>
    <w:p w:rsidR="00744E50" w:rsidRPr="00FA3856" w:rsidRDefault="00744E50" w:rsidP="00744E50">
      <w:pPr>
        <w:rPr>
          <w:szCs w:val="20"/>
        </w:rPr>
      </w:pPr>
    </w:p>
    <w:p w:rsidR="00622325" w:rsidRPr="00FA3856" w:rsidRDefault="00622325" w:rsidP="002F2479">
      <w:pPr>
        <w:rPr>
          <w:b/>
          <w:szCs w:val="20"/>
          <w:lang w:val="pt-PT"/>
        </w:rPr>
      </w:pPr>
      <w:r w:rsidRPr="00FA3856">
        <w:rPr>
          <w:b/>
          <w:szCs w:val="20"/>
          <w:lang w:val="pt-PT"/>
        </w:rPr>
        <w:t>I</w:t>
      </w:r>
      <w:r w:rsidR="00076D64" w:rsidRPr="00FA3856">
        <w:rPr>
          <w:b/>
          <w:szCs w:val="20"/>
          <w:lang w:val="pt-PT"/>
        </w:rPr>
        <w:t>I</w:t>
      </w:r>
      <w:r w:rsidRPr="00FA3856">
        <w:rPr>
          <w:b/>
          <w:szCs w:val="20"/>
          <w:lang w:val="pt-PT"/>
        </w:rPr>
        <w:t>I – Tabela Dinâmica:</w:t>
      </w:r>
      <w:r w:rsidR="004A3546">
        <w:rPr>
          <w:b/>
          <w:szCs w:val="20"/>
          <w:lang w:val="pt-PT"/>
        </w:rPr>
        <w:t xml:space="preserve"> </w:t>
      </w:r>
      <w:r w:rsidR="004A3546" w:rsidRPr="004A3546">
        <w:rPr>
          <w:b/>
          <w:szCs w:val="20"/>
          <w:lang w:val="pt-PT"/>
        </w:rPr>
        <w:t>P230 - Cálculo da Isenção e Redução do IRPJ com base no Lucro Presumido</w:t>
      </w:r>
    </w:p>
    <w:p w:rsidR="00497F9E" w:rsidRPr="00012703" w:rsidRDefault="00486CDA" w:rsidP="00012703">
      <w:pPr>
        <w:rPr>
          <w:b/>
          <w:szCs w:val="20"/>
          <w:lang w:val="pt-PT"/>
        </w:rPr>
      </w:pPr>
      <w:r>
        <w:rPr>
          <w:b/>
          <w:szCs w:val="20"/>
          <w:lang w:val="pt-PT"/>
        </w:rPr>
        <w:object w:dxaOrig="1534" w:dyaOrig="997">
          <v:shape id="_x0000_i1201" type="#_x0000_t75" style="width:79.5pt;height:50.25pt" o:ole="">
            <v:imagedata r:id="rId467" o:title=""/>
          </v:shape>
          <o:OLEObject Type="Link" ProgID="Excel.Sheet.12" ShapeID="_x0000_i1201" DrawAspect="Content" r:id="rId468" UpdateMode="OnCall">
            <o:LinkType>EnhancedMetaFile</o:LinkType>
            <o:LockedField>false</o:LockedField>
          </o:OLEObject>
        </w:object>
      </w:r>
    </w:p>
    <w:p w:rsidR="00497F9E" w:rsidRDefault="00507874" w:rsidP="004519EA">
      <w:pPr>
        <w:pStyle w:val="Corpodetexto"/>
        <w:rPr>
          <w:rFonts w:ascii="Times New Roman" w:hAnsi="Times New Roman"/>
          <w:b/>
          <w:color w:val="002060"/>
          <w:szCs w:val="20"/>
        </w:rPr>
      </w:pPr>
      <w:r w:rsidRPr="00FA3856">
        <w:rPr>
          <w:rFonts w:ascii="Times New Roman" w:hAnsi="Times New Roman"/>
          <w:b/>
          <w:color w:val="002060"/>
          <w:szCs w:val="20"/>
        </w:rPr>
        <w:t xml:space="preserve">Exemplo de Preenchimento: </w:t>
      </w:r>
    </w:p>
    <w:p w:rsidR="00497F9E" w:rsidRDefault="00497F9E" w:rsidP="004519EA">
      <w:pPr>
        <w:pStyle w:val="Corpodetexto"/>
        <w:rPr>
          <w:rFonts w:ascii="Times New Roman" w:hAnsi="Times New Roman"/>
          <w:b/>
          <w:color w:val="002060"/>
          <w:szCs w:val="20"/>
        </w:rPr>
      </w:pPr>
    </w:p>
    <w:p w:rsidR="004519EA" w:rsidRPr="00FA3856" w:rsidRDefault="004519EA" w:rsidP="004519EA">
      <w:pPr>
        <w:pStyle w:val="Corpodetexto"/>
        <w:rPr>
          <w:rFonts w:ascii="Times New Roman" w:hAnsi="Times New Roman"/>
          <w:b/>
          <w:color w:val="002060"/>
          <w:szCs w:val="20"/>
        </w:rPr>
      </w:pPr>
      <w:r w:rsidRPr="00FA3856">
        <w:rPr>
          <w:rFonts w:ascii="Times New Roman" w:hAnsi="Times New Roman"/>
          <w:b/>
          <w:color w:val="002060"/>
          <w:szCs w:val="20"/>
        </w:rPr>
        <w:t>|P230|37|TOTAL DA ISENÇÃO E REDUÇÃO|10000,00|</w:t>
      </w:r>
    </w:p>
    <w:p w:rsidR="004519EA" w:rsidRPr="00FA3856" w:rsidRDefault="004519EA" w:rsidP="004519EA">
      <w:pPr>
        <w:pStyle w:val="Corpodetexto"/>
        <w:ind w:firstLine="708"/>
        <w:rPr>
          <w:rFonts w:ascii="Times New Roman" w:hAnsi="Times New Roman"/>
          <w:color w:val="002060"/>
          <w:szCs w:val="20"/>
        </w:rPr>
      </w:pPr>
      <w:r w:rsidRPr="00FA3856">
        <w:rPr>
          <w:rFonts w:ascii="Times New Roman" w:hAnsi="Times New Roman"/>
          <w:color w:val="002060"/>
          <w:szCs w:val="20"/>
        </w:rPr>
        <w:t>|P230|: Identificação do tipo do registro.</w:t>
      </w:r>
    </w:p>
    <w:p w:rsidR="004519EA" w:rsidRPr="00FA3856" w:rsidRDefault="004519EA" w:rsidP="004519EA">
      <w:pPr>
        <w:pStyle w:val="Corpodetexto"/>
        <w:ind w:firstLine="708"/>
        <w:rPr>
          <w:rFonts w:ascii="Times New Roman" w:hAnsi="Times New Roman"/>
          <w:color w:val="002060"/>
          <w:szCs w:val="20"/>
        </w:rPr>
      </w:pPr>
      <w:r w:rsidRPr="00FA3856">
        <w:rPr>
          <w:rFonts w:ascii="Times New Roman" w:hAnsi="Times New Roman"/>
          <w:color w:val="002060"/>
          <w:szCs w:val="20"/>
        </w:rPr>
        <w:t>|37|: Código da linha.</w:t>
      </w:r>
      <w:r w:rsidRPr="00FA3856">
        <w:rPr>
          <w:rFonts w:ascii="Times New Roman" w:hAnsi="Times New Roman"/>
          <w:color w:val="002060"/>
          <w:szCs w:val="20"/>
        </w:rPr>
        <w:tab/>
      </w:r>
    </w:p>
    <w:p w:rsidR="004519EA" w:rsidRPr="00FA3856" w:rsidRDefault="004519EA" w:rsidP="004519EA">
      <w:pPr>
        <w:pStyle w:val="Corpodetexto"/>
        <w:ind w:firstLine="708"/>
        <w:rPr>
          <w:rFonts w:ascii="Times New Roman" w:hAnsi="Times New Roman"/>
          <w:color w:val="002060"/>
          <w:szCs w:val="20"/>
        </w:rPr>
      </w:pPr>
      <w:r w:rsidRPr="00FA3856">
        <w:rPr>
          <w:rFonts w:ascii="Times New Roman" w:hAnsi="Times New Roman"/>
          <w:color w:val="002060"/>
          <w:szCs w:val="20"/>
        </w:rPr>
        <w:t>|TOTAL DA ISENÇÃO E REDUÇÃO|: Descrição da linha.</w:t>
      </w:r>
    </w:p>
    <w:p w:rsidR="004519EA" w:rsidRPr="00FA3856" w:rsidRDefault="004519EA" w:rsidP="004519EA">
      <w:pPr>
        <w:pStyle w:val="Corpodetexto"/>
        <w:ind w:firstLine="708"/>
        <w:rPr>
          <w:rFonts w:ascii="Times New Roman" w:hAnsi="Times New Roman"/>
          <w:color w:val="002060"/>
          <w:szCs w:val="20"/>
        </w:rPr>
      </w:pPr>
      <w:r w:rsidRPr="00FA3856">
        <w:rPr>
          <w:rFonts w:ascii="Times New Roman" w:hAnsi="Times New Roman"/>
          <w:color w:val="002060"/>
          <w:szCs w:val="20"/>
        </w:rPr>
        <w:t>|10000,00|: Valor da linha (R$ 10.000,00).</w:t>
      </w:r>
    </w:p>
    <w:p w:rsidR="00076D64" w:rsidRPr="00FA3856" w:rsidRDefault="00076D64" w:rsidP="002F2479">
      <w:pPr>
        <w:rPr>
          <w:b/>
          <w:bCs/>
          <w:color w:val="0000FF"/>
          <w:szCs w:val="20"/>
        </w:rPr>
      </w:pPr>
    </w:p>
    <w:p w:rsidR="004519EA" w:rsidRPr="00FA3856" w:rsidRDefault="004519EA">
      <w:pPr>
        <w:spacing w:after="200" w:line="276" w:lineRule="auto"/>
        <w:rPr>
          <w:b/>
          <w:bCs/>
          <w:color w:val="0000FF"/>
          <w:szCs w:val="20"/>
        </w:rPr>
      </w:pPr>
      <w:r w:rsidRPr="00FA3856">
        <w:rPr>
          <w:color w:val="0000FF"/>
          <w:szCs w:val="20"/>
        </w:rPr>
        <w:br w:type="page"/>
      </w:r>
    </w:p>
    <w:p w:rsidR="00744E50" w:rsidRPr="00FA3856" w:rsidRDefault="00744E50" w:rsidP="00867F54">
      <w:pPr>
        <w:pStyle w:val="Ttulo4"/>
      </w:pPr>
      <w:bookmarkStart w:id="306" w:name="_Toc479713760"/>
      <w:r w:rsidRPr="00FA3856">
        <w:lastRenderedPageBreak/>
        <w:t xml:space="preserve">Registro P300: Cálculo do </w:t>
      </w:r>
      <w:r w:rsidR="00840B82" w:rsidRPr="00FA3856">
        <w:t>IRPJ</w:t>
      </w:r>
      <w:r w:rsidRPr="00FA3856">
        <w:t xml:space="preserve"> com Base no Lucro Presumido</w:t>
      </w:r>
      <w:bookmarkEnd w:id="306"/>
    </w:p>
    <w:p w:rsidR="00744E50" w:rsidRPr="00FA3856" w:rsidRDefault="00744E50" w:rsidP="00744E50">
      <w:pPr>
        <w:rPr>
          <w:szCs w:val="20"/>
        </w:rPr>
      </w:pPr>
    </w:p>
    <w:p w:rsidR="00DB2F10" w:rsidRPr="00FA3856" w:rsidRDefault="0080551F" w:rsidP="003C0945">
      <w:pPr>
        <w:pStyle w:val="PSDS-CorpodeTexto0"/>
        <w:ind w:firstLine="708"/>
        <w:jc w:val="both"/>
        <w:rPr>
          <w:rFonts w:ascii="Times New Roman" w:hAnsi="Times New Roman"/>
        </w:rPr>
      </w:pPr>
      <w:r w:rsidRPr="00FA3856">
        <w:rPr>
          <w:rFonts w:ascii="Times New Roman" w:hAnsi="Times New Roman"/>
        </w:rPr>
        <w:t>Este registro é habilitado</w:t>
      </w:r>
      <w:r w:rsidR="00DB2F10" w:rsidRPr="00FA3856">
        <w:rPr>
          <w:rFonts w:ascii="Times New Roman" w:hAnsi="Times New Roman"/>
        </w:rPr>
        <w:t xml:space="preserve"> para a pessoa jurídica tributada com base no lucro presum</w:t>
      </w:r>
      <w:r w:rsidR="000C2444" w:rsidRPr="00FA3856">
        <w:rPr>
          <w:rFonts w:ascii="Times New Roman" w:hAnsi="Times New Roman"/>
        </w:rPr>
        <w:t>ido, optante ou não pelo Refis.</w:t>
      </w:r>
    </w:p>
    <w:p w:rsidR="00744E50" w:rsidRDefault="00744E50" w:rsidP="00744E50">
      <w:pPr>
        <w:rPr>
          <w:b/>
          <w:szCs w:val="20"/>
          <w:lang w:val="pt-PT"/>
        </w:rPr>
      </w:pPr>
    </w:p>
    <w:p w:rsidR="00FA3468" w:rsidRPr="00FA3856" w:rsidRDefault="00B35FA3" w:rsidP="00FA3468">
      <w:pPr>
        <w:jc w:val="center"/>
        <w:rPr>
          <w:b/>
          <w:szCs w:val="20"/>
          <w:lang w:val="pt-PT"/>
        </w:rPr>
      </w:pPr>
      <w:r>
        <w:rPr>
          <w:b/>
          <w:szCs w:val="20"/>
          <w:lang w:val="pt-PT"/>
        </w:rPr>
        <w:object w:dxaOrig="13935" w:dyaOrig="4830">
          <v:shape id="_x0000_i1792" type="#_x0000_t75" style="width:746.25pt;height:237pt" o:ole="">
            <v:imagedata r:id="rId469" o:title=""/>
          </v:shape>
          <o:OLEObject Type="Link" ProgID="Excel.Sheet.12" ShapeID="_x0000_i1792" DrawAspect="Content" r:id="rId470" UpdateMode="Always">
            <o:LinkType>EnhancedMetaFile</o:LinkType>
            <o:LockedField>false</o:LockedField>
          </o:OLEObject>
        </w:object>
      </w:r>
    </w:p>
    <w:p w:rsidR="00FA3468" w:rsidRDefault="00FA3468" w:rsidP="00FE5D23">
      <w:pPr>
        <w:rPr>
          <w:b/>
          <w:szCs w:val="20"/>
          <w:lang w:val="pt-PT"/>
        </w:rPr>
      </w:pPr>
    </w:p>
    <w:p w:rsidR="00FE5D23" w:rsidRPr="00FA3856" w:rsidRDefault="00FE5D23" w:rsidP="00FE5D23">
      <w:pPr>
        <w:rPr>
          <w:b/>
          <w:szCs w:val="20"/>
          <w:lang w:val="pt-PT"/>
        </w:rPr>
      </w:pPr>
      <w:r w:rsidRPr="00FA3856">
        <w:rPr>
          <w:b/>
          <w:szCs w:val="20"/>
          <w:lang w:val="pt-PT"/>
        </w:rPr>
        <w:t>I – Regras de Validação do Registro:</w:t>
      </w:r>
    </w:p>
    <w:p w:rsidR="00FE5D23" w:rsidRPr="00FA3856" w:rsidRDefault="00FE5D23" w:rsidP="00FE5D23">
      <w:pPr>
        <w:rPr>
          <w:b/>
          <w:szCs w:val="20"/>
          <w:lang w:val="pt-PT"/>
        </w:rPr>
      </w:pPr>
    </w:p>
    <w:p w:rsidR="00FE5D23" w:rsidRPr="00FA3856" w:rsidRDefault="007D0E74" w:rsidP="00FE5D23">
      <w:pPr>
        <w:pStyle w:val="Corpodetexto"/>
        <w:ind w:left="708" w:firstLine="12"/>
        <w:rPr>
          <w:rFonts w:ascii="Times New Roman" w:hAnsi="Times New Roman"/>
          <w:szCs w:val="20"/>
        </w:rPr>
      </w:pPr>
      <w:hyperlink r:id="rId471" w:anchor="REGRA_OCORRENCIA_UNITARIA_ARQ" w:history="1">
        <w:r w:rsidR="00FE5D23" w:rsidRPr="00FA3856">
          <w:rPr>
            <w:rFonts w:ascii="Times New Roman" w:hAnsi="Times New Roman"/>
            <w:b/>
            <w:szCs w:val="20"/>
          </w:rPr>
          <w:t>REGRA_</w:t>
        </w:r>
      </w:hyperlink>
      <w:r w:rsidR="00FE5D23" w:rsidRPr="00FA3856">
        <w:rPr>
          <w:rFonts w:ascii="Times New Roman" w:hAnsi="Times New Roman"/>
          <w:b/>
          <w:szCs w:val="20"/>
        </w:rPr>
        <w:t>DUPLICIDADE_DESPREZADA</w:t>
      </w:r>
      <w:r w:rsidR="00FE5D23" w:rsidRPr="00FA3856">
        <w:rPr>
          <w:rFonts w:ascii="Times New Roman" w:hAnsi="Times New Roman"/>
          <w:color w:val="auto"/>
          <w:szCs w:val="20"/>
        </w:rPr>
        <w:t xml:space="preserve">: </w:t>
      </w:r>
      <w:r w:rsidR="00FE5D23" w:rsidRPr="00FA3856">
        <w:rPr>
          <w:rFonts w:ascii="Times New Roman" w:hAnsi="Times New Roman"/>
          <w:szCs w:val="20"/>
        </w:rPr>
        <w:t>Verifica se o registro já foi importado anteriormente, de acordo com a chave e os registros pais. Se a regra não for cumprida, a ECF gera um aviso.</w:t>
      </w:r>
    </w:p>
    <w:p w:rsidR="00FE5D23" w:rsidRPr="00FA3856" w:rsidRDefault="00FE5D23" w:rsidP="00FE5D23">
      <w:pPr>
        <w:pStyle w:val="Corpodetexto"/>
        <w:ind w:left="708" w:firstLine="12"/>
        <w:rPr>
          <w:rFonts w:ascii="Times New Roman" w:hAnsi="Times New Roman"/>
          <w:szCs w:val="20"/>
        </w:rPr>
      </w:pPr>
    </w:p>
    <w:p w:rsidR="00FE5D23" w:rsidRPr="00FA3856" w:rsidRDefault="007D0E74" w:rsidP="00FE5D23">
      <w:pPr>
        <w:pStyle w:val="Corpodetexto"/>
        <w:ind w:left="708" w:firstLine="12"/>
        <w:rPr>
          <w:rFonts w:ascii="Times New Roman" w:hAnsi="Times New Roman"/>
          <w:szCs w:val="20"/>
        </w:rPr>
      </w:pPr>
      <w:hyperlink r:id="rId472" w:anchor="REGRA_OCORRENCIA_UNITARIA_ARQ" w:history="1">
        <w:r w:rsidR="00FE5D23" w:rsidRPr="00FA3856">
          <w:rPr>
            <w:rFonts w:ascii="Times New Roman" w:hAnsi="Times New Roman"/>
            <w:b/>
            <w:szCs w:val="20"/>
          </w:rPr>
          <w:t>REGRA_</w:t>
        </w:r>
      </w:hyperlink>
      <w:r w:rsidR="00FE5D23" w:rsidRPr="00FA3856">
        <w:rPr>
          <w:rFonts w:ascii="Times New Roman" w:hAnsi="Times New Roman"/>
          <w:b/>
          <w:szCs w:val="20"/>
        </w:rPr>
        <w:t>LINHA_DESPREZADA</w:t>
      </w:r>
      <w:r w:rsidR="00FE5D23" w:rsidRPr="00FA3856">
        <w:rPr>
          <w:rFonts w:ascii="Times New Roman" w:hAnsi="Times New Roman"/>
          <w:color w:val="auto"/>
          <w:szCs w:val="20"/>
        </w:rPr>
        <w:t xml:space="preserve">: </w:t>
      </w:r>
      <w:r w:rsidR="00FE5D23" w:rsidRPr="00FA3856">
        <w:rPr>
          <w:rFonts w:ascii="Times New Roman" w:hAnsi="Times New Roman"/>
          <w:szCs w:val="20"/>
        </w:rPr>
        <w:t>Verifica se o registro existe na importação, mas não será importado por não existir na tabela dinâmica devido às configurações do bloco 0 ou da tabela dinâmica. Gera um aviso.</w:t>
      </w:r>
    </w:p>
    <w:p w:rsidR="00FE5D23" w:rsidRPr="00FA3856" w:rsidRDefault="00FE5D23" w:rsidP="00FE5D23">
      <w:pPr>
        <w:pStyle w:val="Corpodetexto"/>
        <w:ind w:left="708" w:firstLine="12"/>
        <w:rPr>
          <w:rFonts w:ascii="Times New Roman" w:hAnsi="Times New Roman"/>
          <w:b/>
          <w:szCs w:val="20"/>
        </w:rPr>
      </w:pPr>
    </w:p>
    <w:p w:rsidR="00FE5D23" w:rsidRPr="00FA3856" w:rsidRDefault="007D0E74" w:rsidP="00FE5D23">
      <w:pPr>
        <w:pStyle w:val="Corpodetexto"/>
        <w:ind w:left="708" w:firstLine="12"/>
        <w:rPr>
          <w:rFonts w:ascii="Times New Roman" w:hAnsi="Times New Roman"/>
          <w:b/>
          <w:szCs w:val="20"/>
        </w:rPr>
      </w:pPr>
      <w:hyperlink r:id="rId473" w:anchor="REGRA_OCORRENCIA_UNITARIA_ARQ" w:history="1">
        <w:r w:rsidR="00FE5D23" w:rsidRPr="00FA3856">
          <w:rPr>
            <w:rFonts w:ascii="Times New Roman" w:hAnsi="Times New Roman"/>
            <w:b/>
            <w:szCs w:val="20"/>
          </w:rPr>
          <w:t>REGRA_</w:t>
        </w:r>
      </w:hyperlink>
      <w:r w:rsidR="00FE5D23" w:rsidRPr="00FA3856">
        <w:rPr>
          <w:rFonts w:ascii="Times New Roman" w:hAnsi="Times New Roman"/>
          <w:b/>
          <w:szCs w:val="20"/>
        </w:rPr>
        <w:t>LINHA_ATUALIZADA</w:t>
      </w:r>
      <w:r w:rsidR="00FE5D23" w:rsidRPr="00FA3856">
        <w:rPr>
          <w:rFonts w:ascii="Times New Roman" w:hAnsi="Times New Roman"/>
          <w:color w:val="auto"/>
          <w:szCs w:val="20"/>
        </w:rPr>
        <w:t xml:space="preserve">: </w:t>
      </w:r>
      <w:r w:rsidR="00FE5D23" w:rsidRPr="00FA3856">
        <w:rPr>
          <w:rFonts w:ascii="Times New Roman" w:hAnsi="Times New Roman"/>
          <w:szCs w:val="20"/>
        </w:rPr>
        <w:t>Verifica se o registro está desatualizado em relação à tabela da RFB. Gera um aviso.</w:t>
      </w:r>
    </w:p>
    <w:p w:rsidR="00076D64" w:rsidRPr="00FA3856" w:rsidRDefault="00076D64" w:rsidP="00076D64">
      <w:pPr>
        <w:rPr>
          <w:b/>
          <w:szCs w:val="20"/>
          <w:lang w:val="pt-PT"/>
        </w:rPr>
      </w:pPr>
    </w:p>
    <w:p w:rsidR="00E50883" w:rsidRPr="00FA3856" w:rsidRDefault="00E50883">
      <w:pPr>
        <w:rPr>
          <w:b/>
          <w:szCs w:val="20"/>
          <w:lang w:val="pt-PT"/>
        </w:rPr>
      </w:pPr>
      <w:r w:rsidRPr="00FA3856">
        <w:rPr>
          <w:b/>
          <w:szCs w:val="20"/>
          <w:lang w:val="pt-PT"/>
        </w:rPr>
        <w:br w:type="page"/>
      </w:r>
    </w:p>
    <w:p w:rsidR="00744E50" w:rsidRPr="00FA3856" w:rsidRDefault="00076D64" w:rsidP="00744E50">
      <w:pPr>
        <w:rPr>
          <w:b/>
          <w:szCs w:val="20"/>
          <w:lang w:val="pt-PT"/>
        </w:rPr>
      </w:pPr>
      <w:r w:rsidRPr="00FA3856">
        <w:rPr>
          <w:b/>
          <w:szCs w:val="20"/>
          <w:lang w:val="pt-PT"/>
        </w:rPr>
        <w:lastRenderedPageBreak/>
        <w:t>I</w:t>
      </w:r>
      <w:r w:rsidR="00744E50" w:rsidRPr="00FA3856">
        <w:rPr>
          <w:b/>
          <w:szCs w:val="20"/>
          <w:lang w:val="pt-PT"/>
        </w:rPr>
        <w:t>I – Regras de Validação de Campos:</w:t>
      </w:r>
    </w:p>
    <w:p w:rsidR="00744E50" w:rsidRPr="00FA3856" w:rsidRDefault="00744E50" w:rsidP="00744E50">
      <w:pPr>
        <w:rPr>
          <w:b/>
          <w:szCs w:val="20"/>
          <w:lang w:val="pt-PT"/>
        </w:rPr>
      </w:pPr>
    </w:p>
    <w:tbl>
      <w:tblPr>
        <w:tblW w:w="15367"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85"/>
        <w:gridCol w:w="3000"/>
        <w:gridCol w:w="11165"/>
        <w:gridCol w:w="717"/>
      </w:tblGrid>
      <w:tr w:rsidR="00744E50" w:rsidRPr="00FA3856" w:rsidTr="00507874">
        <w:trPr>
          <w:jc w:val="center"/>
        </w:trPr>
        <w:tc>
          <w:tcPr>
            <w:tcW w:w="485" w:type="dxa"/>
            <w:tcBorders>
              <w:top w:val="single" w:sz="6" w:space="0" w:color="auto"/>
              <w:left w:val="single" w:sz="6" w:space="0" w:color="auto"/>
              <w:bottom w:val="single" w:sz="6" w:space="0" w:color="auto"/>
              <w:right w:val="single" w:sz="6" w:space="0" w:color="auto"/>
            </w:tcBorders>
            <w:shd w:val="pct10" w:color="auto" w:fill="FFFFFF"/>
          </w:tcPr>
          <w:p w:rsidR="00744E50" w:rsidRPr="00FA3856" w:rsidRDefault="00744E50" w:rsidP="00EC4ABB">
            <w:pPr>
              <w:pStyle w:val="PSDS-CorpodeTexto0"/>
              <w:jc w:val="center"/>
              <w:rPr>
                <w:rFonts w:ascii="Times New Roman" w:hAnsi="Times New Roman"/>
                <w:b/>
                <w:bCs/>
              </w:rPr>
            </w:pPr>
            <w:r w:rsidRPr="00FA3856">
              <w:rPr>
                <w:rFonts w:ascii="Times New Roman" w:hAnsi="Times New Roman"/>
                <w:b/>
                <w:bCs/>
              </w:rPr>
              <w:t>Nº</w:t>
            </w:r>
          </w:p>
        </w:tc>
        <w:tc>
          <w:tcPr>
            <w:tcW w:w="3000" w:type="dxa"/>
            <w:tcBorders>
              <w:top w:val="single" w:sz="6" w:space="0" w:color="auto"/>
              <w:left w:val="single" w:sz="6" w:space="0" w:color="auto"/>
              <w:bottom w:val="single" w:sz="6" w:space="0" w:color="auto"/>
              <w:right w:val="single" w:sz="6" w:space="0" w:color="auto"/>
            </w:tcBorders>
            <w:shd w:val="pct10" w:color="auto" w:fill="FFFFFF"/>
          </w:tcPr>
          <w:p w:rsidR="00744E50" w:rsidRPr="00FA3856" w:rsidRDefault="00744E50" w:rsidP="00EC4ABB">
            <w:pPr>
              <w:pStyle w:val="PSDS-CorpodeTexto0"/>
              <w:jc w:val="center"/>
              <w:rPr>
                <w:rFonts w:ascii="Times New Roman" w:hAnsi="Times New Roman"/>
                <w:b/>
                <w:bCs/>
              </w:rPr>
            </w:pPr>
            <w:r w:rsidRPr="00FA3856">
              <w:rPr>
                <w:rFonts w:ascii="Times New Roman" w:hAnsi="Times New Roman"/>
                <w:b/>
                <w:bCs/>
              </w:rPr>
              <w:t>Campo</w:t>
            </w:r>
          </w:p>
        </w:tc>
        <w:tc>
          <w:tcPr>
            <w:tcW w:w="11165" w:type="dxa"/>
            <w:tcBorders>
              <w:top w:val="single" w:sz="6" w:space="0" w:color="auto"/>
              <w:left w:val="single" w:sz="6" w:space="0" w:color="auto"/>
              <w:bottom w:val="single" w:sz="6" w:space="0" w:color="auto"/>
              <w:right w:val="single" w:sz="6" w:space="0" w:color="auto"/>
            </w:tcBorders>
            <w:shd w:val="pct10" w:color="auto" w:fill="FFFFFF"/>
          </w:tcPr>
          <w:p w:rsidR="00744E50" w:rsidRPr="00FA3856" w:rsidRDefault="00744E50" w:rsidP="00EC4ABB">
            <w:pPr>
              <w:pStyle w:val="PSDS-CorpodeTexto0"/>
              <w:jc w:val="center"/>
              <w:rPr>
                <w:rFonts w:ascii="Times New Roman" w:hAnsi="Times New Roman"/>
                <w:b/>
                <w:bCs/>
              </w:rPr>
            </w:pPr>
            <w:r w:rsidRPr="00FA3856">
              <w:rPr>
                <w:rFonts w:ascii="Times New Roman" w:hAnsi="Times New Roman"/>
                <w:b/>
                <w:bCs/>
              </w:rPr>
              <w:t>Regras de Validação do Campo</w:t>
            </w:r>
          </w:p>
        </w:tc>
        <w:tc>
          <w:tcPr>
            <w:tcW w:w="717" w:type="dxa"/>
            <w:tcBorders>
              <w:top w:val="single" w:sz="6" w:space="0" w:color="auto"/>
              <w:left w:val="single" w:sz="6" w:space="0" w:color="auto"/>
              <w:bottom w:val="single" w:sz="6" w:space="0" w:color="auto"/>
              <w:right w:val="single" w:sz="6" w:space="0" w:color="auto"/>
            </w:tcBorders>
            <w:shd w:val="pct10" w:color="auto" w:fill="FFFFFF"/>
          </w:tcPr>
          <w:p w:rsidR="00744E50" w:rsidRPr="00FA3856" w:rsidRDefault="00744E50" w:rsidP="00EC4ABB">
            <w:pPr>
              <w:pStyle w:val="PSDS-CorpodeTexto0"/>
              <w:jc w:val="center"/>
              <w:rPr>
                <w:rFonts w:ascii="Times New Roman" w:hAnsi="Times New Roman"/>
                <w:b/>
                <w:bCs/>
              </w:rPr>
            </w:pPr>
            <w:r w:rsidRPr="00FA3856">
              <w:rPr>
                <w:rFonts w:ascii="Times New Roman" w:hAnsi="Times New Roman"/>
                <w:b/>
                <w:bCs/>
              </w:rPr>
              <w:t>Tipo</w:t>
            </w:r>
          </w:p>
        </w:tc>
      </w:tr>
      <w:tr w:rsidR="0012324D" w:rsidRPr="00FA3856" w:rsidTr="00507874">
        <w:trPr>
          <w:jc w:val="center"/>
        </w:trPr>
        <w:tc>
          <w:tcPr>
            <w:tcW w:w="485" w:type="dxa"/>
            <w:tcBorders>
              <w:top w:val="single" w:sz="6" w:space="0" w:color="auto"/>
              <w:left w:val="single" w:sz="6" w:space="0" w:color="auto"/>
              <w:bottom w:val="single" w:sz="6" w:space="0" w:color="auto"/>
              <w:right w:val="single" w:sz="6" w:space="0" w:color="auto"/>
            </w:tcBorders>
          </w:tcPr>
          <w:p w:rsidR="0012324D" w:rsidRPr="00FA3856" w:rsidRDefault="0012324D" w:rsidP="0012324D">
            <w:pPr>
              <w:pStyle w:val="PSDS-CorpodeTexto0"/>
              <w:suppressAutoHyphens w:val="0"/>
              <w:rPr>
                <w:rFonts w:ascii="Times New Roman" w:hAnsi="Times New Roman"/>
                <w:b/>
                <w:bCs/>
                <w:lang w:val="pt-PT"/>
              </w:rPr>
            </w:pPr>
            <w:r w:rsidRPr="00FA3856">
              <w:rPr>
                <w:rFonts w:ascii="Times New Roman" w:hAnsi="Times New Roman"/>
                <w:b/>
                <w:bCs/>
                <w:lang w:val="pt-PT"/>
              </w:rPr>
              <w:t>4</w:t>
            </w:r>
          </w:p>
        </w:tc>
        <w:tc>
          <w:tcPr>
            <w:tcW w:w="3000" w:type="dxa"/>
            <w:tcBorders>
              <w:top w:val="single" w:sz="6" w:space="0" w:color="auto"/>
              <w:left w:val="single" w:sz="6" w:space="0" w:color="auto"/>
              <w:bottom w:val="single" w:sz="6" w:space="0" w:color="auto"/>
              <w:right w:val="single" w:sz="6" w:space="0" w:color="auto"/>
            </w:tcBorders>
          </w:tcPr>
          <w:p w:rsidR="0012324D" w:rsidRPr="00FA3856" w:rsidRDefault="0012324D" w:rsidP="0012324D">
            <w:pPr>
              <w:pStyle w:val="PSDS-CorpodeTexto0"/>
              <w:rPr>
                <w:rFonts w:ascii="Times New Roman" w:hAnsi="Times New Roman"/>
              </w:rPr>
            </w:pPr>
            <w:r w:rsidRPr="00FA3856">
              <w:rPr>
                <w:rFonts w:ascii="Times New Roman" w:hAnsi="Times New Roman"/>
              </w:rPr>
              <w:t>VALOR</w:t>
            </w:r>
          </w:p>
        </w:tc>
        <w:tc>
          <w:tcPr>
            <w:tcW w:w="11165" w:type="dxa"/>
            <w:tcBorders>
              <w:top w:val="single" w:sz="6" w:space="0" w:color="auto"/>
              <w:left w:val="single" w:sz="6" w:space="0" w:color="auto"/>
              <w:bottom w:val="single" w:sz="6" w:space="0" w:color="auto"/>
              <w:right w:val="single" w:sz="6" w:space="0" w:color="auto"/>
            </w:tcBorders>
          </w:tcPr>
          <w:p w:rsidR="0012324D" w:rsidRPr="00FA3856" w:rsidRDefault="0012324D" w:rsidP="0012324D">
            <w:pPr>
              <w:pStyle w:val="Corpodetexto"/>
              <w:rPr>
                <w:rFonts w:ascii="Times New Roman" w:hAnsi="Times New Roman"/>
                <w:szCs w:val="20"/>
              </w:rPr>
            </w:pPr>
            <w:r w:rsidRPr="00FA3856">
              <w:rPr>
                <w:rFonts w:ascii="Times New Roman" w:hAnsi="Times New Roman"/>
                <w:b/>
                <w:bCs/>
                <w:szCs w:val="20"/>
              </w:rPr>
              <w:t>REGRA_OBRIGATORIO_TIPO_DIFERENTE_R</w:t>
            </w:r>
            <w:r w:rsidRPr="00FA3856">
              <w:rPr>
                <w:rFonts w:ascii="Times New Roman" w:hAnsi="Times New Roman"/>
                <w:szCs w:val="20"/>
              </w:rPr>
              <w:t xml:space="preserve">: </w:t>
            </w:r>
            <w:r w:rsidRPr="00FA3856">
              <w:rPr>
                <w:rStyle w:val="Hyperlink"/>
                <w:rFonts w:ascii="Times New Roman" w:hAnsi="Times New Roman"/>
                <w:bCs/>
                <w:color w:val="auto"/>
                <w:szCs w:val="20"/>
                <w:lang w:val="pt-PT"/>
              </w:rPr>
              <w:t xml:space="preserve">Verifica se o campo está preenchido quando o tipo da linha </w:t>
            </w:r>
            <w:r w:rsidR="001B58FE" w:rsidRPr="00FA3856">
              <w:rPr>
                <w:rStyle w:val="Hyperlink"/>
                <w:rFonts w:ascii="Times New Roman" w:hAnsi="Times New Roman"/>
                <w:bCs/>
                <w:color w:val="auto"/>
                <w:szCs w:val="20"/>
                <w:lang w:val="pt-PT"/>
              </w:rPr>
              <w:t>é diferente</w:t>
            </w:r>
            <w:r w:rsidRPr="00FA3856">
              <w:rPr>
                <w:rStyle w:val="Hyperlink"/>
                <w:rFonts w:ascii="Times New Roman" w:hAnsi="Times New Roman"/>
                <w:bCs/>
                <w:color w:val="auto"/>
                <w:szCs w:val="20"/>
                <w:lang w:val="pt-PT"/>
              </w:rPr>
              <w:t xml:space="preserve"> de “R”.</w:t>
            </w:r>
          </w:p>
        </w:tc>
        <w:tc>
          <w:tcPr>
            <w:tcW w:w="717" w:type="dxa"/>
            <w:tcBorders>
              <w:top w:val="single" w:sz="6" w:space="0" w:color="auto"/>
              <w:left w:val="single" w:sz="6" w:space="0" w:color="auto"/>
              <w:bottom w:val="single" w:sz="6" w:space="0" w:color="auto"/>
              <w:right w:val="single" w:sz="6" w:space="0" w:color="auto"/>
            </w:tcBorders>
          </w:tcPr>
          <w:p w:rsidR="0012324D" w:rsidRPr="00FA3856" w:rsidRDefault="0012324D" w:rsidP="0012324D">
            <w:pPr>
              <w:pStyle w:val="PSDS-CorpodeTexto0"/>
              <w:rPr>
                <w:rFonts w:ascii="Times New Roman" w:hAnsi="Times New Roman"/>
              </w:rPr>
            </w:pPr>
            <w:r w:rsidRPr="00FA3856">
              <w:rPr>
                <w:rFonts w:ascii="Times New Roman" w:hAnsi="Times New Roman"/>
              </w:rPr>
              <w:t>Erro</w:t>
            </w:r>
          </w:p>
          <w:p w:rsidR="0012324D" w:rsidRPr="00FA3856" w:rsidRDefault="0012324D" w:rsidP="0012324D">
            <w:pPr>
              <w:pStyle w:val="PSDS-CorpodeTexto0"/>
              <w:rPr>
                <w:rFonts w:ascii="Times New Roman" w:hAnsi="Times New Roman"/>
              </w:rPr>
            </w:pPr>
          </w:p>
        </w:tc>
      </w:tr>
    </w:tbl>
    <w:p w:rsidR="00744E50" w:rsidRPr="00FA3856" w:rsidRDefault="00744E50" w:rsidP="00744E50">
      <w:pPr>
        <w:rPr>
          <w:szCs w:val="20"/>
        </w:rPr>
      </w:pPr>
    </w:p>
    <w:p w:rsidR="00622325" w:rsidRDefault="00622325" w:rsidP="00622325">
      <w:pPr>
        <w:rPr>
          <w:b/>
          <w:szCs w:val="20"/>
          <w:lang w:val="pt-PT"/>
        </w:rPr>
      </w:pPr>
      <w:r w:rsidRPr="00FA3856">
        <w:rPr>
          <w:b/>
          <w:szCs w:val="20"/>
          <w:lang w:val="pt-PT"/>
        </w:rPr>
        <w:t>I</w:t>
      </w:r>
      <w:r w:rsidR="00076D64" w:rsidRPr="00FA3856">
        <w:rPr>
          <w:b/>
          <w:szCs w:val="20"/>
          <w:lang w:val="pt-PT"/>
        </w:rPr>
        <w:t>I</w:t>
      </w:r>
      <w:r w:rsidRPr="00FA3856">
        <w:rPr>
          <w:b/>
          <w:szCs w:val="20"/>
          <w:lang w:val="pt-PT"/>
        </w:rPr>
        <w:t>I – Tabela Dinâmica:</w:t>
      </w:r>
      <w:r w:rsidR="004A3546">
        <w:rPr>
          <w:b/>
          <w:szCs w:val="20"/>
          <w:lang w:val="pt-PT"/>
        </w:rPr>
        <w:t xml:space="preserve"> </w:t>
      </w:r>
      <w:r w:rsidR="004A3546" w:rsidRPr="004A3546">
        <w:rPr>
          <w:b/>
          <w:szCs w:val="20"/>
          <w:lang w:val="pt-PT"/>
        </w:rPr>
        <w:t>P300 - Cálculo do IRPJ com Base no Lucro Presumido</w:t>
      </w:r>
    </w:p>
    <w:p w:rsidR="00FA3468" w:rsidRPr="00FA3856" w:rsidRDefault="00486CDA" w:rsidP="003C0945">
      <w:pPr>
        <w:pStyle w:val="Corpodetexto"/>
        <w:rPr>
          <w:rFonts w:ascii="Times New Roman" w:hAnsi="Times New Roman"/>
          <w:b/>
          <w:color w:val="002060"/>
          <w:szCs w:val="20"/>
        </w:rPr>
      </w:pPr>
      <w:r>
        <w:rPr>
          <w:rFonts w:ascii="Times New Roman" w:hAnsi="Times New Roman"/>
          <w:b/>
          <w:color w:val="auto"/>
          <w:szCs w:val="20"/>
          <w:lang w:val="pt-PT" w:eastAsia="en-US"/>
        </w:rPr>
        <w:object w:dxaOrig="1534" w:dyaOrig="997">
          <v:shape id="_x0000_i1203" type="#_x0000_t75" style="width:79.5pt;height:50.25pt" o:ole="">
            <v:imagedata r:id="rId474" o:title=""/>
          </v:shape>
          <o:OLEObject Type="Link" ProgID="Excel.Sheet.12" ShapeID="_x0000_i1203" DrawAspect="Content" r:id="rId475" UpdateMode="OnCall">
            <o:LinkType>EnhancedMetaFile</o:LinkType>
            <o:LockedField>false</o:LockedField>
          </o:OLEObject>
        </w:object>
      </w:r>
    </w:p>
    <w:p w:rsidR="00FA3468" w:rsidRDefault="003C0945" w:rsidP="003C0945">
      <w:pPr>
        <w:pStyle w:val="Corpodetexto"/>
        <w:rPr>
          <w:rFonts w:ascii="Times New Roman" w:hAnsi="Times New Roman"/>
          <w:b/>
          <w:color w:val="002060"/>
          <w:szCs w:val="20"/>
        </w:rPr>
      </w:pPr>
      <w:r w:rsidRPr="00FA3856">
        <w:rPr>
          <w:rFonts w:ascii="Times New Roman" w:hAnsi="Times New Roman"/>
          <w:b/>
          <w:color w:val="002060"/>
          <w:szCs w:val="20"/>
        </w:rPr>
        <w:t xml:space="preserve">Exemplo de Preenchimento: </w:t>
      </w:r>
    </w:p>
    <w:p w:rsidR="00FA3468" w:rsidRDefault="00FA3468" w:rsidP="003C0945">
      <w:pPr>
        <w:pStyle w:val="Corpodetexto"/>
        <w:rPr>
          <w:rFonts w:ascii="Times New Roman" w:hAnsi="Times New Roman"/>
          <w:b/>
          <w:color w:val="002060"/>
          <w:szCs w:val="20"/>
        </w:rPr>
      </w:pPr>
    </w:p>
    <w:p w:rsidR="003C0945" w:rsidRPr="00FA3856" w:rsidRDefault="003C0945" w:rsidP="003C0945">
      <w:pPr>
        <w:pStyle w:val="Corpodetexto"/>
        <w:rPr>
          <w:rFonts w:ascii="Times New Roman" w:hAnsi="Times New Roman"/>
          <w:b/>
          <w:color w:val="002060"/>
          <w:szCs w:val="20"/>
        </w:rPr>
      </w:pPr>
      <w:r w:rsidRPr="00FA3856">
        <w:rPr>
          <w:rFonts w:ascii="Times New Roman" w:hAnsi="Times New Roman"/>
          <w:b/>
          <w:color w:val="002060"/>
          <w:szCs w:val="20"/>
        </w:rPr>
        <w:t>|P300|17|IMPOSTO DE RENDA POSTERGADO DE PERÍODOS DE APURAÇÃO ANTERIORES|10000,00|</w:t>
      </w:r>
    </w:p>
    <w:p w:rsidR="003C0945" w:rsidRPr="00FA3856" w:rsidRDefault="003C0945" w:rsidP="003C0945">
      <w:pPr>
        <w:pStyle w:val="Corpodetexto"/>
        <w:ind w:firstLine="708"/>
        <w:rPr>
          <w:rFonts w:ascii="Times New Roman" w:hAnsi="Times New Roman"/>
          <w:color w:val="002060"/>
          <w:szCs w:val="20"/>
        </w:rPr>
      </w:pPr>
      <w:r w:rsidRPr="00FA3856">
        <w:rPr>
          <w:rFonts w:ascii="Times New Roman" w:hAnsi="Times New Roman"/>
          <w:color w:val="002060"/>
          <w:szCs w:val="20"/>
        </w:rPr>
        <w:t>|P300|: Identificação do tipo do registro.</w:t>
      </w:r>
    </w:p>
    <w:p w:rsidR="003C0945" w:rsidRPr="00FA3856" w:rsidRDefault="003C0945" w:rsidP="003C0945">
      <w:pPr>
        <w:pStyle w:val="Corpodetexto"/>
        <w:ind w:firstLine="708"/>
        <w:rPr>
          <w:rFonts w:ascii="Times New Roman" w:hAnsi="Times New Roman"/>
          <w:color w:val="002060"/>
          <w:szCs w:val="20"/>
        </w:rPr>
      </w:pPr>
      <w:r w:rsidRPr="00FA3856">
        <w:rPr>
          <w:rFonts w:ascii="Times New Roman" w:hAnsi="Times New Roman"/>
          <w:color w:val="002060"/>
          <w:szCs w:val="20"/>
        </w:rPr>
        <w:t>|17|: Código da linha.</w:t>
      </w:r>
      <w:r w:rsidRPr="00FA3856">
        <w:rPr>
          <w:rFonts w:ascii="Times New Roman" w:hAnsi="Times New Roman"/>
          <w:color w:val="002060"/>
          <w:szCs w:val="20"/>
        </w:rPr>
        <w:tab/>
      </w:r>
    </w:p>
    <w:p w:rsidR="003C0945" w:rsidRPr="00FA3856" w:rsidRDefault="003C0945" w:rsidP="003C0945">
      <w:pPr>
        <w:pStyle w:val="Corpodetexto"/>
        <w:ind w:firstLine="708"/>
        <w:rPr>
          <w:rFonts w:ascii="Times New Roman" w:hAnsi="Times New Roman"/>
          <w:color w:val="002060"/>
          <w:szCs w:val="20"/>
        </w:rPr>
      </w:pPr>
      <w:r w:rsidRPr="00FA3856">
        <w:rPr>
          <w:rFonts w:ascii="Times New Roman" w:hAnsi="Times New Roman"/>
          <w:color w:val="002060"/>
          <w:szCs w:val="20"/>
        </w:rPr>
        <w:t>|IMPOSTO DE RENDA POSTERGADO DE PERÍODOS DE APURAÇÃO ANTERIORES|: Descrição da linha.</w:t>
      </w:r>
    </w:p>
    <w:p w:rsidR="003C0945" w:rsidRPr="00FA3856" w:rsidRDefault="003C0945" w:rsidP="003C0945">
      <w:pPr>
        <w:pStyle w:val="Corpodetexto"/>
        <w:ind w:firstLine="708"/>
        <w:rPr>
          <w:rFonts w:ascii="Times New Roman" w:hAnsi="Times New Roman"/>
          <w:color w:val="002060"/>
          <w:szCs w:val="20"/>
        </w:rPr>
      </w:pPr>
      <w:r w:rsidRPr="00FA3856">
        <w:rPr>
          <w:rFonts w:ascii="Times New Roman" w:hAnsi="Times New Roman"/>
          <w:color w:val="002060"/>
          <w:szCs w:val="20"/>
        </w:rPr>
        <w:t>|10000,00|: Valor da linha (R$ 10.000,00).</w:t>
      </w:r>
    </w:p>
    <w:p w:rsidR="002F2479" w:rsidRPr="00FA3856" w:rsidRDefault="002F2479" w:rsidP="00594AA3">
      <w:pPr>
        <w:rPr>
          <w:color w:val="0000FF"/>
          <w:szCs w:val="20"/>
        </w:rPr>
      </w:pPr>
    </w:p>
    <w:p w:rsidR="00E505D7" w:rsidRPr="00FA3856" w:rsidRDefault="00E505D7">
      <w:pPr>
        <w:rPr>
          <w:b/>
          <w:bCs/>
          <w:color w:val="0000FF"/>
          <w:szCs w:val="20"/>
        </w:rPr>
      </w:pPr>
      <w:r w:rsidRPr="00FA3856">
        <w:rPr>
          <w:color w:val="0000FF"/>
          <w:szCs w:val="20"/>
        </w:rPr>
        <w:br w:type="page"/>
      </w:r>
    </w:p>
    <w:p w:rsidR="00840B82" w:rsidRPr="00FA3856" w:rsidRDefault="00840B82" w:rsidP="00867F54">
      <w:pPr>
        <w:pStyle w:val="Ttulo4"/>
      </w:pPr>
      <w:bookmarkStart w:id="307" w:name="_Toc479713761"/>
      <w:r w:rsidRPr="00FA3856">
        <w:lastRenderedPageBreak/>
        <w:t>Registro P400: Apuração da Base de Cálculo da CSLL com Base no Lucro Presumido</w:t>
      </w:r>
      <w:bookmarkEnd w:id="307"/>
    </w:p>
    <w:p w:rsidR="00840B82" w:rsidRPr="00FA3856" w:rsidRDefault="00840B82" w:rsidP="00840B82">
      <w:pPr>
        <w:rPr>
          <w:szCs w:val="20"/>
        </w:rPr>
      </w:pPr>
    </w:p>
    <w:p w:rsidR="003678D9" w:rsidRPr="00FA3856" w:rsidRDefault="003678D9" w:rsidP="003678D9">
      <w:pPr>
        <w:ind w:firstLine="708"/>
        <w:rPr>
          <w:szCs w:val="20"/>
          <w:lang w:val="pt-PT"/>
        </w:rPr>
      </w:pPr>
      <w:r w:rsidRPr="00FA3856">
        <w:rPr>
          <w:szCs w:val="20"/>
          <w:lang w:val="pt-PT"/>
        </w:rPr>
        <w:t>Este registro deve ser preenchido pela pessoa jurídica que apurou a CSLL com base no lucro presumido, em um ou mais trimestres do ano-calendário, inclusive se optante pelo Refis.</w:t>
      </w:r>
    </w:p>
    <w:p w:rsidR="00705BCF" w:rsidRPr="00FA3856" w:rsidRDefault="00705BCF" w:rsidP="00705BCF">
      <w:pPr>
        <w:pStyle w:val="Corpodetexto"/>
        <w:ind w:firstLine="708"/>
        <w:rPr>
          <w:rFonts w:ascii="Times New Roman" w:hAnsi="Times New Roman"/>
          <w:szCs w:val="20"/>
        </w:rPr>
      </w:pPr>
      <w:r w:rsidRPr="00FA3856">
        <w:rPr>
          <w:rFonts w:ascii="Times New Roman" w:hAnsi="Times New Roman"/>
          <w:b/>
          <w:szCs w:val="20"/>
        </w:rPr>
        <w:t xml:space="preserve">Observação: </w:t>
      </w:r>
      <w:r w:rsidRPr="00FA3856">
        <w:rPr>
          <w:rFonts w:ascii="Times New Roman" w:hAnsi="Times New Roman"/>
          <w:szCs w:val="20"/>
        </w:rPr>
        <w:t>Os valores informados neste registro devem considerar os ajustes específicos da Lei n</w:t>
      </w:r>
      <w:r w:rsidRPr="00FA3856">
        <w:rPr>
          <w:rFonts w:ascii="Times New Roman" w:hAnsi="Times New Roman"/>
          <w:szCs w:val="20"/>
          <w:u w:val="single"/>
          <w:vertAlign w:val="superscript"/>
        </w:rPr>
        <w:t>o</w:t>
      </w:r>
      <w:r w:rsidRPr="00FA3856">
        <w:rPr>
          <w:rFonts w:ascii="Times New Roman" w:hAnsi="Times New Roman"/>
          <w:szCs w:val="20"/>
        </w:rPr>
        <w:t xml:space="preserve"> 12.973/2014 (Exemplos: Arts. 8</w:t>
      </w:r>
      <w:r w:rsidRPr="00FA3856">
        <w:rPr>
          <w:rFonts w:ascii="Times New Roman" w:hAnsi="Times New Roman"/>
          <w:szCs w:val="20"/>
          <w:u w:val="single"/>
          <w:vertAlign w:val="superscript"/>
        </w:rPr>
        <w:t>o</w:t>
      </w:r>
      <w:r w:rsidRPr="00FA3856">
        <w:rPr>
          <w:rFonts w:ascii="Times New Roman" w:hAnsi="Times New Roman"/>
          <w:szCs w:val="20"/>
        </w:rPr>
        <w:t xml:space="preserve"> e 44 da Lei n</w:t>
      </w:r>
      <w:r w:rsidRPr="00FA3856">
        <w:rPr>
          <w:rFonts w:ascii="Times New Roman" w:hAnsi="Times New Roman"/>
          <w:szCs w:val="20"/>
          <w:u w:val="single"/>
          <w:vertAlign w:val="superscript"/>
        </w:rPr>
        <w:t>o</w:t>
      </w:r>
      <w:r w:rsidRPr="00FA3856">
        <w:rPr>
          <w:rFonts w:ascii="Times New Roman" w:hAnsi="Times New Roman"/>
          <w:szCs w:val="20"/>
        </w:rPr>
        <w:t xml:space="preserve"> 12.973/2014).</w:t>
      </w:r>
    </w:p>
    <w:p w:rsidR="00840B82" w:rsidRDefault="00840B82" w:rsidP="00840B82">
      <w:pPr>
        <w:rPr>
          <w:b/>
          <w:szCs w:val="20"/>
          <w:lang w:val="pt-PT"/>
        </w:rPr>
      </w:pPr>
    </w:p>
    <w:p w:rsidR="00761F77" w:rsidRPr="00FA3856" w:rsidRDefault="00B35FA3" w:rsidP="00761F77">
      <w:pPr>
        <w:jc w:val="center"/>
        <w:rPr>
          <w:b/>
          <w:szCs w:val="20"/>
          <w:lang w:val="pt-PT"/>
        </w:rPr>
      </w:pPr>
      <w:r>
        <w:rPr>
          <w:b/>
          <w:szCs w:val="20"/>
          <w:lang w:val="pt-PT"/>
        </w:rPr>
        <w:object w:dxaOrig="13875" w:dyaOrig="4965">
          <v:shape id="_x0000_i1795" type="#_x0000_t75" style="width:739.5pt;height:243.75pt" o:ole="">
            <v:imagedata r:id="rId476" o:title=""/>
          </v:shape>
          <o:OLEObject Type="Link" ProgID="Excel.Sheet.12" ShapeID="_x0000_i1795" DrawAspect="Content" r:id="rId477" UpdateMode="Always">
            <o:LinkType>EnhancedMetaFile</o:LinkType>
            <o:LockedField>false</o:LockedField>
          </o:OLEObject>
        </w:object>
      </w:r>
    </w:p>
    <w:p w:rsidR="00761F77" w:rsidRDefault="00761F77" w:rsidP="00FE5D23">
      <w:pPr>
        <w:rPr>
          <w:b/>
          <w:szCs w:val="20"/>
          <w:lang w:val="pt-PT"/>
        </w:rPr>
      </w:pPr>
    </w:p>
    <w:p w:rsidR="00FE5D23" w:rsidRPr="00FA3856" w:rsidRDefault="00FE5D23" w:rsidP="00FE5D23">
      <w:pPr>
        <w:rPr>
          <w:b/>
          <w:szCs w:val="20"/>
          <w:lang w:val="pt-PT"/>
        </w:rPr>
      </w:pPr>
      <w:r w:rsidRPr="00FA3856">
        <w:rPr>
          <w:b/>
          <w:szCs w:val="20"/>
          <w:lang w:val="pt-PT"/>
        </w:rPr>
        <w:t>I – Regras de Validação do Registro:</w:t>
      </w:r>
    </w:p>
    <w:p w:rsidR="00FE5D23" w:rsidRPr="00FA3856" w:rsidRDefault="00FE5D23" w:rsidP="00FE5D23">
      <w:pPr>
        <w:rPr>
          <w:b/>
          <w:szCs w:val="20"/>
          <w:lang w:val="pt-PT"/>
        </w:rPr>
      </w:pPr>
    </w:p>
    <w:p w:rsidR="00FE5D23" w:rsidRPr="00FA3856" w:rsidRDefault="007D0E74" w:rsidP="00FE5D23">
      <w:pPr>
        <w:pStyle w:val="Corpodetexto"/>
        <w:ind w:left="708" w:firstLine="12"/>
        <w:rPr>
          <w:rFonts w:ascii="Times New Roman" w:hAnsi="Times New Roman"/>
          <w:szCs w:val="20"/>
        </w:rPr>
      </w:pPr>
      <w:hyperlink r:id="rId478" w:anchor="REGRA_OCORRENCIA_UNITARIA_ARQ" w:history="1">
        <w:r w:rsidR="00FE5D23" w:rsidRPr="00FA3856">
          <w:rPr>
            <w:rFonts w:ascii="Times New Roman" w:hAnsi="Times New Roman"/>
            <w:b/>
            <w:szCs w:val="20"/>
          </w:rPr>
          <w:t>REGRA_</w:t>
        </w:r>
      </w:hyperlink>
      <w:r w:rsidR="00FE5D23" w:rsidRPr="00FA3856">
        <w:rPr>
          <w:rFonts w:ascii="Times New Roman" w:hAnsi="Times New Roman"/>
          <w:b/>
          <w:szCs w:val="20"/>
        </w:rPr>
        <w:t>DUPLICIDADE_DESPREZADA</w:t>
      </w:r>
      <w:r w:rsidR="00FE5D23" w:rsidRPr="00FA3856">
        <w:rPr>
          <w:rFonts w:ascii="Times New Roman" w:hAnsi="Times New Roman"/>
          <w:color w:val="auto"/>
          <w:szCs w:val="20"/>
        </w:rPr>
        <w:t xml:space="preserve">: </w:t>
      </w:r>
      <w:r w:rsidR="00FE5D23" w:rsidRPr="00FA3856">
        <w:rPr>
          <w:rFonts w:ascii="Times New Roman" w:hAnsi="Times New Roman"/>
          <w:szCs w:val="20"/>
        </w:rPr>
        <w:t>Verifica se o registro já foi importado anteriormente, de acordo com a chave e os registros pais. Se a regra não for cumprida, a ECF gera um aviso.</w:t>
      </w:r>
    </w:p>
    <w:p w:rsidR="00FE5D23" w:rsidRPr="00FA3856" w:rsidRDefault="00FE5D23" w:rsidP="00FE5D23">
      <w:pPr>
        <w:pStyle w:val="Corpodetexto"/>
        <w:ind w:left="708" w:firstLine="12"/>
        <w:rPr>
          <w:rFonts w:ascii="Times New Roman" w:hAnsi="Times New Roman"/>
          <w:szCs w:val="20"/>
        </w:rPr>
      </w:pPr>
    </w:p>
    <w:p w:rsidR="00FE5D23" w:rsidRPr="00FA3856" w:rsidRDefault="007D0E74" w:rsidP="00FE5D23">
      <w:pPr>
        <w:pStyle w:val="Corpodetexto"/>
        <w:ind w:left="708" w:firstLine="12"/>
        <w:rPr>
          <w:rFonts w:ascii="Times New Roman" w:hAnsi="Times New Roman"/>
          <w:szCs w:val="20"/>
        </w:rPr>
      </w:pPr>
      <w:hyperlink r:id="rId479" w:anchor="REGRA_OCORRENCIA_UNITARIA_ARQ" w:history="1">
        <w:r w:rsidR="00FE5D23" w:rsidRPr="00FA3856">
          <w:rPr>
            <w:rFonts w:ascii="Times New Roman" w:hAnsi="Times New Roman"/>
            <w:b/>
            <w:szCs w:val="20"/>
          </w:rPr>
          <w:t>REGRA_</w:t>
        </w:r>
      </w:hyperlink>
      <w:r w:rsidR="00FE5D23" w:rsidRPr="00FA3856">
        <w:rPr>
          <w:rFonts w:ascii="Times New Roman" w:hAnsi="Times New Roman"/>
          <w:b/>
          <w:szCs w:val="20"/>
        </w:rPr>
        <w:t>LINHA_DESPREZADA</w:t>
      </w:r>
      <w:r w:rsidR="00FE5D23" w:rsidRPr="00FA3856">
        <w:rPr>
          <w:rFonts w:ascii="Times New Roman" w:hAnsi="Times New Roman"/>
          <w:color w:val="auto"/>
          <w:szCs w:val="20"/>
        </w:rPr>
        <w:t xml:space="preserve">: </w:t>
      </w:r>
      <w:r w:rsidR="00FE5D23" w:rsidRPr="00FA3856">
        <w:rPr>
          <w:rFonts w:ascii="Times New Roman" w:hAnsi="Times New Roman"/>
          <w:szCs w:val="20"/>
        </w:rPr>
        <w:t>Verifica se o registro existe na importação, mas não será importado por não existir na tabela dinâmica devido às configurações do bloco 0 ou da tabela dinâmica. Gera um aviso.</w:t>
      </w:r>
    </w:p>
    <w:p w:rsidR="00FE5D23" w:rsidRPr="00FA3856" w:rsidRDefault="00FE5D23" w:rsidP="00FE5D23">
      <w:pPr>
        <w:pStyle w:val="Corpodetexto"/>
        <w:ind w:left="708" w:firstLine="12"/>
        <w:rPr>
          <w:rFonts w:ascii="Times New Roman" w:hAnsi="Times New Roman"/>
          <w:b/>
          <w:szCs w:val="20"/>
        </w:rPr>
      </w:pPr>
    </w:p>
    <w:p w:rsidR="00FE5D23" w:rsidRPr="00FA3856" w:rsidRDefault="007D0E74" w:rsidP="00FE5D23">
      <w:pPr>
        <w:pStyle w:val="Corpodetexto"/>
        <w:ind w:left="708" w:firstLine="12"/>
        <w:rPr>
          <w:rFonts w:ascii="Times New Roman" w:hAnsi="Times New Roman"/>
          <w:b/>
          <w:szCs w:val="20"/>
        </w:rPr>
      </w:pPr>
      <w:hyperlink r:id="rId480" w:anchor="REGRA_OCORRENCIA_UNITARIA_ARQ" w:history="1">
        <w:r w:rsidR="00FE5D23" w:rsidRPr="00FA3856">
          <w:rPr>
            <w:rFonts w:ascii="Times New Roman" w:hAnsi="Times New Roman"/>
            <w:b/>
            <w:szCs w:val="20"/>
          </w:rPr>
          <w:t>REGRA_</w:t>
        </w:r>
      </w:hyperlink>
      <w:r w:rsidR="00FE5D23" w:rsidRPr="00FA3856">
        <w:rPr>
          <w:rFonts w:ascii="Times New Roman" w:hAnsi="Times New Roman"/>
          <w:b/>
          <w:szCs w:val="20"/>
        </w:rPr>
        <w:t>LINHA_ATUALIZADA</w:t>
      </w:r>
      <w:r w:rsidR="00FE5D23" w:rsidRPr="00FA3856">
        <w:rPr>
          <w:rFonts w:ascii="Times New Roman" w:hAnsi="Times New Roman"/>
          <w:color w:val="auto"/>
          <w:szCs w:val="20"/>
        </w:rPr>
        <w:t xml:space="preserve">: </w:t>
      </w:r>
      <w:r w:rsidR="00FE5D23" w:rsidRPr="00FA3856">
        <w:rPr>
          <w:rFonts w:ascii="Times New Roman" w:hAnsi="Times New Roman"/>
          <w:szCs w:val="20"/>
        </w:rPr>
        <w:t>Verifica se o registro está desatualizado em relação à tabela da RFB. Gera um aviso.</w:t>
      </w:r>
    </w:p>
    <w:p w:rsidR="00076D64" w:rsidRPr="00FA3856" w:rsidRDefault="00076D64" w:rsidP="00840B82">
      <w:pPr>
        <w:rPr>
          <w:b/>
          <w:szCs w:val="20"/>
          <w:lang w:val="pt-PT"/>
        </w:rPr>
      </w:pPr>
    </w:p>
    <w:p w:rsidR="00012703" w:rsidRDefault="00012703">
      <w:pPr>
        <w:spacing w:after="200" w:line="276" w:lineRule="auto"/>
        <w:rPr>
          <w:b/>
          <w:szCs w:val="20"/>
          <w:lang w:val="pt-PT"/>
        </w:rPr>
      </w:pPr>
      <w:r>
        <w:rPr>
          <w:b/>
          <w:szCs w:val="20"/>
          <w:lang w:val="pt-PT"/>
        </w:rPr>
        <w:br w:type="page"/>
      </w:r>
    </w:p>
    <w:p w:rsidR="00840B82" w:rsidRPr="00FA3856" w:rsidRDefault="00076D64" w:rsidP="00840B82">
      <w:pPr>
        <w:rPr>
          <w:b/>
          <w:szCs w:val="20"/>
          <w:lang w:val="pt-PT"/>
        </w:rPr>
      </w:pPr>
      <w:r w:rsidRPr="00FA3856">
        <w:rPr>
          <w:b/>
          <w:szCs w:val="20"/>
          <w:lang w:val="pt-PT"/>
        </w:rPr>
        <w:lastRenderedPageBreak/>
        <w:t>I</w:t>
      </w:r>
      <w:r w:rsidR="00840B82" w:rsidRPr="00FA3856">
        <w:rPr>
          <w:b/>
          <w:szCs w:val="20"/>
          <w:lang w:val="pt-PT"/>
        </w:rPr>
        <w:t>I – Regras de Validação de Campos:</w:t>
      </w:r>
    </w:p>
    <w:p w:rsidR="00840B82" w:rsidRPr="00FA3856" w:rsidRDefault="00840B82" w:rsidP="00840B82">
      <w:pPr>
        <w:rPr>
          <w:b/>
          <w:szCs w:val="20"/>
          <w:lang w:val="pt-PT"/>
        </w:rPr>
      </w:pPr>
    </w:p>
    <w:tbl>
      <w:tblPr>
        <w:tblW w:w="15317"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85"/>
        <w:gridCol w:w="3000"/>
        <w:gridCol w:w="11115"/>
        <w:gridCol w:w="717"/>
      </w:tblGrid>
      <w:tr w:rsidR="00840B82" w:rsidRPr="00FA3856" w:rsidTr="00507874">
        <w:trPr>
          <w:jc w:val="center"/>
        </w:trPr>
        <w:tc>
          <w:tcPr>
            <w:tcW w:w="485" w:type="dxa"/>
            <w:tcBorders>
              <w:top w:val="single" w:sz="6" w:space="0" w:color="auto"/>
              <w:left w:val="single" w:sz="6" w:space="0" w:color="auto"/>
              <w:bottom w:val="single" w:sz="6" w:space="0" w:color="auto"/>
              <w:right w:val="single" w:sz="6" w:space="0" w:color="auto"/>
            </w:tcBorders>
            <w:shd w:val="pct10" w:color="auto" w:fill="FFFFFF"/>
          </w:tcPr>
          <w:p w:rsidR="00840B82" w:rsidRPr="00FA3856" w:rsidRDefault="00840B82" w:rsidP="00EC4ABB">
            <w:pPr>
              <w:pStyle w:val="PSDS-CorpodeTexto0"/>
              <w:jc w:val="center"/>
              <w:rPr>
                <w:rFonts w:ascii="Times New Roman" w:hAnsi="Times New Roman"/>
                <w:b/>
                <w:bCs/>
              </w:rPr>
            </w:pPr>
            <w:r w:rsidRPr="00FA3856">
              <w:rPr>
                <w:rFonts w:ascii="Times New Roman" w:hAnsi="Times New Roman"/>
                <w:b/>
                <w:bCs/>
              </w:rPr>
              <w:t>Nº</w:t>
            </w:r>
          </w:p>
        </w:tc>
        <w:tc>
          <w:tcPr>
            <w:tcW w:w="3000" w:type="dxa"/>
            <w:tcBorders>
              <w:top w:val="single" w:sz="6" w:space="0" w:color="auto"/>
              <w:left w:val="single" w:sz="6" w:space="0" w:color="auto"/>
              <w:bottom w:val="single" w:sz="6" w:space="0" w:color="auto"/>
              <w:right w:val="single" w:sz="6" w:space="0" w:color="auto"/>
            </w:tcBorders>
            <w:shd w:val="pct10" w:color="auto" w:fill="FFFFFF"/>
          </w:tcPr>
          <w:p w:rsidR="00840B82" w:rsidRPr="00FA3856" w:rsidRDefault="00840B82" w:rsidP="00EC4ABB">
            <w:pPr>
              <w:pStyle w:val="PSDS-CorpodeTexto0"/>
              <w:jc w:val="center"/>
              <w:rPr>
                <w:rFonts w:ascii="Times New Roman" w:hAnsi="Times New Roman"/>
                <w:b/>
                <w:bCs/>
              </w:rPr>
            </w:pPr>
            <w:r w:rsidRPr="00FA3856">
              <w:rPr>
                <w:rFonts w:ascii="Times New Roman" w:hAnsi="Times New Roman"/>
                <w:b/>
                <w:bCs/>
              </w:rPr>
              <w:t>Campo</w:t>
            </w:r>
          </w:p>
        </w:tc>
        <w:tc>
          <w:tcPr>
            <w:tcW w:w="11115" w:type="dxa"/>
            <w:tcBorders>
              <w:top w:val="single" w:sz="6" w:space="0" w:color="auto"/>
              <w:left w:val="single" w:sz="6" w:space="0" w:color="auto"/>
              <w:bottom w:val="single" w:sz="6" w:space="0" w:color="auto"/>
              <w:right w:val="single" w:sz="6" w:space="0" w:color="auto"/>
            </w:tcBorders>
            <w:shd w:val="pct10" w:color="auto" w:fill="FFFFFF"/>
          </w:tcPr>
          <w:p w:rsidR="00840B82" w:rsidRPr="00FA3856" w:rsidRDefault="00840B82" w:rsidP="00EC4ABB">
            <w:pPr>
              <w:pStyle w:val="PSDS-CorpodeTexto0"/>
              <w:jc w:val="center"/>
              <w:rPr>
                <w:rFonts w:ascii="Times New Roman" w:hAnsi="Times New Roman"/>
                <w:b/>
                <w:bCs/>
              </w:rPr>
            </w:pPr>
            <w:r w:rsidRPr="00FA3856">
              <w:rPr>
                <w:rFonts w:ascii="Times New Roman" w:hAnsi="Times New Roman"/>
                <w:b/>
                <w:bCs/>
              </w:rPr>
              <w:t>Regras de Validação do Campo</w:t>
            </w:r>
          </w:p>
        </w:tc>
        <w:tc>
          <w:tcPr>
            <w:tcW w:w="717" w:type="dxa"/>
            <w:tcBorders>
              <w:top w:val="single" w:sz="6" w:space="0" w:color="auto"/>
              <w:left w:val="single" w:sz="6" w:space="0" w:color="auto"/>
              <w:bottom w:val="single" w:sz="6" w:space="0" w:color="auto"/>
              <w:right w:val="single" w:sz="6" w:space="0" w:color="auto"/>
            </w:tcBorders>
            <w:shd w:val="pct10" w:color="auto" w:fill="FFFFFF"/>
          </w:tcPr>
          <w:p w:rsidR="00840B82" w:rsidRPr="00FA3856" w:rsidRDefault="00840B82" w:rsidP="00EC4ABB">
            <w:pPr>
              <w:pStyle w:val="PSDS-CorpodeTexto0"/>
              <w:jc w:val="center"/>
              <w:rPr>
                <w:rFonts w:ascii="Times New Roman" w:hAnsi="Times New Roman"/>
                <w:b/>
                <w:bCs/>
              </w:rPr>
            </w:pPr>
            <w:r w:rsidRPr="00FA3856">
              <w:rPr>
                <w:rFonts w:ascii="Times New Roman" w:hAnsi="Times New Roman"/>
                <w:b/>
                <w:bCs/>
              </w:rPr>
              <w:t>Tipo</w:t>
            </w:r>
          </w:p>
        </w:tc>
      </w:tr>
      <w:tr w:rsidR="0012324D" w:rsidRPr="00FA3856" w:rsidTr="00507874">
        <w:trPr>
          <w:jc w:val="center"/>
        </w:trPr>
        <w:tc>
          <w:tcPr>
            <w:tcW w:w="485" w:type="dxa"/>
            <w:tcBorders>
              <w:top w:val="single" w:sz="6" w:space="0" w:color="auto"/>
              <w:left w:val="single" w:sz="6" w:space="0" w:color="auto"/>
              <w:bottom w:val="single" w:sz="6" w:space="0" w:color="auto"/>
              <w:right w:val="single" w:sz="6" w:space="0" w:color="auto"/>
            </w:tcBorders>
          </w:tcPr>
          <w:p w:rsidR="0012324D" w:rsidRPr="00FA3856" w:rsidRDefault="0012324D" w:rsidP="0012324D">
            <w:pPr>
              <w:pStyle w:val="PSDS-CorpodeTexto0"/>
              <w:suppressAutoHyphens w:val="0"/>
              <w:rPr>
                <w:rFonts w:ascii="Times New Roman" w:hAnsi="Times New Roman"/>
                <w:b/>
                <w:bCs/>
                <w:lang w:val="pt-PT"/>
              </w:rPr>
            </w:pPr>
            <w:r w:rsidRPr="00FA3856">
              <w:rPr>
                <w:rFonts w:ascii="Times New Roman" w:hAnsi="Times New Roman"/>
                <w:b/>
                <w:bCs/>
                <w:lang w:val="pt-PT"/>
              </w:rPr>
              <w:t>4</w:t>
            </w:r>
          </w:p>
        </w:tc>
        <w:tc>
          <w:tcPr>
            <w:tcW w:w="3000" w:type="dxa"/>
            <w:tcBorders>
              <w:top w:val="single" w:sz="6" w:space="0" w:color="auto"/>
              <w:left w:val="single" w:sz="6" w:space="0" w:color="auto"/>
              <w:bottom w:val="single" w:sz="6" w:space="0" w:color="auto"/>
              <w:right w:val="single" w:sz="6" w:space="0" w:color="auto"/>
            </w:tcBorders>
          </w:tcPr>
          <w:p w:rsidR="0012324D" w:rsidRPr="00FA3856" w:rsidRDefault="0012324D" w:rsidP="0012324D">
            <w:pPr>
              <w:pStyle w:val="PSDS-CorpodeTexto0"/>
              <w:rPr>
                <w:rFonts w:ascii="Times New Roman" w:hAnsi="Times New Roman"/>
              </w:rPr>
            </w:pPr>
            <w:r w:rsidRPr="00FA3856">
              <w:rPr>
                <w:rFonts w:ascii="Times New Roman" w:hAnsi="Times New Roman"/>
              </w:rPr>
              <w:t>VALOR</w:t>
            </w:r>
          </w:p>
        </w:tc>
        <w:tc>
          <w:tcPr>
            <w:tcW w:w="11115" w:type="dxa"/>
            <w:tcBorders>
              <w:top w:val="single" w:sz="6" w:space="0" w:color="auto"/>
              <w:left w:val="single" w:sz="6" w:space="0" w:color="auto"/>
              <w:bottom w:val="single" w:sz="6" w:space="0" w:color="auto"/>
              <w:right w:val="single" w:sz="6" w:space="0" w:color="auto"/>
            </w:tcBorders>
          </w:tcPr>
          <w:p w:rsidR="0012324D" w:rsidRPr="00FA3856" w:rsidRDefault="0012324D" w:rsidP="0012324D">
            <w:pPr>
              <w:pStyle w:val="Corpodetexto"/>
              <w:rPr>
                <w:rFonts w:ascii="Times New Roman" w:hAnsi="Times New Roman"/>
                <w:szCs w:val="20"/>
              </w:rPr>
            </w:pPr>
            <w:r w:rsidRPr="00FA3856">
              <w:rPr>
                <w:rFonts w:ascii="Times New Roman" w:hAnsi="Times New Roman"/>
                <w:b/>
                <w:bCs/>
                <w:szCs w:val="20"/>
              </w:rPr>
              <w:t>REGRA_OBRIGATORIO_TIPO_DIFERENTE_R</w:t>
            </w:r>
            <w:r w:rsidRPr="00FA3856">
              <w:rPr>
                <w:rFonts w:ascii="Times New Roman" w:hAnsi="Times New Roman"/>
                <w:szCs w:val="20"/>
              </w:rPr>
              <w:t xml:space="preserve">: </w:t>
            </w:r>
            <w:r w:rsidRPr="00FA3856">
              <w:rPr>
                <w:rStyle w:val="Hyperlink"/>
                <w:rFonts w:ascii="Times New Roman" w:hAnsi="Times New Roman"/>
                <w:bCs/>
                <w:color w:val="auto"/>
                <w:szCs w:val="20"/>
                <w:lang w:val="pt-PT"/>
              </w:rPr>
              <w:t xml:space="preserve">Verifica se o campo está preenchido quando o tipo da linha </w:t>
            </w:r>
            <w:r w:rsidR="0063733D" w:rsidRPr="00FA3856">
              <w:rPr>
                <w:rStyle w:val="Hyperlink"/>
                <w:rFonts w:ascii="Times New Roman" w:hAnsi="Times New Roman"/>
                <w:bCs/>
                <w:color w:val="auto"/>
                <w:szCs w:val="20"/>
                <w:lang w:val="pt-PT"/>
              </w:rPr>
              <w:t>é diferente</w:t>
            </w:r>
            <w:r w:rsidRPr="00FA3856">
              <w:rPr>
                <w:rStyle w:val="Hyperlink"/>
                <w:rFonts w:ascii="Times New Roman" w:hAnsi="Times New Roman"/>
                <w:bCs/>
                <w:color w:val="auto"/>
                <w:szCs w:val="20"/>
                <w:lang w:val="pt-PT"/>
              </w:rPr>
              <w:t xml:space="preserve"> de “R”.</w:t>
            </w:r>
          </w:p>
        </w:tc>
        <w:tc>
          <w:tcPr>
            <w:tcW w:w="717" w:type="dxa"/>
            <w:tcBorders>
              <w:top w:val="single" w:sz="6" w:space="0" w:color="auto"/>
              <w:left w:val="single" w:sz="6" w:space="0" w:color="auto"/>
              <w:bottom w:val="single" w:sz="6" w:space="0" w:color="auto"/>
              <w:right w:val="single" w:sz="6" w:space="0" w:color="auto"/>
            </w:tcBorders>
          </w:tcPr>
          <w:p w:rsidR="0012324D" w:rsidRPr="00FA3856" w:rsidRDefault="0012324D" w:rsidP="0012324D">
            <w:pPr>
              <w:pStyle w:val="PSDS-CorpodeTexto0"/>
              <w:rPr>
                <w:rFonts w:ascii="Times New Roman" w:hAnsi="Times New Roman"/>
              </w:rPr>
            </w:pPr>
            <w:r w:rsidRPr="00FA3856">
              <w:rPr>
                <w:rFonts w:ascii="Times New Roman" w:hAnsi="Times New Roman"/>
              </w:rPr>
              <w:t>Erro</w:t>
            </w:r>
          </w:p>
          <w:p w:rsidR="0012324D" w:rsidRPr="00FA3856" w:rsidRDefault="0012324D" w:rsidP="0012324D">
            <w:pPr>
              <w:pStyle w:val="PSDS-CorpodeTexto0"/>
              <w:rPr>
                <w:rFonts w:ascii="Times New Roman" w:hAnsi="Times New Roman"/>
              </w:rPr>
            </w:pPr>
          </w:p>
        </w:tc>
      </w:tr>
    </w:tbl>
    <w:p w:rsidR="00012703" w:rsidRDefault="00012703" w:rsidP="00622325">
      <w:pPr>
        <w:rPr>
          <w:b/>
          <w:szCs w:val="20"/>
          <w:lang w:val="pt-PT"/>
        </w:rPr>
      </w:pPr>
    </w:p>
    <w:p w:rsidR="00070EF8" w:rsidRPr="00FA3856" w:rsidRDefault="00076D64" w:rsidP="00622325">
      <w:pPr>
        <w:rPr>
          <w:b/>
          <w:szCs w:val="20"/>
          <w:lang w:val="pt-PT"/>
        </w:rPr>
      </w:pPr>
      <w:r w:rsidRPr="00FA3856">
        <w:rPr>
          <w:b/>
          <w:szCs w:val="20"/>
          <w:lang w:val="pt-PT"/>
        </w:rPr>
        <w:t>I</w:t>
      </w:r>
      <w:r w:rsidR="005B30D4" w:rsidRPr="00FA3856">
        <w:rPr>
          <w:b/>
          <w:szCs w:val="20"/>
          <w:lang w:val="pt-PT"/>
        </w:rPr>
        <w:t>II – Tabela Dinâmica:</w:t>
      </w:r>
      <w:r w:rsidR="004A3546">
        <w:rPr>
          <w:b/>
          <w:szCs w:val="20"/>
          <w:lang w:val="pt-PT"/>
        </w:rPr>
        <w:t xml:space="preserve"> </w:t>
      </w:r>
      <w:r w:rsidR="004A3546" w:rsidRPr="004A3546">
        <w:rPr>
          <w:b/>
          <w:szCs w:val="20"/>
          <w:lang w:val="pt-PT"/>
        </w:rPr>
        <w:t>P400 - Apuração da Base de Cálculo da CSLL com Base no Lucro Presumido</w:t>
      </w:r>
    </w:p>
    <w:p w:rsidR="007444D7" w:rsidRPr="00FA3856" w:rsidRDefault="00486CDA" w:rsidP="003678D9">
      <w:pPr>
        <w:pStyle w:val="Corpodetexto"/>
        <w:rPr>
          <w:rFonts w:ascii="Times New Roman" w:hAnsi="Times New Roman"/>
          <w:b/>
          <w:color w:val="002060"/>
          <w:szCs w:val="20"/>
        </w:rPr>
      </w:pPr>
      <w:r>
        <w:rPr>
          <w:rFonts w:ascii="Times New Roman" w:hAnsi="Times New Roman"/>
          <w:b/>
          <w:color w:val="auto"/>
          <w:szCs w:val="20"/>
          <w:lang w:val="pt-PT" w:eastAsia="en-US"/>
        </w:rPr>
        <w:object w:dxaOrig="1534" w:dyaOrig="997">
          <v:shape id="_x0000_i1205" type="#_x0000_t75" style="width:79.5pt;height:50.25pt" o:ole="">
            <v:imagedata r:id="rId481" o:title=""/>
          </v:shape>
          <o:OLEObject Type="Link" ProgID="Excel.Sheet.12" ShapeID="_x0000_i1205" DrawAspect="Content" r:id="rId482" UpdateMode="OnCall">
            <o:LinkType>EnhancedMetaFile</o:LinkType>
            <o:LockedField>false</o:LockedField>
          </o:OLEObject>
        </w:object>
      </w:r>
    </w:p>
    <w:p w:rsidR="00761F77" w:rsidRDefault="00507874" w:rsidP="003678D9">
      <w:pPr>
        <w:pStyle w:val="Corpodetexto"/>
        <w:rPr>
          <w:rFonts w:ascii="Times New Roman" w:hAnsi="Times New Roman"/>
          <w:b/>
          <w:color w:val="002060"/>
          <w:szCs w:val="20"/>
        </w:rPr>
      </w:pPr>
      <w:r w:rsidRPr="00FA3856">
        <w:rPr>
          <w:rFonts w:ascii="Times New Roman" w:hAnsi="Times New Roman"/>
          <w:b/>
          <w:color w:val="002060"/>
          <w:szCs w:val="20"/>
        </w:rPr>
        <w:t xml:space="preserve">Exemplo de Preenchimento: </w:t>
      </w:r>
    </w:p>
    <w:p w:rsidR="00761F77" w:rsidRDefault="00761F77" w:rsidP="003678D9">
      <w:pPr>
        <w:pStyle w:val="Corpodetexto"/>
        <w:rPr>
          <w:rFonts w:ascii="Times New Roman" w:hAnsi="Times New Roman"/>
          <w:b/>
          <w:color w:val="002060"/>
          <w:szCs w:val="20"/>
        </w:rPr>
      </w:pPr>
    </w:p>
    <w:p w:rsidR="003678D9" w:rsidRPr="00FA3856" w:rsidRDefault="003678D9" w:rsidP="003678D9">
      <w:pPr>
        <w:pStyle w:val="Corpodetexto"/>
        <w:rPr>
          <w:rFonts w:ascii="Times New Roman" w:hAnsi="Times New Roman"/>
          <w:b/>
          <w:color w:val="002060"/>
          <w:szCs w:val="20"/>
        </w:rPr>
      </w:pPr>
      <w:r w:rsidRPr="00FA3856">
        <w:rPr>
          <w:rFonts w:ascii="Times New Roman" w:hAnsi="Times New Roman"/>
          <w:b/>
          <w:color w:val="002060"/>
          <w:szCs w:val="20"/>
        </w:rPr>
        <w:t>|P400|18|(-)Excedente de Variação Cambial (MP nº 1.858-10/1999, art. 31)|10000,00|</w:t>
      </w:r>
    </w:p>
    <w:p w:rsidR="003678D9" w:rsidRPr="00FA3856" w:rsidRDefault="003678D9" w:rsidP="003678D9">
      <w:pPr>
        <w:pStyle w:val="Corpodetexto"/>
        <w:ind w:firstLine="708"/>
        <w:rPr>
          <w:rFonts w:ascii="Times New Roman" w:hAnsi="Times New Roman"/>
          <w:color w:val="002060"/>
          <w:szCs w:val="20"/>
        </w:rPr>
      </w:pPr>
      <w:r w:rsidRPr="00FA3856">
        <w:rPr>
          <w:rFonts w:ascii="Times New Roman" w:hAnsi="Times New Roman"/>
          <w:color w:val="002060"/>
          <w:szCs w:val="20"/>
        </w:rPr>
        <w:t>|P400|: Identificação do tipo do registro.</w:t>
      </w:r>
    </w:p>
    <w:p w:rsidR="003678D9" w:rsidRPr="00FA3856" w:rsidRDefault="003678D9" w:rsidP="003678D9">
      <w:pPr>
        <w:pStyle w:val="Corpodetexto"/>
        <w:ind w:firstLine="708"/>
        <w:rPr>
          <w:rFonts w:ascii="Times New Roman" w:hAnsi="Times New Roman"/>
          <w:color w:val="002060"/>
          <w:szCs w:val="20"/>
        </w:rPr>
      </w:pPr>
      <w:r w:rsidRPr="00FA3856">
        <w:rPr>
          <w:rFonts w:ascii="Times New Roman" w:hAnsi="Times New Roman"/>
          <w:color w:val="002060"/>
          <w:szCs w:val="20"/>
        </w:rPr>
        <w:t>|18|: Código da linha.</w:t>
      </w:r>
      <w:r w:rsidRPr="00FA3856">
        <w:rPr>
          <w:rFonts w:ascii="Times New Roman" w:hAnsi="Times New Roman"/>
          <w:color w:val="002060"/>
          <w:szCs w:val="20"/>
        </w:rPr>
        <w:tab/>
      </w:r>
    </w:p>
    <w:p w:rsidR="003678D9" w:rsidRPr="00FA3856" w:rsidRDefault="003678D9" w:rsidP="003678D9">
      <w:pPr>
        <w:pStyle w:val="Corpodetexto"/>
        <w:ind w:firstLine="708"/>
        <w:rPr>
          <w:rFonts w:ascii="Times New Roman" w:hAnsi="Times New Roman"/>
          <w:color w:val="002060"/>
          <w:szCs w:val="20"/>
        </w:rPr>
      </w:pPr>
      <w:r w:rsidRPr="00FA3856">
        <w:rPr>
          <w:rFonts w:ascii="Times New Roman" w:hAnsi="Times New Roman"/>
          <w:color w:val="002060"/>
          <w:szCs w:val="20"/>
        </w:rPr>
        <w:t>|(-)Excedente de Variação Cambial (MP nº 1.858-10/1999, art. 31)|: Descrição da linha.</w:t>
      </w:r>
    </w:p>
    <w:p w:rsidR="003678D9" w:rsidRPr="00FA3856" w:rsidRDefault="003678D9" w:rsidP="003678D9">
      <w:pPr>
        <w:pStyle w:val="Corpodetexto"/>
        <w:ind w:firstLine="708"/>
        <w:rPr>
          <w:rFonts w:ascii="Times New Roman" w:hAnsi="Times New Roman"/>
          <w:color w:val="002060"/>
          <w:szCs w:val="20"/>
        </w:rPr>
      </w:pPr>
      <w:r w:rsidRPr="00FA3856">
        <w:rPr>
          <w:rFonts w:ascii="Times New Roman" w:hAnsi="Times New Roman"/>
          <w:color w:val="002060"/>
          <w:szCs w:val="20"/>
        </w:rPr>
        <w:t>|10000,00|: Valor da linha (R$ 10.000,00).</w:t>
      </w:r>
    </w:p>
    <w:p w:rsidR="006E6EA2" w:rsidRPr="00FA3856" w:rsidRDefault="006E6EA2">
      <w:pPr>
        <w:rPr>
          <w:b/>
          <w:bCs/>
          <w:color w:val="0000FF"/>
          <w:szCs w:val="20"/>
        </w:rPr>
      </w:pPr>
      <w:r w:rsidRPr="00FA3856">
        <w:rPr>
          <w:color w:val="0000FF"/>
          <w:szCs w:val="20"/>
        </w:rPr>
        <w:br w:type="page"/>
      </w:r>
    </w:p>
    <w:p w:rsidR="00840B82" w:rsidRPr="00FA3856" w:rsidRDefault="00840B82" w:rsidP="00867F54">
      <w:pPr>
        <w:pStyle w:val="Ttulo4"/>
      </w:pPr>
      <w:bookmarkStart w:id="308" w:name="_Toc479713762"/>
      <w:r w:rsidRPr="00FA3856">
        <w:lastRenderedPageBreak/>
        <w:t>Registro P500: Cálculo da CSLL com Base no Lucro Presumido</w:t>
      </w:r>
      <w:bookmarkEnd w:id="308"/>
    </w:p>
    <w:p w:rsidR="00840B82" w:rsidRPr="00FA3856" w:rsidRDefault="00840B82" w:rsidP="00840B82">
      <w:pPr>
        <w:rPr>
          <w:szCs w:val="20"/>
        </w:rPr>
      </w:pPr>
    </w:p>
    <w:p w:rsidR="00EB3BB3" w:rsidRPr="00FA3856" w:rsidRDefault="00EB3BB3" w:rsidP="004D58BC">
      <w:pPr>
        <w:pStyle w:val="PSDS-CorpodeTexto0"/>
        <w:ind w:firstLine="708"/>
        <w:rPr>
          <w:rFonts w:ascii="Times New Roman" w:hAnsi="Times New Roman"/>
        </w:rPr>
      </w:pPr>
      <w:r w:rsidRPr="00FA3856">
        <w:rPr>
          <w:rFonts w:ascii="Times New Roman" w:hAnsi="Times New Roman"/>
        </w:rPr>
        <w:t>Este registro deve ser preenchido pela pessoa jurídica que apurou a CSLL com base no lucro presumido, em um ou mais trimestres do ano-calendário, inclusive se optante pelo Refis.</w:t>
      </w:r>
    </w:p>
    <w:p w:rsidR="00840B82" w:rsidRDefault="00201951" w:rsidP="00A324C7">
      <w:pPr>
        <w:pStyle w:val="PSDS-CorpodeTexto0"/>
        <w:ind w:firstLine="708"/>
        <w:jc w:val="both"/>
        <w:rPr>
          <w:rFonts w:ascii="Times New Roman" w:hAnsi="Times New Roman"/>
        </w:rPr>
      </w:pPr>
      <w:r w:rsidRPr="00FA3856">
        <w:rPr>
          <w:rFonts w:ascii="Times New Roman" w:hAnsi="Times New Roman"/>
        </w:rPr>
        <w:t> </w:t>
      </w:r>
    </w:p>
    <w:p w:rsidR="00A324C7" w:rsidRPr="00FA3856" w:rsidRDefault="00B35FA3" w:rsidP="00A324C7">
      <w:pPr>
        <w:pStyle w:val="PSDS-CorpodeTexto0"/>
        <w:ind w:firstLine="708"/>
        <w:jc w:val="center"/>
        <w:rPr>
          <w:b/>
          <w:lang w:val="pt-PT"/>
        </w:rPr>
      </w:pPr>
      <w:r>
        <w:rPr>
          <w:rFonts w:ascii="Times New Roman" w:hAnsi="Times New Roman"/>
        </w:rPr>
        <w:object w:dxaOrig="13950" w:dyaOrig="4635">
          <v:shape id="_x0000_i1798" type="#_x0000_t75" style="width:745.5pt;height:222.75pt" o:ole="">
            <v:imagedata r:id="rId483" o:title=""/>
          </v:shape>
          <o:OLEObject Type="Link" ProgID="Excel.Sheet.12" ShapeID="_x0000_i1798" DrawAspect="Content" r:id="rId484" UpdateMode="Always">
            <o:LinkType>EnhancedMetaFile</o:LinkType>
            <o:LockedField>false</o:LockedField>
          </o:OLEObject>
        </w:object>
      </w:r>
    </w:p>
    <w:p w:rsidR="00A324C7" w:rsidRDefault="00A324C7" w:rsidP="00FE5D23">
      <w:pPr>
        <w:rPr>
          <w:b/>
          <w:szCs w:val="20"/>
          <w:lang w:val="pt-PT"/>
        </w:rPr>
      </w:pPr>
    </w:p>
    <w:p w:rsidR="00FE5D23" w:rsidRPr="00FA3856" w:rsidRDefault="00FE5D23" w:rsidP="00FE5D23">
      <w:pPr>
        <w:rPr>
          <w:b/>
          <w:szCs w:val="20"/>
          <w:lang w:val="pt-PT"/>
        </w:rPr>
      </w:pPr>
      <w:r w:rsidRPr="00FA3856">
        <w:rPr>
          <w:b/>
          <w:szCs w:val="20"/>
          <w:lang w:val="pt-PT"/>
        </w:rPr>
        <w:t>I – Regras de Validação do Registro:</w:t>
      </w:r>
    </w:p>
    <w:p w:rsidR="00FE5D23" w:rsidRPr="00FA3856" w:rsidRDefault="00FE5D23" w:rsidP="00FE5D23">
      <w:pPr>
        <w:rPr>
          <w:b/>
          <w:szCs w:val="20"/>
          <w:lang w:val="pt-PT"/>
        </w:rPr>
      </w:pPr>
    </w:p>
    <w:p w:rsidR="00FE5D23" w:rsidRPr="00FA3856" w:rsidRDefault="007D0E74" w:rsidP="00FE5D23">
      <w:pPr>
        <w:pStyle w:val="Corpodetexto"/>
        <w:ind w:left="708" w:firstLine="12"/>
        <w:rPr>
          <w:rFonts w:ascii="Times New Roman" w:hAnsi="Times New Roman"/>
          <w:szCs w:val="20"/>
        </w:rPr>
      </w:pPr>
      <w:hyperlink r:id="rId485" w:anchor="REGRA_OCORRENCIA_UNITARIA_ARQ" w:history="1">
        <w:r w:rsidR="00FE5D23" w:rsidRPr="00FA3856">
          <w:rPr>
            <w:rFonts w:ascii="Times New Roman" w:hAnsi="Times New Roman"/>
            <w:b/>
            <w:szCs w:val="20"/>
          </w:rPr>
          <w:t>REGRA_</w:t>
        </w:r>
      </w:hyperlink>
      <w:r w:rsidR="00FE5D23" w:rsidRPr="00FA3856">
        <w:rPr>
          <w:rFonts w:ascii="Times New Roman" w:hAnsi="Times New Roman"/>
          <w:b/>
          <w:szCs w:val="20"/>
        </w:rPr>
        <w:t>DUPLICIDADE_DESPREZADA</w:t>
      </w:r>
      <w:r w:rsidR="00FE5D23" w:rsidRPr="00FA3856">
        <w:rPr>
          <w:rFonts w:ascii="Times New Roman" w:hAnsi="Times New Roman"/>
          <w:color w:val="auto"/>
          <w:szCs w:val="20"/>
        </w:rPr>
        <w:t xml:space="preserve">: </w:t>
      </w:r>
      <w:r w:rsidR="00FE5D23" w:rsidRPr="00FA3856">
        <w:rPr>
          <w:rFonts w:ascii="Times New Roman" w:hAnsi="Times New Roman"/>
          <w:szCs w:val="20"/>
        </w:rPr>
        <w:t>Verifica se o registro já foi importado anteriormente, de acordo com a chave e os registros pais. Se a regra não for cumprida, a ECF gera um aviso.</w:t>
      </w:r>
    </w:p>
    <w:p w:rsidR="00FE5D23" w:rsidRPr="00FA3856" w:rsidRDefault="00FE5D23" w:rsidP="00FE5D23">
      <w:pPr>
        <w:pStyle w:val="Corpodetexto"/>
        <w:ind w:left="708" w:firstLine="12"/>
        <w:rPr>
          <w:rFonts w:ascii="Times New Roman" w:hAnsi="Times New Roman"/>
          <w:szCs w:val="20"/>
        </w:rPr>
      </w:pPr>
    </w:p>
    <w:p w:rsidR="00FE5D23" w:rsidRPr="00FA3856" w:rsidRDefault="007D0E74" w:rsidP="00FE5D23">
      <w:pPr>
        <w:pStyle w:val="Corpodetexto"/>
        <w:ind w:left="708" w:firstLine="12"/>
        <w:rPr>
          <w:rFonts w:ascii="Times New Roman" w:hAnsi="Times New Roman"/>
          <w:szCs w:val="20"/>
        </w:rPr>
      </w:pPr>
      <w:hyperlink r:id="rId486" w:anchor="REGRA_OCORRENCIA_UNITARIA_ARQ" w:history="1">
        <w:r w:rsidR="00FE5D23" w:rsidRPr="00FA3856">
          <w:rPr>
            <w:rFonts w:ascii="Times New Roman" w:hAnsi="Times New Roman"/>
            <w:b/>
            <w:szCs w:val="20"/>
          </w:rPr>
          <w:t>REGRA_</w:t>
        </w:r>
      </w:hyperlink>
      <w:r w:rsidR="00FE5D23" w:rsidRPr="00FA3856">
        <w:rPr>
          <w:rFonts w:ascii="Times New Roman" w:hAnsi="Times New Roman"/>
          <w:b/>
          <w:szCs w:val="20"/>
        </w:rPr>
        <w:t>LINHA_DESPREZADA</w:t>
      </w:r>
      <w:r w:rsidR="00FE5D23" w:rsidRPr="00FA3856">
        <w:rPr>
          <w:rFonts w:ascii="Times New Roman" w:hAnsi="Times New Roman"/>
          <w:color w:val="auto"/>
          <w:szCs w:val="20"/>
        </w:rPr>
        <w:t xml:space="preserve">: </w:t>
      </w:r>
      <w:r w:rsidR="00FE5D23" w:rsidRPr="00FA3856">
        <w:rPr>
          <w:rFonts w:ascii="Times New Roman" w:hAnsi="Times New Roman"/>
          <w:szCs w:val="20"/>
        </w:rPr>
        <w:t>Verifica se o registro existe na importação, mas não será importado por não existir na tabela dinâmica devido às configurações do bloco 0 ou da tabela dinâmica. Gera um aviso.</w:t>
      </w:r>
    </w:p>
    <w:p w:rsidR="00FE5D23" w:rsidRPr="00FA3856" w:rsidRDefault="00FE5D23" w:rsidP="00FE5D23">
      <w:pPr>
        <w:pStyle w:val="Corpodetexto"/>
        <w:ind w:left="708" w:firstLine="12"/>
        <w:rPr>
          <w:rFonts w:ascii="Times New Roman" w:hAnsi="Times New Roman"/>
          <w:b/>
          <w:szCs w:val="20"/>
        </w:rPr>
      </w:pPr>
    </w:p>
    <w:p w:rsidR="00FE5D23" w:rsidRPr="00FA3856" w:rsidRDefault="007D0E74" w:rsidP="00FE5D23">
      <w:pPr>
        <w:pStyle w:val="Corpodetexto"/>
        <w:ind w:left="708" w:firstLine="12"/>
        <w:rPr>
          <w:rFonts w:ascii="Times New Roman" w:hAnsi="Times New Roman"/>
          <w:b/>
          <w:szCs w:val="20"/>
        </w:rPr>
      </w:pPr>
      <w:hyperlink r:id="rId487" w:anchor="REGRA_OCORRENCIA_UNITARIA_ARQ" w:history="1">
        <w:r w:rsidR="00FE5D23" w:rsidRPr="00FA3856">
          <w:rPr>
            <w:rFonts w:ascii="Times New Roman" w:hAnsi="Times New Roman"/>
            <w:b/>
            <w:szCs w:val="20"/>
          </w:rPr>
          <w:t>REGRA_</w:t>
        </w:r>
      </w:hyperlink>
      <w:r w:rsidR="00FE5D23" w:rsidRPr="00FA3856">
        <w:rPr>
          <w:rFonts w:ascii="Times New Roman" w:hAnsi="Times New Roman"/>
          <w:b/>
          <w:szCs w:val="20"/>
        </w:rPr>
        <w:t>LINHA_ATUALIZADA</w:t>
      </w:r>
      <w:r w:rsidR="00FE5D23" w:rsidRPr="00FA3856">
        <w:rPr>
          <w:rFonts w:ascii="Times New Roman" w:hAnsi="Times New Roman"/>
          <w:color w:val="auto"/>
          <w:szCs w:val="20"/>
        </w:rPr>
        <w:t xml:space="preserve">: </w:t>
      </w:r>
      <w:r w:rsidR="00FE5D23" w:rsidRPr="00FA3856">
        <w:rPr>
          <w:rFonts w:ascii="Times New Roman" w:hAnsi="Times New Roman"/>
          <w:szCs w:val="20"/>
        </w:rPr>
        <w:t>Verifica se o registro está desatualizado em relação à tabela da RFB. Gera um aviso.</w:t>
      </w:r>
    </w:p>
    <w:p w:rsidR="00417AB8" w:rsidRPr="00FA3856" w:rsidRDefault="00417AB8" w:rsidP="00840B82">
      <w:pPr>
        <w:rPr>
          <w:b/>
          <w:szCs w:val="20"/>
          <w:lang w:val="pt-PT"/>
        </w:rPr>
      </w:pPr>
    </w:p>
    <w:p w:rsidR="00840B82" w:rsidRPr="00FA3856" w:rsidRDefault="00840B82" w:rsidP="00840B82">
      <w:pPr>
        <w:rPr>
          <w:b/>
          <w:szCs w:val="20"/>
          <w:lang w:val="pt-PT"/>
        </w:rPr>
      </w:pPr>
      <w:r w:rsidRPr="00FA3856">
        <w:rPr>
          <w:b/>
          <w:szCs w:val="20"/>
          <w:lang w:val="pt-PT"/>
        </w:rPr>
        <w:t>I</w:t>
      </w:r>
      <w:r w:rsidR="00076D64" w:rsidRPr="00FA3856">
        <w:rPr>
          <w:b/>
          <w:szCs w:val="20"/>
          <w:lang w:val="pt-PT"/>
        </w:rPr>
        <w:t>I</w:t>
      </w:r>
      <w:r w:rsidRPr="00FA3856">
        <w:rPr>
          <w:b/>
          <w:szCs w:val="20"/>
          <w:lang w:val="pt-PT"/>
        </w:rPr>
        <w:t xml:space="preserve"> – Regras de Validação de Campos:</w:t>
      </w:r>
    </w:p>
    <w:p w:rsidR="00840B82" w:rsidRPr="00FA3856" w:rsidRDefault="00840B82" w:rsidP="00840B82">
      <w:pPr>
        <w:rPr>
          <w:b/>
          <w:szCs w:val="20"/>
          <w:lang w:val="pt-PT"/>
        </w:rPr>
      </w:pPr>
    </w:p>
    <w:tbl>
      <w:tblPr>
        <w:tblW w:w="15317"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85"/>
        <w:gridCol w:w="3000"/>
        <w:gridCol w:w="11115"/>
        <w:gridCol w:w="717"/>
      </w:tblGrid>
      <w:tr w:rsidR="00840B82" w:rsidRPr="00FA3856" w:rsidTr="00507874">
        <w:trPr>
          <w:jc w:val="center"/>
        </w:trPr>
        <w:tc>
          <w:tcPr>
            <w:tcW w:w="485" w:type="dxa"/>
            <w:tcBorders>
              <w:top w:val="single" w:sz="6" w:space="0" w:color="auto"/>
              <w:left w:val="single" w:sz="6" w:space="0" w:color="auto"/>
              <w:bottom w:val="single" w:sz="6" w:space="0" w:color="auto"/>
              <w:right w:val="single" w:sz="6" w:space="0" w:color="auto"/>
            </w:tcBorders>
            <w:shd w:val="pct10" w:color="auto" w:fill="FFFFFF"/>
          </w:tcPr>
          <w:p w:rsidR="00840B82" w:rsidRPr="00FA3856" w:rsidRDefault="00840B82" w:rsidP="00EC4ABB">
            <w:pPr>
              <w:pStyle w:val="PSDS-CorpodeTexto0"/>
              <w:jc w:val="center"/>
              <w:rPr>
                <w:rFonts w:ascii="Times New Roman" w:hAnsi="Times New Roman"/>
                <w:b/>
                <w:bCs/>
              </w:rPr>
            </w:pPr>
            <w:r w:rsidRPr="00FA3856">
              <w:rPr>
                <w:rFonts w:ascii="Times New Roman" w:hAnsi="Times New Roman"/>
                <w:b/>
                <w:bCs/>
              </w:rPr>
              <w:t>Nº</w:t>
            </w:r>
          </w:p>
        </w:tc>
        <w:tc>
          <w:tcPr>
            <w:tcW w:w="3000" w:type="dxa"/>
            <w:tcBorders>
              <w:top w:val="single" w:sz="6" w:space="0" w:color="auto"/>
              <w:left w:val="single" w:sz="6" w:space="0" w:color="auto"/>
              <w:bottom w:val="single" w:sz="6" w:space="0" w:color="auto"/>
              <w:right w:val="single" w:sz="6" w:space="0" w:color="auto"/>
            </w:tcBorders>
            <w:shd w:val="pct10" w:color="auto" w:fill="FFFFFF"/>
          </w:tcPr>
          <w:p w:rsidR="00840B82" w:rsidRPr="00FA3856" w:rsidRDefault="00840B82" w:rsidP="00EC4ABB">
            <w:pPr>
              <w:pStyle w:val="PSDS-CorpodeTexto0"/>
              <w:jc w:val="center"/>
              <w:rPr>
                <w:rFonts w:ascii="Times New Roman" w:hAnsi="Times New Roman"/>
                <w:b/>
                <w:bCs/>
              </w:rPr>
            </w:pPr>
            <w:r w:rsidRPr="00FA3856">
              <w:rPr>
                <w:rFonts w:ascii="Times New Roman" w:hAnsi="Times New Roman"/>
                <w:b/>
                <w:bCs/>
              </w:rPr>
              <w:t>Campo</w:t>
            </w:r>
          </w:p>
        </w:tc>
        <w:tc>
          <w:tcPr>
            <w:tcW w:w="11115" w:type="dxa"/>
            <w:tcBorders>
              <w:top w:val="single" w:sz="6" w:space="0" w:color="auto"/>
              <w:left w:val="single" w:sz="6" w:space="0" w:color="auto"/>
              <w:bottom w:val="single" w:sz="6" w:space="0" w:color="auto"/>
              <w:right w:val="single" w:sz="6" w:space="0" w:color="auto"/>
            </w:tcBorders>
            <w:shd w:val="pct10" w:color="auto" w:fill="FFFFFF"/>
          </w:tcPr>
          <w:p w:rsidR="00840B82" w:rsidRPr="00FA3856" w:rsidRDefault="00840B82" w:rsidP="00EC4ABB">
            <w:pPr>
              <w:pStyle w:val="PSDS-CorpodeTexto0"/>
              <w:jc w:val="center"/>
              <w:rPr>
                <w:rFonts w:ascii="Times New Roman" w:hAnsi="Times New Roman"/>
                <w:b/>
                <w:bCs/>
              </w:rPr>
            </w:pPr>
            <w:r w:rsidRPr="00FA3856">
              <w:rPr>
                <w:rFonts w:ascii="Times New Roman" w:hAnsi="Times New Roman"/>
                <w:b/>
                <w:bCs/>
              </w:rPr>
              <w:t>Regras de Validação do Campo</w:t>
            </w:r>
          </w:p>
        </w:tc>
        <w:tc>
          <w:tcPr>
            <w:tcW w:w="717" w:type="dxa"/>
            <w:tcBorders>
              <w:top w:val="single" w:sz="6" w:space="0" w:color="auto"/>
              <w:left w:val="single" w:sz="6" w:space="0" w:color="auto"/>
              <w:bottom w:val="single" w:sz="6" w:space="0" w:color="auto"/>
              <w:right w:val="single" w:sz="6" w:space="0" w:color="auto"/>
            </w:tcBorders>
            <w:shd w:val="pct10" w:color="auto" w:fill="FFFFFF"/>
          </w:tcPr>
          <w:p w:rsidR="00840B82" w:rsidRPr="00FA3856" w:rsidRDefault="00840B82" w:rsidP="00EC4ABB">
            <w:pPr>
              <w:pStyle w:val="PSDS-CorpodeTexto0"/>
              <w:jc w:val="center"/>
              <w:rPr>
                <w:rFonts w:ascii="Times New Roman" w:hAnsi="Times New Roman"/>
                <w:b/>
                <w:bCs/>
              </w:rPr>
            </w:pPr>
            <w:r w:rsidRPr="00FA3856">
              <w:rPr>
                <w:rFonts w:ascii="Times New Roman" w:hAnsi="Times New Roman"/>
                <w:b/>
                <w:bCs/>
              </w:rPr>
              <w:t>Tipo</w:t>
            </w:r>
          </w:p>
        </w:tc>
      </w:tr>
      <w:tr w:rsidR="0012324D" w:rsidRPr="00FA3856" w:rsidTr="00507874">
        <w:trPr>
          <w:jc w:val="center"/>
        </w:trPr>
        <w:tc>
          <w:tcPr>
            <w:tcW w:w="485" w:type="dxa"/>
            <w:tcBorders>
              <w:top w:val="single" w:sz="6" w:space="0" w:color="auto"/>
              <w:left w:val="single" w:sz="6" w:space="0" w:color="auto"/>
              <w:bottom w:val="single" w:sz="6" w:space="0" w:color="auto"/>
              <w:right w:val="single" w:sz="6" w:space="0" w:color="auto"/>
            </w:tcBorders>
          </w:tcPr>
          <w:p w:rsidR="0012324D" w:rsidRPr="00FA3856" w:rsidRDefault="0012324D" w:rsidP="0012324D">
            <w:pPr>
              <w:pStyle w:val="PSDS-CorpodeTexto0"/>
              <w:suppressAutoHyphens w:val="0"/>
              <w:rPr>
                <w:rFonts w:ascii="Times New Roman" w:hAnsi="Times New Roman"/>
                <w:b/>
                <w:bCs/>
                <w:lang w:val="pt-PT"/>
              </w:rPr>
            </w:pPr>
            <w:r w:rsidRPr="00FA3856">
              <w:rPr>
                <w:rFonts w:ascii="Times New Roman" w:hAnsi="Times New Roman"/>
                <w:b/>
                <w:bCs/>
                <w:lang w:val="pt-PT"/>
              </w:rPr>
              <w:t>4</w:t>
            </w:r>
          </w:p>
        </w:tc>
        <w:tc>
          <w:tcPr>
            <w:tcW w:w="3000" w:type="dxa"/>
            <w:tcBorders>
              <w:top w:val="single" w:sz="6" w:space="0" w:color="auto"/>
              <w:left w:val="single" w:sz="6" w:space="0" w:color="auto"/>
              <w:bottom w:val="single" w:sz="6" w:space="0" w:color="auto"/>
              <w:right w:val="single" w:sz="6" w:space="0" w:color="auto"/>
            </w:tcBorders>
          </w:tcPr>
          <w:p w:rsidR="0012324D" w:rsidRPr="00FA3856" w:rsidRDefault="0012324D" w:rsidP="0012324D">
            <w:pPr>
              <w:pStyle w:val="PSDS-CorpodeTexto0"/>
              <w:rPr>
                <w:rFonts w:ascii="Times New Roman" w:hAnsi="Times New Roman"/>
              </w:rPr>
            </w:pPr>
            <w:r w:rsidRPr="00FA3856">
              <w:rPr>
                <w:rFonts w:ascii="Times New Roman" w:hAnsi="Times New Roman"/>
              </w:rPr>
              <w:t>VALOR</w:t>
            </w:r>
          </w:p>
        </w:tc>
        <w:tc>
          <w:tcPr>
            <w:tcW w:w="11115" w:type="dxa"/>
            <w:tcBorders>
              <w:top w:val="single" w:sz="6" w:space="0" w:color="auto"/>
              <w:left w:val="single" w:sz="6" w:space="0" w:color="auto"/>
              <w:bottom w:val="single" w:sz="6" w:space="0" w:color="auto"/>
              <w:right w:val="single" w:sz="6" w:space="0" w:color="auto"/>
            </w:tcBorders>
          </w:tcPr>
          <w:p w:rsidR="0012324D" w:rsidRPr="00FA3856" w:rsidRDefault="0012324D" w:rsidP="0012324D">
            <w:pPr>
              <w:pStyle w:val="Corpodetexto"/>
              <w:rPr>
                <w:rFonts w:ascii="Times New Roman" w:hAnsi="Times New Roman"/>
                <w:szCs w:val="20"/>
              </w:rPr>
            </w:pPr>
            <w:r w:rsidRPr="00FA3856">
              <w:rPr>
                <w:rFonts w:ascii="Times New Roman" w:hAnsi="Times New Roman"/>
                <w:b/>
                <w:bCs/>
                <w:szCs w:val="20"/>
              </w:rPr>
              <w:t>REGRA_OBRIGATORIO_TIPO_DIFERENTE_R</w:t>
            </w:r>
            <w:r w:rsidRPr="00FA3856">
              <w:rPr>
                <w:rFonts w:ascii="Times New Roman" w:hAnsi="Times New Roman"/>
                <w:szCs w:val="20"/>
              </w:rPr>
              <w:t xml:space="preserve">: </w:t>
            </w:r>
            <w:r w:rsidRPr="00FA3856">
              <w:rPr>
                <w:rStyle w:val="Hyperlink"/>
                <w:rFonts w:ascii="Times New Roman" w:hAnsi="Times New Roman"/>
                <w:bCs/>
                <w:color w:val="auto"/>
                <w:szCs w:val="20"/>
                <w:lang w:val="pt-PT"/>
              </w:rPr>
              <w:t xml:space="preserve">Verifica se o campo está preenchido quando o tipo da linha </w:t>
            </w:r>
            <w:r w:rsidR="0063733D" w:rsidRPr="00FA3856">
              <w:rPr>
                <w:rStyle w:val="Hyperlink"/>
                <w:rFonts w:ascii="Times New Roman" w:hAnsi="Times New Roman"/>
                <w:bCs/>
                <w:color w:val="auto"/>
                <w:szCs w:val="20"/>
                <w:lang w:val="pt-PT"/>
              </w:rPr>
              <w:t>é diferente</w:t>
            </w:r>
            <w:r w:rsidRPr="00FA3856">
              <w:rPr>
                <w:rStyle w:val="Hyperlink"/>
                <w:rFonts w:ascii="Times New Roman" w:hAnsi="Times New Roman"/>
                <w:bCs/>
                <w:color w:val="auto"/>
                <w:szCs w:val="20"/>
                <w:lang w:val="pt-PT"/>
              </w:rPr>
              <w:t xml:space="preserve"> de “R”.</w:t>
            </w:r>
          </w:p>
        </w:tc>
        <w:tc>
          <w:tcPr>
            <w:tcW w:w="717" w:type="dxa"/>
            <w:tcBorders>
              <w:top w:val="single" w:sz="6" w:space="0" w:color="auto"/>
              <w:left w:val="single" w:sz="6" w:space="0" w:color="auto"/>
              <w:bottom w:val="single" w:sz="6" w:space="0" w:color="auto"/>
              <w:right w:val="single" w:sz="6" w:space="0" w:color="auto"/>
            </w:tcBorders>
          </w:tcPr>
          <w:p w:rsidR="0012324D" w:rsidRPr="00FA3856" w:rsidRDefault="0012324D" w:rsidP="0012324D">
            <w:pPr>
              <w:pStyle w:val="PSDS-CorpodeTexto0"/>
              <w:rPr>
                <w:rFonts w:ascii="Times New Roman" w:hAnsi="Times New Roman"/>
              </w:rPr>
            </w:pPr>
            <w:r w:rsidRPr="00FA3856">
              <w:rPr>
                <w:rFonts w:ascii="Times New Roman" w:hAnsi="Times New Roman"/>
              </w:rPr>
              <w:t>Erro</w:t>
            </w:r>
          </w:p>
          <w:p w:rsidR="0012324D" w:rsidRPr="00FA3856" w:rsidRDefault="0012324D" w:rsidP="0012324D">
            <w:pPr>
              <w:pStyle w:val="PSDS-CorpodeTexto0"/>
              <w:rPr>
                <w:rFonts w:ascii="Times New Roman" w:hAnsi="Times New Roman"/>
              </w:rPr>
            </w:pPr>
          </w:p>
        </w:tc>
      </w:tr>
    </w:tbl>
    <w:p w:rsidR="004A3546" w:rsidRDefault="004A3546" w:rsidP="006E6EA2">
      <w:pPr>
        <w:rPr>
          <w:b/>
          <w:szCs w:val="20"/>
          <w:lang w:val="pt-PT"/>
        </w:rPr>
      </w:pPr>
    </w:p>
    <w:p w:rsidR="00622325" w:rsidRDefault="00622325" w:rsidP="006E6EA2">
      <w:pPr>
        <w:rPr>
          <w:b/>
          <w:szCs w:val="20"/>
          <w:lang w:val="pt-PT"/>
        </w:rPr>
      </w:pPr>
      <w:r w:rsidRPr="00FA3856">
        <w:rPr>
          <w:b/>
          <w:szCs w:val="20"/>
          <w:lang w:val="pt-PT"/>
        </w:rPr>
        <w:lastRenderedPageBreak/>
        <w:t>I</w:t>
      </w:r>
      <w:r w:rsidR="00076D64" w:rsidRPr="00FA3856">
        <w:rPr>
          <w:b/>
          <w:szCs w:val="20"/>
          <w:lang w:val="pt-PT"/>
        </w:rPr>
        <w:t>I</w:t>
      </w:r>
      <w:r w:rsidRPr="00FA3856">
        <w:rPr>
          <w:b/>
          <w:szCs w:val="20"/>
          <w:lang w:val="pt-PT"/>
        </w:rPr>
        <w:t>I – Tabela Dinâmica:</w:t>
      </w:r>
      <w:r w:rsidR="004A3546">
        <w:rPr>
          <w:b/>
          <w:szCs w:val="20"/>
          <w:lang w:val="pt-PT"/>
        </w:rPr>
        <w:t xml:space="preserve"> </w:t>
      </w:r>
      <w:r w:rsidR="004A3546" w:rsidRPr="004A3546">
        <w:rPr>
          <w:b/>
          <w:szCs w:val="20"/>
          <w:lang w:val="pt-PT"/>
        </w:rPr>
        <w:t>P500 - Cálculo da CSLL com Base no Lucro Presumido</w:t>
      </w:r>
    </w:p>
    <w:p w:rsidR="00E72A9A" w:rsidRPr="00FA3856" w:rsidRDefault="00486CDA" w:rsidP="00E72A9A">
      <w:pPr>
        <w:pStyle w:val="PSDS-MarcadoresNivel3"/>
        <w:tabs>
          <w:tab w:val="clear" w:pos="1440"/>
        </w:tabs>
        <w:spacing w:before="0" w:after="0"/>
        <w:ind w:left="0" w:firstLine="0"/>
        <w:rPr>
          <w:rFonts w:ascii="Times New Roman" w:hAnsi="Times New Roman" w:cs="Times New Roman"/>
          <w:szCs w:val="20"/>
        </w:rPr>
      </w:pPr>
      <w:r>
        <w:rPr>
          <w:rFonts w:ascii="Times New Roman" w:hAnsi="Times New Roman" w:cs="Times New Roman"/>
          <w:szCs w:val="20"/>
        </w:rPr>
        <w:object w:dxaOrig="1534" w:dyaOrig="997">
          <v:shape id="_x0000_i1207" type="#_x0000_t75" style="width:79.5pt;height:50.25pt" o:ole="">
            <v:imagedata r:id="rId488" o:title=""/>
          </v:shape>
          <o:OLEObject Type="Link" ProgID="Excel.Sheet.12" ShapeID="_x0000_i1207" DrawAspect="Content" r:id="rId489" UpdateMode="OnCall">
            <o:LinkType>EnhancedMetaFile</o:LinkType>
            <o:LockedField>false</o:LockedField>
          </o:OLEObject>
        </w:object>
      </w:r>
    </w:p>
    <w:p w:rsidR="00E72A9A" w:rsidRDefault="00507874" w:rsidP="00DF6DF9">
      <w:pPr>
        <w:pStyle w:val="Corpodetexto"/>
        <w:rPr>
          <w:rFonts w:ascii="Times New Roman" w:hAnsi="Times New Roman"/>
          <w:b/>
          <w:color w:val="002060"/>
          <w:szCs w:val="20"/>
        </w:rPr>
      </w:pPr>
      <w:r w:rsidRPr="00FA3856">
        <w:rPr>
          <w:rFonts w:ascii="Times New Roman" w:hAnsi="Times New Roman"/>
          <w:b/>
          <w:color w:val="002060"/>
          <w:szCs w:val="20"/>
        </w:rPr>
        <w:t xml:space="preserve">Exemplo de Preenchimento: </w:t>
      </w:r>
    </w:p>
    <w:p w:rsidR="00E72A9A" w:rsidRDefault="00E72A9A" w:rsidP="00DF6DF9">
      <w:pPr>
        <w:pStyle w:val="Corpodetexto"/>
        <w:rPr>
          <w:rFonts w:ascii="Times New Roman" w:hAnsi="Times New Roman"/>
          <w:b/>
          <w:color w:val="002060"/>
          <w:szCs w:val="20"/>
        </w:rPr>
      </w:pPr>
    </w:p>
    <w:p w:rsidR="00DF6DF9" w:rsidRPr="00FA3856" w:rsidRDefault="00DF6DF9" w:rsidP="00DF6DF9">
      <w:pPr>
        <w:pStyle w:val="Corpodetexto"/>
        <w:rPr>
          <w:rFonts w:ascii="Times New Roman" w:hAnsi="Times New Roman"/>
          <w:b/>
          <w:color w:val="002060"/>
          <w:szCs w:val="20"/>
        </w:rPr>
      </w:pPr>
      <w:r w:rsidRPr="00FA3856">
        <w:rPr>
          <w:rFonts w:ascii="Times New Roman" w:hAnsi="Times New Roman"/>
          <w:b/>
          <w:color w:val="002060"/>
          <w:szCs w:val="20"/>
        </w:rPr>
        <w:t>|P500|15|CSLL POSTERGADA DE PERÍODOS DE APURAÇÃO ANTERIORES|10000,00|</w:t>
      </w:r>
    </w:p>
    <w:p w:rsidR="00DF6DF9" w:rsidRPr="00FA3856" w:rsidRDefault="00DF6DF9" w:rsidP="00DF6DF9">
      <w:pPr>
        <w:pStyle w:val="Corpodetexto"/>
        <w:ind w:firstLine="708"/>
        <w:rPr>
          <w:rFonts w:ascii="Times New Roman" w:hAnsi="Times New Roman"/>
          <w:color w:val="002060"/>
          <w:szCs w:val="20"/>
        </w:rPr>
      </w:pPr>
      <w:r w:rsidRPr="00FA3856">
        <w:rPr>
          <w:rFonts w:ascii="Times New Roman" w:hAnsi="Times New Roman"/>
          <w:color w:val="002060"/>
          <w:szCs w:val="20"/>
        </w:rPr>
        <w:t>|P500|: Identificação do tipo do registro.</w:t>
      </w:r>
    </w:p>
    <w:p w:rsidR="00DF6DF9" w:rsidRPr="00FA3856" w:rsidRDefault="00DF6DF9" w:rsidP="00DF6DF9">
      <w:pPr>
        <w:pStyle w:val="Corpodetexto"/>
        <w:ind w:firstLine="708"/>
        <w:rPr>
          <w:rFonts w:ascii="Times New Roman" w:hAnsi="Times New Roman"/>
          <w:color w:val="002060"/>
          <w:szCs w:val="20"/>
        </w:rPr>
      </w:pPr>
      <w:r w:rsidRPr="00FA3856">
        <w:rPr>
          <w:rFonts w:ascii="Times New Roman" w:hAnsi="Times New Roman"/>
          <w:color w:val="002060"/>
          <w:szCs w:val="20"/>
        </w:rPr>
        <w:t>|15|: Código da linha.</w:t>
      </w:r>
      <w:r w:rsidRPr="00FA3856">
        <w:rPr>
          <w:rFonts w:ascii="Times New Roman" w:hAnsi="Times New Roman"/>
          <w:color w:val="002060"/>
          <w:szCs w:val="20"/>
        </w:rPr>
        <w:tab/>
      </w:r>
    </w:p>
    <w:p w:rsidR="00DF6DF9" w:rsidRPr="00FA3856" w:rsidRDefault="00DF6DF9" w:rsidP="00DF6DF9">
      <w:pPr>
        <w:pStyle w:val="Corpodetexto"/>
        <w:ind w:firstLine="708"/>
        <w:rPr>
          <w:rFonts w:ascii="Times New Roman" w:hAnsi="Times New Roman"/>
          <w:color w:val="002060"/>
          <w:szCs w:val="20"/>
        </w:rPr>
      </w:pPr>
      <w:r w:rsidRPr="00FA3856">
        <w:rPr>
          <w:rFonts w:ascii="Times New Roman" w:hAnsi="Times New Roman"/>
          <w:color w:val="002060"/>
          <w:szCs w:val="20"/>
        </w:rPr>
        <w:t>|CSLL POSTERGADA DE PERÍODOS DE APURAÇÃO ANTERIORES|: Descrição da linha.</w:t>
      </w:r>
    </w:p>
    <w:p w:rsidR="00DF6DF9" w:rsidRPr="00FA3856" w:rsidRDefault="00DF6DF9" w:rsidP="00DF6DF9">
      <w:pPr>
        <w:pStyle w:val="Corpodetexto"/>
        <w:ind w:firstLine="708"/>
        <w:rPr>
          <w:rFonts w:ascii="Times New Roman" w:hAnsi="Times New Roman"/>
          <w:color w:val="002060"/>
          <w:szCs w:val="20"/>
        </w:rPr>
      </w:pPr>
      <w:r w:rsidRPr="00FA3856">
        <w:rPr>
          <w:rFonts w:ascii="Times New Roman" w:hAnsi="Times New Roman"/>
          <w:color w:val="002060"/>
          <w:szCs w:val="20"/>
        </w:rPr>
        <w:t>|10000,00|: Valor da linha (R$ 10.000,00).</w:t>
      </w:r>
    </w:p>
    <w:p w:rsidR="00DF6DF9" w:rsidRPr="00FA3856" w:rsidRDefault="00DF6DF9" w:rsidP="00DF6DF9">
      <w:pPr>
        <w:pStyle w:val="PSDS-MarcadoresNivel3"/>
        <w:tabs>
          <w:tab w:val="clear" w:pos="1440"/>
        </w:tabs>
        <w:spacing w:before="0" w:after="0"/>
        <w:rPr>
          <w:rFonts w:ascii="Times New Roman" w:hAnsi="Times New Roman" w:cs="Times New Roman"/>
          <w:szCs w:val="20"/>
        </w:rPr>
      </w:pPr>
    </w:p>
    <w:p w:rsidR="004D58BC" w:rsidRPr="00FA3856" w:rsidRDefault="004D58BC">
      <w:pPr>
        <w:spacing w:after="200" w:line="276" w:lineRule="auto"/>
        <w:rPr>
          <w:b/>
          <w:bCs/>
          <w:color w:val="0000FF"/>
          <w:szCs w:val="20"/>
        </w:rPr>
      </w:pPr>
      <w:r w:rsidRPr="00FA3856">
        <w:rPr>
          <w:color w:val="0000FF"/>
          <w:szCs w:val="20"/>
        </w:rPr>
        <w:br w:type="page"/>
      </w:r>
    </w:p>
    <w:p w:rsidR="009479AD" w:rsidRPr="00FA3856" w:rsidRDefault="009479AD" w:rsidP="00867F54">
      <w:pPr>
        <w:pStyle w:val="Ttulo4"/>
      </w:pPr>
      <w:bookmarkStart w:id="309" w:name="_Toc479713763"/>
      <w:r w:rsidRPr="00FA3856">
        <w:lastRenderedPageBreak/>
        <w:t>Registro P990: Encerramento do Bloco P</w:t>
      </w:r>
      <w:bookmarkEnd w:id="309"/>
    </w:p>
    <w:p w:rsidR="004D58BC" w:rsidRDefault="004D58BC" w:rsidP="004D58BC">
      <w:pPr>
        <w:pStyle w:val="Corpodetexto"/>
        <w:rPr>
          <w:rFonts w:ascii="Times New Roman" w:hAnsi="Times New Roman"/>
          <w:b/>
          <w:color w:val="002060"/>
          <w:szCs w:val="20"/>
        </w:rPr>
      </w:pPr>
    </w:p>
    <w:p w:rsidR="005D3949" w:rsidRPr="00FA3856" w:rsidRDefault="00B35FA3" w:rsidP="005D3949">
      <w:pPr>
        <w:pStyle w:val="Corpodetexto"/>
        <w:jc w:val="center"/>
        <w:rPr>
          <w:rFonts w:ascii="Times New Roman" w:hAnsi="Times New Roman"/>
          <w:b/>
          <w:color w:val="002060"/>
          <w:szCs w:val="20"/>
        </w:rPr>
      </w:pPr>
      <w:r>
        <w:rPr>
          <w:rFonts w:ascii="Times New Roman" w:hAnsi="Times New Roman"/>
          <w:b/>
          <w:color w:val="002060"/>
          <w:szCs w:val="20"/>
        </w:rPr>
        <w:object w:dxaOrig="14220" w:dyaOrig="2310">
          <v:shape id="_x0000_i1801" type="#_x0000_t75" style="width:762pt;height:112.5pt" o:ole="">
            <v:imagedata r:id="rId490" o:title=""/>
          </v:shape>
          <o:OLEObject Type="Link" ProgID="Excel.Sheet.12" ShapeID="_x0000_i1801" DrawAspect="Content" r:id="rId491" UpdateMode="Always">
            <o:LinkType>EnhancedMetaFile</o:LinkType>
            <o:LockedField>false</o:LockedField>
          </o:OLEObject>
        </w:object>
      </w:r>
    </w:p>
    <w:p w:rsidR="005D3949" w:rsidRDefault="005D3949" w:rsidP="004D58BC">
      <w:pPr>
        <w:pStyle w:val="Corpodetexto"/>
        <w:rPr>
          <w:rFonts w:ascii="Times New Roman" w:hAnsi="Times New Roman"/>
          <w:b/>
          <w:color w:val="002060"/>
          <w:szCs w:val="20"/>
        </w:rPr>
      </w:pPr>
    </w:p>
    <w:p w:rsidR="005D3949" w:rsidRDefault="004D58BC" w:rsidP="004D58BC">
      <w:pPr>
        <w:pStyle w:val="Corpodetexto"/>
        <w:rPr>
          <w:rFonts w:ascii="Times New Roman" w:hAnsi="Times New Roman"/>
          <w:b/>
          <w:color w:val="002060"/>
          <w:szCs w:val="20"/>
        </w:rPr>
      </w:pPr>
      <w:r w:rsidRPr="00FA3856">
        <w:rPr>
          <w:rFonts w:ascii="Times New Roman" w:hAnsi="Times New Roman"/>
          <w:b/>
          <w:color w:val="002060"/>
          <w:szCs w:val="20"/>
        </w:rPr>
        <w:t xml:space="preserve">Exemplo de Preenchimento: </w:t>
      </w:r>
    </w:p>
    <w:p w:rsidR="005D3949" w:rsidRDefault="005D3949" w:rsidP="004D58BC">
      <w:pPr>
        <w:pStyle w:val="Corpodetexto"/>
        <w:rPr>
          <w:rFonts w:ascii="Times New Roman" w:hAnsi="Times New Roman"/>
          <w:b/>
          <w:color w:val="002060"/>
          <w:szCs w:val="20"/>
        </w:rPr>
      </w:pPr>
    </w:p>
    <w:p w:rsidR="004D58BC" w:rsidRPr="00FA3856" w:rsidRDefault="004D58BC" w:rsidP="004D58BC">
      <w:pPr>
        <w:pStyle w:val="Corpodetexto"/>
        <w:rPr>
          <w:rFonts w:ascii="Times New Roman" w:hAnsi="Times New Roman"/>
          <w:b/>
          <w:color w:val="002060"/>
          <w:szCs w:val="20"/>
        </w:rPr>
      </w:pPr>
      <w:r w:rsidRPr="00FA3856">
        <w:rPr>
          <w:rFonts w:ascii="Times New Roman" w:hAnsi="Times New Roman"/>
          <w:b/>
          <w:color w:val="002060"/>
          <w:szCs w:val="20"/>
        </w:rPr>
        <w:t>|P990|1000|</w:t>
      </w:r>
    </w:p>
    <w:p w:rsidR="004D58BC" w:rsidRPr="00FA3856" w:rsidRDefault="004D58BC" w:rsidP="004D58BC">
      <w:pPr>
        <w:pStyle w:val="Corpodetexto"/>
        <w:ind w:firstLine="708"/>
        <w:rPr>
          <w:rFonts w:ascii="Times New Roman" w:hAnsi="Times New Roman"/>
          <w:color w:val="002060"/>
          <w:szCs w:val="20"/>
        </w:rPr>
      </w:pPr>
      <w:r w:rsidRPr="00FA3856">
        <w:rPr>
          <w:rFonts w:ascii="Times New Roman" w:hAnsi="Times New Roman"/>
          <w:color w:val="002060"/>
          <w:szCs w:val="20"/>
        </w:rPr>
        <w:t>|P990|: Identificação do tipo do registro.</w:t>
      </w:r>
    </w:p>
    <w:p w:rsidR="004D58BC" w:rsidRPr="00FA3856" w:rsidRDefault="004D58BC" w:rsidP="004D58BC">
      <w:pPr>
        <w:pStyle w:val="Corpodetexto"/>
        <w:ind w:firstLine="708"/>
        <w:rPr>
          <w:rFonts w:ascii="Times New Roman" w:hAnsi="Times New Roman"/>
          <w:color w:val="002060"/>
          <w:szCs w:val="20"/>
        </w:rPr>
      </w:pPr>
      <w:r w:rsidRPr="00FA3856">
        <w:rPr>
          <w:rFonts w:ascii="Times New Roman" w:hAnsi="Times New Roman"/>
          <w:color w:val="002060"/>
          <w:szCs w:val="20"/>
        </w:rPr>
        <w:t xml:space="preserve">|1000|: A quantidade total de registros do Bloco </w:t>
      </w:r>
      <w:r w:rsidR="00E506D3" w:rsidRPr="00FA3856">
        <w:rPr>
          <w:rFonts w:ascii="Times New Roman" w:hAnsi="Times New Roman"/>
          <w:color w:val="002060"/>
          <w:szCs w:val="20"/>
        </w:rPr>
        <w:t>P</w:t>
      </w:r>
      <w:r w:rsidRPr="00FA3856">
        <w:rPr>
          <w:rFonts w:ascii="Times New Roman" w:hAnsi="Times New Roman"/>
          <w:color w:val="002060"/>
          <w:szCs w:val="20"/>
        </w:rPr>
        <w:t xml:space="preserve"> é 1.000 (mil registros).</w:t>
      </w:r>
    </w:p>
    <w:p w:rsidR="009479AD" w:rsidRPr="00FA3856" w:rsidRDefault="009479AD" w:rsidP="009479AD">
      <w:pPr>
        <w:pStyle w:val="PSDS-MarcadoresNivel2"/>
        <w:numPr>
          <w:ilvl w:val="0"/>
          <w:numId w:val="0"/>
        </w:numPr>
        <w:rPr>
          <w:rFonts w:ascii="Times New Roman" w:hAnsi="Times New Roman"/>
        </w:rPr>
      </w:pPr>
    </w:p>
    <w:p w:rsidR="000016E4" w:rsidRPr="00FA3856" w:rsidRDefault="000016E4">
      <w:pPr>
        <w:rPr>
          <w:color w:val="0000FF"/>
          <w:szCs w:val="20"/>
        </w:rPr>
      </w:pPr>
    </w:p>
    <w:p w:rsidR="006E6EA2" w:rsidRPr="00FA3856" w:rsidRDefault="006E6EA2">
      <w:pPr>
        <w:rPr>
          <w:b/>
          <w:bCs/>
          <w:color w:val="0000FF"/>
          <w:szCs w:val="20"/>
        </w:rPr>
      </w:pPr>
      <w:r w:rsidRPr="00FA3856">
        <w:rPr>
          <w:color w:val="0000FF"/>
          <w:szCs w:val="20"/>
        </w:rPr>
        <w:br w:type="page"/>
      </w:r>
    </w:p>
    <w:p w:rsidR="000016E4" w:rsidRPr="00FA3856" w:rsidRDefault="000016E4" w:rsidP="00867F54">
      <w:pPr>
        <w:pStyle w:val="Ttulo3"/>
      </w:pPr>
      <w:bookmarkStart w:id="310" w:name="_Toc479713764"/>
      <w:r w:rsidRPr="00FA3856">
        <w:lastRenderedPageBreak/>
        <w:t>Bloco Q: Livro Caixa</w:t>
      </w:r>
      <w:bookmarkEnd w:id="310"/>
    </w:p>
    <w:p w:rsidR="000016E4" w:rsidRPr="00FA3856" w:rsidRDefault="000016E4" w:rsidP="000016E4">
      <w:pPr>
        <w:jc w:val="both"/>
        <w:rPr>
          <w:szCs w:val="20"/>
        </w:rPr>
      </w:pPr>
    </w:p>
    <w:p w:rsidR="00773D06" w:rsidRPr="0070069F" w:rsidRDefault="000016E4" w:rsidP="00773D06">
      <w:pPr>
        <w:ind w:firstLine="708"/>
        <w:jc w:val="both"/>
        <w:rPr>
          <w:szCs w:val="20"/>
        </w:rPr>
      </w:pPr>
      <w:r w:rsidRPr="0070069F">
        <w:rPr>
          <w:szCs w:val="20"/>
        </w:rPr>
        <w:t>Este bloco deverá estar preenchido</w:t>
      </w:r>
      <w:r w:rsidR="00773D06" w:rsidRPr="0070069F">
        <w:rPr>
          <w:szCs w:val="20"/>
        </w:rPr>
        <w:t xml:space="preserve"> para as pessoas jurídicas optantes pela sistemática do lucro presumido que se utilizem da prerrogativa prevista no parágrafo único do art. 45 da Lei nº</w:t>
      </w:r>
      <w:r w:rsidR="00773D06" w:rsidRPr="0070069F">
        <w:t> </w:t>
      </w:r>
      <w:r w:rsidR="00773D06" w:rsidRPr="0070069F">
        <w:rPr>
          <w:szCs w:val="20"/>
        </w:rPr>
        <w:t>8.981, de 20 de janeiro 1995, e cuja receita bruta no ano seja superior a R$ 1.200.000,00 (um milhão e duzentos mil reais), ou proporcionalmente ao período a que se refere, de acordo com a regra abaixo:</w:t>
      </w:r>
    </w:p>
    <w:p w:rsidR="00773D06" w:rsidRPr="0070069F" w:rsidRDefault="00773D06" w:rsidP="000016E4">
      <w:pPr>
        <w:ind w:firstLine="708"/>
        <w:jc w:val="both"/>
        <w:rPr>
          <w:szCs w:val="20"/>
        </w:rPr>
      </w:pPr>
    </w:p>
    <w:p w:rsidR="00773D06" w:rsidRPr="0070069F" w:rsidRDefault="00773D06" w:rsidP="00773D06">
      <w:pPr>
        <w:ind w:firstLine="708"/>
        <w:rPr>
          <w:bCs/>
        </w:rPr>
      </w:pPr>
      <w:r w:rsidRPr="0070069F">
        <w:rPr>
          <w:bCs/>
        </w:rPr>
        <w:t>Se 0010.IND_ESC_PRE = “L” E SOMA (P200(2) + P200(4) + P200(6) + P200(8)) &gt; 100.000 x (Número de Meses da ECF) então Bloco Q é obrigatório.</w:t>
      </w:r>
    </w:p>
    <w:p w:rsidR="009B0E09" w:rsidRDefault="000016E4" w:rsidP="00773D06">
      <w:pPr>
        <w:ind w:firstLine="708"/>
        <w:jc w:val="both"/>
        <w:rPr>
          <w:szCs w:val="20"/>
        </w:rPr>
      </w:pPr>
      <w:r w:rsidRPr="00FA3856">
        <w:rPr>
          <w:szCs w:val="20"/>
        </w:rPr>
        <w:t xml:space="preserve"> </w:t>
      </w:r>
    </w:p>
    <w:p w:rsidR="000016E4" w:rsidRPr="00FA3856" w:rsidRDefault="000016E4" w:rsidP="00867F54">
      <w:pPr>
        <w:pStyle w:val="Ttulo4"/>
      </w:pPr>
      <w:bookmarkStart w:id="311" w:name="_Toc479713765"/>
      <w:r w:rsidRPr="00FA3856">
        <w:t>Registro Q001: Abertura do Bloco Q</w:t>
      </w:r>
      <w:bookmarkEnd w:id="311"/>
    </w:p>
    <w:p w:rsidR="003A2F43" w:rsidRDefault="003A2F43" w:rsidP="000016E4">
      <w:pPr>
        <w:pStyle w:val="PSDS-MarcadoresNivel2"/>
        <w:numPr>
          <w:ilvl w:val="0"/>
          <w:numId w:val="0"/>
        </w:numPr>
        <w:rPr>
          <w:rFonts w:ascii="Times New Roman" w:hAnsi="Times New Roman"/>
        </w:rPr>
      </w:pPr>
    </w:p>
    <w:p w:rsidR="003A2F43" w:rsidRDefault="00B35FA3" w:rsidP="003A2F43">
      <w:pPr>
        <w:pStyle w:val="PSDS-MarcadoresNivel2"/>
        <w:numPr>
          <w:ilvl w:val="0"/>
          <w:numId w:val="0"/>
        </w:numPr>
        <w:jc w:val="center"/>
        <w:rPr>
          <w:rFonts w:ascii="Times New Roman" w:hAnsi="Times New Roman"/>
        </w:rPr>
      </w:pPr>
      <w:r>
        <w:rPr>
          <w:rFonts w:ascii="Times New Roman" w:hAnsi="Times New Roman"/>
        </w:rPr>
        <w:object w:dxaOrig="13335" w:dyaOrig="3090">
          <v:shape id="_x0000_i1803" type="#_x0000_t75" style="width:716.25pt;height:146.25pt" o:ole="">
            <v:imagedata r:id="rId492" o:title=""/>
          </v:shape>
          <o:OLEObject Type="Link" ProgID="Excel.Sheet.12" ShapeID="_x0000_i1803" DrawAspect="Content" r:id="rId493" UpdateMode="Always">
            <o:LinkType>EnhancedMetaFile</o:LinkType>
            <o:LockedField>false</o:LockedField>
          </o:OLEObject>
        </w:object>
      </w:r>
    </w:p>
    <w:p w:rsidR="003A2F43" w:rsidRDefault="003A2F43" w:rsidP="000016E4">
      <w:pPr>
        <w:pStyle w:val="PSDS-MarcadoresNivel2"/>
        <w:numPr>
          <w:ilvl w:val="0"/>
          <w:numId w:val="0"/>
        </w:numPr>
        <w:rPr>
          <w:rFonts w:ascii="Times New Roman" w:hAnsi="Times New Roman"/>
        </w:rPr>
      </w:pPr>
    </w:p>
    <w:p w:rsidR="000016E4" w:rsidRPr="00FA3856" w:rsidRDefault="000016E4" w:rsidP="000016E4">
      <w:pPr>
        <w:pStyle w:val="PSDS-MarcadoresNivel2"/>
        <w:numPr>
          <w:ilvl w:val="0"/>
          <w:numId w:val="0"/>
        </w:numPr>
        <w:rPr>
          <w:rFonts w:ascii="Times New Roman" w:hAnsi="Times New Roman"/>
        </w:rPr>
      </w:pPr>
      <w:r w:rsidRPr="00FA3856">
        <w:rPr>
          <w:rFonts w:ascii="Times New Roman" w:hAnsi="Times New Roman"/>
        </w:rPr>
        <w:t>I – Regras de Validação do Registro:</w:t>
      </w:r>
    </w:p>
    <w:p w:rsidR="000016E4" w:rsidRPr="00FA3856" w:rsidRDefault="000016E4" w:rsidP="000016E4">
      <w:pPr>
        <w:pStyle w:val="PSDS-MarcadoresNivel2"/>
        <w:numPr>
          <w:ilvl w:val="0"/>
          <w:numId w:val="0"/>
        </w:numPr>
        <w:rPr>
          <w:rFonts w:ascii="Times New Roman" w:hAnsi="Times New Roman"/>
        </w:rPr>
      </w:pPr>
    </w:p>
    <w:p w:rsidR="000016E4" w:rsidRPr="00FA3856" w:rsidRDefault="007D0E74" w:rsidP="000016E4">
      <w:pPr>
        <w:pStyle w:val="Corpodetexto"/>
        <w:ind w:left="708" w:firstLine="12"/>
        <w:rPr>
          <w:rFonts w:ascii="Times New Roman" w:hAnsi="Times New Roman"/>
          <w:szCs w:val="20"/>
        </w:rPr>
      </w:pPr>
      <w:hyperlink r:id="rId494" w:anchor="REGRA_OCORRENCIA_UNITARIA_ARQ" w:history="1">
        <w:r w:rsidR="000016E4" w:rsidRPr="00FA3856">
          <w:rPr>
            <w:rFonts w:ascii="Times New Roman" w:hAnsi="Times New Roman"/>
            <w:b/>
            <w:szCs w:val="20"/>
          </w:rPr>
          <w:t>REGRA_OCORRENCIA_UNITARIA_ARQ</w:t>
        </w:r>
      </w:hyperlink>
      <w:r w:rsidR="000016E4" w:rsidRPr="00FA3856">
        <w:rPr>
          <w:rFonts w:ascii="Times New Roman" w:hAnsi="Times New Roman"/>
          <w:color w:val="auto"/>
          <w:szCs w:val="20"/>
        </w:rPr>
        <w:t xml:space="preserve">: </w:t>
      </w:r>
      <w:r w:rsidR="000016E4" w:rsidRPr="00FA3856">
        <w:rPr>
          <w:rFonts w:ascii="Times New Roman" w:hAnsi="Times New Roman"/>
          <w:szCs w:val="20"/>
        </w:rPr>
        <w:t>Verifica se registro ocorreu apenas uma vez por arquivo, considerando a chave “Q001” (REG). Se a regra não for cumprida, a ECF gera um erro.</w:t>
      </w:r>
    </w:p>
    <w:p w:rsidR="000016E4" w:rsidRPr="00FA3856" w:rsidRDefault="000016E4" w:rsidP="000016E4">
      <w:pPr>
        <w:pStyle w:val="Corpodetexto"/>
        <w:rPr>
          <w:rFonts w:ascii="Times New Roman" w:hAnsi="Times New Roman"/>
          <w:szCs w:val="20"/>
        </w:rPr>
      </w:pPr>
    </w:p>
    <w:p w:rsidR="004A3546" w:rsidRDefault="000016E4" w:rsidP="000016E4">
      <w:pPr>
        <w:pStyle w:val="Corpodetexto"/>
        <w:rPr>
          <w:rFonts w:ascii="Times New Roman" w:hAnsi="Times New Roman"/>
          <w:b/>
          <w:color w:val="002060"/>
          <w:szCs w:val="20"/>
        </w:rPr>
      </w:pPr>
      <w:r w:rsidRPr="00FA3856">
        <w:rPr>
          <w:rFonts w:ascii="Times New Roman" w:hAnsi="Times New Roman"/>
          <w:b/>
          <w:color w:val="002060"/>
          <w:szCs w:val="20"/>
        </w:rPr>
        <w:t xml:space="preserve">Exemplo de Preenchimento: </w:t>
      </w:r>
    </w:p>
    <w:p w:rsidR="004A3546" w:rsidRDefault="004A3546" w:rsidP="000016E4">
      <w:pPr>
        <w:pStyle w:val="Corpodetexto"/>
        <w:rPr>
          <w:rFonts w:ascii="Times New Roman" w:hAnsi="Times New Roman"/>
          <w:b/>
          <w:color w:val="002060"/>
          <w:szCs w:val="20"/>
        </w:rPr>
      </w:pPr>
    </w:p>
    <w:p w:rsidR="000016E4" w:rsidRPr="00FA3856" w:rsidRDefault="000016E4" w:rsidP="000016E4">
      <w:pPr>
        <w:pStyle w:val="Corpodetexto"/>
        <w:rPr>
          <w:rFonts w:ascii="Times New Roman" w:hAnsi="Times New Roman"/>
          <w:b/>
          <w:color w:val="002060"/>
          <w:szCs w:val="20"/>
        </w:rPr>
      </w:pPr>
      <w:r w:rsidRPr="00FA3856">
        <w:rPr>
          <w:rFonts w:ascii="Times New Roman" w:hAnsi="Times New Roman"/>
          <w:b/>
          <w:color w:val="002060"/>
          <w:szCs w:val="20"/>
        </w:rPr>
        <w:t>|Q001|0|</w:t>
      </w:r>
    </w:p>
    <w:p w:rsidR="000016E4" w:rsidRPr="00FA3856" w:rsidRDefault="000016E4" w:rsidP="000016E4">
      <w:pPr>
        <w:pStyle w:val="Corpodetexto"/>
        <w:ind w:firstLine="708"/>
        <w:rPr>
          <w:rFonts w:ascii="Times New Roman" w:hAnsi="Times New Roman"/>
          <w:color w:val="002060"/>
          <w:szCs w:val="20"/>
        </w:rPr>
      </w:pPr>
      <w:r w:rsidRPr="00FA3856">
        <w:rPr>
          <w:rFonts w:ascii="Times New Roman" w:hAnsi="Times New Roman"/>
          <w:color w:val="002060"/>
          <w:szCs w:val="20"/>
        </w:rPr>
        <w:t>|Q001|: Identificação do tipo do registro.</w:t>
      </w:r>
    </w:p>
    <w:p w:rsidR="000016E4" w:rsidRPr="00FA3856" w:rsidRDefault="000016E4" w:rsidP="000016E4">
      <w:pPr>
        <w:pStyle w:val="Corpodetexto"/>
        <w:ind w:firstLine="708"/>
        <w:rPr>
          <w:rFonts w:ascii="Times New Roman" w:hAnsi="Times New Roman"/>
          <w:color w:val="002060"/>
          <w:szCs w:val="20"/>
        </w:rPr>
      </w:pPr>
      <w:r w:rsidRPr="00FA3856">
        <w:rPr>
          <w:rFonts w:ascii="Times New Roman" w:hAnsi="Times New Roman"/>
          <w:color w:val="002060"/>
          <w:szCs w:val="20"/>
        </w:rPr>
        <w:t>|0|: Indica que o bloco possui dados informados.</w:t>
      </w:r>
    </w:p>
    <w:p w:rsidR="000016E4" w:rsidRPr="00FA3856" w:rsidRDefault="000016E4" w:rsidP="000016E4">
      <w:pPr>
        <w:jc w:val="both"/>
        <w:rPr>
          <w:szCs w:val="20"/>
        </w:rPr>
      </w:pPr>
    </w:p>
    <w:p w:rsidR="000016E4" w:rsidRPr="00FA3856" w:rsidRDefault="000016E4">
      <w:pPr>
        <w:spacing w:after="200" w:line="276" w:lineRule="auto"/>
        <w:rPr>
          <w:b/>
          <w:bCs/>
          <w:color w:val="0000FF"/>
          <w:szCs w:val="20"/>
        </w:rPr>
      </w:pPr>
      <w:r w:rsidRPr="00FA3856">
        <w:rPr>
          <w:color w:val="0000FF"/>
          <w:szCs w:val="20"/>
        </w:rPr>
        <w:br w:type="page"/>
      </w:r>
    </w:p>
    <w:p w:rsidR="000016E4" w:rsidRPr="00FA3856" w:rsidRDefault="000016E4" w:rsidP="00867F54">
      <w:pPr>
        <w:pStyle w:val="Ttulo4"/>
      </w:pPr>
      <w:bookmarkStart w:id="312" w:name="_Toc479713766"/>
      <w:r w:rsidRPr="00FA3856">
        <w:lastRenderedPageBreak/>
        <w:t>Registro Q100: Demonstrativo do Livro Caixa (FACULTATIVO PARA O ANO-CALENDÁRIO 2015</w:t>
      </w:r>
      <w:r w:rsidR="000A0B69">
        <w:t>/OBRIGATÓRIO A PARTIR DO ANO-CALENDÁRIO 2016</w:t>
      </w:r>
      <w:r w:rsidRPr="00FA3856">
        <w:t>)</w:t>
      </w:r>
      <w:bookmarkEnd w:id="312"/>
    </w:p>
    <w:p w:rsidR="000016E4" w:rsidRPr="00FA3856" w:rsidRDefault="000016E4" w:rsidP="000016E4">
      <w:pPr>
        <w:jc w:val="both"/>
        <w:rPr>
          <w:szCs w:val="20"/>
        </w:rPr>
      </w:pPr>
    </w:p>
    <w:p w:rsidR="000016E4" w:rsidRPr="00FA3856" w:rsidRDefault="000016E4" w:rsidP="000016E4">
      <w:pPr>
        <w:ind w:firstLine="708"/>
        <w:jc w:val="both"/>
        <w:rPr>
          <w:b/>
          <w:szCs w:val="20"/>
        </w:rPr>
      </w:pPr>
      <w:r w:rsidRPr="00FA3856">
        <w:rPr>
          <w:szCs w:val="20"/>
        </w:rPr>
        <w:t xml:space="preserve">Este registro deverá estar preenchido quando 0010.TIP_ESC_PRE for igual a “L” (Livro Caixa). O demonstrativo do livro caixa deverá conter todos os registros constantes no livro caixa da pessoa jurídica. Não haverá edição deste registro no programa da ECF. </w:t>
      </w:r>
      <w:r w:rsidRPr="00FA3856">
        <w:rPr>
          <w:b/>
          <w:szCs w:val="20"/>
        </w:rPr>
        <w:t>Somente será possível importar um arquivo da ECF já com este registro no leiaute ou um arquivo .csv com os dados do Livro Caixa, com os camp</w:t>
      </w:r>
      <w:r w:rsidR="002B6043">
        <w:rPr>
          <w:b/>
          <w:szCs w:val="20"/>
        </w:rPr>
        <w:t>os definidos abaixo (exceto Q100</w:t>
      </w:r>
      <w:r w:rsidRPr="00FA3856">
        <w:rPr>
          <w:b/>
          <w:szCs w:val="20"/>
        </w:rPr>
        <w:t>.REG) e ordenado por data.</w:t>
      </w:r>
    </w:p>
    <w:p w:rsidR="000016E4" w:rsidRPr="00FA3856" w:rsidRDefault="000016E4" w:rsidP="000016E4">
      <w:pPr>
        <w:ind w:firstLine="708"/>
        <w:jc w:val="both"/>
        <w:rPr>
          <w:b/>
          <w:szCs w:val="20"/>
        </w:rPr>
      </w:pPr>
    </w:p>
    <w:p w:rsidR="000016E4" w:rsidRPr="00FA3856" w:rsidRDefault="000016E4" w:rsidP="000016E4">
      <w:pPr>
        <w:ind w:firstLine="708"/>
        <w:jc w:val="both"/>
        <w:rPr>
          <w:b/>
          <w:szCs w:val="20"/>
        </w:rPr>
      </w:pPr>
      <w:r w:rsidRPr="00FA3856">
        <w:rPr>
          <w:b/>
          <w:szCs w:val="20"/>
        </w:rPr>
        <w:tab/>
        <w:t>Exemplo: DATA; NUM_DOC; HIST; VL_ENTRADA; VL_SAIDA; SLD_FIN</w:t>
      </w:r>
    </w:p>
    <w:p w:rsidR="000016E4" w:rsidRPr="00FA3856" w:rsidRDefault="000016E4" w:rsidP="000016E4">
      <w:pPr>
        <w:ind w:firstLine="708"/>
        <w:jc w:val="both"/>
        <w:rPr>
          <w:b/>
          <w:szCs w:val="20"/>
        </w:rPr>
      </w:pPr>
      <w:r w:rsidRPr="00FA3856">
        <w:rPr>
          <w:b/>
          <w:szCs w:val="20"/>
        </w:rPr>
        <w:tab/>
      </w:r>
      <w:r w:rsidRPr="00FA3856">
        <w:rPr>
          <w:b/>
          <w:szCs w:val="20"/>
        </w:rPr>
        <w:tab/>
        <w:t xml:space="preserve">   01012015; 1; SALDO ANTEIROR; 1000,00; 0; 1000,00</w:t>
      </w:r>
      <w:r w:rsidR="003E2637">
        <w:rPr>
          <w:b/>
          <w:szCs w:val="20"/>
        </w:rPr>
        <w:t>;</w:t>
      </w:r>
    </w:p>
    <w:p w:rsidR="000016E4" w:rsidRPr="00FA3856" w:rsidRDefault="000016E4" w:rsidP="000016E4">
      <w:pPr>
        <w:ind w:firstLine="708"/>
        <w:jc w:val="both"/>
        <w:rPr>
          <w:b/>
          <w:szCs w:val="20"/>
        </w:rPr>
      </w:pPr>
      <w:r w:rsidRPr="00FA3856">
        <w:rPr>
          <w:b/>
          <w:szCs w:val="20"/>
        </w:rPr>
        <w:tab/>
      </w:r>
      <w:r w:rsidRPr="00FA3856">
        <w:rPr>
          <w:b/>
          <w:szCs w:val="20"/>
        </w:rPr>
        <w:tab/>
        <w:t xml:space="preserve">   02012015; 2; RECEBIMENTO DE VENDA; 10000,00; 0; 11000,00</w:t>
      </w:r>
      <w:r w:rsidR="003E2637">
        <w:rPr>
          <w:b/>
          <w:szCs w:val="20"/>
        </w:rPr>
        <w:t>;</w:t>
      </w:r>
    </w:p>
    <w:p w:rsidR="000016E4" w:rsidRPr="00FA3856" w:rsidRDefault="000016E4" w:rsidP="000016E4">
      <w:pPr>
        <w:ind w:firstLine="708"/>
        <w:jc w:val="both"/>
        <w:rPr>
          <w:szCs w:val="20"/>
        </w:rPr>
      </w:pPr>
      <w:r w:rsidRPr="00FA3856">
        <w:rPr>
          <w:b/>
          <w:szCs w:val="20"/>
        </w:rPr>
        <w:tab/>
      </w:r>
      <w:r w:rsidRPr="00FA3856">
        <w:rPr>
          <w:b/>
          <w:szCs w:val="20"/>
        </w:rPr>
        <w:tab/>
        <w:t xml:space="preserve">   02012015; 3; PAGAMENTO DE FORNECEDORES; 0; 5000,00; 6000,00</w:t>
      </w:r>
      <w:r w:rsidR="003E2637">
        <w:rPr>
          <w:b/>
          <w:szCs w:val="20"/>
        </w:rPr>
        <w:t>;</w:t>
      </w:r>
    </w:p>
    <w:p w:rsidR="000016E4" w:rsidRPr="00FA3856" w:rsidRDefault="000016E4" w:rsidP="000016E4">
      <w:pPr>
        <w:pStyle w:val="PSDS-CorpodeTexto0"/>
        <w:jc w:val="both"/>
        <w:rPr>
          <w:rFonts w:ascii="Times New Roman" w:hAnsi="Times New Roman"/>
        </w:rPr>
      </w:pPr>
    </w:p>
    <w:p w:rsidR="000016E4" w:rsidRPr="00FA3856" w:rsidRDefault="000016E4" w:rsidP="000016E4">
      <w:pPr>
        <w:pStyle w:val="PSDS-CorpodeTexto0"/>
        <w:ind w:firstLine="708"/>
        <w:jc w:val="both"/>
        <w:rPr>
          <w:rFonts w:ascii="Times New Roman" w:hAnsi="Times New Roman"/>
          <w:b/>
        </w:rPr>
      </w:pPr>
      <w:r w:rsidRPr="00FA3856">
        <w:rPr>
          <w:rFonts w:ascii="Times New Roman" w:hAnsi="Times New Roman"/>
          <w:b/>
        </w:rPr>
        <w:t xml:space="preserve">Observação: O saldo de caixa no início do período deverá ser registrado na primeira ocorrência do registro </w:t>
      </w:r>
      <w:r w:rsidR="002B6043">
        <w:rPr>
          <w:rFonts w:ascii="Times New Roman" w:hAnsi="Times New Roman"/>
          <w:b/>
        </w:rPr>
        <w:t>Q100</w:t>
      </w:r>
      <w:r w:rsidRPr="00FA3856">
        <w:rPr>
          <w:rFonts w:ascii="Times New Roman" w:hAnsi="Times New Roman"/>
          <w:b/>
        </w:rPr>
        <w:t xml:space="preserve">. </w:t>
      </w:r>
    </w:p>
    <w:p w:rsidR="000016E4" w:rsidRPr="00FA3856" w:rsidRDefault="000016E4" w:rsidP="000016E4">
      <w:pPr>
        <w:pStyle w:val="PSDS-CorpodeTexto0"/>
        <w:ind w:left="1416"/>
        <w:jc w:val="both"/>
        <w:rPr>
          <w:rFonts w:ascii="Times New Roman" w:hAnsi="Times New Roman"/>
          <w:b/>
        </w:rPr>
      </w:pPr>
      <w:r w:rsidRPr="00FA3856">
        <w:rPr>
          <w:rFonts w:ascii="Times New Roman" w:hAnsi="Times New Roman"/>
          <w:b/>
        </w:rPr>
        <w:t xml:space="preserve">        Sugestão de </w:t>
      </w:r>
      <w:r w:rsidR="002B6043">
        <w:rPr>
          <w:rFonts w:ascii="Times New Roman" w:hAnsi="Times New Roman"/>
          <w:b/>
        </w:rPr>
        <w:t>Q100</w:t>
      </w:r>
      <w:r w:rsidRPr="00FA3856">
        <w:rPr>
          <w:rFonts w:ascii="Times New Roman" w:hAnsi="Times New Roman"/>
          <w:b/>
        </w:rPr>
        <w:t>.HIST (Histórico): SALDO ANTERIOR.</w:t>
      </w:r>
    </w:p>
    <w:p w:rsidR="003A2F43" w:rsidRDefault="003A2F43" w:rsidP="000016E4">
      <w:pPr>
        <w:pStyle w:val="PSDS-MarcadoresNivel2"/>
        <w:numPr>
          <w:ilvl w:val="0"/>
          <w:numId w:val="0"/>
        </w:numPr>
        <w:rPr>
          <w:rFonts w:ascii="Times New Roman" w:hAnsi="Times New Roman"/>
        </w:rPr>
      </w:pPr>
    </w:p>
    <w:p w:rsidR="003A2F43" w:rsidRDefault="00B35FA3" w:rsidP="003A2F43">
      <w:pPr>
        <w:pStyle w:val="PSDS-MarcadoresNivel2"/>
        <w:numPr>
          <w:ilvl w:val="0"/>
          <w:numId w:val="0"/>
        </w:numPr>
        <w:jc w:val="center"/>
        <w:rPr>
          <w:rFonts w:ascii="Times New Roman" w:hAnsi="Times New Roman"/>
        </w:rPr>
      </w:pPr>
      <w:r>
        <w:rPr>
          <w:rFonts w:ascii="Times New Roman" w:hAnsi="Times New Roman"/>
        </w:rPr>
        <w:object w:dxaOrig="13320" w:dyaOrig="4455">
          <v:shape id="_x0000_i1805" type="#_x0000_t75" style="width:715.5pt;height:216.75pt" o:ole="">
            <v:imagedata r:id="rId495" o:title=""/>
          </v:shape>
          <o:OLEObject Type="Link" ProgID="Excel.Sheet.12" ShapeID="_x0000_i1805" DrawAspect="Content" r:id="rId496" UpdateMode="Always">
            <o:LinkType>EnhancedMetaFile</o:LinkType>
            <o:LockedField>false</o:LockedField>
          </o:OLEObject>
        </w:object>
      </w:r>
    </w:p>
    <w:p w:rsidR="003A2F43" w:rsidRDefault="003A2F43" w:rsidP="000016E4">
      <w:pPr>
        <w:pStyle w:val="PSDS-MarcadoresNivel2"/>
        <w:numPr>
          <w:ilvl w:val="0"/>
          <w:numId w:val="0"/>
        </w:numPr>
        <w:rPr>
          <w:rFonts w:ascii="Times New Roman" w:hAnsi="Times New Roman"/>
        </w:rPr>
      </w:pPr>
    </w:p>
    <w:p w:rsidR="003A2F43" w:rsidRDefault="003A2F43">
      <w:pPr>
        <w:spacing w:after="200" w:line="276" w:lineRule="auto"/>
        <w:rPr>
          <w:b/>
          <w:szCs w:val="20"/>
        </w:rPr>
      </w:pPr>
      <w:r>
        <w:br w:type="page"/>
      </w:r>
    </w:p>
    <w:p w:rsidR="000016E4" w:rsidRPr="00FA3856" w:rsidRDefault="000016E4" w:rsidP="000016E4">
      <w:pPr>
        <w:pStyle w:val="PSDS-MarcadoresNivel2"/>
        <w:numPr>
          <w:ilvl w:val="0"/>
          <w:numId w:val="0"/>
        </w:numPr>
        <w:rPr>
          <w:rFonts w:ascii="Times New Roman" w:hAnsi="Times New Roman"/>
        </w:rPr>
      </w:pPr>
      <w:r w:rsidRPr="00FA3856">
        <w:rPr>
          <w:rFonts w:ascii="Times New Roman" w:hAnsi="Times New Roman"/>
        </w:rPr>
        <w:lastRenderedPageBreak/>
        <w:t>I – Regras de Validação do Registro:</w:t>
      </w:r>
    </w:p>
    <w:p w:rsidR="000016E4" w:rsidRPr="00FA3856" w:rsidRDefault="000016E4" w:rsidP="000016E4">
      <w:pPr>
        <w:pStyle w:val="PSDS-MarcadoresNivel2"/>
        <w:numPr>
          <w:ilvl w:val="0"/>
          <w:numId w:val="0"/>
        </w:numPr>
        <w:rPr>
          <w:rFonts w:ascii="Times New Roman" w:hAnsi="Times New Roman"/>
        </w:rPr>
      </w:pPr>
    </w:p>
    <w:p w:rsidR="000016E4" w:rsidRPr="00FA3856" w:rsidRDefault="000016E4" w:rsidP="000016E4">
      <w:pPr>
        <w:pStyle w:val="PSDS-MarcadoresNivel2"/>
        <w:numPr>
          <w:ilvl w:val="0"/>
          <w:numId w:val="0"/>
        </w:numPr>
        <w:ind w:firstLine="708"/>
        <w:rPr>
          <w:rFonts w:ascii="Times New Roman" w:hAnsi="Times New Roman"/>
          <w:b w:val="0"/>
        </w:rPr>
      </w:pPr>
      <w:r w:rsidRPr="00FA3856">
        <w:rPr>
          <w:rFonts w:ascii="Times New Roman" w:hAnsi="Times New Roman"/>
          <w:bCs/>
        </w:rPr>
        <w:t xml:space="preserve">REGRA_ENTRADA_SAIDA: </w:t>
      </w:r>
      <w:r w:rsidRPr="00FA3856">
        <w:rPr>
          <w:rFonts w:ascii="Times New Roman" w:hAnsi="Times New Roman"/>
          <w:b w:val="0"/>
          <w:bCs/>
        </w:rPr>
        <w:t xml:space="preserve">Somente um </w:t>
      </w:r>
      <w:r w:rsidR="001B58FE" w:rsidRPr="00FA3856">
        <w:rPr>
          <w:rFonts w:ascii="Times New Roman" w:hAnsi="Times New Roman"/>
          <w:b w:val="0"/>
          <w:bCs/>
        </w:rPr>
        <w:t>dos campos</w:t>
      </w:r>
      <w:r w:rsidRPr="00FA3856">
        <w:rPr>
          <w:rFonts w:ascii="Times New Roman" w:hAnsi="Times New Roman"/>
          <w:b w:val="0"/>
          <w:bCs/>
        </w:rPr>
        <w:t xml:space="preserve"> Q100.VL_ENTRADA ou Q100.VL_SAIDA deve estar preenchido. Se a regra não for cumprida, o sistema gera um erro.</w:t>
      </w:r>
    </w:p>
    <w:p w:rsidR="000016E4" w:rsidRPr="00FA3856" w:rsidRDefault="000016E4" w:rsidP="000016E4">
      <w:pPr>
        <w:pStyle w:val="PSDS-MarcadoresNivel2"/>
        <w:numPr>
          <w:ilvl w:val="0"/>
          <w:numId w:val="0"/>
        </w:numPr>
        <w:rPr>
          <w:rFonts w:ascii="Times New Roman" w:hAnsi="Times New Roman"/>
        </w:rPr>
      </w:pPr>
    </w:p>
    <w:p w:rsidR="000016E4" w:rsidRPr="00FA3856" w:rsidRDefault="000016E4" w:rsidP="000016E4">
      <w:pPr>
        <w:pStyle w:val="PSDS-MarcadoresNivel2"/>
        <w:numPr>
          <w:ilvl w:val="0"/>
          <w:numId w:val="0"/>
        </w:numPr>
        <w:ind w:left="708"/>
        <w:rPr>
          <w:rFonts w:ascii="Times New Roman" w:hAnsi="Times New Roman"/>
          <w:b w:val="0"/>
          <w:bCs/>
        </w:rPr>
      </w:pPr>
      <w:r w:rsidRPr="00FA3856">
        <w:rPr>
          <w:rFonts w:ascii="Times New Roman" w:hAnsi="Times New Roman"/>
          <w:bCs/>
        </w:rPr>
        <w:t xml:space="preserve">REGRA_SALDO_LC: </w:t>
      </w:r>
      <w:r w:rsidRPr="00FA3856">
        <w:rPr>
          <w:rFonts w:ascii="Times New Roman" w:hAnsi="Times New Roman"/>
          <w:b w:val="0"/>
          <w:bCs/>
        </w:rPr>
        <w:t>O primeiro saldo final (Q100.SLD_FIN) é igual ao valor d</w:t>
      </w:r>
      <w:r w:rsidR="001B58FE">
        <w:rPr>
          <w:rFonts w:ascii="Times New Roman" w:hAnsi="Times New Roman"/>
          <w:b w:val="0"/>
          <w:bCs/>
        </w:rPr>
        <w:t>a entrada (Q100.VL_ENTRADA) meno</w:t>
      </w:r>
      <w:r w:rsidRPr="00FA3856">
        <w:rPr>
          <w:rFonts w:ascii="Times New Roman" w:hAnsi="Times New Roman"/>
          <w:b w:val="0"/>
          <w:bCs/>
        </w:rPr>
        <w:t>s o valor de saída (Q100.VL_SAIDA), mais o saldo final da linha anterior (a primeira linha não soma a linha final anterior).</w:t>
      </w:r>
      <w:r w:rsidR="00B57FD4">
        <w:rPr>
          <w:rFonts w:ascii="Times New Roman" w:hAnsi="Times New Roman"/>
          <w:b w:val="0"/>
          <w:bCs/>
        </w:rPr>
        <w:t xml:space="preserve"> </w:t>
      </w:r>
      <w:r w:rsidR="00B57FD4" w:rsidRPr="00FA3856">
        <w:rPr>
          <w:rFonts w:ascii="Times New Roman" w:hAnsi="Times New Roman"/>
          <w:b w:val="0"/>
          <w:bCs/>
        </w:rPr>
        <w:t>Se a regra não for cumprida, o sistema gera um erro.</w:t>
      </w:r>
    </w:p>
    <w:p w:rsidR="000016E4" w:rsidRDefault="000016E4" w:rsidP="000016E4">
      <w:pPr>
        <w:pStyle w:val="PSDS-MarcadoresNivel2"/>
        <w:numPr>
          <w:ilvl w:val="0"/>
          <w:numId w:val="0"/>
        </w:numPr>
        <w:ind w:left="708"/>
        <w:rPr>
          <w:rFonts w:ascii="Times New Roman" w:hAnsi="Times New Roman"/>
        </w:rPr>
      </w:pPr>
    </w:p>
    <w:p w:rsidR="00B57FD4" w:rsidRPr="00B57FD4" w:rsidRDefault="00B57FD4" w:rsidP="00B57FD4">
      <w:pPr>
        <w:pStyle w:val="PSDS-MarcadoresNivel2"/>
        <w:numPr>
          <w:ilvl w:val="0"/>
          <w:numId w:val="0"/>
        </w:numPr>
        <w:ind w:left="708"/>
        <w:rPr>
          <w:rFonts w:ascii="Times New Roman" w:hAnsi="Times New Roman"/>
          <w:b w:val="0"/>
          <w:bCs/>
        </w:rPr>
      </w:pPr>
      <w:r w:rsidRPr="00B57FD4">
        <w:rPr>
          <w:rFonts w:ascii="Times New Roman" w:hAnsi="Times New Roman"/>
          <w:bCs/>
        </w:rPr>
        <w:t xml:space="preserve">REGRA_SALDO_LC_FOLGA: </w:t>
      </w:r>
      <w:r>
        <w:rPr>
          <w:rFonts w:ascii="Times New Roman" w:hAnsi="Times New Roman"/>
          <w:b w:val="0"/>
          <w:bCs/>
        </w:rPr>
        <w:t>O valor absoluto do resultado s</w:t>
      </w:r>
      <w:r w:rsidRPr="00B57FD4">
        <w:rPr>
          <w:rFonts w:ascii="Times New Roman" w:hAnsi="Times New Roman"/>
          <w:b w:val="0"/>
          <w:bCs/>
        </w:rPr>
        <w:t>aldo final da últi</w:t>
      </w:r>
      <w:r>
        <w:rPr>
          <w:rFonts w:ascii="Times New Roman" w:hAnsi="Times New Roman"/>
          <w:b w:val="0"/>
          <w:bCs/>
        </w:rPr>
        <w:t>ma linha menos o somatório das entradas mais o somatório das saídas</w:t>
      </w:r>
      <w:r w:rsidRPr="00B57FD4">
        <w:rPr>
          <w:rFonts w:ascii="Times New Roman" w:hAnsi="Times New Roman"/>
          <w:b w:val="0"/>
          <w:bCs/>
        </w:rPr>
        <w:t xml:space="preserve"> deve ser menor ou igual 1,00</w:t>
      </w:r>
      <w:r>
        <w:rPr>
          <w:rFonts w:ascii="Times New Roman" w:hAnsi="Times New Roman"/>
          <w:b w:val="0"/>
          <w:bCs/>
        </w:rPr>
        <w:t xml:space="preserve">. </w:t>
      </w:r>
      <w:r w:rsidRPr="00FA3856">
        <w:rPr>
          <w:rFonts w:ascii="Times New Roman" w:hAnsi="Times New Roman"/>
          <w:b w:val="0"/>
          <w:bCs/>
        </w:rPr>
        <w:t>Se a regra não for cumprida, o sistema gera um erro.</w:t>
      </w:r>
      <w:r w:rsidRPr="00B57FD4">
        <w:rPr>
          <w:rFonts w:ascii="Times New Roman" w:hAnsi="Times New Roman"/>
          <w:b w:val="0"/>
          <w:bCs/>
        </w:rPr>
        <w:br/>
      </w:r>
    </w:p>
    <w:p w:rsidR="000016E4" w:rsidRPr="00FA3856" w:rsidRDefault="000016E4" w:rsidP="000016E4">
      <w:pPr>
        <w:pStyle w:val="PSDS-MarcadoresNivel2"/>
        <w:numPr>
          <w:ilvl w:val="0"/>
          <w:numId w:val="0"/>
        </w:numPr>
        <w:rPr>
          <w:rFonts w:ascii="Times New Roman" w:hAnsi="Times New Roman"/>
        </w:rPr>
      </w:pPr>
      <w:r w:rsidRPr="00FA3856">
        <w:rPr>
          <w:rFonts w:ascii="Times New Roman" w:hAnsi="Times New Roman"/>
        </w:rPr>
        <w:t>II – Regras de Validação de Campos:</w:t>
      </w:r>
    </w:p>
    <w:p w:rsidR="000016E4" w:rsidRPr="00FA3856" w:rsidRDefault="000016E4" w:rsidP="000016E4">
      <w:pPr>
        <w:pStyle w:val="PSDS-MarcadoresNivel2"/>
        <w:numPr>
          <w:ilvl w:val="0"/>
          <w:numId w:val="0"/>
        </w:numPr>
        <w:ind w:left="708"/>
        <w:rPr>
          <w:rFonts w:ascii="Times New Roman" w:hAnsi="Times New Roman"/>
        </w:rPr>
      </w:pPr>
    </w:p>
    <w:tbl>
      <w:tblPr>
        <w:tblW w:w="14670"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527"/>
        <w:gridCol w:w="1706"/>
        <w:gridCol w:w="11720"/>
        <w:gridCol w:w="717"/>
      </w:tblGrid>
      <w:tr w:rsidR="000016E4" w:rsidRPr="00FA3856" w:rsidTr="007F3BBF">
        <w:trPr>
          <w:jc w:val="center"/>
        </w:trPr>
        <w:tc>
          <w:tcPr>
            <w:tcW w:w="527" w:type="dxa"/>
            <w:tcBorders>
              <w:top w:val="single" w:sz="6" w:space="0" w:color="auto"/>
              <w:left w:val="single" w:sz="6" w:space="0" w:color="auto"/>
              <w:bottom w:val="single" w:sz="6" w:space="0" w:color="auto"/>
              <w:right w:val="single" w:sz="6" w:space="0" w:color="auto"/>
            </w:tcBorders>
            <w:shd w:val="pct10" w:color="auto" w:fill="FFFFFF"/>
            <w:vAlign w:val="center"/>
          </w:tcPr>
          <w:p w:rsidR="000016E4" w:rsidRPr="00FA3856" w:rsidRDefault="000016E4" w:rsidP="007F3BBF">
            <w:pPr>
              <w:pStyle w:val="PSDS-CorpodeTexto0"/>
              <w:jc w:val="center"/>
              <w:rPr>
                <w:rFonts w:ascii="Times New Roman" w:hAnsi="Times New Roman"/>
                <w:b/>
                <w:bCs/>
              </w:rPr>
            </w:pPr>
            <w:r w:rsidRPr="00FA3856">
              <w:rPr>
                <w:rFonts w:ascii="Times New Roman" w:hAnsi="Times New Roman"/>
                <w:b/>
                <w:bCs/>
              </w:rPr>
              <w:t>Nº</w:t>
            </w:r>
          </w:p>
        </w:tc>
        <w:tc>
          <w:tcPr>
            <w:tcW w:w="1706" w:type="dxa"/>
            <w:tcBorders>
              <w:top w:val="single" w:sz="6" w:space="0" w:color="auto"/>
              <w:left w:val="single" w:sz="6" w:space="0" w:color="auto"/>
              <w:bottom w:val="single" w:sz="6" w:space="0" w:color="auto"/>
              <w:right w:val="single" w:sz="6" w:space="0" w:color="auto"/>
            </w:tcBorders>
            <w:shd w:val="pct10" w:color="auto" w:fill="FFFFFF"/>
            <w:vAlign w:val="center"/>
          </w:tcPr>
          <w:p w:rsidR="000016E4" w:rsidRPr="00FA3856" w:rsidRDefault="000016E4" w:rsidP="007F3BBF">
            <w:pPr>
              <w:pStyle w:val="PSDS-CorpodeTexto0"/>
              <w:jc w:val="center"/>
              <w:rPr>
                <w:rFonts w:ascii="Times New Roman" w:hAnsi="Times New Roman"/>
                <w:b/>
                <w:bCs/>
              </w:rPr>
            </w:pPr>
            <w:r w:rsidRPr="00FA3856">
              <w:rPr>
                <w:rFonts w:ascii="Times New Roman" w:hAnsi="Times New Roman"/>
                <w:b/>
                <w:bCs/>
              </w:rPr>
              <w:t>Campo</w:t>
            </w:r>
          </w:p>
        </w:tc>
        <w:tc>
          <w:tcPr>
            <w:tcW w:w="11720" w:type="dxa"/>
            <w:tcBorders>
              <w:top w:val="single" w:sz="6" w:space="0" w:color="auto"/>
              <w:left w:val="single" w:sz="6" w:space="0" w:color="auto"/>
              <w:bottom w:val="single" w:sz="6" w:space="0" w:color="auto"/>
              <w:right w:val="single" w:sz="6" w:space="0" w:color="auto"/>
            </w:tcBorders>
            <w:shd w:val="pct10" w:color="auto" w:fill="FFFFFF"/>
          </w:tcPr>
          <w:p w:rsidR="000016E4" w:rsidRPr="00FA3856" w:rsidRDefault="000016E4" w:rsidP="007F3BBF">
            <w:pPr>
              <w:pStyle w:val="PSDS-CorpodeTexto0"/>
              <w:jc w:val="center"/>
              <w:rPr>
                <w:rFonts w:ascii="Times New Roman" w:hAnsi="Times New Roman"/>
                <w:b/>
                <w:bCs/>
              </w:rPr>
            </w:pPr>
            <w:r w:rsidRPr="00FA3856">
              <w:rPr>
                <w:rFonts w:ascii="Times New Roman" w:hAnsi="Times New Roman"/>
                <w:b/>
                <w:bCs/>
              </w:rPr>
              <w:t>Regras de Validação do Campo</w:t>
            </w:r>
          </w:p>
        </w:tc>
        <w:tc>
          <w:tcPr>
            <w:tcW w:w="717" w:type="dxa"/>
            <w:tcBorders>
              <w:top w:val="single" w:sz="6" w:space="0" w:color="auto"/>
              <w:left w:val="single" w:sz="6" w:space="0" w:color="auto"/>
              <w:bottom w:val="single" w:sz="6" w:space="0" w:color="auto"/>
              <w:right w:val="single" w:sz="6" w:space="0" w:color="auto"/>
            </w:tcBorders>
            <w:shd w:val="pct10" w:color="auto" w:fill="FFFFFF"/>
            <w:vAlign w:val="center"/>
          </w:tcPr>
          <w:p w:rsidR="000016E4" w:rsidRPr="00FA3856" w:rsidRDefault="000016E4" w:rsidP="007F3BBF">
            <w:pPr>
              <w:pStyle w:val="PSDS-CorpodeTexto0"/>
              <w:jc w:val="center"/>
              <w:rPr>
                <w:rFonts w:ascii="Times New Roman" w:hAnsi="Times New Roman"/>
                <w:b/>
                <w:bCs/>
              </w:rPr>
            </w:pPr>
            <w:r w:rsidRPr="00FA3856">
              <w:rPr>
                <w:rFonts w:ascii="Times New Roman" w:hAnsi="Times New Roman"/>
                <w:b/>
                <w:bCs/>
              </w:rPr>
              <w:t>Tipo</w:t>
            </w:r>
          </w:p>
        </w:tc>
      </w:tr>
      <w:tr w:rsidR="000016E4" w:rsidRPr="00FA3856" w:rsidTr="007F3BBF">
        <w:trPr>
          <w:jc w:val="center"/>
        </w:trPr>
        <w:tc>
          <w:tcPr>
            <w:tcW w:w="527" w:type="dxa"/>
            <w:tcBorders>
              <w:top w:val="single" w:sz="6" w:space="0" w:color="auto"/>
              <w:left w:val="single" w:sz="6" w:space="0" w:color="auto"/>
              <w:bottom w:val="single" w:sz="6" w:space="0" w:color="auto"/>
              <w:right w:val="single" w:sz="6" w:space="0" w:color="auto"/>
            </w:tcBorders>
          </w:tcPr>
          <w:p w:rsidR="000016E4" w:rsidRPr="00FA3856" w:rsidRDefault="000016E4" w:rsidP="007F3BBF">
            <w:pPr>
              <w:jc w:val="center"/>
              <w:rPr>
                <w:b/>
                <w:szCs w:val="20"/>
              </w:rPr>
            </w:pPr>
            <w:r w:rsidRPr="00FA3856">
              <w:rPr>
                <w:b/>
                <w:szCs w:val="20"/>
              </w:rPr>
              <w:t>2</w:t>
            </w:r>
          </w:p>
        </w:tc>
        <w:tc>
          <w:tcPr>
            <w:tcW w:w="1706" w:type="dxa"/>
            <w:tcBorders>
              <w:top w:val="single" w:sz="6" w:space="0" w:color="auto"/>
              <w:left w:val="single" w:sz="6" w:space="0" w:color="auto"/>
              <w:bottom w:val="single" w:sz="6" w:space="0" w:color="auto"/>
              <w:right w:val="single" w:sz="6" w:space="0" w:color="auto"/>
            </w:tcBorders>
          </w:tcPr>
          <w:p w:rsidR="000016E4" w:rsidRPr="00FA3856" w:rsidRDefault="000016E4" w:rsidP="007F3BBF">
            <w:pPr>
              <w:jc w:val="both"/>
              <w:rPr>
                <w:szCs w:val="20"/>
              </w:rPr>
            </w:pPr>
            <w:r w:rsidRPr="00FA3856">
              <w:rPr>
                <w:szCs w:val="20"/>
              </w:rPr>
              <w:t>DATA</w:t>
            </w:r>
          </w:p>
        </w:tc>
        <w:tc>
          <w:tcPr>
            <w:tcW w:w="11720" w:type="dxa"/>
            <w:tcBorders>
              <w:top w:val="single" w:sz="6" w:space="0" w:color="auto"/>
              <w:left w:val="single" w:sz="6" w:space="0" w:color="auto"/>
              <w:bottom w:val="single" w:sz="6" w:space="0" w:color="auto"/>
              <w:right w:val="single" w:sz="6" w:space="0" w:color="auto"/>
            </w:tcBorders>
          </w:tcPr>
          <w:p w:rsidR="000016E4" w:rsidRPr="00FA3856" w:rsidRDefault="000016E4" w:rsidP="007F3BBF">
            <w:pPr>
              <w:pStyle w:val="Corpodetexto"/>
              <w:rPr>
                <w:rFonts w:ascii="Times New Roman" w:hAnsi="Times New Roman"/>
                <w:szCs w:val="20"/>
              </w:rPr>
            </w:pPr>
            <w:r w:rsidRPr="00FA3856">
              <w:rPr>
                <w:rFonts w:ascii="Times New Roman" w:hAnsi="Times New Roman"/>
                <w:b/>
                <w:bCs/>
                <w:szCs w:val="20"/>
              </w:rPr>
              <w:t>REGRA_MENOR_IGUAL_DT_FIN</w:t>
            </w:r>
            <w:r w:rsidRPr="00FA3856">
              <w:rPr>
                <w:rFonts w:ascii="Times New Roman" w:hAnsi="Times New Roman"/>
                <w:szCs w:val="20"/>
              </w:rPr>
              <w:t>: Verifica se Q100.DATA é menor ou igual a 0000.DT_FIN.</w:t>
            </w:r>
          </w:p>
          <w:p w:rsidR="000016E4" w:rsidRPr="00FA3856" w:rsidRDefault="000016E4" w:rsidP="007F3BBF">
            <w:pPr>
              <w:pStyle w:val="Corpodetexto"/>
              <w:rPr>
                <w:rFonts w:ascii="Times New Roman" w:hAnsi="Times New Roman"/>
                <w:szCs w:val="20"/>
              </w:rPr>
            </w:pPr>
          </w:p>
          <w:p w:rsidR="000016E4" w:rsidRPr="00FA3856" w:rsidRDefault="000016E4" w:rsidP="007F3BBF">
            <w:pPr>
              <w:pStyle w:val="Corpodetexto"/>
              <w:rPr>
                <w:rFonts w:ascii="Times New Roman" w:hAnsi="Times New Roman"/>
                <w:b/>
                <w:bCs/>
                <w:szCs w:val="20"/>
              </w:rPr>
            </w:pPr>
            <w:r w:rsidRPr="00FA3856">
              <w:rPr>
                <w:rFonts w:ascii="Times New Roman" w:hAnsi="Times New Roman"/>
                <w:b/>
                <w:bCs/>
                <w:szCs w:val="20"/>
              </w:rPr>
              <w:t xml:space="preserve">REGRA_MAIOR_IGUAL_DT_INI: </w:t>
            </w:r>
            <w:r w:rsidRPr="00FA3856">
              <w:rPr>
                <w:rFonts w:ascii="Times New Roman" w:hAnsi="Times New Roman"/>
                <w:szCs w:val="20"/>
              </w:rPr>
              <w:t>Verifica se Q100.DATA é maior ou igual a 0000.DT_INI.</w:t>
            </w:r>
          </w:p>
        </w:tc>
        <w:tc>
          <w:tcPr>
            <w:tcW w:w="717" w:type="dxa"/>
            <w:tcBorders>
              <w:top w:val="single" w:sz="6" w:space="0" w:color="auto"/>
              <w:left w:val="single" w:sz="6" w:space="0" w:color="auto"/>
              <w:bottom w:val="single" w:sz="6" w:space="0" w:color="auto"/>
              <w:right w:val="single" w:sz="6" w:space="0" w:color="auto"/>
            </w:tcBorders>
          </w:tcPr>
          <w:p w:rsidR="000016E4" w:rsidRPr="00FA3856" w:rsidRDefault="000016E4" w:rsidP="007F3BBF">
            <w:pPr>
              <w:widowControl w:val="0"/>
              <w:autoSpaceDE w:val="0"/>
              <w:autoSpaceDN w:val="0"/>
              <w:adjustRightInd w:val="0"/>
              <w:jc w:val="both"/>
              <w:rPr>
                <w:szCs w:val="20"/>
              </w:rPr>
            </w:pPr>
            <w:r w:rsidRPr="00FA3856">
              <w:rPr>
                <w:szCs w:val="20"/>
              </w:rPr>
              <w:t>Erro</w:t>
            </w:r>
          </w:p>
          <w:p w:rsidR="000016E4" w:rsidRPr="00FA3856" w:rsidRDefault="000016E4" w:rsidP="007F3BBF">
            <w:pPr>
              <w:widowControl w:val="0"/>
              <w:autoSpaceDE w:val="0"/>
              <w:autoSpaceDN w:val="0"/>
              <w:adjustRightInd w:val="0"/>
              <w:jc w:val="both"/>
              <w:rPr>
                <w:szCs w:val="20"/>
              </w:rPr>
            </w:pPr>
          </w:p>
          <w:p w:rsidR="000016E4" w:rsidRPr="00FA3856" w:rsidRDefault="000016E4" w:rsidP="007F3BBF">
            <w:pPr>
              <w:widowControl w:val="0"/>
              <w:autoSpaceDE w:val="0"/>
              <w:autoSpaceDN w:val="0"/>
              <w:adjustRightInd w:val="0"/>
              <w:jc w:val="both"/>
              <w:rPr>
                <w:szCs w:val="20"/>
              </w:rPr>
            </w:pPr>
            <w:r w:rsidRPr="00FA3856">
              <w:rPr>
                <w:szCs w:val="20"/>
              </w:rPr>
              <w:t>Erro</w:t>
            </w:r>
          </w:p>
        </w:tc>
      </w:tr>
    </w:tbl>
    <w:p w:rsidR="000016E4" w:rsidRPr="00FA3856" w:rsidRDefault="000016E4" w:rsidP="000016E4">
      <w:pPr>
        <w:pStyle w:val="PSDS-MarcadoresNivel2"/>
        <w:numPr>
          <w:ilvl w:val="0"/>
          <w:numId w:val="0"/>
        </w:numPr>
        <w:rPr>
          <w:rFonts w:ascii="Times New Roman" w:hAnsi="Times New Roman"/>
        </w:rPr>
      </w:pPr>
    </w:p>
    <w:p w:rsidR="003A2F43" w:rsidRDefault="000016E4" w:rsidP="000016E4">
      <w:pPr>
        <w:pStyle w:val="Corpodetexto"/>
        <w:rPr>
          <w:rFonts w:ascii="Times New Roman" w:hAnsi="Times New Roman"/>
          <w:b/>
          <w:color w:val="002060"/>
          <w:szCs w:val="20"/>
        </w:rPr>
      </w:pPr>
      <w:r w:rsidRPr="00FA3856">
        <w:rPr>
          <w:rFonts w:ascii="Times New Roman" w:hAnsi="Times New Roman"/>
          <w:b/>
          <w:color w:val="002060"/>
          <w:szCs w:val="20"/>
        </w:rPr>
        <w:t xml:space="preserve">Exemplo de Preenchimento: </w:t>
      </w:r>
    </w:p>
    <w:p w:rsidR="003A2F43" w:rsidRDefault="003A2F43" w:rsidP="000016E4">
      <w:pPr>
        <w:pStyle w:val="Corpodetexto"/>
        <w:rPr>
          <w:rFonts w:ascii="Times New Roman" w:hAnsi="Times New Roman"/>
          <w:b/>
          <w:color w:val="002060"/>
          <w:szCs w:val="20"/>
        </w:rPr>
      </w:pPr>
    </w:p>
    <w:p w:rsidR="000016E4" w:rsidRPr="00FA3856" w:rsidRDefault="000016E4" w:rsidP="000016E4">
      <w:pPr>
        <w:pStyle w:val="Corpodetexto"/>
        <w:rPr>
          <w:rFonts w:ascii="Times New Roman" w:hAnsi="Times New Roman"/>
          <w:b/>
          <w:color w:val="002060"/>
          <w:szCs w:val="20"/>
        </w:rPr>
      </w:pPr>
      <w:r w:rsidRPr="00FA3856">
        <w:rPr>
          <w:rFonts w:ascii="Times New Roman" w:hAnsi="Times New Roman"/>
          <w:b/>
          <w:color w:val="002060"/>
          <w:szCs w:val="20"/>
        </w:rPr>
        <w:t>|Q100|01092015|123|HISTORICO|1000,00|0,00|1000,00|</w:t>
      </w:r>
    </w:p>
    <w:p w:rsidR="000016E4" w:rsidRPr="00FA3856" w:rsidRDefault="000016E4" w:rsidP="000016E4">
      <w:pPr>
        <w:pStyle w:val="Corpodetexto"/>
        <w:ind w:firstLine="708"/>
        <w:rPr>
          <w:rFonts w:ascii="Times New Roman" w:hAnsi="Times New Roman"/>
          <w:color w:val="002060"/>
          <w:szCs w:val="20"/>
        </w:rPr>
      </w:pPr>
      <w:r w:rsidRPr="00FA3856">
        <w:rPr>
          <w:rFonts w:ascii="Times New Roman" w:hAnsi="Times New Roman"/>
          <w:color w:val="002060"/>
          <w:szCs w:val="20"/>
        </w:rPr>
        <w:t>|Q100|: Identificação do tipo do registro.</w:t>
      </w:r>
    </w:p>
    <w:p w:rsidR="000016E4" w:rsidRPr="00FA3856" w:rsidRDefault="000016E4" w:rsidP="000016E4">
      <w:pPr>
        <w:pStyle w:val="Corpodetexto"/>
        <w:ind w:firstLine="708"/>
        <w:rPr>
          <w:rFonts w:ascii="Times New Roman" w:hAnsi="Times New Roman"/>
          <w:color w:val="002060"/>
          <w:szCs w:val="20"/>
        </w:rPr>
      </w:pPr>
      <w:r w:rsidRPr="00FA3856">
        <w:rPr>
          <w:rFonts w:ascii="Times New Roman" w:hAnsi="Times New Roman"/>
          <w:color w:val="002060"/>
          <w:szCs w:val="20"/>
        </w:rPr>
        <w:t>|01092015|: Data de início do período (01/09/2015).</w:t>
      </w:r>
    </w:p>
    <w:p w:rsidR="000016E4" w:rsidRPr="00FA3856" w:rsidRDefault="000016E4" w:rsidP="000016E4">
      <w:pPr>
        <w:pStyle w:val="Corpodetexto"/>
        <w:ind w:firstLine="708"/>
        <w:rPr>
          <w:rFonts w:ascii="Times New Roman" w:hAnsi="Times New Roman"/>
          <w:color w:val="002060"/>
          <w:szCs w:val="20"/>
        </w:rPr>
      </w:pPr>
      <w:r w:rsidRPr="00FA3856">
        <w:rPr>
          <w:rFonts w:ascii="Times New Roman" w:hAnsi="Times New Roman"/>
          <w:color w:val="002060"/>
          <w:szCs w:val="20"/>
        </w:rPr>
        <w:t>|123|: Número do documento (123).</w:t>
      </w:r>
    </w:p>
    <w:p w:rsidR="000016E4" w:rsidRPr="00FA3856" w:rsidRDefault="000016E4" w:rsidP="000016E4">
      <w:pPr>
        <w:pStyle w:val="Corpodetexto"/>
        <w:ind w:firstLine="708"/>
        <w:rPr>
          <w:rFonts w:ascii="Times New Roman" w:hAnsi="Times New Roman"/>
          <w:color w:val="002060"/>
          <w:szCs w:val="20"/>
        </w:rPr>
      </w:pPr>
      <w:r w:rsidRPr="00FA3856">
        <w:rPr>
          <w:rFonts w:ascii="Times New Roman" w:hAnsi="Times New Roman"/>
          <w:color w:val="002060"/>
          <w:szCs w:val="20"/>
        </w:rPr>
        <w:t>|HISTORICO|: Histórico.</w:t>
      </w:r>
    </w:p>
    <w:p w:rsidR="000016E4" w:rsidRPr="00FA3856" w:rsidRDefault="000016E4" w:rsidP="000016E4">
      <w:pPr>
        <w:pStyle w:val="Corpodetexto"/>
        <w:ind w:firstLine="708"/>
        <w:rPr>
          <w:rFonts w:ascii="Times New Roman" w:hAnsi="Times New Roman"/>
          <w:color w:val="002060"/>
          <w:szCs w:val="20"/>
        </w:rPr>
      </w:pPr>
      <w:r w:rsidRPr="00FA3856">
        <w:rPr>
          <w:rFonts w:ascii="Times New Roman" w:hAnsi="Times New Roman"/>
          <w:color w:val="002060"/>
          <w:szCs w:val="20"/>
        </w:rPr>
        <w:t>|1000,00|: Valor de entrada (R$ 1.000,00).</w:t>
      </w:r>
    </w:p>
    <w:p w:rsidR="000016E4" w:rsidRPr="00FA3856" w:rsidRDefault="000016E4" w:rsidP="000016E4">
      <w:pPr>
        <w:pStyle w:val="Corpodetexto"/>
        <w:ind w:firstLine="708"/>
        <w:rPr>
          <w:rFonts w:ascii="Times New Roman" w:hAnsi="Times New Roman"/>
          <w:color w:val="002060"/>
          <w:szCs w:val="20"/>
        </w:rPr>
      </w:pPr>
      <w:r w:rsidRPr="00FA3856">
        <w:rPr>
          <w:rFonts w:ascii="Times New Roman" w:hAnsi="Times New Roman"/>
          <w:color w:val="002060"/>
          <w:szCs w:val="20"/>
        </w:rPr>
        <w:t>|0,00|: Valor de saída (R$ 0,00).</w:t>
      </w:r>
    </w:p>
    <w:p w:rsidR="000016E4" w:rsidRPr="00FA3856" w:rsidRDefault="000016E4" w:rsidP="000016E4">
      <w:pPr>
        <w:pStyle w:val="Corpodetexto"/>
        <w:ind w:firstLine="708"/>
        <w:rPr>
          <w:rFonts w:ascii="Times New Roman" w:hAnsi="Times New Roman"/>
          <w:color w:val="002060"/>
          <w:szCs w:val="20"/>
        </w:rPr>
      </w:pPr>
      <w:r w:rsidRPr="00FA3856">
        <w:rPr>
          <w:rFonts w:ascii="Times New Roman" w:hAnsi="Times New Roman"/>
          <w:color w:val="002060"/>
          <w:szCs w:val="20"/>
        </w:rPr>
        <w:t>|1000,00|: Saldo (R$ 1.000,00).</w:t>
      </w:r>
    </w:p>
    <w:p w:rsidR="000016E4" w:rsidRPr="00FA3856" w:rsidRDefault="000016E4" w:rsidP="000016E4">
      <w:pPr>
        <w:pStyle w:val="Corpodetexto"/>
        <w:ind w:firstLine="708"/>
        <w:rPr>
          <w:rFonts w:ascii="Times New Roman" w:hAnsi="Times New Roman"/>
          <w:color w:val="002060"/>
          <w:szCs w:val="20"/>
        </w:rPr>
      </w:pPr>
    </w:p>
    <w:p w:rsidR="000016E4" w:rsidRPr="00FA3856" w:rsidRDefault="000016E4">
      <w:pPr>
        <w:spacing w:after="200" w:line="276" w:lineRule="auto"/>
        <w:rPr>
          <w:b/>
          <w:bCs/>
          <w:color w:val="0000FF"/>
          <w:szCs w:val="20"/>
        </w:rPr>
      </w:pPr>
      <w:r w:rsidRPr="00FA3856">
        <w:rPr>
          <w:color w:val="0000FF"/>
          <w:szCs w:val="20"/>
        </w:rPr>
        <w:br w:type="page"/>
      </w:r>
    </w:p>
    <w:p w:rsidR="000016E4" w:rsidRPr="00FA3856" w:rsidRDefault="000016E4" w:rsidP="00867F54">
      <w:pPr>
        <w:pStyle w:val="Ttulo4"/>
      </w:pPr>
      <w:bookmarkStart w:id="313" w:name="_Toc479713767"/>
      <w:r w:rsidRPr="00FA3856">
        <w:lastRenderedPageBreak/>
        <w:t>Registro Q990: Encerramento do Bloco Q</w:t>
      </w:r>
      <w:bookmarkEnd w:id="313"/>
    </w:p>
    <w:p w:rsidR="000016E4" w:rsidRDefault="000016E4" w:rsidP="000016E4">
      <w:pPr>
        <w:pStyle w:val="Corpodetexto"/>
        <w:rPr>
          <w:rFonts w:ascii="Times New Roman" w:hAnsi="Times New Roman"/>
          <w:b/>
          <w:color w:val="002060"/>
          <w:szCs w:val="20"/>
        </w:rPr>
      </w:pPr>
    </w:p>
    <w:p w:rsidR="003A2F43" w:rsidRPr="00FA3856" w:rsidRDefault="00B35FA3" w:rsidP="003A2F43">
      <w:pPr>
        <w:pStyle w:val="Corpodetexto"/>
        <w:jc w:val="center"/>
        <w:rPr>
          <w:rFonts w:ascii="Times New Roman" w:hAnsi="Times New Roman"/>
          <w:b/>
          <w:color w:val="002060"/>
          <w:szCs w:val="20"/>
        </w:rPr>
      </w:pPr>
      <w:r>
        <w:rPr>
          <w:rFonts w:ascii="Times New Roman" w:hAnsi="Times New Roman"/>
          <w:b/>
          <w:color w:val="002060"/>
          <w:szCs w:val="20"/>
        </w:rPr>
        <w:object w:dxaOrig="14250" w:dyaOrig="2175">
          <v:shape id="_x0000_i1807" type="#_x0000_t75" style="width:761.25pt;height:104.25pt" o:ole="">
            <v:imagedata r:id="rId497" o:title=""/>
          </v:shape>
          <o:OLEObject Type="Link" ProgID="Excel.Sheet.12" ShapeID="_x0000_i1807" DrawAspect="Content" r:id="rId498" UpdateMode="Always">
            <o:LinkType>EnhancedMetaFile</o:LinkType>
            <o:LockedField>false</o:LockedField>
          </o:OLEObject>
        </w:object>
      </w:r>
    </w:p>
    <w:p w:rsidR="003A2F43" w:rsidRDefault="003A2F43" w:rsidP="000016E4">
      <w:pPr>
        <w:pStyle w:val="Corpodetexto"/>
        <w:rPr>
          <w:rFonts w:ascii="Times New Roman" w:hAnsi="Times New Roman"/>
          <w:b/>
          <w:color w:val="002060"/>
          <w:szCs w:val="20"/>
        </w:rPr>
      </w:pPr>
    </w:p>
    <w:p w:rsidR="003A2F43" w:rsidRDefault="000016E4" w:rsidP="000016E4">
      <w:pPr>
        <w:pStyle w:val="Corpodetexto"/>
        <w:rPr>
          <w:rFonts w:ascii="Times New Roman" w:hAnsi="Times New Roman"/>
          <w:b/>
          <w:color w:val="002060"/>
          <w:szCs w:val="20"/>
        </w:rPr>
      </w:pPr>
      <w:r w:rsidRPr="00FA3856">
        <w:rPr>
          <w:rFonts w:ascii="Times New Roman" w:hAnsi="Times New Roman"/>
          <w:b/>
          <w:color w:val="002060"/>
          <w:szCs w:val="20"/>
        </w:rPr>
        <w:t xml:space="preserve">Exemplo de Preenchimento: </w:t>
      </w:r>
    </w:p>
    <w:p w:rsidR="003A2F43" w:rsidRDefault="003A2F43" w:rsidP="000016E4">
      <w:pPr>
        <w:pStyle w:val="Corpodetexto"/>
        <w:rPr>
          <w:rFonts w:ascii="Times New Roman" w:hAnsi="Times New Roman"/>
          <w:b/>
          <w:color w:val="002060"/>
          <w:szCs w:val="20"/>
        </w:rPr>
      </w:pPr>
    </w:p>
    <w:p w:rsidR="000016E4" w:rsidRPr="00FA3856" w:rsidRDefault="000016E4" w:rsidP="000016E4">
      <w:pPr>
        <w:pStyle w:val="Corpodetexto"/>
        <w:rPr>
          <w:rFonts w:ascii="Times New Roman" w:hAnsi="Times New Roman"/>
          <w:b/>
          <w:color w:val="002060"/>
          <w:szCs w:val="20"/>
        </w:rPr>
      </w:pPr>
      <w:r w:rsidRPr="00FA3856">
        <w:rPr>
          <w:rFonts w:ascii="Times New Roman" w:hAnsi="Times New Roman"/>
          <w:b/>
          <w:color w:val="002060"/>
          <w:szCs w:val="20"/>
        </w:rPr>
        <w:t>|Q990|1000|</w:t>
      </w:r>
    </w:p>
    <w:p w:rsidR="000016E4" w:rsidRPr="00FA3856" w:rsidRDefault="000016E4" w:rsidP="000016E4">
      <w:pPr>
        <w:pStyle w:val="Corpodetexto"/>
        <w:ind w:firstLine="708"/>
        <w:rPr>
          <w:rFonts w:ascii="Times New Roman" w:hAnsi="Times New Roman"/>
          <w:color w:val="002060"/>
          <w:szCs w:val="20"/>
        </w:rPr>
      </w:pPr>
      <w:r w:rsidRPr="00FA3856">
        <w:rPr>
          <w:rFonts w:ascii="Times New Roman" w:hAnsi="Times New Roman"/>
          <w:color w:val="002060"/>
          <w:szCs w:val="20"/>
        </w:rPr>
        <w:t>|Q990|: Identificação do tipo do registro.</w:t>
      </w:r>
    </w:p>
    <w:p w:rsidR="000016E4" w:rsidRPr="00FA3856" w:rsidRDefault="000016E4" w:rsidP="000016E4">
      <w:pPr>
        <w:pStyle w:val="Corpodetexto"/>
        <w:ind w:firstLine="708"/>
        <w:rPr>
          <w:rFonts w:ascii="Times New Roman" w:hAnsi="Times New Roman"/>
          <w:color w:val="002060"/>
          <w:szCs w:val="20"/>
        </w:rPr>
      </w:pPr>
      <w:r w:rsidRPr="00FA3856">
        <w:rPr>
          <w:rFonts w:ascii="Times New Roman" w:hAnsi="Times New Roman"/>
          <w:color w:val="002060"/>
          <w:szCs w:val="20"/>
        </w:rPr>
        <w:t>|1000|: A quantidade total de registros do Bloco Q é 1.000 (mil registros).</w:t>
      </w:r>
    </w:p>
    <w:p w:rsidR="000016E4" w:rsidRPr="00FA3856" w:rsidRDefault="000016E4" w:rsidP="000016E4">
      <w:pPr>
        <w:pStyle w:val="PSDS-MarcadoresNivel2"/>
        <w:numPr>
          <w:ilvl w:val="0"/>
          <w:numId w:val="0"/>
        </w:numPr>
        <w:rPr>
          <w:rFonts w:ascii="Times New Roman" w:hAnsi="Times New Roman"/>
        </w:rPr>
      </w:pPr>
    </w:p>
    <w:p w:rsidR="000016E4" w:rsidRPr="00FA3856" w:rsidRDefault="000016E4" w:rsidP="000016E4">
      <w:pPr>
        <w:rPr>
          <w:color w:val="0000FF"/>
          <w:szCs w:val="20"/>
        </w:rPr>
      </w:pPr>
    </w:p>
    <w:p w:rsidR="000016E4" w:rsidRPr="00FA3856" w:rsidRDefault="000016E4" w:rsidP="000016E4">
      <w:pPr>
        <w:pStyle w:val="Corpodetexto"/>
        <w:ind w:firstLine="708"/>
        <w:rPr>
          <w:rFonts w:ascii="Times New Roman" w:hAnsi="Times New Roman"/>
          <w:color w:val="002060"/>
          <w:szCs w:val="20"/>
        </w:rPr>
      </w:pPr>
    </w:p>
    <w:p w:rsidR="000016E4" w:rsidRPr="00FA3856" w:rsidRDefault="000016E4">
      <w:pPr>
        <w:spacing w:after="200" w:line="276" w:lineRule="auto"/>
        <w:rPr>
          <w:b/>
          <w:bCs/>
          <w:color w:val="0000FF"/>
          <w:szCs w:val="20"/>
        </w:rPr>
      </w:pPr>
      <w:r w:rsidRPr="00FA3856">
        <w:rPr>
          <w:color w:val="0000FF"/>
          <w:szCs w:val="20"/>
        </w:rPr>
        <w:br w:type="page"/>
      </w:r>
    </w:p>
    <w:p w:rsidR="0086037A" w:rsidRPr="00FA3856" w:rsidRDefault="0086037A" w:rsidP="00867F54">
      <w:pPr>
        <w:pStyle w:val="Ttulo3"/>
      </w:pPr>
      <w:bookmarkStart w:id="314" w:name="_Toc479713768"/>
      <w:r w:rsidRPr="00FA3856">
        <w:lastRenderedPageBreak/>
        <w:t>Bloco T: Lucro Arbitrado</w:t>
      </w:r>
      <w:bookmarkEnd w:id="314"/>
    </w:p>
    <w:p w:rsidR="0086037A" w:rsidRPr="00FA3856" w:rsidRDefault="0086037A" w:rsidP="00D80608">
      <w:pPr>
        <w:pStyle w:val="PSDS-MarcadoresNivel3"/>
        <w:tabs>
          <w:tab w:val="clear" w:pos="1440"/>
        </w:tabs>
        <w:spacing w:before="0" w:after="0"/>
        <w:ind w:left="0" w:firstLine="0"/>
        <w:rPr>
          <w:rFonts w:ascii="Times New Roman" w:hAnsi="Times New Roman" w:cs="Times New Roman"/>
          <w:szCs w:val="20"/>
        </w:rPr>
      </w:pPr>
    </w:p>
    <w:p w:rsidR="00D80608" w:rsidRPr="00FA3856" w:rsidRDefault="00E27341" w:rsidP="00D80608">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t xml:space="preserve">I) </w:t>
      </w:r>
      <w:r w:rsidR="00D80608" w:rsidRPr="00FA3856">
        <w:rPr>
          <w:rFonts w:ascii="Times New Roman" w:hAnsi="Times New Roman" w:cs="Times New Roman"/>
          <w:b/>
          <w:bCs/>
          <w:szCs w:val="20"/>
        </w:rPr>
        <w:t>Pessoa Jurídica Tributada com Base no Lucro Arbitrado</w:t>
      </w:r>
    </w:p>
    <w:p w:rsidR="003374E4" w:rsidRPr="00FA3856" w:rsidRDefault="003374E4" w:rsidP="00D80608">
      <w:pPr>
        <w:pStyle w:val="NormalWeb"/>
        <w:spacing w:before="0" w:after="0"/>
        <w:jc w:val="both"/>
        <w:rPr>
          <w:rFonts w:ascii="Times New Roman" w:hAnsi="Times New Roman" w:cs="Times New Roman"/>
          <w:szCs w:val="20"/>
        </w:rPr>
      </w:pPr>
    </w:p>
    <w:p w:rsidR="00D80608" w:rsidRPr="00FA3856" w:rsidRDefault="00D80608" w:rsidP="003374E4">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Na ocorrência de qualquer das hipóteses de arbitramento, previstas no art. 47 da Lei n</w:t>
      </w:r>
      <w:r w:rsidRPr="00FA3856">
        <w:rPr>
          <w:rFonts w:ascii="Times New Roman" w:hAnsi="Times New Roman" w:cs="Times New Roman"/>
          <w:strike/>
          <w:szCs w:val="20"/>
        </w:rPr>
        <w:t>º</w:t>
      </w:r>
      <w:r w:rsidRPr="00FA3856">
        <w:rPr>
          <w:rFonts w:ascii="Times New Roman" w:hAnsi="Times New Roman" w:cs="Times New Roman"/>
          <w:szCs w:val="20"/>
        </w:rPr>
        <w:t xml:space="preserve"> 8.981, de 1995, a pessoa jurídica pode, quando conhecida a receita bruta, efetuar o pagamento do imposto de renda correspondente com base no lucro arbitrado.</w:t>
      </w:r>
    </w:p>
    <w:p w:rsidR="003374E4" w:rsidRPr="00FA3856" w:rsidRDefault="003374E4" w:rsidP="00D80608">
      <w:pPr>
        <w:pStyle w:val="NormalWeb"/>
        <w:spacing w:before="0" w:after="0"/>
        <w:jc w:val="both"/>
        <w:rPr>
          <w:rFonts w:ascii="Times New Roman" w:hAnsi="Times New Roman" w:cs="Times New Roman"/>
          <w:szCs w:val="20"/>
        </w:rPr>
      </w:pPr>
    </w:p>
    <w:p w:rsidR="00D80608" w:rsidRPr="00FA3856" w:rsidRDefault="00D80608" w:rsidP="003374E4">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O imposto pago sobre o lucro arbitrado é definitivo, não podendo, em qualquer hipótese, ser compensado com recolhimentos futuros.</w:t>
      </w:r>
    </w:p>
    <w:p w:rsidR="003374E4" w:rsidRPr="00FA3856" w:rsidRDefault="003374E4" w:rsidP="00D80608">
      <w:pPr>
        <w:pStyle w:val="NormalWeb"/>
        <w:spacing w:before="0" w:after="0"/>
        <w:jc w:val="both"/>
        <w:rPr>
          <w:rFonts w:ascii="Times New Roman" w:hAnsi="Times New Roman" w:cs="Times New Roman"/>
          <w:szCs w:val="20"/>
        </w:rPr>
      </w:pPr>
    </w:p>
    <w:p w:rsidR="00D80608" w:rsidRPr="00FA3856" w:rsidRDefault="00D80608" w:rsidP="003374E4">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apuração do imposto de renda com base no lucro arbitrado abrange todos os trimestres do ano-calendário, assegurada a tributação com base no lucro real ou presumido relativa aos trimestres não submetidos ao arbitramento, se:</w:t>
      </w:r>
    </w:p>
    <w:p w:rsidR="003374E4" w:rsidRPr="00FA3856" w:rsidRDefault="003374E4" w:rsidP="00D80608">
      <w:pPr>
        <w:pStyle w:val="NormalWeb"/>
        <w:spacing w:before="0" w:after="0"/>
        <w:jc w:val="both"/>
        <w:rPr>
          <w:rFonts w:ascii="Times New Roman" w:hAnsi="Times New Roman" w:cs="Times New Roman"/>
          <w:szCs w:val="20"/>
        </w:rPr>
      </w:pPr>
    </w:p>
    <w:p w:rsidR="00D80608" w:rsidRPr="00FA3856" w:rsidRDefault="00D80608" w:rsidP="003374E4">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a) a pessoa jurídica dispuser de escrituração comercial e fiscal que demonstre o lucro real dos períodos não abrangidos pela tributação com base no lucro arbitrado; ou</w:t>
      </w:r>
    </w:p>
    <w:p w:rsidR="00D80608" w:rsidRPr="00FA3856" w:rsidRDefault="00D80608" w:rsidP="003374E4">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b) puder optar pelo lucro presumido.</w:t>
      </w:r>
    </w:p>
    <w:p w:rsidR="003374E4" w:rsidRPr="00FA3856" w:rsidRDefault="003374E4" w:rsidP="003374E4">
      <w:pPr>
        <w:pStyle w:val="NormalWeb"/>
        <w:spacing w:before="0" w:after="0"/>
        <w:ind w:left="600"/>
        <w:jc w:val="both"/>
        <w:rPr>
          <w:rFonts w:ascii="Times New Roman" w:hAnsi="Times New Roman" w:cs="Times New Roman"/>
          <w:b/>
          <w:bCs/>
          <w:szCs w:val="20"/>
        </w:rPr>
      </w:pPr>
    </w:p>
    <w:p w:rsidR="00D80608" w:rsidRPr="00FA3856" w:rsidRDefault="00D80608" w:rsidP="003374E4">
      <w:pPr>
        <w:pStyle w:val="NormalWeb"/>
        <w:spacing w:before="0" w:after="0"/>
        <w:ind w:left="600"/>
        <w:jc w:val="both"/>
        <w:rPr>
          <w:rFonts w:ascii="Times New Roman" w:hAnsi="Times New Roman" w:cs="Times New Roman"/>
          <w:szCs w:val="20"/>
        </w:rPr>
      </w:pPr>
      <w:r w:rsidRPr="00FA3856">
        <w:rPr>
          <w:rFonts w:ascii="Times New Roman" w:hAnsi="Times New Roman" w:cs="Times New Roman"/>
          <w:b/>
          <w:bCs/>
          <w:szCs w:val="20"/>
        </w:rPr>
        <w:t>Atenção:</w:t>
      </w:r>
      <w:r w:rsidR="003374E4" w:rsidRPr="00FA3856">
        <w:rPr>
          <w:rFonts w:ascii="Times New Roman" w:hAnsi="Times New Roman" w:cs="Times New Roman"/>
          <w:b/>
          <w:bCs/>
          <w:szCs w:val="20"/>
        </w:rPr>
        <w:t xml:space="preserve"> </w:t>
      </w:r>
      <w:r w:rsidRPr="00FA3856">
        <w:rPr>
          <w:rFonts w:ascii="Times New Roman" w:hAnsi="Times New Roman" w:cs="Times New Roman"/>
          <w:szCs w:val="20"/>
        </w:rPr>
        <w:t>Sendo tributada pelo lucro real, a pessoa jurídica pode apurar o lucro trimestralmente, ou anualmente com pagamentos mensais por estimativa, sem considerar o resultado do período em que se sujeitou ao arbitramento.</w:t>
      </w:r>
    </w:p>
    <w:p w:rsidR="003374E4" w:rsidRPr="00FA3856" w:rsidRDefault="003374E4" w:rsidP="003374E4">
      <w:pPr>
        <w:pStyle w:val="NormalWeb"/>
        <w:spacing w:before="0" w:after="0"/>
        <w:ind w:left="600"/>
        <w:jc w:val="both"/>
        <w:rPr>
          <w:rFonts w:ascii="Times New Roman" w:hAnsi="Times New Roman" w:cs="Times New Roman"/>
          <w:szCs w:val="20"/>
        </w:rPr>
      </w:pPr>
    </w:p>
    <w:p w:rsidR="00D80608" w:rsidRPr="00FA3856" w:rsidRDefault="003374E4" w:rsidP="00D80608">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t xml:space="preserve">II) </w:t>
      </w:r>
      <w:r w:rsidR="00D80608" w:rsidRPr="00FA3856">
        <w:rPr>
          <w:rFonts w:ascii="Times New Roman" w:hAnsi="Times New Roman" w:cs="Times New Roman"/>
          <w:b/>
          <w:bCs/>
          <w:szCs w:val="20"/>
        </w:rPr>
        <w:t>Determinação do Lucro Arbitrado</w:t>
      </w:r>
    </w:p>
    <w:p w:rsidR="003374E4" w:rsidRPr="00FA3856" w:rsidRDefault="003374E4" w:rsidP="00D80608">
      <w:pPr>
        <w:pStyle w:val="NormalWeb"/>
        <w:spacing w:before="0" w:after="0"/>
        <w:jc w:val="both"/>
        <w:rPr>
          <w:rFonts w:ascii="Times New Roman" w:hAnsi="Times New Roman" w:cs="Times New Roman"/>
          <w:b/>
          <w:bCs/>
          <w:szCs w:val="20"/>
        </w:rPr>
      </w:pPr>
    </w:p>
    <w:p w:rsidR="00D80608" w:rsidRPr="00FA3856" w:rsidRDefault="003374E4" w:rsidP="00D80608">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t xml:space="preserve">II.1) </w:t>
      </w:r>
      <w:r w:rsidR="00D80608" w:rsidRPr="00FA3856">
        <w:rPr>
          <w:rFonts w:ascii="Times New Roman" w:hAnsi="Times New Roman" w:cs="Times New Roman"/>
          <w:b/>
          <w:bCs/>
          <w:szCs w:val="20"/>
        </w:rPr>
        <w:t>Percentuais</w:t>
      </w:r>
    </w:p>
    <w:p w:rsidR="003374E4" w:rsidRPr="00FA3856" w:rsidRDefault="003374E4" w:rsidP="00D80608">
      <w:pPr>
        <w:pStyle w:val="NormalWeb"/>
        <w:spacing w:before="0" w:after="0"/>
        <w:jc w:val="both"/>
        <w:rPr>
          <w:rFonts w:ascii="Times New Roman" w:hAnsi="Times New Roman" w:cs="Times New Roman"/>
          <w:szCs w:val="20"/>
        </w:rPr>
      </w:pPr>
    </w:p>
    <w:p w:rsidR="00D80608" w:rsidRPr="00FA3856" w:rsidRDefault="00D80608" w:rsidP="003374E4">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O lucro arbitrado das pessoas jurídicas é determinado mediante a aplicação, sobre a receita bruta do trimestre, quando conhecida, do percentual de 9,6</w:t>
      </w:r>
      <w:r w:rsidRPr="00FA3856">
        <w:rPr>
          <w:rFonts w:ascii="Times New Roman" w:hAnsi="Times New Roman" w:cs="Times New Roman"/>
          <w:b/>
          <w:bCs/>
          <w:szCs w:val="20"/>
        </w:rPr>
        <w:t>%</w:t>
      </w:r>
      <w:r w:rsidRPr="00FA3856">
        <w:rPr>
          <w:rFonts w:ascii="Times New Roman" w:hAnsi="Times New Roman" w:cs="Times New Roman"/>
          <w:szCs w:val="20"/>
        </w:rPr>
        <w:t xml:space="preserve"> (nove inteiros e seis décimos por cento).</w:t>
      </w:r>
    </w:p>
    <w:p w:rsidR="003374E4" w:rsidRPr="00FA3856" w:rsidRDefault="003374E4" w:rsidP="00D80608">
      <w:pPr>
        <w:pStyle w:val="NormalWeb"/>
        <w:spacing w:before="0" w:after="0"/>
        <w:jc w:val="both"/>
        <w:rPr>
          <w:rFonts w:ascii="Times New Roman" w:hAnsi="Times New Roman" w:cs="Times New Roman"/>
          <w:szCs w:val="20"/>
        </w:rPr>
      </w:pPr>
    </w:p>
    <w:p w:rsidR="00D80608" w:rsidRPr="00FA3856" w:rsidRDefault="00D80608" w:rsidP="003374E4">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Nas seguintes atividades o percentual é de:</w:t>
      </w:r>
    </w:p>
    <w:p w:rsidR="003374E4" w:rsidRPr="00FA3856" w:rsidRDefault="003374E4" w:rsidP="003374E4">
      <w:pPr>
        <w:pStyle w:val="NormalWeb"/>
        <w:spacing w:before="0" w:after="0"/>
        <w:ind w:firstLine="708"/>
        <w:jc w:val="both"/>
        <w:rPr>
          <w:rFonts w:ascii="Times New Roman" w:hAnsi="Times New Roman" w:cs="Times New Roman"/>
          <w:szCs w:val="20"/>
        </w:rPr>
      </w:pPr>
    </w:p>
    <w:p w:rsidR="00D80608" w:rsidRPr="00FA3856" w:rsidRDefault="00D80608" w:rsidP="003374E4">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 xml:space="preserve">I - 1,92% (um inteiro e noventa dois centésimos por cento) sobre a receita bruta auferida na revenda, para consumo, de combustível derivado de petróleo, álcool etílico carburante e gás natural; </w:t>
      </w:r>
    </w:p>
    <w:p w:rsidR="00D80608" w:rsidRPr="00FA3856" w:rsidRDefault="00D80608" w:rsidP="003374E4">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II - 9,6% (nove inteiros e seis décimos por cento) sobre a receita bruta auferida na prestação de serviços hospitalares e de transporte de carga;</w:t>
      </w:r>
    </w:p>
    <w:p w:rsidR="00D80608" w:rsidRPr="00FA3856" w:rsidRDefault="00D80608" w:rsidP="003374E4">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III - 19,2% (dezenove inteiros e dois décimos por cento) sobre a receita bruta auferida na prestação dos demais serviços de transporte;</w:t>
      </w:r>
    </w:p>
    <w:p w:rsidR="00D80608" w:rsidRPr="00FA3856" w:rsidRDefault="00D80608" w:rsidP="003374E4">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IV - 38,4 % (trinta e oito inteiros e quatro décimos por cento) sobre a receita bruta auferida com as atividades de:</w:t>
      </w:r>
    </w:p>
    <w:p w:rsidR="00D80608" w:rsidRPr="00FA3856" w:rsidRDefault="00D80608" w:rsidP="003374E4">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a) prestação de serviços, relativos ao exercício de profissão legalmente regulamentada;</w:t>
      </w:r>
    </w:p>
    <w:p w:rsidR="00D80608" w:rsidRPr="00FA3856" w:rsidRDefault="00D80608" w:rsidP="003374E4">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b) intermediação de negócios;</w:t>
      </w:r>
    </w:p>
    <w:p w:rsidR="00D80608" w:rsidRPr="00FA3856" w:rsidRDefault="00D80608" w:rsidP="003374E4">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c) administração, locação ou cessão de bens imóveis, móveis ou direitos de qualquer natureza;</w:t>
      </w:r>
    </w:p>
    <w:p w:rsidR="00D80608" w:rsidRPr="00FA3856" w:rsidRDefault="00D80608" w:rsidP="003374E4">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d) construção por administração ou por empreitada unicamente de mão-de-obra;</w:t>
      </w:r>
    </w:p>
    <w:p w:rsidR="00D80608" w:rsidRPr="00FA3856" w:rsidRDefault="00D80608" w:rsidP="003374E4">
      <w:pPr>
        <w:pStyle w:val="NormalWeb"/>
        <w:spacing w:before="0" w:after="0"/>
        <w:ind w:left="1416"/>
        <w:jc w:val="both"/>
        <w:rPr>
          <w:rFonts w:ascii="Times New Roman" w:hAnsi="Times New Roman" w:cs="Times New Roman"/>
          <w:szCs w:val="20"/>
        </w:rPr>
      </w:pPr>
      <w:r w:rsidRPr="00FA3856">
        <w:rPr>
          <w:rFonts w:ascii="Times New Roman" w:hAnsi="Times New Roman" w:cs="Times New Roman"/>
          <w:szCs w:val="20"/>
        </w:rPr>
        <w:t>e) prestação cumulativa e contínua de serviços de assessoria creditícia, mercadológica, gestão de crédito, seleção de riscos, administração de contas a pagar e a receber, e compra de direitos creditórios resultantes de vendas mercantis a prazo ou de prestação de serviços (</w:t>
      </w:r>
      <w:r w:rsidRPr="00FA3856">
        <w:rPr>
          <w:rFonts w:ascii="Times New Roman" w:hAnsi="Times New Roman" w:cs="Times New Roman"/>
          <w:i/>
          <w:iCs/>
          <w:szCs w:val="20"/>
        </w:rPr>
        <w:t>factoring</w:t>
      </w:r>
      <w:r w:rsidRPr="00FA3856">
        <w:rPr>
          <w:rFonts w:ascii="Times New Roman" w:hAnsi="Times New Roman" w:cs="Times New Roman"/>
          <w:szCs w:val="20"/>
        </w:rPr>
        <w:t>);</w:t>
      </w:r>
    </w:p>
    <w:p w:rsidR="00D80608" w:rsidRPr="00FA3856" w:rsidRDefault="00D80608" w:rsidP="003374E4">
      <w:pPr>
        <w:pStyle w:val="NormalWeb"/>
        <w:spacing w:before="0" w:after="0"/>
        <w:ind w:left="1416"/>
        <w:jc w:val="both"/>
        <w:rPr>
          <w:rFonts w:ascii="Times New Roman" w:hAnsi="Times New Roman" w:cs="Times New Roman"/>
          <w:szCs w:val="20"/>
        </w:rPr>
      </w:pPr>
      <w:r w:rsidRPr="00FA3856">
        <w:rPr>
          <w:rFonts w:ascii="Times New Roman" w:hAnsi="Times New Roman" w:cs="Times New Roman"/>
          <w:szCs w:val="20"/>
        </w:rPr>
        <w:t>f) prestação de qualquer outro tipo de serviço não mencionado especificamente nas alíneas "a" a "e";</w:t>
      </w:r>
    </w:p>
    <w:p w:rsidR="003374E4" w:rsidRPr="00FA3856" w:rsidRDefault="00D80608" w:rsidP="003374E4">
      <w:pPr>
        <w:pStyle w:val="NormalWeb"/>
        <w:spacing w:before="0" w:after="0"/>
        <w:ind w:left="600" w:firstLine="108"/>
        <w:jc w:val="both"/>
        <w:rPr>
          <w:rFonts w:ascii="Times New Roman" w:hAnsi="Times New Roman" w:cs="Times New Roman"/>
          <w:szCs w:val="20"/>
        </w:rPr>
      </w:pPr>
      <w:r w:rsidRPr="00FA3856">
        <w:rPr>
          <w:rFonts w:ascii="Times New Roman" w:hAnsi="Times New Roman" w:cs="Times New Roman"/>
          <w:szCs w:val="20"/>
        </w:rPr>
        <w:t>V - 45% (quarenta e cinco por cento) sobre a receita bruta auferida nas atividades desenvolvidas por bancos comerciais, bancos de investimentos, bancos de desenvolvimento, caixas econômicas, sociedades de crédito, financiamento e investimento, sociedades de crédito imobiliário, sociedades corretoras de títulos, valores mobiliários e câmbio, distribuidoras de títulos e valores mobiliários, empresas de arrendamento mercantil, cooperativas de crédito, empresas de seguros privados e de capitalização e entidades de previdência privada aberta.</w:t>
      </w:r>
    </w:p>
    <w:p w:rsidR="00D80608" w:rsidRPr="00FA3856" w:rsidRDefault="00D80608" w:rsidP="003374E4">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lastRenderedPageBreak/>
        <w:t>Atenção:</w:t>
      </w:r>
    </w:p>
    <w:p w:rsidR="003374E4" w:rsidRPr="00FA3856" w:rsidRDefault="003374E4" w:rsidP="003374E4">
      <w:pPr>
        <w:pStyle w:val="NormalWeb"/>
        <w:spacing w:before="0" w:after="0"/>
        <w:jc w:val="both"/>
        <w:rPr>
          <w:rFonts w:ascii="Times New Roman" w:hAnsi="Times New Roman" w:cs="Times New Roman"/>
          <w:szCs w:val="20"/>
        </w:rPr>
      </w:pPr>
    </w:p>
    <w:p w:rsidR="00D80608" w:rsidRPr="00FA3856" w:rsidRDefault="00D80608" w:rsidP="003374E4">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1) As pessoas jurídicas exclusivamente prestadoras de serviço em geral, mencionadas nas alíneas "b" a "f" do inciso IV, cuja receita bruta anual seja de até R$ 120.000,00 (cento e vinte mil reais) podem utilizar, para determinação do lucro arbitrado trimestral, o percentual de 19,2% (dezenove inteiros e dois décimos por cento). A pessoa jurídica, cuja receita bruta anual acumulada até determinado trimestre do ano-calendário exceder o limite anual de R$ 120.000,00 (cento e vinte mil reais), deve determinar nova base de cálculo do imposto com a aplicação do percentual de 38,4%, e apurar a diferença do imposto postergado em cada trimestre transcorrido, no trimestre em que foi excedido o limite. Esta diferença deve ser paga em quota única, por meio de Darf separado, no código 5625, até o último dia útil do mês subsequente ao trimestre em que ocorrer o excesso. Após este prazo, a diferença deve ser paga com os acréscimos legais.</w:t>
      </w:r>
    </w:p>
    <w:p w:rsidR="003374E4" w:rsidRPr="00FA3856" w:rsidRDefault="003374E4" w:rsidP="003374E4">
      <w:pPr>
        <w:pStyle w:val="NormalWeb"/>
        <w:spacing w:before="0" w:after="0"/>
        <w:jc w:val="both"/>
        <w:rPr>
          <w:rFonts w:ascii="Times New Roman" w:hAnsi="Times New Roman" w:cs="Times New Roman"/>
          <w:szCs w:val="20"/>
        </w:rPr>
      </w:pPr>
    </w:p>
    <w:p w:rsidR="00D80608" w:rsidRPr="00FA3856" w:rsidRDefault="00D80608" w:rsidP="003374E4">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2) Pessoas jurídicas que se dedicarem às atividades de venda de imóveis construídos ou adquiridos para revenda, de loteamento de terrenos e de incorporação de prédios em condomínio terão seus lucros arbitrados deduzindo-se da receita bruta o custo do imóvel devidamente comprovado.</w:t>
      </w:r>
    </w:p>
    <w:p w:rsidR="003374E4" w:rsidRPr="00FA3856" w:rsidRDefault="003374E4" w:rsidP="00D80608">
      <w:pPr>
        <w:pStyle w:val="NormalWeb"/>
        <w:spacing w:before="0" w:after="0"/>
        <w:ind w:left="600"/>
        <w:jc w:val="both"/>
        <w:rPr>
          <w:rFonts w:ascii="Times New Roman" w:hAnsi="Times New Roman" w:cs="Times New Roman"/>
          <w:szCs w:val="20"/>
        </w:rPr>
      </w:pPr>
    </w:p>
    <w:p w:rsidR="00D80608" w:rsidRPr="00FA3856" w:rsidRDefault="00D80608" w:rsidP="00D80608">
      <w:pPr>
        <w:pStyle w:val="NormalWeb"/>
        <w:spacing w:before="0" w:after="0"/>
        <w:ind w:left="600"/>
        <w:jc w:val="both"/>
        <w:rPr>
          <w:rFonts w:ascii="Times New Roman" w:hAnsi="Times New Roman" w:cs="Times New Roman"/>
          <w:szCs w:val="20"/>
        </w:rPr>
      </w:pPr>
      <w:r w:rsidRPr="00FA3856">
        <w:rPr>
          <w:rFonts w:ascii="Times New Roman" w:hAnsi="Times New Roman" w:cs="Times New Roman"/>
          <w:szCs w:val="20"/>
        </w:rPr>
        <w:t>Nas empresas imobiliárias, o lucro arbitrado deve ser tributado na proporção da receita recebida ou cujo recebimento esteja previsto para o próprio trimestre.</w:t>
      </w:r>
    </w:p>
    <w:p w:rsidR="003374E4" w:rsidRPr="00FA3856" w:rsidRDefault="003374E4" w:rsidP="00D80608">
      <w:pPr>
        <w:pStyle w:val="NormalWeb"/>
        <w:spacing w:before="0" w:after="0"/>
        <w:jc w:val="both"/>
        <w:rPr>
          <w:rFonts w:ascii="Times New Roman" w:hAnsi="Times New Roman" w:cs="Times New Roman"/>
          <w:b/>
          <w:bCs/>
          <w:szCs w:val="20"/>
        </w:rPr>
      </w:pPr>
    </w:p>
    <w:p w:rsidR="00D80608" w:rsidRPr="00FA3856" w:rsidRDefault="003374E4" w:rsidP="00D80608">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t>II.2)</w:t>
      </w:r>
      <w:r w:rsidR="00D80608" w:rsidRPr="00FA3856">
        <w:rPr>
          <w:rFonts w:ascii="Times New Roman" w:hAnsi="Times New Roman" w:cs="Times New Roman"/>
          <w:b/>
          <w:bCs/>
          <w:szCs w:val="20"/>
        </w:rPr>
        <w:t xml:space="preserve"> Valores Integrantes da Base de Cálculo</w:t>
      </w:r>
    </w:p>
    <w:p w:rsidR="003374E4" w:rsidRPr="00FA3856" w:rsidRDefault="003374E4" w:rsidP="00D80608">
      <w:pPr>
        <w:pStyle w:val="NormalWeb"/>
        <w:spacing w:before="0" w:after="0"/>
        <w:jc w:val="both"/>
        <w:rPr>
          <w:rFonts w:ascii="Times New Roman" w:hAnsi="Times New Roman" w:cs="Times New Roman"/>
          <w:szCs w:val="20"/>
        </w:rPr>
      </w:pPr>
    </w:p>
    <w:p w:rsidR="00D80608" w:rsidRPr="00FA3856" w:rsidRDefault="00D80608" w:rsidP="003374E4">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O lucro arbitrado, apurado trimestralmente, é a soma dos seguintes valores:</w:t>
      </w:r>
    </w:p>
    <w:p w:rsidR="003374E4" w:rsidRPr="00FA3856" w:rsidRDefault="003374E4" w:rsidP="00D80608">
      <w:pPr>
        <w:pStyle w:val="NormalWeb"/>
        <w:spacing w:before="0" w:after="0"/>
        <w:jc w:val="both"/>
        <w:rPr>
          <w:rFonts w:ascii="Times New Roman" w:hAnsi="Times New Roman" w:cs="Times New Roman"/>
          <w:szCs w:val="20"/>
        </w:rPr>
      </w:pPr>
    </w:p>
    <w:p w:rsidR="00D80608" w:rsidRPr="00FA3856" w:rsidRDefault="00D80608" w:rsidP="003374E4">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 xml:space="preserve">a) o valor obtido pela aplicação dos percentuais sobre a receita bruta especificados no </w:t>
      </w:r>
      <w:hyperlink r:id="rId499" w:anchor="subitem_15.3.2.1" w:history="1">
        <w:r w:rsidR="003374E4" w:rsidRPr="00FA3856">
          <w:rPr>
            <w:rStyle w:val="Hyperlink"/>
            <w:rFonts w:ascii="Times New Roman" w:hAnsi="Times New Roman" w:cs="Times New Roman"/>
            <w:color w:val="auto"/>
            <w:szCs w:val="20"/>
          </w:rPr>
          <w:t>subitem I</w:t>
        </w:r>
        <w:r w:rsidRPr="00FA3856">
          <w:rPr>
            <w:rStyle w:val="Hyperlink"/>
            <w:rFonts w:ascii="Times New Roman" w:hAnsi="Times New Roman" w:cs="Times New Roman"/>
            <w:color w:val="auto"/>
            <w:szCs w:val="20"/>
          </w:rPr>
          <w:t>.1</w:t>
        </w:r>
      </w:hyperlink>
      <w:r w:rsidRPr="00FA3856">
        <w:rPr>
          <w:rFonts w:ascii="Times New Roman" w:hAnsi="Times New Roman" w:cs="Times New Roman"/>
          <w:szCs w:val="20"/>
        </w:rPr>
        <w:t>;</w:t>
      </w:r>
    </w:p>
    <w:p w:rsidR="00D80608" w:rsidRPr="00FA3856" w:rsidRDefault="00D80608" w:rsidP="003374E4">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b) os ganhos de capital, as demais receitas e os resultados positivos decorrentes de receitas não compreendidas na atividade, inclusive:</w:t>
      </w:r>
    </w:p>
    <w:p w:rsidR="00D80608" w:rsidRPr="00FA3856" w:rsidRDefault="00D80608" w:rsidP="003374E4">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b.1) os rendimentos auferidos nas operações de mútuo realizadas entre pessoas jurídicas controladoras, controladas, coligadas ou interligadas;</w:t>
      </w:r>
    </w:p>
    <w:p w:rsidR="00D80608" w:rsidRPr="00FA3856" w:rsidRDefault="00D80608" w:rsidP="003374E4">
      <w:pPr>
        <w:pStyle w:val="NormalWeb"/>
        <w:spacing w:before="0" w:after="0"/>
        <w:ind w:left="1416"/>
        <w:jc w:val="both"/>
        <w:rPr>
          <w:rFonts w:ascii="Times New Roman" w:hAnsi="Times New Roman" w:cs="Times New Roman"/>
          <w:szCs w:val="20"/>
        </w:rPr>
      </w:pPr>
      <w:r w:rsidRPr="00FA3856">
        <w:rPr>
          <w:rFonts w:ascii="Times New Roman" w:hAnsi="Times New Roman" w:cs="Times New Roman"/>
          <w:szCs w:val="20"/>
        </w:rPr>
        <w:t>b.2) os ganhos de capital auferidos na alienação de participações societárias permanentes em sociedades coligadas e controladas, e de participações societárias que permaneceram no ativo da pessoa jurídica até o término do ano-calendário seguinte ao de suas aquisições;</w:t>
      </w:r>
    </w:p>
    <w:p w:rsidR="00D80608" w:rsidRPr="00FA3856" w:rsidRDefault="00D80608" w:rsidP="003374E4">
      <w:pPr>
        <w:pStyle w:val="NormalWeb"/>
        <w:spacing w:before="0" w:after="0"/>
        <w:ind w:left="1416"/>
        <w:jc w:val="both"/>
        <w:rPr>
          <w:rFonts w:ascii="Times New Roman" w:hAnsi="Times New Roman" w:cs="Times New Roman"/>
          <w:szCs w:val="20"/>
        </w:rPr>
      </w:pPr>
      <w:r w:rsidRPr="00FA3856">
        <w:rPr>
          <w:rFonts w:ascii="Times New Roman" w:hAnsi="Times New Roman" w:cs="Times New Roman"/>
          <w:szCs w:val="20"/>
        </w:rPr>
        <w:t>b.3) os ganhos auferidos em operações de cobertura (</w:t>
      </w:r>
      <w:r w:rsidRPr="00FA3856">
        <w:rPr>
          <w:rFonts w:ascii="Times New Roman" w:hAnsi="Times New Roman" w:cs="Times New Roman"/>
          <w:i/>
          <w:iCs/>
          <w:szCs w:val="20"/>
        </w:rPr>
        <w:t>hedge</w:t>
      </w:r>
      <w:r w:rsidRPr="00FA3856">
        <w:rPr>
          <w:rFonts w:ascii="Times New Roman" w:hAnsi="Times New Roman" w:cs="Times New Roman"/>
          <w:szCs w:val="20"/>
        </w:rPr>
        <w:t>) realizadas em bolsas de valores, de mercadorias e de futuros ou no mercado de balcão;</w:t>
      </w:r>
    </w:p>
    <w:p w:rsidR="00D80608" w:rsidRPr="00FA3856" w:rsidRDefault="00D80608" w:rsidP="003374E4">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b.4) a receita de locação de imóvel, quando não for este o objeto social da pessoa jurídica;</w:t>
      </w:r>
    </w:p>
    <w:p w:rsidR="00D80608" w:rsidRPr="00FA3856" w:rsidRDefault="00D80608" w:rsidP="003374E4">
      <w:pPr>
        <w:pStyle w:val="NormalWeb"/>
        <w:spacing w:before="0" w:after="0"/>
        <w:ind w:left="1416"/>
        <w:jc w:val="both"/>
        <w:rPr>
          <w:rFonts w:ascii="Times New Roman" w:hAnsi="Times New Roman" w:cs="Times New Roman"/>
          <w:szCs w:val="20"/>
        </w:rPr>
      </w:pPr>
      <w:r w:rsidRPr="00FA3856">
        <w:rPr>
          <w:rFonts w:ascii="Times New Roman" w:hAnsi="Times New Roman" w:cs="Times New Roman"/>
          <w:szCs w:val="20"/>
        </w:rPr>
        <w:t>b.5) os juros equivalentes à taxa referencial do Sistema Especial de Liquidação e Custódia (Selic), para títulos federais, acumulada mensalmente, relativos a impostos e contribuições a serem restituídos ou compensados;</w:t>
      </w:r>
    </w:p>
    <w:p w:rsidR="00D80608" w:rsidRPr="00FA3856" w:rsidRDefault="00D80608" w:rsidP="003374E4">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b.6) as variações monetárias ativas;</w:t>
      </w:r>
    </w:p>
    <w:p w:rsidR="00D80608" w:rsidRPr="00FA3856" w:rsidRDefault="00D80608" w:rsidP="003374E4">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c) os rendimentos e g</w:t>
      </w:r>
      <w:bookmarkStart w:id="315" w:name="subitem_15.3.1"/>
      <w:bookmarkEnd w:id="315"/>
      <w:r w:rsidRPr="00FA3856">
        <w:rPr>
          <w:rFonts w:ascii="Times New Roman" w:hAnsi="Times New Roman" w:cs="Times New Roman"/>
          <w:szCs w:val="20"/>
        </w:rPr>
        <w:t>anhos líquidos auferidos em aplicações financeiras de renda fixa e de renda variável;</w:t>
      </w:r>
    </w:p>
    <w:p w:rsidR="00D80608" w:rsidRPr="00FA3856" w:rsidRDefault="00D80608" w:rsidP="003374E4">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d) os juros sobre capital próprio auferidos;</w:t>
      </w:r>
    </w:p>
    <w:p w:rsidR="00D80608" w:rsidRPr="00FA3856" w:rsidRDefault="00D80608" w:rsidP="003374E4">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e) o saldo dos valores cuja tributação tenha sido diferida de períodos de apuração anteriores (Lei n</w:t>
      </w:r>
      <w:r w:rsidRPr="00FA3856">
        <w:rPr>
          <w:rFonts w:ascii="Times New Roman" w:hAnsi="Times New Roman" w:cs="Times New Roman"/>
          <w:strike/>
          <w:szCs w:val="20"/>
        </w:rPr>
        <w:t>º</w:t>
      </w:r>
      <w:r w:rsidRPr="00FA3856">
        <w:rPr>
          <w:rFonts w:ascii="Times New Roman" w:hAnsi="Times New Roman" w:cs="Times New Roman"/>
          <w:szCs w:val="20"/>
        </w:rPr>
        <w:t xml:space="preserve"> 9.430, de 1996, art. 54);</w:t>
      </w:r>
    </w:p>
    <w:p w:rsidR="00D80608" w:rsidRPr="00FA3856" w:rsidRDefault="00D80608" w:rsidP="003374E4">
      <w:pPr>
        <w:pStyle w:val="NormalWeb"/>
        <w:spacing w:before="0" w:after="0"/>
        <w:ind w:left="708"/>
        <w:jc w:val="both"/>
        <w:rPr>
          <w:rFonts w:ascii="Times New Roman" w:hAnsi="Times New Roman" w:cs="Times New Roman"/>
          <w:szCs w:val="20"/>
        </w:rPr>
      </w:pPr>
      <w:r w:rsidRPr="00FA3856">
        <w:rPr>
          <w:rFonts w:ascii="Times New Roman" w:hAnsi="Times New Roman" w:cs="Times New Roman"/>
          <w:szCs w:val="20"/>
        </w:rPr>
        <w:t>f) os valores recuperados correspondentes a custos e despesas, inclusive com perdas no recebimento de créditos, salvo se a pessoa jurídica comprovar não os ter deduzido em período anterior no qual tenha se submetido ao regime de tributação com base no lucro real ou que se refiram a período no qual tenha se submetido ao regime de tributação com base no lucro presumido, arbitrado ou simples;</w:t>
      </w:r>
    </w:p>
    <w:p w:rsidR="00D80608" w:rsidRPr="00FA3856" w:rsidRDefault="00D80608" w:rsidP="003374E4">
      <w:pPr>
        <w:pStyle w:val="NormalWeb"/>
        <w:spacing w:before="0" w:after="0"/>
        <w:ind w:left="708"/>
        <w:jc w:val="both"/>
        <w:rPr>
          <w:rFonts w:ascii="Times New Roman" w:hAnsi="Times New Roman" w:cs="Times New Roman"/>
          <w:szCs w:val="20"/>
        </w:rPr>
      </w:pPr>
      <w:r w:rsidRPr="00FA3856">
        <w:rPr>
          <w:rFonts w:ascii="Times New Roman" w:hAnsi="Times New Roman" w:cs="Times New Roman"/>
          <w:szCs w:val="20"/>
        </w:rPr>
        <w:t xml:space="preserve">g) o valor resultante, em cada atividade, no respectivo período de apuração, da aplicação dos percentuais de que trata o </w:t>
      </w:r>
      <w:hyperlink r:id="rId500" w:anchor="subitem_15.3.2.1" w:history="1">
        <w:r w:rsidRPr="00FA3856">
          <w:rPr>
            <w:rStyle w:val="Hyperlink"/>
            <w:rFonts w:ascii="Times New Roman" w:hAnsi="Times New Roman" w:cs="Times New Roman"/>
            <w:color w:val="auto"/>
            <w:szCs w:val="20"/>
          </w:rPr>
          <w:t xml:space="preserve">subitem </w:t>
        </w:r>
        <w:r w:rsidR="003374E4" w:rsidRPr="00FA3856">
          <w:rPr>
            <w:rStyle w:val="Hyperlink"/>
            <w:rFonts w:ascii="Times New Roman" w:hAnsi="Times New Roman" w:cs="Times New Roman"/>
            <w:color w:val="auto"/>
            <w:szCs w:val="20"/>
          </w:rPr>
          <w:t>I.1</w:t>
        </w:r>
      </w:hyperlink>
      <w:r w:rsidRPr="00FA3856">
        <w:rPr>
          <w:rFonts w:ascii="Times New Roman" w:hAnsi="Times New Roman" w:cs="Times New Roman"/>
          <w:szCs w:val="20"/>
        </w:rPr>
        <w:t xml:space="preserve"> sobre a parcela das receitas auferidas nas exportações às pessoas vinculadas ou aos países com tributação favorecida que exceder ao val</w:t>
      </w:r>
      <w:bookmarkStart w:id="316" w:name="subitem_15.3.2"/>
      <w:bookmarkEnd w:id="316"/>
      <w:r w:rsidRPr="00FA3856">
        <w:rPr>
          <w:rFonts w:ascii="Times New Roman" w:hAnsi="Times New Roman" w:cs="Times New Roman"/>
          <w:szCs w:val="20"/>
        </w:rPr>
        <w:t xml:space="preserve">or já apropriado na escrituração da </w:t>
      </w:r>
      <w:bookmarkStart w:id="317" w:name="subitem_15.3.2.1"/>
      <w:bookmarkEnd w:id="317"/>
      <w:r w:rsidRPr="00FA3856">
        <w:rPr>
          <w:rFonts w:ascii="Times New Roman" w:hAnsi="Times New Roman" w:cs="Times New Roman"/>
          <w:szCs w:val="20"/>
        </w:rPr>
        <w:t>empresa, decorrente dos ajustes dos métodos de preços de transferências;</w:t>
      </w:r>
    </w:p>
    <w:p w:rsidR="00D80608" w:rsidRPr="00FA3856" w:rsidRDefault="00D80608" w:rsidP="003374E4">
      <w:pPr>
        <w:pStyle w:val="NormalWeb"/>
        <w:spacing w:before="0" w:after="0"/>
        <w:ind w:left="708"/>
        <w:jc w:val="both"/>
        <w:rPr>
          <w:rFonts w:ascii="Times New Roman" w:hAnsi="Times New Roman" w:cs="Times New Roman"/>
          <w:szCs w:val="20"/>
        </w:rPr>
      </w:pPr>
      <w:r w:rsidRPr="00FA3856">
        <w:rPr>
          <w:rFonts w:ascii="Times New Roman" w:hAnsi="Times New Roman" w:cs="Times New Roman"/>
          <w:szCs w:val="20"/>
        </w:rPr>
        <w:t xml:space="preserve">h) o valor dos encargos suportados pela mutuária que exceder ao limite calculado com base na taxa </w:t>
      </w:r>
      <w:r w:rsidRPr="00FA3856">
        <w:rPr>
          <w:rFonts w:ascii="Times New Roman" w:hAnsi="Times New Roman" w:cs="Times New Roman"/>
          <w:i/>
          <w:iCs/>
          <w:szCs w:val="20"/>
        </w:rPr>
        <w:t>Libor</w:t>
      </w:r>
      <w:r w:rsidRPr="00FA3856">
        <w:rPr>
          <w:rFonts w:ascii="Times New Roman" w:hAnsi="Times New Roman" w:cs="Times New Roman"/>
          <w:szCs w:val="20"/>
        </w:rPr>
        <w:t>, para depósitos em dólares dos Estados Unidos da América, pelo prazo de seis meses</w:t>
      </w:r>
      <w:bookmarkStart w:id="318" w:name="subitem_15.3.2.1.I"/>
      <w:bookmarkEnd w:id="318"/>
      <w:r w:rsidRPr="00FA3856">
        <w:rPr>
          <w:rFonts w:ascii="Times New Roman" w:hAnsi="Times New Roman" w:cs="Times New Roman"/>
          <w:szCs w:val="20"/>
        </w:rPr>
        <w:t xml:space="preserve">, acrescido de três por cento anuais a título de </w:t>
      </w:r>
      <w:r w:rsidRPr="00FA3856">
        <w:rPr>
          <w:rFonts w:ascii="Times New Roman" w:hAnsi="Times New Roman" w:cs="Times New Roman"/>
          <w:i/>
          <w:iCs/>
          <w:szCs w:val="20"/>
        </w:rPr>
        <w:t>spread</w:t>
      </w:r>
      <w:r w:rsidRPr="00FA3856">
        <w:rPr>
          <w:rFonts w:ascii="Times New Roman" w:hAnsi="Times New Roman" w:cs="Times New Roman"/>
          <w:szCs w:val="20"/>
        </w:rPr>
        <w:t>, proporcionalizados em função do período a que se referirem os juros, quando pagos ou creditados a pessoa vinculada no exterior e o contrato</w:t>
      </w:r>
      <w:bookmarkStart w:id="319" w:name="subitem_15.3.2.1.II"/>
      <w:bookmarkEnd w:id="319"/>
      <w:r w:rsidRPr="00FA3856">
        <w:rPr>
          <w:rFonts w:ascii="Times New Roman" w:hAnsi="Times New Roman" w:cs="Times New Roman"/>
          <w:szCs w:val="20"/>
        </w:rPr>
        <w:t xml:space="preserve"> não for registrado no Banco Central do Brasil;</w:t>
      </w:r>
    </w:p>
    <w:p w:rsidR="00D80608" w:rsidRPr="00FA3856" w:rsidRDefault="00D80608" w:rsidP="003374E4">
      <w:pPr>
        <w:pStyle w:val="NormalWeb"/>
        <w:spacing w:before="0" w:after="0"/>
        <w:ind w:left="708"/>
        <w:jc w:val="both"/>
        <w:rPr>
          <w:rFonts w:ascii="Times New Roman" w:hAnsi="Times New Roman" w:cs="Times New Roman"/>
          <w:szCs w:val="20"/>
        </w:rPr>
      </w:pPr>
      <w:r w:rsidRPr="00FA3856">
        <w:rPr>
          <w:rFonts w:ascii="Times New Roman" w:hAnsi="Times New Roman" w:cs="Times New Roman"/>
          <w:szCs w:val="20"/>
        </w:rPr>
        <w:t>i) a diferença de receita, auferida pela mutuante, correspondente ao valor calculado com base na t</w:t>
      </w:r>
      <w:bookmarkStart w:id="320" w:name="subitem_15.3.2.1.III"/>
      <w:bookmarkEnd w:id="320"/>
      <w:r w:rsidRPr="00FA3856">
        <w:rPr>
          <w:rFonts w:ascii="Times New Roman" w:hAnsi="Times New Roman" w:cs="Times New Roman"/>
          <w:szCs w:val="20"/>
        </w:rPr>
        <w:t>axa a que se refere a alínea anterior e o valor contratado, quando este for inferior, caso o contrato, não registrado no Banco Central d</w:t>
      </w:r>
      <w:bookmarkStart w:id="321" w:name="subitem_15.3.2.1.IV"/>
      <w:bookmarkEnd w:id="321"/>
      <w:r w:rsidRPr="00FA3856">
        <w:rPr>
          <w:rFonts w:ascii="Times New Roman" w:hAnsi="Times New Roman" w:cs="Times New Roman"/>
          <w:szCs w:val="20"/>
        </w:rPr>
        <w:t>o Brasil, seja realizado com mutuária definida como pessoa vinculada domiciliada no exterior;</w:t>
      </w:r>
    </w:p>
    <w:p w:rsidR="00D80608" w:rsidRPr="00FA3856" w:rsidRDefault="00D80608" w:rsidP="003374E4">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lastRenderedPageBreak/>
        <w:t xml:space="preserve">j) as multas ou qualquer outra vantagem recebida ou creditada, ainda que a título de indenização, em virtude de rescisão de contrato; </w:t>
      </w:r>
    </w:p>
    <w:p w:rsidR="00D80608" w:rsidRPr="00FA3856" w:rsidRDefault="00D80608" w:rsidP="003374E4">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l) os lucros, rendimentos e ganhos de capital oriundos do exterior;</w:t>
      </w:r>
    </w:p>
    <w:p w:rsidR="00D80608" w:rsidRPr="00FA3856" w:rsidRDefault="00D80608" w:rsidP="003374E4">
      <w:pPr>
        <w:pStyle w:val="NormalWeb"/>
        <w:spacing w:before="0" w:after="0"/>
        <w:ind w:left="600" w:firstLine="108"/>
        <w:jc w:val="both"/>
        <w:rPr>
          <w:rFonts w:ascii="Times New Roman" w:hAnsi="Times New Roman" w:cs="Times New Roman"/>
          <w:szCs w:val="20"/>
        </w:rPr>
      </w:pPr>
      <w:r w:rsidRPr="00FA3856">
        <w:rPr>
          <w:rFonts w:ascii="Times New Roman" w:hAnsi="Times New Roman" w:cs="Times New Roman"/>
          <w:szCs w:val="20"/>
        </w:rPr>
        <w:t>m) a diferença entre o valor em dinheiro ou o valor dos bens e direitos recebidos de instituição isenta, a título de devolução de patrimônio, e o valor em dinheiro ou o valor dos bens e direitos entregue para a formação do referido patrimônio (Lei n</w:t>
      </w:r>
      <w:r w:rsidRPr="00FA3856">
        <w:rPr>
          <w:rFonts w:ascii="Times New Roman" w:hAnsi="Times New Roman" w:cs="Times New Roman"/>
          <w:strike/>
          <w:szCs w:val="20"/>
        </w:rPr>
        <w:t>º</w:t>
      </w:r>
      <w:r w:rsidRPr="00FA3856">
        <w:rPr>
          <w:rFonts w:ascii="Times New Roman" w:hAnsi="Times New Roman" w:cs="Times New Roman"/>
          <w:szCs w:val="20"/>
        </w:rPr>
        <w:t xml:space="preserve"> 9.532, de 1997, art. 17, § 3</w:t>
      </w:r>
      <w:r w:rsidRPr="00FA3856">
        <w:rPr>
          <w:rFonts w:ascii="Times New Roman" w:hAnsi="Times New Roman" w:cs="Times New Roman"/>
          <w:strike/>
          <w:szCs w:val="20"/>
        </w:rPr>
        <w:t>º</w:t>
      </w:r>
      <w:r w:rsidRPr="00FA3856">
        <w:rPr>
          <w:rFonts w:ascii="Times New Roman" w:hAnsi="Times New Roman" w:cs="Times New Roman"/>
          <w:szCs w:val="20"/>
        </w:rPr>
        <w:t>, e art. 81, inciso II).</w:t>
      </w:r>
    </w:p>
    <w:p w:rsidR="003374E4" w:rsidRPr="00FA3856" w:rsidRDefault="003374E4" w:rsidP="003374E4">
      <w:pPr>
        <w:pStyle w:val="NormalWeb"/>
        <w:spacing w:before="0" w:after="0"/>
        <w:jc w:val="both"/>
        <w:rPr>
          <w:rFonts w:ascii="Times New Roman" w:hAnsi="Times New Roman" w:cs="Times New Roman"/>
          <w:b/>
          <w:bCs/>
          <w:szCs w:val="20"/>
        </w:rPr>
      </w:pPr>
    </w:p>
    <w:p w:rsidR="00D80608" w:rsidRPr="00FA3856" w:rsidRDefault="00D80608" w:rsidP="003374E4">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t>Atenção:</w:t>
      </w:r>
    </w:p>
    <w:p w:rsidR="00D80608" w:rsidRPr="00FA3856" w:rsidRDefault="00D80608" w:rsidP="003374E4">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1) Na determinação do lucro arbitrado, as receitas, ganhos de capital e demais resultados positivos são reconhecidos segundo o regime de competência. Excetuam-se dessa regra os ren</w:t>
      </w:r>
      <w:bookmarkStart w:id="322" w:name="subitem_15.3.2.1.V"/>
      <w:bookmarkEnd w:id="322"/>
      <w:r w:rsidRPr="00FA3856">
        <w:rPr>
          <w:rFonts w:ascii="Times New Roman" w:hAnsi="Times New Roman" w:cs="Times New Roman"/>
          <w:szCs w:val="20"/>
        </w:rPr>
        <w:t xml:space="preserve">dimentos auferidos em aplicações de renda fixa e os ganhos líquidos auferidos em aplicações de renda variável, que são acrescidos à base de cálculo do lucro arbitrado por ocasião da alienação, resgate ou cessão do título ou aplicação. </w:t>
      </w:r>
    </w:p>
    <w:p w:rsidR="003374E4" w:rsidRPr="00FA3856" w:rsidRDefault="003374E4" w:rsidP="003374E4">
      <w:pPr>
        <w:pStyle w:val="NormalWeb"/>
        <w:spacing w:before="0" w:after="0"/>
        <w:jc w:val="both"/>
        <w:rPr>
          <w:rFonts w:ascii="Times New Roman" w:hAnsi="Times New Roman" w:cs="Times New Roman"/>
          <w:szCs w:val="20"/>
        </w:rPr>
      </w:pPr>
    </w:p>
    <w:p w:rsidR="00D80608" w:rsidRPr="00FA3856" w:rsidRDefault="00D80608" w:rsidP="003374E4">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2) Quanto à alínea "b.6", a pessoa jurídica pode excluir a parcela das receitas financeiras decorrentes da variação monetária ativa dos direitos de crédito e das obrigações, em função da taxa de câmbio, submetida à tributação, segundo regime de competência, relativo a períodos compreendidos no ano-calendário de 1999, excedente ao valor da variação monetária efetivamente realizada, ainda que a operação tenha sido liquidada (</w:t>
      </w:r>
      <w:hyperlink r:id="rId501" w:anchor="MP1807" w:history="1">
        <w:r w:rsidRPr="00FA3856">
          <w:rPr>
            <w:rStyle w:val="Hyperlink"/>
            <w:rFonts w:ascii="Times New Roman" w:hAnsi="Times New Roman" w:cs="Times New Roman"/>
            <w:color w:val="auto"/>
            <w:szCs w:val="20"/>
          </w:rPr>
          <w:t>MP n</w:t>
        </w:r>
        <w:r w:rsidRPr="00FA3856">
          <w:rPr>
            <w:rStyle w:val="Hyperlink"/>
            <w:rFonts w:ascii="Times New Roman" w:hAnsi="Times New Roman" w:cs="Times New Roman"/>
            <w:strike/>
            <w:color w:val="auto"/>
            <w:szCs w:val="20"/>
          </w:rPr>
          <w:t>º</w:t>
        </w:r>
        <w:r w:rsidRPr="00FA3856">
          <w:rPr>
            <w:rStyle w:val="Hyperlink"/>
            <w:rFonts w:ascii="Times New Roman" w:hAnsi="Times New Roman" w:cs="Times New Roman"/>
            <w:color w:val="auto"/>
            <w:szCs w:val="20"/>
          </w:rPr>
          <w:t xml:space="preserve"> 1.858-10</w:t>
        </w:r>
      </w:hyperlink>
      <w:r w:rsidRPr="00FA3856">
        <w:rPr>
          <w:rFonts w:ascii="Times New Roman" w:hAnsi="Times New Roman" w:cs="Times New Roman"/>
          <w:szCs w:val="20"/>
        </w:rPr>
        <w:t>, de 1999, art. 31, e reedições).</w:t>
      </w:r>
    </w:p>
    <w:p w:rsidR="003374E4" w:rsidRPr="00FA3856" w:rsidRDefault="003374E4" w:rsidP="003374E4">
      <w:pPr>
        <w:pStyle w:val="NormalWeb"/>
        <w:spacing w:before="0" w:after="0"/>
        <w:jc w:val="both"/>
        <w:rPr>
          <w:rFonts w:ascii="Times New Roman" w:hAnsi="Times New Roman" w:cs="Times New Roman"/>
          <w:szCs w:val="20"/>
        </w:rPr>
      </w:pPr>
    </w:p>
    <w:p w:rsidR="00D80608" w:rsidRPr="00FA3856" w:rsidRDefault="00D80608" w:rsidP="003374E4">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3) As variações monetárias ativas dos direitos de crédito e das obrigações do contribuinte, em função da taxa de câmbio, são consideradas, para efeito de determinação da base de cálculo, quando da liquidação da correspondente operação. À opção da pessoa jurídica, as variações monetárias podem ser consideradas, na determinação da base de cálculo, pelo regime de competência, sendo que a opção aplica-se a todo ano-calendário (</w:t>
      </w:r>
      <w:hyperlink r:id="rId502" w:anchor="MP1807" w:history="1">
        <w:r w:rsidRPr="00FA3856">
          <w:rPr>
            <w:rStyle w:val="Hyperlink"/>
            <w:rFonts w:ascii="Times New Roman" w:hAnsi="Times New Roman" w:cs="Times New Roman"/>
            <w:color w:val="auto"/>
            <w:szCs w:val="20"/>
          </w:rPr>
          <w:t>MP n</w:t>
        </w:r>
        <w:r w:rsidRPr="00FA3856">
          <w:rPr>
            <w:rStyle w:val="Hyperlink"/>
            <w:rFonts w:ascii="Times New Roman" w:hAnsi="Times New Roman" w:cs="Times New Roman"/>
            <w:strike/>
            <w:color w:val="auto"/>
            <w:szCs w:val="20"/>
          </w:rPr>
          <w:t>º</w:t>
        </w:r>
        <w:r w:rsidRPr="00FA3856">
          <w:rPr>
            <w:rStyle w:val="Hyperlink"/>
            <w:rFonts w:ascii="Times New Roman" w:hAnsi="Times New Roman" w:cs="Times New Roman"/>
            <w:color w:val="auto"/>
            <w:szCs w:val="20"/>
          </w:rPr>
          <w:t xml:space="preserve"> 1.858-10</w:t>
        </w:r>
      </w:hyperlink>
      <w:r w:rsidRPr="00FA3856">
        <w:rPr>
          <w:rFonts w:ascii="Times New Roman" w:hAnsi="Times New Roman" w:cs="Times New Roman"/>
          <w:szCs w:val="20"/>
        </w:rPr>
        <w:t>, de 1999, art. 30, e reedições).</w:t>
      </w:r>
    </w:p>
    <w:p w:rsidR="003374E4" w:rsidRPr="00FA3856" w:rsidRDefault="003374E4" w:rsidP="003374E4">
      <w:pPr>
        <w:pStyle w:val="NormalWeb"/>
        <w:spacing w:before="0" w:after="0"/>
        <w:jc w:val="both"/>
        <w:rPr>
          <w:rFonts w:ascii="Times New Roman" w:hAnsi="Times New Roman" w:cs="Times New Roman"/>
          <w:szCs w:val="20"/>
        </w:rPr>
      </w:pPr>
    </w:p>
    <w:p w:rsidR="00D80608" w:rsidRPr="00FA3856" w:rsidRDefault="00D80608" w:rsidP="003374E4">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4) Quanto à alínea "n", devem ser aplicadas as normas do inciso I do art. 17 da Lei n</w:t>
      </w:r>
      <w:r w:rsidRPr="00FA3856">
        <w:rPr>
          <w:rFonts w:ascii="Times New Roman" w:hAnsi="Times New Roman" w:cs="Times New Roman"/>
          <w:strike/>
          <w:szCs w:val="20"/>
        </w:rPr>
        <w:t>º</w:t>
      </w:r>
      <w:r w:rsidRPr="00FA3856">
        <w:rPr>
          <w:rFonts w:ascii="Times New Roman" w:hAnsi="Times New Roman" w:cs="Times New Roman"/>
          <w:szCs w:val="20"/>
        </w:rPr>
        <w:t xml:space="preserve"> 9.249, de 1995, aos valores entregues até o final de 1995 (Lei n</w:t>
      </w:r>
      <w:r w:rsidRPr="00FA3856">
        <w:rPr>
          <w:rFonts w:ascii="Times New Roman" w:hAnsi="Times New Roman" w:cs="Times New Roman"/>
          <w:strike/>
          <w:szCs w:val="20"/>
        </w:rPr>
        <w:t>º</w:t>
      </w:r>
      <w:r w:rsidRPr="00FA3856">
        <w:rPr>
          <w:rFonts w:ascii="Times New Roman" w:hAnsi="Times New Roman" w:cs="Times New Roman"/>
          <w:szCs w:val="20"/>
        </w:rPr>
        <w:t xml:space="preserve"> 9.532, de 1997, art. 17, § 1</w:t>
      </w:r>
      <w:r w:rsidRPr="00FA3856">
        <w:rPr>
          <w:rFonts w:ascii="Times New Roman" w:hAnsi="Times New Roman" w:cs="Times New Roman"/>
          <w:strike/>
          <w:szCs w:val="20"/>
        </w:rPr>
        <w:t>º</w:t>
      </w:r>
      <w:r w:rsidRPr="00FA3856">
        <w:rPr>
          <w:rFonts w:ascii="Times New Roman" w:hAnsi="Times New Roman" w:cs="Times New Roman"/>
          <w:szCs w:val="20"/>
        </w:rPr>
        <w:t>).</w:t>
      </w:r>
    </w:p>
    <w:p w:rsidR="003374E4" w:rsidRPr="00FA3856" w:rsidRDefault="003374E4" w:rsidP="003374E4">
      <w:pPr>
        <w:pStyle w:val="NormalWeb"/>
        <w:spacing w:before="0" w:after="0"/>
        <w:jc w:val="both"/>
        <w:rPr>
          <w:rFonts w:ascii="Times New Roman" w:hAnsi="Times New Roman" w:cs="Times New Roman"/>
          <w:szCs w:val="20"/>
        </w:rPr>
      </w:pPr>
    </w:p>
    <w:p w:rsidR="00D80608" w:rsidRPr="00FA3856" w:rsidRDefault="00D80608" w:rsidP="003374E4">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5) O imposto sobre os resultados positivos mensais auferidos em aplicações de renda variável, apurados em cada um dos dois meses imediatamente anteriores ao do encerramento do período de apuração, deve ser determinado e pago em separado, nos termos</w:t>
      </w:r>
      <w:bookmarkStart w:id="323" w:name="subitem_15.3.2.2"/>
      <w:bookmarkEnd w:id="323"/>
      <w:r w:rsidRPr="00FA3856">
        <w:rPr>
          <w:rFonts w:ascii="Times New Roman" w:hAnsi="Times New Roman" w:cs="Times New Roman"/>
          <w:szCs w:val="20"/>
        </w:rPr>
        <w:t xml:space="preserve"> da legislação específica, dispensado o recolhimento em separado relativo ao terceiro mês do período de apuração.</w:t>
      </w:r>
    </w:p>
    <w:p w:rsidR="003374E4" w:rsidRPr="00FA3856" w:rsidRDefault="003374E4" w:rsidP="003374E4">
      <w:pPr>
        <w:pStyle w:val="NormalWeb"/>
        <w:spacing w:before="0" w:after="0"/>
        <w:jc w:val="both"/>
        <w:rPr>
          <w:rFonts w:ascii="Times New Roman" w:hAnsi="Times New Roman" w:cs="Times New Roman"/>
          <w:szCs w:val="20"/>
        </w:rPr>
      </w:pPr>
    </w:p>
    <w:p w:rsidR="00D80608" w:rsidRPr="00FA3856" w:rsidRDefault="00D80608" w:rsidP="003374E4">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6) A pessoa jurídica, domiciliada no Brasil que arbitrar os resultados deve acrescer à base de cálculo o valor correspondente aos lucros oriundos do exterior, no trimestre em que forem disponibilizados, nos termos do art. 1</w:t>
      </w:r>
      <w:r w:rsidRPr="00FA3856">
        <w:rPr>
          <w:rFonts w:ascii="Times New Roman" w:hAnsi="Times New Roman" w:cs="Times New Roman"/>
          <w:strike/>
          <w:szCs w:val="20"/>
        </w:rPr>
        <w:t>º</w:t>
      </w:r>
      <w:r w:rsidRPr="00FA3856">
        <w:rPr>
          <w:rFonts w:ascii="Times New Roman" w:hAnsi="Times New Roman" w:cs="Times New Roman"/>
          <w:szCs w:val="20"/>
        </w:rPr>
        <w:t xml:space="preserve"> da Lei n</w:t>
      </w:r>
      <w:r w:rsidRPr="00FA3856">
        <w:rPr>
          <w:rFonts w:ascii="Times New Roman" w:hAnsi="Times New Roman" w:cs="Times New Roman"/>
          <w:strike/>
          <w:szCs w:val="20"/>
        </w:rPr>
        <w:t>º</w:t>
      </w:r>
      <w:r w:rsidRPr="00FA3856">
        <w:rPr>
          <w:rFonts w:ascii="Times New Roman" w:hAnsi="Times New Roman" w:cs="Times New Roman"/>
          <w:szCs w:val="20"/>
        </w:rPr>
        <w:t xml:space="preserve"> 9.532, de 1997, com as alterações introduzidas pe</w:t>
      </w:r>
      <w:bookmarkStart w:id="324" w:name="subitem_15.3.2.2.b"/>
      <w:bookmarkEnd w:id="324"/>
      <w:r w:rsidRPr="00FA3856">
        <w:rPr>
          <w:rFonts w:ascii="Times New Roman" w:hAnsi="Times New Roman" w:cs="Times New Roman"/>
          <w:szCs w:val="20"/>
        </w:rPr>
        <w:t>lo art. 3</w:t>
      </w:r>
      <w:r w:rsidRPr="00FA3856">
        <w:rPr>
          <w:rFonts w:ascii="Times New Roman" w:hAnsi="Times New Roman" w:cs="Times New Roman"/>
          <w:strike/>
          <w:szCs w:val="20"/>
        </w:rPr>
        <w:t>º</w:t>
      </w:r>
      <w:r w:rsidRPr="00FA3856">
        <w:rPr>
          <w:rFonts w:ascii="Times New Roman" w:hAnsi="Times New Roman" w:cs="Times New Roman"/>
          <w:szCs w:val="20"/>
        </w:rPr>
        <w:t xml:space="preserve"> da Lei n</w:t>
      </w:r>
      <w:r w:rsidRPr="00FA3856">
        <w:rPr>
          <w:rFonts w:ascii="Times New Roman" w:hAnsi="Times New Roman" w:cs="Times New Roman"/>
          <w:strike/>
          <w:szCs w:val="20"/>
        </w:rPr>
        <w:t>º</w:t>
      </w:r>
      <w:r w:rsidRPr="00FA3856">
        <w:rPr>
          <w:rFonts w:ascii="Times New Roman" w:hAnsi="Times New Roman" w:cs="Times New Roman"/>
          <w:szCs w:val="20"/>
        </w:rPr>
        <w:t xml:space="preserve"> 9.959, de 2000, e pelo art. 35 da </w:t>
      </w:r>
      <w:hyperlink r:id="rId503" w:anchor="MP1807" w:history="1">
        <w:r w:rsidRPr="00FA3856">
          <w:rPr>
            <w:rStyle w:val="Hyperlink"/>
            <w:rFonts w:ascii="Times New Roman" w:hAnsi="Times New Roman" w:cs="Times New Roman"/>
            <w:color w:val="auto"/>
            <w:szCs w:val="20"/>
          </w:rPr>
          <w:t>MP n</w:t>
        </w:r>
        <w:r w:rsidRPr="00FA3856">
          <w:rPr>
            <w:rStyle w:val="Hyperlink"/>
            <w:rFonts w:ascii="Times New Roman" w:hAnsi="Times New Roman" w:cs="Times New Roman"/>
            <w:strike/>
            <w:color w:val="auto"/>
            <w:szCs w:val="20"/>
          </w:rPr>
          <w:t>º</w:t>
        </w:r>
        <w:r w:rsidRPr="00FA3856">
          <w:rPr>
            <w:rStyle w:val="Hyperlink"/>
            <w:rFonts w:ascii="Times New Roman" w:hAnsi="Times New Roman" w:cs="Times New Roman"/>
            <w:color w:val="auto"/>
            <w:szCs w:val="20"/>
          </w:rPr>
          <w:t xml:space="preserve"> 1.991-15</w:t>
        </w:r>
      </w:hyperlink>
      <w:r w:rsidRPr="00FA3856">
        <w:rPr>
          <w:rFonts w:ascii="Times New Roman" w:hAnsi="Times New Roman" w:cs="Times New Roman"/>
          <w:szCs w:val="20"/>
        </w:rPr>
        <w:t xml:space="preserve">, de 2000, e reedições, e pelo art. 74 da </w:t>
      </w:r>
      <w:hyperlink r:id="rId504" w:anchor="MP1807" w:history="1">
        <w:r w:rsidRPr="00FA3856">
          <w:rPr>
            <w:rStyle w:val="Hyperlink"/>
            <w:rFonts w:ascii="Times New Roman" w:hAnsi="Times New Roman" w:cs="Times New Roman"/>
            <w:color w:val="auto"/>
            <w:szCs w:val="20"/>
          </w:rPr>
          <w:t>MP n</w:t>
        </w:r>
        <w:r w:rsidRPr="00FA3856">
          <w:rPr>
            <w:rStyle w:val="Hyperlink"/>
            <w:rFonts w:ascii="Times New Roman" w:hAnsi="Times New Roman" w:cs="Times New Roman"/>
            <w:strike/>
            <w:color w:val="auto"/>
            <w:szCs w:val="20"/>
          </w:rPr>
          <w:t>º</w:t>
        </w:r>
        <w:r w:rsidRPr="00FA3856">
          <w:rPr>
            <w:rStyle w:val="Hyperlink"/>
            <w:rFonts w:ascii="Times New Roman" w:hAnsi="Times New Roman" w:cs="Times New Roman"/>
            <w:color w:val="auto"/>
            <w:szCs w:val="20"/>
          </w:rPr>
          <w:t xml:space="preserve"> 2.158-34</w:t>
        </w:r>
      </w:hyperlink>
      <w:r w:rsidRPr="00FA3856">
        <w:rPr>
          <w:rFonts w:ascii="Times New Roman" w:hAnsi="Times New Roman" w:cs="Times New Roman"/>
          <w:szCs w:val="20"/>
        </w:rPr>
        <w:t>, de 2001. Deve, ainda, acrescer à base de cálculo o valor correspondente aos rendimentos e ganhos de capital, oriundos do exterior, no trimestre em que forem auferidos.</w:t>
      </w:r>
    </w:p>
    <w:p w:rsidR="003374E4" w:rsidRPr="00FA3856" w:rsidRDefault="003374E4" w:rsidP="00D80608">
      <w:pPr>
        <w:pStyle w:val="NormalWeb"/>
        <w:spacing w:before="0" w:after="0"/>
        <w:jc w:val="both"/>
        <w:rPr>
          <w:rFonts w:ascii="Times New Roman" w:hAnsi="Times New Roman" w:cs="Times New Roman"/>
          <w:b/>
          <w:bCs/>
          <w:szCs w:val="20"/>
        </w:rPr>
      </w:pPr>
    </w:p>
    <w:p w:rsidR="00D80608" w:rsidRPr="00FA3856" w:rsidRDefault="003374E4" w:rsidP="00D80608">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t>II.3)</w:t>
      </w:r>
      <w:r w:rsidR="00D80608" w:rsidRPr="00FA3856">
        <w:rPr>
          <w:rFonts w:ascii="Times New Roman" w:hAnsi="Times New Roman" w:cs="Times New Roman"/>
          <w:b/>
          <w:bCs/>
          <w:szCs w:val="20"/>
        </w:rPr>
        <w:t xml:space="preserve"> Valores de Operações Praticadas com Pessoas Vinculadas Residentes ou Domiciliadas no Exterior</w:t>
      </w:r>
    </w:p>
    <w:p w:rsidR="003374E4" w:rsidRPr="00FA3856" w:rsidRDefault="003374E4" w:rsidP="00D80608">
      <w:pPr>
        <w:pStyle w:val="NormalWeb"/>
        <w:spacing w:before="0" w:after="0"/>
        <w:jc w:val="both"/>
        <w:rPr>
          <w:rFonts w:ascii="Times New Roman" w:hAnsi="Times New Roman" w:cs="Times New Roman"/>
          <w:szCs w:val="20"/>
        </w:rPr>
      </w:pPr>
    </w:p>
    <w:p w:rsidR="003374E4" w:rsidRPr="00FA3856" w:rsidRDefault="00D80608" w:rsidP="003374E4">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 xml:space="preserve">Os valores de que tratam as alíneas "h", "i" e "j" do </w:t>
      </w:r>
      <w:hyperlink r:id="rId505" w:anchor="subitem_15.3.2.2" w:history="1">
        <w:r w:rsidR="003374E4" w:rsidRPr="00FA3856">
          <w:rPr>
            <w:rStyle w:val="Hyperlink"/>
            <w:rFonts w:ascii="Times New Roman" w:hAnsi="Times New Roman" w:cs="Times New Roman"/>
            <w:color w:val="auto"/>
            <w:szCs w:val="20"/>
          </w:rPr>
          <w:t>subitem II</w:t>
        </w:r>
        <w:r w:rsidRPr="00FA3856">
          <w:rPr>
            <w:rStyle w:val="Hyperlink"/>
            <w:rFonts w:ascii="Times New Roman" w:hAnsi="Times New Roman" w:cs="Times New Roman"/>
            <w:color w:val="auto"/>
            <w:szCs w:val="20"/>
          </w:rPr>
          <w:t>.2</w:t>
        </w:r>
      </w:hyperlink>
      <w:r w:rsidRPr="00FA3856">
        <w:rPr>
          <w:rFonts w:ascii="Times New Roman" w:hAnsi="Times New Roman" w:cs="Times New Roman"/>
          <w:szCs w:val="20"/>
        </w:rPr>
        <w:t xml:space="preserve"> são apurados anualmente e acrescidos à base de cálculo do último trimestre do ano-calendário,</w:t>
      </w:r>
      <w:bookmarkStart w:id="325" w:name="subitem_15.3.2.2.c"/>
      <w:bookmarkEnd w:id="325"/>
      <w:r w:rsidRPr="00FA3856">
        <w:rPr>
          <w:rFonts w:ascii="Times New Roman" w:hAnsi="Times New Roman" w:cs="Times New Roman"/>
          <w:szCs w:val="20"/>
        </w:rPr>
        <w:t xml:space="preserve"> para efeitos de </w:t>
      </w:r>
      <w:r w:rsidR="00411D4D">
        <w:rPr>
          <w:rFonts w:ascii="Times New Roman" w:hAnsi="Times New Roman" w:cs="Times New Roman"/>
          <w:szCs w:val="20"/>
        </w:rPr>
        <w:t>se determinar o imposto devido</w:t>
      </w:r>
      <w:r w:rsidRPr="00FA3856">
        <w:rPr>
          <w:rFonts w:ascii="Times New Roman" w:hAnsi="Times New Roman" w:cs="Times New Roman"/>
          <w:szCs w:val="20"/>
        </w:rPr>
        <w:t>.</w:t>
      </w:r>
    </w:p>
    <w:p w:rsidR="003374E4" w:rsidRPr="00FA3856" w:rsidRDefault="003374E4" w:rsidP="003374E4">
      <w:pPr>
        <w:pStyle w:val="NormalWeb"/>
        <w:spacing w:before="0" w:after="0"/>
        <w:ind w:firstLine="708"/>
        <w:jc w:val="both"/>
        <w:rPr>
          <w:rFonts w:ascii="Times New Roman" w:hAnsi="Times New Roman" w:cs="Times New Roman"/>
          <w:szCs w:val="20"/>
        </w:rPr>
      </w:pPr>
    </w:p>
    <w:p w:rsidR="00D80608" w:rsidRPr="00FA3856" w:rsidRDefault="00D80608" w:rsidP="003374E4">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 xml:space="preserve">A diferença entre </w:t>
      </w:r>
      <w:bookmarkStart w:id="326" w:name="subitem_15.3.2.2.d"/>
      <w:bookmarkEnd w:id="326"/>
      <w:r w:rsidRPr="00FA3856">
        <w:rPr>
          <w:rFonts w:ascii="Times New Roman" w:hAnsi="Times New Roman" w:cs="Times New Roman"/>
          <w:szCs w:val="20"/>
        </w:rPr>
        <w:t>o imposto calculado conforme o parágrafo ante</w:t>
      </w:r>
      <w:bookmarkStart w:id="327" w:name="subitem_15.3.2.2.e"/>
      <w:bookmarkEnd w:id="327"/>
      <w:r w:rsidRPr="00FA3856">
        <w:rPr>
          <w:rFonts w:ascii="Times New Roman" w:hAnsi="Times New Roman" w:cs="Times New Roman"/>
          <w:szCs w:val="20"/>
        </w:rPr>
        <w:t xml:space="preserve">rior e o apurado nos demais trimestres do ano-calendário, sem a inclusão desses valores, deve ser recolhida conjuntamente com o </w:t>
      </w:r>
      <w:bookmarkStart w:id="328" w:name="subitem_15.3.2.2.f"/>
      <w:bookmarkEnd w:id="328"/>
      <w:r w:rsidRPr="00FA3856">
        <w:rPr>
          <w:rFonts w:ascii="Times New Roman" w:hAnsi="Times New Roman" w:cs="Times New Roman"/>
          <w:szCs w:val="20"/>
        </w:rPr>
        <w:t>imposto devido relativo ao quarto trimestre.</w:t>
      </w:r>
    </w:p>
    <w:p w:rsidR="003374E4" w:rsidRPr="00FA3856" w:rsidRDefault="003374E4" w:rsidP="003374E4">
      <w:pPr>
        <w:pStyle w:val="NormalWeb"/>
        <w:spacing w:before="0" w:after="0"/>
        <w:ind w:firstLine="708"/>
        <w:jc w:val="both"/>
        <w:rPr>
          <w:rFonts w:ascii="Times New Roman" w:hAnsi="Times New Roman" w:cs="Times New Roman"/>
          <w:szCs w:val="20"/>
        </w:rPr>
      </w:pPr>
    </w:p>
    <w:p w:rsidR="003374E4" w:rsidRPr="00FA3856" w:rsidRDefault="003374E4">
      <w:pPr>
        <w:spacing w:after="200" w:line="276" w:lineRule="auto"/>
        <w:rPr>
          <w:rFonts w:eastAsia="Arial Unicode MS"/>
          <w:b/>
          <w:bCs/>
          <w:szCs w:val="20"/>
          <w:lang w:eastAsia="ar-SA"/>
        </w:rPr>
      </w:pPr>
      <w:r w:rsidRPr="00FA3856">
        <w:rPr>
          <w:b/>
          <w:bCs/>
          <w:szCs w:val="20"/>
        </w:rPr>
        <w:br w:type="page"/>
      </w:r>
    </w:p>
    <w:p w:rsidR="00D80608" w:rsidRPr="00FA3856" w:rsidRDefault="003374E4" w:rsidP="00D80608">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lastRenderedPageBreak/>
        <w:t xml:space="preserve">III) </w:t>
      </w:r>
      <w:r w:rsidR="00D80608" w:rsidRPr="00FA3856">
        <w:rPr>
          <w:rFonts w:ascii="Times New Roman" w:hAnsi="Times New Roman" w:cs="Times New Roman"/>
          <w:b/>
          <w:bCs/>
          <w:szCs w:val="20"/>
        </w:rPr>
        <w:t>Receitas Tributadas na Fonte</w:t>
      </w:r>
    </w:p>
    <w:p w:rsidR="003374E4" w:rsidRPr="00FA3856" w:rsidRDefault="003374E4" w:rsidP="00D80608">
      <w:pPr>
        <w:pStyle w:val="NormalWeb"/>
        <w:spacing w:before="0" w:after="0"/>
        <w:jc w:val="both"/>
        <w:rPr>
          <w:rFonts w:ascii="Times New Roman" w:hAnsi="Times New Roman" w:cs="Times New Roman"/>
          <w:szCs w:val="20"/>
        </w:rPr>
      </w:pPr>
    </w:p>
    <w:p w:rsidR="003374E4" w:rsidRPr="00FA3856" w:rsidRDefault="003374E4" w:rsidP="003374E4">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As importâncias pagas ou creditadas à pessoa jurídica, sujeitas à incidência do imposto na fonte, têm o seguinte tratamento:</w:t>
      </w:r>
    </w:p>
    <w:p w:rsidR="003374E4" w:rsidRPr="00FA3856" w:rsidRDefault="003374E4" w:rsidP="003374E4">
      <w:pPr>
        <w:pStyle w:val="NormalWeb"/>
        <w:spacing w:before="0" w:after="0"/>
        <w:ind w:firstLine="708"/>
        <w:jc w:val="both"/>
        <w:rPr>
          <w:rFonts w:ascii="Times New Roman" w:hAnsi="Times New Roman" w:cs="Times New Roman"/>
          <w:szCs w:val="20"/>
        </w:rPr>
      </w:pPr>
    </w:p>
    <w:p w:rsidR="003374E4" w:rsidRPr="00FA3856" w:rsidRDefault="003374E4" w:rsidP="003374E4">
      <w:pPr>
        <w:pStyle w:val="NormalWeb"/>
        <w:spacing w:before="0" w:after="0"/>
        <w:ind w:left="708"/>
        <w:jc w:val="both"/>
        <w:rPr>
          <w:rFonts w:ascii="Times New Roman" w:hAnsi="Times New Roman" w:cs="Times New Roman"/>
          <w:szCs w:val="20"/>
        </w:rPr>
      </w:pPr>
      <w:r w:rsidRPr="00FA3856">
        <w:rPr>
          <w:rFonts w:ascii="Times New Roman" w:hAnsi="Times New Roman" w:cs="Times New Roman"/>
          <w:szCs w:val="20"/>
        </w:rPr>
        <w:t>a) quando decorrentes da prestação de serviços caracterizadamente de natureza profissional, de comissões, corretagens ou quaisquer outras remunerações pela representação comercial ou p</w:t>
      </w:r>
      <w:bookmarkStart w:id="329" w:name="subitem_15.3.2.2.g"/>
      <w:bookmarkEnd w:id="329"/>
      <w:r w:rsidRPr="00FA3856">
        <w:rPr>
          <w:rFonts w:ascii="Times New Roman" w:hAnsi="Times New Roman" w:cs="Times New Roman"/>
          <w:szCs w:val="20"/>
        </w:rPr>
        <w:t>ela mediação na realização de negócios civis e comerciais e da prestação de serviços de propaganda e publicidade, são incluídas como receitas de prestação de serviços e o imposto retido na fonte pode ser compensado com o devido trimestralmente. Para efeito de compensação, o imposto pago ou retido, constante de documento hábil, é compensado pelos valores originais, sem qualquer atualização (Lei nº 9.430, de 1996, art. 75, parágrafo único). Quando o imposto a compensar for superior ao devido no trimestre, o excesso pode ser compensado nos trimestr</w:t>
      </w:r>
      <w:bookmarkStart w:id="330" w:name="subitem_15.3.2.2.h"/>
      <w:bookmarkEnd w:id="330"/>
      <w:r w:rsidRPr="00FA3856">
        <w:rPr>
          <w:rFonts w:ascii="Times New Roman" w:hAnsi="Times New Roman" w:cs="Times New Roman"/>
          <w:szCs w:val="20"/>
        </w:rPr>
        <w:t>es subsequentes, acrescido dos juros equivalentes à taxa referencial do Sistema Especial de Liquidação e Custódia (Selic), para títulos federais, acumulada mensalmente, a partir do primeiro dia do trimestre subsequente até o mês anterior ao da compensação e de 1% (um por cento) no mês da compensação;</w:t>
      </w:r>
    </w:p>
    <w:p w:rsidR="003374E4" w:rsidRPr="00FA3856" w:rsidRDefault="003374E4" w:rsidP="003374E4">
      <w:pPr>
        <w:pStyle w:val="NormalWeb"/>
        <w:spacing w:before="0" w:after="0"/>
        <w:ind w:firstLine="708"/>
        <w:jc w:val="both"/>
        <w:rPr>
          <w:rFonts w:ascii="Times New Roman" w:hAnsi="Times New Roman" w:cs="Times New Roman"/>
          <w:szCs w:val="20"/>
        </w:rPr>
      </w:pPr>
    </w:p>
    <w:p w:rsidR="003374E4" w:rsidRPr="00FA3856" w:rsidRDefault="003374E4" w:rsidP="003374E4">
      <w:pPr>
        <w:pStyle w:val="NormalWeb"/>
        <w:spacing w:before="0" w:after="0"/>
        <w:ind w:left="708"/>
        <w:jc w:val="both"/>
        <w:rPr>
          <w:rFonts w:ascii="Times New Roman" w:hAnsi="Times New Roman" w:cs="Times New Roman"/>
          <w:szCs w:val="20"/>
        </w:rPr>
      </w:pPr>
      <w:r w:rsidRPr="00FA3856">
        <w:rPr>
          <w:rFonts w:ascii="Times New Roman" w:hAnsi="Times New Roman" w:cs="Times New Roman"/>
          <w:szCs w:val="20"/>
        </w:rPr>
        <w:t>b) os rendimentos de aplicações financeiras de renda fixa, renda variável ou juros sobre o capital próprio são incluídos na bas</w:t>
      </w:r>
      <w:bookmarkStart w:id="331" w:name="subitem_15.3.2.2.i"/>
      <w:bookmarkEnd w:id="331"/>
      <w:r w:rsidRPr="00FA3856">
        <w:rPr>
          <w:rFonts w:ascii="Times New Roman" w:hAnsi="Times New Roman" w:cs="Times New Roman"/>
          <w:szCs w:val="20"/>
        </w:rPr>
        <w:t>e de cálculo e o imposto pago ou retido incidente sobre esses rendimentos pode ser compensado com o devido trimestralmente. Para efeito de compensação, o imposto pago ou retido, constante de documento hábil, é compensado pelos valores originais, sem qualquer atualização (Lei nº 9.430, de 1996, art. 75, parágrafo único). Quando</w:t>
      </w:r>
      <w:bookmarkStart w:id="332" w:name="subitem_15.3.2.2.j"/>
      <w:bookmarkEnd w:id="332"/>
      <w:r w:rsidRPr="00FA3856">
        <w:rPr>
          <w:rFonts w:ascii="Times New Roman" w:hAnsi="Times New Roman" w:cs="Times New Roman"/>
          <w:szCs w:val="20"/>
        </w:rPr>
        <w:t xml:space="preserve"> o imposto a compensar for superior ao imposto devido no trimestre, o excesso pode ser compensado nos trimestres subsequentes, acrescid</w:t>
      </w:r>
      <w:bookmarkStart w:id="333" w:name="subitem_15.3.2.2.l"/>
      <w:bookmarkEnd w:id="333"/>
      <w:r w:rsidRPr="00FA3856">
        <w:rPr>
          <w:rFonts w:ascii="Times New Roman" w:hAnsi="Times New Roman" w:cs="Times New Roman"/>
          <w:szCs w:val="20"/>
        </w:rPr>
        <w:t>o dos juros equivalentes à taxa referencial do Sistema Especial de L</w:t>
      </w:r>
      <w:bookmarkStart w:id="334" w:name="subitem_15.3.2.2.m"/>
      <w:bookmarkEnd w:id="334"/>
      <w:r w:rsidRPr="00FA3856">
        <w:rPr>
          <w:rFonts w:ascii="Times New Roman" w:hAnsi="Times New Roman" w:cs="Times New Roman"/>
          <w:szCs w:val="20"/>
        </w:rPr>
        <w:t>iquidação e Custódia (Selic), para títulos federais, acumulada mensalmente, a partir do primeiro dia do trimestre subsequente até o mês anterior ao da compensação e de 1% (um por cento) no mês da compensação;</w:t>
      </w:r>
    </w:p>
    <w:p w:rsidR="003374E4" w:rsidRPr="00FA3856" w:rsidRDefault="003374E4" w:rsidP="003374E4">
      <w:pPr>
        <w:pStyle w:val="NormalWeb"/>
        <w:spacing w:before="0" w:after="0"/>
        <w:ind w:firstLine="708"/>
        <w:jc w:val="both"/>
        <w:rPr>
          <w:rFonts w:ascii="Times New Roman" w:hAnsi="Times New Roman" w:cs="Times New Roman"/>
          <w:szCs w:val="20"/>
        </w:rPr>
      </w:pPr>
    </w:p>
    <w:p w:rsidR="003374E4" w:rsidRPr="00FA3856" w:rsidRDefault="003374E4" w:rsidP="003374E4">
      <w:pPr>
        <w:pStyle w:val="NormalWeb"/>
        <w:spacing w:before="0" w:after="0"/>
        <w:ind w:left="708"/>
        <w:jc w:val="both"/>
        <w:rPr>
          <w:rFonts w:ascii="Times New Roman" w:hAnsi="Times New Roman" w:cs="Times New Roman"/>
          <w:szCs w:val="20"/>
        </w:rPr>
      </w:pPr>
      <w:r w:rsidRPr="00FA3856">
        <w:rPr>
          <w:rFonts w:ascii="Times New Roman" w:hAnsi="Times New Roman" w:cs="Times New Roman"/>
          <w:szCs w:val="20"/>
        </w:rPr>
        <w:t>c) são considerados tributados exclusivamente na fonte os rendimentos decorrentes de participações societárias, sempre que tais rendimentos sofrerem tributação na fonte, observada a legislação da época em que forem gerados.</w:t>
      </w:r>
    </w:p>
    <w:p w:rsidR="003374E4" w:rsidRPr="00FA3856" w:rsidRDefault="003374E4" w:rsidP="003374E4">
      <w:pPr>
        <w:pStyle w:val="NormalWeb"/>
        <w:spacing w:before="0" w:after="0"/>
        <w:ind w:left="708"/>
        <w:jc w:val="both"/>
        <w:rPr>
          <w:rFonts w:ascii="Times New Roman" w:hAnsi="Times New Roman" w:cs="Times New Roman"/>
          <w:szCs w:val="20"/>
        </w:rPr>
      </w:pPr>
    </w:p>
    <w:p w:rsidR="00D80608" w:rsidRPr="00FA3856" w:rsidRDefault="003374E4" w:rsidP="00D80608">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t>IV)</w:t>
      </w:r>
      <w:r w:rsidR="00D80608" w:rsidRPr="00FA3856">
        <w:rPr>
          <w:rFonts w:ascii="Times New Roman" w:hAnsi="Times New Roman" w:cs="Times New Roman"/>
          <w:b/>
          <w:bCs/>
          <w:szCs w:val="20"/>
        </w:rPr>
        <w:t xml:space="preserve"> Determinação do Imposto Devido</w:t>
      </w:r>
    </w:p>
    <w:p w:rsidR="003374E4" w:rsidRPr="00FA3856" w:rsidRDefault="003374E4" w:rsidP="00D80608">
      <w:pPr>
        <w:pStyle w:val="NormalWeb"/>
        <w:spacing w:before="0" w:after="0"/>
        <w:jc w:val="both"/>
        <w:rPr>
          <w:rFonts w:ascii="Times New Roman" w:hAnsi="Times New Roman" w:cs="Times New Roman"/>
          <w:b/>
          <w:bCs/>
          <w:szCs w:val="20"/>
        </w:rPr>
      </w:pPr>
    </w:p>
    <w:p w:rsidR="00D80608" w:rsidRPr="00FA3856" w:rsidRDefault="003374E4" w:rsidP="00D80608">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t>IV.1)</w:t>
      </w:r>
      <w:r w:rsidR="00D80608" w:rsidRPr="00FA3856">
        <w:rPr>
          <w:rFonts w:ascii="Times New Roman" w:hAnsi="Times New Roman" w:cs="Times New Roman"/>
          <w:b/>
          <w:bCs/>
          <w:szCs w:val="20"/>
        </w:rPr>
        <w:t xml:space="preserve"> Alíquota</w:t>
      </w:r>
    </w:p>
    <w:p w:rsidR="003374E4" w:rsidRPr="00FA3856" w:rsidRDefault="003374E4" w:rsidP="00D80608">
      <w:pPr>
        <w:pStyle w:val="NormalWeb"/>
        <w:spacing w:before="0" w:after="0"/>
        <w:jc w:val="both"/>
        <w:rPr>
          <w:rFonts w:ascii="Times New Roman" w:hAnsi="Times New Roman" w:cs="Times New Roman"/>
          <w:szCs w:val="20"/>
        </w:rPr>
      </w:pPr>
    </w:p>
    <w:p w:rsidR="00D80608" w:rsidRPr="00FA3856" w:rsidRDefault="00D80608" w:rsidP="003374E4">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O imposto devido em cada trimestre é calculado mediante a aplicação da alíquota de 15% (quinze por cento) sobre o lucro arbitrado.</w:t>
      </w:r>
    </w:p>
    <w:p w:rsidR="003374E4" w:rsidRPr="00FA3856" w:rsidRDefault="003374E4" w:rsidP="00D80608">
      <w:pPr>
        <w:pStyle w:val="NormalWeb"/>
        <w:spacing w:before="0" w:after="0"/>
        <w:jc w:val="both"/>
        <w:rPr>
          <w:rFonts w:ascii="Times New Roman" w:hAnsi="Times New Roman" w:cs="Times New Roman"/>
          <w:b/>
          <w:bCs/>
          <w:szCs w:val="20"/>
        </w:rPr>
      </w:pPr>
    </w:p>
    <w:p w:rsidR="00D80608" w:rsidRPr="00FA3856" w:rsidRDefault="003374E4" w:rsidP="00D80608">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t xml:space="preserve">IV.2) </w:t>
      </w:r>
      <w:r w:rsidR="00D80608" w:rsidRPr="00FA3856">
        <w:rPr>
          <w:rFonts w:ascii="Times New Roman" w:hAnsi="Times New Roman" w:cs="Times New Roman"/>
          <w:b/>
          <w:bCs/>
          <w:szCs w:val="20"/>
        </w:rPr>
        <w:t>Adicional</w:t>
      </w:r>
    </w:p>
    <w:p w:rsidR="003374E4" w:rsidRPr="00FA3856" w:rsidRDefault="003374E4" w:rsidP="003374E4">
      <w:pPr>
        <w:pStyle w:val="NormalWeb"/>
        <w:spacing w:before="0" w:after="0"/>
        <w:ind w:firstLine="708"/>
        <w:jc w:val="both"/>
        <w:rPr>
          <w:rFonts w:ascii="Times New Roman" w:hAnsi="Times New Roman" w:cs="Times New Roman"/>
          <w:szCs w:val="20"/>
        </w:rPr>
      </w:pPr>
    </w:p>
    <w:p w:rsidR="00D80608" w:rsidRPr="00FA3856" w:rsidRDefault="00D80608" w:rsidP="003374E4">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parcela do lucro arbitrado que exceder o valor da multiplicação de R$ 20.000,00 (vinte mil reais) pelo número dos meses do respectivo período de apuração sujeita-se à incidência do adicional, à alíquota de 10% (dez por cento).</w:t>
      </w:r>
    </w:p>
    <w:p w:rsidR="003374E4" w:rsidRPr="00FA3856" w:rsidRDefault="003374E4" w:rsidP="00D80608">
      <w:pPr>
        <w:pStyle w:val="NormalWeb"/>
        <w:spacing w:before="0" w:after="0"/>
        <w:jc w:val="both"/>
        <w:rPr>
          <w:rFonts w:ascii="Times New Roman" w:hAnsi="Times New Roman" w:cs="Times New Roman"/>
          <w:b/>
          <w:bCs/>
          <w:szCs w:val="20"/>
        </w:rPr>
      </w:pPr>
    </w:p>
    <w:p w:rsidR="00D80608" w:rsidRPr="00FA3856" w:rsidRDefault="003374E4" w:rsidP="00D80608">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t xml:space="preserve">IV.3) </w:t>
      </w:r>
      <w:r w:rsidR="00D80608" w:rsidRPr="00FA3856">
        <w:rPr>
          <w:rFonts w:ascii="Times New Roman" w:hAnsi="Times New Roman" w:cs="Times New Roman"/>
          <w:b/>
          <w:bCs/>
          <w:szCs w:val="20"/>
        </w:rPr>
        <w:t>Deduções do Imposto devido</w:t>
      </w:r>
    </w:p>
    <w:p w:rsidR="003374E4" w:rsidRPr="00FA3856" w:rsidRDefault="003374E4" w:rsidP="00D80608">
      <w:pPr>
        <w:pStyle w:val="NormalWeb"/>
        <w:spacing w:before="0" w:after="0"/>
        <w:jc w:val="both"/>
        <w:rPr>
          <w:rFonts w:ascii="Times New Roman" w:hAnsi="Times New Roman" w:cs="Times New Roman"/>
          <w:szCs w:val="20"/>
        </w:rPr>
      </w:pPr>
    </w:p>
    <w:p w:rsidR="00D80608" w:rsidRPr="00FA3856" w:rsidRDefault="00D80608" w:rsidP="003374E4">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pessoa jurídica submetida ao regime de tributação com base no lucro arbitrado pode deduzir do imposto devido:</w:t>
      </w:r>
    </w:p>
    <w:p w:rsidR="003374E4" w:rsidRPr="00FA3856" w:rsidRDefault="003374E4" w:rsidP="00D80608">
      <w:pPr>
        <w:pStyle w:val="NormalWeb"/>
        <w:spacing w:before="0" w:after="0"/>
        <w:jc w:val="both"/>
        <w:rPr>
          <w:rFonts w:ascii="Times New Roman" w:hAnsi="Times New Roman" w:cs="Times New Roman"/>
          <w:szCs w:val="20"/>
        </w:rPr>
      </w:pPr>
    </w:p>
    <w:p w:rsidR="00D80608" w:rsidRPr="00FA3856" w:rsidRDefault="00D80608" w:rsidP="003374E4">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o imposto de renda pago ou retido na fonte sobre receitas que integram a base de cálculo do imposto devido;</w:t>
      </w:r>
    </w:p>
    <w:p w:rsidR="00D80608" w:rsidRPr="00FA3856" w:rsidRDefault="00D80608" w:rsidP="003374E4">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b) o imposto de renda retido na fonte por órgãos públicos, conforme art. 64 da Lei n</w:t>
      </w:r>
      <w:r w:rsidRPr="00FA3856">
        <w:rPr>
          <w:rFonts w:ascii="Times New Roman" w:hAnsi="Times New Roman" w:cs="Times New Roman"/>
          <w:strike/>
          <w:szCs w:val="20"/>
        </w:rPr>
        <w:t>º</w:t>
      </w:r>
      <w:r w:rsidRPr="00FA3856">
        <w:rPr>
          <w:rFonts w:ascii="Times New Roman" w:hAnsi="Times New Roman" w:cs="Times New Roman"/>
          <w:szCs w:val="20"/>
        </w:rPr>
        <w:t xml:space="preserve"> 9.430, de 1996;</w:t>
      </w:r>
    </w:p>
    <w:p w:rsidR="00D80608" w:rsidRPr="00FA3856" w:rsidRDefault="00D80608" w:rsidP="003374E4">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c) o imposto de renda retido na fonte por Entidades da Administração Pública Federal (Lei nº 10.833/2003, art. 34);</w:t>
      </w:r>
    </w:p>
    <w:p w:rsidR="00D80608" w:rsidRPr="00FA3856" w:rsidRDefault="00D80608" w:rsidP="003374E4">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d) o imposto de renda pago incidente sobre ganhos no mercado de renda variável.</w:t>
      </w:r>
    </w:p>
    <w:p w:rsidR="003374E4" w:rsidRPr="00FA3856" w:rsidRDefault="003374E4" w:rsidP="00D80608">
      <w:pPr>
        <w:pStyle w:val="NormalWeb"/>
        <w:spacing w:before="0" w:after="0"/>
        <w:jc w:val="both"/>
        <w:rPr>
          <w:rFonts w:ascii="Times New Roman" w:hAnsi="Times New Roman" w:cs="Times New Roman"/>
          <w:b/>
          <w:bCs/>
          <w:szCs w:val="20"/>
        </w:rPr>
      </w:pPr>
    </w:p>
    <w:p w:rsidR="00D80608" w:rsidRPr="00FA3856" w:rsidRDefault="003374E4" w:rsidP="00D80608">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lastRenderedPageBreak/>
        <w:t xml:space="preserve">IV.4) </w:t>
      </w:r>
      <w:r w:rsidR="00D80608" w:rsidRPr="00FA3856">
        <w:rPr>
          <w:rFonts w:ascii="Times New Roman" w:hAnsi="Times New Roman" w:cs="Times New Roman"/>
          <w:b/>
          <w:bCs/>
          <w:szCs w:val="20"/>
        </w:rPr>
        <w:t>Compensações do Imposto de Renda Devido</w:t>
      </w:r>
    </w:p>
    <w:p w:rsidR="003374E4" w:rsidRPr="00FA3856" w:rsidRDefault="003374E4" w:rsidP="00D80608">
      <w:pPr>
        <w:pStyle w:val="NormalWeb"/>
        <w:spacing w:before="0" w:after="0"/>
        <w:jc w:val="both"/>
        <w:rPr>
          <w:rFonts w:ascii="Times New Roman" w:hAnsi="Times New Roman" w:cs="Times New Roman"/>
          <w:szCs w:val="20"/>
        </w:rPr>
      </w:pPr>
    </w:p>
    <w:p w:rsidR="00D80608" w:rsidRPr="00FA3856" w:rsidRDefault="00D80608" w:rsidP="003374E4">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pessoa jurídica pode efetuar as seguintes compensações:</w:t>
      </w:r>
    </w:p>
    <w:p w:rsidR="003374E4" w:rsidRPr="00FA3856" w:rsidRDefault="003374E4" w:rsidP="00D80608">
      <w:pPr>
        <w:pStyle w:val="NormalWeb"/>
        <w:spacing w:before="0" w:after="0"/>
        <w:jc w:val="both"/>
        <w:rPr>
          <w:rFonts w:ascii="Times New Roman" w:hAnsi="Times New Roman" w:cs="Times New Roman"/>
          <w:szCs w:val="20"/>
        </w:rPr>
      </w:pPr>
    </w:p>
    <w:p w:rsidR="00D80608" w:rsidRPr="00FA3856" w:rsidRDefault="00D80608" w:rsidP="003374E4">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pagamento indevido ou a maior que o devido de imposto de renda;</w:t>
      </w:r>
    </w:p>
    <w:p w:rsidR="00D80608" w:rsidRPr="00FA3856" w:rsidRDefault="00D80608" w:rsidP="003374E4">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b) saldo negativo de imposto de renda de períodos anteriores;</w:t>
      </w:r>
    </w:p>
    <w:p w:rsidR="00D80608" w:rsidRPr="00FA3856" w:rsidRDefault="00D80608" w:rsidP="003374E4">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c) outras compensações efetuadas mediante Declaração de Compensação (PER/DComp) ou processo administrativo.</w:t>
      </w:r>
    </w:p>
    <w:p w:rsidR="003374E4" w:rsidRPr="00FA3856" w:rsidRDefault="003374E4" w:rsidP="00D80608">
      <w:pPr>
        <w:pStyle w:val="NormalWeb"/>
        <w:spacing w:before="0" w:after="0"/>
        <w:jc w:val="both"/>
        <w:rPr>
          <w:rFonts w:ascii="Times New Roman" w:hAnsi="Times New Roman" w:cs="Times New Roman"/>
          <w:szCs w:val="20"/>
        </w:rPr>
      </w:pPr>
    </w:p>
    <w:p w:rsidR="00D80608" w:rsidRPr="00FA3856" w:rsidRDefault="00D80608" w:rsidP="003374E4">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As compensações devem ser informadas na DCTF.</w:t>
      </w:r>
    </w:p>
    <w:p w:rsidR="003374E4" w:rsidRPr="00FA3856" w:rsidRDefault="003374E4" w:rsidP="00D80608">
      <w:pPr>
        <w:pStyle w:val="NormalWeb"/>
        <w:spacing w:before="0" w:after="0"/>
        <w:jc w:val="both"/>
        <w:rPr>
          <w:rFonts w:ascii="Times New Roman" w:hAnsi="Times New Roman" w:cs="Times New Roman"/>
          <w:b/>
          <w:bCs/>
          <w:szCs w:val="20"/>
        </w:rPr>
      </w:pPr>
    </w:p>
    <w:p w:rsidR="00D80608" w:rsidRPr="00FA3856" w:rsidRDefault="003374E4" w:rsidP="00D80608">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t xml:space="preserve">IV.5) </w:t>
      </w:r>
      <w:r w:rsidR="00D80608" w:rsidRPr="00FA3856">
        <w:rPr>
          <w:rFonts w:ascii="Times New Roman" w:hAnsi="Times New Roman" w:cs="Times New Roman"/>
          <w:b/>
          <w:bCs/>
          <w:szCs w:val="20"/>
        </w:rPr>
        <w:t>Incentivos Fiscais</w:t>
      </w:r>
    </w:p>
    <w:p w:rsidR="003374E4" w:rsidRPr="00FA3856" w:rsidRDefault="003374E4" w:rsidP="00D80608">
      <w:pPr>
        <w:pStyle w:val="NormalWeb"/>
        <w:spacing w:before="0" w:after="0"/>
        <w:jc w:val="both"/>
        <w:rPr>
          <w:rFonts w:ascii="Times New Roman" w:hAnsi="Times New Roman" w:cs="Times New Roman"/>
          <w:szCs w:val="20"/>
        </w:rPr>
      </w:pPr>
    </w:p>
    <w:p w:rsidR="00D80608" w:rsidRPr="00FA3856" w:rsidRDefault="00D80608" w:rsidP="003374E4">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À pessoa jurídica tributada com base no lucro arbitrado não é permitido qualquer dedução a título de incentivo fiscal (Lei n</w:t>
      </w:r>
      <w:r w:rsidRPr="00FA3856">
        <w:rPr>
          <w:rFonts w:ascii="Times New Roman" w:hAnsi="Times New Roman" w:cs="Times New Roman"/>
          <w:strike/>
          <w:szCs w:val="20"/>
        </w:rPr>
        <w:t>º</w:t>
      </w:r>
      <w:r w:rsidRPr="00FA3856">
        <w:rPr>
          <w:rFonts w:ascii="Times New Roman" w:hAnsi="Times New Roman" w:cs="Times New Roman"/>
          <w:szCs w:val="20"/>
        </w:rPr>
        <w:t xml:space="preserve"> 9.532, de 1997, art.10).</w:t>
      </w:r>
    </w:p>
    <w:p w:rsidR="003374E4" w:rsidRPr="00FA3856" w:rsidRDefault="003374E4" w:rsidP="00D80608">
      <w:pPr>
        <w:pStyle w:val="NormalWeb"/>
        <w:spacing w:before="0" w:after="0"/>
        <w:jc w:val="both"/>
        <w:rPr>
          <w:rFonts w:ascii="Times New Roman" w:hAnsi="Times New Roman" w:cs="Times New Roman"/>
          <w:b/>
          <w:bCs/>
          <w:szCs w:val="20"/>
        </w:rPr>
      </w:pPr>
    </w:p>
    <w:p w:rsidR="00D80608" w:rsidRPr="00FA3856" w:rsidRDefault="003374E4" w:rsidP="00D80608">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t xml:space="preserve">V) </w:t>
      </w:r>
      <w:r w:rsidR="00D80608" w:rsidRPr="00FA3856">
        <w:rPr>
          <w:rFonts w:ascii="Times New Roman" w:hAnsi="Times New Roman" w:cs="Times New Roman"/>
          <w:b/>
          <w:bCs/>
          <w:szCs w:val="20"/>
        </w:rPr>
        <w:t>Pagamento do Imposto</w:t>
      </w:r>
    </w:p>
    <w:p w:rsidR="003374E4" w:rsidRPr="00FA3856" w:rsidRDefault="003374E4" w:rsidP="00D80608">
      <w:pPr>
        <w:pStyle w:val="NormalWeb"/>
        <w:spacing w:before="0" w:after="0"/>
        <w:jc w:val="both"/>
        <w:rPr>
          <w:rFonts w:ascii="Times New Roman" w:hAnsi="Times New Roman" w:cs="Times New Roman"/>
          <w:b/>
          <w:bCs/>
          <w:szCs w:val="20"/>
        </w:rPr>
      </w:pPr>
    </w:p>
    <w:p w:rsidR="00D80608" w:rsidRPr="00FA3856" w:rsidRDefault="003374E4" w:rsidP="00D80608">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t xml:space="preserve">V.1) </w:t>
      </w:r>
      <w:r w:rsidR="00D80608" w:rsidRPr="00FA3856">
        <w:rPr>
          <w:rFonts w:ascii="Times New Roman" w:hAnsi="Times New Roman" w:cs="Times New Roman"/>
          <w:b/>
          <w:bCs/>
          <w:szCs w:val="20"/>
        </w:rPr>
        <w:t>Local de Pagamento</w:t>
      </w:r>
    </w:p>
    <w:p w:rsidR="003374E4" w:rsidRPr="00FA3856" w:rsidRDefault="003374E4" w:rsidP="00D80608">
      <w:pPr>
        <w:pStyle w:val="NormalWeb"/>
        <w:spacing w:before="0" w:after="0"/>
        <w:jc w:val="both"/>
        <w:rPr>
          <w:rFonts w:ascii="Times New Roman" w:hAnsi="Times New Roman" w:cs="Times New Roman"/>
          <w:szCs w:val="20"/>
        </w:rPr>
      </w:pPr>
    </w:p>
    <w:p w:rsidR="00D80608" w:rsidRPr="00FA3856" w:rsidRDefault="00D80608" w:rsidP="003374E4">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Os contribuintes devem pagar o imposto de renda da pessoa jurídica por intermédio dos Bancos integrantes da rede arrecadadora de receitas federais.</w:t>
      </w:r>
    </w:p>
    <w:p w:rsidR="003374E4" w:rsidRPr="00FA3856" w:rsidRDefault="003374E4" w:rsidP="00D80608">
      <w:pPr>
        <w:pStyle w:val="NormalWeb"/>
        <w:spacing w:before="0" w:after="0"/>
        <w:jc w:val="both"/>
        <w:rPr>
          <w:rFonts w:ascii="Times New Roman" w:hAnsi="Times New Roman" w:cs="Times New Roman"/>
          <w:b/>
          <w:bCs/>
          <w:szCs w:val="20"/>
        </w:rPr>
      </w:pPr>
    </w:p>
    <w:p w:rsidR="00D80608" w:rsidRPr="00FA3856" w:rsidRDefault="003374E4" w:rsidP="00D80608">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t xml:space="preserve">V.2) </w:t>
      </w:r>
      <w:r w:rsidR="00D80608" w:rsidRPr="00FA3856">
        <w:rPr>
          <w:rFonts w:ascii="Times New Roman" w:hAnsi="Times New Roman" w:cs="Times New Roman"/>
          <w:b/>
          <w:bCs/>
          <w:szCs w:val="20"/>
        </w:rPr>
        <w:t>Documento a Utilizar</w:t>
      </w:r>
    </w:p>
    <w:p w:rsidR="003374E4" w:rsidRPr="00FA3856" w:rsidRDefault="003374E4" w:rsidP="00D80608">
      <w:pPr>
        <w:pStyle w:val="NormalWeb"/>
        <w:spacing w:before="0" w:after="0"/>
        <w:jc w:val="both"/>
        <w:rPr>
          <w:rFonts w:ascii="Times New Roman" w:hAnsi="Times New Roman" w:cs="Times New Roman"/>
          <w:szCs w:val="20"/>
        </w:rPr>
      </w:pPr>
    </w:p>
    <w:p w:rsidR="00D80608" w:rsidRPr="00FA3856" w:rsidRDefault="00D80608" w:rsidP="003374E4">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O pagamento é feito mediante a utilização do Documento de Arrecadação de Receitas Federais (Darf), sob o código 5625.</w:t>
      </w:r>
    </w:p>
    <w:p w:rsidR="003374E4" w:rsidRPr="00FA3856" w:rsidRDefault="003374E4" w:rsidP="00D80608">
      <w:pPr>
        <w:pStyle w:val="NormalWeb"/>
        <w:spacing w:before="0" w:after="0"/>
        <w:jc w:val="both"/>
        <w:rPr>
          <w:rFonts w:ascii="Times New Roman" w:hAnsi="Times New Roman" w:cs="Times New Roman"/>
          <w:b/>
          <w:bCs/>
          <w:szCs w:val="20"/>
        </w:rPr>
      </w:pPr>
    </w:p>
    <w:p w:rsidR="00D80608" w:rsidRPr="00FA3856" w:rsidRDefault="003374E4" w:rsidP="00D80608">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t xml:space="preserve">V.3) </w:t>
      </w:r>
      <w:r w:rsidR="00D80608" w:rsidRPr="00FA3856">
        <w:rPr>
          <w:rFonts w:ascii="Times New Roman" w:hAnsi="Times New Roman" w:cs="Times New Roman"/>
          <w:b/>
          <w:bCs/>
          <w:szCs w:val="20"/>
        </w:rPr>
        <w:t>Prazo para Pagamento</w:t>
      </w:r>
    </w:p>
    <w:p w:rsidR="003374E4" w:rsidRPr="00FA3856" w:rsidRDefault="003374E4" w:rsidP="00D80608">
      <w:pPr>
        <w:pStyle w:val="NormalWeb"/>
        <w:spacing w:before="0" w:after="0"/>
        <w:jc w:val="both"/>
        <w:rPr>
          <w:rFonts w:ascii="Times New Roman" w:hAnsi="Times New Roman" w:cs="Times New Roman"/>
          <w:szCs w:val="20"/>
        </w:rPr>
      </w:pPr>
    </w:p>
    <w:p w:rsidR="00D80608" w:rsidRPr="00FA3856" w:rsidRDefault="00D80608" w:rsidP="003374E4">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 xml:space="preserve">O imposto de renda devido, apurado trimestralmente, deve ser pago em quota única, até o último dia útil do mês </w:t>
      </w:r>
      <w:r w:rsidR="0063733D" w:rsidRPr="00FA3856">
        <w:rPr>
          <w:rFonts w:ascii="Times New Roman" w:hAnsi="Times New Roman" w:cs="Times New Roman"/>
          <w:szCs w:val="20"/>
        </w:rPr>
        <w:t>subsequente</w:t>
      </w:r>
      <w:r w:rsidRPr="00FA3856">
        <w:rPr>
          <w:rFonts w:ascii="Times New Roman" w:hAnsi="Times New Roman" w:cs="Times New Roman"/>
          <w:szCs w:val="20"/>
        </w:rPr>
        <w:t xml:space="preserve"> ao do encerramento do período de apuração.</w:t>
      </w:r>
    </w:p>
    <w:p w:rsidR="003374E4" w:rsidRPr="00FA3856" w:rsidRDefault="003374E4" w:rsidP="00D80608">
      <w:pPr>
        <w:pStyle w:val="NormalWeb"/>
        <w:spacing w:before="0" w:after="0"/>
        <w:jc w:val="both"/>
        <w:rPr>
          <w:rFonts w:ascii="Times New Roman" w:hAnsi="Times New Roman" w:cs="Times New Roman"/>
          <w:szCs w:val="20"/>
        </w:rPr>
      </w:pPr>
    </w:p>
    <w:p w:rsidR="00D80608" w:rsidRPr="00FA3856" w:rsidRDefault="00D80608" w:rsidP="003374E4">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 xml:space="preserve">À opção da pessoa jurídica, o imposto devido pode ser pago em até três quotas mensais, iguais e sucessivas, vencíveis no último dia útil dos três meses </w:t>
      </w:r>
      <w:r w:rsidR="0063733D" w:rsidRPr="00FA3856">
        <w:rPr>
          <w:rFonts w:ascii="Times New Roman" w:hAnsi="Times New Roman" w:cs="Times New Roman"/>
          <w:szCs w:val="20"/>
        </w:rPr>
        <w:t>subsequentes</w:t>
      </w:r>
      <w:r w:rsidRPr="00FA3856">
        <w:rPr>
          <w:rFonts w:ascii="Times New Roman" w:hAnsi="Times New Roman" w:cs="Times New Roman"/>
          <w:szCs w:val="20"/>
        </w:rPr>
        <w:t xml:space="preserve"> ao de encerramento do período de apuração a que corresponder.</w:t>
      </w:r>
    </w:p>
    <w:p w:rsidR="003374E4" w:rsidRPr="00FA3856" w:rsidRDefault="003374E4" w:rsidP="00D80608">
      <w:pPr>
        <w:pStyle w:val="NormalWeb"/>
        <w:spacing w:before="0" w:after="0"/>
        <w:jc w:val="both"/>
        <w:rPr>
          <w:rFonts w:ascii="Times New Roman" w:hAnsi="Times New Roman" w:cs="Times New Roman"/>
          <w:szCs w:val="20"/>
        </w:rPr>
      </w:pPr>
    </w:p>
    <w:p w:rsidR="00D80608" w:rsidRPr="00FA3856" w:rsidRDefault="00D80608" w:rsidP="003374E4">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Nenhuma quota pode ter valor inferior a R$ 1.000,00 (mil reais) e o imposto de valor inferior a R$ 2.000,00 (dois mil reais) deve ser pago em quota única.</w:t>
      </w:r>
    </w:p>
    <w:p w:rsidR="003374E4" w:rsidRPr="00FA3856" w:rsidRDefault="003374E4" w:rsidP="00D80608">
      <w:pPr>
        <w:pStyle w:val="NormalWeb"/>
        <w:spacing w:before="0" w:after="0"/>
        <w:jc w:val="both"/>
        <w:rPr>
          <w:rFonts w:ascii="Times New Roman" w:hAnsi="Times New Roman" w:cs="Times New Roman"/>
          <w:szCs w:val="20"/>
        </w:rPr>
      </w:pPr>
    </w:p>
    <w:p w:rsidR="00D80608" w:rsidRPr="00FA3856" w:rsidRDefault="00D80608" w:rsidP="003374E4">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 xml:space="preserve">As quotas do imposto serão acrescidas de juros equivalentes à taxa referencial do Sistema Especial de Liquidação e Custódia (Selic), para títulos federais, acumulada mensalmente, a partir do primeiro dia do segundo mês </w:t>
      </w:r>
      <w:r w:rsidR="0063733D" w:rsidRPr="00FA3856">
        <w:rPr>
          <w:rFonts w:ascii="Times New Roman" w:hAnsi="Times New Roman" w:cs="Times New Roman"/>
          <w:szCs w:val="20"/>
        </w:rPr>
        <w:t>subsequente</w:t>
      </w:r>
      <w:r w:rsidRPr="00FA3856">
        <w:rPr>
          <w:rFonts w:ascii="Times New Roman" w:hAnsi="Times New Roman" w:cs="Times New Roman"/>
          <w:szCs w:val="20"/>
        </w:rPr>
        <w:t xml:space="preserve"> ao do encerramento do período de apuração até o último dia do mês anterior ao do pagamento e de 1% (um por cento) no mês do pagamento.</w:t>
      </w:r>
    </w:p>
    <w:p w:rsidR="003374E4" w:rsidRPr="00FA3856" w:rsidRDefault="003374E4" w:rsidP="00D80608">
      <w:pPr>
        <w:pStyle w:val="NormalWeb"/>
        <w:spacing w:before="0" w:after="0"/>
        <w:jc w:val="both"/>
        <w:rPr>
          <w:rFonts w:ascii="Times New Roman" w:hAnsi="Times New Roman" w:cs="Times New Roman"/>
          <w:b/>
          <w:bCs/>
          <w:szCs w:val="20"/>
        </w:rPr>
      </w:pPr>
    </w:p>
    <w:p w:rsidR="003374E4" w:rsidRPr="00FA3856" w:rsidRDefault="003374E4" w:rsidP="00D80608">
      <w:pPr>
        <w:pStyle w:val="NormalWeb"/>
        <w:spacing w:before="0" w:after="0"/>
        <w:jc w:val="both"/>
        <w:rPr>
          <w:rFonts w:ascii="Times New Roman" w:hAnsi="Times New Roman" w:cs="Times New Roman"/>
          <w:b/>
          <w:bCs/>
          <w:szCs w:val="20"/>
        </w:rPr>
      </w:pPr>
    </w:p>
    <w:p w:rsidR="003374E4" w:rsidRPr="00FA3856" w:rsidRDefault="003374E4" w:rsidP="00D80608">
      <w:pPr>
        <w:pStyle w:val="NormalWeb"/>
        <w:spacing w:before="0" w:after="0"/>
        <w:jc w:val="both"/>
        <w:rPr>
          <w:rFonts w:ascii="Times New Roman" w:hAnsi="Times New Roman" w:cs="Times New Roman"/>
          <w:b/>
          <w:bCs/>
          <w:szCs w:val="20"/>
        </w:rPr>
      </w:pPr>
    </w:p>
    <w:p w:rsidR="003374E4" w:rsidRPr="00FA3856" w:rsidRDefault="003374E4" w:rsidP="00D80608">
      <w:pPr>
        <w:pStyle w:val="NormalWeb"/>
        <w:spacing w:before="0" w:after="0"/>
        <w:jc w:val="both"/>
        <w:rPr>
          <w:rFonts w:ascii="Times New Roman" w:hAnsi="Times New Roman" w:cs="Times New Roman"/>
          <w:b/>
          <w:bCs/>
          <w:szCs w:val="20"/>
        </w:rPr>
      </w:pPr>
    </w:p>
    <w:p w:rsidR="003374E4" w:rsidRPr="00FA3856" w:rsidRDefault="003374E4" w:rsidP="00D80608">
      <w:pPr>
        <w:pStyle w:val="NormalWeb"/>
        <w:spacing w:before="0" w:after="0"/>
        <w:jc w:val="both"/>
        <w:rPr>
          <w:rFonts w:ascii="Times New Roman" w:hAnsi="Times New Roman" w:cs="Times New Roman"/>
          <w:b/>
          <w:bCs/>
          <w:szCs w:val="20"/>
        </w:rPr>
      </w:pPr>
    </w:p>
    <w:p w:rsidR="00D80608" w:rsidRPr="00FA3856" w:rsidRDefault="003374E4" w:rsidP="00D80608">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lastRenderedPageBreak/>
        <w:t xml:space="preserve">VI) </w:t>
      </w:r>
      <w:r w:rsidR="00D80608" w:rsidRPr="00FA3856">
        <w:rPr>
          <w:rFonts w:ascii="Times New Roman" w:hAnsi="Times New Roman" w:cs="Times New Roman"/>
          <w:b/>
          <w:bCs/>
          <w:szCs w:val="20"/>
        </w:rPr>
        <w:t>Receitas e Rendimentos Não Tributáveis</w:t>
      </w:r>
    </w:p>
    <w:p w:rsidR="003374E4" w:rsidRPr="00FA3856" w:rsidRDefault="003374E4" w:rsidP="00D80608">
      <w:pPr>
        <w:pStyle w:val="NormalWeb"/>
        <w:spacing w:before="0" w:after="0"/>
        <w:jc w:val="both"/>
        <w:rPr>
          <w:rFonts w:ascii="Times New Roman" w:hAnsi="Times New Roman" w:cs="Times New Roman"/>
          <w:szCs w:val="20"/>
        </w:rPr>
      </w:pPr>
    </w:p>
    <w:p w:rsidR="00D80608" w:rsidRPr="00FA3856" w:rsidRDefault="00D80608" w:rsidP="003374E4">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Consideram-se não tributáveis as receitas e os rendimentos relacionados abaixo:</w:t>
      </w:r>
    </w:p>
    <w:p w:rsidR="003374E4" w:rsidRPr="00FA3856" w:rsidRDefault="003374E4" w:rsidP="00D80608">
      <w:pPr>
        <w:pStyle w:val="NormalWeb"/>
        <w:spacing w:before="0" w:after="0"/>
        <w:jc w:val="both"/>
        <w:rPr>
          <w:rFonts w:ascii="Times New Roman" w:hAnsi="Times New Roman" w:cs="Times New Roman"/>
          <w:szCs w:val="20"/>
        </w:rPr>
      </w:pPr>
    </w:p>
    <w:p w:rsidR="00D80608" w:rsidRPr="00FA3856" w:rsidRDefault="00D80608" w:rsidP="003374E4">
      <w:pPr>
        <w:pStyle w:val="NormalWeb"/>
        <w:spacing w:before="0" w:after="0"/>
        <w:ind w:left="708"/>
        <w:jc w:val="both"/>
        <w:rPr>
          <w:rFonts w:ascii="Times New Roman" w:hAnsi="Times New Roman" w:cs="Times New Roman"/>
          <w:szCs w:val="20"/>
        </w:rPr>
      </w:pPr>
      <w:r w:rsidRPr="00FA3856">
        <w:rPr>
          <w:rFonts w:ascii="Times New Roman" w:hAnsi="Times New Roman" w:cs="Times New Roman"/>
          <w:szCs w:val="20"/>
        </w:rPr>
        <w:t>a) recuperações de crédit</w:t>
      </w:r>
      <w:bookmarkStart w:id="335" w:name="subitem_15.3.2.3"/>
      <w:bookmarkEnd w:id="335"/>
      <w:r w:rsidRPr="00FA3856">
        <w:rPr>
          <w:rFonts w:ascii="Times New Roman" w:hAnsi="Times New Roman" w:cs="Times New Roman"/>
          <w:szCs w:val="20"/>
        </w:rPr>
        <w:t>os que não representem ingressos de novas receitas, e cujas perdas não tenham sido deduzidas na apuração do lucro real em períodos anteriores;</w:t>
      </w:r>
    </w:p>
    <w:p w:rsidR="00D80608" w:rsidRPr="00FA3856" w:rsidRDefault="00D80608" w:rsidP="000130DC">
      <w:pPr>
        <w:pStyle w:val="NormalWeb"/>
        <w:spacing w:before="0" w:after="0"/>
        <w:ind w:left="708"/>
        <w:jc w:val="both"/>
        <w:rPr>
          <w:rFonts w:ascii="Times New Roman" w:hAnsi="Times New Roman" w:cs="Times New Roman"/>
          <w:szCs w:val="20"/>
        </w:rPr>
      </w:pPr>
      <w:r w:rsidRPr="00FA3856">
        <w:rPr>
          <w:rFonts w:ascii="Times New Roman" w:hAnsi="Times New Roman" w:cs="Times New Roman"/>
          <w:szCs w:val="20"/>
        </w:rPr>
        <w:t>b) a reversão de saldo de provisões anteriormente constituídas, desde que o valor provisionado não tenha sido deduzido na apuração do lucro real dos períodos anteriores, ou que se refiram ao período no qual a pessoa jurídica não tenha se submetido a esse regime de tributação;</w:t>
      </w:r>
    </w:p>
    <w:p w:rsidR="00D80608" w:rsidRPr="00FA3856" w:rsidRDefault="00D80608" w:rsidP="000130DC">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c) os lucros e dividendos recebidos decorrentes de participações societárias no Brasil, caso se refiram a períodos em que estes sejam isentos de imposto de renda.</w:t>
      </w:r>
    </w:p>
    <w:p w:rsidR="00CE1927" w:rsidRPr="00FA3856" w:rsidRDefault="00CE1927" w:rsidP="000130DC">
      <w:pPr>
        <w:pStyle w:val="NormalWeb"/>
        <w:spacing w:before="0" w:after="0"/>
        <w:ind w:firstLine="708"/>
        <w:jc w:val="both"/>
        <w:rPr>
          <w:rFonts w:ascii="Times New Roman" w:hAnsi="Times New Roman" w:cs="Times New Roman"/>
          <w:szCs w:val="20"/>
        </w:rPr>
      </w:pPr>
    </w:p>
    <w:p w:rsidR="00CE1927" w:rsidRPr="00FA3856" w:rsidRDefault="00CE1927" w:rsidP="00CE1927">
      <w:pPr>
        <w:jc w:val="both"/>
        <w:rPr>
          <w:szCs w:val="20"/>
        </w:rPr>
      </w:pPr>
      <w:r w:rsidRPr="00FA3856">
        <w:rPr>
          <w:b/>
          <w:bCs/>
          <w:szCs w:val="20"/>
        </w:rPr>
        <w:t>VII) Distribuição de lucros</w:t>
      </w:r>
    </w:p>
    <w:p w:rsidR="00CE1927" w:rsidRPr="00FA3856" w:rsidRDefault="00CE1927" w:rsidP="00CE1927">
      <w:pPr>
        <w:jc w:val="both"/>
        <w:rPr>
          <w:b/>
          <w:bCs/>
          <w:szCs w:val="20"/>
        </w:rPr>
      </w:pPr>
    </w:p>
    <w:p w:rsidR="00CE1927" w:rsidRPr="00FA3856" w:rsidRDefault="00CE1927" w:rsidP="00CE1927">
      <w:pPr>
        <w:ind w:firstLine="708"/>
        <w:jc w:val="both"/>
        <w:rPr>
          <w:szCs w:val="20"/>
        </w:rPr>
      </w:pPr>
      <w:r w:rsidRPr="00FA3856">
        <w:rPr>
          <w:szCs w:val="20"/>
        </w:rPr>
        <w:t>Os lucros ou dividendos calculados com base nos resultados apurados a partir do mês de janeiro de 1996, pagos ou creditados pela pessoa jurídica trib</w:t>
      </w:r>
      <w:bookmarkStart w:id="336" w:name="subitem_15.3.3"/>
      <w:bookmarkEnd w:id="336"/>
      <w:r w:rsidRPr="00FA3856">
        <w:rPr>
          <w:szCs w:val="20"/>
        </w:rPr>
        <w:t xml:space="preserve">utada com base no lucro presumido ou </w:t>
      </w:r>
      <w:bookmarkStart w:id="337" w:name="subitem_15.3.4"/>
      <w:bookmarkEnd w:id="337"/>
      <w:r w:rsidRPr="00FA3856">
        <w:rPr>
          <w:szCs w:val="20"/>
        </w:rPr>
        <w:t>arbitrado, não estão sujeitos à incidência do imposto de renda na fonte, nem integram a base de cálculo do imposto de renda do beneficiário, pessoa física ou jurídica, domiciliado no País ou no exterior (Lei n</w:t>
      </w:r>
      <w:r w:rsidRPr="00FA3856">
        <w:rPr>
          <w:strike/>
          <w:szCs w:val="20"/>
        </w:rPr>
        <w:t>º</w:t>
      </w:r>
      <w:r w:rsidRPr="00FA3856">
        <w:rPr>
          <w:szCs w:val="20"/>
        </w:rPr>
        <w:t xml:space="preserve"> 9.249, de 1995, art. 10).</w:t>
      </w:r>
    </w:p>
    <w:p w:rsidR="00020FD2" w:rsidRPr="00FA3856" w:rsidRDefault="00020FD2" w:rsidP="00CE1927">
      <w:pPr>
        <w:jc w:val="both"/>
        <w:rPr>
          <w:szCs w:val="20"/>
        </w:rPr>
      </w:pPr>
    </w:p>
    <w:p w:rsidR="00CE1927" w:rsidRPr="00FA3856" w:rsidRDefault="00CE1927" w:rsidP="00020FD2">
      <w:pPr>
        <w:ind w:firstLine="708"/>
        <w:jc w:val="both"/>
        <w:rPr>
          <w:szCs w:val="20"/>
        </w:rPr>
      </w:pPr>
      <w:r w:rsidRPr="00FA3856">
        <w:rPr>
          <w:szCs w:val="20"/>
        </w:rPr>
        <w:t>Poderá ser distribuído, a título de lucros, sem incidência do imposto:</w:t>
      </w:r>
    </w:p>
    <w:p w:rsidR="00020FD2" w:rsidRPr="00FA3856" w:rsidRDefault="00020FD2" w:rsidP="00CE1927">
      <w:pPr>
        <w:jc w:val="both"/>
        <w:rPr>
          <w:szCs w:val="20"/>
        </w:rPr>
      </w:pPr>
    </w:p>
    <w:p w:rsidR="00020FD2" w:rsidRPr="00FA3856" w:rsidRDefault="00CE1927" w:rsidP="00020FD2">
      <w:pPr>
        <w:ind w:left="708"/>
        <w:jc w:val="both"/>
        <w:rPr>
          <w:szCs w:val="20"/>
        </w:rPr>
      </w:pPr>
      <w:r w:rsidRPr="00FA3856">
        <w:rPr>
          <w:szCs w:val="20"/>
        </w:rPr>
        <w:t>a) o valor do lucro presumido ou arbitrado (base de cálculo do imposto), diminuído do imposto de renda da pessoa jurídica (IRPJ), inclusive adicional, quando devido, da contribuição social sobre o lucro líquido (CSLL), da contribuição para financiamento da seguridade social (Cofins) e das contribuições para o PIS/Pasep (ADN Cosit n</w:t>
      </w:r>
      <w:r w:rsidRPr="00FA3856">
        <w:rPr>
          <w:strike/>
          <w:szCs w:val="20"/>
        </w:rPr>
        <w:t>º</w:t>
      </w:r>
      <w:r w:rsidRPr="00FA3856">
        <w:rPr>
          <w:szCs w:val="20"/>
        </w:rPr>
        <w:t xml:space="preserve"> 4, de 29 de janeiro de 1996); ou</w:t>
      </w:r>
      <w:r w:rsidR="00020FD2" w:rsidRPr="00FA3856">
        <w:rPr>
          <w:szCs w:val="20"/>
        </w:rPr>
        <w:tab/>
      </w:r>
    </w:p>
    <w:p w:rsidR="00CE1927" w:rsidRPr="00FA3856" w:rsidRDefault="00CE1927" w:rsidP="00020FD2">
      <w:pPr>
        <w:ind w:left="708"/>
        <w:jc w:val="both"/>
        <w:rPr>
          <w:szCs w:val="20"/>
        </w:rPr>
      </w:pPr>
      <w:r w:rsidRPr="00FA3856">
        <w:rPr>
          <w:szCs w:val="20"/>
        </w:rPr>
        <w:t xml:space="preserve">b) a parcela do lucro e dividendos excedentes ao valor determinado na alínea "a", desde que a pessoa jurídica demonstre, mediante escrituração contábil feita com observância da lei comercial, que o lucro efetivo é maior que o determinado segundo as normas para apuração do lucro presumido. </w:t>
      </w:r>
    </w:p>
    <w:p w:rsidR="00020FD2" w:rsidRPr="00FA3856" w:rsidRDefault="00020FD2" w:rsidP="00CE1927">
      <w:pPr>
        <w:ind w:left="600"/>
        <w:jc w:val="both"/>
        <w:rPr>
          <w:b/>
          <w:bCs/>
          <w:szCs w:val="20"/>
        </w:rPr>
      </w:pPr>
    </w:p>
    <w:p w:rsidR="00CE1927" w:rsidRPr="00FA3856" w:rsidRDefault="00CE1927" w:rsidP="00020FD2">
      <w:pPr>
        <w:ind w:left="708"/>
        <w:jc w:val="both"/>
        <w:rPr>
          <w:szCs w:val="20"/>
        </w:rPr>
      </w:pPr>
      <w:r w:rsidRPr="00FA3856">
        <w:rPr>
          <w:b/>
          <w:bCs/>
          <w:szCs w:val="20"/>
        </w:rPr>
        <w:t>Atenção:</w:t>
      </w:r>
      <w:r w:rsidR="00020FD2" w:rsidRPr="00FA3856">
        <w:rPr>
          <w:szCs w:val="20"/>
        </w:rPr>
        <w:t xml:space="preserve"> </w:t>
      </w:r>
      <w:r w:rsidRPr="00FA3856">
        <w:rPr>
          <w:szCs w:val="20"/>
        </w:rPr>
        <w:t xml:space="preserve">Essa isenção não abrange os valores pagos a outro título, tais como </w:t>
      </w:r>
      <w:r w:rsidRPr="00FA3856">
        <w:rPr>
          <w:i/>
          <w:iCs/>
          <w:szCs w:val="20"/>
        </w:rPr>
        <w:t>pró-labore</w:t>
      </w:r>
      <w:r w:rsidRPr="00FA3856">
        <w:rPr>
          <w:szCs w:val="20"/>
        </w:rPr>
        <w:t>, aluguéis e serviços prestados, que se sujeitam à incidência do imposto de renda na fonte e na declaração de rendimentos dos beneficiários.</w:t>
      </w:r>
    </w:p>
    <w:p w:rsidR="00CE1927" w:rsidRPr="00FA3856" w:rsidRDefault="00CE1927" w:rsidP="00CE1927">
      <w:pPr>
        <w:ind w:left="600"/>
        <w:jc w:val="both"/>
        <w:rPr>
          <w:szCs w:val="20"/>
        </w:rPr>
      </w:pPr>
      <w:r w:rsidRPr="00FA3856">
        <w:rPr>
          <w:szCs w:val="20"/>
        </w:rPr>
        <w:t> </w:t>
      </w:r>
    </w:p>
    <w:p w:rsidR="00CE1927" w:rsidRPr="00FA3856" w:rsidRDefault="00020FD2" w:rsidP="00CE1927">
      <w:pPr>
        <w:jc w:val="both"/>
        <w:rPr>
          <w:szCs w:val="20"/>
        </w:rPr>
      </w:pPr>
      <w:r w:rsidRPr="00FA3856">
        <w:rPr>
          <w:b/>
          <w:bCs/>
          <w:szCs w:val="20"/>
        </w:rPr>
        <w:t xml:space="preserve">VII.1) </w:t>
      </w:r>
      <w:r w:rsidR="00CE1927" w:rsidRPr="00FA3856">
        <w:rPr>
          <w:b/>
          <w:bCs/>
          <w:szCs w:val="20"/>
        </w:rPr>
        <w:t>Lucros Distribuídos que Excederem ao Valor Apurado na Escrituração</w:t>
      </w:r>
    </w:p>
    <w:p w:rsidR="00020FD2" w:rsidRPr="00FA3856" w:rsidRDefault="00020FD2" w:rsidP="00CE1927">
      <w:pPr>
        <w:jc w:val="both"/>
        <w:rPr>
          <w:szCs w:val="20"/>
        </w:rPr>
      </w:pPr>
    </w:p>
    <w:p w:rsidR="00CE1927" w:rsidRPr="00FA3856" w:rsidRDefault="00CE1927" w:rsidP="00020FD2">
      <w:pPr>
        <w:ind w:firstLine="708"/>
        <w:jc w:val="both"/>
        <w:rPr>
          <w:szCs w:val="20"/>
        </w:rPr>
      </w:pPr>
      <w:r w:rsidRPr="00FA3856">
        <w:rPr>
          <w:szCs w:val="20"/>
        </w:rPr>
        <w:t>A parcela dos rendimentos pagos ou creditados a sócio ou acionista ou ao titular da pessoa jurídica, a título de lucros ou dividendos distribuídos, ainda que por conta de período de apuração não encerrado, que exceder ao valor apurado com base na escrituração contábil, deve ser imputada aos lucros acumulados ou reservas de lucros de exercícios anteriores, ficando sujeita à incidência do imposto de renda calculado segundo o disposto na legislação específica, com acréscimos legais.</w:t>
      </w:r>
    </w:p>
    <w:p w:rsidR="00020FD2" w:rsidRPr="00FA3856" w:rsidRDefault="00020FD2" w:rsidP="00CE1927">
      <w:pPr>
        <w:jc w:val="both"/>
        <w:rPr>
          <w:szCs w:val="20"/>
        </w:rPr>
      </w:pPr>
    </w:p>
    <w:p w:rsidR="00CE1927" w:rsidRPr="00FA3856" w:rsidRDefault="00CE1927" w:rsidP="00020FD2">
      <w:pPr>
        <w:ind w:firstLine="708"/>
        <w:jc w:val="both"/>
        <w:rPr>
          <w:szCs w:val="20"/>
        </w:rPr>
      </w:pPr>
      <w:r w:rsidRPr="00FA3856">
        <w:rPr>
          <w:szCs w:val="20"/>
        </w:rPr>
        <w:t>O disposto no parágrafo acima não abrange a distribuição de lucros e dividendos efetuada, após o encerramento do trimestre correspondente, com base no lucro presumido ou arbitrado diminuído do imposto e das contribuições a que estiver sujeita a pessoa jurídica.</w:t>
      </w:r>
    </w:p>
    <w:p w:rsidR="00020FD2" w:rsidRPr="00FA3856" w:rsidRDefault="00020FD2" w:rsidP="00CE1927">
      <w:pPr>
        <w:jc w:val="both"/>
        <w:rPr>
          <w:szCs w:val="20"/>
        </w:rPr>
      </w:pPr>
    </w:p>
    <w:p w:rsidR="00745FC4" w:rsidRPr="00FA3856" w:rsidRDefault="00745FC4" w:rsidP="00745FC4">
      <w:pPr>
        <w:ind w:firstLine="708"/>
        <w:jc w:val="both"/>
        <w:rPr>
          <w:szCs w:val="20"/>
        </w:rPr>
      </w:pPr>
      <w:r w:rsidRPr="00FA3856">
        <w:rPr>
          <w:szCs w:val="20"/>
        </w:rPr>
        <w:t xml:space="preserve">Inexistindo lucros acumulados ou reservas de lucros em montante suficiente, a parcela excedente deve ser submetida à tributação, nos termos do </w:t>
      </w:r>
      <w:r>
        <w:rPr>
          <w:szCs w:val="20"/>
        </w:rPr>
        <w:t>art. 61 da Lei n</w:t>
      </w:r>
      <w:r>
        <w:rPr>
          <w:szCs w:val="20"/>
          <w:u w:val="single"/>
          <w:vertAlign w:val="superscript"/>
        </w:rPr>
        <w:t>o</w:t>
      </w:r>
      <w:r>
        <w:rPr>
          <w:szCs w:val="20"/>
        </w:rPr>
        <w:t xml:space="preserve"> 8.981/1995</w:t>
      </w:r>
      <w:r w:rsidRPr="00FA3856">
        <w:rPr>
          <w:szCs w:val="20"/>
        </w:rPr>
        <w:t xml:space="preserve"> (</w:t>
      </w:r>
      <w:r>
        <w:rPr>
          <w:szCs w:val="20"/>
        </w:rPr>
        <w:t>Art. 238, § 4</w:t>
      </w:r>
      <w:r>
        <w:rPr>
          <w:szCs w:val="20"/>
          <w:u w:val="single"/>
          <w:vertAlign w:val="superscript"/>
        </w:rPr>
        <w:t>o</w:t>
      </w:r>
      <w:r>
        <w:rPr>
          <w:szCs w:val="20"/>
        </w:rPr>
        <w:t>, da Instrução Normativa n</w:t>
      </w:r>
      <w:r>
        <w:rPr>
          <w:szCs w:val="20"/>
          <w:u w:val="single"/>
          <w:vertAlign w:val="superscript"/>
        </w:rPr>
        <w:t>o</w:t>
      </w:r>
      <w:r>
        <w:rPr>
          <w:szCs w:val="20"/>
        </w:rPr>
        <w:t xml:space="preserve"> 1.700, de 14 de março de 2017</w:t>
      </w:r>
      <w:r w:rsidRPr="00FA3856">
        <w:rPr>
          <w:szCs w:val="20"/>
        </w:rPr>
        <w:t>).</w:t>
      </w:r>
    </w:p>
    <w:p w:rsidR="00020FD2" w:rsidRPr="00FA3856" w:rsidRDefault="00020FD2" w:rsidP="00CE1927">
      <w:pPr>
        <w:jc w:val="both"/>
        <w:rPr>
          <w:szCs w:val="20"/>
        </w:rPr>
      </w:pPr>
    </w:p>
    <w:p w:rsidR="00CE1927" w:rsidRPr="00FA3856" w:rsidRDefault="00CE1927" w:rsidP="00020FD2">
      <w:pPr>
        <w:ind w:firstLine="708"/>
        <w:jc w:val="both"/>
        <w:rPr>
          <w:szCs w:val="20"/>
        </w:rPr>
      </w:pPr>
      <w:r w:rsidRPr="00FA3856">
        <w:rPr>
          <w:szCs w:val="20"/>
        </w:rPr>
        <w:t>A distribuição de rendimentos a título de lucros ou dividendos que não tenham sido apurados em balanço suje</w:t>
      </w:r>
      <w:bookmarkStart w:id="338" w:name="subitem_15.3.4.2"/>
      <w:bookmarkEnd w:id="338"/>
      <w:r w:rsidRPr="00FA3856">
        <w:rPr>
          <w:szCs w:val="20"/>
        </w:rPr>
        <w:t>ita-se à incidência do imposto de renda na forma prevista no parágrafo anterior.</w:t>
      </w:r>
    </w:p>
    <w:p w:rsidR="00CE1927" w:rsidRPr="00FA3856" w:rsidRDefault="00CE1927" w:rsidP="000130DC">
      <w:pPr>
        <w:pStyle w:val="NormalWeb"/>
        <w:spacing w:before="0" w:after="0"/>
        <w:ind w:firstLine="708"/>
        <w:jc w:val="both"/>
        <w:rPr>
          <w:rFonts w:ascii="Times New Roman" w:hAnsi="Times New Roman" w:cs="Times New Roman"/>
          <w:szCs w:val="20"/>
        </w:rPr>
      </w:pPr>
    </w:p>
    <w:p w:rsidR="00E27341" w:rsidRPr="00FA3856" w:rsidRDefault="00E27341">
      <w:pPr>
        <w:spacing w:after="200" w:line="276" w:lineRule="auto"/>
        <w:rPr>
          <w:color w:val="0000FF"/>
          <w:szCs w:val="20"/>
        </w:rPr>
      </w:pPr>
      <w:r w:rsidRPr="00FA3856">
        <w:rPr>
          <w:color w:val="0000FF"/>
          <w:szCs w:val="20"/>
        </w:rPr>
        <w:br w:type="page"/>
      </w:r>
    </w:p>
    <w:p w:rsidR="00BD6449" w:rsidRPr="00FA3856" w:rsidRDefault="004255D7" w:rsidP="00BD6449">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lastRenderedPageBreak/>
        <w:t>VIII</w:t>
      </w:r>
      <w:r w:rsidR="00BD6449" w:rsidRPr="00FA3856">
        <w:rPr>
          <w:rFonts w:ascii="Times New Roman" w:hAnsi="Times New Roman" w:cs="Times New Roman"/>
          <w:b/>
          <w:bCs/>
          <w:szCs w:val="20"/>
        </w:rPr>
        <w:t>) Contribuição Social Sobre o Lucro Líquido (CSLL)</w:t>
      </w:r>
    </w:p>
    <w:p w:rsidR="00BD6449" w:rsidRPr="00FA3856" w:rsidRDefault="00BD6449" w:rsidP="00BD6449">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p w:rsidR="00BD6449" w:rsidRPr="00FA3856" w:rsidRDefault="00BD6449" w:rsidP="00BD6449">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base de cálculo da CSLL em cada trimestre, apurada com base no resultado presumido ou arbitrado, corresp</w:t>
      </w:r>
      <w:bookmarkStart w:id="339" w:name="subitem_15.3.4.3"/>
      <w:bookmarkEnd w:id="339"/>
      <w:r w:rsidRPr="00FA3856">
        <w:rPr>
          <w:rFonts w:ascii="Times New Roman" w:hAnsi="Times New Roman" w:cs="Times New Roman"/>
          <w:szCs w:val="20"/>
        </w:rPr>
        <w:t>onde à soma dos seguintes valores:</w:t>
      </w:r>
    </w:p>
    <w:p w:rsidR="00BD6449" w:rsidRPr="00FA3856" w:rsidRDefault="00BD6449" w:rsidP="00BD6449">
      <w:pPr>
        <w:pStyle w:val="NormalWeb"/>
        <w:spacing w:before="0" w:after="0"/>
        <w:ind w:left="708" w:firstLine="708"/>
        <w:jc w:val="both"/>
        <w:rPr>
          <w:rFonts w:ascii="Times New Roman" w:hAnsi="Times New Roman" w:cs="Times New Roman"/>
          <w:szCs w:val="20"/>
        </w:rPr>
      </w:pPr>
    </w:p>
    <w:p w:rsidR="00BD6449" w:rsidRPr="00FA3856" w:rsidRDefault="00BD6449" w:rsidP="00BD6449">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1) 12% (doze por cento) ou 32% (trinta e dois por cento) da receita bruta auferida no período de apuração;</w:t>
      </w:r>
    </w:p>
    <w:p w:rsidR="00BD6449" w:rsidRPr="00FA3856" w:rsidRDefault="00BD6449" w:rsidP="00BD6449">
      <w:pPr>
        <w:pStyle w:val="NormalWeb"/>
        <w:spacing w:before="0" w:after="0"/>
        <w:ind w:left="1416"/>
        <w:jc w:val="both"/>
        <w:rPr>
          <w:rFonts w:ascii="Times New Roman" w:hAnsi="Times New Roman" w:cs="Times New Roman"/>
          <w:szCs w:val="20"/>
        </w:rPr>
      </w:pPr>
      <w:r w:rsidRPr="00FA3856">
        <w:rPr>
          <w:rFonts w:ascii="Times New Roman" w:hAnsi="Times New Roman" w:cs="Times New Roman"/>
          <w:szCs w:val="20"/>
        </w:rPr>
        <w:t xml:space="preserve">2) 12% (doze por cento) ou 32% (trinta e dois por cento) da parcela das receitas auferidas, no respectivo período de apuração, nas exportações a pessoas vinculadas ou para países com tributação favorecida, que exceder ao valor já apropriado na escrituração da empresa, na forma da legislação específica (vide </w:t>
      </w:r>
      <w:r w:rsidR="00CA09D6" w:rsidRPr="00FA3856">
        <w:rPr>
          <w:sz w:val="24"/>
          <w:szCs w:val="24"/>
        </w:rPr>
        <w:fldChar w:fldCharType="begin"/>
      </w:r>
      <w:r w:rsidR="00CA09D6" w:rsidRPr="00FA3856">
        <w:instrText xml:space="preserve"> HYPERLINK "mk:@MSITStore:C:\\ARQUIVOS%20DE%20PROGRAMAS%20RFB\\DIPJ2014\\DIPJ2014.chm::/INST_PREENCHIMEN</w:instrText>
      </w:r>
      <w:bookmarkStart w:id="340" w:name="subitem_15.3.4.4"/>
      <w:bookmarkEnd w:id="340"/>
      <w:r w:rsidR="00CA09D6" w:rsidRPr="00FA3856">
        <w:instrText xml:space="preserve">TO/Manual_DIPJ2014_5_20_00_Precos.html" </w:instrText>
      </w:r>
      <w:r w:rsidR="00CA09D6" w:rsidRPr="00FA3856">
        <w:rPr>
          <w:sz w:val="24"/>
          <w:szCs w:val="24"/>
        </w:rPr>
        <w:fldChar w:fldCharType="separate"/>
      </w:r>
      <w:r w:rsidRPr="00FA3856">
        <w:rPr>
          <w:rStyle w:val="Hyperlink"/>
          <w:rFonts w:ascii="Times New Roman" w:hAnsi="Times New Roman" w:cs="Times New Roman"/>
          <w:szCs w:val="20"/>
        </w:rPr>
        <w:t>item 20</w:t>
      </w:r>
      <w:r w:rsidR="00CA09D6" w:rsidRPr="00FA3856">
        <w:rPr>
          <w:rStyle w:val="Hyperlink"/>
          <w:rFonts w:ascii="Times New Roman" w:hAnsi="Times New Roman" w:cs="Times New Roman"/>
          <w:szCs w:val="20"/>
        </w:rPr>
        <w:fldChar w:fldCharType="end"/>
      </w:r>
      <w:r w:rsidRPr="00FA3856">
        <w:rPr>
          <w:rFonts w:ascii="Times New Roman" w:hAnsi="Times New Roman" w:cs="Times New Roman"/>
          <w:szCs w:val="20"/>
        </w:rPr>
        <w:t>);</w:t>
      </w:r>
    </w:p>
    <w:p w:rsidR="00BD6449" w:rsidRPr="00FA3856" w:rsidRDefault="00BD6449" w:rsidP="00BD6449">
      <w:pPr>
        <w:pStyle w:val="NormalWeb"/>
        <w:spacing w:before="0" w:after="0"/>
        <w:jc w:val="both"/>
        <w:rPr>
          <w:rFonts w:ascii="Times New Roman" w:hAnsi="Times New Roman" w:cs="Times New Roman"/>
          <w:b/>
          <w:bCs/>
          <w:szCs w:val="20"/>
        </w:rPr>
      </w:pPr>
    </w:p>
    <w:p w:rsidR="00BD6449" w:rsidRPr="00FA3856" w:rsidRDefault="00BD6449" w:rsidP="00BD6449">
      <w:pPr>
        <w:pStyle w:val="NormalWeb"/>
        <w:spacing w:before="0" w:after="0"/>
        <w:ind w:left="800"/>
        <w:jc w:val="both"/>
        <w:rPr>
          <w:rFonts w:ascii="Times New Roman" w:hAnsi="Times New Roman" w:cs="Times New Roman"/>
          <w:szCs w:val="20"/>
        </w:rPr>
      </w:pPr>
      <w:r w:rsidRPr="00FA3856">
        <w:rPr>
          <w:rFonts w:ascii="Times New Roman" w:hAnsi="Times New Roman" w:cs="Times New Roman"/>
          <w:b/>
          <w:bCs/>
          <w:szCs w:val="20"/>
        </w:rPr>
        <w:t>Atenção:</w:t>
      </w:r>
    </w:p>
    <w:p w:rsidR="00BD6449" w:rsidRPr="00FA3856" w:rsidRDefault="00BD6449" w:rsidP="00BD6449">
      <w:pPr>
        <w:pStyle w:val="NormalWeb"/>
        <w:spacing w:before="0" w:after="0"/>
        <w:ind w:left="800"/>
        <w:jc w:val="both"/>
        <w:rPr>
          <w:rFonts w:ascii="Times New Roman" w:hAnsi="Times New Roman" w:cs="Times New Roman"/>
          <w:szCs w:val="20"/>
        </w:rPr>
      </w:pPr>
      <w:r w:rsidRPr="00FA3856">
        <w:rPr>
          <w:rFonts w:ascii="Times New Roman" w:hAnsi="Times New Roman" w:cs="Times New Roman"/>
          <w:szCs w:val="20"/>
        </w:rPr>
        <w:t>1) O percentual da receita bruta para efeito de determinação da base de cálculo da CSLL é de 32 % (trinta e dois por cento) para as atividades de:</w:t>
      </w:r>
    </w:p>
    <w:p w:rsidR="00BD6449" w:rsidRPr="00FA3856" w:rsidRDefault="00BD6449" w:rsidP="00BD6449">
      <w:pPr>
        <w:pStyle w:val="NormalWeb"/>
        <w:spacing w:before="0" w:after="0"/>
        <w:ind w:left="800" w:firstLine="616"/>
        <w:jc w:val="both"/>
        <w:rPr>
          <w:rFonts w:ascii="Times New Roman" w:hAnsi="Times New Roman" w:cs="Times New Roman"/>
          <w:szCs w:val="20"/>
        </w:rPr>
      </w:pPr>
      <w:r w:rsidRPr="00FA3856">
        <w:rPr>
          <w:rFonts w:ascii="Times New Roman" w:hAnsi="Times New Roman" w:cs="Times New Roman"/>
          <w:szCs w:val="20"/>
        </w:rPr>
        <w:t>1.1) prestação de serviços em geral, exceto a de serviços hospitalares e de transporte;</w:t>
      </w:r>
    </w:p>
    <w:p w:rsidR="00BD6449" w:rsidRPr="00FA3856" w:rsidRDefault="00BD6449" w:rsidP="00BD6449">
      <w:pPr>
        <w:pStyle w:val="NormalWeb"/>
        <w:spacing w:before="0" w:after="0"/>
        <w:ind w:left="800" w:firstLine="616"/>
        <w:jc w:val="both"/>
        <w:rPr>
          <w:rFonts w:ascii="Times New Roman" w:hAnsi="Times New Roman" w:cs="Times New Roman"/>
          <w:szCs w:val="20"/>
        </w:rPr>
      </w:pPr>
      <w:r w:rsidRPr="00FA3856">
        <w:rPr>
          <w:rFonts w:ascii="Times New Roman" w:hAnsi="Times New Roman" w:cs="Times New Roman"/>
          <w:szCs w:val="20"/>
        </w:rPr>
        <w:t>1.2) intermediação de negócios;</w:t>
      </w:r>
    </w:p>
    <w:p w:rsidR="00BD6449" w:rsidRPr="00FA3856" w:rsidRDefault="00BD6449" w:rsidP="00BD6449">
      <w:pPr>
        <w:pStyle w:val="NormalWeb"/>
        <w:spacing w:before="0" w:after="0"/>
        <w:ind w:left="800" w:firstLine="616"/>
        <w:jc w:val="both"/>
        <w:rPr>
          <w:rFonts w:ascii="Times New Roman" w:hAnsi="Times New Roman" w:cs="Times New Roman"/>
          <w:szCs w:val="20"/>
        </w:rPr>
      </w:pPr>
      <w:r w:rsidRPr="00FA3856">
        <w:rPr>
          <w:rFonts w:ascii="Times New Roman" w:hAnsi="Times New Roman" w:cs="Times New Roman"/>
          <w:szCs w:val="20"/>
        </w:rPr>
        <w:t xml:space="preserve">1.3) administração, locação ou cessão de bens imóveis, móveis </w:t>
      </w:r>
      <w:bookmarkStart w:id="341" w:name="subitem_15.3.4.5"/>
      <w:bookmarkEnd w:id="341"/>
      <w:r w:rsidRPr="00FA3856">
        <w:rPr>
          <w:rFonts w:ascii="Times New Roman" w:hAnsi="Times New Roman" w:cs="Times New Roman"/>
          <w:szCs w:val="20"/>
        </w:rPr>
        <w:t>e direitos de qualquer natureza;</w:t>
      </w:r>
    </w:p>
    <w:p w:rsidR="00BD6449" w:rsidRPr="00FA3856" w:rsidRDefault="00BD6449" w:rsidP="00BD6449">
      <w:pPr>
        <w:pStyle w:val="NormalWeb"/>
        <w:spacing w:before="0" w:after="0"/>
        <w:ind w:left="1416"/>
        <w:jc w:val="both"/>
        <w:rPr>
          <w:rFonts w:ascii="Times New Roman" w:hAnsi="Times New Roman" w:cs="Times New Roman"/>
          <w:szCs w:val="20"/>
        </w:rPr>
      </w:pPr>
      <w:r w:rsidRPr="00FA3856">
        <w:rPr>
          <w:rFonts w:ascii="Times New Roman" w:hAnsi="Times New Roman" w:cs="Times New Roman"/>
          <w:szCs w:val="20"/>
        </w:rPr>
        <w:t xml:space="preserve">1.4) prestação cumulativa e contínua de serviços de assessoria creditícia, mercadológica, gestão de crédito, seleção de riscos, administração de </w:t>
      </w:r>
      <w:bookmarkStart w:id="342" w:name="subitem_15.3.5"/>
      <w:bookmarkEnd w:id="342"/>
      <w:r w:rsidRPr="00FA3856">
        <w:rPr>
          <w:rFonts w:ascii="Times New Roman" w:hAnsi="Times New Roman" w:cs="Times New Roman"/>
          <w:szCs w:val="20"/>
        </w:rPr>
        <w:t>contas a pagar e a recebe</w:t>
      </w:r>
      <w:bookmarkStart w:id="343" w:name="subitem_15.3.5.1"/>
      <w:bookmarkEnd w:id="343"/>
      <w:r w:rsidRPr="00FA3856">
        <w:rPr>
          <w:rFonts w:ascii="Times New Roman" w:hAnsi="Times New Roman" w:cs="Times New Roman"/>
          <w:szCs w:val="20"/>
        </w:rPr>
        <w:t>r, e compra de direitos creditórios resultantes de vendas mercantis a prazo ou de prestação de serviços (</w:t>
      </w:r>
      <w:r w:rsidRPr="00FA3856">
        <w:rPr>
          <w:rFonts w:ascii="Times New Roman" w:hAnsi="Times New Roman" w:cs="Times New Roman"/>
          <w:i/>
          <w:iCs/>
          <w:szCs w:val="20"/>
        </w:rPr>
        <w:t>factoring</w:t>
      </w:r>
      <w:r w:rsidRPr="00FA3856">
        <w:rPr>
          <w:rFonts w:ascii="Times New Roman" w:hAnsi="Times New Roman" w:cs="Times New Roman"/>
          <w:szCs w:val="20"/>
        </w:rPr>
        <w:t>).</w:t>
      </w:r>
    </w:p>
    <w:p w:rsidR="00BD6449" w:rsidRPr="00FA3856" w:rsidRDefault="00BD6449" w:rsidP="00BD6449">
      <w:pPr>
        <w:pStyle w:val="NormalWeb"/>
        <w:spacing w:before="0" w:after="0"/>
        <w:ind w:left="800"/>
        <w:jc w:val="both"/>
        <w:rPr>
          <w:rFonts w:ascii="Times New Roman" w:hAnsi="Times New Roman" w:cs="Times New Roman"/>
          <w:szCs w:val="20"/>
        </w:rPr>
      </w:pPr>
      <w:r w:rsidRPr="00FA3856">
        <w:rPr>
          <w:rFonts w:ascii="Times New Roman" w:hAnsi="Times New Roman" w:cs="Times New Roman"/>
          <w:szCs w:val="20"/>
        </w:rPr>
        <w:t>2) No caso de atividades diversificadas, deve ser aplicad</w:t>
      </w:r>
      <w:bookmarkStart w:id="344" w:name="subitem_15.3.5.2"/>
      <w:bookmarkEnd w:id="344"/>
      <w:r w:rsidRPr="00FA3856">
        <w:rPr>
          <w:rFonts w:ascii="Times New Roman" w:hAnsi="Times New Roman" w:cs="Times New Roman"/>
          <w:szCs w:val="20"/>
        </w:rPr>
        <w:t>o o percentual correspondente a cada atividade.</w:t>
      </w:r>
    </w:p>
    <w:p w:rsidR="00BD6449" w:rsidRPr="00FA3856" w:rsidRDefault="00BD6449" w:rsidP="00BD6449">
      <w:pPr>
        <w:pStyle w:val="NormalWeb"/>
        <w:spacing w:before="0" w:after="0"/>
        <w:ind w:left="800"/>
        <w:jc w:val="both"/>
        <w:rPr>
          <w:rFonts w:ascii="Times New Roman" w:hAnsi="Times New Roman" w:cs="Times New Roman"/>
          <w:szCs w:val="20"/>
        </w:rPr>
      </w:pPr>
      <w:r w:rsidRPr="00FA3856">
        <w:rPr>
          <w:rFonts w:ascii="Times New Roman" w:hAnsi="Times New Roman" w:cs="Times New Roman"/>
          <w:szCs w:val="20"/>
        </w:rPr>
        <w:t>3) A partir de 1º de janeiro de 2006, para as pessoas jurídicas tributadas com base no lucro presu</w:t>
      </w:r>
      <w:bookmarkStart w:id="345" w:name="subitem_15.3.5.3"/>
      <w:bookmarkEnd w:id="345"/>
      <w:r w:rsidRPr="00FA3856">
        <w:rPr>
          <w:rFonts w:ascii="Times New Roman" w:hAnsi="Times New Roman" w:cs="Times New Roman"/>
          <w:szCs w:val="20"/>
        </w:rPr>
        <w:t>mido, o percentual também passou a ser aplicado sobre a receita financeira da pessoa jurídica que explore atividades imobiliárias relativas a loteamento de terrenos, incorporação imobiliária, construção de prédios destinados à venda, bem como a venda de imóveis construídos ou adquiridos para a revenda, quando decorrente da comercialização de imóveis e for apurada por meio de índices ou coeficientes previstos em contrato. (Lei n</w:t>
      </w:r>
      <w:r w:rsidRPr="00FA3856">
        <w:rPr>
          <w:rFonts w:ascii="Times New Roman" w:hAnsi="Times New Roman" w:cs="Times New Roman"/>
          <w:strike/>
          <w:szCs w:val="20"/>
        </w:rPr>
        <w:t>º</w:t>
      </w:r>
      <w:r w:rsidRPr="00FA3856">
        <w:rPr>
          <w:rFonts w:ascii="Times New Roman" w:hAnsi="Times New Roman" w:cs="Times New Roman"/>
          <w:szCs w:val="20"/>
        </w:rPr>
        <w:t xml:space="preserve"> 11.196, de 2005, art. 34).</w:t>
      </w:r>
    </w:p>
    <w:p w:rsidR="00BD6449" w:rsidRPr="00FA3856" w:rsidRDefault="00BD6449" w:rsidP="00BD6449">
      <w:pPr>
        <w:pStyle w:val="NormalWeb"/>
        <w:spacing w:before="0" w:after="0"/>
        <w:ind w:left="708" w:firstLine="92"/>
        <w:jc w:val="both"/>
        <w:rPr>
          <w:rFonts w:ascii="Times New Roman" w:hAnsi="Times New Roman" w:cs="Times New Roman"/>
          <w:szCs w:val="20"/>
        </w:rPr>
      </w:pPr>
      <w:r w:rsidRPr="00FA3856">
        <w:rPr>
          <w:rFonts w:ascii="Times New Roman" w:hAnsi="Times New Roman" w:cs="Times New Roman"/>
          <w:szCs w:val="20"/>
        </w:rPr>
        <w:t>4) os ganhos de capital, os rendimentos e ganhos líquidos auferidos em aplicações financeiras, as demais receitas e os resultados positivos decorrentes de receitas não abrangidas pelo item 1 acima, auferidos no mesmo período de apuração, inclusive:</w:t>
      </w:r>
    </w:p>
    <w:p w:rsidR="00BD6449" w:rsidRPr="00FA3856" w:rsidRDefault="00BD6449" w:rsidP="00BD6449">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a) os ganhos de capital nas alienações de bens do ativo não-circulante, exceto realizável a longo prazo, e de ouro não caracterizado como ativo financeiro;</w:t>
      </w:r>
    </w:p>
    <w:p w:rsidR="00BD6449" w:rsidRPr="00FA3856" w:rsidRDefault="00BD6449" w:rsidP="00BD6449">
      <w:pPr>
        <w:pStyle w:val="NormalWeb"/>
        <w:spacing w:before="0" w:after="0"/>
        <w:ind w:left="1416"/>
        <w:jc w:val="both"/>
        <w:rPr>
          <w:rFonts w:ascii="Times New Roman" w:hAnsi="Times New Roman" w:cs="Times New Roman"/>
          <w:szCs w:val="20"/>
        </w:rPr>
      </w:pPr>
      <w:r w:rsidRPr="00FA3856">
        <w:rPr>
          <w:rFonts w:ascii="Times New Roman" w:hAnsi="Times New Roman" w:cs="Times New Roman"/>
          <w:szCs w:val="20"/>
        </w:rPr>
        <w:t>b) os ganhos de capital auferidos na alienação de participações societárias perm</w:t>
      </w:r>
      <w:bookmarkStart w:id="346" w:name="subitem_15.3.6"/>
      <w:bookmarkEnd w:id="346"/>
      <w:r w:rsidRPr="00FA3856">
        <w:rPr>
          <w:rFonts w:ascii="Times New Roman" w:hAnsi="Times New Roman" w:cs="Times New Roman"/>
          <w:szCs w:val="20"/>
        </w:rPr>
        <w:t>anentes em sociedades coligadas e controladas, e de participações societárias que permaneceram no ativo da pessoa jurídica até o término do ano-calendário seguinte ao de sua aquisição;</w:t>
      </w:r>
    </w:p>
    <w:p w:rsidR="00BD6449" w:rsidRPr="00FA3856" w:rsidRDefault="00BD6449" w:rsidP="00BD6449">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c) os ganhos de capital auferidos na devolução de capital em bens ou direitos;</w:t>
      </w:r>
    </w:p>
    <w:p w:rsidR="00BD6449" w:rsidRPr="00FA3856" w:rsidRDefault="00BD6449" w:rsidP="00BD6449">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d) os rendimentos auferidos nas operações de mútuo realizadas entre pessoas jurídicas ou entre pessoa jurídica e pessoa física;</w:t>
      </w:r>
    </w:p>
    <w:p w:rsidR="00BD6449" w:rsidRPr="00FA3856" w:rsidRDefault="00BD6449" w:rsidP="00BD6449">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e) a receita de locação de imóvel, quando não for este o objeto social da pessoa jurídica, deduzida dos encargos necessários à sua percepção;</w:t>
      </w:r>
    </w:p>
    <w:p w:rsidR="00BD6449" w:rsidRPr="00FA3856" w:rsidRDefault="00BD6449" w:rsidP="00BD6449">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f) os juros equivalentes à taxa referencial do Selic para títulos federais, acumulada mensalmente, relativos a tributos e contribuições a serem restituídos ou compensados;</w:t>
      </w:r>
    </w:p>
    <w:p w:rsidR="00BD6449" w:rsidRPr="00FA3856" w:rsidRDefault="00BD6449" w:rsidP="00BD6449">
      <w:pPr>
        <w:pStyle w:val="NormalWeb"/>
        <w:spacing w:before="0" w:after="0"/>
        <w:ind w:left="1416"/>
        <w:jc w:val="both"/>
        <w:rPr>
          <w:rFonts w:ascii="Times New Roman" w:hAnsi="Times New Roman" w:cs="Times New Roman"/>
          <w:szCs w:val="20"/>
        </w:rPr>
      </w:pPr>
      <w:r w:rsidRPr="00FA3856">
        <w:rPr>
          <w:rFonts w:ascii="Times New Roman" w:hAnsi="Times New Roman" w:cs="Times New Roman"/>
          <w:szCs w:val="20"/>
        </w:rPr>
        <w:t>g) os valores recuperados correspondentes a custos e despesas, inclusive com perdas no recebimento de créditos, salvo se a pessoa jurídica comprovar não os ter deduzido em período anterior no qual tenha se submetido ao regime de incidência da CSLL com base no resultado ajustado, ou que se refiram a período no qual tenha se submetido ao regime de incidência da CSLL com base no resultado presumido, arbitrado ou Simples;</w:t>
      </w:r>
    </w:p>
    <w:p w:rsidR="00BD6449" w:rsidRPr="00FA3856" w:rsidRDefault="00BD6449" w:rsidP="00BD6449">
      <w:pPr>
        <w:pStyle w:val="NormalWeb"/>
        <w:spacing w:before="0" w:after="0"/>
        <w:ind w:left="1416"/>
        <w:jc w:val="both"/>
        <w:rPr>
          <w:rFonts w:ascii="Times New Roman" w:hAnsi="Times New Roman" w:cs="Times New Roman"/>
          <w:szCs w:val="20"/>
        </w:rPr>
      </w:pPr>
      <w:r w:rsidRPr="00FA3856">
        <w:rPr>
          <w:rFonts w:ascii="Times New Roman" w:hAnsi="Times New Roman" w:cs="Times New Roman"/>
          <w:szCs w:val="20"/>
        </w:rPr>
        <w:t>h) a diferença entre o valor em dinheiro ou o valor dos bens e direitos recebidos de instituição isenta, a título de devolução de patrimônio, e o valor em dinheiro ou o valor dos bens e direitos entregue para a formação do referido patrimônio;</w:t>
      </w:r>
    </w:p>
    <w:p w:rsidR="00BD6449" w:rsidRPr="00FA3856" w:rsidRDefault="00BD6449" w:rsidP="00BD6449">
      <w:pPr>
        <w:pStyle w:val="NormalWeb"/>
        <w:spacing w:before="0" w:after="0"/>
        <w:ind w:left="1416"/>
        <w:jc w:val="both"/>
        <w:rPr>
          <w:rFonts w:ascii="Times New Roman" w:hAnsi="Times New Roman" w:cs="Times New Roman"/>
          <w:szCs w:val="20"/>
        </w:rPr>
      </w:pPr>
      <w:r w:rsidRPr="00FA3856">
        <w:rPr>
          <w:rFonts w:ascii="Times New Roman" w:hAnsi="Times New Roman" w:cs="Times New Roman"/>
          <w:szCs w:val="20"/>
        </w:rPr>
        <w:t>i) os rendimentos e ganhos líquidos auferidos em aplicações financeiras de renda fixa e de renda variável;</w:t>
      </w:r>
    </w:p>
    <w:p w:rsidR="00BD6449" w:rsidRPr="00FA3856" w:rsidRDefault="00BD6449" w:rsidP="00BD6449">
      <w:pPr>
        <w:pStyle w:val="NormalWeb"/>
        <w:spacing w:before="0" w:after="0"/>
        <w:ind w:left="1416"/>
        <w:jc w:val="both"/>
        <w:rPr>
          <w:rFonts w:ascii="Times New Roman" w:hAnsi="Times New Roman" w:cs="Times New Roman"/>
          <w:szCs w:val="20"/>
        </w:rPr>
      </w:pPr>
      <w:r w:rsidRPr="00FA3856">
        <w:rPr>
          <w:rFonts w:ascii="Times New Roman" w:hAnsi="Times New Roman" w:cs="Times New Roman"/>
          <w:szCs w:val="20"/>
        </w:rPr>
        <w:t>j) as variações monetárias ativas dos direitos de crédito e das obrigações do contribuinte, em função da taxa de câmbio ou de índices ou coeficientes aplicáveis por disposição legal ou contratual.</w:t>
      </w:r>
    </w:p>
    <w:p w:rsidR="00BD6449" w:rsidRPr="00FA3856" w:rsidRDefault="00BD6449" w:rsidP="00BD6449">
      <w:pPr>
        <w:pStyle w:val="NormalWeb"/>
        <w:spacing w:before="0" w:after="0"/>
        <w:jc w:val="both"/>
        <w:rPr>
          <w:rFonts w:ascii="Times New Roman" w:hAnsi="Times New Roman" w:cs="Times New Roman"/>
          <w:szCs w:val="20"/>
        </w:rPr>
      </w:pPr>
    </w:p>
    <w:p w:rsidR="00BD6449" w:rsidRPr="00FA3856" w:rsidRDefault="00BD6449" w:rsidP="00BD6449">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Os valores de que trata o item 2 devem ser apurados anualmente e acrescidos ao resultado presumido ou arbitrado do último trimestre do ano-calendário, para efeito de se determinar a CSLL devida.</w:t>
      </w:r>
    </w:p>
    <w:p w:rsidR="00BD6449" w:rsidRPr="00FA3856" w:rsidRDefault="00BD6449" w:rsidP="00BD6449">
      <w:pPr>
        <w:pStyle w:val="NormalWeb"/>
        <w:spacing w:before="0" w:after="0"/>
        <w:jc w:val="both"/>
        <w:rPr>
          <w:rFonts w:ascii="Times New Roman" w:hAnsi="Times New Roman" w:cs="Times New Roman"/>
          <w:szCs w:val="20"/>
        </w:rPr>
      </w:pPr>
    </w:p>
    <w:p w:rsidR="00BD6449" w:rsidRPr="00FA3856" w:rsidRDefault="00BD6449" w:rsidP="00BD6449">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lastRenderedPageBreak/>
        <w:t>Para os efeitos da alínea "a" do item 4, o ganho de capital corresponde à diferença positiva verificada entre o valor da alienação e o respectivo valor contábil.</w:t>
      </w:r>
    </w:p>
    <w:p w:rsidR="00BD6449" w:rsidRPr="00FA3856" w:rsidRDefault="00BD6449" w:rsidP="00BD6449">
      <w:pPr>
        <w:pStyle w:val="NormalWeb"/>
        <w:spacing w:before="0" w:after="0"/>
        <w:jc w:val="both"/>
        <w:rPr>
          <w:rFonts w:ascii="Times New Roman" w:hAnsi="Times New Roman" w:cs="Times New Roman"/>
          <w:szCs w:val="20"/>
        </w:rPr>
      </w:pPr>
    </w:p>
    <w:p w:rsidR="00BD6449" w:rsidRPr="00FA3856" w:rsidRDefault="00BD6449" w:rsidP="00BD6449">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As variações cambiais a que se refere a alínea "j" do item 4 serão consideradas, para efeito de determinação do resultado presumido ou arbitrado da CSLL, quando da liquidação da correspondente operação. À opção da pessoa jurídica, as variações cambiais podem ser consideradas, na determinação da base de cálculo da CSLL, pelo regime de competência, o qual deve ser aplicado a todo o ano-calendário.</w:t>
      </w:r>
    </w:p>
    <w:p w:rsidR="00BD6449" w:rsidRPr="00FA3856" w:rsidRDefault="00BD6449" w:rsidP="00BD6449">
      <w:pPr>
        <w:pStyle w:val="NormalWeb"/>
        <w:spacing w:before="0" w:after="0"/>
        <w:jc w:val="both"/>
        <w:rPr>
          <w:rFonts w:ascii="Times New Roman" w:hAnsi="Times New Roman" w:cs="Times New Roman"/>
          <w:szCs w:val="20"/>
        </w:rPr>
      </w:pPr>
    </w:p>
    <w:p w:rsidR="00BD6449" w:rsidRPr="00FA3856" w:rsidRDefault="00BD6449" w:rsidP="00BD6449">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pessoa jurídica pode excluir a parcela das receitas financeiras decorrentes da variação monetária dos direitos de crédito e das obrigações, em função da taxa de câmbio, submetida à tributação, segundo regime de competência, relativo a períodos compreendidos no ano-calendário de 1999, excedente ao valor da variação monetária efetivamente realizada, ainda que a operação tenha sido liquidada (MP n</w:t>
      </w:r>
      <w:r w:rsidRPr="00FA3856">
        <w:rPr>
          <w:rFonts w:ascii="Times New Roman" w:hAnsi="Times New Roman" w:cs="Times New Roman"/>
          <w:strike/>
          <w:szCs w:val="20"/>
        </w:rPr>
        <w:t>º</w:t>
      </w:r>
      <w:r w:rsidRPr="00FA3856">
        <w:rPr>
          <w:rFonts w:ascii="Times New Roman" w:hAnsi="Times New Roman" w:cs="Times New Roman"/>
          <w:szCs w:val="20"/>
        </w:rPr>
        <w:t xml:space="preserve"> 1.858-10, de 1999, art. 31, parágrafo único, e reedições). </w:t>
      </w:r>
    </w:p>
    <w:p w:rsidR="00BD6449" w:rsidRPr="00FA3856" w:rsidRDefault="00BD6449" w:rsidP="00BD6449">
      <w:pPr>
        <w:pStyle w:val="NormalWeb"/>
        <w:spacing w:before="0" w:after="0"/>
        <w:jc w:val="both"/>
        <w:rPr>
          <w:rFonts w:ascii="Times New Roman" w:hAnsi="Times New Roman" w:cs="Times New Roman"/>
          <w:szCs w:val="20"/>
        </w:rPr>
      </w:pPr>
    </w:p>
    <w:p w:rsidR="00BD6449" w:rsidRPr="00FA3856" w:rsidRDefault="00BD6449" w:rsidP="00BD6449">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O valor do Vale-Pedágio obrigatório, pago pelo embarcador ao transportador, não integra o frete e não deve ser considerado receita operacional ou rendimento tributável.</w:t>
      </w:r>
    </w:p>
    <w:p w:rsidR="00BD6449" w:rsidRPr="00FA3856" w:rsidRDefault="00BD6449" w:rsidP="00BD6449">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xml:space="preserve">Será adicionado ao resultado presumido ou arbitrado o valor dos encargos suportados pela mutuária que exceder ao limite calculado com base na taxa </w:t>
      </w:r>
      <w:r w:rsidRPr="00FA3856">
        <w:rPr>
          <w:rFonts w:ascii="Times New Roman" w:hAnsi="Times New Roman" w:cs="Times New Roman"/>
          <w:i/>
          <w:iCs/>
          <w:szCs w:val="20"/>
        </w:rPr>
        <w:t>Libor</w:t>
      </w:r>
      <w:r w:rsidRPr="00FA3856">
        <w:rPr>
          <w:rFonts w:ascii="Times New Roman" w:hAnsi="Times New Roman" w:cs="Times New Roman"/>
          <w:szCs w:val="20"/>
        </w:rPr>
        <w:t xml:space="preserve">, para depósitos em dólares dos Estados Unidos da América, pelo prazo de seis meses, acrescida de três por cento anuais a título de </w:t>
      </w:r>
      <w:r w:rsidRPr="00FA3856">
        <w:rPr>
          <w:rFonts w:ascii="Times New Roman" w:hAnsi="Times New Roman" w:cs="Times New Roman"/>
          <w:i/>
          <w:iCs/>
          <w:szCs w:val="20"/>
        </w:rPr>
        <w:t>spread</w:t>
      </w:r>
      <w:r w:rsidRPr="00FA3856">
        <w:rPr>
          <w:rFonts w:ascii="Times New Roman" w:hAnsi="Times New Roman" w:cs="Times New Roman"/>
          <w:szCs w:val="20"/>
        </w:rPr>
        <w:t>, proporcionalizados em função do período a que se referirem os juros, quando pagos ou creditados a pessoa vinculada no exterior e o contrato não for registrado no Banco Central do Brasil.</w:t>
      </w:r>
    </w:p>
    <w:p w:rsidR="00BD6449" w:rsidRPr="00FA3856" w:rsidRDefault="00BD6449" w:rsidP="00BD6449">
      <w:pPr>
        <w:pStyle w:val="NormalWeb"/>
        <w:spacing w:before="0" w:after="0"/>
        <w:jc w:val="both"/>
        <w:rPr>
          <w:rFonts w:ascii="Times New Roman" w:hAnsi="Times New Roman" w:cs="Times New Roman"/>
          <w:szCs w:val="20"/>
        </w:rPr>
      </w:pPr>
    </w:p>
    <w:p w:rsidR="00BD6449" w:rsidRPr="00FA3856" w:rsidRDefault="00BD6449" w:rsidP="00BD6449">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No caso de mútuo com pessoa vinculada domiciliada no exterior, a pessoa jurídica mutuante, domiciliada no Brasil, deverá reconhecer, como receita financeira, a diferença entre o valor calculado com base na taxa a que se refere o parágrafo anterior e o valor contratado, quando este seja inferior, no caso de contrato não registrado no Banco Central do Brasil.</w:t>
      </w:r>
    </w:p>
    <w:p w:rsidR="00BD6449" w:rsidRPr="00FA3856" w:rsidRDefault="00BD6449" w:rsidP="00BD6449">
      <w:pPr>
        <w:pStyle w:val="NormalWeb"/>
        <w:spacing w:before="0" w:after="0"/>
        <w:jc w:val="both"/>
        <w:rPr>
          <w:rFonts w:ascii="Times New Roman" w:hAnsi="Times New Roman" w:cs="Times New Roman"/>
          <w:szCs w:val="20"/>
        </w:rPr>
      </w:pPr>
    </w:p>
    <w:p w:rsidR="00BD6449" w:rsidRPr="00FA3856" w:rsidRDefault="00BD6449" w:rsidP="00BD6449">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As pessoas jurídicas que tiverem lucros, rendimentos e ganhos de capital auferidos no exterior somente podem optar pelo lucro presumido durante o período em que submetidas ao Refis.</w:t>
      </w:r>
    </w:p>
    <w:p w:rsidR="00BD6449" w:rsidRPr="00FA3856" w:rsidRDefault="00BD6449" w:rsidP="00BD6449">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Os lucros disponibilizados no exterior e os rendimentos e ganhos de capital auferidos no exterior no período em que a pessoa jurídica apurar a CSLL com base no resultado arbitrado devem ser computados na base de cálculo no trimestre da disponibilização dos lucros ou do auferimento dos rendimentos e ganhos de capital.</w:t>
      </w:r>
    </w:p>
    <w:p w:rsidR="00BD6449" w:rsidRPr="00FA3856" w:rsidRDefault="00BD6449" w:rsidP="00BD6449">
      <w:pPr>
        <w:pStyle w:val="NormalWeb"/>
        <w:spacing w:before="0" w:after="0"/>
        <w:jc w:val="both"/>
        <w:rPr>
          <w:rFonts w:ascii="Times New Roman" w:hAnsi="Times New Roman" w:cs="Times New Roman"/>
          <w:szCs w:val="20"/>
        </w:rPr>
      </w:pPr>
    </w:p>
    <w:p w:rsidR="00BD6449" w:rsidRPr="00FA3856" w:rsidRDefault="00BD6449" w:rsidP="00BD6449">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Os rendimentos e ganhos de capital a que se refere o parágrafo acima são os auferidos no exterior, diretamente pela pessoa jurídica domiciliada no Brasil.</w:t>
      </w:r>
    </w:p>
    <w:p w:rsidR="00BD6449" w:rsidRPr="00FA3856" w:rsidRDefault="00BD6449" w:rsidP="00BD6449">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p w:rsidR="00BD6449" w:rsidRPr="00FA3856" w:rsidRDefault="004255D7" w:rsidP="00BD6449">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t>VIII.1</w:t>
      </w:r>
      <w:r w:rsidR="00BD6449" w:rsidRPr="00FA3856">
        <w:rPr>
          <w:rFonts w:ascii="Times New Roman" w:hAnsi="Times New Roman" w:cs="Times New Roman"/>
          <w:b/>
          <w:bCs/>
          <w:szCs w:val="20"/>
        </w:rPr>
        <w:t>) Pagamento da CSLL</w:t>
      </w:r>
    </w:p>
    <w:p w:rsidR="004255D7" w:rsidRPr="00FA3856" w:rsidRDefault="004255D7" w:rsidP="00BD6449">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p w:rsidR="00BD6449" w:rsidRPr="00FA3856" w:rsidRDefault="004255D7" w:rsidP="00BD6449">
      <w:pPr>
        <w:pStyle w:val="NormalWeb"/>
        <w:spacing w:before="0" w:after="0"/>
        <w:jc w:val="both"/>
        <w:rPr>
          <w:rFonts w:ascii="Times New Roman" w:hAnsi="Times New Roman" w:cs="Times New Roman"/>
          <w:szCs w:val="20"/>
        </w:rPr>
      </w:pPr>
      <w:r w:rsidRPr="00FA3856">
        <w:rPr>
          <w:rFonts w:ascii="Times New Roman" w:hAnsi="Times New Roman" w:cs="Times New Roman"/>
          <w:b/>
          <w:szCs w:val="20"/>
        </w:rPr>
        <w:t>VIII</w:t>
      </w:r>
      <w:r w:rsidRPr="00FA3856">
        <w:rPr>
          <w:rFonts w:ascii="Times New Roman" w:hAnsi="Times New Roman" w:cs="Times New Roman"/>
          <w:b/>
          <w:bCs/>
          <w:szCs w:val="20"/>
        </w:rPr>
        <w:t>.1</w:t>
      </w:r>
      <w:r w:rsidR="00BD6449" w:rsidRPr="00FA3856">
        <w:rPr>
          <w:rFonts w:ascii="Times New Roman" w:hAnsi="Times New Roman" w:cs="Times New Roman"/>
          <w:b/>
          <w:bCs/>
          <w:szCs w:val="20"/>
        </w:rPr>
        <w:t>.1) Local de Pagamento</w:t>
      </w:r>
    </w:p>
    <w:p w:rsidR="00BD6449" w:rsidRPr="00FA3856" w:rsidRDefault="00BD6449" w:rsidP="00BD6449">
      <w:pPr>
        <w:pStyle w:val="NormalWeb"/>
        <w:spacing w:before="0" w:after="0"/>
        <w:jc w:val="both"/>
        <w:rPr>
          <w:rFonts w:ascii="Times New Roman" w:hAnsi="Times New Roman" w:cs="Times New Roman"/>
          <w:szCs w:val="20"/>
        </w:rPr>
      </w:pPr>
    </w:p>
    <w:p w:rsidR="00BD6449" w:rsidRPr="00FA3856" w:rsidRDefault="00BD6449" w:rsidP="00BD6449">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pessoa jurídica deve pagar a CSLL por intermédio dos Bancos integrantes da rede arrecadadora de receitas federais.</w:t>
      </w:r>
    </w:p>
    <w:p w:rsidR="00BD6449" w:rsidRPr="00FA3856" w:rsidRDefault="00BD6449" w:rsidP="00BD6449">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p w:rsidR="00BD6449" w:rsidRPr="00FA3856" w:rsidRDefault="004255D7" w:rsidP="00BD6449">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t>VIII.1</w:t>
      </w:r>
      <w:r w:rsidR="00BD6449" w:rsidRPr="00FA3856">
        <w:rPr>
          <w:rFonts w:ascii="Times New Roman" w:hAnsi="Times New Roman" w:cs="Times New Roman"/>
          <w:b/>
          <w:bCs/>
          <w:szCs w:val="20"/>
        </w:rPr>
        <w:t>.2) Documento a Utilizar</w:t>
      </w:r>
    </w:p>
    <w:p w:rsidR="00BD6449" w:rsidRPr="00FA3856" w:rsidRDefault="00BD6449" w:rsidP="00BD6449">
      <w:pPr>
        <w:pStyle w:val="NormalWeb"/>
        <w:spacing w:before="0" w:after="0"/>
        <w:jc w:val="both"/>
        <w:rPr>
          <w:rFonts w:ascii="Times New Roman" w:hAnsi="Times New Roman" w:cs="Times New Roman"/>
          <w:szCs w:val="20"/>
        </w:rPr>
      </w:pPr>
    </w:p>
    <w:p w:rsidR="00BD6449" w:rsidRPr="00FA3856" w:rsidRDefault="00BD6449" w:rsidP="00BD6449">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O pagamento é feito mediante a utilização do Documento de Arrecadação de Receitas Federais (Darf), sob os seguintes códigos:</w:t>
      </w:r>
    </w:p>
    <w:p w:rsidR="00BD6449" w:rsidRPr="00FA3856" w:rsidRDefault="00BD6449" w:rsidP="00BD6449">
      <w:pPr>
        <w:pStyle w:val="NormalWeb"/>
        <w:spacing w:before="0" w:after="0"/>
        <w:jc w:val="both"/>
        <w:rPr>
          <w:rFonts w:ascii="Times New Roman" w:hAnsi="Times New Roman" w:cs="Times New Roman"/>
          <w:szCs w:val="20"/>
        </w:rPr>
      </w:pPr>
    </w:p>
    <w:p w:rsidR="00BD6449" w:rsidRPr="00FA3856" w:rsidRDefault="004255D7" w:rsidP="004255D7">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a</w:t>
      </w:r>
      <w:r w:rsidR="00BD6449" w:rsidRPr="00FA3856">
        <w:rPr>
          <w:rFonts w:ascii="Times New Roman" w:hAnsi="Times New Roman" w:cs="Times New Roman"/>
          <w:szCs w:val="20"/>
        </w:rPr>
        <w:t>) 2372 - PJ optante pela apuração com Base no Resultado Presumido ou pelo Arbitrado;</w:t>
      </w:r>
    </w:p>
    <w:p w:rsidR="00BD6449" w:rsidRPr="00FA3856" w:rsidRDefault="004255D7" w:rsidP="004255D7">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b</w:t>
      </w:r>
      <w:r w:rsidR="00BD6449" w:rsidRPr="00FA3856">
        <w:rPr>
          <w:rFonts w:ascii="Times New Roman" w:hAnsi="Times New Roman" w:cs="Times New Roman"/>
          <w:szCs w:val="20"/>
        </w:rPr>
        <w:t>) 5638 CSLL - Pessoas Jurídicas que apuram a CSLL com base no Resultado Arbitrado.</w:t>
      </w:r>
    </w:p>
    <w:p w:rsidR="00BD6449" w:rsidRPr="00FA3856" w:rsidRDefault="00BD6449" w:rsidP="00BD6449">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p w:rsidR="004255D7" w:rsidRPr="00FA3856" w:rsidRDefault="004255D7" w:rsidP="00BD6449">
      <w:pPr>
        <w:pStyle w:val="NormalWeb"/>
        <w:spacing w:before="0" w:after="0"/>
        <w:jc w:val="both"/>
        <w:rPr>
          <w:rFonts w:ascii="Times New Roman" w:hAnsi="Times New Roman" w:cs="Times New Roman"/>
          <w:b/>
          <w:bCs/>
          <w:szCs w:val="20"/>
        </w:rPr>
      </w:pPr>
    </w:p>
    <w:p w:rsidR="004255D7" w:rsidRPr="00FA3856" w:rsidRDefault="004255D7" w:rsidP="00BD6449">
      <w:pPr>
        <w:pStyle w:val="NormalWeb"/>
        <w:spacing w:before="0" w:after="0"/>
        <w:jc w:val="both"/>
        <w:rPr>
          <w:rFonts w:ascii="Times New Roman" w:hAnsi="Times New Roman" w:cs="Times New Roman"/>
          <w:b/>
          <w:bCs/>
          <w:szCs w:val="20"/>
        </w:rPr>
      </w:pPr>
    </w:p>
    <w:p w:rsidR="004255D7" w:rsidRPr="00FA3856" w:rsidRDefault="004255D7" w:rsidP="00BD6449">
      <w:pPr>
        <w:pStyle w:val="NormalWeb"/>
        <w:spacing w:before="0" w:after="0"/>
        <w:jc w:val="both"/>
        <w:rPr>
          <w:rFonts w:ascii="Times New Roman" w:hAnsi="Times New Roman" w:cs="Times New Roman"/>
          <w:b/>
          <w:bCs/>
          <w:szCs w:val="20"/>
        </w:rPr>
      </w:pPr>
    </w:p>
    <w:p w:rsidR="00BD6449" w:rsidRPr="00FA3856" w:rsidRDefault="004255D7" w:rsidP="00BD6449">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lastRenderedPageBreak/>
        <w:t>VIII.1.3)</w:t>
      </w:r>
      <w:r w:rsidR="00BD6449" w:rsidRPr="00FA3856">
        <w:rPr>
          <w:rFonts w:ascii="Times New Roman" w:hAnsi="Times New Roman" w:cs="Times New Roman"/>
          <w:b/>
          <w:bCs/>
          <w:szCs w:val="20"/>
        </w:rPr>
        <w:t xml:space="preserve"> Prazo para Pagamento</w:t>
      </w:r>
    </w:p>
    <w:p w:rsidR="004255D7" w:rsidRPr="00FA3856" w:rsidRDefault="004255D7" w:rsidP="00BD6449">
      <w:pPr>
        <w:pStyle w:val="NormalWeb"/>
        <w:spacing w:before="0" w:after="0"/>
        <w:jc w:val="both"/>
        <w:rPr>
          <w:rFonts w:ascii="Times New Roman" w:hAnsi="Times New Roman" w:cs="Times New Roman"/>
          <w:b/>
          <w:bCs/>
          <w:szCs w:val="20"/>
        </w:rPr>
      </w:pPr>
    </w:p>
    <w:p w:rsidR="00BD6449" w:rsidRPr="00FA3856" w:rsidRDefault="00BD6449" w:rsidP="004255D7">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CSLL, apurada trimestralmente, deve ser paga em quota única, até o último dia útil do mês subsequente ao do encerramento do período de apuração.</w:t>
      </w:r>
    </w:p>
    <w:p w:rsidR="004255D7" w:rsidRPr="00FA3856" w:rsidRDefault="004255D7" w:rsidP="00BD6449">
      <w:pPr>
        <w:pStyle w:val="NormalWeb"/>
        <w:spacing w:before="0" w:after="0"/>
        <w:jc w:val="both"/>
        <w:rPr>
          <w:rFonts w:ascii="Times New Roman" w:hAnsi="Times New Roman" w:cs="Times New Roman"/>
          <w:szCs w:val="20"/>
        </w:rPr>
      </w:pPr>
    </w:p>
    <w:p w:rsidR="00BD6449" w:rsidRPr="00FA3856" w:rsidRDefault="00BD6449" w:rsidP="004255D7">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À opção da pessoa jurídica, a CSLL pode ser paga em até três quotas mensais, iguais e sucessivas, vencíveis no último dia útil dos três meses subsequentes ao de encerramento do período de apuração a que corresponder.</w:t>
      </w:r>
    </w:p>
    <w:p w:rsidR="004255D7" w:rsidRPr="00FA3856" w:rsidRDefault="004255D7" w:rsidP="00BD6449">
      <w:pPr>
        <w:pStyle w:val="NormalWeb"/>
        <w:spacing w:before="0" w:after="0"/>
        <w:jc w:val="both"/>
        <w:rPr>
          <w:rFonts w:ascii="Times New Roman" w:hAnsi="Times New Roman" w:cs="Times New Roman"/>
          <w:szCs w:val="20"/>
        </w:rPr>
      </w:pPr>
    </w:p>
    <w:p w:rsidR="00BD6449" w:rsidRPr="00FA3856" w:rsidRDefault="00BD6449" w:rsidP="004255D7">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Nenhuma quota pode ter valor inferior a R$ 1.000,00 (mil reais) e a CSLL de valor inferior a R$ 2.000,00 (dois mil reais) deve ser paga em quota única.</w:t>
      </w:r>
    </w:p>
    <w:p w:rsidR="004255D7" w:rsidRPr="00FA3856" w:rsidRDefault="004255D7" w:rsidP="00BD6449">
      <w:pPr>
        <w:pStyle w:val="NormalWeb"/>
        <w:spacing w:before="0" w:after="0"/>
        <w:jc w:val="both"/>
        <w:rPr>
          <w:rFonts w:ascii="Times New Roman" w:hAnsi="Times New Roman" w:cs="Times New Roman"/>
          <w:szCs w:val="20"/>
        </w:rPr>
      </w:pPr>
    </w:p>
    <w:p w:rsidR="00BD6449" w:rsidRPr="00FA3856" w:rsidRDefault="00BD6449" w:rsidP="004255D7">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As quotas da CSLL são acrescidas de juros equivalentes à taxa referencial do Sistema Especial de Liquidação e Custódia (Selic), para títulos federais, acumulada mensalmente, a partir do primeiro dia do segundo mês subsequente ao do encerramento do período de apuração até o último dia do mês anterior ao do pagamento e de 1% (um por cento) no mês do pagamento.</w:t>
      </w:r>
    </w:p>
    <w:p w:rsidR="004255D7" w:rsidRPr="00FA3856" w:rsidRDefault="004255D7" w:rsidP="00BD6449">
      <w:pPr>
        <w:pStyle w:val="NormalWeb"/>
        <w:spacing w:before="0" w:after="0"/>
        <w:jc w:val="both"/>
        <w:rPr>
          <w:rFonts w:ascii="Times New Roman" w:hAnsi="Times New Roman" w:cs="Times New Roman"/>
          <w:szCs w:val="20"/>
        </w:rPr>
      </w:pPr>
    </w:p>
    <w:p w:rsidR="00BD6449" w:rsidRPr="00FA3856" w:rsidRDefault="00BD6449" w:rsidP="004255D7">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primeira quota ou quota única, quando paga até o vencimento, não sofre acréscimos.</w:t>
      </w:r>
    </w:p>
    <w:p w:rsidR="004255D7" w:rsidRPr="00FA3856" w:rsidRDefault="004255D7" w:rsidP="00BD6449">
      <w:pPr>
        <w:pStyle w:val="NormalWeb"/>
        <w:spacing w:before="0" w:after="0"/>
        <w:jc w:val="both"/>
        <w:rPr>
          <w:rFonts w:ascii="Times New Roman" w:hAnsi="Times New Roman" w:cs="Times New Roman"/>
          <w:szCs w:val="20"/>
        </w:rPr>
      </w:pPr>
    </w:p>
    <w:p w:rsidR="00BD6449" w:rsidRPr="00FA3856" w:rsidRDefault="00BD6449" w:rsidP="004255D7">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 xml:space="preserve">O saldo da CSLL, se negativo, pode ser restituído ou compensado com a CSLL devida a partir do encerramento do trimestre, acrescido de juros equivalentes à taxa Selic para títulos federais, acumulada mensalmente, calculados a partir do mês </w:t>
      </w:r>
      <w:r w:rsidR="0063733D" w:rsidRPr="00FA3856">
        <w:rPr>
          <w:rFonts w:ascii="Times New Roman" w:hAnsi="Times New Roman" w:cs="Times New Roman"/>
          <w:szCs w:val="20"/>
        </w:rPr>
        <w:t>subsequente</w:t>
      </w:r>
      <w:r w:rsidRPr="00FA3856">
        <w:rPr>
          <w:rFonts w:ascii="Times New Roman" w:hAnsi="Times New Roman" w:cs="Times New Roman"/>
          <w:szCs w:val="20"/>
        </w:rPr>
        <w:t xml:space="preserve"> ao do encerramento do período de apuração até o mês anterior ao da restituição ou compensação e de um por cento relativamente ao mês em que estiver sendo efetuada a restituição ou compensação (ADN Cosit n</w:t>
      </w:r>
      <w:r w:rsidRPr="00FA3856">
        <w:rPr>
          <w:rFonts w:ascii="Times New Roman" w:hAnsi="Times New Roman" w:cs="Times New Roman"/>
          <w:strike/>
          <w:szCs w:val="20"/>
        </w:rPr>
        <w:t>º</w:t>
      </w:r>
      <w:r w:rsidRPr="00FA3856">
        <w:rPr>
          <w:rFonts w:ascii="Times New Roman" w:hAnsi="Times New Roman" w:cs="Times New Roman"/>
          <w:szCs w:val="20"/>
        </w:rPr>
        <w:t xml:space="preserve"> 31, de 27 de outubro de 1999).</w:t>
      </w:r>
    </w:p>
    <w:p w:rsidR="00BD6449" w:rsidRPr="00FA3856" w:rsidRDefault="00BD6449" w:rsidP="00BD6449">
      <w:pPr>
        <w:pStyle w:val="NormalWeb"/>
        <w:spacing w:before="0" w:after="0"/>
        <w:jc w:val="both"/>
        <w:rPr>
          <w:rFonts w:ascii="Times New Roman" w:hAnsi="Times New Roman" w:cs="Times New Roman"/>
          <w:szCs w:val="20"/>
        </w:rPr>
      </w:pPr>
    </w:p>
    <w:p w:rsidR="004255D7" w:rsidRPr="00FA3856" w:rsidRDefault="004255D7">
      <w:pPr>
        <w:spacing w:after="200" w:line="276" w:lineRule="auto"/>
        <w:rPr>
          <w:b/>
          <w:bCs/>
          <w:color w:val="0000FF"/>
          <w:szCs w:val="20"/>
        </w:rPr>
      </w:pPr>
      <w:r w:rsidRPr="00FA3856">
        <w:rPr>
          <w:color w:val="0000FF"/>
          <w:szCs w:val="20"/>
        </w:rPr>
        <w:br w:type="page"/>
      </w:r>
    </w:p>
    <w:p w:rsidR="0086037A" w:rsidRPr="00FA3856" w:rsidRDefault="0086037A" w:rsidP="00867F54">
      <w:pPr>
        <w:pStyle w:val="Ttulo4"/>
      </w:pPr>
      <w:bookmarkStart w:id="347" w:name="_Toc479713769"/>
      <w:r w:rsidRPr="00FA3856">
        <w:lastRenderedPageBreak/>
        <w:t>Registro T001: Abertura do Bloco T</w:t>
      </w:r>
      <w:bookmarkEnd w:id="347"/>
    </w:p>
    <w:p w:rsidR="00C4512F" w:rsidRDefault="00C4512F" w:rsidP="0086037A">
      <w:pPr>
        <w:pStyle w:val="PSDS-MarcadoresNivel2"/>
        <w:numPr>
          <w:ilvl w:val="0"/>
          <w:numId w:val="0"/>
        </w:numPr>
        <w:rPr>
          <w:rFonts w:ascii="Times New Roman" w:hAnsi="Times New Roman"/>
        </w:rPr>
      </w:pPr>
    </w:p>
    <w:p w:rsidR="0076238A" w:rsidRPr="00FA3856" w:rsidRDefault="00B35FA3" w:rsidP="0076238A">
      <w:pPr>
        <w:pStyle w:val="PSDS-MarcadoresNivel2"/>
        <w:numPr>
          <w:ilvl w:val="0"/>
          <w:numId w:val="0"/>
        </w:numPr>
        <w:jc w:val="center"/>
        <w:rPr>
          <w:rFonts w:ascii="Times New Roman" w:hAnsi="Times New Roman"/>
        </w:rPr>
      </w:pPr>
      <w:r>
        <w:rPr>
          <w:rFonts w:ascii="Times New Roman" w:hAnsi="Times New Roman"/>
        </w:rPr>
        <w:object w:dxaOrig="13275" w:dyaOrig="3090">
          <v:shape id="_x0000_i1809" type="#_x0000_t75" style="width:707.25pt;height:146.25pt" o:ole="">
            <v:imagedata r:id="rId506" o:title=""/>
          </v:shape>
          <o:OLEObject Type="Link" ProgID="Excel.Sheet.12" ShapeID="_x0000_i1809" DrawAspect="Content" r:id="rId507" UpdateMode="Always">
            <o:LinkType>EnhancedMetaFile</o:LinkType>
            <o:LockedField>false</o:LockedField>
          </o:OLEObject>
        </w:object>
      </w:r>
    </w:p>
    <w:p w:rsidR="0076238A" w:rsidRDefault="0076238A" w:rsidP="0086037A">
      <w:pPr>
        <w:pStyle w:val="PSDS-MarcadoresNivel2"/>
        <w:numPr>
          <w:ilvl w:val="0"/>
          <w:numId w:val="0"/>
        </w:numPr>
        <w:rPr>
          <w:rFonts w:ascii="Times New Roman" w:hAnsi="Times New Roman"/>
        </w:rPr>
      </w:pPr>
    </w:p>
    <w:p w:rsidR="0086037A" w:rsidRPr="00FA3856" w:rsidRDefault="0086037A" w:rsidP="0086037A">
      <w:pPr>
        <w:pStyle w:val="PSDS-MarcadoresNivel2"/>
        <w:numPr>
          <w:ilvl w:val="0"/>
          <w:numId w:val="0"/>
        </w:numPr>
        <w:rPr>
          <w:rFonts w:ascii="Times New Roman" w:hAnsi="Times New Roman"/>
        </w:rPr>
      </w:pPr>
      <w:r w:rsidRPr="00FA3856">
        <w:rPr>
          <w:rFonts w:ascii="Times New Roman" w:hAnsi="Times New Roman"/>
        </w:rPr>
        <w:t>I – Regras de Validação do Registro:</w:t>
      </w:r>
    </w:p>
    <w:p w:rsidR="0086037A" w:rsidRPr="00FA3856" w:rsidRDefault="0086037A" w:rsidP="0086037A">
      <w:pPr>
        <w:pStyle w:val="PSDS-MarcadoresNivel2"/>
        <w:numPr>
          <w:ilvl w:val="0"/>
          <w:numId w:val="0"/>
        </w:numPr>
        <w:rPr>
          <w:rFonts w:ascii="Times New Roman" w:hAnsi="Times New Roman"/>
        </w:rPr>
      </w:pPr>
    </w:p>
    <w:p w:rsidR="00BC760B" w:rsidRPr="00FA3856" w:rsidRDefault="007D0E74" w:rsidP="0086037A">
      <w:pPr>
        <w:pStyle w:val="Corpodetexto"/>
        <w:ind w:left="708" w:firstLine="12"/>
        <w:rPr>
          <w:rFonts w:ascii="Times New Roman" w:hAnsi="Times New Roman"/>
          <w:szCs w:val="20"/>
        </w:rPr>
      </w:pPr>
      <w:hyperlink r:id="rId508" w:anchor="REGRA_OCORRENCIA_UNITARIA_ARQ" w:history="1">
        <w:r w:rsidR="0086037A" w:rsidRPr="00FA3856">
          <w:rPr>
            <w:rFonts w:ascii="Times New Roman" w:hAnsi="Times New Roman"/>
            <w:b/>
            <w:szCs w:val="20"/>
          </w:rPr>
          <w:t>REGRA_OCORRENCIA_UNITARIA_ARQ</w:t>
        </w:r>
      </w:hyperlink>
      <w:r w:rsidR="0086037A" w:rsidRPr="00FA3856">
        <w:rPr>
          <w:rFonts w:ascii="Times New Roman" w:hAnsi="Times New Roman"/>
          <w:color w:val="auto"/>
          <w:szCs w:val="20"/>
        </w:rPr>
        <w:t xml:space="preserve">: </w:t>
      </w:r>
      <w:r w:rsidR="0086037A" w:rsidRPr="00FA3856">
        <w:rPr>
          <w:rFonts w:ascii="Times New Roman" w:hAnsi="Times New Roman"/>
          <w:szCs w:val="20"/>
        </w:rPr>
        <w:t xml:space="preserve">Verifica se registro ocorreu apenas uma vez por </w:t>
      </w:r>
      <w:r w:rsidR="00F11E71" w:rsidRPr="00FA3856">
        <w:rPr>
          <w:rFonts w:ascii="Times New Roman" w:hAnsi="Times New Roman"/>
          <w:szCs w:val="20"/>
        </w:rPr>
        <w:t>arquivo, considerando a chave “T</w:t>
      </w:r>
      <w:r w:rsidR="0086037A" w:rsidRPr="00FA3856">
        <w:rPr>
          <w:rFonts w:ascii="Times New Roman" w:hAnsi="Times New Roman"/>
          <w:szCs w:val="20"/>
        </w:rPr>
        <w:t>001” (REG). Se a regra não for cumprida, a ECF gera um erro.</w:t>
      </w:r>
    </w:p>
    <w:p w:rsidR="0086037A" w:rsidRPr="00FA3856" w:rsidRDefault="0086037A" w:rsidP="0086037A">
      <w:pPr>
        <w:pStyle w:val="Corpodetexto"/>
        <w:rPr>
          <w:rFonts w:ascii="Times New Roman" w:hAnsi="Times New Roman"/>
          <w:szCs w:val="20"/>
        </w:rPr>
      </w:pPr>
    </w:p>
    <w:p w:rsidR="0076238A" w:rsidRDefault="00D80608" w:rsidP="00D80608">
      <w:pPr>
        <w:pStyle w:val="Corpodetexto"/>
        <w:rPr>
          <w:rFonts w:ascii="Times New Roman" w:hAnsi="Times New Roman"/>
          <w:b/>
          <w:color w:val="002060"/>
          <w:szCs w:val="20"/>
        </w:rPr>
      </w:pPr>
      <w:r w:rsidRPr="00FA3856">
        <w:rPr>
          <w:rFonts w:ascii="Times New Roman" w:hAnsi="Times New Roman"/>
          <w:b/>
          <w:color w:val="002060"/>
          <w:szCs w:val="20"/>
        </w:rPr>
        <w:t xml:space="preserve">Exemplo de Preenchimento: </w:t>
      </w:r>
    </w:p>
    <w:p w:rsidR="0076238A" w:rsidRDefault="0076238A" w:rsidP="00D80608">
      <w:pPr>
        <w:pStyle w:val="Corpodetexto"/>
        <w:rPr>
          <w:rFonts w:ascii="Times New Roman" w:hAnsi="Times New Roman"/>
          <w:b/>
          <w:color w:val="002060"/>
          <w:szCs w:val="20"/>
        </w:rPr>
      </w:pPr>
    </w:p>
    <w:p w:rsidR="00D80608" w:rsidRPr="00FA3856" w:rsidRDefault="00D80608" w:rsidP="00D80608">
      <w:pPr>
        <w:pStyle w:val="Corpodetexto"/>
        <w:rPr>
          <w:rFonts w:ascii="Times New Roman" w:hAnsi="Times New Roman"/>
          <w:b/>
          <w:color w:val="002060"/>
          <w:szCs w:val="20"/>
        </w:rPr>
      </w:pPr>
      <w:r w:rsidRPr="00FA3856">
        <w:rPr>
          <w:rFonts w:ascii="Times New Roman" w:hAnsi="Times New Roman"/>
          <w:b/>
          <w:color w:val="002060"/>
          <w:szCs w:val="20"/>
        </w:rPr>
        <w:t>|T001|0|</w:t>
      </w:r>
    </w:p>
    <w:p w:rsidR="00D80608" w:rsidRPr="00FA3856" w:rsidRDefault="00D80608" w:rsidP="00D80608">
      <w:pPr>
        <w:pStyle w:val="Corpodetexto"/>
        <w:ind w:firstLine="708"/>
        <w:rPr>
          <w:rFonts w:ascii="Times New Roman" w:hAnsi="Times New Roman"/>
          <w:color w:val="002060"/>
          <w:szCs w:val="20"/>
        </w:rPr>
      </w:pPr>
      <w:r w:rsidRPr="00FA3856">
        <w:rPr>
          <w:rFonts w:ascii="Times New Roman" w:hAnsi="Times New Roman"/>
          <w:color w:val="002060"/>
          <w:szCs w:val="20"/>
        </w:rPr>
        <w:t>|T001|: Identificação do tipo do registro.</w:t>
      </w:r>
    </w:p>
    <w:p w:rsidR="00D80608" w:rsidRPr="00FA3856" w:rsidRDefault="00D80608" w:rsidP="00D80608">
      <w:pPr>
        <w:pStyle w:val="Corpodetexto"/>
        <w:ind w:firstLine="708"/>
        <w:rPr>
          <w:rFonts w:ascii="Times New Roman" w:hAnsi="Times New Roman"/>
          <w:color w:val="002060"/>
          <w:szCs w:val="20"/>
        </w:rPr>
      </w:pPr>
      <w:r w:rsidRPr="00FA3856">
        <w:rPr>
          <w:rFonts w:ascii="Times New Roman" w:hAnsi="Times New Roman"/>
          <w:color w:val="002060"/>
          <w:szCs w:val="20"/>
        </w:rPr>
        <w:t>|0|: Indica que o bloco possui dados informados.</w:t>
      </w:r>
    </w:p>
    <w:p w:rsidR="00D80608" w:rsidRPr="00FA3856" w:rsidRDefault="00D80608" w:rsidP="0086037A">
      <w:pPr>
        <w:pStyle w:val="Corpodetexto"/>
        <w:rPr>
          <w:rFonts w:ascii="Times New Roman" w:hAnsi="Times New Roman"/>
          <w:szCs w:val="20"/>
        </w:rPr>
      </w:pPr>
    </w:p>
    <w:p w:rsidR="00C4512F" w:rsidRPr="00FA3856" w:rsidRDefault="00C4512F">
      <w:pPr>
        <w:rPr>
          <w:b/>
          <w:bCs/>
          <w:color w:val="0000FF"/>
          <w:szCs w:val="20"/>
        </w:rPr>
      </w:pPr>
      <w:r w:rsidRPr="00FA3856">
        <w:rPr>
          <w:color w:val="0000FF"/>
          <w:szCs w:val="20"/>
        </w:rPr>
        <w:br w:type="page"/>
      </w:r>
    </w:p>
    <w:p w:rsidR="0086037A" w:rsidRPr="00FA3856" w:rsidRDefault="0086037A" w:rsidP="00867F54">
      <w:pPr>
        <w:pStyle w:val="Ttulo4"/>
      </w:pPr>
      <w:bookmarkStart w:id="348" w:name="_Toc479713770"/>
      <w:r w:rsidRPr="00FA3856">
        <w:lastRenderedPageBreak/>
        <w:t xml:space="preserve">Registro T030: Identificação dos Períodos e Formas de Apuração do IRPJ e da CSLL das Empresas </w:t>
      </w:r>
      <w:r w:rsidR="001C0D2F" w:rsidRPr="00FA3856">
        <w:t xml:space="preserve">Tributadas pelo Lucro </w:t>
      </w:r>
      <w:r w:rsidR="0063733D" w:rsidRPr="00FA3856">
        <w:t>Arbitrado</w:t>
      </w:r>
      <w:bookmarkEnd w:id="348"/>
    </w:p>
    <w:p w:rsidR="0086037A" w:rsidRPr="00FA3856" w:rsidRDefault="0086037A" w:rsidP="0086037A">
      <w:pPr>
        <w:jc w:val="both"/>
        <w:rPr>
          <w:szCs w:val="20"/>
        </w:rPr>
      </w:pPr>
    </w:p>
    <w:p w:rsidR="0086037A" w:rsidRPr="00FA3856" w:rsidRDefault="0086037A" w:rsidP="0086037A">
      <w:pPr>
        <w:pStyle w:val="PSDS-CorpodeTexto0"/>
        <w:ind w:firstLine="708"/>
        <w:rPr>
          <w:rFonts w:ascii="Times New Roman" w:hAnsi="Times New Roman"/>
        </w:rPr>
      </w:pPr>
      <w:r w:rsidRPr="00FA3856">
        <w:rPr>
          <w:rFonts w:ascii="Times New Roman" w:hAnsi="Times New Roman"/>
        </w:rPr>
        <w:t>Registro de identificação dos períodos da escrituração necessários conforme definições de parâmetros do Bloco 0.</w:t>
      </w:r>
    </w:p>
    <w:p w:rsidR="0076238A" w:rsidRDefault="0076238A" w:rsidP="00D41C23">
      <w:pPr>
        <w:pStyle w:val="PSDS-MarcadoresNivel2"/>
        <w:numPr>
          <w:ilvl w:val="0"/>
          <w:numId w:val="0"/>
        </w:numPr>
        <w:rPr>
          <w:rFonts w:ascii="Times New Roman" w:hAnsi="Times New Roman"/>
        </w:rPr>
      </w:pPr>
    </w:p>
    <w:p w:rsidR="0076238A" w:rsidRDefault="00B35FA3" w:rsidP="0076238A">
      <w:pPr>
        <w:pStyle w:val="PSDS-MarcadoresNivel2"/>
        <w:numPr>
          <w:ilvl w:val="0"/>
          <w:numId w:val="0"/>
        </w:numPr>
        <w:jc w:val="center"/>
        <w:rPr>
          <w:rFonts w:ascii="Times New Roman" w:hAnsi="Times New Roman"/>
        </w:rPr>
      </w:pPr>
      <w:r>
        <w:rPr>
          <w:rFonts w:ascii="Times New Roman" w:hAnsi="Times New Roman"/>
        </w:rPr>
        <w:object w:dxaOrig="14565" w:dyaOrig="6150">
          <v:shape id="_x0000_i1811" type="#_x0000_t75" style="width:777pt;height:299.25pt" o:ole="">
            <v:imagedata r:id="rId509" o:title=""/>
          </v:shape>
          <o:OLEObject Type="Link" ProgID="Excel.Sheet.12" ShapeID="_x0000_i1811" DrawAspect="Content" r:id="rId510" UpdateMode="Always">
            <o:LinkType>EnhancedMetaFile</o:LinkType>
            <o:LockedField>false</o:LockedField>
          </o:OLEObject>
        </w:object>
      </w:r>
    </w:p>
    <w:p w:rsidR="0076238A" w:rsidRDefault="0076238A" w:rsidP="00D41C23">
      <w:pPr>
        <w:pStyle w:val="PSDS-MarcadoresNivel2"/>
        <w:numPr>
          <w:ilvl w:val="0"/>
          <w:numId w:val="0"/>
        </w:numPr>
        <w:rPr>
          <w:rFonts w:ascii="Times New Roman" w:hAnsi="Times New Roman"/>
        </w:rPr>
      </w:pPr>
    </w:p>
    <w:p w:rsidR="0076238A" w:rsidRDefault="0076238A">
      <w:pPr>
        <w:spacing w:after="200" w:line="276" w:lineRule="auto"/>
        <w:rPr>
          <w:b/>
          <w:szCs w:val="20"/>
        </w:rPr>
      </w:pPr>
      <w:r>
        <w:br w:type="page"/>
      </w:r>
    </w:p>
    <w:p w:rsidR="00D41C23" w:rsidRPr="00FA3856" w:rsidRDefault="00D41C23" w:rsidP="00D41C23">
      <w:pPr>
        <w:pStyle w:val="PSDS-MarcadoresNivel2"/>
        <w:numPr>
          <w:ilvl w:val="0"/>
          <w:numId w:val="0"/>
        </w:numPr>
        <w:rPr>
          <w:rFonts w:ascii="Times New Roman" w:hAnsi="Times New Roman"/>
        </w:rPr>
      </w:pPr>
      <w:r w:rsidRPr="00FA3856">
        <w:rPr>
          <w:rFonts w:ascii="Times New Roman" w:hAnsi="Times New Roman"/>
        </w:rPr>
        <w:lastRenderedPageBreak/>
        <w:t>I – Regras de Validação do Registro:</w:t>
      </w:r>
    </w:p>
    <w:p w:rsidR="00D41C23" w:rsidRPr="00FA3856" w:rsidRDefault="00D41C23" w:rsidP="00D41C23">
      <w:pPr>
        <w:pStyle w:val="Corpodetexto"/>
        <w:ind w:left="708" w:firstLine="12"/>
        <w:rPr>
          <w:rFonts w:ascii="Times New Roman" w:hAnsi="Times New Roman"/>
          <w:szCs w:val="20"/>
        </w:rPr>
      </w:pPr>
    </w:p>
    <w:p w:rsidR="00D41C23" w:rsidRPr="00FA3856" w:rsidRDefault="007D0E74" w:rsidP="00D41C23">
      <w:pPr>
        <w:pStyle w:val="Corpodetexto"/>
        <w:ind w:left="708" w:firstLine="12"/>
        <w:rPr>
          <w:rFonts w:ascii="Times New Roman" w:hAnsi="Times New Roman"/>
          <w:szCs w:val="20"/>
        </w:rPr>
      </w:pPr>
      <w:hyperlink r:id="rId511" w:anchor="REGRA_OCORRENCIA_UNITARIA_ARQ" w:history="1">
        <w:r w:rsidR="00D41C23" w:rsidRPr="00FA3856">
          <w:rPr>
            <w:rFonts w:ascii="Times New Roman" w:hAnsi="Times New Roman"/>
            <w:b/>
            <w:szCs w:val="20"/>
          </w:rPr>
          <w:t>REGRA_</w:t>
        </w:r>
      </w:hyperlink>
      <w:r w:rsidR="00D41C23" w:rsidRPr="00FA3856">
        <w:rPr>
          <w:rFonts w:ascii="Times New Roman" w:hAnsi="Times New Roman"/>
          <w:b/>
          <w:szCs w:val="20"/>
        </w:rPr>
        <w:t>DUPLICIDADE_DESPREZADA</w:t>
      </w:r>
      <w:r w:rsidR="00D41C23" w:rsidRPr="00FA3856">
        <w:rPr>
          <w:rFonts w:ascii="Times New Roman" w:hAnsi="Times New Roman"/>
          <w:color w:val="auto"/>
          <w:szCs w:val="20"/>
        </w:rPr>
        <w:t xml:space="preserve">: </w:t>
      </w:r>
      <w:r w:rsidR="00D41C23" w:rsidRPr="00FA3856">
        <w:rPr>
          <w:rFonts w:ascii="Times New Roman" w:hAnsi="Times New Roman"/>
          <w:szCs w:val="20"/>
        </w:rPr>
        <w:t>Verifica se o registro já foi importado anteriormente, de acordo com a chave e os registros pais. Se a regra não for cumprida, a ECF gera um aviso.</w:t>
      </w:r>
    </w:p>
    <w:p w:rsidR="00D41C23" w:rsidRPr="00FA3856" w:rsidRDefault="00D41C23" w:rsidP="00D41C23">
      <w:pPr>
        <w:pStyle w:val="Corpodetexto"/>
        <w:ind w:left="708" w:firstLine="12"/>
        <w:rPr>
          <w:rFonts w:ascii="Times New Roman" w:hAnsi="Times New Roman"/>
          <w:szCs w:val="20"/>
        </w:rPr>
      </w:pPr>
    </w:p>
    <w:p w:rsidR="00D41C23" w:rsidRPr="00FA3856" w:rsidRDefault="007D0E74" w:rsidP="00D41C23">
      <w:pPr>
        <w:pStyle w:val="Corpodetexto"/>
        <w:ind w:left="708" w:firstLine="12"/>
        <w:rPr>
          <w:rFonts w:ascii="Times New Roman" w:hAnsi="Times New Roman"/>
          <w:b/>
          <w:szCs w:val="20"/>
        </w:rPr>
      </w:pPr>
      <w:hyperlink r:id="rId512" w:anchor="REGRA_OCORRENCIA_UNITARIA_ARQ" w:history="1">
        <w:r w:rsidR="00D41C23" w:rsidRPr="00FA3856">
          <w:rPr>
            <w:rFonts w:ascii="Times New Roman" w:hAnsi="Times New Roman"/>
            <w:b/>
            <w:szCs w:val="20"/>
          </w:rPr>
          <w:t>REGRA_</w:t>
        </w:r>
      </w:hyperlink>
      <w:r w:rsidR="00D41C23" w:rsidRPr="00FA3856">
        <w:rPr>
          <w:rFonts w:ascii="Times New Roman" w:hAnsi="Times New Roman"/>
          <w:b/>
          <w:szCs w:val="20"/>
        </w:rPr>
        <w:t>PERIODO_DESPREZADO</w:t>
      </w:r>
      <w:r w:rsidR="00D41C23" w:rsidRPr="00FA3856">
        <w:rPr>
          <w:rFonts w:ascii="Times New Roman" w:hAnsi="Times New Roman"/>
          <w:color w:val="auto"/>
          <w:szCs w:val="20"/>
        </w:rPr>
        <w:t xml:space="preserve">: </w:t>
      </w:r>
      <w:r w:rsidR="00D41C23" w:rsidRPr="00FA3856">
        <w:rPr>
          <w:rFonts w:ascii="Times New Roman" w:hAnsi="Times New Roman"/>
          <w:szCs w:val="20"/>
        </w:rPr>
        <w:t>Verifica se a linha deste período existe no arquivo de importação, mas não deve ser importado, pois as datas não compatíveis com o período da ECF. Gera um aviso.</w:t>
      </w:r>
    </w:p>
    <w:p w:rsidR="00D41C23" w:rsidRPr="00FA3856" w:rsidRDefault="00D41C23" w:rsidP="00D41C23">
      <w:pPr>
        <w:pStyle w:val="Corpodetexto"/>
        <w:ind w:left="708" w:firstLine="12"/>
        <w:rPr>
          <w:rFonts w:ascii="Times New Roman" w:hAnsi="Times New Roman"/>
          <w:b/>
          <w:szCs w:val="20"/>
        </w:rPr>
      </w:pPr>
    </w:p>
    <w:p w:rsidR="00D41C23" w:rsidRPr="00FA3856" w:rsidRDefault="007D0E74" w:rsidP="00D41C23">
      <w:pPr>
        <w:pStyle w:val="Corpodetexto"/>
        <w:ind w:left="708" w:firstLine="12"/>
        <w:rPr>
          <w:rFonts w:ascii="Times New Roman" w:hAnsi="Times New Roman"/>
          <w:szCs w:val="20"/>
        </w:rPr>
      </w:pPr>
      <w:hyperlink r:id="rId513" w:anchor="REGRA_OCORRENCIA_UNITARIA_ARQ" w:history="1">
        <w:r w:rsidR="00D41C23" w:rsidRPr="00FA3856">
          <w:rPr>
            <w:rFonts w:ascii="Times New Roman" w:hAnsi="Times New Roman"/>
            <w:b/>
            <w:szCs w:val="20"/>
          </w:rPr>
          <w:t>REGRA_</w:t>
        </w:r>
      </w:hyperlink>
      <w:r w:rsidR="00D41C23" w:rsidRPr="00FA3856">
        <w:rPr>
          <w:rFonts w:ascii="Times New Roman" w:hAnsi="Times New Roman"/>
          <w:b/>
          <w:szCs w:val="20"/>
        </w:rPr>
        <w:t>LINHA_ALTERADA</w:t>
      </w:r>
      <w:r w:rsidR="00D41C23" w:rsidRPr="00FA3856">
        <w:rPr>
          <w:rFonts w:ascii="Times New Roman" w:hAnsi="Times New Roman"/>
          <w:color w:val="auto"/>
          <w:szCs w:val="20"/>
        </w:rPr>
        <w:t xml:space="preserve">: </w:t>
      </w:r>
      <w:r w:rsidR="00D41C23" w:rsidRPr="00FA3856">
        <w:rPr>
          <w:rFonts w:ascii="Times New Roman" w:hAnsi="Times New Roman"/>
          <w:szCs w:val="20"/>
        </w:rPr>
        <w:t>Verifica se a linha deste período existe no arquivo de importação, mas deve ser alterada, pois as datas não compatíveis com o período da ECF. Gera um aviso.</w:t>
      </w:r>
    </w:p>
    <w:p w:rsidR="0076238A" w:rsidRDefault="0076238A" w:rsidP="00D80608">
      <w:pPr>
        <w:pStyle w:val="Corpodetexto"/>
        <w:rPr>
          <w:rFonts w:ascii="Times New Roman" w:hAnsi="Times New Roman"/>
          <w:b/>
          <w:color w:val="002060"/>
          <w:szCs w:val="20"/>
        </w:rPr>
      </w:pPr>
    </w:p>
    <w:p w:rsidR="0076238A" w:rsidRDefault="00B9485A" w:rsidP="00D80608">
      <w:pPr>
        <w:pStyle w:val="Corpodetexto"/>
        <w:rPr>
          <w:rFonts w:ascii="Times New Roman" w:hAnsi="Times New Roman"/>
          <w:b/>
          <w:color w:val="002060"/>
          <w:szCs w:val="20"/>
        </w:rPr>
      </w:pPr>
      <w:r w:rsidRPr="00FA3856">
        <w:rPr>
          <w:rFonts w:ascii="Times New Roman" w:hAnsi="Times New Roman"/>
          <w:b/>
          <w:color w:val="002060"/>
          <w:szCs w:val="20"/>
        </w:rPr>
        <w:t xml:space="preserve">Exemplo de Preenchimento: </w:t>
      </w:r>
    </w:p>
    <w:p w:rsidR="0076238A" w:rsidRDefault="0076238A" w:rsidP="00D80608">
      <w:pPr>
        <w:pStyle w:val="Corpodetexto"/>
        <w:rPr>
          <w:rFonts w:ascii="Times New Roman" w:hAnsi="Times New Roman"/>
          <w:b/>
          <w:color w:val="002060"/>
          <w:szCs w:val="20"/>
        </w:rPr>
      </w:pPr>
    </w:p>
    <w:p w:rsidR="00D80608" w:rsidRPr="00FA3856" w:rsidRDefault="00CD73D7" w:rsidP="00D80608">
      <w:pPr>
        <w:pStyle w:val="Corpodetexto"/>
        <w:rPr>
          <w:rFonts w:ascii="Times New Roman" w:hAnsi="Times New Roman"/>
          <w:b/>
          <w:color w:val="002060"/>
          <w:szCs w:val="20"/>
        </w:rPr>
      </w:pPr>
      <w:r w:rsidRPr="00FA3856">
        <w:rPr>
          <w:rFonts w:ascii="Times New Roman" w:hAnsi="Times New Roman"/>
          <w:b/>
          <w:color w:val="002060"/>
          <w:szCs w:val="20"/>
        </w:rPr>
        <w:t>|T030|0104</w:t>
      </w:r>
      <w:r w:rsidR="00D80608" w:rsidRPr="00FA3856">
        <w:rPr>
          <w:rFonts w:ascii="Times New Roman" w:hAnsi="Times New Roman"/>
          <w:b/>
          <w:color w:val="002060"/>
          <w:szCs w:val="20"/>
        </w:rPr>
        <w:t>2014|</w:t>
      </w:r>
      <w:r w:rsidRPr="00FA3856">
        <w:rPr>
          <w:rFonts w:ascii="Times New Roman" w:hAnsi="Times New Roman"/>
          <w:b/>
          <w:color w:val="002060"/>
          <w:szCs w:val="20"/>
        </w:rPr>
        <w:t>30062014|T02</w:t>
      </w:r>
      <w:r w:rsidR="00D80608" w:rsidRPr="00FA3856">
        <w:rPr>
          <w:rFonts w:ascii="Times New Roman" w:hAnsi="Times New Roman"/>
          <w:b/>
          <w:color w:val="002060"/>
          <w:szCs w:val="20"/>
        </w:rPr>
        <w:t>|</w:t>
      </w:r>
    </w:p>
    <w:p w:rsidR="00D80608" w:rsidRPr="00FA3856" w:rsidRDefault="00D80608" w:rsidP="00D80608">
      <w:pPr>
        <w:pStyle w:val="Corpodetexto"/>
        <w:ind w:firstLine="708"/>
        <w:rPr>
          <w:rFonts w:ascii="Times New Roman" w:hAnsi="Times New Roman"/>
          <w:color w:val="002060"/>
          <w:szCs w:val="20"/>
        </w:rPr>
      </w:pPr>
      <w:r w:rsidRPr="00FA3856">
        <w:rPr>
          <w:rFonts w:ascii="Times New Roman" w:hAnsi="Times New Roman"/>
          <w:color w:val="002060"/>
          <w:szCs w:val="20"/>
        </w:rPr>
        <w:t>|T030|: Identificação do tipo do registro.</w:t>
      </w:r>
    </w:p>
    <w:p w:rsidR="00D80608" w:rsidRPr="00FA3856" w:rsidRDefault="00D80608" w:rsidP="00D80608">
      <w:pPr>
        <w:pStyle w:val="Corpodetexto"/>
        <w:ind w:firstLine="708"/>
        <w:rPr>
          <w:rFonts w:ascii="Times New Roman" w:hAnsi="Times New Roman"/>
          <w:color w:val="002060"/>
          <w:szCs w:val="20"/>
        </w:rPr>
      </w:pPr>
      <w:r w:rsidRPr="00FA3856">
        <w:rPr>
          <w:rFonts w:ascii="Times New Roman" w:hAnsi="Times New Roman"/>
          <w:color w:val="002060"/>
          <w:szCs w:val="20"/>
        </w:rPr>
        <w:t>|</w:t>
      </w:r>
      <w:r w:rsidR="00CD73D7" w:rsidRPr="00FA3856">
        <w:rPr>
          <w:rFonts w:ascii="Times New Roman" w:hAnsi="Times New Roman"/>
          <w:color w:val="002060"/>
          <w:szCs w:val="20"/>
        </w:rPr>
        <w:t>0104</w:t>
      </w:r>
      <w:r w:rsidRPr="00FA3856">
        <w:rPr>
          <w:rFonts w:ascii="Times New Roman" w:hAnsi="Times New Roman"/>
          <w:color w:val="002060"/>
          <w:szCs w:val="20"/>
        </w:rPr>
        <w:t xml:space="preserve">2014|: </w:t>
      </w:r>
      <w:r w:rsidR="00CD73D7" w:rsidRPr="00FA3856">
        <w:rPr>
          <w:rFonts w:ascii="Times New Roman" w:hAnsi="Times New Roman"/>
          <w:color w:val="002060"/>
          <w:szCs w:val="20"/>
        </w:rPr>
        <w:t>Data de início do período (01/04</w:t>
      </w:r>
      <w:r w:rsidRPr="00FA3856">
        <w:rPr>
          <w:rFonts w:ascii="Times New Roman" w:hAnsi="Times New Roman"/>
          <w:color w:val="002060"/>
          <w:szCs w:val="20"/>
        </w:rPr>
        <w:t>/2014).</w:t>
      </w:r>
    </w:p>
    <w:p w:rsidR="00D80608" w:rsidRPr="00FA3856" w:rsidRDefault="00D80608" w:rsidP="00D80608">
      <w:pPr>
        <w:pStyle w:val="Corpodetexto"/>
        <w:ind w:firstLine="708"/>
        <w:rPr>
          <w:rFonts w:ascii="Times New Roman" w:hAnsi="Times New Roman"/>
          <w:color w:val="002060"/>
          <w:szCs w:val="20"/>
        </w:rPr>
      </w:pPr>
      <w:r w:rsidRPr="00FA3856">
        <w:rPr>
          <w:rFonts w:ascii="Times New Roman" w:hAnsi="Times New Roman"/>
          <w:color w:val="002060"/>
          <w:szCs w:val="20"/>
        </w:rPr>
        <w:t>|</w:t>
      </w:r>
      <w:r w:rsidR="00CD73D7" w:rsidRPr="00FA3856">
        <w:rPr>
          <w:rFonts w:ascii="Times New Roman" w:hAnsi="Times New Roman"/>
          <w:color w:val="002060"/>
          <w:szCs w:val="20"/>
        </w:rPr>
        <w:t>3006</w:t>
      </w:r>
      <w:r w:rsidRPr="00FA3856">
        <w:rPr>
          <w:rFonts w:ascii="Times New Roman" w:hAnsi="Times New Roman"/>
          <w:color w:val="002060"/>
          <w:szCs w:val="20"/>
        </w:rPr>
        <w:t>2014</w:t>
      </w:r>
      <w:r w:rsidR="00CD73D7" w:rsidRPr="00FA3856">
        <w:rPr>
          <w:rFonts w:ascii="Times New Roman" w:hAnsi="Times New Roman"/>
          <w:color w:val="002060"/>
          <w:szCs w:val="20"/>
        </w:rPr>
        <w:t>|: Data de fim do período (30/06</w:t>
      </w:r>
      <w:r w:rsidRPr="00FA3856">
        <w:rPr>
          <w:rFonts w:ascii="Times New Roman" w:hAnsi="Times New Roman"/>
          <w:color w:val="002060"/>
          <w:szCs w:val="20"/>
        </w:rPr>
        <w:t>/2014).</w:t>
      </w:r>
    </w:p>
    <w:p w:rsidR="00D80608" w:rsidRPr="00FA3856" w:rsidRDefault="00CD73D7" w:rsidP="00D80608">
      <w:pPr>
        <w:pStyle w:val="Corpodetexto"/>
        <w:ind w:firstLine="708"/>
        <w:rPr>
          <w:rFonts w:ascii="Times New Roman" w:hAnsi="Times New Roman"/>
          <w:color w:val="002060"/>
          <w:szCs w:val="20"/>
        </w:rPr>
      </w:pPr>
      <w:r w:rsidRPr="00FA3856">
        <w:rPr>
          <w:rFonts w:ascii="Times New Roman" w:hAnsi="Times New Roman"/>
          <w:color w:val="002060"/>
          <w:szCs w:val="20"/>
        </w:rPr>
        <w:t>|T02|: Período de apuração (T02 = 2</w:t>
      </w:r>
      <w:r w:rsidR="00D80608" w:rsidRPr="00FA3856">
        <w:rPr>
          <w:rFonts w:ascii="Times New Roman" w:hAnsi="Times New Roman"/>
          <w:color w:val="002060"/>
          <w:szCs w:val="20"/>
          <w:u w:val="single"/>
          <w:vertAlign w:val="superscript"/>
        </w:rPr>
        <w:t>o</w:t>
      </w:r>
      <w:r w:rsidR="00D80608" w:rsidRPr="00FA3856">
        <w:rPr>
          <w:rFonts w:ascii="Times New Roman" w:hAnsi="Times New Roman"/>
          <w:color w:val="002060"/>
          <w:szCs w:val="20"/>
        </w:rPr>
        <w:t xml:space="preserve"> Trimestre).</w:t>
      </w:r>
    </w:p>
    <w:p w:rsidR="00D80608" w:rsidRPr="00FA3856" w:rsidRDefault="00D80608">
      <w:pPr>
        <w:spacing w:after="200" w:line="276" w:lineRule="auto"/>
        <w:rPr>
          <w:b/>
          <w:bCs/>
          <w:color w:val="0000FF"/>
          <w:szCs w:val="20"/>
        </w:rPr>
      </w:pPr>
      <w:r w:rsidRPr="00FA3856">
        <w:rPr>
          <w:color w:val="0000FF"/>
          <w:szCs w:val="20"/>
        </w:rPr>
        <w:br w:type="page"/>
      </w:r>
    </w:p>
    <w:p w:rsidR="003A48EB" w:rsidRPr="00FA3856" w:rsidRDefault="003A48EB" w:rsidP="00867F54">
      <w:pPr>
        <w:pStyle w:val="Ttulo4"/>
      </w:pPr>
      <w:bookmarkStart w:id="349" w:name="_Toc479713771"/>
      <w:r w:rsidRPr="00FA3856">
        <w:lastRenderedPageBreak/>
        <w:t xml:space="preserve">Registro </w:t>
      </w:r>
      <w:r w:rsidR="00F11E71" w:rsidRPr="00FA3856">
        <w:t>T120</w:t>
      </w:r>
      <w:r w:rsidRPr="00FA3856">
        <w:t xml:space="preserve">: </w:t>
      </w:r>
      <w:r w:rsidR="00F11E71" w:rsidRPr="00FA3856">
        <w:t xml:space="preserve">Apuração da Base de Cálculo do IRPJ </w:t>
      </w:r>
      <w:r w:rsidRPr="00FA3856">
        <w:t xml:space="preserve">com Base no Lucro </w:t>
      </w:r>
      <w:r w:rsidR="00F11E71" w:rsidRPr="00FA3856">
        <w:t>Arbitrado</w:t>
      </w:r>
      <w:bookmarkEnd w:id="349"/>
    </w:p>
    <w:p w:rsidR="003A48EB" w:rsidRPr="00FA3856" w:rsidRDefault="003A48EB" w:rsidP="003A48EB">
      <w:pPr>
        <w:rPr>
          <w:szCs w:val="20"/>
        </w:rPr>
      </w:pPr>
    </w:p>
    <w:p w:rsidR="003F78B1" w:rsidRPr="00FA3856" w:rsidRDefault="00D80608" w:rsidP="00D80608">
      <w:pPr>
        <w:pStyle w:val="PSDS-CorpodeTexto0"/>
        <w:ind w:firstLine="708"/>
        <w:rPr>
          <w:rFonts w:ascii="Times New Roman" w:hAnsi="Times New Roman"/>
        </w:rPr>
      </w:pPr>
      <w:r w:rsidRPr="00FA3856">
        <w:rPr>
          <w:rFonts w:ascii="Times New Roman" w:hAnsi="Times New Roman"/>
        </w:rPr>
        <w:t>Este registro deve ser preenchido</w:t>
      </w:r>
      <w:r w:rsidR="003F78B1" w:rsidRPr="00FA3856">
        <w:rPr>
          <w:rFonts w:ascii="Times New Roman" w:hAnsi="Times New Roman"/>
        </w:rPr>
        <w:t xml:space="preserve"> pela pessoa jurídica que apurou imposto de renda pelo lucro arbitrado em um ou mais trimestres do ano-calendário. </w:t>
      </w:r>
    </w:p>
    <w:p w:rsidR="00E505D7" w:rsidRDefault="003F78B1" w:rsidP="0076238A">
      <w:pPr>
        <w:pStyle w:val="PSDS-CorpodeTexto0"/>
        <w:ind w:firstLine="708"/>
        <w:rPr>
          <w:rFonts w:ascii="Times New Roman" w:hAnsi="Times New Roman"/>
        </w:rPr>
      </w:pPr>
      <w:r w:rsidRPr="00FA3856">
        <w:rPr>
          <w:rFonts w:ascii="Times New Roman" w:hAnsi="Times New Roman"/>
        </w:rPr>
        <w:t> </w:t>
      </w:r>
    </w:p>
    <w:p w:rsidR="0076238A" w:rsidRPr="00FA3856" w:rsidRDefault="00B35FA3" w:rsidP="0076238A">
      <w:pPr>
        <w:pStyle w:val="PSDS-CorpodeTexto0"/>
        <w:jc w:val="center"/>
        <w:rPr>
          <w:b/>
          <w:lang w:val="pt-PT"/>
        </w:rPr>
      </w:pPr>
      <w:r>
        <w:rPr>
          <w:rFonts w:ascii="Times New Roman" w:hAnsi="Times New Roman"/>
        </w:rPr>
        <w:object w:dxaOrig="13950" w:dyaOrig="4740">
          <v:shape id="_x0000_i1813" type="#_x0000_t75" style="width:745.5pt;height:230.25pt" o:ole="">
            <v:imagedata r:id="rId514" o:title=""/>
          </v:shape>
          <o:OLEObject Type="Link" ProgID="Excel.Sheet.12" ShapeID="_x0000_i1813" DrawAspect="Content" r:id="rId515" UpdateMode="Always">
            <o:LinkType>EnhancedMetaFile</o:LinkType>
            <o:LockedField>false</o:LockedField>
          </o:OLEObject>
        </w:object>
      </w:r>
    </w:p>
    <w:p w:rsidR="0076238A" w:rsidRDefault="0076238A" w:rsidP="00FE5D23">
      <w:pPr>
        <w:rPr>
          <w:b/>
          <w:szCs w:val="20"/>
          <w:lang w:val="pt-PT"/>
        </w:rPr>
      </w:pPr>
    </w:p>
    <w:p w:rsidR="00FE5D23" w:rsidRPr="00FA3856" w:rsidRDefault="00FE5D23" w:rsidP="00FE5D23">
      <w:pPr>
        <w:rPr>
          <w:b/>
          <w:szCs w:val="20"/>
          <w:lang w:val="pt-PT"/>
        </w:rPr>
      </w:pPr>
      <w:r w:rsidRPr="00FA3856">
        <w:rPr>
          <w:b/>
          <w:szCs w:val="20"/>
          <w:lang w:val="pt-PT"/>
        </w:rPr>
        <w:t>I – Regras de Validação do Registro:</w:t>
      </w:r>
    </w:p>
    <w:p w:rsidR="00FE5D23" w:rsidRPr="00FA3856" w:rsidRDefault="00FE5D23" w:rsidP="00FE5D23">
      <w:pPr>
        <w:rPr>
          <w:b/>
          <w:szCs w:val="20"/>
          <w:lang w:val="pt-PT"/>
        </w:rPr>
      </w:pPr>
    </w:p>
    <w:p w:rsidR="00FE5D23" w:rsidRPr="00FA3856" w:rsidRDefault="007D0E74" w:rsidP="00FE5D23">
      <w:pPr>
        <w:pStyle w:val="Corpodetexto"/>
        <w:ind w:left="708" w:firstLine="12"/>
        <w:rPr>
          <w:rFonts w:ascii="Times New Roman" w:hAnsi="Times New Roman"/>
          <w:szCs w:val="20"/>
        </w:rPr>
      </w:pPr>
      <w:hyperlink r:id="rId516" w:anchor="REGRA_OCORRENCIA_UNITARIA_ARQ" w:history="1">
        <w:r w:rsidR="00FE5D23" w:rsidRPr="00FA3856">
          <w:rPr>
            <w:rFonts w:ascii="Times New Roman" w:hAnsi="Times New Roman"/>
            <w:b/>
            <w:szCs w:val="20"/>
          </w:rPr>
          <w:t>REGRA_</w:t>
        </w:r>
      </w:hyperlink>
      <w:r w:rsidR="00FE5D23" w:rsidRPr="00FA3856">
        <w:rPr>
          <w:rFonts w:ascii="Times New Roman" w:hAnsi="Times New Roman"/>
          <w:b/>
          <w:szCs w:val="20"/>
        </w:rPr>
        <w:t>DUPLICIDADE_DESPREZADA</w:t>
      </w:r>
      <w:r w:rsidR="00FE5D23" w:rsidRPr="00FA3856">
        <w:rPr>
          <w:rFonts w:ascii="Times New Roman" w:hAnsi="Times New Roman"/>
          <w:color w:val="auto"/>
          <w:szCs w:val="20"/>
        </w:rPr>
        <w:t xml:space="preserve">: </w:t>
      </w:r>
      <w:r w:rsidR="00FE5D23" w:rsidRPr="00FA3856">
        <w:rPr>
          <w:rFonts w:ascii="Times New Roman" w:hAnsi="Times New Roman"/>
          <w:szCs w:val="20"/>
        </w:rPr>
        <w:t>Verifica se o registro já foi importado anteriormente, de acordo com a chave e os registros pais. Se a regra não for cumprida, a ECF gera um aviso.</w:t>
      </w:r>
    </w:p>
    <w:p w:rsidR="00FE5D23" w:rsidRPr="00FA3856" w:rsidRDefault="00FE5D23" w:rsidP="00FE5D23">
      <w:pPr>
        <w:pStyle w:val="Corpodetexto"/>
        <w:ind w:left="708" w:firstLine="12"/>
        <w:rPr>
          <w:rFonts w:ascii="Times New Roman" w:hAnsi="Times New Roman"/>
          <w:szCs w:val="20"/>
        </w:rPr>
      </w:pPr>
    </w:p>
    <w:p w:rsidR="00FE5D23" w:rsidRPr="00FA3856" w:rsidRDefault="007D0E74" w:rsidP="00FE5D23">
      <w:pPr>
        <w:pStyle w:val="Corpodetexto"/>
        <w:ind w:left="708" w:firstLine="12"/>
        <w:rPr>
          <w:rFonts w:ascii="Times New Roman" w:hAnsi="Times New Roman"/>
          <w:szCs w:val="20"/>
        </w:rPr>
      </w:pPr>
      <w:hyperlink r:id="rId517" w:anchor="REGRA_OCORRENCIA_UNITARIA_ARQ" w:history="1">
        <w:r w:rsidR="00FE5D23" w:rsidRPr="00FA3856">
          <w:rPr>
            <w:rFonts w:ascii="Times New Roman" w:hAnsi="Times New Roman"/>
            <w:b/>
            <w:szCs w:val="20"/>
          </w:rPr>
          <w:t>REGRA_</w:t>
        </w:r>
      </w:hyperlink>
      <w:r w:rsidR="00FE5D23" w:rsidRPr="00FA3856">
        <w:rPr>
          <w:rFonts w:ascii="Times New Roman" w:hAnsi="Times New Roman"/>
          <w:b/>
          <w:szCs w:val="20"/>
        </w:rPr>
        <w:t>LINHA_DESPREZADA</w:t>
      </w:r>
      <w:r w:rsidR="00FE5D23" w:rsidRPr="00FA3856">
        <w:rPr>
          <w:rFonts w:ascii="Times New Roman" w:hAnsi="Times New Roman"/>
          <w:color w:val="auto"/>
          <w:szCs w:val="20"/>
        </w:rPr>
        <w:t xml:space="preserve">: </w:t>
      </w:r>
      <w:r w:rsidR="00FE5D23" w:rsidRPr="00FA3856">
        <w:rPr>
          <w:rFonts w:ascii="Times New Roman" w:hAnsi="Times New Roman"/>
          <w:szCs w:val="20"/>
        </w:rPr>
        <w:t>Verifica se o registro existe na importação, mas não será importado por não existir na tabela dinâmica devido às configurações do bloco 0 ou da tabela dinâmica. Gera um aviso.</w:t>
      </w:r>
    </w:p>
    <w:p w:rsidR="00FE5D23" w:rsidRPr="00FA3856" w:rsidRDefault="00FE5D23" w:rsidP="00FE5D23">
      <w:pPr>
        <w:pStyle w:val="Corpodetexto"/>
        <w:ind w:left="708" w:firstLine="12"/>
        <w:rPr>
          <w:rFonts w:ascii="Times New Roman" w:hAnsi="Times New Roman"/>
          <w:b/>
          <w:szCs w:val="20"/>
        </w:rPr>
      </w:pPr>
    </w:p>
    <w:p w:rsidR="00FE5D23" w:rsidRPr="00FA3856" w:rsidRDefault="007D0E74" w:rsidP="00FE5D23">
      <w:pPr>
        <w:pStyle w:val="Corpodetexto"/>
        <w:ind w:left="708" w:firstLine="12"/>
        <w:rPr>
          <w:rFonts w:ascii="Times New Roman" w:hAnsi="Times New Roman"/>
          <w:b/>
          <w:szCs w:val="20"/>
        </w:rPr>
      </w:pPr>
      <w:hyperlink r:id="rId518" w:anchor="REGRA_OCORRENCIA_UNITARIA_ARQ" w:history="1">
        <w:r w:rsidR="00FE5D23" w:rsidRPr="00FA3856">
          <w:rPr>
            <w:rFonts w:ascii="Times New Roman" w:hAnsi="Times New Roman"/>
            <w:b/>
            <w:szCs w:val="20"/>
          </w:rPr>
          <w:t>REGRA_</w:t>
        </w:r>
      </w:hyperlink>
      <w:r w:rsidR="00FE5D23" w:rsidRPr="00FA3856">
        <w:rPr>
          <w:rFonts w:ascii="Times New Roman" w:hAnsi="Times New Roman"/>
          <w:b/>
          <w:szCs w:val="20"/>
        </w:rPr>
        <w:t>LINHA_ATUALIZADA</w:t>
      </w:r>
      <w:r w:rsidR="00FE5D23" w:rsidRPr="00FA3856">
        <w:rPr>
          <w:rFonts w:ascii="Times New Roman" w:hAnsi="Times New Roman"/>
          <w:color w:val="auto"/>
          <w:szCs w:val="20"/>
        </w:rPr>
        <w:t xml:space="preserve">: </w:t>
      </w:r>
      <w:r w:rsidR="00FE5D23" w:rsidRPr="00FA3856">
        <w:rPr>
          <w:rFonts w:ascii="Times New Roman" w:hAnsi="Times New Roman"/>
          <w:szCs w:val="20"/>
        </w:rPr>
        <w:t>Verifica se o registro está desatualizado em relação à tabela da RFB. Gera um aviso.</w:t>
      </w:r>
    </w:p>
    <w:p w:rsidR="00FE5D23" w:rsidRPr="00FA3856" w:rsidRDefault="00FE5D23" w:rsidP="003A48EB">
      <w:pPr>
        <w:rPr>
          <w:b/>
          <w:szCs w:val="20"/>
          <w:lang w:val="pt-PT"/>
        </w:rPr>
      </w:pPr>
    </w:p>
    <w:p w:rsidR="003A48EB" w:rsidRPr="00FA3856" w:rsidRDefault="00FE5D23" w:rsidP="003A48EB">
      <w:pPr>
        <w:rPr>
          <w:b/>
          <w:szCs w:val="20"/>
          <w:lang w:val="pt-PT"/>
        </w:rPr>
      </w:pPr>
      <w:r w:rsidRPr="00FA3856">
        <w:rPr>
          <w:b/>
          <w:szCs w:val="20"/>
          <w:lang w:val="pt-PT"/>
        </w:rPr>
        <w:t>I</w:t>
      </w:r>
      <w:r w:rsidR="003A48EB" w:rsidRPr="00FA3856">
        <w:rPr>
          <w:b/>
          <w:szCs w:val="20"/>
          <w:lang w:val="pt-PT"/>
        </w:rPr>
        <w:t>I – Regras de Validação de Campos:</w:t>
      </w:r>
    </w:p>
    <w:p w:rsidR="003A48EB" w:rsidRPr="00FA3856" w:rsidRDefault="003A48EB" w:rsidP="003A48EB">
      <w:pPr>
        <w:rPr>
          <w:b/>
          <w:szCs w:val="20"/>
          <w:lang w:val="pt-PT"/>
        </w:rPr>
      </w:pPr>
    </w:p>
    <w:tbl>
      <w:tblPr>
        <w:tblW w:w="15317"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85"/>
        <w:gridCol w:w="3000"/>
        <w:gridCol w:w="11115"/>
        <w:gridCol w:w="717"/>
      </w:tblGrid>
      <w:tr w:rsidR="003A48EB" w:rsidRPr="00FA3856" w:rsidTr="00B9485A">
        <w:trPr>
          <w:jc w:val="center"/>
        </w:trPr>
        <w:tc>
          <w:tcPr>
            <w:tcW w:w="485" w:type="dxa"/>
            <w:tcBorders>
              <w:top w:val="single" w:sz="6" w:space="0" w:color="auto"/>
              <w:left w:val="single" w:sz="6" w:space="0" w:color="auto"/>
              <w:bottom w:val="single" w:sz="6" w:space="0" w:color="auto"/>
              <w:right w:val="single" w:sz="6" w:space="0" w:color="auto"/>
            </w:tcBorders>
            <w:shd w:val="pct10" w:color="auto" w:fill="FFFFFF"/>
          </w:tcPr>
          <w:p w:rsidR="003A48EB" w:rsidRPr="00FA3856" w:rsidRDefault="003A48EB" w:rsidP="00EC4ABB">
            <w:pPr>
              <w:pStyle w:val="PSDS-CorpodeTexto0"/>
              <w:jc w:val="center"/>
              <w:rPr>
                <w:rFonts w:ascii="Times New Roman" w:hAnsi="Times New Roman"/>
                <w:b/>
                <w:bCs/>
              </w:rPr>
            </w:pPr>
            <w:r w:rsidRPr="00FA3856">
              <w:rPr>
                <w:rFonts w:ascii="Times New Roman" w:hAnsi="Times New Roman"/>
                <w:b/>
                <w:bCs/>
              </w:rPr>
              <w:t>Nº</w:t>
            </w:r>
          </w:p>
        </w:tc>
        <w:tc>
          <w:tcPr>
            <w:tcW w:w="3000" w:type="dxa"/>
            <w:tcBorders>
              <w:top w:val="single" w:sz="6" w:space="0" w:color="auto"/>
              <w:left w:val="single" w:sz="6" w:space="0" w:color="auto"/>
              <w:bottom w:val="single" w:sz="6" w:space="0" w:color="auto"/>
              <w:right w:val="single" w:sz="6" w:space="0" w:color="auto"/>
            </w:tcBorders>
            <w:shd w:val="pct10" w:color="auto" w:fill="FFFFFF"/>
          </w:tcPr>
          <w:p w:rsidR="003A48EB" w:rsidRPr="00FA3856" w:rsidRDefault="003A48EB" w:rsidP="00EC4ABB">
            <w:pPr>
              <w:pStyle w:val="PSDS-CorpodeTexto0"/>
              <w:jc w:val="center"/>
              <w:rPr>
                <w:rFonts w:ascii="Times New Roman" w:hAnsi="Times New Roman"/>
                <w:b/>
                <w:bCs/>
              </w:rPr>
            </w:pPr>
            <w:r w:rsidRPr="00FA3856">
              <w:rPr>
                <w:rFonts w:ascii="Times New Roman" w:hAnsi="Times New Roman"/>
                <w:b/>
                <w:bCs/>
              </w:rPr>
              <w:t>Campo</w:t>
            </w:r>
          </w:p>
        </w:tc>
        <w:tc>
          <w:tcPr>
            <w:tcW w:w="11115" w:type="dxa"/>
            <w:tcBorders>
              <w:top w:val="single" w:sz="6" w:space="0" w:color="auto"/>
              <w:left w:val="single" w:sz="6" w:space="0" w:color="auto"/>
              <w:bottom w:val="single" w:sz="6" w:space="0" w:color="auto"/>
              <w:right w:val="single" w:sz="6" w:space="0" w:color="auto"/>
            </w:tcBorders>
            <w:shd w:val="pct10" w:color="auto" w:fill="FFFFFF"/>
          </w:tcPr>
          <w:p w:rsidR="003A48EB" w:rsidRPr="00FA3856" w:rsidRDefault="003A48EB" w:rsidP="00EC4ABB">
            <w:pPr>
              <w:pStyle w:val="PSDS-CorpodeTexto0"/>
              <w:jc w:val="center"/>
              <w:rPr>
                <w:rFonts w:ascii="Times New Roman" w:hAnsi="Times New Roman"/>
                <w:b/>
                <w:bCs/>
              </w:rPr>
            </w:pPr>
            <w:r w:rsidRPr="00FA3856">
              <w:rPr>
                <w:rFonts w:ascii="Times New Roman" w:hAnsi="Times New Roman"/>
                <w:b/>
                <w:bCs/>
              </w:rPr>
              <w:t>Regras de Validação do Campo</w:t>
            </w:r>
          </w:p>
        </w:tc>
        <w:tc>
          <w:tcPr>
            <w:tcW w:w="717" w:type="dxa"/>
            <w:tcBorders>
              <w:top w:val="single" w:sz="6" w:space="0" w:color="auto"/>
              <w:left w:val="single" w:sz="6" w:space="0" w:color="auto"/>
              <w:bottom w:val="single" w:sz="6" w:space="0" w:color="auto"/>
              <w:right w:val="single" w:sz="6" w:space="0" w:color="auto"/>
            </w:tcBorders>
            <w:shd w:val="pct10" w:color="auto" w:fill="FFFFFF"/>
          </w:tcPr>
          <w:p w:rsidR="003A48EB" w:rsidRPr="00FA3856" w:rsidRDefault="003A48EB" w:rsidP="00EC4ABB">
            <w:pPr>
              <w:pStyle w:val="PSDS-CorpodeTexto0"/>
              <w:jc w:val="center"/>
              <w:rPr>
                <w:rFonts w:ascii="Times New Roman" w:hAnsi="Times New Roman"/>
                <w:b/>
                <w:bCs/>
              </w:rPr>
            </w:pPr>
            <w:r w:rsidRPr="00FA3856">
              <w:rPr>
                <w:rFonts w:ascii="Times New Roman" w:hAnsi="Times New Roman"/>
                <w:b/>
                <w:bCs/>
              </w:rPr>
              <w:t>Tipo</w:t>
            </w:r>
          </w:p>
        </w:tc>
      </w:tr>
      <w:tr w:rsidR="0012324D" w:rsidRPr="00FA3856" w:rsidTr="00B9485A">
        <w:trPr>
          <w:jc w:val="center"/>
        </w:trPr>
        <w:tc>
          <w:tcPr>
            <w:tcW w:w="485" w:type="dxa"/>
            <w:tcBorders>
              <w:top w:val="single" w:sz="6" w:space="0" w:color="auto"/>
              <w:left w:val="single" w:sz="6" w:space="0" w:color="auto"/>
              <w:bottom w:val="single" w:sz="6" w:space="0" w:color="auto"/>
              <w:right w:val="single" w:sz="6" w:space="0" w:color="auto"/>
            </w:tcBorders>
          </w:tcPr>
          <w:p w:rsidR="0012324D" w:rsidRPr="00FA3856" w:rsidRDefault="0012324D" w:rsidP="0012324D">
            <w:pPr>
              <w:pStyle w:val="PSDS-CorpodeTexto0"/>
              <w:suppressAutoHyphens w:val="0"/>
              <w:rPr>
                <w:rFonts w:ascii="Times New Roman" w:hAnsi="Times New Roman"/>
                <w:b/>
                <w:bCs/>
                <w:lang w:val="pt-PT"/>
              </w:rPr>
            </w:pPr>
            <w:r w:rsidRPr="00FA3856">
              <w:rPr>
                <w:rFonts w:ascii="Times New Roman" w:hAnsi="Times New Roman"/>
                <w:b/>
                <w:bCs/>
                <w:lang w:val="pt-PT"/>
              </w:rPr>
              <w:t>4</w:t>
            </w:r>
          </w:p>
        </w:tc>
        <w:tc>
          <w:tcPr>
            <w:tcW w:w="3000" w:type="dxa"/>
            <w:tcBorders>
              <w:top w:val="single" w:sz="6" w:space="0" w:color="auto"/>
              <w:left w:val="single" w:sz="6" w:space="0" w:color="auto"/>
              <w:bottom w:val="single" w:sz="6" w:space="0" w:color="auto"/>
              <w:right w:val="single" w:sz="6" w:space="0" w:color="auto"/>
            </w:tcBorders>
          </w:tcPr>
          <w:p w:rsidR="0012324D" w:rsidRPr="00FA3856" w:rsidRDefault="0012324D" w:rsidP="0012324D">
            <w:pPr>
              <w:pStyle w:val="PSDS-CorpodeTexto0"/>
              <w:rPr>
                <w:rFonts w:ascii="Times New Roman" w:hAnsi="Times New Roman"/>
              </w:rPr>
            </w:pPr>
            <w:r w:rsidRPr="00FA3856">
              <w:rPr>
                <w:rFonts w:ascii="Times New Roman" w:hAnsi="Times New Roman"/>
              </w:rPr>
              <w:t>VALOR</w:t>
            </w:r>
          </w:p>
        </w:tc>
        <w:tc>
          <w:tcPr>
            <w:tcW w:w="11115" w:type="dxa"/>
            <w:tcBorders>
              <w:top w:val="single" w:sz="6" w:space="0" w:color="auto"/>
              <w:left w:val="single" w:sz="6" w:space="0" w:color="auto"/>
              <w:bottom w:val="single" w:sz="6" w:space="0" w:color="auto"/>
              <w:right w:val="single" w:sz="6" w:space="0" w:color="auto"/>
            </w:tcBorders>
          </w:tcPr>
          <w:p w:rsidR="0012324D" w:rsidRPr="00FA3856" w:rsidRDefault="0012324D" w:rsidP="0012324D">
            <w:pPr>
              <w:pStyle w:val="Corpodetexto"/>
              <w:rPr>
                <w:rFonts w:ascii="Times New Roman" w:hAnsi="Times New Roman"/>
                <w:szCs w:val="20"/>
              </w:rPr>
            </w:pPr>
            <w:r w:rsidRPr="00FA3856">
              <w:rPr>
                <w:rFonts w:ascii="Times New Roman" w:hAnsi="Times New Roman"/>
                <w:b/>
                <w:bCs/>
                <w:szCs w:val="20"/>
              </w:rPr>
              <w:t>REGRA_OBRIGATORIO_TIPO_DIFERENTE_R</w:t>
            </w:r>
            <w:r w:rsidRPr="00FA3856">
              <w:rPr>
                <w:rFonts w:ascii="Times New Roman" w:hAnsi="Times New Roman"/>
                <w:szCs w:val="20"/>
              </w:rPr>
              <w:t xml:space="preserve">: </w:t>
            </w:r>
            <w:r w:rsidRPr="00FA3856">
              <w:rPr>
                <w:rStyle w:val="Hyperlink"/>
                <w:rFonts w:ascii="Times New Roman" w:hAnsi="Times New Roman"/>
                <w:bCs/>
                <w:color w:val="auto"/>
                <w:szCs w:val="20"/>
                <w:lang w:val="pt-PT"/>
              </w:rPr>
              <w:t xml:space="preserve">Verifica se o campo está preenchido quando o tipo da linha </w:t>
            </w:r>
            <w:r w:rsidR="0063733D" w:rsidRPr="00FA3856">
              <w:rPr>
                <w:rStyle w:val="Hyperlink"/>
                <w:rFonts w:ascii="Times New Roman" w:hAnsi="Times New Roman"/>
                <w:bCs/>
                <w:color w:val="auto"/>
                <w:szCs w:val="20"/>
                <w:lang w:val="pt-PT"/>
              </w:rPr>
              <w:t>é diferente</w:t>
            </w:r>
            <w:r w:rsidRPr="00FA3856">
              <w:rPr>
                <w:rStyle w:val="Hyperlink"/>
                <w:rFonts w:ascii="Times New Roman" w:hAnsi="Times New Roman"/>
                <w:bCs/>
                <w:color w:val="auto"/>
                <w:szCs w:val="20"/>
                <w:lang w:val="pt-PT"/>
              </w:rPr>
              <w:t xml:space="preserve"> de “R”.</w:t>
            </w:r>
          </w:p>
        </w:tc>
        <w:tc>
          <w:tcPr>
            <w:tcW w:w="717" w:type="dxa"/>
            <w:tcBorders>
              <w:top w:val="single" w:sz="6" w:space="0" w:color="auto"/>
              <w:left w:val="single" w:sz="6" w:space="0" w:color="auto"/>
              <w:bottom w:val="single" w:sz="6" w:space="0" w:color="auto"/>
              <w:right w:val="single" w:sz="6" w:space="0" w:color="auto"/>
            </w:tcBorders>
          </w:tcPr>
          <w:p w:rsidR="0012324D" w:rsidRPr="00FA3856" w:rsidRDefault="0012324D" w:rsidP="0012324D">
            <w:pPr>
              <w:pStyle w:val="PSDS-CorpodeTexto0"/>
              <w:rPr>
                <w:rFonts w:ascii="Times New Roman" w:hAnsi="Times New Roman"/>
              </w:rPr>
            </w:pPr>
            <w:r w:rsidRPr="00FA3856">
              <w:rPr>
                <w:rFonts w:ascii="Times New Roman" w:hAnsi="Times New Roman"/>
              </w:rPr>
              <w:t>Erro</w:t>
            </w:r>
          </w:p>
          <w:p w:rsidR="0012324D" w:rsidRPr="00FA3856" w:rsidRDefault="0012324D" w:rsidP="0012324D">
            <w:pPr>
              <w:pStyle w:val="PSDS-CorpodeTexto0"/>
              <w:rPr>
                <w:rFonts w:ascii="Times New Roman" w:hAnsi="Times New Roman"/>
              </w:rPr>
            </w:pPr>
          </w:p>
        </w:tc>
      </w:tr>
    </w:tbl>
    <w:p w:rsidR="004A3546" w:rsidRDefault="004A3546" w:rsidP="00706E65">
      <w:pPr>
        <w:rPr>
          <w:b/>
          <w:szCs w:val="20"/>
          <w:lang w:val="pt-PT"/>
        </w:rPr>
      </w:pPr>
    </w:p>
    <w:p w:rsidR="00706E65" w:rsidRPr="00FA3856" w:rsidRDefault="00706E65" w:rsidP="00706E65">
      <w:pPr>
        <w:rPr>
          <w:b/>
          <w:szCs w:val="20"/>
          <w:lang w:val="pt-PT"/>
        </w:rPr>
      </w:pPr>
      <w:r w:rsidRPr="00FA3856">
        <w:rPr>
          <w:b/>
          <w:szCs w:val="20"/>
          <w:lang w:val="pt-PT"/>
        </w:rPr>
        <w:lastRenderedPageBreak/>
        <w:t>I</w:t>
      </w:r>
      <w:r w:rsidR="00B9485A" w:rsidRPr="00FA3856">
        <w:rPr>
          <w:b/>
          <w:szCs w:val="20"/>
          <w:lang w:val="pt-PT"/>
        </w:rPr>
        <w:t>I</w:t>
      </w:r>
      <w:r w:rsidRPr="00FA3856">
        <w:rPr>
          <w:b/>
          <w:szCs w:val="20"/>
          <w:lang w:val="pt-PT"/>
        </w:rPr>
        <w:t>I – Tabela Dinâmica:</w:t>
      </w:r>
      <w:r w:rsidR="004A3546">
        <w:rPr>
          <w:b/>
          <w:szCs w:val="20"/>
          <w:lang w:val="pt-PT"/>
        </w:rPr>
        <w:t xml:space="preserve"> </w:t>
      </w:r>
      <w:r w:rsidR="004A3546" w:rsidRPr="004A3546">
        <w:rPr>
          <w:b/>
          <w:szCs w:val="20"/>
          <w:lang w:val="pt-PT"/>
        </w:rPr>
        <w:t>T120 - Apuração da Base de Cálculo do IRPJ com Base no Lucro Arbitrado</w:t>
      </w:r>
    </w:p>
    <w:p w:rsidR="00057083" w:rsidRPr="00012703" w:rsidRDefault="00486CDA" w:rsidP="00012703">
      <w:pPr>
        <w:rPr>
          <w:b/>
          <w:szCs w:val="20"/>
          <w:lang w:val="pt-PT"/>
        </w:rPr>
      </w:pPr>
      <w:r>
        <w:rPr>
          <w:b/>
          <w:szCs w:val="20"/>
          <w:lang w:val="pt-PT"/>
        </w:rPr>
        <w:object w:dxaOrig="1534" w:dyaOrig="997">
          <v:shape id="_x0000_i1215" type="#_x0000_t75" style="width:79.5pt;height:50.25pt" o:ole="">
            <v:imagedata r:id="rId519" o:title=""/>
          </v:shape>
          <o:OLEObject Type="Link" ProgID="Excel.Sheet.12" ShapeID="_x0000_i1215" DrawAspect="Content" r:id="rId520" UpdateMode="OnCall">
            <o:LinkType>EnhancedMetaFile</o:LinkType>
            <o:LockedField>false</o:LockedField>
          </o:OLEObject>
        </w:object>
      </w:r>
    </w:p>
    <w:p w:rsidR="00057083" w:rsidRDefault="00975D68" w:rsidP="00975D68">
      <w:pPr>
        <w:pStyle w:val="Corpodetexto"/>
        <w:rPr>
          <w:rFonts w:ascii="Times New Roman" w:hAnsi="Times New Roman"/>
          <w:b/>
          <w:color w:val="002060"/>
          <w:szCs w:val="20"/>
        </w:rPr>
      </w:pPr>
      <w:r w:rsidRPr="00FA3856">
        <w:rPr>
          <w:rFonts w:ascii="Times New Roman" w:hAnsi="Times New Roman"/>
          <w:b/>
          <w:color w:val="002060"/>
          <w:szCs w:val="20"/>
        </w:rPr>
        <w:t xml:space="preserve">Exemplo </w:t>
      </w:r>
      <w:r w:rsidR="00B9485A" w:rsidRPr="00FA3856">
        <w:rPr>
          <w:rFonts w:ascii="Times New Roman" w:hAnsi="Times New Roman"/>
          <w:b/>
          <w:color w:val="002060"/>
          <w:szCs w:val="20"/>
        </w:rPr>
        <w:t xml:space="preserve">de Preenchimento: </w:t>
      </w:r>
    </w:p>
    <w:p w:rsidR="00057083" w:rsidRDefault="00057083" w:rsidP="00975D68">
      <w:pPr>
        <w:pStyle w:val="Corpodetexto"/>
        <w:rPr>
          <w:rFonts w:ascii="Times New Roman" w:hAnsi="Times New Roman"/>
          <w:b/>
          <w:color w:val="002060"/>
          <w:szCs w:val="20"/>
        </w:rPr>
      </w:pPr>
    </w:p>
    <w:p w:rsidR="00975D68" w:rsidRPr="00FA3856" w:rsidRDefault="00975D68" w:rsidP="00975D68">
      <w:pPr>
        <w:pStyle w:val="Corpodetexto"/>
        <w:rPr>
          <w:rFonts w:ascii="Times New Roman" w:hAnsi="Times New Roman"/>
          <w:b/>
          <w:color w:val="002060"/>
          <w:szCs w:val="20"/>
        </w:rPr>
      </w:pPr>
      <w:r w:rsidRPr="00FA3856">
        <w:rPr>
          <w:rFonts w:ascii="Times New Roman" w:hAnsi="Times New Roman"/>
          <w:b/>
          <w:color w:val="002060"/>
          <w:szCs w:val="20"/>
        </w:rPr>
        <w:t>|T120|26|BASE DE CÁLCULO|1000000,00|</w:t>
      </w:r>
    </w:p>
    <w:p w:rsidR="00975D68" w:rsidRPr="00FA3856" w:rsidRDefault="00975D68" w:rsidP="00975D68">
      <w:pPr>
        <w:pStyle w:val="Corpodetexto"/>
        <w:ind w:firstLine="708"/>
        <w:rPr>
          <w:rFonts w:ascii="Times New Roman" w:hAnsi="Times New Roman"/>
          <w:color w:val="002060"/>
          <w:szCs w:val="20"/>
        </w:rPr>
      </w:pPr>
      <w:r w:rsidRPr="00FA3856">
        <w:rPr>
          <w:rFonts w:ascii="Times New Roman" w:hAnsi="Times New Roman"/>
          <w:color w:val="002060"/>
          <w:szCs w:val="20"/>
        </w:rPr>
        <w:t>|T120|: Identificação do tipo do registro.</w:t>
      </w:r>
    </w:p>
    <w:p w:rsidR="00975D68" w:rsidRPr="00FA3856" w:rsidRDefault="00975D68" w:rsidP="00975D68">
      <w:pPr>
        <w:pStyle w:val="Corpodetexto"/>
        <w:ind w:firstLine="708"/>
        <w:rPr>
          <w:rFonts w:ascii="Times New Roman" w:hAnsi="Times New Roman"/>
          <w:color w:val="002060"/>
          <w:szCs w:val="20"/>
        </w:rPr>
      </w:pPr>
      <w:r w:rsidRPr="00FA3856">
        <w:rPr>
          <w:rFonts w:ascii="Times New Roman" w:hAnsi="Times New Roman"/>
          <w:color w:val="002060"/>
          <w:szCs w:val="20"/>
        </w:rPr>
        <w:t>|26|: Código da linha.</w:t>
      </w:r>
      <w:r w:rsidRPr="00FA3856">
        <w:rPr>
          <w:rFonts w:ascii="Times New Roman" w:hAnsi="Times New Roman"/>
          <w:color w:val="002060"/>
          <w:szCs w:val="20"/>
        </w:rPr>
        <w:tab/>
      </w:r>
    </w:p>
    <w:p w:rsidR="00975D68" w:rsidRPr="00FA3856" w:rsidRDefault="00975D68" w:rsidP="00975D68">
      <w:pPr>
        <w:pStyle w:val="Corpodetexto"/>
        <w:ind w:firstLine="708"/>
        <w:rPr>
          <w:rFonts w:ascii="Times New Roman" w:hAnsi="Times New Roman"/>
          <w:color w:val="002060"/>
          <w:szCs w:val="20"/>
        </w:rPr>
      </w:pPr>
      <w:r w:rsidRPr="00FA3856">
        <w:rPr>
          <w:rFonts w:ascii="Times New Roman" w:hAnsi="Times New Roman"/>
          <w:color w:val="002060"/>
          <w:szCs w:val="20"/>
        </w:rPr>
        <w:t>|BASE DE CÁLCULO|: Descrição da linha.</w:t>
      </w:r>
    </w:p>
    <w:p w:rsidR="00975D68" w:rsidRPr="00FA3856" w:rsidRDefault="00975D68" w:rsidP="00975D68">
      <w:pPr>
        <w:pStyle w:val="Corpodetexto"/>
        <w:ind w:firstLine="708"/>
        <w:rPr>
          <w:rFonts w:ascii="Times New Roman" w:hAnsi="Times New Roman"/>
          <w:color w:val="002060"/>
          <w:szCs w:val="20"/>
        </w:rPr>
      </w:pPr>
      <w:r w:rsidRPr="00FA3856">
        <w:rPr>
          <w:rFonts w:ascii="Times New Roman" w:hAnsi="Times New Roman"/>
          <w:color w:val="002060"/>
          <w:szCs w:val="20"/>
        </w:rPr>
        <w:t>|1000000,00|: Valor da linha (R$ 1.000.000,00).</w:t>
      </w:r>
    </w:p>
    <w:p w:rsidR="005F341E" w:rsidRPr="00FA3856" w:rsidRDefault="005F341E">
      <w:pPr>
        <w:spacing w:after="200" w:line="276" w:lineRule="auto"/>
        <w:rPr>
          <w:b/>
          <w:bCs/>
          <w:color w:val="0000FF"/>
          <w:szCs w:val="20"/>
        </w:rPr>
      </w:pPr>
      <w:r w:rsidRPr="00FA3856">
        <w:rPr>
          <w:color w:val="0000FF"/>
          <w:szCs w:val="20"/>
        </w:rPr>
        <w:br w:type="page"/>
      </w:r>
    </w:p>
    <w:p w:rsidR="00F11E71" w:rsidRPr="00FA3856" w:rsidRDefault="00F11E71" w:rsidP="00867F54">
      <w:pPr>
        <w:pStyle w:val="Ttulo4"/>
      </w:pPr>
      <w:bookmarkStart w:id="350" w:name="_Toc479713772"/>
      <w:r w:rsidRPr="00FA3856">
        <w:lastRenderedPageBreak/>
        <w:t>Registro T150: Cálculo do IRPJ com Base no Lucro Arbitrado</w:t>
      </w:r>
      <w:bookmarkEnd w:id="350"/>
    </w:p>
    <w:p w:rsidR="00F11E71" w:rsidRPr="00FA3856" w:rsidRDefault="00F11E71" w:rsidP="00F11E71">
      <w:pPr>
        <w:rPr>
          <w:szCs w:val="20"/>
        </w:rPr>
      </w:pPr>
    </w:p>
    <w:p w:rsidR="005E4889" w:rsidRPr="00FA3856" w:rsidRDefault="005E4889" w:rsidP="005E4889">
      <w:pPr>
        <w:pStyle w:val="PSDS-CorpodeTexto0"/>
        <w:ind w:firstLine="708"/>
        <w:rPr>
          <w:rFonts w:ascii="Times New Roman" w:hAnsi="Times New Roman"/>
        </w:rPr>
      </w:pPr>
      <w:r w:rsidRPr="00FA3856">
        <w:rPr>
          <w:rFonts w:ascii="Times New Roman" w:hAnsi="Times New Roman"/>
        </w:rPr>
        <w:t xml:space="preserve">Este registro deve ser preenchido pela pessoa jurídica que apurou imposto de renda pelo lucro arbitrado em um ou mais trimestres do ano-calendário. </w:t>
      </w:r>
    </w:p>
    <w:p w:rsidR="00A84E88" w:rsidRDefault="00A84E88" w:rsidP="00FE5D23">
      <w:pPr>
        <w:rPr>
          <w:b/>
          <w:szCs w:val="20"/>
          <w:lang w:val="pt-PT"/>
        </w:rPr>
      </w:pPr>
    </w:p>
    <w:p w:rsidR="00057083" w:rsidRPr="00FA3856" w:rsidRDefault="00B35FA3" w:rsidP="00057083">
      <w:pPr>
        <w:jc w:val="center"/>
        <w:rPr>
          <w:b/>
          <w:szCs w:val="20"/>
          <w:lang w:val="pt-PT"/>
        </w:rPr>
      </w:pPr>
      <w:r>
        <w:rPr>
          <w:b/>
          <w:szCs w:val="20"/>
          <w:lang w:val="pt-PT"/>
        </w:rPr>
        <w:object w:dxaOrig="13920" w:dyaOrig="4785">
          <v:shape id="_x0000_i1816" type="#_x0000_t75" style="width:745.5pt;height:230.25pt" o:ole="">
            <v:imagedata r:id="rId521" o:title=""/>
          </v:shape>
          <o:OLEObject Type="Link" ProgID="Excel.Sheet.12" ShapeID="_x0000_i1816" DrawAspect="Content" r:id="rId522" UpdateMode="Always">
            <o:LinkType>EnhancedMetaFile</o:LinkType>
            <o:LockedField>false</o:LockedField>
          </o:OLEObject>
        </w:object>
      </w:r>
    </w:p>
    <w:p w:rsidR="00057083" w:rsidRDefault="00057083" w:rsidP="00FE5D23">
      <w:pPr>
        <w:rPr>
          <w:b/>
          <w:szCs w:val="20"/>
          <w:lang w:val="pt-PT"/>
        </w:rPr>
      </w:pPr>
    </w:p>
    <w:p w:rsidR="00FE5D23" w:rsidRPr="00FA3856" w:rsidRDefault="00FE5D23" w:rsidP="00FE5D23">
      <w:pPr>
        <w:rPr>
          <w:b/>
          <w:szCs w:val="20"/>
          <w:lang w:val="pt-PT"/>
        </w:rPr>
      </w:pPr>
      <w:r w:rsidRPr="00FA3856">
        <w:rPr>
          <w:b/>
          <w:szCs w:val="20"/>
          <w:lang w:val="pt-PT"/>
        </w:rPr>
        <w:t>I – Regras de Validação do Registro:</w:t>
      </w:r>
    </w:p>
    <w:p w:rsidR="00FE5D23" w:rsidRPr="00FA3856" w:rsidRDefault="00FE5D23" w:rsidP="00FE5D23">
      <w:pPr>
        <w:rPr>
          <w:b/>
          <w:szCs w:val="20"/>
          <w:lang w:val="pt-PT"/>
        </w:rPr>
      </w:pPr>
    </w:p>
    <w:p w:rsidR="00FE5D23" w:rsidRPr="00FA3856" w:rsidRDefault="007D0E74" w:rsidP="00FE5D23">
      <w:pPr>
        <w:pStyle w:val="Corpodetexto"/>
        <w:ind w:left="708" w:firstLine="12"/>
        <w:rPr>
          <w:rFonts w:ascii="Times New Roman" w:hAnsi="Times New Roman"/>
          <w:szCs w:val="20"/>
        </w:rPr>
      </w:pPr>
      <w:hyperlink r:id="rId523" w:anchor="REGRA_OCORRENCIA_UNITARIA_ARQ" w:history="1">
        <w:r w:rsidR="00FE5D23" w:rsidRPr="00FA3856">
          <w:rPr>
            <w:rFonts w:ascii="Times New Roman" w:hAnsi="Times New Roman"/>
            <w:b/>
            <w:szCs w:val="20"/>
          </w:rPr>
          <w:t>REGRA_</w:t>
        </w:r>
      </w:hyperlink>
      <w:r w:rsidR="00FE5D23" w:rsidRPr="00FA3856">
        <w:rPr>
          <w:rFonts w:ascii="Times New Roman" w:hAnsi="Times New Roman"/>
          <w:b/>
          <w:szCs w:val="20"/>
        </w:rPr>
        <w:t>DUPLICIDADE_DESPREZADA</w:t>
      </w:r>
      <w:r w:rsidR="00FE5D23" w:rsidRPr="00FA3856">
        <w:rPr>
          <w:rFonts w:ascii="Times New Roman" w:hAnsi="Times New Roman"/>
          <w:color w:val="auto"/>
          <w:szCs w:val="20"/>
        </w:rPr>
        <w:t xml:space="preserve">: </w:t>
      </w:r>
      <w:r w:rsidR="00FE5D23" w:rsidRPr="00FA3856">
        <w:rPr>
          <w:rFonts w:ascii="Times New Roman" w:hAnsi="Times New Roman"/>
          <w:szCs w:val="20"/>
        </w:rPr>
        <w:t>Verifica se o registro já foi importado anteriormente, de acordo com a chave e os registros pais. Se a regra não for cumprida, a ECF gera um aviso.</w:t>
      </w:r>
    </w:p>
    <w:p w:rsidR="00FE5D23" w:rsidRPr="00FA3856" w:rsidRDefault="00FE5D23" w:rsidP="00FE5D23">
      <w:pPr>
        <w:pStyle w:val="Corpodetexto"/>
        <w:ind w:left="708" w:firstLine="12"/>
        <w:rPr>
          <w:rFonts w:ascii="Times New Roman" w:hAnsi="Times New Roman"/>
          <w:szCs w:val="20"/>
        </w:rPr>
      </w:pPr>
    </w:p>
    <w:p w:rsidR="00FE5D23" w:rsidRPr="00FA3856" w:rsidRDefault="007D0E74" w:rsidP="00FE5D23">
      <w:pPr>
        <w:pStyle w:val="Corpodetexto"/>
        <w:ind w:left="708" w:firstLine="12"/>
        <w:rPr>
          <w:rFonts w:ascii="Times New Roman" w:hAnsi="Times New Roman"/>
          <w:szCs w:val="20"/>
        </w:rPr>
      </w:pPr>
      <w:hyperlink r:id="rId524" w:anchor="REGRA_OCORRENCIA_UNITARIA_ARQ" w:history="1">
        <w:r w:rsidR="00FE5D23" w:rsidRPr="00FA3856">
          <w:rPr>
            <w:rFonts w:ascii="Times New Roman" w:hAnsi="Times New Roman"/>
            <w:b/>
            <w:szCs w:val="20"/>
          </w:rPr>
          <w:t>REGRA_</w:t>
        </w:r>
      </w:hyperlink>
      <w:r w:rsidR="00FE5D23" w:rsidRPr="00FA3856">
        <w:rPr>
          <w:rFonts w:ascii="Times New Roman" w:hAnsi="Times New Roman"/>
          <w:b/>
          <w:szCs w:val="20"/>
        </w:rPr>
        <w:t>LINHA_DESPREZADA</w:t>
      </w:r>
      <w:r w:rsidR="00FE5D23" w:rsidRPr="00FA3856">
        <w:rPr>
          <w:rFonts w:ascii="Times New Roman" w:hAnsi="Times New Roman"/>
          <w:color w:val="auto"/>
          <w:szCs w:val="20"/>
        </w:rPr>
        <w:t xml:space="preserve">: </w:t>
      </w:r>
      <w:r w:rsidR="00FE5D23" w:rsidRPr="00FA3856">
        <w:rPr>
          <w:rFonts w:ascii="Times New Roman" w:hAnsi="Times New Roman"/>
          <w:szCs w:val="20"/>
        </w:rPr>
        <w:t>Verifica se o registro existe na importação, mas não será importado por não existir na tabela dinâmica devido às configurações do bloco 0 ou da tabela dinâmica. Gera um aviso.</w:t>
      </w:r>
    </w:p>
    <w:p w:rsidR="00FE5D23" w:rsidRPr="00FA3856" w:rsidRDefault="00FE5D23" w:rsidP="00FE5D23">
      <w:pPr>
        <w:pStyle w:val="Corpodetexto"/>
        <w:ind w:left="708" w:firstLine="12"/>
        <w:rPr>
          <w:rFonts w:ascii="Times New Roman" w:hAnsi="Times New Roman"/>
          <w:b/>
          <w:szCs w:val="20"/>
        </w:rPr>
      </w:pPr>
    </w:p>
    <w:p w:rsidR="00FE5D23" w:rsidRPr="00FA3856" w:rsidRDefault="007D0E74" w:rsidP="00FE5D23">
      <w:pPr>
        <w:pStyle w:val="Corpodetexto"/>
        <w:ind w:left="708" w:firstLine="12"/>
        <w:rPr>
          <w:rFonts w:ascii="Times New Roman" w:hAnsi="Times New Roman"/>
          <w:b/>
          <w:szCs w:val="20"/>
        </w:rPr>
      </w:pPr>
      <w:hyperlink r:id="rId525" w:anchor="REGRA_OCORRENCIA_UNITARIA_ARQ" w:history="1">
        <w:r w:rsidR="00FE5D23" w:rsidRPr="00FA3856">
          <w:rPr>
            <w:rFonts w:ascii="Times New Roman" w:hAnsi="Times New Roman"/>
            <w:b/>
            <w:szCs w:val="20"/>
          </w:rPr>
          <w:t>REGRA_</w:t>
        </w:r>
      </w:hyperlink>
      <w:r w:rsidR="00FE5D23" w:rsidRPr="00FA3856">
        <w:rPr>
          <w:rFonts w:ascii="Times New Roman" w:hAnsi="Times New Roman"/>
          <w:b/>
          <w:szCs w:val="20"/>
        </w:rPr>
        <w:t>LINHA_ATUALIZADA</w:t>
      </w:r>
      <w:r w:rsidR="00FE5D23" w:rsidRPr="00FA3856">
        <w:rPr>
          <w:rFonts w:ascii="Times New Roman" w:hAnsi="Times New Roman"/>
          <w:color w:val="auto"/>
          <w:szCs w:val="20"/>
        </w:rPr>
        <w:t xml:space="preserve">: </w:t>
      </w:r>
      <w:r w:rsidR="00FE5D23" w:rsidRPr="00FA3856">
        <w:rPr>
          <w:rFonts w:ascii="Times New Roman" w:hAnsi="Times New Roman"/>
          <w:szCs w:val="20"/>
        </w:rPr>
        <w:t>Verifica se o registro está desatualizado em relação à tabela da RFB. Gera um aviso.</w:t>
      </w:r>
    </w:p>
    <w:p w:rsidR="00FE5D23" w:rsidRPr="00FA3856" w:rsidRDefault="00FE5D23" w:rsidP="00F11E71">
      <w:pPr>
        <w:rPr>
          <w:b/>
          <w:szCs w:val="20"/>
          <w:lang w:val="pt-PT"/>
        </w:rPr>
      </w:pPr>
    </w:p>
    <w:p w:rsidR="00F11E71" w:rsidRPr="00FA3856" w:rsidRDefault="00FE5D23" w:rsidP="00F11E71">
      <w:pPr>
        <w:rPr>
          <w:b/>
          <w:szCs w:val="20"/>
          <w:lang w:val="pt-PT"/>
        </w:rPr>
      </w:pPr>
      <w:r w:rsidRPr="00FA3856">
        <w:rPr>
          <w:b/>
          <w:szCs w:val="20"/>
          <w:lang w:val="pt-PT"/>
        </w:rPr>
        <w:t>I</w:t>
      </w:r>
      <w:r w:rsidR="00F11E71" w:rsidRPr="00FA3856">
        <w:rPr>
          <w:b/>
          <w:szCs w:val="20"/>
          <w:lang w:val="pt-PT"/>
        </w:rPr>
        <w:t>I – Regras de Validação de Campos:</w:t>
      </w:r>
    </w:p>
    <w:p w:rsidR="00F11E71" w:rsidRPr="00FA3856" w:rsidRDefault="00F11E71" w:rsidP="00F11E71">
      <w:pPr>
        <w:rPr>
          <w:b/>
          <w:szCs w:val="20"/>
          <w:lang w:val="pt-PT"/>
        </w:rPr>
      </w:pPr>
    </w:p>
    <w:tbl>
      <w:tblPr>
        <w:tblW w:w="15367"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85"/>
        <w:gridCol w:w="3000"/>
        <w:gridCol w:w="11165"/>
        <w:gridCol w:w="717"/>
      </w:tblGrid>
      <w:tr w:rsidR="00F11E71" w:rsidRPr="00FA3856" w:rsidTr="00DD739C">
        <w:trPr>
          <w:jc w:val="center"/>
        </w:trPr>
        <w:tc>
          <w:tcPr>
            <w:tcW w:w="485" w:type="dxa"/>
            <w:tcBorders>
              <w:top w:val="single" w:sz="6" w:space="0" w:color="auto"/>
              <w:left w:val="single" w:sz="6" w:space="0" w:color="auto"/>
              <w:bottom w:val="single" w:sz="6" w:space="0" w:color="auto"/>
              <w:right w:val="single" w:sz="6" w:space="0" w:color="auto"/>
            </w:tcBorders>
            <w:shd w:val="pct10" w:color="auto" w:fill="FFFFFF"/>
          </w:tcPr>
          <w:p w:rsidR="00F11E71" w:rsidRPr="00FA3856" w:rsidRDefault="00F11E71" w:rsidP="00EC4ABB">
            <w:pPr>
              <w:pStyle w:val="PSDS-CorpodeTexto0"/>
              <w:jc w:val="center"/>
              <w:rPr>
                <w:rFonts w:ascii="Times New Roman" w:hAnsi="Times New Roman"/>
                <w:b/>
                <w:bCs/>
              </w:rPr>
            </w:pPr>
            <w:r w:rsidRPr="00FA3856">
              <w:rPr>
                <w:rFonts w:ascii="Times New Roman" w:hAnsi="Times New Roman"/>
                <w:b/>
                <w:bCs/>
              </w:rPr>
              <w:t>Nº</w:t>
            </w:r>
          </w:p>
        </w:tc>
        <w:tc>
          <w:tcPr>
            <w:tcW w:w="3000" w:type="dxa"/>
            <w:tcBorders>
              <w:top w:val="single" w:sz="6" w:space="0" w:color="auto"/>
              <w:left w:val="single" w:sz="6" w:space="0" w:color="auto"/>
              <w:bottom w:val="single" w:sz="6" w:space="0" w:color="auto"/>
              <w:right w:val="single" w:sz="6" w:space="0" w:color="auto"/>
            </w:tcBorders>
            <w:shd w:val="pct10" w:color="auto" w:fill="FFFFFF"/>
          </w:tcPr>
          <w:p w:rsidR="00F11E71" w:rsidRPr="00FA3856" w:rsidRDefault="00F11E71" w:rsidP="00EC4ABB">
            <w:pPr>
              <w:pStyle w:val="PSDS-CorpodeTexto0"/>
              <w:jc w:val="center"/>
              <w:rPr>
                <w:rFonts w:ascii="Times New Roman" w:hAnsi="Times New Roman"/>
                <w:b/>
                <w:bCs/>
              </w:rPr>
            </w:pPr>
            <w:r w:rsidRPr="00FA3856">
              <w:rPr>
                <w:rFonts w:ascii="Times New Roman" w:hAnsi="Times New Roman"/>
                <w:b/>
                <w:bCs/>
              </w:rPr>
              <w:t>Campo</w:t>
            </w:r>
          </w:p>
        </w:tc>
        <w:tc>
          <w:tcPr>
            <w:tcW w:w="11165" w:type="dxa"/>
            <w:tcBorders>
              <w:top w:val="single" w:sz="6" w:space="0" w:color="auto"/>
              <w:left w:val="single" w:sz="6" w:space="0" w:color="auto"/>
              <w:bottom w:val="single" w:sz="6" w:space="0" w:color="auto"/>
              <w:right w:val="single" w:sz="6" w:space="0" w:color="auto"/>
            </w:tcBorders>
            <w:shd w:val="pct10" w:color="auto" w:fill="FFFFFF"/>
          </w:tcPr>
          <w:p w:rsidR="00F11E71" w:rsidRPr="00FA3856" w:rsidRDefault="00F11E71" w:rsidP="00EC4ABB">
            <w:pPr>
              <w:pStyle w:val="PSDS-CorpodeTexto0"/>
              <w:jc w:val="center"/>
              <w:rPr>
                <w:rFonts w:ascii="Times New Roman" w:hAnsi="Times New Roman"/>
                <w:b/>
                <w:bCs/>
              </w:rPr>
            </w:pPr>
            <w:r w:rsidRPr="00FA3856">
              <w:rPr>
                <w:rFonts w:ascii="Times New Roman" w:hAnsi="Times New Roman"/>
                <w:b/>
                <w:bCs/>
              </w:rPr>
              <w:t>Regras de Validação do Campo</w:t>
            </w:r>
          </w:p>
        </w:tc>
        <w:tc>
          <w:tcPr>
            <w:tcW w:w="717" w:type="dxa"/>
            <w:tcBorders>
              <w:top w:val="single" w:sz="6" w:space="0" w:color="auto"/>
              <w:left w:val="single" w:sz="6" w:space="0" w:color="auto"/>
              <w:bottom w:val="single" w:sz="6" w:space="0" w:color="auto"/>
              <w:right w:val="single" w:sz="6" w:space="0" w:color="auto"/>
            </w:tcBorders>
            <w:shd w:val="pct10" w:color="auto" w:fill="FFFFFF"/>
          </w:tcPr>
          <w:p w:rsidR="00F11E71" w:rsidRPr="00FA3856" w:rsidRDefault="00F11E71" w:rsidP="00EC4ABB">
            <w:pPr>
              <w:pStyle w:val="PSDS-CorpodeTexto0"/>
              <w:jc w:val="center"/>
              <w:rPr>
                <w:rFonts w:ascii="Times New Roman" w:hAnsi="Times New Roman"/>
                <w:b/>
                <w:bCs/>
              </w:rPr>
            </w:pPr>
            <w:r w:rsidRPr="00FA3856">
              <w:rPr>
                <w:rFonts w:ascii="Times New Roman" w:hAnsi="Times New Roman"/>
                <w:b/>
                <w:bCs/>
              </w:rPr>
              <w:t>Tipo</w:t>
            </w:r>
          </w:p>
        </w:tc>
      </w:tr>
      <w:tr w:rsidR="0012324D" w:rsidRPr="00FA3856" w:rsidTr="00DD739C">
        <w:trPr>
          <w:jc w:val="center"/>
        </w:trPr>
        <w:tc>
          <w:tcPr>
            <w:tcW w:w="485" w:type="dxa"/>
            <w:tcBorders>
              <w:top w:val="single" w:sz="6" w:space="0" w:color="auto"/>
              <w:left w:val="single" w:sz="6" w:space="0" w:color="auto"/>
              <w:bottom w:val="single" w:sz="6" w:space="0" w:color="auto"/>
              <w:right w:val="single" w:sz="6" w:space="0" w:color="auto"/>
            </w:tcBorders>
          </w:tcPr>
          <w:p w:rsidR="0012324D" w:rsidRPr="00FA3856" w:rsidRDefault="0012324D" w:rsidP="0012324D">
            <w:pPr>
              <w:pStyle w:val="PSDS-CorpodeTexto0"/>
              <w:suppressAutoHyphens w:val="0"/>
              <w:rPr>
                <w:rFonts w:ascii="Times New Roman" w:hAnsi="Times New Roman"/>
                <w:b/>
                <w:bCs/>
                <w:lang w:val="pt-PT"/>
              </w:rPr>
            </w:pPr>
            <w:r w:rsidRPr="00FA3856">
              <w:rPr>
                <w:rFonts w:ascii="Times New Roman" w:hAnsi="Times New Roman"/>
                <w:b/>
                <w:bCs/>
                <w:lang w:val="pt-PT"/>
              </w:rPr>
              <w:t>4</w:t>
            </w:r>
          </w:p>
        </w:tc>
        <w:tc>
          <w:tcPr>
            <w:tcW w:w="3000" w:type="dxa"/>
            <w:tcBorders>
              <w:top w:val="single" w:sz="6" w:space="0" w:color="auto"/>
              <w:left w:val="single" w:sz="6" w:space="0" w:color="auto"/>
              <w:bottom w:val="single" w:sz="6" w:space="0" w:color="auto"/>
              <w:right w:val="single" w:sz="6" w:space="0" w:color="auto"/>
            </w:tcBorders>
          </w:tcPr>
          <w:p w:rsidR="0012324D" w:rsidRPr="00FA3856" w:rsidRDefault="0012324D" w:rsidP="0012324D">
            <w:pPr>
              <w:pStyle w:val="PSDS-CorpodeTexto0"/>
              <w:rPr>
                <w:rFonts w:ascii="Times New Roman" w:hAnsi="Times New Roman"/>
              </w:rPr>
            </w:pPr>
            <w:r w:rsidRPr="00FA3856">
              <w:rPr>
                <w:rFonts w:ascii="Times New Roman" w:hAnsi="Times New Roman"/>
              </w:rPr>
              <w:t>VALOR</w:t>
            </w:r>
          </w:p>
        </w:tc>
        <w:tc>
          <w:tcPr>
            <w:tcW w:w="11165" w:type="dxa"/>
            <w:tcBorders>
              <w:top w:val="single" w:sz="6" w:space="0" w:color="auto"/>
              <w:left w:val="single" w:sz="6" w:space="0" w:color="auto"/>
              <w:bottom w:val="single" w:sz="6" w:space="0" w:color="auto"/>
              <w:right w:val="single" w:sz="6" w:space="0" w:color="auto"/>
            </w:tcBorders>
          </w:tcPr>
          <w:p w:rsidR="0012324D" w:rsidRPr="00FA3856" w:rsidRDefault="0012324D" w:rsidP="0012324D">
            <w:pPr>
              <w:pStyle w:val="Corpodetexto"/>
              <w:rPr>
                <w:rFonts w:ascii="Times New Roman" w:hAnsi="Times New Roman"/>
                <w:szCs w:val="20"/>
              </w:rPr>
            </w:pPr>
            <w:r w:rsidRPr="00FA3856">
              <w:rPr>
                <w:rFonts w:ascii="Times New Roman" w:hAnsi="Times New Roman"/>
                <w:b/>
                <w:bCs/>
                <w:szCs w:val="20"/>
              </w:rPr>
              <w:t>REGRA_OBRIGATORIO_TIPO_DIFERENTE_R</w:t>
            </w:r>
            <w:r w:rsidRPr="00FA3856">
              <w:rPr>
                <w:rFonts w:ascii="Times New Roman" w:hAnsi="Times New Roman"/>
                <w:szCs w:val="20"/>
              </w:rPr>
              <w:t xml:space="preserve">: </w:t>
            </w:r>
            <w:r w:rsidRPr="00FA3856">
              <w:rPr>
                <w:rStyle w:val="Hyperlink"/>
                <w:rFonts w:ascii="Times New Roman" w:hAnsi="Times New Roman"/>
                <w:bCs/>
                <w:color w:val="auto"/>
                <w:szCs w:val="20"/>
                <w:lang w:val="pt-PT"/>
              </w:rPr>
              <w:t xml:space="preserve">Verifica se o campo está preenchido quando o tipo da linha </w:t>
            </w:r>
            <w:r w:rsidR="0063733D" w:rsidRPr="00FA3856">
              <w:rPr>
                <w:rStyle w:val="Hyperlink"/>
                <w:rFonts w:ascii="Times New Roman" w:hAnsi="Times New Roman"/>
                <w:bCs/>
                <w:color w:val="auto"/>
                <w:szCs w:val="20"/>
                <w:lang w:val="pt-PT"/>
              </w:rPr>
              <w:t>é diferente</w:t>
            </w:r>
            <w:r w:rsidRPr="00FA3856">
              <w:rPr>
                <w:rStyle w:val="Hyperlink"/>
                <w:rFonts w:ascii="Times New Roman" w:hAnsi="Times New Roman"/>
                <w:bCs/>
                <w:color w:val="auto"/>
                <w:szCs w:val="20"/>
                <w:lang w:val="pt-PT"/>
              </w:rPr>
              <w:t xml:space="preserve"> de “R”.</w:t>
            </w:r>
          </w:p>
        </w:tc>
        <w:tc>
          <w:tcPr>
            <w:tcW w:w="717" w:type="dxa"/>
            <w:tcBorders>
              <w:top w:val="single" w:sz="6" w:space="0" w:color="auto"/>
              <w:left w:val="single" w:sz="6" w:space="0" w:color="auto"/>
              <w:bottom w:val="single" w:sz="6" w:space="0" w:color="auto"/>
              <w:right w:val="single" w:sz="6" w:space="0" w:color="auto"/>
            </w:tcBorders>
          </w:tcPr>
          <w:p w:rsidR="0012324D" w:rsidRPr="00FA3856" w:rsidRDefault="0012324D" w:rsidP="0012324D">
            <w:pPr>
              <w:pStyle w:val="PSDS-CorpodeTexto0"/>
              <w:rPr>
                <w:rFonts w:ascii="Times New Roman" w:hAnsi="Times New Roman"/>
              </w:rPr>
            </w:pPr>
            <w:r w:rsidRPr="00FA3856">
              <w:rPr>
                <w:rFonts w:ascii="Times New Roman" w:hAnsi="Times New Roman"/>
              </w:rPr>
              <w:t>Erro</w:t>
            </w:r>
          </w:p>
          <w:p w:rsidR="0012324D" w:rsidRPr="00FA3856" w:rsidRDefault="0012324D" w:rsidP="0012324D">
            <w:pPr>
              <w:pStyle w:val="PSDS-CorpodeTexto0"/>
              <w:rPr>
                <w:rFonts w:ascii="Times New Roman" w:hAnsi="Times New Roman"/>
              </w:rPr>
            </w:pPr>
          </w:p>
        </w:tc>
      </w:tr>
    </w:tbl>
    <w:p w:rsidR="00751045" w:rsidRPr="00FA3856" w:rsidRDefault="00012703" w:rsidP="00751045">
      <w:pPr>
        <w:rPr>
          <w:b/>
          <w:szCs w:val="20"/>
          <w:lang w:val="pt-PT"/>
        </w:rPr>
      </w:pPr>
      <w:r>
        <w:rPr>
          <w:b/>
          <w:szCs w:val="20"/>
          <w:lang w:val="pt-PT"/>
        </w:rPr>
        <w:t>I</w:t>
      </w:r>
      <w:r w:rsidR="00751045" w:rsidRPr="00FA3856">
        <w:rPr>
          <w:b/>
          <w:szCs w:val="20"/>
          <w:lang w:val="pt-PT"/>
        </w:rPr>
        <w:t>I</w:t>
      </w:r>
      <w:r w:rsidR="005B30D4" w:rsidRPr="00FA3856">
        <w:rPr>
          <w:b/>
          <w:szCs w:val="20"/>
          <w:lang w:val="pt-PT"/>
        </w:rPr>
        <w:t>I</w:t>
      </w:r>
      <w:r w:rsidR="00751045" w:rsidRPr="00FA3856">
        <w:rPr>
          <w:b/>
          <w:szCs w:val="20"/>
          <w:lang w:val="pt-PT"/>
        </w:rPr>
        <w:t xml:space="preserve"> – Tabela Dinâmica:</w:t>
      </w:r>
      <w:r w:rsidR="006C3056">
        <w:rPr>
          <w:b/>
          <w:szCs w:val="20"/>
          <w:lang w:val="pt-PT"/>
        </w:rPr>
        <w:t xml:space="preserve"> </w:t>
      </w:r>
      <w:r w:rsidR="006C3056" w:rsidRPr="006C3056">
        <w:rPr>
          <w:b/>
          <w:szCs w:val="20"/>
          <w:lang w:val="pt-PT"/>
        </w:rPr>
        <w:t>T150 - Cálculo do IRPJ com Base no Lucro Arbitrado</w:t>
      </w:r>
    </w:p>
    <w:p w:rsidR="00DD746D" w:rsidRPr="00FA3856" w:rsidRDefault="00486CDA" w:rsidP="00F61AAD">
      <w:pPr>
        <w:rPr>
          <w:color w:val="0000FF"/>
          <w:szCs w:val="20"/>
        </w:rPr>
      </w:pPr>
      <w:r>
        <w:rPr>
          <w:color w:val="0000FF"/>
          <w:szCs w:val="20"/>
        </w:rPr>
        <w:object w:dxaOrig="1534" w:dyaOrig="997">
          <v:shape id="_x0000_i1217" type="#_x0000_t75" style="width:79.5pt;height:50.25pt" o:ole="">
            <v:imagedata r:id="rId526" o:title=""/>
          </v:shape>
          <o:OLEObject Type="Link" ProgID="Excel.Sheet.12" ShapeID="_x0000_i1217" DrawAspect="Content" r:id="rId527" UpdateMode="OnCall">
            <o:LinkType>EnhancedMetaFile</o:LinkType>
            <o:LockedField>false</o:LockedField>
          </o:OLEObject>
        </w:object>
      </w:r>
    </w:p>
    <w:p w:rsidR="00B901EF" w:rsidRDefault="000C72A0" w:rsidP="003F78B1">
      <w:pPr>
        <w:pStyle w:val="Corpodetexto"/>
        <w:rPr>
          <w:rFonts w:ascii="Times New Roman" w:hAnsi="Times New Roman"/>
          <w:b/>
          <w:color w:val="002060"/>
          <w:szCs w:val="20"/>
        </w:rPr>
      </w:pPr>
      <w:r w:rsidRPr="00FA3856">
        <w:rPr>
          <w:rFonts w:ascii="Times New Roman" w:hAnsi="Times New Roman"/>
          <w:b/>
          <w:color w:val="002060"/>
          <w:szCs w:val="20"/>
        </w:rPr>
        <w:t xml:space="preserve">Exemplo de Preenchimento: </w:t>
      </w:r>
    </w:p>
    <w:p w:rsidR="00B901EF" w:rsidRDefault="00B901EF" w:rsidP="003F78B1">
      <w:pPr>
        <w:pStyle w:val="Corpodetexto"/>
        <w:rPr>
          <w:rFonts w:ascii="Times New Roman" w:hAnsi="Times New Roman"/>
          <w:b/>
          <w:color w:val="002060"/>
          <w:szCs w:val="20"/>
        </w:rPr>
      </w:pPr>
    </w:p>
    <w:p w:rsidR="003F78B1" w:rsidRPr="00FA3856" w:rsidRDefault="003F78B1" w:rsidP="003F78B1">
      <w:pPr>
        <w:pStyle w:val="Corpodetexto"/>
        <w:rPr>
          <w:rFonts w:ascii="Times New Roman" w:hAnsi="Times New Roman"/>
          <w:b/>
          <w:color w:val="002060"/>
          <w:szCs w:val="20"/>
        </w:rPr>
      </w:pPr>
      <w:r w:rsidRPr="00FA3856">
        <w:rPr>
          <w:rFonts w:ascii="Times New Roman" w:hAnsi="Times New Roman"/>
          <w:b/>
          <w:color w:val="002060"/>
          <w:szCs w:val="20"/>
        </w:rPr>
        <w:t>|T150|16|IMPOSTO DE RENDA A PAGAR|100000,00|</w:t>
      </w:r>
    </w:p>
    <w:p w:rsidR="003F78B1" w:rsidRPr="00FA3856" w:rsidRDefault="003F78B1" w:rsidP="003F78B1">
      <w:pPr>
        <w:pStyle w:val="Corpodetexto"/>
        <w:ind w:firstLine="708"/>
        <w:rPr>
          <w:rFonts w:ascii="Times New Roman" w:hAnsi="Times New Roman"/>
          <w:color w:val="002060"/>
          <w:szCs w:val="20"/>
        </w:rPr>
      </w:pPr>
      <w:r w:rsidRPr="00FA3856">
        <w:rPr>
          <w:rFonts w:ascii="Times New Roman" w:hAnsi="Times New Roman"/>
          <w:color w:val="002060"/>
          <w:szCs w:val="20"/>
        </w:rPr>
        <w:t>|T150|: Identificação do tipo do registro.</w:t>
      </w:r>
    </w:p>
    <w:p w:rsidR="003F78B1" w:rsidRPr="00FA3856" w:rsidRDefault="003F78B1" w:rsidP="003F78B1">
      <w:pPr>
        <w:pStyle w:val="Corpodetexto"/>
        <w:ind w:firstLine="708"/>
        <w:rPr>
          <w:rFonts w:ascii="Times New Roman" w:hAnsi="Times New Roman"/>
          <w:color w:val="002060"/>
          <w:szCs w:val="20"/>
        </w:rPr>
      </w:pPr>
      <w:r w:rsidRPr="00FA3856">
        <w:rPr>
          <w:rFonts w:ascii="Times New Roman" w:hAnsi="Times New Roman"/>
          <w:color w:val="002060"/>
          <w:szCs w:val="20"/>
        </w:rPr>
        <w:t>|16|: Código da linha.</w:t>
      </w:r>
      <w:r w:rsidRPr="00FA3856">
        <w:rPr>
          <w:rFonts w:ascii="Times New Roman" w:hAnsi="Times New Roman"/>
          <w:color w:val="002060"/>
          <w:szCs w:val="20"/>
        </w:rPr>
        <w:tab/>
      </w:r>
    </w:p>
    <w:p w:rsidR="003F78B1" w:rsidRPr="00FA3856" w:rsidRDefault="003F78B1" w:rsidP="003F78B1">
      <w:pPr>
        <w:pStyle w:val="Corpodetexto"/>
        <w:ind w:firstLine="708"/>
        <w:rPr>
          <w:rFonts w:ascii="Times New Roman" w:hAnsi="Times New Roman"/>
          <w:color w:val="002060"/>
          <w:szCs w:val="20"/>
        </w:rPr>
      </w:pPr>
      <w:r w:rsidRPr="00FA3856">
        <w:rPr>
          <w:rFonts w:ascii="Times New Roman" w:hAnsi="Times New Roman"/>
          <w:color w:val="002060"/>
          <w:szCs w:val="20"/>
        </w:rPr>
        <w:t>|IMPOSTO DE RENDA</w:t>
      </w:r>
      <w:bookmarkStart w:id="351" w:name="BM15/29"/>
      <w:bookmarkEnd w:id="351"/>
      <w:r w:rsidRPr="00FA3856">
        <w:rPr>
          <w:rFonts w:ascii="Times New Roman" w:hAnsi="Times New Roman"/>
          <w:color w:val="002060"/>
          <w:szCs w:val="20"/>
        </w:rPr>
        <w:t xml:space="preserve"> A PAGAR|: Descrição da linha.</w:t>
      </w:r>
    </w:p>
    <w:p w:rsidR="003F78B1" w:rsidRPr="00FA3856" w:rsidRDefault="003F78B1" w:rsidP="003F78B1">
      <w:pPr>
        <w:pStyle w:val="Corpodetexto"/>
        <w:ind w:firstLine="708"/>
        <w:rPr>
          <w:rFonts w:ascii="Times New Roman" w:hAnsi="Times New Roman"/>
          <w:color w:val="002060"/>
          <w:szCs w:val="20"/>
        </w:rPr>
      </w:pPr>
      <w:r w:rsidRPr="00FA3856">
        <w:rPr>
          <w:rFonts w:ascii="Times New Roman" w:hAnsi="Times New Roman"/>
          <w:color w:val="002060"/>
          <w:szCs w:val="20"/>
        </w:rPr>
        <w:t>|100000,00|: Valor da linha (R$ 100.000,00).</w:t>
      </w:r>
    </w:p>
    <w:p w:rsidR="00127F94" w:rsidRPr="00FA3856" w:rsidRDefault="00127F94">
      <w:pPr>
        <w:spacing w:after="200" w:line="276" w:lineRule="auto"/>
        <w:rPr>
          <w:b/>
          <w:bCs/>
          <w:color w:val="0000FF"/>
          <w:szCs w:val="20"/>
        </w:rPr>
      </w:pPr>
      <w:r w:rsidRPr="00FA3856">
        <w:rPr>
          <w:color w:val="0000FF"/>
          <w:szCs w:val="20"/>
        </w:rPr>
        <w:br w:type="page"/>
      </w:r>
    </w:p>
    <w:p w:rsidR="00F11E71" w:rsidRPr="00FA3856" w:rsidRDefault="00F11E71" w:rsidP="00867F54">
      <w:pPr>
        <w:pStyle w:val="Ttulo4"/>
      </w:pPr>
      <w:bookmarkStart w:id="352" w:name="_Toc479713773"/>
      <w:r w:rsidRPr="00FA3856">
        <w:lastRenderedPageBreak/>
        <w:t>Registro T170: Apuração da Base de Cálculo da CSLL com Base no Lucro Arbitrado</w:t>
      </w:r>
      <w:bookmarkEnd w:id="352"/>
    </w:p>
    <w:p w:rsidR="00F11E71" w:rsidRPr="00FA3856" w:rsidRDefault="00F11E71" w:rsidP="00F11E71">
      <w:pPr>
        <w:rPr>
          <w:szCs w:val="20"/>
        </w:rPr>
      </w:pPr>
    </w:p>
    <w:p w:rsidR="00EB3BB3" w:rsidRPr="00FA3856" w:rsidRDefault="00153E9B" w:rsidP="00EB3BB3">
      <w:pPr>
        <w:pStyle w:val="PSDS-CorpodeTexto0"/>
        <w:ind w:firstLine="708"/>
        <w:jc w:val="both"/>
        <w:rPr>
          <w:rFonts w:ascii="Times New Roman" w:hAnsi="Times New Roman"/>
        </w:rPr>
      </w:pPr>
      <w:r w:rsidRPr="00FA3856">
        <w:rPr>
          <w:rFonts w:ascii="Times New Roman" w:hAnsi="Times New Roman"/>
        </w:rPr>
        <w:t>Este registro deve ser preenchido</w:t>
      </w:r>
      <w:r w:rsidR="00EB3BB3" w:rsidRPr="00FA3856">
        <w:rPr>
          <w:rFonts w:ascii="Times New Roman" w:hAnsi="Times New Roman"/>
        </w:rPr>
        <w:t xml:space="preserve"> pela pessoa jurídica que apurou a CSLL com base no lucro arbitrado, em um ou mais trimestres do ano-calendário, inclusive se optante pelo Refis.</w:t>
      </w:r>
    </w:p>
    <w:p w:rsidR="00E505D7" w:rsidRDefault="00EB3BB3" w:rsidP="00B901EF">
      <w:pPr>
        <w:pStyle w:val="PSDS-CorpodeTexto0"/>
        <w:ind w:firstLine="708"/>
        <w:jc w:val="both"/>
        <w:rPr>
          <w:rFonts w:ascii="Times New Roman" w:hAnsi="Times New Roman"/>
        </w:rPr>
      </w:pPr>
      <w:r w:rsidRPr="00FA3856">
        <w:rPr>
          <w:rFonts w:ascii="Times New Roman" w:hAnsi="Times New Roman"/>
        </w:rPr>
        <w:t> </w:t>
      </w:r>
    </w:p>
    <w:p w:rsidR="00B901EF" w:rsidRPr="00FA3856" w:rsidRDefault="00B35FA3" w:rsidP="00B901EF">
      <w:pPr>
        <w:pStyle w:val="PSDS-CorpodeTexto0"/>
        <w:jc w:val="center"/>
        <w:rPr>
          <w:b/>
          <w:lang w:val="pt-PT"/>
        </w:rPr>
      </w:pPr>
      <w:r>
        <w:rPr>
          <w:rFonts w:ascii="Times New Roman" w:hAnsi="Times New Roman"/>
        </w:rPr>
        <w:object w:dxaOrig="13935" w:dyaOrig="4650">
          <v:shape id="_x0000_i1819" type="#_x0000_t75" style="width:746.25pt;height:222.75pt" o:ole="">
            <v:imagedata r:id="rId528" o:title=""/>
          </v:shape>
          <o:OLEObject Type="Link" ProgID="Excel.Sheet.12" ShapeID="_x0000_i1819" DrawAspect="Content" r:id="rId529" UpdateMode="Always">
            <o:LinkType>EnhancedMetaFile</o:LinkType>
            <o:LockedField>false</o:LockedField>
          </o:OLEObject>
        </w:object>
      </w:r>
    </w:p>
    <w:p w:rsidR="00B901EF" w:rsidRDefault="00B901EF" w:rsidP="00FE5D23">
      <w:pPr>
        <w:rPr>
          <w:b/>
          <w:szCs w:val="20"/>
          <w:lang w:val="pt-PT"/>
        </w:rPr>
      </w:pPr>
    </w:p>
    <w:p w:rsidR="00FE5D23" w:rsidRPr="00FA3856" w:rsidRDefault="00FE5D23" w:rsidP="00FE5D23">
      <w:pPr>
        <w:rPr>
          <w:b/>
          <w:szCs w:val="20"/>
          <w:lang w:val="pt-PT"/>
        </w:rPr>
      </w:pPr>
      <w:r w:rsidRPr="00FA3856">
        <w:rPr>
          <w:b/>
          <w:szCs w:val="20"/>
          <w:lang w:val="pt-PT"/>
        </w:rPr>
        <w:t>I – Regras de Validação do Registro:</w:t>
      </w:r>
    </w:p>
    <w:p w:rsidR="00FE5D23" w:rsidRPr="00FA3856" w:rsidRDefault="00FE5D23" w:rsidP="00FE5D23">
      <w:pPr>
        <w:rPr>
          <w:b/>
          <w:szCs w:val="20"/>
          <w:lang w:val="pt-PT"/>
        </w:rPr>
      </w:pPr>
    </w:p>
    <w:p w:rsidR="00FE5D23" w:rsidRPr="00FA3856" w:rsidRDefault="007D0E74" w:rsidP="00FE5D23">
      <w:pPr>
        <w:pStyle w:val="Corpodetexto"/>
        <w:ind w:left="708" w:firstLine="12"/>
        <w:rPr>
          <w:rFonts w:ascii="Times New Roman" w:hAnsi="Times New Roman"/>
          <w:szCs w:val="20"/>
        </w:rPr>
      </w:pPr>
      <w:hyperlink r:id="rId530" w:anchor="REGRA_OCORRENCIA_UNITARIA_ARQ" w:history="1">
        <w:r w:rsidR="00FE5D23" w:rsidRPr="00FA3856">
          <w:rPr>
            <w:rFonts w:ascii="Times New Roman" w:hAnsi="Times New Roman"/>
            <w:b/>
            <w:szCs w:val="20"/>
          </w:rPr>
          <w:t>REGRA_</w:t>
        </w:r>
      </w:hyperlink>
      <w:r w:rsidR="00FE5D23" w:rsidRPr="00FA3856">
        <w:rPr>
          <w:rFonts w:ascii="Times New Roman" w:hAnsi="Times New Roman"/>
          <w:b/>
          <w:szCs w:val="20"/>
        </w:rPr>
        <w:t>DUPLICIDADE_DESPREZADA</w:t>
      </w:r>
      <w:r w:rsidR="00FE5D23" w:rsidRPr="00FA3856">
        <w:rPr>
          <w:rFonts w:ascii="Times New Roman" w:hAnsi="Times New Roman"/>
          <w:color w:val="auto"/>
          <w:szCs w:val="20"/>
        </w:rPr>
        <w:t xml:space="preserve">: </w:t>
      </w:r>
      <w:r w:rsidR="00FE5D23" w:rsidRPr="00FA3856">
        <w:rPr>
          <w:rFonts w:ascii="Times New Roman" w:hAnsi="Times New Roman"/>
          <w:szCs w:val="20"/>
        </w:rPr>
        <w:t>Verifica se o registro já foi importado anteriormente, de acordo com a chave e os registros pais. Se a regra não for cumprida, a ECF gera um aviso.</w:t>
      </w:r>
    </w:p>
    <w:p w:rsidR="00FE5D23" w:rsidRPr="00FA3856" w:rsidRDefault="00FE5D23" w:rsidP="00FE5D23">
      <w:pPr>
        <w:pStyle w:val="Corpodetexto"/>
        <w:ind w:left="708" w:firstLine="12"/>
        <w:rPr>
          <w:rFonts w:ascii="Times New Roman" w:hAnsi="Times New Roman"/>
          <w:szCs w:val="20"/>
        </w:rPr>
      </w:pPr>
    </w:p>
    <w:p w:rsidR="00FE5D23" w:rsidRPr="00FA3856" w:rsidRDefault="007D0E74" w:rsidP="00FE5D23">
      <w:pPr>
        <w:pStyle w:val="Corpodetexto"/>
        <w:ind w:left="708" w:firstLine="12"/>
        <w:rPr>
          <w:rFonts w:ascii="Times New Roman" w:hAnsi="Times New Roman"/>
          <w:szCs w:val="20"/>
        </w:rPr>
      </w:pPr>
      <w:hyperlink r:id="rId531" w:anchor="REGRA_OCORRENCIA_UNITARIA_ARQ" w:history="1">
        <w:r w:rsidR="00FE5D23" w:rsidRPr="00FA3856">
          <w:rPr>
            <w:rFonts w:ascii="Times New Roman" w:hAnsi="Times New Roman"/>
            <w:b/>
            <w:szCs w:val="20"/>
          </w:rPr>
          <w:t>REGRA_</w:t>
        </w:r>
      </w:hyperlink>
      <w:r w:rsidR="00FE5D23" w:rsidRPr="00FA3856">
        <w:rPr>
          <w:rFonts w:ascii="Times New Roman" w:hAnsi="Times New Roman"/>
          <w:b/>
          <w:szCs w:val="20"/>
        </w:rPr>
        <w:t>LINHA_DESPREZADA</w:t>
      </w:r>
      <w:r w:rsidR="00FE5D23" w:rsidRPr="00FA3856">
        <w:rPr>
          <w:rFonts w:ascii="Times New Roman" w:hAnsi="Times New Roman"/>
          <w:color w:val="auto"/>
          <w:szCs w:val="20"/>
        </w:rPr>
        <w:t xml:space="preserve">: </w:t>
      </w:r>
      <w:r w:rsidR="00FE5D23" w:rsidRPr="00FA3856">
        <w:rPr>
          <w:rFonts w:ascii="Times New Roman" w:hAnsi="Times New Roman"/>
          <w:szCs w:val="20"/>
        </w:rPr>
        <w:t>Verifica se o registro existe na importação, mas não será importado por não existir na tabela dinâmica devido às configurações do bloco 0 ou da tabela dinâmica. Gera um aviso.</w:t>
      </w:r>
    </w:p>
    <w:p w:rsidR="00FE5D23" w:rsidRPr="00FA3856" w:rsidRDefault="00FE5D23" w:rsidP="00FE5D23">
      <w:pPr>
        <w:pStyle w:val="Corpodetexto"/>
        <w:ind w:left="708" w:firstLine="12"/>
        <w:rPr>
          <w:rFonts w:ascii="Times New Roman" w:hAnsi="Times New Roman"/>
          <w:b/>
          <w:szCs w:val="20"/>
        </w:rPr>
      </w:pPr>
    </w:p>
    <w:p w:rsidR="00FE5D23" w:rsidRPr="00FA3856" w:rsidRDefault="007D0E74" w:rsidP="00FE5D23">
      <w:pPr>
        <w:pStyle w:val="Corpodetexto"/>
        <w:ind w:left="708" w:firstLine="12"/>
        <w:rPr>
          <w:rFonts w:ascii="Times New Roman" w:hAnsi="Times New Roman"/>
          <w:b/>
          <w:szCs w:val="20"/>
        </w:rPr>
      </w:pPr>
      <w:hyperlink r:id="rId532" w:anchor="REGRA_OCORRENCIA_UNITARIA_ARQ" w:history="1">
        <w:r w:rsidR="00FE5D23" w:rsidRPr="00FA3856">
          <w:rPr>
            <w:rFonts w:ascii="Times New Roman" w:hAnsi="Times New Roman"/>
            <w:b/>
            <w:szCs w:val="20"/>
          </w:rPr>
          <w:t>REGRA_</w:t>
        </w:r>
      </w:hyperlink>
      <w:r w:rsidR="00FE5D23" w:rsidRPr="00FA3856">
        <w:rPr>
          <w:rFonts w:ascii="Times New Roman" w:hAnsi="Times New Roman"/>
          <w:b/>
          <w:szCs w:val="20"/>
        </w:rPr>
        <w:t>LINHA_ATUALIZADA</w:t>
      </w:r>
      <w:r w:rsidR="00FE5D23" w:rsidRPr="00FA3856">
        <w:rPr>
          <w:rFonts w:ascii="Times New Roman" w:hAnsi="Times New Roman"/>
          <w:color w:val="auto"/>
          <w:szCs w:val="20"/>
        </w:rPr>
        <w:t xml:space="preserve">: </w:t>
      </w:r>
      <w:r w:rsidR="00FE5D23" w:rsidRPr="00FA3856">
        <w:rPr>
          <w:rFonts w:ascii="Times New Roman" w:hAnsi="Times New Roman"/>
          <w:szCs w:val="20"/>
        </w:rPr>
        <w:t>Verifica se o registro está desatualizado em relação à tabela da RFB. Gera um aviso.</w:t>
      </w:r>
    </w:p>
    <w:p w:rsidR="00FE5D23" w:rsidRPr="00FA3856" w:rsidRDefault="00FE5D23" w:rsidP="00F11E71">
      <w:pPr>
        <w:rPr>
          <w:b/>
          <w:szCs w:val="20"/>
          <w:lang w:val="pt-PT"/>
        </w:rPr>
      </w:pPr>
    </w:p>
    <w:p w:rsidR="00F11E71" w:rsidRPr="00FA3856" w:rsidRDefault="00FE5D23" w:rsidP="00F11E71">
      <w:pPr>
        <w:rPr>
          <w:b/>
          <w:szCs w:val="20"/>
          <w:lang w:val="pt-PT"/>
        </w:rPr>
      </w:pPr>
      <w:r w:rsidRPr="00FA3856">
        <w:rPr>
          <w:b/>
          <w:szCs w:val="20"/>
          <w:lang w:val="pt-PT"/>
        </w:rPr>
        <w:t>I</w:t>
      </w:r>
      <w:r w:rsidR="00F11E71" w:rsidRPr="00FA3856">
        <w:rPr>
          <w:b/>
          <w:szCs w:val="20"/>
          <w:lang w:val="pt-PT"/>
        </w:rPr>
        <w:t>I – Regras de Validação de Campos:</w:t>
      </w:r>
    </w:p>
    <w:p w:rsidR="00F11E71" w:rsidRPr="00FA3856" w:rsidRDefault="00F11E71" w:rsidP="00F11E71">
      <w:pPr>
        <w:rPr>
          <w:b/>
          <w:szCs w:val="20"/>
          <w:lang w:val="pt-PT"/>
        </w:rPr>
      </w:pPr>
    </w:p>
    <w:tbl>
      <w:tblPr>
        <w:tblW w:w="15367"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85"/>
        <w:gridCol w:w="3000"/>
        <w:gridCol w:w="11165"/>
        <w:gridCol w:w="717"/>
      </w:tblGrid>
      <w:tr w:rsidR="00F11E71" w:rsidRPr="00FA3856" w:rsidTr="00153E9B">
        <w:trPr>
          <w:jc w:val="center"/>
        </w:trPr>
        <w:tc>
          <w:tcPr>
            <w:tcW w:w="485" w:type="dxa"/>
            <w:tcBorders>
              <w:top w:val="single" w:sz="6" w:space="0" w:color="auto"/>
              <w:left w:val="single" w:sz="6" w:space="0" w:color="auto"/>
              <w:bottom w:val="single" w:sz="6" w:space="0" w:color="auto"/>
              <w:right w:val="single" w:sz="6" w:space="0" w:color="auto"/>
            </w:tcBorders>
            <w:shd w:val="pct10" w:color="auto" w:fill="FFFFFF"/>
          </w:tcPr>
          <w:p w:rsidR="00F11E71" w:rsidRPr="00FA3856" w:rsidRDefault="00F11E71" w:rsidP="00EC4ABB">
            <w:pPr>
              <w:pStyle w:val="PSDS-CorpodeTexto0"/>
              <w:jc w:val="center"/>
              <w:rPr>
                <w:rFonts w:ascii="Times New Roman" w:hAnsi="Times New Roman"/>
                <w:b/>
                <w:bCs/>
              </w:rPr>
            </w:pPr>
            <w:r w:rsidRPr="00FA3856">
              <w:rPr>
                <w:rFonts w:ascii="Times New Roman" w:hAnsi="Times New Roman"/>
                <w:b/>
                <w:bCs/>
              </w:rPr>
              <w:t>Nº</w:t>
            </w:r>
          </w:p>
        </w:tc>
        <w:tc>
          <w:tcPr>
            <w:tcW w:w="3000" w:type="dxa"/>
            <w:tcBorders>
              <w:top w:val="single" w:sz="6" w:space="0" w:color="auto"/>
              <w:left w:val="single" w:sz="6" w:space="0" w:color="auto"/>
              <w:bottom w:val="single" w:sz="6" w:space="0" w:color="auto"/>
              <w:right w:val="single" w:sz="6" w:space="0" w:color="auto"/>
            </w:tcBorders>
            <w:shd w:val="pct10" w:color="auto" w:fill="FFFFFF"/>
          </w:tcPr>
          <w:p w:rsidR="00F11E71" w:rsidRPr="00FA3856" w:rsidRDefault="00F11E71" w:rsidP="00EC4ABB">
            <w:pPr>
              <w:pStyle w:val="PSDS-CorpodeTexto0"/>
              <w:jc w:val="center"/>
              <w:rPr>
                <w:rFonts w:ascii="Times New Roman" w:hAnsi="Times New Roman"/>
                <w:b/>
                <w:bCs/>
              </w:rPr>
            </w:pPr>
            <w:r w:rsidRPr="00FA3856">
              <w:rPr>
                <w:rFonts w:ascii="Times New Roman" w:hAnsi="Times New Roman"/>
                <w:b/>
                <w:bCs/>
              </w:rPr>
              <w:t>Campo</w:t>
            </w:r>
          </w:p>
        </w:tc>
        <w:tc>
          <w:tcPr>
            <w:tcW w:w="11165" w:type="dxa"/>
            <w:tcBorders>
              <w:top w:val="single" w:sz="6" w:space="0" w:color="auto"/>
              <w:left w:val="single" w:sz="6" w:space="0" w:color="auto"/>
              <w:bottom w:val="single" w:sz="6" w:space="0" w:color="auto"/>
              <w:right w:val="single" w:sz="6" w:space="0" w:color="auto"/>
            </w:tcBorders>
            <w:shd w:val="pct10" w:color="auto" w:fill="FFFFFF"/>
          </w:tcPr>
          <w:p w:rsidR="00F11E71" w:rsidRPr="00FA3856" w:rsidRDefault="00F11E71" w:rsidP="00EC4ABB">
            <w:pPr>
              <w:pStyle w:val="PSDS-CorpodeTexto0"/>
              <w:jc w:val="center"/>
              <w:rPr>
                <w:rFonts w:ascii="Times New Roman" w:hAnsi="Times New Roman"/>
                <w:b/>
                <w:bCs/>
              </w:rPr>
            </w:pPr>
            <w:r w:rsidRPr="00FA3856">
              <w:rPr>
                <w:rFonts w:ascii="Times New Roman" w:hAnsi="Times New Roman"/>
                <w:b/>
                <w:bCs/>
              </w:rPr>
              <w:t>Regras de Validação do Campo</w:t>
            </w:r>
          </w:p>
        </w:tc>
        <w:tc>
          <w:tcPr>
            <w:tcW w:w="717" w:type="dxa"/>
            <w:tcBorders>
              <w:top w:val="single" w:sz="6" w:space="0" w:color="auto"/>
              <w:left w:val="single" w:sz="6" w:space="0" w:color="auto"/>
              <w:bottom w:val="single" w:sz="6" w:space="0" w:color="auto"/>
              <w:right w:val="single" w:sz="6" w:space="0" w:color="auto"/>
            </w:tcBorders>
            <w:shd w:val="pct10" w:color="auto" w:fill="FFFFFF"/>
          </w:tcPr>
          <w:p w:rsidR="00F11E71" w:rsidRPr="00FA3856" w:rsidRDefault="00F11E71" w:rsidP="00EC4ABB">
            <w:pPr>
              <w:pStyle w:val="PSDS-CorpodeTexto0"/>
              <w:jc w:val="center"/>
              <w:rPr>
                <w:rFonts w:ascii="Times New Roman" w:hAnsi="Times New Roman"/>
                <w:b/>
                <w:bCs/>
              </w:rPr>
            </w:pPr>
            <w:r w:rsidRPr="00FA3856">
              <w:rPr>
                <w:rFonts w:ascii="Times New Roman" w:hAnsi="Times New Roman"/>
                <w:b/>
                <w:bCs/>
              </w:rPr>
              <w:t>Tipo</w:t>
            </w:r>
          </w:p>
        </w:tc>
      </w:tr>
      <w:tr w:rsidR="0012324D" w:rsidRPr="00FA3856" w:rsidTr="00153E9B">
        <w:trPr>
          <w:jc w:val="center"/>
        </w:trPr>
        <w:tc>
          <w:tcPr>
            <w:tcW w:w="485" w:type="dxa"/>
            <w:tcBorders>
              <w:top w:val="single" w:sz="6" w:space="0" w:color="auto"/>
              <w:left w:val="single" w:sz="6" w:space="0" w:color="auto"/>
              <w:bottom w:val="single" w:sz="6" w:space="0" w:color="auto"/>
              <w:right w:val="single" w:sz="6" w:space="0" w:color="auto"/>
            </w:tcBorders>
          </w:tcPr>
          <w:p w:rsidR="0012324D" w:rsidRPr="00FA3856" w:rsidRDefault="0012324D" w:rsidP="0012324D">
            <w:pPr>
              <w:pStyle w:val="PSDS-CorpodeTexto0"/>
              <w:suppressAutoHyphens w:val="0"/>
              <w:rPr>
                <w:rFonts w:ascii="Times New Roman" w:hAnsi="Times New Roman"/>
                <w:b/>
                <w:bCs/>
                <w:lang w:val="pt-PT"/>
              </w:rPr>
            </w:pPr>
            <w:r w:rsidRPr="00FA3856">
              <w:rPr>
                <w:rFonts w:ascii="Times New Roman" w:hAnsi="Times New Roman"/>
                <w:b/>
                <w:bCs/>
                <w:lang w:val="pt-PT"/>
              </w:rPr>
              <w:t>4</w:t>
            </w:r>
          </w:p>
        </w:tc>
        <w:tc>
          <w:tcPr>
            <w:tcW w:w="3000" w:type="dxa"/>
            <w:tcBorders>
              <w:top w:val="single" w:sz="6" w:space="0" w:color="auto"/>
              <w:left w:val="single" w:sz="6" w:space="0" w:color="auto"/>
              <w:bottom w:val="single" w:sz="6" w:space="0" w:color="auto"/>
              <w:right w:val="single" w:sz="6" w:space="0" w:color="auto"/>
            </w:tcBorders>
          </w:tcPr>
          <w:p w:rsidR="0012324D" w:rsidRPr="00FA3856" w:rsidRDefault="0012324D" w:rsidP="0012324D">
            <w:pPr>
              <w:pStyle w:val="PSDS-CorpodeTexto0"/>
              <w:rPr>
                <w:rFonts w:ascii="Times New Roman" w:hAnsi="Times New Roman"/>
              </w:rPr>
            </w:pPr>
            <w:r w:rsidRPr="00FA3856">
              <w:rPr>
                <w:rFonts w:ascii="Times New Roman" w:hAnsi="Times New Roman"/>
              </w:rPr>
              <w:t>VALOR</w:t>
            </w:r>
          </w:p>
        </w:tc>
        <w:tc>
          <w:tcPr>
            <w:tcW w:w="11165" w:type="dxa"/>
            <w:tcBorders>
              <w:top w:val="single" w:sz="6" w:space="0" w:color="auto"/>
              <w:left w:val="single" w:sz="6" w:space="0" w:color="auto"/>
              <w:bottom w:val="single" w:sz="6" w:space="0" w:color="auto"/>
              <w:right w:val="single" w:sz="6" w:space="0" w:color="auto"/>
            </w:tcBorders>
          </w:tcPr>
          <w:p w:rsidR="0012324D" w:rsidRPr="00FA3856" w:rsidRDefault="0012324D" w:rsidP="0012324D">
            <w:pPr>
              <w:pStyle w:val="Corpodetexto"/>
              <w:rPr>
                <w:rFonts w:ascii="Times New Roman" w:hAnsi="Times New Roman"/>
                <w:szCs w:val="20"/>
              </w:rPr>
            </w:pPr>
            <w:r w:rsidRPr="00FA3856">
              <w:rPr>
                <w:rFonts w:ascii="Times New Roman" w:hAnsi="Times New Roman"/>
                <w:b/>
                <w:bCs/>
                <w:szCs w:val="20"/>
              </w:rPr>
              <w:t>REGRA_OBRIGATORIO_TIPO_DIFERENTE_R</w:t>
            </w:r>
            <w:r w:rsidRPr="00FA3856">
              <w:rPr>
                <w:rFonts w:ascii="Times New Roman" w:hAnsi="Times New Roman"/>
                <w:szCs w:val="20"/>
              </w:rPr>
              <w:t xml:space="preserve">: </w:t>
            </w:r>
            <w:r w:rsidRPr="00FA3856">
              <w:rPr>
                <w:rStyle w:val="Hyperlink"/>
                <w:rFonts w:ascii="Times New Roman" w:hAnsi="Times New Roman"/>
                <w:bCs/>
                <w:color w:val="auto"/>
                <w:szCs w:val="20"/>
                <w:lang w:val="pt-PT"/>
              </w:rPr>
              <w:t xml:space="preserve">Verifica se o campo está preenchido quando o tipo da linha </w:t>
            </w:r>
            <w:r w:rsidR="0063733D" w:rsidRPr="00FA3856">
              <w:rPr>
                <w:rStyle w:val="Hyperlink"/>
                <w:rFonts w:ascii="Times New Roman" w:hAnsi="Times New Roman"/>
                <w:bCs/>
                <w:color w:val="auto"/>
                <w:szCs w:val="20"/>
                <w:lang w:val="pt-PT"/>
              </w:rPr>
              <w:t>é diferente</w:t>
            </w:r>
            <w:r w:rsidRPr="00FA3856">
              <w:rPr>
                <w:rStyle w:val="Hyperlink"/>
                <w:rFonts w:ascii="Times New Roman" w:hAnsi="Times New Roman"/>
                <w:bCs/>
                <w:color w:val="auto"/>
                <w:szCs w:val="20"/>
                <w:lang w:val="pt-PT"/>
              </w:rPr>
              <w:t xml:space="preserve"> de “R”.</w:t>
            </w:r>
          </w:p>
        </w:tc>
        <w:tc>
          <w:tcPr>
            <w:tcW w:w="717" w:type="dxa"/>
            <w:tcBorders>
              <w:top w:val="single" w:sz="6" w:space="0" w:color="auto"/>
              <w:left w:val="single" w:sz="6" w:space="0" w:color="auto"/>
              <w:bottom w:val="single" w:sz="6" w:space="0" w:color="auto"/>
              <w:right w:val="single" w:sz="6" w:space="0" w:color="auto"/>
            </w:tcBorders>
          </w:tcPr>
          <w:p w:rsidR="0012324D" w:rsidRPr="00FA3856" w:rsidRDefault="0012324D" w:rsidP="0012324D">
            <w:pPr>
              <w:pStyle w:val="PSDS-CorpodeTexto0"/>
              <w:rPr>
                <w:rFonts w:ascii="Times New Roman" w:hAnsi="Times New Roman"/>
              </w:rPr>
            </w:pPr>
            <w:r w:rsidRPr="00FA3856">
              <w:rPr>
                <w:rFonts w:ascii="Times New Roman" w:hAnsi="Times New Roman"/>
              </w:rPr>
              <w:t>Erro</w:t>
            </w:r>
          </w:p>
          <w:p w:rsidR="0012324D" w:rsidRPr="00FA3856" w:rsidRDefault="0012324D" w:rsidP="0012324D">
            <w:pPr>
              <w:pStyle w:val="PSDS-CorpodeTexto0"/>
              <w:rPr>
                <w:rFonts w:ascii="Times New Roman" w:hAnsi="Times New Roman"/>
              </w:rPr>
            </w:pPr>
          </w:p>
        </w:tc>
      </w:tr>
    </w:tbl>
    <w:p w:rsidR="006C3056" w:rsidRDefault="006C3056" w:rsidP="00A84E88">
      <w:pPr>
        <w:pStyle w:val="PSDS-MarcadoresNivel3"/>
        <w:tabs>
          <w:tab w:val="clear" w:pos="1440"/>
        </w:tabs>
        <w:ind w:left="0" w:firstLine="0"/>
        <w:rPr>
          <w:rFonts w:ascii="Times New Roman" w:hAnsi="Times New Roman" w:cs="Times New Roman"/>
          <w:bCs w:val="0"/>
          <w:color w:val="000000"/>
          <w:szCs w:val="20"/>
          <w:lang w:eastAsia="ar-SA"/>
        </w:rPr>
      </w:pPr>
    </w:p>
    <w:p w:rsidR="00F61AAD" w:rsidRPr="00FA3856" w:rsidRDefault="00A84E88" w:rsidP="00A84E88">
      <w:pPr>
        <w:pStyle w:val="PSDS-MarcadoresNivel3"/>
        <w:tabs>
          <w:tab w:val="clear" w:pos="1440"/>
        </w:tabs>
        <w:ind w:left="0" w:firstLine="0"/>
        <w:rPr>
          <w:rFonts w:ascii="Times New Roman" w:hAnsi="Times New Roman" w:cs="Times New Roman"/>
          <w:bCs w:val="0"/>
          <w:color w:val="000000"/>
          <w:szCs w:val="20"/>
          <w:lang w:eastAsia="ar-SA"/>
        </w:rPr>
      </w:pPr>
      <w:r w:rsidRPr="00FA3856">
        <w:rPr>
          <w:rFonts w:ascii="Times New Roman" w:hAnsi="Times New Roman" w:cs="Times New Roman"/>
          <w:bCs w:val="0"/>
          <w:color w:val="000000"/>
          <w:szCs w:val="20"/>
          <w:lang w:eastAsia="ar-SA"/>
        </w:rPr>
        <w:lastRenderedPageBreak/>
        <w:t>I</w:t>
      </w:r>
      <w:r w:rsidR="00F61AAD" w:rsidRPr="00FA3856">
        <w:rPr>
          <w:rFonts w:ascii="Times New Roman" w:hAnsi="Times New Roman" w:cs="Times New Roman"/>
          <w:bCs w:val="0"/>
          <w:color w:val="000000"/>
          <w:szCs w:val="20"/>
          <w:lang w:eastAsia="ar-SA"/>
        </w:rPr>
        <w:t>II – Tabela Dinâmica:</w:t>
      </w:r>
      <w:r w:rsidR="006C3056">
        <w:rPr>
          <w:rFonts w:ascii="Times New Roman" w:hAnsi="Times New Roman" w:cs="Times New Roman"/>
          <w:bCs w:val="0"/>
          <w:color w:val="000000"/>
          <w:szCs w:val="20"/>
          <w:lang w:eastAsia="ar-SA"/>
        </w:rPr>
        <w:t xml:space="preserve"> </w:t>
      </w:r>
      <w:r w:rsidR="006C3056" w:rsidRPr="006C3056">
        <w:rPr>
          <w:rFonts w:ascii="Times New Roman" w:hAnsi="Times New Roman" w:cs="Times New Roman"/>
          <w:bCs w:val="0"/>
          <w:color w:val="000000"/>
          <w:szCs w:val="20"/>
          <w:lang w:eastAsia="ar-SA"/>
        </w:rPr>
        <w:t>T170 - Apuração da Base de Cálculo da CSLL com Base no Lucro Arbitrado</w:t>
      </w:r>
    </w:p>
    <w:p w:rsidR="00A84E88" w:rsidRPr="00EE13F0" w:rsidRDefault="00486CDA" w:rsidP="00EE13F0">
      <w:pPr>
        <w:pStyle w:val="PSDS-MarcadoresNivel3"/>
        <w:tabs>
          <w:tab w:val="clear" w:pos="1440"/>
        </w:tabs>
        <w:ind w:left="0" w:firstLine="0"/>
        <w:rPr>
          <w:rFonts w:ascii="Times New Roman" w:hAnsi="Times New Roman" w:cs="Times New Roman"/>
          <w:bCs w:val="0"/>
          <w:color w:val="000000"/>
          <w:szCs w:val="20"/>
          <w:lang w:eastAsia="ar-SA"/>
        </w:rPr>
      </w:pPr>
      <w:r>
        <w:rPr>
          <w:rFonts w:ascii="Times New Roman" w:hAnsi="Times New Roman" w:cs="Times New Roman"/>
          <w:bCs w:val="0"/>
          <w:color w:val="000000"/>
          <w:szCs w:val="20"/>
          <w:lang w:eastAsia="ar-SA"/>
        </w:rPr>
        <w:object w:dxaOrig="1534" w:dyaOrig="997">
          <v:shape id="_x0000_i1219" type="#_x0000_t75" style="width:79.5pt;height:50.25pt" o:ole="">
            <v:imagedata r:id="rId533" o:title=""/>
          </v:shape>
          <o:OLEObject Type="Link" ProgID="Excel.Sheet.12" ShapeID="_x0000_i1219" DrawAspect="Content" r:id="rId534" UpdateMode="OnCall">
            <o:LinkType>EnhancedMetaFile</o:LinkType>
            <o:LockedField>false</o:LockedField>
          </o:OLEObject>
        </w:object>
      </w:r>
    </w:p>
    <w:p w:rsidR="0045042A" w:rsidRDefault="000C72A0" w:rsidP="00153E9B">
      <w:pPr>
        <w:pStyle w:val="Corpodetexto"/>
        <w:rPr>
          <w:rFonts w:ascii="Times New Roman" w:hAnsi="Times New Roman"/>
          <w:b/>
          <w:color w:val="002060"/>
          <w:szCs w:val="20"/>
        </w:rPr>
      </w:pPr>
      <w:r w:rsidRPr="00FA3856">
        <w:rPr>
          <w:rFonts w:ascii="Times New Roman" w:hAnsi="Times New Roman"/>
          <w:b/>
          <w:color w:val="002060"/>
          <w:szCs w:val="20"/>
        </w:rPr>
        <w:t xml:space="preserve">Exemplo de Preenchimento: </w:t>
      </w:r>
    </w:p>
    <w:p w:rsidR="0045042A" w:rsidRDefault="0045042A" w:rsidP="00153E9B">
      <w:pPr>
        <w:pStyle w:val="Corpodetexto"/>
        <w:rPr>
          <w:rFonts w:ascii="Times New Roman" w:hAnsi="Times New Roman"/>
          <w:b/>
          <w:color w:val="002060"/>
          <w:szCs w:val="20"/>
        </w:rPr>
      </w:pPr>
    </w:p>
    <w:p w:rsidR="00153E9B" w:rsidRPr="00FA3856" w:rsidRDefault="00153E9B" w:rsidP="00153E9B">
      <w:pPr>
        <w:pStyle w:val="Corpodetexto"/>
        <w:rPr>
          <w:rFonts w:ascii="Times New Roman" w:hAnsi="Times New Roman"/>
          <w:b/>
          <w:color w:val="002060"/>
          <w:szCs w:val="20"/>
        </w:rPr>
      </w:pPr>
      <w:r w:rsidRPr="00FA3856">
        <w:rPr>
          <w:rFonts w:ascii="Times New Roman" w:hAnsi="Times New Roman"/>
          <w:b/>
          <w:color w:val="002060"/>
          <w:szCs w:val="20"/>
        </w:rPr>
        <w:t>|T170|13|Lucros Disponibilizados no Exterior|100000,00|</w:t>
      </w:r>
    </w:p>
    <w:p w:rsidR="00153E9B" w:rsidRPr="00FA3856" w:rsidRDefault="00153E9B" w:rsidP="00153E9B">
      <w:pPr>
        <w:pStyle w:val="Corpodetexto"/>
        <w:ind w:firstLine="708"/>
        <w:rPr>
          <w:rFonts w:ascii="Times New Roman" w:hAnsi="Times New Roman"/>
          <w:color w:val="002060"/>
          <w:szCs w:val="20"/>
        </w:rPr>
      </w:pPr>
      <w:r w:rsidRPr="00FA3856">
        <w:rPr>
          <w:rFonts w:ascii="Times New Roman" w:hAnsi="Times New Roman"/>
          <w:color w:val="002060"/>
          <w:szCs w:val="20"/>
        </w:rPr>
        <w:t>|T170|: Identificação do tipo do registro.</w:t>
      </w:r>
    </w:p>
    <w:p w:rsidR="00153E9B" w:rsidRPr="00FA3856" w:rsidRDefault="00153E9B" w:rsidP="00153E9B">
      <w:pPr>
        <w:pStyle w:val="Corpodetexto"/>
        <w:ind w:firstLine="708"/>
        <w:rPr>
          <w:rFonts w:ascii="Times New Roman" w:hAnsi="Times New Roman"/>
          <w:color w:val="002060"/>
          <w:szCs w:val="20"/>
        </w:rPr>
      </w:pPr>
      <w:r w:rsidRPr="00FA3856">
        <w:rPr>
          <w:rFonts w:ascii="Times New Roman" w:hAnsi="Times New Roman"/>
          <w:color w:val="002060"/>
          <w:szCs w:val="20"/>
        </w:rPr>
        <w:t>|13|: Código da linha.</w:t>
      </w:r>
      <w:r w:rsidRPr="00FA3856">
        <w:rPr>
          <w:rFonts w:ascii="Times New Roman" w:hAnsi="Times New Roman"/>
          <w:color w:val="002060"/>
          <w:szCs w:val="20"/>
        </w:rPr>
        <w:tab/>
      </w:r>
    </w:p>
    <w:p w:rsidR="00153E9B" w:rsidRPr="00FA3856" w:rsidRDefault="00153E9B" w:rsidP="00153E9B">
      <w:pPr>
        <w:pStyle w:val="Corpodetexto"/>
        <w:ind w:firstLine="708"/>
        <w:rPr>
          <w:rFonts w:ascii="Times New Roman" w:hAnsi="Times New Roman"/>
          <w:color w:val="002060"/>
          <w:szCs w:val="20"/>
        </w:rPr>
      </w:pPr>
      <w:r w:rsidRPr="00FA3856">
        <w:rPr>
          <w:rFonts w:ascii="Times New Roman" w:hAnsi="Times New Roman"/>
          <w:color w:val="002060"/>
          <w:szCs w:val="20"/>
        </w:rPr>
        <w:t>|</w:t>
      </w:r>
      <w:r w:rsidR="003F78B1" w:rsidRPr="00FA3856">
        <w:rPr>
          <w:rFonts w:ascii="Times New Roman" w:hAnsi="Times New Roman"/>
          <w:color w:val="002060"/>
          <w:szCs w:val="20"/>
        </w:rPr>
        <w:t xml:space="preserve">Lucros </w:t>
      </w:r>
      <w:r w:rsidRPr="00FA3856">
        <w:rPr>
          <w:rFonts w:ascii="Times New Roman" w:hAnsi="Times New Roman"/>
          <w:color w:val="002060"/>
          <w:szCs w:val="20"/>
        </w:rPr>
        <w:t>Disponibilizados no Exterior|: Descrição da linha.</w:t>
      </w:r>
    </w:p>
    <w:p w:rsidR="00153E9B" w:rsidRPr="00FA3856" w:rsidRDefault="00153E9B" w:rsidP="00153E9B">
      <w:pPr>
        <w:pStyle w:val="Corpodetexto"/>
        <w:ind w:firstLine="708"/>
        <w:rPr>
          <w:rFonts w:ascii="Times New Roman" w:hAnsi="Times New Roman"/>
          <w:color w:val="002060"/>
          <w:szCs w:val="20"/>
        </w:rPr>
      </w:pPr>
      <w:r w:rsidRPr="00FA3856">
        <w:rPr>
          <w:rFonts w:ascii="Times New Roman" w:hAnsi="Times New Roman"/>
          <w:color w:val="002060"/>
          <w:szCs w:val="20"/>
        </w:rPr>
        <w:t>|100000,00|: Valor da linha (R$ 1</w:t>
      </w:r>
      <w:r w:rsidR="003F78B1" w:rsidRPr="00FA3856">
        <w:rPr>
          <w:rFonts w:ascii="Times New Roman" w:hAnsi="Times New Roman"/>
          <w:color w:val="002060"/>
          <w:szCs w:val="20"/>
        </w:rPr>
        <w:t>0</w:t>
      </w:r>
      <w:r w:rsidRPr="00FA3856">
        <w:rPr>
          <w:rFonts w:ascii="Times New Roman" w:hAnsi="Times New Roman"/>
          <w:color w:val="002060"/>
          <w:szCs w:val="20"/>
        </w:rPr>
        <w:t>0.000,00).</w:t>
      </w:r>
    </w:p>
    <w:p w:rsidR="00455135" w:rsidRPr="00FA3856" w:rsidRDefault="00127F94">
      <w:pPr>
        <w:spacing w:after="200" w:line="276" w:lineRule="auto"/>
        <w:rPr>
          <w:color w:val="0000FF"/>
          <w:szCs w:val="20"/>
        </w:rPr>
      </w:pPr>
      <w:r w:rsidRPr="00FA3856">
        <w:rPr>
          <w:color w:val="0000FF"/>
          <w:szCs w:val="20"/>
        </w:rPr>
        <w:br w:type="page"/>
      </w:r>
    </w:p>
    <w:p w:rsidR="00F11E71" w:rsidRPr="00FA3856" w:rsidRDefault="00F11E71" w:rsidP="00867F54">
      <w:pPr>
        <w:pStyle w:val="Ttulo4"/>
      </w:pPr>
      <w:bookmarkStart w:id="353" w:name="_Toc479713774"/>
      <w:r w:rsidRPr="00FA3856">
        <w:lastRenderedPageBreak/>
        <w:t>Registro T181: Cálculo da CSLL com Base no Lucro Arbitrado</w:t>
      </w:r>
      <w:bookmarkEnd w:id="353"/>
    </w:p>
    <w:p w:rsidR="00F11E71" w:rsidRPr="00FA3856" w:rsidRDefault="00F11E71" w:rsidP="00F11E71">
      <w:pPr>
        <w:rPr>
          <w:szCs w:val="20"/>
        </w:rPr>
      </w:pPr>
    </w:p>
    <w:p w:rsidR="0057762E" w:rsidRPr="00FA3856" w:rsidRDefault="00EB3BB3" w:rsidP="00EB3BB3">
      <w:pPr>
        <w:pStyle w:val="PSDS-CorpodeTexto0"/>
        <w:ind w:firstLine="708"/>
        <w:jc w:val="both"/>
        <w:rPr>
          <w:rFonts w:ascii="Times New Roman" w:hAnsi="Times New Roman"/>
        </w:rPr>
      </w:pPr>
      <w:r w:rsidRPr="00FA3856">
        <w:rPr>
          <w:rFonts w:ascii="Times New Roman" w:hAnsi="Times New Roman"/>
        </w:rPr>
        <w:t>Este registro deve ser preenchido</w:t>
      </w:r>
      <w:r w:rsidR="0057762E" w:rsidRPr="00FA3856">
        <w:rPr>
          <w:rFonts w:ascii="Times New Roman" w:hAnsi="Times New Roman"/>
        </w:rPr>
        <w:t xml:space="preserve"> pela pessoa jurídica que apurou a CSLL com base no lucro arbitrado, em um ou mais trimestres do ano-calendário, inclusive se optante pelo Refis.</w:t>
      </w:r>
    </w:p>
    <w:p w:rsidR="00F11E71" w:rsidRDefault="0057762E" w:rsidP="0045042A">
      <w:pPr>
        <w:pStyle w:val="PSDS-CorpodeTexto0"/>
        <w:ind w:firstLine="708"/>
        <w:jc w:val="both"/>
        <w:rPr>
          <w:rFonts w:ascii="Times New Roman" w:hAnsi="Times New Roman"/>
        </w:rPr>
      </w:pPr>
      <w:r w:rsidRPr="00FA3856">
        <w:rPr>
          <w:rFonts w:ascii="Times New Roman" w:hAnsi="Times New Roman"/>
        </w:rPr>
        <w:t> </w:t>
      </w:r>
    </w:p>
    <w:p w:rsidR="0045042A" w:rsidRPr="00FA3856" w:rsidRDefault="00B35FA3" w:rsidP="0045042A">
      <w:pPr>
        <w:pStyle w:val="PSDS-CorpodeTexto0"/>
        <w:jc w:val="center"/>
        <w:rPr>
          <w:b/>
          <w:lang w:val="pt-PT"/>
        </w:rPr>
      </w:pPr>
      <w:r>
        <w:rPr>
          <w:rFonts w:ascii="Times New Roman" w:hAnsi="Times New Roman"/>
        </w:rPr>
        <w:object w:dxaOrig="13980" w:dyaOrig="4770">
          <v:shape id="_x0000_i1822" type="#_x0000_t75" style="width:746.25pt;height:230.25pt" o:ole="">
            <v:imagedata r:id="rId535" o:title=""/>
          </v:shape>
          <o:OLEObject Type="Link" ProgID="Excel.Sheet.12" ShapeID="_x0000_i1822" DrawAspect="Content" r:id="rId536" UpdateMode="Always">
            <o:LinkType>EnhancedMetaFile</o:LinkType>
            <o:LockedField>false</o:LockedField>
          </o:OLEObject>
        </w:object>
      </w:r>
    </w:p>
    <w:p w:rsidR="0045042A" w:rsidRDefault="0045042A" w:rsidP="00FE5D23">
      <w:pPr>
        <w:rPr>
          <w:b/>
          <w:szCs w:val="20"/>
          <w:lang w:val="pt-PT"/>
        </w:rPr>
      </w:pPr>
    </w:p>
    <w:p w:rsidR="00FE5D23" w:rsidRPr="00FA3856" w:rsidRDefault="00FE5D23" w:rsidP="00FE5D23">
      <w:pPr>
        <w:rPr>
          <w:b/>
          <w:szCs w:val="20"/>
          <w:lang w:val="pt-PT"/>
        </w:rPr>
      </w:pPr>
      <w:r w:rsidRPr="00FA3856">
        <w:rPr>
          <w:b/>
          <w:szCs w:val="20"/>
          <w:lang w:val="pt-PT"/>
        </w:rPr>
        <w:t>I – Regras de Validação do Registro:</w:t>
      </w:r>
    </w:p>
    <w:p w:rsidR="00FE5D23" w:rsidRPr="00FA3856" w:rsidRDefault="00FE5D23" w:rsidP="00FE5D23">
      <w:pPr>
        <w:rPr>
          <w:b/>
          <w:szCs w:val="20"/>
          <w:lang w:val="pt-PT"/>
        </w:rPr>
      </w:pPr>
    </w:p>
    <w:p w:rsidR="00FE5D23" w:rsidRPr="00FA3856" w:rsidRDefault="007D0E74" w:rsidP="00FE5D23">
      <w:pPr>
        <w:pStyle w:val="Corpodetexto"/>
        <w:ind w:left="708" w:firstLine="12"/>
        <w:rPr>
          <w:rFonts w:ascii="Times New Roman" w:hAnsi="Times New Roman"/>
          <w:szCs w:val="20"/>
        </w:rPr>
      </w:pPr>
      <w:hyperlink r:id="rId537" w:anchor="REGRA_OCORRENCIA_UNITARIA_ARQ" w:history="1">
        <w:r w:rsidR="00FE5D23" w:rsidRPr="00FA3856">
          <w:rPr>
            <w:rFonts w:ascii="Times New Roman" w:hAnsi="Times New Roman"/>
            <w:b/>
            <w:szCs w:val="20"/>
          </w:rPr>
          <w:t>REGRA_</w:t>
        </w:r>
      </w:hyperlink>
      <w:r w:rsidR="00FE5D23" w:rsidRPr="00FA3856">
        <w:rPr>
          <w:rFonts w:ascii="Times New Roman" w:hAnsi="Times New Roman"/>
          <w:b/>
          <w:szCs w:val="20"/>
        </w:rPr>
        <w:t>DUPLICIDADE_DESPREZADA</w:t>
      </w:r>
      <w:r w:rsidR="00FE5D23" w:rsidRPr="00FA3856">
        <w:rPr>
          <w:rFonts w:ascii="Times New Roman" w:hAnsi="Times New Roman"/>
          <w:color w:val="auto"/>
          <w:szCs w:val="20"/>
        </w:rPr>
        <w:t xml:space="preserve">: </w:t>
      </w:r>
      <w:r w:rsidR="00FE5D23" w:rsidRPr="00FA3856">
        <w:rPr>
          <w:rFonts w:ascii="Times New Roman" w:hAnsi="Times New Roman"/>
          <w:szCs w:val="20"/>
        </w:rPr>
        <w:t>Verifica se o registro já foi importado anteriormente, de acordo com a chave e os registros pais. Se a regra não for cumprida, a ECF gera um aviso.</w:t>
      </w:r>
    </w:p>
    <w:p w:rsidR="00FE5D23" w:rsidRPr="00FA3856" w:rsidRDefault="00FE5D23" w:rsidP="00FE5D23">
      <w:pPr>
        <w:pStyle w:val="Corpodetexto"/>
        <w:ind w:left="708" w:firstLine="12"/>
        <w:rPr>
          <w:rFonts w:ascii="Times New Roman" w:hAnsi="Times New Roman"/>
          <w:szCs w:val="20"/>
        </w:rPr>
      </w:pPr>
    </w:p>
    <w:p w:rsidR="00FE5D23" w:rsidRPr="00FA3856" w:rsidRDefault="007D0E74" w:rsidP="00FE5D23">
      <w:pPr>
        <w:pStyle w:val="Corpodetexto"/>
        <w:ind w:left="708" w:firstLine="12"/>
        <w:rPr>
          <w:rFonts w:ascii="Times New Roman" w:hAnsi="Times New Roman"/>
          <w:szCs w:val="20"/>
        </w:rPr>
      </w:pPr>
      <w:hyperlink r:id="rId538" w:anchor="REGRA_OCORRENCIA_UNITARIA_ARQ" w:history="1">
        <w:r w:rsidR="00FE5D23" w:rsidRPr="00FA3856">
          <w:rPr>
            <w:rFonts w:ascii="Times New Roman" w:hAnsi="Times New Roman"/>
            <w:b/>
            <w:szCs w:val="20"/>
          </w:rPr>
          <w:t>REGRA_</w:t>
        </w:r>
      </w:hyperlink>
      <w:r w:rsidR="00FE5D23" w:rsidRPr="00FA3856">
        <w:rPr>
          <w:rFonts w:ascii="Times New Roman" w:hAnsi="Times New Roman"/>
          <w:b/>
          <w:szCs w:val="20"/>
        </w:rPr>
        <w:t>LINHA_DESPREZADA</w:t>
      </w:r>
      <w:r w:rsidR="00FE5D23" w:rsidRPr="00FA3856">
        <w:rPr>
          <w:rFonts w:ascii="Times New Roman" w:hAnsi="Times New Roman"/>
          <w:color w:val="auto"/>
          <w:szCs w:val="20"/>
        </w:rPr>
        <w:t xml:space="preserve">: </w:t>
      </w:r>
      <w:r w:rsidR="00FE5D23" w:rsidRPr="00FA3856">
        <w:rPr>
          <w:rFonts w:ascii="Times New Roman" w:hAnsi="Times New Roman"/>
          <w:szCs w:val="20"/>
        </w:rPr>
        <w:t>Verifica se o registro existe na importação, mas não será importado por não existir na tabela dinâmica devido às configurações do bloco 0 ou da tabela dinâmica. Gera um aviso.</w:t>
      </w:r>
    </w:p>
    <w:p w:rsidR="00FE5D23" w:rsidRPr="00FA3856" w:rsidRDefault="00FE5D23" w:rsidP="00FE5D23">
      <w:pPr>
        <w:pStyle w:val="Corpodetexto"/>
        <w:ind w:left="708" w:firstLine="12"/>
        <w:rPr>
          <w:rFonts w:ascii="Times New Roman" w:hAnsi="Times New Roman"/>
          <w:b/>
          <w:szCs w:val="20"/>
        </w:rPr>
      </w:pPr>
    </w:p>
    <w:p w:rsidR="00FE5D23" w:rsidRPr="00FA3856" w:rsidRDefault="007D0E74" w:rsidP="00FE5D23">
      <w:pPr>
        <w:pStyle w:val="Corpodetexto"/>
        <w:ind w:left="708" w:firstLine="12"/>
        <w:rPr>
          <w:rFonts w:ascii="Times New Roman" w:hAnsi="Times New Roman"/>
          <w:b/>
          <w:szCs w:val="20"/>
        </w:rPr>
      </w:pPr>
      <w:hyperlink r:id="rId539" w:anchor="REGRA_OCORRENCIA_UNITARIA_ARQ" w:history="1">
        <w:r w:rsidR="00FE5D23" w:rsidRPr="00FA3856">
          <w:rPr>
            <w:rFonts w:ascii="Times New Roman" w:hAnsi="Times New Roman"/>
            <w:b/>
            <w:szCs w:val="20"/>
          </w:rPr>
          <w:t>REGRA_</w:t>
        </w:r>
      </w:hyperlink>
      <w:r w:rsidR="00FE5D23" w:rsidRPr="00FA3856">
        <w:rPr>
          <w:rFonts w:ascii="Times New Roman" w:hAnsi="Times New Roman"/>
          <w:b/>
          <w:szCs w:val="20"/>
        </w:rPr>
        <w:t>LINHA_ATUALIZADA</w:t>
      </w:r>
      <w:r w:rsidR="00FE5D23" w:rsidRPr="00FA3856">
        <w:rPr>
          <w:rFonts w:ascii="Times New Roman" w:hAnsi="Times New Roman"/>
          <w:color w:val="auto"/>
          <w:szCs w:val="20"/>
        </w:rPr>
        <w:t xml:space="preserve">: </w:t>
      </w:r>
      <w:r w:rsidR="00FE5D23" w:rsidRPr="00FA3856">
        <w:rPr>
          <w:rFonts w:ascii="Times New Roman" w:hAnsi="Times New Roman"/>
          <w:szCs w:val="20"/>
        </w:rPr>
        <w:t>Verifica se o registro está desatualizado em relação à tabela da RFB. Gera um aviso.</w:t>
      </w:r>
    </w:p>
    <w:p w:rsidR="00FE5D23" w:rsidRPr="00FA3856" w:rsidRDefault="00FE5D23" w:rsidP="00F11E71">
      <w:pPr>
        <w:rPr>
          <w:b/>
          <w:szCs w:val="20"/>
          <w:lang w:val="pt-PT"/>
        </w:rPr>
      </w:pPr>
    </w:p>
    <w:p w:rsidR="00F11E71" w:rsidRPr="00FA3856" w:rsidRDefault="00FE5D23" w:rsidP="00F11E71">
      <w:pPr>
        <w:rPr>
          <w:b/>
          <w:szCs w:val="20"/>
          <w:lang w:val="pt-PT"/>
        </w:rPr>
      </w:pPr>
      <w:r w:rsidRPr="00FA3856">
        <w:rPr>
          <w:b/>
          <w:szCs w:val="20"/>
          <w:lang w:val="pt-PT"/>
        </w:rPr>
        <w:t>I</w:t>
      </w:r>
      <w:r w:rsidR="00F11E71" w:rsidRPr="00FA3856">
        <w:rPr>
          <w:b/>
          <w:szCs w:val="20"/>
          <w:lang w:val="pt-PT"/>
        </w:rPr>
        <w:t>I – Regras de Validação de Campos:</w:t>
      </w:r>
    </w:p>
    <w:p w:rsidR="00F11E71" w:rsidRPr="00FA3856" w:rsidRDefault="00F11E71" w:rsidP="00F11E71">
      <w:pPr>
        <w:rPr>
          <w:b/>
          <w:szCs w:val="20"/>
          <w:lang w:val="pt-PT"/>
        </w:rPr>
      </w:pPr>
    </w:p>
    <w:tbl>
      <w:tblPr>
        <w:tblW w:w="15367"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85"/>
        <w:gridCol w:w="3000"/>
        <w:gridCol w:w="11165"/>
        <w:gridCol w:w="717"/>
      </w:tblGrid>
      <w:tr w:rsidR="00F11E71" w:rsidRPr="00FA3856" w:rsidTr="00EB3BB3">
        <w:trPr>
          <w:jc w:val="center"/>
        </w:trPr>
        <w:tc>
          <w:tcPr>
            <w:tcW w:w="485" w:type="dxa"/>
            <w:tcBorders>
              <w:top w:val="single" w:sz="6" w:space="0" w:color="auto"/>
              <w:left w:val="single" w:sz="6" w:space="0" w:color="auto"/>
              <w:bottom w:val="single" w:sz="6" w:space="0" w:color="auto"/>
              <w:right w:val="single" w:sz="6" w:space="0" w:color="auto"/>
            </w:tcBorders>
            <w:shd w:val="pct10" w:color="auto" w:fill="FFFFFF"/>
          </w:tcPr>
          <w:p w:rsidR="00F11E71" w:rsidRPr="00FA3856" w:rsidRDefault="00F11E71" w:rsidP="00EC4ABB">
            <w:pPr>
              <w:pStyle w:val="PSDS-CorpodeTexto0"/>
              <w:jc w:val="center"/>
              <w:rPr>
                <w:rFonts w:ascii="Times New Roman" w:hAnsi="Times New Roman"/>
                <w:b/>
                <w:bCs/>
              </w:rPr>
            </w:pPr>
            <w:r w:rsidRPr="00FA3856">
              <w:rPr>
                <w:rFonts w:ascii="Times New Roman" w:hAnsi="Times New Roman"/>
                <w:b/>
                <w:bCs/>
              </w:rPr>
              <w:t>Nº</w:t>
            </w:r>
          </w:p>
        </w:tc>
        <w:tc>
          <w:tcPr>
            <w:tcW w:w="3000" w:type="dxa"/>
            <w:tcBorders>
              <w:top w:val="single" w:sz="6" w:space="0" w:color="auto"/>
              <w:left w:val="single" w:sz="6" w:space="0" w:color="auto"/>
              <w:bottom w:val="single" w:sz="6" w:space="0" w:color="auto"/>
              <w:right w:val="single" w:sz="6" w:space="0" w:color="auto"/>
            </w:tcBorders>
            <w:shd w:val="pct10" w:color="auto" w:fill="FFFFFF"/>
          </w:tcPr>
          <w:p w:rsidR="00F11E71" w:rsidRPr="00FA3856" w:rsidRDefault="00F11E71" w:rsidP="00EC4ABB">
            <w:pPr>
              <w:pStyle w:val="PSDS-CorpodeTexto0"/>
              <w:jc w:val="center"/>
              <w:rPr>
                <w:rFonts w:ascii="Times New Roman" w:hAnsi="Times New Roman"/>
                <w:b/>
                <w:bCs/>
              </w:rPr>
            </w:pPr>
            <w:r w:rsidRPr="00FA3856">
              <w:rPr>
                <w:rFonts w:ascii="Times New Roman" w:hAnsi="Times New Roman"/>
                <w:b/>
                <w:bCs/>
              </w:rPr>
              <w:t>Campo</w:t>
            </w:r>
          </w:p>
        </w:tc>
        <w:tc>
          <w:tcPr>
            <w:tcW w:w="11165" w:type="dxa"/>
            <w:tcBorders>
              <w:top w:val="single" w:sz="6" w:space="0" w:color="auto"/>
              <w:left w:val="single" w:sz="6" w:space="0" w:color="auto"/>
              <w:bottom w:val="single" w:sz="6" w:space="0" w:color="auto"/>
              <w:right w:val="single" w:sz="6" w:space="0" w:color="auto"/>
            </w:tcBorders>
            <w:shd w:val="pct10" w:color="auto" w:fill="FFFFFF"/>
          </w:tcPr>
          <w:p w:rsidR="00F11E71" w:rsidRPr="00FA3856" w:rsidRDefault="00F11E71" w:rsidP="00EC4ABB">
            <w:pPr>
              <w:pStyle w:val="PSDS-CorpodeTexto0"/>
              <w:jc w:val="center"/>
              <w:rPr>
                <w:rFonts w:ascii="Times New Roman" w:hAnsi="Times New Roman"/>
                <w:b/>
                <w:bCs/>
              </w:rPr>
            </w:pPr>
            <w:r w:rsidRPr="00FA3856">
              <w:rPr>
                <w:rFonts w:ascii="Times New Roman" w:hAnsi="Times New Roman"/>
                <w:b/>
                <w:bCs/>
              </w:rPr>
              <w:t>Regras de Validação do Campo</w:t>
            </w:r>
          </w:p>
        </w:tc>
        <w:tc>
          <w:tcPr>
            <w:tcW w:w="717" w:type="dxa"/>
            <w:tcBorders>
              <w:top w:val="single" w:sz="6" w:space="0" w:color="auto"/>
              <w:left w:val="single" w:sz="6" w:space="0" w:color="auto"/>
              <w:bottom w:val="single" w:sz="6" w:space="0" w:color="auto"/>
              <w:right w:val="single" w:sz="6" w:space="0" w:color="auto"/>
            </w:tcBorders>
            <w:shd w:val="pct10" w:color="auto" w:fill="FFFFFF"/>
          </w:tcPr>
          <w:p w:rsidR="00F11E71" w:rsidRPr="00FA3856" w:rsidRDefault="00F11E71" w:rsidP="00EC4ABB">
            <w:pPr>
              <w:pStyle w:val="PSDS-CorpodeTexto0"/>
              <w:jc w:val="center"/>
              <w:rPr>
                <w:rFonts w:ascii="Times New Roman" w:hAnsi="Times New Roman"/>
                <w:b/>
                <w:bCs/>
              </w:rPr>
            </w:pPr>
            <w:r w:rsidRPr="00FA3856">
              <w:rPr>
                <w:rFonts w:ascii="Times New Roman" w:hAnsi="Times New Roman"/>
                <w:b/>
                <w:bCs/>
              </w:rPr>
              <w:t>Tipo</w:t>
            </w:r>
          </w:p>
        </w:tc>
      </w:tr>
      <w:tr w:rsidR="0012324D" w:rsidRPr="00FA3856" w:rsidTr="00EB3BB3">
        <w:trPr>
          <w:jc w:val="center"/>
        </w:trPr>
        <w:tc>
          <w:tcPr>
            <w:tcW w:w="485" w:type="dxa"/>
            <w:tcBorders>
              <w:top w:val="single" w:sz="6" w:space="0" w:color="auto"/>
              <w:left w:val="single" w:sz="6" w:space="0" w:color="auto"/>
              <w:bottom w:val="single" w:sz="6" w:space="0" w:color="auto"/>
              <w:right w:val="single" w:sz="6" w:space="0" w:color="auto"/>
            </w:tcBorders>
          </w:tcPr>
          <w:p w:rsidR="0012324D" w:rsidRPr="00FA3856" w:rsidRDefault="0012324D" w:rsidP="0012324D">
            <w:pPr>
              <w:pStyle w:val="PSDS-CorpodeTexto0"/>
              <w:suppressAutoHyphens w:val="0"/>
              <w:rPr>
                <w:rFonts w:ascii="Times New Roman" w:hAnsi="Times New Roman"/>
                <w:b/>
                <w:bCs/>
                <w:lang w:val="pt-PT"/>
              </w:rPr>
            </w:pPr>
            <w:r w:rsidRPr="00FA3856">
              <w:rPr>
                <w:rFonts w:ascii="Times New Roman" w:hAnsi="Times New Roman"/>
                <w:b/>
                <w:bCs/>
                <w:lang w:val="pt-PT"/>
              </w:rPr>
              <w:t>4</w:t>
            </w:r>
          </w:p>
        </w:tc>
        <w:tc>
          <w:tcPr>
            <w:tcW w:w="3000" w:type="dxa"/>
            <w:tcBorders>
              <w:top w:val="single" w:sz="6" w:space="0" w:color="auto"/>
              <w:left w:val="single" w:sz="6" w:space="0" w:color="auto"/>
              <w:bottom w:val="single" w:sz="6" w:space="0" w:color="auto"/>
              <w:right w:val="single" w:sz="6" w:space="0" w:color="auto"/>
            </w:tcBorders>
          </w:tcPr>
          <w:p w:rsidR="0012324D" w:rsidRPr="00FA3856" w:rsidRDefault="0012324D" w:rsidP="0012324D">
            <w:pPr>
              <w:pStyle w:val="PSDS-CorpodeTexto0"/>
              <w:rPr>
                <w:rFonts w:ascii="Times New Roman" w:hAnsi="Times New Roman"/>
              </w:rPr>
            </w:pPr>
            <w:r w:rsidRPr="00FA3856">
              <w:rPr>
                <w:rFonts w:ascii="Times New Roman" w:hAnsi="Times New Roman"/>
              </w:rPr>
              <w:t>VALOR</w:t>
            </w:r>
          </w:p>
        </w:tc>
        <w:tc>
          <w:tcPr>
            <w:tcW w:w="11165" w:type="dxa"/>
            <w:tcBorders>
              <w:top w:val="single" w:sz="6" w:space="0" w:color="auto"/>
              <w:left w:val="single" w:sz="6" w:space="0" w:color="auto"/>
              <w:bottom w:val="single" w:sz="6" w:space="0" w:color="auto"/>
              <w:right w:val="single" w:sz="6" w:space="0" w:color="auto"/>
            </w:tcBorders>
          </w:tcPr>
          <w:p w:rsidR="0012324D" w:rsidRPr="00FA3856" w:rsidRDefault="0012324D" w:rsidP="0012324D">
            <w:pPr>
              <w:pStyle w:val="Corpodetexto"/>
              <w:rPr>
                <w:rFonts w:ascii="Times New Roman" w:hAnsi="Times New Roman"/>
                <w:szCs w:val="20"/>
              </w:rPr>
            </w:pPr>
            <w:r w:rsidRPr="00FA3856">
              <w:rPr>
                <w:rFonts w:ascii="Times New Roman" w:hAnsi="Times New Roman"/>
                <w:b/>
                <w:bCs/>
                <w:szCs w:val="20"/>
              </w:rPr>
              <w:t>REGRA_OBRIGATORIO_TIPO_DIFERENTE_R</w:t>
            </w:r>
            <w:r w:rsidRPr="00FA3856">
              <w:rPr>
                <w:rFonts w:ascii="Times New Roman" w:hAnsi="Times New Roman"/>
                <w:szCs w:val="20"/>
              </w:rPr>
              <w:t xml:space="preserve">: </w:t>
            </w:r>
            <w:r w:rsidRPr="00FA3856">
              <w:rPr>
                <w:rStyle w:val="Hyperlink"/>
                <w:rFonts w:ascii="Times New Roman" w:hAnsi="Times New Roman"/>
                <w:bCs/>
                <w:color w:val="auto"/>
                <w:szCs w:val="20"/>
                <w:lang w:val="pt-PT"/>
              </w:rPr>
              <w:t xml:space="preserve">Verifica se o campo está preenchido quando o tipo da linha </w:t>
            </w:r>
            <w:r w:rsidR="0063733D" w:rsidRPr="00FA3856">
              <w:rPr>
                <w:rStyle w:val="Hyperlink"/>
                <w:rFonts w:ascii="Times New Roman" w:hAnsi="Times New Roman"/>
                <w:bCs/>
                <w:color w:val="auto"/>
                <w:szCs w:val="20"/>
                <w:lang w:val="pt-PT"/>
              </w:rPr>
              <w:t>é diferente</w:t>
            </w:r>
            <w:r w:rsidRPr="00FA3856">
              <w:rPr>
                <w:rStyle w:val="Hyperlink"/>
                <w:rFonts w:ascii="Times New Roman" w:hAnsi="Times New Roman"/>
                <w:bCs/>
                <w:color w:val="auto"/>
                <w:szCs w:val="20"/>
                <w:lang w:val="pt-PT"/>
              </w:rPr>
              <w:t xml:space="preserve"> de “R”.</w:t>
            </w:r>
          </w:p>
        </w:tc>
        <w:tc>
          <w:tcPr>
            <w:tcW w:w="717" w:type="dxa"/>
            <w:tcBorders>
              <w:top w:val="single" w:sz="6" w:space="0" w:color="auto"/>
              <w:left w:val="single" w:sz="6" w:space="0" w:color="auto"/>
              <w:bottom w:val="single" w:sz="6" w:space="0" w:color="auto"/>
              <w:right w:val="single" w:sz="6" w:space="0" w:color="auto"/>
            </w:tcBorders>
          </w:tcPr>
          <w:p w:rsidR="0012324D" w:rsidRPr="00FA3856" w:rsidRDefault="0012324D" w:rsidP="0012324D">
            <w:pPr>
              <w:pStyle w:val="PSDS-CorpodeTexto0"/>
              <w:rPr>
                <w:rFonts w:ascii="Times New Roman" w:hAnsi="Times New Roman"/>
              </w:rPr>
            </w:pPr>
            <w:r w:rsidRPr="00FA3856">
              <w:rPr>
                <w:rFonts w:ascii="Times New Roman" w:hAnsi="Times New Roman"/>
              </w:rPr>
              <w:t>Erro</w:t>
            </w:r>
          </w:p>
          <w:p w:rsidR="0012324D" w:rsidRPr="00FA3856" w:rsidRDefault="0012324D" w:rsidP="0012324D">
            <w:pPr>
              <w:pStyle w:val="PSDS-CorpodeTexto0"/>
              <w:rPr>
                <w:rFonts w:ascii="Times New Roman" w:hAnsi="Times New Roman"/>
              </w:rPr>
            </w:pPr>
          </w:p>
        </w:tc>
      </w:tr>
    </w:tbl>
    <w:p w:rsidR="00052982" w:rsidRDefault="004B24EE" w:rsidP="00F11E71">
      <w:pPr>
        <w:pStyle w:val="Corpodetexto"/>
        <w:rPr>
          <w:rFonts w:ascii="Times New Roman" w:hAnsi="Times New Roman"/>
          <w:b/>
          <w:szCs w:val="20"/>
        </w:rPr>
      </w:pPr>
      <w:r w:rsidRPr="00FA3856">
        <w:rPr>
          <w:rFonts w:ascii="Times New Roman" w:hAnsi="Times New Roman"/>
          <w:b/>
          <w:szCs w:val="20"/>
        </w:rPr>
        <w:t>I</w:t>
      </w:r>
      <w:r w:rsidR="00052982" w:rsidRPr="00FA3856">
        <w:rPr>
          <w:rFonts w:ascii="Times New Roman" w:hAnsi="Times New Roman"/>
          <w:b/>
          <w:szCs w:val="20"/>
        </w:rPr>
        <w:t>II – Tabela Dinâmica:</w:t>
      </w:r>
      <w:r w:rsidR="006C3056">
        <w:rPr>
          <w:rFonts w:ascii="Times New Roman" w:hAnsi="Times New Roman"/>
          <w:b/>
          <w:szCs w:val="20"/>
        </w:rPr>
        <w:t xml:space="preserve"> </w:t>
      </w:r>
      <w:r w:rsidR="006C3056" w:rsidRPr="006C3056">
        <w:rPr>
          <w:rFonts w:ascii="Times New Roman" w:hAnsi="Times New Roman"/>
          <w:b/>
          <w:szCs w:val="20"/>
        </w:rPr>
        <w:t>T181 - Cálculo da CSLL com Base no Lucro Arbitrado</w:t>
      </w:r>
    </w:p>
    <w:p w:rsidR="003E112D" w:rsidRPr="00FA3856" w:rsidRDefault="00486CDA" w:rsidP="00F11E71">
      <w:pPr>
        <w:pStyle w:val="Corpodetexto"/>
        <w:rPr>
          <w:rFonts w:ascii="Times New Roman" w:hAnsi="Times New Roman"/>
          <w:b/>
          <w:szCs w:val="20"/>
        </w:rPr>
      </w:pPr>
      <w:r>
        <w:rPr>
          <w:rFonts w:ascii="Times New Roman" w:hAnsi="Times New Roman"/>
          <w:b/>
          <w:szCs w:val="20"/>
        </w:rPr>
        <w:object w:dxaOrig="1534" w:dyaOrig="997">
          <v:shape id="_x0000_i1221" type="#_x0000_t75" style="width:79.5pt;height:50.25pt" o:ole="">
            <v:imagedata r:id="rId540" o:title=""/>
          </v:shape>
          <o:OLEObject Type="Link" ProgID="Excel.Sheet.12" ShapeID="_x0000_i1221" DrawAspect="Content" r:id="rId541" UpdateMode="OnCall">
            <o:LinkType>EnhancedMetaFile</o:LinkType>
            <o:LockedField>false</o:LockedField>
          </o:OLEObject>
        </w:object>
      </w:r>
    </w:p>
    <w:p w:rsidR="0045042A" w:rsidRDefault="000C72A0" w:rsidP="00153E9B">
      <w:pPr>
        <w:pStyle w:val="Corpodetexto"/>
        <w:rPr>
          <w:rFonts w:ascii="Times New Roman" w:hAnsi="Times New Roman"/>
          <w:b/>
          <w:color w:val="002060"/>
          <w:szCs w:val="20"/>
        </w:rPr>
      </w:pPr>
      <w:r w:rsidRPr="00FA3856">
        <w:rPr>
          <w:rFonts w:ascii="Times New Roman" w:hAnsi="Times New Roman"/>
          <w:b/>
          <w:color w:val="002060"/>
          <w:szCs w:val="20"/>
        </w:rPr>
        <w:t xml:space="preserve">Exemplo de Preenchimento: </w:t>
      </w:r>
    </w:p>
    <w:p w:rsidR="0045042A" w:rsidRDefault="0045042A" w:rsidP="00153E9B">
      <w:pPr>
        <w:pStyle w:val="Corpodetexto"/>
        <w:rPr>
          <w:rFonts w:ascii="Times New Roman" w:hAnsi="Times New Roman"/>
          <w:b/>
          <w:color w:val="002060"/>
          <w:szCs w:val="20"/>
        </w:rPr>
      </w:pPr>
    </w:p>
    <w:p w:rsidR="00153E9B" w:rsidRPr="00FA3856" w:rsidRDefault="00153E9B" w:rsidP="00153E9B">
      <w:pPr>
        <w:pStyle w:val="Corpodetexto"/>
        <w:rPr>
          <w:rFonts w:ascii="Times New Roman" w:hAnsi="Times New Roman"/>
          <w:b/>
          <w:color w:val="002060"/>
          <w:szCs w:val="20"/>
        </w:rPr>
      </w:pPr>
      <w:r w:rsidRPr="00FA3856">
        <w:rPr>
          <w:rFonts w:ascii="Times New Roman" w:hAnsi="Times New Roman"/>
          <w:b/>
          <w:color w:val="002060"/>
          <w:szCs w:val="20"/>
        </w:rPr>
        <w:t>|T181|17|CSLL POSTERGADA DE PERÍODOS DE APURAÇÃO ANTERIOR</w:t>
      </w:r>
      <w:bookmarkStart w:id="354" w:name="BM18A/22"/>
      <w:bookmarkStart w:id="355" w:name="BM18A/23"/>
      <w:bookmarkStart w:id="356" w:name="BM18A/24"/>
      <w:bookmarkStart w:id="357" w:name="BM18A/25"/>
      <w:bookmarkStart w:id="358" w:name="BM18A/27"/>
      <w:bookmarkStart w:id="359" w:name="BM18A/30"/>
      <w:bookmarkEnd w:id="354"/>
      <w:bookmarkEnd w:id="355"/>
      <w:bookmarkEnd w:id="356"/>
      <w:bookmarkEnd w:id="357"/>
      <w:bookmarkEnd w:id="358"/>
      <w:bookmarkEnd w:id="359"/>
      <w:r w:rsidRPr="00FA3856">
        <w:rPr>
          <w:rFonts w:ascii="Times New Roman" w:hAnsi="Times New Roman"/>
          <w:b/>
          <w:color w:val="002060"/>
          <w:szCs w:val="20"/>
        </w:rPr>
        <w:t>ES|10000,00|</w:t>
      </w:r>
    </w:p>
    <w:p w:rsidR="00153E9B" w:rsidRPr="00FA3856" w:rsidRDefault="00153E9B" w:rsidP="00153E9B">
      <w:pPr>
        <w:pStyle w:val="Corpodetexto"/>
        <w:ind w:firstLine="708"/>
        <w:rPr>
          <w:rFonts w:ascii="Times New Roman" w:hAnsi="Times New Roman"/>
          <w:color w:val="002060"/>
          <w:szCs w:val="20"/>
        </w:rPr>
      </w:pPr>
      <w:r w:rsidRPr="00FA3856">
        <w:rPr>
          <w:rFonts w:ascii="Times New Roman" w:hAnsi="Times New Roman"/>
          <w:color w:val="002060"/>
          <w:szCs w:val="20"/>
        </w:rPr>
        <w:t>|T181|: Identificação do tipo do registro.</w:t>
      </w:r>
    </w:p>
    <w:p w:rsidR="00153E9B" w:rsidRPr="00FA3856" w:rsidRDefault="00153E9B" w:rsidP="00153E9B">
      <w:pPr>
        <w:pStyle w:val="Corpodetexto"/>
        <w:ind w:firstLine="708"/>
        <w:rPr>
          <w:rFonts w:ascii="Times New Roman" w:hAnsi="Times New Roman"/>
          <w:color w:val="002060"/>
          <w:szCs w:val="20"/>
        </w:rPr>
      </w:pPr>
      <w:r w:rsidRPr="00FA3856">
        <w:rPr>
          <w:rFonts w:ascii="Times New Roman" w:hAnsi="Times New Roman"/>
          <w:color w:val="002060"/>
          <w:szCs w:val="20"/>
        </w:rPr>
        <w:t>|17|: Código da linha.</w:t>
      </w:r>
      <w:r w:rsidRPr="00FA3856">
        <w:rPr>
          <w:rFonts w:ascii="Times New Roman" w:hAnsi="Times New Roman"/>
          <w:color w:val="002060"/>
          <w:szCs w:val="20"/>
        </w:rPr>
        <w:tab/>
      </w:r>
    </w:p>
    <w:p w:rsidR="00153E9B" w:rsidRPr="00FA3856" w:rsidRDefault="00153E9B" w:rsidP="00153E9B">
      <w:pPr>
        <w:pStyle w:val="Corpodetexto"/>
        <w:ind w:firstLine="708"/>
        <w:rPr>
          <w:rFonts w:ascii="Times New Roman" w:hAnsi="Times New Roman"/>
          <w:color w:val="002060"/>
          <w:szCs w:val="20"/>
        </w:rPr>
      </w:pPr>
      <w:r w:rsidRPr="00FA3856">
        <w:rPr>
          <w:rFonts w:ascii="Times New Roman" w:hAnsi="Times New Roman"/>
          <w:color w:val="002060"/>
          <w:szCs w:val="20"/>
        </w:rPr>
        <w:t>|CSLL POSTERGADA DE PERÍODOS DE APURAÇÃO ANTERIORES|: Descrição da linha.</w:t>
      </w:r>
    </w:p>
    <w:p w:rsidR="00153E9B" w:rsidRPr="00FA3856" w:rsidRDefault="00153E9B" w:rsidP="00153E9B">
      <w:pPr>
        <w:pStyle w:val="Corpodetexto"/>
        <w:ind w:firstLine="708"/>
        <w:rPr>
          <w:rFonts w:ascii="Times New Roman" w:hAnsi="Times New Roman"/>
          <w:color w:val="002060"/>
          <w:szCs w:val="20"/>
        </w:rPr>
      </w:pPr>
      <w:r w:rsidRPr="00FA3856">
        <w:rPr>
          <w:rFonts w:ascii="Times New Roman" w:hAnsi="Times New Roman"/>
          <w:color w:val="002060"/>
          <w:szCs w:val="20"/>
        </w:rPr>
        <w:t>|10000,00|: Valor da linha (R$ 10.000,00).</w:t>
      </w:r>
    </w:p>
    <w:p w:rsidR="00153E9B" w:rsidRPr="00FA3856" w:rsidRDefault="00153E9B" w:rsidP="00F11E71">
      <w:pPr>
        <w:pStyle w:val="Corpodetexto"/>
        <w:rPr>
          <w:rFonts w:ascii="Times New Roman" w:hAnsi="Times New Roman"/>
          <w:b/>
          <w:szCs w:val="20"/>
        </w:rPr>
      </w:pPr>
    </w:p>
    <w:p w:rsidR="0057762E" w:rsidRPr="00FA3856" w:rsidRDefault="0057762E">
      <w:pPr>
        <w:spacing w:after="200" w:line="276" w:lineRule="auto"/>
        <w:rPr>
          <w:b/>
          <w:bCs/>
          <w:color w:val="0000FF"/>
          <w:szCs w:val="20"/>
        </w:rPr>
      </w:pPr>
      <w:r w:rsidRPr="00FA3856">
        <w:rPr>
          <w:color w:val="0000FF"/>
          <w:szCs w:val="20"/>
        </w:rPr>
        <w:br w:type="page"/>
      </w:r>
    </w:p>
    <w:p w:rsidR="0086037A" w:rsidRPr="00FA3856" w:rsidRDefault="0086037A" w:rsidP="00867F54">
      <w:pPr>
        <w:pStyle w:val="Ttulo4"/>
      </w:pPr>
      <w:bookmarkStart w:id="360" w:name="_Toc479713775"/>
      <w:r w:rsidRPr="00FA3856">
        <w:lastRenderedPageBreak/>
        <w:t>Registro T990: Encerramento do Bloco T</w:t>
      </w:r>
      <w:bookmarkEnd w:id="360"/>
    </w:p>
    <w:p w:rsidR="0086037A" w:rsidRDefault="0086037A" w:rsidP="0086037A">
      <w:pPr>
        <w:pStyle w:val="PSDS-MarcadoresNivel2"/>
        <w:numPr>
          <w:ilvl w:val="0"/>
          <w:numId w:val="0"/>
        </w:numPr>
        <w:rPr>
          <w:rFonts w:ascii="Times New Roman" w:hAnsi="Times New Roman"/>
        </w:rPr>
      </w:pPr>
    </w:p>
    <w:p w:rsidR="0045042A" w:rsidRPr="00FA3856" w:rsidRDefault="00B35FA3" w:rsidP="0045042A">
      <w:pPr>
        <w:pStyle w:val="PSDS-MarcadoresNivel2"/>
        <w:numPr>
          <w:ilvl w:val="0"/>
          <w:numId w:val="0"/>
        </w:numPr>
        <w:jc w:val="center"/>
        <w:rPr>
          <w:rFonts w:ascii="Times New Roman" w:hAnsi="Times New Roman"/>
        </w:rPr>
      </w:pPr>
      <w:r>
        <w:rPr>
          <w:rFonts w:ascii="Times New Roman" w:hAnsi="Times New Roman"/>
        </w:rPr>
        <w:object w:dxaOrig="14160" w:dyaOrig="2310">
          <v:shape id="_x0000_i1825" type="#_x0000_t75" style="width:753.75pt;height:112.5pt" o:ole="">
            <v:imagedata r:id="rId542" o:title=""/>
          </v:shape>
          <o:OLEObject Type="Link" ProgID="Excel.Sheet.12" ShapeID="_x0000_i1825" DrawAspect="Content" r:id="rId543" UpdateMode="Always">
            <o:LinkType>EnhancedMetaFile</o:LinkType>
            <o:LockedField>false</o:LockedField>
          </o:OLEObject>
        </w:object>
      </w:r>
    </w:p>
    <w:p w:rsidR="0045042A" w:rsidRDefault="0045042A" w:rsidP="0057762E">
      <w:pPr>
        <w:pStyle w:val="Corpodetexto"/>
        <w:rPr>
          <w:rFonts w:ascii="Times New Roman" w:hAnsi="Times New Roman"/>
          <w:b/>
          <w:color w:val="002060"/>
          <w:szCs w:val="20"/>
        </w:rPr>
      </w:pPr>
    </w:p>
    <w:p w:rsidR="0045042A" w:rsidRDefault="0057762E" w:rsidP="0057762E">
      <w:pPr>
        <w:pStyle w:val="Corpodetexto"/>
        <w:rPr>
          <w:rFonts w:ascii="Times New Roman" w:hAnsi="Times New Roman"/>
          <w:b/>
          <w:color w:val="002060"/>
          <w:szCs w:val="20"/>
        </w:rPr>
      </w:pPr>
      <w:r w:rsidRPr="00FA3856">
        <w:rPr>
          <w:rFonts w:ascii="Times New Roman" w:hAnsi="Times New Roman"/>
          <w:b/>
          <w:color w:val="002060"/>
          <w:szCs w:val="20"/>
        </w:rPr>
        <w:t xml:space="preserve">Exemplo de Preenchimento: </w:t>
      </w:r>
    </w:p>
    <w:p w:rsidR="0045042A" w:rsidRDefault="0045042A" w:rsidP="0057762E">
      <w:pPr>
        <w:pStyle w:val="Corpodetexto"/>
        <w:rPr>
          <w:rFonts w:ascii="Times New Roman" w:hAnsi="Times New Roman"/>
          <w:b/>
          <w:color w:val="002060"/>
          <w:szCs w:val="20"/>
        </w:rPr>
      </w:pPr>
    </w:p>
    <w:p w:rsidR="0057762E" w:rsidRPr="00FA3856" w:rsidRDefault="0057762E" w:rsidP="0057762E">
      <w:pPr>
        <w:pStyle w:val="Corpodetexto"/>
        <w:rPr>
          <w:rFonts w:ascii="Times New Roman" w:hAnsi="Times New Roman"/>
          <w:b/>
          <w:color w:val="002060"/>
          <w:szCs w:val="20"/>
        </w:rPr>
      </w:pPr>
      <w:r w:rsidRPr="00FA3856">
        <w:rPr>
          <w:rFonts w:ascii="Times New Roman" w:hAnsi="Times New Roman"/>
          <w:b/>
          <w:color w:val="002060"/>
          <w:szCs w:val="20"/>
        </w:rPr>
        <w:t>|T990|1000|</w:t>
      </w:r>
    </w:p>
    <w:p w:rsidR="0057762E" w:rsidRPr="00FA3856" w:rsidRDefault="0057762E" w:rsidP="0057762E">
      <w:pPr>
        <w:pStyle w:val="Corpodetexto"/>
        <w:ind w:firstLine="708"/>
        <w:rPr>
          <w:rFonts w:ascii="Times New Roman" w:hAnsi="Times New Roman"/>
          <w:color w:val="002060"/>
          <w:szCs w:val="20"/>
        </w:rPr>
      </w:pPr>
      <w:r w:rsidRPr="00FA3856">
        <w:rPr>
          <w:rFonts w:ascii="Times New Roman" w:hAnsi="Times New Roman"/>
          <w:color w:val="002060"/>
          <w:szCs w:val="20"/>
        </w:rPr>
        <w:t>|T990|: Identificação do tipo do registro.</w:t>
      </w:r>
    </w:p>
    <w:p w:rsidR="0057762E" w:rsidRPr="00FA3856" w:rsidRDefault="0057762E" w:rsidP="0057762E">
      <w:pPr>
        <w:pStyle w:val="Corpodetexto"/>
        <w:ind w:firstLine="708"/>
        <w:rPr>
          <w:rFonts w:ascii="Times New Roman" w:hAnsi="Times New Roman"/>
          <w:color w:val="002060"/>
          <w:szCs w:val="20"/>
        </w:rPr>
      </w:pPr>
      <w:r w:rsidRPr="00FA3856">
        <w:rPr>
          <w:rFonts w:ascii="Times New Roman" w:hAnsi="Times New Roman"/>
          <w:color w:val="002060"/>
          <w:szCs w:val="20"/>
        </w:rPr>
        <w:t>|1000|: A quantidade total de registros do Bloco T é 1.000 (mil registros).</w:t>
      </w:r>
    </w:p>
    <w:p w:rsidR="004B24EE" w:rsidRPr="00FA3856" w:rsidRDefault="004B24EE">
      <w:pPr>
        <w:rPr>
          <w:b/>
          <w:bCs/>
          <w:color w:val="0000FF"/>
          <w:szCs w:val="20"/>
        </w:rPr>
      </w:pPr>
      <w:r w:rsidRPr="00FA3856">
        <w:rPr>
          <w:color w:val="0000FF"/>
          <w:szCs w:val="20"/>
        </w:rPr>
        <w:br w:type="page"/>
      </w:r>
    </w:p>
    <w:p w:rsidR="00F11E71" w:rsidRPr="00FA3856" w:rsidRDefault="00F11E71" w:rsidP="00867F54">
      <w:pPr>
        <w:pStyle w:val="Ttulo3"/>
      </w:pPr>
      <w:bookmarkStart w:id="361" w:name="_Toc479713776"/>
      <w:r w:rsidRPr="00FA3856">
        <w:lastRenderedPageBreak/>
        <w:t>Bloco U: Imunes e Isentas</w:t>
      </w:r>
      <w:bookmarkEnd w:id="361"/>
    </w:p>
    <w:p w:rsidR="00F11E71" w:rsidRPr="00FA3856" w:rsidRDefault="00F11E71" w:rsidP="00F11E71">
      <w:pPr>
        <w:pStyle w:val="PSDS-MarcadoresNivel3"/>
        <w:tabs>
          <w:tab w:val="clear" w:pos="1440"/>
        </w:tabs>
        <w:spacing w:before="0" w:after="0"/>
        <w:ind w:left="0" w:firstLine="0"/>
        <w:rPr>
          <w:rFonts w:ascii="Times New Roman" w:hAnsi="Times New Roman" w:cs="Times New Roman"/>
          <w:color w:val="0000FF"/>
          <w:szCs w:val="20"/>
        </w:rPr>
      </w:pPr>
    </w:p>
    <w:p w:rsidR="00E27341" w:rsidRPr="00FA3856" w:rsidRDefault="00E27341" w:rsidP="00E27341">
      <w:pPr>
        <w:pStyle w:val="NormalWeb"/>
        <w:spacing w:before="0" w:after="0"/>
        <w:jc w:val="both"/>
        <w:rPr>
          <w:rFonts w:ascii="Times New Roman" w:hAnsi="Times New Roman" w:cs="Times New Roman"/>
          <w:b/>
          <w:bCs/>
          <w:szCs w:val="20"/>
        </w:rPr>
      </w:pPr>
      <w:r w:rsidRPr="00FA3856">
        <w:rPr>
          <w:rFonts w:ascii="Times New Roman" w:hAnsi="Times New Roman" w:cs="Times New Roman"/>
          <w:b/>
          <w:bCs/>
          <w:szCs w:val="20"/>
        </w:rPr>
        <w:t>I) Pessoa Jurídica Imune:</w:t>
      </w:r>
    </w:p>
    <w:p w:rsidR="00D80608" w:rsidRPr="00FA3856" w:rsidRDefault="00D80608" w:rsidP="00E27341">
      <w:pPr>
        <w:pStyle w:val="NormalWeb"/>
        <w:spacing w:before="0" w:after="0"/>
        <w:jc w:val="both"/>
        <w:rPr>
          <w:rFonts w:ascii="Times New Roman" w:hAnsi="Times New Roman" w:cs="Times New Roman"/>
          <w:szCs w:val="20"/>
        </w:rPr>
      </w:pPr>
      <w:r w:rsidRPr="00FA3856">
        <w:rPr>
          <w:rFonts w:ascii="Times New Roman" w:hAnsi="Times New Roman" w:cs="Times New Roman"/>
          <w:szCs w:val="20"/>
        </w:rPr>
        <w:t> </w:t>
      </w:r>
    </w:p>
    <w:p w:rsidR="00D80608" w:rsidRPr="00FA3856" w:rsidRDefault="00D80608" w:rsidP="00E27341">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t>I</w:t>
      </w:r>
      <w:r w:rsidR="00E27341" w:rsidRPr="00FA3856">
        <w:rPr>
          <w:rFonts w:ascii="Times New Roman" w:hAnsi="Times New Roman" w:cs="Times New Roman"/>
          <w:b/>
          <w:bCs/>
          <w:szCs w:val="20"/>
        </w:rPr>
        <w:t>.1)</w:t>
      </w:r>
      <w:r w:rsidRPr="00FA3856">
        <w:rPr>
          <w:rFonts w:ascii="Times New Roman" w:hAnsi="Times New Roman" w:cs="Times New Roman"/>
          <w:b/>
          <w:bCs/>
          <w:szCs w:val="20"/>
        </w:rPr>
        <w:t xml:space="preserve"> São imunes do imposto sobre a renda:</w:t>
      </w:r>
    </w:p>
    <w:p w:rsidR="00E27341" w:rsidRPr="00FA3856" w:rsidRDefault="00E27341" w:rsidP="00E27341">
      <w:pPr>
        <w:pStyle w:val="NormalWeb"/>
        <w:spacing w:before="0" w:after="0"/>
        <w:jc w:val="both"/>
        <w:rPr>
          <w:rFonts w:ascii="Times New Roman" w:hAnsi="Times New Roman" w:cs="Times New Roman"/>
          <w:szCs w:val="20"/>
        </w:rPr>
      </w:pPr>
    </w:p>
    <w:p w:rsidR="00D80608" w:rsidRPr="00FA3856" w:rsidRDefault="00D80608" w:rsidP="00E27341">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os templos de qualquer culto (CF/1988, art. 150, VI, "b");</w:t>
      </w:r>
    </w:p>
    <w:p w:rsidR="00D80608" w:rsidRPr="00FA3856" w:rsidRDefault="00D80608" w:rsidP="00E27341">
      <w:pPr>
        <w:pStyle w:val="NormalWeb"/>
        <w:spacing w:before="0" w:after="0"/>
        <w:ind w:left="708"/>
        <w:jc w:val="both"/>
        <w:rPr>
          <w:rFonts w:ascii="Times New Roman" w:hAnsi="Times New Roman" w:cs="Times New Roman"/>
          <w:szCs w:val="20"/>
        </w:rPr>
      </w:pPr>
      <w:r w:rsidRPr="00FA3856">
        <w:rPr>
          <w:rFonts w:ascii="Times New Roman" w:hAnsi="Times New Roman" w:cs="Times New Roman"/>
          <w:szCs w:val="20"/>
        </w:rPr>
        <w:t>b) os partidos políticos, inclusive suas fundações, e as entidades sindicais de trabalhadores, sem fins lucrativos (CF/1988, art. 150, VI, "c"), desde que observado o disposto no art. 169 do Decreto n</w:t>
      </w:r>
      <w:r w:rsidRPr="00FA3856">
        <w:rPr>
          <w:rFonts w:ascii="Times New Roman" w:hAnsi="Times New Roman" w:cs="Times New Roman"/>
          <w:strike/>
          <w:szCs w:val="20"/>
        </w:rPr>
        <w:t>º</w:t>
      </w:r>
      <w:r w:rsidRPr="00FA3856">
        <w:rPr>
          <w:rFonts w:ascii="Times New Roman" w:hAnsi="Times New Roman" w:cs="Times New Roman"/>
          <w:szCs w:val="20"/>
        </w:rPr>
        <w:t xml:space="preserve"> 3.000, de 1999.</w:t>
      </w:r>
    </w:p>
    <w:p w:rsidR="00E27341" w:rsidRPr="00FA3856" w:rsidRDefault="00E27341" w:rsidP="00E27341">
      <w:pPr>
        <w:pStyle w:val="NormalWeb"/>
        <w:spacing w:before="0" w:after="0"/>
        <w:jc w:val="both"/>
        <w:rPr>
          <w:rFonts w:ascii="Times New Roman" w:hAnsi="Times New Roman" w:cs="Times New Roman"/>
          <w:szCs w:val="20"/>
        </w:rPr>
      </w:pPr>
    </w:p>
    <w:p w:rsidR="00D80608" w:rsidRPr="00FA3856" w:rsidRDefault="00D80608" w:rsidP="00E27341">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 xml:space="preserve">As instituições de educação e as de assistência social, para efeito do disposto no art. 150, VI, "c", da Constituição Federal, são consideradas imunes desde que prestem os serviços para os quais houverem sido instituídas e os coloquem à disposição da população em geral, em caráter complementar às atividades do Estado, sem fins lucrativos. </w:t>
      </w:r>
    </w:p>
    <w:p w:rsidR="00E27341" w:rsidRPr="00FA3856" w:rsidRDefault="00E27341" w:rsidP="00E27341">
      <w:pPr>
        <w:pStyle w:val="NormalWeb"/>
        <w:spacing w:before="0" w:after="0"/>
        <w:jc w:val="both"/>
        <w:rPr>
          <w:rFonts w:ascii="Times New Roman" w:hAnsi="Times New Roman" w:cs="Times New Roman"/>
          <w:szCs w:val="20"/>
        </w:rPr>
      </w:pPr>
    </w:p>
    <w:p w:rsidR="00D80608" w:rsidRPr="00FA3856" w:rsidRDefault="00D80608" w:rsidP="00E27341">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Considera-se entidade sem fins lucrativos a instituição de educação e de assistência social que não apresente superávit em suas contas ou, caso o apresente em determinado exercício, destine referido resultado integralmente à manutenção e ao desenvolvimento dos seus objetivos sociais (Lei n</w:t>
      </w:r>
      <w:r w:rsidRPr="00FA3856">
        <w:rPr>
          <w:rFonts w:ascii="Times New Roman" w:hAnsi="Times New Roman" w:cs="Times New Roman"/>
          <w:strike/>
          <w:szCs w:val="20"/>
        </w:rPr>
        <w:t>º</w:t>
      </w:r>
      <w:r w:rsidRPr="00FA3856">
        <w:rPr>
          <w:rFonts w:ascii="Times New Roman" w:hAnsi="Times New Roman" w:cs="Times New Roman"/>
          <w:szCs w:val="20"/>
        </w:rPr>
        <w:t xml:space="preserve"> 9.718, de 1998, art. 10).</w:t>
      </w:r>
    </w:p>
    <w:p w:rsidR="00E27341" w:rsidRPr="00FA3856" w:rsidRDefault="00E27341" w:rsidP="00E27341">
      <w:pPr>
        <w:pStyle w:val="NormalWeb"/>
        <w:spacing w:before="0" w:after="0"/>
        <w:jc w:val="both"/>
        <w:rPr>
          <w:rFonts w:ascii="Times New Roman" w:hAnsi="Times New Roman" w:cs="Times New Roman"/>
          <w:szCs w:val="20"/>
        </w:rPr>
      </w:pPr>
    </w:p>
    <w:p w:rsidR="00D80608" w:rsidRPr="00FA3856" w:rsidRDefault="00D80608" w:rsidP="00E27341">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Para o gozo da imunidade, as instituições citadas no parágrafo anterior estão obrigadas a atender aos seguintes requisitos:</w:t>
      </w:r>
    </w:p>
    <w:p w:rsidR="00E27341" w:rsidRPr="00FA3856" w:rsidRDefault="00E27341" w:rsidP="00E27341">
      <w:pPr>
        <w:pStyle w:val="NormalWeb"/>
        <w:spacing w:before="0" w:after="0"/>
        <w:jc w:val="both"/>
        <w:rPr>
          <w:rFonts w:ascii="Times New Roman" w:hAnsi="Times New Roman" w:cs="Times New Roman"/>
          <w:szCs w:val="20"/>
        </w:rPr>
      </w:pPr>
    </w:p>
    <w:p w:rsidR="00D80608" w:rsidRPr="00FA3856" w:rsidRDefault="00D80608" w:rsidP="00E27341">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 não remunerar, por qualquer forma, seus dirigentes pelos serviços prestados;</w:t>
      </w:r>
    </w:p>
    <w:p w:rsidR="00D80608" w:rsidRPr="00FA3856" w:rsidRDefault="00D80608" w:rsidP="00E27341">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b) aplicar integralmente seus recursos na manutenção e desenvolvimento dos seus objetivos sociais;</w:t>
      </w:r>
    </w:p>
    <w:p w:rsidR="00D80608" w:rsidRPr="00FA3856" w:rsidRDefault="00D80608" w:rsidP="00E27341">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c) manter escrituração completa de suas receitas e despesas em livros revestidos das formalidades que assegurem a respectiva exatidão;</w:t>
      </w:r>
    </w:p>
    <w:p w:rsidR="00D80608" w:rsidRPr="00FA3856" w:rsidRDefault="00D80608" w:rsidP="00E27341">
      <w:pPr>
        <w:pStyle w:val="NormalWeb"/>
        <w:spacing w:before="0" w:after="0"/>
        <w:ind w:left="708"/>
        <w:jc w:val="both"/>
        <w:rPr>
          <w:rFonts w:ascii="Times New Roman" w:hAnsi="Times New Roman" w:cs="Times New Roman"/>
          <w:szCs w:val="20"/>
        </w:rPr>
      </w:pPr>
      <w:r w:rsidRPr="00FA3856">
        <w:rPr>
          <w:rFonts w:ascii="Times New Roman" w:hAnsi="Times New Roman" w:cs="Times New Roman"/>
          <w:szCs w:val="20"/>
        </w:rPr>
        <w:t>d) conservar em boa ordem, até que estejam prescritas eventuais ações que lhes sejam pertinentes, os documentos que comprovem a origem de suas receitas e a efetivação de suas despesas e a realização de quaisquer outros atos ou operações que venham a modificar sua situação patrimonial;</w:t>
      </w:r>
    </w:p>
    <w:p w:rsidR="00D80608" w:rsidRPr="00FA3856" w:rsidRDefault="00D80608" w:rsidP="00E27341">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 xml:space="preserve">e) apresentar, anualmente, a </w:t>
      </w:r>
      <w:r w:rsidR="00553BFA" w:rsidRPr="00FA3856">
        <w:rPr>
          <w:rFonts w:ascii="Times New Roman" w:hAnsi="Times New Roman" w:cs="Times New Roman"/>
          <w:szCs w:val="20"/>
        </w:rPr>
        <w:t>ECF</w:t>
      </w:r>
      <w:r w:rsidRPr="00FA3856">
        <w:rPr>
          <w:rFonts w:ascii="Times New Roman" w:hAnsi="Times New Roman" w:cs="Times New Roman"/>
          <w:szCs w:val="20"/>
        </w:rPr>
        <w:t>, em conformidade com o disposto em ato</w:t>
      </w:r>
      <w:bookmarkStart w:id="362" w:name="BM18A/26"/>
      <w:bookmarkEnd w:id="362"/>
      <w:r w:rsidRPr="00FA3856">
        <w:rPr>
          <w:rFonts w:ascii="Times New Roman" w:hAnsi="Times New Roman" w:cs="Times New Roman"/>
          <w:szCs w:val="20"/>
        </w:rPr>
        <w:t xml:space="preserve"> da Secretaria da Receita Federal do Brasil;</w:t>
      </w:r>
    </w:p>
    <w:p w:rsidR="00D80608" w:rsidRPr="00FA3856" w:rsidRDefault="00D80608" w:rsidP="00E27341">
      <w:pPr>
        <w:pStyle w:val="NormalWeb"/>
        <w:spacing w:before="0" w:after="0"/>
        <w:ind w:left="708"/>
        <w:jc w:val="both"/>
        <w:rPr>
          <w:rFonts w:ascii="Times New Roman" w:hAnsi="Times New Roman" w:cs="Times New Roman"/>
          <w:szCs w:val="20"/>
        </w:rPr>
      </w:pPr>
      <w:r w:rsidRPr="00FA3856">
        <w:rPr>
          <w:rFonts w:ascii="Times New Roman" w:hAnsi="Times New Roman" w:cs="Times New Roman"/>
          <w:szCs w:val="20"/>
        </w:rPr>
        <w:t>f) recolher os tributos retidos sobre os rendimentos por elas pagos ou creditados e a contribuição para a seguridade social relativa aos empregados, bem assim cumprir as obrigações acessórias daí decorrentes;</w:t>
      </w:r>
    </w:p>
    <w:p w:rsidR="00D80608" w:rsidRPr="00FA3856" w:rsidRDefault="00D80608" w:rsidP="00E27341">
      <w:pPr>
        <w:pStyle w:val="NormalWeb"/>
        <w:spacing w:before="0" w:after="0"/>
        <w:ind w:left="708"/>
        <w:jc w:val="both"/>
        <w:rPr>
          <w:rFonts w:ascii="Times New Roman" w:hAnsi="Times New Roman" w:cs="Times New Roman"/>
          <w:szCs w:val="20"/>
        </w:rPr>
      </w:pPr>
      <w:r w:rsidRPr="00FA3856">
        <w:rPr>
          <w:rFonts w:ascii="Times New Roman" w:hAnsi="Times New Roman" w:cs="Times New Roman"/>
          <w:szCs w:val="20"/>
        </w:rPr>
        <w:t>g) assegurar a destinação de seu patrimônio a outra instituição que atenda às condições para gozo da imunidade, no caso de incorporação, fusão, cisão ou de extinção da pessoa jurídica, ou a órgão público.</w:t>
      </w:r>
    </w:p>
    <w:p w:rsidR="00D80608" w:rsidRPr="00FA3856" w:rsidRDefault="00D80608" w:rsidP="00E27341">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h) outros requisitos, estabelecidos em lei específica, relacionados com o funcionamento das entidades citadas.</w:t>
      </w:r>
    </w:p>
    <w:p w:rsidR="00D80608" w:rsidRPr="00FA3856" w:rsidRDefault="00D80608" w:rsidP="00E27341">
      <w:pPr>
        <w:pStyle w:val="NormalWeb"/>
        <w:spacing w:before="0" w:after="0"/>
        <w:jc w:val="both"/>
        <w:rPr>
          <w:rFonts w:ascii="Times New Roman" w:hAnsi="Times New Roman" w:cs="Times New Roman"/>
          <w:b/>
          <w:bCs/>
          <w:szCs w:val="20"/>
        </w:rPr>
      </w:pPr>
      <w:r w:rsidRPr="00FA3856">
        <w:rPr>
          <w:rFonts w:ascii="Times New Roman" w:hAnsi="Times New Roman" w:cs="Times New Roman"/>
          <w:b/>
          <w:bCs/>
          <w:szCs w:val="20"/>
        </w:rPr>
        <w:t> </w:t>
      </w:r>
    </w:p>
    <w:p w:rsidR="00E27341" w:rsidRPr="00FA3856" w:rsidRDefault="00E27341">
      <w:pPr>
        <w:spacing w:after="200" w:line="276" w:lineRule="auto"/>
        <w:rPr>
          <w:rFonts w:eastAsia="Arial Unicode MS"/>
          <w:b/>
          <w:bCs/>
          <w:szCs w:val="20"/>
          <w:lang w:eastAsia="ar-SA"/>
        </w:rPr>
      </w:pPr>
      <w:r w:rsidRPr="00FA3856">
        <w:rPr>
          <w:b/>
          <w:bCs/>
          <w:szCs w:val="20"/>
        </w:rPr>
        <w:br w:type="page"/>
      </w:r>
    </w:p>
    <w:p w:rsidR="00D80608" w:rsidRPr="00FA3856" w:rsidRDefault="00E27341" w:rsidP="00E27341">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lastRenderedPageBreak/>
        <w:t>I.2)</w:t>
      </w:r>
      <w:r w:rsidR="00D80608" w:rsidRPr="00FA3856">
        <w:rPr>
          <w:rFonts w:ascii="Times New Roman" w:hAnsi="Times New Roman" w:cs="Times New Roman"/>
          <w:b/>
          <w:bCs/>
          <w:szCs w:val="20"/>
        </w:rPr>
        <w:t xml:space="preserve"> São imunes da CSLL</w:t>
      </w:r>
      <w:r w:rsidR="00D80608" w:rsidRPr="00FA3856">
        <w:rPr>
          <w:rFonts w:ascii="Times New Roman" w:hAnsi="Times New Roman" w:cs="Times New Roman"/>
          <w:szCs w:val="20"/>
        </w:rPr>
        <w:t>:</w:t>
      </w:r>
    </w:p>
    <w:p w:rsidR="00E27341" w:rsidRPr="00FA3856" w:rsidRDefault="00E27341" w:rsidP="00E27341">
      <w:pPr>
        <w:pStyle w:val="NormalWeb"/>
        <w:spacing w:before="0" w:after="0"/>
        <w:jc w:val="both"/>
        <w:rPr>
          <w:rFonts w:ascii="Times New Roman" w:hAnsi="Times New Roman" w:cs="Times New Roman"/>
          <w:szCs w:val="20"/>
        </w:rPr>
      </w:pPr>
    </w:p>
    <w:p w:rsidR="00D80608" w:rsidRPr="00FA3856" w:rsidRDefault="00D80608" w:rsidP="00E27341">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As entidades beneficentes de assistência social (Constituição Federal, art.195, § 7</w:t>
      </w:r>
      <w:r w:rsidRPr="00FA3856">
        <w:rPr>
          <w:rFonts w:ascii="Times New Roman" w:hAnsi="Times New Roman" w:cs="Times New Roman"/>
          <w:strike/>
          <w:szCs w:val="20"/>
        </w:rPr>
        <w:t>º</w:t>
      </w:r>
      <w:r w:rsidRPr="00FA3856">
        <w:rPr>
          <w:rFonts w:ascii="Times New Roman" w:hAnsi="Times New Roman" w:cs="Times New Roman"/>
          <w:szCs w:val="20"/>
        </w:rPr>
        <w:t>), as quais além dos requisitos exigidos para gozo da imunidade do IRPJ, deverão atender aos seguintes requisitos cumulativamente:</w:t>
      </w:r>
    </w:p>
    <w:p w:rsidR="00E27341" w:rsidRPr="00FA3856" w:rsidRDefault="00E27341" w:rsidP="00E27341">
      <w:pPr>
        <w:pStyle w:val="NormalWeb"/>
        <w:spacing w:before="0" w:after="0"/>
        <w:jc w:val="both"/>
        <w:rPr>
          <w:rFonts w:ascii="Times New Roman" w:hAnsi="Times New Roman" w:cs="Times New Roman"/>
          <w:szCs w:val="20"/>
        </w:rPr>
      </w:pPr>
    </w:p>
    <w:p w:rsidR="00D80608" w:rsidRPr="00FA3856" w:rsidRDefault="00D80608" w:rsidP="00E27341">
      <w:pPr>
        <w:pStyle w:val="NormalWeb"/>
        <w:spacing w:before="0" w:after="0"/>
        <w:ind w:left="708"/>
        <w:jc w:val="both"/>
        <w:rPr>
          <w:rFonts w:ascii="Times New Roman" w:hAnsi="Times New Roman" w:cs="Times New Roman"/>
          <w:szCs w:val="20"/>
        </w:rPr>
      </w:pPr>
      <w:r w:rsidRPr="00FA3856">
        <w:rPr>
          <w:rFonts w:ascii="Times New Roman" w:hAnsi="Times New Roman" w:cs="Times New Roman"/>
          <w:szCs w:val="20"/>
        </w:rPr>
        <w:t>a) seja reconhecida como de utilidade pública federal e estadual ou do Distrito Federal ou municipal;</w:t>
      </w:r>
    </w:p>
    <w:p w:rsidR="00D80608" w:rsidRPr="00FA3856" w:rsidRDefault="00D80608" w:rsidP="00E27341">
      <w:pPr>
        <w:pStyle w:val="NormalWeb"/>
        <w:spacing w:before="0" w:after="0"/>
        <w:ind w:left="708"/>
        <w:jc w:val="both"/>
        <w:rPr>
          <w:rFonts w:ascii="Times New Roman" w:hAnsi="Times New Roman" w:cs="Times New Roman"/>
          <w:szCs w:val="20"/>
        </w:rPr>
      </w:pPr>
      <w:r w:rsidRPr="00FA3856">
        <w:rPr>
          <w:rFonts w:ascii="Times New Roman" w:hAnsi="Times New Roman" w:cs="Times New Roman"/>
          <w:szCs w:val="20"/>
        </w:rPr>
        <w:t xml:space="preserve">b) seja portadora do Registro e do Certificado de Entidade Beneficente de Assistência Social, fornecidos pelos Ministérios </w:t>
      </w:r>
      <w:r w:rsidRPr="00FA3856">
        <w:rPr>
          <w:rFonts w:ascii="Times New Roman" w:hAnsi="Times New Roman" w:cs="Times New Roman"/>
          <w:color w:val="000000"/>
          <w:szCs w:val="20"/>
        </w:rPr>
        <w:t>do Desenvolvimento Social e Combate à Fome,</w:t>
      </w:r>
      <w:bookmarkStart w:id="363" w:name="BM18A/31"/>
      <w:bookmarkStart w:id="364" w:name="BM18A/32"/>
      <w:bookmarkStart w:id="365" w:name="BM18A/33"/>
      <w:bookmarkStart w:id="366" w:name="BM18A/34"/>
      <w:bookmarkStart w:id="367" w:name="BM18A/35"/>
      <w:bookmarkStart w:id="368" w:name="BM18A/36"/>
      <w:bookmarkStart w:id="369" w:name="BM18A/37"/>
      <w:bookmarkEnd w:id="363"/>
      <w:bookmarkEnd w:id="364"/>
      <w:bookmarkEnd w:id="365"/>
      <w:bookmarkEnd w:id="366"/>
      <w:bookmarkEnd w:id="367"/>
      <w:bookmarkEnd w:id="368"/>
      <w:bookmarkEnd w:id="369"/>
      <w:r w:rsidRPr="00FA3856">
        <w:rPr>
          <w:rFonts w:ascii="Times New Roman" w:hAnsi="Times New Roman" w:cs="Times New Roman"/>
          <w:szCs w:val="20"/>
        </w:rPr>
        <w:t xml:space="preserve"> da Saúde ou da Educação, de acordo com as respectivas áreas de atuação;</w:t>
      </w:r>
    </w:p>
    <w:p w:rsidR="00D80608" w:rsidRPr="00FA3856" w:rsidRDefault="00D80608" w:rsidP="00E27341">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c) atenda, cumulativamente, aos seguintes requisitos:</w:t>
      </w:r>
    </w:p>
    <w:p w:rsidR="00E27341" w:rsidRPr="00FA3856" w:rsidRDefault="00E27341" w:rsidP="00E27341">
      <w:pPr>
        <w:pStyle w:val="NormalWeb"/>
        <w:spacing w:before="0" w:after="0"/>
        <w:jc w:val="both"/>
        <w:rPr>
          <w:rFonts w:ascii="Times New Roman" w:hAnsi="Times New Roman" w:cs="Times New Roman"/>
          <w:szCs w:val="20"/>
        </w:rPr>
      </w:pPr>
    </w:p>
    <w:p w:rsidR="00D80608" w:rsidRPr="00FA3856" w:rsidRDefault="00D80608" w:rsidP="00E27341">
      <w:pPr>
        <w:pStyle w:val="NormalWeb"/>
        <w:spacing w:before="0" w:after="0"/>
        <w:ind w:left="1416"/>
        <w:jc w:val="both"/>
        <w:rPr>
          <w:rFonts w:ascii="Times New Roman" w:hAnsi="Times New Roman" w:cs="Times New Roman"/>
          <w:szCs w:val="20"/>
        </w:rPr>
      </w:pPr>
      <w:r w:rsidRPr="00FA3856">
        <w:rPr>
          <w:rFonts w:ascii="Times New Roman" w:hAnsi="Times New Roman" w:cs="Times New Roman"/>
          <w:szCs w:val="20"/>
        </w:rPr>
        <w:t>1 - não percebam seus diretores, conselheiros, sócios, instituidores ou benfeitores, remuneração, vantagens ou benefícios, direta ou indiretamente, por qualquer forma ou título, em razão das competências, funções ou atividades que lhes sejam atribuídas pelos respectivos atos constitutivos;</w:t>
      </w:r>
    </w:p>
    <w:p w:rsidR="00D80608" w:rsidRPr="00FA3856" w:rsidRDefault="00D80608" w:rsidP="00E27341">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2 - aplique suas rendas, seus recursos e eventual superávit integralmente no território nacional, na manutenção e desenvolvimento de seus objetivos institucionais;</w:t>
      </w:r>
    </w:p>
    <w:p w:rsidR="00D80608" w:rsidRPr="00FA3856" w:rsidRDefault="00D80608" w:rsidP="00E27341">
      <w:pPr>
        <w:pStyle w:val="NormalWeb"/>
        <w:spacing w:before="0" w:after="0"/>
        <w:ind w:left="1416"/>
        <w:jc w:val="both"/>
        <w:rPr>
          <w:rFonts w:ascii="Times New Roman" w:hAnsi="Times New Roman" w:cs="Times New Roman"/>
          <w:szCs w:val="20"/>
        </w:rPr>
      </w:pPr>
      <w:r w:rsidRPr="00FA3856">
        <w:rPr>
          <w:rFonts w:ascii="Times New Roman" w:hAnsi="Times New Roman" w:cs="Times New Roman"/>
          <w:szCs w:val="20"/>
        </w:rPr>
        <w:t>3 - apresente certidão negativa ou certidão positiva com efeito de negativa de débitos relativos aos tributos administrados pela Secretaria da Receita Federal do Brasil e certificado de regularidade do Fundo de Garantia do Tempo de Serviço - FGTS;</w:t>
      </w:r>
    </w:p>
    <w:p w:rsidR="00D80608" w:rsidRPr="00FA3856" w:rsidRDefault="00D80608" w:rsidP="00E27341">
      <w:pPr>
        <w:pStyle w:val="NormalWeb"/>
        <w:spacing w:before="0" w:after="0"/>
        <w:ind w:left="1416"/>
        <w:jc w:val="both"/>
        <w:rPr>
          <w:rFonts w:ascii="Times New Roman" w:hAnsi="Times New Roman" w:cs="Times New Roman"/>
          <w:szCs w:val="20"/>
        </w:rPr>
      </w:pPr>
      <w:r w:rsidRPr="00FA3856">
        <w:rPr>
          <w:rFonts w:ascii="Times New Roman" w:hAnsi="Times New Roman" w:cs="Times New Roman"/>
          <w:szCs w:val="20"/>
        </w:rPr>
        <w:t>4 - mantenha escrituração contábil regular que registre as receitas e despesas, bem como a aplicação em gratuidade de forma segregada, em consonância com as normas emanadas do Conselho Federal de Contabilidade;</w:t>
      </w:r>
    </w:p>
    <w:p w:rsidR="00D80608" w:rsidRPr="00FA3856" w:rsidRDefault="00D80608" w:rsidP="00E27341">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5 - não distribua resultados, dividendos, bonificações, participações ou parcelas do seu patrimônio, sob qualquer forma ou pretexto;</w:t>
      </w:r>
    </w:p>
    <w:p w:rsidR="00D80608" w:rsidRPr="00FA3856" w:rsidRDefault="00D80608" w:rsidP="00E27341">
      <w:pPr>
        <w:pStyle w:val="NormalWeb"/>
        <w:spacing w:before="0" w:after="0"/>
        <w:ind w:left="1416"/>
        <w:jc w:val="both"/>
        <w:rPr>
          <w:rFonts w:ascii="Times New Roman" w:hAnsi="Times New Roman" w:cs="Times New Roman"/>
          <w:szCs w:val="20"/>
        </w:rPr>
      </w:pPr>
      <w:r w:rsidRPr="00FA3856">
        <w:rPr>
          <w:rFonts w:ascii="Times New Roman" w:hAnsi="Times New Roman" w:cs="Times New Roman"/>
          <w:szCs w:val="20"/>
        </w:rPr>
        <w:t xml:space="preserve">6 - conserve em boa ordem, pelo prazo de 10 (dez) anos, contado da data da emissão, os documentos que comprovem a origem e a aplicação de seus recursos e os relativos a atos ou </w:t>
      </w:r>
      <w:r w:rsidR="0063733D" w:rsidRPr="00FA3856">
        <w:rPr>
          <w:rFonts w:ascii="Times New Roman" w:hAnsi="Times New Roman" w:cs="Times New Roman"/>
          <w:szCs w:val="20"/>
        </w:rPr>
        <w:t>operações realizadas</w:t>
      </w:r>
      <w:r w:rsidRPr="00FA3856">
        <w:rPr>
          <w:rFonts w:ascii="Times New Roman" w:hAnsi="Times New Roman" w:cs="Times New Roman"/>
          <w:szCs w:val="20"/>
        </w:rPr>
        <w:t xml:space="preserve"> que impliquem modificação da situação patrimonial;</w:t>
      </w:r>
    </w:p>
    <w:p w:rsidR="00D80608" w:rsidRPr="00FA3856" w:rsidRDefault="00D80608" w:rsidP="00E27341">
      <w:pPr>
        <w:pStyle w:val="NormalWeb"/>
        <w:spacing w:before="0" w:after="0"/>
        <w:ind w:left="708" w:firstLine="708"/>
        <w:jc w:val="both"/>
        <w:rPr>
          <w:rFonts w:ascii="Times New Roman" w:hAnsi="Times New Roman" w:cs="Times New Roman"/>
          <w:szCs w:val="20"/>
        </w:rPr>
      </w:pPr>
      <w:r w:rsidRPr="00FA3856">
        <w:rPr>
          <w:rFonts w:ascii="Times New Roman" w:hAnsi="Times New Roman" w:cs="Times New Roman"/>
          <w:szCs w:val="20"/>
        </w:rPr>
        <w:t>7 - cumpra as obrigações acessórias estabelecidas na legislação tributária;</w:t>
      </w:r>
    </w:p>
    <w:p w:rsidR="00D80608" w:rsidRPr="00DF20F8" w:rsidRDefault="00D80608" w:rsidP="00E27341">
      <w:pPr>
        <w:pStyle w:val="NormalWeb"/>
        <w:spacing w:before="0" w:after="0"/>
        <w:ind w:left="1416"/>
        <w:jc w:val="both"/>
        <w:rPr>
          <w:rFonts w:ascii="Times New Roman" w:hAnsi="Times New Roman" w:cs="Times New Roman"/>
          <w:szCs w:val="20"/>
        </w:rPr>
      </w:pPr>
      <w:r w:rsidRPr="00FA3856">
        <w:rPr>
          <w:rFonts w:ascii="Times New Roman" w:hAnsi="Times New Roman" w:cs="Times New Roman"/>
          <w:szCs w:val="20"/>
        </w:rPr>
        <w:t xml:space="preserve">8 - apresente as demonstrações contábeis e financeiras devidamente auditadas por auditor independente legalmente habilitado nos Conselhos Regionais de Contabilidade quando a receita bruta anual auferida for superior ao limite fixado pela </w:t>
      </w:r>
      <w:hyperlink r:id="rId544" w:history="1">
        <w:r w:rsidRPr="00DF20F8">
          <w:rPr>
            <w:rStyle w:val="Hyperlink"/>
            <w:rFonts w:ascii="Times New Roman" w:hAnsi="Times New Roman" w:cs="Times New Roman"/>
            <w:color w:val="auto"/>
            <w:szCs w:val="20"/>
          </w:rPr>
          <w:t>Lei Complementar n</w:t>
        </w:r>
        <w:r w:rsidRPr="00DF20F8">
          <w:rPr>
            <w:rStyle w:val="Hyperlink"/>
            <w:rFonts w:ascii="Times New Roman" w:hAnsi="Times New Roman" w:cs="Times New Roman"/>
            <w:strike/>
            <w:color w:val="auto"/>
            <w:szCs w:val="20"/>
          </w:rPr>
          <w:t>º</w:t>
        </w:r>
        <w:r w:rsidR="00DF20F8" w:rsidRPr="00DF20F8">
          <w:rPr>
            <w:rStyle w:val="Hyperlink"/>
            <w:rFonts w:ascii="Times New Roman" w:hAnsi="Times New Roman" w:cs="Times New Roman"/>
            <w:color w:val="auto"/>
            <w:szCs w:val="20"/>
          </w:rPr>
          <w:t xml:space="preserve"> 123, de 14 de dezembro de 2006</w:t>
        </w:r>
        <w:r w:rsidRPr="00DF20F8">
          <w:rPr>
            <w:rStyle w:val="Hyperlink"/>
            <w:rFonts w:ascii="Times New Roman" w:hAnsi="Times New Roman" w:cs="Times New Roman"/>
            <w:color w:val="auto"/>
            <w:szCs w:val="20"/>
          </w:rPr>
          <w:t>.</w:t>
        </w:r>
      </w:hyperlink>
    </w:p>
    <w:p w:rsidR="00E27341" w:rsidRPr="00DF20F8" w:rsidRDefault="00E27341" w:rsidP="00E27341">
      <w:pPr>
        <w:pStyle w:val="NormalWeb"/>
        <w:spacing w:before="0" w:after="0"/>
        <w:ind w:left="600"/>
        <w:jc w:val="both"/>
        <w:rPr>
          <w:rFonts w:ascii="Times New Roman" w:hAnsi="Times New Roman" w:cs="Times New Roman"/>
          <w:b/>
          <w:bCs/>
          <w:szCs w:val="20"/>
        </w:rPr>
      </w:pPr>
    </w:p>
    <w:p w:rsidR="00D80608" w:rsidRPr="00FA3856" w:rsidRDefault="00D80608" w:rsidP="00E27341">
      <w:pPr>
        <w:pStyle w:val="NormalWeb"/>
        <w:spacing w:before="0" w:after="0"/>
        <w:ind w:left="600"/>
        <w:jc w:val="both"/>
        <w:rPr>
          <w:rFonts w:ascii="Times New Roman" w:hAnsi="Times New Roman" w:cs="Times New Roman"/>
          <w:b/>
          <w:bCs/>
          <w:szCs w:val="20"/>
        </w:rPr>
      </w:pPr>
      <w:r w:rsidRPr="00FA3856">
        <w:rPr>
          <w:rFonts w:ascii="Times New Roman" w:hAnsi="Times New Roman" w:cs="Times New Roman"/>
          <w:b/>
          <w:bCs/>
          <w:szCs w:val="20"/>
        </w:rPr>
        <w:t>Atenção:</w:t>
      </w:r>
    </w:p>
    <w:p w:rsidR="00E27341" w:rsidRPr="00FA3856" w:rsidRDefault="00E27341" w:rsidP="00E27341">
      <w:pPr>
        <w:pStyle w:val="NormalWeb"/>
        <w:spacing w:before="0" w:after="0"/>
        <w:ind w:left="600"/>
        <w:jc w:val="both"/>
        <w:rPr>
          <w:rFonts w:ascii="Times New Roman" w:hAnsi="Times New Roman" w:cs="Times New Roman"/>
          <w:szCs w:val="20"/>
        </w:rPr>
      </w:pPr>
    </w:p>
    <w:p w:rsidR="00D80608" w:rsidRPr="00FA3856" w:rsidRDefault="00D80608" w:rsidP="00E27341">
      <w:pPr>
        <w:pStyle w:val="NormalWeb"/>
        <w:spacing w:before="0" w:after="0"/>
        <w:ind w:left="600"/>
        <w:jc w:val="both"/>
        <w:rPr>
          <w:rFonts w:ascii="Times New Roman" w:hAnsi="Times New Roman" w:cs="Times New Roman"/>
          <w:szCs w:val="20"/>
        </w:rPr>
      </w:pPr>
      <w:r w:rsidRPr="00FA3856">
        <w:rPr>
          <w:rFonts w:ascii="Times New Roman" w:hAnsi="Times New Roman" w:cs="Times New Roman"/>
          <w:szCs w:val="20"/>
        </w:rPr>
        <w:t>1) O direito à imunidade da CSLL poderá ser exercido pela entidade a contar da data da publicação da concessão da certificação, desde que atendido os requisitos indicados anteriormente.</w:t>
      </w:r>
    </w:p>
    <w:p w:rsidR="00D80608" w:rsidRPr="00FA3856" w:rsidRDefault="00D80608" w:rsidP="00E27341">
      <w:pPr>
        <w:pStyle w:val="NormalWeb"/>
        <w:spacing w:before="0" w:after="0"/>
        <w:ind w:left="600"/>
        <w:jc w:val="both"/>
        <w:rPr>
          <w:rFonts w:ascii="Times New Roman" w:hAnsi="Times New Roman" w:cs="Times New Roman"/>
          <w:szCs w:val="20"/>
        </w:rPr>
      </w:pPr>
      <w:r w:rsidRPr="00FA3856">
        <w:rPr>
          <w:rFonts w:ascii="Times New Roman" w:hAnsi="Times New Roman" w:cs="Times New Roman"/>
          <w:szCs w:val="20"/>
        </w:rPr>
        <w:t>2) Constatado o descumprimento pela entidade dos requisitos indicados, a fiscalização da Secretaria da Receita Federal do Brasil lavrará o auto de infração relativo ao período correspondente e relatará os fatos que demonstram o não atendimento de tais requisitos para o gozo da imunidade.</w:t>
      </w:r>
    </w:p>
    <w:p w:rsidR="00D80608" w:rsidRPr="00FA3856" w:rsidRDefault="00D80608" w:rsidP="00E27341">
      <w:pPr>
        <w:pStyle w:val="NormalWeb"/>
        <w:spacing w:before="0" w:after="0"/>
        <w:ind w:left="600"/>
        <w:jc w:val="both"/>
        <w:rPr>
          <w:rFonts w:ascii="Times New Roman" w:hAnsi="Times New Roman" w:cs="Times New Roman"/>
          <w:szCs w:val="20"/>
        </w:rPr>
      </w:pPr>
      <w:r w:rsidRPr="00FA3856">
        <w:rPr>
          <w:rFonts w:ascii="Times New Roman" w:hAnsi="Times New Roman" w:cs="Times New Roman"/>
          <w:szCs w:val="20"/>
        </w:rPr>
        <w:t>3) Considerar-se-á automaticamente suspenso o direito à imunidade da CSLL durante o período em que se constatar o descumprimento de requisito para gozo da imunidade, devendo o lançamento correspondente ter como termo inicial a data da ocorrência da infração que lhe deu causa.</w:t>
      </w:r>
    </w:p>
    <w:p w:rsidR="00D80608" w:rsidRPr="00FA3856" w:rsidRDefault="00D80608" w:rsidP="00E27341">
      <w:pPr>
        <w:pStyle w:val="NormalWeb"/>
        <w:spacing w:before="0" w:after="0"/>
        <w:ind w:left="600"/>
        <w:jc w:val="both"/>
        <w:rPr>
          <w:rFonts w:ascii="Times New Roman" w:hAnsi="Times New Roman" w:cs="Times New Roman"/>
          <w:szCs w:val="20"/>
        </w:rPr>
      </w:pPr>
      <w:r w:rsidRPr="00FA3856">
        <w:rPr>
          <w:rFonts w:ascii="Times New Roman" w:hAnsi="Times New Roman" w:cs="Times New Roman"/>
          <w:szCs w:val="20"/>
        </w:rPr>
        <w:t>4) As entidades sem fins lucrativos de que trata o inciso I do art. 12 do Decreto n</w:t>
      </w:r>
      <w:r w:rsidRPr="00FA3856">
        <w:rPr>
          <w:rFonts w:ascii="Times New Roman" w:hAnsi="Times New Roman" w:cs="Times New Roman"/>
          <w:strike/>
          <w:szCs w:val="20"/>
        </w:rPr>
        <w:t>º</w:t>
      </w:r>
      <w:r w:rsidRPr="00FA3856">
        <w:rPr>
          <w:rFonts w:ascii="Times New Roman" w:hAnsi="Times New Roman" w:cs="Times New Roman"/>
          <w:szCs w:val="20"/>
        </w:rPr>
        <w:t xml:space="preserve"> 3.048, de 06 de maio de 1999, que não se enquadrem nas condições para gozo da imunidade devem apurar a base de cálculo e a CSLL devida nos termos da legislação comercial e fiscal.</w:t>
      </w:r>
    </w:p>
    <w:p w:rsidR="00D80608" w:rsidRPr="00FA3856" w:rsidRDefault="00D80608" w:rsidP="00E27341">
      <w:pPr>
        <w:pStyle w:val="NormalWeb"/>
        <w:spacing w:before="0" w:after="0"/>
        <w:ind w:left="600"/>
        <w:jc w:val="both"/>
        <w:rPr>
          <w:rFonts w:ascii="Times New Roman" w:hAnsi="Times New Roman" w:cs="Times New Roman"/>
          <w:szCs w:val="20"/>
        </w:rPr>
      </w:pPr>
      <w:r w:rsidRPr="00FA3856">
        <w:rPr>
          <w:rFonts w:ascii="Times New Roman" w:hAnsi="Times New Roman" w:cs="Times New Roman"/>
          <w:szCs w:val="20"/>
        </w:rPr>
        <w:t> </w:t>
      </w:r>
    </w:p>
    <w:p w:rsidR="00E27341" w:rsidRPr="00FA3856" w:rsidRDefault="00E27341">
      <w:pPr>
        <w:spacing w:after="200" w:line="276" w:lineRule="auto"/>
        <w:rPr>
          <w:b/>
          <w:bCs/>
          <w:szCs w:val="20"/>
        </w:rPr>
      </w:pPr>
      <w:r w:rsidRPr="00FA3856">
        <w:rPr>
          <w:b/>
          <w:bCs/>
          <w:szCs w:val="20"/>
        </w:rPr>
        <w:br w:type="page"/>
      </w:r>
    </w:p>
    <w:p w:rsidR="00D80608" w:rsidRPr="00FA3856" w:rsidRDefault="00E27341" w:rsidP="00E27341">
      <w:pPr>
        <w:jc w:val="both"/>
        <w:rPr>
          <w:szCs w:val="20"/>
        </w:rPr>
      </w:pPr>
      <w:r w:rsidRPr="00FA3856">
        <w:rPr>
          <w:b/>
          <w:bCs/>
          <w:szCs w:val="20"/>
        </w:rPr>
        <w:lastRenderedPageBreak/>
        <w:t>II)</w:t>
      </w:r>
      <w:r w:rsidR="00D80608" w:rsidRPr="00FA3856">
        <w:rPr>
          <w:b/>
          <w:bCs/>
          <w:szCs w:val="20"/>
        </w:rPr>
        <w:t xml:space="preserve"> Pessoa Jurídica Isenta</w:t>
      </w:r>
    </w:p>
    <w:p w:rsidR="00D80608" w:rsidRPr="00FA3856" w:rsidRDefault="00D80608" w:rsidP="00E27341">
      <w:pPr>
        <w:jc w:val="both"/>
        <w:rPr>
          <w:szCs w:val="20"/>
        </w:rPr>
      </w:pPr>
      <w:r w:rsidRPr="00FA3856">
        <w:rPr>
          <w:szCs w:val="20"/>
        </w:rPr>
        <w:t> </w:t>
      </w:r>
    </w:p>
    <w:p w:rsidR="00D80608" w:rsidRPr="00FA3856" w:rsidRDefault="00D80608" w:rsidP="00E27341">
      <w:pPr>
        <w:ind w:firstLine="708"/>
        <w:jc w:val="both"/>
        <w:rPr>
          <w:szCs w:val="20"/>
        </w:rPr>
      </w:pPr>
      <w:r w:rsidRPr="00FA3856">
        <w:rPr>
          <w:szCs w:val="20"/>
        </w:rPr>
        <w:t>Consideram-se isentas do imposto sobre a renda as instituições de caráter filantrópico, recreativo, cultural e científico e as associações civis que prestem os serviços para os quais houverem sido instituídas e os coloquem à disposição do grupo de pessoas a que se destinam, sem fins lucrativos (Lei n</w:t>
      </w:r>
      <w:r w:rsidRPr="00FA3856">
        <w:rPr>
          <w:strike/>
          <w:szCs w:val="20"/>
        </w:rPr>
        <w:t>º</w:t>
      </w:r>
      <w:r w:rsidRPr="00FA3856">
        <w:rPr>
          <w:szCs w:val="20"/>
        </w:rPr>
        <w:t xml:space="preserve"> 9.532, de 1997).</w:t>
      </w:r>
    </w:p>
    <w:p w:rsidR="00D80608" w:rsidRPr="00FA3856" w:rsidRDefault="00D80608" w:rsidP="00E27341">
      <w:pPr>
        <w:jc w:val="both"/>
        <w:rPr>
          <w:szCs w:val="20"/>
        </w:rPr>
      </w:pPr>
      <w:r w:rsidRPr="00FA3856">
        <w:rPr>
          <w:szCs w:val="20"/>
        </w:rPr>
        <w:t xml:space="preserve">A isenção aplica-se, exclusivamente, em relação ao imposto sobre a renda da pessoa jurídica e à contribuição social sobre o lucro líquido, observado o disposto no parágrafo </w:t>
      </w:r>
      <w:r w:rsidR="0063733D" w:rsidRPr="00FA3856">
        <w:rPr>
          <w:szCs w:val="20"/>
        </w:rPr>
        <w:t>subsequente</w:t>
      </w:r>
      <w:r w:rsidRPr="00FA3856">
        <w:rPr>
          <w:szCs w:val="20"/>
        </w:rPr>
        <w:t>.</w:t>
      </w:r>
    </w:p>
    <w:p w:rsidR="00E27341" w:rsidRPr="00FA3856" w:rsidRDefault="00E27341" w:rsidP="00E27341">
      <w:pPr>
        <w:ind w:left="600"/>
        <w:jc w:val="both"/>
        <w:rPr>
          <w:b/>
          <w:bCs/>
          <w:szCs w:val="20"/>
        </w:rPr>
      </w:pPr>
    </w:p>
    <w:p w:rsidR="00D80608" w:rsidRPr="00FA3856" w:rsidRDefault="00D80608" w:rsidP="00E27341">
      <w:pPr>
        <w:ind w:left="600"/>
        <w:jc w:val="both"/>
        <w:rPr>
          <w:szCs w:val="20"/>
        </w:rPr>
      </w:pPr>
      <w:r w:rsidRPr="00FA3856">
        <w:rPr>
          <w:b/>
          <w:bCs/>
          <w:szCs w:val="20"/>
        </w:rPr>
        <w:t>Atenção:</w:t>
      </w:r>
    </w:p>
    <w:p w:rsidR="00E27341" w:rsidRPr="00FA3856" w:rsidRDefault="00E27341" w:rsidP="00E27341">
      <w:pPr>
        <w:ind w:left="600"/>
        <w:jc w:val="both"/>
        <w:rPr>
          <w:szCs w:val="20"/>
        </w:rPr>
      </w:pPr>
    </w:p>
    <w:p w:rsidR="00D80608" w:rsidRPr="00FA3856" w:rsidRDefault="00D80608" w:rsidP="00E27341">
      <w:pPr>
        <w:ind w:left="600"/>
        <w:jc w:val="both"/>
        <w:rPr>
          <w:szCs w:val="20"/>
        </w:rPr>
      </w:pPr>
      <w:r w:rsidRPr="00FA3856">
        <w:rPr>
          <w:szCs w:val="20"/>
        </w:rPr>
        <w:t>1) As entidades sem fins lucrativos de que trata o inciso I do art. 12 do Decreto n</w:t>
      </w:r>
      <w:r w:rsidRPr="00FA3856">
        <w:rPr>
          <w:strike/>
          <w:szCs w:val="20"/>
        </w:rPr>
        <w:t>º</w:t>
      </w:r>
      <w:r w:rsidRPr="00FA3856">
        <w:rPr>
          <w:szCs w:val="20"/>
        </w:rPr>
        <w:t xml:space="preserve"> 3.048, de 06 de maio de 1999, que não se enquadrem na imunidade ou isenção da Lei n</w:t>
      </w:r>
      <w:r w:rsidRPr="00FA3856">
        <w:rPr>
          <w:strike/>
          <w:szCs w:val="20"/>
        </w:rPr>
        <w:t>º</w:t>
      </w:r>
      <w:r w:rsidRPr="00FA3856">
        <w:rPr>
          <w:szCs w:val="20"/>
        </w:rPr>
        <w:t xml:space="preserve"> 9.532, de 1997, devem apurar a base de cálculo e a CSLL devida nos termos da legislação comercial e fiscal.</w:t>
      </w:r>
    </w:p>
    <w:p w:rsidR="00D80608" w:rsidRPr="00FA3856" w:rsidRDefault="00D80608" w:rsidP="00E27341">
      <w:pPr>
        <w:ind w:left="600"/>
        <w:jc w:val="both"/>
        <w:rPr>
          <w:szCs w:val="20"/>
        </w:rPr>
      </w:pPr>
      <w:r w:rsidRPr="00FA3856">
        <w:rPr>
          <w:szCs w:val="20"/>
        </w:rPr>
        <w:t>2) As associações de poupança e empréstimo estão isentas do imposto sobre a renda, mas são contribuintes da contribuição social sobre o lucro líquido.</w:t>
      </w:r>
    </w:p>
    <w:p w:rsidR="00D80608" w:rsidRPr="00FA3856" w:rsidRDefault="00D80608" w:rsidP="00E27341">
      <w:pPr>
        <w:ind w:left="600"/>
        <w:jc w:val="both"/>
        <w:rPr>
          <w:szCs w:val="20"/>
        </w:rPr>
      </w:pPr>
      <w:r w:rsidRPr="00FA3856">
        <w:rPr>
          <w:szCs w:val="20"/>
        </w:rPr>
        <w:t>3) As entidades sujeitas à planificação contábil própria apurarão a CSLL de acordo com essa planificação.</w:t>
      </w:r>
    </w:p>
    <w:p w:rsidR="00D80608" w:rsidRPr="00FA3856" w:rsidRDefault="00D80608" w:rsidP="00E27341">
      <w:pPr>
        <w:ind w:left="600"/>
        <w:jc w:val="both"/>
        <w:rPr>
          <w:szCs w:val="20"/>
        </w:rPr>
      </w:pPr>
      <w:r w:rsidRPr="00FA3856">
        <w:rPr>
          <w:szCs w:val="20"/>
        </w:rPr>
        <w:t> </w:t>
      </w:r>
    </w:p>
    <w:p w:rsidR="00D80608" w:rsidRPr="00FA3856" w:rsidRDefault="00D80608" w:rsidP="00E27341">
      <w:pPr>
        <w:ind w:firstLine="600"/>
        <w:jc w:val="both"/>
        <w:rPr>
          <w:szCs w:val="20"/>
        </w:rPr>
      </w:pPr>
      <w:r w:rsidRPr="00FA3856">
        <w:rPr>
          <w:szCs w:val="20"/>
        </w:rPr>
        <w:t>Não estão abrangidos pela isenção do imposto sobre a renda os rendimentos e ganhos de capital auferidos em aplicações financeiras de renda fixa ou de renda variável e os juros de capital distribuídos.</w:t>
      </w:r>
    </w:p>
    <w:p w:rsidR="00D80608" w:rsidRPr="00FA3856" w:rsidRDefault="00D80608" w:rsidP="00E27341">
      <w:pPr>
        <w:jc w:val="both"/>
        <w:rPr>
          <w:szCs w:val="20"/>
        </w:rPr>
      </w:pPr>
      <w:r w:rsidRPr="00FA3856">
        <w:rPr>
          <w:szCs w:val="20"/>
        </w:rPr>
        <w:t> </w:t>
      </w:r>
    </w:p>
    <w:p w:rsidR="00D80608" w:rsidRPr="00FA3856" w:rsidRDefault="00D80608" w:rsidP="00E27341">
      <w:pPr>
        <w:ind w:firstLine="600"/>
        <w:jc w:val="both"/>
        <w:rPr>
          <w:szCs w:val="20"/>
        </w:rPr>
      </w:pPr>
      <w:r w:rsidRPr="00FA3856">
        <w:rPr>
          <w:szCs w:val="20"/>
        </w:rPr>
        <w:t>Para o gozo da isenção, as instituições citadas estão obrigadas a atender aos seguintes requisitos:</w:t>
      </w:r>
    </w:p>
    <w:p w:rsidR="00E27341" w:rsidRPr="00FA3856" w:rsidRDefault="00E27341" w:rsidP="00E27341">
      <w:pPr>
        <w:jc w:val="both"/>
        <w:rPr>
          <w:szCs w:val="20"/>
        </w:rPr>
      </w:pPr>
    </w:p>
    <w:p w:rsidR="00D80608" w:rsidRPr="00FA3856" w:rsidRDefault="00D80608" w:rsidP="00E27341">
      <w:pPr>
        <w:ind w:left="708" w:firstLine="708"/>
        <w:jc w:val="both"/>
        <w:rPr>
          <w:szCs w:val="20"/>
        </w:rPr>
      </w:pPr>
      <w:r w:rsidRPr="00FA3856">
        <w:rPr>
          <w:szCs w:val="20"/>
        </w:rPr>
        <w:t>a) não remunerar, por qualquer forma, seus dirigentes pelos serviços prestados;</w:t>
      </w:r>
    </w:p>
    <w:p w:rsidR="00D80608" w:rsidRPr="00FA3856" w:rsidRDefault="00D80608" w:rsidP="00E27341">
      <w:pPr>
        <w:ind w:left="708" w:firstLine="708"/>
        <w:jc w:val="both"/>
        <w:rPr>
          <w:szCs w:val="20"/>
        </w:rPr>
      </w:pPr>
      <w:r w:rsidRPr="00FA3856">
        <w:rPr>
          <w:szCs w:val="20"/>
        </w:rPr>
        <w:t>b) aplicar integralmente seus recursos na manutenção e desenvolvimento dos seus objetivos sociais;</w:t>
      </w:r>
    </w:p>
    <w:p w:rsidR="00D80608" w:rsidRPr="00FA3856" w:rsidRDefault="00D80608" w:rsidP="00E27341">
      <w:pPr>
        <w:ind w:left="708" w:firstLine="708"/>
        <w:jc w:val="both"/>
        <w:rPr>
          <w:szCs w:val="20"/>
        </w:rPr>
      </w:pPr>
      <w:r w:rsidRPr="00FA3856">
        <w:rPr>
          <w:szCs w:val="20"/>
        </w:rPr>
        <w:t>c) manter escrituração completa de suas receitas e despesas em livros revestidos das formalidades que assegurem a respectiva exatidão;</w:t>
      </w:r>
    </w:p>
    <w:p w:rsidR="00D80608" w:rsidRPr="00FA3856" w:rsidRDefault="00D80608" w:rsidP="00E27341">
      <w:pPr>
        <w:ind w:left="1416"/>
        <w:jc w:val="both"/>
        <w:rPr>
          <w:szCs w:val="20"/>
        </w:rPr>
      </w:pPr>
      <w:r w:rsidRPr="00FA3856">
        <w:rPr>
          <w:szCs w:val="20"/>
        </w:rPr>
        <w:t>d) conservar em boa ordem, até que estejam prescritas eventuais ações que lhes sejam pertinentes, os documentos que comprovem a origem de suas receitas e a efetivação de suas despesas e a realização de quaisquer outros atos ou operações que venham a modificar sua situação patrimonial;</w:t>
      </w:r>
    </w:p>
    <w:p w:rsidR="00D80608" w:rsidRPr="00FA3856" w:rsidRDefault="00D80608" w:rsidP="00E27341">
      <w:pPr>
        <w:ind w:left="708" w:firstLine="708"/>
        <w:jc w:val="both"/>
        <w:rPr>
          <w:szCs w:val="20"/>
        </w:rPr>
      </w:pPr>
      <w:r w:rsidRPr="00FA3856">
        <w:rPr>
          <w:szCs w:val="20"/>
        </w:rPr>
        <w:t xml:space="preserve">e) apresentar, anualmente, </w:t>
      </w:r>
      <w:r w:rsidR="00553BFA" w:rsidRPr="00FA3856">
        <w:rPr>
          <w:szCs w:val="20"/>
        </w:rPr>
        <w:t>ECF</w:t>
      </w:r>
      <w:r w:rsidRPr="00FA3856">
        <w:rPr>
          <w:szCs w:val="20"/>
        </w:rPr>
        <w:t>, em conformidade com o disposto em ato da Secretaria da Receita Federal do Brasil.</w:t>
      </w:r>
    </w:p>
    <w:p w:rsidR="00D80608" w:rsidRPr="00FA3856" w:rsidRDefault="00D80608" w:rsidP="00E27341">
      <w:pPr>
        <w:jc w:val="both"/>
        <w:rPr>
          <w:szCs w:val="20"/>
        </w:rPr>
      </w:pPr>
      <w:r w:rsidRPr="00FA3856">
        <w:rPr>
          <w:szCs w:val="20"/>
        </w:rPr>
        <w:t> </w:t>
      </w:r>
    </w:p>
    <w:p w:rsidR="00D80608" w:rsidRPr="00FA3856" w:rsidRDefault="00D80608" w:rsidP="00E27341">
      <w:pPr>
        <w:ind w:firstLine="708"/>
        <w:jc w:val="both"/>
        <w:rPr>
          <w:szCs w:val="20"/>
        </w:rPr>
      </w:pPr>
      <w:r w:rsidRPr="00FA3856">
        <w:rPr>
          <w:szCs w:val="20"/>
        </w:rPr>
        <w:t>As instituições de caráter filantrópico, recreativo, cultural e científico deverão assegurar a destinação de seu patrimônio a outra instituição que atenda às condições para gozo da isenção, no caso de incorporação, fusão, cisão ou de encerramento de suas atividades, ou a órgão público.</w:t>
      </w:r>
    </w:p>
    <w:p w:rsidR="00D80608" w:rsidRPr="00FA3856" w:rsidRDefault="00D80608" w:rsidP="00E27341">
      <w:pPr>
        <w:jc w:val="both"/>
        <w:rPr>
          <w:szCs w:val="20"/>
        </w:rPr>
      </w:pPr>
      <w:r w:rsidRPr="00FA3856">
        <w:rPr>
          <w:szCs w:val="20"/>
        </w:rPr>
        <w:t> </w:t>
      </w:r>
    </w:p>
    <w:p w:rsidR="00E27341" w:rsidRPr="00FA3856" w:rsidRDefault="00E27341">
      <w:pPr>
        <w:spacing w:after="200" w:line="276" w:lineRule="auto"/>
        <w:rPr>
          <w:rFonts w:eastAsia="Arial Unicode MS"/>
          <w:b/>
          <w:bCs/>
          <w:szCs w:val="20"/>
          <w:lang w:eastAsia="ar-SA"/>
        </w:rPr>
      </w:pPr>
      <w:r w:rsidRPr="00FA3856">
        <w:rPr>
          <w:b/>
          <w:bCs/>
          <w:szCs w:val="20"/>
        </w:rPr>
        <w:br w:type="page"/>
      </w:r>
    </w:p>
    <w:p w:rsidR="00D80608" w:rsidRPr="00FA3856" w:rsidRDefault="00E27341" w:rsidP="00E27341">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lastRenderedPageBreak/>
        <w:t xml:space="preserve">III) </w:t>
      </w:r>
      <w:r w:rsidR="00D80608" w:rsidRPr="00FA3856">
        <w:rPr>
          <w:rFonts w:ascii="Times New Roman" w:hAnsi="Times New Roman" w:cs="Times New Roman"/>
          <w:b/>
          <w:bCs/>
          <w:szCs w:val="20"/>
        </w:rPr>
        <w:t>Desenquadramento da Imunidade ou da Isenção</w:t>
      </w:r>
    </w:p>
    <w:p w:rsidR="00D80608" w:rsidRPr="00FA3856" w:rsidRDefault="00D80608" w:rsidP="00E27341">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t> </w:t>
      </w:r>
    </w:p>
    <w:p w:rsidR="00D80608" w:rsidRPr="00FA3856" w:rsidRDefault="00E27341" w:rsidP="00E27341">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t xml:space="preserve">III.1) </w:t>
      </w:r>
      <w:r w:rsidR="00D80608" w:rsidRPr="00FA3856">
        <w:rPr>
          <w:rFonts w:ascii="Times New Roman" w:hAnsi="Times New Roman" w:cs="Times New Roman"/>
          <w:b/>
          <w:bCs/>
          <w:szCs w:val="20"/>
        </w:rPr>
        <w:t>Desenquadramento da Imunidade ou da Isenção IRPJ</w:t>
      </w:r>
    </w:p>
    <w:p w:rsidR="00E27341" w:rsidRPr="00FA3856" w:rsidRDefault="00E27341" w:rsidP="00E27341">
      <w:pPr>
        <w:pStyle w:val="NormalWeb"/>
        <w:spacing w:before="0" w:after="0"/>
        <w:jc w:val="both"/>
        <w:rPr>
          <w:rFonts w:ascii="Times New Roman" w:hAnsi="Times New Roman" w:cs="Times New Roman"/>
          <w:szCs w:val="20"/>
        </w:rPr>
      </w:pPr>
    </w:p>
    <w:p w:rsidR="00D80608" w:rsidRPr="00FA3856" w:rsidRDefault="00D80608" w:rsidP="00E27341">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Sem prejuízo das demais penalidades previstas na lei, a RFB suspenderá o gozo da imunidade ou da isenção relativamente aos anos-calendário em que a pessoa jurídica houver praticado ou, por qualquer forma, houver contribuído para a prática de ato que constitua infração a dispositivo da legislação tributária, especialmente no caso de informar ou declarar falsamente, omitir ou simular o recebimento de doações em bens ou em dinheiro ou, de qualquer forma, cooperar para que terceiro sonegue tributos ou pratique ilícitos fiscais.</w:t>
      </w:r>
    </w:p>
    <w:p w:rsidR="00E27341" w:rsidRPr="00FA3856" w:rsidRDefault="00E27341" w:rsidP="00E27341">
      <w:pPr>
        <w:pStyle w:val="NormalWeb"/>
        <w:spacing w:before="0" w:after="0"/>
        <w:jc w:val="both"/>
        <w:rPr>
          <w:rFonts w:ascii="Times New Roman" w:hAnsi="Times New Roman" w:cs="Times New Roman"/>
          <w:szCs w:val="20"/>
        </w:rPr>
      </w:pPr>
    </w:p>
    <w:p w:rsidR="00D80608" w:rsidRPr="00FA3856" w:rsidRDefault="00D80608" w:rsidP="00E27341">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Considera-se, também, infração a dispositivo da legislação tributária, o pagamento, pela instituição imune, em favor de seus associados ou dirigentes, ou, ainda, em favor de sócios, acionistas ou dirigentes de pessoa jurídica a ela associada por qualquer forma, de despesas consideradas indedutíveis na determinação da base de cálculo do imposto sobre a renda ou da contribuição social sobre o lucro líquido.</w:t>
      </w:r>
    </w:p>
    <w:p w:rsidR="00E27341" w:rsidRPr="00FA3856" w:rsidRDefault="00E27341" w:rsidP="00E27341">
      <w:pPr>
        <w:pStyle w:val="NormalWeb"/>
        <w:spacing w:before="0" w:after="0"/>
        <w:jc w:val="both"/>
        <w:rPr>
          <w:rFonts w:ascii="Times New Roman" w:hAnsi="Times New Roman" w:cs="Times New Roman"/>
          <w:szCs w:val="20"/>
        </w:rPr>
      </w:pPr>
    </w:p>
    <w:p w:rsidR="00D80608" w:rsidRPr="00FA3856" w:rsidRDefault="00D80608" w:rsidP="00E27341">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À suspensão do gozo da imunidade ou da isenção aplica-se o disposto no art. 32 da Lei n</w:t>
      </w:r>
      <w:r w:rsidRPr="00FA3856">
        <w:rPr>
          <w:rFonts w:ascii="Times New Roman" w:hAnsi="Times New Roman" w:cs="Times New Roman"/>
          <w:strike/>
          <w:szCs w:val="20"/>
        </w:rPr>
        <w:t>º</w:t>
      </w:r>
      <w:r w:rsidRPr="00FA3856">
        <w:rPr>
          <w:rFonts w:ascii="Times New Roman" w:hAnsi="Times New Roman" w:cs="Times New Roman"/>
          <w:szCs w:val="20"/>
        </w:rPr>
        <w:t xml:space="preserve"> 9.430, de 1996.</w:t>
      </w:r>
    </w:p>
    <w:p w:rsidR="00D80608" w:rsidRPr="00FA3856" w:rsidRDefault="00D80608" w:rsidP="00E27341">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t> </w:t>
      </w:r>
    </w:p>
    <w:p w:rsidR="00D80608" w:rsidRPr="00FA3856" w:rsidRDefault="00E27341" w:rsidP="00E27341">
      <w:pPr>
        <w:pStyle w:val="NormalWeb"/>
        <w:spacing w:before="0" w:after="0"/>
        <w:jc w:val="both"/>
        <w:rPr>
          <w:rFonts w:ascii="Times New Roman" w:hAnsi="Times New Roman" w:cs="Times New Roman"/>
          <w:szCs w:val="20"/>
        </w:rPr>
      </w:pPr>
      <w:r w:rsidRPr="00FA3856">
        <w:rPr>
          <w:rFonts w:ascii="Times New Roman" w:hAnsi="Times New Roman" w:cs="Times New Roman"/>
          <w:b/>
          <w:bCs/>
          <w:szCs w:val="20"/>
        </w:rPr>
        <w:t xml:space="preserve">III.2) </w:t>
      </w:r>
      <w:r w:rsidR="00D80608" w:rsidRPr="00FA3856">
        <w:rPr>
          <w:rFonts w:ascii="Times New Roman" w:hAnsi="Times New Roman" w:cs="Times New Roman"/>
          <w:b/>
          <w:bCs/>
          <w:szCs w:val="20"/>
        </w:rPr>
        <w:t>Desenquadramento da Imunidade da CSLL</w:t>
      </w:r>
    </w:p>
    <w:p w:rsidR="00E27341" w:rsidRPr="00FA3856" w:rsidRDefault="00E27341" w:rsidP="00E27341">
      <w:pPr>
        <w:pStyle w:val="NormalWeb"/>
        <w:spacing w:before="0" w:after="0"/>
        <w:jc w:val="both"/>
        <w:rPr>
          <w:rFonts w:ascii="Times New Roman" w:hAnsi="Times New Roman" w:cs="Times New Roman"/>
          <w:szCs w:val="20"/>
        </w:rPr>
      </w:pPr>
    </w:p>
    <w:p w:rsidR="00D80608" w:rsidRPr="00FA3856" w:rsidRDefault="00D80608" w:rsidP="00E27341">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 xml:space="preserve">Sem prejuízo das demais penalidades previstas na lei e do disposto no item </w:t>
      </w:r>
      <w:r w:rsidR="00E27341" w:rsidRPr="00FA3856">
        <w:rPr>
          <w:rFonts w:ascii="Times New Roman" w:hAnsi="Times New Roman" w:cs="Times New Roman"/>
          <w:szCs w:val="20"/>
        </w:rPr>
        <w:t>III.1</w:t>
      </w:r>
      <w:r w:rsidRPr="00FA3856">
        <w:rPr>
          <w:rFonts w:ascii="Times New Roman" w:hAnsi="Times New Roman" w:cs="Times New Roman"/>
          <w:szCs w:val="20"/>
        </w:rPr>
        <w:t xml:space="preserve">, constatado o descumprimento pela entidade dos requisitos para gozo da imunidade da CSLL, indicados no </w:t>
      </w:r>
      <w:hyperlink r:id="rId545" w:history="1">
        <w:r w:rsidR="00E27341" w:rsidRPr="00FA3856">
          <w:rPr>
            <w:rStyle w:val="Hyperlink"/>
            <w:rFonts w:ascii="Times New Roman" w:hAnsi="Times New Roman" w:cs="Times New Roman"/>
            <w:color w:val="auto"/>
            <w:szCs w:val="20"/>
          </w:rPr>
          <w:t>item</w:t>
        </w:r>
      </w:hyperlink>
      <w:r w:rsidR="00E27341" w:rsidRPr="00FA3856">
        <w:rPr>
          <w:rFonts w:ascii="Times New Roman" w:hAnsi="Times New Roman" w:cs="Times New Roman"/>
          <w:szCs w:val="20"/>
        </w:rPr>
        <w:t xml:space="preserve"> I</w:t>
      </w:r>
      <w:r w:rsidRPr="00FA3856">
        <w:rPr>
          <w:rFonts w:ascii="Times New Roman" w:hAnsi="Times New Roman" w:cs="Times New Roman"/>
          <w:szCs w:val="20"/>
        </w:rPr>
        <w:t>, a fiscalização da Secretaria da Receita Federal do Brasil lavrará o auto de infração relativo ao período correspondente e relatará os fatos que demonstram o não atendimento de tais requisitos para o gozo da imunidade.</w:t>
      </w:r>
    </w:p>
    <w:p w:rsidR="00E27341" w:rsidRPr="00FA3856" w:rsidRDefault="00E27341" w:rsidP="00E27341">
      <w:pPr>
        <w:pStyle w:val="NormalWeb"/>
        <w:spacing w:before="0" w:after="0"/>
        <w:jc w:val="both"/>
        <w:rPr>
          <w:rFonts w:ascii="Times New Roman" w:hAnsi="Times New Roman" w:cs="Times New Roman"/>
          <w:szCs w:val="20"/>
        </w:rPr>
      </w:pPr>
    </w:p>
    <w:p w:rsidR="00D80608" w:rsidRPr="00FA3856" w:rsidRDefault="00D80608" w:rsidP="00E27341">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Considerar-se-á automaticamente suspenso o direito à imunidade da CSLL durante o período em que se constatar o descumprimento de requisito para gozo da imunidade, devendo o lançamento correspondente ter como termo inicial a data da ocorrência da infração que lhe deu causa.</w:t>
      </w:r>
    </w:p>
    <w:p w:rsidR="00E27341" w:rsidRPr="00FA3856" w:rsidRDefault="00E27341" w:rsidP="00E27341">
      <w:pPr>
        <w:pStyle w:val="NormalWeb"/>
        <w:spacing w:before="0" w:after="0"/>
        <w:jc w:val="both"/>
        <w:rPr>
          <w:rFonts w:ascii="Times New Roman" w:hAnsi="Times New Roman" w:cs="Times New Roman"/>
          <w:szCs w:val="20"/>
        </w:rPr>
      </w:pPr>
    </w:p>
    <w:p w:rsidR="00D80608" w:rsidRPr="00FA3856" w:rsidRDefault="00D80608" w:rsidP="00E27341">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À suspensão do gozo da imunidade aplica-se o disposto no art. 32 da Lei n</w:t>
      </w:r>
      <w:r w:rsidRPr="00FA3856">
        <w:rPr>
          <w:rFonts w:ascii="Times New Roman" w:hAnsi="Times New Roman" w:cs="Times New Roman"/>
          <w:strike/>
          <w:szCs w:val="20"/>
        </w:rPr>
        <w:t>º</w:t>
      </w:r>
      <w:r w:rsidRPr="00FA3856">
        <w:rPr>
          <w:rFonts w:ascii="Times New Roman" w:hAnsi="Times New Roman" w:cs="Times New Roman"/>
          <w:szCs w:val="20"/>
        </w:rPr>
        <w:t xml:space="preserve"> 9.430, de 1996.</w:t>
      </w:r>
    </w:p>
    <w:p w:rsidR="00E27341" w:rsidRPr="00FA3856" w:rsidRDefault="00E27341" w:rsidP="00E27341">
      <w:pPr>
        <w:pStyle w:val="NormalWeb"/>
        <w:spacing w:before="0" w:after="0"/>
        <w:jc w:val="both"/>
        <w:rPr>
          <w:rFonts w:ascii="Times New Roman" w:hAnsi="Times New Roman" w:cs="Times New Roman"/>
          <w:szCs w:val="20"/>
        </w:rPr>
      </w:pPr>
    </w:p>
    <w:p w:rsidR="00D80608" w:rsidRPr="00FA3856" w:rsidRDefault="00D80608" w:rsidP="00E27341">
      <w:pPr>
        <w:pStyle w:val="NormalWeb"/>
        <w:spacing w:before="0" w:after="0"/>
        <w:ind w:firstLine="708"/>
        <w:jc w:val="both"/>
        <w:rPr>
          <w:rFonts w:ascii="Times New Roman" w:hAnsi="Times New Roman" w:cs="Times New Roman"/>
          <w:szCs w:val="20"/>
        </w:rPr>
      </w:pPr>
      <w:r w:rsidRPr="00FA3856">
        <w:rPr>
          <w:rFonts w:ascii="Times New Roman" w:hAnsi="Times New Roman" w:cs="Times New Roman"/>
          <w:szCs w:val="20"/>
        </w:rPr>
        <w:t>O Desenquadramento da Imunidade da CSLL obedecerá ao rito do processo administrativo fiscal vigente.</w:t>
      </w:r>
    </w:p>
    <w:p w:rsidR="00D80608" w:rsidRPr="00FA3856" w:rsidRDefault="00D80608" w:rsidP="00F11E71">
      <w:pPr>
        <w:pStyle w:val="PSDS-MarcadoresNivel3"/>
        <w:tabs>
          <w:tab w:val="clear" w:pos="1440"/>
        </w:tabs>
        <w:spacing w:before="0" w:after="0"/>
        <w:ind w:left="0" w:firstLine="0"/>
        <w:rPr>
          <w:rFonts w:ascii="Times New Roman" w:hAnsi="Times New Roman" w:cs="Times New Roman"/>
          <w:color w:val="0000FF"/>
          <w:szCs w:val="20"/>
        </w:rPr>
      </w:pPr>
    </w:p>
    <w:p w:rsidR="00E27341" w:rsidRPr="00FA3856" w:rsidRDefault="00E27341">
      <w:pPr>
        <w:spacing w:after="200" w:line="276" w:lineRule="auto"/>
        <w:rPr>
          <w:b/>
          <w:bCs/>
          <w:color w:val="0000FF"/>
          <w:szCs w:val="20"/>
        </w:rPr>
      </w:pPr>
      <w:r w:rsidRPr="00FA3856">
        <w:rPr>
          <w:color w:val="0000FF"/>
          <w:szCs w:val="20"/>
        </w:rPr>
        <w:br w:type="page"/>
      </w:r>
    </w:p>
    <w:p w:rsidR="00F11E71" w:rsidRPr="00FA3856" w:rsidRDefault="008908AF" w:rsidP="00867F54">
      <w:pPr>
        <w:pStyle w:val="Ttulo4"/>
      </w:pPr>
      <w:bookmarkStart w:id="370" w:name="_Toc479713777"/>
      <w:r w:rsidRPr="00FA3856">
        <w:lastRenderedPageBreak/>
        <w:t>Registro U</w:t>
      </w:r>
      <w:r w:rsidR="00F11E71" w:rsidRPr="00FA3856">
        <w:t>001: Abertura do Bloco U</w:t>
      </w:r>
      <w:bookmarkEnd w:id="370"/>
    </w:p>
    <w:p w:rsidR="00F11E71" w:rsidRDefault="00F11E71" w:rsidP="00F11E71">
      <w:pPr>
        <w:pStyle w:val="PSDS-MarcadoresNivel2"/>
        <w:numPr>
          <w:ilvl w:val="0"/>
          <w:numId w:val="0"/>
        </w:numPr>
        <w:rPr>
          <w:rFonts w:ascii="Times New Roman" w:hAnsi="Times New Roman"/>
        </w:rPr>
      </w:pPr>
    </w:p>
    <w:p w:rsidR="0091348C" w:rsidRPr="00FA3856" w:rsidRDefault="00B35FA3" w:rsidP="0091348C">
      <w:pPr>
        <w:pStyle w:val="PSDS-MarcadoresNivel2"/>
        <w:numPr>
          <w:ilvl w:val="0"/>
          <w:numId w:val="0"/>
        </w:numPr>
        <w:jc w:val="center"/>
        <w:rPr>
          <w:rFonts w:ascii="Times New Roman" w:hAnsi="Times New Roman"/>
        </w:rPr>
      </w:pPr>
      <w:r>
        <w:rPr>
          <w:rFonts w:ascii="Times New Roman" w:hAnsi="Times New Roman"/>
        </w:rPr>
        <w:object w:dxaOrig="13305" w:dyaOrig="3090">
          <v:shape id="_x0000_i1827" type="#_x0000_t75" style="width:707.25pt;height:146.25pt" o:ole="">
            <v:imagedata r:id="rId546" o:title=""/>
          </v:shape>
          <o:OLEObject Type="Link" ProgID="Excel.Sheet.12" ShapeID="_x0000_i1827" DrawAspect="Content" r:id="rId547" UpdateMode="Always">
            <o:LinkType>EnhancedMetaFile</o:LinkType>
            <o:LockedField>false</o:LockedField>
          </o:OLEObject>
        </w:object>
      </w:r>
    </w:p>
    <w:p w:rsidR="0091348C" w:rsidRDefault="0091348C" w:rsidP="00F11E71">
      <w:pPr>
        <w:pStyle w:val="PSDS-MarcadoresNivel2"/>
        <w:numPr>
          <w:ilvl w:val="0"/>
          <w:numId w:val="0"/>
        </w:numPr>
        <w:rPr>
          <w:rFonts w:ascii="Times New Roman" w:hAnsi="Times New Roman"/>
        </w:rPr>
      </w:pPr>
    </w:p>
    <w:p w:rsidR="00F11E71" w:rsidRPr="00FA3856" w:rsidRDefault="00F11E71" w:rsidP="00F11E71">
      <w:pPr>
        <w:pStyle w:val="PSDS-MarcadoresNivel2"/>
        <w:numPr>
          <w:ilvl w:val="0"/>
          <w:numId w:val="0"/>
        </w:numPr>
        <w:rPr>
          <w:rFonts w:ascii="Times New Roman" w:hAnsi="Times New Roman"/>
        </w:rPr>
      </w:pPr>
      <w:r w:rsidRPr="00FA3856">
        <w:rPr>
          <w:rFonts w:ascii="Times New Roman" w:hAnsi="Times New Roman"/>
        </w:rPr>
        <w:t>I – Regras de Validação do Registro:</w:t>
      </w:r>
    </w:p>
    <w:p w:rsidR="00F11E71" w:rsidRPr="00FA3856" w:rsidRDefault="00F11E71" w:rsidP="00F11E71">
      <w:pPr>
        <w:pStyle w:val="PSDS-MarcadoresNivel2"/>
        <w:numPr>
          <w:ilvl w:val="0"/>
          <w:numId w:val="0"/>
        </w:numPr>
        <w:rPr>
          <w:rFonts w:ascii="Times New Roman" w:hAnsi="Times New Roman"/>
        </w:rPr>
      </w:pPr>
    </w:p>
    <w:p w:rsidR="00BC760B" w:rsidRPr="00FA3856" w:rsidRDefault="007D0E74" w:rsidP="00F11E71">
      <w:pPr>
        <w:pStyle w:val="Corpodetexto"/>
        <w:ind w:left="708" w:firstLine="12"/>
        <w:rPr>
          <w:rFonts w:ascii="Times New Roman" w:hAnsi="Times New Roman"/>
          <w:szCs w:val="20"/>
        </w:rPr>
      </w:pPr>
      <w:hyperlink r:id="rId548" w:anchor="REGRA_OCORRENCIA_UNITARIA_ARQ" w:history="1">
        <w:r w:rsidR="00F11E71" w:rsidRPr="00FA3856">
          <w:rPr>
            <w:rFonts w:ascii="Times New Roman" w:hAnsi="Times New Roman"/>
            <w:b/>
            <w:szCs w:val="20"/>
          </w:rPr>
          <w:t>REGRA_OCORRENCIA_UNITARIA_ARQ</w:t>
        </w:r>
      </w:hyperlink>
      <w:r w:rsidR="00F11E71" w:rsidRPr="00FA3856">
        <w:rPr>
          <w:rFonts w:ascii="Times New Roman" w:hAnsi="Times New Roman"/>
          <w:color w:val="auto"/>
          <w:szCs w:val="20"/>
        </w:rPr>
        <w:t xml:space="preserve">: </w:t>
      </w:r>
      <w:r w:rsidR="00F11E71" w:rsidRPr="00FA3856">
        <w:rPr>
          <w:rFonts w:ascii="Times New Roman" w:hAnsi="Times New Roman"/>
          <w:szCs w:val="20"/>
        </w:rPr>
        <w:t>Verifica se registro ocorreu apenas uma vez por arquivo, considerando a chave “U001” (REG). Se a regra não for cumprida, a ECF gera um erro.</w:t>
      </w:r>
    </w:p>
    <w:p w:rsidR="00F11E71" w:rsidRPr="00FA3856" w:rsidRDefault="00F11E71" w:rsidP="00F11E71">
      <w:pPr>
        <w:pStyle w:val="Corpodetexto"/>
        <w:ind w:left="708" w:firstLine="12"/>
        <w:rPr>
          <w:rFonts w:ascii="Times New Roman" w:hAnsi="Times New Roman"/>
          <w:szCs w:val="20"/>
        </w:rPr>
      </w:pPr>
    </w:p>
    <w:p w:rsidR="0091348C" w:rsidRDefault="0057762E" w:rsidP="0057762E">
      <w:pPr>
        <w:pStyle w:val="Corpodetexto"/>
        <w:rPr>
          <w:rFonts w:ascii="Times New Roman" w:hAnsi="Times New Roman"/>
          <w:b/>
          <w:color w:val="002060"/>
          <w:szCs w:val="20"/>
        </w:rPr>
      </w:pPr>
      <w:r w:rsidRPr="00FA3856">
        <w:rPr>
          <w:rFonts w:ascii="Times New Roman" w:hAnsi="Times New Roman"/>
          <w:b/>
          <w:color w:val="002060"/>
          <w:szCs w:val="20"/>
        </w:rPr>
        <w:t xml:space="preserve">Exemplo de Preenchimento: </w:t>
      </w:r>
    </w:p>
    <w:p w:rsidR="0091348C" w:rsidRDefault="0091348C" w:rsidP="0057762E">
      <w:pPr>
        <w:pStyle w:val="Corpodetexto"/>
        <w:rPr>
          <w:rFonts w:ascii="Times New Roman" w:hAnsi="Times New Roman"/>
          <w:b/>
          <w:color w:val="002060"/>
          <w:szCs w:val="20"/>
        </w:rPr>
      </w:pPr>
    </w:p>
    <w:p w:rsidR="0057762E" w:rsidRPr="00FA3856" w:rsidRDefault="0057762E" w:rsidP="0057762E">
      <w:pPr>
        <w:pStyle w:val="Corpodetexto"/>
        <w:rPr>
          <w:rFonts w:ascii="Times New Roman" w:hAnsi="Times New Roman"/>
          <w:b/>
          <w:color w:val="002060"/>
          <w:szCs w:val="20"/>
        </w:rPr>
      </w:pPr>
      <w:r w:rsidRPr="00FA3856">
        <w:rPr>
          <w:rFonts w:ascii="Times New Roman" w:hAnsi="Times New Roman"/>
          <w:b/>
          <w:color w:val="002060"/>
          <w:szCs w:val="20"/>
        </w:rPr>
        <w:t>|U001|0|</w:t>
      </w:r>
    </w:p>
    <w:p w:rsidR="0057762E" w:rsidRPr="00FA3856" w:rsidRDefault="0057762E" w:rsidP="0057762E">
      <w:pPr>
        <w:pStyle w:val="Corpodetexto"/>
        <w:ind w:firstLine="708"/>
        <w:rPr>
          <w:rFonts w:ascii="Times New Roman" w:hAnsi="Times New Roman"/>
          <w:color w:val="002060"/>
          <w:szCs w:val="20"/>
        </w:rPr>
      </w:pPr>
      <w:r w:rsidRPr="00FA3856">
        <w:rPr>
          <w:rFonts w:ascii="Times New Roman" w:hAnsi="Times New Roman"/>
          <w:color w:val="002060"/>
          <w:szCs w:val="20"/>
        </w:rPr>
        <w:t>|U001|: Identificação do tipo do registro.</w:t>
      </w:r>
    </w:p>
    <w:p w:rsidR="0057762E" w:rsidRPr="00FA3856" w:rsidRDefault="0057762E" w:rsidP="0057762E">
      <w:pPr>
        <w:pStyle w:val="Corpodetexto"/>
        <w:ind w:firstLine="708"/>
        <w:rPr>
          <w:rFonts w:ascii="Times New Roman" w:hAnsi="Times New Roman"/>
          <w:color w:val="002060"/>
          <w:szCs w:val="20"/>
        </w:rPr>
      </w:pPr>
      <w:r w:rsidRPr="00FA3856">
        <w:rPr>
          <w:rFonts w:ascii="Times New Roman" w:hAnsi="Times New Roman"/>
          <w:color w:val="002060"/>
          <w:szCs w:val="20"/>
        </w:rPr>
        <w:t>|0|: Indica que o bloco possui dados informados.</w:t>
      </w:r>
    </w:p>
    <w:p w:rsidR="004B24EE" w:rsidRPr="00FA3856" w:rsidRDefault="004B24EE">
      <w:pPr>
        <w:rPr>
          <w:b/>
          <w:bCs/>
          <w:color w:val="0000FF"/>
          <w:szCs w:val="20"/>
        </w:rPr>
      </w:pPr>
      <w:r w:rsidRPr="00FA3856">
        <w:rPr>
          <w:color w:val="0000FF"/>
          <w:szCs w:val="20"/>
        </w:rPr>
        <w:br w:type="page"/>
      </w:r>
    </w:p>
    <w:p w:rsidR="008908AF" w:rsidRPr="00FA3856" w:rsidRDefault="008908AF" w:rsidP="00867F54">
      <w:pPr>
        <w:pStyle w:val="Ttulo4"/>
      </w:pPr>
      <w:bookmarkStart w:id="371" w:name="_Toc479713778"/>
      <w:r w:rsidRPr="00FA3856">
        <w:lastRenderedPageBreak/>
        <w:t>Registro U030: Identificação dos Períodos e Formas de Apuração do IRPJ e da CSLL das Empresas Imunes e Isentas</w:t>
      </w:r>
      <w:bookmarkEnd w:id="371"/>
    </w:p>
    <w:p w:rsidR="008908AF" w:rsidRPr="00FA3856" w:rsidRDefault="008908AF" w:rsidP="008908AF">
      <w:pPr>
        <w:pStyle w:val="PSDS-CorpodeTexto0"/>
        <w:ind w:firstLine="708"/>
        <w:rPr>
          <w:rFonts w:ascii="Times New Roman" w:hAnsi="Times New Roman"/>
        </w:rPr>
      </w:pPr>
    </w:p>
    <w:p w:rsidR="008908AF" w:rsidRPr="00FA3856" w:rsidRDefault="008908AF" w:rsidP="008908AF">
      <w:pPr>
        <w:pStyle w:val="PSDS-CorpodeTexto0"/>
        <w:ind w:firstLine="708"/>
        <w:rPr>
          <w:rFonts w:ascii="Times New Roman" w:hAnsi="Times New Roman"/>
        </w:rPr>
      </w:pPr>
      <w:r w:rsidRPr="00FA3856">
        <w:rPr>
          <w:rFonts w:ascii="Times New Roman" w:hAnsi="Times New Roman"/>
        </w:rPr>
        <w:t>Registro de identificação dos períodos da escrituração necessários conforme definições de parâmetros do Bloco 0.</w:t>
      </w:r>
    </w:p>
    <w:p w:rsidR="000841DD" w:rsidRDefault="000841DD" w:rsidP="00D41C23">
      <w:pPr>
        <w:pStyle w:val="PSDS-MarcadoresNivel2"/>
        <w:numPr>
          <w:ilvl w:val="0"/>
          <w:numId w:val="0"/>
        </w:numPr>
        <w:rPr>
          <w:rFonts w:ascii="Times New Roman" w:hAnsi="Times New Roman"/>
        </w:rPr>
      </w:pPr>
    </w:p>
    <w:p w:rsidR="000841DD" w:rsidRDefault="00B35FA3" w:rsidP="000841DD">
      <w:pPr>
        <w:pStyle w:val="PSDS-MarcadoresNivel2"/>
        <w:numPr>
          <w:ilvl w:val="0"/>
          <w:numId w:val="0"/>
        </w:numPr>
        <w:jc w:val="center"/>
        <w:rPr>
          <w:rFonts w:ascii="Times New Roman" w:hAnsi="Times New Roman"/>
        </w:rPr>
      </w:pPr>
      <w:r>
        <w:rPr>
          <w:rFonts w:ascii="Times New Roman" w:hAnsi="Times New Roman"/>
        </w:rPr>
        <w:object w:dxaOrig="14610" w:dyaOrig="3495">
          <v:shape id="_x0000_i1829" type="#_x0000_t75" style="width:775.5pt;height:167.25pt" o:ole="">
            <v:imagedata r:id="rId549" o:title=""/>
          </v:shape>
          <o:OLEObject Type="Link" ProgID="Excel.Sheet.12" ShapeID="_x0000_i1829" DrawAspect="Content" r:id="rId550" UpdateMode="Always">
            <o:LinkType>EnhancedMetaFile</o:LinkType>
            <o:LockedField>false</o:LockedField>
          </o:OLEObject>
        </w:object>
      </w:r>
    </w:p>
    <w:p w:rsidR="00D1608B" w:rsidRDefault="00D1608B">
      <w:pPr>
        <w:spacing w:after="200" w:line="276" w:lineRule="auto"/>
        <w:rPr>
          <w:b/>
          <w:szCs w:val="20"/>
        </w:rPr>
      </w:pPr>
      <w:r>
        <w:br w:type="page"/>
      </w:r>
    </w:p>
    <w:p w:rsidR="00D1608B" w:rsidRDefault="00B35FA3" w:rsidP="00D1608B">
      <w:pPr>
        <w:pStyle w:val="PSDS-MarcadoresNivel2"/>
        <w:numPr>
          <w:ilvl w:val="0"/>
          <w:numId w:val="0"/>
        </w:numPr>
        <w:jc w:val="center"/>
        <w:rPr>
          <w:rFonts w:ascii="Times New Roman" w:hAnsi="Times New Roman"/>
        </w:rPr>
      </w:pPr>
      <w:r>
        <w:rPr>
          <w:rFonts w:ascii="Times New Roman" w:hAnsi="Times New Roman"/>
        </w:rPr>
        <w:object w:dxaOrig="14610" w:dyaOrig="4875">
          <v:shape id="_x0000_i1831" type="#_x0000_t75" style="width:775.5pt;height:236.25pt" o:ole="">
            <v:imagedata r:id="rId551" o:title=""/>
          </v:shape>
          <o:OLEObject Type="Link" ProgID="Excel.Sheet.12" ShapeID="_x0000_i1831" DrawAspect="Content" r:id="rId552" UpdateMode="Always">
            <o:LinkType>EnhancedMetaFile</o:LinkType>
            <o:LockedField>false</o:LockedField>
          </o:OLEObject>
        </w:object>
      </w:r>
    </w:p>
    <w:p w:rsidR="00891D00" w:rsidRDefault="00891D00" w:rsidP="00D1608B">
      <w:pPr>
        <w:pStyle w:val="PSDS-MarcadoresNivel2"/>
        <w:numPr>
          <w:ilvl w:val="0"/>
          <w:numId w:val="0"/>
        </w:numPr>
        <w:jc w:val="center"/>
        <w:rPr>
          <w:rFonts w:ascii="Times New Roman" w:hAnsi="Times New Roman"/>
        </w:rPr>
      </w:pPr>
    </w:p>
    <w:p w:rsidR="00D41C23" w:rsidRPr="00FA3856" w:rsidRDefault="00D41C23" w:rsidP="00D41C23">
      <w:pPr>
        <w:pStyle w:val="PSDS-MarcadoresNivel2"/>
        <w:numPr>
          <w:ilvl w:val="0"/>
          <w:numId w:val="0"/>
        </w:numPr>
        <w:rPr>
          <w:rFonts w:ascii="Times New Roman" w:hAnsi="Times New Roman"/>
        </w:rPr>
      </w:pPr>
      <w:r w:rsidRPr="00FA3856">
        <w:rPr>
          <w:rFonts w:ascii="Times New Roman" w:hAnsi="Times New Roman"/>
        </w:rPr>
        <w:t>I – Regras de Validação do Registro:</w:t>
      </w:r>
    </w:p>
    <w:p w:rsidR="00D41C23" w:rsidRPr="00FA3856" w:rsidRDefault="00D41C23" w:rsidP="00D41C23">
      <w:pPr>
        <w:pStyle w:val="Corpodetexto"/>
        <w:ind w:left="708" w:firstLine="12"/>
        <w:rPr>
          <w:rFonts w:ascii="Times New Roman" w:hAnsi="Times New Roman"/>
          <w:szCs w:val="20"/>
        </w:rPr>
      </w:pPr>
    </w:p>
    <w:p w:rsidR="00D41C23" w:rsidRPr="00FA3856" w:rsidRDefault="007D0E74" w:rsidP="00D41C23">
      <w:pPr>
        <w:pStyle w:val="Corpodetexto"/>
        <w:ind w:left="708" w:firstLine="12"/>
        <w:rPr>
          <w:rFonts w:ascii="Times New Roman" w:hAnsi="Times New Roman"/>
          <w:szCs w:val="20"/>
        </w:rPr>
      </w:pPr>
      <w:hyperlink r:id="rId553" w:anchor="REGRA_OCORRENCIA_UNITARIA_ARQ" w:history="1">
        <w:r w:rsidR="00D41C23" w:rsidRPr="00FA3856">
          <w:rPr>
            <w:rFonts w:ascii="Times New Roman" w:hAnsi="Times New Roman"/>
            <w:b/>
            <w:szCs w:val="20"/>
          </w:rPr>
          <w:t>REGRA_</w:t>
        </w:r>
      </w:hyperlink>
      <w:r w:rsidR="00D41C23" w:rsidRPr="00FA3856">
        <w:rPr>
          <w:rFonts w:ascii="Times New Roman" w:hAnsi="Times New Roman"/>
          <w:b/>
          <w:szCs w:val="20"/>
        </w:rPr>
        <w:t>DUPLICIDADE_DESPREZADA</w:t>
      </w:r>
      <w:r w:rsidR="00D41C23" w:rsidRPr="00FA3856">
        <w:rPr>
          <w:rFonts w:ascii="Times New Roman" w:hAnsi="Times New Roman"/>
          <w:color w:val="auto"/>
          <w:szCs w:val="20"/>
        </w:rPr>
        <w:t xml:space="preserve">: </w:t>
      </w:r>
      <w:r w:rsidR="00D41C23" w:rsidRPr="00FA3856">
        <w:rPr>
          <w:rFonts w:ascii="Times New Roman" w:hAnsi="Times New Roman"/>
          <w:szCs w:val="20"/>
        </w:rPr>
        <w:t>Verifica se o registro já foi importado anteriormente, de acordo com a chave e os registros pais. Se a regra não for cumprida, a ECF gera um aviso.</w:t>
      </w:r>
    </w:p>
    <w:p w:rsidR="00D41C23" w:rsidRPr="00FA3856" w:rsidRDefault="00D41C23" w:rsidP="00D41C23">
      <w:pPr>
        <w:pStyle w:val="Corpodetexto"/>
        <w:ind w:left="708" w:firstLine="12"/>
        <w:rPr>
          <w:rFonts w:ascii="Times New Roman" w:hAnsi="Times New Roman"/>
          <w:szCs w:val="20"/>
        </w:rPr>
      </w:pPr>
    </w:p>
    <w:p w:rsidR="00D41C23" w:rsidRPr="00FA3856" w:rsidRDefault="007D0E74" w:rsidP="00D41C23">
      <w:pPr>
        <w:pStyle w:val="Corpodetexto"/>
        <w:ind w:left="708" w:firstLine="12"/>
        <w:rPr>
          <w:rFonts w:ascii="Times New Roman" w:hAnsi="Times New Roman"/>
          <w:b/>
          <w:szCs w:val="20"/>
        </w:rPr>
      </w:pPr>
      <w:hyperlink r:id="rId554" w:anchor="REGRA_OCORRENCIA_UNITARIA_ARQ" w:history="1">
        <w:r w:rsidR="00D41C23" w:rsidRPr="00FA3856">
          <w:rPr>
            <w:rFonts w:ascii="Times New Roman" w:hAnsi="Times New Roman"/>
            <w:b/>
            <w:szCs w:val="20"/>
          </w:rPr>
          <w:t>REGRA_</w:t>
        </w:r>
      </w:hyperlink>
      <w:r w:rsidR="00D41C23" w:rsidRPr="00FA3856">
        <w:rPr>
          <w:rFonts w:ascii="Times New Roman" w:hAnsi="Times New Roman"/>
          <w:b/>
          <w:szCs w:val="20"/>
        </w:rPr>
        <w:t>PERIODO_DESPREZADO</w:t>
      </w:r>
      <w:r w:rsidR="00D41C23" w:rsidRPr="00FA3856">
        <w:rPr>
          <w:rFonts w:ascii="Times New Roman" w:hAnsi="Times New Roman"/>
          <w:color w:val="auto"/>
          <w:szCs w:val="20"/>
        </w:rPr>
        <w:t xml:space="preserve">: </w:t>
      </w:r>
      <w:r w:rsidR="00D41C23" w:rsidRPr="00FA3856">
        <w:rPr>
          <w:rFonts w:ascii="Times New Roman" w:hAnsi="Times New Roman"/>
          <w:szCs w:val="20"/>
        </w:rPr>
        <w:t>Verifica se a linha deste período existe no arquivo de importação, mas não deve ser importado, pois as datas não compatíveis com o período da ECF. Gera um aviso.</w:t>
      </w:r>
    </w:p>
    <w:p w:rsidR="00D41C23" w:rsidRPr="00FA3856" w:rsidRDefault="00D41C23" w:rsidP="00D41C23">
      <w:pPr>
        <w:pStyle w:val="Corpodetexto"/>
        <w:ind w:left="708" w:firstLine="12"/>
        <w:rPr>
          <w:rFonts w:ascii="Times New Roman" w:hAnsi="Times New Roman"/>
          <w:b/>
          <w:szCs w:val="20"/>
        </w:rPr>
      </w:pPr>
    </w:p>
    <w:p w:rsidR="00F85F88" w:rsidRPr="00FA3856" w:rsidRDefault="007D0E74" w:rsidP="00D41C23">
      <w:pPr>
        <w:pStyle w:val="Corpodetexto"/>
        <w:ind w:left="708" w:firstLine="12"/>
        <w:rPr>
          <w:rFonts w:ascii="Times New Roman" w:hAnsi="Times New Roman"/>
          <w:szCs w:val="20"/>
        </w:rPr>
      </w:pPr>
      <w:hyperlink r:id="rId555" w:anchor="REGRA_OCORRENCIA_UNITARIA_ARQ" w:history="1">
        <w:r w:rsidR="00D41C23" w:rsidRPr="00FA3856">
          <w:rPr>
            <w:rFonts w:ascii="Times New Roman" w:hAnsi="Times New Roman"/>
            <w:b/>
            <w:szCs w:val="20"/>
          </w:rPr>
          <w:t>REGRA_</w:t>
        </w:r>
      </w:hyperlink>
      <w:r w:rsidR="00D41C23" w:rsidRPr="00FA3856">
        <w:rPr>
          <w:rFonts w:ascii="Times New Roman" w:hAnsi="Times New Roman"/>
          <w:b/>
          <w:szCs w:val="20"/>
        </w:rPr>
        <w:t>LINHA_ALTERADA</w:t>
      </w:r>
      <w:r w:rsidR="00D41C23" w:rsidRPr="00FA3856">
        <w:rPr>
          <w:rFonts w:ascii="Times New Roman" w:hAnsi="Times New Roman"/>
          <w:color w:val="auto"/>
          <w:szCs w:val="20"/>
        </w:rPr>
        <w:t xml:space="preserve">: </w:t>
      </w:r>
      <w:r w:rsidR="00D41C23" w:rsidRPr="00FA3856">
        <w:rPr>
          <w:rFonts w:ascii="Times New Roman" w:hAnsi="Times New Roman"/>
          <w:szCs w:val="20"/>
        </w:rPr>
        <w:t>Verifica se a linha deste período existe no arquivo de importação, mas deve ser alterada, pois as datas não compatíveis c</w:t>
      </w:r>
      <w:bookmarkStart w:id="372" w:name="subitem_17.2.1"/>
      <w:bookmarkEnd w:id="372"/>
      <w:r w:rsidR="00D41C23" w:rsidRPr="00FA3856">
        <w:rPr>
          <w:rFonts w:ascii="Times New Roman" w:hAnsi="Times New Roman"/>
          <w:szCs w:val="20"/>
        </w:rPr>
        <w:t>om o período da ECF. Gera um aviso.</w:t>
      </w:r>
    </w:p>
    <w:p w:rsidR="0057762E" w:rsidRPr="00FA3856" w:rsidRDefault="0057762E" w:rsidP="0057762E">
      <w:pPr>
        <w:pStyle w:val="Corpodetexto"/>
        <w:rPr>
          <w:rFonts w:ascii="Times New Roman" w:hAnsi="Times New Roman"/>
          <w:b/>
          <w:color w:val="002060"/>
          <w:szCs w:val="20"/>
        </w:rPr>
      </w:pPr>
    </w:p>
    <w:p w:rsidR="000841DD" w:rsidRDefault="000C72A0" w:rsidP="0057762E">
      <w:pPr>
        <w:pStyle w:val="Corpodetexto"/>
        <w:rPr>
          <w:rFonts w:ascii="Times New Roman" w:hAnsi="Times New Roman"/>
          <w:b/>
          <w:color w:val="002060"/>
          <w:szCs w:val="20"/>
        </w:rPr>
      </w:pPr>
      <w:r w:rsidRPr="00FA3856">
        <w:rPr>
          <w:rFonts w:ascii="Times New Roman" w:hAnsi="Times New Roman"/>
          <w:b/>
          <w:color w:val="002060"/>
          <w:szCs w:val="20"/>
        </w:rPr>
        <w:t xml:space="preserve">Exemplo de Preenchimento: </w:t>
      </w:r>
    </w:p>
    <w:p w:rsidR="000841DD" w:rsidRDefault="000841DD" w:rsidP="0057762E">
      <w:pPr>
        <w:pStyle w:val="Corpodetexto"/>
        <w:rPr>
          <w:rFonts w:ascii="Times New Roman" w:hAnsi="Times New Roman"/>
          <w:b/>
          <w:color w:val="002060"/>
          <w:szCs w:val="20"/>
        </w:rPr>
      </w:pPr>
    </w:p>
    <w:p w:rsidR="0057762E" w:rsidRPr="00FA3856" w:rsidRDefault="0057762E" w:rsidP="0057762E">
      <w:pPr>
        <w:pStyle w:val="Corpodetexto"/>
        <w:rPr>
          <w:rFonts w:ascii="Times New Roman" w:hAnsi="Times New Roman"/>
          <w:b/>
          <w:color w:val="002060"/>
          <w:szCs w:val="20"/>
        </w:rPr>
      </w:pPr>
      <w:r w:rsidRPr="00FA3856">
        <w:rPr>
          <w:rFonts w:ascii="Times New Roman" w:hAnsi="Times New Roman"/>
          <w:b/>
          <w:color w:val="002060"/>
          <w:szCs w:val="20"/>
        </w:rPr>
        <w:t>|U030|01012014|</w:t>
      </w:r>
      <w:r w:rsidR="00CD73D7" w:rsidRPr="00FA3856">
        <w:rPr>
          <w:rFonts w:ascii="Times New Roman" w:hAnsi="Times New Roman"/>
          <w:b/>
          <w:color w:val="002060"/>
          <w:szCs w:val="20"/>
        </w:rPr>
        <w:t>3103</w:t>
      </w:r>
      <w:r w:rsidRPr="00FA3856">
        <w:rPr>
          <w:rFonts w:ascii="Times New Roman" w:hAnsi="Times New Roman"/>
          <w:b/>
          <w:color w:val="002060"/>
          <w:szCs w:val="20"/>
        </w:rPr>
        <w:t>2014|T01|</w:t>
      </w:r>
    </w:p>
    <w:p w:rsidR="0057762E" w:rsidRPr="00FA3856" w:rsidRDefault="0057762E" w:rsidP="0057762E">
      <w:pPr>
        <w:pStyle w:val="Corpodetexto"/>
        <w:ind w:firstLine="708"/>
        <w:rPr>
          <w:rFonts w:ascii="Times New Roman" w:hAnsi="Times New Roman"/>
          <w:color w:val="002060"/>
          <w:szCs w:val="20"/>
        </w:rPr>
      </w:pPr>
      <w:r w:rsidRPr="00FA3856">
        <w:rPr>
          <w:rFonts w:ascii="Times New Roman" w:hAnsi="Times New Roman"/>
          <w:color w:val="002060"/>
          <w:szCs w:val="20"/>
        </w:rPr>
        <w:t>|U030|: Identificação do tipo do registro.</w:t>
      </w:r>
    </w:p>
    <w:p w:rsidR="0057762E" w:rsidRPr="00FA3856" w:rsidRDefault="0057762E" w:rsidP="0057762E">
      <w:pPr>
        <w:pStyle w:val="Corpodetexto"/>
        <w:ind w:firstLine="708"/>
        <w:rPr>
          <w:rFonts w:ascii="Times New Roman" w:hAnsi="Times New Roman"/>
          <w:color w:val="002060"/>
          <w:szCs w:val="20"/>
        </w:rPr>
      </w:pPr>
      <w:r w:rsidRPr="00FA3856">
        <w:rPr>
          <w:rFonts w:ascii="Times New Roman" w:hAnsi="Times New Roman"/>
          <w:color w:val="002060"/>
          <w:szCs w:val="20"/>
        </w:rPr>
        <w:t>|01012014|: Data de início do período (01/01/2014).</w:t>
      </w:r>
    </w:p>
    <w:p w:rsidR="0057762E" w:rsidRPr="00FA3856" w:rsidRDefault="0057762E" w:rsidP="0057762E">
      <w:pPr>
        <w:pStyle w:val="Corpodetexto"/>
        <w:ind w:firstLine="708"/>
        <w:rPr>
          <w:rFonts w:ascii="Times New Roman" w:hAnsi="Times New Roman"/>
          <w:color w:val="002060"/>
          <w:szCs w:val="20"/>
        </w:rPr>
      </w:pPr>
      <w:r w:rsidRPr="00FA3856">
        <w:rPr>
          <w:rFonts w:ascii="Times New Roman" w:hAnsi="Times New Roman"/>
          <w:color w:val="002060"/>
          <w:szCs w:val="20"/>
        </w:rPr>
        <w:t>|</w:t>
      </w:r>
      <w:r w:rsidR="006A0AF8" w:rsidRPr="00FA3856">
        <w:rPr>
          <w:rFonts w:ascii="Times New Roman" w:hAnsi="Times New Roman"/>
          <w:color w:val="002060"/>
          <w:szCs w:val="20"/>
        </w:rPr>
        <w:t>3103</w:t>
      </w:r>
      <w:r w:rsidRPr="00FA3856">
        <w:rPr>
          <w:rFonts w:ascii="Times New Roman" w:hAnsi="Times New Roman"/>
          <w:color w:val="002060"/>
          <w:szCs w:val="20"/>
        </w:rPr>
        <w:t>2014</w:t>
      </w:r>
      <w:r w:rsidR="006A0AF8" w:rsidRPr="00FA3856">
        <w:rPr>
          <w:rFonts w:ascii="Times New Roman" w:hAnsi="Times New Roman"/>
          <w:color w:val="002060"/>
          <w:szCs w:val="20"/>
        </w:rPr>
        <w:t>|: Data de fim do período (31/03</w:t>
      </w:r>
      <w:r w:rsidRPr="00FA3856">
        <w:rPr>
          <w:rFonts w:ascii="Times New Roman" w:hAnsi="Times New Roman"/>
          <w:color w:val="002060"/>
          <w:szCs w:val="20"/>
        </w:rPr>
        <w:t>/2014).</w:t>
      </w:r>
    </w:p>
    <w:p w:rsidR="00F85F88" w:rsidRPr="00FA3856" w:rsidRDefault="0057762E" w:rsidP="00891D00">
      <w:pPr>
        <w:pStyle w:val="Corpodetexto"/>
        <w:ind w:firstLine="708"/>
        <w:rPr>
          <w:rFonts w:ascii="Times New Roman" w:hAnsi="Times New Roman"/>
          <w:szCs w:val="20"/>
        </w:rPr>
      </w:pPr>
      <w:r w:rsidRPr="00FA3856">
        <w:rPr>
          <w:rFonts w:ascii="Times New Roman" w:hAnsi="Times New Roman"/>
          <w:color w:val="002060"/>
          <w:szCs w:val="20"/>
        </w:rPr>
        <w:t>|T01|: Período de apuração (T01 = 1</w:t>
      </w:r>
      <w:r w:rsidRPr="00FA3856">
        <w:rPr>
          <w:rFonts w:ascii="Times New Roman" w:hAnsi="Times New Roman"/>
          <w:color w:val="002060"/>
          <w:szCs w:val="20"/>
          <w:u w:val="single"/>
          <w:vertAlign w:val="superscript"/>
        </w:rPr>
        <w:t>o</w:t>
      </w:r>
      <w:r w:rsidRPr="00FA3856">
        <w:rPr>
          <w:rFonts w:ascii="Times New Roman" w:hAnsi="Times New Roman"/>
          <w:color w:val="002060"/>
          <w:szCs w:val="20"/>
        </w:rPr>
        <w:t xml:space="preserve"> Trimestre).</w:t>
      </w:r>
    </w:p>
    <w:p w:rsidR="0057762E" w:rsidRPr="00FA3856" w:rsidRDefault="0057762E">
      <w:pPr>
        <w:spacing w:after="200" w:line="276" w:lineRule="auto"/>
        <w:rPr>
          <w:b/>
          <w:bCs/>
          <w:color w:val="0000FF"/>
          <w:szCs w:val="20"/>
        </w:rPr>
      </w:pPr>
      <w:r w:rsidRPr="00FA3856">
        <w:rPr>
          <w:color w:val="0000FF"/>
          <w:szCs w:val="20"/>
        </w:rPr>
        <w:br w:type="page"/>
      </w:r>
    </w:p>
    <w:p w:rsidR="00F85F88" w:rsidRPr="00FA3856" w:rsidRDefault="00F85F88" w:rsidP="00867F54">
      <w:pPr>
        <w:pStyle w:val="Ttulo4"/>
      </w:pPr>
      <w:bookmarkStart w:id="373" w:name="_Toc479713779"/>
      <w:bookmarkStart w:id="374" w:name="_GoBack"/>
      <w:bookmarkEnd w:id="374"/>
      <w:r w:rsidRPr="00FA3856">
        <w:lastRenderedPageBreak/>
        <w:t>Registro U100: Balanço Patrimonial</w:t>
      </w:r>
      <w:bookmarkEnd w:id="373"/>
    </w:p>
    <w:p w:rsidR="00F85F88" w:rsidRPr="00FA3856" w:rsidRDefault="00F85F88" w:rsidP="00F85F88">
      <w:pPr>
        <w:jc w:val="both"/>
        <w:rPr>
          <w:szCs w:val="20"/>
        </w:rPr>
      </w:pPr>
    </w:p>
    <w:p w:rsidR="00F85F88" w:rsidRPr="00FA3856" w:rsidRDefault="00F85F88" w:rsidP="00F85F88">
      <w:pPr>
        <w:ind w:firstLine="708"/>
        <w:rPr>
          <w:szCs w:val="20"/>
          <w:lang w:val="pt-PT"/>
        </w:rPr>
      </w:pPr>
      <w:r w:rsidRPr="00FA3856">
        <w:rPr>
          <w:szCs w:val="20"/>
        </w:rPr>
        <w:t xml:space="preserve">Apresenta o balanço patrimonial com base nas contas referenciais para o período de apuração. </w:t>
      </w:r>
      <w:r w:rsidRPr="00FA3856">
        <w:rPr>
          <w:szCs w:val="20"/>
          <w:lang w:val="pt-PT"/>
        </w:rPr>
        <w:t>O saldo inicial pode ser replicado do registro E010/</w:t>
      </w:r>
      <w:bookmarkStart w:id="375" w:name="subitem_17.2.3"/>
      <w:bookmarkEnd w:id="375"/>
      <w:r w:rsidRPr="00FA3856">
        <w:rPr>
          <w:szCs w:val="20"/>
          <w:lang w:val="pt-PT"/>
        </w:rPr>
        <w:t>E015 ou preenchido.</w:t>
      </w:r>
      <w:r w:rsidRPr="00FA3856">
        <w:rPr>
          <w:szCs w:val="20"/>
        </w:rPr>
        <w:t xml:space="preserve"> </w:t>
      </w:r>
      <w:r w:rsidRPr="00FA3856">
        <w:rPr>
          <w:szCs w:val="20"/>
          <w:lang w:val="pt-PT"/>
        </w:rPr>
        <w:t>O saldo final será recuperado do registro K155/K156. Caso o bloco K não possua dados e for SCP (0000.TIP_ECF = 2), o saldo final poderá ser preenchido.</w:t>
      </w:r>
    </w:p>
    <w:p w:rsidR="006475AD" w:rsidRPr="00FA3856" w:rsidRDefault="006475AD" w:rsidP="00F85F88">
      <w:pPr>
        <w:ind w:firstLine="708"/>
        <w:rPr>
          <w:szCs w:val="20"/>
          <w:lang w:val="pt-PT"/>
        </w:rPr>
      </w:pPr>
    </w:p>
    <w:p w:rsidR="00211735" w:rsidRDefault="00B35FA3" w:rsidP="00211735">
      <w:pPr>
        <w:jc w:val="center"/>
        <w:rPr>
          <w:b/>
          <w:szCs w:val="20"/>
          <w:lang w:val="pt-PT"/>
        </w:rPr>
      </w:pPr>
      <w:r>
        <w:rPr>
          <w:b/>
          <w:szCs w:val="20"/>
          <w:lang w:val="pt-PT"/>
        </w:rPr>
        <w:object w:dxaOrig="13935" w:dyaOrig="7635">
          <v:shape id="_x0000_i1833" type="#_x0000_t75" style="width:746.25pt;height:368.25pt" o:ole="">
            <v:imagedata r:id="rId556" o:title=""/>
          </v:shape>
          <o:OLEObject Type="Link" ProgID="Excel.Sheet.12" ShapeID="_x0000_i1833" DrawAspect="Content" r:id="rId557" UpdateMode="Always">
            <o:LinkType>EnhancedMetaFile</o:LinkType>
            <o:LockedField>false</o:LockedField>
          </o:OLEObject>
        </w:object>
      </w:r>
    </w:p>
    <w:p w:rsidR="00211735" w:rsidRDefault="00211735">
      <w:pPr>
        <w:spacing w:after="200" w:line="276" w:lineRule="auto"/>
        <w:rPr>
          <w:b/>
          <w:szCs w:val="20"/>
          <w:lang w:val="pt-PT"/>
        </w:rPr>
      </w:pPr>
      <w:r>
        <w:rPr>
          <w:b/>
          <w:szCs w:val="20"/>
          <w:lang w:val="pt-PT"/>
        </w:rPr>
        <w:br w:type="page"/>
      </w:r>
    </w:p>
    <w:p w:rsidR="00211735" w:rsidRDefault="00B35FA3" w:rsidP="00211735">
      <w:pPr>
        <w:jc w:val="center"/>
        <w:rPr>
          <w:b/>
          <w:szCs w:val="20"/>
          <w:lang w:val="pt-PT"/>
        </w:rPr>
      </w:pPr>
      <w:r>
        <w:rPr>
          <w:b/>
          <w:szCs w:val="20"/>
          <w:lang w:val="pt-PT"/>
        </w:rPr>
        <w:object w:dxaOrig="13935" w:dyaOrig="2205">
          <v:shape id="_x0000_i1835" type="#_x0000_t75" style="width:746.25pt;height:109.5pt" o:ole="">
            <v:imagedata r:id="rId558" o:title=""/>
          </v:shape>
          <o:OLEObject Type="Link" ProgID="Excel.Sheet.12" ShapeID="_x0000_i1835" DrawAspect="Content" r:id="rId559" UpdateMode="Always">
            <o:LinkType>EnhancedMetaFile</o:LinkType>
            <o:LockedField>false</o:LockedField>
          </o:OLEObject>
        </w:object>
      </w:r>
    </w:p>
    <w:p w:rsidR="00211735" w:rsidRDefault="00211735" w:rsidP="00FE5D23">
      <w:pPr>
        <w:rPr>
          <w:b/>
          <w:szCs w:val="20"/>
          <w:lang w:val="pt-PT"/>
        </w:rPr>
      </w:pPr>
    </w:p>
    <w:p w:rsidR="00FE5D23" w:rsidRPr="00FA3856" w:rsidRDefault="00FE5D23" w:rsidP="00FE5D23">
      <w:pPr>
        <w:rPr>
          <w:b/>
          <w:szCs w:val="20"/>
          <w:lang w:val="pt-PT"/>
        </w:rPr>
      </w:pPr>
      <w:r w:rsidRPr="00FA3856">
        <w:rPr>
          <w:b/>
          <w:szCs w:val="20"/>
          <w:lang w:val="pt-PT"/>
        </w:rPr>
        <w:t>I – Regras de Validação do Registro:</w:t>
      </w:r>
    </w:p>
    <w:p w:rsidR="00FE5D23" w:rsidRPr="00FA3856" w:rsidRDefault="00FE5D23" w:rsidP="00FE5D23">
      <w:pPr>
        <w:rPr>
          <w:b/>
          <w:szCs w:val="20"/>
          <w:lang w:val="pt-PT"/>
        </w:rPr>
      </w:pPr>
    </w:p>
    <w:p w:rsidR="004B24EE" w:rsidRPr="00FA3856" w:rsidRDefault="004B24EE" w:rsidP="004B24EE">
      <w:pPr>
        <w:pStyle w:val="Corpodetexto"/>
        <w:ind w:left="708"/>
        <w:rPr>
          <w:rFonts w:ascii="Times New Roman" w:hAnsi="Times New Roman"/>
          <w:szCs w:val="20"/>
        </w:rPr>
      </w:pPr>
      <w:r w:rsidRPr="00FA3856">
        <w:rPr>
          <w:rFonts w:ascii="Times New Roman" w:hAnsi="Times New Roman"/>
          <w:b/>
          <w:bCs/>
          <w:szCs w:val="20"/>
        </w:rPr>
        <w:t xml:space="preserve">REGRA_COMPARA_CONT_REF_SI: </w:t>
      </w:r>
      <w:r w:rsidRPr="00FA3856">
        <w:rPr>
          <w:rFonts w:ascii="Times New Roman" w:hAnsi="Times New Roman"/>
          <w:bCs/>
          <w:szCs w:val="20"/>
        </w:rPr>
        <w:t xml:space="preserve">Verifica se </w:t>
      </w:r>
      <w:r w:rsidR="000C72A0" w:rsidRPr="00FA3856">
        <w:rPr>
          <w:rFonts w:ascii="Times New Roman" w:hAnsi="Times New Roman"/>
          <w:bCs/>
          <w:szCs w:val="20"/>
        </w:rPr>
        <w:t>U100.</w:t>
      </w:r>
      <w:r w:rsidR="00733508" w:rsidRPr="00FA3856">
        <w:rPr>
          <w:rFonts w:ascii="Times New Roman" w:hAnsi="Times New Roman"/>
          <w:color w:val="auto"/>
          <w:szCs w:val="20"/>
        </w:rPr>
        <w:t xml:space="preserve">VAL_CTA_REF_INI </w:t>
      </w:r>
      <w:r w:rsidRPr="00FA3856">
        <w:rPr>
          <w:rFonts w:ascii="Times New Roman" w:hAnsi="Times New Roman"/>
          <w:color w:val="auto"/>
          <w:szCs w:val="20"/>
        </w:rPr>
        <w:t>é igual ao somatório dos saldos iniciais dos registros K155 “pai” da mesma conta referencial, multiplicado pelo saldo final do registro K156 dividido pelo saldo final do registro K155 “pai”.</w:t>
      </w:r>
      <w:r w:rsidRPr="00FA3856">
        <w:rPr>
          <w:rFonts w:ascii="Times New Roman" w:hAnsi="Times New Roman"/>
          <w:szCs w:val="20"/>
        </w:rPr>
        <w:t xml:space="preserve"> </w:t>
      </w:r>
      <w:r w:rsidRPr="00FA3856">
        <w:rPr>
          <w:rFonts w:ascii="Times New Roman" w:hAnsi="Times New Roman"/>
          <w:bCs/>
          <w:szCs w:val="20"/>
        </w:rPr>
        <w:t xml:space="preserve">Se </w:t>
      </w:r>
      <w:r w:rsidRPr="00FA3856">
        <w:rPr>
          <w:rFonts w:ascii="Times New Roman" w:hAnsi="Times New Roman"/>
          <w:szCs w:val="20"/>
        </w:rPr>
        <w:t>a regra não for cumprida, a ECF gera um aviso.</w:t>
      </w:r>
    </w:p>
    <w:p w:rsidR="004B24EE" w:rsidRPr="00FA3856" w:rsidRDefault="004B24EE" w:rsidP="004B24EE">
      <w:pPr>
        <w:pStyle w:val="PSDS-CorpodeTexto0"/>
        <w:rPr>
          <w:rFonts w:ascii="Times New Roman" w:hAnsi="Times New Roman"/>
          <w:b/>
        </w:rPr>
      </w:pPr>
    </w:p>
    <w:p w:rsidR="004B24EE" w:rsidRPr="00FA3856" w:rsidRDefault="004B24EE" w:rsidP="004B24EE">
      <w:pPr>
        <w:pStyle w:val="PSDS-CorpodeTexto0"/>
        <w:ind w:left="708"/>
        <w:rPr>
          <w:rFonts w:ascii="Times New Roman" w:hAnsi="Times New Roman"/>
        </w:rPr>
      </w:pPr>
      <w:r w:rsidRPr="00FA3856">
        <w:rPr>
          <w:rFonts w:ascii="Times New Roman" w:hAnsi="Times New Roman"/>
          <w:b/>
          <w:lang w:val="pt-PT"/>
        </w:rPr>
        <w:t xml:space="preserve">REGRA_COMPARA_CONT_REF_SF: </w:t>
      </w:r>
      <w:r w:rsidRPr="00FA3856">
        <w:rPr>
          <w:rFonts w:ascii="Times New Roman" w:hAnsi="Times New Roman"/>
          <w:lang w:val="pt-PT"/>
        </w:rPr>
        <w:t xml:space="preserve">Verifica, para cada período da escrturação, se o somatório do saldo final do registro K156 é igual a  </w:t>
      </w:r>
      <w:r w:rsidR="000C72A0" w:rsidRPr="00FA3856">
        <w:rPr>
          <w:rFonts w:ascii="Times New Roman" w:hAnsi="Times New Roman"/>
          <w:lang w:val="pt-PT"/>
        </w:rPr>
        <w:t>U100.</w:t>
      </w:r>
      <w:r w:rsidR="00733508" w:rsidRPr="00FA3856">
        <w:rPr>
          <w:rFonts w:ascii="Times New Roman" w:hAnsi="Times New Roman"/>
        </w:rPr>
        <w:t>VAL_CTA_REF_INI</w:t>
      </w:r>
      <w:r w:rsidRPr="00FA3856">
        <w:rPr>
          <w:rFonts w:ascii="Times New Roman" w:hAnsi="Times New Roman"/>
        </w:rPr>
        <w:t xml:space="preserve">, para a mesma conta referencial. </w:t>
      </w:r>
      <w:r w:rsidRPr="00FA3856">
        <w:rPr>
          <w:rFonts w:ascii="Times New Roman" w:hAnsi="Times New Roman"/>
          <w:bCs/>
        </w:rPr>
        <w:t xml:space="preserve">Se </w:t>
      </w:r>
      <w:r w:rsidRPr="00FA3856">
        <w:rPr>
          <w:rFonts w:ascii="Times New Roman" w:hAnsi="Times New Roman"/>
        </w:rPr>
        <w:t>a regra não for cumprida, a ECF gera um aviso.</w:t>
      </w:r>
    </w:p>
    <w:p w:rsidR="004B24EE" w:rsidRPr="00FA3856" w:rsidRDefault="004B24EE" w:rsidP="004B24EE">
      <w:pPr>
        <w:rPr>
          <w:b/>
          <w:szCs w:val="20"/>
          <w:lang w:val="pt-PT"/>
        </w:rPr>
      </w:pPr>
    </w:p>
    <w:p w:rsidR="00F058A8" w:rsidRPr="00FA3856" w:rsidRDefault="007D0E74" w:rsidP="00F058A8">
      <w:pPr>
        <w:pStyle w:val="PSDS-CorpodeTexto0"/>
        <w:ind w:left="708"/>
        <w:jc w:val="both"/>
        <w:rPr>
          <w:rFonts w:ascii="Times New Roman" w:hAnsi="Times New Roman"/>
        </w:rPr>
      </w:pPr>
      <w:hyperlink w:anchor="REGRA_COMPATIBILIDADE_R100_E010" w:history="1">
        <w:r w:rsidR="00F058A8">
          <w:rPr>
            <w:rStyle w:val="Hyperlink"/>
            <w:rFonts w:ascii="Times New Roman" w:hAnsi="Times New Roman"/>
            <w:b/>
            <w:color w:val="auto"/>
          </w:rPr>
          <w:t>REGRA_COMPATIBILIDADE_U</w:t>
        </w:r>
        <w:r w:rsidR="00F058A8" w:rsidRPr="00FA3856">
          <w:rPr>
            <w:rStyle w:val="Hyperlink"/>
            <w:rFonts w:ascii="Times New Roman" w:hAnsi="Times New Roman"/>
            <w:b/>
            <w:color w:val="auto"/>
          </w:rPr>
          <w:t>100_E010</w:t>
        </w:r>
      </w:hyperlink>
      <w:r w:rsidR="00F058A8" w:rsidRPr="00FA3856">
        <w:rPr>
          <w:rStyle w:val="Hyperlink"/>
          <w:rFonts w:ascii="Times New Roman" w:hAnsi="Times New Roman"/>
          <w:b/>
          <w:color w:val="auto"/>
        </w:rPr>
        <w:t xml:space="preserve">: </w:t>
      </w:r>
      <w:r w:rsidR="00F058A8">
        <w:rPr>
          <w:rStyle w:val="Hyperlink"/>
          <w:rFonts w:ascii="Times New Roman" w:hAnsi="Times New Roman"/>
          <w:color w:val="auto"/>
        </w:rPr>
        <w:t>Verifica se o saldo inicial do primeiro período de apuração da escrituração é diferente dos saldos finais da ECF recuperada. O erro ocorre se (0010.FORMA_TRIB = “8” ou “9” e 0010.TIP_ESC_PRE = “C”) e 0010.HASH_ECF_ANTERIOR é diferente de vazio e U030.DT.INI é igual a 0000.DT_INI e (U100.</w:t>
      </w:r>
      <w:r w:rsidR="001B58FE">
        <w:rPr>
          <w:rStyle w:val="Hyperlink"/>
          <w:rFonts w:ascii="Times New Roman" w:hAnsi="Times New Roman"/>
          <w:color w:val="auto"/>
        </w:rPr>
        <w:t xml:space="preserve">VAL_CTA_REF_INI diferente de </w:t>
      </w:r>
      <w:r w:rsidR="00F058A8">
        <w:rPr>
          <w:rStyle w:val="Hyperlink"/>
          <w:rFonts w:ascii="Times New Roman" w:hAnsi="Times New Roman"/>
          <w:color w:val="auto"/>
        </w:rPr>
        <w:t xml:space="preserve">zero e não for localizada a mesma conta referencial no registro E010 ou U100.VAL_CTA_REF_INI diferente de E010.VAL_CTA_REF ou U100.IND_VAL_CTA_REF_INI diferente de E010.IND_VAL_CTA_REF). </w:t>
      </w:r>
      <w:r w:rsidR="00F058A8" w:rsidRPr="00FA3856">
        <w:rPr>
          <w:rFonts w:ascii="Times New Roman" w:hAnsi="Times New Roman"/>
          <w:bCs/>
        </w:rPr>
        <w:t xml:space="preserve">Se </w:t>
      </w:r>
      <w:r w:rsidR="00F058A8" w:rsidRPr="00FA3856">
        <w:rPr>
          <w:rFonts w:ascii="Times New Roman" w:hAnsi="Times New Roman"/>
        </w:rPr>
        <w:t xml:space="preserve">a regra não for cumprida, a ECF gera um </w:t>
      </w:r>
      <w:r w:rsidR="00F058A8">
        <w:rPr>
          <w:rFonts w:ascii="Times New Roman" w:hAnsi="Times New Roman"/>
        </w:rPr>
        <w:t>erro.</w:t>
      </w:r>
    </w:p>
    <w:p w:rsidR="004B24EE" w:rsidRPr="00FA3856" w:rsidRDefault="004B24EE" w:rsidP="004B24EE">
      <w:pPr>
        <w:pStyle w:val="Corpodetexto"/>
        <w:rPr>
          <w:rFonts w:ascii="Times New Roman" w:hAnsi="Times New Roman"/>
          <w:szCs w:val="20"/>
        </w:rPr>
      </w:pPr>
    </w:p>
    <w:p w:rsidR="004B24EE" w:rsidRPr="00FA3856" w:rsidRDefault="007D0E74" w:rsidP="004B24EE">
      <w:pPr>
        <w:pStyle w:val="Corpodetexto"/>
        <w:ind w:left="708" w:firstLine="12"/>
        <w:rPr>
          <w:rFonts w:ascii="Times New Roman" w:hAnsi="Times New Roman"/>
          <w:szCs w:val="20"/>
        </w:rPr>
      </w:pPr>
      <w:hyperlink r:id="rId560" w:anchor="REGRA_OCORRENCIA_UNITARIA_ARQ" w:history="1">
        <w:r w:rsidR="004B24EE" w:rsidRPr="00FA3856">
          <w:rPr>
            <w:rFonts w:ascii="Times New Roman" w:hAnsi="Times New Roman"/>
            <w:b/>
            <w:szCs w:val="20"/>
          </w:rPr>
          <w:t>REGRA_</w:t>
        </w:r>
      </w:hyperlink>
      <w:r w:rsidR="004B24EE" w:rsidRPr="00FA3856">
        <w:rPr>
          <w:rFonts w:ascii="Times New Roman" w:hAnsi="Times New Roman"/>
          <w:b/>
          <w:szCs w:val="20"/>
        </w:rPr>
        <w:t>DUPLICIDADE_DESPREZADA</w:t>
      </w:r>
      <w:r w:rsidR="004B24EE" w:rsidRPr="00FA3856">
        <w:rPr>
          <w:rFonts w:ascii="Times New Roman" w:hAnsi="Times New Roman"/>
          <w:color w:val="auto"/>
          <w:szCs w:val="20"/>
        </w:rPr>
        <w:t xml:space="preserve">: </w:t>
      </w:r>
      <w:r w:rsidR="004B24EE" w:rsidRPr="00FA3856">
        <w:rPr>
          <w:rFonts w:ascii="Times New Roman" w:hAnsi="Times New Roman"/>
          <w:szCs w:val="20"/>
        </w:rPr>
        <w:t>Verifica se o registro já foi importado anteriormente, de acordo com a chave e os registros pais. Se a regra não for cumprida, a ECF gera um aviso.</w:t>
      </w:r>
    </w:p>
    <w:p w:rsidR="004B24EE" w:rsidRPr="00FA3856" w:rsidRDefault="004B24EE" w:rsidP="004B24EE">
      <w:pPr>
        <w:pStyle w:val="Corpodetexto"/>
        <w:ind w:left="708" w:firstLine="12"/>
        <w:rPr>
          <w:rFonts w:ascii="Times New Roman" w:hAnsi="Times New Roman"/>
          <w:szCs w:val="20"/>
        </w:rPr>
      </w:pPr>
    </w:p>
    <w:p w:rsidR="004B24EE" w:rsidRPr="00FA3856" w:rsidRDefault="007D0E74" w:rsidP="004B24EE">
      <w:pPr>
        <w:pStyle w:val="Corpodetexto"/>
        <w:ind w:left="708" w:firstLine="12"/>
        <w:rPr>
          <w:rFonts w:ascii="Times New Roman" w:hAnsi="Times New Roman"/>
          <w:szCs w:val="20"/>
        </w:rPr>
      </w:pPr>
      <w:hyperlink r:id="rId561" w:anchor="REGRA_OCORRENCIA_UNITARIA_ARQ" w:history="1">
        <w:r w:rsidR="004B24EE" w:rsidRPr="00FA3856">
          <w:rPr>
            <w:rFonts w:ascii="Times New Roman" w:hAnsi="Times New Roman"/>
            <w:b/>
            <w:szCs w:val="20"/>
          </w:rPr>
          <w:t>REGRA_</w:t>
        </w:r>
      </w:hyperlink>
      <w:r w:rsidR="004B24EE" w:rsidRPr="00FA3856">
        <w:rPr>
          <w:rFonts w:ascii="Times New Roman" w:hAnsi="Times New Roman"/>
          <w:b/>
          <w:szCs w:val="20"/>
        </w:rPr>
        <w:t>LINHA_DESPREZADA</w:t>
      </w:r>
      <w:r w:rsidR="004B24EE" w:rsidRPr="00FA3856">
        <w:rPr>
          <w:rFonts w:ascii="Times New Roman" w:hAnsi="Times New Roman"/>
          <w:color w:val="auto"/>
          <w:szCs w:val="20"/>
        </w:rPr>
        <w:t xml:space="preserve">: </w:t>
      </w:r>
      <w:r w:rsidR="004B24EE" w:rsidRPr="00FA3856">
        <w:rPr>
          <w:rFonts w:ascii="Times New Roman" w:hAnsi="Times New Roman"/>
          <w:szCs w:val="20"/>
        </w:rPr>
        <w:t>Verifica se o registro existe na importação, mas não será importado por não existir na tabela dinâmica devido às configurações do bloco 0 ou da tabela dinâmica. Gera um aviso.</w:t>
      </w:r>
    </w:p>
    <w:p w:rsidR="004B24EE" w:rsidRPr="00FA3856" w:rsidRDefault="004B24EE" w:rsidP="004B24EE">
      <w:pPr>
        <w:pStyle w:val="Corpodetexto"/>
        <w:ind w:left="708" w:firstLine="12"/>
        <w:rPr>
          <w:rFonts w:ascii="Times New Roman" w:hAnsi="Times New Roman"/>
          <w:b/>
          <w:szCs w:val="20"/>
        </w:rPr>
      </w:pPr>
    </w:p>
    <w:p w:rsidR="004B24EE" w:rsidRPr="00FA3856" w:rsidRDefault="007D0E74" w:rsidP="004B24EE">
      <w:pPr>
        <w:pStyle w:val="Corpodetexto"/>
        <w:ind w:left="708" w:firstLine="12"/>
        <w:rPr>
          <w:rFonts w:ascii="Times New Roman" w:hAnsi="Times New Roman"/>
          <w:szCs w:val="20"/>
        </w:rPr>
      </w:pPr>
      <w:hyperlink r:id="rId562" w:anchor="REGRA_OCORRENCIA_UNITARIA_ARQ" w:history="1">
        <w:r w:rsidR="004B24EE" w:rsidRPr="00FA3856">
          <w:rPr>
            <w:rFonts w:ascii="Times New Roman" w:hAnsi="Times New Roman"/>
            <w:b/>
            <w:szCs w:val="20"/>
          </w:rPr>
          <w:t>REGRA_</w:t>
        </w:r>
      </w:hyperlink>
      <w:r w:rsidR="004B24EE" w:rsidRPr="00FA3856">
        <w:rPr>
          <w:rFonts w:ascii="Times New Roman" w:hAnsi="Times New Roman"/>
          <w:b/>
          <w:szCs w:val="20"/>
        </w:rPr>
        <w:t>LINHA_ATUALIZADA</w:t>
      </w:r>
      <w:r w:rsidR="004B24EE" w:rsidRPr="00FA3856">
        <w:rPr>
          <w:rFonts w:ascii="Times New Roman" w:hAnsi="Times New Roman"/>
          <w:color w:val="auto"/>
          <w:szCs w:val="20"/>
        </w:rPr>
        <w:t xml:space="preserve">: </w:t>
      </w:r>
      <w:r w:rsidR="004B24EE" w:rsidRPr="00FA3856">
        <w:rPr>
          <w:rFonts w:ascii="Times New Roman" w:hAnsi="Times New Roman"/>
          <w:szCs w:val="20"/>
        </w:rPr>
        <w:t>Verifica se o registro está desatualizado em relação à tabela da RFB. Gera um aviso.</w:t>
      </w:r>
    </w:p>
    <w:p w:rsidR="00231B11" w:rsidRPr="00FA3856" w:rsidRDefault="00231B11" w:rsidP="00231B11">
      <w:pPr>
        <w:shd w:val="clear" w:color="auto" w:fill="FFFFFF"/>
        <w:spacing w:before="100" w:beforeAutospacing="1" w:after="100" w:afterAutospacing="1"/>
        <w:ind w:left="708" w:firstLine="12"/>
        <w:rPr>
          <w:color w:val="222222"/>
          <w:szCs w:val="20"/>
        </w:rPr>
      </w:pPr>
      <w:r w:rsidRPr="00FA3856">
        <w:rPr>
          <w:b/>
          <w:bCs/>
          <w:color w:val="222222"/>
          <w:szCs w:val="20"/>
        </w:rPr>
        <w:t>REGRA_BALANCO_SALDO_FINAL: </w:t>
      </w:r>
      <w:r w:rsidRPr="00FA3856">
        <w:rPr>
          <w:color w:val="222222"/>
          <w:szCs w:val="20"/>
        </w:rPr>
        <w:t>Verifica se o saldo final do ativo é igual ao saldo final do passivo. Gera um erro, caso U030.PER_APUR = “T04”.</w:t>
      </w:r>
    </w:p>
    <w:p w:rsidR="00231B11" w:rsidRPr="00FA3856" w:rsidRDefault="00231B11" w:rsidP="00231B11">
      <w:pPr>
        <w:shd w:val="clear" w:color="auto" w:fill="FFFFFF"/>
        <w:spacing w:before="100" w:beforeAutospacing="1" w:after="100" w:afterAutospacing="1"/>
        <w:ind w:left="708" w:firstLine="12"/>
        <w:rPr>
          <w:color w:val="222222"/>
          <w:szCs w:val="20"/>
        </w:rPr>
      </w:pPr>
      <w:r w:rsidRPr="00FA3856">
        <w:rPr>
          <w:b/>
          <w:bCs/>
          <w:color w:val="222222"/>
          <w:szCs w:val="20"/>
        </w:rPr>
        <w:t>REGRA_BALANCO_SALDO_INICIAL: </w:t>
      </w:r>
      <w:r w:rsidRPr="00FA3856">
        <w:rPr>
          <w:color w:val="222222"/>
          <w:szCs w:val="20"/>
        </w:rPr>
        <w:t>Verifica se o saldo inicial do ativo é igual ao saldo inicial do passivo. Gera um erro, caso U030.PER_APUR = “T01”.</w:t>
      </w:r>
    </w:p>
    <w:p w:rsidR="00D74F79" w:rsidRPr="00FA3856" w:rsidRDefault="00D74F79" w:rsidP="00F85F88">
      <w:pPr>
        <w:rPr>
          <w:b/>
          <w:szCs w:val="20"/>
        </w:rPr>
      </w:pPr>
    </w:p>
    <w:p w:rsidR="00211735" w:rsidRDefault="00211735">
      <w:pPr>
        <w:spacing w:after="200" w:line="276" w:lineRule="auto"/>
        <w:rPr>
          <w:b/>
          <w:szCs w:val="20"/>
          <w:lang w:val="pt-PT"/>
        </w:rPr>
      </w:pPr>
      <w:r>
        <w:rPr>
          <w:b/>
          <w:szCs w:val="20"/>
          <w:lang w:val="pt-PT"/>
        </w:rPr>
        <w:br w:type="page"/>
      </w:r>
    </w:p>
    <w:p w:rsidR="00211735" w:rsidRPr="00FA3856" w:rsidRDefault="00211735" w:rsidP="00211735">
      <w:pPr>
        <w:rPr>
          <w:b/>
          <w:szCs w:val="20"/>
          <w:lang w:val="pt-PT"/>
        </w:rPr>
      </w:pPr>
      <w:r>
        <w:rPr>
          <w:b/>
          <w:szCs w:val="20"/>
          <w:lang w:val="pt-PT"/>
        </w:rPr>
        <w:lastRenderedPageBreak/>
        <w:t>II</w:t>
      </w:r>
      <w:r w:rsidRPr="00FA3856">
        <w:rPr>
          <w:b/>
          <w:szCs w:val="20"/>
          <w:lang w:val="pt-PT"/>
        </w:rPr>
        <w:t xml:space="preserve"> – </w:t>
      </w:r>
      <w:r>
        <w:rPr>
          <w:b/>
          <w:szCs w:val="20"/>
          <w:lang w:val="pt-PT"/>
        </w:rPr>
        <w:t>Plano de Contas Referencial</w:t>
      </w:r>
      <w:r w:rsidRPr="00FA3856">
        <w:rPr>
          <w:b/>
          <w:szCs w:val="20"/>
          <w:lang w:val="pt-PT"/>
        </w:rPr>
        <w:t>:</w:t>
      </w:r>
    </w:p>
    <w:p w:rsidR="00211735" w:rsidRPr="00FA3856" w:rsidRDefault="00211735" w:rsidP="00211735">
      <w:pPr>
        <w:rPr>
          <w:b/>
          <w:szCs w:val="20"/>
          <w:lang w:val="pt-PT"/>
        </w:rPr>
      </w:pPr>
      <w:r w:rsidRPr="00FA3856">
        <w:rPr>
          <w:b/>
          <w:szCs w:val="20"/>
          <w:lang w:val="pt-PT"/>
        </w:rPr>
        <w:t>Código: Chave da linha.</w:t>
      </w:r>
    </w:p>
    <w:p w:rsidR="00211735" w:rsidRPr="00FA3856" w:rsidRDefault="00211735" w:rsidP="00211735">
      <w:pPr>
        <w:rPr>
          <w:b/>
          <w:szCs w:val="20"/>
          <w:lang w:val="pt-PT"/>
        </w:rPr>
      </w:pPr>
      <w:r w:rsidRPr="00FA3856">
        <w:rPr>
          <w:b/>
          <w:szCs w:val="20"/>
          <w:lang w:val="pt-PT"/>
        </w:rPr>
        <w:t>Ordem: Ordem de apresentação das linhas.</w:t>
      </w:r>
    </w:p>
    <w:p w:rsidR="00211735" w:rsidRPr="00FA3856" w:rsidRDefault="00211735" w:rsidP="00211735">
      <w:pPr>
        <w:rPr>
          <w:b/>
          <w:szCs w:val="20"/>
          <w:lang w:val="pt-PT"/>
        </w:rPr>
      </w:pPr>
      <w:r w:rsidRPr="00FA3856">
        <w:rPr>
          <w:b/>
          <w:szCs w:val="20"/>
          <w:lang w:val="pt-PT"/>
        </w:rPr>
        <w:t>Tipo: S = Sintética; A = Analítica</w:t>
      </w:r>
    </w:p>
    <w:p w:rsidR="00211735" w:rsidRDefault="00211735" w:rsidP="00211735">
      <w:pPr>
        <w:tabs>
          <w:tab w:val="left" w:pos="2985"/>
        </w:tabs>
        <w:rPr>
          <w:b/>
          <w:szCs w:val="20"/>
          <w:lang w:val="pt-PT"/>
        </w:rPr>
      </w:pPr>
      <w:r w:rsidRPr="00FA3856">
        <w:rPr>
          <w:b/>
          <w:szCs w:val="20"/>
          <w:lang w:val="pt-PT"/>
        </w:rPr>
        <w:t>Natureza: 01 = Ativo; 02 = Passivo; 03 = Patrimônio Líquido</w:t>
      </w:r>
    </w:p>
    <w:p w:rsidR="00211735" w:rsidRDefault="00211735" w:rsidP="00211735">
      <w:pPr>
        <w:rPr>
          <w:b/>
          <w:szCs w:val="20"/>
        </w:rPr>
      </w:pPr>
    </w:p>
    <w:p w:rsidR="00211735" w:rsidRPr="00211735" w:rsidRDefault="00211735" w:rsidP="00D467F3">
      <w:pPr>
        <w:rPr>
          <w:b/>
          <w:szCs w:val="20"/>
        </w:rPr>
      </w:pPr>
      <w:r>
        <w:rPr>
          <w:b/>
          <w:szCs w:val="20"/>
        </w:rPr>
        <w:t xml:space="preserve">II.1 – </w:t>
      </w:r>
      <w:r w:rsidR="00891D00" w:rsidRPr="00891D00">
        <w:rPr>
          <w:b/>
          <w:szCs w:val="20"/>
        </w:rPr>
        <w:t>U100A - Plano de Contas Referencial - Contas Patrimoniais - Imunes e Isentas - PJ em Geral</w:t>
      </w:r>
      <w:r w:rsidR="00891D00">
        <w:rPr>
          <w:b/>
          <w:szCs w:val="20"/>
        </w:rPr>
        <w:t>:</w:t>
      </w:r>
    </w:p>
    <w:p w:rsidR="00211735" w:rsidRDefault="00486CDA" w:rsidP="00D467F3">
      <w:pPr>
        <w:rPr>
          <w:rFonts w:eastAsia="Arial Unicode MS"/>
          <w:szCs w:val="20"/>
          <w:lang w:eastAsia="ar-SA"/>
        </w:rPr>
      </w:pPr>
      <w:r>
        <w:rPr>
          <w:rFonts w:eastAsia="Arial Unicode MS"/>
          <w:szCs w:val="20"/>
          <w:lang w:eastAsia="ar-SA"/>
        </w:rPr>
        <w:object w:dxaOrig="1534" w:dyaOrig="997">
          <v:shape id="_x0000_i1228" type="#_x0000_t75" style="width:79.5pt;height:50.25pt" o:ole="">
            <v:imagedata r:id="rId563" o:title=""/>
          </v:shape>
          <o:OLEObject Type="Link" ProgID="Excel.Sheet.12" ShapeID="_x0000_i1228" DrawAspect="Content" r:id="rId564" UpdateMode="OnCall">
            <o:LinkType>EnhancedMetaFile</o:LinkType>
            <o:LockedField>false</o:LockedField>
          </o:OLEObject>
        </w:object>
      </w:r>
    </w:p>
    <w:p w:rsidR="00211735" w:rsidRPr="00211735" w:rsidRDefault="00211735" w:rsidP="00D467F3">
      <w:pPr>
        <w:rPr>
          <w:b/>
          <w:szCs w:val="20"/>
        </w:rPr>
      </w:pPr>
      <w:r>
        <w:rPr>
          <w:b/>
          <w:szCs w:val="20"/>
        </w:rPr>
        <w:t xml:space="preserve">II.2 – </w:t>
      </w:r>
      <w:r w:rsidR="00891D00" w:rsidRPr="00891D00">
        <w:rPr>
          <w:b/>
          <w:szCs w:val="20"/>
        </w:rPr>
        <w:t>U100B - Plano de Contas Referencial - Contas Patrimoniais - Imunes e Isentas - Associação de Poupança e Empréstimo</w:t>
      </w:r>
      <w:r w:rsidR="00891D00">
        <w:rPr>
          <w:b/>
          <w:szCs w:val="20"/>
        </w:rPr>
        <w:t>:</w:t>
      </w:r>
    </w:p>
    <w:p w:rsidR="00211735" w:rsidRDefault="00486CDA" w:rsidP="00D467F3">
      <w:pPr>
        <w:rPr>
          <w:rFonts w:eastAsia="Arial Unicode MS"/>
          <w:bCs/>
          <w:color w:val="0000FF"/>
          <w:szCs w:val="20"/>
          <w:lang w:eastAsia="ar-SA"/>
        </w:rPr>
      </w:pPr>
      <w:r>
        <w:rPr>
          <w:rFonts w:eastAsia="Arial Unicode MS"/>
          <w:bCs/>
          <w:color w:val="0000FF"/>
          <w:szCs w:val="20"/>
          <w:lang w:eastAsia="ar-SA"/>
        </w:rPr>
        <w:object w:dxaOrig="1534" w:dyaOrig="997">
          <v:shape id="_x0000_i1229" type="#_x0000_t75" style="width:79.5pt;height:50.25pt" o:ole="">
            <v:imagedata r:id="rId565" o:title=""/>
          </v:shape>
          <o:OLEObject Type="Link" ProgID="Excel.Sheet.12" ShapeID="_x0000_i1229" DrawAspect="Content" r:id="rId566" UpdateMode="OnCall">
            <o:LinkType>EnhancedMetaFile</o:LinkType>
            <o:LockedField>false</o:LockedField>
          </o:OLEObject>
        </w:object>
      </w:r>
    </w:p>
    <w:p w:rsidR="00D467F3" w:rsidRDefault="00211735" w:rsidP="00D467F3">
      <w:pPr>
        <w:rPr>
          <w:rFonts w:eastAsia="Arial Unicode MS"/>
          <w:bCs/>
          <w:color w:val="0000FF"/>
          <w:szCs w:val="20"/>
          <w:lang w:eastAsia="ar-SA"/>
        </w:rPr>
      </w:pPr>
      <w:r>
        <w:rPr>
          <w:b/>
          <w:szCs w:val="20"/>
        </w:rPr>
        <w:t xml:space="preserve">II.3 – </w:t>
      </w:r>
      <w:r w:rsidR="00891D00" w:rsidRPr="00891D00">
        <w:rPr>
          <w:b/>
          <w:szCs w:val="20"/>
        </w:rPr>
        <w:t>U100C - Plano de Contas Referencial - Contas Patrimoniais - Imunes e Isentas - Entidades Abertas de Previdência Complementar (Sem Fins Lucrativos)</w:t>
      </w:r>
      <w:r w:rsidR="00891D00">
        <w:rPr>
          <w:b/>
          <w:szCs w:val="20"/>
        </w:rPr>
        <w:t>:</w:t>
      </w:r>
    </w:p>
    <w:p w:rsidR="00990970" w:rsidRPr="00D467F3" w:rsidRDefault="00486CDA" w:rsidP="00D467F3">
      <w:pPr>
        <w:rPr>
          <w:rFonts w:eastAsia="Arial Unicode MS"/>
          <w:bCs/>
          <w:color w:val="0000FF"/>
          <w:szCs w:val="20"/>
          <w:lang w:eastAsia="ar-SA"/>
        </w:rPr>
      </w:pPr>
      <w:r>
        <w:rPr>
          <w:rFonts w:eastAsia="Arial Unicode MS"/>
          <w:bCs/>
          <w:color w:val="0000FF"/>
          <w:szCs w:val="20"/>
          <w:lang w:eastAsia="ar-SA"/>
        </w:rPr>
        <w:object w:dxaOrig="1534" w:dyaOrig="997">
          <v:shape id="_x0000_i1230" type="#_x0000_t75" style="width:79.5pt;height:50.25pt" o:ole="">
            <v:imagedata r:id="rId567" o:title=""/>
          </v:shape>
          <o:OLEObject Type="Link" ProgID="Excel.Sheet.12" ShapeID="_x0000_i1230" DrawAspect="Content" r:id="rId568" UpdateMode="OnCall">
            <o:LinkType>EnhancedMetaFile</o:LinkType>
            <o:LockedField>false</o:LockedField>
          </o:OLEObject>
        </w:object>
      </w:r>
    </w:p>
    <w:p w:rsidR="00211735" w:rsidRPr="00211735" w:rsidRDefault="00211735" w:rsidP="00D467F3">
      <w:pPr>
        <w:rPr>
          <w:rFonts w:eastAsia="Arial Unicode MS"/>
          <w:bCs/>
          <w:color w:val="0000FF"/>
          <w:szCs w:val="20"/>
          <w:lang w:eastAsia="ar-SA"/>
        </w:rPr>
      </w:pPr>
      <w:r>
        <w:rPr>
          <w:b/>
          <w:szCs w:val="20"/>
        </w:rPr>
        <w:t xml:space="preserve">II.4 – </w:t>
      </w:r>
      <w:r w:rsidR="00891D00" w:rsidRPr="00891D00">
        <w:rPr>
          <w:b/>
          <w:szCs w:val="20"/>
        </w:rPr>
        <w:t>U100D - Plano de Contas Referencial - Contas Patrimoniais - Imunes e Isentas - Entidades Fechadas de Previdência Complementar</w:t>
      </w:r>
      <w:r w:rsidR="00891D00">
        <w:rPr>
          <w:b/>
          <w:szCs w:val="20"/>
        </w:rPr>
        <w:t>:</w:t>
      </w:r>
    </w:p>
    <w:p w:rsidR="00B26302" w:rsidRPr="00D467F3" w:rsidRDefault="00486CDA" w:rsidP="00D467F3">
      <w:pPr>
        <w:rPr>
          <w:rFonts w:eastAsia="Arial Unicode MS"/>
          <w:lang w:eastAsia="ar-SA"/>
        </w:rPr>
      </w:pPr>
      <w:r>
        <w:rPr>
          <w:rFonts w:eastAsia="Arial Unicode MS"/>
          <w:lang w:eastAsia="ar-SA"/>
        </w:rPr>
        <w:object w:dxaOrig="1534" w:dyaOrig="997">
          <v:shape id="_x0000_i1231" type="#_x0000_t75" style="width:79.5pt;height:50.25pt" o:ole="">
            <v:imagedata r:id="rId569" o:title=""/>
          </v:shape>
          <o:OLEObject Type="Link" ProgID="Excel.Sheet.12" ShapeID="_x0000_i1231" DrawAspect="Content" r:id="rId570" UpdateMode="OnCall">
            <o:LinkType>EnhancedMetaFile</o:LinkType>
            <o:LockedField>false</o:LockedField>
          </o:OLEObject>
        </w:object>
      </w:r>
    </w:p>
    <w:p w:rsidR="008F5C50" w:rsidRPr="00FA3856" w:rsidRDefault="00D467F3" w:rsidP="00F85F88">
      <w:pPr>
        <w:rPr>
          <w:b/>
          <w:szCs w:val="20"/>
        </w:rPr>
      </w:pPr>
      <w:r>
        <w:rPr>
          <w:b/>
          <w:szCs w:val="20"/>
        </w:rPr>
        <w:t xml:space="preserve">II.5 – </w:t>
      </w:r>
      <w:r w:rsidR="00891D00" w:rsidRPr="00891D00">
        <w:rPr>
          <w:b/>
          <w:szCs w:val="20"/>
        </w:rPr>
        <w:t>U100E - Plano de Contas Referencial - Contas Patrimoniais - Imunes e Isentas - Partidos Políticos</w:t>
      </w:r>
      <w:r w:rsidR="00891D00">
        <w:rPr>
          <w:b/>
          <w:szCs w:val="20"/>
        </w:rPr>
        <w:t>:</w:t>
      </w:r>
    </w:p>
    <w:p w:rsidR="00D467F3" w:rsidRDefault="00486CDA">
      <w:pPr>
        <w:spacing w:after="200" w:line="276" w:lineRule="auto"/>
        <w:rPr>
          <w:b/>
          <w:color w:val="002060"/>
          <w:szCs w:val="20"/>
          <w:lang w:eastAsia="ar-SA"/>
        </w:rPr>
      </w:pPr>
      <w:r>
        <w:rPr>
          <w:b/>
          <w:color w:val="002060"/>
          <w:szCs w:val="20"/>
        </w:rPr>
        <w:object w:dxaOrig="1534" w:dyaOrig="997">
          <v:shape id="_x0000_i1232" type="#_x0000_t75" style="width:79.5pt;height:50.25pt" o:ole="">
            <v:imagedata r:id="rId571" o:title=""/>
          </v:shape>
          <o:OLEObject Type="Link" ProgID="Excel.Sheet.12" ShapeID="_x0000_i1232" DrawAspect="Content" r:id="rId572" UpdateMode="OnCall">
            <o:LinkType>EnhancedMetaFile</o:LinkType>
            <o:LockedField>false</o:LockedField>
          </o:OLEObject>
        </w:object>
      </w:r>
      <w:r w:rsidR="00D467F3">
        <w:rPr>
          <w:b/>
          <w:color w:val="002060"/>
          <w:szCs w:val="20"/>
        </w:rPr>
        <w:br w:type="page"/>
      </w:r>
    </w:p>
    <w:p w:rsidR="00D467F3" w:rsidRDefault="000C72A0" w:rsidP="006A4A22">
      <w:pPr>
        <w:pStyle w:val="Corpodetexto"/>
        <w:rPr>
          <w:rFonts w:ascii="Times New Roman" w:hAnsi="Times New Roman"/>
          <w:b/>
          <w:color w:val="002060"/>
          <w:szCs w:val="20"/>
        </w:rPr>
      </w:pPr>
      <w:r w:rsidRPr="00FA3856">
        <w:rPr>
          <w:rFonts w:ascii="Times New Roman" w:hAnsi="Times New Roman"/>
          <w:b/>
          <w:color w:val="002060"/>
          <w:szCs w:val="20"/>
        </w:rPr>
        <w:lastRenderedPageBreak/>
        <w:t xml:space="preserve">Exemplo de Preenchimento: </w:t>
      </w:r>
    </w:p>
    <w:p w:rsidR="00D467F3" w:rsidRDefault="00D467F3" w:rsidP="006A4A22">
      <w:pPr>
        <w:pStyle w:val="Corpodetexto"/>
        <w:rPr>
          <w:rFonts w:ascii="Times New Roman" w:hAnsi="Times New Roman"/>
          <w:b/>
          <w:color w:val="002060"/>
          <w:szCs w:val="20"/>
        </w:rPr>
      </w:pPr>
    </w:p>
    <w:p w:rsidR="006A4A22" w:rsidRPr="00FA3856" w:rsidRDefault="006A4A22" w:rsidP="006A4A22">
      <w:pPr>
        <w:pStyle w:val="Corpodetexto"/>
        <w:rPr>
          <w:rFonts w:ascii="Times New Roman" w:hAnsi="Times New Roman"/>
          <w:b/>
          <w:color w:val="002060"/>
          <w:szCs w:val="20"/>
        </w:rPr>
      </w:pPr>
      <w:r w:rsidRPr="00FA3856">
        <w:rPr>
          <w:rFonts w:ascii="Times New Roman" w:hAnsi="Times New Roman"/>
          <w:b/>
          <w:color w:val="002060"/>
          <w:szCs w:val="20"/>
        </w:rPr>
        <w:t>|U100|2.03.02.04.01|SUPERÁVIT/DÉFICIT ACUMULADO|A|5|03|2.03.02.04|10000,00|C|</w:t>
      </w:r>
      <w:r w:rsidR="00116FBF" w:rsidRPr="00FA3856">
        <w:rPr>
          <w:rFonts w:ascii="Times New Roman" w:hAnsi="Times New Roman"/>
          <w:b/>
          <w:color w:val="002060"/>
          <w:szCs w:val="20"/>
        </w:rPr>
        <w:t>20000,00|C|</w:t>
      </w:r>
    </w:p>
    <w:p w:rsidR="006A4A22" w:rsidRPr="00FA3856" w:rsidRDefault="006A4A22" w:rsidP="006A4A22">
      <w:pPr>
        <w:pStyle w:val="Corpodetexto"/>
        <w:ind w:firstLine="708"/>
        <w:rPr>
          <w:rFonts w:ascii="Times New Roman" w:hAnsi="Times New Roman"/>
          <w:color w:val="002060"/>
          <w:szCs w:val="20"/>
        </w:rPr>
      </w:pPr>
      <w:r w:rsidRPr="00FA3856">
        <w:rPr>
          <w:rFonts w:ascii="Times New Roman" w:hAnsi="Times New Roman"/>
          <w:color w:val="002060"/>
          <w:szCs w:val="20"/>
        </w:rPr>
        <w:t>|U100|: Identificação do tipo do registro.</w:t>
      </w:r>
    </w:p>
    <w:p w:rsidR="006A4A22" w:rsidRPr="00FA3856" w:rsidRDefault="006A4A22" w:rsidP="006A4A22">
      <w:pPr>
        <w:pStyle w:val="Corpodetexto"/>
        <w:ind w:firstLine="708"/>
        <w:rPr>
          <w:rFonts w:ascii="Times New Roman" w:hAnsi="Times New Roman"/>
          <w:color w:val="002060"/>
          <w:szCs w:val="20"/>
        </w:rPr>
      </w:pPr>
      <w:r w:rsidRPr="00FA3856">
        <w:rPr>
          <w:rFonts w:ascii="Times New Roman" w:hAnsi="Times New Roman"/>
          <w:color w:val="002060"/>
          <w:szCs w:val="20"/>
        </w:rPr>
        <w:t>|2.03.02.04.01|: Código da linha.</w:t>
      </w:r>
      <w:r w:rsidRPr="00FA3856">
        <w:rPr>
          <w:rFonts w:ascii="Times New Roman" w:hAnsi="Times New Roman"/>
          <w:color w:val="002060"/>
          <w:szCs w:val="20"/>
        </w:rPr>
        <w:tab/>
      </w:r>
    </w:p>
    <w:p w:rsidR="006A4A22" w:rsidRPr="00FA3856" w:rsidRDefault="006A4A22" w:rsidP="006A4A22">
      <w:pPr>
        <w:pStyle w:val="Corpodetexto"/>
        <w:ind w:firstLine="708"/>
        <w:rPr>
          <w:rFonts w:ascii="Times New Roman" w:hAnsi="Times New Roman"/>
          <w:color w:val="002060"/>
          <w:szCs w:val="20"/>
        </w:rPr>
      </w:pPr>
      <w:r w:rsidRPr="00FA3856">
        <w:rPr>
          <w:rFonts w:ascii="Times New Roman" w:hAnsi="Times New Roman"/>
          <w:color w:val="002060"/>
          <w:szCs w:val="20"/>
        </w:rPr>
        <w:t>|SUPERÁVIT/DÉFICIT ACUMULADO|: Descrição da linha.</w:t>
      </w:r>
    </w:p>
    <w:p w:rsidR="006A4A22" w:rsidRPr="00FA3856" w:rsidRDefault="006A4A22" w:rsidP="006A4A22">
      <w:pPr>
        <w:pStyle w:val="Corpodetexto"/>
        <w:ind w:firstLine="708"/>
        <w:rPr>
          <w:rFonts w:ascii="Times New Roman" w:hAnsi="Times New Roman"/>
          <w:color w:val="002060"/>
          <w:szCs w:val="20"/>
        </w:rPr>
      </w:pPr>
      <w:r w:rsidRPr="00FA3856">
        <w:rPr>
          <w:rFonts w:ascii="Times New Roman" w:hAnsi="Times New Roman"/>
          <w:color w:val="002060"/>
          <w:szCs w:val="20"/>
        </w:rPr>
        <w:t>|A|: Tipo da conta (A = Analítica).</w:t>
      </w:r>
    </w:p>
    <w:p w:rsidR="006A4A22" w:rsidRPr="00FA3856" w:rsidRDefault="006A4A22" w:rsidP="006A4A22">
      <w:pPr>
        <w:pStyle w:val="Corpodetexto"/>
        <w:ind w:firstLine="708"/>
        <w:rPr>
          <w:rFonts w:ascii="Times New Roman" w:hAnsi="Times New Roman"/>
          <w:color w:val="002060"/>
          <w:szCs w:val="20"/>
        </w:rPr>
      </w:pPr>
      <w:r w:rsidRPr="00FA3856">
        <w:rPr>
          <w:rFonts w:ascii="Times New Roman" w:hAnsi="Times New Roman"/>
          <w:color w:val="002060"/>
          <w:szCs w:val="20"/>
        </w:rPr>
        <w:t>|5|: Nível da conta.</w:t>
      </w:r>
    </w:p>
    <w:p w:rsidR="006A4A22" w:rsidRPr="00FA3856" w:rsidRDefault="006A4A22" w:rsidP="006A4A22">
      <w:pPr>
        <w:pStyle w:val="Corpodetexto"/>
        <w:ind w:firstLine="708"/>
        <w:rPr>
          <w:rFonts w:ascii="Times New Roman" w:hAnsi="Times New Roman"/>
          <w:color w:val="002060"/>
          <w:szCs w:val="20"/>
        </w:rPr>
      </w:pPr>
      <w:r w:rsidRPr="00FA3856">
        <w:rPr>
          <w:rFonts w:ascii="Times New Roman" w:hAnsi="Times New Roman"/>
          <w:color w:val="002060"/>
          <w:szCs w:val="20"/>
        </w:rPr>
        <w:t>|03|: Natureza da conta (03 = Contas do Patrimônio Líquido).</w:t>
      </w:r>
    </w:p>
    <w:p w:rsidR="006A4A22" w:rsidRPr="00FA3856" w:rsidRDefault="006A4A22" w:rsidP="006A4A22">
      <w:pPr>
        <w:pStyle w:val="Corpodetexto"/>
        <w:ind w:firstLine="708"/>
        <w:rPr>
          <w:rFonts w:ascii="Times New Roman" w:hAnsi="Times New Roman"/>
          <w:color w:val="002060"/>
          <w:szCs w:val="20"/>
        </w:rPr>
      </w:pPr>
      <w:r w:rsidRPr="00FA3856">
        <w:rPr>
          <w:rFonts w:ascii="Times New Roman" w:hAnsi="Times New Roman"/>
          <w:color w:val="002060"/>
          <w:szCs w:val="20"/>
        </w:rPr>
        <w:t>|2.03.02.04|: Código da conta superior.</w:t>
      </w:r>
    </w:p>
    <w:p w:rsidR="006A4A22" w:rsidRPr="00FA3856" w:rsidRDefault="006A4A22" w:rsidP="006A4A22">
      <w:pPr>
        <w:pStyle w:val="Corpodetexto"/>
        <w:ind w:firstLine="708"/>
        <w:rPr>
          <w:rFonts w:ascii="Times New Roman" w:hAnsi="Times New Roman"/>
          <w:color w:val="002060"/>
          <w:szCs w:val="20"/>
        </w:rPr>
      </w:pPr>
      <w:r w:rsidRPr="00FA3856">
        <w:rPr>
          <w:rFonts w:ascii="Times New Roman" w:hAnsi="Times New Roman"/>
          <w:color w:val="002060"/>
          <w:szCs w:val="20"/>
        </w:rPr>
        <w:t xml:space="preserve">|10000,00|: Valor </w:t>
      </w:r>
      <w:r w:rsidR="00116FBF" w:rsidRPr="00FA3856">
        <w:rPr>
          <w:rFonts w:ascii="Times New Roman" w:hAnsi="Times New Roman"/>
          <w:color w:val="002060"/>
          <w:szCs w:val="20"/>
        </w:rPr>
        <w:t>do saldo inicial</w:t>
      </w:r>
      <w:r w:rsidRPr="00FA3856">
        <w:rPr>
          <w:rFonts w:ascii="Times New Roman" w:hAnsi="Times New Roman"/>
          <w:color w:val="002060"/>
          <w:szCs w:val="20"/>
        </w:rPr>
        <w:t xml:space="preserve"> (R$ 10.000,00).</w:t>
      </w:r>
    </w:p>
    <w:p w:rsidR="006A4A22" w:rsidRPr="00FA3856" w:rsidRDefault="00116FBF" w:rsidP="006A4A22">
      <w:pPr>
        <w:pStyle w:val="Corpodetexto"/>
        <w:ind w:firstLine="708"/>
        <w:rPr>
          <w:rFonts w:ascii="Times New Roman" w:hAnsi="Times New Roman"/>
          <w:color w:val="002060"/>
          <w:szCs w:val="20"/>
        </w:rPr>
      </w:pPr>
      <w:r w:rsidRPr="00FA3856">
        <w:rPr>
          <w:rFonts w:ascii="Times New Roman" w:hAnsi="Times New Roman"/>
          <w:color w:val="002060"/>
          <w:szCs w:val="20"/>
        </w:rPr>
        <w:t>|C|: Indicador do sin</w:t>
      </w:r>
      <w:r w:rsidR="006A4A22" w:rsidRPr="00FA3856">
        <w:rPr>
          <w:rFonts w:ascii="Times New Roman" w:hAnsi="Times New Roman"/>
          <w:color w:val="002060"/>
          <w:szCs w:val="20"/>
        </w:rPr>
        <w:t>a</w:t>
      </w:r>
      <w:r w:rsidRPr="00FA3856">
        <w:rPr>
          <w:rFonts w:ascii="Times New Roman" w:hAnsi="Times New Roman"/>
          <w:color w:val="002060"/>
          <w:szCs w:val="20"/>
        </w:rPr>
        <w:t xml:space="preserve">l do saldo </w:t>
      </w:r>
      <w:r w:rsidR="0063733D" w:rsidRPr="00FA3856">
        <w:rPr>
          <w:rFonts w:ascii="Times New Roman" w:hAnsi="Times New Roman"/>
          <w:color w:val="002060"/>
          <w:szCs w:val="20"/>
        </w:rPr>
        <w:t>inicial</w:t>
      </w:r>
      <w:r w:rsidR="006A4A22" w:rsidRPr="00FA3856">
        <w:rPr>
          <w:rFonts w:ascii="Times New Roman" w:hAnsi="Times New Roman"/>
          <w:color w:val="002060"/>
          <w:szCs w:val="20"/>
        </w:rPr>
        <w:t xml:space="preserve"> da conta (C = Credor).</w:t>
      </w:r>
    </w:p>
    <w:p w:rsidR="00116FBF" w:rsidRPr="00FA3856" w:rsidRDefault="00116FBF" w:rsidP="00116FBF">
      <w:pPr>
        <w:pStyle w:val="Corpodetexto"/>
        <w:ind w:firstLine="708"/>
        <w:rPr>
          <w:rFonts w:ascii="Times New Roman" w:hAnsi="Times New Roman"/>
          <w:color w:val="002060"/>
          <w:szCs w:val="20"/>
        </w:rPr>
      </w:pPr>
      <w:r w:rsidRPr="00FA3856">
        <w:rPr>
          <w:rFonts w:ascii="Times New Roman" w:hAnsi="Times New Roman"/>
          <w:color w:val="002060"/>
          <w:szCs w:val="20"/>
        </w:rPr>
        <w:t>|20000,00|: Valor do saldo inicial (R$ 20.000,00).</w:t>
      </w:r>
    </w:p>
    <w:p w:rsidR="00116FBF" w:rsidRPr="00FA3856" w:rsidRDefault="00116FBF" w:rsidP="00116FBF">
      <w:pPr>
        <w:pStyle w:val="Corpodetexto"/>
        <w:ind w:firstLine="708"/>
        <w:rPr>
          <w:rFonts w:ascii="Times New Roman" w:hAnsi="Times New Roman"/>
          <w:color w:val="002060"/>
          <w:szCs w:val="20"/>
        </w:rPr>
      </w:pPr>
      <w:r w:rsidRPr="00FA3856">
        <w:rPr>
          <w:rFonts w:ascii="Times New Roman" w:hAnsi="Times New Roman"/>
          <w:color w:val="002060"/>
          <w:szCs w:val="20"/>
        </w:rPr>
        <w:t>|C|: Indicador do sinal do saldo final da conta (C = Credor).</w:t>
      </w:r>
    </w:p>
    <w:p w:rsidR="00116FBF" w:rsidRPr="00FA3856" w:rsidRDefault="00116FBF" w:rsidP="006A4A22">
      <w:pPr>
        <w:pStyle w:val="Corpodetexto"/>
        <w:ind w:firstLine="708"/>
        <w:rPr>
          <w:rFonts w:ascii="Times New Roman" w:hAnsi="Times New Roman"/>
          <w:color w:val="002060"/>
          <w:szCs w:val="20"/>
        </w:rPr>
      </w:pPr>
    </w:p>
    <w:p w:rsidR="006A4A22" w:rsidRPr="00FA3856" w:rsidRDefault="006A4A22" w:rsidP="007564CC">
      <w:pPr>
        <w:pStyle w:val="Corpodetexto"/>
        <w:ind w:firstLine="708"/>
        <w:rPr>
          <w:rFonts w:ascii="Times New Roman" w:hAnsi="Times New Roman"/>
          <w:color w:val="002060"/>
          <w:szCs w:val="20"/>
        </w:rPr>
      </w:pPr>
    </w:p>
    <w:p w:rsidR="00273015" w:rsidRPr="00FA3856" w:rsidRDefault="00273015">
      <w:pPr>
        <w:rPr>
          <w:b/>
          <w:bCs/>
          <w:color w:val="0000FF"/>
          <w:szCs w:val="20"/>
        </w:rPr>
      </w:pPr>
      <w:r w:rsidRPr="00FA3856">
        <w:rPr>
          <w:color w:val="0000FF"/>
          <w:szCs w:val="20"/>
        </w:rPr>
        <w:br w:type="page"/>
      </w:r>
    </w:p>
    <w:p w:rsidR="00F85F88" w:rsidRPr="00FA3856" w:rsidRDefault="00F85F88" w:rsidP="00867F54">
      <w:pPr>
        <w:pStyle w:val="Ttulo4"/>
      </w:pPr>
      <w:bookmarkStart w:id="376" w:name="_Toc479713780"/>
      <w:r w:rsidRPr="00FA3856">
        <w:lastRenderedPageBreak/>
        <w:t>Registro U150: Demonstração do Resultado</w:t>
      </w:r>
      <w:bookmarkEnd w:id="376"/>
      <w:r w:rsidRPr="00FA3856">
        <w:t xml:space="preserve"> </w:t>
      </w:r>
    </w:p>
    <w:p w:rsidR="00F85F88" w:rsidRPr="00FA3856" w:rsidRDefault="00F85F88" w:rsidP="00F85F88">
      <w:pPr>
        <w:rPr>
          <w:szCs w:val="20"/>
        </w:rPr>
      </w:pPr>
    </w:p>
    <w:p w:rsidR="00F85F88" w:rsidRPr="00FA3856" w:rsidRDefault="00F85F88" w:rsidP="00F85F88">
      <w:pPr>
        <w:pStyle w:val="PSDS-CorpodeTexto0"/>
        <w:ind w:firstLine="708"/>
        <w:rPr>
          <w:rFonts w:ascii="Times New Roman" w:hAnsi="Times New Roman"/>
        </w:rPr>
      </w:pPr>
      <w:r w:rsidRPr="00FA3856">
        <w:rPr>
          <w:rFonts w:ascii="Times New Roman" w:hAnsi="Times New Roman"/>
        </w:rPr>
        <w:t>Apresenta a demonstração do resultado das empresas imunes e isentas.</w:t>
      </w:r>
      <w:r w:rsidR="007742E4" w:rsidRPr="00FA3856">
        <w:rPr>
          <w:rFonts w:ascii="Times New Roman" w:hAnsi="Times New Roman"/>
        </w:rPr>
        <w:t xml:space="preserve"> No caso de entidades fechadas de previdência complementar, será apresentado o plano de gestão administrativa (PGA).</w:t>
      </w:r>
    </w:p>
    <w:p w:rsidR="007A5A07" w:rsidRDefault="007A5A07" w:rsidP="007A5A07">
      <w:pPr>
        <w:rPr>
          <w:szCs w:val="20"/>
          <w:lang w:val="pt-PT"/>
        </w:rPr>
      </w:pPr>
    </w:p>
    <w:p w:rsidR="00D467F3" w:rsidRPr="00FA3856" w:rsidRDefault="00B35FA3" w:rsidP="00D467F3">
      <w:pPr>
        <w:jc w:val="center"/>
        <w:rPr>
          <w:szCs w:val="20"/>
          <w:lang w:val="pt-PT"/>
        </w:rPr>
      </w:pPr>
      <w:r>
        <w:rPr>
          <w:szCs w:val="20"/>
          <w:lang w:val="pt-PT"/>
        </w:rPr>
        <w:object w:dxaOrig="13920" w:dyaOrig="7260">
          <v:shape id="_x0000_i1842" type="#_x0000_t75" style="width:745.5pt;height:348.75pt" o:ole="">
            <v:imagedata r:id="rId573" o:title=""/>
          </v:shape>
          <o:OLEObject Type="Link" ProgID="Excel.Sheet.12" ShapeID="_x0000_i1842" DrawAspect="Content" r:id="rId574" UpdateMode="Always">
            <o:LinkType>EnhancedMetaFile</o:LinkType>
            <o:LockedField>false</o:LockedField>
          </o:OLEObject>
        </w:object>
      </w:r>
    </w:p>
    <w:p w:rsidR="00D467F3" w:rsidRDefault="00D467F3">
      <w:pPr>
        <w:spacing w:after="200" w:line="276" w:lineRule="auto"/>
        <w:rPr>
          <w:b/>
          <w:szCs w:val="20"/>
          <w:lang w:val="pt-PT"/>
        </w:rPr>
      </w:pPr>
      <w:r>
        <w:rPr>
          <w:b/>
          <w:szCs w:val="20"/>
          <w:lang w:val="pt-PT"/>
        </w:rPr>
        <w:br w:type="page"/>
      </w:r>
    </w:p>
    <w:p w:rsidR="00FE5D23" w:rsidRPr="00FA3856" w:rsidRDefault="00FE5D23" w:rsidP="00FE5D23">
      <w:pPr>
        <w:rPr>
          <w:b/>
          <w:szCs w:val="20"/>
          <w:lang w:val="pt-PT"/>
        </w:rPr>
      </w:pPr>
      <w:r w:rsidRPr="00FA3856">
        <w:rPr>
          <w:b/>
          <w:szCs w:val="20"/>
          <w:lang w:val="pt-PT"/>
        </w:rPr>
        <w:lastRenderedPageBreak/>
        <w:t>I – Regras de Validação do Registro:</w:t>
      </w:r>
    </w:p>
    <w:p w:rsidR="00FE5D23" w:rsidRPr="00FA3856" w:rsidRDefault="00FE5D23" w:rsidP="00FE5D23">
      <w:pPr>
        <w:rPr>
          <w:b/>
          <w:szCs w:val="20"/>
          <w:lang w:val="pt-PT"/>
        </w:rPr>
      </w:pPr>
    </w:p>
    <w:p w:rsidR="00FE5D23" w:rsidRPr="00FA3856" w:rsidRDefault="007D0E74" w:rsidP="00FE5D23">
      <w:pPr>
        <w:pStyle w:val="Corpodetexto"/>
        <w:ind w:left="708" w:firstLine="12"/>
        <w:rPr>
          <w:rFonts w:ascii="Times New Roman" w:hAnsi="Times New Roman"/>
          <w:szCs w:val="20"/>
        </w:rPr>
      </w:pPr>
      <w:hyperlink r:id="rId575" w:anchor="REGRA_OCORRENCIA_UNITARIA_ARQ" w:history="1">
        <w:r w:rsidR="00FE5D23" w:rsidRPr="00FA3856">
          <w:rPr>
            <w:rFonts w:ascii="Times New Roman" w:hAnsi="Times New Roman"/>
            <w:b/>
            <w:szCs w:val="20"/>
          </w:rPr>
          <w:t>REGRA_</w:t>
        </w:r>
      </w:hyperlink>
      <w:r w:rsidR="00FE5D23" w:rsidRPr="00FA3856">
        <w:rPr>
          <w:rFonts w:ascii="Times New Roman" w:hAnsi="Times New Roman"/>
          <w:b/>
          <w:szCs w:val="20"/>
        </w:rPr>
        <w:t>DUPLICIDADE_DESPREZADA</w:t>
      </w:r>
      <w:r w:rsidR="00FE5D23" w:rsidRPr="00FA3856">
        <w:rPr>
          <w:rFonts w:ascii="Times New Roman" w:hAnsi="Times New Roman"/>
          <w:color w:val="auto"/>
          <w:szCs w:val="20"/>
        </w:rPr>
        <w:t xml:space="preserve">: </w:t>
      </w:r>
      <w:r w:rsidR="00FE5D23" w:rsidRPr="00FA3856">
        <w:rPr>
          <w:rFonts w:ascii="Times New Roman" w:hAnsi="Times New Roman"/>
          <w:szCs w:val="20"/>
        </w:rPr>
        <w:t>Verifica se o registro já foi importado anteriormente, de acordo com a chave e os registros pais. Se a regra não for cumprida, a ECF gera um aviso.</w:t>
      </w:r>
    </w:p>
    <w:p w:rsidR="00FE5D23" w:rsidRPr="00FA3856" w:rsidRDefault="00FE5D23" w:rsidP="00FE5D23">
      <w:pPr>
        <w:pStyle w:val="Corpodetexto"/>
        <w:ind w:left="708" w:firstLine="12"/>
        <w:rPr>
          <w:rFonts w:ascii="Times New Roman" w:hAnsi="Times New Roman"/>
          <w:szCs w:val="20"/>
        </w:rPr>
      </w:pPr>
    </w:p>
    <w:p w:rsidR="00FE5D23" w:rsidRPr="00FA3856" w:rsidRDefault="007D0E74" w:rsidP="00FE5D23">
      <w:pPr>
        <w:pStyle w:val="Corpodetexto"/>
        <w:ind w:left="708" w:firstLine="12"/>
        <w:rPr>
          <w:rFonts w:ascii="Times New Roman" w:hAnsi="Times New Roman"/>
          <w:szCs w:val="20"/>
        </w:rPr>
      </w:pPr>
      <w:hyperlink r:id="rId576" w:anchor="REGRA_OCORRENCIA_UNITARIA_ARQ" w:history="1">
        <w:r w:rsidR="00FE5D23" w:rsidRPr="00FA3856">
          <w:rPr>
            <w:rFonts w:ascii="Times New Roman" w:hAnsi="Times New Roman"/>
            <w:b/>
            <w:szCs w:val="20"/>
          </w:rPr>
          <w:t>REGRA_</w:t>
        </w:r>
      </w:hyperlink>
      <w:r w:rsidR="00FE5D23" w:rsidRPr="00FA3856">
        <w:rPr>
          <w:rFonts w:ascii="Times New Roman" w:hAnsi="Times New Roman"/>
          <w:b/>
          <w:szCs w:val="20"/>
        </w:rPr>
        <w:t>LINHA_DESPREZADA</w:t>
      </w:r>
      <w:r w:rsidR="00FE5D23" w:rsidRPr="00FA3856">
        <w:rPr>
          <w:rFonts w:ascii="Times New Roman" w:hAnsi="Times New Roman"/>
          <w:color w:val="auto"/>
          <w:szCs w:val="20"/>
        </w:rPr>
        <w:t xml:space="preserve">: </w:t>
      </w:r>
      <w:r w:rsidR="00FE5D23" w:rsidRPr="00FA3856">
        <w:rPr>
          <w:rFonts w:ascii="Times New Roman" w:hAnsi="Times New Roman"/>
          <w:szCs w:val="20"/>
        </w:rPr>
        <w:t>Verifica se o registro existe na importação, mas não será importado por não existir na tabela dinâmica devido às configurações do bloco 0 ou da tabela dinâmica. Gera um aviso.</w:t>
      </w:r>
    </w:p>
    <w:p w:rsidR="00FE5D23" w:rsidRPr="00FA3856" w:rsidRDefault="00FE5D23" w:rsidP="00FE5D23">
      <w:pPr>
        <w:pStyle w:val="Corpodetexto"/>
        <w:ind w:left="708" w:firstLine="12"/>
        <w:rPr>
          <w:rFonts w:ascii="Times New Roman" w:hAnsi="Times New Roman"/>
          <w:b/>
          <w:szCs w:val="20"/>
        </w:rPr>
      </w:pPr>
    </w:p>
    <w:p w:rsidR="00FE5D23" w:rsidRPr="00FA3856" w:rsidRDefault="007D0E74" w:rsidP="00FE5D23">
      <w:pPr>
        <w:pStyle w:val="Corpodetexto"/>
        <w:ind w:left="708" w:firstLine="12"/>
        <w:rPr>
          <w:rFonts w:ascii="Times New Roman" w:hAnsi="Times New Roman"/>
          <w:b/>
          <w:szCs w:val="20"/>
        </w:rPr>
      </w:pPr>
      <w:hyperlink r:id="rId577" w:anchor="REGRA_OCORRENCIA_UNITARIA_ARQ" w:history="1">
        <w:r w:rsidR="00FE5D23" w:rsidRPr="00FA3856">
          <w:rPr>
            <w:rFonts w:ascii="Times New Roman" w:hAnsi="Times New Roman"/>
            <w:b/>
            <w:szCs w:val="20"/>
          </w:rPr>
          <w:t>REGRA_</w:t>
        </w:r>
      </w:hyperlink>
      <w:r w:rsidR="00FE5D23" w:rsidRPr="00FA3856">
        <w:rPr>
          <w:rFonts w:ascii="Times New Roman" w:hAnsi="Times New Roman"/>
          <w:b/>
          <w:szCs w:val="20"/>
        </w:rPr>
        <w:t>LINHA_ATUALIZADA</w:t>
      </w:r>
      <w:r w:rsidR="00FE5D23" w:rsidRPr="00FA3856">
        <w:rPr>
          <w:rFonts w:ascii="Times New Roman" w:hAnsi="Times New Roman"/>
          <w:color w:val="auto"/>
          <w:szCs w:val="20"/>
        </w:rPr>
        <w:t xml:space="preserve">: </w:t>
      </w:r>
      <w:r w:rsidR="00FE5D23" w:rsidRPr="00FA3856">
        <w:rPr>
          <w:rFonts w:ascii="Times New Roman" w:hAnsi="Times New Roman"/>
          <w:szCs w:val="20"/>
        </w:rPr>
        <w:t>Verifica se o registro está desatualizado em relação à tabela da RFB. Gera um aviso.</w:t>
      </w:r>
    </w:p>
    <w:p w:rsidR="00FE5D23" w:rsidRPr="00FA3856" w:rsidRDefault="00FE5D23" w:rsidP="00F85F88">
      <w:pPr>
        <w:rPr>
          <w:b/>
          <w:szCs w:val="20"/>
          <w:lang w:val="pt-PT"/>
        </w:rPr>
      </w:pPr>
    </w:p>
    <w:p w:rsidR="00F85F88" w:rsidRPr="00FA3856" w:rsidRDefault="00FE5D23" w:rsidP="00F85F88">
      <w:pPr>
        <w:rPr>
          <w:b/>
          <w:szCs w:val="20"/>
          <w:lang w:val="pt-PT"/>
        </w:rPr>
      </w:pPr>
      <w:r w:rsidRPr="00FA3856">
        <w:rPr>
          <w:b/>
          <w:szCs w:val="20"/>
          <w:lang w:val="pt-PT"/>
        </w:rPr>
        <w:t>I</w:t>
      </w:r>
      <w:r w:rsidR="00F85F88" w:rsidRPr="00FA3856">
        <w:rPr>
          <w:b/>
          <w:szCs w:val="20"/>
          <w:lang w:val="pt-PT"/>
        </w:rPr>
        <w:t>I – Regras de Validação de Campos:</w:t>
      </w:r>
    </w:p>
    <w:p w:rsidR="00F85F88" w:rsidRPr="00FA3856" w:rsidRDefault="00F85F88" w:rsidP="00F85F88">
      <w:pPr>
        <w:rPr>
          <w:b/>
          <w:szCs w:val="20"/>
          <w:lang w:val="pt-PT"/>
        </w:rPr>
      </w:pPr>
    </w:p>
    <w:tbl>
      <w:tblPr>
        <w:tblW w:w="15367"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85"/>
        <w:gridCol w:w="3000"/>
        <w:gridCol w:w="11165"/>
        <w:gridCol w:w="717"/>
      </w:tblGrid>
      <w:tr w:rsidR="00F85F88" w:rsidRPr="00FA3856" w:rsidTr="007564CC">
        <w:trPr>
          <w:jc w:val="center"/>
        </w:trPr>
        <w:tc>
          <w:tcPr>
            <w:tcW w:w="485" w:type="dxa"/>
            <w:tcBorders>
              <w:top w:val="single" w:sz="6" w:space="0" w:color="auto"/>
              <w:left w:val="single" w:sz="6" w:space="0" w:color="auto"/>
              <w:bottom w:val="single" w:sz="6" w:space="0" w:color="auto"/>
              <w:right w:val="single" w:sz="6" w:space="0" w:color="auto"/>
            </w:tcBorders>
            <w:shd w:val="pct10" w:color="auto" w:fill="FFFFFF"/>
          </w:tcPr>
          <w:p w:rsidR="00F85F88" w:rsidRPr="00FA3856" w:rsidRDefault="00F85F88" w:rsidP="00EC4ABB">
            <w:pPr>
              <w:pStyle w:val="PSDS-CorpodeTexto0"/>
              <w:jc w:val="center"/>
              <w:rPr>
                <w:rFonts w:ascii="Times New Roman" w:hAnsi="Times New Roman"/>
                <w:b/>
                <w:bCs/>
              </w:rPr>
            </w:pPr>
            <w:r w:rsidRPr="00FA3856">
              <w:rPr>
                <w:rFonts w:ascii="Times New Roman" w:hAnsi="Times New Roman"/>
                <w:b/>
                <w:bCs/>
              </w:rPr>
              <w:t>Nº</w:t>
            </w:r>
          </w:p>
        </w:tc>
        <w:tc>
          <w:tcPr>
            <w:tcW w:w="3000" w:type="dxa"/>
            <w:tcBorders>
              <w:top w:val="single" w:sz="6" w:space="0" w:color="auto"/>
              <w:left w:val="single" w:sz="6" w:space="0" w:color="auto"/>
              <w:bottom w:val="single" w:sz="6" w:space="0" w:color="auto"/>
              <w:right w:val="single" w:sz="6" w:space="0" w:color="auto"/>
            </w:tcBorders>
            <w:shd w:val="pct10" w:color="auto" w:fill="FFFFFF"/>
          </w:tcPr>
          <w:p w:rsidR="00F85F88" w:rsidRPr="00FA3856" w:rsidRDefault="00F85F88" w:rsidP="00EC4ABB">
            <w:pPr>
              <w:pStyle w:val="PSDS-CorpodeTexto0"/>
              <w:jc w:val="center"/>
              <w:rPr>
                <w:rFonts w:ascii="Times New Roman" w:hAnsi="Times New Roman"/>
                <w:b/>
                <w:bCs/>
              </w:rPr>
            </w:pPr>
            <w:r w:rsidRPr="00FA3856">
              <w:rPr>
                <w:rFonts w:ascii="Times New Roman" w:hAnsi="Times New Roman"/>
                <w:b/>
                <w:bCs/>
              </w:rPr>
              <w:t>Campo</w:t>
            </w:r>
          </w:p>
        </w:tc>
        <w:tc>
          <w:tcPr>
            <w:tcW w:w="11165" w:type="dxa"/>
            <w:tcBorders>
              <w:top w:val="single" w:sz="6" w:space="0" w:color="auto"/>
              <w:left w:val="single" w:sz="6" w:space="0" w:color="auto"/>
              <w:bottom w:val="single" w:sz="6" w:space="0" w:color="auto"/>
              <w:right w:val="single" w:sz="6" w:space="0" w:color="auto"/>
            </w:tcBorders>
            <w:shd w:val="pct10" w:color="auto" w:fill="FFFFFF"/>
          </w:tcPr>
          <w:p w:rsidR="00F85F88" w:rsidRPr="00FA3856" w:rsidRDefault="00F85F88" w:rsidP="00EC4ABB">
            <w:pPr>
              <w:pStyle w:val="PSDS-CorpodeTexto0"/>
              <w:jc w:val="center"/>
              <w:rPr>
                <w:rFonts w:ascii="Times New Roman" w:hAnsi="Times New Roman"/>
                <w:b/>
                <w:bCs/>
              </w:rPr>
            </w:pPr>
            <w:r w:rsidRPr="00FA3856">
              <w:rPr>
                <w:rFonts w:ascii="Times New Roman" w:hAnsi="Times New Roman"/>
                <w:b/>
                <w:bCs/>
              </w:rPr>
              <w:t>Regras de Validação do Campo</w:t>
            </w:r>
          </w:p>
        </w:tc>
        <w:tc>
          <w:tcPr>
            <w:tcW w:w="717" w:type="dxa"/>
            <w:tcBorders>
              <w:top w:val="single" w:sz="6" w:space="0" w:color="auto"/>
              <w:left w:val="single" w:sz="6" w:space="0" w:color="auto"/>
              <w:bottom w:val="single" w:sz="6" w:space="0" w:color="auto"/>
              <w:right w:val="single" w:sz="6" w:space="0" w:color="auto"/>
            </w:tcBorders>
            <w:shd w:val="pct10" w:color="auto" w:fill="FFFFFF"/>
          </w:tcPr>
          <w:p w:rsidR="00F85F88" w:rsidRPr="00FA3856" w:rsidRDefault="00F85F88" w:rsidP="00EC4ABB">
            <w:pPr>
              <w:pStyle w:val="PSDS-CorpodeTexto0"/>
              <w:jc w:val="center"/>
              <w:rPr>
                <w:rFonts w:ascii="Times New Roman" w:hAnsi="Times New Roman"/>
                <w:b/>
                <w:bCs/>
              </w:rPr>
            </w:pPr>
            <w:r w:rsidRPr="00FA3856">
              <w:rPr>
                <w:rFonts w:ascii="Times New Roman" w:hAnsi="Times New Roman"/>
                <w:b/>
                <w:bCs/>
              </w:rPr>
              <w:t>Tipo</w:t>
            </w:r>
          </w:p>
        </w:tc>
      </w:tr>
      <w:tr w:rsidR="0012324D" w:rsidRPr="00FA3856" w:rsidTr="007564CC">
        <w:trPr>
          <w:jc w:val="center"/>
        </w:trPr>
        <w:tc>
          <w:tcPr>
            <w:tcW w:w="485" w:type="dxa"/>
            <w:tcBorders>
              <w:top w:val="single" w:sz="6" w:space="0" w:color="auto"/>
              <w:left w:val="single" w:sz="6" w:space="0" w:color="auto"/>
              <w:bottom w:val="single" w:sz="6" w:space="0" w:color="auto"/>
              <w:right w:val="single" w:sz="6" w:space="0" w:color="auto"/>
            </w:tcBorders>
          </w:tcPr>
          <w:p w:rsidR="0012324D" w:rsidRPr="00FA3856" w:rsidRDefault="0012324D" w:rsidP="0012324D">
            <w:pPr>
              <w:pStyle w:val="PSDS-CorpodeTexto0"/>
              <w:suppressAutoHyphens w:val="0"/>
              <w:rPr>
                <w:rFonts w:ascii="Times New Roman" w:hAnsi="Times New Roman"/>
                <w:b/>
                <w:bCs/>
                <w:lang w:val="pt-PT"/>
              </w:rPr>
            </w:pPr>
            <w:r w:rsidRPr="00FA3856">
              <w:rPr>
                <w:rFonts w:ascii="Times New Roman" w:hAnsi="Times New Roman"/>
                <w:b/>
                <w:bCs/>
                <w:lang w:val="pt-PT"/>
              </w:rPr>
              <w:t>4</w:t>
            </w:r>
          </w:p>
        </w:tc>
        <w:tc>
          <w:tcPr>
            <w:tcW w:w="3000" w:type="dxa"/>
            <w:tcBorders>
              <w:top w:val="single" w:sz="6" w:space="0" w:color="auto"/>
              <w:left w:val="single" w:sz="6" w:space="0" w:color="auto"/>
              <w:bottom w:val="single" w:sz="6" w:space="0" w:color="auto"/>
              <w:right w:val="single" w:sz="6" w:space="0" w:color="auto"/>
            </w:tcBorders>
          </w:tcPr>
          <w:p w:rsidR="0012324D" w:rsidRPr="00FA3856" w:rsidRDefault="0012324D" w:rsidP="0012324D">
            <w:pPr>
              <w:pStyle w:val="PSDS-CorpodeTexto0"/>
              <w:rPr>
                <w:rFonts w:ascii="Times New Roman" w:hAnsi="Times New Roman"/>
              </w:rPr>
            </w:pPr>
            <w:r w:rsidRPr="00FA3856">
              <w:rPr>
                <w:rFonts w:ascii="Times New Roman" w:hAnsi="Times New Roman"/>
              </w:rPr>
              <w:t>VALOR</w:t>
            </w:r>
          </w:p>
        </w:tc>
        <w:tc>
          <w:tcPr>
            <w:tcW w:w="11165" w:type="dxa"/>
            <w:tcBorders>
              <w:top w:val="single" w:sz="6" w:space="0" w:color="auto"/>
              <w:left w:val="single" w:sz="6" w:space="0" w:color="auto"/>
              <w:bottom w:val="single" w:sz="6" w:space="0" w:color="auto"/>
              <w:right w:val="single" w:sz="6" w:space="0" w:color="auto"/>
            </w:tcBorders>
          </w:tcPr>
          <w:p w:rsidR="0012324D" w:rsidRPr="00FA3856" w:rsidRDefault="0012324D" w:rsidP="0012324D">
            <w:pPr>
              <w:pStyle w:val="Corpodetexto"/>
              <w:rPr>
                <w:rFonts w:ascii="Times New Roman" w:hAnsi="Times New Roman"/>
                <w:szCs w:val="20"/>
              </w:rPr>
            </w:pPr>
            <w:r w:rsidRPr="00FA3856">
              <w:rPr>
                <w:rFonts w:ascii="Times New Roman" w:hAnsi="Times New Roman"/>
                <w:b/>
                <w:bCs/>
                <w:szCs w:val="20"/>
              </w:rPr>
              <w:t>REGRA_OBRIGATORIO_TIPO_DIFERENTE_R</w:t>
            </w:r>
            <w:r w:rsidRPr="00FA3856">
              <w:rPr>
                <w:rFonts w:ascii="Times New Roman" w:hAnsi="Times New Roman"/>
                <w:szCs w:val="20"/>
              </w:rPr>
              <w:t xml:space="preserve">: </w:t>
            </w:r>
            <w:r w:rsidRPr="00FA3856">
              <w:rPr>
                <w:rStyle w:val="Hyperlink"/>
                <w:rFonts w:ascii="Times New Roman" w:hAnsi="Times New Roman"/>
                <w:bCs/>
                <w:color w:val="auto"/>
                <w:szCs w:val="20"/>
                <w:lang w:val="pt-PT"/>
              </w:rPr>
              <w:t xml:space="preserve">Verifica se o campo está preenchido quando o tipo da linha </w:t>
            </w:r>
            <w:r w:rsidR="0063733D" w:rsidRPr="00FA3856">
              <w:rPr>
                <w:rStyle w:val="Hyperlink"/>
                <w:rFonts w:ascii="Times New Roman" w:hAnsi="Times New Roman"/>
                <w:bCs/>
                <w:color w:val="auto"/>
                <w:szCs w:val="20"/>
                <w:lang w:val="pt-PT"/>
              </w:rPr>
              <w:t>é diferente</w:t>
            </w:r>
            <w:r w:rsidRPr="00FA3856">
              <w:rPr>
                <w:rStyle w:val="Hyperlink"/>
                <w:rFonts w:ascii="Times New Roman" w:hAnsi="Times New Roman"/>
                <w:bCs/>
                <w:color w:val="auto"/>
                <w:szCs w:val="20"/>
                <w:lang w:val="pt-PT"/>
              </w:rPr>
              <w:t xml:space="preserve"> de “R”.</w:t>
            </w:r>
          </w:p>
        </w:tc>
        <w:tc>
          <w:tcPr>
            <w:tcW w:w="717" w:type="dxa"/>
            <w:tcBorders>
              <w:top w:val="single" w:sz="6" w:space="0" w:color="auto"/>
              <w:left w:val="single" w:sz="6" w:space="0" w:color="auto"/>
              <w:bottom w:val="single" w:sz="6" w:space="0" w:color="auto"/>
              <w:right w:val="single" w:sz="6" w:space="0" w:color="auto"/>
            </w:tcBorders>
          </w:tcPr>
          <w:p w:rsidR="0012324D" w:rsidRPr="00FA3856" w:rsidRDefault="0012324D" w:rsidP="0012324D">
            <w:pPr>
              <w:pStyle w:val="PSDS-CorpodeTexto0"/>
              <w:rPr>
                <w:rFonts w:ascii="Times New Roman" w:hAnsi="Times New Roman"/>
              </w:rPr>
            </w:pPr>
            <w:r w:rsidRPr="00FA3856">
              <w:rPr>
                <w:rFonts w:ascii="Times New Roman" w:hAnsi="Times New Roman"/>
              </w:rPr>
              <w:t>Erro</w:t>
            </w:r>
          </w:p>
          <w:p w:rsidR="0012324D" w:rsidRPr="00FA3856" w:rsidRDefault="0012324D" w:rsidP="0012324D">
            <w:pPr>
              <w:pStyle w:val="PSDS-CorpodeTexto0"/>
              <w:rPr>
                <w:rFonts w:ascii="Times New Roman" w:hAnsi="Times New Roman"/>
              </w:rPr>
            </w:pPr>
          </w:p>
        </w:tc>
      </w:tr>
    </w:tbl>
    <w:p w:rsidR="007742E4" w:rsidRDefault="007742E4" w:rsidP="007F7C5F">
      <w:pPr>
        <w:rPr>
          <w:b/>
          <w:szCs w:val="20"/>
          <w:lang w:val="pt-PT"/>
        </w:rPr>
      </w:pPr>
    </w:p>
    <w:p w:rsidR="00D467F3" w:rsidRPr="00FA3856" w:rsidRDefault="00D467F3" w:rsidP="00D467F3">
      <w:pPr>
        <w:rPr>
          <w:b/>
          <w:szCs w:val="20"/>
          <w:lang w:val="pt-PT"/>
        </w:rPr>
      </w:pPr>
      <w:r>
        <w:rPr>
          <w:b/>
          <w:szCs w:val="20"/>
          <w:lang w:val="pt-PT"/>
        </w:rPr>
        <w:t>III</w:t>
      </w:r>
      <w:r w:rsidRPr="00FA3856">
        <w:rPr>
          <w:b/>
          <w:szCs w:val="20"/>
          <w:lang w:val="pt-PT"/>
        </w:rPr>
        <w:t xml:space="preserve"> – </w:t>
      </w:r>
      <w:r>
        <w:rPr>
          <w:b/>
          <w:szCs w:val="20"/>
          <w:lang w:val="pt-PT"/>
        </w:rPr>
        <w:t>Plano de Contas Referencial</w:t>
      </w:r>
      <w:r w:rsidRPr="00FA3856">
        <w:rPr>
          <w:b/>
          <w:szCs w:val="20"/>
          <w:lang w:val="pt-PT"/>
        </w:rPr>
        <w:t>:</w:t>
      </w:r>
    </w:p>
    <w:p w:rsidR="00D467F3" w:rsidRPr="00FA3856" w:rsidRDefault="00D467F3" w:rsidP="00D467F3">
      <w:pPr>
        <w:rPr>
          <w:b/>
          <w:szCs w:val="20"/>
          <w:lang w:val="pt-PT"/>
        </w:rPr>
      </w:pPr>
      <w:r w:rsidRPr="00FA3856">
        <w:rPr>
          <w:b/>
          <w:szCs w:val="20"/>
          <w:lang w:val="pt-PT"/>
        </w:rPr>
        <w:t>Código: Chave da linha.</w:t>
      </w:r>
    </w:p>
    <w:p w:rsidR="00D467F3" w:rsidRPr="00FA3856" w:rsidRDefault="00D467F3" w:rsidP="00D467F3">
      <w:pPr>
        <w:rPr>
          <w:b/>
          <w:szCs w:val="20"/>
          <w:lang w:val="pt-PT"/>
        </w:rPr>
      </w:pPr>
      <w:r w:rsidRPr="00FA3856">
        <w:rPr>
          <w:b/>
          <w:szCs w:val="20"/>
          <w:lang w:val="pt-PT"/>
        </w:rPr>
        <w:t>Ordem: Ordem de apresentação das linhas.</w:t>
      </w:r>
    </w:p>
    <w:p w:rsidR="00D467F3" w:rsidRPr="00FA3856" w:rsidRDefault="00D467F3" w:rsidP="00D467F3">
      <w:pPr>
        <w:rPr>
          <w:b/>
          <w:szCs w:val="20"/>
          <w:lang w:val="pt-PT"/>
        </w:rPr>
      </w:pPr>
      <w:r w:rsidRPr="00FA3856">
        <w:rPr>
          <w:b/>
          <w:szCs w:val="20"/>
          <w:lang w:val="pt-PT"/>
        </w:rPr>
        <w:t>Tipo: S = Sintética; A = Analítica</w:t>
      </w:r>
    </w:p>
    <w:p w:rsidR="00D467F3" w:rsidRDefault="00D467F3" w:rsidP="00D467F3">
      <w:pPr>
        <w:tabs>
          <w:tab w:val="left" w:pos="2985"/>
        </w:tabs>
        <w:rPr>
          <w:b/>
          <w:szCs w:val="20"/>
          <w:lang w:val="pt-PT"/>
        </w:rPr>
      </w:pPr>
      <w:r w:rsidRPr="00FA3856">
        <w:rPr>
          <w:b/>
          <w:szCs w:val="20"/>
          <w:lang w:val="pt-PT"/>
        </w:rPr>
        <w:t>Natureza: 01 = Ativo; 02 = Passivo; 03 = Patrimônio Líquido</w:t>
      </w:r>
    </w:p>
    <w:p w:rsidR="00D467F3" w:rsidRDefault="00D467F3" w:rsidP="00D467F3">
      <w:pPr>
        <w:rPr>
          <w:b/>
          <w:szCs w:val="20"/>
        </w:rPr>
      </w:pPr>
    </w:p>
    <w:p w:rsidR="00891D00" w:rsidRPr="00211735" w:rsidRDefault="00891D00" w:rsidP="00891D00">
      <w:pPr>
        <w:rPr>
          <w:b/>
          <w:szCs w:val="20"/>
        </w:rPr>
      </w:pPr>
      <w:r>
        <w:rPr>
          <w:b/>
          <w:szCs w:val="20"/>
        </w:rPr>
        <w:t>II.1 – U15</w:t>
      </w:r>
      <w:r w:rsidRPr="00891D00">
        <w:rPr>
          <w:b/>
          <w:szCs w:val="20"/>
        </w:rPr>
        <w:t xml:space="preserve">0A - Plano de Contas Referencial - Contas </w:t>
      </w:r>
      <w:r>
        <w:rPr>
          <w:b/>
          <w:szCs w:val="20"/>
        </w:rPr>
        <w:t xml:space="preserve">de Resultado </w:t>
      </w:r>
      <w:r w:rsidRPr="00891D00">
        <w:rPr>
          <w:b/>
          <w:szCs w:val="20"/>
        </w:rPr>
        <w:t>- Imunes e Isentas - PJ em Geral</w:t>
      </w:r>
      <w:r>
        <w:rPr>
          <w:b/>
          <w:szCs w:val="20"/>
        </w:rPr>
        <w:t>:</w:t>
      </w:r>
    </w:p>
    <w:p w:rsidR="00891D00" w:rsidRDefault="00486CDA" w:rsidP="00891D00">
      <w:pPr>
        <w:rPr>
          <w:rFonts w:eastAsia="Arial Unicode MS"/>
          <w:szCs w:val="20"/>
          <w:lang w:eastAsia="ar-SA"/>
        </w:rPr>
      </w:pPr>
      <w:r>
        <w:rPr>
          <w:rFonts w:eastAsia="Arial Unicode MS"/>
          <w:szCs w:val="20"/>
          <w:lang w:eastAsia="ar-SA"/>
        </w:rPr>
        <w:object w:dxaOrig="1534" w:dyaOrig="997">
          <v:shape id="_x0000_i1234" type="#_x0000_t75" style="width:79.5pt;height:50.25pt" o:ole="">
            <v:imagedata r:id="rId578" o:title=""/>
          </v:shape>
          <o:OLEObject Type="Link" ProgID="Excel.Sheet.12" ShapeID="_x0000_i1234" DrawAspect="Content" r:id="rId579" UpdateMode="OnCall">
            <o:LinkType>EnhancedMetaFile</o:LinkType>
            <o:LockedField>false</o:LockedField>
          </o:OLEObject>
        </w:object>
      </w:r>
    </w:p>
    <w:p w:rsidR="00891D00" w:rsidRPr="00211735" w:rsidRDefault="00891D00" w:rsidP="00891D00">
      <w:pPr>
        <w:rPr>
          <w:b/>
          <w:szCs w:val="20"/>
        </w:rPr>
      </w:pPr>
      <w:r>
        <w:rPr>
          <w:b/>
          <w:szCs w:val="20"/>
        </w:rPr>
        <w:t>II.2 – U15</w:t>
      </w:r>
      <w:r w:rsidRPr="00891D00">
        <w:rPr>
          <w:b/>
          <w:szCs w:val="20"/>
        </w:rPr>
        <w:t xml:space="preserve">0B - Plano de Contas Referencial - Contas </w:t>
      </w:r>
      <w:r>
        <w:rPr>
          <w:b/>
          <w:szCs w:val="20"/>
        </w:rPr>
        <w:t>de Resultado</w:t>
      </w:r>
      <w:r w:rsidRPr="00891D00">
        <w:rPr>
          <w:b/>
          <w:szCs w:val="20"/>
        </w:rPr>
        <w:t xml:space="preserve"> - Imunes e Isentas - Associação de Poupança e Empréstimo</w:t>
      </w:r>
      <w:r>
        <w:rPr>
          <w:b/>
          <w:szCs w:val="20"/>
        </w:rPr>
        <w:t>:</w:t>
      </w:r>
    </w:p>
    <w:p w:rsidR="00891D00" w:rsidRDefault="00486CDA" w:rsidP="00891D00">
      <w:pPr>
        <w:rPr>
          <w:rFonts w:eastAsia="Arial Unicode MS"/>
          <w:bCs/>
          <w:color w:val="0000FF"/>
          <w:szCs w:val="20"/>
          <w:lang w:eastAsia="ar-SA"/>
        </w:rPr>
      </w:pPr>
      <w:r>
        <w:rPr>
          <w:rFonts w:eastAsia="Arial Unicode MS"/>
          <w:bCs/>
          <w:color w:val="0000FF"/>
          <w:szCs w:val="20"/>
          <w:lang w:eastAsia="ar-SA"/>
        </w:rPr>
        <w:object w:dxaOrig="1534" w:dyaOrig="997">
          <v:shape id="_x0000_i1235" type="#_x0000_t75" style="width:79.5pt;height:50.25pt" o:ole="">
            <v:imagedata r:id="rId580" o:title=""/>
          </v:shape>
          <o:OLEObject Type="Link" ProgID="Excel.Sheet.12" ShapeID="_x0000_i1235" DrawAspect="Content" r:id="rId581" UpdateMode="OnCall">
            <o:LinkType>EnhancedMetaFile</o:LinkType>
            <o:LockedField>false</o:LockedField>
          </o:OLEObject>
        </w:object>
      </w:r>
    </w:p>
    <w:p w:rsidR="00891D00" w:rsidRDefault="00891D00" w:rsidP="00891D00">
      <w:pPr>
        <w:rPr>
          <w:rFonts w:eastAsia="Arial Unicode MS"/>
          <w:bCs/>
          <w:color w:val="0000FF"/>
          <w:szCs w:val="20"/>
          <w:lang w:eastAsia="ar-SA"/>
        </w:rPr>
      </w:pPr>
      <w:r>
        <w:rPr>
          <w:b/>
          <w:szCs w:val="20"/>
        </w:rPr>
        <w:t>II.3 – U15</w:t>
      </w:r>
      <w:r w:rsidRPr="00891D00">
        <w:rPr>
          <w:b/>
          <w:szCs w:val="20"/>
        </w:rPr>
        <w:t>0C - Plano de Contas Refer</w:t>
      </w:r>
      <w:r>
        <w:rPr>
          <w:b/>
          <w:szCs w:val="20"/>
        </w:rPr>
        <w:t>encial - Contas de Resultado</w:t>
      </w:r>
      <w:r w:rsidRPr="00891D00">
        <w:rPr>
          <w:b/>
          <w:szCs w:val="20"/>
        </w:rPr>
        <w:t xml:space="preserve"> - Imunes e Isentas - Entidades Abertas de Previdência Complementar (Sem Fins Lucrativos)</w:t>
      </w:r>
      <w:r>
        <w:rPr>
          <w:b/>
          <w:szCs w:val="20"/>
        </w:rPr>
        <w:t>:</w:t>
      </w:r>
    </w:p>
    <w:p w:rsidR="00891D00" w:rsidRPr="00D467F3" w:rsidRDefault="00486CDA" w:rsidP="00891D00">
      <w:pPr>
        <w:rPr>
          <w:rFonts w:eastAsia="Arial Unicode MS"/>
          <w:bCs/>
          <w:color w:val="0000FF"/>
          <w:szCs w:val="20"/>
          <w:lang w:eastAsia="ar-SA"/>
        </w:rPr>
      </w:pPr>
      <w:r>
        <w:rPr>
          <w:rFonts w:eastAsia="Arial Unicode MS"/>
          <w:bCs/>
          <w:color w:val="0000FF"/>
          <w:szCs w:val="20"/>
          <w:lang w:eastAsia="ar-SA"/>
        </w:rPr>
        <w:object w:dxaOrig="1534" w:dyaOrig="997">
          <v:shape id="_x0000_i1236" type="#_x0000_t75" style="width:79.5pt;height:50.25pt" o:ole="">
            <v:imagedata r:id="rId582" o:title=""/>
          </v:shape>
          <o:OLEObject Type="Link" ProgID="Excel.Sheet.12" ShapeID="_x0000_i1236" DrawAspect="Content" r:id="rId583" UpdateMode="OnCall">
            <o:LinkType>EnhancedMetaFile</o:LinkType>
            <o:LockedField>false</o:LockedField>
          </o:OLEObject>
        </w:object>
      </w:r>
    </w:p>
    <w:p w:rsidR="00891D00" w:rsidRDefault="00891D00">
      <w:pPr>
        <w:spacing w:after="200" w:line="276" w:lineRule="auto"/>
        <w:rPr>
          <w:b/>
          <w:szCs w:val="20"/>
        </w:rPr>
      </w:pPr>
      <w:r>
        <w:rPr>
          <w:b/>
          <w:szCs w:val="20"/>
        </w:rPr>
        <w:br w:type="page"/>
      </w:r>
    </w:p>
    <w:p w:rsidR="00891D00" w:rsidRPr="00211735" w:rsidRDefault="00891D00" w:rsidP="00891D00">
      <w:pPr>
        <w:rPr>
          <w:rFonts w:eastAsia="Arial Unicode MS"/>
          <w:bCs/>
          <w:color w:val="0000FF"/>
          <w:szCs w:val="20"/>
          <w:lang w:eastAsia="ar-SA"/>
        </w:rPr>
      </w:pPr>
      <w:r>
        <w:rPr>
          <w:b/>
          <w:szCs w:val="20"/>
        </w:rPr>
        <w:lastRenderedPageBreak/>
        <w:t>II.4 – U15</w:t>
      </w:r>
      <w:r w:rsidRPr="00891D00">
        <w:rPr>
          <w:b/>
          <w:szCs w:val="20"/>
        </w:rPr>
        <w:t xml:space="preserve">0D - Plano de Contas </w:t>
      </w:r>
      <w:r>
        <w:rPr>
          <w:b/>
          <w:szCs w:val="20"/>
        </w:rPr>
        <w:t>Referencial - Contas de Resultado</w:t>
      </w:r>
      <w:r w:rsidRPr="00891D00">
        <w:rPr>
          <w:b/>
          <w:szCs w:val="20"/>
        </w:rPr>
        <w:t xml:space="preserve"> - Imunes e Isentas - Entidades Fechadas de Previdência Complementar</w:t>
      </w:r>
      <w:r>
        <w:rPr>
          <w:b/>
          <w:szCs w:val="20"/>
        </w:rPr>
        <w:t>:</w:t>
      </w:r>
    </w:p>
    <w:p w:rsidR="00891D00" w:rsidRPr="00D467F3" w:rsidRDefault="00486CDA" w:rsidP="00891D00">
      <w:pPr>
        <w:rPr>
          <w:rFonts w:eastAsia="Arial Unicode MS"/>
          <w:lang w:eastAsia="ar-SA"/>
        </w:rPr>
      </w:pPr>
      <w:r>
        <w:rPr>
          <w:rFonts w:eastAsia="Arial Unicode MS"/>
          <w:lang w:eastAsia="ar-SA"/>
        </w:rPr>
        <w:object w:dxaOrig="1534" w:dyaOrig="997">
          <v:shape id="_x0000_i1237" type="#_x0000_t75" style="width:79.5pt;height:50.25pt" o:ole="">
            <v:imagedata r:id="rId584" o:title=""/>
          </v:shape>
          <o:OLEObject Type="Link" ProgID="Excel.Sheet.12" ShapeID="_x0000_i1237" DrawAspect="Content" r:id="rId585" UpdateMode="OnCall">
            <o:LinkType>EnhancedMetaFile</o:LinkType>
            <o:LockedField>false</o:LockedField>
          </o:OLEObject>
        </w:object>
      </w:r>
    </w:p>
    <w:p w:rsidR="00891D00" w:rsidRDefault="00891D00" w:rsidP="00891D00">
      <w:pPr>
        <w:rPr>
          <w:b/>
          <w:szCs w:val="20"/>
        </w:rPr>
      </w:pPr>
      <w:r>
        <w:rPr>
          <w:b/>
          <w:szCs w:val="20"/>
        </w:rPr>
        <w:t>II.5 – U15</w:t>
      </w:r>
      <w:r w:rsidRPr="00891D00">
        <w:rPr>
          <w:b/>
          <w:szCs w:val="20"/>
        </w:rPr>
        <w:t>0E - Plano de Contas R</w:t>
      </w:r>
      <w:r>
        <w:rPr>
          <w:b/>
          <w:szCs w:val="20"/>
        </w:rPr>
        <w:t>eferencial - Contas de Resultado</w:t>
      </w:r>
      <w:r w:rsidRPr="00891D00">
        <w:rPr>
          <w:b/>
          <w:szCs w:val="20"/>
        </w:rPr>
        <w:t xml:space="preserve"> - Imunes e Isentas - Partidos Políticos</w:t>
      </w:r>
      <w:r>
        <w:rPr>
          <w:b/>
          <w:szCs w:val="20"/>
        </w:rPr>
        <w:t>:</w:t>
      </w:r>
    </w:p>
    <w:p w:rsidR="00891D00" w:rsidRPr="00FA3856" w:rsidRDefault="00486CDA" w:rsidP="00891D00">
      <w:pPr>
        <w:rPr>
          <w:b/>
          <w:szCs w:val="20"/>
        </w:rPr>
      </w:pPr>
      <w:r>
        <w:rPr>
          <w:b/>
          <w:szCs w:val="20"/>
        </w:rPr>
        <w:object w:dxaOrig="1534" w:dyaOrig="997">
          <v:shape id="_x0000_i1238" type="#_x0000_t75" style="width:79.5pt;height:50.25pt" o:ole="">
            <v:imagedata r:id="rId586" o:title=""/>
          </v:shape>
          <o:OLEObject Type="Link" ProgID="Excel.Sheet.12" ShapeID="_x0000_i1238" DrawAspect="Content" r:id="rId587" UpdateMode="OnCall">
            <o:LinkType>EnhancedMetaFile</o:LinkType>
            <o:LockedField>false</o:LockedField>
          </o:OLEObject>
        </w:object>
      </w:r>
    </w:p>
    <w:p w:rsidR="00D07DA6" w:rsidRDefault="000026E1" w:rsidP="006A4A22">
      <w:pPr>
        <w:pStyle w:val="Corpodetexto"/>
        <w:rPr>
          <w:rFonts w:ascii="Times New Roman" w:hAnsi="Times New Roman"/>
          <w:b/>
          <w:color w:val="002060"/>
          <w:szCs w:val="20"/>
        </w:rPr>
      </w:pPr>
      <w:r w:rsidRPr="00FA3856">
        <w:rPr>
          <w:rFonts w:ascii="Times New Roman" w:hAnsi="Times New Roman"/>
          <w:b/>
          <w:color w:val="002060"/>
          <w:szCs w:val="20"/>
        </w:rPr>
        <w:t>Exemplo de Preenchimento:</w:t>
      </w:r>
    </w:p>
    <w:p w:rsidR="00D07DA6" w:rsidRDefault="000026E1" w:rsidP="006A4A22">
      <w:pPr>
        <w:pStyle w:val="Corpodetexto"/>
        <w:rPr>
          <w:rFonts w:ascii="Times New Roman" w:hAnsi="Times New Roman"/>
          <w:b/>
          <w:color w:val="002060"/>
          <w:szCs w:val="20"/>
        </w:rPr>
      </w:pPr>
      <w:r w:rsidRPr="00FA3856">
        <w:rPr>
          <w:rFonts w:ascii="Times New Roman" w:hAnsi="Times New Roman"/>
          <w:b/>
          <w:color w:val="002060"/>
          <w:szCs w:val="20"/>
        </w:rPr>
        <w:t xml:space="preserve"> </w:t>
      </w:r>
    </w:p>
    <w:p w:rsidR="006A4A22" w:rsidRPr="00FA3856" w:rsidRDefault="006A4A22" w:rsidP="006A4A22">
      <w:pPr>
        <w:pStyle w:val="Corpodetexto"/>
        <w:rPr>
          <w:rFonts w:ascii="Times New Roman" w:hAnsi="Times New Roman"/>
          <w:b/>
          <w:color w:val="002060"/>
          <w:szCs w:val="20"/>
        </w:rPr>
      </w:pPr>
      <w:r w:rsidRPr="00FA3856">
        <w:rPr>
          <w:rFonts w:ascii="Times New Roman" w:hAnsi="Times New Roman"/>
          <w:b/>
          <w:color w:val="002060"/>
          <w:szCs w:val="20"/>
        </w:rPr>
        <w:t>|U150|3.04.01.01| GANHOS NA ALIENAÇÃO DE BENS DE USO – FUNDO PARTIDÁRIO|A|4|04|3.04.01|10000,00|C|</w:t>
      </w:r>
    </w:p>
    <w:p w:rsidR="006A4A22" w:rsidRPr="00FA3856" w:rsidRDefault="006A4A22" w:rsidP="006A4A22">
      <w:pPr>
        <w:pStyle w:val="Corpodetexto"/>
        <w:ind w:firstLine="708"/>
        <w:rPr>
          <w:rFonts w:ascii="Times New Roman" w:hAnsi="Times New Roman"/>
          <w:color w:val="002060"/>
          <w:szCs w:val="20"/>
        </w:rPr>
      </w:pPr>
      <w:r w:rsidRPr="00FA3856">
        <w:rPr>
          <w:rFonts w:ascii="Times New Roman" w:hAnsi="Times New Roman"/>
          <w:color w:val="002060"/>
          <w:szCs w:val="20"/>
        </w:rPr>
        <w:t>|U150|: Identificação do tipo do registro.</w:t>
      </w:r>
    </w:p>
    <w:p w:rsidR="006A4A22" w:rsidRPr="00FA3856" w:rsidRDefault="006A4A22" w:rsidP="006A4A22">
      <w:pPr>
        <w:pStyle w:val="Corpodetexto"/>
        <w:ind w:firstLine="708"/>
        <w:rPr>
          <w:rFonts w:ascii="Times New Roman" w:hAnsi="Times New Roman"/>
          <w:color w:val="002060"/>
          <w:szCs w:val="20"/>
        </w:rPr>
      </w:pPr>
      <w:r w:rsidRPr="00FA3856">
        <w:rPr>
          <w:rFonts w:ascii="Times New Roman" w:hAnsi="Times New Roman"/>
          <w:color w:val="002060"/>
          <w:szCs w:val="20"/>
        </w:rPr>
        <w:t>|3.04.01.01|: Código da linha.</w:t>
      </w:r>
      <w:r w:rsidRPr="00FA3856">
        <w:rPr>
          <w:rFonts w:ascii="Times New Roman" w:hAnsi="Times New Roman"/>
          <w:color w:val="002060"/>
          <w:szCs w:val="20"/>
        </w:rPr>
        <w:tab/>
      </w:r>
    </w:p>
    <w:p w:rsidR="006A4A22" w:rsidRPr="00FA3856" w:rsidRDefault="006A4A22" w:rsidP="006A4A22">
      <w:pPr>
        <w:pStyle w:val="Corpodetexto"/>
        <w:ind w:firstLine="708"/>
        <w:rPr>
          <w:rFonts w:ascii="Times New Roman" w:hAnsi="Times New Roman"/>
          <w:color w:val="002060"/>
          <w:szCs w:val="20"/>
        </w:rPr>
      </w:pPr>
      <w:r w:rsidRPr="00FA3856">
        <w:rPr>
          <w:rFonts w:ascii="Times New Roman" w:hAnsi="Times New Roman"/>
          <w:color w:val="002060"/>
          <w:szCs w:val="20"/>
        </w:rPr>
        <w:t>|GANHOS NA ALIENAÇÃO DE BENS DE USO – FUNDO PARTIDÁRIO|: Descrição da linha.</w:t>
      </w:r>
    </w:p>
    <w:p w:rsidR="006A4A22" w:rsidRPr="00FA3856" w:rsidRDefault="006A4A22" w:rsidP="006A4A22">
      <w:pPr>
        <w:pStyle w:val="Corpodetexto"/>
        <w:ind w:firstLine="708"/>
        <w:rPr>
          <w:rFonts w:ascii="Times New Roman" w:hAnsi="Times New Roman"/>
          <w:color w:val="002060"/>
          <w:szCs w:val="20"/>
        </w:rPr>
      </w:pPr>
      <w:r w:rsidRPr="00FA3856">
        <w:rPr>
          <w:rFonts w:ascii="Times New Roman" w:hAnsi="Times New Roman"/>
          <w:color w:val="002060"/>
          <w:szCs w:val="20"/>
        </w:rPr>
        <w:t>|A|: Tipo da conta (A = Analítica).</w:t>
      </w:r>
    </w:p>
    <w:p w:rsidR="006A4A22" w:rsidRPr="00FA3856" w:rsidRDefault="006A4A22" w:rsidP="006A4A22">
      <w:pPr>
        <w:pStyle w:val="Corpodetexto"/>
        <w:ind w:firstLine="708"/>
        <w:rPr>
          <w:rFonts w:ascii="Times New Roman" w:hAnsi="Times New Roman"/>
          <w:color w:val="002060"/>
          <w:szCs w:val="20"/>
        </w:rPr>
      </w:pPr>
      <w:r w:rsidRPr="00FA3856">
        <w:rPr>
          <w:rFonts w:ascii="Times New Roman" w:hAnsi="Times New Roman"/>
          <w:color w:val="002060"/>
          <w:szCs w:val="20"/>
        </w:rPr>
        <w:t>|4|: Nível da conta.</w:t>
      </w:r>
    </w:p>
    <w:p w:rsidR="006A4A22" w:rsidRPr="00FA3856" w:rsidRDefault="006A4A22" w:rsidP="006A4A22">
      <w:pPr>
        <w:pStyle w:val="Corpodetexto"/>
        <w:ind w:firstLine="708"/>
        <w:rPr>
          <w:rFonts w:ascii="Times New Roman" w:hAnsi="Times New Roman"/>
          <w:color w:val="002060"/>
          <w:szCs w:val="20"/>
        </w:rPr>
      </w:pPr>
      <w:r w:rsidRPr="00FA3856">
        <w:rPr>
          <w:rFonts w:ascii="Times New Roman" w:hAnsi="Times New Roman"/>
          <w:color w:val="002060"/>
          <w:szCs w:val="20"/>
        </w:rPr>
        <w:t>|04|: Natureza da conta (04 = Contas de Resultado).</w:t>
      </w:r>
    </w:p>
    <w:p w:rsidR="006A4A22" w:rsidRPr="00FA3856" w:rsidRDefault="006A4A22" w:rsidP="006A4A22">
      <w:pPr>
        <w:pStyle w:val="Corpodetexto"/>
        <w:ind w:firstLine="708"/>
        <w:rPr>
          <w:rFonts w:ascii="Times New Roman" w:hAnsi="Times New Roman"/>
          <w:color w:val="002060"/>
          <w:szCs w:val="20"/>
        </w:rPr>
      </w:pPr>
      <w:r w:rsidRPr="00FA3856">
        <w:rPr>
          <w:rFonts w:ascii="Times New Roman" w:hAnsi="Times New Roman"/>
          <w:color w:val="002060"/>
          <w:szCs w:val="20"/>
        </w:rPr>
        <w:t>|3.04.01|: Código da conta superior.</w:t>
      </w:r>
    </w:p>
    <w:p w:rsidR="006A4A22" w:rsidRPr="00FA3856" w:rsidRDefault="006A4A22" w:rsidP="006A4A22">
      <w:pPr>
        <w:pStyle w:val="Corpodetexto"/>
        <w:ind w:firstLine="708"/>
        <w:rPr>
          <w:rFonts w:ascii="Times New Roman" w:hAnsi="Times New Roman"/>
          <w:color w:val="002060"/>
          <w:szCs w:val="20"/>
        </w:rPr>
      </w:pPr>
      <w:r w:rsidRPr="00FA3856">
        <w:rPr>
          <w:rFonts w:ascii="Times New Roman" w:hAnsi="Times New Roman"/>
          <w:color w:val="002060"/>
          <w:szCs w:val="20"/>
        </w:rPr>
        <w:t xml:space="preserve">|10000,00|: Valor </w:t>
      </w:r>
      <w:r w:rsidR="00116FBF" w:rsidRPr="00FA3856">
        <w:rPr>
          <w:rFonts w:ascii="Times New Roman" w:hAnsi="Times New Roman"/>
          <w:color w:val="002060"/>
          <w:szCs w:val="20"/>
        </w:rPr>
        <w:t>do saldo final</w:t>
      </w:r>
      <w:r w:rsidRPr="00FA3856">
        <w:rPr>
          <w:rFonts w:ascii="Times New Roman" w:hAnsi="Times New Roman"/>
          <w:color w:val="002060"/>
          <w:szCs w:val="20"/>
        </w:rPr>
        <w:t xml:space="preserve"> (R$ 10.000,00).</w:t>
      </w:r>
    </w:p>
    <w:p w:rsidR="006A4A22" w:rsidRPr="00FA3856" w:rsidRDefault="006A4A22" w:rsidP="006A4A22">
      <w:pPr>
        <w:pStyle w:val="Corpodetexto"/>
        <w:ind w:firstLine="708"/>
        <w:rPr>
          <w:rFonts w:ascii="Times New Roman" w:hAnsi="Times New Roman"/>
          <w:color w:val="002060"/>
          <w:szCs w:val="20"/>
        </w:rPr>
      </w:pPr>
      <w:r w:rsidRPr="00FA3856">
        <w:rPr>
          <w:rFonts w:ascii="Times New Roman" w:hAnsi="Times New Roman"/>
          <w:color w:val="002060"/>
          <w:szCs w:val="20"/>
        </w:rPr>
        <w:t>|</w:t>
      </w:r>
      <w:r w:rsidR="00116FBF" w:rsidRPr="00FA3856">
        <w:rPr>
          <w:rFonts w:ascii="Times New Roman" w:hAnsi="Times New Roman"/>
          <w:color w:val="002060"/>
          <w:szCs w:val="20"/>
        </w:rPr>
        <w:t>C|: Indicador do sinal</w:t>
      </w:r>
      <w:r w:rsidRPr="00FA3856">
        <w:rPr>
          <w:rFonts w:ascii="Times New Roman" w:hAnsi="Times New Roman"/>
          <w:color w:val="002060"/>
          <w:szCs w:val="20"/>
        </w:rPr>
        <w:t xml:space="preserve"> do saldo final da conta (C = Credor).</w:t>
      </w:r>
    </w:p>
    <w:p w:rsidR="007564CC" w:rsidRPr="00FA3856" w:rsidRDefault="007564CC" w:rsidP="00821B8A">
      <w:pPr>
        <w:rPr>
          <w:szCs w:val="20"/>
        </w:rPr>
      </w:pPr>
    </w:p>
    <w:p w:rsidR="004E2860" w:rsidRPr="00FA3856" w:rsidRDefault="004E2860">
      <w:pPr>
        <w:spacing w:after="200" w:line="276" w:lineRule="auto"/>
        <w:rPr>
          <w:b/>
          <w:bCs/>
          <w:color w:val="0000FF"/>
          <w:szCs w:val="20"/>
        </w:rPr>
      </w:pPr>
      <w:r w:rsidRPr="00FA3856">
        <w:rPr>
          <w:color w:val="0000FF"/>
          <w:szCs w:val="20"/>
        </w:rPr>
        <w:br w:type="page"/>
      </w:r>
    </w:p>
    <w:p w:rsidR="00F85F88" w:rsidRPr="00FA3856" w:rsidRDefault="00F85F88" w:rsidP="00867F54">
      <w:pPr>
        <w:pStyle w:val="Ttulo4"/>
      </w:pPr>
      <w:bookmarkStart w:id="377" w:name="_Toc479713781"/>
      <w:r w:rsidRPr="00FA3856">
        <w:lastRenderedPageBreak/>
        <w:t>Registro U180: Cálculo do IRPJ das Empresas Imunes e Isentas</w:t>
      </w:r>
      <w:bookmarkEnd w:id="377"/>
    </w:p>
    <w:p w:rsidR="00F85F88" w:rsidRPr="00FA3856" w:rsidRDefault="00F85F88" w:rsidP="00F85F88">
      <w:pPr>
        <w:rPr>
          <w:szCs w:val="20"/>
        </w:rPr>
      </w:pPr>
    </w:p>
    <w:p w:rsidR="00F85F88" w:rsidRPr="00FA3856" w:rsidRDefault="00F85F88" w:rsidP="00F85F88">
      <w:pPr>
        <w:pStyle w:val="PSDS-CorpodeTexto0"/>
        <w:ind w:firstLine="708"/>
        <w:rPr>
          <w:rFonts w:ascii="Times New Roman" w:hAnsi="Times New Roman"/>
        </w:rPr>
      </w:pPr>
      <w:r w:rsidRPr="00FA3856">
        <w:rPr>
          <w:rFonts w:ascii="Times New Roman" w:hAnsi="Times New Roman"/>
        </w:rPr>
        <w:t>Apresenta o cálculo do IRPJ das empresas imu</w:t>
      </w:r>
      <w:r w:rsidR="004E2860" w:rsidRPr="00FA3856">
        <w:rPr>
          <w:rFonts w:ascii="Times New Roman" w:hAnsi="Times New Roman"/>
        </w:rPr>
        <w:t>nes e isentas, no caso de receitas auferidas oriundas de atividades não relacionadas às atividades das empresas imunes e isentas.</w:t>
      </w:r>
    </w:p>
    <w:p w:rsidR="00821B8A" w:rsidRDefault="00821B8A" w:rsidP="00FE5D23">
      <w:pPr>
        <w:rPr>
          <w:b/>
          <w:szCs w:val="20"/>
          <w:lang w:val="pt-PT"/>
        </w:rPr>
      </w:pPr>
    </w:p>
    <w:p w:rsidR="008A4536" w:rsidRPr="00FA3856" w:rsidRDefault="00B35FA3" w:rsidP="008A4536">
      <w:pPr>
        <w:jc w:val="center"/>
        <w:rPr>
          <w:b/>
          <w:szCs w:val="20"/>
          <w:lang w:val="pt-PT"/>
        </w:rPr>
      </w:pPr>
      <w:r>
        <w:rPr>
          <w:b/>
          <w:szCs w:val="20"/>
          <w:lang w:val="pt-PT"/>
        </w:rPr>
        <w:object w:dxaOrig="13950" w:dyaOrig="4635">
          <v:shape id="_x0000_i1849" type="#_x0000_t75" style="width:745.5pt;height:222.75pt" o:ole="">
            <v:imagedata r:id="rId588" o:title=""/>
          </v:shape>
          <o:OLEObject Type="Link" ProgID="Excel.Sheet.12" ShapeID="_x0000_i1849" DrawAspect="Content" r:id="rId589" UpdateMode="Always">
            <o:LinkType>EnhancedMetaFile</o:LinkType>
            <o:LockedField>false</o:LockedField>
          </o:OLEObject>
        </w:object>
      </w:r>
    </w:p>
    <w:p w:rsidR="008A4536" w:rsidRDefault="008A4536" w:rsidP="00821B8A">
      <w:pPr>
        <w:rPr>
          <w:b/>
          <w:szCs w:val="20"/>
          <w:lang w:val="pt-PT"/>
        </w:rPr>
      </w:pPr>
    </w:p>
    <w:p w:rsidR="00FE5D23" w:rsidRPr="00FA3856" w:rsidRDefault="00FE5D23" w:rsidP="00821B8A">
      <w:pPr>
        <w:rPr>
          <w:b/>
          <w:szCs w:val="20"/>
          <w:lang w:val="pt-PT"/>
        </w:rPr>
      </w:pPr>
      <w:r w:rsidRPr="00FA3856">
        <w:rPr>
          <w:b/>
          <w:szCs w:val="20"/>
          <w:lang w:val="pt-PT"/>
        </w:rPr>
        <w:t>I – Regras de Validação do Registro:</w:t>
      </w:r>
    </w:p>
    <w:p w:rsidR="00FE5D23" w:rsidRPr="00FA3856" w:rsidRDefault="00FE5D23" w:rsidP="00821B8A">
      <w:pPr>
        <w:rPr>
          <w:b/>
          <w:szCs w:val="20"/>
          <w:lang w:val="pt-PT"/>
        </w:rPr>
      </w:pPr>
    </w:p>
    <w:p w:rsidR="00FE5D23" w:rsidRPr="00FA3856" w:rsidRDefault="007D0E74" w:rsidP="00821B8A">
      <w:pPr>
        <w:pStyle w:val="Corpodetexto"/>
        <w:spacing w:line="240" w:lineRule="auto"/>
        <w:ind w:left="708" w:firstLine="12"/>
        <w:rPr>
          <w:rFonts w:ascii="Times New Roman" w:hAnsi="Times New Roman"/>
          <w:szCs w:val="20"/>
        </w:rPr>
      </w:pPr>
      <w:hyperlink r:id="rId590" w:anchor="REGRA_OCORRENCIA_UNITARIA_ARQ" w:history="1">
        <w:r w:rsidR="00FE5D23" w:rsidRPr="00FA3856">
          <w:rPr>
            <w:rFonts w:ascii="Times New Roman" w:hAnsi="Times New Roman"/>
            <w:b/>
            <w:szCs w:val="20"/>
          </w:rPr>
          <w:t>REGRA_</w:t>
        </w:r>
      </w:hyperlink>
      <w:r w:rsidR="00FE5D23" w:rsidRPr="00FA3856">
        <w:rPr>
          <w:rFonts w:ascii="Times New Roman" w:hAnsi="Times New Roman"/>
          <w:b/>
          <w:szCs w:val="20"/>
        </w:rPr>
        <w:t>DUPLICIDADE_DESPREZADA</w:t>
      </w:r>
      <w:r w:rsidR="00FE5D23" w:rsidRPr="00FA3856">
        <w:rPr>
          <w:rFonts w:ascii="Times New Roman" w:hAnsi="Times New Roman"/>
          <w:color w:val="auto"/>
          <w:szCs w:val="20"/>
        </w:rPr>
        <w:t xml:space="preserve">: </w:t>
      </w:r>
      <w:r w:rsidR="00FE5D23" w:rsidRPr="00FA3856">
        <w:rPr>
          <w:rFonts w:ascii="Times New Roman" w:hAnsi="Times New Roman"/>
          <w:szCs w:val="20"/>
        </w:rPr>
        <w:t>Verifica se o registro já foi importado anteriormente, de acordo com a chave e os registros pais. Se a regra não for cumprida, a ECF gera um aviso.</w:t>
      </w:r>
    </w:p>
    <w:p w:rsidR="00FE5D23" w:rsidRPr="00FA3856" w:rsidRDefault="00FE5D23" w:rsidP="00821B8A">
      <w:pPr>
        <w:pStyle w:val="Corpodetexto"/>
        <w:spacing w:line="240" w:lineRule="auto"/>
        <w:ind w:left="708" w:firstLine="12"/>
        <w:rPr>
          <w:rFonts w:ascii="Times New Roman" w:hAnsi="Times New Roman"/>
          <w:szCs w:val="20"/>
        </w:rPr>
      </w:pPr>
    </w:p>
    <w:p w:rsidR="00FE5D23" w:rsidRPr="00FA3856" w:rsidRDefault="007D0E74" w:rsidP="00821B8A">
      <w:pPr>
        <w:pStyle w:val="Corpodetexto"/>
        <w:spacing w:line="240" w:lineRule="auto"/>
        <w:ind w:left="708" w:firstLine="12"/>
        <w:rPr>
          <w:rFonts w:ascii="Times New Roman" w:hAnsi="Times New Roman"/>
          <w:szCs w:val="20"/>
        </w:rPr>
      </w:pPr>
      <w:hyperlink r:id="rId591" w:anchor="REGRA_OCORRENCIA_UNITARIA_ARQ" w:history="1">
        <w:r w:rsidR="00FE5D23" w:rsidRPr="00FA3856">
          <w:rPr>
            <w:rFonts w:ascii="Times New Roman" w:hAnsi="Times New Roman"/>
            <w:b/>
            <w:szCs w:val="20"/>
          </w:rPr>
          <w:t>REGRA_</w:t>
        </w:r>
      </w:hyperlink>
      <w:r w:rsidR="00FE5D23" w:rsidRPr="00FA3856">
        <w:rPr>
          <w:rFonts w:ascii="Times New Roman" w:hAnsi="Times New Roman"/>
          <w:b/>
          <w:szCs w:val="20"/>
        </w:rPr>
        <w:t>LINHA_DESPREZADA</w:t>
      </w:r>
      <w:r w:rsidR="00FE5D23" w:rsidRPr="00FA3856">
        <w:rPr>
          <w:rFonts w:ascii="Times New Roman" w:hAnsi="Times New Roman"/>
          <w:color w:val="auto"/>
          <w:szCs w:val="20"/>
        </w:rPr>
        <w:t xml:space="preserve">: </w:t>
      </w:r>
      <w:r w:rsidR="00FE5D23" w:rsidRPr="00FA3856">
        <w:rPr>
          <w:rFonts w:ascii="Times New Roman" w:hAnsi="Times New Roman"/>
          <w:szCs w:val="20"/>
        </w:rPr>
        <w:t>Verifica se o registro existe na importação, mas não será importado por não existir na tabela dinâmica devido às configurações do bloco 0 ou da tabela dinâmica. Gera um aviso.</w:t>
      </w:r>
    </w:p>
    <w:p w:rsidR="00FE5D23" w:rsidRPr="00FA3856" w:rsidRDefault="00FE5D23" w:rsidP="00821B8A">
      <w:pPr>
        <w:pStyle w:val="Corpodetexto"/>
        <w:spacing w:line="240" w:lineRule="auto"/>
        <w:ind w:left="708" w:firstLine="12"/>
        <w:rPr>
          <w:rFonts w:ascii="Times New Roman" w:hAnsi="Times New Roman"/>
          <w:b/>
          <w:szCs w:val="20"/>
        </w:rPr>
      </w:pPr>
    </w:p>
    <w:p w:rsidR="00FE5D23" w:rsidRPr="00FA3856" w:rsidRDefault="007D0E74" w:rsidP="00821B8A">
      <w:pPr>
        <w:pStyle w:val="Corpodetexto"/>
        <w:spacing w:line="240" w:lineRule="auto"/>
        <w:ind w:left="708" w:firstLine="12"/>
        <w:rPr>
          <w:rFonts w:ascii="Times New Roman" w:hAnsi="Times New Roman"/>
          <w:b/>
          <w:szCs w:val="20"/>
        </w:rPr>
      </w:pPr>
      <w:hyperlink r:id="rId592" w:anchor="REGRA_OCORRENCIA_UNITARIA_ARQ" w:history="1">
        <w:r w:rsidR="00FE5D23" w:rsidRPr="00FA3856">
          <w:rPr>
            <w:rFonts w:ascii="Times New Roman" w:hAnsi="Times New Roman"/>
            <w:b/>
            <w:szCs w:val="20"/>
          </w:rPr>
          <w:t>REGRA_</w:t>
        </w:r>
      </w:hyperlink>
      <w:r w:rsidR="00FE5D23" w:rsidRPr="00FA3856">
        <w:rPr>
          <w:rFonts w:ascii="Times New Roman" w:hAnsi="Times New Roman"/>
          <w:b/>
          <w:szCs w:val="20"/>
        </w:rPr>
        <w:t>LINHA_ATUALIZADA</w:t>
      </w:r>
      <w:r w:rsidR="00FE5D23" w:rsidRPr="00FA3856">
        <w:rPr>
          <w:rFonts w:ascii="Times New Roman" w:hAnsi="Times New Roman"/>
          <w:color w:val="auto"/>
          <w:szCs w:val="20"/>
        </w:rPr>
        <w:t xml:space="preserve">: </w:t>
      </w:r>
      <w:r w:rsidR="00FE5D23" w:rsidRPr="00FA3856">
        <w:rPr>
          <w:rFonts w:ascii="Times New Roman" w:hAnsi="Times New Roman"/>
          <w:szCs w:val="20"/>
        </w:rPr>
        <w:t>Verifica se o registro está desatualizado em relação à tabela da RFB. Gera um aviso.</w:t>
      </w:r>
    </w:p>
    <w:p w:rsidR="00821B8A" w:rsidRPr="00FA3856" w:rsidRDefault="00821B8A" w:rsidP="00821B8A">
      <w:pPr>
        <w:rPr>
          <w:b/>
          <w:szCs w:val="20"/>
          <w:lang w:val="pt-PT"/>
        </w:rPr>
      </w:pPr>
    </w:p>
    <w:p w:rsidR="00F85F88" w:rsidRPr="00FA3856" w:rsidRDefault="00F85F88" w:rsidP="00821B8A">
      <w:pPr>
        <w:rPr>
          <w:b/>
          <w:szCs w:val="20"/>
          <w:lang w:val="pt-PT"/>
        </w:rPr>
      </w:pPr>
      <w:r w:rsidRPr="00FA3856">
        <w:rPr>
          <w:b/>
          <w:szCs w:val="20"/>
          <w:lang w:val="pt-PT"/>
        </w:rPr>
        <w:t>I</w:t>
      </w:r>
      <w:r w:rsidR="00FE5D23" w:rsidRPr="00FA3856">
        <w:rPr>
          <w:b/>
          <w:szCs w:val="20"/>
          <w:lang w:val="pt-PT"/>
        </w:rPr>
        <w:t>I</w:t>
      </w:r>
      <w:r w:rsidRPr="00FA3856">
        <w:rPr>
          <w:b/>
          <w:szCs w:val="20"/>
          <w:lang w:val="pt-PT"/>
        </w:rPr>
        <w:t xml:space="preserve"> – Regras de Validação de Campos:</w:t>
      </w:r>
    </w:p>
    <w:p w:rsidR="00F85F88" w:rsidRPr="00FA3856" w:rsidRDefault="00F85F88" w:rsidP="00821B8A">
      <w:pPr>
        <w:rPr>
          <w:b/>
          <w:szCs w:val="20"/>
          <w:lang w:val="pt-PT"/>
        </w:rPr>
      </w:pPr>
    </w:p>
    <w:tbl>
      <w:tblPr>
        <w:tblW w:w="15367"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85"/>
        <w:gridCol w:w="3000"/>
        <w:gridCol w:w="11165"/>
        <w:gridCol w:w="717"/>
      </w:tblGrid>
      <w:tr w:rsidR="00F85F88" w:rsidRPr="00FA3856" w:rsidTr="00886B77">
        <w:trPr>
          <w:jc w:val="center"/>
        </w:trPr>
        <w:tc>
          <w:tcPr>
            <w:tcW w:w="485" w:type="dxa"/>
            <w:tcBorders>
              <w:top w:val="single" w:sz="6" w:space="0" w:color="auto"/>
              <w:left w:val="single" w:sz="6" w:space="0" w:color="auto"/>
              <w:bottom w:val="single" w:sz="6" w:space="0" w:color="auto"/>
              <w:right w:val="single" w:sz="6" w:space="0" w:color="auto"/>
            </w:tcBorders>
            <w:shd w:val="pct10" w:color="auto" w:fill="FFFFFF"/>
          </w:tcPr>
          <w:p w:rsidR="00F85F88" w:rsidRPr="00FA3856" w:rsidRDefault="00F85F88" w:rsidP="00821B8A">
            <w:pPr>
              <w:pStyle w:val="PSDS-CorpodeTexto0"/>
              <w:jc w:val="center"/>
              <w:rPr>
                <w:rFonts w:ascii="Times New Roman" w:hAnsi="Times New Roman"/>
                <w:b/>
                <w:bCs/>
              </w:rPr>
            </w:pPr>
            <w:r w:rsidRPr="00FA3856">
              <w:rPr>
                <w:rFonts w:ascii="Times New Roman" w:hAnsi="Times New Roman"/>
                <w:b/>
                <w:bCs/>
              </w:rPr>
              <w:t>Nº</w:t>
            </w:r>
          </w:p>
        </w:tc>
        <w:tc>
          <w:tcPr>
            <w:tcW w:w="3000" w:type="dxa"/>
            <w:tcBorders>
              <w:top w:val="single" w:sz="6" w:space="0" w:color="auto"/>
              <w:left w:val="single" w:sz="6" w:space="0" w:color="auto"/>
              <w:bottom w:val="single" w:sz="6" w:space="0" w:color="auto"/>
              <w:right w:val="single" w:sz="6" w:space="0" w:color="auto"/>
            </w:tcBorders>
            <w:shd w:val="pct10" w:color="auto" w:fill="FFFFFF"/>
          </w:tcPr>
          <w:p w:rsidR="00F85F88" w:rsidRPr="00FA3856" w:rsidRDefault="00F85F88" w:rsidP="00821B8A">
            <w:pPr>
              <w:pStyle w:val="PSDS-CorpodeTexto0"/>
              <w:jc w:val="center"/>
              <w:rPr>
                <w:rFonts w:ascii="Times New Roman" w:hAnsi="Times New Roman"/>
                <w:b/>
                <w:bCs/>
              </w:rPr>
            </w:pPr>
            <w:r w:rsidRPr="00FA3856">
              <w:rPr>
                <w:rFonts w:ascii="Times New Roman" w:hAnsi="Times New Roman"/>
                <w:b/>
                <w:bCs/>
              </w:rPr>
              <w:t>Campo</w:t>
            </w:r>
          </w:p>
        </w:tc>
        <w:tc>
          <w:tcPr>
            <w:tcW w:w="11165" w:type="dxa"/>
            <w:tcBorders>
              <w:top w:val="single" w:sz="6" w:space="0" w:color="auto"/>
              <w:left w:val="single" w:sz="6" w:space="0" w:color="auto"/>
              <w:bottom w:val="single" w:sz="6" w:space="0" w:color="auto"/>
              <w:right w:val="single" w:sz="6" w:space="0" w:color="auto"/>
            </w:tcBorders>
            <w:shd w:val="pct10" w:color="auto" w:fill="FFFFFF"/>
          </w:tcPr>
          <w:p w:rsidR="00F85F88" w:rsidRPr="00FA3856" w:rsidRDefault="00F85F88" w:rsidP="00821B8A">
            <w:pPr>
              <w:pStyle w:val="PSDS-CorpodeTexto0"/>
              <w:jc w:val="center"/>
              <w:rPr>
                <w:rFonts w:ascii="Times New Roman" w:hAnsi="Times New Roman"/>
                <w:b/>
                <w:bCs/>
              </w:rPr>
            </w:pPr>
            <w:r w:rsidRPr="00FA3856">
              <w:rPr>
                <w:rFonts w:ascii="Times New Roman" w:hAnsi="Times New Roman"/>
                <w:b/>
                <w:bCs/>
              </w:rPr>
              <w:t>Regras de Validação do Campo</w:t>
            </w:r>
          </w:p>
        </w:tc>
        <w:tc>
          <w:tcPr>
            <w:tcW w:w="717" w:type="dxa"/>
            <w:tcBorders>
              <w:top w:val="single" w:sz="6" w:space="0" w:color="auto"/>
              <w:left w:val="single" w:sz="6" w:space="0" w:color="auto"/>
              <w:bottom w:val="single" w:sz="6" w:space="0" w:color="auto"/>
              <w:right w:val="single" w:sz="6" w:space="0" w:color="auto"/>
            </w:tcBorders>
            <w:shd w:val="pct10" w:color="auto" w:fill="FFFFFF"/>
          </w:tcPr>
          <w:p w:rsidR="00F85F88" w:rsidRPr="00FA3856" w:rsidRDefault="00F85F88" w:rsidP="00821B8A">
            <w:pPr>
              <w:pStyle w:val="PSDS-CorpodeTexto0"/>
              <w:jc w:val="center"/>
              <w:rPr>
                <w:rFonts w:ascii="Times New Roman" w:hAnsi="Times New Roman"/>
                <w:b/>
                <w:bCs/>
              </w:rPr>
            </w:pPr>
            <w:r w:rsidRPr="00FA3856">
              <w:rPr>
                <w:rFonts w:ascii="Times New Roman" w:hAnsi="Times New Roman"/>
                <w:b/>
                <w:bCs/>
              </w:rPr>
              <w:t>Tipo</w:t>
            </w:r>
          </w:p>
        </w:tc>
      </w:tr>
      <w:tr w:rsidR="0012324D" w:rsidRPr="00FA3856" w:rsidTr="00886B77">
        <w:trPr>
          <w:jc w:val="center"/>
        </w:trPr>
        <w:tc>
          <w:tcPr>
            <w:tcW w:w="485" w:type="dxa"/>
            <w:tcBorders>
              <w:top w:val="single" w:sz="6" w:space="0" w:color="auto"/>
              <w:left w:val="single" w:sz="6" w:space="0" w:color="auto"/>
              <w:bottom w:val="single" w:sz="6" w:space="0" w:color="auto"/>
              <w:right w:val="single" w:sz="6" w:space="0" w:color="auto"/>
            </w:tcBorders>
          </w:tcPr>
          <w:p w:rsidR="0012324D" w:rsidRPr="00FA3856" w:rsidRDefault="0012324D" w:rsidP="00821B8A">
            <w:pPr>
              <w:pStyle w:val="PSDS-CorpodeTexto0"/>
              <w:suppressAutoHyphens w:val="0"/>
              <w:rPr>
                <w:rFonts w:ascii="Times New Roman" w:hAnsi="Times New Roman"/>
                <w:b/>
                <w:bCs/>
                <w:lang w:val="pt-PT"/>
              </w:rPr>
            </w:pPr>
            <w:r w:rsidRPr="00FA3856">
              <w:rPr>
                <w:rFonts w:ascii="Times New Roman" w:hAnsi="Times New Roman"/>
                <w:b/>
                <w:bCs/>
                <w:lang w:val="pt-PT"/>
              </w:rPr>
              <w:t>4</w:t>
            </w:r>
          </w:p>
        </w:tc>
        <w:tc>
          <w:tcPr>
            <w:tcW w:w="3000" w:type="dxa"/>
            <w:tcBorders>
              <w:top w:val="single" w:sz="6" w:space="0" w:color="auto"/>
              <w:left w:val="single" w:sz="6" w:space="0" w:color="auto"/>
              <w:bottom w:val="single" w:sz="6" w:space="0" w:color="auto"/>
              <w:right w:val="single" w:sz="6" w:space="0" w:color="auto"/>
            </w:tcBorders>
          </w:tcPr>
          <w:p w:rsidR="0012324D" w:rsidRPr="00FA3856" w:rsidRDefault="0012324D" w:rsidP="00821B8A">
            <w:pPr>
              <w:pStyle w:val="PSDS-CorpodeTexto0"/>
              <w:rPr>
                <w:rFonts w:ascii="Times New Roman" w:hAnsi="Times New Roman"/>
              </w:rPr>
            </w:pPr>
            <w:r w:rsidRPr="00FA3856">
              <w:rPr>
                <w:rFonts w:ascii="Times New Roman" w:hAnsi="Times New Roman"/>
              </w:rPr>
              <w:t>VALOR</w:t>
            </w:r>
          </w:p>
        </w:tc>
        <w:tc>
          <w:tcPr>
            <w:tcW w:w="11165" w:type="dxa"/>
            <w:tcBorders>
              <w:top w:val="single" w:sz="6" w:space="0" w:color="auto"/>
              <w:left w:val="single" w:sz="6" w:space="0" w:color="auto"/>
              <w:bottom w:val="single" w:sz="6" w:space="0" w:color="auto"/>
              <w:right w:val="single" w:sz="6" w:space="0" w:color="auto"/>
            </w:tcBorders>
          </w:tcPr>
          <w:p w:rsidR="0012324D" w:rsidRPr="00FA3856" w:rsidRDefault="0012324D" w:rsidP="00821B8A">
            <w:pPr>
              <w:pStyle w:val="Corpodetexto"/>
              <w:spacing w:line="240" w:lineRule="auto"/>
              <w:rPr>
                <w:rFonts w:ascii="Times New Roman" w:hAnsi="Times New Roman"/>
                <w:szCs w:val="20"/>
              </w:rPr>
            </w:pPr>
            <w:r w:rsidRPr="00FA3856">
              <w:rPr>
                <w:rFonts w:ascii="Times New Roman" w:hAnsi="Times New Roman"/>
                <w:b/>
                <w:bCs/>
                <w:szCs w:val="20"/>
              </w:rPr>
              <w:t>REGRA_OBRIGATORIO_TIPO_DIFERENTE_R</w:t>
            </w:r>
            <w:r w:rsidRPr="00FA3856">
              <w:rPr>
                <w:rFonts w:ascii="Times New Roman" w:hAnsi="Times New Roman"/>
                <w:szCs w:val="20"/>
              </w:rPr>
              <w:t xml:space="preserve">: </w:t>
            </w:r>
            <w:r w:rsidRPr="00FA3856">
              <w:rPr>
                <w:rStyle w:val="Hyperlink"/>
                <w:rFonts w:ascii="Times New Roman" w:hAnsi="Times New Roman"/>
                <w:bCs/>
                <w:color w:val="auto"/>
                <w:szCs w:val="20"/>
                <w:lang w:val="pt-PT"/>
              </w:rPr>
              <w:t xml:space="preserve">Verifica se o campo está preenchido quando o tipo da linha </w:t>
            </w:r>
            <w:r w:rsidR="0063733D" w:rsidRPr="00FA3856">
              <w:rPr>
                <w:rStyle w:val="Hyperlink"/>
                <w:rFonts w:ascii="Times New Roman" w:hAnsi="Times New Roman"/>
                <w:bCs/>
                <w:color w:val="auto"/>
                <w:szCs w:val="20"/>
                <w:lang w:val="pt-PT"/>
              </w:rPr>
              <w:t>é diferente</w:t>
            </w:r>
            <w:r w:rsidRPr="00FA3856">
              <w:rPr>
                <w:rStyle w:val="Hyperlink"/>
                <w:rFonts w:ascii="Times New Roman" w:hAnsi="Times New Roman"/>
                <w:bCs/>
                <w:color w:val="auto"/>
                <w:szCs w:val="20"/>
                <w:lang w:val="pt-PT"/>
              </w:rPr>
              <w:t xml:space="preserve"> de “R”.</w:t>
            </w:r>
          </w:p>
        </w:tc>
        <w:tc>
          <w:tcPr>
            <w:tcW w:w="717" w:type="dxa"/>
            <w:tcBorders>
              <w:top w:val="single" w:sz="6" w:space="0" w:color="auto"/>
              <w:left w:val="single" w:sz="6" w:space="0" w:color="auto"/>
              <w:bottom w:val="single" w:sz="6" w:space="0" w:color="auto"/>
              <w:right w:val="single" w:sz="6" w:space="0" w:color="auto"/>
            </w:tcBorders>
          </w:tcPr>
          <w:p w:rsidR="0012324D" w:rsidRPr="00FA3856" w:rsidRDefault="0012324D" w:rsidP="00821B8A">
            <w:pPr>
              <w:pStyle w:val="PSDS-CorpodeTexto0"/>
              <w:rPr>
                <w:rFonts w:ascii="Times New Roman" w:hAnsi="Times New Roman"/>
              </w:rPr>
            </w:pPr>
            <w:r w:rsidRPr="00FA3856">
              <w:rPr>
                <w:rFonts w:ascii="Times New Roman" w:hAnsi="Times New Roman"/>
              </w:rPr>
              <w:t>Erro</w:t>
            </w:r>
          </w:p>
          <w:p w:rsidR="0012324D" w:rsidRPr="00FA3856" w:rsidRDefault="0012324D" w:rsidP="00821B8A">
            <w:pPr>
              <w:pStyle w:val="PSDS-CorpodeTexto0"/>
              <w:rPr>
                <w:rFonts w:ascii="Times New Roman" w:hAnsi="Times New Roman"/>
              </w:rPr>
            </w:pPr>
          </w:p>
        </w:tc>
      </w:tr>
    </w:tbl>
    <w:p w:rsidR="000026E1" w:rsidRPr="00FA3856" w:rsidRDefault="000026E1" w:rsidP="00821B8A">
      <w:pPr>
        <w:pStyle w:val="Corpodetexto"/>
        <w:spacing w:line="240" w:lineRule="auto"/>
        <w:rPr>
          <w:rFonts w:ascii="Times New Roman" w:hAnsi="Times New Roman"/>
          <w:b/>
          <w:szCs w:val="20"/>
        </w:rPr>
      </w:pPr>
    </w:p>
    <w:p w:rsidR="002C4B9D" w:rsidRPr="00FA3856" w:rsidRDefault="00711CAF" w:rsidP="00821B8A">
      <w:pPr>
        <w:pStyle w:val="Corpodetexto"/>
        <w:spacing w:line="240" w:lineRule="auto"/>
        <w:rPr>
          <w:rFonts w:ascii="Times New Roman" w:hAnsi="Times New Roman"/>
          <w:b/>
          <w:szCs w:val="20"/>
        </w:rPr>
      </w:pPr>
      <w:r w:rsidRPr="00FA3856">
        <w:rPr>
          <w:rFonts w:ascii="Times New Roman" w:hAnsi="Times New Roman"/>
          <w:b/>
          <w:szCs w:val="20"/>
        </w:rPr>
        <w:t>I</w:t>
      </w:r>
      <w:r w:rsidR="002C4B9D" w:rsidRPr="00FA3856">
        <w:rPr>
          <w:rFonts w:ascii="Times New Roman" w:hAnsi="Times New Roman"/>
          <w:b/>
          <w:szCs w:val="20"/>
        </w:rPr>
        <w:t>II – Tabela Dinâmica:</w:t>
      </w:r>
      <w:r w:rsidR="00891D00">
        <w:rPr>
          <w:rFonts w:ascii="Times New Roman" w:hAnsi="Times New Roman"/>
          <w:b/>
          <w:szCs w:val="20"/>
        </w:rPr>
        <w:t xml:space="preserve"> </w:t>
      </w:r>
      <w:r w:rsidR="00891D00" w:rsidRPr="00891D00">
        <w:rPr>
          <w:rFonts w:ascii="Times New Roman" w:hAnsi="Times New Roman"/>
          <w:b/>
          <w:szCs w:val="20"/>
        </w:rPr>
        <w:t>U180 - Cálculo do IRPJ - Imunes e Isentas</w:t>
      </w:r>
    </w:p>
    <w:p w:rsidR="001B6DF5" w:rsidRPr="00EE13F0" w:rsidRDefault="00486CDA" w:rsidP="00EE13F0">
      <w:pPr>
        <w:rPr>
          <w:szCs w:val="20"/>
        </w:rPr>
      </w:pPr>
      <w:r>
        <w:rPr>
          <w:b/>
          <w:color w:val="000000"/>
          <w:szCs w:val="20"/>
          <w:lang w:eastAsia="ar-SA"/>
        </w:rPr>
        <w:object w:dxaOrig="1534" w:dyaOrig="997">
          <v:shape id="_x0000_i1240" type="#_x0000_t75" style="width:79.5pt;height:50.25pt" o:ole="">
            <v:imagedata r:id="rId593" o:title=""/>
          </v:shape>
          <o:OLEObject Type="Link" ProgID="Excel.Sheet.12" ShapeID="_x0000_i1240" DrawAspect="Content" r:id="rId594" UpdateMode="OnCall">
            <o:LinkType>EnhancedMetaFile</o:LinkType>
            <o:LockedField>false</o:LockedField>
          </o:OLEObject>
        </w:object>
      </w:r>
    </w:p>
    <w:p w:rsidR="004F1678" w:rsidRDefault="000026E1" w:rsidP="000026E1">
      <w:pPr>
        <w:pStyle w:val="Corpodetexto"/>
        <w:rPr>
          <w:rFonts w:ascii="Times New Roman" w:hAnsi="Times New Roman"/>
          <w:b/>
          <w:color w:val="002060"/>
          <w:szCs w:val="20"/>
        </w:rPr>
      </w:pPr>
      <w:r w:rsidRPr="00FA3856">
        <w:rPr>
          <w:rFonts w:ascii="Times New Roman" w:hAnsi="Times New Roman"/>
          <w:b/>
          <w:color w:val="002060"/>
          <w:szCs w:val="20"/>
        </w:rPr>
        <w:t xml:space="preserve">Exemplo de Preenchimento: </w:t>
      </w:r>
    </w:p>
    <w:p w:rsidR="004F1678" w:rsidRDefault="004F1678" w:rsidP="000026E1">
      <w:pPr>
        <w:pStyle w:val="Corpodetexto"/>
        <w:rPr>
          <w:rFonts w:ascii="Times New Roman" w:hAnsi="Times New Roman"/>
          <w:b/>
          <w:color w:val="002060"/>
          <w:szCs w:val="20"/>
        </w:rPr>
      </w:pPr>
    </w:p>
    <w:p w:rsidR="000026E1" w:rsidRPr="00FA3856" w:rsidRDefault="000026E1" w:rsidP="000026E1">
      <w:pPr>
        <w:pStyle w:val="Corpodetexto"/>
        <w:rPr>
          <w:rFonts w:ascii="Times New Roman" w:hAnsi="Times New Roman"/>
          <w:b/>
          <w:color w:val="002060"/>
          <w:szCs w:val="20"/>
        </w:rPr>
      </w:pPr>
      <w:r w:rsidRPr="00FA3856">
        <w:rPr>
          <w:rFonts w:ascii="Times New Roman" w:hAnsi="Times New Roman"/>
          <w:b/>
          <w:color w:val="002060"/>
          <w:szCs w:val="20"/>
        </w:rPr>
        <w:t>|U180|12|IMPOSTO DE RENDA A PAGAR|10000,00|</w:t>
      </w:r>
    </w:p>
    <w:p w:rsidR="000026E1" w:rsidRPr="00FA3856" w:rsidRDefault="000026E1" w:rsidP="000026E1">
      <w:pPr>
        <w:pStyle w:val="Corpodetexto"/>
        <w:ind w:firstLine="708"/>
        <w:rPr>
          <w:rFonts w:ascii="Times New Roman" w:hAnsi="Times New Roman"/>
          <w:color w:val="002060"/>
          <w:szCs w:val="20"/>
        </w:rPr>
      </w:pPr>
      <w:r w:rsidRPr="00FA3856">
        <w:rPr>
          <w:rFonts w:ascii="Times New Roman" w:hAnsi="Times New Roman"/>
          <w:color w:val="002060"/>
          <w:szCs w:val="20"/>
        </w:rPr>
        <w:t>|U180|: Identificação do tipo do registro.</w:t>
      </w:r>
    </w:p>
    <w:p w:rsidR="000026E1" w:rsidRPr="00FA3856" w:rsidRDefault="000026E1" w:rsidP="000026E1">
      <w:pPr>
        <w:pStyle w:val="Corpodetexto"/>
        <w:ind w:firstLine="708"/>
        <w:rPr>
          <w:rFonts w:ascii="Times New Roman" w:hAnsi="Times New Roman"/>
          <w:color w:val="002060"/>
          <w:szCs w:val="20"/>
        </w:rPr>
      </w:pPr>
      <w:r w:rsidRPr="00FA3856">
        <w:rPr>
          <w:rFonts w:ascii="Times New Roman" w:hAnsi="Times New Roman"/>
          <w:color w:val="002060"/>
          <w:szCs w:val="20"/>
        </w:rPr>
        <w:t>|1|: Código da linha.</w:t>
      </w:r>
    </w:p>
    <w:p w:rsidR="000026E1" w:rsidRPr="00FA3856" w:rsidRDefault="000026E1" w:rsidP="000026E1">
      <w:pPr>
        <w:pStyle w:val="Corpodetexto"/>
        <w:ind w:firstLine="708"/>
        <w:rPr>
          <w:rFonts w:ascii="Times New Roman" w:hAnsi="Times New Roman"/>
          <w:color w:val="002060"/>
          <w:szCs w:val="20"/>
        </w:rPr>
      </w:pPr>
      <w:r w:rsidRPr="00FA3856">
        <w:rPr>
          <w:rFonts w:ascii="Times New Roman" w:hAnsi="Times New Roman"/>
          <w:color w:val="002060"/>
          <w:szCs w:val="20"/>
        </w:rPr>
        <w:t>|IMPOSTO DE RENDA A PAGAR|: Descrição da linha.</w:t>
      </w:r>
    </w:p>
    <w:p w:rsidR="000026E1" w:rsidRPr="00FA3856" w:rsidRDefault="000026E1" w:rsidP="000026E1">
      <w:pPr>
        <w:pStyle w:val="Corpodetexto"/>
        <w:ind w:firstLine="708"/>
        <w:rPr>
          <w:rFonts w:ascii="Times New Roman" w:hAnsi="Times New Roman"/>
          <w:color w:val="002060"/>
          <w:szCs w:val="20"/>
        </w:rPr>
      </w:pPr>
      <w:r w:rsidRPr="00FA3856">
        <w:rPr>
          <w:rFonts w:ascii="Times New Roman" w:hAnsi="Times New Roman"/>
          <w:color w:val="002060"/>
          <w:szCs w:val="20"/>
        </w:rPr>
        <w:t>|10000,00|: Valor da linha (R$ 10.000,00).</w:t>
      </w:r>
    </w:p>
    <w:p w:rsidR="000026E1" w:rsidRPr="00FA3856" w:rsidRDefault="000026E1" w:rsidP="0069209D">
      <w:pPr>
        <w:rPr>
          <w:szCs w:val="20"/>
        </w:rPr>
      </w:pPr>
    </w:p>
    <w:p w:rsidR="0069209D" w:rsidRPr="00FA3856" w:rsidRDefault="0069209D">
      <w:pPr>
        <w:spacing w:after="200" w:line="276" w:lineRule="auto"/>
        <w:rPr>
          <w:b/>
          <w:bCs/>
          <w:color w:val="0000FF"/>
          <w:szCs w:val="20"/>
        </w:rPr>
      </w:pPr>
      <w:r w:rsidRPr="00FA3856">
        <w:rPr>
          <w:color w:val="0000FF"/>
          <w:szCs w:val="20"/>
        </w:rPr>
        <w:br w:type="page"/>
      </w:r>
    </w:p>
    <w:p w:rsidR="00F85F88" w:rsidRPr="00FA3856" w:rsidRDefault="00F85F88" w:rsidP="00867F54">
      <w:pPr>
        <w:pStyle w:val="Ttulo4"/>
      </w:pPr>
      <w:bookmarkStart w:id="378" w:name="_Toc479713782"/>
      <w:r w:rsidRPr="00FA3856">
        <w:lastRenderedPageBreak/>
        <w:t xml:space="preserve">Registro U182: Cálculo da </w:t>
      </w:r>
      <w:r w:rsidR="00152469" w:rsidRPr="00FA3856">
        <w:t>Contribuição Social sobre o Lucro Líquido (CSLL)</w:t>
      </w:r>
      <w:r w:rsidRPr="00FA3856">
        <w:t xml:space="preserve"> das Empresas Imunes e Isentas</w:t>
      </w:r>
      <w:bookmarkEnd w:id="378"/>
    </w:p>
    <w:p w:rsidR="00F85F88" w:rsidRPr="00FA3856" w:rsidRDefault="00F85F88" w:rsidP="00F85F88">
      <w:pPr>
        <w:rPr>
          <w:szCs w:val="20"/>
        </w:rPr>
      </w:pPr>
    </w:p>
    <w:p w:rsidR="00B74DC7" w:rsidRPr="00FA3856" w:rsidRDefault="00B74DC7" w:rsidP="00B74DC7">
      <w:pPr>
        <w:pStyle w:val="PSDS-CorpodeTexto0"/>
        <w:ind w:firstLine="708"/>
        <w:jc w:val="both"/>
        <w:rPr>
          <w:rFonts w:ascii="Times New Roman" w:hAnsi="Times New Roman"/>
        </w:rPr>
      </w:pPr>
      <w:r w:rsidRPr="00FA3856">
        <w:rPr>
          <w:rFonts w:ascii="Times New Roman" w:hAnsi="Times New Roman"/>
        </w:rPr>
        <w:t>Este registro deve ser preenchido pelas:</w:t>
      </w:r>
    </w:p>
    <w:p w:rsidR="00B74DC7" w:rsidRPr="00FA3856" w:rsidRDefault="00B74DC7" w:rsidP="00B74DC7">
      <w:pPr>
        <w:pStyle w:val="PSDS-CorpodeTexto0"/>
        <w:ind w:firstLine="708"/>
        <w:jc w:val="both"/>
        <w:rPr>
          <w:rFonts w:ascii="Times New Roman" w:hAnsi="Times New Roman"/>
        </w:rPr>
      </w:pPr>
    </w:p>
    <w:p w:rsidR="00B74DC7" w:rsidRPr="00FA3856" w:rsidRDefault="00B74DC7" w:rsidP="00B74DC7">
      <w:pPr>
        <w:pStyle w:val="PSDS-CorpodeTexto0"/>
        <w:ind w:firstLine="708"/>
        <w:jc w:val="both"/>
        <w:rPr>
          <w:rFonts w:ascii="Times New Roman" w:hAnsi="Times New Roman"/>
        </w:rPr>
      </w:pPr>
      <w:r w:rsidRPr="00FA3856">
        <w:rPr>
          <w:rFonts w:ascii="Times New Roman" w:hAnsi="Times New Roman"/>
        </w:rPr>
        <w:t>a) entidades sem fins lucrativos de que trata o inciso I do art. 12 do Decreto nº 3.048, de 6 de maio de 1999, que não se enquadrem na imunidade ou isenção da Lei nº 9.532, de 1997;</w:t>
      </w:r>
    </w:p>
    <w:p w:rsidR="00B74DC7" w:rsidRPr="00FA3856" w:rsidRDefault="00B74DC7" w:rsidP="00B74DC7">
      <w:pPr>
        <w:pStyle w:val="PSDS-CorpodeTexto0"/>
        <w:ind w:firstLine="708"/>
        <w:jc w:val="both"/>
        <w:rPr>
          <w:rFonts w:ascii="Times New Roman" w:hAnsi="Times New Roman"/>
        </w:rPr>
      </w:pPr>
      <w:r w:rsidRPr="00FA3856">
        <w:rPr>
          <w:rFonts w:ascii="Times New Roman" w:hAnsi="Times New Roman"/>
        </w:rPr>
        <w:t>b) as associações de poupança e empréstimo.</w:t>
      </w:r>
    </w:p>
    <w:p w:rsidR="00B74DC7" w:rsidRPr="00FA3856" w:rsidRDefault="00B74DC7" w:rsidP="00B74DC7">
      <w:pPr>
        <w:pStyle w:val="PSDS-CorpodeTexto0"/>
        <w:ind w:firstLine="708"/>
        <w:jc w:val="both"/>
        <w:rPr>
          <w:rFonts w:ascii="Times New Roman" w:hAnsi="Times New Roman"/>
        </w:rPr>
      </w:pPr>
    </w:p>
    <w:p w:rsidR="00B74DC7" w:rsidRPr="00FA3856" w:rsidRDefault="00B74DC7" w:rsidP="00B74DC7">
      <w:pPr>
        <w:pStyle w:val="PSDS-CorpodeTexto0"/>
        <w:ind w:firstLine="708"/>
        <w:jc w:val="both"/>
        <w:rPr>
          <w:rFonts w:ascii="Times New Roman" w:hAnsi="Times New Roman"/>
        </w:rPr>
      </w:pPr>
      <w:r w:rsidRPr="00FA3856">
        <w:rPr>
          <w:rFonts w:ascii="Times New Roman" w:hAnsi="Times New Roman"/>
          <w:b/>
        </w:rPr>
        <w:t>Atenção</w:t>
      </w:r>
      <w:r w:rsidRPr="00FA3856">
        <w:rPr>
          <w:rFonts w:ascii="Times New Roman" w:hAnsi="Times New Roman"/>
        </w:rPr>
        <w:t>: As entidades sujeitas a planificação contábil própria apuram a CSLL de acordo com essa planificação. Nesses casos, a contribuição social sobre o lucro líquido pode ser apurada anualmente ou trimestralmente. A pessoa jurídica imune ou isenta de IRPJ pode optar pela apuração anual da CSLL, que está sujeita ao pagamento da CSLL apurada sobre a base de cálculo estimada mensalmente ou sobre balanço ou balancete de suspensão ou redução.</w:t>
      </w:r>
    </w:p>
    <w:p w:rsidR="00E15EC5" w:rsidRDefault="00E15EC5" w:rsidP="00FE5D23">
      <w:pPr>
        <w:rPr>
          <w:b/>
          <w:szCs w:val="20"/>
          <w:lang w:val="pt-PT"/>
        </w:rPr>
      </w:pPr>
    </w:p>
    <w:p w:rsidR="00EF74E7" w:rsidRPr="00FA3856" w:rsidRDefault="00B35FA3" w:rsidP="00EF74E7">
      <w:pPr>
        <w:jc w:val="center"/>
        <w:rPr>
          <w:b/>
          <w:szCs w:val="20"/>
          <w:lang w:val="pt-PT"/>
        </w:rPr>
      </w:pPr>
      <w:r>
        <w:rPr>
          <w:b/>
          <w:szCs w:val="20"/>
          <w:lang w:val="pt-PT"/>
        </w:rPr>
        <w:object w:dxaOrig="13965" w:dyaOrig="4620">
          <v:shape id="_x0000_i1852" type="#_x0000_t75" style="width:744.75pt;height:222.75pt" o:ole="">
            <v:imagedata r:id="rId595" o:title=""/>
          </v:shape>
          <o:OLEObject Type="Link" ProgID="Excel.Sheet.12" ShapeID="_x0000_i1852" DrawAspect="Content" r:id="rId596" UpdateMode="Always">
            <o:LinkType>EnhancedMetaFile</o:LinkType>
            <o:LockedField>false</o:LockedField>
          </o:OLEObject>
        </w:object>
      </w:r>
    </w:p>
    <w:p w:rsidR="00EF74E7" w:rsidRDefault="00EF74E7" w:rsidP="00FE5D23">
      <w:pPr>
        <w:rPr>
          <w:b/>
          <w:szCs w:val="20"/>
          <w:lang w:val="pt-PT"/>
        </w:rPr>
      </w:pPr>
    </w:p>
    <w:p w:rsidR="00FE5D23" w:rsidRPr="00FA3856" w:rsidRDefault="00FE5D23" w:rsidP="00FE5D23">
      <w:pPr>
        <w:rPr>
          <w:b/>
          <w:szCs w:val="20"/>
          <w:lang w:val="pt-PT"/>
        </w:rPr>
      </w:pPr>
      <w:r w:rsidRPr="00FA3856">
        <w:rPr>
          <w:b/>
          <w:szCs w:val="20"/>
          <w:lang w:val="pt-PT"/>
        </w:rPr>
        <w:t>I – Regras de Validação do Registro:</w:t>
      </w:r>
    </w:p>
    <w:p w:rsidR="00FE5D23" w:rsidRPr="00FA3856" w:rsidRDefault="00FE5D23" w:rsidP="00FE5D23">
      <w:pPr>
        <w:rPr>
          <w:b/>
          <w:szCs w:val="20"/>
          <w:lang w:val="pt-PT"/>
        </w:rPr>
      </w:pPr>
    </w:p>
    <w:p w:rsidR="00FE5D23" w:rsidRPr="00FA3856" w:rsidRDefault="007D0E74" w:rsidP="00FE5D23">
      <w:pPr>
        <w:pStyle w:val="Corpodetexto"/>
        <w:ind w:left="708" w:firstLine="12"/>
        <w:rPr>
          <w:rFonts w:ascii="Times New Roman" w:hAnsi="Times New Roman"/>
          <w:szCs w:val="20"/>
        </w:rPr>
      </w:pPr>
      <w:hyperlink r:id="rId597" w:anchor="REGRA_OCORRENCIA_UNITARIA_ARQ" w:history="1">
        <w:r w:rsidR="00FE5D23" w:rsidRPr="00FA3856">
          <w:rPr>
            <w:rFonts w:ascii="Times New Roman" w:hAnsi="Times New Roman"/>
            <w:b/>
            <w:szCs w:val="20"/>
          </w:rPr>
          <w:t>REGRA_</w:t>
        </w:r>
      </w:hyperlink>
      <w:r w:rsidR="00FE5D23" w:rsidRPr="00FA3856">
        <w:rPr>
          <w:rFonts w:ascii="Times New Roman" w:hAnsi="Times New Roman"/>
          <w:b/>
          <w:szCs w:val="20"/>
        </w:rPr>
        <w:t>DUPLICIDADE_DESPREZADA</w:t>
      </w:r>
      <w:r w:rsidR="00FE5D23" w:rsidRPr="00FA3856">
        <w:rPr>
          <w:rFonts w:ascii="Times New Roman" w:hAnsi="Times New Roman"/>
          <w:color w:val="auto"/>
          <w:szCs w:val="20"/>
        </w:rPr>
        <w:t xml:space="preserve">: </w:t>
      </w:r>
      <w:r w:rsidR="00FE5D23" w:rsidRPr="00FA3856">
        <w:rPr>
          <w:rFonts w:ascii="Times New Roman" w:hAnsi="Times New Roman"/>
          <w:szCs w:val="20"/>
        </w:rPr>
        <w:t>Verifica se o registro já foi importado anteriormente, de acordo com a chave e os registros pais. Se a regra não for cumprida, a ECF gera um aviso.</w:t>
      </w:r>
    </w:p>
    <w:p w:rsidR="00FE5D23" w:rsidRPr="00FA3856" w:rsidRDefault="00FE5D23" w:rsidP="00FE5D23">
      <w:pPr>
        <w:pStyle w:val="Corpodetexto"/>
        <w:ind w:left="708" w:firstLine="12"/>
        <w:rPr>
          <w:rFonts w:ascii="Times New Roman" w:hAnsi="Times New Roman"/>
          <w:szCs w:val="20"/>
        </w:rPr>
      </w:pPr>
    </w:p>
    <w:p w:rsidR="00FE5D23" w:rsidRPr="00FA3856" w:rsidRDefault="007D0E74" w:rsidP="00FE5D23">
      <w:pPr>
        <w:pStyle w:val="Corpodetexto"/>
        <w:ind w:left="708" w:firstLine="12"/>
        <w:rPr>
          <w:rFonts w:ascii="Times New Roman" w:hAnsi="Times New Roman"/>
          <w:szCs w:val="20"/>
        </w:rPr>
      </w:pPr>
      <w:hyperlink r:id="rId598" w:anchor="REGRA_OCORRENCIA_UNITARIA_ARQ" w:history="1">
        <w:r w:rsidR="00FE5D23" w:rsidRPr="00FA3856">
          <w:rPr>
            <w:rFonts w:ascii="Times New Roman" w:hAnsi="Times New Roman"/>
            <w:b/>
            <w:szCs w:val="20"/>
          </w:rPr>
          <w:t>REGRA_</w:t>
        </w:r>
      </w:hyperlink>
      <w:r w:rsidR="00FE5D23" w:rsidRPr="00FA3856">
        <w:rPr>
          <w:rFonts w:ascii="Times New Roman" w:hAnsi="Times New Roman"/>
          <w:b/>
          <w:szCs w:val="20"/>
        </w:rPr>
        <w:t>LINHA_DESPREZADA</w:t>
      </w:r>
      <w:r w:rsidR="00FE5D23" w:rsidRPr="00FA3856">
        <w:rPr>
          <w:rFonts w:ascii="Times New Roman" w:hAnsi="Times New Roman"/>
          <w:color w:val="auto"/>
          <w:szCs w:val="20"/>
        </w:rPr>
        <w:t xml:space="preserve">: </w:t>
      </w:r>
      <w:r w:rsidR="00FE5D23" w:rsidRPr="00FA3856">
        <w:rPr>
          <w:rFonts w:ascii="Times New Roman" w:hAnsi="Times New Roman"/>
          <w:szCs w:val="20"/>
        </w:rPr>
        <w:t>Verifica se o registro existe na importação, mas não será importado por não existir na tabela dinâmica devido às configurações do bloco 0 ou da tabela dinâmica. Gera um aviso.</w:t>
      </w:r>
    </w:p>
    <w:p w:rsidR="00FE5D23" w:rsidRPr="00FA3856" w:rsidRDefault="00FE5D23" w:rsidP="00FE5D23">
      <w:pPr>
        <w:pStyle w:val="Corpodetexto"/>
        <w:ind w:left="708" w:firstLine="12"/>
        <w:rPr>
          <w:rFonts w:ascii="Times New Roman" w:hAnsi="Times New Roman"/>
          <w:b/>
          <w:szCs w:val="20"/>
        </w:rPr>
      </w:pPr>
    </w:p>
    <w:p w:rsidR="00FE5D23" w:rsidRPr="00FA3856" w:rsidRDefault="007D0E74" w:rsidP="00FE5D23">
      <w:pPr>
        <w:pStyle w:val="Corpodetexto"/>
        <w:ind w:left="708" w:firstLine="12"/>
        <w:rPr>
          <w:rFonts w:ascii="Times New Roman" w:hAnsi="Times New Roman"/>
          <w:b/>
          <w:szCs w:val="20"/>
        </w:rPr>
      </w:pPr>
      <w:hyperlink r:id="rId599" w:anchor="REGRA_OCORRENCIA_UNITARIA_ARQ" w:history="1">
        <w:r w:rsidR="00FE5D23" w:rsidRPr="00FA3856">
          <w:rPr>
            <w:rFonts w:ascii="Times New Roman" w:hAnsi="Times New Roman"/>
            <w:b/>
            <w:szCs w:val="20"/>
          </w:rPr>
          <w:t>REGRA_</w:t>
        </w:r>
      </w:hyperlink>
      <w:r w:rsidR="00FE5D23" w:rsidRPr="00FA3856">
        <w:rPr>
          <w:rFonts w:ascii="Times New Roman" w:hAnsi="Times New Roman"/>
          <w:b/>
          <w:szCs w:val="20"/>
        </w:rPr>
        <w:t>LINHA_ATUALIZADA</w:t>
      </w:r>
      <w:r w:rsidR="00FE5D23" w:rsidRPr="00FA3856">
        <w:rPr>
          <w:rFonts w:ascii="Times New Roman" w:hAnsi="Times New Roman"/>
          <w:color w:val="auto"/>
          <w:szCs w:val="20"/>
        </w:rPr>
        <w:t xml:space="preserve">: </w:t>
      </w:r>
      <w:r w:rsidR="00FE5D23" w:rsidRPr="00FA3856">
        <w:rPr>
          <w:rFonts w:ascii="Times New Roman" w:hAnsi="Times New Roman"/>
          <w:szCs w:val="20"/>
        </w:rPr>
        <w:t>Verifica se o registro está desatualizado em relação à tabela da RFB. Gera um aviso.</w:t>
      </w:r>
    </w:p>
    <w:p w:rsidR="00F85F88" w:rsidRPr="00FA3856" w:rsidRDefault="00FE5D23" w:rsidP="00E15EC5">
      <w:pPr>
        <w:rPr>
          <w:b/>
          <w:szCs w:val="20"/>
          <w:lang w:val="pt-PT"/>
        </w:rPr>
      </w:pPr>
      <w:r w:rsidRPr="00FA3856">
        <w:rPr>
          <w:b/>
          <w:szCs w:val="20"/>
          <w:lang w:val="pt-PT"/>
        </w:rPr>
        <w:lastRenderedPageBreak/>
        <w:t>I</w:t>
      </w:r>
      <w:r w:rsidR="00F85F88" w:rsidRPr="00FA3856">
        <w:rPr>
          <w:b/>
          <w:szCs w:val="20"/>
          <w:lang w:val="pt-PT"/>
        </w:rPr>
        <w:t>I –</w:t>
      </w:r>
      <w:r w:rsidR="00E15EC5" w:rsidRPr="00FA3856">
        <w:rPr>
          <w:b/>
          <w:szCs w:val="20"/>
          <w:lang w:val="pt-PT"/>
        </w:rPr>
        <w:t xml:space="preserve"> Regras de Validação de Campos:</w:t>
      </w:r>
    </w:p>
    <w:p w:rsidR="00B74DC7" w:rsidRPr="00FA3856" w:rsidRDefault="00B74DC7" w:rsidP="00E15EC5">
      <w:pPr>
        <w:rPr>
          <w:b/>
          <w:szCs w:val="20"/>
          <w:lang w:val="pt-PT"/>
        </w:rPr>
      </w:pPr>
    </w:p>
    <w:tbl>
      <w:tblPr>
        <w:tblW w:w="15367"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85"/>
        <w:gridCol w:w="3000"/>
        <w:gridCol w:w="11165"/>
        <w:gridCol w:w="717"/>
      </w:tblGrid>
      <w:tr w:rsidR="00F85F88" w:rsidRPr="00FA3856" w:rsidTr="00B74DC7">
        <w:trPr>
          <w:jc w:val="center"/>
        </w:trPr>
        <w:tc>
          <w:tcPr>
            <w:tcW w:w="485" w:type="dxa"/>
            <w:tcBorders>
              <w:top w:val="single" w:sz="6" w:space="0" w:color="auto"/>
              <w:left w:val="single" w:sz="6" w:space="0" w:color="auto"/>
              <w:bottom w:val="single" w:sz="6" w:space="0" w:color="auto"/>
              <w:right w:val="single" w:sz="6" w:space="0" w:color="auto"/>
            </w:tcBorders>
            <w:shd w:val="pct10" w:color="auto" w:fill="FFFFFF"/>
          </w:tcPr>
          <w:p w:rsidR="00F85F88" w:rsidRPr="00FA3856" w:rsidRDefault="00F85F88" w:rsidP="00EC4ABB">
            <w:pPr>
              <w:pStyle w:val="PSDS-CorpodeTexto0"/>
              <w:jc w:val="center"/>
              <w:rPr>
                <w:rFonts w:ascii="Times New Roman" w:hAnsi="Times New Roman"/>
                <w:b/>
                <w:bCs/>
              </w:rPr>
            </w:pPr>
            <w:r w:rsidRPr="00FA3856">
              <w:rPr>
                <w:rFonts w:ascii="Times New Roman" w:hAnsi="Times New Roman"/>
                <w:b/>
                <w:bCs/>
              </w:rPr>
              <w:t>Nº</w:t>
            </w:r>
          </w:p>
        </w:tc>
        <w:tc>
          <w:tcPr>
            <w:tcW w:w="3000" w:type="dxa"/>
            <w:tcBorders>
              <w:top w:val="single" w:sz="6" w:space="0" w:color="auto"/>
              <w:left w:val="single" w:sz="6" w:space="0" w:color="auto"/>
              <w:bottom w:val="single" w:sz="6" w:space="0" w:color="auto"/>
              <w:right w:val="single" w:sz="6" w:space="0" w:color="auto"/>
            </w:tcBorders>
            <w:shd w:val="pct10" w:color="auto" w:fill="FFFFFF"/>
          </w:tcPr>
          <w:p w:rsidR="00F85F88" w:rsidRPr="00FA3856" w:rsidRDefault="00F85F88" w:rsidP="00EC4ABB">
            <w:pPr>
              <w:pStyle w:val="PSDS-CorpodeTexto0"/>
              <w:jc w:val="center"/>
              <w:rPr>
                <w:rFonts w:ascii="Times New Roman" w:hAnsi="Times New Roman"/>
                <w:b/>
                <w:bCs/>
              </w:rPr>
            </w:pPr>
            <w:r w:rsidRPr="00FA3856">
              <w:rPr>
                <w:rFonts w:ascii="Times New Roman" w:hAnsi="Times New Roman"/>
                <w:b/>
                <w:bCs/>
              </w:rPr>
              <w:t>Campo</w:t>
            </w:r>
          </w:p>
        </w:tc>
        <w:tc>
          <w:tcPr>
            <w:tcW w:w="11165" w:type="dxa"/>
            <w:tcBorders>
              <w:top w:val="single" w:sz="6" w:space="0" w:color="auto"/>
              <w:left w:val="single" w:sz="6" w:space="0" w:color="auto"/>
              <w:bottom w:val="single" w:sz="6" w:space="0" w:color="auto"/>
              <w:right w:val="single" w:sz="6" w:space="0" w:color="auto"/>
            </w:tcBorders>
            <w:shd w:val="pct10" w:color="auto" w:fill="FFFFFF"/>
          </w:tcPr>
          <w:p w:rsidR="00F85F88" w:rsidRPr="00FA3856" w:rsidRDefault="00F85F88" w:rsidP="00EC4ABB">
            <w:pPr>
              <w:pStyle w:val="PSDS-CorpodeTexto0"/>
              <w:jc w:val="center"/>
              <w:rPr>
                <w:rFonts w:ascii="Times New Roman" w:hAnsi="Times New Roman"/>
                <w:b/>
                <w:bCs/>
              </w:rPr>
            </w:pPr>
            <w:r w:rsidRPr="00FA3856">
              <w:rPr>
                <w:rFonts w:ascii="Times New Roman" w:hAnsi="Times New Roman"/>
                <w:b/>
                <w:bCs/>
              </w:rPr>
              <w:t>Regras de Validação do Campo</w:t>
            </w:r>
          </w:p>
        </w:tc>
        <w:tc>
          <w:tcPr>
            <w:tcW w:w="717" w:type="dxa"/>
            <w:tcBorders>
              <w:top w:val="single" w:sz="6" w:space="0" w:color="auto"/>
              <w:left w:val="single" w:sz="6" w:space="0" w:color="auto"/>
              <w:bottom w:val="single" w:sz="6" w:space="0" w:color="auto"/>
              <w:right w:val="single" w:sz="6" w:space="0" w:color="auto"/>
            </w:tcBorders>
            <w:shd w:val="pct10" w:color="auto" w:fill="FFFFFF"/>
          </w:tcPr>
          <w:p w:rsidR="00F85F88" w:rsidRPr="00FA3856" w:rsidRDefault="00F85F88" w:rsidP="00EC4ABB">
            <w:pPr>
              <w:pStyle w:val="PSDS-CorpodeTexto0"/>
              <w:jc w:val="center"/>
              <w:rPr>
                <w:rFonts w:ascii="Times New Roman" w:hAnsi="Times New Roman"/>
                <w:b/>
                <w:bCs/>
              </w:rPr>
            </w:pPr>
            <w:r w:rsidRPr="00FA3856">
              <w:rPr>
                <w:rFonts w:ascii="Times New Roman" w:hAnsi="Times New Roman"/>
                <w:b/>
                <w:bCs/>
              </w:rPr>
              <w:t>Tipo</w:t>
            </w:r>
          </w:p>
        </w:tc>
      </w:tr>
      <w:tr w:rsidR="0012324D" w:rsidRPr="00FA3856" w:rsidTr="00B74DC7">
        <w:trPr>
          <w:jc w:val="center"/>
        </w:trPr>
        <w:tc>
          <w:tcPr>
            <w:tcW w:w="485" w:type="dxa"/>
            <w:tcBorders>
              <w:top w:val="single" w:sz="6" w:space="0" w:color="auto"/>
              <w:left w:val="single" w:sz="6" w:space="0" w:color="auto"/>
              <w:bottom w:val="single" w:sz="6" w:space="0" w:color="auto"/>
              <w:right w:val="single" w:sz="6" w:space="0" w:color="auto"/>
            </w:tcBorders>
          </w:tcPr>
          <w:p w:rsidR="0012324D" w:rsidRPr="00FA3856" w:rsidRDefault="0012324D" w:rsidP="0012324D">
            <w:pPr>
              <w:pStyle w:val="PSDS-CorpodeTexto0"/>
              <w:suppressAutoHyphens w:val="0"/>
              <w:rPr>
                <w:rFonts w:ascii="Times New Roman" w:hAnsi="Times New Roman"/>
                <w:b/>
                <w:bCs/>
                <w:lang w:val="pt-PT"/>
              </w:rPr>
            </w:pPr>
            <w:r w:rsidRPr="00FA3856">
              <w:rPr>
                <w:rFonts w:ascii="Times New Roman" w:hAnsi="Times New Roman"/>
                <w:b/>
                <w:bCs/>
                <w:lang w:val="pt-PT"/>
              </w:rPr>
              <w:t>4</w:t>
            </w:r>
          </w:p>
        </w:tc>
        <w:tc>
          <w:tcPr>
            <w:tcW w:w="3000" w:type="dxa"/>
            <w:tcBorders>
              <w:top w:val="single" w:sz="6" w:space="0" w:color="auto"/>
              <w:left w:val="single" w:sz="6" w:space="0" w:color="auto"/>
              <w:bottom w:val="single" w:sz="6" w:space="0" w:color="auto"/>
              <w:right w:val="single" w:sz="6" w:space="0" w:color="auto"/>
            </w:tcBorders>
          </w:tcPr>
          <w:p w:rsidR="0012324D" w:rsidRPr="00FA3856" w:rsidRDefault="0012324D" w:rsidP="0012324D">
            <w:pPr>
              <w:pStyle w:val="PSDS-CorpodeTexto0"/>
              <w:rPr>
                <w:rFonts w:ascii="Times New Roman" w:hAnsi="Times New Roman"/>
              </w:rPr>
            </w:pPr>
            <w:r w:rsidRPr="00FA3856">
              <w:rPr>
                <w:rFonts w:ascii="Times New Roman" w:hAnsi="Times New Roman"/>
              </w:rPr>
              <w:t>VALOR</w:t>
            </w:r>
          </w:p>
        </w:tc>
        <w:tc>
          <w:tcPr>
            <w:tcW w:w="11165" w:type="dxa"/>
            <w:tcBorders>
              <w:top w:val="single" w:sz="6" w:space="0" w:color="auto"/>
              <w:left w:val="single" w:sz="6" w:space="0" w:color="auto"/>
              <w:bottom w:val="single" w:sz="6" w:space="0" w:color="auto"/>
              <w:right w:val="single" w:sz="6" w:space="0" w:color="auto"/>
            </w:tcBorders>
          </w:tcPr>
          <w:p w:rsidR="0012324D" w:rsidRPr="00FA3856" w:rsidRDefault="0012324D" w:rsidP="0012324D">
            <w:pPr>
              <w:pStyle w:val="Corpodetexto"/>
              <w:rPr>
                <w:rFonts w:ascii="Times New Roman" w:hAnsi="Times New Roman"/>
                <w:szCs w:val="20"/>
              </w:rPr>
            </w:pPr>
            <w:r w:rsidRPr="00FA3856">
              <w:rPr>
                <w:rFonts w:ascii="Times New Roman" w:hAnsi="Times New Roman"/>
                <w:b/>
                <w:bCs/>
                <w:szCs w:val="20"/>
              </w:rPr>
              <w:t>REGRA_OBRIGATORIO_TIPO_DIFERENTE_R</w:t>
            </w:r>
            <w:r w:rsidRPr="00FA3856">
              <w:rPr>
                <w:rFonts w:ascii="Times New Roman" w:hAnsi="Times New Roman"/>
                <w:szCs w:val="20"/>
              </w:rPr>
              <w:t xml:space="preserve">: </w:t>
            </w:r>
            <w:r w:rsidRPr="00FA3856">
              <w:rPr>
                <w:rStyle w:val="Hyperlink"/>
                <w:rFonts w:ascii="Times New Roman" w:hAnsi="Times New Roman"/>
                <w:bCs/>
                <w:color w:val="auto"/>
                <w:szCs w:val="20"/>
                <w:lang w:val="pt-PT"/>
              </w:rPr>
              <w:t xml:space="preserve">Verifica se o campo está preenchido quando o tipo da linha </w:t>
            </w:r>
            <w:r w:rsidR="00D042C3" w:rsidRPr="00FA3856">
              <w:rPr>
                <w:rStyle w:val="Hyperlink"/>
                <w:rFonts w:ascii="Times New Roman" w:hAnsi="Times New Roman"/>
                <w:bCs/>
                <w:color w:val="auto"/>
                <w:szCs w:val="20"/>
                <w:lang w:val="pt-PT"/>
              </w:rPr>
              <w:t>é diferente</w:t>
            </w:r>
            <w:r w:rsidRPr="00FA3856">
              <w:rPr>
                <w:rStyle w:val="Hyperlink"/>
                <w:rFonts w:ascii="Times New Roman" w:hAnsi="Times New Roman"/>
                <w:bCs/>
                <w:color w:val="auto"/>
                <w:szCs w:val="20"/>
                <w:lang w:val="pt-PT"/>
              </w:rPr>
              <w:t xml:space="preserve"> de “R”.</w:t>
            </w:r>
          </w:p>
        </w:tc>
        <w:tc>
          <w:tcPr>
            <w:tcW w:w="717" w:type="dxa"/>
            <w:tcBorders>
              <w:top w:val="single" w:sz="6" w:space="0" w:color="auto"/>
              <w:left w:val="single" w:sz="6" w:space="0" w:color="auto"/>
              <w:bottom w:val="single" w:sz="6" w:space="0" w:color="auto"/>
              <w:right w:val="single" w:sz="6" w:space="0" w:color="auto"/>
            </w:tcBorders>
          </w:tcPr>
          <w:p w:rsidR="0012324D" w:rsidRPr="00FA3856" w:rsidRDefault="0012324D" w:rsidP="0012324D">
            <w:pPr>
              <w:pStyle w:val="PSDS-CorpodeTexto0"/>
              <w:rPr>
                <w:rFonts w:ascii="Times New Roman" w:hAnsi="Times New Roman"/>
              </w:rPr>
            </w:pPr>
            <w:r w:rsidRPr="00FA3856">
              <w:rPr>
                <w:rFonts w:ascii="Times New Roman" w:hAnsi="Times New Roman"/>
              </w:rPr>
              <w:t>Erro</w:t>
            </w:r>
          </w:p>
          <w:p w:rsidR="0012324D" w:rsidRPr="00FA3856" w:rsidRDefault="0012324D" w:rsidP="0012324D">
            <w:pPr>
              <w:pStyle w:val="PSDS-CorpodeTexto0"/>
              <w:rPr>
                <w:rFonts w:ascii="Times New Roman" w:hAnsi="Times New Roman"/>
              </w:rPr>
            </w:pPr>
          </w:p>
        </w:tc>
      </w:tr>
    </w:tbl>
    <w:p w:rsidR="00B74DC7" w:rsidRPr="00FA3856" w:rsidRDefault="00B74DC7" w:rsidP="00F85F88">
      <w:pPr>
        <w:pStyle w:val="Corpodetexto"/>
        <w:rPr>
          <w:rFonts w:ascii="Times New Roman" w:hAnsi="Times New Roman"/>
          <w:b/>
          <w:szCs w:val="20"/>
        </w:rPr>
      </w:pPr>
    </w:p>
    <w:p w:rsidR="00F85F88" w:rsidRDefault="00711CAF" w:rsidP="00F85F88">
      <w:pPr>
        <w:pStyle w:val="Corpodetexto"/>
        <w:rPr>
          <w:rFonts w:ascii="Times New Roman" w:hAnsi="Times New Roman"/>
          <w:b/>
          <w:szCs w:val="20"/>
        </w:rPr>
      </w:pPr>
      <w:r w:rsidRPr="00FA3856">
        <w:rPr>
          <w:rFonts w:ascii="Times New Roman" w:hAnsi="Times New Roman"/>
          <w:b/>
          <w:szCs w:val="20"/>
        </w:rPr>
        <w:t>I</w:t>
      </w:r>
      <w:r w:rsidR="002C4B9D" w:rsidRPr="00FA3856">
        <w:rPr>
          <w:rFonts w:ascii="Times New Roman" w:hAnsi="Times New Roman"/>
          <w:b/>
          <w:szCs w:val="20"/>
        </w:rPr>
        <w:t>II – Tabela Dinâmica:</w:t>
      </w:r>
      <w:r w:rsidR="00891D00">
        <w:rPr>
          <w:rFonts w:ascii="Times New Roman" w:hAnsi="Times New Roman"/>
          <w:b/>
          <w:szCs w:val="20"/>
        </w:rPr>
        <w:t xml:space="preserve"> </w:t>
      </w:r>
      <w:r w:rsidR="00891D00" w:rsidRPr="00891D00">
        <w:rPr>
          <w:rFonts w:ascii="Times New Roman" w:hAnsi="Times New Roman"/>
          <w:b/>
          <w:szCs w:val="20"/>
        </w:rPr>
        <w:t>U182 - Cálculo da CSLL - Imunes e Isentas</w:t>
      </w:r>
    </w:p>
    <w:p w:rsidR="004E2860" w:rsidRPr="00EE13F0" w:rsidRDefault="00486CDA" w:rsidP="00EE13F0">
      <w:pPr>
        <w:pStyle w:val="PSDS-CorpodeTexto0"/>
        <w:jc w:val="both"/>
        <w:rPr>
          <w:rFonts w:ascii="Times New Roman" w:hAnsi="Times New Roman"/>
        </w:rPr>
      </w:pPr>
      <w:r>
        <w:rPr>
          <w:rFonts w:ascii="Times New Roman" w:hAnsi="Times New Roman"/>
        </w:rPr>
        <w:object w:dxaOrig="1534" w:dyaOrig="997">
          <v:shape id="_x0000_i1242" type="#_x0000_t75" style="width:79.5pt;height:50.25pt" o:ole="">
            <v:imagedata r:id="rId600" o:title=""/>
          </v:shape>
          <o:OLEObject Type="Link" ProgID="Excel.Sheet.12" ShapeID="_x0000_i1242" DrawAspect="Content" r:id="rId601" UpdateMode="OnCall">
            <o:LinkType>EnhancedMetaFile</o:LinkType>
            <o:LockedField>false</o:LockedField>
          </o:OLEObject>
        </w:object>
      </w:r>
    </w:p>
    <w:p w:rsidR="00EF74E7" w:rsidRDefault="000026E1" w:rsidP="004E2860">
      <w:pPr>
        <w:pStyle w:val="Corpodetexto"/>
        <w:rPr>
          <w:rFonts w:ascii="Times New Roman" w:hAnsi="Times New Roman"/>
          <w:b/>
          <w:color w:val="002060"/>
          <w:szCs w:val="20"/>
        </w:rPr>
      </w:pPr>
      <w:r w:rsidRPr="00FA3856">
        <w:rPr>
          <w:rFonts w:ascii="Times New Roman" w:hAnsi="Times New Roman"/>
          <w:b/>
          <w:color w:val="002060"/>
          <w:szCs w:val="20"/>
        </w:rPr>
        <w:t xml:space="preserve">Exemplo de Preenchimento: </w:t>
      </w:r>
    </w:p>
    <w:p w:rsidR="00EF74E7" w:rsidRDefault="00EF74E7" w:rsidP="004E2860">
      <w:pPr>
        <w:pStyle w:val="Corpodetexto"/>
        <w:rPr>
          <w:rFonts w:ascii="Times New Roman" w:hAnsi="Times New Roman"/>
          <w:b/>
          <w:color w:val="002060"/>
          <w:szCs w:val="20"/>
        </w:rPr>
      </w:pPr>
    </w:p>
    <w:p w:rsidR="004E2860" w:rsidRPr="00FA3856" w:rsidRDefault="004E2860" w:rsidP="004E2860">
      <w:pPr>
        <w:pStyle w:val="Corpodetexto"/>
        <w:rPr>
          <w:rFonts w:ascii="Times New Roman" w:hAnsi="Times New Roman"/>
          <w:b/>
          <w:color w:val="002060"/>
          <w:szCs w:val="20"/>
        </w:rPr>
      </w:pPr>
      <w:r w:rsidRPr="00FA3856">
        <w:rPr>
          <w:rFonts w:ascii="Times New Roman" w:hAnsi="Times New Roman"/>
          <w:b/>
          <w:color w:val="002060"/>
          <w:szCs w:val="20"/>
        </w:rPr>
        <w:t>|U182|1|Base de Cálculo da CSLL|10000,00|</w:t>
      </w:r>
    </w:p>
    <w:p w:rsidR="004E2860" w:rsidRPr="00FA3856" w:rsidRDefault="004E2860" w:rsidP="004E2860">
      <w:pPr>
        <w:pStyle w:val="Corpodetexto"/>
        <w:ind w:firstLine="708"/>
        <w:rPr>
          <w:rFonts w:ascii="Times New Roman" w:hAnsi="Times New Roman"/>
          <w:color w:val="002060"/>
          <w:szCs w:val="20"/>
        </w:rPr>
      </w:pPr>
      <w:r w:rsidRPr="00FA3856">
        <w:rPr>
          <w:rFonts w:ascii="Times New Roman" w:hAnsi="Times New Roman"/>
          <w:color w:val="002060"/>
          <w:szCs w:val="20"/>
        </w:rPr>
        <w:t>|U182|: Identificação do tipo do registro.</w:t>
      </w:r>
    </w:p>
    <w:p w:rsidR="004E2860" w:rsidRPr="00FA3856" w:rsidRDefault="004E2860" w:rsidP="004E2860">
      <w:pPr>
        <w:pStyle w:val="Corpodetexto"/>
        <w:ind w:firstLine="708"/>
        <w:rPr>
          <w:rFonts w:ascii="Times New Roman" w:hAnsi="Times New Roman"/>
          <w:color w:val="002060"/>
          <w:szCs w:val="20"/>
        </w:rPr>
      </w:pPr>
      <w:r w:rsidRPr="00FA3856">
        <w:rPr>
          <w:rFonts w:ascii="Times New Roman" w:hAnsi="Times New Roman"/>
          <w:color w:val="002060"/>
          <w:szCs w:val="20"/>
        </w:rPr>
        <w:t>|1|: Código da linha.</w:t>
      </w:r>
    </w:p>
    <w:p w:rsidR="004E2860" w:rsidRPr="00FA3856" w:rsidRDefault="004E2860" w:rsidP="004E2860">
      <w:pPr>
        <w:pStyle w:val="Corpodetexto"/>
        <w:ind w:firstLine="708"/>
        <w:rPr>
          <w:rFonts w:ascii="Times New Roman" w:hAnsi="Times New Roman"/>
          <w:color w:val="002060"/>
          <w:szCs w:val="20"/>
        </w:rPr>
      </w:pPr>
      <w:r w:rsidRPr="00FA3856">
        <w:rPr>
          <w:rFonts w:ascii="Times New Roman" w:hAnsi="Times New Roman"/>
          <w:color w:val="002060"/>
          <w:szCs w:val="20"/>
        </w:rPr>
        <w:t>|Base de Cálculo da CSLL|: Descrição da linha.</w:t>
      </w:r>
    </w:p>
    <w:p w:rsidR="004E2860" w:rsidRPr="00FA3856" w:rsidRDefault="004E2860" w:rsidP="004E2860">
      <w:pPr>
        <w:pStyle w:val="Corpodetexto"/>
        <w:ind w:firstLine="708"/>
        <w:rPr>
          <w:rFonts w:ascii="Times New Roman" w:hAnsi="Times New Roman"/>
          <w:color w:val="002060"/>
          <w:szCs w:val="20"/>
        </w:rPr>
      </w:pPr>
      <w:r w:rsidRPr="00FA3856">
        <w:rPr>
          <w:rFonts w:ascii="Times New Roman" w:hAnsi="Times New Roman"/>
          <w:color w:val="002060"/>
          <w:szCs w:val="20"/>
        </w:rPr>
        <w:t>|10000,00|: Valor da linha (R$ 10.000,00).</w:t>
      </w:r>
    </w:p>
    <w:p w:rsidR="005B30D4" w:rsidRPr="00FA3856" w:rsidRDefault="005B30D4">
      <w:pPr>
        <w:spacing w:after="200" w:line="276" w:lineRule="auto"/>
        <w:rPr>
          <w:b/>
          <w:bCs/>
          <w:color w:val="0000FF"/>
          <w:szCs w:val="20"/>
        </w:rPr>
      </w:pPr>
      <w:r w:rsidRPr="00FA3856">
        <w:rPr>
          <w:color w:val="0000FF"/>
          <w:szCs w:val="20"/>
        </w:rPr>
        <w:br w:type="page"/>
      </w:r>
    </w:p>
    <w:p w:rsidR="00F11E71" w:rsidRPr="00FA3856" w:rsidRDefault="00F11E71" w:rsidP="00867F54">
      <w:pPr>
        <w:pStyle w:val="Ttulo4"/>
      </w:pPr>
      <w:bookmarkStart w:id="379" w:name="_Toc479713783"/>
      <w:r w:rsidRPr="00FA3856">
        <w:lastRenderedPageBreak/>
        <w:t>Registro U990: Encerramento do Bloco U</w:t>
      </w:r>
      <w:bookmarkEnd w:id="379"/>
    </w:p>
    <w:p w:rsidR="00577020" w:rsidRDefault="00577020" w:rsidP="00577020">
      <w:pPr>
        <w:pStyle w:val="Corpodetexto"/>
        <w:rPr>
          <w:rFonts w:ascii="Times New Roman" w:hAnsi="Times New Roman"/>
          <w:b/>
          <w:color w:val="002060"/>
          <w:szCs w:val="20"/>
        </w:rPr>
      </w:pPr>
    </w:p>
    <w:p w:rsidR="00C95D23" w:rsidRPr="00FA3856" w:rsidRDefault="00B35FA3" w:rsidP="00C95D23">
      <w:pPr>
        <w:pStyle w:val="Corpodetexto"/>
        <w:jc w:val="center"/>
        <w:rPr>
          <w:rFonts w:ascii="Times New Roman" w:hAnsi="Times New Roman"/>
          <w:b/>
          <w:color w:val="002060"/>
          <w:szCs w:val="20"/>
        </w:rPr>
      </w:pPr>
      <w:r>
        <w:rPr>
          <w:rFonts w:ascii="Times New Roman" w:hAnsi="Times New Roman"/>
          <w:b/>
          <w:color w:val="002060"/>
          <w:szCs w:val="20"/>
        </w:rPr>
        <w:object w:dxaOrig="14100" w:dyaOrig="2175">
          <v:shape id="_x0000_i1855" type="#_x0000_t75" style="width:754.5pt;height:104.25pt" o:ole="">
            <v:imagedata r:id="rId602" o:title=""/>
          </v:shape>
          <o:OLEObject Type="Link" ProgID="Excel.Sheet.12" ShapeID="_x0000_i1855" DrawAspect="Content" r:id="rId603" UpdateMode="Always">
            <o:LinkType>EnhancedMetaFile</o:LinkType>
            <o:LockedField>false</o:LockedField>
          </o:OLEObject>
        </w:object>
      </w:r>
    </w:p>
    <w:p w:rsidR="00C95D23" w:rsidRDefault="00C95D23" w:rsidP="00577020">
      <w:pPr>
        <w:pStyle w:val="Corpodetexto"/>
        <w:rPr>
          <w:rFonts w:ascii="Times New Roman" w:hAnsi="Times New Roman"/>
          <w:b/>
          <w:color w:val="002060"/>
          <w:szCs w:val="20"/>
        </w:rPr>
      </w:pPr>
    </w:p>
    <w:p w:rsidR="00C95D23" w:rsidRDefault="00577020" w:rsidP="00577020">
      <w:pPr>
        <w:pStyle w:val="Corpodetexto"/>
        <w:rPr>
          <w:rFonts w:ascii="Times New Roman" w:hAnsi="Times New Roman"/>
          <w:b/>
          <w:color w:val="002060"/>
          <w:szCs w:val="20"/>
        </w:rPr>
      </w:pPr>
      <w:r w:rsidRPr="00FA3856">
        <w:rPr>
          <w:rFonts w:ascii="Times New Roman" w:hAnsi="Times New Roman"/>
          <w:b/>
          <w:color w:val="002060"/>
          <w:szCs w:val="20"/>
        </w:rPr>
        <w:t xml:space="preserve">Exemplo de Preenchimento: </w:t>
      </w:r>
    </w:p>
    <w:p w:rsidR="00C95D23" w:rsidRDefault="00C95D23" w:rsidP="00577020">
      <w:pPr>
        <w:pStyle w:val="Corpodetexto"/>
        <w:rPr>
          <w:rFonts w:ascii="Times New Roman" w:hAnsi="Times New Roman"/>
          <w:b/>
          <w:color w:val="002060"/>
          <w:szCs w:val="20"/>
        </w:rPr>
      </w:pPr>
    </w:p>
    <w:p w:rsidR="00577020" w:rsidRPr="00FA3856" w:rsidRDefault="00577020" w:rsidP="00577020">
      <w:pPr>
        <w:pStyle w:val="Corpodetexto"/>
        <w:rPr>
          <w:rFonts w:ascii="Times New Roman" w:hAnsi="Times New Roman"/>
          <w:b/>
          <w:color w:val="002060"/>
          <w:szCs w:val="20"/>
        </w:rPr>
      </w:pPr>
      <w:r w:rsidRPr="00FA3856">
        <w:rPr>
          <w:rFonts w:ascii="Times New Roman" w:hAnsi="Times New Roman"/>
          <w:b/>
          <w:color w:val="002060"/>
          <w:szCs w:val="20"/>
        </w:rPr>
        <w:t>|U990|2000|</w:t>
      </w:r>
    </w:p>
    <w:p w:rsidR="00577020" w:rsidRPr="00FA3856" w:rsidRDefault="00577020" w:rsidP="00577020">
      <w:pPr>
        <w:pStyle w:val="Corpodetexto"/>
        <w:ind w:firstLine="708"/>
        <w:rPr>
          <w:rFonts w:ascii="Times New Roman" w:hAnsi="Times New Roman"/>
          <w:color w:val="002060"/>
          <w:szCs w:val="20"/>
        </w:rPr>
      </w:pPr>
      <w:r w:rsidRPr="00FA3856">
        <w:rPr>
          <w:rFonts w:ascii="Times New Roman" w:hAnsi="Times New Roman"/>
          <w:color w:val="002060"/>
          <w:szCs w:val="20"/>
        </w:rPr>
        <w:t>|U990|: Identificação do tipo do registro.</w:t>
      </w:r>
    </w:p>
    <w:p w:rsidR="00577020" w:rsidRPr="00FA3856" w:rsidRDefault="00577020" w:rsidP="00577020">
      <w:pPr>
        <w:pStyle w:val="Corpodetexto"/>
        <w:ind w:firstLine="708"/>
        <w:rPr>
          <w:rFonts w:ascii="Times New Roman" w:hAnsi="Times New Roman"/>
          <w:color w:val="002060"/>
          <w:szCs w:val="20"/>
        </w:rPr>
      </w:pPr>
      <w:r w:rsidRPr="00FA3856">
        <w:rPr>
          <w:rFonts w:ascii="Times New Roman" w:hAnsi="Times New Roman"/>
          <w:color w:val="002060"/>
          <w:szCs w:val="20"/>
        </w:rPr>
        <w:t>|2000|: A quantidade total de registros do Bloco U é 2.000 (dois mil registros).</w:t>
      </w:r>
    </w:p>
    <w:p w:rsidR="00F11E71" w:rsidRDefault="00F11E71" w:rsidP="00F11E71">
      <w:pPr>
        <w:pStyle w:val="PSDS-MarcadoresNivel2"/>
        <w:numPr>
          <w:ilvl w:val="0"/>
          <w:numId w:val="0"/>
        </w:numPr>
        <w:rPr>
          <w:rFonts w:ascii="Times New Roman" w:hAnsi="Times New Roman"/>
        </w:rPr>
      </w:pPr>
    </w:p>
    <w:p w:rsidR="00A0125B" w:rsidRDefault="00A0125B">
      <w:pPr>
        <w:spacing w:after="200" w:line="276" w:lineRule="auto"/>
        <w:rPr>
          <w:b/>
          <w:szCs w:val="20"/>
        </w:rPr>
      </w:pPr>
      <w:r>
        <w:br w:type="page"/>
      </w:r>
    </w:p>
    <w:p w:rsidR="00A0125B" w:rsidRPr="0070069F" w:rsidRDefault="00E0649F" w:rsidP="00867F54">
      <w:pPr>
        <w:pStyle w:val="Ttulo3"/>
        <w:rPr>
          <w:lang w:val="en-US"/>
        </w:rPr>
      </w:pPr>
      <w:bookmarkStart w:id="380" w:name="_Toc479713784"/>
      <w:r w:rsidRPr="0070069F">
        <w:rPr>
          <w:lang w:val="en-US"/>
        </w:rPr>
        <w:lastRenderedPageBreak/>
        <w:t>Bloco W: Declaração País-a-</w:t>
      </w:r>
      <w:r w:rsidR="00A0125B" w:rsidRPr="0070069F">
        <w:rPr>
          <w:lang w:val="en-US"/>
        </w:rPr>
        <w:t>País (</w:t>
      </w:r>
      <w:r w:rsidR="00A0125B" w:rsidRPr="0070069F">
        <w:rPr>
          <w:i/>
          <w:lang w:val="en-US"/>
        </w:rPr>
        <w:t>Country</w:t>
      </w:r>
      <w:r w:rsidRPr="0070069F">
        <w:rPr>
          <w:i/>
          <w:lang w:val="en-US"/>
        </w:rPr>
        <w:t>-by-</w:t>
      </w:r>
      <w:r w:rsidR="00A0125B" w:rsidRPr="0070069F">
        <w:rPr>
          <w:i/>
          <w:lang w:val="en-US"/>
        </w:rPr>
        <w:t>Country Report</w:t>
      </w:r>
      <w:r w:rsidR="00A0125B" w:rsidRPr="0070069F">
        <w:rPr>
          <w:lang w:val="en-US"/>
        </w:rPr>
        <w:t>)</w:t>
      </w:r>
      <w:bookmarkEnd w:id="380"/>
    </w:p>
    <w:p w:rsidR="00A0125B" w:rsidRPr="0070069F" w:rsidRDefault="00A0125B" w:rsidP="007967D6">
      <w:pPr>
        <w:jc w:val="both"/>
        <w:rPr>
          <w:rFonts w:cs="Times New Roman"/>
          <w:szCs w:val="20"/>
          <w:lang w:val="en-US"/>
        </w:rPr>
      </w:pPr>
    </w:p>
    <w:p w:rsidR="008A42AA" w:rsidRPr="0070069F" w:rsidRDefault="008A42AA" w:rsidP="008A42AA">
      <w:pPr>
        <w:pStyle w:val="Subttulo"/>
        <w:jc w:val="both"/>
        <w:rPr>
          <w:sz w:val="20"/>
          <w:szCs w:val="20"/>
        </w:rPr>
      </w:pPr>
      <w:r w:rsidRPr="0070069F">
        <w:rPr>
          <w:sz w:val="20"/>
          <w:szCs w:val="20"/>
        </w:rPr>
        <w:t>1. Informações gerais</w:t>
      </w:r>
    </w:p>
    <w:p w:rsidR="008A42AA" w:rsidRPr="0070069F" w:rsidRDefault="008A42AA" w:rsidP="008A42AA">
      <w:pPr>
        <w:pStyle w:val="Subttulo"/>
        <w:jc w:val="both"/>
        <w:rPr>
          <w:sz w:val="20"/>
          <w:szCs w:val="20"/>
        </w:rPr>
      </w:pPr>
    </w:p>
    <w:p w:rsidR="00517880" w:rsidRDefault="00517880" w:rsidP="00517880">
      <w:pPr>
        <w:pStyle w:val="Subttulo"/>
        <w:ind w:firstLine="709"/>
        <w:jc w:val="both"/>
        <w:rPr>
          <w:b w:val="0"/>
          <w:bCs w:val="0"/>
          <w:sz w:val="20"/>
          <w:szCs w:val="20"/>
        </w:rPr>
      </w:pPr>
      <w:r>
        <w:rPr>
          <w:b w:val="0"/>
          <w:bCs w:val="0"/>
          <w:sz w:val="20"/>
          <w:szCs w:val="20"/>
        </w:rPr>
        <w:t>A Declaração País-a-País (DPP) foi instituída pela Instrução Normativa RFB</w:t>
      </w:r>
      <w:r w:rsidR="002C2C0A">
        <w:rPr>
          <w:b w:val="0"/>
          <w:bCs w:val="0"/>
          <w:sz w:val="20"/>
          <w:szCs w:val="20"/>
        </w:rPr>
        <w:t xml:space="preserve"> nº </w:t>
      </w:r>
      <w:r>
        <w:rPr>
          <w:b w:val="0"/>
          <w:bCs w:val="0"/>
          <w:sz w:val="20"/>
          <w:szCs w:val="20"/>
        </w:rPr>
        <w:t>1.681, de 29 de dezembro de 2016, em cumprimento ao compromisso acordado em âmbito internacional na Ação 13</w:t>
      </w:r>
      <w:r>
        <w:rPr>
          <w:rStyle w:val="Refdenotaderodap"/>
          <w:sz w:val="20"/>
          <w:szCs w:val="20"/>
        </w:rPr>
        <w:footnoteReference w:id="1"/>
      </w:r>
      <w:r>
        <w:rPr>
          <w:b w:val="0"/>
          <w:bCs w:val="0"/>
          <w:sz w:val="20"/>
          <w:szCs w:val="20"/>
        </w:rPr>
        <w:t xml:space="preserve"> do Projeto BEPS</w:t>
      </w:r>
      <w:r>
        <w:rPr>
          <w:rStyle w:val="Refdenotaderodap"/>
          <w:sz w:val="20"/>
          <w:szCs w:val="20"/>
        </w:rPr>
        <w:footnoteReference w:id="2"/>
      </w:r>
      <w:r>
        <w:rPr>
          <w:b w:val="0"/>
          <w:bCs w:val="0"/>
          <w:sz w:val="20"/>
          <w:szCs w:val="20"/>
        </w:rPr>
        <w:t>, sigla em inglês para</w:t>
      </w:r>
      <w:r>
        <w:rPr>
          <w:sz w:val="20"/>
          <w:szCs w:val="20"/>
        </w:rPr>
        <w:t xml:space="preserve"> </w:t>
      </w:r>
      <w:r>
        <w:rPr>
          <w:b w:val="0"/>
          <w:bCs w:val="0"/>
          <w:i/>
          <w:iCs/>
          <w:sz w:val="20"/>
          <w:szCs w:val="20"/>
        </w:rPr>
        <w:t>Base Erosion and Profit Shifting</w:t>
      </w:r>
      <w:r>
        <w:rPr>
          <w:sz w:val="20"/>
          <w:szCs w:val="20"/>
        </w:rPr>
        <w:t xml:space="preserve"> </w:t>
      </w:r>
      <w:r>
        <w:rPr>
          <w:b w:val="0"/>
          <w:bCs w:val="0"/>
          <w:sz w:val="20"/>
          <w:szCs w:val="20"/>
        </w:rPr>
        <w:t xml:space="preserve">(Erosão da Base Tributável e Transferência de Lucros), coordenado conjuntamente pelos países-membros do G-20 e da Organização para a Cooperação e o Desenvolvimento Econômico (OCDE). </w:t>
      </w:r>
    </w:p>
    <w:p w:rsidR="00517880" w:rsidRDefault="00517880" w:rsidP="00517880">
      <w:pPr>
        <w:pStyle w:val="Subttulo"/>
        <w:ind w:firstLine="709"/>
        <w:jc w:val="both"/>
        <w:rPr>
          <w:b w:val="0"/>
          <w:bCs w:val="0"/>
          <w:sz w:val="20"/>
          <w:szCs w:val="20"/>
        </w:rPr>
      </w:pPr>
    </w:p>
    <w:p w:rsidR="00517880" w:rsidRDefault="00517880" w:rsidP="00517880">
      <w:pPr>
        <w:pStyle w:val="western"/>
        <w:spacing w:before="0" w:beforeAutospacing="0" w:after="0"/>
        <w:ind w:firstLine="709"/>
        <w:jc w:val="both"/>
        <w:rPr>
          <w:rFonts w:ascii="Times New Roman" w:hAnsi="Times New Roman" w:cs="Times New Roman"/>
        </w:rPr>
      </w:pPr>
      <w:r>
        <w:rPr>
          <w:rFonts w:ascii="Times New Roman" w:hAnsi="Times New Roman" w:cs="Times New Roman"/>
        </w:rPr>
        <w:t xml:space="preserve">A DPP consiste em um relatório anual por meio do qual grupos multinacionais deverão fornecer à administração tributária da jurisdição de residência para fins tributários de seu controlador final diversas informações e indicadores relacionados à localização de suas atividades, à alocação global de renda e aos impostos pagos e devidos.  Também deverão ser identificadas todas as jurisdições nas quais os grupos multinacionais operam, bem como todas as entidades integrantes do grupo (incluindo estabelecimentos permanentes) localizadas nessas jurisdições e as atividades econômicas que desempenham.  </w:t>
      </w:r>
    </w:p>
    <w:p w:rsidR="00517880" w:rsidRDefault="00517880" w:rsidP="00517880">
      <w:pPr>
        <w:pStyle w:val="western"/>
        <w:spacing w:before="0" w:beforeAutospacing="0" w:after="0"/>
        <w:ind w:firstLine="709"/>
        <w:jc w:val="both"/>
        <w:rPr>
          <w:rFonts w:ascii="Times New Roman" w:hAnsi="Times New Roman" w:cs="Times New Roman"/>
        </w:rPr>
      </w:pPr>
    </w:p>
    <w:p w:rsidR="00517880" w:rsidRDefault="00517880" w:rsidP="00517880">
      <w:pPr>
        <w:pStyle w:val="western"/>
        <w:spacing w:before="0" w:beforeAutospacing="0" w:after="0"/>
        <w:ind w:firstLine="709"/>
        <w:jc w:val="both"/>
        <w:rPr>
          <w:rFonts w:ascii="Times New Roman" w:hAnsi="Times New Roman" w:cs="Times New Roman"/>
          <w:i/>
          <w:iCs/>
          <w:color w:val="000000"/>
        </w:rPr>
      </w:pPr>
      <w:r>
        <w:rPr>
          <w:rFonts w:ascii="Times New Roman" w:hAnsi="Times New Roman" w:cs="Times New Roman"/>
        </w:rPr>
        <w:t>O compromisso assumido no âmbito do Projeto BEPS prevê que o documento deverá ser compartilhado entre os países nos quais as entidades do grupo multinacional estão presentes, por meio de acordos que prevejam a troca automática de informações em matéria tributária, assegurando-se a confidencialidade e a segurança das informações transmitidas</w:t>
      </w:r>
      <w:r>
        <w:rPr>
          <w:rFonts w:ascii="Times New Roman" w:hAnsi="Times New Roman" w:cs="Times New Roman"/>
          <w:i/>
          <w:iCs/>
        </w:rPr>
        <w:t xml:space="preserve">. </w:t>
      </w:r>
    </w:p>
    <w:p w:rsidR="00517880" w:rsidRDefault="00517880" w:rsidP="00517880">
      <w:pPr>
        <w:pStyle w:val="western"/>
        <w:spacing w:before="0" w:beforeAutospacing="0" w:after="0"/>
        <w:ind w:firstLine="709"/>
        <w:jc w:val="both"/>
        <w:rPr>
          <w:rFonts w:ascii="Times New Roman" w:hAnsi="Times New Roman" w:cs="Times New Roman"/>
          <w:i/>
          <w:iCs/>
        </w:rPr>
      </w:pPr>
    </w:p>
    <w:p w:rsidR="00517880" w:rsidRDefault="00517880" w:rsidP="00517880">
      <w:pPr>
        <w:pStyle w:val="Subttulo"/>
        <w:numPr>
          <w:ilvl w:val="1"/>
          <w:numId w:val="17"/>
        </w:numPr>
        <w:jc w:val="both"/>
        <w:rPr>
          <w:sz w:val="20"/>
          <w:szCs w:val="20"/>
        </w:rPr>
      </w:pPr>
      <w:r>
        <w:rPr>
          <w:sz w:val="20"/>
          <w:szCs w:val="20"/>
        </w:rPr>
        <w:t xml:space="preserve"> Obrigatoriedade</w:t>
      </w:r>
    </w:p>
    <w:p w:rsidR="00517880" w:rsidRDefault="00517880" w:rsidP="00517880">
      <w:pPr>
        <w:pStyle w:val="Subttulo"/>
        <w:ind w:left="360"/>
        <w:jc w:val="both"/>
        <w:rPr>
          <w:sz w:val="20"/>
          <w:szCs w:val="20"/>
        </w:rPr>
      </w:pPr>
    </w:p>
    <w:p w:rsidR="00517880" w:rsidRDefault="00517880" w:rsidP="00517880">
      <w:pPr>
        <w:pStyle w:val="Subttulo"/>
        <w:jc w:val="both"/>
        <w:rPr>
          <w:b w:val="0"/>
          <w:bCs w:val="0"/>
          <w:sz w:val="20"/>
          <w:szCs w:val="20"/>
          <w:shd w:val="clear" w:color="auto" w:fill="FFFFFF"/>
        </w:rPr>
      </w:pPr>
      <w:r>
        <w:rPr>
          <w:sz w:val="20"/>
          <w:szCs w:val="20"/>
        </w:rPr>
        <w:tab/>
      </w:r>
      <w:r>
        <w:rPr>
          <w:b w:val="0"/>
          <w:bCs w:val="0"/>
          <w:sz w:val="20"/>
          <w:szCs w:val="20"/>
        </w:rPr>
        <w:t xml:space="preserve">Conforme disposto na IN RFB </w:t>
      </w:r>
      <w:r w:rsidR="002C2C0A">
        <w:rPr>
          <w:b w:val="0"/>
          <w:bCs w:val="0"/>
          <w:sz w:val="20"/>
          <w:szCs w:val="20"/>
        </w:rPr>
        <w:t xml:space="preserve">nº </w:t>
      </w:r>
      <w:r>
        <w:rPr>
          <w:b w:val="0"/>
          <w:bCs w:val="0"/>
          <w:sz w:val="20"/>
          <w:szCs w:val="20"/>
        </w:rPr>
        <w:t xml:space="preserve">1.681/2016, todas as entidades integrantes de grupo multinacional que configurem o controlador final do respectivo grupo, incluindo instituições financeiras, estão obrigadas à apresentação da Declaração País-a-País. A Declaração deverá ser prestada anualmente, </w:t>
      </w:r>
      <w:r>
        <w:rPr>
          <w:b w:val="0"/>
          <w:bCs w:val="0"/>
          <w:sz w:val="20"/>
          <w:szCs w:val="20"/>
          <w:shd w:val="clear" w:color="auto" w:fill="FFFFFF"/>
        </w:rPr>
        <w:t>em relação ao ano fiscal encerrado imediatamente anterior.</w:t>
      </w:r>
    </w:p>
    <w:p w:rsidR="00517880" w:rsidRDefault="00517880" w:rsidP="00517880">
      <w:pPr>
        <w:pStyle w:val="Subttulo"/>
        <w:jc w:val="both"/>
        <w:rPr>
          <w:b w:val="0"/>
          <w:bCs w:val="0"/>
          <w:sz w:val="20"/>
          <w:szCs w:val="20"/>
        </w:rPr>
      </w:pPr>
    </w:p>
    <w:p w:rsidR="00517880" w:rsidRDefault="00517880" w:rsidP="00517880">
      <w:pPr>
        <w:pStyle w:val="Subttulo"/>
        <w:numPr>
          <w:ilvl w:val="2"/>
          <w:numId w:val="17"/>
        </w:numPr>
        <w:jc w:val="both"/>
        <w:rPr>
          <w:sz w:val="20"/>
          <w:szCs w:val="20"/>
        </w:rPr>
      </w:pPr>
      <w:r>
        <w:rPr>
          <w:sz w:val="20"/>
          <w:szCs w:val="20"/>
        </w:rPr>
        <w:t>Exceção</w:t>
      </w:r>
    </w:p>
    <w:p w:rsidR="00517880" w:rsidRDefault="00517880" w:rsidP="00517880">
      <w:pPr>
        <w:pStyle w:val="Subttulo"/>
        <w:ind w:left="708" w:firstLine="708"/>
        <w:jc w:val="both"/>
        <w:rPr>
          <w:sz w:val="20"/>
          <w:szCs w:val="20"/>
        </w:rPr>
      </w:pPr>
    </w:p>
    <w:p w:rsidR="00517880" w:rsidRDefault="00517880" w:rsidP="00517880">
      <w:pPr>
        <w:pStyle w:val="04ParteNormativa"/>
        <w:ind w:firstLine="708"/>
        <w:rPr>
          <w:shd w:val="clear" w:color="auto" w:fill="FFFFFF"/>
        </w:rPr>
      </w:pPr>
      <w:r>
        <w:t xml:space="preserve">Grupos multinacionais cuja receita consolidada total no ano fiscal anterior ao ano fiscal de declaração seja menor que </w:t>
      </w:r>
      <w:r>
        <w:rPr>
          <w:shd w:val="clear" w:color="auto" w:fill="FFFFFF"/>
        </w:rPr>
        <w:t xml:space="preserve">R$ 2.260.000.000,00 (ou </w:t>
      </w:r>
      <w:r>
        <w:t>€</w:t>
      </w:r>
      <w:r>
        <w:rPr>
          <w:shd w:val="clear" w:color="auto" w:fill="FFFFFF"/>
        </w:rPr>
        <w:t xml:space="preserve"> 750.000.000,00, ou o equivalente na moeda local da jurisdição de residência </w:t>
      </w:r>
      <w:r>
        <w:t>para fins tributários do controlador final, tendo como data base para conversão 31 de janeiro de 2015</w:t>
      </w:r>
      <w:r>
        <w:rPr>
          <w:shd w:val="clear" w:color="auto" w:fill="FFFFFF"/>
        </w:rPr>
        <w:t xml:space="preserve">) estão dispensados da entrega da Declaração País-a-País. </w:t>
      </w:r>
    </w:p>
    <w:p w:rsidR="00517880" w:rsidRDefault="00517880" w:rsidP="00517880">
      <w:pPr>
        <w:pStyle w:val="04ParteNormativa"/>
        <w:ind w:firstLine="708"/>
        <w:rPr>
          <w:color w:val="000000"/>
        </w:rPr>
      </w:pPr>
      <w:r>
        <w:rPr>
          <w:shd w:val="clear" w:color="auto" w:fill="FFFFFF"/>
        </w:rPr>
        <w:t xml:space="preserve">Toda entidade residente no Brasil integrante de grupo multinacional que esteja enquadrado nessa situação de dispensa deve informar à Receita Federal do Brasil por meio do Registro W100. </w:t>
      </w:r>
      <w:r w:rsidRPr="002C2C0A">
        <w:rPr>
          <w:highlight w:val="yellow"/>
          <w:shd w:val="clear" w:color="auto" w:fill="FFFFFF"/>
        </w:rPr>
        <w:t>O campo 7 do Registro (</w:t>
      </w:r>
      <w:r w:rsidR="002C2C0A">
        <w:rPr>
          <w:highlight w:val="yellow"/>
          <w:shd w:val="clear" w:color="auto" w:fill="FFFFFF"/>
        </w:rPr>
        <w:t>W100.</w:t>
      </w:r>
      <w:r w:rsidRPr="002C2C0A">
        <w:rPr>
          <w:highlight w:val="yellow"/>
          <w:shd w:val="clear" w:color="auto" w:fill="FFFFFF"/>
        </w:rPr>
        <w:t>IND_ENTREGA), o qual informa a entidade responsável pela entrega da DPP, deve ser preenchido com a opção “1 – Grupo multinacional dispensado da entrega da Declaração País-a-País. Além disso, a entidade deve fornecer uma breve descrição do motivo da dispensa no Registro W300 (Observações Adicionais).</w:t>
      </w:r>
      <w:r>
        <w:rPr>
          <w:shd w:val="clear" w:color="auto" w:fill="FFFFFF"/>
        </w:rPr>
        <w:t xml:space="preserve"> </w:t>
      </w:r>
    </w:p>
    <w:p w:rsidR="007967D6" w:rsidRPr="0070069F" w:rsidRDefault="007967D6" w:rsidP="007967D6">
      <w:pPr>
        <w:pStyle w:val="Subttulo"/>
        <w:jc w:val="both"/>
        <w:rPr>
          <w:sz w:val="20"/>
          <w:szCs w:val="20"/>
        </w:rPr>
      </w:pPr>
    </w:p>
    <w:p w:rsidR="001B2A7D" w:rsidRPr="0070069F" w:rsidRDefault="001B2A7D">
      <w:pPr>
        <w:spacing w:after="200" w:line="276" w:lineRule="auto"/>
        <w:rPr>
          <w:rFonts w:eastAsia="Times New Roman" w:cs="Times New Roman"/>
          <w:b/>
          <w:bCs/>
          <w:szCs w:val="20"/>
          <w:lang w:eastAsia="pt-BR"/>
        </w:rPr>
      </w:pPr>
      <w:r w:rsidRPr="0070069F">
        <w:rPr>
          <w:szCs w:val="20"/>
        </w:rPr>
        <w:br w:type="page"/>
      </w:r>
    </w:p>
    <w:p w:rsidR="008A42AA" w:rsidRPr="0070069F" w:rsidRDefault="008A42AA" w:rsidP="008A42AA">
      <w:pPr>
        <w:pStyle w:val="Subttulo"/>
        <w:jc w:val="both"/>
        <w:rPr>
          <w:b w:val="0"/>
          <w:bCs w:val="0"/>
          <w:sz w:val="20"/>
          <w:szCs w:val="20"/>
        </w:rPr>
      </w:pPr>
      <w:r w:rsidRPr="0070069F">
        <w:rPr>
          <w:sz w:val="20"/>
          <w:szCs w:val="20"/>
        </w:rPr>
        <w:lastRenderedPageBreak/>
        <w:t>1.1.2.  Casos Especiais – Obrigatoriedade de entrega p</w:t>
      </w:r>
      <w:r w:rsidR="00E0649F" w:rsidRPr="0070069F">
        <w:rPr>
          <w:sz w:val="20"/>
          <w:szCs w:val="20"/>
        </w:rPr>
        <w:t>or entidade integrante que não seja</w:t>
      </w:r>
      <w:r w:rsidRPr="0070069F">
        <w:rPr>
          <w:sz w:val="20"/>
          <w:szCs w:val="20"/>
        </w:rPr>
        <w:t xml:space="preserve"> o controlador final do grupo multinacional</w:t>
      </w:r>
    </w:p>
    <w:p w:rsidR="008A42AA" w:rsidRPr="0070069F" w:rsidRDefault="008A42AA" w:rsidP="008A42AA">
      <w:pPr>
        <w:pStyle w:val="Subttulo"/>
        <w:jc w:val="both"/>
        <w:rPr>
          <w:b w:val="0"/>
          <w:bCs w:val="0"/>
          <w:sz w:val="20"/>
          <w:szCs w:val="20"/>
        </w:rPr>
      </w:pPr>
    </w:p>
    <w:p w:rsidR="00F46979" w:rsidRDefault="008A42AA" w:rsidP="00F46979">
      <w:pPr>
        <w:pStyle w:val="Subttulo"/>
        <w:jc w:val="both"/>
        <w:rPr>
          <w:b w:val="0"/>
          <w:bCs w:val="0"/>
          <w:sz w:val="20"/>
          <w:szCs w:val="20"/>
        </w:rPr>
      </w:pPr>
      <w:r w:rsidRPr="0070069F">
        <w:rPr>
          <w:b w:val="0"/>
          <w:bCs w:val="0"/>
          <w:sz w:val="20"/>
          <w:szCs w:val="20"/>
        </w:rPr>
        <w:tab/>
      </w:r>
      <w:r w:rsidR="00F46979">
        <w:rPr>
          <w:b w:val="0"/>
          <w:bCs w:val="0"/>
          <w:sz w:val="20"/>
          <w:szCs w:val="20"/>
        </w:rPr>
        <w:t>Existem situações em que uma entidade integrante de grupo multinacional pode ser obrigada à entrega da Declaração País-a-País mesmo que não seja a controladora final do respectivo grupo. São as seguintes:</w:t>
      </w:r>
    </w:p>
    <w:p w:rsidR="00F46979" w:rsidRDefault="00F46979" w:rsidP="00F46979">
      <w:pPr>
        <w:pStyle w:val="Subttulo"/>
        <w:ind w:left="360"/>
        <w:jc w:val="both"/>
        <w:rPr>
          <w:b w:val="0"/>
          <w:bCs w:val="0"/>
          <w:sz w:val="20"/>
          <w:szCs w:val="20"/>
        </w:rPr>
      </w:pPr>
    </w:p>
    <w:p w:rsidR="00F46979" w:rsidRDefault="00F46979" w:rsidP="00F46979">
      <w:pPr>
        <w:pStyle w:val="Subttulo"/>
        <w:numPr>
          <w:ilvl w:val="0"/>
          <w:numId w:val="16"/>
        </w:numPr>
        <w:ind w:firstLine="720"/>
        <w:jc w:val="both"/>
        <w:rPr>
          <w:b w:val="0"/>
          <w:bCs w:val="0"/>
          <w:sz w:val="20"/>
          <w:szCs w:val="20"/>
        </w:rPr>
      </w:pPr>
      <w:r>
        <w:rPr>
          <w:b w:val="0"/>
          <w:bCs w:val="0"/>
          <w:sz w:val="20"/>
          <w:szCs w:val="20"/>
        </w:rPr>
        <w:t>designação como entidade substituta</w:t>
      </w:r>
    </w:p>
    <w:p w:rsidR="00F46979" w:rsidRDefault="00F46979" w:rsidP="00F46979">
      <w:pPr>
        <w:pStyle w:val="Subttulo"/>
        <w:jc w:val="both"/>
        <w:rPr>
          <w:b w:val="0"/>
          <w:bCs w:val="0"/>
          <w:sz w:val="20"/>
          <w:szCs w:val="20"/>
        </w:rPr>
      </w:pPr>
    </w:p>
    <w:p w:rsidR="00F46979" w:rsidRDefault="00F46979" w:rsidP="00F46979">
      <w:pPr>
        <w:pStyle w:val="04ParteNormativa"/>
        <w:ind w:firstLine="1440"/>
        <w:rPr>
          <w:shd w:val="clear" w:color="auto" w:fill="FFFFFF"/>
        </w:rPr>
      </w:pPr>
      <w:r>
        <w:rPr>
          <w:shd w:val="clear" w:color="auto" w:fill="FFFFFF"/>
        </w:rPr>
        <w:t xml:space="preserve">Na hipótese de o controlador final do grupo multinacional do qual uma entidade faz parte ser residente no exterior, e desde que verificadas determinadas condições estabelecidas na </w:t>
      </w:r>
      <w:r>
        <w:t>IN 1.681/2016</w:t>
      </w:r>
      <w:r>
        <w:rPr>
          <w:shd w:val="clear" w:color="auto" w:fill="FFFFFF"/>
        </w:rPr>
        <w:t xml:space="preserve">, uma entidade do grupo multinacional poderá ser designada como responsável pela entrega da Declaração País-a-País relativa a determinado ano fiscal de declaração, na qualidade de entidade substituta. </w:t>
      </w:r>
    </w:p>
    <w:p w:rsidR="00F46979" w:rsidRDefault="00F46979" w:rsidP="00F46979">
      <w:pPr>
        <w:pStyle w:val="04ParteNormativa"/>
        <w:ind w:firstLine="1440"/>
        <w:rPr>
          <w:shd w:val="clear" w:color="auto" w:fill="FFFFFF"/>
        </w:rPr>
      </w:pPr>
      <w:r>
        <w:rPr>
          <w:shd w:val="clear" w:color="auto" w:fill="FFFFFF"/>
        </w:rPr>
        <w:t xml:space="preserve">Conforme disposto na norma, a entidade substituta é a única entidade integrante designada pelo grupo multinacional para o cumprimento da obrigação de entrega da Declaração País-a-País em nome de todo o grupo, em substituição ao controlador final. A entrega deve ser feita em sua própria jurisdição de residência para fins tributários, a qual ficará responsável pelo compartilhamento do documento com as demais jurisdições onde o grupo opera identificadas na própria Declaração. </w:t>
      </w:r>
    </w:p>
    <w:p w:rsidR="00F46979" w:rsidRDefault="00F46979" w:rsidP="00F46979">
      <w:pPr>
        <w:pStyle w:val="04ParteNormativa"/>
        <w:ind w:firstLine="1440"/>
        <w:rPr>
          <w:shd w:val="clear" w:color="auto" w:fill="FFFFFF"/>
        </w:rPr>
      </w:pPr>
      <w:r>
        <w:rPr>
          <w:shd w:val="clear" w:color="auto" w:fill="FFFFFF"/>
        </w:rPr>
        <w:t>Dessa forma, caso uma entidade integrante residente no Brasil seja designada sob tal qualificação, deverá informar à Receita Federal do Brasil no Registro W100 sua condição de entidade declarante da Declaração País-a-País como entidade substituta, e efetuar a entrega do documento. E a administração tributária será responsável, então, por compartilhar a Declaração recebida por meio de entidade residente no Brasil designada substituta com as demais jurisdições pertinentes.</w:t>
      </w:r>
    </w:p>
    <w:p w:rsidR="00F46979" w:rsidRDefault="00F46979" w:rsidP="00F46979">
      <w:pPr>
        <w:pStyle w:val="Subttulo"/>
        <w:ind w:left="360"/>
        <w:jc w:val="both"/>
        <w:rPr>
          <w:b w:val="0"/>
          <w:bCs w:val="0"/>
          <w:sz w:val="20"/>
          <w:szCs w:val="20"/>
        </w:rPr>
      </w:pPr>
    </w:p>
    <w:p w:rsidR="00F46979" w:rsidRDefault="00F46979" w:rsidP="00F46979">
      <w:pPr>
        <w:pStyle w:val="Subttulo"/>
        <w:numPr>
          <w:ilvl w:val="0"/>
          <w:numId w:val="16"/>
        </w:numPr>
        <w:ind w:firstLine="720"/>
        <w:jc w:val="both"/>
        <w:rPr>
          <w:b w:val="0"/>
          <w:bCs w:val="0"/>
          <w:sz w:val="20"/>
          <w:szCs w:val="20"/>
        </w:rPr>
      </w:pPr>
      <w:r>
        <w:rPr>
          <w:b w:val="0"/>
          <w:bCs w:val="0"/>
          <w:sz w:val="20"/>
          <w:szCs w:val="20"/>
        </w:rPr>
        <w:t>entrega local</w:t>
      </w:r>
    </w:p>
    <w:p w:rsidR="00F46979" w:rsidRDefault="00F46979" w:rsidP="00F46979">
      <w:pPr>
        <w:pStyle w:val="04ParteNormativa"/>
        <w:ind w:firstLine="0"/>
      </w:pPr>
    </w:p>
    <w:p w:rsidR="00F46979" w:rsidRDefault="00F46979" w:rsidP="00F46979">
      <w:pPr>
        <w:pStyle w:val="04ParteNormativa"/>
        <w:ind w:firstLine="1440"/>
      </w:pPr>
      <w:r>
        <w:rPr>
          <w:shd w:val="clear" w:color="auto" w:fill="FFFFFF"/>
        </w:rPr>
        <w:t xml:space="preserve">Ainda que uma entidade residente no Brasil, integrante de grupo multinacional obrigado à entrega da Declaração, não seja o controlador final do grupo multinacional nem a entidade substituta, ela estará obrigada à entrega da Declaração País-a-País à Receita Federal do Brasil em caso de ocorrência de pelo menos uma das seguintes situações previstas no art. 3º, § 1º da IN </w:t>
      </w:r>
      <w:r>
        <w:t>1.681/2016:</w:t>
      </w:r>
    </w:p>
    <w:p w:rsidR="00F46979" w:rsidRDefault="00F46979" w:rsidP="00F46979">
      <w:pPr>
        <w:pStyle w:val="NormalWeb"/>
        <w:shd w:val="clear" w:color="auto" w:fill="FFFFFF"/>
        <w:spacing w:after="0" w:line="280" w:lineRule="atLeast"/>
        <w:ind w:firstLine="945"/>
        <w:jc w:val="both"/>
        <w:rPr>
          <w:rFonts w:ascii="Times New Roman" w:hAnsi="Times New Roman" w:cs="Times New Roman"/>
          <w:color w:val="000000"/>
          <w:highlight w:val="yellow"/>
        </w:rPr>
      </w:pPr>
      <w:r>
        <w:rPr>
          <w:rFonts w:ascii="Times New Roman" w:hAnsi="Times New Roman" w:cs="Times New Roman"/>
          <w:color w:val="000000"/>
          <w:highlight w:val="yellow"/>
        </w:rPr>
        <w:t>I - o controlador final do grupo multinacional do qual faz parte não seja obrigado a entregar a Declaração País-a-País em sua jurisdição de residência para fins tributários;</w:t>
      </w:r>
    </w:p>
    <w:p w:rsidR="00F46979" w:rsidRDefault="00F46979" w:rsidP="00F46979">
      <w:pPr>
        <w:pStyle w:val="NormalWeb"/>
        <w:shd w:val="clear" w:color="auto" w:fill="FFFFFF"/>
        <w:spacing w:after="0" w:line="280" w:lineRule="atLeast"/>
        <w:ind w:firstLine="945"/>
        <w:jc w:val="both"/>
        <w:rPr>
          <w:rFonts w:ascii="Times New Roman" w:hAnsi="Times New Roman" w:cs="Times New Roman"/>
          <w:color w:val="000000"/>
          <w:highlight w:val="yellow"/>
        </w:rPr>
      </w:pPr>
      <w:r>
        <w:rPr>
          <w:rFonts w:ascii="Times New Roman" w:hAnsi="Times New Roman" w:cs="Times New Roman"/>
          <w:color w:val="000000"/>
          <w:highlight w:val="yellow"/>
        </w:rPr>
        <w:t>II - a jurisdição de residência para fins tributários do controlador final tenha firmado acordo internacional com o Brasil, mas não tenha acordo de autoridades competentes com o País até o prazo final de entrega da Declaração País-a-País estabelecido no art. 6º</w:t>
      </w:r>
      <w:r>
        <w:rPr>
          <w:rStyle w:val="apple-converted-space"/>
          <w:highlight w:val="yellow"/>
        </w:rPr>
        <w:t> </w:t>
      </w:r>
      <w:r>
        <w:rPr>
          <w:rFonts w:ascii="Times New Roman" w:hAnsi="Times New Roman" w:cs="Times New Roman"/>
          <w:color w:val="000000"/>
          <w:highlight w:val="yellow"/>
        </w:rPr>
        <w:t>para o ano fiscal de declaração; ou</w:t>
      </w:r>
    </w:p>
    <w:p w:rsidR="00F46979" w:rsidRDefault="00F46979" w:rsidP="00F46979">
      <w:pPr>
        <w:pStyle w:val="NormalWeb"/>
        <w:shd w:val="clear" w:color="auto" w:fill="FFFFFF"/>
        <w:spacing w:after="0" w:line="280" w:lineRule="atLeast"/>
        <w:ind w:firstLine="945"/>
        <w:jc w:val="both"/>
        <w:rPr>
          <w:rFonts w:ascii="Times New Roman" w:hAnsi="Times New Roman" w:cs="Times New Roman"/>
          <w:color w:val="000000"/>
        </w:rPr>
      </w:pPr>
      <w:r>
        <w:rPr>
          <w:rFonts w:ascii="Times New Roman" w:hAnsi="Times New Roman" w:cs="Times New Roman"/>
          <w:color w:val="000000"/>
          <w:highlight w:val="yellow"/>
        </w:rPr>
        <w:t>III - tenha ocorrido falha sistêmica da jurisdição de residência para fins tributários do controlador final do grupo multinacional que tenha sido notificada pela RFB à entidade integrante residente para fins tributários no Brasil.</w:t>
      </w:r>
    </w:p>
    <w:p w:rsidR="00F46979" w:rsidRDefault="00F46979" w:rsidP="00F46979">
      <w:pPr>
        <w:pStyle w:val="04ParteNormativa"/>
        <w:ind w:firstLine="1440"/>
        <w:rPr>
          <w:shd w:val="clear" w:color="auto" w:fill="FFFFFF"/>
        </w:rPr>
      </w:pPr>
    </w:p>
    <w:p w:rsidR="00F46979" w:rsidRDefault="00F46979" w:rsidP="00F46979">
      <w:pPr>
        <w:pStyle w:val="04ParteNormativa"/>
        <w:ind w:firstLine="1440"/>
        <w:rPr>
          <w:shd w:val="clear" w:color="auto" w:fill="FFFFFF"/>
        </w:rPr>
      </w:pPr>
      <w:r>
        <w:rPr>
          <w:shd w:val="clear" w:color="auto" w:fill="FFFFFF"/>
        </w:rPr>
        <w:t xml:space="preserve"> Além disso, a indicação, como entidade declarante da DPP, de entidade substituta residente no exterior sem que se verifique o cumprimento de todas as condições estabelecidas no art. 3º, §3º da IN também pode ensejar a obrigatoriedade de entrega local.  </w:t>
      </w:r>
    </w:p>
    <w:p w:rsidR="002C2C0A" w:rsidRDefault="002C2C0A" w:rsidP="00F46979">
      <w:pPr>
        <w:pStyle w:val="04ParteNormativa"/>
        <w:ind w:firstLine="1440"/>
        <w:rPr>
          <w:shd w:val="clear" w:color="auto" w:fill="FFFFFF"/>
        </w:rPr>
      </w:pPr>
    </w:p>
    <w:p w:rsidR="00F46979" w:rsidRDefault="00F46979" w:rsidP="00F46979">
      <w:pPr>
        <w:pStyle w:val="04ParteNormativa"/>
        <w:ind w:firstLine="1440"/>
        <w:rPr>
          <w:shd w:val="clear" w:color="auto" w:fill="FFFFFF"/>
        </w:rPr>
      </w:pPr>
      <w:r>
        <w:rPr>
          <w:shd w:val="clear" w:color="auto" w:fill="FFFFFF"/>
        </w:rPr>
        <w:lastRenderedPageBreak/>
        <w:t>Por exemplo, caso seja informada entidade substituta residente no exterior em jurisdição que não exija em sua legislação doméstica a entrega da Declaração País-a-País, a indicação não poderá ser considerada válida, e a obrigatoriedade de entrega do documento recairá sobre a entidade integrante do grupo residente no Brasil. O mesmo vale para indicação de entidade substituta residente no exterior em jurisdição que não tenha firmado acordo de autoridades competentes com o Brasil que permita o compartilhamento automático da DPP e/ou que já esteja enquadrada em situação de falha sistêmica pelo Brasil ou que tenha enquadrado o país nessa situação.</w:t>
      </w:r>
    </w:p>
    <w:p w:rsidR="00F46979" w:rsidRDefault="00F46979" w:rsidP="00F46979">
      <w:pPr>
        <w:pStyle w:val="04ParteNormativa"/>
        <w:ind w:firstLine="1440"/>
        <w:rPr>
          <w:shd w:val="clear" w:color="auto" w:fill="FFFFFF"/>
        </w:rPr>
      </w:pPr>
      <w:r>
        <w:rPr>
          <w:shd w:val="clear" w:color="auto" w:fill="FFFFFF"/>
        </w:rPr>
        <w:t xml:space="preserve">Em caso de existência de mais de uma entidade residente no Brasil integrantes do mesmo grupo multinacional, caberá a essas entidades definir e informar à Receita Federal, nos termos estabelecidos na </w:t>
      </w:r>
      <w:r w:rsidR="002C2C0A">
        <w:rPr>
          <w:shd w:val="clear" w:color="auto" w:fill="FFFFFF"/>
        </w:rPr>
        <w:t>IN</w:t>
      </w:r>
      <w:r>
        <w:rPr>
          <w:shd w:val="clear" w:color="auto" w:fill="FFFFFF"/>
        </w:rPr>
        <w:t xml:space="preserve"> RFB </w:t>
      </w:r>
      <w:r w:rsidR="002C2C0A">
        <w:rPr>
          <w:shd w:val="clear" w:color="auto" w:fill="FFFFFF"/>
        </w:rPr>
        <w:t xml:space="preserve">nº </w:t>
      </w:r>
      <w:r>
        <w:rPr>
          <w:shd w:val="clear" w:color="auto" w:fill="FFFFFF"/>
        </w:rPr>
        <w:t>1.681/2016, qual será a entidade responsável pela entrega da Declaração País-a-País (entidade declarante). A indicação deve ocorrer mediante preenchimento do Registro W100.</w:t>
      </w:r>
    </w:p>
    <w:p w:rsidR="00F46979" w:rsidRDefault="00F46979" w:rsidP="00F46979">
      <w:pPr>
        <w:pStyle w:val="04ParteNormativa"/>
        <w:ind w:firstLine="1440"/>
        <w:rPr>
          <w:shd w:val="clear" w:color="auto" w:fill="FFFFFF"/>
        </w:rPr>
      </w:pPr>
    </w:p>
    <w:p w:rsidR="00F46979" w:rsidRDefault="00F46979" w:rsidP="00F46979">
      <w:pPr>
        <w:pStyle w:val="04ParteNormativa"/>
        <w:ind w:firstLine="0"/>
      </w:pPr>
      <w:r>
        <w:rPr>
          <w:b/>
          <w:bCs/>
        </w:rPr>
        <w:t xml:space="preserve">Observação: </w:t>
      </w:r>
      <w:r>
        <w:t>No caso de grupo multinacional cujo controlador final é residente no Brasil, a obrigatoriedade de entrega da DPP à Receita Federal será sempre do controlador final, não existindo possibilidade de designação de entidade substituta ou realização de entrega da Declaração por outra entidade integrante do grupo. A hipótese de designação de entidade substituta e as situações que ensejam a obrigatoriedade de entrega local ocorrem apenas nos casos em que o controlador final do grupo multinacional é residente no exterior. Dessa forma, o grupo multinacional cujo controlador final seja residente no Brasil somente poderá designar entidade substituta para a entrega da DPP em outra jurisdição onde o grupo opere, bem como poderá estar sujeito à exigência de entrega local no exterior, em conformidade com os dispositivos do Relatório Final da Ação 13 do Projeto BEPS e da legislação doméstica das demais jurisdições em que o grupo está presente.</w:t>
      </w:r>
    </w:p>
    <w:p w:rsidR="00F46979" w:rsidRDefault="00F46979" w:rsidP="00F46979">
      <w:pPr>
        <w:pStyle w:val="Subttulo"/>
        <w:jc w:val="both"/>
        <w:rPr>
          <w:b w:val="0"/>
          <w:bCs w:val="0"/>
          <w:sz w:val="20"/>
          <w:szCs w:val="20"/>
        </w:rPr>
      </w:pPr>
    </w:p>
    <w:p w:rsidR="00F46979" w:rsidRPr="00F74E3A" w:rsidRDefault="00F46979" w:rsidP="00F46979">
      <w:pPr>
        <w:pStyle w:val="Subttulo"/>
        <w:numPr>
          <w:ilvl w:val="2"/>
          <w:numId w:val="22"/>
        </w:numPr>
        <w:jc w:val="both"/>
        <w:rPr>
          <w:sz w:val="20"/>
          <w:szCs w:val="20"/>
          <w:highlight w:val="yellow"/>
        </w:rPr>
      </w:pPr>
      <w:r w:rsidRPr="00F74E3A">
        <w:rPr>
          <w:sz w:val="20"/>
          <w:szCs w:val="20"/>
          <w:highlight w:val="yellow"/>
        </w:rPr>
        <w:t>Período fiscal</w:t>
      </w:r>
    </w:p>
    <w:p w:rsidR="00F46979" w:rsidRPr="00F74E3A" w:rsidRDefault="00F46979" w:rsidP="00F46979">
      <w:pPr>
        <w:pStyle w:val="Subttulo"/>
        <w:ind w:left="720"/>
        <w:jc w:val="both"/>
        <w:rPr>
          <w:b w:val="0"/>
          <w:bCs w:val="0"/>
          <w:sz w:val="20"/>
          <w:szCs w:val="20"/>
          <w:highlight w:val="yellow"/>
        </w:rPr>
      </w:pPr>
    </w:p>
    <w:p w:rsidR="002C2C0A" w:rsidRDefault="00F46979" w:rsidP="00F46979">
      <w:pPr>
        <w:pStyle w:val="Subttulo"/>
        <w:ind w:firstLine="708"/>
        <w:jc w:val="both"/>
        <w:rPr>
          <w:b w:val="0"/>
          <w:bCs w:val="0"/>
          <w:sz w:val="20"/>
          <w:szCs w:val="20"/>
          <w:highlight w:val="yellow"/>
        </w:rPr>
      </w:pPr>
      <w:r w:rsidRPr="00F74E3A">
        <w:rPr>
          <w:b w:val="0"/>
          <w:bCs w:val="0"/>
          <w:sz w:val="20"/>
          <w:szCs w:val="20"/>
          <w:highlight w:val="yellow"/>
        </w:rPr>
        <w:t xml:space="preserve">Conforme estabelecido na Ação 13 do Projeto BEPS, a DPP deve referir-se ao ano fiscal do controlador final do grupo multinacional. A IN RFB </w:t>
      </w:r>
      <w:r w:rsidR="002C2C0A">
        <w:rPr>
          <w:b w:val="0"/>
          <w:bCs w:val="0"/>
          <w:sz w:val="20"/>
          <w:szCs w:val="20"/>
          <w:highlight w:val="yellow"/>
        </w:rPr>
        <w:t xml:space="preserve">nº </w:t>
      </w:r>
      <w:r w:rsidRPr="00F74E3A">
        <w:rPr>
          <w:b w:val="0"/>
          <w:bCs w:val="0"/>
          <w:sz w:val="20"/>
          <w:szCs w:val="20"/>
          <w:highlight w:val="yellow"/>
        </w:rPr>
        <w:t xml:space="preserve">1.681/2016 também esclarece, em seu art. 5º, que a DPP a ser entregue deve abranger o ano fiscal </w:t>
      </w:r>
      <w:r w:rsidRPr="00F74E3A">
        <w:rPr>
          <w:bCs w:val="0"/>
          <w:sz w:val="20"/>
          <w:szCs w:val="20"/>
          <w:highlight w:val="yellow"/>
        </w:rPr>
        <w:t xml:space="preserve">já encerrado, </w:t>
      </w:r>
      <w:r w:rsidRPr="00F74E3A">
        <w:rPr>
          <w:b w:val="0"/>
          <w:bCs w:val="0"/>
          <w:sz w:val="20"/>
          <w:szCs w:val="20"/>
          <w:highlight w:val="yellow"/>
        </w:rPr>
        <w:t xml:space="preserve">imediatamente anterior, e que o primeiro ano fiscal de declaração será aquele iniciado em 2016. </w:t>
      </w:r>
    </w:p>
    <w:p w:rsidR="00F46979" w:rsidRPr="00F74E3A" w:rsidRDefault="00F46979" w:rsidP="00F46979">
      <w:pPr>
        <w:pStyle w:val="Subttulo"/>
        <w:ind w:firstLine="708"/>
        <w:jc w:val="both"/>
        <w:rPr>
          <w:b w:val="0"/>
          <w:bCs w:val="0"/>
          <w:sz w:val="20"/>
          <w:szCs w:val="20"/>
          <w:highlight w:val="yellow"/>
        </w:rPr>
      </w:pPr>
      <w:r w:rsidRPr="00F74E3A">
        <w:rPr>
          <w:b w:val="0"/>
          <w:bCs w:val="0"/>
          <w:sz w:val="20"/>
          <w:szCs w:val="20"/>
          <w:highlight w:val="yellow"/>
        </w:rPr>
        <w:t xml:space="preserve"> </w:t>
      </w:r>
    </w:p>
    <w:p w:rsidR="00F46979" w:rsidRPr="00B80A25" w:rsidRDefault="00F46979" w:rsidP="00F46979">
      <w:pPr>
        <w:pStyle w:val="Subttulo"/>
        <w:ind w:firstLine="708"/>
        <w:jc w:val="both"/>
        <w:rPr>
          <w:b w:val="0"/>
          <w:bCs w:val="0"/>
          <w:sz w:val="20"/>
          <w:szCs w:val="20"/>
        </w:rPr>
      </w:pPr>
      <w:r w:rsidRPr="00F74E3A">
        <w:rPr>
          <w:b w:val="0"/>
          <w:bCs w:val="0"/>
          <w:sz w:val="20"/>
          <w:szCs w:val="20"/>
          <w:highlight w:val="yellow"/>
        </w:rPr>
        <w:t>Assim, grupos multinacionais cujo controlador final possui período fiscal que  i) não tenha encerrado no ano de 2016; ou ii) tenha data de encerramento em 2016, mas tenha iniciado em 2015, não encontram-se em condições de entrega da DPP durante o ano de 2017. Dessa forma, entidades residentes no Brasil que sejam integrantes de grupos multinacionais cujo controlador final é estrangeiro e encontra-se em uma das situações apresentadas devem preencher o campo 7 do Registro W100 (</w:t>
      </w:r>
      <w:r w:rsidR="002C2C0A">
        <w:rPr>
          <w:b w:val="0"/>
          <w:bCs w:val="0"/>
          <w:sz w:val="20"/>
          <w:szCs w:val="20"/>
          <w:highlight w:val="yellow"/>
        </w:rPr>
        <w:t>W100.</w:t>
      </w:r>
      <w:r w:rsidRPr="00F74E3A">
        <w:rPr>
          <w:b w:val="0"/>
          <w:bCs w:val="0"/>
          <w:sz w:val="20"/>
          <w:szCs w:val="20"/>
          <w:highlight w:val="yellow"/>
        </w:rPr>
        <w:t>IND_ENTREGA), o qual informa a entidade responsável pela entrega da DPP, utilizando a opção “1 -Grupo Multinacional dispensado da entrega da Declaração País-a-País”, e justificar a dispensa no Registro W300 (Observações Adicionais), informando o período fiscal ao qual o grupo está sujeito.</w:t>
      </w:r>
    </w:p>
    <w:p w:rsidR="00F46979" w:rsidRDefault="00F46979" w:rsidP="00F46979">
      <w:pPr>
        <w:pStyle w:val="Subttulo"/>
        <w:jc w:val="both"/>
        <w:rPr>
          <w:b w:val="0"/>
          <w:bCs w:val="0"/>
          <w:sz w:val="20"/>
          <w:szCs w:val="20"/>
        </w:rPr>
      </w:pPr>
    </w:p>
    <w:p w:rsidR="00F46979" w:rsidRDefault="00F46979" w:rsidP="00F46979">
      <w:pPr>
        <w:pStyle w:val="Subttulo"/>
        <w:jc w:val="both"/>
        <w:rPr>
          <w:sz w:val="20"/>
          <w:szCs w:val="20"/>
        </w:rPr>
      </w:pPr>
      <w:r>
        <w:rPr>
          <w:sz w:val="20"/>
          <w:szCs w:val="20"/>
        </w:rPr>
        <w:t>1.2 Entidades integrantes – Quem deve ser reportado na Declaração País-a-País</w:t>
      </w:r>
    </w:p>
    <w:p w:rsidR="00F46979" w:rsidRDefault="00F46979" w:rsidP="00F46979">
      <w:pPr>
        <w:pStyle w:val="Subttulo"/>
        <w:jc w:val="both"/>
        <w:rPr>
          <w:b w:val="0"/>
          <w:bCs w:val="0"/>
          <w:sz w:val="20"/>
          <w:szCs w:val="20"/>
        </w:rPr>
      </w:pPr>
    </w:p>
    <w:p w:rsidR="00F46979" w:rsidRDefault="00F46979" w:rsidP="00F46979">
      <w:pPr>
        <w:pStyle w:val="Subttulo"/>
        <w:ind w:firstLine="708"/>
        <w:jc w:val="both"/>
        <w:rPr>
          <w:b w:val="0"/>
          <w:bCs w:val="0"/>
          <w:sz w:val="20"/>
          <w:szCs w:val="20"/>
        </w:rPr>
      </w:pPr>
      <w:r>
        <w:rPr>
          <w:b w:val="0"/>
          <w:bCs w:val="0"/>
          <w:sz w:val="20"/>
          <w:szCs w:val="20"/>
        </w:rPr>
        <w:t xml:space="preserve">Devem ser reportadas na Declaração País-a-País, no registro W250, todas as entidades integrantes do grupo multinacional que estejam incluídas nas demonstrações consolidadas do grupo, e também aquelas que estejam excluídas dessas demonstrações apenas em razão de seu tamanho ou por questões de materialidade (vide definição do artigo 2º, inciso III da IN </w:t>
      </w:r>
      <w:r w:rsidR="002C2C0A">
        <w:rPr>
          <w:b w:val="0"/>
          <w:bCs w:val="0"/>
          <w:sz w:val="20"/>
          <w:szCs w:val="20"/>
        </w:rPr>
        <w:t xml:space="preserve">RFB nº </w:t>
      </w:r>
      <w:r>
        <w:rPr>
          <w:b w:val="0"/>
          <w:bCs w:val="0"/>
          <w:sz w:val="20"/>
          <w:szCs w:val="20"/>
        </w:rPr>
        <w:t xml:space="preserve">1.681/2016). </w:t>
      </w:r>
      <w:r>
        <w:rPr>
          <w:b w:val="0"/>
          <w:bCs w:val="0"/>
          <w:sz w:val="20"/>
          <w:szCs w:val="20"/>
        </w:rPr>
        <w:tab/>
      </w:r>
    </w:p>
    <w:p w:rsidR="00F46979" w:rsidRDefault="00F46979" w:rsidP="00F46979">
      <w:pPr>
        <w:pStyle w:val="Subttulo"/>
        <w:ind w:firstLine="708"/>
        <w:jc w:val="both"/>
        <w:rPr>
          <w:b w:val="0"/>
          <w:bCs w:val="0"/>
          <w:sz w:val="20"/>
          <w:szCs w:val="20"/>
        </w:rPr>
      </w:pPr>
    </w:p>
    <w:p w:rsidR="00F46979" w:rsidRDefault="00F46979" w:rsidP="00F46979">
      <w:pPr>
        <w:pStyle w:val="Subttulo"/>
        <w:ind w:firstLine="708"/>
        <w:jc w:val="both"/>
        <w:rPr>
          <w:b w:val="0"/>
          <w:bCs w:val="0"/>
          <w:sz w:val="20"/>
          <w:szCs w:val="20"/>
        </w:rPr>
      </w:pPr>
      <w:r>
        <w:rPr>
          <w:b w:val="0"/>
          <w:bCs w:val="0"/>
          <w:sz w:val="20"/>
          <w:szCs w:val="20"/>
        </w:rPr>
        <w:t xml:space="preserve">Conforme disposto no artigo 2º, inciso IV da referida IN, filiais e sucursais de qualquer entidade integrante do grupo são entendidas, para fins da Declaração País-a-País, como estabelecimentos permanentes dessas entidades quando situadas em outro país, e todos devem ser reportados na Declaração com referência à jurisdição onde estão situados, e não com referência à jurisdição de residência da entidade à qual o estabelecimento permanente está relacionado. </w:t>
      </w:r>
    </w:p>
    <w:p w:rsidR="00F46979" w:rsidRDefault="00F46979" w:rsidP="00F46979">
      <w:pPr>
        <w:pStyle w:val="Subttulo"/>
        <w:jc w:val="both"/>
        <w:rPr>
          <w:b w:val="0"/>
          <w:bCs w:val="0"/>
          <w:sz w:val="20"/>
          <w:szCs w:val="20"/>
        </w:rPr>
      </w:pPr>
    </w:p>
    <w:p w:rsidR="002C2C0A" w:rsidRDefault="002C2C0A" w:rsidP="00F46979">
      <w:pPr>
        <w:pStyle w:val="Subttulo"/>
        <w:jc w:val="both"/>
        <w:rPr>
          <w:b w:val="0"/>
          <w:bCs w:val="0"/>
          <w:sz w:val="20"/>
          <w:szCs w:val="20"/>
        </w:rPr>
      </w:pPr>
    </w:p>
    <w:p w:rsidR="002C2C0A" w:rsidRDefault="002C2C0A" w:rsidP="00F46979">
      <w:pPr>
        <w:pStyle w:val="Subttulo"/>
        <w:jc w:val="both"/>
        <w:rPr>
          <w:b w:val="0"/>
          <w:bCs w:val="0"/>
          <w:sz w:val="20"/>
          <w:szCs w:val="20"/>
        </w:rPr>
      </w:pPr>
    </w:p>
    <w:p w:rsidR="002C2C0A" w:rsidRDefault="002C2C0A" w:rsidP="00F46979">
      <w:pPr>
        <w:pStyle w:val="Subttulo"/>
        <w:jc w:val="both"/>
        <w:rPr>
          <w:b w:val="0"/>
          <w:bCs w:val="0"/>
          <w:sz w:val="20"/>
          <w:szCs w:val="20"/>
        </w:rPr>
      </w:pPr>
    </w:p>
    <w:p w:rsidR="002C2C0A" w:rsidRDefault="002C2C0A" w:rsidP="00F46979">
      <w:pPr>
        <w:pStyle w:val="Subttulo"/>
        <w:jc w:val="both"/>
        <w:rPr>
          <w:b w:val="0"/>
          <w:bCs w:val="0"/>
          <w:sz w:val="20"/>
          <w:szCs w:val="20"/>
        </w:rPr>
      </w:pPr>
    </w:p>
    <w:p w:rsidR="002C2C0A" w:rsidRDefault="002C2C0A" w:rsidP="00F46979">
      <w:pPr>
        <w:pStyle w:val="Subttulo"/>
        <w:jc w:val="both"/>
        <w:rPr>
          <w:b w:val="0"/>
          <w:bCs w:val="0"/>
          <w:sz w:val="20"/>
          <w:szCs w:val="20"/>
        </w:rPr>
      </w:pPr>
    </w:p>
    <w:p w:rsidR="002C2C0A" w:rsidRDefault="002C2C0A" w:rsidP="00F46979">
      <w:pPr>
        <w:pStyle w:val="Subttulo"/>
        <w:jc w:val="both"/>
        <w:rPr>
          <w:b w:val="0"/>
          <w:bCs w:val="0"/>
          <w:sz w:val="20"/>
          <w:szCs w:val="20"/>
        </w:rPr>
      </w:pPr>
    </w:p>
    <w:p w:rsidR="00F46979" w:rsidRDefault="00F46979" w:rsidP="00F46979">
      <w:pPr>
        <w:pStyle w:val="Subttulo"/>
        <w:jc w:val="both"/>
        <w:rPr>
          <w:sz w:val="20"/>
          <w:szCs w:val="20"/>
        </w:rPr>
      </w:pPr>
      <w:r>
        <w:rPr>
          <w:sz w:val="20"/>
          <w:szCs w:val="20"/>
        </w:rPr>
        <w:lastRenderedPageBreak/>
        <w:t>1.3 Identificação da Entidade Declarante (</w:t>
      </w:r>
      <w:r>
        <w:rPr>
          <w:sz w:val="20"/>
          <w:szCs w:val="20"/>
          <w:shd w:val="clear" w:color="auto" w:fill="FFFFFF"/>
        </w:rPr>
        <w:t xml:space="preserve">art. 7º da IN </w:t>
      </w:r>
      <w:r w:rsidR="002C2C0A">
        <w:rPr>
          <w:sz w:val="20"/>
          <w:szCs w:val="20"/>
          <w:shd w:val="clear" w:color="auto" w:fill="FFFFFF"/>
        </w:rPr>
        <w:t xml:space="preserve">nº </w:t>
      </w:r>
      <w:r>
        <w:rPr>
          <w:sz w:val="20"/>
          <w:szCs w:val="20"/>
          <w:shd w:val="clear" w:color="auto" w:fill="FFFFFF"/>
        </w:rPr>
        <w:t>1.681/2016</w:t>
      </w:r>
      <w:r>
        <w:rPr>
          <w:sz w:val="20"/>
          <w:szCs w:val="20"/>
        </w:rPr>
        <w:t>)</w:t>
      </w:r>
    </w:p>
    <w:p w:rsidR="00F46979" w:rsidRDefault="00F46979" w:rsidP="00F46979">
      <w:pPr>
        <w:pStyle w:val="Subttulo"/>
        <w:jc w:val="both"/>
        <w:rPr>
          <w:sz w:val="20"/>
          <w:szCs w:val="20"/>
        </w:rPr>
      </w:pPr>
    </w:p>
    <w:p w:rsidR="00F46979" w:rsidRDefault="00F46979" w:rsidP="00F46979">
      <w:pPr>
        <w:pStyle w:val="Subttulo"/>
        <w:ind w:firstLine="720"/>
        <w:jc w:val="both"/>
        <w:rPr>
          <w:b w:val="0"/>
          <w:bCs w:val="0"/>
          <w:sz w:val="20"/>
          <w:szCs w:val="20"/>
        </w:rPr>
      </w:pPr>
      <w:r>
        <w:rPr>
          <w:b w:val="0"/>
          <w:bCs w:val="0"/>
          <w:sz w:val="20"/>
          <w:szCs w:val="20"/>
        </w:rPr>
        <w:t xml:space="preserve">Toda e qualquer entidade residente no Brasil que seja integrante de um grupo multinacional deve informar à Receita Federal do Brasil se é a controladora final do respectivo grupo ou se é responsável pela entrega da Declaração País-a-País na qualidade de entidade substituta. Caso a entidade não esteja enquadrada em nenhuma dessas condições, deve fornecer à RFB a identificação da entidade do grupo multinacional responsável pelo cumprimento da obrigação (entidade declarante), bem como sob que qualificação a referida entidade efetua a entrega da DPP – na condição de controladora final do grupo multinacional (residente no Brasil ou no exterior), de entidade substituta (residente no Brasil ou no exterior) ou de Preenchimento Local (obrigatoriamente residente no Brasil, podendo ser o próprio contribuinte ou outra entidade). </w:t>
      </w:r>
    </w:p>
    <w:p w:rsidR="00F46979" w:rsidRDefault="00F46979" w:rsidP="00F46979">
      <w:pPr>
        <w:pStyle w:val="Subttulo"/>
        <w:ind w:left="360"/>
        <w:jc w:val="both"/>
        <w:rPr>
          <w:b w:val="0"/>
          <w:bCs w:val="0"/>
          <w:sz w:val="20"/>
          <w:szCs w:val="20"/>
        </w:rPr>
      </w:pPr>
    </w:p>
    <w:p w:rsidR="00F46979" w:rsidRDefault="00F46979" w:rsidP="00F46979">
      <w:pPr>
        <w:pStyle w:val="Subttulo"/>
        <w:ind w:firstLine="720"/>
        <w:jc w:val="both"/>
        <w:rPr>
          <w:b w:val="0"/>
          <w:bCs w:val="0"/>
          <w:sz w:val="20"/>
          <w:szCs w:val="20"/>
        </w:rPr>
      </w:pPr>
      <w:r>
        <w:rPr>
          <w:b w:val="0"/>
          <w:bCs w:val="0"/>
          <w:sz w:val="20"/>
          <w:szCs w:val="20"/>
        </w:rPr>
        <w:t xml:space="preserve">A modalidade de entrega intitulada Preenchimento Local refere-se à obrigatoriedade de cumprimento da obrigação acessória por entidade residente no Brasil que não seja nem o controlador final do grupo multinacional ao qual pertence nem a entidade substituta, conforme as hipóteses descritas na alínea “b” do item 1.1.2deste Manual e previstas no art. 3º, </w:t>
      </w:r>
      <w:r>
        <w:rPr>
          <w:b w:val="0"/>
          <w:bCs w:val="0"/>
          <w:sz w:val="20"/>
          <w:szCs w:val="20"/>
          <w:shd w:val="clear" w:color="auto" w:fill="FFFFFF"/>
        </w:rPr>
        <w:t>§ 1</w:t>
      </w:r>
      <w:r>
        <w:rPr>
          <w:b w:val="0"/>
          <w:bCs w:val="0"/>
          <w:sz w:val="20"/>
          <w:szCs w:val="20"/>
          <w:u w:val="single"/>
          <w:shd w:val="clear" w:color="auto" w:fill="FFFFFF"/>
          <w:vertAlign w:val="superscript"/>
        </w:rPr>
        <w:t>o</w:t>
      </w:r>
      <w:r>
        <w:rPr>
          <w:b w:val="0"/>
          <w:bCs w:val="0"/>
          <w:sz w:val="20"/>
          <w:szCs w:val="20"/>
          <w:shd w:val="clear" w:color="auto" w:fill="FFFFFF"/>
        </w:rPr>
        <w:t xml:space="preserve"> da </w:t>
      </w:r>
      <w:r>
        <w:rPr>
          <w:b w:val="0"/>
          <w:bCs w:val="0"/>
          <w:sz w:val="20"/>
          <w:szCs w:val="20"/>
        </w:rPr>
        <w:t xml:space="preserve">IN </w:t>
      </w:r>
      <w:r w:rsidR="002C2C0A">
        <w:rPr>
          <w:b w:val="0"/>
          <w:bCs w:val="0"/>
          <w:sz w:val="20"/>
          <w:szCs w:val="20"/>
        </w:rPr>
        <w:t xml:space="preserve">RFB nº </w:t>
      </w:r>
      <w:r>
        <w:rPr>
          <w:b w:val="0"/>
          <w:bCs w:val="0"/>
          <w:sz w:val="20"/>
          <w:szCs w:val="20"/>
        </w:rPr>
        <w:t>1.681/2016. É importante esclarecer que essa modalidade de entrega não é passível de utilização apenas em caso de intimação da Receita Federal do Brasil, devendo ser adotada caso o grupo multinacional de antemão identifique estar diante de situação que enseje o cumprimento da obrigação acessória dessa maneira.</w:t>
      </w:r>
    </w:p>
    <w:p w:rsidR="00F46979" w:rsidRDefault="00F46979" w:rsidP="00F46979">
      <w:pPr>
        <w:pStyle w:val="Subttulo"/>
        <w:ind w:firstLine="720"/>
        <w:jc w:val="both"/>
        <w:rPr>
          <w:b w:val="0"/>
          <w:bCs w:val="0"/>
          <w:sz w:val="20"/>
          <w:szCs w:val="20"/>
        </w:rPr>
      </w:pPr>
    </w:p>
    <w:p w:rsidR="00F46979" w:rsidRDefault="00F46979" w:rsidP="00F46979">
      <w:pPr>
        <w:pStyle w:val="Subttulo"/>
        <w:ind w:firstLine="720"/>
        <w:jc w:val="both"/>
        <w:rPr>
          <w:b w:val="0"/>
          <w:bCs w:val="0"/>
          <w:sz w:val="20"/>
          <w:szCs w:val="20"/>
        </w:rPr>
      </w:pPr>
      <w:r>
        <w:rPr>
          <w:b w:val="0"/>
          <w:bCs w:val="0"/>
          <w:sz w:val="20"/>
          <w:szCs w:val="20"/>
        </w:rPr>
        <w:t>A identificação da entidade declarante deve ser prestada mediante preenchimento do registro W100.</w:t>
      </w:r>
    </w:p>
    <w:p w:rsidR="00F46979" w:rsidRDefault="00F46979" w:rsidP="00F46979">
      <w:pPr>
        <w:pStyle w:val="Subttulo"/>
        <w:ind w:firstLine="720"/>
        <w:jc w:val="both"/>
        <w:rPr>
          <w:b w:val="0"/>
          <w:bCs w:val="0"/>
          <w:sz w:val="20"/>
          <w:szCs w:val="20"/>
        </w:rPr>
      </w:pPr>
    </w:p>
    <w:p w:rsidR="00F46979" w:rsidRDefault="00F46979" w:rsidP="00F46979">
      <w:pPr>
        <w:pStyle w:val="04ParteNormativa"/>
        <w:ind w:firstLine="720"/>
        <w:rPr>
          <w:shd w:val="clear" w:color="auto" w:fill="FFFFFF"/>
        </w:rPr>
      </w:pPr>
      <w:r>
        <w:t>Na hipótese de o contribuinte, ao preencher o registro W100 para identificar a entidade declarante da Declaração País-a-País, indicar entidade residente no exterior em jurisdição que não tenha firmado acordo de autoridades competentes com o Brasil</w:t>
      </w:r>
      <w:r>
        <w:rPr>
          <w:shd w:val="clear" w:color="auto" w:fill="FFFFFF"/>
        </w:rPr>
        <w:t xml:space="preserve"> que permita o compartilhamento automático da Declaração, ou em jurisdição que esteja enquadrada em situação de falha sistêmica pelo Brasil ou que tenha enquadrado o País nessa situação, a inconsistência será automaticamente detectada pelo sistema. Nessa situação, o contribuinte deve modificar o preenchimento e indicar outra entidade declarante e modalidade de entrega válida, ou a obrigação de entrega da Declaração País-a-País recairá sobre o próprio contribuinte. A não indicação de entidade declarante válida, ou o não cumprimento da obrigação acessória pelo contribuinte serão impeditivos da transmissão da Escrituração Contábil Fiscal (ECF).</w:t>
      </w:r>
    </w:p>
    <w:p w:rsidR="00F46979" w:rsidRDefault="00F46979" w:rsidP="00F46979">
      <w:pPr>
        <w:pStyle w:val="04ParteNormativa"/>
        <w:ind w:firstLine="720"/>
        <w:rPr>
          <w:shd w:val="clear" w:color="auto" w:fill="FFFFFF"/>
        </w:rPr>
      </w:pPr>
      <w:r>
        <w:rPr>
          <w:shd w:val="clear" w:color="auto" w:fill="FFFFFF"/>
        </w:rPr>
        <w:t>Por fim, vale salientar que, independentemente de quem seja a entidade responsável pela entrega da Declaração País-a-País em nome do grupo multinacional e sob que qualificação, é obrigatória também a identificação do controlador final do respectivo grupo no registro W100.</w:t>
      </w:r>
    </w:p>
    <w:p w:rsidR="00F46979" w:rsidRDefault="00F46979" w:rsidP="00F46979">
      <w:pPr>
        <w:pStyle w:val="04ParteNormativa"/>
        <w:ind w:firstLine="0"/>
        <w:rPr>
          <w:shd w:val="clear" w:color="auto" w:fill="FFFFFF"/>
        </w:rPr>
      </w:pPr>
    </w:p>
    <w:p w:rsidR="00F46979" w:rsidRPr="00F74E3A" w:rsidRDefault="00F46979" w:rsidP="00F46979">
      <w:pPr>
        <w:pStyle w:val="Corpodetexto2"/>
        <w:rPr>
          <w:highlight w:val="yellow"/>
        </w:rPr>
      </w:pPr>
      <w:r w:rsidRPr="00F74E3A">
        <w:rPr>
          <w:b/>
          <w:bCs/>
          <w:highlight w:val="yellow"/>
          <w:shd w:val="clear" w:color="auto" w:fill="FFFFFF"/>
        </w:rPr>
        <w:t>1.4</w:t>
      </w:r>
      <w:r w:rsidRPr="00F74E3A">
        <w:rPr>
          <w:highlight w:val="yellow"/>
          <w:shd w:val="clear" w:color="auto" w:fill="FFFFFF"/>
        </w:rPr>
        <w:t xml:space="preserve"> </w:t>
      </w:r>
      <w:r w:rsidRPr="00F74E3A">
        <w:rPr>
          <w:b/>
          <w:bCs/>
          <w:highlight w:val="yellow"/>
        </w:rPr>
        <w:t>Fonte dos dados e padrão contábil para a elaboração da DPP</w:t>
      </w:r>
    </w:p>
    <w:p w:rsidR="00F46979" w:rsidRPr="00F74E3A" w:rsidRDefault="00F46979" w:rsidP="00F46979">
      <w:pPr>
        <w:pStyle w:val="Corpodetexto2"/>
        <w:ind w:left="360"/>
        <w:rPr>
          <w:b/>
          <w:bCs/>
          <w:highlight w:val="yellow"/>
        </w:rPr>
      </w:pPr>
    </w:p>
    <w:p w:rsidR="00F46979" w:rsidRPr="00F74E3A" w:rsidRDefault="00F46979" w:rsidP="00F46979">
      <w:pPr>
        <w:pStyle w:val="LO-Normal"/>
        <w:spacing w:after="0"/>
        <w:ind w:firstLine="708"/>
        <w:jc w:val="both"/>
        <w:rPr>
          <w:rFonts w:ascii="Times New Roman" w:hAnsi="Times New Roman"/>
          <w:highlight w:val="yellow"/>
        </w:rPr>
      </w:pPr>
      <w:r w:rsidRPr="00F74E3A">
        <w:rPr>
          <w:rFonts w:ascii="Times New Roman" w:hAnsi="Times New Roman"/>
          <w:highlight w:val="yellow"/>
        </w:rPr>
        <w:t>Para o preenchimento da DPP, a entidade declarante deve utilizar as mesmas fontes de dados, de maneira consistente, ao longo dos anos. A entidade declarante pode escolher entre usar dados oriundos de suas demonstrações consolidadas, das demonstrações financeiras obrigatórias individuais das entidades constituintes do grupo ou de documentos de administração interna.</w:t>
      </w:r>
      <w:r w:rsidRPr="00F74E3A">
        <w:rPr>
          <w:rStyle w:val="Refdecomentrio"/>
          <w:vanish/>
          <w:szCs w:val="20"/>
          <w:highlight w:val="yellow"/>
        </w:rPr>
        <w:t>aaa</w:t>
      </w:r>
      <w:r w:rsidRPr="00F74E3A">
        <w:rPr>
          <w:rFonts w:ascii="Times New Roman" w:hAnsi="Times New Roman"/>
          <w:highlight w:val="yellow"/>
        </w:rPr>
        <w:t xml:space="preserve"> Portanto, diferentes princípios contábeis aplicáveis (</w:t>
      </w:r>
      <w:r w:rsidRPr="00F74E3A">
        <w:rPr>
          <w:rFonts w:ascii="Times New Roman" w:hAnsi="Times New Roman"/>
          <w:i/>
          <w:highlight w:val="yellow"/>
        </w:rPr>
        <w:t>General Acceptable Accounting Principles</w:t>
      </w:r>
      <w:r w:rsidRPr="00F74E3A">
        <w:rPr>
          <w:rFonts w:ascii="Times New Roman" w:hAnsi="Times New Roman"/>
          <w:highlight w:val="yellow"/>
        </w:rPr>
        <w:t xml:space="preserve"> - GAAP) podem ser utilizados no preenchimento da DPP, conforme cada jurisdição reportada em que o grupo opera, desde que isso seja feito consistentemente de um ano para outro. Além disso, devem ser informados no campo de Observações Adicionais (Registro W300) os padrões contábeis sob os quais os dados da DPP estão sendo reportados.</w:t>
      </w:r>
    </w:p>
    <w:p w:rsidR="00F46979" w:rsidRPr="00F74E3A" w:rsidRDefault="00F46979" w:rsidP="00F46979">
      <w:pPr>
        <w:pStyle w:val="LO-Normal"/>
        <w:spacing w:after="0"/>
        <w:jc w:val="both"/>
        <w:rPr>
          <w:rFonts w:ascii="Times New Roman" w:hAnsi="Times New Roman"/>
          <w:highlight w:val="yellow"/>
        </w:rPr>
      </w:pPr>
    </w:p>
    <w:p w:rsidR="00F46979" w:rsidRPr="00F74E3A" w:rsidRDefault="00F46979" w:rsidP="00F46979">
      <w:pPr>
        <w:pStyle w:val="LO-Normal"/>
        <w:spacing w:after="0"/>
        <w:ind w:firstLine="360"/>
        <w:jc w:val="both"/>
        <w:rPr>
          <w:rStyle w:val="Refdecomentrio"/>
          <w:szCs w:val="20"/>
          <w:highlight w:val="yellow"/>
        </w:rPr>
      </w:pPr>
      <w:r w:rsidRPr="00F74E3A">
        <w:rPr>
          <w:rFonts w:ascii="Times New Roman" w:hAnsi="Times New Roman"/>
          <w:highlight w:val="yellow"/>
        </w:rPr>
        <w:t>Se as demonstrações financeiras obrigatórias separadas das entidades integrantes forem utilizadas como base para o preenchimento da DPP, todos os montantes devem ser convertidos para a moeda funcional do controlador final do grupo multinacional pela taxa de câmbio do último dia do ano fiscal de declaração, a qual deve ser indicada no campo de Informação Adicionais da DPP (Registro W300). Não são necessários ajustes em razão de diferenças nos princípios contábeis aplicados entre as jurisdições</w:t>
      </w:r>
      <w:r w:rsidRPr="00F74E3A">
        <w:rPr>
          <w:rStyle w:val="Refdecomentrio"/>
          <w:vanish/>
          <w:szCs w:val="20"/>
          <w:highlight w:val="yellow"/>
        </w:rPr>
        <w:t>sss</w:t>
      </w:r>
      <w:r w:rsidRPr="00F74E3A">
        <w:rPr>
          <w:rStyle w:val="Refdecomentrio"/>
          <w:szCs w:val="20"/>
          <w:highlight w:val="yellow"/>
        </w:rPr>
        <w:t>.</w:t>
      </w:r>
    </w:p>
    <w:p w:rsidR="00F46979" w:rsidRPr="00F74E3A" w:rsidRDefault="00F46979" w:rsidP="00F46979">
      <w:pPr>
        <w:pStyle w:val="LO-Normal"/>
        <w:spacing w:after="0"/>
        <w:jc w:val="both"/>
        <w:rPr>
          <w:rFonts w:ascii="Times New Roman" w:hAnsi="Times New Roman"/>
          <w:highlight w:val="yellow"/>
          <w:shd w:val="clear" w:color="auto" w:fill="FFFF00"/>
        </w:rPr>
      </w:pPr>
    </w:p>
    <w:p w:rsidR="00F46979" w:rsidRPr="00F74E3A" w:rsidRDefault="00F46979" w:rsidP="00F46979">
      <w:pPr>
        <w:pStyle w:val="LO-Normal"/>
        <w:spacing w:after="0"/>
        <w:ind w:left="360"/>
        <w:jc w:val="both"/>
        <w:rPr>
          <w:rFonts w:ascii="Times New Roman" w:hAnsi="Times New Roman"/>
          <w:highlight w:val="yellow"/>
        </w:rPr>
      </w:pPr>
      <w:r w:rsidRPr="00F74E3A">
        <w:rPr>
          <w:rFonts w:ascii="Times New Roman" w:hAnsi="Times New Roman"/>
          <w:highlight w:val="yellow"/>
        </w:rPr>
        <w:t>A entidade declarante deve fornecer uma breve descrição das fontes de dado utilizadas para a entrega da DPP no campo de Observações Adicionais (Registro W300) da Declaração. Em caso de mudança na fonte de dados utilizada de um ano para outro, a entidade declarante deve justificar a decisão e suas consequências também no campo de Observações Adicionais.</w:t>
      </w:r>
    </w:p>
    <w:p w:rsidR="00F46979" w:rsidRPr="00F74E3A" w:rsidRDefault="00F46979" w:rsidP="00F46979">
      <w:pPr>
        <w:pStyle w:val="LO-Normal"/>
        <w:spacing w:after="0"/>
        <w:jc w:val="both"/>
        <w:rPr>
          <w:rFonts w:ascii="Times New Roman" w:hAnsi="Times New Roman"/>
          <w:b/>
          <w:highlight w:val="yellow"/>
        </w:rPr>
      </w:pPr>
    </w:p>
    <w:p w:rsidR="00F46979" w:rsidRPr="00F74E3A" w:rsidRDefault="00F46979" w:rsidP="00F46979">
      <w:pPr>
        <w:rPr>
          <w:rFonts w:cs="Times New Roman"/>
          <w:b/>
          <w:bCs/>
          <w:highlight w:val="yellow"/>
        </w:rPr>
      </w:pPr>
      <w:r w:rsidRPr="00F74E3A">
        <w:rPr>
          <w:rFonts w:cs="Times New Roman"/>
          <w:b/>
          <w:bCs/>
          <w:highlight w:val="yellow"/>
        </w:rPr>
        <w:lastRenderedPageBreak/>
        <w:t>1.5 Eventos especiais</w:t>
      </w:r>
    </w:p>
    <w:p w:rsidR="00F46979" w:rsidRPr="00F74E3A" w:rsidRDefault="00F46979" w:rsidP="00F46979">
      <w:pPr>
        <w:rPr>
          <w:rFonts w:cs="Times New Roman"/>
          <w:b/>
          <w:bCs/>
          <w:highlight w:val="yellow"/>
        </w:rPr>
      </w:pPr>
    </w:p>
    <w:p w:rsidR="002C2C0A" w:rsidRDefault="00F46979" w:rsidP="00D41F9D">
      <w:pPr>
        <w:rPr>
          <w:rFonts w:cs="Times New Roman"/>
        </w:rPr>
      </w:pPr>
      <w:r w:rsidRPr="00F74E3A">
        <w:rPr>
          <w:rFonts w:cs="Times New Roman"/>
          <w:b/>
          <w:bCs/>
          <w:highlight w:val="yellow"/>
        </w:rPr>
        <w:tab/>
      </w:r>
      <w:r w:rsidRPr="00F74E3A">
        <w:rPr>
          <w:rFonts w:cs="Times New Roman"/>
          <w:highlight w:val="yellow"/>
        </w:rPr>
        <w:t>A Declaração País-a-País somente deve ser apresentada na ECF regular. Nenhuma informação pertinente a essa obrigação deve ser prestada em uma ECF relativa a eventos especiais.</w:t>
      </w:r>
      <w:bookmarkStart w:id="381" w:name="_Toc479713785"/>
    </w:p>
    <w:p w:rsidR="00D41F9D" w:rsidRPr="00D41F9D" w:rsidRDefault="00D41F9D" w:rsidP="00D41F9D">
      <w:pPr>
        <w:rPr>
          <w:rFonts w:cs="Times New Roman"/>
        </w:rPr>
      </w:pPr>
    </w:p>
    <w:p w:rsidR="00A0125B" w:rsidRPr="0070069F" w:rsidRDefault="00A0125B" w:rsidP="00867F54">
      <w:pPr>
        <w:pStyle w:val="Ttulo4"/>
      </w:pPr>
      <w:r w:rsidRPr="0070069F">
        <w:t>Registro W001: Abertura do Bloco W</w:t>
      </w:r>
      <w:bookmarkEnd w:id="381"/>
    </w:p>
    <w:p w:rsidR="00A0125B" w:rsidRPr="0070069F" w:rsidRDefault="00A0125B" w:rsidP="00A0125B">
      <w:pPr>
        <w:pStyle w:val="PSDS-MarcadoresNivel2"/>
        <w:numPr>
          <w:ilvl w:val="0"/>
          <w:numId w:val="0"/>
        </w:numPr>
        <w:rPr>
          <w:rFonts w:ascii="Times New Roman" w:hAnsi="Times New Roman"/>
        </w:rPr>
      </w:pPr>
    </w:p>
    <w:p w:rsidR="00A0125B" w:rsidRPr="0070069F" w:rsidRDefault="00B35FA3" w:rsidP="00A0125B">
      <w:pPr>
        <w:pStyle w:val="PSDS-MarcadoresNivel2"/>
        <w:numPr>
          <w:ilvl w:val="0"/>
          <w:numId w:val="0"/>
        </w:numPr>
        <w:jc w:val="center"/>
        <w:rPr>
          <w:rFonts w:ascii="Times New Roman" w:hAnsi="Times New Roman"/>
        </w:rPr>
      </w:pPr>
      <w:r>
        <w:rPr>
          <w:rFonts w:ascii="Times New Roman" w:hAnsi="Times New Roman"/>
        </w:rPr>
        <w:object w:dxaOrig="13305" w:dyaOrig="3090">
          <v:shape id="_x0000_i1857" type="#_x0000_t75" style="width:665.25pt;height:151.5pt" o:ole="">
            <v:imagedata r:id="rId604" o:title=""/>
          </v:shape>
          <o:OLEObject Type="Link" ProgID="Excel.Sheet.12" ShapeID="_x0000_i1857" DrawAspect="Content" r:id="rId605" UpdateMode="Always">
            <o:LinkType>EnhancedMetaFile</o:LinkType>
            <o:LockedField>false</o:LockedField>
            <o:FieldCodes>\* MERGEFORMAT</o:FieldCodes>
          </o:OLEObject>
        </w:object>
      </w:r>
    </w:p>
    <w:p w:rsidR="00A0125B" w:rsidRPr="0070069F" w:rsidRDefault="00A0125B" w:rsidP="00A0125B">
      <w:pPr>
        <w:pStyle w:val="PSDS-MarcadoresNivel2"/>
        <w:numPr>
          <w:ilvl w:val="0"/>
          <w:numId w:val="0"/>
        </w:numPr>
        <w:rPr>
          <w:rFonts w:ascii="Times New Roman" w:hAnsi="Times New Roman"/>
        </w:rPr>
      </w:pPr>
    </w:p>
    <w:p w:rsidR="00A0125B" w:rsidRPr="0070069F" w:rsidRDefault="00A0125B" w:rsidP="00A0125B">
      <w:pPr>
        <w:pStyle w:val="PSDS-MarcadoresNivel2"/>
        <w:numPr>
          <w:ilvl w:val="0"/>
          <w:numId w:val="0"/>
        </w:numPr>
        <w:rPr>
          <w:rFonts w:ascii="Times New Roman" w:hAnsi="Times New Roman"/>
        </w:rPr>
      </w:pPr>
      <w:r w:rsidRPr="0070069F">
        <w:rPr>
          <w:rFonts w:ascii="Times New Roman" w:hAnsi="Times New Roman"/>
        </w:rPr>
        <w:t>I – Regras de Validação do Registro:</w:t>
      </w:r>
    </w:p>
    <w:p w:rsidR="00A0125B" w:rsidRPr="0070069F" w:rsidRDefault="00A0125B" w:rsidP="00A0125B">
      <w:pPr>
        <w:pStyle w:val="PSDS-MarcadoresNivel2"/>
        <w:numPr>
          <w:ilvl w:val="0"/>
          <w:numId w:val="0"/>
        </w:numPr>
        <w:rPr>
          <w:rFonts w:ascii="Times New Roman" w:hAnsi="Times New Roman"/>
        </w:rPr>
      </w:pPr>
    </w:p>
    <w:p w:rsidR="00A0125B" w:rsidRPr="0070069F" w:rsidRDefault="007D0E74" w:rsidP="00A0125B">
      <w:pPr>
        <w:pStyle w:val="Corpodetexto"/>
        <w:ind w:left="708" w:firstLine="12"/>
        <w:rPr>
          <w:rFonts w:ascii="Times New Roman" w:hAnsi="Times New Roman"/>
          <w:szCs w:val="20"/>
        </w:rPr>
      </w:pPr>
      <w:hyperlink r:id="rId606" w:anchor="REGRA_OCORRENCIA_UNITARIA_ARQ" w:history="1">
        <w:r w:rsidR="00A0125B" w:rsidRPr="0070069F">
          <w:rPr>
            <w:rFonts w:ascii="Times New Roman" w:hAnsi="Times New Roman"/>
            <w:b/>
            <w:szCs w:val="20"/>
          </w:rPr>
          <w:t>REGRA_OCORRENCIA_UNITARIA_ARQ</w:t>
        </w:r>
      </w:hyperlink>
      <w:r w:rsidR="00A0125B" w:rsidRPr="0070069F">
        <w:rPr>
          <w:rFonts w:ascii="Times New Roman" w:hAnsi="Times New Roman"/>
          <w:color w:val="auto"/>
          <w:szCs w:val="20"/>
        </w:rPr>
        <w:t xml:space="preserve">: </w:t>
      </w:r>
      <w:r w:rsidR="00A0125B" w:rsidRPr="0070069F">
        <w:rPr>
          <w:rFonts w:ascii="Times New Roman" w:hAnsi="Times New Roman"/>
          <w:szCs w:val="20"/>
        </w:rPr>
        <w:t>Verifica se registro ocorreu apenas uma vez por arquivo, considerando a chave “W001” (REG). Se a regra não for cumprida, a ECF gera um erro.</w:t>
      </w:r>
    </w:p>
    <w:p w:rsidR="00A0125B" w:rsidRPr="0070069F" w:rsidRDefault="00A0125B" w:rsidP="00A0125B">
      <w:pPr>
        <w:pStyle w:val="Corpodetexto"/>
        <w:ind w:left="708" w:firstLine="12"/>
        <w:rPr>
          <w:rFonts w:ascii="Times New Roman" w:hAnsi="Times New Roman"/>
          <w:szCs w:val="20"/>
        </w:rPr>
      </w:pPr>
    </w:p>
    <w:p w:rsidR="00A0125B" w:rsidRPr="0070069F" w:rsidRDefault="00A0125B" w:rsidP="00A0125B">
      <w:pPr>
        <w:pStyle w:val="Corpodetexto"/>
        <w:rPr>
          <w:rFonts w:ascii="Times New Roman" w:hAnsi="Times New Roman"/>
          <w:b/>
          <w:color w:val="002060"/>
          <w:szCs w:val="20"/>
        </w:rPr>
      </w:pPr>
      <w:r w:rsidRPr="0070069F">
        <w:rPr>
          <w:rFonts w:ascii="Times New Roman" w:hAnsi="Times New Roman"/>
          <w:b/>
          <w:color w:val="002060"/>
          <w:szCs w:val="20"/>
        </w:rPr>
        <w:t xml:space="preserve">Exemplo de Preenchimento: </w:t>
      </w:r>
    </w:p>
    <w:p w:rsidR="00A0125B" w:rsidRPr="0070069F" w:rsidRDefault="00A0125B" w:rsidP="00A0125B">
      <w:pPr>
        <w:pStyle w:val="Corpodetexto"/>
        <w:rPr>
          <w:rFonts w:ascii="Times New Roman" w:hAnsi="Times New Roman"/>
          <w:b/>
          <w:color w:val="002060"/>
          <w:szCs w:val="20"/>
        </w:rPr>
      </w:pPr>
    </w:p>
    <w:p w:rsidR="00A0125B" w:rsidRPr="0070069F" w:rsidRDefault="00A0125B" w:rsidP="00A0125B">
      <w:pPr>
        <w:pStyle w:val="Corpodetexto"/>
        <w:rPr>
          <w:rFonts w:ascii="Times New Roman" w:hAnsi="Times New Roman"/>
          <w:b/>
          <w:color w:val="002060"/>
          <w:szCs w:val="20"/>
        </w:rPr>
      </w:pPr>
      <w:r w:rsidRPr="0070069F">
        <w:rPr>
          <w:rFonts w:ascii="Times New Roman" w:hAnsi="Times New Roman"/>
          <w:b/>
          <w:color w:val="002060"/>
          <w:szCs w:val="20"/>
        </w:rPr>
        <w:t>|W001|0|</w:t>
      </w:r>
    </w:p>
    <w:p w:rsidR="00A0125B" w:rsidRPr="0070069F" w:rsidRDefault="00A0125B" w:rsidP="00A0125B">
      <w:pPr>
        <w:pStyle w:val="Corpodetexto"/>
        <w:ind w:firstLine="708"/>
        <w:rPr>
          <w:rFonts w:ascii="Times New Roman" w:hAnsi="Times New Roman"/>
          <w:color w:val="002060"/>
          <w:szCs w:val="20"/>
        </w:rPr>
      </w:pPr>
      <w:r w:rsidRPr="0070069F">
        <w:rPr>
          <w:rFonts w:ascii="Times New Roman" w:hAnsi="Times New Roman"/>
          <w:color w:val="002060"/>
          <w:szCs w:val="20"/>
        </w:rPr>
        <w:t>|W001|: Identificação do tipo do registro.</w:t>
      </w:r>
    </w:p>
    <w:p w:rsidR="00A0125B" w:rsidRPr="0070069F" w:rsidRDefault="00A0125B" w:rsidP="00A0125B">
      <w:pPr>
        <w:pStyle w:val="Corpodetexto"/>
        <w:ind w:firstLine="708"/>
        <w:rPr>
          <w:rFonts w:ascii="Times New Roman" w:hAnsi="Times New Roman"/>
          <w:color w:val="002060"/>
          <w:szCs w:val="20"/>
        </w:rPr>
      </w:pPr>
      <w:r w:rsidRPr="0070069F">
        <w:rPr>
          <w:rFonts w:ascii="Times New Roman" w:hAnsi="Times New Roman"/>
          <w:color w:val="002060"/>
          <w:szCs w:val="20"/>
        </w:rPr>
        <w:t>|0|: Indica que o bloco possui dados informados.</w:t>
      </w:r>
    </w:p>
    <w:p w:rsidR="00A0125B" w:rsidRPr="0070069F" w:rsidRDefault="00A0125B" w:rsidP="00A0125B"/>
    <w:p w:rsidR="000F6DBD" w:rsidRPr="0070069F" w:rsidRDefault="000F6DBD">
      <w:pPr>
        <w:spacing w:after="200" w:line="276" w:lineRule="auto"/>
        <w:rPr>
          <w:b/>
          <w:bCs/>
          <w:color w:val="0000FF"/>
          <w:szCs w:val="20"/>
        </w:rPr>
      </w:pPr>
      <w:r w:rsidRPr="0070069F">
        <w:rPr>
          <w:color w:val="0000FF"/>
          <w:szCs w:val="20"/>
        </w:rPr>
        <w:br w:type="page"/>
      </w:r>
    </w:p>
    <w:p w:rsidR="000F6DBD" w:rsidRPr="0070069F" w:rsidRDefault="000F6DBD" w:rsidP="00867F54">
      <w:pPr>
        <w:pStyle w:val="Ttulo4"/>
      </w:pPr>
      <w:bookmarkStart w:id="382" w:name="_Toc479713786"/>
      <w:r w:rsidRPr="0070069F">
        <w:lastRenderedPageBreak/>
        <w:t xml:space="preserve">Registro W100: </w:t>
      </w:r>
      <w:r w:rsidR="00BF6933" w:rsidRPr="0070069F">
        <w:t>Informações sobre</w:t>
      </w:r>
      <w:r w:rsidR="00F06AEB" w:rsidRPr="0070069F">
        <w:t xml:space="preserve"> o Grupo Multinacional e a Entidade Declarante – Declaração País-a-País</w:t>
      </w:r>
      <w:bookmarkEnd w:id="382"/>
    </w:p>
    <w:p w:rsidR="00A0125B" w:rsidRPr="0070069F" w:rsidRDefault="00A0125B" w:rsidP="00A0125B"/>
    <w:p w:rsidR="00F46979" w:rsidRDefault="00F21499" w:rsidP="00F46979">
      <w:pPr>
        <w:rPr>
          <w:rFonts w:cs="Times New Roman"/>
        </w:rPr>
      </w:pPr>
      <w:r w:rsidRPr="0070069F">
        <w:tab/>
      </w:r>
      <w:r w:rsidR="00F46979">
        <w:rPr>
          <w:rFonts w:cs="Times New Roman"/>
        </w:rPr>
        <w:t>Este registro apresenta as informações sobre o grupo multinacional e a entidade declarante da Declaração País-a-País.</w:t>
      </w:r>
    </w:p>
    <w:p w:rsidR="00BF6933" w:rsidRPr="00F46979" w:rsidRDefault="00F46979" w:rsidP="00A0125B">
      <w:pPr>
        <w:rPr>
          <w:rFonts w:cs="Times New Roman"/>
        </w:rPr>
      </w:pPr>
      <w:r>
        <w:rPr>
          <w:rFonts w:cs="Times New Roman"/>
        </w:rPr>
        <w:tab/>
      </w:r>
      <w:r>
        <w:rPr>
          <w:rFonts w:cs="Times New Roman"/>
          <w:highlight w:val="yellow"/>
        </w:rPr>
        <w:t>Toda entidade residente no Brasil que seja integrante de um grupo multinacional deve preencher o registro.</w:t>
      </w:r>
    </w:p>
    <w:p w:rsidR="00BF6933" w:rsidRPr="0070069F" w:rsidRDefault="00B35FA3" w:rsidP="00BF6933">
      <w:pPr>
        <w:jc w:val="center"/>
      </w:pPr>
      <w:r>
        <w:object w:dxaOrig="15000" w:dyaOrig="8490">
          <v:shape id="_x0000_i1859" type="#_x0000_t75" style="width:750pt;height:425.25pt" o:ole="">
            <v:imagedata r:id="rId607" o:title=""/>
          </v:shape>
          <o:OLEObject Type="Link" ProgID="Excel.Sheet.12" ShapeID="_x0000_i1859" DrawAspect="Content" r:id="rId608" UpdateMode="Always">
            <o:LinkType>EnhancedMetaFile</o:LinkType>
            <o:LockedField>false</o:LockedField>
          </o:OLEObject>
        </w:object>
      </w:r>
    </w:p>
    <w:p w:rsidR="00BF6933" w:rsidRPr="0070069F" w:rsidRDefault="00B35FA3" w:rsidP="00BF6933">
      <w:pPr>
        <w:jc w:val="center"/>
      </w:pPr>
      <w:r>
        <w:object w:dxaOrig="15000" w:dyaOrig="8730">
          <v:shape id="_x0000_i1861" type="#_x0000_t75" style="width:750pt;height:437.25pt" o:ole="">
            <v:imagedata r:id="rId609" o:title=""/>
          </v:shape>
          <o:OLEObject Type="Link" ProgID="Excel.Sheet.12" ShapeID="_x0000_i1861" DrawAspect="Content" r:id="rId610" UpdateMode="Always">
            <o:LinkType>EnhancedMetaFile</o:LinkType>
            <o:LockedField>false</o:LockedField>
          </o:OLEObject>
        </w:object>
      </w:r>
    </w:p>
    <w:p w:rsidR="00BF6933" w:rsidRPr="0070069F" w:rsidRDefault="00BF6933" w:rsidP="00BF6933">
      <w:pPr>
        <w:jc w:val="center"/>
      </w:pPr>
    </w:p>
    <w:p w:rsidR="00BF6933" w:rsidRPr="0070069F" w:rsidRDefault="00BF6933" w:rsidP="00BF6933">
      <w:pPr>
        <w:jc w:val="center"/>
      </w:pPr>
    </w:p>
    <w:p w:rsidR="00BF6933" w:rsidRPr="0070069F" w:rsidRDefault="00BF6933" w:rsidP="00BF6933">
      <w:pPr>
        <w:jc w:val="center"/>
      </w:pPr>
    </w:p>
    <w:p w:rsidR="00BF6933" w:rsidRPr="0070069F" w:rsidRDefault="00B35FA3" w:rsidP="00BF6933">
      <w:pPr>
        <w:jc w:val="center"/>
      </w:pPr>
      <w:r>
        <w:object w:dxaOrig="15000" w:dyaOrig="7245">
          <v:shape id="_x0000_i1863" type="#_x0000_t75" style="width:750pt;height:362.25pt" o:ole="">
            <v:imagedata r:id="rId611" o:title=""/>
          </v:shape>
          <o:OLEObject Type="Link" ProgID="Excel.Sheet.12" ShapeID="_x0000_i1863" DrawAspect="Content" r:id="rId612" UpdateMode="Always">
            <o:LinkType>EnhancedMetaFile</o:LinkType>
            <o:LockedField>false</o:LockedField>
          </o:OLEObject>
        </w:object>
      </w:r>
    </w:p>
    <w:p w:rsidR="000F6DBD" w:rsidRPr="0070069F" w:rsidRDefault="000F6DBD" w:rsidP="000F6DBD">
      <w:pPr>
        <w:spacing w:after="200" w:line="276" w:lineRule="auto"/>
        <w:jc w:val="center"/>
        <w:rPr>
          <w:szCs w:val="20"/>
        </w:rPr>
      </w:pPr>
    </w:p>
    <w:p w:rsidR="00825E2C" w:rsidRPr="0070069F" w:rsidRDefault="00825E2C" w:rsidP="000F6DBD">
      <w:pPr>
        <w:spacing w:after="200" w:line="276" w:lineRule="auto"/>
        <w:jc w:val="center"/>
        <w:rPr>
          <w:szCs w:val="20"/>
        </w:rPr>
      </w:pPr>
    </w:p>
    <w:p w:rsidR="00825E2C" w:rsidRPr="0070069F" w:rsidRDefault="00825E2C" w:rsidP="000F6DBD">
      <w:pPr>
        <w:spacing w:after="200" w:line="276" w:lineRule="auto"/>
        <w:jc w:val="center"/>
        <w:rPr>
          <w:szCs w:val="20"/>
        </w:rPr>
      </w:pPr>
    </w:p>
    <w:p w:rsidR="00825E2C" w:rsidRPr="0070069F" w:rsidRDefault="00825E2C" w:rsidP="000F6DBD">
      <w:pPr>
        <w:spacing w:after="200" w:line="276" w:lineRule="auto"/>
        <w:jc w:val="center"/>
        <w:rPr>
          <w:szCs w:val="20"/>
        </w:rPr>
      </w:pPr>
    </w:p>
    <w:p w:rsidR="00825E2C" w:rsidRPr="0070069F" w:rsidRDefault="00825E2C" w:rsidP="000F6DBD">
      <w:pPr>
        <w:spacing w:after="200" w:line="276" w:lineRule="auto"/>
        <w:jc w:val="center"/>
        <w:rPr>
          <w:szCs w:val="20"/>
        </w:rPr>
      </w:pPr>
    </w:p>
    <w:p w:rsidR="00825E2C" w:rsidRPr="0070069F" w:rsidRDefault="00B35FA3" w:rsidP="000F6DBD">
      <w:pPr>
        <w:spacing w:after="200" w:line="276" w:lineRule="auto"/>
        <w:jc w:val="center"/>
        <w:rPr>
          <w:szCs w:val="20"/>
        </w:rPr>
      </w:pPr>
      <w:r>
        <w:rPr>
          <w:szCs w:val="20"/>
        </w:rPr>
        <w:object w:dxaOrig="15000" w:dyaOrig="6435">
          <v:shape id="_x0000_i1865" type="#_x0000_t75" style="width:750pt;height:321.75pt" o:ole="">
            <v:imagedata r:id="rId613" o:title=""/>
          </v:shape>
          <o:OLEObject Type="Link" ProgID="Excel.Sheet.12" ShapeID="_x0000_i1865" DrawAspect="Content" r:id="rId614" UpdateMode="Always">
            <o:LinkType>EnhancedMetaFile</o:LinkType>
            <o:LockedField>false</o:LockedField>
          </o:OLEObject>
        </w:object>
      </w:r>
    </w:p>
    <w:p w:rsidR="00825E2C" w:rsidRPr="0070069F" w:rsidRDefault="00825E2C" w:rsidP="000F6DBD">
      <w:pPr>
        <w:spacing w:after="200" w:line="276" w:lineRule="auto"/>
        <w:jc w:val="center"/>
        <w:rPr>
          <w:szCs w:val="20"/>
        </w:rPr>
      </w:pPr>
    </w:p>
    <w:p w:rsidR="00825E2C" w:rsidRPr="0070069F" w:rsidRDefault="00825E2C" w:rsidP="000F6DBD">
      <w:pPr>
        <w:spacing w:after="200" w:line="276" w:lineRule="auto"/>
        <w:jc w:val="center"/>
        <w:rPr>
          <w:szCs w:val="20"/>
        </w:rPr>
      </w:pPr>
    </w:p>
    <w:p w:rsidR="00BF6933" w:rsidRPr="0070069F" w:rsidRDefault="00BF6933" w:rsidP="000F6DBD">
      <w:pPr>
        <w:spacing w:after="200" w:line="276" w:lineRule="auto"/>
        <w:jc w:val="center"/>
        <w:rPr>
          <w:szCs w:val="20"/>
        </w:rPr>
      </w:pPr>
    </w:p>
    <w:p w:rsidR="00BF6933" w:rsidRPr="0070069F" w:rsidRDefault="00BF6933" w:rsidP="000F6DBD">
      <w:pPr>
        <w:spacing w:after="200" w:line="276" w:lineRule="auto"/>
        <w:jc w:val="center"/>
        <w:rPr>
          <w:szCs w:val="20"/>
        </w:rPr>
      </w:pPr>
    </w:p>
    <w:p w:rsidR="00BF6933" w:rsidRPr="0070069F" w:rsidRDefault="00BF6933" w:rsidP="000F6DBD">
      <w:pPr>
        <w:spacing w:after="200" w:line="276" w:lineRule="auto"/>
        <w:jc w:val="center"/>
        <w:rPr>
          <w:szCs w:val="20"/>
        </w:rPr>
      </w:pPr>
    </w:p>
    <w:p w:rsidR="00BF6933" w:rsidRPr="0070069F" w:rsidRDefault="00BF6933" w:rsidP="000F6DBD">
      <w:pPr>
        <w:spacing w:after="200" w:line="276" w:lineRule="auto"/>
        <w:jc w:val="center"/>
        <w:rPr>
          <w:szCs w:val="20"/>
        </w:rPr>
      </w:pPr>
    </w:p>
    <w:p w:rsidR="002C2C0A" w:rsidRDefault="002C2C0A" w:rsidP="008A42AA">
      <w:pPr>
        <w:spacing w:after="200" w:line="276" w:lineRule="auto"/>
        <w:rPr>
          <w:b/>
          <w:bCs/>
          <w:szCs w:val="20"/>
        </w:rPr>
      </w:pPr>
    </w:p>
    <w:p w:rsidR="008A42AA" w:rsidRPr="0070069F" w:rsidRDefault="008A42AA" w:rsidP="008A42AA">
      <w:pPr>
        <w:spacing w:after="200" w:line="276" w:lineRule="auto"/>
        <w:rPr>
          <w:b/>
          <w:bCs/>
          <w:szCs w:val="20"/>
        </w:rPr>
      </w:pPr>
      <w:r w:rsidRPr="0070069F">
        <w:rPr>
          <w:b/>
          <w:bCs/>
          <w:szCs w:val="20"/>
        </w:rPr>
        <w:t>Observações:</w:t>
      </w:r>
    </w:p>
    <w:p w:rsidR="008A42AA" w:rsidRPr="0070069F" w:rsidRDefault="008A42AA" w:rsidP="008A42AA">
      <w:pPr>
        <w:pStyle w:val="Subttulo"/>
        <w:jc w:val="both"/>
        <w:rPr>
          <w:bCs w:val="0"/>
          <w:sz w:val="20"/>
          <w:szCs w:val="20"/>
        </w:rPr>
      </w:pPr>
      <w:r w:rsidRPr="0070069F">
        <w:rPr>
          <w:bCs w:val="0"/>
          <w:sz w:val="20"/>
          <w:szCs w:val="20"/>
        </w:rPr>
        <w:t xml:space="preserve">1 – Campo 7: IND_ENTREGA: </w:t>
      </w:r>
    </w:p>
    <w:p w:rsidR="008A42AA" w:rsidRPr="0070069F" w:rsidRDefault="008A42AA" w:rsidP="008A42AA">
      <w:pPr>
        <w:pStyle w:val="Subttulo"/>
        <w:jc w:val="both"/>
        <w:rPr>
          <w:b w:val="0"/>
          <w:bCs w:val="0"/>
          <w:sz w:val="20"/>
          <w:szCs w:val="20"/>
        </w:rPr>
      </w:pPr>
    </w:p>
    <w:p w:rsidR="00F46979" w:rsidRDefault="00F46979" w:rsidP="00F46979">
      <w:pPr>
        <w:pStyle w:val="Subttulo"/>
        <w:ind w:firstLine="708"/>
        <w:jc w:val="both"/>
        <w:rPr>
          <w:b w:val="0"/>
          <w:bCs w:val="0"/>
          <w:sz w:val="20"/>
          <w:szCs w:val="20"/>
        </w:rPr>
      </w:pPr>
      <w:r>
        <w:rPr>
          <w:b w:val="0"/>
          <w:bCs w:val="0"/>
          <w:sz w:val="20"/>
          <w:szCs w:val="20"/>
        </w:rPr>
        <w:t xml:space="preserve">Nesse campo, o contribuinte deve informar quem é a entidade declarante da Declaração País-a-País, em nome de todo o grupo multinacional, conforme as opções dispostas. </w:t>
      </w:r>
    </w:p>
    <w:p w:rsidR="00F46979" w:rsidRDefault="00F46979" w:rsidP="00F46979">
      <w:pPr>
        <w:pStyle w:val="Subttulo"/>
        <w:ind w:left="720"/>
        <w:jc w:val="both"/>
        <w:rPr>
          <w:b w:val="0"/>
          <w:bCs w:val="0"/>
          <w:sz w:val="20"/>
          <w:szCs w:val="20"/>
        </w:rPr>
      </w:pPr>
    </w:p>
    <w:p w:rsidR="00F46979" w:rsidRDefault="00F46979" w:rsidP="00F46979">
      <w:pPr>
        <w:pStyle w:val="Subttulo"/>
        <w:ind w:firstLine="708"/>
        <w:jc w:val="both"/>
        <w:rPr>
          <w:b w:val="0"/>
          <w:bCs w:val="0"/>
          <w:sz w:val="20"/>
          <w:szCs w:val="20"/>
        </w:rPr>
      </w:pPr>
      <w:r>
        <w:rPr>
          <w:b w:val="0"/>
          <w:bCs w:val="0"/>
          <w:sz w:val="20"/>
          <w:szCs w:val="20"/>
        </w:rPr>
        <w:t xml:space="preserve">O contribuinte deverá selecionar a opção 1 caso o grupo multinacional o qual integra esteja enquadrado na hipótese de dispensa de entrega da Declaração País-a-País descrita no item 1.1.1 do presente Manual e conforme artigo 4º da </w:t>
      </w:r>
      <w:r w:rsidR="002C2C0A">
        <w:rPr>
          <w:b w:val="0"/>
          <w:bCs w:val="0"/>
          <w:sz w:val="20"/>
          <w:szCs w:val="20"/>
        </w:rPr>
        <w:t>IN</w:t>
      </w:r>
      <w:r>
        <w:rPr>
          <w:b w:val="0"/>
          <w:bCs w:val="0"/>
          <w:sz w:val="20"/>
          <w:szCs w:val="20"/>
        </w:rPr>
        <w:t xml:space="preserve"> RFB nº 1.681/2016, </w:t>
      </w:r>
      <w:r w:rsidRPr="00F74E3A">
        <w:rPr>
          <w:b w:val="0"/>
          <w:bCs w:val="0"/>
          <w:sz w:val="20"/>
          <w:szCs w:val="20"/>
          <w:highlight w:val="yellow"/>
        </w:rPr>
        <w:t>bem como em caso de enquadramento em uma das situações descritas no tópico 1.1.3 do Manual</w:t>
      </w:r>
      <w:r>
        <w:rPr>
          <w:b w:val="0"/>
          <w:bCs w:val="0"/>
          <w:sz w:val="20"/>
          <w:szCs w:val="20"/>
        </w:rPr>
        <w:t xml:space="preserve"> </w:t>
      </w:r>
      <w:r w:rsidRPr="00F74E3A">
        <w:rPr>
          <w:b w:val="0"/>
          <w:bCs w:val="0"/>
          <w:sz w:val="20"/>
          <w:szCs w:val="20"/>
          <w:highlight w:val="yellow"/>
        </w:rPr>
        <w:t>com relação ao período fiscal do controlador final do grupo.</w:t>
      </w:r>
    </w:p>
    <w:p w:rsidR="00F46979" w:rsidRDefault="00F46979" w:rsidP="00F46979">
      <w:pPr>
        <w:pStyle w:val="Subttulo"/>
        <w:ind w:left="720"/>
        <w:jc w:val="both"/>
        <w:rPr>
          <w:b w:val="0"/>
          <w:bCs w:val="0"/>
          <w:sz w:val="20"/>
          <w:szCs w:val="20"/>
        </w:rPr>
      </w:pPr>
    </w:p>
    <w:p w:rsidR="00F46979" w:rsidRDefault="00F46979" w:rsidP="00F46979">
      <w:pPr>
        <w:pStyle w:val="Subttulo"/>
        <w:ind w:firstLine="708"/>
        <w:jc w:val="both"/>
        <w:rPr>
          <w:b w:val="0"/>
          <w:bCs w:val="0"/>
          <w:sz w:val="20"/>
          <w:szCs w:val="20"/>
        </w:rPr>
      </w:pPr>
      <w:r>
        <w:rPr>
          <w:b w:val="0"/>
          <w:bCs w:val="0"/>
          <w:sz w:val="20"/>
          <w:szCs w:val="20"/>
        </w:rPr>
        <w:t xml:space="preserve">A opção 2 deverá ser selecionada caso o responsável pela entrega da DPP seja o controlador final do grupo multinacional, residente no Brasil ou no exterior - situação em que o controlador cumprirá a obrigação junto à administração tributária de sua respectiva jurisdição de residência e em que a Declaração será compartilhada com a Receita Federal do Brasil por meio de acordo específico de troca automática de informação em vigor. </w:t>
      </w:r>
    </w:p>
    <w:p w:rsidR="00F46979" w:rsidRDefault="00F46979" w:rsidP="00F46979">
      <w:pPr>
        <w:pStyle w:val="Subttulo"/>
        <w:ind w:left="720"/>
        <w:jc w:val="both"/>
        <w:rPr>
          <w:b w:val="0"/>
          <w:bCs w:val="0"/>
          <w:sz w:val="20"/>
          <w:szCs w:val="20"/>
        </w:rPr>
      </w:pPr>
    </w:p>
    <w:p w:rsidR="00F46979" w:rsidRDefault="00F46979" w:rsidP="00F46979">
      <w:pPr>
        <w:pStyle w:val="04ParteNormativa"/>
        <w:ind w:firstLine="708"/>
      </w:pPr>
      <w:r>
        <w:t xml:space="preserve">Em conformidade com o que dispõe a </w:t>
      </w:r>
      <w:r w:rsidR="002C2C0A">
        <w:t>IN</w:t>
      </w:r>
      <w:r>
        <w:t xml:space="preserve"> RFB nº 1.681/2016, em seu artigo 3º, </w:t>
      </w:r>
      <w:r>
        <w:rPr>
          <w:shd w:val="clear" w:color="auto" w:fill="FFFFFF"/>
        </w:rPr>
        <w:t>§ 1</w:t>
      </w:r>
      <w:r>
        <w:rPr>
          <w:strike/>
        </w:rPr>
        <w:t>º</w:t>
      </w:r>
      <w:r>
        <w:rPr>
          <w:shd w:val="clear" w:color="auto" w:fill="FFFFFF"/>
        </w:rPr>
        <w:t xml:space="preserve"> , é</w:t>
      </w:r>
      <w:r>
        <w:t xml:space="preserve"> importante destacar que, para que o contribuinte possa apontar o controlador final estrangeiro como entidade responsável pelo cumprimento da obrigação de entrega da DPP, é necessário que a sua jurisdição de residência para fins tributários exija, em sua legislação doméstica</w:t>
      </w:r>
      <w:r>
        <w:rPr>
          <w:b/>
          <w:bCs/>
        </w:rPr>
        <w:t>*</w:t>
      </w:r>
      <w:r>
        <w:t>, a entrega da Declaração País-a-País; tenha firmado acordo de autoridades competentes com o Brasil que preveja o compartilhamento automático da Declaração; e não tenha sido notificada pelo Brasil de enquadramento em falha sistêmica, nem tenha notificado o País de enquadramento nessa situação. Caso algum desses requisitos não seja satisfeito, o grupo multinacional deve definir uma entidade substituta para o cumprimento da obrigação em nome de todo o grupo, a qual deve ser identificada pelo contribuinte (podendo ser ele mesmo a entidade substituta), ou o próprio contribuinte será obrigado à entrega da Declaração País-a-País, na condição de “Preenchimento Local”.</w:t>
      </w:r>
    </w:p>
    <w:p w:rsidR="00F46979" w:rsidRDefault="00F46979" w:rsidP="00F46979">
      <w:pPr>
        <w:pStyle w:val="Subttulo"/>
        <w:ind w:left="360"/>
        <w:jc w:val="both"/>
        <w:rPr>
          <w:b w:val="0"/>
          <w:bCs w:val="0"/>
          <w:sz w:val="20"/>
          <w:szCs w:val="20"/>
        </w:rPr>
      </w:pPr>
    </w:p>
    <w:p w:rsidR="00F46979" w:rsidRDefault="00F46979" w:rsidP="00F46979">
      <w:pPr>
        <w:pStyle w:val="Subttulo"/>
        <w:ind w:firstLine="708"/>
        <w:jc w:val="both"/>
        <w:rPr>
          <w:b w:val="0"/>
          <w:bCs w:val="0"/>
          <w:sz w:val="20"/>
          <w:szCs w:val="20"/>
        </w:rPr>
      </w:pPr>
      <w:r>
        <w:rPr>
          <w:b w:val="0"/>
          <w:bCs w:val="0"/>
          <w:sz w:val="20"/>
          <w:szCs w:val="20"/>
        </w:rPr>
        <w:t>A opção 3 deverá ser selecionada caso o próprio contribuinte seja a entidade responsável pela entrega da Declaração País-a-País junto à Receita Federal do Brasil, seja na condição de entidade substituta, seja na condição de Preenchimento Local (a identificação do papel desempenhado pelo contribuinte quando este for o responsável pela entrega da DPP deve ser efetuada no campo seguinte).</w:t>
      </w:r>
    </w:p>
    <w:p w:rsidR="00F46979" w:rsidRDefault="00F46979" w:rsidP="00F46979">
      <w:pPr>
        <w:pStyle w:val="Subttulo"/>
        <w:ind w:left="720"/>
        <w:jc w:val="both"/>
        <w:rPr>
          <w:b w:val="0"/>
          <w:bCs w:val="0"/>
          <w:sz w:val="20"/>
          <w:szCs w:val="20"/>
        </w:rPr>
      </w:pPr>
    </w:p>
    <w:p w:rsidR="00F46979" w:rsidRDefault="00F46979" w:rsidP="00F46979">
      <w:pPr>
        <w:pStyle w:val="Subttulo"/>
        <w:ind w:left="720"/>
        <w:jc w:val="both"/>
        <w:rPr>
          <w:b w:val="0"/>
          <w:bCs w:val="0"/>
          <w:sz w:val="20"/>
          <w:szCs w:val="20"/>
        </w:rPr>
      </w:pPr>
      <w:r>
        <w:rPr>
          <w:b w:val="0"/>
          <w:bCs w:val="0"/>
          <w:sz w:val="20"/>
          <w:szCs w:val="20"/>
        </w:rPr>
        <w:t xml:space="preserve">É importante esclarecer que sob qualquer uma dessas condições a Declaração País-a-País deverá ser preenchida e entregue integralmente, com informações referentes a todo o grupo multinacional. </w:t>
      </w:r>
    </w:p>
    <w:p w:rsidR="00F46979" w:rsidRDefault="00F46979" w:rsidP="00F46979">
      <w:pPr>
        <w:pStyle w:val="Subttulo"/>
        <w:ind w:left="720"/>
        <w:jc w:val="both"/>
        <w:rPr>
          <w:b w:val="0"/>
          <w:bCs w:val="0"/>
          <w:sz w:val="20"/>
          <w:szCs w:val="20"/>
        </w:rPr>
      </w:pPr>
    </w:p>
    <w:p w:rsidR="00F46979" w:rsidRDefault="00F46979" w:rsidP="00F46979">
      <w:pPr>
        <w:pStyle w:val="Subttulo"/>
        <w:ind w:firstLine="708"/>
        <w:jc w:val="both"/>
        <w:rPr>
          <w:b w:val="0"/>
          <w:bCs w:val="0"/>
          <w:sz w:val="20"/>
          <w:szCs w:val="20"/>
        </w:rPr>
      </w:pPr>
      <w:r>
        <w:rPr>
          <w:b w:val="0"/>
          <w:bCs w:val="0"/>
          <w:sz w:val="20"/>
          <w:szCs w:val="20"/>
        </w:rPr>
        <w:t>A opção 4 deverá ser selecionada quando outra entidade, diferente do controlador final do grupo multinacional, for a responsável pela entrega da Declaração País-a-País (isto é, a entidade declarante), seja na condição de entidade substituta (residente no Brasil ou no exterior) ou na condição de Preenchimento Local. Essa última condição refere-se à hipótese em que a obrigação de entrega da Declaração País-a-País recaia sobre outra entidade integrante do grupo multinacional residente no Brasil que não seja o controlador final nem a entidade substituta, e exista mais de uma entidade integrante do mesmo grupo residente no Brasil (</w:t>
      </w:r>
      <w:r w:rsidR="00E53726">
        <w:rPr>
          <w:b w:val="0"/>
          <w:bCs w:val="0"/>
          <w:sz w:val="20"/>
          <w:szCs w:val="20"/>
        </w:rPr>
        <w:t>IN</w:t>
      </w:r>
      <w:r>
        <w:rPr>
          <w:b w:val="0"/>
          <w:bCs w:val="0"/>
          <w:sz w:val="20"/>
          <w:szCs w:val="20"/>
        </w:rPr>
        <w:t xml:space="preserve"> RFB nº 1.681/2016, art. 3º, </w:t>
      </w:r>
      <w:r>
        <w:rPr>
          <w:b w:val="0"/>
          <w:bCs w:val="0"/>
          <w:sz w:val="20"/>
          <w:szCs w:val="20"/>
          <w:shd w:val="clear" w:color="auto" w:fill="FFFFFF"/>
        </w:rPr>
        <w:t>§§ 1º e 2º)</w:t>
      </w:r>
      <w:r>
        <w:rPr>
          <w:b w:val="0"/>
          <w:bCs w:val="0"/>
          <w:sz w:val="20"/>
          <w:szCs w:val="20"/>
        </w:rPr>
        <w:t xml:space="preserve">. </w:t>
      </w:r>
    </w:p>
    <w:p w:rsidR="00F46979" w:rsidRDefault="00F46979" w:rsidP="00F46979">
      <w:pPr>
        <w:pStyle w:val="Subttulo"/>
        <w:ind w:left="720"/>
        <w:jc w:val="both"/>
        <w:rPr>
          <w:b w:val="0"/>
          <w:bCs w:val="0"/>
          <w:sz w:val="20"/>
          <w:szCs w:val="20"/>
        </w:rPr>
      </w:pPr>
    </w:p>
    <w:p w:rsidR="00F46979" w:rsidRDefault="00F46979" w:rsidP="00F46979">
      <w:pPr>
        <w:pStyle w:val="Rodap"/>
        <w:jc w:val="both"/>
        <w:rPr>
          <w:rFonts w:ascii="Times New Roman" w:hAnsi="Times New Roman" w:cs="Times New Roman"/>
          <w:sz w:val="20"/>
          <w:szCs w:val="20"/>
        </w:rPr>
      </w:pPr>
      <w:r>
        <w:rPr>
          <w:rFonts w:ascii="Times New Roman" w:hAnsi="Times New Roman" w:cs="Times New Roman"/>
          <w:b/>
          <w:bCs/>
          <w:sz w:val="20"/>
          <w:szCs w:val="20"/>
        </w:rPr>
        <w:lastRenderedPageBreak/>
        <w:t xml:space="preserve">            *</w:t>
      </w:r>
      <w:r>
        <w:rPr>
          <w:rFonts w:ascii="Times New Roman" w:hAnsi="Times New Roman" w:cs="Times New Roman"/>
          <w:sz w:val="20"/>
          <w:szCs w:val="20"/>
        </w:rPr>
        <w:t>Determinados países ainda estão em fase de implementação da Declaração País-a-País e não estarão em condições de exigir o documento de seus residentes com relação ao ano fiscal de 2016. Diante de tal situação, foi acordado entre os países participantes do Projeto BEPS a possibilidade de as jurisdições que estiverem com a implementação da Declaração País-a-País em andamento adotarem um mecanismo transitório de entrega voluntária da DPP com relação ao ano fiscal de declaração iniciado em 2016</w:t>
      </w:r>
      <w:r>
        <w:rPr>
          <w:rStyle w:val="Refdenotaderodap"/>
          <w:sz w:val="20"/>
          <w:szCs w:val="20"/>
        </w:rPr>
        <w:footnoteReference w:id="3"/>
      </w:r>
      <w:r>
        <w:rPr>
          <w:rFonts w:ascii="Times New Roman" w:hAnsi="Times New Roman" w:cs="Times New Roman"/>
          <w:sz w:val="20"/>
          <w:szCs w:val="20"/>
        </w:rPr>
        <w:t xml:space="preserve">. </w:t>
      </w:r>
    </w:p>
    <w:p w:rsidR="00F46979" w:rsidRDefault="00F46979" w:rsidP="00F46979">
      <w:pPr>
        <w:pStyle w:val="Rodap"/>
        <w:jc w:val="both"/>
        <w:rPr>
          <w:rFonts w:ascii="Times New Roman" w:hAnsi="Times New Roman" w:cs="Times New Roman"/>
          <w:sz w:val="20"/>
          <w:szCs w:val="20"/>
        </w:rPr>
      </w:pPr>
    </w:p>
    <w:p w:rsidR="00F46979" w:rsidRDefault="00F46979" w:rsidP="00F46979">
      <w:pPr>
        <w:pStyle w:val="Rodap"/>
        <w:jc w:val="both"/>
        <w:rPr>
          <w:rFonts w:ascii="Times New Roman" w:hAnsi="Times New Roman" w:cs="Times New Roman"/>
          <w:sz w:val="20"/>
          <w:szCs w:val="20"/>
        </w:rPr>
      </w:pPr>
      <w:r>
        <w:rPr>
          <w:rFonts w:ascii="Times New Roman" w:hAnsi="Times New Roman" w:cs="Times New Roman"/>
          <w:sz w:val="20"/>
          <w:szCs w:val="20"/>
        </w:rPr>
        <w:t xml:space="preserve">               Esse mecanismo permite que entidades controladoras finais de grupos multinacionais residentes nessas jurisdições entreguem a Declaração País-a-País às suas respectivas administrações tributárias, de maneira voluntária, para que sejam compartilhadas com os demais países onde o grupo opera e evitar que cada um desses países exija a entrega da Declaração localmente, da entidade integrante do grupo residente para fins tributários em sua jurisdição (modalidade intitulada aqui de “entrega local” ou “Preenchimento Local”). </w:t>
      </w:r>
    </w:p>
    <w:p w:rsidR="00F46979" w:rsidRDefault="00F46979" w:rsidP="00F46979">
      <w:pPr>
        <w:pStyle w:val="Rodap"/>
        <w:ind w:left="720"/>
        <w:jc w:val="both"/>
        <w:rPr>
          <w:rFonts w:ascii="Times New Roman" w:hAnsi="Times New Roman" w:cs="Times New Roman"/>
          <w:sz w:val="20"/>
          <w:szCs w:val="20"/>
        </w:rPr>
      </w:pPr>
    </w:p>
    <w:p w:rsidR="00F46979" w:rsidRDefault="00F46979" w:rsidP="00F46979">
      <w:pPr>
        <w:pStyle w:val="Rodap"/>
        <w:jc w:val="both"/>
        <w:rPr>
          <w:rFonts w:ascii="Times New Roman" w:hAnsi="Times New Roman" w:cs="Times New Roman"/>
          <w:sz w:val="20"/>
          <w:szCs w:val="20"/>
        </w:rPr>
      </w:pPr>
      <w:r>
        <w:rPr>
          <w:rFonts w:ascii="Times New Roman" w:hAnsi="Times New Roman" w:cs="Times New Roman"/>
          <w:sz w:val="20"/>
          <w:szCs w:val="20"/>
        </w:rPr>
        <w:tab/>
        <w:t xml:space="preserve">              Portanto, poderão existir casos em que, apesar de na legislação doméstica da jurisdição de residência do controlador final do grupo multinacional ainda não estar vigorando a exigência da DPP com relação ao ano fiscal de 2016, estando a implementação da obrigação em andamento, será considerada válida a indicação de entidade declarante residente em tal jurisdição e aceito o documento devidamente compartilhado para fins do cumprimento da obrigação em nome do grupo.</w:t>
      </w:r>
    </w:p>
    <w:p w:rsidR="00F46979" w:rsidRDefault="00F46979" w:rsidP="00F46979">
      <w:pPr>
        <w:pStyle w:val="Rodap"/>
        <w:jc w:val="both"/>
        <w:rPr>
          <w:rFonts w:ascii="Times New Roman" w:hAnsi="Times New Roman" w:cs="Times New Roman"/>
          <w:sz w:val="20"/>
          <w:szCs w:val="20"/>
        </w:rPr>
      </w:pPr>
    </w:p>
    <w:p w:rsidR="00F46979" w:rsidRDefault="00F46979" w:rsidP="00F46979">
      <w:pPr>
        <w:pStyle w:val="Rodap"/>
        <w:jc w:val="both"/>
        <w:rPr>
          <w:rFonts w:ascii="Times New Roman" w:hAnsi="Times New Roman" w:cs="Times New Roman"/>
          <w:sz w:val="20"/>
          <w:szCs w:val="20"/>
        </w:rPr>
      </w:pPr>
      <w:r>
        <w:rPr>
          <w:rFonts w:ascii="Times New Roman" w:hAnsi="Times New Roman" w:cs="Times New Roman"/>
          <w:sz w:val="20"/>
          <w:szCs w:val="20"/>
        </w:rPr>
        <w:t xml:space="preserve">              No entanto, para que o mecanismo seja aceito pelas demais jurisdições onde o grupo multinacional opera devem ser satisfeitos todos os requisitos estabelecidos no art. 7º, </w:t>
      </w:r>
      <w:r>
        <w:rPr>
          <w:rFonts w:ascii="Times New Roman" w:hAnsi="Times New Roman" w:cs="Times New Roman"/>
          <w:sz w:val="20"/>
          <w:szCs w:val="20"/>
          <w:shd w:val="clear" w:color="auto" w:fill="FFFFFF"/>
        </w:rPr>
        <w:t xml:space="preserve">§2º da IN </w:t>
      </w:r>
      <w:r w:rsidR="00E53726">
        <w:rPr>
          <w:rFonts w:ascii="Times New Roman" w:hAnsi="Times New Roman" w:cs="Times New Roman"/>
          <w:sz w:val="20"/>
          <w:szCs w:val="20"/>
          <w:shd w:val="clear" w:color="auto" w:fill="FFFFFF"/>
        </w:rPr>
        <w:t xml:space="preserve">RFB nº </w:t>
      </w:r>
      <w:r>
        <w:rPr>
          <w:rFonts w:ascii="Times New Roman" w:hAnsi="Times New Roman" w:cs="Times New Roman"/>
          <w:sz w:val="20"/>
          <w:szCs w:val="20"/>
          <w:shd w:val="clear" w:color="auto" w:fill="FFFFFF"/>
        </w:rPr>
        <w:t xml:space="preserve">1.681/2016. </w:t>
      </w:r>
      <w:r>
        <w:rPr>
          <w:rFonts w:ascii="Times New Roman" w:hAnsi="Times New Roman" w:cs="Times New Roman"/>
          <w:sz w:val="20"/>
          <w:szCs w:val="20"/>
        </w:rPr>
        <w:t xml:space="preserve">Nesse caso, e desde que cumpridos todos os requisitos estabelecidos, o contribuinte deve preencher o campo </w:t>
      </w:r>
      <w:r>
        <w:rPr>
          <w:rFonts w:ascii="Times New Roman" w:hAnsi="Times New Roman" w:cs="Times New Roman"/>
          <w:sz w:val="20"/>
          <w:szCs w:val="20"/>
          <w:highlight w:val="yellow"/>
        </w:rPr>
        <w:t>7</w:t>
      </w:r>
      <w:r>
        <w:rPr>
          <w:rFonts w:ascii="Times New Roman" w:hAnsi="Times New Roman" w:cs="Times New Roman"/>
          <w:sz w:val="20"/>
          <w:szCs w:val="20"/>
        </w:rPr>
        <w:t xml:space="preserve"> normalmente, indicando que o responsável pela entrega da Declaração País-a-País é o controlador final do grupo multinacional do qual faz parte.</w:t>
      </w:r>
    </w:p>
    <w:p w:rsidR="008A42AA" w:rsidRPr="0070069F" w:rsidRDefault="008A42AA" w:rsidP="008A42AA">
      <w:pPr>
        <w:pStyle w:val="Rodap"/>
        <w:jc w:val="both"/>
        <w:rPr>
          <w:rFonts w:ascii="Times New Roman" w:hAnsi="Times New Roman"/>
          <w:sz w:val="20"/>
          <w:szCs w:val="20"/>
        </w:rPr>
      </w:pPr>
    </w:p>
    <w:p w:rsidR="00BE47A8" w:rsidRPr="0070069F" w:rsidRDefault="00BE47A8" w:rsidP="00BE47A8">
      <w:pPr>
        <w:pStyle w:val="Rodap"/>
        <w:jc w:val="both"/>
        <w:rPr>
          <w:rFonts w:ascii="Times New Roman" w:hAnsi="Times New Roman" w:cs="Times New Roman"/>
          <w:sz w:val="20"/>
          <w:szCs w:val="20"/>
        </w:rPr>
      </w:pPr>
    </w:p>
    <w:p w:rsidR="008A42AA" w:rsidRPr="0070069F" w:rsidRDefault="008A42AA" w:rsidP="00BE47A8">
      <w:pPr>
        <w:pStyle w:val="Subttulo"/>
        <w:jc w:val="both"/>
        <w:rPr>
          <w:bCs w:val="0"/>
          <w:sz w:val="20"/>
          <w:szCs w:val="20"/>
        </w:rPr>
      </w:pPr>
    </w:p>
    <w:p w:rsidR="00AE1301" w:rsidRPr="0070069F" w:rsidRDefault="00AE1301">
      <w:pPr>
        <w:spacing w:after="200" w:line="276" w:lineRule="auto"/>
        <w:rPr>
          <w:rFonts w:eastAsia="Times New Roman" w:cs="Times New Roman"/>
          <w:b/>
          <w:szCs w:val="20"/>
          <w:lang w:eastAsia="pt-BR"/>
        </w:rPr>
      </w:pPr>
      <w:r w:rsidRPr="0070069F">
        <w:rPr>
          <w:bCs/>
          <w:szCs w:val="20"/>
        </w:rPr>
        <w:br w:type="page"/>
      </w:r>
    </w:p>
    <w:p w:rsidR="008A42AA" w:rsidRPr="0070069F" w:rsidRDefault="008A42AA" w:rsidP="008A42AA">
      <w:pPr>
        <w:pStyle w:val="Subttulo"/>
        <w:jc w:val="both"/>
        <w:rPr>
          <w:bCs w:val="0"/>
          <w:sz w:val="20"/>
          <w:szCs w:val="20"/>
        </w:rPr>
      </w:pPr>
      <w:r w:rsidRPr="0070069F">
        <w:rPr>
          <w:bCs w:val="0"/>
          <w:sz w:val="20"/>
          <w:szCs w:val="20"/>
        </w:rPr>
        <w:lastRenderedPageBreak/>
        <w:t xml:space="preserve">2 – Campo 8: IND_MODALIDADE: </w:t>
      </w:r>
    </w:p>
    <w:p w:rsidR="008A42AA" w:rsidRPr="0070069F" w:rsidRDefault="008A42AA" w:rsidP="008A42AA">
      <w:pPr>
        <w:pStyle w:val="Rodap"/>
        <w:jc w:val="both"/>
        <w:rPr>
          <w:rFonts w:ascii="Times New Roman" w:hAnsi="Times New Roman"/>
          <w:sz w:val="20"/>
          <w:szCs w:val="20"/>
        </w:rPr>
      </w:pPr>
    </w:p>
    <w:p w:rsidR="00F46979" w:rsidRDefault="00F46979" w:rsidP="00F46979">
      <w:pPr>
        <w:pStyle w:val="Subttulo"/>
        <w:ind w:firstLine="708"/>
        <w:jc w:val="both"/>
        <w:rPr>
          <w:b w:val="0"/>
          <w:bCs w:val="0"/>
          <w:sz w:val="20"/>
          <w:szCs w:val="20"/>
        </w:rPr>
      </w:pPr>
      <w:r>
        <w:rPr>
          <w:b w:val="0"/>
          <w:bCs w:val="0"/>
          <w:sz w:val="20"/>
          <w:szCs w:val="20"/>
        </w:rPr>
        <w:t>Deve ser preenchido pelo contribuinte para indicar qual o papel desempenhado pela entidade declarante quando, no campo 7, houver sido informado que a entidade responsável pela Declaração País-a-País será o próprio contribuinte (opção 3) ou outra entidade (opção 4).</w:t>
      </w:r>
    </w:p>
    <w:p w:rsidR="00F46979" w:rsidRDefault="00F46979" w:rsidP="00F46979">
      <w:pPr>
        <w:pStyle w:val="Subttulo"/>
        <w:ind w:left="720"/>
        <w:jc w:val="both"/>
        <w:rPr>
          <w:sz w:val="20"/>
          <w:szCs w:val="20"/>
        </w:rPr>
      </w:pPr>
    </w:p>
    <w:p w:rsidR="00F46979" w:rsidRDefault="00F46979" w:rsidP="00F46979">
      <w:pPr>
        <w:pStyle w:val="Subttulo"/>
        <w:ind w:left="720"/>
        <w:jc w:val="both"/>
        <w:rPr>
          <w:b w:val="0"/>
          <w:bCs w:val="0"/>
          <w:sz w:val="20"/>
          <w:szCs w:val="20"/>
        </w:rPr>
      </w:pPr>
      <w:r>
        <w:rPr>
          <w:b w:val="0"/>
          <w:bCs w:val="0"/>
          <w:sz w:val="20"/>
          <w:szCs w:val="20"/>
        </w:rPr>
        <w:t xml:space="preserve">A opção 1 deve ser selecionada quando a entidade responsável pela entrega da Declaração País-a-País for a entidade substituta. </w:t>
      </w:r>
    </w:p>
    <w:p w:rsidR="00F46979" w:rsidRDefault="00F46979" w:rsidP="00F46979">
      <w:pPr>
        <w:pStyle w:val="Subttulo"/>
        <w:ind w:left="720"/>
        <w:jc w:val="both"/>
        <w:rPr>
          <w:b w:val="0"/>
          <w:bCs w:val="0"/>
          <w:sz w:val="20"/>
          <w:szCs w:val="20"/>
        </w:rPr>
      </w:pPr>
    </w:p>
    <w:p w:rsidR="00F46979" w:rsidRDefault="00F46979" w:rsidP="00F46979">
      <w:pPr>
        <w:pStyle w:val="Subttulo"/>
        <w:ind w:firstLine="708"/>
        <w:jc w:val="both"/>
        <w:rPr>
          <w:b w:val="0"/>
          <w:bCs w:val="0"/>
          <w:sz w:val="20"/>
          <w:szCs w:val="20"/>
        </w:rPr>
      </w:pPr>
      <w:r>
        <w:rPr>
          <w:b w:val="0"/>
          <w:bCs w:val="0"/>
          <w:sz w:val="20"/>
          <w:szCs w:val="20"/>
        </w:rPr>
        <w:t>Caso no campo W100.IND_ENTREGA tenha sido informado que o próprio contribuinte é a entidade declarante (opção 3) e a opção 1 no campo W100.IND_MODALIDADE for selecionada, significa que o contribuinte é a entidade substituta, designada pelo grupo multinacional para cumprir a obrigação em nome do grupo, em substituição ao controlador final. Caso tenha sido indicado no campo W100.IND_ENTREGA que é outra entidade a responsável pela entrega da Declaração País-a-País (opção 4) e a opção 1 no campo W100.IND_MODALIDADE for selecionada, entende-se que é outra entidade, residente no Brasil ou no exterior, a entidade declarante, e na condição de entidade substituta.</w:t>
      </w:r>
    </w:p>
    <w:p w:rsidR="00F46979" w:rsidRDefault="00F46979" w:rsidP="00F46979">
      <w:pPr>
        <w:pStyle w:val="Subttulo"/>
        <w:ind w:left="720"/>
        <w:jc w:val="both"/>
        <w:rPr>
          <w:b w:val="0"/>
          <w:bCs w:val="0"/>
          <w:sz w:val="20"/>
          <w:szCs w:val="20"/>
        </w:rPr>
      </w:pPr>
    </w:p>
    <w:p w:rsidR="00F46979" w:rsidRDefault="00F46979" w:rsidP="00F46979">
      <w:pPr>
        <w:pStyle w:val="Subttulo"/>
        <w:ind w:firstLine="708"/>
        <w:jc w:val="both"/>
        <w:rPr>
          <w:b w:val="0"/>
          <w:bCs w:val="0"/>
          <w:sz w:val="20"/>
          <w:szCs w:val="20"/>
        </w:rPr>
      </w:pPr>
      <w:r>
        <w:rPr>
          <w:b w:val="0"/>
          <w:bCs w:val="0"/>
          <w:sz w:val="20"/>
          <w:szCs w:val="20"/>
        </w:rPr>
        <w:t xml:space="preserve">Importante ressaltar que uma entidade residente no Brasil somente poderá ser designada entidade substituta do grupo multinacional o qual integra caso o controlador final do grupo seja residente no exterior (vide art. 3º, caput, da IN </w:t>
      </w:r>
      <w:r w:rsidR="00E53726">
        <w:rPr>
          <w:b w:val="0"/>
          <w:bCs w:val="0"/>
          <w:sz w:val="20"/>
          <w:szCs w:val="20"/>
        </w:rPr>
        <w:t xml:space="preserve">RFB nº </w:t>
      </w:r>
      <w:r>
        <w:rPr>
          <w:b w:val="0"/>
          <w:bCs w:val="0"/>
          <w:sz w:val="20"/>
          <w:szCs w:val="20"/>
        </w:rPr>
        <w:t>1.681/2016).</w:t>
      </w:r>
    </w:p>
    <w:p w:rsidR="00E53726" w:rsidRDefault="00E53726" w:rsidP="00F46979">
      <w:pPr>
        <w:pStyle w:val="Subttulo"/>
        <w:ind w:firstLine="708"/>
        <w:jc w:val="both"/>
        <w:rPr>
          <w:b w:val="0"/>
          <w:bCs w:val="0"/>
          <w:sz w:val="20"/>
          <w:szCs w:val="20"/>
        </w:rPr>
      </w:pPr>
    </w:p>
    <w:p w:rsidR="00F46979" w:rsidRDefault="00F46979" w:rsidP="00F46979">
      <w:pPr>
        <w:pStyle w:val="Subttulo"/>
        <w:ind w:firstLine="708"/>
        <w:jc w:val="both"/>
        <w:rPr>
          <w:b w:val="0"/>
          <w:bCs w:val="0"/>
          <w:sz w:val="20"/>
          <w:szCs w:val="20"/>
        </w:rPr>
      </w:pPr>
      <w:r>
        <w:rPr>
          <w:b w:val="0"/>
          <w:bCs w:val="0"/>
          <w:sz w:val="20"/>
          <w:szCs w:val="20"/>
        </w:rPr>
        <w:t xml:space="preserve">Quanto à designação de entidade substituta residente no exterior, essa só será aceita pela Receita Federal para fins de cumprimento da obrigação referente à Declaração País-a-País caso sejam verificadas todas as condições necessárias estabelecidas no art. 3º, </w:t>
      </w:r>
      <w:r>
        <w:rPr>
          <w:b w:val="0"/>
          <w:bCs w:val="0"/>
          <w:sz w:val="20"/>
          <w:szCs w:val="20"/>
          <w:shd w:val="clear" w:color="auto" w:fill="FFFFFF"/>
        </w:rPr>
        <w:t>§3</w:t>
      </w:r>
      <w:r>
        <w:rPr>
          <w:b w:val="0"/>
          <w:bCs w:val="0"/>
          <w:strike/>
          <w:sz w:val="20"/>
          <w:szCs w:val="20"/>
        </w:rPr>
        <w:t>º</w:t>
      </w:r>
      <w:r>
        <w:rPr>
          <w:b w:val="0"/>
          <w:bCs w:val="0"/>
          <w:sz w:val="20"/>
          <w:szCs w:val="20"/>
        </w:rPr>
        <w:t xml:space="preserve"> da IN </w:t>
      </w:r>
      <w:r w:rsidR="00E53726">
        <w:rPr>
          <w:b w:val="0"/>
          <w:bCs w:val="0"/>
          <w:sz w:val="20"/>
          <w:szCs w:val="20"/>
        </w:rPr>
        <w:t xml:space="preserve">RFB nº </w:t>
      </w:r>
      <w:r>
        <w:rPr>
          <w:b w:val="0"/>
          <w:bCs w:val="0"/>
          <w:sz w:val="20"/>
          <w:szCs w:val="20"/>
        </w:rPr>
        <w:t xml:space="preserve">1.681/2016. </w:t>
      </w:r>
    </w:p>
    <w:p w:rsidR="00F46979" w:rsidRDefault="00F46979" w:rsidP="00F46979">
      <w:pPr>
        <w:pStyle w:val="Subttulo"/>
        <w:ind w:left="720"/>
        <w:jc w:val="both"/>
        <w:rPr>
          <w:b w:val="0"/>
          <w:bCs w:val="0"/>
          <w:sz w:val="20"/>
          <w:szCs w:val="20"/>
        </w:rPr>
      </w:pPr>
    </w:p>
    <w:p w:rsidR="00F46979" w:rsidRDefault="00F46979" w:rsidP="00F46979">
      <w:pPr>
        <w:pStyle w:val="Subttulo"/>
        <w:ind w:firstLine="708"/>
        <w:jc w:val="both"/>
        <w:rPr>
          <w:b w:val="0"/>
          <w:bCs w:val="0"/>
          <w:sz w:val="20"/>
          <w:szCs w:val="20"/>
          <w:shd w:val="clear" w:color="auto" w:fill="FFFFFF"/>
        </w:rPr>
      </w:pPr>
      <w:r>
        <w:rPr>
          <w:b w:val="0"/>
          <w:bCs w:val="0"/>
          <w:sz w:val="20"/>
          <w:szCs w:val="20"/>
        </w:rPr>
        <w:t xml:space="preserve">A opção 2, Preenchimento Local, deve ser selecionada quando a entidade responsável pela entrega da Declaração País-a-País não configurar nem como o controlador final do grupo multinacional, nem como a entidade substituta, estando obrigada à entrega da </w:t>
      </w:r>
      <w:r>
        <w:rPr>
          <w:b w:val="0"/>
          <w:bCs w:val="0"/>
          <w:sz w:val="20"/>
          <w:szCs w:val="20"/>
          <w:highlight w:val="yellow"/>
        </w:rPr>
        <w:t>DPP</w:t>
      </w:r>
      <w:r>
        <w:rPr>
          <w:b w:val="0"/>
          <w:bCs w:val="0"/>
          <w:sz w:val="20"/>
          <w:szCs w:val="20"/>
        </w:rPr>
        <w:t xml:space="preserve"> (por exemplo, em razão da ocorrência de pelo menos uma das situações previstas na </w:t>
      </w:r>
      <w:r w:rsidR="00E53726">
        <w:rPr>
          <w:b w:val="0"/>
          <w:bCs w:val="0"/>
          <w:sz w:val="20"/>
          <w:szCs w:val="20"/>
        </w:rPr>
        <w:t>IN</w:t>
      </w:r>
      <w:r>
        <w:rPr>
          <w:b w:val="0"/>
          <w:bCs w:val="0"/>
          <w:sz w:val="20"/>
          <w:szCs w:val="20"/>
        </w:rPr>
        <w:t xml:space="preserve"> RFB nº 1.681/2016</w:t>
      </w:r>
      <w:r>
        <w:rPr>
          <w:b w:val="0"/>
          <w:bCs w:val="0"/>
          <w:sz w:val="20"/>
          <w:szCs w:val="20"/>
          <w:shd w:val="clear" w:color="auto" w:fill="FFFFFF"/>
        </w:rPr>
        <w:t>, em seu art. 3º, §1º). Destaca-se que essa modalidade de cumprimento da obrigação é válida apenas para entidades residentes no Brasil.</w:t>
      </w:r>
    </w:p>
    <w:p w:rsidR="00F46979" w:rsidRDefault="00F46979" w:rsidP="00F46979">
      <w:pPr>
        <w:pStyle w:val="Subttulo"/>
        <w:ind w:left="720"/>
        <w:jc w:val="both"/>
        <w:rPr>
          <w:b w:val="0"/>
          <w:bCs w:val="0"/>
          <w:sz w:val="20"/>
          <w:szCs w:val="20"/>
        </w:rPr>
      </w:pPr>
    </w:p>
    <w:p w:rsidR="00F46979" w:rsidRDefault="00F46979" w:rsidP="00F46979">
      <w:pPr>
        <w:pStyle w:val="Subttulo"/>
        <w:ind w:firstLine="708"/>
        <w:jc w:val="both"/>
        <w:rPr>
          <w:b w:val="0"/>
          <w:bCs w:val="0"/>
          <w:sz w:val="20"/>
          <w:szCs w:val="20"/>
        </w:rPr>
      </w:pPr>
      <w:r>
        <w:rPr>
          <w:b w:val="0"/>
          <w:bCs w:val="0"/>
          <w:sz w:val="20"/>
          <w:szCs w:val="20"/>
        </w:rPr>
        <w:t xml:space="preserve">Caso no campo W100.IND_ENTREGA tenha sido informado que a entidade declarante é o próprio contribuinte e a opção 2 do campo W100.IND_MODALIDADE for selecionada, significa que o controlador final do grupo multinacional é estrangeiro, mas que a obrigação de entrega da Declaração País-a-País junto à Receita Federal do Brasil recaiu sobre o próprio contribuinte. Na hipótese de existência de outras entidades residentes no Brasil integrantes do mesmo grupo multinacional, o preenchimento da forma citada estaria informando à Receita Federal, em cumprimento ao disposto na </w:t>
      </w:r>
      <w:r w:rsidR="00E53726">
        <w:rPr>
          <w:b w:val="0"/>
          <w:bCs w:val="0"/>
          <w:sz w:val="20"/>
          <w:szCs w:val="20"/>
        </w:rPr>
        <w:t>IN</w:t>
      </w:r>
      <w:r>
        <w:rPr>
          <w:b w:val="0"/>
          <w:bCs w:val="0"/>
          <w:sz w:val="20"/>
          <w:szCs w:val="20"/>
        </w:rPr>
        <w:t xml:space="preserve"> RFB nº 1.681/2016, em seu artigo </w:t>
      </w:r>
      <w:r>
        <w:rPr>
          <w:b w:val="0"/>
          <w:bCs w:val="0"/>
          <w:sz w:val="20"/>
          <w:szCs w:val="20"/>
          <w:shd w:val="clear" w:color="auto" w:fill="FFFFFF"/>
        </w:rPr>
        <w:t>3º, § 2</w:t>
      </w:r>
      <w:r>
        <w:rPr>
          <w:b w:val="0"/>
          <w:bCs w:val="0"/>
          <w:strike/>
          <w:sz w:val="20"/>
          <w:szCs w:val="20"/>
        </w:rPr>
        <w:t>º,</w:t>
      </w:r>
      <w:r>
        <w:rPr>
          <w:b w:val="0"/>
          <w:bCs w:val="0"/>
          <w:sz w:val="20"/>
          <w:szCs w:val="20"/>
        </w:rPr>
        <w:t xml:space="preserve"> que o próprio contribuinte foi designado, dentre as entidades residentes brasileiras, a efetuar o cumprimento da obrigação. Assim, as demais entidades residentes no Brasil deverão preencher os campos W100.IND_ENTREGA e W100.IND_MODALIDADE em suas respectivas ECFs conforme o parágrafo abaixo, indicando que é outra entidade integrante brasileira a responsável pela entrega da DPP, na condição de Preenchimento Local.</w:t>
      </w:r>
    </w:p>
    <w:p w:rsidR="00F46979" w:rsidRDefault="00F46979" w:rsidP="00F46979">
      <w:pPr>
        <w:pStyle w:val="Subttulo"/>
        <w:ind w:left="720"/>
        <w:jc w:val="both"/>
        <w:rPr>
          <w:b w:val="0"/>
          <w:bCs w:val="0"/>
          <w:sz w:val="20"/>
          <w:szCs w:val="20"/>
        </w:rPr>
      </w:pPr>
    </w:p>
    <w:p w:rsidR="00F46979" w:rsidRDefault="00F46979" w:rsidP="00F46979">
      <w:pPr>
        <w:pStyle w:val="Subttulo"/>
        <w:ind w:firstLine="708"/>
        <w:jc w:val="both"/>
        <w:rPr>
          <w:b w:val="0"/>
          <w:bCs w:val="0"/>
          <w:sz w:val="20"/>
          <w:szCs w:val="20"/>
        </w:rPr>
      </w:pPr>
      <w:r>
        <w:rPr>
          <w:b w:val="0"/>
          <w:bCs w:val="0"/>
          <w:sz w:val="20"/>
          <w:szCs w:val="20"/>
        </w:rPr>
        <w:t xml:space="preserve">Na hipótese de ter sido indicado no W100.IND_ENTREGA que a entidade declarante é outra entidade e a opção 2 do campo W100.IND_MODALIDADE for selecionada, significa que o controlador final do grupo multinacional é estrangeiro, mas que a obrigação de entrega da Declaração País-a-País junto à Receita Federal do Brasil recaiu a outra entidade integrante do grupo residente no Brasil (não designada entidade substituta). Nesse caso, o contribuinte estaria informando, conforme determinado na </w:t>
      </w:r>
      <w:r w:rsidR="00E53726">
        <w:rPr>
          <w:b w:val="0"/>
          <w:bCs w:val="0"/>
          <w:sz w:val="20"/>
          <w:szCs w:val="20"/>
        </w:rPr>
        <w:t>IN</w:t>
      </w:r>
      <w:r>
        <w:rPr>
          <w:b w:val="0"/>
          <w:bCs w:val="0"/>
          <w:sz w:val="20"/>
          <w:szCs w:val="20"/>
        </w:rPr>
        <w:t xml:space="preserve"> RFB nº 1.681/2016, que existe mais de uma entidade do mesmo grupo residente no Brasil, além dele mesmo, e que a responsabilidade pelo cumprimento da obrigação acessória ficará a cargo de outra entidade, a ser identificada nos campos a seguir.</w:t>
      </w:r>
    </w:p>
    <w:p w:rsidR="00BE47A8" w:rsidRPr="0070069F" w:rsidRDefault="00BE47A8" w:rsidP="00BE47A8">
      <w:pPr>
        <w:pStyle w:val="Rodap"/>
        <w:jc w:val="both"/>
        <w:rPr>
          <w:rFonts w:ascii="Times New Roman" w:hAnsi="Times New Roman" w:cs="Times New Roman"/>
          <w:sz w:val="20"/>
          <w:szCs w:val="20"/>
        </w:rPr>
      </w:pPr>
    </w:p>
    <w:p w:rsidR="00FF4879" w:rsidRPr="0070069F" w:rsidRDefault="00FF4879" w:rsidP="000F6DBD">
      <w:pPr>
        <w:pStyle w:val="PSDS-MarcadoresNivel2"/>
        <w:numPr>
          <w:ilvl w:val="0"/>
          <w:numId w:val="0"/>
        </w:numPr>
        <w:rPr>
          <w:rFonts w:ascii="Times New Roman" w:hAnsi="Times New Roman" w:cs="Times New Roman"/>
        </w:rPr>
      </w:pPr>
    </w:p>
    <w:p w:rsidR="00FF4879" w:rsidRPr="0070069F" w:rsidRDefault="00FF4879" w:rsidP="000F6DBD">
      <w:pPr>
        <w:pStyle w:val="PSDS-MarcadoresNivel2"/>
        <w:numPr>
          <w:ilvl w:val="0"/>
          <w:numId w:val="0"/>
        </w:numPr>
        <w:rPr>
          <w:rFonts w:ascii="Times New Roman" w:hAnsi="Times New Roman"/>
        </w:rPr>
      </w:pPr>
    </w:p>
    <w:p w:rsidR="00BE47A8" w:rsidRPr="0070069F" w:rsidRDefault="00BE47A8">
      <w:pPr>
        <w:spacing w:after="200" w:line="276" w:lineRule="auto"/>
        <w:rPr>
          <w:b/>
          <w:szCs w:val="20"/>
        </w:rPr>
      </w:pPr>
      <w:r w:rsidRPr="0070069F">
        <w:rPr>
          <w:szCs w:val="20"/>
        </w:rPr>
        <w:br w:type="page"/>
      </w:r>
    </w:p>
    <w:p w:rsidR="000F6DBD" w:rsidRPr="0070069F" w:rsidRDefault="000F6DBD" w:rsidP="000F6DBD">
      <w:pPr>
        <w:pStyle w:val="PSDS-MarcadoresNivel2"/>
        <w:numPr>
          <w:ilvl w:val="0"/>
          <w:numId w:val="0"/>
        </w:numPr>
        <w:rPr>
          <w:rFonts w:ascii="Times New Roman" w:hAnsi="Times New Roman"/>
        </w:rPr>
      </w:pPr>
      <w:r w:rsidRPr="0070069F">
        <w:rPr>
          <w:rFonts w:ascii="Times New Roman" w:hAnsi="Times New Roman"/>
        </w:rPr>
        <w:lastRenderedPageBreak/>
        <w:t>I – Regras de Validação do Registro: Não há.</w:t>
      </w:r>
    </w:p>
    <w:p w:rsidR="000F6DBD" w:rsidRPr="0070069F" w:rsidRDefault="000F6DBD" w:rsidP="000F6DBD">
      <w:pPr>
        <w:pStyle w:val="PSDS-MarcadoresNivel2"/>
        <w:numPr>
          <w:ilvl w:val="0"/>
          <w:numId w:val="0"/>
        </w:numPr>
        <w:rPr>
          <w:rFonts w:ascii="Times New Roman" w:hAnsi="Times New Roman"/>
        </w:rPr>
      </w:pPr>
    </w:p>
    <w:p w:rsidR="000F6DBD" w:rsidRPr="0070069F" w:rsidRDefault="000F6DBD" w:rsidP="000F6DBD">
      <w:pPr>
        <w:rPr>
          <w:b/>
          <w:szCs w:val="20"/>
          <w:lang w:val="pt-PT"/>
        </w:rPr>
      </w:pPr>
      <w:r w:rsidRPr="0070069F">
        <w:rPr>
          <w:b/>
          <w:szCs w:val="20"/>
          <w:lang w:val="pt-PT"/>
        </w:rPr>
        <w:t>II – Regras de Validação de Campos:</w:t>
      </w:r>
    </w:p>
    <w:p w:rsidR="00F46979" w:rsidRDefault="00F46979" w:rsidP="00F46979">
      <w:pPr>
        <w:rPr>
          <w:rFonts w:cs="Times New Roman"/>
          <w:b/>
          <w:bCs/>
          <w:lang w:val="pt-PT"/>
        </w:rPr>
      </w:pPr>
    </w:p>
    <w:tbl>
      <w:tblPr>
        <w:tblW w:w="15611"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85"/>
        <w:gridCol w:w="3000"/>
        <w:gridCol w:w="11165"/>
        <w:gridCol w:w="961"/>
      </w:tblGrid>
      <w:tr w:rsidR="00F46979" w:rsidTr="00F46979">
        <w:trPr>
          <w:jc w:val="center"/>
        </w:trPr>
        <w:tc>
          <w:tcPr>
            <w:tcW w:w="485" w:type="dxa"/>
            <w:tcBorders>
              <w:top w:val="single" w:sz="6" w:space="0" w:color="auto"/>
              <w:bottom w:val="single" w:sz="6" w:space="0" w:color="auto"/>
              <w:right w:val="single" w:sz="6" w:space="0" w:color="auto"/>
            </w:tcBorders>
            <w:shd w:val="pct10" w:color="auto" w:fill="FFFFFF"/>
          </w:tcPr>
          <w:p w:rsidR="00F46979" w:rsidRDefault="00F46979" w:rsidP="00F46979">
            <w:pPr>
              <w:pStyle w:val="PSDS-CorpodeTexto0"/>
              <w:jc w:val="center"/>
              <w:rPr>
                <w:rFonts w:ascii="Times New Roman" w:hAnsi="Times New Roman" w:cs="Times New Roman"/>
                <w:b/>
                <w:bCs/>
              </w:rPr>
            </w:pPr>
            <w:r>
              <w:rPr>
                <w:rFonts w:ascii="Times New Roman" w:hAnsi="Times New Roman" w:cs="Times New Roman"/>
                <w:b/>
                <w:bCs/>
              </w:rPr>
              <w:t>Nº</w:t>
            </w:r>
          </w:p>
        </w:tc>
        <w:tc>
          <w:tcPr>
            <w:tcW w:w="3000" w:type="dxa"/>
            <w:tcBorders>
              <w:top w:val="single" w:sz="6" w:space="0" w:color="auto"/>
              <w:left w:val="single" w:sz="6" w:space="0" w:color="auto"/>
              <w:bottom w:val="single" w:sz="6" w:space="0" w:color="auto"/>
              <w:right w:val="single" w:sz="6" w:space="0" w:color="auto"/>
            </w:tcBorders>
            <w:shd w:val="pct10" w:color="auto" w:fill="FFFFFF"/>
          </w:tcPr>
          <w:p w:rsidR="00F46979" w:rsidRDefault="00F46979" w:rsidP="00F46979">
            <w:pPr>
              <w:pStyle w:val="PSDS-CorpodeTexto0"/>
              <w:jc w:val="center"/>
              <w:rPr>
                <w:rFonts w:ascii="Times New Roman" w:hAnsi="Times New Roman" w:cs="Times New Roman"/>
                <w:b/>
                <w:bCs/>
              </w:rPr>
            </w:pPr>
            <w:r>
              <w:rPr>
                <w:rFonts w:ascii="Times New Roman" w:hAnsi="Times New Roman" w:cs="Times New Roman"/>
                <w:b/>
                <w:bCs/>
              </w:rPr>
              <w:t>Campo</w:t>
            </w:r>
          </w:p>
        </w:tc>
        <w:tc>
          <w:tcPr>
            <w:tcW w:w="11165" w:type="dxa"/>
            <w:tcBorders>
              <w:top w:val="single" w:sz="6" w:space="0" w:color="auto"/>
              <w:left w:val="single" w:sz="6" w:space="0" w:color="auto"/>
              <w:bottom w:val="single" w:sz="6" w:space="0" w:color="auto"/>
              <w:right w:val="single" w:sz="6" w:space="0" w:color="auto"/>
            </w:tcBorders>
            <w:shd w:val="pct10" w:color="auto" w:fill="FFFFFF"/>
          </w:tcPr>
          <w:p w:rsidR="00F46979" w:rsidRDefault="00F46979" w:rsidP="00F46979">
            <w:pPr>
              <w:pStyle w:val="PSDS-CorpodeTexto0"/>
              <w:jc w:val="center"/>
              <w:rPr>
                <w:rFonts w:ascii="Times New Roman" w:hAnsi="Times New Roman" w:cs="Times New Roman"/>
                <w:b/>
                <w:bCs/>
              </w:rPr>
            </w:pPr>
            <w:r>
              <w:rPr>
                <w:rFonts w:ascii="Times New Roman" w:hAnsi="Times New Roman" w:cs="Times New Roman"/>
                <w:b/>
                <w:bCs/>
              </w:rPr>
              <w:t>Regras de Validação do Campo</w:t>
            </w:r>
          </w:p>
        </w:tc>
        <w:tc>
          <w:tcPr>
            <w:tcW w:w="961" w:type="dxa"/>
            <w:tcBorders>
              <w:top w:val="single" w:sz="6" w:space="0" w:color="auto"/>
              <w:left w:val="single" w:sz="6" w:space="0" w:color="auto"/>
              <w:bottom w:val="single" w:sz="6" w:space="0" w:color="auto"/>
            </w:tcBorders>
            <w:shd w:val="pct10" w:color="auto" w:fill="FFFFFF"/>
          </w:tcPr>
          <w:p w:rsidR="00F46979" w:rsidRDefault="00F46979" w:rsidP="00F46979">
            <w:pPr>
              <w:pStyle w:val="PSDS-CorpodeTexto0"/>
              <w:jc w:val="center"/>
              <w:rPr>
                <w:rFonts w:ascii="Times New Roman" w:hAnsi="Times New Roman" w:cs="Times New Roman"/>
                <w:b/>
                <w:bCs/>
              </w:rPr>
            </w:pPr>
            <w:r>
              <w:rPr>
                <w:rFonts w:ascii="Times New Roman" w:hAnsi="Times New Roman" w:cs="Times New Roman"/>
                <w:b/>
                <w:bCs/>
              </w:rPr>
              <w:t>Tipo</w:t>
            </w:r>
          </w:p>
        </w:tc>
      </w:tr>
      <w:tr w:rsidR="00F46979" w:rsidTr="00F46979">
        <w:trPr>
          <w:jc w:val="center"/>
        </w:trPr>
        <w:tc>
          <w:tcPr>
            <w:tcW w:w="485" w:type="dxa"/>
            <w:tcBorders>
              <w:top w:val="single" w:sz="6" w:space="0" w:color="auto"/>
              <w:bottom w:val="single" w:sz="6" w:space="0" w:color="auto"/>
              <w:right w:val="single" w:sz="6" w:space="0" w:color="auto"/>
            </w:tcBorders>
          </w:tcPr>
          <w:p w:rsidR="00F46979" w:rsidRDefault="00F46979" w:rsidP="00F46979">
            <w:pPr>
              <w:pStyle w:val="PSDS-CorpodeTexto0"/>
              <w:suppressAutoHyphens w:val="0"/>
              <w:rPr>
                <w:rFonts w:ascii="Times New Roman" w:hAnsi="Times New Roman" w:cs="Times New Roman"/>
                <w:b/>
                <w:bCs/>
                <w:lang w:val="pt-PT"/>
              </w:rPr>
            </w:pPr>
            <w:r>
              <w:rPr>
                <w:rFonts w:ascii="Times New Roman" w:hAnsi="Times New Roman" w:cs="Times New Roman"/>
                <w:b/>
                <w:bCs/>
                <w:lang w:val="pt-PT"/>
              </w:rPr>
              <w:t>3</w:t>
            </w:r>
          </w:p>
        </w:tc>
        <w:tc>
          <w:tcPr>
            <w:tcW w:w="3000" w:type="dxa"/>
            <w:tcBorders>
              <w:top w:val="single" w:sz="6" w:space="0" w:color="auto"/>
              <w:left w:val="single" w:sz="6" w:space="0" w:color="auto"/>
              <w:bottom w:val="single" w:sz="6" w:space="0" w:color="auto"/>
              <w:right w:val="single" w:sz="6" w:space="0" w:color="auto"/>
            </w:tcBorders>
          </w:tcPr>
          <w:p w:rsidR="00F46979" w:rsidRDefault="00F46979" w:rsidP="00F46979">
            <w:pPr>
              <w:pStyle w:val="PSDS-CorpodeTexto0"/>
              <w:rPr>
                <w:rFonts w:ascii="Times New Roman" w:hAnsi="Times New Roman" w:cs="Times New Roman"/>
              </w:rPr>
            </w:pPr>
            <w:r>
              <w:rPr>
                <w:rFonts w:ascii="Times New Roman" w:hAnsi="Times New Roman" w:cs="Times New Roman"/>
              </w:rPr>
              <w:t>IND_CONTROLADORA</w:t>
            </w:r>
          </w:p>
        </w:tc>
        <w:tc>
          <w:tcPr>
            <w:tcW w:w="11165" w:type="dxa"/>
            <w:tcBorders>
              <w:top w:val="single" w:sz="6" w:space="0" w:color="auto"/>
              <w:left w:val="single" w:sz="6" w:space="0" w:color="auto"/>
              <w:bottom w:val="single" w:sz="6" w:space="0" w:color="auto"/>
              <w:right w:val="single" w:sz="6" w:space="0" w:color="auto"/>
            </w:tcBorders>
          </w:tcPr>
          <w:p w:rsidR="00F46979" w:rsidRDefault="00F46979" w:rsidP="00F46979">
            <w:pPr>
              <w:pStyle w:val="Corpodetexto"/>
              <w:rPr>
                <w:rFonts w:ascii="Times New Roman" w:hAnsi="Times New Roman" w:cs="Times New Roman"/>
              </w:rPr>
            </w:pPr>
            <w:r>
              <w:rPr>
                <w:rFonts w:ascii="Times New Roman" w:hAnsi="Times New Roman" w:cs="Times New Roman"/>
                <w:b/>
                <w:bCs/>
              </w:rPr>
              <w:t xml:space="preserve">REGRA_HABILITA_IND_CONTROLADORA: </w:t>
            </w:r>
            <w:r>
              <w:rPr>
                <w:rFonts w:ascii="Times New Roman" w:hAnsi="Times New Roman" w:cs="Times New Roman"/>
              </w:rPr>
              <w:t>Caso 0000.SIT_ESPECIAL seja igual “0” (Normal – sem ocorrência de situação especial ou evento), o campo W100.IND_CONTROLADORA é habilitado. Caso contrário, o campo W100.IND_CONTROLADORA é desabilitado.</w:t>
            </w:r>
          </w:p>
          <w:p w:rsidR="00F46979" w:rsidRDefault="00F46979" w:rsidP="00F46979">
            <w:pPr>
              <w:pStyle w:val="Corpodetexto"/>
              <w:rPr>
                <w:rFonts w:ascii="Times New Roman" w:hAnsi="Times New Roman" w:cs="Times New Roman"/>
              </w:rPr>
            </w:pPr>
          </w:p>
          <w:p w:rsidR="00F46979" w:rsidRDefault="00F46979" w:rsidP="00F46979">
            <w:pPr>
              <w:pStyle w:val="Corpodetexto"/>
              <w:rPr>
                <w:rFonts w:ascii="Times New Roman" w:hAnsi="Times New Roman" w:cs="Times New Roman"/>
              </w:rPr>
            </w:pPr>
            <w:r>
              <w:rPr>
                <w:rFonts w:ascii="Times New Roman" w:hAnsi="Times New Roman" w:cs="Times New Roman"/>
                <w:b/>
                <w:bCs/>
              </w:rPr>
              <w:t xml:space="preserve">REGRA_IND_CONTROLADORA_OBRIGATORIO: </w:t>
            </w:r>
            <w:r>
              <w:rPr>
                <w:rFonts w:ascii="Times New Roman" w:hAnsi="Times New Roman" w:cs="Times New Roman"/>
              </w:rPr>
              <w:t>Verifica, quando 0000.SIT_ESPECIAL é igual “0” (Normal – sem ocorrência de situação especial ou evento), se o campo W100.IND_CONTROLADORA está preenchido.</w:t>
            </w:r>
          </w:p>
          <w:p w:rsidR="00F46979" w:rsidRDefault="00F46979" w:rsidP="00F46979">
            <w:pPr>
              <w:pStyle w:val="Corpodetexto"/>
              <w:rPr>
                <w:rFonts w:ascii="Times New Roman" w:hAnsi="Times New Roman" w:cs="Times New Roman"/>
              </w:rPr>
            </w:pPr>
          </w:p>
          <w:p w:rsidR="00F46979" w:rsidRDefault="00F46979" w:rsidP="00F46979">
            <w:pPr>
              <w:pStyle w:val="Corpodetexto"/>
              <w:rPr>
                <w:rFonts w:ascii="Times New Roman" w:hAnsi="Times New Roman" w:cs="Times New Roman"/>
              </w:rPr>
            </w:pPr>
            <w:r>
              <w:rPr>
                <w:rFonts w:ascii="Times New Roman" w:hAnsi="Times New Roman" w:cs="Times New Roman"/>
                <w:b/>
                <w:bCs/>
              </w:rPr>
              <w:t xml:space="preserve">REGRA_IND_CONTROLADORA_NAO_PREENCHER: </w:t>
            </w:r>
            <w:r>
              <w:rPr>
                <w:rFonts w:ascii="Times New Roman" w:hAnsi="Times New Roman" w:cs="Times New Roman"/>
              </w:rPr>
              <w:t>Verifica, quando 0000.SIT_ESPECIAL é diferente de “0” (Normal – sem ocorrência de situação especial ou evento), se o campo W100.IND_CONTROLADORA não está preenchido.</w:t>
            </w:r>
          </w:p>
        </w:tc>
        <w:tc>
          <w:tcPr>
            <w:tcW w:w="961" w:type="dxa"/>
            <w:tcBorders>
              <w:top w:val="single" w:sz="6" w:space="0" w:color="auto"/>
              <w:left w:val="single" w:sz="6" w:space="0" w:color="auto"/>
              <w:bottom w:val="single" w:sz="6" w:space="0" w:color="auto"/>
            </w:tcBorders>
          </w:tcPr>
          <w:p w:rsidR="00F46979" w:rsidRDefault="00F46979" w:rsidP="00F46979">
            <w:pPr>
              <w:pStyle w:val="PSDS-CorpodeTexto0"/>
              <w:rPr>
                <w:rFonts w:ascii="Times New Roman" w:hAnsi="Times New Roman" w:cs="Times New Roman"/>
              </w:rPr>
            </w:pPr>
            <w:r>
              <w:rPr>
                <w:rFonts w:ascii="Times New Roman" w:hAnsi="Times New Roman" w:cs="Times New Roman"/>
              </w:rPr>
              <w:t>Habilita</w:t>
            </w: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r>
              <w:rPr>
                <w:rFonts w:ascii="Times New Roman" w:hAnsi="Times New Roman" w:cs="Times New Roman"/>
              </w:rPr>
              <w:t>Erro</w:t>
            </w: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r>
              <w:rPr>
                <w:rFonts w:ascii="Times New Roman" w:hAnsi="Times New Roman" w:cs="Times New Roman"/>
              </w:rPr>
              <w:t>Erro</w:t>
            </w:r>
          </w:p>
        </w:tc>
      </w:tr>
      <w:tr w:rsidR="00F46979" w:rsidTr="00F46979">
        <w:trPr>
          <w:jc w:val="center"/>
        </w:trPr>
        <w:tc>
          <w:tcPr>
            <w:tcW w:w="485" w:type="dxa"/>
            <w:tcBorders>
              <w:top w:val="single" w:sz="6" w:space="0" w:color="auto"/>
              <w:bottom w:val="single" w:sz="6" w:space="0" w:color="auto"/>
              <w:right w:val="single" w:sz="6" w:space="0" w:color="auto"/>
            </w:tcBorders>
          </w:tcPr>
          <w:p w:rsidR="00F46979" w:rsidRDefault="00F46979" w:rsidP="00F46979">
            <w:pPr>
              <w:pStyle w:val="PSDS-CorpodeTexto0"/>
              <w:suppressAutoHyphens w:val="0"/>
              <w:rPr>
                <w:rFonts w:ascii="Times New Roman" w:hAnsi="Times New Roman" w:cs="Times New Roman"/>
                <w:b/>
                <w:bCs/>
                <w:lang w:val="pt-PT"/>
              </w:rPr>
            </w:pPr>
            <w:r>
              <w:rPr>
                <w:rFonts w:ascii="Times New Roman" w:hAnsi="Times New Roman" w:cs="Times New Roman"/>
                <w:b/>
                <w:bCs/>
                <w:lang w:val="pt-PT"/>
              </w:rPr>
              <w:t>4</w:t>
            </w:r>
          </w:p>
        </w:tc>
        <w:tc>
          <w:tcPr>
            <w:tcW w:w="3000" w:type="dxa"/>
            <w:tcBorders>
              <w:top w:val="single" w:sz="6" w:space="0" w:color="auto"/>
              <w:left w:val="single" w:sz="6" w:space="0" w:color="auto"/>
              <w:bottom w:val="single" w:sz="6" w:space="0" w:color="auto"/>
              <w:right w:val="single" w:sz="6" w:space="0" w:color="auto"/>
            </w:tcBorders>
          </w:tcPr>
          <w:p w:rsidR="00F46979" w:rsidRDefault="00F46979" w:rsidP="00F46979">
            <w:pPr>
              <w:pStyle w:val="PSDS-CorpodeTexto0"/>
              <w:rPr>
                <w:rFonts w:ascii="Times New Roman" w:hAnsi="Times New Roman" w:cs="Times New Roman"/>
              </w:rPr>
            </w:pPr>
            <w:r>
              <w:rPr>
                <w:rFonts w:ascii="Times New Roman" w:hAnsi="Times New Roman" w:cs="Times New Roman"/>
              </w:rPr>
              <w:t>NOME_CONTROLADORA</w:t>
            </w:r>
          </w:p>
        </w:tc>
        <w:tc>
          <w:tcPr>
            <w:tcW w:w="11165" w:type="dxa"/>
            <w:tcBorders>
              <w:top w:val="single" w:sz="6" w:space="0" w:color="auto"/>
              <w:left w:val="single" w:sz="6" w:space="0" w:color="auto"/>
              <w:bottom w:val="single" w:sz="6" w:space="0" w:color="auto"/>
              <w:right w:val="single" w:sz="6" w:space="0" w:color="auto"/>
            </w:tcBorders>
          </w:tcPr>
          <w:p w:rsidR="00F46979" w:rsidRDefault="00F46979" w:rsidP="00F46979">
            <w:pPr>
              <w:pStyle w:val="Corpodetexto"/>
              <w:rPr>
                <w:rFonts w:ascii="Times New Roman" w:hAnsi="Times New Roman" w:cs="Times New Roman"/>
              </w:rPr>
            </w:pPr>
            <w:r>
              <w:rPr>
                <w:rFonts w:ascii="Times New Roman" w:hAnsi="Times New Roman" w:cs="Times New Roman"/>
                <w:b/>
                <w:bCs/>
              </w:rPr>
              <w:t xml:space="preserve">REGRA_HABILITA_CONTROLADORA_DIFERENTE: </w:t>
            </w:r>
            <w:r>
              <w:rPr>
                <w:rFonts w:ascii="Times New Roman" w:hAnsi="Times New Roman" w:cs="Times New Roman"/>
              </w:rPr>
              <w:t>Caso W100.IND_CONTROLADORA seja igual a “N” (Não), o campo W100.NOME_CONTROLADORA é habilitado. Caso contrário, o campo W100.NOME_CONTROLADORA é desabilitado.</w:t>
            </w:r>
          </w:p>
          <w:p w:rsidR="00F46979" w:rsidRDefault="00F46979" w:rsidP="00F46979">
            <w:pPr>
              <w:pStyle w:val="Corpodetexto"/>
              <w:rPr>
                <w:rFonts w:ascii="Times New Roman" w:hAnsi="Times New Roman" w:cs="Times New Roman"/>
                <w:b/>
                <w:bCs/>
              </w:rPr>
            </w:pPr>
          </w:p>
          <w:p w:rsidR="00F46979" w:rsidRDefault="00F46979" w:rsidP="00F46979">
            <w:pPr>
              <w:pStyle w:val="Corpodetexto"/>
              <w:rPr>
                <w:rFonts w:ascii="Times New Roman" w:hAnsi="Times New Roman" w:cs="Times New Roman"/>
              </w:rPr>
            </w:pPr>
            <w:r>
              <w:rPr>
                <w:rFonts w:ascii="Times New Roman" w:hAnsi="Times New Roman" w:cs="Times New Roman"/>
                <w:b/>
                <w:bCs/>
              </w:rPr>
              <w:t xml:space="preserve">REGRA_NOME_CONTROLADORA_OBRIGATORIO: </w:t>
            </w:r>
            <w:r>
              <w:rPr>
                <w:rFonts w:ascii="Times New Roman" w:hAnsi="Times New Roman" w:cs="Times New Roman"/>
              </w:rPr>
              <w:t>Verifica, quando W100.IND_CONTROLADORA é igual a “N” (Não), se o campo W100.NOME_CONTROLADORA está preenchido.</w:t>
            </w:r>
          </w:p>
          <w:p w:rsidR="00F46979" w:rsidRDefault="00F46979" w:rsidP="00F46979">
            <w:pPr>
              <w:pStyle w:val="Corpodetexto"/>
              <w:rPr>
                <w:rFonts w:ascii="Times New Roman" w:hAnsi="Times New Roman" w:cs="Times New Roman"/>
              </w:rPr>
            </w:pPr>
          </w:p>
          <w:p w:rsidR="00F46979" w:rsidRDefault="00F46979" w:rsidP="00F46979">
            <w:pPr>
              <w:pStyle w:val="Corpodetexto"/>
              <w:rPr>
                <w:rFonts w:ascii="Times New Roman" w:hAnsi="Times New Roman" w:cs="Times New Roman"/>
              </w:rPr>
            </w:pPr>
            <w:r>
              <w:rPr>
                <w:rFonts w:ascii="Times New Roman" w:hAnsi="Times New Roman" w:cs="Times New Roman"/>
                <w:b/>
                <w:bCs/>
              </w:rPr>
              <w:t xml:space="preserve">REGRA_NOME_CONTROLADORA_NAO_PREENCHER: </w:t>
            </w:r>
            <w:r>
              <w:rPr>
                <w:rFonts w:ascii="Times New Roman" w:hAnsi="Times New Roman" w:cs="Times New Roman"/>
              </w:rPr>
              <w:t>Verifica, quando W100.IND_CONTROLADORA é igual a “S” (Sim), se o campo W100.NOME_CONTROLADORA não está preenchido.</w:t>
            </w:r>
          </w:p>
        </w:tc>
        <w:tc>
          <w:tcPr>
            <w:tcW w:w="961" w:type="dxa"/>
            <w:tcBorders>
              <w:top w:val="single" w:sz="6" w:space="0" w:color="auto"/>
              <w:left w:val="single" w:sz="6" w:space="0" w:color="auto"/>
              <w:bottom w:val="single" w:sz="6" w:space="0" w:color="auto"/>
            </w:tcBorders>
          </w:tcPr>
          <w:p w:rsidR="00F46979" w:rsidRDefault="00F46979" w:rsidP="00F46979">
            <w:pPr>
              <w:pStyle w:val="PSDS-CorpodeTexto0"/>
              <w:rPr>
                <w:rFonts w:ascii="Times New Roman" w:hAnsi="Times New Roman" w:cs="Times New Roman"/>
              </w:rPr>
            </w:pPr>
            <w:r>
              <w:rPr>
                <w:rFonts w:ascii="Times New Roman" w:hAnsi="Times New Roman" w:cs="Times New Roman"/>
              </w:rPr>
              <w:t>Habilita</w:t>
            </w: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r>
              <w:rPr>
                <w:rFonts w:ascii="Times New Roman" w:hAnsi="Times New Roman" w:cs="Times New Roman"/>
              </w:rPr>
              <w:t>Erro</w:t>
            </w: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r>
              <w:rPr>
                <w:rFonts w:ascii="Times New Roman" w:hAnsi="Times New Roman" w:cs="Times New Roman"/>
              </w:rPr>
              <w:t>Erro</w:t>
            </w:r>
          </w:p>
        </w:tc>
      </w:tr>
      <w:tr w:rsidR="00F46979" w:rsidTr="00F46979">
        <w:trPr>
          <w:jc w:val="center"/>
        </w:trPr>
        <w:tc>
          <w:tcPr>
            <w:tcW w:w="485" w:type="dxa"/>
            <w:tcBorders>
              <w:top w:val="single" w:sz="6" w:space="0" w:color="auto"/>
              <w:bottom w:val="single" w:sz="6" w:space="0" w:color="auto"/>
              <w:right w:val="single" w:sz="6" w:space="0" w:color="auto"/>
            </w:tcBorders>
          </w:tcPr>
          <w:p w:rsidR="00F46979" w:rsidRDefault="00F46979" w:rsidP="00F46979">
            <w:pPr>
              <w:pStyle w:val="PSDS-CorpodeTexto0"/>
              <w:suppressAutoHyphens w:val="0"/>
              <w:rPr>
                <w:rFonts w:ascii="Times New Roman" w:hAnsi="Times New Roman" w:cs="Times New Roman"/>
                <w:b/>
                <w:bCs/>
                <w:lang w:val="pt-PT"/>
              </w:rPr>
            </w:pPr>
            <w:r>
              <w:rPr>
                <w:rFonts w:ascii="Times New Roman" w:hAnsi="Times New Roman" w:cs="Times New Roman"/>
                <w:b/>
                <w:bCs/>
                <w:lang w:val="pt-PT"/>
              </w:rPr>
              <w:t>5</w:t>
            </w:r>
          </w:p>
        </w:tc>
        <w:tc>
          <w:tcPr>
            <w:tcW w:w="3000" w:type="dxa"/>
            <w:tcBorders>
              <w:top w:val="single" w:sz="6" w:space="0" w:color="auto"/>
              <w:left w:val="single" w:sz="6" w:space="0" w:color="auto"/>
              <w:bottom w:val="single" w:sz="6" w:space="0" w:color="auto"/>
              <w:right w:val="single" w:sz="6" w:space="0" w:color="auto"/>
            </w:tcBorders>
          </w:tcPr>
          <w:p w:rsidR="00F46979" w:rsidRDefault="00F46979" w:rsidP="00F46979">
            <w:pPr>
              <w:pStyle w:val="PSDS-CorpodeTexto0"/>
              <w:rPr>
                <w:rFonts w:ascii="Times New Roman" w:hAnsi="Times New Roman" w:cs="Times New Roman"/>
              </w:rPr>
            </w:pPr>
            <w:r>
              <w:rPr>
                <w:rFonts w:ascii="Times New Roman" w:hAnsi="Times New Roman" w:cs="Times New Roman"/>
              </w:rPr>
              <w:t>JURISIDICAO_CONTROLADORA</w:t>
            </w:r>
          </w:p>
        </w:tc>
        <w:tc>
          <w:tcPr>
            <w:tcW w:w="11165" w:type="dxa"/>
            <w:tcBorders>
              <w:top w:val="single" w:sz="6" w:space="0" w:color="auto"/>
              <w:left w:val="single" w:sz="6" w:space="0" w:color="auto"/>
              <w:bottom w:val="single" w:sz="6" w:space="0" w:color="auto"/>
              <w:right w:val="single" w:sz="6" w:space="0" w:color="auto"/>
            </w:tcBorders>
          </w:tcPr>
          <w:p w:rsidR="00F46979" w:rsidRDefault="00F46979" w:rsidP="00F46979">
            <w:pPr>
              <w:pStyle w:val="Corpodetexto"/>
              <w:rPr>
                <w:rFonts w:ascii="Times New Roman" w:hAnsi="Times New Roman" w:cs="Times New Roman"/>
              </w:rPr>
            </w:pPr>
            <w:r>
              <w:rPr>
                <w:rFonts w:ascii="Times New Roman" w:hAnsi="Times New Roman" w:cs="Times New Roman"/>
                <w:b/>
                <w:bCs/>
              </w:rPr>
              <w:t xml:space="preserve">REGRA_HABILITA_CONTROLADORA_DIFERENTE: </w:t>
            </w:r>
            <w:r>
              <w:rPr>
                <w:rFonts w:ascii="Times New Roman" w:hAnsi="Times New Roman" w:cs="Times New Roman"/>
              </w:rPr>
              <w:t>Caso W100.IND_CONTROLADORA seja igual a “N” (Não), o campo W100.JURISDICAO_CONTROLADORA é habilitado. Caso contrário, o campo W100.JURISDICAO_CONTROLADORA é desabilitado.</w:t>
            </w:r>
          </w:p>
          <w:p w:rsidR="00F46979" w:rsidRDefault="00F46979" w:rsidP="00F46979">
            <w:pPr>
              <w:pStyle w:val="Corpodetexto"/>
              <w:rPr>
                <w:rFonts w:ascii="Times New Roman" w:hAnsi="Times New Roman" w:cs="Times New Roman"/>
                <w:b/>
                <w:bCs/>
              </w:rPr>
            </w:pPr>
          </w:p>
          <w:p w:rsidR="00F46979" w:rsidRDefault="00F46979" w:rsidP="00F46979">
            <w:pPr>
              <w:pStyle w:val="Corpodetexto"/>
              <w:rPr>
                <w:rFonts w:ascii="Times New Roman" w:hAnsi="Times New Roman" w:cs="Times New Roman"/>
              </w:rPr>
            </w:pPr>
            <w:r>
              <w:rPr>
                <w:rFonts w:ascii="Times New Roman" w:hAnsi="Times New Roman" w:cs="Times New Roman"/>
                <w:b/>
                <w:bCs/>
              </w:rPr>
              <w:t xml:space="preserve">REGRA_JURISDICAO_CONTROLADORA_OBRIGATORIO: </w:t>
            </w:r>
            <w:r>
              <w:rPr>
                <w:rFonts w:ascii="Times New Roman" w:hAnsi="Times New Roman" w:cs="Times New Roman"/>
              </w:rPr>
              <w:t>Verifica, quando W100.IND_CONTROLADORA é igual a “N” (Não), se o campo W100.JURISDICAO_CONTROLADORA está preenchido.</w:t>
            </w:r>
          </w:p>
          <w:p w:rsidR="00F46979" w:rsidRDefault="00F46979" w:rsidP="00F46979">
            <w:pPr>
              <w:pStyle w:val="Corpodetexto"/>
              <w:rPr>
                <w:rFonts w:ascii="Times New Roman" w:hAnsi="Times New Roman" w:cs="Times New Roman"/>
              </w:rPr>
            </w:pPr>
          </w:p>
          <w:p w:rsidR="00F46979" w:rsidRDefault="00F46979" w:rsidP="00F46979">
            <w:pPr>
              <w:pStyle w:val="Corpodetexto"/>
              <w:rPr>
                <w:rFonts w:ascii="Times New Roman" w:hAnsi="Times New Roman" w:cs="Times New Roman"/>
              </w:rPr>
            </w:pPr>
            <w:r>
              <w:rPr>
                <w:rFonts w:ascii="Times New Roman" w:hAnsi="Times New Roman" w:cs="Times New Roman"/>
                <w:b/>
                <w:bCs/>
              </w:rPr>
              <w:t xml:space="preserve">REGRA_JURISDICAO_CONTROLADORA_NAO_PREENCHER: </w:t>
            </w:r>
            <w:r>
              <w:rPr>
                <w:rFonts w:ascii="Times New Roman" w:hAnsi="Times New Roman" w:cs="Times New Roman"/>
              </w:rPr>
              <w:t>Verifica, quando W100.IND_CONTROLADORA é igual a “S” (Sim), se o campo W100.JURISDICAO_CONTROLADORA não está preenchido.</w:t>
            </w:r>
          </w:p>
        </w:tc>
        <w:tc>
          <w:tcPr>
            <w:tcW w:w="961" w:type="dxa"/>
            <w:tcBorders>
              <w:top w:val="single" w:sz="6" w:space="0" w:color="auto"/>
              <w:left w:val="single" w:sz="6" w:space="0" w:color="auto"/>
              <w:bottom w:val="single" w:sz="6" w:space="0" w:color="auto"/>
            </w:tcBorders>
          </w:tcPr>
          <w:p w:rsidR="00F46979" w:rsidRDefault="00F46979" w:rsidP="00F46979">
            <w:pPr>
              <w:pStyle w:val="PSDS-CorpodeTexto0"/>
              <w:rPr>
                <w:rFonts w:ascii="Times New Roman" w:hAnsi="Times New Roman" w:cs="Times New Roman"/>
              </w:rPr>
            </w:pPr>
            <w:r>
              <w:rPr>
                <w:rFonts w:ascii="Times New Roman" w:hAnsi="Times New Roman" w:cs="Times New Roman"/>
              </w:rPr>
              <w:t>Habilita</w:t>
            </w: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r>
              <w:rPr>
                <w:rFonts w:ascii="Times New Roman" w:hAnsi="Times New Roman" w:cs="Times New Roman"/>
              </w:rPr>
              <w:t>Erro</w:t>
            </w: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r>
              <w:rPr>
                <w:rFonts w:ascii="Times New Roman" w:hAnsi="Times New Roman" w:cs="Times New Roman"/>
              </w:rPr>
              <w:t>Erro</w:t>
            </w:r>
          </w:p>
        </w:tc>
      </w:tr>
      <w:tr w:rsidR="00F46979" w:rsidTr="00F46979">
        <w:trPr>
          <w:jc w:val="center"/>
        </w:trPr>
        <w:tc>
          <w:tcPr>
            <w:tcW w:w="485" w:type="dxa"/>
            <w:tcBorders>
              <w:top w:val="single" w:sz="6" w:space="0" w:color="auto"/>
              <w:bottom w:val="single" w:sz="6" w:space="0" w:color="auto"/>
              <w:right w:val="single" w:sz="6" w:space="0" w:color="auto"/>
            </w:tcBorders>
          </w:tcPr>
          <w:p w:rsidR="00F46979" w:rsidRDefault="00F46979" w:rsidP="00F46979">
            <w:pPr>
              <w:pStyle w:val="PSDS-CorpodeTexto0"/>
              <w:suppressAutoHyphens w:val="0"/>
              <w:rPr>
                <w:rFonts w:ascii="Times New Roman" w:hAnsi="Times New Roman" w:cs="Times New Roman"/>
                <w:b/>
                <w:bCs/>
                <w:lang w:val="pt-PT"/>
              </w:rPr>
            </w:pPr>
            <w:r>
              <w:rPr>
                <w:rFonts w:ascii="Times New Roman" w:hAnsi="Times New Roman" w:cs="Times New Roman"/>
                <w:b/>
                <w:bCs/>
                <w:lang w:val="pt-PT"/>
              </w:rPr>
              <w:t>6</w:t>
            </w:r>
          </w:p>
        </w:tc>
        <w:tc>
          <w:tcPr>
            <w:tcW w:w="3000" w:type="dxa"/>
            <w:tcBorders>
              <w:top w:val="single" w:sz="6" w:space="0" w:color="auto"/>
              <w:left w:val="single" w:sz="6" w:space="0" w:color="auto"/>
              <w:bottom w:val="single" w:sz="6" w:space="0" w:color="auto"/>
              <w:right w:val="single" w:sz="6" w:space="0" w:color="auto"/>
            </w:tcBorders>
          </w:tcPr>
          <w:p w:rsidR="00F46979" w:rsidRDefault="00F46979" w:rsidP="00F46979">
            <w:pPr>
              <w:pStyle w:val="PSDS-CorpodeTexto0"/>
              <w:rPr>
                <w:rFonts w:ascii="Times New Roman" w:hAnsi="Times New Roman" w:cs="Times New Roman"/>
              </w:rPr>
            </w:pPr>
            <w:r>
              <w:rPr>
                <w:rFonts w:ascii="Times New Roman" w:hAnsi="Times New Roman" w:cs="Times New Roman"/>
              </w:rPr>
              <w:t>TIN_CONTROLADORA</w:t>
            </w:r>
          </w:p>
        </w:tc>
        <w:tc>
          <w:tcPr>
            <w:tcW w:w="11165" w:type="dxa"/>
            <w:tcBorders>
              <w:top w:val="single" w:sz="6" w:space="0" w:color="auto"/>
              <w:left w:val="single" w:sz="6" w:space="0" w:color="auto"/>
              <w:bottom w:val="single" w:sz="6" w:space="0" w:color="auto"/>
              <w:right w:val="single" w:sz="6" w:space="0" w:color="auto"/>
            </w:tcBorders>
          </w:tcPr>
          <w:p w:rsidR="00F46979" w:rsidRDefault="00F46979" w:rsidP="00F46979">
            <w:pPr>
              <w:pStyle w:val="Corpodetexto"/>
              <w:rPr>
                <w:rFonts w:ascii="Times New Roman" w:hAnsi="Times New Roman" w:cs="Times New Roman"/>
              </w:rPr>
            </w:pPr>
            <w:r>
              <w:rPr>
                <w:rFonts w:ascii="Times New Roman" w:hAnsi="Times New Roman" w:cs="Times New Roman"/>
                <w:b/>
                <w:bCs/>
              </w:rPr>
              <w:t xml:space="preserve">REGRA_TIN_CONTROLADORA_OBRIGATORIO: </w:t>
            </w:r>
            <w:r>
              <w:rPr>
                <w:rFonts w:ascii="Times New Roman" w:hAnsi="Times New Roman" w:cs="Times New Roman"/>
              </w:rPr>
              <w:t>Verifica, quando W100.IND_CONTROLADORA é igual a “N” (Não), se o campo W100.TIN_CONTROLADORA está preenchido.</w:t>
            </w:r>
          </w:p>
          <w:p w:rsidR="00F46979" w:rsidRDefault="00F46979" w:rsidP="00F46979">
            <w:pPr>
              <w:pStyle w:val="Corpodetexto"/>
              <w:rPr>
                <w:rFonts w:ascii="Times New Roman" w:hAnsi="Times New Roman" w:cs="Times New Roman"/>
              </w:rPr>
            </w:pPr>
          </w:p>
          <w:p w:rsidR="00F46979" w:rsidRDefault="00F46979" w:rsidP="00F46979">
            <w:pPr>
              <w:pStyle w:val="Corpodetexto"/>
              <w:rPr>
                <w:rFonts w:ascii="Times New Roman" w:hAnsi="Times New Roman" w:cs="Times New Roman"/>
              </w:rPr>
            </w:pPr>
            <w:r>
              <w:rPr>
                <w:rFonts w:ascii="Times New Roman" w:hAnsi="Times New Roman" w:cs="Times New Roman"/>
                <w:b/>
                <w:bCs/>
              </w:rPr>
              <w:t xml:space="preserve">REGRA_TIN_CONTROLADORA_NAO_PREENCHER: </w:t>
            </w:r>
            <w:r>
              <w:rPr>
                <w:rFonts w:ascii="Times New Roman" w:hAnsi="Times New Roman" w:cs="Times New Roman"/>
              </w:rPr>
              <w:t>Verifica, quando W100.IND_CONTROLADORA é igual a “S” (Sim), se o campo W100.TIN_CONTROLADORA não está preenchido.</w:t>
            </w:r>
          </w:p>
          <w:p w:rsidR="00F46979" w:rsidRDefault="00F46979" w:rsidP="00F46979">
            <w:pPr>
              <w:pStyle w:val="Corpodetexto"/>
              <w:rPr>
                <w:rFonts w:ascii="Times New Roman" w:hAnsi="Times New Roman" w:cs="Times New Roman"/>
              </w:rPr>
            </w:pPr>
          </w:p>
          <w:p w:rsidR="00F46979" w:rsidRDefault="00F46979" w:rsidP="00F46979">
            <w:pPr>
              <w:pStyle w:val="Corpodetexto"/>
              <w:rPr>
                <w:rFonts w:ascii="Times New Roman" w:hAnsi="Times New Roman" w:cs="Times New Roman"/>
              </w:rPr>
            </w:pPr>
          </w:p>
          <w:p w:rsidR="00F46979" w:rsidRDefault="00F46979" w:rsidP="00F46979">
            <w:pPr>
              <w:pStyle w:val="Corpodetexto"/>
              <w:rPr>
                <w:rFonts w:ascii="Times New Roman" w:hAnsi="Times New Roman" w:cs="Times New Roman"/>
              </w:rPr>
            </w:pPr>
            <w:r>
              <w:rPr>
                <w:rFonts w:ascii="Times New Roman" w:hAnsi="Times New Roman" w:cs="Times New Roman"/>
                <w:b/>
                <w:bCs/>
              </w:rPr>
              <w:lastRenderedPageBreak/>
              <w:t xml:space="preserve">REGRA_VALIDA_TIN_CONTROLADORA: </w:t>
            </w:r>
            <w:r>
              <w:rPr>
                <w:rFonts w:ascii="Times New Roman" w:hAnsi="Times New Roman" w:cs="Times New Roman"/>
              </w:rPr>
              <w:t>Verifica, quando W100.JURISDICAO_CONTROLADORA for igual a “BR” (Brasil), se o campo W100.TIN_CONTROLADORA está preenchido com um CNPJ (aplica a REGRA_VALIDA_CNPJ: Verifica se o CNPJ informado é válido).</w:t>
            </w:r>
          </w:p>
          <w:p w:rsidR="00F46979" w:rsidRDefault="00F46979" w:rsidP="00F46979">
            <w:pPr>
              <w:pStyle w:val="Corpodetexto"/>
              <w:rPr>
                <w:rFonts w:ascii="Times New Roman" w:hAnsi="Times New Roman" w:cs="Times New Roman"/>
              </w:rPr>
            </w:pPr>
          </w:p>
          <w:p w:rsidR="00F46979" w:rsidRDefault="00F46979" w:rsidP="00F46979">
            <w:pPr>
              <w:pStyle w:val="Corpodetexto"/>
              <w:rPr>
                <w:rFonts w:ascii="Times New Roman" w:hAnsi="Times New Roman" w:cs="Times New Roman"/>
              </w:rPr>
            </w:pPr>
            <w:r>
              <w:rPr>
                <w:rFonts w:ascii="Times New Roman" w:hAnsi="Times New Roman" w:cs="Times New Roman"/>
                <w:b/>
                <w:bCs/>
              </w:rPr>
              <w:t xml:space="preserve">REGRA_CNPJ_BASICO_DIFERENTE_CONTROLADORA: </w:t>
            </w:r>
            <w:r>
              <w:rPr>
                <w:rFonts w:ascii="Times New Roman" w:hAnsi="Times New Roman" w:cs="Times New Roman"/>
              </w:rPr>
              <w:t>Verifica, quando W100.JURISDICAO_CONTROLADORA for igual a “BR” (Brasil), se o campo W100.TIN_CONTROLADORA está preenchido com um CNPJ e se o CNPJ básico informado é diferente do CNPJ básico do declarante da ECF, informado em 0000.CNPJ.</w:t>
            </w:r>
          </w:p>
        </w:tc>
        <w:tc>
          <w:tcPr>
            <w:tcW w:w="961" w:type="dxa"/>
            <w:tcBorders>
              <w:top w:val="single" w:sz="6" w:space="0" w:color="auto"/>
              <w:left w:val="single" w:sz="6" w:space="0" w:color="auto"/>
              <w:bottom w:val="single" w:sz="6" w:space="0" w:color="auto"/>
            </w:tcBorders>
          </w:tcPr>
          <w:p w:rsidR="00F46979" w:rsidRDefault="00F46979" w:rsidP="00F46979">
            <w:pPr>
              <w:pStyle w:val="PSDS-CorpodeTexto0"/>
              <w:rPr>
                <w:rFonts w:ascii="Times New Roman" w:hAnsi="Times New Roman" w:cs="Times New Roman"/>
              </w:rPr>
            </w:pPr>
            <w:r>
              <w:rPr>
                <w:rFonts w:ascii="Times New Roman" w:hAnsi="Times New Roman" w:cs="Times New Roman"/>
              </w:rPr>
              <w:lastRenderedPageBreak/>
              <w:t>Habilita</w:t>
            </w: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r>
              <w:rPr>
                <w:rFonts w:ascii="Times New Roman" w:hAnsi="Times New Roman" w:cs="Times New Roman"/>
              </w:rPr>
              <w:t>Erro</w:t>
            </w: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r>
              <w:rPr>
                <w:rFonts w:ascii="Times New Roman" w:hAnsi="Times New Roman" w:cs="Times New Roman"/>
              </w:rPr>
              <w:lastRenderedPageBreak/>
              <w:t>Erro</w:t>
            </w: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r>
              <w:rPr>
                <w:rFonts w:ascii="Times New Roman" w:hAnsi="Times New Roman" w:cs="Times New Roman"/>
              </w:rPr>
              <w:t>Erro</w:t>
            </w:r>
          </w:p>
        </w:tc>
      </w:tr>
      <w:tr w:rsidR="00F46979" w:rsidTr="00F46979">
        <w:trPr>
          <w:jc w:val="center"/>
        </w:trPr>
        <w:tc>
          <w:tcPr>
            <w:tcW w:w="485" w:type="dxa"/>
            <w:tcBorders>
              <w:top w:val="single" w:sz="6" w:space="0" w:color="auto"/>
              <w:bottom w:val="single" w:sz="6" w:space="0" w:color="auto"/>
              <w:right w:val="single" w:sz="6" w:space="0" w:color="auto"/>
            </w:tcBorders>
          </w:tcPr>
          <w:p w:rsidR="00F46979" w:rsidRDefault="00F46979" w:rsidP="00F46979">
            <w:pPr>
              <w:pStyle w:val="PSDS-CorpodeTexto0"/>
              <w:suppressAutoHyphens w:val="0"/>
              <w:rPr>
                <w:rFonts w:ascii="Times New Roman" w:hAnsi="Times New Roman" w:cs="Times New Roman"/>
                <w:b/>
                <w:bCs/>
                <w:lang w:val="pt-PT"/>
              </w:rPr>
            </w:pPr>
            <w:r>
              <w:rPr>
                <w:rFonts w:ascii="Times New Roman" w:hAnsi="Times New Roman" w:cs="Times New Roman"/>
                <w:b/>
                <w:bCs/>
                <w:lang w:val="pt-PT"/>
              </w:rPr>
              <w:lastRenderedPageBreak/>
              <w:t>7</w:t>
            </w:r>
          </w:p>
        </w:tc>
        <w:tc>
          <w:tcPr>
            <w:tcW w:w="3000" w:type="dxa"/>
            <w:tcBorders>
              <w:top w:val="single" w:sz="6" w:space="0" w:color="auto"/>
              <w:left w:val="single" w:sz="6" w:space="0" w:color="auto"/>
              <w:bottom w:val="single" w:sz="6" w:space="0" w:color="auto"/>
              <w:right w:val="single" w:sz="6" w:space="0" w:color="auto"/>
            </w:tcBorders>
          </w:tcPr>
          <w:p w:rsidR="00F46979" w:rsidRDefault="00F46979" w:rsidP="00F46979">
            <w:pPr>
              <w:pStyle w:val="PSDS-CorpodeTexto0"/>
              <w:rPr>
                <w:rFonts w:ascii="Times New Roman" w:hAnsi="Times New Roman" w:cs="Times New Roman"/>
              </w:rPr>
            </w:pPr>
            <w:r>
              <w:rPr>
                <w:rFonts w:ascii="Times New Roman" w:hAnsi="Times New Roman" w:cs="Times New Roman"/>
              </w:rPr>
              <w:t>IND_ENTREGA</w:t>
            </w:r>
          </w:p>
        </w:tc>
        <w:tc>
          <w:tcPr>
            <w:tcW w:w="11165" w:type="dxa"/>
            <w:tcBorders>
              <w:top w:val="single" w:sz="6" w:space="0" w:color="auto"/>
              <w:left w:val="single" w:sz="6" w:space="0" w:color="auto"/>
              <w:bottom w:val="single" w:sz="6" w:space="0" w:color="auto"/>
              <w:right w:val="single" w:sz="6" w:space="0" w:color="auto"/>
            </w:tcBorders>
          </w:tcPr>
          <w:p w:rsidR="00F46979" w:rsidRDefault="00F46979" w:rsidP="00F46979">
            <w:pPr>
              <w:pStyle w:val="Corpodetexto"/>
              <w:rPr>
                <w:rFonts w:ascii="Times New Roman" w:hAnsi="Times New Roman" w:cs="Times New Roman"/>
              </w:rPr>
            </w:pPr>
            <w:r>
              <w:rPr>
                <w:rFonts w:ascii="Times New Roman" w:hAnsi="Times New Roman" w:cs="Times New Roman"/>
                <w:b/>
                <w:bCs/>
              </w:rPr>
              <w:t xml:space="preserve">REGRA_IND_ENTREGA_OBRIGATORIO: </w:t>
            </w:r>
            <w:r>
              <w:rPr>
                <w:rFonts w:ascii="Times New Roman" w:hAnsi="Times New Roman" w:cs="Times New Roman"/>
              </w:rPr>
              <w:t>Verifica, quando W100.IND_CONTROLADORA está preenchido, se o campo W100.IND_ENTREGA está preenchido.</w:t>
            </w:r>
          </w:p>
          <w:p w:rsidR="00F46979" w:rsidRDefault="00F46979" w:rsidP="00F46979">
            <w:pPr>
              <w:pStyle w:val="Corpodetexto"/>
              <w:rPr>
                <w:rFonts w:ascii="Times New Roman" w:hAnsi="Times New Roman" w:cs="Times New Roman"/>
              </w:rPr>
            </w:pPr>
          </w:p>
          <w:p w:rsidR="00F46979" w:rsidRDefault="00F46979" w:rsidP="00F46979">
            <w:pPr>
              <w:pStyle w:val="Corpodetexto"/>
              <w:rPr>
                <w:rFonts w:ascii="Times New Roman" w:hAnsi="Times New Roman" w:cs="Times New Roman"/>
              </w:rPr>
            </w:pPr>
          </w:p>
          <w:p w:rsidR="00F46979" w:rsidRDefault="00F46979" w:rsidP="00F46979">
            <w:pPr>
              <w:pStyle w:val="Corpodetexto"/>
              <w:rPr>
                <w:rFonts w:ascii="Times New Roman" w:hAnsi="Times New Roman" w:cs="Times New Roman"/>
              </w:rPr>
            </w:pPr>
            <w:r>
              <w:rPr>
                <w:rFonts w:ascii="Times New Roman" w:hAnsi="Times New Roman" w:cs="Times New Roman"/>
                <w:b/>
                <w:bCs/>
              </w:rPr>
              <w:t xml:space="preserve">REGRA_IND_ENTREGA_NAO_PREENCHER_SEM_ACORDO: </w:t>
            </w:r>
            <w:r>
              <w:rPr>
                <w:rFonts w:ascii="Times New Roman" w:hAnsi="Times New Roman" w:cs="Times New Roman"/>
              </w:rPr>
              <w:t>Verifica, quando W100.IND_ENTREGA é igual a “2” (Controladora final do grupo multinacional) e W100.JURISDICAO_CONTROLADORA é diferente de “Brasil”, se o país informado no campo W100.JURISDICAO_CONTROLADORA consta na tabela de Acordo de Autoridades Competentes (A jurisdição de residência tributária da controladora final do grupo multinacional deve possuir Acordo de Autoridades Competentes com o Brasil para intercâmbio da Declaração País-a-País).</w:t>
            </w:r>
          </w:p>
          <w:p w:rsidR="00F46979" w:rsidRDefault="00F46979" w:rsidP="00F46979">
            <w:pPr>
              <w:pStyle w:val="Corpodetexto"/>
              <w:rPr>
                <w:rFonts w:ascii="Times New Roman" w:hAnsi="Times New Roman" w:cs="Times New Roman"/>
              </w:rPr>
            </w:pPr>
          </w:p>
          <w:p w:rsidR="00F46979" w:rsidRDefault="00F46979" w:rsidP="00F46979">
            <w:pPr>
              <w:pStyle w:val="Corpodetexto"/>
              <w:rPr>
                <w:rFonts w:ascii="Times New Roman" w:hAnsi="Times New Roman" w:cs="Times New Roman"/>
              </w:rPr>
            </w:pPr>
            <w:r>
              <w:rPr>
                <w:rFonts w:ascii="Times New Roman" w:hAnsi="Times New Roman" w:cs="Times New Roman"/>
                <w:b/>
                <w:bCs/>
              </w:rPr>
              <w:t xml:space="preserve">REGRA_IND_ENTREGA_NAO_PREENCHER_FALHA_SISTEMICA: </w:t>
            </w:r>
            <w:r>
              <w:rPr>
                <w:rFonts w:ascii="Times New Roman" w:hAnsi="Times New Roman" w:cs="Times New Roman"/>
              </w:rPr>
              <w:t xml:space="preserve">Verifica, quando W100.IND_ENTREGA é igual a “2” (Controladora final do grupo multinacional) e W100.JURISDICAO_CONTROLADORA é diferente de “Brasil”, se o país informado no campo W100.JURISDICAO_CONTROLADORA consta na tabela de Falha Sistêmica (A jurisdição de residência tributária da controladora final do grupo multinacional </w:t>
            </w:r>
            <w:r w:rsidRPr="00A44DF8">
              <w:rPr>
                <w:rFonts w:ascii="Times New Roman" w:hAnsi="Times New Roman" w:cs="Times New Roman"/>
                <w:highlight w:val="yellow"/>
              </w:rPr>
              <w:t>está enquadra na situação de falha sistêmica</w:t>
            </w:r>
            <w:r>
              <w:rPr>
                <w:rFonts w:ascii="Times New Roman" w:hAnsi="Times New Roman" w:cs="Times New Roman"/>
              </w:rPr>
              <w:t xml:space="preserve">, conforme definido na </w:t>
            </w:r>
            <w:r w:rsidR="00E53726">
              <w:rPr>
                <w:rFonts w:ascii="Times New Roman" w:hAnsi="Times New Roman" w:cs="Times New Roman"/>
              </w:rPr>
              <w:t>IN</w:t>
            </w:r>
            <w:r>
              <w:rPr>
                <w:rFonts w:ascii="Times New Roman" w:hAnsi="Times New Roman" w:cs="Times New Roman"/>
              </w:rPr>
              <w:t xml:space="preserve"> RFB nº 1.681/2016).</w:t>
            </w:r>
          </w:p>
          <w:p w:rsidR="00F46979" w:rsidRDefault="00F46979" w:rsidP="00F46979">
            <w:pPr>
              <w:pStyle w:val="Corpodetexto"/>
              <w:rPr>
                <w:rFonts w:ascii="Times New Roman" w:hAnsi="Times New Roman" w:cs="Times New Roman"/>
              </w:rPr>
            </w:pPr>
          </w:p>
          <w:p w:rsidR="00F46979" w:rsidRDefault="00F46979" w:rsidP="00F46979">
            <w:pPr>
              <w:pStyle w:val="Corpodetexto"/>
              <w:rPr>
                <w:rFonts w:ascii="Times New Roman" w:hAnsi="Times New Roman" w:cs="Times New Roman"/>
              </w:rPr>
            </w:pPr>
            <w:r>
              <w:rPr>
                <w:rFonts w:ascii="Times New Roman" w:hAnsi="Times New Roman" w:cs="Times New Roman"/>
                <w:b/>
                <w:bCs/>
              </w:rPr>
              <w:t xml:space="preserve">REGRA_IND_ENTREGA_JURISDICAO_BRASIL: </w:t>
            </w:r>
            <w:r>
              <w:rPr>
                <w:rFonts w:ascii="Times New Roman" w:hAnsi="Times New Roman" w:cs="Times New Roman"/>
              </w:rPr>
              <w:t>Verifica, quando W100.JURISDICAO_CONTROLADORA for igual a “BR” (Brasil), se o campo W100.IND_ENTREGA é igual a “1” (Grupo multinacional dispensado da entrega da Declaração País-a-País) ou “2” (Controladora do grupo multinacional).</w:t>
            </w:r>
          </w:p>
          <w:p w:rsidR="00F46979" w:rsidRDefault="00F46979" w:rsidP="00F46979">
            <w:pPr>
              <w:pStyle w:val="Corpodetexto"/>
              <w:rPr>
                <w:rFonts w:ascii="Times New Roman" w:hAnsi="Times New Roman" w:cs="Times New Roman"/>
              </w:rPr>
            </w:pPr>
          </w:p>
          <w:p w:rsidR="00F46979" w:rsidRDefault="00F46979" w:rsidP="00F46979">
            <w:pPr>
              <w:pStyle w:val="Corpodetexto"/>
              <w:rPr>
                <w:rFonts w:ascii="Times New Roman" w:hAnsi="Times New Roman" w:cs="Times New Roman"/>
              </w:rPr>
            </w:pPr>
            <w:r>
              <w:rPr>
                <w:rFonts w:ascii="Times New Roman" w:hAnsi="Times New Roman" w:cs="Times New Roman"/>
                <w:b/>
                <w:bCs/>
              </w:rPr>
              <w:t xml:space="preserve">REGRA_IND_ENTREGA_IND_CONTROLADORA: </w:t>
            </w:r>
            <w:r>
              <w:rPr>
                <w:rFonts w:ascii="Times New Roman" w:hAnsi="Times New Roman" w:cs="Times New Roman"/>
              </w:rPr>
              <w:t>Verifica, quando W100.IND_CONTROLADORA for igual a “S” (Sim), se o campo W100.IND_ENTREGA é igual a “1” (Grupo multinacional dispensado da entrega da Declaração País-a-País) ou “2” (Controladora do grupo multinacional).</w:t>
            </w:r>
          </w:p>
        </w:tc>
        <w:tc>
          <w:tcPr>
            <w:tcW w:w="961" w:type="dxa"/>
            <w:tcBorders>
              <w:top w:val="single" w:sz="6" w:space="0" w:color="auto"/>
              <w:left w:val="single" w:sz="6" w:space="0" w:color="auto"/>
              <w:bottom w:val="single" w:sz="6" w:space="0" w:color="auto"/>
            </w:tcBorders>
          </w:tcPr>
          <w:p w:rsidR="00F46979" w:rsidRDefault="00F46979" w:rsidP="00F46979">
            <w:pPr>
              <w:pStyle w:val="PSDS-CorpodeTexto0"/>
              <w:rPr>
                <w:rFonts w:ascii="Times New Roman" w:hAnsi="Times New Roman" w:cs="Times New Roman"/>
              </w:rPr>
            </w:pPr>
            <w:r>
              <w:rPr>
                <w:rFonts w:ascii="Times New Roman" w:hAnsi="Times New Roman" w:cs="Times New Roman"/>
              </w:rPr>
              <w:t>Erro</w:t>
            </w: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r>
              <w:rPr>
                <w:rFonts w:ascii="Times New Roman" w:hAnsi="Times New Roman" w:cs="Times New Roman"/>
              </w:rPr>
              <w:t>Erro</w:t>
            </w: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r>
              <w:rPr>
                <w:rFonts w:ascii="Times New Roman" w:hAnsi="Times New Roman" w:cs="Times New Roman"/>
              </w:rPr>
              <w:t>Erro</w:t>
            </w: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p>
          <w:p w:rsidR="00E53726" w:rsidRDefault="00E53726" w:rsidP="00F46979">
            <w:pPr>
              <w:pStyle w:val="PSDS-CorpodeTexto0"/>
              <w:rPr>
                <w:rFonts w:ascii="Times New Roman" w:hAnsi="Times New Roman" w:cs="Times New Roman"/>
              </w:rPr>
            </w:pPr>
          </w:p>
          <w:p w:rsidR="00F46979" w:rsidRDefault="00E53726" w:rsidP="00F46979">
            <w:pPr>
              <w:pStyle w:val="PSDS-CorpodeTexto0"/>
              <w:rPr>
                <w:rFonts w:ascii="Times New Roman" w:hAnsi="Times New Roman" w:cs="Times New Roman"/>
              </w:rPr>
            </w:pPr>
            <w:r>
              <w:rPr>
                <w:rFonts w:ascii="Times New Roman" w:hAnsi="Times New Roman" w:cs="Times New Roman"/>
              </w:rPr>
              <w:t>Erro</w:t>
            </w: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p>
          <w:p w:rsidR="00E53726" w:rsidRDefault="00E53726"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r>
              <w:rPr>
                <w:rFonts w:ascii="Times New Roman" w:hAnsi="Times New Roman" w:cs="Times New Roman"/>
              </w:rPr>
              <w:t>Erro</w:t>
            </w:r>
          </w:p>
        </w:tc>
      </w:tr>
      <w:tr w:rsidR="00F46979" w:rsidTr="00F46979">
        <w:trPr>
          <w:jc w:val="center"/>
        </w:trPr>
        <w:tc>
          <w:tcPr>
            <w:tcW w:w="485" w:type="dxa"/>
            <w:tcBorders>
              <w:top w:val="single" w:sz="6" w:space="0" w:color="auto"/>
              <w:bottom w:val="single" w:sz="6" w:space="0" w:color="auto"/>
              <w:right w:val="single" w:sz="6" w:space="0" w:color="auto"/>
            </w:tcBorders>
          </w:tcPr>
          <w:p w:rsidR="00F46979" w:rsidRDefault="00F46979" w:rsidP="00F46979">
            <w:pPr>
              <w:pStyle w:val="PSDS-CorpodeTexto0"/>
              <w:suppressAutoHyphens w:val="0"/>
              <w:rPr>
                <w:rFonts w:ascii="Times New Roman" w:hAnsi="Times New Roman" w:cs="Times New Roman"/>
                <w:b/>
                <w:bCs/>
                <w:lang w:val="pt-PT"/>
              </w:rPr>
            </w:pPr>
            <w:r>
              <w:rPr>
                <w:rFonts w:ascii="Times New Roman" w:hAnsi="Times New Roman" w:cs="Times New Roman"/>
                <w:b/>
                <w:bCs/>
                <w:lang w:val="pt-PT"/>
              </w:rPr>
              <w:t>8</w:t>
            </w:r>
          </w:p>
        </w:tc>
        <w:tc>
          <w:tcPr>
            <w:tcW w:w="3000" w:type="dxa"/>
            <w:tcBorders>
              <w:top w:val="single" w:sz="6" w:space="0" w:color="auto"/>
              <w:left w:val="single" w:sz="6" w:space="0" w:color="auto"/>
              <w:bottom w:val="single" w:sz="6" w:space="0" w:color="auto"/>
              <w:right w:val="single" w:sz="6" w:space="0" w:color="auto"/>
            </w:tcBorders>
          </w:tcPr>
          <w:p w:rsidR="00F46979" w:rsidRDefault="00F46979" w:rsidP="00F46979">
            <w:pPr>
              <w:pStyle w:val="PSDS-CorpodeTexto0"/>
              <w:rPr>
                <w:rFonts w:ascii="Times New Roman" w:hAnsi="Times New Roman" w:cs="Times New Roman"/>
              </w:rPr>
            </w:pPr>
            <w:r>
              <w:rPr>
                <w:rFonts w:ascii="Times New Roman" w:hAnsi="Times New Roman" w:cs="Times New Roman"/>
              </w:rPr>
              <w:t>IND_MODALIDADE</w:t>
            </w:r>
          </w:p>
        </w:tc>
        <w:tc>
          <w:tcPr>
            <w:tcW w:w="11165" w:type="dxa"/>
            <w:tcBorders>
              <w:top w:val="single" w:sz="6" w:space="0" w:color="auto"/>
              <w:left w:val="single" w:sz="6" w:space="0" w:color="auto"/>
              <w:bottom w:val="single" w:sz="6" w:space="0" w:color="auto"/>
              <w:right w:val="single" w:sz="6" w:space="0" w:color="auto"/>
            </w:tcBorders>
          </w:tcPr>
          <w:p w:rsidR="00F46979" w:rsidRDefault="00F46979" w:rsidP="00F46979">
            <w:pPr>
              <w:pStyle w:val="Corpodetexto"/>
              <w:rPr>
                <w:rFonts w:ascii="Times New Roman" w:hAnsi="Times New Roman" w:cs="Times New Roman"/>
              </w:rPr>
            </w:pPr>
            <w:r>
              <w:rPr>
                <w:rFonts w:ascii="Times New Roman" w:hAnsi="Times New Roman" w:cs="Times New Roman"/>
                <w:b/>
                <w:bCs/>
              </w:rPr>
              <w:t xml:space="preserve">REGRA_HABILITA_IND_MODALIDADE: </w:t>
            </w:r>
            <w:r>
              <w:rPr>
                <w:rFonts w:ascii="Times New Roman" w:hAnsi="Times New Roman" w:cs="Times New Roman"/>
              </w:rPr>
              <w:t>Caso W100.IND_ENTREGA seja igual a “3” (Própria entidade declarante) ou “4” (Outra entidade), o campo W100.IND_MODALIDADE é habilitado. Caso contrário, o campo W100.IND_MODALIDADE é desabilitado.</w:t>
            </w:r>
          </w:p>
          <w:p w:rsidR="00F46979" w:rsidRDefault="00F46979" w:rsidP="00F46979">
            <w:pPr>
              <w:pStyle w:val="Corpodetexto"/>
              <w:rPr>
                <w:rFonts w:ascii="Times New Roman" w:hAnsi="Times New Roman" w:cs="Times New Roman"/>
              </w:rPr>
            </w:pPr>
          </w:p>
          <w:p w:rsidR="00F46979" w:rsidRDefault="00F46979" w:rsidP="00F46979">
            <w:pPr>
              <w:pStyle w:val="Corpodetexto"/>
              <w:rPr>
                <w:rFonts w:ascii="Times New Roman" w:hAnsi="Times New Roman" w:cs="Times New Roman"/>
              </w:rPr>
            </w:pPr>
            <w:r>
              <w:rPr>
                <w:rFonts w:ascii="Times New Roman" w:hAnsi="Times New Roman" w:cs="Times New Roman"/>
                <w:b/>
                <w:bCs/>
              </w:rPr>
              <w:t>REGRA_IND_</w:t>
            </w:r>
            <w:r w:rsidRPr="00341460">
              <w:rPr>
                <w:rFonts w:ascii="Times New Roman" w:hAnsi="Times New Roman" w:cs="Times New Roman"/>
                <w:b/>
                <w:bCs/>
                <w:highlight w:val="yellow"/>
              </w:rPr>
              <w:t>MODALIDADE</w:t>
            </w:r>
            <w:r>
              <w:rPr>
                <w:rFonts w:ascii="Times New Roman" w:hAnsi="Times New Roman" w:cs="Times New Roman"/>
                <w:b/>
                <w:bCs/>
              </w:rPr>
              <w:t xml:space="preserve">_OBRIGATORIO: </w:t>
            </w:r>
            <w:r>
              <w:rPr>
                <w:rFonts w:ascii="Times New Roman" w:hAnsi="Times New Roman" w:cs="Times New Roman"/>
              </w:rPr>
              <w:t>Verifica, quando W100.IND_ENTREGA é igual a “3” (Própria entidade declarante) ou “4” (Outra entidade), se o campo W100.IND_MODALIDADE está preenchido.</w:t>
            </w:r>
          </w:p>
          <w:p w:rsidR="00F46979" w:rsidRDefault="00F46979" w:rsidP="00F46979">
            <w:pPr>
              <w:pStyle w:val="Corpodetexto"/>
              <w:rPr>
                <w:rFonts w:ascii="Times New Roman" w:hAnsi="Times New Roman" w:cs="Times New Roman"/>
              </w:rPr>
            </w:pPr>
          </w:p>
          <w:p w:rsidR="00F46979" w:rsidRDefault="00F46979" w:rsidP="00F46979">
            <w:pPr>
              <w:pStyle w:val="Corpodetexto"/>
              <w:rPr>
                <w:rFonts w:ascii="Times New Roman" w:hAnsi="Times New Roman" w:cs="Times New Roman"/>
              </w:rPr>
            </w:pPr>
            <w:r>
              <w:rPr>
                <w:rFonts w:ascii="Times New Roman" w:hAnsi="Times New Roman" w:cs="Times New Roman"/>
                <w:b/>
                <w:bCs/>
              </w:rPr>
              <w:t>REGRA_IND_</w:t>
            </w:r>
            <w:r w:rsidRPr="00341460">
              <w:rPr>
                <w:rFonts w:ascii="Times New Roman" w:hAnsi="Times New Roman" w:cs="Times New Roman"/>
                <w:b/>
                <w:bCs/>
                <w:highlight w:val="yellow"/>
              </w:rPr>
              <w:t>MODALIDADE</w:t>
            </w:r>
            <w:r>
              <w:rPr>
                <w:rFonts w:ascii="Times New Roman" w:hAnsi="Times New Roman" w:cs="Times New Roman"/>
                <w:b/>
                <w:bCs/>
              </w:rPr>
              <w:t xml:space="preserve">_NAO_PREENCHER_DISPENSADO: </w:t>
            </w:r>
            <w:r>
              <w:rPr>
                <w:rFonts w:ascii="Times New Roman" w:hAnsi="Times New Roman" w:cs="Times New Roman"/>
              </w:rPr>
              <w:t>Verifica, quando W100.IND_ENTREGA é igual a “1” (Grupo multinacional dispensado da entrega da Declaração País-a-País), se o campo W100.IND_MODALIDADE não está preenchido.</w:t>
            </w:r>
          </w:p>
        </w:tc>
        <w:tc>
          <w:tcPr>
            <w:tcW w:w="961" w:type="dxa"/>
            <w:tcBorders>
              <w:top w:val="single" w:sz="6" w:space="0" w:color="auto"/>
              <w:left w:val="single" w:sz="6" w:space="0" w:color="auto"/>
              <w:bottom w:val="single" w:sz="6" w:space="0" w:color="auto"/>
            </w:tcBorders>
          </w:tcPr>
          <w:p w:rsidR="00F46979" w:rsidRDefault="00F46979" w:rsidP="00F46979">
            <w:pPr>
              <w:pStyle w:val="PSDS-CorpodeTexto0"/>
              <w:rPr>
                <w:rFonts w:ascii="Times New Roman" w:hAnsi="Times New Roman" w:cs="Times New Roman"/>
              </w:rPr>
            </w:pPr>
            <w:r>
              <w:rPr>
                <w:rFonts w:ascii="Times New Roman" w:hAnsi="Times New Roman" w:cs="Times New Roman"/>
              </w:rPr>
              <w:t>Habilita</w:t>
            </w: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r>
              <w:rPr>
                <w:rFonts w:ascii="Times New Roman" w:hAnsi="Times New Roman" w:cs="Times New Roman"/>
              </w:rPr>
              <w:t>Erro</w:t>
            </w: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r>
              <w:rPr>
                <w:rFonts w:ascii="Times New Roman" w:hAnsi="Times New Roman" w:cs="Times New Roman"/>
              </w:rPr>
              <w:t>Erro</w:t>
            </w:r>
          </w:p>
        </w:tc>
      </w:tr>
      <w:tr w:rsidR="00F46979" w:rsidTr="00F46979">
        <w:trPr>
          <w:jc w:val="center"/>
        </w:trPr>
        <w:tc>
          <w:tcPr>
            <w:tcW w:w="485" w:type="dxa"/>
            <w:tcBorders>
              <w:top w:val="single" w:sz="6" w:space="0" w:color="auto"/>
              <w:bottom w:val="single" w:sz="6" w:space="0" w:color="auto"/>
              <w:right w:val="single" w:sz="6" w:space="0" w:color="auto"/>
            </w:tcBorders>
          </w:tcPr>
          <w:p w:rsidR="00F46979" w:rsidRDefault="00F46979" w:rsidP="00F46979">
            <w:pPr>
              <w:pStyle w:val="PSDS-CorpodeTexto0"/>
              <w:suppressAutoHyphens w:val="0"/>
              <w:rPr>
                <w:rFonts w:ascii="Times New Roman" w:hAnsi="Times New Roman" w:cs="Times New Roman"/>
                <w:b/>
                <w:bCs/>
                <w:lang w:val="pt-PT"/>
              </w:rPr>
            </w:pPr>
            <w:r>
              <w:rPr>
                <w:rFonts w:ascii="Times New Roman" w:hAnsi="Times New Roman" w:cs="Times New Roman"/>
                <w:b/>
                <w:bCs/>
                <w:lang w:val="pt-PT"/>
              </w:rPr>
              <w:lastRenderedPageBreak/>
              <w:t>9</w:t>
            </w:r>
          </w:p>
        </w:tc>
        <w:tc>
          <w:tcPr>
            <w:tcW w:w="3000" w:type="dxa"/>
            <w:tcBorders>
              <w:top w:val="single" w:sz="6" w:space="0" w:color="auto"/>
              <w:left w:val="single" w:sz="6" w:space="0" w:color="auto"/>
              <w:bottom w:val="single" w:sz="6" w:space="0" w:color="auto"/>
              <w:right w:val="single" w:sz="6" w:space="0" w:color="auto"/>
            </w:tcBorders>
          </w:tcPr>
          <w:p w:rsidR="00F46979" w:rsidRDefault="00F46979" w:rsidP="00F46979">
            <w:pPr>
              <w:pStyle w:val="PSDS-CorpodeTexto0"/>
              <w:rPr>
                <w:rFonts w:ascii="Times New Roman" w:hAnsi="Times New Roman" w:cs="Times New Roman"/>
              </w:rPr>
            </w:pPr>
            <w:r>
              <w:rPr>
                <w:rFonts w:ascii="Times New Roman" w:hAnsi="Times New Roman" w:cs="Times New Roman"/>
              </w:rPr>
              <w:t>NOME_SUBSTITUTA</w:t>
            </w:r>
          </w:p>
        </w:tc>
        <w:tc>
          <w:tcPr>
            <w:tcW w:w="11165" w:type="dxa"/>
            <w:tcBorders>
              <w:top w:val="single" w:sz="6" w:space="0" w:color="auto"/>
              <w:left w:val="single" w:sz="6" w:space="0" w:color="auto"/>
              <w:bottom w:val="single" w:sz="6" w:space="0" w:color="auto"/>
              <w:right w:val="single" w:sz="6" w:space="0" w:color="auto"/>
            </w:tcBorders>
          </w:tcPr>
          <w:p w:rsidR="00F46979" w:rsidRDefault="00F46979" w:rsidP="00F46979">
            <w:pPr>
              <w:pStyle w:val="Corpodetexto"/>
              <w:rPr>
                <w:rFonts w:ascii="Times New Roman" w:hAnsi="Times New Roman" w:cs="Times New Roman"/>
              </w:rPr>
            </w:pPr>
            <w:r>
              <w:rPr>
                <w:rFonts w:ascii="Times New Roman" w:hAnsi="Times New Roman" w:cs="Times New Roman"/>
                <w:b/>
                <w:bCs/>
              </w:rPr>
              <w:t xml:space="preserve">REGRA_HABILITA_NOME_SUBSTITUTA: </w:t>
            </w:r>
            <w:r>
              <w:rPr>
                <w:rFonts w:ascii="Times New Roman" w:hAnsi="Times New Roman" w:cs="Times New Roman"/>
              </w:rPr>
              <w:t>Caso W100.IND_ENTREGA seja igual a “4” (Outra entidade), o campo W100.NOME_SUBSTITUTA é habilitado. Caso contrário, o campo W100.NOME_SUBSTITUTA é desabilitado.</w:t>
            </w:r>
          </w:p>
          <w:p w:rsidR="00F46979" w:rsidRDefault="00F46979" w:rsidP="00F46979">
            <w:pPr>
              <w:pStyle w:val="Corpodetexto"/>
              <w:rPr>
                <w:rFonts w:ascii="Times New Roman" w:hAnsi="Times New Roman" w:cs="Times New Roman"/>
              </w:rPr>
            </w:pPr>
          </w:p>
          <w:p w:rsidR="00F46979" w:rsidRDefault="00F46979" w:rsidP="00F46979">
            <w:pPr>
              <w:pStyle w:val="Corpodetexto"/>
              <w:rPr>
                <w:rFonts w:ascii="Times New Roman" w:hAnsi="Times New Roman" w:cs="Times New Roman"/>
              </w:rPr>
            </w:pPr>
            <w:r>
              <w:rPr>
                <w:rFonts w:ascii="Times New Roman" w:hAnsi="Times New Roman" w:cs="Times New Roman"/>
                <w:b/>
                <w:bCs/>
              </w:rPr>
              <w:t xml:space="preserve">REGRA_NOME_SUBSTITUTA_OBRIGATORIO: </w:t>
            </w:r>
            <w:r>
              <w:rPr>
                <w:rFonts w:ascii="Times New Roman" w:hAnsi="Times New Roman" w:cs="Times New Roman"/>
              </w:rPr>
              <w:t>Verifica, quando W100.IND_ENTREGA é igual a “4” (Outra entidade), se o campo W100.NOME_SUBSTITUTA está preenchido.</w:t>
            </w:r>
          </w:p>
          <w:p w:rsidR="00F46979" w:rsidRDefault="00F46979" w:rsidP="00F46979">
            <w:pPr>
              <w:pStyle w:val="Corpodetexto"/>
              <w:rPr>
                <w:rFonts w:ascii="Times New Roman" w:hAnsi="Times New Roman" w:cs="Times New Roman"/>
              </w:rPr>
            </w:pPr>
          </w:p>
          <w:p w:rsidR="00F46979" w:rsidRDefault="00F46979" w:rsidP="00F46979">
            <w:pPr>
              <w:pStyle w:val="Corpodetexto"/>
              <w:rPr>
                <w:rFonts w:ascii="Times New Roman" w:hAnsi="Times New Roman" w:cs="Times New Roman"/>
              </w:rPr>
            </w:pPr>
            <w:r>
              <w:rPr>
                <w:rFonts w:ascii="Times New Roman" w:hAnsi="Times New Roman" w:cs="Times New Roman"/>
                <w:b/>
                <w:bCs/>
              </w:rPr>
              <w:t xml:space="preserve">REGRA_NOME_SUBSTITUTA_NAO_PREENCHER: </w:t>
            </w:r>
            <w:r>
              <w:rPr>
                <w:rFonts w:ascii="Times New Roman" w:hAnsi="Times New Roman" w:cs="Times New Roman"/>
              </w:rPr>
              <w:t>Verifica, quando W100.IND_ENTREGA é diferente de “4” (Outra entidade), se o campo W100.NOME_SUBSTITUTA não está preenchido.</w:t>
            </w:r>
          </w:p>
        </w:tc>
        <w:tc>
          <w:tcPr>
            <w:tcW w:w="961" w:type="dxa"/>
            <w:tcBorders>
              <w:top w:val="single" w:sz="6" w:space="0" w:color="auto"/>
              <w:left w:val="single" w:sz="6" w:space="0" w:color="auto"/>
              <w:bottom w:val="single" w:sz="6" w:space="0" w:color="auto"/>
            </w:tcBorders>
          </w:tcPr>
          <w:p w:rsidR="00F46979" w:rsidRDefault="00F46979" w:rsidP="00F46979">
            <w:pPr>
              <w:pStyle w:val="PSDS-CorpodeTexto0"/>
              <w:rPr>
                <w:rFonts w:ascii="Times New Roman" w:hAnsi="Times New Roman" w:cs="Times New Roman"/>
              </w:rPr>
            </w:pPr>
            <w:r>
              <w:rPr>
                <w:rFonts w:ascii="Times New Roman" w:hAnsi="Times New Roman" w:cs="Times New Roman"/>
              </w:rPr>
              <w:t>Habilita</w:t>
            </w: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r>
              <w:rPr>
                <w:rFonts w:ascii="Times New Roman" w:hAnsi="Times New Roman" w:cs="Times New Roman"/>
              </w:rPr>
              <w:t>Erro</w:t>
            </w: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r>
              <w:rPr>
                <w:rFonts w:ascii="Times New Roman" w:hAnsi="Times New Roman" w:cs="Times New Roman"/>
              </w:rPr>
              <w:t>Erro</w:t>
            </w:r>
          </w:p>
        </w:tc>
      </w:tr>
      <w:tr w:rsidR="00F46979" w:rsidTr="00F46979">
        <w:trPr>
          <w:jc w:val="center"/>
        </w:trPr>
        <w:tc>
          <w:tcPr>
            <w:tcW w:w="485" w:type="dxa"/>
            <w:tcBorders>
              <w:top w:val="single" w:sz="6" w:space="0" w:color="auto"/>
              <w:bottom w:val="single" w:sz="6" w:space="0" w:color="auto"/>
              <w:right w:val="single" w:sz="6" w:space="0" w:color="auto"/>
            </w:tcBorders>
          </w:tcPr>
          <w:p w:rsidR="00F46979" w:rsidRDefault="00F46979" w:rsidP="00F46979">
            <w:pPr>
              <w:pStyle w:val="PSDS-CorpodeTexto0"/>
              <w:suppressAutoHyphens w:val="0"/>
              <w:rPr>
                <w:rFonts w:ascii="Times New Roman" w:hAnsi="Times New Roman" w:cs="Times New Roman"/>
                <w:b/>
                <w:bCs/>
                <w:lang w:val="pt-PT"/>
              </w:rPr>
            </w:pPr>
            <w:r>
              <w:rPr>
                <w:rFonts w:ascii="Times New Roman" w:hAnsi="Times New Roman" w:cs="Times New Roman"/>
                <w:b/>
                <w:bCs/>
                <w:lang w:val="pt-PT"/>
              </w:rPr>
              <w:t>10</w:t>
            </w:r>
          </w:p>
        </w:tc>
        <w:tc>
          <w:tcPr>
            <w:tcW w:w="3000" w:type="dxa"/>
            <w:tcBorders>
              <w:top w:val="single" w:sz="6" w:space="0" w:color="auto"/>
              <w:left w:val="single" w:sz="6" w:space="0" w:color="auto"/>
              <w:bottom w:val="single" w:sz="6" w:space="0" w:color="auto"/>
              <w:right w:val="single" w:sz="6" w:space="0" w:color="auto"/>
            </w:tcBorders>
          </w:tcPr>
          <w:p w:rsidR="00F46979" w:rsidRDefault="00F46979" w:rsidP="00F46979">
            <w:pPr>
              <w:pStyle w:val="PSDS-CorpodeTexto0"/>
              <w:rPr>
                <w:rFonts w:ascii="Times New Roman" w:hAnsi="Times New Roman" w:cs="Times New Roman"/>
              </w:rPr>
            </w:pPr>
            <w:r>
              <w:rPr>
                <w:rFonts w:ascii="Times New Roman" w:hAnsi="Times New Roman" w:cs="Times New Roman"/>
              </w:rPr>
              <w:t>JURISDICAO_SUBSTITUTA</w:t>
            </w:r>
          </w:p>
        </w:tc>
        <w:tc>
          <w:tcPr>
            <w:tcW w:w="11165" w:type="dxa"/>
            <w:tcBorders>
              <w:top w:val="single" w:sz="6" w:space="0" w:color="auto"/>
              <w:left w:val="single" w:sz="6" w:space="0" w:color="auto"/>
              <w:bottom w:val="single" w:sz="6" w:space="0" w:color="auto"/>
              <w:right w:val="single" w:sz="6" w:space="0" w:color="auto"/>
            </w:tcBorders>
          </w:tcPr>
          <w:p w:rsidR="00F46979" w:rsidRDefault="00F46979" w:rsidP="00F46979">
            <w:pPr>
              <w:pStyle w:val="Corpodetexto"/>
              <w:rPr>
                <w:rFonts w:ascii="Times New Roman" w:hAnsi="Times New Roman" w:cs="Times New Roman"/>
              </w:rPr>
            </w:pPr>
            <w:r>
              <w:rPr>
                <w:rFonts w:ascii="Times New Roman" w:hAnsi="Times New Roman" w:cs="Times New Roman"/>
                <w:b/>
                <w:bCs/>
              </w:rPr>
              <w:t xml:space="preserve">REGRA_HABILITA_SUBSTITUTA: </w:t>
            </w:r>
            <w:r>
              <w:rPr>
                <w:rFonts w:ascii="Times New Roman" w:hAnsi="Times New Roman" w:cs="Times New Roman"/>
              </w:rPr>
              <w:t>Caso W100.IND_ENTREGA seja igual a “4” (Outra entidade), o campo W100.JURISDICAO_SUBSTITUTA é habilitado. Caso contrário, o campo W100.JURISDICAO_SUBSTITUTA é desabilitado.</w:t>
            </w:r>
          </w:p>
          <w:p w:rsidR="00F46979" w:rsidRDefault="00F46979" w:rsidP="00F46979">
            <w:pPr>
              <w:pStyle w:val="Corpodetexto"/>
              <w:rPr>
                <w:rFonts w:ascii="Times New Roman" w:hAnsi="Times New Roman" w:cs="Times New Roman"/>
              </w:rPr>
            </w:pPr>
          </w:p>
          <w:p w:rsidR="00F46979" w:rsidRDefault="00F46979" w:rsidP="00F46979">
            <w:pPr>
              <w:pStyle w:val="Corpodetexto"/>
              <w:rPr>
                <w:rFonts w:ascii="Times New Roman" w:hAnsi="Times New Roman" w:cs="Times New Roman"/>
              </w:rPr>
            </w:pPr>
            <w:r>
              <w:rPr>
                <w:rFonts w:ascii="Times New Roman" w:hAnsi="Times New Roman" w:cs="Times New Roman"/>
                <w:b/>
                <w:bCs/>
              </w:rPr>
              <w:t xml:space="preserve">REGRA_JURISDICAO_SUBSTITUTA_OBRIGATORIA: </w:t>
            </w:r>
            <w:r>
              <w:rPr>
                <w:rFonts w:ascii="Times New Roman" w:hAnsi="Times New Roman" w:cs="Times New Roman"/>
              </w:rPr>
              <w:t>Verifica, quando W100.IND_ENTREGA é igual a “4” (Outra entidade), se o campo W100.JURISDICAO_SUBSTITUTA está preenchido.</w:t>
            </w:r>
          </w:p>
          <w:p w:rsidR="00F46979" w:rsidRDefault="00F46979" w:rsidP="00F46979">
            <w:pPr>
              <w:pStyle w:val="Corpodetexto"/>
              <w:rPr>
                <w:rFonts w:ascii="Times New Roman" w:hAnsi="Times New Roman" w:cs="Times New Roman"/>
              </w:rPr>
            </w:pPr>
          </w:p>
          <w:p w:rsidR="00F46979" w:rsidRDefault="00F46979" w:rsidP="00F46979">
            <w:pPr>
              <w:pStyle w:val="Corpodetexto"/>
              <w:rPr>
                <w:rFonts w:ascii="Times New Roman" w:hAnsi="Times New Roman" w:cs="Times New Roman"/>
              </w:rPr>
            </w:pPr>
            <w:r>
              <w:rPr>
                <w:rFonts w:ascii="Times New Roman" w:hAnsi="Times New Roman" w:cs="Times New Roman"/>
                <w:b/>
                <w:bCs/>
              </w:rPr>
              <w:t xml:space="preserve">REGRA_JURISDICAO_SUBSTITUTA_NAO_PREENCHER: </w:t>
            </w:r>
            <w:r>
              <w:rPr>
                <w:rFonts w:ascii="Times New Roman" w:hAnsi="Times New Roman" w:cs="Times New Roman"/>
              </w:rPr>
              <w:t>Verifica, quando W100.IND_ENTREGA é diferente de “4” (Outra entidade), se o campo W100.JURISIDICAO_SUBSTITUTA não está preenchido.</w:t>
            </w:r>
          </w:p>
          <w:p w:rsidR="00F46979" w:rsidRDefault="00F46979" w:rsidP="00F46979">
            <w:pPr>
              <w:pStyle w:val="Corpodetexto"/>
              <w:rPr>
                <w:rFonts w:ascii="Times New Roman" w:hAnsi="Times New Roman" w:cs="Times New Roman"/>
              </w:rPr>
            </w:pPr>
          </w:p>
          <w:p w:rsidR="00F46979" w:rsidRDefault="00F46979" w:rsidP="00F46979">
            <w:pPr>
              <w:pStyle w:val="Corpodetexto"/>
              <w:rPr>
                <w:rFonts w:ascii="Times New Roman" w:hAnsi="Times New Roman" w:cs="Times New Roman"/>
              </w:rPr>
            </w:pPr>
            <w:r>
              <w:rPr>
                <w:rFonts w:ascii="Times New Roman" w:hAnsi="Times New Roman" w:cs="Times New Roman"/>
                <w:b/>
                <w:bCs/>
              </w:rPr>
              <w:t xml:space="preserve">REGRA_JURISDICAO_SUBSTITUTA_LOCAL: </w:t>
            </w:r>
            <w:r>
              <w:rPr>
                <w:rFonts w:ascii="Times New Roman" w:hAnsi="Times New Roman" w:cs="Times New Roman"/>
              </w:rPr>
              <w:t>Verifica, quando W100.IND_ENTREGA é igual a “4” (Outra entidade) e W100.IND_MODALIDADE é igual a “2” (Preenchimento local), se W100.JURISDICAO_SUBSTITUTA é igual a “Brasil”.</w:t>
            </w:r>
          </w:p>
          <w:p w:rsidR="00F46979" w:rsidRDefault="00F46979" w:rsidP="00F46979">
            <w:pPr>
              <w:pStyle w:val="Corpodetexto"/>
              <w:rPr>
                <w:rFonts w:ascii="Times New Roman" w:hAnsi="Times New Roman" w:cs="Times New Roman"/>
              </w:rPr>
            </w:pPr>
          </w:p>
          <w:p w:rsidR="00F46979" w:rsidRDefault="00F46979" w:rsidP="00F46979">
            <w:pPr>
              <w:pStyle w:val="Corpodetexto"/>
              <w:rPr>
                <w:rFonts w:ascii="Times New Roman" w:hAnsi="Times New Roman" w:cs="Times New Roman"/>
              </w:rPr>
            </w:pPr>
            <w:r>
              <w:rPr>
                <w:rFonts w:ascii="Times New Roman" w:hAnsi="Times New Roman" w:cs="Times New Roman"/>
                <w:b/>
                <w:bCs/>
              </w:rPr>
              <w:t xml:space="preserve">REGRA_JURISDICAO_SUBSTITUTA_NAO_PREENCHER_SEM_ACORDO: </w:t>
            </w:r>
            <w:r>
              <w:rPr>
                <w:rFonts w:ascii="Times New Roman" w:hAnsi="Times New Roman" w:cs="Times New Roman"/>
              </w:rPr>
              <w:t xml:space="preserve">Verifica, quando W100.IND_ENTREGA é igual a “4” (Outra entidade) e W100.IND_MODALIDADE é igual a “1” (Entidade substituta) e W100.JURISDICAO_SUBSTITUTA é diferente de “Brasil”, se o país informado no campo W100.JURISDICAO_SUBSTITUTA consta na tabela de Acordo de Autoridades Competentes (A jurisdição de residência </w:t>
            </w:r>
            <w:r w:rsidRPr="00341460">
              <w:rPr>
                <w:rFonts w:ascii="Times New Roman" w:hAnsi="Times New Roman" w:cs="Times New Roman"/>
                <w:highlight w:val="yellow"/>
              </w:rPr>
              <w:t>para fins tributários</w:t>
            </w:r>
            <w:r>
              <w:rPr>
                <w:rFonts w:ascii="Times New Roman" w:hAnsi="Times New Roman" w:cs="Times New Roman"/>
              </w:rPr>
              <w:t xml:space="preserve"> da entidade substituta do grupo multinacional deve possuir Acordo de Autoridades Competentes com o Brasil para intercâmbio da Declaração País-a-País).</w:t>
            </w:r>
          </w:p>
          <w:p w:rsidR="00F46979" w:rsidRDefault="00F46979" w:rsidP="00F46979">
            <w:pPr>
              <w:pStyle w:val="Corpodetexto"/>
              <w:rPr>
                <w:rFonts w:ascii="Times New Roman" w:hAnsi="Times New Roman" w:cs="Times New Roman"/>
              </w:rPr>
            </w:pPr>
          </w:p>
          <w:p w:rsidR="00F46979" w:rsidRDefault="00F46979" w:rsidP="00F46979">
            <w:pPr>
              <w:pStyle w:val="Corpodetexto"/>
              <w:rPr>
                <w:rFonts w:ascii="Times New Roman" w:hAnsi="Times New Roman" w:cs="Times New Roman"/>
              </w:rPr>
            </w:pPr>
            <w:r>
              <w:rPr>
                <w:rFonts w:ascii="Times New Roman" w:hAnsi="Times New Roman" w:cs="Times New Roman"/>
                <w:b/>
                <w:bCs/>
              </w:rPr>
              <w:t xml:space="preserve">REGRA_JURISDICAO_SUBSTITUTA_NAO_PREENCHER_FALHA_SISTEMICA: </w:t>
            </w:r>
            <w:r>
              <w:rPr>
                <w:rFonts w:ascii="Times New Roman" w:hAnsi="Times New Roman" w:cs="Times New Roman"/>
              </w:rPr>
              <w:t xml:space="preserve">Verifica, quando W100.IND_ENTREGA é igual a “4” (Outra entidade) e W100.IND_MODALIDADE é igual a “1” (Entidade substituta) e W100.JURISDICAO_SUBSTITUTA é diferente de “Brasil”, se o país informado no campo W100.JURISDICAO_SUBSTITUTA consta na tabela de Falha Sistêmica (A jurisdição de residência tributária da entidade substituta do grupo multinacional está enquadrada na situação de falha sistêmica, conforme definido na </w:t>
            </w:r>
            <w:r w:rsidR="00E53726">
              <w:rPr>
                <w:rFonts w:ascii="Times New Roman" w:hAnsi="Times New Roman" w:cs="Times New Roman"/>
              </w:rPr>
              <w:t>IN</w:t>
            </w:r>
            <w:r>
              <w:rPr>
                <w:rFonts w:ascii="Times New Roman" w:hAnsi="Times New Roman" w:cs="Times New Roman"/>
              </w:rPr>
              <w:t xml:space="preserve"> RFB nº 1.681/2016).</w:t>
            </w:r>
          </w:p>
        </w:tc>
        <w:tc>
          <w:tcPr>
            <w:tcW w:w="961" w:type="dxa"/>
            <w:tcBorders>
              <w:top w:val="single" w:sz="6" w:space="0" w:color="auto"/>
              <w:left w:val="single" w:sz="6" w:space="0" w:color="auto"/>
              <w:bottom w:val="single" w:sz="6" w:space="0" w:color="auto"/>
            </w:tcBorders>
          </w:tcPr>
          <w:p w:rsidR="00F46979" w:rsidRDefault="00F46979" w:rsidP="00F46979">
            <w:pPr>
              <w:pStyle w:val="PSDS-CorpodeTexto0"/>
              <w:rPr>
                <w:rFonts w:ascii="Times New Roman" w:hAnsi="Times New Roman" w:cs="Times New Roman"/>
              </w:rPr>
            </w:pPr>
            <w:r>
              <w:rPr>
                <w:rFonts w:ascii="Times New Roman" w:hAnsi="Times New Roman" w:cs="Times New Roman"/>
              </w:rPr>
              <w:t>Habilita</w:t>
            </w: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r>
              <w:rPr>
                <w:rFonts w:ascii="Times New Roman" w:hAnsi="Times New Roman" w:cs="Times New Roman"/>
              </w:rPr>
              <w:t>Erro</w:t>
            </w: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r>
              <w:rPr>
                <w:rFonts w:ascii="Times New Roman" w:hAnsi="Times New Roman" w:cs="Times New Roman"/>
              </w:rPr>
              <w:t>Erro</w:t>
            </w: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r>
              <w:rPr>
                <w:rFonts w:ascii="Times New Roman" w:hAnsi="Times New Roman" w:cs="Times New Roman"/>
              </w:rPr>
              <w:t>Erro</w:t>
            </w: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r>
              <w:rPr>
                <w:rFonts w:ascii="Times New Roman" w:hAnsi="Times New Roman" w:cs="Times New Roman"/>
              </w:rPr>
              <w:t>Erro</w:t>
            </w: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r>
              <w:rPr>
                <w:rFonts w:ascii="Times New Roman" w:hAnsi="Times New Roman" w:cs="Times New Roman"/>
              </w:rPr>
              <w:t>Erro</w:t>
            </w:r>
          </w:p>
        </w:tc>
      </w:tr>
      <w:tr w:rsidR="00F46979" w:rsidTr="00F46979">
        <w:trPr>
          <w:jc w:val="center"/>
        </w:trPr>
        <w:tc>
          <w:tcPr>
            <w:tcW w:w="485" w:type="dxa"/>
            <w:tcBorders>
              <w:top w:val="single" w:sz="6" w:space="0" w:color="auto"/>
              <w:bottom w:val="single" w:sz="6" w:space="0" w:color="auto"/>
              <w:right w:val="single" w:sz="6" w:space="0" w:color="auto"/>
            </w:tcBorders>
          </w:tcPr>
          <w:p w:rsidR="00F46979" w:rsidRDefault="00F46979" w:rsidP="00F46979">
            <w:pPr>
              <w:pStyle w:val="PSDS-CorpodeTexto0"/>
              <w:suppressAutoHyphens w:val="0"/>
              <w:rPr>
                <w:rFonts w:ascii="Times New Roman" w:hAnsi="Times New Roman" w:cs="Times New Roman"/>
                <w:b/>
                <w:bCs/>
                <w:lang w:val="pt-PT"/>
              </w:rPr>
            </w:pPr>
            <w:r>
              <w:rPr>
                <w:rFonts w:ascii="Times New Roman" w:hAnsi="Times New Roman" w:cs="Times New Roman"/>
                <w:b/>
                <w:bCs/>
                <w:lang w:val="pt-PT"/>
              </w:rPr>
              <w:t>11</w:t>
            </w:r>
          </w:p>
        </w:tc>
        <w:tc>
          <w:tcPr>
            <w:tcW w:w="3000" w:type="dxa"/>
            <w:tcBorders>
              <w:top w:val="single" w:sz="6" w:space="0" w:color="auto"/>
              <w:left w:val="single" w:sz="6" w:space="0" w:color="auto"/>
              <w:bottom w:val="single" w:sz="6" w:space="0" w:color="auto"/>
              <w:right w:val="single" w:sz="6" w:space="0" w:color="auto"/>
            </w:tcBorders>
          </w:tcPr>
          <w:p w:rsidR="00F46979" w:rsidRDefault="00F46979" w:rsidP="00F46979">
            <w:pPr>
              <w:pStyle w:val="PSDS-CorpodeTexto0"/>
              <w:rPr>
                <w:rFonts w:ascii="Times New Roman" w:hAnsi="Times New Roman" w:cs="Times New Roman"/>
              </w:rPr>
            </w:pPr>
            <w:r>
              <w:rPr>
                <w:rFonts w:ascii="Times New Roman" w:hAnsi="Times New Roman" w:cs="Times New Roman"/>
              </w:rPr>
              <w:t>TIN_SUBSTITUTA</w:t>
            </w:r>
          </w:p>
        </w:tc>
        <w:tc>
          <w:tcPr>
            <w:tcW w:w="11165" w:type="dxa"/>
            <w:tcBorders>
              <w:top w:val="single" w:sz="6" w:space="0" w:color="auto"/>
              <w:left w:val="single" w:sz="6" w:space="0" w:color="auto"/>
              <w:bottom w:val="single" w:sz="6" w:space="0" w:color="auto"/>
              <w:right w:val="single" w:sz="6" w:space="0" w:color="auto"/>
            </w:tcBorders>
          </w:tcPr>
          <w:p w:rsidR="00F46979" w:rsidRDefault="00F46979" w:rsidP="00F46979">
            <w:pPr>
              <w:pStyle w:val="Corpodetexto"/>
              <w:rPr>
                <w:rFonts w:ascii="Times New Roman" w:hAnsi="Times New Roman" w:cs="Times New Roman"/>
              </w:rPr>
            </w:pPr>
            <w:r>
              <w:rPr>
                <w:rFonts w:ascii="Times New Roman" w:hAnsi="Times New Roman" w:cs="Times New Roman"/>
                <w:b/>
                <w:bCs/>
              </w:rPr>
              <w:t xml:space="preserve">REGRA_HABILITA_SUBSTITUTA: </w:t>
            </w:r>
            <w:r>
              <w:rPr>
                <w:rFonts w:ascii="Times New Roman" w:hAnsi="Times New Roman" w:cs="Times New Roman"/>
              </w:rPr>
              <w:t>Caso W100.IND_ENTREGA seja igual a “4” (Outra entidade), o campo W100.TIN_SUBSTITUTA é habilitado. Caso contrário, o campo W100.TIN_SUBSTITUTA é desabilitado.</w:t>
            </w:r>
          </w:p>
          <w:p w:rsidR="00F46979" w:rsidRDefault="00F46979" w:rsidP="00F46979">
            <w:pPr>
              <w:pStyle w:val="Corpodetexto"/>
              <w:rPr>
                <w:rFonts w:ascii="Times New Roman" w:hAnsi="Times New Roman" w:cs="Times New Roman"/>
              </w:rPr>
            </w:pPr>
          </w:p>
          <w:p w:rsidR="00F46979" w:rsidRDefault="00F46979" w:rsidP="00F46979">
            <w:pPr>
              <w:pStyle w:val="Corpodetexto"/>
              <w:rPr>
                <w:rFonts w:ascii="Times New Roman" w:hAnsi="Times New Roman" w:cs="Times New Roman"/>
              </w:rPr>
            </w:pPr>
            <w:r>
              <w:rPr>
                <w:rFonts w:ascii="Times New Roman" w:hAnsi="Times New Roman" w:cs="Times New Roman"/>
                <w:b/>
                <w:bCs/>
              </w:rPr>
              <w:t xml:space="preserve">REGRA_TIN_SUBSTITUTA_OBRIGATORIO: </w:t>
            </w:r>
            <w:r>
              <w:rPr>
                <w:rFonts w:ascii="Times New Roman" w:hAnsi="Times New Roman" w:cs="Times New Roman"/>
              </w:rPr>
              <w:t>Verifica, quando W100.IND_ENTREGA é igual a “4” (Outra entidade) e W100.JURISDICAO_SUBSTITUTA é igual a “Brasil”, se o campo W100.TIN_SUBSTITUTA está preenchido.</w:t>
            </w:r>
          </w:p>
          <w:p w:rsidR="00F46979" w:rsidRDefault="00F46979" w:rsidP="00F46979">
            <w:pPr>
              <w:pStyle w:val="Corpodetexto"/>
              <w:rPr>
                <w:rFonts w:ascii="Times New Roman" w:hAnsi="Times New Roman" w:cs="Times New Roman"/>
              </w:rPr>
            </w:pPr>
          </w:p>
          <w:p w:rsidR="00F46979" w:rsidRDefault="00F46979" w:rsidP="00F46979">
            <w:pPr>
              <w:pStyle w:val="Corpodetexto"/>
              <w:rPr>
                <w:rFonts w:ascii="Times New Roman" w:hAnsi="Times New Roman" w:cs="Times New Roman"/>
              </w:rPr>
            </w:pPr>
            <w:r>
              <w:rPr>
                <w:rFonts w:ascii="Times New Roman" w:hAnsi="Times New Roman" w:cs="Times New Roman"/>
                <w:b/>
                <w:bCs/>
              </w:rPr>
              <w:lastRenderedPageBreak/>
              <w:t xml:space="preserve">REGRA_TIN_SUBSTITUTA_NAO_PREENCHER: </w:t>
            </w:r>
            <w:r>
              <w:rPr>
                <w:rFonts w:ascii="Times New Roman" w:hAnsi="Times New Roman" w:cs="Times New Roman"/>
              </w:rPr>
              <w:t>Verifica, quando W100.IND_ENTREGA é diferente de “4” (Outra entidade) ou W100.JURISDICAO_SUBSTITUTA é diferente de “Brasil”, se o campo W100.TIN_SUBSTITUTA não está preenchido.</w:t>
            </w:r>
          </w:p>
          <w:p w:rsidR="00F46979" w:rsidRDefault="00F46979" w:rsidP="00F46979">
            <w:pPr>
              <w:pStyle w:val="Corpodetexto"/>
              <w:rPr>
                <w:rFonts w:ascii="Times New Roman" w:hAnsi="Times New Roman" w:cs="Times New Roman"/>
              </w:rPr>
            </w:pPr>
          </w:p>
          <w:p w:rsidR="00F46979" w:rsidRDefault="00F46979" w:rsidP="00F46979">
            <w:pPr>
              <w:pStyle w:val="Corpodetexto"/>
              <w:rPr>
                <w:rFonts w:ascii="Times New Roman" w:hAnsi="Times New Roman" w:cs="Times New Roman"/>
              </w:rPr>
            </w:pPr>
            <w:r>
              <w:rPr>
                <w:rFonts w:ascii="Times New Roman" w:hAnsi="Times New Roman" w:cs="Times New Roman"/>
                <w:b/>
                <w:bCs/>
              </w:rPr>
              <w:t xml:space="preserve">REGRA_VALIDA_TIN_SUBSTITUTA: </w:t>
            </w:r>
            <w:r>
              <w:rPr>
                <w:rFonts w:ascii="Times New Roman" w:hAnsi="Times New Roman" w:cs="Times New Roman"/>
              </w:rPr>
              <w:t>Verifica, quando W100.JURISDICAO_</w:t>
            </w:r>
            <w:r w:rsidRPr="009A3F91">
              <w:rPr>
                <w:rFonts w:ascii="Times New Roman" w:hAnsi="Times New Roman" w:cs="Times New Roman"/>
                <w:highlight w:val="yellow"/>
              </w:rPr>
              <w:t>SUBSTITUTA</w:t>
            </w:r>
            <w:r>
              <w:rPr>
                <w:rFonts w:ascii="Times New Roman" w:hAnsi="Times New Roman" w:cs="Times New Roman"/>
              </w:rPr>
              <w:t xml:space="preserve"> for igual a “BR” (Brasil), se o campo W100.TIN_SUBSTITUTA está preenchido com um CNPJ (aplica a REGRA_VALIDA_CNPJ: Verifica se o CNPJ informado é válido).</w:t>
            </w:r>
          </w:p>
          <w:p w:rsidR="00F46979" w:rsidRDefault="00F46979" w:rsidP="00F46979">
            <w:pPr>
              <w:pStyle w:val="Corpodetexto"/>
              <w:rPr>
                <w:rFonts w:ascii="Times New Roman" w:hAnsi="Times New Roman" w:cs="Times New Roman"/>
              </w:rPr>
            </w:pPr>
          </w:p>
          <w:p w:rsidR="00F46979" w:rsidRDefault="00F46979" w:rsidP="00F46979">
            <w:pPr>
              <w:pStyle w:val="Corpodetexto"/>
              <w:rPr>
                <w:rFonts w:ascii="Times New Roman" w:hAnsi="Times New Roman" w:cs="Times New Roman"/>
              </w:rPr>
            </w:pPr>
            <w:r>
              <w:rPr>
                <w:rFonts w:ascii="Times New Roman" w:hAnsi="Times New Roman" w:cs="Times New Roman"/>
                <w:b/>
                <w:bCs/>
              </w:rPr>
              <w:t xml:space="preserve">REGRA_CNPJ_BASICO_DIFERENTE_SUBSTITUTA: </w:t>
            </w:r>
            <w:r>
              <w:rPr>
                <w:rFonts w:ascii="Times New Roman" w:hAnsi="Times New Roman" w:cs="Times New Roman"/>
              </w:rPr>
              <w:t>Verifica, quando W100.JURISDICAO_</w:t>
            </w:r>
            <w:r w:rsidRPr="009A3F91">
              <w:rPr>
                <w:rFonts w:ascii="Times New Roman" w:hAnsi="Times New Roman" w:cs="Times New Roman"/>
                <w:highlight w:val="yellow"/>
              </w:rPr>
              <w:t>SUBSTITUTA</w:t>
            </w:r>
            <w:r>
              <w:rPr>
                <w:rFonts w:ascii="Times New Roman" w:hAnsi="Times New Roman" w:cs="Times New Roman"/>
              </w:rPr>
              <w:t xml:space="preserve"> for igual a “BR” (Brasil), se o campo W100.TIN_SUBSTITUTA está preenchido com um CNPJ e se o CNPJ básico informado é diferente do CNPJ básico do declarante da ECF, informado em 0000.CNPJ.</w:t>
            </w:r>
          </w:p>
        </w:tc>
        <w:tc>
          <w:tcPr>
            <w:tcW w:w="961" w:type="dxa"/>
            <w:tcBorders>
              <w:top w:val="single" w:sz="6" w:space="0" w:color="auto"/>
              <w:left w:val="single" w:sz="6" w:space="0" w:color="auto"/>
              <w:bottom w:val="single" w:sz="6" w:space="0" w:color="auto"/>
            </w:tcBorders>
          </w:tcPr>
          <w:p w:rsidR="00F46979" w:rsidRDefault="00F46979" w:rsidP="00F46979">
            <w:pPr>
              <w:pStyle w:val="PSDS-CorpodeTexto0"/>
              <w:rPr>
                <w:rFonts w:ascii="Times New Roman" w:hAnsi="Times New Roman" w:cs="Times New Roman"/>
              </w:rPr>
            </w:pPr>
            <w:r>
              <w:rPr>
                <w:rFonts w:ascii="Times New Roman" w:hAnsi="Times New Roman" w:cs="Times New Roman"/>
              </w:rPr>
              <w:lastRenderedPageBreak/>
              <w:t>Habilita</w:t>
            </w: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r>
              <w:rPr>
                <w:rFonts w:ascii="Times New Roman" w:hAnsi="Times New Roman" w:cs="Times New Roman"/>
              </w:rPr>
              <w:t>Erro</w:t>
            </w: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r>
              <w:rPr>
                <w:rFonts w:ascii="Times New Roman" w:hAnsi="Times New Roman" w:cs="Times New Roman"/>
              </w:rPr>
              <w:lastRenderedPageBreak/>
              <w:t>Erro</w:t>
            </w: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r>
              <w:rPr>
                <w:rFonts w:ascii="Times New Roman" w:hAnsi="Times New Roman" w:cs="Times New Roman"/>
              </w:rPr>
              <w:t>Erro</w:t>
            </w: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r>
              <w:rPr>
                <w:rFonts w:ascii="Times New Roman" w:hAnsi="Times New Roman" w:cs="Times New Roman"/>
              </w:rPr>
              <w:t>Erro</w:t>
            </w:r>
          </w:p>
        </w:tc>
      </w:tr>
      <w:tr w:rsidR="00F46979" w:rsidTr="00F46979">
        <w:trPr>
          <w:jc w:val="center"/>
        </w:trPr>
        <w:tc>
          <w:tcPr>
            <w:tcW w:w="485" w:type="dxa"/>
            <w:tcBorders>
              <w:top w:val="single" w:sz="6" w:space="0" w:color="auto"/>
              <w:bottom w:val="single" w:sz="6" w:space="0" w:color="auto"/>
              <w:right w:val="single" w:sz="6" w:space="0" w:color="auto"/>
            </w:tcBorders>
          </w:tcPr>
          <w:p w:rsidR="00F46979" w:rsidRDefault="00F46979" w:rsidP="00F46979">
            <w:pPr>
              <w:pStyle w:val="PSDS-CorpodeTexto0"/>
              <w:suppressAutoHyphens w:val="0"/>
              <w:rPr>
                <w:rFonts w:ascii="Times New Roman" w:hAnsi="Times New Roman" w:cs="Times New Roman"/>
                <w:b/>
                <w:bCs/>
                <w:lang w:val="pt-PT"/>
              </w:rPr>
            </w:pPr>
            <w:r>
              <w:rPr>
                <w:rFonts w:ascii="Times New Roman" w:hAnsi="Times New Roman" w:cs="Times New Roman"/>
                <w:b/>
                <w:bCs/>
                <w:lang w:val="pt-PT"/>
              </w:rPr>
              <w:lastRenderedPageBreak/>
              <w:t>12</w:t>
            </w:r>
          </w:p>
        </w:tc>
        <w:tc>
          <w:tcPr>
            <w:tcW w:w="3000" w:type="dxa"/>
            <w:tcBorders>
              <w:top w:val="single" w:sz="6" w:space="0" w:color="auto"/>
              <w:left w:val="single" w:sz="6" w:space="0" w:color="auto"/>
              <w:bottom w:val="single" w:sz="6" w:space="0" w:color="auto"/>
              <w:right w:val="single" w:sz="6" w:space="0" w:color="auto"/>
            </w:tcBorders>
          </w:tcPr>
          <w:p w:rsidR="00F46979" w:rsidRDefault="00F46979" w:rsidP="00F46979">
            <w:pPr>
              <w:pStyle w:val="PSDS-CorpodeTexto0"/>
              <w:rPr>
                <w:rFonts w:ascii="Times New Roman" w:hAnsi="Times New Roman" w:cs="Times New Roman"/>
              </w:rPr>
            </w:pPr>
            <w:r>
              <w:rPr>
                <w:rFonts w:ascii="Times New Roman" w:hAnsi="Times New Roman" w:cs="Times New Roman"/>
              </w:rPr>
              <w:t>DT_INI</w:t>
            </w:r>
          </w:p>
        </w:tc>
        <w:tc>
          <w:tcPr>
            <w:tcW w:w="11165" w:type="dxa"/>
            <w:tcBorders>
              <w:top w:val="single" w:sz="6" w:space="0" w:color="auto"/>
              <w:left w:val="single" w:sz="6" w:space="0" w:color="auto"/>
              <w:bottom w:val="single" w:sz="6" w:space="0" w:color="auto"/>
              <w:right w:val="single" w:sz="6" w:space="0" w:color="auto"/>
            </w:tcBorders>
          </w:tcPr>
          <w:p w:rsidR="00F46979" w:rsidRDefault="00F46979" w:rsidP="00F46979">
            <w:pPr>
              <w:pStyle w:val="Corpodetexto"/>
              <w:rPr>
                <w:rFonts w:ascii="Times New Roman" w:hAnsi="Times New Roman" w:cs="Times New Roman"/>
              </w:rPr>
            </w:pPr>
            <w:r>
              <w:rPr>
                <w:rFonts w:ascii="Times New Roman" w:hAnsi="Times New Roman" w:cs="Times New Roman"/>
                <w:b/>
                <w:bCs/>
              </w:rPr>
              <w:t xml:space="preserve">REGRA_HABILITA_DATA_PAIS_A_PAIS: </w:t>
            </w:r>
            <w:r>
              <w:rPr>
                <w:rFonts w:ascii="Times New Roman" w:hAnsi="Times New Roman" w:cs="Times New Roman"/>
              </w:rPr>
              <w:t>Caso [W100.IND_CONTROLADORA seja igual a “S” (Sim) e W100.IND_ENTREGA seja igual a “2” (Controladora final do grupo multinacional)] ou [W100.IND_ENTREGA seja igual a “3” (Própria entidade declarante da ECF) e W100.IND_MODALIDADE esteja preenchido], o campo W100.DT_INI é habilitado.</w:t>
            </w:r>
          </w:p>
          <w:p w:rsidR="00F46979" w:rsidRDefault="00F46979" w:rsidP="00F46979">
            <w:pPr>
              <w:pStyle w:val="Corpodetexto"/>
              <w:rPr>
                <w:rFonts w:ascii="Times New Roman" w:hAnsi="Times New Roman" w:cs="Times New Roman"/>
              </w:rPr>
            </w:pPr>
          </w:p>
          <w:p w:rsidR="00F46979" w:rsidRDefault="00F46979" w:rsidP="00F46979">
            <w:pPr>
              <w:pStyle w:val="Corpodetexto"/>
              <w:rPr>
                <w:rFonts w:ascii="Times New Roman" w:hAnsi="Times New Roman" w:cs="Times New Roman"/>
              </w:rPr>
            </w:pPr>
            <w:r>
              <w:rPr>
                <w:rFonts w:ascii="Times New Roman" w:hAnsi="Times New Roman" w:cs="Times New Roman"/>
                <w:b/>
                <w:bCs/>
              </w:rPr>
              <w:t xml:space="preserve">REGRA_DATA_PAIS_A_PAIS_OBRIGATORIO: </w:t>
            </w:r>
            <w:r>
              <w:rPr>
                <w:rFonts w:ascii="Times New Roman" w:hAnsi="Times New Roman" w:cs="Times New Roman"/>
              </w:rPr>
              <w:t>Verifica, quando [W100.IND_CONTROLADORA seja igual a “S” (Sim) e W100.IND_ENTREGA seja igual a “2” (Controladora final do grupo multinacional)] ou [W100.IND_ENTREGA é igual a “3” (Própria entidade declarante da ECF) e W100.IND_MODALIDADE está preenchido], se o campo W100.DT_INI está preenchido.</w:t>
            </w:r>
          </w:p>
          <w:p w:rsidR="00F46979" w:rsidRDefault="00F46979" w:rsidP="00F46979">
            <w:pPr>
              <w:pStyle w:val="Corpodetexto"/>
              <w:rPr>
                <w:rFonts w:ascii="Times New Roman" w:hAnsi="Times New Roman" w:cs="Times New Roman"/>
              </w:rPr>
            </w:pPr>
          </w:p>
          <w:p w:rsidR="00F46979" w:rsidRDefault="00F46979" w:rsidP="00F46979">
            <w:pPr>
              <w:pStyle w:val="Corpodetexto"/>
              <w:rPr>
                <w:rFonts w:ascii="Times New Roman" w:hAnsi="Times New Roman" w:cs="Times New Roman"/>
              </w:rPr>
            </w:pPr>
            <w:r>
              <w:rPr>
                <w:rFonts w:ascii="Times New Roman" w:hAnsi="Times New Roman" w:cs="Times New Roman"/>
                <w:b/>
                <w:bCs/>
              </w:rPr>
              <w:t xml:space="preserve">REGRA_DATA_PAIS_A_PAIS_NAO_PREENCHER: </w:t>
            </w:r>
            <w:r>
              <w:rPr>
                <w:rFonts w:ascii="Times New Roman" w:hAnsi="Times New Roman" w:cs="Times New Roman"/>
              </w:rPr>
              <w:t>Verifica, quando [W100.IND_CONTROLADORA é igual a “N” (Não) ou W100.IND_ENTREGA é diferente de “2”] e [W100.IND_ENTREGA é diferente a “3” (Própria entidade declarante da ECF) ou W100.IND_MODALIDADE não está preenchido], se o campo W100.DT_INI não está preenchido.</w:t>
            </w:r>
          </w:p>
          <w:p w:rsidR="00F46979" w:rsidRDefault="00F46979" w:rsidP="00F46979">
            <w:pPr>
              <w:pStyle w:val="Corpodetexto"/>
              <w:rPr>
                <w:rFonts w:ascii="Times New Roman" w:hAnsi="Times New Roman" w:cs="Times New Roman"/>
              </w:rPr>
            </w:pPr>
          </w:p>
          <w:p w:rsidR="00F46979" w:rsidRDefault="00F46979" w:rsidP="00F46979">
            <w:pPr>
              <w:pStyle w:val="Corpodetexto"/>
              <w:rPr>
                <w:rFonts w:ascii="Times New Roman" w:hAnsi="Times New Roman" w:cs="Times New Roman"/>
              </w:rPr>
            </w:pPr>
            <w:r>
              <w:rPr>
                <w:rFonts w:ascii="Times New Roman" w:hAnsi="Times New Roman" w:cs="Times New Roman"/>
                <w:b/>
                <w:bCs/>
              </w:rPr>
              <w:t xml:space="preserve">REGRA_DATA_MENOR_UM_ANO: </w:t>
            </w:r>
            <w:r>
              <w:rPr>
                <w:rFonts w:ascii="Times New Roman" w:hAnsi="Times New Roman" w:cs="Times New Roman"/>
              </w:rPr>
              <w:t>Verifica se a diferença entre W100.DT_FIN e W100.DT_INI é menor ou igual a 366 dias (O período da Declaração País-a-País deve ser menor ou igual a 1 ano).</w:t>
            </w:r>
          </w:p>
        </w:tc>
        <w:tc>
          <w:tcPr>
            <w:tcW w:w="961" w:type="dxa"/>
            <w:tcBorders>
              <w:top w:val="single" w:sz="6" w:space="0" w:color="auto"/>
              <w:left w:val="single" w:sz="6" w:space="0" w:color="auto"/>
              <w:bottom w:val="single" w:sz="6" w:space="0" w:color="auto"/>
            </w:tcBorders>
          </w:tcPr>
          <w:p w:rsidR="00F46979" w:rsidRDefault="00F46979" w:rsidP="00F46979">
            <w:pPr>
              <w:pStyle w:val="PSDS-CorpodeTexto0"/>
              <w:rPr>
                <w:rFonts w:ascii="Times New Roman" w:hAnsi="Times New Roman" w:cs="Times New Roman"/>
              </w:rPr>
            </w:pPr>
            <w:r>
              <w:rPr>
                <w:rFonts w:ascii="Times New Roman" w:hAnsi="Times New Roman" w:cs="Times New Roman"/>
              </w:rPr>
              <w:t>Habilita</w:t>
            </w: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r>
              <w:rPr>
                <w:rFonts w:ascii="Times New Roman" w:hAnsi="Times New Roman" w:cs="Times New Roman"/>
              </w:rPr>
              <w:t>Erro</w:t>
            </w: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r>
              <w:rPr>
                <w:rFonts w:ascii="Times New Roman" w:hAnsi="Times New Roman" w:cs="Times New Roman"/>
              </w:rPr>
              <w:t>Erro</w:t>
            </w: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r>
              <w:rPr>
                <w:rFonts w:ascii="Times New Roman" w:hAnsi="Times New Roman" w:cs="Times New Roman"/>
              </w:rPr>
              <w:t>Erro</w:t>
            </w:r>
          </w:p>
        </w:tc>
      </w:tr>
      <w:tr w:rsidR="00F46979" w:rsidTr="00F46979">
        <w:trPr>
          <w:jc w:val="center"/>
        </w:trPr>
        <w:tc>
          <w:tcPr>
            <w:tcW w:w="485" w:type="dxa"/>
            <w:tcBorders>
              <w:top w:val="single" w:sz="6" w:space="0" w:color="auto"/>
              <w:bottom w:val="single" w:sz="6" w:space="0" w:color="auto"/>
              <w:right w:val="single" w:sz="6" w:space="0" w:color="auto"/>
            </w:tcBorders>
          </w:tcPr>
          <w:p w:rsidR="00F46979" w:rsidRDefault="00F46979" w:rsidP="00F46979">
            <w:pPr>
              <w:pStyle w:val="PSDS-CorpodeTexto0"/>
              <w:suppressAutoHyphens w:val="0"/>
              <w:rPr>
                <w:rFonts w:ascii="Times New Roman" w:hAnsi="Times New Roman" w:cs="Times New Roman"/>
                <w:b/>
                <w:bCs/>
                <w:lang w:val="pt-PT"/>
              </w:rPr>
            </w:pPr>
            <w:r>
              <w:rPr>
                <w:rFonts w:ascii="Times New Roman" w:hAnsi="Times New Roman" w:cs="Times New Roman"/>
                <w:b/>
                <w:bCs/>
                <w:lang w:val="pt-PT"/>
              </w:rPr>
              <w:t>13</w:t>
            </w:r>
          </w:p>
        </w:tc>
        <w:tc>
          <w:tcPr>
            <w:tcW w:w="3000" w:type="dxa"/>
            <w:tcBorders>
              <w:top w:val="single" w:sz="6" w:space="0" w:color="auto"/>
              <w:left w:val="single" w:sz="6" w:space="0" w:color="auto"/>
              <w:bottom w:val="single" w:sz="6" w:space="0" w:color="auto"/>
              <w:right w:val="single" w:sz="6" w:space="0" w:color="auto"/>
            </w:tcBorders>
          </w:tcPr>
          <w:p w:rsidR="00F46979" w:rsidRDefault="00F46979" w:rsidP="00F46979">
            <w:pPr>
              <w:pStyle w:val="PSDS-CorpodeTexto0"/>
              <w:rPr>
                <w:rFonts w:ascii="Times New Roman" w:hAnsi="Times New Roman" w:cs="Times New Roman"/>
              </w:rPr>
            </w:pPr>
            <w:r>
              <w:rPr>
                <w:rFonts w:ascii="Times New Roman" w:hAnsi="Times New Roman" w:cs="Times New Roman"/>
              </w:rPr>
              <w:t>DT_FIN</w:t>
            </w:r>
          </w:p>
        </w:tc>
        <w:tc>
          <w:tcPr>
            <w:tcW w:w="11165" w:type="dxa"/>
            <w:tcBorders>
              <w:top w:val="single" w:sz="6" w:space="0" w:color="auto"/>
              <w:left w:val="single" w:sz="6" w:space="0" w:color="auto"/>
              <w:bottom w:val="single" w:sz="6" w:space="0" w:color="auto"/>
              <w:right w:val="single" w:sz="6" w:space="0" w:color="auto"/>
            </w:tcBorders>
          </w:tcPr>
          <w:p w:rsidR="00F46979" w:rsidRDefault="00F46979" w:rsidP="00F46979">
            <w:pPr>
              <w:pStyle w:val="Corpodetexto"/>
              <w:rPr>
                <w:rFonts w:ascii="Times New Roman" w:hAnsi="Times New Roman" w:cs="Times New Roman"/>
              </w:rPr>
            </w:pPr>
            <w:r>
              <w:rPr>
                <w:rFonts w:ascii="Times New Roman" w:hAnsi="Times New Roman" w:cs="Times New Roman"/>
                <w:b/>
                <w:bCs/>
              </w:rPr>
              <w:t xml:space="preserve">REGRA_HABILITA_DATA_PAIS_A_PAIS: </w:t>
            </w:r>
            <w:r>
              <w:rPr>
                <w:rFonts w:ascii="Times New Roman" w:hAnsi="Times New Roman" w:cs="Times New Roman"/>
              </w:rPr>
              <w:t>Caso [W100.IND_CONTROLADORA seja igual a “S” (Sim) e W100.IND_ENTREGA seja igual a “2” (Controladora final do grupo multinacional)] ou [W100.IND_ENTREGA seja igual a “3” (Própria entidade declarante da ECF) e W100.IND_MODALIDADE esteja preenchido], o campo W100.DT_FIN é habilitado.</w:t>
            </w:r>
          </w:p>
          <w:p w:rsidR="00F46979" w:rsidRDefault="00F46979" w:rsidP="00F46979">
            <w:pPr>
              <w:pStyle w:val="Corpodetexto"/>
              <w:rPr>
                <w:rFonts w:ascii="Times New Roman" w:hAnsi="Times New Roman" w:cs="Times New Roman"/>
              </w:rPr>
            </w:pPr>
          </w:p>
          <w:p w:rsidR="00F46979" w:rsidRDefault="00F46979" w:rsidP="00F46979">
            <w:pPr>
              <w:pStyle w:val="Corpodetexto"/>
              <w:rPr>
                <w:rFonts w:ascii="Times New Roman" w:hAnsi="Times New Roman" w:cs="Times New Roman"/>
              </w:rPr>
            </w:pPr>
            <w:r>
              <w:rPr>
                <w:rFonts w:ascii="Times New Roman" w:hAnsi="Times New Roman" w:cs="Times New Roman"/>
                <w:b/>
                <w:bCs/>
              </w:rPr>
              <w:t xml:space="preserve">REGRA_DATA_PAIS_A_PAIS_OBRIGATORIO: </w:t>
            </w:r>
            <w:r>
              <w:rPr>
                <w:rFonts w:ascii="Times New Roman" w:hAnsi="Times New Roman" w:cs="Times New Roman"/>
              </w:rPr>
              <w:t>Verifica, quando [W100.IND_CONTROLADORA seja igual a “S” (Sim) e W100.IND_ENTREGA seja igual a “2” (Controladora final do grupo multinacional)] ou [W100.IND_ENTREGA é igual a “3” (Própria entidade declarante da ECF) e W100.IND_MODALIDADE está preenchido], se o campo W100.DT_FIN está preenchido.</w:t>
            </w:r>
          </w:p>
          <w:p w:rsidR="00F46979" w:rsidRDefault="00F46979" w:rsidP="00F46979">
            <w:pPr>
              <w:pStyle w:val="Corpodetexto"/>
              <w:rPr>
                <w:rFonts w:ascii="Times New Roman" w:hAnsi="Times New Roman" w:cs="Times New Roman"/>
              </w:rPr>
            </w:pPr>
          </w:p>
          <w:p w:rsidR="00F46979" w:rsidRDefault="00F46979" w:rsidP="00F46979">
            <w:pPr>
              <w:pStyle w:val="Corpodetexto"/>
              <w:rPr>
                <w:rFonts w:ascii="Times New Roman" w:hAnsi="Times New Roman" w:cs="Times New Roman"/>
              </w:rPr>
            </w:pPr>
            <w:r>
              <w:rPr>
                <w:rFonts w:ascii="Times New Roman" w:hAnsi="Times New Roman" w:cs="Times New Roman"/>
                <w:b/>
                <w:bCs/>
              </w:rPr>
              <w:t xml:space="preserve">REGRA_DATA_PAIS_A_PAIS_NAO_PREENCHER: </w:t>
            </w:r>
            <w:r>
              <w:rPr>
                <w:rFonts w:ascii="Times New Roman" w:hAnsi="Times New Roman" w:cs="Times New Roman"/>
              </w:rPr>
              <w:t>Verifica, quando W100.IND_CONTROLADORA é igual a “N” (Não) e [W100.IND_ENTREGA é diferente a “3” (Própria entidade declarante da ECF) ou W100.IND_MODALIDADE não está preenchido], se o campo W100.DT_FIN não está preenchido.</w:t>
            </w:r>
          </w:p>
          <w:p w:rsidR="00F46979" w:rsidRDefault="00F46979" w:rsidP="00F46979">
            <w:pPr>
              <w:pStyle w:val="Corpodetexto"/>
              <w:rPr>
                <w:rFonts w:ascii="Times New Roman" w:hAnsi="Times New Roman" w:cs="Times New Roman"/>
              </w:rPr>
            </w:pPr>
          </w:p>
          <w:p w:rsidR="00F46979" w:rsidRDefault="00F46979" w:rsidP="00F46979">
            <w:pPr>
              <w:pStyle w:val="Corpodetexto"/>
              <w:rPr>
                <w:rFonts w:ascii="Times New Roman" w:hAnsi="Times New Roman" w:cs="Times New Roman"/>
              </w:rPr>
            </w:pPr>
            <w:r>
              <w:rPr>
                <w:rFonts w:ascii="Times New Roman" w:hAnsi="Times New Roman" w:cs="Times New Roman"/>
                <w:b/>
                <w:bCs/>
              </w:rPr>
              <w:t xml:space="preserve">REGRA_W100_DATA_MAIOR: </w:t>
            </w:r>
            <w:r>
              <w:rPr>
                <w:rFonts w:ascii="Times New Roman" w:hAnsi="Times New Roman" w:cs="Times New Roman"/>
              </w:rPr>
              <w:t>Verifica se W100.DT_FIN é maior ou igual a W100.DT_INI.</w:t>
            </w:r>
          </w:p>
          <w:p w:rsidR="00F46979" w:rsidRDefault="00F46979" w:rsidP="00F46979">
            <w:pPr>
              <w:pStyle w:val="Corpodetexto"/>
              <w:rPr>
                <w:rFonts w:ascii="Times New Roman" w:hAnsi="Times New Roman" w:cs="Times New Roman"/>
              </w:rPr>
            </w:pPr>
          </w:p>
          <w:p w:rsidR="00F46979" w:rsidRDefault="00F46979" w:rsidP="00F46979">
            <w:pPr>
              <w:pStyle w:val="Corpodetexto"/>
              <w:rPr>
                <w:rFonts w:ascii="Times New Roman" w:hAnsi="Times New Roman" w:cs="Times New Roman"/>
              </w:rPr>
            </w:pPr>
            <w:r>
              <w:rPr>
                <w:rFonts w:ascii="Times New Roman" w:hAnsi="Times New Roman" w:cs="Times New Roman"/>
                <w:b/>
                <w:bCs/>
                <w:highlight w:val="yellow"/>
              </w:rPr>
              <w:lastRenderedPageBreak/>
              <w:t xml:space="preserve">REGRA_W100_DATA_MENOR_IGUAL_ECF: </w:t>
            </w:r>
            <w:r>
              <w:rPr>
                <w:rFonts w:ascii="Times New Roman" w:hAnsi="Times New Roman" w:cs="Times New Roman"/>
                <w:highlight w:val="yellow"/>
              </w:rPr>
              <w:t>Verifica se W100.DT_FIN é maior ou igual a 0000.DT_INI e menor ou igual a 0000.DT_FIN.</w:t>
            </w:r>
          </w:p>
        </w:tc>
        <w:tc>
          <w:tcPr>
            <w:tcW w:w="961" w:type="dxa"/>
            <w:tcBorders>
              <w:top w:val="single" w:sz="6" w:space="0" w:color="auto"/>
              <w:left w:val="single" w:sz="6" w:space="0" w:color="auto"/>
              <w:bottom w:val="single" w:sz="6" w:space="0" w:color="auto"/>
            </w:tcBorders>
          </w:tcPr>
          <w:p w:rsidR="00F46979" w:rsidRDefault="00F46979" w:rsidP="00F46979">
            <w:pPr>
              <w:pStyle w:val="PSDS-CorpodeTexto0"/>
              <w:rPr>
                <w:rFonts w:ascii="Times New Roman" w:hAnsi="Times New Roman" w:cs="Times New Roman"/>
              </w:rPr>
            </w:pPr>
            <w:r>
              <w:rPr>
                <w:rFonts w:ascii="Times New Roman" w:hAnsi="Times New Roman" w:cs="Times New Roman"/>
              </w:rPr>
              <w:lastRenderedPageBreak/>
              <w:t>Habilita</w:t>
            </w: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r>
              <w:rPr>
                <w:rFonts w:ascii="Times New Roman" w:hAnsi="Times New Roman" w:cs="Times New Roman"/>
              </w:rPr>
              <w:t>Erro</w:t>
            </w: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r>
              <w:rPr>
                <w:rFonts w:ascii="Times New Roman" w:hAnsi="Times New Roman" w:cs="Times New Roman"/>
              </w:rPr>
              <w:t>Erro</w:t>
            </w: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r>
              <w:rPr>
                <w:rFonts w:ascii="Times New Roman" w:hAnsi="Times New Roman" w:cs="Times New Roman"/>
              </w:rPr>
              <w:t>Erro</w:t>
            </w: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r>
              <w:rPr>
                <w:rFonts w:ascii="Times New Roman" w:hAnsi="Times New Roman" w:cs="Times New Roman"/>
              </w:rPr>
              <w:lastRenderedPageBreak/>
              <w:t>Erro</w:t>
            </w:r>
          </w:p>
        </w:tc>
      </w:tr>
      <w:tr w:rsidR="00F46979" w:rsidTr="00F46979">
        <w:trPr>
          <w:jc w:val="center"/>
        </w:trPr>
        <w:tc>
          <w:tcPr>
            <w:tcW w:w="485" w:type="dxa"/>
            <w:tcBorders>
              <w:top w:val="single" w:sz="6" w:space="0" w:color="auto"/>
              <w:bottom w:val="single" w:sz="6" w:space="0" w:color="auto"/>
              <w:right w:val="single" w:sz="6" w:space="0" w:color="auto"/>
            </w:tcBorders>
          </w:tcPr>
          <w:p w:rsidR="00F46979" w:rsidRDefault="00F46979" w:rsidP="00F46979">
            <w:pPr>
              <w:pStyle w:val="PSDS-CorpodeTexto0"/>
              <w:suppressAutoHyphens w:val="0"/>
              <w:rPr>
                <w:rFonts w:ascii="Times New Roman" w:hAnsi="Times New Roman" w:cs="Times New Roman"/>
                <w:b/>
                <w:bCs/>
                <w:lang w:val="pt-PT"/>
              </w:rPr>
            </w:pPr>
            <w:r>
              <w:rPr>
                <w:rFonts w:ascii="Times New Roman" w:hAnsi="Times New Roman" w:cs="Times New Roman"/>
                <w:b/>
                <w:bCs/>
                <w:lang w:val="pt-PT"/>
              </w:rPr>
              <w:lastRenderedPageBreak/>
              <w:t>14</w:t>
            </w:r>
          </w:p>
        </w:tc>
        <w:tc>
          <w:tcPr>
            <w:tcW w:w="3000" w:type="dxa"/>
            <w:tcBorders>
              <w:top w:val="single" w:sz="6" w:space="0" w:color="auto"/>
              <w:left w:val="single" w:sz="6" w:space="0" w:color="auto"/>
              <w:bottom w:val="single" w:sz="6" w:space="0" w:color="auto"/>
              <w:right w:val="single" w:sz="6" w:space="0" w:color="auto"/>
            </w:tcBorders>
          </w:tcPr>
          <w:p w:rsidR="00F46979" w:rsidRDefault="00F46979" w:rsidP="00F46979">
            <w:pPr>
              <w:pStyle w:val="PSDS-CorpodeTexto0"/>
              <w:rPr>
                <w:rFonts w:ascii="Times New Roman" w:hAnsi="Times New Roman" w:cs="Times New Roman"/>
              </w:rPr>
            </w:pPr>
            <w:r>
              <w:rPr>
                <w:rFonts w:ascii="Times New Roman" w:hAnsi="Times New Roman" w:cs="Times New Roman"/>
              </w:rPr>
              <w:t>TIP_MOEDA</w:t>
            </w:r>
          </w:p>
        </w:tc>
        <w:tc>
          <w:tcPr>
            <w:tcW w:w="11165" w:type="dxa"/>
            <w:tcBorders>
              <w:top w:val="single" w:sz="6" w:space="0" w:color="auto"/>
              <w:left w:val="single" w:sz="6" w:space="0" w:color="auto"/>
              <w:bottom w:val="single" w:sz="6" w:space="0" w:color="auto"/>
              <w:right w:val="single" w:sz="6" w:space="0" w:color="auto"/>
            </w:tcBorders>
          </w:tcPr>
          <w:p w:rsidR="00F46979" w:rsidRDefault="00F46979" w:rsidP="00F46979">
            <w:pPr>
              <w:pStyle w:val="Corpodetexto"/>
              <w:rPr>
                <w:rFonts w:ascii="Times New Roman" w:hAnsi="Times New Roman" w:cs="Times New Roman"/>
              </w:rPr>
            </w:pPr>
            <w:r>
              <w:rPr>
                <w:rFonts w:ascii="Times New Roman" w:hAnsi="Times New Roman" w:cs="Times New Roman"/>
                <w:b/>
                <w:bCs/>
              </w:rPr>
              <w:t xml:space="preserve">REGRA_HABILITA_DATA_PAIS_A_PAIS: </w:t>
            </w:r>
            <w:r>
              <w:rPr>
                <w:rFonts w:ascii="Times New Roman" w:hAnsi="Times New Roman" w:cs="Times New Roman"/>
              </w:rPr>
              <w:t>Caso [W100.IND_CONTROLADORA seja igual a “S” (Sim) e W100.IND_ENTREGA seja igual a “2” (Controladora final do grupo multinacional)] ou [W100.IND_ENTREGA seja igual a “3” (Própria entidade declarante da ECF) e W100.IND_MODALIDADE esteja preenchido], o campo W100.TIP_MOEDA é habilitado.</w:t>
            </w:r>
          </w:p>
          <w:p w:rsidR="00F46979" w:rsidRDefault="00F46979" w:rsidP="00F46979">
            <w:pPr>
              <w:pStyle w:val="Corpodetexto"/>
              <w:rPr>
                <w:rFonts w:ascii="Times New Roman" w:hAnsi="Times New Roman" w:cs="Times New Roman"/>
                <w:b/>
                <w:bCs/>
              </w:rPr>
            </w:pPr>
          </w:p>
          <w:p w:rsidR="00F46979" w:rsidRDefault="00F46979" w:rsidP="00F46979">
            <w:pPr>
              <w:pStyle w:val="Corpodetexto"/>
              <w:rPr>
                <w:rFonts w:ascii="Times New Roman" w:hAnsi="Times New Roman" w:cs="Times New Roman"/>
              </w:rPr>
            </w:pPr>
            <w:r>
              <w:rPr>
                <w:rFonts w:ascii="Times New Roman" w:hAnsi="Times New Roman" w:cs="Times New Roman"/>
                <w:b/>
                <w:bCs/>
              </w:rPr>
              <w:t xml:space="preserve">REGRA_DATA_PAIS_A_PAIS_OBRIGATORIO: </w:t>
            </w:r>
            <w:r>
              <w:rPr>
                <w:rFonts w:ascii="Times New Roman" w:hAnsi="Times New Roman" w:cs="Times New Roman"/>
              </w:rPr>
              <w:t>Verifica, quando [W100.IND_CONTROLADORA seja igual a “S” (Sim) e W100.IND_ENTREGA seja igual a “2” (Controladora final do grupo multinacional)] ou [W100.IND_ENTREGA é igual a “3” (Própria entidade declarante da ECF) e W100.IND_MODALIDADE está preenchido], se o campo W100.TIP_MOEDA está preenchido.</w:t>
            </w:r>
          </w:p>
          <w:p w:rsidR="00F46979" w:rsidRDefault="00F46979" w:rsidP="00F46979">
            <w:pPr>
              <w:pStyle w:val="Corpodetexto"/>
              <w:rPr>
                <w:rFonts w:ascii="Times New Roman" w:hAnsi="Times New Roman" w:cs="Times New Roman"/>
              </w:rPr>
            </w:pPr>
          </w:p>
          <w:p w:rsidR="00F46979" w:rsidRDefault="00F46979" w:rsidP="00F46979">
            <w:pPr>
              <w:pStyle w:val="Corpodetexto"/>
              <w:rPr>
                <w:rFonts w:ascii="Times New Roman" w:hAnsi="Times New Roman" w:cs="Times New Roman"/>
              </w:rPr>
            </w:pPr>
            <w:r>
              <w:rPr>
                <w:rFonts w:ascii="Times New Roman" w:hAnsi="Times New Roman" w:cs="Times New Roman"/>
                <w:b/>
                <w:bCs/>
              </w:rPr>
              <w:t xml:space="preserve">REGRA_DATA_PAIS_A_PAIS_NAO_PREENCHER: </w:t>
            </w:r>
            <w:r>
              <w:rPr>
                <w:rFonts w:ascii="Times New Roman" w:hAnsi="Times New Roman" w:cs="Times New Roman"/>
              </w:rPr>
              <w:t>Verifica, quando W100.IND_CONTROLADORA é igual a “N” (Não) e [W100.IND_ENTREGA é diferente a “3” (Própria entidade declarante da ECF) ou W100.IND_MODALIDADE não está preenchido], se o campo W100.TIP_MOEDA não está preenchido.</w:t>
            </w:r>
          </w:p>
        </w:tc>
        <w:tc>
          <w:tcPr>
            <w:tcW w:w="961" w:type="dxa"/>
            <w:tcBorders>
              <w:top w:val="single" w:sz="6" w:space="0" w:color="auto"/>
              <w:left w:val="single" w:sz="6" w:space="0" w:color="auto"/>
              <w:bottom w:val="single" w:sz="6" w:space="0" w:color="auto"/>
            </w:tcBorders>
          </w:tcPr>
          <w:p w:rsidR="00F46979" w:rsidRDefault="00F46979" w:rsidP="00F46979">
            <w:pPr>
              <w:pStyle w:val="PSDS-CorpodeTexto0"/>
              <w:rPr>
                <w:rFonts w:ascii="Times New Roman" w:hAnsi="Times New Roman" w:cs="Times New Roman"/>
              </w:rPr>
            </w:pPr>
            <w:r>
              <w:rPr>
                <w:rFonts w:ascii="Times New Roman" w:hAnsi="Times New Roman" w:cs="Times New Roman"/>
              </w:rPr>
              <w:t>Habilita</w:t>
            </w: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r>
              <w:rPr>
                <w:rFonts w:ascii="Times New Roman" w:hAnsi="Times New Roman" w:cs="Times New Roman"/>
              </w:rPr>
              <w:t>Erro</w:t>
            </w: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r>
              <w:rPr>
                <w:rFonts w:ascii="Times New Roman" w:hAnsi="Times New Roman" w:cs="Times New Roman"/>
              </w:rPr>
              <w:t>Erro</w:t>
            </w:r>
          </w:p>
        </w:tc>
      </w:tr>
      <w:tr w:rsidR="00F46979" w:rsidTr="00F46979">
        <w:trPr>
          <w:jc w:val="center"/>
        </w:trPr>
        <w:tc>
          <w:tcPr>
            <w:tcW w:w="485" w:type="dxa"/>
            <w:tcBorders>
              <w:top w:val="single" w:sz="6" w:space="0" w:color="auto"/>
              <w:bottom w:val="single" w:sz="6" w:space="0" w:color="auto"/>
              <w:right w:val="single" w:sz="6" w:space="0" w:color="auto"/>
            </w:tcBorders>
          </w:tcPr>
          <w:p w:rsidR="00F46979" w:rsidRDefault="00F46979" w:rsidP="00F46979">
            <w:pPr>
              <w:pStyle w:val="PSDS-CorpodeTexto0"/>
              <w:suppressAutoHyphens w:val="0"/>
              <w:rPr>
                <w:rFonts w:ascii="Times New Roman" w:hAnsi="Times New Roman" w:cs="Times New Roman"/>
                <w:b/>
                <w:bCs/>
                <w:lang w:val="pt-PT"/>
              </w:rPr>
            </w:pPr>
            <w:r>
              <w:rPr>
                <w:rFonts w:ascii="Times New Roman" w:hAnsi="Times New Roman" w:cs="Times New Roman"/>
                <w:b/>
                <w:bCs/>
                <w:lang w:val="pt-PT"/>
              </w:rPr>
              <w:t>15</w:t>
            </w:r>
          </w:p>
        </w:tc>
        <w:tc>
          <w:tcPr>
            <w:tcW w:w="3000" w:type="dxa"/>
            <w:tcBorders>
              <w:top w:val="single" w:sz="6" w:space="0" w:color="auto"/>
              <w:left w:val="single" w:sz="6" w:space="0" w:color="auto"/>
              <w:bottom w:val="single" w:sz="6" w:space="0" w:color="auto"/>
              <w:right w:val="single" w:sz="6" w:space="0" w:color="auto"/>
            </w:tcBorders>
          </w:tcPr>
          <w:p w:rsidR="00F46979" w:rsidRDefault="00F46979" w:rsidP="00F46979">
            <w:pPr>
              <w:pStyle w:val="PSDS-CorpodeTexto0"/>
              <w:rPr>
                <w:rFonts w:ascii="Times New Roman" w:hAnsi="Times New Roman" w:cs="Times New Roman"/>
              </w:rPr>
            </w:pPr>
            <w:r>
              <w:rPr>
                <w:rFonts w:ascii="Times New Roman" w:hAnsi="Times New Roman" w:cs="Times New Roman"/>
              </w:rPr>
              <w:t>IND_IDIOMA</w:t>
            </w:r>
          </w:p>
        </w:tc>
        <w:tc>
          <w:tcPr>
            <w:tcW w:w="11165" w:type="dxa"/>
            <w:tcBorders>
              <w:top w:val="single" w:sz="6" w:space="0" w:color="auto"/>
              <w:left w:val="single" w:sz="6" w:space="0" w:color="auto"/>
              <w:bottom w:val="single" w:sz="6" w:space="0" w:color="auto"/>
              <w:right w:val="single" w:sz="6" w:space="0" w:color="auto"/>
            </w:tcBorders>
          </w:tcPr>
          <w:p w:rsidR="00F46979" w:rsidRDefault="00F46979" w:rsidP="00F46979">
            <w:pPr>
              <w:pStyle w:val="Corpodetexto"/>
              <w:rPr>
                <w:rFonts w:ascii="Times New Roman" w:hAnsi="Times New Roman" w:cs="Times New Roman"/>
              </w:rPr>
            </w:pPr>
            <w:r>
              <w:rPr>
                <w:rFonts w:ascii="Times New Roman" w:hAnsi="Times New Roman" w:cs="Times New Roman"/>
                <w:b/>
                <w:bCs/>
              </w:rPr>
              <w:t xml:space="preserve">REGRA_HABILITA_DATA_PAIS_A_PAIS: </w:t>
            </w:r>
            <w:r>
              <w:rPr>
                <w:rFonts w:ascii="Times New Roman" w:hAnsi="Times New Roman" w:cs="Times New Roman"/>
              </w:rPr>
              <w:t>Caso [W100.IND_CONTROLADORA seja igual a “S” (Sim) e W100.IND_ENTREGA seja igual a “2” (Controladora final do grupo multinacional)] ou [W100.IND_ENTREGA seja igual a “3” (Própria entidade declarante da ECF) e W100.IND_MODALIDADE esteja preenchido], o campo W100.IND_IDIOMA é habilitado.</w:t>
            </w:r>
          </w:p>
          <w:p w:rsidR="00F46979" w:rsidRDefault="00F46979" w:rsidP="00F46979">
            <w:pPr>
              <w:pStyle w:val="Corpodetexto"/>
              <w:rPr>
                <w:rFonts w:ascii="Times New Roman" w:hAnsi="Times New Roman" w:cs="Times New Roman"/>
              </w:rPr>
            </w:pPr>
          </w:p>
          <w:p w:rsidR="00F46979" w:rsidRDefault="00F46979" w:rsidP="00F46979">
            <w:pPr>
              <w:pStyle w:val="Corpodetexto"/>
              <w:rPr>
                <w:rFonts w:ascii="Times New Roman" w:hAnsi="Times New Roman" w:cs="Times New Roman"/>
              </w:rPr>
            </w:pPr>
            <w:r>
              <w:rPr>
                <w:rFonts w:ascii="Times New Roman" w:hAnsi="Times New Roman" w:cs="Times New Roman"/>
                <w:b/>
                <w:bCs/>
              </w:rPr>
              <w:t xml:space="preserve">REGRA_DATA_PAIS_A_PAIS_OBRIGATORIO: </w:t>
            </w:r>
            <w:r>
              <w:rPr>
                <w:rFonts w:ascii="Times New Roman" w:hAnsi="Times New Roman" w:cs="Times New Roman"/>
              </w:rPr>
              <w:t>Verifica, quando [W100.IND_CONTROLADORA seja igual a “S” (Sim) e W100.IND_ENTREGA seja igual a “2” (Controladora final do grupo multinacional)] ou [W100.IND_ENTREGA é igual a “3” (Própria entidade declarante da ECF) e W100.IND_MODALIDADE está preenchido], se o campo W100.IND_IDIOMA está preenchido.</w:t>
            </w:r>
          </w:p>
          <w:p w:rsidR="00F46979" w:rsidRDefault="00F46979" w:rsidP="00F46979">
            <w:pPr>
              <w:pStyle w:val="Corpodetexto"/>
              <w:rPr>
                <w:rFonts w:ascii="Times New Roman" w:hAnsi="Times New Roman" w:cs="Times New Roman"/>
              </w:rPr>
            </w:pPr>
          </w:p>
          <w:p w:rsidR="00F46979" w:rsidRDefault="00F46979" w:rsidP="00F46979">
            <w:pPr>
              <w:pStyle w:val="Corpodetexto"/>
              <w:rPr>
                <w:rFonts w:ascii="Times New Roman" w:hAnsi="Times New Roman" w:cs="Times New Roman"/>
              </w:rPr>
            </w:pPr>
            <w:r>
              <w:rPr>
                <w:rFonts w:ascii="Times New Roman" w:hAnsi="Times New Roman" w:cs="Times New Roman"/>
                <w:b/>
                <w:bCs/>
              </w:rPr>
              <w:t xml:space="preserve">REGRA_DATA_PAIS_A_PAIS_NAO_PREENCHER: </w:t>
            </w:r>
            <w:r>
              <w:rPr>
                <w:rFonts w:ascii="Times New Roman" w:hAnsi="Times New Roman" w:cs="Times New Roman"/>
              </w:rPr>
              <w:t>Verifica, quando W100.IND_CONTROLADORA é igual a “N” (Não) e [W100.IND_ENTREGA é diferente a “3” (Própria entidade declarante da ECF) ou W100.IND_MODALIDADE não está preenchido], se o campo W100.IND_IDIOMA não está preenchido.</w:t>
            </w:r>
          </w:p>
        </w:tc>
        <w:tc>
          <w:tcPr>
            <w:tcW w:w="961" w:type="dxa"/>
            <w:tcBorders>
              <w:top w:val="single" w:sz="6" w:space="0" w:color="auto"/>
              <w:left w:val="single" w:sz="6" w:space="0" w:color="auto"/>
              <w:bottom w:val="single" w:sz="6" w:space="0" w:color="auto"/>
            </w:tcBorders>
          </w:tcPr>
          <w:p w:rsidR="00F46979" w:rsidRDefault="00F46979" w:rsidP="00F46979">
            <w:pPr>
              <w:pStyle w:val="PSDS-CorpodeTexto0"/>
              <w:rPr>
                <w:rFonts w:ascii="Times New Roman" w:hAnsi="Times New Roman" w:cs="Times New Roman"/>
              </w:rPr>
            </w:pPr>
            <w:r>
              <w:rPr>
                <w:rFonts w:ascii="Times New Roman" w:hAnsi="Times New Roman" w:cs="Times New Roman"/>
              </w:rPr>
              <w:t>Habilita</w:t>
            </w: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r>
              <w:rPr>
                <w:rFonts w:ascii="Times New Roman" w:hAnsi="Times New Roman" w:cs="Times New Roman"/>
              </w:rPr>
              <w:t>Erro</w:t>
            </w: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r>
              <w:rPr>
                <w:rFonts w:ascii="Times New Roman" w:hAnsi="Times New Roman" w:cs="Times New Roman"/>
              </w:rPr>
              <w:t>Erro</w:t>
            </w:r>
          </w:p>
        </w:tc>
      </w:tr>
    </w:tbl>
    <w:p w:rsidR="00F46979" w:rsidRDefault="00F46979" w:rsidP="00F46979">
      <w:pPr>
        <w:pStyle w:val="Corpodetexto"/>
        <w:rPr>
          <w:rFonts w:ascii="Times New Roman" w:hAnsi="Times New Roman" w:cs="Times New Roman"/>
          <w:b/>
          <w:bCs/>
          <w:color w:val="002060"/>
        </w:rPr>
      </w:pPr>
    </w:p>
    <w:p w:rsidR="00AE52F0" w:rsidRPr="0070069F" w:rsidRDefault="00AE52F0">
      <w:pPr>
        <w:spacing w:after="200" w:line="276" w:lineRule="auto"/>
        <w:rPr>
          <w:b/>
          <w:color w:val="002060"/>
          <w:szCs w:val="20"/>
          <w:lang w:eastAsia="ar-SA"/>
        </w:rPr>
      </w:pPr>
      <w:r w:rsidRPr="0070069F">
        <w:rPr>
          <w:b/>
          <w:color w:val="002060"/>
          <w:szCs w:val="20"/>
        </w:rPr>
        <w:br w:type="page"/>
      </w:r>
    </w:p>
    <w:p w:rsidR="000F6DBD" w:rsidRPr="0070069F" w:rsidRDefault="000F6DBD" w:rsidP="000F6DBD">
      <w:pPr>
        <w:pStyle w:val="Corpodetexto"/>
        <w:rPr>
          <w:rFonts w:ascii="Times New Roman" w:hAnsi="Times New Roman"/>
          <w:b/>
          <w:color w:val="002060"/>
          <w:szCs w:val="20"/>
        </w:rPr>
      </w:pPr>
      <w:r w:rsidRPr="0070069F">
        <w:rPr>
          <w:rFonts w:ascii="Times New Roman" w:hAnsi="Times New Roman"/>
          <w:b/>
          <w:color w:val="002060"/>
          <w:szCs w:val="20"/>
        </w:rPr>
        <w:lastRenderedPageBreak/>
        <w:t xml:space="preserve">Exemplo de Preenchimento: </w:t>
      </w:r>
    </w:p>
    <w:p w:rsidR="000F6DBD" w:rsidRPr="0070069F" w:rsidRDefault="000F6DBD" w:rsidP="000F6DBD">
      <w:pPr>
        <w:pStyle w:val="Corpodetexto"/>
        <w:rPr>
          <w:rFonts w:ascii="Times New Roman" w:hAnsi="Times New Roman"/>
          <w:b/>
          <w:color w:val="002060"/>
          <w:szCs w:val="20"/>
        </w:rPr>
      </w:pPr>
    </w:p>
    <w:p w:rsidR="000F6DBD" w:rsidRPr="0070069F" w:rsidRDefault="00A22361" w:rsidP="000F6DBD">
      <w:pPr>
        <w:pStyle w:val="Corpodetexto"/>
        <w:rPr>
          <w:rFonts w:ascii="Times New Roman" w:hAnsi="Times New Roman"/>
          <w:b/>
          <w:color w:val="002060"/>
          <w:szCs w:val="20"/>
        </w:rPr>
      </w:pPr>
      <w:r w:rsidRPr="0070069F">
        <w:rPr>
          <w:rFonts w:ascii="Times New Roman" w:hAnsi="Times New Roman"/>
          <w:b/>
          <w:color w:val="002060"/>
          <w:szCs w:val="20"/>
        </w:rPr>
        <w:t>|W</w:t>
      </w:r>
      <w:r w:rsidR="000F6DBD" w:rsidRPr="0070069F">
        <w:rPr>
          <w:rFonts w:ascii="Times New Roman" w:hAnsi="Times New Roman"/>
          <w:b/>
          <w:color w:val="002060"/>
          <w:szCs w:val="20"/>
        </w:rPr>
        <w:t>1</w:t>
      </w:r>
      <w:r w:rsidRPr="0070069F">
        <w:rPr>
          <w:rFonts w:ascii="Times New Roman" w:hAnsi="Times New Roman"/>
          <w:b/>
          <w:color w:val="002060"/>
          <w:szCs w:val="20"/>
        </w:rPr>
        <w:t>00</w:t>
      </w:r>
      <w:r w:rsidR="001B2A7D" w:rsidRPr="0070069F">
        <w:rPr>
          <w:rFonts w:ascii="Times New Roman" w:hAnsi="Times New Roman"/>
          <w:b/>
          <w:color w:val="002060"/>
          <w:szCs w:val="20"/>
        </w:rPr>
        <w:t>|MULTINACIONAL A</w:t>
      </w:r>
      <w:r w:rsidR="000F6DBD" w:rsidRPr="0070069F">
        <w:rPr>
          <w:rFonts w:ascii="Times New Roman" w:hAnsi="Times New Roman"/>
          <w:b/>
          <w:color w:val="002060"/>
          <w:szCs w:val="20"/>
        </w:rPr>
        <w:t>|</w:t>
      </w:r>
      <w:r w:rsidR="001B2A7D" w:rsidRPr="0070069F">
        <w:rPr>
          <w:rFonts w:ascii="Times New Roman" w:hAnsi="Times New Roman"/>
          <w:b/>
          <w:color w:val="002060"/>
          <w:szCs w:val="20"/>
        </w:rPr>
        <w:t>S|CONTROLADORA FINAL|105|11111111000191|2|</w:t>
      </w:r>
      <w:r w:rsidR="00FF4879" w:rsidRPr="0070069F">
        <w:rPr>
          <w:rFonts w:ascii="Times New Roman" w:hAnsi="Times New Roman"/>
          <w:b/>
          <w:color w:val="002060"/>
          <w:szCs w:val="20"/>
        </w:rPr>
        <w:t>||||01012016|31122016|11|PT|</w:t>
      </w:r>
    </w:p>
    <w:p w:rsidR="000F6DBD" w:rsidRPr="0070069F" w:rsidRDefault="006F0ACD" w:rsidP="000F6DBD">
      <w:pPr>
        <w:pStyle w:val="Corpodetexto"/>
        <w:ind w:firstLine="708"/>
        <w:rPr>
          <w:rFonts w:ascii="Times New Roman" w:hAnsi="Times New Roman"/>
          <w:color w:val="002060"/>
          <w:szCs w:val="20"/>
        </w:rPr>
      </w:pPr>
      <w:r w:rsidRPr="0070069F">
        <w:rPr>
          <w:rFonts w:ascii="Times New Roman" w:hAnsi="Times New Roman"/>
          <w:color w:val="002060"/>
          <w:szCs w:val="20"/>
        </w:rPr>
        <w:t>|W</w:t>
      </w:r>
      <w:r w:rsidR="000F6DBD" w:rsidRPr="0070069F">
        <w:rPr>
          <w:rFonts w:ascii="Times New Roman" w:hAnsi="Times New Roman"/>
          <w:color w:val="002060"/>
          <w:szCs w:val="20"/>
        </w:rPr>
        <w:t>1</w:t>
      </w:r>
      <w:r w:rsidRPr="0070069F">
        <w:rPr>
          <w:rFonts w:ascii="Times New Roman" w:hAnsi="Times New Roman"/>
          <w:color w:val="002060"/>
          <w:szCs w:val="20"/>
        </w:rPr>
        <w:t>00</w:t>
      </w:r>
      <w:r w:rsidR="000F6DBD" w:rsidRPr="0070069F">
        <w:rPr>
          <w:rFonts w:ascii="Times New Roman" w:hAnsi="Times New Roman"/>
          <w:color w:val="002060"/>
          <w:szCs w:val="20"/>
        </w:rPr>
        <w:t>|: Identificação do tipo do registro.</w:t>
      </w:r>
    </w:p>
    <w:p w:rsidR="000F6DBD" w:rsidRPr="0070069F" w:rsidRDefault="000F6DBD" w:rsidP="000F6DBD">
      <w:pPr>
        <w:pStyle w:val="Corpodetexto"/>
        <w:ind w:firstLine="708"/>
        <w:rPr>
          <w:rFonts w:ascii="Times New Roman" w:hAnsi="Times New Roman"/>
          <w:color w:val="002060"/>
          <w:szCs w:val="20"/>
        </w:rPr>
      </w:pPr>
      <w:r w:rsidRPr="0070069F">
        <w:rPr>
          <w:rFonts w:ascii="Times New Roman" w:hAnsi="Times New Roman"/>
          <w:color w:val="002060"/>
          <w:szCs w:val="20"/>
        </w:rPr>
        <w:t>|</w:t>
      </w:r>
      <w:r w:rsidR="00FF4879" w:rsidRPr="0070069F">
        <w:rPr>
          <w:rFonts w:ascii="Times New Roman" w:hAnsi="Times New Roman"/>
          <w:color w:val="002060"/>
          <w:szCs w:val="20"/>
        </w:rPr>
        <w:t xml:space="preserve">MULTINACIONAL A|: Nome do grupo </w:t>
      </w:r>
      <w:r w:rsidR="001B2A7D" w:rsidRPr="0070069F">
        <w:rPr>
          <w:rFonts w:ascii="Times New Roman" w:hAnsi="Times New Roman"/>
          <w:color w:val="002060"/>
          <w:szCs w:val="20"/>
        </w:rPr>
        <w:t>multinacional.</w:t>
      </w:r>
    </w:p>
    <w:p w:rsidR="001B2A7D" w:rsidRPr="0070069F" w:rsidRDefault="001B2A7D" w:rsidP="000F6DBD">
      <w:pPr>
        <w:pStyle w:val="Corpodetexto"/>
        <w:ind w:firstLine="708"/>
        <w:rPr>
          <w:rFonts w:ascii="Times New Roman" w:hAnsi="Times New Roman"/>
          <w:color w:val="002060"/>
          <w:szCs w:val="20"/>
        </w:rPr>
      </w:pPr>
      <w:r w:rsidRPr="0070069F">
        <w:rPr>
          <w:rFonts w:ascii="Times New Roman" w:hAnsi="Times New Roman"/>
          <w:color w:val="002060"/>
          <w:szCs w:val="20"/>
        </w:rPr>
        <w:t>|S|: Identifica se a entidade é controladora final do grupo multinacional (S = Sim).</w:t>
      </w:r>
    </w:p>
    <w:p w:rsidR="001B2A7D" w:rsidRPr="0070069F" w:rsidRDefault="001B2A7D" w:rsidP="000F6DBD">
      <w:pPr>
        <w:pStyle w:val="Corpodetexto"/>
        <w:ind w:firstLine="708"/>
        <w:rPr>
          <w:rFonts w:ascii="Times New Roman" w:hAnsi="Times New Roman"/>
          <w:color w:val="002060"/>
          <w:szCs w:val="20"/>
        </w:rPr>
      </w:pPr>
      <w:r w:rsidRPr="0070069F">
        <w:rPr>
          <w:rFonts w:ascii="Times New Roman" w:hAnsi="Times New Roman"/>
          <w:color w:val="002060"/>
          <w:szCs w:val="20"/>
        </w:rPr>
        <w:t>|CONTROLADORA FINAL|: Nome da controladora final.</w:t>
      </w:r>
    </w:p>
    <w:p w:rsidR="001B2A7D" w:rsidRPr="0070069F" w:rsidRDefault="006F0ACD" w:rsidP="000F6DBD">
      <w:pPr>
        <w:pStyle w:val="Corpodetexto"/>
        <w:ind w:firstLine="708"/>
        <w:rPr>
          <w:rFonts w:ascii="Times New Roman" w:hAnsi="Times New Roman"/>
          <w:color w:val="002060"/>
          <w:szCs w:val="20"/>
        </w:rPr>
      </w:pPr>
      <w:r w:rsidRPr="0070069F">
        <w:rPr>
          <w:rFonts w:ascii="Times New Roman" w:hAnsi="Times New Roman"/>
          <w:color w:val="002060"/>
          <w:szCs w:val="20"/>
        </w:rPr>
        <w:t>|11</w:t>
      </w:r>
      <w:r w:rsidR="001B2A7D" w:rsidRPr="0070069F">
        <w:rPr>
          <w:rFonts w:ascii="Times New Roman" w:hAnsi="Times New Roman"/>
          <w:color w:val="002060"/>
          <w:szCs w:val="20"/>
        </w:rPr>
        <w:t>|: Jurisdição de residência tributária da c</w:t>
      </w:r>
      <w:r w:rsidRPr="0070069F">
        <w:rPr>
          <w:rFonts w:ascii="Times New Roman" w:hAnsi="Times New Roman"/>
          <w:color w:val="002060"/>
          <w:szCs w:val="20"/>
        </w:rPr>
        <w:t>ontroladora final</w:t>
      </w:r>
      <w:r w:rsidR="001B2A7D" w:rsidRPr="0070069F">
        <w:rPr>
          <w:rFonts w:ascii="Times New Roman" w:hAnsi="Times New Roman"/>
          <w:color w:val="002060"/>
          <w:szCs w:val="20"/>
        </w:rPr>
        <w:t>.</w:t>
      </w:r>
    </w:p>
    <w:p w:rsidR="001B2A7D" w:rsidRPr="0070069F" w:rsidRDefault="001B2A7D" w:rsidP="000F6DBD">
      <w:pPr>
        <w:pStyle w:val="Corpodetexto"/>
        <w:ind w:firstLine="708"/>
        <w:rPr>
          <w:rFonts w:ascii="Times New Roman" w:hAnsi="Times New Roman"/>
          <w:color w:val="002060"/>
          <w:szCs w:val="20"/>
        </w:rPr>
      </w:pPr>
      <w:r w:rsidRPr="0070069F">
        <w:rPr>
          <w:rFonts w:ascii="Times New Roman" w:hAnsi="Times New Roman"/>
          <w:color w:val="002060"/>
          <w:szCs w:val="20"/>
        </w:rPr>
        <w:t>|11111111000191|: CNPJ da controladora final (11.111.111/0001-91).</w:t>
      </w:r>
    </w:p>
    <w:p w:rsidR="001B2A7D" w:rsidRPr="0070069F" w:rsidRDefault="001B2A7D" w:rsidP="000F6DBD">
      <w:pPr>
        <w:pStyle w:val="Corpodetexto"/>
        <w:ind w:firstLine="708"/>
        <w:rPr>
          <w:rFonts w:ascii="Times New Roman" w:hAnsi="Times New Roman"/>
          <w:color w:val="002060"/>
          <w:szCs w:val="20"/>
        </w:rPr>
      </w:pPr>
      <w:r w:rsidRPr="0070069F">
        <w:rPr>
          <w:rFonts w:ascii="Times New Roman" w:hAnsi="Times New Roman"/>
          <w:color w:val="002060"/>
          <w:szCs w:val="20"/>
        </w:rPr>
        <w:t>|2|: Identifica a entidade responsável pela entrega da Declaração País-a-País (2 = Controlador Final do Grupo Multinacional).</w:t>
      </w:r>
    </w:p>
    <w:p w:rsidR="00FF4879" w:rsidRPr="0070069F" w:rsidRDefault="00FF4879" w:rsidP="000F6DBD">
      <w:pPr>
        <w:pStyle w:val="Corpodetexto"/>
        <w:ind w:firstLine="708"/>
        <w:rPr>
          <w:rFonts w:ascii="Times New Roman" w:hAnsi="Times New Roman"/>
          <w:color w:val="002060"/>
          <w:szCs w:val="20"/>
        </w:rPr>
      </w:pPr>
      <w:r w:rsidRPr="0070069F">
        <w:rPr>
          <w:rFonts w:ascii="Times New Roman" w:hAnsi="Times New Roman"/>
          <w:color w:val="002060"/>
          <w:szCs w:val="20"/>
        </w:rPr>
        <w:t>||: Indicador de modalidade.</w:t>
      </w:r>
    </w:p>
    <w:p w:rsidR="00FF4879" w:rsidRPr="0070069F" w:rsidRDefault="00FF4879" w:rsidP="000F6DBD">
      <w:pPr>
        <w:pStyle w:val="Corpodetexto"/>
        <w:ind w:firstLine="708"/>
        <w:rPr>
          <w:rFonts w:ascii="Times New Roman" w:hAnsi="Times New Roman"/>
          <w:color w:val="002060"/>
          <w:szCs w:val="20"/>
        </w:rPr>
      </w:pPr>
      <w:r w:rsidRPr="0070069F">
        <w:rPr>
          <w:rFonts w:ascii="Times New Roman" w:hAnsi="Times New Roman"/>
          <w:color w:val="002060"/>
          <w:szCs w:val="20"/>
        </w:rPr>
        <w:t>||: Nome da substituta.</w:t>
      </w:r>
    </w:p>
    <w:p w:rsidR="00FF4879" w:rsidRPr="0070069F" w:rsidRDefault="00FF4879" w:rsidP="000F6DBD">
      <w:pPr>
        <w:pStyle w:val="Corpodetexto"/>
        <w:ind w:firstLine="708"/>
        <w:rPr>
          <w:rFonts w:ascii="Times New Roman" w:hAnsi="Times New Roman"/>
          <w:color w:val="002060"/>
          <w:szCs w:val="20"/>
        </w:rPr>
      </w:pPr>
      <w:r w:rsidRPr="0070069F">
        <w:rPr>
          <w:rFonts w:ascii="Times New Roman" w:hAnsi="Times New Roman"/>
          <w:color w:val="002060"/>
          <w:szCs w:val="20"/>
        </w:rPr>
        <w:t>||: Jurisdição da substituta.</w:t>
      </w:r>
    </w:p>
    <w:p w:rsidR="00FF4879" w:rsidRPr="0070069F" w:rsidRDefault="00FF4879" w:rsidP="000F6DBD">
      <w:pPr>
        <w:pStyle w:val="Corpodetexto"/>
        <w:ind w:firstLine="708"/>
        <w:rPr>
          <w:rFonts w:ascii="Times New Roman" w:hAnsi="Times New Roman"/>
          <w:color w:val="002060"/>
          <w:szCs w:val="20"/>
        </w:rPr>
      </w:pPr>
      <w:r w:rsidRPr="0070069F">
        <w:rPr>
          <w:rFonts w:ascii="Times New Roman" w:hAnsi="Times New Roman"/>
          <w:color w:val="002060"/>
          <w:szCs w:val="20"/>
        </w:rPr>
        <w:t>||: CNPJ da substituta.</w:t>
      </w:r>
    </w:p>
    <w:p w:rsidR="00FF4879" w:rsidRPr="0070069F" w:rsidRDefault="00FF4879" w:rsidP="000F6DBD">
      <w:pPr>
        <w:pStyle w:val="Corpodetexto"/>
        <w:ind w:firstLine="708"/>
        <w:rPr>
          <w:rFonts w:ascii="Times New Roman" w:hAnsi="Times New Roman"/>
          <w:color w:val="002060"/>
          <w:szCs w:val="20"/>
        </w:rPr>
      </w:pPr>
      <w:r w:rsidRPr="0070069F">
        <w:rPr>
          <w:rFonts w:ascii="Times New Roman" w:hAnsi="Times New Roman"/>
          <w:color w:val="002060"/>
          <w:szCs w:val="20"/>
        </w:rPr>
        <w:t>|01012016|: Data de início da Declaração País-a-País (01/01/2016).</w:t>
      </w:r>
    </w:p>
    <w:p w:rsidR="00FF4879" w:rsidRPr="0070069F" w:rsidRDefault="00FF4879" w:rsidP="000F6DBD">
      <w:pPr>
        <w:pStyle w:val="Corpodetexto"/>
        <w:ind w:firstLine="708"/>
        <w:rPr>
          <w:rFonts w:ascii="Times New Roman" w:hAnsi="Times New Roman"/>
          <w:color w:val="002060"/>
          <w:szCs w:val="20"/>
        </w:rPr>
      </w:pPr>
      <w:r w:rsidRPr="0070069F">
        <w:rPr>
          <w:rFonts w:ascii="Times New Roman" w:hAnsi="Times New Roman"/>
          <w:color w:val="002060"/>
          <w:szCs w:val="20"/>
        </w:rPr>
        <w:t>|31122016|: Data final da Declaração País-a-País (31/12/2016).</w:t>
      </w:r>
    </w:p>
    <w:p w:rsidR="00FF4879" w:rsidRPr="0070069F" w:rsidRDefault="00FF4879" w:rsidP="000F6DBD">
      <w:pPr>
        <w:pStyle w:val="Corpodetexto"/>
        <w:ind w:firstLine="708"/>
        <w:rPr>
          <w:rFonts w:ascii="Times New Roman" w:hAnsi="Times New Roman"/>
          <w:color w:val="002060"/>
          <w:szCs w:val="20"/>
        </w:rPr>
      </w:pPr>
      <w:r w:rsidRPr="0070069F">
        <w:rPr>
          <w:rFonts w:ascii="Times New Roman" w:hAnsi="Times New Roman"/>
          <w:color w:val="002060"/>
          <w:szCs w:val="20"/>
        </w:rPr>
        <w:t>|11|: Moeda da Declaração País-a-País.</w:t>
      </w:r>
    </w:p>
    <w:p w:rsidR="00FF4879" w:rsidRPr="0070069F" w:rsidRDefault="00FF4879" w:rsidP="000F6DBD">
      <w:pPr>
        <w:pStyle w:val="Corpodetexto"/>
        <w:ind w:firstLine="708"/>
        <w:rPr>
          <w:rFonts w:ascii="Times New Roman" w:hAnsi="Times New Roman"/>
          <w:color w:val="002060"/>
          <w:szCs w:val="20"/>
        </w:rPr>
      </w:pPr>
      <w:r w:rsidRPr="0070069F">
        <w:rPr>
          <w:rFonts w:ascii="Times New Roman" w:hAnsi="Times New Roman"/>
          <w:color w:val="002060"/>
          <w:szCs w:val="20"/>
        </w:rPr>
        <w:t>|PT|: Idioma da Declaração País-a-País (PT = Português).</w:t>
      </w:r>
    </w:p>
    <w:p w:rsidR="00F21499" w:rsidRPr="0070069F" w:rsidRDefault="00F21499">
      <w:pPr>
        <w:spacing w:after="200" w:line="276" w:lineRule="auto"/>
        <w:rPr>
          <w:color w:val="002060"/>
          <w:szCs w:val="20"/>
          <w:lang w:eastAsia="ar-SA"/>
        </w:rPr>
      </w:pPr>
      <w:r w:rsidRPr="0070069F">
        <w:rPr>
          <w:color w:val="002060"/>
          <w:szCs w:val="20"/>
        </w:rPr>
        <w:br w:type="page"/>
      </w:r>
    </w:p>
    <w:p w:rsidR="00F21499" w:rsidRPr="0070069F" w:rsidRDefault="00F21499" w:rsidP="00867F54">
      <w:pPr>
        <w:pStyle w:val="Ttulo4"/>
      </w:pPr>
      <w:bookmarkStart w:id="383" w:name="_Toc479713787"/>
      <w:r w:rsidRPr="0070069F">
        <w:lastRenderedPageBreak/>
        <w:t>Registro W200: Declaração País-a-País</w:t>
      </w:r>
      <w:bookmarkEnd w:id="383"/>
    </w:p>
    <w:p w:rsidR="00F21499" w:rsidRPr="0070069F" w:rsidRDefault="00F21499" w:rsidP="00F21499"/>
    <w:p w:rsidR="00F46979" w:rsidRDefault="00F21499" w:rsidP="00F46979">
      <w:pPr>
        <w:rPr>
          <w:rFonts w:cs="Times New Roman"/>
        </w:rPr>
      </w:pPr>
      <w:r w:rsidRPr="0070069F">
        <w:tab/>
      </w:r>
      <w:r w:rsidR="00F46979">
        <w:rPr>
          <w:rFonts w:cs="Times New Roman"/>
        </w:rPr>
        <w:t>Este registro apresenta as informações da Declaração País-a-País.</w:t>
      </w:r>
    </w:p>
    <w:p w:rsidR="00F46979" w:rsidRDefault="00F46979" w:rsidP="00F46979">
      <w:pPr>
        <w:rPr>
          <w:rFonts w:cs="Times New Roman"/>
        </w:rPr>
      </w:pPr>
    </w:p>
    <w:p w:rsidR="00F46979" w:rsidRDefault="00F46979" w:rsidP="00F46979">
      <w:pPr>
        <w:ind w:firstLine="708"/>
        <w:jc w:val="both"/>
        <w:rPr>
          <w:rFonts w:cs="Times New Roman"/>
        </w:rPr>
      </w:pPr>
      <w:r>
        <w:rPr>
          <w:rFonts w:cs="Times New Roman"/>
        </w:rPr>
        <w:t>Devem ser indicadas todas as jurisdições nas quais o grupo multinacional opera (mesmo que esteja presente em determinada jurisdição apenas por meio de um estabelecimento permanente, por exemplo) e fornecidas as informações solicitadas de maneira agregada por jurisdição.</w:t>
      </w:r>
    </w:p>
    <w:p w:rsidR="00F46979" w:rsidRDefault="00F46979" w:rsidP="00F46979">
      <w:pPr>
        <w:ind w:left="720"/>
        <w:jc w:val="both"/>
        <w:rPr>
          <w:rFonts w:cs="Times New Roman"/>
        </w:rPr>
      </w:pPr>
    </w:p>
    <w:p w:rsidR="00F46979" w:rsidRDefault="00F46979" w:rsidP="00F46979">
      <w:pPr>
        <w:ind w:left="720"/>
        <w:jc w:val="both"/>
        <w:rPr>
          <w:rFonts w:cs="Times New Roman"/>
        </w:rPr>
      </w:pPr>
      <w:r>
        <w:rPr>
          <w:rFonts w:cs="Times New Roman"/>
        </w:rPr>
        <w:t>Todas as informações em valores devem ser fornecidas em unidades inteiras, ou seja, sem decimais, e os valores negativos devem ser identificados por sinal negativo. Exemplo: R$ -1000.</w:t>
      </w:r>
    </w:p>
    <w:p w:rsidR="00F46979" w:rsidRDefault="00F46979" w:rsidP="00F46979">
      <w:pPr>
        <w:ind w:left="720"/>
        <w:jc w:val="both"/>
        <w:rPr>
          <w:rFonts w:cs="Times New Roman"/>
        </w:rPr>
      </w:pPr>
    </w:p>
    <w:p w:rsidR="00F46979" w:rsidRDefault="00F46979" w:rsidP="00F46979">
      <w:pPr>
        <w:ind w:firstLine="708"/>
        <w:jc w:val="both"/>
        <w:rPr>
          <w:rFonts w:cs="Times New Roman"/>
        </w:rPr>
      </w:pPr>
      <w:r>
        <w:rPr>
          <w:rFonts w:cs="Times New Roman"/>
          <w:highlight w:val="yellow"/>
        </w:rPr>
        <w:t>Os campos referentes a Receitas devem incluir valores provenientes de vendas de estoque e propriedades, de serviços, royalties, juros, prêmios e qualquer outro montante. Não devem ser incluídos como receitas pagamentos recebidos de outra entidade integrante do mesmo grupo multinacional que sejam considerados dividendos pela jurisdição tributária da entidade pagadora.</w:t>
      </w:r>
    </w:p>
    <w:p w:rsidR="00411F81" w:rsidRPr="0070069F" w:rsidRDefault="00411F81" w:rsidP="00F46979">
      <w:pPr>
        <w:rPr>
          <w:bCs/>
        </w:rPr>
      </w:pPr>
    </w:p>
    <w:p w:rsidR="00411F81" w:rsidRPr="0070069F" w:rsidRDefault="00B35FA3" w:rsidP="00411F81">
      <w:pPr>
        <w:jc w:val="center"/>
        <w:rPr>
          <w:bCs/>
        </w:rPr>
      </w:pPr>
      <w:r>
        <w:rPr>
          <w:bCs/>
        </w:rPr>
        <w:object w:dxaOrig="15000" w:dyaOrig="6525">
          <v:shape id="_x0000_i1867" type="#_x0000_t75" style="width:750pt;height:326.25pt" o:ole="">
            <v:imagedata r:id="rId615" o:title=""/>
          </v:shape>
          <o:OLEObject Type="Link" ProgID="Excel.Sheet.12" ShapeID="_x0000_i1867" DrawAspect="Content" r:id="rId616" UpdateMode="Always">
            <o:LinkType>EnhancedMetaFile</o:LinkType>
            <o:LockedField>false</o:LockedField>
          </o:OLEObject>
        </w:object>
      </w:r>
    </w:p>
    <w:p w:rsidR="00411F81" w:rsidRPr="0070069F" w:rsidRDefault="00B35FA3" w:rsidP="00411F81">
      <w:pPr>
        <w:pStyle w:val="Corpodetexto"/>
        <w:jc w:val="center"/>
        <w:rPr>
          <w:rFonts w:ascii="Times New Roman" w:hAnsi="Times New Roman"/>
          <w:color w:val="002060"/>
          <w:szCs w:val="20"/>
        </w:rPr>
      </w:pPr>
      <w:r>
        <w:rPr>
          <w:rFonts w:ascii="Times New Roman" w:hAnsi="Times New Roman"/>
          <w:color w:val="002060"/>
          <w:szCs w:val="20"/>
        </w:rPr>
        <w:object w:dxaOrig="15000" w:dyaOrig="9540">
          <v:shape id="_x0000_i1869" type="#_x0000_t75" style="width:750pt;height:477pt" o:ole="">
            <v:imagedata r:id="rId617" o:title=""/>
          </v:shape>
          <o:OLEObject Type="Link" ProgID="Excel.Sheet.12" ShapeID="_x0000_i1869" DrawAspect="Content" r:id="rId618" UpdateMode="Always">
            <o:LinkType>EnhancedMetaFile</o:LinkType>
            <o:LockedField>false</o:LockedField>
          </o:OLEObject>
        </w:object>
      </w:r>
    </w:p>
    <w:p w:rsidR="00411F81" w:rsidRPr="0070069F" w:rsidRDefault="00B35FA3" w:rsidP="00411F81">
      <w:pPr>
        <w:pStyle w:val="Corpodetexto"/>
        <w:jc w:val="center"/>
        <w:rPr>
          <w:rFonts w:ascii="Times New Roman" w:hAnsi="Times New Roman"/>
          <w:color w:val="002060"/>
          <w:szCs w:val="20"/>
        </w:rPr>
      </w:pPr>
      <w:r>
        <w:rPr>
          <w:rFonts w:ascii="Times New Roman" w:hAnsi="Times New Roman"/>
          <w:color w:val="002060"/>
          <w:szCs w:val="20"/>
        </w:rPr>
        <w:object w:dxaOrig="15000" w:dyaOrig="7710">
          <v:shape id="_x0000_i1871" type="#_x0000_t75" style="width:750pt;height:386.25pt" o:ole="">
            <v:imagedata r:id="rId619" o:title=""/>
          </v:shape>
          <o:OLEObject Type="Link" ProgID="Excel.Sheet.12" ShapeID="_x0000_i1871" DrawAspect="Content" r:id="rId620" UpdateMode="Always">
            <o:LinkType>EnhancedMetaFile</o:LinkType>
            <o:LockedField>false</o:LockedField>
          </o:OLEObject>
        </w:object>
      </w:r>
    </w:p>
    <w:p w:rsidR="00F21499" w:rsidRPr="0070069F" w:rsidRDefault="00F21499" w:rsidP="00F21499">
      <w:pPr>
        <w:pStyle w:val="Corpodetexto"/>
        <w:rPr>
          <w:rFonts w:ascii="Times New Roman" w:hAnsi="Times New Roman"/>
          <w:color w:val="002060"/>
          <w:szCs w:val="20"/>
        </w:rPr>
      </w:pPr>
    </w:p>
    <w:p w:rsidR="00F21499" w:rsidRPr="0070069F" w:rsidRDefault="00F21499" w:rsidP="00F21499">
      <w:pPr>
        <w:pStyle w:val="Corpodetexto"/>
        <w:rPr>
          <w:rFonts w:ascii="Times New Roman" w:hAnsi="Times New Roman"/>
          <w:color w:val="002060"/>
          <w:szCs w:val="20"/>
        </w:rPr>
      </w:pPr>
    </w:p>
    <w:p w:rsidR="00F21499" w:rsidRPr="0070069F" w:rsidRDefault="00F21499" w:rsidP="00F21499">
      <w:pPr>
        <w:pStyle w:val="Corpodetexto"/>
        <w:rPr>
          <w:rFonts w:ascii="Times New Roman" w:hAnsi="Times New Roman"/>
          <w:color w:val="002060"/>
          <w:szCs w:val="20"/>
        </w:rPr>
      </w:pPr>
    </w:p>
    <w:p w:rsidR="00F21499" w:rsidRPr="0070069F" w:rsidRDefault="00F21499" w:rsidP="00F21499">
      <w:pPr>
        <w:pStyle w:val="Corpodetexto"/>
        <w:rPr>
          <w:rFonts w:ascii="Times New Roman" w:hAnsi="Times New Roman"/>
          <w:color w:val="002060"/>
          <w:szCs w:val="20"/>
        </w:rPr>
      </w:pPr>
    </w:p>
    <w:p w:rsidR="00114E48" w:rsidRPr="0070069F" w:rsidRDefault="00114E48" w:rsidP="00F21499">
      <w:pPr>
        <w:pStyle w:val="Corpodetexto"/>
        <w:rPr>
          <w:rFonts w:ascii="Times New Roman" w:hAnsi="Times New Roman"/>
          <w:color w:val="002060"/>
          <w:szCs w:val="20"/>
        </w:rPr>
      </w:pPr>
    </w:p>
    <w:p w:rsidR="00114E48" w:rsidRPr="0070069F" w:rsidRDefault="00114E48" w:rsidP="00F21499">
      <w:pPr>
        <w:pStyle w:val="Corpodetexto"/>
        <w:rPr>
          <w:rFonts w:ascii="Times New Roman" w:hAnsi="Times New Roman"/>
          <w:color w:val="002060"/>
          <w:szCs w:val="20"/>
        </w:rPr>
      </w:pPr>
    </w:p>
    <w:p w:rsidR="00114E48" w:rsidRPr="0070069F" w:rsidRDefault="00114E48" w:rsidP="00114E48">
      <w:pPr>
        <w:pStyle w:val="Corpodetexto"/>
        <w:jc w:val="center"/>
        <w:rPr>
          <w:rFonts w:ascii="Times New Roman" w:hAnsi="Times New Roman"/>
          <w:color w:val="002060"/>
          <w:szCs w:val="20"/>
        </w:rPr>
      </w:pPr>
    </w:p>
    <w:p w:rsidR="00411F81" w:rsidRPr="0070069F" w:rsidRDefault="00B35FA3" w:rsidP="00411F81">
      <w:pPr>
        <w:pStyle w:val="Corpodetexto"/>
        <w:jc w:val="center"/>
        <w:rPr>
          <w:rFonts w:ascii="Times New Roman" w:hAnsi="Times New Roman"/>
          <w:color w:val="002060"/>
          <w:szCs w:val="20"/>
        </w:rPr>
      </w:pPr>
      <w:r>
        <w:rPr>
          <w:rFonts w:ascii="Times New Roman" w:hAnsi="Times New Roman"/>
          <w:color w:val="002060"/>
          <w:szCs w:val="20"/>
        </w:rPr>
        <w:object w:dxaOrig="15000" w:dyaOrig="8475">
          <v:shape id="_x0000_i1873" type="#_x0000_t75" style="width:750pt;height:423.75pt" o:ole="">
            <v:imagedata r:id="rId621" o:title=""/>
          </v:shape>
          <o:OLEObject Type="Link" ProgID="Excel.Sheet.12" ShapeID="_x0000_i1873" DrawAspect="Content" r:id="rId622" UpdateMode="Always">
            <o:LinkType>EnhancedMetaFile</o:LinkType>
            <o:LockedField>false</o:LockedField>
          </o:OLEObject>
        </w:object>
      </w:r>
    </w:p>
    <w:p w:rsidR="00114E48" w:rsidRPr="0070069F" w:rsidRDefault="00114E48" w:rsidP="00F21499">
      <w:pPr>
        <w:pStyle w:val="Corpodetexto"/>
        <w:jc w:val="center"/>
        <w:rPr>
          <w:rFonts w:ascii="Times New Roman" w:hAnsi="Times New Roman"/>
          <w:color w:val="002060"/>
          <w:szCs w:val="20"/>
        </w:rPr>
      </w:pPr>
    </w:p>
    <w:p w:rsidR="00114E48" w:rsidRPr="0070069F" w:rsidRDefault="00114E48" w:rsidP="00F21499">
      <w:pPr>
        <w:pStyle w:val="Corpodetexto"/>
        <w:jc w:val="center"/>
        <w:rPr>
          <w:rFonts w:ascii="Times New Roman" w:hAnsi="Times New Roman"/>
          <w:color w:val="002060"/>
          <w:szCs w:val="20"/>
        </w:rPr>
      </w:pPr>
    </w:p>
    <w:p w:rsidR="00E53726" w:rsidRDefault="00B35FA3" w:rsidP="00411F81">
      <w:pPr>
        <w:spacing w:after="200" w:line="276" w:lineRule="auto"/>
        <w:jc w:val="center"/>
        <w:rPr>
          <w:color w:val="0000FF"/>
          <w:szCs w:val="20"/>
        </w:rPr>
      </w:pPr>
      <w:r>
        <w:rPr>
          <w:color w:val="0000FF"/>
          <w:szCs w:val="20"/>
        </w:rPr>
        <w:object w:dxaOrig="15000" w:dyaOrig="9765">
          <v:shape id="_x0000_i1875" type="#_x0000_t75" style="width:750pt;height:488.25pt" o:ole="">
            <v:imagedata r:id="rId623" o:title=""/>
          </v:shape>
          <o:OLEObject Type="Link" ProgID="Excel.Sheet.12" ShapeID="_x0000_i1875" DrawAspect="Content" r:id="rId624" UpdateMode="Always">
            <o:LinkType>EnhancedMetaFile</o:LinkType>
            <o:LockedField>false</o:LockedField>
          </o:OLEObject>
        </w:object>
      </w:r>
    </w:p>
    <w:p w:rsidR="00321880" w:rsidRPr="0070069F" w:rsidRDefault="00B35FA3" w:rsidP="00E53726">
      <w:pPr>
        <w:spacing w:after="200" w:line="276" w:lineRule="auto"/>
        <w:jc w:val="center"/>
        <w:rPr>
          <w:b/>
          <w:szCs w:val="20"/>
        </w:rPr>
      </w:pPr>
      <w:r>
        <w:rPr>
          <w:b/>
          <w:szCs w:val="20"/>
        </w:rPr>
        <w:object w:dxaOrig="15000" w:dyaOrig="8220">
          <v:shape id="_x0000_i1877" type="#_x0000_t75" style="width:750pt;height:411.75pt" o:ole="">
            <v:imagedata r:id="rId625" o:title=""/>
          </v:shape>
          <o:OLEObject Type="Link" ProgID="Excel.Sheet.12" ShapeID="_x0000_i1877" DrawAspect="Content" r:id="rId626" UpdateMode="Always">
            <o:LinkType>EnhancedMetaFile</o:LinkType>
            <o:LockedField>false</o:LockedField>
          </o:OLEObject>
        </w:object>
      </w:r>
    </w:p>
    <w:p w:rsidR="00E53726" w:rsidRDefault="00E53726">
      <w:pPr>
        <w:spacing w:after="200" w:line="276" w:lineRule="auto"/>
        <w:rPr>
          <w:b/>
          <w:szCs w:val="20"/>
        </w:rPr>
      </w:pPr>
      <w:r>
        <w:br w:type="page"/>
      </w:r>
    </w:p>
    <w:p w:rsidR="00321880" w:rsidRPr="0070069F" w:rsidRDefault="00321880" w:rsidP="00321880">
      <w:pPr>
        <w:pStyle w:val="PSDS-MarcadoresNivel2"/>
        <w:numPr>
          <w:ilvl w:val="0"/>
          <w:numId w:val="0"/>
        </w:numPr>
        <w:rPr>
          <w:rFonts w:ascii="Times New Roman" w:hAnsi="Times New Roman"/>
        </w:rPr>
      </w:pPr>
      <w:r w:rsidRPr="0070069F">
        <w:rPr>
          <w:rFonts w:ascii="Times New Roman" w:hAnsi="Times New Roman"/>
        </w:rPr>
        <w:lastRenderedPageBreak/>
        <w:t>I – Regras de Validação do Registro: Não há.</w:t>
      </w:r>
    </w:p>
    <w:p w:rsidR="00321880" w:rsidRPr="0070069F" w:rsidRDefault="00321880" w:rsidP="00321880">
      <w:pPr>
        <w:pStyle w:val="PSDS-MarcadoresNivel2"/>
        <w:numPr>
          <w:ilvl w:val="0"/>
          <w:numId w:val="0"/>
        </w:numPr>
        <w:rPr>
          <w:rFonts w:ascii="Times New Roman" w:hAnsi="Times New Roman"/>
        </w:rPr>
      </w:pPr>
    </w:p>
    <w:p w:rsidR="00321880" w:rsidRPr="0070069F" w:rsidRDefault="00321880" w:rsidP="00321880">
      <w:pPr>
        <w:rPr>
          <w:b/>
          <w:szCs w:val="20"/>
          <w:lang w:val="pt-PT"/>
        </w:rPr>
      </w:pPr>
      <w:r w:rsidRPr="0070069F">
        <w:rPr>
          <w:b/>
          <w:szCs w:val="20"/>
          <w:lang w:val="pt-PT"/>
        </w:rPr>
        <w:t>II – Regras de Validação de Campos:</w:t>
      </w:r>
    </w:p>
    <w:p w:rsidR="00F46979" w:rsidRDefault="00F46979" w:rsidP="00F46979">
      <w:pPr>
        <w:rPr>
          <w:rFonts w:cs="Times New Roman"/>
          <w:b/>
          <w:bCs/>
          <w:lang w:val="pt-PT"/>
        </w:rPr>
      </w:pPr>
    </w:p>
    <w:tbl>
      <w:tblPr>
        <w:tblW w:w="15611"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85"/>
        <w:gridCol w:w="3000"/>
        <w:gridCol w:w="11165"/>
        <w:gridCol w:w="961"/>
      </w:tblGrid>
      <w:tr w:rsidR="00F46979" w:rsidTr="00F46979">
        <w:trPr>
          <w:jc w:val="center"/>
        </w:trPr>
        <w:tc>
          <w:tcPr>
            <w:tcW w:w="485" w:type="dxa"/>
            <w:tcBorders>
              <w:top w:val="single" w:sz="6" w:space="0" w:color="auto"/>
              <w:bottom w:val="single" w:sz="6" w:space="0" w:color="auto"/>
              <w:right w:val="single" w:sz="6" w:space="0" w:color="auto"/>
            </w:tcBorders>
            <w:shd w:val="pct10" w:color="auto" w:fill="FFFFFF"/>
          </w:tcPr>
          <w:p w:rsidR="00F46979" w:rsidRDefault="00F46979" w:rsidP="00F46979">
            <w:pPr>
              <w:pStyle w:val="PSDS-CorpodeTexto0"/>
              <w:jc w:val="center"/>
              <w:rPr>
                <w:rFonts w:ascii="Times New Roman" w:hAnsi="Times New Roman" w:cs="Times New Roman"/>
                <w:b/>
                <w:bCs/>
              </w:rPr>
            </w:pPr>
            <w:r>
              <w:rPr>
                <w:rFonts w:ascii="Times New Roman" w:hAnsi="Times New Roman" w:cs="Times New Roman"/>
                <w:b/>
                <w:bCs/>
              </w:rPr>
              <w:t>Nº</w:t>
            </w:r>
          </w:p>
        </w:tc>
        <w:tc>
          <w:tcPr>
            <w:tcW w:w="3000" w:type="dxa"/>
            <w:tcBorders>
              <w:top w:val="single" w:sz="6" w:space="0" w:color="auto"/>
              <w:left w:val="single" w:sz="6" w:space="0" w:color="auto"/>
              <w:bottom w:val="single" w:sz="6" w:space="0" w:color="auto"/>
              <w:right w:val="single" w:sz="6" w:space="0" w:color="auto"/>
            </w:tcBorders>
            <w:shd w:val="pct10" w:color="auto" w:fill="FFFFFF"/>
          </w:tcPr>
          <w:p w:rsidR="00F46979" w:rsidRDefault="00F46979" w:rsidP="00F46979">
            <w:pPr>
              <w:pStyle w:val="PSDS-CorpodeTexto0"/>
              <w:jc w:val="center"/>
              <w:rPr>
                <w:rFonts w:ascii="Times New Roman" w:hAnsi="Times New Roman" w:cs="Times New Roman"/>
                <w:b/>
                <w:bCs/>
              </w:rPr>
            </w:pPr>
            <w:r>
              <w:rPr>
                <w:rFonts w:ascii="Times New Roman" w:hAnsi="Times New Roman" w:cs="Times New Roman"/>
                <w:b/>
                <w:bCs/>
              </w:rPr>
              <w:t>Campo</w:t>
            </w:r>
          </w:p>
        </w:tc>
        <w:tc>
          <w:tcPr>
            <w:tcW w:w="11165" w:type="dxa"/>
            <w:tcBorders>
              <w:top w:val="single" w:sz="6" w:space="0" w:color="auto"/>
              <w:left w:val="single" w:sz="6" w:space="0" w:color="auto"/>
              <w:bottom w:val="single" w:sz="6" w:space="0" w:color="auto"/>
              <w:right w:val="single" w:sz="6" w:space="0" w:color="auto"/>
            </w:tcBorders>
            <w:shd w:val="pct10" w:color="auto" w:fill="FFFFFF"/>
          </w:tcPr>
          <w:p w:rsidR="00F46979" w:rsidRDefault="00F46979" w:rsidP="00F46979">
            <w:pPr>
              <w:pStyle w:val="PSDS-CorpodeTexto0"/>
              <w:jc w:val="center"/>
              <w:rPr>
                <w:rFonts w:ascii="Times New Roman" w:hAnsi="Times New Roman" w:cs="Times New Roman"/>
                <w:b/>
                <w:bCs/>
              </w:rPr>
            </w:pPr>
            <w:r>
              <w:rPr>
                <w:rFonts w:ascii="Times New Roman" w:hAnsi="Times New Roman" w:cs="Times New Roman"/>
                <w:b/>
                <w:bCs/>
              </w:rPr>
              <w:t>Regras de Validação do Campo</w:t>
            </w:r>
          </w:p>
        </w:tc>
        <w:tc>
          <w:tcPr>
            <w:tcW w:w="961" w:type="dxa"/>
            <w:tcBorders>
              <w:top w:val="single" w:sz="6" w:space="0" w:color="auto"/>
              <w:left w:val="single" w:sz="6" w:space="0" w:color="auto"/>
              <w:bottom w:val="single" w:sz="6" w:space="0" w:color="auto"/>
            </w:tcBorders>
            <w:shd w:val="pct10" w:color="auto" w:fill="FFFFFF"/>
          </w:tcPr>
          <w:p w:rsidR="00F46979" w:rsidRDefault="00F46979" w:rsidP="00F46979">
            <w:pPr>
              <w:pStyle w:val="PSDS-CorpodeTexto0"/>
              <w:jc w:val="center"/>
              <w:rPr>
                <w:rFonts w:ascii="Times New Roman" w:hAnsi="Times New Roman" w:cs="Times New Roman"/>
                <w:b/>
                <w:bCs/>
              </w:rPr>
            </w:pPr>
            <w:r>
              <w:rPr>
                <w:rFonts w:ascii="Times New Roman" w:hAnsi="Times New Roman" w:cs="Times New Roman"/>
                <w:b/>
                <w:bCs/>
              </w:rPr>
              <w:t>Tipo</w:t>
            </w:r>
          </w:p>
        </w:tc>
      </w:tr>
      <w:tr w:rsidR="00F46979" w:rsidTr="00F46979">
        <w:trPr>
          <w:jc w:val="center"/>
        </w:trPr>
        <w:tc>
          <w:tcPr>
            <w:tcW w:w="485" w:type="dxa"/>
            <w:tcBorders>
              <w:top w:val="single" w:sz="6" w:space="0" w:color="auto"/>
              <w:bottom w:val="single" w:sz="6" w:space="0" w:color="auto"/>
              <w:right w:val="single" w:sz="6" w:space="0" w:color="auto"/>
            </w:tcBorders>
          </w:tcPr>
          <w:p w:rsidR="00F46979" w:rsidRDefault="00F46979" w:rsidP="00F46979">
            <w:pPr>
              <w:pStyle w:val="PSDS-CorpodeTexto0"/>
              <w:suppressAutoHyphens w:val="0"/>
              <w:rPr>
                <w:rFonts w:ascii="Times New Roman" w:hAnsi="Times New Roman" w:cs="Times New Roman"/>
                <w:b/>
                <w:bCs/>
                <w:lang w:val="pt-PT"/>
              </w:rPr>
            </w:pPr>
            <w:r>
              <w:rPr>
                <w:rFonts w:ascii="Times New Roman" w:hAnsi="Times New Roman" w:cs="Times New Roman"/>
                <w:b/>
                <w:bCs/>
                <w:lang w:val="pt-PT"/>
              </w:rPr>
              <w:t>3</w:t>
            </w:r>
          </w:p>
        </w:tc>
        <w:tc>
          <w:tcPr>
            <w:tcW w:w="3000" w:type="dxa"/>
            <w:tcBorders>
              <w:top w:val="single" w:sz="6" w:space="0" w:color="auto"/>
              <w:left w:val="single" w:sz="6" w:space="0" w:color="auto"/>
              <w:bottom w:val="single" w:sz="6" w:space="0" w:color="auto"/>
              <w:right w:val="single" w:sz="6" w:space="0" w:color="auto"/>
            </w:tcBorders>
          </w:tcPr>
          <w:p w:rsidR="00F46979" w:rsidRDefault="00F46979" w:rsidP="00F46979">
            <w:pPr>
              <w:pStyle w:val="PSDS-CorpodeTexto0"/>
              <w:rPr>
                <w:rFonts w:ascii="Times New Roman" w:hAnsi="Times New Roman" w:cs="Times New Roman"/>
              </w:rPr>
            </w:pPr>
            <w:r>
              <w:rPr>
                <w:rFonts w:ascii="Times New Roman" w:hAnsi="Times New Roman" w:cs="Times New Roman"/>
              </w:rPr>
              <w:t>VL_REC_NAO_REL_EST</w:t>
            </w:r>
          </w:p>
        </w:tc>
        <w:tc>
          <w:tcPr>
            <w:tcW w:w="11165" w:type="dxa"/>
            <w:tcBorders>
              <w:top w:val="single" w:sz="6" w:space="0" w:color="auto"/>
              <w:left w:val="single" w:sz="6" w:space="0" w:color="auto"/>
              <w:bottom w:val="single" w:sz="6" w:space="0" w:color="auto"/>
              <w:right w:val="single" w:sz="6" w:space="0" w:color="auto"/>
            </w:tcBorders>
          </w:tcPr>
          <w:p w:rsidR="00F46979" w:rsidRDefault="00F46979" w:rsidP="00F46979">
            <w:pPr>
              <w:pStyle w:val="Corpodetexto"/>
              <w:rPr>
                <w:rFonts w:ascii="Times New Roman" w:hAnsi="Times New Roman" w:cs="Times New Roman"/>
              </w:rPr>
            </w:pPr>
            <w:r>
              <w:rPr>
                <w:rFonts w:ascii="Times New Roman" w:hAnsi="Times New Roman" w:cs="Times New Roman"/>
                <w:b/>
                <w:bCs/>
              </w:rPr>
              <w:t xml:space="preserve">REGRA_HABILITA_MOEDA_ESTRANGEIRA: </w:t>
            </w:r>
            <w:r>
              <w:rPr>
                <w:rFonts w:ascii="Times New Roman" w:hAnsi="Times New Roman" w:cs="Times New Roman"/>
              </w:rPr>
              <w:t>Caso W100.TIP_MOEDA seja diferente de “Reais”, o campo W200.VL_REC_NAO_REL_EST deve ser habilitado. Caso contrário, o campo W200.VL_REC_NAO_REL_EST é desabilitado.</w:t>
            </w:r>
          </w:p>
          <w:p w:rsidR="00F46979" w:rsidRDefault="00F46979" w:rsidP="00F46979">
            <w:pPr>
              <w:pStyle w:val="Corpodetexto"/>
              <w:rPr>
                <w:rFonts w:ascii="Times New Roman" w:hAnsi="Times New Roman" w:cs="Times New Roman"/>
              </w:rPr>
            </w:pPr>
          </w:p>
          <w:p w:rsidR="00F46979" w:rsidRDefault="00F46979" w:rsidP="00F46979">
            <w:pPr>
              <w:pStyle w:val="Corpodetexto"/>
              <w:rPr>
                <w:rFonts w:ascii="Times New Roman" w:hAnsi="Times New Roman" w:cs="Times New Roman"/>
              </w:rPr>
            </w:pPr>
            <w:r>
              <w:rPr>
                <w:rFonts w:ascii="Times New Roman" w:hAnsi="Times New Roman" w:cs="Times New Roman"/>
                <w:b/>
                <w:bCs/>
              </w:rPr>
              <w:t xml:space="preserve">REGRA_VALOR_ESTRANGEIRO_OBRIGATORIO: </w:t>
            </w:r>
            <w:r>
              <w:rPr>
                <w:rFonts w:ascii="Times New Roman" w:hAnsi="Times New Roman" w:cs="Times New Roman"/>
              </w:rPr>
              <w:t>Verifica, quando W100.TIP_MOEDA é diferente de “Reais”, se o campo W200.VL_REC_NAO_REL_EST está preenchido.</w:t>
            </w:r>
          </w:p>
          <w:p w:rsidR="00F46979" w:rsidRDefault="00F46979" w:rsidP="00F46979">
            <w:pPr>
              <w:pStyle w:val="Corpodetexto"/>
              <w:rPr>
                <w:rFonts w:ascii="Times New Roman" w:hAnsi="Times New Roman" w:cs="Times New Roman"/>
              </w:rPr>
            </w:pPr>
          </w:p>
          <w:p w:rsidR="00F46979" w:rsidRDefault="00F46979" w:rsidP="00F46979">
            <w:pPr>
              <w:pStyle w:val="Corpodetexto"/>
              <w:rPr>
                <w:rFonts w:ascii="Times New Roman" w:hAnsi="Times New Roman" w:cs="Times New Roman"/>
              </w:rPr>
            </w:pPr>
            <w:r>
              <w:rPr>
                <w:rFonts w:ascii="Times New Roman" w:hAnsi="Times New Roman" w:cs="Times New Roman"/>
                <w:b/>
                <w:bCs/>
              </w:rPr>
              <w:t xml:space="preserve">REGRA_VALOR_ESTRANGEIRO_NAO_PREENCHER: </w:t>
            </w:r>
            <w:r>
              <w:rPr>
                <w:rFonts w:ascii="Times New Roman" w:hAnsi="Times New Roman" w:cs="Times New Roman"/>
              </w:rPr>
              <w:t>Verifica, quando W100.TIP_MOEDA é igual a “Reais”, se o campo W200.VL_REC_NAO_REL_EST não está preenchido.</w:t>
            </w:r>
          </w:p>
        </w:tc>
        <w:tc>
          <w:tcPr>
            <w:tcW w:w="961" w:type="dxa"/>
            <w:tcBorders>
              <w:top w:val="single" w:sz="6" w:space="0" w:color="auto"/>
              <w:left w:val="single" w:sz="6" w:space="0" w:color="auto"/>
              <w:bottom w:val="single" w:sz="6" w:space="0" w:color="auto"/>
            </w:tcBorders>
          </w:tcPr>
          <w:p w:rsidR="00F46979" w:rsidRDefault="00F46979" w:rsidP="00F46979">
            <w:pPr>
              <w:pStyle w:val="PSDS-CorpodeTexto0"/>
              <w:rPr>
                <w:rFonts w:ascii="Times New Roman" w:hAnsi="Times New Roman" w:cs="Times New Roman"/>
              </w:rPr>
            </w:pPr>
            <w:r>
              <w:rPr>
                <w:rFonts w:ascii="Times New Roman" w:hAnsi="Times New Roman" w:cs="Times New Roman"/>
              </w:rPr>
              <w:t>Habilita</w:t>
            </w: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r>
              <w:rPr>
                <w:rFonts w:ascii="Times New Roman" w:hAnsi="Times New Roman" w:cs="Times New Roman"/>
              </w:rPr>
              <w:t>Erro</w:t>
            </w: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r>
              <w:rPr>
                <w:rFonts w:ascii="Times New Roman" w:hAnsi="Times New Roman" w:cs="Times New Roman"/>
              </w:rPr>
              <w:t>Erro</w:t>
            </w:r>
          </w:p>
        </w:tc>
      </w:tr>
      <w:tr w:rsidR="00F46979" w:rsidTr="00F46979">
        <w:trPr>
          <w:jc w:val="center"/>
        </w:trPr>
        <w:tc>
          <w:tcPr>
            <w:tcW w:w="485" w:type="dxa"/>
            <w:tcBorders>
              <w:top w:val="single" w:sz="6" w:space="0" w:color="auto"/>
              <w:bottom w:val="single" w:sz="6" w:space="0" w:color="auto"/>
              <w:right w:val="single" w:sz="6" w:space="0" w:color="auto"/>
            </w:tcBorders>
          </w:tcPr>
          <w:p w:rsidR="00F46979" w:rsidRDefault="00F46979" w:rsidP="00F46979">
            <w:pPr>
              <w:pStyle w:val="PSDS-CorpodeTexto0"/>
              <w:suppressAutoHyphens w:val="0"/>
              <w:rPr>
                <w:rFonts w:ascii="Times New Roman" w:hAnsi="Times New Roman" w:cs="Times New Roman"/>
                <w:b/>
                <w:bCs/>
                <w:lang w:val="pt-PT"/>
              </w:rPr>
            </w:pPr>
            <w:r>
              <w:rPr>
                <w:rFonts w:ascii="Times New Roman" w:hAnsi="Times New Roman" w:cs="Times New Roman"/>
                <w:b/>
                <w:bCs/>
                <w:lang w:val="pt-PT"/>
              </w:rPr>
              <w:t>4</w:t>
            </w:r>
          </w:p>
        </w:tc>
        <w:tc>
          <w:tcPr>
            <w:tcW w:w="3000" w:type="dxa"/>
            <w:tcBorders>
              <w:top w:val="single" w:sz="6" w:space="0" w:color="auto"/>
              <w:left w:val="single" w:sz="6" w:space="0" w:color="auto"/>
              <w:bottom w:val="single" w:sz="6" w:space="0" w:color="auto"/>
              <w:right w:val="single" w:sz="6" w:space="0" w:color="auto"/>
            </w:tcBorders>
          </w:tcPr>
          <w:p w:rsidR="00F46979" w:rsidRDefault="00F46979" w:rsidP="00F46979">
            <w:pPr>
              <w:pStyle w:val="PSDS-CorpodeTexto0"/>
              <w:rPr>
                <w:rFonts w:ascii="Times New Roman" w:hAnsi="Times New Roman" w:cs="Times New Roman"/>
              </w:rPr>
            </w:pPr>
            <w:r>
              <w:rPr>
                <w:rFonts w:ascii="Times New Roman" w:hAnsi="Times New Roman" w:cs="Times New Roman"/>
              </w:rPr>
              <w:t>VL_REC_NAO_REL</w:t>
            </w:r>
          </w:p>
        </w:tc>
        <w:tc>
          <w:tcPr>
            <w:tcW w:w="11165" w:type="dxa"/>
            <w:tcBorders>
              <w:top w:val="single" w:sz="6" w:space="0" w:color="auto"/>
              <w:left w:val="single" w:sz="6" w:space="0" w:color="auto"/>
              <w:bottom w:val="single" w:sz="6" w:space="0" w:color="auto"/>
              <w:right w:val="single" w:sz="6" w:space="0" w:color="auto"/>
            </w:tcBorders>
          </w:tcPr>
          <w:p w:rsidR="00F46979" w:rsidRDefault="00F46979" w:rsidP="00F46979">
            <w:pPr>
              <w:pStyle w:val="Corpodetexto"/>
              <w:rPr>
                <w:rFonts w:ascii="Times New Roman" w:hAnsi="Times New Roman" w:cs="Times New Roman"/>
              </w:rPr>
            </w:pPr>
            <w:r>
              <w:rPr>
                <w:rFonts w:ascii="Times New Roman" w:hAnsi="Times New Roman" w:cs="Times New Roman"/>
                <w:b/>
                <w:bCs/>
              </w:rPr>
              <w:t xml:space="preserve">REGRA_HABILITA_REAL: </w:t>
            </w:r>
            <w:r>
              <w:rPr>
                <w:rFonts w:ascii="Times New Roman" w:hAnsi="Times New Roman" w:cs="Times New Roman"/>
              </w:rPr>
              <w:t>Caso W100.TIP_MOEDA seja igual a “Reais”, o campo W200.VL_REC_NAO_REL deve ser habilitado. Caso contrário, o campo W200.VL_REC_NAO_REL é desabilitado, pois é calculado automaticamente pelo sistema.</w:t>
            </w:r>
          </w:p>
          <w:p w:rsidR="00F46979" w:rsidRDefault="00F46979" w:rsidP="00F46979">
            <w:pPr>
              <w:pStyle w:val="Corpodetexto"/>
              <w:rPr>
                <w:rFonts w:ascii="Times New Roman" w:hAnsi="Times New Roman" w:cs="Times New Roman"/>
              </w:rPr>
            </w:pPr>
          </w:p>
          <w:p w:rsidR="00F46979" w:rsidRDefault="00F46979" w:rsidP="00F46979">
            <w:pPr>
              <w:pStyle w:val="Corpodetexto"/>
              <w:rPr>
                <w:rFonts w:ascii="Times New Roman" w:hAnsi="Times New Roman" w:cs="Times New Roman"/>
              </w:rPr>
            </w:pPr>
            <w:r>
              <w:rPr>
                <w:rFonts w:ascii="Times New Roman" w:hAnsi="Times New Roman" w:cs="Times New Roman"/>
                <w:b/>
                <w:bCs/>
              </w:rPr>
              <w:t xml:space="preserve">REGRA_CALCULA_REAL_CNA: </w:t>
            </w:r>
            <w:r>
              <w:rPr>
                <w:rFonts w:ascii="Times New Roman" w:hAnsi="Times New Roman" w:cs="Times New Roman"/>
              </w:rPr>
              <w:t>Caso o campo W100.TIP.MOEDA seja diferente de “Reais”, o campo W200.VL_REC_NAO_REL será igual ao resultado da multiplicação do campo W200.VL_REC_NAO_REL_EST pela taxa de câmbio para real em 31/12/ano da escrituração, conforme tabela do Sped (Disponibilizada no programa da ECF no diretório Arquivos de Programas/Programas Sped/ECf/SpedEcf/Recursos/Tabelas).</w:t>
            </w:r>
          </w:p>
        </w:tc>
        <w:tc>
          <w:tcPr>
            <w:tcW w:w="961" w:type="dxa"/>
            <w:tcBorders>
              <w:top w:val="single" w:sz="6" w:space="0" w:color="auto"/>
              <w:left w:val="single" w:sz="6" w:space="0" w:color="auto"/>
              <w:bottom w:val="single" w:sz="6" w:space="0" w:color="auto"/>
            </w:tcBorders>
          </w:tcPr>
          <w:p w:rsidR="00F46979" w:rsidRDefault="00F46979" w:rsidP="00F46979">
            <w:pPr>
              <w:pStyle w:val="PSDS-CorpodeTexto0"/>
              <w:rPr>
                <w:rFonts w:ascii="Times New Roman" w:hAnsi="Times New Roman" w:cs="Times New Roman"/>
              </w:rPr>
            </w:pPr>
            <w:r>
              <w:rPr>
                <w:rFonts w:ascii="Times New Roman" w:hAnsi="Times New Roman" w:cs="Times New Roman"/>
              </w:rPr>
              <w:t>Habilita</w:t>
            </w: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r>
              <w:rPr>
                <w:rFonts w:ascii="Times New Roman" w:hAnsi="Times New Roman" w:cs="Times New Roman"/>
              </w:rPr>
              <w:t>Erro</w:t>
            </w: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p>
        </w:tc>
      </w:tr>
      <w:tr w:rsidR="00F46979" w:rsidTr="00F46979">
        <w:trPr>
          <w:jc w:val="center"/>
        </w:trPr>
        <w:tc>
          <w:tcPr>
            <w:tcW w:w="485" w:type="dxa"/>
            <w:tcBorders>
              <w:top w:val="single" w:sz="6" w:space="0" w:color="auto"/>
              <w:bottom w:val="single" w:sz="6" w:space="0" w:color="auto"/>
              <w:right w:val="single" w:sz="6" w:space="0" w:color="auto"/>
            </w:tcBorders>
          </w:tcPr>
          <w:p w:rsidR="00F46979" w:rsidRDefault="00F46979" w:rsidP="00F46979">
            <w:pPr>
              <w:pStyle w:val="PSDS-CorpodeTexto0"/>
              <w:suppressAutoHyphens w:val="0"/>
              <w:rPr>
                <w:rFonts w:ascii="Times New Roman" w:hAnsi="Times New Roman" w:cs="Times New Roman"/>
                <w:b/>
                <w:bCs/>
                <w:lang w:val="pt-PT"/>
              </w:rPr>
            </w:pPr>
            <w:r>
              <w:rPr>
                <w:rFonts w:ascii="Times New Roman" w:hAnsi="Times New Roman" w:cs="Times New Roman"/>
                <w:b/>
                <w:bCs/>
                <w:lang w:val="pt-PT"/>
              </w:rPr>
              <w:t>5</w:t>
            </w:r>
          </w:p>
        </w:tc>
        <w:tc>
          <w:tcPr>
            <w:tcW w:w="3000" w:type="dxa"/>
            <w:tcBorders>
              <w:top w:val="single" w:sz="6" w:space="0" w:color="auto"/>
              <w:left w:val="single" w:sz="6" w:space="0" w:color="auto"/>
              <w:bottom w:val="single" w:sz="6" w:space="0" w:color="auto"/>
              <w:right w:val="single" w:sz="6" w:space="0" w:color="auto"/>
            </w:tcBorders>
          </w:tcPr>
          <w:p w:rsidR="00F46979" w:rsidRDefault="00F46979" w:rsidP="00F46979">
            <w:pPr>
              <w:pStyle w:val="PSDS-CorpodeTexto0"/>
              <w:rPr>
                <w:rFonts w:ascii="Times New Roman" w:hAnsi="Times New Roman" w:cs="Times New Roman"/>
              </w:rPr>
            </w:pPr>
            <w:r>
              <w:rPr>
                <w:rFonts w:ascii="Times New Roman" w:hAnsi="Times New Roman" w:cs="Times New Roman"/>
              </w:rPr>
              <w:t>VL_REC_REL_EST</w:t>
            </w:r>
          </w:p>
        </w:tc>
        <w:tc>
          <w:tcPr>
            <w:tcW w:w="11165" w:type="dxa"/>
            <w:tcBorders>
              <w:top w:val="single" w:sz="6" w:space="0" w:color="auto"/>
              <w:left w:val="single" w:sz="6" w:space="0" w:color="auto"/>
              <w:bottom w:val="single" w:sz="6" w:space="0" w:color="auto"/>
              <w:right w:val="single" w:sz="6" w:space="0" w:color="auto"/>
            </w:tcBorders>
          </w:tcPr>
          <w:p w:rsidR="00F46979" w:rsidRDefault="00F46979" w:rsidP="00F46979">
            <w:pPr>
              <w:pStyle w:val="Corpodetexto"/>
              <w:rPr>
                <w:rFonts w:ascii="Times New Roman" w:hAnsi="Times New Roman" w:cs="Times New Roman"/>
              </w:rPr>
            </w:pPr>
            <w:r>
              <w:rPr>
                <w:rFonts w:ascii="Times New Roman" w:hAnsi="Times New Roman" w:cs="Times New Roman"/>
                <w:b/>
                <w:bCs/>
              </w:rPr>
              <w:t xml:space="preserve">REGRA_HABILITA_MOEDA_ESTRANGEIRA: </w:t>
            </w:r>
            <w:r>
              <w:rPr>
                <w:rFonts w:ascii="Times New Roman" w:hAnsi="Times New Roman" w:cs="Times New Roman"/>
              </w:rPr>
              <w:t>Caso W100.TIP_MOEDA seja diferente de “Reais”, o campo W200.VL_REC_REL_EST deve ser habilitado. Caso contrário, o campo W200.VL_REC_REL_EST é desabilitado.</w:t>
            </w:r>
          </w:p>
          <w:p w:rsidR="00F46979" w:rsidRDefault="00F46979" w:rsidP="00F46979">
            <w:pPr>
              <w:pStyle w:val="Corpodetexto"/>
              <w:rPr>
                <w:rFonts w:ascii="Times New Roman" w:hAnsi="Times New Roman" w:cs="Times New Roman"/>
              </w:rPr>
            </w:pPr>
          </w:p>
          <w:p w:rsidR="00F46979" w:rsidRDefault="00F46979" w:rsidP="00F46979">
            <w:pPr>
              <w:pStyle w:val="Corpodetexto"/>
              <w:rPr>
                <w:rFonts w:ascii="Times New Roman" w:hAnsi="Times New Roman" w:cs="Times New Roman"/>
              </w:rPr>
            </w:pPr>
            <w:r>
              <w:rPr>
                <w:rFonts w:ascii="Times New Roman" w:hAnsi="Times New Roman" w:cs="Times New Roman"/>
                <w:b/>
                <w:bCs/>
              </w:rPr>
              <w:t xml:space="preserve">REGRA_VALOR_ESTRANGEIRO_OBRIGATORIO: </w:t>
            </w:r>
            <w:r>
              <w:rPr>
                <w:rFonts w:ascii="Times New Roman" w:hAnsi="Times New Roman" w:cs="Times New Roman"/>
              </w:rPr>
              <w:t>Verifica, quando W100.TIP_MOEDA é diferente de “Reais”, se o campo W200.VL_REC_REL_EST está preenchido.</w:t>
            </w:r>
          </w:p>
          <w:p w:rsidR="00F46979" w:rsidRDefault="00F46979" w:rsidP="00F46979">
            <w:pPr>
              <w:pStyle w:val="Corpodetexto"/>
              <w:rPr>
                <w:rFonts w:ascii="Times New Roman" w:hAnsi="Times New Roman" w:cs="Times New Roman"/>
              </w:rPr>
            </w:pPr>
          </w:p>
          <w:p w:rsidR="00F46979" w:rsidRDefault="00F46979" w:rsidP="00F46979">
            <w:pPr>
              <w:pStyle w:val="Corpodetexto"/>
              <w:rPr>
                <w:rFonts w:ascii="Times New Roman" w:hAnsi="Times New Roman" w:cs="Times New Roman"/>
              </w:rPr>
            </w:pPr>
            <w:r>
              <w:rPr>
                <w:rFonts w:ascii="Times New Roman" w:hAnsi="Times New Roman" w:cs="Times New Roman"/>
                <w:b/>
                <w:bCs/>
              </w:rPr>
              <w:t xml:space="preserve">REGRA_VALOR_ESTRANGEIRO_NAO_PREENCHER: </w:t>
            </w:r>
            <w:r>
              <w:rPr>
                <w:rFonts w:ascii="Times New Roman" w:hAnsi="Times New Roman" w:cs="Times New Roman"/>
              </w:rPr>
              <w:t>Verifica, quando W100.TIP_MOEDA é igual a “Reais”, se o campo W200.VL_REC_REL_EST não está preenchido.</w:t>
            </w:r>
          </w:p>
        </w:tc>
        <w:tc>
          <w:tcPr>
            <w:tcW w:w="961" w:type="dxa"/>
            <w:tcBorders>
              <w:top w:val="single" w:sz="6" w:space="0" w:color="auto"/>
              <w:left w:val="single" w:sz="6" w:space="0" w:color="auto"/>
              <w:bottom w:val="single" w:sz="6" w:space="0" w:color="auto"/>
            </w:tcBorders>
          </w:tcPr>
          <w:p w:rsidR="00F46979" w:rsidRDefault="00F46979" w:rsidP="00F46979">
            <w:pPr>
              <w:pStyle w:val="PSDS-CorpodeTexto0"/>
              <w:rPr>
                <w:rFonts w:ascii="Times New Roman" w:hAnsi="Times New Roman" w:cs="Times New Roman"/>
              </w:rPr>
            </w:pPr>
            <w:r>
              <w:rPr>
                <w:rFonts w:ascii="Times New Roman" w:hAnsi="Times New Roman" w:cs="Times New Roman"/>
              </w:rPr>
              <w:t>Habilita</w:t>
            </w: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r>
              <w:rPr>
                <w:rFonts w:ascii="Times New Roman" w:hAnsi="Times New Roman" w:cs="Times New Roman"/>
              </w:rPr>
              <w:t>Erro</w:t>
            </w: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r>
              <w:rPr>
                <w:rFonts w:ascii="Times New Roman" w:hAnsi="Times New Roman" w:cs="Times New Roman"/>
              </w:rPr>
              <w:t>Erro</w:t>
            </w:r>
          </w:p>
        </w:tc>
      </w:tr>
      <w:tr w:rsidR="00F46979" w:rsidTr="00F46979">
        <w:trPr>
          <w:jc w:val="center"/>
        </w:trPr>
        <w:tc>
          <w:tcPr>
            <w:tcW w:w="485" w:type="dxa"/>
            <w:tcBorders>
              <w:top w:val="single" w:sz="6" w:space="0" w:color="auto"/>
              <w:bottom w:val="single" w:sz="6" w:space="0" w:color="auto"/>
              <w:right w:val="single" w:sz="6" w:space="0" w:color="auto"/>
            </w:tcBorders>
          </w:tcPr>
          <w:p w:rsidR="00F46979" w:rsidRDefault="00F46979" w:rsidP="00F46979">
            <w:pPr>
              <w:pStyle w:val="PSDS-CorpodeTexto0"/>
              <w:suppressAutoHyphens w:val="0"/>
              <w:rPr>
                <w:rFonts w:ascii="Times New Roman" w:hAnsi="Times New Roman" w:cs="Times New Roman"/>
                <w:b/>
                <w:bCs/>
                <w:lang w:val="pt-PT"/>
              </w:rPr>
            </w:pPr>
            <w:r>
              <w:rPr>
                <w:rFonts w:ascii="Times New Roman" w:hAnsi="Times New Roman" w:cs="Times New Roman"/>
                <w:b/>
                <w:bCs/>
                <w:lang w:val="pt-PT"/>
              </w:rPr>
              <w:t>6</w:t>
            </w:r>
          </w:p>
        </w:tc>
        <w:tc>
          <w:tcPr>
            <w:tcW w:w="3000" w:type="dxa"/>
            <w:tcBorders>
              <w:top w:val="single" w:sz="6" w:space="0" w:color="auto"/>
              <w:left w:val="single" w:sz="6" w:space="0" w:color="auto"/>
              <w:bottom w:val="single" w:sz="6" w:space="0" w:color="auto"/>
              <w:right w:val="single" w:sz="6" w:space="0" w:color="auto"/>
            </w:tcBorders>
          </w:tcPr>
          <w:p w:rsidR="00F46979" w:rsidRDefault="00F46979" w:rsidP="00F46979">
            <w:pPr>
              <w:pStyle w:val="PSDS-CorpodeTexto0"/>
              <w:rPr>
                <w:rFonts w:ascii="Times New Roman" w:hAnsi="Times New Roman" w:cs="Times New Roman"/>
              </w:rPr>
            </w:pPr>
            <w:r>
              <w:rPr>
                <w:rFonts w:ascii="Times New Roman" w:hAnsi="Times New Roman" w:cs="Times New Roman"/>
              </w:rPr>
              <w:t>VL_REC_REL</w:t>
            </w:r>
          </w:p>
        </w:tc>
        <w:tc>
          <w:tcPr>
            <w:tcW w:w="11165" w:type="dxa"/>
            <w:tcBorders>
              <w:top w:val="single" w:sz="6" w:space="0" w:color="auto"/>
              <w:left w:val="single" w:sz="6" w:space="0" w:color="auto"/>
              <w:bottom w:val="single" w:sz="6" w:space="0" w:color="auto"/>
              <w:right w:val="single" w:sz="6" w:space="0" w:color="auto"/>
            </w:tcBorders>
          </w:tcPr>
          <w:p w:rsidR="00F46979" w:rsidRDefault="00F46979" w:rsidP="00F46979">
            <w:pPr>
              <w:pStyle w:val="Corpodetexto"/>
              <w:rPr>
                <w:rFonts w:ascii="Times New Roman" w:hAnsi="Times New Roman" w:cs="Times New Roman"/>
              </w:rPr>
            </w:pPr>
            <w:r>
              <w:rPr>
                <w:rFonts w:ascii="Times New Roman" w:hAnsi="Times New Roman" w:cs="Times New Roman"/>
                <w:b/>
                <w:bCs/>
              </w:rPr>
              <w:t xml:space="preserve">REGRA_HABILITA_REAL: </w:t>
            </w:r>
            <w:r>
              <w:rPr>
                <w:rFonts w:ascii="Times New Roman" w:hAnsi="Times New Roman" w:cs="Times New Roman"/>
              </w:rPr>
              <w:t>Caso W100.TIP_MOEDA seja igual a “Reais”, o campo W200.VL_REC_REL deve ser habilitado. Caso contrário, o campo W200.VL_REC_REL é desabilitado, pois é calculado automaticamente pelo sistema.</w:t>
            </w:r>
          </w:p>
          <w:p w:rsidR="00F46979" w:rsidRDefault="00F46979" w:rsidP="00F46979">
            <w:pPr>
              <w:pStyle w:val="Corpodetexto"/>
              <w:rPr>
                <w:rFonts w:ascii="Times New Roman" w:hAnsi="Times New Roman" w:cs="Times New Roman"/>
              </w:rPr>
            </w:pPr>
          </w:p>
          <w:p w:rsidR="00F46979" w:rsidRDefault="00F46979" w:rsidP="00F46979">
            <w:pPr>
              <w:pStyle w:val="Corpodetexto"/>
              <w:rPr>
                <w:rFonts w:ascii="Times New Roman" w:hAnsi="Times New Roman" w:cs="Times New Roman"/>
              </w:rPr>
            </w:pPr>
            <w:r>
              <w:rPr>
                <w:rFonts w:ascii="Times New Roman" w:hAnsi="Times New Roman" w:cs="Times New Roman"/>
                <w:b/>
                <w:bCs/>
              </w:rPr>
              <w:t xml:space="preserve">REGRA_CALCULA_REAL_CNA: </w:t>
            </w:r>
            <w:r>
              <w:rPr>
                <w:rFonts w:ascii="Times New Roman" w:hAnsi="Times New Roman" w:cs="Times New Roman"/>
              </w:rPr>
              <w:t>Caso o campo W100.TIP.MOEDA seja diferente de “Reais”, o campo W200.VL_REC_REL será igual ao resultado da multiplicação do campo W200.VL_REC_REL_EST pela taxa de câmbio para real em 31/12/ano da escrituração, conforme tabela do Sped (Disponibilizada no programa da ECF no diretório Arquivos de Programas/Programas Sped/ECf/SpedEcf/Recursos/Tabelas).</w:t>
            </w:r>
          </w:p>
        </w:tc>
        <w:tc>
          <w:tcPr>
            <w:tcW w:w="961" w:type="dxa"/>
            <w:tcBorders>
              <w:top w:val="single" w:sz="6" w:space="0" w:color="auto"/>
              <w:left w:val="single" w:sz="6" w:space="0" w:color="auto"/>
              <w:bottom w:val="single" w:sz="6" w:space="0" w:color="auto"/>
            </w:tcBorders>
          </w:tcPr>
          <w:p w:rsidR="00F46979" w:rsidRDefault="00F46979" w:rsidP="00F46979">
            <w:pPr>
              <w:pStyle w:val="PSDS-CorpodeTexto0"/>
              <w:rPr>
                <w:rFonts w:ascii="Times New Roman" w:hAnsi="Times New Roman" w:cs="Times New Roman"/>
              </w:rPr>
            </w:pPr>
            <w:r>
              <w:rPr>
                <w:rFonts w:ascii="Times New Roman" w:hAnsi="Times New Roman" w:cs="Times New Roman"/>
              </w:rPr>
              <w:t>Habilita</w:t>
            </w: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r>
              <w:rPr>
                <w:rFonts w:ascii="Times New Roman" w:hAnsi="Times New Roman" w:cs="Times New Roman"/>
              </w:rPr>
              <w:t>Erro</w:t>
            </w: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p>
        </w:tc>
      </w:tr>
      <w:tr w:rsidR="00F46979" w:rsidTr="00F46979">
        <w:trPr>
          <w:jc w:val="center"/>
        </w:trPr>
        <w:tc>
          <w:tcPr>
            <w:tcW w:w="485" w:type="dxa"/>
            <w:tcBorders>
              <w:top w:val="single" w:sz="6" w:space="0" w:color="auto"/>
              <w:bottom w:val="single" w:sz="6" w:space="0" w:color="auto"/>
              <w:right w:val="single" w:sz="6" w:space="0" w:color="auto"/>
            </w:tcBorders>
          </w:tcPr>
          <w:p w:rsidR="00F46979" w:rsidRDefault="00F46979" w:rsidP="00F46979">
            <w:pPr>
              <w:pStyle w:val="PSDS-CorpodeTexto0"/>
              <w:suppressAutoHyphens w:val="0"/>
              <w:rPr>
                <w:rFonts w:ascii="Times New Roman" w:hAnsi="Times New Roman" w:cs="Times New Roman"/>
                <w:b/>
                <w:bCs/>
                <w:lang w:val="pt-PT"/>
              </w:rPr>
            </w:pPr>
            <w:r>
              <w:rPr>
                <w:rFonts w:ascii="Times New Roman" w:hAnsi="Times New Roman" w:cs="Times New Roman"/>
                <w:b/>
                <w:bCs/>
                <w:lang w:val="pt-PT"/>
              </w:rPr>
              <w:t>7</w:t>
            </w:r>
          </w:p>
        </w:tc>
        <w:tc>
          <w:tcPr>
            <w:tcW w:w="3000" w:type="dxa"/>
            <w:tcBorders>
              <w:top w:val="single" w:sz="6" w:space="0" w:color="auto"/>
              <w:left w:val="single" w:sz="6" w:space="0" w:color="auto"/>
              <w:bottom w:val="single" w:sz="6" w:space="0" w:color="auto"/>
              <w:right w:val="single" w:sz="6" w:space="0" w:color="auto"/>
            </w:tcBorders>
          </w:tcPr>
          <w:p w:rsidR="00F46979" w:rsidRDefault="00F46979" w:rsidP="00F46979">
            <w:pPr>
              <w:pStyle w:val="PSDS-CorpodeTexto0"/>
              <w:rPr>
                <w:rFonts w:ascii="Times New Roman" w:hAnsi="Times New Roman" w:cs="Times New Roman"/>
              </w:rPr>
            </w:pPr>
            <w:r>
              <w:rPr>
                <w:rFonts w:ascii="Times New Roman" w:hAnsi="Times New Roman" w:cs="Times New Roman"/>
              </w:rPr>
              <w:t>VL_REC_TOTAL_EST</w:t>
            </w:r>
          </w:p>
        </w:tc>
        <w:tc>
          <w:tcPr>
            <w:tcW w:w="11165" w:type="dxa"/>
            <w:tcBorders>
              <w:top w:val="single" w:sz="6" w:space="0" w:color="auto"/>
              <w:left w:val="single" w:sz="6" w:space="0" w:color="auto"/>
              <w:bottom w:val="single" w:sz="6" w:space="0" w:color="auto"/>
              <w:right w:val="single" w:sz="6" w:space="0" w:color="auto"/>
            </w:tcBorders>
          </w:tcPr>
          <w:p w:rsidR="00F46979" w:rsidRDefault="00F46979" w:rsidP="00F46979">
            <w:pPr>
              <w:pStyle w:val="Corpodetexto"/>
              <w:rPr>
                <w:rFonts w:ascii="Times New Roman" w:hAnsi="Times New Roman" w:cs="Times New Roman"/>
              </w:rPr>
            </w:pPr>
            <w:r>
              <w:rPr>
                <w:rFonts w:ascii="Times New Roman" w:hAnsi="Times New Roman" w:cs="Times New Roman"/>
                <w:b/>
                <w:bCs/>
              </w:rPr>
              <w:t xml:space="preserve">REGRA_VL_REC_TOTAL_EST_CNA: </w:t>
            </w:r>
            <w:r>
              <w:rPr>
                <w:rFonts w:ascii="Times New Roman" w:hAnsi="Times New Roman" w:cs="Times New Roman"/>
              </w:rPr>
              <w:t>Verifica se o campo W200.VL_REC_TOTAL_EST é igual ao somatório dos campos W200.VL_REC_NAO_REL_EST e W200.VL_REC_REL_EST.</w:t>
            </w:r>
          </w:p>
          <w:p w:rsidR="00F46979" w:rsidRDefault="00F46979" w:rsidP="00F46979">
            <w:pPr>
              <w:pStyle w:val="Corpodetexto"/>
              <w:rPr>
                <w:rFonts w:ascii="Times New Roman" w:hAnsi="Times New Roman" w:cs="Times New Roman"/>
              </w:rPr>
            </w:pPr>
          </w:p>
        </w:tc>
        <w:tc>
          <w:tcPr>
            <w:tcW w:w="961" w:type="dxa"/>
            <w:tcBorders>
              <w:top w:val="single" w:sz="6" w:space="0" w:color="auto"/>
              <w:left w:val="single" w:sz="6" w:space="0" w:color="auto"/>
              <w:bottom w:val="single" w:sz="6" w:space="0" w:color="auto"/>
            </w:tcBorders>
          </w:tcPr>
          <w:p w:rsidR="00F46979" w:rsidRDefault="00F46979" w:rsidP="00F46979">
            <w:pPr>
              <w:pStyle w:val="PSDS-CorpodeTexto0"/>
              <w:rPr>
                <w:rFonts w:ascii="Times New Roman" w:hAnsi="Times New Roman" w:cs="Times New Roman"/>
              </w:rPr>
            </w:pPr>
            <w:r>
              <w:rPr>
                <w:rFonts w:ascii="Times New Roman" w:hAnsi="Times New Roman" w:cs="Times New Roman"/>
              </w:rPr>
              <w:t>Erro</w:t>
            </w:r>
          </w:p>
        </w:tc>
      </w:tr>
      <w:tr w:rsidR="00F46979" w:rsidTr="00F46979">
        <w:trPr>
          <w:jc w:val="center"/>
        </w:trPr>
        <w:tc>
          <w:tcPr>
            <w:tcW w:w="485" w:type="dxa"/>
            <w:tcBorders>
              <w:top w:val="single" w:sz="6" w:space="0" w:color="auto"/>
              <w:bottom w:val="single" w:sz="6" w:space="0" w:color="auto"/>
              <w:right w:val="single" w:sz="6" w:space="0" w:color="auto"/>
            </w:tcBorders>
          </w:tcPr>
          <w:p w:rsidR="00F46979" w:rsidRDefault="00F46979" w:rsidP="00F46979">
            <w:pPr>
              <w:pStyle w:val="PSDS-CorpodeTexto0"/>
              <w:suppressAutoHyphens w:val="0"/>
              <w:rPr>
                <w:rFonts w:ascii="Times New Roman" w:hAnsi="Times New Roman" w:cs="Times New Roman"/>
                <w:b/>
                <w:bCs/>
                <w:lang w:val="pt-PT"/>
              </w:rPr>
            </w:pPr>
            <w:r>
              <w:rPr>
                <w:rFonts w:ascii="Times New Roman" w:hAnsi="Times New Roman" w:cs="Times New Roman"/>
                <w:b/>
                <w:bCs/>
                <w:lang w:val="pt-PT"/>
              </w:rPr>
              <w:lastRenderedPageBreak/>
              <w:t>8</w:t>
            </w:r>
          </w:p>
        </w:tc>
        <w:tc>
          <w:tcPr>
            <w:tcW w:w="3000" w:type="dxa"/>
            <w:tcBorders>
              <w:top w:val="single" w:sz="6" w:space="0" w:color="auto"/>
              <w:left w:val="single" w:sz="6" w:space="0" w:color="auto"/>
              <w:bottom w:val="single" w:sz="6" w:space="0" w:color="auto"/>
              <w:right w:val="single" w:sz="6" w:space="0" w:color="auto"/>
            </w:tcBorders>
          </w:tcPr>
          <w:p w:rsidR="00F46979" w:rsidRDefault="00F46979" w:rsidP="00F46979">
            <w:pPr>
              <w:pStyle w:val="PSDS-CorpodeTexto0"/>
              <w:rPr>
                <w:rFonts w:ascii="Times New Roman" w:hAnsi="Times New Roman" w:cs="Times New Roman"/>
              </w:rPr>
            </w:pPr>
            <w:r>
              <w:rPr>
                <w:rFonts w:ascii="Times New Roman" w:hAnsi="Times New Roman" w:cs="Times New Roman"/>
              </w:rPr>
              <w:t>VL_REC_TOTAL</w:t>
            </w:r>
          </w:p>
        </w:tc>
        <w:tc>
          <w:tcPr>
            <w:tcW w:w="11165" w:type="dxa"/>
            <w:tcBorders>
              <w:top w:val="single" w:sz="6" w:space="0" w:color="auto"/>
              <w:left w:val="single" w:sz="6" w:space="0" w:color="auto"/>
              <w:bottom w:val="single" w:sz="6" w:space="0" w:color="auto"/>
              <w:right w:val="single" w:sz="6" w:space="0" w:color="auto"/>
            </w:tcBorders>
          </w:tcPr>
          <w:p w:rsidR="00F46979" w:rsidRDefault="00F46979" w:rsidP="00F46979">
            <w:pPr>
              <w:pStyle w:val="Corpodetexto"/>
              <w:rPr>
                <w:rFonts w:ascii="Times New Roman" w:hAnsi="Times New Roman" w:cs="Times New Roman"/>
              </w:rPr>
            </w:pPr>
            <w:r>
              <w:rPr>
                <w:rFonts w:ascii="Times New Roman" w:hAnsi="Times New Roman" w:cs="Times New Roman"/>
                <w:b/>
                <w:bCs/>
              </w:rPr>
              <w:t xml:space="preserve">REGRA_VL_REC_TOTAL_CNA: </w:t>
            </w:r>
            <w:r>
              <w:rPr>
                <w:rFonts w:ascii="Times New Roman" w:hAnsi="Times New Roman" w:cs="Times New Roman"/>
              </w:rPr>
              <w:t>Verifica se o campo W200.VL_REC_TOTAL é igual ao somatório dos campos W200.VL_REC_NAO_REL e W200.VL_REC_REL.</w:t>
            </w:r>
          </w:p>
        </w:tc>
        <w:tc>
          <w:tcPr>
            <w:tcW w:w="961" w:type="dxa"/>
            <w:tcBorders>
              <w:top w:val="single" w:sz="6" w:space="0" w:color="auto"/>
              <w:left w:val="single" w:sz="6" w:space="0" w:color="auto"/>
              <w:bottom w:val="single" w:sz="6" w:space="0" w:color="auto"/>
            </w:tcBorders>
          </w:tcPr>
          <w:p w:rsidR="00F46979" w:rsidRDefault="00F46979" w:rsidP="00F46979">
            <w:pPr>
              <w:pStyle w:val="PSDS-CorpodeTexto0"/>
              <w:rPr>
                <w:rFonts w:ascii="Times New Roman" w:hAnsi="Times New Roman" w:cs="Times New Roman"/>
              </w:rPr>
            </w:pPr>
            <w:r>
              <w:rPr>
                <w:rFonts w:ascii="Times New Roman" w:hAnsi="Times New Roman" w:cs="Times New Roman"/>
              </w:rPr>
              <w:t>Erro</w:t>
            </w:r>
          </w:p>
        </w:tc>
      </w:tr>
      <w:tr w:rsidR="00F46979" w:rsidTr="00F46979">
        <w:trPr>
          <w:jc w:val="center"/>
        </w:trPr>
        <w:tc>
          <w:tcPr>
            <w:tcW w:w="485" w:type="dxa"/>
            <w:tcBorders>
              <w:top w:val="single" w:sz="6" w:space="0" w:color="auto"/>
              <w:bottom w:val="single" w:sz="6" w:space="0" w:color="auto"/>
              <w:right w:val="single" w:sz="6" w:space="0" w:color="auto"/>
            </w:tcBorders>
          </w:tcPr>
          <w:p w:rsidR="00F46979" w:rsidRDefault="00F46979" w:rsidP="00F46979">
            <w:pPr>
              <w:pStyle w:val="PSDS-CorpodeTexto0"/>
              <w:suppressAutoHyphens w:val="0"/>
              <w:rPr>
                <w:rFonts w:ascii="Times New Roman" w:hAnsi="Times New Roman" w:cs="Times New Roman"/>
                <w:b/>
                <w:bCs/>
                <w:lang w:val="pt-PT"/>
              </w:rPr>
            </w:pPr>
            <w:r>
              <w:rPr>
                <w:rFonts w:ascii="Times New Roman" w:hAnsi="Times New Roman" w:cs="Times New Roman"/>
                <w:b/>
                <w:bCs/>
                <w:lang w:val="pt-PT"/>
              </w:rPr>
              <w:t>9</w:t>
            </w:r>
          </w:p>
        </w:tc>
        <w:tc>
          <w:tcPr>
            <w:tcW w:w="3000" w:type="dxa"/>
            <w:tcBorders>
              <w:top w:val="single" w:sz="6" w:space="0" w:color="auto"/>
              <w:left w:val="single" w:sz="6" w:space="0" w:color="auto"/>
              <w:bottom w:val="single" w:sz="6" w:space="0" w:color="auto"/>
              <w:right w:val="single" w:sz="6" w:space="0" w:color="auto"/>
            </w:tcBorders>
          </w:tcPr>
          <w:p w:rsidR="00F46979" w:rsidRDefault="00F46979" w:rsidP="00F46979">
            <w:pPr>
              <w:pStyle w:val="PSDS-CorpodeTexto0"/>
              <w:rPr>
                <w:rFonts w:ascii="Times New Roman" w:hAnsi="Times New Roman" w:cs="Times New Roman"/>
              </w:rPr>
            </w:pPr>
            <w:r>
              <w:rPr>
                <w:rFonts w:ascii="Times New Roman" w:hAnsi="Times New Roman" w:cs="Times New Roman"/>
              </w:rPr>
              <w:t>VL_LUC_PREJ_ANTES_IR_EST</w:t>
            </w:r>
          </w:p>
        </w:tc>
        <w:tc>
          <w:tcPr>
            <w:tcW w:w="11165" w:type="dxa"/>
            <w:tcBorders>
              <w:top w:val="single" w:sz="6" w:space="0" w:color="auto"/>
              <w:left w:val="single" w:sz="6" w:space="0" w:color="auto"/>
              <w:bottom w:val="single" w:sz="6" w:space="0" w:color="auto"/>
              <w:right w:val="single" w:sz="6" w:space="0" w:color="auto"/>
            </w:tcBorders>
          </w:tcPr>
          <w:p w:rsidR="00F46979" w:rsidRDefault="00F46979" w:rsidP="00F46979">
            <w:pPr>
              <w:pStyle w:val="Corpodetexto"/>
              <w:rPr>
                <w:rFonts w:ascii="Times New Roman" w:hAnsi="Times New Roman" w:cs="Times New Roman"/>
              </w:rPr>
            </w:pPr>
            <w:r>
              <w:rPr>
                <w:rFonts w:ascii="Times New Roman" w:hAnsi="Times New Roman" w:cs="Times New Roman"/>
                <w:b/>
                <w:bCs/>
              </w:rPr>
              <w:t xml:space="preserve">REGRA_HABILITA_MOEDA_ESTRANGEIRA: </w:t>
            </w:r>
            <w:r>
              <w:rPr>
                <w:rFonts w:ascii="Times New Roman" w:hAnsi="Times New Roman" w:cs="Times New Roman"/>
              </w:rPr>
              <w:t>Caso W100.TIP_MOEDA seja diferente de “Reais”, o campo W200.VL_LUC_PREJ_ANTES_IR_EST deve ser habilitado. Caso contrário, o campo W200.VL_LUC_PREJ_ANTES_IR_EST é desabilitado.</w:t>
            </w:r>
          </w:p>
          <w:p w:rsidR="00F46979" w:rsidRDefault="00F46979" w:rsidP="00F46979">
            <w:pPr>
              <w:pStyle w:val="Corpodetexto"/>
              <w:rPr>
                <w:rFonts w:ascii="Times New Roman" w:hAnsi="Times New Roman" w:cs="Times New Roman"/>
              </w:rPr>
            </w:pPr>
          </w:p>
          <w:p w:rsidR="00F46979" w:rsidRDefault="00F46979" w:rsidP="00F46979">
            <w:pPr>
              <w:pStyle w:val="Corpodetexto"/>
              <w:rPr>
                <w:rFonts w:ascii="Times New Roman" w:hAnsi="Times New Roman" w:cs="Times New Roman"/>
              </w:rPr>
            </w:pPr>
            <w:r>
              <w:rPr>
                <w:rFonts w:ascii="Times New Roman" w:hAnsi="Times New Roman" w:cs="Times New Roman"/>
                <w:b/>
                <w:bCs/>
              </w:rPr>
              <w:t xml:space="preserve">REGRA_VALOR_ESTRANGEIRO_OBRIGATORIO: </w:t>
            </w:r>
            <w:r>
              <w:rPr>
                <w:rFonts w:ascii="Times New Roman" w:hAnsi="Times New Roman" w:cs="Times New Roman"/>
              </w:rPr>
              <w:t>Verifica, quando W100.TIP_MOEDA é diferente de “Reais”, se o campo W200.VL_LUC_PREJ_ANTES_IR_EST está preenchido.</w:t>
            </w:r>
          </w:p>
          <w:p w:rsidR="00F46979" w:rsidRDefault="00F46979" w:rsidP="00F46979">
            <w:pPr>
              <w:pStyle w:val="Corpodetexto"/>
              <w:rPr>
                <w:rFonts w:ascii="Times New Roman" w:hAnsi="Times New Roman" w:cs="Times New Roman"/>
              </w:rPr>
            </w:pPr>
          </w:p>
          <w:p w:rsidR="00F46979" w:rsidRDefault="00F46979" w:rsidP="00F46979">
            <w:pPr>
              <w:pStyle w:val="Corpodetexto"/>
              <w:rPr>
                <w:rFonts w:ascii="Times New Roman" w:hAnsi="Times New Roman" w:cs="Times New Roman"/>
              </w:rPr>
            </w:pPr>
            <w:r>
              <w:rPr>
                <w:rFonts w:ascii="Times New Roman" w:hAnsi="Times New Roman" w:cs="Times New Roman"/>
                <w:b/>
                <w:bCs/>
              </w:rPr>
              <w:t xml:space="preserve">REGRA_VALOR_ESTRANGEIRO_NAO_PREENCHER: </w:t>
            </w:r>
            <w:r>
              <w:rPr>
                <w:rFonts w:ascii="Times New Roman" w:hAnsi="Times New Roman" w:cs="Times New Roman"/>
              </w:rPr>
              <w:t>Verifica, quando W100.TIP_MOEDA é igual a “Reais”, se o campo W200.VL_LUC_PREJ_ANTES_IR_EST não está preenchido.</w:t>
            </w:r>
          </w:p>
        </w:tc>
        <w:tc>
          <w:tcPr>
            <w:tcW w:w="961" w:type="dxa"/>
            <w:tcBorders>
              <w:top w:val="single" w:sz="6" w:space="0" w:color="auto"/>
              <w:left w:val="single" w:sz="6" w:space="0" w:color="auto"/>
              <w:bottom w:val="single" w:sz="6" w:space="0" w:color="auto"/>
            </w:tcBorders>
          </w:tcPr>
          <w:p w:rsidR="00F46979" w:rsidRDefault="00F46979" w:rsidP="00F46979">
            <w:pPr>
              <w:pStyle w:val="PSDS-CorpodeTexto0"/>
              <w:rPr>
                <w:rFonts w:ascii="Times New Roman" w:hAnsi="Times New Roman" w:cs="Times New Roman"/>
              </w:rPr>
            </w:pPr>
            <w:r>
              <w:rPr>
                <w:rFonts w:ascii="Times New Roman" w:hAnsi="Times New Roman" w:cs="Times New Roman"/>
              </w:rPr>
              <w:t>Habilita</w:t>
            </w: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r>
              <w:rPr>
                <w:rFonts w:ascii="Times New Roman" w:hAnsi="Times New Roman" w:cs="Times New Roman"/>
              </w:rPr>
              <w:t>Erro</w:t>
            </w: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r>
              <w:rPr>
                <w:rFonts w:ascii="Times New Roman" w:hAnsi="Times New Roman" w:cs="Times New Roman"/>
              </w:rPr>
              <w:t>Erro</w:t>
            </w:r>
          </w:p>
        </w:tc>
      </w:tr>
      <w:tr w:rsidR="00F46979" w:rsidTr="00F46979">
        <w:trPr>
          <w:jc w:val="center"/>
        </w:trPr>
        <w:tc>
          <w:tcPr>
            <w:tcW w:w="485" w:type="dxa"/>
            <w:tcBorders>
              <w:top w:val="single" w:sz="6" w:space="0" w:color="auto"/>
              <w:bottom w:val="single" w:sz="6" w:space="0" w:color="auto"/>
              <w:right w:val="single" w:sz="6" w:space="0" w:color="auto"/>
            </w:tcBorders>
          </w:tcPr>
          <w:p w:rsidR="00F46979" w:rsidRDefault="00F46979" w:rsidP="00F46979">
            <w:pPr>
              <w:pStyle w:val="PSDS-CorpodeTexto0"/>
              <w:suppressAutoHyphens w:val="0"/>
              <w:rPr>
                <w:rFonts w:ascii="Times New Roman" w:hAnsi="Times New Roman" w:cs="Times New Roman"/>
                <w:b/>
                <w:bCs/>
                <w:lang w:val="pt-PT"/>
              </w:rPr>
            </w:pPr>
            <w:r>
              <w:rPr>
                <w:rFonts w:ascii="Times New Roman" w:hAnsi="Times New Roman" w:cs="Times New Roman"/>
                <w:b/>
                <w:bCs/>
                <w:lang w:val="pt-PT"/>
              </w:rPr>
              <w:t>10</w:t>
            </w:r>
          </w:p>
        </w:tc>
        <w:tc>
          <w:tcPr>
            <w:tcW w:w="3000" w:type="dxa"/>
            <w:tcBorders>
              <w:top w:val="single" w:sz="6" w:space="0" w:color="auto"/>
              <w:left w:val="single" w:sz="6" w:space="0" w:color="auto"/>
              <w:bottom w:val="single" w:sz="6" w:space="0" w:color="auto"/>
              <w:right w:val="single" w:sz="6" w:space="0" w:color="auto"/>
            </w:tcBorders>
          </w:tcPr>
          <w:p w:rsidR="00F46979" w:rsidRDefault="00F46979" w:rsidP="00F46979">
            <w:pPr>
              <w:pStyle w:val="PSDS-CorpodeTexto0"/>
              <w:rPr>
                <w:rFonts w:ascii="Times New Roman" w:hAnsi="Times New Roman" w:cs="Times New Roman"/>
              </w:rPr>
            </w:pPr>
            <w:r>
              <w:rPr>
                <w:rFonts w:ascii="Times New Roman" w:hAnsi="Times New Roman" w:cs="Times New Roman"/>
              </w:rPr>
              <w:t>VL_LUC_PREJ_ANTES_IR</w:t>
            </w:r>
          </w:p>
        </w:tc>
        <w:tc>
          <w:tcPr>
            <w:tcW w:w="11165" w:type="dxa"/>
            <w:tcBorders>
              <w:top w:val="single" w:sz="6" w:space="0" w:color="auto"/>
              <w:left w:val="single" w:sz="6" w:space="0" w:color="auto"/>
              <w:bottom w:val="single" w:sz="6" w:space="0" w:color="auto"/>
              <w:right w:val="single" w:sz="6" w:space="0" w:color="auto"/>
            </w:tcBorders>
          </w:tcPr>
          <w:p w:rsidR="00F46979" w:rsidRDefault="00F46979" w:rsidP="00F46979">
            <w:pPr>
              <w:pStyle w:val="Corpodetexto"/>
              <w:rPr>
                <w:rFonts w:ascii="Times New Roman" w:hAnsi="Times New Roman" w:cs="Times New Roman"/>
              </w:rPr>
            </w:pPr>
            <w:r>
              <w:rPr>
                <w:rFonts w:ascii="Times New Roman" w:hAnsi="Times New Roman" w:cs="Times New Roman"/>
                <w:b/>
                <w:bCs/>
              </w:rPr>
              <w:t xml:space="preserve">REGRA_HABILITA_REAL: </w:t>
            </w:r>
            <w:r>
              <w:rPr>
                <w:rFonts w:ascii="Times New Roman" w:hAnsi="Times New Roman" w:cs="Times New Roman"/>
              </w:rPr>
              <w:t>Caso W100.TIP_MOEDA seja igual a “Reais”, o campo W200.VL_LUC_PREJ_ANTES_IR deve ser habilitado. Caso contrário, o campo W200.VL_LUC_PREJ_ANTES_IR é desabilitado.</w:t>
            </w:r>
          </w:p>
          <w:p w:rsidR="00F46979" w:rsidRDefault="00F46979" w:rsidP="00F46979">
            <w:pPr>
              <w:pStyle w:val="Corpodetexto"/>
              <w:rPr>
                <w:rFonts w:ascii="Times New Roman" w:hAnsi="Times New Roman" w:cs="Times New Roman"/>
              </w:rPr>
            </w:pPr>
          </w:p>
          <w:p w:rsidR="00F46979" w:rsidRDefault="00F46979" w:rsidP="00F46979">
            <w:pPr>
              <w:pStyle w:val="Corpodetexto"/>
              <w:rPr>
                <w:rFonts w:ascii="Times New Roman" w:hAnsi="Times New Roman" w:cs="Times New Roman"/>
              </w:rPr>
            </w:pPr>
            <w:r>
              <w:rPr>
                <w:rFonts w:ascii="Times New Roman" w:hAnsi="Times New Roman" w:cs="Times New Roman"/>
                <w:b/>
                <w:bCs/>
              </w:rPr>
              <w:t xml:space="preserve">REGRA_CALCULA_REAL_CNA: </w:t>
            </w:r>
            <w:r>
              <w:rPr>
                <w:rFonts w:ascii="Times New Roman" w:hAnsi="Times New Roman" w:cs="Times New Roman"/>
              </w:rPr>
              <w:t>Caso o campo W100.TIP.MOEDA seja diferente de “Reais”, o campo W200.VL_LUC_PREJ_ANTES_IR será igual ao resultado da multiplicação do campo W200.VL_LUC_PREJ_ANTES_IR_EST pela taxa de câmbio para real em 31/12/ano da escrituração, conforme tabela do Sped (Disponibilizada no programa da ECF no diretório Arquivos de Programas/Programas Sped/ECf/SpedEcf/Recursos/Tabelas).</w:t>
            </w:r>
          </w:p>
        </w:tc>
        <w:tc>
          <w:tcPr>
            <w:tcW w:w="961" w:type="dxa"/>
            <w:tcBorders>
              <w:top w:val="single" w:sz="6" w:space="0" w:color="auto"/>
              <w:left w:val="single" w:sz="6" w:space="0" w:color="auto"/>
              <w:bottom w:val="single" w:sz="6" w:space="0" w:color="auto"/>
            </w:tcBorders>
          </w:tcPr>
          <w:p w:rsidR="00F46979" w:rsidRDefault="00F46979" w:rsidP="00F46979">
            <w:pPr>
              <w:pStyle w:val="PSDS-CorpodeTexto0"/>
              <w:rPr>
                <w:rFonts w:ascii="Times New Roman" w:hAnsi="Times New Roman" w:cs="Times New Roman"/>
              </w:rPr>
            </w:pPr>
            <w:r>
              <w:rPr>
                <w:rFonts w:ascii="Times New Roman" w:hAnsi="Times New Roman" w:cs="Times New Roman"/>
              </w:rPr>
              <w:t>Habilita</w:t>
            </w: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r>
              <w:rPr>
                <w:rFonts w:ascii="Times New Roman" w:hAnsi="Times New Roman" w:cs="Times New Roman"/>
              </w:rPr>
              <w:t>Erro</w:t>
            </w: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p>
        </w:tc>
      </w:tr>
      <w:tr w:rsidR="00F46979" w:rsidTr="00F46979">
        <w:trPr>
          <w:jc w:val="center"/>
        </w:trPr>
        <w:tc>
          <w:tcPr>
            <w:tcW w:w="485" w:type="dxa"/>
            <w:tcBorders>
              <w:top w:val="single" w:sz="6" w:space="0" w:color="auto"/>
              <w:bottom w:val="single" w:sz="6" w:space="0" w:color="auto"/>
              <w:right w:val="single" w:sz="6" w:space="0" w:color="auto"/>
            </w:tcBorders>
          </w:tcPr>
          <w:p w:rsidR="00F46979" w:rsidRDefault="00F46979" w:rsidP="00F46979">
            <w:pPr>
              <w:pStyle w:val="PSDS-CorpodeTexto0"/>
              <w:suppressAutoHyphens w:val="0"/>
              <w:rPr>
                <w:rFonts w:ascii="Times New Roman" w:hAnsi="Times New Roman" w:cs="Times New Roman"/>
                <w:b/>
                <w:bCs/>
                <w:lang w:val="pt-PT"/>
              </w:rPr>
            </w:pPr>
            <w:r>
              <w:rPr>
                <w:rFonts w:ascii="Times New Roman" w:hAnsi="Times New Roman" w:cs="Times New Roman"/>
                <w:b/>
                <w:bCs/>
                <w:lang w:val="pt-PT"/>
              </w:rPr>
              <w:t>11</w:t>
            </w:r>
          </w:p>
        </w:tc>
        <w:tc>
          <w:tcPr>
            <w:tcW w:w="3000" w:type="dxa"/>
            <w:tcBorders>
              <w:top w:val="single" w:sz="6" w:space="0" w:color="auto"/>
              <w:left w:val="single" w:sz="6" w:space="0" w:color="auto"/>
              <w:bottom w:val="single" w:sz="6" w:space="0" w:color="auto"/>
              <w:right w:val="single" w:sz="6" w:space="0" w:color="auto"/>
            </w:tcBorders>
          </w:tcPr>
          <w:p w:rsidR="00F46979" w:rsidRDefault="00F46979" w:rsidP="00F46979">
            <w:pPr>
              <w:pStyle w:val="PSDS-CorpodeTexto0"/>
              <w:rPr>
                <w:rFonts w:ascii="Times New Roman" w:hAnsi="Times New Roman" w:cs="Times New Roman"/>
              </w:rPr>
            </w:pPr>
            <w:r>
              <w:rPr>
                <w:rFonts w:ascii="Times New Roman" w:hAnsi="Times New Roman" w:cs="Times New Roman"/>
              </w:rPr>
              <w:t>VL_IR_PAGO_EST</w:t>
            </w:r>
          </w:p>
        </w:tc>
        <w:tc>
          <w:tcPr>
            <w:tcW w:w="11165" w:type="dxa"/>
            <w:tcBorders>
              <w:top w:val="single" w:sz="6" w:space="0" w:color="auto"/>
              <w:left w:val="single" w:sz="6" w:space="0" w:color="auto"/>
              <w:bottom w:val="single" w:sz="6" w:space="0" w:color="auto"/>
              <w:right w:val="single" w:sz="6" w:space="0" w:color="auto"/>
            </w:tcBorders>
          </w:tcPr>
          <w:p w:rsidR="00F46979" w:rsidRDefault="00F46979" w:rsidP="00F46979">
            <w:pPr>
              <w:pStyle w:val="Corpodetexto"/>
              <w:rPr>
                <w:rFonts w:ascii="Times New Roman" w:hAnsi="Times New Roman" w:cs="Times New Roman"/>
              </w:rPr>
            </w:pPr>
            <w:r>
              <w:rPr>
                <w:rFonts w:ascii="Times New Roman" w:hAnsi="Times New Roman" w:cs="Times New Roman"/>
                <w:b/>
                <w:bCs/>
              </w:rPr>
              <w:t xml:space="preserve">REGRA_HABILITA_MOEDA_ESTRANGEIRA: </w:t>
            </w:r>
            <w:r>
              <w:rPr>
                <w:rFonts w:ascii="Times New Roman" w:hAnsi="Times New Roman" w:cs="Times New Roman"/>
              </w:rPr>
              <w:t>Caso W100.TIP_MOEDA seja diferente de “Reais”, o campo W200.VL_IR_PAGO_EST deve ser habilitado. Caso contrário, o campo W200.VL_IR_PAGO_EST é desabilitado, pois é calculado automaticamente pelo sistema.</w:t>
            </w:r>
          </w:p>
          <w:p w:rsidR="00F46979" w:rsidRDefault="00F46979" w:rsidP="00F46979">
            <w:pPr>
              <w:pStyle w:val="Corpodetexto"/>
              <w:rPr>
                <w:rFonts w:ascii="Times New Roman" w:hAnsi="Times New Roman" w:cs="Times New Roman"/>
              </w:rPr>
            </w:pPr>
          </w:p>
          <w:p w:rsidR="00F46979" w:rsidRDefault="00F46979" w:rsidP="00F46979">
            <w:pPr>
              <w:pStyle w:val="Corpodetexto"/>
              <w:rPr>
                <w:rFonts w:ascii="Times New Roman" w:hAnsi="Times New Roman" w:cs="Times New Roman"/>
              </w:rPr>
            </w:pPr>
            <w:r>
              <w:rPr>
                <w:rFonts w:ascii="Times New Roman" w:hAnsi="Times New Roman" w:cs="Times New Roman"/>
                <w:b/>
                <w:bCs/>
              </w:rPr>
              <w:t xml:space="preserve">REGRA_VALOR_ESTRANGEIRO_OBRIGATORIO: </w:t>
            </w:r>
            <w:r>
              <w:rPr>
                <w:rFonts w:ascii="Times New Roman" w:hAnsi="Times New Roman" w:cs="Times New Roman"/>
              </w:rPr>
              <w:t>Verifica, quando W100.TIP_MOEDA é diferente de “Reais”, se o campo W200.VL_IR_PAGO_EST está preenchido.</w:t>
            </w:r>
          </w:p>
          <w:p w:rsidR="00F46979" w:rsidRDefault="00F46979" w:rsidP="00F46979">
            <w:pPr>
              <w:pStyle w:val="Corpodetexto"/>
              <w:rPr>
                <w:rFonts w:ascii="Times New Roman" w:hAnsi="Times New Roman" w:cs="Times New Roman"/>
              </w:rPr>
            </w:pPr>
          </w:p>
          <w:p w:rsidR="00F46979" w:rsidRDefault="00F46979" w:rsidP="00F46979">
            <w:pPr>
              <w:pStyle w:val="Corpodetexto"/>
              <w:rPr>
                <w:rFonts w:ascii="Times New Roman" w:hAnsi="Times New Roman" w:cs="Times New Roman"/>
              </w:rPr>
            </w:pPr>
            <w:r>
              <w:rPr>
                <w:rFonts w:ascii="Times New Roman" w:hAnsi="Times New Roman" w:cs="Times New Roman"/>
                <w:b/>
                <w:bCs/>
              </w:rPr>
              <w:t xml:space="preserve">REGRA_VALOR_ESTRANGEIRO_NAO_PREENCHER: </w:t>
            </w:r>
            <w:r>
              <w:rPr>
                <w:rFonts w:ascii="Times New Roman" w:hAnsi="Times New Roman" w:cs="Times New Roman"/>
              </w:rPr>
              <w:t>Verifica, quando W100.TIP_MOEDA é igual a “Reais”, se o campo W200.VL_IR_PAGO_EST não está preenchido.</w:t>
            </w:r>
          </w:p>
        </w:tc>
        <w:tc>
          <w:tcPr>
            <w:tcW w:w="961" w:type="dxa"/>
            <w:tcBorders>
              <w:top w:val="single" w:sz="6" w:space="0" w:color="auto"/>
              <w:left w:val="single" w:sz="6" w:space="0" w:color="auto"/>
              <w:bottom w:val="single" w:sz="6" w:space="0" w:color="auto"/>
            </w:tcBorders>
          </w:tcPr>
          <w:p w:rsidR="00F46979" w:rsidRDefault="00F46979" w:rsidP="00F46979">
            <w:pPr>
              <w:pStyle w:val="PSDS-CorpodeTexto0"/>
              <w:rPr>
                <w:rFonts w:ascii="Times New Roman" w:hAnsi="Times New Roman" w:cs="Times New Roman"/>
              </w:rPr>
            </w:pPr>
            <w:r>
              <w:rPr>
                <w:rFonts w:ascii="Times New Roman" w:hAnsi="Times New Roman" w:cs="Times New Roman"/>
              </w:rPr>
              <w:t>Habilita</w:t>
            </w: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r>
              <w:rPr>
                <w:rFonts w:ascii="Times New Roman" w:hAnsi="Times New Roman" w:cs="Times New Roman"/>
              </w:rPr>
              <w:t>Erro</w:t>
            </w: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r>
              <w:rPr>
                <w:rFonts w:ascii="Times New Roman" w:hAnsi="Times New Roman" w:cs="Times New Roman"/>
              </w:rPr>
              <w:t>Erro</w:t>
            </w:r>
          </w:p>
        </w:tc>
      </w:tr>
      <w:tr w:rsidR="00F46979" w:rsidTr="00F46979">
        <w:trPr>
          <w:jc w:val="center"/>
        </w:trPr>
        <w:tc>
          <w:tcPr>
            <w:tcW w:w="485" w:type="dxa"/>
            <w:tcBorders>
              <w:top w:val="single" w:sz="6" w:space="0" w:color="auto"/>
              <w:bottom w:val="single" w:sz="6" w:space="0" w:color="auto"/>
              <w:right w:val="single" w:sz="6" w:space="0" w:color="auto"/>
            </w:tcBorders>
          </w:tcPr>
          <w:p w:rsidR="00F46979" w:rsidRDefault="00F46979" w:rsidP="00F46979">
            <w:pPr>
              <w:pStyle w:val="PSDS-CorpodeTexto0"/>
              <w:suppressAutoHyphens w:val="0"/>
              <w:rPr>
                <w:rFonts w:ascii="Times New Roman" w:hAnsi="Times New Roman" w:cs="Times New Roman"/>
                <w:b/>
                <w:bCs/>
                <w:lang w:val="pt-PT"/>
              </w:rPr>
            </w:pPr>
            <w:r>
              <w:rPr>
                <w:rFonts w:ascii="Times New Roman" w:hAnsi="Times New Roman" w:cs="Times New Roman"/>
                <w:b/>
                <w:bCs/>
                <w:lang w:val="pt-PT"/>
              </w:rPr>
              <w:t>12</w:t>
            </w:r>
          </w:p>
        </w:tc>
        <w:tc>
          <w:tcPr>
            <w:tcW w:w="3000" w:type="dxa"/>
            <w:tcBorders>
              <w:top w:val="single" w:sz="6" w:space="0" w:color="auto"/>
              <w:left w:val="single" w:sz="6" w:space="0" w:color="auto"/>
              <w:bottom w:val="single" w:sz="6" w:space="0" w:color="auto"/>
              <w:right w:val="single" w:sz="6" w:space="0" w:color="auto"/>
            </w:tcBorders>
          </w:tcPr>
          <w:p w:rsidR="00F46979" w:rsidRDefault="00F46979" w:rsidP="00F46979">
            <w:pPr>
              <w:pStyle w:val="PSDS-CorpodeTexto0"/>
              <w:rPr>
                <w:rFonts w:ascii="Times New Roman" w:hAnsi="Times New Roman" w:cs="Times New Roman"/>
              </w:rPr>
            </w:pPr>
            <w:r>
              <w:rPr>
                <w:rFonts w:ascii="Times New Roman" w:hAnsi="Times New Roman" w:cs="Times New Roman"/>
              </w:rPr>
              <w:t>VL_IR_PAGO</w:t>
            </w:r>
          </w:p>
        </w:tc>
        <w:tc>
          <w:tcPr>
            <w:tcW w:w="11165" w:type="dxa"/>
            <w:tcBorders>
              <w:top w:val="single" w:sz="6" w:space="0" w:color="auto"/>
              <w:left w:val="single" w:sz="6" w:space="0" w:color="auto"/>
              <w:bottom w:val="single" w:sz="6" w:space="0" w:color="auto"/>
              <w:right w:val="single" w:sz="6" w:space="0" w:color="auto"/>
            </w:tcBorders>
          </w:tcPr>
          <w:p w:rsidR="00F46979" w:rsidRDefault="00F46979" w:rsidP="00F46979">
            <w:pPr>
              <w:pStyle w:val="Corpodetexto"/>
              <w:rPr>
                <w:rFonts w:ascii="Times New Roman" w:hAnsi="Times New Roman" w:cs="Times New Roman"/>
              </w:rPr>
            </w:pPr>
            <w:r>
              <w:rPr>
                <w:rFonts w:ascii="Times New Roman" w:hAnsi="Times New Roman" w:cs="Times New Roman"/>
                <w:b/>
                <w:bCs/>
              </w:rPr>
              <w:t xml:space="preserve">REGRA_HABILITA_REAL: </w:t>
            </w:r>
            <w:r>
              <w:rPr>
                <w:rFonts w:ascii="Times New Roman" w:hAnsi="Times New Roman" w:cs="Times New Roman"/>
              </w:rPr>
              <w:t>Caso W100.TIP_MOEDA seja igual a “Reais”, o campo W200.VL_IR_PAGO deve ser habilitado. Caso contrário, o campo W200.VL_IR_PAGO é desabilitado, pois é calculado automaticamente pelo sistema.</w:t>
            </w:r>
          </w:p>
          <w:p w:rsidR="00F46979" w:rsidRDefault="00F46979" w:rsidP="00F46979">
            <w:pPr>
              <w:pStyle w:val="Corpodetexto"/>
              <w:rPr>
                <w:rFonts w:ascii="Times New Roman" w:hAnsi="Times New Roman" w:cs="Times New Roman"/>
              </w:rPr>
            </w:pPr>
          </w:p>
          <w:p w:rsidR="00F46979" w:rsidRDefault="00F46979" w:rsidP="00F46979">
            <w:pPr>
              <w:pStyle w:val="Corpodetexto"/>
              <w:rPr>
                <w:rFonts w:ascii="Times New Roman" w:hAnsi="Times New Roman" w:cs="Times New Roman"/>
              </w:rPr>
            </w:pPr>
            <w:r>
              <w:rPr>
                <w:rFonts w:ascii="Times New Roman" w:hAnsi="Times New Roman" w:cs="Times New Roman"/>
                <w:b/>
                <w:bCs/>
              </w:rPr>
              <w:t xml:space="preserve">REGRA_CALCULA_REAL_CNA: </w:t>
            </w:r>
            <w:r>
              <w:rPr>
                <w:rFonts w:ascii="Times New Roman" w:hAnsi="Times New Roman" w:cs="Times New Roman"/>
              </w:rPr>
              <w:t>Caso o campo W100.TIP.MOEDA seja diferente de “Reais”, o campo W200.VL_IR_PAGO será igual ao resultado da multiplicação do campo W200.VL_IR_PAGO_EST pela taxa de câmbio para real em 31/12/ano da escrituração, conforme tabela do Sped (Disponibilizada no programa da ECF no diretório Arquivos de Programas/Programas Sped/ECf/SpedEcf/Recursos/Tabelas).</w:t>
            </w:r>
          </w:p>
        </w:tc>
        <w:tc>
          <w:tcPr>
            <w:tcW w:w="961" w:type="dxa"/>
            <w:tcBorders>
              <w:top w:val="single" w:sz="6" w:space="0" w:color="auto"/>
              <w:left w:val="single" w:sz="6" w:space="0" w:color="auto"/>
              <w:bottom w:val="single" w:sz="6" w:space="0" w:color="auto"/>
            </w:tcBorders>
          </w:tcPr>
          <w:p w:rsidR="00F46979" w:rsidRDefault="00F46979" w:rsidP="00F46979">
            <w:pPr>
              <w:pStyle w:val="PSDS-CorpodeTexto0"/>
              <w:rPr>
                <w:rFonts w:ascii="Times New Roman" w:hAnsi="Times New Roman" w:cs="Times New Roman"/>
              </w:rPr>
            </w:pPr>
            <w:r>
              <w:rPr>
                <w:rFonts w:ascii="Times New Roman" w:hAnsi="Times New Roman" w:cs="Times New Roman"/>
              </w:rPr>
              <w:t>Habilita</w:t>
            </w: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r>
              <w:rPr>
                <w:rFonts w:ascii="Times New Roman" w:hAnsi="Times New Roman" w:cs="Times New Roman"/>
              </w:rPr>
              <w:t>Erro</w:t>
            </w: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p>
        </w:tc>
      </w:tr>
      <w:tr w:rsidR="00F46979" w:rsidTr="00F46979">
        <w:trPr>
          <w:jc w:val="center"/>
        </w:trPr>
        <w:tc>
          <w:tcPr>
            <w:tcW w:w="485" w:type="dxa"/>
            <w:tcBorders>
              <w:top w:val="single" w:sz="6" w:space="0" w:color="auto"/>
              <w:bottom w:val="single" w:sz="6" w:space="0" w:color="auto"/>
              <w:right w:val="single" w:sz="6" w:space="0" w:color="auto"/>
            </w:tcBorders>
          </w:tcPr>
          <w:p w:rsidR="00F46979" w:rsidRDefault="00F46979" w:rsidP="00F46979">
            <w:pPr>
              <w:pStyle w:val="PSDS-CorpodeTexto0"/>
              <w:suppressAutoHyphens w:val="0"/>
              <w:rPr>
                <w:rFonts w:ascii="Times New Roman" w:hAnsi="Times New Roman" w:cs="Times New Roman"/>
                <w:b/>
                <w:bCs/>
                <w:lang w:val="pt-PT"/>
              </w:rPr>
            </w:pPr>
            <w:r>
              <w:rPr>
                <w:rFonts w:ascii="Times New Roman" w:hAnsi="Times New Roman" w:cs="Times New Roman"/>
                <w:b/>
                <w:bCs/>
                <w:lang w:val="pt-PT"/>
              </w:rPr>
              <w:t>13</w:t>
            </w:r>
          </w:p>
        </w:tc>
        <w:tc>
          <w:tcPr>
            <w:tcW w:w="3000" w:type="dxa"/>
            <w:tcBorders>
              <w:top w:val="single" w:sz="6" w:space="0" w:color="auto"/>
              <w:left w:val="single" w:sz="6" w:space="0" w:color="auto"/>
              <w:bottom w:val="single" w:sz="6" w:space="0" w:color="auto"/>
              <w:right w:val="single" w:sz="6" w:space="0" w:color="auto"/>
            </w:tcBorders>
          </w:tcPr>
          <w:p w:rsidR="00F46979" w:rsidRDefault="00F46979" w:rsidP="00F46979">
            <w:pPr>
              <w:pStyle w:val="PSDS-CorpodeTexto0"/>
              <w:rPr>
                <w:rFonts w:ascii="Times New Roman" w:hAnsi="Times New Roman" w:cs="Times New Roman"/>
              </w:rPr>
            </w:pPr>
            <w:r>
              <w:rPr>
                <w:rFonts w:ascii="Times New Roman" w:hAnsi="Times New Roman" w:cs="Times New Roman"/>
              </w:rPr>
              <w:t>VL_IR_DEVIDO_EST</w:t>
            </w:r>
          </w:p>
        </w:tc>
        <w:tc>
          <w:tcPr>
            <w:tcW w:w="11165" w:type="dxa"/>
            <w:tcBorders>
              <w:top w:val="single" w:sz="6" w:space="0" w:color="auto"/>
              <w:left w:val="single" w:sz="6" w:space="0" w:color="auto"/>
              <w:bottom w:val="single" w:sz="6" w:space="0" w:color="auto"/>
              <w:right w:val="single" w:sz="6" w:space="0" w:color="auto"/>
            </w:tcBorders>
          </w:tcPr>
          <w:p w:rsidR="00F46979" w:rsidRDefault="00F46979" w:rsidP="00F46979">
            <w:pPr>
              <w:pStyle w:val="Corpodetexto"/>
              <w:rPr>
                <w:rFonts w:ascii="Times New Roman" w:hAnsi="Times New Roman" w:cs="Times New Roman"/>
              </w:rPr>
            </w:pPr>
            <w:r>
              <w:rPr>
                <w:rFonts w:ascii="Times New Roman" w:hAnsi="Times New Roman" w:cs="Times New Roman"/>
                <w:b/>
                <w:bCs/>
              </w:rPr>
              <w:t xml:space="preserve">REGRA_HABILITA_MOEDA_ESTRANGEIRA: </w:t>
            </w:r>
            <w:r>
              <w:rPr>
                <w:rFonts w:ascii="Times New Roman" w:hAnsi="Times New Roman" w:cs="Times New Roman"/>
              </w:rPr>
              <w:t>Caso W100.TIP_MOEDA seja diferente de “Reais”, o campo W200.VL_IR_DEVIDO_EST deve ser habilitado. Caso contrário, o campo W200.VL_IR_DEVIDO_EST é desabilitado.</w:t>
            </w:r>
          </w:p>
          <w:p w:rsidR="00F46979" w:rsidRDefault="00F46979" w:rsidP="00F46979">
            <w:pPr>
              <w:pStyle w:val="Corpodetexto"/>
              <w:rPr>
                <w:rFonts w:ascii="Times New Roman" w:hAnsi="Times New Roman" w:cs="Times New Roman"/>
              </w:rPr>
            </w:pPr>
          </w:p>
          <w:p w:rsidR="00F46979" w:rsidRDefault="00F46979" w:rsidP="00F46979">
            <w:pPr>
              <w:pStyle w:val="Corpodetexto"/>
              <w:rPr>
                <w:rFonts w:ascii="Times New Roman" w:hAnsi="Times New Roman" w:cs="Times New Roman"/>
              </w:rPr>
            </w:pPr>
            <w:r>
              <w:rPr>
                <w:rFonts w:ascii="Times New Roman" w:hAnsi="Times New Roman" w:cs="Times New Roman"/>
                <w:b/>
                <w:bCs/>
              </w:rPr>
              <w:lastRenderedPageBreak/>
              <w:t xml:space="preserve">REGRA_VALOR_ESTRANGEIRO_OBRIGATORIO: </w:t>
            </w:r>
            <w:r>
              <w:rPr>
                <w:rFonts w:ascii="Times New Roman" w:hAnsi="Times New Roman" w:cs="Times New Roman"/>
              </w:rPr>
              <w:t>Verifica, quando W100.TIP_MOEDA é diferente de “Reais”, se o campo W200.VL_IR_DEVIDO_EST está preenchido.</w:t>
            </w:r>
          </w:p>
          <w:p w:rsidR="00F46979" w:rsidRDefault="00F46979" w:rsidP="00F46979">
            <w:pPr>
              <w:pStyle w:val="Corpodetexto"/>
              <w:rPr>
                <w:rFonts w:ascii="Times New Roman" w:hAnsi="Times New Roman" w:cs="Times New Roman"/>
              </w:rPr>
            </w:pPr>
            <w:r>
              <w:rPr>
                <w:rFonts w:ascii="Times New Roman" w:hAnsi="Times New Roman" w:cs="Times New Roman"/>
                <w:b/>
                <w:bCs/>
              </w:rPr>
              <w:t xml:space="preserve">REGRA_VALOR_ESTRANGEIRO_NAO_PREENCHER: </w:t>
            </w:r>
            <w:r>
              <w:rPr>
                <w:rFonts w:ascii="Times New Roman" w:hAnsi="Times New Roman" w:cs="Times New Roman"/>
              </w:rPr>
              <w:t>Verifica, quando W100.TIP_MOEDA é igual a “Reais”, se o campo W200.VL_IR_DEVIDO_EST não está preenchido.</w:t>
            </w:r>
          </w:p>
        </w:tc>
        <w:tc>
          <w:tcPr>
            <w:tcW w:w="961" w:type="dxa"/>
            <w:tcBorders>
              <w:top w:val="single" w:sz="6" w:space="0" w:color="auto"/>
              <w:left w:val="single" w:sz="6" w:space="0" w:color="auto"/>
              <w:bottom w:val="single" w:sz="6" w:space="0" w:color="auto"/>
            </w:tcBorders>
          </w:tcPr>
          <w:p w:rsidR="00F46979" w:rsidRDefault="00F46979" w:rsidP="00F46979">
            <w:pPr>
              <w:pStyle w:val="PSDS-CorpodeTexto0"/>
              <w:rPr>
                <w:rFonts w:ascii="Times New Roman" w:hAnsi="Times New Roman" w:cs="Times New Roman"/>
              </w:rPr>
            </w:pPr>
            <w:r>
              <w:rPr>
                <w:rFonts w:ascii="Times New Roman" w:hAnsi="Times New Roman" w:cs="Times New Roman"/>
              </w:rPr>
              <w:lastRenderedPageBreak/>
              <w:t>Habilita</w:t>
            </w: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r>
              <w:rPr>
                <w:rFonts w:ascii="Times New Roman" w:hAnsi="Times New Roman" w:cs="Times New Roman"/>
              </w:rPr>
              <w:t>Erro</w:t>
            </w: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r>
              <w:rPr>
                <w:rFonts w:ascii="Times New Roman" w:hAnsi="Times New Roman" w:cs="Times New Roman"/>
              </w:rPr>
              <w:t>Erro</w:t>
            </w:r>
          </w:p>
        </w:tc>
      </w:tr>
      <w:tr w:rsidR="00F46979" w:rsidTr="00F46979">
        <w:trPr>
          <w:jc w:val="center"/>
        </w:trPr>
        <w:tc>
          <w:tcPr>
            <w:tcW w:w="485" w:type="dxa"/>
            <w:tcBorders>
              <w:top w:val="single" w:sz="6" w:space="0" w:color="auto"/>
              <w:bottom w:val="single" w:sz="6" w:space="0" w:color="auto"/>
              <w:right w:val="single" w:sz="6" w:space="0" w:color="auto"/>
            </w:tcBorders>
          </w:tcPr>
          <w:p w:rsidR="00F46979" w:rsidRDefault="00F46979" w:rsidP="00F46979">
            <w:pPr>
              <w:pStyle w:val="PSDS-CorpodeTexto0"/>
              <w:suppressAutoHyphens w:val="0"/>
              <w:rPr>
                <w:rFonts w:ascii="Times New Roman" w:hAnsi="Times New Roman" w:cs="Times New Roman"/>
                <w:b/>
                <w:bCs/>
                <w:lang w:val="pt-PT"/>
              </w:rPr>
            </w:pPr>
            <w:r>
              <w:rPr>
                <w:rFonts w:ascii="Times New Roman" w:hAnsi="Times New Roman" w:cs="Times New Roman"/>
                <w:b/>
                <w:bCs/>
                <w:lang w:val="pt-PT"/>
              </w:rPr>
              <w:lastRenderedPageBreak/>
              <w:t>14</w:t>
            </w:r>
          </w:p>
        </w:tc>
        <w:tc>
          <w:tcPr>
            <w:tcW w:w="3000" w:type="dxa"/>
            <w:tcBorders>
              <w:top w:val="single" w:sz="6" w:space="0" w:color="auto"/>
              <w:left w:val="single" w:sz="6" w:space="0" w:color="auto"/>
              <w:bottom w:val="single" w:sz="6" w:space="0" w:color="auto"/>
              <w:right w:val="single" w:sz="6" w:space="0" w:color="auto"/>
            </w:tcBorders>
          </w:tcPr>
          <w:p w:rsidR="00F46979" w:rsidRDefault="00F46979" w:rsidP="00F46979">
            <w:pPr>
              <w:pStyle w:val="PSDS-CorpodeTexto0"/>
              <w:rPr>
                <w:rFonts w:ascii="Times New Roman" w:hAnsi="Times New Roman" w:cs="Times New Roman"/>
              </w:rPr>
            </w:pPr>
            <w:r>
              <w:rPr>
                <w:rFonts w:ascii="Times New Roman" w:hAnsi="Times New Roman" w:cs="Times New Roman"/>
              </w:rPr>
              <w:t>VL_IR_DEVIDO</w:t>
            </w:r>
          </w:p>
        </w:tc>
        <w:tc>
          <w:tcPr>
            <w:tcW w:w="11165" w:type="dxa"/>
            <w:tcBorders>
              <w:top w:val="single" w:sz="6" w:space="0" w:color="auto"/>
              <w:left w:val="single" w:sz="6" w:space="0" w:color="auto"/>
              <w:bottom w:val="single" w:sz="6" w:space="0" w:color="auto"/>
              <w:right w:val="single" w:sz="6" w:space="0" w:color="auto"/>
            </w:tcBorders>
          </w:tcPr>
          <w:p w:rsidR="00F46979" w:rsidRDefault="00F46979" w:rsidP="00F46979">
            <w:pPr>
              <w:pStyle w:val="Corpodetexto"/>
              <w:rPr>
                <w:rFonts w:ascii="Times New Roman" w:hAnsi="Times New Roman" w:cs="Times New Roman"/>
              </w:rPr>
            </w:pPr>
            <w:r>
              <w:rPr>
                <w:rFonts w:ascii="Times New Roman" w:hAnsi="Times New Roman" w:cs="Times New Roman"/>
                <w:b/>
                <w:bCs/>
              </w:rPr>
              <w:t xml:space="preserve">REGRA_HABILITA_REAL: </w:t>
            </w:r>
            <w:r>
              <w:rPr>
                <w:rFonts w:ascii="Times New Roman" w:hAnsi="Times New Roman" w:cs="Times New Roman"/>
              </w:rPr>
              <w:t>Caso W100.TIP_MOEDA seja igual a “Reais”, o campo W200.VL_IR_DEVIDO deve ser habilitado. Caso contrário, o campo W200.VL_IR_DEVIDO é desabilitado, pois é calculado automaticamente pelo sistema.</w:t>
            </w:r>
          </w:p>
          <w:p w:rsidR="00F46979" w:rsidRDefault="00F46979" w:rsidP="00F46979">
            <w:pPr>
              <w:pStyle w:val="Corpodetexto"/>
              <w:rPr>
                <w:rFonts w:ascii="Times New Roman" w:hAnsi="Times New Roman" w:cs="Times New Roman"/>
              </w:rPr>
            </w:pPr>
          </w:p>
          <w:p w:rsidR="00F46979" w:rsidRDefault="00F46979" w:rsidP="00F46979">
            <w:pPr>
              <w:pStyle w:val="Corpodetexto"/>
              <w:rPr>
                <w:rFonts w:ascii="Times New Roman" w:hAnsi="Times New Roman" w:cs="Times New Roman"/>
              </w:rPr>
            </w:pPr>
            <w:r>
              <w:rPr>
                <w:rFonts w:ascii="Times New Roman" w:hAnsi="Times New Roman" w:cs="Times New Roman"/>
                <w:b/>
                <w:bCs/>
              </w:rPr>
              <w:t xml:space="preserve">REGRA_CALCULA_REAL_CNA: </w:t>
            </w:r>
            <w:r>
              <w:rPr>
                <w:rFonts w:ascii="Times New Roman" w:hAnsi="Times New Roman" w:cs="Times New Roman"/>
              </w:rPr>
              <w:t>Caso o campo W100.TIP.MOEDA seja diferente de “Reais”, o campo W200.VL_IR_DEVIDO será igual ao resultado da multiplicação do campo W200.VL_IR_DEVIDO_EST pela taxa de câmbio para real em 31/12/ano da escrituração, conforme tabela do Sped (Disponibilizada no programa da ECF no diretório Arquivos de Programas/Programas Sped/ECf/SpedEcf/Recursos/Tabelas).</w:t>
            </w:r>
          </w:p>
        </w:tc>
        <w:tc>
          <w:tcPr>
            <w:tcW w:w="961" w:type="dxa"/>
            <w:tcBorders>
              <w:top w:val="single" w:sz="6" w:space="0" w:color="auto"/>
              <w:left w:val="single" w:sz="6" w:space="0" w:color="auto"/>
              <w:bottom w:val="single" w:sz="6" w:space="0" w:color="auto"/>
            </w:tcBorders>
          </w:tcPr>
          <w:p w:rsidR="00F46979" w:rsidRDefault="00F46979" w:rsidP="00F46979">
            <w:pPr>
              <w:pStyle w:val="PSDS-CorpodeTexto0"/>
              <w:rPr>
                <w:rFonts w:ascii="Times New Roman" w:hAnsi="Times New Roman" w:cs="Times New Roman"/>
              </w:rPr>
            </w:pPr>
            <w:r>
              <w:rPr>
                <w:rFonts w:ascii="Times New Roman" w:hAnsi="Times New Roman" w:cs="Times New Roman"/>
              </w:rPr>
              <w:t>Habilita</w:t>
            </w: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r>
              <w:rPr>
                <w:rFonts w:ascii="Times New Roman" w:hAnsi="Times New Roman" w:cs="Times New Roman"/>
              </w:rPr>
              <w:t>Erro</w:t>
            </w: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p>
        </w:tc>
      </w:tr>
      <w:tr w:rsidR="00F46979" w:rsidTr="00F46979">
        <w:trPr>
          <w:jc w:val="center"/>
        </w:trPr>
        <w:tc>
          <w:tcPr>
            <w:tcW w:w="485" w:type="dxa"/>
            <w:tcBorders>
              <w:top w:val="single" w:sz="6" w:space="0" w:color="auto"/>
              <w:bottom w:val="single" w:sz="6" w:space="0" w:color="auto"/>
              <w:right w:val="single" w:sz="6" w:space="0" w:color="auto"/>
            </w:tcBorders>
          </w:tcPr>
          <w:p w:rsidR="00F46979" w:rsidRDefault="00F46979" w:rsidP="00F46979">
            <w:pPr>
              <w:pStyle w:val="PSDS-CorpodeTexto0"/>
              <w:suppressAutoHyphens w:val="0"/>
              <w:rPr>
                <w:rFonts w:ascii="Times New Roman" w:hAnsi="Times New Roman" w:cs="Times New Roman"/>
                <w:b/>
                <w:bCs/>
                <w:lang w:val="pt-PT"/>
              </w:rPr>
            </w:pPr>
            <w:r>
              <w:rPr>
                <w:rFonts w:ascii="Times New Roman" w:hAnsi="Times New Roman" w:cs="Times New Roman"/>
                <w:b/>
                <w:bCs/>
                <w:lang w:val="pt-PT"/>
              </w:rPr>
              <w:t>15</w:t>
            </w:r>
          </w:p>
        </w:tc>
        <w:tc>
          <w:tcPr>
            <w:tcW w:w="3000" w:type="dxa"/>
            <w:tcBorders>
              <w:top w:val="single" w:sz="6" w:space="0" w:color="auto"/>
              <w:left w:val="single" w:sz="6" w:space="0" w:color="auto"/>
              <w:bottom w:val="single" w:sz="6" w:space="0" w:color="auto"/>
              <w:right w:val="single" w:sz="6" w:space="0" w:color="auto"/>
            </w:tcBorders>
          </w:tcPr>
          <w:p w:rsidR="00F46979" w:rsidRDefault="00F46979" w:rsidP="00F46979">
            <w:pPr>
              <w:pStyle w:val="PSDS-CorpodeTexto0"/>
              <w:rPr>
                <w:rFonts w:ascii="Times New Roman" w:hAnsi="Times New Roman" w:cs="Times New Roman"/>
              </w:rPr>
            </w:pPr>
            <w:r>
              <w:rPr>
                <w:rFonts w:ascii="Times New Roman" w:hAnsi="Times New Roman" w:cs="Times New Roman"/>
              </w:rPr>
              <w:t>VL_CAP_SOC_EST</w:t>
            </w:r>
          </w:p>
        </w:tc>
        <w:tc>
          <w:tcPr>
            <w:tcW w:w="11165" w:type="dxa"/>
            <w:tcBorders>
              <w:top w:val="single" w:sz="6" w:space="0" w:color="auto"/>
              <w:left w:val="single" w:sz="6" w:space="0" w:color="auto"/>
              <w:bottom w:val="single" w:sz="6" w:space="0" w:color="auto"/>
              <w:right w:val="single" w:sz="6" w:space="0" w:color="auto"/>
            </w:tcBorders>
          </w:tcPr>
          <w:p w:rsidR="00F46979" w:rsidRDefault="00F46979" w:rsidP="00F46979">
            <w:pPr>
              <w:pStyle w:val="Corpodetexto"/>
              <w:rPr>
                <w:rFonts w:ascii="Times New Roman" w:hAnsi="Times New Roman" w:cs="Times New Roman"/>
              </w:rPr>
            </w:pPr>
            <w:r>
              <w:rPr>
                <w:rFonts w:ascii="Times New Roman" w:hAnsi="Times New Roman" w:cs="Times New Roman"/>
                <w:b/>
                <w:bCs/>
              </w:rPr>
              <w:t xml:space="preserve">REGRA_HABILITA_MOEDA_ESTRANGEIRA: </w:t>
            </w:r>
            <w:r>
              <w:rPr>
                <w:rFonts w:ascii="Times New Roman" w:hAnsi="Times New Roman" w:cs="Times New Roman"/>
              </w:rPr>
              <w:t>Caso W100.TIP_MOEDA seja diferente de “Reais”, o campo W200.VL_CAP_SOC_EST deve ser habilitado. Caso contrário, o campo W200.VL_CAP_SOC_EST é desabilitado.</w:t>
            </w:r>
          </w:p>
          <w:p w:rsidR="00F46979" w:rsidRDefault="00F46979" w:rsidP="00F46979">
            <w:pPr>
              <w:pStyle w:val="Corpodetexto"/>
              <w:rPr>
                <w:rFonts w:ascii="Times New Roman" w:hAnsi="Times New Roman" w:cs="Times New Roman"/>
              </w:rPr>
            </w:pPr>
          </w:p>
          <w:p w:rsidR="00F46979" w:rsidRDefault="00F46979" w:rsidP="00F46979">
            <w:pPr>
              <w:pStyle w:val="Corpodetexto"/>
              <w:rPr>
                <w:rFonts w:ascii="Times New Roman" w:hAnsi="Times New Roman" w:cs="Times New Roman"/>
              </w:rPr>
            </w:pPr>
            <w:r>
              <w:rPr>
                <w:rFonts w:ascii="Times New Roman" w:hAnsi="Times New Roman" w:cs="Times New Roman"/>
                <w:b/>
                <w:bCs/>
              </w:rPr>
              <w:t xml:space="preserve">REGRA_VALOR_ESTRANGEIRO_OBRIGATORIO: </w:t>
            </w:r>
            <w:r>
              <w:rPr>
                <w:rFonts w:ascii="Times New Roman" w:hAnsi="Times New Roman" w:cs="Times New Roman"/>
              </w:rPr>
              <w:t>Verifica, quando W100.TIP_MOEDA é diferente de “Reais”, se o campo W200.VL_CAP_SOC_EST está preenchido.</w:t>
            </w:r>
          </w:p>
          <w:p w:rsidR="00F46979" w:rsidRDefault="00F46979" w:rsidP="00F46979">
            <w:pPr>
              <w:pStyle w:val="Corpodetexto"/>
              <w:rPr>
                <w:rFonts w:ascii="Times New Roman" w:hAnsi="Times New Roman" w:cs="Times New Roman"/>
              </w:rPr>
            </w:pPr>
          </w:p>
          <w:p w:rsidR="00F46979" w:rsidRDefault="00F46979" w:rsidP="00F46979">
            <w:pPr>
              <w:pStyle w:val="Corpodetexto"/>
              <w:rPr>
                <w:rFonts w:ascii="Times New Roman" w:hAnsi="Times New Roman" w:cs="Times New Roman"/>
              </w:rPr>
            </w:pPr>
            <w:r>
              <w:rPr>
                <w:rFonts w:ascii="Times New Roman" w:hAnsi="Times New Roman" w:cs="Times New Roman"/>
                <w:b/>
                <w:bCs/>
              </w:rPr>
              <w:t xml:space="preserve">REGRA_VALOR_ESTRANGEIRO_NAO_PREENCHER: </w:t>
            </w:r>
            <w:r>
              <w:rPr>
                <w:rFonts w:ascii="Times New Roman" w:hAnsi="Times New Roman" w:cs="Times New Roman"/>
              </w:rPr>
              <w:t>Verifica, quando W100.TIP_MOEDA é igual a “Reais”, se o campo W200.VL_CAP_SOC_EST não está preenchido.</w:t>
            </w:r>
          </w:p>
        </w:tc>
        <w:tc>
          <w:tcPr>
            <w:tcW w:w="961" w:type="dxa"/>
            <w:tcBorders>
              <w:top w:val="single" w:sz="6" w:space="0" w:color="auto"/>
              <w:left w:val="single" w:sz="6" w:space="0" w:color="auto"/>
              <w:bottom w:val="single" w:sz="6" w:space="0" w:color="auto"/>
            </w:tcBorders>
          </w:tcPr>
          <w:p w:rsidR="00F46979" w:rsidRDefault="00F46979" w:rsidP="00F46979">
            <w:pPr>
              <w:pStyle w:val="PSDS-CorpodeTexto0"/>
              <w:rPr>
                <w:rFonts w:ascii="Times New Roman" w:hAnsi="Times New Roman" w:cs="Times New Roman"/>
              </w:rPr>
            </w:pPr>
            <w:r>
              <w:rPr>
                <w:rFonts w:ascii="Times New Roman" w:hAnsi="Times New Roman" w:cs="Times New Roman"/>
              </w:rPr>
              <w:t>Habilita</w:t>
            </w: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r>
              <w:rPr>
                <w:rFonts w:ascii="Times New Roman" w:hAnsi="Times New Roman" w:cs="Times New Roman"/>
              </w:rPr>
              <w:t>Erro</w:t>
            </w: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r>
              <w:rPr>
                <w:rFonts w:ascii="Times New Roman" w:hAnsi="Times New Roman" w:cs="Times New Roman"/>
              </w:rPr>
              <w:t>Erro</w:t>
            </w:r>
          </w:p>
        </w:tc>
      </w:tr>
      <w:tr w:rsidR="00F46979" w:rsidTr="00F46979">
        <w:trPr>
          <w:jc w:val="center"/>
        </w:trPr>
        <w:tc>
          <w:tcPr>
            <w:tcW w:w="485" w:type="dxa"/>
            <w:tcBorders>
              <w:top w:val="single" w:sz="6" w:space="0" w:color="auto"/>
              <w:bottom w:val="single" w:sz="6" w:space="0" w:color="auto"/>
              <w:right w:val="single" w:sz="6" w:space="0" w:color="auto"/>
            </w:tcBorders>
          </w:tcPr>
          <w:p w:rsidR="00F46979" w:rsidRDefault="00F46979" w:rsidP="00F46979">
            <w:pPr>
              <w:pStyle w:val="PSDS-CorpodeTexto0"/>
              <w:suppressAutoHyphens w:val="0"/>
              <w:rPr>
                <w:rFonts w:ascii="Times New Roman" w:hAnsi="Times New Roman" w:cs="Times New Roman"/>
                <w:b/>
                <w:bCs/>
                <w:lang w:val="pt-PT"/>
              </w:rPr>
            </w:pPr>
            <w:r>
              <w:rPr>
                <w:rFonts w:ascii="Times New Roman" w:hAnsi="Times New Roman" w:cs="Times New Roman"/>
                <w:b/>
                <w:bCs/>
                <w:lang w:val="pt-PT"/>
              </w:rPr>
              <w:t>16</w:t>
            </w:r>
          </w:p>
        </w:tc>
        <w:tc>
          <w:tcPr>
            <w:tcW w:w="3000" w:type="dxa"/>
            <w:tcBorders>
              <w:top w:val="single" w:sz="6" w:space="0" w:color="auto"/>
              <w:left w:val="single" w:sz="6" w:space="0" w:color="auto"/>
              <w:bottom w:val="single" w:sz="6" w:space="0" w:color="auto"/>
              <w:right w:val="single" w:sz="6" w:space="0" w:color="auto"/>
            </w:tcBorders>
          </w:tcPr>
          <w:p w:rsidR="00F46979" w:rsidRDefault="00F46979" w:rsidP="00F46979">
            <w:pPr>
              <w:pStyle w:val="PSDS-CorpodeTexto0"/>
              <w:rPr>
                <w:rFonts w:ascii="Times New Roman" w:hAnsi="Times New Roman" w:cs="Times New Roman"/>
              </w:rPr>
            </w:pPr>
            <w:r>
              <w:rPr>
                <w:rFonts w:ascii="Times New Roman" w:hAnsi="Times New Roman" w:cs="Times New Roman"/>
              </w:rPr>
              <w:t>VL_CAP_SOC</w:t>
            </w:r>
          </w:p>
        </w:tc>
        <w:tc>
          <w:tcPr>
            <w:tcW w:w="11165" w:type="dxa"/>
            <w:tcBorders>
              <w:top w:val="single" w:sz="6" w:space="0" w:color="auto"/>
              <w:left w:val="single" w:sz="6" w:space="0" w:color="auto"/>
              <w:bottom w:val="single" w:sz="6" w:space="0" w:color="auto"/>
              <w:right w:val="single" w:sz="6" w:space="0" w:color="auto"/>
            </w:tcBorders>
          </w:tcPr>
          <w:p w:rsidR="00F46979" w:rsidRDefault="00F46979" w:rsidP="00F46979">
            <w:pPr>
              <w:pStyle w:val="Corpodetexto"/>
              <w:rPr>
                <w:rFonts w:ascii="Times New Roman" w:hAnsi="Times New Roman" w:cs="Times New Roman"/>
              </w:rPr>
            </w:pPr>
            <w:r>
              <w:rPr>
                <w:rFonts w:ascii="Times New Roman" w:hAnsi="Times New Roman" w:cs="Times New Roman"/>
                <w:b/>
                <w:bCs/>
              </w:rPr>
              <w:t xml:space="preserve">REGRA_HABILITA_REAL: </w:t>
            </w:r>
            <w:r>
              <w:rPr>
                <w:rFonts w:ascii="Times New Roman" w:hAnsi="Times New Roman" w:cs="Times New Roman"/>
              </w:rPr>
              <w:t>Caso W100.TIP_MOEDA seja igual a “Reais”, o campo W200.VL_CAP_SOC deve ser habilitado. Caso contrário, o campo W200.VL_CAP_SOC é desabilitado, pois é calculado automaticamente pelo sistema.</w:t>
            </w:r>
          </w:p>
          <w:p w:rsidR="00F46979" w:rsidRDefault="00F46979" w:rsidP="00F46979">
            <w:pPr>
              <w:pStyle w:val="Corpodetexto"/>
              <w:rPr>
                <w:rFonts w:ascii="Times New Roman" w:hAnsi="Times New Roman" w:cs="Times New Roman"/>
              </w:rPr>
            </w:pPr>
          </w:p>
          <w:p w:rsidR="00F46979" w:rsidRDefault="00F46979" w:rsidP="00F46979">
            <w:pPr>
              <w:pStyle w:val="Corpodetexto"/>
              <w:rPr>
                <w:rFonts w:ascii="Times New Roman" w:hAnsi="Times New Roman" w:cs="Times New Roman"/>
              </w:rPr>
            </w:pPr>
            <w:r>
              <w:rPr>
                <w:rFonts w:ascii="Times New Roman" w:hAnsi="Times New Roman" w:cs="Times New Roman"/>
                <w:b/>
                <w:bCs/>
              </w:rPr>
              <w:t xml:space="preserve">REGRA_CALCULA_REAL_CNA: </w:t>
            </w:r>
            <w:r>
              <w:rPr>
                <w:rFonts w:ascii="Times New Roman" w:hAnsi="Times New Roman" w:cs="Times New Roman"/>
              </w:rPr>
              <w:t>Caso o campo W100.TIP.MOEDA seja diferente de “Reais”, o campo W200.VL_CAP_SOC será igual ao resultado da multiplicação do campo W200.VL_CAP_SOC_EST pela taxa de câmbio para real em 31/12/ano da escrituração, conforme tabela do Sped (Disponibilizada no programa da ECF no diretório Arquivos de Programas/Programas Sped/ECf/SpedEcf/Recursos/Tabelas).</w:t>
            </w:r>
          </w:p>
        </w:tc>
        <w:tc>
          <w:tcPr>
            <w:tcW w:w="961" w:type="dxa"/>
            <w:tcBorders>
              <w:top w:val="single" w:sz="6" w:space="0" w:color="auto"/>
              <w:left w:val="single" w:sz="6" w:space="0" w:color="auto"/>
              <w:bottom w:val="single" w:sz="6" w:space="0" w:color="auto"/>
            </w:tcBorders>
          </w:tcPr>
          <w:p w:rsidR="00F46979" w:rsidRDefault="00F46979" w:rsidP="00F46979">
            <w:pPr>
              <w:pStyle w:val="PSDS-CorpodeTexto0"/>
              <w:rPr>
                <w:rFonts w:ascii="Times New Roman" w:hAnsi="Times New Roman" w:cs="Times New Roman"/>
              </w:rPr>
            </w:pPr>
            <w:r>
              <w:rPr>
                <w:rFonts w:ascii="Times New Roman" w:hAnsi="Times New Roman" w:cs="Times New Roman"/>
              </w:rPr>
              <w:t>Habilita</w:t>
            </w: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r>
              <w:rPr>
                <w:rFonts w:ascii="Times New Roman" w:hAnsi="Times New Roman" w:cs="Times New Roman"/>
              </w:rPr>
              <w:t>Erro</w:t>
            </w: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p>
        </w:tc>
      </w:tr>
      <w:tr w:rsidR="00F46979" w:rsidTr="00F46979">
        <w:trPr>
          <w:jc w:val="center"/>
        </w:trPr>
        <w:tc>
          <w:tcPr>
            <w:tcW w:w="485" w:type="dxa"/>
            <w:tcBorders>
              <w:top w:val="single" w:sz="6" w:space="0" w:color="auto"/>
              <w:bottom w:val="single" w:sz="6" w:space="0" w:color="auto"/>
              <w:right w:val="single" w:sz="6" w:space="0" w:color="auto"/>
            </w:tcBorders>
          </w:tcPr>
          <w:p w:rsidR="00F46979" w:rsidRDefault="00F46979" w:rsidP="00F46979">
            <w:pPr>
              <w:pStyle w:val="PSDS-CorpodeTexto0"/>
              <w:suppressAutoHyphens w:val="0"/>
              <w:rPr>
                <w:rFonts w:ascii="Times New Roman" w:hAnsi="Times New Roman" w:cs="Times New Roman"/>
                <w:b/>
                <w:bCs/>
                <w:lang w:val="pt-PT"/>
              </w:rPr>
            </w:pPr>
            <w:r>
              <w:rPr>
                <w:rFonts w:ascii="Times New Roman" w:hAnsi="Times New Roman" w:cs="Times New Roman"/>
                <w:b/>
                <w:bCs/>
                <w:lang w:val="pt-PT"/>
              </w:rPr>
              <w:t>17</w:t>
            </w:r>
          </w:p>
        </w:tc>
        <w:tc>
          <w:tcPr>
            <w:tcW w:w="3000" w:type="dxa"/>
            <w:tcBorders>
              <w:top w:val="single" w:sz="6" w:space="0" w:color="auto"/>
              <w:left w:val="single" w:sz="6" w:space="0" w:color="auto"/>
              <w:bottom w:val="single" w:sz="6" w:space="0" w:color="auto"/>
              <w:right w:val="single" w:sz="6" w:space="0" w:color="auto"/>
            </w:tcBorders>
          </w:tcPr>
          <w:p w:rsidR="00F46979" w:rsidRDefault="00F46979" w:rsidP="00F46979">
            <w:pPr>
              <w:pStyle w:val="PSDS-CorpodeTexto0"/>
              <w:rPr>
                <w:rFonts w:ascii="Times New Roman" w:hAnsi="Times New Roman" w:cs="Times New Roman"/>
              </w:rPr>
            </w:pPr>
            <w:r>
              <w:rPr>
                <w:rFonts w:ascii="Times New Roman" w:hAnsi="Times New Roman" w:cs="Times New Roman"/>
              </w:rPr>
              <w:t>VL_LUC_ACUM_EST</w:t>
            </w:r>
          </w:p>
        </w:tc>
        <w:tc>
          <w:tcPr>
            <w:tcW w:w="11165" w:type="dxa"/>
            <w:tcBorders>
              <w:top w:val="single" w:sz="6" w:space="0" w:color="auto"/>
              <w:left w:val="single" w:sz="6" w:space="0" w:color="auto"/>
              <w:bottom w:val="single" w:sz="6" w:space="0" w:color="auto"/>
              <w:right w:val="single" w:sz="6" w:space="0" w:color="auto"/>
            </w:tcBorders>
          </w:tcPr>
          <w:p w:rsidR="00F46979" w:rsidRDefault="00F46979" w:rsidP="00F46979">
            <w:pPr>
              <w:pStyle w:val="Corpodetexto"/>
              <w:rPr>
                <w:rFonts w:ascii="Times New Roman" w:hAnsi="Times New Roman" w:cs="Times New Roman"/>
              </w:rPr>
            </w:pPr>
            <w:r>
              <w:rPr>
                <w:rFonts w:ascii="Times New Roman" w:hAnsi="Times New Roman" w:cs="Times New Roman"/>
                <w:b/>
                <w:bCs/>
              </w:rPr>
              <w:t xml:space="preserve">REGRA_HABILITA_MOEDA_ESTRANGEIRA: </w:t>
            </w:r>
            <w:r>
              <w:rPr>
                <w:rFonts w:ascii="Times New Roman" w:hAnsi="Times New Roman" w:cs="Times New Roman"/>
              </w:rPr>
              <w:t>Caso W100.TIP_MOEDA seja diferente de “Reais”, o campo W200.VL_LUC_ACUM_EST deve ser habilitado. Caso contrário, o campo W200.VL_LUC_ACUM_EST é desabilitado.</w:t>
            </w:r>
          </w:p>
          <w:p w:rsidR="00F46979" w:rsidRDefault="00F46979" w:rsidP="00F46979">
            <w:pPr>
              <w:pStyle w:val="Corpodetexto"/>
              <w:rPr>
                <w:rFonts w:ascii="Times New Roman" w:hAnsi="Times New Roman" w:cs="Times New Roman"/>
              </w:rPr>
            </w:pPr>
          </w:p>
          <w:p w:rsidR="00F46979" w:rsidRDefault="00F46979" w:rsidP="00F46979">
            <w:pPr>
              <w:pStyle w:val="Corpodetexto"/>
              <w:rPr>
                <w:rFonts w:ascii="Times New Roman" w:hAnsi="Times New Roman" w:cs="Times New Roman"/>
              </w:rPr>
            </w:pPr>
            <w:r>
              <w:rPr>
                <w:rFonts w:ascii="Times New Roman" w:hAnsi="Times New Roman" w:cs="Times New Roman"/>
                <w:b/>
                <w:bCs/>
              </w:rPr>
              <w:t xml:space="preserve">REGRA_VALOR_ESTRANGEIRO_OBRIGATORIO: </w:t>
            </w:r>
            <w:r>
              <w:rPr>
                <w:rFonts w:ascii="Times New Roman" w:hAnsi="Times New Roman" w:cs="Times New Roman"/>
              </w:rPr>
              <w:t>Verifica, quando W100.TIP_MOEDA é diferente de “Reais”, se o campo W200.VL_LUC_ACUM_EST está preenchido.</w:t>
            </w:r>
          </w:p>
          <w:p w:rsidR="00F46979" w:rsidRDefault="00F46979" w:rsidP="00F46979">
            <w:pPr>
              <w:pStyle w:val="Corpodetexto"/>
              <w:rPr>
                <w:rFonts w:ascii="Times New Roman" w:hAnsi="Times New Roman" w:cs="Times New Roman"/>
              </w:rPr>
            </w:pPr>
          </w:p>
          <w:p w:rsidR="00F46979" w:rsidRDefault="00F46979" w:rsidP="00F46979">
            <w:pPr>
              <w:pStyle w:val="Corpodetexto"/>
              <w:rPr>
                <w:rFonts w:ascii="Times New Roman" w:hAnsi="Times New Roman" w:cs="Times New Roman"/>
              </w:rPr>
            </w:pPr>
            <w:r>
              <w:rPr>
                <w:rFonts w:ascii="Times New Roman" w:hAnsi="Times New Roman" w:cs="Times New Roman"/>
                <w:b/>
                <w:bCs/>
              </w:rPr>
              <w:t xml:space="preserve">REGRA_VALOR_ESTRANGEIRO_NAO_PREENCHER: </w:t>
            </w:r>
            <w:r>
              <w:rPr>
                <w:rFonts w:ascii="Times New Roman" w:hAnsi="Times New Roman" w:cs="Times New Roman"/>
              </w:rPr>
              <w:t>Verifica, quando W100.TIP_MOEDA é igual a “Reais”, se o campo W200.VL_LUC_ACUM_EST não está preenchido.</w:t>
            </w:r>
          </w:p>
        </w:tc>
        <w:tc>
          <w:tcPr>
            <w:tcW w:w="961" w:type="dxa"/>
            <w:tcBorders>
              <w:top w:val="single" w:sz="6" w:space="0" w:color="auto"/>
              <w:left w:val="single" w:sz="6" w:space="0" w:color="auto"/>
              <w:bottom w:val="single" w:sz="6" w:space="0" w:color="auto"/>
            </w:tcBorders>
          </w:tcPr>
          <w:p w:rsidR="00F46979" w:rsidRDefault="00F46979" w:rsidP="00F46979">
            <w:pPr>
              <w:pStyle w:val="PSDS-CorpodeTexto0"/>
              <w:rPr>
                <w:rFonts w:ascii="Times New Roman" w:hAnsi="Times New Roman" w:cs="Times New Roman"/>
              </w:rPr>
            </w:pPr>
            <w:r>
              <w:rPr>
                <w:rFonts w:ascii="Times New Roman" w:hAnsi="Times New Roman" w:cs="Times New Roman"/>
              </w:rPr>
              <w:t>Habilita</w:t>
            </w: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r>
              <w:rPr>
                <w:rFonts w:ascii="Times New Roman" w:hAnsi="Times New Roman" w:cs="Times New Roman"/>
              </w:rPr>
              <w:t>Erro</w:t>
            </w: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r>
              <w:rPr>
                <w:rFonts w:ascii="Times New Roman" w:hAnsi="Times New Roman" w:cs="Times New Roman"/>
              </w:rPr>
              <w:t>Erro</w:t>
            </w:r>
          </w:p>
        </w:tc>
      </w:tr>
      <w:tr w:rsidR="00F46979" w:rsidTr="00F46979">
        <w:trPr>
          <w:jc w:val="center"/>
        </w:trPr>
        <w:tc>
          <w:tcPr>
            <w:tcW w:w="485" w:type="dxa"/>
            <w:tcBorders>
              <w:top w:val="single" w:sz="6" w:space="0" w:color="auto"/>
              <w:bottom w:val="single" w:sz="6" w:space="0" w:color="auto"/>
              <w:right w:val="single" w:sz="6" w:space="0" w:color="auto"/>
            </w:tcBorders>
          </w:tcPr>
          <w:p w:rsidR="00F46979" w:rsidRDefault="00F46979" w:rsidP="00F46979">
            <w:pPr>
              <w:pStyle w:val="PSDS-CorpodeTexto0"/>
              <w:suppressAutoHyphens w:val="0"/>
              <w:rPr>
                <w:rFonts w:ascii="Times New Roman" w:hAnsi="Times New Roman" w:cs="Times New Roman"/>
                <w:b/>
                <w:bCs/>
                <w:lang w:val="pt-PT"/>
              </w:rPr>
            </w:pPr>
            <w:r>
              <w:rPr>
                <w:rFonts w:ascii="Times New Roman" w:hAnsi="Times New Roman" w:cs="Times New Roman"/>
                <w:b/>
                <w:bCs/>
                <w:lang w:val="pt-PT"/>
              </w:rPr>
              <w:t>18</w:t>
            </w:r>
          </w:p>
        </w:tc>
        <w:tc>
          <w:tcPr>
            <w:tcW w:w="3000" w:type="dxa"/>
            <w:tcBorders>
              <w:top w:val="single" w:sz="6" w:space="0" w:color="auto"/>
              <w:left w:val="single" w:sz="6" w:space="0" w:color="auto"/>
              <w:bottom w:val="single" w:sz="6" w:space="0" w:color="auto"/>
              <w:right w:val="single" w:sz="6" w:space="0" w:color="auto"/>
            </w:tcBorders>
          </w:tcPr>
          <w:p w:rsidR="00F46979" w:rsidRDefault="00F46979" w:rsidP="00F46979">
            <w:pPr>
              <w:pStyle w:val="PSDS-CorpodeTexto0"/>
              <w:rPr>
                <w:rFonts w:ascii="Times New Roman" w:hAnsi="Times New Roman" w:cs="Times New Roman"/>
              </w:rPr>
            </w:pPr>
            <w:r>
              <w:rPr>
                <w:rFonts w:ascii="Times New Roman" w:hAnsi="Times New Roman" w:cs="Times New Roman"/>
              </w:rPr>
              <w:t>VL_LUC_ACUM</w:t>
            </w:r>
          </w:p>
        </w:tc>
        <w:tc>
          <w:tcPr>
            <w:tcW w:w="11165" w:type="dxa"/>
            <w:tcBorders>
              <w:top w:val="single" w:sz="6" w:space="0" w:color="auto"/>
              <w:left w:val="single" w:sz="6" w:space="0" w:color="auto"/>
              <w:bottom w:val="single" w:sz="6" w:space="0" w:color="auto"/>
              <w:right w:val="single" w:sz="6" w:space="0" w:color="auto"/>
            </w:tcBorders>
          </w:tcPr>
          <w:p w:rsidR="00F46979" w:rsidRDefault="00F46979" w:rsidP="00F46979">
            <w:pPr>
              <w:pStyle w:val="Corpodetexto"/>
              <w:rPr>
                <w:rFonts w:ascii="Times New Roman" w:hAnsi="Times New Roman" w:cs="Times New Roman"/>
              </w:rPr>
            </w:pPr>
            <w:r>
              <w:rPr>
                <w:rFonts w:ascii="Times New Roman" w:hAnsi="Times New Roman" w:cs="Times New Roman"/>
                <w:b/>
                <w:bCs/>
              </w:rPr>
              <w:t xml:space="preserve">REGRA_HABILITA_REAL: </w:t>
            </w:r>
            <w:r>
              <w:rPr>
                <w:rFonts w:ascii="Times New Roman" w:hAnsi="Times New Roman" w:cs="Times New Roman"/>
              </w:rPr>
              <w:t>Caso W100.TIP_MOEDA seja igual a “Reais”, o campo W200.LUC_ACUM deve ser habilitado. Caso contrário, o campo W200.LUC_ACUM é desabilitado, pois é calculado automaticamente pelo sistema.</w:t>
            </w:r>
          </w:p>
          <w:p w:rsidR="00F46979" w:rsidRDefault="00F46979" w:rsidP="00F46979">
            <w:pPr>
              <w:pStyle w:val="Corpodetexto"/>
              <w:rPr>
                <w:rFonts w:ascii="Times New Roman" w:hAnsi="Times New Roman" w:cs="Times New Roman"/>
              </w:rPr>
            </w:pPr>
          </w:p>
          <w:p w:rsidR="00F46979" w:rsidRDefault="00F46979" w:rsidP="00F46979">
            <w:pPr>
              <w:pStyle w:val="Corpodetexto"/>
              <w:rPr>
                <w:rFonts w:ascii="Times New Roman" w:hAnsi="Times New Roman" w:cs="Times New Roman"/>
              </w:rPr>
            </w:pPr>
            <w:r>
              <w:rPr>
                <w:rFonts w:ascii="Times New Roman" w:hAnsi="Times New Roman" w:cs="Times New Roman"/>
                <w:b/>
                <w:bCs/>
              </w:rPr>
              <w:lastRenderedPageBreak/>
              <w:t xml:space="preserve">REGRA_CALCULA_REAL_CNA: </w:t>
            </w:r>
            <w:r>
              <w:rPr>
                <w:rFonts w:ascii="Times New Roman" w:hAnsi="Times New Roman" w:cs="Times New Roman"/>
              </w:rPr>
              <w:t>Caso o campo W100.TIP.MOEDA seja diferente de “Reais”, o campo W200.VL_LUC_ACUM será igual ao resultado da multiplicação do campo W200.VL_LUC_ACUM_EST pela taxa de câmbio para real em 31/12/ano da escrituração, conforme tabela do Sped (Disponibilizada no programa da ECF no diretório Arquivos de Programas/Programas Sped/ECf/SpedEcf/Recursos/Tabelas).</w:t>
            </w:r>
          </w:p>
        </w:tc>
        <w:tc>
          <w:tcPr>
            <w:tcW w:w="961" w:type="dxa"/>
            <w:tcBorders>
              <w:top w:val="single" w:sz="6" w:space="0" w:color="auto"/>
              <w:left w:val="single" w:sz="6" w:space="0" w:color="auto"/>
              <w:bottom w:val="single" w:sz="6" w:space="0" w:color="auto"/>
            </w:tcBorders>
          </w:tcPr>
          <w:p w:rsidR="00F46979" w:rsidRDefault="00F46979" w:rsidP="00F46979">
            <w:pPr>
              <w:pStyle w:val="PSDS-CorpodeTexto0"/>
              <w:rPr>
                <w:rFonts w:ascii="Times New Roman" w:hAnsi="Times New Roman" w:cs="Times New Roman"/>
              </w:rPr>
            </w:pPr>
            <w:r>
              <w:rPr>
                <w:rFonts w:ascii="Times New Roman" w:hAnsi="Times New Roman" w:cs="Times New Roman"/>
              </w:rPr>
              <w:lastRenderedPageBreak/>
              <w:t>Habilita</w:t>
            </w: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r>
              <w:rPr>
                <w:rFonts w:ascii="Times New Roman" w:hAnsi="Times New Roman" w:cs="Times New Roman"/>
              </w:rPr>
              <w:lastRenderedPageBreak/>
              <w:t>Erro</w:t>
            </w: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p>
        </w:tc>
      </w:tr>
      <w:tr w:rsidR="00F46979" w:rsidTr="00F46979">
        <w:trPr>
          <w:jc w:val="center"/>
        </w:trPr>
        <w:tc>
          <w:tcPr>
            <w:tcW w:w="485" w:type="dxa"/>
            <w:tcBorders>
              <w:top w:val="single" w:sz="6" w:space="0" w:color="auto"/>
              <w:bottom w:val="single" w:sz="6" w:space="0" w:color="auto"/>
              <w:right w:val="single" w:sz="6" w:space="0" w:color="auto"/>
            </w:tcBorders>
          </w:tcPr>
          <w:p w:rsidR="00F46979" w:rsidRDefault="00F46979" w:rsidP="00F46979">
            <w:pPr>
              <w:pStyle w:val="PSDS-CorpodeTexto0"/>
              <w:suppressAutoHyphens w:val="0"/>
              <w:rPr>
                <w:rFonts w:ascii="Times New Roman" w:hAnsi="Times New Roman" w:cs="Times New Roman"/>
                <w:b/>
                <w:bCs/>
                <w:lang w:val="pt-PT"/>
              </w:rPr>
            </w:pPr>
            <w:r>
              <w:rPr>
                <w:rFonts w:ascii="Times New Roman" w:hAnsi="Times New Roman" w:cs="Times New Roman"/>
                <w:b/>
                <w:bCs/>
                <w:lang w:val="pt-PT"/>
              </w:rPr>
              <w:lastRenderedPageBreak/>
              <w:t>19</w:t>
            </w:r>
          </w:p>
        </w:tc>
        <w:tc>
          <w:tcPr>
            <w:tcW w:w="3000" w:type="dxa"/>
            <w:tcBorders>
              <w:top w:val="single" w:sz="6" w:space="0" w:color="auto"/>
              <w:left w:val="single" w:sz="6" w:space="0" w:color="auto"/>
              <w:bottom w:val="single" w:sz="6" w:space="0" w:color="auto"/>
              <w:right w:val="single" w:sz="6" w:space="0" w:color="auto"/>
            </w:tcBorders>
          </w:tcPr>
          <w:p w:rsidR="00F46979" w:rsidRDefault="00F46979" w:rsidP="00F46979">
            <w:pPr>
              <w:pStyle w:val="PSDS-CorpodeTexto0"/>
              <w:rPr>
                <w:rFonts w:ascii="Times New Roman" w:hAnsi="Times New Roman" w:cs="Times New Roman"/>
              </w:rPr>
            </w:pPr>
            <w:r>
              <w:rPr>
                <w:rFonts w:ascii="Times New Roman" w:hAnsi="Times New Roman" w:cs="Times New Roman"/>
              </w:rPr>
              <w:t>VL_ATIV_TANG_EST</w:t>
            </w:r>
          </w:p>
        </w:tc>
        <w:tc>
          <w:tcPr>
            <w:tcW w:w="11165" w:type="dxa"/>
            <w:tcBorders>
              <w:top w:val="single" w:sz="6" w:space="0" w:color="auto"/>
              <w:left w:val="single" w:sz="6" w:space="0" w:color="auto"/>
              <w:bottom w:val="single" w:sz="6" w:space="0" w:color="auto"/>
              <w:right w:val="single" w:sz="6" w:space="0" w:color="auto"/>
            </w:tcBorders>
          </w:tcPr>
          <w:p w:rsidR="00F46979" w:rsidRDefault="00F46979" w:rsidP="00F46979">
            <w:pPr>
              <w:pStyle w:val="Corpodetexto"/>
              <w:rPr>
                <w:rFonts w:ascii="Times New Roman" w:hAnsi="Times New Roman" w:cs="Times New Roman"/>
              </w:rPr>
            </w:pPr>
            <w:r>
              <w:rPr>
                <w:rFonts w:ascii="Times New Roman" w:hAnsi="Times New Roman" w:cs="Times New Roman"/>
                <w:b/>
                <w:bCs/>
              </w:rPr>
              <w:t xml:space="preserve">REGRA_HABILITA_MOEDA_ESTRANGEIRA: </w:t>
            </w:r>
            <w:r>
              <w:rPr>
                <w:rFonts w:ascii="Times New Roman" w:hAnsi="Times New Roman" w:cs="Times New Roman"/>
              </w:rPr>
              <w:t>Caso W100.TIP_MOEDA seja diferente de “Reais”, o campo W200.VL_ATIV_TANG_EST deve ser habilitado. Caso contrário, o campo W200.VL_ATIV_TANG_EST é desabilitado.</w:t>
            </w:r>
          </w:p>
          <w:p w:rsidR="00F46979" w:rsidRDefault="00F46979" w:rsidP="00F46979">
            <w:pPr>
              <w:pStyle w:val="Corpodetexto"/>
              <w:rPr>
                <w:rFonts w:ascii="Times New Roman" w:hAnsi="Times New Roman" w:cs="Times New Roman"/>
              </w:rPr>
            </w:pPr>
          </w:p>
          <w:p w:rsidR="00F46979" w:rsidRDefault="00F46979" w:rsidP="00F46979">
            <w:pPr>
              <w:pStyle w:val="Corpodetexto"/>
              <w:rPr>
                <w:rFonts w:ascii="Times New Roman" w:hAnsi="Times New Roman" w:cs="Times New Roman"/>
              </w:rPr>
            </w:pPr>
            <w:r>
              <w:rPr>
                <w:rFonts w:ascii="Times New Roman" w:hAnsi="Times New Roman" w:cs="Times New Roman"/>
                <w:b/>
                <w:bCs/>
              </w:rPr>
              <w:t xml:space="preserve">REGRA_VALOR_ESTRANGEIRO_OBRIGATORIO: </w:t>
            </w:r>
            <w:r>
              <w:rPr>
                <w:rFonts w:ascii="Times New Roman" w:hAnsi="Times New Roman" w:cs="Times New Roman"/>
              </w:rPr>
              <w:t>Verifica, quando W100.TIP_MOEDA é diferente de “Reais”, se o campo W200.VL_ATIV_TANG_EST está preenchido.</w:t>
            </w:r>
          </w:p>
          <w:p w:rsidR="00F46979" w:rsidRDefault="00F46979" w:rsidP="00F46979">
            <w:pPr>
              <w:pStyle w:val="Corpodetexto"/>
              <w:rPr>
                <w:rFonts w:ascii="Times New Roman" w:hAnsi="Times New Roman" w:cs="Times New Roman"/>
              </w:rPr>
            </w:pPr>
          </w:p>
          <w:p w:rsidR="00F46979" w:rsidRDefault="00F46979" w:rsidP="00F46979">
            <w:pPr>
              <w:pStyle w:val="Corpodetexto"/>
              <w:rPr>
                <w:rFonts w:ascii="Times New Roman" w:hAnsi="Times New Roman" w:cs="Times New Roman"/>
              </w:rPr>
            </w:pPr>
            <w:r>
              <w:rPr>
                <w:rFonts w:ascii="Times New Roman" w:hAnsi="Times New Roman" w:cs="Times New Roman"/>
                <w:b/>
                <w:bCs/>
              </w:rPr>
              <w:t xml:space="preserve">REGRA_VALOR_ESTRANGEIRO_NAO_PREENCHER: </w:t>
            </w:r>
            <w:r>
              <w:rPr>
                <w:rFonts w:ascii="Times New Roman" w:hAnsi="Times New Roman" w:cs="Times New Roman"/>
              </w:rPr>
              <w:t>Verifica, quando W100.TIP_MOEDA é igual a “Reais”, se o campo W200.VL_ATIV_TANG_EST não está preenchido.</w:t>
            </w:r>
          </w:p>
        </w:tc>
        <w:tc>
          <w:tcPr>
            <w:tcW w:w="961" w:type="dxa"/>
            <w:tcBorders>
              <w:top w:val="single" w:sz="6" w:space="0" w:color="auto"/>
              <w:left w:val="single" w:sz="6" w:space="0" w:color="auto"/>
              <w:bottom w:val="single" w:sz="6" w:space="0" w:color="auto"/>
            </w:tcBorders>
          </w:tcPr>
          <w:p w:rsidR="00F46979" w:rsidRDefault="00F46979" w:rsidP="00F46979">
            <w:pPr>
              <w:pStyle w:val="PSDS-CorpodeTexto0"/>
              <w:rPr>
                <w:rFonts w:ascii="Times New Roman" w:hAnsi="Times New Roman" w:cs="Times New Roman"/>
              </w:rPr>
            </w:pPr>
            <w:r>
              <w:rPr>
                <w:rFonts w:ascii="Times New Roman" w:hAnsi="Times New Roman" w:cs="Times New Roman"/>
              </w:rPr>
              <w:t>Habilita</w:t>
            </w: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r>
              <w:rPr>
                <w:rFonts w:ascii="Times New Roman" w:hAnsi="Times New Roman" w:cs="Times New Roman"/>
              </w:rPr>
              <w:t>Erro</w:t>
            </w: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r>
              <w:rPr>
                <w:rFonts w:ascii="Times New Roman" w:hAnsi="Times New Roman" w:cs="Times New Roman"/>
              </w:rPr>
              <w:t>Erro</w:t>
            </w:r>
          </w:p>
        </w:tc>
      </w:tr>
      <w:tr w:rsidR="00F46979" w:rsidTr="00F46979">
        <w:trPr>
          <w:jc w:val="center"/>
        </w:trPr>
        <w:tc>
          <w:tcPr>
            <w:tcW w:w="485" w:type="dxa"/>
            <w:tcBorders>
              <w:top w:val="single" w:sz="6" w:space="0" w:color="auto"/>
              <w:bottom w:val="single" w:sz="6" w:space="0" w:color="auto"/>
              <w:right w:val="single" w:sz="6" w:space="0" w:color="auto"/>
            </w:tcBorders>
          </w:tcPr>
          <w:p w:rsidR="00F46979" w:rsidRDefault="00F46979" w:rsidP="00F46979">
            <w:pPr>
              <w:pStyle w:val="PSDS-CorpodeTexto0"/>
              <w:suppressAutoHyphens w:val="0"/>
              <w:rPr>
                <w:rFonts w:ascii="Times New Roman" w:hAnsi="Times New Roman" w:cs="Times New Roman"/>
                <w:b/>
                <w:bCs/>
                <w:lang w:val="pt-PT"/>
              </w:rPr>
            </w:pPr>
            <w:r>
              <w:rPr>
                <w:rFonts w:ascii="Times New Roman" w:hAnsi="Times New Roman" w:cs="Times New Roman"/>
                <w:b/>
                <w:bCs/>
                <w:lang w:val="pt-PT"/>
              </w:rPr>
              <w:t>20</w:t>
            </w:r>
          </w:p>
        </w:tc>
        <w:tc>
          <w:tcPr>
            <w:tcW w:w="3000" w:type="dxa"/>
            <w:tcBorders>
              <w:top w:val="single" w:sz="6" w:space="0" w:color="auto"/>
              <w:left w:val="single" w:sz="6" w:space="0" w:color="auto"/>
              <w:bottom w:val="single" w:sz="6" w:space="0" w:color="auto"/>
              <w:right w:val="single" w:sz="6" w:space="0" w:color="auto"/>
            </w:tcBorders>
          </w:tcPr>
          <w:p w:rsidR="00F46979" w:rsidRDefault="00F46979" w:rsidP="00F46979">
            <w:pPr>
              <w:pStyle w:val="PSDS-CorpodeTexto0"/>
              <w:rPr>
                <w:rFonts w:ascii="Times New Roman" w:hAnsi="Times New Roman" w:cs="Times New Roman"/>
              </w:rPr>
            </w:pPr>
            <w:r>
              <w:rPr>
                <w:rFonts w:ascii="Times New Roman" w:hAnsi="Times New Roman" w:cs="Times New Roman"/>
              </w:rPr>
              <w:t>VL_ATIV_TANG</w:t>
            </w:r>
          </w:p>
        </w:tc>
        <w:tc>
          <w:tcPr>
            <w:tcW w:w="11165" w:type="dxa"/>
            <w:tcBorders>
              <w:top w:val="single" w:sz="6" w:space="0" w:color="auto"/>
              <w:left w:val="single" w:sz="6" w:space="0" w:color="auto"/>
              <w:bottom w:val="single" w:sz="6" w:space="0" w:color="auto"/>
              <w:right w:val="single" w:sz="6" w:space="0" w:color="auto"/>
            </w:tcBorders>
          </w:tcPr>
          <w:p w:rsidR="00F46979" w:rsidRDefault="00F46979" w:rsidP="00F46979">
            <w:pPr>
              <w:pStyle w:val="Corpodetexto"/>
              <w:rPr>
                <w:rFonts w:ascii="Times New Roman" w:hAnsi="Times New Roman" w:cs="Times New Roman"/>
              </w:rPr>
            </w:pPr>
            <w:r>
              <w:rPr>
                <w:rFonts w:ascii="Times New Roman" w:hAnsi="Times New Roman" w:cs="Times New Roman"/>
                <w:b/>
                <w:bCs/>
              </w:rPr>
              <w:t xml:space="preserve">REGRA_HABILITA_REAL: </w:t>
            </w:r>
            <w:r>
              <w:rPr>
                <w:rFonts w:ascii="Times New Roman" w:hAnsi="Times New Roman" w:cs="Times New Roman"/>
              </w:rPr>
              <w:t>Caso W100.TIP_MOEDA seja igual a “Reais”, o campo W200.ATIV_TANG deve ser habilitado. Caso contrário, o campo W200.ATIV_TANG é desabilitado, pois é calculado automaticamente pelo sistema.</w:t>
            </w:r>
          </w:p>
          <w:p w:rsidR="00F46979" w:rsidRDefault="00F46979" w:rsidP="00F46979">
            <w:pPr>
              <w:pStyle w:val="Corpodetexto"/>
              <w:rPr>
                <w:rFonts w:ascii="Times New Roman" w:hAnsi="Times New Roman" w:cs="Times New Roman"/>
              </w:rPr>
            </w:pPr>
          </w:p>
          <w:p w:rsidR="00F46979" w:rsidRDefault="00F46979" w:rsidP="00F46979">
            <w:pPr>
              <w:pStyle w:val="Corpodetexto"/>
              <w:rPr>
                <w:rFonts w:ascii="Times New Roman" w:hAnsi="Times New Roman" w:cs="Times New Roman"/>
              </w:rPr>
            </w:pPr>
            <w:r>
              <w:rPr>
                <w:rFonts w:ascii="Times New Roman" w:hAnsi="Times New Roman" w:cs="Times New Roman"/>
                <w:b/>
                <w:bCs/>
              </w:rPr>
              <w:t xml:space="preserve">REGRA_CALCULA_REAL_CNA: </w:t>
            </w:r>
            <w:r>
              <w:rPr>
                <w:rFonts w:ascii="Times New Roman" w:hAnsi="Times New Roman" w:cs="Times New Roman"/>
              </w:rPr>
              <w:t>Caso o campo W100.TIP.MOEDA seja diferente de “Reais”, o campo W200.VL_ATIV_TANG será igual ao resultado da multiplicação do campo W200.VL_ATIV_TANG_EST pela taxa de câmbio para real em 31/12/ano da escrituração, conforme tabela do Sped (Disponibilizada no programa da ECF no diretório Arquivos de Programas/Programas Sped/ECf/SpedEcf/Recursos/Tabelas).</w:t>
            </w:r>
          </w:p>
        </w:tc>
        <w:tc>
          <w:tcPr>
            <w:tcW w:w="961" w:type="dxa"/>
            <w:tcBorders>
              <w:top w:val="single" w:sz="6" w:space="0" w:color="auto"/>
              <w:left w:val="single" w:sz="6" w:space="0" w:color="auto"/>
              <w:bottom w:val="single" w:sz="6" w:space="0" w:color="auto"/>
            </w:tcBorders>
          </w:tcPr>
          <w:p w:rsidR="00F46979" w:rsidRDefault="00F46979" w:rsidP="00F46979">
            <w:pPr>
              <w:pStyle w:val="PSDS-CorpodeTexto0"/>
              <w:rPr>
                <w:rFonts w:ascii="Times New Roman" w:hAnsi="Times New Roman" w:cs="Times New Roman"/>
              </w:rPr>
            </w:pPr>
            <w:r>
              <w:rPr>
                <w:rFonts w:ascii="Times New Roman" w:hAnsi="Times New Roman" w:cs="Times New Roman"/>
              </w:rPr>
              <w:t>Habilita</w:t>
            </w: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r>
              <w:rPr>
                <w:rFonts w:ascii="Times New Roman" w:hAnsi="Times New Roman" w:cs="Times New Roman"/>
              </w:rPr>
              <w:t>Erro</w:t>
            </w: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p>
        </w:tc>
      </w:tr>
    </w:tbl>
    <w:p w:rsidR="00F46979" w:rsidRDefault="00F46979" w:rsidP="00F46979">
      <w:pPr>
        <w:pStyle w:val="Corpodetexto"/>
        <w:rPr>
          <w:rFonts w:ascii="Times New Roman" w:hAnsi="Times New Roman" w:cs="Times New Roman"/>
          <w:b/>
          <w:bCs/>
          <w:color w:val="002060"/>
        </w:rPr>
      </w:pPr>
    </w:p>
    <w:p w:rsidR="006F0ACD" w:rsidRPr="0070069F" w:rsidRDefault="006F0ACD">
      <w:pPr>
        <w:spacing w:after="200" w:line="276" w:lineRule="auto"/>
        <w:rPr>
          <w:b/>
          <w:color w:val="002060"/>
          <w:szCs w:val="20"/>
          <w:lang w:eastAsia="ar-SA"/>
        </w:rPr>
      </w:pPr>
      <w:r w:rsidRPr="0070069F">
        <w:rPr>
          <w:b/>
          <w:color w:val="002060"/>
          <w:szCs w:val="20"/>
        </w:rPr>
        <w:br w:type="page"/>
      </w:r>
    </w:p>
    <w:p w:rsidR="00321880" w:rsidRPr="0070069F" w:rsidRDefault="00321880" w:rsidP="00321880">
      <w:pPr>
        <w:pStyle w:val="Corpodetexto"/>
        <w:rPr>
          <w:rFonts w:ascii="Times New Roman" w:hAnsi="Times New Roman"/>
          <w:b/>
          <w:color w:val="002060"/>
          <w:szCs w:val="20"/>
        </w:rPr>
      </w:pPr>
      <w:r w:rsidRPr="0070069F">
        <w:rPr>
          <w:rFonts w:ascii="Times New Roman" w:hAnsi="Times New Roman"/>
          <w:b/>
          <w:color w:val="002060"/>
          <w:szCs w:val="20"/>
        </w:rPr>
        <w:lastRenderedPageBreak/>
        <w:t xml:space="preserve">Exemplo de Preenchimento: </w:t>
      </w:r>
    </w:p>
    <w:p w:rsidR="00321880" w:rsidRPr="0070069F" w:rsidRDefault="00321880" w:rsidP="00321880">
      <w:pPr>
        <w:pStyle w:val="Corpodetexto"/>
        <w:rPr>
          <w:rFonts w:ascii="Times New Roman" w:hAnsi="Times New Roman"/>
          <w:b/>
          <w:color w:val="002060"/>
          <w:szCs w:val="20"/>
        </w:rPr>
      </w:pPr>
    </w:p>
    <w:p w:rsidR="00321880" w:rsidRPr="0070069F" w:rsidRDefault="00321880" w:rsidP="00321880">
      <w:pPr>
        <w:pStyle w:val="Corpodetexto"/>
        <w:rPr>
          <w:rFonts w:ascii="Times New Roman" w:hAnsi="Times New Roman"/>
          <w:b/>
          <w:color w:val="002060"/>
          <w:szCs w:val="20"/>
        </w:rPr>
      </w:pPr>
      <w:r w:rsidRPr="0070069F">
        <w:rPr>
          <w:rFonts w:ascii="Times New Roman" w:hAnsi="Times New Roman"/>
          <w:b/>
          <w:color w:val="002060"/>
          <w:szCs w:val="20"/>
        </w:rPr>
        <w:t>|W200|</w:t>
      </w:r>
      <w:r w:rsidR="00AE1301" w:rsidRPr="0070069F">
        <w:rPr>
          <w:rFonts w:ascii="Times New Roman" w:hAnsi="Times New Roman"/>
          <w:b/>
          <w:color w:val="002060"/>
          <w:szCs w:val="20"/>
        </w:rPr>
        <w:t>21||100000000||200000000||300000000||30000000||4500000||3000000||100000000</w:t>
      </w:r>
      <w:r w:rsidR="006F0ACD" w:rsidRPr="0070069F">
        <w:rPr>
          <w:rFonts w:ascii="Times New Roman" w:hAnsi="Times New Roman"/>
          <w:b/>
          <w:color w:val="002060"/>
          <w:szCs w:val="20"/>
        </w:rPr>
        <w:t>|</w:t>
      </w:r>
      <w:r w:rsidR="00AE1301" w:rsidRPr="0070069F">
        <w:rPr>
          <w:rFonts w:ascii="Times New Roman" w:hAnsi="Times New Roman"/>
          <w:b/>
          <w:color w:val="002060"/>
          <w:szCs w:val="20"/>
        </w:rPr>
        <w:t>|25000000||50000000</w:t>
      </w:r>
      <w:r w:rsidR="00054DB9" w:rsidRPr="0070069F">
        <w:rPr>
          <w:rFonts w:ascii="Times New Roman" w:hAnsi="Times New Roman"/>
          <w:b/>
          <w:color w:val="002060"/>
          <w:szCs w:val="20"/>
        </w:rPr>
        <w:t>|2000|</w:t>
      </w:r>
    </w:p>
    <w:p w:rsidR="006F0ACD" w:rsidRPr="0070069F" w:rsidRDefault="006F0ACD" w:rsidP="006F0ACD">
      <w:pPr>
        <w:pStyle w:val="Corpodetexto"/>
        <w:ind w:firstLine="708"/>
        <w:rPr>
          <w:rFonts w:ascii="Times New Roman" w:hAnsi="Times New Roman"/>
          <w:color w:val="002060"/>
          <w:szCs w:val="20"/>
        </w:rPr>
      </w:pPr>
      <w:r w:rsidRPr="0070069F">
        <w:rPr>
          <w:rFonts w:ascii="Times New Roman" w:hAnsi="Times New Roman"/>
          <w:color w:val="002060"/>
          <w:szCs w:val="20"/>
        </w:rPr>
        <w:t>|W200|: Identificação do tipo do registro.</w:t>
      </w:r>
    </w:p>
    <w:p w:rsidR="006F0ACD" w:rsidRPr="0070069F" w:rsidRDefault="006F0ACD" w:rsidP="006F0ACD">
      <w:pPr>
        <w:pStyle w:val="Corpodetexto"/>
        <w:ind w:firstLine="708"/>
        <w:rPr>
          <w:rFonts w:ascii="Times New Roman" w:hAnsi="Times New Roman"/>
          <w:color w:val="002060"/>
          <w:szCs w:val="20"/>
        </w:rPr>
      </w:pPr>
      <w:r w:rsidRPr="0070069F">
        <w:rPr>
          <w:rFonts w:ascii="Times New Roman" w:hAnsi="Times New Roman"/>
          <w:color w:val="002060"/>
          <w:szCs w:val="20"/>
        </w:rPr>
        <w:t xml:space="preserve">|21|: </w:t>
      </w:r>
      <w:r w:rsidR="001B58FE" w:rsidRPr="0070069F">
        <w:rPr>
          <w:rFonts w:ascii="Times New Roman" w:hAnsi="Times New Roman"/>
          <w:color w:val="002060"/>
          <w:szCs w:val="20"/>
        </w:rPr>
        <w:t>Jurisdição</w:t>
      </w:r>
      <w:r w:rsidRPr="0070069F">
        <w:rPr>
          <w:rFonts w:ascii="Times New Roman" w:hAnsi="Times New Roman"/>
          <w:color w:val="002060"/>
          <w:szCs w:val="20"/>
        </w:rPr>
        <w:t xml:space="preserve"> de residência tributária da(s) entidade(s) integrante(s) do grupo multinacional.</w:t>
      </w:r>
    </w:p>
    <w:p w:rsidR="006F0ACD" w:rsidRPr="0070069F" w:rsidRDefault="006F0ACD" w:rsidP="006F0ACD">
      <w:pPr>
        <w:pStyle w:val="Corpodetexto"/>
        <w:ind w:firstLine="708"/>
        <w:rPr>
          <w:rFonts w:ascii="Times New Roman" w:hAnsi="Times New Roman"/>
          <w:color w:val="002060"/>
          <w:szCs w:val="20"/>
        </w:rPr>
      </w:pPr>
      <w:r w:rsidRPr="0070069F">
        <w:rPr>
          <w:rFonts w:ascii="Times New Roman" w:hAnsi="Times New Roman"/>
          <w:color w:val="002060"/>
          <w:szCs w:val="20"/>
        </w:rPr>
        <w:t>||: Receitas provenientes de partes não relacionadas em moeda estrangeira.</w:t>
      </w:r>
    </w:p>
    <w:p w:rsidR="006F0ACD" w:rsidRPr="0070069F" w:rsidRDefault="00AE1301" w:rsidP="006F0ACD">
      <w:pPr>
        <w:pStyle w:val="Corpodetexto"/>
        <w:ind w:firstLine="708"/>
        <w:rPr>
          <w:rFonts w:ascii="Times New Roman" w:hAnsi="Times New Roman"/>
          <w:color w:val="002060"/>
          <w:szCs w:val="20"/>
        </w:rPr>
      </w:pPr>
      <w:r w:rsidRPr="0070069F">
        <w:rPr>
          <w:rFonts w:ascii="Times New Roman" w:hAnsi="Times New Roman"/>
          <w:color w:val="002060"/>
          <w:szCs w:val="20"/>
        </w:rPr>
        <w:t>|100000</w:t>
      </w:r>
      <w:r w:rsidR="006F0ACD" w:rsidRPr="0070069F">
        <w:rPr>
          <w:rFonts w:ascii="Times New Roman" w:hAnsi="Times New Roman"/>
          <w:color w:val="002060"/>
          <w:szCs w:val="20"/>
        </w:rPr>
        <w:t>|: Receitas provenientes de partes não relacion</w:t>
      </w:r>
      <w:r w:rsidRPr="0070069F">
        <w:rPr>
          <w:rFonts w:ascii="Times New Roman" w:hAnsi="Times New Roman"/>
          <w:color w:val="002060"/>
          <w:szCs w:val="20"/>
        </w:rPr>
        <w:t xml:space="preserve">adas em </w:t>
      </w:r>
      <w:r w:rsidR="001B58FE" w:rsidRPr="0070069F">
        <w:rPr>
          <w:rFonts w:ascii="Times New Roman" w:hAnsi="Times New Roman"/>
          <w:color w:val="002060"/>
          <w:szCs w:val="20"/>
        </w:rPr>
        <w:t>reais</w:t>
      </w:r>
      <w:r w:rsidRPr="0070069F">
        <w:rPr>
          <w:rFonts w:ascii="Times New Roman" w:hAnsi="Times New Roman"/>
          <w:color w:val="002060"/>
          <w:szCs w:val="20"/>
        </w:rPr>
        <w:t xml:space="preserve"> (R$ 100.000.000,00</w:t>
      </w:r>
      <w:r w:rsidR="006F0ACD" w:rsidRPr="0070069F">
        <w:rPr>
          <w:rFonts w:ascii="Times New Roman" w:hAnsi="Times New Roman"/>
          <w:color w:val="002060"/>
          <w:szCs w:val="20"/>
        </w:rPr>
        <w:t>).</w:t>
      </w:r>
    </w:p>
    <w:p w:rsidR="006F0ACD" w:rsidRPr="0070069F" w:rsidRDefault="006F0ACD" w:rsidP="006F0ACD">
      <w:pPr>
        <w:pStyle w:val="Corpodetexto"/>
        <w:ind w:firstLine="708"/>
        <w:rPr>
          <w:rFonts w:ascii="Times New Roman" w:hAnsi="Times New Roman"/>
          <w:color w:val="002060"/>
          <w:szCs w:val="20"/>
        </w:rPr>
      </w:pPr>
      <w:r w:rsidRPr="0070069F">
        <w:rPr>
          <w:rFonts w:ascii="Times New Roman" w:hAnsi="Times New Roman"/>
          <w:color w:val="002060"/>
          <w:szCs w:val="20"/>
        </w:rPr>
        <w:t>||: Receitas provenientes de partes relacionadas em moeda estrangeira.</w:t>
      </w:r>
    </w:p>
    <w:p w:rsidR="006F0ACD" w:rsidRPr="0070069F" w:rsidRDefault="00AE1301" w:rsidP="006F0ACD">
      <w:pPr>
        <w:pStyle w:val="Corpodetexto"/>
        <w:ind w:firstLine="708"/>
        <w:rPr>
          <w:rFonts w:ascii="Times New Roman" w:hAnsi="Times New Roman"/>
          <w:color w:val="002060"/>
          <w:szCs w:val="20"/>
        </w:rPr>
      </w:pPr>
      <w:r w:rsidRPr="0070069F">
        <w:rPr>
          <w:rFonts w:ascii="Times New Roman" w:hAnsi="Times New Roman"/>
          <w:color w:val="002060"/>
          <w:szCs w:val="20"/>
        </w:rPr>
        <w:t>|200000</w:t>
      </w:r>
      <w:r w:rsidR="006F0ACD" w:rsidRPr="0070069F">
        <w:rPr>
          <w:rFonts w:ascii="Times New Roman" w:hAnsi="Times New Roman"/>
          <w:color w:val="002060"/>
          <w:szCs w:val="20"/>
        </w:rPr>
        <w:t xml:space="preserve">|: Receitas provenientes de partes relacionadas em </w:t>
      </w:r>
      <w:r w:rsidR="001B58FE" w:rsidRPr="0070069F">
        <w:rPr>
          <w:rFonts w:ascii="Times New Roman" w:hAnsi="Times New Roman"/>
          <w:color w:val="002060"/>
          <w:szCs w:val="20"/>
        </w:rPr>
        <w:t>reais</w:t>
      </w:r>
      <w:r w:rsidR="006F0ACD" w:rsidRPr="0070069F">
        <w:rPr>
          <w:rFonts w:ascii="Times New Roman" w:hAnsi="Times New Roman"/>
          <w:color w:val="002060"/>
          <w:szCs w:val="20"/>
        </w:rPr>
        <w:t xml:space="preserve"> (R$ 200.000.000,00).</w:t>
      </w:r>
    </w:p>
    <w:p w:rsidR="006F0ACD" w:rsidRPr="0070069F" w:rsidRDefault="006F0ACD" w:rsidP="006F0ACD">
      <w:pPr>
        <w:pStyle w:val="Corpodetexto"/>
        <w:ind w:firstLine="708"/>
        <w:rPr>
          <w:rFonts w:ascii="Times New Roman" w:hAnsi="Times New Roman"/>
          <w:color w:val="002060"/>
          <w:szCs w:val="20"/>
        </w:rPr>
      </w:pPr>
      <w:r w:rsidRPr="0070069F">
        <w:rPr>
          <w:rFonts w:ascii="Times New Roman" w:hAnsi="Times New Roman"/>
          <w:color w:val="002060"/>
          <w:szCs w:val="20"/>
        </w:rPr>
        <w:t>||: Receita total em moeda estrangeira.</w:t>
      </w:r>
    </w:p>
    <w:p w:rsidR="006F0ACD" w:rsidRPr="0070069F" w:rsidRDefault="00AE1301" w:rsidP="006F0ACD">
      <w:pPr>
        <w:pStyle w:val="Corpodetexto"/>
        <w:ind w:firstLine="708"/>
        <w:rPr>
          <w:rFonts w:ascii="Times New Roman" w:hAnsi="Times New Roman"/>
          <w:color w:val="002060"/>
          <w:szCs w:val="20"/>
        </w:rPr>
      </w:pPr>
      <w:r w:rsidRPr="0070069F">
        <w:rPr>
          <w:rFonts w:ascii="Times New Roman" w:hAnsi="Times New Roman"/>
          <w:color w:val="002060"/>
          <w:szCs w:val="20"/>
        </w:rPr>
        <w:t>|300000</w:t>
      </w:r>
      <w:r w:rsidR="006F0ACD" w:rsidRPr="0070069F">
        <w:rPr>
          <w:rFonts w:ascii="Times New Roman" w:hAnsi="Times New Roman"/>
          <w:color w:val="002060"/>
          <w:szCs w:val="20"/>
        </w:rPr>
        <w:t>|: Receita total em reais (R$ 300.000.000,00).</w:t>
      </w:r>
    </w:p>
    <w:p w:rsidR="006F0ACD" w:rsidRPr="0070069F" w:rsidRDefault="006F0ACD" w:rsidP="006F0ACD">
      <w:pPr>
        <w:pStyle w:val="Corpodetexto"/>
        <w:ind w:firstLine="708"/>
        <w:rPr>
          <w:rFonts w:ascii="Times New Roman" w:hAnsi="Times New Roman"/>
          <w:color w:val="002060"/>
          <w:szCs w:val="20"/>
        </w:rPr>
      </w:pPr>
      <w:r w:rsidRPr="0070069F">
        <w:rPr>
          <w:rFonts w:ascii="Times New Roman" w:hAnsi="Times New Roman"/>
          <w:color w:val="002060"/>
          <w:szCs w:val="20"/>
        </w:rPr>
        <w:t>||: Lucro antes do IR em moeda estrangeira.</w:t>
      </w:r>
    </w:p>
    <w:p w:rsidR="006F0ACD" w:rsidRPr="0070069F" w:rsidRDefault="00AE1301" w:rsidP="006F0ACD">
      <w:pPr>
        <w:pStyle w:val="Corpodetexto"/>
        <w:ind w:firstLine="708"/>
        <w:rPr>
          <w:rFonts w:ascii="Times New Roman" w:hAnsi="Times New Roman"/>
          <w:color w:val="002060"/>
          <w:szCs w:val="20"/>
        </w:rPr>
      </w:pPr>
      <w:r w:rsidRPr="0070069F">
        <w:rPr>
          <w:rFonts w:ascii="Times New Roman" w:hAnsi="Times New Roman"/>
          <w:color w:val="002060"/>
          <w:szCs w:val="20"/>
        </w:rPr>
        <w:t>|30000</w:t>
      </w:r>
      <w:r w:rsidR="006F0ACD" w:rsidRPr="0070069F">
        <w:rPr>
          <w:rFonts w:ascii="Times New Roman" w:hAnsi="Times New Roman"/>
          <w:color w:val="002060"/>
          <w:szCs w:val="20"/>
        </w:rPr>
        <w:t>|: Lucro antes do IR em reais (R$ 30.000.000,00).</w:t>
      </w:r>
    </w:p>
    <w:p w:rsidR="006F0ACD" w:rsidRPr="0070069F" w:rsidRDefault="00054DB9" w:rsidP="006F0ACD">
      <w:pPr>
        <w:pStyle w:val="Corpodetexto"/>
        <w:ind w:firstLine="708"/>
        <w:rPr>
          <w:rFonts w:ascii="Times New Roman" w:hAnsi="Times New Roman"/>
          <w:color w:val="002060"/>
          <w:szCs w:val="20"/>
        </w:rPr>
      </w:pPr>
      <w:r w:rsidRPr="0070069F">
        <w:rPr>
          <w:rFonts w:ascii="Times New Roman" w:hAnsi="Times New Roman"/>
          <w:color w:val="002060"/>
          <w:szCs w:val="20"/>
        </w:rPr>
        <w:t xml:space="preserve">||: </w:t>
      </w:r>
      <w:r w:rsidR="006F0ACD" w:rsidRPr="0070069F">
        <w:rPr>
          <w:rFonts w:ascii="Times New Roman" w:hAnsi="Times New Roman"/>
          <w:color w:val="002060"/>
          <w:szCs w:val="20"/>
        </w:rPr>
        <w:t>IR pago em moeda estrangeira.</w:t>
      </w:r>
    </w:p>
    <w:p w:rsidR="006F0ACD" w:rsidRPr="0070069F" w:rsidRDefault="00AE1301" w:rsidP="006F0ACD">
      <w:pPr>
        <w:pStyle w:val="Corpodetexto"/>
        <w:ind w:firstLine="708"/>
        <w:rPr>
          <w:rFonts w:ascii="Times New Roman" w:hAnsi="Times New Roman"/>
          <w:color w:val="002060"/>
          <w:szCs w:val="20"/>
        </w:rPr>
      </w:pPr>
      <w:r w:rsidRPr="0070069F">
        <w:rPr>
          <w:rFonts w:ascii="Times New Roman" w:hAnsi="Times New Roman"/>
          <w:color w:val="002060"/>
          <w:szCs w:val="20"/>
        </w:rPr>
        <w:t>|4500</w:t>
      </w:r>
      <w:r w:rsidR="00054DB9" w:rsidRPr="0070069F">
        <w:rPr>
          <w:rFonts w:ascii="Times New Roman" w:hAnsi="Times New Roman"/>
          <w:color w:val="002060"/>
          <w:szCs w:val="20"/>
        </w:rPr>
        <w:t xml:space="preserve">|: </w:t>
      </w:r>
      <w:r w:rsidR="006F0ACD" w:rsidRPr="0070069F">
        <w:rPr>
          <w:rFonts w:ascii="Times New Roman" w:hAnsi="Times New Roman"/>
          <w:color w:val="002060"/>
          <w:szCs w:val="20"/>
        </w:rPr>
        <w:t>IR pago em reais (R$ 4.500.000,00).</w:t>
      </w:r>
    </w:p>
    <w:p w:rsidR="006F0ACD" w:rsidRPr="0070069F" w:rsidRDefault="00054DB9" w:rsidP="006F0ACD">
      <w:pPr>
        <w:pStyle w:val="Corpodetexto"/>
        <w:ind w:firstLine="708"/>
        <w:rPr>
          <w:rFonts w:ascii="Times New Roman" w:hAnsi="Times New Roman"/>
          <w:color w:val="002060"/>
          <w:szCs w:val="20"/>
        </w:rPr>
      </w:pPr>
      <w:r w:rsidRPr="0070069F">
        <w:rPr>
          <w:rFonts w:ascii="Times New Roman" w:hAnsi="Times New Roman"/>
          <w:color w:val="002060"/>
          <w:szCs w:val="20"/>
        </w:rPr>
        <w:t xml:space="preserve">||: </w:t>
      </w:r>
      <w:r w:rsidR="006F0ACD" w:rsidRPr="0070069F">
        <w:rPr>
          <w:rFonts w:ascii="Times New Roman" w:hAnsi="Times New Roman"/>
          <w:color w:val="002060"/>
          <w:szCs w:val="20"/>
        </w:rPr>
        <w:t>IR devido em moeda estrangeira.</w:t>
      </w:r>
    </w:p>
    <w:p w:rsidR="006F0ACD" w:rsidRPr="0070069F" w:rsidRDefault="00AE1301" w:rsidP="006F0ACD">
      <w:pPr>
        <w:pStyle w:val="Corpodetexto"/>
        <w:ind w:firstLine="708"/>
        <w:rPr>
          <w:rFonts w:ascii="Times New Roman" w:hAnsi="Times New Roman"/>
          <w:color w:val="002060"/>
          <w:szCs w:val="20"/>
        </w:rPr>
      </w:pPr>
      <w:r w:rsidRPr="0070069F">
        <w:rPr>
          <w:rFonts w:ascii="Times New Roman" w:hAnsi="Times New Roman"/>
          <w:color w:val="002060"/>
          <w:szCs w:val="20"/>
        </w:rPr>
        <w:t>|3000000</w:t>
      </w:r>
      <w:r w:rsidR="00054DB9" w:rsidRPr="0070069F">
        <w:rPr>
          <w:rFonts w:ascii="Times New Roman" w:hAnsi="Times New Roman"/>
          <w:color w:val="002060"/>
          <w:szCs w:val="20"/>
        </w:rPr>
        <w:t xml:space="preserve">|: </w:t>
      </w:r>
      <w:r w:rsidR="006F0ACD" w:rsidRPr="0070069F">
        <w:rPr>
          <w:rFonts w:ascii="Times New Roman" w:hAnsi="Times New Roman"/>
          <w:color w:val="002060"/>
          <w:szCs w:val="20"/>
        </w:rPr>
        <w:t>IR devido em reais (R$ 3.000.000,00).</w:t>
      </w:r>
    </w:p>
    <w:p w:rsidR="006F0ACD" w:rsidRPr="0070069F" w:rsidRDefault="00054DB9" w:rsidP="006F0ACD">
      <w:pPr>
        <w:pStyle w:val="Corpodetexto"/>
        <w:ind w:firstLine="708"/>
        <w:rPr>
          <w:rFonts w:ascii="Times New Roman" w:hAnsi="Times New Roman"/>
          <w:color w:val="002060"/>
          <w:szCs w:val="20"/>
        </w:rPr>
      </w:pPr>
      <w:r w:rsidRPr="0070069F">
        <w:rPr>
          <w:rFonts w:ascii="Times New Roman" w:hAnsi="Times New Roman"/>
          <w:color w:val="002060"/>
          <w:szCs w:val="20"/>
        </w:rPr>
        <w:t xml:space="preserve">||: </w:t>
      </w:r>
      <w:r w:rsidR="006F0ACD" w:rsidRPr="0070069F">
        <w:rPr>
          <w:rFonts w:ascii="Times New Roman" w:hAnsi="Times New Roman"/>
          <w:color w:val="002060"/>
          <w:szCs w:val="20"/>
        </w:rPr>
        <w:t>Capita</w:t>
      </w:r>
      <w:r w:rsidRPr="0070069F">
        <w:rPr>
          <w:rFonts w:ascii="Times New Roman" w:hAnsi="Times New Roman"/>
          <w:color w:val="002060"/>
          <w:szCs w:val="20"/>
        </w:rPr>
        <w:t>l</w:t>
      </w:r>
      <w:r w:rsidR="006F0ACD" w:rsidRPr="0070069F">
        <w:rPr>
          <w:rFonts w:ascii="Times New Roman" w:hAnsi="Times New Roman"/>
          <w:color w:val="002060"/>
          <w:szCs w:val="20"/>
        </w:rPr>
        <w:t xml:space="preserve"> social em moeda estrangeira.</w:t>
      </w:r>
    </w:p>
    <w:p w:rsidR="006F0ACD" w:rsidRPr="0070069F" w:rsidRDefault="00AE1301" w:rsidP="006F0ACD">
      <w:pPr>
        <w:pStyle w:val="Corpodetexto"/>
        <w:ind w:firstLine="708"/>
        <w:rPr>
          <w:rFonts w:ascii="Times New Roman" w:hAnsi="Times New Roman"/>
          <w:color w:val="002060"/>
          <w:szCs w:val="20"/>
        </w:rPr>
      </w:pPr>
      <w:r w:rsidRPr="0070069F">
        <w:rPr>
          <w:rFonts w:ascii="Times New Roman" w:hAnsi="Times New Roman"/>
          <w:color w:val="002060"/>
          <w:szCs w:val="20"/>
        </w:rPr>
        <w:t>|100000000</w:t>
      </w:r>
      <w:r w:rsidR="006F0ACD" w:rsidRPr="0070069F">
        <w:rPr>
          <w:rFonts w:ascii="Times New Roman" w:hAnsi="Times New Roman"/>
          <w:color w:val="002060"/>
          <w:szCs w:val="20"/>
        </w:rPr>
        <w:t>|: Capital Soc</w:t>
      </w:r>
      <w:r w:rsidR="00054DB9" w:rsidRPr="0070069F">
        <w:rPr>
          <w:rFonts w:ascii="Times New Roman" w:hAnsi="Times New Roman"/>
          <w:color w:val="002060"/>
          <w:szCs w:val="20"/>
        </w:rPr>
        <w:t xml:space="preserve">ial em </w:t>
      </w:r>
      <w:r w:rsidR="001B58FE" w:rsidRPr="0070069F">
        <w:rPr>
          <w:rFonts w:ascii="Times New Roman" w:hAnsi="Times New Roman"/>
          <w:color w:val="002060"/>
          <w:szCs w:val="20"/>
        </w:rPr>
        <w:t>reais</w:t>
      </w:r>
      <w:r w:rsidR="00054DB9" w:rsidRPr="0070069F">
        <w:rPr>
          <w:rFonts w:ascii="Times New Roman" w:hAnsi="Times New Roman"/>
          <w:color w:val="002060"/>
          <w:szCs w:val="20"/>
        </w:rPr>
        <w:t xml:space="preserve"> (R$ 100.000.000</w:t>
      </w:r>
      <w:r w:rsidR="006F0ACD" w:rsidRPr="0070069F">
        <w:rPr>
          <w:rFonts w:ascii="Times New Roman" w:hAnsi="Times New Roman"/>
          <w:color w:val="002060"/>
          <w:szCs w:val="20"/>
        </w:rPr>
        <w:t>,00).</w:t>
      </w:r>
    </w:p>
    <w:p w:rsidR="006F0ACD" w:rsidRPr="0070069F" w:rsidRDefault="00054DB9" w:rsidP="006F0ACD">
      <w:pPr>
        <w:pStyle w:val="Corpodetexto"/>
        <w:ind w:firstLine="708"/>
        <w:rPr>
          <w:rFonts w:ascii="Times New Roman" w:hAnsi="Times New Roman"/>
          <w:color w:val="002060"/>
          <w:szCs w:val="20"/>
        </w:rPr>
      </w:pPr>
      <w:r w:rsidRPr="0070069F">
        <w:rPr>
          <w:rFonts w:ascii="Times New Roman" w:hAnsi="Times New Roman"/>
          <w:color w:val="002060"/>
          <w:szCs w:val="20"/>
        </w:rPr>
        <w:t>||: Lucros acumulados em moeda estrangeira.</w:t>
      </w:r>
    </w:p>
    <w:p w:rsidR="00054DB9" w:rsidRPr="0070069F" w:rsidRDefault="00AE1301" w:rsidP="006F0ACD">
      <w:pPr>
        <w:pStyle w:val="Corpodetexto"/>
        <w:ind w:firstLine="708"/>
        <w:rPr>
          <w:rFonts w:ascii="Times New Roman" w:hAnsi="Times New Roman"/>
          <w:color w:val="002060"/>
          <w:szCs w:val="20"/>
        </w:rPr>
      </w:pPr>
      <w:r w:rsidRPr="0070069F">
        <w:rPr>
          <w:rFonts w:ascii="Times New Roman" w:hAnsi="Times New Roman"/>
          <w:color w:val="002060"/>
          <w:szCs w:val="20"/>
        </w:rPr>
        <w:t>|25000000</w:t>
      </w:r>
      <w:r w:rsidR="00054DB9" w:rsidRPr="0070069F">
        <w:rPr>
          <w:rFonts w:ascii="Times New Roman" w:hAnsi="Times New Roman"/>
          <w:color w:val="002060"/>
          <w:szCs w:val="20"/>
        </w:rPr>
        <w:t>|: Lucros acumulados em reais.</w:t>
      </w:r>
    </w:p>
    <w:p w:rsidR="00054DB9" w:rsidRPr="0070069F" w:rsidRDefault="00054DB9" w:rsidP="006F0ACD">
      <w:pPr>
        <w:pStyle w:val="Corpodetexto"/>
        <w:ind w:firstLine="708"/>
        <w:rPr>
          <w:rFonts w:ascii="Times New Roman" w:hAnsi="Times New Roman"/>
          <w:color w:val="002060"/>
          <w:szCs w:val="20"/>
        </w:rPr>
      </w:pPr>
      <w:r w:rsidRPr="0070069F">
        <w:rPr>
          <w:rFonts w:ascii="Times New Roman" w:hAnsi="Times New Roman"/>
          <w:color w:val="002060"/>
          <w:szCs w:val="20"/>
        </w:rPr>
        <w:t>||: Ativos tangíveis em moeda estrangeira.</w:t>
      </w:r>
    </w:p>
    <w:p w:rsidR="00054DB9" w:rsidRPr="0070069F" w:rsidRDefault="00AE1301" w:rsidP="006F0ACD">
      <w:pPr>
        <w:pStyle w:val="Corpodetexto"/>
        <w:ind w:firstLine="708"/>
        <w:rPr>
          <w:rFonts w:ascii="Times New Roman" w:hAnsi="Times New Roman"/>
          <w:color w:val="002060"/>
          <w:szCs w:val="20"/>
        </w:rPr>
      </w:pPr>
      <w:r w:rsidRPr="0070069F">
        <w:rPr>
          <w:rFonts w:ascii="Times New Roman" w:hAnsi="Times New Roman"/>
          <w:color w:val="002060"/>
          <w:szCs w:val="20"/>
        </w:rPr>
        <w:t>|50000000</w:t>
      </w:r>
      <w:r w:rsidR="00054DB9" w:rsidRPr="0070069F">
        <w:rPr>
          <w:rFonts w:ascii="Times New Roman" w:hAnsi="Times New Roman"/>
          <w:color w:val="002060"/>
          <w:szCs w:val="20"/>
        </w:rPr>
        <w:t>|: Ativos tangíveis em reais.</w:t>
      </w:r>
    </w:p>
    <w:p w:rsidR="006F0ACD" w:rsidRPr="0070069F" w:rsidRDefault="00054DB9" w:rsidP="006F0ACD">
      <w:pPr>
        <w:pStyle w:val="Corpodetexto"/>
        <w:ind w:firstLine="708"/>
        <w:rPr>
          <w:rFonts w:ascii="Times New Roman" w:hAnsi="Times New Roman"/>
          <w:color w:val="002060"/>
          <w:szCs w:val="20"/>
        </w:rPr>
      </w:pPr>
      <w:r w:rsidRPr="0070069F">
        <w:rPr>
          <w:rFonts w:ascii="Times New Roman" w:hAnsi="Times New Roman"/>
          <w:color w:val="002060"/>
          <w:szCs w:val="20"/>
        </w:rPr>
        <w:t>|2000|: Número de empregados (2.000).</w:t>
      </w:r>
      <w:r w:rsidR="006F0ACD" w:rsidRPr="0070069F">
        <w:rPr>
          <w:rFonts w:ascii="Times New Roman" w:hAnsi="Times New Roman"/>
          <w:color w:val="002060"/>
          <w:szCs w:val="20"/>
        </w:rPr>
        <w:t xml:space="preserve"> </w:t>
      </w:r>
    </w:p>
    <w:p w:rsidR="006F0ACD" w:rsidRPr="0070069F" w:rsidRDefault="006F0ACD" w:rsidP="006F0ACD">
      <w:pPr>
        <w:pStyle w:val="Corpodetexto"/>
        <w:ind w:firstLine="708"/>
        <w:rPr>
          <w:rFonts w:ascii="Times New Roman" w:hAnsi="Times New Roman"/>
          <w:color w:val="002060"/>
          <w:szCs w:val="20"/>
        </w:rPr>
      </w:pPr>
    </w:p>
    <w:p w:rsidR="006F0ACD" w:rsidRPr="0070069F" w:rsidRDefault="006F0ACD" w:rsidP="006F0ACD">
      <w:pPr>
        <w:pStyle w:val="Corpodetexto"/>
        <w:ind w:firstLine="708"/>
        <w:rPr>
          <w:rFonts w:ascii="Times New Roman" w:hAnsi="Times New Roman"/>
          <w:color w:val="002060"/>
          <w:szCs w:val="20"/>
        </w:rPr>
      </w:pPr>
    </w:p>
    <w:p w:rsidR="00114E48" w:rsidRPr="0070069F" w:rsidRDefault="00114E48">
      <w:pPr>
        <w:spacing w:after="200" w:line="276" w:lineRule="auto"/>
        <w:rPr>
          <w:color w:val="0000FF"/>
          <w:szCs w:val="20"/>
        </w:rPr>
      </w:pPr>
    </w:p>
    <w:p w:rsidR="00114E48" w:rsidRPr="0070069F" w:rsidRDefault="00114E48">
      <w:pPr>
        <w:spacing w:after="200" w:line="276" w:lineRule="auto"/>
        <w:rPr>
          <w:color w:val="0000FF"/>
          <w:szCs w:val="20"/>
        </w:rPr>
      </w:pPr>
    </w:p>
    <w:p w:rsidR="00321880" w:rsidRPr="0070069F" w:rsidRDefault="00321880">
      <w:pPr>
        <w:spacing w:after="200" w:line="276" w:lineRule="auto"/>
        <w:rPr>
          <w:b/>
          <w:bCs/>
          <w:color w:val="0000FF"/>
          <w:szCs w:val="20"/>
        </w:rPr>
      </w:pPr>
      <w:r w:rsidRPr="0070069F">
        <w:rPr>
          <w:color w:val="0000FF"/>
          <w:szCs w:val="20"/>
        </w:rPr>
        <w:br w:type="page"/>
      </w:r>
    </w:p>
    <w:p w:rsidR="00DE2FC8" w:rsidRPr="0070069F" w:rsidRDefault="00DE2FC8" w:rsidP="00867F54">
      <w:pPr>
        <w:pStyle w:val="Ttulo4"/>
      </w:pPr>
      <w:bookmarkStart w:id="384" w:name="_Toc479713788"/>
      <w:r w:rsidRPr="0070069F">
        <w:lastRenderedPageBreak/>
        <w:t>Registro W250: Declaração País-a-País – Entidades Integrantes</w:t>
      </w:r>
      <w:bookmarkEnd w:id="384"/>
    </w:p>
    <w:p w:rsidR="00DE2FC8" w:rsidRPr="0070069F" w:rsidRDefault="00DE2FC8" w:rsidP="00DE2FC8"/>
    <w:p w:rsidR="00F46979" w:rsidRDefault="00F46979" w:rsidP="00F46979">
      <w:pPr>
        <w:ind w:firstLine="708"/>
        <w:jc w:val="both"/>
        <w:rPr>
          <w:rFonts w:cs="Times New Roman"/>
        </w:rPr>
      </w:pPr>
      <w:r>
        <w:rPr>
          <w:rFonts w:cs="Times New Roman"/>
          <w:highlight w:val="yellow"/>
        </w:rPr>
        <w:t>Neste registro deve ser apresenta a identificação de todas as entidades integrantes do grupo multinacional (incluindo a própria entidade declarante da DPP</w:t>
      </w:r>
      <w:r w:rsidRPr="00777129">
        <w:rPr>
          <w:rFonts w:cs="Times New Roman"/>
          <w:highlight w:val="yellow"/>
        </w:rPr>
        <w:t>), por jurisdição (conforme as jurisdições indicadas no Registro W200 e a situação de entidades sem jurisdição de residência), e das atividades econômicas por elas desempenhadas.</w:t>
      </w:r>
      <w:r>
        <w:rPr>
          <w:rFonts w:cs="Times New Roman"/>
        </w:rPr>
        <w:t xml:space="preserve"> </w:t>
      </w:r>
    </w:p>
    <w:p w:rsidR="00F46979" w:rsidRDefault="00F46979" w:rsidP="00F46979">
      <w:pPr>
        <w:rPr>
          <w:rFonts w:cs="Times New Roman"/>
        </w:rPr>
      </w:pPr>
    </w:p>
    <w:p w:rsidR="00F46979" w:rsidRDefault="00F46979" w:rsidP="00F46979">
      <w:pPr>
        <w:ind w:firstLine="708"/>
        <w:jc w:val="both"/>
        <w:rPr>
          <w:rFonts w:cs="Times New Roman"/>
        </w:rPr>
      </w:pPr>
      <w:r>
        <w:rPr>
          <w:rFonts w:cs="Times New Roman"/>
        </w:rPr>
        <w:t xml:space="preserve">A entidade declarante deve indicar a(s) principal(is) atividade(s) desempenhada(s) pela entidade integrante reportada nos campos 13 a 25 do registro W250, assinalando com “Sim” ao menos um campo dentre as opções disponíveis. As atividades que não sejam desempenhadas pela entidade integrante devem ser preenchidas com “Não”. </w:t>
      </w:r>
    </w:p>
    <w:p w:rsidR="00F46979" w:rsidRDefault="00F46979" w:rsidP="00F46979">
      <w:pPr>
        <w:jc w:val="both"/>
        <w:rPr>
          <w:rFonts w:cs="Times New Roman"/>
        </w:rPr>
      </w:pPr>
    </w:p>
    <w:p w:rsidR="00F46979" w:rsidRDefault="00F46979" w:rsidP="00F46979">
      <w:pPr>
        <w:ind w:firstLine="708"/>
        <w:jc w:val="both"/>
        <w:rPr>
          <w:rFonts w:cs="Times New Roman"/>
        </w:rPr>
      </w:pPr>
      <w:r>
        <w:rPr>
          <w:rFonts w:cs="Times New Roman"/>
        </w:rPr>
        <w:t>O campo 25 (“Outros”) somente deve ser preenchido com “Sim” caso as atividades desempenhadas pela entidade integrantes reportadas não possam ser adequadamente informadas dentre as opções disponíveis nos campos anteriores, ou a entidade exerça outra(s) atividades(s) não especificada(s) além da(s) já indicada(s) dentre as opções disponíveis nos campos anteriores. Caso o campo 25 seja assinalado com “Sim”, a(s) atividade(s) desempenhada(s) deve(m) ser descrita(s), em texto livre, no campo 26.</w:t>
      </w:r>
    </w:p>
    <w:p w:rsidR="00220676" w:rsidRDefault="00220676" w:rsidP="00220676">
      <w:pPr>
        <w:jc w:val="both"/>
        <w:rPr>
          <w:bCs/>
        </w:rPr>
      </w:pPr>
    </w:p>
    <w:p w:rsidR="00E53726" w:rsidRPr="0070069F" w:rsidRDefault="00B35FA3" w:rsidP="00E53726">
      <w:pPr>
        <w:jc w:val="center"/>
        <w:rPr>
          <w:bCs/>
        </w:rPr>
      </w:pPr>
      <w:r>
        <w:rPr>
          <w:bCs/>
        </w:rPr>
        <w:object w:dxaOrig="15000" w:dyaOrig="6405">
          <v:shape id="_x0000_i1879" type="#_x0000_t75" style="width:750pt;height:320.25pt" o:ole="">
            <v:imagedata r:id="rId627" o:title=""/>
          </v:shape>
          <o:OLEObject Type="Link" ProgID="Excel.Sheet.12" ShapeID="_x0000_i1879" DrawAspect="Content" r:id="rId628" UpdateMode="Always">
            <o:LinkType>EnhancedMetaFile</o:LinkType>
            <o:LockedField>false</o:LockedField>
          </o:OLEObject>
        </w:object>
      </w:r>
    </w:p>
    <w:p w:rsidR="00E85EBC" w:rsidRDefault="00E85EBC" w:rsidP="00E53726">
      <w:pPr>
        <w:spacing w:after="200" w:line="276" w:lineRule="auto"/>
        <w:rPr>
          <w:bCs/>
        </w:rPr>
      </w:pPr>
    </w:p>
    <w:p w:rsidR="00E53726" w:rsidRPr="0070069F" w:rsidRDefault="00B35FA3" w:rsidP="00E53726">
      <w:pPr>
        <w:spacing w:after="200" w:line="276" w:lineRule="auto"/>
        <w:jc w:val="center"/>
        <w:rPr>
          <w:color w:val="0000FF"/>
          <w:szCs w:val="20"/>
        </w:rPr>
      </w:pPr>
      <w:r>
        <w:rPr>
          <w:bCs/>
        </w:rPr>
        <w:object w:dxaOrig="15000" w:dyaOrig="8400">
          <v:shape id="_x0000_i1881" type="#_x0000_t75" style="width:750pt;height:420pt" o:ole="">
            <v:imagedata r:id="rId629" o:title=""/>
          </v:shape>
          <o:OLEObject Type="Link" ProgID="Excel.Sheet.12" ShapeID="_x0000_i1881" DrawAspect="Content" r:id="rId630" UpdateMode="Always">
            <o:LinkType>EnhancedMetaFile</o:LinkType>
            <o:LockedField>false</o:LockedField>
          </o:OLEObject>
        </w:object>
      </w:r>
    </w:p>
    <w:p w:rsidR="00220676" w:rsidRPr="0070069F" w:rsidRDefault="00220676">
      <w:pPr>
        <w:spacing w:after="200" w:line="276" w:lineRule="auto"/>
        <w:rPr>
          <w:color w:val="0000FF"/>
          <w:szCs w:val="20"/>
        </w:rPr>
      </w:pPr>
    </w:p>
    <w:p w:rsidR="00220676" w:rsidRDefault="00B35FA3" w:rsidP="00D41F9D">
      <w:pPr>
        <w:spacing w:after="200" w:line="276" w:lineRule="auto"/>
        <w:jc w:val="center"/>
        <w:rPr>
          <w:color w:val="0000FF"/>
          <w:szCs w:val="20"/>
        </w:rPr>
      </w:pPr>
      <w:r>
        <w:rPr>
          <w:color w:val="0000FF"/>
          <w:szCs w:val="20"/>
        </w:rPr>
        <w:object w:dxaOrig="15000" w:dyaOrig="9375">
          <v:shape id="_x0000_i1883" type="#_x0000_t75" style="width:750pt;height:468.75pt" o:ole="">
            <v:imagedata r:id="rId631" o:title=""/>
          </v:shape>
          <o:OLEObject Type="Link" ProgID="Excel.Sheet.12" ShapeID="_x0000_i1883" DrawAspect="Content" r:id="rId632" UpdateMode="Always">
            <o:LinkType>EnhancedMetaFile</o:LinkType>
            <o:LockedField>false</o:LockedField>
          </o:OLEObject>
        </w:object>
      </w:r>
    </w:p>
    <w:p w:rsidR="00D41F9D" w:rsidRPr="0070069F" w:rsidRDefault="00B35FA3" w:rsidP="00D41F9D">
      <w:pPr>
        <w:spacing w:after="200" w:line="276" w:lineRule="auto"/>
        <w:jc w:val="center"/>
        <w:rPr>
          <w:color w:val="0000FF"/>
          <w:szCs w:val="20"/>
        </w:rPr>
      </w:pPr>
      <w:r>
        <w:rPr>
          <w:color w:val="0000FF"/>
          <w:szCs w:val="20"/>
        </w:rPr>
        <w:object w:dxaOrig="15000" w:dyaOrig="5415">
          <v:shape id="_x0000_i1885" type="#_x0000_t75" style="width:750pt;height:270.75pt" o:ole="">
            <v:imagedata r:id="rId633" o:title=""/>
          </v:shape>
          <o:OLEObject Type="Link" ProgID="Excel.Sheet.12" ShapeID="_x0000_i1885" DrawAspect="Content" r:id="rId634" UpdateMode="Always">
            <o:LinkType>EnhancedMetaFile</o:LinkType>
            <o:LockedField>false</o:LockedField>
          </o:OLEObject>
        </w:object>
      </w:r>
    </w:p>
    <w:p w:rsidR="00220676" w:rsidRPr="0070069F" w:rsidRDefault="00220676">
      <w:pPr>
        <w:spacing w:after="200" w:line="276" w:lineRule="auto"/>
        <w:rPr>
          <w:color w:val="0000FF"/>
          <w:szCs w:val="20"/>
        </w:rPr>
      </w:pPr>
    </w:p>
    <w:p w:rsidR="00220676" w:rsidRPr="0070069F" w:rsidRDefault="00220676" w:rsidP="00220676">
      <w:pPr>
        <w:spacing w:after="200" w:line="276" w:lineRule="auto"/>
        <w:jc w:val="center"/>
        <w:rPr>
          <w:color w:val="0000FF"/>
          <w:szCs w:val="20"/>
        </w:rPr>
      </w:pPr>
    </w:p>
    <w:p w:rsidR="00DE2FC8" w:rsidRPr="0070069F" w:rsidRDefault="00DE2FC8" w:rsidP="00F8177E">
      <w:pPr>
        <w:spacing w:after="200" w:line="276" w:lineRule="auto"/>
        <w:jc w:val="center"/>
        <w:rPr>
          <w:color w:val="0000FF"/>
          <w:szCs w:val="20"/>
        </w:rPr>
      </w:pPr>
    </w:p>
    <w:p w:rsidR="0070069F" w:rsidRDefault="0070069F">
      <w:pPr>
        <w:spacing w:after="200" w:line="276" w:lineRule="auto"/>
        <w:rPr>
          <w:b/>
          <w:szCs w:val="20"/>
        </w:rPr>
      </w:pPr>
      <w:r>
        <w:br w:type="page"/>
      </w:r>
    </w:p>
    <w:p w:rsidR="00F46979" w:rsidRDefault="00F46979" w:rsidP="00F03063">
      <w:pPr>
        <w:pStyle w:val="PSDS-MarcadoresNivel2"/>
        <w:numPr>
          <w:ilvl w:val="0"/>
          <w:numId w:val="0"/>
        </w:numPr>
        <w:rPr>
          <w:rFonts w:ascii="Times New Roman" w:hAnsi="Times New Roman" w:cs="Times New Roman"/>
        </w:rPr>
      </w:pPr>
      <w:r>
        <w:rPr>
          <w:rFonts w:ascii="Times New Roman" w:hAnsi="Times New Roman" w:cs="Times New Roman"/>
        </w:rPr>
        <w:lastRenderedPageBreak/>
        <w:t xml:space="preserve">I – Regras de Validação do Registro: </w:t>
      </w:r>
    </w:p>
    <w:p w:rsidR="00F46979" w:rsidRDefault="00F46979" w:rsidP="00F03063">
      <w:pPr>
        <w:pStyle w:val="PSDS-MarcadoresNivel2"/>
        <w:numPr>
          <w:ilvl w:val="0"/>
          <w:numId w:val="0"/>
        </w:numPr>
        <w:rPr>
          <w:rFonts w:ascii="Times New Roman" w:hAnsi="Times New Roman" w:cs="Times New Roman"/>
          <w:b w:val="0"/>
          <w:bCs/>
        </w:rPr>
      </w:pPr>
    </w:p>
    <w:p w:rsidR="00F46979" w:rsidRDefault="00F46979" w:rsidP="00F03063">
      <w:pPr>
        <w:pStyle w:val="PSDS-MarcadoresNivel2"/>
        <w:numPr>
          <w:ilvl w:val="0"/>
          <w:numId w:val="0"/>
        </w:numPr>
        <w:ind w:left="708"/>
        <w:rPr>
          <w:rFonts w:ascii="Times New Roman" w:hAnsi="Times New Roman" w:cs="Times New Roman"/>
          <w:b w:val="0"/>
          <w:bCs/>
        </w:rPr>
      </w:pPr>
      <w:r>
        <w:rPr>
          <w:rFonts w:ascii="Times New Roman" w:hAnsi="Times New Roman" w:cs="Times New Roman"/>
        </w:rPr>
        <w:t xml:space="preserve">REGRA_DECLARANTE_INTEGRANTE_PAIS_A_PAIS: </w:t>
      </w:r>
      <w:r>
        <w:rPr>
          <w:rFonts w:ascii="Times New Roman" w:hAnsi="Times New Roman" w:cs="Times New Roman"/>
          <w:b w:val="0"/>
        </w:rPr>
        <w:t>Deve existir, pelo menos, um registro W250, com as oito primeiras posições do campo W250.TIN igual às oito primeiras posições do campo 0000.CNPJ.</w:t>
      </w:r>
    </w:p>
    <w:p w:rsidR="00F46979" w:rsidRDefault="00F46979" w:rsidP="00F03063">
      <w:pPr>
        <w:pStyle w:val="PSDS-MarcadoresNivel2"/>
        <w:numPr>
          <w:ilvl w:val="0"/>
          <w:numId w:val="0"/>
        </w:numPr>
        <w:ind w:left="708"/>
        <w:rPr>
          <w:rFonts w:ascii="Times New Roman" w:hAnsi="Times New Roman" w:cs="Times New Roman"/>
          <w:b w:val="0"/>
          <w:bCs/>
        </w:rPr>
      </w:pPr>
    </w:p>
    <w:p w:rsidR="00F46979" w:rsidRDefault="00F46979" w:rsidP="00F03063">
      <w:pPr>
        <w:pStyle w:val="PSDS-MarcadoresNivel2"/>
        <w:numPr>
          <w:ilvl w:val="0"/>
          <w:numId w:val="0"/>
        </w:numPr>
        <w:ind w:left="708"/>
        <w:rPr>
          <w:rFonts w:ascii="Times New Roman" w:hAnsi="Times New Roman" w:cs="Times New Roman"/>
        </w:rPr>
      </w:pPr>
      <w:r>
        <w:rPr>
          <w:rFonts w:ascii="Times New Roman" w:hAnsi="Times New Roman" w:cs="Times New Roman"/>
        </w:rPr>
        <w:t>REGRA_OBRIGATORIO_CAMPOS_W250</w:t>
      </w:r>
      <w:r>
        <w:rPr>
          <w:rFonts w:ascii="Times New Roman" w:hAnsi="Times New Roman" w:cs="Times New Roman"/>
          <w:b w:val="0"/>
        </w:rPr>
        <w:t>: Pelo menos um dos campos 13 a 26 deve estar preenchido com o "S". Se a regra não for cumprida, o sistema gera um erro. </w:t>
      </w:r>
    </w:p>
    <w:p w:rsidR="00F46979" w:rsidRDefault="00F46979" w:rsidP="00F03063">
      <w:pPr>
        <w:pStyle w:val="PSDS-MarcadoresNivel2"/>
        <w:numPr>
          <w:ilvl w:val="0"/>
          <w:numId w:val="0"/>
        </w:numPr>
        <w:rPr>
          <w:rFonts w:ascii="Times New Roman" w:hAnsi="Times New Roman" w:cs="Times New Roman"/>
        </w:rPr>
      </w:pPr>
    </w:p>
    <w:p w:rsidR="00F46979" w:rsidRDefault="00F46979" w:rsidP="00F46979">
      <w:pPr>
        <w:rPr>
          <w:rFonts w:cs="Times New Roman"/>
          <w:b/>
          <w:bCs/>
          <w:lang w:val="pt-PT"/>
        </w:rPr>
      </w:pPr>
      <w:r>
        <w:rPr>
          <w:rFonts w:cs="Times New Roman"/>
          <w:b/>
          <w:bCs/>
          <w:lang w:val="pt-PT"/>
        </w:rPr>
        <w:t>II – Regras de Validação de Campos:</w:t>
      </w:r>
    </w:p>
    <w:p w:rsidR="00F46979" w:rsidRDefault="00F46979" w:rsidP="00F46979">
      <w:pPr>
        <w:rPr>
          <w:rFonts w:cs="Times New Roman"/>
          <w:b/>
          <w:bCs/>
          <w:lang w:val="pt-PT"/>
        </w:rPr>
      </w:pPr>
    </w:p>
    <w:tbl>
      <w:tblPr>
        <w:tblW w:w="15611"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85"/>
        <w:gridCol w:w="3000"/>
        <w:gridCol w:w="11165"/>
        <w:gridCol w:w="961"/>
      </w:tblGrid>
      <w:tr w:rsidR="00F46979" w:rsidTr="00F46979">
        <w:trPr>
          <w:jc w:val="center"/>
        </w:trPr>
        <w:tc>
          <w:tcPr>
            <w:tcW w:w="485" w:type="dxa"/>
            <w:tcBorders>
              <w:top w:val="single" w:sz="6" w:space="0" w:color="auto"/>
              <w:bottom w:val="single" w:sz="6" w:space="0" w:color="auto"/>
              <w:right w:val="single" w:sz="6" w:space="0" w:color="auto"/>
            </w:tcBorders>
            <w:shd w:val="pct10" w:color="auto" w:fill="FFFFFF"/>
          </w:tcPr>
          <w:p w:rsidR="00F46979" w:rsidRDefault="00F46979" w:rsidP="00F46979">
            <w:pPr>
              <w:pStyle w:val="PSDS-CorpodeTexto0"/>
              <w:jc w:val="center"/>
              <w:rPr>
                <w:rFonts w:ascii="Times New Roman" w:hAnsi="Times New Roman" w:cs="Times New Roman"/>
                <w:b/>
                <w:bCs/>
              </w:rPr>
            </w:pPr>
            <w:r>
              <w:rPr>
                <w:rFonts w:ascii="Times New Roman" w:hAnsi="Times New Roman" w:cs="Times New Roman"/>
                <w:b/>
                <w:bCs/>
              </w:rPr>
              <w:t>Nº</w:t>
            </w:r>
          </w:p>
        </w:tc>
        <w:tc>
          <w:tcPr>
            <w:tcW w:w="3000" w:type="dxa"/>
            <w:tcBorders>
              <w:top w:val="single" w:sz="6" w:space="0" w:color="auto"/>
              <w:left w:val="single" w:sz="6" w:space="0" w:color="auto"/>
              <w:bottom w:val="single" w:sz="6" w:space="0" w:color="auto"/>
              <w:right w:val="single" w:sz="6" w:space="0" w:color="auto"/>
            </w:tcBorders>
            <w:shd w:val="pct10" w:color="auto" w:fill="FFFFFF"/>
          </w:tcPr>
          <w:p w:rsidR="00F46979" w:rsidRDefault="00F46979" w:rsidP="00F46979">
            <w:pPr>
              <w:pStyle w:val="PSDS-CorpodeTexto0"/>
              <w:jc w:val="center"/>
              <w:rPr>
                <w:rFonts w:ascii="Times New Roman" w:hAnsi="Times New Roman" w:cs="Times New Roman"/>
                <w:b/>
                <w:bCs/>
              </w:rPr>
            </w:pPr>
            <w:r>
              <w:rPr>
                <w:rFonts w:ascii="Times New Roman" w:hAnsi="Times New Roman" w:cs="Times New Roman"/>
                <w:b/>
                <w:bCs/>
              </w:rPr>
              <w:t>Campo</w:t>
            </w:r>
          </w:p>
        </w:tc>
        <w:tc>
          <w:tcPr>
            <w:tcW w:w="11165" w:type="dxa"/>
            <w:tcBorders>
              <w:top w:val="single" w:sz="6" w:space="0" w:color="auto"/>
              <w:left w:val="single" w:sz="6" w:space="0" w:color="auto"/>
              <w:bottom w:val="single" w:sz="6" w:space="0" w:color="auto"/>
              <w:right w:val="single" w:sz="6" w:space="0" w:color="auto"/>
            </w:tcBorders>
            <w:shd w:val="pct10" w:color="auto" w:fill="FFFFFF"/>
          </w:tcPr>
          <w:p w:rsidR="00F46979" w:rsidRDefault="00F46979" w:rsidP="00F46979">
            <w:pPr>
              <w:pStyle w:val="PSDS-CorpodeTexto0"/>
              <w:jc w:val="center"/>
              <w:rPr>
                <w:rFonts w:ascii="Times New Roman" w:hAnsi="Times New Roman" w:cs="Times New Roman"/>
                <w:b/>
                <w:bCs/>
              </w:rPr>
            </w:pPr>
            <w:r>
              <w:rPr>
                <w:rFonts w:ascii="Times New Roman" w:hAnsi="Times New Roman" w:cs="Times New Roman"/>
                <w:b/>
                <w:bCs/>
              </w:rPr>
              <w:t>Regras de Validação do Campo</w:t>
            </w:r>
          </w:p>
        </w:tc>
        <w:tc>
          <w:tcPr>
            <w:tcW w:w="961" w:type="dxa"/>
            <w:tcBorders>
              <w:top w:val="single" w:sz="6" w:space="0" w:color="auto"/>
              <w:left w:val="single" w:sz="6" w:space="0" w:color="auto"/>
              <w:bottom w:val="single" w:sz="6" w:space="0" w:color="auto"/>
            </w:tcBorders>
            <w:shd w:val="pct10" w:color="auto" w:fill="FFFFFF"/>
          </w:tcPr>
          <w:p w:rsidR="00F46979" w:rsidRDefault="00F46979" w:rsidP="00F46979">
            <w:pPr>
              <w:pStyle w:val="PSDS-CorpodeTexto0"/>
              <w:jc w:val="center"/>
              <w:rPr>
                <w:rFonts w:ascii="Times New Roman" w:hAnsi="Times New Roman" w:cs="Times New Roman"/>
                <w:b/>
                <w:bCs/>
              </w:rPr>
            </w:pPr>
            <w:r>
              <w:rPr>
                <w:rFonts w:ascii="Times New Roman" w:hAnsi="Times New Roman" w:cs="Times New Roman"/>
                <w:b/>
                <w:bCs/>
              </w:rPr>
              <w:t>Tipo</w:t>
            </w:r>
          </w:p>
        </w:tc>
      </w:tr>
      <w:tr w:rsidR="00F46979" w:rsidTr="00F46979">
        <w:trPr>
          <w:jc w:val="center"/>
        </w:trPr>
        <w:tc>
          <w:tcPr>
            <w:tcW w:w="485" w:type="dxa"/>
            <w:tcBorders>
              <w:top w:val="single" w:sz="6" w:space="0" w:color="auto"/>
              <w:bottom w:val="single" w:sz="6" w:space="0" w:color="auto"/>
              <w:right w:val="single" w:sz="6" w:space="0" w:color="auto"/>
            </w:tcBorders>
          </w:tcPr>
          <w:p w:rsidR="00F46979" w:rsidRDefault="00F46979" w:rsidP="00F46979">
            <w:pPr>
              <w:pStyle w:val="PSDS-CorpodeTexto0"/>
              <w:suppressAutoHyphens w:val="0"/>
              <w:rPr>
                <w:rFonts w:ascii="Times New Roman" w:hAnsi="Times New Roman" w:cs="Times New Roman"/>
                <w:b/>
                <w:bCs/>
                <w:lang w:val="pt-PT"/>
              </w:rPr>
            </w:pPr>
            <w:r>
              <w:rPr>
                <w:rFonts w:ascii="Times New Roman" w:hAnsi="Times New Roman" w:cs="Times New Roman"/>
                <w:b/>
                <w:bCs/>
                <w:lang w:val="pt-PT"/>
              </w:rPr>
              <w:t>4</w:t>
            </w:r>
          </w:p>
        </w:tc>
        <w:tc>
          <w:tcPr>
            <w:tcW w:w="3000" w:type="dxa"/>
            <w:tcBorders>
              <w:top w:val="single" w:sz="6" w:space="0" w:color="auto"/>
              <w:left w:val="single" w:sz="6" w:space="0" w:color="auto"/>
              <w:bottom w:val="single" w:sz="6" w:space="0" w:color="auto"/>
              <w:right w:val="single" w:sz="6" w:space="0" w:color="auto"/>
            </w:tcBorders>
          </w:tcPr>
          <w:p w:rsidR="00F46979" w:rsidRDefault="00F46979" w:rsidP="00F46979">
            <w:pPr>
              <w:pStyle w:val="PSDS-CorpodeTexto0"/>
              <w:rPr>
                <w:rFonts w:ascii="Times New Roman" w:hAnsi="Times New Roman" w:cs="Times New Roman"/>
              </w:rPr>
            </w:pPr>
            <w:r>
              <w:rPr>
                <w:rFonts w:ascii="Times New Roman" w:hAnsi="Times New Roman" w:cs="Times New Roman"/>
              </w:rPr>
              <w:t>TIN</w:t>
            </w:r>
          </w:p>
        </w:tc>
        <w:tc>
          <w:tcPr>
            <w:tcW w:w="11165" w:type="dxa"/>
            <w:tcBorders>
              <w:top w:val="single" w:sz="6" w:space="0" w:color="auto"/>
              <w:left w:val="single" w:sz="6" w:space="0" w:color="auto"/>
              <w:bottom w:val="single" w:sz="6" w:space="0" w:color="auto"/>
              <w:right w:val="single" w:sz="6" w:space="0" w:color="auto"/>
            </w:tcBorders>
          </w:tcPr>
          <w:p w:rsidR="00F46979" w:rsidRDefault="00F46979" w:rsidP="00F46979">
            <w:pPr>
              <w:pStyle w:val="Corpodetexto"/>
              <w:rPr>
                <w:rFonts w:ascii="Times New Roman" w:hAnsi="Times New Roman" w:cs="Times New Roman"/>
              </w:rPr>
            </w:pPr>
            <w:r>
              <w:rPr>
                <w:rFonts w:ascii="Times New Roman" w:hAnsi="Times New Roman" w:cs="Times New Roman"/>
                <w:b/>
                <w:bCs/>
              </w:rPr>
              <w:t xml:space="preserve">REGRA_TIN_UNICO: </w:t>
            </w:r>
            <w:r>
              <w:rPr>
                <w:rFonts w:ascii="Times New Roman" w:hAnsi="Times New Roman" w:cs="Times New Roman"/>
              </w:rPr>
              <w:t>Verifica se existe somente um registro W250 com o TIN informado em W250.TIN. A regra não é executada caso W250.TIN seja igual a “NOTIN”.</w:t>
            </w:r>
          </w:p>
          <w:p w:rsidR="00F46979" w:rsidRDefault="00F46979" w:rsidP="00F46979">
            <w:pPr>
              <w:pStyle w:val="Corpodetexto"/>
              <w:rPr>
                <w:rFonts w:ascii="Times New Roman" w:hAnsi="Times New Roman" w:cs="Times New Roman"/>
              </w:rPr>
            </w:pPr>
            <w:r>
              <w:rPr>
                <w:rFonts w:ascii="Arial" w:hAnsi="Arial" w:cs="Arial"/>
                <w:color w:val="222222"/>
                <w:sz w:val="19"/>
                <w:szCs w:val="19"/>
                <w:shd w:val="clear" w:color="auto" w:fill="FFFFFF"/>
                <w:lang w:eastAsia="pt-BR"/>
              </w:rPr>
              <w:br/>
            </w:r>
            <w:r>
              <w:rPr>
                <w:rFonts w:ascii="Times New Roman" w:hAnsi="Times New Roman" w:cs="Times New Roman"/>
                <w:b/>
                <w:bCs/>
              </w:rPr>
              <w:t xml:space="preserve">REGRA_VALIDA_TIN: </w:t>
            </w:r>
            <w:r>
              <w:rPr>
                <w:rFonts w:ascii="Times New Roman" w:hAnsi="Times New Roman" w:cs="Times New Roman"/>
              </w:rPr>
              <w:t>Verifica, quando W250.JURISDICAO_TIN for igual a “BR” (Brasil), se o campo W250.TIN está preenchido com um CNPJ (aplica a REGRA_VALIDA_CNPJ: Verifica se o CNPJ informado é válido).</w:t>
            </w:r>
          </w:p>
        </w:tc>
        <w:tc>
          <w:tcPr>
            <w:tcW w:w="961" w:type="dxa"/>
            <w:tcBorders>
              <w:top w:val="single" w:sz="6" w:space="0" w:color="auto"/>
              <w:left w:val="single" w:sz="6" w:space="0" w:color="auto"/>
              <w:bottom w:val="single" w:sz="6" w:space="0" w:color="auto"/>
            </w:tcBorders>
          </w:tcPr>
          <w:p w:rsidR="00F46979" w:rsidRDefault="00F46979" w:rsidP="00F46979">
            <w:pPr>
              <w:pStyle w:val="PSDS-CorpodeTexto0"/>
              <w:rPr>
                <w:rFonts w:ascii="Times New Roman" w:hAnsi="Times New Roman" w:cs="Times New Roman"/>
              </w:rPr>
            </w:pPr>
            <w:r>
              <w:rPr>
                <w:rFonts w:ascii="Times New Roman" w:hAnsi="Times New Roman" w:cs="Times New Roman"/>
              </w:rPr>
              <w:t>Erro</w:t>
            </w: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r>
              <w:rPr>
                <w:rFonts w:ascii="Times New Roman" w:hAnsi="Times New Roman" w:cs="Times New Roman"/>
              </w:rPr>
              <w:t>Erro</w:t>
            </w:r>
          </w:p>
        </w:tc>
      </w:tr>
      <w:tr w:rsidR="00F46979" w:rsidTr="00F46979">
        <w:trPr>
          <w:jc w:val="center"/>
        </w:trPr>
        <w:tc>
          <w:tcPr>
            <w:tcW w:w="485" w:type="dxa"/>
            <w:tcBorders>
              <w:top w:val="single" w:sz="6" w:space="0" w:color="auto"/>
              <w:bottom w:val="single" w:sz="6" w:space="0" w:color="auto"/>
              <w:right w:val="single" w:sz="6" w:space="0" w:color="auto"/>
            </w:tcBorders>
          </w:tcPr>
          <w:p w:rsidR="00F46979" w:rsidRDefault="00F46979" w:rsidP="00F46979">
            <w:pPr>
              <w:pStyle w:val="PSDS-CorpodeTexto0"/>
              <w:suppressAutoHyphens w:val="0"/>
              <w:rPr>
                <w:rFonts w:ascii="Times New Roman" w:hAnsi="Times New Roman" w:cs="Times New Roman"/>
                <w:b/>
                <w:bCs/>
                <w:lang w:val="pt-PT"/>
              </w:rPr>
            </w:pPr>
            <w:r>
              <w:rPr>
                <w:rFonts w:ascii="Times New Roman" w:hAnsi="Times New Roman" w:cs="Times New Roman"/>
                <w:b/>
                <w:bCs/>
                <w:lang w:val="pt-PT"/>
              </w:rPr>
              <w:t>5</w:t>
            </w:r>
          </w:p>
        </w:tc>
        <w:tc>
          <w:tcPr>
            <w:tcW w:w="3000" w:type="dxa"/>
            <w:tcBorders>
              <w:top w:val="single" w:sz="6" w:space="0" w:color="auto"/>
              <w:left w:val="single" w:sz="6" w:space="0" w:color="auto"/>
              <w:bottom w:val="single" w:sz="6" w:space="0" w:color="auto"/>
              <w:right w:val="single" w:sz="6" w:space="0" w:color="auto"/>
            </w:tcBorders>
          </w:tcPr>
          <w:p w:rsidR="00F46979" w:rsidRDefault="00F46979" w:rsidP="00F46979">
            <w:pPr>
              <w:pStyle w:val="PSDS-CorpodeTexto0"/>
              <w:rPr>
                <w:rFonts w:ascii="Times New Roman" w:hAnsi="Times New Roman" w:cs="Times New Roman"/>
              </w:rPr>
            </w:pPr>
            <w:r>
              <w:rPr>
                <w:rFonts w:ascii="Times New Roman" w:hAnsi="Times New Roman" w:cs="Times New Roman"/>
              </w:rPr>
              <w:t>JURISDICAO_TIN</w:t>
            </w:r>
          </w:p>
        </w:tc>
        <w:tc>
          <w:tcPr>
            <w:tcW w:w="11165" w:type="dxa"/>
            <w:tcBorders>
              <w:top w:val="single" w:sz="6" w:space="0" w:color="auto"/>
              <w:left w:val="single" w:sz="6" w:space="0" w:color="auto"/>
              <w:bottom w:val="single" w:sz="6" w:space="0" w:color="auto"/>
              <w:right w:val="single" w:sz="6" w:space="0" w:color="auto"/>
            </w:tcBorders>
          </w:tcPr>
          <w:p w:rsidR="00F46979" w:rsidRDefault="00F46979" w:rsidP="00F46979">
            <w:pPr>
              <w:pStyle w:val="Corpodetexto"/>
              <w:rPr>
                <w:rFonts w:ascii="Times New Roman" w:hAnsi="Times New Roman" w:cs="Times New Roman"/>
              </w:rPr>
            </w:pPr>
            <w:r>
              <w:rPr>
                <w:rFonts w:ascii="Times New Roman" w:hAnsi="Times New Roman" w:cs="Times New Roman"/>
                <w:b/>
                <w:bCs/>
              </w:rPr>
              <w:t xml:space="preserve">REGRA_HABILITA_JURISDICAO_TIN: </w:t>
            </w:r>
            <w:r>
              <w:rPr>
                <w:rFonts w:ascii="Times New Roman" w:hAnsi="Times New Roman" w:cs="Times New Roman"/>
              </w:rPr>
              <w:t>Caso W250.TIN seja diferente de “NOTIN”, o campo W250.JURISDICAO_TIN deve ser habilitado. Caso contrário, o campo W250.JURISDICAO_TIN é desabilitado.</w:t>
            </w:r>
          </w:p>
          <w:p w:rsidR="00F46979" w:rsidRDefault="00F46979" w:rsidP="00F46979">
            <w:pPr>
              <w:pStyle w:val="Corpodetexto"/>
              <w:rPr>
                <w:rFonts w:ascii="Times New Roman" w:hAnsi="Times New Roman" w:cs="Times New Roman"/>
              </w:rPr>
            </w:pPr>
          </w:p>
          <w:p w:rsidR="00F46979" w:rsidRDefault="00F46979" w:rsidP="00F46979">
            <w:pPr>
              <w:pStyle w:val="Corpodetexto"/>
              <w:rPr>
                <w:rFonts w:ascii="Times New Roman" w:hAnsi="Times New Roman" w:cs="Times New Roman"/>
              </w:rPr>
            </w:pPr>
            <w:r>
              <w:rPr>
                <w:rFonts w:ascii="Times New Roman" w:hAnsi="Times New Roman" w:cs="Times New Roman"/>
                <w:b/>
                <w:bCs/>
              </w:rPr>
              <w:t xml:space="preserve">REGRA_JURISDICAO_TIN_OBRIGATORIO: </w:t>
            </w:r>
            <w:r>
              <w:rPr>
                <w:rFonts w:ascii="Times New Roman" w:hAnsi="Times New Roman" w:cs="Times New Roman"/>
              </w:rPr>
              <w:t>Verifica, quando W250.TIN é diferente de “NOTIN”, se o campo W250.JURISDICAO_TIN está preenchido.</w:t>
            </w:r>
          </w:p>
          <w:p w:rsidR="00F46979" w:rsidRDefault="00F46979" w:rsidP="00F46979">
            <w:pPr>
              <w:pStyle w:val="Corpodetexto"/>
              <w:rPr>
                <w:rFonts w:ascii="Times New Roman" w:hAnsi="Times New Roman" w:cs="Times New Roman"/>
              </w:rPr>
            </w:pPr>
          </w:p>
          <w:p w:rsidR="00F46979" w:rsidRDefault="00F46979" w:rsidP="00F46979">
            <w:pPr>
              <w:pStyle w:val="Corpodetexto"/>
              <w:rPr>
                <w:rFonts w:ascii="Times New Roman" w:hAnsi="Times New Roman" w:cs="Times New Roman"/>
              </w:rPr>
            </w:pPr>
            <w:r>
              <w:rPr>
                <w:rFonts w:ascii="Times New Roman" w:hAnsi="Times New Roman" w:cs="Times New Roman"/>
                <w:b/>
                <w:bCs/>
              </w:rPr>
              <w:t xml:space="preserve">REGRA_JURISDICAO_TIN_NAO_PREENCHER: </w:t>
            </w:r>
            <w:r>
              <w:rPr>
                <w:rFonts w:ascii="Times New Roman" w:hAnsi="Times New Roman" w:cs="Times New Roman"/>
              </w:rPr>
              <w:t>Verifica, quando W250.TIN é igual a “NOTIN”, se o campo W250.JURISDICAO_TIN não está preenchido.</w:t>
            </w:r>
          </w:p>
        </w:tc>
        <w:tc>
          <w:tcPr>
            <w:tcW w:w="961" w:type="dxa"/>
            <w:tcBorders>
              <w:top w:val="single" w:sz="6" w:space="0" w:color="auto"/>
              <w:left w:val="single" w:sz="6" w:space="0" w:color="auto"/>
              <w:bottom w:val="single" w:sz="6" w:space="0" w:color="auto"/>
            </w:tcBorders>
          </w:tcPr>
          <w:p w:rsidR="00F46979" w:rsidRDefault="00F46979" w:rsidP="00F46979">
            <w:pPr>
              <w:pStyle w:val="PSDS-CorpodeTexto0"/>
              <w:rPr>
                <w:rFonts w:ascii="Times New Roman" w:hAnsi="Times New Roman" w:cs="Times New Roman"/>
              </w:rPr>
            </w:pPr>
            <w:r>
              <w:rPr>
                <w:rFonts w:ascii="Times New Roman" w:hAnsi="Times New Roman" w:cs="Times New Roman"/>
              </w:rPr>
              <w:t>Habilita</w:t>
            </w: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r>
              <w:rPr>
                <w:rFonts w:ascii="Times New Roman" w:hAnsi="Times New Roman" w:cs="Times New Roman"/>
              </w:rPr>
              <w:t>Erro</w:t>
            </w: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r>
              <w:rPr>
                <w:rFonts w:ascii="Times New Roman" w:hAnsi="Times New Roman" w:cs="Times New Roman"/>
              </w:rPr>
              <w:t>Erro</w:t>
            </w:r>
          </w:p>
        </w:tc>
      </w:tr>
      <w:tr w:rsidR="00F46979" w:rsidTr="00F46979">
        <w:trPr>
          <w:jc w:val="center"/>
        </w:trPr>
        <w:tc>
          <w:tcPr>
            <w:tcW w:w="485" w:type="dxa"/>
            <w:tcBorders>
              <w:top w:val="single" w:sz="6" w:space="0" w:color="auto"/>
              <w:bottom w:val="single" w:sz="6" w:space="0" w:color="auto"/>
              <w:right w:val="single" w:sz="6" w:space="0" w:color="auto"/>
            </w:tcBorders>
          </w:tcPr>
          <w:p w:rsidR="00F46979" w:rsidRDefault="00F46979" w:rsidP="00F46979">
            <w:pPr>
              <w:pStyle w:val="PSDS-CorpodeTexto0"/>
              <w:suppressAutoHyphens w:val="0"/>
              <w:rPr>
                <w:rFonts w:ascii="Times New Roman" w:hAnsi="Times New Roman" w:cs="Times New Roman"/>
                <w:b/>
                <w:bCs/>
                <w:lang w:val="pt-PT"/>
              </w:rPr>
            </w:pPr>
            <w:r>
              <w:rPr>
                <w:rFonts w:ascii="Times New Roman" w:hAnsi="Times New Roman" w:cs="Times New Roman"/>
                <w:b/>
                <w:bCs/>
                <w:lang w:val="pt-PT"/>
              </w:rPr>
              <w:t>7</w:t>
            </w:r>
          </w:p>
        </w:tc>
        <w:tc>
          <w:tcPr>
            <w:tcW w:w="3000" w:type="dxa"/>
            <w:tcBorders>
              <w:top w:val="single" w:sz="6" w:space="0" w:color="auto"/>
              <w:left w:val="single" w:sz="6" w:space="0" w:color="auto"/>
              <w:bottom w:val="single" w:sz="6" w:space="0" w:color="auto"/>
              <w:right w:val="single" w:sz="6" w:space="0" w:color="auto"/>
            </w:tcBorders>
          </w:tcPr>
          <w:p w:rsidR="00F46979" w:rsidRDefault="00F46979" w:rsidP="00F46979">
            <w:pPr>
              <w:pStyle w:val="PSDS-CorpodeTexto0"/>
              <w:rPr>
                <w:rFonts w:ascii="Times New Roman" w:hAnsi="Times New Roman" w:cs="Times New Roman"/>
              </w:rPr>
            </w:pPr>
            <w:r>
              <w:rPr>
                <w:rFonts w:ascii="Times New Roman" w:hAnsi="Times New Roman" w:cs="Times New Roman"/>
              </w:rPr>
              <w:t>JURISDICAO_NI</w:t>
            </w:r>
          </w:p>
        </w:tc>
        <w:tc>
          <w:tcPr>
            <w:tcW w:w="11165" w:type="dxa"/>
            <w:tcBorders>
              <w:top w:val="single" w:sz="6" w:space="0" w:color="auto"/>
              <w:left w:val="single" w:sz="6" w:space="0" w:color="auto"/>
              <w:bottom w:val="single" w:sz="6" w:space="0" w:color="auto"/>
              <w:right w:val="single" w:sz="6" w:space="0" w:color="auto"/>
            </w:tcBorders>
          </w:tcPr>
          <w:p w:rsidR="00F46979" w:rsidRDefault="00F46979" w:rsidP="00F46979">
            <w:pPr>
              <w:pStyle w:val="Corpodetexto"/>
              <w:rPr>
                <w:rFonts w:ascii="Times New Roman" w:hAnsi="Times New Roman" w:cs="Times New Roman"/>
              </w:rPr>
            </w:pPr>
            <w:r>
              <w:rPr>
                <w:rFonts w:ascii="Times New Roman" w:hAnsi="Times New Roman" w:cs="Times New Roman"/>
                <w:b/>
                <w:bCs/>
              </w:rPr>
              <w:t xml:space="preserve">REGRA_HABILITA_JURISDICAO_NI: </w:t>
            </w:r>
            <w:r>
              <w:rPr>
                <w:rFonts w:ascii="Times New Roman" w:hAnsi="Times New Roman" w:cs="Times New Roman"/>
              </w:rPr>
              <w:t>Caso W250.NI esteja preenchido, o campo W250.JURISDICAO_NI deve ser habilitado. Caso contrário, o campo W250.JURISDICAO_NI é desabilitado.</w:t>
            </w:r>
          </w:p>
          <w:p w:rsidR="00F03063" w:rsidRDefault="00F03063" w:rsidP="00F46979">
            <w:pPr>
              <w:pStyle w:val="Corpodetexto"/>
              <w:rPr>
                <w:rFonts w:ascii="Times New Roman" w:hAnsi="Times New Roman" w:cs="Times New Roman"/>
              </w:rPr>
            </w:pPr>
          </w:p>
          <w:p w:rsidR="00F46979" w:rsidRDefault="00F46979" w:rsidP="00F46979">
            <w:pPr>
              <w:pStyle w:val="Corpodetexto"/>
              <w:rPr>
                <w:rFonts w:ascii="Times New Roman" w:hAnsi="Times New Roman" w:cs="Times New Roman"/>
              </w:rPr>
            </w:pPr>
            <w:r>
              <w:rPr>
                <w:rFonts w:ascii="Times New Roman" w:hAnsi="Times New Roman" w:cs="Times New Roman"/>
                <w:b/>
                <w:bCs/>
              </w:rPr>
              <w:t xml:space="preserve">REGRA_JURISDICAO_IN_NAO_PREENCHER: </w:t>
            </w:r>
            <w:r>
              <w:rPr>
                <w:rFonts w:ascii="Times New Roman" w:hAnsi="Times New Roman" w:cs="Times New Roman"/>
              </w:rPr>
              <w:t>Verifica, quando W250.NI não está preenchido, se o campo W250.JURISDICAO_NI não está preenchido.</w:t>
            </w:r>
          </w:p>
        </w:tc>
        <w:tc>
          <w:tcPr>
            <w:tcW w:w="961" w:type="dxa"/>
            <w:tcBorders>
              <w:top w:val="single" w:sz="6" w:space="0" w:color="auto"/>
              <w:left w:val="single" w:sz="6" w:space="0" w:color="auto"/>
              <w:bottom w:val="single" w:sz="6" w:space="0" w:color="auto"/>
            </w:tcBorders>
          </w:tcPr>
          <w:p w:rsidR="00F46979" w:rsidRDefault="00F46979" w:rsidP="00F46979">
            <w:pPr>
              <w:pStyle w:val="PSDS-CorpodeTexto0"/>
              <w:rPr>
                <w:rFonts w:ascii="Times New Roman" w:hAnsi="Times New Roman" w:cs="Times New Roman"/>
              </w:rPr>
            </w:pPr>
            <w:r>
              <w:rPr>
                <w:rFonts w:ascii="Times New Roman" w:hAnsi="Times New Roman" w:cs="Times New Roman"/>
              </w:rPr>
              <w:t>Habilita</w:t>
            </w: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r>
              <w:rPr>
                <w:rFonts w:ascii="Times New Roman" w:hAnsi="Times New Roman" w:cs="Times New Roman"/>
              </w:rPr>
              <w:t>Erro</w:t>
            </w:r>
          </w:p>
          <w:p w:rsidR="00F46979" w:rsidRDefault="00F46979" w:rsidP="00F46979">
            <w:pPr>
              <w:pStyle w:val="PSDS-CorpodeTexto0"/>
              <w:rPr>
                <w:rFonts w:ascii="Times New Roman" w:hAnsi="Times New Roman" w:cs="Times New Roman"/>
              </w:rPr>
            </w:pPr>
          </w:p>
        </w:tc>
      </w:tr>
      <w:tr w:rsidR="00F46979" w:rsidTr="00F46979">
        <w:trPr>
          <w:jc w:val="center"/>
        </w:trPr>
        <w:tc>
          <w:tcPr>
            <w:tcW w:w="485" w:type="dxa"/>
            <w:tcBorders>
              <w:top w:val="single" w:sz="6" w:space="0" w:color="auto"/>
              <w:bottom w:val="single" w:sz="6" w:space="0" w:color="auto"/>
              <w:right w:val="single" w:sz="6" w:space="0" w:color="auto"/>
            </w:tcBorders>
          </w:tcPr>
          <w:p w:rsidR="00F46979" w:rsidRDefault="00F46979" w:rsidP="00F46979">
            <w:pPr>
              <w:pStyle w:val="PSDS-CorpodeTexto0"/>
              <w:suppressAutoHyphens w:val="0"/>
              <w:rPr>
                <w:rFonts w:ascii="Times New Roman" w:hAnsi="Times New Roman" w:cs="Times New Roman"/>
                <w:b/>
                <w:bCs/>
                <w:lang w:val="pt-PT"/>
              </w:rPr>
            </w:pPr>
            <w:r>
              <w:rPr>
                <w:rFonts w:ascii="Times New Roman" w:hAnsi="Times New Roman" w:cs="Times New Roman"/>
                <w:b/>
                <w:bCs/>
                <w:lang w:val="pt-PT"/>
              </w:rPr>
              <w:t>8</w:t>
            </w:r>
          </w:p>
        </w:tc>
        <w:tc>
          <w:tcPr>
            <w:tcW w:w="3000" w:type="dxa"/>
            <w:tcBorders>
              <w:top w:val="single" w:sz="6" w:space="0" w:color="auto"/>
              <w:left w:val="single" w:sz="6" w:space="0" w:color="auto"/>
              <w:bottom w:val="single" w:sz="6" w:space="0" w:color="auto"/>
              <w:right w:val="single" w:sz="6" w:space="0" w:color="auto"/>
            </w:tcBorders>
          </w:tcPr>
          <w:p w:rsidR="00F46979" w:rsidRDefault="00F46979" w:rsidP="00F46979">
            <w:pPr>
              <w:pStyle w:val="PSDS-CorpodeTexto0"/>
              <w:rPr>
                <w:rFonts w:ascii="Times New Roman" w:hAnsi="Times New Roman" w:cs="Times New Roman"/>
              </w:rPr>
            </w:pPr>
            <w:r>
              <w:rPr>
                <w:rFonts w:ascii="Times New Roman" w:hAnsi="Times New Roman" w:cs="Times New Roman"/>
              </w:rPr>
              <w:t>TIPO_NI</w:t>
            </w:r>
          </w:p>
        </w:tc>
        <w:tc>
          <w:tcPr>
            <w:tcW w:w="11165" w:type="dxa"/>
            <w:tcBorders>
              <w:top w:val="single" w:sz="6" w:space="0" w:color="auto"/>
              <w:left w:val="single" w:sz="6" w:space="0" w:color="auto"/>
              <w:bottom w:val="single" w:sz="6" w:space="0" w:color="auto"/>
              <w:right w:val="single" w:sz="6" w:space="0" w:color="auto"/>
            </w:tcBorders>
          </w:tcPr>
          <w:p w:rsidR="00F46979" w:rsidRDefault="00F46979" w:rsidP="00F46979">
            <w:pPr>
              <w:pStyle w:val="Corpodetexto"/>
              <w:rPr>
                <w:rFonts w:ascii="Times New Roman" w:hAnsi="Times New Roman" w:cs="Times New Roman"/>
              </w:rPr>
            </w:pPr>
            <w:r>
              <w:rPr>
                <w:rFonts w:ascii="Times New Roman" w:hAnsi="Times New Roman" w:cs="Times New Roman"/>
                <w:b/>
                <w:bCs/>
              </w:rPr>
              <w:t xml:space="preserve">REGRA_HABILITA_TIPO_NI: </w:t>
            </w:r>
            <w:r>
              <w:rPr>
                <w:rFonts w:ascii="Times New Roman" w:hAnsi="Times New Roman" w:cs="Times New Roman"/>
              </w:rPr>
              <w:t>Caso W250.IN esteja preenchido, o campo W250.TIPO_NI deve ser habilitado. Caso contrário, o campo W250.TIPO_NI é desabilitado.</w:t>
            </w:r>
          </w:p>
          <w:p w:rsidR="00F46979" w:rsidRDefault="00F46979" w:rsidP="00F46979">
            <w:pPr>
              <w:pStyle w:val="Corpodetexto"/>
              <w:rPr>
                <w:rFonts w:ascii="Times New Roman" w:hAnsi="Times New Roman" w:cs="Times New Roman"/>
              </w:rPr>
            </w:pPr>
          </w:p>
          <w:p w:rsidR="00F46979" w:rsidRDefault="00F46979" w:rsidP="00F46979">
            <w:pPr>
              <w:pStyle w:val="Corpodetexto"/>
              <w:rPr>
                <w:rFonts w:ascii="Times New Roman" w:hAnsi="Times New Roman" w:cs="Times New Roman"/>
              </w:rPr>
            </w:pPr>
            <w:r>
              <w:rPr>
                <w:rFonts w:ascii="Times New Roman" w:hAnsi="Times New Roman" w:cs="Times New Roman"/>
                <w:b/>
                <w:bCs/>
              </w:rPr>
              <w:t xml:space="preserve">REGRA_TIPO_NI_OBRIGATORIO: </w:t>
            </w:r>
            <w:r>
              <w:rPr>
                <w:rFonts w:ascii="Times New Roman" w:hAnsi="Times New Roman" w:cs="Times New Roman"/>
              </w:rPr>
              <w:t>Verifica, quando W250.NI está preenchido, se o campo W250.TIPO_NI está preenchido.</w:t>
            </w:r>
          </w:p>
          <w:p w:rsidR="00F46979" w:rsidRDefault="00F46979" w:rsidP="00F46979">
            <w:pPr>
              <w:pStyle w:val="Corpodetexto"/>
              <w:rPr>
                <w:rFonts w:ascii="Times New Roman" w:hAnsi="Times New Roman" w:cs="Times New Roman"/>
                <w:b/>
                <w:bCs/>
              </w:rPr>
            </w:pPr>
          </w:p>
          <w:p w:rsidR="00F46979" w:rsidRDefault="00F46979" w:rsidP="00F46979">
            <w:pPr>
              <w:pStyle w:val="Corpodetexto"/>
              <w:rPr>
                <w:rFonts w:ascii="Times New Roman" w:hAnsi="Times New Roman" w:cs="Times New Roman"/>
              </w:rPr>
            </w:pPr>
            <w:r>
              <w:rPr>
                <w:rFonts w:ascii="Times New Roman" w:hAnsi="Times New Roman" w:cs="Times New Roman"/>
                <w:b/>
                <w:bCs/>
              </w:rPr>
              <w:t xml:space="preserve">REGRA_TIPO_NI_NAO_PREENCHER: </w:t>
            </w:r>
            <w:r>
              <w:rPr>
                <w:rFonts w:ascii="Times New Roman" w:hAnsi="Times New Roman" w:cs="Times New Roman"/>
              </w:rPr>
              <w:t>Verifica, quando W250.NI não está preenchido, se o campo W250.TIPO_NI não está preenchido.</w:t>
            </w:r>
          </w:p>
        </w:tc>
        <w:tc>
          <w:tcPr>
            <w:tcW w:w="961" w:type="dxa"/>
            <w:tcBorders>
              <w:top w:val="single" w:sz="6" w:space="0" w:color="auto"/>
              <w:left w:val="single" w:sz="6" w:space="0" w:color="auto"/>
              <w:bottom w:val="single" w:sz="6" w:space="0" w:color="auto"/>
            </w:tcBorders>
          </w:tcPr>
          <w:p w:rsidR="00F46979" w:rsidRDefault="00F46979" w:rsidP="00F46979">
            <w:pPr>
              <w:pStyle w:val="PSDS-CorpodeTexto0"/>
              <w:rPr>
                <w:rFonts w:ascii="Times New Roman" w:hAnsi="Times New Roman" w:cs="Times New Roman"/>
              </w:rPr>
            </w:pPr>
            <w:r>
              <w:rPr>
                <w:rFonts w:ascii="Times New Roman" w:hAnsi="Times New Roman" w:cs="Times New Roman"/>
              </w:rPr>
              <w:t>Habilita</w:t>
            </w: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r>
              <w:rPr>
                <w:rFonts w:ascii="Times New Roman" w:hAnsi="Times New Roman" w:cs="Times New Roman"/>
              </w:rPr>
              <w:t>Erro</w:t>
            </w: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r>
              <w:rPr>
                <w:rFonts w:ascii="Times New Roman" w:hAnsi="Times New Roman" w:cs="Times New Roman"/>
              </w:rPr>
              <w:t>Erro</w:t>
            </w:r>
          </w:p>
        </w:tc>
      </w:tr>
      <w:tr w:rsidR="00F46979" w:rsidTr="00F46979">
        <w:trPr>
          <w:jc w:val="center"/>
        </w:trPr>
        <w:tc>
          <w:tcPr>
            <w:tcW w:w="485" w:type="dxa"/>
            <w:tcBorders>
              <w:top w:val="single" w:sz="6" w:space="0" w:color="auto"/>
              <w:bottom w:val="single" w:sz="6" w:space="0" w:color="auto"/>
              <w:right w:val="single" w:sz="6" w:space="0" w:color="auto"/>
            </w:tcBorders>
          </w:tcPr>
          <w:p w:rsidR="00F46979" w:rsidRDefault="00F46979" w:rsidP="00F46979">
            <w:pPr>
              <w:pStyle w:val="PSDS-CorpodeTexto0"/>
              <w:suppressAutoHyphens w:val="0"/>
              <w:rPr>
                <w:rFonts w:ascii="Times New Roman" w:hAnsi="Times New Roman" w:cs="Times New Roman"/>
                <w:b/>
                <w:bCs/>
                <w:lang w:val="pt-PT"/>
              </w:rPr>
            </w:pPr>
            <w:r>
              <w:rPr>
                <w:rFonts w:ascii="Times New Roman" w:hAnsi="Times New Roman" w:cs="Times New Roman"/>
                <w:b/>
                <w:bCs/>
                <w:lang w:val="pt-PT"/>
              </w:rPr>
              <w:t>26</w:t>
            </w:r>
          </w:p>
        </w:tc>
        <w:tc>
          <w:tcPr>
            <w:tcW w:w="3000" w:type="dxa"/>
            <w:tcBorders>
              <w:top w:val="single" w:sz="6" w:space="0" w:color="auto"/>
              <w:left w:val="single" w:sz="6" w:space="0" w:color="auto"/>
              <w:bottom w:val="single" w:sz="6" w:space="0" w:color="auto"/>
              <w:right w:val="single" w:sz="6" w:space="0" w:color="auto"/>
            </w:tcBorders>
          </w:tcPr>
          <w:p w:rsidR="00F46979" w:rsidRDefault="00F46979" w:rsidP="00F46979">
            <w:pPr>
              <w:pStyle w:val="PSDS-CorpodeTexto0"/>
              <w:rPr>
                <w:rFonts w:ascii="Times New Roman" w:hAnsi="Times New Roman" w:cs="Times New Roman"/>
              </w:rPr>
            </w:pPr>
            <w:r>
              <w:rPr>
                <w:rFonts w:ascii="Times New Roman" w:hAnsi="Times New Roman" w:cs="Times New Roman"/>
              </w:rPr>
              <w:t>DESC_OUTROS</w:t>
            </w:r>
          </w:p>
        </w:tc>
        <w:tc>
          <w:tcPr>
            <w:tcW w:w="11165" w:type="dxa"/>
            <w:tcBorders>
              <w:top w:val="single" w:sz="6" w:space="0" w:color="auto"/>
              <w:left w:val="single" w:sz="6" w:space="0" w:color="auto"/>
              <w:bottom w:val="single" w:sz="6" w:space="0" w:color="auto"/>
              <w:right w:val="single" w:sz="6" w:space="0" w:color="auto"/>
            </w:tcBorders>
          </w:tcPr>
          <w:p w:rsidR="00F46979" w:rsidRDefault="00F46979" w:rsidP="00F46979">
            <w:pPr>
              <w:pStyle w:val="Corpodetexto"/>
              <w:rPr>
                <w:rFonts w:ascii="Times New Roman" w:hAnsi="Times New Roman" w:cs="Times New Roman"/>
              </w:rPr>
            </w:pPr>
            <w:r>
              <w:rPr>
                <w:rFonts w:ascii="Times New Roman" w:hAnsi="Times New Roman" w:cs="Times New Roman"/>
                <w:b/>
                <w:bCs/>
              </w:rPr>
              <w:t xml:space="preserve">REGRA_HABILITA_DESC_OUTROS: </w:t>
            </w:r>
            <w:r>
              <w:rPr>
                <w:rFonts w:ascii="Times New Roman" w:hAnsi="Times New Roman" w:cs="Times New Roman"/>
              </w:rPr>
              <w:t>Caso W250.ATIV_13 seja igual a “S” (Sim), o campo W250.DESC_OUTROS deve ser habilitado. Caso contrário, o campo W250.DESC_OUTROS é desabilitado.</w:t>
            </w:r>
          </w:p>
          <w:p w:rsidR="00F46979" w:rsidRDefault="00F46979" w:rsidP="00F46979">
            <w:pPr>
              <w:pStyle w:val="Corpodetexto"/>
              <w:rPr>
                <w:rFonts w:ascii="Times New Roman" w:hAnsi="Times New Roman" w:cs="Times New Roman"/>
              </w:rPr>
            </w:pPr>
            <w:r>
              <w:rPr>
                <w:rFonts w:ascii="Times New Roman" w:hAnsi="Times New Roman" w:cs="Times New Roman"/>
                <w:b/>
                <w:bCs/>
              </w:rPr>
              <w:lastRenderedPageBreak/>
              <w:t xml:space="preserve">REGRA_DESC_OUTROS_OBRIGATORIO: </w:t>
            </w:r>
            <w:r>
              <w:rPr>
                <w:rFonts w:ascii="Times New Roman" w:hAnsi="Times New Roman" w:cs="Times New Roman"/>
              </w:rPr>
              <w:t>Verifica, quando W250.ATIV_13 é igual a “S” (Sim), se o campo W250.DESC_OUTROS está preenchido.</w:t>
            </w:r>
          </w:p>
          <w:p w:rsidR="00F46979" w:rsidRDefault="00F46979" w:rsidP="00F46979">
            <w:pPr>
              <w:pStyle w:val="Corpodetexto"/>
              <w:rPr>
                <w:rFonts w:ascii="Times New Roman" w:hAnsi="Times New Roman" w:cs="Times New Roman"/>
              </w:rPr>
            </w:pPr>
          </w:p>
          <w:p w:rsidR="00F46979" w:rsidRDefault="00F46979" w:rsidP="00F46979">
            <w:pPr>
              <w:pStyle w:val="Corpodetexto"/>
              <w:rPr>
                <w:rFonts w:ascii="Times New Roman" w:hAnsi="Times New Roman" w:cs="Times New Roman"/>
              </w:rPr>
            </w:pPr>
            <w:r>
              <w:rPr>
                <w:rFonts w:ascii="Times New Roman" w:hAnsi="Times New Roman" w:cs="Times New Roman"/>
                <w:b/>
                <w:bCs/>
              </w:rPr>
              <w:t xml:space="preserve">REGRA_DESC_OUTROS_NAO_PREENCHER: </w:t>
            </w:r>
            <w:r>
              <w:rPr>
                <w:rFonts w:ascii="Times New Roman" w:hAnsi="Times New Roman" w:cs="Times New Roman"/>
              </w:rPr>
              <w:t>Verifica, quando W250.ATIV_13 é igual a “N” (Não), se o campo W250.DESC_OUTROS não está preenchido.</w:t>
            </w:r>
          </w:p>
        </w:tc>
        <w:tc>
          <w:tcPr>
            <w:tcW w:w="961" w:type="dxa"/>
            <w:tcBorders>
              <w:top w:val="single" w:sz="6" w:space="0" w:color="auto"/>
              <w:left w:val="single" w:sz="6" w:space="0" w:color="auto"/>
              <w:bottom w:val="single" w:sz="6" w:space="0" w:color="auto"/>
            </w:tcBorders>
          </w:tcPr>
          <w:p w:rsidR="00F46979" w:rsidRDefault="00F46979" w:rsidP="00F46979">
            <w:pPr>
              <w:pStyle w:val="PSDS-CorpodeTexto0"/>
              <w:rPr>
                <w:rFonts w:ascii="Times New Roman" w:hAnsi="Times New Roman" w:cs="Times New Roman"/>
              </w:rPr>
            </w:pPr>
            <w:r>
              <w:rPr>
                <w:rFonts w:ascii="Times New Roman" w:hAnsi="Times New Roman" w:cs="Times New Roman"/>
              </w:rPr>
              <w:lastRenderedPageBreak/>
              <w:t>Habilita</w:t>
            </w: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r>
              <w:rPr>
                <w:rFonts w:ascii="Times New Roman" w:hAnsi="Times New Roman" w:cs="Times New Roman"/>
              </w:rPr>
              <w:lastRenderedPageBreak/>
              <w:t>Erro</w:t>
            </w: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p>
          <w:p w:rsidR="00F46979" w:rsidRDefault="00F46979" w:rsidP="00F46979">
            <w:pPr>
              <w:pStyle w:val="PSDS-CorpodeTexto0"/>
              <w:rPr>
                <w:rFonts w:ascii="Times New Roman" w:hAnsi="Times New Roman" w:cs="Times New Roman"/>
              </w:rPr>
            </w:pPr>
            <w:r>
              <w:rPr>
                <w:rFonts w:ascii="Times New Roman" w:hAnsi="Times New Roman" w:cs="Times New Roman"/>
              </w:rPr>
              <w:t>Erro</w:t>
            </w:r>
          </w:p>
        </w:tc>
      </w:tr>
    </w:tbl>
    <w:p w:rsidR="00F03063" w:rsidRDefault="00F03063" w:rsidP="009C1D92">
      <w:pPr>
        <w:pStyle w:val="Corpodetexto"/>
        <w:rPr>
          <w:rFonts w:ascii="Times New Roman" w:hAnsi="Times New Roman"/>
          <w:b/>
          <w:color w:val="002060"/>
          <w:szCs w:val="20"/>
        </w:rPr>
      </w:pPr>
    </w:p>
    <w:p w:rsidR="009C1D92" w:rsidRPr="0070069F" w:rsidRDefault="009C1D92" w:rsidP="009C1D92">
      <w:pPr>
        <w:pStyle w:val="Corpodetexto"/>
        <w:rPr>
          <w:rFonts w:ascii="Times New Roman" w:hAnsi="Times New Roman"/>
          <w:b/>
          <w:color w:val="002060"/>
          <w:szCs w:val="20"/>
        </w:rPr>
      </w:pPr>
      <w:r w:rsidRPr="0070069F">
        <w:rPr>
          <w:rFonts w:ascii="Times New Roman" w:hAnsi="Times New Roman"/>
          <w:b/>
          <w:color w:val="002060"/>
          <w:szCs w:val="20"/>
        </w:rPr>
        <w:t xml:space="preserve">Exemplo de Preenchimento: </w:t>
      </w:r>
    </w:p>
    <w:p w:rsidR="009C1D92" w:rsidRPr="0070069F" w:rsidRDefault="009C1D92" w:rsidP="009C1D92">
      <w:pPr>
        <w:pStyle w:val="Corpodetexto"/>
        <w:rPr>
          <w:rFonts w:ascii="Times New Roman" w:hAnsi="Times New Roman"/>
          <w:b/>
          <w:color w:val="002060"/>
          <w:szCs w:val="20"/>
        </w:rPr>
      </w:pPr>
    </w:p>
    <w:p w:rsidR="009C1D92" w:rsidRPr="0070069F" w:rsidRDefault="009C1D92" w:rsidP="009C1D92">
      <w:pPr>
        <w:pStyle w:val="Corpodetexto"/>
        <w:rPr>
          <w:rFonts w:ascii="Times New Roman" w:hAnsi="Times New Roman"/>
          <w:b/>
          <w:color w:val="002060"/>
          <w:szCs w:val="20"/>
        </w:rPr>
      </w:pPr>
      <w:r w:rsidRPr="0070069F">
        <w:rPr>
          <w:rFonts w:ascii="Times New Roman" w:hAnsi="Times New Roman"/>
          <w:b/>
          <w:color w:val="002060"/>
          <w:szCs w:val="20"/>
        </w:rPr>
        <w:t>|W250|</w:t>
      </w:r>
      <w:r w:rsidR="008B03E2">
        <w:rPr>
          <w:rFonts w:ascii="Times New Roman" w:hAnsi="Times New Roman"/>
          <w:b/>
          <w:color w:val="002060"/>
          <w:szCs w:val="20"/>
        </w:rPr>
        <w:t>DE</w:t>
      </w:r>
      <w:r w:rsidR="00AC6AFC" w:rsidRPr="0070069F">
        <w:rPr>
          <w:rFonts w:ascii="Times New Roman" w:hAnsi="Times New Roman"/>
          <w:b/>
          <w:color w:val="002060"/>
          <w:szCs w:val="20"/>
        </w:rPr>
        <w:t>|ENTIDADE INTEGRANTE 1|12345678|25||||OECD303|RUA ALFA 121 – PERDIZES – SÃO PAULO/SP – CEP: 20.000-000|551133334444|EMAIL@EMAIL.COM|S|N|N|N|N|N|N|N|N|N|N|N|N|||</w:t>
      </w:r>
    </w:p>
    <w:p w:rsidR="009C1D92" w:rsidRPr="0070069F" w:rsidRDefault="009C1D92" w:rsidP="009C1D92">
      <w:pPr>
        <w:pStyle w:val="Corpodetexto"/>
        <w:ind w:firstLine="708"/>
        <w:rPr>
          <w:rFonts w:ascii="Times New Roman" w:hAnsi="Times New Roman"/>
          <w:color w:val="002060"/>
          <w:szCs w:val="20"/>
        </w:rPr>
      </w:pPr>
      <w:r w:rsidRPr="0070069F">
        <w:rPr>
          <w:rFonts w:ascii="Times New Roman" w:hAnsi="Times New Roman"/>
          <w:color w:val="002060"/>
          <w:szCs w:val="20"/>
        </w:rPr>
        <w:t>|W200|: Identificação do tipo do registro.</w:t>
      </w:r>
    </w:p>
    <w:p w:rsidR="009C1D92" w:rsidRPr="0070069F" w:rsidRDefault="008B03E2" w:rsidP="009C1D92">
      <w:pPr>
        <w:pStyle w:val="Corpodetexto"/>
        <w:ind w:firstLine="708"/>
        <w:rPr>
          <w:rFonts w:ascii="Times New Roman" w:hAnsi="Times New Roman"/>
          <w:color w:val="002060"/>
          <w:szCs w:val="20"/>
        </w:rPr>
      </w:pPr>
      <w:r>
        <w:rPr>
          <w:rFonts w:ascii="Times New Roman" w:hAnsi="Times New Roman"/>
          <w:color w:val="002060"/>
          <w:szCs w:val="20"/>
        </w:rPr>
        <w:t>|DE</w:t>
      </w:r>
      <w:r w:rsidR="00AC6AFC" w:rsidRPr="0070069F">
        <w:rPr>
          <w:rFonts w:ascii="Times New Roman" w:hAnsi="Times New Roman"/>
          <w:color w:val="002060"/>
          <w:szCs w:val="20"/>
        </w:rPr>
        <w:t xml:space="preserve">|: </w:t>
      </w:r>
      <w:r>
        <w:rPr>
          <w:rFonts w:ascii="Times New Roman" w:hAnsi="Times New Roman"/>
          <w:color w:val="002060"/>
          <w:szCs w:val="20"/>
        </w:rPr>
        <w:t>Alemanha</w:t>
      </w:r>
      <w:r w:rsidR="00AC6AFC" w:rsidRPr="0070069F">
        <w:rPr>
          <w:rFonts w:ascii="Times New Roman" w:hAnsi="Times New Roman"/>
          <w:color w:val="002060"/>
          <w:szCs w:val="20"/>
        </w:rPr>
        <w:t>.</w:t>
      </w:r>
    </w:p>
    <w:p w:rsidR="00AC6AFC" w:rsidRPr="0070069F" w:rsidRDefault="00AC6AFC" w:rsidP="009C1D92">
      <w:pPr>
        <w:pStyle w:val="Corpodetexto"/>
        <w:ind w:firstLine="708"/>
        <w:rPr>
          <w:rFonts w:ascii="Times New Roman" w:hAnsi="Times New Roman"/>
          <w:color w:val="002060"/>
          <w:szCs w:val="20"/>
        </w:rPr>
      </w:pPr>
      <w:r w:rsidRPr="0070069F">
        <w:rPr>
          <w:rFonts w:ascii="Times New Roman" w:hAnsi="Times New Roman"/>
          <w:color w:val="002060"/>
          <w:szCs w:val="20"/>
        </w:rPr>
        <w:t>|ENTIDADE INTEGRANTE 1|: Nome da entidade integrante.</w:t>
      </w:r>
    </w:p>
    <w:p w:rsidR="00AC6AFC" w:rsidRPr="0070069F" w:rsidRDefault="00AC6AFC" w:rsidP="009C1D92">
      <w:pPr>
        <w:pStyle w:val="Corpodetexto"/>
        <w:ind w:firstLine="708"/>
        <w:rPr>
          <w:rFonts w:ascii="Times New Roman" w:hAnsi="Times New Roman"/>
          <w:i/>
          <w:color w:val="002060"/>
          <w:szCs w:val="20"/>
        </w:rPr>
      </w:pPr>
      <w:r w:rsidRPr="0070069F">
        <w:rPr>
          <w:rFonts w:ascii="Times New Roman" w:hAnsi="Times New Roman"/>
          <w:color w:val="002060"/>
          <w:szCs w:val="20"/>
        </w:rPr>
        <w:t xml:space="preserve">|12345678|: </w:t>
      </w:r>
      <w:r w:rsidRPr="0070069F">
        <w:rPr>
          <w:rFonts w:ascii="Times New Roman" w:hAnsi="Times New Roman"/>
          <w:i/>
          <w:color w:val="002060"/>
          <w:szCs w:val="20"/>
        </w:rPr>
        <w:t>Tax Identification Number (TIN).</w:t>
      </w:r>
    </w:p>
    <w:p w:rsidR="00AC6AFC" w:rsidRPr="0070069F" w:rsidRDefault="00AC6AFC" w:rsidP="009C1D92">
      <w:pPr>
        <w:pStyle w:val="Corpodetexto"/>
        <w:ind w:firstLine="708"/>
        <w:rPr>
          <w:rFonts w:ascii="Times New Roman" w:hAnsi="Times New Roman"/>
          <w:color w:val="002060"/>
          <w:szCs w:val="20"/>
        </w:rPr>
      </w:pPr>
      <w:r w:rsidRPr="0070069F">
        <w:rPr>
          <w:rFonts w:ascii="Times New Roman" w:hAnsi="Times New Roman"/>
          <w:color w:val="002060"/>
          <w:szCs w:val="20"/>
        </w:rPr>
        <w:t>|25|: Jurisdição de emissão do TIN.</w:t>
      </w:r>
    </w:p>
    <w:p w:rsidR="00AC6AFC" w:rsidRPr="0070069F" w:rsidRDefault="00AC6AFC" w:rsidP="009C1D92">
      <w:pPr>
        <w:pStyle w:val="Corpodetexto"/>
        <w:ind w:firstLine="708"/>
        <w:rPr>
          <w:rFonts w:ascii="Times New Roman" w:hAnsi="Times New Roman"/>
          <w:color w:val="002060"/>
          <w:szCs w:val="20"/>
        </w:rPr>
      </w:pPr>
      <w:r w:rsidRPr="0070069F">
        <w:rPr>
          <w:rFonts w:ascii="Times New Roman" w:hAnsi="Times New Roman"/>
          <w:color w:val="002060"/>
          <w:szCs w:val="20"/>
        </w:rPr>
        <w:t>||: Número de identificação.</w:t>
      </w:r>
    </w:p>
    <w:p w:rsidR="00AC6AFC" w:rsidRPr="0070069F" w:rsidRDefault="00AC6AFC" w:rsidP="009C1D92">
      <w:pPr>
        <w:pStyle w:val="Corpodetexto"/>
        <w:ind w:firstLine="708"/>
        <w:rPr>
          <w:rFonts w:ascii="Times New Roman" w:hAnsi="Times New Roman"/>
          <w:color w:val="002060"/>
          <w:szCs w:val="20"/>
        </w:rPr>
      </w:pPr>
      <w:r w:rsidRPr="0070069F">
        <w:rPr>
          <w:rFonts w:ascii="Times New Roman" w:hAnsi="Times New Roman"/>
          <w:color w:val="002060"/>
          <w:szCs w:val="20"/>
        </w:rPr>
        <w:t>||: Jurisdição de emissão do número de identificação.</w:t>
      </w:r>
    </w:p>
    <w:p w:rsidR="00AC6AFC" w:rsidRPr="0070069F" w:rsidRDefault="00AC6AFC" w:rsidP="009C1D92">
      <w:pPr>
        <w:pStyle w:val="Corpodetexto"/>
        <w:ind w:firstLine="708"/>
        <w:rPr>
          <w:rFonts w:ascii="Times New Roman" w:hAnsi="Times New Roman"/>
          <w:color w:val="002060"/>
          <w:szCs w:val="20"/>
        </w:rPr>
      </w:pPr>
      <w:r w:rsidRPr="0070069F">
        <w:rPr>
          <w:rFonts w:ascii="Times New Roman" w:hAnsi="Times New Roman"/>
          <w:color w:val="002060"/>
          <w:szCs w:val="20"/>
        </w:rPr>
        <w:t>||: Tipo do número de identificação.</w:t>
      </w:r>
    </w:p>
    <w:p w:rsidR="00AC6AFC" w:rsidRPr="0070069F" w:rsidRDefault="00AC6AFC" w:rsidP="009C1D92">
      <w:pPr>
        <w:pStyle w:val="Corpodetexto"/>
        <w:ind w:firstLine="708"/>
        <w:rPr>
          <w:rFonts w:ascii="Times New Roman" w:hAnsi="Times New Roman"/>
          <w:color w:val="002060"/>
          <w:szCs w:val="20"/>
        </w:rPr>
      </w:pPr>
      <w:r w:rsidRPr="0070069F">
        <w:rPr>
          <w:rFonts w:ascii="Times New Roman" w:hAnsi="Times New Roman"/>
          <w:color w:val="002060"/>
          <w:szCs w:val="20"/>
        </w:rPr>
        <w:t>|OECD303|: Tipo do Endereço (OECD303 = Comercial).</w:t>
      </w:r>
    </w:p>
    <w:p w:rsidR="00AC6AFC" w:rsidRPr="0070069F" w:rsidRDefault="00AC6AFC" w:rsidP="009C1D92">
      <w:pPr>
        <w:pStyle w:val="Corpodetexto"/>
        <w:ind w:firstLine="708"/>
        <w:rPr>
          <w:rFonts w:ascii="Times New Roman" w:hAnsi="Times New Roman"/>
          <w:color w:val="002060"/>
          <w:szCs w:val="20"/>
        </w:rPr>
      </w:pPr>
      <w:r w:rsidRPr="0070069F">
        <w:rPr>
          <w:rFonts w:ascii="Times New Roman" w:hAnsi="Times New Roman"/>
          <w:color w:val="002060"/>
          <w:szCs w:val="20"/>
        </w:rPr>
        <w:t>|RUA ALFA 121 – PERDIZES – SÃO PAULO/SP – CEP: 20.000-000|: Endereço.</w:t>
      </w:r>
    </w:p>
    <w:p w:rsidR="00AC6AFC" w:rsidRPr="0070069F" w:rsidRDefault="00AC6AFC" w:rsidP="009C1D92">
      <w:pPr>
        <w:pStyle w:val="Corpodetexto"/>
        <w:ind w:firstLine="708"/>
        <w:rPr>
          <w:rFonts w:ascii="Times New Roman" w:hAnsi="Times New Roman"/>
          <w:color w:val="002060"/>
          <w:szCs w:val="20"/>
          <w:lang w:val="en-US"/>
        </w:rPr>
      </w:pPr>
      <w:r w:rsidRPr="0070069F">
        <w:rPr>
          <w:rFonts w:ascii="Times New Roman" w:hAnsi="Times New Roman"/>
          <w:color w:val="002060"/>
          <w:szCs w:val="20"/>
          <w:lang w:val="en-US"/>
        </w:rPr>
        <w:t>|551133334444|: Telefone.</w:t>
      </w:r>
    </w:p>
    <w:p w:rsidR="00AC6AFC" w:rsidRPr="0070069F" w:rsidRDefault="007D0E74" w:rsidP="009C1D92">
      <w:pPr>
        <w:pStyle w:val="Corpodetexto"/>
        <w:ind w:firstLine="708"/>
        <w:rPr>
          <w:rFonts w:ascii="Times New Roman" w:hAnsi="Times New Roman"/>
          <w:color w:val="002060"/>
          <w:szCs w:val="20"/>
          <w:lang w:val="en-US"/>
        </w:rPr>
      </w:pPr>
      <w:hyperlink r:id="rId635" w:history="1">
        <w:r w:rsidR="00AC6AFC" w:rsidRPr="0070069F">
          <w:rPr>
            <w:rStyle w:val="Hyperlink"/>
            <w:rFonts w:ascii="Times New Roman" w:hAnsi="Times New Roman"/>
            <w:szCs w:val="20"/>
            <w:lang w:val="en-US"/>
          </w:rPr>
          <w:t>|EMAIL@EMAIL.COM|</w:t>
        </w:r>
      </w:hyperlink>
      <w:r w:rsidR="00AC6AFC" w:rsidRPr="0070069F">
        <w:rPr>
          <w:rFonts w:ascii="Times New Roman" w:hAnsi="Times New Roman"/>
          <w:color w:val="002060"/>
          <w:szCs w:val="20"/>
          <w:lang w:val="en-US"/>
        </w:rPr>
        <w:t>: Email.</w:t>
      </w:r>
    </w:p>
    <w:p w:rsidR="00AC6AFC" w:rsidRPr="0070069F" w:rsidRDefault="00AC6AFC" w:rsidP="009C1D92">
      <w:pPr>
        <w:pStyle w:val="Corpodetexto"/>
        <w:ind w:firstLine="708"/>
        <w:rPr>
          <w:rFonts w:ascii="Times New Roman" w:hAnsi="Times New Roman"/>
          <w:color w:val="002060"/>
          <w:szCs w:val="20"/>
        </w:rPr>
      </w:pPr>
      <w:r w:rsidRPr="0070069F">
        <w:rPr>
          <w:rFonts w:ascii="Times New Roman" w:hAnsi="Times New Roman"/>
          <w:color w:val="002060"/>
          <w:szCs w:val="20"/>
        </w:rPr>
        <w:t>|S|: Atividade de Pesquisa e Desenvolvimento (S = Sim).</w:t>
      </w:r>
    </w:p>
    <w:p w:rsidR="00AC6AFC" w:rsidRPr="0070069F" w:rsidRDefault="00AC6AFC" w:rsidP="009C1D92">
      <w:pPr>
        <w:pStyle w:val="Corpodetexto"/>
        <w:ind w:firstLine="708"/>
        <w:rPr>
          <w:rFonts w:ascii="Times New Roman" w:hAnsi="Times New Roman"/>
          <w:color w:val="002060"/>
          <w:szCs w:val="20"/>
        </w:rPr>
      </w:pPr>
      <w:r w:rsidRPr="0070069F">
        <w:rPr>
          <w:rFonts w:ascii="Times New Roman" w:hAnsi="Times New Roman"/>
          <w:color w:val="002060"/>
          <w:szCs w:val="20"/>
        </w:rPr>
        <w:t>|N|: Atividade de Gestão de Propriedade Intelectual (N = Não).</w:t>
      </w:r>
    </w:p>
    <w:p w:rsidR="00AC6AFC" w:rsidRPr="0070069F" w:rsidRDefault="00AC6AFC" w:rsidP="009C1D92">
      <w:pPr>
        <w:pStyle w:val="Corpodetexto"/>
        <w:ind w:firstLine="708"/>
        <w:rPr>
          <w:rFonts w:ascii="Times New Roman" w:hAnsi="Times New Roman"/>
          <w:color w:val="002060"/>
          <w:szCs w:val="20"/>
        </w:rPr>
      </w:pPr>
      <w:r w:rsidRPr="0070069F">
        <w:rPr>
          <w:rFonts w:ascii="Times New Roman" w:hAnsi="Times New Roman"/>
          <w:color w:val="002060"/>
          <w:szCs w:val="20"/>
        </w:rPr>
        <w:t>|N|: Atividade de Compras (N = Não).</w:t>
      </w:r>
    </w:p>
    <w:p w:rsidR="00AC6AFC" w:rsidRPr="0070069F" w:rsidRDefault="00AC6AFC" w:rsidP="009C1D92">
      <w:pPr>
        <w:pStyle w:val="Corpodetexto"/>
        <w:ind w:firstLine="708"/>
        <w:rPr>
          <w:rFonts w:ascii="Times New Roman" w:hAnsi="Times New Roman"/>
          <w:color w:val="002060"/>
          <w:szCs w:val="20"/>
        </w:rPr>
      </w:pPr>
      <w:r w:rsidRPr="0070069F">
        <w:rPr>
          <w:rFonts w:ascii="Times New Roman" w:hAnsi="Times New Roman"/>
          <w:color w:val="002060"/>
          <w:szCs w:val="20"/>
        </w:rPr>
        <w:t>|N|: Atividade de Manufatura ou Produção (N = Não).</w:t>
      </w:r>
    </w:p>
    <w:p w:rsidR="00AC6AFC" w:rsidRPr="0070069F" w:rsidRDefault="00AC6AFC" w:rsidP="009C1D92">
      <w:pPr>
        <w:pStyle w:val="Corpodetexto"/>
        <w:ind w:firstLine="708"/>
        <w:rPr>
          <w:rFonts w:ascii="Times New Roman" w:hAnsi="Times New Roman"/>
          <w:color w:val="002060"/>
          <w:szCs w:val="20"/>
        </w:rPr>
      </w:pPr>
      <w:r w:rsidRPr="0070069F">
        <w:rPr>
          <w:rFonts w:ascii="Times New Roman" w:hAnsi="Times New Roman"/>
          <w:color w:val="002060"/>
          <w:szCs w:val="20"/>
        </w:rPr>
        <w:t>|N|: Atividade de Vendas, Marketing ou Distribuição (N = Não).</w:t>
      </w:r>
    </w:p>
    <w:p w:rsidR="00AC6AFC" w:rsidRPr="0070069F" w:rsidRDefault="00AC6AFC" w:rsidP="009C1D92">
      <w:pPr>
        <w:pStyle w:val="Corpodetexto"/>
        <w:ind w:firstLine="708"/>
        <w:rPr>
          <w:rFonts w:ascii="Times New Roman" w:hAnsi="Times New Roman"/>
          <w:color w:val="002060"/>
          <w:szCs w:val="20"/>
        </w:rPr>
      </w:pPr>
      <w:r w:rsidRPr="0070069F">
        <w:rPr>
          <w:rFonts w:ascii="Times New Roman" w:hAnsi="Times New Roman"/>
          <w:color w:val="002060"/>
          <w:szCs w:val="20"/>
        </w:rPr>
        <w:t>|N|: Atividade de Serviços Administrativos de Gestão ou de Suporte (N = Não).</w:t>
      </w:r>
    </w:p>
    <w:p w:rsidR="00AC6AFC" w:rsidRPr="0070069F" w:rsidRDefault="00AC6AFC" w:rsidP="009C1D92">
      <w:pPr>
        <w:pStyle w:val="Corpodetexto"/>
        <w:ind w:firstLine="708"/>
        <w:rPr>
          <w:rFonts w:ascii="Times New Roman" w:hAnsi="Times New Roman"/>
          <w:color w:val="002060"/>
          <w:szCs w:val="20"/>
        </w:rPr>
      </w:pPr>
      <w:r w:rsidRPr="0070069F">
        <w:rPr>
          <w:rFonts w:ascii="Times New Roman" w:hAnsi="Times New Roman"/>
          <w:color w:val="002060"/>
          <w:szCs w:val="20"/>
        </w:rPr>
        <w:t>|N|: Atividade de Prestação de Serviços a Partes Não Relacionadas (N = Não).</w:t>
      </w:r>
    </w:p>
    <w:p w:rsidR="00AC6AFC" w:rsidRPr="0070069F" w:rsidRDefault="00AC6AFC" w:rsidP="009C1D92">
      <w:pPr>
        <w:pStyle w:val="Corpodetexto"/>
        <w:ind w:firstLine="708"/>
        <w:rPr>
          <w:rFonts w:ascii="Times New Roman" w:hAnsi="Times New Roman"/>
          <w:color w:val="002060"/>
          <w:szCs w:val="20"/>
        </w:rPr>
      </w:pPr>
      <w:r w:rsidRPr="0070069F">
        <w:rPr>
          <w:rFonts w:ascii="Times New Roman" w:hAnsi="Times New Roman"/>
          <w:color w:val="002060"/>
          <w:szCs w:val="20"/>
        </w:rPr>
        <w:t>|N|: Atividade de Departamento Financeito do Grupo (N = Não).</w:t>
      </w:r>
    </w:p>
    <w:p w:rsidR="00AC6AFC" w:rsidRPr="0070069F" w:rsidRDefault="00AC6AFC" w:rsidP="009C1D92">
      <w:pPr>
        <w:pStyle w:val="Corpodetexto"/>
        <w:ind w:firstLine="708"/>
        <w:rPr>
          <w:rFonts w:ascii="Times New Roman" w:hAnsi="Times New Roman"/>
          <w:color w:val="002060"/>
          <w:szCs w:val="20"/>
        </w:rPr>
      </w:pPr>
      <w:r w:rsidRPr="0070069F">
        <w:rPr>
          <w:rFonts w:ascii="Times New Roman" w:hAnsi="Times New Roman"/>
          <w:color w:val="002060"/>
          <w:szCs w:val="20"/>
        </w:rPr>
        <w:t>|N|: Atividade Serviços Financeiras Regulamentados (N = Não).</w:t>
      </w:r>
    </w:p>
    <w:p w:rsidR="00AC6AFC" w:rsidRPr="0070069F" w:rsidRDefault="00AC6AFC" w:rsidP="009C1D92">
      <w:pPr>
        <w:pStyle w:val="Corpodetexto"/>
        <w:ind w:firstLine="708"/>
        <w:rPr>
          <w:rFonts w:ascii="Times New Roman" w:hAnsi="Times New Roman"/>
          <w:color w:val="002060"/>
          <w:szCs w:val="20"/>
        </w:rPr>
      </w:pPr>
      <w:r w:rsidRPr="0070069F">
        <w:rPr>
          <w:rFonts w:ascii="Times New Roman" w:hAnsi="Times New Roman"/>
          <w:color w:val="002060"/>
          <w:szCs w:val="20"/>
        </w:rPr>
        <w:t>|N|: Atividade de Seguro (N = Não).</w:t>
      </w:r>
    </w:p>
    <w:p w:rsidR="00AC6AFC" w:rsidRPr="0070069F" w:rsidRDefault="00AC6AFC" w:rsidP="009C1D92">
      <w:pPr>
        <w:pStyle w:val="Corpodetexto"/>
        <w:ind w:firstLine="708"/>
        <w:rPr>
          <w:rFonts w:ascii="Times New Roman" w:hAnsi="Times New Roman"/>
          <w:color w:val="002060"/>
          <w:szCs w:val="20"/>
        </w:rPr>
      </w:pPr>
      <w:r w:rsidRPr="0070069F">
        <w:rPr>
          <w:rFonts w:ascii="Times New Roman" w:hAnsi="Times New Roman"/>
          <w:color w:val="002060"/>
          <w:szCs w:val="20"/>
        </w:rPr>
        <w:t xml:space="preserve">|N|: </w:t>
      </w:r>
      <w:r w:rsidR="00447087" w:rsidRPr="0070069F">
        <w:rPr>
          <w:rFonts w:ascii="Times New Roman" w:hAnsi="Times New Roman"/>
          <w:color w:val="002060"/>
          <w:szCs w:val="20"/>
        </w:rPr>
        <w:t>Atividade de Gestão de Ações e Outros Instrumentos de Capital (N = Não).</w:t>
      </w:r>
    </w:p>
    <w:p w:rsidR="00447087" w:rsidRPr="0070069F" w:rsidRDefault="00447087" w:rsidP="009C1D92">
      <w:pPr>
        <w:pStyle w:val="Corpodetexto"/>
        <w:ind w:firstLine="708"/>
        <w:rPr>
          <w:rFonts w:ascii="Times New Roman" w:hAnsi="Times New Roman"/>
          <w:color w:val="002060"/>
          <w:szCs w:val="20"/>
        </w:rPr>
      </w:pPr>
      <w:r w:rsidRPr="0070069F">
        <w:rPr>
          <w:rFonts w:ascii="Times New Roman" w:hAnsi="Times New Roman"/>
          <w:color w:val="002060"/>
          <w:szCs w:val="20"/>
        </w:rPr>
        <w:t>|N|: Inativa (N = Não).</w:t>
      </w:r>
    </w:p>
    <w:p w:rsidR="00447087" w:rsidRPr="0070069F" w:rsidRDefault="00447087" w:rsidP="009C1D92">
      <w:pPr>
        <w:pStyle w:val="Corpodetexto"/>
        <w:ind w:firstLine="708"/>
        <w:rPr>
          <w:rFonts w:ascii="Times New Roman" w:hAnsi="Times New Roman"/>
          <w:color w:val="002060"/>
          <w:szCs w:val="20"/>
        </w:rPr>
      </w:pPr>
      <w:r w:rsidRPr="0070069F">
        <w:rPr>
          <w:rFonts w:ascii="Times New Roman" w:hAnsi="Times New Roman"/>
          <w:color w:val="002060"/>
          <w:szCs w:val="20"/>
        </w:rPr>
        <w:t>|N|: Outros (N = Não).</w:t>
      </w:r>
    </w:p>
    <w:p w:rsidR="00447087" w:rsidRPr="0070069F" w:rsidRDefault="00447087" w:rsidP="009C1D92">
      <w:pPr>
        <w:pStyle w:val="Corpodetexto"/>
        <w:ind w:firstLine="708"/>
        <w:rPr>
          <w:rFonts w:ascii="Times New Roman" w:hAnsi="Times New Roman"/>
          <w:color w:val="002060"/>
          <w:szCs w:val="20"/>
        </w:rPr>
      </w:pPr>
      <w:r w:rsidRPr="0070069F">
        <w:rPr>
          <w:rFonts w:ascii="Times New Roman" w:hAnsi="Times New Roman"/>
          <w:color w:val="002060"/>
          <w:szCs w:val="20"/>
        </w:rPr>
        <w:t>||: Descrição de outras atividades econômicas desempenhadas.</w:t>
      </w:r>
    </w:p>
    <w:p w:rsidR="00447087" w:rsidRPr="0070069F" w:rsidRDefault="00447087" w:rsidP="009C1D92">
      <w:pPr>
        <w:pStyle w:val="Corpodetexto"/>
        <w:ind w:firstLine="708"/>
        <w:rPr>
          <w:rFonts w:ascii="Times New Roman" w:hAnsi="Times New Roman"/>
          <w:color w:val="002060"/>
          <w:szCs w:val="20"/>
        </w:rPr>
      </w:pPr>
      <w:r w:rsidRPr="0070069F">
        <w:rPr>
          <w:rFonts w:ascii="Times New Roman" w:hAnsi="Times New Roman"/>
          <w:color w:val="002060"/>
          <w:szCs w:val="20"/>
        </w:rPr>
        <w:t>||: Outras informações.</w:t>
      </w:r>
    </w:p>
    <w:p w:rsidR="00447087" w:rsidRPr="0070069F" w:rsidRDefault="00447087">
      <w:pPr>
        <w:spacing w:after="200" w:line="276" w:lineRule="auto"/>
        <w:rPr>
          <w:color w:val="002060"/>
          <w:szCs w:val="20"/>
          <w:lang w:eastAsia="ar-SA"/>
        </w:rPr>
      </w:pPr>
      <w:r w:rsidRPr="0070069F">
        <w:rPr>
          <w:color w:val="002060"/>
          <w:szCs w:val="20"/>
        </w:rPr>
        <w:br w:type="page"/>
      </w:r>
    </w:p>
    <w:p w:rsidR="00447087" w:rsidRPr="0070069F" w:rsidRDefault="00447087" w:rsidP="00867F54">
      <w:pPr>
        <w:pStyle w:val="Ttulo4"/>
      </w:pPr>
      <w:bookmarkStart w:id="385" w:name="_Toc479713789"/>
      <w:r w:rsidRPr="0070069F">
        <w:lastRenderedPageBreak/>
        <w:t>Registro W300: Observações Adicionais – Declaração País-a-País</w:t>
      </w:r>
      <w:bookmarkEnd w:id="385"/>
    </w:p>
    <w:p w:rsidR="00AC6AFC" w:rsidRPr="0070069F" w:rsidRDefault="00AC6AFC" w:rsidP="00447087">
      <w:pPr>
        <w:pStyle w:val="Corpodetexto"/>
        <w:rPr>
          <w:rFonts w:ascii="Times New Roman" w:hAnsi="Times New Roman"/>
          <w:color w:val="002060"/>
          <w:szCs w:val="20"/>
        </w:rPr>
      </w:pPr>
    </w:p>
    <w:p w:rsidR="00F03063" w:rsidRDefault="00F03063" w:rsidP="00F03063">
      <w:pPr>
        <w:ind w:firstLine="708"/>
        <w:jc w:val="both"/>
        <w:rPr>
          <w:rFonts w:cs="Times New Roman"/>
        </w:rPr>
      </w:pPr>
      <w:r>
        <w:rPr>
          <w:rFonts w:cs="Times New Roman"/>
        </w:rPr>
        <w:t xml:space="preserve">Registro de utilização opcional pela entidade declarante, caso considere necessário fornecer esclarecimentos adicionais a respeito das informações reportadas na Declaração País-a-País (desde que não sejam referentes especificamente a uma entidade integrante do grupo, caso em que deve ser utilizado o campo 27 do </w:t>
      </w:r>
      <w:r>
        <w:rPr>
          <w:rFonts w:cs="Times New Roman"/>
          <w:highlight w:val="yellow"/>
        </w:rPr>
        <w:t>Registro W250</w:t>
      </w:r>
      <w:r>
        <w:rPr>
          <w:rFonts w:cs="Times New Roman"/>
        </w:rPr>
        <w:t xml:space="preserve"> relacionado à entidade em questão). </w:t>
      </w:r>
    </w:p>
    <w:p w:rsidR="00F03063" w:rsidRDefault="00F03063" w:rsidP="00F03063">
      <w:pPr>
        <w:ind w:firstLine="708"/>
        <w:jc w:val="both"/>
        <w:rPr>
          <w:rFonts w:cs="Times New Roman"/>
        </w:rPr>
      </w:pPr>
    </w:p>
    <w:p w:rsidR="00F03063" w:rsidRDefault="00F03063" w:rsidP="00F03063">
      <w:pPr>
        <w:pStyle w:val="LO-Normal"/>
        <w:spacing w:after="0"/>
        <w:ind w:left="360"/>
        <w:jc w:val="both"/>
        <w:rPr>
          <w:rFonts w:ascii="Times New Roman" w:hAnsi="Times New Roman"/>
        </w:rPr>
      </w:pPr>
      <w:r>
        <w:rPr>
          <w:rFonts w:ascii="Times New Roman" w:hAnsi="Times New Roman"/>
          <w:highlight w:val="yellow"/>
        </w:rPr>
        <w:t xml:space="preserve">Neste registro, devem ser informados os padrões contábeis sob os quais os dados da DPP estão sendo reportados, bem como quais as fontes de dado utilizadas para a elaboração da Declaração. Em caso de mudança na fonte de dados de um ano para outro, a entidade declarante também deve utilizar esse Registro para justificar a decisão e as consequências </w:t>
      </w:r>
      <w:r>
        <w:rPr>
          <w:rFonts w:ascii="Times New Roman" w:hAnsi="Times New Roman"/>
        </w:rPr>
        <w:t>sobre as informações apresentadas.</w:t>
      </w:r>
    </w:p>
    <w:p w:rsidR="00F03063" w:rsidRDefault="00F03063" w:rsidP="00F03063">
      <w:pPr>
        <w:ind w:left="720"/>
        <w:jc w:val="both"/>
        <w:rPr>
          <w:rFonts w:cs="Times New Roman"/>
        </w:rPr>
      </w:pPr>
    </w:p>
    <w:p w:rsidR="00F03063" w:rsidRDefault="00F03063" w:rsidP="00F03063">
      <w:pPr>
        <w:ind w:firstLine="708"/>
        <w:jc w:val="both"/>
        <w:rPr>
          <w:rFonts w:cs="Times New Roman"/>
        </w:rPr>
      </w:pPr>
      <w:r>
        <w:rPr>
          <w:rFonts w:cs="Times New Roman"/>
        </w:rPr>
        <w:t xml:space="preserve">As informações adicionais devem ser fornecidas em texto livre, mediante preenchimento do campo 13 tantas vezes quantas forem necessárias. Opcionalmente, o contribuinte pode indicar sobre qual jurisdição </w:t>
      </w:r>
      <w:r>
        <w:rPr>
          <w:rFonts w:cs="Times New Roman"/>
          <w:highlight w:val="yellow"/>
        </w:rPr>
        <w:t>as observações adicionais são referentes e/ou associá-las</w:t>
      </w:r>
      <w:r>
        <w:rPr>
          <w:rFonts w:cs="Times New Roman"/>
        </w:rPr>
        <w:t xml:space="preserve"> a um ou mais campos específicos da Declaração País-a-País, dentre as opções disponíveis, para facilitar a compreensão das informações.</w:t>
      </w:r>
    </w:p>
    <w:p w:rsidR="00F03063" w:rsidRDefault="00F03063" w:rsidP="00F03063">
      <w:pPr>
        <w:ind w:left="720"/>
        <w:rPr>
          <w:rFonts w:cs="Times New Roman"/>
        </w:rPr>
      </w:pPr>
    </w:p>
    <w:p w:rsidR="00F03063" w:rsidRDefault="00F03063" w:rsidP="00F03063">
      <w:pPr>
        <w:pStyle w:val="04ParteNormativa"/>
        <w:ind w:firstLine="708"/>
        <w:rPr>
          <w:shd w:val="clear" w:color="auto" w:fill="FFFFFF"/>
        </w:rPr>
      </w:pPr>
      <w:r>
        <w:t xml:space="preserve">Conforme previsto na Instrução Normativa RFB 1.681/2016, artigo 9, </w:t>
      </w:r>
      <w:r>
        <w:rPr>
          <w:shd w:val="clear" w:color="auto" w:fill="FFFFFF"/>
        </w:rPr>
        <w:t>§ 3</w:t>
      </w:r>
      <w:r>
        <w:rPr>
          <w:strike/>
        </w:rPr>
        <w:t>º,</w:t>
      </w:r>
      <w:r>
        <w:t xml:space="preserve"> todas as informações em texto livre da Declaração País-a-País deverão ser fornecidas em um único idioma, a ser escolhido pela entidade declarante dentre as opções de português, inglês e espanhol.</w:t>
      </w:r>
    </w:p>
    <w:p w:rsidR="00D41F9D" w:rsidRDefault="00B35FA3" w:rsidP="00D41F9D">
      <w:pPr>
        <w:pStyle w:val="Corpodetexto"/>
        <w:jc w:val="center"/>
        <w:rPr>
          <w:rFonts w:ascii="Times New Roman" w:hAnsi="Times New Roman"/>
          <w:color w:val="002060"/>
          <w:szCs w:val="20"/>
        </w:rPr>
      </w:pPr>
      <w:r>
        <w:rPr>
          <w:rFonts w:ascii="Times New Roman" w:hAnsi="Times New Roman"/>
          <w:color w:val="002060"/>
          <w:szCs w:val="20"/>
        </w:rPr>
        <w:object w:dxaOrig="15000" w:dyaOrig="5955">
          <v:shape id="_x0000_i1887" type="#_x0000_t75" style="width:750pt;height:297.75pt" o:ole="">
            <v:imagedata r:id="rId636" o:title=""/>
          </v:shape>
          <o:OLEObject Type="Link" ProgID="Excel.Sheet.12" ShapeID="_x0000_i1887" DrawAspect="Content" r:id="rId637" UpdateMode="Always">
            <o:LinkType>EnhancedMetaFile</o:LinkType>
            <o:LockedField>false</o:LockedField>
          </o:OLEObject>
        </w:object>
      </w:r>
    </w:p>
    <w:p w:rsidR="00D41F9D" w:rsidRPr="0070069F" w:rsidRDefault="00B35FA3" w:rsidP="00D41F9D">
      <w:pPr>
        <w:pStyle w:val="Corpodetexto"/>
        <w:jc w:val="center"/>
        <w:rPr>
          <w:rFonts w:ascii="Times New Roman" w:hAnsi="Times New Roman"/>
          <w:color w:val="002060"/>
          <w:szCs w:val="20"/>
        </w:rPr>
      </w:pPr>
      <w:r>
        <w:rPr>
          <w:rFonts w:ascii="Times New Roman" w:hAnsi="Times New Roman"/>
          <w:color w:val="002060"/>
          <w:szCs w:val="20"/>
        </w:rPr>
        <w:object w:dxaOrig="15000" w:dyaOrig="8100">
          <v:shape id="_x0000_i1889" type="#_x0000_t75" style="width:750pt;height:404.25pt" o:ole="">
            <v:imagedata r:id="rId638" o:title=""/>
          </v:shape>
          <o:OLEObject Type="Link" ProgID="Excel.Sheet.12" ShapeID="_x0000_i1889" DrawAspect="Content" r:id="rId639" UpdateMode="Always">
            <o:LinkType>EnhancedMetaFile</o:LinkType>
            <o:LockedField>false</o:LockedField>
          </o:OLEObject>
        </w:object>
      </w:r>
    </w:p>
    <w:p w:rsidR="00AC6AFC" w:rsidRPr="0070069F" w:rsidRDefault="00AC6AFC" w:rsidP="009C1D92">
      <w:pPr>
        <w:pStyle w:val="Corpodetexto"/>
        <w:ind w:firstLine="708"/>
        <w:rPr>
          <w:rFonts w:ascii="Times New Roman" w:hAnsi="Times New Roman"/>
          <w:color w:val="002060"/>
          <w:szCs w:val="20"/>
        </w:rPr>
      </w:pPr>
    </w:p>
    <w:p w:rsidR="0086372F" w:rsidRPr="0070069F" w:rsidRDefault="0086372F" w:rsidP="00447087">
      <w:pPr>
        <w:pStyle w:val="PSDS-MarcadoresNivel2"/>
        <w:numPr>
          <w:ilvl w:val="0"/>
          <w:numId w:val="0"/>
        </w:numPr>
        <w:rPr>
          <w:rFonts w:ascii="Times New Roman" w:hAnsi="Times New Roman"/>
        </w:rPr>
      </w:pPr>
    </w:p>
    <w:p w:rsidR="00F03063" w:rsidRDefault="00F03063" w:rsidP="00F03063">
      <w:pPr>
        <w:pStyle w:val="PSDS-MarcadoresNivel2"/>
        <w:numPr>
          <w:ilvl w:val="0"/>
          <w:numId w:val="0"/>
        </w:numPr>
        <w:rPr>
          <w:rFonts w:ascii="Times New Roman" w:hAnsi="Times New Roman" w:cs="Times New Roman"/>
        </w:rPr>
      </w:pPr>
    </w:p>
    <w:p w:rsidR="00E53726" w:rsidRDefault="00E53726" w:rsidP="00F03063">
      <w:pPr>
        <w:pStyle w:val="PSDS-MarcadoresNivel2"/>
        <w:numPr>
          <w:ilvl w:val="0"/>
          <w:numId w:val="0"/>
        </w:numPr>
        <w:rPr>
          <w:rFonts w:ascii="Times New Roman" w:hAnsi="Times New Roman" w:cs="Times New Roman"/>
        </w:rPr>
      </w:pPr>
    </w:p>
    <w:p w:rsidR="00D41F9D" w:rsidRDefault="00D41F9D" w:rsidP="00F03063">
      <w:pPr>
        <w:pStyle w:val="PSDS-MarcadoresNivel2"/>
        <w:numPr>
          <w:ilvl w:val="0"/>
          <w:numId w:val="0"/>
        </w:numPr>
        <w:rPr>
          <w:rFonts w:ascii="Times New Roman" w:hAnsi="Times New Roman" w:cs="Times New Roman"/>
        </w:rPr>
      </w:pPr>
    </w:p>
    <w:p w:rsidR="00F03063" w:rsidRDefault="00F03063" w:rsidP="00F03063">
      <w:pPr>
        <w:pStyle w:val="PSDS-MarcadoresNivel2"/>
        <w:numPr>
          <w:ilvl w:val="0"/>
          <w:numId w:val="0"/>
        </w:numPr>
        <w:rPr>
          <w:rFonts w:ascii="Times New Roman" w:hAnsi="Times New Roman" w:cs="Times New Roman"/>
        </w:rPr>
      </w:pPr>
      <w:r>
        <w:rPr>
          <w:rFonts w:ascii="Times New Roman" w:hAnsi="Times New Roman" w:cs="Times New Roman"/>
        </w:rPr>
        <w:t xml:space="preserve">I – Regras de Validação do Registro: </w:t>
      </w:r>
    </w:p>
    <w:p w:rsidR="00F03063" w:rsidRDefault="00F03063" w:rsidP="00F03063">
      <w:pPr>
        <w:pStyle w:val="PSDS-MarcadoresNivel2"/>
        <w:numPr>
          <w:ilvl w:val="0"/>
          <w:numId w:val="0"/>
        </w:numPr>
        <w:rPr>
          <w:rFonts w:ascii="Times New Roman" w:hAnsi="Times New Roman" w:cs="Times New Roman"/>
        </w:rPr>
      </w:pPr>
    </w:p>
    <w:p w:rsidR="00F03063" w:rsidRDefault="00F03063" w:rsidP="00F03063">
      <w:pPr>
        <w:pStyle w:val="PSDS-MarcadoresNivel2"/>
        <w:numPr>
          <w:ilvl w:val="0"/>
          <w:numId w:val="0"/>
        </w:numPr>
        <w:ind w:left="708"/>
        <w:rPr>
          <w:rFonts w:ascii="Times New Roman" w:hAnsi="Times New Roman" w:cs="Times New Roman"/>
          <w:b w:val="0"/>
          <w:bCs/>
        </w:rPr>
      </w:pPr>
      <w:r>
        <w:rPr>
          <w:rFonts w:ascii="Times New Roman" w:hAnsi="Times New Roman" w:cs="Times New Roman"/>
        </w:rPr>
        <w:t xml:space="preserve">REGRA_W300_OBSERVACOES: </w:t>
      </w:r>
      <w:r>
        <w:rPr>
          <w:rFonts w:ascii="Times New Roman" w:hAnsi="Times New Roman" w:cs="Times New Roman"/>
          <w:b w:val="0"/>
          <w:bCs/>
        </w:rPr>
        <w:t>Verifica, quando W100.IND_ENTREGA for igual a “4” (Outra Entidade), se somente o campo W300.OBSERVACOES foi habilitado para preenchimento. Os demais campos devem ser desabilitados e não devem estar preenchidos.</w:t>
      </w:r>
    </w:p>
    <w:p w:rsidR="00F03063" w:rsidRDefault="00F03063" w:rsidP="00F03063">
      <w:pPr>
        <w:pStyle w:val="PSDS-MarcadoresNivel2"/>
        <w:numPr>
          <w:ilvl w:val="0"/>
          <w:numId w:val="0"/>
        </w:numPr>
        <w:rPr>
          <w:rFonts w:ascii="Times New Roman" w:hAnsi="Times New Roman" w:cs="Times New Roman"/>
          <w:b w:val="0"/>
          <w:bCs/>
        </w:rPr>
      </w:pPr>
    </w:p>
    <w:p w:rsidR="00F03063" w:rsidRDefault="00F03063" w:rsidP="00F03063">
      <w:pPr>
        <w:rPr>
          <w:rFonts w:cs="Times New Roman"/>
          <w:b/>
          <w:bCs/>
          <w:lang w:val="pt-PT"/>
        </w:rPr>
      </w:pPr>
      <w:r>
        <w:rPr>
          <w:rFonts w:cs="Times New Roman"/>
          <w:b/>
          <w:bCs/>
          <w:lang w:val="pt-PT"/>
        </w:rPr>
        <w:t>II – Regras de Validação de Campos: Não há.</w:t>
      </w:r>
    </w:p>
    <w:p w:rsidR="0086372F" w:rsidRPr="0070069F" w:rsidRDefault="0086372F" w:rsidP="00447087">
      <w:pPr>
        <w:pStyle w:val="Corpodetexto"/>
        <w:rPr>
          <w:rFonts w:ascii="Times New Roman" w:hAnsi="Times New Roman"/>
          <w:b/>
          <w:color w:val="002060"/>
          <w:szCs w:val="20"/>
        </w:rPr>
      </w:pPr>
    </w:p>
    <w:p w:rsidR="00447087" w:rsidRPr="0070069F" w:rsidRDefault="00447087" w:rsidP="00447087">
      <w:pPr>
        <w:pStyle w:val="Corpodetexto"/>
        <w:rPr>
          <w:rFonts w:ascii="Times New Roman" w:hAnsi="Times New Roman"/>
          <w:b/>
          <w:color w:val="002060"/>
          <w:szCs w:val="20"/>
        </w:rPr>
      </w:pPr>
      <w:r w:rsidRPr="0070069F">
        <w:rPr>
          <w:rFonts w:ascii="Times New Roman" w:hAnsi="Times New Roman"/>
          <w:b/>
          <w:color w:val="002060"/>
          <w:szCs w:val="20"/>
        </w:rPr>
        <w:t xml:space="preserve">Exemplo de Preenchimento: </w:t>
      </w:r>
    </w:p>
    <w:p w:rsidR="00447087" w:rsidRPr="0070069F" w:rsidRDefault="00447087" w:rsidP="00447087">
      <w:pPr>
        <w:pStyle w:val="Corpodetexto"/>
        <w:rPr>
          <w:rFonts w:ascii="Times New Roman" w:hAnsi="Times New Roman"/>
          <w:b/>
          <w:color w:val="002060"/>
          <w:szCs w:val="20"/>
        </w:rPr>
      </w:pPr>
    </w:p>
    <w:p w:rsidR="00447087" w:rsidRPr="0070069F" w:rsidRDefault="00447087" w:rsidP="00447087">
      <w:pPr>
        <w:pStyle w:val="Corpodetexto"/>
        <w:rPr>
          <w:rFonts w:ascii="Times New Roman" w:hAnsi="Times New Roman"/>
          <w:b/>
          <w:color w:val="002060"/>
          <w:szCs w:val="20"/>
        </w:rPr>
      </w:pPr>
      <w:r w:rsidRPr="0070069F">
        <w:rPr>
          <w:rFonts w:ascii="Times New Roman" w:hAnsi="Times New Roman"/>
          <w:b/>
          <w:color w:val="002060"/>
          <w:szCs w:val="20"/>
        </w:rPr>
        <w:t>|W300|105|S|N|N|N|N</w:t>
      </w:r>
      <w:r w:rsidR="002C1E7B" w:rsidRPr="0070069F">
        <w:rPr>
          <w:rFonts w:ascii="Times New Roman" w:hAnsi="Times New Roman"/>
          <w:b/>
          <w:color w:val="002060"/>
          <w:szCs w:val="20"/>
        </w:rPr>
        <w:t>|N|N|N|N|N|OBSERVAÇÕES|W300FIM|</w:t>
      </w:r>
    </w:p>
    <w:p w:rsidR="00447087" w:rsidRPr="0070069F" w:rsidRDefault="00447087" w:rsidP="00447087">
      <w:pPr>
        <w:pStyle w:val="Corpodetexto"/>
        <w:ind w:firstLine="708"/>
        <w:rPr>
          <w:rFonts w:ascii="Times New Roman" w:hAnsi="Times New Roman"/>
          <w:color w:val="002060"/>
          <w:szCs w:val="20"/>
        </w:rPr>
      </w:pPr>
      <w:r w:rsidRPr="0070069F">
        <w:rPr>
          <w:rFonts w:ascii="Times New Roman" w:hAnsi="Times New Roman"/>
          <w:color w:val="002060"/>
          <w:szCs w:val="20"/>
        </w:rPr>
        <w:t>|W300|: Identificação do tipo do registro.</w:t>
      </w:r>
    </w:p>
    <w:p w:rsidR="00447087" w:rsidRPr="0070069F" w:rsidRDefault="00447087" w:rsidP="00447087">
      <w:pPr>
        <w:pStyle w:val="Corpodetexto"/>
        <w:ind w:firstLine="708"/>
        <w:rPr>
          <w:rFonts w:ascii="Times New Roman" w:hAnsi="Times New Roman"/>
          <w:color w:val="002060"/>
          <w:szCs w:val="20"/>
        </w:rPr>
      </w:pPr>
      <w:r w:rsidRPr="0070069F">
        <w:rPr>
          <w:rFonts w:ascii="Times New Roman" w:hAnsi="Times New Roman"/>
          <w:color w:val="002060"/>
          <w:szCs w:val="20"/>
        </w:rPr>
        <w:t>|105|: País.</w:t>
      </w:r>
    </w:p>
    <w:p w:rsidR="00447087" w:rsidRPr="0070069F" w:rsidRDefault="00447087" w:rsidP="00447087">
      <w:pPr>
        <w:pStyle w:val="Corpodetexto"/>
        <w:ind w:firstLine="708"/>
        <w:rPr>
          <w:rFonts w:ascii="Times New Roman" w:hAnsi="Times New Roman"/>
          <w:color w:val="002060"/>
          <w:szCs w:val="20"/>
        </w:rPr>
      </w:pPr>
      <w:r w:rsidRPr="0070069F">
        <w:rPr>
          <w:rFonts w:ascii="Times New Roman" w:hAnsi="Times New Roman"/>
          <w:color w:val="002060"/>
          <w:szCs w:val="20"/>
        </w:rPr>
        <w:t>|S|: O campo “Receitas Provenientes de Partes Não Relacionadas” é tratado nas observações adicionais? (S = Sim).</w:t>
      </w:r>
    </w:p>
    <w:p w:rsidR="00447087" w:rsidRPr="0070069F" w:rsidRDefault="00447087" w:rsidP="00447087">
      <w:pPr>
        <w:pStyle w:val="Corpodetexto"/>
        <w:ind w:firstLine="708"/>
        <w:rPr>
          <w:rFonts w:ascii="Times New Roman" w:hAnsi="Times New Roman"/>
          <w:color w:val="002060"/>
          <w:szCs w:val="20"/>
        </w:rPr>
      </w:pPr>
      <w:r w:rsidRPr="0070069F">
        <w:rPr>
          <w:rFonts w:ascii="Times New Roman" w:hAnsi="Times New Roman"/>
          <w:color w:val="002060"/>
          <w:szCs w:val="20"/>
        </w:rPr>
        <w:t>|N|: O campo “Receitas Provenientes de Parte Relacionadas” é tratado nas observações adicionais? (N = Não).</w:t>
      </w:r>
    </w:p>
    <w:p w:rsidR="00447087" w:rsidRPr="0070069F" w:rsidRDefault="00447087" w:rsidP="00447087">
      <w:pPr>
        <w:pStyle w:val="Corpodetexto"/>
        <w:ind w:firstLine="708"/>
        <w:rPr>
          <w:rFonts w:ascii="Times New Roman" w:hAnsi="Times New Roman"/>
          <w:color w:val="002060"/>
          <w:szCs w:val="20"/>
        </w:rPr>
      </w:pPr>
      <w:r w:rsidRPr="0070069F">
        <w:rPr>
          <w:rFonts w:ascii="Times New Roman" w:hAnsi="Times New Roman"/>
          <w:color w:val="002060"/>
          <w:szCs w:val="20"/>
        </w:rPr>
        <w:t>|N|: O campo “Receita Total” é tratado nas observações adicionais? (N = Não).</w:t>
      </w:r>
    </w:p>
    <w:p w:rsidR="00447087" w:rsidRPr="0070069F" w:rsidRDefault="00447087" w:rsidP="00447087">
      <w:pPr>
        <w:pStyle w:val="Corpodetexto"/>
        <w:ind w:firstLine="708"/>
        <w:rPr>
          <w:rFonts w:ascii="Times New Roman" w:hAnsi="Times New Roman"/>
          <w:color w:val="002060"/>
          <w:szCs w:val="20"/>
        </w:rPr>
      </w:pPr>
      <w:r w:rsidRPr="0070069F">
        <w:rPr>
          <w:rFonts w:ascii="Times New Roman" w:hAnsi="Times New Roman"/>
          <w:color w:val="002060"/>
          <w:szCs w:val="20"/>
        </w:rPr>
        <w:t>|N|: O campo “Lucros ou Prejuízos Antes do IR” é tratado nas observações adicionais? (N = Não).</w:t>
      </w:r>
    </w:p>
    <w:p w:rsidR="00447087" w:rsidRPr="0070069F" w:rsidRDefault="00447087" w:rsidP="00447087">
      <w:pPr>
        <w:pStyle w:val="Corpodetexto"/>
        <w:ind w:firstLine="708"/>
        <w:rPr>
          <w:rFonts w:ascii="Times New Roman" w:hAnsi="Times New Roman"/>
          <w:color w:val="002060"/>
          <w:szCs w:val="20"/>
        </w:rPr>
      </w:pPr>
      <w:r w:rsidRPr="0070069F">
        <w:rPr>
          <w:rFonts w:ascii="Times New Roman" w:hAnsi="Times New Roman"/>
          <w:color w:val="002060"/>
          <w:szCs w:val="20"/>
        </w:rPr>
        <w:t>|N|: O campo “Imposto de Renda Pago” é tratado nas observações adicionais? (N = Não).</w:t>
      </w:r>
    </w:p>
    <w:p w:rsidR="00447087" w:rsidRPr="0070069F" w:rsidRDefault="00447087" w:rsidP="00447087">
      <w:pPr>
        <w:pStyle w:val="Corpodetexto"/>
        <w:ind w:firstLine="708"/>
        <w:rPr>
          <w:rFonts w:ascii="Times New Roman" w:hAnsi="Times New Roman"/>
          <w:color w:val="002060"/>
          <w:szCs w:val="20"/>
        </w:rPr>
      </w:pPr>
      <w:r w:rsidRPr="0070069F">
        <w:rPr>
          <w:rFonts w:ascii="Times New Roman" w:hAnsi="Times New Roman"/>
          <w:color w:val="002060"/>
          <w:szCs w:val="20"/>
        </w:rPr>
        <w:t>|N|: O campo “Imposto de Renda Devido” é tratado nas observações adicionais? (N = Não).</w:t>
      </w:r>
    </w:p>
    <w:p w:rsidR="00447087" w:rsidRPr="0070069F" w:rsidRDefault="00447087" w:rsidP="00447087">
      <w:pPr>
        <w:pStyle w:val="Corpodetexto"/>
        <w:ind w:firstLine="708"/>
        <w:rPr>
          <w:rFonts w:ascii="Times New Roman" w:hAnsi="Times New Roman"/>
          <w:color w:val="002060"/>
          <w:szCs w:val="20"/>
        </w:rPr>
      </w:pPr>
      <w:r w:rsidRPr="0070069F">
        <w:rPr>
          <w:rFonts w:ascii="Times New Roman" w:hAnsi="Times New Roman"/>
          <w:color w:val="002060"/>
          <w:szCs w:val="20"/>
        </w:rPr>
        <w:t>|N|: O campo “Capital Social” é tratado nas observações adicionais? (N = Não).</w:t>
      </w:r>
    </w:p>
    <w:p w:rsidR="00447087" w:rsidRPr="0070069F" w:rsidRDefault="00447087" w:rsidP="00447087">
      <w:pPr>
        <w:pStyle w:val="Corpodetexto"/>
        <w:ind w:firstLine="708"/>
        <w:rPr>
          <w:rFonts w:ascii="Times New Roman" w:hAnsi="Times New Roman"/>
          <w:color w:val="002060"/>
          <w:szCs w:val="20"/>
        </w:rPr>
      </w:pPr>
      <w:r w:rsidRPr="0070069F">
        <w:rPr>
          <w:rFonts w:ascii="Times New Roman" w:hAnsi="Times New Roman"/>
          <w:color w:val="002060"/>
          <w:szCs w:val="20"/>
        </w:rPr>
        <w:t>|N|: O campo “Lucros Acumulados” é tratado nas observações adicionais? (N = Não).</w:t>
      </w:r>
    </w:p>
    <w:p w:rsidR="00447087" w:rsidRPr="0070069F" w:rsidRDefault="00447087" w:rsidP="00447087">
      <w:pPr>
        <w:pStyle w:val="Corpodetexto"/>
        <w:ind w:firstLine="708"/>
        <w:rPr>
          <w:rFonts w:ascii="Times New Roman" w:hAnsi="Times New Roman"/>
          <w:color w:val="002060"/>
          <w:szCs w:val="20"/>
        </w:rPr>
      </w:pPr>
      <w:r w:rsidRPr="0070069F">
        <w:rPr>
          <w:rFonts w:ascii="Times New Roman" w:hAnsi="Times New Roman"/>
          <w:color w:val="002060"/>
          <w:szCs w:val="20"/>
        </w:rPr>
        <w:t>|N|: O campo “Ativos Tangíveis” é tratado nas observações adicionais? (N = Não).</w:t>
      </w:r>
    </w:p>
    <w:p w:rsidR="00447087" w:rsidRPr="0070069F" w:rsidRDefault="00447087" w:rsidP="00447087">
      <w:pPr>
        <w:pStyle w:val="Corpodetexto"/>
        <w:ind w:firstLine="708"/>
        <w:rPr>
          <w:rFonts w:ascii="Times New Roman" w:hAnsi="Times New Roman"/>
          <w:color w:val="002060"/>
          <w:szCs w:val="20"/>
        </w:rPr>
      </w:pPr>
      <w:r w:rsidRPr="0070069F">
        <w:rPr>
          <w:rFonts w:ascii="Times New Roman" w:hAnsi="Times New Roman"/>
          <w:color w:val="002060"/>
          <w:szCs w:val="20"/>
        </w:rPr>
        <w:t>|N|: O campo “Número de Empregados” é tratado nas observações adicionais? (N = Não).</w:t>
      </w:r>
    </w:p>
    <w:p w:rsidR="002C1E7B" w:rsidRPr="0070069F" w:rsidRDefault="002C1E7B" w:rsidP="00447087">
      <w:pPr>
        <w:pStyle w:val="Corpodetexto"/>
        <w:ind w:firstLine="708"/>
        <w:rPr>
          <w:rFonts w:ascii="Times New Roman" w:hAnsi="Times New Roman"/>
          <w:color w:val="002060"/>
          <w:szCs w:val="20"/>
        </w:rPr>
      </w:pPr>
      <w:r w:rsidRPr="0070069F">
        <w:rPr>
          <w:rFonts w:ascii="Times New Roman" w:hAnsi="Times New Roman"/>
          <w:color w:val="002060"/>
          <w:szCs w:val="20"/>
        </w:rPr>
        <w:t>|OBSERVAÇÕES|: Observações.</w:t>
      </w:r>
    </w:p>
    <w:p w:rsidR="002C1E7B" w:rsidRPr="0070069F" w:rsidRDefault="002C1E7B" w:rsidP="00447087">
      <w:pPr>
        <w:pStyle w:val="Corpodetexto"/>
        <w:ind w:firstLine="708"/>
        <w:rPr>
          <w:rFonts w:ascii="Times New Roman" w:hAnsi="Times New Roman"/>
          <w:color w:val="002060"/>
          <w:szCs w:val="20"/>
        </w:rPr>
      </w:pPr>
      <w:r w:rsidRPr="0070069F">
        <w:rPr>
          <w:rFonts w:ascii="Times New Roman" w:hAnsi="Times New Roman"/>
          <w:color w:val="002060"/>
          <w:szCs w:val="20"/>
        </w:rPr>
        <w:t>|W300FIM|: Fim das observações.</w:t>
      </w:r>
    </w:p>
    <w:p w:rsidR="00447087" w:rsidRPr="0070069F" w:rsidRDefault="00447087" w:rsidP="00447087">
      <w:pPr>
        <w:pStyle w:val="Corpodetexto"/>
        <w:ind w:firstLine="708"/>
        <w:rPr>
          <w:rFonts w:ascii="Times New Roman" w:hAnsi="Times New Roman"/>
          <w:color w:val="002060"/>
          <w:szCs w:val="20"/>
        </w:rPr>
      </w:pPr>
    </w:p>
    <w:p w:rsidR="00447087" w:rsidRPr="0070069F" w:rsidRDefault="00447087" w:rsidP="00447087">
      <w:pPr>
        <w:pStyle w:val="Corpodetexto"/>
        <w:ind w:firstLine="708"/>
        <w:rPr>
          <w:rFonts w:ascii="Times New Roman" w:hAnsi="Times New Roman"/>
          <w:color w:val="002060"/>
          <w:szCs w:val="20"/>
        </w:rPr>
      </w:pPr>
    </w:p>
    <w:p w:rsidR="00447087" w:rsidRPr="0070069F" w:rsidRDefault="00447087" w:rsidP="00447087">
      <w:pPr>
        <w:pStyle w:val="Corpodetexto"/>
        <w:ind w:firstLine="708"/>
        <w:rPr>
          <w:rFonts w:ascii="Times New Roman" w:hAnsi="Times New Roman"/>
          <w:color w:val="002060"/>
          <w:szCs w:val="20"/>
        </w:rPr>
      </w:pPr>
    </w:p>
    <w:p w:rsidR="00447087" w:rsidRPr="0070069F" w:rsidRDefault="00447087" w:rsidP="00447087">
      <w:pPr>
        <w:pStyle w:val="Corpodetexto"/>
        <w:ind w:firstLine="708"/>
        <w:rPr>
          <w:rFonts w:ascii="Times New Roman" w:hAnsi="Times New Roman"/>
          <w:color w:val="002060"/>
          <w:szCs w:val="20"/>
        </w:rPr>
      </w:pPr>
    </w:p>
    <w:p w:rsidR="00447087" w:rsidRPr="0070069F" w:rsidRDefault="00447087" w:rsidP="00447087">
      <w:pPr>
        <w:pStyle w:val="Corpodetexto"/>
        <w:ind w:firstLine="708"/>
        <w:rPr>
          <w:rFonts w:ascii="Times New Roman" w:hAnsi="Times New Roman"/>
          <w:color w:val="002060"/>
          <w:szCs w:val="20"/>
        </w:rPr>
      </w:pPr>
    </w:p>
    <w:p w:rsidR="00AC6AFC" w:rsidRPr="0070069F" w:rsidRDefault="00AC6AFC" w:rsidP="00447087">
      <w:pPr>
        <w:pStyle w:val="Corpodetexto"/>
        <w:rPr>
          <w:rFonts w:ascii="Times New Roman" w:hAnsi="Times New Roman"/>
          <w:color w:val="002060"/>
          <w:szCs w:val="20"/>
        </w:rPr>
      </w:pPr>
    </w:p>
    <w:p w:rsidR="009C1D92" w:rsidRPr="0070069F" w:rsidRDefault="009C1D92">
      <w:pPr>
        <w:spacing w:after="200" w:line="276" w:lineRule="auto"/>
        <w:rPr>
          <w:color w:val="0000FF"/>
          <w:szCs w:val="20"/>
        </w:rPr>
      </w:pPr>
    </w:p>
    <w:p w:rsidR="00DE2FC8" w:rsidRPr="0070069F" w:rsidRDefault="00DE2FC8" w:rsidP="00DE2FC8">
      <w:pPr>
        <w:spacing w:after="200" w:line="276" w:lineRule="auto"/>
        <w:jc w:val="center"/>
        <w:rPr>
          <w:b/>
          <w:bCs/>
          <w:color w:val="0000FF"/>
          <w:szCs w:val="20"/>
        </w:rPr>
      </w:pPr>
      <w:r w:rsidRPr="0070069F">
        <w:rPr>
          <w:color w:val="0000FF"/>
          <w:szCs w:val="20"/>
        </w:rPr>
        <w:br w:type="page"/>
      </w:r>
    </w:p>
    <w:p w:rsidR="00A0125B" w:rsidRPr="0070069F" w:rsidRDefault="00A0125B" w:rsidP="00867F54">
      <w:pPr>
        <w:pStyle w:val="Ttulo4"/>
      </w:pPr>
      <w:bookmarkStart w:id="386" w:name="_Toc479713790"/>
      <w:r w:rsidRPr="0070069F">
        <w:lastRenderedPageBreak/>
        <w:t>Registro W990: Encerramento do Bloco W</w:t>
      </w:r>
      <w:bookmarkEnd w:id="386"/>
    </w:p>
    <w:p w:rsidR="00A0125B" w:rsidRPr="0070069F" w:rsidRDefault="00A0125B" w:rsidP="00A0125B">
      <w:pPr>
        <w:pStyle w:val="Corpodetexto"/>
        <w:jc w:val="center"/>
        <w:rPr>
          <w:rFonts w:ascii="Times New Roman" w:hAnsi="Times New Roman"/>
          <w:b/>
          <w:color w:val="002060"/>
          <w:szCs w:val="20"/>
        </w:rPr>
      </w:pPr>
    </w:p>
    <w:p w:rsidR="00A0125B" w:rsidRPr="0070069F" w:rsidRDefault="00B35FA3" w:rsidP="00A0125B">
      <w:pPr>
        <w:pStyle w:val="Corpodetexto"/>
        <w:jc w:val="center"/>
        <w:rPr>
          <w:rFonts w:ascii="Times New Roman" w:hAnsi="Times New Roman"/>
          <w:b/>
          <w:color w:val="002060"/>
          <w:szCs w:val="20"/>
        </w:rPr>
      </w:pPr>
      <w:r>
        <w:rPr>
          <w:rFonts w:ascii="Times New Roman" w:hAnsi="Times New Roman"/>
          <w:b/>
          <w:color w:val="002060"/>
          <w:szCs w:val="20"/>
        </w:rPr>
        <w:object w:dxaOrig="14100" w:dyaOrig="2175">
          <v:shape id="_x0000_i1891" type="#_x0000_t75" style="width:705pt;height:109.5pt" o:ole="">
            <v:imagedata r:id="rId640" o:title=""/>
          </v:shape>
          <o:OLEObject Type="Link" ProgID="Excel.Sheet.12" ShapeID="_x0000_i1891" DrawAspect="Content" r:id="rId641" UpdateMode="Always">
            <o:LinkType>EnhancedMetaFile</o:LinkType>
            <o:LockedField>false</o:LockedField>
            <o:FieldCodes>\* MERGEFORMAT</o:FieldCodes>
          </o:OLEObject>
        </w:object>
      </w:r>
    </w:p>
    <w:p w:rsidR="00A0125B" w:rsidRPr="0070069F" w:rsidRDefault="00A0125B" w:rsidP="00A0125B">
      <w:pPr>
        <w:pStyle w:val="Corpodetexto"/>
        <w:rPr>
          <w:rFonts w:ascii="Times New Roman" w:hAnsi="Times New Roman"/>
          <w:b/>
          <w:color w:val="002060"/>
          <w:szCs w:val="20"/>
        </w:rPr>
      </w:pPr>
    </w:p>
    <w:p w:rsidR="00A0125B" w:rsidRPr="0070069F" w:rsidRDefault="00A0125B" w:rsidP="00A0125B">
      <w:pPr>
        <w:pStyle w:val="Corpodetexto"/>
        <w:rPr>
          <w:rFonts w:ascii="Times New Roman" w:hAnsi="Times New Roman"/>
          <w:b/>
          <w:color w:val="002060"/>
          <w:szCs w:val="20"/>
        </w:rPr>
      </w:pPr>
      <w:r w:rsidRPr="0070069F">
        <w:rPr>
          <w:rFonts w:ascii="Times New Roman" w:hAnsi="Times New Roman"/>
          <w:b/>
          <w:color w:val="002060"/>
          <w:szCs w:val="20"/>
        </w:rPr>
        <w:t xml:space="preserve">Exemplo de Preenchimento: </w:t>
      </w:r>
    </w:p>
    <w:p w:rsidR="00A0125B" w:rsidRPr="0070069F" w:rsidRDefault="00A0125B" w:rsidP="00A0125B">
      <w:pPr>
        <w:pStyle w:val="Corpodetexto"/>
        <w:rPr>
          <w:rFonts w:ascii="Times New Roman" w:hAnsi="Times New Roman"/>
          <w:b/>
          <w:color w:val="002060"/>
          <w:szCs w:val="20"/>
        </w:rPr>
      </w:pPr>
    </w:p>
    <w:p w:rsidR="00A0125B" w:rsidRPr="0070069F" w:rsidRDefault="00A0125B" w:rsidP="00A0125B">
      <w:pPr>
        <w:pStyle w:val="Corpodetexto"/>
        <w:rPr>
          <w:rFonts w:ascii="Times New Roman" w:hAnsi="Times New Roman"/>
          <w:b/>
          <w:color w:val="002060"/>
          <w:szCs w:val="20"/>
        </w:rPr>
      </w:pPr>
      <w:r w:rsidRPr="0070069F">
        <w:rPr>
          <w:rFonts w:ascii="Times New Roman" w:hAnsi="Times New Roman"/>
          <w:b/>
          <w:color w:val="002060"/>
          <w:szCs w:val="20"/>
        </w:rPr>
        <w:t>|W990|200|</w:t>
      </w:r>
    </w:p>
    <w:p w:rsidR="00A0125B" w:rsidRPr="0070069F" w:rsidRDefault="00A0125B" w:rsidP="00A0125B">
      <w:pPr>
        <w:pStyle w:val="Corpodetexto"/>
        <w:ind w:firstLine="708"/>
        <w:rPr>
          <w:rFonts w:ascii="Times New Roman" w:hAnsi="Times New Roman"/>
          <w:color w:val="002060"/>
          <w:szCs w:val="20"/>
        </w:rPr>
      </w:pPr>
      <w:r w:rsidRPr="0070069F">
        <w:rPr>
          <w:rFonts w:ascii="Times New Roman" w:hAnsi="Times New Roman"/>
          <w:color w:val="002060"/>
          <w:szCs w:val="20"/>
        </w:rPr>
        <w:t>|W990|: Identificação do tipo do registro.</w:t>
      </w:r>
    </w:p>
    <w:p w:rsidR="00A0125B" w:rsidRPr="00FA3856" w:rsidRDefault="00A0125B" w:rsidP="00A0125B">
      <w:pPr>
        <w:pStyle w:val="Corpodetexto"/>
        <w:ind w:firstLine="708"/>
        <w:rPr>
          <w:rFonts w:ascii="Times New Roman" w:hAnsi="Times New Roman"/>
          <w:color w:val="002060"/>
          <w:szCs w:val="20"/>
        </w:rPr>
      </w:pPr>
      <w:r w:rsidRPr="0070069F">
        <w:rPr>
          <w:rFonts w:ascii="Times New Roman" w:hAnsi="Times New Roman"/>
          <w:color w:val="002060"/>
          <w:szCs w:val="20"/>
        </w:rPr>
        <w:t>|200|: A quantidade total de registros do Bloco W é 200 (duzentos registros).</w:t>
      </w:r>
    </w:p>
    <w:p w:rsidR="00A0125B" w:rsidRDefault="00A0125B" w:rsidP="00A0125B">
      <w:pPr>
        <w:pStyle w:val="PSDS-MarcadoresNivel2"/>
        <w:numPr>
          <w:ilvl w:val="0"/>
          <w:numId w:val="0"/>
        </w:numPr>
        <w:rPr>
          <w:rFonts w:ascii="Times New Roman" w:hAnsi="Times New Roman"/>
        </w:rPr>
      </w:pPr>
    </w:p>
    <w:p w:rsidR="00A0125B" w:rsidRPr="00A0125B" w:rsidRDefault="00A0125B" w:rsidP="00A0125B"/>
    <w:p w:rsidR="00A0125B" w:rsidRPr="00FA3856" w:rsidRDefault="00A0125B" w:rsidP="00F11E71">
      <w:pPr>
        <w:pStyle w:val="PSDS-MarcadoresNivel2"/>
        <w:numPr>
          <w:ilvl w:val="0"/>
          <w:numId w:val="0"/>
        </w:numPr>
        <w:rPr>
          <w:rFonts w:ascii="Times New Roman" w:hAnsi="Times New Roman"/>
        </w:rPr>
      </w:pPr>
    </w:p>
    <w:p w:rsidR="002C4B9D" w:rsidRPr="00FA3856" w:rsidRDefault="002C4B9D">
      <w:pPr>
        <w:rPr>
          <w:b/>
          <w:bCs/>
          <w:color w:val="0000FF"/>
          <w:szCs w:val="20"/>
        </w:rPr>
      </w:pPr>
      <w:r w:rsidRPr="00FA3856">
        <w:rPr>
          <w:color w:val="0000FF"/>
          <w:szCs w:val="20"/>
        </w:rPr>
        <w:br w:type="page"/>
      </w:r>
    </w:p>
    <w:p w:rsidR="003B49DF" w:rsidRPr="00FA3856" w:rsidRDefault="003B49DF" w:rsidP="00867F54">
      <w:pPr>
        <w:pStyle w:val="Ttulo3"/>
      </w:pPr>
      <w:bookmarkStart w:id="387" w:name="_Toc479713791"/>
      <w:r w:rsidRPr="00FA3856">
        <w:lastRenderedPageBreak/>
        <w:t>Bloco X: Informações Econômicas</w:t>
      </w:r>
      <w:bookmarkEnd w:id="387"/>
    </w:p>
    <w:p w:rsidR="003B49DF" w:rsidRPr="00FA3856" w:rsidRDefault="003B49DF" w:rsidP="003B49DF">
      <w:pPr>
        <w:pStyle w:val="PSDS-MarcadoresNivel3"/>
        <w:tabs>
          <w:tab w:val="clear" w:pos="1440"/>
        </w:tabs>
        <w:spacing w:before="0" w:after="0"/>
        <w:ind w:left="0" w:firstLine="0"/>
        <w:rPr>
          <w:rFonts w:ascii="Times New Roman" w:hAnsi="Times New Roman" w:cs="Times New Roman"/>
          <w:color w:val="0000FF"/>
          <w:szCs w:val="20"/>
        </w:rPr>
      </w:pPr>
    </w:p>
    <w:p w:rsidR="003B49DF" w:rsidRPr="00FA3856" w:rsidRDefault="003B49DF" w:rsidP="00867F54">
      <w:pPr>
        <w:pStyle w:val="Ttulo4"/>
      </w:pPr>
      <w:bookmarkStart w:id="388" w:name="_Toc479713792"/>
      <w:r w:rsidRPr="00FA3856">
        <w:t>Registro X00</w:t>
      </w:r>
      <w:bookmarkStart w:id="389" w:name="BM18B/02"/>
      <w:bookmarkEnd w:id="389"/>
      <w:r w:rsidRPr="00FA3856">
        <w:t>1: Abertura do Bloco X</w:t>
      </w:r>
      <w:bookmarkEnd w:id="388"/>
    </w:p>
    <w:p w:rsidR="00E22E12" w:rsidRDefault="00E22E12" w:rsidP="003B49DF">
      <w:pPr>
        <w:pStyle w:val="PSDS-MarcadoresNivel2"/>
        <w:numPr>
          <w:ilvl w:val="0"/>
          <w:numId w:val="0"/>
        </w:numPr>
        <w:rPr>
          <w:rFonts w:ascii="Times New Roman" w:hAnsi="Times New Roman"/>
        </w:rPr>
      </w:pPr>
    </w:p>
    <w:p w:rsidR="00E22E12" w:rsidRDefault="00B35FA3" w:rsidP="00E22E12">
      <w:pPr>
        <w:pStyle w:val="PSDS-MarcadoresNivel2"/>
        <w:numPr>
          <w:ilvl w:val="0"/>
          <w:numId w:val="0"/>
        </w:numPr>
        <w:jc w:val="center"/>
        <w:rPr>
          <w:rFonts w:ascii="Times New Roman" w:hAnsi="Times New Roman"/>
        </w:rPr>
      </w:pPr>
      <w:r>
        <w:rPr>
          <w:rFonts w:ascii="Times New Roman" w:hAnsi="Times New Roman"/>
        </w:rPr>
        <w:object w:dxaOrig="13305" w:dyaOrig="3090">
          <v:shape id="_x0000_i1893" type="#_x0000_t75" style="width:710.25pt;height:150pt" o:ole="">
            <v:imagedata r:id="rId642" o:title=""/>
          </v:shape>
          <o:OLEObject Type="Link" ProgID="Excel.Sheet.12" ShapeID="_x0000_i1893" DrawAspect="Content" r:id="rId643" UpdateMode="Always">
            <o:LinkType>EnhancedMetaFile</o:LinkType>
            <o:LockedField>false</o:LockedField>
          </o:OLEObject>
        </w:object>
      </w:r>
    </w:p>
    <w:p w:rsidR="00E22E12" w:rsidRDefault="00E22E12" w:rsidP="003B49DF">
      <w:pPr>
        <w:pStyle w:val="PSDS-MarcadoresNivel2"/>
        <w:numPr>
          <w:ilvl w:val="0"/>
          <w:numId w:val="0"/>
        </w:numPr>
        <w:rPr>
          <w:rFonts w:ascii="Times New Roman" w:hAnsi="Times New Roman"/>
        </w:rPr>
      </w:pPr>
    </w:p>
    <w:p w:rsidR="003B49DF" w:rsidRPr="00FA3856" w:rsidRDefault="003B49DF" w:rsidP="003B49DF">
      <w:pPr>
        <w:pStyle w:val="PSDS-MarcadoresNivel2"/>
        <w:numPr>
          <w:ilvl w:val="0"/>
          <w:numId w:val="0"/>
        </w:numPr>
        <w:rPr>
          <w:rFonts w:ascii="Times New Roman" w:hAnsi="Times New Roman"/>
        </w:rPr>
      </w:pPr>
      <w:r w:rsidRPr="00FA3856">
        <w:rPr>
          <w:rFonts w:ascii="Times New Roman" w:hAnsi="Times New Roman"/>
        </w:rPr>
        <w:t>I – Regras de Validação do Registro:</w:t>
      </w:r>
    </w:p>
    <w:p w:rsidR="003B49DF" w:rsidRPr="00FA3856" w:rsidRDefault="003B49DF" w:rsidP="003B49DF">
      <w:pPr>
        <w:pStyle w:val="PSDS-MarcadoresNivel2"/>
        <w:numPr>
          <w:ilvl w:val="0"/>
          <w:numId w:val="0"/>
        </w:numPr>
        <w:rPr>
          <w:rFonts w:ascii="Times New Roman" w:hAnsi="Times New Roman"/>
        </w:rPr>
      </w:pPr>
    </w:p>
    <w:p w:rsidR="00613A0F" w:rsidRPr="00FA3856" w:rsidRDefault="007D0E74" w:rsidP="00761FA3">
      <w:pPr>
        <w:pStyle w:val="Corpodetexto"/>
        <w:ind w:left="708" w:firstLine="12"/>
        <w:rPr>
          <w:rFonts w:ascii="Times New Roman" w:hAnsi="Times New Roman"/>
          <w:szCs w:val="20"/>
        </w:rPr>
      </w:pPr>
      <w:hyperlink r:id="rId644" w:anchor="REGRA_OCORRENCIA_UNITARIA_ARQ" w:history="1">
        <w:r w:rsidR="003B49DF" w:rsidRPr="00FA3856">
          <w:rPr>
            <w:rFonts w:ascii="Times New Roman" w:hAnsi="Times New Roman"/>
            <w:b/>
            <w:szCs w:val="20"/>
          </w:rPr>
          <w:t>REGRA_OCORRENCIA_UNITARIA_ARQ</w:t>
        </w:r>
      </w:hyperlink>
      <w:r w:rsidR="003B49DF" w:rsidRPr="00FA3856">
        <w:rPr>
          <w:rFonts w:ascii="Times New Roman" w:hAnsi="Times New Roman"/>
          <w:color w:val="auto"/>
          <w:szCs w:val="20"/>
        </w:rPr>
        <w:t xml:space="preserve">: </w:t>
      </w:r>
      <w:r w:rsidR="003B49DF" w:rsidRPr="00FA3856">
        <w:rPr>
          <w:rFonts w:ascii="Times New Roman" w:hAnsi="Times New Roman"/>
          <w:szCs w:val="20"/>
        </w:rPr>
        <w:t>Verifica se registro ocorreu apenas uma vez por arquivo, considerando a chave “X001” (REG). Se a regra não for cumprid</w:t>
      </w:r>
      <w:r w:rsidR="00761FA3" w:rsidRPr="00FA3856">
        <w:rPr>
          <w:rFonts w:ascii="Times New Roman" w:hAnsi="Times New Roman"/>
          <w:szCs w:val="20"/>
        </w:rPr>
        <w:t>a, a ECF gera um erro.</w:t>
      </w:r>
    </w:p>
    <w:p w:rsidR="00FF2649" w:rsidRPr="00FA3856" w:rsidRDefault="00FF2649" w:rsidP="00FF2649">
      <w:pPr>
        <w:pStyle w:val="Corpodetexto"/>
        <w:rPr>
          <w:rFonts w:ascii="Times New Roman" w:hAnsi="Times New Roman"/>
          <w:b/>
          <w:color w:val="002060"/>
          <w:szCs w:val="20"/>
        </w:rPr>
      </w:pPr>
    </w:p>
    <w:p w:rsidR="00E22E12" w:rsidRDefault="00FF2649" w:rsidP="00FF2649">
      <w:pPr>
        <w:pStyle w:val="Corpodetexto"/>
        <w:rPr>
          <w:rFonts w:ascii="Times New Roman" w:hAnsi="Times New Roman"/>
          <w:b/>
          <w:color w:val="002060"/>
          <w:szCs w:val="20"/>
        </w:rPr>
      </w:pPr>
      <w:r w:rsidRPr="00FA3856">
        <w:rPr>
          <w:rFonts w:ascii="Times New Roman" w:hAnsi="Times New Roman"/>
          <w:b/>
          <w:color w:val="002060"/>
          <w:szCs w:val="20"/>
        </w:rPr>
        <w:t xml:space="preserve">Exemplo de Preenchimento: </w:t>
      </w:r>
    </w:p>
    <w:p w:rsidR="00E22E12" w:rsidRDefault="00E22E12" w:rsidP="00FF2649">
      <w:pPr>
        <w:pStyle w:val="Corpodetexto"/>
        <w:rPr>
          <w:rFonts w:ascii="Times New Roman" w:hAnsi="Times New Roman"/>
          <w:b/>
          <w:color w:val="002060"/>
          <w:szCs w:val="20"/>
        </w:rPr>
      </w:pPr>
    </w:p>
    <w:p w:rsidR="00FF2649" w:rsidRPr="00FA3856" w:rsidRDefault="00FF2649" w:rsidP="00FF2649">
      <w:pPr>
        <w:pStyle w:val="Corpodetexto"/>
        <w:rPr>
          <w:rFonts w:ascii="Times New Roman" w:hAnsi="Times New Roman"/>
          <w:b/>
          <w:color w:val="002060"/>
          <w:szCs w:val="20"/>
        </w:rPr>
      </w:pPr>
      <w:r w:rsidRPr="00FA3856">
        <w:rPr>
          <w:rFonts w:ascii="Times New Roman" w:hAnsi="Times New Roman"/>
          <w:b/>
          <w:color w:val="002060"/>
          <w:szCs w:val="20"/>
        </w:rPr>
        <w:t>|X001|0|</w:t>
      </w:r>
    </w:p>
    <w:p w:rsidR="00FF2649" w:rsidRPr="00FA3856" w:rsidRDefault="00577020" w:rsidP="00FF2649">
      <w:pPr>
        <w:pStyle w:val="Corpodetexto"/>
        <w:ind w:firstLine="708"/>
        <w:rPr>
          <w:rFonts w:ascii="Times New Roman" w:hAnsi="Times New Roman"/>
          <w:color w:val="002060"/>
          <w:szCs w:val="20"/>
        </w:rPr>
      </w:pPr>
      <w:r w:rsidRPr="00FA3856">
        <w:rPr>
          <w:rFonts w:ascii="Times New Roman" w:hAnsi="Times New Roman"/>
          <w:color w:val="002060"/>
          <w:szCs w:val="20"/>
        </w:rPr>
        <w:t>|X</w:t>
      </w:r>
      <w:r w:rsidR="00FF2649" w:rsidRPr="00FA3856">
        <w:rPr>
          <w:rFonts w:ascii="Times New Roman" w:hAnsi="Times New Roman"/>
          <w:color w:val="002060"/>
          <w:szCs w:val="20"/>
        </w:rPr>
        <w:t>001|: Identificação do tipo do registro.</w:t>
      </w:r>
    </w:p>
    <w:p w:rsidR="00FF2649" w:rsidRPr="00FA3856" w:rsidRDefault="00FF2649" w:rsidP="00FF2649">
      <w:pPr>
        <w:pStyle w:val="Corpodetexto"/>
        <w:ind w:firstLine="708"/>
        <w:rPr>
          <w:rFonts w:ascii="Times New Roman" w:hAnsi="Times New Roman"/>
          <w:color w:val="002060"/>
          <w:szCs w:val="20"/>
        </w:rPr>
      </w:pPr>
      <w:r w:rsidRPr="00FA3856">
        <w:rPr>
          <w:rFonts w:ascii="Times New Roman" w:hAnsi="Times New Roman"/>
          <w:color w:val="002060"/>
          <w:szCs w:val="20"/>
        </w:rPr>
        <w:t>|0|: Indica que o bloco possui dados informados.</w:t>
      </w:r>
    </w:p>
    <w:p w:rsidR="00761FA3" w:rsidRPr="00FA3856" w:rsidRDefault="00761FA3" w:rsidP="00761FA3">
      <w:pPr>
        <w:pStyle w:val="Corpodetexto"/>
        <w:ind w:left="708" w:firstLine="12"/>
        <w:rPr>
          <w:rFonts w:ascii="Times New Roman" w:hAnsi="Times New Roman"/>
          <w:szCs w:val="20"/>
        </w:rPr>
      </w:pPr>
    </w:p>
    <w:p w:rsidR="002C4B9D" w:rsidRPr="00FA3856" w:rsidRDefault="002C4B9D">
      <w:pPr>
        <w:rPr>
          <w:b/>
          <w:bCs/>
          <w:color w:val="0000FF"/>
          <w:szCs w:val="20"/>
        </w:rPr>
      </w:pPr>
      <w:r w:rsidRPr="00FA3856">
        <w:rPr>
          <w:color w:val="0000FF"/>
          <w:szCs w:val="20"/>
        </w:rPr>
        <w:br w:type="page"/>
      </w:r>
    </w:p>
    <w:p w:rsidR="00613A0F" w:rsidRPr="00FA3856" w:rsidRDefault="00613A0F" w:rsidP="00867F54">
      <w:pPr>
        <w:pStyle w:val="Ttulo4"/>
      </w:pPr>
      <w:bookmarkStart w:id="390" w:name="_Toc479713793"/>
      <w:r w:rsidRPr="00FA3856">
        <w:lastRenderedPageBreak/>
        <w:t>Registro X280: Atividades Incentivadas – PJ em Geral</w:t>
      </w:r>
      <w:bookmarkEnd w:id="390"/>
    </w:p>
    <w:p w:rsidR="00613A0F" w:rsidRPr="00FA3856" w:rsidRDefault="00613A0F" w:rsidP="00613A0F">
      <w:pPr>
        <w:rPr>
          <w:szCs w:val="20"/>
        </w:rPr>
      </w:pPr>
    </w:p>
    <w:p w:rsidR="006557EF" w:rsidRPr="00FA3856" w:rsidRDefault="006557EF" w:rsidP="006557EF">
      <w:pPr>
        <w:ind w:firstLine="708"/>
        <w:rPr>
          <w:szCs w:val="20"/>
        </w:rPr>
      </w:pPr>
      <w:r w:rsidRPr="00FA3856">
        <w:rPr>
          <w:szCs w:val="20"/>
        </w:rPr>
        <w:t xml:space="preserve">Este registro deve ser preenchido somente pelas pessoas jurídicas que, de acordo com a legislação vigente, tenham direito </w:t>
      </w:r>
      <w:r w:rsidR="00AE7FBB" w:rsidRPr="00FA3856">
        <w:rPr>
          <w:szCs w:val="20"/>
        </w:rPr>
        <w:t>à</w:t>
      </w:r>
      <w:r w:rsidRPr="00FA3856">
        <w:rPr>
          <w:szCs w:val="20"/>
        </w:rPr>
        <w:t xml:space="preserve"> isenção ou redução do imposto de renda, reconhecido pelo órgão competente, em virtude do exercício de atividades incentivadas.</w:t>
      </w:r>
    </w:p>
    <w:p w:rsidR="006557EF" w:rsidRPr="00FA3856" w:rsidRDefault="006557EF" w:rsidP="006557EF">
      <w:pPr>
        <w:ind w:firstLine="708"/>
        <w:rPr>
          <w:szCs w:val="20"/>
        </w:rPr>
      </w:pPr>
    </w:p>
    <w:p w:rsidR="006557EF" w:rsidRDefault="006557EF" w:rsidP="006557EF">
      <w:pPr>
        <w:ind w:firstLine="708"/>
        <w:rPr>
          <w:szCs w:val="20"/>
        </w:rPr>
      </w:pPr>
      <w:r w:rsidRPr="00FA3856">
        <w:rPr>
          <w:szCs w:val="20"/>
        </w:rPr>
        <w:t>A pessoa jurídica deve informar individualizadamente todos os benefícios fiscais a que tem direito e o seu respectivo projeto.</w:t>
      </w:r>
    </w:p>
    <w:p w:rsidR="006335BD" w:rsidRDefault="006335BD" w:rsidP="006335BD">
      <w:pPr>
        <w:pStyle w:val="PSDS-MarcadoresNivel2"/>
        <w:numPr>
          <w:ilvl w:val="0"/>
          <w:numId w:val="0"/>
        </w:numPr>
        <w:spacing w:before="0" w:after="0"/>
        <w:ind w:left="360"/>
        <w:jc w:val="center"/>
        <w:rPr>
          <w:rFonts w:ascii="Times New Roman" w:hAnsi="Times New Roman"/>
          <w:lang w:val="pt-PT"/>
        </w:rPr>
      </w:pPr>
    </w:p>
    <w:p w:rsidR="006335BD" w:rsidRDefault="00B35FA3" w:rsidP="002B4D3E">
      <w:pPr>
        <w:pStyle w:val="PSDS-MarcadoresNivel2"/>
        <w:numPr>
          <w:ilvl w:val="0"/>
          <w:numId w:val="0"/>
        </w:numPr>
        <w:spacing w:before="0" w:after="0"/>
        <w:ind w:left="360"/>
        <w:jc w:val="center"/>
        <w:rPr>
          <w:rFonts w:ascii="Times New Roman" w:hAnsi="Times New Roman"/>
          <w:lang w:val="pt-PT"/>
        </w:rPr>
      </w:pPr>
      <w:r>
        <w:rPr>
          <w:rFonts w:ascii="Times New Roman" w:hAnsi="Times New Roman"/>
          <w:lang w:val="pt-PT"/>
        </w:rPr>
        <w:object w:dxaOrig="14670" w:dyaOrig="2325">
          <v:shape id="_x0000_i1895" type="#_x0000_t75" style="width:783.75pt;height:113.25pt" o:ole="">
            <v:imagedata r:id="rId645" o:title=""/>
          </v:shape>
          <o:OLEObject Type="Link" ProgID="Excel.Sheet.12" ShapeID="_x0000_i1895" DrawAspect="Content" r:id="rId646" UpdateMode="Always">
            <o:LinkType>EnhancedMetaFile</o:LinkType>
            <o:LockedField>false</o:LockedField>
          </o:OLEObject>
        </w:object>
      </w:r>
    </w:p>
    <w:p w:rsidR="006335BD" w:rsidRDefault="006335BD">
      <w:pPr>
        <w:spacing w:after="200" w:line="276" w:lineRule="auto"/>
        <w:rPr>
          <w:lang w:val="pt-PT"/>
        </w:rPr>
      </w:pPr>
      <w:r>
        <w:rPr>
          <w:lang w:val="pt-PT"/>
        </w:rPr>
        <w:br w:type="page"/>
      </w:r>
    </w:p>
    <w:p w:rsidR="002B4D3E" w:rsidRDefault="00B35FA3" w:rsidP="002B4D3E">
      <w:pPr>
        <w:spacing w:after="200" w:line="276" w:lineRule="auto"/>
        <w:jc w:val="center"/>
        <w:rPr>
          <w:lang w:val="pt-PT"/>
        </w:rPr>
      </w:pPr>
      <w:r>
        <w:rPr>
          <w:lang w:val="pt-PT"/>
        </w:rPr>
        <w:object w:dxaOrig="14670" w:dyaOrig="6150">
          <v:shape id="_x0000_i1897" type="#_x0000_t75" style="width:783.75pt;height:297pt" o:ole="">
            <v:imagedata r:id="rId647" o:title=""/>
          </v:shape>
          <o:OLEObject Type="Link" ProgID="Excel.Sheet.12" ShapeID="_x0000_i1897" DrawAspect="Content" r:id="rId648" UpdateMode="Always">
            <o:LinkType>EnhancedMetaFile</o:LinkType>
            <o:LockedField>false</o:LockedField>
          </o:OLEObject>
        </w:object>
      </w:r>
    </w:p>
    <w:p w:rsidR="002B4D3E" w:rsidRDefault="002B4D3E">
      <w:pPr>
        <w:spacing w:after="200" w:line="276" w:lineRule="auto"/>
        <w:rPr>
          <w:lang w:val="pt-PT"/>
        </w:rPr>
      </w:pPr>
    </w:p>
    <w:p w:rsidR="002B4D3E" w:rsidRDefault="002B4D3E">
      <w:pPr>
        <w:spacing w:after="200" w:line="276" w:lineRule="auto"/>
        <w:rPr>
          <w:b/>
          <w:szCs w:val="20"/>
          <w:lang w:val="pt-PT"/>
        </w:rPr>
      </w:pPr>
    </w:p>
    <w:p w:rsidR="006335BD" w:rsidRDefault="006335BD" w:rsidP="006335BD">
      <w:pPr>
        <w:spacing w:after="200" w:line="276" w:lineRule="auto"/>
        <w:jc w:val="center"/>
        <w:rPr>
          <w:b/>
          <w:szCs w:val="20"/>
          <w:lang w:val="pt-PT"/>
        </w:rPr>
      </w:pPr>
    </w:p>
    <w:p w:rsidR="006335BD" w:rsidRDefault="006335BD" w:rsidP="006335BD">
      <w:pPr>
        <w:spacing w:after="200" w:line="276" w:lineRule="auto"/>
        <w:jc w:val="center"/>
        <w:rPr>
          <w:b/>
          <w:szCs w:val="20"/>
          <w:lang w:val="pt-PT"/>
        </w:rPr>
      </w:pPr>
    </w:p>
    <w:p w:rsidR="006335BD" w:rsidRDefault="006335BD" w:rsidP="006335BD">
      <w:pPr>
        <w:spacing w:after="200" w:line="276" w:lineRule="auto"/>
        <w:jc w:val="center"/>
        <w:rPr>
          <w:b/>
          <w:szCs w:val="20"/>
          <w:lang w:val="pt-PT"/>
        </w:rPr>
      </w:pPr>
    </w:p>
    <w:p w:rsidR="006335BD" w:rsidRDefault="006335BD" w:rsidP="006335BD">
      <w:pPr>
        <w:spacing w:after="200" w:line="276" w:lineRule="auto"/>
        <w:jc w:val="center"/>
        <w:rPr>
          <w:b/>
          <w:szCs w:val="20"/>
          <w:lang w:val="pt-PT"/>
        </w:rPr>
      </w:pPr>
    </w:p>
    <w:p w:rsidR="006335BD" w:rsidRDefault="006335BD" w:rsidP="006335BD">
      <w:pPr>
        <w:spacing w:after="200" w:line="276" w:lineRule="auto"/>
        <w:jc w:val="center"/>
        <w:rPr>
          <w:b/>
          <w:szCs w:val="20"/>
          <w:lang w:val="pt-PT"/>
        </w:rPr>
      </w:pPr>
    </w:p>
    <w:p w:rsidR="006335BD" w:rsidRDefault="00B35FA3" w:rsidP="006335BD">
      <w:pPr>
        <w:spacing w:after="200" w:line="276" w:lineRule="auto"/>
        <w:jc w:val="center"/>
        <w:rPr>
          <w:b/>
          <w:szCs w:val="20"/>
          <w:lang w:val="pt-PT"/>
        </w:rPr>
      </w:pPr>
      <w:r>
        <w:rPr>
          <w:b/>
          <w:szCs w:val="20"/>
          <w:lang w:val="pt-PT"/>
        </w:rPr>
        <w:object w:dxaOrig="14670" w:dyaOrig="7680">
          <v:shape id="_x0000_i1899" type="#_x0000_t75" style="width:783.75pt;height:374.25pt" o:ole="">
            <v:imagedata r:id="rId649" o:title=""/>
          </v:shape>
          <o:OLEObject Type="Link" ProgID="Excel.Sheet.12" ShapeID="_x0000_i1899" DrawAspect="Content" r:id="rId650" UpdateMode="Always">
            <o:LinkType>EnhancedMetaFile</o:LinkType>
            <o:LockedField>false</o:LockedField>
          </o:OLEObject>
        </w:object>
      </w:r>
    </w:p>
    <w:p w:rsidR="006335BD" w:rsidRDefault="006335BD" w:rsidP="006335BD">
      <w:pPr>
        <w:spacing w:after="200" w:line="276" w:lineRule="auto"/>
        <w:jc w:val="center"/>
        <w:rPr>
          <w:b/>
          <w:szCs w:val="20"/>
          <w:lang w:val="pt-PT"/>
        </w:rPr>
      </w:pPr>
    </w:p>
    <w:p w:rsidR="006335BD" w:rsidRDefault="006335BD" w:rsidP="006335BD">
      <w:pPr>
        <w:spacing w:after="200" w:line="276" w:lineRule="auto"/>
        <w:jc w:val="center"/>
        <w:rPr>
          <w:b/>
          <w:szCs w:val="20"/>
          <w:lang w:val="pt-PT"/>
        </w:rPr>
      </w:pPr>
    </w:p>
    <w:p w:rsidR="006335BD" w:rsidRDefault="006335BD" w:rsidP="006335BD">
      <w:pPr>
        <w:spacing w:after="200" w:line="276" w:lineRule="auto"/>
        <w:jc w:val="center"/>
        <w:rPr>
          <w:b/>
          <w:szCs w:val="20"/>
          <w:lang w:val="pt-PT"/>
        </w:rPr>
      </w:pPr>
    </w:p>
    <w:p w:rsidR="006335BD" w:rsidRDefault="006335BD" w:rsidP="006335BD">
      <w:pPr>
        <w:spacing w:after="200" w:line="276" w:lineRule="auto"/>
        <w:jc w:val="center"/>
        <w:rPr>
          <w:b/>
          <w:szCs w:val="20"/>
          <w:lang w:val="pt-PT"/>
        </w:rPr>
      </w:pPr>
    </w:p>
    <w:p w:rsidR="006335BD" w:rsidRDefault="00B35FA3" w:rsidP="006335BD">
      <w:pPr>
        <w:spacing w:after="200" w:line="276" w:lineRule="auto"/>
        <w:jc w:val="center"/>
        <w:rPr>
          <w:b/>
          <w:szCs w:val="20"/>
          <w:lang w:val="pt-PT"/>
        </w:rPr>
      </w:pPr>
      <w:r>
        <w:rPr>
          <w:b/>
          <w:szCs w:val="20"/>
          <w:lang w:val="pt-PT"/>
        </w:rPr>
        <w:object w:dxaOrig="14670" w:dyaOrig="4875">
          <v:shape id="_x0000_i1901" type="#_x0000_t75" style="width:783.75pt;height:234.75pt" o:ole="">
            <v:imagedata r:id="rId651" o:title=""/>
          </v:shape>
          <o:OLEObject Type="Link" ProgID="Excel.Sheet.12" ShapeID="_x0000_i1901" DrawAspect="Content" r:id="rId652" UpdateMode="Always">
            <o:LinkType>EnhancedMetaFile</o:LinkType>
            <o:LockedField>false</o:LockedField>
          </o:OLEObject>
        </w:object>
      </w:r>
    </w:p>
    <w:p w:rsidR="006335BD" w:rsidRDefault="006335BD" w:rsidP="006335BD">
      <w:pPr>
        <w:spacing w:after="200" w:line="276" w:lineRule="auto"/>
        <w:jc w:val="center"/>
        <w:rPr>
          <w:b/>
          <w:szCs w:val="20"/>
          <w:lang w:val="pt-PT"/>
        </w:rPr>
      </w:pPr>
    </w:p>
    <w:p w:rsidR="002B4D3E" w:rsidRDefault="002B4D3E" w:rsidP="006335BD">
      <w:pPr>
        <w:spacing w:after="200" w:line="276" w:lineRule="auto"/>
        <w:jc w:val="center"/>
        <w:rPr>
          <w:b/>
          <w:szCs w:val="20"/>
          <w:lang w:val="pt-PT"/>
        </w:rPr>
      </w:pPr>
    </w:p>
    <w:p w:rsidR="002B4D3E" w:rsidRDefault="002B4D3E" w:rsidP="006335BD">
      <w:pPr>
        <w:spacing w:after="200" w:line="276" w:lineRule="auto"/>
        <w:jc w:val="center"/>
        <w:rPr>
          <w:b/>
          <w:szCs w:val="20"/>
          <w:lang w:val="pt-PT"/>
        </w:rPr>
      </w:pPr>
    </w:p>
    <w:p w:rsidR="002B4D3E" w:rsidRDefault="002B4D3E" w:rsidP="006335BD">
      <w:pPr>
        <w:spacing w:after="200" w:line="276" w:lineRule="auto"/>
        <w:jc w:val="center"/>
        <w:rPr>
          <w:b/>
          <w:szCs w:val="20"/>
          <w:lang w:val="pt-PT"/>
        </w:rPr>
      </w:pPr>
    </w:p>
    <w:p w:rsidR="002B4D3E" w:rsidRDefault="002B4D3E" w:rsidP="006335BD">
      <w:pPr>
        <w:spacing w:after="200" w:line="276" w:lineRule="auto"/>
        <w:jc w:val="center"/>
        <w:rPr>
          <w:b/>
          <w:szCs w:val="20"/>
          <w:lang w:val="pt-PT"/>
        </w:rPr>
      </w:pPr>
    </w:p>
    <w:p w:rsidR="002B4D3E" w:rsidRDefault="002B4D3E" w:rsidP="006335BD">
      <w:pPr>
        <w:spacing w:after="200" w:line="276" w:lineRule="auto"/>
        <w:jc w:val="center"/>
        <w:rPr>
          <w:b/>
          <w:szCs w:val="20"/>
          <w:lang w:val="pt-PT"/>
        </w:rPr>
      </w:pPr>
    </w:p>
    <w:p w:rsidR="002B4D3E" w:rsidRDefault="002B4D3E" w:rsidP="006335BD">
      <w:pPr>
        <w:spacing w:after="200" w:line="276" w:lineRule="auto"/>
        <w:jc w:val="center"/>
        <w:rPr>
          <w:b/>
          <w:szCs w:val="20"/>
          <w:lang w:val="pt-PT"/>
        </w:rPr>
      </w:pPr>
    </w:p>
    <w:p w:rsidR="002B4D3E" w:rsidRDefault="002B4D3E" w:rsidP="006335BD">
      <w:pPr>
        <w:spacing w:after="200" w:line="276" w:lineRule="auto"/>
        <w:jc w:val="center"/>
        <w:rPr>
          <w:b/>
          <w:szCs w:val="20"/>
          <w:lang w:val="pt-PT"/>
        </w:rPr>
      </w:pPr>
    </w:p>
    <w:p w:rsidR="002B4D3E" w:rsidRDefault="002B4D3E" w:rsidP="006335BD">
      <w:pPr>
        <w:spacing w:after="200" w:line="276" w:lineRule="auto"/>
        <w:jc w:val="center"/>
        <w:rPr>
          <w:b/>
          <w:szCs w:val="20"/>
          <w:lang w:val="pt-PT"/>
        </w:rPr>
      </w:pPr>
    </w:p>
    <w:p w:rsidR="002B4D3E" w:rsidRDefault="00B35FA3" w:rsidP="006335BD">
      <w:pPr>
        <w:spacing w:after="200" w:line="276" w:lineRule="auto"/>
        <w:jc w:val="center"/>
        <w:rPr>
          <w:b/>
          <w:szCs w:val="20"/>
          <w:lang w:val="pt-PT"/>
        </w:rPr>
      </w:pPr>
      <w:r>
        <w:rPr>
          <w:b/>
          <w:szCs w:val="20"/>
          <w:lang w:val="pt-PT"/>
        </w:rPr>
        <w:object w:dxaOrig="14670" w:dyaOrig="6150">
          <v:shape id="_x0000_i1903" type="#_x0000_t75" style="width:783.75pt;height:297pt" o:ole="">
            <v:imagedata r:id="rId653" o:title=""/>
          </v:shape>
          <o:OLEObject Type="Link" ProgID="Excel.Sheet.12" ShapeID="_x0000_i1903" DrawAspect="Content" r:id="rId654" UpdateMode="Always">
            <o:LinkType>EnhancedMetaFile</o:LinkType>
            <o:LockedField>false</o:LockedField>
          </o:OLEObject>
        </w:object>
      </w:r>
    </w:p>
    <w:p w:rsidR="006335BD" w:rsidRDefault="006335BD" w:rsidP="003B49DF">
      <w:pPr>
        <w:pStyle w:val="PSDS-MarcadoresNivel2"/>
        <w:numPr>
          <w:ilvl w:val="0"/>
          <w:numId w:val="0"/>
        </w:numPr>
        <w:spacing w:before="0" w:after="0"/>
        <w:ind w:left="360"/>
        <w:rPr>
          <w:rFonts w:ascii="Times New Roman" w:hAnsi="Times New Roman"/>
          <w:lang w:val="pt-PT"/>
        </w:rPr>
      </w:pPr>
    </w:p>
    <w:p w:rsidR="006335BD" w:rsidRDefault="006335BD" w:rsidP="003B49DF">
      <w:pPr>
        <w:pStyle w:val="PSDS-MarcadoresNivel2"/>
        <w:numPr>
          <w:ilvl w:val="0"/>
          <w:numId w:val="0"/>
        </w:numPr>
        <w:spacing w:before="0" w:after="0"/>
        <w:ind w:left="360"/>
        <w:rPr>
          <w:rFonts w:ascii="Times New Roman" w:hAnsi="Times New Roman"/>
          <w:lang w:val="pt-PT"/>
        </w:rPr>
      </w:pPr>
    </w:p>
    <w:p w:rsidR="006335BD" w:rsidRDefault="006335BD" w:rsidP="003B49DF">
      <w:pPr>
        <w:pStyle w:val="PSDS-MarcadoresNivel2"/>
        <w:numPr>
          <w:ilvl w:val="0"/>
          <w:numId w:val="0"/>
        </w:numPr>
        <w:spacing w:before="0" w:after="0"/>
        <w:ind w:left="360"/>
        <w:rPr>
          <w:rFonts w:ascii="Times New Roman" w:hAnsi="Times New Roman"/>
          <w:lang w:val="pt-PT"/>
        </w:rPr>
      </w:pPr>
    </w:p>
    <w:p w:rsidR="006335BD" w:rsidRDefault="006335BD" w:rsidP="003B49DF">
      <w:pPr>
        <w:pStyle w:val="PSDS-MarcadoresNivel2"/>
        <w:numPr>
          <w:ilvl w:val="0"/>
          <w:numId w:val="0"/>
        </w:numPr>
        <w:spacing w:before="0" w:after="0"/>
        <w:ind w:left="360"/>
        <w:rPr>
          <w:rFonts w:ascii="Times New Roman" w:hAnsi="Times New Roman"/>
          <w:lang w:val="pt-PT"/>
        </w:rPr>
      </w:pPr>
    </w:p>
    <w:p w:rsidR="006335BD" w:rsidRDefault="006335BD" w:rsidP="003B49DF">
      <w:pPr>
        <w:pStyle w:val="PSDS-MarcadoresNivel2"/>
        <w:numPr>
          <w:ilvl w:val="0"/>
          <w:numId w:val="0"/>
        </w:numPr>
        <w:spacing w:before="0" w:after="0"/>
        <w:ind w:left="360"/>
        <w:rPr>
          <w:rFonts w:ascii="Times New Roman" w:hAnsi="Times New Roman"/>
          <w:lang w:val="pt-PT"/>
        </w:rPr>
      </w:pPr>
    </w:p>
    <w:p w:rsidR="006335BD" w:rsidRDefault="006335BD" w:rsidP="003B49DF">
      <w:pPr>
        <w:pStyle w:val="PSDS-MarcadoresNivel2"/>
        <w:numPr>
          <w:ilvl w:val="0"/>
          <w:numId w:val="0"/>
        </w:numPr>
        <w:spacing w:before="0" w:after="0"/>
        <w:ind w:left="360"/>
        <w:rPr>
          <w:rFonts w:ascii="Times New Roman" w:hAnsi="Times New Roman"/>
          <w:lang w:val="pt-PT"/>
        </w:rPr>
      </w:pPr>
    </w:p>
    <w:p w:rsidR="006335BD" w:rsidRDefault="006335BD" w:rsidP="003B49DF">
      <w:pPr>
        <w:pStyle w:val="PSDS-MarcadoresNivel2"/>
        <w:numPr>
          <w:ilvl w:val="0"/>
          <w:numId w:val="0"/>
        </w:numPr>
        <w:spacing w:before="0" w:after="0"/>
        <w:ind w:left="360"/>
        <w:rPr>
          <w:rFonts w:ascii="Times New Roman" w:hAnsi="Times New Roman"/>
          <w:lang w:val="pt-PT"/>
        </w:rPr>
      </w:pPr>
    </w:p>
    <w:p w:rsidR="006335BD" w:rsidRDefault="006335BD" w:rsidP="003B49DF">
      <w:pPr>
        <w:pStyle w:val="PSDS-MarcadoresNivel2"/>
        <w:numPr>
          <w:ilvl w:val="0"/>
          <w:numId w:val="0"/>
        </w:numPr>
        <w:spacing w:before="0" w:after="0"/>
        <w:ind w:left="360"/>
        <w:rPr>
          <w:rFonts w:ascii="Times New Roman" w:hAnsi="Times New Roman"/>
          <w:lang w:val="pt-PT"/>
        </w:rPr>
      </w:pPr>
    </w:p>
    <w:p w:rsidR="006335BD" w:rsidRDefault="006335BD" w:rsidP="003B49DF">
      <w:pPr>
        <w:pStyle w:val="PSDS-MarcadoresNivel2"/>
        <w:numPr>
          <w:ilvl w:val="0"/>
          <w:numId w:val="0"/>
        </w:numPr>
        <w:spacing w:before="0" w:after="0"/>
        <w:ind w:left="360"/>
        <w:rPr>
          <w:rFonts w:ascii="Times New Roman" w:hAnsi="Times New Roman"/>
          <w:lang w:val="pt-PT"/>
        </w:rPr>
      </w:pPr>
    </w:p>
    <w:p w:rsidR="006335BD" w:rsidRDefault="00B35FA3" w:rsidP="006335BD">
      <w:pPr>
        <w:pStyle w:val="PSDS-MarcadoresNivel2"/>
        <w:numPr>
          <w:ilvl w:val="0"/>
          <w:numId w:val="0"/>
        </w:numPr>
        <w:spacing w:before="0" w:after="0"/>
        <w:ind w:left="360"/>
        <w:jc w:val="center"/>
        <w:rPr>
          <w:rFonts w:ascii="Times New Roman" w:hAnsi="Times New Roman"/>
          <w:lang w:val="pt-PT"/>
        </w:rPr>
      </w:pPr>
      <w:r>
        <w:rPr>
          <w:rFonts w:ascii="Times New Roman" w:hAnsi="Times New Roman"/>
          <w:lang w:val="pt-PT"/>
        </w:rPr>
        <w:object w:dxaOrig="14670" w:dyaOrig="8220">
          <v:shape id="_x0000_i1905" type="#_x0000_t75" style="width:783.75pt;height:399.75pt" o:ole="">
            <v:imagedata r:id="rId655" o:title=""/>
          </v:shape>
          <o:OLEObject Type="Link" ProgID="Excel.Sheet.12" ShapeID="_x0000_i1905" DrawAspect="Content" r:id="rId656" UpdateMode="Always">
            <o:LinkType>EnhancedMetaFile</o:LinkType>
            <o:LockedField>false</o:LockedField>
          </o:OLEObject>
        </w:object>
      </w:r>
    </w:p>
    <w:p w:rsidR="006335BD" w:rsidRDefault="006335BD" w:rsidP="003B49DF">
      <w:pPr>
        <w:pStyle w:val="PSDS-MarcadoresNivel2"/>
        <w:numPr>
          <w:ilvl w:val="0"/>
          <w:numId w:val="0"/>
        </w:numPr>
        <w:spacing w:before="0" w:after="0"/>
        <w:ind w:left="360"/>
        <w:rPr>
          <w:rFonts w:ascii="Times New Roman" w:hAnsi="Times New Roman"/>
          <w:lang w:val="pt-PT"/>
        </w:rPr>
      </w:pPr>
    </w:p>
    <w:p w:rsidR="006335BD" w:rsidRDefault="006335BD" w:rsidP="003B49DF">
      <w:pPr>
        <w:pStyle w:val="PSDS-MarcadoresNivel2"/>
        <w:numPr>
          <w:ilvl w:val="0"/>
          <w:numId w:val="0"/>
        </w:numPr>
        <w:spacing w:before="0" w:after="0"/>
        <w:ind w:left="360"/>
        <w:rPr>
          <w:rFonts w:ascii="Times New Roman" w:hAnsi="Times New Roman"/>
          <w:lang w:val="pt-PT"/>
        </w:rPr>
      </w:pPr>
    </w:p>
    <w:p w:rsidR="006335BD" w:rsidRDefault="006335BD" w:rsidP="003B49DF">
      <w:pPr>
        <w:pStyle w:val="PSDS-MarcadoresNivel2"/>
        <w:numPr>
          <w:ilvl w:val="0"/>
          <w:numId w:val="0"/>
        </w:numPr>
        <w:spacing w:before="0" w:after="0"/>
        <w:ind w:left="360"/>
        <w:rPr>
          <w:rFonts w:ascii="Times New Roman" w:hAnsi="Times New Roman"/>
          <w:lang w:val="pt-PT"/>
        </w:rPr>
      </w:pPr>
    </w:p>
    <w:p w:rsidR="006335BD" w:rsidRDefault="006335BD" w:rsidP="003B49DF">
      <w:pPr>
        <w:pStyle w:val="PSDS-MarcadoresNivel2"/>
        <w:numPr>
          <w:ilvl w:val="0"/>
          <w:numId w:val="0"/>
        </w:numPr>
        <w:spacing w:before="0" w:after="0"/>
        <w:ind w:left="360"/>
        <w:rPr>
          <w:rFonts w:ascii="Times New Roman" w:hAnsi="Times New Roman"/>
          <w:lang w:val="pt-PT"/>
        </w:rPr>
      </w:pPr>
    </w:p>
    <w:p w:rsidR="006335BD" w:rsidRDefault="006335BD" w:rsidP="003B49DF">
      <w:pPr>
        <w:pStyle w:val="PSDS-MarcadoresNivel2"/>
        <w:numPr>
          <w:ilvl w:val="0"/>
          <w:numId w:val="0"/>
        </w:numPr>
        <w:spacing w:before="0" w:after="0"/>
        <w:ind w:left="360"/>
        <w:rPr>
          <w:rFonts w:ascii="Times New Roman" w:hAnsi="Times New Roman"/>
          <w:lang w:val="pt-PT"/>
        </w:rPr>
      </w:pPr>
    </w:p>
    <w:p w:rsidR="006335BD" w:rsidRDefault="00B35FA3" w:rsidP="006335BD">
      <w:pPr>
        <w:pStyle w:val="PSDS-MarcadoresNivel2"/>
        <w:numPr>
          <w:ilvl w:val="0"/>
          <w:numId w:val="0"/>
        </w:numPr>
        <w:spacing w:before="0" w:after="0"/>
        <w:ind w:left="360"/>
        <w:jc w:val="center"/>
        <w:rPr>
          <w:rFonts w:ascii="Times New Roman" w:hAnsi="Times New Roman"/>
          <w:lang w:val="pt-PT"/>
        </w:rPr>
      </w:pPr>
      <w:r>
        <w:rPr>
          <w:rFonts w:ascii="Times New Roman" w:hAnsi="Times New Roman"/>
          <w:lang w:val="pt-PT"/>
        </w:rPr>
        <w:object w:dxaOrig="14670" w:dyaOrig="7425">
          <v:shape id="_x0000_i1907" type="#_x0000_t75" style="width:783.75pt;height:359.25pt" o:ole="">
            <v:imagedata r:id="rId657" o:title=""/>
          </v:shape>
          <o:OLEObject Type="Link" ProgID="Excel.Sheet.12" ShapeID="_x0000_i1907" DrawAspect="Content" r:id="rId658" UpdateMode="Always">
            <o:LinkType>EnhancedMetaFile</o:LinkType>
            <o:LockedField>false</o:LockedField>
          </o:OLEObject>
        </w:object>
      </w:r>
    </w:p>
    <w:p w:rsidR="006335BD" w:rsidRDefault="006335BD" w:rsidP="003B49DF">
      <w:pPr>
        <w:pStyle w:val="PSDS-MarcadoresNivel2"/>
        <w:numPr>
          <w:ilvl w:val="0"/>
          <w:numId w:val="0"/>
        </w:numPr>
        <w:spacing w:before="0" w:after="0"/>
        <w:ind w:left="360"/>
        <w:rPr>
          <w:rFonts w:ascii="Times New Roman" w:hAnsi="Times New Roman"/>
          <w:lang w:val="pt-PT"/>
        </w:rPr>
      </w:pPr>
    </w:p>
    <w:p w:rsidR="006335BD" w:rsidRDefault="006335BD" w:rsidP="003B49DF">
      <w:pPr>
        <w:pStyle w:val="PSDS-MarcadoresNivel2"/>
        <w:numPr>
          <w:ilvl w:val="0"/>
          <w:numId w:val="0"/>
        </w:numPr>
        <w:spacing w:before="0" w:after="0"/>
        <w:ind w:left="360"/>
        <w:rPr>
          <w:rFonts w:ascii="Times New Roman" w:hAnsi="Times New Roman"/>
          <w:lang w:val="pt-PT"/>
        </w:rPr>
      </w:pPr>
    </w:p>
    <w:p w:rsidR="006335BD" w:rsidRDefault="006335BD" w:rsidP="003B49DF">
      <w:pPr>
        <w:pStyle w:val="PSDS-MarcadoresNivel2"/>
        <w:numPr>
          <w:ilvl w:val="0"/>
          <w:numId w:val="0"/>
        </w:numPr>
        <w:spacing w:before="0" w:after="0"/>
        <w:ind w:left="360"/>
        <w:rPr>
          <w:rFonts w:ascii="Times New Roman" w:hAnsi="Times New Roman"/>
          <w:lang w:val="pt-PT"/>
        </w:rPr>
      </w:pPr>
    </w:p>
    <w:p w:rsidR="006335BD" w:rsidRDefault="006335BD" w:rsidP="003B49DF">
      <w:pPr>
        <w:pStyle w:val="PSDS-MarcadoresNivel2"/>
        <w:numPr>
          <w:ilvl w:val="0"/>
          <w:numId w:val="0"/>
        </w:numPr>
        <w:spacing w:before="0" w:after="0"/>
        <w:ind w:left="360"/>
        <w:rPr>
          <w:rFonts w:ascii="Times New Roman" w:hAnsi="Times New Roman"/>
          <w:lang w:val="pt-PT"/>
        </w:rPr>
      </w:pPr>
    </w:p>
    <w:p w:rsidR="006335BD" w:rsidRDefault="006335BD" w:rsidP="003B49DF">
      <w:pPr>
        <w:pStyle w:val="PSDS-MarcadoresNivel2"/>
        <w:numPr>
          <w:ilvl w:val="0"/>
          <w:numId w:val="0"/>
        </w:numPr>
        <w:spacing w:before="0" w:after="0"/>
        <w:ind w:left="360"/>
        <w:rPr>
          <w:rFonts w:ascii="Times New Roman" w:hAnsi="Times New Roman"/>
          <w:lang w:val="pt-PT"/>
        </w:rPr>
      </w:pPr>
    </w:p>
    <w:p w:rsidR="006335BD" w:rsidRDefault="006335BD" w:rsidP="003B49DF">
      <w:pPr>
        <w:pStyle w:val="PSDS-MarcadoresNivel2"/>
        <w:numPr>
          <w:ilvl w:val="0"/>
          <w:numId w:val="0"/>
        </w:numPr>
        <w:spacing w:before="0" w:after="0"/>
        <w:ind w:left="360"/>
        <w:rPr>
          <w:rFonts w:ascii="Times New Roman" w:hAnsi="Times New Roman"/>
          <w:lang w:val="pt-PT"/>
        </w:rPr>
      </w:pPr>
    </w:p>
    <w:p w:rsidR="006335BD" w:rsidRDefault="006335BD" w:rsidP="003B49DF">
      <w:pPr>
        <w:pStyle w:val="PSDS-MarcadoresNivel2"/>
        <w:numPr>
          <w:ilvl w:val="0"/>
          <w:numId w:val="0"/>
        </w:numPr>
        <w:spacing w:before="0" w:after="0"/>
        <w:ind w:left="360"/>
        <w:rPr>
          <w:rFonts w:ascii="Times New Roman" w:hAnsi="Times New Roman"/>
          <w:lang w:val="pt-PT"/>
        </w:rPr>
      </w:pPr>
    </w:p>
    <w:p w:rsidR="006335BD" w:rsidRDefault="006335BD" w:rsidP="003B49DF">
      <w:pPr>
        <w:pStyle w:val="PSDS-MarcadoresNivel2"/>
        <w:numPr>
          <w:ilvl w:val="0"/>
          <w:numId w:val="0"/>
        </w:numPr>
        <w:spacing w:before="0" w:after="0"/>
        <w:ind w:left="360"/>
        <w:rPr>
          <w:rFonts w:ascii="Times New Roman" w:hAnsi="Times New Roman"/>
          <w:lang w:val="pt-PT"/>
        </w:rPr>
      </w:pPr>
    </w:p>
    <w:p w:rsidR="006335BD" w:rsidRDefault="006335BD" w:rsidP="003B49DF">
      <w:pPr>
        <w:pStyle w:val="PSDS-MarcadoresNivel2"/>
        <w:numPr>
          <w:ilvl w:val="0"/>
          <w:numId w:val="0"/>
        </w:numPr>
        <w:spacing w:before="0" w:after="0"/>
        <w:ind w:left="360"/>
        <w:rPr>
          <w:rFonts w:ascii="Times New Roman" w:hAnsi="Times New Roman"/>
          <w:lang w:val="pt-PT"/>
        </w:rPr>
      </w:pPr>
    </w:p>
    <w:p w:rsidR="006335BD" w:rsidRDefault="00B35FA3" w:rsidP="006335BD">
      <w:pPr>
        <w:pStyle w:val="PSDS-MarcadoresNivel2"/>
        <w:numPr>
          <w:ilvl w:val="0"/>
          <w:numId w:val="0"/>
        </w:numPr>
        <w:spacing w:before="0" w:after="0"/>
        <w:ind w:left="360"/>
        <w:jc w:val="center"/>
        <w:rPr>
          <w:rFonts w:ascii="Times New Roman" w:hAnsi="Times New Roman"/>
          <w:lang w:val="pt-PT"/>
        </w:rPr>
      </w:pPr>
      <w:r>
        <w:rPr>
          <w:rFonts w:ascii="Times New Roman" w:hAnsi="Times New Roman"/>
          <w:lang w:val="pt-PT"/>
        </w:rPr>
        <w:object w:dxaOrig="14670" w:dyaOrig="6450">
          <v:shape id="_x0000_i1909" type="#_x0000_t75" style="width:783.75pt;height:311.25pt" o:ole="">
            <v:imagedata r:id="rId659" o:title=""/>
          </v:shape>
          <o:OLEObject Type="Link" ProgID="Excel.Sheet.12" ShapeID="_x0000_i1909" DrawAspect="Content" r:id="rId660" UpdateMode="Always">
            <o:LinkType>EnhancedMetaFile</o:LinkType>
            <o:LockedField>false</o:LockedField>
          </o:OLEObject>
        </w:object>
      </w:r>
    </w:p>
    <w:p w:rsidR="006335BD" w:rsidRDefault="006335BD" w:rsidP="003B49DF">
      <w:pPr>
        <w:pStyle w:val="PSDS-MarcadoresNivel2"/>
        <w:numPr>
          <w:ilvl w:val="0"/>
          <w:numId w:val="0"/>
        </w:numPr>
        <w:spacing w:before="0" w:after="0"/>
        <w:ind w:left="360"/>
        <w:rPr>
          <w:rFonts w:ascii="Times New Roman" w:hAnsi="Times New Roman"/>
          <w:lang w:val="pt-PT"/>
        </w:rPr>
      </w:pPr>
    </w:p>
    <w:p w:rsidR="006335BD" w:rsidRDefault="006335BD">
      <w:pPr>
        <w:spacing w:after="200" w:line="276" w:lineRule="auto"/>
        <w:rPr>
          <w:b/>
          <w:szCs w:val="20"/>
          <w:lang w:val="pt-PT"/>
        </w:rPr>
      </w:pPr>
      <w:r>
        <w:rPr>
          <w:lang w:val="pt-PT"/>
        </w:rPr>
        <w:br w:type="page"/>
      </w:r>
    </w:p>
    <w:p w:rsidR="003B49DF" w:rsidRPr="00FA3856" w:rsidRDefault="005D1DF4" w:rsidP="003B49DF">
      <w:pPr>
        <w:pStyle w:val="PSDS-MarcadoresNivel2"/>
        <w:numPr>
          <w:ilvl w:val="0"/>
          <w:numId w:val="0"/>
        </w:numPr>
        <w:spacing w:before="0" w:after="0"/>
        <w:ind w:left="360"/>
        <w:rPr>
          <w:rFonts w:ascii="Times New Roman" w:hAnsi="Times New Roman"/>
          <w:lang w:val="pt-PT"/>
        </w:rPr>
      </w:pPr>
      <w:r w:rsidRPr="00FA3856">
        <w:rPr>
          <w:rFonts w:ascii="Times New Roman" w:hAnsi="Times New Roman"/>
          <w:lang w:val="pt-PT"/>
        </w:rPr>
        <w:lastRenderedPageBreak/>
        <w:t>I</w:t>
      </w:r>
      <w:r w:rsidR="00613A0F" w:rsidRPr="00FA3856">
        <w:rPr>
          <w:rFonts w:ascii="Times New Roman" w:hAnsi="Times New Roman"/>
          <w:lang w:val="pt-PT"/>
        </w:rPr>
        <w:t xml:space="preserve"> – Regras de Validação de Campos:</w:t>
      </w:r>
    </w:p>
    <w:p w:rsidR="00AC0AAC" w:rsidRPr="00FA3856" w:rsidRDefault="00AC0AAC" w:rsidP="003B49DF">
      <w:pPr>
        <w:pStyle w:val="PSDS-MarcadoresNivel2"/>
        <w:numPr>
          <w:ilvl w:val="0"/>
          <w:numId w:val="0"/>
        </w:numPr>
        <w:spacing w:before="0" w:after="0"/>
        <w:ind w:left="360"/>
        <w:rPr>
          <w:rFonts w:ascii="Times New Roman" w:hAnsi="Times New Roman"/>
          <w:lang w:val="pt-PT"/>
        </w:rPr>
      </w:pPr>
    </w:p>
    <w:tbl>
      <w:tblPr>
        <w:tblW w:w="16370"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85"/>
        <w:gridCol w:w="3000"/>
        <w:gridCol w:w="12168"/>
        <w:gridCol w:w="717"/>
      </w:tblGrid>
      <w:tr w:rsidR="00AC0AAC" w:rsidRPr="00FA3856" w:rsidTr="00E1698F">
        <w:trPr>
          <w:jc w:val="center"/>
        </w:trPr>
        <w:tc>
          <w:tcPr>
            <w:tcW w:w="485" w:type="dxa"/>
            <w:tcBorders>
              <w:top w:val="single" w:sz="6" w:space="0" w:color="auto"/>
              <w:left w:val="single" w:sz="6" w:space="0" w:color="auto"/>
              <w:bottom w:val="single" w:sz="6" w:space="0" w:color="auto"/>
              <w:right w:val="single" w:sz="6" w:space="0" w:color="auto"/>
            </w:tcBorders>
            <w:shd w:val="pct10" w:color="auto" w:fill="FFFFFF"/>
          </w:tcPr>
          <w:p w:rsidR="00AC0AAC" w:rsidRPr="00FA3856" w:rsidRDefault="00AC0AAC" w:rsidP="008D0979">
            <w:pPr>
              <w:pStyle w:val="PSDS-CorpodeTexto0"/>
              <w:jc w:val="center"/>
              <w:rPr>
                <w:rFonts w:ascii="Times New Roman" w:hAnsi="Times New Roman"/>
                <w:b/>
                <w:bCs/>
              </w:rPr>
            </w:pPr>
            <w:r w:rsidRPr="00FA3856">
              <w:rPr>
                <w:rFonts w:ascii="Times New Roman" w:hAnsi="Times New Roman"/>
                <w:b/>
                <w:bCs/>
              </w:rPr>
              <w:t>Nº</w:t>
            </w:r>
          </w:p>
        </w:tc>
        <w:tc>
          <w:tcPr>
            <w:tcW w:w="3000" w:type="dxa"/>
            <w:tcBorders>
              <w:top w:val="single" w:sz="6" w:space="0" w:color="auto"/>
              <w:left w:val="single" w:sz="6" w:space="0" w:color="auto"/>
              <w:bottom w:val="single" w:sz="6" w:space="0" w:color="auto"/>
              <w:right w:val="single" w:sz="6" w:space="0" w:color="auto"/>
            </w:tcBorders>
            <w:shd w:val="pct10" w:color="auto" w:fill="FFFFFF"/>
          </w:tcPr>
          <w:p w:rsidR="00AC0AAC" w:rsidRPr="00FA3856" w:rsidRDefault="00AC0AAC" w:rsidP="008D0979">
            <w:pPr>
              <w:pStyle w:val="PSDS-CorpodeTexto0"/>
              <w:jc w:val="center"/>
              <w:rPr>
                <w:rFonts w:ascii="Times New Roman" w:hAnsi="Times New Roman"/>
                <w:b/>
                <w:bCs/>
              </w:rPr>
            </w:pPr>
            <w:r w:rsidRPr="00FA3856">
              <w:rPr>
                <w:rFonts w:ascii="Times New Roman" w:hAnsi="Times New Roman"/>
                <w:b/>
                <w:bCs/>
              </w:rPr>
              <w:t>Campo</w:t>
            </w:r>
          </w:p>
        </w:tc>
        <w:tc>
          <w:tcPr>
            <w:tcW w:w="12168" w:type="dxa"/>
            <w:tcBorders>
              <w:top w:val="single" w:sz="6" w:space="0" w:color="auto"/>
              <w:left w:val="single" w:sz="6" w:space="0" w:color="auto"/>
              <w:bottom w:val="single" w:sz="6" w:space="0" w:color="auto"/>
              <w:right w:val="single" w:sz="6" w:space="0" w:color="auto"/>
            </w:tcBorders>
            <w:shd w:val="pct10" w:color="auto" w:fill="FFFFFF"/>
          </w:tcPr>
          <w:p w:rsidR="00AC0AAC" w:rsidRPr="00FA3856" w:rsidRDefault="00AC0AAC" w:rsidP="008D0979">
            <w:pPr>
              <w:pStyle w:val="PSDS-CorpodeTexto0"/>
              <w:jc w:val="center"/>
              <w:rPr>
                <w:rFonts w:ascii="Times New Roman" w:hAnsi="Times New Roman"/>
                <w:b/>
                <w:bCs/>
              </w:rPr>
            </w:pPr>
            <w:r w:rsidRPr="00FA3856">
              <w:rPr>
                <w:rFonts w:ascii="Times New Roman" w:hAnsi="Times New Roman"/>
                <w:b/>
                <w:bCs/>
              </w:rPr>
              <w:t>Regras de Validação do Campo</w:t>
            </w:r>
          </w:p>
        </w:tc>
        <w:tc>
          <w:tcPr>
            <w:tcW w:w="717" w:type="dxa"/>
            <w:tcBorders>
              <w:top w:val="single" w:sz="6" w:space="0" w:color="auto"/>
              <w:left w:val="single" w:sz="6" w:space="0" w:color="auto"/>
              <w:bottom w:val="single" w:sz="6" w:space="0" w:color="auto"/>
              <w:right w:val="single" w:sz="6" w:space="0" w:color="auto"/>
            </w:tcBorders>
            <w:shd w:val="pct10" w:color="auto" w:fill="FFFFFF"/>
          </w:tcPr>
          <w:p w:rsidR="00AC0AAC" w:rsidRPr="00FA3856" w:rsidRDefault="00AC0AAC" w:rsidP="008D0979">
            <w:pPr>
              <w:pStyle w:val="PSDS-CorpodeTexto0"/>
              <w:jc w:val="center"/>
              <w:rPr>
                <w:rFonts w:ascii="Times New Roman" w:hAnsi="Times New Roman"/>
                <w:b/>
                <w:bCs/>
              </w:rPr>
            </w:pPr>
            <w:r w:rsidRPr="00FA3856">
              <w:rPr>
                <w:rFonts w:ascii="Times New Roman" w:hAnsi="Times New Roman"/>
                <w:b/>
                <w:bCs/>
              </w:rPr>
              <w:t>Tipo</w:t>
            </w:r>
          </w:p>
        </w:tc>
      </w:tr>
      <w:tr w:rsidR="00D65466" w:rsidRPr="00FA3856" w:rsidTr="00264644">
        <w:trPr>
          <w:jc w:val="center"/>
        </w:trPr>
        <w:tc>
          <w:tcPr>
            <w:tcW w:w="485" w:type="dxa"/>
            <w:tcBorders>
              <w:top w:val="single" w:sz="6" w:space="0" w:color="auto"/>
              <w:left w:val="single" w:sz="6" w:space="0" w:color="auto"/>
              <w:bottom w:val="single" w:sz="6" w:space="0" w:color="auto"/>
              <w:right w:val="single" w:sz="6" w:space="0" w:color="auto"/>
            </w:tcBorders>
          </w:tcPr>
          <w:p w:rsidR="00D65466" w:rsidRPr="00FA3856" w:rsidRDefault="00D65466" w:rsidP="00264644">
            <w:pPr>
              <w:pStyle w:val="PSDS-CorpodeTexto0"/>
              <w:suppressAutoHyphens w:val="0"/>
              <w:rPr>
                <w:rFonts w:ascii="Times New Roman" w:hAnsi="Times New Roman"/>
                <w:b/>
                <w:bCs/>
                <w:lang w:val="pt-PT"/>
              </w:rPr>
            </w:pPr>
            <w:r w:rsidRPr="00FA3856">
              <w:rPr>
                <w:rFonts w:ascii="Times New Roman" w:hAnsi="Times New Roman"/>
                <w:b/>
                <w:bCs/>
                <w:lang w:val="pt-PT"/>
              </w:rPr>
              <w:t>2</w:t>
            </w:r>
          </w:p>
        </w:tc>
        <w:tc>
          <w:tcPr>
            <w:tcW w:w="3000" w:type="dxa"/>
            <w:tcBorders>
              <w:top w:val="single" w:sz="6" w:space="0" w:color="auto"/>
              <w:left w:val="single" w:sz="6" w:space="0" w:color="auto"/>
              <w:bottom w:val="single" w:sz="6" w:space="0" w:color="auto"/>
              <w:right w:val="single" w:sz="6" w:space="0" w:color="auto"/>
            </w:tcBorders>
          </w:tcPr>
          <w:p w:rsidR="00D65466" w:rsidRPr="00FA3856" w:rsidRDefault="00D65466" w:rsidP="00D65466">
            <w:pPr>
              <w:pStyle w:val="PSDS-CorpodeTexto0"/>
              <w:rPr>
                <w:rFonts w:ascii="Times New Roman" w:hAnsi="Times New Roman"/>
                <w:lang w:val="pt-PT"/>
              </w:rPr>
            </w:pPr>
            <w:r w:rsidRPr="00FA3856">
              <w:rPr>
                <w:rFonts w:ascii="Times New Roman" w:hAnsi="Times New Roman"/>
                <w:lang w:val="pt-PT"/>
              </w:rPr>
              <w:t>IND_ATIV</w:t>
            </w:r>
          </w:p>
        </w:tc>
        <w:tc>
          <w:tcPr>
            <w:tcW w:w="12168" w:type="dxa"/>
            <w:tcBorders>
              <w:top w:val="single" w:sz="6" w:space="0" w:color="auto"/>
              <w:left w:val="single" w:sz="6" w:space="0" w:color="auto"/>
              <w:bottom w:val="single" w:sz="6" w:space="0" w:color="auto"/>
              <w:right w:val="single" w:sz="6" w:space="0" w:color="auto"/>
            </w:tcBorders>
          </w:tcPr>
          <w:p w:rsidR="00D65466" w:rsidRPr="00FA3856" w:rsidRDefault="00D65466" w:rsidP="00264644">
            <w:pPr>
              <w:pStyle w:val="PSDS-CorpodeTexto0"/>
              <w:rPr>
                <w:rFonts w:ascii="Times New Roman" w:hAnsi="Times New Roman"/>
              </w:rPr>
            </w:pPr>
            <w:r w:rsidRPr="00FA3856">
              <w:rPr>
                <w:rFonts w:ascii="Times New Roman" w:hAnsi="Times New Roman"/>
                <w:b/>
              </w:rPr>
              <w:t xml:space="preserve">REGRA_ISENCAO: </w:t>
            </w:r>
            <w:r w:rsidRPr="00FA3856">
              <w:rPr>
                <w:rFonts w:ascii="Times New Roman" w:hAnsi="Times New Roman"/>
              </w:rPr>
              <w:t>Verifica, quando n</w:t>
            </w:r>
            <w:r w:rsidR="00733508" w:rsidRPr="00FA3856">
              <w:rPr>
                <w:rFonts w:ascii="Times New Roman" w:hAnsi="Times New Roman"/>
              </w:rPr>
              <w:t xml:space="preserve">ão existe X280.IND_ATIV </w:t>
            </w:r>
            <w:r w:rsidRPr="00FA3856">
              <w:rPr>
                <w:rFonts w:ascii="Times New Roman" w:hAnsi="Times New Roman"/>
              </w:rPr>
              <w:t>igual a “01” (Isenção), se N610 (5) + N610 (10) + N610 (15) + N610 (20) + N610 (25) + N610 (30) + N610 (35) + N610 (40) &gt; 0 ou P230 (6) &gt; 0.</w:t>
            </w:r>
          </w:p>
          <w:p w:rsidR="00D65466" w:rsidRPr="00FA3856" w:rsidRDefault="00D65466" w:rsidP="00264644">
            <w:pPr>
              <w:pStyle w:val="PSDS-CorpodeTexto0"/>
              <w:rPr>
                <w:rFonts w:ascii="Times New Roman" w:hAnsi="Times New Roman"/>
              </w:rPr>
            </w:pPr>
          </w:p>
          <w:p w:rsidR="00D65466" w:rsidRPr="00FA3856" w:rsidRDefault="00D65466" w:rsidP="00264644">
            <w:pPr>
              <w:pStyle w:val="PSDS-CorpodeTexto0"/>
              <w:rPr>
                <w:rFonts w:ascii="Times New Roman" w:hAnsi="Times New Roman"/>
              </w:rPr>
            </w:pPr>
            <w:r w:rsidRPr="00FA3856">
              <w:rPr>
                <w:rFonts w:ascii="Times New Roman" w:hAnsi="Times New Roman"/>
                <w:b/>
              </w:rPr>
              <w:t xml:space="preserve">REGRA_REDUCAO_100: </w:t>
            </w:r>
            <w:r w:rsidRPr="00FA3856">
              <w:rPr>
                <w:rFonts w:ascii="Times New Roman" w:hAnsi="Times New Roman"/>
              </w:rPr>
              <w:t>Verifica, quando não existe X280</w:t>
            </w:r>
            <w:r w:rsidR="00733508" w:rsidRPr="00FA3856">
              <w:rPr>
                <w:rFonts w:ascii="Times New Roman" w:hAnsi="Times New Roman"/>
              </w:rPr>
              <w:t xml:space="preserve">.IND_ATIV </w:t>
            </w:r>
            <w:r w:rsidRPr="00FA3856">
              <w:rPr>
                <w:rFonts w:ascii="Times New Roman" w:hAnsi="Times New Roman"/>
              </w:rPr>
              <w:t>igual a “02” (Redução de 100%), se N610 (45) &gt; 0</w:t>
            </w:r>
          </w:p>
          <w:p w:rsidR="00D65466" w:rsidRPr="00FA3856" w:rsidRDefault="00D65466" w:rsidP="00264644">
            <w:pPr>
              <w:pStyle w:val="PSDS-CorpodeTexto0"/>
              <w:rPr>
                <w:rFonts w:ascii="Times New Roman" w:hAnsi="Times New Roman"/>
              </w:rPr>
            </w:pPr>
          </w:p>
          <w:p w:rsidR="00D65466" w:rsidRPr="00FA3856" w:rsidRDefault="00D65466" w:rsidP="00264644">
            <w:pPr>
              <w:pStyle w:val="PSDS-CorpodeTexto0"/>
              <w:rPr>
                <w:rFonts w:ascii="Times New Roman" w:hAnsi="Times New Roman"/>
              </w:rPr>
            </w:pPr>
            <w:r w:rsidRPr="00FA3856">
              <w:rPr>
                <w:rFonts w:ascii="Times New Roman" w:hAnsi="Times New Roman"/>
                <w:b/>
              </w:rPr>
              <w:t xml:space="preserve">REGRA_REDUCAO_75: </w:t>
            </w:r>
            <w:r w:rsidRPr="00FA3856">
              <w:rPr>
                <w:rFonts w:ascii="Times New Roman" w:hAnsi="Times New Roman"/>
              </w:rPr>
              <w:t>Verifica, quando n</w:t>
            </w:r>
            <w:r w:rsidR="00733508" w:rsidRPr="00FA3856">
              <w:rPr>
                <w:rFonts w:ascii="Times New Roman" w:hAnsi="Times New Roman"/>
              </w:rPr>
              <w:t xml:space="preserve">ão existe X280.IND_ATIV </w:t>
            </w:r>
            <w:r w:rsidRPr="00FA3856">
              <w:rPr>
                <w:rFonts w:ascii="Times New Roman" w:hAnsi="Times New Roman"/>
              </w:rPr>
              <w:t>igual a “03” (Redução de 75%), se N610 (50) &gt; 0 ou P230 (11) &gt; 0.</w:t>
            </w:r>
          </w:p>
          <w:p w:rsidR="00D65466" w:rsidRPr="00FA3856" w:rsidRDefault="00D65466" w:rsidP="00264644">
            <w:pPr>
              <w:pStyle w:val="PSDS-CorpodeTexto0"/>
              <w:rPr>
                <w:rFonts w:ascii="Times New Roman" w:hAnsi="Times New Roman"/>
              </w:rPr>
            </w:pPr>
          </w:p>
          <w:p w:rsidR="00D65466" w:rsidRPr="00FA3856" w:rsidRDefault="00D65466" w:rsidP="00264644">
            <w:pPr>
              <w:pStyle w:val="PSDS-CorpodeTexto0"/>
              <w:rPr>
                <w:rFonts w:ascii="Times New Roman" w:hAnsi="Times New Roman"/>
              </w:rPr>
            </w:pPr>
            <w:r w:rsidRPr="00FA3856">
              <w:rPr>
                <w:rFonts w:ascii="Times New Roman" w:hAnsi="Times New Roman"/>
                <w:b/>
              </w:rPr>
              <w:t xml:space="preserve">REGRA_REDUCAO_70: </w:t>
            </w:r>
            <w:r w:rsidRPr="00FA3856">
              <w:rPr>
                <w:rFonts w:ascii="Times New Roman" w:hAnsi="Times New Roman"/>
              </w:rPr>
              <w:t>Verifica, quando não existe X</w:t>
            </w:r>
            <w:r w:rsidR="00733508" w:rsidRPr="00FA3856">
              <w:rPr>
                <w:rFonts w:ascii="Times New Roman" w:hAnsi="Times New Roman"/>
              </w:rPr>
              <w:t xml:space="preserve">280.IND_ATIV </w:t>
            </w:r>
            <w:r w:rsidRPr="00FA3856">
              <w:rPr>
                <w:rFonts w:ascii="Times New Roman" w:hAnsi="Times New Roman"/>
              </w:rPr>
              <w:t>igual a “04” (Redução</w:t>
            </w:r>
            <w:r w:rsidR="00446E24" w:rsidRPr="00FA3856">
              <w:rPr>
                <w:rFonts w:ascii="Times New Roman" w:hAnsi="Times New Roman"/>
              </w:rPr>
              <w:t xml:space="preserve"> de 70%), se N610 (55) &gt; 0 ou P</w:t>
            </w:r>
            <w:r w:rsidRPr="00FA3856">
              <w:rPr>
                <w:rFonts w:ascii="Times New Roman" w:hAnsi="Times New Roman"/>
              </w:rPr>
              <w:t>2</w:t>
            </w:r>
            <w:r w:rsidR="00446E24" w:rsidRPr="00FA3856">
              <w:rPr>
                <w:rFonts w:ascii="Times New Roman" w:hAnsi="Times New Roman"/>
              </w:rPr>
              <w:t>3</w:t>
            </w:r>
            <w:r w:rsidRPr="00FA3856">
              <w:rPr>
                <w:rFonts w:ascii="Times New Roman" w:hAnsi="Times New Roman"/>
              </w:rPr>
              <w:t>0 (16) &gt; 0.</w:t>
            </w:r>
          </w:p>
          <w:p w:rsidR="00D65466" w:rsidRPr="00FA3856" w:rsidRDefault="00D65466" w:rsidP="00264644">
            <w:pPr>
              <w:pStyle w:val="PSDS-CorpodeTexto0"/>
              <w:rPr>
                <w:rFonts w:ascii="Times New Roman" w:hAnsi="Times New Roman"/>
              </w:rPr>
            </w:pPr>
          </w:p>
          <w:p w:rsidR="00D65466" w:rsidRPr="00FA3856" w:rsidRDefault="00D65466" w:rsidP="00264644">
            <w:pPr>
              <w:pStyle w:val="PSDS-CorpodeTexto0"/>
              <w:rPr>
                <w:rFonts w:ascii="Times New Roman" w:hAnsi="Times New Roman"/>
              </w:rPr>
            </w:pPr>
            <w:r w:rsidRPr="00FA3856">
              <w:rPr>
                <w:rFonts w:ascii="Times New Roman" w:hAnsi="Times New Roman"/>
                <w:b/>
              </w:rPr>
              <w:t xml:space="preserve">REGRA_REDUCAO_50: </w:t>
            </w:r>
            <w:r w:rsidRPr="00FA3856">
              <w:rPr>
                <w:rFonts w:ascii="Times New Roman" w:hAnsi="Times New Roman"/>
              </w:rPr>
              <w:t>Verifica, quando n</w:t>
            </w:r>
            <w:r w:rsidR="00733508" w:rsidRPr="00FA3856">
              <w:rPr>
                <w:rFonts w:ascii="Times New Roman" w:hAnsi="Times New Roman"/>
              </w:rPr>
              <w:t xml:space="preserve">ão existe X280.IND_ATIV </w:t>
            </w:r>
            <w:r w:rsidRPr="00FA3856">
              <w:rPr>
                <w:rFonts w:ascii="Times New Roman" w:hAnsi="Times New Roman"/>
              </w:rPr>
              <w:t>igual a “05” (Redução</w:t>
            </w:r>
            <w:r w:rsidR="00446E24" w:rsidRPr="00FA3856">
              <w:rPr>
                <w:rFonts w:ascii="Times New Roman" w:hAnsi="Times New Roman"/>
              </w:rPr>
              <w:t xml:space="preserve"> de 50%), se N610 (60) &gt; 0 ou P</w:t>
            </w:r>
            <w:r w:rsidRPr="00FA3856">
              <w:rPr>
                <w:rFonts w:ascii="Times New Roman" w:hAnsi="Times New Roman"/>
              </w:rPr>
              <w:t>2</w:t>
            </w:r>
            <w:r w:rsidR="00446E24" w:rsidRPr="00FA3856">
              <w:rPr>
                <w:rFonts w:ascii="Times New Roman" w:hAnsi="Times New Roman"/>
              </w:rPr>
              <w:t>3</w:t>
            </w:r>
            <w:r w:rsidRPr="00FA3856">
              <w:rPr>
                <w:rFonts w:ascii="Times New Roman" w:hAnsi="Times New Roman"/>
              </w:rPr>
              <w:t>0 (21) &gt; 0.</w:t>
            </w:r>
          </w:p>
          <w:p w:rsidR="00D65466" w:rsidRPr="00FA3856" w:rsidRDefault="00D65466" w:rsidP="00264644">
            <w:pPr>
              <w:pStyle w:val="PSDS-CorpodeTexto0"/>
              <w:rPr>
                <w:rFonts w:ascii="Times New Roman" w:hAnsi="Times New Roman"/>
              </w:rPr>
            </w:pPr>
          </w:p>
          <w:p w:rsidR="00D65466" w:rsidRPr="00FA3856" w:rsidRDefault="00D65466" w:rsidP="00264644">
            <w:pPr>
              <w:pStyle w:val="PSDS-CorpodeTexto0"/>
              <w:rPr>
                <w:rFonts w:ascii="Times New Roman" w:hAnsi="Times New Roman"/>
              </w:rPr>
            </w:pPr>
            <w:r w:rsidRPr="00FA3856">
              <w:rPr>
                <w:rFonts w:ascii="Times New Roman" w:hAnsi="Times New Roman"/>
                <w:b/>
              </w:rPr>
              <w:t xml:space="preserve">REGRA_REDUCAO_33: </w:t>
            </w:r>
            <w:r w:rsidRPr="00FA3856">
              <w:rPr>
                <w:rFonts w:ascii="Times New Roman" w:hAnsi="Times New Roman"/>
              </w:rPr>
              <w:t xml:space="preserve">Verifica, quando </w:t>
            </w:r>
            <w:r w:rsidR="00733508" w:rsidRPr="00FA3856">
              <w:rPr>
                <w:rFonts w:ascii="Times New Roman" w:hAnsi="Times New Roman"/>
              </w:rPr>
              <w:t xml:space="preserve">não existe X280.IND_ATIV </w:t>
            </w:r>
            <w:r w:rsidR="00AE7FBB" w:rsidRPr="00FA3856">
              <w:rPr>
                <w:rFonts w:ascii="Times New Roman" w:hAnsi="Times New Roman"/>
              </w:rPr>
              <w:t>igual</w:t>
            </w:r>
            <w:r w:rsidRPr="00FA3856">
              <w:rPr>
                <w:rFonts w:ascii="Times New Roman" w:hAnsi="Times New Roman"/>
              </w:rPr>
              <w:t xml:space="preserve"> a “06” (Redução de 33,33%), se N610 (65) &gt; </w:t>
            </w:r>
            <w:r w:rsidR="00AE7FBB" w:rsidRPr="00FA3856">
              <w:rPr>
                <w:rFonts w:ascii="Times New Roman" w:hAnsi="Times New Roman"/>
              </w:rPr>
              <w:t>0 ou</w:t>
            </w:r>
            <w:r w:rsidR="00446E24" w:rsidRPr="00FA3856">
              <w:rPr>
                <w:rFonts w:ascii="Times New Roman" w:hAnsi="Times New Roman"/>
              </w:rPr>
              <w:t xml:space="preserve"> P</w:t>
            </w:r>
            <w:r w:rsidRPr="00FA3856">
              <w:rPr>
                <w:rFonts w:ascii="Times New Roman" w:hAnsi="Times New Roman"/>
              </w:rPr>
              <w:t>2</w:t>
            </w:r>
            <w:r w:rsidR="00446E24" w:rsidRPr="00FA3856">
              <w:rPr>
                <w:rFonts w:ascii="Times New Roman" w:hAnsi="Times New Roman"/>
              </w:rPr>
              <w:t>3</w:t>
            </w:r>
            <w:r w:rsidRPr="00FA3856">
              <w:rPr>
                <w:rFonts w:ascii="Times New Roman" w:hAnsi="Times New Roman"/>
              </w:rPr>
              <w:t>0 (26) &gt; 0.</w:t>
            </w:r>
          </w:p>
          <w:p w:rsidR="00D65466" w:rsidRPr="00FA3856" w:rsidRDefault="00D65466" w:rsidP="00264644">
            <w:pPr>
              <w:pStyle w:val="PSDS-CorpodeTexto0"/>
              <w:rPr>
                <w:rFonts w:ascii="Times New Roman" w:hAnsi="Times New Roman"/>
              </w:rPr>
            </w:pPr>
          </w:p>
          <w:p w:rsidR="00D65466" w:rsidRPr="00FA3856" w:rsidRDefault="00D65466" w:rsidP="00264644">
            <w:pPr>
              <w:pStyle w:val="PSDS-CorpodeTexto0"/>
              <w:rPr>
                <w:rFonts w:ascii="Times New Roman" w:hAnsi="Times New Roman"/>
              </w:rPr>
            </w:pPr>
            <w:r w:rsidRPr="00FA3856">
              <w:rPr>
                <w:rFonts w:ascii="Times New Roman" w:hAnsi="Times New Roman"/>
                <w:b/>
              </w:rPr>
              <w:t xml:space="preserve">REGRA_REDUCAO_25: </w:t>
            </w:r>
            <w:r w:rsidRPr="00FA3856">
              <w:rPr>
                <w:rFonts w:ascii="Times New Roman" w:hAnsi="Times New Roman"/>
              </w:rPr>
              <w:t>Verifica, quando n</w:t>
            </w:r>
            <w:r w:rsidR="00733508" w:rsidRPr="00FA3856">
              <w:rPr>
                <w:rFonts w:ascii="Times New Roman" w:hAnsi="Times New Roman"/>
              </w:rPr>
              <w:t xml:space="preserve">ão existe X280.IND_ATIV </w:t>
            </w:r>
            <w:r w:rsidRPr="00FA3856">
              <w:rPr>
                <w:rFonts w:ascii="Times New Roman" w:hAnsi="Times New Roman"/>
              </w:rPr>
              <w:t>igual a “07” (Redução</w:t>
            </w:r>
            <w:r w:rsidR="00446E24" w:rsidRPr="00FA3856">
              <w:rPr>
                <w:rFonts w:ascii="Times New Roman" w:hAnsi="Times New Roman"/>
              </w:rPr>
              <w:t xml:space="preserve"> de 25%), se N610 (70) &gt; 0 ou P</w:t>
            </w:r>
            <w:r w:rsidRPr="00FA3856">
              <w:rPr>
                <w:rFonts w:ascii="Times New Roman" w:hAnsi="Times New Roman"/>
              </w:rPr>
              <w:t>2</w:t>
            </w:r>
            <w:r w:rsidR="00446E24" w:rsidRPr="00FA3856">
              <w:rPr>
                <w:rFonts w:ascii="Times New Roman" w:hAnsi="Times New Roman"/>
              </w:rPr>
              <w:t>3</w:t>
            </w:r>
            <w:r w:rsidRPr="00FA3856">
              <w:rPr>
                <w:rFonts w:ascii="Times New Roman" w:hAnsi="Times New Roman"/>
              </w:rPr>
              <w:t>0 (31) &gt; 0.</w:t>
            </w:r>
          </w:p>
          <w:p w:rsidR="00D65466" w:rsidRPr="00FA3856" w:rsidRDefault="00D65466" w:rsidP="00264644">
            <w:pPr>
              <w:pStyle w:val="PSDS-CorpodeTexto0"/>
              <w:rPr>
                <w:rFonts w:ascii="Times New Roman" w:hAnsi="Times New Roman"/>
              </w:rPr>
            </w:pPr>
          </w:p>
          <w:p w:rsidR="00D65466" w:rsidRPr="00FA3856" w:rsidRDefault="00D65466" w:rsidP="00264644">
            <w:pPr>
              <w:pStyle w:val="PSDS-CorpodeTexto0"/>
              <w:rPr>
                <w:rFonts w:ascii="Times New Roman" w:hAnsi="Times New Roman"/>
              </w:rPr>
            </w:pPr>
            <w:r w:rsidRPr="00FA3856">
              <w:rPr>
                <w:rFonts w:ascii="Times New Roman" w:hAnsi="Times New Roman"/>
                <w:b/>
              </w:rPr>
              <w:t xml:space="preserve">REGRA_REDUCAO_12: </w:t>
            </w:r>
            <w:r w:rsidRPr="00FA3856">
              <w:rPr>
                <w:rFonts w:ascii="Times New Roman" w:hAnsi="Times New Roman"/>
              </w:rPr>
              <w:t xml:space="preserve">Verifica, quando </w:t>
            </w:r>
            <w:r w:rsidR="00733508" w:rsidRPr="00FA3856">
              <w:rPr>
                <w:rFonts w:ascii="Times New Roman" w:hAnsi="Times New Roman"/>
              </w:rPr>
              <w:t xml:space="preserve">não existe X280.IND_ATIV </w:t>
            </w:r>
            <w:r w:rsidR="00AE7FBB" w:rsidRPr="00FA3856">
              <w:rPr>
                <w:rFonts w:ascii="Times New Roman" w:hAnsi="Times New Roman"/>
              </w:rPr>
              <w:t>igual</w:t>
            </w:r>
            <w:r w:rsidRPr="00FA3856">
              <w:rPr>
                <w:rFonts w:ascii="Times New Roman" w:hAnsi="Times New Roman"/>
              </w:rPr>
              <w:t xml:space="preserve"> a “08” (Redução d</w:t>
            </w:r>
            <w:r w:rsidR="00446E24" w:rsidRPr="00FA3856">
              <w:rPr>
                <w:rFonts w:ascii="Times New Roman" w:hAnsi="Times New Roman"/>
              </w:rPr>
              <w:t>e 12,5%), se N610 (75) &gt; 0 ou P</w:t>
            </w:r>
            <w:r w:rsidRPr="00FA3856">
              <w:rPr>
                <w:rFonts w:ascii="Times New Roman" w:hAnsi="Times New Roman"/>
              </w:rPr>
              <w:t>2</w:t>
            </w:r>
            <w:r w:rsidR="00446E24" w:rsidRPr="00FA3856">
              <w:rPr>
                <w:rFonts w:ascii="Times New Roman" w:hAnsi="Times New Roman"/>
              </w:rPr>
              <w:t>3</w:t>
            </w:r>
            <w:r w:rsidRPr="00FA3856">
              <w:rPr>
                <w:rFonts w:ascii="Times New Roman" w:hAnsi="Times New Roman"/>
              </w:rPr>
              <w:t>0 (36) &gt; 0.</w:t>
            </w:r>
          </w:p>
          <w:p w:rsidR="00D65466" w:rsidRPr="00FA3856" w:rsidRDefault="00D65466" w:rsidP="00264644">
            <w:pPr>
              <w:pStyle w:val="PSDS-CorpodeTexto0"/>
              <w:rPr>
                <w:rFonts w:ascii="Times New Roman" w:hAnsi="Times New Roman"/>
              </w:rPr>
            </w:pPr>
          </w:p>
          <w:p w:rsidR="00D65466" w:rsidRPr="00FA3856" w:rsidRDefault="00D65466" w:rsidP="00264644">
            <w:pPr>
              <w:pStyle w:val="PSDS-CorpodeTexto0"/>
              <w:jc w:val="both"/>
              <w:rPr>
                <w:rFonts w:ascii="Times New Roman" w:hAnsi="Times New Roman"/>
              </w:rPr>
            </w:pPr>
            <w:r w:rsidRPr="00FA3856">
              <w:rPr>
                <w:rFonts w:ascii="Times New Roman" w:hAnsi="Times New Roman"/>
                <w:b/>
              </w:rPr>
              <w:t xml:space="preserve">REGRA_REDUCAO_REINVESTIMENTO: </w:t>
            </w:r>
            <w:r w:rsidRPr="00FA3856">
              <w:rPr>
                <w:rFonts w:ascii="Times New Roman" w:hAnsi="Times New Roman"/>
              </w:rPr>
              <w:t xml:space="preserve">Verifica, </w:t>
            </w:r>
            <w:r w:rsidR="005E2399" w:rsidRPr="00FA3856">
              <w:rPr>
                <w:rFonts w:ascii="Times New Roman" w:hAnsi="Times New Roman"/>
              </w:rPr>
              <w:t xml:space="preserve">quando </w:t>
            </w:r>
            <w:r w:rsidR="00733508" w:rsidRPr="00FA3856">
              <w:rPr>
                <w:rFonts w:ascii="Times New Roman" w:hAnsi="Times New Roman"/>
              </w:rPr>
              <w:t xml:space="preserve">não existe X280.IND_ATIV </w:t>
            </w:r>
            <w:r w:rsidRPr="00FA3856">
              <w:rPr>
                <w:rFonts w:ascii="Times New Roman" w:hAnsi="Times New Roman"/>
              </w:rPr>
              <w:t>igual a “09” (Redução por Reinvestimento), se N610 (77) &gt; 0 ou P300 (9).</w:t>
            </w:r>
          </w:p>
          <w:p w:rsidR="00D65466" w:rsidRPr="00FA3856" w:rsidRDefault="00D65466" w:rsidP="00264644">
            <w:pPr>
              <w:pStyle w:val="PSDS-CorpodeTexto0"/>
              <w:rPr>
                <w:rFonts w:ascii="Times New Roman" w:hAnsi="Times New Roman"/>
              </w:rPr>
            </w:pPr>
          </w:p>
          <w:p w:rsidR="00D65466" w:rsidRPr="00FA3856" w:rsidRDefault="00EA380A" w:rsidP="00264644">
            <w:pPr>
              <w:pStyle w:val="PSDS-CorpodeTexto0"/>
              <w:rPr>
                <w:rFonts w:ascii="Times New Roman" w:hAnsi="Times New Roman"/>
              </w:rPr>
            </w:pPr>
            <w:r w:rsidRPr="00FA3856">
              <w:rPr>
                <w:rFonts w:ascii="Times New Roman" w:hAnsi="Times New Roman"/>
                <w:b/>
              </w:rPr>
              <w:t>REGRA</w:t>
            </w:r>
            <w:r w:rsidR="00D65466" w:rsidRPr="00FA3856">
              <w:rPr>
                <w:rFonts w:ascii="Times New Roman" w:hAnsi="Times New Roman"/>
                <w:b/>
              </w:rPr>
              <w:t xml:space="preserve">_ISENCAO_REDUCAO: </w:t>
            </w:r>
            <w:r w:rsidR="00D65466" w:rsidRPr="00FA3856">
              <w:rPr>
                <w:rFonts w:ascii="Times New Roman" w:hAnsi="Times New Roman"/>
              </w:rPr>
              <w:t>Verifica, quando n</w:t>
            </w:r>
            <w:r w:rsidR="00733508" w:rsidRPr="00FA3856">
              <w:rPr>
                <w:rFonts w:ascii="Times New Roman" w:hAnsi="Times New Roman"/>
              </w:rPr>
              <w:t xml:space="preserve">ão existe X280.IND_ATIV </w:t>
            </w:r>
            <w:r w:rsidR="00D65466" w:rsidRPr="00FA3856">
              <w:rPr>
                <w:rFonts w:ascii="Times New Roman" w:hAnsi="Times New Roman"/>
              </w:rPr>
              <w:t xml:space="preserve">igual a “01”, “02”, “03”, “04”, “05, </w:t>
            </w:r>
            <w:r w:rsidR="0082223A" w:rsidRPr="00FA3856">
              <w:rPr>
                <w:rFonts w:ascii="Times New Roman" w:hAnsi="Times New Roman"/>
              </w:rPr>
              <w:t>“06”, “07”, ou “08”, se N630 (17</w:t>
            </w:r>
            <w:r w:rsidR="00D65466" w:rsidRPr="00FA3856">
              <w:rPr>
                <w:rFonts w:ascii="Times New Roman" w:hAnsi="Times New Roman"/>
              </w:rPr>
              <w:t>) &gt; 0 ou P300 (7) + P300 (8) &gt; 0.</w:t>
            </w:r>
          </w:p>
        </w:tc>
        <w:tc>
          <w:tcPr>
            <w:tcW w:w="717" w:type="dxa"/>
            <w:tcBorders>
              <w:top w:val="single" w:sz="6" w:space="0" w:color="auto"/>
              <w:left w:val="single" w:sz="6" w:space="0" w:color="auto"/>
              <w:bottom w:val="single" w:sz="6" w:space="0" w:color="auto"/>
              <w:right w:val="single" w:sz="6" w:space="0" w:color="auto"/>
            </w:tcBorders>
          </w:tcPr>
          <w:p w:rsidR="00D65466" w:rsidRPr="00FA3856" w:rsidRDefault="00D65466" w:rsidP="00264644">
            <w:pPr>
              <w:pStyle w:val="PSDS-CorpodeTexto0"/>
              <w:rPr>
                <w:rFonts w:ascii="Times New Roman" w:hAnsi="Times New Roman"/>
                <w:lang w:val="pt-PT"/>
              </w:rPr>
            </w:pPr>
            <w:r w:rsidRPr="00FA3856">
              <w:rPr>
                <w:rFonts w:ascii="Times New Roman" w:hAnsi="Times New Roman"/>
                <w:lang w:val="pt-PT"/>
              </w:rPr>
              <w:t>Aviso</w:t>
            </w:r>
          </w:p>
          <w:p w:rsidR="00D65466" w:rsidRPr="00FA3856" w:rsidRDefault="00D65466" w:rsidP="00264644">
            <w:pPr>
              <w:pStyle w:val="PSDS-CorpodeTexto0"/>
              <w:rPr>
                <w:rFonts w:ascii="Times New Roman" w:hAnsi="Times New Roman"/>
                <w:lang w:val="pt-PT"/>
              </w:rPr>
            </w:pPr>
          </w:p>
          <w:p w:rsidR="00733508" w:rsidRPr="00FA3856" w:rsidRDefault="00733508" w:rsidP="00264644">
            <w:pPr>
              <w:pStyle w:val="PSDS-CorpodeTexto0"/>
              <w:rPr>
                <w:rFonts w:ascii="Times New Roman" w:hAnsi="Times New Roman"/>
                <w:lang w:val="pt-PT"/>
              </w:rPr>
            </w:pPr>
          </w:p>
          <w:p w:rsidR="00D65466" w:rsidRPr="00FA3856" w:rsidRDefault="00D65466" w:rsidP="00264644">
            <w:pPr>
              <w:pStyle w:val="PSDS-CorpodeTexto0"/>
              <w:rPr>
                <w:rFonts w:ascii="Times New Roman" w:hAnsi="Times New Roman"/>
                <w:lang w:val="pt-PT"/>
              </w:rPr>
            </w:pPr>
            <w:r w:rsidRPr="00FA3856">
              <w:rPr>
                <w:rFonts w:ascii="Times New Roman" w:hAnsi="Times New Roman"/>
                <w:lang w:val="pt-PT"/>
              </w:rPr>
              <w:t>Aviso</w:t>
            </w:r>
          </w:p>
          <w:p w:rsidR="00D65466" w:rsidRPr="00FA3856" w:rsidRDefault="00D65466" w:rsidP="00264644">
            <w:pPr>
              <w:pStyle w:val="PSDS-CorpodeTexto0"/>
              <w:rPr>
                <w:rFonts w:ascii="Times New Roman" w:hAnsi="Times New Roman"/>
                <w:lang w:val="pt-PT"/>
              </w:rPr>
            </w:pPr>
          </w:p>
          <w:p w:rsidR="00D65466" w:rsidRPr="00FA3856" w:rsidRDefault="00D65466" w:rsidP="00264644">
            <w:pPr>
              <w:pStyle w:val="PSDS-CorpodeTexto0"/>
              <w:rPr>
                <w:rFonts w:ascii="Times New Roman" w:hAnsi="Times New Roman"/>
                <w:lang w:val="pt-PT"/>
              </w:rPr>
            </w:pPr>
            <w:r w:rsidRPr="00FA3856">
              <w:rPr>
                <w:rFonts w:ascii="Times New Roman" w:hAnsi="Times New Roman"/>
                <w:lang w:val="pt-PT"/>
              </w:rPr>
              <w:t>Aviso</w:t>
            </w:r>
          </w:p>
          <w:p w:rsidR="00D65466" w:rsidRPr="00FA3856" w:rsidRDefault="00D65466" w:rsidP="00264644">
            <w:pPr>
              <w:pStyle w:val="PSDS-CorpodeTexto0"/>
              <w:rPr>
                <w:rFonts w:ascii="Times New Roman" w:hAnsi="Times New Roman"/>
                <w:lang w:val="pt-PT"/>
              </w:rPr>
            </w:pPr>
          </w:p>
          <w:p w:rsidR="00D65466" w:rsidRPr="00FA3856" w:rsidRDefault="00D65466" w:rsidP="00264644">
            <w:pPr>
              <w:pStyle w:val="PSDS-CorpodeTexto0"/>
              <w:rPr>
                <w:rFonts w:ascii="Times New Roman" w:hAnsi="Times New Roman"/>
                <w:lang w:val="pt-PT"/>
              </w:rPr>
            </w:pPr>
            <w:r w:rsidRPr="00FA3856">
              <w:rPr>
                <w:rFonts w:ascii="Times New Roman" w:hAnsi="Times New Roman"/>
                <w:lang w:val="pt-PT"/>
              </w:rPr>
              <w:t>Avso</w:t>
            </w:r>
          </w:p>
          <w:p w:rsidR="00D65466" w:rsidRPr="00FA3856" w:rsidRDefault="00D65466" w:rsidP="00264644">
            <w:pPr>
              <w:pStyle w:val="PSDS-CorpodeTexto0"/>
              <w:rPr>
                <w:rFonts w:ascii="Times New Roman" w:hAnsi="Times New Roman"/>
                <w:lang w:val="pt-PT"/>
              </w:rPr>
            </w:pPr>
          </w:p>
          <w:p w:rsidR="00D65466" w:rsidRPr="00FA3856" w:rsidRDefault="00D65466" w:rsidP="00264644">
            <w:pPr>
              <w:pStyle w:val="PSDS-CorpodeTexto0"/>
              <w:rPr>
                <w:rFonts w:ascii="Times New Roman" w:hAnsi="Times New Roman"/>
                <w:lang w:val="pt-PT"/>
              </w:rPr>
            </w:pPr>
            <w:r w:rsidRPr="00FA3856">
              <w:rPr>
                <w:rFonts w:ascii="Times New Roman" w:hAnsi="Times New Roman"/>
                <w:lang w:val="pt-PT"/>
              </w:rPr>
              <w:t>Aviso</w:t>
            </w:r>
          </w:p>
          <w:p w:rsidR="00D65466" w:rsidRPr="00FA3856" w:rsidRDefault="00D65466" w:rsidP="00264644">
            <w:pPr>
              <w:pStyle w:val="PSDS-CorpodeTexto0"/>
              <w:rPr>
                <w:rFonts w:ascii="Times New Roman" w:hAnsi="Times New Roman"/>
                <w:lang w:val="pt-PT"/>
              </w:rPr>
            </w:pPr>
          </w:p>
          <w:p w:rsidR="00D65466" w:rsidRPr="00FA3856" w:rsidRDefault="00D65466" w:rsidP="00264644">
            <w:pPr>
              <w:pStyle w:val="PSDS-CorpodeTexto0"/>
              <w:rPr>
                <w:rFonts w:ascii="Times New Roman" w:hAnsi="Times New Roman"/>
                <w:lang w:val="pt-PT"/>
              </w:rPr>
            </w:pPr>
            <w:r w:rsidRPr="00FA3856">
              <w:rPr>
                <w:rFonts w:ascii="Times New Roman" w:hAnsi="Times New Roman"/>
                <w:lang w:val="pt-PT"/>
              </w:rPr>
              <w:t>Aviso</w:t>
            </w:r>
          </w:p>
          <w:p w:rsidR="00D65466" w:rsidRPr="00FA3856" w:rsidRDefault="00D65466" w:rsidP="00264644">
            <w:pPr>
              <w:pStyle w:val="PSDS-CorpodeTexto0"/>
              <w:rPr>
                <w:rFonts w:ascii="Times New Roman" w:hAnsi="Times New Roman"/>
                <w:lang w:val="pt-PT"/>
              </w:rPr>
            </w:pPr>
          </w:p>
          <w:p w:rsidR="00D65466" w:rsidRPr="00FA3856" w:rsidRDefault="00D65466" w:rsidP="00264644">
            <w:pPr>
              <w:pStyle w:val="PSDS-CorpodeTexto0"/>
              <w:rPr>
                <w:rFonts w:ascii="Times New Roman" w:hAnsi="Times New Roman"/>
                <w:lang w:val="pt-PT"/>
              </w:rPr>
            </w:pPr>
            <w:r w:rsidRPr="00FA3856">
              <w:rPr>
                <w:rFonts w:ascii="Times New Roman" w:hAnsi="Times New Roman"/>
                <w:lang w:val="pt-PT"/>
              </w:rPr>
              <w:t>Aviso</w:t>
            </w:r>
          </w:p>
          <w:p w:rsidR="00D65466" w:rsidRPr="00FA3856" w:rsidRDefault="00D65466" w:rsidP="00264644">
            <w:pPr>
              <w:pStyle w:val="PSDS-CorpodeTexto0"/>
              <w:rPr>
                <w:rFonts w:ascii="Times New Roman" w:hAnsi="Times New Roman"/>
                <w:lang w:val="pt-PT"/>
              </w:rPr>
            </w:pPr>
          </w:p>
          <w:p w:rsidR="00D65466" w:rsidRPr="00FA3856" w:rsidRDefault="00D65466" w:rsidP="00264644">
            <w:pPr>
              <w:pStyle w:val="PSDS-CorpodeTexto0"/>
              <w:rPr>
                <w:rFonts w:ascii="Times New Roman" w:hAnsi="Times New Roman"/>
                <w:lang w:val="pt-PT"/>
              </w:rPr>
            </w:pPr>
            <w:r w:rsidRPr="00FA3856">
              <w:rPr>
                <w:rFonts w:ascii="Times New Roman" w:hAnsi="Times New Roman"/>
                <w:lang w:val="pt-PT"/>
              </w:rPr>
              <w:t>Aviso</w:t>
            </w:r>
          </w:p>
          <w:p w:rsidR="00D65466" w:rsidRPr="00FA3856" w:rsidRDefault="00D65466" w:rsidP="00264644">
            <w:pPr>
              <w:pStyle w:val="PSDS-CorpodeTexto0"/>
              <w:rPr>
                <w:rFonts w:ascii="Times New Roman" w:hAnsi="Times New Roman"/>
                <w:lang w:val="pt-PT"/>
              </w:rPr>
            </w:pPr>
          </w:p>
          <w:p w:rsidR="00D65466" w:rsidRPr="00FA3856" w:rsidRDefault="00D65466" w:rsidP="00264644">
            <w:pPr>
              <w:pStyle w:val="PSDS-CorpodeTexto0"/>
              <w:rPr>
                <w:rFonts w:ascii="Times New Roman" w:hAnsi="Times New Roman"/>
                <w:lang w:val="pt-PT"/>
              </w:rPr>
            </w:pPr>
            <w:r w:rsidRPr="00FA3856">
              <w:rPr>
                <w:rFonts w:ascii="Times New Roman" w:hAnsi="Times New Roman"/>
                <w:lang w:val="pt-PT"/>
              </w:rPr>
              <w:t>Aviso</w:t>
            </w:r>
          </w:p>
          <w:p w:rsidR="00D65466" w:rsidRPr="00FA3856" w:rsidRDefault="00D65466" w:rsidP="00264644">
            <w:pPr>
              <w:pStyle w:val="PSDS-CorpodeTexto0"/>
              <w:rPr>
                <w:rFonts w:ascii="Times New Roman" w:hAnsi="Times New Roman"/>
                <w:lang w:val="pt-PT"/>
              </w:rPr>
            </w:pPr>
          </w:p>
          <w:p w:rsidR="00D65466" w:rsidRPr="00FA3856" w:rsidRDefault="00D65466" w:rsidP="00264644">
            <w:pPr>
              <w:pStyle w:val="PSDS-CorpodeTexto0"/>
              <w:rPr>
                <w:rFonts w:ascii="Times New Roman" w:hAnsi="Times New Roman"/>
                <w:lang w:val="pt-PT"/>
              </w:rPr>
            </w:pPr>
          </w:p>
          <w:p w:rsidR="00D65466" w:rsidRPr="00FA3856" w:rsidRDefault="00C5399F" w:rsidP="00264644">
            <w:pPr>
              <w:pStyle w:val="PSDS-CorpodeTexto0"/>
              <w:rPr>
                <w:rFonts w:ascii="Times New Roman" w:hAnsi="Times New Roman"/>
                <w:lang w:val="pt-PT"/>
              </w:rPr>
            </w:pPr>
            <w:r w:rsidRPr="00FA3856">
              <w:rPr>
                <w:rFonts w:ascii="Times New Roman" w:hAnsi="Times New Roman"/>
                <w:lang w:val="pt-PT"/>
              </w:rPr>
              <w:t>Erro</w:t>
            </w:r>
          </w:p>
          <w:p w:rsidR="00D65466" w:rsidRPr="00FA3856" w:rsidRDefault="00D65466" w:rsidP="00264644">
            <w:pPr>
              <w:pStyle w:val="PSDS-CorpodeTexto0"/>
              <w:rPr>
                <w:rFonts w:ascii="Times New Roman" w:hAnsi="Times New Roman"/>
                <w:lang w:val="pt-PT"/>
              </w:rPr>
            </w:pPr>
          </w:p>
        </w:tc>
      </w:tr>
      <w:tr w:rsidR="00AC0AAC" w:rsidRPr="00FA3856" w:rsidTr="00E1698F">
        <w:trPr>
          <w:jc w:val="center"/>
        </w:trPr>
        <w:tc>
          <w:tcPr>
            <w:tcW w:w="485" w:type="dxa"/>
            <w:tcBorders>
              <w:top w:val="single" w:sz="6" w:space="0" w:color="auto"/>
              <w:left w:val="single" w:sz="6" w:space="0" w:color="auto"/>
              <w:bottom w:val="single" w:sz="6" w:space="0" w:color="auto"/>
              <w:right w:val="single" w:sz="6" w:space="0" w:color="auto"/>
            </w:tcBorders>
          </w:tcPr>
          <w:p w:rsidR="00AC0AAC" w:rsidRPr="00FA3856" w:rsidRDefault="00AC0AAC" w:rsidP="008D0979">
            <w:pPr>
              <w:pStyle w:val="PSDS-CorpodeTexto0"/>
              <w:suppressAutoHyphens w:val="0"/>
              <w:rPr>
                <w:rFonts w:ascii="Times New Roman" w:hAnsi="Times New Roman"/>
                <w:b/>
                <w:bCs/>
                <w:lang w:val="pt-PT"/>
              </w:rPr>
            </w:pPr>
            <w:r w:rsidRPr="00FA3856">
              <w:rPr>
                <w:rFonts w:ascii="Times New Roman" w:hAnsi="Times New Roman"/>
                <w:b/>
                <w:bCs/>
                <w:lang w:val="pt-PT"/>
              </w:rPr>
              <w:t>3</w:t>
            </w:r>
          </w:p>
        </w:tc>
        <w:tc>
          <w:tcPr>
            <w:tcW w:w="3000" w:type="dxa"/>
            <w:tcBorders>
              <w:top w:val="single" w:sz="6" w:space="0" w:color="auto"/>
              <w:left w:val="single" w:sz="6" w:space="0" w:color="auto"/>
              <w:bottom w:val="single" w:sz="6" w:space="0" w:color="auto"/>
              <w:right w:val="single" w:sz="6" w:space="0" w:color="auto"/>
            </w:tcBorders>
          </w:tcPr>
          <w:p w:rsidR="00AC0AAC" w:rsidRPr="00FA3856" w:rsidRDefault="00AC0AAC" w:rsidP="008D0979">
            <w:pPr>
              <w:pStyle w:val="PSDS-CorpodeTexto0"/>
              <w:rPr>
                <w:rFonts w:ascii="Times New Roman" w:hAnsi="Times New Roman"/>
                <w:lang w:val="pt-PT"/>
              </w:rPr>
            </w:pPr>
            <w:r w:rsidRPr="00FA3856">
              <w:rPr>
                <w:rFonts w:ascii="Times New Roman" w:hAnsi="Times New Roman"/>
                <w:lang w:val="pt-PT"/>
              </w:rPr>
              <w:t>IND_PROJ</w:t>
            </w:r>
          </w:p>
        </w:tc>
        <w:tc>
          <w:tcPr>
            <w:tcW w:w="12168" w:type="dxa"/>
            <w:tcBorders>
              <w:top w:val="single" w:sz="6" w:space="0" w:color="auto"/>
              <w:left w:val="single" w:sz="6" w:space="0" w:color="auto"/>
              <w:bottom w:val="single" w:sz="6" w:space="0" w:color="auto"/>
              <w:right w:val="single" w:sz="6" w:space="0" w:color="auto"/>
            </w:tcBorders>
          </w:tcPr>
          <w:p w:rsidR="00AC0AAC" w:rsidRPr="00FA3856" w:rsidRDefault="00AC0AAC" w:rsidP="008D0979">
            <w:pPr>
              <w:pStyle w:val="PSDS-CorpodeTexto0"/>
              <w:rPr>
                <w:rFonts w:ascii="Times New Roman" w:hAnsi="Times New Roman"/>
              </w:rPr>
            </w:pPr>
            <w:r w:rsidRPr="00FA3856">
              <w:rPr>
                <w:rFonts w:ascii="Times New Roman" w:hAnsi="Times New Roman"/>
                <w:b/>
              </w:rPr>
              <w:t xml:space="preserve">REGRA_IND_PROJ_ACEITO: </w:t>
            </w:r>
            <w:r w:rsidR="005E2399" w:rsidRPr="00FA3856">
              <w:rPr>
                <w:rFonts w:ascii="Times New Roman" w:hAnsi="Times New Roman"/>
              </w:rPr>
              <w:t>Verif</w:t>
            </w:r>
            <w:r w:rsidR="00733508" w:rsidRPr="00FA3856">
              <w:rPr>
                <w:rFonts w:ascii="Times New Roman" w:hAnsi="Times New Roman"/>
              </w:rPr>
              <w:t xml:space="preserve">ica se IND_PROJ </w:t>
            </w:r>
            <w:r w:rsidRPr="00FA3856">
              <w:rPr>
                <w:rFonts w:ascii="Times New Roman" w:hAnsi="Times New Roman"/>
              </w:rPr>
              <w:t>é compatível com a atividade.</w:t>
            </w:r>
          </w:p>
          <w:p w:rsidR="00AC0AAC" w:rsidRPr="00FA3856" w:rsidRDefault="00AC0AAC" w:rsidP="00AC0AAC">
            <w:pPr>
              <w:pStyle w:val="PSDS-CorpodeTexto0"/>
              <w:rPr>
                <w:rFonts w:ascii="Times New Roman" w:hAnsi="Times New Roman"/>
              </w:rPr>
            </w:pPr>
            <w:r w:rsidRPr="00FA3856">
              <w:rPr>
                <w:rFonts w:ascii="Times New Roman" w:hAnsi="Times New Roman"/>
              </w:rPr>
              <w:t>O erro ocorre:</w:t>
            </w:r>
          </w:p>
          <w:p w:rsidR="00AC0AAC" w:rsidRPr="00FA3856" w:rsidRDefault="00AC0AAC" w:rsidP="00AC0AAC">
            <w:pPr>
              <w:pStyle w:val="PSDS-CorpodeTexto0"/>
              <w:rPr>
                <w:rFonts w:ascii="Times New Roman" w:hAnsi="Times New Roman"/>
              </w:rPr>
            </w:pPr>
            <w:r w:rsidRPr="00FA3856">
              <w:rPr>
                <w:rFonts w:ascii="Times New Roman" w:hAnsi="Times New Roman"/>
              </w:rPr>
              <w:t>1) Se X280.IND_ATIV = “1” e X280.IND_PROJ é diferente de “1” ou “2” ou “3” ou “4” ou “6”</w:t>
            </w:r>
            <w:r w:rsidR="00D1292A" w:rsidRPr="00FA3856">
              <w:rPr>
                <w:rFonts w:ascii="Times New Roman" w:hAnsi="Times New Roman"/>
              </w:rPr>
              <w:t xml:space="preserve"> ou</w:t>
            </w:r>
            <w:r w:rsidRPr="00FA3856">
              <w:rPr>
                <w:rFonts w:ascii="Times New Roman" w:hAnsi="Times New Roman"/>
              </w:rPr>
              <w:t xml:space="preserve"> “8” ou “9” ou “10”</w:t>
            </w:r>
            <w:r w:rsidR="00D1292A" w:rsidRPr="00FA3856">
              <w:rPr>
                <w:rFonts w:ascii="Times New Roman" w:hAnsi="Times New Roman"/>
              </w:rPr>
              <w:t xml:space="preserve"> ou “11” ou “99”</w:t>
            </w:r>
            <w:r w:rsidRPr="00FA3856">
              <w:rPr>
                <w:rFonts w:ascii="Times New Roman" w:hAnsi="Times New Roman"/>
              </w:rPr>
              <w:t>)</w:t>
            </w:r>
          </w:p>
          <w:p w:rsidR="00AC0AAC" w:rsidRPr="00FA3856" w:rsidRDefault="00AC0AAC" w:rsidP="00AC0AAC">
            <w:pPr>
              <w:pStyle w:val="PSDS-CorpodeTexto0"/>
              <w:rPr>
                <w:rFonts w:ascii="Times New Roman" w:hAnsi="Times New Roman"/>
              </w:rPr>
            </w:pPr>
            <w:r w:rsidRPr="00FA3856">
              <w:rPr>
                <w:rFonts w:ascii="Times New Roman" w:hAnsi="Times New Roman"/>
              </w:rPr>
              <w:t>2) Se X280.IND_ATIV = “2” e X280.IND_PROJ é diferente de “7” ou “</w:t>
            </w:r>
            <w:r w:rsidR="00D1292A" w:rsidRPr="00FA3856">
              <w:rPr>
                <w:rFonts w:ascii="Times New Roman" w:hAnsi="Times New Roman"/>
              </w:rPr>
              <w:t>99</w:t>
            </w:r>
            <w:r w:rsidRPr="00FA3856">
              <w:rPr>
                <w:rFonts w:ascii="Times New Roman" w:hAnsi="Times New Roman"/>
              </w:rPr>
              <w:t>”</w:t>
            </w:r>
          </w:p>
          <w:p w:rsidR="00AC0AAC" w:rsidRPr="00FA3856" w:rsidRDefault="00AC0AAC" w:rsidP="00AC0AAC">
            <w:pPr>
              <w:pStyle w:val="PSDS-CorpodeTexto0"/>
              <w:rPr>
                <w:rFonts w:ascii="Times New Roman" w:hAnsi="Times New Roman"/>
              </w:rPr>
            </w:pPr>
            <w:r w:rsidRPr="00FA3856">
              <w:rPr>
                <w:rFonts w:ascii="Times New Roman" w:hAnsi="Times New Roman"/>
              </w:rPr>
              <w:t xml:space="preserve">3) Se X280.IND_ATIV = “3” e X280.IND_PROJ é diferente de </w:t>
            </w:r>
            <w:r w:rsidR="00AE10C8" w:rsidRPr="00FA3856">
              <w:rPr>
                <w:rFonts w:ascii="Times New Roman" w:hAnsi="Times New Roman"/>
              </w:rPr>
              <w:t>“1”</w:t>
            </w:r>
            <w:r w:rsidRPr="00FA3856">
              <w:rPr>
                <w:rFonts w:ascii="Times New Roman" w:hAnsi="Times New Roman"/>
              </w:rPr>
              <w:t xml:space="preserve"> ou </w:t>
            </w:r>
            <w:r w:rsidR="00AE10C8" w:rsidRPr="00FA3856">
              <w:rPr>
                <w:rFonts w:ascii="Times New Roman" w:hAnsi="Times New Roman"/>
              </w:rPr>
              <w:t>“</w:t>
            </w:r>
            <w:r w:rsidRPr="00FA3856">
              <w:rPr>
                <w:rFonts w:ascii="Times New Roman" w:hAnsi="Times New Roman"/>
              </w:rPr>
              <w:t>2</w:t>
            </w:r>
            <w:r w:rsidR="00AE10C8" w:rsidRPr="00FA3856">
              <w:rPr>
                <w:rFonts w:ascii="Times New Roman" w:hAnsi="Times New Roman"/>
              </w:rPr>
              <w:t>”</w:t>
            </w:r>
            <w:r w:rsidRPr="00FA3856">
              <w:rPr>
                <w:rFonts w:ascii="Times New Roman" w:hAnsi="Times New Roman"/>
              </w:rPr>
              <w:t xml:space="preserve"> ou </w:t>
            </w:r>
            <w:r w:rsidR="00AE10C8" w:rsidRPr="00FA3856">
              <w:rPr>
                <w:rFonts w:ascii="Times New Roman" w:hAnsi="Times New Roman"/>
              </w:rPr>
              <w:t>“</w:t>
            </w:r>
            <w:r w:rsidRPr="00FA3856">
              <w:rPr>
                <w:rFonts w:ascii="Times New Roman" w:hAnsi="Times New Roman"/>
              </w:rPr>
              <w:t>3</w:t>
            </w:r>
            <w:r w:rsidR="00AE10C8" w:rsidRPr="00FA3856">
              <w:rPr>
                <w:rFonts w:ascii="Times New Roman" w:hAnsi="Times New Roman"/>
              </w:rPr>
              <w:t>”</w:t>
            </w:r>
            <w:r w:rsidRPr="00FA3856">
              <w:rPr>
                <w:rFonts w:ascii="Times New Roman" w:hAnsi="Times New Roman"/>
              </w:rPr>
              <w:t xml:space="preserve"> ou </w:t>
            </w:r>
            <w:r w:rsidR="00AE10C8" w:rsidRPr="00FA3856">
              <w:rPr>
                <w:rFonts w:ascii="Times New Roman" w:hAnsi="Times New Roman"/>
              </w:rPr>
              <w:t>“</w:t>
            </w:r>
            <w:r w:rsidRPr="00FA3856">
              <w:rPr>
                <w:rFonts w:ascii="Times New Roman" w:hAnsi="Times New Roman"/>
              </w:rPr>
              <w:t>4</w:t>
            </w:r>
            <w:r w:rsidR="00AE10C8" w:rsidRPr="00FA3856">
              <w:rPr>
                <w:rFonts w:ascii="Times New Roman" w:hAnsi="Times New Roman"/>
              </w:rPr>
              <w:t>”</w:t>
            </w:r>
            <w:r w:rsidRPr="00FA3856">
              <w:rPr>
                <w:rFonts w:ascii="Times New Roman" w:hAnsi="Times New Roman"/>
              </w:rPr>
              <w:t xml:space="preserve"> ou </w:t>
            </w:r>
            <w:r w:rsidR="00AE10C8" w:rsidRPr="00FA3856">
              <w:rPr>
                <w:rFonts w:ascii="Times New Roman" w:hAnsi="Times New Roman"/>
              </w:rPr>
              <w:t>“</w:t>
            </w:r>
            <w:r w:rsidR="00D1292A" w:rsidRPr="00FA3856">
              <w:rPr>
                <w:rFonts w:ascii="Times New Roman" w:hAnsi="Times New Roman"/>
              </w:rPr>
              <w:t>99</w:t>
            </w:r>
            <w:r w:rsidR="00AE10C8" w:rsidRPr="00FA3856">
              <w:rPr>
                <w:rFonts w:ascii="Times New Roman" w:hAnsi="Times New Roman"/>
              </w:rPr>
              <w:t>”</w:t>
            </w:r>
          </w:p>
          <w:p w:rsidR="00AC0AAC" w:rsidRPr="00FA3856" w:rsidRDefault="00AC0AAC" w:rsidP="00AC0AAC">
            <w:pPr>
              <w:pStyle w:val="PSDS-CorpodeTexto0"/>
              <w:rPr>
                <w:rFonts w:ascii="Times New Roman" w:hAnsi="Times New Roman"/>
              </w:rPr>
            </w:pPr>
            <w:r w:rsidRPr="00FA3856">
              <w:rPr>
                <w:rFonts w:ascii="Times New Roman" w:hAnsi="Times New Roman"/>
              </w:rPr>
              <w:t>4) Se X280.IND_ATIV = “4”</w:t>
            </w:r>
            <w:r w:rsidR="00AE10C8" w:rsidRPr="00FA3856">
              <w:rPr>
                <w:rFonts w:ascii="Times New Roman" w:hAnsi="Times New Roman"/>
              </w:rPr>
              <w:t xml:space="preserve"> e </w:t>
            </w:r>
            <w:r w:rsidRPr="00FA3856">
              <w:rPr>
                <w:rFonts w:ascii="Times New Roman" w:hAnsi="Times New Roman"/>
              </w:rPr>
              <w:t xml:space="preserve">X280.IND_PROJ </w:t>
            </w:r>
            <w:r w:rsidR="00AE10C8" w:rsidRPr="00FA3856">
              <w:rPr>
                <w:rFonts w:ascii="Times New Roman" w:hAnsi="Times New Roman"/>
              </w:rPr>
              <w:t xml:space="preserve">é </w:t>
            </w:r>
            <w:r w:rsidRPr="00FA3856">
              <w:rPr>
                <w:rFonts w:ascii="Times New Roman" w:hAnsi="Times New Roman"/>
              </w:rPr>
              <w:t xml:space="preserve">diferente de </w:t>
            </w:r>
            <w:r w:rsidR="00AE10C8" w:rsidRPr="00FA3856">
              <w:rPr>
                <w:rFonts w:ascii="Times New Roman" w:hAnsi="Times New Roman"/>
              </w:rPr>
              <w:t>“</w:t>
            </w:r>
            <w:r w:rsidRPr="00FA3856">
              <w:rPr>
                <w:rFonts w:ascii="Times New Roman" w:hAnsi="Times New Roman"/>
              </w:rPr>
              <w:t>1</w:t>
            </w:r>
            <w:r w:rsidR="00AE10C8" w:rsidRPr="00FA3856">
              <w:rPr>
                <w:rFonts w:ascii="Times New Roman" w:hAnsi="Times New Roman"/>
              </w:rPr>
              <w:t>”</w:t>
            </w:r>
            <w:r w:rsidRPr="00FA3856">
              <w:rPr>
                <w:rFonts w:ascii="Times New Roman" w:hAnsi="Times New Roman"/>
              </w:rPr>
              <w:t xml:space="preserve"> ou </w:t>
            </w:r>
            <w:r w:rsidR="00D1292A" w:rsidRPr="00FA3856">
              <w:rPr>
                <w:rFonts w:ascii="Times New Roman" w:hAnsi="Times New Roman"/>
              </w:rPr>
              <w:t>“99</w:t>
            </w:r>
            <w:r w:rsidR="00AE10C8" w:rsidRPr="00FA3856">
              <w:rPr>
                <w:rFonts w:ascii="Times New Roman" w:hAnsi="Times New Roman"/>
              </w:rPr>
              <w:t>”</w:t>
            </w:r>
          </w:p>
          <w:p w:rsidR="00AC0AAC" w:rsidRPr="00FA3856" w:rsidRDefault="00AC0AAC" w:rsidP="00AC0AAC">
            <w:pPr>
              <w:pStyle w:val="PSDS-CorpodeTexto0"/>
              <w:rPr>
                <w:rFonts w:ascii="Times New Roman" w:hAnsi="Times New Roman"/>
              </w:rPr>
            </w:pPr>
            <w:r w:rsidRPr="00FA3856">
              <w:rPr>
                <w:rFonts w:ascii="Times New Roman" w:hAnsi="Times New Roman"/>
              </w:rPr>
              <w:t xml:space="preserve">5) Se X280.IND_ATIV = “5” e X280.IND_PROJ </w:t>
            </w:r>
            <w:r w:rsidR="00AE10C8" w:rsidRPr="00FA3856">
              <w:rPr>
                <w:rFonts w:ascii="Times New Roman" w:hAnsi="Times New Roman"/>
              </w:rPr>
              <w:t xml:space="preserve">é </w:t>
            </w:r>
            <w:r w:rsidRPr="00FA3856">
              <w:rPr>
                <w:rFonts w:ascii="Times New Roman" w:hAnsi="Times New Roman"/>
              </w:rPr>
              <w:t xml:space="preserve">diferente de </w:t>
            </w:r>
            <w:r w:rsidR="00D1292A" w:rsidRPr="00FA3856">
              <w:rPr>
                <w:rFonts w:ascii="Times New Roman" w:hAnsi="Times New Roman"/>
              </w:rPr>
              <w:t xml:space="preserve">“3” ou </w:t>
            </w:r>
            <w:r w:rsidR="00AE10C8" w:rsidRPr="00FA3856">
              <w:rPr>
                <w:rFonts w:ascii="Times New Roman" w:hAnsi="Times New Roman"/>
              </w:rPr>
              <w:t>“</w:t>
            </w:r>
            <w:r w:rsidR="00D1292A" w:rsidRPr="00FA3856">
              <w:rPr>
                <w:rFonts w:ascii="Times New Roman" w:hAnsi="Times New Roman"/>
              </w:rPr>
              <w:t>5</w:t>
            </w:r>
            <w:r w:rsidR="00AE10C8" w:rsidRPr="00FA3856">
              <w:rPr>
                <w:rFonts w:ascii="Times New Roman" w:hAnsi="Times New Roman"/>
              </w:rPr>
              <w:t>”</w:t>
            </w:r>
            <w:r w:rsidRPr="00FA3856">
              <w:rPr>
                <w:rFonts w:ascii="Times New Roman" w:hAnsi="Times New Roman"/>
              </w:rPr>
              <w:t xml:space="preserve"> ou </w:t>
            </w:r>
            <w:r w:rsidR="00D1292A" w:rsidRPr="00FA3856">
              <w:rPr>
                <w:rFonts w:ascii="Times New Roman" w:hAnsi="Times New Roman"/>
              </w:rPr>
              <w:t>“99</w:t>
            </w:r>
            <w:r w:rsidR="00AE10C8" w:rsidRPr="00FA3856">
              <w:rPr>
                <w:rFonts w:ascii="Times New Roman" w:hAnsi="Times New Roman"/>
              </w:rPr>
              <w:t>”</w:t>
            </w:r>
          </w:p>
          <w:p w:rsidR="00AC0AAC" w:rsidRPr="00FA3856" w:rsidRDefault="00AC0AAC" w:rsidP="00AC0AAC">
            <w:pPr>
              <w:pStyle w:val="PSDS-CorpodeTexto0"/>
              <w:rPr>
                <w:rFonts w:ascii="Times New Roman" w:hAnsi="Times New Roman"/>
              </w:rPr>
            </w:pPr>
            <w:r w:rsidRPr="00FA3856">
              <w:rPr>
                <w:rFonts w:ascii="Times New Roman" w:hAnsi="Times New Roman"/>
              </w:rPr>
              <w:t>6) Se X280.IND_ATIV = “6”</w:t>
            </w:r>
            <w:r w:rsidR="00AE10C8" w:rsidRPr="00FA3856">
              <w:rPr>
                <w:rFonts w:ascii="Times New Roman" w:hAnsi="Times New Roman"/>
              </w:rPr>
              <w:t xml:space="preserve"> e </w:t>
            </w:r>
            <w:r w:rsidRPr="00FA3856">
              <w:rPr>
                <w:rFonts w:ascii="Times New Roman" w:hAnsi="Times New Roman"/>
              </w:rPr>
              <w:t xml:space="preserve">X280.IND_PROJ </w:t>
            </w:r>
            <w:r w:rsidR="00AE10C8" w:rsidRPr="00FA3856">
              <w:rPr>
                <w:rFonts w:ascii="Times New Roman" w:hAnsi="Times New Roman"/>
              </w:rPr>
              <w:t xml:space="preserve">é </w:t>
            </w:r>
            <w:r w:rsidRPr="00FA3856">
              <w:rPr>
                <w:rFonts w:ascii="Times New Roman" w:hAnsi="Times New Roman"/>
              </w:rPr>
              <w:t xml:space="preserve">diferente de </w:t>
            </w:r>
            <w:r w:rsidR="00AE10C8" w:rsidRPr="00FA3856">
              <w:rPr>
                <w:rFonts w:ascii="Times New Roman" w:hAnsi="Times New Roman"/>
              </w:rPr>
              <w:t>“</w:t>
            </w:r>
            <w:r w:rsidRPr="00FA3856">
              <w:rPr>
                <w:rFonts w:ascii="Times New Roman" w:hAnsi="Times New Roman"/>
              </w:rPr>
              <w:t>3</w:t>
            </w:r>
            <w:r w:rsidR="00AE10C8" w:rsidRPr="00FA3856">
              <w:rPr>
                <w:rFonts w:ascii="Times New Roman" w:hAnsi="Times New Roman"/>
              </w:rPr>
              <w:t>”</w:t>
            </w:r>
            <w:r w:rsidRPr="00FA3856">
              <w:rPr>
                <w:rFonts w:ascii="Times New Roman" w:hAnsi="Times New Roman"/>
              </w:rPr>
              <w:t xml:space="preserve"> ou </w:t>
            </w:r>
            <w:r w:rsidR="00D1292A" w:rsidRPr="00FA3856">
              <w:rPr>
                <w:rFonts w:ascii="Times New Roman" w:hAnsi="Times New Roman"/>
              </w:rPr>
              <w:t>“99</w:t>
            </w:r>
            <w:r w:rsidR="00AE10C8" w:rsidRPr="00FA3856">
              <w:rPr>
                <w:rFonts w:ascii="Times New Roman" w:hAnsi="Times New Roman"/>
              </w:rPr>
              <w:t>”</w:t>
            </w:r>
          </w:p>
          <w:p w:rsidR="00AC0AAC" w:rsidRPr="00FA3856" w:rsidRDefault="00AC0AAC" w:rsidP="00AC0AAC">
            <w:pPr>
              <w:pStyle w:val="PSDS-CorpodeTexto0"/>
              <w:rPr>
                <w:rFonts w:ascii="Times New Roman" w:hAnsi="Times New Roman"/>
              </w:rPr>
            </w:pPr>
            <w:r w:rsidRPr="00FA3856">
              <w:rPr>
                <w:rFonts w:ascii="Times New Roman" w:hAnsi="Times New Roman"/>
              </w:rPr>
              <w:t>7) Se X280.IND_ATIV = “7”</w:t>
            </w:r>
            <w:r w:rsidR="00AE10C8" w:rsidRPr="00FA3856">
              <w:rPr>
                <w:rFonts w:ascii="Times New Roman" w:hAnsi="Times New Roman"/>
              </w:rPr>
              <w:t xml:space="preserve"> e </w:t>
            </w:r>
            <w:r w:rsidRPr="00FA3856">
              <w:rPr>
                <w:rFonts w:ascii="Times New Roman" w:hAnsi="Times New Roman"/>
              </w:rPr>
              <w:t xml:space="preserve">X280.IND_PROJ </w:t>
            </w:r>
            <w:r w:rsidR="00AE10C8" w:rsidRPr="00FA3856">
              <w:rPr>
                <w:rFonts w:ascii="Times New Roman" w:hAnsi="Times New Roman"/>
              </w:rPr>
              <w:t xml:space="preserve">é </w:t>
            </w:r>
            <w:r w:rsidRPr="00FA3856">
              <w:rPr>
                <w:rFonts w:ascii="Times New Roman" w:hAnsi="Times New Roman"/>
              </w:rPr>
              <w:t xml:space="preserve">diferente de </w:t>
            </w:r>
            <w:r w:rsidR="00AE10C8" w:rsidRPr="00FA3856">
              <w:rPr>
                <w:rFonts w:ascii="Times New Roman" w:hAnsi="Times New Roman"/>
              </w:rPr>
              <w:t>“</w:t>
            </w:r>
            <w:r w:rsidRPr="00FA3856">
              <w:rPr>
                <w:rFonts w:ascii="Times New Roman" w:hAnsi="Times New Roman"/>
              </w:rPr>
              <w:t>1</w:t>
            </w:r>
            <w:r w:rsidR="00AE10C8" w:rsidRPr="00FA3856">
              <w:rPr>
                <w:rFonts w:ascii="Times New Roman" w:hAnsi="Times New Roman"/>
              </w:rPr>
              <w:t>”</w:t>
            </w:r>
            <w:r w:rsidRPr="00FA3856">
              <w:rPr>
                <w:rFonts w:ascii="Times New Roman" w:hAnsi="Times New Roman"/>
              </w:rPr>
              <w:t xml:space="preserve"> ou </w:t>
            </w:r>
            <w:r w:rsidR="00AE10C8" w:rsidRPr="00FA3856">
              <w:rPr>
                <w:rFonts w:ascii="Times New Roman" w:hAnsi="Times New Roman"/>
              </w:rPr>
              <w:t>“</w:t>
            </w:r>
            <w:r w:rsidRPr="00FA3856">
              <w:rPr>
                <w:rFonts w:ascii="Times New Roman" w:hAnsi="Times New Roman"/>
              </w:rPr>
              <w:t>2</w:t>
            </w:r>
            <w:r w:rsidR="00AE10C8" w:rsidRPr="00FA3856">
              <w:rPr>
                <w:rFonts w:ascii="Times New Roman" w:hAnsi="Times New Roman"/>
              </w:rPr>
              <w:t>”</w:t>
            </w:r>
            <w:r w:rsidRPr="00FA3856">
              <w:rPr>
                <w:rFonts w:ascii="Times New Roman" w:hAnsi="Times New Roman"/>
              </w:rPr>
              <w:t xml:space="preserve"> ou </w:t>
            </w:r>
            <w:r w:rsidR="00AE10C8" w:rsidRPr="00FA3856">
              <w:rPr>
                <w:rFonts w:ascii="Times New Roman" w:hAnsi="Times New Roman"/>
              </w:rPr>
              <w:t>“</w:t>
            </w:r>
            <w:r w:rsidRPr="00FA3856">
              <w:rPr>
                <w:rFonts w:ascii="Times New Roman" w:hAnsi="Times New Roman"/>
              </w:rPr>
              <w:t>3</w:t>
            </w:r>
            <w:r w:rsidR="00AE10C8" w:rsidRPr="00FA3856">
              <w:rPr>
                <w:rFonts w:ascii="Times New Roman" w:hAnsi="Times New Roman"/>
              </w:rPr>
              <w:t>”</w:t>
            </w:r>
            <w:r w:rsidRPr="00FA3856">
              <w:rPr>
                <w:rFonts w:ascii="Times New Roman" w:hAnsi="Times New Roman"/>
              </w:rPr>
              <w:t xml:space="preserve"> ou </w:t>
            </w:r>
            <w:r w:rsidR="00AE10C8" w:rsidRPr="00FA3856">
              <w:rPr>
                <w:rFonts w:ascii="Times New Roman" w:hAnsi="Times New Roman"/>
              </w:rPr>
              <w:t>“</w:t>
            </w:r>
            <w:r w:rsidRPr="00FA3856">
              <w:rPr>
                <w:rFonts w:ascii="Times New Roman" w:hAnsi="Times New Roman"/>
              </w:rPr>
              <w:t>4</w:t>
            </w:r>
            <w:r w:rsidR="00AE10C8" w:rsidRPr="00FA3856">
              <w:rPr>
                <w:rFonts w:ascii="Times New Roman" w:hAnsi="Times New Roman"/>
              </w:rPr>
              <w:t>”</w:t>
            </w:r>
            <w:r w:rsidRPr="00FA3856">
              <w:rPr>
                <w:rFonts w:ascii="Times New Roman" w:hAnsi="Times New Roman"/>
              </w:rPr>
              <w:t xml:space="preserve"> ou </w:t>
            </w:r>
            <w:r w:rsidR="00D1292A" w:rsidRPr="00FA3856">
              <w:rPr>
                <w:rFonts w:ascii="Times New Roman" w:hAnsi="Times New Roman"/>
              </w:rPr>
              <w:t>“99</w:t>
            </w:r>
            <w:r w:rsidR="00AE10C8" w:rsidRPr="00FA3856">
              <w:rPr>
                <w:rFonts w:ascii="Times New Roman" w:hAnsi="Times New Roman"/>
              </w:rPr>
              <w:t>”</w:t>
            </w:r>
          </w:p>
          <w:p w:rsidR="00AC0AAC" w:rsidRPr="00FA3856" w:rsidRDefault="00AC0AAC" w:rsidP="00AC0AAC">
            <w:pPr>
              <w:pStyle w:val="PSDS-CorpodeTexto0"/>
              <w:rPr>
                <w:rFonts w:ascii="Times New Roman" w:hAnsi="Times New Roman"/>
              </w:rPr>
            </w:pPr>
            <w:r w:rsidRPr="00FA3856">
              <w:rPr>
                <w:rFonts w:ascii="Times New Roman" w:hAnsi="Times New Roman"/>
              </w:rPr>
              <w:t>8) Se X280.IND_ATIV = “8”</w:t>
            </w:r>
            <w:r w:rsidR="00AE10C8" w:rsidRPr="00FA3856">
              <w:rPr>
                <w:rFonts w:ascii="Times New Roman" w:hAnsi="Times New Roman"/>
              </w:rPr>
              <w:t xml:space="preserve"> e </w:t>
            </w:r>
            <w:r w:rsidRPr="00FA3856">
              <w:rPr>
                <w:rFonts w:ascii="Times New Roman" w:hAnsi="Times New Roman"/>
              </w:rPr>
              <w:t xml:space="preserve">X280.IND_PROJ </w:t>
            </w:r>
            <w:r w:rsidR="00AE10C8" w:rsidRPr="00FA3856">
              <w:rPr>
                <w:rFonts w:ascii="Times New Roman" w:hAnsi="Times New Roman"/>
              </w:rPr>
              <w:t xml:space="preserve">é </w:t>
            </w:r>
            <w:r w:rsidRPr="00FA3856">
              <w:rPr>
                <w:rFonts w:ascii="Times New Roman" w:hAnsi="Times New Roman"/>
              </w:rPr>
              <w:t xml:space="preserve">diferente de </w:t>
            </w:r>
            <w:r w:rsidR="00AE10C8" w:rsidRPr="00FA3856">
              <w:rPr>
                <w:rFonts w:ascii="Times New Roman" w:hAnsi="Times New Roman"/>
              </w:rPr>
              <w:t>“</w:t>
            </w:r>
            <w:r w:rsidRPr="00FA3856">
              <w:rPr>
                <w:rFonts w:ascii="Times New Roman" w:hAnsi="Times New Roman"/>
              </w:rPr>
              <w:t>5</w:t>
            </w:r>
            <w:r w:rsidR="00AE10C8" w:rsidRPr="00FA3856">
              <w:rPr>
                <w:rFonts w:ascii="Times New Roman" w:hAnsi="Times New Roman"/>
              </w:rPr>
              <w:t>”</w:t>
            </w:r>
            <w:r w:rsidRPr="00FA3856">
              <w:rPr>
                <w:rFonts w:ascii="Times New Roman" w:hAnsi="Times New Roman"/>
              </w:rPr>
              <w:t xml:space="preserve"> ou </w:t>
            </w:r>
            <w:r w:rsidR="00D1292A" w:rsidRPr="00FA3856">
              <w:rPr>
                <w:rFonts w:ascii="Times New Roman" w:hAnsi="Times New Roman"/>
              </w:rPr>
              <w:t>“99</w:t>
            </w:r>
            <w:r w:rsidR="00AE10C8" w:rsidRPr="00FA3856">
              <w:rPr>
                <w:rFonts w:ascii="Times New Roman" w:hAnsi="Times New Roman"/>
              </w:rPr>
              <w:t>”</w:t>
            </w:r>
          </w:p>
          <w:p w:rsidR="00747C1E" w:rsidRPr="00FA3856" w:rsidRDefault="00AC0AAC" w:rsidP="00E1698F">
            <w:pPr>
              <w:pStyle w:val="PSDS-CorpodeTexto0"/>
              <w:rPr>
                <w:rFonts w:ascii="Times New Roman" w:hAnsi="Times New Roman"/>
              </w:rPr>
            </w:pPr>
            <w:r w:rsidRPr="00FA3856">
              <w:rPr>
                <w:rFonts w:ascii="Times New Roman" w:hAnsi="Times New Roman"/>
              </w:rPr>
              <w:t>9) Se X280.IND_ATIV = “</w:t>
            </w:r>
            <w:r w:rsidR="00BB3623" w:rsidRPr="00FA3856">
              <w:rPr>
                <w:rFonts w:ascii="Times New Roman" w:hAnsi="Times New Roman"/>
              </w:rPr>
              <w:t>9</w:t>
            </w:r>
            <w:r w:rsidRPr="00FA3856">
              <w:rPr>
                <w:rFonts w:ascii="Times New Roman" w:hAnsi="Times New Roman"/>
              </w:rPr>
              <w:t>” e</w:t>
            </w:r>
            <w:r w:rsidR="00AE10C8" w:rsidRPr="00FA3856">
              <w:rPr>
                <w:rFonts w:ascii="Times New Roman" w:hAnsi="Times New Roman"/>
              </w:rPr>
              <w:t xml:space="preserve"> </w:t>
            </w:r>
            <w:r w:rsidRPr="00FA3856">
              <w:rPr>
                <w:rFonts w:ascii="Times New Roman" w:hAnsi="Times New Roman"/>
              </w:rPr>
              <w:t xml:space="preserve">X280.IND_PROJ </w:t>
            </w:r>
            <w:r w:rsidR="00AE10C8" w:rsidRPr="00FA3856">
              <w:rPr>
                <w:rFonts w:ascii="Times New Roman" w:hAnsi="Times New Roman"/>
              </w:rPr>
              <w:t xml:space="preserve">é </w:t>
            </w:r>
            <w:r w:rsidRPr="00FA3856">
              <w:rPr>
                <w:rFonts w:ascii="Times New Roman" w:hAnsi="Times New Roman"/>
              </w:rPr>
              <w:t xml:space="preserve">diferente de </w:t>
            </w:r>
            <w:r w:rsidR="00D1292A" w:rsidRPr="00FA3856">
              <w:rPr>
                <w:rFonts w:ascii="Times New Roman" w:hAnsi="Times New Roman"/>
              </w:rPr>
              <w:t>“99</w:t>
            </w:r>
            <w:r w:rsidR="00AE10C8" w:rsidRPr="00FA3856">
              <w:rPr>
                <w:rFonts w:ascii="Times New Roman" w:hAnsi="Times New Roman"/>
              </w:rPr>
              <w:t>”</w:t>
            </w:r>
          </w:p>
        </w:tc>
        <w:tc>
          <w:tcPr>
            <w:tcW w:w="717" w:type="dxa"/>
            <w:tcBorders>
              <w:top w:val="single" w:sz="6" w:space="0" w:color="auto"/>
              <w:left w:val="single" w:sz="6" w:space="0" w:color="auto"/>
              <w:bottom w:val="single" w:sz="6" w:space="0" w:color="auto"/>
              <w:right w:val="single" w:sz="6" w:space="0" w:color="auto"/>
            </w:tcBorders>
          </w:tcPr>
          <w:p w:rsidR="00AC0AAC" w:rsidRPr="00FA3856" w:rsidRDefault="00AC0AAC" w:rsidP="008D0979">
            <w:pPr>
              <w:pStyle w:val="PSDS-CorpodeTexto0"/>
              <w:rPr>
                <w:rFonts w:ascii="Times New Roman" w:hAnsi="Times New Roman"/>
                <w:lang w:val="pt-PT"/>
              </w:rPr>
            </w:pPr>
            <w:r w:rsidRPr="00FA3856">
              <w:rPr>
                <w:rFonts w:ascii="Times New Roman" w:hAnsi="Times New Roman"/>
                <w:lang w:val="pt-PT"/>
              </w:rPr>
              <w:t>Erro</w:t>
            </w:r>
          </w:p>
          <w:p w:rsidR="00E1698F" w:rsidRPr="00FA3856" w:rsidRDefault="00E1698F" w:rsidP="008D0979">
            <w:pPr>
              <w:pStyle w:val="PSDS-CorpodeTexto0"/>
              <w:rPr>
                <w:rFonts w:ascii="Times New Roman" w:hAnsi="Times New Roman"/>
                <w:lang w:val="pt-PT"/>
              </w:rPr>
            </w:pPr>
          </w:p>
          <w:p w:rsidR="00E1698F" w:rsidRPr="00FA3856" w:rsidRDefault="00E1698F" w:rsidP="008D0979">
            <w:pPr>
              <w:pStyle w:val="PSDS-CorpodeTexto0"/>
              <w:rPr>
                <w:rFonts w:ascii="Times New Roman" w:hAnsi="Times New Roman"/>
                <w:lang w:val="pt-PT"/>
              </w:rPr>
            </w:pPr>
          </w:p>
          <w:p w:rsidR="00E1698F" w:rsidRPr="00FA3856" w:rsidRDefault="00E1698F" w:rsidP="008D0979">
            <w:pPr>
              <w:pStyle w:val="PSDS-CorpodeTexto0"/>
              <w:rPr>
                <w:rFonts w:ascii="Times New Roman" w:hAnsi="Times New Roman"/>
                <w:lang w:val="pt-PT"/>
              </w:rPr>
            </w:pPr>
          </w:p>
          <w:p w:rsidR="00E1698F" w:rsidRPr="00FA3856" w:rsidRDefault="00E1698F" w:rsidP="008D0979">
            <w:pPr>
              <w:pStyle w:val="PSDS-CorpodeTexto0"/>
              <w:rPr>
                <w:rFonts w:ascii="Times New Roman" w:hAnsi="Times New Roman"/>
                <w:lang w:val="pt-PT"/>
              </w:rPr>
            </w:pPr>
          </w:p>
          <w:p w:rsidR="00E1698F" w:rsidRPr="00FA3856" w:rsidRDefault="00E1698F" w:rsidP="008D0979">
            <w:pPr>
              <w:pStyle w:val="PSDS-CorpodeTexto0"/>
              <w:rPr>
                <w:rFonts w:ascii="Times New Roman" w:hAnsi="Times New Roman"/>
                <w:lang w:val="pt-PT"/>
              </w:rPr>
            </w:pPr>
          </w:p>
          <w:p w:rsidR="00E1698F" w:rsidRPr="00FA3856" w:rsidRDefault="00E1698F" w:rsidP="008D0979">
            <w:pPr>
              <w:pStyle w:val="PSDS-CorpodeTexto0"/>
              <w:rPr>
                <w:rFonts w:ascii="Times New Roman" w:hAnsi="Times New Roman"/>
                <w:lang w:val="pt-PT"/>
              </w:rPr>
            </w:pPr>
          </w:p>
          <w:p w:rsidR="00E1698F" w:rsidRPr="00FA3856" w:rsidRDefault="00E1698F" w:rsidP="008D0979">
            <w:pPr>
              <w:pStyle w:val="PSDS-CorpodeTexto0"/>
              <w:rPr>
                <w:rFonts w:ascii="Times New Roman" w:hAnsi="Times New Roman"/>
                <w:lang w:val="pt-PT"/>
              </w:rPr>
            </w:pPr>
          </w:p>
          <w:p w:rsidR="00AC0AAC" w:rsidRPr="00FA3856" w:rsidRDefault="00AC0AAC" w:rsidP="008D0979">
            <w:pPr>
              <w:pStyle w:val="PSDS-CorpodeTexto0"/>
              <w:rPr>
                <w:rFonts w:ascii="Times New Roman" w:hAnsi="Times New Roman"/>
                <w:lang w:val="pt-PT"/>
              </w:rPr>
            </w:pPr>
          </w:p>
          <w:p w:rsidR="00711CAF" w:rsidRPr="00FA3856" w:rsidRDefault="00711CAF" w:rsidP="008D0979">
            <w:pPr>
              <w:pStyle w:val="PSDS-CorpodeTexto0"/>
              <w:rPr>
                <w:rFonts w:ascii="Times New Roman" w:hAnsi="Times New Roman"/>
                <w:lang w:val="pt-PT"/>
              </w:rPr>
            </w:pPr>
          </w:p>
          <w:p w:rsidR="00FF2649" w:rsidRPr="00FA3856" w:rsidRDefault="00FF2649" w:rsidP="00D65466">
            <w:pPr>
              <w:pStyle w:val="PSDS-CorpodeTexto0"/>
              <w:rPr>
                <w:rFonts w:ascii="Times New Roman" w:hAnsi="Times New Roman"/>
                <w:lang w:val="pt-PT"/>
              </w:rPr>
            </w:pPr>
          </w:p>
        </w:tc>
      </w:tr>
      <w:tr w:rsidR="00AC0AAC" w:rsidRPr="00FA3856" w:rsidTr="00E1698F">
        <w:trPr>
          <w:jc w:val="center"/>
        </w:trPr>
        <w:tc>
          <w:tcPr>
            <w:tcW w:w="485" w:type="dxa"/>
            <w:tcBorders>
              <w:top w:val="single" w:sz="6" w:space="0" w:color="auto"/>
              <w:left w:val="single" w:sz="6" w:space="0" w:color="auto"/>
              <w:bottom w:val="single" w:sz="6" w:space="0" w:color="auto"/>
              <w:right w:val="single" w:sz="6" w:space="0" w:color="auto"/>
            </w:tcBorders>
          </w:tcPr>
          <w:p w:rsidR="00AC0AAC" w:rsidRPr="00FA3856" w:rsidRDefault="00AC0AAC" w:rsidP="008D0979">
            <w:pPr>
              <w:pStyle w:val="PSDS-CorpodeTexto0"/>
              <w:suppressAutoHyphens w:val="0"/>
              <w:rPr>
                <w:rFonts w:ascii="Times New Roman" w:hAnsi="Times New Roman"/>
                <w:b/>
                <w:bCs/>
                <w:lang w:val="pt-PT"/>
              </w:rPr>
            </w:pPr>
            <w:r w:rsidRPr="00FA3856">
              <w:rPr>
                <w:rFonts w:ascii="Times New Roman" w:hAnsi="Times New Roman"/>
                <w:b/>
                <w:bCs/>
                <w:lang w:val="pt-PT"/>
              </w:rPr>
              <w:t>5</w:t>
            </w:r>
          </w:p>
        </w:tc>
        <w:tc>
          <w:tcPr>
            <w:tcW w:w="3000" w:type="dxa"/>
            <w:tcBorders>
              <w:top w:val="single" w:sz="6" w:space="0" w:color="auto"/>
              <w:left w:val="single" w:sz="6" w:space="0" w:color="auto"/>
              <w:bottom w:val="single" w:sz="6" w:space="0" w:color="auto"/>
              <w:right w:val="single" w:sz="6" w:space="0" w:color="auto"/>
            </w:tcBorders>
          </w:tcPr>
          <w:p w:rsidR="00AC0AAC" w:rsidRDefault="00AC0AAC" w:rsidP="008D0979">
            <w:pPr>
              <w:pStyle w:val="PSDS-CorpodeTexto0"/>
              <w:rPr>
                <w:rFonts w:ascii="Times New Roman" w:hAnsi="Times New Roman"/>
              </w:rPr>
            </w:pPr>
            <w:r w:rsidRPr="00FA3856">
              <w:rPr>
                <w:rFonts w:ascii="Times New Roman" w:hAnsi="Times New Roman"/>
              </w:rPr>
              <w:t>VIG_INI</w:t>
            </w:r>
          </w:p>
          <w:p w:rsidR="006335BD" w:rsidRDefault="006335BD" w:rsidP="008D0979">
            <w:pPr>
              <w:pStyle w:val="PSDS-CorpodeTexto0"/>
              <w:rPr>
                <w:rFonts w:ascii="Times New Roman" w:hAnsi="Times New Roman"/>
              </w:rPr>
            </w:pPr>
          </w:p>
          <w:p w:rsidR="006335BD" w:rsidRDefault="006335BD" w:rsidP="008D0979">
            <w:pPr>
              <w:pStyle w:val="PSDS-CorpodeTexto0"/>
              <w:rPr>
                <w:rFonts w:ascii="Times New Roman" w:hAnsi="Times New Roman"/>
              </w:rPr>
            </w:pPr>
          </w:p>
          <w:p w:rsidR="006335BD" w:rsidRPr="00FA3856" w:rsidRDefault="006335BD" w:rsidP="008D0979">
            <w:pPr>
              <w:pStyle w:val="PSDS-CorpodeTexto0"/>
              <w:rPr>
                <w:rFonts w:ascii="Times New Roman" w:hAnsi="Times New Roman"/>
              </w:rPr>
            </w:pPr>
          </w:p>
        </w:tc>
        <w:tc>
          <w:tcPr>
            <w:tcW w:w="12168" w:type="dxa"/>
            <w:tcBorders>
              <w:top w:val="single" w:sz="6" w:space="0" w:color="auto"/>
              <w:left w:val="single" w:sz="6" w:space="0" w:color="auto"/>
              <w:bottom w:val="single" w:sz="6" w:space="0" w:color="auto"/>
              <w:right w:val="single" w:sz="6" w:space="0" w:color="auto"/>
            </w:tcBorders>
          </w:tcPr>
          <w:p w:rsidR="00AC0AAC" w:rsidRPr="00FA3856" w:rsidRDefault="00AC0AAC" w:rsidP="00AC0AAC">
            <w:pPr>
              <w:pStyle w:val="Corpodetexto"/>
              <w:rPr>
                <w:rFonts w:ascii="Times New Roman" w:hAnsi="Times New Roman"/>
                <w:szCs w:val="20"/>
              </w:rPr>
            </w:pPr>
            <w:r w:rsidRPr="00FA3856">
              <w:rPr>
                <w:rFonts w:ascii="Times New Roman" w:hAnsi="Times New Roman"/>
                <w:b/>
                <w:bCs/>
                <w:szCs w:val="20"/>
              </w:rPr>
              <w:t>REGRA_MENOR_IGUAL_DT_FIN</w:t>
            </w:r>
            <w:r w:rsidRPr="00FA3856">
              <w:rPr>
                <w:rFonts w:ascii="Times New Roman" w:hAnsi="Times New Roman"/>
                <w:szCs w:val="20"/>
              </w:rPr>
              <w:t xml:space="preserve">: </w:t>
            </w:r>
            <w:r w:rsidR="00733508" w:rsidRPr="00FA3856">
              <w:rPr>
                <w:rFonts w:ascii="Times New Roman" w:hAnsi="Times New Roman"/>
                <w:szCs w:val="20"/>
              </w:rPr>
              <w:t xml:space="preserve">Verifica se X280.VIG_INI </w:t>
            </w:r>
            <w:r w:rsidR="00AE10C8" w:rsidRPr="00FA3856">
              <w:rPr>
                <w:rFonts w:ascii="Times New Roman" w:hAnsi="Times New Roman"/>
                <w:szCs w:val="20"/>
              </w:rPr>
              <w:t>é menor ou igual a 0000.DT_FIN.</w:t>
            </w:r>
          </w:p>
        </w:tc>
        <w:tc>
          <w:tcPr>
            <w:tcW w:w="717" w:type="dxa"/>
            <w:tcBorders>
              <w:top w:val="single" w:sz="6" w:space="0" w:color="auto"/>
              <w:left w:val="single" w:sz="6" w:space="0" w:color="auto"/>
              <w:bottom w:val="single" w:sz="6" w:space="0" w:color="auto"/>
              <w:right w:val="single" w:sz="6" w:space="0" w:color="auto"/>
            </w:tcBorders>
          </w:tcPr>
          <w:p w:rsidR="00AC0AAC" w:rsidRPr="00FA3856" w:rsidRDefault="00AC0AAC" w:rsidP="008D0979">
            <w:pPr>
              <w:pStyle w:val="PSDS-CorpodeTexto0"/>
              <w:rPr>
                <w:rFonts w:ascii="Times New Roman" w:hAnsi="Times New Roman"/>
              </w:rPr>
            </w:pPr>
            <w:r w:rsidRPr="00FA3856">
              <w:rPr>
                <w:rFonts w:ascii="Times New Roman" w:hAnsi="Times New Roman"/>
              </w:rPr>
              <w:t>Erro</w:t>
            </w:r>
          </w:p>
          <w:p w:rsidR="00AC0AAC" w:rsidRPr="00FA3856" w:rsidRDefault="00AC0AAC" w:rsidP="008D0979">
            <w:pPr>
              <w:pStyle w:val="PSDS-CorpodeTexto0"/>
              <w:rPr>
                <w:rFonts w:ascii="Times New Roman" w:hAnsi="Times New Roman"/>
              </w:rPr>
            </w:pPr>
          </w:p>
        </w:tc>
      </w:tr>
      <w:tr w:rsidR="00AC0AAC" w:rsidRPr="00FA3856" w:rsidTr="00E1698F">
        <w:trPr>
          <w:jc w:val="center"/>
        </w:trPr>
        <w:tc>
          <w:tcPr>
            <w:tcW w:w="485" w:type="dxa"/>
            <w:tcBorders>
              <w:top w:val="single" w:sz="6" w:space="0" w:color="auto"/>
              <w:left w:val="single" w:sz="6" w:space="0" w:color="auto"/>
              <w:bottom w:val="single" w:sz="6" w:space="0" w:color="auto"/>
              <w:right w:val="single" w:sz="6" w:space="0" w:color="auto"/>
            </w:tcBorders>
          </w:tcPr>
          <w:p w:rsidR="00AC0AAC" w:rsidRPr="00FA3856" w:rsidRDefault="00AE10C8" w:rsidP="008D0979">
            <w:pPr>
              <w:pStyle w:val="PSDS-CorpodeTexto0"/>
              <w:suppressAutoHyphens w:val="0"/>
              <w:rPr>
                <w:rFonts w:ascii="Times New Roman" w:hAnsi="Times New Roman"/>
                <w:b/>
                <w:bCs/>
                <w:lang w:val="pt-PT"/>
              </w:rPr>
            </w:pPr>
            <w:r w:rsidRPr="00FA3856">
              <w:rPr>
                <w:rFonts w:ascii="Times New Roman" w:hAnsi="Times New Roman"/>
                <w:b/>
                <w:bCs/>
                <w:lang w:val="pt-PT"/>
              </w:rPr>
              <w:lastRenderedPageBreak/>
              <w:t>6</w:t>
            </w:r>
          </w:p>
        </w:tc>
        <w:tc>
          <w:tcPr>
            <w:tcW w:w="3000" w:type="dxa"/>
            <w:tcBorders>
              <w:top w:val="single" w:sz="6" w:space="0" w:color="auto"/>
              <w:left w:val="single" w:sz="6" w:space="0" w:color="auto"/>
              <w:bottom w:val="single" w:sz="6" w:space="0" w:color="auto"/>
              <w:right w:val="single" w:sz="6" w:space="0" w:color="auto"/>
            </w:tcBorders>
          </w:tcPr>
          <w:p w:rsidR="00AC0AAC" w:rsidRPr="00FA3856" w:rsidRDefault="00AC0AAC" w:rsidP="008D0979">
            <w:pPr>
              <w:pStyle w:val="PSDS-CorpodeTexto0"/>
              <w:rPr>
                <w:rFonts w:ascii="Times New Roman" w:hAnsi="Times New Roman"/>
              </w:rPr>
            </w:pPr>
            <w:r w:rsidRPr="00FA3856">
              <w:rPr>
                <w:rFonts w:ascii="Times New Roman" w:hAnsi="Times New Roman"/>
              </w:rPr>
              <w:t>VIG_FIM</w:t>
            </w:r>
          </w:p>
        </w:tc>
        <w:tc>
          <w:tcPr>
            <w:tcW w:w="12168" w:type="dxa"/>
            <w:tcBorders>
              <w:top w:val="single" w:sz="6" w:space="0" w:color="auto"/>
              <w:left w:val="single" w:sz="6" w:space="0" w:color="auto"/>
              <w:bottom w:val="single" w:sz="6" w:space="0" w:color="auto"/>
              <w:right w:val="single" w:sz="6" w:space="0" w:color="auto"/>
            </w:tcBorders>
          </w:tcPr>
          <w:p w:rsidR="00AC0AAC" w:rsidRPr="00FA3856" w:rsidRDefault="00AC0AAC" w:rsidP="00AC0AAC">
            <w:pPr>
              <w:pStyle w:val="Corpodetexto"/>
              <w:rPr>
                <w:rFonts w:ascii="Times New Roman" w:hAnsi="Times New Roman"/>
                <w:b/>
                <w:bCs/>
                <w:szCs w:val="20"/>
              </w:rPr>
            </w:pPr>
            <w:r w:rsidRPr="00FA3856">
              <w:rPr>
                <w:rFonts w:ascii="Times New Roman" w:hAnsi="Times New Roman"/>
                <w:b/>
                <w:bCs/>
                <w:szCs w:val="20"/>
              </w:rPr>
              <w:t>REGRA_MAIOR_IGUAL_DT_INI:</w:t>
            </w:r>
            <w:r w:rsidR="00AE10C8" w:rsidRPr="00FA3856">
              <w:rPr>
                <w:rFonts w:ascii="Times New Roman" w:hAnsi="Times New Roman"/>
                <w:b/>
                <w:bCs/>
                <w:szCs w:val="20"/>
              </w:rPr>
              <w:t xml:space="preserve"> </w:t>
            </w:r>
            <w:r w:rsidR="00AE10C8" w:rsidRPr="00FA3856">
              <w:rPr>
                <w:rFonts w:ascii="Times New Roman" w:hAnsi="Times New Roman"/>
                <w:szCs w:val="20"/>
              </w:rPr>
              <w:t xml:space="preserve">Verifica se </w:t>
            </w:r>
            <w:r w:rsidR="00733508" w:rsidRPr="00FA3856">
              <w:rPr>
                <w:rFonts w:ascii="Times New Roman" w:hAnsi="Times New Roman"/>
                <w:szCs w:val="20"/>
              </w:rPr>
              <w:t xml:space="preserve">X280.VIG_FIM </w:t>
            </w:r>
            <w:r w:rsidR="00AE10C8" w:rsidRPr="00FA3856">
              <w:rPr>
                <w:rFonts w:ascii="Times New Roman" w:hAnsi="Times New Roman"/>
                <w:szCs w:val="20"/>
              </w:rPr>
              <w:t>é maior ou igual a 0000.DT_INI.</w:t>
            </w:r>
          </w:p>
          <w:p w:rsidR="00AC0AAC" w:rsidRPr="00FA3856" w:rsidRDefault="00AC0AAC" w:rsidP="00AC0AAC">
            <w:pPr>
              <w:pStyle w:val="Corpodetexto"/>
              <w:rPr>
                <w:rFonts w:ascii="Times New Roman" w:hAnsi="Times New Roman"/>
                <w:b/>
                <w:bCs/>
                <w:szCs w:val="20"/>
              </w:rPr>
            </w:pPr>
          </w:p>
          <w:p w:rsidR="00AC0AAC" w:rsidRPr="00FA3856" w:rsidRDefault="00AC0AAC" w:rsidP="00AE10C8">
            <w:pPr>
              <w:pStyle w:val="Corpodetexto"/>
              <w:rPr>
                <w:rFonts w:ascii="Times New Roman" w:hAnsi="Times New Roman"/>
                <w:szCs w:val="20"/>
              </w:rPr>
            </w:pPr>
            <w:r w:rsidRPr="00FA3856">
              <w:rPr>
                <w:rFonts w:ascii="Times New Roman" w:hAnsi="Times New Roman"/>
                <w:b/>
                <w:bCs/>
                <w:szCs w:val="20"/>
              </w:rPr>
              <w:t>REGRA_MAIOR_IGUAL_VIG_INI:</w:t>
            </w:r>
            <w:r w:rsidR="00AE10C8" w:rsidRPr="00FA3856">
              <w:rPr>
                <w:rFonts w:ascii="Times New Roman" w:hAnsi="Times New Roman"/>
                <w:b/>
                <w:bCs/>
                <w:szCs w:val="20"/>
              </w:rPr>
              <w:t xml:space="preserve"> </w:t>
            </w:r>
            <w:r w:rsidR="00733508" w:rsidRPr="00FA3856">
              <w:rPr>
                <w:rFonts w:ascii="Times New Roman" w:hAnsi="Times New Roman"/>
                <w:szCs w:val="20"/>
              </w:rPr>
              <w:t xml:space="preserve">Verifica se X280.VIG_FIM </w:t>
            </w:r>
            <w:r w:rsidR="00AE10C8" w:rsidRPr="00FA3856">
              <w:rPr>
                <w:rFonts w:ascii="Times New Roman" w:hAnsi="Times New Roman"/>
                <w:szCs w:val="20"/>
              </w:rPr>
              <w:t xml:space="preserve">é maior ou igual a </w:t>
            </w:r>
            <w:r w:rsidR="00733508" w:rsidRPr="00FA3856">
              <w:rPr>
                <w:rFonts w:ascii="Times New Roman" w:hAnsi="Times New Roman"/>
                <w:szCs w:val="20"/>
              </w:rPr>
              <w:t>X280.VIG_INI</w:t>
            </w:r>
            <w:r w:rsidR="00AE10C8" w:rsidRPr="00FA3856">
              <w:rPr>
                <w:rFonts w:ascii="Times New Roman" w:hAnsi="Times New Roman"/>
                <w:szCs w:val="20"/>
              </w:rPr>
              <w:t>.</w:t>
            </w:r>
          </w:p>
        </w:tc>
        <w:tc>
          <w:tcPr>
            <w:tcW w:w="717" w:type="dxa"/>
            <w:tcBorders>
              <w:top w:val="single" w:sz="6" w:space="0" w:color="auto"/>
              <w:left w:val="single" w:sz="6" w:space="0" w:color="auto"/>
              <w:bottom w:val="single" w:sz="6" w:space="0" w:color="auto"/>
              <w:right w:val="single" w:sz="6" w:space="0" w:color="auto"/>
            </w:tcBorders>
          </w:tcPr>
          <w:p w:rsidR="00AC0AAC" w:rsidRPr="00FA3856" w:rsidRDefault="00AC0AAC" w:rsidP="008D0979">
            <w:pPr>
              <w:pStyle w:val="PSDS-CorpodeTexto0"/>
              <w:rPr>
                <w:rFonts w:ascii="Times New Roman" w:hAnsi="Times New Roman"/>
              </w:rPr>
            </w:pPr>
            <w:r w:rsidRPr="00FA3856">
              <w:rPr>
                <w:rFonts w:ascii="Times New Roman" w:hAnsi="Times New Roman"/>
              </w:rPr>
              <w:t>Erro</w:t>
            </w:r>
          </w:p>
          <w:p w:rsidR="006557EF" w:rsidRPr="00FA3856" w:rsidRDefault="006557EF" w:rsidP="008D0979">
            <w:pPr>
              <w:pStyle w:val="PSDS-CorpodeTexto0"/>
              <w:rPr>
                <w:rFonts w:ascii="Times New Roman" w:hAnsi="Times New Roman"/>
              </w:rPr>
            </w:pPr>
          </w:p>
          <w:p w:rsidR="00AC0AAC" w:rsidRPr="00FA3856" w:rsidRDefault="006557EF" w:rsidP="008D0979">
            <w:pPr>
              <w:pStyle w:val="PSDS-CorpodeTexto0"/>
              <w:rPr>
                <w:rFonts w:ascii="Times New Roman" w:hAnsi="Times New Roman"/>
              </w:rPr>
            </w:pPr>
            <w:r w:rsidRPr="00FA3856">
              <w:rPr>
                <w:rFonts w:ascii="Times New Roman" w:hAnsi="Times New Roman"/>
              </w:rPr>
              <w:t>Erro</w:t>
            </w:r>
          </w:p>
        </w:tc>
      </w:tr>
    </w:tbl>
    <w:p w:rsidR="00EA380A" w:rsidRPr="00FA3856" w:rsidRDefault="00EA380A" w:rsidP="00FF2649">
      <w:pPr>
        <w:pStyle w:val="Corpodetexto"/>
        <w:rPr>
          <w:rFonts w:ascii="Times New Roman" w:hAnsi="Times New Roman"/>
          <w:b/>
          <w:color w:val="002060"/>
          <w:szCs w:val="20"/>
        </w:rPr>
      </w:pPr>
    </w:p>
    <w:p w:rsidR="006335BD" w:rsidRDefault="005E2399" w:rsidP="00FF2649">
      <w:pPr>
        <w:pStyle w:val="Corpodetexto"/>
        <w:rPr>
          <w:rFonts w:ascii="Times New Roman" w:hAnsi="Times New Roman"/>
          <w:b/>
          <w:color w:val="002060"/>
          <w:szCs w:val="20"/>
        </w:rPr>
      </w:pPr>
      <w:r w:rsidRPr="00FA3856">
        <w:rPr>
          <w:rFonts w:ascii="Times New Roman" w:hAnsi="Times New Roman"/>
          <w:b/>
          <w:color w:val="002060"/>
          <w:szCs w:val="20"/>
        </w:rPr>
        <w:t xml:space="preserve">Exemplo de Preenchimento: </w:t>
      </w:r>
    </w:p>
    <w:p w:rsidR="006335BD" w:rsidRDefault="006335BD" w:rsidP="00FF2649">
      <w:pPr>
        <w:pStyle w:val="Corpodetexto"/>
        <w:rPr>
          <w:rFonts w:ascii="Times New Roman" w:hAnsi="Times New Roman"/>
          <w:b/>
          <w:color w:val="002060"/>
          <w:szCs w:val="20"/>
        </w:rPr>
      </w:pPr>
    </w:p>
    <w:p w:rsidR="00FF2649" w:rsidRPr="00FA3856" w:rsidRDefault="00FF2649" w:rsidP="00FF2649">
      <w:pPr>
        <w:pStyle w:val="Corpodetexto"/>
        <w:rPr>
          <w:rFonts w:ascii="Times New Roman" w:hAnsi="Times New Roman"/>
          <w:b/>
          <w:color w:val="002060"/>
          <w:szCs w:val="20"/>
        </w:rPr>
      </w:pPr>
      <w:r w:rsidRPr="00FA3856">
        <w:rPr>
          <w:rFonts w:ascii="Times New Roman" w:hAnsi="Times New Roman"/>
          <w:b/>
          <w:color w:val="002060"/>
          <w:szCs w:val="20"/>
        </w:rPr>
        <w:t>|X280|01|08|11111111112014|01012014|31122016|</w:t>
      </w:r>
    </w:p>
    <w:p w:rsidR="00FF2649" w:rsidRPr="00FA3856" w:rsidRDefault="00FF2649" w:rsidP="00FF2649">
      <w:pPr>
        <w:pStyle w:val="Corpodetexto"/>
        <w:ind w:firstLine="708"/>
        <w:rPr>
          <w:rFonts w:ascii="Times New Roman" w:hAnsi="Times New Roman"/>
          <w:color w:val="002060"/>
          <w:szCs w:val="20"/>
        </w:rPr>
      </w:pPr>
      <w:r w:rsidRPr="00FA3856">
        <w:rPr>
          <w:rFonts w:ascii="Times New Roman" w:hAnsi="Times New Roman"/>
          <w:color w:val="002060"/>
          <w:szCs w:val="20"/>
        </w:rPr>
        <w:t>|X280|: Identificação do tipo do registro.</w:t>
      </w:r>
    </w:p>
    <w:p w:rsidR="00FF2649" w:rsidRPr="00FA3856" w:rsidRDefault="00FF2649" w:rsidP="00FF2649">
      <w:pPr>
        <w:pStyle w:val="Corpodetexto"/>
        <w:ind w:firstLine="708"/>
        <w:rPr>
          <w:rFonts w:ascii="Times New Roman" w:hAnsi="Times New Roman"/>
          <w:color w:val="002060"/>
          <w:szCs w:val="20"/>
        </w:rPr>
      </w:pPr>
      <w:r w:rsidRPr="00FA3856">
        <w:rPr>
          <w:rFonts w:ascii="Times New Roman" w:hAnsi="Times New Roman"/>
          <w:color w:val="002060"/>
          <w:szCs w:val="20"/>
        </w:rPr>
        <w:t>|01|: Benefício fiscal (01 = Isenção).</w:t>
      </w:r>
    </w:p>
    <w:p w:rsidR="00FF2649" w:rsidRPr="00FA3856" w:rsidRDefault="00FF2649" w:rsidP="00FF2649">
      <w:pPr>
        <w:pStyle w:val="Corpodetexto"/>
        <w:ind w:firstLine="708"/>
        <w:rPr>
          <w:rFonts w:ascii="Times New Roman" w:hAnsi="Times New Roman"/>
          <w:color w:val="002060"/>
          <w:szCs w:val="20"/>
        </w:rPr>
      </w:pPr>
      <w:r w:rsidRPr="00FA3856">
        <w:rPr>
          <w:rFonts w:ascii="Times New Roman" w:hAnsi="Times New Roman"/>
          <w:color w:val="002060"/>
          <w:szCs w:val="20"/>
        </w:rPr>
        <w:t>|08|: Indicador de projeto (08 = Eventos Fifa).</w:t>
      </w:r>
    </w:p>
    <w:p w:rsidR="00FF2649" w:rsidRPr="00FA3856" w:rsidRDefault="00FF2649" w:rsidP="00FF2649">
      <w:pPr>
        <w:pStyle w:val="Corpodetexto"/>
        <w:ind w:firstLine="708"/>
        <w:rPr>
          <w:rFonts w:ascii="Times New Roman" w:hAnsi="Times New Roman"/>
          <w:color w:val="002060"/>
          <w:szCs w:val="20"/>
        </w:rPr>
      </w:pPr>
      <w:r w:rsidRPr="00FA3856">
        <w:rPr>
          <w:rFonts w:ascii="Times New Roman" w:hAnsi="Times New Roman"/>
          <w:color w:val="002060"/>
          <w:szCs w:val="20"/>
        </w:rPr>
        <w:t>|11111111112014|: Ato concessório (1111111111/2014).</w:t>
      </w:r>
    </w:p>
    <w:p w:rsidR="00FF2649" w:rsidRPr="00FA3856" w:rsidRDefault="00FF2649" w:rsidP="00FF2649">
      <w:pPr>
        <w:pStyle w:val="Corpodetexto"/>
        <w:ind w:firstLine="708"/>
        <w:rPr>
          <w:rFonts w:ascii="Times New Roman" w:hAnsi="Times New Roman"/>
          <w:color w:val="002060"/>
          <w:szCs w:val="20"/>
        </w:rPr>
      </w:pPr>
      <w:r w:rsidRPr="00FA3856">
        <w:rPr>
          <w:rFonts w:ascii="Times New Roman" w:hAnsi="Times New Roman"/>
          <w:color w:val="002060"/>
          <w:szCs w:val="20"/>
        </w:rPr>
        <w:t>|01012014|: Início da vigência (01/01/2014).</w:t>
      </w:r>
    </w:p>
    <w:p w:rsidR="00FF2649" w:rsidRPr="00FA3856" w:rsidRDefault="00FF2649" w:rsidP="00FF2649">
      <w:pPr>
        <w:pStyle w:val="Corpodetexto"/>
        <w:ind w:firstLine="708"/>
        <w:rPr>
          <w:rFonts w:ascii="Times New Roman" w:hAnsi="Times New Roman"/>
          <w:color w:val="002060"/>
          <w:szCs w:val="20"/>
        </w:rPr>
      </w:pPr>
      <w:r w:rsidRPr="00FA3856">
        <w:rPr>
          <w:rFonts w:ascii="Times New Roman" w:hAnsi="Times New Roman"/>
          <w:color w:val="002060"/>
          <w:szCs w:val="20"/>
        </w:rPr>
        <w:t>|31122014|: Fim da vigência (31/12/2016).</w:t>
      </w:r>
    </w:p>
    <w:p w:rsidR="00AE10C8" w:rsidRPr="00FA3856" w:rsidRDefault="000D3C15" w:rsidP="00867F54">
      <w:pPr>
        <w:pStyle w:val="Ttulo4"/>
      </w:pPr>
      <w:r w:rsidRPr="00FA3856">
        <w:br w:type="page"/>
      </w:r>
      <w:bookmarkStart w:id="391" w:name="_Toc479713794"/>
      <w:r w:rsidR="00AE10C8" w:rsidRPr="00FA3856">
        <w:lastRenderedPageBreak/>
        <w:t>Registro X291: Operações com o Exterior – Pessoa Vinculada/Interposta/País com Tributação Favorecida</w:t>
      </w:r>
      <w:bookmarkEnd w:id="391"/>
    </w:p>
    <w:p w:rsidR="00AE10C8" w:rsidRPr="00FA3856" w:rsidRDefault="00AE10C8" w:rsidP="00AE10C8">
      <w:pPr>
        <w:rPr>
          <w:szCs w:val="20"/>
        </w:rPr>
      </w:pPr>
    </w:p>
    <w:p w:rsidR="00EF51BD" w:rsidRPr="00FA3856" w:rsidRDefault="00B009F5" w:rsidP="00280946">
      <w:pPr>
        <w:ind w:firstLine="708"/>
        <w:jc w:val="both"/>
        <w:rPr>
          <w:szCs w:val="20"/>
        </w:rPr>
      </w:pPr>
      <w:r w:rsidRPr="00FA3856">
        <w:rPr>
          <w:szCs w:val="20"/>
        </w:rPr>
        <w:t>Este registro deve ser preenchido</w:t>
      </w:r>
      <w:r w:rsidR="007370E1" w:rsidRPr="00FA3856">
        <w:rPr>
          <w:szCs w:val="20"/>
        </w:rPr>
        <w:t xml:space="preserve"> pela pessoa jurídica, inclusive instituição financeira ou companhia seguradora, conforme relacionadas no § 1º do art. 22, da Lei nº 8.212, de 1991 e no inciso II do art. 14 da Lei nº 9.718, de 1998, tributada pelo lucro real, presumido ou arbitrado, que tenha realizado no ano-calendário exportação/importação de bens, serviços, direitos ou que tenha auferido receitas financeiras ou incorrido em despesas financeiras em operações efetuadas com pessoa física ou jurídica residente ou domiciliada no exterior, consider</w:t>
      </w:r>
      <w:r w:rsidR="00280946" w:rsidRPr="00FA3856">
        <w:rPr>
          <w:szCs w:val="20"/>
        </w:rPr>
        <w:t>ada pela legislação brasileira:</w:t>
      </w:r>
    </w:p>
    <w:p w:rsidR="007370E1" w:rsidRPr="00FA3856" w:rsidRDefault="00EF51BD" w:rsidP="007370E1">
      <w:pPr>
        <w:ind w:firstLine="708"/>
        <w:jc w:val="both"/>
        <w:rPr>
          <w:szCs w:val="20"/>
        </w:rPr>
      </w:pPr>
      <w:r w:rsidRPr="00FA3856">
        <w:rPr>
          <w:szCs w:val="20"/>
        </w:rPr>
        <w:t>a) pessoa vinculada</w:t>
      </w:r>
      <w:r w:rsidR="007370E1" w:rsidRPr="00FA3856">
        <w:rPr>
          <w:szCs w:val="20"/>
        </w:rPr>
        <w:t>;</w:t>
      </w:r>
    </w:p>
    <w:p w:rsidR="007370E1" w:rsidRPr="00FA3856" w:rsidRDefault="007370E1" w:rsidP="007370E1">
      <w:pPr>
        <w:ind w:firstLine="708"/>
        <w:jc w:val="both"/>
        <w:rPr>
          <w:szCs w:val="20"/>
        </w:rPr>
      </w:pPr>
      <w:r w:rsidRPr="00FA3856">
        <w:rPr>
          <w:szCs w:val="20"/>
        </w:rPr>
        <w:t>b) pessoa residente ou domiciliada em países com tributação favorecida ou cuja legislação interna oponha sigilo relativo à composição societária de pessoas j</w:t>
      </w:r>
      <w:r w:rsidR="00EF51BD" w:rsidRPr="00FA3856">
        <w:rPr>
          <w:szCs w:val="20"/>
        </w:rPr>
        <w:t>urídicas ou a sua titularidade;</w:t>
      </w:r>
    </w:p>
    <w:p w:rsidR="007370E1" w:rsidRPr="00FA3856" w:rsidRDefault="007370E1" w:rsidP="007370E1">
      <w:pPr>
        <w:ind w:firstLine="708"/>
        <w:jc w:val="both"/>
        <w:rPr>
          <w:szCs w:val="20"/>
        </w:rPr>
      </w:pPr>
      <w:r w:rsidRPr="00FA3856">
        <w:rPr>
          <w:szCs w:val="20"/>
        </w:rPr>
        <w:t>c) a partir de 1º de janeiro de 2009, pessoa residente ou domiciliada no exterior, que goze, nos termos da legislação, de regime fiscal privilegiado. (Art. 24-A da Lei nº 9.430, de 1996, instituído pela Lei nº 11.727, de 2008)</w:t>
      </w:r>
    </w:p>
    <w:p w:rsidR="00EF51BD" w:rsidRPr="00FA3856" w:rsidRDefault="00EF51BD" w:rsidP="007370E1">
      <w:pPr>
        <w:ind w:firstLine="708"/>
        <w:jc w:val="both"/>
        <w:rPr>
          <w:szCs w:val="20"/>
        </w:rPr>
      </w:pPr>
    </w:p>
    <w:p w:rsidR="007370E1" w:rsidRPr="00FA3856" w:rsidRDefault="00EF51BD" w:rsidP="007370E1">
      <w:pPr>
        <w:ind w:firstLine="708"/>
        <w:jc w:val="both"/>
        <w:rPr>
          <w:szCs w:val="20"/>
        </w:rPr>
      </w:pPr>
      <w:r w:rsidRPr="00FA3856">
        <w:rPr>
          <w:szCs w:val="20"/>
        </w:rPr>
        <w:t>Este registro</w:t>
      </w:r>
      <w:r w:rsidR="007370E1" w:rsidRPr="00FA3856">
        <w:rPr>
          <w:szCs w:val="20"/>
        </w:rPr>
        <w:t xml:space="preserve"> também deve ser </w:t>
      </w:r>
      <w:r w:rsidR="00AE7FBB" w:rsidRPr="00FA3856">
        <w:rPr>
          <w:szCs w:val="20"/>
        </w:rPr>
        <w:t>preenchido</w:t>
      </w:r>
      <w:r w:rsidR="007370E1" w:rsidRPr="00FA3856">
        <w:rPr>
          <w:szCs w:val="20"/>
        </w:rPr>
        <w:t xml:space="preserve"> pela pessoa jurídica, inclusive instituição financeira ou companhia seguradora, que realizar as operações acima referidas por intermédio de interposta pessoa (§ 5º do art. 2º da IN RFB nº 1.312, de 28 de dezembro de 2012).</w:t>
      </w:r>
    </w:p>
    <w:p w:rsidR="00EF51BD" w:rsidRPr="00FA3856" w:rsidRDefault="00EF51BD" w:rsidP="007370E1">
      <w:pPr>
        <w:ind w:firstLine="708"/>
        <w:jc w:val="both"/>
        <w:rPr>
          <w:szCs w:val="20"/>
        </w:rPr>
      </w:pPr>
    </w:p>
    <w:p w:rsidR="007370E1" w:rsidRPr="00FA3856" w:rsidRDefault="007370E1" w:rsidP="007370E1">
      <w:pPr>
        <w:ind w:firstLine="708"/>
        <w:jc w:val="both"/>
        <w:rPr>
          <w:szCs w:val="20"/>
        </w:rPr>
      </w:pPr>
      <w:r w:rsidRPr="00FA3856">
        <w:rPr>
          <w:b/>
          <w:szCs w:val="20"/>
        </w:rPr>
        <w:t>Atenção</w:t>
      </w:r>
      <w:r w:rsidRPr="00FA3856">
        <w:rPr>
          <w:szCs w:val="20"/>
        </w:rPr>
        <w:t>:</w:t>
      </w:r>
    </w:p>
    <w:p w:rsidR="007370E1" w:rsidRPr="00FA3856" w:rsidRDefault="007370E1" w:rsidP="007370E1">
      <w:pPr>
        <w:ind w:firstLine="708"/>
        <w:jc w:val="both"/>
        <w:rPr>
          <w:szCs w:val="20"/>
        </w:rPr>
      </w:pPr>
      <w:r w:rsidRPr="00FA3856">
        <w:rPr>
          <w:szCs w:val="20"/>
        </w:rPr>
        <w:t>1) São considerados países com tributação favorecida ou cuja legislação interna oponha sigilo relativo à composição societária de pessoas j</w:t>
      </w:r>
      <w:r w:rsidR="005C27CE" w:rsidRPr="00FA3856">
        <w:rPr>
          <w:szCs w:val="20"/>
        </w:rPr>
        <w:t xml:space="preserve">urídicas ou a sua titularidade </w:t>
      </w:r>
      <w:r w:rsidRPr="00FA3856">
        <w:rPr>
          <w:szCs w:val="20"/>
        </w:rPr>
        <w:t>os países ou dependências discriminados no art. 1º da Instrução Normativa RFB nº 1.037, de 4 de junho de 2010.</w:t>
      </w:r>
    </w:p>
    <w:p w:rsidR="00EF51BD" w:rsidRPr="00FA3856" w:rsidRDefault="00EF51BD" w:rsidP="007370E1">
      <w:pPr>
        <w:ind w:firstLine="708"/>
        <w:jc w:val="both"/>
        <w:rPr>
          <w:szCs w:val="20"/>
        </w:rPr>
      </w:pPr>
    </w:p>
    <w:p w:rsidR="007370E1" w:rsidRPr="00FA3856" w:rsidRDefault="007370E1" w:rsidP="007370E1">
      <w:pPr>
        <w:ind w:firstLine="708"/>
        <w:jc w:val="both"/>
        <w:rPr>
          <w:szCs w:val="20"/>
        </w:rPr>
      </w:pPr>
      <w:r w:rsidRPr="00FA3856">
        <w:rPr>
          <w:szCs w:val="20"/>
        </w:rPr>
        <w:t>2) As verificações dos preços de transferências são efetuadas por períodos anuais, exceto nas hipóteses de início e encerramento de atividades e de suspeita de fraudes (art. 54 da IN RFB nº 1.312, de 28 de dezembro de 2012).</w:t>
      </w:r>
    </w:p>
    <w:p w:rsidR="00EF51BD" w:rsidRPr="00FA3856" w:rsidRDefault="00EF51BD" w:rsidP="007370E1">
      <w:pPr>
        <w:ind w:firstLine="708"/>
        <w:jc w:val="both"/>
        <w:rPr>
          <w:szCs w:val="20"/>
        </w:rPr>
      </w:pPr>
    </w:p>
    <w:p w:rsidR="007370E1" w:rsidRPr="00FA3856" w:rsidRDefault="007370E1" w:rsidP="007370E1">
      <w:pPr>
        <w:ind w:firstLine="708"/>
        <w:jc w:val="both"/>
        <w:rPr>
          <w:szCs w:val="20"/>
        </w:rPr>
      </w:pPr>
      <w:r w:rsidRPr="00FA3856">
        <w:rPr>
          <w:szCs w:val="20"/>
        </w:rPr>
        <w:t>3) Considera-se regime fiscal privilegiado aquele que apresente, uma ou mais das seguintes características: (art. 24-A da Lei nº 9.430, de 1996, instituído pela Lei nº 11.727, de 2008)</w:t>
      </w:r>
    </w:p>
    <w:p w:rsidR="00EF51BD" w:rsidRPr="00FA3856" w:rsidRDefault="00EF51BD" w:rsidP="007370E1">
      <w:pPr>
        <w:ind w:firstLine="708"/>
        <w:jc w:val="both"/>
        <w:rPr>
          <w:szCs w:val="20"/>
        </w:rPr>
      </w:pPr>
    </w:p>
    <w:p w:rsidR="007370E1" w:rsidRPr="00FA3856" w:rsidRDefault="007370E1" w:rsidP="00EF51BD">
      <w:pPr>
        <w:ind w:left="708" w:firstLine="708"/>
        <w:jc w:val="both"/>
        <w:rPr>
          <w:szCs w:val="20"/>
        </w:rPr>
      </w:pPr>
      <w:r w:rsidRPr="00FA3856">
        <w:rPr>
          <w:szCs w:val="20"/>
        </w:rPr>
        <w:t>I - não tribute a renda ou a tribute à alíquota máxima inferior a 20% (vinte por cento);</w:t>
      </w:r>
    </w:p>
    <w:p w:rsidR="007370E1" w:rsidRPr="00FA3856" w:rsidRDefault="007370E1" w:rsidP="00EF51BD">
      <w:pPr>
        <w:ind w:left="708" w:firstLine="708"/>
        <w:jc w:val="both"/>
        <w:rPr>
          <w:szCs w:val="20"/>
        </w:rPr>
      </w:pPr>
      <w:r w:rsidRPr="00FA3856">
        <w:rPr>
          <w:szCs w:val="20"/>
        </w:rPr>
        <w:t>II - conceda vantagem de natureza fiscal a pessoa física ou jurídica não residente:</w:t>
      </w:r>
    </w:p>
    <w:p w:rsidR="007370E1" w:rsidRPr="00FA3856" w:rsidRDefault="007370E1" w:rsidP="00EF51BD">
      <w:pPr>
        <w:ind w:left="1416" w:firstLine="708"/>
        <w:jc w:val="both"/>
        <w:rPr>
          <w:szCs w:val="20"/>
        </w:rPr>
      </w:pPr>
      <w:r w:rsidRPr="00FA3856">
        <w:rPr>
          <w:szCs w:val="20"/>
        </w:rPr>
        <w:t>a) sem exigência de realização de atividade econômica substantiva no país ou dependência;</w:t>
      </w:r>
    </w:p>
    <w:p w:rsidR="007370E1" w:rsidRPr="00FA3856" w:rsidRDefault="007370E1" w:rsidP="00EF51BD">
      <w:pPr>
        <w:ind w:left="1416" w:firstLine="708"/>
        <w:jc w:val="both"/>
        <w:rPr>
          <w:szCs w:val="20"/>
        </w:rPr>
      </w:pPr>
      <w:r w:rsidRPr="00FA3856">
        <w:rPr>
          <w:szCs w:val="20"/>
        </w:rPr>
        <w:t>b) condicionada ao não exercício de atividade econômica substantiva no país ou dependência;</w:t>
      </w:r>
    </w:p>
    <w:p w:rsidR="007370E1" w:rsidRPr="00FA3856" w:rsidRDefault="007370E1" w:rsidP="00EF51BD">
      <w:pPr>
        <w:ind w:left="708" w:firstLine="708"/>
        <w:jc w:val="both"/>
        <w:rPr>
          <w:szCs w:val="20"/>
        </w:rPr>
      </w:pPr>
      <w:r w:rsidRPr="00FA3856">
        <w:rPr>
          <w:szCs w:val="20"/>
        </w:rPr>
        <w:t>III - não tribute, ou o faça em alíquota máxima inferior a 20% (vinte por cento) os rendimentos auferidos fora de seu território;</w:t>
      </w:r>
    </w:p>
    <w:p w:rsidR="007370E1" w:rsidRPr="00FA3856" w:rsidRDefault="007370E1" w:rsidP="00EF51BD">
      <w:pPr>
        <w:ind w:left="708" w:firstLine="708"/>
        <w:jc w:val="both"/>
        <w:rPr>
          <w:szCs w:val="20"/>
        </w:rPr>
      </w:pPr>
      <w:r w:rsidRPr="00FA3856">
        <w:rPr>
          <w:szCs w:val="20"/>
        </w:rPr>
        <w:t>IV - não permita o acesso a informações relativas à composição societária, titularidade de bens ou direitos ou às operações econômicas realizadas.</w:t>
      </w:r>
    </w:p>
    <w:p w:rsidR="00EF51BD" w:rsidRPr="00FA3856" w:rsidRDefault="00EF51BD" w:rsidP="007370E1">
      <w:pPr>
        <w:ind w:firstLine="708"/>
        <w:jc w:val="both"/>
        <w:rPr>
          <w:szCs w:val="20"/>
        </w:rPr>
      </w:pPr>
    </w:p>
    <w:p w:rsidR="007370E1" w:rsidRPr="00FA3856" w:rsidRDefault="007370E1" w:rsidP="007370E1">
      <w:pPr>
        <w:ind w:firstLine="708"/>
        <w:jc w:val="both"/>
        <w:rPr>
          <w:szCs w:val="20"/>
        </w:rPr>
      </w:pPr>
      <w:r w:rsidRPr="00FA3856">
        <w:rPr>
          <w:szCs w:val="20"/>
        </w:rPr>
        <w:t>4) Os regimes fiscais privilegiados estão relacionados no art. 2º da Instrução Normativa RFB nº 1.037, de 2010.</w:t>
      </w:r>
    </w:p>
    <w:p w:rsidR="007370E1" w:rsidRPr="00FA3856" w:rsidRDefault="007370E1" w:rsidP="00B8720C">
      <w:pPr>
        <w:ind w:firstLine="708"/>
        <w:jc w:val="both"/>
        <w:rPr>
          <w:szCs w:val="20"/>
        </w:rPr>
      </w:pPr>
      <w:r w:rsidRPr="00FA3856">
        <w:rPr>
          <w:szCs w:val="20"/>
        </w:rPr>
        <w:t> </w:t>
      </w:r>
    </w:p>
    <w:p w:rsidR="007370E1" w:rsidRPr="00FA3856" w:rsidRDefault="007370E1" w:rsidP="007370E1">
      <w:pPr>
        <w:ind w:firstLine="708"/>
        <w:jc w:val="both"/>
        <w:rPr>
          <w:szCs w:val="20"/>
        </w:rPr>
      </w:pPr>
      <w:r w:rsidRPr="00FA3856">
        <w:rPr>
          <w:szCs w:val="20"/>
        </w:rPr>
        <w:t> </w:t>
      </w:r>
    </w:p>
    <w:p w:rsidR="007370E1" w:rsidRPr="00FA3856" w:rsidRDefault="007370E1" w:rsidP="00B00985">
      <w:pPr>
        <w:ind w:firstLine="708"/>
        <w:jc w:val="both"/>
        <w:rPr>
          <w:szCs w:val="20"/>
        </w:rPr>
      </w:pPr>
      <w:r w:rsidRPr="00FA3856">
        <w:rPr>
          <w:szCs w:val="20"/>
        </w:rPr>
        <w:t> </w:t>
      </w:r>
    </w:p>
    <w:p w:rsidR="007370E1" w:rsidRPr="00FA3856" w:rsidRDefault="007370E1" w:rsidP="007370E1">
      <w:pPr>
        <w:ind w:firstLine="708"/>
        <w:jc w:val="both"/>
        <w:rPr>
          <w:szCs w:val="20"/>
        </w:rPr>
      </w:pPr>
      <w:r w:rsidRPr="00FA3856">
        <w:rPr>
          <w:szCs w:val="20"/>
        </w:rPr>
        <w:t> </w:t>
      </w:r>
    </w:p>
    <w:p w:rsidR="007370E1" w:rsidRPr="00FA3856" w:rsidRDefault="007370E1" w:rsidP="007370E1">
      <w:pPr>
        <w:ind w:firstLine="708"/>
        <w:jc w:val="both"/>
        <w:rPr>
          <w:szCs w:val="20"/>
        </w:rPr>
      </w:pPr>
      <w:r w:rsidRPr="00FA3856">
        <w:rPr>
          <w:szCs w:val="20"/>
        </w:rPr>
        <w:t> </w:t>
      </w:r>
    </w:p>
    <w:p w:rsidR="007370E1" w:rsidRPr="00FA3856" w:rsidRDefault="007370E1" w:rsidP="007370E1">
      <w:pPr>
        <w:ind w:firstLine="708"/>
        <w:jc w:val="both"/>
        <w:rPr>
          <w:szCs w:val="20"/>
        </w:rPr>
      </w:pPr>
      <w:r w:rsidRPr="00FA3856">
        <w:rPr>
          <w:szCs w:val="20"/>
        </w:rPr>
        <w:t> </w:t>
      </w:r>
    </w:p>
    <w:p w:rsidR="007370E1" w:rsidRPr="00FA3856" w:rsidRDefault="007370E1" w:rsidP="00B00985">
      <w:pPr>
        <w:ind w:firstLine="708"/>
        <w:jc w:val="both"/>
        <w:rPr>
          <w:szCs w:val="20"/>
        </w:rPr>
      </w:pPr>
      <w:r w:rsidRPr="00FA3856">
        <w:rPr>
          <w:szCs w:val="20"/>
        </w:rPr>
        <w:t> </w:t>
      </w:r>
    </w:p>
    <w:p w:rsidR="007370E1" w:rsidRPr="00FA3856" w:rsidRDefault="007370E1" w:rsidP="007370E1">
      <w:pPr>
        <w:ind w:firstLine="708"/>
        <w:jc w:val="both"/>
        <w:rPr>
          <w:szCs w:val="20"/>
        </w:rPr>
      </w:pPr>
    </w:p>
    <w:p w:rsidR="00280946" w:rsidRPr="00FA3856" w:rsidRDefault="00280946" w:rsidP="007370E1">
      <w:pPr>
        <w:ind w:firstLine="708"/>
        <w:jc w:val="both"/>
        <w:rPr>
          <w:szCs w:val="20"/>
        </w:rPr>
      </w:pPr>
    </w:p>
    <w:p w:rsidR="00AE10C8" w:rsidRPr="00FA3856" w:rsidRDefault="007370E1" w:rsidP="009A22DC">
      <w:pPr>
        <w:ind w:firstLine="708"/>
        <w:jc w:val="both"/>
        <w:rPr>
          <w:szCs w:val="20"/>
        </w:rPr>
      </w:pPr>
      <w:r w:rsidRPr="00FA3856">
        <w:rPr>
          <w:szCs w:val="20"/>
        </w:rPr>
        <w:t> </w:t>
      </w:r>
    </w:p>
    <w:p w:rsidR="008C09CA" w:rsidRDefault="00B35FA3" w:rsidP="002B4D3E">
      <w:pPr>
        <w:jc w:val="center"/>
        <w:rPr>
          <w:b/>
          <w:szCs w:val="20"/>
          <w:lang w:val="pt-PT"/>
        </w:rPr>
      </w:pPr>
      <w:r>
        <w:rPr>
          <w:b/>
          <w:szCs w:val="20"/>
          <w:lang w:val="pt-PT"/>
        </w:rPr>
        <w:object w:dxaOrig="13920" w:dyaOrig="4695">
          <v:shape id="_x0000_i1911" type="#_x0000_t75" style="width:743.25pt;height:227.25pt" o:ole="">
            <v:imagedata r:id="rId661" o:title=""/>
          </v:shape>
          <o:OLEObject Type="Link" ProgID="Excel.Sheet.12" ShapeID="_x0000_i1911" DrawAspect="Content" r:id="rId662" UpdateMode="Always">
            <o:LinkType>EnhancedMetaFile</o:LinkType>
            <o:LockedField>false</o:LockedField>
          </o:OLEObject>
        </w:object>
      </w:r>
    </w:p>
    <w:p w:rsidR="008C09CA" w:rsidRDefault="008C09CA" w:rsidP="00FE5D23">
      <w:pPr>
        <w:rPr>
          <w:b/>
          <w:szCs w:val="20"/>
          <w:lang w:val="pt-PT"/>
        </w:rPr>
      </w:pPr>
    </w:p>
    <w:p w:rsidR="00FE5D23" w:rsidRPr="00FA3856" w:rsidRDefault="00FE5D23" w:rsidP="00FE5D23">
      <w:pPr>
        <w:rPr>
          <w:b/>
          <w:szCs w:val="20"/>
          <w:lang w:val="pt-PT"/>
        </w:rPr>
      </w:pPr>
      <w:r w:rsidRPr="00FA3856">
        <w:rPr>
          <w:b/>
          <w:szCs w:val="20"/>
          <w:lang w:val="pt-PT"/>
        </w:rPr>
        <w:t>I – Regras de Validação do Registro:</w:t>
      </w:r>
    </w:p>
    <w:p w:rsidR="00FE5D23" w:rsidRPr="00FA3856" w:rsidRDefault="00FE5D23" w:rsidP="00FE5D23">
      <w:pPr>
        <w:rPr>
          <w:b/>
          <w:szCs w:val="20"/>
          <w:lang w:val="pt-PT"/>
        </w:rPr>
      </w:pPr>
    </w:p>
    <w:p w:rsidR="00FE5D23" w:rsidRPr="00FA3856" w:rsidRDefault="007D0E74" w:rsidP="00FE5D23">
      <w:pPr>
        <w:pStyle w:val="Corpodetexto"/>
        <w:ind w:left="708" w:firstLine="12"/>
        <w:rPr>
          <w:rFonts w:ascii="Times New Roman" w:hAnsi="Times New Roman"/>
          <w:szCs w:val="20"/>
        </w:rPr>
      </w:pPr>
      <w:hyperlink r:id="rId663" w:anchor="REGRA_OCORRENCIA_UNITARIA_ARQ" w:history="1">
        <w:r w:rsidR="00FE5D23" w:rsidRPr="00FA3856">
          <w:rPr>
            <w:rFonts w:ascii="Times New Roman" w:hAnsi="Times New Roman"/>
            <w:b/>
            <w:szCs w:val="20"/>
          </w:rPr>
          <w:t>REGRA_</w:t>
        </w:r>
      </w:hyperlink>
      <w:r w:rsidR="00FE5D23" w:rsidRPr="00FA3856">
        <w:rPr>
          <w:rFonts w:ascii="Times New Roman" w:hAnsi="Times New Roman"/>
          <w:b/>
          <w:szCs w:val="20"/>
        </w:rPr>
        <w:t>DUPLICIDADE_DESPREZADA</w:t>
      </w:r>
      <w:r w:rsidR="00FE5D23" w:rsidRPr="00FA3856">
        <w:rPr>
          <w:rFonts w:ascii="Times New Roman" w:hAnsi="Times New Roman"/>
          <w:color w:val="auto"/>
          <w:szCs w:val="20"/>
        </w:rPr>
        <w:t xml:space="preserve">: </w:t>
      </w:r>
      <w:r w:rsidR="00FE5D23" w:rsidRPr="00FA3856">
        <w:rPr>
          <w:rFonts w:ascii="Times New Roman" w:hAnsi="Times New Roman"/>
          <w:szCs w:val="20"/>
        </w:rPr>
        <w:t>Verifica se o registro já foi importado anteriormente, de acordo com a chave e os registros pais. Se a regra não for cumprida, a ECF gera um aviso.</w:t>
      </w:r>
    </w:p>
    <w:p w:rsidR="00FE5D23" w:rsidRPr="00FA3856" w:rsidRDefault="00FE5D23" w:rsidP="00FE5D23">
      <w:pPr>
        <w:pStyle w:val="Corpodetexto"/>
        <w:ind w:left="708" w:firstLine="12"/>
        <w:rPr>
          <w:rFonts w:ascii="Times New Roman" w:hAnsi="Times New Roman"/>
          <w:szCs w:val="20"/>
        </w:rPr>
      </w:pPr>
    </w:p>
    <w:p w:rsidR="00FE5D23" w:rsidRPr="00FA3856" w:rsidRDefault="007D0E74" w:rsidP="00FE5D23">
      <w:pPr>
        <w:pStyle w:val="Corpodetexto"/>
        <w:ind w:left="708" w:firstLine="12"/>
        <w:rPr>
          <w:rFonts w:ascii="Times New Roman" w:hAnsi="Times New Roman"/>
          <w:szCs w:val="20"/>
        </w:rPr>
      </w:pPr>
      <w:hyperlink r:id="rId664" w:anchor="REGRA_OCORRENCIA_UNITARIA_ARQ" w:history="1">
        <w:r w:rsidR="00FE5D23" w:rsidRPr="00FA3856">
          <w:rPr>
            <w:rFonts w:ascii="Times New Roman" w:hAnsi="Times New Roman"/>
            <w:b/>
            <w:szCs w:val="20"/>
          </w:rPr>
          <w:t>REGRA_</w:t>
        </w:r>
      </w:hyperlink>
      <w:r w:rsidR="00FE5D23" w:rsidRPr="00FA3856">
        <w:rPr>
          <w:rFonts w:ascii="Times New Roman" w:hAnsi="Times New Roman"/>
          <w:b/>
          <w:szCs w:val="20"/>
        </w:rPr>
        <w:t>LINHA_DESPREZADA</w:t>
      </w:r>
      <w:r w:rsidR="00FE5D23" w:rsidRPr="00FA3856">
        <w:rPr>
          <w:rFonts w:ascii="Times New Roman" w:hAnsi="Times New Roman"/>
          <w:color w:val="auto"/>
          <w:szCs w:val="20"/>
        </w:rPr>
        <w:t xml:space="preserve">: </w:t>
      </w:r>
      <w:r w:rsidR="00FE5D23" w:rsidRPr="00FA3856">
        <w:rPr>
          <w:rFonts w:ascii="Times New Roman" w:hAnsi="Times New Roman"/>
          <w:szCs w:val="20"/>
        </w:rPr>
        <w:t>Verifica se o registro existe na importação, mas não será importado por não existir na tabela dinâmica devido às configurações do bloco 0 ou da tabela dinâmica. Gera um aviso.</w:t>
      </w:r>
    </w:p>
    <w:p w:rsidR="00FE5D23" w:rsidRPr="00FA3856" w:rsidRDefault="00FE5D23" w:rsidP="00FE5D23">
      <w:pPr>
        <w:pStyle w:val="Corpodetexto"/>
        <w:ind w:left="708" w:firstLine="12"/>
        <w:rPr>
          <w:rFonts w:ascii="Times New Roman" w:hAnsi="Times New Roman"/>
          <w:b/>
          <w:szCs w:val="20"/>
        </w:rPr>
      </w:pPr>
    </w:p>
    <w:p w:rsidR="00FE5D23" w:rsidRPr="00FA3856" w:rsidRDefault="007D0E74" w:rsidP="00FE5D23">
      <w:pPr>
        <w:pStyle w:val="Corpodetexto"/>
        <w:ind w:left="708" w:firstLine="12"/>
        <w:rPr>
          <w:rFonts w:ascii="Times New Roman" w:hAnsi="Times New Roman"/>
          <w:b/>
          <w:szCs w:val="20"/>
        </w:rPr>
      </w:pPr>
      <w:hyperlink r:id="rId665" w:anchor="REGRA_OCORRENCIA_UNITARIA_ARQ" w:history="1">
        <w:r w:rsidR="00FE5D23" w:rsidRPr="00FA3856">
          <w:rPr>
            <w:rFonts w:ascii="Times New Roman" w:hAnsi="Times New Roman"/>
            <w:b/>
            <w:szCs w:val="20"/>
          </w:rPr>
          <w:t>REGRA_</w:t>
        </w:r>
      </w:hyperlink>
      <w:r w:rsidR="00FE5D23" w:rsidRPr="00FA3856">
        <w:rPr>
          <w:rFonts w:ascii="Times New Roman" w:hAnsi="Times New Roman"/>
          <w:b/>
          <w:szCs w:val="20"/>
        </w:rPr>
        <w:t>LINHA_ATUALIZADA</w:t>
      </w:r>
      <w:r w:rsidR="00FE5D23" w:rsidRPr="00FA3856">
        <w:rPr>
          <w:rFonts w:ascii="Times New Roman" w:hAnsi="Times New Roman"/>
          <w:color w:val="auto"/>
          <w:szCs w:val="20"/>
        </w:rPr>
        <w:t xml:space="preserve">: </w:t>
      </w:r>
      <w:r w:rsidR="00FE5D23" w:rsidRPr="00FA3856">
        <w:rPr>
          <w:rFonts w:ascii="Times New Roman" w:hAnsi="Times New Roman"/>
          <w:szCs w:val="20"/>
        </w:rPr>
        <w:t>Verifica se o registro está desatualizado em relação à tabela da RFB. Gera um aviso.</w:t>
      </w:r>
    </w:p>
    <w:p w:rsidR="00FE5D23" w:rsidRPr="00FA3856" w:rsidRDefault="00FE5D23" w:rsidP="00AE10C8">
      <w:pPr>
        <w:rPr>
          <w:b/>
          <w:szCs w:val="20"/>
          <w:lang w:val="pt-PT"/>
        </w:rPr>
      </w:pPr>
    </w:p>
    <w:p w:rsidR="00AE10C8" w:rsidRPr="00FA3856" w:rsidRDefault="00FE5D23" w:rsidP="00AE10C8">
      <w:pPr>
        <w:rPr>
          <w:b/>
          <w:szCs w:val="20"/>
          <w:lang w:val="pt-PT"/>
        </w:rPr>
      </w:pPr>
      <w:r w:rsidRPr="00FA3856">
        <w:rPr>
          <w:b/>
          <w:szCs w:val="20"/>
          <w:lang w:val="pt-PT"/>
        </w:rPr>
        <w:t>I</w:t>
      </w:r>
      <w:r w:rsidR="00AE10C8" w:rsidRPr="00FA3856">
        <w:rPr>
          <w:b/>
          <w:szCs w:val="20"/>
          <w:lang w:val="pt-PT"/>
        </w:rPr>
        <w:t>I – Regras de Validação de Campos:</w:t>
      </w:r>
    </w:p>
    <w:p w:rsidR="00AE10C8" w:rsidRPr="00FA3856" w:rsidRDefault="00AE10C8" w:rsidP="00AE10C8">
      <w:pPr>
        <w:rPr>
          <w:b/>
          <w:szCs w:val="20"/>
          <w:lang w:val="pt-PT"/>
        </w:rPr>
      </w:pPr>
    </w:p>
    <w:tbl>
      <w:tblPr>
        <w:tblW w:w="15367"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85"/>
        <w:gridCol w:w="3000"/>
        <w:gridCol w:w="11165"/>
        <w:gridCol w:w="717"/>
      </w:tblGrid>
      <w:tr w:rsidR="00AE10C8" w:rsidRPr="00FA3856" w:rsidTr="009A22DC">
        <w:trPr>
          <w:jc w:val="center"/>
        </w:trPr>
        <w:tc>
          <w:tcPr>
            <w:tcW w:w="485" w:type="dxa"/>
            <w:tcBorders>
              <w:top w:val="single" w:sz="6" w:space="0" w:color="auto"/>
              <w:left w:val="single" w:sz="6" w:space="0" w:color="auto"/>
              <w:bottom w:val="single" w:sz="6" w:space="0" w:color="auto"/>
              <w:right w:val="single" w:sz="6" w:space="0" w:color="auto"/>
            </w:tcBorders>
            <w:shd w:val="pct10" w:color="auto" w:fill="FFFFFF"/>
          </w:tcPr>
          <w:p w:rsidR="00AE10C8" w:rsidRPr="00FA3856" w:rsidRDefault="00AE10C8" w:rsidP="008D0979">
            <w:pPr>
              <w:pStyle w:val="PSDS-CorpodeTexto0"/>
              <w:jc w:val="center"/>
              <w:rPr>
                <w:rFonts w:ascii="Times New Roman" w:hAnsi="Times New Roman"/>
                <w:b/>
                <w:bCs/>
              </w:rPr>
            </w:pPr>
            <w:r w:rsidRPr="00FA3856">
              <w:rPr>
                <w:rFonts w:ascii="Times New Roman" w:hAnsi="Times New Roman"/>
                <w:b/>
                <w:bCs/>
              </w:rPr>
              <w:t>Nº</w:t>
            </w:r>
          </w:p>
        </w:tc>
        <w:tc>
          <w:tcPr>
            <w:tcW w:w="3000" w:type="dxa"/>
            <w:tcBorders>
              <w:top w:val="single" w:sz="6" w:space="0" w:color="auto"/>
              <w:left w:val="single" w:sz="6" w:space="0" w:color="auto"/>
              <w:bottom w:val="single" w:sz="6" w:space="0" w:color="auto"/>
              <w:right w:val="single" w:sz="6" w:space="0" w:color="auto"/>
            </w:tcBorders>
            <w:shd w:val="pct10" w:color="auto" w:fill="FFFFFF"/>
          </w:tcPr>
          <w:p w:rsidR="00AE10C8" w:rsidRPr="00FA3856" w:rsidRDefault="00AE10C8" w:rsidP="008D0979">
            <w:pPr>
              <w:pStyle w:val="PSDS-CorpodeTexto0"/>
              <w:jc w:val="center"/>
              <w:rPr>
                <w:rFonts w:ascii="Times New Roman" w:hAnsi="Times New Roman"/>
                <w:b/>
                <w:bCs/>
              </w:rPr>
            </w:pPr>
            <w:r w:rsidRPr="00FA3856">
              <w:rPr>
                <w:rFonts w:ascii="Times New Roman" w:hAnsi="Times New Roman"/>
                <w:b/>
                <w:bCs/>
              </w:rPr>
              <w:t>Campo</w:t>
            </w:r>
          </w:p>
        </w:tc>
        <w:tc>
          <w:tcPr>
            <w:tcW w:w="11165" w:type="dxa"/>
            <w:tcBorders>
              <w:top w:val="single" w:sz="6" w:space="0" w:color="auto"/>
              <w:left w:val="single" w:sz="6" w:space="0" w:color="auto"/>
              <w:bottom w:val="single" w:sz="6" w:space="0" w:color="auto"/>
              <w:right w:val="single" w:sz="6" w:space="0" w:color="auto"/>
            </w:tcBorders>
            <w:shd w:val="pct10" w:color="auto" w:fill="FFFFFF"/>
          </w:tcPr>
          <w:p w:rsidR="00AE10C8" w:rsidRPr="00FA3856" w:rsidRDefault="00AE10C8" w:rsidP="008D0979">
            <w:pPr>
              <w:pStyle w:val="PSDS-CorpodeTexto0"/>
              <w:jc w:val="center"/>
              <w:rPr>
                <w:rFonts w:ascii="Times New Roman" w:hAnsi="Times New Roman"/>
                <w:b/>
                <w:bCs/>
              </w:rPr>
            </w:pPr>
            <w:r w:rsidRPr="00FA3856">
              <w:rPr>
                <w:rFonts w:ascii="Times New Roman" w:hAnsi="Times New Roman"/>
                <w:b/>
                <w:bCs/>
              </w:rPr>
              <w:t>Regras de Validação do Campo</w:t>
            </w:r>
          </w:p>
        </w:tc>
        <w:tc>
          <w:tcPr>
            <w:tcW w:w="717" w:type="dxa"/>
            <w:tcBorders>
              <w:top w:val="single" w:sz="6" w:space="0" w:color="auto"/>
              <w:left w:val="single" w:sz="6" w:space="0" w:color="auto"/>
              <w:bottom w:val="single" w:sz="6" w:space="0" w:color="auto"/>
              <w:right w:val="single" w:sz="6" w:space="0" w:color="auto"/>
            </w:tcBorders>
            <w:shd w:val="pct10" w:color="auto" w:fill="FFFFFF"/>
          </w:tcPr>
          <w:p w:rsidR="00AE10C8" w:rsidRPr="00FA3856" w:rsidRDefault="00AE10C8" w:rsidP="008D0979">
            <w:pPr>
              <w:pStyle w:val="PSDS-CorpodeTexto0"/>
              <w:jc w:val="center"/>
              <w:rPr>
                <w:rFonts w:ascii="Times New Roman" w:hAnsi="Times New Roman"/>
                <w:b/>
                <w:bCs/>
              </w:rPr>
            </w:pPr>
            <w:r w:rsidRPr="00FA3856">
              <w:rPr>
                <w:rFonts w:ascii="Times New Roman" w:hAnsi="Times New Roman"/>
                <w:b/>
                <w:bCs/>
              </w:rPr>
              <w:t>Tipo</w:t>
            </w:r>
          </w:p>
        </w:tc>
      </w:tr>
      <w:tr w:rsidR="0012324D" w:rsidRPr="00FA3856" w:rsidTr="009A22DC">
        <w:trPr>
          <w:jc w:val="center"/>
        </w:trPr>
        <w:tc>
          <w:tcPr>
            <w:tcW w:w="485" w:type="dxa"/>
            <w:tcBorders>
              <w:top w:val="single" w:sz="6" w:space="0" w:color="auto"/>
              <w:left w:val="single" w:sz="6" w:space="0" w:color="auto"/>
              <w:bottom w:val="single" w:sz="6" w:space="0" w:color="auto"/>
              <w:right w:val="single" w:sz="6" w:space="0" w:color="auto"/>
            </w:tcBorders>
          </w:tcPr>
          <w:p w:rsidR="0012324D" w:rsidRPr="00FA3856" w:rsidRDefault="0012324D" w:rsidP="0012324D">
            <w:pPr>
              <w:pStyle w:val="PSDS-CorpodeTexto0"/>
              <w:suppressAutoHyphens w:val="0"/>
              <w:rPr>
                <w:rFonts w:ascii="Times New Roman" w:hAnsi="Times New Roman"/>
                <w:b/>
                <w:bCs/>
                <w:lang w:val="pt-PT"/>
              </w:rPr>
            </w:pPr>
            <w:r w:rsidRPr="00FA3856">
              <w:rPr>
                <w:rFonts w:ascii="Times New Roman" w:hAnsi="Times New Roman"/>
                <w:b/>
                <w:bCs/>
                <w:lang w:val="pt-PT"/>
              </w:rPr>
              <w:t>4</w:t>
            </w:r>
          </w:p>
        </w:tc>
        <w:tc>
          <w:tcPr>
            <w:tcW w:w="3000" w:type="dxa"/>
            <w:tcBorders>
              <w:top w:val="single" w:sz="6" w:space="0" w:color="auto"/>
              <w:left w:val="single" w:sz="6" w:space="0" w:color="auto"/>
              <w:bottom w:val="single" w:sz="6" w:space="0" w:color="auto"/>
              <w:right w:val="single" w:sz="6" w:space="0" w:color="auto"/>
            </w:tcBorders>
          </w:tcPr>
          <w:p w:rsidR="0012324D" w:rsidRPr="00FA3856" w:rsidRDefault="0012324D" w:rsidP="0012324D">
            <w:pPr>
              <w:pStyle w:val="PSDS-CorpodeTexto0"/>
              <w:rPr>
                <w:rFonts w:ascii="Times New Roman" w:hAnsi="Times New Roman"/>
              </w:rPr>
            </w:pPr>
            <w:r w:rsidRPr="00FA3856">
              <w:rPr>
                <w:rFonts w:ascii="Times New Roman" w:hAnsi="Times New Roman"/>
              </w:rPr>
              <w:t>VALOR</w:t>
            </w:r>
          </w:p>
        </w:tc>
        <w:tc>
          <w:tcPr>
            <w:tcW w:w="11165" w:type="dxa"/>
            <w:tcBorders>
              <w:top w:val="single" w:sz="6" w:space="0" w:color="auto"/>
              <w:left w:val="single" w:sz="6" w:space="0" w:color="auto"/>
              <w:bottom w:val="single" w:sz="6" w:space="0" w:color="auto"/>
              <w:right w:val="single" w:sz="6" w:space="0" w:color="auto"/>
            </w:tcBorders>
          </w:tcPr>
          <w:p w:rsidR="0012324D" w:rsidRPr="00FA3856" w:rsidRDefault="0012324D" w:rsidP="0012324D">
            <w:pPr>
              <w:pStyle w:val="Corpodetexto"/>
              <w:rPr>
                <w:rFonts w:ascii="Times New Roman" w:hAnsi="Times New Roman"/>
                <w:szCs w:val="20"/>
              </w:rPr>
            </w:pPr>
            <w:r w:rsidRPr="00FA3856">
              <w:rPr>
                <w:rFonts w:ascii="Times New Roman" w:hAnsi="Times New Roman"/>
                <w:b/>
                <w:bCs/>
                <w:szCs w:val="20"/>
              </w:rPr>
              <w:t>REGRA_OBRIGATORIO_TIPO_DIFERENTE_R</w:t>
            </w:r>
            <w:r w:rsidRPr="00FA3856">
              <w:rPr>
                <w:rFonts w:ascii="Times New Roman" w:hAnsi="Times New Roman"/>
                <w:szCs w:val="20"/>
              </w:rPr>
              <w:t xml:space="preserve">: </w:t>
            </w:r>
            <w:r w:rsidRPr="00FA3856">
              <w:rPr>
                <w:rStyle w:val="Hyperlink"/>
                <w:rFonts w:ascii="Times New Roman" w:hAnsi="Times New Roman"/>
                <w:bCs/>
                <w:color w:val="auto"/>
                <w:szCs w:val="20"/>
                <w:lang w:val="pt-PT"/>
              </w:rPr>
              <w:t xml:space="preserve">Verifica se o campo está preenchido quando o tipo da linha </w:t>
            </w:r>
            <w:r w:rsidR="00AE7FBB" w:rsidRPr="00FA3856">
              <w:rPr>
                <w:rStyle w:val="Hyperlink"/>
                <w:rFonts w:ascii="Times New Roman" w:hAnsi="Times New Roman"/>
                <w:bCs/>
                <w:color w:val="auto"/>
                <w:szCs w:val="20"/>
                <w:lang w:val="pt-PT"/>
              </w:rPr>
              <w:t>é diferente</w:t>
            </w:r>
            <w:r w:rsidRPr="00FA3856">
              <w:rPr>
                <w:rStyle w:val="Hyperlink"/>
                <w:rFonts w:ascii="Times New Roman" w:hAnsi="Times New Roman"/>
                <w:bCs/>
                <w:color w:val="auto"/>
                <w:szCs w:val="20"/>
                <w:lang w:val="pt-PT"/>
              </w:rPr>
              <w:t xml:space="preserve"> de “R”.</w:t>
            </w:r>
          </w:p>
        </w:tc>
        <w:tc>
          <w:tcPr>
            <w:tcW w:w="717" w:type="dxa"/>
            <w:tcBorders>
              <w:top w:val="single" w:sz="6" w:space="0" w:color="auto"/>
              <w:left w:val="single" w:sz="6" w:space="0" w:color="auto"/>
              <w:bottom w:val="single" w:sz="6" w:space="0" w:color="auto"/>
              <w:right w:val="single" w:sz="6" w:space="0" w:color="auto"/>
            </w:tcBorders>
          </w:tcPr>
          <w:p w:rsidR="0012324D" w:rsidRPr="00FA3856" w:rsidRDefault="0012324D" w:rsidP="0012324D">
            <w:pPr>
              <w:pStyle w:val="PSDS-CorpodeTexto0"/>
              <w:rPr>
                <w:rFonts w:ascii="Times New Roman" w:hAnsi="Times New Roman"/>
              </w:rPr>
            </w:pPr>
            <w:r w:rsidRPr="00FA3856">
              <w:rPr>
                <w:rFonts w:ascii="Times New Roman" w:hAnsi="Times New Roman"/>
              </w:rPr>
              <w:t>Erro</w:t>
            </w:r>
          </w:p>
          <w:p w:rsidR="0012324D" w:rsidRPr="00FA3856" w:rsidRDefault="0012324D" w:rsidP="0012324D">
            <w:pPr>
              <w:pStyle w:val="PSDS-CorpodeTexto0"/>
              <w:rPr>
                <w:rFonts w:ascii="Times New Roman" w:hAnsi="Times New Roman"/>
              </w:rPr>
            </w:pPr>
          </w:p>
        </w:tc>
      </w:tr>
    </w:tbl>
    <w:p w:rsidR="00AE10C8" w:rsidRPr="00FA3856" w:rsidRDefault="00AE10C8" w:rsidP="00AE10C8">
      <w:pPr>
        <w:pStyle w:val="Corpodetexto"/>
        <w:rPr>
          <w:rFonts w:ascii="Times New Roman" w:hAnsi="Times New Roman"/>
          <w:szCs w:val="20"/>
        </w:rPr>
      </w:pPr>
    </w:p>
    <w:p w:rsidR="009A22DC" w:rsidRPr="00FA3856" w:rsidRDefault="009A22DC" w:rsidP="00AE10C8">
      <w:pPr>
        <w:pStyle w:val="Corpodetexto"/>
        <w:rPr>
          <w:rFonts w:ascii="Times New Roman" w:hAnsi="Times New Roman"/>
          <w:szCs w:val="20"/>
        </w:rPr>
      </w:pPr>
    </w:p>
    <w:p w:rsidR="009A22DC" w:rsidRPr="00FA3856" w:rsidRDefault="009A22DC" w:rsidP="00AE10C8">
      <w:pPr>
        <w:pStyle w:val="Corpodetexto"/>
        <w:rPr>
          <w:rFonts w:ascii="Times New Roman" w:hAnsi="Times New Roman"/>
          <w:szCs w:val="20"/>
        </w:rPr>
      </w:pPr>
    </w:p>
    <w:p w:rsidR="009A22DC" w:rsidRPr="00FA3856" w:rsidRDefault="009A22DC" w:rsidP="00AE10C8">
      <w:pPr>
        <w:pStyle w:val="Corpodetexto"/>
        <w:rPr>
          <w:rFonts w:ascii="Times New Roman" w:hAnsi="Times New Roman"/>
          <w:szCs w:val="20"/>
        </w:rPr>
      </w:pPr>
    </w:p>
    <w:p w:rsidR="005E2399" w:rsidRPr="00FA3856" w:rsidRDefault="005E2399" w:rsidP="00491058">
      <w:pPr>
        <w:rPr>
          <w:b/>
          <w:szCs w:val="20"/>
          <w:lang w:val="pt-PT"/>
        </w:rPr>
      </w:pPr>
    </w:p>
    <w:p w:rsidR="00D21F27" w:rsidRPr="00FA3856" w:rsidRDefault="00711CAF" w:rsidP="00491058">
      <w:pPr>
        <w:rPr>
          <w:b/>
          <w:szCs w:val="20"/>
          <w:lang w:val="pt-PT"/>
        </w:rPr>
      </w:pPr>
      <w:r w:rsidRPr="00FA3856">
        <w:rPr>
          <w:b/>
          <w:szCs w:val="20"/>
          <w:lang w:val="pt-PT"/>
        </w:rPr>
        <w:lastRenderedPageBreak/>
        <w:t>I</w:t>
      </w:r>
      <w:r w:rsidR="00D21F27" w:rsidRPr="00FA3856">
        <w:rPr>
          <w:b/>
          <w:szCs w:val="20"/>
          <w:lang w:val="pt-PT"/>
        </w:rPr>
        <w:t>II – Tabela Dinâmica:</w:t>
      </w:r>
      <w:r w:rsidR="002B4D3E">
        <w:rPr>
          <w:b/>
          <w:szCs w:val="20"/>
          <w:lang w:val="pt-PT"/>
        </w:rPr>
        <w:t xml:space="preserve"> </w:t>
      </w:r>
      <w:r w:rsidR="002B4D3E" w:rsidRPr="002B4D3E">
        <w:rPr>
          <w:b/>
          <w:szCs w:val="20"/>
          <w:lang w:val="pt-PT"/>
        </w:rPr>
        <w:t>X291 -Operações com o Exterior – Pessoa Vinculada / Interposta / País com Tributação Favorecida</w:t>
      </w:r>
    </w:p>
    <w:p w:rsidR="008E6D38" w:rsidRPr="00EE13F0" w:rsidRDefault="00486CDA" w:rsidP="00EE13F0">
      <w:pPr>
        <w:rPr>
          <w:b/>
          <w:szCs w:val="20"/>
          <w:lang w:val="pt-PT"/>
        </w:rPr>
      </w:pPr>
      <w:r>
        <w:rPr>
          <w:b/>
          <w:szCs w:val="20"/>
          <w:lang w:val="pt-PT"/>
        </w:rPr>
        <w:object w:dxaOrig="1534" w:dyaOrig="997">
          <v:shape id="_x0000_i1272" type="#_x0000_t75" style="width:76.5pt;height:49.5pt" o:ole="">
            <v:imagedata r:id="rId666" o:title=""/>
          </v:shape>
          <o:OLEObject Type="Link" ProgID="Excel.Sheet.12" ShapeID="_x0000_i1272" DrawAspect="Content" r:id="rId667" UpdateMode="OnCall">
            <o:LinkType>EnhancedMetaFile</o:LinkType>
            <o:LockedField>false</o:LockedField>
          </o:OLEObject>
        </w:object>
      </w:r>
    </w:p>
    <w:p w:rsidR="00B8720C" w:rsidRPr="00FA3856" w:rsidRDefault="00B8720C" w:rsidP="00B8720C">
      <w:pPr>
        <w:pStyle w:val="Corpodetexto"/>
        <w:rPr>
          <w:rFonts w:ascii="Times New Roman" w:hAnsi="Times New Roman"/>
          <w:b/>
          <w:color w:val="002060"/>
          <w:szCs w:val="20"/>
        </w:rPr>
      </w:pPr>
      <w:r w:rsidRPr="00FA3856">
        <w:rPr>
          <w:rFonts w:ascii="Times New Roman" w:hAnsi="Times New Roman"/>
          <w:b/>
          <w:color w:val="002060"/>
          <w:szCs w:val="20"/>
        </w:rPr>
        <w:t xml:space="preserve">Exemplo de Preenchimento: </w:t>
      </w:r>
    </w:p>
    <w:p w:rsidR="008E6D38" w:rsidRDefault="008E6D38" w:rsidP="00B8720C">
      <w:pPr>
        <w:pStyle w:val="Corpodetexto"/>
        <w:rPr>
          <w:rFonts w:ascii="Times New Roman" w:hAnsi="Times New Roman"/>
          <w:b/>
          <w:color w:val="002060"/>
          <w:szCs w:val="20"/>
        </w:rPr>
      </w:pPr>
    </w:p>
    <w:p w:rsidR="00B8720C" w:rsidRPr="00FA3856" w:rsidRDefault="00B8720C" w:rsidP="00B8720C">
      <w:pPr>
        <w:pStyle w:val="Corpodetexto"/>
        <w:rPr>
          <w:rFonts w:ascii="Times New Roman" w:hAnsi="Times New Roman"/>
          <w:b/>
          <w:color w:val="002060"/>
          <w:szCs w:val="20"/>
        </w:rPr>
      </w:pPr>
      <w:r w:rsidRPr="00FA3856">
        <w:rPr>
          <w:rFonts w:ascii="Times New Roman" w:hAnsi="Times New Roman"/>
          <w:b/>
          <w:color w:val="002060"/>
          <w:szCs w:val="20"/>
        </w:rPr>
        <w:t>|X291|11|OUTRAS INFORMAÇÕES||</w:t>
      </w:r>
    </w:p>
    <w:p w:rsidR="00B8720C" w:rsidRPr="00FA3856" w:rsidRDefault="00B8720C" w:rsidP="00B8720C">
      <w:pPr>
        <w:pStyle w:val="Corpodetexto"/>
        <w:ind w:firstLine="708"/>
        <w:rPr>
          <w:rFonts w:ascii="Times New Roman" w:hAnsi="Times New Roman"/>
          <w:color w:val="002060"/>
          <w:szCs w:val="20"/>
        </w:rPr>
      </w:pPr>
      <w:r w:rsidRPr="00FA3856">
        <w:rPr>
          <w:rFonts w:ascii="Times New Roman" w:hAnsi="Times New Roman"/>
          <w:color w:val="002060"/>
          <w:szCs w:val="20"/>
        </w:rPr>
        <w:t>|X291|: Identificação do tipo do registro.</w:t>
      </w:r>
    </w:p>
    <w:p w:rsidR="00B8720C" w:rsidRPr="00FA3856" w:rsidRDefault="00B8720C" w:rsidP="00B8720C">
      <w:pPr>
        <w:pStyle w:val="Corpodetexto"/>
        <w:ind w:firstLine="708"/>
        <w:rPr>
          <w:rFonts w:ascii="Times New Roman" w:hAnsi="Times New Roman"/>
          <w:color w:val="002060"/>
          <w:szCs w:val="20"/>
        </w:rPr>
      </w:pPr>
      <w:r w:rsidRPr="00FA3856">
        <w:rPr>
          <w:rFonts w:ascii="Times New Roman" w:hAnsi="Times New Roman"/>
          <w:color w:val="002060"/>
          <w:szCs w:val="20"/>
        </w:rPr>
        <w:t>|39|: Código da linha.</w:t>
      </w:r>
    </w:p>
    <w:p w:rsidR="00B8720C" w:rsidRPr="00FA3856" w:rsidRDefault="00B8720C" w:rsidP="00B8720C">
      <w:pPr>
        <w:pStyle w:val="Corpodetexto"/>
        <w:ind w:firstLine="708"/>
        <w:rPr>
          <w:rFonts w:ascii="Times New Roman" w:hAnsi="Times New Roman"/>
          <w:color w:val="002060"/>
          <w:szCs w:val="20"/>
        </w:rPr>
      </w:pPr>
      <w:r w:rsidRPr="00FA3856">
        <w:rPr>
          <w:rFonts w:ascii="Times New Roman" w:hAnsi="Times New Roman"/>
          <w:color w:val="002060"/>
          <w:szCs w:val="20"/>
        </w:rPr>
        <w:t>|OUTRAS INFORMAÇÕES|: Descrição da linha.</w:t>
      </w:r>
    </w:p>
    <w:p w:rsidR="00B8720C" w:rsidRPr="00FA3856" w:rsidRDefault="00B8720C" w:rsidP="00B8720C">
      <w:pPr>
        <w:pStyle w:val="Corpodetexto"/>
        <w:ind w:firstLine="708"/>
        <w:rPr>
          <w:rFonts w:ascii="Times New Roman" w:hAnsi="Times New Roman"/>
          <w:color w:val="002060"/>
          <w:szCs w:val="20"/>
        </w:rPr>
      </w:pPr>
      <w:r w:rsidRPr="00FA3856">
        <w:rPr>
          <w:rFonts w:ascii="Times New Roman" w:hAnsi="Times New Roman"/>
          <w:color w:val="002060"/>
          <w:szCs w:val="20"/>
        </w:rPr>
        <w:t>||: Valor da linha (como a linha corresponde a um rótulo – R – não há valor).</w:t>
      </w:r>
    </w:p>
    <w:p w:rsidR="00B8720C" w:rsidRPr="00FA3856" w:rsidRDefault="00B8720C" w:rsidP="00B8720C">
      <w:pPr>
        <w:rPr>
          <w:bCs/>
          <w:szCs w:val="20"/>
        </w:rPr>
      </w:pPr>
    </w:p>
    <w:p w:rsidR="00B8720C" w:rsidRPr="00FA3856" w:rsidRDefault="00B8720C" w:rsidP="00B8720C">
      <w:pPr>
        <w:pStyle w:val="Corpodetexto"/>
        <w:rPr>
          <w:rFonts w:ascii="Times New Roman" w:hAnsi="Times New Roman"/>
          <w:b/>
          <w:color w:val="002060"/>
          <w:szCs w:val="20"/>
        </w:rPr>
      </w:pPr>
      <w:r w:rsidRPr="00FA3856">
        <w:rPr>
          <w:rFonts w:ascii="Times New Roman" w:hAnsi="Times New Roman"/>
          <w:b/>
          <w:color w:val="002060"/>
          <w:szCs w:val="20"/>
        </w:rPr>
        <w:t>|X291|40|Comissões e Corretagens Incorridas na Importação de Mercadorias|10000,00|</w:t>
      </w:r>
    </w:p>
    <w:p w:rsidR="00B8720C" w:rsidRPr="00FA3856" w:rsidRDefault="00B8720C" w:rsidP="00B8720C">
      <w:pPr>
        <w:pStyle w:val="Corpodetexto"/>
        <w:ind w:firstLine="708"/>
        <w:rPr>
          <w:rFonts w:ascii="Times New Roman" w:hAnsi="Times New Roman"/>
          <w:color w:val="002060"/>
          <w:szCs w:val="20"/>
        </w:rPr>
      </w:pPr>
      <w:r w:rsidRPr="00FA3856">
        <w:rPr>
          <w:rFonts w:ascii="Times New Roman" w:hAnsi="Times New Roman"/>
          <w:color w:val="002060"/>
          <w:szCs w:val="20"/>
        </w:rPr>
        <w:t>|X291|: Identificação do tipo do registro.</w:t>
      </w:r>
    </w:p>
    <w:p w:rsidR="00B8720C" w:rsidRPr="00FA3856" w:rsidRDefault="00B8720C" w:rsidP="00B8720C">
      <w:pPr>
        <w:pStyle w:val="Corpodetexto"/>
        <w:ind w:firstLine="708"/>
        <w:rPr>
          <w:rFonts w:ascii="Times New Roman" w:hAnsi="Times New Roman"/>
          <w:color w:val="002060"/>
          <w:szCs w:val="20"/>
        </w:rPr>
      </w:pPr>
      <w:r w:rsidRPr="00FA3856">
        <w:rPr>
          <w:rFonts w:ascii="Times New Roman" w:hAnsi="Times New Roman"/>
          <w:color w:val="002060"/>
          <w:szCs w:val="20"/>
        </w:rPr>
        <w:t>|40|: Código da linha.</w:t>
      </w:r>
    </w:p>
    <w:p w:rsidR="00B8720C" w:rsidRPr="00FA3856" w:rsidRDefault="00B8720C" w:rsidP="00B8720C">
      <w:pPr>
        <w:pStyle w:val="Corpodetexto"/>
        <w:ind w:firstLine="708"/>
        <w:rPr>
          <w:rFonts w:ascii="Times New Roman" w:hAnsi="Times New Roman"/>
          <w:color w:val="002060"/>
          <w:szCs w:val="20"/>
        </w:rPr>
      </w:pPr>
      <w:r w:rsidRPr="00FA3856">
        <w:rPr>
          <w:rFonts w:ascii="Times New Roman" w:hAnsi="Times New Roman"/>
          <w:color w:val="002060"/>
          <w:szCs w:val="20"/>
        </w:rPr>
        <w:t>|Comissões e Corretagens Incorridas na Importação de Mercadorias|: Descrição da linha.</w:t>
      </w:r>
    </w:p>
    <w:p w:rsidR="00B8720C" w:rsidRPr="00FA3856" w:rsidRDefault="00B8720C" w:rsidP="00B8720C">
      <w:pPr>
        <w:pStyle w:val="Corpodetexto"/>
        <w:ind w:firstLine="708"/>
        <w:rPr>
          <w:rFonts w:ascii="Times New Roman" w:hAnsi="Times New Roman"/>
          <w:color w:val="002060"/>
          <w:szCs w:val="20"/>
        </w:rPr>
      </w:pPr>
      <w:r w:rsidRPr="00FA3856">
        <w:rPr>
          <w:rFonts w:ascii="Times New Roman" w:hAnsi="Times New Roman"/>
          <w:color w:val="002060"/>
          <w:szCs w:val="20"/>
        </w:rPr>
        <w:t>|10000,00|: Valor da linha (R$ 10.000,00).</w:t>
      </w:r>
    </w:p>
    <w:p w:rsidR="00B8720C" w:rsidRPr="00FA3856" w:rsidRDefault="00B8720C" w:rsidP="00B8720C">
      <w:pPr>
        <w:ind w:firstLine="708"/>
        <w:rPr>
          <w:color w:val="0000FF"/>
          <w:szCs w:val="20"/>
        </w:rPr>
      </w:pPr>
    </w:p>
    <w:p w:rsidR="00B8720C" w:rsidRPr="00FA3856" w:rsidRDefault="00B8720C" w:rsidP="00491058">
      <w:pPr>
        <w:rPr>
          <w:b/>
          <w:szCs w:val="20"/>
          <w:lang w:val="pt-PT"/>
        </w:rPr>
      </w:pPr>
    </w:p>
    <w:p w:rsidR="00092E44" w:rsidRPr="00FA3856" w:rsidRDefault="00092E44">
      <w:pPr>
        <w:spacing w:after="200" w:line="276" w:lineRule="auto"/>
        <w:rPr>
          <w:b/>
          <w:bCs/>
          <w:color w:val="0000FF"/>
          <w:szCs w:val="20"/>
        </w:rPr>
      </w:pPr>
      <w:r w:rsidRPr="00FA3856">
        <w:rPr>
          <w:color w:val="0000FF"/>
          <w:szCs w:val="20"/>
        </w:rPr>
        <w:br w:type="page"/>
      </w:r>
    </w:p>
    <w:p w:rsidR="00AE10C8" w:rsidRPr="00FA3856" w:rsidRDefault="00AE10C8" w:rsidP="00867F54">
      <w:pPr>
        <w:pStyle w:val="Ttulo4"/>
      </w:pPr>
      <w:bookmarkStart w:id="392" w:name="_Toc479713795"/>
      <w:r w:rsidRPr="00FA3856">
        <w:lastRenderedPageBreak/>
        <w:t>Registro X292: Operações com o Exterior – Pessoa Não Vinculada/Não Interposta/País sem Tributação Favorecida</w:t>
      </w:r>
      <w:bookmarkEnd w:id="392"/>
    </w:p>
    <w:p w:rsidR="00AE10C8" w:rsidRPr="00FA3856" w:rsidRDefault="00AE10C8" w:rsidP="00AE10C8">
      <w:pPr>
        <w:rPr>
          <w:szCs w:val="20"/>
        </w:rPr>
      </w:pPr>
    </w:p>
    <w:p w:rsidR="00092E44" w:rsidRPr="00FA3856" w:rsidRDefault="00B16365" w:rsidP="00092E44">
      <w:pPr>
        <w:ind w:firstLine="708"/>
        <w:jc w:val="both"/>
        <w:rPr>
          <w:szCs w:val="20"/>
        </w:rPr>
      </w:pPr>
      <w:r w:rsidRPr="00FA3856">
        <w:rPr>
          <w:szCs w:val="20"/>
        </w:rPr>
        <w:t>Este registro deve ser preenchido</w:t>
      </w:r>
      <w:r w:rsidR="00092E44" w:rsidRPr="00FA3856">
        <w:rPr>
          <w:szCs w:val="20"/>
        </w:rPr>
        <w:t xml:space="preserve"> pela pessoa jurídica, inclusive instituição financeira ou companhia seguradora, conforme relacionadas no § 1º do art. 22 da Lei nº 8.212, de 1991 e no inciso II do art. 14 da Lei nº 9.718, de 1998, tributada pelo lucro real, presumido ou arbitrado, que no ano-calendário tenha:</w:t>
      </w:r>
    </w:p>
    <w:p w:rsidR="00B16365" w:rsidRPr="00FA3856" w:rsidRDefault="00B16365" w:rsidP="00092E44">
      <w:pPr>
        <w:ind w:firstLine="708"/>
        <w:jc w:val="both"/>
        <w:rPr>
          <w:szCs w:val="20"/>
        </w:rPr>
      </w:pPr>
    </w:p>
    <w:p w:rsidR="00092E44" w:rsidRPr="00FA3856" w:rsidRDefault="00092E44" w:rsidP="00092E44">
      <w:pPr>
        <w:ind w:firstLine="708"/>
        <w:jc w:val="both"/>
        <w:rPr>
          <w:szCs w:val="20"/>
        </w:rPr>
      </w:pPr>
      <w:r w:rsidRPr="00FA3856">
        <w:rPr>
          <w:szCs w:val="20"/>
        </w:rPr>
        <w:t>a) realizado operações de exportação de bens, serviços e direitos;</w:t>
      </w:r>
    </w:p>
    <w:p w:rsidR="00092E44" w:rsidRPr="00FA3856" w:rsidRDefault="00092E44" w:rsidP="00092E44">
      <w:pPr>
        <w:ind w:firstLine="708"/>
        <w:jc w:val="both"/>
        <w:rPr>
          <w:szCs w:val="20"/>
        </w:rPr>
      </w:pPr>
      <w:r w:rsidRPr="00FA3856">
        <w:rPr>
          <w:szCs w:val="20"/>
        </w:rPr>
        <w:t>b) realizado operações de importação de bens, serviços e direitos;</w:t>
      </w:r>
    </w:p>
    <w:p w:rsidR="00092E44" w:rsidRPr="00FA3856" w:rsidRDefault="00092E44" w:rsidP="00092E44">
      <w:pPr>
        <w:ind w:firstLine="708"/>
        <w:jc w:val="both"/>
        <w:rPr>
          <w:szCs w:val="20"/>
        </w:rPr>
      </w:pPr>
      <w:r w:rsidRPr="00FA3856">
        <w:rPr>
          <w:szCs w:val="20"/>
        </w:rPr>
        <w:t xml:space="preserve">c) auferido receitas financeiras em operações realizadas com pessoa física ou jurídica residente ou domiciliada no exterior; </w:t>
      </w:r>
    </w:p>
    <w:p w:rsidR="00092E44" w:rsidRPr="00FA3856" w:rsidRDefault="00092E44" w:rsidP="00092E44">
      <w:pPr>
        <w:ind w:firstLine="708"/>
        <w:jc w:val="both"/>
        <w:rPr>
          <w:szCs w:val="20"/>
        </w:rPr>
      </w:pPr>
      <w:r w:rsidRPr="00FA3856">
        <w:rPr>
          <w:szCs w:val="20"/>
        </w:rPr>
        <w:t>d) incorrido em despesas financeiras em operações realizadas com pessoa física ou jurídica residente ou domiciliada no exterior.</w:t>
      </w:r>
    </w:p>
    <w:p w:rsidR="00491058" w:rsidRDefault="00092E44" w:rsidP="002A3A27">
      <w:pPr>
        <w:ind w:firstLine="708"/>
        <w:jc w:val="both"/>
        <w:rPr>
          <w:szCs w:val="20"/>
        </w:rPr>
      </w:pPr>
      <w:r w:rsidRPr="00FA3856">
        <w:rPr>
          <w:szCs w:val="20"/>
        </w:rPr>
        <w:t xml:space="preserve">  </w:t>
      </w:r>
      <w:r w:rsidR="00FC7ABA" w:rsidRPr="00FA3856">
        <w:rPr>
          <w:szCs w:val="20"/>
        </w:rPr>
        <w:t> </w:t>
      </w:r>
    </w:p>
    <w:p w:rsidR="002A3A27" w:rsidRPr="00FA3856" w:rsidRDefault="00B35FA3" w:rsidP="002B4D3E">
      <w:pPr>
        <w:jc w:val="center"/>
        <w:rPr>
          <w:b/>
          <w:szCs w:val="20"/>
          <w:lang w:val="pt-PT"/>
        </w:rPr>
      </w:pPr>
      <w:r>
        <w:rPr>
          <w:b/>
          <w:szCs w:val="20"/>
          <w:lang w:val="pt-PT"/>
        </w:rPr>
        <w:object w:dxaOrig="13995" w:dyaOrig="4695">
          <v:shape id="_x0000_i1914" type="#_x0000_t75" style="width:747pt;height:227.25pt" o:ole="">
            <v:imagedata r:id="rId668" o:title=""/>
          </v:shape>
          <o:OLEObject Type="Link" ProgID="Excel.Sheet.12" ShapeID="_x0000_i1914" DrawAspect="Content" r:id="rId669" UpdateMode="Always">
            <o:LinkType>EnhancedMetaFile</o:LinkType>
            <o:LockedField>false</o:LockedField>
          </o:OLEObject>
        </w:object>
      </w:r>
    </w:p>
    <w:p w:rsidR="002A3A27" w:rsidRDefault="002A3A27" w:rsidP="00FE5D23">
      <w:pPr>
        <w:rPr>
          <w:b/>
          <w:szCs w:val="20"/>
          <w:lang w:val="pt-PT"/>
        </w:rPr>
      </w:pPr>
    </w:p>
    <w:p w:rsidR="00FE5D23" w:rsidRPr="00FA3856" w:rsidRDefault="00FE5D23" w:rsidP="00FE5D23">
      <w:pPr>
        <w:rPr>
          <w:b/>
          <w:szCs w:val="20"/>
          <w:lang w:val="pt-PT"/>
        </w:rPr>
      </w:pPr>
      <w:r w:rsidRPr="00FA3856">
        <w:rPr>
          <w:b/>
          <w:szCs w:val="20"/>
          <w:lang w:val="pt-PT"/>
        </w:rPr>
        <w:t>I – Regras de Validação do Registro:</w:t>
      </w:r>
    </w:p>
    <w:p w:rsidR="00FE5D23" w:rsidRPr="00FA3856" w:rsidRDefault="00FE5D23" w:rsidP="00FE5D23">
      <w:pPr>
        <w:rPr>
          <w:b/>
          <w:szCs w:val="20"/>
          <w:lang w:val="pt-PT"/>
        </w:rPr>
      </w:pPr>
    </w:p>
    <w:p w:rsidR="00FE5D23" w:rsidRPr="00FA3856" w:rsidRDefault="007D0E74" w:rsidP="00FE5D23">
      <w:pPr>
        <w:pStyle w:val="Corpodetexto"/>
        <w:ind w:left="708" w:firstLine="12"/>
        <w:rPr>
          <w:rFonts w:ascii="Times New Roman" w:hAnsi="Times New Roman"/>
          <w:szCs w:val="20"/>
        </w:rPr>
      </w:pPr>
      <w:hyperlink r:id="rId670" w:anchor="REGRA_OCORRENCIA_UNITARIA_ARQ" w:history="1">
        <w:r w:rsidR="00FE5D23" w:rsidRPr="00FA3856">
          <w:rPr>
            <w:rFonts w:ascii="Times New Roman" w:hAnsi="Times New Roman"/>
            <w:b/>
            <w:szCs w:val="20"/>
          </w:rPr>
          <w:t>REGRA_</w:t>
        </w:r>
      </w:hyperlink>
      <w:r w:rsidR="00FE5D23" w:rsidRPr="00FA3856">
        <w:rPr>
          <w:rFonts w:ascii="Times New Roman" w:hAnsi="Times New Roman"/>
          <w:b/>
          <w:szCs w:val="20"/>
        </w:rPr>
        <w:t>DUPLICIDADE_DESPREZADA</w:t>
      </w:r>
      <w:r w:rsidR="00FE5D23" w:rsidRPr="00FA3856">
        <w:rPr>
          <w:rFonts w:ascii="Times New Roman" w:hAnsi="Times New Roman"/>
          <w:color w:val="auto"/>
          <w:szCs w:val="20"/>
        </w:rPr>
        <w:t xml:space="preserve">: </w:t>
      </w:r>
      <w:r w:rsidR="00FE5D23" w:rsidRPr="00FA3856">
        <w:rPr>
          <w:rFonts w:ascii="Times New Roman" w:hAnsi="Times New Roman"/>
          <w:szCs w:val="20"/>
        </w:rPr>
        <w:t>Verifica se o registro já foi importado anteriormente, de acordo com a chave e os registros pais. Se a regra não for cumprida, a ECF gera um aviso.</w:t>
      </w:r>
    </w:p>
    <w:p w:rsidR="00FE5D23" w:rsidRPr="00FA3856" w:rsidRDefault="00FE5D23" w:rsidP="00FE5D23">
      <w:pPr>
        <w:pStyle w:val="Corpodetexto"/>
        <w:ind w:left="708" w:firstLine="12"/>
        <w:rPr>
          <w:rFonts w:ascii="Times New Roman" w:hAnsi="Times New Roman"/>
          <w:szCs w:val="20"/>
        </w:rPr>
      </w:pPr>
    </w:p>
    <w:p w:rsidR="00FE5D23" w:rsidRPr="00FA3856" w:rsidRDefault="007D0E74" w:rsidP="00FE5D23">
      <w:pPr>
        <w:pStyle w:val="Corpodetexto"/>
        <w:ind w:left="708" w:firstLine="12"/>
        <w:rPr>
          <w:rFonts w:ascii="Times New Roman" w:hAnsi="Times New Roman"/>
          <w:szCs w:val="20"/>
        </w:rPr>
      </w:pPr>
      <w:hyperlink r:id="rId671" w:anchor="REGRA_OCORRENCIA_UNITARIA_ARQ" w:history="1">
        <w:r w:rsidR="00FE5D23" w:rsidRPr="00FA3856">
          <w:rPr>
            <w:rFonts w:ascii="Times New Roman" w:hAnsi="Times New Roman"/>
            <w:b/>
            <w:szCs w:val="20"/>
          </w:rPr>
          <w:t>REGRA_</w:t>
        </w:r>
      </w:hyperlink>
      <w:r w:rsidR="00FE5D23" w:rsidRPr="00FA3856">
        <w:rPr>
          <w:rFonts w:ascii="Times New Roman" w:hAnsi="Times New Roman"/>
          <w:b/>
          <w:szCs w:val="20"/>
        </w:rPr>
        <w:t>LINHA_DESPREZADA</w:t>
      </w:r>
      <w:r w:rsidR="00FE5D23" w:rsidRPr="00FA3856">
        <w:rPr>
          <w:rFonts w:ascii="Times New Roman" w:hAnsi="Times New Roman"/>
          <w:color w:val="auto"/>
          <w:szCs w:val="20"/>
        </w:rPr>
        <w:t xml:space="preserve">: </w:t>
      </w:r>
      <w:r w:rsidR="00FE5D23" w:rsidRPr="00FA3856">
        <w:rPr>
          <w:rFonts w:ascii="Times New Roman" w:hAnsi="Times New Roman"/>
          <w:szCs w:val="20"/>
        </w:rPr>
        <w:t>Verifica se o registro existe na importação, mas não será importado por não existir na tabela dinâmica devido às configurações do bloco 0 ou da tabela dinâmica. Gera um aviso.</w:t>
      </w:r>
    </w:p>
    <w:p w:rsidR="00FE5D23" w:rsidRPr="00FA3856" w:rsidRDefault="00FE5D23" w:rsidP="00FE5D23">
      <w:pPr>
        <w:pStyle w:val="Corpodetexto"/>
        <w:ind w:left="708" w:firstLine="12"/>
        <w:rPr>
          <w:rFonts w:ascii="Times New Roman" w:hAnsi="Times New Roman"/>
          <w:b/>
          <w:szCs w:val="20"/>
        </w:rPr>
      </w:pPr>
    </w:p>
    <w:p w:rsidR="00FE5D23" w:rsidRPr="00FA3856" w:rsidRDefault="007D0E74" w:rsidP="00FE5D23">
      <w:pPr>
        <w:pStyle w:val="Corpodetexto"/>
        <w:ind w:left="708" w:firstLine="12"/>
        <w:rPr>
          <w:rFonts w:ascii="Times New Roman" w:hAnsi="Times New Roman"/>
          <w:b/>
          <w:szCs w:val="20"/>
        </w:rPr>
      </w:pPr>
      <w:hyperlink r:id="rId672" w:anchor="REGRA_OCORRENCIA_UNITARIA_ARQ" w:history="1">
        <w:r w:rsidR="00FE5D23" w:rsidRPr="00FA3856">
          <w:rPr>
            <w:rFonts w:ascii="Times New Roman" w:hAnsi="Times New Roman"/>
            <w:b/>
            <w:szCs w:val="20"/>
          </w:rPr>
          <w:t>REGRA_</w:t>
        </w:r>
      </w:hyperlink>
      <w:r w:rsidR="00FE5D23" w:rsidRPr="00FA3856">
        <w:rPr>
          <w:rFonts w:ascii="Times New Roman" w:hAnsi="Times New Roman"/>
          <w:b/>
          <w:szCs w:val="20"/>
        </w:rPr>
        <w:t>LINHA_ATUALIZADA</w:t>
      </w:r>
      <w:r w:rsidR="00FE5D23" w:rsidRPr="00FA3856">
        <w:rPr>
          <w:rFonts w:ascii="Times New Roman" w:hAnsi="Times New Roman"/>
          <w:color w:val="auto"/>
          <w:szCs w:val="20"/>
        </w:rPr>
        <w:t xml:space="preserve">: </w:t>
      </w:r>
      <w:r w:rsidR="00FE5D23" w:rsidRPr="00FA3856">
        <w:rPr>
          <w:rFonts w:ascii="Times New Roman" w:hAnsi="Times New Roman"/>
          <w:szCs w:val="20"/>
        </w:rPr>
        <w:t>Verifica se o registro está desatualizado em relação à tabela da RFB. Gera um aviso.</w:t>
      </w:r>
    </w:p>
    <w:p w:rsidR="00711CAF" w:rsidRPr="00FA3856" w:rsidRDefault="00711CAF" w:rsidP="00AE10C8">
      <w:pPr>
        <w:rPr>
          <w:b/>
          <w:szCs w:val="20"/>
          <w:lang w:val="pt-PT"/>
        </w:rPr>
      </w:pPr>
    </w:p>
    <w:p w:rsidR="00AE10C8" w:rsidRPr="00FA3856" w:rsidRDefault="00AE10C8" w:rsidP="00AE10C8">
      <w:pPr>
        <w:rPr>
          <w:b/>
          <w:szCs w:val="20"/>
          <w:lang w:val="pt-PT"/>
        </w:rPr>
      </w:pPr>
      <w:r w:rsidRPr="00FA3856">
        <w:rPr>
          <w:b/>
          <w:szCs w:val="20"/>
          <w:lang w:val="pt-PT"/>
        </w:rPr>
        <w:lastRenderedPageBreak/>
        <w:t>I</w:t>
      </w:r>
      <w:r w:rsidR="00FE5D23" w:rsidRPr="00FA3856">
        <w:rPr>
          <w:b/>
          <w:szCs w:val="20"/>
          <w:lang w:val="pt-PT"/>
        </w:rPr>
        <w:t>I</w:t>
      </w:r>
      <w:r w:rsidRPr="00FA3856">
        <w:rPr>
          <w:b/>
          <w:szCs w:val="20"/>
          <w:lang w:val="pt-PT"/>
        </w:rPr>
        <w:t xml:space="preserve"> – Regras de Validação de Campos:</w:t>
      </w:r>
    </w:p>
    <w:p w:rsidR="00AE10C8" w:rsidRPr="00FA3856" w:rsidRDefault="00AE10C8" w:rsidP="00AE10C8">
      <w:pPr>
        <w:rPr>
          <w:b/>
          <w:szCs w:val="20"/>
          <w:lang w:val="pt-PT"/>
        </w:rPr>
      </w:pPr>
    </w:p>
    <w:tbl>
      <w:tblPr>
        <w:tblW w:w="15367"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85"/>
        <w:gridCol w:w="3000"/>
        <w:gridCol w:w="11165"/>
        <w:gridCol w:w="717"/>
      </w:tblGrid>
      <w:tr w:rsidR="00AE10C8" w:rsidRPr="00FA3856" w:rsidTr="00B8720C">
        <w:trPr>
          <w:jc w:val="center"/>
        </w:trPr>
        <w:tc>
          <w:tcPr>
            <w:tcW w:w="485" w:type="dxa"/>
            <w:tcBorders>
              <w:top w:val="single" w:sz="6" w:space="0" w:color="auto"/>
              <w:left w:val="single" w:sz="6" w:space="0" w:color="auto"/>
              <w:bottom w:val="single" w:sz="6" w:space="0" w:color="auto"/>
              <w:right w:val="single" w:sz="6" w:space="0" w:color="auto"/>
            </w:tcBorders>
            <w:shd w:val="pct10" w:color="auto" w:fill="FFFFFF"/>
          </w:tcPr>
          <w:p w:rsidR="00AE10C8" w:rsidRPr="00FA3856" w:rsidRDefault="00AE10C8" w:rsidP="008D0979">
            <w:pPr>
              <w:pStyle w:val="PSDS-CorpodeTexto0"/>
              <w:jc w:val="center"/>
              <w:rPr>
                <w:rFonts w:ascii="Times New Roman" w:hAnsi="Times New Roman"/>
                <w:b/>
                <w:bCs/>
              </w:rPr>
            </w:pPr>
            <w:r w:rsidRPr="00FA3856">
              <w:rPr>
                <w:rFonts w:ascii="Times New Roman" w:hAnsi="Times New Roman"/>
                <w:b/>
                <w:bCs/>
              </w:rPr>
              <w:t>Nº</w:t>
            </w:r>
          </w:p>
        </w:tc>
        <w:tc>
          <w:tcPr>
            <w:tcW w:w="3000" w:type="dxa"/>
            <w:tcBorders>
              <w:top w:val="single" w:sz="6" w:space="0" w:color="auto"/>
              <w:left w:val="single" w:sz="6" w:space="0" w:color="auto"/>
              <w:bottom w:val="single" w:sz="6" w:space="0" w:color="auto"/>
              <w:right w:val="single" w:sz="6" w:space="0" w:color="auto"/>
            </w:tcBorders>
            <w:shd w:val="pct10" w:color="auto" w:fill="FFFFFF"/>
          </w:tcPr>
          <w:p w:rsidR="00AE10C8" w:rsidRPr="00FA3856" w:rsidRDefault="00AE10C8" w:rsidP="008D0979">
            <w:pPr>
              <w:pStyle w:val="PSDS-CorpodeTexto0"/>
              <w:jc w:val="center"/>
              <w:rPr>
                <w:rFonts w:ascii="Times New Roman" w:hAnsi="Times New Roman"/>
                <w:b/>
                <w:bCs/>
              </w:rPr>
            </w:pPr>
            <w:r w:rsidRPr="00FA3856">
              <w:rPr>
                <w:rFonts w:ascii="Times New Roman" w:hAnsi="Times New Roman"/>
                <w:b/>
                <w:bCs/>
              </w:rPr>
              <w:t>Campo</w:t>
            </w:r>
          </w:p>
        </w:tc>
        <w:tc>
          <w:tcPr>
            <w:tcW w:w="11165" w:type="dxa"/>
            <w:tcBorders>
              <w:top w:val="single" w:sz="6" w:space="0" w:color="auto"/>
              <w:left w:val="single" w:sz="6" w:space="0" w:color="auto"/>
              <w:bottom w:val="single" w:sz="6" w:space="0" w:color="auto"/>
              <w:right w:val="single" w:sz="6" w:space="0" w:color="auto"/>
            </w:tcBorders>
            <w:shd w:val="pct10" w:color="auto" w:fill="FFFFFF"/>
          </w:tcPr>
          <w:p w:rsidR="00AE10C8" w:rsidRPr="00FA3856" w:rsidRDefault="00AE10C8" w:rsidP="008D0979">
            <w:pPr>
              <w:pStyle w:val="PSDS-CorpodeTexto0"/>
              <w:jc w:val="center"/>
              <w:rPr>
                <w:rFonts w:ascii="Times New Roman" w:hAnsi="Times New Roman"/>
                <w:b/>
                <w:bCs/>
              </w:rPr>
            </w:pPr>
            <w:r w:rsidRPr="00FA3856">
              <w:rPr>
                <w:rFonts w:ascii="Times New Roman" w:hAnsi="Times New Roman"/>
                <w:b/>
                <w:bCs/>
              </w:rPr>
              <w:t>Regras de Validação do Campo</w:t>
            </w:r>
          </w:p>
        </w:tc>
        <w:tc>
          <w:tcPr>
            <w:tcW w:w="717" w:type="dxa"/>
            <w:tcBorders>
              <w:top w:val="single" w:sz="6" w:space="0" w:color="auto"/>
              <w:left w:val="single" w:sz="6" w:space="0" w:color="auto"/>
              <w:bottom w:val="single" w:sz="6" w:space="0" w:color="auto"/>
              <w:right w:val="single" w:sz="6" w:space="0" w:color="auto"/>
            </w:tcBorders>
            <w:shd w:val="pct10" w:color="auto" w:fill="FFFFFF"/>
          </w:tcPr>
          <w:p w:rsidR="00AE10C8" w:rsidRPr="00FA3856" w:rsidRDefault="00AE10C8" w:rsidP="008D0979">
            <w:pPr>
              <w:pStyle w:val="PSDS-CorpodeTexto0"/>
              <w:jc w:val="center"/>
              <w:rPr>
                <w:rFonts w:ascii="Times New Roman" w:hAnsi="Times New Roman"/>
                <w:b/>
                <w:bCs/>
              </w:rPr>
            </w:pPr>
            <w:r w:rsidRPr="00FA3856">
              <w:rPr>
                <w:rFonts w:ascii="Times New Roman" w:hAnsi="Times New Roman"/>
                <w:b/>
                <w:bCs/>
              </w:rPr>
              <w:t>Tipo</w:t>
            </w:r>
          </w:p>
        </w:tc>
      </w:tr>
      <w:tr w:rsidR="0012324D" w:rsidRPr="00FA3856" w:rsidTr="00B8720C">
        <w:trPr>
          <w:jc w:val="center"/>
        </w:trPr>
        <w:tc>
          <w:tcPr>
            <w:tcW w:w="485" w:type="dxa"/>
            <w:tcBorders>
              <w:top w:val="single" w:sz="6" w:space="0" w:color="auto"/>
              <w:left w:val="single" w:sz="6" w:space="0" w:color="auto"/>
              <w:bottom w:val="single" w:sz="6" w:space="0" w:color="auto"/>
              <w:right w:val="single" w:sz="6" w:space="0" w:color="auto"/>
            </w:tcBorders>
          </w:tcPr>
          <w:p w:rsidR="0012324D" w:rsidRPr="00FA3856" w:rsidRDefault="0012324D" w:rsidP="0012324D">
            <w:pPr>
              <w:pStyle w:val="PSDS-CorpodeTexto0"/>
              <w:suppressAutoHyphens w:val="0"/>
              <w:rPr>
                <w:rFonts w:ascii="Times New Roman" w:hAnsi="Times New Roman"/>
                <w:b/>
                <w:bCs/>
                <w:lang w:val="pt-PT"/>
              </w:rPr>
            </w:pPr>
            <w:r w:rsidRPr="00FA3856">
              <w:rPr>
                <w:rFonts w:ascii="Times New Roman" w:hAnsi="Times New Roman"/>
                <w:b/>
                <w:bCs/>
                <w:lang w:val="pt-PT"/>
              </w:rPr>
              <w:t>4</w:t>
            </w:r>
          </w:p>
        </w:tc>
        <w:tc>
          <w:tcPr>
            <w:tcW w:w="3000" w:type="dxa"/>
            <w:tcBorders>
              <w:top w:val="single" w:sz="6" w:space="0" w:color="auto"/>
              <w:left w:val="single" w:sz="6" w:space="0" w:color="auto"/>
              <w:bottom w:val="single" w:sz="6" w:space="0" w:color="auto"/>
              <w:right w:val="single" w:sz="6" w:space="0" w:color="auto"/>
            </w:tcBorders>
          </w:tcPr>
          <w:p w:rsidR="0012324D" w:rsidRPr="00FA3856" w:rsidRDefault="0012324D" w:rsidP="0012324D">
            <w:pPr>
              <w:pStyle w:val="PSDS-CorpodeTexto0"/>
              <w:rPr>
                <w:rFonts w:ascii="Times New Roman" w:hAnsi="Times New Roman"/>
              </w:rPr>
            </w:pPr>
            <w:r w:rsidRPr="00FA3856">
              <w:rPr>
                <w:rFonts w:ascii="Times New Roman" w:hAnsi="Times New Roman"/>
              </w:rPr>
              <w:t>VALOR</w:t>
            </w:r>
          </w:p>
        </w:tc>
        <w:tc>
          <w:tcPr>
            <w:tcW w:w="11165" w:type="dxa"/>
            <w:tcBorders>
              <w:top w:val="single" w:sz="6" w:space="0" w:color="auto"/>
              <w:left w:val="single" w:sz="6" w:space="0" w:color="auto"/>
              <w:bottom w:val="single" w:sz="6" w:space="0" w:color="auto"/>
              <w:right w:val="single" w:sz="6" w:space="0" w:color="auto"/>
            </w:tcBorders>
          </w:tcPr>
          <w:p w:rsidR="0012324D" w:rsidRPr="00FA3856" w:rsidRDefault="0012324D" w:rsidP="0012324D">
            <w:pPr>
              <w:pStyle w:val="Corpodetexto"/>
              <w:rPr>
                <w:rFonts w:ascii="Times New Roman" w:hAnsi="Times New Roman"/>
                <w:szCs w:val="20"/>
              </w:rPr>
            </w:pPr>
            <w:r w:rsidRPr="00FA3856">
              <w:rPr>
                <w:rFonts w:ascii="Times New Roman" w:hAnsi="Times New Roman"/>
                <w:b/>
                <w:bCs/>
                <w:szCs w:val="20"/>
              </w:rPr>
              <w:t>REGRA_OBRIGATORIO_TIPO_DIFERENTE_R</w:t>
            </w:r>
            <w:r w:rsidRPr="00FA3856">
              <w:rPr>
                <w:rFonts w:ascii="Times New Roman" w:hAnsi="Times New Roman"/>
                <w:szCs w:val="20"/>
              </w:rPr>
              <w:t xml:space="preserve">: </w:t>
            </w:r>
            <w:r w:rsidRPr="00FA3856">
              <w:rPr>
                <w:rStyle w:val="Hyperlink"/>
                <w:rFonts w:ascii="Times New Roman" w:hAnsi="Times New Roman"/>
                <w:bCs/>
                <w:color w:val="auto"/>
                <w:szCs w:val="20"/>
                <w:lang w:val="pt-PT"/>
              </w:rPr>
              <w:t xml:space="preserve">Verifica se o campo está preenchido quando o tipo da linha </w:t>
            </w:r>
            <w:r w:rsidR="00AE7FBB" w:rsidRPr="00FA3856">
              <w:rPr>
                <w:rStyle w:val="Hyperlink"/>
                <w:rFonts w:ascii="Times New Roman" w:hAnsi="Times New Roman"/>
                <w:bCs/>
                <w:color w:val="auto"/>
                <w:szCs w:val="20"/>
                <w:lang w:val="pt-PT"/>
              </w:rPr>
              <w:t>é diferente</w:t>
            </w:r>
            <w:r w:rsidRPr="00FA3856">
              <w:rPr>
                <w:rStyle w:val="Hyperlink"/>
                <w:rFonts w:ascii="Times New Roman" w:hAnsi="Times New Roman"/>
                <w:bCs/>
                <w:color w:val="auto"/>
                <w:szCs w:val="20"/>
                <w:lang w:val="pt-PT"/>
              </w:rPr>
              <w:t xml:space="preserve"> de “R”.</w:t>
            </w:r>
          </w:p>
        </w:tc>
        <w:tc>
          <w:tcPr>
            <w:tcW w:w="717" w:type="dxa"/>
            <w:tcBorders>
              <w:top w:val="single" w:sz="6" w:space="0" w:color="auto"/>
              <w:left w:val="single" w:sz="6" w:space="0" w:color="auto"/>
              <w:bottom w:val="single" w:sz="6" w:space="0" w:color="auto"/>
              <w:right w:val="single" w:sz="6" w:space="0" w:color="auto"/>
            </w:tcBorders>
          </w:tcPr>
          <w:p w:rsidR="0012324D" w:rsidRPr="00FA3856" w:rsidRDefault="0012324D" w:rsidP="0012324D">
            <w:pPr>
              <w:pStyle w:val="PSDS-CorpodeTexto0"/>
              <w:rPr>
                <w:rFonts w:ascii="Times New Roman" w:hAnsi="Times New Roman"/>
              </w:rPr>
            </w:pPr>
            <w:r w:rsidRPr="00FA3856">
              <w:rPr>
                <w:rFonts w:ascii="Times New Roman" w:hAnsi="Times New Roman"/>
              </w:rPr>
              <w:t>Erro</w:t>
            </w:r>
          </w:p>
          <w:p w:rsidR="0012324D" w:rsidRPr="00FA3856" w:rsidRDefault="0012324D" w:rsidP="0012324D">
            <w:pPr>
              <w:pStyle w:val="PSDS-CorpodeTexto0"/>
              <w:rPr>
                <w:rFonts w:ascii="Times New Roman" w:hAnsi="Times New Roman"/>
              </w:rPr>
            </w:pPr>
          </w:p>
        </w:tc>
      </w:tr>
    </w:tbl>
    <w:p w:rsidR="00AE10C8" w:rsidRPr="00FA3856" w:rsidRDefault="00AE10C8" w:rsidP="00AE10C8">
      <w:pPr>
        <w:pStyle w:val="Corpodetexto"/>
        <w:rPr>
          <w:rFonts w:ascii="Times New Roman" w:hAnsi="Times New Roman"/>
          <w:szCs w:val="20"/>
        </w:rPr>
      </w:pPr>
    </w:p>
    <w:p w:rsidR="002309A8" w:rsidRPr="00FA3856" w:rsidRDefault="00711CAF" w:rsidP="002309A8">
      <w:pPr>
        <w:rPr>
          <w:b/>
          <w:szCs w:val="20"/>
          <w:lang w:val="pt-PT"/>
        </w:rPr>
      </w:pPr>
      <w:r w:rsidRPr="00FA3856">
        <w:rPr>
          <w:b/>
          <w:szCs w:val="20"/>
          <w:lang w:val="pt-PT"/>
        </w:rPr>
        <w:t>I</w:t>
      </w:r>
      <w:r w:rsidR="002309A8" w:rsidRPr="00FA3856">
        <w:rPr>
          <w:b/>
          <w:szCs w:val="20"/>
          <w:lang w:val="pt-PT"/>
        </w:rPr>
        <w:t>II – Tabela Dinâmica:</w:t>
      </w:r>
      <w:r w:rsidR="002B4D3E">
        <w:rPr>
          <w:b/>
          <w:szCs w:val="20"/>
          <w:lang w:val="pt-PT"/>
        </w:rPr>
        <w:t xml:space="preserve"> </w:t>
      </w:r>
      <w:r w:rsidR="002B4D3E" w:rsidRPr="002B4D3E">
        <w:rPr>
          <w:b/>
          <w:szCs w:val="20"/>
          <w:lang w:val="pt-PT"/>
        </w:rPr>
        <w:t>X292 - Operações com o Exterior – Pessoa Não Vinculada / Não Interposta / País sem Tributação Favorecida</w:t>
      </w:r>
    </w:p>
    <w:p w:rsidR="00F35838" w:rsidRPr="00FA3856" w:rsidRDefault="00486CDA" w:rsidP="002A3A27">
      <w:pPr>
        <w:pStyle w:val="Corpodetexto"/>
        <w:rPr>
          <w:b/>
          <w:color w:val="002060"/>
          <w:szCs w:val="20"/>
        </w:rPr>
      </w:pPr>
      <w:r>
        <w:rPr>
          <w:b/>
          <w:color w:val="002060"/>
          <w:szCs w:val="20"/>
        </w:rPr>
        <w:object w:dxaOrig="1534" w:dyaOrig="997">
          <v:shape id="_x0000_i1274" type="#_x0000_t75" style="width:76.5pt;height:49.5pt" o:ole="">
            <v:imagedata r:id="rId673" o:title=""/>
          </v:shape>
          <o:OLEObject Type="Link" ProgID="Excel.Sheet.12" ShapeID="_x0000_i1274" DrawAspect="Content" r:id="rId674" UpdateMode="OnCall">
            <o:LinkType>EnhancedMetaFile</o:LinkType>
            <o:LockedField>false</o:LockedField>
          </o:OLEObject>
        </w:object>
      </w:r>
    </w:p>
    <w:p w:rsidR="00B8720C" w:rsidRPr="00FA3856" w:rsidRDefault="00B8720C" w:rsidP="00B8720C">
      <w:pPr>
        <w:pStyle w:val="Corpodetexto"/>
        <w:rPr>
          <w:rFonts w:ascii="Times New Roman" w:hAnsi="Times New Roman"/>
          <w:b/>
          <w:color w:val="002060"/>
          <w:szCs w:val="20"/>
        </w:rPr>
      </w:pPr>
      <w:r w:rsidRPr="00FA3856">
        <w:rPr>
          <w:rFonts w:ascii="Times New Roman" w:hAnsi="Times New Roman"/>
          <w:b/>
          <w:color w:val="002060"/>
          <w:szCs w:val="20"/>
        </w:rPr>
        <w:t xml:space="preserve">Exemplo de Preenchimento: </w:t>
      </w:r>
    </w:p>
    <w:p w:rsidR="00B8720C" w:rsidRPr="00FA3856" w:rsidRDefault="00B8720C" w:rsidP="00B8720C">
      <w:pPr>
        <w:pStyle w:val="Corpodetexto"/>
        <w:rPr>
          <w:rFonts w:ascii="Times New Roman" w:hAnsi="Times New Roman"/>
          <w:b/>
          <w:color w:val="002060"/>
          <w:szCs w:val="20"/>
        </w:rPr>
      </w:pPr>
    </w:p>
    <w:p w:rsidR="00B8720C" w:rsidRPr="00FA3856" w:rsidRDefault="00B8720C" w:rsidP="00B8720C">
      <w:pPr>
        <w:pStyle w:val="Corpodetexto"/>
        <w:rPr>
          <w:rFonts w:ascii="Times New Roman" w:hAnsi="Times New Roman"/>
          <w:b/>
          <w:color w:val="002060"/>
          <w:szCs w:val="20"/>
        </w:rPr>
      </w:pPr>
      <w:r w:rsidRPr="00FA3856">
        <w:rPr>
          <w:rFonts w:ascii="Times New Roman" w:hAnsi="Times New Roman"/>
          <w:b/>
          <w:color w:val="002060"/>
          <w:szCs w:val="20"/>
        </w:rPr>
        <w:t>|X292|11|OUTRAS INFORMAÇÕES||</w:t>
      </w:r>
    </w:p>
    <w:p w:rsidR="00B8720C" w:rsidRPr="00FA3856" w:rsidRDefault="00B8720C" w:rsidP="00B8720C">
      <w:pPr>
        <w:pStyle w:val="Corpodetexto"/>
        <w:ind w:firstLine="708"/>
        <w:rPr>
          <w:rFonts w:ascii="Times New Roman" w:hAnsi="Times New Roman"/>
          <w:color w:val="002060"/>
          <w:szCs w:val="20"/>
        </w:rPr>
      </w:pPr>
      <w:r w:rsidRPr="00FA3856">
        <w:rPr>
          <w:rFonts w:ascii="Times New Roman" w:hAnsi="Times New Roman"/>
          <w:color w:val="002060"/>
          <w:szCs w:val="20"/>
        </w:rPr>
        <w:t>|X292|: Identificação do tipo do registro.</w:t>
      </w:r>
    </w:p>
    <w:p w:rsidR="00B8720C" w:rsidRPr="00FA3856" w:rsidRDefault="00B8720C" w:rsidP="00B8720C">
      <w:pPr>
        <w:pStyle w:val="Corpodetexto"/>
        <w:ind w:firstLine="708"/>
        <w:rPr>
          <w:rFonts w:ascii="Times New Roman" w:hAnsi="Times New Roman"/>
          <w:color w:val="002060"/>
          <w:szCs w:val="20"/>
        </w:rPr>
      </w:pPr>
      <w:r w:rsidRPr="00FA3856">
        <w:rPr>
          <w:rFonts w:ascii="Times New Roman" w:hAnsi="Times New Roman"/>
          <w:color w:val="002060"/>
          <w:szCs w:val="20"/>
        </w:rPr>
        <w:t>|11|: Código da linha.</w:t>
      </w:r>
    </w:p>
    <w:p w:rsidR="00B8720C" w:rsidRPr="00FA3856" w:rsidRDefault="00B8720C" w:rsidP="00B8720C">
      <w:pPr>
        <w:pStyle w:val="Corpodetexto"/>
        <w:ind w:firstLine="708"/>
        <w:rPr>
          <w:rFonts w:ascii="Times New Roman" w:hAnsi="Times New Roman"/>
          <w:color w:val="002060"/>
          <w:szCs w:val="20"/>
        </w:rPr>
      </w:pPr>
      <w:r w:rsidRPr="00FA3856">
        <w:rPr>
          <w:rFonts w:ascii="Times New Roman" w:hAnsi="Times New Roman"/>
          <w:color w:val="002060"/>
          <w:szCs w:val="20"/>
        </w:rPr>
        <w:t>|OUTRAS INFORMAÇÕES|: Descrição da linha.</w:t>
      </w:r>
    </w:p>
    <w:p w:rsidR="00B8720C" w:rsidRPr="00FA3856" w:rsidRDefault="00B8720C" w:rsidP="00B8720C">
      <w:pPr>
        <w:pStyle w:val="Corpodetexto"/>
        <w:ind w:firstLine="708"/>
        <w:rPr>
          <w:rFonts w:ascii="Times New Roman" w:hAnsi="Times New Roman"/>
          <w:color w:val="002060"/>
          <w:szCs w:val="20"/>
        </w:rPr>
      </w:pPr>
      <w:r w:rsidRPr="00FA3856">
        <w:rPr>
          <w:rFonts w:ascii="Times New Roman" w:hAnsi="Times New Roman"/>
          <w:color w:val="002060"/>
          <w:szCs w:val="20"/>
        </w:rPr>
        <w:t>||: Valor da linha (como a linha corresponde a um rótulo – R – não há valor).</w:t>
      </w:r>
    </w:p>
    <w:p w:rsidR="00B8720C" w:rsidRPr="00FA3856" w:rsidRDefault="00B8720C" w:rsidP="00B8720C">
      <w:pPr>
        <w:rPr>
          <w:bCs/>
          <w:szCs w:val="20"/>
        </w:rPr>
      </w:pPr>
    </w:p>
    <w:p w:rsidR="00B8720C" w:rsidRPr="00FA3856" w:rsidRDefault="00B8720C" w:rsidP="00B8720C">
      <w:pPr>
        <w:pStyle w:val="Corpodetexto"/>
        <w:rPr>
          <w:rFonts w:ascii="Times New Roman" w:hAnsi="Times New Roman"/>
          <w:b/>
          <w:color w:val="002060"/>
          <w:szCs w:val="20"/>
        </w:rPr>
      </w:pPr>
      <w:r w:rsidRPr="00FA3856">
        <w:rPr>
          <w:rFonts w:ascii="Times New Roman" w:hAnsi="Times New Roman"/>
          <w:b/>
          <w:color w:val="002060"/>
          <w:szCs w:val="20"/>
        </w:rPr>
        <w:t>|X292|14|Royalties Incorridos na Importação de Mercadorias|100000,00|</w:t>
      </w:r>
    </w:p>
    <w:p w:rsidR="00B8720C" w:rsidRPr="00FA3856" w:rsidRDefault="00B8720C" w:rsidP="00B8720C">
      <w:pPr>
        <w:pStyle w:val="Corpodetexto"/>
        <w:ind w:firstLine="708"/>
        <w:rPr>
          <w:rFonts w:ascii="Times New Roman" w:hAnsi="Times New Roman"/>
          <w:color w:val="002060"/>
          <w:szCs w:val="20"/>
        </w:rPr>
      </w:pPr>
      <w:r w:rsidRPr="00FA3856">
        <w:rPr>
          <w:rFonts w:ascii="Times New Roman" w:hAnsi="Times New Roman"/>
          <w:color w:val="002060"/>
          <w:szCs w:val="20"/>
        </w:rPr>
        <w:t>|X292|: Identificação do tipo do registro.</w:t>
      </w:r>
    </w:p>
    <w:p w:rsidR="00B8720C" w:rsidRPr="00FA3856" w:rsidRDefault="00B8720C" w:rsidP="00B8720C">
      <w:pPr>
        <w:pStyle w:val="Corpodetexto"/>
        <w:ind w:firstLine="708"/>
        <w:rPr>
          <w:rFonts w:ascii="Times New Roman" w:hAnsi="Times New Roman"/>
          <w:color w:val="002060"/>
          <w:szCs w:val="20"/>
        </w:rPr>
      </w:pPr>
      <w:r w:rsidRPr="00FA3856">
        <w:rPr>
          <w:rFonts w:ascii="Times New Roman" w:hAnsi="Times New Roman"/>
          <w:color w:val="002060"/>
          <w:szCs w:val="20"/>
        </w:rPr>
        <w:t>|14|: Código da linha.</w:t>
      </w:r>
    </w:p>
    <w:p w:rsidR="00B8720C" w:rsidRPr="00FA3856" w:rsidRDefault="00B8720C" w:rsidP="00B8720C">
      <w:pPr>
        <w:pStyle w:val="Corpodetexto"/>
        <w:ind w:firstLine="708"/>
        <w:rPr>
          <w:rFonts w:ascii="Times New Roman" w:hAnsi="Times New Roman"/>
          <w:color w:val="002060"/>
          <w:szCs w:val="20"/>
        </w:rPr>
      </w:pPr>
      <w:r w:rsidRPr="00FA3856">
        <w:rPr>
          <w:rFonts w:ascii="Times New Roman" w:hAnsi="Times New Roman"/>
          <w:color w:val="002060"/>
          <w:szCs w:val="20"/>
        </w:rPr>
        <w:t>|Royalties Incorridos na Importação de Mercadorias|: Descrição da linha.</w:t>
      </w:r>
    </w:p>
    <w:p w:rsidR="00B8720C" w:rsidRPr="00FA3856" w:rsidRDefault="00B8720C" w:rsidP="00B8720C">
      <w:pPr>
        <w:pStyle w:val="Corpodetexto"/>
        <w:ind w:firstLine="708"/>
        <w:rPr>
          <w:rFonts w:ascii="Times New Roman" w:hAnsi="Times New Roman"/>
          <w:color w:val="002060"/>
          <w:szCs w:val="20"/>
        </w:rPr>
      </w:pPr>
      <w:r w:rsidRPr="00FA3856">
        <w:rPr>
          <w:rFonts w:ascii="Times New Roman" w:hAnsi="Times New Roman"/>
          <w:color w:val="002060"/>
          <w:szCs w:val="20"/>
        </w:rPr>
        <w:t>|100000,00|: Valor da linha (R$ 100.000,00).</w:t>
      </w:r>
    </w:p>
    <w:p w:rsidR="000430B5" w:rsidRPr="00FA3856" w:rsidRDefault="000430B5" w:rsidP="000430B5">
      <w:pPr>
        <w:ind w:firstLine="708"/>
        <w:rPr>
          <w:color w:val="0000FF"/>
          <w:szCs w:val="20"/>
        </w:rPr>
      </w:pPr>
    </w:p>
    <w:p w:rsidR="000430B5" w:rsidRPr="00FA3856" w:rsidRDefault="000430B5">
      <w:pPr>
        <w:spacing w:after="200" w:line="276" w:lineRule="auto"/>
        <w:rPr>
          <w:b/>
          <w:bCs/>
          <w:color w:val="0000FF"/>
          <w:szCs w:val="20"/>
        </w:rPr>
      </w:pPr>
      <w:r w:rsidRPr="00FA3856">
        <w:rPr>
          <w:color w:val="0000FF"/>
          <w:szCs w:val="20"/>
        </w:rPr>
        <w:br w:type="page"/>
      </w:r>
    </w:p>
    <w:p w:rsidR="00AE10C8" w:rsidRPr="00FA3856" w:rsidRDefault="00AE10C8" w:rsidP="00867F54">
      <w:pPr>
        <w:pStyle w:val="Ttulo4"/>
      </w:pPr>
      <w:bookmarkStart w:id="393" w:name="_Toc479713796"/>
      <w:r w:rsidRPr="00FA3856">
        <w:lastRenderedPageBreak/>
        <w:t>Registro X300: Operações com o Exterior – Exportações (Entradas de Divisas)</w:t>
      </w:r>
      <w:bookmarkEnd w:id="393"/>
    </w:p>
    <w:p w:rsidR="00AE10C8" w:rsidRPr="00FA3856" w:rsidRDefault="00AE10C8" w:rsidP="00AE10C8">
      <w:pPr>
        <w:rPr>
          <w:szCs w:val="20"/>
        </w:rPr>
      </w:pPr>
    </w:p>
    <w:p w:rsidR="000430B5" w:rsidRPr="00FA3856" w:rsidRDefault="00D8594F" w:rsidP="00D8594F">
      <w:pPr>
        <w:ind w:firstLine="708"/>
        <w:jc w:val="both"/>
        <w:rPr>
          <w:bCs/>
          <w:szCs w:val="20"/>
        </w:rPr>
      </w:pPr>
      <w:r w:rsidRPr="00FA3856">
        <w:rPr>
          <w:bCs/>
          <w:szCs w:val="20"/>
        </w:rPr>
        <w:t>Este registro</w:t>
      </w:r>
      <w:r w:rsidR="000430B5" w:rsidRPr="00FA3856">
        <w:rPr>
          <w:bCs/>
          <w:szCs w:val="20"/>
        </w:rPr>
        <w:t xml:space="preserve"> deve ser preenc</w:t>
      </w:r>
      <w:r w:rsidRPr="00FA3856">
        <w:rPr>
          <w:bCs/>
          <w:szCs w:val="20"/>
        </w:rPr>
        <w:t>hido</w:t>
      </w:r>
      <w:r w:rsidR="000430B5" w:rsidRPr="00FA3856">
        <w:rPr>
          <w:bCs/>
          <w:szCs w:val="20"/>
        </w:rPr>
        <w:t xml:space="preserve"> pela pessoa jurídica, inclusive instituição financeira ou companhia seguradora conforme relacionadas no § 1º do art. 22, da Lei nº 8.212, de 1991 e no inciso II do art. 14 da Lei nº 9.718, de 1998, tributada pelo lucro real, presumido ou arbitrado, que tenha realizado no ano-calendário exportação de bens, serviços, direitos ou auferido receitas financeiras em operações efetuadas com pessoa física ou jurídica residente ou domiciliada no exterior, considerada pela legislação brasileira:</w:t>
      </w:r>
    </w:p>
    <w:p w:rsidR="00D8594F" w:rsidRPr="00FA3856" w:rsidRDefault="00D8594F" w:rsidP="00D8594F">
      <w:pPr>
        <w:ind w:firstLine="708"/>
        <w:jc w:val="both"/>
        <w:rPr>
          <w:bCs/>
          <w:szCs w:val="20"/>
        </w:rPr>
      </w:pPr>
    </w:p>
    <w:p w:rsidR="000430B5" w:rsidRPr="00FA3856" w:rsidRDefault="000430B5" w:rsidP="00D8594F">
      <w:pPr>
        <w:ind w:firstLine="708"/>
        <w:jc w:val="both"/>
        <w:rPr>
          <w:bCs/>
          <w:szCs w:val="20"/>
        </w:rPr>
      </w:pPr>
      <w:r w:rsidRPr="00FA3856">
        <w:rPr>
          <w:bCs/>
          <w:szCs w:val="20"/>
        </w:rPr>
        <w:t>a) pessoa vincula</w:t>
      </w:r>
      <w:r w:rsidR="00D8594F" w:rsidRPr="00FA3856">
        <w:rPr>
          <w:bCs/>
          <w:szCs w:val="20"/>
        </w:rPr>
        <w:t>da</w:t>
      </w:r>
      <w:r w:rsidRPr="00FA3856">
        <w:rPr>
          <w:bCs/>
          <w:szCs w:val="20"/>
        </w:rPr>
        <w:t>;</w:t>
      </w:r>
    </w:p>
    <w:p w:rsidR="000430B5" w:rsidRPr="00FA3856" w:rsidRDefault="000430B5" w:rsidP="00D8594F">
      <w:pPr>
        <w:ind w:firstLine="708"/>
        <w:jc w:val="both"/>
        <w:rPr>
          <w:bCs/>
          <w:szCs w:val="20"/>
        </w:rPr>
      </w:pPr>
      <w:r w:rsidRPr="00FA3856">
        <w:rPr>
          <w:bCs/>
          <w:szCs w:val="20"/>
        </w:rPr>
        <w:t>b) pessoa residente ou domiciliada em países com tributação favorecida ou cuja legislação interna oponha sigilo relativo à composição societária de pessoas j</w:t>
      </w:r>
      <w:r w:rsidR="00D8594F" w:rsidRPr="00FA3856">
        <w:rPr>
          <w:bCs/>
          <w:szCs w:val="20"/>
        </w:rPr>
        <w:t>urídicas ou a sua titularidade; e</w:t>
      </w:r>
    </w:p>
    <w:p w:rsidR="000430B5" w:rsidRPr="00FA3856" w:rsidRDefault="000430B5" w:rsidP="00D8594F">
      <w:pPr>
        <w:ind w:firstLine="708"/>
        <w:jc w:val="both"/>
        <w:rPr>
          <w:bCs/>
          <w:szCs w:val="20"/>
        </w:rPr>
      </w:pPr>
      <w:r w:rsidRPr="00FA3856">
        <w:rPr>
          <w:bCs/>
          <w:szCs w:val="20"/>
        </w:rPr>
        <w:t>c) a partir de 1º de janeiro de 2009, pessoa residente ou domiciliada no exterior, que goze, nos termos da legislação, de regime fiscal privilegiado (Art. 24-A da Lei nº 9.430, de 1996, instituído pela Lei nº 11.727, de 2008)</w:t>
      </w:r>
      <w:r w:rsidR="00D8594F" w:rsidRPr="00FA3856">
        <w:rPr>
          <w:bCs/>
          <w:szCs w:val="20"/>
        </w:rPr>
        <w:t>.</w:t>
      </w:r>
    </w:p>
    <w:p w:rsidR="00D8594F" w:rsidRPr="00FA3856" w:rsidRDefault="00D8594F" w:rsidP="00D8594F">
      <w:pPr>
        <w:ind w:firstLine="708"/>
        <w:jc w:val="both"/>
        <w:rPr>
          <w:bCs/>
          <w:szCs w:val="20"/>
        </w:rPr>
      </w:pPr>
    </w:p>
    <w:p w:rsidR="00D8594F" w:rsidRPr="00FA3856" w:rsidRDefault="00D8594F" w:rsidP="00D8594F">
      <w:pPr>
        <w:ind w:firstLine="708"/>
        <w:jc w:val="both"/>
        <w:rPr>
          <w:bCs/>
          <w:szCs w:val="20"/>
        </w:rPr>
      </w:pPr>
      <w:r w:rsidRPr="00FA3856">
        <w:rPr>
          <w:bCs/>
          <w:szCs w:val="20"/>
        </w:rPr>
        <w:t>Este registro</w:t>
      </w:r>
      <w:r w:rsidR="000430B5" w:rsidRPr="00FA3856">
        <w:rPr>
          <w:bCs/>
          <w:szCs w:val="20"/>
        </w:rPr>
        <w:t xml:space="preserve"> também </w:t>
      </w:r>
      <w:r w:rsidRPr="00FA3856">
        <w:rPr>
          <w:bCs/>
          <w:szCs w:val="20"/>
        </w:rPr>
        <w:t>deve ser preenchido</w:t>
      </w:r>
      <w:r w:rsidR="000430B5" w:rsidRPr="00FA3856">
        <w:rPr>
          <w:bCs/>
          <w:szCs w:val="20"/>
        </w:rPr>
        <w:t xml:space="preserve"> pela pessoa jurídica, inclusive instituição financeira ou companhia seguradora, que realizar as operações acima referidas por intermédio de interposta pessoa (§ 5º do art. 2º da Instrução Normativa RFB nº 1.312, de 28 de dezembro de 2012).</w:t>
      </w:r>
    </w:p>
    <w:p w:rsidR="000430B5" w:rsidRPr="00FA3856" w:rsidRDefault="000430B5" w:rsidP="00D8594F">
      <w:pPr>
        <w:ind w:firstLine="708"/>
        <w:jc w:val="both"/>
        <w:rPr>
          <w:bCs/>
          <w:szCs w:val="20"/>
        </w:rPr>
      </w:pPr>
      <w:r w:rsidRPr="00FA3856">
        <w:rPr>
          <w:bCs/>
          <w:szCs w:val="20"/>
        </w:rPr>
        <w:t xml:space="preserve"> </w:t>
      </w:r>
    </w:p>
    <w:p w:rsidR="00D8594F" w:rsidRPr="00FA3856" w:rsidRDefault="000430B5" w:rsidP="00D8594F">
      <w:pPr>
        <w:ind w:firstLine="708"/>
        <w:jc w:val="both"/>
        <w:rPr>
          <w:bCs/>
          <w:szCs w:val="20"/>
        </w:rPr>
      </w:pPr>
      <w:r w:rsidRPr="00FA3856">
        <w:rPr>
          <w:b/>
          <w:bCs/>
          <w:szCs w:val="20"/>
        </w:rPr>
        <w:t>Atenção</w:t>
      </w:r>
      <w:r w:rsidRPr="00FA3856">
        <w:rPr>
          <w:bCs/>
          <w:szCs w:val="20"/>
        </w:rPr>
        <w:t>:</w:t>
      </w:r>
    </w:p>
    <w:p w:rsidR="000430B5" w:rsidRPr="00FA3856" w:rsidRDefault="000430B5" w:rsidP="00D8594F">
      <w:pPr>
        <w:ind w:firstLine="708"/>
        <w:jc w:val="both"/>
        <w:rPr>
          <w:bCs/>
          <w:szCs w:val="20"/>
        </w:rPr>
      </w:pPr>
      <w:r w:rsidRPr="00FA3856">
        <w:rPr>
          <w:bCs/>
          <w:szCs w:val="20"/>
        </w:rPr>
        <w:t>1) São considerados países com tributação favorecida ou cuja legislação interna oponha sigilo relativo à composição societária de pessoas j</w:t>
      </w:r>
      <w:r w:rsidR="00D8594F" w:rsidRPr="00FA3856">
        <w:rPr>
          <w:bCs/>
          <w:szCs w:val="20"/>
        </w:rPr>
        <w:t xml:space="preserve">urídicas ou a sua titularidade </w:t>
      </w:r>
      <w:r w:rsidRPr="00FA3856">
        <w:rPr>
          <w:bCs/>
          <w:szCs w:val="20"/>
        </w:rPr>
        <w:t xml:space="preserve">os países ou dependências discriminados na Instrução Normativa RFB nº 1.037, de 4 de junho de 2010. </w:t>
      </w:r>
    </w:p>
    <w:p w:rsidR="00D8594F" w:rsidRPr="00FA3856" w:rsidRDefault="00D8594F" w:rsidP="00D8594F">
      <w:pPr>
        <w:ind w:firstLine="708"/>
        <w:jc w:val="both"/>
        <w:rPr>
          <w:bCs/>
          <w:szCs w:val="20"/>
        </w:rPr>
      </w:pPr>
    </w:p>
    <w:p w:rsidR="000430B5" w:rsidRPr="00FA3856" w:rsidRDefault="000430B5" w:rsidP="00D8594F">
      <w:pPr>
        <w:ind w:firstLine="708"/>
        <w:jc w:val="both"/>
        <w:rPr>
          <w:bCs/>
          <w:szCs w:val="20"/>
        </w:rPr>
      </w:pPr>
      <w:r w:rsidRPr="00FA3856">
        <w:rPr>
          <w:bCs/>
          <w:szCs w:val="20"/>
        </w:rPr>
        <w:t>2) As verificações dos preços de transferências serão efetuadas por períodos anuais, exceto nas hipóteses de início e encerramento de atividades e de suspeita de fraudes (art. 54 da Instrução Normativa RFB nº 1.312, de 28 de dezembro de 2012).</w:t>
      </w:r>
    </w:p>
    <w:p w:rsidR="00D8594F" w:rsidRPr="00FA3856" w:rsidRDefault="00D8594F" w:rsidP="00D8594F">
      <w:pPr>
        <w:ind w:firstLine="708"/>
        <w:jc w:val="both"/>
        <w:rPr>
          <w:bCs/>
          <w:szCs w:val="20"/>
        </w:rPr>
      </w:pPr>
    </w:p>
    <w:p w:rsidR="000430B5" w:rsidRPr="00FA3856" w:rsidRDefault="000430B5" w:rsidP="00D8594F">
      <w:pPr>
        <w:ind w:firstLine="708"/>
        <w:jc w:val="both"/>
        <w:rPr>
          <w:bCs/>
          <w:szCs w:val="20"/>
        </w:rPr>
      </w:pPr>
      <w:r w:rsidRPr="00FA3856">
        <w:rPr>
          <w:bCs/>
          <w:szCs w:val="20"/>
        </w:rPr>
        <w:t>3) considera-se regime fiscal privilegiado aquele que apresentar uma ou mais das seguintes características: (Redação do § único do art. 24-A da Lei nº 9.430, de 1996, com a redação dada pela Lei nº 11.727, de 2008)</w:t>
      </w:r>
    </w:p>
    <w:p w:rsidR="00D8594F" w:rsidRPr="00FA3856" w:rsidRDefault="00D8594F" w:rsidP="00D8594F">
      <w:pPr>
        <w:ind w:left="708" w:firstLine="708"/>
        <w:jc w:val="both"/>
        <w:rPr>
          <w:bCs/>
          <w:szCs w:val="20"/>
        </w:rPr>
      </w:pPr>
    </w:p>
    <w:p w:rsidR="000430B5" w:rsidRPr="00FA3856" w:rsidRDefault="000430B5" w:rsidP="00D8594F">
      <w:pPr>
        <w:ind w:left="708" w:firstLine="708"/>
        <w:jc w:val="both"/>
        <w:rPr>
          <w:bCs/>
          <w:szCs w:val="20"/>
        </w:rPr>
      </w:pPr>
      <w:r w:rsidRPr="00FA3856">
        <w:rPr>
          <w:bCs/>
          <w:szCs w:val="20"/>
        </w:rPr>
        <w:t>I) não tribute a renda ou a tribute à alíquota máxima inferior a 20% (vinte por cento);</w:t>
      </w:r>
    </w:p>
    <w:p w:rsidR="000430B5" w:rsidRPr="00FA3856" w:rsidRDefault="00D8594F" w:rsidP="00D8594F">
      <w:pPr>
        <w:ind w:left="1416"/>
        <w:jc w:val="both"/>
        <w:rPr>
          <w:bCs/>
          <w:szCs w:val="20"/>
        </w:rPr>
      </w:pPr>
      <w:r w:rsidRPr="00FA3856">
        <w:rPr>
          <w:bCs/>
          <w:szCs w:val="20"/>
        </w:rPr>
        <w:t>II)</w:t>
      </w:r>
      <w:r w:rsidR="000430B5" w:rsidRPr="00FA3856">
        <w:rPr>
          <w:bCs/>
          <w:szCs w:val="20"/>
        </w:rPr>
        <w:t xml:space="preserve"> conceda vantagem de natureza fiscal a pessoa física ou jurídica não residente:</w:t>
      </w:r>
    </w:p>
    <w:p w:rsidR="000430B5" w:rsidRPr="00FA3856" w:rsidRDefault="000430B5" w:rsidP="00D8594F">
      <w:pPr>
        <w:ind w:left="1416" w:firstLine="708"/>
        <w:jc w:val="both"/>
        <w:rPr>
          <w:bCs/>
          <w:szCs w:val="20"/>
        </w:rPr>
      </w:pPr>
      <w:r w:rsidRPr="00FA3856">
        <w:rPr>
          <w:bCs/>
          <w:szCs w:val="20"/>
        </w:rPr>
        <w:t>a) sem exigência de realização de atividade econômica substantiva no país ou dependência;</w:t>
      </w:r>
    </w:p>
    <w:p w:rsidR="000430B5" w:rsidRPr="00FA3856" w:rsidRDefault="000430B5" w:rsidP="00D8594F">
      <w:pPr>
        <w:ind w:left="1416" w:firstLine="708"/>
        <w:jc w:val="both"/>
        <w:rPr>
          <w:bCs/>
          <w:szCs w:val="20"/>
        </w:rPr>
      </w:pPr>
      <w:r w:rsidRPr="00FA3856">
        <w:rPr>
          <w:bCs/>
          <w:szCs w:val="20"/>
        </w:rPr>
        <w:t>b) condicionada ao não exercício de atividade econômica substantiva no país ou dependência;</w:t>
      </w:r>
    </w:p>
    <w:p w:rsidR="000430B5" w:rsidRPr="00FA3856" w:rsidRDefault="00D8594F" w:rsidP="00D8594F">
      <w:pPr>
        <w:ind w:left="708" w:firstLine="708"/>
        <w:jc w:val="both"/>
        <w:rPr>
          <w:bCs/>
          <w:szCs w:val="20"/>
        </w:rPr>
      </w:pPr>
      <w:r w:rsidRPr="00FA3856">
        <w:rPr>
          <w:bCs/>
          <w:szCs w:val="20"/>
        </w:rPr>
        <w:t>III)</w:t>
      </w:r>
      <w:r w:rsidR="000430B5" w:rsidRPr="00FA3856">
        <w:rPr>
          <w:bCs/>
          <w:szCs w:val="20"/>
        </w:rPr>
        <w:t xml:space="preserve"> não tribute, ou o faça em alíquota máxima inferior a 20% (vinte por cento), os rendimentos auferidos fora de seu território;</w:t>
      </w:r>
    </w:p>
    <w:p w:rsidR="000430B5" w:rsidRPr="00FA3856" w:rsidRDefault="00D8594F" w:rsidP="00D8594F">
      <w:pPr>
        <w:ind w:left="708" w:firstLine="708"/>
        <w:jc w:val="both"/>
        <w:rPr>
          <w:bCs/>
          <w:szCs w:val="20"/>
        </w:rPr>
      </w:pPr>
      <w:r w:rsidRPr="00FA3856">
        <w:rPr>
          <w:bCs/>
          <w:szCs w:val="20"/>
        </w:rPr>
        <w:t>IV)</w:t>
      </w:r>
      <w:r w:rsidR="000430B5" w:rsidRPr="00FA3856">
        <w:rPr>
          <w:bCs/>
          <w:szCs w:val="20"/>
        </w:rPr>
        <w:t xml:space="preserve"> não permita o acesso a informações relativas à composição societária, titularidade de bens ou direitos ou às operações econômicas realizadas.</w:t>
      </w:r>
    </w:p>
    <w:p w:rsidR="00D8594F" w:rsidRPr="00FA3856" w:rsidRDefault="00D8594F" w:rsidP="00D8594F">
      <w:pPr>
        <w:ind w:firstLine="708"/>
        <w:jc w:val="both"/>
        <w:rPr>
          <w:bCs/>
          <w:szCs w:val="20"/>
        </w:rPr>
      </w:pPr>
    </w:p>
    <w:p w:rsidR="000430B5" w:rsidRPr="00FA3856" w:rsidRDefault="000430B5" w:rsidP="00D8594F">
      <w:pPr>
        <w:ind w:firstLine="708"/>
        <w:jc w:val="both"/>
        <w:rPr>
          <w:bCs/>
          <w:szCs w:val="20"/>
        </w:rPr>
      </w:pPr>
      <w:r w:rsidRPr="00FA3856">
        <w:rPr>
          <w:bCs/>
          <w:szCs w:val="20"/>
        </w:rPr>
        <w:t>4) Os regimes fiscais privilegiados estão relacionados no art. 2º da Instrução Normativa RFB nº 1.037, de 2010.</w:t>
      </w:r>
    </w:p>
    <w:p w:rsidR="00D8594F" w:rsidRPr="00FA3856" w:rsidRDefault="00D8594F" w:rsidP="00D8594F">
      <w:pPr>
        <w:ind w:firstLine="708"/>
        <w:jc w:val="both"/>
        <w:rPr>
          <w:bCs/>
          <w:szCs w:val="20"/>
        </w:rPr>
      </w:pPr>
    </w:p>
    <w:p w:rsidR="00D8594F" w:rsidRPr="00FA3856" w:rsidRDefault="00D8594F" w:rsidP="00D8594F">
      <w:pPr>
        <w:ind w:firstLine="708"/>
        <w:jc w:val="both"/>
        <w:rPr>
          <w:bCs/>
          <w:szCs w:val="20"/>
        </w:rPr>
      </w:pPr>
    </w:p>
    <w:p w:rsidR="00D8594F" w:rsidRPr="00FA3856" w:rsidRDefault="00D8594F" w:rsidP="00D8594F">
      <w:pPr>
        <w:ind w:firstLine="708"/>
        <w:jc w:val="both"/>
        <w:rPr>
          <w:bCs/>
          <w:szCs w:val="20"/>
        </w:rPr>
      </w:pPr>
    </w:p>
    <w:p w:rsidR="00D8594F" w:rsidRPr="00FA3856" w:rsidRDefault="00D8594F" w:rsidP="00D8594F">
      <w:pPr>
        <w:ind w:firstLine="708"/>
        <w:jc w:val="both"/>
        <w:rPr>
          <w:bCs/>
          <w:szCs w:val="20"/>
        </w:rPr>
      </w:pPr>
    </w:p>
    <w:p w:rsidR="00D8594F" w:rsidRPr="00FA3856" w:rsidRDefault="00D8594F" w:rsidP="00D8594F">
      <w:pPr>
        <w:ind w:firstLine="708"/>
        <w:jc w:val="both"/>
        <w:rPr>
          <w:bCs/>
          <w:szCs w:val="20"/>
        </w:rPr>
      </w:pPr>
    </w:p>
    <w:p w:rsidR="00D8594F" w:rsidRPr="00FA3856" w:rsidRDefault="00D8594F" w:rsidP="00D8594F">
      <w:pPr>
        <w:ind w:firstLine="708"/>
        <w:jc w:val="both"/>
        <w:rPr>
          <w:bCs/>
          <w:szCs w:val="20"/>
        </w:rPr>
      </w:pPr>
    </w:p>
    <w:p w:rsidR="00D8594F" w:rsidRPr="00FA3856" w:rsidRDefault="00D8594F" w:rsidP="00D8594F">
      <w:pPr>
        <w:ind w:firstLine="708"/>
        <w:jc w:val="both"/>
        <w:rPr>
          <w:bCs/>
          <w:szCs w:val="20"/>
        </w:rPr>
      </w:pPr>
    </w:p>
    <w:p w:rsidR="00D8594F" w:rsidRPr="00FA3856" w:rsidRDefault="00D8594F" w:rsidP="00D8594F">
      <w:pPr>
        <w:ind w:firstLine="708"/>
        <w:jc w:val="both"/>
        <w:rPr>
          <w:bCs/>
          <w:szCs w:val="20"/>
        </w:rPr>
      </w:pPr>
    </w:p>
    <w:p w:rsidR="000430B5" w:rsidRPr="00FA3856" w:rsidRDefault="000430B5" w:rsidP="00D8594F">
      <w:pPr>
        <w:ind w:firstLine="708"/>
        <w:jc w:val="both"/>
        <w:rPr>
          <w:bCs/>
          <w:szCs w:val="20"/>
        </w:rPr>
      </w:pPr>
      <w:r w:rsidRPr="00FA3856">
        <w:rPr>
          <w:bCs/>
          <w:szCs w:val="20"/>
        </w:rPr>
        <w:lastRenderedPageBreak/>
        <w:t>Os campos desta ficha devem ser preenchidos conforme orientações prestadas a seguir.</w:t>
      </w:r>
    </w:p>
    <w:p w:rsidR="00D8594F" w:rsidRPr="00FA3856" w:rsidRDefault="00D8594F" w:rsidP="00D8594F">
      <w:pPr>
        <w:ind w:firstLine="708"/>
        <w:jc w:val="both"/>
        <w:rPr>
          <w:bCs/>
          <w:szCs w:val="20"/>
        </w:rPr>
      </w:pPr>
    </w:p>
    <w:p w:rsidR="000430B5" w:rsidRPr="00FA3856" w:rsidRDefault="000430B5" w:rsidP="00D8594F">
      <w:pPr>
        <w:ind w:firstLine="708"/>
        <w:jc w:val="both"/>
        <w:rPr>
          <w:b/>
          <w:bCs/>
          <w:szCs w:val="20"/>
        </w:rPr>
      </w:pPr>
      <w:r w:rsidRPr="00FA3856">
        <w:rPr>
          <w:b/>
          <w:bCs/>
          <w:szCs w:val="20"/>
        </w:rPr>
        <w:t>EXPORTAÇÕES</w:t>
      </w:r>
    </w:p>
    <w:p w:rsidR="000430B5" w:rsidRPr="00FA3856" w:rsidRDefault="000430B5" w:rsidP="00D8594F">
      <w:pPr>
        <w:ind w:firstLine="708"/>
        <w:jc w:val="both"/>
        <w:rPr>
          <w:bCs/>
          <w:szCs w:val="20"/>
        </w:rPr>
      </w:pPr>
      <w:r w:rsidRPr="00FA3856">
        <w:rPr>
          <w:bCs/>
          <w:szCs w:val="20"/>
        </w:rPr>
        <w:t>Ao acionar este campo, a pessoa jurídica deve assinalar o tipo de operação realizada, a saber:</w:t>
      </w:r>
    </w:p>
    <w:p w:rsidR="000430B5" w:rsidRPr="00FA3856" w:rsidRDefault="000430B5" w:rsidP="00D8594F">
      <w:pPr>
        <w:ind w:firstLine="708"/>
        <w:jc w:val="both"/>
        <w:rPr>
          <w:bCs/>
          <w:szCs w:val="20"/>
        </w:rPr>
      </w:pPr>
      <w:r w:rsidRPr="00FA3856">
        <w:rPr>
          <w:szCs w:val="20"/>
        </w:rPr>
        <w:t>- Bens</w:t>
      </w:r>
      <w:r w:rsidRPr="00FA3856">
        <w:rPr>
          <w:bCs/>
          <w:szCs w:val="20"/>
        </w:rPr>
        <w:t>;</w:t>
      </w:r>
    </w:p>
    <w:p w:rsidR="000430B5" w:rsidRPr="00FA3856" w:rsidRDefault="000430B5" w:rsidP="00D8594F">
      <w:pPr>
        <w:ind w:firstLine="708"/>
        <w:jc w:val="both"/>
        <w:rPr>
          <w:bCs/>
          <w:szCs w:val="20"/>
        </w:rPr>
      </w:pPr>
      <w:r w:rsidRPr="00FA3856">
        <w:rPr>
          <w:szCs w:val="20"/>
        </w:rPr>
        <w:t>- Serviços</w:t>
      </w:r>
      <w:r w:rsidRPr="00FA3856">
        <w:rPr>
          <w:bCs/>
          <w:szCs w:val="20"/>
        </w:rPr>
        <w:t>;</w:t>
      </w:r>
    </w:p>
    <w:p w:rsidR="000430B5" w:rsidRPr="00FA3856" w:rsidRDefault="000430B5" w:rsidP="00D8594F">
      <w:pPr>
        <w:ind w:firstLine="708"/>
        <w:jc w:val="both"/>
        <w:rPr>
          <w:bCs/>
          <w:szCs w:val="20"/>
        </w:rPr>
      </w:pPr>
      <w:r w:rsidRPr="00FA3856">
        <w:rPr>
          <w:szCs w:val="20"/>
        </w:rPr>
        <w:t>- Direitos</w:t>
      </w:r>
      <w:r w:rsidRPr="00FA3856">
        <w:rPr>
          <w:bCs/>
          <w:szCs w:val="20"/>
        </w:rPr>
        <w:t>;</w:t>
      </w:r>
    </w:p>
    <w:p w:rsidR="000430B5" w:rsidRPr="00FA3856" w:rsidRDefault="000430B5" w:rsidP="00D8594F">
      <w:pPr>
        <w:ind w:firstLine="708"/>
        <w:jc w:val="both"/>
        <w:rPr>
          <w:bCs/>
          <w:szCs w:val="20"/>
        </w:rPr>
      </w:pPr>
      <w:r w:rsidRPr="00FA3856">
        <w:rPr>
          <w:szCs w:val="20"/>
        </w:rPr>
        <w:t>- Operações Financeiras</w:t>
      </w:r>
      <w:r w:rsidRPr="00FA3856">
        <w:rPr>
          <w:bCs/>
          <w:szCs w:val="20"/>
        </w:rPr>
        <w:t>, ou</w:t>
      </w:r>
    </w:p>
    <w:p w:rsidR="000430B5" w:rsidRPr="00FA3856" w:rsidRDefault="000430B5" w:rsidP="00D8594F">
      <w:pPr>
        <w:ind w:firstLine="708"/>
        <w:jc w:val="both"/>
        <w:rPr>
          <w:bCs/>
          <w:szCs w:val="20"/>
        </w:rPr>
      </w:pPr>
      <w:r w:rsidRPr="00FA3856">
        <w:rPr>
          <w:szCs w:val="20"/>
        </w:rPr>
        <w:t>- Não Especificadas</w:t>
      </w:r>
      <w:r w:rsidRPr="00FA3856">
        <w:rPr>
          <w:bCs/>
          <w:szCs w:val="20"/>
        </w:rPr>
        <w:t>.</w:t>
      </w:r>
    </w:p>
    <w:p w:rsidR="00D8594F" w:rsidRPr="00FA3856" w:rsidRDefault="00D8594F" w:rsidP="00D8594F">
      <w:pPr>
        <w:ind w:firstLine="708"/>
        <w:jc w:val="both"/>
        <w:rPr>
          <w:bCs/>
          <w:szCs w:val="20"/>
        </w:rPr>
      </w:pPr>
    </w:p>
    <w:p w:rsidR="000430B5" w:rsidRPr="00FA3856" w:rsidRDefault="000430B5" w:rsidP="00D8594F">
      <w:pPr>
        <w:ind w:firstLine="708"/>
        <w:jc w:val="both"/>
        <w:rPr>
          <w:bCs/>
          <w:szCs w:val="20"/>
        </w:rPr>
      </w:pPr>
      <w:r w:rsidRPr="00FA3856">
        <w:rPr>
          <w:bCs/>
          <w:szCs w:val="20"/>
        </w:rPr>
        <w:t>Considera-se "Exportação" (de bens, serviços, direitos) e/ou "Operações Financeiras", o total de transações de mesma natureza efetuadas durante o ano-calendário.</w:t>
      </w:r>
    </w:p>
    <w:p w:rsidR="00D8594F" w:rsidRPr="00FA3856" w:rsidRDefault="00D8594F" w:rsidP="00D8594F">
      <w:pPr>
        <w:ind w:firstLine="708"/>
        <w:jc w:val="both"/>
        <w:rPr>
          <w:bCs/>
          <w:szCs w:val="20"/>
        </w:rPr>
      </w:pPr>
    </w:p>
    <w:p w:rsidR="000430B5" w:rsidRPr="00FA3856" w:rsidRDefault="000430B5" w:rsidP="00D8594F">
      <w:pPr>
        <w:ind w:firstLine="708"/>
        <w:jc w:val="both"/>
        <w:rPr>
          <w:bCs/>
          <w:szCs w:val="20"/>
        </w:rPr>
      </w:pPr>
      <w:r w:rsidRPr="00FA3856">
        <w:rPr>
          <w:bCs/>
          <w:szCs w:val="20"/>
        </w:rPr>
        <w:t>São consideradas transações de mesma natureza aquelas cujos bens, serviços ou direitos negociados apresentem as mesmas especificações no campo "Descrição".</w:t>
      </w:r>
    </w:p>
    <w:p w:rsidR="00D8594F" w:rsidRPr="00FA3856" w:rsidRDefault="00D8594F" w:rsidP="00D8594F">
      <w:pPr>
        <w:ind w:firstLine="708"/>
        <w:jc w:val="both"/>
        <w:rPr>
          <w:bCs/>
          <w:szCs w:val="20"/>
        </w:rPr>
      </w:pPr>
    </w:p>
    <w:p w:rsidR="000430B5" w:rsidRPr="00FA3856" w:rsidRDefault="000430B5" w:rsidP="00D8594F">
      <w:pPr>
        <w:ind w:firstLine="708"/>
        <w:jc w:val="both"/>
        <w:rPr>
          <w:bCs/>
          <w:szCs w:val="20"/>
        </w:rPr>
      </w:pPr>
      <w:r w:rsidRPr="00FA3856">
        <w:rPr>
          <w:bCs/>
          <w:szCs w:val="20"/>
        </w:rPr>
        <w:t xml:space="preserve">Para cada tipo de operação (bens, serviços, direitos, financeiras ou "não especificadas") declarada </w:t>
      </w:r>
      <w:r w:rsidR="00D8594F" w:rsidRPr="00FA3856">
        <w:rPr>
          <w:bCs/>
          <w:szCs w:val="20"/>
        </w:rPr>
        <w:t>neste registro</w:t>
      </w:r>
      <w:r w:rsidRPr="00FA3856">
        <w:rPr>
          <w:bCs/>
          <w:szCs w:val="20"/>
        </w:rPr>
        <w:t xml:space="preserve">, a pessoa jurídica deve informar </w:t>
      </w:r>
      <w:r w:rsidR="00D8594F" w:rsidRPr="00FA3856">
        <w:rPr>
          <w:bCs/>
          <w:szCs w:val="20"/>
        </w:rPr>
        <w:t>no registro X310 – “</w:t>
      </w:r>
      <w:r w:rsidRPr="00FA3856">
        <w:rPr>
          <w:bCs/>
          <w:szCs w:val="20"/>
        </w:rPr>
        <w:t>Operações com o Exterior Contratantes das Exportações" - os contratantes no exterior, por ordem decrescente do "Valor da Operação".</w:t>
      </w:r>
    </w:p>
    <w:p w:rsidR="00D8594F" w:rsidRPr="00FA3856" w:rsidRDefault="00D8594F" w:rsidP="00D8594F">
      <w:pPr>
        <w:ind w:firstLine="708"/>
        <w:jc w:val="both"/>
        <w:rPr>
          <w:bCs/>
          <w:szCs w:val="20"/>
        </w:rPr>
      </w:pPr>
    </w:p>
    <w:p w:rsidR="000430B5" w:rsidRPr="00FA3856" w:rsidRDefault="000430B5" w:rsidP="00D8594F">
      <w:pPr>
        <w:ind w:firstLine="708"/>
        <w:jc w:val="both"/>
        <w:rPr>
          <w:bCs/>
          <w:szCs w:val="20"/>
        </w:rPr>
      </w:pPr>
      <w:r w:rsidRPr="00FA3856">
        <w:rPr>
          <w:bCs/>
          <w:szCs w:val="20"/>
        </w:rPr>
        <w:t>O campo "Exportações" é habilitado para que se selecione o tipo de transação ou conjunto de transações a serem incluídas.</w:t>
      </w:r>
    </w:p>
    <w:p w:rsidR="00D8594F" w:rsidRPr="00FA3856" w:rsidRDefault="00D8594F" w:rsidP="00D8594F">
      <w:pPr>
        <w:ind w:firstLine="708"/>
        <w:jc w:val="both"/>
        <w:rPr>
          <w:bCs/>
          <w:szCs w:val="20"/>
        </w:rPr>
      </w:pPr>
    </w:p>
    <w:p w:rsidR="000430B5" w:rsidRPr="00FA3856" w:rsidRDefault="000430B5" w:rsidP="00D8594F">
      <w:pPr>
        <w:ind w:firstLine="708"/>
        <w:jc w:val="both"/>
        <w:rPr>
          <w:bCs/>
          <w:szCs w:val="20"/>
        </w:rPr>
      </w:pPr>
      <w:r w:rsidRPr="00FA3856">
        <w:rPr>
          <w:bCs/>
          <w:szCs w:val="20"/>
        </w:rPr>
        <w:t>Os campos "Código NCM", "Quantidade" e "Unidade de Medida" somente são habilitados para informar exportação de "Bens".</w:t>
      </w:r>
    </w:p>
    <w:p w:rsidR="00D8594F" w:rsidRPr="00FA3856" w:rsidRDefault="00D8594F" w:rsidP="00D8594F">
      <w:pPr>
        <w:ind w:firstLine="708"/>
        <w:jc w:val="both"/>
        <w:rPr>
          <w:bCs/>
          <w:szCs w:val="20"/>
        </w:rPr>
      </w:pPr>
    </w:p>
    <w:p w:rsidR="000430B5" w:rsidRPr="00FA3856" w:rsidRDefault="000430B5" w:rsidP="00D8594F">
      <w:pPr>
        <w:ind w:firstLine="708"/>
        <w:jc w:val="both"/>
        <w:rPr>
          <w:bCs/>
          <w:szCs w:val="20"/>
        </w:rPr>
      </w:pPr>
      <w:r w:rsidRPr="00FA3856">
        <w:rPr>
          <w:bCs/>
          <w:szCs w:val="20"/>
        </w:rPr>
        <w:t>Quando se tratar de "Operações Financeiras", somente são habilitados os campos "Valor do Ajuste", "Juros", "Taxa Juros Mínima", "Taxa Juros Máxima", "Código CNC" e "Moeda", independentemente da natureza da pessoa jurídica.</w:t>
      </w:r>
    </w:p>
    <w:p w:rsidR="00D8594F" w:rsidRPr="00FA3856" w:rsidRDefault="00D8594F" w:rsidP="00D8594F">
      <w:pPr>
        <w:ind w:firstLine="708"/>
        <w:jc w:val="both"/>
        <w:rPr>
          <w:bCs/>
          <w:szCs w:val="20"/>
        </w:rPr>
      </w:pPr>
    </w:p>
    <w:p w:rsidR="000430B5" w:rsidRPr="00FA3856" w:rsidRDefault="000430B5" w:rsidP="00D8594F">
      <w:pPr>
        <w:ind w:firstLine="708"/>
        <w:jc w:val="both"/>
        <w:rPr>
          <w:bCs/>
          <w:szCs w:val="20"/>
        </w:rPr>
      </w:pPr>
      <w:r w:rsidRPr="00FA3856">
        <w:rPr>
          <w:bCs/>
          <w:szCs w:val="20"/>
        </w:rPr>
        <w:t>Os campos "Total da Operação", "Descrição", "Código NCM", "Quantidade", "Unidade de Medida", "Método", "Preço Parâmetro" e "Preço Praticado" não são habilitados quando selecionada a opção "Operações Financeiras".</w:t>
      </w:r>
    </w:p>
    <w:p w:rsidR="00D8594F" w:rsidRPr="00FA3856" w:rsidRDefault="00D8594F" w:rsidP="00D8594F">
      <w:pPr>
        <w:ind w:firstLine="708"/>
        <w:jc w:val="both"/>
        <w:rPr>
          <w:bCs/>
          <w:szCs w:val="20"/>
        </w:rPr>
      </w:pPr>
    </w:p>
    <w:p w:rsidR="000430B5" w:rsidRPr="00FA3856" w:rsidRDefault="000430B5" w:rsidP="00D8594F">
      <w:pPr>
        <w:ind w:firstLine="708"/>
        <w:jc w:val="both"/>
        <w:rPr>
          <w:bCs/>
          <w:szCs w:val="20"/>
        </w:rPr>
      </w:pPr>
      <w:r w:rsidRPr="00FA3856">
        <w:rPr>
          <w:bCs/>
          <w:szCs w:val="20"/>
        </w:rPr>
        <w:t xml:space="preserve">Quando se tratar de operação "Não Especificadas", somente são habilitados os campos "Total da Operação" e "Valor do Ajuste". </w:t>
      </w:r>
    </w:p>
    <w:p w:rsidR="00BC63D3" w:rsidRPr="00FA3856" w:rsidRDefault="00BC63D3" w:rsidP="00D8594F">
      <w:pPr>
        <w:ind w:firstLine="708"/>
        <w:jc w:val="both"/>
        <w:rPr>
          <w:bCs/>
          <w:szCs w:val="20"/>
        </w:rPr>
      </w:pPr>
    </w:p>
    <w:p w:rsidR="00BC63D3" w:rsidRPr="00FA3856" w:rsidRDefault="00BC63D3" w:rsidP="00D8594F">
      <w:pPr>
        <w:ind w:firstLine="708"/>
        <w:jc w:val="both"/>
        <w:rPr>
          <w:bCs/>
          <w:szCs w:val="20"/>
        </w:rPr>
      </w:pPr>
    </w:p>
    <w:p w:rsidR="00BC63D3" w:rsidRPr="00FA3856" w:rsidRDefault="00BC63D3" w:rsidP="00D8594F">
      <w:pPr>
        <w:ind w:firstLine="708"/>
        <w:jc w:val="both"/>
        <w:rPr>
          <w:bCs/>
          <w:szCs w:val="20"/>
        </w:rPr>
      </w:pPr>
    </w:p>
    <w:p w:rsidR="00BC63D3" w:rsidRPr="00FA3856" w:rsidRDefault="00BC63D3" w:rsidP="00D8594F">
      <w:pPr>
        <w:ind w:firstLine="708"/>
        <w:jc w:val="both"/>
        <w:rPr>
          <w:bCs/>
          <w:szCs w:val="20"/>
        </w:rPr>
      </w:pPr>
    </w:p>
    <w:p w:rsidR="00BC63D3" w:rsidRPr="00FA3856" w:rsidRDefault="00BC63D3" w:rsidP="00D8594F">
      <w:pPr>
        <w:ind w:firstLine="708"/>
        <w:jc w:val="both"/>
        <w:rPr>
          <w:bCs/>
          <w:szCs w:val="20"/>
        </w:rPr>
      </w:pPr>
    </w:p>
    <w:p w:rsidR="00BC63D3" w:rsidRPr="00FA3856" w:rsidRDefault="00BC63D3" w:rsidP="00D8594F">
      <w:pPr>
        <w:ind w:firstLine="708"/>
        <w:jc w:val="both"/>
        <w:rPr>
          <w:bCs/>
          <w:szCs w:val="20"/>
        </w:rPr>
      </w:pPr>
    </w:p>
    <w:p w:rsidR="00BC63D3" w:rsidRPr="00FA3856" w:rsidRDefault="00BC63D3" w:rsidP="00D8594F">
      <w:pPr>
        <w:ind w:firstLine="708"/>
        <w:jc w:val="both"/>
        <w:rPr>
          <w:bCs/>
          <w:szCs w:val="20"/>
        </w:rPr>
      </w:pPr>
    </w:p>
    <w:p w:rsidR="00BC63D3" w:rsidRPr="00FA3856" w:rsidRDefault="00BC63D3" w:rsidP="00D8594F">
      <w:pPr>
        <w:ind w:firstLine="708"/>
        <w:jc w:val="both"/>
        <w:rPr>
          <w:bCs/>
          <w:szCs w:val="20"/>
        </w:rPr>
      </w:pPr>
    </w:p>
    <w:p w:rsidR="00BC63D3" w:rsidRPr="00FA3856" w:rsidRDefault="00BC63D3" w:rsidP="00D8594F">
      <w:pPr>
        <w:ind w:firstLine="708"/>
        <w:jc w:val="both"/>
        <w:rPr>
          <w:bCs/>
          <w:szCs w:val="20"/>
        </w:rPr>
      </w:pPr>
    </w:p>
    <w:p w:rsidR="00BC63D3" w:rsidRPr="00FA3856" w:rsidRDefault="00BC63D3" w:rsidP="00D8594F">
      <w:pPr>
        <w:ind w:firstLine="708"/>
        <w:jc w:val="both"/>
        <w:rPr>
          <w:bCs/>
          <w:szCs w:val="20"/>
        </w:rPr>
      </w:pPr>
    </w:p>
    <w:p w:rsidR="00BC63D3" w:rsidRPr="00FA3856" w:rsidRDefault="00BC63D3" w:rsidP="00D8594F">
      <w:pPr>
        <w:ind w:firstLine="708"/>
        <w:jc w:val="both"/>
        <w:rPr>
          <w:bCs/>
          <w:szCs w:val="20"/>
        </w:rPr>
      </w:pPr>
    </w:p>
    <w:p w:rsidR="00BC63D3" w:rsidRPr="00FA3856" w:rsidRDefault="00BC63D3" w:rsidP="00D8594F">
      <w:pPr>
        <w:ind w:firstLine="708"/>
        <w:jc w:val="both"/>
        <w:rPr>
          <w:bCs/>
          <w:szCs w:val="20"/>
        </w:rPr>
      </w:pPr>
    </w:p>
    <w:p w:rsidR="000430B5" w:rsidRPr="00FA3856" w:rsidRDefault="000430B5" w:rsidP="00D8594F">
      <w:pPr>
        <w:ind w:firstLine="708"/>
        <w:jc w:val="both"/>
        <w:rPr>
          <w:bCs/>
          <w:szCs w:val="20"/>
        </w:rPr>
      </w:pPr>
      <w:r w:rsidRPr="00FA3856">
        <w:rPr>
          <w:b/>
          <w:bCs/>
          <w:szCs w:val="20"/>
        </w:rPr>
        <w:lastRenderedPageBreak/>
        <w:t>Exemplo</w:t>
      </w:r>
      <w:r w:rsidRPr="00FA3856">
        <w:rPr>
          <w:bCs/>
          <w:szCs w:val="20"/>
        </w:rPr>
        <w:t>:</w:t>
      </w:r>
      <w:r w:rsidR="00D8594F" w:rsidRPr="00FA3856">
        <w:rPr>
          <w:bCs/>
          <w:szCs w:val="20"/>
        </w:rPr>
        <w:t xml:space="preserve"> </w:t>
      </w:r>
      <w:r w:rsidRPr="00FA3856">
        <w:rPr>
          <w:bCs/>
          <w:szCs w:val="20"/>
        </w:rPr>
        <w:t>A pessoa jurídica efetuou as seguintes operações de exportações/financeiras, no ano-calendário:</w:t>
      </w:r>
    </w:p>
    <w:p w:rsidR="000430B5" w:rsidRPr="00FA3856" w:rsidRDefault="000430B5" w:rsidP="00D8594F">
      <w:pPr>
        <w:ind w:firstLine="708"/>
        <w:jc w:val="both"/>
        <w:rPr>
          <w:bCs/>
          <w:szCs w:val="20"/>
        </w:rPr>
      </w:pPr>
      <w:r w:rsidRPr="00FA3856">
        <w:rPr>
          <w:bCs/>
          <w:szCs w:val="20"/>
        </w:rPr>
        <w:t>Operações Realizadas</w:t>
      </w:r>
    </w:p>
    <w:tbl>
      <w:tblPr>
        <w:tblW w:w="2832" w:type="pct"/>
        <w:tblCellSpacing w:w="0" w:type="dxa"/>
        <w:tblCellMar>
          <w:left w:w="0" w:type="dxa"/>
          <w:right w:w="0" w:type="dxa"/>
        </w:tblCellMar>
        <w:tblLook w:val="04A0" w:firstRow="1" w:lastRow="0" w:firstColumn="1" w:lastColumn="0" w:noHBand="0" w:noVBand="1"/>
      </w:tblPr>
      <w:tblGrid>
        <w:gridCol w:w="1215"/>
        <w:gridCol w:w="5523"/>
        <w:gridCol w:w="2477"/>
      </w:tblGrid>
      <w:tr w:rsidR="000430B5" w:rsidRPr="00FA3856" w:rsidTr="00D8594F">
        <w:trPr>
          <w:tblCellSpacing w:w="0" w:type="dxa"/>
        </w:trPr>
        <w:tc>
          <w:tcPr>
            <w:tcW w:w="659" w:type="pct"/>
            <w:vAlign w:val="center"/>
            <w:hideMark/>
          </w:tcPr>
          <w:p w:rsidR="000430B5" w:rsidRPr="00FA3856" w:rsidRDefault="000430B5" w:rsidP="00D8594F">
            <w:pPr>
              <w:ind w:firstLine="708"/>
              <w:jc w:val="both"/>
              <w:rPr>
                <w:bCs/>
                <w:szCs w:val="20"/>
              </w:rPr>
            </w:pPr>
            <w:r w:rsidRPr="00FA3856">
              <w:rPr>
                <w:bCs/>
                <w:szCs w:val="20"/>
              </w:rPr>
              <w:t xml:space="preserve">Data </w:t>
            </w:r>
          </w:p>
        </w:tc>
        <w:tc>
          <w:tcPr>
            <w:tcW w:w="2997" w:type="pct"/>
            <w:vAlign w:val="center"/>
            <w:hideMark/>
          </w:tcPr>
          <w:p w:rsidR="000430B5" w:rsidRPr="00FA3856" w:rsidRDefault="000430B5" w:rsidP="00D8594F">
            <w:pPr>
              <w:ind w:firstLine="708"/>
              <w:jc w:val="both"/>
              <w:rPr>
                <w:bCs/>
                <w:szCs w:val="20"/>
              </w:rPr>
            </w:pPr>
            <w:r w:rsidRPr="00FA3856">
              <w:rPr>
                <w:bCs/>
                <w:szCs w:val="20"/>
              </w:rPr>
              <w:t xml:space="preserve">Descrição </w:t>
            </w:r>
          </w:p>
        </w:tc>
        <w:tc>
          <w:tcPr>
            <w:tcW w:w="1344" w:type="pct"/>
            <w:vAlign w:val="center"/>
            <w:hideMark/>
          </w:tcPr>
          <w:p w:rsidR="000430B5" w:rsidRPr="00FA3856" w:rsidRDefault="00D8594F" w:rsidP="00D8594F">
            <w:pPr>
              <w:ind w:firstLine="708"/>
              <w:jc w:val="both"/>
              <w:rPr>
                <w:bCs/>
                <w:szCs w:val="20"/>
              </w:rPr>
            </w:pPr>
            <w:r w:rsidRPr="00FA3856">
              <w:rPr>
                <w:bCs/>
                <w:szCs w:val="20"/>
              </w:rPr>
              <w:t xml:space="preserve">Valor em Reais </w:t>
            </w:r>
            <w:r w:rsidR="000430B5" w:rsidRPr="00FA3856">
              <w:rPr>
                <w:bCs/>
                <w:szCs w:val="20"/>
              </w:rPr>
              <w:t>(R$)</w:t>
            </w:r>
          </w:p>
        </w:tc>
      </w:tr>
      <w:tr w:rsidR="000430B5" w:rsidRPr="00FA3856" w:rsidTr="00D8594F">
        <w:trPr>
          <w:tblCellSpacing w:w="0" w:type="dxa"/>
        </w:trPr>
        <w:tc>
          <w:tcPr>
            <w:tcW w:w="659" w:type="pct"/>
            <w:vAlign w:val="center"/>
            <w:hideMark/>
          </w:tcPr>
          <w:p w:rsidR="000430B5" w:rsidRPr="00FA3856" w:rsidRDefault="000430B5" w:rsidP="00D8594F">
            <w:pPr>
              <w:ind w:firstLine="708"/>
              <w:jc w:val="both"/>
              <w:rPr>
                <w:bCs/>
                <w:szCs w:val="20"/>
              </w:rPr>
            </w:pPr>
            <w:r w:rsidRPr="00FA3856">
              <w:rPr>
                <w:bCs/>
                <w:szCs w:val="20"/>
              </w:rPr>
              <w:t xml:space="preserve">20/01 </w:t>
            </w:r>
          </w:p>
        </w:tc>
        <w:tc>
          <w:tcPr>
            <w:tcW w:w="2997" w:type="pct"/>
            <w:vAlign w:val="center"/>
            <w:hideMark/>
          </w:tcPr>
          <w:p w:rsidR="000430B5" w:rsidRPr="00FA3856" w:rsidRDefault="000430B5" w:rsidP="00D8594F">
            <w:pPr>
              <w:ind w:firstLine="708"/>
              <w:jc w:val="both"/>
              <w:rPr>
                <w:bCs/>
                <w:szCs w:val="20"/>
              </w:rPr>
            </w:pPr>
            <w:r w:rsidRPr="00FA3856">
              <w:rPr>
                <w:bCs/>
                <w:szCs w:val="20"/>
              </w:rPr>
              <w:t xml:space="preserve">Automóvel ABC, 2.0 </w:t>
            </w:r>
          </w:p>
        </w:tc>
        <w:tc>
          <w:tcPr>
            <w:tcW w:w="1344" w:type="pct"/>
            <w:vAlign w:val="center"/>
            <w:hideMark/>
          </w:tcPr>
          <w:p w:rsidR="000430B5" w:rsidRPr="00FA3856" w:rsidRDefault="000430B5" w:rsidP="00D8594F">
            <w:pPr>
              <w:ind w:firstLine="708"/>
              <w:jc w:val="both"/>
              <w:rPr>
                <w:bCs/>
                <w:szCs w:val="20"/>
              </w:rPr>
            </w:pPr>
            <w:r w:rsidRPr="00FA3856">
              <w:rPr>
                <w:bCs/>
                <w:szCs w:val="20"/>
              </w:rPr>
              <w:t>2.000.000,00</w:t>
            </w:r>
          </w:p>
        </w:tc>
      </w:tr>
      <w:tr w:rsidR="000430B5" w:rsidRPr="00FA3856" w:rsidTr="00D8594F">
        <w:trPr>
          <w:tblCellSpacing w:w="0" w:type="dxa"/>
        </w:trPr>
        <w:tc>
          <w:tcPr>
            <w:tcW w:w="659" w:type="pct"/>
            <w:vAlign w:val="center"/>
            <w:hideMark/>
          </w:tcPr>
          <w:p w:rsidR="000430B5" w:rsidRPr="00FA3856" w:rsidRDefault="000430B5" w:rsidP="00D8594F">
            <w:pPr>
              <w:ind w:firstLine="708"/>
              <w:jc w:val="both"/>
              <w:rPr>
                <w:bCs/>
                <w:szCs w:val="20"/>
              </w:rPr>
            </w:pPr>
            <w:r w:rsidRPr="00FA3856">
              <w:rPr>
                <w:bCs/>
                <w:szCs w:val="20"/>
              </w:rPr>
              <w:t xml:space="preserve">15/02  </w:t>
            </w:r>
          </w:p>
        </w:tc>
        <w:tc>
          <w:tcPr>
            <w:tcW w:w="2997" w:type="pct"/>
            <w:vAlign w:val="center"/>
            <w:hideMark/>
          </w:tcPr>
          <w:p w:rsidR="000430B5" w:rsidRPr="00FA3856" w:rsidRDefault="000430B5" w:rsidP="00D8594F">
            <w:pPr>
              <w:ind w:firstLine="708"/>
              <w:jc w:val="both"/>
              <w:rPr>
                <w:bCs/>
                <w:szCs w:val="20"/>
              </w:rPr>
            </w:pPr>
            <w:r w:rsidRPr="00FA3856">
              <w:rPr>
                <w:bCs/>
                <w:szCs w:val="20"/>
              </w:rPr>
              <w:t>Juros sobre empréstimos concedidos</w:t>
            </w:r>
          </w:p>
        </w:tc>
        <w:tc>
          <w:tcPr>
            <w:tcW w:w="1344" w:type="pct"/>
            <w:vAlign w:val="center"/>
            <w:hideMark/>
          </w:tcPr>
          <w:p w:rsidR="000430B5" w:rsidRPr="00FA3856" w:rsidRDefault="000430B5" w:rsidP="00D8594F">
            <w:pPr>
              <w:ind w:firstLine="708"/>
              <w:jc w:val="both"/>
              <w:rPr>
                <w:bCs/>
                <w:szCs w:val="20"/>
              </w:rPr>
            </w:pPr>
            <w:r w:rsidRPr="00FA3856">
              <w:rPr>
                <w:bCs/>
                <w:szCs w:val="20"/>
              </w:rPr>
              <w:t>500.000,00</w:t>
            </w:r>
          </w:p>
        </w:tc>
      </w:tr>
      <w:tr w:rsidR="000430B5" w:rsidRPr="00FA3856" w:rsidTr="00D8594F">
        <w:trPr>
          <w:tblCellSpacing w:w="0" w:type="dxa"/>
        </w:trPr>
        <w:tc>
          <w:tcPr>
            <w:tcW w:w="659" w:type="pct"/>
            <w:vAlign w:val="center"/>
            <w:hideMark/>
          </w:tcPr>
          <w:p w:rsidR="000430B5" w:rsidRPr="00FA3856" w:rsidRDefault="000430B5" w:rsidP="00D8594F">
            <w:pPr>
              <w:ind w:firstLine="708"/>
              <w:jc w:val="both"/>
              <w:rPr>
                <w:bCs/>
                <w:szCs w:val="20"/>
              </w:rPr>
            </w:pPr>
            <w:r w:rsidRPr="00FA3856">
              <w:rPr>
                <w:bCs/>
                <w:szCs w:val="20"/>
              </w:rPr>
              <w:t xml:space="preserve">15/03  </w:t>
            </w:r>
          </w:p>
        </w:tc>
        <w:tc>
          <w:tcPr>
            <w:tcW w:w="2997" w:type="pct"/>
            <w:vAlign w:val="center"/>
            <w:hideMark/>
          </w:tcPr>
          <w:p w:rsidR="000430B5" w:rsidRPr="00FA3856" w:rsidRDefault="000430B5" w:rsidP="00D8594F">
            <w:pPr>
              <w:ind w:firstLine="708"/>
              <w:jc w:val="both"/>
              <w:rPr>
                <w:bCs/>
                <w:szCs w:val="20"/>
              </w:rPr>
            </w:pPr>
            <w:r w:rsidRPr="00FA3856">
              <w:rPr>
                <w:bCs/>
                <w:szCs w:val="20"/>
              </w:rPr>
              <w:t>Juros sobre empréstimos concedidos</w:t>
            </w:r>
          </w:p>
        </w:tc>
        <w:tc>
          <w:tcPr>
            <w:tcW w:w="1344" w:type="pct"/>
            <w:vAlign w:val="center"/>
            <w:hideMark/>
          </w:tcPr>
          <w:p w:rsidR="000430B5" w:rsidRPr="00FA3856" w:rsidRDefault="000430B5" w:rsidP="00D8594F">
            <w:pPr>
              <w:ind w:firstLine="708"/>
              <w:jc w:val="both"/>
              <w:rPr>
                <w:bCs/>
                <w:szCs w:val="20"/>
              </w:rPr>
            </w:pPr>
            <w:r w:rsidRPr="00FA3856">
              <w:rPr>
                <w:bCs/>
                <w:szCs w:val="20"/>
              </w:rPr>
              <w:t>500.000,00</w:t>
            </w:r>
          </w:p>
        </w:tc>
      </w:tr>
      <w:tr w:rsidR="000430B5" w:rsidRPr="00FA3856" w:rsidTr="00D8594F">
        <w:trPr>
          <w:tblCellSpacing w:w="0" w:type="dxa"/>
        </w:trPr>
        <w:tc>
          <w:tcPr>
            <w:tcW w:w="659" w:type="pct"/>
            <w:vAlign w:val="center"/>
            <w:hideMark/>
          </w:tcPr>
          <w:p w:rsidR="000430B5" w:rsidRPr="00FA3856" w:rsidRDefault="000430B5" w:rsidP="00D8594F">
            <w:pPr>
              <w:ind w:firstLine="708"/>
              <w:jc w:val="both"/>
              <w:rPr>
                <w:bCs/>
                <w:szCs w:val="20"/>
              </w:rPr>
            </w:pPr>
            <w:r w:rsidRPr="00FA3856">
              <w:rPr>
                <w:bCs/>
                <w:szCs w:val="20"/>
              </w:rPr>
              <w:t xml:space="preserve">18/03 </w:t>
            </w:r>
          </w:p>
        </w:tc>
        <w:tc>
          <w:tcPr>
            <w:tcW w:w="2997" w:type="pct"/>
            <w:vAlign w:val="center"/>
            <w:hideMark/>
          </w:tcPr>
          <w:p w:rsidR="000430B5" w:rsidRPr="00FA3856" w:rsidRDefault="000430B5" w:rsidP="00D8594F">
            <w:pPr>
              <w:ind w:firstLine="708"/>
              <w:jc w:val="both"/>
              <w:rPr>
                <w:bCs/>
                <w:szCs w:val="20"/>
              </w:rPr>
            </w:pPr>
            <w:r w:rsidRPr="00FA3856">
              <w:rPr>
                <w:bCs/>
                <w:szCs w:val="20"/>
              </w:rPr>
              <w:t>Serviços de assistência técnica</w:t>
            </w:r>
          </w:p>
        </w:tc>
        <w:tc>
          <w:tcPr>
            <w:tcW w:w="1344" w:type="pct"/>
            <w:vAlign w:val="center"/>
            <w:hideMark/>
          </w:tcPr>
          <w:p w:rsidR="000430B5" w:rsidRPr="00FA3856" w:rsidRDefault="000430B5" w:rsidP="00D8594F">
            <w:pPr>
              <w:ind w:firstLine="708"/>
              <w:jc w:val="both"/>
              <w:rPr>
                <w:bCs/>
                <w:szCs w:val="20"/>
              </w:rPr>
            </w:pPr>
            <w:r w:rsidRPr="00FA3856">
              <w:rPr>
                <w:bCs/>
                <w:szCs w:val="20"/>
              </w:rPr>
              <w:t>1.000.000,00</w:t>
            </w:r>
          </w:p>
        </w:tc>
      </w:tr>
      <w:tr w:rsidR="000430B5" w:rsidRPr="00FA3856" w:rsidTr="00D8594F">
        <w:trPr>
          <w:tblCellSpacing w:w="0" w:type="dxa"/>
        </w:trPr>
        <w:tc>
          <w:tcPr>
            <w:tcW w:w="659" w:type="pct"/>
            <w:vAlign w:val="center"/>
            <w:hideMark/>
          </w:tcPr>
          <w:p w:rsidR="000430B5" w:rsidRPr="00FA3856" w:rsidRDefault="000430B5" w:rsidP="00D8594F">
            <w:pPr>
              <w:ind w:firstLine="708"/>
              <w:jc w:val="both"/>
              <w:rPr>
                <w:bCs/>
                <w:szCs w:val="20"/>
              </w:rPr>
            </w:pPr>
            <w:r w:rsidRPr="00FA3856">
              <w:rPr>
                <w:bCs/>
                <w:szCs w:val="20"/>
              </w:rPr>
              <w:t xml:space="preserve">25/03  </w:t>
            </w:r>
          </w:p>
        </w:tc>
        <w:tc>
          <w:tcPr>
            <w:tcW w:w="2997" w:type="pct"/>
            <w:vAlign w:val="center"/>
            <w:hideMark/>
          </w:tcPr>
          <w:p w:rsidR="000430B5" w:rsidRPr="00FA3856" w:rsidRDefault="000430B5" w:rsidP="00D8594F">
            <w:pPr>
              <w:ind w:firstLine="708"/>
              <w:jc w:val="both"/>
              <w:rPr>
                <w:bCs/>
                <w:szCs w:val="20"/>
              </w:rPr>
            </w:pPr>
            <w:r w:rsidRPr="00FA3856">
              <w:rPr>
                <w:bCs/>
                <w:szCs w:val="20"/>
              </w:rPr>
              <w:t>Automóvel ABC, 2.0</w:t>
            </w:r>
          </w:p>
        </w:tc>
        <w:tc>
          <w:tcPr>
            <w:tcW w:w="1344" w:type="pct"/>
            <w:vAlign w:val="center"/>
            <w:hideMark/>
          </w:tcPr>
          <w:p w:rsidR="000430B5" w:rsidRPr="00FA3856" w:rsidRDefault="000430B5" w:rsidP="00D8594F">
            <w:pPr>
              <w:ind w:firstLine="708"/>
              <w:jc w:val="both"/>
              <w:rPr>
                <w:bCs/>
                <w:szCs w:val="20"/>
              </w:rPr>
            </w:pPr>
            <w:r w:rsidRPr="00FA3856">
              <w:rPr>
                <w:bCs/>
                <w:szCs w:val="20"/>
              </w:rPr>
              <w:t>600.000,00</w:t>
            </w:r>
          </w:p>
        </w:tc>
      </w:tr>
      <w:tr w:rsidR="000430B5" w:rsidRPr="00FA3856" w:rsidTr="00D8594F">
        <w:trPr>
          <w:tblCellSpacing w:w="0" w:type="dxa"/>
        </w:trPr>
        <w:tc>
          <w:tcPr>
            <w:tcW w:w="659" w:type="pct"/>
            <w:vAlign w:val="center"/>
            <w:hideMark/>
          </w:tcPr>
          <w:p w:rsidR="000430B5" w:rsidRPr="00FA3856" w:rsidRDefault="000430B5" w:rsidP="00D8594F">
            <w:pPr>
              <w:ind w:firstLine="708"/>
              <w:jc w:val="both"/>
              <w:rPr>
                <w:bCs/>
                <w:szCs w:val="20"/>
              </w:rPr>
            </w:pPr>
            <w:r w:rsidRPr="00FA3856">
              <w:rPr>
                <w:bCs/>
                <w:szCs w:val="20"/>
              </w:rPr>
              <w:t xml:space="preserve">15/04  </w:t>
            </w:r>
          </w:p>
        </w:tc>
        <w:tc>
          <w:tcPr>
            <w:tcW w:w="2997" w:type="pct"/>
            <w:vAlign w:val="center"/>
            <w:hideMark/>
          </w:tcPr>
          <w:p w:rsidR="000430B5" w:rsidRPr="00FA3856" w:rsidRDefault="000430B5" w:rsidP="00D8594F">
            <w:pPr>
              <w:ind w:firstLine="708"/>
              <w:jc w:val="both"/>
              <w:rPr>
                <w:bCs/>
                <w:szCs w:val="20"/>
              </w:rPr>
            </w:pPr>
            <w:r w:rsidRPr="00FA3856">
              <w:rPr>
                <w:bCs/>
                <w:szCs w:val="20"/>
              </w:rPr>
              <w:t>Juros sobre empréstimos concedidos</w:t>
            </w:r>
          </w:p>
        </w:tc>
        <w:tc>
          <w:tcPr>
            <w:tcW w:w="1344" w:type="pct"/>
            <w:vAlign w:val="center"/>
            <w:hideMark/>
          </w:tcPr>
          <w:p w:rsidR="000430B5" w:rsidRPr="00FA3856" w:rsidRDefault="000430B5" w:rsidP="00D8594F">
            <w:pPr>
              <w:ind w:firstLine="708"/>
              <w:jc w:val="both"/>
              <w:rPr>
                <w:bCs/>
                <w:szCs w:val="20"/>
              </w:rPr>
            </w:pPr>
            <w:r w:rsidRPr="00FA3856">
              <w:rPr>
                <w:bCs/>
                <w:szCs w:val="20"/>
              </w:rPr>
              <w:t>500.000,00</w:t>
            </w:r>
          </w:p>
        </w:tc>
      </w:tr>
      <w:tr w:rsidR="000430B5" w:rsidRPr="00FA3856" w:rsidTr="00D8594F">
        <w:trPr>
          <w:tblCellSpacing w:w="0" w:type="dxa"/>
        </w:trPr>
        <w:tc>
          <w:tcPr>
            <w:tcW w:w="659" w:type="pct"/>
            <w:vAlign w:val="center"/>
            <w:hideMark/>
          </w:tcPr>
          <w:p w:rsidR="000430B5" w:rsidRPr="00FA3856" w:rsidRDefault="000430B5" w:rsidP="00D8594F">
            <w:pPr>
              <w:ind w:firstLine="708"/>
              <w:jc w:val="both"/>
              <w:rPr>
                <w:bCs/>
                <w:szCs w:val="20"/>
              </w:rPr>
            </w:pPr>
            <w:r w:rsidRPr="00FA3856">
              <w:rPr>
                <w:bCs/>
                <w:szCs w:val="20"/>
              </w:rPr>
              <w:t xml:space="preserve">26/04  </w:t>
            </w:r>
          </w:p>
        </w:tc>
        <w:tc>
          <w:tcPr>
            <w:tcW w:w="2997" w:type="pct"/>
            <w:vAlign w:val="center"/>
            <w:hideMark/>
          </w:tcPr>
          <w:p w:rsidR="000430B5" w:rsidRPr="00FA3856" w:rsidRDefault="000430B5" w:rsidP="00D8594F">
            <w:pPr>
              <w:ind w:firstLine="708"/>
              <w:jc w:val="both"/>
              <w:rPr>
                <w:bCs/>
                <w:szCs w:val="20"/>
              </w:rPr>
            </w:pPr>
            <w:r w:rsidRPr="00FA3856">
              <w:rPr>
                <w:bCs/>
                <w:szCs w:val="20"/>
              </w:rPr>
              <w:t>Serviços de propaganda e publicidade</w:t>
            </w:r>
          </w:p>
        </w:tc>
        <w:tc>
          <w:tcPr>
            <w:tcW w:w="1344" w:type="pct"/>
            <w:vAlign w:val="center"/>
            <w:hideMark/>
          </w:tcPr>
          <w:p w:rsidR="000430B5" w:rsidRPr="00FA3856" w:rsidRDefault="000430B5" w:rsidP="00D8594F">
            <w:pPr>
              <w:ind w:firstLine="708"/>
              <w:jc w:val="both"/>
              <w:rPr>
                <w:bCs/>
                <w:szCs w:val="20"/>
              </w:rPr>
            </w:pPr>
            <w:r w:rsidRPr="00FA3856">
              <w:rPr>
                <w:bCs/>
                <w:szCs w:val="20"/>
              </w:rPr>
              <w:t>500.000,00</w:t>
            </w:r>
          </w:p>
        </w:tc>
      </w:tr>
      <w:tr w:rsidR="000430B5" w:rsidRPr="00FA3856" w:rsidTr="00D8594F">
        <w:trPr>
          <w:tblCellSpacing w:w="0" w:type="dxa"/>
        </w:trPr>
        <w:tc>
          <w:tcPr>
            <w:tcW w:w="659" w:type="pct"/>
            <w:vAlign w:val="center"/>
            <w:hideMark/>
          </w:tcPr>
          <w:p w:rsidR="000430B5" w:rsidRPr="00FA3856" w:rsidRDefault="000430B5" w:rsidP="00D8594F">
            <w:pPr>
              <w:ind w:firstLine="708"/>
              <w:jc w:val="both"/>
              <w:rPr>
                <w:bCs/>
                <w:szCs w:val="20"/>
              </w:rPr>
            </w:pPr>
            <w:r w:rsidRPr="00FA3856">
              <w:rPr>
                <w:bCs/>
                <w:szCs w:val="20"/>
              </w:rPr>
              <w:t xml:space="preserve">27/04 </w:t>
            </w:r>
          </w:p>
        </w:tc>
        <w:tc>
          <w:tcPr>
            <w:tcW w:w="2997" w:type="pct"/>
            <w:vAlign w:val="center"/>
            <w:hideMark/>
          </w:tcPr>
          <w:p w:rsidR="000430B5" w:rsidRPr="00FA3856" w:rsidRDefault="000430B5" w:rsidP="00D8594F">
            <w:pPr>
              <w:ind w:firstLine="708"/>
              <w:jc w:val="both"/>
              <w:rPr>
                <w:bCs/>
                <w:szCs w:val="20"/>
              </w:rPr>
            </w:pPr>
            <w:r w:rsidRPr="00FA3856">
              <w:rPr>
                <w:bCs/>
                <w:szCs w:val="20"/>
              </w:rPr>
              <w:t xml:space="preserve">Direitos de exploração de minérios </w:t>
            </w:r>
          </w:p>
        </w:tc>
        <w:tc>
          <w:tcPr>
            <w:tcW w:w="1344" w:type="pct"/>
            <w:vAlign w:val="center"/>
            <w:hideMark/>
          </w:tcPr>
          <w:p w:rsidR="000430B5" w:rsidRPr="00FA3856" w:rsidRDefault="000430B5" w:rsidP="00D8594F">
            <w:pPr>
              <w:ind w:firstLine="708"/>
              <w:jc w:val="both"/>
              <w:rPr>
                <w:bCs/>
                <w:szCs w:val="20"/>
              </w:rPr>
            </w:pPr>
            <w:r w:rsidRPr="00FA3856">
              <w:rPr>
                <w:bCs/>
                <w:szCs w:val="20"/>
              </w:rPr>
              <w:t>450.000,00</w:t>
            </w:r>
          </w:p>
        </w:tc>
      </w:tr>
      <w:tr w:rsidR="000430B5" w:rsidRPr="00FA3856" w:rsidTr="00D8594F">
        <w:trPr>
          <w:tblCellSpacing w:w="0" w:type="dxa"/>
        </w:trPr>
        <w:tc>
          <w:tcPr>
            <w:tcW w:w="659" w:type="pct"/>
            <w:vAlign w:val="center"/>
            <w:hideMark/>
          </w:tcPr>
          <w:p w:rsidR="000430B5" w:rsidRPr="00FA3856" w:rsidRDefault="000430B5" w:rsidP="00D8594F">
            <w:pPr>
              <w:ind w:firstLine="708"/>
              <w:jc w:val="both"/>
              <w:rPr>
                <w:bCs/>
                <w:szCs w:val="20"/>
              </w:rPr>
            </w:pPr>
            <w:r w:rsidRPr="00FA3856">
              <w:rPr>
                <w:bCs/>
                <w:szCs w:val="20"/>
              </w:rPr>
              <w:t xml:space="preserve">15/11 </w:t>
            </w:r>
          </w:p>
        </w:tc>
        <w:tc>
          <w:tcPr>
            <w:tcW w:w="2997" w:type="pct"/>
            <w:vAlign w:val="center"/>
            <w:hideMark/>
          </w:tcPr>
          <w:p w:rsidR="000430B5" w:rsidRPr="00FA3856" w:rsidRDefault="000430B5" w:rsidP="00D8594F">
            <w:pPr>
              <w:ind w:firstLine="708"/>
              <w:jc w:val="both"/>
              <w:rPr>
                <w:bCs/>
                <w:szCs w:val="20"/>
              </w:rPr>
            </w:pPr>
            <w:r w:rsidRPr="00FA3856">
              <w:rPr>
                <w:bCs/>
                <w:szCs w:val="20"/>
              </w:rPr>
              <w:t xml:space="preserve">Automóvel ABC, 1.6 </w:t>
            </w:r>
          </w:p>
        </w:tc>
        <w:tc>
          <w:tcPr>
            <w:tcW w:w="1344" w:type="pct"/>
            <w:vAlign w:val="center"/>
            <w:hideMark/>
          </w:tcPr>
          <w:p w:rsidR="000430B5" w:rsidRPr="00FA3856" w:rsidRDefault="000430B5" w:rsidP="00D8594F">
            <w:pPr>
              <w:ind w:firstLine="708"/>
              <w:jc w:val="both"/>
              <w:rPr>
                <w:bCs/>
                <w:szCs w:val="20"/>
              </w:rPr>
            </w:pPr>
            <w:r w:rsidRPr="00FA3856">
              <w:rPr>
                <w:bCs/>
                <w:szCs w:val="20"/>
              </w:rPr>
              <w:t>900.000,00</w:t>
            </w:r>
          </w:p>
        </w:tc>
      </w:tr>
      <w:tr w:rsidR="000430B5" w:rsidRPr="00FA3856" w:rsidTr="00D8594F">
        <w:trPr>
          <w:tblCellSpacing w:w="0" w:type="dxa"/>
        </w:trPr>
        <w:tc>
          <w:tcPr>
            <w:tcW w:w="659" w:type="pct"/>
            <w:vAlign w:val="center"/>
            <w:hideMark/>
          </w:tcPr>
          <w:p w:rsidR="000430B5" w:rsidRPr="00FA3856" w:rsidRDefault="000430B5" w:rsidP="00D8594F">
            <w:pPr>
              <w:ind w:firstLine="708"/>
              <w:jc w:val="both"/>
              <w:rPr>
                <w:bCs/>
                <w:szCs w:val="20"/>
              </w:rPr>
            </w:pPr>
            <w:r w:rsidRPr="00FA3856">
              <w:rPr>
                <w:bCs/>
                <w:szCs w:val="20"/>
              </w:rPr>
              <w:t xml:space="preserve">15/11 </w:t>
            </w:r>
          </w:p>
        </w:tc>
        <w:tc>
          <w:tcPr>
            <w:tcW w:w="2997" w:type="pct"/>
            <w:vAlign w:val="center"/>
            <w:hideMark/>
          </w:tcPr>
          <w:p w:rsidR="000430B5" w:rsidRPr="00FA3856" w:rsidRDefault="000430B5" w:rsidP="00D8594F">
            <w:pPr>
              <w:ind w:firstLine="708"/>
              <w:jc w:val="both"/>
              <w:rPr>
                <w:bCs/>
                <w:szCs w:val="20"/>
              </w:rPr>
            </w:pPr>
            <w:r w:rsidRPr="00FA3856">
              <w:rPr>
                <w:bCs/>
                <w:szCs w:val="20"/>
              </w:rPr>
              <w:t xml:space="preserve">Automóvel XYZ, 1.6 </w:t>
            </w:r>
          </w:p>
        </w:tc>
        <w:tc>
          <w:tcPr>
            <w:tcW w:w="1344" w:type="pct"/>
            <w:vAlign w:val="center"/>
            <w:hideMark/>
          </w:tcPr>
          <w:p w:rsidR="000430B5" w:rsidRPr="00FA3856" w:rsidRDefault="000430B5" w:rsidP="00D8594F">
            <w:pPr>
              <w:ind w:firstLine="708"/>
              <w:jc w:val="both"/>
              <w:rPr>
                <w:bCs/>
                <w:szCs w:val="20"/>
              </w:rPr>
            </w:pPr>
            <w:r w:rsidRPr="00FA3856">
              <w:rPr>
                <w:bCs/>
                <w:szCs w:val="20"/>
              </w:rPr>
              <w:t>300.000,00</w:t>
            </w:r>
          </w:p>
        </w:tc>
      </w:tr>
      <w:tr w:rsidR="000430B5" w:rsidRPr="00FA3856" w:rsidTr="00D8594F">
        <w:trPr>
          <w:tblCellSpacing w:w="0" w:type="dxa"/>
        </w:trPr>
        <w:tc>
          <w:tcPr>
            <w:tcW w:w="659" w:type="pct"/>
            <w:vAlign w:val="center"/>
            <w:hideMark/>
          </w:tcPr>
          <w:p w:rsidR="000430B5" w:rsidRPr="00FA3856" w:rsidRDefault="000430B5" w:rsidP="00D8594F">
            <w:pPr>
              <w:ind w:firstLine="708"/>
              <w:jc w:val="both"/>
              <w:rPr>
                <w:bCs/>
                <w:szCs w:val="20"/>
              </w:rPr>
            </w:pPr>
            <w:r w:rsidRPr="00FA3856">
              <w:rPr>
                <w:bCs/>
                <w:szCs w:val="20"/>
              </w:rPr>
              <w:t xml:space="preserve">29/12 </w:t>
            </w:r>
          </w:p>
        </w:tc>
        <w:tc>
          <w:tcPr>
            <w:tcW w:w="2997" w:type="pct"/>
            <w:vAlign w:val="center"/>
            <w:hideMark/>
          </w:tcPr>
          <w:p w:rsidR="000430B5" w:rsidRPr="00FA3856" w:rsidRDefault="000430B5" w:rsidP="00D8594F">
            <w:pPr>
              <w:ind w:firstLine="708"/>
              <w:jc w:val="both"/>
              <w:rPr>
                <w:bCs/>
                <w:szCs w:val="20"/>
              </w:rPr>
            </w:pPr>
            <w:r w:rsidRPr="00FA3856">
              <w:rPr>
                <w:bCs/>
                <w:szCs w:val="20"/>
              </w:rPr>
              <w:t xml:space="preserve">Automóvel XYZ, 1.0 </w:t>
            </w:r>
          </w:p>
        </w:tc>
        <w:tc>
          <w:tcPr>
            <w:tcW w:w="1344" w:type="pct"/>
            <w:vAlign w:val="center"/>
            <w:hideMark/>
          </w:tcPr>
          <w:p w:rsidR="000430B5" w:rsidRPr="00FA3856" w:rsidRDefault="000430B5" w:rsidP="00D8594F">
            <w:pPr>
              <w:ind w:firstLine="708"/>
              <w:jc w:val="both"/>
              <w:rPr>
                <w:bCs/>
                <w:szCs w:val="20"/>
              </w:rPr>
            </w:pPr>
            <w:r w:rsidRPr="00FA3856">
              <w:rPr>
                <w:bCs/>
                <w:szCs w:val="20"/>
              </w:rPr>
              <w:t>150.000,00</w:t>
            </w:r>
          </w:p>
        </w:tc>
      </w:tr>
      <w:tr w:rsidR="000430B5" w:rsidRPr="00FA3856" w:rsidTr="00D8594F">
        <w:trPr>
          <w:tblCellSpacing w:w="0" w:type="dxa"/>
        </w:trPr>
        <w:tc>
          <w:tcPr>
            <w:tcW w:w="659" w:type="pct"/>
            <w:vAlign w:val="center"/>
            <w:hideMark/>
          </w:tcPr>
          <w:p w:rsidR="000430B5" w:rsidRPr="00FA3856" w:rsidRDefault="000430B5" w:rsidP="00D8594F">
            <w:pPr>
              <w:ind w:firstLine="708"/>
              <w:jc w:val="both"/>
              <w:rPr>
                <w:bCs/>
                <w:szCs w:val="20"/>
              </w:rPr>
            </w:pPr>
            <w:r w:rsidRPr="00FA3856">
              <w:rPr>
                <w:bCs/>
                <w:szCs w:val="20"/>
              </w:rPr>
              <w:t xml:space="preserve">29/12 </w:t>
            </w:r>
          </w:p>
        </w:tc>
        <w:tc>
          <w:tcPr>
            <w:tcW w:w="2997" w:type="pct"/>
            <w:vAlign w:val="center"/>
            <w:hideMark/>
          </w:tcPr>
          <w:p w:rsidR="000430B5" w:rsidRPr="00FA3856" w:rsidRDefault="00DF20F8" w:rsidP="00D8594F">
            <w:pPr>
              <w:ind w:firstLine="708"/>
              <w:jc w:val="both"/>
              <w:rPr>
                <w:bCs/>
                <w:szCs w:val="20"/>
              </w:rPr>
            </w:pPr>
            <w:r w:rsidRPr="00FA3856">
              <w:rPr>
                <w:bCs/>
                <w:szCs w:val="20"/>
              </w:rPr>
              <w:t>Para-choque</w:t>
            </w:r>
            <w:r w:rsidR="000430B5" w:rsidRPr="00FA3856">
              <w:rPr>
                <w:bCs/>
                <w:szCs w:val="20"/>
              </w:rPr>
              <w:t xml:space="preserve"> do automóvel ABC, 2.0 </w:t>
            </w:r>
          </w:p>
        </w:tc>
        <w:tc>
          <w:tcPr>
            <w:tcW w:w="1344" w:type="pct"/>
            <w:vAlign w:val="center"/>
            <w:hideMark/>
          </w:tcPr>
          <w:p w:rsidR="000430B5" w:rsidRPr="00FA3856" w:rsidRDefault="000430B5" w:rsidP="00D8594F">
            <w:pPr>
              <w:ind w:firstLine="708"/>
              <w:jc w:val="both"/>
              <w:rPr>
                <w:bCs/>
                <w:szCs w:val="20"/>
              </w:rPr>
            </w:pPr>
            <w:r w:rsidRPr="00FA3856">
              <w:rPr>
                <w:bCs/>
                <w:szCs w:val="20"/>
              </w:rPr>
              <w:t>200.000,00</w:t>
            </w:r>
          </w:p>
        </w:tc>
      </w:tr>
      <w:tr w:rsidR="000430B5" w:rsidRPr="00FA3856" w:rsidTr="00D8594F">
        <w:trPr>
          <w:tblCellSpacing w:w="0" w:type="dxa"/>
        </w:trPr>
        <w:tc>
          <w:tcPr>
            <w:tcW w:w="659" w:type="pct"/>
            <w:vAlign w:val="center"/>
            <w:hideMark/>
          </w:tcPr>
          <w:p w:rsidR="000430B5" w:rsidRPr="00FA3856" w:rsidRDefault="000430B5" w:rsidP="00D8594F">
            <w:pPr>
              <w:ind w:firstLine="708"/>
              <w:jc w:val="both"/>
              <w:rPr>
                <w:bCs/>
                <w:szCs w:val="20"/>
              </w:rPr>
            </w:pPr>
            <w:r w:rsidRPr="00FA3856">
              <w:rPr>
                <w:bCs/>
                <w:szCs w:val="20"/>
              </w:rPr>
              <w:t xml:space="preserve">29/12 </w:t>
            </w:r>
          </w:p>
        </w:tc>
        <w:tc>
          <w:tcPr>
            <w:tcW w:w="2997" w:type="pct"/>
            <w:vAlign w:val="center"/>
            <w:hideMark/>
          </w:tcPr>
          <w:p w:rsidR="000430B5" w:rsidRPr="00FA3856" w:rsidRDefault="000430B5" w:rsidP="00D8594F">
            <w:pPr>
              <w:ind w:firstLine="708"/>
              <w:jc w:val="both"/>
              <w:rPr>
                <w:bCs/>
                <w:szCs w:val="20"/>
              </w:rPr>
            </w:pPr>
            <w:r w:rsidRPr="00FA3856">
              <w:rPr>
                <w:bCs/>
                <w:szCs w:val="20"/>
              </w:rPr>
              <w:t xml:space="preserve">Vidro do automóvel ABC, 2.0 </w:t>
            </w:r>
          </w:p>
        </w:tc>
        <w:tc>
          <w:tcPr>
            <w:tcW w:w="1344" w:type="pct"/>
            <w:vAlign w:val="center"/>
            <w:hideMark/>
          </w:tcPr>
          <w:p w:rsidR="000430B5" w:rsidRPr="00FA3856" w:rsidRDefault="000430B5" w:rsidP="00D8594F">
            <w:pPr>
              <w:ind w:firstLine="708"/>
              <w:jc w:val="both"/>
              <w:rPr>
                <w:bCs/>
                <w:szCs w:val="20"/>
              </w:rPr>
            </w:pPr>
            <w:r w:rsidRPr="00FA3856">
              <w:rPr>
                <w:bCs/>
                <w:szCs w:val="20"/>
              </w:rPr>
              <w:t>300.000,00</w:t>
            </w:r>
          </w:p>
        </w:tc>
      </w:tr>
      <w:tr w:rsidR="000430B5" w:rsidRPr="00FA3856" w:rsidTr="00D8594F">
        <w:trPr>
          <w:tblCellSpacing w:w="0" w:type="dxa"/>
        </w:trPr>
        <w:tc>
          <w:tcPr>
            <w:tcW w:w="659" w:type="pct"/>
            <w:vAlign w:val="center"/>
            <w:hideMark/>
          </w:tcPr>
          <w:p w:rsidR="000430B5" w:rsidRPr="00FA3856" w:rsidRDefault="000430B5" w:rsidP="00D8594F">
            <w:pPr>
              <w:ind w:firstLine="708"/>
              <w:jc w:val="both"/>
              <w:rPr>
                <w:bCs/>
                <w:szCs w:val="20"/>
              </w:rPr>
            </w:pPr>
            <w:r w:rsidRPr="00FA3856">
              <w:rPr>
                <w:bCs/>
                <w:szCs w:val="20"/>
              </w:rPr>
              <w:t xml:space="preserve">29/12 </w:t>
            </w:r>
          </w:p>
        </w:tc>
        <w:tc>
          <w:tcPr>
            <w:tcW w:w="2997" w:type="pct"/>
            <w:vAlign w:val="center"/>
            <w:hideMark/>
          </w:tcPr>
          <w:p w:rsidR="000430B5" w:rsidRPr="00FA3856" w:rsidRDefault="000430B5" w:rsidP="00D8594F">
            <w:pPr>
              <w:ind w:firstLine="708"/>
              <w:jc w:val="both"/>
              <w:rPr>
                <w:bCs/>
                <w:szCs w:val="20"/>
              </w:rPr>
            </w:pPr>
            <w:r w:rsidRPr="00FA3856">
              <w:rPr>
                <w:bCs/>
                <w:szCs w:val="20"/>
              </w:rPr>
              <w:t xml:space="preserve">Limpador de </w:t>
            </w:r>
            <w:r w:rsidR="00DF20F8" w:rsidRPr="00FA3856">
              <w:rPr>
                <w:bCs/>
                <w:szCs w:val="20"/>
              </w:rPr>
              <w:t>para-brisa</w:t>
            </w:r>
            <w:r w:rsidRPr="00FA3856">
              <w:rPr>
                <w:bCs/>
                <w:szCs w:val="20"/>
              </w:rPr>
              <w:t xml:space="preserve"> do automóvel XYZ, 1.6 </w:t>
            </w:r>
          </w:p>
        </w:tc>
        <w:tc>
          <w:tcPr>
            <w:tcW w:w="1344" w:type="pct"/>
            <w:vAlign w:val="center"/>
            <w:hideMark/>
          </w:tcPr>
          <w:p w:rsidR="000430B5" w:rsidRPr="00FA3856" w:rsidRDefault="000430B5" w:rsidP="00D8594F">
            <w:pPr>
              <w:ind w:firstLine="708"/>
              <w:jc w:val="both"/>
              <w:rPr>
                <w:bCs/>
                <w:szCs w:val="20"/>
              </w:rPr>
            </w:pPr>
            <w:r w:rsidRPr="00FA3856">
              <w:rPr>
                <w:bCs/>
                <w:szCs w:val="20"/>
              </w:rPr>
              <w:t>250.000,00</w:t>
            </w:r>
          </w:p>
        </w:tc>
      </w:tr>
      <w:tr w:rsidR="000430B5" w:rsidRPr="00FA3856" w:rsidTr="00D8594F">
        <w:trPr>
          <w:tblCellSpacing w:w="0" w:type="dxa"/>
        </w:trPr>
        <w:tc>
          <w:tcPr>
            <w:tcW w:w="659" w:type="pct"/>
            <w:vAlign w:val="center"/>
            <w:hideMark/>
          </w:tcPr>
          <w:p w:rsidR="000430B5" w:rsidRPr="00FA3856" w:rsidRDefault="000430B5" w:rsidP="00D8594F">
            <w:pPr>
              <w:ind w:firstLine="708"/>
              <w:jc w:val="both"/>
              <w:rPr>
                <w:bCs/>
                <w:szCs w:val="20"/>
              </w:rPr>
            </w:pPr>
            <w:r w:rsidRPr="00FA3856">
              <w:rPr>
                <w:bCs/>
                <w:szCs w:val="20"/>
              </w:rPr>
              <w:t xml:space="preserve">29/12 </w:t>
            </w:r>
          </w:p>
        </w:tc>
        <w:tc>
          <w:tcPr>
            <w:tcW w:w="2997" w:type="pct"/>
            <w:vAlign w:val="center"/>
            <w:hideMark/>
          </w:tcPr>
          <w:p w:rsidR="000430B5" w:rsidRPr="00FA3856" w:rsidRDefault="000430B5" w:rsidP="00D8594F">
            <w:pPr>
              <w:ind w:firstLine="708"/>
              <w:jc w:val="both"/>
              <w:rPr>
                <w:bCs/>
                <w:szCs w:val="20"/>
              </w:rPr>
            </w:pPr>
            <w:r w:rsidRPr="00FA3856">
              <w:rPr>
                <w:bCs/>
                <w:szCs w:val="20"/>
              </w:rPr>
              <w:t xml:space="preserve">Automóvel XYZ, 1.6 </w:t>
            </w:r>
          </w:p>
        </w:tc>
        <w:tc>
          <w:tcPr>
            <w:tcW w:w="1344" w:type="pct"/>
            <w:vAlign w:val="center"/>
            <w:hideMark/>
          </w:tcPr>
          <w:p w:rsidR="000430B5" w:rsidRPr="00FA3856" w:rsidRDefault="000430B5" w:rsidP="00D8594F">
            <w:pPr>
              <w:ind w:firstLine="708"/>
              <w:jc w:val="both"/>
              <w:rPr>
                <w:bCs/>
                <w:szCs w:val="20"/>
              </w:rPr>
            </w:pPr>
            <w:r w:rsidRPr="00FA3856">
              <w:rPr>
                <w:bCs/>
                <w:szCs w:val="20"/>
              </w:rPr>
              <w:t>120.000,00</w:t>
            </w:r>
          </w:p>
        </w:tc>
      </w:tr>
    </w:tbl>
    <w:p w:rsidR="00BC63D3" w:rsidRPr="00FA3856" w:rsidRDefault="00BC63D3" w:rsidP="00D8594F">
      <w:pPr>
        <w:ind w:firstLine="708"/>
        <w:jc w:val="both"/>
        <w:rPr>
          <w:bCs/>
          <w:szCs w:val="20"/>
        </w:rPr>
      </w:pPr>
    </w:p>
    <w:p w:rsidR="000430B5" w:rsidRPr="00FA3856" w:rsidRDefault="000430B5" w:rsidP="00D8594F">
      <w:pPr>
        <w:ind w:firstLine="708"/>
        <w:jc w:val="both"/>
        <w:rPr>
          <w:bCs/>
          <w:szCs w:val="20"/>
        </w:rPr>
      </w:pPr>
      <w:r w:rsidRPr="00FA3856">
        <w:rPr>
          <w:bCs/>
          <w:szCs w:val="20"/>
        </w:rPr>
        <w:t xml:space="preserve">As operações devem ser incluídas na seguinte </w:t>
      </w:r>
      <w:r w:rsidR="00AE7FBB" w:rsidRPr="00FA3856">
        <w:rPr>
          <w:bCs/>
          <w:szCs w:val="20"/>
        </w:rPr>
        <w:t>sequência</w:t>
      </w:r>
      <w:r w:rsidRPr="00FA3856">
        <w:rPr>
          <w:bCs/>
          <w:szCs w:val="20"/>
        </w:rPr>
        <w:t>:</w:t>
      </w:r>
    </w:p>
    <w:tbl>
      <w:tblPr>
        <w:tblW w:w="3442" w:type="pct"/>
        <w:tblCellSpacing w:w="0" w:type="dxa"/>
        <w:tblCellMar>
          <w:left w:w="0" w:type="dxa"/>
          <w:right w:w="0" w:type="dxa"/>
        </w:tblCellMar>
        <w:tblLook w:val="04A0" w:firstRow="1" w:lastRow="0" w:firstColumn="1" w:lastColumn="0" w:noHBand="0" w:noVBand="1"/>
      </w:tblPr>
      <w:tblGrid>
        <w:gridCol w:w="859"/>
        <w:gridCol w:w="3214"/>
        <w:gridCol w:w="5071"/>
        <w:gridCol w:w="2056"/>
      </w:tblGrid>
      <w:tr w:rsidR="000430B5" w:rsidRPr="00FA3856" w:rsidTr="00D8594F">
        <w:trPr>
          <w:tblCellSpacing w:w="0" w:type="dxa"/>
        </w:trPr>
        <w:tc>
          <w:tcPr>
            <w:tcW w:w="383" w:type="pct"/>
            <w:vAlign w:val="center"/>
            <w:hideMark/>
          </w:tcPr>
          <w:p w:rsidR="000430B5" w:rsidRPr="00FA3856" w:rsidRDefault="000430B5" w:rsidP="00D8594F">
            <w:pPr>
              <w:ind w:firstLine="708"/>
              <w:jc w:val="both"/>
              <w:rPr>
                <w:bCs/>
                <w:szCs w:val="20"/>
              </w:rPr>
            </w:pPr>
            <w:r w:rsidRPr="00FA3856">
              <w:rPr>
                <w:bCs/>
                <w:szCs w:val="20"/>
              </w:rPr>
              <w:t> </w:t>
            </w:r>
          </w:p>
        </w:tc>
        <w:tc>
          <w:tcPr>
            <w:tcW w:w="1435" w:type="pct"/>
            <w:vAlign w:val="center"/>
            <w:hideMark/>
          </w:tcPr>
          <w:p w:rsidR="000430B5" w:rsidRPr="00FA3856" w:rsidRDefault="000430B5" w:rsidP="00D8594F">
            <w:pPr>
              <w:ind w:firstLine="708"/>
              <w:jc w:val="both"/>
              <w:rPr>
                <w:bCs/>
                <w:szCs w:val="20"/>
              </w:rPr>
            </w:pPr>
            <w:r w:rsidRPr="00FA3856">
              <w:rPr>
                <w:bCs/>
                <w:szCs w:val="20"/>
              </w:rPr>
              <w:t xml:space="preserve">Exportação </w:t>
            </w:r>
          </w:p>
        </w:tc>
        <w:tc>
          <w:tcPr>
            <w:tcW w:w="2264" w:type="pct"/>
            <w:vAlign w:val="center"/>
            <w:hideMark/>
          </w:tcPr>
          <w:p w:rsidR="000430B5" w:rsidRPr="00FA3856" w:rsidRDefault="000430B5" w:rsidP="00D8594F">
            <w:pPr>
              <w:ind w:firstLine="708"/>
              <w:jc w:val="both"/>
              <w:rPr>
                <w:bCs/>
                <w:szCs w:val="20"/>
              </w:rPr>
            </w:pPr>
            <w:r w:rsidRPr="00FA3856">
              <w:rPr>
                <w:bCs/>
                <w:szCs w:val="20"/>
              </w:rPr>
              <w:t xml:space="preserve">Descrição: </w:t>
            </w:r>
          </w:p>
        </w:tc>
        <w:tc>
          <w:tcPr>
            <w:tcW w:w="918" w:type="pct"/>
            <w:vAlign w:val="center"/>
            <w:hideMark/>
          </w:tcPr>
          <w:p w:rsidR="000430B5" w:rsidRPr="00FA3856" w:rsidRDefault="000430B5" w:rsidP="00D8594F">
            <w:pPr>
              <w:ind w:firstLine="708"/>
              <w:jc w:val="both"/>
              <w:rPr>
                <w:bCs/>
                <w:szCs w:val="20"/>
              </w:rPr>
            </w:pPr>
            <w:r w:rsidRPr="00FA3856">
              <w:rPr>
                <w:bCs/>
                <w:szCs w:val="20"/>
              </w:rPr>
              <w:t>Valor Total: R$</w:t>
            </w:r>
          </w:p>
        </w:tc>
      </w:tr>
      <w:tr w:rsidR="000430B5" w:rsidRPr="00FA3856" w:rsidTr="00D8594F">
        <w:trPr>
          <w:tblCellSpacing w:w="0" w:type="dxa"/>
        </w:trPr>
        <w:tc>
          <w:tcPr>
            <w:tcW w:w="383" w:type="pct"/>
            <w:vAlign w:val="center"/>
            <w:hideMark/>
          </w:tcPr>
          <w:p w:rsidR="000430B5" w:rsidRPr="00FA3856" w:rsidRDefault="000430B5" w:rsidP="00D8594F">
            <w:pPr>
              <w:ind w:firstLine="708"/>
              <w:jc w:val="both"/>
              <w:rPr>
                <w:bCs/>
                <w:szCs w:val="20"/>
              </w:rPr>
            </w:pPr>
            <w:r w:rsidRPr="00FA3856">
              <w:rPr>
                <w:bCs/>
                <w:szCs w:val="20"/>
              </w:rPr>
              <w:t>1.</w:t>
            </w:r>
          </w:p>
        </w:tc>
        <w:tc>
          <w:tcPr>
            <w:tcW w:w="1435" w:type="pct"/>
            <w:vAlign w:val="center"/>
            <w:hideMark/>
          </w:tcPr>
          <w:p w:rsidR="000430B5" w:rsidRPr="00FA3856" w:rsidRDefault="000430B5" w:rsidP="00D8594F">
            <w:pPr>
              <w:ind w:firstLine="708"/>
              <w:jc w:val="both"/>
              <w:rPr>
                <w:bCs/>
                <w:szCs w:val="20"/>
              </w:rPr>
            </w:pPr>
            <w:r w:rsidRPr="00FA3856">
              <w:rPr>
                <w:bCs/>
                <w:szCs w:val="20"/>
              </w:rPr>
              <w:t xml:space="preserve">Bens   </w:t>
            </w:r>
          </w:p>
        </w:tc>
        <w:tc>
          <w:tcPr>
            <w:tcW w:w="2264" w:type="pct"/>
            <w:vAlign w:val="center"/>
            <w:hideMark/>
          </w:tcPr>
          <w:p w:rsidR="000430B5" w:rsidRPr="00FA3856" w:rsidRDefault="000430B5" w:rsidP="00D8594F">
            <w:pPr>
              <w:ind w:firstLine="708"/>
              <w:jc w:val="both"/>
              <w:rPr>
                <w:bCs/>
                <w:szCs w:val="20"/>
              </w:rPr>
            </w:pPr>
            <w:r w:rsidRPr="00FA3856">
              <w:rPr>
                <w:bCs/>
                <w:szCs w:val="20"/>
              </w:rPr>
              <w:t>Automóvel ABC 2.0</w:t>
            </w:r>
          </w:p>
        </w:tc>
        <w:tc>
          <w:tcPr>
            <w:tcW w:w="918" w:type="pct"/>
            <w:vAlign w:val="center"/>
            <w:hideMark/>
          </w:tcPr>
          <w:p w:rsidR="000430B5" w:rsidRPr="00FA3856" w:rsidRDefault="000430B5" w:rsidP="00D8594F">
            <w:pPr>
              <w:ind w:firstLine="708"/>
              <w:jc w:val="both"/>
              <w:rPr>
                <w:bCs/>
                <w:szCs w:val="20"/>
              </w:rPr>
            </w:pPr>
            <w:r w:rsidRPr="00FA3856">
              <w:rPr>
                <w:bCs/>
                <w:szCs w:val="20"/>
              </w:rPr>
              <w:t>2.600.000,00</w:t>
            </w:r>
          </w:p>
        </w:tc>
      </w:tr>
      <w:tr w:rsidR="000430B5" w:rsidRPr="00FA3856" w:rsidTr="00D8594F">
        <w:trPr>
          <w:tblCellSpacing w:w="0" w:type="dxa"/>
        </w:trPr>
        <w:tc>
          <w:tcPr>
            <w:tcW w:w="383" w:type="pct"/>
            <w:vAlign w:val="center"/>
            <w:hideMark/>
          </w:tcPr>
          <w:p w:rsidR="000430B5" w:rsidRPr="00FA3856" w:rsidRDefault="000430B5" w:rsidP="00D8594F">
            <w:pPr>
              <w:ind w:firstLine="708"/>
              <w:jc w:val="both"/>
              <w:rPr>
                <w:bCs/>
                <w:szCs w:val="20"/>
              </w:rPr>
            </w:pPr>
            <w:r w:rsidRPr="00FA3856">
              <w:rPr>
                <w:bCs/>
                <w:szCs w:val="20"/>
              </w:rPr>
              <w:t>2.</w:t>
            </w:r>
          </w:p>
        </w:tc>
        <w:tc>
          <w:tcPr>
            <w:tcW w:w="1435" w:type="pct"/>
            <w:vAlign w:val="center"/>
            <w:hideMark/>
          </w:tcPr>
          <w:p w:rsidR="000430B5" w:rsidRPr="00FA3856" w:rsidRDefault="000430B5" w:rsidP="00D8594F">
            <w:pPr>
              <w:ind w:firstLine="708"/>
              <w:jc w:val="both"/>
              <w:rPr>
                <w:bCs/>
                <w:szCs w:val="20"/>
              </w:rPr>
            </w:pPr>
            <w:r w:rsidRPr="00FA3856">
              <w:rPr>
                <w:bCs/>
                <w:szCs w:val="20"/>
              </w:rPr>
              <w:t>Operações Financeiras</w:t>
            </w:r>
          </w:p>
        </w:tc>
        <w:tc>
          <w:tcPr>
            <w:tcW w:w="2264" w:type="pct"/>
            <w:vAlign w:val="center"/>
            <w:hideMark/>
          </w:tcPr>
          <w:p w:rsidR="000430B5" w:rsidRPr="00FA3856" w:rsidRDefault="000430B5" w:rsidP="00D8594F">
            <w:pPr>
              <w:ind w:firstLine="708"/>
              <w:jc w:val="both"/>
              <w:rPr>
                <w:bCs/>
                <w:szCs w:val="20"/>
              </w:rPr>
            </w:pPr>
            <w:r w:rsidRPr="00FA3856">
              <w:rPr>
                <w:bCs/>
                <w:szCs w:val="20"/>
              </w:rPr>
              <w:t xml:space="preserve">Juros sobre empréstimos concedidos </w:t>
            </w:r>
          </w:p>
        </w:tc>
        <w:tc>
          <w:tcPr>
            <w:tcW w:w="918" w:type="pct"/>
            <w:vAlign w:val="center"/>
            <w:hideMark/>
          </w:tcPr>
          <w:p w:rsidR="000430B5" w:rsidRPr="00FA3856" w:rsidRDefault="000430B5" w:rsidP="00D8594F">
            <w:pPr>
              <w:ind w:firstLine="708"/>
              <w:jc w:val="both"/>
              <w:rPr>
                <w:bCs/>
                <w:szCs w:val="20"/>
              </w:rPr>
            </w:pPr>
            <w:r w:rsidRPr="00FA3856">
              <w:rPr>
                <w:bCs/>
                <w:szCs w:val="20"/>
              </w:rPr>
              <w:t>1.500.000,00</w:t>
            </w:r>
          </w:p>
        </w:tc>
      </w:tr>
      <w:tr w:rsidR="000430B5" w:rsidRPr="00FA3856" w:rsidTr="00D8594F">
        <w:trPr>
          <w:tblCellSpacing w:w="0" w:type="dxa"/>
        </w:trPr>
        <w:tc>
          <w:tcPr>
            <w:tcW w:w="383" w:type="pct"/>
            <w:vAlign w:val="center"/>
            <w:hideMark/>
          </w:tcPr>
          <w:p w:rsidR="000430B5" w:rsidRPr="00FA3856" w:rsidRDefault="000430B5" w:rsidP="00D8594F">
            <w:pPr>
              <w:ind w:firstLine="708"/>
              <w:jc w:val="both"/>
              <w:rPr>
                <w:bCs/>
                <w:szCs w:val="20"/>
              </w:rPr>
            </w:pPr>
            <w:r w:rsidRPr="00FA3856">
              <w:rPr>
                <w:bCs/>
                <w:szCs w:val="20"/>
              </w:rPr>
              <w:t>3.</w:t>
            </w:r>
          </w:p>
        </w:tc>
        <w:tc>
          <w:tcPr>
            <w:tcW w:w="1435" w:type="pct"/>
            <w:vAlign w:val="center"/>
            <w:hideMark/>
          </w:tcPr>
          <w:p w:rsidR="000430B5" w:rsidRPr="00FA3856" w:rsidRDefault="000430B5" w:rsidP="00D8594F">
            <w:pPr>
              <w:ind w:firstLine="708"/>
              <w:jc w:val="both"/>
              <w:rPr>
                <w:bCs/>
                <w:szCs w:val="20"/>
              </w:rPr>
            </w:pPr>
            <w:r w:rsidRPr="00FA3856">
              <w:rPr>
                <w:bCs/>
                <w:szCs w:val="20"/>
              </w:rPr>
              <w:t xml:space="preserve">Serviços </w:t>
            </w:r>
          </w:p>
        </w:tc>
        <w:tc>
          <w:tcPr>
            <w:tcW w:w="2264" w:type="pct"/>
            <w:vAlign w:val="center"/>
            <w:hideMark/>
          </w:tcPr>
          <w:p w:rsidR="000430B5" w:rsidRPr="00FA3856" w:rsidRDefault="000430B5" w:rsidP="00D8594F">
            <w:pPr>
              <w:ind w:firstLine="708"/>
              <w:jc w:val="both"/>
              <w:rPr>
                <w:bCs/>
                <w:szCs w:val="20"/>
              </w:rPr>
            </w:pPr>
            <w:r w:rsidRPr="00FA3856">
              <w:rPr>
                <w:bCs/>
                <w:szCs w:val="20"/>
              </w:rPr>
              <w:t xml:space="preserve">Serviços de assistência técnica </w:t>
            </w:r>
          </w:p>
        </w:tc>
        <w:tc>
          <w:tcPr>
            <w:tcW w:w="918" w:type="pct"/>
            <w:vAlign w:val="center"/>
            <w:hideMark/>
          </w:tcPr>
          <w:p w:rsidR="000430B5" w:rsidRPr="00FA3856" w:rsidRDefault="000430B5" w:rsidP="00D8594F">
            <w:pPr>
              <w:ind w:firstLine="708"/>
              <w:jc w:val="both"/>
              <w:rPr>
                <w:bCs/>
                <w:szCs w:val="20"/>
              </w:rPr>
            </w:pPr>
            <w:r w:rsidRPr="00FA3856">
              <w:rPr>
                <w:bCs/>
                <w:szCs w:val="20"/>
              </w:rPr>
              <w:t>1.000.000,00</w:t>
            </w:r>
          </w:p>
        </w:tc>
      </w:tr>
      <w:tr w:rsidR="000430B5" w:rsidRPr="00FA3856" w:rsidTr="00D8594F">
        <w:trPr>
          <w:tblCellSpacing w:w="0" w:type="dxa"/>
        </w:trPr>
        <w:tc>
          <w:tcPr>
            <w:tcW w:w="383" w:type="pct"/>
            <w:vAlign w:val="center"/>
            <w:hideMark/>
          </w:tcPr>
          <w:p w:rsidR="000430B5" w:rsidRPr="00FA3856" w:rsidRDefault="000430B5" w:rsidP="00D8594F">
            <w:pPr>
              <w:ind w:firstLine="708"/>
              <w:jc w:val="both"/>
              <w:rPr>
                <w:bCs/>
                <w:szCs w:val="20"/>
              </w:rPr>
            </w:pPr>
            <w:r w:rsidRPr="00FA3856">
              <w:rPr>
                <w:bCs/>
                <w:szCs w:val="20"/>
              </w:rPr>
              <w:t>4.</w:t>
            </w:r>
          </w:p>
        </w:tc>
        <w:tc>
          <w:tcPr>
            <w:tcW w:w="1435" w:type="pct"/>
            <w:vAlign w:val="center"/>
            <w:hideMark/>
          </w:tcPr>
          <w:p w:rsidR="000430B5" w:rsidRPr="00FA3856" w:rsidRDefault="000430B5" w:rsidP="00D8594F">
            <w:pPr>
              <w:ind w:firstLine="708"/>
              <w:jc w:val="both"/>
              <w:rPr>
                <w:bCs/>
                <w:szCs w:val="20"/>
              </w:rPr>
            </w:pPr>
            <w:r w:rsidRPr="00FA3856">
              <w:rPr>
                <w:bCs/>
                <w:szCs w:val="20"/>
              </w:rPr>
              <w:t xml:space="preserve">Bens </w:t>
            </w:r>
          </w:p>
        </w:tc>
        <w:tc>
          <w:tcPr>
            <w:tcW w:w="2264" w:type="pct"/>
            <w:vAlign w:val="center"/>
            <w:hideMark/>
          </w:tcPr>
          <w:p w:rsidR="000430B5" w:rsidRPr="00FA3856" w:rsidRDefault="000430B5" w:rsidP="00D8594F">
            <w:pPr>
              <w:ind w:firstLine="708"/>
              <w:jc w:val="both"/>
              <w:rPr>
                <w:bCs/>
                <w:szCs w:val="20"/>
              </w:rPr>
            </w:pPr>
            <w:r w:rsidRPr="00FA3856">
              <w:rPr>
                <w:bCs/>
                <w:szCs w:val="20"/>
              </w:rPr>
              <w:t xml:space="preserve">Automóvel ABC 1.6 </w:t>
            </w:r>
          </w:p>
        </w:tc>
        <w:tc>
          <w:tcPr>
            <w:tcW w:w="918" w:type="pct"/>
            <w:vAlign w:val="center"/>
            <w:hideMark/>
          </w:tcPr>
          <w:p w:rsidR="000430B5" w:rsidRPr="00FA3856" w:rsidRDefault="000430B5" w:rsidP="00D8594F">
            <w:pPr>
              <w:ind w:firstLine="708"/>
              <w:jc w:val="both"/>
              <w:rPr>
                <w:bCs/>
                <w:szCs w:val="20"/>
              </w:rPr>
            </w:pPr>
            <w:r w:rsidRPr="00FA3856">
              <w:rPr>
                <w:bCs/>
                <w:szCs w:val="20"/>
              </w:rPr>
              <w:t>900.000,00</w:t>
            </w:r>
          </w:p>
        </w:tc>
      </w:tr>
      <w:tr w:rsidR="000430B5" w:rsidRPr="00FA3856" w:rsidTr="00D8594F">
        <w:trPr>
          <w:tblCellSpacing w:w="0" w:type="dxa"/>
        </w:trPr>
        <w:tc>
          <w:tcPr>
            <w:tcW w:w="383" w:type="pct"/>
            <w:vAlign w:val="center"/>
            <w:hideMark/>
          </w:tcPr>
          <w:p w:rsidR="000430B5" w:rsidRPr="00FA3856" w:rsidRDefault="000430B5" w:rsidP="00D8594F">
            <w:pPr>
              <w:ind w:firstLine="708"/>
              <w:jc w:val="both"/>
              <w:rPr>
                <w:bCs/>
                <w:szCs w:val="20"/>
              </w:rPr>
            </w:pPr>
            <w:r w:rsidRPr="00FA3856">
              <w:rPr>
                <w:bCs/>
                <w:szCs w:val="20"/>
              </w:rPr>
              <w:t>5.</w:t>
            </w:r>
          </w:p>
        </w:tc>
        <w:tc>
          <w:tcPr>
            <w:tcW w:w="1435" w:type="pct"/>
            <w:vAlign w:val="center"/>
            <w:hideMark/>
          </w:tcPr>
          <w:p w:rsidR="000430B5" w:rsidRPr="00FA3856" w:rsidRDefault="000430B5" w:rsidP="00D8594F">
            <w:pPr>
              <w:ind w:firstLine="708"/>
              <w:jc w:val="both"/>
              <w:rPr>
                <w:bCs/>
                <w:szCs w:val="20"/>
              </w:rPr>
            </w:pPr>
            <w:r w:rsidRPr="00FA3856">
              <w:rPr>
                <w:bCs/>
                <w:szCs w:val="20"/>
              </w:rPr>
              <w:t xml:space="preserve">Serviços </w:t>
            </w:r>
          </w:p>
        </w:tc>
        <w:tc>
          <w:tcPr>
            <w:tcW w:w="2264" w:type="pct"/>
            <w:vAlign w:val="center"/>
            <w:hideMark/>
          </w:tcPr>
          <w:p w:rsidR="000430B5" w:rsidRPr="00FA3856" w:rsidRDefault="000430B5" w:rsidP="00D8594F">
            <w:pPr>
              <w:ind w:firstLine="708"/>
              <w:jc w:val="both"/>
              <w:rPr>
                <w:bCs/>
                <w:szCs w:val="20"/>
              </w:rPr>
            </w:pPr>
            <w:r w:rsidRPr="00FA3856">
              <w:rPr>
                <w:bCs/>
                <w:szCs w:val="20"/>
              </w:rPr>
              <w:t xml:space="preserve">Propaganda e publicidade </w:t>
            </w:r>
          </w:p>
        </w:tc>
        <w:tc>
          <w:tcPr>
            <w:tcW w:w="918" w:type="pct"/>
            <w:vAlign w:val="center"/>
            <w:hideMark/>
          </w:tcPr>
          <w:p w:rsidR="000430B5" w:rsidRPr="00FA3856" w:rsidRDefault="000430B5" w:rsidP="00D8594F">
            <w:pPr>
              <w:ind w:firstLine="708"/>
              <w:jc w:val="both"/>
              <w:rPr>
                <w:bCs/>
                <w:szCs w:val="20"/>
              </w:rPr>
            </w:pPr>
            <w:r w:rsidRPr="00FA3856">
              <w:rPr>
                <w:bCs/>
                <w:szCs w:val="20"/>
              </w:rPr>
              <w:t>500.000,00</w:t>
            </w:r>
          </w:p>
        </w:tc>
      </w:tr>
      <w:tr w:rsidR="000430B5" w:rsidRPr="00FA3856" w:rsidTr="00D8594F">
        <w:trPr>
          <w:tblCellSpacing w:w="0" w:type="dxa"/>
        </w:trPr>
        <w:tc>
          <w:tcPr>
            <w:tcW w:w="383" w:type="pct"/>
            <w:vAlign w:val="center"/>
            <w:hideMark/>
          </w:tcPr>
          <w:p w:rsidR="000430B5" w:rsidRPr="00FA3856" w:rsidRDefault="000430B5" w:rsidP="00D8594F">
            <w:pPr>
              <w:ind w:firstLine="708"/>
              <w:jc w:val="both"/>
              <w:rPr>
                <w:bCs/>
                <w:szCs w:val="20"/>
              </w:rPr>
            </w:pPr>
            <w:r w:rsidRPr="00FA3856">
              <w:rPr>
                <w:bCs/>
                <w:szCs w:val="20"/>
              </w:rPr>
              <w:t>6.</w:t>
            </w:r>
          </w:p>
        </w:tc>
        <w:tc>
          <w:tcPr>
            <w:tcW w:w="1435" w:type="pct"/>
            <w:vAlign w:val="center"/>
            <w:hideMark/>
          </w:tcPr>
          <w:p w:rsidR="000430B5" w:rsidRPr="00FA3856" w:rsidRDefault="000430B5" w:rsidP="00D8594F">
            <w:pPr>
              <w:ind w:firstLine="708"/>
              <w:jc w:val="both"/>
              <w:rPr>
                <w:bCs/>
                <w:szCs w:val="20"/>
              </w:rPr>
            </w:pPr>
            <w:r w:rsidRPr="00FA3856">
              <w:rPr>
                <w:bCs/>
                <w:szCs w:val="20"/>
              </w:rPr>
              <w:t xml:space="preserve">Direitos </w:t>
            </w:r>
          </w:p>
        </w:tc>
        <w:tc>
          <w:tcPr>
            <w:tcW w:w="2264" w:type="pct"/>
            <w:vAlign w:val="center"/>
            <w:hideMark/>
          </w:tcPr>
          <w:p w:rsidR="000430B5" w:rsidRPr="00FA3856" w:rsidRDefault="000430B5" w:rsidP="00D8594F">
            <w:pPr>
              <w:ind w:firstLine="708"/>
              <w:jc w:val="both"/>
              <w:rPr>
                <w:bCs/>
                <w:szCs w:val="20"/>
              </w:rPr>
            </w:pPr>
            <w:r w:rsidRPr="00FA3856">
              <w:rPr>
                <w:bCs/>
                <w:szCs w:val="20"/>
              </w:rPr>
              <w:t xml:space="preserve">Direitos de exploração de minérios </w:t>
            </w:r>
          </w:p>
        </w:tc>
        <w:tc>
          <w:tcPr>
            <w:tcW w:w="918" w:type="pct"/>
            <w:vAlign w:val="center"/>
            <w:hideMark/>
          </w:tcPr>
          <w:p w:rsidR="000430B5" w:rsidRPr="00FA3856" w:rsidRDefault="000430B5" w:rsidP="00D8594F">
            <w:pPr>
              <w:ind w:firstLine="708"/>
              <w:jc w:val="both"/>
              <w:rPr>
                <w:bCs/>
                <w:szCs w:val="20"/>
              </w:rPr>
            </w:pPr>
            <w:r w:rsidRPr="00FA3856">
              <w:rPr>
                <w:bCs/>
                <w:szCs w:val="20"/>
              </w:rPr>
              <w:t>450.000,00</w:t>
            </w:r>
          </w:p>
        </w:tc>
      </w:tr>
    </w:tbl>
    <w:p w:rsidR="000430B5" w:rsidRPr="00FA3856" w:rsidRDefault="00BC63D3" w:rsidP="00D8594F">
      <w:pPr>
        <w:ind w:firstLine="708"/>
        <w:jc w:val="both"/>
        <w:rPr>
          <w:bCs/>
          <w:szCs w:val="20"/>
        </w:rPr>
      </w:pPr>
      <w:r w:rsidRPr="00FA3856">
        <w:rPr>
          <w:bCs/>
          <w:szCs w:val="20"/>
        </w:rPr>
        <w:t>E assim por diante</w:t>
      </w:r>
      <w:r w:rsidR="000430B5" w:rsidRPr="00FA3856">
        <w:rPr>
          <w:bCs/>
          <w:szCs w:val="20"/>
        </w:rPr>
        <w:t>.</w:t>
      </w:r>
    </w:p>
    <w:p w:rsidR="004619A9" w:rsidRPr="00FA3856" w:rsidRDefault="004619A9" w:rsidP="00AE10C8">
      <w:pPr>
        <w:jc w:val="both"/>
        <w:rPr>
          <w:szCs w:val="20"/>
        </w:rPr>
      </w:pPr>
    </w:p>
    <w:p w:rsidR="004619A9" w:rsidRPr="00FA3856" w:rsidRDefault="004619A9" w:rsidP="00AE10C8">
      <w:pPr>
        <w:jc w:val="both"/>
        <w:rPr>
          <w:szCs w:val="20"/>
        </w:rPr>
      </w:pPr>
    </w:p>
    <w:p w:rsidR="004619A9" w:rsidRPr="00FA3856" w:rsidRDefault="004619A9" w:rsidP="00AE10C8">
      <w:pPr>
        <w:jc w:val="both"/>
        <w:rPr>
          <w:szCs w:val="20"/>
        </w:rPr>
      </w:pPr>
    </w:p>
    <w:p w:rsidR="004619A9" w:rsidRPr="00FA3856" w:rsidRDefault="004619A9" w:rsidP="00AE10C8">
      <w:pPr>
        <w:jc w:val="both"/>
        <w:rPr>
          <w:szCs w:val="20"/>
        </w:rPr>
      </w:pPr>
    </w:p>
    <w:p w:rsidR="004619A9" w:rsidRPr="00FA3856" w:rsidRDefault="004619A9" w:rsidP="00AE10C8">
      <w:pPr>
        <w:jc w:val="both"/>
        <w:rPr>
          <w:szCs w:val="20"/>
        </w:rPr>
      </w:pPr>
    </w:p>
    <w:p w:rsidR="004619A9" w:rsidRPr="00FA3856" w:rsidRDefault="004619A9" w:rsidP="00AE10C8">
      <w:pPr>
        <w:jc w:val="both"/>
        <w:rPr>
          <w:szCs w:val="20"/>
        </w:rPr>
      </w:pPr>
    </w:p>
    <w:p w:rsidR="004619A9" w:rsidRPr="00FA3856" w:rsidRDefault="004619A9" w:rsidP="00AE10C8">
      <w:pPr>
        <w:jc w:val="both"/>
        <w:rPr>
          <w:szCs w:val="20"/>
        </w:rPr>
      </w:pPr>
    </w:p>
    <w:p w:rsidR="00BC63D3" w:rsidRPr="00FA3856" w:rsidRDefault="00BC63D3" w:rsidP="00AE10C8">
      <w:pPr>
        <w:jc w:val="both"/>
        <w:rPr>
          <w:szCs w:val="20"/>
        </w:rPr>
      </w:pPr>
    </w:p>
    <w:p w:rsidR="00BC63D3" w:rsidRPr="00FA3856" w:rsidRDefault="00BC63D3" w:rsidP="00AE10C8">
      <w:pPr>
        <w:jc w:val="both"/>
        <w:rPr>
          <w:szCs w:val="20"/>
        </w:rPr>
      </w:pPr>
    </w:p>
    <w:p w:rsidR="00BC63D3" w:rsidRPr="00FA3856" w:rsidRDefault="00BC63D3" w:rsidP="00AE10C8">
      <w:pPr>
        <w:jc w:val="both"/>
        <w:rPr>
          <w:szCs w:val="20"/>
        </w:rPr>
      </w:pPr>
    </w:p>
    <w:p w:rsidR="00BC63D3" w:rsidRPr="00FA3856" w:rsidRDefault="00BC63D3" w:rsidP="00AE10C8">
      <w:pPr>
        <w:jc w:val="both"/>
        <w:rPr>
          <w:szCs w:val="20"/>
        </w:rPr>
      </w:pPr>
    </w:p>
    <w:p w:rsidR="00BC63D3" w:rsidRPr="00FA3856" w:rsidRDefault="00BC63D3" w:rsidP="00AE10C8">
      <w:pPr>
        <w:jc w:val="both"/>
        <w:rPr>
          <w:szCs w:val="20"/>
        </w:rPr>
      </w:pPr>
    </w:p>
    <w:p w:rsidR="00C908DE" w:rsidRDefault="00B35FA3" w:rsidP="00C908DE">
      <w:pPr>
        <w:spacing w:after="200" w:line="276" w:lineRule="auto"/>
        <w:jc w:val="center"/>
        <w:rPr>
          <w:b/>
          <w:szCs w:val="20"/>
        </w:rPr>
      </w:pPr>
      <w:r>
        <w:rPr>
          <w:b/>
          <w:szCs w:val="20"/>
        </w:rPr>
        <w:object w:dxaOrig="15090" w:dyaOrig="9855">
          <v:shape id="_x0000_i1917" type="#_x0000_t75" style="width:804.75pt;height:480pt" o:ole="">
            <v:imagedata r:id="rId675" o:title=""/>
          </v:shape>
          <o:OLEObject Type="Link" ProgID="Excel.Sheet.12" ShapeID="_x0000_i1917" DrawAspect="Content" r:id="rId676" UpdateMode="Always">
            <o:LinkType>EnhancedMetaFile</o:LinkType>
            <o:LockedField>false</o:LockedField>
          </o:OLEObject>
        </w:object>
      </w:r>
    </w:p>
    <w:p w:rsidR="00C908DE" w:rsidRDefault="00B35FA3" w:rsidP="00C908DE">
      <w:pPr>
        <w:spacing w:after="200" w:line="276" w:lineRule="auto"/>
        <w:jc w:val="center"/>
        <w:rPr>
          <w:b/>
          <w:szCs w:val="20"/>
        </w:rPr>
      </w:pPr>
      <w:r>
        <w:rPr>
          <w:b/>
          <w:szCs w:val="20"/>
        </w:rPr>
        <w:object w:dxaOrig="15090" w:dyaOrig="6705">
          <v:shape id="_x0000_i1919" type="#_x0000_t75" style="width:804.75pt;height:324pt" o:ole="">
            <v:imagedata r:id="rId677" o:title=""/>
          </v:shape>
          <o:OLEObject Type="Link" ProgID="Excel.Sheet.12" ShapeID="_x0000_i1919" DrawAspect="Content" r:id="rId678" UpdateMode="Always">
            <o:LinkType>EnhancedMetaFile</o:LinkType>
            <o:LockedField>false</o:LockedField>
          </o:OLEObject>
        </w:object>
      </w:r>
    </w:p>
    <w:p w:rsidR="00C908DE" w:rsidRDefault="00C908DE">
      <w:pPr>
        <w:spacing w:after="200" w:line="276" w:lineRule="auto"/>
        <w:rPr>
          <w:b/>
          <w:szCs w:val="20"/>
        </w:rPr>
      </w:pPr>
      <w:r>
        <w:rPr>
          <w:b/>
          <w:szCs w:val="20"/>
        </w:rPr>
        <w:br w:type="page"/>
      </w:r>
    </w:p>
    <w:p w:rsidR="00C908DE" w:rsidRDefault="00B35FA3" w:rsidP="00C908DE">
      <w:pPr>
        <w:spacing w:after="200" w:line="276" w:lineRule="auto"/>
        <w:jc w:val="center"/>
        <w:rPr>
          <w:b/>
          <w:szCs w:val="20"/>
        </w:rPr>
      </w:pPr>
      <w:r>
        <w:rPr>
          <w:b/>
          <w:szCs w:val="20"/>
        </w:rPr>
        <w:object w:dxaOrig="15090" w:dyaOrig="6945">
          <v:shape id="_x0000_i1921" type="#_x0000_t75" style="width:804.75pt;height:336pt" o:ole="">
            <v:imagedata r:id="rId679" o:title=""/>
          </v:shape>
          <o:OLEObject Type="Link" ProgID="Excel.Sheet.12" ShapeID="_x0000_i1921" DrawAspect="Content" r:id="rId680" UpdateMode="Always">
            <o:LinkType>EnhancedMetaFile</o:LinkType>
            <o:LockedField>false</o:LockedField>
          </o:OLEObject>
        </w:object>
      </w:r>
    </w:p>
    <w:p w:rsidR="00C908DE" w:rsidRDefault="00C908DE">
      <w:pPr>
        <w:spacing w:after="200" w:line="276" w:lineRule="auto"/>
        <w:rPr>
          <w:b/>
          <w:szCs w:val="20"/>
        </w:rPr>
      </w:pPr>
      <w:r>
        <w:rPr>
          <w:b/>
          <w:szCs w:val="20"/>
        </w:rPr>
        <w:br w:type="page"/>
      </w:r>
    </w:p>
    <w:p w:rsidR="00C908DE" w:rsidRDefault="00B35FA3" w:rsidP="00C908DE">
      <w:pPr>
        <w:spacing w:after="200" w:line="276" w:lineRule="auto"/>
        <w:jc w:val="center"/>
        <w:rPr>
          <w:b/>
          <w:szCs w:val="20"/>
        </w:rPr>
      </w:pPr>
      <w:r>
        <w:rPr>
          <w:b/>
          <w:szCs w:val="20"/>
        </w:rPr>
        <w:object w:dxaOrig="15090" w:dyaOrig="10260">
          <v:shape id="_x0000_i1923" type="#_x0000_t75" style="width:804.75pt;height:496.5pt" o:ole="">
            <v:imagedata r:id="rId681" o:title=""/>
          </v:shape>
          <o:OLEObject Type="Link" ProgID="Excel.Sheet.12" ShapeID="_x0000_i1923" DrawAspect="Content" r:id="rId682" UpdateMode="Always">
            <o:LinkType>EnhancedMetaFile</o:LinkType>
            <o:LockedField>false</o:LockedField>
          </o:OLEObject>
        </w:object>
      </w:r>
    </w:p>
    <w:p w:rsidR="00C908DE" w:rsidRDefault="00B35FA3" w:rsidP="00C908DE">
      <w:pPr>
        <w:spacing w:after="200" w:line="276" w:lineRule="auto"/>
        <w:jc w:val="center"/>
        <w:rPr>
          <w:b/>
          <w:szCs w:val="20"/>
        </w:rPr>
      </w:pPr>
      <w:r>
        <w:rPr>
          <w:b/>
          <w:szCs w:val="20"/>
        </w:rPr>
        <w:object w:dxaOrig="15090" w:dyaOrig="4905">
          <v:shape id="_x0000_i1925" type="#_x0000_t75" style="width:804.75pt;height:237.75pt" o:ole="">
            <v:imagedata r:id="rId683" o:title=""/>
          </v:shape>
          <o:OLEObject Type="Link" ProgID="Excel.Sheet.12" ShapeID="_x0000_i1925" DrawAspect="Content" r:id="rId684" UpdateMode="Always">
            <o:LinkType>EnhancedMetaFile</o:LinkType>
            <o:LockedField>false</o:LockedField>
          </o:OLEObject>
        </w:object>
      </w:r>
    </w:p>
    <w:p w:rsidR="00F35838" w:rsidRPr="00FA3856" w:rsidRDefault="00556DC4">
      <w:pPr>
        <w:spacing w:after="200" w:line="276" w:lineRule="auto"/>
        <w:rPr>
          <w:b/>
          <w:szCs w:val="20"/>
        </w:rPr>
      </w:pPr>
      <w:r w:rsidRPr="00FA3856">
        <w:rPr>
          <w:b/>
          <w:szCs w:val="20"/>
        </w:rPr>
        <w:t>Tabela de Unidades de Medida (X300.UNI_MED):</w:t>
      </w:r>
    </w:p>
    <w:p w:rsidR="00556DC4" w:rsidRPr="00FA3856" w:rsidRDefault="00556DC4" w:rsidP="00556DC4">
      <w:pPr>
        <w:rPr>
          <w:szCs w:val="20"/>
        </w:rPr>
      </w:pPr>
      <w:r w:rsidRPr="00FA3856">
        <w:rPr>
          <w:szCs w:val="20"/>
        </w:rPr>
        <w:t>Código|Descrição|Data Início|Data Fim</w:t>
      </w:r>
    </w:p>
    <w:p w:rsidR="00556DC4" w:rsidRPr="00FA3856" w:rsidRDefault="00556DC4" w:rsidP="00556DC4">
      <w:pPr>
        <w:rPr>
          <w:szCs w:val="20"/>
        </w:rPr>
      </w:pPr>
      <w:r w:rsidRPr="00FA3856">
        <w:rPr>
          <w:szCs w:val="20"/>
        </w:rPr>
        <w:t>01|Bilhão de Unidade Internacional|01012013|</w:t>
      </w:r>
    </w:p>
    <w:p w:rsidR="00556DC4" w:rsidRPr="00FA3856" w:rsidRDefault="00556DC4" w:rsidP="00556DC4">
      <w:pPr>
        <w:rPr>
          <w:szCs w:val="20"/>
        </w:rPr>
      </w:pPr>
      <w:r w:rsidRPr="00FA3856">
        <w:rPr>
          <w:szCs w:val="20"/>
        </w:rPr>
        <w:t>02|Dúzia|01012013|</w:t>
      </w:r>
    </w:p>
    <w:p w:rsidR="00556DC4" w:rsidRPr="00FA3856" w:rsidRDefault="00556DC4" w:rsidP="00556DC4">
      <w:pPr>
        <w:rPr>
          <w:szCs w:val="20"/>
        </w:rPr>
      </w:pPr>
      <w:r w:rsidRPr="00FA3856">
        <w:rPr>
          <w:szCs w:val="20"/>
        </w:rPr>
        <w:t>03|Grama|01012013|</w:t>
      </w:r>
    </w:p>
    <w:p w:rsidR="00556DC4" w:rsidRPr="00FA3856" w:rsidRDefault="00556DC4" w:rsidP="00556DC4">
      <w:pPr>
        <w:rPr>
          <w:szCs w:val="20"/>
        </w:rPr>
      </w:pPr>
      <w:r w:rsidRPr="00FA3856">
        <w:rPr>
          <w:szCs w:val="20"/>
        </w:rPr>
        <w:t>04|Litro|01012013|</w:t>
      </w:r>
    </w:p>
    <w:p w:rsidR="00556DC4" w:rsidRPr="00FA3856" w:rsidRDefault="00556DC4" w:rsidP="00556DC4">
      <w:pPr>
        <w:rPr>
          <w:szCs w:val="20"/>
        </w:rPr>
      </w:pPr>
      <w:r w:rsidRPr="00FA3856">
        <w:rPr>
          <w:szCs w:val="20"/>
        </w:rPr>
        <w:t>05|Megawatt Hora|01012013|</w:t>
      </w:r>
    </w:p>
    <w:p w:rsidR="00556DC4" w:rsidRPr="00FA3856" w:rsidRDefault="00556DC4" w:rsidP="00556DC4">
      <w:pPr>
        <w:rPr>
          <w:szCs w:val="20"/>
        </w:rPr>
      </w:pPr>
      <w:r w:rsidRPr="00FA3856">
        <w:rPr>
          <w:szCs w:val="20"/>
        </w:rPr>
        <w:t>06|Metro|01012013|</w:t>
      </w:r>
    </w:p>
    <w:p w:rsidR="00556DC4" w:rsidRPr="00FA3856" w:rsidRDefault="00556DC4" w:rsidP="00556DC4">
      <w:pPr>
        <w:rPr>
          <w:szCs w:val="20"/>
        </w:rPr>
      </w:pPr>
      <w:r w:rsidRPr="00FA3856">
        <w:rPr>
          <w:szCs w:val="20"/>
        </w:rPr>
        <w:t>07|Metro Cúbico|01012013|</w:t>
      </w:r>
    </w:p>
    <w:p w:rsidR="00556DC4" w:rsidRPr="00FA3856" w:rsidRDefault="00556DC4" w:rsidP="00556DC4">
      <w:pPr>
        <w:rPr>
          <w:szCs w:val="20"/>
        </w:rPr>
      </w:pPr>
      <w:r w:rsidRPr="00FA3856">
        <w:rPr>
          <w:szCs w:val="20"/>
        </w:rPr>
        <w:t>08|Metro Quadrado|01012013|</w:t>
      </w:r>
    </w:p>
    <w:p w:rsidR="00556DC4" w:rsidRPr="00FA3856" w:rsidRDefault="00556DC4" w:rsidP="00556DC4">
      <w:pPr>
        <w:rPr>
          <w:szCs w:val="20"/>
        </w:rPr>
      </w:pPr>
      <w:r w:rsidRPr="00FA3856">
        <w:rPr>
          <w:szCs w:val="20"/>
        </w:rPr>
        <w:t>09|Mil Unidades|01012013|</w:t>
      </w:r>
    </w:p>
    <w:p w:rsidR="00556DC4" w:rsidRPr="00FA3856" w:rsidRDefault="00556DC4" w:rsidP="00556DC4">
      <w:pPr>
        <w:rPr>
          <w:szCs w:val="20"/>
        </w:rPr>
      </w:pPr>
      <w:r w:rsidRPr="00FA3856">
        <w:rPr>
          <w:szCs w:val="20"/>
        </w:rPr>
        <w:t>10|Pares|01012013|</w:t>
      </w:r>
    </w:p>
    <w:p w:rsidR="00556DC4" w:rsidRPr="00FA3856" w:rsidRDefault="00556DC4" w:rsidP="00556DC4">
      <w:pPr>
        <w:rPr>
          <w:szCs w:val="20"/>
        </w:rPr>
      </w:pPr>
      <w:r w:rsidRPr="00FA3856">
        <w:rPr>
          <w:szCs w:val="20"/>
        </w:rPr>
        <w:t>11|Quilates|01012013|</w:t>
      </w:r>
    </w:p>
    <w:p w:rsidR="00556DC4" w:rsidRPr="00FA3856" w:rsidRDefault="00556DC4" w:rsidP="00556DC4">
      <w:pPr>
        <w:rPr>
          <w:szCs w:val="20"/>
        </w:rPr>
      </w:pPr>
      <w:r w:rsidRPr="00FA3856">
        <w:rPr>
          <w:szCs w:val="20"/>
        </w:rPr>
        <w:t>12|Quilograma Bruto|01012013|</w:t>
      </w:r>
    </w:p>
    <w:p w:rsidR="00556DC4" w:rsidRPr="00FA3856" w:rsidRDefault="00556DC4" w:rsidP="00556DC4">
      <w:pPr>
        <w:rPr>
          <w:szCs w:val="20"/>
        </w:rPr>
      </w:pPr>
      <w:r w:rsidRPr="00FA3856">
        <w:rPr>
          <w:szCs w:val="20"/>
        </w:rPr>
        <w:t>13|Quilograma Líquido|01012013|</w:t>
      </w:r>
    </w:p>
    <w:p w:rsidR="00556DC4" w:rsidRPr="00FA3856" w:rsidRDefault="00556DC4" w:rsidP="00556DC4">
      <w:pPr>
        <w:rPr>
          <w:szCs w:val="20"/>
        </w:rPr>
      </w:pPr>
      <w:r w:rsidRPr="00FA3856">
        <w:rPr>
          <w:szCs w:val="20"/>
        </w:rPr>
        <w:t>14|Tonelada Métrica Líquida|01012013|</w:t>
      </w:r>
    </w:p>
    <w:p w:rsidR="00556DC4" w:rsidRPr="00FA3856" w:rsidRDefault="00556DC4" w:rsidP="00556DC4">
      <w:pPr>
        <w:rPr>
          <w:szCs w:val="20"/>
        </w:rPr>
      </w:pPr>
      <w:r w:rsidRPr="00FA3856">
        <w:rPr>
          <w:szCs w:val="20"/>
        </w:rPr>
        <w:t>15|Unidade|01012013|</w:t>
      </w:r>
    </w:p>
    <w:p w:rsidR="00556DC4" w:rsidRPr="00FA3856" w:rsidRDefault="00556DC4" w:rsidP="00556DC4">
      <w:pPr>
        <w:rPr>
          <w:szCs w:val="20"/>
        </w:rPr>
      </w:pPr>
      <w:r w:rsidRPr="00FA3856">
        <w:rPr>
          <w:szCs w:val="20"/>
        </w:rPr>
        <w:lastRenderedPageBreak/>
        <w:t>16|Tambor|01012015|</w:t>
      </w:r>
    </w:p>
    <w:p w:rsidR="00556DC4" w:rsidRPr="00FA3856" w:rsidRDefault="00556DC4" w:rsidP="00556DC4">
      <w:pPr>
        <w:rPr>
          <w:szCs w:val="20"/>
        </w:rPr>
      </w:pPr>
      <w:r w:rsidRPr="00FA3856">
        <w:rPr>
          <w:szCs w:val="20"/>
        </w:rPr>
        <w:t>17|Caixa|01012015|</w:t>
      </w:r>
    </w:p>
    <w:p w:rsidR="00556DC4" w:rsidRPr="00FA3856" w:rsidRDefault="00556DC4" w:rsidP="00556DC4">
      <w:pPr>
        <w:rPr>
          <w:szCs w:val="20"/>
        </w:rPr>
      </w:pPr>
      <w:r w:rsidRPr="00FA3856">
        <w:rPr>
          <w:szCs w:val="20"/>
        </w:rPr>
        <w:t>18|Milímetro|01012015|</w:t>
      </w:r>
    </w:p>
    <w:p w:rsidR="00556DC4" w:rsidRPr="00FA3856" w:rsidRDefault="00556DC4" w:rsidP="00556DC4">
      <w:pPr>
        <w:rPr>
          <w:szCs w:val="20"/>
        </w:rPr>
      </w:pPr>
      <w:r w:rsidRPr="00FA3856">
        <w:rPr>
          <w:szCs w:val="20"/>
        </w:rPr>
        <w:t>19|Mililitro|01012015|</w:t>
      </w:r>
    </w:p>
    <w:p w:rsidR="00556DC4" w:rsidRPr="00FA3856" w:rsidRDefault="00556DC4" w:rsidP="00556DC4">
      <w:pPr>
        <w:rPr>
          <w:szCs w:val="20"/>
        </w:rPr>
      </w:pPr>
      <w:r w:rsidRPr="00FA3856">
        <w:rPr>
          <w:szCs w:val="20"/>
        </w:rPr>
        <w:t>20|Galão|01012015|</w:t>
      </w:r>
    </w:p>
    <w:p w:rsidR="00556DC4" w:rsidRPr="00FA3856" w:rsidRDefault="00556DC4" w:rsidP="00556DC4">
      <w:pPr>
        <w:rPr>
          <w:szCs w:val="20"/>
        </w:rPr>
      </w:pPr>
      <w:r w:rsidRPr="00FA3856">
        <w:rPr>
          <w:szCs w:val="20"/>
        </w:rPr>
        <w:t>21|Bobina|01012015|</w:t>
      </w:r>
    </w:p>
    <w:p w:rsidR="00556DC4" w:rsidRPr="00FA3856" w:rsidRDefault="00556DC4" w:rsidP="00556DC4">
      <w:pPr>
        <w:rPr>
          <w:szCs w:val="20"/>
        </w:rPr>
      </w:pPr>
      <w:r w:rsidRPr="00FA3856">
        <w:rPr>
          <w:szCs w:val="20"/>
        </w:rPr>
        <w:t>22|Balde|01012015|</w:t>
      </w:r>
    </w:p>
    <w:p w:rsidR="00556DC4" w:rsidRPr="00FA3856" w:rsidRDefault="00556DC4" w:rsidP="00556DC4">
      <w:pPr>
        <w:rPr>
          <w:szCs w:val="20"/>
        </w:rPr>
      </w:pPr>
      <w:r w:rsidRPr="00FA3856">
        <w:rPr>
          <w:szCs w:val="20"/>
        </w:rPr>
        <w:t>23|Dezena|01012015|</w:t>
      </w:r>
    </w:p>
    <w:p w:rsidR="00556DC4" w:rsidRPr="00FA3856" w:rsidRDefault="00556DC4" w:rsidP="00556DC4">
      <w:pPr>
        <w:rPr>
          <w:szCs w:val="20"/>
        </w:rPr>
      </w:pPr>
      <w:r w:rsidRPr="00FA3856">
        <w:rPr>
          <w:szCs w:val="20"/>
        </w:rPr>
        <w:t>24|Saco|01012015|</w:t>
      </w:r>
    </w:p>
    <w:p w:rsidR="00556DC4" w:rsidRPr="00FA3856" w:rsidRDefault="00556DC4" w:rsidP="00556DC4">
      <w:pPr>
        <w:rPr>
          <w:szCs w:val="20"/>
        </w:rPr>
      </w:pPr>
      <w:r w:rsidRPr="00FA3856">
        <w:rPr>
          <w:szCs w:val="20"/>
        </w:rPr>
        <w:t>25|Fardo|01012015|</w:t>
      </w:r>
    </w:p>
    <w:p w:rsidR="00556DC4" w:rsidRPr="00FA3856" w:rsidRDefault="00556DC4" w:rsidP="00556DC4">
      <w:pPr>
        <w:rPr>
          <w:szCs w:val="20"/>
        </w:rPr>
      </w:pPr>
      <w:r w:rsidRPr="00FA3856">
        <w:rPr>
          <w:szCs w:val="20"/>
        </w:rPr>
        <w:t>26|Barrica|01012015|</w:t>
      </w:r>
    </w:p>
    <w:p w:rsidR="00556DC4" w:rsidRPr="00FA3856" w:rsidRDefault="00556DC4" w:rsidP="00556DC4">
      <w:pPr>
        <w:rPr>
          <w:szCs w:val="20"/>
        </w:rPr>
      </w:pPr>
      <w:r w:rsidRPr="00FA3856">
        <w:rPr>
          <w:szCs w:val="20"/>
        </w:rPr>
        <w:t>27|Pacote|01012015|</w:t>
      </w:r>
    </w:p>
    <w:p w:rsidR="00556DC4" w:rsidRPr="00FA3856" w:rsidRDefault="00556DC4" w:rsidP="00556DC4">
      <w:pPr>
        <w:rPr>
          <w:szCs w:val="20"/>
        </w:rPr>
      </w:pPr>
      <w:r w:rsidRPr="00FA3856">
        <w:rPr>
          <w:szCs w:val="20"/>
        </w:rPr>
        <w:t>28|Lata|01012015|</w:t>
      </w:r>
    </w:p>
    <w:p w:rsidR="00556DC4" w:rsidRPr="00FA3856" w:rsidRDefault="00556DC4" w:rsidP="00556DC4">
      <w:pPr>
        <w:rPr>
          <w:szCs w:val="20"/>
        </w:rPr>
      </w:pPr>
      <w:r w:rsidRPr="00FA3856">
        <w:rPr>
          <w:szCs w:val="20"/>
        </w:rPr>
        <w:t>29|Cartela|01012015|</w:t>
      </w:r>
    </w:p>
    <w:p w:rsidR="00556DC4" w:rsidRPr="00FA3856" w:rsidRDefault="00556DC4" w:rsidP="00556DC4">
      <w:pPr>
        <w:rPr>
          <w:szCs w:val="20"/>
        </w:rPr>
      </w:pPr>
      <w:r w:rsidRPr="00FA3856">
        <w:rPr>
          <w:szCs w:val="20"/>
        </w:rPr>
        <w:t>30|Cento|01012015|</w:t>
      </w:r>
    </w:p>
    <w:p w:rsidR="00556DC4" w:rsidRPr="00FA3856" w:rsidRDefault="00556DC4" w:rsidP="00556DC4">
      <w:pPr>
        <w:rPr>
          <w:szCs w:val="20"/>
        </w:rPr>
      </w:pPr>
      <w:r w:rsidRPr="00FA3856">
        <w:rPr>
          <w:szCs w:val="20"/>
        </w:rPr>
        <w:t>31|Jogo|01012015|</w:t>
      </w:r>
    </w:p>
    <w:p w:rsidR="00556DC4" w:rsidRPr="00FA3856" w:rsidRDefault="00556DC4" w:rsidP="00556DC4">
      <w:pPr>
        <w:rPr>
          <w:szCs w:val="20"/>
        </w:rPr>
      </w:pPr>
      <w:r w:rsidRPr="00FA3856">
        <w:rPr>
          <w:szCs w:val="20"/>
        </w:rPr>
        <w:t>32|Cabeça|01012015|</w:t>
      </w:r>
    </w:p>
    <w:p w:rsidR="00556DC4" w:rsidRPr="00FA3856" w:rsidRDefault="00556DC4" w:rsidP="00556DC4">
      <w:pPr>
        <w:rPr>
          <w:szCs w:val="20"/>
        </w:rPr>
      </w:pPr>
      <w:r w:rsidRPr="00FA3856">
        <w:rPr>
          <w:szCs w:val="20"/>
        </w:rPr>
        <w:t>33|Peças|01012015|</w:t>
      </w:r>
    </w:p>
    <w:p w:rsidR="00556DC4" w:rsidRPr="00FA3856" w:rsidRDefault="00556DC4" w:rsidP="00556DC4">
      <w:pPr>
        <w:rPr>
          <w:szCs w:val="20"/>
        </w:rPr>
      </w:pPr>
      <w:r w:rsidRPr="00FA3856">
        <w:rPr>
          <w:szCs w:val="20"/>
        </w:rPr>
        <w:t>34|Bandeja|01012015|</w:t>
      </w:r>
    </w:p>
    <w:p w:rsidR="00556DC4" w:rsidRPr="00FA3856" w:rsidRDefault="00556DC4" w:rsidP="00556DC4">
      <w:pPr>
        <w:rPr>
          <w:szCs w:val="20"/>
        </w:rPr>
      </w:pPr>
      <w:r w:rsidRPr="00FA3856">
        <w:rPr>
          <w:szCs w:val="20"/>
        </w:rPr>
        <w:t>35|Libras|01012015|</w:t>
      </w:r>
    </w:p>
    <w:p w:rsidR="00556DC4" w:rsidRPr="00FA3856" w:rsidRDefault="00556DC4" w:rsidP="00556DC4">
      <w:pPr>
        <w:rPr>
          <w:szCs w:val="20"/>
        </w:rPr>
      </w:pPr>
      <w:r w:rsidRPr="00FA3856">
        <w:rPr>
          <w:szCs w:val="20"/>
        </w:rPr>
        <w:t>36|Groza|01012015|</w:t>
      </w:r>
    </w:p>
    <w:p w:rsidR="00556DC4" w:rsidRPr="00FA3856" w:rsidRDefault="00556DC4" w:rsidP="00556DC4">
      <w:pPr>
        <w:rPr>
          <w:szCs w:val="20"/>
        </w:rPr>
      </w:pPr>
      <w:r w:rsidRPr="00FA3856">
        <w:rPr>
          <w:szCs w:val="20"/>
        </w:rPr>
        <w:t>37|Container|01012015|</w:t>
      </w:r>
    </w:p>
    <w:p w:rsidR="00556DC4" w:rsidRPr="00FA3856" w:rsidRDefault="00556DC4" w:rsidP="00556DC4">
      <w:pPr>
        <w:rPr>
          <w:szCs w:val="20"/>
        </w:rPr>
      </w:pPr>
      <w:r w:rsidRPr="00FA3856">
        <w:rPr>
          <w:szCs w:val="20"/>
        </w:rPr>
        <w:t>38|Pallet|01012015|</w:t>
      </w:r>
    </w:p>
    <w:p w:rsidR="00556DC4" w:rsidRPr="00FA3856" w:rsidRDefault="00556DC4" w:rsidP="00556DC4">
      <w:pPr>
        <w:rPr>
          <w:szCs w:val="20"/>
        </w:rPr>
      </w:pPr>
      <w:r w:rsidRPr="00FA3856">
        <w:rPr>
          <w:szCs w:val="20"/>
        </w:rPr>
        <w:t>39|Placa|01012015|</w:t>
      </w:r>
    </w:p>
    <w:p w:rsidR="00556DC4" w:rsidRPr="00FA3856" w:rsidRDefault="00556DC4" w:rsidP="00556DC4">
      <w:pPr>
        <w:rPr>
          <w:szCs w:val="20"/>
        </w:rPr>
      </w:pPr>
      <w:r w:rsidRPr="00FA3856">
        <w:rPr>
          <w:szCs w:val="20"/>
        </w:rPr>
        <w:t>40|Rolo|01012015|</w:t>
      </w:r>
    </w:p>
    <w:p w:rsidR="00556DC4" w:rsidRPr="00FA3856" w:rsidRDefault="00556DC4" w:rsidP="00556DC4">
      <w:pPr>
        <w:rPr>
          <w:szCs w:val="20"/>
        </w:rPr>
      </w:pPr>
      <w:r w:rsidRPr="00FA3856">
        <w:rPr>
          <w:szCs w:val="20"/>
        </w:rPr>
        <w:t>41|Pés|01012015|</w:t>
      </w:r>
    </w:p>
    <w:p w:rsidR="00556DC4" w:rsidRPr="00FA3856" w:rsidRDefault="00556DC4" w:rsidP="00556DC4">
      <w:pPr>
        <w:rPr>
          <w:szCs w:val="20"/>
        </w:rPr>
      </w:pPr>
      <w:r w:rsidRPr="00FA3856">
        <w:rPr>
          <w:szCs w:val="20"/>
        </w:rPr>
        <w:t>42|Bloco|01012015|</w:t>
      </w:r>
    </w:p>
    <w:p w:rsidR="00556DC4" w:rsidRPr="00FA3856" w:rsidRDefault="00556DC4" w:rsidP="00556DC4">
      <w:pPr>
        <w:rPr>
          <w:szCs w:val="20"/>
        </w:rPr>
      </w:pPr>
      <w:r w:rsidRPr="00FA3856">
        <w:rPr>
          <w:szCs w:val="20"/>
        </w:rPr>
        <w:t>43|Frasco|01012015|</w:t>
      </w:r>
    </w:p>
    <w:p w:rsidR="00556DC4" w:rsidRPr="00FA3856" w:rsidRDefault="00556DC4" w:rsidP="00556DC4">
      <w:pPr>
        <w:rPr>
          <w:szCs w:val="20"/>
        </w:rPr>
      </w:pPr>
      <w:r w:rsidRPr="00FA3856">
        <w:rPr>
          <w:szCs w:val="20"/>
        </w:rPr>
        <w:t>44|Granel|01012015|</w:t>
      </w:r>
    </w:p>
    <w:p w:rsidR="00556DC4" w:rsidRPr="00FA3856" w:rsidRDefault="00556DC4" w:rsidP="00556DC4">
      <w:pPr>
        <w:rPr>
          <w:szCs w:val="20"/>
        </w:rPr>
      </w:pPr>
      <w:r w:rsidRPr="00FA3856">
        <w:rPr>
          <w:szCs w:val="20"/>
        </w:rPr>
        <w:t>45|Tubo|01012015|</w:t>
      </w:r>
    </w:p>
    <w:p w:rsidR="00556DC4" w:rsidRPr="00FA3856" w:rsidRDefault="00556DC4" w:rsidP="00556DC4">
      <w:pPr>
        <w:rPr>
          <w:szCs w:val="20"/>
        </w:rPr>
      </w:pPr>
      <w:r w:rsidRPr="00FA3856">
        <w:rPr>
          <w:szCs w:val="20"/>
        </w:rPr>
        <w:t>46|Gramas por Litro|01012015|</w:t>
      </w:r>
    </w:p>
    <w:p w:rsidR="00556DC4" w:rsidRPr="00FA3856" w:rsidRDefault="00556DC4" w:rsidP="00556DC4">
      <w:pPr>
        <w:rPr>
          <w:szCs w:val="20"/>
        </w:rPr>
      </w:pPr>
      <w:r w:rsidRPr="00FA3856">
        <w:rPr>
          <w:szCs w:val="20"/>
        </w:rPr>
        <w:t>47|Kit|01012015|</w:t>
      </w:r>
    </w:p>
    <w:p w:rsidR="00556DC4" w:rsidRPr="00FA3856" w:rsidRDefault="00556DC4" w:rsidP="00556DC4">
      <w:pPr>
        <w:rPr>
          <w:szCs w:val="20"/>
        </w:rPr>
      </w:pPr>
      <w:r w:rsidRPr="00FA3856">
        <w:rPr>
          <w:szCs w:val="20"/>
        </w:rPr>
        <w:t>48|Maço|01012015|</w:t>
      </w:r>
    </w:p>
    <w:p w:rsidR="00556DC4" w:rsidRPr="00FA3856" w:rsidRDefault="00556DC4" w:rsidP="00556DC4">
      <w:pPr>
        <w:rPr>
          <w:szCs w:val="20"/>
        </w:rPr>
      </w:pPr>
      <w:r w:rsidRPr="00FA3856">
        <w:rPr>
          <w:szCs w:val="20"/>
        </w:rPr>
        <w:t>49|Estivado|01012015|</w:t>
      </w:r>
    </w:p>
    <w:p w:rsidR="00556DC4" w:rsidRPr="00FA3856" w:rsidRDefault="00556DC4" w:rsidP="00556DC4">
      <w:pPr>
        <w:rPr>
          <w:szCs w:val="20"/>
        </w:rPr>
      </w:pPr>
      <w:r w:rsidRPr="00FA3856">
        <w:rPr>
          <w:szCs w:val="20"/>
        </w:rPr>
        <w:t>50|Resma|01012015|</w:t>
      </w:r>
    </w:p>
    <w:p w:rsidR="00556DC4" w:rsidRPr="00FA3856" w:rsidRDefault="00556DC4" w:rsidP="00556DC4">
      <w:pPr>
        <w:rPr>
          <w:szCs w:val="20"/>
        </w:rPr>
      </w:pPr>
      <w:r w:rsidRPr="00FA3856">
        <w:rPr>
          <w:szCs w:val="20"/>
        </w:rPr>
        <w:t>51|Vara|01012015|</w:t>
      </w:r>
    </w:p>
    <w:p w:rsidR="00556DC4" w:rsidRPr="00FA3856" w:rsidRDefault="00556DC4" w:rsidP="00556DC4">
      <w:pPr>
        <w:rPr>
          <w:szCs w:val="20"/>
        </w:rPr>
      </w:pPr>
      <w:r w:rsidRPr="00FA3856">
        <w:rPr>
          <w:szCs w:val="20"/>
        </w:rPr>
        <w:t>52|Folha|01012015|</w:t>
      </w:r>
    </w:p>
    <w:p w:rsidR="00556DC4" w:rsidRPr="00FA3856" w:rsidRDefault="00556DC4" w:rsidP="00556DC4">
      <w:pPr>
        <w:rPr>
          <w:szCs w:val="20"/>
        </w:rPr>
      </w:pPr>
      <w:r w:rsidRPr="00FA3856">
        <w:rPr>
          <w:szCs w:val="20"/>
        </w:rPr>
        <w:t>53|Cone|01012015|</w:t>
      </w:r>
    </w:p>
    <w:p w:rsidR="00556DC4" w:rsidRPr="00FA3856" w:rsidRDefault="00556DC4" w:rsidP="00556DC4">
      <w:pPr>
        <w:rPr>
          <w:szCs w:val="20"/>
        </w:rPr>
      </w:pPr>
      <w:r w:rsidRPr="00FA3856">
        <w:rPr>
          <w:szCs w:val="20"/>
        </w:rPr>
        <w:t>54|Conjunto|01012015|</w:t>
      </w:r>
    </w:p>
    <w:p w:rsidR="00556DC4" w:rsidRPr="00FA3856" w:rsidRDefault="00556DC4" w:rsidP="00556DC4">
      <w:pPr>
        <w:rPr>
          <w:szCs w:val="20"/>
        </w:rPr>
      </w:pPr>
      <w:r w:rsidRPr="00FA3856">
        <w:rPr>
          <w:szCs w:val="20"/>
        </w:rPr>
        <w:t>55|Barra|01012015|</w:t>
      </w:r>
    </w:p>
    <w:p w:rsidR="00556DC4" w:rsidRPr="00FA3856" w:rsidRDefault="00556DC4" w:rsidP="00556DC4">
      <w:pPr>
        <w:rPr>
          <w:szCs w:val="20"/>
        </w:rPr>
      </w:pPr>
      <w:r w:rsidRPr="00FA3856">
        <w:rPr>
          <w:szCs w:val="20"/>
        </w:rPr>
        <w:lastRenderedPageBreak/>
        <w:t>56|Bar|01012015|</w:t>
      </w:r>
    </w:p>
    <w:p w:rsidR="00556DC4" w:rsidRPr="00FA3856" w:rsidRDefault="00556DC4" w:rsidP="00556DC4">
      <w:pPr>
        <w:rPr>
          <w:szCs w:val="20"/>
        </w:rPr>
      </w:pPr>
      <w:r w:rsidRPr="00FA3856">
        <w:rPr>
          <w:szCs w:val="20"/>
        </w:rPr>
        <w:t>57|Pote|01012015|</w:t>
      </w:r>
    </w:p>
    <w:p w:rsidR="00556DC4" w:rsidRPr="00FA3856" w:rsidRDefault="00556DC4" w:rsidP="00556DC4">
      <w:pPr>
        <w:rPr>
          <w:szCs w:val="20"/>
        </w:rPr>
      </w:pPr>
      <w:r w:rsidRPr="00FA3856">
        <w:rPr>
          <w:szCs w:val="20"/>
        </w:rPr>
        <w:t>58|Garrafa|01012015|</w:t>
      </w:r>
    </w:p>
    <w:p w:rsidR="00556DC4" w:rsidRPr="00FA3856" w:rsidRDefault="00556DC4" w:rsidP="00556DC4">
      <w:pPr>
        <w:rPr>
          <w:szCs w:val="20"/>
        </w:rPr>
      </w:pPr>
      <w:r w:rsidRPr="00FA3856">
        <w:rPr>
          <w:szCs w:val="20"/>
        </w:rPr>
        <w:t>59|Pedaço|01012015|</w:t>
      </w:r>
    </w:p>
    <w:p w:rsidR="00556DC4" w:rsidRPr="00FA3856" w:rsidRDefault="00556DC4" w:rsidP="00556DC4">
      <w:pPr>
        <w:rPr>
          <w:szCs w:val="20"/>
        </w:rPr>
      </w:pPr>
      <w:r w:rsidRPr="00FA3856">
        <w:rPr>
          <w:szCs w:val="20"/>
        </w:rPr>
        <w:t>60|Tablete|01012015|</w:t>
      </w:r>
    </w:p>
    <w:p w:rsidR="00556DC4" w:rsidRPr="00FA3856" w:rsidRDefault="00556DC4" w:rsidP="00556DC4">
      <w:pPr>
        <w:rPr>
          <w:szCs w:val="20"/>
        </w:rPr>
      </w:pPr>
      <w:r w:rsidRPr="00FA3856">
        <w:rPr>
          <w:szCs w:val="20"/>
        </w:rPr>
        <w:t>61|Taça|01012015|</w:t>
      </w:r>
    </w:p>
    <w:p w:rsidR="00556DC4" w:rsidRPr="00FA3856" w:rsidRDefault="00556DC4" w:rsidP="00556DC4">
      <w:pPr>
        <w:rPr>
          <w:szCs w:val="20"/>
        </w:rPr>
      </w:pPr>
      <w:r w:rsidRPr="00FA3856">
        <w:rPr>
          <w:szCs w:val="20"/>
        </w:rPr>
        <w:t>62|Quilômetro|01012015|</w:t>
      </w:r>
    </w:p>
    <w:p w:rsidR="00556DC4" w:rsidRPr="00FA3856" w:rsidRDefault="00556DC4" w:rsidP="00556DC4">
      <w:pPr>
        <w:rPr>
          <w:szCs w:val="20"/>
        </w:rPr>
      </w:pPr>
      <w:r w:rsidRPr="00FA3856">
        <w:rPr>
          <w:szCs w:val="20"/>
        </w:rPr>
        <w:t>63|Volume|01012015|</w:t>
      </w:r>
    </w:p>
    <w:p w:rsidR="00556DC4" w:rsidRPr="00FA3856" w:rsidRDefault="00556DC4" w:rsidP="00556DC4">
      <w:pPr>
        <w:rPr>
          <w:szCs w:val="20"/>
        </w:rPr>
      </w:pPr>
      <w:r w:rsidRPr="00FA3856">
        <w:rPr>
          <w:szCs w:val="20"/>
        </w:rPr>
        <w:t>64|Hectares|01012015|</w:t>
      </w:r>
    </w:p>
    <w:p w:rsidR="00556DC4" w:rsidRPr="00FA3856" w:rsidRDefault="00556DC4" w:rsidP="00556DC4">
      <w:pPr>
        <w:rPr>
          <w:szCs w:val="20"/>
        </w:rPr>
      </w:pPr>
      <w:r w:rsidRPr="00FA3856">
        <w:rPr>
          <w:szCs w:val="20"/>
        </w:rPr>
        <w:t>65|Miligrama|01012015|</w:t>
      </w:r>
    </w:p>
    <w:p w:rsidR="00556DC4" w:rsidRPr="00FA3856" w:rsidRDefault="00556DC4" w:rsidP="00556DC4">
      <w:pPr>
        <w:rPr>
          <w:szCs w:val="20"/>
        </w:rPr>
      </w:pPr>
      <w:r w:rsidRPr="00FA3856">
        <w:rPr>
          <w:szCs w:val="20"/>
        </w:rPr>
        <w:t>66|Milivolt|01012015|</w:t>
      </w:r>
    </w:p>
    <w:p w:rsidR="00556DC4" w:rsidRPr="00FA3856" w:rsidRDefault="00556DC4" w:rsidP="00556DC4">
      <w:pPr>
        <w:rPr>
          <w:szCs w:val="20"/>
        </w:rPr>
      </w:pPr>
      <w:r w:rsidRPr="00FA3856">
        <w:rPr>
          <w:szCs w:val="20"/>
        </w:rPr>
        <w:t>67|Miliwatt|01012015|</w:t>
      </w:r>
    </w:p>
    <w:p w:rsidR="00556DC4" w:rsidRPr="00FA3856" w:rsidRDefault="00556DC4" w:rsidP="00556DC4">
      <w:pPr>
        <w:rPr>
          <w:szCs w:val="20"/>
        </w:rPr>
      </w:pPr>
      <w:r w:rsidRPr="00FA3856">
        <w:rPr>
          <w:szCs w:val="20"/>
        </w:rPr>
        <w:t>68|Quilovolt|01012015|</w:t>
      </w:r>
    </w:p>
    <w:p w:rsidR="00556DC4" w:rsidRPr="00FA3856" w:rsidRDefault="00556DC4" w:rsidP="00556DC4">
      <w:pPr>
        <w:rPr>
          <w:szCs w:val="20"/>
        </w:rPr>
      </w:pPr>
      <w:r w:rsidRPr="00FA3856">
        <w:rPr>
          <w:szCs w:val="20"/>
        </w:rPr>
        <w:t>69|Volt|01012015|</w:t>
      </w:r>
    </w:p>
    <w:p w:rsidR="00556DC4" w:rsidRPr="00FA3856" w:rsidRDefault="00556DC4" w:rsidP="00556DC4">
      <w:pPr>
        <w:rPr>
          <w:szCs w:val="20"/>
        </w:rPr>
      </w:pPr>
      <w:r w:rsidRPr="00FA3856">
        <w:rPr>
          <w:szCs w:val="20"/>
        </w:rPr>
        <w:t>70|Watt|01012015|</w:t>
      </w:r>
    </w:p>
    <w:p w:rsidR="00556DC4" w:rsidRPr="00FA3856" w:rsidRDefault="00556DC4" w:rsidP="00556DC4">
      <w:pPr>
        <w:rPr>
          <w:szCs w:val="20"/>
        </w:rPr>
      </w:pPr>
      <w:r w:rsidRPr="00FA3856">
        <w:rPr>
          <w:szCs w:val="20"/>
        </w:rPr>
        <w:t>71|Amperes|01012015|</w:t>
      </w:r>
    </w:p>
    <w:p w:rsidR="00556DC4" w:rsidRPr="00FA3856" w:rsidRDefault="00556DC4" w:rsidP="00556DC4">
      <w:pPr>
        <w:rPr>
          <w:szCs w:val="20"/>
        </w:rPr>
      </w:pPr>
      <w:r w:rsidRPr="00FA3856">
        <w:rPr>
          <w:szCs w:val="20"/>
        </w:rPr>
        <w:t>72|Jardas|01012015|</w:t>
      </w:r>
    </w:p>
    <w:p w:rsidR="00556DC4" w:rsidRPr="00FA3856" w:rsidRDefault="00556DC4" w:rsidP="00556DC4">
      <w:pPr>
        <w:rPr>
          <w:szCs w:val="20"/>
        </w:rPr>
      </w:pPr>
      <w:r w:rsidRPr="00FA3856">
        <w:rPr>
          <w:szCs w:val="20"/>
        </w:rPr>
        <w:t>73|Dose|01012015|</w:t>
      </w:r>
    </w:p>
    <w:p w:rsidR="00556DC4" w:rsidRPr="00FA3856" w:rsidRDefault="00556DC4" w:rsidP="00556DC4">
      <w:pPr>
        <w:rPr>
          <w:szCs w:val="20"/>
        </w:rPr>
      </w:pPr>
      <w:r w:rsidRPr="00FA3856">
        <w:rPr>
          <w:szCs w:val="20"/>
        </w:rPr>
        <w:t>74|Outros|01012015|</w:t>
      </w:r>
    </w:p>
    <w:p w:rsidR="00556DC4" w:rsidRPr="00FA3856" w:rsidRDefault="00556DC4" w:rsidP="00556DC4">
      <w:pPr>
        <w:rPr>
          <w:b/>
          <w:szCs w:val="20"/>
        </w:rPr>
      </w:pPr>
    </w:p>
    <w:p w:rsidR="003B49DF" w:rsidRPr="00FA3856" w:rsidRDefault="009A03C9" w:rsidP="00556DC4">
      <w:pPr>
        <w:rPr>
          <w:b/>
          <w:szCs w:val="20"/>
        </w:rPr>
      </w:pPr>
      <w:r w:rsidRPr="00FA3856">
        <w:rPr>
          <w:b/>
          <w:szCs w:val="20"/>
        </w:rPr>
        <w:t>I – Regras de Validação do Registro:</w:t>
      </w:r>
    </w:p>
    <w:p w:rsidR="00DB0A05" w:rsidRPr="00FA3856" w:rsidRDefault="00DB0A05" w:rsidP="00DB0A05">
      <w:pPr>
        <w:jc w:val="both"/>
        <w:rPr>
          <w:b/>
          <w:szCs w:val="20"/>
        </w:rPr>
      </w:pPr>
    </w:p>
    <w:p w:rsidR="008D0979" w:rsidRPr="00FA3856" w:rsidRDefault="008D0979" w:rsidP="00DB0A05">
      <w:pPr>
        <w:ind w:left="708"/>
        <w:jc w:val="both"/>
        <w:rPr>
          <w:b/>
          <w:bCs/>
          <w:szCs w:val="20"/>
        </w:rPr>
      </w:pPr>
      <w:r w:rsidRPr="00FA3856">
        <w:rPr>
          <w:b/>
          <w:bCs/>
          <w:szCs w:val="20"/>
        </w:rPr>
        <w:t>REGRA_UM_REGISTRO_X300:</w:t>
      </w:r>
      <w:r w:rsidR="00DB0A05" w:rsidRPr="00FA3856">
        <w:rPr>
          <w:b/>
          <w:bCs/>
          <w:szCs w:val="20"/>
        </w:rPr>
        <w:t xml:space="preserve"> </w:t>
      </w:r>
      <w:r w:rsidR="00DB0A05" w:rsidRPr="00FA3856">
        <w:rPr>
          <w:szCs w:val="20"/>
        </w:rPr>
        <w:t>Verifica se existe somente um reg</w:t>
      </w:r>
      <w:r w:rsidR="00733508" w:rsidRPr="00FA3856">
        <w:rPr>
          <w:szCs w:val="20"/>
        </w:rPr>
        <w:t xml:space="preserve">istro X300 para TIP_EXP </w:t>
      </w:r>
      <w:r w:rsidR="00DB0A05" w:rsidRPr="00FA3856">
        <w:rPr>
          <w:szCs w:val="20"/>
        </w:rPr>
        <w:t>igual a “</w:t>
      </w:r>
      <w:r w:rsidR="00491DBB" w:rsidRPr="00FA3856">
        <w:rPr>
          <w:szCs w:val="20"/>
        </w:rPr>
        <w:t>0</w:t>
      </w:r>
      <w:r w:rsidR="00DB0A05" w:rsidRPr="00FA3856">
        <w:rPr>
          <w:szCs w:val="20"/>
        </w:rPr>
        <w:t>5” (não especificadas). Se a regra não for cumprida, o sistema gera um erro.</w:t>
      </w:r>
    </w:p>
    <w:p w:rsidR="008D0979" w:rsidRPr="00FA3856" w:rsidRDefault="008D0979" w:rsidP="008D0979">
      <w:pPr>
        <w:ind w:firstLine="708"/>
        <w:jc w:val="both"/>
        <w:rPr>
          <w:b/>
          <w:bCs/>
          <w:szCs w:val="20"/>
        </w:rPr>
      </w:pPr>
    </w:p>
    <w:p w:rsidR="00DB0A05" w:rsidRPr="00FA3856" w:rsidRDefault="008D0979" w:rsidP="00DB0A05">
      <w:pPr>
        <w:ind w:left="708"/>
        <w:jc w:val="both"/>
        <w:rPr>
          <w:b/>
          <w:bCs/>
          <w:szCs w:val="20"/>
        </w:rPr>
      </w:pPr>
      <w:r w:rsidRPr="00FA3856">
        <w:rPr>
          <w:b/>
          <w:bCs/>
          <w:szCs w:val="20"/>
        </w:rPr>
        <w:t>REGRA_X310_NAO_PREENCHIDO:</w:t>
      </w:r>
      <w:r w:rsidR="00DB0A05" w:rsidRPr="00FA3856">
        <w:rPr>
          <w:b/>
          <w:bCs/>
          <w:szCs w:val="20"/>
        </w:rPr>
        <w:t xml:space="preserve"> </w:t>
      </w:r>
      <w:r w:rsidR="00DB0A05" w:rsidRPr="00FA3856">
        <w:rPr>
          <w:szCs w:val="20"/>
        </w:rPr>
        <w:t>Verifica se, para cada registro X300 preenchido, existe pelo menos um registro X310 preenchido. Se a regra não for cumprida, o sistema gera um aviso.</w:t>
      </w:r>
    </w:p>
    <w:p w:rsidR="008D0979" w:rsidRPr="00FA3856" w:rsidRDefault="008D0979" w:rsidP="00DB0A05">
      <w:pPr>
        <w:jc w:val="both"/>
        <w:rPr>
          <w:b/>
          <w:bCs/>
          <w:szCs w:val="20"/>
        </w:rPr>
      </w:pPr>
    </w:p>
    <w:p w:rsidR="00DB0A05" w:rsidRPr="00FA3856" w:rsidRDefault="008D0979" w:rsidP="00DB0A05">
      <w:pPr>
        <w:ind w:left="708"/>
        <w:jc w:val="both"/>
        <w:rPr>
          <w:b/>
          <w:bCs/>
          <w:szCs w:val="20"/>
        </w:rPr>
      </w:pPr>
      <w:r w:rsidRPr="00FA3856">
        <w:rPr>
          <w:b/>
          <w:bCs/>
          <w:szCs w:val="20"/>
        </w:rPr>
        <w:t>REGRA_SOMATORIA_VALOR_OPERACAO:</w:t>
      </w:r>
      <w:r w:rsidR="00DB0A05" w:rsidRPr="00FA3856">
        <w:rPr>
          <w:b/>
          <w:bCs/>
          <w:szCs w:val="20"/>
        </w:rPr>
        <w:t xml:space="preserve"> </w:t>
      </w:r>
      <w:r w:rsidR="00DB0A05" w:rsidRPr="00FA3856">
        <w:rPr>
          <w:bCs/>
          <w:szCs w:val="20"/>
        </w:rPr>
        <w:t>Verifica se o somatório dos registros filhos</w:t>
      </w:r>
      <w:r w:rsidR="00F35838" w:rsidRPr="00FA3856">
        <w:rPr>
          <w:szCs w:val="20"/>
        </w:rPr>
        <w:t xml:space="preserve"> X310.VL_OPER</w:t>
      </w:r>
      <w:r w:rsidR="00733508" w:rsidRPr="00FA3856">
        <w:rPr>
          <w:szCs w:val="20"/>
        </w:rPr>
        <w:t xml:space="preserve"> é igual a X300.TOT_OPER</w:t>
      </w:r>
      <w:r w:rsidR="00DB0A05" w:rsidRPr="00FA3856">
        <w:rPr>
          <w:szCs w:val="20"/>
        </w:rPr>
        <w:t>. Se a regra não for cumprida, o sistema gera um aviso.</w:t>
      </w:r>
    </w:p>
    <w:p w:rsidR="008D0979" w:rsidRPr="00FA3856" w:rsidRDefault="008D0979" w:rsidP="00DB0A05">
      <w:pPr>
        <w:jc w:val="both"/>
        <w:rPr>
          <w:b/>
          <w:bCs/>
          <w:szCs w:val="20"/>
        </w:rPr>
      </w:pPr>
    </w:p>
    <w:p w:rsidR="00DB0A05" w:rsidRPr="00FA3856" w:rsidRDefault="009A03C9" w:rsidP="00DB0A05">
      <w:pPr>
        <w:ind w:left="708"/>
        <w:jc w:val="both"/>
        <w:rPr>
          <w:b/>
          <w:bCs/>
          <w:szCs w:val="20"/>
        </w:rPr>
      </w:pPr>
      <w:r w:rsidRPr="00FA3856">
        <w:rPr>
          <w:b/>
          <w:bCs/>
          <w:szCs w:val="20"/>
        </w:rPr>
        <w:t>REGRA_TOT_OPER_NAO_ESPECIFICADA</w:t>
      </w:r>
      <w:r w:rsidR="008D0979" w:rsidRPr="00FA3856">
        <w:rPr>
          <w:b/>
          <w:bCs/>
          <w:szCs w:val="20"/>
        </w:rPr>
        <w:t>:</w:t>
      </w:r>
      <w:r w:rsidR="00DB0A05" w:rsidRPr="00FA3856">
        <w:rPr>
          <w:b/>
          <w:bCs/>
          <w:szCs w:val="20"/>
        </w:rPr>
        <w:t xml:space="preserve"> </w:t>
      </w:r>
      <w:r w:rsidR="00DB0A05" w:rsidRPr="00FA3856">
        <w:rPr>
          <w:bCs/>
          <w:szCs w:val="20"/>
        </w:rPr>
        <w:t xml:space="preserve">Verifica se </w:t>
      </w:r>
      <w:r w:rsidR="00F35838" w:rsidRPr="00FA3856">
        <w:rPr>
          <w:bCs/>
          <w:szCs w:val="20"/>
        </w:rPr>
        <w:t xml:space="preserve">X300.TOT_OPER (Campo </w:t>
      </w:r>
      <w:r w:rsidR="00DB0A05" w:rsidRPr="00FA3856">
        <w:rPr>
          <w:bCs/>
          <w:szCs w:val="20"/>
        </w:rPr>
        <w:t xml:space="preserve">4), quando </w:t>
      </w:r>
      <w:r w:rsidR="00733508" w:rsidRPr="00FA3856">
        <w:rPr>
          <w:bCs/>
          <w:szCs w:val="20"/>
        </w:rPr>
        <w:t xml:space="preserve">X300.TIP_EXP </w:t>
      </w:r>
      <w:r w:rsidR="00DB0A05" w:rsidRPr="00FA3856">
        <w:rPr>
          <w:bCs/>
          <w:szCs w:val="20"/>
        </w:rPr>
        <w:t>é igual a “</w:t>
      </w:r>
      <w:r w:rsidR="00491DBB" w:rsidRPr="00FA3856">
        <w:rPr>
          <w:bCs/>
          <w:szCs w:val="20"/>
        </w:rPr>
        <w:t>0</w:t>
      </w:r>
      <w:r w:rsidR="00DB0A05" w:rsidRPr="00FA3856">
        <w:rPr>
          <w:bCs/>
          <w:szCs w:val="20"/>
        </w:rPr>
        <w:t xml:space="preserve">5” (não especificadas), é maior que 20% do somatório de </w:t>
      </w:r>
      <w:r w:rsidR="00733508" w:rsidRPr="00FA3856">
        <w:rPr>
          <w:bCs/>
          <w:szCs w:val="20"/>
        </w:rPr>
        <w:t xml:space="preserve">X300.TOT_OPER </w:t>
      </w:r>
      <w:r w:rsidR="00DB0A05" w:rsidRPr="00FA3856">
        <w:rPr>
          <w:bCs/>
          <w:szCs w:val="20"/>
        </w:rPr>
        <w:t xml:space="preserve">e </w:t>
      </w:r>
      <w:r w:rsidR="00F35838" w:rsidRPr="00FA3856">
        <w:rPr>
          <w:bCs/>
          <w:szCs w:val="20"/>
        </w:rPr>
        <w:t>X300.</w:t>
      </w:r>
      <w:r w:rsidR="00733508" w:rsidRPr="00FA3856">
        <w:rPr>
          <w:bCs/>
          <w:szCs w:val="20"/>
        </w:rPr>
        <w:t>VL_JUR</w:t>
      </w:r>
      <w:r w:rsidR="00491DBB" w:rsidRPr="00FA3856">
        <w:rPr>
          <w:bCs/>
          <w:szCs w:val="20"/>
        </w:rPr>
        <w:t xml:space="preserve"> dos tipos “01” a “04”</w:t>
      </w:r>
      <w:r w:rsidR="00DB0A05" w:rsidRPr="00FA3856">
        <w:rPr>
          <w:bCs/>
          <w:szCs w:val="20"/>
        </w:rPr>
        <w:t xml:space="preserve">. </w:t>
      </w:r>
      <w:r w:rsidR="00DB0A05" w:rsidRPr="00FA3856">
        <w:rPr>
          <w:szCs w:val="20"/>
        </w:rPr>
        <w:t>Se a regra não for cumprida, o sistema gera um aviso.</w:t>
      </w:r>
    </w:p>
    <w:p w:rsidR="00331B36" w:rsidRPr="00FA3856" w:rsidRDefault="00331B36" w:rsidP="003B49DF">
      <w:pPr>
        <w:rPr>
          <w:b/>
          <w:szCs w:val="20"/>
        </w:rPr>
      </w:pPr>
    </w:p>
    <w:p w:rsidR="00B34779" w:rsidRDefault="00B34779">
      <w:pPr>
        <w:spacing w:after="200" w:line="276" w:lineRule="auto"/>
        <w:rPr>
          <w:b/>
          <w:szCs w:val="20"/>
        </w:rPr>
      </w:pPr>
      <w:r>
        <w:rPr>
          <w:b/>
          <w:szCs w:val="20"/>
        </w:rPr>
        <w:br w:type="page"/>
      </w:r>
    </w:p>
    <w:p w:rsidR="009A03C9" w:rsidRPr="00FA3856" w:rsidRDefault="009A03C9" w:rsidP="003B49DF">
      <w:pPr>
        <w:rPr>
          <w:b/>
          <w:szCs w:val="20"/>
        </w:rPr>
      </w:pPr>
      <w:r w:rsidRPr="00FA3856">
        <w:rPr>
          <w:b/>
          <w:szCs w:val="20"/>
        </w:rPr>
        <w:lastRenderedPageBreak/>
        <w:t>II – Regras de Validação de Campos:</w:t>
      </w:r>
    </w:p>
    <w:p w:rsidR="008D0979" w:rsidRPr="00FA3856" w:rsidRDefault="008D0979" w:rsidP="003B49DF">
      <w:pPr>
        <w:rPr>
          <w:b/>
          <w:szCs w:val="20"/>
        </w:rPr>
      </w:pPr>
    </w:p>
    <w:tbl>
      <w:tblPr>
        <w:tblW w:w="16370"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85"/>
        <w:gridCol w:w="3000"/>
        <w:gridCol w:w="12168"/>
        <w:gridCol w:w="717"/>
      </w:tblGrid>
      <w:tr w:rsidR="008D0979" w:rsidRPr="00FA3856" w:rsidTr="000430B5">
        <w:trPr>
          <w:tblHeader/>
          <w:jc w:val="center"/>
        </w:trPr>
        <w:tc>
          <w:tcPr>
            <w:tcW w:w="485" w:type="dxa"/>
            <w:tcBorders>
              <w:top w:val="single" w:sz="6" w:space="0" w:color="auto"/>
              <w:left w:val="single" w:sz="6" w:space="0" w:color="auto"/>
              <w:bottom w:val="single" w:sz="6" w:space="0" w:color="auto"/>
              <w:right w:val="single" w:sz="6" w:space="0" w:color="auto"/>
            </w:tcBorders>
            <w:shd w:val="pct10" w:color="auto" w:fill="FFFFFF"/>
          </w:tcPr>
          <w:p w:rsidR="008D0979" w:rsidRPr="00FA3856" w:rsidRDefault="008D0979" w:rsidP="008D0979">
            <w:pPr>
              <w:pStyle w:val="PSDS-CorpodeTexto0"/>
              <w:jc w:val="center"/>
              <w:rPr>
                <w:rFonts w:ascii="Times New Roman" w:hAnsi="Times New Roman"/>
                <w:b/>
                <w:bCs/>
              </w:rPr>
            </w:pPr>
            <w:r w:rsidRPr="00FA3856">
              <w:rPr>
                <w:rFonts w:ascii="Times New Roman" w:hAnsi="Times New Roman"/>
                <w:b/>
                <w:bCs/>
              </w:rPr>
              <w:t>Nº</w:t>
            </w:r>
          </w:p>
        </w:tc>
        <w:tc>
          <w:tcPr>
            <w:tcW w:w="3000" w:type="dxa"/>
            <w:tcBorders>
              <w:top w:val="single" w:sz="6" w:space="0" w:color="auto"/>
              <w:left w:val="single" w:sz="6" w:space="0" w:color="auto"/>
              <w:bottom w:val="single" w:sz="6" w:space="0" w:color="auto"/>
              <w:right w:val="single" w:sz="6" w:space="0" w:color="auto"/>
            </w:tcBorders>
            <w:shd w:val="pct10" w:color="auto" w:fill="FFFFFF"/>
          </w:tcPr>
          <w:p w:rsidR="008D0979" w:rsidRPr="00FA3856" w:rsidRDefault="008D0979" w:rsidP="008D0979">
            <w:pPr>
              <w:pStyle w:val="PSDS-CorpodeTexto0"/>
              <w:jc w:val="center"/>
              <w:rPr>
                <w:rFonts w:ascii="Times New Roman" w:hAnsi="Times New Roman"/>
                <w:b/>
                <w:bCs/>
              </w:rPr>
            </w:pPr>
            <w:r w:rsidRPr="00FA3856">
              <w:rPr>
                <w:rFonts w:ascii="Times New Roman" w:hAnsi="Times New Roman"/>
                <w:b/>
                <w:bCs/>
              </w:rPr>
              <w:t>Campo</w:t>
            </w:r>
          </w:p>
        </w:tc>
        <w:tc>
          <w:tcPr>
            <w:tcW w:w="12168" w:type="dxa"/>
            <w:tcBorders>
              <w:top w:val="single" w:sz="6" w:space="0" w:color="auto"/>
              <w:left w:val="single" w:sz="6" w:space="0" w:color="auto"/>
              <w:bottom w:val="single" w:sz="6" w:space="0" w:color="auto"/>
              <w:right w:val="single" w:sz="6" w:space="0" w:color="auto"/>
            </w:tcBorders>
            <w:shd w:val="pct10" w:color="auto" w:fill="FFFFFF"/>
          </w:tcPr>
          <w:p w:rsidR="008D0979" w:rsidRPr="00FA3856" w:rsidRDefault="008D0979" w:rsidP="008D0979">
            <w:pPr>
              <w:pStyle w:val="PSDS-CorpodeTexto0"/>
              <w:jc w:val="center"/>
              <w:rPr>
                <w:rFonts w:ascii="Times New Roman" w:hAnsi="Times New Roman"/>
                <w:b/>
                <w:bCs/>
              </w:rPr>
            </w:pPr>
            <w:r w:rsidRPr="00FA3856">
              <w:rPr>
                <w:rFonts w:ascii="Times New Roman" w:hAnsi="Times New Roman"/>
                <w:b/>
                <w:bCs/>
              </w:rPr>
              <w:t>Regras de Validação do Campo</w:t>
            </w:r>
          </w:p>
        </w:tc>
        <w:tc>
          <w:tcPr>
            <w:tcW w:w="717" w:type="dxa"/>
            <w:tcBorders>
              <w:top w:val="single" w:sz="6" w:space="0" w:color="auto"/>
              <w:left w:val="single" w:sz="6" w:space="0" w:color="auto"/>
              <w:bottom w:val="single" w:sz="6" w:space="0" w:color="auto"/>
              <w:right w:val="single" w:sz="6" w:space="0" w:color="auto"/>
            </w:tcBorders>
            <w:shd w:val="pct10" w:color="auto" w:fill="FFFFFF"/>
          </w:tcPr>
          <w:p w:rsidR="008D0979" w:rsidRPr="00FA3856" w:rsidRDefault="008D0979" w:rsidP="008D0979">
            <w:pPr>
              <w:pStyle w:val="PSDS-CorpodeTexto0"/>
              <w:jc w:val="center"/>
              <w:rPr>
                <w:rFonts w:ascii="Times New Roman" w:hAnsi="Times New Roman"/>
                <w:b/>
                <w:bCs/>
              </w:rPr>
            </w:pPr>
            <w:r w:rsidRPr="00FA3856">
              <w:rPr>
                <w:rFonts w:ascii="Times New Roman" w:hAnsi="Times New Roman"/>
                <w:b/>
                <w:bCs/>
              </w:rPr>
              <w:t>Tipo</w:t>
            </w:r>
          </w:p>
        </w:tc>
      </w:tr>
      <w:tr w:rsidR="008D0979" w:rsidRPr="00FA3856" w:rsidTr="000430B5">
        <w:trPr>
          <w:jc w:val="center"/>
        </w:trPr>
        <w:tc>
          <w:tcPr>
            <w:tcW w:w="485" w:type="dxa"/>
            <w:tcBorders>
              <w:top w:val="single" w:sz="6" w:space="0" w:color="auto"/>
              <w:left w:val="single" w:sz="6" w:space="0" w:color="auto"/>
              <w:bottom w:val="single" w:sz="6" w:space="0" w:color="auto"/>
              <w:right w:val="single" w:sz="6" w:space="0" w:color="auto"/>
            </w:tcBorders>
          </w:tcPr>
          <w:p w:rsidR="008D0979" w:rsidRPr="00FA3856" w:rsidRDefault="008D0979" w:rsidP="008D0979">
            <w:pPr>
              <w:pStyle w:val="PSDS-CorpodeTexto0"/>
              <w:suppressAutoHyphens w:val="0"/>
              <w:rPr>
                <w:rFonts w:ascii="Times New Roman" w:hAnsi="Times New Roman"/>
                <w:b/>
                <w:bCs/>
                <w:lang w:val="pt-PT"/>
              </w:rPr>
            </w:pPr>
            <w:r w:rsidRPr="00FA3856">
              <w:rPr>
                <w:rFonts w:ascii="Times New Roman" w:hAnsi="Times New Roman"/>
                <w:b/>
                <w:bCs/>
                <w:lang w:val="pt-PT"/>
              </w:rPr>
              <w:t>4</w:t>
            </w:r>
          </w:p>
        </w:tc>
        <w:tc>
          <w:tcPr>
            <w:tcW w:w="3000" w:type="dxa"/>
            <w:tcBorders>
              <w:top w:val="single" w:sz="6" w:space="0" w:color="auto"/>
              <w:left w:val="single" w:sz="6" w:space="0" w:color="auto"/>
              <w:bottom w:val="single" w:sz="6" w:space="0" w:color="auto"/>
              <w:right w:val="single" w:sz="6" w:space="0" w:color="auto"/>
            </w:tcBorders>
          </w:tcPr>
          <w:p w:rsidR="008D0979" w:rsidRPr="00FA3856" w:rsidRDefault="008D0979" w:rsidP="008D0979">
            <w:pPr>
              <w:pStyle w:val="PSDS-CorpodeTexto0"/>
              <w:rPr>
                <w:rFonts w:ascii="Times New Roman" w:hAnsi="Times New Roman"/>
                <w:lang w:val="pt-PT"/>
              </w:rPr>
            </w:pPr>
            <w:r w:rsidRPr="00FA3856">
              <w:rPr>
                <w:rFonts w:ascii="Times New Roman" w:hAnsi="Times New Roman"/>
                <w:lang w:val="pt-PT"/>
              </w:rPr>
              <w:t>DESC_EXP</w:t>
            </w:r>
          </w:p>
        </w:tc>
        <w:tc>
          <w:tcPr>
            <w:tcW w:w="12168" w:type="dxa"/>
            <w:tcBorders>
              <w:top w:val="single" w:sz="6" w:space="0" w:color="auto"/>
              <w:left w:val="single" w:sz="6" w:space="0" w:color="auto"/>
              <w:bottom w:val="single" w:sz="6" w:space="0" w:color="auto"/>
              <w:right w:val="single" w:sz="6" w:space="0" w:color="auto"/>
            </w:tcBorders>
          </w:tcPr>
          <w:p w:rsidR="00DB0A05" w:rsidRPr="00FA3856" w:rsidRDefault="008D0979" w:rsidP="00D314A8">
            <w:pPr>
              <w:pStyle w:val="PSDS-CorpodeTexto0"/>
              <w:jc w:val="both"/>
              <w:rPr>
                <w:rFonts w:ascii="Times New Roman" w:hAnsi="Times New Roman"/>
              </w:rPr>
            </w:pPr>
            <w:r w:rsidRPr="00FA3856">
              <w:rPr>
                <w:rFonts w:ascii="Times New Roman" w:hAnsi="Times New Roman"/>
                <w:b/>
              </w:rPr>
              <w:t>REGRA_TIP_EXP_123_OBRIGATORIO:</w:t>
            </w:r>
            <w:r w:rsidR="00DB0A05" w:rsidRPr="00FA3856">
              <w:rPr>
                <w:rFonts w:ascii="Times New Roman" w:hAnsi="Times New Roman"/>
                <w:b/>
              </w:rPr>
              <w:t xml:space="preserve"> </w:t>
            </w:r>
            <w:r w:rsidR="00DB0A05" w:rsidRPr="00FA3856">
              <w:rPr>
                <w:rFonts w:ascii="Times New Roman" w:hAnsi="Times New Roman"/>
              </w:rPr>
              <w:t xml:space="preserve">Verifica se </w:t>
            </w:r>
            <w:r w:rsidR="00066E19" w:rsidRPr="00FA3856">
              <w:rPr>
                <w:rFonts w:ascii="Times New Roman" w:hAnsi="Times New Roman"/>
              </w:rPr>
              <w:t>X300.</w:t>
            </w:r>
            <w:r w:rsidR="00DB0A05" w:rsidRPr="00FA3856">
              <w:rPr>
                <w:rFonts w:ascii="Times New Roman" w:hAnsi="Times New Roman"/>
              </w:rPr>
              <w:t>DESC_EX</w:t>
            </w:r>
            <w:r w:rsidR="00733508" w:rsidRPr="00FA3856">
              <w:rPr>
                <w:rFonts w:ascii="Times New Roman" w:hAnsi="Times New Roman"/>
              </w:rPr>
              <w:t xml:space="preserve">P </w:t>
            </w:r>
            <w:r w:rsidR="00DB0A05" w:rsidRPr="00FA3856">
              <w:rPr>
                <w:rFonts w:ascii="Times New Roman" w:hAnsi="Times New Roman"/>
              </w:rPr>
              <w:t xml:space="preserve">está preenchido quando </w:t>
            </w:r>
            <w:r w:rsidR="00066E19" w:rsidRPr="00FA3856">
              <w:rPr>
                <w:rFonts w:ascii="Times New Roman" w:hAnsi="Times New Roman"/>
              </w:rPr>
              <w:t>X300.</w:t>
            </w:r>
            <w:r w:rsidR="00DB0A05" w:rsidRPr="00FA3856">
              <w:rPr>
                <w:rFonts w:ascii="Times New Roman" w:hAnsi="Times New Roman"/>
              </w:rPr>
              <w:t>TIP_EXP</w:t>
            </w:r>
            <w:r w:rsidR="00733508" w:rsidRPr="00FA3856">
              <w:rPr>
                <w:rFonts w:ascii="Times New Roman" w:hAnsi="Times New Roman"/>
              </w:rPr>
              <w:t xml:space="preserve"> </w:t>
            </w:r>
            <w:r w:rsidR="00D314A8" w:rsidRPr="00FA3856">
              <w:rPr>
                <w:rFonts w:ascii="Times New Roman" w:hAnsi="Times New Roman"/>
              </w:rPr>
              <w:t xml:space="preserve">igual a “1” (bens) ou </w:t>
            </w:r>
            <w:r w:rsidR="00DB0A05" w:rsidRPr="00FA3856">
              <w:rPr>
                <w:rFonts w:ascii="Times New Roman" w:hAnsi="Times New Roman"/>
              </w:rPr>
              <w:t>“2” (serviços) ou “3” (direitos).</w:t>
            </w:r>
          </w:p>
        </w:tc>
        <w:tc>
          <w:tcPr>
            <w:tcW w:w="717" w:type="dxa"/>
            <w:tcBorders>
              <w:top w:val="single" w:sz="6" w:space="0" w:color="auto"/>
              <w:left w:val="single" w:sz="6" w:space="0" w:color="auto"/>
              <w:bottom w:val="single" w:sz="6" w:space="0" w:color="auto"/>
              <w:right w:val="single" w:sz="6" w:space="0" w:color="auto"/>
            </w:tcBorders>
          </w:tcPr>
          <w:p w:rsidR="008D0979" w:rsidRPr="00FA3856" w:rsidRDefault="008D0979" w:rsidP="008D0979">
            <w:pPr>
              <w:pStyle w:val="PSDS-CorpodeTexto0"/>
              <w:rPr>
                <w:rFonts w:ascii="Times New Roman" w:hAnsi="Times New Roman"/>
                <w:lang w:val="pt-PT"/>
              </w:rPr>
            </w:pPr>
            <w:r w:rsidRPr="00FA3856">
              <w:rPr>
                <w:rFonts w:ascii="Times New Roman" w:hAnsi="Times New Roman"/>
                <w:lang w:val="pt-PT"/>
              </w:rPr>
              <w:t>Erro</w:t>
            </w:r>
          </w:p>
          <w:p w:rsidR="008D0979" w:rsidRPr="00FA3856" w:rsidRDefault="008D0979" w:rsidP="008D0979">
            <w:pPr>
              <w:pStyle w:val="PSDS-CorpodeTexto0"/>
              <w:rPr>
                <w:rFonts w:ascii="Times New Roman" w:hAnsi="Times New Roman"/>
                <w:lang w:val="pt-PT"/>
              </w:rPr>
            </w:pPr>
          </w:p>
        </w:tc>
      </w:tr>
      <w:tr w:rsidR="008D0979" w:rsidRPr="00FA3856" w:rsidTr="000430B5">
        <w:trPr>
          <w:jc w:val="center"/>
        </w:trPr>
        <w:tc>
          <w:tcPr>
            <w:tcW w:w="485" w:type="dxa"/>
            <w:tcBorders>
              <w:top w:val="single" w:sz="6" w:space="0" w:color="auto"/>
              <w:left w:val="single" w:sz="6" w:space="0" w:color="auto"/>
              <w:bottom w:val="single" w:sz="6" w:space="0" w:color="auto"/>
              <w:right w:val="single" w:sz="6" w:space="0" w:color="auto"/>
            </w:tcBorders>
          </w:tcPr>
          <w:p w:rsidR="008D0979" w:rsidRPr="00FA3856" w:rsidRDefault="008D0979" w:rsidP="008D0979">
            <w:pPr>
              <w:pStyle w:val="PSDS-CorpodeTexto0"/>
              <w:suppressAutoHyphens w:val="0"/>
              <w:rPr>
                <w:rFonts w:ascii="Times New Roman" w:hAnsi="Times New Roman"/>
                <w:b/>
                <w:bCs/>
                <w:lang w:val="pt-PT"/>
              </w:rPr>
            </w:pPr>
            <w:r w:rsidRPr="00FA3856">
              <w:rPr>
                <w:rFonts w:ascii="Times New Roman" w:hAnsi="Times New Roman"/>
                <w:b/>
                <w:bCs/>
                <w:lang w:val="pt-PT"/>
              </w:rPr>
              <w:t>5</w:t>
            </w:r>
          </w:p>
        </w:tc>
        <w:tc>
          <w:tcPr>
            <w:tcW w:w="3000" w:type="dxa"/>
            <w:tcBorders>
              <w:top w:val="single" w:sz="6" w:space="0" w:color="auto"/>
              <w:left w:val="single" w:sz="6" w:space="0" w:color="auto"/>
              <w:bottom w:val="single" w:sz="6" w:space="0" w:color="auto"/>
              <w:right w:val="single" w:sz="6" w:space="0" w:color="auto"/>
            </w:tcBorders>
          </w:tcPr>
          <w:p w:rsidR="008D0979" w:rsidRPr="00FA3856" w:rsidRDefault="008D0979" w:rsidP="008D0979">
            <w:pPr>
              <w:pStyle w:val="PSDS-CorpodeTexto0"/>
              <w:rPr>
                <w:rFonts w:ascii="Times New Roman" w:hAnsi="Times New Roman"/>
              </w:rPr>
            </w:pPr>
            <w:r w:rsidRPr="00FA3856">
              <w:rPr>
                <w:rFonts w:ascii="Times New Roman" w:hAnsi="Times New Roman"/>
              </w:rPr>
              <w:t>TOT_OPER</w:t>
            </w:r>
          </w:p>
        </w:tc>
        <w:tc>
          <w:tcPr>
            <w:tcW w:w="12168" w:type="dxa"/>
            <w:tcBorders>
              <w:top w:val="single" w:sz="6" w:space="0" w:color="auto"/>
              <w:left w:val="single" w:sz="6" w:space="0" w:color="auto"/>
              <w:bottom w:val="single" w:sz="6" w:space="0" w:color="auto"/>
              <w:right w:val="single" w:sz="6" w:space="0" w:color="auto"/>
            </w:tcBorders>
          </w:tcPr>
          <w:p w:rsidR="008D0979" w:rsidRPr="00FA3856" w:rsidRDefault="008D0979" w:rsidP="00D314A8">
            <w:pPr>
              <w:pStyle w:val="Corpodetexto"/>
              <w:rPr>
                <w:rFonts w:ascii="Times New Roman" w:hAnsi="Times New Roman"/>
                <w:szCs w:val="20"/>
              </w:rPr>
            </w:pPr>
            <w:r w:rsidRPr="00FA3856">
              <w:rPr>
                <w:rFonts w:ascii="Times New Roman" w:hAnsi="Times New Roman"/>
                <w:b/>
                <w:bCs/>
                <w:szCs w:val="20"/>
              </w:rPr>
              <w:t>REGRA_TOT_OPER_OBRIGATORIO</w:t>
            </w:r>
            <w:r w:rsidR="00A6245E" w:rsidRPr="00FA3856">
              <w:rPr>
                <w:rFonts w:ascii="Times New Roman" w:hAnsi="Times New Roman"/>
                <w:b/>
                <w:bCs/>
                <w:szCs w:val="20"/>
              </w:rPr>
              <w:t>_X300</w:t>
            </w:r>
            <w:r w:rsidRPr="00FA3856">
              <w:rPr>
                <w:rFonts w:ascii="Times New Roman" w:hAnsi="Times New Roman"/>
                <w:b/>
                <w:bCs/>
                <w:szCs w:val="20"/>
              </w:rPr>
              <w:t>:</w:t>
            </w:r>
            <w:r w:rsidR="00DB0A05" w:rsidRPr="00FA3856">
              <w:rPr>
                <w:rFonts w:ascii="Times New Roman" w:hAnsi="Times New Roman"/>
                <w:b/>
                <w:bCs/>
                <w:szCs w:val="20"/>
              </w:rPr>
              <w:t xml:space="preserve"> </w:t>
            </w:r>
            <w:r w:rsidR="00DB0A05" w:rsidRPr="00FA3856">
              <w:rPr>
                <w:rFonts w:ascii="Times New Roman" w:hAnsi="Times New Roman"/>
                <w:bCs/>
                <w:szCs w:val="20"/>
              </w:rPr>
              <w:t xml:space="preserve">Verifica se </w:t>
            </w:r>
            <w:r w:rsidR="00733508" w:rsidRPr="00FA3856">
              <w:rPr>
                <w:rFonts w:ascii="Times New Roman" w:hAnsi="Times New Roman"/>
                <w:bCs/>
                <w:szCs w:val="20"/>
              </w:rPr>
              <w:t xml:space="preserve">X300.TOT_OPER </w:t>
            </w:r>
            <w:r w:rsidR="00DB0A05" w:rsidRPr="00FA3856">
              <w:rPr>
                <w:rFonts w:ascii="Times New Roman" w:hAnsi="Times New Roman"/>
                <w:bCs/>
                <w:szCs w:val="20"/>
              </w:rPr>
              <w:t xml:space="preserve">está preenchido quando </w:t>
            </w:r>
            <w:r w:rsidR="00066E19" w:rsidRPr="00FA3856">
              <w:rPr>
                <w:rFonts w:ascii="Times New Roman" w:hAnsi="Times New Roman"/>
                <w:bCs/>
                <w:szCs w:val="20"/>
              </w:rPr>
              <w:t>X300.</w:t>
            </w:r>
            <w:r w:rsidR="00DB0A05" w:rsidRPr="00FA3856">
              <w:rPr>
                <w:rFonts w:ascii="Times New Roman" w:hAnsi="Times New Roman"/>
                <w:szCs w:val="20"/>
              </w:rPr>
              <w:t>TIP_EX</w:t>
            </w:r>
            <w:r w:rsidR="00733508" w:rsidRPr="00FA3856">
              <w:rPr>
                <w:rFonts w:ascii="Times New Roman" w:hAnsi="Times New Roman"/>
                <w:szCs w:val="20"/>
              </w:rPr>
              <w:t xml:space="preserve">P </w:t>
            </w:r>
            <w:r w:rsidR="00D314A8" w:rsidRPr="00FA3856">
              <w:rPr>
                <w:rFonts w:ascii="Times New Roman" w:hAnsi="Times New Roman"/>
                <w:szCs w:val="20"/>
              </w:rPr>
              <w:t>igual a “1” (bens) ou</w:t>
            </w:r>
            <w:r w:rsidR="00DB0A05" w:rsidRPr="00FA3856">
              <w:rPr>
                <w:rFonts w:ascii="Times New Roman" w:hAnsi="Times New Roman"/>
                <w:szCs w:val="20"/>
              </w:rPr>
              <w:t xml:space="preserve"> “</w:t>
            </w:r>
            <w:r w:rsidR="00D314A8" w:rsidRPr="00FA3856">
              <w:rPr>
                <w:rFonts w:ascii="Times New Roman" w:hAnsi="Times New Roman"/>
                <w:szCs w:val="20"/>
              </w:rPr>
              <w:t>2” (serviços) ou “3” (direitos) ou “5” (não especificadas).</w:t>
            </w:r>
          </w:p>
        </w:tc>
        <w:tc>
          <w:tcPr>
            <w:tcW w:w="717" w:type="dxa"/>
            <w:tcBorders>
              <w:top w:val="single" w:sz="6" w:space="0" w:color="auto"/>
              <w:left w:val="single" w:sz="6" w:space="0" w:color="auto"/>
              <w:bottom w:val="single" w:sz="6" w:space="0" w:color="auto"/>
              <w:right w:val="single" w:sz="6" w:space="0" w:color="auto"/>
            </w:tcBorders>
          </w:tcPr>
          <w:p w:rsidR="008D0979" w:rsidRPr="00FA3856" w:rsidRDefault="008D0979" w:rsidP="008D0979">
            <w:pPr>
              <w:pStyle w:val="PSDS-CorpodeTexto0"/>
              <w:rPr>
                <w:rFonts w:ascii="Times New Roman" w:hAnsi="Times New Roman"/>
              </w:rPr>
            </w:pPr>
            <w:r w:rsidRPr="00FA3856">
              <w:rPr>
                <w:rFonts w:ascii="Times New Roman" w:hAnsi="Times New Roman"/>
              </w:rPr>
              <w:t>Erro</w:t>
            </w:r>
          </w:p>
          <w:p w:rsidR="008D0979" w:rsidRPr="00FA3856" w:rsidRDefault="008D0979" w:rsidP="008D0979">
            <w:pPr>
              <w:pStyle w:val="PSDS-CorpodeTexto0"/>
              <w:rPr>
                <w:rFonts w:ascii="Times New Roman" w:hAnsi="Times New Roman"/>
              </w:rPr>
            </w:pPr>
          </w:p>
        </w:tc>
      </w:tr>
      <w:tr w:rsidR="008D0979" w:rsidRPr="00FA3856" w:rsidTr="000430B5">
        <w:trPr>
          <w:jc w:val="center"/>
        </w:trPr>
        <w:tc>
          <w:tcPr>
            <w:tcW w:w="485" w:type="dxa"/>
            <w:tcBorders>
              <w:top w:val="single" w:sz="6" w:space="0" w:color="auto"/>
              <w:left w:val="single" w:sz="6" w:space="0" w:color="auto"/>
              <w:bottom w:val="single" w:sz="6" w:space="0" w:color="auto"/>
              <w:right w:val="single" w:sz="6" w:space="0" w:color="auto"/>
            </w:tcBorders>
          </w:tcPr>
          <w:p w:rsidR="008D0979" w:rsidRPr="00FA3856" w:rsidRDefault="008D0979" w:rsidP="008D0979">
            <w:pPr>
              <w:pStyle w:val="PSDS-CorpodeTexto0"/>
              <w:suppressAutoHyphens w:val="0"/>
              <w:rPr>
                <w:rFonts w:ascii="Times New Roman" w:hAnsi="Times New Roman"/>
                <w:b/>
                <w:bCs/>
                <w:lang w:val="pt-PT"/>
              </w:rPr>
            </w:pPr>
            <w:r w:rsidRPr="00FA3856">
              <w:rPr>
                <w:rFonts w:ascii="Times New Roman" w:hAnsi="Times New Roman"/>
                <w:b/>
                <w:bCs/>
                <w:lang w:val="pt-PT"/>
              </w:rPr>
              <w:t>6</w:t>
            </w:r>
          </w:p>
        </w:tc>
        <w:tc>
          <w:tcPr>
            <w:tcW w:w="3000" w:type="dxa"/>
            <w:tcBorders>
              <w:top w:val="single" w:sz="6" w:space="0" w:color="auto"/>
              <w:left w:val="single" w:sz="6" w:space="0" w:color="auto"/>
              <w:bottom w:val="single" w:sz="6" w:space="0" w:color="auto"/>
              <w:right w:val="single" w:sz="6" w:space="0" w:color="auto"/>
            </w:tcBorders>
          </w:tcPr>
          <w:p w:rsidR="008D0979" w:rsidRPr="00FA3856" w:rsidRDefault="008D0979" w:rsidP="008D0979">
            <w:pPr>
              <w:pStyle w:val="PSDS-CorpodeTexto0"/>
              <w:rPr>
                <w:rFonts w:ascii="Times New Roman" w:hAnsi="Times New Roman"/>
                <w:lang w:val="pt-PT"/>
              </w:rPr>
            </w:pPr>
            <w:r w:rsidRPr="00FA3856">
              <w:rPr>
                <w:rFonts w:ascii="Times New Roman" w:hAnsi="Times New Roman"/>
                <w:lang w:val="pt-PT"/>
              </w:rPr>
              <w:t>COD_NCM</w:t>
            </w:r>
          </w:p>
          <w:p w:rsidR="00642131" w:rsidRPr="00FA3856" w:rsidRDefault="00642131" w:rsidP="008D0979">
            <w:pPr>
              <w:pStyle w:val="PSDS-CorpodeTexto0"/>
              <w:rPr>
                <w:rFonts w:ascii="Times New Roman" w:hAnsi="Times New Roman"/>
                <w:lang w:val="pt-PT"/>
              </w:rPr>
            </w:pPr>
          </w:p>
        </w:tc>
        <w:tc>
          <w:tcPr>
            <w:tcW w:w="12168" w:type="dxa"/>
            <w:tcBorders>
              <w:top w:val="single" w:sz="6" w:space="0" w:color="auto"/>
              <w:left w:val="single" w:sz="6" w:space="0" w:color="auto"/>
              <w:bottom w:val="single" w:sz="6" w:space="0" w:color="auto"/>
              <w:right w:val="single" w:sz="6" w:space="0" w:color="auto"/>
            </w:tcBorders>
          </w:tcPr>
          <w:p w:rsidR="008D0979" w:rsidRPr="00FA3856" w:rsidRDefault="008D0979" w:rsidP="00733508">
            <w:pPr>
              <w:pStyle w:val="PSDS-CorpodeTexto0"/>
              <w:jc w:val="both"/>
              <w:rPr>
                <w:rFonts w:ascii="Times New Roman" w:hAnsi="Times New Roman"/>
                <w:b/>
                <w:bCs/>
                <w:lang w:val="pt-PT"/>
              </w:rPr>
            </w:pPr>
            <w:r w:rsidRPr="00FA3856">
              <w:rPr>
                <w:rFonts w:ascii="Times New Roman" w:hAnsi="Times New Roman"/>
                <w:b/>
              </w:rPr>
              <w:t>REGRA_OBRIGATORIO_BENS:</w:t>
            </w:r>
            <w:r w:rsidR="00D314A8" w:rsidRPr="00FA3856">
              <w:rPr>
                <w:rFonts w:ascii="Times New Roman" w:hAnsi="Times New Roman"/>
                <w:b/>
              </w:rPr>
              <w:t xml:space="preserve"> </w:t>
            </w:r>
            <w:r w:rsidR="00D314A8" w:rsidRPr="00FA3856">
              <w:rPr>
                <w:rFonts w:ascii="Times New Roman" w:hAnsi="Times New Roman"/>
                <w:bCs/>
              </w:rPr>
              <w:t xml:space="preserve">Verifica se </w:t>
            </w:r>
            <w:r w:rsidR="00733508" w:rsidRPr="00FA3856">
              <w:rPr>
                <w:rFonts w:ascii="Times New Roman" w:hAnsi="Times New Roman"/>
                <w:bCs/>
              </w:rPr>
              <w:t xml:space="preserve">X300.COD_NCM </w:t>
            </w:r>
            <w:r w:rsidR="00D314A8" w:rsidRPr="00FA3856">
              <w:rPr>
                <w:rFonts w:ascii="Times New Roman" w:hAnsi="Times New Roman"/>
                <w:bCs/>
              </w:rPr>
              <w:t xml:space="preserve">está preenchido quando </w:t>
            </w:r>
            <w:r w:rsidR="00066E19" w:rsidRPr="00FA3856">
              <w:rPr>
                <w:rFonts w:ascii="Times New Roman" w:hAnsi="Times New Roman"/>
                <w:bCs/>
              </w:rPr>
              <w:t>X300.</w:t>
            </w:r>
            <w:r w:rsidR="00733508" w:rsidRPr="00FA3856">
              <w:rPr>
                <w:rFonts w:ascii="Times New Roman" w:hAnsi="Times New Roman"/>
              </w:rPr>
              <w:t xml:space="preserve">TIP_EXP </w:t>
            </w:r>
            <w:r w:rsidR="00D314A8" w:rsidRPr="00FA3856">
              <w:rPr>
                <w:rFonts w:ascii="Times New Roman" w:hAnsi="Times New Roman"/>
              </w:rPr>
              <w:t>igual a “1” (bens).</w:t>
            </w:r>
          </w:p>
        </w:tc>
        <w:tc>
          <w:tcPr>
            <w:tcW w:w="717" w:type="dxa"/>
            <w:tcBorders>
              <w:top w:val="single" w:sz="6" w:space="0" w:color="auto"/>
              <w:left w:val="single" w:sz="6" w:space="0" w:color="auto"/>
              <w:bottom w:val="single" w:sz="6" w:space="0" w:color="auto"/>
              <w:right w:val="single" w:sz="6" w:space="0" w:color="auto"/>
            </w:tcBorders>
          </w:tcPr>
          <w:p w:rsidR="008D0979" w:rsidRPr="00FA3856" w:rsidRDefault="008D0979" w:rsidP="008D0979">
            <w:pPr>
              <w:pStyle w:val="PSDS-CorpodeTexto0"/>
              <w:rPr>
                <w:rFonts w:ascii="Times New Roman" w:hAnsi="Times New Roman"/>
                <w:lang w:val="pt-PT"/>
              </w:rPr>
            </w:pPr>
            <w:r w:rsidRPr="00FA3856">
              <w:rPr>
                <w:rFonts w:ascii="Times New Roman" w:hAnsi="Times New Roman"/>
                <w:lang w:val="pt-PT"/>
              </w:rPr>
              <w:t>Erro</w:t>
            </w:r>
          </w:p>
          <w:p w:rsidR="008D0979" w:rsidRPr="00FA3856" w:rsidRDefault="008D0979" w:rsidP="008D0979">
            <w:pPr>
              <w:pStyle w:val="PSDS-CorpodeTexto0"/>
              <w:rPr>
                <w:rFonts w:ascii="Times New Roman" w:hAnsi="Times New Roman"/>
                <w:lang w:val="pt-PT"/>
              </w:rPr>
            </w:pPr>
          </w:p>
        </w:tc>
      </w:tr>
      <w:tr w:rsidR="008D0979" w:rsidRPr="00FA3856" w:rsidTr="000430B5">
        <w:trPr>
          <w:jc w:val="center"/>
        </w:trPr>
        <w:tc>
          <w:tcPr>
            <w:tcW w:w="485" w:type="dxa"/>
            <w:tcBorders>
              <w:top w:val="single" w:sz="6" w:space="0" w:color="auto"/>
              <w:left w:val="single" w:sz="6" w:space="0" w:color="auto"/>
              <w:bottom w:val="single" w:sz="6" w:space="0" w:color="auto"/>
              <w:right w:val="single" w:sz="6" w:space="0" w:color="auto"/>
            </w:tcBorders>
          </w:tcPr>
          <w:p w:rsidR="008D0979" w:rsidRPr="00FA3856" w:rsidRDefault="008D0979" w:rsidP="008D0979">
            <w:pPr>
              <w:pStyle w:val="PSDS-CorpodeTexto0"/>
              <w:suppressAutoHyphens w:val="0"/>
              <w:rPr>
                <w:rFonts w:ascii="Times New Roman" w:hAnsi="Times New Roman"/>
                <w:b/>
                <w:bCs/>
                <w:lang w:val="pt-PT"/>
              </w:rPr>
            </w:pPr>
            <w:r w:rsidRPr="00FA3856">
              <w:rPr>
                <w:rFonts w:ascii="Times New Roman" w:hAnsi="Times New Roman"/>
                <w:b/>
                <w:bCs/>
                <w:lang w:val="pt-PT"/>
              </w:rPr>
              <w:t>7</w:t>
            </w:r>
          </w:p>
        </w:tc>
        <w:tc>
          <w:tcPr>
            <w:tcW w:w="3000" w:type="dxa"/>
            <w:tcBorders>
              <w:top w:val="single" w:sz="6" w:space="0" w:color="auto"/>
              <w:left w:val="single" w:sz="6" w:space="0" w:color="auto"/>
              <w:bottom w:val="single" w:sz="6" w:space="0" w:color="auto"/>
              <w:right w:val="single" w:sz="6" w:space="0" w:color="auto"/>
            </w:tcBorders>
          </w:tcPr>
          <w:p w:rsidR="008D0979" w:rsidRPr="00FA3856" w:rsidRDefault="008D0979" w:rsidP="008D0979">
            <w:pPr>
              <w:pStyle w:val="PSDS-CorpodeTexto0"/>
              <w:rPr>
                <w:rFonts w:ascii="Times New Roman" w:hAnsi="Times New Roman"/>
              </w:rPr>
            </w:pPr>
            <w:r w:rsidRPr="00FA3856">
              <w:rPr>
                <w:rFonts w:ascii="Times New Roman" w:hAnsi="Times New Roman"/>
              </w:rPr>
              <w:t>QTDE</w:t>
            </w:r>
          </w:p>
        </w:tc>
        <w:tc>
          <w:tcPr>
            <w:tcW w:w="12168" w:type="dxa"/>
            <w:tcBorders>
              <w:top w:val="single" w:sz="6" w:space="0" w:color="auto"/>
              <w:left w:val="single" w:sz="6" w:space="0" w:color="auto"/>
              <w:bottom w:val="single" w:sz="6" w:space="0" w:color="auto"/>
              <w:right w:val="single" w:sz="6" w:space="0" w:color="auto"/>
            </w:tcBorders>
          </w:tcPr>
          <w:p w:rsidR="008D0979" w:rsidRPr="00FA3856" w:rsidRDefault="008D0979" w:rsidP="00D314A8">
            <w:pPr>
              <w:pStyle w:val="Corpodetexto"/>
              <w:rPr>
                <w:rFonts w:ascii="Times New Roman" w:hAnsi="Times New Roman"/>
                <w:szCs w:val="20"/>
              </w:rPr>
            </w:pPr>
            <w:r w:rsidRPr="00FA3856">
              <w:rPr>
                <w:rFonts w:ascii="Times New Roman" w:hAnsi="Times New Roman"/>
                <w:b/>
                <w:szCs w:val="20"/>
              </w:rPr>
              <w:t>REGRA_OBRIGATORIO_BENS:</w:t>
            </w:r>
            <w:r w:rsidR="00D314A8" w:rsidRPr="00FA3856">
              <w:rPr>
                <w:rFonts w:ascii="Times New Roman" w:hAnsi="Times New Roman"/>
                <w:b/>
                <w:szCs w:val="20"/>
              </w:rPr>
              <w:t xml:space="preserve"> </w:t>
            </w:r>
            <w:r w:rsidR="00D314A8" w:rsidRPr="00FA3856">
              <w:rPr>
                <w:rFonts w:ascii="Times New Roman" w:hAnsi="Times New Roman"/>
                <w:bCs/>
                <w:szCs w:val="20"/>
              </w:rPr>
              <w:t xml:space="preserve">Verifica se </w:t>
            </w:r>
            <w:r w:rsidR="00066E19" w:rsidRPr="00FA3856">
              <w:rPr>
                <w:rFonts w:ascii="Times New Roman" w:hAnsi="Times New Roman"/>
                <w:bCs/>
                <w:szCs w:val="20"/>
              </w:rPr>
              <w:t>X300.</w:t>
            </w:r>
            <w:r w:rsidR="00733508" w:rsidRPr="00FA3856">
              <w:rPr>
                <w:rFonts w:ascii="Times New Roman" w:hAnsi="Times New Roman"/>
                <w:bCs/>
                <w:szCs w:val="20"/>
              </w:rPr>
              <w:t xml:space="preserve">QTDE </w:t>
            </w:r>
            <w:r w:rsidR="00D314A8" w:rsidRPr="00FA3856">
              <w:rPr>
                <w:rFonts w:ascii="Times New Roman" w:hAnsi="Times New Roman"/>
                <w:bCs/>
                <w:szCs w:val="20"/>
              </w:rPr>
              <w:t xml:space="preserve">está preenchido quando </w:t>
            </w:r>
            <w:r w:rsidR="00066E19" w:rsidRPr="00FA3856">
              <w:rPr>
                <w:rFonts w:ascii="Times New Roman" w:hAnsi="Times New Roman"/>
                <w:bCs/>
                <w:szCs w:val="20"/>
              </w:rPr>
              <w:t>X300.</w:t>
            </w:r>
            <w:r w:rsidR="00733508" w:rsidRPr="00FA3856">
              <w:rPr>
                <w:rFonts w:ascii="Times New Roman" w:hAnsi="Times New Roman"/>
                <w:szCs w:val="20"/>
              </w:rPr>
              <w:t xml:space="preserve">TIP_EXP </w:t>
            </w:r>
            <w:r w:rsidR="00D314A8" w:rsidRPr="00FA3856">
              <w:rPr>
                <w:rFonts w:ascii="Times New Roman" w:hAnsi="Times New Roman"/>
                <w:szCs w:val="20"/>
              </w:rPr>
              <w:t>igual a “1” (bens).</w:t>
            </w:r>
          </w:p>
        </w:tc>
        <w:tc>
          <w:tcPr>
            <w:tcW w:w="717" w:type="dxa"/>
            <w:tcBorders>
              <w:top w:val="single" w:sz="6" w:space="0" w:color="auto"/>
              <w:left w:val="single" w:sz="6" w:space="0" w:color="auto"/>
              <w:bottom w:val="single" w:sz="6" w:space="0" w:color="auto"/>
              <w:right w:val="single" w:sz="6" w:space="0" w:color="auto"/>
            </w:tcBorders>
          </w:tcPr>
          <w:p w:rsidR="008D0979" w:rsidRPr="00FA3856" w:rsidRDefault="008D0979" w:rsidP="008D0979">
            <w:pPr>
              <w:pStyle w:val="PSDS-CorpodeTexto0"/>
              <w:rPr>
                <w:rFonts w:ascii="Times New Roman" w:hAnsi="Times New Roman"/>
              </w:rPr>
            </w:pPr>
            <w:r w:rsidRPr="00FA3856">
              <w:rPr>
                <w:rFonts w:ascii="Times New Roman" w:hAnsi="Times New Roman"/>
              </w:rPr>
              <w:t>Erro</w:t>
            </w:r>
          </w:p>
          <w:p w:rsidR="008D0979" w:rsidRPr="00FA3856" w:rsidRDefault="008D0979" w:rsidP="008D0979">
            <w:pPr>
              <w:pStyle w:val="PSDS-CorpodeTexto0"/>
              <w:rPr>
                <w:rFonts w:ascii="Times New Roman" w:hAnsi="Times New Roman"/>
              </w:rPr>
            </w:pPr>
          </w:p>
        </w:tc>
      </w:tr>
      <w:tr w:rsidR="008D0979" w:rsidRPr="00FA3856" w:rsidTr="000430B5">
        <w:trPr>
          <w:jc w:val="center"/>
        </w:trPr>
        <w:tc>
          <w:tcPr>
            <w:tcW w:w="485" w:type="dxa"/>
            <w:tcBorders>
              <w:top w:val="single" w:sz="6" w:space="0" w:color="auto"/>
              <w:left w:val="single" w:sz="6" w:space="0" w:color="auto"/>
              <w:bottom w:val="single" w:sz="6" w:space="0" w:color="auto"/>
              <w:right w:val="single" w:sz="6" w:space="0" w:color="auto"/>
            </w:tcBorders>
          </w:tcPr>
          <w:p w:rsidR="008D0979" w:rsidRPr="00FA3856" w:rsidRDefault="008D0979" w:rsidP="008D0979">
            <w:pPr>
              <w:pStyle w:val="PSDS-CorpodeTexto0"/>
              <w:suppressAutoHyphens w:val="0"/>
              <w:rPr>
                <w:rFonts w:ascii="Times New Roman" w:hAnsi="Times New Roman"/>
                <w:b/>
                <w:bCs/>
                <w:lang w:val="pt-PT"/>
              </w:rPr>
            </w:pPr>
            <w:r w:rsidRPr="00FA3856">
              <w:rPr>
                <w:rFonts w:ascii="Times New Roman" w:hAnsi="Times New Roman"/>
                <w:b/>
                <w:bCs/>
                <w:lang w:val="pt-PT"/>
              </w:rPr>
              <w:t>8</w:t>
            </w:r>
          </w:p>
        </w:tc>
        <w:tc>
          <w:tcPr>
            <w:tcW w:w="3000" w:type="dxa"/>
            <w:tcBorders>
              <w:top w:val="single" w:sz="6" w:space="0" w:color="auto"/>
              <w:left w:val="single" w:sz="6" w:space="0" w:color="auto"/>
              <w:bottom w:val="single" w:sz="6" w:space="0" w:color="auto"/>
              <w:right w:val="single" w:sz="6" w:space="0" w:color="auto"/>
            </w:tcBorders>
          </w:tcPr>
          <w:p w:rsidR="008D0979" w:rsidRPr="00FA3856" w:rsidRDefault="008D0979" w:rsidP="008D0979">
            <w:pPr>
              <w:pStyle w:val="PSDS-CorpodeTexto0"/>
              <w:rPr>
                <w:rFonts w:ascii="Times New Roman" w:hAnsi="Times New Roman"/>
                <w:lang w:val="pt-PT"/>
              </w:rPr>
            </w:pPr>
            <w:r w:rsidRPr="00FA3856">
              <w:rPr>
                <w:rFonts w:ascii="Times New Roman" w:hAnsi="Times New Roman"/>
                <w:lang w:val="pt-PT"/>
              </w:rPr>
              <w:t>UNI_MED</w:t>
            </w:r>
          </w:p>
        </w:tc>
        <w:tc>
          <w:tcPr>
            <w:tcW w:w="12168" w:type="dxa"/>
            <w:tcBorders>
              <w:top w:val="single" w:sz="6" w:space="0" w:color="auto"/>
              <w:left w:val="single" w:sz="6" w:space="0" w:color="auto"/>
              <w:bottom w:val="single" w:sz="6" w:space="0" w:color="auto"/>
              <w:right w:val="single" w:sz="6" w:space="0" w:color="auto"/>
            </w:tcBorders>
          </w:tcPr>
          <w:p w:rsidR="00711CAF" w:rsidRPr="00FA3856" w:rsidRDefault="008D0979" w:rsidP="00D314A8">
            <w:pPr>
              <w:pStyle w:val="PSDS-CorpodeTexto0"/>
              <w:jc w:val="both"/>
              <w:rPr>
                <w:rFonts w:ascii="Times New Roman" w:hAnsi="Times New Roman"/>
              </w:rPr>
            </w:pPr>
            <w:r w:rsidRPr="00FA3856">
              <w:rPr>
                <w:rFonts w:ascii="Times New Roman" w:hAnsi="Times New Roman"/>
                <w:b/>
              </w:rPr>
              <w:t>REGRA_OBRIGATORIO_BENS:</w:t>
            </w:r>
            <w:r w:rsidR="00D314A8" w:rsidRPr="00FA3856">
              <w:rPr>
                <w:rFonts w:ascii="Times New Roman" w:hAnsi="Times New Roman"/>
                <w:b/>
              </w:rPr>
              <w:t xml:space="preserve"> </w:t>
            </w:r>
            <w:r w:rsidR="00066E19" w:rsidRPr="00FA3856">
              <w:rPr>
                <w:rFonts w:ascii="Times New Roman" w:hAnsi="Times New Roman"/>
                <w:bCs/>
              </w:rPr>
              <w:t>Verifica se X300.UNI_M</w:t>
            </w:r>
            <w:r w:rsidR="00733508" w:rsidRPr="00FA3856">
              <w:rPr>
                <w:rFonts w:ascii="Times New Roman" w:hAnsi="Times New Roman"/>
                <w:bCs/>
              </w:rPr>
              <w:t xml:space="preserve">ED </w:t>
            </w:r>
            <w:r w:rsidR="00D314A8" w:rsidRPr="00FA3856">
              <w:rPr>
                <w:rFonts w:ascii="Times New Roman" w:hAnsi="Times New Roman"/>
                <w:bCs/>
              </w:rPr>
              <w:t xml:space="preserve">está preenchido quando </w:t>
            </w:r>
            <w:r w:rsidR="00066E19" w:rsidRPr="00FA3856">
              <w:rPr>
                <w:rFonts w:ascii="Times New Roman" w:hAnsi="Times New Roman"/>
                <w:bCs/>
              </w:rPr>
              <w:t>X300.</w:t>
            </w:r>
            <w:r w:rsidR="00733508" w:rsidRPr="00FA3856">
              <w:rPr>
                <w:rFonts w:ascii="Times New Roman" w:hAnsi="Times New Roman"/>
              </w:rPr>
              <w:t xml:space="preserve">TIP_EXP </w:t>
            </w:r>
            <w:r w:rsidR="00D314A8" w:rsidRPr="00FA3856">
              <w:rPr>
                <w:rFonts w:ascii="Times New Roman" w:hAnsi="Times New Roman"/>
              </w:rPr>
              <w:t>igual a “1” (bens).</w:t>
            </w:r>
          </w:p>
        </w:tc>
        <w:tc>
          <w:tcPr>
            <w:tcW w:w="717" w:type="dxa"/>
            <w:tcBorders>
              <w:top w:val="single" w:sz="6" w:space="0" w:color="auto"/>
              <w:left w:val="single" w:sz="6" w:space="0" w:color="auto"/>
              <w:bottom w:val="single" w:sz="6" w:space="0" w:color="auto"/>
              <w:right w:val="single" w:sz="6" w:space="0" w:color="auto"/>
            </w:tcBorders>
          </w:tcPr>
          <w:p w:rsidR="008D0979" w:rsidRPr="00FA3856" w:rsidRDefault="008D0979" w:rsidP="008D0979">
            <w:pPr>
              <w:pStyle w:val="PSDS-CorpodeTexto0"/>
              <w:rPr>
                <w:rFonts w:ascii="Times New Roman" w:hAnsi="Times New Roman"/>
                <w:lang w:val="pt-PT"/>
              </w:rPr>
            </w:pPr>
            <w:r w:rsidRPr="00FA3856">
              <w:rPr>
                <w:rFonts w:ascii="Times New Roman" w:hAnsi="Times New Roman"/>
                <w:lang w:val="pt-PT"/>
              </w:rPr>
              <w:t>Erro</w:t>
            </w:r>
          </w:p>
          <w:p w:rsidR="008D0979" w:rsidRPr="00FA3856" w:rsidRDefault="008D0979" w:rsidP="008D0979">
            <w:pPr>
              <w:pStyle w:val="PSDS-CorpodeTexto0"/>
              <w:rPr>
                <w:rFonts w:ascii="Times New Roman" w:hAnsi="Times New Roman"/>
                <w:lang w:val="pt-PT"/>
              </w:rPr>
            </w:pPr>
          </w:p>
        </w:tc>
      </w:tr>
      <w:tr w:rsidR="008D0979" w:rsidRPr="00FA3856" w:rsidTr="000430B5">
        <w:trPr>
          <w:jc w:val="center"/>
        </w:trPr>
        <w:tc>
          <w:tcPr>
            <w:tcW w:w="485" w:type="dxa"/>
            <w:tcBorders>
              <w:top w:val="single" w:sz="6" w:space="0" w:color="auto"/>
              <w:left w:val="single" w:sz="6" w:space="0" w:color="auto"/>
              <w:bottom w:val="single" w:sz="6" w:space="0" w:color="auto"/>
              <w:right w:val="single" w:sz="6" w:space="0" w:color="auto"/>
            </w:tcBorders>
          </w:tcPr>
          <w:p w:rsidR="008D0979" w:rsidRPr="00FA3856" w:rsidRDefault="008D0979" w:rsidP="008D0979">
            <w:pPr>
              <w:pStyle w:val="PSDS-CorpodeTexto0"/>
              <w:suppressAutoHyphens w:val="0"/>
              <w:rPr>
                <w:rFonts w:ascii="Times New Roman" w:hAnsi="Times New Roman"/>
                <w:b/>
                <w:bCs/>
                <w:lang w:val="pt-PT"/>
              </w:rPr>
            </w:pPr>
            <w:r w:rsidRPr="00FA3856">
              <w:rPr>
                <w:rFonts w:ascii="Times New Roman" w:hAnsi="Times New Roman"/>
                <w:b/>
                <w:bCs/>
                <w:lang w:val="pt-PT"/>
              </w:rPr>
              <w:t>9</w:t>
            </w:r>
          </w:p>
        </w:tc>
        <w:tc>
          <w:tcPr>
            <w:tcW w:w="3000" w:type="dxa"/>
            <w:tcBorders>
              <w:top w:val="single" w:sz="6" w:space="0" w:color="auto"/>
              <w:left w:val="single" w:sz="6" w:space="0" w:color="auto"/>
              <w:bottom w:val="single" w:sz="6" w:space="0" w:color="auto"/>
              <w:right w:val="single" w:sz="6" w:space="0" w:color="auto"/>
            </w:tcBorders>
          </w:tcPr>
          <w:p w:rsidR="008D0979" w:rsidRPr="00FA3856" w:rsidRDefault="008D0979" w:rsidP="008D0979">
            <w:pPr>
              <w:pStyle w:val="PSDS-CorpodeTexto0"/>
              <w:rPr>
                <w:rFonts w:ascii="Times New Roman" w:hAnsi="Times New Roman"/>
              </w:rPr>
            </w:pPr>
            <w:r w:rsidRPr="00FA3856">
              <w:rPr>
                <w:rFonts w:ascii="Times New Roman" w:hAnsi="Times New Roman"/>
              </w:rPr>
              <w:t>IND_OPER</w:t>
            </w:r>
          </w:p>
        </w:tc>
        <w:tc>
          <w:tcPr>
            <w:tcW w:w="12168" w:type="dxa"/>
            <w:tcBorders>
              <w:top w:val="single" w:sz="6" w:space="0" w:color="auto"/>
              <w:left w:val="single" w:sz="6" w:space="0" w:color="auto"/>
              <w:bottom w:val="single" w:sz="6" w:space="0" w:color="auto"/>
              <w:right w:val="single" w:sz="6" w:space="0" w:color="auto"/>
            </w:tcBorders>
          </w:tcPr>
          <w:p w:rsidR="008D0979" w:rsidRPr="00FA3856" w:rsidRDefault="008D0979" w:rsidP="00D314A8">
            <w:pPr>
              <w:pStyle w:val="Corpodetexto"/>
              <w:rPr>
                <w:rFonts w:ascii="Times New Roman" w:hAnsi="Times New Roman"/>
                <w:szCs w:val="20"/>
              </w:rPr>
            </w:pPr>
            <w:r w:rsidRPr="00FA3856">
              <w:rPr>
                <w:rFonts w:ascii="Times New Roman" w:hAnsi="Times New Roman"/>
                <w:b/>
                <w:szCs w:val="20"/>
              </w:rPr>
              <w:t>REGRA_TIP_EXP_123_OBRIGATORIO:</w:t>
            </w:r>
            <w:r w:rsidR="00D314A8" w:rsidRPr="00FA3856">
              <w:rPr>
                <w:rFonts w:ascii="Times New Roman" w:hAnsi="Times New Roman"/>
                <w:b/>
                <w:szCs w:val="20"/>
              </w:rPr>
              <w:t xml:space="preserve"> </w:t>
            </w:r>
            <w:r w:rsidR="00D314A8" w:rsidRPr="00FA3856">
              <w:rPr>
                <w:rFonts w:ascii="Times New Roman" w:hAnsi="Times New Roman"/>
                <w:szCs w:val="20"/>
              </w:rPr>
              <w:t xml:space="preserve">Verifica se </w:t>
            </w:r>
            <w:r w:rsidR="00733508" w:rsidRPr="00FA3856">
              <w:rPr>
                <w:rFonts w:ascii="Times New Roman" w:hAnsi="Times New Roman"/>
                <w:szCs w:val="20"/>
              </w:rPr>
              <w:t xml:space="preserve">X300.IND_OPER </w:t>
            </w:r>
            <w:r w:rsidR="00D314A8" w:rsidRPr="00FA3856">
              <w:rPr>
                <w:rFonts w:ascii="Times New Roman" w:hAnsi="Times New Roman"/>
                <w:szCs w:val="20"/>
              </w:rPr>
              <w:t xml:space="preserve">está preenchido quando </w:t>
            </w:r>
            <w:r w:rsidR="00733508" w:rsidRPr="00FA3856">
              <w:rPr>
                <w:rFonts w:ascii="Times New Roman" w:hAnsi="Times New Roman"/>
                <w:szCs w:val="20"/>
              </w:rPr>
              <w:t xml:space="preserve">X300.TIP_EXP </w:t>
            </w:r>
            <w:r w:rsidR="00D314A8" w:rsidRPr="00FA3856">
              <w:rPr>
                <w:rFonts w:ascii="Times New Roman" w:hAnsi="Times New Roman"/>
                <w:szCs w:val="20"/>
              </w:rPr>
              <w:t>igual a “1” (bens) ou “2” (serviços) ou “3” (direitos).</w:t>
            </w:r>
          </w:p>
        </w:tc>
        <w:tc>
          <w:tcPr>
            <w:tcW w:w="717" w:type="dxa"/>
            <w:tcBorders>
              <w:top w:val="single" w:sz="6" w:space="0" w:color="auto"/>
              <w:left w:val="single" w:sz="6" w:space="0" w:color="auto"/>
              <w:bottom w:val="single" w:sz="6" w:space="0" w:color="auto"/>
              <w:right w:val="single" w:sz="6" w:space="0" w:color="auto"/>
            </w:tcBorders>
          </w:tcPr>
          <w:p w:rsidR="008D0979" w:rsidRPr="00FA3856" w:rsidRDefault="008D0979" w:rsidP="008D0979">
            <w:pPr>
              <w:pStyle w:val="PSDS-CorpodeTexto0"/>
              <w:rPr>
                <w:rFonts w:ascii="Times New Roman" w:hAnsi="Times New Roman"/>
              </w:rPr>
            </w:pPr>
            <w:r w:rsidRPr="00FA3856">
              <w:rPr>
                <w:rFonts w:ascii="Times New Roman" w:hAnsi="Times New Roman"/>
              </w:rPr>
              <w:t>Erro</w:t>
            </w:r>
          </w:p>
          <w:p w:rsidR="008D0979" w:rsidRPr="00FA3856" w:rsidRDefault="008D0979" w:rsidP="008D0979">
            <w:pPr>
              <w:pStyle w:val="PSDS-CorpodeTexto0"/>
              <w:rPr>
                <w:rFonts w:ascii="Times New Roman" w:hAnsi="Times New Roman"/>
              </w:rPr>
            </w:pPr>
          </w:p>
        </w:tc>
      </w:tr>
      <w:tr w:rsidR="008D0979" w:rsidRPr="00FA3856" w:rsidTr="000430B5">
        <w:trPr>
          <w:jc w:val="center"/>
        </w:trPr>
        <w:tc>
          <w:tcPr>
            <w:tcW w:w="485" w:type="dxa"/>
            <w:tcBorders>
              <w:top w:val="single" w:sz="6" w:space="0" w:color="auto"/>
              <w:left w:val="single" w:sz="6" w:space="0" w:color="auto"/>
              <w:bottom w:val="single" w:sz="6" w:space="0" w:color="auto"/>
              <w:right w:val="single" w:sz="6" w:space="0" w:color="auto"/>
            </w:tcBorders>
          </w:tcPr>
          <w:p w:rsidR="008D0979" w:rsidRPr="00FA3856" w:rsidRDefault="008D0979" w:rsidP="008D0979">
            <w:pPr>
              <w:pStyle w:val="PSDS-CorpodeTexto0"/>
              <w:suppressAutoHyphens w:val="0"/>
              <w:rPr>
                <w:rFonts w:ascii="Times New Roman" w:hAnsi="Times New Roman"/>
                <w:b/>
                <w:bCs/>
                <w:lang w:val="pt-PT"/>
              </w:rPr>
            </w:pPr>
            <w:r w:rsidRPr="00FA3856">
              <w:rPr>
                <w:rFonts w:ascii="Times New Roman" w:hAnsi="Times New Roman"/>
                <w:b/>
                <w:bCs/>
                <w:lang w:val="pt-PT"/>
              </w:rPr>
              <w:t>10</w:t>
            </w:r>
          </w:p>
        </w:tc>
        <w:tc>
          <w:tcPr>
            <w:tcW w:w="3000" w:type="dxa"/>
            <w:tcBorders>
              <w:top w:val="single" w:sz="6" w:space="0" w:color="auto"/>
              <w:left w:val="single" w:sz="6" w:space="0" w:color="auto"/>
              <w:bottom w:val="single" w:sz="6" w:space="0" w:color="auto"/>
              <w:right w:val="single" w:sz="6" w:space="0" w:color="auto"/>
            </w:tcBorders>
          </w:tcPr>
          <w:p w:rsidR="008D0979" w:rsidRPr="00FA3856" w:rsidRDefault="008D0979" w:rsidP="008D0979">
            <w:pPr>
              <w:pStyle w:val="PSDS-CorpodeTexto0"/>
              <w:rPr>
                <w:rFonts w:ascii="Times New Roman" w:hAnsi="Times New Roman"/>
                <w:lang w:val="pt-PT"/>
              </w:rPr>
            </w:pPr>
            <w:r w:rsidRPr="00FA3856">
              <w:rPr>
                <w:rFonts w:ascii="Times New Roman" w:hAnsi="Times New Roman"/>
                <w:lang w:val="pt-PT"/>
              </w:rPr>
              <w:t>TIP_MET</w:t>
            </w:r>
          </w:p>
        </w:tc>
        <w:tc>
          <w:tcPr>
            <w:tcW w:w="12168" w:type="dxa"/>
            <w:tcBorders>
              <w:top w:val="single" w:sz="6" w:space="0" w:color="auto"/>
              <w:left w:val="single" w:sz="6" w:space="0" w:color="auto"/>
              <w:bottom w:val="single" w:sz="6" w:space="0" w:color="auto"/>
              <w:right w:val="single" w:sz="6" w:space="0" w:color="auto"/>
            </w:tcBorders>
          </w:tcPr>
          <w:p w:rsidR="00711CAF" w:rsidRPr="00FA3856" w:rsidRDefault="008D0979" w:rsidP="00D314A8">
            <w:pPr>
              <w:pStyle w:val="PSDS-CorpodeTexto0"/>
              <w:jc w:val="both"/>
              <w:rPr>
                <w:rFonts w:ascii="Times New Roman" w:hAnsi="Times New Roman"/>
              </w:rPr>
            </w:pPr>
            <w:r w:rsidRPr="00FA3856">
              <w:rPr>
                <w:rFonts w:ascii="Times New Roman" w:hAnsi="Times New Roman"/>
                <w:b/>
              </w:rPr>
              <w:t>REGRA_IND_OPER_OBRIGATORIO:</w:t>
            </w:r>
            <w:r w:rsidR="00D314A8" w:rsidRPr="00FA3856">
              <w:rPr>
                <w:rFonts w:ascii="Times New Roman" w:hAnsi="Times New Roman"/>
                <w:b/>
              </w:rPr>
              <w:t xml:space="preserve"> </w:t>
            </w:r>
            <w:r w:rsidR="00D314A8" w:rsidRPr="00FA3856">
              <w:rPr>
                <w:rFonts w:ascii="Times New Roman" w:hAnsi="Times New Roman"/>
              </w:rPr>
              <w:t xml:space="preserve">Verifica se </w:t>
            </w:r>
            <w:r w:rsidR="00066E19" w:rsidRPr="00FA3856">
              <w:rPr>
                <w:rFonts w:ascii="Times New Roman" w:hAnsi="Times New Roman"/>
              </w:rPr>
              <w:t>X300.</w:t>
            </w:r>
            <w:r w:rsidR="00733508" w:rsidRPr="00FA3856">
              <w:rPr>
                <w:rFonts w:ascii="Times New Roman" w:hAnsi="Times New Roman"/>
              </w:rPr>
              <w:t xml:space="preserve">TIP_MET </w:t>
            </w:r>
            <w:r w:rsidR="00D314A8" w:rsidRPr="00FA3856">
              <w:rPr>
                <w:rFonts w:ascii="Times New Roman" w:hAnsi="Times New Roman"/>
              </w:rPr>
              <w:t xml:space="preserve">está preenchido quando </w:t>
            </w:r>
            <w:r w:rsidR="00733508" w:rsidRPr="00FA3856">
              <w:rPr>
                <w:rFonts w:ascii="Times New Roman" w:hAnsi="Times New Roman"/>
              </w:rPr>
              <w:t xml:space="preserve">X300.TIP_EXP </w:t>
            </w:r>
            <w:r w:rsidR="00D314A8" w:rsidRPr="00FA3856">
              <w:rPr>
                <w:rFonts w:ascii="Times New Roman" w:hAnsi="Times New Roman"/>
              </w:rPr>
              <w:t>igual a “1” (bens) ou “2” (serviços) ou “3” (</w:t>
            </w:r>
            <w:r w:rsidR="00733508" w:rsidRPr="00FA3856">
              <w:rPr>
                <w:rFonts w:ascii="Times New Roman" w:hAnsi="Times New Roman"/>
              </w:rPr>
              <w:t xml:space="preserve">direitos) e IND_OPER </w:t>
            </w:r>
            <w:r w:rsidR="00D314A8" w:rsidRPr="00FA3856">
              <w:rPr>
                <w:rFonts w:ascii="Times New Roman" w:hAnsi="Times New Roman"/>
              </w:rPr>
              <w:t>igual a “S” (operação sujeita a arbitramento).</w:t>
            </w:r>
          </w:p>
        </w:tc>
        <w:tc>
          <w:tcPr>
            <w:tcW w:w="717" w:type="dxa"/>
            <w:tcBorders>
              <w:top w:val="single" w:sz="6" w:space="0" w:color="auto"/>
              <w:left w:val="single" w:sz="6" w:space="0" w:color="auto"/>
              <w:bottom w:val="single" w:sz="6" w:space="0" w:color="auto"/>
              <w:right w:val="single" w:sz="6" w:space="0" w:color="auto"/>
            </w:tcBorders>
          </w:tcPr>
          <w:p w:rsidR="008D0979" w:rsidRPr="00FA3856" w:rsidRDefault="008D0979" w:rsidP="008D0979">
            <w:pPr>
              <w:pStyle w:val="PSDS-CorpodeTexto0"/>
              <w:rPr>
                <w:rFonts w:ascii="Times New Roman" w:hAnsi="Times New Roman"/>
                <w:lang w:val="pt-PT"/>
              </w:rPr>
            </w:pPr>
            <w:r w:rsidRPr="00FA3856">
              <w:rPr>
                <w:rFonts w:ascii="Times New Roman" w:hAnsi="Times New Roman"/>
                <w:lang w:val="pt-PT"/>
              </w:rPr>
              <w:t>Erro</w:t>
            </w:r>
          </w:p>
          <w:p w:rsidR="00711CAF" w:rsidRPr="00FA3856" w:rsidRDefault="00711CAF" w:rsidP="008D0979">
            <w:pPr>
              <w:pStyle w:val="PSDS-CorpodeTexto0"/>
              <w:rPr>
                <w:rFonts w:ascii="Times New Roman" w:hAnsi="Times New Roman"/>
                <w:lang w:val="pt-PT"/>
              </w:rPr>
            </w:pPr>
          </w:p>
        </w:tc>
      </w:tr>
      <w:tr w:rsidR="00A6245E" w:rsidRPr="00FA3856" w:rsidTr="00092E44">
        <w:trPr>
          <w:jc w:val="center"/>
        </w:trPr>
        <w:tc>
          <w:tcPr>
            <w:tcW w:w="485" w:type="dxa"/>
            <w:tcBorders>
              <w:top w:val="single" w:sz="6" w:space="0" w:color="auto"/>
              <w:left w:val="single" w:sz="6" w:space="0" w:color="auto"/>
              <w:bottom w:val="single" w:sz="6" w:space="0" w:color="auto"/>
              <w:right w:val="single" w:sz="6" w:space="0" w:color="auto"/>
            </w:tcBorders>
          </w:tcPr>
          <w:p w:rsidR="00A6245E" w:rsidRPr="00FA3856" w:rsidRDefault="00A6245E" w:rsidP="00092E44">
            <w:pPr>
              <w:pStyle w:val="PSDS-CorpodeTexto0"/>
              <w:suppressAutoHyphens w:val="0"/>
              <w:rPr>
                <w:rFonts w:ascii="Times New Roman" w:hAnsi="Times New Roman"/>
                <w:b/>
                <w:bCs/>
                <w:lang w:val="pt-PT"/>
              </w:rPr>
            </w:pPr>
            <w:r w:rsidRPr="00FA3856">
              <w:rPr>
                <w:rFonts w:ascii="Times New Roman" w:hAnsi="Times New Roman"/>
                <w:b/>
                <w:bCs/>
                <w:lang w:val="pt-PT"/>
              </w:rPr>
              <w:t>11</w:t>
            </w:r>
          </w:p>
        </w:tc>
        <w:tc>
          <w:tcPr>
            <w:tcW w:w="3000" w:type="dxa"/>
            <w:tcBorders>
              <w:top w:val="single" w:sz="6" w:space="0" w:color="auto"/>
              <w:left w:val="single" w:sz="6" w:space="0" w:color="auto"/>
              <w:bottom w:val="single" w:sz="6" w:space="0" w:color="auto"/>
              <w:right w:val="single" w:sz="6" w:space="0" w:color="auto"/>
            </w:tcBorders>
          </w:tcPr>
          <w:p w:rsidR="00A6245E" w:rsidRPr="00FA3856" w:rsidRDefault="00A6245E" w:rsidP="00092E44">
            <w:pPr>
              <w:pStyle w:val="PSDS-CorpodeTexto0"/>
              <w:rPr>
                <w:rFonts w:ascii="Times New Roman" w:hAnsi="Times New Roman"/>
              </w:rPr>
            </w:pPr>
            <w:r w:rsidRPr="00FA3856">
              <w:rPr>
                <w:rFonts w:ascii="Times New Roman" w:hAnsi="Times New Roman"/>
              </w:rPr>
              <w:t>VL_PAR</w:t>
            </w:r>
          </w:p>
        </w:tc>
        <w:tc>
          <w:tcPr>
            <w:tcW w:w="12168" w:type="dxa"/>
            <w:tcBorders>
              <w:top w:val="single" w:sz="6" w:space="0" w:color="auto"/>
              <w:left w:val="single" w:sz="6" w:space="0" w:color="auto"/>
              <w:bottom w:val="single" w:sz="6" w:space="0" w:color="auto"/>
              <w:right w:val="single" w:sz="6" w:space="0" w:color="auto"/>
            </w:tcBorders>
          </w:tcPr>
          <w:p w:rsidR="00A6245E" w:rsidRPr="00FA3856" w:rsidRDefault="00A6245E" w:rsidP="00A6245E">
            <w:pPr>
              <w:pStyle w:val="Corpodetexto"/>
              <w:rPr>
                <w:rFonts w:ascii="Times New Roman" w:hAnsi="Times New Roman"/>
                <w:szCs w:val="20"/>
              </w:rPr>
            </w:pPr>
            <w:r w:rsidRPr="00FA3856">
              <w:rPr>
                <w:rFonts w:ascii="Times New Roman" w:hAnsi="Times New Roman"/>
                <w:b/>
                <w:szCs w:val="20"/>
              </w:rPr>
              <w:t xml:space="preserve">REGRA_IND_OPER_OBRIGATORIO: </w:t>
            </w:r>
            <w:r w:rsidRPr="00FA3856">
              <w:rPr>
                <w:rFonts w:ascii="Times New Roman" w:hAnsi="Times New Roman"/>
                <w:szCs w:val="20"/>
              </w:rPr>
              <w:t xml:space="preserve">Verifica se </w:t>
            </w:r>
            <w:r w:rsidR="00066E19" w:rsidRPr="00FA3856">
              <w:rPr>
                <w:rFonts w:ascii="Times New Roman" w:hAnsi="Times New Roman"/>
                <w:szCs w:val="20"/>
              </w:rPr>
              <w:t>X300.</w:t>
            </w:r>
            <w:r w:rsidR="00733508" w:rsidRPr="00FA3856">
              <w:rPr>
                <w:rFonts w:ascii="Times New Roman" w:hAnsi="Times New Roman"/>
                <w:szCs w:val="20"/>
              </w:rPr>
              <w:t xml:space="preserve">VL_PAR </w:t>
            </w:r>
            <w:r w:rsidRPr="00FA3856">
              <w:rPr>
                <w:rFonts w:ascii="Times New Roman" w:hAnsi="Times New Roman"/>
                <w:szCs w:val="20"/>
              </w:rPr>
              <w:t xml:space="preserve">está preenchido quando </w:t>
            </w:r>
            <w:r w:rsidR="00733508" w:rsidRPr="00FA3856">
              <w:rPr>
                <w:rFonts w:ascii="Times New Roman" w:hAnsi="Times New Roman"/>
                <w:szCs w:val="20"/>
              </w:rPr>
              <w:t xml:space="preserve">X300.TIP_EXP </w:t>
            </w:r>
            <w:r w:rsidRPr="00FA3856">
              <w:rPr>
                <w:rFonts w:ascii="Times New Roman" w:hAnsi="Times New Roman"/>
                <w:szCs w:val="20"/>
              </w:rPr>
              <w:t>igual a “1” (bens) ou “2” (serviços) ou “3</w:t>
            </w:r>
            <w:r w:rsidR="00066E19" w:rsidRPr="00FA3856">
              <w:rPr>
                <w:rFonts w:ascii="Times New Roman" w:hAnsi="Times New Roman"/>
                <w:szCs w:val="20"/>
              </w:rPr>
              <w:t>” (d</w:t>
            </w:r>
            <w:r w:rsidR="00733508" w:rsidRPr="00FA3856">
              <w:rPr>
                <w:rFonts w:ascii="Times New Roman" w:hAnsi="Times New Roman"/>
                <w:szCs w:val="20"/>
              </w:rPr>
              <w:t xml:space="preserve">ireitos) e X300.IND_OPER </w:t>
            </w:r>
            <w:r w:rsidRPr="00FA3856">
              <w:rPr>
                <w:rFonts w:ascii="Times New Roman" w:hAnsi="Times New Roman"/>
                <w:szCs w:val="20"/>
              </w:rPr>
              <w:t>igual a “S” (operação sujeita a arbitramento).</w:t>
            </w:r>
          </w:p>
        </w:tc>
        <w:tc>
          <w:tcPr>
            <w:tcW w:w="717" w:type="dxa"/>
            <w:tcBorders>
              <w:top w:val="single" w:sz="6" w:space="0" w:color="auto"/>
              <w:left w:val="single" w:sz="6" w:space="0" w:color="auto"/>
              <w:bottom w:val="single" w:sz="6" w:space="0" w:color="auto"/>
              <w:right w:val="single" w:sz="6" w:space="0" w:color="auto"/>
            </w:tcBorders>
          </w:tcPr>
          <w:p w:rsidR="00A6245E" w:rsidRPr="00FA3856" w:rsidRDefault="00A6245E" w:rsidP="00092E44">
            <w:pPr>
              <w:pStyle w:val="PSDS-CorpodeTexto0"/>
              <w:rPr>
                <w:rFonts w:ascii="Times New Roman" w:hAnsi="Times New Roman"/>
              </w:rPr>
            </w:pPr>
            <w:r w:rsidRPr="00FA3856">
              <w:rPr>
                <w:rFonts w:ascii="Times New Roman" w:hAnsi="Times New Roman"/>
              </w:rPr>
              <w:t>Erro</w:t>
            </w:r>
          </w:p>
          <w:p w:rsidR="00A6245E" w:rsidRPr="00FA3856" w:rsidRDefault="00A6245E" w:rsidP="00092E44">
            <w:pPr>
              <w:pStyle w:val="PSDS-CorpodeTexto0"/>
              <w:rPr>
                <w:rFonts w:ascii="Times New Roman" w:hAnsi="Times New Roman"/>
              </w:rPr>
            </w:pPr>
          </w:p>
        </w:tc>
      </w:tr>
      <w:tr w:rsidR="00AE451A" w:rsidRPr="00FA3856" w:rsidTr="000430B5">
        <w:trPr>
          <w:jc w:val="center"/>
        </w:trPr>
        <w:tc>
          <w:tcPr>
            <w:tcW w:w="485" w:type="dxa"/>
            <w:tcBorders>
              <w:top w:val="single" w:sz="6" w:space="0" w:color="auto"/>
              <w:left w:val="single" w:sz="6" w:space="0" w:color="auto"/>
              <w:bottom w:val="single" w:sz="6" w:space="0" w:color="auto"/>
              <w:right w:val="single" w:sz="6" w:space="0" w:color="auto"/>
            </w:tcBorders>
          </w:tcPr>
          <w:p w:rsidR="00AE451A" w:rsidRPr="00FA3856" w:rsidRDefault="000E2C4C" w:rsidP="00DB0A05">
            <w:pPr>
              <w:pStyle w:val="PSDS-CorpodeTexto0"/>
              <w:suppressAutoHyphens w:val="0"/>
              <w:rPr>
                <w:rFonts w:ascii="Times New Roman" w:hAnsi="Times New Roman"/>
                <w:b/>
                <w:bCs/>
                <w:lang w:val="pt-PT"/>
              </w:rPr>
            </w:pPr>
            <w:r w:rsidRPr="00FA3856">
              <w:rPr>
                <w:rFonts w:ascii="Times New Roman" w:hAnsi="Times New Roman"/>
                <w:b/>
                <w:bCs/>
                <w:lang w:val="pt-PT"/>
              </w:rPr>
              <w:t>12</w:t>
            </w:r>
          </w:p>
        </w:tc>
        <w:tc>
          <w:tcPr>
            <w:tcW w:w="3000" w:type="dxa"/>
            <w:tcBorders>
              <w:top w:val="single" w:sz="6" w:space="0" w:color="auto"/>
              <w:left w:val="single" w:sz="6" w:space="0" w:color="auto"/>
              <w:bottom w:val="single" w:sz="6" w:space="0" w:color="auto"/>
              <w:right w:val="single" w:sz="6" w:space="0" w:color="auto"/>
            </w:tcBorders>
          </w:tcPr>
          <w:p w:rsidR="00AE451A" w:rsidRPr="00FA3856" w:rsidRDefault="00AE451A" w:rsidP="00DB0A05">
            <w:pPr>
              <w:pStyle w:val="PSDS-CorpodeTexto0"/>
              <w:rPr>
                <w:rFonts w:ascii="Times New Roman" w:hAnsi="Times New Roman"/>
              </w:rPr>
            </w:pPr>
            <w:r w:rsidRPr="00FA3856">
              <w:rPr>
                <w:rFonts w:ascii="Times New Roman" w:hAnsi="Times New Roman"/>
              </w:rPr>
              <w:t>VL_PRAT</w:t>
            </w:r>
          </w:p>
        </w:tc>
        <w:tc>
          <w:tcPr>
            <w:tcW w:w="12168" w:type="dxa"/>
            <w:tcBorders>
              <w:top w:val="single" w:sz="6" w:space="0" w:color="auto"/>
              <w:left w:val="single" w:sz="6" w:space="0" w:color="auto"/>
              <w:bottom w:val="single" w:sz="6" w:space="0" w:color="auto"/>
              <w:right w:val="single" w:sz="6" w:space="0" w:color="auto"/>
            </w:tcBorders>
          </w:tcPr>
          <w:p w:rsidR="00AE451A" w:rsidRPr="00FA3856" w:rsidRDefault="000E2C4C" w:rsidP="00D314A8">
            <w:pPr>
              <w:pStyle w:val="Corpodetexto"/>
              <w:rPr>
                <w:rFonts w:ascii="Times New Roman" w:hAnsi="Times New Roman"/>
                <w:szCs w:val="20"/>
              </w:rPr>
            </w:pPr>
            <w:r w:rsidRPr="00FA3856">
              <w:rPr>
                <w:rFonts w:ascii="Times New Roman" w:hAnsi="Times New Roman"/>
                <w:b/>
                <w:szCs w:val="20"/>
              </w:rPr>
              <w:t>REGRA_IND_OPER_OBRIGATORIO:</w:t>
            </w:r>
            <w:r w:rsidR="00D314A8" w:rsidRPr="00FA3856">
              <w:rPr>
                <w:rFonts w:ascii="Times New Roman" w:hAnsi="Times New Roman"/>
                <w:b/>
                <w:szCs w:val="20"/>
              </w:rPr>
              <w:t xml:space="preserve"> </w:t>
            </w:r>
            <w:r w:rsidR="00D314A8" w:rsidRPr="00FA3856">
              <w:rPr>
                <w:rFonts w:ascii="Times New Roman" w:hAnsi="Times New Roman"/>
                <w:szCs w:val="20"/>
              </w:rPr>
              <w:t xml:space="preserve">Verifica se </w:t>
            </w:r>
            <w:r w:rsidR="00066E19" w:rsidRPr="00FA3856">
              <w:rPr>
                <w:rFonts w:ascii="Times New Roman" w:hAnsi="Times New Roman"/>
                <w:szCs w:val="20"/>
              </w:rPr>
              <w:t>X300.</w:t>
            </w:r>
            <w:r w:rsidR="00733508" w:rsidRPr="00FA3856">
              <w:rPr>
                <w:rFonts w:ascii="Times New Roman" w:hAnsi="Times New Roman"/>
                <w:szCs w:val="20"/>
              </w:rPr>
              <w:t xml:space="preserve">VL_PRAT </w:t>
            </w:r>
            <w:r w:rsidR="00D314A8" w:rsidRPr="00FA3856">
              <w:rPr>
                <w:rFonts w:ascii="Times New Roman" w:hAnsi="Times New Roman"/>
                <w:szCs w:val="20"/>
              </w:rPr>
              <w:t xml:space="preserve">está preenchido quando </w:t>
            </w:r>
            <w:r w:rsidR="00733508" w:rsidRPr="00FA3856">
              <w:rPr>
                <w:rFonts w:ascii="Times New Roman" w:hAnsi="Times New Roman"/>
                <w:szCs w:val="20"/>
              </w:rPr>
              <w:t xml:space="preserve">X300.TIP_EXP </w:t>
            </w:r>
            <w:r w:rsidR="00D314A8" w:rsidRPr="00FA3856">
              <w:rPr>
                <w:rFonts w:ascii="Times New Roman" w:hAnsi="Times New Roman"/>
                <w:szCs w:val="20"/>
              </w:rPr>
              <w:t xml:space="preserve">igual a “1” (bens) ou “2” (serviços) ou “3” (direitos) e </w:t>
            </w:r>
            <w:r w:rsidR="00733508" w:rsidRPr="00FA3856">
              <w:rPr>
                <w:rFonts w:ascii="Times New Roman" w:hAnsi="Times New Roman"/>
                <w:szCs w:val="20"/>
              </w:rPr>
              <w:t xml:space="preserve">X300.IND_OPER </w:t>
            </w:r>
            <w:r w:rsidR="00D314A8" w:rsidRPr="00FA3856">
              <w:rPr>
                <w:rFonts w:ascii="Times New Roman" w:hAnsi="Times New Roman"/>
                <w:szCs w:val="20"/>
              </w:rPr>
              <w:t>igual a “S” (operação sujeita a arbitramento).</w:t>
            </w:r>
          </w:p>
        </w:tc>
        <w:tc>
          <w:tcPr>
            <w:tcW w:w="717" w:type="dxa"/>
            <w:tcBorders>
              <w:top w:val="single" w:sz="6" w:space="0" w:color="auto"/>
              <w:left w:val="single" w:sz="6" w:space="0" w:color="auto"/>
              <w:bottom w:val="single" w:sz="6" w:space="0" w:color="auto"/>
              <w:right w:val="single" w:sz="6" w:space="0" w:color="auto"/>
            </w:tcBorders>
          </w:tcPr>
          <w:p w:rsidR="00AE451A" w:rsidRPr="00FA3856" w:rsidRDefault="00AE451A" w:rsidP="00DB0A05">
            <w:pPr>
              <w:pStyle w:val="PSDS-CorpodeTexto0"/>
              <w:rPr>
                <w:rFonts w:ascii="Times New Roman" w:hAnsi="Times New Roman"/>
              </w:rPr>
            </w:pPr>
            <w:r w:rsidRPr="00FA3856">
              <w:rPr>
                <w:rFonts w:ascii="Times New Roman" w:hAnsi="Times New Roman"/>
              </w:rPr>
              <w:t>Erro</w:t>
            </w:r>
          </w:p>
          <w:p w:rsidR="00AE451A" w:rsidRPr="00FA3856" w:rsidRDefault="00AE451A" w:rsidP="00DB0A05">
            <w:pPr>
              <w:pStyle w:val="PSDS-CorpodeTexto0"/>
              <w:rPr>
                <w:rFonts w:ascii="Times New Roman" w:hAnsi="Times New Roman"/>
              </w:rPr>
            </w:pPr>
          </w:p>
        </w:tc>
      </w:tr>
      <w:tr w:rsidR="00AE451A" w:rsidRPr="00FA3856" w:rsidTr="000430B5">
        <w:trPr>
          <w:jc w:val="center"/>
        </w:trPr>
        <w:tc>
          <w:tcPr>
            <w:tcW w:w="485" w:type="dxa"/>
            <w:tcBorders>
              <w:top w:val="single" w:sz="6" w:space="0" w:color="auto"/>
              <w:left w:val="single" w:sz="6" w:space="0" w:color="auto"/>
              <w:bottom w:val="single" w:sz="6" w:space="0" w:color="auto"/>
              <w:right w:val="single" w:sz="6" w:space="0" w:color="auto"/>
            </w:tcBorders>
          </w:tcPr>
          <w:p w:rsidR="00AE451A" w:rsidRPr="00FA3856" w:rsidRDefault="000E2C4C" w:rsidP="00DB0A05">
            <w:pPr>
              <w:pStyle w:val="PSDS-CorpodeTexto0"/>
              <w:suppressAutoHyphens w:val="0"/>
              <w:rPr>
                <w:rFonts w:ascii="Times New Roman" w:hAnsi="Times New Roman"/>
                <w:b/>
                <w:bCs/>
                <w:lang w:val="pt-PT"/>
              </w:rPr>
            </w:pPr>
            <w:r w:rsidRPr="00FA3856">
              <w:rPr>
                <w:rFonts w:ascii="Times New Roman" w:hAnsi="Times New Roman"/>
                <w:b/>
                <w:bCs/>
                <w:lang w:val="pt-PT"/>
              </w:rPr>
              <w:t>13</w:t>
            </w:r>
          </w:p>
        </w:tc>
        <w:tc>
          <w:tcPr>
            <w:tcW w:w="3000" w:type="dxa"/>
            <w:tcBorders>
              <w:top w:val="single" w:sz="6" w:space="0" w:color="auto"/>
              <w:left w:val="single" w:sz="6" w:space="0" w:color="auto"/>
              <w:bottom w:val="single" w:sz="6" w:space="0" w:color="auto"/>
              <w:right w:val="single" w:sz="6" w:space="0" w:color="auto"/>
            </w:tcBorders>
          </w:tcPr>
          <w:p w:rsidR="00AE451A" w:rsidRPr="00FA3856" w:rsidRDefault="00AE451A" w:rsidP="00DB0A05">
            <w:pPr>
              <w:pStyle w:val="PSDS-CorpodeTexto0"/>
              <w:rPr>
                <w:rFonts w:ascii="Times New Roman" w:hAnsi="Times New Roman"/>
              </w:rPr>
            </w:pPr>
            <w:r w:rsidRPr="00FA3856">
              <w:rPr>
                <w:rFonts w:ascii="Times New Roman" w:hAnsi="Times New Roman"/>
              </w:rPr>
              <w:t>VL_AJ</w:t>
            </w:r>
          </w:p>
        </w:tc>
        <w:tc>
          <w:tcPr>
            <w:tcW w:w="12168" w:type="dxa"/>
            <w:tcBorders>
              <w:top w:val="single" w:sz="6" w:space="0" w:color="auto"/>
              <w:left w:val="single" w:sz="6" w:space="0" w:color="auto"/>
              <w:bottom w:val="single" w:sz="6" w:space="0" w:color="auto"/>
              <w:right w:val="single" w:sz="6" w:space="0" w:color="auto"/>
            </w:tcBorders>
          </w:tcPr>
          <w:p w:rsidR="000E2C4C" w:rsidRPr="00FA3856" w:rsidRDefault="000E2C4C" w:rsidP="00D314A8">
            <w:pPr>
              <w:pStyle w:val="Corpodetexto"/>
              <w:rPr>
                <w:rFonts w:ascii="Times New Roman" w:hAnsi="Times New Roman"/>
                <w:b/>
                <w:szCs w:val="20"/>
              </w:rPr>
            </w:pPr>
            <w:r w:rsidRPr="00FA3856">
              <w:rPr>
                <w:rFonts w:ascii="Times New Roman" w:hAnsi="Times New Roman"/>
                <w:b/>
                <w:szCs w:val="20"/>
              </w:rPr>
              <w:t>REGRA_IND_OPER_OBRIGATORIO:</w:t>
            </w:r>
            <w:r w:rsidR="00D314A8" w:rsidRPr="00FA3856">
              <w:rPr>
                <w:rFonts w:ascii="Times New Roman" w:hAnsi="Times New Roman"/>
                <w:b/>
                <w:szCs w:val="20"/>
              </w:rPr>
              <w:t xml:space="preserve"> </w:t>
            </w:r>
            <w:r w:rsidR="00D314A8" w:rsidRPr="00FA3856">
              <w:rPr>
                <w:rFonts w:ascii="Times New Roman" w:hAnsi="Times New Roman"/>
                <w:szCs w:val="20"/>
              </w:rPr>
              <w:t xml:space="preserve">Verifica se </w:t>
            </w:r>
            <w:r w:rsidR="00066E19" w:rsidRPr="00FA3856">
              <w:rPr>
                <w:rFonts w:ascii="Times New Roman" w:hAnsi="Times New Roman"/>
                <w:szCs w:val="20"/>
              </w:rPr>
              <w:t>X300.</w:t>
            </w:r>
            <w:r w:rsidR="00733508" w:rsidRPr="00FA3856">
              <w:rPr>
                <w:rFonts w:ascii="Times New Roman" w:hAnsi="Times New Roman"/>
                <w:szCs w:val="20"/>
              </w:rPr>
              <w:t xml:space="preserve">VL_AJ </w:t>
            </w:r>
            <w:r w:rsidR="00D314A8" w:rsidRPr="00FA3856">
              <w:rPr>
                <w:rFonts w:ascii="Times New Roman" w:hAnsi="Times New Roman"/>
                <w:szCs w:val="20"/>
              </w:rPr>
              <w:t xml:space="preserve">está preenchido quando </w:t>
            </w:r>
            <w:r w:rsidR="00733508" w:rsidRPr="00FA3856">
              <w:rPr>
                <w:rFonts w:ascii="Times New Roman" w:hAnsi="Times New Roman"/>
                <w:szCs w:val="20"/>
              </w:rPr>
              <w:t xml:space="preserve">X300.TIP_EXP </w:t>
            </w:r>
            <w:r w:rsidR="00D314A8" w:rsidRPr="00FA3856">
              <w:rPr>
                <w:rFonts w:ascii="Times New Roman" w:hAnsi="Times New Roman"/>
                <w:szCs w:val="20"/>
              </w:rPr>
              <w:t>igual a “1” (bens) ou “2” (serviços) ou “3” (</w:t>
            </w:r>
            <w:r w:rsidR="00733508" w:rsidRPr="00FA3856">
              <w:rPr>
                <w:rFonts w:ascii="Times New Roman" w:hAnsi="Times New Roman"/>
                <w:szCs w:val="20"/>
              </w:rPr>
              <w:t xml:space="preserve">direitos) e IND_OPER </w:t>
            </w:r>
            <w:r w:rsidR="00D314A8" w:rsidRPr="00FA3856">
              <w:rPr>
                <w:rFonts w:ascii="Times New Roman" w:hAnsi="Times New Roman"/>
                <w:szCs w:val="20"/>
              </w:rPr>
              <w:t>igual a “S” (operação sujeita a arbitramento).</w:t>
            </w:r>
          </w:p>
          <w:p w:rsidR="00D314A8" w:rsidRPr="00FA3856" w:rsidRDefault="00D314A8" w:rsidP="00D314A8">
            <w:pPr>
              <w:pStyle w:val="Corpodetexto"/>
              <w:rPr>
                <w:rFonts w:ascii="Times New Roman" w:hAnsi="Times New Roman"/>
                <w:b/>
                <w:szCs w:val="20"/>
              </w:rPr>
            </w:pPr>
          </w:p>
          <w:p w:rsidR="00733508" w:rsidRPr="00B34779" w:rsidRDefault="000E2C4C" w:rsidP="00D314A8">
            <w:pPr>
              <w:pStyle w:val="Corpodetexto"/>
              <w:rPr>
                <w:rFonts w:ascii="Times New Roman" w:hAnsi="Times New Roman"/>
                <w:szCs w:val="20"/>
              </w:rPr>
            </w:pPr>
            <w:r w:rsidRPr="00FA3856">
              <w:rPr>
                <w:rFonts w:ascii="Times New Roman" w:hAnsi="Times New Roman"/>
                <w:b/>
                <w:szCs w:val="20"/>
              </w:rPr>
              <w:t>REGRA_TIP_EXP_45_OBRIGATORIO:</w:t>
            </w:r>
            <w:r w:rsidR="00D314A8" w:rsidRPr="00FA3856">
              <w:rPr>
                <w:rFonts w:ascii="Times New Roman" w:hAnsi="Times New Roman"/>
                <w:b/>
                <w:szCs w:val="20"/>
              </w:rPr>
              <w:t xml:space="preserve"> </w:t>
            </w:r>
            <w:r w:rsidR="00D314A8" w:rsidRPr="00FA3856">
              <w:rPr>
                <w:rFonts w:ascii="Times New Roman" w:hAnsi="Times New Roman"/>
                <w:szCs w:val="20"/>
              </w:rPr>
              <w:t xml:space="preserve">Verifica se </w:t>
            </w:r>
            <w:r w:rsidR="00066E19" w:rsidRPr="00FA3856">
              <w:rPr>
                <w:rFonts w:ascii="Times New Roman" w:hAnsi="Times New Roman"/>
                <w:szCs w:val="20"/>
              </w:rPr>
              <w:t>X300.</w:t>
            </w:r>
            <w:r w:rsidR="00733508" w:rsidRPr="00FA3856">
              <w:rPr>
                <w:rFonts w:ascii="Times New Roman" w:hAnsi="Times New Roman"/>
                <w:szCs w:val="20"/>
              </w:rPr>
              <w:t xml:space="preserve">VL_AJ </w:t>
            </w:r>
            <w:r w:rsidR="00D314A8" w:rsidRPr="00FA3856">
              <w:rPr>
                <w:rFonts w:ascii="Times New Roman" w:hAnsi="Times New Roman"/>
                <w:szCs w:val="20"/>
              </w:rPr>
              <w:t xml:space="preserve">está preenchido quando </w:t>
            </w:r>
            <w:r w:rsidR="00733508" w:rsidRPr="00FA3856">
              <w:rPr>
                <w:rFonts w:ascii="Times New Roman" w:hAnsi="Times New Roman"/>
                <w:szCs w:val="20"/>
              </w:rPr>
              <w:t xml:space="preserve">X300.TIP_EXP </w:t>
            </w:r>
            <w:r w:rsidR="00D314A8" w:rsidRPr="00FA3856">
              <w:rPr>
                <w:rFonts w:ascii="Times New Roman" w:hAnsi="Times New Roman"/>
                <w:szCs w:val="20"/>
              </w:rPr>
              <w:t>igual a “4” (operações financeiras) ou “5” (não especificadas).</w:t>
            </w:r>
          </w:p>
        </w:tc>
        <w:tc>
          <w:tcPr>
            <w:tcW w:w="717" w:type="dxa"/>
            <w:tcBorders>
              <w:top w:val="single" w:sz="6" w:space="0" w:color="auto"/>
              <w:left w:val="single" w:sz="6" w:space="0" w:color="auto"/>
              <w:bottom w:val="single" w:sz="6" w:space="0" w:color="auto"/>
              <w:right w:val="single" w:sz="6" w:space="0" w:color="auto"/>
            </w:tcBorders>
          </w:tcPr>
          <w:p w:rsidR="00AE451A" w:rsidRPr="00FA3856" w:rsidRDefault="00AE451A" w:rsidP="00DB0A05">
            <w:pPr>
              <w:pStyle w:val="PSDS-CorpodeTexto0"/>
              <w:rPr>
                <w:rFonts w:ascii="Times New Roman" w:hAnsi="Times New Roman"/>
              </w:rPr>
            </w:pPr>
            <w:r w:rsidRPr="00FA3856">
              <w:rPr>
                <w:rFonts w:ascii="Times New Roman" w:hAnsi="Times New Roman"/>
              </w:rPr>
              <w:t>Erro</w:t>
            </w:r>
          </w:p>
          <w:p w:rsidR="00AE451A" w:rsidRPr="00FA3856" w:rsidRDefault="00AE451A" w:rsidP="00DB0A05">
            <w:pPr>
              <w:pStyle w:val="PSDS-CorpodeTexto0"/>
              <w:rPr>
                <w:rFonts w:ascii="Times New Roman" w:hAnsi="Times New Roman"/>
              </w:rPr>
            </w:pPr>
          </w:p>
          <w:p w:rsidR="00D314A8" w:rsidRPr="00FA3856" w:rsidRDefault="00D314A8" w:rsidP="00DB0A05">
            <w:pPr>
              <w:pStyle w:val="PSDS-CorpodeTexto0"/>
              <w:rPr>
                <w:rFonts w:ascii="Times New Roman" w:hAnsi="Times New Roman"/>
              </w:rPr>
            </w:pPr>
          </w:p>
          <w:p w:rsidR="00D314A8" w:rsidRPr="00FA3856" w:rsidRDefault="00D314A8" w:rsidP="00DB0A05">
            <w:pPr>
              <w:pStyle w:val="PSDS-CorpodeTexto0"/>
              <w:rPr>
                <w:rFonts w:ascii="Times New Roman" w:hAnsi="Times New Roman"/>
              </w:rPr>
            </w:pPr>
          </w:p>
          <w:p w:rsidR="00D314A8" w:rsidRPr="00FA3856" w:rsidRDefault="00D314A8" w:rsidP="00DB0A05">
            <w:pPr>
              <w:pStyle w:val="PSDS-CorpodeTexto0"/>
              <w:rPr>
                <w:rFonts w:ascii="Times New Roman" w:hAnsi="Times New Roman"/>
              </w:rPr>
            </w:pPr>
            <w:r w:rsidRPr="00FA3856">
              <w:rPr>
                <w:rFonts w:ascii="Times New Roman" w:hAnsi="Times New Roman"/>
              </w:rPr>
              <w:t>Erro</w:t>
            </w:r>
          </w:p>
        </w:tc>
      </w:tr>
      <w:tr w:rsidR="00AE451A" w:rsidRPr="00FA3856" w:rsidTr="000430B5">
        <w:trPr>
          <w:jc w:val="center"/>
        </w:trPr>
        <w:tc>
          <w:tcPr>
            <w:tcW w:w="485" w:type="dxa"/>
            <w:tcBorders>
              <w:top w:val="single" w:sz="6" w:space="0" w:color="auto"/>
              <w:left w:val="single" w:sz="6" w:space="0" w:color="auto"/>
              <w:bottom w:val="single" w:sz="6" w:space="0" w:color="auto"/>
              <w:right w:val="single" w:sz="6" w:space="0" w:color="auto"/>
            </w:tcBorders>
          </w:tcPr>
          <w:p w:rsidR="00AE451A" w:rsidRPr="00FA3856" w:rsidRDefault="00DF6AB2" w:rsidP="00DB0A05">
            <w:pPr>
              <w:pStyle w:val="PSDS-CorpodeTexto0"/>
              <w:suppressAutoHyphens w:val="0"/>
              <w:rPr>
                <w:rFonts w:ascii="Times New Roman" w:hAnsi="Times New Roman"/>
                <w:b/>
                <w:bCs/>
                <w:lang w:val="pt-PT"/>
              </w:rPr>
            </w:pPr>
            <w:r w:rsidRPr="00FA3856">
              <w:rPr>
                <w:rFonts w:ascii="Times New Roman" w:hAnsi="Times New Roman"/>
                <w:b/>
                <w:bCs/>
                <w:lang w:val="pt-PT"/>
              </w:rPr>
              <w:t>14</w:t>
            </w:r>
          </w:p>
        </w:tc>
        <w:tc>
          <w:tcPr>
            <w:tcW w:w="3000" w:type="dxa"/>
            <w:tcBorders>
              <w:top w:val="single" w:sz="6" w:space="0" w:color="auto"/>
              <w:left w:val="single" w:sz="6" w:space="0" w:color="auto"/>
              <w:bottom w:val="single" w:sz="6" w:space="0" w:color="auto"/>
              <w:right w:val="single" w:sz="6" w:space="0" w:color="auto"/>
            </w:tcBorders>
          </w:tcPr>
          <w:p w:rsidR="00AE451A" w:rsidRPr="00FA3856" w:rsidRDefault="000E2C4C" w:rsidP="00DB0A05">
            <w:pPr>
              <w:pStyle w:val="PSDS-CorpodeTexto0"/>
              <w:rPr>
                <w:rFonts w:ascii="Times New Roman" w:hAnsi="Times New Roman"/>
              </w:rPr>
            </w:pPr>
            <w:r w:rsidRPr="00FA3856">
              <w:rPr>
                <w:rFonts w:ascii="Times New Roman" w:hAnsi="Times New Roman"/>
              </w:rPr>
              <w:t>VL_JUR</w:t>
            </w:r>
          </w:p>
        </w:tc>
        <w:tc>
          <w:tcPr>
            <w:tcW w:w="12168" w:type="dxa"/>
            <w:tcBorders>
              <w:top w:val="single" w:sz="6" w:space="0" w:color="auto"/>
              <w:left w:val="single" w:sz="6" w:space="0" w:color="auto"/>
              <w:bottom w:val="single" w:sz="6" w:space="0" w:color="auto"/>
              <w:right w:val="single" w:sz="6" w:space="0" w:color="auto"/>
            </w:tcBorders>
          </w:tcPr>
          <w:p w:rsidR="00AE451A" w:rsidRPr="00FA3856" w:rsidRDefault="00DF6AB2" w:rsidP="00D314A8">
            <w:pPr>
              <w:pStyle w:val="Corpodetexto"/>
              <w:rPr>
                <w:rFonts w:ascii="Times New Roman" w:hAnsi="Times New Roman"/>
                <w:szCs w:val="20"/>
              </w:rPr>
            </w:pPr>
            <w:r w:rsidRPr="00FA3856">
              <w:rPr>
                <w:rFonts w:ascii="Times New Roman" w:hAnsi="Times New Roman"/>
                <w:b/>
                <w:szCs w:val="20"/>
              </w:rPr>
              <w:t>REGRA_TIP_EXP_4</w:t>
            </w:r>
            <w:r w:rsidR="000E2C4C" w:rsidRPr="00FA3856">
              <w:rPr>
                <w:rFonts w:ascii="Times New Roman" w:hAnsi="Times New Roman"/>
                <w:b/>
                <w:szCs w:val="20"/>
              </w:rPr>
              <w:t>_OBRIGATORIO:</w:t>
            </w:r>
            <w:r w:rsidR="00D314A8" w:rsidRPr="00FA3856">
              <w:rPr>
                <w:rFonts w:ascii="Times New Roman" w:hAnsi="Times New Roman"/>
                <w:b/>
                <w:szCs w:val="20"/>
              </w:rPr>
              <w:t xml:space="preserve"> </w:t>
            </w:r>
            <w:r w:rsidR="00D314A8" w:rsidRPr="00FA3856">
              <w:rPr>
                <w:rFonts w:ascii="Times New Roman" w:hAnsi="Times New Roman"/>
                <w:szCs w:val="20"/>
              </w:rPr>
              <w:t xml:space="preserve">Verifica se </w:t>
            </w:r>
            <w:r w:rsidR="00066E19" w:rsidRPr="00FA3856">
              <w:rPr>
                <w:rFonts w:ascii="Times New Roman" w:hAnsi="Times New Roman"/>
                <w:szCs w:val="20"/>
              </w:rPr>
              <w:t>X300.</w:t>
            </w:r>
            <w:r w:rsidR="00733508" w:rsidRPr="00FA3856">
              <w:rPr>
                <w:rFonts w:ascii="Times New Roman" w:hAnsi="Times New Roman"/>
                <w:szCs w:val="20"/>
              </w:rPr>
              <w:t xml:space="preserve">VL_JUR </w:t>
            </w:r>
            <w:r w:rsidR="00D314A8" w:rsidRPr="00FA3856">
              <w:rPr>
                <w:rFonts w:ascii="Times New Roman" w:hAnsi="Times New Roman"/>
                <w:szCs w:val="20"/>
              </w:rPr>
              <w:t xml:space="preserve">está preenchido quando </w:t>
            </w:r>
            <w:r w:rsidR="00733508" w:rsidRPr="00FA3856">
              <w:rPr>
                <w:rFonts w:ascii="Times New Roman" w:hAnsi="Times New Roman"/>
                <w:szCs w:val="20"/>
              </w:rPr>
              <w:t xml:space="preserve">X300.TIP_EXP </w:t>
            </w:r>
            <w:r w:rsidR="00D314A8" w:rsidRPr="00FA3856">
              <w:rPr>
                <w:rFonts w:ascii="Times New Roman" w:hAnsi="Times New Roman"/>
                <w:szCs w:val="20"/>
              </w:rPr>
              <w:t>igual a “4” (operações financeiras).</w:t>
            </w:r>
          </w:p>
        </w:tc>
        <w:tc>
          <w:tcPr>
            <w:tcW w:w="717" w:type="dxa"/>
            <w:tcBorders>
              <w:top w:val="single" w:sz="6" w:space="0" w:color="auto"/>
              <w:left w:val="single" w:sz="6" w:space="0" w:color="auto"/>
              <w:bottom w:val="single" w:sz="6" w:space="0" w:color="auto"/>
              <w:right w:val="single" w:sz="6" w:space="0" w:color="auto"/>
            </w:tcBorders>
          </w:tcPr>
          <w:p w:rsidR="00AE451A" w:rsidRPr="00FA3856" w:rsidRDefault="00AE451A" w:rsidP="00DB0A05">
            <w:pPr>
              <w:pStyle w:val="PSDS-CorpodeTexto0"/>
              <w:rPr>
                <w:rFonts w:ascii="Times New Roman" w:hAnsi="Times New Roman"/>
              </w:rPr>
            </w:pPr>
            <w:r w:rsidRPr="00FA3856">
              <w:rPr>
                <w:rFonts w:ascii="Times New Roman" w:hAnsi="Times New Roman"/>
              </w:rPr>
              <w:t>Erro</w:t>
            </w:r>
          </w:p>
          <w:p w:rsidR="00AE451A" w:rsidRPr="00FA3856" w:rsidRDefault="00AE451A" w:rsidP="00DB0A05">
            <w:pPr>
              <w:pStyle w:val="PSDS-CorpodeTexto0"/>
              <w:rPr>
                <w:rFonts w:ascii="Times New Roman" w:hAnsi="Times New Roman"/>
              </w:rPr>
            </w:pPr>
          </w:p>
        </w:tc>
      </w:tr>
      <w:tr w:rsidR="00DF6AB2" w:rsidRPr="00FA3856" w:rsidTr="000430B5">
        <w:trPr>
          <w:jc w:val="center"/>
        </w:trPr>
        <w:tc>
          <w:tcPr>
            <w:tcW w:w="485" w:type="dxa"/>
            <w:tcBorders>
              <w:top w:val="single" w:sz="6" w:space="0" w:color="auto"/>
              <w:left w:val="single" w:sz="6" w:space="0" w:color="auto"/>
              <w:bottom w:val="single" w:sz="6" w:space="0" w:color="auto"/>
              <w:right w:val="single" w:sz="6" w:space="0" w:color="auto"/>
            </w:tcBorders>
          </w:tcPr>
          <w:p w:rsidR="00DF6AB2" w:rsidRPr="00FA3856" w:rsidRDefault="00DF6AB2" w:rsidP="00DB0A05">
            <w:pPr>
              <w:pStyle w:val="PSDS-CorpodeTexto0"/>
              <w:suppressAutoHyphens w:val="0"/>
              <w:rPr>
                <w:rFonts w:ascii="Times New Roman" w:hAnsi="Times New Roman"/>
                <w:b/>
                <w:bCs/>
                <w:lang w:val="pt-PT"/>
              </w:rPr>
            </w:pPr>
            <w:r w:rsidRPr="00FA3856">
              <w:rPr>
                <w:rFonts w:ascii="Times New Roman" w:hAnsi="Times New Roman"/>
                <w:b/>
                <w:bCs/>
                <w:lang w:val="pt-PT"/>
              </w:rPr>
              <w:t>15</w:t>
            </w:r>
          </w:p>
        </w:tc>
        <w:tc>
          <w:tcPr>
            <w:tcW w:w="3000" w:type="dxa"/>
            <w:tcBorders>
              <w:top w:val="single" w:sz="6" w:space="0" w:color="auto"/>
              <w:left w:val="single" w:sz="6" w:space="0" w:color="auto"/>
              <w:bottom w:val="single" w:sz="6" w:space="0" w:color="auto"/>
              <w:right w:val="single" w:sz="6" w:space="0" w:color="auto"/>
            </w:tcBorders>
          </w:tcPr>
          <w:p w:rsidR="00DF6AB2" w:rsidRPr="00FA3856" w:rsidRDefault="00DF6AB2" w:rsidP="00DB0A05">
            <w:pPr>
              <w:pStyle w:val="PSDS-CorpodeTexto0"/>
              <w:rPr>
                <w:rFonts w:ascii="Times New Roman" w:hAnsi="Times New Roman"/>
              </w:rPr>
            </w:pPr>
            <w:r w:rsidRPr="00FA3856">
              <w:rPr>
                <w:rFonts w:ascii="Times New Roman" w:hAnsi="Times New Roman"/>
              </w:rPr>
              <w:t>VL_JUR_MIN</w:t>
            </w:r>
          </w:p>
        </w:tc>
        <w:tc>
          <w:tcPr>
            <w:tcW w:w="12168" w:type="dxa"/>
            <w:tcBorders>
              <w:top w:val="single" w:sz="6" w:space="0" w:color="auto"/>
              <w:left w:val="single" w:sz="6" w:space="0" w:color="auto"/>
              <w:bottom w:val="single" w:sz="6" w:space="0" w:color="auto"/>
              <w:right w:val="single" w:sz="6" w:space="0" w:color="auto"/>
            </w:tcBorders>
          </w:tcPr>
          <w:p w:rsidR="00DF6AB2" w:rsidRPr="00FA3856" w:rsidRDefault="00D314A8" w:rsidP="00A6245E">
            <w:pPr>
              <w:pStyle w:val="Corpodetexto"/>
              <w:rPr>
                <w:rFonts w:ascii="Times New Roman" w:hAnsi="Times New Roman"/>
                <w:b/>
                <w:szCs w:val="20"/>
              </w:rPr>
            </w:pPr>
            <w:r w:rsidRPr="00FA3856">
              <w:rPr>
                <w:rFonts w:ascii="Times New Roman" w:hAnsi="Times New Roman"/>
                <w:b/>
                <w:szCs w:val="20"/>
              </w:rPr>
              <w:t>REGRA_</w:t>
            </w:r>
            <w:r w:rsidR="00A6245E" w:rsidRPr="00FA3856">
              <w:rPr>
                <w:rFonts w:ascii="Times New Roman" w:hAnsi="Times New Roman"/>
                <w:b/>
                <w:szCs w:val="20"/>
              </w:rPr>
              <w:t>VL_JUR_MIN</w:t>
            </w:r>
            <w:r w:rsidRPr="00FA3856">
              <w:rPr>
                <w:rFonts w:ascii="Times New Roman" w:hAnsi="Times New Roman"/>
                <w:b/>
                <w:szCs w:val="20"/>
              </w:rPr>
              <w:t>_OBRIGATORIO</w:t>
            </w:r>
            <w:r w:rsidR="00A6245E" w:rsidRPr="00FA3856">
              <w:rPr>
                <w:rFonts w:ascii="Times New Roman" w:hAnsi="Times New Roman"/>
                <w:b/>
                <w:szCs w:val="20"/>
              </w:rPr>
              <w:t>_X300</w:t>
            </w:r>
            <w:r w:rsidRPr="00FA3856">
              <w:rPr>
                <w:rFonts w:ascii="Times New Roman" w:hAnsi="Times New Roman"/>
                <w:b/>
                <w:szCs w:val="20"/>
              </w:rPr>
              <w:t xml:space="preserve">: </w:t>
            </w:r>
            <w:r w:rsidRPr="00FA3856">
              <w:rPr>
                <w:rFonts w:ascii="Times New Roman" w:hAnsi="Times New Roman"/>
                <w:szCs w:val="20"/>
              </w:rPr>
              <w:t xml:space="preserve">Verifica se </w:t>
            </w:r>
            <w:r w:rsidR="00066E19" w:rsidRPr="00FA3856">
              <w:rPr>
                <w:rFonts w:ascii="Times New Roman" w:hAnsi="Times New Roman"/>
                <w:szCs w:val="20"/>
              </w:rPr>
              <w:t>X300.</w:t>
            </w:r>
            <w:r w:rsidR="00733508" w:rsidRPr="00FA3856">
              <w:rPr>
                <w:rFonts w:ascii="Times New Roman" w:hAnsi="Times New Roman"/>
                <w:szCs w:val="20"/>
              </w:rPr>
              <w:t xml:space="preserve">VL_JUR_MIN </w:t>
            </w:r>
            <w:r w:rsidRPr="00FA3856">
              <w:rPr>
                <w:rFonts w:ascii="Times New Roman" w:hAnsi="Times New Roman"/>
                <w:szCs w:val="20"/>
              </w:rPr>
              <w:t xml:space="preserve">está preenchido quando </w:t>
            </w:r>
            <w:r w:rsidR="00066E19" w:rsidRPr="00FA3856">
              <w:rPr>
                <w:rFonts w:ascii="Times New Roman" w:hAnsi="Times New Roman"/>
                <w:szCs w:val="20"/>
              </w:rPr>
              <w:t>X300.</w:t>
            </w:r>
            <w:r w:rsidRPr="00FA3856">
              <w:rPr>
                <w:rFonts w:ascii="Times New Roman" w:hAnsi="Times New Roman"/>
                <w:szCs w:val="20"/>
              </w:rPr>
              <w:t>T</w:t>
            </w:r>
            <w:r w:rsidR="00733508" w:rsidRPr="00FA3856">
              <w:rPr>
                <w:rFonts w:ascii="Times New Roman" w:hAnsi="Times New Roman"/>
                <w:szCs w:val="20"/>
              </w:rPr>
              <w:t xml:space="preserve">IP_EXP </w:t>
            </w:r>
            <w:r w:rsidRPr="00FA3856">
              <w:rPr>
                <w:rFonts w:ascii="Times New Roman" w:hAnsi="Times New Roman"/>
                <w:szCs w:val="20"/>
              </w:rPr>
              <w:t>igual a “4” (operações financeiras).</w:t>
            </w:r>
          </w:p>
        </w:tc>
        <w:tc>
          <w:tcPr>
            <w:tcW w:w="717" w:type="dxa"/>
            <w:tcBorders>
              <w:top w:val="single" w:sz="6" w:space="0" w:color="auto"/>
              <w:left w:val="single" w:sz="6" w:space="0" w:color="auto"/>
              <w:bottom w:val="single" w:sz="6" w:space="0" w:color="auto"/>
              <w:right w:val="single" w:sz="6" w:space="0" w:color="auto"/>
            </w:tcBorders>
          </w:tcPr>
          <w:p w:rsidR="00DF6AB2" w:rsidRPr="00FA3856" w:rsidRDefault="00DF6AB2" w:rsidP="00DB0A05">
            <w:pPr>
              <w:pStyle w:val="PSDS-CorpodeTexto0"/>
              <w:rPr>
                <w:rFonts w:ascii="Times New Roman" w:hAnsi="Times New Roman"/>
              </w:rPr>
            </w:pPr>
            <w:r w:rsidRPr="00FA3856">
              <w:rPr>
                <w:rFonts w:ascii="Times New Roman" w:hAnsi="Times New Roman"/>
              </w:rPr>
              <w:t>Erro</w:t>
            </w:r>
          </w:p>
          <w:p w:rsidR="00DF6AB2" w:rsidRPr="00FA3856" w:rsidRDefault="00DF6AB2" w:rsidP="00DB0A05">
            <w:pPr>
              <w:pStyle w:val="PSDS-CorpodeTexto0"/>
              <w:rPr>
                <w:rFonts w:ascii="Times New Roman" w:hAnsi="Times New Roman"/>
              </w:rPr>
            </w:pPr>
          </w:p>
        </w:tc>
      </w:tr>
      <w:tr w:rsidR="00DF6AB2" w:rsidRPr="00FA3856" w:rsidTr="000430B5">
        <w:trPr>
          <w:jc w:val="center"/>
        </w:trPr>
        <w:tc>
          <w:tcPr>
            <w:tcW w:w="485" w:type="dxa"/>
            <w:tcBorders>
              <w:top w:val="single" w:sz="6" w:space="0" w:color="auto"/>
              <w:left w:val="single" w:sz="6" w:space="0" w:color="auto"/>
              <w:bottom w:val="single" w:sz="6" w:space="0" w:color="auto"/>
              <w:right w:val="single" w:sz="6" w:space="0" w:color="auto"/>
            </w:tcBorders>
          </w:tcPr>
          <w:p w:rsidR="00DF6AB2" w:rsidRPr="00FA3856" w:rsidRDefault="00DF6AB2" w:rsidP="00DB0A05">
            <w:pPr>
              <w:pStyle w:val="PSDS-CorpodeTexto0"/>
              <w:suppressAutoHyphens w:val="0"/>
              <w:rPr>
                <w:rFonts w:ascii="Times New Roman" w:hAnsi="Times New Roman"/>
                <w:b/>
                <w:bCs/>
                <w:lang w:val="pt-PT"/>
              </w:rPr>
            </w:pPr>
            <w:r w:rsidRPr="00FA3856">
              <w:rPr>
                <w:rFonts w:ascii="Times New Roman" w:hAnsi="Times New Roman"/>
                <w:b/>
                <w:bCs/>
                <w:lang w:val="pt-PT"/>
              </w:rPr>
              <w:t>16</w:t>
            </w:r>
          </w:p>
        </w:tc>
        <w:tc>
          <w:tcPr>
            <w:tcW w:w="3000" w:type="dxa"/>
            <w:tcBorders>
              <w:top w:val="single" w:sz="6" w:space="0" w:color="auto"/>
              <w:left w:val="single" w:sz="6" w:space="0" w:color="auto"/>
              <w:bottom w:val="single" w:sz="6" w:space="0" w:color="auto"/>
              <w:right w:val="single" w:sz="6" w:space="0" w:color="auto"/>
            </w:tcBorders>
          </w:tcPr>
          <w:p w:rsidR="00DF6AB2" w:rsidRPr="00FA3856" w:rsidRDefault="00DF6AB2" w:rsidP="00DB0A05">
            <w:pPr>
              <w:pStyle w:val="PSDS-CorpodeTexto0"/>
              <w:rPr>
                <w:rFonts w:ascii="Times New Roman" w:hAnsi="Times New Roman"/>
              </w:rPr>
            </w:pPr>
            <w:r w:rsidRPr="00FA3856">
              <w:rPr>
                <w:rFonts w:ascii="Times New Roman" w:hAnsi="Times New Roman"/>
              </w:rPr>
              <w:t>VL_JUR_MAX</w:t>
            </w:r>
          </w:p>
        </w:tc>
        <w:tc>
          <w:tcPr>
            <w:tcW w:w="12168" w:type="dxa"/>
            <w:tcBorders>
              <w:top w:val="single" w:sz="6" w:space="0" w:color="auto"/>
              <w:left w:val="single" w:sz="6" w:space="0" w:color="auto"/>
              <w:bottom w:val="single" w:sz="6" w:space="0" w:color="auto"/>
              <w:right w:val="single" w:sz="6" w:space="0" w:color="auto"/>
            </w:tcBorders>
          </w:tcPr>
          <w:p w:rsidR="00DF6AB2" w:rsidRPr="00FA3856" w:rsidRDefault="00D314A8" w:rsidP="00D314A8">
            <w:pPr>
              <w:pStyle w:val="Corpodetexto"/>
              <w:rPr>
                <w:rFonts w:ascii="Times New Roman" w:hAnsi="Times New Roman"/>
                <w:b/>
                <w:szCs w:val="20"/>
              </w:rPr>
            </w:pPr>
            <w:r w:rsidRPr="00FA3856">
              <w:rPr>
                <w:rFonts w:ascii="Times New Roman" w:hAnsi="Times New Roman"/>
                <w:b/>
                <w:szCs w:val="20"/>
              </w:rPr>
              <w:t>REGRA_</w:t>
            </w:r>
            <w:r w:rsidR="00A6245E" w:rsidRPr="00FA3856">
              <w:rPr>
                <w:rFonts w:ascii="Times New Roman" w:hAnsi="Times New Roman"/>
                <w:b/>
                <w:szCs w:val="20"/>
              </w:rPr>
              <w:t xml:space="preserve"> VL_JUR_MAX </w:t>
            </w:r>
            <w:r w:rsidRPr="00FA3856">
              <w:rPr>
                <w:rFonts w:ascii="Times New Roman" w:hAnsi="Times New Roman"/>
                <w:b/>
                <w:szCs w:val="20"/>
              </w:rPr>
              <w:t>_OBRIGATORIO</w:t>
            </w:r>
            <w:r w:rsidR="00A6245E" w:rsidRPr="00FA3856">
              <w:rPr>
                <w:rFonts w:ascii="Times New Roman" w:hAnsi="Times New Roman"/>
                <w:b/>
                <w:szCs w:val="20"/>
              </w:rPr>
              <w:t>_X300</w:t>
            </w:r>
            <w:r w:rsidRPr="00FA3856">
              <w:rPr>
                <w:rFonts w:ascii="Times New Roman" w:hAnsi="Times New Roman"/>
                <w:b/>
                <w:szCs w:val="20"/>
              </w:rPr>
              <w:t xml:space="preserve">: </w:t>
            </w:r>
            <w:r w:rsidRPr="00FA3856">
              <w:rPr>
                <w:rFonts w:ascii="Times New Roman" w:hAnsi="Times New Roman"/>
                <w:szCs w:val="20"/>
              </w:rPr>
              <w:t xml:space="preserve">Verifica se </w:t>
            </w:r>
            <w:r w:rsidR="00066E19" w:rsidRPr="00FA3856">
              <w:rPr>
                <w:rFonts w:ascii="Times New Roman" w:hAnsi="Times New Roman"/>
                <w:szCs w:val="20"/>
              </w:rPr>
              <w:t>X300.</w:t>
            </w:r>
            <w:r w:rsidR="00733508" w:rsidRPr="00FA3856">
              <w:rPr>
                <w:rFonts w:ascii="Times New Roman" w:hAnsi="Times New Roman"/>
                <w:szCs w:val="20"/>
              </w:rPr>
              <w:t xml:space="preserve">VL_JUR_MAX </w:t>
            </w:r>
            <w:r w:rsidRPr="00FA3856">
              <w:rPr>
                <w:rFonts w:ascii="Times New Roman" w:hAnsi="Times New Roman"/>
                <w:szCs w:val="20"/>
              </w:rPr>
              <w:t xml:space="preserve">está preenchido quando </w:t>
            </w:r>
            <w:r w:rsidR="00733508" w:rsidRPr="00FA3856">
              <w:rPr>
                <w:rFonts w:ascii="Times New Roman" w:hAnsi="Times New Roman"/>
                <w:szCs w:val="20"/>
              </w:rPr>
              <w:t xml:space="preserve">X300.TIP_EXP </w:t>
            </w:r>
            <w:r w:rsidRPr="00FA3856">
              <w:rPr>
                <w:rFonts w:ascii="Times New Roman" w:hAnsi="Times New Roman"/>
                <w:szCs w:val="20"/>
              </w:rPr>
              <w:t>igual a “4” (operações financeiras).</w:t>
            </w:r>
          </w:p>
        </w:tc>
        <w:tc>
          <w:tcPr>
            <w:tcW w:w="717" w:type="dxa"/>
            <w:tcBorders>
              <w:top w:val="single" w:sz="6" w:space="0" w:color="auto"/>
              <w:left w:val="single" w:sz="6" w:space="0" w:color="auto"/>
              <w:bottom w:val="single" w:sz="6" w:space="0" w:color="auto"/>
              <w:right w:val="single" w:sz="6" w:space="0" w:color="auto"/>
            </w:tcBorders>
          </w:tcPr>
          <w:p w:rsidR="00DF6AB2" w:rsidRPr="00FA3856" w:rsidRDefault="00DF6AB2" w:rsidP="00DB0A05">
            <w:pPr>
              <w:pStyle w:val="PSDS-CorpodeTexto0"/>
              <w:rPr>
                <w:rFonts w:ascii="Times New Roman" w:hAnsi="Times New Roman"/>
              </w:rPr>
            </w:pPr>
            <w:r w:rsidRPr="00FA3856">
              <w:rPr>
                <w:rFonts w:ascii="Times New Roman" w:hAnsi="Times New Roman"/>
              </w:rPr>
              <w:t>Erro</w:t>
            </w:r>
          </w:p>
          <w:p w:rsidR="00DF6AB2" w:rsidRPr="00FA3856" w:rsidRDefault="00DF6AB2" w:rsidP="00DB0A05">
            <w:pPr>
              <w:pStyle w:val="PSDS-CorpodeTexto0"/>
              <w:rPr>
                <w:rFonts w:ascii="Times New Roman" w:hAnsi="Times New Roman"/>
              </w:rPr>
            </w:pPr>
          </w:p>
        </w:tc>
      </w:tr>
      <w:tr w:rsidR="00DF6AB2" w:rsidRPr="00FA3856" w:rsidTr="000430B5">
        <w:trPr>
          <w:jc w:val="center"/>
        </w:trPr>
        <w:tc>
          <w:tcPr>
            <w:tcW w:w="485" w:type="dxa"/>
            <w:tcBorders>
              <w:top w:val="single" w:sz="6" w:space="0" w:color="auto"/>
              <w:left w:val="single" w:sz="6" w:space="0" w:color="auto"/>
              <w:bottom w:val="single" w:sz="6" w:space="0" w:color="auto"/>
              <w:right w:val="single" w:sz="6" w:space="0" w:color="auto"/>
            </w:tcBorders>
          </w:tcPr>
          <w:p w:rsidR="00DF6AB2" w:rsidRPr="00FA3856" w:rsidRDefault="00DF6AB2" w:rsidP="00DB0A05">
            <w:pPr>
              <w:pStyle w:val="PSDS-CorpodeTexto0"/>
              <w:suppressAutoHyphens w:val="0"/>
              <w:rPr>
                <w:rFonts w:ascii="Times New Roman" w:hAnsi="Times New Roman"/>
                <w:b/>
                <w:bCs/>
                <w:lang w:val="pt-PT"/>
              </w:rPr>
            </w:pPr>
            <w:r w:rsidRPr="00FA3856">
              <w:rPr>
                <w:rFonts w:ascii="Times New Roman" w:hAnsi="Times New Roman"/>
                <w:b/>
                <w:bCs/>
                <w:lang w:val="pt-PT"/>
              </w:rPr>
              <w:t>17</w:t>
            </w:r>
          </w:p>
        </w:tc>
        <w:tc>
          <w:tcPr>
            <w:tcW w:w="3000" w:type="dxa"/>
            <w:tcBorders>
              <w:top w:val="single" w:sz="6" w:space="0" w:color="auto"/>
              <w:left w:val="single" w:sz="6" w:space="0" w:color="auto"/>
              <w:bottom w:val="single" w:sz="6" w:space="0" w:color="auto"/>
              <w:right w:val="single" w:sz="6" w:space="0" w:color="auto"/>
            </w:tcBorders>
          </w:tcPr>
          <w:p w:rsidR="00DF6AB2" w:rsidRPr="00FA3856" w:rsidRDefault="00DF6AB2" w:rsidP="00DB0A05">
            <w:pPr>
              <w:pStyle w:val="PSDS-CorpodeTexto0"/>
              <w:rPr>
                <w:rFonts w:ascii="Times New Roman" w:hAnsi="Times New Roman"/>
              </w:rPr>
            </w:pPr>
            <w:r w:rsidRPr="00FA3856">
              <w:rPr>
                <w:rFonts w:ascii="Times New Roman" w:hAnsi="Times New Roman"/>
              </w:rPr>
              <w:t>COD_CNC</w:t>
            </w:r>
          </w:p>
        </w:tc>
        <w:tc>
          <w:tcPr>
            <w:tcW w:w="12168" w:type="dxa"/>
            <w:tcBorders>
              <w:top w:val="single" w:sz="6" w:space="0" w:color="auto"/>
              <w:left w:val="single" w:sz="6" w:space="0" w:color="auto"/>
              <w:bottom w:val="single" w:sz="6" w:space="0" w:color="auto"/>
              <w:right w:val="single" w:sz="6" w:space="0" w:color="auto"/>
            </w:tcBorders>
          </w:tcPr>
          <w:p w:rsidR="00711CAF" w:rsidRPr="00FA3856" w:rsidRDefault="00DF6AB2" w:rsidP="00D314A8">
            <w:pPr>
              <w:pStyle w:val="Corpodetexto"/>
              <w:rPr>
                <w:rFonts w:ascii="Times New Roman" w:hAnsi="Times New Roman"/>
                <w:szCs w:val="20"/>
              </w:rPr>
            </w:pPr>
            <w:r w:rsidRPr="00FA3856">
              <w:rPr>
                <w:rFonts w:ascii="Times New Roman" w:hAnsi="Times New Roman"/>
                <w:b/>
                <w:szCs w:val="20"/>
              </w:rPr>
              <w:t>REGRA_TIP_EXP_4_OBRIGATORIO:</w:t>
            </w:r>
            <w:r w:rsidR="00D314A8" w:rsidRPr="00FA3856">
              <w:rPr>
                <w:rFonts w:ascii="Times New Roman" w:hAnsi="Times New Roman"/>
                <w:b/>
                <w:szCs w:val="20"/>
              </w:rPr>
              <w:t xml:space="preserve"> </w:t>
            </w:r>
            <w:r w:rsidR="00D314A8" w:rsidRPr="00FA3856">
              <w:rPr>
                <w:rFonts w:ascii="Times New Roman" w:hAnsi="Times New Roman"/>
                <w:szCs w:val="20"/>
              </w:rPr>
              <w:t xml:space="preserve">Verifica se </w:t>
            </w:r>
            <w:r w:rsidR="00066E19" w:rsidRPr="00FA3856">
              <w:rPr>
                <w:rFonts w:ascii="Times New Roman" w:hAnsi="Times New Roman"/>
                <w:szCs w:val="20"/>
              </w:rPr>
              <w:t>X300.</w:t>
            </w:r>
            <w:r w:rsidR="00D314A8" w:rsidRPr="00FA3856">
              <w:rPr>
                <w:rFonts w:ascii="Times New Roman" w:hAnsi="Times New Roman"/>
                <w:szCs w:val="20"/>
              </w:rPr>
              <w:t>COD_</w:t>
            </w:r>
            <w:r w:rsidR="00733508" w:rsidRPr="00FA3856">
              <w:rPr>
                <w:rFonts w:ascii="Times New Roman" w:hAnsi="Times New Roman"/>
                <w:szCs w:val="20"/>
              </w:rPr>
              <w:t xml:space="preserve">CNC </w:t>
            </w:r>
            <w:r w:rsidR="00D314A8" w:rsidRPr="00FA3856">
              <w:rPr>
                <w:rFonts w:ascii="Times New Roman" w:hAnsi="Times New Roman"/>
                <w:szCs w:val="20"/>
              </w:rPr>
              <w:t xml:space="preserve">está preenchido quando </w:t>
            </w:r>
            <w:r w:rsidR="00733508" w:rsidRPr="00FA3856">
              <w:rPr>
                <w:rFonts w:ascii="Times New Roman" w:hAnsi="Times New Roman"/>
                <w:szCs w:val="20"/>
              </w:rPr>
              <w:t xml:space="preserve">X300.TIP_EXP </w:t>
            </w:r>
            <w:r w:rsidR="00D314A8" w:rsidRPr="00FA3856">
              <w:rPr>
                <w:rFonts w:ascii="Times New Roman" w:hAnsi="Times New Roman"/>
                <w:szCs w:val="20"/>
              </w:rPr>
              <w:t>igual a “4” (operações financeiras).</w:t>
            </w:r>
          </w:p>
        </w:tc>
        <w:tc>
          <w:tcPr>
            <w:tcW w:w="717" w:type="dxa"/>
            <w:tcBorders>
              <w:top w:val="single" w:sz="6" w:space="0" w:color="auto"/>
              <w:left w:val="single" w:sz="6" w:space="0" w:color="auto"/>
              <w:bottom w:val="single" w:sz="6" w:space="0" w:color="auto"/>
              <w:right w:val="single" w:sz="6" w:space="0" w:color="auto"/>
            </w:tcBorders>
          </w:tcPr>
          <w:p w:rsidR="00DF6AB2" w:rsidRPr="00FA3856" w:rsidRDefault="00DF6AB2" w:rsidP="00DB0A05">
            <w:pPr>
              <w:pStyle w:val="PSDS-CorpodeTexto0"/>
              <w:rPr>
                <w:rFonts w:ascii="Times New Roman" w:hAnsi="Times New Roman"/>
              </w:rPr>
            </w:pPr>
            <w:r w:rsidRPr="00FA3856">
              <w:rPr>
                <w:rFonts w:ascii="Times New Roman" w:hAnsi="Times New Roman"/>
              </w:rPr>
              <w:t>Erro</w:t>
            </w:r>
          </w:p>
          <w:p w:rsidR="00DF6AB2" w:rsidRPr="00FA3856" w:rsidRDefault="00DF6AB2" w:rsidP="00DB0A05">
            <w:pPr>
              <w:pStyle w:val="PSDS-CorpodeTexto0"/>
              <w:rPr>
                <w:rFonts w:ascii="Times New Roman" w:hAnsi="Times New Roman"/>
              </w:rPr>
            </w:pPr>
          </w:p>
        </w:tc>
      </w:tr>
      <w:tr w:rsidR="008D0979" w:rsidRPr="00FA3856" w:rsidTr="000430B5">
        <w:trPr>
          <w:jc w:val="center"/>
        </w:trPr>
        <w:tc>
          <w:tcPr>
            <w:tcW w:w="485" w:type="dxa"/>
            <w:tcBorders>
              <w:top w:val="single" w:sz="6" w:space="0" w:color="auto"/>
              <w:left w:val="single" w:sz="6" w:space="0" w:color="auto"/>
              <w:bottom w:val="single" w:sz="6" w:space="0" w:color="auto"/>
              <w:right w:val="single" w:sz="6" w:space="0" w:color="auto"/>
            </w:tcBorders>
          </w:tcPr>
          <w:p w:rsidR="008D0979" w:rsidRPr="00FA3856" w:rsidRDefault="00DF6AB2" w:rsidP="008D0979">
            <w:pPr>
              <w:pStyle w:val="PSDS-CorpodeTexto0"/>
              <w:suppressAutoHyphens w:val="0"/>
              <w:rPr>
                <w:rFonts w:ascii="Times New Roman" w:hAnsi="Times New Roman"/>
                <w:b/>
                <w:bCs/>
                <w:lang w:val="pt-PT"/>
              </w:rPr>
            </w:pPr>
            <w:r w:rsidRPr="00FA3856">
              <w:rPr>
                <w:rFonts w:ascii="Times New Roman" w:hAnsi="Times New Roman"/>
                <w:b/>
                <w:bCs/>
                <w:lang w:val="pt-PT"/>
              </w:rPr>
              <w:t>18</w:t>
            </w:r>
          </w:p>
        </w:tc>
        <w:tc>
          <w:tcPr>
            <w:tcW w:w="3000" w:type="dxa"/>
            <w:tcBorders>
              <w:top w:val="single" w:sz="6" w:space="0" w:color="auto"/>
              <w:left w:val="single" w:sz="6" w:space="0" w:color="auto"/>
              <w:bottom w:val="single" w:sz="6" w:space="0" w:color="auto"/>
              <w:right w:val="single" w:sz="6" w:space="0" w:color="auto"/>
            </w:tcBorders>
          </w:tcPr>
          <w:p w:rsidR="008D0979" w:rsidRPr="00FA3856" w:rsidRDefault="00DF6AB2" w:rsidP="008D0979">
            <w:pPr>
              <w:pStyle w:val="PSDS-CorpodeTexto0"/>
              <w:rPr>
                <w:rFonts w:ascii="Times New Roman" w:hAnsi="Times New Roman"/>
              </w:rPr>
            </w:pPr>
            <w:r w:rsidRPr="00FA3856">
              <w:rPr>
                <w:rFonts w:ascii="Times New Roman" w:hAnsi="Times New Roman"/>
              </w:rPr>
              <w:t>TIP_MOEDA</w:t>
            </w:r>
          </w:p>
        </w:tc>
        <w:tc>
          <w:tcPr>
            <w:tcW w:w="12168" w:type="dxa"/>
            <w:tcBorders>
              <w:top w:val="single" w:sz="6" w:space="0" w:color="auto"/>
              <w:left w:val="single" w:sz="6" w:space="0" w:color="auto"/>
              <w:bottom w:val="single" w:sz="6" w:space="0" w:color="auto"/>
              <w:right w:val="single" w:sz="6" w:space="0" w:color="auto"/>
            </w:tcBorders>
          </w:tcPr>
          <w:p w:rsidR="00711CAF" w:rsidRPr="00FA3856" w:rsidRDefault="00DF6AB2" w:rsidP="00D314A8">
            <w:pPr>
              <w:pStyle w:val="Corpodetexto"/>
              <w:rPr>
                <w:rFonts w:ascii="Times New Roman" w:hAnsi="Times New Roman"/>
                <w:szCs w:val="20"/>
              </w:rPr>
            </w:pPr>
            <w:r w:rsidRPr="00FA3856">
              <w:rPr>
                <w:rFonts w:ascii="Times New Roman" w:hAnsi="Times New Roman"/>
                <w:b/>
                <w:szCs w:val="20"/>
              </w:rPr>
              <w:t>REGRA_TIP_EXP_4_OBRIGATORIO:</w:t>
            </w:r>
            <w:r w:rsidR="00D314A8" w:rsidRPr="00FA3856">
              <w:rPr>
                <w:rFonts w:ascii="Times New Roman" w:hAnsi="Times New Roman"/>
                <w:b/>
                <w:szCs w:val="20"/>
              </w:rPr>
              <w:t xml:space="preserve"> </w:t>
            </w:r>
            <w:r w:rsidR="00D314A8" w:rsidRPr="00FA3856">
              <w:rPr>
                <w:rFonts w:ascii="Times New Roman" w:hAnsi="Times New Roman"/>
                <w:szCs w:val="20"/>
              </w:rPr>
              <w:t xml:space="preserve">Verifica se </w:t>
            </w:r>
            <w:r w:rsidR="00066E19" w:rsidRPr="00FA3856">
              <w:rPr>
                <w:rFonts w:ascii="Times New Roman" w:hAnsi="Times New Roman"/>
                <w:szCs w:val="20"/>
              </w:rPr>
              <w:t>X300.</w:t>
            </w:r>
            <w:r w:rsidR="00733508" w:rsidRPr="00FA3856">
              <w:rPr>
                <w:rFonts w:ascii="Times New Roman" w:hAnsi="Times New Roman"/>
                <w:szCs w:val="20"/>
              </w:rPr>
              <w:t xml:space="preserve">TIP_MOEDA </w:t>
            </w:r>
            <w:r w:rsidR="00D314A8" w:rsidRPr="00FA3856">
              <w:rPr>
                <w:rFonts w:ascii="Times New Roman" w:hAnsi="Times New Roman"/>
                <w:szCs w:val="20"/>
              </w:rPr>
              <w:t xml:space="preserve">está preenchido quando </w:t>
            </w:r>
            <w:r w:rsidR="00733508" w:rsidRPr="00FA3856">
              <w:rPr>
                <w:rFonts w:ascii="Times New Roman" w:hAnsi="Times New Roman"/>
                <w:szCs w:val="20"/>
              </w:rPr>
              <w:t xml:space="preserve">X300.TIP_EXP </w:t>
            </w:r>
            <w:r w:rsidR="00D314A8" w:rsidRPr="00FA3856">
              <w:rPr>
                <w:rFonts w:ascii="Times New Roman" w:hAnsi="Times New Roman"/>
                <w:szCs w:val="20"/>
              </w:rPr>
              <w:t>igual a “4” (operações financeiras).</w:t>
            </w:r>
          </w:p>
        </w:tc>
        <w:tc>
          <w:tcPr>
            <w:tcW w:w="717" w:type="dxa"/>
            <w:tcBorders>
              <w:top w:val="single" w:sz="6" w:space="0" w:color="auto"/>
              <w:left w:val="single" w:sz="6" w:space="0" w:color="auto"/>
              <w:bottom w:val="single" w:sz="6" w:space="0" w:color="auto"/>
              <w:right w:val="single" w:sz="6" w:space="0" w:color="auto"/>
            </w:tcBorders>
          </w:tcPr>
          <w:p w:rsidR="008D0979" w:rsidRPr="00FA3856" w:rsidRDefault="008D0979" w:rsidP="008D0979">
            <w:pPr>
              <w:pStyle w:val="PSDS-CorpodeTexto0"/>
              <w:rPr>
                <w:rFonts w:ascii="Times New Roman" w:hAnsi="Times New Roman"/>
              </w:rPr>
            </w:pPr>
            <w:r w:rsidRPr="00FA3856">
              <w:rPr>
                <w:rFonts w:ascii="Times New Roman" w:hAnsi="Times New Roman"/>
              </w:rPr>
              <w:t>Erro</w:t>
            </w:r>
          </w:p>
          <w:p w:rsidR="00711CAF" w:rsidRPr="00FA3856" w:rsidRDefault="00711CAF" w:rsidP="008D0979">
            <w:pPr>
              <w:pStyle w:val="PSDS-CorpodeTexto0"/>
              <w:rPr>
                <w:rFonts w:ascii="Times New Roman" w:hAnsi="Times New Roman"/>
              </w:rPr>
            </w:pPr>
          </w:p>
        </w:tc>
      </w:tr>
    </w:tbl>
    <w:p w:rsidR="00066E19" w:rsidRPr="00FA3856" w:rsidRDefault="00066E19" w:rsidP="006E0618">
      <w:pPr>
        <w:pStyle w:val="Corpodetexto"/>
        <w:rPr>
          <w:rFonts w:ascii="Times New Roman" w:hAnsi="Times New Roman"/>
          <w:b/>
          <w:color w:val="002060"/>
          <w:szCs w:val="20"/>
        </w:rPr>
      </w:pPr>
    </w:p>
    <w:p w:rsidR="001B6DF5" w:rsidRPr="00FA3856" w:rsidRDefault="001B6DF5" w:rsidP="006E0618">
      <w:pPr>
        <w:pStyle w:val="Corpodetexto"/>
        <w:rPr>
          <w:rFonts w:ascii="Times New Roman" w:hAnsi="Times New Roman"/>
          <w:b/>
          <w:color w:val="002060"/>
          <w:szCs w:val="20"/>
        </w:rPr>
      </w:pPr>
    </w:p>
    <w:p w:rsidR="00B34779" w:rsidRDefault="00066E19" w:rsidP="006E0618">
      <w:pPr>
        <w:pStyle w:val="Corpodetexto"/>
        <w:rPr>
          <w:rFonts w:ascii="Times New Roman" w:hAnsi="Times New Roman"/>
          <w:b/>
          <w:color w:val="002060"/>
          <w:szCs w:val="20"/>
        </w:rPr>
      </w:pPr>
      <w:r w:rsidRPr="00FA3856">
        <w:rPr>
          <w:rFonts w:ascii="Times New Roman" w:hAnsi="Times New Roman"/>
          <w:b/>
          <w:color w:val="002060"/>
          <w:szCs w:val="20"/>
        </w:rPr>
        <w:lastRenderedPageBreak/>
        <w:t xml:space="preserve">Exemplo de Preenchimento: </w:t>
      </w:r>
    </w:p>
    <w:p w:rsidR="00B34779" w:rsidRDefault="00B34779" w:rsidP="006E0618">
      <w:pPr>
        <w:pStyle w:val="Corpodetexto"/>
        <w:rPr>
          <w:rFonts w:ascii="Times New Roman" w:hAnsi="Times New Roman"/>
          <w:b/>
          <w:color w:val="002060"/>
          <w:szCs w:val="20"/>
        </w:rPr>
      </w:pPr>
    </w:p>
    <w:p w:rsidR="006E0618" w:rsidRPr="00FA3856" w:rsidRDefault="006E0618" w:rsidP="006E0618">
      <w:pPr>
        <w:pStyle w:val="Corpodetexto"/>
        <w:rPr>
          <w:rFonts w:ascii="Times New Roman" w:hAnsi="Times New Roman"/>
          <w:b/>
          <w:color w:val="002060"/>
          <w:szCs w:val="20"/>
        </w:rPr>
      </w:pPr>
      <w:r w:rsidRPr="00FA3856">
        <w:rPr>
          <w:rFonts w:ascii="Times New Roman" w:hAnsi="Times New Roman"/>
          <w:b/>
          <w:color w:val="002060"/>
          <w:szCs w:val="20"/>
        </w:rPr>
        <w:t>|X300|01|01|BEM DO IMOBILIZADO|100000,00|11111111|100|15|</w:t>
      </w:r>
      <w:r w:rsidR="002C2549" w:rsidRPr="00FA3856">
        <w:rPr>
          <w:rFonts w:ascii="Times New Roman" w:hAnsi="Times New Roman"/>
          <w:b/>
          <w:color w:val="002060"/>
          <w:szCs w:val="20"/>
        </w:rPr>
        <w:t>N|</w:t>
      </w:r>
      <w:r w:rsidRPr="00FA3856">
        <w:rPr>
          <w:rFonts w:ascii="Times New Roman" w:hAnsi="Times New Roman"/>
          <w:b/>
          <w:color w:val="002060"/>
          <w:szCs w:val="20"/>
        </w:rPr>
        <w:t>PRL20|90000,00|90000,00|1000,00|0,00|0,00|0,00|||</w:t>
      </w:r>
    </w:p>
    <w:p w:rsidR="006E0618" w:rsidRPr="00FA3856" w:rsidRDefault="006E0618" w:rsidP="006E0618">
      <w:pPr>
        <w:pStyle w:val="Corpodetexto"/>
        <w:ind w:firstLine="708"/>
        <w:rPr>
          <w:rFonts w:ascii="Times New Roman" w:hAnsi="Times New Roman"/>
          <w:color w:val="002060"/>
          <w:szCs w:val="20"/>
        </w:rPr>
      </w:pPr>
      <w:r w:rsidRPr="00FA3856">
        <w:rPr>
          <w:rFonts w:ascii="Times New Roman" w:hAnsi="Times New Roman"/>
          <w:color w:val="002060"/>
          <w:szCs w:val="20"/>
        </w:rPr>
        <w:t>|X300|: Identificação do tipo do registro.</w:t>
      </w:r>
    </w:p>
    <w:p w:rsidR="006E0618" w:rsidRPr="00FA3856" w:rsidRDefault="006E0618" w:rsidP="006E0618">
      <w:pPr>
        <w:pStyle w:val="Corpodetexto"/>
        <w:ind w:firstLine="708"/>
        <w:rPr>
          <w:rFonts w:ascii="Times New Roman" w:hAnsi="Times New Roman"/>
          <w:color w:val="002060"/>
          <w:szCs w:val="20"/>
        </w:rPr>
      </w:pPr>
      <w:r w:rsidRPr="00FA3856">
        <w:rPr>
          <w:rFonts w:ascii="Times New Roman" w:hAnsi="Times New Roman"/>
          <w:color w:val="002060"/>
          <w:szCs w:val="20"/>
        </w:rPr>
        <w:t>|01|: Número de ordem para identificar a operação.</w:t>
      </w:r>
    </w:p>
    <w:p w:rsidR="006E0618" w:rsidRPr="00FA3856" w:rsidRDefault="006E0618" w:rsidP="006E0618">
      <w:pPr>
        <w:pStyle w:val="Corpodetexto"/>
        <w:ind w:firstLine="708"/>
        <w:rPr>
          <w:rFonts w:ascii="Times New Roman" w:hAnsi="Times New Roman"/>
          <w:color w:val="002060"/>
          <w:szCs w:val="20"/>
        </w:rPr>
      </w:pPr>
      <w:r w:rsidRPr="00FA3856">
        <w:rPr>
          <w:rFonts w:ascii="Times New Roman" w:hAnsi="Times New Roman"/>
          <w:color w:val="002060"/>
          <w:szCs w:val="20"/>
        </w:rPr>
        <w:t>|01|: Tipo de importação (01 = Bens).</w:t>
      </w:r>
    </w:p>
    <w:p w:rsidR="006E0618" w:rsidRPr="00FA3856" w:rsidRDefault="006E0618" w:rsidP="006E0618">
      <w:pPr>
        <w:pStyle w:val="Corpodetexto"/>
        <w:ind w:firstLine="708"/>
        <w:rPr>
          <w:rFonts w:ascii="Times New Roman" w:hAnsi="Times New Roman"/>
          <w:color w:val="002060"/>
          <w:szCs w:val="20"/>
        </w:rPr>
      </w:pPr>
      <w:r w:rsidRPr="00FA3856">
        <w:rPr>
          <w:rFonts w:ascii="Times New Roman" w:hAnsi="Times New Roman"/>
          <w:color w:val="002060"/>
          <w:szCs w:val="20"/>
        </w:rPr>
        <w:t>|BEM DO IMOBILIZADO|: Descrição do bem.</w:t>
      </w:r>
    </w:p>
    <w:p w:rsidR="006E0618" w:rsidRPr="00FA3856" w:rsidRDefault="006E0618" w:rsidP="006E0618">
      <w:pPr>
        <w:pStyle w:val="Corpodetexto"/>
        <w:ind w:firstLine="708"/>
        <w:rPr>
          <w:rFonts w:ascii="Times New Roman" w:hAnsi="Times New Roman"/>
          <w:color w:val="002060"/>
          <w:szCs w:val="20"/>
        </w:rPr>
      </w:pPr>
      <w:r w:rsidRPr="00FA3856">
        <w:rPr>
          <w:rFonts w:ascii="Times New Roman" w:hAnsi="Times New Roman"/>
          <w:color w:val="002060"/>
          <w:szCs w:val="20"/>
        </w:rPr>
        <w:t>|100000,00|: Total da operação (R$ 100.000,00).</w:t>
      </w:r>
    </w:p>
    <w:p w:rsidR="006E0618" w:rsidRPr="00FA3856" w:rsidRDefault="006E0618" w:rsidP="006E0618">
      <w:pPr>
        <w:pStyle w:val="Corpodetexto"/>
        <w:ind w:firstLine="708"/>
        <w:rPr>
          <w:rFonts w:ascii="Times New Roman" w:hAnsi="Times New Roman"/>
          <w:color w:val="002060"/>
          <w:szCs w:val="20"/>
        </w:rPr>
      </w:pPr>
      <w:r w:rsidRPr="00FA3856">
        <w:rPr>
          <w:rFonts w:ascii="Times New Roman" w:hAnsi="Times New Roman"/>
          <w:color w:val="002060"/>
          <w:szCs w:val="20"/>
        </w:rPr>
        <w:t>|11111111|: Código NCM do bem.</w:t>
      </w:r>
    </w:p>
    <w:p w:rsidR="006E0618" w:rsidRPr="00FA3856" w:rsidRDefault="006E0618" w:rsidP="006E0618">
      <w:pPr>
        <w:pStyle w:val="Corpodetexto"/>
        <w:ind w:firstLine="708"/>
        <w:rPr>
          <w:rFonts w:ascii="Times New Roman" w:hAnsi="Times New Roman"/>
          <w:color w:val="002060"/>
          <w:szCs w:val="20"/>
        </w:rPr>
      </w:pPr>
      <w:r w:rsidRPr="00FA3856">
        <w:rPr>
          <w:rFonts w:ascii="Times New Roman" w:hAnsi="Times New Roman"/>
          <w:color w:val="002060"/>
          <w:szCs w:val="20"/>
        </w:rPr>
        <w:t>|100|: Quantidade.</w:t>
      </w:r>
    </w:p>
    <w:p w:rsidR="006E0618" w:rsidRPr="00FA3856" w:rsidRDefault="006E0618" w:rsidP="006E0618">
      <w:pPr>
        <w:pStyle w:val="Corpodetexto"/>
        <w:ind w:firstLine="708"/>
        <w:rPr>
          <w:rFonts w:ascii="Times New Roman" w:hAnsi="Times New Roman"/>
          <w:color w:val="002060"/>
          <w:szCs w:val="20"/>
        </w:rPr>
      </w:pPr>
      <w:r w:rsidRPr="00FA3856">
        <w:rPr>
          <w:rFonts w:ascii="Times New Roman" w:hAnsi="Times New Roman"/>
          <w:color w:val="002060"/>
          <w:szCs w:val="20"/>
        </w:rPr>
        <w:t>|15|: Unidade de medida (15 = Unidade).</w:t>
      </w:r>
    </w:p>
    <w:p w:rsidR="002C2549" w:rsidRPr="00FA3856" w:rsidRDefault="002C2549" w:rsidP="006E0618">
      <w:pPr>
        <w:pStyle w:val="Corpodetexto"/>
        <w:ind w:firstLine="708"/>
        <w:rPr>
          <w:rFonts w:ascii="Times New Roman" w:hAnsi="Times New Roman"/>
          <w:color w:val="002060"/>
          <w:szCs w:val="20"/>
        </w:rPr>
      </w:pPr>
      <w:r w:rsidRPr="00FA3856">
        <w:rPr>
          <w:rFonts w:ascii="Times New Roman" w:hAnsi="Times New Roman"/>
          <w:color w:val="002060"/>
          <w:szCs w:val="20"/>
        </w:rPr>
        <w:t>|N|: Não é operação sujeita a arbitramento.</w:t>
      </w:r>
    </w:p>
    <w:p w:rsidR="006E0618" w:rsidRPr="00FA3856" w:rsidRDefault="006E0618" w:rsidP="006E0618">
      <w:pPr>
        <w:pStyle w:val="Corpodetexto"/>
        <w:ind w:firstLine="708"/>
        <w:rPr>
          <w:rFonts w:ascii="Times New Roman" w:hAnsi="Times New Roman"/>
          <w:color w:val="002060"/>
          <w:szCs w:val="20"/>
        </w:rPr>
      </w:pPr>
      <w:r w:rsidRPr="00FA3856">
        <w:rPr>
          <w:rFonts w:ascii="Times New Roman" w:hAnsi="Times New Roman"/>
          <w:color w:val="002060"/>
          <w:szCs w:val="20"/>
        </w:rPr>
        <w:t>|</w:t>
      </w:r>
      <w:r w:rsidR="002C2549" w:rsidRPr="00FA3856">
        <w:rPr>
          <w:rFonts w:ascii="Times New Roman" w:hAnsi="Times New Roman"/>
          <w:color w:val="002060"/>
          <w:szCs w:val="20"/>
        </w:rPr>
        <w:t>PVE</w:t>
      </w:r>
      <w:r w:rsidRPr="00FA3856">
        <w:rPr>
          <w:rFonts w:ascii="Times New Roman" w:hAnsi="Times New Roman"/>
          <w:color w:val="002060"/>
          <w:szCs w:val="20"/>
        </w:rPr>
        <w:t xml:space="preserve">|: Método do preço </w:t>
      </w:r>
      <w:r w:rsidR="002C2549" w:rsidRPr="00FA3856">
        <w:rPr>
          <w:rFonts w:ascii="Times New Roman" w:hAnsi="Times New Roman"/>
          <w:color w:val="002060"/>
          <w:szCs w:val="20"/>
        </w:rPr>
        <w:t>de vendas das exportações</w:t>
      </w:r>
      <w:r w:rsidRPr="00FA3856">
        <w:rPr>
          <w:rFonts w:ascii="Times New Roman" w:hAnsi="Times New Roman"/>
          <w:color w:val="002060"/>
          <w:szCs w:val="20"/>
        </w:rPr>
        <w:t xml:space="preserve"> (</w:t>
      </w:r>
      <w:r w:rsidR="002C2549" w:rsidRPr="00FA3856">
        <w:rPr>
          <w:rFonts w:ascii="Times New Roman" w:hAnsi="Times New Roman"/>
          <w:color w:val="002060"/>
          <w:szCs w:val="20"/>
        </w:rPr>
        <w:t>PVE</w:t>
      </w:r>
      <w:r w:rsidRPr="00FA3856">
        <w:rPr>
          <w:rFonts w:ascii="Times New Roman" w:hAnsi="Times New Roman"/>
          <w:color w:val="002060"/>
          <w:szCs w:val="20"/>
        </w:rPr>
        <w:t>).</w:t>
      </w:r>
    </w:p>
    <w:p w:rsidR="006E0618" w:rsidRPr="00FA3856" w:rsidRDefault="006E0618" w:rsidP="006E0618">
      <w:pPr>
        <w:pStyle w:val="Corpodetexto"/>
        <w:ind w:firstLine="708"/>
        <w:rPr>
          <w:rFonts w:ascii="Times New Roman" w:hAnsi="Times New Roman"/>
          <w:color w:val="002060"/>
          <w:szCs w:val="20"/>
        </w:rPr>
      </w:pPr>
      <w:r w:rsidRPr="00FA3856">
        <w:rPr>
          <w:rFonts w:ascii="Times New Roman" w:hAnsi="Times New Roman"/>
          <w:color w:val="002060"/>
          <w:szCs w:val="20"/>
        </w:rPr>
        <w:t>|90000,00|: Valor do preço médio ponderado de aquisição nas importações apurado no ano-calendário (R$ 90.000,00).</w:t>
      </w:r>
    </w:p>
    <w:p w:rsidR="006E0618" w:rsidRPr="00FA3856" w:rsidRDefault="006E0618" w:rsidP="006E0618">
      <w:pPr>
        <w:pStyle w:val="Corpodetexto"/>
        <w:ind w:firstLine="708"/>
        <w:rPr>
          <w:rFonts w:ascii="Times New Roman" w:hAnsi="Times New Roman"/>
          <w:color w:val="002060"/>
          <w:szCs w:val="20"/>
        </w:rPr>
      </w:pPr>
      <w:r w:rsidRPr="00FA3856">
        <w:rPr>
          <w:rFonts w:ascii="Times New Roman" w:hAnsi="Times New Roman"/>
          <w:color w:val="002060"/>
          <w:szCs w:val="20"/>
        </w:rPr>
        <w:t>|90000,00|: Valor do preço médio ponderado de aquisição nas importações praticado no ano-calendário (R$ 90.000,00).</w:t>
      </w:r>
    </w:p>
    <w:p w:rsidR="006E0618" w:rsidRPr="00FA3856" w:rsidRDefault="006E0618" w:rsidP="006E0618">
      <w:pPr>
        <w:pStyle w:val="Corpodetexto"/>
        <w:ind w:firstLine="708"/>
        <w:rPr>
          <w:rFonts w:ascii="Times New Roman" w:hAnsi="Times New Roman"/>
          <w:color w:val="002060"/>
          <w:szCs w:val="20"/>
        </w:rPr>
      </w:pPr>
      <w:r w:rsidRPr="00FA3856">
        <w:rPr>
          <w:rFonts w:ascii="Times New Roman" w:hAnsi="Times New Roman"/>
          <w:color w:val="002060"/>
          <w:szCs w:val="20"/>
        </w:rPr>
        <w:t>|1000,00|: Valor do ajuste (R$ 1.000,00).</w:t>
      </w:r>
    </w:p>
    <w:p w:rsidR="006E0618" w:rsidRPr="00FA3856" w:rsidRDefault="006E0618" w:rsidP="006E0618">
      <w:pPr>
        <w:pStyle w:val="Corpodetexto"/>
        <w:ind w:firstLine="708"/>
        <w:rPr>
          <w:rFonts w:ascii="Times New Roman" w:hAnsi="Times New Roman"/>
          <w:color w:val="002060"/>
          <w:szCs w:val="20"/>
        </w:rPr>
      </w:pPr>
      <w:r w:rsidRPr="00FA3856">
        <w:rPr>
          <w:rFonts w:ascii="Times New Roman" w:hAnsi="Times New Roman"/>
          <w:color w:val="002060"/>
          <w:szCs w:val="20"/>
        </w:rPr>
        <w:t>|0,00|: Não há.</w:t>
      </w:r>
    </w:p>
    <w:p w:rsidR="006E0618" w:rsidRPr="00FA3856" w:rsidRDefault="006E0618" w:rsidP="006E0618">
      <w:pPr>
        <w:pStyle w:val="Corpodetexto"/>
        <w:ind w:firstLine="708"/>
        <w:rPr>
          <w:rFonts w:ascii="Times New Roman" w:hAnsi="Times New Roman"/>
          <w:color w:val="002060"/>
          <w:szCs w:val="20"/>
        </w:rPr>
      </w:pPr>
      <w:r w:rsidRPr="00FA3856">
        <w:rPr>
          <w:rFonts w:ascii="Times New Roman" w:hAnsi="Times New Roman"/>
          <w:color w:val="002060"/>
          <w:szCs w:val="20"/>
        </w:rPr>
        <w:t>|0,00|: Não há.</w:t>
      </w:r>
    </w:p>
    <w:p w:rsidR="006E0618" w:rsidRPr="00FA3856" w:rsidRDefault="006E0618" w:rsidP="006E0618">
      <w:pPr>
        <w:pStyle w:val="Corpodetexto"/>
        <w:ind w:firstLine="708"/>
        <w:rPr>
          <w:rFonts w:ascii="Times New Roman" w:hAnsi="Times New Roman"/>
          <w:color w:val="002060"/>
          <w:szCs w:val="20"/>
        </w:rPr>
      </w:pPr>
      <w:r w:rsidRPr="00FA3856">
        <w:rPr>
          <w:rFonts w:ascii="Times New Roman" w:hAnsi="Times New Roman"/>
          <w:color w:val="002060"/>
          <w:szCs w:val="20"/>
        </w:rPr>
        <w:t>|0,00|: Não há.</w:t>
      </w:r>
    </w:p>
    <w:p w:rsidR="006E0618" w:rsidRPr="00FA3856" w:rsidRDefault="006E0618" w:rsidP="006E0618">
      <w:pPr>
        <w:pStyle w:val="Corpodetexto"/>
        <w:ind w:firstLine="708"/>
        <w:rPr>
          <w:rFonts w:ascii="Times New Roman" w:hAnsi="Times New Roman"/>
          <w:color w:val="002060"/>
          <w:szCs w:val="20"/>
        </w:rPr>
      </w:pPr>
      <w:r w:rsidRPr="00FA3856">
        <w:rPr>
          <w:rFonts w:ascii="Times New Roman" w:hAnsi="Times New Roman"/>
          <w:color w:val="002060"/>
          <w:szCs w:val="20"/>
        </w:rPr>
        <w:t>||: Não há.</w:t>
      </w:r>
    </w:p>
    <w:p w:rsidR="006E0618" w:rsidRPr="00FA3856" w:rsidRDefault="006E0618" w:rsidP="006E0618">
      <w:pPr>
        <w:pStyle w:val="Corpodetexto"/>
        <w:ind w:firstLine="708"/>
        <w:rPr>
          <w:rFonts w:ascii="Times New Roman" w:hAnsi="Times New Roman"/>
          <w:color w:val="002060"/>
          <w:szCs w:val="20"/>
        </w:rPr>
      </w:pPr>
      <w:r w:rsidRPr="00FA3856">
        <w:rPr>
          <w:rFonts w:ascii="Times New Roman" w:hAnsi="Times New Roman"/>
          <w:color w:val="002060"/>
          <w:szCs w:val="20"/>
        </w:rPr>
        <w:t>||: Não há.</w:t>
      </w:r>
    </w:p>
    <w:p w:rsidR="006E0618" w:rsidRPr="00FA3856" w:rsidRDefault="006E0618" w:rsidP="00491058">
      <w:pPr>
        <w:rPr>
          <w:szCs w:val="20"/>
        </w:rPr>
      </w:pPr>
    </w:p>
    <w:p w:rsidR="006E0618" w:rsidRPr="00FA3856" w:rsidRDefault="006E0618">
      <w:pPr>
        <w:spacing w:after="200" w:line="276" w:lineRule="auto"/>
        <w:rPr>
          <w:b/>
          <w:bCs/>
          <w:color w:val="0000FF"/>
          <w:szCs w:val="20"/>
        </w:rPr>
      </w:pPr>
      <w:r w:rsidRPr="00FA3856">
        <w:rPr>
          <w:color w:val="0000FF"/>
          <w:szCs w:val="20"/>
        </w:rPr>
        <w:br w:type="page"/>
      </w:r>
    </w:p>
    <w:p w:rsidR="00D314A8" w:rsidRPr="00FA3856" w:rsidRDefault="00D314A8" w:rsidP="00867F54">
      <w:pPr>
        <w:pStyle w:val="Ttulo4"/>
      </w:pPr>
      <w:bookmarkStart w:id="394" w:name="_Toc479713797"/>
      <w:r w:rsidRPr="00FA3856">
        <w:lastRenderedPageBreak/>
        <w:t>Registro X310: Operações com o Exterior – Contratantes das Exportações</w:t>
      </w:r>
      <w:bookmarkEnd w:id="394"/>
    </w:p>
    <w:p w:rsidR="00D314A8" w:rsidRPr="00FA3856" w:rsidRDefault="00D314A8" w:rsidP="00D314A8">
      <w:pPr>
        <w:rPr>
          <w:szCs w:val="20"/>
        </w:rPr>
      </w:pPr>
    </w:p>
    <w:p w:rsidR="000430B5" w:rsidRPr="00FA3856" w:rsidRDefault="000430B5" w:rsidP="000430B5">
      <w:pPr>
        <w:ind w:firstLine="708"/>
        <w:rPr>
          <w:bCs/>
          <w:szCs w:val="20"/>
        </w:rPr>
      </w:pPr>
      <w:r w:rsidRPr="00FA3856">
        <w:rPr>
          <w:bCs/>
          <w:szCs w:val="20"/>
        </w:rPr>
        <w:t xml:space="preserve">Este registro é habilitado ao se incluir cada operação no registro X300. Para cada operação incluída no registro X300, a pessoa jurídica deve informar, em ordem decrescente de valor, até 30 (trinta) pessoas </w:t>
      </w:r>
      <w:r w:rsidR="00AE7FBB" w:rsidRPr="00FA3856">
        <w:rPr>
          <w:bCs/>
          <w:szCs w:val="20"/>
        </w:rPr>
        <w:t>vinculadas,</w:t>
      </w:r>
      <w:r w:rsidRPr="00FA3856">
        <w:rPr>
          <w:bCs/>
          <w:szCs w:val="20"/>
        </w:rPr>
        <w:t xml:space="preserve"> domiciliadas em países com tributação favorecida ou cuja legislação interna oponha sigilo à composição societária, ou, ainda, a partir de 1º de janeiro de 2009, que gozem, nos termos da legislação, de regime fiscal privilegiado, ou interposta pessoa, que sejam contratantes de exportações ou operações financeiras.</w:t>
      </w:r>
    </w:p>
    <w:p w:rsidR="00342735" w:rsidRDefault="00342735" w:rsidP="006E0618">
      <w:pPr>
        <w:pStyle w:val="Corpodetexto"/>
        <w:rPr>
          <w:rFonts w:ascii="Times New Roman" w:hAnsi="Times New Roman"/>
          <w:b/>
          <w:color w:val="002060"/>
          <w:szCs w:val="20"/>
        </w:rPr>
      </w:pPr>
    </w:p>
    <w:p w:rsidR="00B34779" w:rsidRPr="00FA3856" w:rsidRDefault="00B35FA3" w:rsidP="00B34779">
      <w:pPr>
        <w:pStyle w:val="Corpodetexto"/>
        <w:jc w:val="center"/>
        <w:rPr>
          <w:rFonts w:ascii="Times New Roman" w:hAnsi="Times New Roman"/>
          <w:b/>
          <w:color w:val="002060"/>
          <w:szCs w:val="20"/>
        </w:rPr>
      </w:pPr>
      <w:r>
        <w:rPr>
          <w:rFonts w:ascii="Times New Roman" w:hAnsi="Times New Roman"/>
          <w:b/>
          <w:color w:val="002060"/>
          <w:szCs w:val="20"/>
        </w:rPr>
        <w:object w:dxaOrig="14940" w:dyaOrig="5955">
          <v:shape id="_x0000_i1927" type="#_x0000_t75" style="width:798.75pt;height:288.75pt" o:ole="">
            <v:imagedata r:id="rId685" o:title=""/>
          </v:shape>
          <o:OLEObject Type="Link" ProgID="Excel.Sheet.12" ShapeID="_x0000_i1927" DrawAspect="Content" r:id="rId686" UpdateMode="Always">
            <o:LinkType>EnhancedMetaFile</o:LinkType>
            <o:LockedField>false</o:LockedField>
          </o:OLEObject>
        </w:object>
      </w:r>
    </w:p>
    <w:p w:rsidR="00B34779" w:rsidRDefault="00B34779" w:rsidP="006E0618">
      <w:pPr>
        <w:pStyle w:val="Corpodetexto"/>
        <w:rPr>
          <w:rFonts w:ascii="Times New Roman" w:hAnsi="Times New Roman"/>
          <w:b/>
          <w:color w:val="002060"/>
          <w:szCs w:val="20"/>
        </w:rPr>
      </w:pPr>
    </w:p>
    <w:p w:rsidR="00571523" w:rsidRDefault="00571523">
      <w:pPr>
        <w:spacing w:after="200" w:line="276" w:lineRule="auto"/>
        <w:rPr>
          <w:b/>
          <w:color w:val="002060"/>
          <w:szCs w:val="20"/>
          <w:lang w:eastAsia="ar-SA"/>
        </w:rPr>
      </w:pPr>
      <w:r>
        <w:rPr>
          <w:b/>
          <w:color w:val="002060"/>
          <w:szCs w:val="20"/>
        </w:rPr>
        <w:br w:type="page"/>
      </w:r>
    </w:p>
    <w:p w:rsidR="00B34779" w:rsidRDefault="00342735" w:rsidP="006E0618">
      <w:pPr>
        <w:pStyle w:val="Corpodetexto"/>
        <w:rPr>
          <w:rFonts w:ascii="Times New Roman" w:hAnsi="Times New Roman"/>
          <w:b/>
          <w:color w:val="002060"/>
          <w:szCs w:val="20"/>
        </w:rPr>
      </w:pPr>
      <w:r w:rsidRPr="00FA3856">
        <w:rPr>
          <w:rFonts w:ascii="Times New Roman" w:hAnsi="Times New Roman"/>
          <w:b/>
          <w:color w:val="002060"/>
          <w:szCs w:val="20"/>
        </w:rPr>
        <w:lastRenderedPageBreak/>
        <w:t xml:space="preserve">Exemplo de Preenchimento: </w:t>
      </w:r>
    </w:p>
    <w:p w:rsidR="00B34779" w:rsidRDefault="00B34779" w:rsidP="006E0618">
      <w:pPr>
        <w:pStyle w:val="Corpodetexto"/>
        <w:rPr>
          <w:rFonts w:ascii="Times New Roman" w:hAnsi="Times New Roman"/>
          <w:b/>
          <w:color w:val="002060"/>
          <w:szCs w:val="20"/>
        </w:rPr>
      </w:pPr>
    </w:p>
    <w:p w:rsidR="006E0618" w:rsidRPr="00FA3856" w:rsidRDefault="006E0618" w:rsidP="006E0618">
      <w:pPr>
        <w:pStyle w:val="Corpodetexto"/>
        <w:rPr>
          <w:rFonts w:ascii="Times New Roman" w:hAnsi="Times New Roman"/>
          <w:b/>
          <w:color w:val="002060"/>
          <w:szCs w:val="20"/>
        </w:rPr>
      </w:pPr>
      <w:r w:rsidRPr="00FA3856">
        <w:rPr>
          <w:rFonts w:ascii="Times New Roman" w:hAnsi="Times New Roman"/>
          <w:b/>
          <w:color w:val="002060"/>
          <w:szCs w:val="20"/>
        </w:rPr>
        <w:t>|X310|PESSOA JURIDICA CONTRATANTE|249|1000000,00|01|</w:t>
      </w:r>
    </w:p>
    <w:p w:rsidR="006E0618" w:rsidRPr="00FA3856" w:rsidRDefault="006E0618" w:rsidP="006E0618">
      <w:pPr>
        <w:pStyle w:val="Corpodetexto"/>
        <w:ind w:firstLine="708"/>
        <w:rPr>
          <w:rFonts w:ascii="Times New Roman" w:hAnsi="Times New Roman"/>
          <w:color w:val="002060"/>
          <w:szCs w:val="20"/>
        </w:rPr>
      </w:pPr>
      <w:r w:rsidRPr="00FA3856">
        <w:rPr>
          <w:rFonts w:ascii="Times New Roman" w:hAnsi="Times New Roman"/>
          <w:color w:val="002060"/>
          <w:szCs w:val="20"/>
        </w:rPr>
        <w:t>|X310|: Identificação do tipo do registro.</w:t>
      </w:r>
    </w:p>
    <w:p w:rsidR="006E0618" w:rsidRPr="00FA3856" w:rsidRDefault="006E0618" w:rsidP="006E0618">
      <w:pPr>
        <w:pStyle w:val="Corpodetexto"/>
        <w:ind w:firstLine="708"/>
        <w:rPr>
          <w:rFonts w:ascii="Times New Roman" w:hAnsi="Times New Roman"/>
          <w:color w:val="002060"/>
          <w:szCs w:val="20"/>
        </w:rPr>
      </w:pPr>
      <w:r w:rsidRPr="00FA3856">
        <w:rPr>
          <w:rFonts w:ascii="Times New Roman" w:hAnsi="Times New Roman"/>
          <w:color w:val="002060"/>
          <w:szCs w:val="20"/>
        </w:rPr>
        <w:t xml:space="preserve">|PESSOA JURIDICA CONTRATANTE|: Razão </w:t>
      </w:r>
      <w:r w:rsidR="00AE7FBB" w:rsidRPr="00FA3856">
        <w:rPr>
          <w:rFonts w:ascii="Times New Roman" w:hAnsi="Times New Roman"/>
          <w:color w:val="002060"/>
          <w:szCs w:val="20"/>
        </w:rPr>
        <w:t>social</w:t>
      </w:r>
      <w:r w:rsidRPr="00FA3856">
        <w:rPr>
          <w:rFonts w:ascii="Times New Roman" w:hAnsi="Times New Roman"/>
          <w:color w:val="002060"/>
          <w:szCs w:val="20"/>
        </w:rPr>
        <w:t xml:space="preserve"> da pessoa jurídica contratante.</w:t>
      </w:r>
    </w:p>
    <w:p w:rsidR="006E0618" w:rsidRPr="00FA3856" w:rsidRDefault="006E0618" w:rsidP="006E0618">
      <w:pPr>
        <w:pStyle w:val="Corpodetexto"/>
        <w:ind w:firstLine="708"/>
        <w:rPr>
          <w:rFonts w:ascii="Times New Roman" w:hAnsi="Times New Roman"/>
          <w:color w:val="002060"/>
          <w:szCs w:val="20"/>
        </w:rPr>
      </w:pPr>
      <w:r w:rsidRPr="00FA3856">
        <w:rPr>
          <w:rFonts w:ascii="Times New Roman" w:hAnsi="Times New Roman"/>
          <w:color w:val="002060"/>
          <w:szCs w:val="20"/>
        </w:rPr>
        <w:t>|249|: País (249 = Estados Unidas da América).</w:t>
      </w:r>
    </w:p>
    <w:p w:rsidR="006E0618" w:rsidRPr="00FA3856" w:rsidRDefault="006E0618" w:rsidP="006E0618">
      <w:pPr>
        <w:pStyle w:val="Corpodetexto"/>
        <w:ind w:firstLine="708"/>
        <w:rPr>
          <w:rFonts w:ascii="Times New Roman" w:hAnsi="Times New Roman"/>
          <w:color w:val="002060"/>
          <w:szCs w:val="20"/>
        </w:rPr>
      </w:pPr>
      <w:r w:rsidRPr="00FA3856">
        <w:rPr>
          <w:rFonts w:ascii="Times New Roman" w:hAnsi="Times New Roman"/>
          <w:color w:val="002060"/>
          <w:szCs w:val="20"/>
        </w:rPr>
        <w:t>|1000000,00|: Valor da operação (R$ 1.000.000,00).</w:t>
      </w:r>
    </w:p>
    <w:p w:rsidR="006E0618" w:rsidRPr="00FA3856" w:rsidRDefault="006E0618" w:rsidP="006E0618">
      <w:pPr>
        <w:pStyle w:val="Corpodetexto"/>
        <w:ind w:firstLine="708"/>
        <w:rPr>
          <w:rFonts w:ascii="Times New Roman" w:hAnsi="Times New Roman"/>
          <w:color w:val="002060"/>
          <w:szCs w:val="20"/>
        </w:rPr>
      </w:pPr>
      <w:r w:rsidRPr="00FA3856">
        <w:rPr>
          <w:rFonts w:ascii="Times New Roman" w:hAnsi="Times New Roman"/>
          <w:color w:val="002060"/>
          <w:szCs w:val="20"/>
        </w:rPr>
        <w:t>|03|: Condição da pessoa envolvida (03 = Residente/Domiciliada em país com tributação favorecida).</w:t>
      </w:r>
    </w:p>
    <w:p w:rsidR="00342735" w:rsidRPr="00FA3856" w:rsidRDefault="00342735">
      <w:pPr>
        <w:spacing w:after="200" w:line="276" w:lineRule="auto"/>
        <w:rPr>
          <w:b/>
          <w:bCs/>
          <w:color w:val="0000FF"/>
          <w:szCs w:val="20"/>
        </w:rPr>
      </w:pPr>
      <w:r w:rsidRPr="00FA3856">
        <w:rPr>
          <w:color w:val="0000FF"/>
          <w:szCs w:val="20"/>
        </w:rPr>
        <w:br w:type="page"/>
      </w:r>
    </w:p>
    <w:p w:rsidR="00BA50E9" w:rsidRPr="00FA3856" w:rsidRDefault="00BA50E9" w:rsidP="00867F54">
      <w:pPr>
        <w:pStyle w:val="Ttulo4"/>
      </w:pPr>
      <w:bookmarkStart w:id="395" w:name="_Toc479713798"/>
      <w:r w:rsidRPr="00FA3856">
        <w:lastRenderedPageBreak/>
        <w:t>Registro X320: Operações com o Exterior – Importações (Saída de Divisas)</w:t>
      </w:r>
      <w:bookmarkEnd w:id="395"/>
    </w:p>
    <w:p w:rsidR="00BA50E9" w:rsidRPr="00FA3856" w:rsidRDefault="00BA50E9" w:rsidP="00BA50E9">
      <w:pPr>
        <w:rPr>
          <w:szCs w:val="20"/>
        </w:rPr>
      </w:pPr>
    </w:p>
    <w:p w:rsidR="00170D01" w:rsidRPr="00FA3856" w:rsidRDefault="00170D01" w:rsidP="00EA380A">
      <w:pPr>
        <w:ind w:firstLine="708"/>
        <w:jc w:val="both"/>
        <w:rPr>
          <w:bCs/>
          <w:szCs w:val="20"/>
        </w:rPr>
      </w:pPr>
      <w:r w:rsidRPr="00FA3856">
        <w:rPr>
          <w:bCs/>
          <w:szCs w:val="20"/>
        </w:rPr>
        <w:t>Este registro deve ser preenchido pela pessoa jurídica, inclusive instituição financeira ou companhia seguradora, conforme relacionadas no § 1º do art. 22, da Lei nº 8.212, de 1991 e no inciso II do art. 14 da Lei nº 9.718, de 1998, tributada pelo lucro real, presumido ou arbitrado, que tenha realizado no ano-calendário importação de bens, serviços, direitos ou incorrido em despesas financeiras em operações efetuadas com pessoa física ou jurídica residente ou domiciliada no exterior, consider</w:t>
      </w:r>
      <w:r w:rsidR="00EA380A" w:rsidRPr="00FA3856">
        <w:rPr>
          <w:bCs/>
          <w:szCs w:val="20"/>
        </w:rPr>
        <w:t>ada pela legislação brasileira:</w:t>
      </w:r>
    </w:p>
    <w:p w:rsidR="00170D01" w:rsidRPr="00FA3856" w:rsidRDefault="00170D01" w:rsidP="00170D01">
      <w:pPr>
        <w:ind w:firstLine="708"/>
        <w:jc w:val="both"/>
        <w:rPr>
          <w:bCs/>
          <w:szCs w:val="20"/>
        </w:rPr>
      </w:pPr>
      <w:r w:rsidRPr="00FA3856">
        <w:rPr>
          <w:bCs/>
          <w:szCs w:val="20"/>
        </w:rPr>
        <w:t>a) pessoa vinculada; e</w:t>
      </w:r>
    </w:p>
    <w:p w:rsidR="00170D01" w:rsidRPr="00FA3856" w:rsidRDefault="00170D01" w:rsidP="00170D01">
      <w:pPr>
        <w:ind w:firstLine="708"/>
        <w:jc w:val="both"/>
        <w:rPr>
          <w:bCs/>
          <w:szCs w:val="20"/>
        </w:rPr>
      </w:pPr>
      <w:r w:rsidRPr="00FA3856">
        <w:rPr>
          <w:bCs/>
          <w:szCs w:val="20"/>
        </w:rPr>
        <w:t>b) pessoa residente ou domiciliada em países com tributação favorecida ou cuja legislação interna oponha sigilo relativo à composição societária de pessoas jurídicas ou a sua titularidade, ou, ainda, a partir de 1º de janeiro de 2009, que goze, nos termos da legislação, de regime fiscal privilegiado.</w:t>
      </w:r>
    </w:p>
    <w:p w:rsidR="00170D01" w:rsidRPr="00FA3856" w:rsidRDefault="00170D01" w:rsidP="00170D01">
      <w:pPr>
        <w:ind w:firstLine="708"/>
        <w:jc w:val="both"/>
        <w:rPr>
          <w:bCs/>
          <w:szCs w:val="20"/>
        </w:rPr>
      </w:pPr>
    </w:p>
    <w:p w:rsidR="00170D01" w:rsidRPr="00FA3856" w:rsidRDefault="00170D01" w:rsidP="00170D01">
      <w:pPr>
        <w:ind w:firstLine="708"/>
        <w:jc w:val="both"/>
        <w:rPr>
          <w:bCs/>
          <w:szCs w:val="20"/>
        </w:rPr>
      </w:pPr>
      <w:r w:rsidRPr="00FA3856">
        <w:rPr>
          <w:bCs/>
          <w:szCs w:val="20"/>
        </w:rPr>
        <w:t xml:space="preserve">Este registro também deve ser preenchido pela pessoa jurídica, inclusive instituição financeira ou companhia seguradora, que realizar as operações acima referidas por intermédio de interposta pessoa (§ 5º do art. 2º da Instrução Normativa RFB nº 1.312, de 28 de dezembro de 2012). </w:t>
      </w:r>
    </w:p>
    <w:p w:rsidR="00170D01" w:rsidRPr="00FA3856" w:rsidRDefault="00170D01" w:rsidP="00170D01">
      <w:pPr>
        <w:ind w:firstLine="708"/>
        <w:jc w:val="both"/>
        <w:rPr>
          <w:bCs/>
          <w:szCs w:val="20"/>
        </w:rPr>
      </w:pPr>
    </w:p>
    <w:p w:rsidR="00170D01" w:rsidRPr="00FA3856" w:rsidRDefault="00170D01" w:rsidP="00170D01">
      <w:pPr>
        <w:ind w:firstLine="708"/>
        <w:jc w:val="both"/>
        <w:rPr>
          <w:bCs/>
          <w:szCs w:val="20"/>
        </w:rPr>
      </w:pPr>
      <w:r w:rsidRPr="00FA3856">
        <w:rPr>
          <w:b/>
          <w:bCs/>
          <w:szCs w:val="20"/>
        </w:rPr>
        <w:t>Atenção</w:t>
      </w:r>
      <w:r w:rsidRPr="00FA3856">
        <w:rPr>
          <w:bCs/>
          <w:szCs w:val="20"/>
        </w:rPr>
        <w:t>:</w:t>
      </w:r>
    </w:p>
    <w:p w:rsidR="00170D01" w:rsidRPr="00FA3856" w:rsidRDefault="00170D01" w:rsidP="00170D01">
      <w:pPr>
        <w:ind w:firstLine="708"/>
        <w:jc w:val="both"/>
        <w:rPr>
          <w:bCs/>
          <w:szCs w:val="20"/>
        </w:rPr>
      </w:pPr>
      <w:r w:rsidRPr="00FA3856">
        <w:rPr>
          <w:bCs/>
          <w:szCs w:val="20"/>
        </w:rPr>
        <w:t>1) São considerados países com tributação favorecida ou cuja legislação interna oponha sigilo relativo à composição societária de pessoas jurídicas ou a sua titularidade, os países ou dependências discriminados na Instrução Normativa RFB nº 1.037, de 4 de junho de 2010, alterada pela Instrução Normativa RFB n° 1.045, de 23 de junho de 2010.</w:t>
      </w:r>
    </w:p>
    <w:p w:rsidR="00170D01" w:rsidRPr="00FA3856" w:rsidRDefault="00170D01" w:rsidP="00170D01">
      <w:pPr>
        <w:ind w:firstLine="708"/>
        <w:jc w:val="both"/>
        <w:rPr>
          <w:bCs/>
          <w:szCs w:val="20"/>
        </w:rPr>
      </w:pPr>
    </w:p>
    <w:p w:rsidR="00170D01" w:rsidRPr="00FA3856" w:rsidRDefault="00170D01" w:rsidP="00170D01">
      <w:pPr>
        <w:ind w:firstLine="708"/>
        <w:jc w:val="both"/>
        <w:rPr>
          <w:bCs/>
          <w:szCs w:val="20"/>
        </w:rPr>
      </w:pPr>
      <w:r w:rsidRPr="00FA3856">
        <w:rPr>
          <w:bCs/>
          <w:szCs w:val="20"/>
        </w:rPr>
        <w:t>2) As verificações dos preços de transferência são efetuadas por períodos anuais, exceto nas hipóteses de início e encerramento de atividades e de suspeita de fraudes (art. 54 da Instrução Normativa RFB nº 1.312, de 28 de dezembro de 2012).</w:t>
      </w:r>
    </w:p>
    <w:p w:rsidR="00170D01" w:rsidRPr="00FA3856" w:rsidRDefault="00170D01" w:rsidP="00170D01">
      <w:pPr>
        <w:ind w:firstLine="708"/>
        <w:jc w:val="both"/>
        <w:rPr>
          <w:bCs/>
          <w:szCs w:val="20"/>
        </w:rPr>
      </w:pPr>
    </w:p>
    <w:p w:rsidR="00170D01" w:rsidRPr="00FA3856" w:rsidRDefault="00170D01" w:rsidP="00170D01">
      <w:pPr>
        <w:ind w:firstLine="708"/>
        <w:jc w:val="both"/>
        <w:rPr>
          <w:bCs/>
          <w:szCs w:val="20"/>
        </w:rPr>
      </w:pPr>
      <w:r w:rsidRPr="00FA3856">
        <w:rPr>
          <w:bCs/>
          <w:szCs w:val="20"/>
        </w:rPr>
        <w:t>3) São considerados regimes fiscais privilegiados aqueles que apresentarem uma ou mais das seguintes características: (§ único do art. 24-A da Lei nº 9.430, de 1996, com a redação dada pela Lei nº 11.727, de 2008)</w:t>
      </w:r>
    </w:p>
    <w:p w:rsidR="00170D01" w:rsidRPr="00FA3856" w:rsidRDefault="00170D01" w:rsidP="00170D01">
      <w:pPr>
        <w:ind w:firstLine="708"/>
        <w:jc w:val="both"/>
        <w:rPr>
          <w:bCs/>
          <w:szCs w:val="20"/>
        </w:rPr>
      </w:pPr>
    </w:p>
    <w:p w:rsidR="00170D01" w:rsidRPr="00FA3856" w:rsidRDefault="00170D01" w:rsidP="00170D01">
      <w:pPr>
        <w:ind w:left="708" w:firstLine="708"/>
        <w:jc w:val="both"/>
        <w:rPr>
          <w:bCs/>
          <w:szCs w:val="20"/>
        </w:rPr>
      </w:pPr>
      <w:r w:rsidRPr="00FA3856">
        <w:rPr>
          <w:bCs/>
          <w:szCs w:val="20"/>
        </w:rPr>
        <w:t>I) não tribute a renda ou a tribute à alíquota máxima inferior a 20% (vinte por cento);</w:t>
      </w:r>
    </w:p>
    <w:p w:rsidR="00170D01" w:rsidRPr="00FA3856" w:rsidRDefault="00170D01" w:rsidP="00170D01">
      <w:pPr>
        <w:ind w:left="708" w:firstLine="708"/>
        <w:jc w:val="both"/>
        <w:rPr>
          <w:bCs/>
          <w:szCs w:val="20"/>
        </w:rPr>
      </w:pPr>
      <w:r w:rsidRPr="00FA3856">
        <w:rPr>
          <w:bCs/>
          <w:szCs w:val="20"/>
        </w:rPr>
        <w:t>II) conceda vantagem de natureza fiscal a pessoa física ou jurídica não residente:</w:t>
      </w:r>
    </w:p>
    <w:p w:rsidR="00170D01" w:rsidRPr="00FA3856" w:rsidRDefault="00170D01" w:rsidP="00170D01">
      <w:pPr>
        <w:ind w:left="1416" w:firstLine="708"/>
        <w:jc w:val="both"/>
        <w:rPr>
          <w:bCs/>
          <w:szCs w:val="20"/>
        </w:rPr>
      </w:pPr>
      <w:r w:rsidRPr="00FA3856">
        <w:rPr>
          <w:bCs/>
          <w:szCs w:val="20"/>
        </w:rPr>
        <w:t>a) sem exigência de realização de atividade econômica substantiva no país ou dependência;</w:t>
      </w:r>
    </w:p>
    <w:p w:rsidR="00170D01" w:rsidRPr="00FA3856" w:rsidRDefault="00170D01" w:rsidP="00170D01">
      <w:pPr>
        <w:ind w:left="1416" w:firstLine="708"/>
        <w:jc w:val="both"/>
        <w:rPr>
          <w:bCs/>
          <w:szCs w:val="20"/>
        </w:rPr>
      </w:pPr>
      <w:r w:rsidRPr="00FA3856">
        <w:rPr>
          <w:bCs/>
          <w:szCs w:val="20"/>
        </w:rPr>
        <w:t>b) condicionada ao não exercício de atividade econômica substantiva no país ou dependência;</w:t>
      </w:r>
    </w:p>
    <w:p w:rsidR="00170D01" w:rsidRPr="00FA3856" w:rsidRDefault="00170D01" w:rsidP="00170D01">
      <w:pPr>
        <w:ind w:left="708" w:firstLine="708"/>
        <w:jc w:val="both"/>
        <w:rPr>
          <w:bCs/>
          <w:szCs w:val="20"/>
        </w:rPr>
      </w:pPr>
      <w:r w:rsidRPr="00FA3856">
        <w:rPr>
          <w:bCs/>
          <w:szCs w:val="20"/>
        </w:rPr>
        <w:t>III) não tribute, ou o faça em alíquota máxima inferior a 20% (vinte por cento), os rendimentos auferidos fora de seu território;</w:t>
      </w:r>
    </w:p>
    <w:p w:rsidR="00170D01" w:rsidRPr="00FA3856" w:rsidRDefault="00170D01" w:rsidP="00170D01">
      <w:pPr>
        <w:ind w:left="708" w:firstLine="708"/>
        <w:jc w:val="both"/>
        <w:rPr>
          <w:bCs/>
          <w:szCs w:val="20"/>
        </w:rPr>
      </w:pPr>
      <w:r w:rsidRPr="00FA3856">
        <w:rPr>
          <w:bCs/>
          <w:szCs w:val="20"/>
        </w:rPr>
        <w:t>IV) não permita o acesso a informações relativas à composição societária, titularidade de bens ou direitos ou às operações econômicas realizadas.</w:t>
      </w:r>
    </w:p>
    <w:p w:rsidR="00170D01" w:rsidRPr="00FA3856" w:rsidRDefault="00170D01" w:rsidP="00170D01">
      <w:pPr>
        <w:ind w:firstLine="708"/>
        <w:jc w:val="both"/>
        <w:rPr>
          <w:bCs/>
          <w:szCs w:val="20"/>
        </w:rPr>
      </w:pPr>
    </w:p>
    <w:p w:rsidR="00170D01" w:rsidRPr="00FA3856" w:rsidRDefault="00170D01" w:rsidP="00170D01">
      <w:pPr>
        <w:ind w:firstLine="708"/>
        <w:jc w:val="both"/>
        <w:rPr>
          <w:bCs/>
          <w:szCs w:val="20"/>
        </w:rPr>
      </w:pPr>
      <w:r w:rsidRPr="00FA3856">
        <w:rPr>
          <w:bCs/>
          <w:szCs w:val="20"/>
        </w:rPr>
        <w:t>4) Os regimes fiscais privilegiados estão relacionados no art. 2º da Instrução Normativa RFB nº 1.037, de 2010.</w:t>
      </w:r>
    </w:p>
    <w:p w:rsidR="00170D01" w:rsidRPr="00FA3856" w:rsidRDefault="00170D01" w:rsidP="00170D01">
      <w:pPr>
        <w:ind w:firstLine="708"/>
        <w:jc w:val="both"/>
        <w:rPr>
          <w:bCs/>
          <w:szCs w:val="20"/>
        </w:rPr>
      </w:pPr>
    </w:p>
    <w:p w:rsidR="00170D01" w:rsidRPr="00FA3856" w:rsidRDefault="00170D01" w:rsidP="00170D01">
      <w:pPr>
        <w:ind w:firstLine="708"/>
        <w:jc w:val="both"/>
        <w:rPr>
          <w:bCs/>
          <w:szCs w:val="20"/>
        </w:rPr>
      </w:pPr>
      <w:r w:rsidRPr="00FA3856">
        <w:rPr>
          <w:bCs/>
          <w:szCs w:val="20"/>
        </w:rPr>
        <w:t>Os campos deste registro devem ser preenchidos conforme orientações prestadas a seguir.</w:t>
      </w:r>
    </w:p>
    <w:p w:rsidR="00170D01" w:rsidRPr="00FA3856" w:rsidRDefault="00170D01" w:rsidP="00BC63D3">
      <w:pPr>
        <w:ind w:firstLine="708"/>
        <w:jc w:val="both"/>
        <w:rPr>
          <w:b/>
          <w:bCs/>
          <w:szCs w:val="20"/>
        </w:rPr>
      </w:pPr>
      <w:r w:rsidRPr="00FA3856">
        <w:rPr>
          <w:b/>
          <w:bCs/>
          <w:szCs w:val="20"/>
        </w:rPr>
        <w:t>IMPORTAÇÕES</w:t>
      </w:r>
    </w:p>
    <w:p w:rsidR="00170D01" w:rsidRPr="00FA3856" w:rsidRDefault="00170D01" w:rsidP="00170D01">
      <w:pPr>
        <w:ind w:firstLine="708"/>
        <w:jc w:val="both"/>
        <w:rPr>
          <w:bCs/>
          <w:szCs w:val="20"/>
        </w:rPr>
      </w:pPr>
      <w:r w:rsidRPr="00FA3856">
        <w:rPr>
          <w:bCs/>
          <w:szCs w:val="20"/>
        </w:rPr>
        <w:t>Ao acionar este campo, a pessoa jurídica deve assinalar o tipo de operação realizada:</w:t>
      </w:r>
    </w:p>
    <w:p w:rsidR="00170D01" w:rsidRPr="00FA3856" w:rsidRDefault="00170D01" w:rsidP="00170D01">
      <w:pPr>
        <w:ind w:firstLine="708"/>
        <w:jc w:val="both"/>
        <w:rPr>
          <w:bCs/>
          <w:szCs w:val="20"/>
        </w:rPr>
      </w:pPr>
      <w:r w:rsidRPr="00FA3856">
        <w:rPr>
          <w:b/>
          <w:szCs w:val="20"/>
        </w:rPr>
        <w:t>- Bens</w:t>
      </w:r>
      <w:r w:rsidRPr="00FA3856">
        <w:rPr>
          <w:bCs/>
          <w:szCs w:val="20"/>
        </w:rPr>
        <w:t>;</w:t>
      </w:r>
    </w:p>
    <w:p w:rsidR="00170D01" w:rsidRPr="00FA3856" w:rsidRDefault="00170D01" w:rsidP="00170D01">
      <w:pPr>
        <w:ind w:firstLine="708"/>
        <w:jc w:val="both"/>
        <w:rPr>
          <w:bCs/>
          <w:szCs w:val="20"/>
        </w:rPr>
      </w:pPr>
      <w:r w:rsidRPr="00FA3856">
        <w:rPr>
          <w:b/>
          <w:szCs w:val="20"/>
        </w:rPr>
        <w:t>- Serviços</w:t>
      </w:r>
      <w:r w:rsidRPr="00FA3856">
        <w:rPr>
          <w:bCs/>
          <w:szCs w:val="20"/>
        </w:rPr>
        <w:t>;</w:t>
      </w:r>
    </w:p>
    <w:p w:rsidR="00170D01" w:rsidRPr="00FA3856" w:rsidRDefault="00170D01" w:rsidP="00170D01">
      <w:pPr>
        <w:ind w:firstLine="708"/>
        <w:jc w:val="both"/>
        <w:rPr>
          <w:bCs/>
          <w:szCs w:val="20"/>
        </w:rPr>
      </w:pPr>
      <w:r w:rsidRPr="00FA3856">
        <w:rPr>
          <w:b/>
          <w:szCs w:val="20"/>
        </w:rPr>
        <w:t>- Direitos</w:t>
      </w:r>
      <w:r w:rsidRPr="00FA3856">
        <w:rPr>
          <w:bCs/>
          <w:szCs w:val="20"/>
        </w:rPr>
        <w:t>;</w:t>
      </w:r>
    </w:p>
    <w:p w:rsidR="00170D01" w:rsidRPr="00FA3856" w:rsidRDefault="00170D01" w:rsidP="00170D01">
      <w:pPr>
        <w:ind w:firstLine="708"/>
        <w:jc w:val="both"/>
        <w:rPr>
          <w:bCs/>
          <w:szCs w:val="20"/>
        </w:rPr>
      </w:pPr>
      <w:r w:rsidRPr="00FA3856">
        <w:rPr>
          <w:b/>
          <w:szCs w:val="20"/>
        </w:rPr>
        <w:t>- Operações Financeiras</w:t>
      </w:r>
      <w:r w:rsidRPr="00FA3856">
        <w:rPr>
          <w:bCs/>
          <w:szCs w:val="20"/>
        </w:rPr>
        <w:t>, ou</w:t>
      </w:r>
    </w:p>
    <w:p w:rsidR="00170D01" w:rsidRPr="00FA3856" w:rsidRDefault="00170D01" w:rsidP="00170D01">
      <w:pPr>
        <w:ind w:firstLine="708"/>
        <w:jc w:val="both"/>
        <w:rPr>
          <w:bCs/>
          <w:szCs w:val="20"/>
        </w:rPr>
      </w:pPr>
      <w:r w:rsidRPr="00FA3856">
        <w:rPr>
          <w:b/>
          <w:szCs w:val="20"/>
        </w:rPr>
        <w:t>- Não Especificadas</w:t>
      </w:r>
      <w:r w:rsidRPr="00FA3856">
        <w:rPr>
          <w:bCs/>
          <w:szCs w:val="20"/>
        </w:rPr>
        <w:t>.</w:t>
      </w:r>
    </w:p>
    <w:p w:rsidR="00EA380A" w:rsidRPr="00FA3856" w:rsidRDefault="00EA380A" w:rsidP="00170D01">
      <w:pPr>
        <w:ind w:firstLine="708"/>
        <w:jc w:val="both"/>
        <w:rPr>
          <w:bCs/>
          <w:szCs w:val="20"/>
        </w:rPr>
      </w:pPr>
    </w:p>
    <w:p w:rsidR="00170D01" w:rsidRPr="00FA3856" w:rsidRDefault="00170D01" w:rsidP="00170D01">
      <w:pPr>
        <w:ind w:firstLine="708"/>
        <w:jc w:val="both"/>
        <w:rPr>
          <w:bCs/>
          <w:szCs w:val="20"/>
        </w:rPr>
      </w:pPr>
      <w:r w:rsidRPr="00FA3856">
        <w:rPr>
          <w:bCs/>
          <w:szCs w:val="20"/>
        </w:rPr>
        <w:lastRenderedPageBreak/>
        <w:t>Considera-se "Importação" (de bens, serviços, direitos) e/ou "Operações Financeiras", o total de transações de mesma natureza efetuadas durante o ano-calendário.</w:t>
      </w:r>
    </w:p>
    <w:p w:rsidR="00170D01" w:rsidRPr="00FA3856" w:rsidRDefault="00170D01" w:rsidP="00170D01">
      <w:pPr>
        <w:ind w:firstLine="708"/>
        <w:jc w:val="both"/>
        <w:rPr>
          <w:bCs/>
          <w:szCs w:val="20"/>
        </w:rPr>
      </w:pPr>
    </w:p>
    <w:p w:rsidR="00170D01" w:rsidRPr="00FA3856" w:rsidRDefault="00170D01" w:rsidP="00170D01">
      <w:pPr>
        <w:ind w:firstLine="708"/>
        <w:jc w:val="both"/>
        <w:rPr>
          <w:bCs/>
          <w:szCs w:val="20"/>
        </w:rPr>
      </w:pPr>
      <w:r w:rsidRPr="00FA3856">
        <w:rPr>
          <w:bCs/>
          <w:szCs w:val="20"/>
        </w:rPr>
        <w:t>São consideradas transações de mesma natureza aquelas cujos bens, serviços ou direitos negociados apresentarem as mesmas especificações no campo "Descrição".</w:t>
      </w:r>
    </w:p>
    <w:p w:rsidR="00170D01" w:rsidRPr="00FA3856" w:rsidRDefault="00170D01" w:rsidP="00170D01">
      <w:pPr>
        <w:ind w:firstLine="708"/>
        <w:jc w:val="both"/>
        <w:rPr>
          <w:bCs/>
          <w:szCs w:val="20"/>
        </w:rPr>
      </w:pPr>
    </w:p>
    <w:p w:rsidR="00170D01" w:rsidRPr="00FA3856" w:rsidRDefault="00170D01" w:rsidP="00170D01">
      <w:pPr>
        <w:ind w:firstLine="708"/>
        <w:jc w:val="both"/>
        <w:rPr>
          <w:bCs/>
          <w:szCs w:val="20"/>
        </w:rPr>
      </w:pPr>
      <w:r w:rsidRPr="00FA3856">
        <w:rPr>
          <w:bCs/>
          <w:szCs w:val="20"/>
        </w:rPr>
        <w:t xml:space="preserve">Para cada tipo de operação (bens, serviços, direitos, financeiras ou "não especificadas") declarada nesta ficha, a pessoa jurídica deve informar no registro X330 - "Operações com o Exterior Contratantes das Importações" - os contratantes no exterior, por ordem decrescente do valor de "Importação". </w:t>
      </w:r>
    </w:p>
    <w:p w:rsidR="00170D01" w:rsidRPr="00FA3856" w:rsidRDefault="00170D01" w:rsidP="00170D01">
      <w:pPr>
        <w:ind w:firstLine="708"/>
        <w:jc w:val="both"/>
        <w:rPr>
          <w:bCs/>
          <w:szCs w:val="20"/>
        </w:rPr>
      </w:pPr>
    </w:p>
    <w:p w:rsidR="00170D01" w:rsidRPr="00FA3856" w:rsidRDefault="00170D01" w:rsidP="00170D01">
      <w:pPr>
        <w:ind w:firstLine="708"/>
        <w:jc w:val="both"/>
        <w:rPr>
          <w:bCs/>
          <w:szCs w:val="20"/>
        </w:rPr>
      </w:pPr>
      <w:r w:rsidRPr="00FA3856">
        <w:rPr>
          <w:bCs/>
          <w:szCs w:val="20"/>
        </w:rPr>
        <w:t>O campo "Importações" é habilitado para que se selecione o tipo de transação ou conjunto de transações a serem incluídas.</w:t>
      </w:r>
    </w:p>
    <w:p w:rsidR="00170D01" w:rsidRPr="00FA3856" w:rsidRDefault="00170D01" w:rsidP="00170D01">
      <w:pPr>
        <w:ind w:firstLine="708"/>
        <w:jc w:val="both"/>
        <w:rPr>
          <w:bCs/>
          <w:szCs w:val="20"/>
        </w:rPr>
      </w:pPr>
    </w:p>
    <w:p w:rsidR="00170D01" w:rsidRPr="00FA3856" w:rsidRDefault="00170D01" w:rsidP="00170D01">
      <w:pPr>
        <w:ind w:firstLine="708"/>
        <w:jc w:val="both"/>
        <w:rPr>
          <w:bCs/>
          <w:szCs w:val="20"/>
        </w:rPr>
      </w:pPr>
      <w:r w:rsidRPr="00FA3856">
        <w:rPr>
          <w:bCs/>
          <w:szCs w:val="20"/>
        </w:rPr>
        <w:t>Os campos "Código NCM", "Quantidade" e "Unidade de Medida" somente são habilitados para informar importação de "Bens".</w:t>
      </w:r>
    </w:p>
    <w:p w:rsidR="00170D01" w:rsidRPr="00FA3856" w:rsidRDefault="00170D01" w:rsidP="00170D01">
      <w:pPr>
        <w:ind w:firstLine="708"/>
        <w:jc w:val="both"/>
        <w:rPr>
          <w:bCs/>
          <w:szCs w:val="20"/>
        </w:rPr>
      </w:pPr>
    </w:p>
    <w:p w:rsidR="00170D01" w:rsidRPr="00FA3856" w:rsidRDefault="00170D01" w:rsidP="00170D01">
      <w:pPr>
        <w:ind w:firstLine="708"/>
        <w:jc w:val="both"/>
        <w:rPr>
          <w:bCs/>
          <w:szCs w:val="20"/>
        </w:rPr>
      </w:pPr>
      <w:r w:rsidRPr="00FA3856">
        <w:rPr>
          <w:bCs/>
          <w:szCs w:val="20"/>
        </w:rPr>
        <w:t>Quando se tratar de "Operações Financeiras", somente são habilitados os campos "Valor do Ajuste", "Juros", "Taxa Juros Mínima", "Taxa Juros Máxima", "Código CNC" e "Moeda", independentemente da natureza da pessoa jurídica.</w:t>
      </w:r>
    </w:p>
    <w:p w:rsidR="00170D01" w:rsidRPr="00FA3856" w:rsidRDefault="00170D01" w:rsidP="00170D01">
      <w:pPr>
        <w:ind w:firstLine="708"/>
        <w:jc w:val="both"/>
        <w:rPr>
          <w:bCs/>
          <w:szCs w:val="20"/>
        </w:rPr>
      </w:pPr>
    </w:p>
    <w:p w:rsidR="00170D01" w:rsidRPr="00FA3856" w:rsidRDefault="00170D01" w:rsidP="00170D01">
      <w:pPr>
        <w:ind w:firstLine="708"/>
        <w:jc w:val="both"/>
        <w:rPr>
          <w:bCs/>
          <w:szCs w:val="20"/>
        </w:rPr>
      </w:pPr>
      <w:r w:rsidRPr="00FA3856">
        <w:rPr>
          <w:bCs/>
          <w:szCs w:val="20"/>
        </w:rPr>
        <w:t>Os campos "Total da Operação", "Descrição", "Código NCM", "Quantidade", "Unidade de Medida", "Método", "Preço Parâmetro" e "Preço Praticado" não são habilitados quando selecionada a opção "Operações Financeiras".</w:t>
      </w:r>
    </w:p>
    <w:p w:rsidR="00170D01" w:rsidRPr="00FA3856" w:rsidRDefault="00170D01" w:rsidP="00170D01">
      <w:pPr>
        <w:ind w:firstLine="708"/>
        <w:jc w:val="both"/>
        <w:rPr>
          <w:bCs/>
          <w:szCs w:val="20"/>
        </w:rPr>
      </w:pPr>
    </w:p>
    <w:p w:rsidR="00170D01" w:rsidRPr="00FA3856" w:rsidRDefault="00170D01" w:rsidP="00170D01">
      <w:pPr>
        <w:ind w:firstLine="708"/>
        <w:jc w:val="both"/>
        <w:rPr>
          <w:bCs/>
          <w:szCs w:val="20"/>
        </w:rPr>
      </w:pPr>
      <w:r w:rsidRPr="00FA3856">
        <w:rPr>
          <w:bCs/>
          <w:szCs w:val="20"/>
        </w:rPr>
        <w:t xml:space="preserve">Quando se tratar de operação "Não Especificadas", somente são habilitados os campos "Total da Operação" e "Valor do Ajuste". </w:t>
      </w:r>
    </w:p>
    <w:p w:rsidR="00BC63D3" w:rsidRPr="00FA3856" w:rsidRDefault="00BC63D3" w:rsidP="00170D01">
      <w:pPr>
        <w:ind w:firstLine="708"/>
        <w:jc w:val="both"/>
        <w:rPr>
          <w:b/>
          <w:bCs/>
          <w:szCs w:val="20"/>
        </w:rPr>
      </w:pPr>
    </w:p>
    <w:p w:rsidR="00170D01" w:rsidRPr="00FA3856" w:rsidRDefault="00170D01" w:rsidP="00170D01">
      <w:pPr>
        <w:ind w:firstLine="708"/>
        <w:jc w:val="both"/>
        <w:rPr>
          <w:bCs/>
          <w:szCs w:val="20"/>
        </w:rPr>
      </w:pPr>
      <w:r w:rsidRPr="00FA3856">
        <w:rPr>
          <w:b/>
          <w:bCs/>
          <w:szCs w:val="20"/>
        </w:rPr>
        <w:t>Exemplo</w:t>
      </w:r>
      <w:r w:rsidRPr="00FA3856">
        <w:rPr>
          <w:bCs/>
          <w:szCs w:val="20"/>
        </w:rPr>
        <w:t>:</w:t>
      </w:r>
    </w:p>
    <w:p w:rsidR="00170D01" w:rsidRPr="00FA3856" w:rsidRDefault="00170D01" w:rsidP="00170D01">
      <w:pPr>
        <w:ind w:firstLine="708"/>
        <w:jc w:val="both"/>
        <w:rPr>
          <w:bCs/>
          <w:szCs w:val="20"/>
        </w:rPr>
      </w:pPr>
      <w:r w:rsidRPr="00FA3856">
        <w:rPr>
          <w:bCs/>
          <w:szCs w:val="20"/>
        </w:rPr>
        <w:t>A pessoa jurídica efetuou as seguintes operações de importação/financeira, no ano-calendário:</w:t>
      </w:r>
    </w:p>
    <w:p w:rsidR="00170D01" w:rsidRPr="00FA3856" w:rsidRDefault="00170D01" w:rsidP="00170D01">
      <w:pPr>
        <w:ind w:firstLine="708"/>
        <w:jc w:val="both"/>
        <w:rPr>
          <w:bCs/>
          <w:szCs w:val="20"/>
        </w:rPr>
      </w:pPr>
      <w:r w:rsidRPr="00FA3856">
        <w:rPr>
          <w:bCs/>
          <w:szCs w:val="20"/>
        </w:rPr>
        <w:t xml:space="preserve">Operações Realizadas </w:t>
      </w:r>
    </w:p>
    <w:tbl>
      <w:tblPr>
        <w:tblW w:w="2044"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46"/>
        <w:gridCol w:w="3944"/>
        <w:gridCol w:w="1857"/>
      </w:tblGrid>
      <w:tr w:rsidR="00170D01" w:rsidRPr="00FA3856" w:rsidTr="00EA380A">
        <w:trPr>
          <w:tblCellSpacing w:w="0" w:type="dxa"/>
          <w:jc w:val="center"/>
        </w:trPr>
        <w:tc>
          <w:tcPr>
            <w:tcW w:w="636" w:type="pct"/>
            <w:vAlign w:val="center"/>
            <w:hideMark/>
          </w:tcPr>
          <w:p w:rsidR="00170D01" w:rsidRPr="00FA3856" w:rsidRDefault="00170D01" w:rsidP="00EA380A">
            <w:pPr>
              <w:jc w:val="both"/>
              <w:rPr>
                <w:bCs/>
                <w:szCs w:val="20"/>
              </w:rPr>
            </w:pPr>
            <w:r w:rsidRPr="00FA3856">
              <w:rPr>
                <w:bCs/>
                <w:szCs w:val="20"/>
              </w:rPr>
              <w:t>Data</w:t>
            </w:r>
          </w:p>
        </w:tc>
        <w:tc>
          <w:tcPr>
            <w:tcW w:w="2967" w:type="pct"/>
            <w:vAlign w:val="center"/>
            <w:hideMark/>
          </w:tcPr>
          <w:p w:rsidR="00170D01" w:rsidRPr="00FA3856" w:rsidRDefault="00170D01" w:rsidP="00EA380A">
            <w:pPr>
              <w:rPr>
                <w:bCs/>
                <w:szCs w:val="20"/>
              </w:rPr>
            </w:pPr>
            <w:r w:rsidRPr="00FA3856">
              <w:rPr>
                <w:bCs/>
                <w:szCs w:val="20"/>
              </w:rPr>
              <w:t>Descrição</w:t>
            </w:r>
          </w:p>
        </w:tc>
        <w:tc>
          <w:tcPr>
            <w:tcW w:w="1398" w:type="pct"/>
            <w:vAlign w:val="center"/>
            <w:hideMark/>
          </w:tcPr>
          <w:p w:rsidR="00170D01" w:rsidRPr="00FA3856" w:rsidRDefault="00170D01" w:rsidP="00EA380A">
            <w:pPr>
              <w:rPr>
                <w:bCs/>
                <w:szCs w:val="20"/>
              </w:rPr>
            </w:pPr>
            <w:r w:rsidRPr="00FA3856">
              <w:rPr>
                <w:bCs/>
                <w:szCs w:val="20"/>
              </w:rPr>
              <w:t>Valor em Reais (R$)</w:t>
            </w:r>
          </w:p>
        </w:tc>
      </w:tr>
      <w:tr w:rsidR="00170D01" w:rsidRPr="00FA3856" w:rsidTr="00EA380A">
        <w:trPr>
          <w:tblCellSpacing w:w="0" w:type="dxa"/>
          <w:jc w:val="center"/>
        </w:trPr>
        <w:tc>
          <w:tcPr>
            <w:tcW w:w="636" w:type="pct"/>
            <w:vAlign w:val="center"/>
            <w:hideMark/>
          </w:tcPr>
          <w:p w:rsidR="00170D01" w:rsidRPr="00FA3856" w:rsidRDefault="00170D01" w:rsidP="00EA380A">
            <w:pPr>
              <w:jc w:val="both"/>
              <w:rPr>
                <w:bCs/>
                <w:szCs w:val="20"/>
              </w:rPr>
            </w:pPr>
            <w:r w:rsidRPr="00FA3856">
              <w:rPr>
                <w:bCs/>
                <w:szCs w:val="20"/>
              </w:rPr>
              <w:t>20/01</w:t>
            </w:r>
          </w:p>
        </w:tc>
        <w:tc>
          <w:tcPr>
            <w:tcW w:w="2967" w:type="pct"/>
            <w:vAlign w:val="center"/>
            <w:hideMark/>
          </w:tcPr>
          <w:p w:rsidR="00170D01" w:rsidRPr="00FA3856" w:rsidRDefault="00170D01" w:rsidP="00EA380A">
            <w:pPr>
              <w:rPr>
                <w:bCs/>
                <w:szCs w:val="20"/>
              </w:rPr>
            </w:pPr>
            <w:r w:rsidRPr="00FA3856">
              <w:rPr>
                <w:bCs/>
                <w:szCs w:val="20"/>
              </w:rPr>
              <w:t>Automóvel ABC, 2.0</w:t>
            </w:r>
          </w:p>
        </w:tc>
        <w:tc>
          <w:tcPr>
            <w:tcW w:w="1398" w:type="pct"/>
            <w:vAlign w:val="center"/>
            <w:hideMark/>
          </w:tcPr>
          <w:p w:rsidR="00170D01" w:rsidRPr="00FA3856" w:rsidRDefault="00170D01" w:rsidP="00EA380A">
            <w:pPr>
              <w:ind w:firstLine="708"/>
              <w:jc w:val="right"/>
              <w:rPr>
                <w:bCs/>
                <w:szCs w:val="20"/>
              </w:rPr>
            </w:pPr>
            <w:r w:rsidRPr="00FA3856">
              <w:rPr>
                <w:bCs/>
                <w:szCs w:val="20"/>
              </w:rPr>
              <w:t>2.000.000,00</w:t>
            </w:r>
          </w:p>
        </w:tc>
      </w:tr>
      <w:tr w:rsidR="00170D01" w:rsidRPr="00FA3856" w:rsidTr="00EA380A">
        <w:trPr>
          <w:tblCellSpacing w:w="0" w:type="dxa"/>
          <w:jc w:val="center"/>
        </w:trPr>
        <w:tc>
          <w:tcPr>
            <w:tcW w:w="636" w:type="pct"/>
            <w:vAlign w:val="center"/>
            <w:hideMark/>
          </w:tcPr>
          <w:p w:rsidR="00170D01" w:rsidRPr="00FA3856" w:rsidRDefault="00170D01" w:rsidP="00EA380A">
            <w:pPr>
              <w:jc w:val="both"/>
              <w:rPr>
                <w:bCs/>
                <w:szCs w:val="20"/>
              </w:rPr>
            </w:pPr>
            <w:r w:rsidRPr="00FA3856">
              <w:rPr>
                <w:bCs/>
                <w:szCs w:val="20"/>
              </w:rPr>
              <w:t>15/02</w:t>
            </w:r>
          </w:p>
        </w:tc>
        <w:tc>
          <w:tcPr>
            <w:tcW w:w="2967" w:type="pct"/>
            <w:vAlign w:val="center"/>
            <w:hideMark/>
          </w:tcPr>
          <w:p w:rsidR="00170D01" w:rsidRPr="00FA3856" w:rsidRDefault="00170D01" w:rsidP="00EA380A">
            <w:pPr>
              <w:rPr>
                <w:bCs/>
                <w:szCs w:val="20"/>
              </w:rPr>
            </w:pPr>
            <w:r w:rsidRPr="00FA3856">
              <w:rPr>
                <w:bCs/>
                <w:szCs w:val="20"/>
              </w:rPr>
              <w:t>Juros sobre empréstimos obtidos</w:t>
            </w:r>
          </w:p>
        </w:tc>
        <w:tc>
          <w:tcPr>
            <w:tcW w:w="1398" w:type="pct"/>
            <w:vAlign w:val="center"/>
            <w:hideMark/>
          </w:tcPr>
          <w:p w:rsidR="00170D01" w:rsidRPr="00FA3856" w:rsidRDefault="00170D01" w:rsidP="00EA380A">
            <w:pPr>
              <w:ind w:firstLine="708"/>
              <w:jc w:val="right"/>
              <w:rPr>
                <w:bCs/>
                <w:szCs w:val="20"/>
              </w:rPr>
            </w:pPr>
            <w:r w:rsidRPr="00FA3856">
              <w:rPr>
                <w:bCs/>
                <w:szCs w:val="20"/>
              </w:rPr>
              <w:t>500.000,00</w:t>
            </w:r>
          </w:p>
        </w:tc>
      </w:tr>
      <w:tr w:rsidR="00170D01" w:rsidRPr="00FA3856" w:rsidTr="00EA380A">
        <w:trPr>
          <w:tblCellSpacing w:w="0" w:type="dxa"/>
          <w:jc w:val="center"/>
        </w:trPr>
        <w:tc>
          <w:tcPr>
            <w:tcW w:w="636" w:type="pct"/>
            <w:vAlign w:val="center"/>
            <w:hideMark/>
          </w:tcPr>
          <w:p w:rsidR="00170D01" w:rsidRPr="00FA3856" w:rsidRDefault="00170D01" w:rsidP="00EA380A">
            <w:pPr>
              <w:jc w:val="both"/>
              <w:rPr>
                <w:bCs/>
                <w:szCs w:val="20"/>
              </w:rPr>
            </w:pPr>
            <w:r w:rsidRPr="00FA3856">
              <w:rPr>
                <w:bCs/>
                <w:szCs w:val="20"/>
              </w:rPr>
              <w:t>15/03</w:t>
            </w:r>
          </w:p>
        </w:tc>
        <w:tc>
          <w:tcPr>
            <w:tcW w:w="2967" w:type="pct"/>
            <w:vAlign w:val="center"/>
            <w:hideMark/>
          </w:tcPr>
          <w:p w:rsidR="00170D01" w:rsidRPr="00FA3856" w:rsidRDefault="00170D01" w:rsidP="00EA380A">
            <w:pPr>
              <w:rPr>
                <w:bCs/>
                <w:szCs w:val="20"/>
              </w:rPr>
            </w:pPr>
            <w:r w:rsidRPr="00FA3856">
              <w:rPr>
                <w:bCs/>
                <w:szCs w:val="20"/>
              </w:rPr>
              <w:t>Juros sobre empréstimos obtidos</w:t>
            </w:r>
          </w:p>
        </w:tc>
        <w:tc>
          <w:tcPr>
            <w:tcW w:w="1398" w:type="pct"/>
            <w:vAlign w:val="center"/>
            <w:hideMark/>
          </w:tcPr>
          <w:p w:rsidR="00170D01" w:rsidRPr="00FA3856" w:rsidRDefault="00170D01" w:rsidP="00EA380A">
            <w:pPr>
              <w:ind w:firstLine="708"/>
              <w:jc w:val="right"/>
              <w:rPr>
                <w:bCs/>
                <w:szCs w:val="20"/>
              </w:rPr>
            </w:pPr>
            <w:r w:rsidRPr="00FA3856">
              <w:rPr>
                <w:bCs/>
                <w:szCs w:val="20"/>
              </w:rPr>
              <w:t>500.000,00</w:t>
            </w:r>
          </w:p>
        </w:tc>
      </w:tr>
      <w:tr w:rsidR="00170D01" w:rsidRPr="00FA3856" w:rsidTr="00EA380A">
        <w:trPr>
          <w:tblCellSpacing w:w="0" w:type="dxa"/>
          <w:jc w:val="center"/>
        </w:trPr>
        <w:tc>
          <w:tcPr>
            <w:tcW w:w="636" w:type="pct"/>
            <w:vAlign w:val="center"/>
            <w:hideMark/>
          </w:tcPr>
          <w:p w:rsidR="00170D01" w:rsidRPr="00FA3856" w:rsidRDefault="00170D01" w:rsidP="00EA380A">
            <w:pPr>
              <w:jc w:val="both"/>
              <w:rPr>
                <w:bCs/>
                <w:szCs w:val="20"/>
              </w:rPr>
            </w:pPr>
            <w:r w:rsidRPr="00FA3856">
              <w:rPr>
                <w:bCs/>
                <w:szCs w:val="20"/>
              </w:rPr>
              <w:t>18/03</w:t>
            </w:r>
          </w:p>
        </w:tc>
        <w:tc>
          <w:tcPr>
            <w:tcW w:w="2967" w:type="pct"/>
            <w:vAlign w:val="center"/>
            <w:hideMark/>
          </w:tcPr>
          <w:p w:rsidR="00170D01" w:rsidRPr="00FA3856" w:rsidRDefault="00170D01" w:rsidP="00EA380A">
            <w:pPr>
              <w:rPr>
                <w:bCs/>
                <w:szCs w:val="20"/>
              </w:rPr>
            </w:pPr>
            <w:r w:rsidRPr="00FA3856">
              <w:rPr>
                <w:bCs/>
                <w:szCs w:val="20"/>
              </w:rPr>
              <w:t>Serviços de assistência técnica</w:t>
            </w:r>
          </w:p>
        </w:tc>
        <w:tc>
          <w:tcPr>
            <w:tcW w:w="1398" w:type="pct"/>
            <w:vAlign w:val="center"/>
            <w:hideMark/>
          </w:tcPr>
          <w:p w:rsidR="00170D01" w:rsidRPr="00FA3856" w:rsidRDefault="00170D01" w:rsidP="00EA380A">
            <w:pPr>
              <w:ind w:firstLine="708"/>
              <w:jc w:val="right"/>
              <w:rPr>
                <w:bCs/>
                <w:szCs w:val="20"/>
              </w:rPr>
            </w:pPr>
            <w:r w:rsidRPr="00FA3856">
              <w:rPr>
                <w:bCs/>
                <w:szCs w:val="20"/>
              </w:rPr>
              <w:t>1.000.000,00</w:t>
            </w:r>
          </w:p>
        </w:tc>
      </w:tr>
      <w:tr w:rsidR="00170D01" w:rsidRPr="00FA3856" w:rsidTr="00EA380A">
        <w:trPr>
          <w:tblCellSpacing w:w="0" w:type="dxa"/>
          <w:jc w:val="center"/>
        </w:trPr>
        <w:tc>
          <w:tcPr>
            <w:tcW w:w="636" w:type="pct"/>
            <w:vAlign w:val="center"/>
            <w:hideMark/>
          </w:tcPr>
          <w:p w:rsidR="00170D01" w:rsidRPr="00FA3856" w:rsidRDefault="00170D01" w:rsidP="00EA380A">
            <w:pPr>
              <w:jc w:val="both"/>
              <w:rPr>
                <w:bCs/>
                <w:szCs w:val="20"/>
              </w:rPr>
            </w:pPr>
            <w:r w:rsidRPr="00FA3856">
              <w:rPr>
                <w:bCs/>
                <w:szCs w:val="20"/>
              </w:rPr>
              <w:t>25/03</w:t>
            </w:r>
          </w:p>
        </w:tc>
        <w:tc>
          <w:tcPr>
            <w:tcW w:w="2967" w:type="pct"/>
            <w:vAlign w:val="center"/>
            <w:hideMark/>
          </w:tcPr>
          <w:p w:rsidR="00170D01" w:rsidRPr="00FA3856" w:rsidRDefault="00170D01" w:rsidP="00EA380A">
            <w:pPr>
              <w:rPr>
                <w:bCs/>
                <w:szCs w:val="20"/>
              </w:rPr>
            </w:pPr>
            <w:r w:rsidRPr="00FA3856">
              <w:rPr>
                <w:bCs/>
                <w:szCs w:val="20"/>
              </w:rPr>
              <w:t>Automóvel ABC, 2.0</w:t>
            </w:r>
          </w:p>
        </w:tc>
        <w:tc>
          <w:tcPr>
            <w:tcW w:w="1398" w:type="pct"/>
            <w:vAlign w:val="center"/>
            <w:hideMark/>
          </w:tcPr>
          <w:p w:rsidR="00170D01" w:rsidRPr="00FA3856" w:rsidRDefault="00170D01" w:rsidP="00EA380A">
            <w:pPr>
              <w:ind w:firstLine="708"/>
              <w:jc w:val="right"/>
              <w:rPr>
                <w:bCs/>
                <w:szCs w:val="20"/>
              </w:rPr>
            </w:pPr>
            <w:r w:rsidRPr="00FA3856">
              <w:rPr>
                <w:bCs/>
                <w:szCs w:val="20"/>
              </w:rPr>
              <w:t>600.000,00</w:t>
            </w:r>
          </w:p>
        </w:tc>
      </w:tr>
      <w:tr w:rsidR="00170D01" w:rsidRPr="00FA3856" w:rsidTr="00EA380A">
        <w:trPr>
          <w:tblCellSpacing w:w="0" w:type="dxa"/>
          <w:jc w:val="center"/>
        </w:trPr>
        <w:tc>
          <w:tcPr>
            <w:tcW w:w="636" w:type="pct"/>
            <w:vAlign w:val="center"/>
            <w:hideMark/>
          </w:tcPr>
          <w:p w:rsidR="00170D01" w:rsidRPr="00FA3856" w:rsidRDefault="00170D01" w:rsidP="00EA380A">
            <w:pPr>
              <w:jc w:val="both"/>
              <w:rPr>
                <w:bCs/>
                <w:szCs w:val="20"/>
              </w:rPr>
            </w:pPr>
            <w:r w:rsidRPr="00FA3856">
              <w:rPr>
                <w:bCs/>
                <w:szCs w:val="20"/>
              </w:rPr>
              <w:t>15/04</w:t>
            </w:r>
          </w:p>
        </w:tc>
        <w:tc>
          <w:tcPr>
            <w:tcW w:w="2967" w:type="pct"/>
            <w:vAlign w:val="center"/>
            <w:hideMark/>
          </w:tcPr>
          <w:p w:rsidR="00170D01" w:rsidRPr="00FA3856" w:rsidRDefault="00170D01" w:rsidP="00EA380A">
            <w:pPr>
              <w:rPr>
                <w:bCs/>
                <w:szCs w:val="20"/>
              </w:rPr>
            </w:pPr>
            <w:r w:rsidRPr="00FA3856">
              <w:rPr>
                <w:bCs/>
                <w:szCs w:val="20"/>
              </w:rPr>
              <w:t>Juros sobre empréstimos obtidos</w:t>
            </w:r>
          </w:p>
        </w:tc>
        <w:tc>
          <w:tcPr>
            <w:tcW w:w="1398" w:type="pct"/>
            <w:vAlign w:val="center"/>
            <w:hideMark/>
          </w:tcPr>
          <w:p w:rsidR="00170D01" w:rsidRPr="00FA3856" w:rsidRDefault="00170D01" w:rsidP="00EA380A">
            <w:pPr>
              <w:ind w:firstLine="708"/>
              <w:jc w:val="right"/>
              <w:rPr>
                <w:bCs/>
                <w:szCs w:val="20"/>
              </w:rPr>
            </w:pPr>
            <w:r w:rsidRPr="00FA3856">
              <w:rPr>
                <w:bCs/>
                <w:szCs w:val="20"/>
              </w:rPr>
              <w:t>500.000,00</w:t>
            </w:r>
          </w:p>
        </w:tc>
      </w:tr>
      <w:tr w:rsidR="00170D01" w:rsidRPr="00FA3856" w:rsidTr="00EA380A">
        <w:trPr>
          <w:tblCellSpacing w:w="0" w:type="dxa"/>
          <w:jc w:val="center"/>
        </w:trPr>
        <w:tc>
          <w:tcPr>
            <w:tcW w:w="636" w:type="pct"/>
            <w:vAlign w:val="center"/>
            <w:hideMark/>
          </w:tcPr>
          <w:p w:rsidR="00170D01" w:rsidRPr="00FA3856" w:rsidRDefault="00170D01" w:rsidP="00EA380A">
            <w:pPr>
              <w:jc w:val="both"/>
              <w:rPr>
                <w:bCs/>
                <w:szCs w:val="20"/>
              </w:rPr>
            </w:pPr>
            <w:r w:rsidRPr="00FA3856">
              <w:rPr>
                <w:bCs/>
                <w:szCs w:val="20"/>
              </w:rPr>
              <w:t>26/04</w:t>
            </w:r>
          </w:p>
        </w:tc>
        <w:tc>
          <w:tcPr>
            <w:tcW w:w="2967" w:type="pct"/>
            <w:vAlign w:val="center"/>
            <w:hideMark/>
          </w:tcPr>
          <w:p w:rsidR="00170D01" w:rsidRPr="00FA3856" w:rsidRDefault="00170D01" w:rsidP="00EA380A">
            <w:pPr>
              <w:rPr>
                <w:bCs/>
                <w:szCs w:val="20"/>
              </w:rPr>
            </w:pPr>
            <w:r w:rsidRPr="00FA3856">
              <w:rPr>
                <w:bCs/>
                <w:szCs w:val="20"/>
              </w:rPr>
              <w:t>Serviços de propaganda e publicidade</w:t>
            </w:r>
          </w:p>
        </w:tc>
        <w:tc>
          <w:tcPr>
            <w:tcW w:w="1398" w:type="pct"/>
            <w:vAlign w:val="center"/>
            <w:hideMark/>
          </w:tcPr>
          <w:p w:rsidR="00170D01" w:rsidRPr="00FA3856" w:rsidRDefault="00170D01" w:rsidP="00EA380A">
            <w:pPr>
              <w:ind w:firstLine="708"/>
              <w:jc w:val="right"/>
              <w:rPr>
                <w:bCs/>
                <w:szCs w:val="20"/>
              </w:rPr>
            </w:pPr>
            <w:r w:rsidRPr="00FA3856">
              <w:rPr>
                <w:bCs/>
                <w:szCs w:val="20"/>
              </w:rPr>
              <w:t>500.000,00</w:t>
            </w:r>
          </w:p>
        </w:tc>
      </w:tr>
      <w:tr w:rsidR="00170D01" w:rsidRPr="00FA3856" w:rsidTr="00EA380A">
        <w:trPr>
          <w:tblCellSpacing w:w="0" w:type="dxa"/>
          <w:jc w:val="center"/>
        </w:trPr>
        <w:tc>
          <w:tcPr>
            <w:tcW w:w="636" w:type="pct"/>
            <w:vAlign w:val="center"/>
            <w:hideMark/>
          </w:tcPr>
          <w:p w:rsidR="00170D01" w:rsidRPr="00FA3856" w:rsidRDefault="00170D01" w:rsidP="00EA380A">
            <w:pPr>
              <w:jc w:val="both"/>
              <w:rPr>
                <w:bCs/>
                <w:szCs w:val="20"/>
              </w:rPr>
            </w:pPr>
            <w:r w:rsidRPr="00FA3856">
              <w:rPr>
                <w:bCs/>
                <w:szCs w:val="20"/>
              </w:rPr>
              <w:t>27/04</w:t>
            </w:r>
          </w:p>
        </w:tc>
        <w:tc>
          <w:tcPr>
            <w:tcW w:w="2967" w:type="pct"/>
            <w:vAlign w:val="center"/>
            <w:hideMark/>
          </w:tcPr>
          <w:p w:rsidR="00170D01" w:rsidRPr="00FA3856" w:rsidRDefault="00170D01" w:rsidP="00EA380A">
            <w:pPr>
              <w:rPr>
                <w:bCs/>
                <w:szCs w:val="20"/>
              </w:rPr>
            </w:pPr>
            <w:r w:rsidRPr="00FA3856">
              <w:rPr>
                <w:bCs/>
                <w:szCs w:val="20"/>
              </w:rPr>
              <w:t>Direitos de exploração de minérios</w:t>
            </w:r>
          </w:p>
        </w:tc>
        <w:tc>
          <w:tcPr>
            <w:tcW w:w="1398" w:type="pct"/>
            <w:vAlign w:val="center"/>
            <w:hideMark/>
          </w:tcPr>
          <w:p w:rsidR="00170D01" w:rsidRPr="00FA3856" w:rsidRDefault="00170D01" w:rsidP="00EA380A">
            <w:pPr>
              <w:ind w:firstLine="708"/>
              <w:jc w:val="right"/>
              <w:rPr>
                <w:bCs/>
                <w:szCs w:val="20"/>
              </w:rPr>
            </w:pPr>
            <w:r w:rsidRPr="00FA3856">
              <w:rPr>
                <w:bCs/>
                <w:szCs w:val="20"/>
              </w:rPr>
              <w:t>450.000,00</w:t>
            </w:r>
          </w:p>
        </w:tc>
      </w:tr>
      <w:tr w:rsidR="00170D01" w:rsidRPr="00FA3856" w:rsidTr="00EA380A">
        <w:trPr>
          <w:tblCellSpacing w:w="0" w:type="dxa"/>
          <w:jc w:val="center"/>
        </w:trPr>
        <w:tc>
          <w:tcPr>
            <w:tcW w:w="636" w:type="pct"/>
            <w:vAlign w:val="center"/>
            <w:hideMark/>
          </w:tcPr>
          <w:p w:rsidR="00170D01" w:rsidRPr="00FA3856" w:rsidRDefault="00170D01" w:rsidP="00EA380A">
            <w:pPr>
              <w:jc w:val="both"/>
              <w:rPr>
                <w:bCs/>
                <w:szCs w:val="20"/>
              </w:rPr>
            </w:pPr>
            <w:r w:rsidRPr="00FA3856">
              <w:rPr>
                <w:bCs/>
                <w:szCs w:val="20"/>
              </w:rPr>
              <w:t>15/11</w:t>
            </w:r>
          </w:p>
        </w:tc>
        <w:tc>
          <w:tcPr>
            <w:tcW w:w="2967" w:type="pct"/>
            <w:vAlign w:val="center"/>
            <w:hideMark/>
          </w:tcPr>
          <w:p w:rsidR="00170D01" w:rsidRPr="00FA3856" w:rsidRDefault="00170D01" w:rsidP="00EA380A">
            <w:pPr>
              <w:rPr>
                <w:bCs/>
                <w:szCs w:val="20"/>
              </w:rPr>
            </w:pPr>
            <w:r w:rsidRPr="00FA3856">
              <w:rPr>
                <w:bCs/>
                <w:szCs w:val="20"/>
              </w:rPr>
              <w:t>Automóvel ABC, 1.6</w:t>
            </w:r>
          </w:p>
        </w:tc>
        <w:tc>
          <w:tcPr>
            <w:tcW w:w="1398" w:type="pct"/>
            <w:vAlign w:val="center"/>
            <w:hideMark/>
          </w:tcPr>
          <w:p w:rsidR="00170D01" w:rsidRPr="00FA3856" w:rsidRDefault="00170D01" w:rsidP="00EA380A">
            <w:pPr>
              <w:ind w:firstLine="708"/>
              <w:jc w:val="right"/>
              <w:rPr>
                <w:bCs/>
                <w:szCs w:val="20"/>
              </w:rPr>
            </w:pPr>
            <w:r w:rsidRPr="00FA3856">
              <w:rPr>
                <w:bCs/>
                <w:szCs w:val="20"/>
              </w:rPr>
              <w:t>900.000,00</w:t>
            </w:r>
          </w:p>
        </w:tc>
      </w:tr>
      <w:tr w:rsidR="00170D01" w:rsidRPr="00FA3856" w:rsidTr="00EA380A">
        <w:trPr>
          <w:tblCellSpacing w:w="0" w:type="dxa"/>
          <w:jc w:val="center"/>
        </w:trPr>
        <w:tc>
          <w:tcPr>
            <w:tcW w:w="636" w:type="pct"/>
            <w:vAlign w:val="center"/>
            <w:hideMark/>
          </w:tcPr>
          <w:p w:rsidR="00170D01" w:rsidRPr="00FA3856" w:rsidRDefault="00170D01" w:rsidP="00EA380A">
            <w:pPr>
              <w:jc w:val="both"/>
              <w:rPr>
                <w:bCs/>
                <w:szCs w:val="20"/>
              </w:rPr>
            </w:pPr>
            <w:r w:rsidRPr="00FA3856">
              <w:rPr>
                <w:bCs/>
                <w:szCs w:val="20"/>
              </w:rPr>
              <w:t>15/11</w:t>
            </w:r>
          </w:p>
        </w:tc>
        <w:tc>
          <w:tcPr>
            <w:tcW w:w="2967" w:type="pct"/>
            <w:vAlign w:val="center"/>
            <w:hideMark/>
          </w:tcPr>
          <w:p w:rsidR="00170D01" w:rsidRPr="00FA3856" w:rsidRDefault="00170D01" w:rsidP="00EA380A">
            <w:pPr>
              <w:rPr>
                <w:bCs/>
                <w:szCs w:val="20"/>
              </w:rPr>
            </w:pPr>
            <w:r w:rsidRPr="00FA3856">
              <w:rPr>
                <w:bCs/>
                <w:szCs w:val="20"/>
              </w:rPr>
              <w:t>Automóvel XYZ, 1.6</w:t>
            </w:r>
          </w:p>
        </w:tc>
        <w:tc>
          <w:tcPr>
            <w:tcW w:w="1398" w:type="pct"/>
            <w:vAlign w:val="center"/>
            <w:hideMark/>
          </w:tcPr>
          <w:p w:rsidR="00170D01" w:rsidRPr="00FA3856" w:rsidRDefault="00170D01" w:rsidP="00EA380A">
            <w:pPr>
              <w:ind w:firstLine="708"/>
              <w:jc w:val="right"/>
              <w:rPr>
                <w:bCs/>
                <w:szCs w:val="20"/>
              </w:rPr>
            </w:pPr>
            <w:r w:rsidRPr="00FA3856">
              <w:rPr>
                <w:bCs/>
                <w:szCs w:val="20"/>
              </w:rPr>
              <w:t>300.000,00</w:t>
            </w:r>
          </w:p>
        </w:tc>
      </w:tr>
      <w:tr w:rsidR="00170D01" w:rsidRPr="00FA3856" w:rsidTr="00EA380A">
        <w:trPr>
          <w:tblCellSpacing w:w="0" w:type="dxa"/>
          <w:jc w:val="center"/>
        </w:trPr>
        <w:tc>
          <w:tcPr>
            <w:tcW w:w="636" w:type="pct"/>
            <w:vAlign w:val="center"/>
            <w:hideMark/>
          </w:tcPr>
          <w:p w:rsidR="00170D01" w:rsidRPr="00FA3856" w:rsidRDefault="00170D01" w:rsidP="00EA380A">
            <w:pPr>
              <w:jc w:val="both"/>
              <w:rPr>
                <w:bCs/>
                <w:szCs w:val="20"/>
              </w:rPr>
            </w:pPr>
            <w:r w:rsidRPr="00FA3856">
              <w:rPr>
                <w:bCs/>
                <w:szCs w:val="20"/>
              </w:rPr>
              <w:t>29/12</w:t>
            </w:r>
          </w:p>
        </w:tc>
        <w:tc>
          <w:tcPr>
            <w:tcW w:w="2967" w:type="pct"/>
            <w:vAlign w:val="center"/>
            <w:hideMark/>
          </w:tcPr>
          <w:p w:rsidR="00170D01" w:rsidRPr="00FA3856" w:rsidRDefault="00170D01" w:rsidP="00EA380A">
            <w:pPr>
              <w:rPr>
                <w:bCs/>
                <w:szCs w:val="20"/>
              </w:rPr>
            </w:pPr>
            <w:r w:rsidRPr="00FA3856">
              <w:rPr>
                <w:bCs/>
                <w:szCs w:val="20"/>
              </w:rPr>
              <w:t>Automóvel XYZ, 1.0</w:t>
            </w:r>
          </w:p>
        </w:tc>
        <w:tc>
          <w:tcPr>
            <w:tcW w:w="1398" w:type="pct"/>
            <w:vAlign w:val="center"/>
            <w:hideMark/>
          </w:tcPr>
          <w:p w:rsidR="00170D01" w:rsidRPr="00FA3856" w:rsidRDefault="00170D01" w:rsidP="00EA380A">
            <w:pPr>
              <w:ind w:firstLine="708"/>
              <w:jc w:val="right"/>
              <w:rPr>
                <w:bCs/>
                <w:szCs w:val="20"/>
              </w:rPr>
            </w:pPr>
            <w:r w:rsidRPr="00FA3856">
              <w:rPr>
                <w:bCs/>
                <w:szCs w:val="20"/>
              </w:rPr>
              <w:t>150.000,00</w:t>
            </w:r>
          </w:p>
        </w:tc>
      </w:tr>
      <w:tr w:rsidR="00170D01" w:rsidRPr="00FA3856" w:rsidTr="00EA380A">
        <w:trPr>
          <w:tblCellSpacing w:w="0" w:type="dxa"/>
          <w:jc w:val="center"/>
        </w:trPr>
        <w:tc>
          <w:tcPr>
            <w:tcW w:w="636" w:type="pct"/>
            <w:vAlign w:val="center"/>
            <w:hideMark/>
          </w:tcPr>
          <w:p w:rsidR="00170D01" w:rsidRPr="00FA3856" w:rsidRDefault="00170D01" w:rsidP="00EA380A">
            <w:pPr>
              <w:jc w:val="both"/>
              <w:rPr>
                <w:bCs/>
                <w:szCs w:val="20"/>
              </w:rPr>
            </w:pPr>
            <w:r w:rsidRPr="00FA3856">
              <w:rPr>
                <w:bCs/>
                <w:szCs w:val="20"/>
              </w:rPr>
              <w:t>29/12</w:t>
            </w:r>
          </w:p>
        </w:tc>
        <w:tc>
          <w:tcPr>
            <w:tcW w:w="2967" w:type="pct"/>
            <w:vAlign w:val="center"/>
            <w:hideMark/>
          </w:tcPr>
          <w:p w:rsidR="00170D01" w:rsidRPr="00FA3856" w:rsidRDefault="00DF20F8" w:rsidP="00EA380A">
            <w:pPr>
              <w:rPr>
                <w:bCs/>
                <w:szCs w:val="20"/>
              </w:rPr>
            </w:pPr>
            <w:r w:rsidRPr="00FA3856">
              <w:rPr>
                <w:bCs/>
                <w:szCs w:val="20"/>
              </w:rPr>
              <w:t>Para-choque</w:t>
            </w:r>
            <w:r w:rsidR="00170D01" w:rsidRPr="00FA3856">
              <w:rPr>
                <w:bCs/>
                <w:szCs w:val="20"/>
              </w:rPr>
              <w:t xml:space="preserve"> do automóvel ABC, 2.0</w:t>
            </w:r>
          </w:p>
        </w:tc>
        <w:tc>
          <w:tcPr>
            <w:tcW w:w="1398" w:type="pct"/>
            <w:vAlign w:val="center"/>
            <w:hideMark/>
          </w:tcPr>
          <w:p w:rsidR="00170D01" w:rsidRPr="00FA3856" w:rsidRDefault="00170D01" w:rsidP="00EA380A">
            <w:pPr>
              <w:ind w:firstLine="708"/>
              <w:jc w:val="right"/>
              <w:rPr>
                <w:bCs/>
                <w:szCs w:val="20"/>
              </w:rPr>
            </w:pPr>
            <w:r w:rsidRPr="00FA3856">
              <w:rPr>
                <w:bCs/>
                <w:szCs w:val="20"/>
              </w:rPr>
              <w:t>200.000,00</w:t>
            </w:r>
          </w:p>
        </w:tc>
      </w:tr>
      <w:tr w:rsidR="00170D01" w:rsidRPr="00FA3856" w:rsidTr="00EA380A">
        <w:trPr>
          <w:tblCellSpacing w:w="0" w:type="dxa"/>
          <w:jc w:val="center"/>
        </w:trPr>
        <w:tc>
          <w:tcPr>
            <w:tcW w:w="636" w:type="pct"/>
            <w:vAlign w:val="center"/>
            <w:hideMark/>
          </w:tcPr>
          <w:p w:rsidR="00170D01" w:rsidRPr="00FA3856" w:rsidRDefault="00170D01" w:rsidP="00EA380A">
            <w:pPr>
              <w:jc w:val="both"/>
              <w:rPr>
                <w:bCs/>
                <w:szCs w:val="20"/>
              </w:rPr>
            </w:pPr>
            <w:r w:rsidRPr="00FA3856">
              <w:rPr>
                <w:bCs/>
                <w:szCs w:val="20"/>
              </w:rPr>
              <w:t>29/12</w:t>
            </w:r>
          </w:p>
        </w:tc>
        <w:tc>
          <w:tcPr>
            <w:tcW w:w="2967" w:type="pct"/>
            <w:vAlign w:val="center"/>
            <w:hideMark/>
          </w:tcPr>
          <w:p w:rsidR="00170D01" w:rsidRPr="00FA3856" w:rsidRDefault="00170D01" w:rsidP="00EA380A">
            <w:pPr>
              <w:rPr>
                <w:bCs/>
                <w:szCs w:val="20"/>
              </w:rPr>
            </w:pPr>
            <w:r w:rsidRPr="00FA3856">
              <w:rPr>
                <w:bCs/>
                <w:szCs w:val="20"/>
              </w:rPr>
              <w:t>Vidro do automóvel ABC, 2.0</w:t>
            </w:r>
          </w:p>
        </w:tc>
        <w:tc>
          <w:tcPr>
            <w:tcW w:w="1398" w:type="pct"/>
            <w:vAlign w:val="center"/>
            <w:hideMark/>
          </w:tcPr>
          <w:p w:rsidR="00170D01" w:rsidRPr="00FA3856" w:rsidRDefault="00170D01" w:rsidP="00EA380A">
            <w:pPr>
              <w:ind w:firstLine="708"/>
              <w:jc w:val="right"/>
              <w:rPr>
                <w:bCs/>
                <w:szCs w:val="20"/>
              </w:rPr>
            </w:pPr>
            <w:r w:rsidRPr="00FA3856">
              <w:rPr>
                <w:bCs/>
                <w:szCs w:val="20"/>
              </w:rPr>
              <w:t>300.000,00</w:t>
            </w:r>
          </w:p>
        </w:tc>
      </w:tr>
      <w:tr w:rsidR="00170D01" w:rsidRPr="00FA3856" w:rsidTr="00EA380A">
        <w:trPr>
          <w:tblCellSpacing w:w="0" w:type="dxa"/>
          <w:jc w:val="center"/>
        </w:trPr>
        <w:tc>
          <w:tcPr>
            <w:tcW w:w="636" w:type="pct"/>
            <w:vAlign w:val="center"/>
            <w:hideMark/>
          </w:tcPr>
          <w:p w:rsidR="00170D01" w:rsidRPr="00FA3856" w:rsidRDefault="00170D01" w:rsidP="00EA380A">
            <w:pPr>
              <w:jc w:val="both"/>
              <w:rPr>
                <w:bCs/>
                <w:szCs w:val="20"/>
              </w:rPr>
            </w:pPr>
            <w:r w:rsidRPr="00FA3856">
              <w:rPr>
                <w:bCs/>
                <w:szCs w:val="20"/>
              </w:rPr>
              <w:t>29/12</w:t>
            </w:r>
          </w:p>
        </w:tc>
        <w:tc>
          <w:tcPr>
            <w:tcW w:w="2967" w:type="pct"/>
            <w:vAlign w:val="center"/>
            <w:hideMark/>
          </w:tcPr>
          <w:p w:rsidR="00170D01" w:rsidRPr="00FA3856" w:rsidRDefault="00170D01" w:rsidP="00EA380A">
            <w:pPr>
              <w:rPr>
                <w:bCs/>
                <w:szCs w:val="20"/>
              </w:rPr>
            </w:pPr>
            <w:r w:rsidRPr="00FA3856">
              <w:rPr>
                <w:bCs/>
                <w:szCs w:val="20"/>
              </w:rPr>
              <w:t xml:space="preserve">Limpador do </w:t>
            </w:r>
            <w:r w:rsidR="00DF20F8" w:rsidRPr="00FA3856">
              <w:rPr>
                <w:bCs/>
                <w:szCs w:val="20"/>
              </w:rPr>
              <w:t>para-brisa</w:t>
            </w:r>
            <w:r w:rsidRPr="00FA3856">
              <w:rPr>
                <w:bCs/>
                <w:szCs w:val="20"/>
              </w:rPr>
              <w:t xml:space="preserve"> do automóvel XYZ, 1.6</w:t>
            </w:r>
          </w:p>
        </w:tc>
        <w:tc>
          <w:tcPr>
            <w:tcW w:w="1398" w:type="pct"/>
            <w:vAlign w:val="center"/>
            <w:hideMark/>
          </w:tcPr>
          <w:p w:rsidR="00170D01" w:rsidRPr="00FA3856" w:rsidRDefault="00170D01" w:rsidP="00EA380A">
            <w:pPr>
              <w:ind w:firstLine="708"/>
              <w:jc w:val="right"/>
              <w:rPr>
                <w:bCs/>
                <w:szCs w:val="20"/>
              </w:rPr>
            </w:pPr>
            <w:r w:rsidRPr="00FA3856">
              <w:rPr>
                <w:bCs/>
                <w:szCs w:val="20"/>
              </w:rPr>
              <w:t>250.000,00</w:t>
            </w:r>
          </w:p>
        </w:tc>
      </w:tr>
      <w:tr w:rsidR="00170D01" w:rsidRPr="00FA3856" w:rsidTr="00EA380A">
        <w:trPr>
          <w:tblCellSpacing w:w="0" w:type="dxa"/>
          <w:jc w:val="center"/>
        </w:trPr>
        <w:tc>
          <w:tcPr>
            <w:tcW w:w="636" w:type="pct"/>
            <w:vAlign w:val="center"/>
            <w:hideMark/>
          </w:tcPr>
          <w:p w:rsidR="00170D01" w:rsidRPr="00FA3856" w:rsidRDefault="00170D01" w:rsidP="00EA380A">
            <w:pPr>
              <w:jc w:val="both"/>
              <w:rPr>
                <w:bCs/>
                <w:szCs w:val="20"/>
              </w:rPr>
            </w:pPr>
            <w:r w:rsidRPr="00FA3856">
              <w:rPr>
                <w:bCs/>
                <w:szCs w:val="20"/>
              </w:rPr>
              <w:t>29/12</w:t>
            </w:r>
          </w:p>
        </w:tc>
        <w:tc>
          <w:tcPr>
            <w:tcW w:w="2967" w:type="pct"/>
            <w:vAlign w:val="center"/>
            <w:hideMark/>
          </w:tcPr>
          <w:p w:rsidR="00170D01" w:rsidRPr="00FA3856" w:rsidRDefault="00170D01" w:rsidP="00EA380A">
            <w:pPr>
              <w:rPr>
                <w:bCs/>
                <w:szCs w:val="20"/>
              </w:rPr>
            </w:pPr>
            <w:r w:rsidRPr="00FA3856">
              <w:rPr>
                <w:bCs/>
                <w:szCs w:val="20"/>
              </w:rPr>
              <w:t>Automóvel XYZ, 1.6</w:t>
            </w:r>
          </w:p>
        </w:tc>
        <w:tc>
          <w:tcPr>
            <w:tcW w:w="1398" w:type="pct"/>
            <w:vAlign w:val="center"/>
            <w:hideMark/>
          </w:tcPr>
          <w:p w:rsidR="00170D01" w:rsidRPr="00FA3856" w:rsidRDefault="00170D01" w:rsidP="00EA380A">
            <w:pPr>
              <w:ind w:firstLine="708"/>
              <w:jc w:val="right"/>
              <w:rPr>
                <w:bCs/>
                <w:szCs w:val="20"/>
              </w:rPr>
            </w:pPr>
            <w:r w:rsidRPr="00FA3856">
              <w:rPr>
                <w:bCs/>
                <w:szCs w:val="20"/>
              </w:rPr>
              <w:t>120.000,00</w:t>
            </w:r>
          </w:p>
        </w:tc>
      </w:tr>
    </w:tbl>
    <w:p w:rsidR="00170D01" w:rsidRPr="00FA3856" w:rsidRDefault="00170D01" w:rsidP="00170D01">
      <w:pPr>
        <w:ind w:firstLine="708"/>
        <w:jc w:val="both"/>
        <w:rPr>
          <w:bCs/>
          <w:szCs w:val="20"/>
        </w:rPr>
      </w:pPr>
    </w:p>
    <w:p w:rsidR="00BC63D3" w:rsidRPr="00FA3856" w:rsidRDefault="00BC63D3" w:rsidP="00170D01">
      <w:pPr>
        <w:ind w:firstLine="708"/>
        <w:jc w:val="both"/>
        <w:rPr>
          <w:bCs/>
          <w:szCs w:val="20"/>
        </w:rPr>
      </w:pPr>
    </w:p>
    <w:p w:rsidR="00170D01" w:rsidRDefault="00170D01" w:rsidP="00170D01">
      <w:pPr>
        <w:ind w:firstLine="708"/>
        <w:jc w:val="both"/>
        <w:rPr>
          <w:bCs/>
          <w:szCs w:val="20"/>
        </w:rPr>
      </w:pPr>
      <w:r w:rsidRPr="00FA3856">
        <w:rPr>
          <w:bCs/>
          <w:szCs w:val="20"/>
        </w:rPr>
        <w:t>As operações deve</w:t>
      </w:r>
      <w:r w:rsidR="00BC63D3" w:rsidRPr="00FA3856">
        <w:rPr>
          <w:bCs/>
          <w:szCs w:val="20"/>
        </w:rPr>
        <w:t>m ser incluídas na seguinte sequ</w:t>
      </w:r>
      <w:r w:rsidRPr="00FA3856">
        <w:rPr>
          <w:bCs/>
          <w:szCs w:val="20"/>
        </w:rPr>
        <w:t xml:space="preserve">ência: </w:t>
      </w:r>
    </w:p>
    <w:p w:rsidR="008671CE" w:rsidRPr="00FA3856" w:rsidRDefault="008671CE" w:rsidP="00170D01">
      <w:pPr>
        <w:ind w:firstLine="708"/>
        <w:jc w:val="both"/>
        <w:rPr>
          <w:bCs/>
          <w:szCs w:val="20"/>
        </w:rPr>
      </w:pPr>
    </w:p>
    <w:tbl>
      <w:tblPr>
        <w:tblW w:w="2181"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09"/>
        <w:gridCol w:w="2017"/>
        <w:gridCol w:w="2902"/>
        <w:gridCol w:w="1365"/>
      </w:tblGrid>
      <w:tr w:rsidR="00170D01" w:rsidRPr="00FA3856" w:rsidTr="00EA380A">
        <w:trPr>
          <w:tblCellSpacing w:w="0" w:type="dxa"/>
          <w:jc w:val="center"/>
        </w:trPr>
        <w:tc>
          <w:tcPr>
            <w:tcW w:w="570" w:type="pct"/>
            <w:vAlign w:val="center"/>
            <w:hideMark/>
          </w:tcPr>
          <w:p w:rsidR="00170D01" w:rsidRPr="00FA3856" w:rsidRDefault="00170D01" w:rsidP="00EA380A">
            <w:pPr>
              <w:ind w:firstLine="708"/>
              <w:jc w:val="center"/>
              <w:rPr>
                <w:bCs/>
                <w:szCs w:val="20"/>
              </w:rPr>
            </w:pPr>
          </w:p>
        </w:tc>
        <w:tc>
          <w:tcPr>
            <w:tcW w:w="1422" w:type="pct"/>
            <w:vAlign w:val="center"/>
            <w:hideMark/>
          </w:tcPr>
          <w:p w:rsidR="00170D01" w:rsidRPr="00FA3856" w:rsidRDefault="00170D01" w:rsidP="00EA380A">
            <w:pPr>
              <w:jc w:val="center"/>
              <w:rPr>
                <w:bCs/>
                <w:szCs w:val="20"/>
              </w:rPr>
            </w:pPr>
            <w:r w:rsidRPr="00FA3856">
              <w:rPr>
                <w:bCs/>
                <w:szCs w:val="20"/>
              </w:rPr>
              <w:t>Importação</w:t>
            </w:r>
          </w:p>
        </w:tc>
        <w:tc>
          <w:tcPr>
            <w:tcW w:w="2046" w:type="pct"/>
            <w:vAlign w:val="center"/>
            <w:hideMark/>
          </w:tcPr>
          <w:p w:rsidR="00170D01" w:rsidRPr="00FA3856" w:rsidRDefault="00EA380A" w:rsidP="00EA380A">
            <w:pPr>
              <w:jc w:val="center"/>
              <w:rPr>
                <w:bCs/>
                <w:szCs w:val="20"/>
              </w:rPr>
            </w:pPr>
            <w:r w:rsidRPr="00FA3856">
              <w:rPr>
                <w:bCs/>
                <w:szCs w:val="20"/>
              </w:rPr>
              <w:t>Descrição</w:t>
            </w:r>
          </w:p>
        </w:tc>
        <w:tc>
          <w:tcPr>
            <w:tcW w:w="962" w:type="pct"/>
            <w:vAlign w:val="center"/>
            <w:hideMark/>
          </w:tcPr>
          <w:p w:rsidR="00170D01" w:rsidRPr="00FA3856" w:rsidRDefault="00170D01" w:rsidP="00EA380A">
            <w:pPr>
              <w:jc w:val="center"/>
              <w:rPr>
                <w:bCs/>
                <w:szCs w:val="20"/>
              </w:rPr>
            </w:pPr>
            <w:r w:rsidRPr="00FA3856">
              <w:rPr>
                <w:bCs/>
                <w:szCs w:val="20"/>
              </w:rPr>
              <w:t>Valor Total: R$</w:t>
            </w:r>
          </w:p>
        </w:tc>
      </w:tr>
      <w:tr w:rsidR="00170D01" w:rsidRPr="00FA3856" w:rsidTr="00EA380A">
        <w:trPr>
          <w:tblCellSpacing w:w="0" w:type="dxa"/>
          <w:jc w:val="center"/>
        </w:trPr>
        <w:tc>
          <w:tcPr>
            <w:tcW w:w="570" w:type="pct"/>
            <w:vAlign w:val="center"/>
            <w:hideMark/>
          </w:tcPr>
          <w:p w:rsidR="00170D01" w:rsidRPr="00FA3856" w:rsidRDefault="00170D01" w:rsidP="00EA380A">
            <w:pPr>
              <w:jc w:val="center"/>
              <w:rPr>
                <w:bCs/>
                <w:szCs w:val="20"/>
              </w:rPr>
            </w:pPr>
            <w:r w:rsidRPr="00FA3856">
              <w:rPr>
                <w:bCs/>
                <w:szCs w:val="20"/>
              </w:rPr>
              <w:t>1.</w:t>
            </w:r>
          </w:p>
        </w:tc>
        <w:tc>
          <w:tcPr>
            <w:tcW w:w="1422" w:type="pct"/>
            <w:vAlign w:val="center"/>
            <w:hideMark/>
          </w:tcPr>
          <w:p w:rsidR="00170D01" w:rsidRPr="00FA3856" w:rsidRDefault="00170D01" w:rsidP="00EA380A">
            <w:pPr>
              <w:jc w:val="both"/>
              <w:rPr>
                <w:bCs/>
                <w:szCs w:val="20"/>
              </w:rPr>
            </w:pPr>
            <w:r w:rsidRPr="00FA3856">
              <w:rPr>
                <w:bCs/>
                <w:szCs w:val="20"/>
              </w:rPr>
              <w:t xml:space="preserve">Bens  </w:t>
            </w:r>
          </w:p>
        </w:tc>
        <w:tc>
          <w:tcPr>
            <w:tcW w:w="2046" w:type="pct"/>
            <w:vAlign w:val="center"/>
            <w:hideMark/>
          </w:tcPr>
          <w:p w:rsidR="00170D01" w:rsidRPr="00FA3856" w:rsidRDefault="00170D01" w:rsidP="00EA380A">
            <w:pPr>
              <w:jc w:val="both"/>
              <w:rPr>
                <w:bCs/>
                <w:szCs w:val="20"/>
              </w:rPr>
            </w:pPr>
            <w:r w:rsidRPr="00FA3856">
              <w:rPr>
                <w:bCs/>
                <w:szCs w:val="20"/>
              </w:rPr>
              <w:t>Automóvel ABC 2.0</w:t>
            </w:r>
          </w:p>
        </w:tc>
        <w:tc>
          <w:tcPr>
            <w:tcW w:w="962" w:type="pct"/>
            <w:vAlign w:val="center"/>
            <w:hideMark/>
          </w:tcPr>
          <w:p w:rsidR="00170D01" w:rsidRPr="00FA3856" w:rsidRDefault="00170D01" w:rsidP="00EA380A">
            <w:pPr>
              <w:jc w:val="right"/>
              <w:rPr>
                <w:bCs/>
                <w:szCs w:val="20"/>
              </w:rPr>
            </w:pPr>
            <w:r w:rsidRPr="00FA3856">
              <w:rPr>
                <w:bCs/>
                <w:szCs w:val="20"/>
              </w:rPr>
              <w:t>2.600.000,00</w:t>
            </w:r>
          </w:p>
        </w:tc>
      </w:tr>
      <w:tr w:rsidR="00170D01" w:rsidRPr="00FA3856" w:rsidTr="00EA380A">
        <w:trPr>
          <w:tblCellSpacing w:w="0" w:type="dxa"/>
          <w:jc w:val="center"/>
        </w:trPr>
        <w:tc>
          <w:tcPr>
            <w:tcW w:w="570" w:type="pct"/>
            <w:vAlign w:val="center"/>
            <w:hideMark/>
          </w:tcPr>
          <w:p w:rsidR="00170D01" w:rsidRPr="00FA3856" w:rsidRDefault="00170D01" w:rsidP="00EA380A">
            <w:pPr>
              <w:jc w:val="center"/>
              <w:rPr>
                <w:bCs/>
                <w:szCs w:val="20"/>
              </w:rPr>
            </w:pPr>
            <w:r w:rsidRPr="00FA3856">
              <w:rPr>
                <w:bCs/>
                <w:szCs w:val="20"/>
              </w:rPr>
              <w:t>2.</w:t>
            </w:r>
          </w:p>
        </w:tc>
        <w:tc>
          <w:tcPr>
            <w:tcW w:w="1422" w:type="pct"/>
            <w:vAlign w:val="center"/>
            <w:hideMark/>
          </w:tcPr>
          <w:p w:rsidR="00170D01" w:rsidRPr="00FA3856" w:rsidRDefault="00170D01" w:rsidP="00EA380A">
            <w:pPr>
              <w:jc w:val="both"/>
              <w:rPr>
                <w:bCs/>
                <w:szCs w:val="20"/>
              </w:rPr>
            </w:pPr>
            <w:r w:rsidRPr="00FA3856">
              <w:rPr>
                <w:bCs/>
                <w:szCs w:val="20"/>
              </w:rPr>
              <w:t xml:space="preserve">Operações Financeiras  </w:t>
            </w:r>
          </w:p>
        </w:tc>
        <w:tc>
          <w:tcPr>
            <w:tcW w:w="2046" w:type="pct"/>
            <w:vAlign w:val="center"/>
            <w:hideMark/>
          </w:tcPr>
          <w:p w:rsidR="00170D01" w:rsidRPr="00FA3856" w:rsidRDefault="00170D01" w:rsidP="00EA380A">
            <w:pPr>
              <w:jc w:val="both"/>
              <w:rPr>
                <w:bCs/>
                <w:szCs w:val="20"/>
              </w:rPr>
            </w:pPr>
            <w:r w:rsidRPr="00FA3856">
              <w:rPr>
                <w:bCs/>
                <w:szCs w:val="20"/>
              </w:rPr>
              <w:t>Juros sobre empréstimos obtidos</w:t>
            </w:r>
          </w:p>
        </w:tc>
        <w:tc>
          <w:tcPr>
            <w:tcW w:w="962" w:type="pct"/>
            <w:vAlign w:val="center"/>
            <w:hideMark/>
          </w:tcPr>
          <w:p w:rsidR="00170D01" w:rsidRPr="00FA3856" w:rsidRDefault="00170D01" w:rsidP="00EA380A">
            <w:pPr>
              <w:jc w:val="right"/>
              <w:rPr>
                <w:bCs/>
                <w:szCs w:val="20"/>
              </w:rPr>
            </w:pPr>
            <w:r w:rsidRPr="00FA3856">
              <w:rPr>
                <w:bCs/>
                <w:szCs w:val="20"/>
              </w:rPr>
              <w:t>1.500.000,00</w:t>
            </w:r>
          </w:p>
        </w:tc>
      </w:tr>
      <w:tr w:rsidR="00170D01" w:rsidRPr="00FA3856" w:rsidTr="00EA380A">
        <w:trPr>
          <w:tblCellSpacing w:w="0" w:type="dxa"/>
          <w:jc w:val="center"/>
        </w:trPr>
        <w:tc>
          <w:tcPr>
            <w:tcW w:w="570" w:type="pct"/>
            <w:vAlign w:val="center"/>
            <w:hideMark/>
          </w:tcPr>
          <w:p w:rsidR="00170D01" w:rsidRPr="00FA3856" w:rsidRDefault="00170D01" w:rsidP="00EA380A">
            <w:pPr>
              <w:jc w:val="center"/>
              <w:rPr>
                <w:bCs/>
                <w:szCs w:val="20"/>
              </w:rPr>
            </w:pPr>
            <w:r w:rsidRPr="00FA3856">
              <w:rPr>
                <w:bCs/>
                <w:szCs w:val="20"/>
              </w:rPr>
              <w:t>3.</w:t>
            </w:r>
          </w:p>
        </w:tc>
        <w:tc>
          <w:tcPr>
            <w:tcW w:w="1422" w:type="pct"/>
            <w:vAlign w:val="center"/>
            <w:hideMark/>
          </w:tcPr>
          <w:p w:rsidR="00170D01" w:rsidRPr="00FA3856" w:rsidRDefault="00170D01" w:rsidP="00EA380A">
            <w:pPr>
              <w:jc w:val="both"/>
              <w:rPr>
                <w:bCs/>
                <w:szCs w:val="20"/>
              </w:rPr>
            </w:pPr>
            <w:r w:rsidRPr="00FA3856">
              <w:rPr>
                <w:bCs/>
                <w:szCs w:val="20"/>
              </w:rPr>
              <w:t xml:space="preserve">Serviços  </w:t>
            </w:r>
          </w:p>
        </w:tc>
        <w:tc>
          <w:tcPr>
            <w:tcW w:w="2046" w:type="pct"/>
            <w:vAlign w:val="center"/>
            <w:hideMark/>
          </w:tcPr>
          <w:p w:rsidR="00170D01" w:rsidRPr="00FA3856" w:rsidRDefault="00170D01" w:rsidP="00EA380A">
            <w:pPr>
              <w:jc w:val="both"/>
              <w:rPr>
                <w:bCs/>
                <w:szCs w:val="20"/>
              </w:rPr>
            </w:pPr>
            <w:r w:rsidRPr="00FA3856">
              <w:rPr>
                <w:bCs/>
                <w:szCs w:val="20"/>
              </w:rPr>
              <w:t>Serviços de assistência técnica</w:t>
            </w:r>
          </w:p>
        </w:tc>
        <w:tc>
          <w:tcPr>
            <w:tcW w:w="962" w:type="pct"/>
            <w:vAlign w:val="center"/>
            <w:hideMark/>
          </w:tcPr>
          <w:p w:rsidR="00170D01" w:rsidRPr="00FA3856" w:rsidRDefault="00170D01" w:rsidP="00EA380A">
            <w:pPr>
              <w:jc w:val="right"/>
              <w:rPr>
                <w:bCs/>
                <w:szCs w:val="20"/>
              </w:rPr>
            </w:pPr>
            <w:r w:rsidRPr="00FA3856">
              <w:rPr>
                <w:bCs/>
                <w:szCs w:val="20"/>
              </w:rPr>
              <w:t>1.000.000,00</w:t>
            </w:r>
          </w:p>
        </w:tc>
      </w:tr>
      <w:tr w:rsidR="00170D01" w:rsidRPr="00FA3856" w:rsidTr="00EA380A">
        <w:trPr>
          <w:tblCellSpacing w:w="0" w:type="dxa"/>
          <w:jc w:val="center"/>
        </w:trPr>
        <w:tc>
          <w:tcPr>
            <w:tcW w:w="570" w:type="pct"/>
            <w:vAlign w:val="center"/>
            <w:hideMark/>
          </w:tcPr>
          <w:p w:rsidR="00170D01" w:rsidRPr="00FA3856" w:rsidRDefault="00170D01" w:rsidP="00EA380A">
            <w:pPr>
              <w:jc w:val="center"/>
              <w:rPr>
                <w:bCs/>
                <w:szCs w:val="20"/>
              </w:rPr>
            </w:pPr>
            <w:r w:rsidRPr="00FA3856">
              <w:rPr>
                <w:bCs/>
                <w:szCs w:val="20"/>
              </w:rPr>
              <w:t>4.</w:t>
            </w:r>
          </w:p>
        </w:tc>
        <w:tc>
          <w:tcPr>
            <w:tcW w:w="1422" w:type="pct"/>
            <w:vAlign w:val="center"/>
            <w:hideMark/>
          </w:tcPr>
          <w:p w:rsidR="00170D01" w:rsidRPr="00FA3856" w:rsidRDefault="00170D01" w:rsidP="00EA380A">
            <w:pPr>
              <w:jc w:val="both"/>
              <w:rPr>
                <w:bCs/>
                <w:szCs w:val="20"/>
              </w:rPr>
            </w:pPr>
            <w:r w:rsidRPr="00FA3856">
              <w:rPr>
                <w:bCs/>
                <w:szCs w:val="20"/>
              </w:rPr>
              <w:t xml:space="preserve">Bens  </w:t>
            </w:r>
          </w:p>
        </w:tc>
        <w:tc>
          <w:tcPr>
            <w:tcW w:w="2046" w:type="pct"/>
            <w:vAlign w:val="center"/>
            <w:hideMark/>
          </w:tcPr>
          <w:p w:rsidR="00170D01" w:rsidRPr="00FA3856" w:rsidRDefault="00170D01" w:rsidP="00EA380A">
            <w:pPr>
              <w:jc w:val="both"/>
              <w:rPr>
                <w:bCs/>
                <w:szCs w:val="20"/>
              </w:rPr>
            </w:pPr>
            <w:r w:rsidRPr="00FA3856">
              <w:rPr>
                <w:bCs/>
                <w:szCs w:val="20"/>
              </w:rPr>
              <w:t>Automóvel ABC 1.6</w:t>
            </w:r>
          </w:p>
        </w:tc>
        <w:tc>
          <w:tcPr>
            <w:tcW w:w="962" w:type="pct"/>
            <w:vAlign w:val="center"/>
            <w:hideMark/>
          </w:tcPr>
          <w:p w:rsidR="00170D01" w:rsidRPr="00FA3856" w:rsidRDefault="00170D01" w:rsidP="00EA380A">
            <w:pPr>
              <w:jc w:val="right"/>
              <w:rPr>
                <w:bCs/>
                <w:szCs w:val="20"/>
              </w:rPr>
            </w:pPr>
            <w:r w:rsidRPr="00FA3856">
              <w:rPr>
                <w:bCs/>
                <w:szCs w:val="20"/>
              </w:rPr>
              <w:t>900.000,00</w:t>
            </w:r>
          </w:p>
        </w:tc>
      </w:tr>
      <w:tr w:rsidR="00170D01" w:rsidRPr="00FA3856" w:rsidTr="00EA380A">
        <w:trPr>
          <w:tblCellSpacing w:w="0" w:type="dxa"/>
          <w:jc w:val="center"/>
        </w:trPr>
        <w:tc>
          <w:tcPr>
            <w:tcW w:w="570" w:type="pct"/>
            <w:vAlign w:val="center"/>
            <w:hideMark/>
          </w:tcPr>
          <w:p w:rsidR="00170D01" w:rsidRPr="00FA3856" w:rsidRDefault="00170D01" w:rsidP="00EA380A">
            <w:pPr>
              <w:jc w:val="center"/>
              <w:rPr>
                <w:bCs/>
                <w:szCs w:val="20"/>
              </w:rPr>
            </w:pPr>
            <w:r w:rsidRPr="00FA3856">
              <w:rPr>
                <w:bCs/>
                <w:szCs w:val="20"/>
              </w:rPr>
              <w:t>5.</w:t>
            </w:r>
          </w:p>
        </w:tc>
        <w:tc>
          <w:tcPr>
            <w:tcW w:w="1422" w:type="pct"/>
            <w:vAlign w:val="center"/>
            <w:hideMark/>
          </w:tcPr>
          <w:p w:rsidR="00170D01" w:rsidRPr="00FA3856" w:rsidRDefault="00170D01" w:rsidP="00EA380A">
            <w:pPr>
              <w:jc w:val="both"/>
              <w:rPr>
                <w:bCs/>
                <w:szCs w:val="20"/>
              </w:rPr>
            </w:pPr>
            <w:r w:rsidRPr="00FA3856">
              <w:rPr>
                <w:bCs/>
                <w:szCs w:val="20"/>
              </w:rPr>
              <w:t xml:space="preserve">Serviços  </w:t>
            </w:r>
          </w:p>
        </w:tc>
        <w:tc>
          <w:tcPr>
            <w:tcW w:w="2046" w:type="pct"/>
            <w:vAlign w:val="center"/>
            <w:hideMark/>
          </w:tcPr>
          <w:p w:rsidR="00170D01" w:rsidRPr="00FA3856" w:rsidRDefault="00170D01" w:rsidP="00EA380A">
            <w:pPr>
              <w:jc w:val="both"/>
              <w:rPr>
                <w:bCs/>
                <w:szCs w:val="20"/>
              </w:rPr>
            </w:pPr>
            <w:r w:rsidRPr="00FA3856">
              <w:rPr>
                <w:bCs/>
                <w:szCs w:val="20"/>
              </w:rPr>
              <w:t>Propaganda e publicidade</w:t>
            </w:r>
          </w:p>
        </w:tc>
        <w:tc>
          <w:tcPr>
            <w:tcW w:w="962" w:type="pct"/>
            <w:vAlign w:val="center"/>
            <w:hideMark/>
          </w:tcPr>
          <w:p w:rsidR="00170D01" w:rsidRPr="00FA3856" w:rsidRDefault="00170D01" w:rsidP="00EA380A">
            <w:pPr>
              <w:jc w:val="right"/>
              <w:rPr>
                <w:bCs/>
                <w:szCs w:val="20"/>
              </w:rPr>
            </w:pPr>
            <w:r w:rsidRPr="00FA3856">
              <w:rPr>
                <w:bCs/>
                <w:szCs w:val="20"/>
              </w:rPr>
              <w:t>500.000,00</w:t>
            </w:r>
          </w:p>
        </w:tc>
      </w:tr>
      <w:tr w:rsidR="00170D01" w:rsidRPr="00FA3856" w:rsidTr="00EA380A">
        <w:trPr>
          <w:tblCellSpacing w:w="0" w:type="dxa"/>
          <w:jc w:val="center"/>
        </w:trPr>
        <w:tc>
          <w:tcPr>
            <w:tcW w:w="570" w:type="pct"/>
            <w:vAlign w:val="center"/>
            <w:hideMark/>
          </w:tcPr>
          <w:p w:rsidR="00170D01" w:rsidRPr="00FA3856" w:rsidRDefault="00170D01" w:rsidP="00EA380A">
            <w:pPr>
              <w:jc w:val="center"/>
              <w:rPr>
                <w:bCs/>
                <w:szCs w:val="20"/>
              </w:rPr>
            </w:pPr>
            <w:r w:rsidRPr="00FA3856">
              <w:rPr>
                <w:bCs/>
                <w:szCs w:val="20"/>
              </w:rPr>
              <w:t>6.</w:t>
            </w:r>
          </w:p>
        </w:tc>
        <w:tc>
          <w:tcPr>
            <w:tcW w:w="1422" w:type="pct"/>
            <w:vAlign w:val="center"/>
            <w:hideMark/>
          </w:tcPr>
          <w:p w:rsidR="00170D01" w:rsidRPr="00FA3856" w:rsidRDefault="00170D01" w:rsidP="00EA380A">
            <w:pPr>
              <w:jc w:val="both"/>
              <w:rPr>
                <w:bCs/>
                <w:szCs w:val="20"/>
              </w:rPr>
            </w:pPr>
            <w:r w:rsidRPr="00FA3856">
              <w:rPr>
                <w:bCs/>
                <w:szCs w:val="20"/>
              </w:rPr>
              <w:t xml:space="preserve">Direitos  </w:t>
            </w:r>
          </w:p>
        </w:tc>
        <w:tc>
          <w:tcPr>
            <w:tcW w:w="2046" w:type="pct"/>
            <w:vAlign w:val="center"/>
            <w:hideMark/>
          </w:tcPr>
          <w:p w:rsidR="00170D01" w:rsidRPr="00FA3856" w:rsidRDefault="00170D01" w:rsidP="00EA380A">
            <w:pPr>
              <w:jc w:val="both"/>
              <w:rPr>
                <w:bCs/>
                <w:szCs w:val="20"/>
              </w:rPr>
            </w:pPr>
            <w:r w:rsidRPr="00FA3856">
              <w:rPr>
                <w:bCs/>
                <w:szCs w:val="20"/>
              </w:rPr>
              <w:t>Direitos de exploração de minérios</w:t>
            </w:r>
          </w:p>
        </w:tc>
        <w:tc>
          <w:tcPr>
            <w:tcW w:w="962" w:type="pct"/>
            <w:vAlign w:val="center"/>
            <w:hideMark/>
          </w:tcPr>
          <w:p w:rsidR="00170D01" w:rsidRPr="00FA3856" w:rsidRDefault="00170D01" w:rsidP="00EA380A">
            <w:pPr>
              <w:jc w:val="right"/>
              <w:rPr>
                <w:bCs/>
                <w:szCs w:val="20"/>
              </w:rPr>
            </w:pPr>
            <w:r w:rsidRPr="00FA3856">
              <w:rPr>
                <w:bCs/>
                <w:szCs w:val="20"/>
              </w:rPr>
              <w:t>450.000,00</w:t>
            </w:r>
          </w:p>
        </w:tc>
      </w:tr>
    </w:tbl>
    <w:p w:rsidR="00170D01" w:rsidRPr="00FA3856" w:rsidRDefault="00170D01" w:rsidP="00170D01">
      <w:pPr>
        <w:ind w:firstLine="708"/>
        <w:jc w:val="both"/>
        <w:rPr>
          <w:bCs/>
          <w:szCs w:val="20"/>
        </w:rPr>
      </w:pPr>
    </w:p>
    <w:p w:rsidR="00170D01" w:rsidRPr="00FA3856" w:rsidRDefault="00170D01" w:rsidP="00BC63D3">
      <w:pPr>
        <w:ind w:firstLine="708"/>
        <w:jc w:val="both"/>
        <w:rPr>
          <w:bCs/>
          <w:szCs w:val="20"/>
        </w:rPr>
      </w:pPr>
      <w:r w:rsidRPr="00FA3856">
        <w:rPr>
          <w:bCs/>
          <w:szCs w:val="20"/>
        </w:rPr>
        <w:t xml:space="preserve">E assim </w:t>
      </w:r>
      <w:r w:rsidR="00BC63D3" w:rsidRPr="00FA3856">
        <w:rPr>
          <w:bCs/>
          <w:szCs w:val="20"/>
        </w:rPr>
        <w:t>por diante</w:t>
      </w:r>
      <w:r w:rsidRPr="00FA3856">
        <w:rPr>
          <w:bCs/>
          <w:szCs w:val="20"/>
        </w:rPr>
        <w:t>.</w:t>
      </w:r>
      <w:r w:rsidR="00BC63D3" w:rsidRPr="00FA3856">
        <w:rPr>
          <w:bCs/>
          <w:szCs w:val="20"/>
        </w:rPr>
        <w:t xml:space="preserve"> </w:t>
      </w:r>
    </w:p>
    <w:p w:rsidR="008671CE" w:rsidRDefault="008671CE" w:rsidP="00331B36">
      <w:pPr>
        <w:rPr>
          <w:b/>
          <w:szCs w:val="20"/>
        </w:rPr>
      </w:pPr>
    </w:p>
    <w:p w:rsidR="008671CE" w:rsidRDefault="00B35FA3" w:rsidP="000C4F4A">
      <w:pPr>
        <w:jc w:val="center"/>
        <w:rPr>
          <w:b/>
          <w:szCs w:val="20"/>
        </w:rPr>
      </w:pPr>
      <w:r>
        <w:rPr>
          <w:b/>
          <w:szCs w:val="20"/>
        </w:rPr>
        <w:object w:dxaOrig="14910" w:dyaOrig="6165">
          <v:shape id="_x0000_i1929" type="#_x0000_t75" style="width:795.75pt;height:297.75pt" o:ole="">
            <v:imagedata r:id="rId687" o:title=""/>
          </v:shape>
          <o:OLEObject Type="Link" ProgID="Excel.Sheet.12" ShapeID="_x0000_i1929" DrawAspect="Content" r:id="rId688" UpdateMode="Always">
            <o:LinkType>EnhancedMetaFile</o:LinkType>
            <o:LockedField>false</o:LockedField>
          </o:OLEObject>
        </w:object>
      </w:r>
    </w:p>
    <w:p w:rsidR="008671CE" w:rsidRDefault="00B35FA3" w:rsidP="000C4F4A">
      <w:pPr>
        <w:spacing w:after="200" w:line="276" w:lineRule="auto"/>
        <w:jc w:val="center"/>
        <w:rPr>
          <w:b/>
          <w:szCs w:val="20"/>
        </w:rPr>
      </w:pPr>
      <w:r>
        <w:rPr>
          <w:b/>
          <w:szCs w:val="20"/>
        </w:rPr>
        <w:object w:dxaOrig="14910" w:dyaOrig="5415">
          <v:shape id="_x0000_i1931" type="#_x0000_t75" style="width:795.75pt;height:261.75pt" o:ole="">
            <v:imagedata r:id="rId689" o:title=""/>
          </v:shape>
          <o:OLEObject Type="Link" ProgID="Excel.Sheet.12" ShapeID="_x0000_i1931" DrawAspect="Content" r:id="rId690" UpdateMode="Always">
            <o:LinkType>EnhancedMetaFile</o:LinkType>
            <o:LockedField>false</o:LockedField>
          </o:OLEObject>
        </w:object>
      </w:r>
    </w:p>
    <w:p w:rsidR="008671CE" w:rsidRDefault="008671CE" w:rsidP="008671CE">
      <w:pPr>
        <w:jc w:val="center"/>
        <w:rPr>
          <w:b/>
          <w:szCs w:val="20"/>
        </w:rPr>
      </w:pPr>
    </w:p>
    <w:p w:rsidR="008671CE" w:rsidRDefault="008671CE" w:rsidP="008671CE">
      <w:pPr>
        <w:jc w:val="center"/>
        <w:rPr>
          <w:b/>
          <w:szCs w:val="20"/>
        </w:rPr>
      </w:pPr>
    </w:p>
    <w:p w:rsidR="008671CE" w:rsidRDefault="008671CE" w:rsidP="00331B36">
      <w:pPr>
        <w:rPr>
          <w:b/>
          <w:szCs w:val="20"/>
        </w:rPr>
      </w:pPr>
    </w:p>
    <w:p w:rsidR="008671CE" w:rsidRDefault="008671CE" w:rsidP="00331B36">
      <w:pPr>
        <w:rPr>
          <w:b/>
          <w:szCs w:val="20"/>
        </w:rPr>
      </w:pPr>
    </w:p>
    <w:p w:rsidR="008671CE" w:rsidRDefault="008671CE" w:rsidP="00331B36">
      <w:pPr>
        <w:rPr>
          <w:b/>
          <w:szCs w:val="20"/>
        </w:rPr>
      </w:pPr>
    </w:p>
    <w:p w:rsidR="000C4F4A" w:rsidRDefault="000C4F4A" w:rsidP="00331B36">
      <w:pPr>
        <w:rPr>
          <w:b/>
          <w:szCs w:val="20"/>
        </w:rPr>
      </w:pPr>
    </w:p>
    <w:p w:rsidR="000C4F4A" w:rsidRDefault="000C4F4A" w:rsidP="00331B36">
      <w:pPr>
        <w:rPr>
          <w:b/>
          <w:szCs w:val="20"/>
        </w:rPr>
      </w:pPr>
    </w:p>
    <w:p w:rsidR="000C4F4A" w:rsidRDefault="000C4F4A" w:rsidP="00331B36">
      <w:pPr>
        <w:rPr>
          <w:b/>
          <w:szCs w:val="20"/>
        </w:rPr>
      </w:pPr>
    </w:p>
    <w:p w:rsidR="000C4F4A" w:rsidRDefault="000C4F4A" w:rsidP="00331B36">
      <w:pPr>
        <w:rPr>
          <w:b/>
          <w:szCs w:val="20"/>
        </w:rPr>
      </w:pPr>
    </w:p>
    <w:p w:rsidR="000C4F4A" w:rsidRDefault="000C4F4A" w:rsidP="00331B36">
      <w:pPr>
        <w:rPr>
          <w:b/>
          <w:szCs w:val="20"/>
        </w:rPr>
      </w:pPr>
    </w:p>
    <w:p w:rsidR="000C4F4A" w:rsidRDefault="000C4F4A" w:rsidP="00331B36">
      <w:pPr>
        <w:rPr>
          <w:b/>
          <w:szCs w:val="20"/>
        </w:rPr>
      </w:pPr>
    </w:p>
    <w:p w:rsidR="000C4F4A" w:rsidRDefault="000C4F4A" w:rsidP="00331B36">
      <w:pPr>
        <w:rPr>
          <w:b/>
          <w:szCs w:val="20"/>
        </w:rPr>
      </w:pPr>
    </w:p>
    <w:p w:rsidR="000C4F4A" w:rsidRDefault="000C4F4A" w:rsidP="00331B36">
      <w:pPr>
        <w:rPr>
          <w:b/>
          <w:szCs w:val="20"/>
        </w:rPr>
      </w:pPr>
    </w:p>
    <w:p w:rsidR="000C4F4A" w:rsidRDefault="000C4F4A" w:rsidP="00331B36">
      <w:pPr>
        <w:rPr>
          <w:b/>
          <w:szCs w:val="20"/>
        </w:rPr>
      </w:pPr>
    </w:p>
    <w:p w:rsidR="000C4F4A" w:rsidRDefault="000C4F4A" w:rsidP="00331B36">
      <w:pPr>
        <w:rPr>
          <w:b/>
          <w:szCs w:val="20"/>
        </w:rPr>
      </w:pPr>
    </w:p>
    <w:p w:rsidR="000C4F4A" w:rsidRDefault="000C4F4A" w:rsidP="00331B36">
      <w:pPr>
        <w:rPr>
          <w:b/>
          <w:szCs w:val="20"/>
        </w:rPr>
      </w:pPr>
    </w:p>
    <w:p w:rsidR="000C4F4A" w:rsidRDefault="00B35FA3" w:rsidP="000C4F4A">
      <w:pPr>
        <w:jc w:val="center"/>
        <w:rPr>
          <w:b/>
          <w:szCs w:val="20"/>
        </w:rPr>
      </w:pPr>
      <w:r>
        <w:rPr>
          <w:b/>
          <w:szCs w:val="20"/>
        </w:rPr>
        <w:object w:dxaOrig="14910" w:dyaOrig="5130">
          <v:shape id="_x0000_i1933" type="#_x0000_t75" style="width:795.75pt;height:248.25pt" o:ole="">
            <v:imagedata r:id="rId691" o:title=""/>
          </v:shape>
          <o:OLEObject Type="Link" ProgID="Excel.Sheet.12" ShapeID="_x0000_i1933" DrawAspect="Content" r:id="rId692" UpdateMode="Always">
            <o:LinkType>EnhancedMetaFile</o:LinkType>
            <o:LockedField>false</o:LockedField>
          </o:OLEObject>
        </w:object>
      </w:r>
    </w:p>
    <w:p w:rsidR="000C4F4A" w:rsidRDefault="000C4F4A" w:rsidP="00331B36">
      <w:pPr>
        <w:rPr>
          <w:b/>
          <w:szCs w:val="20"/>
        </w:rPr>
      </w:pPr>
    </w:p>
    <w:p w:rsidR="008671CE" w:rsidRDefault="008671CE" w:rsidP="00331B36">
      <w:pPr>
        <w:rPr>
          <w:b/>
          <w:szCs w:val="20"/>
        </w:rPr>
      </w:pPr>
    </w:p>
    <w:p w:rsidR="008671CE" w:rsidRDefault="008671CE" w:rsidP="00331B36">
      <w:pPr>
        <w:rPr>
          <w:b/>
          <w:szCs w:val="20"/>
        </w:rPr>
      </w:pPr>
    </w:p>
    <w:p w:rsidR="000C4F4A" w:rsidRDefault="000C4F4A" w:rsidP="00331B36">
      <w:pPr>
        <w:rPr>
          <w:b/>
          <w:szCs w:val="20"/>
        </w:rPr>
      </w:pPr>
    </w:p>
    <w:p w:rsidR="000C4F4A" w:rsidRDefault="000C4F4A" w:rsidP="00331B36">
      <w:pPr>
        <w:rPr>
          <w:b/>
          <w:szCs w:val="20"/>
        </w:rPr>
      </w:pPr>
    </w:p>
    <w:p w:rsidR="000C4F4A" w:rsidRDefault="000C4F4A" w:rsidP="00331B36">
      <w:pPr>
        <w:rPr>
          <w:b/>
          <w:szCs w:val="20"/>
        </w:rPr>
      </w:pPr>
    </w:p>
    <w:p w:rsidR="000C4F4A" w:rsidRDefault="000C4F4A" w:rsidP="00331B36">
      <w:pPr>
        <w:rPr>
          <w:b/>
          <w:szCs w:val="20"/>
        </w:rPr>
      </w:pPr>
    </w:p>
    <w:p w:rsidR="000C4F4A" w:rsidRDefault="000C4F4A" w:rsidP="00331B36">
      <w:pPr>
        <w:rPr>
          <w:b/>
          <w:szCs w:val="20"/>
        </w:rPr>
      </w:pPr>
    </w:p>
    <w:p w:rsidR="000C4F4A" w:rsidRDefault="000C4F4A" w:rsidP="00331B36">
      <w:pPr>
        <w:rPr>
          <w:b/>
          <w:szCs w:val="20"/>
        </w:rPr>
      </w:pPr>
    </w:p>
    <w:p w:rsidR="000C4F4A" w:rsidRDefault="000C4F4A" w:rsidP="00331B36">
      <w:pPr>
        <w:rPr>
          <w:b/>
          <w:szCs w:val="20"/>
        </w:rPr>
      </w:pPr>
    </w:p>
    <w:p w:rsidR="000C4F4A" w:rsidRDefault="000C4F4A" w:rsidP="00331B36">
      <w:pPr>
        <w:rPr>
          <w:b/>
          <w:szCs w:val="20"/>
        </w:rPr>
      </w:pPr>
    </w:p>
    <w:p w:rsidR="000C4F4A" w:rsidRDefault="000C4F4A" w:rsidP="00331B36">
      <w:pPr>
        <w:rPr>
          <w:b/>
          <w:szCs w:val="20"/>
        </w:rPr>
      </w:pPr>
    </w:p>
    <w:p w:rsidR="000C4F4A" w:rsidRDefault="000C4F4A" w:rsidP="00331B36">
      <w:pPr>
        <w:rPr>
          <w:b/>
          <w:szCs w:val="20"/>
        </w:rPr>
      </w:pPr>
    </w:p>
    <w:p w:rsidR="000C4F4A" w:rsidRDefault="000C4F4A" w:rsidP="00331B36">
      <w:pPr>
        <w:rPr>
          <w:b/>
          <w:szCs w:val="20"/>
        </w:rPr>
      </w:pPr>
    </w:p>
    <w:p w:rsidR="000C4F4A" w:rsidRDefault="000C4F4A" w:rsidP="00331B36">
      <w:pPr>
        <w:rPr>
          <w:b/>
          <w:szCs w:val="20"/>
        </w:rPr>
      </w:pPr>
    </w:p>
    <w:p w:rsidR="000C4F4A" w:rsidRDefault="000C4F4A" w:rsidP="00331B36">
      <w:pPr>
        <w:rPr>
          <w:b/>
          <w:szCs w:val="20"/>
        </w:rPr>
      </w:pPr>
    </w:p>
    <w:p w:rsidR="000C4F4A" w:rsidRDefault="000C4F4A" w:rsidP="00331B36">
      <w:pPr>
        <w:rPr>
          <w:b/>
          <w:szCs w:val="20"/>
        </w:rPr>
      </w:pPr>
    </w:p>
    <w:p w:rsidR="000C4F4A" w:rsidRDefault="000C4F4A" w:rsidP="00331B36">
      <w:pPr>
        <w:rPr>
          <w:b/>
          <w:szCs w:val="20"/>
        </w:rPr>
      </w:pPr>
    </w:p>
    <w:p w:rsidR="000C4F4A" w:rsidRDefault="00B35FA3" w:rsidP="000C4F4A">
      <w:pPr>
        <w:jc w:val="center"/>
        <w:rPr>
          <w:b/>
          <w:szCs w:val="20"/>
        </w:rPr>
      </w:pPr>
      <w:r>
        <w:rPr>
          <w:b/>
          <w:szCs w:val="20"/>
        </w:rPr>
        <w:object w:dxaOrig="14910" w:dyaOrig="7425">
          <v:shape id="_x0000_i1935" type="#_x0000_t75" style="width:795.75pt;height:359.25pt" o:ole="">
            <v:imagedata r:id="rId693" o:title=""/>
          </v:shape>
          <o:OLEObject Type="Link" ProgID="Excel.Sheet.12" ShapeID="_x0000_i1935" DrawAspect="Content" r:id="rId694" UpdateMode="Always">
            <o:LinkType>EnhancedMetaFile</o:LinkType>
            <o:LockedField>false</o:LockedField>
          </o:OLEObject>
        </w:object>
      </w:r>
    </w:p>
    <w:p w:rsidR="008671CE" w:rsidRDefault="008671CE" w:rsidP="00331B36">
      <w:pPr>
        <w:rPr>
          <w:b/>
          <w:szCs w:val="20"/>
        </w:rPr>
      </w:pPr>
    </w:p>
    <w:p w:rsidR="008671CE" w:rsidRDefault="008671CE" w:rsidP="00331B36">
      <w:pPr>
        <w:rPr>
          <w:b/>
          <w:szCs w:val="20"/>
        </w:rPr>
      </w:pPr>
    </w:p>
    <w:p w:rsidR="008671CE" w:rsidRDefault="008671CE" w:rsidP="00331B36">
      <w:pPr>
        <w:rPr>
          <w:b/>
          <w:szCs w:val="20"/>
        </w:rPr>
      </w:pPr>
    </w:p>
    <w:p w:rsidR="008671CE" w:rsidRDefault="008671CE" w:rsidP="00331B36">
      <w:pPr>
        <w:rPr>
          <w:b/>
          <w:szCs w:val="20"/>
        </w:rPr>
      </w:pPr>
    </w:p>
    <w:p w:rsidR="008671CE" w:rsidRDefault="008671CE" w:rsidP="00331B36">
      <w:pPr>
        <w:rPr>
          <w:b/>
          <w:szCs w:val="20"/>
        </w:rPr>
      </w:pPr>
    </w:p>
    <w:p w:rsidR="000C4F4A" w:rsidRDefault="000C4F4A" w:rsidP="00331B36">
      <w:pPr>
        <w:rPr>
          <w:b/>
          <w:szCs w:val="20"/>
        </w:rPr>
      </w:pPr>
    </w:p>
    <w:p w:rsidR="000C4F4A" w:rsidRDefault="000C4F4A" w:rsidP="00331B36">
      <w:pPr>
        <w:rPr>
          <w:b/>
          <w:szCs w:val="20"/>
        </w:rPr>
      </w:pPr>
    </w:p>
    <w:p w:rsidR="000C4F4A" w:rsidRDefault="000C4F4A" w:rsidP="00331B36">
      <w:pPr>
        <w:rPr>
          <w:b/>
          <w:szCs w:val="20"/>
        </w:rPr>
      </w:pPr>
    </w:p>
    <w:p w:rsidR="000C4F4A" w:rsidRDefault="000C4F4A" w:rsidP="00331B36">
      <w:pPr>
        <w:rPr>
          <w:b/>
          <w:szCs w:val="20"/>
        </w:rPr>
      </w:pPr>
    </w:p>
    <w:p w:rsidR="000C4F4A" w:rsidRDefault="000C4F4A" w:rsidP="00331B36">
      <w:pPr>
        <w:rPr>
          <w:b/>
          <w:szCs w:val="20"/>
        </w:rPr>
      </w:pPr>
    </w:p>
    <w:p w:rsidR="000C4F4A" w:rsidRDefault="00B35FA3" w:rsidP="000C4F4A">
      <w:pPr>
        <w:jc w:val="center"/>
        <w:rPr>
          <w:b/>
          <w:szCs w:val="20"/>
        </w:rPr>
      </w:pPr>
      <w:r>
        <w:rPr>
          <w:b/>
          <w:szCs w:val="20"/>
        </w:rPr>
        <w:object w:dxaOrig="14910" w:dyaOrig="2595">
          <v:shape id="_x0000_i1937" type="#_x0000_t75" style="width:795.75pt;height:125.25pt" o:ole="">
            <v:imagedata r:id="rId695" o:title=""/>
          </v:shape>
          <o:OLEObject Type="Link" ProgID="Excel.Sheet.12" ShapeID="_x0000_i1937" DrawAspect="Content" r:id="rId696" UpdateMode="Always">
            <o:LinkType>EnhancedMetaFile</o:LinkType>
            <o:LockedField>false</o:LockedField>
          </o:OLEObject>
        </w:object>
      </w:r>
    </w:p>
    <w:p w:rsidR="008671CE" w:rsidRDefault="008671CE" w:rsidP="00331B36">
      <w:pPr>
        <w:rPr>
          <w:b/>
          <w:szCs w:val="20"/>
        </w:rPr>
      </w:pPr>
    </w:p>
    <w:p w:rsidR="008671CE" w:rsidRDefault="008671CE" w:rsidP="00331B36">
      <w:pPr>
        <w:rPr>
          <w:b/>
          <w:szCs w:val="20"/>
        </w:rPr>
      </w:pPr>
    </w:p>
    <w:p w:rsidR="008671CE" w:rsidRDefault="008671CE" w:rsidP="008671CE">
      <w:pPr>
        <w:jc w:val="center"/>
        <w:rPr>
          <w:b/>
          <w:szCs w:val="20"/>
        </w:rPr>
      </w:pPr>
    </w:p>
    <w:p w:rsidR="008671CE" w:rsidRDefault="008671CE" w:rsidP="00331B36">
      <w:pPr>
        <w:rPr>
          <w:b/>
          <w:szCs w:val="20"/>
        </w:rPr>
      </w:pPr>
    </w:p>
    <w:p w:rsidR="008671CE" w:rsidRDefault="008671CE" w:rsidP="00331B36">
      <w:pPr>
        <w:rPr>
          <w:b/>
          <w:szCs w:val="20"/>
        </w:rPr>
      </w:pPr>
    </w:p>
    <w:p w:rsidR="000C4F4A" w:rsidRDefault="000C4F4A" w:rsidP="00331B36">
      <w:pPr>
        <w:rPr>
          <w:b/>
          <w:szCs w:val="20"/>
        </w:rPr>
      </w:pPr>
    </w:p>
    <w:p w:rsidR="000C4F4A" w:rsidRDefault="000C4F4A" w:rsidP="00331B36">
      <w:pPr>
        <w:rPr>
          <w:b/>
          <w:szCs w:val="20"/>
        </w:rPr>
      </w:pPr>
    </w:p>
    <w:p w:rsidR="000C4F4A" w:rsidRDefault="000C4F4A" w:rsidP="00331B36">
      <w:pPr>
        <w:rPr>
          <w:b/>
          <w:szCs w:val="20"/>
        </w:rPr>
      </w:pPr>
    </w:p>
    <w:p w:rsidR="000C4F4A" w:rsidRDefault="000C4F4A" w:rsidP="00331B36">
      <w:pPr>
        <w:rPr>
          <w:b/>
          <w:szCs w:val="20"/>
        </w:rPr>
      </w:pPr>
    </w:p>
    <w:p w:rsidR="000C4F4A" w:rsidRDefault="000C4F4A" w:rsidP="00331B36">
      <w:pPr>
        <w:rPr>
          <w:b/>
          <w:szCs w:val="20"/>
        </w:rPr>
      </w:pPr>
    </w:p>
    <w:p w:rsidR="000C4F4A" w:rsidRDefault="000C4F4A" w:rsidP="00331B36">
      <w:pPr>
        <w:rPr>
          <w:b/>
          <w:szCs w:val="20"/>
        </w:rPr>
      </w:pPr>
    </w:p>
    <w:p w:rsidR="000C4F4A" w:rsidRDefault="000C4F4A" w:rsidP="00331B36">
      <w:pPr>
        <w:rPr>
          <w:b/>
          <w:szCs w:val="20"/>
        </w:rPr>
      </w:pPr>
    </w:p>
    <w:p w:rsidR="000C4F4A" w:rsidRDefault="000C4F4A" w:rsidP="00331B36">
      <w:pPr>
        <w:rPr>
          <w:b/>
          <w:szCs w:val="20"/>
        </w:rPr>
      </w:pPr>
    </w:p>
    <w:p w:rsidR="000C4F4A" w:rsidRDefault="000C4F4A" w:rsidP="00331B36">
      <w:pPr>
        <w:rPr>
          <w:b/>
          <w:szCs w:val="20"/>
        </w:rPr>
      </w:pPr>
    </w:p>
    <w:p w:rsidR="000C4F4A" w:rsidRDefault="000C4F4A" w:rsidP="00331B36">
      <w:pPr>
        <w:rPr>
          <w:b/>
          <w:szCs w:val="20"/>
        </w:rPr>
      </w:pPr>
    </w:p>
    <w:p w:rsidR="000C4F4A" w:rsidRDefault="000C4F4A" w:rsidP="00331B36">
      <w:pPr>
        <w:rPr>
          <w:b/>
          <w:szCs w:val="20"/>
        </w:rPr>
      </w:pPr>
    </w:p>
    <w:p w:rsidR="000C4F4A" w:rsidRDefault="000C4F4A" w:rsidP="00331B36">
      <w:pPr>
        <w:rPr>
          <w:b/>
          <w:szCs w:val="20"/>
        </w:rPr>
      </w:pPr>
    </w:p>
    <w:p w:rsidR="000C4F4A" w:rsidRDefault="000C4F4A" w:rsidP="00331B36">
      <w:pPr>
        <w:rPr>
          <w:b/>
          <w:szCs w:val="20"/>
        </w:rPr>
      </w:pPr>
    </w:p>
    <w:p w:rsidR="000C4F4A" w:rsidRDefault="000C4F4A" w:rsidP="00331B36">
      <w:pPr>
        <w:rPr>
          <w:b/>
          <w:szCs w:val="20"/>
        </w:rPr>
      </w:pPr>
    </w:p>
    <w:p w:rsidR="000C4F4A" w:rsidRDefault="000C4F4A" w:rsidP="00331B36">
      <w:pPr>
        <w:rPr>
          <w:b/>
          <w:szCs w:val="20"/>
        </w:rPr>
      </w:pPr>
    </w:p>
    <w:p w:rsidR="000C4F4A" w:rsidRDefault="000C4F4A" w:rsidP="00331B36">
      <w:pPr>
        <w:rPr>
          <w:b/>
          <w:szCs w:val="20"/>
        </w:rPr>
      </w:pPr>
    </w:p>
    <w:p w:rsidR="000C4F4A" w:rsidRDefault="000C4F4A" w:rsidP="00331B36">
      <w:pPr>
        <w:rPr>
          <w:b/>
          <w:szCs w:val="20"/>
        </w:rPr>
      </w:pPr>
    </w:p>
    <w:p w:rsidR="000C4F4A" w:rsidRDefault="000C4F4A" w:rsidP="00331B36">
      <w:pPr>
        <w:rPr>
          <w:b/>
          <w:szCs w:val="20"/>
        </w:rPr>
      </w:pPr>
    </w:p>
    <w:p w:rsidR="000C4F4A" w:rsidRDefault="000C4F4A" w:rsidP="00331B36">
      <w:pPr>
        <w:rPr>
          <w:b/>
          <w:szCs w:val="20"/>
        </w:rPr>
      </w:pPr>
    </w:p>
    <w:p w:rsidR="000C4F4A" w:rsidRDefault="000C4F4A" w:rsidP="00331B36">
      <w:pPr>
        <w:rPr>
          <w:b/>
          <w:szCs w:val="20"/>
        </w:rPr>
      </w:pPr>
    </w:p>
    <w:p w:rsidR="000C4F4A" w:rsidRDefault="000C4F4A" w:rsidP="00331B36">
      <w:pPr>
        <w:rPr>
          <w:b/>
          <w:szCs w:val="20"/>
        </w:rPr>
      </w:pPr>
    </w:p>
    <w:p w:rsidR="000C4F4A" w:rsidRDefault="000C4F4A" w:rsidP="00331B36">
      <w:pPr>
        <w:rPr>
          <w:b/>
          <w:szCs w:val="20"/>
        </w:rPr>
      </w:pPr>
    </w:p>
    <w:p w:rsidR="000C4F4A" w:rsidRDefault="000C4F4A" w:rsidP="00331B36">
      <w:pPr>
        <w:rPr>
          <w:b/>
          <w:szCs w:val="20"/>
        </w:rPr>
      </w:pPr>
    </w:p>
    <w:p w:rsidR="000C4F4A" w:rsidRDefault="000C4F4A" w:rsidP="00331B36">
      <w:pPr>
        <w:rPr>
          <w:b/>
          <w:szCs w:val="20"/>
        </w:rPr>
      </w:pPr>
    </w:p>
    <w:p w:rsidR="000C4F4A" w:rsidRDefault="000C4F4A" w:rsidP="00331B36">
      <w:pPr>
        <w:rPr>
          <w:b/>
          <w:szCs w:val="20"/>
        </w:rPr>
      </w:pPr>
    </w:p>
    <w:p w:rsidR="000C4F4A" w:rsidRDefault="00B35FA3" w:rsidP="000C4F4A">
      <w:pPr>
        <w:jc w:val="center"/>
        <w:rPr>
          <w:b/>
          <w:szCs w:val="20"/>
        </w:rPr>
      </w:pPr>
      <w:r>
        <w:rPr>
          <w:b/>
          <w:szCs w:val="20"/>
        </w:rPr>
        <w:object w:dxaOrig="14910" w:dyaOrig="8220">
          <v:shape id="_x0000_i1939" type="#_x0000_t75" style="width:795.75pt;height:396.75pt" o:ole="">
            <v:imagedata r:id="rId697" o:title=""/>
          </v:shape>
          <o:OLEObject Type="Link" ProgID="Excel.Sheet.12" ShapeID="_x0000_i1939" DrawAspect="Content" r:id="rId698" UpdateMode="Always">
            <o:LinkType>EnhancedMetaFile</o:LinkType>
            <o:LockedField>false</o:LockedField>
          </o:OLEObject>
        </w:object>
      </w:r>
    </w:p>
    <w:p w:rsidR="008671CE" w:rsidRDefault="008671CE" w:rsidP="00331B36">
      <w:pPr>
        <w:rPr>
          <w:b/>
          <w:szCs w:val="20"/>
        </w:rPr>
      </w:pPr>
    </w:p>
    <w:p w:rsidR="008671CE" w:rsidRDefault="008671CE" w:rsidP="008671CE">
      <w:pPr>
        <w:jc w:val="center"/>
        <w:rPr>
          <w:b/>
          <w:szCs w:val="20"/>
        </w:rPr>
      </w:pPr>
    </w:p>
    <w:p w:rsidR="008671CE" w:rsidRDefault="008671CE" w:rsidP="00331B36">
      <w:pPr>
        <w:rPr>
          <w:b/>
          <w:szCs w:val="20"/>
        </w:rPr>
      </w:pPr>
    </w:p>
    <w:p w:rsidR="008671CE" w:rsidRDefault="00B35FA3" w:rsidP="000C4F4A">
      <w:pPr>
        <w:jc w:val="center"/>
        <w:rPr>
          <w:b/>
          <w:szCs w:val="20"/>
        </w:rPr>
      </w:pPr>
      <w:r>
        <w:rPr>
          <w:b/>
          <w:szCs w:val="20"/>
        </w:rPr>
        <w:object w:dxaOrig="14910" w:dyaOrig="8220">
          <v:shape id="_x0000_i1941" type="#_x0000_t75" style="width:795.75pt;height:399.75pt" o:ole="">
            <v:imagedata r:id="rId699" o:title=""/>
          </v:shape>
          <o:OLEObject Type="Link" ProgID="Excel.Sheet.12" ShapeID="_x0000_i1941" DrawAspect="Content" r:id="rId700" UpdateMode="Always">
            <o:LinkType>EnhancedMetaFile</o:LinkType>
            <o:LockedField>false</o:LockedField>
          </o:OLEObject>
        </w:object>
      </w:r>
    </w:p>
    <w:p w:rsidR="008671CE" w:rsidRDefault="008671CE" w:rsidP="00331B36">
      <w:pPr>
        <w:rPr>
          <w:b/>
          <w:szCs w:val="20"/>
        </w:rPr>
      </w:pPr>
    </w:p>
    <w:p w:rsidR="008671CE" w:rsidRDefault="008671CE" w:rsidP="008671CE">
      <w:pPr>
        <w:jc w:val="center"/>
        <w:rPr>
          <w:b/>
          <w:szCs w:val="20"/>
        </w:rPr>
      </w:pPr>
    </w:p>
    <w:p w:rsidR="008671CE" w:rsidRDefault="008671CE" w:rsidP="00331B36">
      <w:pPr>
        <w:rPr>
          <w:b/>
          <w:szCs w:val="20"/>
        </w:rPr>
      </w:pPr>
    </w:p>
    <w:p w:rsidR="008671CE" w:rsidRDefault="008671CE" w:rsidP="00331B36">
      <w:pPr>
        <w:rPr>
          <w:b/>
          <w:szCs w:val="20"/>
        </w:rPr>
      </w:pPr>
    </w:p>
    <w:p w:rsidR="008671CE" w:rsidRDefault="00B35FA3" w:rsidP="000C4F4A">
      <w:pPr>
        <w:jc w:val="center"/>
        <w:rPr>
          <w:b/>
          <w:szCs w:val="20"/>
        </w:rPr>
      </w:pPr>
      <w:r>
        <w:rPr>
          <w:b/>
          <w:szCs w:val="20"/>
        </w:rPr>
        <w:object w:dxaOrig="14910" w:dyaOrig="9000">
          <v:shape id="_x0000_i1943" type="#_x0000_t75" style="width:795.75pt;height:435pt" o:ole="">
            <v:imagedata r:id="rId701" o:title=""/>
          </v:shape>
          <o:OLEObject Type="Link" ProgID="Excel.Sheet.12" ShapeID="_x0000_i1943" DrawAspect="Content" r:id="rId702" UpdateMode="Always">
            <o:LinkType>EnhancedMetaFile</o:LinkType>
            <o:LockedField>false</o:LockedField>
          </o:OLEObject>
        </w:object>
      </w:r>
    </w:p>
    <w:p w:rsidR="008671CE" w:rsidRDefault="00B35FA3" w:rsidP="00F56419">
      <w:pPr>
        <w:rPr>
          <w:b/>
          <w:szCs w:val="20"/>
        </w:rPr>
      </w:pPr>
      <w:r>
        <w:rPr>
          <w:b/>
          <w:szCs w:val="20"/>
        </w:rPr>
        <w:object w:dxaOrig="14910" w:dyaOrig="795">
          <v:shape id="_x0000_i1945" type="#_x0000_t75" style="width:795.75pt;height:38.25pt" o:ole="">
            <v:imagedata r:id="rId703" o:title=""/>
          </v:shape>
          <o:OLEObject Type="Link" ProgID="Excel.Sheet.12" ShapeID="_x0000_i1945" DrawAspect="Content" r:id="rId704" UpdateMode="Always">
            <o:LinkType>EnhancedMetaFile</o:LinkType>
            <o:LockedField>false</o:LockedField>
          </o:OLEObject>
        </w:object>
      </w:r>
    </w:p>
    <w:p w:rsidR="00391278" w:rsidRDefault="00391278" w:rsidP="00F56419">
      <w:pPr>
        <w:rPr>
          <w:b/>
          <w:szCs w:val="20"/>
        </w:rPr>
      </w:pPr>
    </w:p>
    <w:p w:rsidR="00331B36" w:rsidRPr="00FA3856" w:rsidRDefault="00331B36" w:rsidP="00331B36">
      <w:pPr>
        <w:rPr>
          <w:b/>
          <w:szCs w:val="20"/>
        </w:rPr>
      </w:pPr>
      <w:r w:rsidRPr="00FA3856">
        <w:rPr>
          <w:b/>
          <w:szCs w:val="20"/>
        </w:rPr>
        <w:t>I – Regras de Validação do Registro:</w:t>
      </w:r>
    </w:p>
    <w:p w:rsidR="00331B36" w:rsidRPr="00FA3856" w:rsidRDefault="00331B36" w:rsidP="00331B36">
      <w:pPr>
        <w:jc w:val="both"/>
        <w:rPr>
          <w:b/>
          <w:szCs w:val="20"/>
        </w:rPr>
      </w:pPr>
    </w:p>
    <w:p w:rsidR="00331B36" w:rsidRPr="00FA3856" w:rsidRDefault="00331B36" w:rsidP="00331B36">
      <w:pPr>
        <w:ind w:left="708"/>
        <w:jc w:val="both"/>
        <w:rPr>
          <w:b/>
          <w:bCs/>
          <w:szCs w:val="20"/>
        </w:rPr>
      </w:pPr>
      <w:r w:rsidRPr="00FA3856">
        <w:rPr>
          <w:b/>
          <w:bCs/>
          <w:szCs w:val="20"/>
        </w:rPr>
        <w:t xml:space="preserve">REGRA_UM_REGISTRO_X320: </w:t>
      </w:r>
      <w:r w:rsidRPr="00FA3856">
        <w:rPr>
          <w:szCs w:val="20"/>
        </w:rPr>
        <w:t>Verifica se existe somente um reg</w:t>
      </w:r>
      <w:r w:rsidR="00F66A79" w:rsidRPr="00FA3856">
        <w:rPr>
          <w:szCs w:val="20"/>
        </w:rPr>
        <w:t>istr</w:t>
      </w:r>
      <w:r w:rsidR="00733508" w:rsidRPr="00FA3856">
        <w:rPr>
          <w:szCs w:val="20"/>
        </w:rPr>
        <w:t xml:space="preserve">o X320 para X320.TIP_IMP </w:t>
      </w:r>
      <w:r w:rsidRPr="00FA3856">
        <w:rPr>
          <w:szCs w:val="20"/>
        </w:rPr>
        <w:t>igual a “</w:t>
      </w:r>
      <w:r w:rsidR="00921483" w:rsidRPr="00FA3856">
        <w:rPr>
          <w:szCs w:val="20"/>
        </w:rPr>
        <w:t>0</w:t>
      </w:r>
      <w:r w:rsidRPr="00FA3856">
        <w:rPr>
          <w:szCs w:val="20"/>
        </w:rPr>
        <w:t>5” (não especificadas). Se a regra não for cumprida, o sistema gera um erro.</w:t>
      </w:r>
    </w:p>
    <w:p w:rsidR="00331B36" w:rsidRPr="00FA3856" w:rsidRDefault="00331B36" w:rsidP="00331B36">
      <w:pPr>
        <w:ind w:firstLine="708"/>
        <w:jc w:val="both"/>
        <w:rPr>
          <w:b/>
          <w:bCs/>
          <w:szCs w:val="20"/>
        </w:rPr>
      </w:pPr>
    </w:p>
    <w:p w:rsidR="00331B36" w:rsidRPr="00FA3856" w:rsidRDefault="00331B36" w:rsidP="00331B36">
      <w:pPr>
        <w:ind w:left="708"/>
        <w:jc w:val="both"/>
        <w:rPr>
          <w:b/>
          <w:bCs/>
          <w:szCs w:val="20"/>
        </w:rPr>
      </w:pPr>
      <w:r w:rsidRPr="00FA3856">
        <w:rPr>
          <w:b/>
          <w:bCs/>
          <w:szCs w:val="20"/>
        </w:rPr>
        <w:t xml:space="preserve">REGRA_X330_NAO_PREENCHIDO: </w:t>
      </w:r>
      <w:r w:rsidRPr="00FA3856">
        <w:rPr>
          <w:szCs w:val="20"/>
        </w:rPr>
        <w:t>Verifica se, para cada registro X320 preenchido, existe pelo menos um registro X330 preenchido. Se a regra não for cumprida, o sistema gera um aviso.</w:t>
      </w:r>
    </w:p>
    <w:p w:rsidR="00331B36" w:rsidRPr="00FA3856" w:rsidRDefault="00331B36" w:rsidP="00331B36">
      <w:pPr>
        <w:jc w:val="both"/>
        <w:rPr>
          <w:b/>
          <w:bCs/>
          <w:szCs w:val="20"/>
        </w:rPr>
      </w:pPr>
    </w:p>
    <w:p w:rsidR="00331B36" w:rsidRPr="00FA3856" w:rsidRDefault="00331B36" w:rsidP="00331B36">
      <w:pPr>
        <w:ind w:left="708"/>
        <w:jc w:val="both"/>
        <w:rPr>
          <w:b/>
          <w:bCs/>
          <w:szCs w:val="20"/>
        </w:rPr>
      </w:pPr>
      <w:r w:rsidRPr="00FA3856">
        <w:rPr>
          <w:b/>
          <w:bCs/>
          <w:szCs w:val="20"/>
        </w:rPr>
        <w:t xml:space="preserve">REGRA_SOMATORIA_VALOR_OPERACAO: </w:t>
      </w:r>
      <w:r w:rsidRPr="00FA3856">
        <w:rPr>
          <w:bCs/>
          <w:szCs w:val="20"/>
        </w:rPr>
        <w:t>Verifica se o somatório dos registros filhos</w:t>
      </w:r>
      <w:r w:rsidRPr="00FA3856">
        <w:rPr>
          <w:szCs w:val="20"/>
        </w:rPr>
        <w:t xml:space="preserve"> X330.VL_</w:t>
      </w:r>
      <w:r w:rsidR="00AE7FBB" w:rsidRPr="00FA3856">
        <w:rPr>
          <w:szCs w:val="20"/>
        </w:rPr>
        <w:t>OPER é</w:t>
      </w:r>
      <w:r w:rsidRPr="00FA3856">
        <w:rPr>
          <w:szCs w:val="20"/>
        </w:rPr>
        <w:t xml:space="preserve"> igual a </w:t>
      </w:r>
      <w:r w:rsidR="00733508" w:rsidRPr="00FA3856">
        <w:rPr>
          <w:szCs w:val="20"/>
        </w:rPr>
        <w:t>X320.TOT_OPER</w:t>
      </w:r>
      <w:r w:rsidRPr="00FA3856">
        <w:rPr>
          <w:szCs w:val="20"/>
        </w:rPr>
        <w:t>. Se a regra não for cumprida, o sistema gera um aviso.</w:t>
      </w:r>
    </w:p>
    <w:p w:rsidR="00331B36" w:rsidRPr="00FA3856" w:rsidRDefault="00331B36" w:rsidP="00331B36">
      <w:pPr>
        <w:jc w:val="both"/>
        <w:rPr>
          <w:b/>
          <w:bCs/>
          <w:szCs w:val="20"/>
        </w:rPr>
      </w:pPr>
    </w:p>
    <w:p w:rsidR="00331B36" w:rsidRPr="00FA3856" w:rsidRDefault="00331B36" w:rsidP="00331B36">
      <w:pPr>
        <w:ind w:left="708"/>
        <w:jc w:val="both"/>
        <w:rPr>
          <w:b/>
          <w:bCs/>
          <w:szCs w:val="20"/>
        </w:rPr>
      </w:pPr>
      <w:r w:rsidRPr="00FA3856">
        <w:rPr>
          <w:b/>
          <w:bCs/>
          <w:szCs w:val="20"/>
        </w:rPr>
        <w:t xml:space="preserve">REGRA_TOT_OPER_NAO_ESPECIFICADA: </w:t>
      </w:r>
      <w:r w:rsidR="00F66A79" w:rsidRPr="00FA3856">
        <w:rPr>
          <w:bCs/>
          <w:szCs w:val="20"/>
        </w:rPr>
        <w:t>V</w:t>
      </w:r>
      <w:r w:rsidR="00733508" w:rsidRPr="00FA3856">
        <w:rPr>
          <w:bCs/>
          <w:szCs w:val="20"/>
        </w:rPr>
        <w:t>erifica se X320.TOT_OPER</w:t>
      </w:r>
      <w:r w:rsidRPr="00FA3856">
        <w:rPr>
          <w:bCs/>
          <w:szCs w:val="20"/>
        </w:rPr>
        <w:t xml:space="preserve">, quando </w:t>
      </w:r>
      <w:r w:rsidR="00733508" w:rsidRPr="00FA3856">
        <w:rPr>
          <w:bCs/>
          <w:szCs w:val="20"/>
        </w:rPr>
        <w:t xml:space="preserve">X320.TIP_IMP </w:t>
      </w:r>
      <w:r w:rsidRPr="00FA3856">
        <w:rPr>
          <w:bCs/>
          <w:szCs w:val="20"/>
        </w:rPr>
        <w:t>é igual a “</w:t>
      </w:r>
      <w:r w:rsidR="00491DBB" w:rsidRPr="00FA3856">
        <w:rPr>
          <w:bCs/>
          <w:szCs w:val="20"/>
        </w:rPr>
        <w:t>0</w:t>
      </w:r>
      <w:r w:rsidRPr="00FA3856">
        <w:rPr>
          <w:bCs/>
          <w:szCs w:val="20"/>
        </w:rPr>
        <w:t>5” (não especificadas), é maior que 20% d</w:t>
      </w:r>
      <w:r w:rsidR="00F66A79" w:rsidRPr="00FA3856">
        <w:rPr>
          <w:bCs/>
          <w:szCs w:val="20"/>
        </w:rPr>
        <w:t>o so</w:t>
      </w:r>
      <w:r w:rsidR="00733508" w:rsidRPr="00FA3856">
        <w:rPr>
          <w:bCs/>
          <w:szCs w:val="20"/>
        </w:rPr>
        <w:t xml:space="preserve">matório de X320.TOT_OPER </w:t>
      </w:r>
      <w:r w:rsidRPr="00FA3856">
        <w:rPr>
          <w:bCs/>
          <w:szCs w:val="20"/>
        </w:rPr>
        <w:t xml:space="preserve">e </w:t>
      </w:r>
      <w:r w:rsidR="00F66A79" w:rsidRPr="00FA3856">
        <w:rPr>
          <w:bCs/>
          <w:szCs w:val="20"/>
        </w:rPr>
        <w:t>X320.</w:t>
      </w:r>
      <w:r w:rsidR="00733508" w:rsidRPr="00FA3856">
        <w:rPr>
          <w:bCs/>
          <w:szCs w:val="20"/>
        </w:rPr>
        <w:t>VL_JUR</w:t>
      </w:r>
      <w:r w:rsidR="00921483" w:rsidRPr="00FA3856">
        <w:rPr>
          <w:bCs/>
          <w:szCs w:val="20"/>
        </w:rPr>
        <w:t xml:space="preserve"> dos tipos “</w:t>
      </w:r>
      <w:r w:rsidR="00491DBB" w:rsidRPr="00FA3856">
        <w:rPr>
          <w:bCs/>
          <w:szCs w:val="20"/>
        </w:rPr>
        <w:t>0</w:t>
      </w:r>
      <w:r w:rsidR="00921483" w:rsidRPr="00FA3856">
        <w:rPr>
          <w:bCs/>
          <w:szCs w:val="20"/>
        </w:rPr>
        <w:t>1” a “</w:t>
      </w:r>
      <w:r w:rsidR="00491DBB" w:rsidRPr="00FA3856">
        <w:rPr>
          <w:bCs/>
          <w:szCs w:val="20"/>
        </w:rPr>
        <w:t>0</w:t>
      </w:r>
      <w:r w:rsidR="00921483" w:rsidRPr="00FA3856">
        <w:rPr>
          <w:bCs/>
          <w:szCs w:val="20"/>
        </w:rPr>
        <w:t>4”</w:t>
      </w:r>
      <w:r w:rsidRPr="00FA3856">
        <w:rPr>
          <w:bCs/>
          <w:szCs w:val="20"/>
        </w:rPr>
        <w:t xml:space="preserve">. </w:t>
      </w:r>
      <w:r w:rsidRPr="00FA3856">
        <w:rPr>
          <w:szCs w:val="20"/>
        </w:rPr>
        <w:t>Se a regra não for cumprida, o sistema gera um aviso.</w:t>
      </w:r>
    </w:p>
    <w:p w:rsidR="00F66A79" w:rsidRPr="00FA3856" w:rsidRDefault="00F66A79" w:rsidP="00BA50E9">
      <w:pPr>
        <w:rPr>
          <w:b/>
          <w:szCs w:val="20"/>
        </w:rPr>
      </w:pPr>
    </w:p>
    <w:p w:rsidR="003266F0" w:rsidRPr="00FA3856" w:rsidRDefault="00331B36" w:rsidP="00BA50E9">
      <w:pPr>
        <w:rPr>
          <w:b/>
          <w:szCs w:val="20"/>
        </w:rPr>
      </w:pPr>
      <w:r w:rsidRPr="00FA3856">
        <w:rPr>
          <w:b/>
          <w:szCs w:val="20"/>
        </w:rPr>
        <w:t>I</w:t>
      </w:r>
      <w:r w:rsidR="00BA50E9" w:rsidRPr="00FA3856">
        <w:rPr>
          <w:b/>
          <w:szCs w:val="20"/>
        </w:rPr>
        <w:t>I – Regras d</w:t>
      </w:r>
      <w:r w:rsidR="007C7CBD" w:rsidRPr="00FA3856">
        <w:rPr>
          <w:b/>
          <w:szCs w:val="20"/>
        </w:rPr>
        <w:t>e Validação de Campos:</w:t>
      </w:r>
    </w:p>
    <w:p w:rsidR="00770A40" w:rsidRPr="00FA3856" w:rsidRDefault="00770A40" w:rsidP="00BA50E9">
      <w:pPr>
        <w:rPr>
          <w:b/>
          <w:szCs w:val="20"/>
        </w:rPr>
      </w:pPr>
    </w:p>
    <w:tbl>
      <w:tblPr>
        <w:tblW w:w="16370"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85"/>
        <w:gridCol w:w="3000"/>
        <w:gridCol w:w="12168"/>
        <w:gridCol w:w="717"/>
      </w:tblGrid>
      <w:tr w:rsidR="003266F0" w:rsidRPr="00FA3856" w:rsidTr="00170D01">
        <w:trPr>
          <w:jc w:val="center"/>
        </w:trPr>
        <w:tc>
          <w:tcPr>
            <w:tcW w:w="485" w:type="dxa"/>
            <w:tcBorders>
              <w:top w:val="single" w:sz="6" w:space="0" w:color="auto"/>
              <w:left w:val="single" w:sz="6" w:space="0" w:color="auto"/>
              <w:bottom w:val="single" w:sz="6" w:space="0" w:color="auto"/>
              <w:right w:val="single" w:sz="6" w:space="0" w:color="auto"/>
            </w:tcBorders>
            <w:shd w:val="pct10" w:color="auto" w:fill="FFFFFF"/>
          </w:tcPr>
          <w:p w:rsidR="003266F0" w:rsidRPr="00FA3856" w:rsidRDefault="003266F0" w:rsidP="003266F0">
            <w:pPr>
              <w:pStyle w:val="PSDS-CorpodeTexto0"/>
              <w:jc w:val="center"/>
              <w:rPr>
                <w:rFonts w:ascii="Times New Roman" w:hAnsi="Times New Roman"/>
                <w:b/>
                <w:bCs/>
              </w:rPr>
            </w:pPr>
            <w:r w:rsidRPr="00FA3856">
              <w:rPr>
                <w:rFonts w:ascii="Times New Roman" w:hAnsi="Times New Roman"/>
                <w:b/>
                <w:bCs/>
              </w:rPr>
              <w:t>Nº</w:t>
            </w:r>
          </w:p>
        </w:tc>
        <w:tc>
          <w:tcPr>
            <w:tcW w:w="3000" w:type="dxa"/>
            <w:tcBorders>
              <w:top w:val="single" w:sz="6" w:space="0" w:color="auto"/>
              <w:left w:val="single" w:sz="6" w:space="0" w:color="auto"/>
              <w:bottom w:val="single" w:sz="6" w:space="0" w:color="auto"/>
              <w:right w:val="single" w:sz="6" w:space="0" w:color="auto"/>
            </w:tcBorders>
            <w:shd w:val="pct10" w:color="auto" w:fill="FFFFFF"/>
          </w:tcPr>
          <w:p w:rsidR="003266F0" w:rsidRPr="00FA3856" w:rsidRDefault="003266F0" w:rsidP="003266F0">
            <w:pPr>
              <w:pStyle w:val="PSDS-CorpodeTexto0"/>
              <w:jc w:val="center"/>
              <w:rPr>
                <w:rFonts w:ascii="Times New Roman" w:hAnsi="Times New Roman"/>
                <w:b/>
                <w:bCs/>
              </w:rPr>
            </w:pPr>
            <w:r w:rsidRPr="00FA3856">
              <w:rPr>
                <w:rFonts w:ascii="Times New Roman" w:hAnsi="Times New Roman"/>
                <w:b/>
                <w:bCs/>
              </w:rPr>
              <w:t>Campo</w:t>
            </w:r>
          </w:p>
        </w:tc>
        <w:tc>
          <w:tcPr>
            <w:tcW w:w="12168" w:type="dxa"/>
            <w:tcBorders>
              <w:top w:val="single" w:sz="6" w:space="0" w:color="auto"/>
              <w:left w:val="single" w:sz="6" w:space="0" w:color="auto"/>
              <w:bottom w:val="single" w:sz="6" w:space="0" w:color="auto"/>
              <w:right w:val="single" w:sz="6" w:space="0" w:color="auto"/>
            </w:tcBorders>
            <w:shd w:val="pct10" w:color="auto" w:fill="FFFFFF"/>
          </w:tcPr>
          <w:p w:rsidR="003266F0" w:rsidRPr="00FA3856" w:rsidRDefault="003266F0" w:rsidP="003266F0">
            <w:pPr>
              <w:pStyle w:val="PSDS-CorpodeTexto0"/>
              <w:jc w:val="center"/>
              <w:rPr>
                <w:rFonts w:ascii="Times New Roman" w:hAnsi="Times New Roman"/>
                <w:b/>
                <w:bCs/>
              </w:rPr>
            </w:pPr>
            <w:r w:rsidRPr="00FA3856">
              <w:rPr>
                <w:rFonts w:ascii="Times New Roman" w:hAnsi="Times New Roman"/>
                <w:b/>
                <w:bCs/>
              </w:rPr>
              <w:t>Regras de Validação do Campo</w:t>
            </w:r>
          </w:p>
        </w:tc>
        <w:tc>
          <w:tcPr>
            <w:tcW w:w="717" w:type="dxa"/>
            <w:tcBorders>
              <w:top w:val="single" w:sz="6" w:space="0" w:color="auto"/>
              <w:left w:val="single" w:sz="6" w:space="0" w:color="auto"/>
              <w:bottom w:val="single" w:sz="6" w:space="0" w:color="auto"/>
              <w:right w:val="single" w:sz="6" w:space="0" w:color="auto"/>
            </w:tcBorders>
            <w:shd w:val="pct10" w:color="auto" w:fill="FFFFFF"/>
          </w:tcPr>
          <w:p w:rsidR="003266F0" w:rsidRPr="00FA3856" w:rsidRDefault="003266F0" w:rsidP="003266F0">
            <w:pPr>
              <w:pStyle w:val="PSDS-CorpodeTexto0"/>
              <w:jc w:val="center"/>
              <w:rPr>
                <w:rFonts w:ascii="Times New Roman" w:hAnsi="Times New Roman"/>
                <w:b/>
                <w:bCs/>
              </w:rPr>
            </w:pPr>
            <w:r w:rsidRPr="00FA3856">
              <w:rPr>
                <w:rFonts w:ascii="Times New Roman" w:hAnsi="Times New Roman"/>
                <w:b/>
                <w:bCs/>
              </w:rPr>
              <w:t>Tipo</w:t>
            </w:r>
          </w:p>
        </w:tc>
      </w:tr>
      <w:tr w:rsidR="003266F0" w:rsidRPr="00FA3856" w:rsidTr="00170D01">
        <w:trPr>
          <w:jc w:val="center"/>
        </w:trPr>
        <w:tc>
          <w:tcPr>
            <w:tcW w:w="485" w:type="dxa"/>
            <w:tcBorders>
              <w:top w:val="single" w:sz="6" w:space="0" w:color="auto"/>
              <w:left w:val="single" w:sz="6" w:space="0" w:color="auto"/>
              <w:bottom w:val="single" w:sz="6" w:space="0" w:color="auto"/>
              <w:right w:val="single" w:sz="6" w:space="0" w:color="auto"/>
            </w:tcBorders>
          </w:tcPr>
          <w:p w:rsidR="003266F0" w:rsidRPr="00FA3856" w:rsidRDefault="003266F0" w:rsidP="003266F0">
            <w:pPr>
              <w:pStyle w:val="PSDS-CorpodeTexto0"/>
              <w:suppressAutoHyphens w:val="0"/>
              <w:rPr>
                <w:rFonts w:ascii="Times New Roman" w:hAnsi="Times New Roman"/>
                <w:b/>
                <w:bCs/>
                <w:lang w:val="pt-PT"/>
              </w:rPr>
            </w:pPr>
            <w:r w:rsidRPr="00FA3856">
              <w:rPr>
                <w:rFonts w:ascii="Times New Roman" w:hAnsi="Times New Roman"/>
                <w:b/>
                <w:bCs/>
                <w:lang w:val="pt-PT"/>
              </w:rPr>
              <w:t>4</w:t>
            </w:r>
          </w:p>
        </w:tc>
        <w:tc>
          <w:tcPr>
            <w:tcW w:w="3000" w:type="dxa"/>
            <w:tcBorders>
              <w:top w:val="single" w:sz="6" w:space="0" w:color="auto"/>
              <w:left w:val="single" w:sz="6" w:space="0" w:color="auto"/>
              <w:bottom w:val="single" w:sz="6" w:space="0" w:color="auto"/>
              <w:right w:val="single" w:sz="6" w:space="0" w:color="auto"/>
            </w:tcBorders>
          </w:tcPr>
          <w:p w:rsidR="003266F0" w:rsidRPr="00FA3856" w:rsidRDefault="003266F0" w:rsidP="003266F0">
            <w:pPr>
              <w:pStyle w:val="PSDS-CorpodeTexto0"/>
              <w:rPr>
                <w:rFonts w:ascii="Times New Roman" w:hAnsi="Times New Roman"/>
                <w:lang w:val="pt-PT"/>
              </w:rPr>
            </w:pPr>
            <w:r w:rsidRPr="00FA3856">
              <w:rPr>
                <w:rFonts w:ascii="Times New Roman" w:hAnsi="Times New Roman"/>
                <w:lang w:val="pt-PT"/>
              </w:rPr>
              <w:t>DESC_IMP</w:t>
            </w:r>
          </w:p>
        </w:tc>
        <w:tc>
          <w:tcPr>
            <w:tcW w:w="12168" w:type="dxa"/>
            <w:tcBorders>
              <w:top w:val="single" w:sz="6" w:space="0" w:color="auto"/>
              <w:left w:val="single" w:sz="6" w:space="0" w:color="auto"/>
              <w:bottom w:val="single" w:sz="6" w:space="0" w:color="auto"/>
              <w:right w:val="single" w:sz="6" w:space="0" w:color="auto"/>
            </w:tcBorders>
          </w:tcPr>
          <w:p w:rsidR="003266F0" w:rsidRPr="00FA3856" w:rsidRDefault="003266F0" w:rsidP="00733508">
            <w:pPr>
              <w:pStyle w:val="PSDS-CorpodeTexto0"/>
              <w:jc w:val="both"/>
              <w:rPr>
                <w:rFonts w:ascii="Times New Roman" w:hAnsi="Times New Roman"/>
              </w:rPr>
            </w:pPr>
            <w:r w:rsidRPr="00FA3856">
              <w:rPr>
                <w:rFonts w:ascii="Times New Roman" w:hAnsi="Times New Roman"/>
                <w:b/>
              </w:rPr>
              <w:t>REGRA_</w:t>
            </w:r>
            <w:r w:rsidR="00D4672C" w:rsidRPr="00FA3856">
              <w:rPr>
                <w:rFonts w:ascii="Times New Roman" w:hAnsi="Times New Roman"/>
                <w:b/>
              </w:rPr>
              <w:t>DESC</w:t>
            </w:r>
            <w:r w:rsidRPr="00FA3856">
              <w:rPr>
                <w:rFonts w:ascii="Times New Roman" w:hAnsi="Times New Roman"/>
                <w:b/>
              </w:rPr>
              <w:t xml:space="preserve">_IMP_OBRIGATORIO: </w:t>
            </w:r>
            <w:r w:rsidRPr="00FA3856">
              <w:rPr>
                <w:rFonts w:ascii="Times New Roman" w:hAnsi="Times New Roman"/>
              </w:rPr>
              <w:t xml:space="preserve">Verifica se </w:t>
            </w:r>
            <w:r w:rsidR="00F66A79" w:rsidRPr="00FA3856">
              <w:rPr>
                <w:rFonts w:ascii="Times New Roman" w:hAnsi="Times New Roman"/>
              </w:rPr>
              <w:t xml:space="preserve">X320.DESC_EXP </w:t>
            </w:r>
            <w:r w:rsidRPr="00FA3856">
              <w:rPr>
                <w:rFonts w:ascii="Times New Roman" w:hAnsi="Times New Roman"/>
              </w:rPr>
              <w:t xml:space="preserve">está preenchido quando </w:t>
            </w:r>
            <w:r w:rsidR="00F66A79" w:rsidRPr="00FA3856">
              <w:rPr>
                <w:rFonts w:ascii="Times New Roman" w:hAnsi="Times New Roman"/>
              </w:rPr>
              <w:t xml:space="preserve">X320.TIP_IMP </w:t>
            </w:r>
            <w:r w:rsidRPr="00FA3856">
              <w:rPr>
                <w:rFonts w:ascii="Times New Roman" w:hAnsi="Times New Roman"/>
              </w:rPr>
              <w:t>igual a “1” (bens) ou “2” (serviços) ou “3” (direitos).</w:t>
            </w:r>
          </w:p>
        </w:tc>
        <w:tc>
          <w:tcPr>
            <w:tcW w:w="717" w:type="dxa"/>
            <w:tcBorders>
              <w:top w:val="single" w:sz="6" w:space="0" w:color="auto"/>
              <w:left w:val="single" w:sz="6" w:space="0" w:color="auto"/>
              <w:bottom w:val="single" w:sz="6" w:space="0" w:color="auto"/>
              <w:right w:val="single" w:sz="6" w:space="0" w:color="auto"/>
            </w:tcBorders>
          </w:tcPr>
          <w:p w:rsidR="003266F0" w:rsidRPr="00FA3856" w:rsidRDefault="003266F0" w:rsidP="003266F0">
            <w:pPr>
              <w:pStyle w:val="PSDS-CorpodeTexto0"/>
              <w:rPr>
                <w:rFonts w:ascii="Times New Roman" w:hAnsi="Times New Roman"/>
                <w:lang w:val="pt-PT"/>
              </w:rPr>
            </w:pPr>
            <w:r w:rsidRPr="00FA3856">
              <w:rPr>
                <w:rFonts w:ascii="Times New Roman" w:hAnsi="Times New Roman"/>
                <w:lang w:val="pt-PT"/>
              </w:rPr>
              <w:t>Erro</w:t>
            </w:r>
          </w:p>
          <w:p w:rsidR="003266F0" w:rsidRPr="00FA3856" w:rsidRDefault="003266F0" w:rsidP="003266F0">
            <w:pPr>
              <w:pStyle w:val="PSDS-CorpodeTexto0"/>
              <w:rPr>
                <w:rFonts w:ascii="Times New Roman" w:hAnsi="Times New Roman"/>
                <w:lang w:val="pt-PT"/>
              </w:rPr>
            </w:pPr>
          </w:p>
        </w:tc>
      </w:tr>
      <w:tr w:rsidR="003266F0" w:rsidRPr="00FA3856" w:rsidTr="00170D01">
        <w:trPr>
          <w:jc w:val="center"/>
        </w:trPr>
        <w:tc>
          <w:tcPr>
            <w:tcW w:w="485" w:type="dxa"/>
            <w:tcBorders>
              <w:top w:val="single" w:sz="6" w:space="0" w:color="auto"/>
              <w:left w:val="single" w:sz="6" w:space="0" w:color="auto"/>
              <w:bottom w:val="single" w:sz="6" w:space="0" w:color="auto"/>
              <w:right w:val="single" w:sz="6" w:space="0" w:color="auto"/>
            </w:tcBorders>
          </w:tcPr>
          <w:p w:rsidR="003266F0" w:rsidRPr="00FA3856" w:rsidRDefault="003266F0" w:rsidP="003266F0">
            <w:pPr>
              <w:pStyle w:val="PSDS-CorpodeTexto0"/>
              <w:suppressAutoHyphens w:val="0"/>
              <w:rPr>
                <w:rFonts w:ascii="Times New Roman" w:hAnsi="Times New Roman"/>
                <w:b/>
                <w:bCs/>
                <w:lang w:val="pt-PT"/>
              </w:rPr>
            </w:pPr>
            <w:r w:rsidRPr="00FA3856">
              <w:rPr>
                <w:rFonts w:ascii="Times New Roman" w:hAnsi="Times New Roman"/>
                <w:b/>
                <w:bCs/>
                <w:lang w:val="pt-PT"/>
              </w:rPr>
              <w:t>5</w:t>
            </w:r>
          </w:p>
        </w:tc>
        <w:tc>
          <w:tcPr>
            <w:tcW w:w="3000" w:type="dxa"/>
            <w:tcBorders>
              <w:top w:val="single" w:sz="6" w:space="0" w:color="auto"/>
              <w:left w:val="single" w:sz="6" w:space="0" w:color="auto"/>
              <w:bottom w:val="single" w:sz="6" w:space="0" w:color="auto"/>
              <w:right w:val="single" w:sz="6" w:space="0" w:color="auto"/>
            </w:tcBorders>
          </w:tcPr>
          <w:p w:rsidR="003266F0" w:rsidRPr="00FA3856" w:rsidRDefault="003266F0" w:rsidP="003266F0">
            <w:pPr>
              <w:pStyle w:val="PSDS-CorpodeTexto0"/>
              <w:rPr>
                <w:rFonts w:ascii="Times New Roman" w:hAnsi="Times New Roman"/>
              </w:rPr>
            </w:pPr>
            <w:r w:rsidRPr="00FA3856">
              <w:rPr>
                <w:rFonts w:ascii="Times New Roman" w:hAnsi="Times New Roman"/>
              </w:rPr>
              <w:t>TOT_OPER</w:t>
            </w:r>
          </w:p>
        </w:tc>
        <w:tc>
          <w:tcPr>
            <w:tcW w:w="12168" w:type="dxa"/>
            <w:tcBorders>
              <w:top w:val="single" w:sz="6" w:space="0" w:color="auto"/>
              <w:left w:val="single" w:sz="6" w:space="0" w:color="auto"/>
              <w:bottom w:val="single" w:sz="6" w:space="0" w:color="auto"/>
              <w:right w:val="single" w:sz="6" w:space="0" w:color="auto"/>
            </w:tcBorders>
          </w:tcPr>
          <w:p w:rsidR="000C1BA6" w:rsidRPr="00FA3856" w:rsidRDefault="003266F0" w:rsidP="00733508">
            <w:pPr>
              <w:pStyle w:val="Corpodetexto"/>
              <w:rPr>
                <w:rFonts w:ascii="Times New Roman" w:hAnsi="Times New Roman"/>
                <w:szCs w:val="20"/>
              </w:rPr>
            </w:pPr>
            <w:r w:rsidRPr="00FA3856">
              <w:rPr>
                <w:rFonts w:ascii="Times New Roman" w:hAnsi="Times New Roman"/>
                <w:b/>
                <w:bCs/>
                <w:szCs w:val="20"/>
              </w:rPr>
              <w:t>REGRA_TOT_OPER_OBRIGATORIO</w:t>
            </w:r>
            <w:r w:rsidR="00D4672C" w:rsidRPr="00FA3856">
              <w:rPr>
                <w:rFonts w:ascii="Times New Roman" w:hAnsi="Times New Roman"/>
                <w:b/>
                <w:bCs/>
                <w:szCs w:val="20"/>
              </w:rPr>
              <w:t>_X320</w:t>
            </w:r>
            <w:r w:rsidRPr="00FA3856">
              <w:rPr>
                <w:rFonts w:ascii="Times New Roman" w:hAnsi="Times New Roman"/>
                <w:b/>
                <w:bCs/>
                <w:szCs w:val="20"/>
              </w:rPr>
              <w:t xml:space="preserve">: </w:t>
            </w:r>
            <w:r w:rsidRPr="00FA3856">
              <w:rPr>
                <w:rFonts w:ascii="Times New Roman" w:hAnsi="Times New Roman"/>
                <w:bCs/>
                <w:szCs w:val="20"/>
              </w:rPr>
              <w:t xml:space="preserve">Verifica se </w:t>
            </w:r>
            <w:r w:rsidR="00F66A79" w:rsidRPr="00FA3856">
              <w:rPr>
                <w:rFonts w:ascii="Times New Roman" w:hAnsi="Times New Roman"/>
                <w:bCs/>
                <w:szCs w:val="20"/>
              </w:rPr>
              <w:t>X320.</w:t>
            </w:r>
            <w:r w:rsidRPr="00FA3856">
              <w:rPr>
                <w:rFonts w:ascii="Times New Roman" w:hAnsi="Times New Roman"/>
                <w:bCs/>
                <w:szCs w:val="20"/>
              </w:rPr>
              <w:t>TOT_OPER</w:t>
            </w:r>
            <w:r w:rsidR="00733508" w:rsidRPr="00FA3856">
              <w:rPr>
                <w:rFonts w:ascii="Times New Roman" w:hAnsi="Times New Roman"/>
                <w:bCs/>
                <w:szCs w:val="20"/>
              </w:rPr>
              <w:t xml:space="preserve"> </w:t>
            </w:r>
            <w:r w:rsidRPr="00FA3856">
              <w:rPr>
                <w:rFonts w:ascii="Times New Roman" w:hAnsi="Times New Roman"/>
                <w:bCs/>
                <w:szCs w:val="20"/>
              </w:rPr>
              <w:t xml:space="preserve">está preenchido quando </w:t>
            </w:r>
            <w:r w:rsidR="00F66A79" w:rsidRPr="00FA3856">
              <w:rPr>
                <w:rFonts w:ascii="Times New Roman" w:hAnsi="Times New Roman"/>
                <w:bCs/>
                <w:szCs w:val="20"/>
              </w:rPr>
              <w:t>X320.</w:t>
            </w:r>
            <w:r w:rsidR="00733508" w:rsidRPr="00FA3856">
              <w:rPr>
                <w:rFonts w:ascii="Times New Roman" w:hAnsi="Times New Roman"/>
                <w:szCs w:val="20"/>
              </w:rPr>
              <w:t xml:space="preserve">TIP_IMP </w:t>
            </w:r>
            <w:r w:rsidRPr="00FA3856">
              <w:rPr>
                <w:rFonts w:ascii="Times New Roman" w:hAnsi="Times New Roman"/>
                <w:szCs w:val="20"/>
              </w:rPr>
              <w:t>igual a “1” (bens) ou “2” (serviços) ou “3” (direit</w:t>
            </w:r>
            <w:r w:rsidR="00331B36" w:rsidRPr="00FA3856">
              <w:rPr>
                <w:rFonts w:ascii="Times New Roman" w:hAnsi="Times New Roman"/>
                <w:szCs w:val="20"/>
              </w:rPr>
              <w:t>os) ou “5” (não especificadas).</w:t>
            </w:r>
          </w:p>
        </w:tc>
        <w:tc>
          <w:tcPr>
            <w:tcW w:w="717" w:type="dxa"/>
            <w:tcBorders>
              <w:top w:val="single" w:sz="6" w:space="0" w:color="auto"/>
              <w:left w:val="single" w:sz="6" w:space="0" w:color="auto"/>
              <w:bottom w:val="single" w:sz="6" w:space="0" w:color="auto"/>
              <w:right w:val="single" w:sz="6" w:space="0" w:color="auto"/>
            </w:tcBorders>
          </w:tcPr>
          <w:p w:rsidR="003266F0" w:rsidRPr="00FA3856" w:rsidRDefault="003266F0" w:rsidP="003266F0">
            <w:pPr>
              <w:pStyle w:val="PSDS-CorpodeTexto0"/>
              <w:rPr>
                <w:rFonts w:ascii="Times New Roman" w:hAnsi="Times New Roman"/>
              </w:rPr>
            </w:pPr>
            <w:r w:rsidRPr="00FA3856">
              <w:rPr>
                <w:rFonts w:ascii="Times New Roman" w:hAnsi="Times New Roman"/>
              </w:rPr>
              <w:t>Erro</w:t>
            </w:r>
          </w:p>
          <w:p w:rsidR="003266F0" w:rsidRPr="00FA3856" w:rsidRDefault="003266F0" w:rsidP="003266F0">
            <w:pPr>
              <w:pStyle w:val="PSDS-CorpodeTexto0"/>
              <w:rPr>
                <w:rFonts w:ascii="Times New Roman" w:hAnsi="Times New Roman"/>
              </w:rPr>
            </w:pPr>
          </w:p>
        </w:tc>
      </w:tr>
      <w:tr w:rsidR="003266F0" w:rsidRPr="00FA3856" w:rsidTr="00170D01">
        <w:trPr>
          <w:jc w:val="center"/>
        </w:trPr>
        <w:tc>
          <w:tcPr>
            <w:tcW w:w="485" w:type="dxa"/>
            <w:tcBorders>
              <w:top w:val="single" w:sz="6" w:space="0" w:color="auto"/>
              <w:left w:val="single" w:sz="6" w:space="0" w:color="auto"/>
              <w:bottom w:val="single" w:sz="6" w:space="0" w:color="auto"/>
              <w:right w:val="single" w:sz="6" w:space="0" w:color="auto"/>
            </w:tcBorders>
          </w:tcPr>
          <w:p w:rsidR="003266F0" w:rsidRPr="00FA3856" w:rsidRDefault="003266F0" w:rsidP="003266F0">
            <w:pPr>
              <w:pStyle w:val="PSDS-CorpodeTexto0"/>
              <w:suppressAutoHyphens w:val="0"/>
              <w:rPr>
                <w:rFonts w:ascii="Times New Roman" w:hAnsi="Times New Roman"/>
                <w:b/>
                <w:bCs/>
                <w:lang w:val="pt-PT"/>
              </w:rPr>
            </w:pPr>
            <w:r w:rsidRPr="00FA3856">
              <w:rPr>
                <w:rFonts w:ascii="Times New Roman" w:hAnsi="Times New Roman"/>
                <w:b/>
                <w:bCs/>
                <w:lang w:val="pt-PT"/>
              </w:rPr>
              <w:t>6</w:t>
            </w:r>
          </w:p>
        </w:tc>
        <w:tc>
          <w:tcPr>
            <w:tcW w:w="3000" w:type="dxa"/>
            <w:tcBorders>
              <w:top w:val="single" w:sz="6" w:space="0" w:color="auto"/>
              <w:left w:val="single" w:sz="6" w:space="0" w:color="auto"/>
              <w:bottom w:val="single" w:sz="6" w:space="0" w:color="auto"/>
              <w:right w:val="single" w:sz="6" w:space="0" w:color="auto"/>
            </w:tcBorders>
          </w:tcPr>
          <w:p w:rsidR="003266F0" w:rsidRPr="00FA3856" w:rsidRDefault="003266F0" w:rsidP="003266F0">
            <w:pPr>
              <w:pStyle w:val="PSDS-CorpodeTexto0"/>
              <w:rPr>
                <w:rFonts w:ascii="Times New Roman" w:hAnsi="Times New Roman"/>
                <w:lang w:val="pt-PT"/>
              </w:rPr>
            </w:pPr>
            <w:r w:rsidRPr="00FA3856">
              <w:rPr>
                <w:rFonts w:ascii="Times New Roman" w:hAnsi="Times New Roman"/>
                <w:lang w:val="pt-PT"/>
              </w:rPr>
              <w:t>COD_NCM</w:t>
            </w:r>
          </w:p>
        </w:tc>
        <w:tc>
          <w:tcPr>
            <w:tcW w:w="12168" w:type="dxa"/>
            <w:tcBorders>
              <w:top w:val="single" w:sz="6" w:space="0" w:color="auto"/>
              <w:left w:val="single" w:sz="6" w:space="0" w:color="auto"/>
              <w:bottom w:val="single" w:sz="6" w:space="0" w:color="auto"/>
              <w:right w:val="single" w:sz="6" w:space="0" w:color="auto"/>
            </w:tcBorders>
          </w:tcPr>
          <w:p w:rsidR="003266F0" w:rsidRPr="00FA3856" w:rsidRDefault="003266F0" w:rsidP="003B703D">
            <w:pPr>
              <w:pStyle w:val="PSDS-CorpodeTexto0"/>
              <w:jc w:val="both"/>
              <w:rPr>
                <w:rFonts w:ascii="Times New Roman" w:hAnsi="Times New Roman"/>
                <w:b/>
                <w:bCs/>
                <w:lang w:val="pt-PT"/>
              </w:rPr>
            </w:pPr>
            <w:r w:rsidRPr="00FA3856">
              <w:rPr>
                <w:rFonts w:ascii="Times New Roman" w:hAnsi="Times New Roman"/>
                <w:b/>
              </w:rPr>
              <w:t>REGRA_</w:t>
            </w:r>
            <w:r w:rsidR="003B703D" w:rsidRPr="00FA3856">
              <w:rPr>
                <w:rFonts w:ascii="Times New Roman" w:hAnsi="Times New Roman"/>
                <w:b/>
              </w:rPr>
              <w:t>COD_NCM_OBRIGATORIO</w:t>
            </w:r>
            <w:r w:rsidRPr="00FA3856">
              <w:rPr>
                <w:rFonts w:ascii="Times New Roman" w:hAnsi="Times New Roman"/>
                <w:b/>
              </w:rPr>
              <w:t xml:space="preserve">: </w:t>
            </w:r>
            <w:r w:rsidRPr="00FA3856">
              <w:rPr>
                <w:rFonts w:ascii="Times New Roman" w:hAnsi="Times New Roman"/>
                <w:bCs/>
              </w:rPr>
              <w:t xml:space="preserve">Verifica se </w:t>
            </w:r>
            <w:r w:rsidR="00733508" w:rsidRPr="00FA3856">
              <w:rPr>
                <w:rFonts w:ascii="Times New Roman" w:hAnsi="Times New Roman"/>
                <w:bCs/>
              </w:rPr>
              <w:t xml:space="preserve">X320.COD_NCM </w:t>
            </w:r>
            <w:r w:rsidRPr="00FA3856">
              <w:rPr>
                <w:rFonts w:ascii="Times New Roman" w:hAnsi="Times New Roman"/>
                <w:bCs/>
              </w:rPr>
              <w:t xml:space="preserve">está preenchido quando </w:t>
            </w:r>
            <w:r w:rsidR="00F66A79" w:rsidRPr="00FA3856">
              <w:rPr>
                <w:rFonts w:ascii="Times New Roman" w:hAnsi="Times New Roman"/>
                <w:bCs/>
              </w:rPr>
              <w:t>X320.</w:t>
            </w:r>
            <w:r w:rsidR="00733508" w:rsidRPr="00FA3856">
              <w:rPr>
                <w:rFonts w:ascii="Times New Roman" w:hAnsi="Times New Roman"/>
              </w:rPr>
              <w:t xml:space="preserve">TIP_IMP </w:t>
            </w:r>
            <w:r w:rsidRPr="00FA3856">
              <w:rPr>
                <w:rFonts w:ascii="Times New Roman" w:hAnsi="Times New Roman"/>
              </w:rPr>
              <w:t>igual a “1” (bens).</w:t>
            </w:r>
          </w:p>
        </w:tc>
        <w:tc>
          <w:tcPr>
            <w:tcW w:w="717" w:type="dxa"/>
            <w:tcBorders>
              <w:top w:val="single" w:sz="6" w:space="0" w:color="auto"/>
              <w:left w:val="single" w:sz="6" w:space="0" w:color="auto"/>
              <w:bottom w:val="single" w:sz="6" w:space="0" w:color="auto"/>
              <w:right w:val="single" w:sz="6" w:space="0" w:color="auto"/>
            </w:tcBorders>
          </w:tcPr>
          <w:p w:rsidR="003266F0" w:rsidRPr="00FA3856" w:rsidRDefault="003266F0" w:rsidP="003266F0">
            <w:pPr>
              <w:pStyle w:val="PSDS-CorpodeTexto0"/>
              <w:rPr>
                <w:rFonts w:ascii="Times New Roman" w:hAnsi="Times New Roman"/>
                <w:lang w:val="pt-PT"/>
              </w:rPr>
            </w:pPr>
            <w:r w:rsidRPr="00FA3856">
              <w:rPr>
                <w:rFonts w:ascii="Times New Roman" w:hAnsi="Times New Roman"/>
                <w:lang w:val="pt-PT"/>
              </w:rPr>
              <w:t>Erro</w:t>
            </w:r>
          </w:p>
          <w:p w:rsidR="003266F0" w:rsidRPr="00FA3856" w:rsidRDefault="003266F0" w:rsidP="003266F0">
            <w:pPr>
              <w:pStyle w:val="PSDS-CorpodeTexto0"/>
              <w:rPr>
                <w:rFonts w:ascii="Times New Roman" w:hAnsi="Times New Roman"/>
                <w:lang w:val="pt-PT"/>
              </w:rPr>
            </w:pPr>
          </w:p>
        </w:tc>
      </w:tr>
      <w:tr w:rsidR="003266F0" w:rsidRPr="00FA3856" w:rsidTr="00170D01">
        <w:trPr>
          <w:jc w:val="center"/>
        </w:trPr>
        <w:tc>
          <w:tcPr>
            <w:tcW w:w="485" w:type="dxa"/>
            <w:tcBorders>
              <w:top w:val="single" w:sz="6" w:space="0" w:color="auto"/>
              <w:left w:val="single" w:sz="6" w:space="0" w:color="auto"/>
              <w:bottom w:val="single" w:sz="6" w:space="0" w:color="auto"/>
              <w:right w:val="single" w:sz="6" w:space="0" w:color="auto"/>
            </w:tcBorders>
          </w:tcPr>
          <w:p w:rsidR="003266F0" w:rsidRPr="00FA3856" w:rsidRDefault="003266F0" w:rsidP="003266F0">
            <w:pPr>
              <w:pStyle w:val="PSDS-CorpodeTexto0"/>
              <w:suppressAutoHyphens w:val="0"/>
              <w:rPr>
                <w:rFonts w:ascii="Times New Roman" w:hAnsi="Times New Roman"/>
                <w:b/>
                <w:bCs/>
                <w:lang w:val="pt-PT"/>
              </w:rPr>
            </w:pPr>
            <w:r w:rsidRPr="00FA3856">
              <w:rPr>
                <w:rFonts w:ascii="Times New Roman" w:hAnsi="Times New Roman"/>
                <w:b/>
                <w:bCs/>
                <w:lang w:val="pt-PT"/>
              </w:rPr>
              <w:t>7</w:t>
            </w:r>
          </w:p>
        </w:tc>
        <w:tc>
          <w:tcPr>
            <w:tcW w:w="3000" w:type="dxa"/>
            <w:tcBorders>
              <w:top w:val="single" w:sz="6" w:space="0" w:color="auto"/>
              <w:left w:val="single" w:sz="6" w:space="0" w:color="auto"/>
              <w:bottom w:val="single" w:sz="6" w:space="0" w:color="auto"/>
              <w:right w:val="single" w:sz="6" w:space="0" w:color="auto"/>
            </w:tcBorders>
          </w:tcPr>
          <w:p w:rsidR="003266F0" w:rsidRPr="00FA3856" w:rsidRDefault="003266F0" w:rsidP="003266F0">
            <w:pPr>
              <w:pStyle w:val="PSDS-CorpodeTexto0"/>
              <w:rPr>
                <w:rFonts w:ascii="Times New Roman" w:hAnsi="Times New Roman"/>
              </w:rPr>
            </w:pPr>
            <w:r w:rsidRPr="00FA3856">
              <w:rPr>
                <w:rFonts w:ascii="Times New Roman" w:hAnsi="Times New Roman"/>
              </w:rPr>
              <w:t>QTDE</w:t>
            </w:r>
          </w:p>
        </w:tc>
        <w:tc>
          <w:tcPr>
            <w:tcW w:w="12168" w:type="dxa"/>
            <w:tcBorders>
              <w:top w:val="single" w:sz="6" w:space="0" w:color="auto"/>
              <w:left w:val="single" w:sz="6" w:space="0" w:color="auto"/>
              <w:bottom w:val="single" w:sz="6" w:space="0" w:color="auto"/>
              <w:right w:val="single" w:sz="6" w:space="0" w:color="auto"/>
            </w:tcBorders>
          </w:tcPr>
          <w:p w:rsidR="003266F0" w:rsidRPr="00FA3856" w:rsidRDefault="003266F0" w:rsidP="003B703D">
            <w:pPr>
              <w:pStyle w:val="Corpodetexto"/>
              <w:rPr>
                <w:rFonts w:ascii="Times New Roman" w:hAnsi="Times New Roman"/>
                <w:szCs w:val="20"/>
              </w:rPr>
            </w:pPr>
            <w:r w:rsidRPr="00FA3856">
              <w:rPr>
                <w:rFonts w:ascii="Times New Roman" w:hAnsi="Times New Roman"/>
                <w:b/>
                <w:szCs w:val="20"/>
              </w:rPr>
              <w:t>REGRA_</w:t>
            </w:r>
            <w:r w:rsidR="003B703D" w:rsidRPr="00FA3856">
              <w:rPr>
                <w:rFonts w:ascii="Times New Roman" w:hAnsi="Times New Roman"/>
                <w:b/>
                <w:szCs w:val="20"/>
              </w:rPr>
              <w:t>QTDE_</w:t>
            </w:r>
            <w:r w:rsidRPr="00FA3856">
              <w:rPr>
                <w:rFonts w:ascii="Times New Roman" w:hAnsi="Times New Roman"/>
                <w:b/>
                <w:szCs w:val="20"/>
              </w:rPr>
              <w:t xml:space="preserve">OBRIGATORIO: </w:t>
            </w:r>
            <w:r w:rsidRPr="00FA3856">
              <w:rPr>
                <w:rFonts w:ascii="Times New Roman" w:hAnsi="Times New Roman"/>
                <w:bCs/>
                <w:szCs w:val="20"/>
              </w:rPr>
              <w:t xml:space="preserve">Verifica se </w:t>
            </w:r>
            <w:r w:rsidR="00733508" w:rsidRPr="00FA3856">
              <w:rPr>
                <w:rFonts w:ascii="Times New Roman" w:hAnsi="Times New Roman"/>
                <w:bCs/>
                <w:szCs w:val="20"/>
              </w:rPr>
              <w:t xml:space="preserve">X320.QTDE </w:t>
            </w:r>
            <w:r w:rsidRPr="00FA3856">
              <w:rPr>
                <w:rFonts w:ascii="Times New Roman" w:hAnsi="Times New Roman"/>
                <w:bCs/>
                <w:szCs w:val="20"/>
              </w:rPr>
              <w:t xml:space="preserve">está preenchido quando </w:t>
            </w:r>
            <w:r w:rsidR="00F66A79" w:rsidRPr="00FA3856">
              <w:rPr>
                <w:rFonts w:ascii="Times New Roman" w:hAnsi="Times New Roman"/>
                <w:bCs/>
                <w:szCs w:val="20"/>
              </w:rPr>
              <w:t>X320.</w:t>
            </w:r>
            <w:r w:rsidR="00733508" w:rsidRPr="00FA3856">
              <w:rPr>
                <w:rFonts w:ascii="Times New Roman" w:hAnsi="Times New Roman"/>
                <w:szCs w:val="20"/>
              </w:rPr>
              <w:t xml:space="preserve">TIP_IMP </w:t>
            </w:r>
            <w:r w:rsidRPr="00FA3856">
              <w:rPr>
                <w:rFonts w:ascii="Times New Roman" w:hAnsi="Times New Roman"/>
                <w:szCs w:val="20"/>
              </w:rPr>
              <w:t>igual a “1” (bens).</w:t>
            </w:r>
          </w:p>
        </w:tc>
        <w:tc>
          <w:tcPr>
            <w:tcW w:w="717" w:type="dxa"/>
            <w:tcBorders>
              <w:top w:val="single" w:sz="6" w:space="0" w:color="auto"/>
              <w:left w:val="single" w:sz="6" w:space="0" w:color="auto"/>
              <w:bottom w:val="single" w:sz="6" w:space="0" w:color="auto"/>
              <w:right w:val="single" w:sz="6" w:space="0" w:color="auto"/>
            </w:tcBorders>
          </w:tcPr>
          <w:p w:rsidR="003266F0" w:rsidRPr="00FA3856" w:rsidRDefault="003266F0" w:rsidP="003266F0">
            <w:pPr>
              <w:pStyle w:val="PSDS-CorpodeTexto0"/>
              <w:rPr>
                <w:rFonts w:ascii="Times New Roman" w:hAnsi="Times New Roman"/>
              </w:rPr>
            </w:pPr>
            <w:r w:rsidRPr="00FA3856">
              <w:rPr>
                <w:rFonts w:ascii="Times New Roman" w:hAnsi="Times New Roman"/>
              </w:rPr>
              <w:t>Erro</w:t>
            </w:r>
          </w:p>
          <w:p w:rsidR="003266F0" w:rsidRPr="00FA3856" w:rsidRDefault="003266F0" w:rsidP="003266F0">
            <w:pPr>
              <w:pStyle w:val="PSDS-CorpodeTexto0"/>
              <w:rPr>
                <w:rFonts w:ascii="Times New Roman" w:hAnsi="Times New Roman"/>
              </w:rPr>
            </w:pPr>
          </w:p>
        </w:tc>
      </w:tr>
      <w:tr w:rsidR="003266F0" w:rsidRPr="00FA3856" w:rsidTr="00F66A79">
        <w:trPr>
          <w:trHeight w:val="478"/>
          <w:jc w:val="center"/>
        </w:trPr>
        <w:tc>
          <w:tcPr>
            <w:tcW w:w="485" w:type="dxa"/>
            <w:tcBorders>
              <w:top w:val="single" w:sz="6" w:space="0" w:color="auto"/>
              <w:left w:val="single" w:sz="6" w:space="0" w:color="auto"/>
              <w:bottom w:val="single" w:sz="6" w:space="0" w:color="auto"/>
              <w:right w:val="single" w:sz="6" w:space="0" w:color="auto"/>
            </w:tcBorders>
          </w:tcPr>
          <w:p w:rsidR="003266F0" w:rsidRPr="00FA3856" w:rsidRDefault="003266F0" w:rsidP="003266F0">
            <w:pPr>
              <w:pStyle w:val="PSDS-CorpodeTexto0"/>
              <w:suppressAutoHyphens w:val="0"/>
              <w:rPr>
                <w:rFonts w:ascii="Times New Roman" w:hAnsi="Times New Roman"/>
                <w:b/>
                <w:bCs/>
                <w:lang w:val="pt-PT"/>
              </w:rPr>
            </w:pPr>
            <w:r w:rsidRPr="00FA3856">
              <w:rPr>
                <w:rFonts w:ascii="Times New Roman" w:hAnsi="Times New Roman"/>
                <w:b/>
                <w:bCs/>
                <w:lang w:val="pt-PT"/>
              </w:rPr>
              <w:t>8</w:t>
            </w:r>
          </w:p>
        </w:tc>
        <w:tc>
          <w:tcPr>
            <w:tcW w:w="3000" w:type="dxa"/>
            <w:tcBorders>
              <w:top w:val="single" w:sz="6" w:space="0" w:color="auto"/>
              <w:left w:val="single" w:sz="6" w:space="0" w:color="auto"/>
              <w:bottom w:val="single" w:sz="6" w:space="0" w:color="auto"/>
              <w:right w:val="single" w:sz="6" w:space="0" w:color="auto"/>
            </w:tcBorders>
          </w:tcPr>
          <w:p w:rsidR="003266F0" w:rsidRPr="00FA3856" w:rsidRDefault="003266F0" w:rsidP="003266F0">
            <w:pPr>
              <w:pStyle w:val="PSDS-CorpodeTexto0"/>
              <w:rPr>
                <w:rFonts w:ascii="Times New Roman" w:hAnsi="Times New Roman"/>
                <w:lang w:val="pt-PT"/>
              </w:rPr>
            </w:pPr>
            <w:r w:rsidRPr="00FA3856">
              <w:rPr>
                <w:rFonts w:ascii="Times New Roman" w:hAnsi="Times New Roman"/>
                <w:lang w:val="pt-PT"/>
              </w:rPr>
              <w:t>UNI_MED</w:t>
            </w:r>
          </w:p>
        </w:tc>
        <w:tc>
          <w:tcPr>
            <w:tcW w:w="12168" w:type="dxa"/>
            <w:tcBorders>
              <w:top w:val="single" w:sz="6" w:space="0" w:color="auto"/>
              <w:left w:val="single" w:sz="6" w:space="0" w:color="auto"/>
              <w:bottom w:val="single" w:sz="6" w:space="0" w:color="auto"/>
              <w:right w:val="single" w:sz="6" w:space="0" w:color="auto"/>
            </w:tcBorders>
          </w:tcPr>
          <w:p w:rsidR="00D4672C" w:rsidRPr="00FA3856" w:rsidRDefault="003266F0" w:rsidP="003B703D">
            <w:pPr>
              <w:pStyle w:val="PSDS-CorpodeTexto0"/>
              <w:jc w:val="both"/>
              <w:rPr>
                <w:rFonts w:ascii="Times New Roman" w:hAnsi="Times New Roman"/>
              </w:rPr>
            </w:pPr>
            <w:r w:rsidRPr="00FA3856">
              <w:rPr>
                <w:rFonts w:ascii="Times New Roman" w:hAnsi="Times New Roman"/>
                <w:b/>
              </w:rPr>
              <w:t>REGRA_</w:t>
            </w:r>
            <w:r w:rsidR="003B703D" w:rsidRPr="00FA3856">
              <w:rPr>
                <w:rFonts w:ascii="Times New Roman" w:hAnsi="Times New Roman"/>
                <w:b/>
              </w:rPr>
              <w:t>UNI_MED_</w:t>
            </w:r>
            <w:r w:rsidRPr="00FA3856">
              <w:rPr>
                <w:rFonts w:ascii="Times New Roman" w:hAnsi="Times New Roman"/>
                <w:b/>
              </w:rPr>
              <w:t>OBRIGATORI</w:t>
            </w:r>
            <w:r w:rsidR="003B703D" w:rsidRPr="00FA3856">
              <w:rPr>
                <w:rFonts w:ascii="Times New Roman" w:hAnsi="Times New Roman"/>
                <w:b/>
              </w:rPr>
              <w:t>O</w:t>
            </w:r>
            <w:r w:rsidRPr="00FA3856">
              <w:rPr>
                <w:rFonts w:ascii="Times New Roman" w:hAnsi="Times New Roman"/>
                <w:b/>
              </w:rPr>
              <w:t xml:space="preserve">: </w:t>
            </w:r>
            <w:r w:rsidRPr="00FA3856">
              <w:rPr>
                <w:rFonts w:ascii="Times New Roman" w:hAnsi="Times New Roman"/>
                <w:bCs/>
              </w:rPr>
              <w:t xml:space="preserve">Verifica se </w:t>
            </w:r>
            <w:r w:rsidR="00733508" w:rsidRPr="00FA3856">
              <w:rPr>
                <w:rFonts w:ascii="Times New Roman" w:hAnsi="Times New Roman"/>
                <w:bCs/>
              </w:rPr>
              <w:t xml:space="preserve">X320.UNI_MED </w:t>
            </w:r>
            <w:r w:rsidRPr="00FA3856">
              <w:rPr>
                <w:rFonts w:ascii="Times New Roman" w:hAnsi="Times New Roman"/>
                <w:bCs/>
              </w:rPr>
              <w:t xml:space="preserve">está preenchido quando </w:t>
            </w:r>
            <w:r w:rsidR="00F66A79" w:rsidRPr="00FA3856">
              <w:rPr>
                <w:rFonts w:ascii="Times New Roman" w:hAnsi="Times New Roman"/>
                <w:bCs/>
              </w:rPr>
              <w:t>X320.</w:t>
            </w:r>
            <w:r w:rsidR="00733508" w:rsidRPr="00FA3856">
              <w:rPr>
                <w:rFonts w:ascii="Times New Roman" w:hAnsi="Times New Roman"/>
              </w:rPr>
              <w:t xml:space="preserve">TIP_IMP </w:t>
            </w:r>
            <w:r w:rsidRPr="00FA3856">
              <w:rPr>
                <w:rFonts w:ascii="Times New Roman" w:hAnsi="Times New Roman"/>
              </w:rPr>
              <w:t>igual a “1” (bens).</w:t>
            </w:r>
          </w:p>
        </w:tc>
        <w:tc>
          <w:tcPr>
            <w:tcW w:w="717" w:type="dxa"/>
            <w:tcBorders>
              <w:top w:val="single" w:sz="6" w:space="0" w:color="auto"/>
              <w:left w:val="single" w:sz="6" w:space="0" w:color="auto"/>
              <w:bottom w:val="single" w:sz="6" w:space="0" w:color="auto"/>
              <w:right w:val="single" w:sz="6" w:space="0" w:color="auto"/>
            </w:tcBorders>
          </w:tcPr>
          <w:p w:rsidR="003266F0" w:rsidRPr="00FA3856" w:rsidRDefault="003266F0" w:rsidP="003266F0">
            <w:pPr>
              <w:pStyle w:val="PSDS-CorpodeTexto0"/>
              <w:rPr>
                <w:rFonts w:ascii="Times New Roman" w:hAnsi="Times New Roman"/>
                <w:lang w:val="pt-PT"/>
              </w:rPr>
            </w:pPr>
            <w:r w:rsidRPr="00FA3856">
              <w:rPr>
                <w:rFonts w:ascii="Times New Roman" w:hAnsi="Times New Roman"/>
                <w:lang w:val="pt-PT"/>
              </w:rPr>
              <w:t>Erro</w:t>
            </w:r>
          </w:p>
          <w:p w:rsidR="003266F0" w:rsidRPr="00FA3856" w:rsidRDefault="003266F0" w:rsidP="003266F0">
            <w:pPr>
              <w:pStyle w:val="PSDS-CorpodeTexto0"/>
              <w:rPr>
                <w:rFonts w:ascii="Times New Roman" w:hAnsi="Times New Roman"/>
                <w:lang w:val="pt-PT"/>
              </w:rPr>
            </w:pPr>
          </w:p>
        </w:tc>
      </w:tr>
      <w:tr w:rsidR="003266F0" w:rsidRPr="00FA3856" w:rsidTr="00170D01">
        <w:trPr>
          <w:jc w:val="center"/>
        </w:trPr>
        <w:tc>
          <w:tcPr>
            <w:tcW w:w="485" w:type="dxa"/>
            <w:tcBorders>
              <w:top w:val="single" w:sz="6" w:space="0" w:color="auto"/>
              <w:left w:val="single" w:sz="6" w:space="0" w:color="auto"/>
              <w:bottom w:val="single" w:sz="6" w:space="0" w:color="auto"/>
              <w:right w:val="single" w:sz="6" w:space="0" w:color="auto"/>
            </w:tcBorders>
          </w:tcPr>
          <w:p w:rsidR="003266F0" w:rsidRPr="00FA3856" w:rsidRDefault="005D7F4F" w:rsidP="003266F0">
            <w:pPr>
              <w:pStyle w:val="PSDS-CorpodeTexto0"/>
              <w:suppressAutoHyphens w:val="0"/>
              <w:rPr>
                <w:rFonts w:ascii="Times New Roman" w:hAnsi="Times New Roman"/>
                <w:b/>
                <w:bCs/>
                <w:lang w:val="pt-PT"/>
              </w:rPr>
            </w:pPr>
            <w:r w:rsidRPr="00FA3856">
              <w:rPr>
                <w:rFonts w:ascii="Times New Roman" w:hAnsi="Times New Roman"/>
                <w:b/>
                <w:bCs/>
                <w:lang w:val="pt-PT"/>
              </w:rPr>
              <w:t>9</w:t>
            </w:r>
          </w:p>
        </w:tc>
        <w:tc>
          <w:tcPr>
            <w:tcW w:w="3000" w:type="dxa"/>
            <w:tcBorders>
              <w:top w:val="single" w:sz="6" w:space="0" w:color="auto"/>
              <w:left w:val="single" w:sz="6" w:space="0" w:color="auto"/>
              <w:bottom w:val="single" w:sz="6" w:space="0" w:color="auto"/>
              <w:right w:val="single" w:sz="6" w:space="0" w:color="auto"/>
            </w:tcBorders>
          </w:tcPr>
          <w:p w:rsidR="003266F0" w:rsidRPr="00FA3856" w:rsidRDefault="003266F0" w:rsidP="003266F0">
            <w:pPr>
              <w:pStyle w:val="PSDS-CorpodeTexto0"/>
              <w:rPr>
                <w:rFonts w:ascii="Times New Roman" w:hAnsi="Times New Roman"/>
                <w:lang w:val="pt-PT"/>
              </w:rPr>
            </w:pPr>
            <w:r w:rsidRPr="00FA3856">
              <w:rPr>
                <w:rFonts w:ascii="Times New Roman" w:hAnsi="Times New Roman"/>
                <w:lang w:val="pt-PT"/>
              </w:rPr>
              <w:t>TIP_MET</w:t>
            </w:r>
          </w:p>
        </w:tc>
        <w:tc>
          <w:tcPr>
            <w:tcW w:w="12168" w:type="dxa"/>
            <w:tcBorders>
              <w:top w:val="single" w:sz="6" w:space="0" w:color="auto"/>
              <w:left w:val="single" w:sz="6" w:space="0" w:color="auto"/>
              <w:bottom w:val="single" w:sz="6" w:space="0" w:color="auto"/>
              <w:right w:val="single" w:sz="6" w:space="0" w:color="auto"/>
            </w:tcBorders>
          </w:tcPr>
          <w:p w:rsidR="00D4672C" w:rsidRPr="00FA3856" w:rsidRDefault="003266F0" w:rsidP="007620FD">
            <w:pPr>
              <w:pStyle w:val="PSDS-CorpodeTexto0"/>
              <w:jc w:val="both"/>
              <w:rPr>
                <w:rFonts w:ascii="Times New Roman" w:hAnsi="Times New Roman"/>
              </w:rPr>
            </w:pPr>
            <w:r w:rsidRPr="00FA3856">
              <w:rPr>
                <w:rFonts w:ascii="Times New Roman" w:hAnsi="Times New Roman"/>
                <w:b/>
              </w:rPr>
              <w:t>REGRA_</w:t>
            </w:r>
            <w:r w:rsidR="007620FD" w:rsidRPr="00FA3856">
              <w:rPr>
                <w:rFonts w:ascii="Times New Roman" w:hAnsi="Times New Roman"/>
                <w:b/>
              </w:rPr>
              <w:t>TIP_MET</w:t>
            </w:r>
            <w:r w:rsidRPr="00FA3856">
              <w:rPr>
                <w:rFonts w:ascii="Times New Roman" w:hAnsi="Times New Roman"/>
                <w:b/>
              </w:rPr>
              <w:t xml:space="preserve">_OBRIGATORIO: </w:t>
            </w:r>
            <w:r w:rsidR="005D7F4F" w:rsidRPr="00FA3856">
              <w:rPr>
                <w:rFonts w:ascii="Times New Roman" w:hAnsi="Times New Roman"/>
              </w:rPr>
              <w:t xml:space="preserve">Verifica se </w:t>
            </w:r>
            <w:r w:rsidR="00F66A79" w:rsidRPr="00FA3856">
              <w:rPr>
                <w:rFonts w:ascii="Times New Roman" w:hAnsi="Times New Roman"/>
              </w:rPr>
              <w:t>X320.</w:t>
            </w:r>
            <w:r w:rsidR="00733508" w:rsidRPr="00FA3856">
              <w:rPr>
                <w:rFonts w:ascii="Times New Roman" w:hAnsi="Times New Roman"/>
              </w:rPr>
              <w:t xml:space="preserve">TIP_MET </w:t>
            </w:r>
            <w:r w:rsidRPr="00FA3856">
              <w:rPr>
                <w:rFonts w:ascii="Times New Roman" w:hAnsi="Times New Roman"/>
              </w:rPr>
              <w:t xml:space="preserve">está preenchido quando </w:t>
            </w:r>
            <w:r w:rsidR="00F66A79" w:rsidRPr="00FA3856">
              <w:rPr>
                <w:rFonts w:ascii="Times New Roman" w:hAnsi="Times New Roman"/>
              </w:rPr>
              <w:t>X320.</w:t>
            </w:r>
            <w:r w:rsidRPr="00FA3856">
              <w:rPr>
                <w:rFonts w:ascii="Times New Roman" w:hAnsi="Times New Roman"/>
              </w:rPr>
              <w:t>TIP_</w:t>
            </w:r>
            <w:r w:rsidR="005D7F4F" w:rsidRPr="00FA3856">
              <w:rPr>
                <w:rFonts w:ascii="Times New Roman" w:hAnsi="Times New Roman"/>
              </w:rPr>
              <w:t>IMP</w:t>
            </w:r>
            <w:r w:rsidR="00F66A79" w:rsidRPr="00FA3856">
              <w:rPr>
                <w:rFonts w:ascii="Times New Roman" w:hAnsi="Times New Roman"/>
              </w:rPr>
              <w:t xml:space="preserve"> (Campo </w:t>
            </w:r>
            <w:r w:rsidRPr="00FA3856">
              <w:rPr>
                <w:rFonts w:ascii="Times New Roman" w:hAnsi="Times New Roman"/>
              </w:rPr>
              <w:t>3) igual a “1” (bens) ou “</w:t>
            </w:r>
            <w:r w:rsidR="005D7F4F" w:rsidRPr="00FA3856">
              <w:rPr>
                <w:rFonts w:ascii="Times New Roman" w:hAnsi="Times New Roman"/>
              </w:rPr>
              <w:t>2” (serviços) ou “3” (direitos).</w:t>
            </w:r>
          </w:p>
        </w:tc>
        <w:tc>
          <w:tcPr>
            <w:tcW w:w="717" w:type="dxa"/>
            <w:tcBorders>
              <w:top w:val="single" w:sz="6" w:space="0" w:color="auto"/>
              <w:left w:val="single" w:sz="6" w:space="0" w:color="auto"/>
              <w:bottom w:val="single" w:sz="6" w:space="0" w:color="auto"/>
              <w:right w:val="single" w:sz="6" w:space="0" w:color="auto"/>
            </w:tcBorders>
          </w:tcPr>
          <w:p w:rsidR="008C105B" w:rsidRPr="00FA3856" w:rsidRDefault="008C105B" w:rsidP="003266F0">
            <w:pPr>
              <w:pStyle w:val="PSDS-CorpodeTexto0"/>
              <w:rPr>
                <w:rFonts w:ascii="Times New Roman" w:hAnsi="Times New Roman"/>
                <w:lang w:val="pt-PT"/>
              </w:rPr>
            </w:pPr>
            <w:r w:rsidRPr="00FA3856">
              <w:rPr>
                <w:rFonts w:ascii="Times New Roman" w:hAnsi="Times New Roman"/>
                <w:lang w:val="pt-PT"/>
              </w:rPr>
              <w:t>Erro</w:t>
            </w:r>
          </w:p>
          <w:p w:rsidR="003266F0" w:rsidRPr="00FA3856" w:rsidRDefault="003266F0" w:rsidP="003266F0">
            <w:pPr>
              <w:pStyle w:val="PSDS-CorpodeTexto0"/>
              <w:rPr>
                <w:rFonts w:ascii="Times New Roman" w:hAnsi="Times New Roman"/>
                <w:lang w:val="pt-PT"/>
              </w:rPr>
            </w:pPr>
          </w:p>
        </w:tc>
      </w:tr>
      <w:tr w:rsidR="008C105B" w:rsidRPr="00FA3856" w:rsidTr="00BB3042">
        <w:trPr>
          <w:jc w:val="center"/>
        </w:trPr>
        <w:tc>
          <w:tcPr>
            <w:tcW w:w="485" w:type="dxa"/>
            <w:tcBorders>
              <w:top w:val="single" w:sz="6" w:space="0" w:color="auto"/>
              <w:left w:val="single" w:sz="6" w:space="0" w:color="auto"/>
              <w:bottom w:val="single" w:sz="6" w:space="0" w:color="auto"/>
              <w:right w:val="single" w:sz="6" w:space="0" w:color="auto"/>
            </w:tcBorders>
          </w:tcPr>
          <w:p w:rsidR="008C105B" w:rsidRPr="00FA3856" w:rsidRDefault="008C105B" w:rsidP="00BB3042">
            <w:pPr>
              <w:pStyle w:val="PSDS-CorpodeTexto0"/>
              <w:suppressAutoHyphens w:val="0"/>
              <w:rPr>
                <w:rFonts w:ascii="Times New Roman" w:hAnsi="Times New Roman"/>
                <w:b/>
                <w:bCs/>
                <w:lang w:val="pt-PT"/>
              </w:rPr>
            </w:pPr>
            <w:r w:rsidRPr="00FA3856">
              <w:rPr>
                <w:rFonts w:ascii="Times New Roman" w:hAnsi="Times New Roman"/>
                <w:b/>
                <w:bCs/>
                <w:lang w:val="pt-PT"/>
              </w:rPr>
              <w:t>10</w:t>
            </w:r>
          </w:p>
        </w:tc>
        <w:tc>
          <w:tcPr>
            <w:tcW w:w="3000" w:type="dxa"/>
            <w:tcBorders>
              <w:top w:val="single" w:sz="6" w:space="0" w:color="auto"/>
              <w:left w:val="single" w:sz="6" w:space="0" w:color="auto"/>
              <w:bottom w:val="single" w:sz="6" w:space="0" w:color="auto"/>
              <w:right w:val="single" w:sz="6" w:space="0" w:color="auto"/>
            </w:tcBorders>
          </w:tcPr>
          <w:p w:rsidR="008C105B" w:rsidRPr="00FA3856" w:rsidRDefault="008C105B" w:rsidP="00BB3042">
            <w:pPr>
              <w:pStyle w:val="PSDS-CorpodeTexto0"/>
              <w:rPr>
                <w:rFonts w:ascii="Times New Roman" w:hAnsi="Times New Roman"/>
              </w:rPr>
            </w:pPr>
            <w:r w:rsidRPr="00FA3856">
              <w:rPr>
                <w:rFonts w:ascii="Times New Roman" w:hAnsi="Times New Roman"/>
              </w:rPr>
              <w:t>VL_PAR</w:t>
            </w:r>
          </w:p>
        </w:tc>
        <w:tc>
          <w:tcPr>
            <w:tcW w:w="12168" w:type="dxa"/>
            <w:tcBorders>
              <w:top w:val="single" w:sz="6" w:space="0" w:color="auto"/>
              <w:left w:val="single" w:sz="6" w:space="0" w:color="auto"/>
              <w:bottom w:val="single" w:sz="6" w:space="0" w:color="auto"/>
              <w:right w:val="single" w:sz="6" w:space="0" w:color="auto"/>
            </w:tcBorders>
          </w:tcPr>
          <w:p w:rsidR="008C105B" w:rsidRPr="00FA3856" w:rsidRDefault="008C105B" w:rsidP="00BB3042">
            <w:pPr>
              <w:pStyle w:val="Corpodetexto"/>
              <w:rPr>
                <w:rFonts w:ascii="Times New Roman" w:hAnsi="Times New Roman"/>
                <w:szCs w:val="20"/>
              </w:rPr>
            </w:pPr>
            <w:r w:rsidRPr="00FA3856">
              <w:rPr>
                <w:rFonts w:ascii="Times New Roman" w:hAnsi="Times New Roman"/>
                <w:b/>
                <w:szCs w:val="20"/>
              </w:rPr>
              <w:t xml:space="preserve">REGRA_VL_PAR_OBRIGATORIO: </w:t>
            </w:r>
            <w:r w:rsidRPr="00FA3856">
              <w:rPr>
                <w:rFonts w:ascii="Times New Roman" w:hAnsi="Times New Roman"/>
                <w:szCs w:val="20"/>
              </w:rPr>
              <w:t xml:space="preserve">Verifica se </w:t>
            </w:r>
            <w:r w:rsidR="00F66A79" w:rsidRPr="00FA3856">
              <w:rPr>
                <w:rFonts w:ascii="Times New Roman" w:hAnsi="Times New Roman"/>
                <w:szCs w:val="20"/>
              </w:rPr>
              <w:t>X320.</w:t>
            </w:r>
            <w:r w:rsidR="00733508" w:rsidRPr="00FA3856">
              <w:rPr>
                <w:rFonts w:ascii="Times New Roman" w:hAnsi="Times New Roman"/>
                <w:szCs w:val="20"/>
              </w:rPr>
              <w:t xml:space="preserve">VL_PAR </w:t>
            </w:r>
            <w:r w:rsidRPr="00FA3856">
              <w:rPr>
                <w:rFonts w:ascii="Times New Roman" w:hAnsi="Times New Roman"/>
                <w:szCs w:val="20"/>
              </w:rPr>
              <w:t xml:space="preserve">está preenchido quando </w:t>
            </w:r>
            <w:r w:rsidR="00F66A79" w:rsidRPr="00FA3856">
              <w:rPr>
                <w:rFonts w:ascii="Times New Roman" w:hAnsi="Times New Roman"/>
                <w:szCs w:val="20"/>
              </w:rPr>
              <w:t xml:space="preserve">X320.TIP_IMP (Campo </w:t>
            </w:r>
            <w:r w:rsidRPr="00FA3856">
              <w:rPr>
                <w:rFonts w:ascii="Times New Roman" w:hAnsi="Times New Roman"/>
                <w:szCs w:val="20"/>
              </w:rPr>
              <w:t>3) igual a “1” (bens) ou “2” (serviços) ou “3” (direitos).</w:t>
            </w:r>
          </w:p>
        </w:tc>
        <w:tc>
          <w:tcPr>
            <w:tcW w:w="717" w:type="dxa"/>
            <w:tcBorders>
              <w:top w:val="single" w:sz="6" w:space="0" w:color="auto"/>
              <w:left w:val="single" w:sz="6" w:space="0" w:color="auto"/>
              <w:bottom w:val="single" w:sz="6" w:space="0" w:color="auto"/>
              <w:right w:val="single" w:sz="6" w:space="0" w:color="auto"/>
            </w:tcBorders>
          </w:tcPr>
          <w:p w:rsidR="008C105B" w:rsidRPr="00FA3856" w:rsidRDefault="008C105B" w:rsidP="00BB3042">
            <w:pPr>
              <w:pStyle w:val="PSDS-CorpodeTexto0"/>
              <w:rPr>
                <w:rFonts w:ascii="Times New Roman" w:hAnsi="Times New Roman"/>
              </w:rPr>
            </w:pPr>
            <w:r w:rsidRPr="00FA3856">
              <w:rPr>
                <w:rFonts w:ascii="Times New Roman" w:hAnsi="Times New Roman"/>
              </w:rPr>
              <w:t>Erro</w:t>
            </w:r>
          </w:p>
          <w:p w:rsidR="008C105B" w:rsidRPr="00FA3856" w:rsidRDefault="008C105B" w:rsidP="00BB3042">
            <w:pPr>
              <w:pStyle w:val="PSDS-CorpodeTexto0"/>
              <w:rPr>
                <w:rFonts w:ascii="Times New Roman" w:hAnsi="Times New Roman"/>
              </w:rPr>
            </w:pPr>
          </w:p>
        </w:tc>
      </w:tr>
      <w:tr w:rsidR="003266F0" w:rsidRPr="00FA3856" w:rsidTr="00170D01">
        <w:trPr>
          <w:jc w:val="center"/>
        </w:trPr>
        <w:tc>
          <w:tcPr>
            <w:tcW w:w="485" w:type="dxa"/>
            <w:tcBorders>
              <w:top w:val="single" w:sz="6" w:space="0" w:color="auto"/>
              <w:left w:val="single" w:sz="6" w:space="0" w:color="auto"/>
              <w:bottom w:val="single" w:sz="6" w:space="0" w:color="auto"/>
              <w:right w:val="single" w:sz="6" w:space="0" w:color="auto"/>
            </w:tcBorders>
          </w:tcPr>
          <w:p w:rsidR="003266F0" w:rsidRPr="00FA3856" w:rsidRDefault="005D7F4F" w:rsidP="003266F0">
            <w:pPr>
              <w:pStyle w:val="PSDS-CorpodeTexto0"/>
              <w:suppressAutoHyphens w:val="0"/>
              <w:rPr>
                <w:rFonts w:ascii="Times New Roman" w:hAnsi="Times New Roman"/>
                <w:b/>
                <w:bCs/>
                <w:lang w:val="pt-PT"/>
              </w:rPr>
            </w:pPr>
            <w:r w:rsidRPr="00FA3856">
              <w:rPr>
                <w:rFonts w:ascii="Times New Roman" w:hAnsi="Times New Roman"/>
                <w:b/>
                <w:bCs/>
                <w:lang w:val="pt-PT"/>
              </w:rPr>
              <w:t>11</w:t>
            </w:r>
          </w:p>
        </w:tc>
        <w:tc>
          <w:tcPr>
            <w:tcW w:w="3000" w:type="dxa"/>
            <w:tcBorders>
              <w:top w:val="single" w:sz="6" w:space="0" w:color="auto"/>
              <w:left w:val="single" w:sz="6" w:space="0" w:color="auto"/>
              <w:bottom w:val="single" w:sz="6" w:space="0" w:color="auto"/>
              <w:right w:val="single" w:sz="6" w:space="0" w:color="auto"/>
            </w:tcBorders>
          </w:tcPr>
          <w:p w:rsidR="003266F0" w:rsidRPr="00FA3856" w:rsidRDefault="003266F0" w:rsidP="003266F0">
            <w:pPr>
              <w:pStyle w:val="PSDS-CorpodeTexto0"/>
              <w:rPr>
                <w:rFonts w:ascii="Times New Roman" w:hAnsi="Times New Roman"/>
              </w:rPr>
            </w:pPr>
            <w:r w:rsidRPr="00FA3856">
              <w:rPr>
                <w:rFonts w:ascii="Times New Roman" w:hAnsi="Times New Roman"/>
              </w:rPr>
              <w:t>VL_PRAT</w:t>
            </w:r>
          </w:p>
        </w:tc>
        <w:tc>
          <w:tcPr>
            <w:tcW w:w="12168" w:type="dxa"/>
            <w:tcBorders>
              <w:top w:val="single" w:sz="6" w:space="0" w:color="auto"/>
              <w:left w:val="single" w:sz="6" w:space="0" w:color="auto"/>
              <w:bottom w:val="single" w:sz="6" w:space="0" w:color="auto"/>
              <w:right w:val="single" w:sz="6" w:space="0" w:color="auto"/>
            </w:tcBorders>
          </w:tcPr>
          <w:p w:rsidR="003266F0" w:rsidRPr="00FA3856" w:rsidRDefault="003266F0" w:rsidP="007620FD">
            <w:pPr>
              <w:pStyle w:val="Corpodetexto"/>
              <w:rPr>
                <w:rFonts w:ascii="Times New Roman" w:hAnsi="Times New Roman"/>
                <w:szCs w:val="20"/>
              </w:rPr>
            </w:pPr>
            <w:r w:rsidRPr="00FA3856">
              <w:rPr>
                <w:rFonts w:ascii="Times New Roman" w:hAnsi="Times New Roman"/>
                <w:b/>
                <w:szCs w:val="20"/>
              </w:rPr>
              <w:t>REGRA_</w:t>
            </w:r>
            <w:r w:rsidR="007620FD" w:rsidRPr="00FA3856">
              <w:rPr>
                <w:rFonts w:ascii="Times New Roman" w:hAnsi="Times New Roman"/>
                <w:b/>
                <w:szCs w:val="20"/>
              </w:rPr>
              <w:t>VL_PRAT</w:t>
            </w:r>
            <w:r w:rsidRPr="00FA3856">
              <w:rPr>
                <w:rFonts w:ascii="Times New Roman" w:hAnsi="Times New Roman"/>
                <w:b/>
                <w:szCs w:val="20"/>
              </w:rPr>
              <w:t xml:space="preserve">_OBRIGATORIO: </w:t>
            </w:r>
            <w:r w:rsidRPr="00FA3856">
              <w:rPr>
                <w:rFonts w:ascii="Times New Roman" w:hAnsi="Times New Roman"/>
                <w:szCs w:val="20"/>
              </w:rPr>
              <w:t xml:space="preserve">Verifica se </w:t>
            </w:r>
            <w:r w:rsidR="00F66A79" w:rsidRPr="00FA3856">
              <w:rPr>
                <w:rFonts w:ascii="Times New Roman" w:hAnsi="Times New Roman"/>
                <w:szCs w:val="20"/>
              </w:rPr>
              <w:t>X320.</w:t>
            </w:r>
            <w:r w:rsidR="00733508" w:rsidRPr="00FA3856">
              <w:rPr>
                <w:rFonts w:ascii="Times New Roman" w:hAnsi="Times New Roman"/>
                <w:szCs w:val="20"/>
              </w:rPr>
              <w:t xml:space="preserve">VL_PRAT </w:t>
            </w:r>
            <w:r w:rsidRPr="00FA3856">
              <w:rPr>
                <w:rFonts w:ascii="Times New Roman" w:hAnsi="Times New Roman"/>
                <w:szCs w:val="20"/>
              </w:rPr>
              <w:t xml:space="preserve">está preenchido quando </w:t>
            </w:r>
            <w:r w:rsidR="00F66A79" w:rsidRPr="00FA3856">
              <w:rPr>
                <w:rFonts w:ascii="Times New Roman" w:hAnsi="Times New Roman"/>
                <w:szCs w:val="20"/>
              </w:rPr>
              <w:t>X320.</w:t>
            </w:r>
            <w:r w:rsidRPr="00FA3856">
              <w:rPr>
                <w:rFonts w:ascii="Times New Roman" w:hAnsi="Times New Roman"/>
                <w:szCs w:val="20"/>
              </w:rPr>
              <w:t>TIP_</w:t>
            </w:r>
            <w:r w:rsidR="005D7F4F" w:rsidRPr="00FA3856">
              <w:rPr>
                <w:rFonts w:ascii="Times New Roman" w:hAnsi="Times New Roman"/>
                <w:szCs w:val="20"/>
              </w:rPr>
              <w:t>IMP</w:t>
            </w:r>
            <w:r w:rsidR="00F66A79" w:rsidRPr="00FA3856">
              <w:rPr>
                <w:rFonts w:ascii="Times New Roman" w:hAnsi="Times New Roman"/>
                <w:szCs w:val="20"/>
              </w:rPr>
              <w:t xml:space="preserve"> (Campo </w:t>
            </w:r>
            <w:r w:rsidRPr="00FA3856">
              <w:rPr>
                <w:rFonts w:ascii="Times New Roman" w:hAnsi="Times New Roman"/>
                <w:szCs w:val="20"/>
              </w:rPr>
              <w:t>3) igual a “1” (bens) ou “</w:t>
            </w:r>
            <w:r w:rsidR="005D7F4F" w:rsidRPr="00FA3856">
              <w:rPr>
                <w:rFonts w:ascii="Times New Roman" w:hAnsi="Times New Roman"/>
                <w:szCs w:val="20"/>
              </w:rPr>
              <w:t>2” (serviços) ou “3” (direitos).</w:t>
            </w:r>
          </w:p>
        </w:tc>
        <w:tc>
          <w:tcPr>
            <w:tcW w:w="717" w:type="dxa"/>
            <w:tcBorders>
              <w:top w:val="single" w:sz="6" w:space="0" w:color="auto"/>
              <w:left w:val="single" w:sz="6" w:space="0" w:color="auto"/>
              <w:bottom w:val="single" w:sz="6" w:space="0" w:color="auto"/>
              <w:right w:val="single" w:sz="6" w:space="0" w:color="auto"/>
            </w:tcBorders>
          </w:tcPr>
          <w:p w:rsidR="003266F0" w:rsidRPr="00FA3856" w:rsidRDefault="003266F0" w:rsidP="003266F0">
            <w:pPr>
              <w:pStyle w:val="PSDS-CorpodeTexto0"/>
              <w:rPr>
                <w:rFonts w:ascii="Times New Roman" w:hAnsi="Times New Roman"/>
              </w:rPr>
            </w:pPr>
            <w:r w:rsidRPr="00FA3856">
              <w:rPr>
                <w:rFonts w:ascii="Times New Roman" w:hAnsi="Times New Roman"/>
              </w:rPr>
              <w:t>Erro</w:t>
            </w:r>
          </w:p>
          <w:p w:rsidR="003266F0" w:rsidRPr="00FA3856" w:rsidRDefault="003266F0" w:rsidP="003266F0">
            <w:pPr>
              <w:pStyle w:val="PSDS-CorpodeTexto0"/>
              <w:rPr>
                <w:rFonts w:ascii="Times New Roman" w:hAnsi="Times New Roman"/>
              </w:rPr>
            </w:pPr>
          </w:p>
        </w:tc>
      </w:tr>
      <w:tr w:rsidR="003266F0" w:rsidRPr="00FA3856" w:rsidTr="00170D01">
        <w:trPr>
          <w:jc w:val="center"/>
        </w:trPr>
        <w:tc>
          <w:tcPr>
            <w:tcW w:w="485" w:type="dxa"/>
            <w:tcBorders>
              <w:top w:val="single" w:sz="6" w:space="0" w:color="auto"/>
              <w:left w:val="single" w:sz="6" w:space="0" w:color="auto"/>
              <w:bottom w:val="single" w:sz="6" w:space="0" w:color="auto"/>
              <w:right w:val="single" w:sz="6" w:space="0" w:color="auto"/>
            </w:tcBorders>
          </w:tcPr>
          <w:p w:rsidR="003266F0" w:rsidRPr="00FA3856" w:rsidRDefault="005D7F4F" w:rsidP="003266F0">
            <w:pPr>
              <w:pStyle w:val="PSDS-CorpodeTexto0"/>
              <w:suppressAutoHyphens w:val="0"/>
              <w:rPr>
                <w:rFonts w:ascii="Times New Roman" w:hAnsi="Times New Roman"/>
                <w:b/>
                <w:bCs/>
                <w:lang w:val="pt-PT"/>
              </w:rPr>
            </w:pPr>
            <w:r w:rsidRPr="00FA3856">
              <w:rPr>
                <w:rFonts w:ascii="Times New Roman" w:hAnsi="Times New Roman"/>
                <w:b/>
                <w:bCs/>
                <w:lang w:val="pt-PT"/>
              </w:rPr>
              <w:t>12</w:t>
            </w:r>
          </w:p>
        </w:tc>
        <w:tc>
          <w:tcPr>
            <w:tcW w:w="3000" w:type="dxa"/>
            <w:tcBorders>
              <w:top w:val="single" w:sz="6" w:space="0" w:color="auto"/>
              <w:left w:val="single" w:sz="6" w:space="0" w:color="auto"/>
              <w:bottom w:val="single" w:sz="6" w:space="0" w:color="auto"/>
              <w:right w:val="single" w:sz="6" w:space="0" w:color="auto"/>
            </w:tcBorders>
          </w:tcPr>
          <w:p w:rsidR="003266F0" w:rsidRPr="00FA3856" w:rsidRDefault="003266F0" w:rsidP="003266F0">
            <w:pPr>
              <w:pStyle w:val="PSDS-CorpodeTexto0"/>
              <w:rPr>
                <w:rFonts w:ascii="Times New Roman" w:hAnsi="Times New Roman"/>
              </w:rPr>
            </w:pPr>
            <w:r w:rsidRPr="00FA3856">
              <w:rPr>
                <w:rFonts w:ascii="Times New Roman" w:hAnsi="Times New Roman"/>
              </w:rPr>
              <w:t>VL_AJ</w:t>
            </w:r>
          </w:p>
        </w:tc>
        <w:tc>
          <w:tcPr>
            <w:tcW w:w="12168" w:type="dxa"/>
            <w:tcBorders>
              <w:top w:val="single" w:sz="6" w:space="0" w:color="auto"/>
              <w:left w:val="single" w:sz="6" w:space="0" w:color="auto"/>
              <w:bottom w:val="single" w:sz="6" w:space="0" w:color="auto"/>
              <w:right w:val="single" w:sz="6" w:space="0" w:color="auto"/>
            </w:tcBorders>
          </w:tcPr>
          <w:p w:rsidR="003266F0" w:rsidRDefault="003266F0" w:rsidP="007620FD">
            <w:pPr>
              <w:pStyle w:val="Corpodetexto"/>
              <w:rPr>
                <w:rFonts w:ascii="Times New Roman" w:hAnsi="Times New Roman"/>
                <w:szCs w:val="20"/>
              </w:rPr>
            </w:pPr>
            <w:r w:rsidRPr="00FA3856">
              <w:rPr>
                <w:rFonts w:ascii="Times New Roman" w:hAnsi="Times New Roman"/>
                <w:b/>
                <w:szCs w:val="20"/>
              </w:rPr>
              <w:t>REGRA_</w:t>
            </w:r>
            <w:r w:rsidR="007620FD" w:rsidRPr="00FA3856">
              <w:rPr>
                <w:rFonts w:ascii="Times New Roman" w:hAnsi="Times New Roman"/>
                <w:b/>
                <w:szCs w:val="20"/>
              </w:rPr>
              <w:t>VL_AJ</w:t>
            </w:r>
            <w:r w:rsidRPr="00FA3856">
              <w:rPr>
                <w:rFonts w:ascii="Times New Roman" w:hAnsi="Times New Roman"/>
                <w:b/>
                <w:szCs w:val="20"/>
              </w:rPr>
              <w:t xml:space="preserve">_OBRIGATORIO: </w:t>
            </w:r>
            <w:r w:rsidRPr="00FA3856">
              <w:rPr>
                <w:rFonts w:ascii="Times New Roman" w:hAnsi="Times New Roman"/>
                <w:szCs w:val="20"/>
              </w:rPr>
              <w:t xml:space="preserve">Verifica se </w:t>
            </w:r>
            <w:r w:rsidR="00F66A79" w:rsidRPr="00FA3856">
              <w:rPr>
                <w:rFonts w:ascii="Times New Roman" w:hAnsi="Times New Roman"/>
                <w:szCs w:val="20"/>
              </w:rPr>
              <w:t>X320.</w:t>
            </w:r>
            <w:r w:rsidR="00733508" w:rsidRPr="00FA3856">
              <w:rPr>
                <w:rFonts w:ascii="Times New Roman" w:hAnsi="Times New Roman"/>
                <w:szCs w:val="20"/>
              </w:rPr>
              <w:t xml:space="preserve">VL_AJ </w:t>
            </w:r>
            <w:r w:rsidRPr="00FA3856">
              <w:rPr>
                <w:rFonts w:ascii="Times New Roman" w:hAnsi="Times New Roman"/>
                <w:szCs w:val="20"/>
              </w:rPr>
              <w:t xml:space="preserve">está preenchido quando </w:t>
            </w:r>
            <w:r w:rsidR="00F66A79" w:rsidRPr="00FA3856">
              <w:rPr>
                <w:rFonts w:ascii="Times New Roman" w:hAnsi="Times New Roman"/>
                <w:szCs w:val="20"/>
              </w:rPr>
              <w:t>X320.</w:t>
            </w:r>
            <w:r w:rsidRPr="00FA3856">
              <w:rPr>
                <w:rFonts w:ascii="Times New Roman" w:hAnsi="Times New Roman"/>
                <w:szCs w:val="20"/>
              </w:rPr>
              <w:t>TIP_</w:t>
            </w:r>
            <w:r w:rsidR="007620FD" w:rsidRPr="00FA3856">
              <w:rPr>
                <w:rFonts w:ascii="Times New Roman" w:hAnsi="Times New Roman"/>
                <w:szCs w:val="20"/>
              </w:rPr>
              <w:t>IMP</w:t>
            </w:r>
            <w:r w:rsidR="00733508" w:rsidRPr="00FA3856">
              <w:rPr>
                <w:rFonts w:ascii="Times New Roman" w:hAnsi="Times New Roman"/>
                <w:szCs w:val="20"/>
              </w:rPr>
              <w:t xml:space="preserve"> </w:t>
            </w:r>
            <w:r w:rsidRPr="00FA3856">
              <w:rPr>
                <w:rFonts w:ascii="Times New Roman" w:hAnsi="Times New Roman"/>
                <w:szCs w:val="20"/>
              </w:rPr>
              <w:t>igual a “1” (bens) ou “</w:t>
            </w:r>
            <w:r w:rsidR="007620FD" w:rsidRPr="00FA3856">
              <w:rPr>
                <w:rFonts w:ascii="Times New Roman" w:hAnsi="Times New Roman"/>
                <w:szCs w:val="20"/>
              </w:rPr>
              <w:t xml:space="preserve">2” (serviços) ou “3” (direitos) ou </w:t>
            </w:r>
            <w:r w:rsidRPr="00FA3856">
              <w:rPr>
                <w:rFonts w:ascii="Times New Roman" w:hAnsi="Times New Roman"/>
                <w:szCs w:val="20"/>
              </w:rPr>
              <w:t xml:space="preserve"> “4” (operações financeiras) ou “5” (não especificadas).</w:t>
            </w:r>
          </w:p>
          <w:p w:rsidR="00F56419" w:rsidRPr="00FA3856" w:rsidRDefault="00F56419" w:rsidP="007620FD">
            <w:pPr>
              <w:pStyle w:val="Corpodetexto"/>
              <w:rPr>
                <w:rFonts w:ascii="Times New Roman" w:hAnsi="Times New Roman"/>
                <w:szCs w:val="20"/>
              </w:rPr>
            </w:pPr>
          </w:p>
        </w:tc>
        <w:tc>
          <w:tcPr>
            <w:tcW w:w="717" w:type="dxa"/>
            <w:tcBorders>
              <w:top w:val="single" w:sz="6" w:space="0" w:color="auto"/>
              <w:left w:val="single" w:sz="6" w:space="0" w:color="auto"/>
              <w:bottom w:val="single" w:sz="6" w:space="0" w:color="auto"/>
              <w:right w:val="single" w:sz="6" w:space="0" w:color="auto"/>
            </w:tcBorders>
          </w:tcPr>
          <w:p w:rsidR="003266F0" w:rsidRPr="00FA3856" w:rsidRDefault="003266F0" w:rsidP="003266F0">
            <w:pPr>
              <w:pStyle w:val="PSDS-CorpodeTexto0"/>
              <w:rPr>
                <w:rFonts w:ascii="Times New Roman" w:hAnsi="Times New Roman"/>
              </w:rPr>
            </w:pPr>
            <w:r w:rsidRPr="00FA3856">
              <w:rPr>
                <w:rFonts w:ascii="Times New Roman" w:hAnsi="Times New Roman"/>
              </w:rPr>
              <w:t>Erro</w:t>
            </w:r>
          </w:p>
          <w:p w:rsidR="003266F0" w:rsidRPr="00FA3856" w:rsidRDefault="003266F0" w:rsidP="003266F0">
            <w:pPr>
              <w:pStyle w:val="PSDS-CorpodeTexto0"/>
              <w:rPr>
                <w:rFonts w:ascii="Times New Roman" w:hAnsi="Times New Roman"/>
              </w:rPr>
            </w:pPr>
          </w:p>
        </w:tc>
      </w:tr>
      <w:tr w:rsidR="003266F0" w:rsidRPr="00FA3856" w:rsidTr="00170D01">
        <w:trPr>
          <w:jc w:val="center"/>
        </w:trPr>
        <w:tc>
          <w:tcPr>
            <w:tcW w:w="485" w:type="dxa"/>
            <w:tcBorders>
              <w:top w:val="single" w:sz="6" w:space="0" w:color="auto"/>
              <w:left w:val="single" w:sz="6" w:space="0" w:color="auto"/>
              <w:bottom w:val="single" w:sz="6" w:space="0" w:color="auto"/>
              <w:right w:val="single" w:sz="6" w:space="0" w:color="auto"/>
            </w:tcBorders>
          </w:tcPr>
          <w:p w:rsidR="003266F0" w:rsidRPr="00FA3856" w:rsidRDefault="005D7F4F" w:rsidP="003266F0">
            <w:pPr>
              <w:pStyle w:val="PSDS-CorpodeTexto0"/>
              <w:suppressAutoHyphens w:val="0"/>
              <w:rPr>
                <w:rFonts w:ascii="Times New Roman" w:hAnsi="Times New Roman"/>
                <w:b/>
                <w:bCs/>
                <w:lang w:val="pt-PT"/>
              </w:rPr>
            </w:pPr>
            <w:r w:rsidRPr="00FA3856">
              <w:rPr>
                <w:rFonts w:ascii="Times New Roman" w:hAnsi="Times New Roman"/>
                <w:b/>
                <w:bCs/>
                <w:lang w:val="pt-PT"/>
              </w:rPr>
              <w:lastRenderedPageBreak/>
              <w:t>13</w:t>
            </w:r>
          </w:p>
        </w:tc>
        <w:tc>
          <w:tcPr>
            <w:tcW w:w="3000" w:type="dxa"/>
            <w:tcBorders>
              <w:top w:val="single" w:sz="6" w:space="0" w:color="auto"/>
              <w:left w:val="single" w:sz="6" w:space="0" w:color="auto"/>
              <w:bottom w:val="single" w:sz="6" w:space="0" w:color="auto"/>
              <w:right w:val="single" w:sz="6" w:space="0" w:color="auto"/>
            </w:tcBorders>
          </w:tcPr>
          <w:p w:rsidR="003266F0" w:rsidRPr="00FA3856" w:rsidRDefault="003266F0" w:rsidP="003266F0">
            <w:pPr>
              <w:pStyle w:val="PSDS-CorpodeTexto0"/>
              <w:rPr>
                <w:rFonts w:ascii="Times New Roman" w:hAnsi="Times New Roman"/>
              </w:rPr>
            </w:pPr>
            <w:r w:rsidRPr="00FA3856">
              <w:rPr>
                <w:rFonts w:ascii="Times New Roman" w:hAnsi="Times New Roman"/>
              </w:rPr>
              <w:t>VL_JUR</w:t>
            </w:r>
          </w:p>
        </w:tc>
        <w:tc>
          <w:tcPr>
            <w:tcW w:w="12168" w:type="dxa"/>
            <w:tcBorders>
              <w:top w:val="single" w:sz="6" w:space="0" w:color="auto"/>
              <w:left w:val="single" w:sz="6" w:space="0" w:color="auto"/>
              <w:bottom w:val="single" w:sz="6" w:space="0" w:color="auto"/>
              <w:right w:val="single" w:sz="6" w:space="0" w:color="auto"/>
            </w:tcBorders>
          </w:tcPr>
          <w:p w:rsidR="003266F0" w:rsidRPr="00FA3856" w:rsidRDefault="003266F0" w:rsidP="007C7CBD">
            <w:pPr>
              <w:pStyle w:val="Corpodetexto"/>
              <w:rPr>
                <w:rFonts w:ascii="Times New Roman" w:hAnsi="Times New Roman"/>
                <w:szCs w:val="20"/>
              </w:rPr>
            </w:pPr>
            <w:r w:rsidRPr="00FA3856">
              <w:rPr>
                <w:rFonts w:ascii="Times New Roman" w:hAnsi="Times New Roman"/>
                <w:b/>
                <w:szCs w:val="20"/>
              </w:rPr>
              <w:t>REGRA_</w:t>
            </w:r>
            <w:r w:rsidR="007C7CBD" w:rsidRPr="00FA3856">
              <w:rPr>
                <w:rFonts w:ascii="Times New Roman" w:hAnsi="Times New Roman"/>
                <w:b/>
                <w:szCs w:val="20"/>
              </w:rPr>
              <w:t>VL_JUR</w:t>
            </w:r>
            <w:r w:rsidRPr="00FA3856">
              <w:rPr>
                <w:rFonts w:ascii="Times New Roman" w:hAnsi="Times New Roman"/>
                <w:b/>
                <w:szCs w:val="20"/>
              </w:rPr>
              <w:t xml:space="preserve">_OBRIGATORIO: </w:t>
            </w:r>
            <w:r w:rsidRPr="00FA3856">
              <w:rPr>
                <w:rFonts w:ascii="Times New Roman" w:hAnsi="Times New Roman"/>
                <w:szCs w:val="20"/>
              </w:rPr>
              <w:t xml:space="preserve">Verifica se </w:t>
            </w:r>
            <w:r w:rsidR="00F66A79" w:rsidRPr="00FA3856">
              <w:rPr>
                <w:rFonts w:ascii="Times New Roman" w:hAnsi="Times New Roman"/>
                <w:szCs w:val="20"/>
              </w:rPr>
              <w:t>X320.</w:t>
            </w:r>
            <w:r w:rsidR="00733508" w:rsidRPr="00FA3856">
              <w:rPr>
                <w:rFonts w:ascii="Times New Roman" w:hAnsi="Times New Roman"/>
                <w:szCs w:val="20"/>
              </w:rPr>
              <w:t xml:space="preserve">VL_JUR </w:t>
            </w:r>
            <w:r w:rsidRPr="00FA3856">
              <w:rPr>
                <w:rFonts w:ascii="Times New Roman" w:hAnsi="Times New Roman"/>
                <w:szCs w:val="20"/>
              </w:rPr>
              <w:t xml:space="preserve">está preenchido quando </w:t>
            </w:r>
            <w:r w:rsidR="00F66A79" w:rsidRPr="00FA3856">
              <w:rPr>
                <w:rFonts w:ascii="Times New Roman" w:hAnsi="Times New Roman"/>
                <w:szCs w:val="20"/>
              </w:rPr>
              <w:t>X320.</w:t>
            </w:r>
            <w:r w:rsidRPr="00FA3856">
              <w:rPr>
                <w:rFonts w:ascii="Times New Roman" w:hAnsi="Times New Roman"/>
                <w:szCs w:val="20"/>
              </w:rPr>
              <w:t>TIP_</w:t>
            </w:r>
            <w:r w:rsidR="007620FD" w:rsidRPr="00FA3856">
              <w:rPr>
                <w:rFonts w:ascii="Times New Roman" w:hAnsi="Times New Roman"/>
                <w:szCs w:val="20"/>
              </w:rPr>
              <w:t>IMP</w:t>
            </w:r>
            <w:r w:rsidR="00733508" w:rsidRPr="00FA3856">
              <w:rPr>
                <w:rFonts w:ascii="Times New Roman" w:hAnsi="Times New Roman"/>
                <w:szCs w:val="20"/>
              </w:rPr>
              <w:t xml:space="preserve"> </w:t>
            </w:r>
            <w:r w:rsidRPr="00FA3856">
              <w:rPr>
                <w:rFonts w:ascii="Times New Roman" w:hAnsi="Times New Roman"/>
                <w:szCs w:val="20"/>
              </w:rPr>
              <w:t>igual a “4” (operações financeiras).</w:t>
            </w:r>
          </w:p>
        </w:tc>
        <w:tc>
          <w:tcPr>
            <w:tcW w:w="717" w:type="dxa"/>
            <w:tcBorders>
              <w:top w:val="single" w:sz="6" w:space="0" w:color="auto"/>
              <w:left w:val="single" w:sz="6" w:space="0" w:color="auto"/>
              <w:bottom w:val="single" w:sz="6" w:space="0" w:color="auto"/>
              <w:right w:val="single" w:sz="6" w:space="0" w:color="auto"/>
            </w:tcBorders>
          </w:tcPr>
          <w:p w:rsidR="003266F0" w:rsidRPr="00FA3856" w:rsidRDefault="003266F0" w:rsidP="003266F0">
            <w:pPr>
              <w:pStyle w:val="PSDS-CorpodeTexto0"/>
              <w:rPr>
                <w:rFonts w:ascii="Times New Roman" w:hAnsi="Times New Roman"/>
              </w:rPr>
            </w:pPr>
            <w:r w:rsidRPr="00FA3856">
              <w:rPr>
                <w:rFonts w:ascii="Times New Roman" w:hAnsi="Times New Roman"/>
              </w:rPr>
              <w:t>Erro</w:t>
            </w:r>
          </w:p>
          <w:p w:rsidR="003266F0" w:rsidRPr="00FA3856" w:rsidRDefault="003266F0" w:rsidP="003266F0">
            <w:pPr>
              <w:pStyle w:val="PSDS-CorpodeTexto0"/>
              <w:rPr>
                <w:rFonts w:ascii="Times New Roman" w:hAnsi="Times New Roman"/>
              </w:rPr>
            </w:pPr>
          </w:p>
        </w:tc>
      </w:tr>
      <w:tr w:rsidR="003266F0" w:rsidRPr="00FA3856" w:rsidTr="00170D01">
        <w:trPr>
          <w:jc w:val="center"/>
        </w:trPr>
        <w:tc>
          <w:tcPr>
            <w:tcW w:w="485" w:type="dxa"/>
            <w:tcBorders>
              <w:top w:val="single" w:sz="6" w:space="0" w:color="auto"/>
              <w:left w:val="single" w:sz="6" w:space="0" w:color="auto"/>
              <w:bottom w:val="single" w:sz="6" w:space="0" w:color="auto"/>
              <w:right w:val="single" w:sz="6" w:space="0" w:color="auto"/>
            </w:tcBorders>
          </w:tcPr>
          <w:p w:rsidR="003266F0" w:rsidRPr="00FA3856" w:rsidRDefault="005D7F4F" w:rsidP="003266F0">
            <w:pPr>
              <w:pStyle w:val="PSDS-CorpodeTexto0"/>
              <w:suppressAutoHyphens w:val="0"/>
              <w:rPr>
                <w:rFonts w:ascii="Times New Roman" w:hAnsi="Times New Roman"/>
                <w:b/>
                <w:bCs/>
                <w:lang w:val="pt-PT"/>
              </w:rPr>
            </w:pPr>
            <w:r w:rsidRPr="00FA3856">
              <w:rPr>
                <w:rFonts w:ascii="Times New Roman" w:hAnsi="Times New Roman"/>
                <w:b/>
                <w:bCs/>
                <w:lang w:val="pt-PT"/>
              </w:rPr>
              <w:t>14</w:t>
            </w:r>
          </w:p>
        </w:tc>
        <w:tc>
          <w:tcPr>
            <w:tcW w:w="3000" w:type="dxa"/>
            <w:tcBorders>
              <w:top w:val="single" w:sz="6" w:space="0" w:color="auto"/>
              <w:left w:val="single" w:sz="6" w:space="0" w:color="auto"/>
              <w:bottom w:val="single" w:sz="6" w:space="0" w:color="auto"/>
              <w:right w:val="single" w:sz="6" w:space="0" w:color="auto"/>
            </w:tcBorders>
          </w:tcPr>
          <w:p w:rsidR="003266F0" w:rsidRPr="00FA3856" w:rsidRDefault="003266F0" w:rsidP="003266F0">
            <w:pPr>
              <w:pStyle w:val="PSDS-CorpodeTexto0"/>
              <w:rPr>
                <w:rFonts w:ascii="Times New Roman" w:hAnsi="Times New Roman"/>
              </w:rPr>
            </w:pPr>
            <w:r w:rsidRPr="00FA3856">
              <w:rPr>
                <w:rFonts w:ascii="Times New Roman" w:hAnsi="Times New Roman"/>
              </w:rPr>
              <w:t>VL_JUR_MIN</w:t>
            </w:r>
          </w:p>
        </w:tc>
        <w:tc>
          <w:tcPr>
            <w:tcW w:w="12168" w:type="dxa"/>
            <w:tcBorders>
              <w:top w:val="single" w:sz="6" w:space="0" w:color="auto"/>
              <w:left w:val="single" w:sz="6" w:space="0" w:color="auto"/>
              <w:bottom w:val="single" w:sz="6" w:space="0" w:color="auto"/>
              <w:right w:val="single" w:sz="6" w:space="0" w:color="auto"/>
            </w:tcBorders>
          </w:tcPr>
          <w:p w:rsidR="003266F0" w:rsidRPr="00FA3856" w:rsidRDefault="003266F0" w:rsidP="007C7CBD">
            <w:pPr>
              <w:pStyle w:val="Corpodetexto"/>
              <w:rPr>
                <w:rFonts w:ascii="Times New Roman" w:hAnsi="Times New Roman"/>
                <w:b/>
                <w:szCs w:val="20"/>
              </w:rPr>
            </w:pPr>
            <w:r w:rsidRPr="00FA3856">
              <w:rPr>
                <w:rFonts w:ascii="Times New Roman" w:hAnsi="Times New Roman"/>
                <w:b/>
                <w:szCs w:val="20"/>
              </w:rPr>
              <w:t>REGRA_</w:t>
            </w:r>
            <w:r w:rsidR="007C7CBD" w:rsidRPr="00FA3856">
              <w:rPr>
                <w:rFonts w:ascii="Times New Roman" w:hAnsi="Times New Roman"/>
                <w:b/>
                <w:szCs w:val="20"/>
              </w:rPr>
              <w:t>VL_JUR_MIN</w:t>
            </w:r>
            <w:r w:rsidRPr="00FA3856">
              <w:rPr>
                <w:rFonts w:ascii="Times New Roman" w:hAnsi="Times New Roman"/>
                <w:b/>
                <w:szCs w:val="20"/>
              </w:rPr>
              <w:t>_OBRIGATORIO</w:t>
            </w:r>
            <w:r w:rsidR="008C105B" w:rsidRPr="00FA3856">
              <w:rPr>
                <w:rFonts w:ascii="Times New Roman" w:hAnsi="Times New Roman"/>
                <w:b/>
                <w:szCs w:val="20"/>
              </w:rPr>
              <w:t>_X320</w:t>
            </w:r>
            <w:r w:rsidRPr="00FA3856">
              <w:rPr>
                <w:rFonts w:ascii="Times New Roman" w:hAnsi="Times New Roman"/>
                <w:b/>
                <w:szCs w:val="20"/>
              </w:rPr>
              <w:t xml:space="preserve">: </w:t>
            </w:r>
            <w:r w:rsidRPr="00FA3856">
              <w:rPr>
                <w:rFonts w:ascii="Times New Roman" w:hAnsi="Times New Roman"/>
                <w:szCs w:val="20"/>
              </w:rPr>
              <w:t xml:space="preserve">Verifica se </w:t>
            </w:r>
            <w:r w:rsidR="00F66A79" w:rsidRPr="00FA3856">
              <w:rPr>
                <w:rFonts w:ascii="Times New Roman" w:hAnsi="Times New Roman"/>
                <w:szCs w:val="20"/>
              </w:rPr>
              <w:t>X320.</w:t>
            </w:r>
            <w:r w:rsidR="00733508" w:rsidRPr="00FA3856">
              <w:rPr>
                <w:rFonts w:ascii="Times New Roman" w:hAnsi="Times New Roman"/>
                <w:szCs w:val="20"/>
              </w:rPr>
              <w:t xml:space="preserve">VL_JUR_MIN </w:t>
            </w:r>
            <w:r w:rsidR="007620FD" w:rsidRPr="00FA3856">
              <w:rPr>
                <w:rFonts w:ascii="Times New Roman" w:hAnsi="Times New Roman"/>
                <w:szCs w:val="20"/>
              </w:rPr>
              <w:t xml:space="preserve">está preenchido quando </w:t>
            </w:r>
            <w:r w:rsidR="00F66A79" w:rsidRPr="00FA3856">
              <w:rPr>
                <w:rFonts w:ascii="Times New Roman" w:hAnsi="Times New Roman"/>
                <w:szCs w:val="20"/>
              </w:rPr>
              <w:t>X320.</w:t>
            </w:r>
            <w:r w:rsidR="007620FD" w:rsidRPr="00FA3856">
              <w:rPr>
                <w:rFonts w:ascii="Times New Roman" w:hAnsi="Times New Roman"/>
                <w:szCs w:val="20"/>
              </w:rPr>
              <w:t>TIP_IMP</w:t>
            </w:r>
            <w:r w:rsidR="00733508" w:rsidRPr="00FA3856">
              <w:rPr>
                <w:rFonts w:ascii="Times New Roman" w:hAnsi="Times New Roman"/>
                <w:szCs w:val="20"/>
              </w:rPr>
              <w:t xml:space="preserve"> </w:t>
            </w:r>
            <w:r w:rsidRPr="00FA3856">
              <w:rPr>
                <w:rFonts w:ascii="Times New Roman" w:hAnsi="Times New Roman"/>
                <w:szCs w:val="20"/>
              </w:rPr>
              <w:t>igual a “4” (operações financeiras).</w:t>
            </w:r>
          </w:p>
        </w:tc>
        <w:tc>
          <w:tcPr>
            <w:tcW w:w="717" w:type="dxa"/>
            <w:tcBorders>
              <w:top w:val="single" w:sz="6" w:space="0" w:color="auto"/>
              <w:left w:val="single" w:sz="6" w:space="0" w:color="auto"/>
              <w:bottom w:val="single" w:sz="6" w:space="0" w:color="auto"/>
              <w:right w:val="single" w:sz="6" w:space="0" w:color="auto"/>
            </w:tcBorders>
          </w:tcPr>
          <w:p w:rsidR="003266F0" w:rsidRPr="00FA3856" w:rsidRDefault="003266F0" w:rsidP="003266F0">
            <w:pPr>
              <w:pStyle w:val="PSDS-CorpodeTexto0"/>
              <w:rPr>
                <w:rFonts w:ascii="Times New Roman" w:hAnsi="Times New Roman"/>
              </w:rPr>
            </w:pPr>
            <w:r w:rsidRPr="00FA3856">
              <w:rPr>
                <w:rFonts w:ascii="Times New Roman" w:hAnsi="Times New Roman"/>
              </w:rPr>
              <w:t>Erro</w:t>
            </w:r>
          </w:p>
          <w:p w:rsidR="003266F0" w:rsidRPr="00FA3856" w:rsidRDefault="003266F0" w:rsidP="003266F0">
            <w:pPr>
              <w:pStyle w:val="PSDS-CorpodeTexto0"/>
              <w:rPr>
                <w:rFonts w:ascii="Times New Roman" w:hAnsi="Times New Roman"/>
              </w:rPr>
            </w:pPr>
          </w:p>
        </w:tc>
      </w:tr>
      <w:tr w:rsidR="003266F0" w:rsidRPr="00FA3856" w:rsidTr="00170D01">
        <w:trPr>
          <w:jc w:val="center"/>
        </w:trPr>
        <w:tc>
          <w:tcPr>
            <w:tcW w:w="485" w:type="dxa"/>
            <w:tcBorders>
              <w:top w:val="single" w:sz="6" w:space="0" w:color="auto"/>
              <w:left w:val="single" w:sz="6" w:space="0" w:color="auto"/>
              <w:bottom w:val="single" w:sz="6" w:space="0" w:color="auto"/>
              <w:right w:val="single" w:sz="6" w:space="0" w:color="auto"/>
            </w:tcBorders>
          </w:tcPr>
          <w:p w:rsidR="003266F0" w:rsidRPr="00FA3856" w:rsidRDefault="005D7F4F" w:rsidP="003266F0">
            <w:pPr>
              <w:pStyle w:val="PSDS-CorpodeTexto0"/>
              <w:suppressAutoHyphens w:val="0"/>
              <w:rPr>
                <w:rFonts w:ascii="Times New Roman" w:hAnsi="Times New Roman"/>
                <w:b/>
                <w:bCs/>
                <w:lang w:val="pt-PT"/>
              </w:rPr>
            </w:pPr>
            <w:r w:rsidRPr="00FA3856">
              <w:rPr>
                <w:rFonts w:ascii="Times New Roman" w:hAnsi="Times New Roman"/>
                <w:b/>
                <w:bCs/>
                <w:lang w:val="pt-PT"/>
              </w:rPr>
              <w:t>15</w:t>
            </w:r>
          </w:p>
        </w:tc>
        <w:tc>
          <w:tcPr>
            <w:tcW w:w="3000" w:type="dxa"/>
            <w:tcBorders>
              <w:top w:val="single" w:sz="6" w:space="0" w:color="auto"/>
              <w:left w:val="single" w:sz="6" w:space="0" w:color="auto"/>
              <w:bottom w:val="single" w:sz="6" w:space="0" w:color="auto"/>
              <w:right w:val="single" w:sz="6" w:space="0" w:color="auto"/>
            </w:tcBorders>
          </w:tcPr>
          <w:p w:rsidR="003266F0" w:rsidRPr="00FA3856" w:rsidRDefault="003266F0" w:rsidP="003266F0">
            <w:pPr>
              <w:pStyle w:val="PSDS-CorpodeTexto0"/>
              <w:rPr>
                <w:rFonts w:ascii="Times New Roman" w:hAnsi="Times New Roman"/>
              </w:rPr>
            </w:pPr>
            <w:r w:rsidRPr="00FA3856">
              <w:rPr>
                <w:rFonts w:ascii="Times New Roman" w:hAnsi="Times New Roman"/>
              </w:rPr>
              <w:t>VL_JUR_MAX</w:t>
            </w:r>
          </w:p>
        </w:tc>
        <w:tc>
          <w:tcPr>
            <w:tcW w:w="12168" w:type="dxa"/>
            <w:tcBorders>
              <w:top w:val="single" w:sz="6" w:space="0" w:color="auto"/>
              <w:left w:val="single" w:sz="6" w:space="0" w:color="auto"/>
              <w:bottom w:val="single" w:sz="6" w:space="0" w:color="auto"/>
              <w:right w:val="single" w:sz="6" w:space="0" w:color="auto"/>
            </w:tcBorders>
          </w:tcPr>
          <w:p w:rsidR="003266F0" w:rsidRPr="00FA3856" w:rsidRDefault="003266F0" w:rsidP="007C7CBD">
            <w:pPr>
              <w:pStyle w:val="Corpodetexto"/>
              <w:rPr>
                <w:rFonts w:ascii="Times New Roman" w:hAnsi="Times New Roman"/>
                <w:b/>
                <w:szCs w:val="20"/>
              </w:rPr>
            </w:pPr>
            <w:r w:rsidRPr="00FA3856">
              <w:rPr>
                <w:rFonts w:ascii="Times New Roman" w:hAnsi="Times New Roman"/>
                <w:b/>
                <w:szCs w:val="20"/>
              </w:rPr>
              <w:t>REGRA_</w:t>
            </w:r>
            <w:r w:rsidR="007C7CBD" w:rsidRPr="00FA3856">
              <w:rPr>
                <w:rFonts w:ascii="Times New Roman" w:hAnsi="Times New Roman"/>
                <w:b/>
                <w:szCs w:val="20"/>
              </w:rPr>
              <w:t>VL_JUR_MAX</w:t>
            </w:r>
            <w:r w:rsidRPr="00FA3856">
              <w:rPr>
                <w:rFonts w:ascii="Times New Roman" w:hAnsi="Times New Roman"/>
                <w:b/>
                <w:szCs w:val="20"/>
              </w:rPr>
              <w:t>_OBRIGATORIO</w:t>
            </w:r>
            <w:r w:rsidR="008C105B" w:rsidRPr="00FA3856">
              <w:rPr>
                <w:rFonts w:ascii="Times New Roman" w:hAnsi="Times New Roman"/>
                <w:b/>
                <w:szCs w:val="20"/>
              </w:rPr>
              <w:t>_X320</w:t>
            </w:r>
            <w:r w:rsidRPr="00FA3856">
              <w:rPr>
                <w:rFonts w:ascii="Times New Roman" w:hAnsi="Times New Roman"/>
                <w:b/>
                <w:szCs w:val="20"/>
              </w:rPr>
              <w:t xml:space="preserve">: </w:t>
            </w:r>
            <w:r w:rsidRPr="00FA3856">
              <w:rPr>
                <w:rFonts w:ascii="Times New Roman" w:hAnsi="Times New Roman"/>
                <w:szCs w:val="20"/>
              </w:rPr>
              <w:t xml:space="preserve">Verifica se </w:t>
            </w:r>
            <w:r w:rsidR="00F66A79" w:rsidRPr="00FA3856">
              <w:rPr>
                <w:rFonts w:ascii="Times New Roman" w:hAnsi="Times New Roman"/>
                <w:szCs w:val="20"/>
              </w:rPr>
              <w:t>X320.</w:t>
            </w:r>
            <w:r w:rsidR="00733508" w:rsidRPr="00FA3856">
              <w:rPr>
                <w:rFonts w:ascii="Times New Roman" w:hAnsi="Times New Roman"/>
                <w:szCs w:val="20"/>
              </w:rPr>
              <w:t xml:space="preserve">VL_JUR_MAX </w:t>
            </w:r>
            <w:r w:rsidRPr="00FA3856">
              <w:rPr>
                <w:rFonts w:ascii="Times New Roman" w:hAnsi="Times New Roman"/>
                <w:szCs w:val="20"/>
              </w:rPr>
              <w:t xml:space="preserve">está preenchido quando </w:t>
            </w:r>
            <w:r w:rsidR="00600647" w:rsidRPr="00FA3856">
              <w:rPr>
                <w:rFonts w:ascii="Times New Roman" w:hAnsi="Times New Roman"/>
                <w:szCs w:val="20"/>
              </w:rPr>
              <w:t>X320.</w:t>
            </w:r>
            <w:r w:rsidRPr="00FA3856">
              <w:rPr>
                <w:rFonts w:ascii="Times New Roman" w:hAnsi="Times New Roman"/>
                <w:szCs w:val="20"/>
              </w:rPr>
              <w:t>TIP_</w:t>
            </w:r>
            <w:r w:rsidR="007620FD" w:rsidRPr="00FA3856">
              <w:rPr>
                <w:rFonts w:ascii="Times New Roman" w:hAnsi="Times New Roman"/>
                <w:szCs w:val="20"/>
              </w:rPr>
              <w:t>IMP</w:t>
            </w:r>
            <w:r w:rsidR="00733508" w:rsidRPr="00FA3856">
              <w:rPr>
                <w:rFonts w:ascii="Times New Roman" w:hAnsi="Times New Roman"/>
                <w:szCs w:val="20"/>
              </w:rPr>
              <w:t xml:space="preserve"> </w:t>
            </w:r>
            <w:r w:rsidRPr="00FA3856">
              <w:rPr>
                <w:rFonts w:ascii="Times New Roman" w:hAnsi="Times New Roman"/>
                <w:szCs w:val="20"/>
              </w:rPr>
              <w:t>igual a “4” (operações financeiras).</w:t>
            </w:r>
          </w:p>
        </w:tc>
        <w:tc>
          <w:tcPr>
            <w:tcW w:w="717" w:type="dxa"/>
            <w:tcBorders>
              <w:top w:val="single" w:sz="6" w:space="0" w:color="auto"/>
              <w:left w:val="single" w:sz="6" w:space="0" w:color="auto"/>
              <w:bottom w:val="single" w:sz="6" w:space="0" w:color="auto"/>
              <w:right w:val="single" w:sz="6" w:space="0" w:color="auto"/>
            </w:tcBorders>
          </w:tcPr>
          <w:p w:rsidR="003266F0" w:rsidRPr="00FA3856" w:rsidRDefault="003266F0" w:rsidP="003266F0">
            <w:pPr>
              <w:pStyle w:val="PSDS-CorpodeTexto0"/>
              <w:rPr>
                <w:rFonts w:ascii="Times New Roman" w:hAnsi="Times New Roman"/>
              </w:rPr>
            </w:pPr>
            <w:r w:rsidRPr="00FA3856">
              <w:rPr>
                <w:rFonts w:ascii="Times New Roman" w:hAnsi="Times New Roman"/>
              </w:rPr>
              <w:t>Erro</w:t>
            </w:r>
          </w:p>
          <w:p w:rsidR="003266F0" w:rsidRPr="00FA3856" w:rsidRDefault="003266F0" w:rsidP="003266F0">
            <w:pPr>
              <w:pStyle w:val="PSDS-CorpodeTexto0"/>
              <w:rPr>
                <w:rFonts w:ascii="Times New Roman" w:hAnsi="Times New Roman"/>
              </w:rPr>
            </w:pPr>
          </w:p>
        </w:tc>
      </w:tr>
      <w:tr w:rsidR="003266F0" w:rsidRPr="00FA3856" w:rsidTr="00170D01">
        <w:trPr>
          <w:jc w:val="center"/>
        </w:trPr>
        <w:tc>
          <w:tcPr>
            <w:tcW w:w="485" w:type="dxa"/>
            <w:tcBorders>
              <w:top w:val="single" w:sz="6" w:space="0" w:color="auto"/>
              <w:left w:val="single" w:sz="6" w:space="0" w:color="auto"/>
              <w:bottom w:val="single" w:sz="6" w:space="0" w:color="auto"/>
              <w:right w:val="single" w:sz="6" w:space="0" w:color="auto"/>
            </w:tcBorders>
          </w:tcPr>
          <w:p w:rsidR="003266F0" w:rsidRPr="00FA3856" w:rsidRDefault="005D7F4F" w:rsidP="003266F0">
            <w:pPr>
              <w:pStyle w:val="PSDS-CorpodeTexto0"/>
              <w:suppressAutoHyphens w:val="0"/>
              <w:rPr>
                <w:rFonts w:ascii="Times New Roman" w:hAnsi="Times New Roman"/>
                <w:b/>
                <w:bCs/>
                <w:lang w:val="pt-PT"/>
              </w:rPr>
            </w:pPr>
            <w:r w:rsidRPr="00FA3856">
              <w:rPr>
                <w:rFonts w:ascii="Times New Roman" w:hAnsi="Times New Roman"/>
                <w:b/>
                <w:bCs/>
                <w:lang w:val="pt-PT"/>
              </w:rPr>
              <w:t>16</w:t>
            </w:r>
          </w:p>
        </w:tc>
        <w:tc>
          <w:tcPr>
            <w:tcW w:w="3000" w:type="dxa"/>
            <w:tcBorders>
              <w:top w:val="single" w:sz="6" w:space="0" w:color="auto"/>
              <w:left w:val="single" w:sz="6" w:space="0" w:color="auto"/>
              <w:bottom w:val="single" w:sz="6" w:space="0" w:color="auto"/>
              <w:right w:val="single" w:sz="6" w:space="0" w:color="auto"/>
            </w:tcBorders>
          </w:tcPr>
          <w:p w:rsidR="003266F0" w:rsidRPr="00FA3856" w:rsidRDefault="003266F0" w:rsidP="003266F0">
            <w:pPr>
              <w:pStyle w:val="PSDS-CorpodeTexto0"/>
              <w:rPr>
                <w:rFonts w:ascii="Times New Roman" w:hAnsi="Times New Roman"/>
              </w:rPr>
            </w:pPr>
            <w:r w:rsidRPr="00FA3856">
              <w:rPr>
                <w:rFonts w:ascii="Times New Roman" w:hAnsi="Times New Roman"/>
              </w:rPr>
              <w:t>COD_CNC</w:t>
            </w:r>
          </w:p>
        </w:tc>
        <w:tc>
          <w:tcPr>
            <w:tcW w:w="12168" w:type="dxa"/>
            <w:tcBorders>
              <w:top w:val="single" w:sz="6" w:space="0" w:color="auto"/>
              <w:left w:val="single" w:sz="6" w:space="0" w:color="auto"/>
              <w:bottom w:val="single" w:sz="6" w:space="0" w:color="auto"/>
              <w:right w:val="single" w:sz="6" w:space="0" w:color="auto"/>
            </w:tcBorders>
          </w:tcPr>
          <w:p w:rsidR="003266F0" w:rsidRPr="00FA3856" w:rsidRDefault="003266F0" w:rsidP="007C7CBD">
            <w:pPr>
              <w:pStyle w:val="Corpodetexto"/>
              <w:rPr>
                <w:rFonts w:ascii="Times New Roman" w:hAnsi="Times New Roman"/>
                <w:szCs w:val="20"/>
              </w:rPr>
            </w:pPr>
            <w:r w:rsidRPr="00FA3856">
              <w:rPr>
                <w:rFonts w:ascii="Times New Roman" w:hAnsi="Times New Roman"/>
                <w:b/>
                <w:szCs w:val="20"/>
              </w:rPr>
              <w:t>REGRA_</w:t>
            </w:r>
            <w:r w:rsidR="007C7CBD" w:rsidRPr="00FA3856">
              <w:rPr>
                <w:rFonts w:ascii="Times New Roman" w:hAnsi="Times New Roman"/>
                <w:b/>
                <w:szCs w:val="20"/>
              </w:rPr>
              <w:t>COD_CNC</w:t>
            </w:r>
            <w:r w:rsidRPr="00FA3856">
              <w:rPr>
                <w:rFonts w:ascii="Times New Roman" w:hAnsi="Times New Roman"/>
                <w:b/>
                <w:szCs w:val="20"/>
              </w:rPr>
              <w:t xml:space="preserve">_OBRIGATORIO: </w:t>
            </w:r>
            <w:r w:rsidRPr="00FA3856">
              <w:rPr>
                <w:rFonts w:ascii="Times New Roman" w:hAnsi="Times New Roman"/>
                <w:szCs w:val="20"/>
              </w:rPr>
              <w:t xml:space="preserve">Verifica se </w:t>
            </w:r>
            <w:r w:rsidR="00600647" w:rsidRPr="00FA3856">
              <w:rPr>
                <w:rFonts w:ascii="Times New Roman" w:hAnsi="Times New Roman"/>
                <w:szCs w:val="20"/>
              </w:rPr>
              <w:t>X320.</w:t>
            </w:r>
            <w:r w:rsidR="00733508" w:rsidRPr="00FA3856">
              <w:rPr>
                <w:rFonts w:ascii="Times New Roman" w:hAnsi="Times New Roman"/>
                <w:szCs w:val="20"/>
              </w:rPr>
              <w:t xml:space="preserve">COD_CNC </w:t>
            </w:r>
            <w:r w:rsidRPr="00FA3856">
              <w:rPr>
                <w:rFonts w:ascii="Times New Roman" w:hAnsi="Times New Roman"/>
                <w:szCs w:val="20"/>
              </w:rPr>
              <w:t xml:space="preserve">está preenchido quando </w:t>
            </w:r>
            <w:r w:rsidR="00600647" w:rsidRPr="00FA3856">
              <w:rPr>
                <w:rFonts w:ascii="Times New Roman" w:hAnsi="Times New Roman"/>
                <w:szCs w:val="20"/>
              </w:rPr>
              <w:t>X320.</w:t>
            </w:r>
            <w:r w:rsidRPr="00FA3856">
              <w:rPr>
                <w:rFonts w:ascii="Times New Roman" w:hAnsi="Times New Roman"/>
                <w:szCs w:val="20"/>
              </w:rPr>
              <w:t>TIP_</w:t>
            </w:r>
            <w:r w:rsidR="007620FD" w:rsidRPr="00FA3856">
              <w:rPr>
                <w:rFonts w:ascii="Times New Roman" w:hAnsi="Times New Roman"/>
                <w:szCs w:val="20"/>
              </w:rPr>
              <w:t>IMP</w:t>
            </w:r>
            <w:r w:rsidR="00733508" w:rsidRPr="00FA3856">
              <w:rPr>
                <w:rFonts w:ascii="Times New Roman" w:hAnsi="Times New Roman"/>
                <w:szCs w:val="20"/>
              </w:rPr>
              <w:t xml:space="preserve"> </w:t>
            </w:r>
            <w:r w:rsidRPr="00FA3856">
              <w:rPr>
                <w:rFonts w:ascii="Times New Roman" w:hAnsi="Times New Roman"/>
                <w:szCs w:val="20"/>
              </w:rPr>
              <w:t>igual a “4” (operações financeiras).</w:t>
            </w:r>
          </w:p>
        </w:tc>
        <w:tc>
          <w:tcPr>
            <w:tcW w:w="717" w:type="dxa"/>
            <w:tcBorders>
              <w:top w:val="single" w:sz="6" w:space="0" w:color="auto"/>
              <w:left w:val="single" w:sz="6" w:space="0" w:color="auto"/>
              <w:bottom w:val="single" w:sz="6" w:space="0" w:color="auto"/>
              <w:right w:val="single" w:sz="6" w:space="0" w:color="auto"/>
            </w:tcBorders>
          </w:tcPr>
          <w:p w:rsidR="003266F0" w:rsidRPr="00FA3856" w:rsidRDefault="003266F0" w:rsidP="003266F0">
            <w:pPr>
              <w:pStyle w:val="PSDS-CorpodeTexto0"/>
              <w:rPr>
                <w:rFonts w:ascii="Times New Roman" w:hAnsi="Times New Roman"/>
              </w:rPr>
            </w:pPr>
            <w:r w:rsidRPr="00FA3856">
              <w:rPr>
                <w:rFonts w:ascii="Times New Roman" w:hAnsi="Times New Roman"/>
              </w:rPr>
              <w:t>Erro</w:t>
            </w:r>
          </w:p>
          <w:p w:rsidR="003266F0" w:rsidRPr="00FA3856" w:rsidRDefault="003266F0" w:rsidP="003266F0">
            <w:pPr>
              <w:pStyle w:val="PSDS-CorpodeTexto0"/>
              <w:rPr>
                <w:rFonts w:ascii="Times New Roman" w:hAnsi="Times New Roman"/>
              </w:rPr>
            </w:pPr>
            <w:r w:rsidRPr="00FA3856">
              <w:rPr>
                <w:rFonts w:ascii="Times New Roman" w:hAnsi="Times New Roman"/>
              </w:rPr>
              <w:t>Erro</w:t>
            </w:r>
          </w:p>
        </w:tc>
      </w:tr>
      <w:tr w:rsidR="003266F0" w:rsidRPr="00FA3856" w:rsidTr="00170D01">
        <w:trPr>
          <w:jc w:val="center"/>
        </w:trPr>
        <w:tc>
          <w:tcPr>
            <w:tcW w:w="485" w:type="dxa"/>
            <w:tcBorders>
              <w:top w:val="single" w:sz="6" w:space="0" w:color="auto"/>
              <w:left w:val="single" w:sz="6" w:space="0" w:color="auto"/>
              <w:bottom w:val="single" w:sz="6" w:space="0" w:color="auto"/>
              <w:right w:val="single" w:sz="6" w:space="0" w:color="auto"/>
            </w:tcBorders>
          </w:tcPr>
          <w:p w:rsidR="003266F0" w:rsidRPr="00FA3856" w:rsidRDefault="005D7F4F" w:rsidP="003266F0">
            <w:pPr>
              <w:pStyle w:val="PSDS-CorpodeTexto0"/>
              <w:suppressAutoHyphens w:val="0"/>
              <w:rPr>
                <w:rFonts w:ascii="Times New Roman" w:hAnsi="Times New Roman"/>
                <w:b/>
                <w:bCs/>
                <w:lang w:val="pt-PT"/>
              </w:rPr>
            </w:pPr>
            <w:r w:rsidRPr="00FA3856">
              <w:rPr>
                <w:rFonts w:ascii="Times New Roman" w:hAnsi="Times New Roman"/>
                <w:b/>
                <w:bCs/>
                <w:lang w:val="pt-PT"/>
              </w:rPr>
              <w:t>17</w:t>
            </w:r>
          </w:p>
        </w:tc>
        <w:tc>
          <w:tcPr>
            <w:tcW w:w="3000" w:type="dxa"/>
            <w:tcBorders>
              <w:top w:val="single" w:sz="6" w:space="0" w:color="auto"/>
              <w:left w:val="single" w:sz="6" w:space="0" w:color="auto"/>
              <w:bottom w:val="single" w:sz="6" w:space="0" w:color="auto"/>
              <w:right w:val="single" w:sz="6" w:space="0" w:color="auto"/>
            </w:tcBorders>
          </w:tcPr>
          <w:p w:rsidR="003266F0" w:rsidRPr="00FA3856" w:rsidRDefault="003266F0" w:rsidP="003266F0">
            <w:pPr>
              <w:pStyle w:val="PSDS-CorpodeTexto0"/>
              <w:rPr>
                <w:rFonts w:ascii="Times New Roman" w:hAnsi="Times New Roman"/>
              </w:rPr>
            </w:pPr>
            <w:r w:rsidRPr="00FA3856">
              <w:rPr>
                <w:rFonts w:ascii="Times New Roman" w:hAnsi="Times New Roman"/>
              </w:rPr>
              <w:t>TIP_MOEDA</w:t>
            </w:r>
          </w:p>
        </w:tc>
        <w:tc>
          <w:tcPr>
            <w:tcW w:w="12168" w:type="dxa"/>
            <w:tcBorders>
              <w:top w:val="single" w:sz="6" w:space="0" w:color="auto"/>
              <w:left w:val="single" w:sz="6" w:space="0" w:color="auto"/>
              <w:bottom w:val="single" w:sz="6" w:space="0" w:color="auto"/>
              <w:right w:val="single" w:sz="6" w:space="0" w:color="auto"/>
            </w:tcBorders>
          </w:tcPr>
          <w:p w:rsidR="007C7CBD" w:rsidRPr="00FA3856" w:rsidRDefault="003266F0" w:rsidP="007C7CBD">
            <w:pPr>
              <w:pStyle w:val="Corpodetexto"/>
              <w:rPr>
                <w:rFonts w:ascii="Times New Roman" w:hAnsi="Times New Roman"/>
                <w:szCs w:val="20"/>
              </w:rPr>
            </w:pPr>
            <w:r w:rsidRPr="00FA3856">
              <w:rPr>
                <w:rFonts w:ascii="Times New Roman" w:hAnsi="Times New Roman"/>
                <w:b/>
                <w:szCs w:val="20"/>
              </w:rPr>
              <w:t>REGRA_TIP_</w:t>
            </w:r>
            <w:r w:rsidR="007C7CBD" w:rsidRPr="00FA3856">
              <w:rPr>
                <w:rFonts w:ascii="Times New Roman" w:hAnsi="Times New Roman"/>
                <w:b/>
                <w:szCs w:val="20"/>
              </w:rPr>
              <w:t>MOEDA</w:t>
            </w:r>
            <w:r w:rsidRPr="00FA3856">
              <w:rPr>
                <w:rFonts w:ascii="Times New Roman" w:hAnsi="Times New Roman"/>
                <w:b/>
                <w:szCs w:val="20"/>
              </w:rPr>
              <w:t xml:space="preserve">_OBRIGATORIO: </w:t>
            </w:r>
            <w:r w:rsidRPr="00FA3856">
              <w:rPr>
                <w:rFonts w:ascii="Times New Roman" w:hAnsi="Times New Roman"/>
                <w:szCs w:val="20"/>
              </w:rPr>
              <w:t xml:space="preserve">Verifica se </w:t>
            </w:r>
            <w:r w:rsidR="00600647" w:rsidRPr="00FA3856">
              <w:rPr>
                <w:rFonts w:ascii="Times New Roman" w:hAnsi="Times New Roman"/>
                <w:szCs w:val="20"/>
              </w:rPr>
              <w:t>X320.</w:t>
            </w:r>
            <w:r w:rsidR="00733508" w:rsidRPr="00FA3856">
              <w:rPr>
                <w:rFonts w:ascii="Times New Roman" w:hAnsi="Times New Roman"/>
                <w:szCs w:val="20"/>
              </w:rPr>
              <w:t xml:space="preserve">TIP_MOEDA </w:t>
            </w:r>
            <w:r w:rsidRPr="00FA3856">
              <w:rPr>
                <w:rFonts w:ascii="Times New Roman" w:hAnsi="Times New Roman"/>
                <w:szCs w:val="20"/>
              </w:rPr>
              <w:t xml:space="preserve">está preenchido quando </w:t>
            </w:r>
            <w:r w:rsidR="00600647" w:rsidRPr="00FA3856">
              <w:rPr>
                <w:rFonts w:ascii="Times New Roman" w:hAnsi="Times New Roman"/>
                <w:szCs w:val="20"/>
              </w:rPr>
              <w:t>X320.</w:t>
            </w:r>
            <w:r w:rsidRPr="00FA3856">
              <w:rPr>
                <w:rFonts w:ascii="Times New Roman" w:hAnsi="Times New Roman"/>
                <w:szCs w:val="20"/>
              </w:rPr>
              <w:t>TIP_</w:t>
            </w:r>
            <w:r w:rsidR="007620FD" w:rsidRPr="00FA3856">
              <w:rPr>
                <w:rFonts w:ascii="Times New Roman" w:hAnsi="Times New Roman"/>
                <w:szCs w:val="20"/>
              </w:rPr>
              <w:t>IMP</w:t>
            </w:r>
            <w:r w:rsidR="00733508" w:rsidRPr="00FA3856">
              <w:rPr>
                <w:rFonts w:ascii="Times New Roman" w:hAnsi="Times New Roman"/>
                <w:szCs w:val="20"/>
              </w:rPr>
              <w:t xml:space="preserve"> </w:t>
            </w:r>
            <w:r w:rsidRPr="00FA3856">
              <w:rPr>
                <w:rFonts w:ascii="Times New Roman" w:hAnsi="Times New Roman"/>
                <w:szCs w:val="20"/>
              </w:rPr>
              <w:t>igual a “4” (operações financeiras).</w:t>
            </w:r>
          </w:p>
        </w:tc>
        <w:tc>
          <w:tcPr>
            <w:tcW w:w="717" w:type="dxa"/>
            <w:tcBorders>
              <w:top w:val="single" w:sz="6" w:space="0" w:color="auto"/>
              <w:left w:val="single" w:sz="6" w:space="0" w:color="auto"/>
              <w:bottom w:val="single" w:sz="6" w:space="0" w:color="auto"/>
              <w:right w:val="single" w:sz="6" w:space="0" w:color="auto"/>
            </w:tcBorders>
          </w:tcPr>
          <w:p w:rsidR="003266F0" w:rsidRPr="00FA3856" w:rsidRDefault="003266F0" w:rsidP="003266F0">
            <w:pPr>
              <w:pStyle w:val="PSDS-CorpodeTexto0"/>
              <w:rPr>
                <w:rFonts w:ascii="Times New Roman" w:hAnsi="Times New Roman"/>
              </w:rPr>
            </w:pPr>
            <w:r w:rsidRPr="00FA3856">
              <w:rPr>
                <w:rFonts w:ascii="Times New Roman" w:hAnsi="Times New Roman"/>
              </w:rPr>
              <w:t>Erro</w:t>
            </w:r>
          </w:p>
          <w:p w:rsidR="003266F0" w:rsidRPr="00FA3856" w:rsidRDefault="003266F0" w:rsidP="003266F0">
            <w:pPr>
              <w:pStyle w:val="PSDS-CorpodeTexto0"/>
              <w:rPr>
                <w:rFonts w:ascii="Times New Roman" w:hAnsi="Times New Roman"/>
              </w:rPr>
            </w:pPr>
          </w:p>
        </w:tc>
      </w:tr>
    </w:tbl>
    <w:p w:rsidR="00A570FD" w:rsidRPr="00FA3856" w:rsidRDefault="00A570FD" w:rsidP="00A570FD">
      <w:pPr>
        <w:rPr>
          <w:color w:val="0000FF"/>
          <w:szCs w:val="20"/>
        </w:rPr>
      </w:pPr>
    </w:p>
    <w:p w:rsidR="008671CE" w:rsidRDefault="00F66A79" w:rsidP="00F66A79">
      <w:pPr>
        <w:rPr>
          <w:b/>
          <w:color w:val="002060"/>
          <w:szCs w:val="20"/>
        </w:rPr>
      </w:pPr>
      <w:r w:rsidRPr="00FA3856">
        <w:rPr>
          <w:b/>
          <w:color w:val="002060"/>
          <w:szCs w:val="20"/>
        </w:rPr>
        <w:t xml:space="preserve">Exemplo de Preenchimento: </w:t>
      </w:r>
    </w:p>
    <w:p w:rsidR="008671CE" w:rsidRDefault="008671CE" w:rsidP="00F66A79">
      <w:pPr>
        <w:rPr>
          <w:b/>
          <w:color w:val="002060"/>
          <w:szCs w:val="20"/>
        </w:rPr>
      </w:pPr>
    </w:p>
    <w:p w:rsidR="00DD4BDD" w:rsidRPr="00FA3856" w:rsidRDefault="00DD4BDD" w:rsidP="00F66A79">
      <w:pPr>
        <w:rPr>
          <w:b/>
          <w:color w:val="002060"/>
          <w:szCs w:val="20"/>
        </w:rPr>
      </w:pPr>
      <w:r w:rsidRPr="00FA3856">
        <w:rPr>
          <w:b/>
          <w:color w:val="002060"/>
          <w:szCs w:val="20"/>
        </w:rPr>
        <w:t>|X320|01|01|BEM DO IMOBILIZADO|100000,00|11111111|</w:t>
      </w:r>
      <w:r w:rsidR="0057688B" w:rsidRPr="00FA3856">
        <w:rPr>
          <w:b/>
          <w:color w:val="002060"/>
          <w:szCs w:val="20"/>
        </w:rPr>
        <w:t>100|15|</w:t>
      </w:r>
      <w:r w:rsidR="004E57E7" w:rsidRPr="00FA3856">
        <w:rPr>
          <w:b/>
          <w:color w:val="002060"/>
          <w:szCs w:val="20"/>
        </w:rPr>
        <w:t>PRL20|90000,00|90000,00|</w:t>
      </w:r>
      <w:r w:rsidR="006E0618" w:rsidRPr="00FA3856">
        <w:rPr>
          <w:b/>
          <w:color w:val="002060"/>
          <w:szCs w:val="20"/>
        </w:rPr>
        <w:t>1000,00|0,00|0,00|0,00|||</w:t>
      </w:r>
    </w:p>
    <w:p w:rsidR="00DD4BDD" w:rsidRPr="00FA3856" w:rsidRDefault="00DD4BDD" w:rsidP="00F66A79">
      <w:pPr>
        <w:pStyle w:val="Corpodetexto"/>
        <w:spacing w:line="240" w:lineRule="auto"/>
        <w:ind w:firstLine="708"/>
        <w:rPr>
          <w:rFonts w:ascii="Times New Roman" w:hAnsi="Times New Roman"/>
          <w:color w:val="002060"/>
          <w:szCs w:val="20"/>
        </w:rPr>
      </w:pPr>
      <w:r w:rsidRPr="00FA3856">
        <w:rPr>
          <w:rFonts w:ascii="Times New Roman" w:hAnsi="Times New Roman"/>
          <w:color w:val="002060"/>
          <w:szCs w:val="20"/>
        </w:rPr>
        <w:t>|X320|: Identificação do tipo do registro.</w:t>
      </w:r>
    </w:p>
    <w:p w:rsidR="00DD4BDD" w:rsidRPr="00FA3856" w:rsidRDefault="00DD4BDD" w:rsidP="00DD4BDD">
      <w:pPr>
        <w:pStyle w:val="Corpodetexto"/>
        <w:ind w:firstLine="708"/>
        <w:rPr>
          <w:rFonts w:ascii="Times New Roman" w:hAnsi="Times New Roman"/>
          <w:color w:val="002060"/>
          <w:szCs w:val="20"/>
        </w:rPr>
      </w:pPr>
      <w:r w:rsidRPr="00FA3856">
        <w:rPr>
          <w:rFonts w:ascii="Times New Roman" w:hAnsi="Times New Roman"/>
          <w:color w:val="002060"/>
          <w:szCs w:val="20"/>
        </w:rPr>
        <w:t>|01|: Número de ordem para identificar a operação.</w:t>
      </w:r>
    </w:p>
    <w:p w:rsidR="00DD4BDD" w:rsidRPr="00FA3856" w:rsidRDefault="00DD4BDD" w:rsidP="00DD4BDD">
      <w:pPr>
        <w:pStyle w:val="Corpodetexto"/>
        <w:ind w:firstLine="708"/>
        <w:rPr>
          <w:rFonts w:ascii="Times New Roman" w:hAnsi="Times New Roman"/>
          <w:color w:val="002060"/>
          <w:szCs w:val="20"/>
        </w:rPr>
      </w:pPr>
      <w:r w:rsidRPr="00FA3856">
        <w:rPr>
          <w:rFonts w:ascii="Times New Roman" w:hAnsi="Times New Roman"/>
          <w:color w:val="002060"/>
          <w:szCs w:val="20"/>
        </w:rPr>
        <w:t>|01|: Tipo de importação (01 = Bens).</w:t>
      </w:r>
    </w:p>
    <w:p w:rsidR="00DD4BDD" w:rsidRPr="00FA3856" w:rsidRDefault="00DD4BDD" w:rsidP="00DD4BDD">
      <w:pPr>
        <w:pStyle w:val="Corpodetexto"/>
        <w:ind w:firstLine="708"/>
        <w:rPr>
          <w:rFonts w:ascii="Times New Roman" w:hAnsi="Times New Roman"/>
          <w:color w:val="002060"/>
          <w:szCs w:val="20"/>
        </w:rPr>
      </w:pPr>
      <w:r w:rsidRPr="00FA3856">
        <w:rPr>
          <w:rFonts w:ascii="Times New Roman" w:hAnsi="Times New Roman"/>
          <w:color w:val="002060"/>
          <w:szCs w:val="20"/>
        </w:rPr>
        <w:t>|BEM DO IMOBILIZADO|: Descrição do bem.</w:t>
      </w:r>
    </w:p>
    <w:p w:rsidR="00DD4BDD" w:rsidRPr="00FA3856" w:rsidRDefault="00DD4BDD" w:rsidP="00DD4BDD">
      <w:pPr>
        <w:pStyle w:val="Corpodetexto"/>
        <w:ind w:firstLine="708"/>
        <w:rPr>
          <w:rFonts w:ascii="Times New Roman" w:hAnsi="Times New Roman"/>
          <w:color w:val="002060"/>
          <w:szCs w:val="20"/>
        </w:rPr>
      </w:pPr>
      <w:r w:rsidRPr="00FA3856">
        <w:rPr>
          <w:rFonts w:ascii="Times New Roman" w:hAnsi="Times New Roman"/>
          <w:color w:val="002060"/>
          <w:szCs w:val="20"/>
        </w:rPr>
        <w:t>|100000,00|: Total da operação (R$ 100.000,00).</w:t>
      </w:r>
    </w:p>
    <w:p w:rsidR="00DD4BDD" w:rsidRPr="00FA3856" w:rsidRDefault="00DD4BDD" w:rsidP="00DD4BDD">
      <w:pPr>
        <w:pStyle w:val="Corpodetexto"/>
        <w:ind w:firstLine="708"/>
        <w:rPr>
          <w:rFonts w:ascii="Times New Roman" w:hAnsi="Times New Roman"/>
          <w:color w:val="002060"/>
          <w:szCs w:val="20"/>
        </w:rPr>
      </w:pPr>
      <w:r w:rsidRPr="00FA3856">
        <w:rPr>
          <w:rFonts w:ascii="Times New Roman" w:hAnsi="Times New Roman"/>
          <w:color w:val="002060"/>
          <w:szCs w:val="20"/>
        </w:rPr>
        <w:t>|11111111|: Código NCM do bem.</w:t>
      </w:r>
    </w:p>
    <w:p w:rsidR="0057688B" w:rsidRPr="00FA3856" w:rsidRDefault="0057688B" w:rsidP="00DD4BDD">
      <w:pPr>
        <w:pStyle w:val="Corpodetexto"/>
        <w:ind w:firstLine="708"/>
        <w:rPr>
          <w:rFonts w:ascii="Times New Roman" w:hAnsi="Times New Roman"/>
          <w:color w:val="002060"/>
          <w:szCs w:val="20"/>
        </w:rPr>
      </w:pPr>
      <w:r w:rsidRPr="00FA3856">
        <w:rPr>
          <w:rFonts w:ascii="Times New Roman" w:hAnsi="Times New Roman"/>
          <w:color w:val="002060"/>
          <w:szCs w:val="20"/>
        </w:rPr>
        <w:t>|100|: Quantidade.</w:t>
      </w:r>
    </w:p>
    <w:p w:rsidR="0057688B" w:rsidRPr="00FA3856" w:rsidRDefault="0057688B" w:rsidP="00DD4BDD">
      <w:pPr>
        <w:pStyle w:val="Corpodetexto"/>
        <w:ind w:firstLine="708"/>
        <w:rPr>
          <w:rFonts w:ascii="Times New Roman" w:hAnsi="Times New Roman"/>
          <w:color w:val="002060"/>
          <w:szCs w:val="20"/>
        </w:rPr>
      </w:pPr>
      <w:r w:rsidRPr="00FA3856">
        <w:rPr>
          <w:rFonts w:ascii="Times New Roman" w:hAnsi="Times New Roman"/>
          <w:color w:val="002060"/>
          <w:szCs w:val="20"/>
        </w:rPr>
        <w:t>|15|: Unidade de medida (15 = Unidade).</w:t>
      </w:r>
    </w:p>
    <w:p w:rsidR="004E57E7" w:rsidRPr="00FA3856" w:rsidRDefault="004E57E7" w:rsidP="00DD4BDD">
      <w:pPr>
        <w:pStyle w:val="Corpodetexto"/>
        <w:ind w:firstLine="708"/>
        <w:rPr>
          <w:rFonts w:ascii="Times New Roman" w:hAnsi="Times New Roman"/>
          <w:color w:val="002060"/>
          <w:szCs w:val="20"/>
        </w:rPr>
      </w:pPr>
      <w:r w:rsidRPr="00FA3856">
        <w:rPr>
          <w:rFonts w:ascii="Times New Roman" w:hAnsi="Times New Roman"/>
          <w:color w:val="002060"/>
          <w:szCs w:val="20"/>
        </w:rPr>
        <w:t>|PRL20|: Método do preço de revenda menos lucro (PRL 20%).</w:t>
      </w:r>
    </w:p>
    <w:p w:rsidR="004E57E7" w:rsidRPr="00FA3856" w:rsidRDefault="004E57E7" w:rsidP="00DD4BDD">
      <w:pPr>
        <w:pStyle w:val="Corpodetexto"/>
        <w:ind w:firstLine="708"/>
        <w:rPr>
          <w:rFonts w:ascii="Times New Roman" w:hAnsi="Times New Roman"/>
          <w:color w:val="002060"/>
          <w:szCs w:val="20"/>
        </w:rPr>
      </w:pPr>
      <w:r w:rsidRPr="00FA3856">
        <w:rPr>
          <w:rFonts w:ascii="Times New Roman" w:hAnsi="Times New Roman"/>
          <w:color w:val="002060"/>
          <w:szCs w:val="20"/>
        </w:rPr>
        <w:t>|90000,00|: Valor do preço médio ponderado de aquisição nas importações apurado no ano-calendário (R$ 90.000,00).</w:t>
      </w:r>
    </w:p>
    <w:p w:rsidR="004E57E7" w:rsidRPr="00FA3856" w:rsidRDefault="004E57E7" w:rsidP="004E57E7">
      <w:pPr>
        <w:pStyle w:val="Corpodetexto"/>
        <w:ind w:firstLine="708"/>
        <w:rPr>
          <w:rFonts w:ascii="Times New Roman" w:hAnsi="Times New Roman"/>
          <w:color w:val="002060"/>
          <w:szCs w:val="20"/>
        </w:rPr>
      </w:pPr>
      <w:r w:rsidRPr="00FA3856">
        <w:rPr>
          <w:rFonts w:ascii="Times New Roman" w:hAnsi="Times New Roman"/>
          <w:color w:val="002060"/>
          <w:szCs w:val="20"/>
        </w:rPr>
        <w:t>|90000,00|: Valor do preço médio ponderado de aquisição nas importações praticado no ano-calendário (R$ 90.000,00).</w:t>
      </w:r>
    </w:p>
    <w:p w:rsidR="006E0618" w:rsidRPr="00FA3856" w:rsidRDefault="006E0618" w:rsidP="004E57E7">
      <w:pPr>
        <w:pStyle w:val="Corpodetexto"/>
        <w:ind w:firstLine="708"/>
        <w:rPr>
          <w:rFonts w:ascii="Times New Roman" w:hAnsi="Times New Roman"/>
          <w:color w:val="002060"/>
          <w:szCs w:val="20"/>
        </w:rPr>
      </w:pPr>
      <w:r w:rsidRPr="00FA3856">
        <w:rPr>
          <w:rFonts w:ascii="Times New Roman" w:hAnsi="Times New Roman"/>
          <w:color w:val="002060"/>
          <w:szCs w:val="20"/>
        </w:rPr>
        <w:t>|1000,00|: Valor do ajuste (R$ 1.000,00).</w:t>
      </w:r>
    </w:p>
    <w:p w:rsidR="006E0618" w:rsidRPr="00FA3856" w:rsidRDefault="006E0618" w:rsidP="004E57E7">
      <w:pPr>
        <w:pStyle w:val="Corpodetexto"/>
        <w:ind w:firstLine="708"/>
        <w:rPr>
          <w:rFonts w:ascii="Times New Roman" w:hAnsi="Times New Roman"/>
          <w:color w:val="002060"/>
          <w:szCs w:val="20"/>
        </w:rPr>
      </w:pPr>
      <w:r w:rsidRPr="00FA3856">
        <w:rPr>
          <w:rFonts w:ascii="Times New Roman" w:hAnsi="Times New Roman"/>
          <w:color w:val="002060"/>
          <w:szCs w:val="20"/>
        </w:rPr>
        <w:t>|0,00|: Não há.</w:t>
      </w:r>
    </w:p>
    <w:p w:rsidR="006E0618" w:rsidRPr="00FA3856" w:rsidRDefault="006E0618" w:rsidP="006E0618">
      <w:pPr>
        <w:pStyle w:val="Corpodetexto"/>
        <w:ind w:firstLine="708"/>
        <w:rPr>
          <w:rFonts w:ascii="Times New Roman" w:hAnsi="Times New Roman"/>
          <w:color w:val="002060"/>
          <w:szCs w:val="20"/>
        </w:rPr>
      </w:pPr>
      <w:r w:rsidRPr="00FA3856">
        <w:rPr>
          <w:rFonts w:ascii="Times New Roman" w:hAnsi="Times New Roman"/>
          <w:color w:val="002060"/>
          <w:szCs w:val="20"/>
        </w:rPr>
        <w:t>|0,00|: Não há.</w:t>
      </w:r>
    </w:p>
    <w:p w:rsidR="006E0618" w:rsidRPr="00FA3856" w:rsidRDefault="006E0618" w:rsidP="006E0618">
      <w:pPr>
        <w:pStyle w:val="Corpodetexto"/>
        <w:ind w:firstLine="708"/>
        <w:rPr>
          <w:rFonts w:ascii="Times New Roman" w:hAnsi="Times New Roman"/>
          <w:color w:val="002060"/>
          <w:szCs w:val="20"/>
        </w:rPr>
      </w:pPr>
      <w:r w:rsidRPr="00FA3856">
        <w:rPr>
          <w:rFonts w:ascii="Times New Roman" w:hAnsi="Times New Roman"/>
          <w:color w:val="002060"/>
          <w:szCs w:val="20"/>
        </w:rPr>
        <w:t>|0,00|: Não há.</w:t>
      </w:r>
    </w:p>
    <w:p w:rsidR="006E0618" w:rsidRPr="00FA3856" w:rsidRDefault="006E0618" w:rsidP="006E0618">
      <w:pPr>
        <w:pStyle w:val="Corpodetexto"/>
        <w:ind w:firstLine="708"/>
        <w:rPr>
          <w:rFonts w:ascii="Times New Roman" w:hAnsi="Times New Roman"/>
          <w:color w:val="002060"/>
          <w:szCs w:val="20"/>
        </w:rPr>
      </w:pPr>
      <w:r w:rsidRPr="00FA3856">
        <w:rPr>
          <w:rFonts w:ascii="Times New Roman" w:hAnsi="Times New Roman"/>
          <w:color w:val="002060"/>
          <w:szCs w:val="20"/>
        </w:rPr>
        <w:t>||: Não há.</w:t>
      </w:r>
    </w:p>
    <w:p w:rsidR="006E0618" w:rsidRPr="00FA3856" w:rsidRDefault="006E0618" w:rsidP="006E0618">
      <w:pPr>
        <w:pStyle w:val="Corpodetexto"/>
        <w:ind w:firstLine="708"/>
        <w:rPr>
          <w:rFonts w:ascii="Times New Roman" w:hAnsi="Times New Roman"/>
          <w:color w:val="002060"/>
          <w:szCs w:val="20"/>
        </w:rPr>
      </w:pPr>
      <w:r w:rsidRPr="00FA3856">
        <w:rPr>
          <w:rFonts w:ascii="Times New Roman" w:hAnsi="Times New Roman"/>
          <w:color w:val="002060"/>
          <w:szCs w:val="20"/>
        </w:rPr>
        <w:t>||: Não há.</w:t>
      </w:r>
    </w:p>
    <w:p w:rsidR="006E0618" w:rsidRPr="00FA3856" w:rsidRDefault="006E0618" w:rsidP="006E0618">
      <w:pPr>
        <w:pStyle w:val="Corpodetexto"/>
        <w:ind w:firstLine="708"/>
        <w:rPr>
          <w:rFonts w:ascii="Times New Roman" w:hAnsi="Times New Roman"/>
          <w:color w:val="002060"/>
          <w:szCs w:val="20"/>
        </w:rPr>
      </w:pPr>
    </w:p>
    <w:p w:rsidR="006E0618" w:rsidRPr="00FA3856" w:rsidRDefault="006E0618" w:rsidP="004E57E7">
      <w:pPr>
        <w:pStyle w:val="Corpodetexto"/>
        <w:ind w:firstLine="708"/>
        <w:rPr>
          <w:rFonts w:ascii="Times New Roman" w:hAnsi="Times New Roman"/>
          <w:color w:val="002060"/>
          <w:szCs w:val="20"/>
        </w:rPr>
      </w:pPr>
    </w:p>
    <w:p w:rsidR="006E0618" w:rsidRPr="00FA3856" w:rsidRDefault="006E0618" w:rsidP="004E57E7">
      <w:pPr>
        <w:pStyle w:val="Corpodetexto"/>
        <w:ind w:firstLine="708"/>
        <w:rPr>
          <w:rFonts w:ascii="Times New Roman" w:hAnsi="Times New Roman"/>
          <w:color w:val="002060"/>
          <w:szCs w:val="20"/>
        </w:rPr>
      </w:pPr>
    </w:p>
    <w:p w:rsidR="004E57E7" w:rsidRPr="00FA3856" w:rsidRDefault="004E57E7" w:rsidP="00DD4BDD">
      <w:pPr>
        <w:pStyle w:val="Corpodetexto"/>
        <w:ind w:firstLine="708"/>
        <w:rPr>
          <w:rFonts w:ascii="Times New Roman" w:hAnsi="Times New Roman"/>
          <w:color w:val="002060"/>
          <w:szCs w:val="20"/>
        </w:rPr>
      </w:pPr>
    </w:p>
    <w:p w:rsidR="004E57E7" w:rsidRPr="00FA3856" w:rsidRDefault="004E57E7" w:rsidP="00DD4BDD">
      <w:pPr>
        <w:pStyle w:val="Corpodetexto"/>
        <w:ind w:firstLine="708"/>
        <w:rPr>
          <w:rFonts w:ascii="Times New Roman" w:hAnsi="Times New Roman"/>
          <w:color w:val="002060"/>
          <w:szCs w:val="20"/>
        </w:rPr>
      </w:pPr>
    </w:p>
    <w:p w:rsidR="00280946" w:rsidRPr="00FA3856" w:rsidRDefault="00280946">
      <w:pPr>
        <w:spacing w:after="200" w:line="276" w:lineRule="auto"/>
        <w:rPr>
          <w:b/>
          <w:bCs/>
          <w:color w:val="0000FF"/>
          <w:szCs w:val="20"/>
        </w:rPr>
      </w:pPr>
      <w:r w:rsidRPr="00FA3856">
        <w:rPr>
          <w:color w:val="0000FF"/>
          <w:szCs w:val="20"/>
        </w:rPr>
        <w:br w:type="page"/>
      </w:r>
    </w:p>
    <w:p w:rsidR="00775A82" w:rsidRPr="00FA3856" w:rsidRDefault="00775A82" w:rsidP="00867F54">
      <w:pPr>
        <w:pStyle w:val="Ttulo4"/>
      </w:pPr>
      <w:bookmarkStart w:id="396" w:name="_Toc479713799"/>
      <w:r w:rsidRPr="00FA3856">
        <w:lastRenderedPageBreak/>
        <w:t>Registro X330: Operações com o Exterior – Contratantes das Importações</w:t>
      </w:r>
      <w:bookmarkEnd w:id="396"/>
    </w:p>
    <w:p w:rsidR="00775A82" w:rsidRPr="00FA3856" w:rsidRDefault="00775A82" w:rsidP="00775A82">
      <w:pPr>
        <w:rPr>
          <w:szCs w:val="20"/>
        </w:rPr>
      </w:pPr>
    </w:p>
    <w:p w:rsidR="00AC5C9F" w:rsidRPr="00FA3856" w:rsidRDefault="00AC5C9F" w:rsidP="00AC5C9F">
      <w:pPr>
        <w:ind w:firstLine="708"/>
        <w:jc w:val="both"/>
        <w:rPr>
          <w:bCs/>
          <w:szCs w:val="20"/>
        </w:rPr>
      </w:pPr>
      <w:r w:rsidRPr="00FA3856">
        <w:rPr>
          <w:bCs/>
          <w:szCs w:val="20"/>
        </w:rPr>
        <w:t>Este registro é habilitado ao se incluir cada operação no registro X320. Para cada operação incluída no registro, a pessoa jurídica deve informar, em ordem decrescente de valor, até 30 (trinta) pessoas vinculadas, domiciliadas em países com tributação favorecida ou cuja legislação oponha sigilo à composição societária, ou ainda, a partir de 1º de janeiro de 2009, que gozem, nos termos da legislação, de regime fiscal privilegiado, ainda que empreendidas por meio de interpostas pessoas, que sejam contratantes das importações ou operações financeiras.</w:t>
      </w:r>
    </w:p>
    <w:p w:rsidR="00DD4BDD" w:rsidRDefault="00AC5C9F" w:rsidP="008671CE">
      <w:pPr>
        <w:pStyle w:val="NormalWeb"/>
        <w:spacing w:before="0" w:after="0"/>
        <w:rPr>
          <w:rFonts w:ascii="Times New Roman" w:hAnsi="Times New Roman" w:cs="Times New Roman"/>
          <w:szCs w:val="20"/>
        </w:rPr>
      </w:pPr>
      <w:r w:rsidRPr="00FA3856">
        <w:rPr>
          <w:rFonts w:ascii="Times New Roman" w:hAnsi="Times New Roman" w:cs="Times New Roman"/>
          <w:szCs w:val="20"/>
        </w:rPr>
        <w:t> </w:t>
      </w:r>
    </w:p>
    <w:p w:rsidR="008671CE" w:rsidRPr="00FA3856" w:rsidRDefault="00B35FA3" w:rsidP="008671CE">
      <w:pPr>
        <w:pStyle w:val="NormalWeb"/>
        <w:spacing w:before="0" w:after="0"/>
        <w:jc w:val="center"/>
        <w:rPr>
          <w:rFonts w:ascii="Times New Roman" w:hAnsi="Times New Roman"/>
          <w:b/>
          <w:color w:val="002060"/>
          <w:szCs w:val="20"/>
        </w:rPr>
      </w:pPr>
      <w:r>
        <w:rPr>
          <w:rFonts w:ascii="Times New Roman" w:hAnsi="Times New Roman" w:cs="Times New Roman"/>
          <w:szCs w:val="20"/>
        </w:rPr>
        <w:object w:dxaOrig="14835" w:dyaOrig="5955">
          <v:shape id="_x0000_i1947" type="#_x0000_t75" style="width:792.75pt;height:288.75pt" o:ole="">
            <v:imagedata r:id="rId705" o:title=""/>
          </v:shape>
          <o:OLEObject Type="Link" ProgID="Excel.Sheet.12" ShapeID="_x0000_i1947" DrawAspect="Content" r:id="rId706" UpdateMode="Always">
            <o:LinkType>EnhancedMetaFile</o:LinkType>
            <o:LockedField>false</o:LockedField>
          </o:OLEObject>
        </w:object>
      </w:r>
    </w:p>
    <w:p w:rsidR="008671CE" w:rsidRDefault="008671CE" w:rsidP="00DD4BDD">
      <w:pPr>
        <w:pStyle w:val="Corpodetexto"/>
        <w:rPr>
          <w:rFonts w:ascii="Times New Roman" w:hAnsi="Times New Roman"/>
          <w:b/>
          <w:color w:val="002060"/>
          <w:szCs w:val="20"/>
        </w:rPr>
      </w:pPr>
    </w:p>
    <w:p w:rsidR="008671CE" w:rsidRDefault="00600647" w:rsidP="00DD4BDD">
      <w:pPr>
        <w:pStyle w:val="Corpodetexto"/>
        <w:rPr>
          <w:rFonts w:ascii="Times New Roman" w:hAnsi="Times New Roman"/>
          <w:b/>
          <w:color w:val="002060"/>
          <w:szCs w:val="20"/>
        </w:rPr>
      </w:pPr>
      <w:r w:rsidRPr="00FA3856">
        <w:rPr>
          <w:rFonts w:ascii="Times New Roman" w:hAnsi="Times New Roman"/>
          <w:b/>
          <w:color w:val="002060"/>
          <w:szCs w:val="20"/>
        </w:rPr>
        <w:t xml:space="preserve">Exemplo de Preenchimento: </w:t>
      </w:r>
    </w:p>
    <w:p w:rsidR="00DD4BDD" w:rsidRPr="00FA3856" w:rsidRDefault="00DD4BDD" w:rsidP="00DD4BDD">
      <w:pPr>
        <w:pStyle w:val="Corpodetexto"/>
        <w:rPr>
          <w:rFonts w:ascii="Times New Roman" w:hAnsi="Times New Roman"/>
          <w:b/>
          <w:color w:val="002060"/>
          <w:szCs w:val="20"/>
        </w:rPr>
      </w:pPr>
      <w:r w:rsidRPr="00FA3856">
        <w:rPr>
          <w:rFonts w:ascii="Times New Roman" w:hAnsi="Times New Roman"/>
          <w:b/>
          <w:color w:val="002060"/>
          <w:szCs w:val="20"/>
        </w:rPr>
        <w:t>|X330|PESSOA JURIDICA CONTRATANTE|249|1000000,00|01|</w:t>
      </w:r>
    </w:p>
    <w:p w:rsidR="00DD4BDD" w:rsidRPr="00FA3856" w:rsidRDefault="00DD4BDD" w:rsidP="00DD4BDD">
      <w:pPr>
        <w:pStyle w:val="Corpodetexto"/>
        <w:ind w:firstLine="708"/>
        <w:rPr>
          <w:rFonts w:ascii="Times New Roman" w:hAnsi="Times New Roman"/>
          <w:color w:val="002060"/>
          <w:szCs w:val="20"/>
        </w:rPr>
      </w:pPr>
      <w:r w:rsidRPr="00FA3856">
        <w:rPr>
          <w:rFonts w:ascii="Times New Roman" w:hAnsi="Times New Roman"/>
          <w:color w:val="002060"/>
          <w:szCs w:val="20"/>
        </w:rPr>
        <w:t>|X330|: Identificação do tipo do registro.</w:t>
      </w:r>
    </w:p>
    <w:p w:rsidR="00DD4BDD" w:rsidRPr="00FA3856" w:rsidRDefault="00DD4BDD" w:rsidP="00DD4BDD">
      <w:pPr>
        <w:pStyle w:val="Corpodetexto"/>
        <w:ind w:firstLine="708"/>
        <w:rPr>
          <w:rFonts w:ascii="Times New Roman" w:hAnsi="Times New Roman"/>
          <w:color w:val="002060"/>
          <w:szCs w:val="20"/>
        </w:rPr>
      </w:pPr>
      <w:r w:rsidRPr="00FA3856">
        <w:rPr>
          <w:rFonts w:ascii="Times New Roman" w:hAnsi="Times New Roman"/>
          <w:color w:val="002060"/>
          <w:szCs w:val="20"/>
        </w:rPr>
        <w:t xml:space="preserve">|PESSOA JURIDICA CONTRATANTE|: Razão </w:t>
      </w:r>
      <w:r w:rsidR="00AE7FBB" w:rsidRPr="00FA3856">
        <w:rPr>
          <w:rFonts w:ascii="Times New Roman" w:hAnsi="Times New Roman"/>
          <w:color w:val="002060"/>
          <w:szCs w:val="20"/>
        </w:rPr>
        <w:t>social</w:t>
      </w:r>
      <w:r w:rsidRPr="00FA3856">
        <w:rPr>
          <w:rFonts w:ascii="Times New Roman" w:hAnsi="Times New Roman"/>
          <w:color w:val="002060"/>
          <w:szCs w:val="20"/>
        </w:rPr>
        <w:t xml:space="preserve"> da pessoa jurídica contratante.</w:t>
      </w:r>
    </w:p>
    <w:p w:rsidR="00DD4BDD" w:rsidRPr="00FA3856" w:rsidRDefault="00DD4BDD" w:rsidP="00DD4BDD">
      <w:pPr>
        <w:pStyle w:val="Corpodetexto"/>
        <w:ind w:firstLine="708"/>
        <w:rPr>
          <w:rFonts w:ascii="Times New Roman" w:hAnsi="Times New Roman"/>
          <w:color w:val="002060"/>
          <w:szCs w:val="20"/>
        </w:rPr>
      </w:pPr>
      <w:r w:rsidRPr="00FA3856">
        <w:rPr>
          <w:rFonts w:ascii="Times New Roman" w:hAnsi="Times New Roman"/>
          <w:color w:val="002060"/>
          <w:szCs w:val="20"/>
        </w:rPr>
        <w:t>|249|: País (249 = Estados Unidas da América).</w:t>
      </w:r>
    </w:p>
    <w:p w:rsidR="00DD4BDD" w:rsidRPr="00FA3856" w:rsidRDefault="00DD4BDD" w:rsidP="00DD4BDD">
      <w:pPr>
        <w:pStyle w:val="Corpodetexto"/>
        <w:ind w:firstLine="708"/>
        <w:rPr>
          <w:rFonts w:ascii="Times New Roman" w:hAnsi="Times New Roman"/>
          <w:color w:val="002060"/>
          <w:szCs w:val="20"/>
        </w:rPr>
      </w:pPr>
      <w:r w:rsidRPr="00FA3856">
        <w:rPr>
          <w:rFonts w:ascii="Times New Roman" w:hAnsi="Times New Roman"/>
          <w:color w:val="002060"/>
          <w:szCs w:val="20"/>
        </w:rPr>
        <w:t>|1000000,00|: Valor da operação (R$ 1.000.000,00).</w:t>
      </w:r>
    </w:p>
    <w:p w:rsidR="00DD4BDD" w:rsidRPr="00FA3856" w:rsidRDefault="00DD4BDD" w:rsidP="00DD4BDD">
      <w:pPr>
        <w:pStyle w:val="Corpodetexto"/>
        <w:ind w:firstLine="708"/>
        <w:rPr>
          <w:rFonts w:ascii="Times New Roman" w:hAnsi="Times New Roman"/>
          <w:color w:val="002060"/>
          <w:szCs w:val="20"/>
        </w:rPr>
      </w:pPr>
      <w:r w:rsidRPr="00FA3856">
        <w:rPr>
          <w:rFonts w:ascii="Times New Roman" w:hAnsi="Times New Roman"/>
          <w:color w:val="002060"/>
          <w:szCs w:val="20"/>
        </w:rPr>
        <w:t>|03|: Condição da pessoa envolvida (03 = Residente/Domiciliada em país com tributação favorecida).</w:t>
      </w:r>
    </w:p>
    <w:p w:rsidR="009C76A6" w:rsidRPr="00FA3856" w:rsidRDefault="009C76A6" w:rsidP="00867F54">
      <w:pPr>
        <w:pStyle w:val="Ttulo4"/>
      </w:pPr>
      <w:bookmarkStart w:id="397" w:name="_Toc479713800"/>
      <w:r w:rsidRPr="00FA3856">
        <w:lastRenderedPageBreak/>
        <w:t>Registro X340: Identificação da Participação no Exterior</w:t>
      </w:r>
      <w:bookmarkEnd w:id="397"/>
    </w:p>
    <w:p w:rsidR="009C76A6" w:rsidRPr="00FA3856" w:rsidRDefault="009C76A6" w:rsidP="009C76A6">
      <w:pPr>
        <w:rPr>
          <w:szCs w:val="20"/>
        </w:rPr>
      </w:pPr>
    </w:p>
    <w:p w:rsidR="008F5FED" w:rsidRDefault="00485CFF" w:rsidP="008F5FED">
      <w:pPr>
        <w:ind w:firstLine="708"/>
        <w:jc w:val="both"/>
        <w:rPr>
          <w:bCs/>
          <w:szCs w:val="20"/>
        </w:rPr>
      </w:pPr>
      <w:r w:rsidRPr="00FA3856">
        <w:rPr>
          <w:bCs/>
          <w:szCs w:val="20"/>
        </w:rPr>
        <w:t>Este registro deve ser preenchido pela pessoa jurídica, tributada pelo lucro real ou a</w:t>
      </w:r>
      <w:r w:rsidR="00600647" w:rsidRPr="00FA3856">
        <w:rPr>
          <w:bCs/>
          <w:szCs w:val="20"/>
        </w:rPr>
        <w:t xml:space="preserve">rbitrado, domiciliada no Brasil, </w:t>
      </w:r>
      <w:r w:rsidRPr="00FA3856">
        <w:rPr>
          <w:bCs/>
          <w:szCs w:val="20"/>
        </w:rPr>
        <w:t>que tenha, no ano-calendário, participado no capital de pessoa jurídica domiciliada no exterior.</w:t>
      </w:r>
      <w:r w:rsidR="00AB6576" w:rsidRPr="00FA3856">
        <w:rPr>
          <w:bCs/>
          <w:szCs w:val="20"/>
        </w:rPr>
        <w:t xml:space="preserve"> Este registro também deve ser preenchido pela pessoa jurídica optante pelo Refis que se submeteu ao regime de tributação pelo lucro presumido.</w:t>
      </w:r>
    </w:p>
    <w:p w:rsidR="00297FA8" w:rsidRDefault="00297FA8" w:rsidP="008F5FED">
      <w:pPr>
        <w:ind w:firstLine="708"/>
        <w:jc w:val="both"/>
        <w:rPr>
          <w:b/>
          <w:szCs w:val="20"/>
        </w:rPr>
      </w:pPr>
    </w:p>
    <w:p w:rsidR="00297FA8" w:rsidRPr="0070069F" w:rsidRDefault="000E474A" w:rsidP="008F5FED">
      <w:pPr>
        <w:ind w:firstLine="708"/>
        <w:jc w:val="both"/>
        <w:rPr>
          <w:szCs w:val="20"/>
        </w:rPr>
      </w:pPr>
      <w:r w:rsidRPr="0070069F">
        <w:rPr>
          <w:szCs w:val="20"/>
        </w:rPr>
        <w:t>De acordo com o art. 19-A da Instrução Normativa RFB nº 1.520/2014, a opção pelo regime de caixa ou competência indicada no campo X340.IND_CONTROLE deve ser única para todas as coligadas no exterior.</w:t>
      </w:r>
    </w:p>
    <w:p w:rsidR="000E474A" w:rsidRPr="0070069F" w:rsidRDefault="000E474A" w:rsidP="008F5FED">
      <w:pPr>
        <w:ind w:firstLine="708"/>
        <w:jc w:val="both"/>
        <w:rPr>
          <w:szCs w:val="20"/>
        </w:rPr>
      </w:pPr>
    </w:p>
    <w:p w:rsidR="00297FA8" w:rsidRPr="0070069F" w:rsidRDefault="00297FA8" w:rsidP="000E474A">
      <w:pPr>
        <w:ind w:firstLine="708"/>
        <w:jc w:val="both"/>
        <w:rPr>
          <w:bCs/>
          <w:szCs w:val="20"/>
        </w:rPr>
      </w:pPr>
      <w:r w:rsidRPr="0070069F">
        <w:rPr>
          <w:bCs/>
          <w:szCs w:val="20"/>
        </w:rPr>
        <w:t>“Art. 19-A.  Opcionalmente, a pessoa jurídica domiciliada no Brasil poderá oferecer à tributação os lucros auferidos por intermédio de suas coligadas no exterior na forma prevista no art. 19, independentemente do descumprimento das condições previstas no caput do art. 17.</w:t>
      </w:r>
    </w:p>
    <w:p w:rsidR="000E474A" w:rsidRPr="0070069F" w:rsidRDefault="000E474A" w:rsidP="000E474A">
      <w:pPr>
        <w:ind w:firstLine="708"/>
        <w:jc w:val="both"/>
        <w:rPr>
          <w:bCs/>
          <w:szCs w:val="20"/>
        </w:rPr>
      </w:pPr>
    </w:p>
    <w:p w:rsidR="00297FA8" w:rsidRPr="0070069F" w:rsidRDefault="00297FA8" w:rsidP="000E474A">
      <w:pPr>
        <w:ind w:firstLine="708"/>
        <w:jc w:val="both"/>
        <w:rPr>
          <w:bCs/>
          <w:szCs w:val="20"/>
        </w:rPr>
      </w:pPr>
      <w:r w:rsidRPr="0070069F">
        <w:rPr>
          <w:bCs/>
          <w:szCs w:val="20"/>
        </w:rPr>
        <w:t>§ 1º  A pessoa jurídica deverá comunicar a opção de que trata o caput à RFB por intermédio da Escrituração Contábil Fiscal (ECF), prevista na Instrução Normativa RFB nº 1.422, de 2013, relativa ao respectivo ano-calendário da escrituração.</w:t>
      </w:r>
    </w:p>
    <w:p w:rsidR="000E474A" w:rsidRPr="0070069F" w:rsidRDefault="000E474A" w:rsidP="000E474A">
      <w:pPr>
        <w:ind w:firstLine="708"/>
        <w:jc w:val="both"/>
        <w:rPr>
          <w:bCs/>
          <w:szCs w:val="20"/>
        </w:rPr>
      </w:pPr>
    </w:p>
    <w:p w:rsidR="00297FA8" w:rsidRPr="0070069F" w:rsidRDefault="00297FA8" w:rsidP="000E474A">
      <w:pPr>
        <w:ind w:firstLine="708"/>
        <w:jc w:val="both"/>
        <w:rPr>
          <w:bCs/>
          <w:szCs w:val="20"/>
        </w:rPr>
      </w:pPr>
      <w:r w:rsidRPr="0070069F">
        <w:rPr>
          <w:bCs/>
          <w:szCs w:val="20"/>
        </w:rPr>
        <w:t>§ 2º  A opção de que trata o caput:</w:t>
      </w:r>
    </w:p>
    <w:p w:rsidR="000E474A" w:rsidRPr="0070069F" w:rsidRDefault="000E474A" w:rsidP="000E474A">
      <w:pPr>
        <w:ind w:firstLine="708"/>
        <w:jc w:val="both"/>
        <w:rPr>
          <w:bCs/>
          <w:szCs w:val="20"/>
        </w:rPr>
      </w:pPr>
    </w:p>
    <w:p w:rsidR="00297FA8" w:rsidRPr="0070069F" w:rsidRDefault="00297FA8" w:rsidP="000E474A">
      <w:pPr>
        <w:ind w:firstLine="708"/>
        <w:jc w:val="both"/>
        <w:rPr>
          <w:bCs/>
          <w:szCs w:val="20"/>
        </w:rPr>
      </w:pPr>
      <w:r w:rsidRPr="0070069F">
        <w:rPr>
          <w:bCs/>
          <w:szCs w:val="20"/>
        </w:rPr>
        <w:t>I - se aplica ao IRPJ e à CSLL;</w:t>
      </w:r>
    </w:p>
    <w:p w:rsidR="000E474A" w:rsidRPr="0070069F" w:rsidRDefault="000E474A" w:rsidP="000E474A">
      <w:pPr>
        <w:ind w:firstLine="708"/>
        <w:jc w:val="both"/>
        <w:rPr>
          <w:b/>
          <w:bCs/>
          <w:szCs w:val="20"/>
        </w:rPr>
      </w:pPr>
    </w:p>
    <w:p w:rsidR="00297FA8" w:rsidRPr="0070069F" w:rsidRDefault="00297FA8" w:rsidP="000E474A">
      <w:pPr>
        <w:ind w:firstLine="708"/>
        <w:jc w:val="both"/>
        <w:rPr>
          <w:b/>
          <w:bCs/>
          <w:szCs w:val="20"/>
        </w:rPr>
      </w:pPr>
      <w:r w:rsidRPr="0070069F">
        <w:rPr>
          <w:b/>
          <w:bCs/>
          <w:szCs w:val="20"/>
        </w:rPr>
        <w:t>II - deve englobar todas as coligadas no exterior, não sendo possível a opção parcial; e</w:t>
      </w:r>
    </w:p>
    <w:p w:rsidR="000E474A" w:rsidRPr="0070069F" w:rsidRDefault="000E474A" w:rsidP="000E474A">
      <w:pPr>
        <w:ind w:firstLine="708"/>
        <w:jc w:val="both"/>
        <w:rPr>
          <w:bCs/>
          <w:szCs w:val="20"/>
        </w:rPr>
      </w:pPr>
    </w:p>
    <w:p w:rsidR="00297FA8" w:rsidRPr="0070069F" w:rsidRDefault="00297FA8" w:rsidP="000E474A">
      <w:pPr>
        <w:ind w:firstLine="708"/>
        <w:jc w:val="both"/>
        <w:rPr>
          <w:bCs/>
          <w:szCs w:val="20"/>
        </w:rPr>
      </w:pPr>
      <w:r w:rsidRPr="0070069F">
        <w:rPr>
          <w:bCs/>
          <w:szCs w:val="20"/>
        </w:rPr>
        <w:t>III - é irretratável, não sendo válida a ECF retificadora fora do prazo de sua entrega para a comunicação de que trata o § 1º.</w:t>
      </w:r>
    </w:p>
    <w:p w:rsidR="000E474A" w:rsidRPr="0070069F" w:rsidRDefault="000E474A" w:rsidP="000E474A">
      <w:pPr>
        <w:ind w:firstLine="708"/>
        <w:jc w:val="both"/>
        <w:rPr>
          <w:bCs/>
          <w:szCs w:val="20"/>
        </w:rPr>
      </w:pPr>
    </w:p>
    <w:p w:rsidR="00297FA8" w:rsidRPr="000E474A" w:rsidRDefault="00297FA8" w:rsidP="000E474A">
      <w:pPr>
        <w:ind w:firstLine="708"/>
        <w:jc w:val="both"/>
        <w:rPr>
          <w:bCs/>
          <w:szCs w:val="20"/>
        </w:rPr>
      </w:pPr>
      <w:r w:rsidRPr="0070069F">
        <w:rPr>
          <w:bCs/>
          <w:szCs w:val="20"/>
        </w:rPr>
        <w:t>§ 3º  O disposto neste artigo não se aplica às hipóteses em que a pessoa jurídica coligada domiciliada no Brasil é equiparada à controladora, nos termos do art. 15.”</w:t>
      </w:r>
    </w:p>
    <w:p w:rsidR="00297FA8" w:rsidRDefault="00297FA8" w:rsidP="008F5FED">
      <w:pPr>
        <w:ind w:firstLine="708"/>
        <w:jc w:val="both"/>
        <w:rPr>
          <w:b/>
          <w:szCs w:val="20"/>
        </w:rPr>
      </w:pPr>
    </w:p>
    <w:p w:rsidR="000E474A" w:rsidRDefault="000E474A" w:rsidP="000E474A">
      <w:pPr>
        <w:ind w:firstLine="708"/>
        <w:jc w:val="both"/>
        <w:rPr>
          <w:b/>
          <w:szCs w:val="20"/>
        </w:rPr>
      </w:pPr>
      <w:r w:rsidRPr="00FA3856">
        <w:rPr>
          <w:b/>
          <w:szCs w:val="20"/>
        </w:rPr>
        <w:t>Atenção: A empresa que fizer a opção prevista no art. 96 da Lei n</w:t>
      </w:r>
      <w:r w:rsidRPr="00FA3856">
        <w:rPr>
          <w:b/>
          <w:szCs w:val="20"/>
          <w:u w:val="single"/>
          <w:vertAlign w:val="superscript"/>
        </w:rPr>
        <w:t>o</w:t>
      </w:r>
      <w:r w:rsidRPr="00FA3856">
        <w:rPr>
          <w:b/>
          <w:szCs w:val="20"/>
        </w:rPr>
        <w:t xml:space="preserve"> 12.973/2014 deverá preencher </w:t>
      </w:r>
      <w:r w:rsidR="00DF20F8" w:rsidRPr="00FA3856">
        <w:rPr>
          <w:b/>
          <w:szCs w:val="20"/>
        </w:rPr>
        <w:t>dos registros</w:t>
      </w:r>
      <w:r w:rsidRPr="00FA3856">
        <w:rPr>
          <w:b/>
          <w:szCs w:val="20"/>
        </w:rPr>
        <w:t xml:space="preserve"> X340 a X356, caso seja aplicável.</w:t>
      </w:r>
    </w:p>
    <w:p w:rsidR="000E474A" w:rsidRDefault="000E474A" w:rsidP="000E474A">
      <w:pPr>
        <w:ind w:firstLine="708"/>
        <w:jc w:val="both"/>
        <w:rPr>
          <w:b/>
          <w:szCs w:val="20"/>
        </w:rPr>
      </w:pPr>
    </w:p>
    <w:p w:rsidR="00297FA8" w:rsidRPr="008F5FED" w:rsidRDefault="00297FA8" w:rsidP="008F5FED">
      <w:pPr>
        <w:ind w:firstLine="708"/>
        <w:jc w:val="both"/>
        <w:rPr>
          <w:bCs/>
          <w:szCs w:val="20"/>
        </w:rPr>
      </w:pPr>
    </w:p>
    <w:p w:rsidR="00297FA8" w:rsidRDefault="00297FA8">
      <w:pPr>
        <w:spacing w:after="200" w:line="276" w:lineRule="auto"/>
        <w:rPr>
          <w:b/>
          <w:bCs/>
          <w:szCs w:val="20"/>
        </w:rPr>
      </w:pPr>
      <w:r>
        <w:rPr>
          <w:b/>
          <w:bCs/>
          <w:szCs w:val="20"/>
        </w:rPr>
        <w:br w:type="page"/>
      </w:r>
    </w:p>
    <w:p w:rsidR="008F5FED" w:rsidRDefault="008F5FED" w:rsidP="008F5FED">
      <w:pPr>
        <w:jc w:val="center"/>
        <w:rPr>
          <w:b/>
          <w:bCs/>
          <w:szCs w:val="20"/>
        </w:rPr>
      </w:pPr>
    </w:p>
    <w:p w:rsidR="008F5FED" w:rsidRPr="00FA3856" w:rsidRDefault="00B35FA3" w:rsidP="008F5FED">
      <w:pPr>
        <w:jc w:val="center"/>
        <w:rPr>
          <w:b/>
          <w:bCs/>
          <w:szCs w:val="20"/>
        </w:rPr>
      </w:pPr>
      <w:r>
        <w:rPr>
          <w:b/>
          <w:bCs/>
          <w:szCs w:val="20"/>
        </w:rPr>
        <w:object w:dxaOrig="14835" w:dyaOrig="7470">
          <v:shape id="_x0000_i1949" type="#_x0000_t75" style="width:792.75pt;height:361.5pt" o:ole="">
            <v:imagedata r:id="rId707" o:title=""/>
          </v:shape>
          <o:OLEObject Type="Link" ProgID="Excel.Sheet.12" ShapeID="_x0000_i1949" DrawAspect="Content" r:id="rId708" UpdateMode="Always">
            <o:LinkType>EnhancedMetaFile</o:LinkType>
            <o:LockedField>false</o:LockedField>
          </o:OLEObject>
        </w:object>
      </w:r>
    </w:p>
    <w:p w:rsidR="008F5FED" w:rsidRDefault="008F5FED">
      <w:pPr>
        <w:spacing w:after="200" w:line="276" w:lineRule="auto"/>
        <w:rPr>
          <w:rFonts w:cs="Times New Roman"/>
          <w:szCs w:val="20"/>
          <w:lang w:val="pt-PT"/>
        </w:rPr>
      </w:pPr>
      <w:r>
        <w:rPr>
          <w:rFonts w:cs="Times New Roman"/>
          <w:szCs w:val="20"/>
          <w:lang w:val="pt-PT"/>
        </w:rPr>
        <w:br w:type="page"/>
      </w:r>
    </w:p>
    <w:p w:rsidR="000C4F4A" w:rsidRDefault="00B35FA3" w:rsidP="000C4F4A">
      <w:pPr>
        <w:spacing w:after="200" w:line="276" w:lineRule="auto"/>
        <w:jc w:val="center"/>
        <w:rPr>
          <w:rFonts w:cs="Times New Roman"/>
          <w:b/>
          <w:bCs/>
          <w:szCs w:val="20"/>
          <w:lang w:val="pt-PT"/>
        </w:rPr>
      </w:pPr>
      <w:r>
        <w:rPr>
          <w:rFonts w:cs="Times New Roman"/>
          <w:szCs w:val="20"/>
          <w:lang w:val="pt-PT"/>
        </w:rPr>
        <w:object w:dxaOrig="14835" w:dyaOrig="8250">
          <v:shape id="_x0000_i1951" type="#_x0000_t75" style="width:792.75pt;height:397.5pt" o:ole="">
            <v:imagedata r:id="rId709" o:title=""/>
          </v:shape>
          <o:OLEObject Type="Link" ProgID="Excel.Sheet.12" ShapeID="_x0000_i1951" DrawAspect="Content" r:id="rId710" UpdateMode="Always">
            <o:LinkType>EnhancedMetaFile</o:LinkType>
            <o:LockedField>false</o:LockedField>
          </o:OLEObject>
        </w:object>
      </w:r>
    </w:p>
    <w:p w:rsidR="00F56419" w:rsidRDefault="00F56419">
      <w:pPr>
        <w:spacing w:after="200" w:line="276" w:lineRule="auto"/>
        <w:rPr>
          <w:rFonts w:cs="Times New Roman"/>
          <w:szCs w:val="20"/>
          <w:lang w:val="pt-PT"/>
        </w:rPr>
      </w:pPr>
    </w:p>
    <w:p w:rsidR="00F56419" w:rsidRDefault="00F56419">
      <w:pPr>
        <w:spacing w:after="200" w:line="276" w:lineRule="auto"/>
        <w:rPr>
          <w:rFonts w:cs="Times New Roman"/>
          <w:szCs w:val="20"/>
          <w:lang w:val="pt-PT"/>
        </w:rPr>
      </w:pPr>
    </w:p>
    <w:p w:rsidR="000C4F4A" w:rsidRDefault="000C4F4A">
      <w:pPr>
        <w:spacing w:after="200" w:line="276" w:lineRule="auto"/>
        <w:rPr>
          <w:rFonts w:cs="Times New Roman"/>
          <w:b/>
          <w:bCs/>
          <w:szCs w:val="20"/>
          <w:lang w:val="pt-PT"/>
        </w:rPr>
      </w:pPr>
      <w:r>
        <w:rPr>
          <w:rFonts w:cs="Times New Roman"/>
          <w:szCs w:val="20"/>
          <w:lang w:val="pt-PT"/>
        </w:rPr>
        <w:br w:type="page"/>
      </w:r>
      <w:r w:rsidR="00B35FA3">
        <w:rPr>
          <w:rFonts w:cs="Times New Roman"/>
          <w:szCs w:val="20"/>
          <w:lang w:val="pt-PT"/>
        </w:rPr>
        <w:object w:dxaOrig="14835" w:dyaOrig="330">
          <v:shape id="_x0000_i1953" type="#_x0000_t75" style="width:792.75pt;height:16.5pt" o:ole="">
            <v:imagedata r:id="rId711" o:title=""/>
          </v:shape>
          <o:OLEObject Type="Link" ProgID="Excel.Sheet.12" ShapeID="_x0000_i1953" DrawAspect="Content" r:id="rId712" UpdateMode="Always">
            <o:LinkType>EnhancedMetaFile</o:LinkType>
            <o:LockedField>false</o:LockedField>
          </o:OLEObject>
        </w:object>
      </w:r>
    </w:p>
    <w:p w:rsidR="009C76A6" w:rsidRPr="00FA3856" w:rsidRDefault="00F40AD9" w:rsidP="009C76A6">
      <w:pPr>
        <w:pStyle w:val="PSDS-MarcadoresNivel4"/>
        <w:tabs>
          <w:tab w:val="clear" w:pos="2271"/>
          <w:tab w:val="left" w:pos="720"/>
        </w:tabs>
        <w:spacing w:before="0" w:after="0"/>
        <w:ind w:left="0" w:firstLine="0"/>
        <w:rPr>
          <w:rFonts w:ascii="Times New Roman" w:hAnsi="Times New Roman" w:cs="Times New Roman"/>
          <w:szCs w:val="20"/>
          <w:lang w:val="pt-PT"/>
        </w:rPr>
      </w:pPr>
      <w:r w:rsidRPr="00FA3856">
        <w:rPr>
          <w:rFonts w:ascii="Times New Roman" w:hAnsi="Times New Roman" w:cs="Times New Roman"/>
          <w:szCs w:val="20"/>
          <w:lang w:val="pt-PT"/>
        </w:rPr>
        <w:t>I</w:t>
      </w:r>
      <w:r w:rsidR="009C76A6" w:rsidRPr="00FA3856">
        <w:rPr>
          <w:rFonts w:ascii="Times New Roman" w:hAnsi="Times New Roman" w:cs="Times New Roman"/>
          <w:szCs w:val="20"/>
          <w:lang w:val="pt-PT"/>
        </w:rPr>
        <w:t xml:space="preserve"> – Regras de Validação de Campos:</w:t>
      </w:r>
    </w:p>
    <w:p w:rsidR="009C76A6" w:rsidRPr="00FA3856" w:rsidRDefault="009C76A6" w:rsidP="009C76A6">
      <w:pPr>
        <w:pStyle w:val="PSDS-MarcadoresNivel4"/>
        <w:tabs>
          <w:tab w:val="clear" w:pos="2271"/>
          <w:tab w:val="left" w:pos="720"/>
        </w:tabs>
        <w:spacing w:before="0" w:after="0"/>
        <w:ind w:left="0" w:firstLine="0"/>
        <w:rPr>
          <w:rFonts w:ascii="Times New Roman" w:hAnsi="Times New Roman" w:cs="Times New Roman"/>
          <w:szCs w:val="20"/>
          <w:lang w:val="pt-PT"/>
        </w:rPr>
      </w:pPr>
    </w:p>
    <w:tbl>
      <w:tblPr>
        <w:tblW w:w="16370"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85"/>
        <w:gridCol w:w="3000"/>
        <w:gridCol w:w="12168"/>
        <w:gridCol w:w="717"/>
      </w:tblGrid>
      <w:tr w:rsidR="009C76A6" w:rsidRPr="00FA3856" w:rsidTr="00FC6C6D">
        <w:trPr>
          <w:jc w:val="center"/>
        </w:trPr>
        <w:tc>
          <w:tcPr>
            <w:tcW w:w="485" w:type="dxa"/>
            <w:tcBorders>
              <w:top w:val="single" w:sz="6" w:space="0" w:color="auto"/>
              <w:left w:val="single" w:sz="6" w:space="0" w:color="auto"/>
              <w:bottom w:val="single" w:sz="6" w:space="0" w:color="auto"/>
              <w:right w:val="single" w:sz="6" w:space="0" w:color="auto"/>
            </w:tcBorders>
            <w:shd w:val="pct10" w:color="auto" w:fill="FFFFFF"/>
          </w:tcPr>
          <w:p w:rsidR="009C76A6" w:rsidRPr="00FA3856" w:rsidRDefault="009C76A6" w:rsidP="009C76A6">
            <w:pPr>
              <w:pStyle w:val="PSDS-CorpodeTexto0"/>
              <w:jc w:val="center"/>
              <w:rPr>
                <w:rFonts w:ascii="Times New Roman" w:hAnsi="Times New Roman"/>
                <w:b/>
                <w:bCs/>
              </w:rPr>
            </w:pPr>
            <w:r w:rsidRPr="00FA3856">
              <w:rPr>
                <w:rFonts w:ascii="Times New Roman" w:hAnsi="Times New Roman"/>
                <w:b/>
                <w:bCs/>
              </w:rPr>
              <w:t>Nº</w:t>
            </w:r>
          </w:p>
        </w:tc>
        <w:tc>
          <w:tcPr>
            <w:tcW w:w="3000" w:type="dxa"/>
            <w:tcBorders>
              <w:top w:val="single" w:sz="6" w:space="0" w:color="auto"/>
              <w:left w:val="single" w:sz="6" w:space="0" w:color="auto"/>
              <w:bottom w:val="single" w:sz="6" w:space="0" w:color="auto"/>
              <w:right w:val="single" w:sz="6" w:space="0" w:color="auto"/>
            </w:tcBorders>
            <w:shd w:val="pct10" w:color="auto" w:fill="FFFFFF"/>
          </w:tcPr>
          <w:p w:rsidR="009C76A6" w:rsidRPr="00FA3856" w:rsidRDefault="009C76A6" w:rsidP="009C76A6">
            <w:pPr>
              <w:pStyle w:val="PSDS-CorpodeTexto0"/>
              <w:jc w:val="center"/>
              <w:rPr>
                <w:rFonts w:ascii="Times New Roman" w:hAnsi="Times New Roman"/>
                <w:b/>
                <w:bCs/>
              </w:rPr>
            </w:pPr>
            <w:r w:rsidRPr="00FA3856">
              <w:rPr>
                <w:rFonts w:ascii="Times New Roman" w:hAnsi="Times New Roman"/>
                <w:b/>
                <w:bCs/>
              </w:rPr>
              <w:t>Campo</w:t>
            </w:r>
          </w:p>
        </w:tc>
        <w:tc>
          <w:tcPr>
            <w:tcW w:w="12168" w:type="dxa"/>
            <w:tcBorders>
              <w:top w:val="single" w:sz="6" w:space="0" w:color="auto"/>
              <w:left w:val="single" w:sz="6" w:space="0" w:color="auto"/>
              <w:bottom w:val="single" w:sz="6" w:space="0" w:color="auto"/>
              <w:right w:val="single" w:sz="6" w:space="0" w:color="auto"/>
            </w:tcBorders>
            <w:shd w:val="pct10" w:color="auto" w:fill="FFFFFF"/>
          </w:tcPr>
          <w:p w:rsidR="009C76A6" w:rsidRPr="00FA3856" w:rsidRDefault="009C76A6" w:rsidP="009C76A6">
            <w:pPr>
              <w:pStyle w:val="PSDS-CorpodeTexto0"/>
              <w:jc w:val="center"/>
              <w:rPr>
                <w:rFonts w:ascii="Times New Roman" w:hAnsi="Times New Roman"/>
                <w:b/>
                <w:bCs/>
              </w:rPr>
            </w:pPr>
            <w:r w:rsidRPr="00FA3856">
              <w:rPr>
                <w:rFonts w:ascii="Times New Roman" w:hAnsi="Times New Roman"/>
                <w:b/>
                <w:bCs/>
              </w:rPr>
              <w:t>Regras de Validação do Campo</w:t>
            </w:r>
          </w:p>
        </w:tc>
        <w:tc>
          <w:tcPr>
            <w:tcW w:w="717" w:type="dxa"/>
            <w:tcBorders>
              <w:top w:val="single" w:sz="6" w:space="0" w:color="auto"/>
              <w:left w:val="single" w:sz="6" w:space="0" w:color="auto"/>
              <w:bottom w:val="single" w:sz="6" w:space="0" w:color="auto"/>
              <w:right w:val="single" w:sz="6" w:space="0" w:color="auto"/>
            </w:tcBorders>
            <w:shd w:val="pct10" w:color="auto" w:fill="FFFFFF"/>
          </w:tcPr>
          <w:p w:rsidR="009C76A6" w:rsidRPr="00FA3856" w:rsidRDefault="009C76A6" w:rsidP="009C76A6">
            <w:pPr>
              <w:pStyle w:val="PSDS-CorpodeTexto0"/>
              <w:jc w:val="center"/>
              <w:rPr>
                <w:rFonts w:ascii="Times New Roman" w:hAnsi="Times New Roman"/>
                <w:b/>
                <w:bCs/>
              </w:rPr>
            </w:pPr>
            <w:r w:rsidRPr="00FA3856">
              <w:rPr>
                <w:rFonts w:ascii="Times New Roman" w:hAnsi="Times New Roman"/>
                <w:b/>
                <w:bCs/>
              </w:rPr>
              <w:t>Tipo</w:t>
            </w:r>
          </w:p>
        </w:tc>
      </w:tr>
      <w:tr w:rsidR="000E474A" w:rsidRPr="00FA3856" w:rsidTr="00BA0AAC">
        <w:trPr>
          <w:jc w:val="center"/>
        </w:trPr>
        <w:tc>
          <w:tcPr>
            <w:tcW w:w="485" w:type="dxa"/>
            <w:tcBorders>
              <w:top w:val="single" w:sz="6" w:space="0" w:color="auto"/>
              <w:left w:val="single" w:sz="6" w:space="0" w:color="auto"/>
              <w:bottom w:val="single" w:sz="6" w:space="0" w:color="auto"/>
              <w:right w:val="single" w:sz="6" w:space="0" w:color="auto"/>
            </w:tcBorders>
          </w:tcPr>
          <w:p w:rsidR="000E474A" w:rsidRPr="00D756FC" w:rsidRDefault="000E474A" w:rsidP="00BA0AAC">
            <w:pPr>
              <w:pStyle w:val="PSDS-CorpodeTexto0"/>
              <w:suppressAutoHyphens w:val="0"/>
              <w:rPr>
                <w:rFonts w:ascii="Times New Roman" w:hAnsi="Times New Roman"/>
                <w:b/>
                <w:bCs/>
                <w:lang w:val="pt-PT"/>
              </w:rPr>
            </w:pPr>
            <w:r w:rsidRPr="00D756FC">
              <w:rPr>
                <w:rFonts w:ascii="Times New Roman" w:hAnsi="Times New Roman"/>
                <w:b/>
                <w:bCs/>
                <w:lang w:val="pt-PT"/>
              </w:rPr>
              <w:t>4</w:t>
            </w:r>
          </w:p>
        </w:tc>
        <w:tc>
          <w:tcPr>
            <w:tcW w:w="3000" w:type="dxa"/>
            <w:tcBorders>
              <w:top w:val="single" w:sz="6" w:space="0" w:color="auto"/>
              <w:left w:val="single" w:sz="6" w:space="0" w:color="auto"/>
              <w:bottom w:val="single" w:sz="6" w:space="0" w:color="auto"/>
              <w:right w:val="single" w:sz="6" w:space="0" w:color="auto"/>
            </w:tcBorders>
          </w:tcPr>
          <w:p w:rsidR="000E474A" w:rsidRPr="00D756FC" w:rsidRDefault="000E474A" w:rsidP="00BA0AAC">
            <w:pPr>
              <w:pStyle w:val="PSDS-CorpodeTexto0"/>
              <w:rPr>
                <w:rFonts w:ascii="Times New Roman" w:hAnsi="Times New Roman"/>
              </w:rPr>
            </w:pPr>
            <w:r w:rsidRPr="00D756FC">
              <w:rPr>
                <w:rFonts w:ascii="Times New Roman" w:hAnsi="Times New Roman"/>
                <w:bCs/>
                <w:lang w:val="pt-PT"/>
              </w:rPr>
              <w:t>IND_CONTROLE</w:t>
            </w:r>
          </w:p>
        </w:tc>
        <w:tc>
          <w:tcPr>
            <w:tcW w:w="12168" w:type="dxa"/>
            <w:tcBorders>
              <w:top w:val="single" w:sz="6" w:space="0" w:color="auto"/>
              <w:left w:val="single" w:sz="6" w:space="0" w:color="auto"/>
              <w:bottom w:val="single" w:sz="6" w:space="0" w:color="auto"/>
              <w:right w:val="single" w:sz="6" w:space="0" w:color="auto"/>
            </w:tcBorders>
          </w:tcPr>
          <w:p w:rsidR="000E474A" w:rsidRPr="00D756FC" w:rsidRDefault="000E474A" w:rsidP="00BA0AAC">
            <w:pPr>
              <w:pStyle w:val="Corpodetexto"/>
              <w:rPr>
                <w:rFonts w:ascii="Times New Roman" w:hAnsi="Times New Roman"/>
                <w:szCs w:val="20"/>
              </w:rPr>
            </w:pPr>
            <w:r w:rsidRPr="00D756FC">
              <w:rPr>
                <w:rFonts w:ascii="Times New Roman" w:hAnsi="Times New Roman"/>
                <w:b/>
                <w:szCs w:val="20"/>
              </w:rPr>
              <w:t xml:space="preserve">REGRA_OPCAO_REGIME: </w:t>
            </w:r>
            <w:r w:rsidRPr="00D756FC">
              <w:rPr>
                <w:rFonts w:ascii="Times New Roman" w:hAnsi="Times New Roman"/>
                <w:szCs w:val="20"/>
              </w:rPr>
              <w:t>Verifica, qua</w:t>
            </w:r>
            <w:r w:rsidR="006A693D" w:rsidRPr="00D756FC">
              <w:rPr>
                <w:rFonts w:ascii="Times New Roman" w:hAnsi="Times New Roman"/>
                <w:szCs w:val="20"/>
              </w:rPr>
              <w:t>ndo X340.IND_CONTROLE igual a “10</w:t>
            </w:r>
            <w:r w:rsidRPr="00D756FC">
              <w:rPr>
                <w:rFonts w:ascii="Times New Roman" w:hAnsi="Times New Roman"/>
                <w:szCs w:val="20"/>
              </w:rPr>
              <w:t xml:space="preserve">”, se não existe outro registro X340 com X340.IND_CONTROLE igual a </w:t>
            </w:r>
            <w:r w:rsidR="006A693D" w:rsidRPr="00D756FC">
              <w:rPr>
                <w:rFonts w:ascii="Times New Roman" w:hAnsi="Times New Roman"/>
                <w:szCs w:val="20"/>
              </w:rPr>
              <w:t xml:space="preserve">“4” ou </w:t>
            </w:r>
            <w:r w:rsidRPr="00D756FC">
              <w:rPr>
                <w:rFonts w:ascii="Times New Roman" w:hAnsi="Times New Roman"/>
                <w:szCs w:val="20"/>
              </w:rPr>
              <w:t>“6”. Verifica, quando X340.IND_CONTROLE igual a</w:t>
            </w:r>
            <w:r w:rsidR="006A693D" w:rsidRPr="00D756FC">
              <w:rPr>
                <w:rFonts w:ascii="Times New Roman" w:hAnsi="Times New Roman"/>
                <w:szCs w:val="20"/>
              </w:rPr>
              <w:t xml:space="preserve"> “4’ ou </w:t>
            </w:r>
            <w:r w:rsidRPr="00D756FC">
              <w:rPr>
                <w:rFonts w:ascii="Times New Roman" w:hAnsi="Times New Roman"/>
                <w:szCs w:val="20"/>
              </w:rPr>
              <w:t xml:space="preserve">“6”, se não existe outro registro X340 </w:t>
            </w:r>
            <w:r w:rsidR="006A693D" w:rsidRPr="00D756FC">
              <w:rPr>
                <w:rFonts w:ascii="Times New Roman" w:hAnsi="Times New Roman"/>
                <w:szCs w:val="20"/>
              </w:rPr>
              <w:t>com X340.IND_CONTROLE igual a “10</w:t>
            </w:r>
            <w:r w:rsidRPr="00D756FC">
              <w:rPr>
                <w:rFonts w:ascii="Times New Roman" w:hAnsi="Times New Roman"/>
                <w:szCs w:val="20"/>
              </w:rPr>
              <w:t>”.</w:t>
            </w:r>
          </w:p>
        </w:tc>
        <w:tc>
          <w:tcPr>
            <w:tcW w:w="717" w:type="dxa"/>
            <w:tcBorders>
              <w:top w:val="single" w:sz="6" w:space="0" w:color="auto"/>
              <w:left w:val="single" w:sz="6" w:space="0" w:color="auto"/>
              <w:bottom w:val="single" w:sz="6" w:space="0" w:color="auto"/>
              <w:right w:val="single" w:sz="6" w:space="0" w:color="auto"/>
            </w:tcBorders>
          </w:tcPr>
          <w:p w:rsidR="000E474A" w:rsidRPr="00FA3856" w:rsidRDefault="000E474A" w:rsidP="00BA0AAC">
            <w:pPr>
              <w:pStyle w:val="PSDS-CorpodeTexto0"/>
              <w:rPr>
                <w:rFonts w:ascii="Times New Roman" w:hAnsi="Times New Roman"/>
              </w:rPr>
            </w:pPr>
            <w:r w:rsidRPr="00D756FC">
              <w:rPr>
                <w:rFonts w:ascii="Times New Roman" w:hAnsi="Times New Roman"/>
              </w:rPr>
              <w:t>Erro</w:t>
            </w:r>
          </w:p>
        </w:tc>
      </w:tr>
      <w:tr w:rsidR="005072BB" w:rsidRPr="00FA3856" w:rsidTr="002A7CB6">
        <w:trPr>
          <w:jc w:val="center"/>
        </w:trPr>
        <w:tc>
          <w:tcPr>
            <w:tcW w:w="485" w:type="dxa"/>
            <w:tcBorders>
              <w:top w:val="single" w:sz="6" w:space="0" w:color="auto"/>
              <w:left w:val="single" w:sz="6" w:space="0" w:color="auto"/>
              <w:bottom w:val="single" w:sz="6" w:space="0" w:color="auto"/>
              <w:right w:val="single" w:sz="6" w:space="0" w:color="auto"/>
            </w:tcBorders>
          </w:tcPr>
          <w:p w:rsidR="005072BB" w:rsidRPr="00FA3856" w:rsidRDefault="005072BB" w:rsidP="002A7CB6">
            <w:pPr>
              <w:pStyle w:val="PSDS-CorpodeTexto0"/>
              <w:suppressAutoHyphens w:val="0"/>
              <w:rPr>
                <w:rFonts w:ascii="Times New Roman" w:hAnsi="Times New Roman"/>
                <w:b/>
                <w:bCs/>
                <w:lang w:val="pt-PT"/>
              </w:rPr>
            </w:pPr>
            <w:r w:rsidRPr="00FA3856">
              <w:rPr>
                <w:rFonts w:ascii="Times New Roman" w:hAnsi="Times New Roman"/>
                <w:b/>
                <w:bCs/>
                <w:lang w:val="pt-PT"/>
              </w:rPr>
              <w:t>8</w:t>
            </w:r>
          </w:p>
        </w:tc>
        <w:tc>
          <w:tcPr>
            <w:tcW w:w="3000" w:type="dxa"/>
            <w:tcBorders>
              <w:top w:val="single" w:sz="6" w:space="0" w:color="auto"/>
              <w:left w:val="single" w:sz="6" w:space="0" w:color="auto"/>
              <w:bottom w:val="single" w:sz="6" w:space="0" w:color="auto"/>
              <w:right w:val="single" w:sz="6" w:space="0" w:color="auto"/>
            </w:tcBorders>
          </w:tcPr>
          <w:p w:rsidR="005072BB" w:rsidRPr="00FA3856" w:rsidRDefault="005072BB" w:rsidP="002A7CB6">
            <w:pPr>
              <w:pStyle w:val="PSDS-CorpodeTexto0"/>
              <w:rPr>
                <w:rFonts w:ascii="Times New Roman" w:hAnsi="Times New Roman"/>
              </w:rPr>
            </w:pPr>
            <w:r w:rsidRPr="00FA3856">
              <w:rPr>
                <w:rFonts w:ascii="Times New Roman" w:hAnsi="Times New Roman"/>
                <w:bCs/>
                <w:lang w:val="pt-PT"/>
              </w:rPr>
              <w:t>MOT_NAO_CONSOL</w:t>
            </w:r>
          </w:p>
        </w:tc>
        <w:tc>
          <w:tcPr>
            <w:tcW w:w="12168" w:type="dxa"/>
            <w:tcBorders>
              <w:top w:val="single" w:sz="6" w:space="0" w:color="auto"/>
              <w:left w:val="single" w:sz="6" w:space="0" w:color="auto"/>
              <w:bottom w:val="single" w:sz="6" w:space="0" w:color="auto"/>
              <w:right w:val="single" w:sz="6" w:space="0" w:color="auto"/>
            </w:tcBorders>
          </w:tcPr>
          <w:p w:rsidR="005072BB" w:rsidRPr="00FA3856" w:rsidRDefault="005072BB" w:rsidP="002A7CB6">
            <w:pPr>
              <w:pStyle w:val="Corpodetexto"/>
              <w:rPr>
                <w:rFonts w:ascii="Times New Roman" w:hAnsi="Times New Roman"/>
                <w:szCs w:val="20"/>
              </w:rPr>
            </w:pPr>
            <w:r w:rsidRPr="00FA3856">
              <w:rPr>
                <w:rFonts w:ascii="Times New Roman" w:hAnsi="Times New Roman"/>
                <w:b/>
                <w:szCs w:val="20"/>
              </w:rPr>
              <w:t xml:space="preserve">REGRA_MOTIVO_NAO_CONSOL_PREENCHER: </w:t>
            </w:r>
            <w:r w:rsidRPr="00FA3856">
              <w:rPr>
                <w:rFonts w:ascii="Times New Roman" w:hAnsi="Times New Roman"/>
                <w:szCs w:val="20"/>
              </w:rPr>
              <w:t>Verifica, quando X340.IND_CONSOL igual a “N”, se X340.MOT_NAO_CONSOL está preenchido.</w:t>
            </w:r>
          </w:p>
          <w:p w:rsidR="005072BB" w:rsidRPr="00FA3856" w:rsidRDefault="005072BB" w:rsidP="002A7CB6">
            <w:pPr>
              <w:pStyle w:val="Corpodetexto"/>
              <w:rPr>
                <w:rFonts w:ascii="Times New Roman" w:hAnsi="Times New Roman"/>
                <w:szCs w:val="20"/>
              </w:rPr>
            </w:pPr>
          </w:p>
          <w:p w:rsidR="005072BB" w:rsidRPr="00FA3856" w:rsidRDefault="005072BB" w:rsidP="002A7CB6">
            <w:pPr>
              <w:pStyle w:val="Corpodetexto"/>
              <w:rPr>
                <w:rFonts w:ascii="Times New Roman" w:hAnsi="Times New Roman"/>
                <w:szCs w:val="20"/>
              </w:rPr>
            </w:pPr>
            <w:r w:rsidRPr="00FA3856">
              <w:rPr>
                <w:rFonts w:ascii="Times New Roman" w:hAnsi="Times New Roman"/>
                <w:b/>
                <w:szCs w:val="20"/>
              </w:rPr>
              <w:t xml:space="preserve">REGRA_MOTIVO_NAO_CONSOL_NAO_PREENCHER: </w:t>
            </w:r>
            <w:r w:rsidRPr="00FA3856">
              <w:rPr>
                <w:rFonts w:ascii="Times New Roman" w:hAnsi="Times New Roman"/>
                <w:szCs w:val="20"/>
              </w:rPr>
              <w:t>Verifica, quando X340.IND_CONSOL igual a “S”, se X340.MOT_NAO_CONSOL não está preenchido.</w:t>
            </w:r>
          </w:p>
        </w:tc>
        <w:tc>
          <w:tcPr>
            <w:tcW w:w="717" w:type="dxa"/>
            <w:tcBorders>
              <w:top w:val="single" w:sz="6" w:space="0" w:color="auto"/>
              <w:left w:val="single" w:sz="6" w:space="0" w:color="auto"/>
              <w:bottom w:val="single" w:sz="6" w:space="0" w:color="auto"/>
              <w:right w:val="single" w:sz="6" w:space="0" w:color="auto"/>
            </w:tcBorders>
          </w:tcPr>
          <w:p w:rsidR="005072BB" w:rsidRPr="00FA3856" w:rsidRDefault="005072BB" w:rsidP="002A7CB6">
            <w:pPr>
              <w:pStyle w:val="PSDS-CorpodeTexto0"/>
              <w:rPr>
                <w:rFonts w:ascii="Times New Roman" w:hAnsi="Times New Roman"/>
              </w:rPr>
            </w:pPr>
            <w:r w:rsidRPr="00FA3856">
              <w:rPr>
                <w:rFonts w:ascii="Times New Roman" w:hAnsi="Times New Roman"/>
              </w:rPr>
              <w:t>Erro</w:t>
            </w:r>
          </w:p>
          <w:p w:rsidR="005072BB" w:rsidRPr="00FA3856" w:rsidRDefault="005072BB" w:rsidP="002A7CB6">
            <w:pPr>
              <w:pStyle w:val="PSDS-CorpodeTexto0"/>
              <w:rPr>
                <w:rFonts w:ascii="Times New Roman" w:hAnsi="Times New Roman"/>
              </w:rPr>
            </w:pPr>
          </w:p>
          <w:p w:rsidR="005072BB" w:rsidRPr="00FA3856" w:rsidRDefault="005072BB" w:rsidP="002A7CB6">
            <w:pPr>
              <w:pStyle w:val="PSDS-CorpodeTexto0"/>
              <w:rPr>
                <w:rFonts w:ascii="Times New Roman" w:hAnsi="Times New Roman"/>
              </w:rPr>
            </w:pPr>
          </w:p>
          <w:p w:rsidR="005072BB" w:rsidRPr="00FA3856" w:rsidRDefault="005072BB" w:rsidP="002A7CB6">
            <w:pPr>
              <w:pStyle w:val="PSDS-CorpodeTexto0"/>
              <w:rPr>
                <w:rFonts w:ascii="Times New Roman" w:hAnsi="Times New Roman"/>
              </w:rPr>
            </w:pPr>
            <w:r w:rsidRPr="00FA3856">
              <w:rPr>
                <w:rFonts w:ascii="Times New Roman" w:hAnsi="Times New Roman"/>
              </w:rPr>
              <w:t>Erro</w:t>
            </w:r>
          </w:p>
          <w:p w:rsidR="005072BB" w:rsidRPr="00FA3856" w:rsidRDefault="005072BB" w:rsidP="002A7CB6">
            <w:pPr>
              <w:pStyle w:val="PSDS-CorpodeTexto0"/>
              <w:rPr>
                <w:rFonts w:ascii="Times New Roman" w:hAnsi="Times New Roman"/>
              </w:rPr>
            </w:pPr>
          </w:p>
        </w:tc>
      </w:tr>
      <w:tr w:rsidR="009C76A6" w:rsidRPr="00FA3856" w:rsidTr="00FC6C6D">
        <w:trPr>
          <w:jc w:val="center"/>
        </w:trPr>
        <w:tc>
          <w:tcPr>
            <w:tcW w:w="485" w:type="dxa"/>
            <w:tcBorders>
              <w:top w:val="single" w:sz="6" w:space="0" w:color="auto"/>
              <w:left w:val="single" w:sz="6" w:space="0" w:color="auto"/>
              <w:bottom w:val="single" w:sz="6" w:space="0" w:color="auto"/>
              <w:right w:val="single" w:sz="6" w:space="0" w:color="auto"/>
            </w:tcBorders>
          </w:tcPr>
          <w:p w:rsidR="009C76A6" w:rsidRPr="00FA3856" w:rsidRDefault="005072BB" w:rsidP="009C76A6">
            <w:pPr>
              <w:pStyle w:val="PSDS-CorpodeTexto0"/>
              <w:suppressAutoHyphens w:val="0"/>
              <w:rPr>
                <w:rFonts w:ascii="Times New Roman" w:hAnsi="Times New Roman"/>
                <w:b/>
                <w:bCs/>
                <w:lang w:val="pt-PT"/>
              </w:rPr>
            </w:pPr>
            <w:r w:rsidRPr="00FA3856">
              <w:rPr>
                <w:rFonts w:ascii="Times New Roman" w:hAnsi="Times New Roman"/>
                <w:b/>
                <w:bCs/>
                <w:lang w:val="pt-PT"/>
              </w:rPr>
              <w:t>9</w:t>
            </w:r>
          </w:p>
        </w:tc>
        <w:tc>
          <w:tcPr>
            <w:tcW w:w="3000" w:type="dxa"/>
            <w:tcBorders>
              <w:top w:val="single" w:sz="6" w:space="0" w:color="auto"/>
              <w:left w:val="single" w:sz="6" w:space="0" w:color="auto"/>
              <w:bottom w:val="single" w:sz="6" w:space="0" w:color="auto"/>
              <w:right w:val="single" w:sz="6" w:space="0" w:color="auto"/>
            </w:tcBorders>
          </w:tcPr>
          <w:p w:rsidR="009C76A6" w:rsidRPr="00FA3856" w:rsidRDefault="005072BB" w:rsidP="009C76A6">
            <w:pPr>
              <w:pStyle w:val="PSDS-CorpodeTexto0"/>
              <w:rPr>
                <w:rFonts w:ascii="Times New Roman" w:hAnsi="Times New Roman"/>
              </w:rPr>
            </w:pPr>
            <w:r w:rsidRPr="00FA3856">
              <w:rPr>
                <w:rFonts w:ascii="Times New Roman" w:hAnsi="Times New Roman"/>
                <w:bCs/>
                <w:lang w:val="pt-PT"/>
              </w:rPr>
              <w:t>CNPJ</w:t>
            </w:r>
          </w:p>
        </w:tc>
        <w:tc>
          <w:tcPr>
            <w:tcW w:w="12168" w:type="dxa"/>
            <w:tcBorders>
              <w:top w:val="single" w:sz="6" w:space="0" w:color="auto"/>
              <w:left w:val="single" w:sz="6" w:space="0" w:color="auto"/>
              <w:bottom w:val="single" w:sz="6" w:space="0" w:color="auto"/>
              <w:right w:val="single" w:sz="6" w:space="0" w:color="auto"/>
            </w:tcBorders>
          </w:tcPr>
          <w:p w:rsidR="005072BB" w:rsidRPr="00FA3856" w:rsidRDefault="007D0E74" w:rsidP="005072BB">
            <w:pPr>
              <w:shd w:val="clear" w:color="auto" w:fill="FFFFFF"/>
              <w:jc w:val="both"/>
              <w:rPr>
                <w:szCs w:val="20"/>
              </w:rPr>
            </w:pPr>
            <w:hyperlink w:anchor="REGRA_VALIDA_CNPJ" w:history="1">
              <w:r w:rsidR="005072BB" w:rsidRPr="00FA3856">
                <w:rPr>
                  <w:rStyle w:val="Hyperlink"/>
                  <w:b/>
                  <w:bCs/>
                  <w:color w:val="auto"/>
                  <w:szCs w:val="20"/>
                  <w:lang w:val="pt-PT"/>
                </w:rPr>
                <w:t>REGRA_VALIDA_CNPJ</w:t>
              </w:r>
            </w:hyperlink>
            <w:r w:rsidR="005072BB" w:rsidRPr="00FA3856">
              <w:rPr>
                <w:b/>
                <w:bCs/>
                <w:szCs w:val="20"/>
                <w:lang w:val="pt-PT"/>
              </w:rPr>
              <w:t xml:space="preserve">: </w:t>
            </w:r>
            <w:r w:rsidR="005072BB" w:rsidRPr="00FA3856">
              <w:rPr>
                <w:szCs w:val="20"/>
              </w:rPr>
              <w:t xml:space="preserve"> Verifica se a regra de formação do código é válida.</w:t>
            </w:r>
          </w:p>
          <w:p w:rsidR="00F40AD9" w:rsidRPr="00FA3856" w:rsidRDefault="00F40AD9" w:rsidP="00F40AD9">
            <w:pPr>
              <w:pStyle w:val="Corpodetexto"/>
              <w:rPr>
                <w:rFonts w:ascii="Times New Roman" w:hAnsi="Times New Roman"/>
                <w:szCs w:val="20"/>
              </w:rPr>
            </w:pPr>
          </w:p>
          <w:p w:rsidR="005072BB" w:rsidRPr="00FA3856" w:rsidRDefault="005072BB" w:rsidP="005072BB">
            <w:pPr>
              <w:rPr>
                <w:bCs/>
                <w:color w:val="000000"/>
                <w:szCs w:val="20"/>
              </w:rPr>
            </w:pPr>
            <w:r w:rsidRPr="00FA3856">
              <w:rPr>
                <w:b/>
                <w:bCs/>
                <w:color w:val="000000"/>
                <w:szCs w:val="20"/>
              </w:rPr>
              <w:t xml:space="preserve">REGRA_NIF_CNPJ: </w:t>
            </w:r>
            <w:r w:rsidRPr="00FA3856">
              <w:rPr>
                <w:bCs/>
                <w:color w:val="000000"/>
                <w:szCs w:val="20"/>
              </w:rPr>
              <w:t>Se X340.NIF e X340.CNPJ estão preenchidos, deve haver outro registro X340 com X340.NIF preenchido e igual ao anterior, e X340.CNPJ não preenchido.</w:t>
            </w:r>
          </w:p>
          <w:p w:rsidR="005072BB" w:rsidRPr="00FA3856" w:rsidRDefault="005072BB" w:rsidP="005072BB">
            <w:pPr>
              <w:rPr>
                <w:bCs/>
                <w:color w:val="000000"/>
                <w:szCs w:val="20"/>
              </w:rPr>
            </w:pPr>
          </w:p>
          <w:p w:rsidR="00F40AD9" w:rsidRPr="00FA3856" w:rsidRDefault="005072BB" w:rsidP="005072BB">
            <w:pPr>
              <w:rPr>
                <w:bCs/>
                <w:color w:val="000000"/>
                <w:szCs w:val="20"/>
              </w:rPr>
            </w:pPr>
            <w:r w:rsidRPr="00FA3856">
              <w:rPr>
                <w:b/>
                <w:bCs/>
                <w:color w:val="000000"/>
                <w:szCs w:val="20"/>
              </w:rPr>
              <w:t xml:space="preserve">REGRA_NAO_PREENCHER_CNPJ: </w:t>
            </w:r>
            <w:r w:rsidRPr="00FA3856">
              <w:rPr>
                <w:bCs/>
                <w:color w:val="000000"/>
                <w:szCs w:val="20"/>
              </w:rPr>
              <w:t xml:space="preserve">Se X40.PAIS diferente de “105” (Brasil), o campo X340.CNPJ não deve estar preenchido. </w:t>
            </w:r>
          </w:p>
          <w:p w:rsidR="005072BB" w:rsidRPr="00FA3856" w:rsidRDefault="005072BB" w:rsidP="005072BB">
            <w:pPr>
              <w:rPr>
                <w:bCs/>
                <w:color w:val="000000"/>
                <w:szCs w:val="20"/>
              </w:rPr>
            </w:pPr>
          </w:p>
          <w:p w:rsidR="005072BB" w:rsidRPr="00FA3856" w:rsidRDefault="005072BB" w:rsidP="005072BB">
            <w:pPr>
              <w:rPr>
                <w:bCs/>
                <w:color w:val="000000"/>
                <w:szCs w:val="20"/>
              </w:rPr>
            </w:pPr>
            <w:r w:rsidRPr="00FA3856">
              <w:rPr>
                <w:b/>
                <w:bCs/>
                <w:color w:val="000000"/>
                <w:szCs w:val="20"/>
              </w:rPr>
              <w:t xml:space="preserve">REGRA _PREENCHER_CNPJ: </w:t>
            </w:r>
            <w:r w:rsidRPr="00FA3856">
              <w:rPr>
                <w:bCs/>
                <w:color w:val="000000"/>
                <w:szCs w:val="20"/>
              </w:rPr>
              <w:t>Se X40.PAIS igual a “105” (Brasil), o campo X340.CNPJ deve estar preenchido.</w:t>
            </w:r>
          </w:p>
          <w:p w:rsidR="005072BB" w:rsidRPr="00FA3856" w:rsidRDefault="005072BB" w:rsidP="005072BB">
            <w:pPr>
              <w:rPr>
                <w:bCs/>
                <w:color w:val="000000"/>
                <w:szCs w:val="20"/>
              </w:rPr>
            </w:pPr>
          </w:p>
          <w:p w:rsidR="005072BB" w:rsidRPr="00FA3856" w:rsidRDefault="005072BB" w:rsidP="005072BB">
            <w:pPr>
              <w:rPr>
                <w:bCs/>
                <w:color w:val="000000"/>
                <w:szCs w:val="20"/>
              </w:rPr>
            </w:pPr>
            <w:r w:rsidRPr="00FA3856">
              <w:rPr>
                <w:b/>
                <w:bCs/>
                <w:color w:val="000000"/>
                <w:szCs w:val="20"/>
              </w:rPr>
              <w:t xml:space="preserve">REGRA_PREENCHER_CNPJ_NIF: </w:t>
            </w:r>
            <w:r w:rsidRPr="00FA3856">
              <w:rPr>
                <w:bCs/>
                <w:color w:val="000000"/>
                <w:szCs w:val="20"/>
              </w:rPr>
              <w:t>Se X340.CNPJ estiver preenchido, X340.NIF deve estar preenchido.</w:t>
            </w:r>
          </w:p>
        </w:tc>
        <w:tc>
          <w:tcPr>
            <w:tcW w:w="717" w:type="dxa"/>
            <w:tcBorders>
              <w:top w:val="single" w:sz="6" w:space="0" w:color="auto"/>
              <w:left w:val="single" w:sz="6" w:space="0" w:color="auto"/>
              <w:bottom w:val="single" w:sz="6" w:space="0" w:color="auto"/>
              <w:right w:val="single" w:sz="6" w:space="0" w:color="auto"/>
            </w:tcBorders>
          </w:tcPr>
          <w:p w:rsidR="009C76A6" w:rsidRPr="00FA3856" w:rsidRDefault="009C76A6" w:rsidP="009C76A6">
            <w:pPr>
              <w:pStyle w:val="PSDS-CorpodeTexto0"/>
              <w:rPr>
                <w:rFonts w:ascii="Times New Roman" w:hAnsi="Times New Roman"/>
              </w:rPr>
            </w:pPr>
            <w:r w:rsidRPr="00FA3856">
              <w:rPr>
                <w:rFonts w:ascii="Times New Roman" w:hAnsi="Times New Roman"/>
              </w:rPr>
              <w:t>Erro</w:t>
            </w:r>
          </w:p>
          <w:p w:rsidR="00F40AD9" w:rsidRPr="00FA3856" w:rsidRDefault="00F40AD9" w:rsidP="009C76A6">
            <w:pPr>
              <w:pStyle w:val="PSDS-CorpodeTexto0"/>
              <w:rPr>
                <w:rFonts w:ascii="Times New Roman" w:hAnsi="Times New Roman"/>
              </w:rPr>
            </w:pPr>
          </w:p>
          <w:p w:rsidR="00F40AD9" w:rsidRPr="00FA3856" w:rsidRDefault="00F40AD9" w:rsidP="009C76A6">
            <w:pPr>
              <w:pStyle w:val="PSDS-CorpodeTexto0"/>
              <w:rPr>
                <w:rFonts w:ascii="Times New Roman" w:hAnsi="Times New Roman"/>
              </w:rPr>
            </w:pPr>
            <w:r w:rsidRPr="00FA3856">
              <w:rPr>
                <w:rFonts w:ascii="Times New Roman" w:hAnsi="Times New Roman"/>
              </w:rPr>
              <w:t>Erro</w:t>
            </w:r>
          </w:p>
          <w:p w:rsidR="005072BB" w:rsidRPr="00FA3856" w:rsidRDefault="005072BB" w:rsidP="009C76A6">
            <w:pPr>
              <w:pStyle w:val="PSDS-CorpodeTexto0"/>
              <w:rPr>
                <w:rFonts w:ascii="Times New Roman" w:hAnsi="Times New Roman"/>
              </w:rPr>
            </w:pPr>
          </w:p>
          <w:p w:rsidR="005072BB" w:rsidRPr="00FA3856" w:rsidRDefault="005072BB" w:rsidP="009C76A6">
            <w:pPr>
              <w:pStyle w:val="PSDS-CorpodeTexto0"/>
              <w:rPr>
                <w:rFonts w:ascii="Times New Roman" w:hAnsi="Times New Roman"/>
              </w:rPr>
            </w:pPr>
          </w:p>
          <w:p w:rsidR="005072BB" w:rsidRPr="00FA3856" w:rsidRDefault="005072BB" w:rsidP="009C76A6">
            <w:pPr>
              <w:pStyle w:val="PSDS-CorpodeTexto0"/>
              <w:rPr>
                <w:rFonts w:ascii="Times New Roman" w:hAnsi="Times New Roman"/>
              </w:rPr>
            </w:pPr>
            <w:r w:rsidRPr="00FA3856">
              <w:rPr>
                <w:rFonts w:ascii="Times New Roman" w:hAnsi="Times New Roman"/>
              </w:rPr>
              <w:t>Erro</w:t>
            </w:r>
          </w:p>
          <w:p w:rsidR="005072BB" w:rsidRPr="00FA3856" w:rsidRDefault="005072BB" w:rsidP="009C76A6">
            <w:pPr>
              <w:pStyle w:val="PSDS-CorpodeTexto0"/>
              <w:rPr>
                <w:rFonts w:ascii="Times New Roman" w:hAnsi="Times New Roman"/>
              </w:rPr>
            </w:pPr>
          </w:p>
          <w:p w:rsidR="005072BB" w:rsidRPr="00FA3856" w:rsidRDefault="005072BB" w:rsidP="009C76A6">
            <w:pPr>
              <w:pStyle w:val="PSDS-CorpodeTexto0"/>
              <w:rPr>
                <w:rFonts w:ascii="Times New Roman" w:hAnsi="Times New Roman"/>
              </w:rPr>
            </w:pPr>
            <w:r w:rsidRPr="00FA3856">
              <w:rPr>
                <w:rFonts w:ascii="Times New Roman" w:hAnsi="Times New Roman"/>
              </w:rPr>
              <w:t>Erro</w:t>
            </w:r>
          </w:p>
          <w:p w:rsidR="005072BB" w:rsidRPr="00FA3856" w:rsidRDefault="005072BB" w:rsidP="009C76A6">
            <w:pPr>
              <w:pStyle w:val="PSDS-CorpodeTexto0"/>
              <w:rPr>
                <w:rFonts w:ascii="Times New Roman" w:hAnsi="Times New Roman"/>
              </w:rPr>
            </w:pPr>
          </w:p>
          <w:p w:rsidR="009C76A6" w:rsidRPr="00FA3856" w:rsidRDefault="005072BB" w:rsidP="009C76A6">
            <w:pPr>
              <w:pStyle w:val="PSDS-CorpodeTexto0"/>
              <w:rPr>
                <w:rFonts w:ascii="Times New Roman" w:hAnsi="Times New Roman"/>
              </w:rPr>
            </w:pPr>
            <w:r w:rsidRPr="00FA3856">
              <w:rPr>
                <w:rFonts w:ascii="Times New Roman" w:hAnsi="Times New Roman"/>
              </w:rPr>
              <w:t>Erro</w:t>
            </w:r>
          </w:p>
        </w:tc>
      </w:tr>
    </w:tbl>
    <w:p w:rsidR="008F5FED" w:rsidRDefault="008F5FED" w:rsidP="00FC6C6D">
      <w:pPr>
        <w:pStyle w:val="Corpodetexto"/>
        <w:rPr>
          <w:rFonts w:ascii="Times New Roman" w:hAnsi="Times New Roman"/>
          <w:b/>
          <w:color w:val="002060"/>
          <w:szCs w:val="20"/>
        </w:rPr>
      </w:pPr>
    </w:p>
    <w:p w:rsidR="008F5FED" w:rsidRDefault="00FC6C6D" w:rsidP="00FC6C6D">
      <w:pPr>
        <w:pStyle w:val="Corpodetexto"/>
        <w:rPr>
          <w:rFonts w:ascii="Times New Roman" w:hAnsi="Times New Roman"/>
          <w:b/>
          <w:color w:val="002060"/>
          <w:szCs w:val="20"/>
        </w:rPr>
      </w:pPr>
      <w:r w:rsidRPr="00FA3856">
        <w:rPr>
          <w:rFonts w:ascii="Times New Roman" w:hAnsi="Times New Roman"/>
          <w:b/>
          <w:color w:val="002060"/>
          <w:szCs w:val="20"/>
        </w:rPr>
        <w:t>Ex</w:t>
      </w:r>
      <w:r w:rsidR="00600647" w:rsidRPr="00FA3856">
        <w:rPr>
          <w:rFonts w:ascii="Times New Roman" w:hAnsi="Times New Roman"/>
          <w:b/>
          <w:color w:val="002060"/>
          <w:szCs w:val="20"/>
        </w:rPr>
        <w:t xml:space="preserve">emplo de Preenchimento: </w:t>
      </w:r>
    </w:p>
    <w:p w:rsidR="008F5FED" w:rsidRDefault="008F5FED" w:rsidP="00FC6C6D">
      <w:pPr>
        <w:pStyle w:val="Corpodetexto"/>
        <w:rPr>
          <w:rFonts w:ascii="Times New Roman" w:hAnsi="Times New Roman"/>
          <w:b/>
          <w:color w:val="002060"/>
          <w:szCs w:val="20"/>
        </w:rPr>
      </w:pPr>
    </w:p>
    <w:p w:rsidR="00FC6C6D" w:rsidRPr="00FA3856" w:rsidRDefault="00600647" w:rsidP="00FC6C6D">
      <w:pPr>
        <w:pStyle w:val="Corpodetexto"/>
        <w:rPr>
          <w:rFonts w:ascii="Times New Roman" w:hAnsi="Times New Roman"/>
          <w:b/>
          <w:color w:val="002060"/>
          <w:szCs w:val="20"/>
        </w:rPr>
      </w:pPr>
      <w:r w:rsidRPr="00FA3856">
        <w:rPr>
          <w:rFonts w:ascii="Times New Roman" w:hAnsi="Times New Roman"/>
          <w:b/>
          <w:color w:val="002060"/>
          <w:szCs w:val="20"/>
        </w:rPr>
        <w:t>|</w:t>
      </w:r>
      <w:r w:rsidR="00FC6C6D" w:rsidRPr="00FA3856">
        <w:rPr>
          <w:rFonts w:ascii="Times New Roman" w:hAnsi="Times New Roman"/>
          <w:b/>
          <w:color w:val="002060"/>
          <w:szCs w:val="20"/>
        </w:rPr>
        <w:t>X340|EMPRESA CONTROLADA|</w:t>
      </w:r>
      <w:r w:rsidR="00B334D5" w:rsidRPr="00FA3856">
        <w:rPr>
          <w:rFonts w:ascii="Times New Roman" w:hAnsi="Times New Roman"/>
          <w:b/>
          <w:color w:val="002060"/>
          <w:szCs w:val="20"/>
        </w:rPr>
        <w:t>1111111111|1|249|N|S|</w:t>
      </w:r>
      <w:r w:rsidR="00DD4BDD" w:rsidRPr="00FA3856">
        <w:rPr>
          <w:rFonts w:ascii="Times New Roman" w:hAnsi="Times New Roman"/>
          <w:b/>
          <w:color w:val="002060"/>
          <w:szCs w:val="20"/>
        </w:rPr>
        <w:t>|</w:t>
      </w:r>
    </w:p>
    <w:p w:rsidR="00FC6C6D" w:rsidRPr="00FA3856" w:rsidRDefault="00FC6C6D" w:rsidP="00FC6C6D">
      <w:pPr>
        <w:pStyle w:val="Corpodetexto"/>
        <w:ind w:firstLine="708"/>
        <w:rPr>
          <w:rFonts w:ascii="Times New Roman" w:hAnsi="Times New Roman"/>
          <w:color w:val="002060"/>
          <w:szCs w:val="20"/>
        </w:rPr>
      </w:pPr>
      <w:r w:rsidRPr="00FA3856">
        <w:rPr>
          <w:rFonts w:ascii="Times New Roman" w:hAnsi="Times New Roman"/>
          <w:color w:val="002060"/>
          <w:szCs w:val="20"/>
        </w:rPr>
        <w:t>|X340|: Identificação do tipo do registro.</w:t>
      </w:r>
    </w:p>
    <w:p w:rsidR="00B334D5" w:rsidRPr="00FA3856" w:rsidRDefault="00B334D5" w:rsidP="00FC6C6D">
      <w:pPr>
        <w:pStyle w:val="Corpodetexto"/>
        <w:ind w:firstLine="708"/>
        <w:rPr>
          <w:rFonts w:ascii="Times New Roman" w:hAnsi="Times New Roman"/>
          <w:color w:val="002060"/>
          <w:szCs w:val="20"/>
        </w:rPr>
      </w:pPr>
      <w:r w:rsidRPr="00FA3856">
        <w:rPr>
          <w:rFonts w:ascii="Times New Roman" w:hAnsi="Times New Roman"/>
          <w:color w:val="002060"/>
          <w:szCs w:val="20"/>
        </w:rPr>
        <w:t>|EMPRESA CONTROLADA|: Razão social.</w:t>
      </w:r>
    </w:p>
    <w:p w:rsidR="00B334D5" w:rsidRPr="00FA3856" w:rsidRDefault="00B334D5" w:rsidP="00FC6C6D">
      <w:pPr>
        <w:pStyle w:val="Corpodetexto"/>
        <w:ind w:firstLine="708"/>
        <w:rPr>
          <w:rFonts w:ascii="Times New Roman" w:hAnsi="Times New Roman"/>
          <w:color w:val="002060"/>
          <w:szCs w:val="20"/>
        </w:rPr>
      </w:pPr>
      <w:r w:rsidRPr="00FA3856">
        <w:rPr>
          <w:rFonts w:ascii="Times New Roman" w:hAnsi="Times New Roman"/>
          <w:color w:val="002060"/>
          <w:szCs w:val="20"/>
        </w:rPr>
        <w:t>|1111111111|: Número de identificação fiscal (“CNPJ” da investida no exterior).</w:t>
      </w:r>
    </w:p>
    <w:p w:rsidR="00B334D5" w:rsidRPr="00FA3856" w:rsidRDefault="00B334D5" w:rsidP="00FC6C6D">
      <w:pPr>
        <w:pStyle w:val="Corpodetexto"/>
        <w:ind w:firstLine="708"/>
        <w:rPr>
          <w:rFonts w:ascii="Times New Roman" w:hAnsi="Times New Roman"/>
          <w:color w:val="002060"/>
          <w:szCs w:val="20"/>
        </w:rPr>
      </w:pPr>
      <w:r w:rsidRPr="00FA3856">
        <w:rPr>
          <w:rFonts w:ascii="Times New Roman" w:hAnsi="Times New Roman"/>
          <w:color w:val="002060"/>
          <w:szCs w:val="20"/>
        </w:rPr>
        <w:t>|1|: Indicador de controle (1 = Controlada Direta).</w:t>
      </w:r>
    </w:p>
    <w:p w:rsidR="00B334D5" w:rsidRPr="00FA3856" w:rsidRDefault="00B334D5" w:rsidP="00FC6C6D">
      <w:pPr>
        <w:pStyle w:val="Corpodetexto"/>
        <w:ind w:firstLine="708"/>
        <w:rPr>
          <w:rFonts w:ascii="Times New Roman" w:hAnsi="Times New Roman"/>
          <w:color w:val="002060"/>
          <w:szCs w:val="20"/>
        </w:rPr>
      </w:pPr>
      <w:r w:rsidRPr="00FA3856">
        <w:rPr>
          <w:rFonts w:ascii="Times New Roman" w:hAnsi="Times New Roman"/>
          <w:color w:val="002060"/>
          <w:szCs w:val="20"/>
        </w:rPr>
        <w:t>|249|: Código do país da investida (249 = Estados Unidos da América).</w:t>
      </w:r>
    </w:p>
    <w:p w:rsidR="00B334D5" w:rsidRPr="00FA3856" w:rsidRDefault="00B334D5" w:rsidP="00FC6C6D">
      <w:pPr>
        <w:pStyle w:val="Corpodetexto"/>
        <w:ind w:firstLine="708"/>
        <w:rPr>
          <w:rFonts w:ascii="Times New Roman" w:hAnsi="Times New Roman"/>
          <w:color w:val="002060"/>
          <w:szCs w:val="20"/>
        </w:rPr>
      </w:pPr>
      <w:r w:rsidRPr="00FA3856">
        <w:rPr>
          <w:rFonts w:ascii="Times New Roman" w:hAnsi="Times New Roman"/>
          <w:color w:val="002060"/>
          <w:szCs w:val="20"/>
        </w:rPr>
        <w:t>|N|: Indicador de Repetro (N = Não).</w:t>
      </w:r>
    </w:p>
    <w:p w:rsidR="00B334D5" w:rsidRPr="00FA3856" w:rsidRDefault="00B334D5" w:rsidP="00FC6C6D">
      <w:pPr>
        <w:pStyle w:val="Corpodetexto"/>
        <w:ind w:firstLine="708"/>
        <w:rPr>
          <w:rFonts w:ascii="Times New Roman" w:hAnsi="Times New Roman"/>
          <w:color w:val="002060"/>
          <w:szCs w:val="20"/>
        </w:rPr>
      </w:pPr>
      <w:r w:rsidRPr="00FA3856">
        <w:rPr>
          <w:rFonts w:ascii="Times New Roman" w:hAnsi="Times New Roman"/>
          <w:color w:val="002060"/>
          <w:szCs w:val="20"/>
        </w:rPr>
        <w:t>|S|: Indicador de consolidação (S = Sim – resultados positivos e negativos consolidados).</w:t>
      </w:r>
    </w:p>
    <w:p w:rsidR="00DD4BDD" w:rsidRPr="00FA3856" w:rsidRDefault="00DD4BDD" w:rsidP="00FC6C6D">
      <w:pPr>
        <w:pStyle w:val="Corpodetexto"/>
        <w:ind w:firstLine="708"/>
        <w:rPr>
          <w:rFonts w:ascii="Times New Roman" w:hAnsi="Times New Roman"/>
          <w:color w:val="002060"/>
          <w:szCs w:val="20"/>
        </w:rPr>
      </w:pPr>
      <w:r w:rsidRPr="00FA3856">
        <w:rPr>
          <w:rFonts w:ascii="Times New Roman" w:hAnsi="Times New Roman"/>
          <w:color w:val="002060"/>
          <w:szCs w:val="20"/>
        </w:rPr>
        <w:t>||: Não preenchido.</w:t>
      </w:r>
    </w:p>
    <w:p w:rsidR="00B334D5" w:rsidRPr="00FA3856" w:rsidRDefault="00B334D5" w:rsidP="00FC6C6D">
      <w:pPr>
        <w:pStyle w:val="Corpodetexto"/>
        <w:ind w:firstLine="708"/>
        <w:rPr>
          <w:rFonts w:ascii="Times New Roman" w:hAnsi="Times New Roman"/>
          <w:color w:val="002060"/>
          <w:szCs w:val="20"/>
        </w:rPr>
      </w:pPr>
    </w:p>
    <w:p w:rsidR="00600647" w:rsidRPr="00FA3856" w:rsidRDefault="00600647">
      <w:pPr>
        <w:spacing w:after="200" w:line="276" w:lineRule="auto"/>
        <w:rPr>
          <w:b/>
          <w:bCs/>
          <w:color w:val="0000FF"/>
          <w:szCs w:val="20"/>
        </w:rPr>
      </w:pPr>
      <w:r w:rsidRPr="00FA3856">
        <w:rPr>
          <w:color w:val="0000FF"/>
          <w:szCs w:val="20"/>
        </w:rPr>
        <w:br w:type="page"/>
      </w:r>
    </w:p>
    <w:p w:rsidR="00C22B28" w:rsidRPr="00FA3856" w:rsidRDefault="00C22B28" w:rsidP="00867F54">
      <w:pPr>
        <w:pStyle w:val="Ttulo4"/>
      </w:pPr>
      <w:bookmarkStart w:id="398" w:name="_Toc479713801"/>
      <w:r w:rsidRPr="00FA3856">
        <w:lastRenderedPageBreak/>
        <w:t>Registro X350: Participações no Exterior – Resultado do Período de Apuração</w:t>
      </w:r>
      <w:bookmarkEnd w:id="398"/>
      <w:r w:rsidRPr="00FA3856">
        <w:t xml:space="preserve"> </w:t>
      </w:r>
    </w:p>
    <w:p w:rsidR="00C22B28" w:rsidRPr="00FA3856" w:rsidRDefault="00C22B28" w:rsidP="00C22B28">
      <w:pPr>
        <w:rPr>
          <w:szCs w:val="20"/>
        </w:rPr>
      </w:pPr>
    </w:p>
    <w:p w:rsidR="00AB6576" w:rsidRPr="00FA3856" w:rsidRDefault="00AB6576" w:rsidP="00744D9D">
      <w:pPr>
        <w:ind w:firstLine="708"/>
        <w:jc w:val="both"/>
        <w:rPr>
          <w:bCs/>
          <w:szCs w:val="20"/>
        </w:rPr>
      </w:pPr>
      <w:r w:rsidRPr="00D756FC">
        <w:rPr>
          <w:bCs/>
          <w:szCs w:val="20"/>
        </w:rPr>
        <w:t>Este registro deve ser preenchido pela pessoa jurídica domiciliada no Brasil que tenha, no ano-calendário, obtido resultados no exterior decorrente de participação no capital de pessoa jurídica domiciliada no exterior. Este registro também deve ser preenchido pela pessoa jurídica optante pelo Refis que se submeteu ao regime de tributação pelo lucro presumido.</w:t>
      </w:r>
      <w:r w:rsidR="001E5392" w:rsidRPr="00D756FC">
        <w:rPr>
          <w:bCs/>
          <w:szCs w:val="20"/>
        </w:rPr>
        <w:t xml:space="preserve"> Todos os valores são informados em reais.</w:t>
      </w:r>
    </w:p>
    <w:p w:rsidR="00AB6576" w:rsidRPr="00FA3856" w:rsidRDefault="00AB6576" w:rsidP="00AB6576">
      <w:pPr>
        <w:jc w:val="both"/>
        <w:rPr>
          <w:bCs/>
          <w:szCs w:val="20"/>
        </w:rPr>
      </w:pPr>
    </w:p>
    <w:p w:rsidR="00AB6576" w:rsidRPr="00FA3856" w:rsidRDefault="00AB6576" w:rsidP="00AB6576">
      <w:pPr>
        <w:jc w:val="both"/>
        <w:rPr>
          <w:bCs/>
          <w:szCs w:val="20"/>
        </w:rPr>
      </w:pPr>
      <w:r w:rsidRPr="00FA3856">
        <w:rPr>
          <w:b/>
          <w:bCs/>
          <w:szCs w:val="20"/>
        </w:rPr>
        <w:t>Atenção</w:t>
      </w:r>
      <w:r w:rsidRPr="00FA3856">
        <w:rPr>
          <w:bCs/>
          <w:szCs w:val="20"/>
        </w:rPr>
        <w:t>:</w:t>
      </w:r>
    </w:p>
    <w:p w:rsidR="00AB6576" w:rsidRDefault="00AB6576" w:rsidP="005006F5">
      <w:pPr>
        <w:jc w:val="both"/>
        <w:rPr>
          <w:color w:val="000000"/>
          <w:szCs w:val="20"/>
        </w:rPr>
      </w:pPr>
      <w:r w:rsidRPr="00FA3856">
        <w:rPr>
          <w:bCs/>
          <w:szCs w:val="20"/>
        </w:rPr>
        <w:t xml:space="preserve">1) A pessoa jurídica que arbitrar os lucros das filiais, sucursais e controladas, conforme o disposto no art. 16 da Lei nº 9.430, de 1996, deve preencher somente </w:t>
      </w:r>
      <w:r w:rsidR="005006F5" w:rsidRPr="00FA3856">
        <w:rPr>
          <w:bCs/>
          <w:szCs w:val="20"/>
        </w:rPr>
        <w:t>X350.</w:t>
      </w:r>
      <w:r w:rsidR="005006F5" w:rsidRPr="00FA3856">
        <w:rPr>
          <w:color w:val="000000"/>
          <w:szCs w:val="20"/>
        </w:rPr>
        <w:t>LUC_ARB_ANT_IMP, X350. IMP_DEV_ARB e X350.LUC_ARB_PER_APUR.</w:t>
      </w:r>
    </w:p>
    <w:p w:rsidR="007B05BB" w:rsidRPr="00FA3856" w:rsidRDefault="007B05BB" w:rsidP="005006F5">
      <w:pPr>
        <w:jc w:val="both"/>
        <w:rPr>
          <w:color w:val="000000"/>
          <w:szCs w:val="20"/>
        </w:rPr>
      </w:pPr>
    </w:p>
    <w:p w:rsidR="00AB6576" w:rsidRPr="00FA3856" w:rsidRDefault="00AB6576" w:rsidP="005006F5">
      <w:pPr>
        <w:jc w:val="both"/>
        <w:rPr>
          <w:bCs/>
          <w:szCs w:val="20"/>
        </w:rPr>
      </w:pPr>
      <w:r w:rsidRPr="00FA3856">
        <w:rPr>
          <w:bCs/>
          <w:szCs w:val="20"/>
        </w:rPr>
        <w:t>2) A conversão em Reais dos valores das demonstrações financeiras elaboradas pelas filiais, sucursais, controladas e coligadas, no exterior, deve ser efetuada tomando-se por base a taxa de câmbio para venda, do dia das demonstrações financeiras em que tenham sido apurados os lucros, fixada pelo Banco Central do Brasil, da moeda do país onde estiver domiciliada a filial, sucursal, controlada ou coligada (Lei nº 9.249, de 1995, art. 25, § 4º; IN SRF nº 213, de 2002, art. 6º, § 3º).</w:t>
      </w:r>
    </w:p>
    <w:p w:rsidR="007B05BB" w:rsidRDefault="007B05BB" w:rsidP="005006F5">
      <w:pPr>
        <w:jc w:val="both"/>
        <w:rPr>
          <w:bCs/>
          <w:szCs w:val="20"/>
        </w:rPr>
      </w:pPr>
    </w:p>
    <w:p w:rsidR="00AB6576" w:rsidRDefault="00AB6576" w:rsidP="005006F5">
      <w:pPr>
        <w:jc w:val="both"/>
        <w:rPr>
          <w:bCs/>
          <w:szCs w:val="20"/>
        </w:rPr>
      </w:pPr>
      <w:r w:rsidRPr="00FA3856">
        <w:rPr>
          <w:bCs/>
          <w:szCs w:val="20"/>
        </w:rPr>
        <w:t xml:space="preserve">3) Caso a moeda do país de domicílio da filial, sucursal, controlada ou coligada não tenha cotação no Brasil, os valores devem ser primeiramente </w:t>
      </w:r>
      <w:r w:rsidR="00AE7FBB" w:rsidRPr="00FA3856">
        <w:rPr>
          <w:bCs/>
          <w:szCs w:val="20"/>
        </w:rPr>
        <w:t>convertidos</w:t>
      </w:r>
      <w:r w:rsidRPr="00FA3856">
        <w:rPr>
          <w:bCs/>
          <w:szCs w:val="20"/>
        </w:rPr>
        <w:t xml:space="preserve"> em Dólares dos Estados Unidos da América e depois em Reais (IN SRF nº 213, de 2002, art. 6º, § 4º).</w:t>
      </w:r>
    </w:p>
    <w:p w:rsidR="007B05BB" w:rsidRDefault="007B05BB" w:rsidP="005006F5">
      <w:pPr>
        <w:jc w:val="both"/>
        <w:rPr>
          <w:bCs/>
          <w:szCs w:val="20"/>
        </w:rPr>
      </w:pPr>
    </w:p>
    <w:p w:rsidR="007B05BB" w:rsidRPr="00FA3856" w:rsidRDefault="007B05BB" w:rsidP="005006F5">
      <w:pPr>
        <w:jc w:val="both"/>
        <w:rPr>
          <w:bCs/>
          <w:szCs w:val="20"/>
        </w:rPr>
      </w:pPr>
      <w:r w:rsidRPr="00D756FC">
        <w:rPr>
          <w:bCs/>
          <w:szCs w:val="20"/>
        </w:rPr>
        <w:t>4) As informações contidas neste registro referem-se à demonstração do resultado da investida no exterior e devem ser informadas pelo valor integral (100%) e não pelo valor correspondente à participação da investidora nos resultados da investida.</w:t>
      </w:r>
    </w:p>
    <w:p w:rsidR="00AB2A52" w:rsidRDefault="00AB2A52" w:rsidP="005C4118">
      <w:pPr>
        <w:pStyle w:val="PSDS-MarcadoresNivel4"/>
        <w:tabs>
          <w:tab w:val="clear" w:pos="2271"/>
          <w:tab w:val="left" w:pos="720"/>
        </w:tabs>
        <w:spacing w:before="0" w:after="0"/>
        <w:ind w:left="0" w:firstLine="0"/>
        <w:rPr>
          <w:rFonts w:ascii="Times New Roman" w:hAnsi="Times New Roman" w:cs="Times New Roman"/>
          <w:szCs w:val="20"/>
          <w:lang w:val="pt-PT"/>
        </w:rPr>
      </w:pPr>
    </w:p>
    <w:p w:rsidR="00265C34" w:rsidRPr="00FA3856" w:rsidRDefault="00B35FA3" w:rsidP="00265C34">
      <w:pPr>
        <w:pStyle w:val="PSDS-MarcadoresNivel4"/>
        <w:tabs>
          <w:tab w:val="clear" w:pos="2271"/>
          <w:tab w:val="left" w:pos="720"/>
        </w:tabs>
        <w:spacing w:before="0" w:after="0"/>
        <w:ind w:left="0" w:firstLine="0"/>
        <w:jc w:val="center"/>
        <w:rPr>
          <w:rFonts w:ascii="Times New Roman" w:hAnsi="Times New Roman" w:cs="Times New Roman"/>
          <w:szCs w:val="20"/>
          <w:lang w:val="pt-PT"/>
        </w:rPr>
      </w:pPr>
      <w:r>
        <w:rPr>
          <w:rFonts w:ascii="Times New Roman" w:hAnsi="Times New Roman" w:cs="Times New Roman"/>
          <w:szCs w:val="20"/>
          <w:lang w:val="pt-PT"/>
        </w:rPr>
        <w:object w:dxaOrig="14835" w:dyaOrig="6030">
          <v:shape id="_x0000_i1955" type="#_x0000_t75" style="width:792.75pt;height:292.5pt" o:ole="">
            <v:imagedata r:id="rId713" o:title=""/>
          </v:shape>
          <o:OLEObject Type="Link" ProgID="Excel.Sheet.12" ShapeID="_x0000_i1955" DrawAspect="Content" r:id="rId714" UpdateMode="Always">
            <o:LinkType>EnhancedMetaFile</o:LinkType>
            <o:LockedField>false</o:LockedField>
          </o:OLEObject>
        </w:object>
      </w:r>
    </w:p>
    <w:p w:rsidR="00265C34" w:rsidRDefault="00B35FA3" w:rsidP="00265C34">
      <w:pPr>
        <w:pStyle w:val="PSDS-MarcadoresNivel4"/>
        <w:tabs>
          <w:tab w:val="clear" w:pos="2271"/>
          <w:tab w:val="left" w:pos="720"/>
        </w:tabs>
        <w:spacing w:before="0" w:after="0"/>
        <w:ind w:left="0" w:firstLine="0"/>
        <w:jc w:val="center"/>
        <w:rPr>
          <w:rFonts w:ascii="Times New Roman" w:hAnsi="Times New Roman" w:cs="Times New Roman"/>
          <w:szCs w:val="20"/>
          <w:lang w:val="pt-PT"/>
        </w:rPr>
      </w:pPr>
      <w:r>
        <w:rPr>
          <w:rFonts w:ascii="Times New Roman" w:hAnsi="Times New Roman" w:cs="Times New Roman"/>
          <w:szCs w:val="20"/>
          <w:lang w:val="pt-PT"/>
        </w:rPr>
        <w:object w:dxaOrig="14835" w:dyaOrig="5490">
          <v:shape id="_x0000_i1957" type="#_x0000_t75" style="width:792.75pt;height:264.75pt" o:ole="">
            <v:imagedata r:id="rId715" o:title=""/>
          </v:shape>
          <o:OLEObject Type="Link" ProgID="Excel.Sheet.12" ShapeID="_x0000_i1957" DrawAspect="Content" r:id="rId716" UpdateMode="Always">
            <o:LinkType>EnhancedMetaFile</o:LinkType>
            <o:LockedField>false</o:LockedField>
          </o:OLEObject>
        </w:object>
      </w:r>
    </w:p>
    <w:p w:rsidR="00265C34" w:rsidRDefault="00265C34" w:rsidP="005C4118">
      <w:pPr>
        <w:pStyle w:val="PSDS-MarcadoresNivel4"/>
        <w:tabs>
          <w:tab w:val="clear" w:pos="2271"/>
          <w:tab w:val="left" w:pos="720"/>
        </w:tabs>
        <w:spacing w:before="0" w:after="0"/>
        <w:ind w:left="0" w:firstLine="0"/>
        <w:rPr>
          <w:rFonts w:ascii="Times New Roman" w:hAnsi="Times New Roman" w:cs="Times New Roman"/>
          <w:szCs w:val="20"/>
          <w:lang w:val="pt-PT"/>
        </w:rPr>
      </w:pPr>
    </w:p>
    <w:p w:rsidR="005C4118" w:rsidRPr="00FA3856" w:rsidRDefault="005C4118" w:rsidP="005C4118">
      <w:pPr>
        <w:pStyle w:val="PSDS-MarcadoresNivel4"/>
        <w:tabs>
          <w:tab w:val="clear" w:pos="2271"/>
          <w:tab w:val="left" w:pos="720"/>
        </w:tabs>
        <w:spacing w:before="0" w:after="0"/>
        <w:ind w:left="0" w:firstLine="0"/>
        <w:rPr>
          <w:rFonts w:ascii="Times New Roman" w:hAnsi="Times New Roman" w:cs="Times New Roman"/>
          <w:szCs w:val="20"/>
          <w:lang w:val="pt-PT"/>
        </w:rPr>
      </w:pPr>
      <w:r w:rsidRPr="00FA3856">
        <w:rPr>
          <w:rFonts w:ascii="Times New Roman" w:hAnsi="Times New Roman" w:cs="Times New Roman"/>
          <w:szCs w:val="20"/>
          <w:lang w:val="pt-PT"/>
        </w:rPr>
        <w:t>I – Regras de Validação de Campos:</w:t>
      </w:r>
    </w:p>
    <w:p w:rsidR="005C4118" w:rsidRPr="00FA3856" w:rsidRDefault="005C4118" w:rsidP="005C4118">
      <w:pPr>
        <w:pStyle w:val="PSDS-MarcadoresNivel4"/>
        <w:tabs>
          <w:tab w:val="clear" w:pos="2271"/>
          <w:tab w:val="left" w:pos="720"/>
        </w:tabs>
        <w:spacing w:before="0" w:after="0"/>
        <w:ind w:left="0" w:firstLine="0"/>
        <w:rPr>
          <w:rFonts w:ascii="Times New Roman" w:hAnsi="Times New Roman" w:cs="Times New Roman"/>
          <w:szCs w:val="20"/>
          <w:lang w:val="pt-PT"/>
        </w:rPr>
      </w:pPr>
    </w:p>
    <w:tbl>
      <w:tblPr>
        <w:tblW w:w="16370"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85"/>
        <w:gridCol w:w="3000"/>
        <w:gridCol w:w="12168"/>
        <w:gridCol w:w="717"/>
      </w:tblGrid>
      <w:tr w:rsidR="005C4118" w:rsidRPr="00FA3856" w:rsidTr="00BC4E27">
        <w:trPr>
          <w:jc w:val="center"/>
        </w:trPr>
        <w:tc>
          <w:tcPr>
            <w:tcW w:w="485" w:type="dxa"/>
            <w:tcBorders>
              <w:top w:val="single" w:sz="6" w:space="0" w:color="auto"/>
              <w:left w:val="single" w:sz="6" w:space="0" w:color="auto"/>
              <w:bottom w:val="single" w:sz="6" w:space="0" w:color="auto"/>
              <w:right w:val="single" w:sz="6" w:space="0" w:color="auto"/>
            </w:tcBorders>
            <w:shd w:val="pct10" w:color="auto" w:fill="FFFFFF"/>
          </w:tcPr>
          <w:p w:rsidR="005C4118" w:rsidRPr="00FA3856" w:rsidRDefault="005C4118" w:rsidP="00170D01">
            <w:pPr>
              <w:pStyle w:val="PSDS-CorpodeTexto0"/>
              <w:jc w:val="center"/>
              <w:rPr>
                <w:rFonts w:ascii="Times New Roman" w:hAnsi="Times New Roman"/>
                <w:b/>
                <w:bCs/>
              </w:rPr>
            </w:pPr>
            <w:r w:rsidRPr="00FA3856">
              <w:rPr>
                <w:rFonts w:ascii="Times New Roman" w:hAnsi="Times New Roman"/>
                <w:b/>
                <w:bCs/>
              </w:rPr>
              <w:t>Nº</w:t>
            </w:r>
          </w:p>
        </w:tc>
        <w:tc>
          <w:tcPr>
            <w:tcW w:w="3000" w:type="dxa"/>
            <w:tcBorders>
              <w:top w:val="single" w:sz="6" w:space="0" w:color="auto"/>
              <w:left w:val="single" w:sz="6" w:space="0" w:color="auto"/>
              <w:bottom w:val="single" w:sz="6" w:space="0" w:color="auto"/>
              <w:right w:val="single" w:sz="6" w:space="0" w:color="auto"/>
            </w:tcBorders>
            <w:shd w:val="pct10" w:color="auto" w:fill="FFFFFF"/>
          </w:tcPr>
          <w:p w:rsidR="005C4118" w:rsidRPr="00FA3856" w:rsidRDefault="005C4118" w:rsidP="00170D01">
            <w:pPr>
              <w:pStyle w:val="PSDS-CorpodeTexto0"/>
              <w:jc w:val="center"/>
              <w:rPr>
                <w:rFonts w:ascii="Times New Roman" w:hAnsi="Times New Roman"/>
                <w:b/>
                <w:bCs/>
              </w:rPr>
            </w:pPr>
            <w:r w:rsidRPr="00FA3856">
              <w:rPr>
                <w:rFonts w:ascii="Times New Roman" w:hAnsi="Times New Roman"/>
                <w:b/>
                <w:bCs/>
              </w:rPr>
              <w:t>Campo</w:t>
            </w:r>
          </w:p>
        </w:tc>
        <w:tc>
          <w:tcPr>
            <w:tcW w:w="12168" w:type="dxa"/>
            <w:tcBorders>
              <w:top w:val="single" w:sz="6" w:space="0" w:color="auto"/>
              <w:left w:val="single" w:sz="6" w:space="0" w:color="auto"/>
              <w:bottom w:val="single" w:sz="6" w:space="0" w:color="auto"/>
              <w:right w:val="single" w:sz="6" w:space="0" w:color="auto"/>
            </w:tcBorders>
            <w:shd w:val="pct10" w:color="auto" w:fill="FFFFFF"/>
          </w:tcPr>
          <w:p w:rsidR="005C4118" w:rsidRPr="00FA3856" w:rsidRDefault="005C4118" w:rsidP="00170D01">
            <w:pPr>
              <w:pStyle w:val="PSDS-CorpodeTexto0"/>
              <w:jc w:val="center"/>
              <w:rPr>
                <w:rFonts w:ascii="Times New Roman" w:hAnsi="Times New Roman"/>
                <w:b/>
                <w:bCs/>
              </w:rPr>
            </w:pPr>
            <w:r w:rsidRPr="00FA3856">
              <w:rPr>
                <w:rFonts w:ascii="Times New Roman" w:hAnsi="Times New Roman"/>
                <w:b/>
                <w:bCs/>
              </w:rPr>
              <w:t>Regras de Validação do Campo</w:t>
            </w:r>
          </w:p>
        </w:tc>
        <w:tc>
          <w:tcPr>
            <w:tcW w:w="717" w:type="dxa"/>
            <w:tcBorders>
              <w:top w:val="single" w:sz="6" w:space="0" w:color="auto"/>
              <w:left w:val="single" w:sz="6" w:space="0" w:color="auto"/>
              <w:bottom w:val="single" w:sz="6" w:space="0" w:color="auto"/>
              <w:right w:val="single" w:sz="6" w:space="0" w:color="auto"/>
            </w:tcBorders>
            <w:shd w:val="pct10" w:color="auto" w:fill="FFFFFF"/>
          </w:tcPr>
          <w:p w:rsidR="005C4118" w:rsidRPr="00FA3856" w:rsidRDefault="005C4118" w:rsidP="00170D01">
            <w:pPr>
              <w:pStyle w:val="PSDS-CorpodeTexto0"/>
              <w:jc w:val="center"/>
              <w:rPr>
                <w:rFonts w:ascii="Times New Roman" w:hAnsi="Times New Roman"/>
                <w:b/>
                <w:bCs/>
              </w:rPr>
            </w:pPr>
            <w:r w:rsidRPr="00FA3856">
              <w:rPr>
                <w:rFonts w:ascii="Times New Roman" w:hAnsi="Times New Roman"/>
                <w:b/>
                <w:bCs/>
              </w:rPr>
              <w:t>Tipo</w:t>
            </w:r>
          </w:p>
        </w:tc>
      </w:tr>
      <w:tr w:rsidR="005C4118" w:rsidRPr="00FA3856" w:rsidTr="00BC4E27">
        <w:trPr>
          <w:trHeight w:val="579"/>
          <w:jc w:val="center"/>
        </w:trPr>
        <w:tc>
          <w:tcPr>
            <w:tcW w:w="485" w:type="dxa"/>
            <w:tcBorders>
              <w:top w:val="single" w:sz="6" w:space="0" w:color="auto"/>
              <w:left w:val="single" w:sz="6" w:space="0" w:color="auto"/>
              <w:bottom w:val="single" w:sz="6" w:space="0" w:color="auto"/>
              <w:right w:val="single" w:sz="6" w:space="0" w:color="auto"/>
            </w:tcBorders>
          </w:tcPr>
          <w:p w:rsidR="005C4118" w:rsidRPr="00FA3856" w:rsidRDefault="005C4118" w:rsidP="00170D01">
            <w:pPr>
              <w:pStyle w:val="PSDS-CorpodeTexto0"/>
              <w:suppressAutoHyphens w:val="0"/>
              <w:rPr>
                <w:rFonts w:ascii="Times New Roman" w:hAnsi="Times New Roman"/>
                <w:b/>
                <w:bCs/>
                <w:lang w:val="pt-PT"/>
              </w:rPr>
            </w:pPr>
            <w:r w:rsidRPr="00FA3856">
              <w:rPr>
                <w:rFonts w:ascii="Times New Roman" w:hAnsi="Times New Roman"/>
                <w:b/>
                <w:bCs/>
                <w:lang w:val="pt-PT"/>
              </w:rPr>
              <w:t>4</w:t>
            </w:r>
          </w:p>
        </w:tc>
        <w:tc>
          <w:tcPr>
            <w:tcW w:w="3000" w:type="dxa"/>
            <w:tcBorders>
              <w:top w:val="single" w:sz="6" w:space="0" w:color="auto"/>
              <w:left w:val="single" w:sz="6" w:space="0" w:color="auto"/>
              <w:bottom w:val="single" w:sz="6" w:space="0" w:color="auto"/>
              <w:right w:val="single" w:sz="6" w:space="0" w:color="auto"/>
            </w:tcBorders>
          </w:tcPr>
          <w:p w:rsidR="005C4118" w:rsidRPr="00FA3856" w:rsidRDefault="005C4118" w:rsidP="00170D01">
            <w:pPr>
              <w:pStyle w:val="PSDS-CorpodeTexto0"/>
              <w:rPr>
                <w:rFonts w:ascii="Times New Roman" w:hAnsi="Times New Roman"/>
              </w:rPr>
            </w:pPr>
            <w:r w:rsidRPr="00FA3856">
              <w:rPr>
                <w:rFonts w:ascii="Times New Roman" w:hAnsi="Times New Roman"/>
                <w:bCs/>
                <w:lang w:val="pt-PT"/>
              </w:rPr>
              <w:t>LUC_BRUTO</w:t>
            </w:r>
          </w:p>
        </w:tc>
        <w:tc>
          <w:tcPr>
            <w:tcW w:w="12168" w:type="dxa"/>
            <w:tcBorders>
              <w:top w:val="single" w:sz="6" w:space="0" w:color="auto"/>
              <w:left w:val="single" w:sz="6" w:space="0" w:color="auto"/>
              <w:bottom w:val="single" w:sz="6" w:space="0" w:color="auto"/>
              <w:right w:val="single" w:sz="6" w:space="0" w:color="auto"/>
            </w:tcBorders>
          </w:tcPr>
          <w:p w:rsidR="005C4118" w:rsidRPr="00FA3856" w:rsidRDefault="005C4118" w:rsidP="005C4118">
            <w:pPr>
              <w:pStyle w:val="Corpodetexto"/>
              <w:rPr>
                <w:rFonts w:ascii="Times New Roman" w:hAnsi="Times New Roman"/>
                <w:szCs w:val="20"/>
              </w:rPr>
            </w:pPr>
            <w:r w:rsidRPr="00FA3856">
              <w:rPr>
                <w:rFonts w:ascii="Times New Roman" w:hAnsi="Times New Roman"/>
                <w:b/>
                <w:szCs w:val="20"/>
              </w:rPr>
              <w:t xml:space="preserve">REGRA_LUC_BRUTO_VALOR: </w:t>
            </w:r>
            <w:r w:rsidR="00553FA4" w:rsidRPr="00FA3856">
              <w:rPr>
                <w:rFonts w:ascii="Times New Roman" w:hAnsi="Times New Roman"/>
                <w:szCs w:val="20"/>
              </w:rPr>
              <w:t>Ve</w:t>
            </w:r>
            <w:r w:rsidR="005006F5" w:rsidRPr="00FA3856">
              <w:rPr>
                <w:rFonts w:ascii="Times New Roman" w:hAnsi="Times New Roman"/>
                <w:szCs w:val="20"/>
              </w:rPr>
              <w:t xml:space="preserve">rifica se X350.LUC_BRUTO </w:t>
            </w:r>
            <w:r w:rsidRPr="00FA3856">
              <w:rPr>
                <w:rFonts w:ascii="Times New Roman" w:hAnsi="Times New Roman"/>
                <w:szCs w:val="20"/>
              </w:rPr>
              <w:t xml:space="preserve">é igual ao resultado </w:t>
            </w:r>
            <w:r w:rsidR="00553FA4" w:rsidRPr="00FA3856">
              <w:rPr>
                <w:rFonts w:ascii="Times New Roman" w:hAnsi="Times New Roman"/>
                <w:szCs w:val="20"/>
              </w:rPr>
              <w:t>da s</w:t>
            </w:r>
            <w:r w:rsidR="005006F5" w:rsidRPr="00FA3856">
              <w:rPr>
                <w:rFonts w:ascii="Times New Roman" w:hAnsi="Times New Roman"/>
                <w:szCs w:val="20"/>
              </w:rPr>
              <w:t xml:space="preserve">ubtração de X350.REC_LIQ </w:t>
            </w:r>
            <w:r w:rsidRPr="00FA3856">
              <w:rPr>
                <w:rFonts w:ascii="Times New Roman" w:hAnsi="Times New Roman"/>
                <w:szCs w:val="20"/>
              </w:rPr>
              <w:t xml:space="preserve">por </w:t>
            </w:r>
            <w:r w:rsidR="005006F5" w:rsidRPr="00FA3856">
              <w:rPr>
                <w:rFonts w:ascii="Times New Roman" w:hAnsi="Times New Roman"/>
                <w:szCs w:val="20"/>
              </w:rPr>
              <w:t>X350.</w:t>
            </w:r>
            <w:r w:rsidRPr="00FA3856">
              <w:rPr>
                <w:rFonts w:ascii="Times New Roman" w:hAnsi="Times New Roman"/>
                <w:szCs w:val="20"/>
              </w:rPr>
              <w:t>CUSTOS.</w:t>
            </w:r>
          </w:p>
        </w:tc>
        <w:tc>
          <w:tcPr>
            <w:tcW w:w="717" w:type="dxa"/>
            <w:tcBorders>
              <w:top w:val="single" w:sz="6" w:space="0" w:color="auto"/>
              <w:left w:val="single" w:sz="6" w:space="0" w:color="auto"/>
              <w:bottom w:val="single" w:sz="6" w:space="0" w:color="auto"/>
              <w:right w:val="single" w:sz="6" w:space="0" w:color="auto"/>
            </w:tcBorders>
          </w:tcPr>
          <w:p w:rsidR="005C4118" w:rsidRPr="00FA3856" w:rsidRDefault="005C4118" w:rsidP="00170D01">
            <w:pPr>
              <w:pStyle w:val="PSDS-CorpodeTexto0"/>
              <w:rPr>
                <w:rFonts w:ascii="Times New Roman" w:hAnsi="Times New Roman"/>
              </w:rPr>
            </w:pPr>
            <w:r w:rsidRPr="00FA3856">
              <w:rPr>
                <w:rFonts w:ascii="Times New Roman" w:hAnsi="Times New Roman"/>
              </w:rPr>
              <w:t>Erro</w:t>
            </w:r>
          </w:p>
          <w:p w:rsidR="005C4118" w:rsidRPr="00FA3856" w:rsidRDefault="005C4118" w:rsidP="00170D01">
            <w:pPr>
              <w:pStyle w:val="PSDS-CorpodeTexto0"/>
              <w:rPr>
                <w:rFonts w:ascii="Times New Roman" w:hAnsi="Times New Roman"/>
              </w:rPr>
            </w:pPr>
          </w:p>
        </w:tc>
      </w:tr>
      <w:tr w:rsidR="005C4118" w:rsidRPr="00FA3856" w:rsidTr="00BC4E27">
        <w:trPr>
          <w:jc w:val="center"/>
        </w:trPr>
        <w:tc>
          <w:tcPr>
            <w:tcW w:w="485" w:type="dxa"/>
            <w:tcBorders>
              <w:top w:val="single" w:sz="6" w:space="0" w:color="auto"/>
              <w:left w:val="single" w:sz="6" w:space="0" w:color="auto"/>
              <w:bottom w:val="single" w:sz="6" w:space="0" w:color="auto"/>
              <w:right w:val="single" w:sz="6" w:space="0" w:color="auto"/>
            </w:tcBorders>
          </w:tcPr>
          <w:p w:rsidR="005C4118" w:rsidRPr="00FA3856" w:rsidRDefault="005C4118" w:rsidP="00170D01">
            <w:pPr>
              <w:pStyle w:val="PSDS-CorpodeTexto0"/>
              <w:suppressAutoHyphens w:val="0"/>
              <w:rPr>
                <w:rFonts w:ascii="Times New Roman" w:hAnsi="Times New Roman"/>
                <w:b/>
                <w:bCs/>
                <w:lang w:val="pt-PT"/>
              </w:rPr>
            </w:pPr>
            <w:r w:rsidRPr="00FA3856">
              <w:rPr>
                <w:rFonts w:ascii="Times New Roman" w:hAnsi="Times New Roman"/>
                <w:b/>
                <w:bCs/>
                <w:lang w:val="pt-PT"/>
              </w:rPr>
              <w:t>9</w:t>
            </w:r>
          </w:p>
        </w:tc>
        <w:tc>
          <w:tcPr>
            <w:tcW w:w="3000" w:type="dxa"/>
            <w:tcBorders>
              <w:top w:val="single" w:sz="6" w:space="0" w:color="auto"/>
              <w:left w:val="single" w:sz="6" w:space="0" w:color="auto"/>
              <w:bottom w:val="single" w:sz="6" w:space="0" w:color="auto"/>
              <w:right w:val="single" w:sz="6" w:space="0" w:color="auto"/>
            </w:tcBorders>
          </w:tcPr>
          <w:p w:rsidR="005C4118" w:rsidRPr="00FA3856" w:rsidRDefault="005C4118" w:rsidP="00170D01">
            <w:pPr>
              <w:pStyle w:val="PSDS-CorpodeTexto0"/>
              <w:rPr>
                <w:rFonts w:ascii="Times New Roman" w:hAnsi="Times New Roman"/>
              </w:rPr>
            </w:pPr>
            <w:r w:rsidRPr="00FA3856">
              <w:rPr>
                <w:rFonts w:ascii="Times New Roman" w:hAnsi="Times New Roman"/>
              </w:rPr>
              <w:t>LUC_OPER</w:t>
            </w:r>
          </w:p>
        </w:tc>
        <w:tc>
          <w:tcPr>
            <w:tcW w:w="12168" w:type="dxa"/>
            <w:tcBorders>
              <w:top w:val="single" w:sz="6" w:space="0" w:color="auto"/>
              <w:left w:val="single" w:sz="6" w:space="0" w:color="auto"/>
              <w:bottom w:val="single" w:sz="6" w:space="0" w:color="auto"/>
              <w:right w:val="single" w:sz="6" w:space="0" w:color="auto"/>
            </w:tcBorders>
          </w:tcPr>
          <w:p w:rsidR="005C4118" w:rsidRPr="00FA3856" w:rsidRDefault="005C4118" w:rsidP="00170D01">
            <w:pPr>
              <w:pStyle w:val="Corpodetexto"/>
              <w:rPr>
                <w:rFonts w:ascii="Times New Roman" w:hAnsi="Times New Roman"/>
                <w:szCs w:val="20"/>
              </w:rPr>
            </w:pPr>
            <w:r w:rsidRPr="00FA3856">
              <w:rPr>
                <w:rFonts w:ascii="Times New Roman" w:hAnsi="Times New Roman"/>
                <w:b/>
                <w:szCs w:val="20"/>
              </w:rPr>
              <w:t xml:space="preserve">REGRA_LUC_OPER_VALOR: </w:t>
            </w:r>
            <w:r w:rsidR="00553FA4" w:rsidRPr="00FA3856">
              <w:rPr>
                <w:rFonts w:ascii="Times New Roman" w:hAnsi="Times New Roman"/>
                <w:szCs w:val="20"/>
              </w:rPr>
              <w:t>Verif</w:t>
            </w:r>
            <w:r w:rsidR="005006F5" w:rsidRPr="00FA3856">
              <w:rPr>
                <w:rFonts w:ascii="Times New Roman" w:hAnsi="Times New Roman"/>
                <w:szCs w:val="20"/>
              </w:rPr>
              <w:t xml:space="preserve">ica se X350.LUC_OPER </w:t>
            </w:r>
            <w:r w:rsidRPr="00FA3856">
              <w:rPr>
                <w:rFonts w:ascii="Times New Roman" w:hAnsi="Times New Roman"/>
                <w:szCs w:val="20"/>
              </w:rPr>
              <w:t>é igual a:</w:t>
            </w:r>
          </w:p>
          <w:p w:rsidR="005C4118" w:rsidRPr="00FA3856" w:rsidRDefault="005006F5" w:rsidP="00170D01">
            <w:pPr>
              <w:pStyle w:val="Corpodetexto"/>
              <w:rPr>
                <w:rFonts w:ascii="Times New Roman" w:hAnsi="Times New Roman"/>
                <w:szCs w:val="20"/>
              </w:rPr>
            </w:pPr>
            <w:r w:rsidRPr="00FA3856">
              <w:rPr>
                <w:rFonts w:ascii="Times New Roman" w:hAnsi="Times New Roman"/>
                <w:szCs w:val="20"/>
              </w:rPr>
              <w:t xml:space="preserve">X350.LUC_BRUTO </w:t>
            </w:r>
            <w:r w:rsidR="005C4118" w:rsidRPr="00FA3856">
              <w:rPr>
                <w:rFonts w:ascii="Times New Roman" w:hAnsi="Times New Roman"/>
                <w:szCs w:val="20"/>
              </w:rPr>
              <w:t xml:space="preserve">+ </w:t>
            </w:r>
            <w:r w:rsidRPr="00FA3856">
              <w:rPr>
                <w:rFonts w:ascii="Times New Roman" w:hAnsi="Times New Roman"/>
                <w:szCs w:val="20"/>
              </w:rPr>
              <w:t xml:space="preserve">X350.REC_AUFERIDAS </w:t>
            </w:r>
            <w:r w:rsidR="005C4118" w:rsidRPr="00FA3856">
              <w:rPr>
                <w:rFonts w:ascii="Times New Roman" w:hAnsi="Times New Roman"/>
                <w:szCs w:val="20"/>
              </w:rPr>
              <w:t xml:space="preserve">+ </w:t>
            </w:r>
            <w:r w:rsidRPr="00FA3856">
              <w:rPr>
                <w:rFonts w:ascii="Times New Roman" w:hAnsi="Times New Roman"/>
                <w:szCs w:val="20"/>
              </w:rPr>
              <w:t xml:space="preserve">X350.REC_OUTAS_OPER </w:t>
            </w:r>
            <w:r w:rsidR="005C4118" w:rsidRPr="00FA3856">
              <w:rPr>
                <w:rFonts w:ascii="Times New Roman" w:hAnsi="Times New Roman"/>
                <w:szCs w:val="20"/>
              </w:rPr>
              <w:t xml:space="preserve">– </w:t>
            </w:r>
            <w:r w:rsidRPr="00FA3856">
              <w:rPr>
                <w:rFonts w:ascii="Times New Roman" w:hAnsi="Times New Roman"/>
                <w:szCs w:val="20"/>
              </w:rPr>
              <w:t xml:space="preserve">X350.DESP_BRASIL </w:t>
            </w:r>
            <w:r w:rsidR="005C4118" w:rsidRPr="00FA3856">
              <w:rPr>
                <w:rFonts w:ascii="Times New Roman" w:hAnsi="Times New Roman"/>
                <w:szCs w:val="20"/>
              </w:rPr>
              <w:t xml:space="preserve">– </w:t>
            </w:r>
            <w:r w:rsidRPr="00FA3856">
              <w:rPr>
                <w:rFonts w:ascii="Times New Roman" w:hAnsi="Times New Roman"/>
                <w:szCs w:val="20"/>
              </w:rPr>
              <w:t>X350.DESP_OPER</w:t>
            </w:r>
          </w:p>
        </w:tc>
        <w:tc>
          <w:tcPr>
            <w:tcW w:w="717" w:type="dxa"/>
            <w:tcBorders>
              <w:top w:val="single" w:sz="6" w:space="0" w:color="auto"/>
              <w:left w:val="single" w:sz="6" w:space="0" w:color="auto"/>
              <w:bottom w:val="single" w:sz="6" w:space="0" w:color="auto"/>
              <w:right w:val="single" w:sz="6" w:space="0" w:color="auto"/>
            </w:tcBorders>
          </w:tcPr>
          <w:p w:rsidR="005C4118" w:rsidRPr="00FA3856" w:rsidRDefault="005C4118" w:rsidP="00170D01">
            <w:pPr>
              <w:pStyle w:val="PSDS-CorpodeTexto0"/>
              <w:rPr>
                <w:rFonts w:ascii="Times New Roman" w:hAnsi="Times New Roman"/>
              </w:rPr>
            </w:pPr>
            <w:r w:rsidRPr="00FA3856">
              <w:rPr>
                <w:rFonts w:ascii="Times New Roman" w:hAnsi="Times New Roman"/>
              </w:rPr>
              <w:t>Erro</w:t>
            </w:r>
          </w:p>
        </w:tc>
      </w:tr>
      <w:tr w:rsidR="005C4118" w:rsidRPr="00FA3856" w:rsidTr="00BC4E27">
        <w:trPr>
          <w:trHeight w:val="556"/>
          <w:jc w:val="center"/>
        </w:trPr>
        <w:tc>
          <w:tcPr>
            <w:tcW w:w="485" w:type="dxa"/>
            <w:tcBorders>
              <w:top w:val="single" w:sz="6" w:space="0" w:color="auto"/>
              <w:left w:val="single" w:sz="6" w:space="0" w:color="auto"/>
              <w:bottom w:val="single" w:sz="6" w:space="0" w:color="auto"/>
              <w:right w:val="single" w:sz="6" w:space="0" w:color="auto"/>
            </w:tcBorders>
          </w:tcPr>
          <w:p w:rsidR="005C4118" w:rsidRPr="00FA3856" w:rsidRDefault="005C4118" w:rsidP="00170D01">
            <w:pPr>
              <w:pStyle w:val="PSDS-CorpodeTexto0"/>
              <w:suppressAutoHyphens w:val="0"/>
              <w:rPr>
                <w:rFonts w:ascii="Times New Roman" w:hAnsi="Times New Roman"/>
                <w:b/>
                <w:bCs/>
                <w:lang w:val="pt-PT"/>
              </w:rPr>
            </w:pPr>
            <w:r w:rsidRPr="00FA3856">
              <w:rPr>
                <w:rFonts w:ascii="Times New Roman" w:hAnsi="Times New Roman"/>
                <w:b/>
                <w:bCs/>
                <w:lang w:val="pt-PT"/>
              </w:rPr>
              <w:t>13</w:t>
            </w:r>
          </w:p>
        </w:tc>
        <w:tc>
          <w:tcPr>
            <w:tcW w:w="3000" w:type="dxa"/>
            <w:tcBorders>
              <w:top w:val="single" w:sz="6" w:space="0" w:color="auto"/>
              <w:left w:val="single" w:sz="6" w:space="0" w:color="auto"/>
              <w:bottom w:val="single" w:sz="6" w:space="0" w:color="auto"/>
              <w:right w:val="single" w:sz="6" w:space="0" w:color="auto"/>
            </w:tcBorders>
          </w:tcPr>
          <w:p w:rsidR="005C4118" w:rsidRPr="00FA3856" w:rsidRDefault="005C4118" w:rsidP="00170D01">
            <w:pPr>
              <w:pStyle w:val="PSDS-CorpodeTexto0"/>
              <w:rPr>
                <w:rFonts w:ascii="Times New Roman" w:hAnsi="Times New Roman"/>
              </w:rPr>
            </w:pPr>
            <w:r w:rsidRPr="00FA3856">
              <w:rPr>
                <w:rFonts w:ascii="Times New Roman" w:hAnsi="Times New Roman"/>
              </w:rPr>
              <w:t>LUC_LIQ_ANT_IR</w:t>
            </w:r>
          </w:p>
        </w:tc>
        <w:tc>
          <w:tcPr>
            <w:tcW w:w="12168" w:type="dxa"/>
            <w:tcBorders>
              <w:top w:val="single" w:sz="6" w:space="0" w:color="auto"/>
              <w:left w:val="single" w:sz="6" w:space="0" w:color="auto"/>
              <w:bottom w:val="single" w:sz="6" w:space="0" w:color="auto"/>
              <w:right w:val="single" w:sz="6" w:space="0" w:color="auto"/>
            </w:tcBorders>
          </w:tcPr>
          <w:p w:rsidR="005C4118" w:rsidRPr="00FA3856" w:rsidRDefault="005C4118" w:rsidP="00170D01">
            <w:pPr>
              <w:pStyle w:val="Corpodetexto"/>
              <w:rPr>
                <w:rFonts w:ascii="Times New Roman" w:hAnsi="Times New Roman"/>
                <w:szCs w:val="20"/>
              </w:rPr>
            </w:pPr>
            <w:r w:rsidRPr="00FA3856">
              <w:rPr>
                <w:rFonts w:ascii="Times New Roman" w:hAnsi="Times New Roman"/>
                <w:b/>
                <w:szCs w:val="20"/>
              </w:rPr>
              <w:t xml:space="preserve">REGRA_LUC_LIQ_ANT_IR_VALOR: </w:t>
            </w:r>
            <w:r w:rsidRPr="00FA3856">
              <w:rPr>
                <w:rFonts w:ascii="Times New Roman" w:hAnsi="Times New Roman"/>
                <w:szCs w:val="20"/>
              </w:rPr>
              <w:t xml:space="preserve">Verificar se </w:t>
            </w:r>
            <w:r w:rsidR="00553FA4" w:rsidRPr="00FA3856">
              <w:rPr>
                <w:rFonts w:ascii="Times New Roman" w:hAnsi="Times New Roman"/>
                <w:szCs w:val="20"/>
              </w:rPr>
              <w:t>X350.</w:t>
            </w:r>
            <w:r w:rsidR="005006F5" w:rsidRPr="00FA3856">
              <w:rPr>
                <w:rFonts w:ascii="Times New Roman" w:hAnsi="Times New Roman"/>
                <w:szCs w:val="20"/>
              </w:rPr>
              <w:t xml:space="preserve">LUC_LIQ_ANT_IR </w:t>
            </w:r>
            <w:r w:rsidRPr="00FA3856">
              <w:rPr>
                <w:rFonts w:ascii="Times New Roman" w:hAnsi="Times New Roman"/>
                <w:szCs w:val="20"/>
              </w:rPr>
              <w:t>é igual a:</w:t>
            </w:r>
          </w:p>
          <w:p w:rsidR="005C4118" w:rsidRPr="00FA3856" w:rsidRDefault="005006F5" w:rsidP="00170D01">
            <w:pPr>
              <w:pStyle w:val="Corpodetexto"/>
              <w:rPr>
                <w:rFonts w:ascii="Times New Roman" w:hAnsi="Times New Roman"/>
                <w:szCs w:val="20"/>
              </w:rPr>
            </w:pPr>
            <w:r w:rsidRPr="00FA3856">
              <w:rPr>
                <w:rFonts w:ascii="Times New Roman" w:hAnsi="Times New Roman"/>
                <w:szCs w:val="20"/>
              </w:rPr>
              <w:t xml:space="preserve">X350.LUC_OPER </w:t>
            </w:r>
            <w:r w:rsidR="005C4118" w:rsidRPr="00FA3856">
              <w:rPr>
                <w:rFonts w:ascii="Times New Roman" w:hAnsi="Times New Roman"/>
                <w:szCs w:val="20"/>
              </w:rPr>
              <w:t xml:space="preserve">+ </w:t>
            </w:r>
            <w:r w:rsidR="00553FA4" w:rsidRPr="00FA3856">
              <w:rPr>
                <w:rFonts w:ascii="Times New Roman" w:hAnsi="Times New Roman"/>
                <w:szCs w:val="20"/>
              </w:rPr>
              <w:t>X350.</w:t>
            </w:r>
            <w:r w:rsidRPr="00FA3856">
              <w:rPr>
                <w:rFonts w:ascii="Times New Roman" w:hAnsi="Times New Roman"/>
                <w:szCs w:val="20"/>
              </w:rPr>
              <w:t xml:space="preserve">REC_PARTIC </w:t>
            </w:r>
            <w:r w:rsidR="005C4118" w:rsidRPr="00FA3856">
              <w:rPr>
                <w:rFonts w:ascii="Times New Roman" w:hAnsi="Times New Roman"/>
                <w:szCs w:val="20"/>
              </w:rPr>
              <w:t xml:space="preserve">+ </w:t>
            </w:r>
            <w:r w:rsidR="00553FA4" w:rsidRPr="00FA3856">
              <w:rPr>
                <w:rFonts w:ascii="Times New Roman" w:hAnsi="Times New Roman"/>
                <w:szCs w:val="20"/>
              </w:rPr>
              <w:t>X350.</w:t>
            </w:r>
            <w:r w:rsidRPr="00FA3856">
              <w:rPr>
                <w:rFonts w:ascii="Times New Roman" w:hAnsi="Times New Roman"/>
                <w:szCs w:val="20"/>
              </w:rPr>
              <w:t xml:space="preserve">REC_OUTRAS </w:t>
            </w:r>
            <w:r w:rsidR="005C4118" w:rsidRPr="00FA3856">
              <w:rPr>
                <w:rFonts w:ascii="Times New Roman" w:hAnsi="Times New Roman"/>
                <w:szCs w:val="20"/>
              </w:rPr>
              <w:t xml:space="preserve">– </w:t>
            </w:r>
            <w:r w:rsidR="00553FA4" w:rsidRPr="00FA3856">
              <w:rPr>
                <w:rFonts w:ascii="Times New Roman" w:hAnsi="Times New Roman"/>
                <w:szCs w:val="20"/>
              </w:rPr>
              <w:t>X350.</w:t>
            </w:r>
            <w:r w:rsidRPr="00FA3856">
              <w:rPr>
                <w:rFonts w:ascii="Times New Roman" w:hAnsi="Times New Roman"/>
                <w:szCs w:val="20"/>
              </w:rPr>
              <w:t>DESP_OUTRAS</w:t>
            </w:r>
          </w:p>
        </w:tc>
        <w:tc>
          <w:tcPr>
            <w:tcW w:w="717" w:type="dxa"/>
            <w:tcBorders>
              <w:top w:val="single" w:sz="6" w:space="0" w:color="auto"/>
              <w:left w:val="single" w:sz="6" w:space="0" w:color="auto"/>
              <w:bottom w:val="single" w:sz="6" w:space="0" w:color="auto"/>
              <w:right w:val="single" w:sz="6" w:space="0" w:color="auto"/>
            </w:tcBorders>
          </w:tcPr>
          <w:p w:rsidR="005C4118" w:rsidRPr="00FA3856" w:rsidRDefault="005C4118" w:rsidP="00170D01">
            <w:pPr>
              <w:pStyle w:val="PSDS-CorpodeTexto0"/>
              <w:rPr>
                <w:rFonts w:ascii="Times New Roman" w:hAnsi="Times New Roman"/>
              </w:rPr>
            </w:pPr>
            <w:r w:rsidRPr="00FA3856">
              <w:rPr>
                <w:rFonts w:ascii="Times New Roman" w:hAnsi="Times New Roman"/>
              </w:rPr>
              <w:t>Erro</w:t>
            </w:r>
          </w:p>
        </w:tc>
      </w:tr>
      <w:tr w:rsidR="005C4118" w:rsidRPr="00FA3856" w:rsidTr="00BC4E27">
        <w:trPr>
          <w:trHeight w:val="556"/>
          <w:jc w:val="center"/>
        </w:trPr>
        <w:tc>
          <w:tcPr>
            <w:tcW w:w="485" w:type="dxa"/>
            <w:tcBorders>
              <w:top w:val="single" w:sz="6" w:space="0" w:color="auto"/>
              <w:left w:val="single" w:sz="6" w:space="0" w:color="auto"/>
              <w:bottom w:val="single" w:sz="6" w:space="0" w:color="auto"/>
              <w:right w:val="single" w:sz="6" w:space="0" w:color="auto"/>
            </w:tcBorders>
          </w:tcPr>
          <w:p w:rsidR="005C4118" w:rsidRPr="00FA3856" w:rsidRDefault="005C4118" w:rsidP="00170D01">
            <w:pPr>
              <w:pStyle w:val="PSDS-CorpodeTexto0"/>
              <w:suppressAutoHyphens w:val="0"/>
              <w:rPr>
                <w:rFonts w:ascii="Times New Roman" w:hAnsi="Times New Roman"/>
                <w:b/>
                <w:bCs/>
                <w:lang w:val="pt-PT"/>
              </w:rPr>
            </w:pPr>
            <w:r w:rsidRPr="00FA3856">
              <w:rPr>
                <w:rFonts w:ascii="Times New Roman" w:hAnsi="Times New Roman"/>
                <w:b/>
                <w:bCs/>
                <w:lang w:val="pt-PT"/>
              </w:rPr>
              <w:t>15</w:t>
            </w:r>
          </w:p>
        </w:tc>
        <w:tc>
          <w:tcPr>
            <w:tcW w:w="3000" w:type="dxa"/>
            <w:tcBorders>
              <w:top w:val="single" w:sz="6" w:space="0" w:color="auto"/>
              <w:left w:val="single" w:sz="6" w:space="0" w:color="auto"/>
              <w:bottom w:val="single" w:sz="6" w:space="0" w:color="auto"/>
              <w:right w:val="single" w:sz="6" w:space="0" w:color="auto"/>
            </w:tcBorders>
          </w:tcPr>
          <w:p w:rsidR="005C4118" w:rsidRPr="00FA3856" w:rsidRDefault="005C4118" w:rsidP="00170D01">
            <w:pPr>
              <w:pStyle w:val="PSDS-CorpodeTexto0"/>
              <w:rPr>
                <w:rFonts w:ascii="Times New Roman" w:hAnsi="Times New Roman"/>
              </w:rPr>
            </w:pPr>
            <w:r w:rsidRPr="00FA3856">
              <w:rPr>
                <w:rFonts w:ascii="Times New Roman" w:hAnsi="Times New Roman"/>
              </w:rPr>
              <w:t>LUC_LIQ</w:t>
            </w:r>
          </w:p>
        </w:tc>
        <w:tc>
          <w:tcPr>
            <w:tcW w:w="12168" w:type="dxa"/>
            <w:tcBorders>
              <w:top w:val="single" w:sz="6" w:space="0" w:color="auto"/>
              <w:left w:val="single" w:sz="6" w:space="0" w:color="auto"/>
              <w:bottom w:val="single" w:sz="6" w:space="0" w:color="auto"/>
              <w:right w:val="single" w:sz="6" w:space="0" w:color="auto"/>
            </w:tcBorders>
          </w:tcPr>
          <w:p w:rsidR="005C4118" w:rsidRPr="00FA3856" w:rsidRDefault="005C4118" w:rsidP="00170D01">
            <w:pPr>
              <w:pStyle w:val="Corpodetexto"/>
              <w:rPr>
                <w:rFonts w:ascii="Times New Roman" w:hAnsi="Times New Roman"/>
                <w:szCs w:val="20"/>
              </w:rPr>
            </w:pPr>
            <w:r w:rsidRPr="00FA3856">
              <w:rPr>
                <w:rFonts w:ascii="Times New Roman" w:hAnsi="Times New Roman"/>
                <w:b/>
                <w:szCs w:val="20"/>
              </w:rPr>
              <w:t xml:space="preserve">REGRA_LUC_LIQ_VALOR: </w:t>
            </w:r>
            <w:r w:rsidRPr="00FA3856">
              <w:rPr>
                <w:rFonts w:ascii="Times New Roman" w:hAnsi="Times New Roman"/>
                <w:szCs w:val="20"/>
              </w:rPr>
              <w:t xml:space="preserve">Verificar se </w:t>
            </w:r>
            <w:r w:rsidR="00553FA4" w:rsidRPr="00FA3856">
              <w:rPr>
                <w:rFonts w:ascii="Times New Roman" w:hAnsi="Times New Roman"/>
                <w:szCs w:val="20"/>
              </w:rPr>
              <w:t>X350.</w:t>
            </w:r>
            <w:r w:rsidR="005006F5" w:rsidRPr="00FA3856">
              <w:rPr>
                <w:rFonts w:ascii="Times New Roman" w:hAnsi="Times New Roman"/>
                <w:szCs w:val="20"/>
              </w:rPr>
              <w:t xml:space="preserve">LUC_LIQ </w:t>
            </w:r>
            <w:r w:rsidRPr="00FA3856">
              <w:rPr>
                <w:rFonts w:ascii="Times New Roman" w:hAnsi="Times New Roman"/>
                <w:szCs w:val="20"/>
              </w:rPr>
              <w:t xml:space="preserve">é igual ao resultado da subtração de </w:t>
            </w:r>
            <w:r w:rsidR="00553FA4" w:rsidRPr="00FA3856">
              <w:rPr>
                <w:rFonts w:ascii="Times New Roman" w:hAnsi="Times New Roman"/>
                <w:szCs w:val="20"/>
              </w:rPr>
              <w:t>X350.</w:t>
            </w:r>
            <w:r w:rsidR="005006F5" w:rsidRPr="00FA3856">
              <w:rPr>
                <w:rFonts w:ascii="Times New Roman" w:hAnsi="Times New Roman"/>
                <w:szCs w:val="20"/>
              </w:rPr>
              <w:t xml:space="preserve">LUC_LIQ_ANT_IR </w:t>
            </w:r>
            <w:r w:rsidRPr="00FA3856">
              <w:rPr>
                <w:rFonts w:ascii="Times New Roman" w:hAnsi="Times New Roman"/>
                <w:szCs w:val="20"/>
              </w:rPr>
              <w:t xml:space="preserve">por </w:t>
            </w:r>
            <w:r w:rsidR="00553FA4" w:rsidRPr="00FA3856">
              <w:rPr>
                <w:rFonts w:ascii="Times New Roman" w:hAnsi="Times New Roman"/>
                <w:szCs w:val="20"/>
              </w:rPr>
              <w:t>X350.</w:t>
            </w:r>
            <w:r w:rsidR="005006F5" w:rsidRPr="00FA3856">
              <w:rPr>
                <w:rFonts w:ascii="Times New Roman" w:hAnsi="Times New Roman"/>
                <w:szCs w:val="20"/>
              </w:rPr>
              <w:t>IMP_DEV</w:t>
            </w:r>
            <w:r w:rsidRPr="00FA3856">
              <w:rPr>
                <w:rFonts w:ascii="Times New Roman" w:hAnsi="Times New Roman"/>
                <w:szCs w:val="20"/>
              </w:rPr>
              <w:t>.</w:t>
            </w:r>
          </w:p>
        </w:tc>
        <w:tc>
          <w:tcPr>
            <w:tcW w:w="717" w:type="dxa"/>
            <w:tcBorders>
              <w:top w:val="single" w:sz="6" w:space="0" w:color="auto"/>
              <w:left w:val="single" w:sz="6" w:space="0" w:color="auto"/>
              <w:bottom w:val="single" w:sz="6" w:space="0" w:color="auto"/>
              <w:right w:val="single" w:sz="6" w:space="0" w:color="auto"/>
            </w:tcBorders>
          </w:tcPr>
          <w:p w:rsidR="005C4118" w:rsidRPr="00FA3856" w:rsidRDefault="005C4118" w:rsidP="00170D01">
            <w:pPr>
              <w:pStyle w:val="PSDS-CorpodeTexto0"/>
              <w:rPr>
                <w:rFonts w:ascii="Times New Roman" w:hAnsi="Times New Roman"/>
              </w:rPr>
            </w:pPr>
            <w:r w:rsidRPr="00FA3856">
              <w:rPr>
                <w:rFonts w:ascii="Times New Roman" w:hAnsi="Times New Roman"/>
              </w:rPr>
              <w:t>Erro</w:t>
            </w:r>
          </w:p>
        </w:tc>
      </w:tr>
    </w:tbl>
    <w:p w:rsidR="00136BB9" w:rsidRPr="00FA3856" w:rsidRDefault="00136BB9" w:rsidP="00553FA4">
      <w:pPr>
        <w:spacing w:after="200" w:line="276" w:lineRule="auto"/>
        <w:rPr>
          <w:b/>
          <w:color w:val="002060"/>
          <w:szCs w:val="20"/>
        </w:rPr>
      </w:pPr>
    </w:p>
    <w:p w:rsidR="00136BB9" w:rsidRPr="00FA3856" w:rsidRDefault="00136BB9" w:rsidP="00553FA4">
      <w:pPr>
        <w:spacing w:after="200" w:line="276" w:lineRule="auto"/>
        <w:rPr>
          <w:b/>
          <w:color w:val="002060"/>
          <w:szCs w:val="20"/>
        </w:rPr>
      </w:pPr>
    </w:p>
    <w:p w:rsidR="00265C34" w:rsidRDefault="00BC4E27" w:rsidP="00553FA4">
      <w:pPr>
        <w:spacing w:after="200" w:line="276" w:lineRule="auto"/>
        <w:rPr>
          <w:b/>
          <w:color w:val="002060"/>
          <w:szCs w:val="20"/>
        </w:rPr>
      </w:pPr>
      <w:r w:rsidRPr="00FA3856">
        <w:rPr>
          <w:b/>
          <w:color w:val="002060"/>
          <w:szCs w:val="20"/>
        </w:rPr>
        <w:lastRenderedPageBreak/>
        <w:t xml:space="preserve">Exemplo de Preenchimento: </w:t>
      </w:r>
    </w:p>
    <w:p w:rsidR="00BC4E27" w:rsidRPr="00FA3856" w:rsidRDefault="00BC4E27" w:rsidP="00265C34">
      <w:pPr>
        <w:spacing w:line="276" w:lineRule="auto"/>
        <w:rPr>
          <w:b/>
          <w:color w:val="002060"/>
          <w:szCs w:val="20"/>
        </w:rPr>
      </w:pPr>
      <w:r w:rsidRPr="00FA3856">
        <w:rPr>
          <w:b/>
          <w:color w:val="002060"/>
          <w:szCs w:val="20"/>
        </w:rPr>
        <w:t>|X350|1000000,00|</w:t>
      </w:r>
      <w:r w:rsidR="00325B60" w:rsidRPr="00FA3856">
        <w:rPr>
          <w:b/>
          <w:color w:val="002060"/>
          <w:szCs w:val="20"/>
        </w:rPr>
        <w:t>6</w:t>
      </w:r>
      <w:r w:rsidRPr="00FA3856">
        <w:rPr>
          <w:b/>
          <w:color w:val="002060"/>
          <w:szCs w:val="20"/>
        </w:rPr>
        <w:t>00000,00|</w:t>
      </w:r>
      <w:r w:rsidR="00325B60" w:rsidRPr="00FA3856">
        <w:rPr>
          <w:b/>
          <w:color w:val="002060"/>
          <w:szCs w:val="20"/>
        </w:rPr>
        <w:t>400000,00|100000,00|0,00|40000,00|10000,00|</w:t>
      </w:r>
      <w:r w:rsidR="00780754" w:rsidRPr="00FA3856">
        <w:rPr>
          <w:b/>
          <w:color w:val="002060"/>
          <w:szCs w:val="20"/>
        </w:rPr>
        <w:t>450000,00|50000,00|0,00|0,00|500000,00|</w:t>
      </w:r>
      <w:r w:rsidR="00FC6C6D" w:rsidRPr="00FA3856">
        <w:rPr>
          <w:b/>
          <w:color w:val="002060"/>
          <w:szCs w:val="20"/>
        </w:rPr>
        <w:t>100000,00|400000,00|</w:t>
      </w:r>
    </w:p>
    <w:p w:rsidR="00BC4E27" w:rsidRPr="00FA3856" w:rsidRDefault="00BC4E27" w:rsidP="00265C34">
      <w:pPr>
        <w:pStyle w:val="Corpodetexto"/>
        <w:ind w:firstLine="708"/>
        <w:rPr>
          <w:rFonts w:ascii="Times New Roman" w:hAnsi="Times New Roman"/>
          <w:color w:val="002060"/>
          <w:szCs w:val="20"/>
        </w:rPr>
      </w:pPr>
      <w:r w:rsidRPr="00FA3856">
        <w:rPr>
          <w:rFonts w:ascii="Times New Roman" w:hAnsi="Times New Roman"/>
          <w:color w:val="002060"/>
          <w:szCs w:val="20"/>
        </w:rPr>
        <w:t>|</w:t>
      </w:r>
      <w:r w:rsidR="00553FA4" w:rsidRPr="00FA3856">
        <w:rPr>
          <w:rFonts w:ascii="Times New Roman" w:hAnsi="Times New Roman"/>
          <w:color w:val="002060"/>
          <w:szCs w:val="20"/>
        </w:rPr>
        <w:t xml:space="preserve">X350|: Identificação </w:t>
      </w:r>
      <w:r w:rsidRPr="00FA3856">
        <w:rPr>
          <w:rFonts w:ascii="Times New Roman" w:hAnsi="Times New Roman"/>
          <w:color w:val="002060"/>
          <w:szCs w:val="20"/>
        </w:rPr>
        <w:t>do tipo do registro.</w:t>
      </w:r>
    </w:p>
    <w:p w:rsidR="00BC4E27" w:rsidRPr="00FA3856" w:rsidRDefault="00BC4E27" w:rsidP="00265C34">
      <w:pPr>
        <w:pStyle w:val="Corpodetexto"/>
        <w:ind w:firstLine="708"/>
        <w:rPr>
          <w:rFonts w:ascii="Times New Roman" w:hAnsi="Times New Roman"/>
          <w:color w:val="002060"/>
          <w:szCs w:val="20"/>
        </w:rPr>
      </w:pPr>
      <w:r w:rsidRPr="00FA3856">
        <w:rPr>
          <w:rFonts w:ascii="Times New Roman" w:hAnsi="Times New Roman"/>
          <w:color w:val="002060"/>
          <w:szCs w:val="20"/>
        </w:rPr>
        <w:t>|1000000,00|: Receita líquida de todas as atividades exploradas pela filial, sucursal, controlada ou coligada residente ou domiciliada no exterior (R$ 1.000.000,00).</w:t>
      </w:r>
    </w:p>
    <w:p w:rsidR="00BC4E27" w:rsidRPr="00FA3856" w:rsidRDefault="00325B60" w:rsidP="00265C34">
      <w:pPr>
        <w:pStyle w:val="Corpodetexto"/>
        <w:ind w:firstLine="708"/>
        <w:rPr>
          <w:rFonts w:ascii="Times New Roman" w:hAnsi="Times New Roman"/>
          <w:color w:val="002060"/>
          <w:szCs w:val="20"/>
        </w:rPr>
      </w:pPr>
      <w:r w:rsidRPr="00FA3856">
        <w:rPr>
          <w:rFonts w:ascii="Times New Roman" w:hAnsi="Times New Roman"/>
          <w:color w:val="002060"/>
          <w:szCs w:val="20"/>
        </w:rPr>
        <w:t>|6</w:t>
      </w:r>
      <w:r w:rsidR="00BC4E27" w:rsidRPr="00FA3856">
        <w:rPr>
          <w:rFonts w:ascii="Times New Roman" w:hAnsi="Times New Roman"/>
          <w:color w:val="002060"/>
          <w:szCs w:val="20"/>
        </w:rPr>
        <w:t xml:space="preserve">00000,00|: Total dos custos das atividades exploradas pela filial, sucursal, controlada ou coligada domiciliada no exterior (R$ </w:t>
      </w:r>
      <w:r w:rsidRPr="00FA3856">
        <w:rPr>
          <w:rFonts w:ascii="Times New Roman" w:hAnsi="Times New Roman"/>
          <w:color w:val="002060"/>
          <w:szCs w:val="20"/>
        </w:rPr>
        <w:t>6</w:t>
      </w:r>
      <w:r w:rsidR="00BC4E27" w:rsidRPr="00FA3856">
        <w:rPr>
          <w:rFonts w:ascii="Times New Roman" w:hAnsi="Times New Roman"/>
          <w:color w:val="002060"/>
          <w:szCs w:val="20"/>
        </w:rPr>
        <w:t>00.000,00).</w:t>
      </w:r>
    </w:p>
    <w:p w:rsidR="00325B60" w:rsidRPr="00FA3856" w:rsidRDefault="00325B60" w:rsidP="00265C34">
      <w:pPr>
        <w:pStyle w:val="Corpodetexto"/>
        <w:ind w:firstLine="708"/>
        <w:rPr>
          <w:rFonts w:ascii="Times New Roman" w:hAnsi="Times New Roman"/>
          <w:color w:val="002060"/>
          <w:szCs w:val="20"/>
        </w:rPr>
      </w:pPr>
      <w:r w:rsidRPr="00FA3856">
        <w:rPr>
          <w:rFonts w:ascii="Times New Roman" w:hAnsi="Times New Roman"/>
          <w:color w:val="002060"/>
          <w:szCs w:val="20"/>
        </w:rPr>
        <w:t>|400000,00|: Lucro bruto (R$ 400.000,00 = R$ 1.000.000,00 – R$ 600.000,00).</w:t>
      </w:r>
    </w:p>
    <w:p w:rsidR="00325B60" w:rsidRPr="00FA3856" w:rsidRDefault="00325B60" w:rsidP="00265C34">
      <w:pPr>
        <w:pStyle w:val="Corpodetexto"/>
        <w:ind w:firstLine="708"/>
        <w:rPr>
          <w:rFonts w:ascii="Times New Roman" w:hAnsi="Times New Roman"/>
          <w:color w:val="002060"/>
          <w:szCs w:val="20"/>
        </w:rPr>
      </w:pPr>
      <w:r w:rsidRPr="00FA3856">
        <w:rPr>
          <w:rFonts w:ascii="Times New Roman" w:hAnsi="Times New Roman"/>
          <w:color w:val="002060"/>
          <w:szCs w:val="20"/>
        </w:rPr>
        <w:t>|100000,00|: Receitas financeiras auferidas pela filial, sucursal, controlada ou coligada residente ou domiciliada no exterior (R$ 100.000,00).</w:t>
      </w:r>
    </w:p>
    <w:p w:rsidR="00325B60" w:rsidRPr="00FA3856" w:rsidRDefault="00325B60" w:rsidP="00265C34">
      <w:pPr>
        <w:pStyle w:val="Corpodetexto"/>
        <w:ind w:firstLine="708"/>
        <w:rPr>
          <w:rFonts w:ascii="Times New Roman" w:hAnsi="Times New Roman"/>
          <w:color w:val="002060"/>
          <w:szCs w:val="20"/>
        </w:rPr>
      </w:pPr>
      <w:r w:rsidRPr="00FA3856">
        <w:rPr>
          <w:rFonts w:ascii="Times New Roman" w:hAnsi="Times New Roman"/>
          <w:color w:val="002060"/>
          <w:szCs w:val="20"/>
        </w:rPr>
        <w:t>|0,00|: Não há outras receitas operacionais.</w:t>
      </w:r>
    </w:p>
    <w:p w:rsidR="00325B60" w:rsidRPr="00FA3856" w:rsidRDefault="00325B60" w:rsidP="00265C34">
      <w:pPr>
        <w:pStyle w:val="Corpodetexto"/>
        <w:ind w:firstLine="708"/>
        <w:rPr>
          <w:rFonts w:ascii="Times New Roman" w:hAnsi="Times New Roman"/>
          <w:color w:val="002060"/>
          <w:szCs w:val="20"/>
        </w:rPr>
      </w:pPr>
      <w:r w:rsidRPr="00FA3856">
        <w:rPr>
          <w:rFonts w:ascii="Times New Roman" w:hAnsi="Times New Roman"/>
          <w:color w:val="002060"/>
          <w:szCs w:val="20"/>
        </w:rPr>
        <w:t>|40000,00|: Despesas financeiras pagas ou creditadas pela filial, sucursal, controlada ou coligada residente ou domiciliada no exterior (R$ 40.000,00).</w:t>
      </w:r>
    </w:p>
    <w:p w:rsidR="00325B60" w:rsidRPr="00FA3856" w:rsidRDefault="00325B60" w:rsidP="00265C34">
      <w:pPr>
        <w:pStyle w:val="Corpodetexto"/>
        <w:ind w:firstLine="708"/>
        <w:rPr>
          <w:rFonts w:ascii="Times New Roman" w:hAnsi="Times New Roman"/>
          <w:color w:val="002060"/>
          <w:szCs w:val="20"/>
        </w:rPr>
      </w:pPr>
      <w:r w:rsidRPr="00FA3856">
        <w:rPr>
          <w:rFonts w:ascii="Times New Roman" w:hAnsi="Times New Roman"/>
          <w:color w:val="002060"/>
          <w:szCs w:val="20"/>
        </w:rPr>
        <w:t>|10000,00|: Despesas operacionais da filial, sucursal, controlada ou coligada residente ou domiciliada no exterior (R$ 10.000,00).</w:t>
      </w:r>
    </w:p>
    <w:p w:rsidR="00325B60" w:rsidRPr="00FA3856" w:rsidRDefault="00780754" w:rsidP="00265C34">
      <w:pPr>
        <w:pStyle w:val="Corpodetexto"/>
        <w:ind w:firstLine="708"/>
        <w:rPr>
          <w:rFonts w:ascii="Times New Roman" w:hAnsi="Times New Roman"/>
          <w:color w:val="002060"/>
          <w:szCs w:val="20"/>
        </w:rPr>
      </w:pPr>
      <w:r w:rsidRPr="00FA3856">
        <w:rPr>
          <w:rFonts w:ascii="Times New Roman" w:hAnsi="Times New Roman"/>
          <w:color w:val="002060"/>
          <w:szCs w:val="20"/>
        </w:rPr>
        <w:t>|450000,00|: Lucro Operacional (R$ 450.000,00 = R$ 400.000,00 + R$ 100.000,00 + R$ 0,00 – R$ 40.000,00 – R$ 10.000,00).</w:t>
      </w:r>
    </w:p>
    <w:p w:rsidR="00780754" w:rsidRPr="00FA3856" w:rsidRDefault="00780754" w:rsidP="00265C34">
      <w:pPr>
        <w:pStyle w:val="Corpodetexto"/>
        <w:ind w:firstLine="708"/>
        <w:rPr>
          <w:rFonts w:ascii="Times New Roman" w:hAnsi="Times New Roman"/>
          <w:color w:val="002060"/>
          <w:szCs w:val="20"/>
        </w:rPr>
      </w:pPr>
      <w:r w:rsidRPr="00FA3856">
        <w:rPr>
          <w:rFonts w:ascii="Times New Roman" w:hAnsi="Times New Roman"/>
          <w:color w:val="002060"/>
          <w:szCs w:val="20"/>
        </w:rPr>
        <w:t>|50000,00|: Receita de participação em controladas, coligadas, filiais ou sucursais residentes ou domiciliadas no exterior (R$ 50.000,00).</w:t>
      </w:r>
    </w:p>
    <w:p w:rsidR="00780754" w:rsidRPr="00FA3856" w:rsidRDefault="00780754" w:rsidP="00265C34">
      <w:pPr>
        <w:pStyle w:val="Corpodetexto"/>
        <w:ind w:firstLine="708"/>
        <w:rPr>
          <w:rFonts w:ascii="Times New Roman" w:hAnsi="Times New Roman"/>
          <w:color w:val="002060"/>
          <w:szCs w:val="20"/>
        </w:rPr>
      </w:pPr>
      <w:r w:rsidRPr="00FA3856">
        <w:rPr>
          <w:rFonts w:ascii="Times New Roman" w:hAnsi="Times New Roman"/>
          <w:color w:val="002060"/>
          <w:szCs w:val="20"/>
        </w:rPr>
        <w:t>|0,00|: Não há outras receitas.</w:t>
      </w:r>
    </w:p>
    <w:p w:rsidR="00780754" w:rsidRPr="00FA3856" w:rsidRDefault="00780754" w:rsidP="00265C34">
      <w:pPr>
        <w:pStyle w:val="Corpodetexto"/>
        <w:ind w:firstLine="708"/>
        <w:rPr>
          <w:rFonts w:ascii="Times New Roman" w:hAnsi="Times New Roman"/>
          <w:color w:val="002060"/>
          <w:szCs w:val="20"/>
        </w:rPr>
      </w:pPr>
      <w:r w:rsidRPr="00FA3856">
        <w:rPr>
          <w:rFonts w:ascii="Times New Roman" w:hAnsi="Times New Roman"/>
          <w:color w:val="002060"/>
          <w:szCs w:val="20"/>
        </w:rPr>
        <w:t>|0,00|: Não há outras despesas.</w:t>
      </w:r>
    </w:p>
    <w:p w:rsidR="00780754" w:rsidRPr="00FA3856" w:rsidRDefault="00780754" w:rsidP="00265C34">
      <w:pPr>
        <w:pStyle w:val="Corpodetexto"/>
        <w:ind w:firstLine="708"/>
        <w:rPr>
          <w:rFonts w:ascii="Times New Roman" w:hAnsi="Times New Roman"/>
          <w:color w:val="002060"/>
          <w:szCs w:val="20"/>
        </w:rPr>
      </w:pPr>
      <w:r w:rsidRPr="00FA3856">
        <w:rPr>
          <w:rFonts w:ascii="Times New Roman" w:hAnsi="Times New Roman"/>
          <w:color w:val="002060"/>
          <w:szCs w:val="20"/>
        </w:rPr>
        <w:t xml:space="preserve">|500000,00|: Lucro líquido antes </w:t>
      </w:r>
      <w:r w:rsidR="00FC6C6D" w:rsidRPr="00FA3856">
        <w:rPr>
          <w:rFonts w:ascii="Times New Roman" w:hAnsi="Times New Roman"/>
          <w:color w:val="002060"/>
          <w:szCs w:val="20"/>
        </w:rPr>
        <w:t>do imposto de renda (R$ 500.000,00).</w:t>
      </w:r>
    </w:p>
    <w:p w:rsidR="00FC6C6D" w:rsidRPr="00FA3856" w:rsidRDefault="00FC6C6D" w:rsidP="00265C34">
      <w:pPr>
        <w:pStyle w:val="Corpodetexto"/>
        <w:ind w:firstLine="708"/>
        <w:rPr>
          <w:rFonts w:ascii="Times New Roman" w:hAnsi="Times New Roman"/>
          <w:color w:val="002060"/>
          <w:szCs w:val="20"/>
        </w:rPr>
      </w:pPr>
      <w:r w:rsidRPr="00FA3856">
        <w:rPr>
          <w:rFonts w:ascii="Times New Roman" w:hAnsi="Times New Roman"/>
          <w:color w:val="002060"/>
          <w:szCs w:val="20"/>
        </w:rPr>
        <w:t>|100000,00|: Imposto devido em reais (R$ 100.000,00).</w:t>
      </w:r>
    </w:p>
    <w:p w:rsidR="00FC6C6D" w:rsidRPr="00FA3856" w:rsidRDefault="00FC6C6D" w:rsidP="00265C34">
      <w:pPr>
        <w:pStyle w:val="Corpodetexto"/>
        <w:ind w:firstLine="708"/>
        <w:rPr>
          <w:rFonts w:ascii="Times New Roman" w:hAnsi="Times New Roman"/>
          <w:color w:val="002060"/>
          <w:szCs w:val="20"/>
        </w:rPr>
      </w:pPr>
      <w:r w:rsidRPr="00FA3856">
        <w:rPr>
          <w:rFonts w:ascii="Times New Roman" w:hAnsi="Times New Roman"/>
          <w:color w:val="002060"/>
          <w:szCs w:val="20"/>
        </w:rPr>
        <w:t>|400000,00|: Lucro líquido do período de apuração (R$ 400.000,00 = R$ 500.000,00 – R$ 100.000,00).</w:t>
      </w:r>
    </w:p>
    <w:p w:rsidR="00BF4900" w:rsidRPr="00FA3856" w:rsidRDefault="00BC4E27" w:rsidP="00553FA4">
      <w:pPr>
        <w:rPr>
          <w:b/>
          <w:bCs/>
          <w:color w:val="0000FF"/>
          <w:szCs w:val="20"/>
        </w:rPr>
      </w:pPr>
      <w:r w:rsidRPr="00FA3856">
        <w:rPr>
          <w:color w:val="0000FF"/>
          <w:szCs w:val="20"/>
        </w:rPr>
        <w:tab/>
      </w:r>
    </w:p>
    <w:p w:rsidR="00744D9D" w:rsidRPr="00FA3856" w:rsidRDefault="00744D9D">
      <w:pPr>
        <w:spacing w:after="200" w:line="276" w:lineRule="auto"/>
        <w:rPr>
          <w:b/>
          <w:bCs/>
          <w:color w:val="0000FF"/>
          <w:szCs w:val="20"/>
        </w:rPr>
      </w:pPr>
      <w:r w:rsidRPr="00FA3856">
        <w:rPr>
          <w:color w:val="0000FF"/>
          <w:szCs w:val="20"/>
        </w:rPr>
        <w:br w:type="page"/>
      </w:r>
    </w:p>
    <w:p w:rsidR="00593484" w:rsidRPr="00FA3856" w:rsidRDefault="00593484" w:rsidP="00867F54">
      <w:pPr>
        <w:pStyle w:val="Ttulo4"/>
      </w:pPr>
      <w:bookmarkStart w:id="399" w:name="_Toc479713802"/>
      <w:r w:rsidRPr="00FA3856">
        <w:lastRenderedPageBreak/>
        <w:t xml:space="preserve">Registro </w:t>
      </w:r>
      <w:r w:rsidR="00C22B28" w:rsidRPr="00FA3856">
        <w:t>X35</w:t>
      </w:r>
      <w:r w:rsidR="00BF4900" w:rsidRPr="00FA3856">
        <w:t>1</w:t>
      </w:r>
      <w:r w:rsidRPr="00FA3856">
        <w:t xml:space="preserve">: Demonstrativo de Resultados </w:t>
      </w:r>
      <w:r w:rsidR="00BF4900" w:rsidRPr="00FA3856">
        <w:t xml:space="preserve">e de Imposto Pago </w:t>
      </w:r>
      <w:r w:rsidRPr="00FA3856">
        <w:t>no Exterior</w:t>
      </w:r>
      <w:bookmarkEnd w:id="399"/>
    </w:p>
    <w:p w:rsidR="00593484" w:rsidRPr="00FA3856" w:rsidRDefault="00593484" w:rsidP="00593484">
      <w:pPr>
        <w:rPr>
          <w:szCs w:val="20"/>
        </w:rPr>
      </w:pPr>
    </w:p>
    <w:p w:rsidR="00593484" w:rsidRPr="00FA3856" w:rsidRDefault="00593484" w:rsidP="00593484">
      <w:pPr>
        <w:ind w:firstLine="708"/>
        <w:jc w:val="both"/>
        <w:rPr>
          <w:bCs/>
          <w:szCs w:val="20"/>
        </w:rPr>
      </w:pPr>
      <w:r w:rsidRPr="00FA3856">
        <w:rPr>
          <w:bCs/>
          <w:szCs w:val="20"/>
        </w:rPr>
        <w:t>Este registro deve ser preenchido pelas pessoas jurídicas para demonstrar os resultados</w:t>
      </w:r>
      <w:r w:rsidR="00BF4900" w:rsidRPr="00FA3856">
        <w:rPr>
          <w:bCs/>
          <w:szCs w:val="20"/>
        </w:rPr>
        <w:t xml:space="preserve"> e </w:t>
      </w:r>
      <w:r w:rsidR="005272AB" w:rsidRPr="00FA3856">
        <w:rPr>
          <w:bCs/>
          <w:szCs w:val="20"/>
        </w:rPr>
        <w:t>o</w:t>
      </w:r>
      <w:r w:rsidR="00BF4900" w:rsidRPr="00FA3856">
        <w:rPr>
          <w:bCs/>
          <w:szCs w:val="20"/>
        </w:rPr>
        <w:t xml:space="preserve"> imposto pago</w:t>
      </w:r>
      <w:r w:rsidRPr="00FA3856">
        <w:rPr>
          <w:bCs/>
          <w:szCs w:val="20"/>
        </w:rPr>
        <w:t xml:space="preserve"> no exterior.</w:t>
      </w:r>
    </w:p>
    <w:p w:rsidR="003B3C7D" w:rsidRPr="00FA3856" w:rsidRDefault="003B3C7D" w:rsidP="00593484">
      <w:pPr>
        <w:ind w:firstLine="708"/>
        <w:jc w:val="both"/>
        <w:rPr>
          <w:bCs/>
          <w:szCs w:val="20"/>
        </w:rPr>
      </w:pPr>
    </w:p>
    <w:p w:rsidR="003B3C7D" w:rsidRPr="00FA3856" w:rsidRDefault="003B3C7D" w:rsidP="00593484">
      <w:pPr>
        <w:ind w:firstLine="708"/>
        <w:jc w:val="both"/>
        <w:rPr>
          <w:b/>
          <w:bCs/>
          <w:szCs w:val="20"/>
        </w:rPr>
      </w:pPr>
      <w:r w:rsidRPr="00FA3856">
        <w:rPr>
          <w:b/>
          <w:bCs/>
          <w:szCs w:val="20"/>
        </w:rPr>
        <w:t>Observação: Este demonstrativo é o que se refere os incisos I e V do art. 35 da Instrução Normativa RFB n</w:t>
      </w:r>
      <w:r w:rsidRPr="00FA3856">
        <w:rPr>
          <w:b/>
          <w:bCs/>
          <w:szCs w:val="20"/>
          <w:u w:val="single"/>
          <w:vertAlign w:val="superscript"/>
        </w:rPr>
        <w:t>o</w:t>
      </w:r>
      <w:r w:rsidRPr="00FA3856">
        <w:rPr>
          <w:b/>
          <w:bCs/>
          <w:szCs w:val="20"/>
        </w:rPr>
        <w:t xml:space="preserve"> 1.520, de 4 de dezembro de 2014.</w:t>
      </w:r>
    </w:p>
    <w:p w:rsidR="00265C34" w:rsidRDefault="00265C34" w:rsidP="00F72030">
      <w:pPr>
        <w:pStyle w:val="PSDS-MarcadoresNivel4"/>
        <w:tabs>
          <w:tab w:val="clear" w:pos="2271"/>
          <w:tab w:val="left" w:pos="720"/>
        </w:tabs>
        <w:spacing w:before="0" w:after="0"/>
        <w:ind w:left="0" w:firstLine="0"/>
        <w:rPr>
          <w:rFonts w:ascii="Times New Roman" w:hAnsi="Times New Roman" w:cs="Times New Roman"/>
          <w:szCs w:val="20"/>
          <w:lang w:val="pt-PT"/>
        </w:rPr>
      </w:pPr>
    </w:p>
    <w:p w:rsidR="00265C34" w:rsidRDefault="00B35FA3" w:rsidP="00265C34">
      <w:pPr>
        <w:pStyle w:val="PSDS-MarcadoresNivel4"/>
        <w:tabs>
          <w:tab w:val="clear" w:pos="2271"/>
          <w:tab w:val="left" w:pos="720"/>
        </w:tabs>
        <w:spacing w:before="0" w:after="0"/>
        <w:ind w:left="0" w:firstLine="0"/>
        <w:jc w:val="center"/>
        <w:rPr>
          <w:rFonts w:ascii="Times New Roman" w:hAnsi="Times New Roman" w:cs="Times New Roman"/>
          <w:szCs w:val="20"/>
          <w:lang w:val="pt-PT"/>
        </w:rPr>
      </w:pPr>
      <w:r>
        <w:rPr>
          <w:rFonts w:ascii="Times New Roman" w:hAnsi="Times New Roman" w:cs="Times New Roman"/>
          <w:szCs w:val="20"/>
          <w:lang w:val="pt-PT"/>
        </w:rPr>
        <w:object w:dxaOrig="14835" w:dyaOrig="6135">
          <v:shape id="_x0000_i1959" type="#_x0000_t75" style="width:792.75pt;height:296.25pt" o:ole="">
            <v:imagedata r:id="rId717" o:title=""/>
          </v:shape>
          <o:OLEObject Type="Link" ProgID="Excel.Sheet.12" ShapeID="_x0000_i1959" DrawAspect="Content" r:id="rId718" UpdateMode="Always">
            <o:LinkType>EnhancedMetaFile</o:LinkType>
            <o:LockedField>false</o:LockedField>
          </o:OLEObject>
        </w:object>
      </w:r>
    </w:p>
    <w:p w:rsidR="00265C34" w:rsidRDefault="00265C34" w:rsidP="00F72030">
      <w:pPr>
        <w:pStyle w:val="PSDS-MarcadoresNivel4"/>
        <w:tabs>
          <w:tab w:val="clear" w:pos="2271"/>
          <w:tab w:val="left" w:pos="720"/>
        </w:tabs>
        <w:spacing w:before="0" w:after="0"/>
        <w:ind w:left="0" w:firstLine="0"/>
        <w:rPr>
          <w:rFonts w:ascii="Times New Roman" w:hAnsi="Times New Roman" w:cs="Times New Roman"/>
          <w:szCs w:val="20"/>
          <w:lang w:val="pt-PT"/>
        </w:rPr>
      </w:pPr>
    </w:p>
    <w:p w:rsidR="00265C34" w:rsidRDefault="00265C34" w:rsidP="00F72030">
      <w:pPr>
        <w:pStyle w:val="PSDS-MarcadoresNivel4"/>
        <w:tabs>
          <w:tab w:val="clear" w:pos="2271"/>
          <w:tab w:val="left" w:pos="720"/>
        </w:tabs>
        <w:spacing w:before="0" w:after="0"/>
        <w:ind w:left="0" w:firstLine="0"/>
        <w:rPr>
          <w:rFonts w:ascii="Times New Roman" w:hAnsi="Times New Roman" w:cs="Times New Roman"/>
          <w:szCs w:val="20"/>
          <w:lang w:val="pt-PT"/>
        </w:rPr>
      </w:pPr>
    </w:p>
    <w:p w:rsidR="00265C34" w:rsidRDefault="00265C34" w:rsidP="00F72030">
      <w:pPr>
        <w:pStyle w:val="PSDS-MarcadoresNivel4"/>
        <w:tabs>
          <w:tab w:val="clear" w:pos="2271"/>
          <w:tab w:val="left" w:pos="720"/>
        </w:tabs>
        <w:spacing w:before="0" w:after="0"/>
        <w:ind w:left="0" w:firstLine="0"/>
        <w:rPr>
          <w:rFonts w:ascii="Times New Roman" w:hAnsi="Times New Roman" w:cs="Times New Roman"/>
          <w:szCs w:val="20"/>
          <w:lang w:val="pt-PT"/>
        </w:rPr>
      </w:pPr>
    </w:p>
    <w:p w:rsidR="00265C34" w:rsidRDefault="00265C34" w:rsidP="00F72030">
      <w:pPr>
        <w:pStyle w:val="PSDS-MarcadoresNivel4"/>
        <w:tabs>
          <w:tab w:val="clear" w:pos="2271"/>
          <w:tab w:val="left" w:pos="720"/>
        </w:tabs>
        <w:spacing w:before="0" w:after="0"/>
        <w:ind w:left="0" w:firstLine="0"/>
        <w:rPr>
          <w:rFonts w:ascii="Times New Roman" w:hAnsi="Times New Roman" w:cs="Times New Roman"/>
          <w:szCs w:val="20"/>
          <w:lang w:val="pt-PT"/>
        </w:rPr>
      </w:pPr>
    </w:p>
    <w:p w:rsidR="00265C34" w:rsidRDefault="00265C34" w:rsidP="00F72030">
      <w:pPr>
        <w:pStyle w:val="PSDS-MarcadoresNivel4"/>
        <w:tabs>
          <w:tab w:val="clear" w:pos="2271"/>
          <w:tab w:val="left" w:pos="720"/>
        </w:tabs>
        <w:spacing w:before="0" w:after="0"/>
        <w:ind w:left="0" w:firstLine="0"/>
        <w:rPr>
          <w:rFonts w:ascii="Times New Roman" w:hAnsi="Times New Roman" w:cs="Times New Roman"/>
          <w:szCs w:val="20"/>
          <w:lang w:val="pt-PT"/>
        </w:rPr>
      </w:pPr>
    </w:p>
    <w:p w:rsidR="00265C34" w:rsidRDefault="00265C34" w:rsidP="00F72030">
      <w:pPr>
        <w:pStyle w:val="PSDS-MarcadoresNivel4"/>
        <w:tabs>
          <w:tab w:val="clear" w:pos="2271"/>
          <w:tab w:val="left" w:pos="720"/>
        </w:tabs>
        <w:spacing w:before="0" w:after="0"/>
        <w:ind w:left="0" w:firstLine="0"/>
        <w:rPr>
          <w:rFonts w:ascii="Times New Roman" w:hAnsi="Times New Roman" w:cs="Times New Roman"/>
          <w:szCs w:val="20"/>
          <w:lang w:val="pt-PT"/>
        </w:rPr>
      </w:pPr>
    </w:p>
    <w:p w:rsidR="00265C34" w:rsidRDefault="00265C34" w:rsidP="00F72030">
      <w:pPr>
        <w:pStyle w:val="PSDS-MarcadoresNivel4"/>
        <w:tabs>
          <w:tab w:val="clear" w:pos="2271"/>
          <w:tab w:val="left" w:pos="720"/>
        </w:tabs>
        <w:spacing w:before="0" w:after="0"/>
        <w:ind w:left="0" w:firstLine="0"/>
        <w:rPr>
          <w:rFonts w:ascii="Times New Roman" w:hAnsi="Times New Roman" w:cs="Times New Roman"/>
          <w:szCs w:val="20"/>
          <w:lang w:val="pt-PT"/>
        </w:rPr>
      </w:pPr>
    </w:p>
    <w:p w:rsidR="000C4F4A" w:rsidRDefault="000C4F4A" w:rsidP="00F72030">
      <w:pPr>
        <w:pStyle w:val="PSDS-MarcadoresNivel4"/>
        <w:tabs>
          <w:tab w:val="clear" w:pos="2271"/>
          <w:tab w:val="left" w:pos="720"/>
        </w:tabs>
        <w:spacing w:before="0" w:after="0"/>
        <w:ind w:left="0" w:firstLine="0"/>
        <w:rPr>
          <w:rFonts w:ascii="Times New Roman" w:hAnsi="Times New Roman" w:cs="Times New Roman"/>
          <w:szCs w:val="20"/>
          <w:lang w:val="pt-PT"/>
        </w:rPr>
      </w:pPr>
    </w:p>
    <w:p w:rsidR="000C4F4A" w:rsidRDefault="00B35FA3" w:rsidP="000C4F4A">
      <w:pPr>
        <w:pStyle w:val="PSDS-MarcadoresNivel4"/>
        <w:tabs>
          <w:tab w:val="clear" w:pos="2271"/>
          <w:tab w:val="left" w:pos="720"/>
        </w:tabs>
        <w:spacing w:before="0" w:after="0"/>
        <w:ind w:left="0" w:firstLine="0"/>
        <w:jc w:val="center"/>
        <w:rPr>
          <w:rFonts w:ascii="Times New Roman" w:hAnsi="Times New Roman" w:cs="Times New Roman"/>
          <w:szCs w:val="20"/>
          <w:lang w:val="pt-PT"/>
        </w:rPr>
      </w:pPr>
      <w:r>
        <w:rPr>
          <w:rFonts w:ascii="Times New Roman" w:hAnsi="Times New Roman" w:cs="Times New Roman"/>
          <w:szCs w:val="20"/>
          <w:lang w:val="pt-PT"/>
        </w:rPr>
        <w:object w:dxaOrig="14835" w:dyaOrig="7050">
          <v:shape id="_x0000_i1961" type="#_x0000_t75" style="width:792.75pt;height:341.25pt" o:ole="">
            <v:imagedata r:id="rId719" o:title=""/>
          </v:shape>
          <o:OLEObject Type="Link" ProgID="Excel.Sheet.12" ShapeID="_x0000_i1961" DrawAspect="Content" r:id="rId720" UpdateMode="Always">
            <o:LinkType>EnhancedMetaFile</o:LinkType>
            <o:LockedField>false</o:LockedField>
          </o:OLEObject>
        </w:object>
      </w:r>
    </w:p>
    <w:p w:rsidR="00265C34" w:rsidRDefault="00265C34" w:rsidP="00F72030">
      <w:pPr>
        <w:pStyle w:val="PSDS-MarcadoresNivel4"/>
        <w:tabs>
          <w:tab w:val="clear" w:pos="2271"/>
          <w:tab w:val="left" w:pos="720"/>
        </w:tabs>
        <w:spacing w:before="0" w:after="0"/>
        <w:ind w:left="0" w:firstLine="0"/>
        <w:rPr>
          <w:rFonts w:ascii="Times New Roman" w:hAnsi="Times New Roman" w:cs="Times New Roman"/>
          <w:szCs w:val="20"/>
          <w:lang w:val="pt-PT"/>
        </w:rPr>
      </w:pPr>
    </w:p>
    <w:p w:rsidR="00265C34" w:rsidRDefault="00265C34" w:rsidP="00265C34">
      <w:pPr>
        <w:pStyle w:val="PSDS-MarcadoresNivel4"/>
        <w:tabs>
          <w:tab w:val="clear" w:pos="2271"/>
          <w:tab w:val="left" w:pos="720"/>
        </w:tabs>
        <w:spacing w:before="0" w:after="0"/>
        <w:ind w:left="0" w:firstLine="0"/>
        <w:jc w:val="center"/>
        <w:rPr>
          <w:rFonts w:ascii="Times New Roman" w:hAnsi="Times New Roman" w:cs="Times New Roman"/>
          <w:szCs w:val="20"/>
          <w:lang w:val="pt-PT"/>
        </w:rPr>
      </w:pPr>
    </w:p>
    <w:p w:rsidR="000C4F4A" w:rsidRDefault="000C4F4A" w:rsidP="00265C34">
      <w:pPr>
        <w:pStyle w:val="PSDS-MarcadoresNivel4"/>
        <w:tabs>
          <w:tab w:val="clear" w:pos="2271"/>
          <w:tab w:val="left" w:pos="720"/>
        </w:tabs>
        <w:spacing w:before="0" w:after="0"/>
        <w:ind w:left="0" w:firstLine="0"/>
        <w:jc w:val="center"/>
        <w:rPr>
          <w:rFonts w:ascii="Times New Roman" w:hAnsi="Times New Roman" w:cs="Times New Roman"/>
          <w:szCs w:val="20"/>
          <w:lang w:val="pt-PT"/>
        </w:rPr>
      </w:pPr>
    </w:p>
    <w:p w:rsidR="000C4F4A" w:rsidRDefault="000C4F4A" w:rsidP="00265C34">
      <w:pPr>
        <w:pStyle w:val="PSDS-MarcadoresNivel4"/>
        <w:tabs>
          <w:tab w:val="clear" w:pos="2271"/>
          <w:tab w:val="left" w:pos="720"/>
        </w:tabs>
        <w:spacing w:before="0" w:after="0"/>
        <w:ind w:left="0" w:firstLine="0"/>
        <w:jc w:val="center"/>
        <w:rPr>
          <w:rFonts w:ascii="Times New Roman" w:hAnsi="Times New Roman" w:cs="Times New Roman"/>
          <w:szCs w:val="20"/>
          <w:lang w:val="pt-PT"/>
        </w:rPr>
      </w:pPr>
    </w:p>
    <w:p w:rsidR="000C4F4A" w:rsidRDefault="000C4F4A" w:rsidP="00265C34">
      <w:pPr>
        <w:pStyle w:val="PSDS-MarcadoresNivel4"/>
        <w:tabs>
          <w:tab w:val="clear" w:pos="2271"/>
          <w:tab w:val="left" w:pos="720"/>
        </w:tabs>
        <w:spacing w:before="0" w:after="0"/>
        <w:ind w:left="0" w:firstLine="0"/>
        <w:jc w:val="center"/>
        <w:rPr>
          <w:rFonts w:ascii="Times New Roman" w:hAnsi="Times New Roman" w:cs="Times New Roman"/>
          <w:szCs w:val="20"/>
          <w:lang w:val="pt-PT"/>
        </w:rPr>
      </w:pPr>
    </w:p>
    <w:p w:rsidR="000C4F4A" w:rsidRDefault="000C4F4A" w:rsidP="00265C34">
      <w:pPr>
        <w:pStyle w:val="PSDS-MarcadoresNivel4"/>
        <w:tabs>
          <w:tab w:val="clear" w:pos="2271"/>
          <w:tab w:val="left" w:pos="720"/>
        </w:tabs>
        <w:spacing w:before="0" w:after="0"/>
        <w:ind w:left="0" w:firstLine="0"/>
        <w:jc w:val="center"/>
        <w:rPr>
          <w:rFonts w:ascii="Times New Roman" w:hAnsi="Times New Roman" w:cs="Times New Roman"/>
          <w:szCs w:val="20"/>
          <w:lang w:val="pt-PT"/>
        </w:rPr>
      </w:pPr>
    </w:p>
    <w:p w:rsidR="000C4F4A" w:rsidRDefault="000C4F4A" w:rsidP="00265C34">
      <w:pPr>
        <w:pStyle w:val="PSDS-MarcadoresNivel4"/>
        <w:tabs>
          <w:tab w:val="clear" w:pos="2271"/>
          <w:tab w:val="left" w:pos="720"/>
        </w:tabs>
        <w:spacing w:before="0" w:after="0"/>
        <w:ind w:left="0" w:firstLine="0"/>
        <w:jc w:val="center"/>
        <w:rPr>
          <w:rFonts w:ascii="Times New Roman" w:hAnsi="Times New Roman" w:cs="Times New Roman"/>
          <w:szCs w:val="20"/>
          <w:lang w:val="pt-PT"/>
        </w:rPr>
      </w:pPr>
    </w:p>
    <w:p w:rsidR="000C4F4A" w:rsidRDefault="000C4F4A" w:rsidP="00265C34">
      <w:pPr>
        <w:pStyle w:val="PSDS-MarcadoresNivel4"/>
        <w:tabs>
          <w:tab w:val="clear" w:pos="2271"/>
          <w:tab w:val="left" w:pos="720"/>
        </w:tabs>
        <w:spacing w:before="0" w:after="0"/>
        <w:ind w:left="0" w:firstLine="0"/>
        <w:jc w:val="center"/>
        <w:rPr>
          <w:rFonts w:ascii="Times New Roman" w:hAnsi="Times New Roman" w:cs="Times New Roman"/>
          <w:szCs w:val="20"/>
          <w:lang w:val="pt-PT"/>
        </w:rPr>
      </w:pPr>
    </w:p>
    <w:p w:rsidR="000C4F4A" w:rsidRDefault="000C4F4A" w:rsidP="00265C34">
      <w:pPr>
        <w:pStyle w:val="PSDS-MarcadoresNivel4"/>
        <w:tabs>
          <w:tab w:val="clear" w:pos="2271"/>
          <w:tab w:val="left" w:pos="720"/>
        </w:tabs>
        <w:spacing w:before="0" w:after="0"/>
        <w:ind w:left="0" w:firstLine="0"/>
        <w:jc w:val="center"/>
        <w:rPr>
          <w:rFonts w:ascii="Times New Roman" w:hAnsi="Times New Roman" w:cs="Times New Roman"/>
          <w:szCs w:val="20"/>
          <w:lang w:val="pt-PT"/>
        </w:rPr>
      </w:pPr>
    </w:p>
    <w:p w:rsidR="000C4F4A" w:rsidRDefault="000C4F4A" w:rsidP="00265C34">
      <w:pPr>
        <w:pStyle w:val="PSDS-MarcadoresNivel4"/>
        <w:tabs>
          <w:tab w:val="clear" w:pos="2271"/>
          <w:tab w:val="left" w:pos="720"/>
        </w:tabs>
        <w:spacing w:before="0" w:after="0"/>
        <w:ind w:left="0" w:firstLine="0"/>
        <w:jc w:val="center"/>
        <w:rPr>
          <w:rFonts w:ascii="Times New Roman" w:hAnsi="Times New Roman" w:cs="Times New Roman"/>
          <w:szCs w:val="20"/>
          <w:lang w:val="pt-PT"/>
        </w:rPr>
      </w:pPr>
    </w:p>
    <w:p w:rsidR="000C4F4A" w:rsidRDefault="00B35FA3" w:rsidP="00265C34">
      <w:pPr>
        <w:pStyle w:val="PSDS-MarcadoresNivel4"/>
        <w:tabs>
          <w:tab w:val="clear" w:pos="2271"/>
          <w:tab w:val="left" w:pos="720"/>
        </w:tabs>
        <w:spacing w:before="0" w:after="0"/>
        <w:ind w:left="0" w:firstLine="0"/>
        <w:jc w:val="center"/>
        <w:rPr>
          <w:rFonts w:ascii="Times New Roman" w:hAnsi="Times New Roman" w:cs="Times New Roman"/>
          <w:szCs w:val="20"/>
          <w:lang w:val="pt-PT"/>
        </w:rPr>
      </w:pPr>
      <w:r>
        <w:rPr>
          <w:rFonts w:ascii="Times New Roman" w:hAnsi="Times New Roman" w:cs="Times New Roman"/>
          <w:szCs w:val="20"/>
          <w:lang w:val="pt-PT"/>
        </w:rPr>
        <w:object w:dxaOrig="14835" w:dyaOrig="2670">
          <v:shape id="_x0000_i1963" type="#_x0000_t75" style="width:792.75pt;height:129pt" o:ole="">
            <v:imagedata r:id="rId721" o:title=""/>
          </v:shape>
          <o:OLEObject Type="Link" ProgID="Excel.Sheet.12" ShapeID="_x0000_i1963" DrawAspect="Content" r:id="rId722" UpdateMode="Always">
            <o:LinkType>EnhancedMetaFile</o:LinkType>
            <o:LockedField>false</o:LockedField>
          </o:OLEObject>
        </w:object>
      </w:r>
    </w:p>
    <w:p w:rsidR="000C4F4A" w:rsidRDefault="000C4F4A" w:rsidP="00F72030">
      <w:pPr>
        <w:pStyle w:val="PSDS-MarcadoresNivel4"/>
        <w:tabs>
          <w:tab w:val="clear" w:pos="2271"/>
          <w:tab w:val="left" w:pos="720"/>
        </w:tabs>
        <w:spacing w:before="0" w:after="0"/>
        <w:ind w:left="0" w:firstLine="0"/>
        <w:rPr>
          <w:rFonts w:ascii="Times New Roman" w:hAnsi="Times New Roman" w:cs="Times New Roman"/>
          <w:szCs w:val="20"/>
          <w:lang w:val="pt-PT"/>
        </w:rPr>
      </w:pPr>
    </w:p>
    <w:p w:rsidR="00F72030" w:rsidRPr="00FA3856" w:rsidRDefault="00F72030" w:rsidP="00F72030">
      <w:pPr>
        <w:pStyle w:val="PSDS-MarcadoresNivel4"/>
        <w:tabs>
          <w:tab w:val="clear" w:pos="2271"/>
          <w:tab w:val="left" w:pos="720"/>
        </w:tabs>
        <w:spacing w:before="0" w:after="0"/>
        <w:ind w:left="0" w:firstLine="0"/>
        <w:rPr>
          <w:rFonts w:ascii="Times New Roman" w:hAnsi="Times New Roman" w:cs="Times New Roman"/>
          <w:szCs w:val="20"/>
          <w:lang w:val="pt-PT"/>
        </w:rPr>
      </w:pPr>
      <w:r w:rsidRPr="00FA3856">
        <w:rPr>
          <w:rFonts w:ascii="Times New Roman" w:hAnsi="Times New Roman" w:cs="Times New Roman"/>
          <w:szCs w:val="20"/>
          <w:lang w:val="pt-PT"/>
        </w:rPr>
        <w:t>I – Regra de Validação de Registro:</w:t>
      </w:r>
    </w:p>
    <w:p w:rsidR="00F72030" w:rsidRPr="00FA3856" w:rsidRDefault="00F72030" w:rsidP="00F72030">
      <w:pPr>
        <w:pStyle w:val="PSDS-MarcadoresNivel4"/>
        <w:tabs>
          <w:tab w:val="clear" w:pos="2271"/>
          <w:tab w:val="left" w:pos="720"/>
        </w:tabs>
        <w:spacing w:before="0" w:after="0"/>
        <w:ind w:left="0" w:firstLine="0"/>
        <w:rPr>
          <w:rFonts w:ascii="Times New Roman" w:hAnsi="Times New Roman" w:cs="Times New Roman"/>
          <w:szCs w:val="20"/>
          <w:lang w:val="pt-PT"/>
        </w:rPr>
      </w:pPr>
    </w:p>
    <w:p w:rsidR="00F72030" w:rsidRPr="00FA3856" w:rsidRDefault="00553FA4" w:rsidP="00F72030">
      <w:pPr>
        <w:pStyle w:val="PSDS-MarcadoresNivel4"/>
        <w:tabs>
          <w:tab w:val="clear" w:pos="2271"/>
          <w:tab w:val="left" w:pos="720"/>
        </w:tabs>
        <w:spacing w:before="0" w:after="0"/>
        <w:ind w:left="0" w:firstLine="0"/>
        <w:rPr>
          <w:rFonts w:ascii="Times New Roman" w:hAnsi="Times New Roman" w:cs="Times New Roman"/>
          <w:b w:val="0"/>
          <w:color w:val="000000"/>
          <w:szCs w:val="20"/>
          <w:lang w:val="pt-PT"/>
        </w:rPr>
      </w:pPr>
      <w:r w:rsidRPr="00FA3856">
        <w:rPr>
          <w:rFonts w:ascii="Times New Roman" w:hAnsi="Times New Roman" w:cs="Times New Roman"/>
          <w:bCs w:val="0"/>
          <w:szCs w:val="20"/>
        </w:rPr>
        <w:tab/>
      </w:r>
      <w:r w:rsidR="00F72030" w:rsidRPr="00FA3856">
        <w:rPr>
          <w:rFonts w:ascii="Times New Roman" w:hAnsi="Times New Roman" w:cs="Times New Roman"/>
          <w:bCs w:val="0"/>
          <w:szCs w:val="20"/>
        </w:rPr>
        <w:t xml:space="preserve">REGRA_X351_PREENCHER: </w:t>
      </w:r>
      <w:r w:rsidR="00F72030" w:rsidRPr="00FA3856">
        <w:rPr>
          <w:rFonts w:ascii="Times New Roman" w:hAnsi="Times New Roman" w:cs="Times New Roman"/>
          <w:b w:val="0"/>
          <w:bCs w:val="0"/>
          <w:szCs w:val="20"/>
        </w:rPr>
        <w:t>Este registro só ser preenchido/habilitado quando X340.</w:t>
      </w:r>
      <w:r w:rsidR="00F72030" w:rsidRPr="00FA3856">
        <w:rPr>
          <w:rFonts w:ascii="Times New Roman" w:hAnsi="Times New Roman" w:cs="Times New Roman"/>
          <w:b w:val="0"/>
          <w:color w:val="000000"/>
          <w:szCs w:val="20"/>
          <w:lang w:val="pt-PT"/>
        </w:rPr>
        <w:t>IND_CONTROLE for diferente de “6” (Coligada em Regime de Caixa).</w:t>
      </w:r>
    </w:p>
    <w:p w:rsidR="00F72030" w:rsidRPr="00FA3856" w:rsidRDefault="00F72030" w:rsidP="003F22C3">
      <w:pPr>
        <w:pStyle w:val="PSDS-MarcadoresNivel4"/>
        <w:tabs>
          <w:tab w:val="clear" w:pos="2271"/>
          <w:tab w:val="left" w:pos="720"/>
        </w:tabs>
        <w:spacing w:before="0" w:after="0"/>
        <w:ind w:left="0" w:firstLine="0"/>
        <w:rPr>
          <w:rFonts w:ascii="Times New Roman" w:hAnsi="Times New Roman" w:cs="Times New Roman"/>
          <w:szCs w:val="20"/>
          <w:lang w:val="pt-PT"/>
        </w:rPr>
      </w:pPr>
    </w:p>
    <w:p w:rsidR="003F22C3" w:rsidRPr="00FA3856" w:rsidRDefault="003F22C3" w:rsidP="003F22C3">
      <w:pPr>
        <w:pStyle w:val="PSDS-MarcadoresNivel4"/>
        <w:tabs>
          <w:tab w:val="clear" w:pos="2271"/>
          <w:tab w:val="left" w:pos="720"/>
        </w:tabs>
        <w:spacing w:before="0" w:after="0"/>
        <w:ind w:left="0" w:firstLine="0"/>
        <w:rPr>
          <w:rFonts w:ascii="Times New Roman" w:hAnsi="Times New Roman" w:cs="Times New Roman"/>
          <w:szCs w:val="20"/>
          <w:lang w:val="pt-PT"/>
        </w:rPr>
      </w:pPr>
      <w:r w:rsidRPr="00FA3856">
        <w:rPr>
          <w:rFonts w:ascii="Times New Roman" w:hAnsi="Times New Roman" w:cs="Times New Roman"/>
          <w:szCs w:val="20"/>
          <w:lang w:val="pt-PT"/>
        </w:rPr>
        <w:t>I</w:t>
      </w:r>
      <w:r w:rsidR="00F72030" w:rsidRPr="00FA3856">
        <w:rPr>
          <w:rFonts w:ascii="Times New Roman" w:hAnsi="Times New Roman" w:cs="Times New Roman"/>
          <w:szCs w:val="20"/>
          <w:lang w:val="pt-PT"/>
        </w:rPr>
        <w:t>I</w:t>
      </w:r>
      <w:r w:rsidRPr="00FA3856">
        <w:rPr>
          <w:rFonts w:ascii="Times New Roman" w:hAnsi="Times New Roman" w:cs="Times New Roman"/>
          <w:szCs w:val="20"/>
          <w:lang w:val="pt-PT"/>
        </w:rPr>
        <w:t xml:space="preserve"> – Regras de Validação de Campos:</w:t>
      </w:r>
    </w:p>
    <w:p w:rsidR="003F22C3" w:rsidRPr="00FA3856" w:rsidRDefault="003F22C3" w:rsidP="003F22C3">
      <w:pPr>
        <w:pStyle w:val="PSDS-MarcadoresNivel4"/>
        <w:tabs>
          <w:tab w:val="clear" w:pos="2271"/>
          <w:tab w:val="left" w:pos="720"/>
        </w:tabs>
        <w:spacing w:before="0" w:after="0"/>
        <w:ind w:left="0" w:firstLine="0"/>
        <w:rPr>
          <w:rFonts w:ascii="Times New Roman" w:hAnsi="Times New Roman" w:cs="Times New Roman"/>
          <w:szCs w:val="20"/>
          <w:lang w:val="pt-PT"/>
        </w:rPr>
      </w:pPr>
    </w:p>
    <w:tbl>
      <w:tblPr>
        <w:tblW w:w="16370"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85"/>
        <w:gridCol w:w="3000"/>
        <w:gridCol w:w="12168"/>
        <w:gridCol w:w="717"/>
      </w:tblGrid>
      <w:tr w:rsidR="003F22C3" w:rsidRPr="00FA3856" w:rsidTr="00BC4E27">
        <w:trPr>
          <w:jc w:val="center"/>
        </w:trPr>
        <w:tc>
          <w:tcPr>
            <w:tcW w:w="485" w:type="dxa"/>
            <w:tcBorders>
              <w:top w:val="single" w:sz="6" w:space="0" w:color="auto"/>
              <w:left w:val="single" w:sz="6" w:space="0" w:color="auto"/>
              <w:bottom w:val="single" w:sz="6" w:space="0" w:color="auto"/>
              <w:right w:val="single" w:sz="6" w:space="0" w:color="auto"/>
            </w:tcBorders>
            <w:shd w:val="pct10" w:color="auto" w:fill="FFFFFF"/>
          </w:tcPr>
          <w:p w:rsidR="003F22C3" w:rsidRPr="00FA3856" w:rsidRDefault="003F22C3" w:rsidP="00FB7374">
            <w:pPr>
              <w:pStyle w:val="PSDS-CorpodeTexto0"/>
              <w:jc w:val="center"/>
              <w:rPr>
                <w:rFonts w:ascii="Times New Roman" w:hAnsi="Times New Roman"/>
                <w:b/>
                <w:bCs/>
              </w:rPr>
            </w:pPr>
            <w:r w:rsidRPr="00FA3856">
              <w:rPr>
                <w:rFonts w:ascii="Times New Roman" w:hAnsi="Times New Roman"/>
                <w:b/>
                <w:bCs/>
              </w:rPr>
              <w:t>Nº</w:t>
            </w:r>
          </w:p>
        </w:tc>
        <w:tc>
          <w:tcPr>
            <w:tcW w:w="3000" w:type="dxa"/>
            <w:tcBorders>
              <w:top w:val="single" w:sz="6" w:space="0" w:color="auto"/>
              <w:left w:val="single" w:sz="6" w:space="0" w:color="auto"/>
              <w:bottom w:val="single" w:sz="6" w:space="0" w:color="auto"/>
              <w:right w:val="single" w:sz="6" w:space="0" w:color="auto"/>
            </w:tcBorders>
            <w:shd w:val="pct10" w:color="auto" w:fill="FFFFFF"/>
          </w:tcPr>
          <w:p w:rsidR="003F22C3" w:rsidRPr="00FA3856" w:rsidRDefault="003F22C3" w:rsidP="00FB7374">
            <w:pPr>
              <w:pStyle w:val="PSDS-CorpodeTexto0"/>
              <w:jc w:val="center"/>
              <w:rPr>
                <w:rFonts w:ascii="Times New Roman" w:hAnsi="Times New Roman"/>
                <w:b/>
                <w:bCs/>
              </w:rPr>
            </w:pPr>
            <w:r w:rsidRPr="00FA3856">
              <w:rPr>
                <w:rFonts w:ascii="Times New Roman" w:hAnsi="Times New Roman"/>
                <w:b/>
                <w:bCs/>
              </w:rPr>
              <w:t>Campo</w:t>
            </w:r>
          </w:p>
        </w:tc>
        <w:tc>
          <w:tcPr>
            <w:tcW w:w="12168" w:type="dxa"/>
            <w:tcBorders>
              <w:top w:val="single" w:sz="6" w:space="0" w:color="auto"/>
              <w:left w:val="single" w:sz="6" w:space="0" w:color="auto"/>
              <w:bottom w:val="single" w:sz="6" w:space="0" w:color="auto"/>
              <w:right w:val="single" w:sz="6" w:space="0" w:color="auto"/>
            </w:tcBorders>
            <w:shd w:val="pct10" w:color="auto" w:fill="FFFFFF"/>
          </w:tcPr>
          <w:p w:rsidR="003F22C3" w:rsidRPr="00FA3856" w:rsidRDefault="003F22C3" w:rsidP="00FB7374">
            <w:pPr>
              <w:pStyle w:val="PSDS-CorpodeTexto0"/>
              <w:jc w:val="center"/>
              <w:rPr>
                <w:rFonts w:ascii="Times New Roman" w:hAnsi="Times New Roman"/>
                <w:b/>
                <w:bCs/>
              </w:rPr>
            </w:pPr>
            <w:r w:rsidRPr="00FA3856">
              <w:rPr>
                <w:rFonts w:ascii="Times New Roman" w:hAnsi="Times New Roman"/>
                <w:b/>
                <w:bCs/>
              </w:rPr>
              <w:t>Regras de Validação do Campo</w:t>
            </w:r>
          </w:p>
        </w:tc>
        <w:tc>
          <w:tcPr>
            <w:tcW w:w="717" w:type="dxa"/>
            <w:tcBorders>
              <w:top w:val="single" w:sz="6" w:space="0" w:color="auto"/>
              <w:left w:val="single" w:sz="6" w:space="0" w:color="auto"/>
              <w:bottom w:val="single" w:sz="6" w:space="0" w:color="auto"/>
              <w:right w:val="single" w:sz="6" w:space="0" w:color="auto"/>
            </w:tcBorders>
            <w:shd w:val="pct10" w:color="auto" w:fill="FFFFFF"/>
          </w:tcPr>
          <w:p w:rsidR="003F22C3" w:rsidRPr="00FA3856" w:rsidRDefault="003F22C3" w:rsidP="00FB7374">
            <w:pPr>
              <w:pStyle w:val="PSDS-CorpodeTexto0"/>
              <w:jc w:val="center"/>
              <w:rPr>
                <w:rFonts w:ascii="Times New Roman" w:hAnsi="Times New Roman"/>
                <w:b/>
                <w:bCs/>
              </w:rPr>
            </w:pPr>
            <w:r w:rsidRPr="00FA3856">
              <w:rPr>
                <w:rFonts w:ascii="Times New Roman" w:hAnsi="Times New Roman"/>
                <w:b/>
                <w:bCs/>
              </w:rPr>
              <w:t>Tipo</w:t>
            </w:r>
          </w:p>
        </w:tc>
      </w:tr>
      <w:tr w:rsidR="003F22C3" w:rsidRPr="00FA3856" w:rsidTr="00BC4E27">
        <w:trPr>
          <w:jc w:val="center"/>
        </w:trPr>
        <w:tc>
          <w:tcPr>
            <w:tcW w:w="485" w:type="dxa"/>
            <w:tcBorders>
              <w:top w:val="single" w:sz="6" w:space="0" w:color="auto"/>
              <w:left w:val="single" w:sz="6" w:space="0" w:color="auto"/>
              <w:bottom w:val="single" w:sz="6" w:space="0" w:color="auto"/>
              <w:right w:val="single" w:sz="6" w:space="0" w:color="auto"/>
            </w:tcBorders>
          </w:tcPr>
          <w:p w:rsidR="003F22C3" w:rsidRPr="00FA3856" w:rsidRDefault="002C1312" w:rsidP="00FB7374">
            <w:pPr>
              <w:pStyle w:val="PSDS-CorpodeTexto0"/>
              <w:suppressAutoHyphens w:val="0"/>
              <w:rPr>
                <w:rFonts w:ascii="Times New Roman" w:hAnsi="Times New Roman"/>
                <w:b/>
                <w:bCs/>
                <w:lang w:val="pt-PT"/>
              </w:rPr>
            </w:pPr>
            <w:r w:rsidRPr="00FA3856">
              <w:rPr>
                <w:rFonts w:ascii="Times New Roman" w:hAnsi="Times New Roman"/>
                <w:b/>
                <w:bCs/>
                <w:lang w:val="pt-PT"/>
              </w:rPr>
              <w:t>7</w:t>
            </w:r>
          </w:p>
        </w:tc>
        <w:tc>
          <w:tcPr>
            <w:tcW w:w="3000" w:type="dxa"/>
            <w:tcBorders>
              <w:top w:val="single" w:sz="6" w:space="0" w:color="auto"/>
              <w:left w:val="single" w:sz="6" w:space="0" w:color="auto"/>
              <w:bottom w:val="single" w:sz="6" w:space="0" w:color="auto"/>
              <w:right w:val="single" w:sz="6" w:space="0" w:color="auto"/>
            </w:tcBorders>
          </w:tcPr>
          <w:p w:rsidR="003F22C3" w:rsidRPr="00FA3856" w:rsidRDefault="003F22C3" w:rsidP="00FB7374">
            <w:pPr>
              <w:pStyle w:val="PSDS-CorpodeTexto0"/>
              <w:rPr>
                <w:rFonts w:ascii="Times New Roman" w:hAnsi="Times New Roman"/>
              </w:rPr>
            </w:pPr>
            <w:r w:rsidRPr="00FA3856">
              <w:rPr>
                <w:rFonts w:ascii="Times New Roman" w:hAnsi="Times New Roman"/>
                <w:bCs/>
                <w:lang w:val="pt-PT"/>
              </w:rPr>
              <w:t>RES_POS_TRIB</w:t>
            </w:r>
          </w:p>
        </w:tc>
        <w:tc>
          <w:tcPr>
            <w:tcW w:w="12168" w:type="dxa"/>
            <w:tcBorders>
              <w:top w:val="single" w:sz="6" w:space="0" w:color="auto"/>
              <w:left w:val="single" w:sz="6" w:space="0" w:color="auto"/>
              <w:bottom w:val="single" w:sz="6" w:space="0" w:color="auto"/>
              <w:right w:val="single" w:sz="6" w:space="0" w:color="auto"/>
            </w:tcBorders>
          </w:tcPr>
          <w:p w:rsidR="003F22C3" w:rsidRPr="00FA3856" w:rsidRDefault="003F22C3" w:rsidP="003F22C3">
            <w:pPr>
              <w:pStyle w:val="Corpodetexto"/>
              <w:rPr>
                <w:rFonts w:ascii="Times New Roman" w:hAnsi="Times New Roman"/>
                <w:szCs w:val="20"/>
              </w:rPr>
            </w:pPr>
            <w:r w:rsidRPr="00FA3856">
              <w:rPr>
                <w:rFonts w:ascii="Times New Roman" w:hAnsi="Times New Roman"/>
                <w:b/>
                <w:szCs w:val="20"/>
              </w:rPr>
              <w:t xml:space="preserve">REGRA_POS_TRIB_VALOR: </w:t>
            </w:r>
            <w:r w:rsidRPr="00FA3856">
              <w:rPr>
                <w:rFonts w:ascii="Times New Roman" w:hAnsi="Times New Roman"/>
                <w:szCs w:val="20"/>
              </w:rPr>
              <w:t xml:space="preserve">Verifica, quando </w:t>
            </w:r>
            <w:r w:rsidR="005006F5" w:rsidRPr="00FA3856">
              <w:rPr>
                <w:rFonts w:ascii="Times New Roman" w:hAnsi="Times New Roman"/>
                <w:szCs w:val="20"/>
              </w:rPr>
              <w:t xml:space="preserve">X351.RES_INV_PER </w:t>
            </w:r>
            <w:r w:rsidRPr="00FA3856">
              <w:rPr>
                <w:rFonts w:ascii="Times New Roman" w:hAnsi="Times New Roman"/>
                <w:szCs w:val="20"/>
              </w:rPr>
              <w:t>for positivo</w:t>
            </w:r>
            <w:r w:rsidR="008C438A" w:rsidRPr="00FA3856">
              <w:rPr>
                <w:rFonts w:ascii="Times New Roman" w:hAnsi="Times New Roman"/>
                <w:szCs w:val="20"/>
              </w:rPr>
              <w:t xml:space="preserve"> e </w:t>
            </w:r>
            <w:r w:rsidR="002C1312" w:rsidRPr="00FA3856">
              <w:rPr>
                <w:rFonts w:ascii="Times New Roman" w:hAnsi="Times New Roman"/>
                <w:szCs w:val="20"/>
              </w:rPr>
              <w:t xml:space="preserve">maior que </w:t>
            </w:r>
            <w:r w:rsidR="005006F5" w:rsidRPr="00FA3856">
              <w:rPr>
                <w:rFonts w:ascii="Times New Roman" w:hAnsi="Times New Roman"/>
                <w:szCs w:val="20"/>
              </w:rPr>
              <w:t>X351.RES_NEG_ACUM</w:t>
            </w:r>
            <w:r w:rsidRPr="00FA3856">
              <w:rPr>
                <w:rFonts w:ascii="Times New Roman" w:hAnsi="Times New Roman"/>
                <w:szCs w:val="20"/>
              </w:rPr>
              <w:t xml:space="preserve">, se o resultado da subtração de </w:t>
            </w:r>
            <w:r w:rsidR="002E2118" w:rsidRPr="00FA3856">
              <w:rPr>
                <w:rFonts w:ascii="Times New Roman" w:hAnsi="Times New Roman"/>
                <w:szCs w:val="20"/>
              </w:rPr>
              <w:t>X351.</w:t>
            </w:r>
            <w:r w:rsidR="005006F5" w:rsidRPr="00FA3856">
              <w:rPr>
                <w:rFonts w:ascii="Times New Roman" w:hAnsi="Times New Roman"/>
                <w:szCs w:val="20"/>
              </w:rPr>
              <w:t xml:space="preserve">RES_INV_PER </w:t>
            </w:r>
            <w:r w:rsidR="002C1312" w:rsidRPr="00FA3856">
              <w:rPr>
                <w:rFonts w:ascii="Times New Roman" w:hAnsi="Times New Roman"/>
                <w:szCs w:val="20"/>
              </w:rPr>
              <w:t xml:space="preserve">por </w:t>
            </w:r>
            <w:r w:rsidR="005006F5" w:rsidRPr="00FA3856">
              <w:rPr>
                <w:rFonts w:ascii="Times New Roman" w:hAnsi="Times New Roman"/>
                <w:szCs w:val="20"/>
              </w:rPr>
              <w:t xml:space="preserve">X351.RES_NEG_ACUM </w:t>
            </w:r>
            <w:r w:rsidRPr="00FA3856">
              <w:rPr>
                <w:rFonts w:ascii="Times New Roman" w:hAnsi="Times New Roman"/>
                <w:szCs w:val="20"/>
              </w:rPr>
              <w:t>é igual ao valor in</w:t>
            </w:r>
            <w:r w:rsidR="002C1312" w:rsidRPr="00FA3856">
              <w:rPr>
                <w:rFonts w:ascii="Times New Roman" w:hAnsi="Times New Roman"/>
                <w:szCs w:val="20"/>
              </w:rPr>
              <w:t xml:space="preserve">formado em </w:t>
            </w:r>
            <w:r w:rsidR="002E2118" w:rsidRPr="00FA3856">
              <w:rPr>
                <w:rFonts w:ascii="Times New Roman" w:hAnsi="Times New Roman"/>
                <w:szCs w:val="20"/>
              </w:rPr>
              <w:t>X351.</w:t>
            </w:r>
            <w:r w:rsidR="002C1312" w:rsidRPr="00FA3856">
              <w:rPr>
                <w:rFonts w:ascii="Times New Roman" w:hAnsi="Times New Roman"/>
                <w:szCs w:val="20"/>
              </w:rPr>
              <w:t>RES_POS_TRI</w:t>
            </w:r>
            <w:r w:rsidR="005006F5" w:rsidRPr="00FA3856">
              <w:rPr>
                <w:rFonts w:ascii="Times New Roman" w:hAnsi="Times New Roman"/>
                <w:szCs w:val="20"/>
              </w:rPr>
              <w:t>B</w:t>
            </w:r>
            <w:r w:rsidRPr="00FA3856">
              <w:rPr>
                <w:rFonts w:ascii="Times New Roman" w:hAnsi="Times New Roman"/>
                <w:szCs w:val="20"/>
              </w:rPr>
              <w:t>.</w:t>
            </w:r>
          </w:p>
          <w:p w:rsidR="003F22C3" w:rsidRPr="00FA3856" w:rsidRDefault="003F22C3" w:rsidP="003F22C3">
            <w:pPr>
              <w:pStyle w:val="Corpodetexto"/>
              <w:rPr>
                <w:rFonts w:ascii="Times New Roman" w:hAnsi="Times New Roman"/>
                <w:szCs w:val="20"/>
              </w:rPr>
            </w:pPr>
          </w:p>
          <w:p w:rsidR="003F22C3" w:rsidRPr="00FA3856" w:rsidRDefault="003F22C3" w:rsidP="003F22C3">
            <w:pPr>
              <w:pStyle w:val="Corpodetexto"/>
              <w:rPr>
                <w:rFonts w:ascii="Times New Roman" w:hAnsi="Times New Roman"/>
                <w:szCs w:val="20"/>
              </w:rPr>
            </w:pPr>
            <w:r w:rsidRPr="00FA3856">
              <w:rPr>
                <w:rFonts w:ascii="Times New Roman" w:hAnsi="Times New Roman"/>
                <w:b/>
                <w:szCs w:val="20"/>
              </w:rPr>
              <w:t xml:space="preserve">REGRA_POS_TRIB_NAO_PREENCHER: </w:t>
            </w:r>
            <w:r w:rsidRPr="00FA3856">
              <w:rPr>
                <w:rFonts w:ascii="Times New Roman" w:hAnsi="Times New Roman"/>
                <w:szCs w:val="20"/>
              </w:rPr>
              <w:t xml:space="preserve">Verifica, quando </w:t>
            </w:r>
            <w:r w:rsidR="005006F5" w:rsidRPr="00FA3856">
              <w:rPr>
                <w:rFonts w:ascii="Times New Roman" w:hAnsi="Times New Roman"/>
                <w:szCs w:val="20"/>
              </w:rPr>
              <w:t xml:space="preserve">X351.RES_INV_PER </w:t>
            </w:r>
            <w:r w:rsidRPr="00FA3856">
              <w:rPr>
                <w:rFonts w:ascii="Times New Roman" w:hAnsi="Times New Roman"/>
                <w:szCs w:val="20"/>
              </w:rPr>
              <w:t>for negativo</w:t>
            </w:r>
            <w:r w:rsidR="008C438A" w:rsidRPr="00FA3856">
              <w:rPr>
                <w:rFonts w:ascii="Times New Roman" w:hAnsi="Times New Roman"/>
                <w:szCs w:val="20"/>
              </w:rPr>
              <w:t xml:space="preserve"> ou quando </w:t>
            </w:r>
            <w:r w:rsidR="005006F5" w:rsidRPr="00FA3856">
              <w:rPr>
                <w:rFonts w:ascii="Times New Roman" w:hAnsi="Times New Roman"/>
                <w:szCs w:val="20"/>
              </w:rPr>
              <w:t xml:space="preserve">X351.RES_INV_PER </w:t>
            </w:r>
            <w:r w:rsidR="008C438A" w:rsidRPr="00FA3856">
              <w:rPr>
                <w:rFonts w:ascii="Times New Roman" w:hAnsi="Times New Roman"/>
                <w:szCs w:val="20"/>
              </w:rPr>
              <w:t xml:space="preserve">for menor ou igual a </w:t>
            </w:r>
            <w:r w:rsidR="002E2118" w:rsidRPr="00FA3856">
              <w:rPr>
                <w:rFonts w:ascii="Times New Roman" w:hAnsi="Times New Roman"/>
                <w:szCs w:val="20"/>
              </w:rPr>
              <w:t>X351.</w:t>
            </w:r>
            <w:r w:rsidR="008C438A" w:rsidRPr="00FA3856">
              <w:rPr>
                <w:rFonts w:ascii="Times New Roman" w:hAnsi="Times New Roman"/>
                <w:szCs w:val="20"/>
              </w:rPr>
              <w:t>RES_</w:t>
            </w:r>
            <w:r w:rsidR="005006F5" w:rsidRPr="00FA3856">
              <w:rPr>
                <w:rFonts w:ascii="Times New Roman" w:hAnsi="Times New Roman"/>
                <w:szCs w:val="20"/>
              </w:rPr>
              <w:t>NEG_ACUM</w:t>
            </w:r>
            <w:r w:rsidRPr="00FA3856">
              <w:rPr>
                <w:rFonts w:ascii="Times New Roman" w:hAnsi="Times New Roman"/>
                <w:szCs w:val="20"/>
              </w:rPr>
              <w:t>, se valor in</w:t>
            </w:r>
            <w:r w:rsidR="00123271" w:rsidRPr="00FA3856">
              <w:rPr>
                <w:rFonts w:ascii="Times New Roman" w:hAnsi="Times New Roman"/>
                <w:szCs w:val="20"/>
              </w:rPr>
              <w:t xml:space="preserve">formado em </w:t>
            </w:r>
            <w:r w:rsidR="005006F5" w:rsidRPr="00FA3856">
              <w:rPr>
                <w:rFonts w:ascii="Times New Roman" w:hAnsi="Times New Roman"/>
                <w:szCs w:val="20"/>
              </w:rPr>
              <w:t xml:space="preserve">X351.RES_POS_TRIB </w:t>
            </w:r>
            <w:r w:rsidRPr="00FA3856">
              <w:rPr>
                <w:rFonts w:ascii="Times New Roman" w:hAnsi="Times New Roman"/>
                <w:szCs w:val="20"/>
              </w:rPr>
              <w:t>é igual a zero.</w:t>
            </w:r>
          </w:p>
        </w:tc>
        <w:tc>
          <w:tcPr>
            <w:tcW w:w="717" w:type="dxa"/>
            <w:tcBorders>
              <w:top w:val="single" w:sz="6" w:space="0" w:color="auto"/>
              <w:left w:val="single" w:sz="6" w:space="0" w:color="auto"/>
              <w:bottom w:val="single" w:sz="6" w:space="0" w:color="auto"/>
              <w:right w:val="single" w:sz="6" w:space="0" w:color="auto"/>
            </w:tcBorders>
          </w:tcPr>
          <w:p w:rsidR="003F22C3" w:rsidRPr="00FA3856" w:rsidRDefault="003F22C3" w:rsidP="00FB7374">
            <w:pPr>
              <w:pStyle w:val="PSDS-CorpodeTexto0"/>
              <w:rPr>
                <w:rFonts w:ascii="Times New Roman" w:hAnsi="Times New Roman"/>
              </w:rPr>
            </w:pPr>
            <w:r w:rsidRPr="00FA3856">
              <w:rPr>
                <w:rFonts w:ascii="Times New Roman" w:hAnsi="Times New Roman"/>
              </w:rPr>
              <w:t>Erro</w:t>
            </w:r>
          </w:p>
          <w:p w:rsidR="003F22C3" w:rsidRPr="00FA3856" w:rsidRDefault="003F22C3" w:rsidP="00FB7374">
            <w:pPr>
              <w:pStyle w:val="PSDS-CorpodeTexto0"/>
              <w:rPr>
                <w:rFonts w:ascii="Times New Roman" w:hAnsi="Times New Roman"/>
              </w:rPr>
            </w:pPr>
          </w:p>
          <w:p w:rsidR="003F22C3" w:rsidRPr="00FA3856" w:rsidRDefault="003F22C3" w:rsidP="00FB7374">
            <w:pPr>
              <w:pStyle w:val="PSDS-CorpodeTexto0"/>
              <w:rPr>
                <w:rFonts w:ascii="Times New Roman" w:hAnsi="Times New Roman"/>
              </w:rPr>
            </w:pPr>
          </w:p>
          <w:p w:rsidR="003F22C3" w:rsidRPr="00FA3856" w:rsidRDefault="003F22C3" w:rsidP="00FB7374">
            <w:pPr>
              <w:pStyle w:val="PSDS-CorpodeTexto0"/>
              <w:rPr>
                <w:rFonts w:ascii="Times New Roman" w:hAnsi="Times New Roman"/>
              </w:rPr>
            </w:pPr>
            <w:r w:rsidRPr="00FA3856">
              <w:rPr>
                <w:rFonts w:ascii="Times New Roman" w:hAnsi="Times New Roman"/>
              </w:rPr>
              <w:t>Erro</w:t>
            </w:r>
          </w:p>
          <w:p w:rsidR="003F22C3" w:rsidRPr="00FA3856" w:rsidRDefault="003F22C3" w:rsidP="00FB7374">
            <w:pPr>
              <w:pStyle w:val="PSDS-CorpodeTexto0"/>
              <w:rPr>
                <w:rFonts w:ascii="Times New Roman" w:hAnsi="Times New Roman"/>
              </w:rPr>
            </w:pPr>
          </w:p>
        </w:tc>
      </w:tr>
    </w:tbl>
    <w:p w:rsidR="00744D9D" w:rsidRPr="00FA3856" w:rsidRDefault="00744D9D" w:rsidP="004F03A8">
      <w:pPr>
        <w:pStyle w:val="Corpodetexto"/>
        <w:rPr>
          <w:rFonts w:ascii="Times New Roman" w:hAnsi="Times New Roman"/>
          <w:b/>
          <w:color w:val="002060"/>
          <w:szCs w:val="20"/>
        </w:rPr>
      </w:pPr>
    </w:p>
    <w:p w:rsidR="00D756FC" w:rsidRDefault="00D756FC">
      <w:pPr>
        <w:spacing w:after="200" w:line="276" w:lineRule="auto"/>
        <w:rPr>
          <w:b/>
          <w:color w:val="002060"/>
          <w:szCs w:val="20"/>
          <w:lang w:eastAsia="ar-SA"/>
        </w:rPr>
      </w:pPr>
      <w:r>
        <w:rPr>
          <w:b/>
          <w:color w:val="002060"/>
          <w:szCs w:val="20"/>
        </w:rPr>
        <w:br w:type="page"/>
      </w:r>
    </w:p>
    <w:p w:rsidR="00265C34" w:rsidRDefault="004F03A8" w:rsidP="004F03A8">
      <w:pPr>
        <w:pStyle w:val="Corpodetexto"/>
        <w:rPr>
          <w:rFonts w:ascii="Times New Roman" w:hAnsi="Times New Roman"/>
          <w:b/>
          <w:color w:val="002060"/>
          <w:szCs w:val="20"/>
        </w:rPr>
      </w:pPr>
      <w:r w:rsidRPr="00FA3856">
        <w:rPr>
          <w:rFonts w:ascii="Times New Roman" w:hAnsi="Times New Roman"/>
          <w:b/>
          <w:color w:val="002060"/>
          <w:szCs w:val="20"/>
        </w:rPr>
        <w:lastRenderedPageBreak/>
        <w:t>Exemplo de Preenchi</w:t>
      </w:r>
      <w:r w:rsidR="002E2118" w:rsidRPr="00FA3856">
        <w:rPr>
          <w:rFonts w:ascii="Times New Roman" w:hAnsi="Times New Roman"/>
          <w:b/>
          <w:color w:val="002060"/>
          <w:szCs w:val="20"/>
        </w:rPr>
        <w:t xml:space="preserve">mento: </w:t>
      </w:r>
    </w:p>
    <w:p w:rsidR="00265C34" w:rsidRDefault="00265C34" w:rsidP="004F03A8">
      <w:pPr>
        <w:pStyle w:val="Corpodetexto"/>
        <w:rPr>
          <w:rFonts w:ascii="Times New Roman" w:hAnsi="Times New Roman"/>
          <w:b/>
          <w:color w:val="002060"/>
          <w:szCs w:val="20"/>
        </w:rPr>
      </w:pPr>
    </w:p>
    <w:p w:rsidR="004F03A8" w:rsidRPr="00FA3856" w:rsidRDefault="0056194C" w:rsidP="004F03A8">
      <w:pPr>
        <w:pStyle w:val="Corpodetexto"/>
        <w:rPr>
          <w:rFonts w:ascii="Times New Roman" w:hAnsi="Times New Roman"/>
          <w:b/>
          <w:color w:val="002060"/>
          <w:szCs w:val="20"/>
        </w:rPr>
      </w:pPr>
      <w:r w:rsidRPr="00FA3856">
        <w:rPr>
          <w:rFonts w:ascii="Times New Roman" w:hAnsi="Times New Roman"/>
          <w:b/>
          <w:color w:val="002060"/>
          <w:szCs w:val="20"/>
        </w:rPr>
        <w:t>|X351|</w:t>
      </w:r>
      <w:r w:rsidR="004F03A8" w:rsidRPr="00FA3856">
        <w:rPr>
          <w:rFonts w:ascii="Times New Roman" w:hAnsi="Times New Roman"/>
          <w:b/>
          <w:color w:val="002060"/>
          <w:szCs w:val="20"/>
        </w:rPr>
        <w:t>100000,00|250000,00|</w:t>
      </w:r>
      <w:r w:rsidRPr="00FA3856">
        <w:rPr>
          <w:rFonts w:ascii="Times New Roman" w:hAnsi="Times New Roman"/>
          <w:b/>
          <w:color w:val="002060"/>
          <w:szCs w:val="20"/>
        </w:rPr>
        <w:t>1000</w:t>
      </w:r>
      <w:r w:rsidR="004F03A8" w:rsidRPr="00FA3856">
        <w:rPr>
          <w:rFonts w:ascii="Times New Roman" w:hAnsi="Times New Roman"/>
          <w:b/>
          <w:color w:val="002060"/>
          <w:szCs w:val="20"/>
        </w:rPr>
        <w:t>0,00|</w:t>
      </w:r>
      <w:r w:rsidRPr="00FA3856">
        <w:rPr>
          <w:rFonts w:ascii="Times New Roman" w:hAnsi="Times New Roman"/>
          <w:b/>
          <w:color w:val="002060"/>
          <w:szCs w:val="20"/>
        </w:rPr>
        <w:t>9000</w:t>
      </w:r>
      <w:r w:rsidR="004F03A8" w:rsidRPr="00FA3856">
        <w:rPr>
          <w:rFonts w:ascii="Times New Roman" w:hAnsi="Times New Roman"/>
          <w:b/>
          <w:color w:val="002060"/>
          <w:szCs w:val="20"/>
        </w:rPr>
        <w:t>0,00|</w:t>
      </w:r>
      <w:r w:rsidRPr="00FA3856">
        <w:rPr>
          <w:rFonts w:ascii="Times New Roman" w:hAnsi="Times New Roman"/>
          <w:b/>
          <w:color w:val="002060"/>
          <w:szCs w:val="20"/>
        </w:rPr>
        <w:t>235000,00|</w:t>
      </w:r>
      <w:r w:rsidR="00BC4E27" w:rsidRPr="00FA3856">
        <w:rPr>
          <w:rFonts w:ascii="Times New Roman" w:hAnsi="Times New Roman"/>
          <w:b/>
          <w:color w:val="002060"/>
          <w:szCs w:val="20"/>
        </w:rPr>
        <w:t>50000,00|125000,00|20000,00|50000,00|</w:t>
      </w:r>
    </w:p>
    <w:p w:rsidR="004F03A8" w:rsidRPr="00FA3856" w:rsidRDefault="004F03A8" w:rsidP="004F03A8">
      <w:pPr>
        <w:pStyle w:val="Corpodetexto"/>
        <w:ind w:firstLine="708"/>
        <w:rPr>
          <w:rFonts w:ascii="Times New Roman" w:hAnsi="Times New Roman"/>
          <w:color w:val="002060"/>
          <w:szCs w:val="20"/>
        </w:rPr>
      </w:pPr>
      <w:r w:rsidRPr="00FA3856">
        <w:rPr>
          <w:rFonts w:ascii="Times New Roman" w:hAnsi="Times New Roman"/>
          <w:color w:val="002060"/>
          <w:szCs w:val="20"/>
        </w:rPr>
        <w:t>|X351|: Identificação do tipo do registro.</w:t>
      </w:r>
    </w:p>
    <w:p w:rsidR="004F03A8" w:rsidRPr="00FA3856" w:rsidRDefault="0056194C" w:rsidP="004F03A8">
      <w:pPr>
        <w:pStyle w:val="Corpodetexto"/>
        <w:ind w:firstLine="708"/>
        <w:rPr>
          <w:rFonts w:ascii="Times New Roman" w:hAnsi="Times New Roman"/>
          <w:color w:val="002060"/>
          <w:szCs w:val="20"/>
        </w:rPr>
      </w:pPr>
      <w:r w:rsidRPr="00FA3856">
        <w:rPr>
          <w:rFonts w:ascii="Times New Roman" w:hAnsi="Times New Roman"/>
          <w:color w:val="002060"/>
          <w:szCs w:val="20"/>
        </w:rPr>
        <w:t>|1</w:t>
      </w:r>
      <w:r w:rsidR="004F03A8" w:rsidRPr="00FA3856">
        <w:rPr>
          <w:rFonts w:ascii="Times New Roman" w:hAnsi="Times New Roman"/>
          <w:color w:val="002060"/>
          <w:szCs w:val="20"/>
        </w:rPr>
        <w:t xml:space="preserve">00000,00|: Resultado do período </w:t>
      </w:r>
      <w:r w:rsidRPr="00FA3856">
        <w:rPr>
          <w:rFonts w:ascii="Times New Roman" w:hAnsi="Times New Roman"/>
          <w:color w:val="002060"/>
          <w:szCs w:val="20"/>
        </w:rPr>
        <w:t xml:space="preserve">da própria investida </w:t>
      </w:r>
      <w:r w:rsidR="004F03A8" w:rsidRPr="00FA3856">
        <w:rPr>
          <w:rFonts w:ascii="Times New Roman" w:hAnsi="Times New Roman"/>
          <w:color w:val="002060"/>
          <w:szCs w:val="20"/>
        </w:rPr>
        <w:t>n</w:t>
      </w:r>
      <w:r w:rsidRPr="00FA3856">
        <w:rPr>
          <w:rFonts w:ascii="Times New Roman" w:hAnsi="Times New Roman"/>
          <w:color w:val="002060"/>
          <w:szCs w:val="20"/>
        </w:rPr>
        <w:t>a moeda do país de domicílio (</w:t>
      </w:r>
      <w:r w:rsidR="004F03A8" w:rsidRPr="00FA3856">
        <w:rPr>
          <w:rFonts w:ascii="Times New Roman" w:hAnsi="Times New Roman"/>
          <w:color w:val="002060"/>
          <w:szCs w:val="20"/>
        </w:rPr>
        <w:t>U$ 100.000,00).</w:t>
      </w:r>
    </w:p>
    <w:p w:rsidR="0056194C" w:rsidRPr="00FA3856" w:rsidRDefault="0056194C" w:rsidP="0056194C">
      <w:pPr>
        <w:pStyle w:val="Corpodetexto"/>
        <w:ind w:firstLine="708"/>
        <w:rPr>
          <w:rFonts w:ascii="Times New Roman" w:hAnsi="Times New Roman"/>
          <w:color w:val="002060"/>
          <w:szCs w:val="20"/>
        </w:rPr>
      </w:pPr>
      <w:r w:rsidRPr="00FA3856">
        <w:rPr>
          <w:rFonts w:ascii="Times New Roman" w:hAnsi="Times New Roman"/>
          <w:color w:val="002060"/>
          <w:szCs w:val="20"/>
        </w:rPr>
        <w:t>|250000,00|: Resultado do período da própria investida em reais (R$ 250.000,00).</w:t>
      </w:r>
    </w:p>
    <w:p w:rsidR="0056194C" w:rsidRPr="00FA3856" w:rsidRDefault="0056194C" w:rsidP="0056194C">
      <w:pPr>
        <w:pStyle w:val="Corpodetexto"/>
        <w:ind w:firstLine="708"/>
        <w:rPr>
          <w:rFonts w:ascii="Times New Roman" w:hAnsi="Times New Roman"/>
          <w:color w:val="002060"/>
          <w:szCs w:val="20"/>
        </w:rPr>
      </w:pPr>
      <w:r w:rsidRPr="00FA3856">
        <w:rPr>
          <w:rFonts w:ascii="Times New Roman" w:hAnsi="Times New Roman"/>
          <w:color w:val="002060"/>
          <w:szCs w:val="20"/>
        </w:rPr>
        <w:t>|10000,00|: Resultado negativo acumulado de anos anteriores na moeda do país de domicílio (U$ 10.000,00).</w:t>
      </w:r>
    </w:p>
    <w:p w:rsidR="0056194C" w:rsidRPr="00FA3856" w:rsidRDefault="0056194C" w:rsidP="0056194C">
      <w:pPr>
        <w:pStyle w:val="Corpodetexto"/>
        <w:ind w:firstLine="708"/>
        <w:rPr>
          <w:rFonts w:ascii="Times New Roman" w:hAnsi="Times New Roman"/>
          <w:color w:val="002060"/>
          <w:szCs w:val="20"/>
        </w:rPr>
      </w:pPr>
      <w:r w:rsidRPr="00FA3856">
        <w:rPr>
          <w:rFonts w:ascii="Times New Roman" w:hAnsi="Times New Roman"/>
          <w:color w:val="002060"/>
          <w:szCs w:val="20"/>
        </w:rPr>
        <w:t>|90000,00|: Resultado positivo a tributar na moeda do país de domicílio (U$ 90.000,00 = U$ 100.000,00 – U$ 10.000,00).</w:t>
      </w:r>
    </w:p>
    <w:p w:rsidR="0056194C" w:rsidRPr="00FA3856" w:rsidRDefault="0056194C" w:rsidP="0056194C">
      <w:pPr>
        <w:pStyle w:val="Corpodetexto"/>
        <w:ind w:firstLine="708"/>
        <w:rPr>
          <w:rFonts w:ascii="Times New Roman" w:hAnsi="Times New Roman"/>
          <w:color w:val="002060"/>
          <w:szCs w:val="20"/>
        </w:rPr>
      </w:pPr>
      <w:r w:rsidRPr="00FA3856">
        <w:rPr>
          <w:rFonts w:ascii="Times New Roman" w:hAnsi="Times New Roman"/>
          <w:color w:val="002060"/>
          <w:szCs w:val="20"/>
        </w:rPr>
        <w:t>|235000,00|: Resultado positivo a tributar em reais (R$ 235.000,00).</w:t>
      </w:r>
    </w:p>
    <w:p w:rsidR="00BC4E27" w:rsidRPr="00FA3856" w:rsidRDefault="00BC4E27" w:rsidP="0056194C">
      <w:pPr>
        <w:pStyle w:val="Corpodetexto"/>
        <w:ind w:firstLine="708"/>
        <w:rPr>
          <w:rFonts w:ascii="Times New Roman" w:hAnsi="Times New Roman"/>
          <w:color w:val="002060"/>
          <w:szCs w:val="20"/>
        </w:rPr>
      </w:pPr>
      <w:r w:rsidRPr="00FA3856">
        <w:rPr>
          <w:rFonts w:ascii="Times New Roman" w:hAnsi="Times New Roman"/>
          <w:color w:val="002060"/>
          <w:szCs w:val="20"/>
        </w:rPr>
        <w:t>|50000,00|: Imposto pago no país de domicílio na moeda do país de domicílio (U$ 50.000,00).</w:t>
      </w:r>
    </w:p>
    <w:p w:rsidR="00BC4E27" w:rsidRPr="00FA3856" w:rsidRDefault="00BC4E27" w:rsidP="00BC4E27">
      <w:pPr>
        <w:pStyle w:val="Corpodetexto"/>
        <w:ind w:firstLine="708"/>
        <w:rPr>
          <w:rFonts w:ascii="Times New Roman" w:hAnsi="Times New Roman"/>
          <w:color w:val="002060"/>
          <w:szCs w:val="20"/>
        </w:rPr>
      </w:pPr>
      <w:r w:rsidRPr="00FA3856">
        <w:rPr>
          <w:rFonts w:ascii="Times New Roman" w:hAnsi="Times New Roman"/>
          <w:color w:val="002060"/>
          <w:szCs w:val="20"/>
        </w:rPr>
        <w:t>|125000,00|: Imposto pago no país de domicílio na moeda do país de domicílio (R$ 125.000,00).</w:t>
      </w:r>
    </w:p>
    <w:p w:rsidR="00BC4E27" w:rsidRPr="00FA3856" w:rsidRDefault="00BC4E27" w:rsidP="00BC4E27">
      <w:pPr>
        <w:pStyle w:val="Corpodetexto"/>
        <w:ind w:firstLine="708"/>
        <w:rPr>
          <w:rFonts w:ascii="Times New Roman" w:hAnsi="Times New Roman"/>
          <w:color w:val="002060"/>
          <w:szCs w:val="20"/>
        </w:rPr>
      </w:pPr>
      <w:r w:rsidRPr="00FA3856">
        <w:rPr>
          <w:rFonts w:ascii="Times New Roman" w:hAnsi="Times New Roman"/>
          <w:color w:val="002060"/>
          <w:szCs w:val="20"/>
        </w:rPr>
        <w:t>|20000,00|: Imposto pago no exterior sobre rendimentos recebidos na moeda do país de domicílio (U$ 20.000,00).</w:t>
      </w:r>
    </w:p>
    <w:p w:rsidR="00BC4E27" w:rsidRPr="00FA3856" w:rsidRDefault="00BC4E27" w:rsidP="00BC4E27">
      <w:pPr>
        <w:pStyle w:val="Corpodetexto"/>
        <w:ind w:firstLine="708"/>
        <w:rPr>
          <w:rFonts w:ascii="Times New Roman" w:hAnsi="Times New Roman"/>
          <w:color w:val="002060"/>
          <w:szCs w:val="20"/>
        </w:rPr>
      </w:pPr>
      <w:r w:rsidRPr="00FA3856">
        <w:rPr>
          <w:rFonts w:ascii="Times New Roman" w:hAnsi="Times New Roman"/>
          <w:color w:val="002060"/>
          <w:szCs w:val="20"/>
        </w:rPr>
        <w:t>|50000,00|: Imposto pago no exterior sobre rendimentos recebidos em reais (R$ 50.000,00).</w:t>
      </w:r>
    </w:p>
    <w:p w:rsidR="00DA584F" w:rsidRPr="00FA3856" w:rsidRDefault="00DA584F">
      <w:pPr>
        <w:spacing w:after="200" w:line="276" w:lineRule="auto"/>
        <w:rPr>
          <w:b/>
          <w:bCs/>
          <w:color w:val="0000FF"/>
          <w:szCs w:val="20"/>
        </w:rPr>
      </w:pPr>
      <w:r w:rsidRPr="00FA3856">
        <w:rPr>
          <w:color w:val="0000FF"/>
          <w:szCs w:val="20"/>
        </w:rPr>
        <w:br w:type="page"/>
      </w:r>
    </w:p>
    <w:p w:rsidR="00FB7374" w:rsidRPr="00FA3856" w:rsidRDefault="00FB7374" w:rsidP="00867F54">
      <w:pPr>
        <w:pStyle w:val="Ttulo4"/>
      </w:pPr>
      <w:bookmarkStart w:id="400" w:name="_Toc479713803"/>
      <w:r w:rsidRPr="00FA3856">
        <w:lastRenderedPageBreak/>
        <w:t xml:space="preserve">Registro X352: Demonstrativo de Resultados no Exterior </w:t>
      </w:r>
      <w:r w:rsidR="003C4A97" w:rsidRPr="00FA3856">
        <w:t xml:space="preserve">Auferidos por Intermédio </w:t>
      </w:r>
      <w:r w:rsidRPr="00FA3856">
        <w:t>de Coligadas em Regime de Caixa</w:t>
      </w:r>
      <w:bookmarkEnd w:id="400"/>
    </w:p>
    <w:p w:rsidR="00FB7374" w:rsidRPr="00FA3856" w:rsidRDefault="00FB7374" w:rsidP="00FB7374">
      <w:pPr>
        <w:rPr>
          <w:szCs w:val="20"/>
        </w:rPr>
      </w:pPr>
    </w:p>
    <w:p w:rsidR="00FB7374" w:rsidRPr="00FA3856" w:rsidRDefault="00FB7374" w:rsidP="00FB7374">
      <w:pPr>
        <w:ind w:firstLine="708"/>
        <w:jc w:val="both"/>
        <w:rPr>
          <w:bCs/>
          <w:szCs w:val="20"/>
        </w:rPr>
      </w:pPr>
      <w:r w:rsidRPr="00FA3856">
        <w:rPr>
          <w:bCs/>
          <w:szCs w:val="20"/>
        </w:rPr>
        <w:t>Este registro deve ser preenchido pelas pessoas jurídicas para demonstrar os resultados no exterior de coligadas em regime de caixa.</w:t>
      </w:r>
    </w:p>
    <w:p w:rsidR="002D2867" w:rsidRPr="00FA3856" w:rsidRDefault="002D2867" w:rsidP="00FB7374">
      <w:pPr>
        <w:ind w:firstLine="708"/>
        <w:jc w:val="both"/>
        <w:rPr>
          <w:bCs/>
          <w:szCs w:val="20"/>
        </w:rPr>
      </w:pPr>
    </w:p>
    <w:p w:rsidR="002D2867" w:rsidRPr="00FA3856" w:rsidRDefault="002D2867" w:rsidP="002D2867">
      <w:pPr>
        <w:ind w:firstLine="708"/>
        <w:jc w:val="both"/>
        <w:rPr>
          <w:szCs w:val="20"/>
        </w:rPr>
      </w:pPr>
      <w:r w:rsidRPr="00FA3856">
        <w:rPr>
          <w:b/>
          <w:bCs/>
          <w:szCs w:val="20"/>
        </w:rPr>
        <w:t xml:space="preserve">Observação: </w:t>
      </w:r>
      <w:r w:rsidRPr="00FA3856">
        <w:rPr>
          <w:bCs/>
          <w:szCs w:val="20"/>
        </w:rPr>
        <w:t>Em X352.RES_PER, X352.RES_PER_REAL, X352.LUC_DISP e X352.LUC_DIPS_REAL deverá ser o valor total do resu</w:t>
      </w:r>
      <w:r w:rsidR="00DF20F8">
        <w:rPr>
          <w:bCs/>
          <w:szCs w:val="20"/>
        </w:rPr>
        <w:t xml:space="preserve">ltado (positivo ou negativo) e </w:t>
      </w:r>
      <w:r w:rsidRPr="00FA3856">
        <w:rPr>
          <w:bCs/>
          <w:szCs w:val="20"/>
        </w:rPr>
        <w:t xml:space="preserve">do lucro disponibilizado </w:t>
      </w:r>
      <w:r w:rsidRPr="00FA3856">
        <w:rPr>
          <w:szCs w:val="20"/>
        </w:rPr>
        <w:t>de cada controlada, direta ou indireta, equiparada ou coligada.</w:t>
      </w:r>
    </w:p>
    <w:p w:rsidR="003B3C7D" w:rsidRPr="00FA3856" w:rsidRDefault="003B3C7D" w:rsidP="002D2867">
      <w:pPr>
        <w:ind w:firstLine="708"/>
        <w:jc w:val="both"/>
        <w:rPr>
          <w:szCs w:val="20"/>
        </w:rPr>
      </w:pPr>
    </w:p>
    <w:p w:rsidR="003B3C7D" w:rsidRPr="00FA3856" w:rsidRDefault="003B3C7D" w:rsidP="003B3C7D">
      <w:pPr>
        <w:ind w:firstLine="708"/>
        <w:jc w:val="both"/>
        <w:rPr>
          <w:b/>
          <w:bCs/>
          <w:szCs w:val="20"/>
        </w:rPr>
      </w:pPr>
      <w:r w:rsidRPr="00FA3856">
        <w:rPr>
          <w:b/>
          <w:bCs/>
          <w:szCs w:val="20"/>
        </w:rPr>
        <w:t>Observação: Este demonstrativo é o que se refere o inciso VII do art. 35 da Instrução Normativa RFB n</w:t>
      </w:r>
      <w:r w:rsidRPr="00FA3856">
        <w:rPr>
          <w:b/>
          <w:bCs/>
          <w:szCs w:val="20"/>
          <w:u w:val="single"/>
          <w:vertAlign w:val="superscript"/>
        </w:rPr>
        <w:t>o</w:t>
      </w:r>
      <w:r w:rsidRPr="00FA3856">
        <w:rPr>
          <w:b/>
          <w:bCs/>
          <w:szCs w:val="20"/>
        </w:rPr>
        <w:t xml:space="preserve"> 1.520, de 4 de dezembro de 2014.</w:t>
      </w:r>
    </w:p>
    <w:p w:rsidR="00FB7374" w:rsidRDefault="00FB7374" w:rsidP="00FB7374">
      <w:pPr>
        <w:pStyle w:val="PSDS-MarcadoresNivel4"/>
        <w:tabs>
          <w:tab w:val="clear" w:pos="2271"/>
          <w:tab w:val="left" w:pos="720"/>
        </w:tabs>
        <w:spacing w:before="0" w:after="0"/>
        <w:ind w:left="0" w:firstLine="0"/>
        <w:rPr>
          <w:rFonts w:ascii="Times New Roman" w:hAnsi="Times New Roman" w:cs="Times New Roman"/>
          <w:szCs w:val="20"/>
          <w:lang w:val="pt-PT"/>
        </w:rPr>
      </w:pPr>
    </w:p>
    <w:p w:rsidR="00265C34" w:rsidRPr="00FA3856" w:rsidRDefault="00B35FA3" w:rsidP="00265C34">
      <w:pPr>
        <w:pStyle w:val="PSDS-MarcadoresNivel4"/>
        <w:tabs>
          <w:tab w:val="clear" w:pos="2271"/>
          <w:tab w:val="left" w:pos="720"/>
        </w:tabs>
        <w:spacing w:before="0" w:after="0"/>
        <w:ind w:left="0" w:firstLine="0"/>
        <w:jc w:val="center"/>
        <w:rPr>
          <w:rFonts w:ascii="Times New Roman" w:hAnsi="Times New Roman" w:cs="Times New Roman"/>
          <w:szCs w:val="20"/>
          <w:lang w:val="pt-PT"/>
        </w:rPr>
      </w:pPr>
      <w:r>
        <w:rPr>
          <w:rFonts w:ascii="Times New Roman" w:hAnsi="Times New Roman" w:cs="Times New Roman"/>
          <w:szCs w:val="20"/>
          <w:lang w:val="pt-PT"/>
        </w:rPr>
        <w:object w:dxaOrig="14835" w:dyaOrig="3525">
          <v:shape id="_x0000_i1965" type="#_x0000_t75" style="width:792.75pt;height:170.25pt" o:ole="">
            <v:imagedata r:id="rId723" o:title=""/>
          </v:shape>
          <o:OLEObject Type="Link" ProgID="Excel.Sheet.12" ShapeID="_x0000_i1965" DrawAspect="Content" r:id="rId724" UpdateMode="Always">
            <o:LinkType>EnhancedMetaFile</o:LinkType>
            <o:LockedField>false</o:LockedField>
          </o:OLEObject>
        </w:object>
      </w:r>
    </w:p>
    <w:p w:rsidR="00265C34" w:rsidRDefault="00265C34" w:rsidP="00FB7374">
      <w:pPr>
        <w:pStyle w:val="PSDS-MarcadoresNivel4"/>
        <w:tabs>
          <w:tab w:val="clear" w:pos="2271"/>
          <w:tab w:val="left" w:pos="720"/>
        </w:tabs>
        <w:spacing w:before="0" w:after="0"/>
        <w:ind w:left="0" w:firstLine="0"/>
        <w:rPr>
          <w:rFonts w:ascii="Times New Roman" w:hAnsi="Times New Roman" w:cs="Times New Roman"/>
          <w:szCs w:val="20"/>
          <w:lang w:val="pt-PT"/>
        </w:rPr>
      </w:pPr>
    </w:p>
    <w:p w:rsidR="00F72030" w:rsidRPr="00FA3856" w:rsidRDefault="00F72030" w:rsidP="00FB7374">
      <w:pPr>
        <w:pStyle w:val="PSDS-MarcadoresNivel4"/>
        <w:tabs>
          <w:tab w:val="clear" w:pos="2271"/>
          <w:tab w:val="left" w:pos="720"/>
        </w:tabs>
        <w:spacing w:before="0" w:after="0"/>
        <w:ind w:left="0" w:firstLine="0"/>
        <w:rPr>
          <w:rFonts w:ascii="Times New Roman" w:hAnsi="Times New Roman" w:cs="Times New Roman"/>
          <w:szCs w:val="20"/>
          <w:lang w:val="pt-PT"/>
        </w:rPr>
      </w:pPr>
      <w:r w:rsidRPr="00FA3856">
        <w:rPr>
          <w:rFonts w:ascii="Times New Roman" w:hAnsi="Times New Roman" w:cs="Times New Roman"/>
          <w:szCs w:val="20"/>
          <w:lang w:val="pt-PT"/>
        </w:rPr>
        <w:t>I – Regra de Validação de Registro:</w:t>
      </w:r>
    </w:p>
    <w:p w:rsidR="00F72030" w:rsidRPr="00FA3856" w:rsidRDefault="00F72030" w:rsidP="00FB7374">
      <w:pPr>
        <w:pStyle w:val="PSDS-MarcadoresNivel4"/>
        <w:tabs>
          <w:tab w:val="clear" w:pos="2271"/>
          <w:tab w:val="left" w:pos="720"/>
        </w:tabs>
        <w:spacing w:before="0" w:after="0"/>
        <w:ind w:left="0" w:firstLine="0"/>
        <w:rPr>
          <w:rFonts w:ascii="Times New Roman" w:hAnsi="Times New Roman" w:cs="Times New Roman"/>
          <w:szCs w:val="20"/>
          <w:lang w:val="pt-PT"/>
        </w:rPr>
      </w:pPr>
    </w:p>
    <w:p w:rsidR="00F72030" w:rsidRPr="00FA3856" w:rsidRDefault="00F72030" w:rsidP="00FB7374">
      <w:pPr>
        <w:pStyle w:val="PSDS-MarcadoresNivel4"/>
        <w:tabs>
          <w:tab w:val="clear" w:pos="2271"/>
          <w:tab w:val="left" w:pos="720"/>
        </w:tabs>
        <w:spacing w:before="0" w:after="0"/>
        <w:ind w:left="0" w:firstLine="0"/>
        <w:rPr>
          <w:rFonts w:ascii="Times New Roman" w:hAnsi="Times New Roman" w:cs="Times New Roman"/>
          <w:b w:val="0"/>
          <w:color w:val="000000"/>
          <w:szCs w:val="20"/>
          <w:lang w:val="pt-PT"/>
        </w:rPr>
      </w:pPr>
      <w:r w:rsidRPr="00FA3856">
        <w:rPr>
          <w:rFonts w:ascii="Times New Roman" w:hAnsi="Times New Roman" w:cs="Times New Roman"/>
          <w:bCs w:val="0"/>
          <w:szCs w:val="20"/>
        </w:rPr>
        <w:t xml:space="preserve">REGRA_X352_PREENCHER: </w:t>
      </w:r>
      <w:r w:rsidRPr="00FA3856">
        <w:rPr>
          <w:rFonts w:ascii="Times New Roman" w:hAnsi="Times New Roman" w:cs="Times New Roman"/>
          <w:b w:val="0"/>
          <w:bCs w:val="0"/>
          <w:szCs w:val="20"/>
        </w:rPr>
        <w:t>Este registro só ser preenchido/habilitado quando X340.</w:t>
      </w:r>
      <w:r w:rsidRPr="00FA3856">
        <w:rPr>
          <w:rFonts w:ascii="Times New Roman" w:hAnsi="Times New Roman" w:cs="Times New Roman"/>
          <w:b w:val="0"/>
          <w:color w:val="000000"/>
          <w:szCs w:val="20"/>
          <w:lang w:val="pt-PT"/>
        </w:rPr>
        <w:t>IND_CONTROLE for igual a “6” (Coligada em Regime de Caixa).</w:t>
      </w:r>
    </w:p>
    <w:p w:rsidR="004F03A8" w:rsidRPr="00FA3856" w:rsidRDefault="004F03A8" w:rsidP="004F03A8">
      <w:pPr>
        <w:pStyle w:val="Corpodetexto"/>
        <w:rPr>
          <w:rFonts w:ascii="Times New Roman" w:hAnsi="Times New Roman"/>
          <w:b/>
          <w:color w:val="002060"/>
          <w:szCs w:val="20"/>
        </w:rPr>
      </w:pPr>
    </w:p>
    <w:p w:rsidR="00265C34" w:rsidRDefault="002E2118" w:rsidP="004F03A8">
      <w:pPr>
        <w:pStyle w:val="Corpodetexto"/>
        <w:rPr>
          <w:rFonts w:ascii="Times New Roman" w:hAnsi="Times New Roman"/>
          <w:b/>
          <w:color w:val="002060"/>
          <w:szCs w:val="20"/>
        </w:rPr>
      </w:pPr>
      <w:r w:rsidRPr="00FA3856">
        <w:rPr>
          <w:rFonts w:ascii="Times New Roman" w:hAnsi="Times New Roman"/>
          <w:b/>
          <w:color w:val="002060"/>
          <w:szCs w:val="20"/>
        </w:rPr>
        <w:t xml:space="preserve">Exemplo de Preenchimento: </w:t>
      </w:r>
    </w:p>
    <w:p w:rsidR="00265C34" w:rsidRDefault="00265C34" w:rsidP="004F03A8">
      <w:pPr>
        <w:pStyle w:val="Corpodetexto"/>
        <w:rPr>
          <w:rFonts w:ascii="Times New Roman" w:hAnsi="Times New Roman"/>
          <w:b/>
          <w:color w:val="002060"/>
          <w:szCs w:val="20"/>
        </w:rPr>
      </w:pPr>
    </w:p>
    <w:p w:rsidR="004F03A8" w:rsidRPr="00FA3856" w:rsidRDefault="004F03A8" w:rsidP="004F03A8">
      <w:pPr>
        <w:pStyle w:val="Corpodetexto"/>
        <w:rPr>
          <w:rFonts w:ascii="Times New Roman" w:hAnsi="Times New Roman"/>
          <w:b/>
          <w:color w:val="002060"/>
          <w:szCs w:val="20"/>
        </w:rPr>
      </w:pPr>
      <w:r w:rsidRPr="00FA3856">
        <w:rPr>
          <w:rFonts w:ascii="Times New Roman" w:hAnsi="Times New Roman"/>
          <w:b/>
          <w:color w:val="002060"/>
          <w:szCs w:val="20"/>
        </w:rPr>
        <w:t>|X352|-100000,00|</w:t>
      </w:r>
      <w:r w:rsidR="0056194C" w:rsidRPr="00FA3856">
        <w:rPr>
          <w:rFonts w:ascii="Times New Roman" w:hAnsi="Times New Roman"/>
          <w:b/>
          <w:color w:val="002060"/>
          <w:szCs w:val="20"/>
        </w:rPr>
        <w:t>-</w:t>
      </w:r>
      <w:r w:rsidRPr="00FA3856">
        <w:rPr>
          <w:rFonts w:ascii="Times New Roman" w:hAnsi="Times New Roman"/>
          <w:b/>
          <w:color w:val="002060"/>
          <w:szCs w:val="20"/>
        </w:rPr>
        <w:t>250000,00|0,00|0,00|</w:t>
      </w:r>
    </w:p>
    <w:p w:rsidR="004F03A8" w:rsidRPr="00FA3856" w:rsidRDefault="004F03A8" w:rsidP="004F03A8">
      <w:pPr>
        <w:pStyle w:val="Corpodetexto"/>
        <w:ind w:firstLine="708"/>
        <w:rPr>
          <w:rFonts w:ascii="Times New Roman" w:hAnsi="Times New Roman"/>
          <w:color w:val="002060"/>
          <w:szCs w:val="20"/>
        </w:rPr>
      </w:pPr>
      <w:r w:rsidRPr="00FA3856">
        <w:rPr>
          <w:rFonts w:ascii="Times New Roman" w:hAnsi="Times New Roman"/>
          <w:color w:val="002060"/>
          <w:szCs w:val="20"/>
        </w:rPr>
        <w:t>|X352|: Identificação do tipo do registro.</w:t>
      </w:r>
    </w:p>
    <w:p w:rsidR="004F03A8" w:rsidRPr="00FA3856" w:rsidRDefault="004F03A8" w:rsidP="004F03A8">
      <w:pPr>
        <w:pStyle w:val="Corpodetexto"/>
        <w:ind w:firstLine="708"/>
        <w:rPr>
          <w:rFonts w:ascii="Times New Roman" w:hAnsi="Times New Roman"/>
          <w:color w:val="002060"/>
          <w:szCs w:val="20"/>
        </w:rPr>
      </w:pPr>
      <w:r w:rsidRPr="00FA3856">
        <w:rPr>
          <w:rFonts w:ascii="Times New Roman" w:hAnsi="Times New Roman"/>
          <w:color w:val="002060"/>
          <w:szCs w:val="20"/>
        </w:rPr>
        <w:t>|-100000,00|: Resultado do período na moeda do país de domicílio (- U$ 100.000,00 – resultado negativo).</w:t>
      </w:r>
    </w:p>
    <w:p w:rsidR="004F03A8" w:rsidRPr="00FA3856" w:rsidRDefault="004F03A8" w:rsidP="004F03A8">
      <w:pPr>
        <w:pStyle w:val="Corpodetexto"/>
        <w:ind w:firstLine="708"/>
        <w:rPr>
          <w:rFonts w:ascii="Times New Roman" w:hAnsi="Times New Roman"/>
          <w:color w:val="002060"/>
          <w:szCs w:val="20"/>
        </w:rPr>
      </w:pPr>
      <w:r w:rsidRPr="00FA3856">
        <w:rPr>
          <w:rFonts w:ascii="Times New Roman" w:hAnsi="Times New Roman"/>
          <w:color w:val="002060"/>
          <w:szCs w:val="20"/>
        </w:rPr>
        <w:t>|-250000,00|: Resultado do período em reais (- R$ 250.000,00 – resultado negativo).</w:t>
      </w:r>
    </w:p>
    <w:p w:rsidR="004F03A8" w:rsidRPr="00FA3856" w:rsidRDefault="004F03A8" w:rsidP="004F03A8">
      <w:pPr>
        <w:pStyle w:val="Corpodetexto"/>
        <w:ind w:firstLine="708"/>
        <w:rPr>
          <w:rFonts w:ascii="Times New Roman" w:hAnsi="Times New Roman"/>
          <w:color w:val="002060"/>
          <w:szCs w:val="20"/>
        </w:rPr>
      </w:pPr>
      <w:r w:rsidRPr="00FA3856">
        <w:rPr>
          <w:rFonts w:ascii="Times New Roman" w:hAnsi="Times New Roman"/>
          <w:color w:val="002060"/>
          <w:szCs w:val="20"/>
        </w:rPr>
        <w:t>|0,00|: Não houve lucro disponibilizado no período.</w:t>
      </w:r>
    </w:p>
    <w:p w:rsidR="004F03A8" w:rsidRPr="00FA3856" w:rsidRDefault="004F03A8" w:rsidP="004F03A8">
      <w:pPr>
        <w:pStyle w:val="Corpodetexto"/>
        <w:ind w:firstLine="708"/>
        <w:rPr>
          <w:rFonts w:ascii="Times New Roman" w:hAnsi="Times New Roman"/>
          <w:color w:val="002060"/>
          <w:szCs w:val="20"/>
        </w:rPr>
      </w:pPr>
      <w:r w:rsidRPr="00FA3856">
        <w:rPr>
          <w:rFonts w:ascii="Times New Roman" w:hAnsi="Times New Roman"/>
          <w:color w:val="002060"/>
          <w:szCs w:val="20"/>
        </w:rPr>
        <w:t>|0,00|: Não houve lucro disponibilizado no período.</w:t>
      </w:r>
    </w:p>
    <w:p w:rsidR="00265C34" w:rsidRDefault="00265C34">
      <w:pPr>
        <w:spacing w:after="200" w:line="276" w:lineRule="auto"/>
        <w:rPr>
          <w:b/>
          <w:bCs/>
          <w:color w:val="0000FF"/>
          <w:szCs w:val="20"/>
        </w:rPr>
      </w:pPr>
      <w:r>
        <w:rPr>
          <w:color w:val="0000FF"/>
          <w:szCs w:val="20"/>
        </w:rPr>
        <w:br w:type="page"/>
      </w:r>
    </w:p>
    <w:p w:rsidR="0081210D" w:rsidRPr="00FA3856" w:rsidRDefault="0081210D" w:rsidP="00867F54">
      <w:pPr>
        <w:pStyle w:val="Ttulo4"/>
      </w:pPr>
      <w:bookmarkStart w:id="401" w:name="_Toc479713804"/>
      <w:r w:rsidRPr="00FA3856">
        <w:lastRenderedPageBreak/>
        <w:t>Registro X353: Demonstrativo de Consolidação</w:t>
      </w:r>
      <w:bookmarkEnd w:id="401"/>
    </w:p>
    <w:p w:rsidR="0081210D" w:rsidRPr="00FA3856" w:rsidRDefault="0081210D" w:rsidP="0081210D">
      <w:pPr>
        <w:rPr>
          <w:szCs w:val="20"/>
        </w:rPr>
      </w:pPr>
    </w:p>
    <w:p w:rsidR="0081210D" w:rsidRPr="00FA3856" w:rsidRDefault="0081210D" w:rsidP="002D2867">
      <w:pPr>
        <w:ind w:firstLine="708"/>
        <w:jc w:val="both"/>
        <w:rPr>
          <w:szCs w:val="20"/>
        </w:rPr>
      </w:pPr>
      <w:r w:rsidRPr="00FA3856">
        <w:rPr>
          <w:bCs/>
          <w:szCs w:val="20"/>
        </w:rPr>
        <w:t>Este registro deve ser preenchido pelas pessoas jurídicas para demonstrar os resu</w:t>
      </w:r>
      <w:r w:rsidR="002D2867" w:rsidRPr="00FA3856">
        <w:rPr>
          <w:bCs/>
          <w:szCs w:val="20"/>
        </w:rPr>
        <w:t xml:space="preserve">ltados consolidados no exterior </w:t>
      </w:r>
      <w:r w:rsidR="002D2867" w:rsidRPr="00FA3856">
        <w:rPr>
          <w:szCs w:val="20"/>
        </w:rPr>
        <w:t>de controladas, diretas ou indiretas, equiparadas ou coligadas.</w:t>
      </w:r>
    </w:p>
    <w:p w:rsidR="003B3C7D" w:rsidRPr="00FA3856" w:rsidRDefault="003B3C7D" w:rsidP="002D2867">
      <w:pPr>
        <w:ind w:firstLine="708"/>
        <w:jc w:val="both"/>
        <w:rPr>
          <w:szCs w:val="20"/>
        </w:rPr>
      </w:pPr>
    </w:p>
    <w:p w:rsidR="003B3C7D" w:rsidRPr="00FA3856" w:rsidRDefault="003B3C7D" w:rsidP="003B3C7D">
      <w:pPr>
        <w:ind w:firstLine="708"/>
        <w:jc w:val="both"/>
        <w:rPr>
          <w:b/>
          <w:bCs/>
          <w:szCs w:val="20"/>
        </w:rPr>
      </w:pPr>
      <w:r w:rsidRPr="00FA3856">
        <w:rPr>
          <w:b/>
          <w:bCs/>
          <w:szCs w:val="20"/>
        </w:rPr>
        <w:t>Observação: Este demonstrativo é o que se refere o inciso II do art. 35 da Instrução Normativa RFB n</w:t>
      </w:r>
      <w:r w:rsidRPr="00FA3856">
        <w:rPr>
          <w:b/>
          <w:bCs/>
          <w:szCs w:val="20"/>
          <w:u w:val="single"/>
          <w:vertAlign w:val="superscript"/>
        </w:rPr>
        <w:t>o</w:t>
      </w:r>
      <w:r w:rsidRPr="00FA3856">
        <w:rPr>
          <w:b/>
          <w:bCs/>
          <w:szCs w:val="20"/>
        </w:rPr>
        <w:t xml:space="preserve"> 1.520, de 4 de dezembro de 2014.</w:t>
      </w:r>
    </w:p>
    <w:p w:rsidR="00356152" w:rsidRDefault="00356152" w:rsidP="0081210D">
      <w:pPr>
        <w:pStyle w:val="PSDS-MarcadoresNivel4"/>
        <w:tabs>
          <w:tab w:val="clear" w:pos="2271"/>
          <w:tab w:val="left" w:pos="720"/>
        </w:tabs>
        <w:spacing w:before="0" w:after="0"/>
        <w:ind w:left="0" w:firstLine="0"/>
        <w:rPr>
          <w:rFonts w:ascii="Times New Roman" w:hAnsi="Times New Roman" w:cs="Times New Roman"/>
          <w:szCs w:val="20"/>
          <w:lang w:val="pt-PT"/>
        </w:rPr>
      </w:pPr>
    </w:p>
    <w:p w:rsidR="00356152" w:rsidRDefault="00B35FA3" w:rsidP="00356152">
      <w:pPr>
        <w:pStyle w:val="PSDS-MarcadoresNivel4"/>
        <w:tabs>
          <w:tab w:val="clear" w:pos="2271"/>
          <w:tab w:val="left" w:pos="720"/>
        </w:tabs>
        <w:spacing w:before="0" w:after="0"/>
        <w:ind w:left="0" w:firstLine="0"/>
        <w:jc w:val="center"/>
        <w:rPr>
          <w:rFonts w:ascii="Times New Roman" w:hAnsi="Times New Roman" w:cs="Times New Roman"/>
          <w:szCs w:val="20"/>
          <w:lang w:val="pt-PT"/>
        </w:rPr>
      </w:pPr>
      <w:r>
        <w:rPr>
          <w:rFonts w:ascii="Times New Roman" w:hAnsi="Times New Roman" w:cs="Times New Roman"/>
          <w:szCs w:val="20"/>
          <w:lang w:val="pt-PT"/>
        </w:rPr>
        <w:object w:dxaOrig="14835" w:dyaOrig="3945">
          <v:shape id="_x0000_i1967" type="#_x0000_t75" style="width:792.75pt;height:189pt" o:ole="">
            <v:imagedata r:id="rId725" o:title=""/>
          </v:shape>
          <o:OLEObject Type="Link" ProgID="Excel.Sheet.12" ShapeID="_x0000_i1967" DrawAspect="Content" r:id="rId726" UpdateMode="Always">
            <o:LinkType>EnhancedMetaFile</o:LinkType>
            <o:LockedField>false</o:LockedField>
          </o:OLEObject>
        </w:object>
      </w:r>
    </w:p>
    <w:p w:rsidR="00356152" w:rsidRDefault="00356152" w:rsidP="0081210D">
      <w:pPr>
        <w:pStyle w:val="PSDS-MarcadoresNivel4"/>
        <w:tabs>
          <w:tab w:val="clear" w:pos="2271"/>
          <w:tab w:val="left" w:pos="720"/>
        </w:tabs>
        <w:spacing w:before="0" w:after="0"/>
        <w:ind w:left="0" w:firstLine="0"/>
        <w:rPr>
          <w:rFonts w:ascii="Times New Roman" w:hAnsi="Times New Roman" w:cs="Times New Roman"/>
          <w:szCs w:val="20"/>
          <w:lang w:val="pt-PT"/>
        </w:rPr>
      </w:pPr>
    </w:p>
    <w:p w:rsidR="0081210D" w:rsidRPr="00FA3856" w:rsidRDefault="0081210D" w:rsidP="0081210D">
      <w:pPr>
        <w:pStyle w:val="PSDS-MarcadoresNivel4"/>
        <w:tabs>
          <w:tab w:val="clear" w:pos="2271"/>
          <w:tab w:val="left" w:pos="720"/>
        </w:tabs>
        <w:spacing w:before="0" w:after="0"/>
        <w:ind w:left="0" w:firstLine="0"/>
        <w:rPr>
          <w:rFonts w:ascii="Times New Roman" w:hAnsi="Times New Roman" w:cs="Times New Roman"/>
          <w:szCs w:val="20"/>
          <w:lang w:val="pt-PT"/>
        </w:rPr>
      </w:pPr>
      <w:r w:rsidRPr="00FA3856">
        <w:rPr>
          <w:rFonts w:ascii="Times New Roman" w:hAnsi="Times New Roman" w:cs="Times New Roman"/>
          <w:szCs w:val="20"/>
          <w:lang w:val="pt-PT"/>
        </w:rPr>
        <w:t>I – Regra de Validação de Registro:</w:t>
      </w:r>
    </w:p>
    <w:p w:rsidR="0081210D" w:rsidRPr="00FA3856" w:rsidRDefault="0081210D" w:rsidP="0081210D">
      <w:pPr>
        <w:pStyle w:val="PSDS-MarcadoresNivel4"/>
        <w:tabs>
          <w:tab w:val="clear" w:pos="2271"/>
          <w:tab w:val="left" w:pos="720"/>
        </w:tabs>
        <w:spacing w:before="0" w:after="0"/>
        <w:ind w:left="0" w:firstLine="0"/>
        <w:rPr>
          <w:rFonts w:ascii="Times New Roman" w:hAnsi="Times New Roman" w:cs="Times New Roman"/>
          <w:szCs w:val="20"/>
          <w:lang w:val="pt-PT"/>
        </w:rPr>
      </w:pPr>
    </w:p>
    <w:p w:rsidR="0081210D" w:rsidRPr="00FA3856" w:rsidRDefault="0081210D" w:rsidP="0081210D">
      <w:pPr>
        <w:pStyle w:val="PSDS-MarcadoresNivel4"/>
        <w:tabs>
          <w:tab w:val="clear" w:pos="2271"/>
          <w:tab w:val="left" w:pos="720"/>
        </w:tabs>
        <w:spacing w:before="0" w:after="0"/>
        <w:ind w:left="0" w:firstLine="0"/>
        <w:rPr>
          <w:rFonts w:ascii="Times New Roman" w:hAnsi="Times New Roman" w:cs="Times New Roman"/>
          <w:b w:val="0"/>
          <w:color w:val="000000"/>
          <w:szCs w:val="20"/>
          <w:lang w:val="pt-PT"/>
        </w:rPr>
      </w:pPr>
      <w:r w:rsidRPr="00FA3856">
        <w:rPr>
          <w:rFonts w:ascii="Times New Roman" w:hAnsi="Times New Roman" w:cs="Times New Roman"/>
          <w:bCs w:val="0"/>
          <w:szCs w:val="20"/>
        </w:rPr>
        <w:t xml:space="preserve">REGRA_X353_PREENCHER: </w:t>
      </w:r>
      <w:r w:rsidRPr="00FA3856">
        <w:rPr>
          <w:rFonts w:ascii="Times New Roman" w:hAnsi="Times New Roman" w:cs="Times New Roman"/>
          <w:b w:val="0"/>
          <w:bCs w:val="0"/>
          <w:szCs w:val="20"/>
        </w:rPr>
        <w:t>Este registro só ser preenchido/habilitado quando X340.</w:t>
      </w:r>
      <w:r w:rsidRPr="00FA3856">
        <w:rPr>
          <w:rFonts w:ascii="Times New Roman" w:hAnsi="Times New Roman" w:cs="Times New Roman"/>
          <w:b w:val="0"/>
          <w:color w:val="000000"/>
          <w:szCs w:val="20"/>
          <w:lang w:val="pt-PT"/>
        </w:rPr>
        <w:t>IND_CONTROLE for diferente de “6” (Coligada em Regime de Caixa) e quando X340.IND_CONSOL igual a “S” (Sim).</w:t>
      </w:r>
    </w:p>
    <w:p w:rsidR="004F03A8" w:rsidRPr="00FA3856" w:rsidRDefault="004F03A8" w:rsidP="004F03A8">
      <w:pPr>
        <w:pStyle w:val="Corpodetexto"/>
        <w:rPr>
          <w:rFonts w:ascii="Times New Roman" w:hAnsi="Times New Roman"/>
          <w:b/>
          <w:color w:val="002060"/>
          <w:szCs w:val="20"/>
        </w:rPr>
      </w:pPr>
    </w:p>
    <w:p w:rsidR="00356152" w:rsidRDefault="002E2118" w:rsidP="004F03A8">
      <w:pPr>
        <w:pStyle w:val="Corpodetexto"/>
        <w:rPr>
          <w:rFonts w:ascii="Times New Roman" w:hAnsi="Times New Roman"/>
          <w:b/>
          <w:color w:val="002060"/>
          <w:szCs w:val="20"/>
        </w:rPr>
      </w:pPr>
      <w:r w:rsidRPr="00FA3856">
        <w:rPr>
          <w:rFonts w:ascii="Times New Roman" w:hAnsi="Times New Roman"/>
          <w:b/>
          <w:color w:val="002060"/>
          <w:szCs w:val="20"/>
        </w:rPr>
        <w:t xml:space="preserve">Exemplo de Preenchimento: </w:t>
      </w:r>
    </w:p>
    <w:p w:rsidR="00356152" w:rsidRDefault="00356152" w:rsidP="004F03A8">
      <w:pPr>
        <w:pStyle w:val="Corpodetexto"/>
        <w:rPr>
          <w:rFonts w:ascii="Times New Roman" w:hAnsi="Times New Roman"/>
          <w:b/>
          <w:color w:val="002060"/>
          <w:szCs w:val="20"/>
        </w:rPr>
      </w:pPr>
    </w:p>
    <w:p w:rsidR="004F03A8" w:rsidRPr="00FA3856" w:rsidRDefault="004F03A8" w:rsidP="004F03A8">
      <w:pPr>
        <w:pStyle w:val="Corpodetexto"/>
        <w:rPr>
          <w:rFonts w:ascii="Times New Roman" w:hAnsi="Times New Roman"/>
          <w:b/>
          <w:color w:val="002060"/>
          <w:szCs w:val="20"/>
        </w:rPr>
      </w:pPr>
      <w:r w:rsidRPr="00FA3856">
        <w:rPr>
          <w:rFonts w:ascii="Times New Roman" w:hAnsi="Times New Roman"/>
          <w:b/>
          <w:color w:val="002060"/>
          <w:szCs w:val="20"/>
        </w:rPr>
        <w:t>|X353|100000,00|250000,00|50000,00|125000,00|</w:t>
      </w:r>
    </w:p>
    <w:p w:rsidR="004F03A8" w:rsidRPr="00FA3856" w:rsidRDefault="004F03A8" w:rsidP="004F03A8">
      <w:pPr>
        <w:pStyle w:val="Corpodetexto"/>
        <w:ind w:firstLine="708"/>
        <w:rPr>
          <w:rFonts w:ascii="Times New Roman" w:hAnsi="Times New Roman"/>
          <w:color w:val="002060"/>
          <w:szCs w:val="20"/>
        </w:rPr>
      </w:pPr>
      <w:r w:rsidRPr="00FA3856">
        <w:rPr>
          <w:rFonts w:ascii="Times New Roman" w:hAnsi="Times New Roman"/>
          <w:color w:val="002060"/>
          <w:szCs w:val="20"/>
        </w:rPr>
        <w:t>|X353|: Identificação do tipo do registro.</w:t>
      </w:r>
    </w:p>
    <w:p w:rsidR="004F03A8" w:rsidRPr="00FA3856" w:rsidRDefault="004F03A8" w:rsidP="004F03A8">
      <w:pPr>
        <w:pStyle w:val="Corpodetexto"/>
        <w:ind w:firstLine="708"/>
        <w:rPr>
          <w:rFonts w:ascii="Times New Roman" w:hAnsi="Times New Roman"/>
          <w:color w:val="002060"/>
          <w:szCs w:val="20"/>
        </w:rPr>
      </w:pPr>
      <w:r w:rsidRPr="00FA3856">
        <w:rPr>
          <w:rFonts w:ascii="Times New Roman" w:hAnsi="Times New Roman"/>
          <w:color w:val="002060"/>
          <w:szCs w:val="20"/>
        </w:rPr>
        <w:t>|100000,00|: Resultado negativo utilizado na consolidação na moeda do país de domicílio (U$ 100.000,00).</w:t>
      </w:r>
    </w:p>
    <w:p w:rsidR="004F03A8" w:rsidRPr="00FA3856" w:rsidRDefault="004F03A8" w:rsidP="004F03A8">
      <w:pPr>
        <w:pStyle w:val="Corpodetexto"/>
        <w:ind w:firstLine="708"/>
        <w:rPr>
          <w:rFonts w:ascii="Times New Roman" w:hAnsi="Times New Roman"/>
          <w:color w:val="002060"/>
          <w:szCs w:val="20"/>
        </w:rPr>
      </w:pPr>
      <w:r w:rsidRPr="00FA3856">
        <w:rPr>
          <w:rFonts w:ascii="Times New Roman" w:hAnsi="Times New Roman"/>
          <w:color w:val="002060"/>
          <w:szCs w:val="20"/>
        </w:rPr>
        <w:t>|250000,00|: Resultado negativo utilizado na consolidação em reais (R$ 250.000,00).</w:t>
      </w:r>
    </w:p>
    <w:p w:rsidR="004F03A8" w:rsidRPr="00FA3856" w:rsidRDefault="004F03A8" w:rsidP="004F03A8">
      <w:pPr>
        <w:pStyle w:val="Corpodetexto"/>
        <w:ind w:firstLine="708"/>
        <w:rPr>
          <w:rFonts w:ascii="Times New Roman" w:hAnsi="Times New Roman"/>
          <w:color w:val="002060"/>
          <w:szCs w:val="20"/>
        </w:rPr>
      </w:pPr>
      <w:r w:rsidRPr="00FA3856">
        <w:rPr>
          <w:rFonts w:ascii="Times New Roman" w:hAnsi="Times New Roman"/>
          <w:color w:val="002060"/>
          <w:szCs w:val="20"/>
        </w:rPr>
        <w:t>|50000,00|: Resultado negativo não utilizado na moeda do país de domicílio (U$ 50.000,00).</w:t>
      </w:r>
    </w:p>
    <w:p w:rsidR="004F03A8" w:rsidRPr="00FA3856" w:rsidRDefault="004F03A8" w:rsidP="004F03A8">
      <w:pPr>
        <w:pStyle w:val="Corpodetexto"/>
        <w:ind w:firstLine="708"/>
        <w:rPr>
          <w:rFonts w:ascii="Times New Roman" w:hAnsi="Times New Roman"/>
          <w:color w:val="002060"/>
          <w:szCs w:val="20"/>
        </w:rPr>
      </w:pPr>
      <w:r w:rsidRPr="00FA3856">
        <w:rPr>
          <w:rFonts w:ascii="Times New Roman" w:hAnsi="Times New Roman"/>
          <w:color w:val="002060"/>
          <w:szCs w:val="20"/>
        </w:rPr>
        <w:t>|125000,00|: Resultado negativo não utilizado em reais (R$ 125.000,00).</w:t>
      </w:r>
    </w:p>
    <w:p w:rsidR="004F03A8" w:rsidRPr="00FA3856" w:rsidRDefault="004F03A8" w:rsidP="004F03A8">
      <w:pPr>
        <w:pStyle w:val="Corpodetexto"/>
        <w:ind w:firstLine="708"/>
        <w:rPr>
          <w:rFonts w:ascii="Times New Roman" w:hAnsi="Times New Roman"/>
          <w:color w:val="002060"/>
          <w:szCs w:val="20"/>
        </w:rPr>
      </w:pPr>
    </w:p>
    <w:p w:rsidR="002E2118" w:rsidRPr="00FA3856" w:rsidRDefault="002E2118">
      <w:pPr>
        <w:spacing w:after="200" w:line="276" w:lineRule="auto"/>
        <w:rPr>
          <w:b/>
          <w:bCs/>
          <w:color w:val="0000FF"/>
          <w:szCs w:val="20"/>
        </w:rPr>
      </w:pPr>
      <w:r w:rsidRPr="00FA3856">
        <w:rPr>
          <w:color w:val="0000FF"/>
          <w:szCs w:val="20"/>
        </w:rPr>
        <w:br w:type="page"/>
      </w:r>
    </w:p>
    <w:p w:rsidR="00F72030" w:rsidRPr="00FA3856" w:rsidRDefault="00F72030" w:rsidP="00867F54">
      <w:pPr>
        <w:pStyle w:val="Ttulo4"/>
      </w:pPr>
      <w:bookmarkStart w:id="402" w:name="_Toc479713805"/>
      <w:r w:rsidRPr="00FA3856">
        <w:lastRenderedPageBreak/>
        <w:t xml:space="preserve">Registro </w:t>
      </w:r>
      <w:r w:rsidR="0081210D" w:rsidRPr="00FA3856">
        <w:t>X354</w:t>
      </w:r>
      <w:r w:rsidRPr="00FA3856">
        <w:t>: Demonstrativo de Prejuízos Acumulados</w:t>
      </w:r>
      <w:bookmarkEnd w:id="402"/>
    </w:p>
    <w:p w:rsidR="00F72030" w:rsidRPr="00FA3856" w:rsidRDefault="00F72030" w:rsidP="00F72030">
      <w:pPr>
        <w:rPr>
          <w:szCs w:val="20"/>
        </w:rPr>
      </w:pPr>
    </w:p>
    <w:p w:rsidR="00F72030" w:rsidRPr="00FA3856" w:rsidRDefault="00F72030" w:rsidP="002D2867">
      <w:pPr>
        <w:ind w:firstLine="708"/>
        <w:jc w:val="both"/>
        <w:rPr>
          <w:bCs/>
          <w:szCs w:val="20"/>
        </w:rPr>
      </w:pPr>
      <w:r w:rsidRPr="00FA3856">
        <w:rPr>
          <w:bCs/>
          <w:szCs w:val="20"/>
        </w:rPr>
        <w:t>Este registro deve ser preenchido pelas pessoas jurídicas para dem</w:t>
      </w:r>
      <w:r w:rsidR="002D2867" w:rsidRPr="00FA3856">
        <w:rPr>
          <w:bCs/>
          <w:szCs w:val="20"/>
        </w:rPr>
        <w:t xml:space="preserve">onstrar os prejuízos acumulados no exterior </w:t>
      </w:r>
      <w:r w:rsidR="002D2867" w:rsidRPr="00FA3856">
        <w:rPr>
          <w:szCs w:val="20"/>
        </w:rPr>
        <w:t>de controladas, diretas ou indiretas, equiparadas ou coligadas.</w:t>
      </w:r>
    </w:p>
    <w:p w:rsidR="00F12B2A" w:rsidRPr="00FA3856" w:rsidRDefault="00F12B2A" w:rsidP="00F72030">
      <w:pPr>
        <w:ind w:firstLine="708"/>
        <w:jc w:val="both"/>
        <w:rPr>
          <w:bCs/>
          <w:szCs w:val="20"/>
        </w:rPr>
      </w:pPr>
    </w:p>
    <w:p w:rsidR="00F12B2A" w:rsidRPr="00FA3856" w:rsidRDefault="00F12B2A" w:rsidP="00F72030">
      <w:pPr>
        <w:ind w:firstLine="708"/>
        <w:jc w:val="both"/>
        <w:rPr>
          <w:szCs w:val="20"/>
        </w:rPr>
      </w:pPr>
      <w:r w:rsidRPr="00FA3856">
        <w:rPr>
          <w:b/>
          <w:bCs/>
          <w:szCs w:val="20"/>
        </w:rPr>
        <w:t xml:space="preserve">Observação: </w:t>
      </w:r>
      <w:r w:rsidRPr="00FA3856">
        <w:rPr>
          <w:bCs/>
          <w:szCs w:val="20"/>
        </w:rPr>
        <w:t>Em X354.RES_NEG deverá ser o va</w:t>
      </w:r>
      <w:r w:rsidR="00E5513F" w:rsidRPr="00FA3856">
        <w:rPr>
          <w:bCs/>
          <w:szCs w:val="20"/>
        </w:rPr>
        <w:t xml:space="preserve">lor total do resultado negativo </w:t>
      </w:r>
      <w:r w:rsidR="00E5513F" w:rsidRPr="00FA3856">
        <w:rPr>
          <w:szCs w:val="20"/>
        </w:rPr>
        <w:t>de cada controlada, direta ou indireta, equiparada ou coligada.</w:t>
      </w:r>
    </w:p>
    <w:p w:rsidR="003B3C7D" w:rsidRPr="00FA3856" w:rsidRDefault="003B3C7D" w:rsidP="00F72030">
      <w:pPr>
        <w:ind w:firstLine="708"/>
        <w:jc w:val="both"/>
        <w:rPr>
          <w:szCs w:val="20"/>
        </w:rPr>
      </w:pPr>
    </w:p>
    <w:p w:rsidR="003B3C7D" w:rsidRPr="00FA3856" w:rsidRDefault="003B3C7D" w:rsidP="003B3C7D">
      <w:pPr>
        <w:ind w:firstLine="708"/>
        <w:jc w:val="both"/>
        <w:rPr>
          <w:b/>
          <w:bCs/>
          <w:szCs w:val="20"/>
        </w:rPr>
      </w:pPr>
      <w:r w:rsidRPr="00FA3856">
        <w:rPr>
          <w:b/>
          <w:bCs/>
          <w:szCs w:val="20"/>
        </w:rPr>
        <w:t>Observação: Este demonstrativo é o que se refere o inciso III do art. 35 da Instrução Normativa RFB n</w:t>
      </w:r>
      <w:r w:rsidRPr="00FA3856">
        <w:rPr>
          <w:b/>
          <w:bCs/>
          <w:szCs w:val="20"/>
          <w:u w:val="single"/>
          <w:vertAlign w:val="superscript"/>
        </w:rPr>
        <w:t>o</w:t>
      </w:r>
      <w:r w:rsidRPr="00FA3856">
        <w:rPr>
          <w:b/>
          <w:bCs/>
          <w:szCs w:val="20"/>
        </w:rPr>
        <w:t xml:space="preserve"> 1.520, de 4 de dezembro de 2014.</w:t>
      </w:r>
    </w:p>
    <w:p w:rsidR="00F72030" w:rsidRDefault="00F72030" w:rsidP="00F72030">
      <w:pPr>
        <w:pStyle w:val="PSDS-MarcadoresNivel4"/>
        <w:tabs>
          <w:tab w:val="clear" w:pos="2271"/>
          <w:tab w:val="left" w:pos="720"/>
        </w:tabs>
        <w:spacing w:before="0" w:after="0"/>
        <w:ind w:left="0" w:firstLine="0"/>
        <w:rPr>
          <w:rFonts w:ascii="Times New Roman" w:hAnsi="Times New Roman" w:cs="Times New Roman"/>
          <w:szCs w:val="20"/>
          <w:lang w:val="pt-PT"/>
        </w:rPr>
      </w:pPr>
    </w:p>
    <w:p w:rsidR="00356152" w:rsidRPr="00FA3856" w:rsidRDefault="00B35FA3" w:rsidP="00356152">
      <w:pPr>
        <w:pStyle w:val="PSDS-MarcadoresNivel4"/>
        <w:tabs>
          <w:tab w:val="clear" w:pos="2271"/>
          <w:tab w:val="left" w:pos="720"/>
        </w:tabs>
        <w:spacing w:before="0" w:after="0"/>
        <w:ind w:left="0" w:firstLine="0"/>
        <w:jc w:val="center"/>
        <w:rPr>
          <w:rFonts w:ascii="Times New Roman" w:hAnsi="Times New Roman" w:cs="Times New Roman"/>
          <w:szCs w:val="20"/>
          <w:lang w:val="pt-PT"/>
        </w:rPr>
      </w:pPr>
      <w:r>
        <w:rPr>
          <w:rFonts w:ascii="Times New Roman" w:hAnsi="Times New Roman" w:cs="Times New Roman"/>
          <w:szCs w:val="20"/>
          <w:lang w:val="pt-PT"/>
        </w:rPr>
        <w:object w:dxaOrig="14835" w:dyaOrig="3420">
          <v:shape id="_x0000_i1969" type="#_x0000_t75" style="width:792.75pt;height:165.75pt" o:ole="">
            <v:imagedata r:id="rId727" o:title=""/>
          </v:shape>
          <o:OLEObject Type="Link" ProgID="Excel.Sheet.12" ShapeID="_x0000_i1969" DrawAspect="Content" r:id="rId728" UpdateMode="Always">
            <o:LinkType>EnhancedMetaFile</o:LinkType>
            <o:LockedField>false</o:LockedField>
          </o:OLEObject>
        </w:object>
      </w:r>
    </w:p>
    <w:p w:rsidR="00356152" w:rsidRDefault="00356152" w:rsidP="00F72030">
      <w:pPr>
        <w:pStyle w:val="PSDS-MarcadoresNivel4"/>
        <w:tabs>
          <w:tab w:val="clear" w:pos="2271"/>
          <w:tab w:val="left" w:pos="720"/>
        </w:tabs>
        <w:spacing w:before="0" w:after="0"/>
        <w:ind w:left="0" w:firstLine="0"/>
        <w:rPr>
          <w:rFonts w:ascii="Times New Roman" w:hAnsi="Times New Roman" w:cs="Times New Roman"/>
          <w:szCs w:val="20"/>
          <w:lang w:val="pt-PT"/>
        </w:rPr>
      </w:pPr>
    </w:p>
    <w:p w:rsidR="00F72030" w:rsidRPr="00FA3856" w:rsidRDefault="00F72030" w:rsidP="00F72030">
      <w:pPr>
        <w:pStyle w:val="PSDS-MarcadoresNivel4"/>
        <w:tabs>
          <w:tab w:val="clear" w:pos="2271"/>
          <w:tab w:val="left" w:pos="720"/>
        </w:tabs>
        <w:spacing w:before="0" w:after="0"/>
        <w:ind w:left="0" w:firstLine="0"/>
        <w:rPr>
          <w:rFonts w:ascii="Times New Roman" w:hAnsi="Times New Roman" w:cs="Times New Roman"/>
          <w:szCs w:val="20"/>
          <w:lang w:val="pt-PT"/>
        </w:rPr>
      </w:pPr>
      <w:r w:rsidRPr="00FA3856">
        <w:rPr>
          <w:rFonts w:ascii="Times New Roman" w:hAnsi="Times New Roman" w:cs="Times New Roman"/>
          <w:szCs w:val="20"/>
          <w:lang w:val="pt-PT"/>
        </w:rPr>
        <w:t>I – Regra de Validação de Registro:</w:t>
      </w:r>
    </w:p>
    <w:p w:rsidR="00F72030" w:rsidRPr="00FA3856" w:rsidRDefault="00F72030" w:rsidP="00F72030">
      <w:pPr>
        <w:pStyle w:val="PSDS-MarcadoresNivel4"/>
        <w:tabs>
          <w:tab w:val="clear" w:pos="2271"/>
          <w:tab w:val="left" w:pos="720"/>
        </w:tabs>
        <w:spacing w:before="0" w:after="0"/>
        <w:ind w:left="0" w:firstLine="0"/>
        <w:rPr>
          <w:rFonts w:ascii="Times New Roman" w:hAnsi="Times New Roman" w:cs="Times New Roman"/>
          <w:szCs w:val="20"/>
          <w:lang w:val="pt-PT"/>
        </w:rPr>
      </w:pPr>
    </w:p>
    <w:p w:rsidR="00F72030" w:rsidRPr="00FA3856" w:rsidRDefault="002E2118" w:rsidP="00F72030">
      <w:pPr>
        <w:pStyle w:val="PSDS-MarcadoresNivel4"/>
        <w:tabs>
          <w:tab w:val="clear" w:pos="2271"/>
          <w:tab w:val="left" w:pos="720"/>
        </w:tabs>
        <w:spacing w:before="0" w:after="0"/>
        <w:ind w:left="0" w:firstLine="0"/>
        <w:rPr>
          <w:rFonts w:ascii="Times New Roman" w:hAnsi="Times New Roman" w:cs="Times New Roman"/>
          <w:b w:val="0"/>
          <w:color w:val="000000"/>
          <w:szCs w:val="20"/>
          <w:lang w:val="pt-PT"/>
        </w:rPr>
      </w:pPr>
      <w:r w:rsidRPr="00FA3856">
        <w:rPr>
          <w:rFonts w:ascii="Times New Roman" w:hAnsi="Times New Roman" w:cs="Times New Roman"/>
          <w:bCs w:val="0"/>
          <w:szCs w:val="20"/>
        </w:rPr>
        <w:tab/>
      </w:r>
      <w:r w:rsidR="0081210D" w:rsidRPr="00FA3856">
        <w:rPr>
          <w:rFonts w:ascii="Times New Roman" w:hAnsi="Times New Roman" w:cs="Times New Roman"/>
          <w:bCs w:val="0"/>
          <w:szCs w:val="20"/>
        </w:rPr>
        <w:t>REGRA_X354</w:t>
      </w:r>
      <w:r w:rsidR="00F72030" w:rsidRPr="00FA3856">
        <w:rPr>
          <w:rFonts w:ascii="Times New Roman" w:hAnsi="Times New Roman" w:cs="Times New Roman"/>
          <w:bCs w:val="0"/>
          <w:szCs w:val="20"/>
        </w:rPr>
        <w:t xml:space="preserve">_PREENCHER: </w:t>
      </w:r>
      <w:r w:rsidR="00F72030" w:rsidRPr="00FA3856">
        <w:rPr>
          <w:rFonts w:ascii="Times New Roman" w:hAnsi="Times New Roman" w:cs="Times New Roman"/>
          <w:b w:val="0"/>
          <w:bCs w:val="0"/>
          <w:szCs w:val="20"/>
        </w:rPr>
        <w:t>Este registro só ser preenchido/habilitado quando X340.</w:t>
      </w:r>
      <w:r w:rsidR="00F72030" w:rsidRPr="00FA3856">
        <w:rPr>
          <w:rFonts w:ascii="Times New Roman" w:hAnsi="Times New Roman" w:cs="Times New Roman"/>
          <w:b w:val="0"/>
          <w:color w:val="000000"/>
          <w:szCs w:val="20"/>
          <w:lang w:val="pt-PT"/>
        </w:rPr>
        <w:t>IND_CONTROLE for diferente de “6” (Coligada em Regime de Caixa).</w:t>
      </w:r>
    </w:p>
    <w:p w:rsidR="00C0502A" w:rsidRPr="00FA3856" w:rsidRDefault="00C0502A" w:rsidP="00C0502A">
      <w:pPr>
        <w:pStyle w:val="Corpodetexto"/>
        <w:rPr>
          <w:rFonts w:ascii="Times New Roman" w:hAnsi="Times New Roman"/>
          <w:b/>
          <w:color w:val="002060"/>
          <w:szCs w:val="20"/>
        </w:rPr>
      </w:pPr>
    </w:p>
    <w:p w:rsidR="00356152" w:rsidRDefault="002E2118" w:rsidP="00C0502A">
      <w:pPr>
        <w:pStyle w:val="Corpodetexto"/>
        <w:rPr>
          <w:rFonts w:ascii="Times New Roman" w:hAnsi="Times New Roman"/>
          <w:b/>
          <w:color w:val="002060"/>
          <w:szCs w:val="20"/>
        </w:rPr>
      </w:pPr>
      <w:r w:rsidRPr="00FA3856">
        <w:rPr>
          <w:rFonts w:ascii="Times New Roman" w:hAnsi="Times New Roman"/>
          <w:b/>
          <w:color w:val="002060"/>
          <w:szCs w:val="20"/>
        </w:rPr>
        <w:t xml:space="preserve">Exemplo de Preenchimento: </w:t>
      </w:r>
    </w:p>
    <w:p w:rsidR="00356152" w:rsidRDefault="00356152" w:rsidP="00C0502A">
      <w:pPr>
        <w:pStyle w:val="Corpodetexto"/>
        <w:rPr>
          <w:rFonts w:ascii="Times New Roman" w:hAnsi="Times New Roman"/>
          <w:b/>
          <w:color w:val="002060"/>
          <w:szCs w:val="20"/>
        </w:rPr>
      </w:pPr>
    </w:p>
    <w:p w:rsidR="00C0502A" w:rsidRPr="00FA3856" w:rsidRDefault="00C0502A" w:rsidP="00C0502A">
      <w:pPr>
        <w:pStyle w:val="Corpodetexto"/>
        <w:rPr>
          <w:rFonts w:ascii="Times New Roman" w:hAnsi="Times New Roman"/>
          <w:b/>
          <w:color w:val="002060"/>
          <w:szCs w:val="20"/>
        </w:rPr>
      </w:pPr>
      <w:r w:rsidRPr="00FA3856">
        <w:rPr>
          <w:rFonts w:ascii="Times New Roman" w:hAnsi="Times New Roman"/>
          <w:b/>
          <w:color w:val="002060"/>
          <w:szCs w:val="20"/>
        </w:rPr>
        <w:t>|X354|100000,00|250000,00|50000,00|</w:t>
      </w:r>
    </w:p>
    <w:p w:rsidR="00C0502A" w:rsidRPr="00FA3856" w:rsidRDefault="00C0502A" w:rsidP="00C0502A">
      <w:pPr>
        <w:pStyle w:val="Corpodetexto"/>
        <w:ind w:firstLine="708"/>
        <w:rPr>
          <w:rFonts w:ascii="Times New Roman" w:hAnsi="Times New Roman"/>
          <w:color w:val="002060"/>
          <w:szCs w:val="20"/>
        </w:rPr>
      </w:pPr>
      <w:r w:rsidRPr="00FA3856">
        <w:rPr>
          <w:rFonts w:ascii="Times New Roman" w:hAnsi="Times New Roman"/>
          <w:color w:val="002060"/>
          <w:szCs w:val="20"/>
        </w:rPr>
        <w:t>|X354|: Identificação do tipo do registro.</w:t>
      </w:r>
    </w:p>
    <w:p w:rsidR="00C0502A" w:rsidRPr="00FA3856" w:rsidRDefault="00C0502A" w:rsidP="00C0502A">
      <w:pPr>
        <w:pStyle w:val="Corpodetexto"/>
        <w:ind w:firstLine="708"/>
        <w:rPr>
          <w:rFonts w:ascii="Times New Roman" w:hAnsi="Times New Roman"/>
          <w:color w:val="002060"/>
          <w:szCs w:val="20"/>
        </w:rPr>
      </w:pPr>
      <w:r w:rsidRPr="00FA3856">
        <w:rPr>
          <w:rFonts w:ascii="Times New Roman" w:hAnsi="Times New Roman"/>
          <w:color w:val="002060"/>
          <w:szCs w:val="20"/>
        </w:rPr>
        <w:t>|100000,00|: Resultado negativo de períodos anteriores a 2015 e a 2014 em moeda do país de domicilio (U$ 100.000,00).</w:t>
      </w:r>
    </w:p>
    <w:p w:rsidR="00C0502A" w:rsidRPr="00FA3856" w:rsidRDefault="00C0502A" w:rsidP="00C0502A">
      <w:pPr>
        <w:pStyle w:val="Corpodetexto"/>
        <w:ind w:firstLine="708"/>
        <w:rPr>
          <w:rFonts w:ascii="Times New Roman" w:hAnsi="Times New Roman"/>
          <w:color w:val="002060"/>
          <w:szCs w:val="20"/>
        </w:rPr>
      </w:pPr>
      <w:r w:rsidRPr="00FA3856">
        <w:rPr>
          <w:rFonts w:ascii="Times New Roman" w:hAnsi="Times New Roman"/>
          <w:color w:val="002060"/>
          <w:szCs w:val="20"/>
        </w:rPr>
        <w:t>|50000,00|: Saldo do resultado negativo acumulado em moeda do país de domicílio (U$ 50.000,00).</w:t>
      </w:r>
    </w:p>
    <w:p w:rsidR="00C0502A" w:rsidRPr="00FA3856" w:rsidRDefault="00C0502A" w:rsidP="00C0502A">
      <w:pPr>
        <w:pStyle w:val="Corpodetexto"/>
        <w:ind w:firstLine="708"/>
        <w:rPr>
          <w:rFonts w:ascii="Times New Roman" w:hAnsi="Times New Roman"/>
          <w:color w:val="002060"/>
          <w:szCs w:val="20"/>
        </w:rPr>
      </w:pPr>
    </w:p>
    <w:p w:rsidR="00C0502A" w:rsidRPr="00FA3856" w:rsidRDefault="00C0502A" w:rsidP="00FB7374">
      <w:pPr>
        <w:rPr>
          <w:color w:val="0000FF"/>
          <w:szCs w:val="20"/>
        </w:rPr>
      </w:pPr>
    </w:p>
    <w:p w:rsidR="0081210D" w:rsidRPr="00FA3856" w:rsidRDefault="0081210D">
      <w:pPr>
        <w:spacing w:after="200" w:line="276" w:lineRule="auto"/>
        <w:rPr>
          <w:b/>
          <w:bCs/>
          <w:color w:val="0000FF"/>
          <w:szCs w:val="20"/>
        </w:rPr>
      </w:pPr>
      <w:r w:rsidRPr="00FA3856">
        <w:rPr>
          <w:color w:val="0000FF"/>
          <w:szCs w:val="20"/>
        </w:rPr>
        <w:br w:type="page"/>
      </w:r>
    </w:p>
    <w:p w:rsidR="0081210D" w:rsidRPr="00FA3856" w:rsidRDefault="0081210D" w:rsidP="00867F54">
      <w:pPr>
        <w:pStyle w:val="Ttulo4"/>
      </w:pPr>
      <w:bookmarkStart w:id="403" w:name="_Toc479713806"/>
      <w:r w:rsidRPr="00FA3856">
        <w:lastRenderedPageBreak/>
        <w:t>Registro X355: Demonstrativo de Rendas Ativas e Passivas</w:t>
      </w:r>
      <w:bookmarkEnd w:id="403"/>
    </w:p>
    <w:p w:rsidR="0081210D" w:rsidRPr="00FA3856" w:rsidRDefault="0081210D" w:rsidP="0081210D">
      <w:pPr>
        <w:rPr>
          <w:szCs w:val="20"/>
        </w:rPr>
      </w:pPr>
    </w:p>
    <w:p w:rsidR="002D2867" w:rsidRDefault="0081210D" w:rsidP="002D2867">
      <w:pPr>
        <w:ind w:firstLine="708"/>
        <w:jc w:val="both"/>
        <w:rPr>
          <w:szCs w:val="20"/>
        </w:rPr>
      </w:pPr>
      <w:r w:rsidRPr="00FA3856">
        <w:rPr>
          <w:bCs/>
          <w:szCs w:val="20"/>
        </w:rPr>
        <w:t>Este registro deve ser preenchido pelas pessoas jurídicas para demonst</w:t>
      </w:r>
      <w:r w:rsidR="002D2867" w:rsidRPr="00FA3856">
        <w:rPr>
          <w:bCs/>
          <w:szCs w:val="20"/>
        </w:rPr>
        <w:t xml:space="preserve">rar as rendas ativas e passivas no exterior provenientes </w:t>
      </w:r>
      <w:r w:rsidR="002D2867" w:rsidRPr="00FA3856">
        <w:rPr>
          <w:szCs w:val="20"/>
        </w:rPr>
        <w:t>de controladas, diretas ou indiretas, equiparadas ou coligadas.</w:t>
      </w:r>
    </w:p>
    <w:p w:rsidR="007B05BB" w:rsidRDefault="007B05BB" w:rsidP="002D2867">
      <w:pPr>
        <w:ind w:firstLine="708"/>
        <w:jc w:val="both"/>
        <w:rPr>
          <w:szCs w:val="20"/>
        </w:rPr>
      </w:pPr>
    </w:p>
    <w:p w:rsidR="007B05BB" w:rsidRPr="00D756FC" w:rsidRDefault="007B05BB" w:rsidP="007B05BB">
      <w:pPr>
        <w:ind w:firstLine="708"/>
        <w:jc w:val="both"/>
        <w:rPr>
          <w:szCs w:val="20"/>
        </w:rPr>
      </w:pPr>
      <w:r w:rsidRPr="00D756FC">
        <w:rPr>
          <w:szCs w:val="20"/>
        </w:rPr>
        <w:t>De acordo com o art. 84 da Lei n</w:t>
      </w:r>
      <w:r w:rsidRPr="00D756FC">
        <w:rPr>
          <w:szCs w:val="20"/>
          <w:u w:val="single"/>
          <w:vertAlign w:val="superscript"/>
        </w:rPr>
        <w:t>o</w:t>
      </w:r>
      <w:r w:rsidRPr="00D756FC">
        <w:rPr>
          <w:szCs w:val="20"/>
        </w:rPr>
        <w:t xml:space="preserve"> 12.973/2014, considera-se: </w:t>
      </w:r>
    </w:p>
    <w:p w:rsidR="007B05BB" w:rsidRPr="00D756FC" w:rsidRDefault="007B05BB" w:rsidP="007B05BB">
      <w:pPr>
        <w:ind w:firstLine="708"/>
        <w:jc w:val="both"/>
        <w:rPr>
          <w:szCs w:val="20"/>
        </w:rPr>
      </w:pPr>
      <w:r w:rsidRPr="00D756FC">
        <w:rPr>
          <w:szCs w:val="20"/>
        </w:rPr>
        <w:t xml:space="preserve"> </w:t>
      </w:r>
    </w:p>
    <w:p w:rsidR="007B05BB" w:rsidRPr="00D756FC" w:rsidRDefault="007B05BB" w:rsidP="007B05BB">
      <w:pPr>
        <w:ind w:left="708"/>
        <w:jc w:val="both"/>
        <w:rPr>
          <w:szCs w:val="20"/>
        </w:rPr>
      </w:pPr>
      <w:r w:rsidRPr="00D756FC">
        <w:rPr>
          <w:szCs w:val="20"/>
        </w:rPr>
        <w:t>I - renda ativa própria - aquela obtida diretamente pela pessoa jurídica mediante a exploração de atividade econômica própria, excluídas as receitas decorrentes de (</w:t>
      </w:r>
      <w:r w:rsidRPr="00D756FC">
        <w:rPr>
          <w:b/>
          <w:szCs w:val="20"/>
        </w:rPr>
        <w:t>que são consideradas rendas passivas)</w:t>
      </w:r>
      <w:r w:rsidRPr="00D756FC">
        <w:rPr>
          <w:szCs w:val="20"/>
        </w:rPr>
        <w:t>:</w:t>
      </w:r>
    </w:p>
    <w:p w:rsidR="007B05BB" w:rsidRPr="00D756FC" w:rsidRDefault="007B05BB" w:rsidP="007B05BB">
      <w:pPr>
        <w:ind w:firstLine="708"/>
        <w:jc w:val="both"/>
        <w:rPr>
          <w:szCs w:val="20"/>
        </w:rPr>
      </w:pPr>
    </w:p>
    <w:p w:rsidR="007B05BB" w:rsidRPr="00D756FC" w:rsidRDefault="007B05BB" w:rsidP="007B05BB">
      <w:pPr>
        <w:ind w:firstLine="708"/>
        <w:jc w:val="both"/>
        <w:rPr>
          <w:b/>
          <w:szCs w:val="20"/>
        </w:rPr>
      </w:pPr>
      <w:r w:rsidRPr="00D756FC">
        <w:rPr>
          <w:b/>
          <w:szCs w:val="20"/>
        </w:rPr>
        <w:t>a) royalties;</w:t>
      </w:r>
    </w:p>
    <w:p w:rsidR="007B05BB" w:rsidRPr="00D756FC" w:rsidRDefault="007B05BB" w:rsidP="007B05BB">
      <w:pPr>
        <w:ind w:firstLine="708"/>
        <w:jc w:val="both"/>
        <w:rPr>
          <w:b/>
          <w:szCs w:val="20"/>
        </w:rPr>
      </w:pPr>
      <w:r w:rsidRPr="00D756FC">
        <w:rPr>
          <w:b/>
          <w:szCs w:val="20"/>
        </w:rPr>
        <w:t>b) juros;</w:t>
      </w:r>
    </w:p>
    <w:p w:rsidR="007B05BB" w:rsidRPr="00D756FC" w:rsidRDefault="007B05BB" w:rsidP="007B05BB">
      <w:pPr>
        <w:ind w:firstLine="708"/>
        <w:jc w:val="both"/>
        <w:rPr>
          <w:b/>
          <w:szCs w:val="20"/>
        </w:rPr>
      </w:pPr>
      <w:r w:rsidRPr="00D756FC">
        <w:rPr>
          <w:b/>
          <w:szCs w:val="20"/>
        </w:rPr>
        <w:t>c) dividendos;</w:t>
      </w:r>
    </w:p>
    <w:p w:rsidR="007B05BB" w:rsidRPr="00D756FC" w:rsidRDefault="007B05BB" w:rsidP="007B05BB">
      <w:pPr>
        <w:ind w:firstLine="708"/>
        <w:jc w:val="both"/>
        <w:rPr>
          <w:b/>
          <w:szCs w:val="20"/>
        </w:rPr>
      </w:pPr>
      <w:r w:rsidRPr="00D756FC">
        <w:rPr>
          <w:b/>
          <w:szCs w:val="20"/>
        </w:rPr>
        <w:t>d) participações societárias;</w:t>
      </w:r>
    </w:p>
    <w:p w:rsidR="007B05BB" w:rsidRPr="00D756FC" w:rsidRDefault="007B05BB" w:rsidP="007B05BB">
      <w:pPr>
        <w:ind w:firstLine="708"/>
        <w:jc w:val="both"/>
        <w:rPr>
          <w:b/>
          <w:szCs w:val="20"/>
        </w:rPr>
      </w:pPr>
      <w:r w:rsidRPr="00D756FC">
        <w:rPr>
          <w:b/>
          <w:szCs w:val="20"/>
        </w:rPr>
        <w:t>e) aluguéis;</w:t>
      </w:r>
    </w:p>
    <w:p w:rsidR="007B05BB" w:rsidRPr="00D756FC" w:rsidRDefault="007B05BB" w:rsidP="007B05BB">
      <w:pPr>
        <w:ind w:firstLine="708"/>
        <w:jc w:val="both"/>
        <w:rPr>
          <w:b/>
          <w:szCs w:val="20"/>
        </w:rPr>
      </w:pPr>
      <w:r w:rsidRPr="00D756FC">
        <w:rPr>
          <w:b/>
          <w:szCs w:val="20"/>
        </w:rPr>
        <w:t>f) ganhos de capital, salvo na alienação de participações societárias ou ativos de caráter permanente adquiridos há mais de 2 (dois) anos;</w:t>
      </w:r>
    </w:p>
    <w:p w:rsidR="007B05BB" w:rsidRPr="00D756FC" w:rsidRDefault="007B05BB" w:rsidP="007B05BB">
      <w:pPr>
        <w:ind w:firstLine="708"/>
        <w:jc w:val="both"/>
        <w:rPr>
          <w:b/>
          <w:szCs w:val="20"/>
        </w:rPr>
      </w:pPr>
      <w:r w:rsidRPr="00D756FC">
        <w:rPr>
          <w:b/>
          <w:szCs w:val="20"/>
        </w:rPr>
        <w:t>g) aplicações financeiras; e</w:t>
      </w:r>
    </w:p>
    <w:p w:rsidR="007B05BB" w:rsidRPr="00D756FC" w:rsidRDefault="007B05BB" w:rsidP="007B05BB">
      <w:pPr>
        <w:ind w:firstLine="708"/>
        <w:jc w:val="both"/>
        <w:rPr>
          <w:b/>
          <w:szCs w:val="20"/>
        </w:rPr>
      </w:pPr>
      <w:r w:rsidRPr="00D756FC">
        <w:rPr>
          <w:b/>
          <w:szCs w:val="20"/>
        </w:rPr>
        <w:t>h) intermediação financeira.</w:t>
      </w:r>
    </w:p>
    <w:p w:rsidR="007B05BB" w:rsidRPr="00D756FC" w:rsidRDefault="007B05BB" w:rsidP="007B05BB">
      <w:pPr>
        <w:ind w:firstLine="708"/>
        <w:jc w:val="both"/>
        <w:rPr>
          <w:szCs w:val="20"/>
        </w:rPr>
      </w:pPr>
    </w:p>
    <w:p w:rsidR="007B05BB" w:rsidRPr="00D756FC" w:rsidRDefault="007B05BB" w:rsidP="007B05BB">
      <w:pPr>
        <w:ind w:firstLine="708"/>
        <w:jc w:val="both"/>
        <w:rPr>
          <w:szCs w:val="20"/>
        </w:rPr>
      </w:pPr>
      <w:r w:rsidRPr="00D756FC">
        <w:rPr>
          <w:szCs w:val="20"/>
        </w:rPr>
        <w:t>II - renda total - somatório das receitas operacionais e não operacionais, conforme definido na legislação comercial do país de domicílio da investida; e</w:t>
      </w:r>
    </w:p>
    <w:p w:rsidR="007B05BB" w:rsidRPr="00D756FC" w:rsidRDefault="007B05BB" w:rsidP="007B05BB">
      <w:pPr>
        <w:ind w:firstLine="708"/>
        <w:jc w:val="both"/>
        <w:rPr>
          <w:szCs w:val="20"/>
        </w:rPr>
      </w:pPr>
    </w:p>
    <w:p w:rsidR="007B05BB" w:rsidRPr="00D756FC" w:rsidRDefault="007B05BB" w:rsidP="007B05BB">
      <w:pPr>
        <w:ind w:firstLine="708"/>
        <w:jc w:val="both"/>
        <w:rPr>
          <w:szCs w:val="20"/>
        </w:rPr>
      </w:pPr>
      <w:r w:rsidRPr="00D756FC">
        <w:rPr>
          <w:szCs w:val="20"/>
        </w:rPr>
        <w:t>III - regime de subtributação - aquele que tributa os lucros da pessoa jurídica domiciliada no exterior a alíquota nominal inferior a 20% (vinte por cento)</w:t>
      </w:r>
    </w:p>
    <w:p w:rsidR="007B05BB" w:rsidRPr="00D756FC" w:rsidRDefault="007B05BB" w:rsidP="007B05BB">
      <w:pPr>
        <w:ind w:firstLine="708"/>
        <w:jc w:val="both"/>
        <w:rPr>
          <w:szCs w:val="20"/>
        </w:rPr>
      </w:pPr>
    </w:p>
    <w:p w:rsidR="007B05BB" w:rsidRPr="00D756FC" w:rsidRDefault="007B05BB" w:rsidP="007B05BB">
      <w:pPr>
        <w:ind w:firstLine="708"/>
        <w:jc w:val="both"/>
        <w:rPr>
          <w:szCs w:val="20"/>
        </w:rPr>
      </w:pPr>
      <w:r w:rsidRPr="00D756FC">
        <w:rPr>
          <w:szCs w:val="20"/>
        </w:rPr>
        <w:t>§ 1</w:t>
      </w:r>
      <w:r w:rsidRPr="00D756FC">
        <w:rPr>
          <w:szCs w:val="20"/>
          <w:u w:val="single"/>
          <w:vertAlign w:val="superscript"/>
        </w:rPr>
        <w:t>o</w:t>
      </w:r>
      <w:r w:rsidRPr="00D756FC">
        <w:rPr>
          <w:szCs w:val="20"/>
        </w:rPr>
        <w:t>  As alíneas “b”, “g” e “h” do inciso I não se aplicam às instituições financeiras reconhecidas e autorizadas a funcionar pela autoridade monetária do país em que estejam situadas.</w:t>
      </w:r>
    </w:p>
    <w:p w:rsidR="007B05BB" w:rsidRPr="00D756FC" w:rsidRDefault="007B05BB" w:rsidP="007B05BB">
      <w:pPr>
        <w:ind w:firstLine="708"/>
        <w:jc w:val="both"/>
        <w:rPr>
          <w:szCs w:val="20"/>
        </w:rPr>
      </w:pPr>
    </w:p>
    <w:p w:rsidR="007B05BB" w:rsidRPr="007B05BB" w:rsidRDefault="007B05BB" w:rsidP="007B05BB">
      <w:pPr>
        <w:ind w:left="708"/>
        <w:jc w:val="both"/>
        <w:rPr>
          <w:szCs w:val="20"/>
        </w:rPr>
      </w:pPr>
      <w:r w:rsidRPr="00D756FC">
        <w:rPr>
          <w:szCs w:val="20"/>
        </w:rPr>
        <w:t>§ 2</w:t>
      </w:r>
      <w:r w:rsidRPr="00D756FC">
        <w:rPr>
          <w:szCs w:val="20"/>
          <w:u w:val="single"/>
          <w:vertAlign w:val="superscript"/>
        </w:rPr>
        <w:t>o</w:t>
      </w:r>
      <w:r w:rsidRPr="00D756FC">
        <w:rPr>
          <w:szCs w:val="20"/>
        </w:rPr>
        <w:t>  Poderão ser considerados como renda ativa própria os valores recebidos a título de dividendos ou a receita decorrente de participações societárias relativos a investimentos efetuados até 31 de dezembro de 2013 em pessoa jurídica cuja receita ativa própria seja igual ou superior a 80% (oitenta por cento)</w:t>
      </w:r>
      <w:r w:rsidRPr="007B05BB">
        <w:rPr>
          <w:szCs w:val="20"/>
        </w:rPr>
        <w:t> </w:t>
      </w:r>
    </w:p>
    <w:p w:rsidR="003B3C7D" w:rsidRPr="00FA3856" w:rsidRDefault="003B3C7D" w:rsidP="007B05BB">
      <w:pPr>
        <w:jc w:val="both"/>
        <w:rPr>
          <w:szCs w:val="20"/>
        </w:rPr>
      </w:pPr>
    </w:p>
    <w:p w:rsidR="003B3C7D" w:rsidRPr="00FA3856" w:rsidRDefault="003B3C7D" w:rsidP="003B3C7D">
      <w:pPr>
        <w:ind w:firstLine="708"/>
        <w:jc w:val="both"/>
        <w:rPr>
          <w:b/>
          <w:bCs/>
          <w:szCs w:val="20"/>
        </w:rPr>
      </w:pPr>
      <w:r w:rsidRPr="00FA3856">
        <w:rPr>
          <w:b/>
          <w:bCs/>
          <w:szCs w:val="20"/>
        </w:rPr>
        <w:t>Observação: Este demonstrativo é o que se refere o inciso IV do art. 35 da Instrução Normativa RFB n</w:t>
      </w:r>
      <w:r w:rsidRPr="00FA3856">
        <w:rPr>
          <w:b/>
          <w:bCs/>
          <w:szCs w:val="20"/>
          <w:u w:val="single"/>
          <w:vertAlign w:val="superscript"/>
        </w:rPr>
        <w:t>o</w:t>
      </w:r>
      <w:r w:rsidRPr="00FA3856">
        <w:rPr>
          <w:b/>
          <w:bCs/>
          <w:szCs w:val="20"/>
        </w:rPr>
        <w:t xml:space="preserve"> 1.520, de 4 de dezembro de 2014.</w:t>
      </w:r>
    </w:p>
    <w:p w:rsidR="0081210D" w:rsidRDefault="0081210D" w:rsidP="0081210D">
      <w:pPr>
        <w:pStyle w:val="PSDS-MarcadoresNivel4"/>
        <w:tabs>
          <w:tab w:val="clear" w:pos="2271"/>
          <w:tab w:val="left" w:pos="720"/>
        </w:tabs>
        <w:spacing w:before="0" w:after="0"/>
        <w:ind w:left="0" w:firstLine="0"/>
        <w:rPr>
          <w:rFonts w:ascii="Times New Roman" w:hAnsi="Times New Roman" w:cs="Times New Roman"/>
          <w:szCs w:val="20"/>
          <w:lang w:val="pt-PT"/>
        </w:rPr>
      </w:pPr>
    </w:p>
    <w:p w:rsidR="00B5403A" w:rsidRPr="00FA3856" w:rsidRDefault="00B35FA3" w:rsidP="00B5403A">
      <w:pPr>
        <w:pStyle w:val="PSDS-MarcadoresNivel4"/>
        <w:tabs>
          <w:tab w:val="clear" w:pos="2271"/>
          <w:tab w:val="left" w:pos="720"/>
        </w:tabs>
        <w:spacing w:before="0" w:after="0"/>
        <w:ind w:left="0" w:firstLine="0"/>
        <w:jc w:val="center"/>
        <w:rPr>
          <w:rFonts w:ascii="Times New Roman" w:hAnsi="Times New Roman" w:cs="Times New Roman"/>
          <w:szCs w:val="20"/>
          <w:lang w:val="pt-PT"/>
        </w:rPr>
      </w:pPr>
      <w:r>
        <w:rPr>
          <w:rFonts w:ascii="Times New Roman" w:hAnsi="Times New Roman" w:cs="Times New Roman"/>
          <w:szCs w:val="20"/>
          <w:lang w:val="pt-PT"/>
        </w:rPr>
        <w:object w:dxaOrig="14835" w:dyaOrig="5850">
          <v:shape id="_x0000_i1971" type="#_x0000_t75" style="width:792.75pt;height:283.5pt" o:ole="">
            <v:imagedata r:id="rId729" o:title=""/>
          </v:shape>
          <o:OLEObject Type="Link" ProgID="Excel.Sheet.12" ShapeID="_x0000_i1971" DrawAspect="Content" r:id="rId730" UpdateMode="Always">
            <o:LinkType>EnhancedMetaFile</o:LinkType>
            <o:LockedField>false</o:LockedField>
          </o:OLEObject>
        </w:object>
      </w:r>
    </w:p>
    <w:p w:rsidR="00B5403A" w:rsidRDefault="00B5403A" w:rsidP="0081210D">
      <w:pPr>
        <w:pStyle w:val="PSDS-MarcadoresNivel4"/>
        <w:tabs>
          <w:tab w:val="clear" w:pos="2271"/>
          <w:tab w:val="left" w:pos="720"/>
        </w:tabs>
        <w:spacing w:before="0" w:after="0"/>
        <w:ind w:left="0" w:firstLine="0"/>
        <w:rPr>
          <w:rFonts w:ascii="Times New Roman" w:hAnsi="Times New Roman" w:cs="Times New Roman"/>
          <w:szCs w:val="20"/>
          <w:lang w:val="pt-PT"/>
        </w:rPr>
      </w:pPr>
    </w:p>
    <w:p w:rsidR="0081210D" w:rsidRPr="00FA3856" w:rsidRDefault="0081210D" w:rsidP="0081210D">
      <w:pPr>
        <w:pStyle w:val="PSDS-MarcadoresNivel4"/>
        <w:tabs>
          <w:tab w:val="clear" w:pos="2271"/>
          <w:tab w:val="left" w:pos="720"/>
        </w:tabs>
        <w:spacing w:before="0" w:after="0"/>
        <w:ind w:left="0" w:firstLine="0"/>
        <w:rPr>
          <w:rFonts w:ascii="Times New Roman" w:hAnsi="Times New Roman" w:cs="Times New Roman"/>
          <w:szCs w:val="20"/>
          <w:lang w:val="pt-PT"/>
        </w:rPr>
      </w:pPr>
      <w:r w:rsidRPr="00FA3856">
        <w:rPr>
          <w:rFonts w:ascii="Times New Roman" w:hAnsi="Times New Roman" w:cs="Times New Roman"/>
          <w:szCs w:val="20"/>
          <w:lang w:val="pt-PT"/>
        </w:rPr>
        <w:t>I – Regra de Validação de Registro:</w:t>
      </w:r>
    </w:p>
    <w:p w:rsidR="0081210D" w:rsidRPr="00FA3856" w:rsidRDefault="0081210D" w:rsidP="0081210D">
      <w:pPr>
        <w:pStyle w:val="PSDS-MarcadoresNivel4"/>
        <w:tabs>
          <w:tab w:val="clear" w:pos="2271"/>
          <w:tab w:val="left" w:pos="720"/>
        </w:tabs>
        <w:spacing w:before="0" w:after="0"/>
        <w:ind w:left="0" w:firstLine="0"/>
        <w:rPr>
          <w:rFonts w:ascii="Times New Roman" w:hAnsi="Times New Roman" w:cs="Times New Roman"/>
          <w:szCs w:val="20"/>
          <w:lang w:val="pt-PT"/>
        </w:rPr>
      </w:pPr>
    </w:p>
    <w:p w:rsidR="0081210D" w:rsidRPr="00FA3856" w:rsidRDefault="00177984" w:rsidP="0081210D">
      <w:pPr>
        <w:pStyle w:val="PSDS-MarcadoresNivel4"/>
        <w:tabs>
          <w:tab w:val="clear" w:pos="2271"/>
          <w:tab w:val="left" w:pos="720"/>
        </w:tabs>
        <w:spacing w:before="0" w:after="0"/>
        <w:ind w:left="0" w:firstLine="0"/>
        <w:rPr>
          <w:rFonts w:ascii="Times New Roman" w:hAnsi="Times New Roman" w:cs="Times New Roman"/>
          <w:b w:val="0"/>
          <w:color w:val="000000"/>
          <w:szCs w:val="20"/>
          <w:lang w:val="pt-PT"/>
        </w:rPr>
      </w:pPr>
      <w:r w:rsidRPr="00FA3856">
        <w:rPr>
          <w:rFonts w:ascii="Times New Roman" w:hAnsi="Times New Roman" w:cs="Times New Roman"/>
          <w:bCs w:val="0"/>
          <w:szCs w:val="20"/>
        </w:rPr>
        <w:tab/>
      </w:r>
      <w:r w:rsidR="0081210D" w:rsidRPr="00FA3856">
        <w:rPr>
          <w:rFonts w:ascii="Times New Roman" w:hAnsi="Times New Roman" w:cs="Times New Roman"/>
          <w:bCs w:val="0"/>
          <w:szCs w:val="20"/>
        </w:rPr>
        <w:t xml:space="preserve">REGRA_X355_PREENCHER: </w:t>
      </w:r>
      <w:r w:rsidR="0081210D" w:rsidRPr="00FA3856">
        <w:rPr>
          <w:rFonts w:ascii="Times New Roman" w:hAnsi="Times New Roman" w:cs="Times New Roman"/>
          <w:b w:val="0"/>
          <w:bCs w:val="0"/>
          <w:szCs w:val="20"/>
        </w:rPr>
        <w:t>Este registro só ser preenchido/habilitado quando X340.</w:t>
      </w:r>
      <w:r w:rsidR="0081210D" w:rsidRPr="00FA3856">
        <w:rPr>
          <w:rFonts w:ascii="Times New Roman" w:hAnsi="Times New Roman" w:cs="Times New Roman"/>
          <w:b w:val="0"/>
          <w:color w:val="000000"/>
          <w:szCs w:val="20"/>
          <w:lang w:val="pt-PT"/>
        </w:rPr>
        <w:t>IND_CONTROLE for diferente de “6” (Coligada em Regime de Caixa).</w:t>
      </w:r>
    </w:p>
    <w:p w:rsidR="0081210D" w:rsidRPr="00FA3856" w:rsidRDefault="0081210D" w:rsidP="0081210D">
      <w:pPr>
        <w:pStyle w:val="PSDS-MarcadoresNivel4"/>
        <w:tabs>
          <w:tab w:val="clear" w:pos="2271"/>
          <w:tab w:val="left" w:pos="720"/>
        </w:tabs>
        <w:spacing w:before="0" w:after="0"/>
        <w:ind w:left="0" w:firstLine="0"/>
        <w:rPr>
          <w:rFonts w:ascii="Times New Roman" w:hAnsi="Times New Roman" w:cs="Times New Roman"/>
          <w:szCs w:val="20"/>
          <w:lang w:val="pt-PT"/>
        </w:rPr>
      </w:pPr>
    </w:p>
    <w:p w:rsidR="0081210D" w:rsidRPr="00FA3856" w:rsidRDefault="0081210D" w:rsidP="0081210D">
      <w:pPr>
        <w:pStyle w:val="PSDS-MarcadoresNivel4"/>
        <w:tabs>
          <w:tab w:val="clear" w:pos="2271"/>
          <w:tab w:val="left" w:pos="720"/>
        </w:tabs>
        <w:spacing w:before="0" w:after="0"/>
        <w:ind w:left="0" w:firstLine="0"/>
        <w:rPr>
          <w:rFonts w:ascii="Times New Roman" w:hAnsi="Times New Roman" w:cs="Times New Roman"/>
          <w:szCs w:val="20"/>
          <w:lang w:val="pt-PT"/>
        </w:rPr>
      </w:pPr>
      <w:r w:rsidRPr="00FA3856">
        <w:rPr>
          <w:rFonts w:ascii="Times New Roman" w:hAnsi="Times New Roman" w:cs="Times New Roman"/>
          <w:szCs w:val="20"/>
          <w:lang w:val="pt-PT"/>
        </w:rPr>
        <w:t>II – Regras de Validação de Campos:</w:t>
      </w:r>
    </w:p>
    <w:p w:rsidR="0081210D" w:rsidRPr="00FA3856" w:rsidRDefault="0081210D" w:rsidP="0081210D">
      <w:pPr>
        <w:pStyle w:val="PSDS-MarcadoresNivel4"/>
        <w:tabs>
          <w:tab w:val="clear" w:pos="2271"/>
          <w:tab w:val="left" w:pos="720"/>
        </w:tabs>
        <w:spacing w:before="0" w:after="0"/>
        <w:ind w:left="0" w:firstLine="0"/>
        <w:rPr>
          <w:rFonts w:ascii="Times New Roman" w:hAnsi="Times New Roman" w:cs="Times New Roman"/>
          <w:szCs w:val="20"/>
          <w:lang w:val="pt-PT"/>
        </w:rPr>
      </w:pPr>
    </w:p>
    <w:tbl>
      <w:tblPr>
        <w:tblW w:w="16370"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85"/>
        <w:gridCol w:w="3000"/>
        <w:gridCol w:w="12168"/>
        <w:gridCol w:w="717"/>
      </w:tblGrid>
      <w:tr w:rsidR="0081210D" w:rsidRPr="00FA3856" w:rsidTr="00177984">
        <w:trPr>
          <w:jc w:val="center"/>
        </w:trPr>
        <w:tc>
          <w:tcPr>
            <w:tcW w:w="485" w:type="dxa"/>
            <w:tcBorders>
              <w:top w:val="single" w:sz="6" w:space="0" w:color="auto"/>
              <w:left w:val="single" w:sz="6" w:space="0" w:color="auto"/>
              <w:bottom w:val="single" w:sz="6" w:space="0" w:color="auto"/>
              <w:right w:val="single" w:sz="6" w:space="0" w:color="auto"/>
            </w:tcBorders>
            <w:shd w:val="pct10" w:color="auto" w:fill="FFFFFF"/>
          </w:tcPr>
          <w:p w:rsidR="0081210D" w:rsidRPr="00FA3856" w:rsidRDefault="0081210D" w:rsidP="00177984">
            <w:pPr>
              <w:pStyle w:val="PSDS-CorpodeTexto0"/>
              <w:jc w:val="center"/>
              <w:rPr>
                <w:rFonts w:ascii="Times New Roman" w:hAnsi="Times New Roman"/>
                <w:b/>
                <w:bCs/>
              </w:rPr>
            </w:pPr>
            <w:r w:rsidRPr="00FA3856">
              <w:rPr>
                <w:rFonts w:ascii="Times New Roman" w:hAnsi="Times New Roman"/>
                <w:b/>
                <w:bCs/>
              </w:rPr>
              <w:t>Nº</w:t>
            </w:r>
          </w:p>
        </w:tc>
        <w:tc>
          <w:tcPr>
            <w:tcW w:w="3000" w:type="dxa"/>
            <w:tcBorders>
              <w:top w:val="single" w:sz="6" w:space="0" w:color="auto"/>
              <w:left w:val="single" w:sz="6" w:space="0" w:color="auto"/>
              <w:bottom w:val="single" w:sz="6" w:space="0" w:color="auto"/>
              <w:right w:val="single" w:sz="6" w:space="0" w:color="auto"/>
            </w:tcBorders>
            <w:shd w:val="pct10" w:color="auto" w:fill="FFFFFF"/>
          </w:tcPr>
          <w:p w:rsidR="0081210D" w:rsidRPr="00FA3856" w:rsidRDefault="0081210D" w:rsidP="00177984">
            <w:pPr>
              <w:pStyle w:val="PSDS-CorpodeTexto0"/>
              <w:jc w:val="center"/>
              <w:rPr>
                <w:rFonts w:ascii="Times New Roman" w:hAnsi="Times New Roman"/>
                <w:b/>
                <w:bCs/>
              </w:rPr>
            </w:pPr>
            <w:r w:rsidRPr="00FA3856">
              <w:rPr>
                <w:rFonts w:ascii="Times New Roman" w:hAnsi="Times New Roman"/>
                <w:b/>
                <w:bCs/>
              </w:rPr>
              <w:t>Campo</w:t>
            </w:r>
          </w:p>
        </w:tc>
        <w:tc>
          <w:tcPr>
            <w:tcW w:w="12168" w:type="dxa"/>
            <w:tcBorders>
              <w:top w:val="single" w:sz="6" w:space="0" w:color="auto"/>
              <w:left w:val="single" w:sz="6" w:space="0" w:color="auto"/>
              <w:bottom w:val="single" w:sz="6" w:space="0" w:color="auto"/>
              <w:right w:val="single" w:sz="6" w:space="0" w:color="auto"/>
            </w:tcBorders>
            <w:shd w:val="pct10" w:color="auto" w:fill="FFFFFF"/>
          </w:tcPr>
          <w:p w:rsidR="0081210D" w:rsidRPr="00FA3856" w:rsidRDefault="0081210D" w:rsidP="00177984">
            <w:pPr>
              <w:pStyle w:val="PSDS-CorpodeTexto0"/>
              <w:jc w:val="center"/>
              <w:rPr>
                <w:rFonts w:ascii="Times New Roman" w:hAnsi="Times New Roman"/>
                <w:b/>
                <w:bCs/>
              </w:rPr>
            </w:pPr>
            <w:r w:rsidRPr="00FA3856">
              <w:rPr>
                <w:rFonts w:ascii="Times New Roman" w:hAnsi="Times New Roman"/>
                <w:b/>
                <w:bCs/>
              </w:rPr>
              <w:t>Regras de Validação do Campo</w:t>
            </w:r>
          </w:p>
        </w:tc>
        <w:tc>
          <w:tcPr>
            <w:tcW w:w="717" w:type="dxa"/>
            <w:tcBorders>
              <w:top w:val="single" w:sz="6" w:space="0" w:color="auto"/>
              <w:left w:val="single" w:sz="6" w:space="0" w:color="auto"/>
              <w:bottom w:val="single" w:sz="6" w:space="0" w:color="auto"/>
              <w:right w:val="single" w:sz="6" w:space="0" w:color="auto"/>
            </w:tcBorders>
            <w:shd w:val="pct10" w:color="auto" w:fill="FFFFFF"/>
          </w:tcPr>
          <w:p w:rsidR="0081210D" w:rsidRPr="00FA3856" w:rsidRDefault="0081210D" w:rsidP="00177984">
            <w:pPr>
              <w:pStyle w:val="PSDS-CorpodeTexto0"/>
              <w:jc w:val="center"/>
              <w:rPr>
                <w:rFonts w:ascii="Times New Roman" w:hAnsi="Times New Roman"/>
                <w:b/>
                <w:bCs/>
              </w:rPr>
            </w:pPr>
            <w:r w:rsidRPr="00FA3856">
              <w:rPr>
                <w:rFonts w:ascii="Times New Roman" w:hAnsi="Times New Roman"/>
                <w:b/>
                <w:bCs/>
              </w:rPr>
              <w:t>Tipo</w:t>
            </w:r>
          </w:p>
        </w:tc>
      </w:tr>
      <w:tr w:rsidR="0081210D" w:rsidRPr="00FA3856" w:rsidTr="00177984">
        <w:trPr>
          <w:jc w:val="center"/>
        </w:trPr>
        <w:tc>
          <w:tcPr>
            <w:tcW w:w="485" w:type="dxa"/>
            <w:tcBorders>
              <w:top w:val="single" w:sz="6" w:space="0" w:color="auto"/>
              <w:left w:val="single" w:sz="6" w:space="0" w:color="auto"/>
              <w:bottom w:val="single" w:sz="6" w:space="0" w:color="auto"/>
              <w:right w:val="single" w:sz="6" w:space="0" w:color="auto"/>
            </w:tcBorders>
          </w:tcPr>
          <w:p w:rsidR="0081210D" w:rsidRPr="00FA3856" w:rsidRDefault="0081210D" w:rsidP="00177984">
            <w:pPr>
              <w:pStyle w:val="PSDS-CorpodeTexto0"/>
              <w:suppressAutoHyphens w:val="0"/>
              <w:rPr>
                <w:rFonts w:ascii="Times New Roman" w:hAnsi="Times New Roman"/>
                <w:b/>
                <w:bCs/>
                <w:lang w:val="pt-PT"/>
              </w:rPr>
            </w:pPr>
            <w:r w:rsidRPr="00FA3856">
              <w:rPr>
                <w:rFonts w:ascii="Times New Roman" w:hAnsi="Times New Roman"/>
                <w:b/>
                <w:bCs/>
                <w:lang w:val="pt-PT"/>
              </w:rPr>
              <w:t>6</w:t>
            </w:r>
          </w:p>
        </w:tc>
        <w:tc>
          <w:tcPr>
            <w:tcW w:w="3000" w:type="dxa"/>
            <w:tcBorders>
              <w:top w:val="single" w:sz="6" w:space="0" w:color="auto"/>
              <w:left w:val="single" w:sz="6" w:space="0" w:color="auto"/>
              <w:bottom w:val="single" w:sz="6" w:space="0" w:color="auto"/>
              <w:right w:val="single" w:sz="6" w:space="0" w:color="auto"/>
            </w:tcBorders>
          </w:tcPr>
          <w:p w:rsidR="0081210D" w:rsidRPr="00FA3856" w:rsidRDefault="0081210D" w:rsidP="00177984">
            <w:pPr>
              <w:pStyle w:val="PSDS-CorpodeTexto0"/>
              <w:rPr>
                <w:rFonts w:ascii="Times New Roman" w:hAnsi="Times New Roman"/>
              </w:rPr>
            </w:pPr>
            <w:r w:rsidRPr="00FA3856">
              <w:rPr>
                <w:rFonts w:ascii="Times New Roman" w:hAnsi="Times New Roman"/>
                <w:bCs/>
                <w:lang w:val="pt-PT"/>
              </w:rPr>
              <w:t>REND_ATIV_PROP</w:t>
            </w:r>
          </w:p>
        </w:tc>
        <w:tc>
          <w:tcPr>
            <w:tcW w:w="12168" w:type="dxa"/>
            <w:tcBorders>
              <w:top w:val="single" w:sz="6" w:space="0" w:color="auto"/>
              <w:left w:val="single" w:sz="6" w:space="0" w:color="auto"/>
              <w:bottom w:val="single" w:sz="6" w:space="0" w:color="auto"/>
              <w:right w:val="single" w:sz="6" w:space="0" w:color="auto"/>
            </w:tcBorders>
          </w:tcPr>
          <w:p w:rsidR="0081210D" w:rsidRPr="00FA3856" w:rsidRDefault="0081210D" w:rsidP="00177984">
            <w:pPr>
              <w:pStyle w:val="Corpodetexto"/>
              <w:spacing w:line="240" w:lineRule="auto"/>
              <w:rPr>
                <w:rFonts w:ascii="Times New Roman" w:hAnsi="Times New Roman"/>
                <w:szCs w:val="20"/>
              </w:rPr>
            </w:pPr>
            <w:r w:rsidRPr="00FA3856">
              <w:rPr>
                <w:rFonts w:ascii="Times New Roman" w:hAnsi="Times New Roman"/>
                <w:b/>
                <w:szCs w:val="20"/>
              </w:rPr>
              <w:t xml:space="preserve">REGRA_ATIV_PROP_VALOR: </w:t>
            </w:r>
            <w:r w:rsidRPr="00FA3856">
              <w:rPr>
                <w:rFonts w:ascii="Times New Roman" w:hAnsi="Times New Roman"/>
                <w:szCs w:val="20"/>
              </w:rPr>
              <w:t>Verifi</w:t>
            </w:r>
            <w:r w:rsidR="005006F5" w:rsidRPr="00FA3856">
              <w:rPr>
                <w:rFonts w:ascii="Times New Roman" w:hAnsi="Times New Roman"/>
                <w:szCs w:val="20"/>
              </w:rPr>
              <w:t xml:space="preserve">ca se X355.REND_ATIV_PROP </w:t>
            </w:r>
            <w:r w:rsidRPr="00FA3856">
              <w:rPr>
                <w:rFonts w:ascii="Times New Roman" w:hAnsi="Times New Roman"/>
                <w:szCs w:val="20"/>
              </w:rPr>
              <w:t>é igual ao resultado da sub</w:t>
            </w:r>
            <w:r w:rsidR="005006F5" w:rsidRPr="00FA3856">
              <w:rPr>
                <w:rFonts w:ascii="Times New Roman" w:hAnsi="Times New Roman"/>
                <w:szCs w:val="20"/>
              </w:rPr>
              <w:t>tração de X355.REND_TOTAL pelo X355.REND_PASS_PROP</w:t>
            </w:r>
            <w:r w:rsidRPr="00FA3856">
              <w:rPr>
                <w:rFonts w:ascii="Times New Roman" w:hAnsi="Times New Roman"/>
                <w:szCs w:val="20"/>
              </w:rPr>
              <w:t>.</w:t>
            </w:r>
          </w:p>
        </w:tc>
        <w:tc>
          <w:tcPr>
            <w:tcW w:w="717" w:type="dxa"/>
            <w:tcBorders>
              <w:top w:val="single" w:sz="6" w:space="0" w:color="auto"/>
              <w:left w:val="single" w:sz="6" w:space="0" w:color="auto"/>
              <w:bottom w:val="single" w:sz="6" w:space="0" w:color="auto"/>
              <w:right w:val="single" w:sz="6" w:space="0" w:color="auto"/>
            </w:tcBorders>
          </w:tcPr>
          <w:p w:rsidR="0081210D" w:rsidRPr="00FA3856" w:rsidRDefault="0081210D" w:rsidP="00177984">
            <w:pPr>
              <w:pStyle w:val="PSDS-CorpodeTexto0"/>
              <w:rPr>
                <w:rFonts w:ascii="Times New Roman" w:hAnsi="Times New Roman"/>
              </w:rPr>
            </w:pPr>
            <w:r w:rsidRPr="00FA3856">
              <w:rPr>
                <w:rFonts w:ascii="Times New Roman" w:hAnsi="Times New Roman"/>
              </w:rPr>
              <w:t>Erro</w:t>
            </w:r>
          </w:p>
          <w:p w:rsidR="0081210D" w:rsidRPr="00FA3856" w:rsidRDefault="0081210D" w:rsidP="00177984">
            <w:pPr>
              <w:pStyle w:val="PSDS-CorpodeTexto0"/>
              <w:rPr>
                <w:rFonts w:ascii="Times New Roman" w:hAnsi="Times New Roman"/>
              </w:rPr>
            </w:pPr>
          </w:p>
        </w:tc>
      </w:tr>
      <w:tr w:rsidR="0081210D" w:rsidRPr="00FA3856" w:rsidTr="00177984">
        <w:trPr>
          <w:jc w:val="center"/>
        </w:trPr>
        <w:tc>
          <w:tcPr>
            <w:tcW w:w="485" w:type="dxa"/>
            <w:tcBorders>
              <w:top w:val="single" w:sz="6" w:space="0" w:color="auto"/>
              <w:left w:val="single" w:sz="6" w:space="0" w:color="auto"/>
              <w:bottom w:val="single" w:sz="6" w:space="0" w:color="auto"/>
              <w:right w:val="single" w:sz="6" w:space="0" w:color="auto"/>
            </w:tcBorders>
          </w:tcPr>
          <w:p w:rsidR="0081210D" w:rsidRPr="00FA3856" w:rsidRDefault="0081210D" w:rsidP="00177984">
            <w:pPr>
              <w:pStyle w:val="PSDS-CorpodeTexto0"/>
              <w:suppressAutoHyphens w:val="0"/>
              <w:rPr>
                <w:rFonts w:ascii="Times New Roman" w:hAnsi="Times New Roman"/>
                <w:b/>
                <w:bCs/>
                <w:lang w:val="pt-PT"/>
              </w:rPr>
            </w:pPr>
            <w:r w:rsidRPr="00FA3856">
              <w:rPr>
                <w:rFonts w:ascii="Times New Roman" w:hAnsi="Times New Roman"/>
                <w:b/>
                <w:bCs/>
                <w:lang w:val="pt-PT"/>
              </w:rPr>
              <w:t>7</w:t>
            </w:r>
          </w:p>
        </w:tc>
        <w:tc>
          <w:tcPr>
            <w:tcW w:w="3000" w:type="dxa"/>
            <w:tcBorders>
              <w:top w:val="single" w:sz="6" w:space="0" w:color="auto"/>
              <w:left w:val="single" w:sz="6" w:space="0" w:color="auto"/>
              <w:bottom w:val="single" w:sz="6" w:space="0" w:color="auto"/>
              <w:right w:val="single" w:sz="6" w:space="0" w:color="auto"/>
            </w:tcBorders>
          </w:tcPr>
          <w:p w:rsidR="0081210D" w:rsidRPr="00FA3856" w:rsidRDefault="0081210D" w:rsidP="00177984">
            <w:pPr>
              <w:pStyle w:val="PSDS-CorpodeTexto0"/>
              <w:rPr>
                <w:rFonts w:ascii="Times New Roman" w:hAnsi="Times New Roman"/>
              </w:rPr>
            </w:pPr>
            <w:r w:rsidRPr="00FA3856">
              <w:rPr>
                <w:rFonts w:ascii="Times New Roman" w:hAnsi="Times New Roman"/>
                <w:bCs/>
                <w:lang w:val="pt-PT"/>
              </w:rPr>
              <w:t>REND_ATIV_PROP_REAL</w:t>
            </w:r>
          </w:p>
        </w:tc>
        <w:tc>
          <w:tcPr>
            <w:tcW w:w="12168" w:type="dxa"/>
            <w:tcBorders>
              <w:top w:val="single" w:sz="6" w:space="0" w:color="auto"/>
              <w:left w:val="single" w:sz="6" w:space="0" w:color="auto"/>
              <w:bottom w:val="single" w:sz="6" w:space="0" w:color="auto"/>
              <w:right w:val="single" w:sz="6" w:space="0" w:color="auto"/>
            </w:tcBorders>
          </w:tcPr>
          <w:p w:rsidR="0081210D" w:rsidRPr="00FA3856" w:rsidRDefault="0081210D" w:rsidP="00177984">
            <w:pPr>
              <w:pStyle w:val="Corpodetexto"/>
              <w:spacing w:line="240" w:lineRule="auto"/>
              <w:rPr>
                <w:rFonts w:ascii="Times New Roman" w:hAnsi="Times New Roman"/>
                <w:szCs w:val="20"/>
              </w:rPr>
            </w:pPr>
            <w:r w:rsidRPr="00FA3856">
              <w:rPr>
                <w:rFonts w:ascii="Times New Roman" w:hAnsi="Times New Roman"/>
                <w:b/>
                <w:szCs w:val="20"/>
              </w:rPr>
              <w:t xml:space="preserve">REGRA_ATIV_PROP_REAL_VALOR: </w:t>
            </w:r>
            <w:r w:rsidRPr="00FA3856">
              <w:rPr>
                <w:rFonts w:ascii="Times New Roman" w:hAnsi="Times New Roman"/>
                <w:szCs w:val="20"/>
              </w:rPr>
              <w:t>Verifica se</w:t>
            </w:r>
            <w:r w:rsidR="005006F5" w:rsidRPr="00FA3856">
              <w:rPr>
                <w:rFonts w:ascii="Times New Roman" w:hAnsi="Times New Roman"/>
                <w:szCs w:val="20"/>
              </w:rPr>
              <w:t xml:space="preserve"> X355.REND_ATIV_PROP_REAL </w:t>
            </w:r>
            <w:r w:rsidRPr="00FA3856">
              <w:rPr>
                <w:rFonts w:ascii="Times New Roman" w:hAnsi="Times New Roman"/>
                <w:szCs w:val="20"/>
              </w:rPr>
              <w:t>é igual ao resultado da subtraçã</w:t>
            </w:r>
            <w:r w:rsidR="005006F5" w:rsidRPr="00FA3856">
              <w:rPr>
                <w:rFonts w:ascii="Times New Roman" w:hAnsi="Times New Roman"/>
                <w:szCs w:val="20"/>
              </w:rPr>
              <w:t xml:space="preserve">o de X355.REND_TOTAL_REAL </w:t>
            </w:r>
            <w:r w:rsidRPr="00FA3856">
              <w:rPr>
                <w:rFonts w:ascii="Times New Roman" w:hAnsi="Times New Roman"/>
                <w:szCs w:val="20"/>
              </w:rPr>
              <w:t xml:space="preserve">pelo </w:t>
            </w:r>
            <w:r w:rsidR="005006F5" w:rsidRPr="00FA3856">
              <w:rPr>
                <w:rFonts w:ascii="Times New Roman" w:hAnsi="Times New Roman"/>
                <w:szCs w:val="20"/>
              </w:rPr>
              <w:t>X355.REND_PASS_PROP_REAL</w:t>
            </w:r>
            <w:r w:rsidRPr="00FA3856">
              <w:rPr>
                <w:rFonts w:ascii="Times New Roman" w:hAnsi="Times New Roman"/>
                <w:szCs w:val="20"/>
              </w:rPr>
              <w:t>.</w:t>
            </w:r>
          </w:p>
        </w:tc>
        <w:tc>
          <w:tcPr>
            <w:tcW w:w="717" w:type="dxa"/>
            <w:tcBorders>
              <w:top w:val="single" w:sz="6" w:space="0" w:color="auto"/>
              <w:left w:val="single" w:sz="6" w:space="0" w:color="auto"/>
              <w:bottom w:val="single" w:sz="6" w:space="0" w:color="auto"/>
              <w:right w:val="single" w:sz="6" w:space="0" w:color="auto"/>
            </w:tcBorders>
          </w:tcPr>
          <w:p w:rsidR="0081210D" w:rsidRPr="00FA3856" w:rsidRDefault="0081210D" w:rsidP="00177984">
            <w:pPr>
              <w:pStyle w:val="PSDS-CorpodeTexto0"/>
              <w:rPr>
                <w:rFonts w:ascii="Times New Roman" w:hAnsi="Times New Roman"/>
              </w:rPr>
            </w:pPr>
            <w:r w:rsidRPr="00FA3856">
              <w:rPr>
                <w:rFonts w:ascii="Times New Roman" w:hAnsi="Times New Roman"/>
              </w:rPr>
              <w:t>Erro</w:t>
            </w:r>
          </w:p>
          <w:p w:rsidR="0081210D" w:rsidRPr="00FA3856" w:rsidRDefault="0081210D" w:rsidP="00177984">
            <w:pPr>
              <w:pStyle w:val="PSDS-CorpodeTexto0"/>
              <w:rPr>
                <w:rFonts w:ascii="Times New Roman" w:hAnsi="Times New Roman"/>
              </w:rPr>
            </w:pPr>
          </w:p>
        </w:tc>
      </w:tr>
      <w:tr w:rsidR="0081210D" w:rsidRPr="00FA3856" w:rsidTr="00177984">
        <w:trPr>
          <w:trHeight w:val="556"/>
          <w:jc w:val="center"/>
        </w:trPr>
        <w:tc>
          <w:tcPr>
            <w:tcW w:w="485" w:type="dxa"/>
            <w:tcBorders>
              <w:top w:val="single" w:sz="6" w:space="0" w:color="auto"/>
              <w:left w:val="single" w:sz="6" w:space="0" w:color="auto"/>
              <w:bottom w:val="single" w:sz="6" w:space="0" w:color="auto"/>
              <w:right w:val="single" w:sz="6" w:space="0" w:color="auto"/>
            </w:tcBorders>
          </w:tcPr>
          <w:p w:rsidR="0081210D" w:rsidRPr="00FA3856" w:rsidRDefault="0081210D" w:rsidP="00177984">
            <w:pPr>
              <w:pStyle w:val="PSDS-CorpodeTexto0"/>
              <w:suppressAutoHyphens w:val="0"/>
              <w:rPr>
                <w:rFonts w:ascii="Times New Roman" w:hAnsi="Times New Roman"/>
                <w:b/>
                <w:bCs/>
                <w:lang w:val="pt-PT"/>
              </w:rPr>
            </w:pPr>
            <w:r w:rsidRPr="00FA3856">
              <w:rPr>
                <w:rFonts w:ascii="Times New Roman" w:hAnsi="Times New Roman"/>
                <w:b/>
                <w:bCs/>
                <w:lang w:val="pt-PT"/>
              </w:rPr>
              <w:t>8</w:t>
            </w:r>
          </w:p>
        </w:tc>
        <w:tc>
          <w:tcPr>
            <w:tcW w:w="3000" w:type="dxa"/>
            <w:tcBorders>
              <w:top w:val="single" w:sz="6" w:space="0" w:color="auto"/>
              <w:left w:val="single" w:sz="6" w:space="0" w:color="auto"/>
              <w:bottom w:val="single" w:sz="6" w:space="0" w:color="auto"/>
              <w:right w:val="single" w:sz="6" w:space="0" w:color="auto"/>
            </w:tcBorders>
          </w:tcPr>
          <w:p w:rsidR="0081210D" w:rsidRPr="00FA3856" w:rsidRDefault="0081210D" w:rsidP="00177984">
            <w:pPr>
              <w:pStyle w:val="PSDS-CorpodeTexto0"/>
              <w:rPr>
                <w:rFonts w:ascii="Times New Roman" w:hAnsi="Times New Roman"/>
              </w:rPr>
            </w:pPr>
            <w:r w:rsidRPr="00FA3856">
              <w:rPr>
                <w:rFonts w:ascii="Times New Roman" w:hAnsi="Times New Roman"/>
                <w:bCs/>
                <w:lang w:val="pt-PT"/>
              </w:rPr>
              <w:t>PERCENTUAL</w:t>
            </w:r>
          </w:p>
        </w:tc>
        <w:tc>
          <w:tcPr>
            <w:tcW w:w="12168" w:type="dxa"/>
            <w:tcBorders>
              <w:top w:val="single" w:sz="6" w:space="0" w:color="auto"/>
              <w:left w:val="single" w:sz="6" w:space="0" w:color="auto"/>
              <w:bottom w:val="single" w:sz="6" w:space="0" w:color="auto"/>
              <w:right w:val="single" w:sz="6" w:space="0" w:color="auto"/>
            </w:tcBorders>
          </w:tcPr>
          <w:p w:rsidR="0081210D" w:rsidRPr="00FA3856" w:rsidRDefault="0081210D" w:rsidP="00177984">
            <w:pPr>
              <w:pStyle w:val="Corpodetexto"/>
              <w:spacing w:line="240" w:lineRule="auto"/>
              <w:rPr>
                <w:rFonts w:ascii="Times New Roman" w:hAnsi="Times New Roman"/>
                <w:szCs w:val="20"/>
              </w:rPr>
            </w:pPr>
            <w:r w:rsidRPr="00FA3856">
              <w:rPr>
                <w:rFonts w:ascii="Times New Roman" w:hAnsi="Times New Roman"/>
                <w:b/>
                <w:szCs w:val="20"/>
              </w:rPr>
              <w:t xml:space="preserve">REGRA_PERCENTUAL_VALOR: </w:t>
            </w:r>
            <w:r w:rsidRPr="00FA3856">
              <w:rPr>
                <w:rFonts w:ascii="Times New Roman" w:hAnsi="Times New Roman"/>
                <w:szCs w:val="20"/>
              </w:rPr>
              <w:t xml:space="preserve">Verifica se </w:t>
            </w:r>
            <w:r w:rsidR="005006F5" w:rsidRPr="00FA3856">
              <w:rPr>
                <w:rFonts w:ascii="Times New Roman" w:hAnsi="Times New Roman"/>
                <w:szCs w:val="20"/>
              </w:rPr>
              <w:t xml:space="preserve">X355.PERCENTUAL </w:t>
            </w:r>
            <w:r w:rsidRPr="00FA3856">
              <w:rPr>
                <w:rFonts w:ascii="Times New Roman" w:hAnsi="Times New Roman"/>
                <w:szCs w:val="20"/>
              </w:rPr>
              <w:t xml:space="preserve">é igual ao resultado da divisão de </w:t>
            </w:r>
            <w:r w:rsidR="005006F5" w:rsidRPr="00FA3856">
              <w:rPr>
                <w:rFonts w:ascii="Times New Roman" w:hAnsi="Times New Roman"/>
                <w:szCs w:val="20"/>
              </w:rPr>
              <w:t>X355.REND_ATIV_PROP por X355.REND_TOTAL</w:t>
            </w:r>
            <w:r w:rsidR="003B51F8" w:rsidRPr="00FA3856">
              <w:rPr>
                <w:rFonts w:ascii="Times New Roman" w:hAnsi="Times New Roman"/>
                <w:szCs w:val="20"/>
              </w:rPr>
              <w:t>, quando X355.REND_TOTAL &gt; 0.</w:t>
            </w:r>
          </w:p>
        </w:tc>
        <w:tc>
          <w:tcPr>
            <w:tcW w:w="717" w:type="dxa"/>
            <w:tcBorders>
              <w:top w:val="single" w:sz="6" w:space="0" w:color="auto"/>
              <w:left w:val="single" w:sz="6" w:space="0" w:color="auto"/>
              <w:bottom w:val="single" w:sz="6" w:space="0" w:color="auto"/>
              <w:right w:val="single" w:sz="6" w:space="0" w:color="auto"/>
            </w:tcBorders>
          </w:tcPr>
          <w:p w:rsidR="0081210D" w:rsidRPr="00FA3856" w:rsidRDefault="0081210D" w:rsidP="00177984">
            <w:pPr>
              <w:pStyle w:val="PSDS-CorpodeTexto0"/>
              <w:rPr>
                <w:rFonts w:ascii="Times New Roman" w:hAnsi="Times New Roman"/>
              </w:rPr>
            </w:pPr>
            <w:r w:rsidRPr="00FA3856">
              <w:rPr>
                <w:rFonts w:ascii="Times New Roman" w:hAnsi="Times New Roman"/>
              </w:rPr>
              <w:t>Erro</w:t>
            </w:r>
          </w:p>
          <w:p w:rsidR="0081210D" w:rsidRPr="00FA3856" w:rsidRDefault="0081210D" w:rsidP="00177984">
            <w:pPr>
              <w:pStyle w:val="PSDS-CorpodeTexto0"/>
              <w:rPr>
                <w:rFonts w:ascii="Times New Roman" w:hAnsi="Times New Roman"/>
              </w:rPr>
            </w:pPr>
          </w:p>
        </w:tc>
      </w:tr>
    </w:tbl>
    <w:p w:rsidR="00B5403A" w:rsidRDefault="00177984" w:rsidP="00C0502A">
      <w:pPr>
        <w:pStyle w:val="Corpodetexto"/>
        <w:rPr>
          <w:rFonts w:ascii="Times New Roman" w:hAnsi="Times New Roman"/>
          <w:b/>
          <w:color w:val="002060"/>
          <w:szCs w:val="20"/>
        </w:rPr>
      </w:pPr>
      <w:r w:rsidRPr="00FA3856">
        <w:rPr>
          <w:rFonts w:ascii="Times New Roman" w:hAnsi="Times New Roman"/>
          <w:b/>
          <w:color w:val="002060"/>
          <w:szCs w:val="20"/>
        </w:rPr>
        <w:t xml:space="preserve">Exemplo de Preenchimento: </w:t>
      </w:r>
    </w:p>
    <w:p w:rsidR="00B5403A" w:rsidRDefault="00B5403A" w:rsidP="00C0502A">
      <w:pPr>
        <w:pStyle w:val="Corpodetexto"/>
        <w:rPr>
          <w:rFonts w:ascii="Times New Roman" w:hAnsi="Times New Roman"/>
          <w:b/>
          <w:color w:val="002060"/>
          <w:szCs w:val="20"/>
        </w:rPr>
      </w:pPr>
    </w:p>
    <w:p w:rsidR="00C0502A" w:rsidRPr="00FA3856" w:rsidRDefault="00C0502A" w:rsidP="00C0502A">
      <w:pPr>
        <w:pStyle w:val="Corpodetexto"/>
        <w:rPr>
          <w:rFonts w:ascii="Times New Roman" w:hAnsi="Times New Roman"/>
          <w:b/>
          <w:color w:val="002060"/>
          <w:szCs w:val="20"/>
        </w:rPr>
      </w:pPr>
      <w:r w:rsidRPr="00FA3856">
        <w:rPr>
          <w:rFonts w:ascii="Times New Roman" w:hAnsi="Times New Roman"/>
          <w:b/>
          <w:color w:val="002060"/>
          <w:szCs w:val="20"/>
        </w:rPr>
        <w:t>|X355|100000,00|250000,00|1000000,00|2500000,00|900000,00|2250000,00|90,00|</w:t>
      </w:r>
    </w:p>
    <w:p w:rsidR="00C0502A" w:rsidRPr="00FA3856" w:rsidRDefault="00C0502A" w:rsidP="00C0502A">
      <w:pPr>
        <w:pStyle w:val="Corpodetexto"/>
        <w:ind w:firstLine="708"/>
        <w:rPr>
          <w:rFonts w:ascii="Times New Roman" w:hAnsi="Times New Roman"/>
          <w:color w:val="002060"/>
          <w:szCs w:val="20"/>
        </w:rPr>
      </w:pPr>
      <w:r w:rsidRPr="00FA3856">
        <w:rPr>
          <w:rFonts w:ascii="Times New Roman" w:hAnsi="Times New Roman"/>
          <w:color w:val="002060"/>
          <w:szCs w:val="20"/>
        </w:rPr>
        <w:t>|X355|: Identificação do tipo do registro.</w:t>
      </w:r>
    </w:p>
    <w:p w:rsidR="00C0502A" w:rsidRPr="00FA3856" w:rsidRDefault="00C0502A" w:rsidP="00C0502A">
      <w:pPr>
        <w:pStyle w:val="Corpodetexto"/>
        <w:ind w:firstLine="708"/>
        <w:rPr>
          <w:rFonts w:ascii="Times New Roman" w:hAnsi="Times New Roman"/>
          <w:color w:val="002060"/>
          <w:szCs w:val="20"/>
        </w:rPr>
      </w:pPr>
      <w:r w:rsidRPr="00FA3856">
        <w:rPr>
          <w:rFonts w:ascii="Times New Roman" w:hAnsi="Times New Roman"/>
          <w:color w:val="002060"/>
          <w:szCs w:val="20"/>
        </w:rPr>
        <w:t>|100000,00|: Renda passiva própria em moeda do país de domicílio (U$ 100.000,00).</w:t>
      </w:r>
    </w:p>
    <w:p w:rsidR="00C0502A" w:rsidRPr="00FA3856" w:rsidRDefault="00C0502A" w:rsidP="00C0502A">
      <w:pPr>
        <w:pStyle w:val="Corpodetexto"/>
        <w:ind w:firstLine="708"/>
        <w:rPr>
          <w:rFonts w:ascii="Times New Roman" w:hAnsi="Times New Roman"/>
          <w:color w:val="002060"/>
          <w:szCs w:val="20"/>
        </w:rPr>
      </w:pPr>
      <w:r w:rsidRPr="00FA3856">
        <w:rPr>
          <w:rFonts w:ascii="Times New Roman" w:hAnsi="Times New Roman"/>
          <w:color w:val="002060"/>
          <w:szCs w:val="20"/>
        </w:rPr>
        <w:t>|250000,00|: Renda passiva própria em reais (R$ 250.000,00).</w:t>
      </w:r>
    </w:p>
    <w:p w:rsidR="00C0502A" w:rsidRPr="00FA3856" w:rsidRDefault="00C0502A" w:rsidP="00C0502A">
      <w:pPr>
        <w:pStyle w:val="Corpodetexto"/>
        <w:ind w:firstLine="708"/>
        <w:rPr>
          <w:rFonts w:ascii="Times New Roman" w:hAnsi="Times New Roman"/>
          <w:color w:val="002060"/>
          <w:szCs w:val="20"/>
        </w:rPr>
      </w:pPr>
      <w:r w:rsidRPr="00FA3856">
        <w:rPr>
          <w:rFonts w:ascii="Times New Roman" w:hAnsi="Times New Roman"/>
          <w:color w:val="002060"/>
          <w:szCs w:val="20"/>
        </w:rPr>
        <w:t>|1000000,00|: Renda total em moeda do país de domicílio (U$ 1.000.000,00).</w:t>
      </w:r>
    </w:p>
    <w:p w:rsidR="00C0502A" w:rsidRPr="00FA3856" w:rsidRDefault="00C0502A" w:rsidP="00C0502A">
      <w:pPr>
        <w:pStyle w:val="Corpodetexto"/>
        <w:ind w:firstLine="708"/>
        <w:rPr>
          <w:rFonts w:ascii="Times New Roman" w:hAnsi="Times New Roman"/>
          <w:color w:val="002060"/>
          <w:szCs w:val="20"/>
        </w:rPr>
      </w:pPr>
      <w:r w:rsidRPr="00FA3856">
        <w:rPr>
          <w:rFonts w:ascii="Times New Roman" w:hAnsi="Times New Roman"/>
          <w:color w:val="002060"/>
          <w:szCs w:val="20"/>
        </w:rPr>
        <w:t>|2500000,00|: Renda total em reais (R$ 2.500.000,00).</w:t>
      </w:r>
    </w:p>
    <w:p w:rsidR="00C0502A" w:rsidRPr="00FA3856" w:rsidRDefault="00C0502A" w:rsidP="00C0502A">
      <w:pPr>
        <w:pStyle w:val="Corpodetexto"/>
        <w:ind w:firstLine="708"/>
        <w:rPr>
          <w:rFonts w:ascii="Times New Roman" w:hAnsi="Times New Roman"/>
          <w:color w:val="002060"/>
          <w:szCs w:val="20"/>
        </w:rPr>
      </w:pPr>
      <w:r w:rsidRPr="00FA3856">
        <w:rPr>
          <w:rFonts w:ascii="Times New Roman" w:hAnsi="Times New Roman"/>
          <w:color w:val="002060"/>
          <w:szCs w:val="20"/>
        </w:rPr>
        <w:t>|900000,00|: Renda ativa própria em moeda do país de domicílio (U$ 900.000,00 = U$ 1.000.000,0 – U$ 100.000,00).</w:t>
      </w:r>
    </w:p>
    <w:p w:rsidR="00C0502A" w:rsidRPr="00FA3856" w:rsidRDefault="00C0502A" w:rsidP="00C0502A">
      <w:pPr>
        <w:pStyle w:val="Corpodetexto"/>
        <w:ind w:firstLine="708"/>
        <w:rPr>
          <w:rFonts w:ascii="Times New Roman" w:hAnsi="Times New Roman"/>
          <w:color w:val="002060"/>
          <w:szCs w:val="20"/>
        </w:rPr>
      </w:pPr>
      <w:r w:rsidRPr="00FA3856">
        <w:rPr>
          <w:rFonts w:ascii="Times New Roman" w:hAnsi="Times New Roman"/>
          <w:color w:val="002060"/>
          <w:szCs w:val="20"/>
        </w:rPr>
        <w:t>|2250000,00|: Renda ativa própria em reais (R$ 2.250.000,00 = R$ 2.500.000,00 – R$ 250.000,00).</w:t>
      </w:r>
    </w:p>
    <w:p w:rsidR="00C0502A" w:rsidRPr="00FA3856" w:rsidRDefault="00C0502A" w:rsidP="00C0502A">
      <w:pPr>
        <w:pStyle w:val="Corpodetexto"/>
        <w:ind w:firstLine="708"/>
        <w:rPr>
          <w:rFonts w:ascii="Times New Roman" w:hAnsi="Times New Roman"/>
          <w:color w:val="002060"/>
          <w:szCs w:val="20"/>
        </w:rPr>
      </w:pPr>
      <w:r w:rsidRPr="00FA3856">
        <w:rPr>
          <w:rFonts w:ascii="Times New Roman" w:hAnsi="Times New Roman"/>
          <w:color w:val="002060"/>
          <w:szCs w:val="20"/>
        </w:rPr>
        <w:t>|90,00|: Valor percentual (U$ 900.000,00/U$ 1.000.000,00 = 90%).</w:t>
      </w:r>
    </w:p>
    <w:p w:rsidR="00C0502A" w:rsidRPr="00FA3856" w:rsidRDefault="00C0502A" w:rsidP="00C0502A">
      <w:pPr>
        <w:pStyle w:val="Corpodetexto"/>
        <w:ind w:firstLine="708"/>
        <w:rPr>
          <w:rFonts w:ascii="Times New Roman" w:hAnsi="Times New Roman"/>
          <w:color w:val="002060"/>
          <w:szCs w:val="20"/>
        </w:rPr>
      </w:pPr>
    </w:p>
    <w:p w:rsidR="00C0502A" w:rsidRPr="00FA3856" w:rsidRDefault="00C0502A" w:rsidP="00C0502A">
      <w:pPr>
        <w:pStyle w:val="Corpodetexto"/>
        <w:ind w:firstLine="708"/>
        <w:rPr>
          <w:rFonts w:ascii="Times New Roman" w:hAnsi="Times New Roman"/>
          <w:color w:val="002060"/>
          <w:szCs w:val="20"/>
        </w:rPr>
      </w:pPr>
    </w:p>
    <w:p w:rsidR="00C0502A" w:rsidRPr="00FA3856" w:rsidRDefault="00C0502A" w:rsidP="00C0502A">
      <w:pPr>
        <w:pStyle w:val="Corpodetexto"/>
        <w:ind w:firstLine="708"/>
        <w:rPr>
          <w:rFonts w:ascii="Times New Roman" w:hAnsi="Times New Roman"/>
          <w:color w:val="002060"/>
          <w:szCs w:val="20"/>
        </w:rPr>
      </w:pPr>
    </w:p>
    <w:p w:rsidR="0081210D" w:rsidRPr="00FA3856" w:rsidRDefault="0081210D" w:rsidP="0081210D">
      <w:pPr>
        <w:rPr>
          <w:color w:val="0000FF"/>
          <w:szCs w:val="20"/>
        </w:rPr>
      </w:pPr>
    </w:p>
    <w:p w:rsidR="0081210D" w:rsidRPr="00FA3856" w:rsidRDefault="0081210D">
      <w:pPr>
        <w:spacing w:after="200" w:line="276" w:lineRule="auto"/>
        <w:rPr>
          <w:b/>
          <w:bCs/>
          <w:color w:val="0000FF"/>
          <w:szCs w:val="20"/>
        </w:rPr>
      </w:pPr>
      <w:r w:rsidRPr="00FA3856">
        <w:rPr>
          <w:color w:val="0000FF"/>
          <w:szCs w:val="20"/>
        </w:rPr>
        <w:br w:type="page"/>
      </w:r>
    </w:p>
    <w:p w:rsidR="0081210D" w:rsidRPr="00FA3856" w:rsidRDefault="0081210D" w:rsidP="00867F54">
      <w:pPr>
        <w:pStyle w:val="Ttulo4"/>
      </w:pPr>
      <w:bookmarkStart w:id="404" w:name="_Toc479713807"/>
      <w:r w:rsidRPr="00FA3856">
        <w:lastRenderedPageBreak/>
        <w:t>Registro X356: Demonstrativo de Estrutura Societária</w:t>
      </w:r>
      <w:bookmarkEnd w:id="404"/>
    </w:p>
    <w:p w:rsidR="0081210D" w:rsidRPr="00FA3856" w:rsidRDefault="0081210D" w:rsidP="0081210D">
      <w:pPr>
        <w:rPr>
          <w:szCs w:val="20"/>
        </w:rPr>
      </w:pPr>
    </w:p>
    <w:p w:rsidR="003163E0" w:rsidRPr="00FA3856" w:rsidRDefault="0081210D" w:rsidP="003163E0">
      <w:pPr>
        <w:ind w:firstLine="708"/>
        <w:jc w:val="both"/>
        <w:rPr>
          <w:szCs w:val="20"/>
        </w:rPr>
      </w:pPr>
      <w:r w:rsidRPr="00FA3856">
        <w:rPr>
          <w:bCs/>
          <w:szCs w:val="20"/>
        </w:rPr>
        <w:t>Este registro deve ser preenchido pelas pessoas jurídicas para de</w:t>
      </w:r>
      <w:r w:rsidR="003163E0" w:rsidRPr="00FA3856">
        <w:rPr>
          <w:bCs/>
          <w:szCs w:val="20"/>
        </w:rPr>
        <w:t xml:space="preserve">monstrar a estrutura societária no exterior </w:t>
      </w:r>
      <w:r w:rsidR="003163E0" w:rsidRPr="00FA3856">
        <w:rPr>
          <w:szCs w:val="20"/>
        </w:rPr>
        <w:t>de controladas, diretas ou indiretas, equiparadas ou coligadas.</w:t>
      </w:r>
    </w:p>
    <w:p w:rsidR="003B3C7D" w:rsidRPr="00FA3856" w:rsidRDefault="003B3C7D" w:rsidP="003163E0">
      <w:pPr>
        <w:ind w:firstLine="708"/>
        <w:jc w:val="both"/>
        <w:rPr>
          <w:szCs w:val="20"/>
        </w:rPr>
      </w:pPr>
    </w:p>
    <w:p w:rsidR="003B3C7D" w:rsidRPr="00FA3856" w:rsidRDefault="003B3C7D" w:rsidP="003B3C7D">
      <w:pPr>
        <w:ind w:firstLine="708"/>
        <w:jc w:val="both"/>
        <w:rPr>
          <w:b/>
          <w:bCs/>
          <w:szCs w:val="20"/>
        </w:rPr>
      </w:pPr>
      <w:r w:rsidRPr="00FA3856">
        <w:rPr>
          <w:b/>
          <w:bCs/>
          <w:szCs w:val="20"/>
        </w:rPr>
        <w:t>Observação: Este demonstrativo é o que se refere o inciso VI do art. 35 da Instrução Normativa RFB n</w:t>
      </w:r>
      <w:r w:rsidRPr="00FA3856">
        <w:rPr>
          <w:b/>
          <w:bCs/>
          <w:szCs w:val="20"/>
          <w:u w:val="single"/>
          <w:vertAlign w:val="superscript"/>
        </w:rPr>
        <w:t>o</w:t>
      </w:r>
      <w:r w:rsidRPr="00FA3856">
        <w:rPr>
          <w:b/>
          <w:bCs/>
          <w:szCs w:val="20"/>
        </w:rPr>
        <w:t xml:space="preserve"> 1.520, de 4 de dezembro de 2014.</w:t>
      </w:r>
    </w:p>
    <w:p w:rsidR="0081210D" w:rsidRDefault="0081210D" w:rsidP="0081210D">
      <w:pPr>
        <w:pStyle w:val="PSDS-MarcadoresNivel4"/>
        <w:tabs>
          <w:tab w:val="clear" w:pos="2271"/>
          <w:tab w:val="left" w:pos="720"/>
        </w:tabs>
        <w:spacing w:before="0" w:after="0"/>
        <w:ind w:left="0" w:firstLine="0"/>
        <w:rPr>
          <w:rFonts w:ascii="Times New Roman" w:hAnsi="Times New Roman" w:cs="Times New Roman"/>
          <w:szCs w:val="20"/>
          <w:lang w:val="pt-PT"/>
        </w:rPr>
      </w:pPr>
    </w:p>
    <w:p w:rsidR="009354A7" w:rsidRPr="00FA3856" w:rsidRDefault="00B35FA3" w:rsidP="009354A7">
      <w:pPr>
        <w:pStyle w:val="PSDS-MarcadoresNivel4"/>
        <w:tabs>
          <w:tab w:val="clear" w:pos="2271"/>
          <w:tab w:val="left" w:pos="720"/>
        </w:tabs>
        <w:spacing w:before="0" w:after="0"/>
        <w:ind w:left="0" w:firstLine="0"/>
        <w:jc w:val="center"/>
        <w:rPr>
          <w:rFonts w:ascii="Times New Roman" w:hAnsi="Times New Roman" w:cs="Times New Roman"/>
          <w:szCs w:val="20"/>
          <w:lang w:val="pt-PT"/>
        </w:rPr>
      </w:pPr>
      <w:r>
        <w:rPr>
          <w:rFonts w:ascii="Times New Roman" w:hAnsi="Times New Roman" w:cs="Times New Roman"/>
          <w:szCs w:val="20"/>
          <w:lang w:val="pt-PT"/>
        </w:rPr>
        <w:object w:dxaOrig="14835" w:dyaOrig="3630">
          <v:shape id="_x0000_i1973" type="#_x0000_t75" style="width:792.75pt;height:176.25pt" o:ole="">
            <v:imagedata r:id="rId731" o:title=""/>
          </v:shape>
          <o:OLEObject Type="Link" ProgID="Excel.Sheet.12" ShapeID="_x0000_i1973" DrawAspect="Content" r:id="rId732" UpdateMode="Always">
            <o:LinkType>EnhancedMetaFile</o:LinkType>
            <o:LockedField>false</o:LockedField>
          </o:OLEObject>
        </w:object>
      </w:r>
    </w:p>
    <w:p w:rsidR="009354A7" w:rsidRDefault="009354A7" w:rsidP="0081210D">
      <w:pPr>
        <w:pStyle w:val="PSDS-MarcadoresNivel4"/>
        <w:tabs>
          <w:tab w:val="clear" w:pos="2271"/>
          <w:tab w:val="left" w:pos="720"/>
        </w:tabs>
        <w:spacing w:before="0" w:after="0"/>
        <w:ind w:left="0" w:firstLine="0"/>
        <w:rPr>
          <w:rFonts w:ascii="Times New Roman" w:hAnsi="Times New Roman" w:cs="Times New Roman"/>
          <w:szCs w:val="20"/>
          <w:lang w:val="pt-PT"/>
        </w:rPr>
      </w:pPr>
    </w:p>
    <w:p w:rsidR="0081210D" w:rsidRPr="00FA3856" w:rsidRDefault="0081210D" w:rsidP="0081210D">
      <w:pPr>
        <w:pStyle w:val="PSDS-MarcadoresNivel4"/>
        <w:tabs>
          <w:tab w:val="clear" w:pos="2271"/>
          <w:tab w:val="left" w:pos="720"/>
        </w:tabs>
        <w:spacing w:before="0" w:after="0"/>
        <w:ind w:left="0" w:firstLine="0"/>
        <w:rPr>
          <w:rFonts w:ascii="Times New Roman" w:hAnsi="Times New Roman" w:cs="Times New Roman"/>
          <w:szCs w:val="20"/>
          <w:lang w:val="pt-PT"/>
        </w:rPr>
      </w:pPr>
      <w:r w:rsidRPr="00FA3856">
        <w:rPr>
          <w:rFonts w:ascii="Times New Roman" w:hAnsi="Times New Roman" w:cs="Times New Roman"/>
          <w:szCs w:val="20"/>
          <w:lang w:val="pt-PT"/>
        </w:rPr>
        <w:t>I – Regra de Validação de Registro:</w:t>
      </w:r>
    </w:p>
    <w:p w:rsidR="0081210D" w:rsidRPr="00FA3856" w:rsidRDefault="0081210D" w:rsidP="0081210D">
      <w:pPr>
        <w:pStyle w:val="PSDS-MarcadoresNivel4"/>
        <w:tabs>
          <w:tab w:val="clear" w:pos="2271"/>
          <w:tab w:val="left" w:pos="720"/>
        </w:tabs>
        <w:spacing w:before="0" w:after="0"/>
        <w:ind w:left="0" w:firstLine="0"/>
        <w:rPr>
          <w:rFonts w:ascii="Times New Roman" w:hAnsi="Times New Roman" w:cs="Times New Roman"/>
          <w:szCs w:val="20"/>
          <w:lang w:val="pt-PT"/>
        </w:rPr>
      </w:pPr>
    </w:p>
    <w:p w:rsidR="0081210D" w:rsidRPr="00FA3856" w:rsidRDefault="00177984" w:rsidP="0081210D">
      <w:pPr>
        <w:pStyle w:val="PSDS-MarcadoresNivel4"/>
        <w:tabs>
          <w:tab w:val="clear" w:pos="2271"/>
          <w:tab w:val="left" w:pos="720"/>
        </w:tabs>
        <w:spacing w:before="0" w:after="0"/>
        <w:ind w:left="0" w:firstLine="0"/>
        <w:rPr>
          <w:rFonts w:ascii="Times New Roman" w:hAnsi="Times New Roman" w:cs="Times New Roman"/>
          <w:b w:val="0"/>
          <w:color w:val="000000"/>
          <w:szCs w:val="20"/>
          <w:lang w:val="pt-PT"/>
        </w:rPr>
      </w:pPr>
      <w:r w:rsidRPr="00FA3856">
        <w:rPr>
          <w:rFonts w:ascii="Times New Roman" w:hAnsi="Times New Roman" w:cs="Times New Roman"/>
          <w:bCs w:val="0"/>
          <w:szCs w:val="20"/>
        </w:rPr>
        <w:tab/>
      </w:r>
      <w:r w:rsidR="0081210D" w:rsidRPr="00FA3856">
        <w:rPr>
          <w:rFonts w:ascii="Times New Roman" w:hAnsi="Times New Roman" w:cs="Times New Roman"/>
          <w:bCs w:val="0"/>
          <w:szCs w:val="20"/>
        </w:rPr>
        <w:t xml:space="preserve">REGRA_X356_PREENCHER: </w:t>
      </w:r>
      <w:r w:rsidR="0081210D" w:rsidRPr="00FA3856">
        <w:rPr>
          <w:rFonts w:ascii="Times New Roman" w:hAnsi="Times New Roman" w:cs="Times New Roman"/>
          <w:b w:val="0"/>
          <w:bCs w:val="0"/>
          <w:szCs w:val="20"/>
        </w:rPr>
        <w:t>Este registro só ser preenchido/habilitado quando X340.</w:t>
      </w:r>
      <w:r w:rsidR="0081210D" w:rsidRPr="00FA3856">
        <w:rPr>
          <w:rFonts w:ascii="Times New Roman" w:hAnsi="Times New Roman" w:cs="Times New Roman"/>
          <w:b w:val="0"/>
          <w:color w:val="000000"/>
          <w:szCs w:val="20"/>
          <w:lang w:val="pt-PT"/>
        </w:rPr>
        <w:t>IND_CONTROLE for diferente de “6” (Coligada em Regime de Caixa).</w:t>
      </w:r>
    </w:p>
    <w:p w:rsidR="00C0502A" w:rsidRPr="00FA3856" w:rsidRDefault="00C0502A" w:rsidP="00C0502A">
      <w:pPr>
        <w:pStyle w:val="Corpodetexto"/>
        <w:rPr>
          <w:rFonts w:ascii="Times New Roman" w:hAnsi="Times New Roman"/>
          <w:b/>
          <w:color w:val="002060"/>
          <w:szCs w:val="20"/>
        </w:rPr>
      </w:pPr>
    </w:p>
    <w:p w:rsidR="009354A7" w:rsidRDefault="00177984" w:rsidP="00C0502A">
      <w:pPr>
        <w:pStyle w:val="Corpodetexto"/>
        <w:rPr>
          <w:rFonts w:ascii="Times New Roman" w:hAnsi="Times New Roman"/>
          <w:b/>
          <w:color w:val="002060"/>
          <w:szCs w:val="20"/>
        </w:rPr>
      </w:pPr>
      <w:r w:rsidRPr="00FA3856">
        <w:rPr>
          <w:rFonts w:ascii="Times New Roman" w:hAnsi="Times New Roman"/>
          <w:b/>
          <w:color w:val="002060"/>
          <w:szCs w:val="20"/>
        </w:rPr>
        <w:t xml:space="preserve">Exemplo de Preenchimento: </w:t>
      </w:r>
    </w:p>
    <w:p w:rsidR="009354A7" w:rsidRDefault="009354A7" w:rsidP="00C0502A">
      <w:pPr>
        <w:pStyle w:val="Corpodetexto"/>
        <w:rPr>
          <w:rFonts w:ascii="Times New Roman" w:hAnsi="Times New Roman"/>
          <w:b/>
          <w:color w:val="002060"/>
          <w:szCs w:val="20"/>
        </w:rPr>
      </w:pPr>
    </w:p>
    <w:p w:rsidR="00C0502A" w:rsidRPr="00FA3856" w:rsidRDefault="00C0502A" w:rsidP="00C0502A">
      <w:pPr>
        <w:pStyle w:val="Corpodetexto"/>
        <w:rPr>
          <w:rFonts w:ascii="Times New Roman" w:hAnsi="Times New Roman"/>
          <w:b/>
          <w:color w:val="002060"/>
          <w:szCs w:val="20"/>
        </w:rPr>
      </w:pPr>
      <w:r w:rsidRPr="00FA3856">
        <w:rPr>
          <w:rFonts w:ascii="Times New Roman" w:hAnsi="Times New Roman"/>
          <w:b/>
          <w:color w:val="002060"/>
          <w:szCs w:val="20"/>
        </w:rPr>
        <w:t>|X356|50,00|1000000,00|200000,00|</w:t>
      </w:r>
    </w:p>
    <w:p w:rsidR="00C0502A" w:rsidRPr="00FA3856" w:rsidRDefault="00C0502A" w:rsidP="00C0502A">
      <w:pPr>
        <w:pStyle w:val="Corpodetexto"/>
        <w:ind w:firstLine="708"/>
        <w:rPr>
          <w:rFonts w:ascii="Times New Roman" w:hAnsi="Times New Roman"/>
          <w:color w:val="002060"/>
          <w:szCs w:val="20"/>
        </w:rPr>
      </w:pPr>
      <w:r w:rsidRPr="00FA3856">
        <w:rPr>
          <w:rFonts w:ascii="Times New Roman" w:hAnsi="Times New Roman"/>
          <w:color w:val="002060"/>
          <w:szCs w:val="20"/>
        </w:rPr>
        <w:t>|X356|: Identificação do tipo do registro.</w:t>
      </w:r>
    </w:p>
    <w:p w:rsidR="00C0502A" w:rsidRPr="00FA3856" w:rsidRDefault="00C0502A" w:rsidP="00C0502A">
      <w:pPr>
        <w:pStyle w:val="Corpodetexto"/>
        <w:ind w:firstLine="708"/>
        <w:rPr>
          <w:rFonts w:ascii="Times New Roman" w:hAnsi="Times New Roman"/>
          <w:color w:val="002060"/>
          <w:szCs w:val="20"/>
        </w:rPr>
      </w:pPr>
      <w:r w:rsidRPr="00FA3856">
        <w:rPr>
          <w:rFonts w:ascii="Times New Roman" w:hAnsi="Times New Roman"/>
          <w:color w:val="002060"/>
          <w:szCs w:val="20"/>
        </w:rPr>
        <w:t>|50,00|: Percentual de participação (50%).</w:t>
      </w:r>
    </w:p>
    <w:p w:rsidR="00C0502A" w:rsidRPr="00FA3856" w:rsidRDefault="00C0502A" w:rsidP="00C0502A">
      <w:pPr>
        <w:pStyle w:val="Corpodetexto"/>
        <w:ind w:firstLine="708"/>
        <w:rPr>
          <w:rFonts w:ascii="Times New Roman" w:hAnsi="Times New Roman"/>
          <w:color w:val="002060"/>
          <w:szCs w:val="20"/>
        </w:rPr>
      </w:pPr>
      <w:r w:rsidRPr="00FA3856">
        <w:rPr>
          <w:rFonts w:ascii="Times New Roman" w:hAnsi="Times New Roman"/>
          <w:color w:val="002060"/>
          <w:szCs w:val="20"/>
        </w:rPr>
        <w:t>|1000000,00|: Ativo total (R$ 1.000,000,00).</w:t>
      </w:r>
    </w:p>
    <w:p w:rsidR="00C0502A" w:rsidRPr="00FA3856" w:rsidRDefault="00C0502A" w:rsidP="00C0502A">
      <w:pPr>
        <w:pStyle w:val="Corpodetexto"/>
        <w:ind w:firstLine="708"/>
        <w:rPr>
          <w:rFonts w:ascii="Times New Roman" w:hAnsi="Times New Roman"/>
          <w:color w:val="002060"/>
          <w:szCs w:val="20"/>
        </w:rPr>
      </w:pPr>
      <w:r w:rsidRPr="00FA3856">
        <w:rPr>
          <w:rFonts w:ascii="Times New Roman" w:hAnsi="Times New Roman"/>
          <w:color w:val="002060"/>
          <w:szCs w:val="20"/>
        </w:rPr>
        <w:t>|200000,00|: Patrimônio líquido (R$ 200.000,00).</w:t>
      </w:r>
    </w:p>
    <w:p w:rsidR="0081210D" w:rsidRPr="00FA3856" w:rsidRDefault="0081210D" w:rsidP="0081210D">
      <w:pPr>
        <w:pStyle w:val="PSDS-MarcadoresNivel4"/>
        <w:tabs>
          <w:tab w:val="clear" w:pos="2271"/>
          <w:tab w:val="left" w:pos="720"/>
        </w:tabs>
        <w:spacing w:before="0" w:after="0"/>
        <w:ind w:left="0" w:firstLine="0"/>
        <w:rPr>
          <w:rFonts w:ascii="Times New Roman" w:hAnsi="Times New Roman" w:cs="Times New Roman"/>
          <w:szCs w:val="20"/>
          <w:lang w:val="pt-PT"/>
        </w:rPr>
      </w:pPr>
    </w:p>
    <w:p w:rsidR="0081210D" w:rsidRPr="00FA3856" w:rsidRDefault="0081210D" w:rsidP="0081210D">
      <w:pPr>
        <w:rPr>
          <w:color w:val="0000FF"/>
          <w:szCs w:val="20"/>
        </w:rPr>
      </w:pPr>
    </w:p>
    <w:p w:rsidR="00FB7374" w:rsidRPr="00FA3856" w:rsidRDefault="00FB7374" w:rsidP="003F22C3">
      <w:pPr>
        <w:rPr>
          <w:color w:val="0000FF"/>
          <w:szCs w:val="20"/>
        </w:rPr>
      </w:pPr>
    </w:p>
    <w:p w:rsidR="00FB7374" w:rsidRPr="00FA3856" w:rsidRDefault="00525430" w:rsidP="00FB7374">
      <w:pPr>
        <w:spacing w:after="200" w:line="276" w:lineRule="auto"/>
        <w:rPr>
          <w:b/>
          <w:bCs/>
          <w:color w:val="0000FF"/>
          <w:szCs w:val="20"/>
        </w:rPr>
      </w:pPr>
      <w:r w:rsidRPr="00FA3856">
        <w:rPr>
          <w:color w:val="0000FF"/>
          <w:szCs w:val="20"/>
        </w:rPr>
        <w:br w:type="page"/>
      </w:r>
    </w:p>
    <w:p w:rsidR="00BA73FF" w:rsidRPr="00FA3856" w:rsidRDefault="00BA73FF" w:rsidP="00867F54">
      <w:pPr>
        <w:pStyle w:val="Ttulo4"/>
      </w:pPr>
      <w:bookmarkStart w:id="405" w:name="_Toc479713808"/>
      <w:r w:rsidRPr="00FA3856">
        <w:lastRenderedPageBreak/>
        <w:t>Registro X390: Origem e Aplicação de Recursos – Imunes e Isentas</w:t>
      </w:r>
      <w:bookmarkEnd w:id="405"/>
      <w:r w:rsidRPr="00FA3856">
        <w:t xml:space="preserve"> </w:t>
      </w:r>
    </w:p>
    <w:p w:rsidR="00BA73FF" w:rsidRPr="00FA3856" w:rsidRDefault="00BA73FF" w:rsidP="00BA73FF">
      <w:pPr>
        <w:rPr>
          <w:szCs w:val="20"/>
        </w:rPr>
      </w:pPr>
    </w:p>
    <w:p w:rsidR="007F6BED" w:rsidRPr="00FA3856" w:rsidRDefault="007F6BED" w:rsidP="007F6BED">
      <w:pPr>
        <w:ind w:firstLine="708"/>
        <w:jc w:val="both"/>
        <w:rPr>
          <w:bCs/>
          <w:szCs w:val="20"/>
        </w:rPr>
      </w:pPr>
      <w:r w:rsidRPr="00FA3856">
        <w:rPr>
          <w:bCs/>
          <w:szCs w:val="20"/>
        </w:rPr>
        <w:t>Este registro deve ser preenchido pelas pessoas jurídicas imunes ou isentas do imposto de renda. Neste registro, a pessoa jurídica discrimina a origem (receitas e demais entradas) e a aplicação (despesas e demais saídas) dos recursos auferidos e despendidos durante o ano-calendário.</w:t>
      </w:r>
    </w:p>
    <w:p w:rsidR="007F6BED" w:rsidRPr="00FA3856" w:rsidRDefault="007F6BED" w:rsidP="007F6BED">
      <w:pPr>
        <w:ind w:firstLine="708"/>
        <w:jc w:val="both"/>
        <w:rPr>
          <w:bCs/>
          <w:szCs w:val="20"/>
        </w:rPr>
      </w:pPr>
    </w:p>
    <w:p w:rsidR="007F6BED" w:rsidRPr="00FA3856" w:rsidRDefault="007F6BED" w:rsidP="007F6BED">
      <w:pPr>
        <w:ind w:firstLine="708"/>
        <w:jc w:val="both"/>
        <w:rPr>
          <w:bCs/>
          <w:szCs w:val="20"/>
        </w:rPr>
      </w:pPr>
      <w:r w:rsidRPr="00FA3856">
        <w:rPr>
          <w:bCs/>
          <w:szCs w:val="20"/>
        </w:rPr>
        <w:t>Discriminar os valores, em Reais, conforme melhor se enquadrarem entre os títulos apresen</w:t>
      </w:r>
      <w:r w:rsidR="00450781" w:rsidRPr="00FA3856">
        <w:rPr>
          <w:bCs/>
          <w:szCs w:val="20"/>
        </w:rPr>
        <w:t>tados, utilizando as linhas X390/7 (Outros Recursos) e X390/15</w:t>
      </w:r>
      <w:r w:rsidRPr="00FA3856">
        <w:rPr>
          <w:bCs/>
          <w:szCs w:val="20"/>
        </w:rPr>
        <w:t xml:space="preserve"> (Outras Despesas) somente em caso de impossibilidade de melhor classificação.</w:t>
      </w:r>
    </w:p>
    <w:p w:rsidR="007F6BED" w:rsidRPr="00FA3856" w:rsidRDefault="007F6BED" w:rsidP="007F6BED">
      <w:pPr>
        <w:ind w:firstLine="708"/>
        <w:jc w:val="both"/>
        <w:rPr>
          <w:bCs/>
          <w:szCs w:val="20"/>
        </w:rPr>
      </w:pPr>
    </w:p>
    <w:p w:rsidR="007F6BED" w:rsidRPr="00FA3856" w:rsidRDefault="007F6BED" w:rsidP="007F6BED">
      <w:pPr>
        <w:ind w:firstLine="708"/>
        <w:jc w:val="both"/>
        <w:rPr>
          <w:bCs/>
          <w:szCs w:val="20"/>
        </w:rPr>
      </w:pPr>
      <w:r w:rsidRPr="00FA3856">
        <w:rPr>
          <w:bCs/>
          <w:szCs w:val="20"/>
        </w:rPr>
        <w:t>Os empréstimos tomados deve</w:t>
      </w:r>
      <w:r w:rsidR="00F41C80" w:rsidRPr="00FA3856">
        <w:rPr>
          <w:bCs/>
          <w:szCs w:val="20"/>
        </w:rPr>
        <w:t>m ser incluídos na linha X390/6</w:t>
      </w:r>
      <w:r w:rsidRPr="00FA3856">
        <w:rPr>
          <w:bCs/>
          <w:szCs w:val="20"/>
        </w:rPr>
        <w:t xml:space="preserve"> (Doações e Subvenções).</w:t>
      </w:r>
    </w:p>
    <w:p w:rsidR="007F6BED" w:rsidRPr="00FA3856" w:rsidRDefault="007F6BED" w:rsidP="007F6BED">
      <w:pPr>
        <w:ind w:firstLine="708"/>
        <w:jc w:val="both"/>
        <w:rPr>
          <w:bCs/>
          <w:szCs w:val="20"/>
        </w:rPr>
      </w:pPr>
    </w:p>
    <w:p w:rsidR="007F6BED" w:rsidRPr="00FA3856" w:rsidRDefault="007F6BED" w:rsidP="007F6BED">
      <w:pPr>
        <w:ind w:firstLine="708"/>
        <w:jc w:val="both"/>
        <w:rPr>
          <w:bCs/>
          <w:szCs w:val="20"/>
        </w:rPr>
      </w:pPr>
      <w:r w:rsidRPr="00FA3856">
        <w:rPr>
          <w:bCs/>
          <w:szCs w:val="20"/>
        </w:rPr>
        <w:t>As amortizações e o pagamento de juros de</w:t>
      </w:r>
      <w:r w:rsidR="00F41C80" w:rsidRPr="00FA3856">
        <w:rPr>
          <w:bCs/>
          <w:szCs w:val="20"/>
        </w:rPr>
        <w:t>vem ser informados na linha X390/15</w:t>
      </w:r>
      <w:r w:rsidRPr="00FA3856">
        <w:rPr>
          <w:bCs/>
          <w:szCs w:val="20"/>
        </w:rPr>
        <w:t xml:space="preserve"> (Outras Despesas).</w:t>
      </w:r>
    </w:p>
    <w:p w:rsidR="00177984" w:rsidRDefault="00177984" w:rsidP="00FE5D23">
      <w:pPr>
        <w:rPr>
          <w:b/>
          <w:szCs w:val="20"/>
          <w:lang w:val="pt-PT"/>
        </w:rPr>
      </w:pPr>
    </w:p>
    <w:p w:rsidR="009354A7" w:rsidRPr="00FA3856" w:rsidRDefault="00B35FA3" w:rsidP="009354A7">
      <w:pPr>
        <w:jc w:val="center"/>
        <w:rPr>
          <w:b/>
          <w:szCs w:val="20"/>
          <w:lang w:val="pt-PT"/>
        </w:rPr>
      </w:pPr>
      <w:r>
        <w:rPr>
          <w:b/>
          <w:szCs w:val="20"/>
          <w:lang w:val="pt-PT"/>
        </w:rPr>
        <w:object w:dxaOrig="13950" w:dyaOrig="4725">
          <v:shape id="_x0000_i1975" type="#_x0000_t75" style="width:744.75pt;height:226.5pt" o:ole="">
            <v:imagedata r:id="rId733" o:title=""/>
          </v:shape>
          <o:OLEObject Type="Link" ProgID="Excel.Sheet.12" ShapeID="_x0000_i1975" DrawAspect="Content" r:id="rId734" UpdateMode="Always">
            <o:LinkType>EnhancedMetaFile</o:LinkType>
            <o:LockedField>false</o:LockedField>
          </o:OLEObject>
        </w:object>
      </w:r>
    </w:p>
    <w:p w:rsidR="009354A7" w:rsidRDefault="009354A7" w:rsidP="00FE5D23">
      <w:pPr>
        <w:rPr>
          <w:b/>
          <w:szCs w:val="20"/>
          <w:lang w:val="pt-PT"/>
        </w:rPr>
      </w:pPr>
    </w:p>
    <w:p w:rsidR="00FE5D23" w:rsidRPr="00FA3856" w:rsidRDefault="00FE5D23" w:rsidP="00FE5D23">
      <w:pPr>
        <w:rPr>
          <w:b/>
          <w:szCs w:val="20"/>
          <w:lang w:val="pt-PT"/>
        </w:rPr>
      </w:pPr>
      <w:r w:rsidRPr="00FA3856">
        <w:rPr>
          <w:b/>
          <w:szCs w:val="20"/>
          <w:lang w:val="pt-PT"/>
        </w:rPr>
        <w:t>I – Regras de Validação do Registro:</w:t>
      </w:r>
    </w:p>
    <w:p w:rsidR="00FE5D23" w:rsidRPr="00FA3856" w:rsidRDefault="00FE5D23" w:rsidP="00FE5D23">
      <w:pPr>
        <w:rPr>
          <w:b/>
          <w:szCs w:val="20"/>
          <w:lang w:val="pt-PT"/>
        </w:rPr>
      </w:pPr>
    </w:p>
    <w:p w:rsidR="00FE5D23" w:rsidRPr="00FA3856" w:rsidRDefault="007D0E74" w:rsidP="00FE5D23">
      <w:pPr>
        <w:pStyle w:val="Corpodetexto"/>
        <w:ind w:left="708" w:firstLine="12"/>
        <w:rPr>
          <w:rFonts w:ascii="Times New Roman" w:hAnsi="Times New Roman"/>
          <w:szCs w:val="20"/>
        </w:rPr>
      </w:pPr>
      <w:hyperlink r:id="rId735" w:anchor="REGRA_OCORRENCIA_UNITARIA_ARQ" w:history="1">
        <w:r w:rsidR="00FE5D23" w:rsidRPr="00FA3856">
          <w:rPr>
            <w:rFonts w:ascii="Times New Roman" w:hAnsi="Times New Roman"/>
            <w:b/>
            <w:szCs w:val="20"/>
          </w:rPr>
          <w:t>REGRA_</w:t>
        </w:r>
      </w:hyperlink>
      <w:r w:rsidR="00FE5D23" w:rsidRPr="00FA3856">
        <w:rPr>
          <w:rFonts w:ascii="Times New Roman" w:hAnsi="Times New Roman"/>
          <w:b/>
          <w:szCs w:val="20"/>
        </w:rPr>
        <w:t>DUPLICIDADE_DESPREZADA</w:t>
      </w:r>
      <w:r w:rsidR="00FE5D23" w:rsidRPr="00FA3856">
        <w:rPr>
          <w:rFonts w:ascii="Times New Roman" w:hAnsi="Times New Roman"/>
          <w:color w:val="auto"/>
          <w:szCs w:val="20"/>
        </w:rPr>
        <w:t xml:space="preserve">: </w:t>
      </w:r>
      <w:r w:rsidR="00FE5D23" w:rsidRPr="00FA3856">
        <w:rPr>
          <w:rFonts w:ascii="Times New Roman" w:hAnsi="Times New Roman"/>
          <w:szCs w:val="20"/>
        </w:rPr>
        <w:t>Verifica se o registro já foi importado anteriormente, de acordo com a chave e os registros pais. Se a regra não for cumprida, a ECF gera um aviso.</w:t>
      </w:r>
    </w:p>
    <w:p w:rsidR="00FE5D23" w:rsidRPr="00FA3856" w:rsidRDefault="00FE5D23" w:rsidP="00FE5D23">
      <w:pPr>
        <w:pStyle w:val="Corpodetexto"/>
        <w:ind w:left="708" w:firstLine="12"/>
        <w:rPr>
          <w:rFonts w:ascii="Times New Roman" w:hAnsi="Times New Roman"/>
          <w:szCs w:val="20"/>
        </w:rPr>
      </w:pPr>
    </w:p>
    <w:p w:rsidR="00FE5D23" w:rsidRPr="00FA3856" w:rsidRDefault="007D0E74" w:rsidP="00FE5D23">
      <w:pPr>
        <w:pStyle w:val="Corpodetexto"/>
        <w:ind w:left="708" w:firstLine="12"/>
        <w:rPr>
          <w:rFonts w:ascii="Times New Roman" w:hAnsi="Times New Roman"/>
          <w:szCs w:val="20"/>
        </w:rPr>
      </w:pPr>
      <w:hyperlink r:id="rId736" w:anchor="REGRA_OCORRENCIA_UNITARIA_ARQ" w:history="1">
        <w:r w:rsidR="00FE5D23" w:rsidRPr="00FA3856">
          <w:rPr>
            <w:rFonts w:ascii="Times New Roman" w:hAnsi="Times New Roman"/>
            <w:b/>
            <w:szCs w:val="20"/>
          </w:rPr>
          <w:t>REGRA_</w:t>
        </w:r>
      </w:hyperlink>
      <w:r w:rsidR="00FE5D23" w:rsidRPr="00FA3856">
        <w:rPr>
          <w:rFonts w:ascii="Times New Roman" w:hAnsi="Times New Roman"/>
          <w:b/>
          <w:szCs w:val="20"/>
        </w:rPr>
        <w:t>LINHA_DESPREZADA</w:t>
      </w:r>
      <w:r w:rsidR="00FE5D23" w:rsidRPr="00FA3856">
        <w:rPr>
          <w:rFonts w:ascii="Times New Roman" w:hAnsi="Times New Roman"/>
          <w:color w:val="auto"/>
          <w:szCs w:val="20"/>
        </w:rPr>
        <w:t xml:space="preserve">: </w:t>
      </w:r>
      <w:r w:rsidR="00FE5D23" w:rsidRPr="00FA3856">
        <w:rPr>
          <w:rFonts w:ascii="Times New Roman" w:hAnsi="Times New Roman"/>
          <w:szCs w:val="20"/>
        </w:rPr>
        <w:t>Verifica se o registro existe na importação, mas não será importado por não existir na tabela dinâmica devido às configurações do bloco 0 ou da tabela dinâmica. Gera um aviso.</w:t>
      </w:r>
    </w:p>
    <w:p w:rsidR="00FE5D23" w:rsidRPr="00FA3856" w:rsidRDefault="007D0E74" w:rsidP="00FE5D23">
      <w:pPr>
        <w:pStyle w:val="Corpodetexto"/>
        <w:ind w:left="708" w:firstLine="12"/>
        <w:rPr>
          <w:rFonts w:ascii="Times New Roman" w:hAnsi="Times New Roman"/>
          <w:b/>
          <w:szCs w:val="20"/>
        </w:rPr>
      </w:pPr>
      <w:hyperlink r:id="rId737" w:anchor="REGRA_OCORRENCIA_UNITARIA_ARQ" w:history="1">
        <w:r w:rsidR="00FE5D23" w:rsidRPr="00FA3856">
          <w:rPr>
            <w:rFonts w:ascii="Times New Roman" w:hAnsi="Times New Roman"/>
            <w:b/>
            <w:szCs w:val="20"/>
          </w:rPr>
          <w:t>REGRA_</w:t>
        </w:r>
      </w:hyperlink>
      <w:r w:rsidR="00FE5D23" w:rsidRPr="00FA3856">
        <w:rPr>
          <w:rFonts w:ascii="Times New Roman" w:hAnsi="Times New Roman"/>
          <w:b/>
          <w:szCs w:val="20"/>
        </w:rPr>
        <w:t>LINHA_ATUALIZADA</w:t>
      </w:r>
      <w:r w:rsidR="00FE5D23" w:rsidRPr="00FA3856">
        <w:rPr>
          <w:rFonts w:ascii="Times New Roman" w:hAnsi="Times New Roman"/>
          <w:color w:val="auto"/>
          <w:szCs w:val="20"/>
        </w:rPr>
        <w:t xml:space="preserve">: </w:t>
      </w:r>
      <w:r w:rsidR="00FE5D23" w:rsidRPr="00FA3856">
        <w:rPr>
          <w:rFonts w:ascii="Times New Roman" w:hAnsi="Times New Roman"/>
          <w:szCs w:val="20"/>
        </w:rPr>
        <w:t>Verifica se o registro está desatualizado em relação à tabela da RFB. Gera um aviso.</w:t>
      </w:r>
    </w:p>
    <w:p w:rsidR="00BA73FF" w:rsidRPr="00FA3856" w:rsidRDefault="00FE5D23" w:rsidP="00BA73FF">
      <w:pPr>
        <w:rPr>
          <w:b/>
          <w:szCs w:val="20"/>
          <w:lang w:val="pt-PT"/>
        </w:rPr>
      </w:pPr>
      <w:r w:rsidRPr="00FA3856">
        <w:rPr>
          <w:b/>
          <w:szCs w:val="20"/>
          <w:lang w:val="pt-PT"/>
        </w:rPr>
        <w:lastRenderedPageBreak/>
        <w:t>I</w:t>
      </w:r>
      <w:r w:rsidR="00BA73FF" w:rsidRPr="00FA3856">
        <w:rPr>
          <w:b/>
          <w:szCs w:val="20"/>
          <w:lang w:val="pt-PT"/>
        </w:rPr>
        <w:t>I – Regras de Validação de Campos:</w:t>
      </w:r>
    </w:p>
    <w:p w:rsidR="00BA73FF" w:rsidRPr="00FA3856" w:rsidRDefault="00BA73FF" w:rsidP="00BA73FF">
      <w:pPr>
        <w:rPr>
          <w:b/>
          <w:szCs w:val="20"/>
          <w:lang w:val="pt-PT"/>
        </w:rPr>
      </w:pPr>
    </w:p>
    <w:tbl>
      <w:tblPr>
        <w:tblW w:w="15319" w:type="dxa"/>
        <w:jc w:val="center"/>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85"/>
        <w:gridCol w:w="3002"/>
        <w:gridCol w:w="11115"/>
        <w:gridCol w:w="717"/>
      </w:tblGrid>
      <w:tr w:rsidR="00BA73FF" w:rsidRPr="00FA3856" w:rsidTr="00177984">
        <w:trPr>
          <w:jc w:val="center"/>
        </w:trPr>
        <w:tc>
          <w:tcPr>
            <w:tcW w:w="485" w:type="dxa"/>
            <w:tcBorders>
              <w:top w:val="single" w:sz="6" w:space="0" w:color="auto"/>
              <w:left w:val="single" w:sz="6" w:space="0" w:color="auto"/>
              <w:bottom w:val="single" w:sz="6" w:space="0" w:color="auto"/>
              <w:right w:val="single" w:sz="6" w:space="0" w:color="auto"/>
            </w:tcBorders>
            <w:shd w:val="pct10" w:color="auto" w:fill="FFFFFF"/>
            <w:hideMark/>
          </w:tcPr>
          <w:p w:rsidR="00BA73FF" w:rsidRPr="00FA3856" w:rsidRDefault="00BA73FF">
            <w:pPr>
              <w:pStyle w:val="PSDS-CorpodeTexto0"/>
              <w:spacing w:line="276" w:lineRule="auto"/>
              <w:jc w:val="center"/>
              <w:rPr>
                <w:rFonts w:ascii="Times New Roman" w:hAnsi="Times New Roman"/>
                <w:b/>
                <w:bCs/>
              </w:rPr>
            </w:pPr>
            <w:r w:rsidRPr="00FA3856">
              <w:rPr>
                <w:rFonts w:ascii="Times New Roman" w:hAnsi="Times New Roman"/>
                <w:b/>
                <w:bCs/>
              </w:rPr>
              <w:t>Nº</w:t>
            </w:r>
          </w:p>
        </w:tc>
        <w:tc>
          <w:tcPr>
            <w:tcW w:w="3002" w:type="dxa"/>
            <w:tcBorders>
              <w:top w:val="single" w:sz="6" w:space="0" w:color="auto"/>
              <w:left w:val="single" w:sz="6" w:space="0" w:color="auto"/>
              <w:bottom w:val="single" w:sz="6" w:space="0" w:color="auto"/>
              <w:right w:val="single" w:sz="6" w:space="0" w:color="auto"/>
            </w:tcBorders>
            <w:shd w:val="pct10" w:color="auto" w:fill="FFFFFF"/>
            <w:hideMark/>
          </w:tcPr>
          <w:p w:rsidR="00BA73FF" w:rsidRPr="00FA3856" w:rsidRDefault="00BA73FF">
            <w:pPr>
              <w:pStyle w:val="PSDS-CorpodeTexto0"/>
              <w:spacing w:line="276" w:lineRule="auto"/>
              <w:jc w:val="center"/>
              <w:rPr>
                <w:rFonts w:ascii="Times New Roman" w:hAnsi="Times New Roman"/>
                <w:b/>
                <w:bCs/>
              </w:rPr>
            </w:pPr>
            <w:r w:rsidRPr="00FA3856">
              <w:rPr>
                <w:rFonts w:ascii="Times New Roman" w:hAnsi="Times New Roman"/>
                <w:b/>
                <w:bCs/>
              </w:rPr>
              <w:t>Campo</w:t>
            </w:r>
          </w:p>
        </w:tc>
        <w:tc>
          <w:tcPr>
            <w:tcW w:w="11115" w:type="dxa"/>
            <w:tcBorders>
              <w:top w:val="single" w:sz="6" w:space="0" w:color="auto"/>
              <w:left w:val="single" w:sz="6" w:space="0" w:color="auto"/>
              <w:bottom w:val="single" w:sz="6" w:space="0" w:color="auto"/>
              <w:right w:val="single" w:sz="6" w:space="0" w:color="auto"/>
            </w:tcBorders>
            <w:shd w:val="pct10" w:color="auto" w:fill="FFFFFF"/>
            <w:hideMark/>
          </w:tcPr>
          <w:p w:rsidR="00BA73FF" w:rsidRPr="00FA3856" w:rsidRDefault="00BA73FF">
            <w:pPr>
              <w:pStyle w:val="PSDS-CorpodeTexto0"/>
              <w:spacing w:line="276" w:lineRule="auto"/>
              <w:jc w:val="center"/>
              <w:rPr>
                <w:rFonts w:ascii="Times New Roman" w:hAnsi="Times New Roman"/>
                <w:b/>
                <w:bCs/>
              </w:rPr>
            </w:pPr>
            <w:r w:rsidRPr="00FA3856">
              <w:rPr>
                <w:rFonts w:ascii="Times New Roman" w:hAnsi="Times New Roman"/>
                <w:b/>
                <w:bCs/>
              </w:rPr>
              <w:t>Regras de Validação do Campo</w:t>
            </w:r>
          </w:p>
        </w:tc>
        <w:tc>
          <w:tcPr>
            <w:tcW w:w="717" w:type="dxa"/>
            <w:tcBorders>
              <w:top w:val="single" w:sz="6" w:space="0" w:color="auto"/>
              <w:left w:val="single" w:sz="6" w:space="0" w:color="auto"/>
              <w:bottom w:val="single" w:sz="6" w:space="0" w:color="auto"/>
              <w:right w:val="single" w:sz="6" w:space="0" w:color="auto"/>
            </w:tcBorders>
            <w:shd w:val="pct10" w:color="auto" w:fill="FFFFFF"/>
            <w:hideMark/>
          </w:tcPr>
          <w:p w:rsidR="00BA73FF" w:rsidRPr="00FA3856" w:rsidRDefault="00BA73FF">
            <w:pPr>
              <w:pStyle w:val="PSDS-CorpodeTexto0"/>
              <w:spacing w:line="276" w:lineRule="auto"/>
              <w:jc w:val="center"/>
              <w:rPr>
                <w:rFonts w:ascii="Times New Roman" w:hAnsi="Times New Roman"/>
                <w:b/>
                <w:bCs/>
              </w:rPr>
            </w:pPr>
            <w:r w:rsidRPr="00FA3856">
              <w:rPr>
                <w:rFonts w:ascii="Times New Roman" w:hAnsi="Times New Roman"/>
                <w:b/>
                <w:bCs/>
              </w:rPr>
              <w:t>Tipo</w:t>
            </w:r>
          </w:p>
        </w:tc>
      </w:tr>
      <w:tr w:rsidR="0012324D" w:rsidRPr="00FA3856" w:rsidTr="00177984">
        <w:trPr>
          <w:jc w:val="center"/>
        </w:trPr>
        <w:tc>
          <w:tcPr>
            <w:tcW w:w="485" w:type="dxa"/>
            <w:tcBorders>
              <w:top w:val="single" w:sz="6" w:space="0" w:color="auto"/>
              <w:left w:val="single" w:sz="6" w:space="0" w:color="auto"/>
              <w:bottom w:val="single" w:sz="6" w:space="0" w:color="auto"/>
              <w:right w:val="single" w:sz="6" w:space="0" w:color="auto"/>
            </w:tcBorders>
            <w:hideMark/>
          </w:tcPr>
          <w:p w:rsidR="0012324D" w:rsidRPr="00FA3856" w:rsidRDefault="0012324D" w:rsidP="0012324D">
            <w:pPr>
              <w:pStyle w:val="PSDS-CorpodeTexto0"/>
              <w:suppressAutoHyphens w:val="0"/>
              <w:spacing w:line="276" w:lineRule="auto"/>
              <w:rPr>
                <w:rFonts w:ascii="Times New Roman" w:hAnsi="Times New Roman"/>
                <w:b/>
                <w:bCs/>
                <w:lang w:val="pt-PT"/>
              </w:rPr>
            </w:pPr>
            <w:r w:rsidRPr="00FA3856">
              <w:rPr>
                <w:rFonts w:ascii="Times New Roman" w:hAnsi="Times New Roman"/>
                <w:b/>
                <w:bCs/>
                <w:lang w:val="pt-PT"/>
              </w:rPr>
              <w:t>4</w:t>
            </w:r>
          </w:p>
        </w:tc>
        <w:tc>
          <w:tcPr>
            <w:tcW w:w="3002" w:type="dxa"/>
            <w:tcBorders>
              <w:top w:val="single" w:sz="6" w:space="0" w:color="auto"/>
              <w:left w:val="single" w:sz="6" w:space="0" w:color="auto"/>
              <w:bottom w:val="single" w:sz="6" w:space="0" w:color="auto"/>
              <w:right w:val="single" w:sz="6" w:space="0" w:color="auto"/>
            </w:tcBorders>
            <w:hideMark/>
          </w:tcPr>
          <w:p w:rsidR="0012324D" w:rsidRPr="00FA3856" w:rsidRDefault="0012324D" w:rsidP="0012324D">
            <w:pPr>
              <w:pStyle w:val="PSDS-CorpodeTexto0"/>
              <w:spacing w:line="276" w:lineRule="auto"/>
              <w:rPr>
                <w:rFonts w:ascii="Times New Roman" w:hAnsi="Times New Roman"/>
              </w:rPr>
            </w:pPr>
            <w:r w:rsidRPr="00FA3856">
              <w:rPr>
                <w:rFonts w:ascii="Times New Roman" w:hAnsi="Times New Roman"/>
              </w:rPr>
              <w:t>VALOR</w:t>
            </w:r>
          </w:p>
        </w:tc>
        <w:tc>
          <w:tcPr>
            <w:tcW w:w="11115" w:type="dxa"/>
            <w:tcBorders>
              <w:top w:val="single" w:sz="6" w:space="0" w:color="auto"/>
              <w:left w:val="single" w:sz="6" w:space="0" w:color="auto"/>
              <w:bottom w:val="single" w:sz="6" w:space="0" w:color="auto"/>
              <w:right w:val="single" w:sz="6" w:space="0" w:color="auto"/>
            </w:tcBorders>
            <w:hideMark/>
          </w:tcPr>
          <w:p w:rsidR="0012324D" w:rsidRPr="00FA3856" w:rsidRDefault="0012324D" w:rsidP="0012324D">
            <w:pPr>
              <w:pStyle w:val="Corpodetexto"/>
              <w:rPr>
                <w:rFonts w:ascii="Times New Roman" w:hAnsi="Times New Roman"/>
                <w:szCs w:val="20"/>
              </w:rPr>
            </w:pPr>
            <w:r w:rsidRPr="00FA3856">
              <w:rPr>
                <w:rFonts w:ascii="Times New Roman" w:hAnsi="Times New Roman"/>
                <w:b/>
                <w:bCs/>
                <w:szCs w:val="20"/>
              </w:rPr>
              <w:t>REGRA_OBRIGATORIO_TIPO_DIFERENTE_R</w:t>
            </w:r>
            <w:r w:rsidRPr="00FA3856">
              <w:rPr>
                <w:rFonts w:ascii="Times New Roman" w:hAnsi="Times New Roman"/>
                <w:szCs w:val="20"/>
              </w:rPr>
              <w:t xml:space="preserve">: </w:t>
            </w:r>
            <w:r w:rsidRPr="00FA3856">
              <w:rPr>
                <w:rStyle w:val="Hyperlink"/>
                <w:rFonts w:ascii="Times New Roman" w:hAnsi="Times New Roman"/>
                <w:bCs/>
                <w:color w:val="auto"/>
                <w:szCs w:val="20"/>
                <w:lang w:val="pt-PT"/>
              </w:rPr>
              <w:t xml:space="preserve">Verifica se o campo está preenchido quando o tipo da linha </w:t>
            </w:r>
            <w:r w:rsidR="00AE7FBB" w:rsidRPr="00FA3856">
              <w:rPr>
                <w:rStyle w:val="Hyperlink"/>
                <w:rFonts w:ascii="Times New Roman" w:hAnsi="Times New Roman"/>
                <w:bCs/>
                <w:color w:val="auto"/>
                <w:szCs w:val="20"/>
                <w:lang w:val="pt-PT"/>
              </w:rPr>
              <w:t>é diferente</w:t>
            </w:r>
            <w:r w:rsidRPr="00FA3856">
              <w:rPr>
                <w:rStyle w:val="Hyperlink"/>
                <w:rFonts w:ascii="Times New Roman" w:hAnsi="Times New Roman"/>
                <w:bCs/>
                <w:color w:val="auto"/>
                <w:szCs w:val="20"/>
                <w:lang w:val="pt-PT"/>
              </w:rPr>
              <w:t xml:space="preserve"> de “R”.</w:t>
            </w:r>
          </w:p>
        </w:tc>
        <w:tc>
          <w:tcPr>
            <w:tcW w:w="717" w:type="dxa"/>
            <w:tcBorders>
              <w:top w:val="single" w:sz="6" w:space="0" w:color="auto"/>
              <w:left w:val="single" w:sz="6" w:space="0" w:color="auto"/>
              <w:bottom w:val="single" w:sz="6" w:space="0" w:color="auto"/>
              <w:right w:val="single" w:sz="6" w:space="0" w:color="auto"/>
            </w:tcBorders>
          </w:tcPr>
          <w:p w:rsidR="0012324D" w:rsidRPr="00FA3856" w:rsidRDefault="0012324D" w:rsidP="0012324D">
            <w:pPr>
              <w:pStyle w:val="PSDS-CorpodeTexto0"/>
              <w:spacing w:line="276" w:lineRule="auto"/>
              <w:rPr>
                <w:rFonts w:ascii="Times New Roman" w:hAnsi="Times New Roman"/>
              </w:rPr>
            </w:pPr>
            <w:r w:rsidRPr="00FA3856">
              <w:rPr>
                <w:rFonts w:ascii="Times New Roman" w:hAnsi="Times New Roman"/>
              </w:rPr>
              <w:t>Erro</w:t>
            </w:r>
          </w:p>
          <w:p w:rsidR="0012324D" w:rsidRPr="00FA3856" w:rsidRDefault="0012324D" w:rsidP="0012324D">
            <w:pPr>
              <w:pStyle w:val="PSDS-CorpodeTexto0"/>
              <w:spacing w:line="276" w:lineRule="auto"/>
              <w:rPr>
                <w:rFonts w:ascii="Times New Roman" w:hAnsi="Times New Roman"/>
              </w:rPr>
            </w:pPr>
          </w:p>
        </w:tc>
      </w:tr>
    </w:tbl>
    <w:p w:rsidR="00BA73FF" w:rsidRPr="00FA3856" w:rsidRDefault="00BA73FF" w:rsidP="00BA73FF">
      <w:pPr>
        <w:pStyle w:val="PSDS-MarcadoresNivel4"/>
        <w:tabs>
          <w:tab w:val="left" w:pos="720"/>
        </w:tabs>
        <w:spacing w:before="0" w:after="0"/>
        <w:ind w:left="0" w:firstLine="0"/>
        <w:rPr>
          <w:rFonts w:ascii="Times New Roman" w:hAnsi="Times New Roman" w:cs="Times New Roman"/>
          <w:b w:val="0"/>
          <w:bCs w:val="0"/>
          <w:szCs w:val="20"/>
        </w:rPr>
      </w:pPr>
    </w:p>
    <w:p w:rsidR="00BA73FF" w:rsidRPr="00FA3856" w:rsidRDefault="003D500A" w:rsidP="00BA73FF">
      <w:pPr>
        <w:rPr>
          <w:b/>
          <w:szCs w:val="20"/>
          <w:lang w:val="pt-PT"/>
        </w:rPr>
      </w:pPr>
      <w:r w:rsidRPr="00FA3856">
        <w:rPr>
          <w:b/>
          <w:szCs w:val="20"/>
          <w:lang w:val="pt-PT"/>
        </w:rPr>
        <w:t>I</w:t>
      </w:r>
      <w:r w:rsidR="00BA73FF" w:rsidRPr="00FA3856">
        <w:rPr>
          <w:b/>
          <w:szCs w:val="20"/>
          <w:lang w:val="pt-PT"/>
        </w:rPr>
        <w:t>II – Tabela Dinâmica:</w:t>
      </w:r>
      <w:r w:rsidR="000C2E7C">
        <w:rPr>
          <w:b/>
          <w:szCs w:val="20"/>
          <w:lang w:val="pt-PT"/>
        </w:rPr>
        <w:t xml:space="preserve"> </w:t>
      </w:r>
      <w:r w:rsidR="000C2E7C" w:rsidRPr="000C2E7C">
        <w:rPr>
          <w:b/>
          <w:szCs w:val="20"/>
          <w:lang w:val="pt-PT"/>
        </w:rPr>
        <w:t>X390 - Demonstração da Origem e Aplicação de Recursos – PJ Imunes e Isentas</w:t>
      </w:r>
    </w:p>
    <w:p w:rsidR="009354A7" w:rsidRDefault="00486CDA" w:rsidP="007F6BED">
      <w:pPr>
        <w:pStyle w:val="Corpodetexto"/>
        <w:rPr>
          <w:rFonts w:ascii="Times New Roman" w:hAnsi="Times New Roman"/>
          <w:b/>
          <w:color w:val="002060"/>
          <w:szCs w:val="20"/>
        </w:rPr>
      </w:pPr>
      <w:r>
        <w:rPr>
          <w:rFonts w:ascii="Times New Roman" w:hAnsi="Times New Roman"/>
          <w:b/>
          <w:color w:val="002060"/>
          <w:szCs w:val="20"/>
        </w:rPr>
        <w:object w:dxaOrig="1534" w:dyaOrig="997">
          <v:shape id="_x0000_i1305" type="#_x0000_t75" style="width:76.5pt;height:49.5pt" o:ole="">
            <v:imagedata r:id="rId738" o:title=""/>
          </v:shape>
          <o:OLEObject Type="Link" ProgID="Excel.Sheet.12" ShapeID="_x0000_i1305" DrawAspect="Content" r:id="rId739" UpdateMode="OnCall">
            <o:LinkType>EnhancedMetaFile</o:LinkType>
            <o:LockedField>false</o:LockedField>
          </o:OLEObject>
        </w:object>
      </w:r>
    </w:p>
    <w:p w:rsidR="009354A7" w:rsidRDefault="00177984" w:rsidP="007F6BED">
      <w:pPr>
        <w:pStyle w:val="Corpodetexto"/>
        <w:rPr>
          <w:rFonts w:ascii="Times New Roman" w:hAnsi="Times New Roman"/>
          <w:b/>
          <w:color w:val="002060"/>
          <w:szCs w:val="20"/>
        </w:rPr>
      </w:pPr>
      <w:r w:rsidRPr="00FA3856">
        <w:rPr>
          <w:rFonts w:ascii="Times New Roman" w:hAnsi="Times New Roman"/>
          <w:b/>
          <w:color w:val="002060"/>
          <w:szCs w:val="20"/>
        </w:rPr>
        <w:t xml:space="preserve">Exemplo de Preenchimento: </w:t>
      </w:r>
    </w:p>
    <w:p w:rsidR="009354A7" w:rsidRDefault="009354A7" w:rsidP="007F6BED">
      <w:pPr>
        <w:pStyle w:val="Corpodetexto"/>
        <w:rPr>
          <w:rFonts w:ascii="Times New Roman" w:hAnsi="Times New Roman"/>
          <w:b/>
          <w:color w:val="002060"/>
          <w:szCs w:val="20"/>
        </w:rPr>
      </w:pPr>
    </w:p>
    <w:p w:rsidR="007F6BED" w:rsidRPr="00FA3856" w:rsidRDefault="007F6BED" w:rsidP="007F6BED">
      <w:pPr>
        <w:pStyle w:val="Corpodetexto"/>
        <w:rPr>
          <w:rFonts w:ascii="Times New Roman" w:hAnsi="Times New Roman"/>
          <w:b/>
          <w:color w:val="002060"/>
          <w:szCs w:val="20"/>
        </w:rPr>
      </w:pPr>
      <w:r w:rsidRPr="00FA3856">
        <w:rPr>
          <w:rFonts w:ascii="Times New Roman" w:hAnsi="Times New Roman"/>
          <w:b/>
          <w:color w:val="002060"/>
          <w:szCs w:val="20"/>
        </w:rPr>
        <w:t>|X390|1|ORIGEM DE RECURSOS||</w:t>
      </w:r>
    </w:p>
    <w:p w:rsidR="007F6BED" w:rsidRPr="00FA3856" w:rsidRDefault="007F6BED" w:rsidP="007F6BED">
      <w:pPr>
        <w:pStyle w:val="Corpodetexto"/>
        <w:ind w:firstLine="708"/>
        <w:rPr>
          <w:rFonts w:ascii="Times New Roman" w:hAnsi="Times New Roman"/>
          <w:color w:val="002060"/>
          <w:szCs w:val="20"/>
        </w:rPr>
      </w:pPr>
      <w:r w:rsidRPr="00FA3856">
        <w:rPr>
          <w:rFonts w:ascii="Times New Roman" w:hAnsi="Times New Roman"/>
          <w:color w:val="002060"/>
          <w:szCs w:val="20"/>
        </w:rPr>
        <w:t>|X390|: Identificação do tipo do registro.</w:t>
      </w:r>
    </w:p>
    <w:p w:rsidR="007F6BED" w:rsidRPr="00FA3856" w:rsidRDefault="007F6BED" w:rsidP="007F6BED">
      <w:pPr>
        <w:pStyle w:val="Corpodetexto"/>
        <w:ind w:firstLine="708"/>
        <w:rPr>
          <w:rFonts w:ascii="Times New Roman" w:hAnsi="Times New Roman"/>
          <w:color w:val="002060"/>
          <w:szCs w:val="20"/>
        </w:rPr>
      </w:pPr>
      <w:r w:rsidRPr="00FA3856">
        <w:rPr>
          <w:rFonts w:ascii="Times New Roman" w:hAnsi="Times New Roman"/>
          <w:color w:val="002060"/>
          <w:szCs w:val="20"/>
        </w:rPr>
        <w:t>|1|: Código da linha.</w:t>
      </w:r>
    </w:p>
    <w:p w:rsidR="007F6BED" w:rsidRPr="00FA3856" w:rsidRDefault="007F6BED" w:rsidP="007F6BED">
      <w:pPr>
        <w:pStyle w:val="Corpodetexto"/>
        <w:ind w:firstLine="708"/>
        <w:rPr>
          <w:rFonts w:ascii="Times New Roman" w:hAnsi="Times New Roman"/>
          <w:color w:val="002060"/>
          <w:szCs w:val="20"/>
        </w:rPr>
      </w:pPr>
      <w:r w:rsidRPr="00FA3856">
        <w:rPr>
          <w:rFonts w:ascii="Times New Roman" w:hAnsi="Times New Roman"/>
          <w:color w:val="002060"/>
          <w:szCs w:val="20"/>
        </w:rPr>
        <w:t>|ORIGEM DE RECURSOS|: Descrição da linha.</w:t>
      </w:r>
    </w:p>
    <w:p w:rsidR="007F6BED" w:rsidRPr="00FA3856" w:rsidRDefault="007F6BED" w:rsidP="007F6BED">
      <w:pPr>
        <w:pStyle w:val="Corpodetexto"/>
        <w:ind w:firstLine="708"/>
        <w:rPr>
          <w:rFonts w:ascii="Times New Roman" w:hAnsi="Times New Roman"/>
          <w:color w:val="002060"/>
          <w:szCs w:val="20"/>
        </w:rPr>
      </w:pPr>
      <w:r w:rsidRPr="00FA3856">
        <w:rPr>
          <w:rFonts w:ascii="Times New Roman" w:hAnsi="Times New Roman"/>
          <w:color w:val="002060"/>
          <w:szCs w:val="20"/>
        </w:rPr>
        <w:t>||: Valor da linha (como a linha corresponde a um rótulo – R – não há valor).</w:t>
      </w:r>
    </w:p>
    <w:p w:rsidR="007F6BED" w:rsidRPr="00FA3856" w:rsidRDefault="007F6BED" w:rsidP="007F6BED">
      <w:pPr>
        <w:pStyle w:val="Corpodetexto"/>
        <w:ind w:firstLine="708"/>
        <w:rPr>
          <w:rFonts w:ascii="Times New Roman" w:hAnsi="Times New Roman"/>
          <w:color w:val="002060"/>
          <w:szCs w:val="20"/>
        </w:rPr>
      </w:pPr>
    </w:p>
    <w:p w:rsidR="00177984" w:rsidRPr="00FA3856" w:rsidRDefault="00177984">
      <w:pPr>
        <w:spacing w:after="200" w:line="276" w:lineRule="auto"/>
        <w:rPr>
          <w:b/>
          <w:bCs/>
          <w:color w:val="0000FF"/>
          <w:szCs w:val="20"/>
        </w:rPr>
      </w:pPr>
      <w:r w:rsidRPr="00FA3856">
        <w:rPr>
          <w:color w:val="0000FF"/>
          <w:szCs w:val="20"/>
        </w:rPr>
        <w:br w:type="page"/>
      </w:r>
    </w:p>
    <w:p w:rsidR="00DC7752" w:rsidRPr="00FA3856" w:rsidRDefault="00DC7752" w:rsidP="00867F54">
      <w:pPr>
        <w:pStyle w:val="Ttulo4"/>
      </w:pPr>
      <w:bookmarkStart w:id="406" w:name="_Toc479713809"/>
      <w:r w:rsidRPr="00FA3856">
        <w:lastRenderedPageBreak/>
        <w:t xml:space="preserve">Registro X400: Comércio Eletrônico e Tecnologia da Informação </w:t>
      </w:r>
      <w:r w:rsidR="00AD5447" w:rsidRPr="00FA3856">
        <w:t>– Informações das Vendas</w:t>
      </w:r>
      <w:bookmarkEnd w:id="406"/>
    </w:p>
    <w:p w:rsidR="00DC7752" w:rsidRPr="00FA3856" w:rsidRDefault="00DC7752" w:rsidP="00DC7752">
      <w:pPr>
        <w:rPr>
          <w:szCs w:val="20"/>
        </w:rPr>
      </w:pPr>
    </w:p>
    <w:p w:rsidR="00881218" w:rsidRPr="00FA3856" w:rsidRDefault="00F71BDB" w:rsidP="00F71BDB">
      <w:pPr>
        <w:ind w:firstLine="708"/>
        <w:jc w:val="both"/>
        <w:rPr>
          <w:bCs/>
          <w:szCs w:val="20"/>
        </w:rPr>
      </w:pPr>
      <w:r w:rsidRPr="00FA3856">
        <w:rPr>
          <w:bCs/>
          <w:szCs w:val="20"/>
        </w:rPr>
        <w:t xml:space="preserve">Este registro será habilitado </w:t>
      </w:r>
      <w:r w:rsidR="00881218" w:rsidRPr="00FA3856">
        <w:rPr>
          <w:bCs/>
          <w:szCs w:val="20"/>
        </w:rPr>
        <w:t xml:space="preserve">somente para as pessoas jurídicas que </w:t>
      </w:r>
      <w:r w:rsidRPr="00FA3856">
        <w:rPr>
          <w:bCs/>
          <w:szCs w:val="20"/>
        </w:rPr>
        <w:t>efetuaram</w:t>
      </w:r>
      <w:r w:rsidR="00881218" w:rsidRPr="00FA3856">
        <w:rPr>
          <w:bCs/>
          <w:szCs w:val="20"/>
        </w:rPr>
        <w:t xml:space="preserve"> durante o ano-calendário vendas de bens (tangíveis ou intangíveis) ou prestado serviços, por meio da Internet, para pessoas físicas e jurídicas, residentes ou domiciliadas no Brasil ou no exterior</w:t>
      </w:r>
      <w:r w:rsidR="00AD5447" w:rsidRPr="00FA3856">
        <w:rPr>
          <w:bCs/>
          <w:szCs w:val="20"/>
        </w:rPr>
        <w:t xml:space="preserve"> (0020.IND_E-COM_TI = "S"), ou seja, que</w:t>
      </w:r>
      <w:r w:rsidR="00881218" w:rsidRPr="00FA3856">
        <w:rPr>
          <w:bCs/>
          <w:szCs w:val="20"/>
        </w:rPr>
        <w:t>. As pessoas jurídicas que efetuaram vendas de bens tangíveis para órgãos da Administração Pública Direta, por meio da Internet, tam</w:t>
      </w:r>
      <w:r w:rsidRPr="00FA3856">
        <w:rPr>
          <w:bCs/>
          <w:szCs w:val="20"/>
        </w:rPr>
        <w:t>bém deverão preencher este registro</w:t>
      </w:r>
      <w:r w:rsidR="00881218" w:rsidRPr="00FA3856">
        <w:rPr>
          <w:bCs/>
          <w:szCs w:val="20"/>
        </w:rPr>
        <w:t>.</w:t>
      </w:r>
    </w:p>
    <w:p w:rsidR="00F71BDB" w:rsidRPr="00FA3856" w:rsidRDefault="00F71BDB" w:rsidP="00F71BDB">
      <w:pPr>
        <w:ind w:firstLine="708"/>
        <w:jc w:val="both"/>
        <w:rPr>
          <w:bCs/>
          <w:szCs w:val="20"/>
        </w:rPr>
      </w:pPr>
    </w:p>
    <w:p w:rsidR="00881218" w:rsidRPr="00FA3856" w:rsidRDefault="00881218" w:rsidP="00F71BDB">
      <w:pPr>
        <w:ind w:firstLine="708"/>
        <w:jc w:val="both"/>
        <w:rPr>
          <w:bCs/>
          <w:szCs w:val="20"/>
        </w:rPr>
      </w:pPr>
      <w:r w:rsidRPr="00FA3856">
        <w:rPr>
          <w:bCs/>
          <w:szCs w:val="20"/>
        </w:rPr>
        <w:t xml:space="preserve">Os valores a serem indicados </w:t>
      </w:r>
      <w:r w:rsidR="00F71BDB" w:rsidRPr="00FA3856">
        <w:rPr>
          <w:bCs/>
          <w:szCs w:val="20"/>
        </w:rPr>
        <w:t>neste registro</w:t>
      </w:r>
      <w:r w:rsidRPr="00FA3856">
        <w:rPr>
          <w:bCs/>
          <w:szCs w:val="20"/>
        </w:rPr>
        <w:t xml:space="preserve"> deverão ser os referentes ao valor consolidado durante o ano-calendário, por tipo de transação (somatório dos valores constantes das Notas Fiscais de venda ou de prestação de serviço, conforme o caso).</w:t>
      </w:r>
    </w:p>
    <w:p w:rsidR="00F71BDB" w:rsidRPr="00FA3856" w:rsidRDefault="00F71BDB" w:rsidP="00F71BDB">
      <w:pPr>
        <w:ind w:firstLine="708"/>
        <w:jc w:val="both"/>
        <w:rPr>
          <w:bCs/>
          <w:szCs w:val="20"/>
        </w:rPr>
      </w:pPr>
    </w:p>
    <w:p w:rsidR="00F71BDB" w:rsidRPr="00FA3856" w:rsidRDefault="00F71BDB" w:rsidP="00F71BDB">
      <w:pPr>
        <w:ind w:firstLine="708"/>
        <w:jc w:val="both"/>
        <w:rPr>
          <w:bCs/>
          <w:szCs w:val="20"/>
        </w:rPr>
      </w:pPr>
      <w:r w:rsidRPr="00FA3856">
        <w:rPr>
          <w:bCs/>
          <w:szCs w:val="20"/>
        </w:rPr>
        <w:t>Para fins</w:t>
      </w:r>
      <w:r w:rsidR="00450781" w:rsidRPr="00FA3856">
        <w:rPr>
          <w:bCs/>
          <w:szCs w:val="20"/>
        </w:rPr>
        <w:t xml:space="preserve"> de preenchimento das linhas X400/2 a X400/5 e X400/24</w:t>
      </w:r>
      <w:r w:rsidRPr="00FA3856">
        <w:rPr>
          <w:bCs/>
          <w:szCs w:val="20"/>
        </w:rPr>
        <w:t>, entende-se por bens tangíveis todo e qualquer bem corpóreo, que pode ser tocado pelas pessoas, tendo em vista que possui corpo físico. Ademais, o bem tangível é entregue pela pessoa jurídica ao adquirente pelos meios tradicionais de entrega ou de distribuição, que incluem os meios de transporte terrestre, marítimo, fluvial e aéreo, remessas postais, ou entrega efetuada pessoalmente. Vale ressaltar que são considerados tangíveis os bens digitais que tenham sido comercializados com suporte físico.</w:t>
      </w:r>
    </w:p>
    <w:p w:rsidR="00F71BDB" w:rsidRPr="00FA3856" w:rsidRDefault="00F71BDB" w:rsidP="00F71BDB">
      <w:pPr>
        <w:ind w:firstLine="708"/>
        <w:jc w:val="both"/>
        <w:rPr>
          <w:bCs/>
          <w:szCs w:val="20"/>
        </w:rPr>
      </w:pPr>
    </w:p>
    <w:p w:rsidR="00F71BDB" w:rsidRPr="00FA3856" w:rsidRDefault="00F71BDB" w:rsidP="00F71BDB">
      <w:pPr>
        <w:ind w:firstLine="708"/>
        <w:jc w:val="both"/>
        <w:rPr>
          <w:bCs/>
          <w:szCs w:val="20"/>
        </w:rPr>
      </w:pPr>
      <w:r w:rsidRPr="00FA3856">
        <w:rPr>
          <w:bCs/>
          <w:szCs w:val="20"/>
        </w:rPr>
        <w:t>Para fins de preenchimento da</w:t>
      </w:r>
      <w:r w:rsidR="00450781" w:rsidRPr="00FA3856">
        <w:rPr>
          <w:bCs/>
          <w:szCs w:val="20"/>
        </w:rPr>
        <w:t>s linhas X400/8 a X400/11 e X400/25</w:t>
      </w:r>
      <w:r w:rsidRPr="00FA3856">
        <w:rPr>
          <w:bCs/>
          <w:szCs w:val="20"/>
        </w:rPr>
        <w:t>, entende-se por bem intangível todo e qualquer bem incorpóreo, que não pode ser tocado pelas pessoas, uma vez que não é materializado em meio físico, tais como: programas de computador (softwares), textos de obras literárias, artísticas ou científicas; músicas, sons, obras audiovisuais e fotográficas, ilustrações, acesso a coletâneas e base de dados, bem como a outras obras resultantes da criação intelectual, cuja entrega se dê pela ausência de suporte físico. O bem intangível, nesse caso, é entregue pela pessoa jurídica ao adquirente por meio de download efetuado diretamente da homepage ou por qualquer outro meio que permita o acesso virtual à obra objeto da criação intelectual.</w:t>
      </w:r>
    </w:p>
    <w:p w:rsidR="00F71BDB" w:rsidRPr="00FA3856" w:rsidRDefault="00F71BDB" w:rsidP="00F71BDB">
      <w:pPr>
        <w:ind w:firstLine="708"/>
        <w:jc w:val="both"/>
        <w:rPr>
          <w:bCs/>
          <w:szCs w:val="20"/>
        </w:rPr>
      </w:pPr>
    </w:p>
    <w:p w:rsidR="00F71BDB" w:rsidRPr="00FA3856" w:rsidRDefault="00F71BDB" w:rsidP="00F71BDB">
      <w:pPr>
        <w:ind w:firstLine="708"/>
        <w:jc w:val="both"/>
        <w:rPr>
          <w:bCs/>
          <w:szCs w:val="20"/>
        </w:rPr>
      </w:pPr>
      <w:r w:rsidRPr="00FA3856">
        <w:rPr>
          <w:b/>
          <w:bCs/>
          <w:szCs w:val="20"/>
        </w:rPr>
        <w:t>Atenção</w:t>
      </w:r>
      <w:r w:rsidRPr="00FA3856">
        <w:rPr>
          <w:bCs/>
          <w:szCs w:val="20"/>
        </w:rPr>
        <w:t xml:space="preserve">: </w:t>
      </w:r>
    </w:p>
    <w:p w:rsidR="00F71BDB" w:rsidRPr="00FA3856" w:rsidRDefault="00F71BDB" w:rsidP="00F71BDB">
      <w:pPr>
        <w:ind w:firstLine="708"/>
        <w:jc w:val="both"/>
        <w:rPr>
          <w:bCs/>
          <w:szCs w:val="20"/>
        </w:rPr>
      </w:pPr>
      <w:r w:rsidRPr="00FA3856">
        <w:rPr>
          <w:bCs/>
          <w:szCs w:val="20"/>
        </w:rPr>
        <w:t xml:space="preserve">1) A pessoa jurídica que tiver disponibilizadas as </w:t>
      </w:r>
      <w:r w:rsidR="00450781" w:rsidRPr="00FA3856">
        <w:rPr>
          <w:bCs/>
          <w:szCs w:val="20"/>
        </w:rPr>
        <w:t xml:space="preserve">linhas </w:t>
      </w:r>
      <w:r w:rsidR="00F41C80" w:rsidRPr="00FA3856">
        <w:rPr>
          <w:bCs/>
          <w:szCs w:val="20"/>
        </w:rPr>
        <w:t>X400/2 a X400/5, X400/8 a X400/11, X400/14 a X400/21</w:t>
      </w:r>
      <w:r w:rsidRPr="00FA3856">
        <w:rPr>
          <w:bCs/>
          <w:szCs w:val="20"/>
        </w:rPr>
        <w:t xml:space="preserve">, </w:t>
      </w:r>
      <w:r w:rsidR="00F41C80" w:rsidRPr="00FA3856">
        <w:rPr>
          <w:bCs/>
          <w:szCs w:val="20"/>
        </w:rPr>
        <w:t>X</w:t>
      </w:r>
      <w:r w:rsidRPr="00FA3856">
        <w:rPr>
          <w:bCs/>
          <w:szCs w:val="20"/>
        </w:rPr>
        <w:t>40</w:t>
      </w:r>
      <w:r w:rsidR="00F41C80" w:rsidRPr="00FA3856">
        <w:rPr>
          <w:bCs/>
          <w:szCs w:val="20"/>
        </w:rPr>
        <w:t>0/24 e X400/25</w:t>
      </w:r>
      <w:r w:rsidRPr="00FA3856">
        <w:rPr>
          <w:bCs/>
          <w:szCs w:val="20"/>
        </w:rPr>
        <w:t xml:space="preserve"> deverá preencher o registro X410 – Comércio Eletrônico.</w:t>
      </w:r>
    </w:p>
    <w:p w:rsidR="00F71BDB" w:rsidRPr="00FA3856" w:rsidRDefault="00F71BDB" w:rsidP="00F71BDB">
      <w:pPr>
        <w:ind w:firstLine="708"/>
        <w:jc w:val="both"/>
        <w:rPr>
          <w:bCs/>
          <w:szCs w:val="20"/>
        </w:rPr>
      </w:pPr>
      <w:r w:rsidRPr="00FA3856">
        <w:rPr>
          <w:bCs/>
          <w:szCs w:val="20"/>
        </w:rPr>
        <w:t>2) Os valores correspondentes às vendas de bens tangíveis e intangíveis para órgãos da administração pública devem s</w:t>
      </w:r>
      <w:r w:rsidR="00F41C80" w:rsidRPr="00FA3856">
        <w:rPr>
          <w:bCs/>
          <w:szCs w:val="20"/>
        </w:rPr>
        <w:t>er informados nas linhas X400/24 e X400/25</w:t>
      </w:r>
      <w:r w:rsidRPr="00FA3856">
        <w:rPr>
          <w:bCs/>
          <w:szCs w:val="20"/>
        </w:rPr>
        <w:t>, respectivamente.</w:t>
      </w:r>
    </w:p>
    <w:p w:rsidR="00F71BDB" w:rsidRPr="00FA3856" w:rsidRDefault="00F71BDB" w:rsidP="00F71BDB">
      <w:pPr>
        <w:ind w:firstLine="708"/>
        <w:jc w:val="both"/>
        <w:rPr>
          <w:bCs/>
          <w:szCs w:val="20"/>
        </w:rPr>
      </w:pPr>
      <w:r w:rsidRPr="00FA3856">
        <w:rPr>
          <w:bCs/>
          <w:szCs w:val="20"/>
        </w:rPr>
        <w:t xml:space="preserve">3) A transação que contemple o desenvolvimento de software ou de qualquer outro meio digital objeto da criação intelectual feito sob encomenda, ou seja, a pedido e conforme orientação do encomendante, constitui prestação de serviço. O valor da receita decorrente dessas operações deve ser informado na linha </w:t>
      </w:r>
      <w:r w:rsidR="00F41C80" w:rsidRPr="00FA3856">
        <w:rPr>
          <w:bCs/>
          <w:szCs w:val="20"/>
        </w:rPr>
        <w:t>X</w:t>
      </w:r>
      <w:r w:rsidRPr="00FA3856">
        <w:rPr>
          <w:bCs/>
          <w:szCs w:val="20"/>
        </w:rPr>
        <w:t>40</w:t>
      </w:r>
      <w:r w:rsidR="00F41C80" w:rsidRPr="00FA3856">
        <w:rPr>
          <w:bCs/>
          <w:szCs w:val="20"/>
        </w:rPr>
        <w:t>0/19</w:t>
      </w:r>
      <w:r w:rsidRPr="00FA3856">
        <w:rPr>
          <w:bCs/>
          <w:szCs w:val="20"/>
        </w:rPr>
        <w:t xml:space="preserve"> ou na linha </w:t>
      </w:r>
      <w:r w:rsidR="00F41C80" w:rsidRPr="00FA3856">
        <w:rPr>
          <w:bCs/>
          <w:szCs w:val="20"/>
        </w:rPr>
        <w:t>X</w:t>
      </w:r>
      <w:r w:rsidRPr="00FA3856">
        <w:rPr>
          <w:bCs/>
          <w:szCs w:val="20"/>
        </w:rPr>
        <w:t>40</w:t>
      </w:r>
      <w:r w:rsidR="00F41C80" w:rsidRPr="00FA3856">
        <w:rPr>
          <w:bCs/>
          <w:szCs w:val="20"/>
        </w:rPr>
        <w:t>0/20</w:t>
      </w:r>
      <w:r w:rsidRPr="00FA3856">
        <w:rPr>
          <w:bCs/>
          <w:szCs w:val="20"/>
        </w:rPr>
        <w:t>, conforme instruções de preenchimento constantes nessas linhas.</w:t>
      </w:r>
    </w:p>
    <w:p w:rsidR="00DC7752" w:rsidRPr="00FA3856" w:rsidRDefault="00F71BDB" w:rsidP="00F71BDB">
      <w:pPr>
        <w:ind w:firstLine="708"/>
        <w:jc w:val="both"/>
        <w:rPr>
          <w:bCs/>
          <w:szCs w:val="20"/>
        </w:rPr>
      </w:pPr>
      <w:r w:rsidRPr="00FA3856">
        <w:rPr>
          <w:bCs/>
          <w:szCs w:val="20"/>
        </w:rPr>
        <w:t> </w:t>
      </w:r>
    </w:p>
    <w:p w:rsidR="00B75376" w:rsidRPr="00FA3856" w:rsidRDefault="00B75376" w:rsidP="00F71BDB">
      <w:pPr>
        <w:ind w:firstLine="708"/>
        <w:jc w:val="both"/>
        <w:rPr>
          <w:bCs/>
          <w:szCs w:val="20"/>
        </w:rPr>
      </w:pPr>
    </w:p>
    <w:p w:rsidR="00B75376" w:rsidRPr="00FA3856" w:rsidRDefault="00B75376" w:rsidP="00F71BDB">
      <w:pPr>
        <w:ind w:firstLine="708"/>
        <w:jc w:val="both"/>
        <w:rPr>
          <w:bCs/>
          <w:szCs w:val="20"/>
        </w:rPr>
      </w:pPr>
    </w:p>
    <w:p w:rsidR="00B75376" w:rsidRPr="00FA3856" w:rsidRDefault="00B75376" w:rsidP="00F71BDB">
      <w:pPr>
        <w:ind w:firstLine="708"/>
        <w:jc w:val="both"/>
        <w:rPr>
          <w:bCs/>
          <w:szCs w:val="20"/>
        </w:rPr>
      </w:pPr>
    </w:p>
    <w:p w:rsidR="00B75376" w:rsidRPr="00FA3856" w:rsidRDefault="00B75376" w:rsidP="00F71BDB">
      <w:pPr>
        <w:ind w:firstLine="708"/>
        <w:jc w:val="both"/>
        <w:rPr>
          <w:bCs/>
          <w:szCs w:val="20"/>
        </w:rPr>
      </w:pPr>
    </w:p>
    <w:p w:rsidR="00B75376" w:rsidRPr="00FA3856" w:rsidRDefault="00B75376" w:rsidP="00F71BDB">
      <w:pPr>
        <w:ind w:firstLine="708"/>
        <w:jc w:val="both"/>
        <w:rPr>
          <w:bCs/>
          <w:szCs w:val="20"/>
        </w:rPr>
      </w:pPr>
    </w:p>
    <w:p w:rsidR="00B75376" w:rsidRPr="00FA3856" w:rsidRDefault="00B75376" w:rsidP="00F71BDB">
      <w:pPr>
        <w:ind w:firstLine="708"/>
        <w:jc w:val="both"/>
        <w:rPr>
          <w:bCs/>
          <w:szCs w:val="20"/>
        </w:rPr>
      </w:pPr>
    </w:p>
    <w:p w:rsidR="00B75376" w:rsidRPr="00FA3856" w:rsidRDefault="00B75376" w:rsidP="00F71BDB">
      <w:pPr>
        <w:ind w:firstLine="708"/>
        <w:jc w:val="both"/>
        <w:rPr>
          <w:bCs/>
          <w:szCs w:val="20"/>
        </w:rPr>
      </w:pPr>
    </w:p>
    <w:p w:rsidR="00B75376" w:rsidRPr="00FA3856" w:rsidRDefault="00B75376" w:rsidP="00F71BDB">
      <w:pPr>
        <w:ind w:firstLine="708"/>
        <w:jc w:val="both"/>
        <w:rPr>
          <w:bCs/>
          <w:szCs w:val="20"/>
        </w:rPr>
      </w:pPr>
    </w:p>
    <w:p w:rsidR="00B75376" w:rsidRPr="00FA3856" w:rsidRDefault="00B75376" w:rsidP="00F71BDB">
      <w:pPr>
        <w:ind w:firstLine="708"/>
        <w:jc w:val="both"/>
        <w:rPr>
          <w:bCs/>
          <w:szCs w:val="20"/>
        </w:rPr>
      </w:pPr>
    </w:p>
    <w:p w:rsidR="00B75376" w:rsidRPr="00FA3856" w:rsidRDefault="00B75376" w:rsidP="00F71BDB">
      <w:pPr>
        <w:ind w:firstLine="708"/>
        <w:jc w:val="both"/>
        <w:rPr>
          <w:bCs/>
          <w:szCs w:val="20"/>
        </w:rPr>
      </w:pPr>
    </w:p>
    <w:p w:rsidR="00B75376" w:rsidRPr="00FA3856" w:rsidRDefault="00B75376" w:rsidP="00F71BDB">
      <w:pPr>
        <w:ind w:firstLine="708"/>
        <w:jc w:val="both"/>
        <w:rPr>
          <w:bCs/>
          <w:szCs w:val="20"/>
        </w:rPr>
      </w:pPr>
    </w:p>
    <w:p w:rsidR="005B30D4" w:rsidRPr="00FA3856" w:rsidRDefault="005B30D4" w:rsidP="00F71BDB">
      <w:pPr>
        <w:ind w:firstLine="708"/>
        <w:jc w:val="both"/>
        <w:rPr>
          <w:bCs/>
          <w:szCs w:val="20"/>
        </w:rPr>
      </w:pPr>
    </w:p>
    <w:p w:rsidR="00B75376" w:rsidRPr="00FA3856" w:rsidRDefault="00B75376" w:rsidP="00F71BDB">
      <w:pPr>
        <w:ind w:firstLine="708"/>
        <w:jc w:val="both"/>
        <w:rPr>
          <w:bCs/>
          <w:szCs w:val="20"/>
        </w:rPr>
      </w:pPr>
    </w:p>
    <w:p w:rsidR="00B75376" w:rsidRPr="00FA3856" w:rsidRDefault="00B75376" w:rsidP="00F71BDB">
      <w:pPr>
        <w:ind w:firstLine="708"/>
        <w:jc w:val="both"/>
        <w:rPr>
          <w:bCs/>
          <w:szCs w:val="20"/>
        </w:rPr>
      </w:pPr>
    </w:p>
    <w:p w:rsidR="00B75376" w:rsidRPr="00FA3856" w:rsidRDefault="00B75376" w:rsidP="00F71BDB">
      <w:pPr>
        <w:ind w:firstLine="708"/>
        <w:jc w:val="both"/>
        <w:rPr>
          <w:bCs/>
          <w:szCs w:val="20"/>
        </w:rPr>
      </w:pPr>
    </w:p>
    <w:p w:rsidR="00D45E96" w:rsidRDefault="00B35FA3" w:rsidP="00D45E96">
      <w:pPr>
        <w:jc w:val="center"/>
        <w:rPr>
          <w:b/>
          <w:szCs w:val="20"/>
          <w:lang w:val="pt-PT"/>
        </w:rPr>
      </w:pPr>
      <w:r>
        <w:rPr>
          <w:b/>
          <w:szCs w:val="20"/>
          <w:lang w:val="pt-PT"/>
        </w:rPr>
        <w:object w:dxaOrig="13950" w:dyaOrig="4695">
          <v:shape id="_x0000_i1978" type="#_x0000_t75" style="width:744.75pt;height:227.25pt" o:ole="">
            <v:imagedata r:id="rId740" o:title=""/>
          </v:shape>
          <o:OLEObject Type="Link" ProgID="Excel.Sheet.12" ShapeID="_x0000_i1978" DrawAspect="Content" r:id="rId741" UpdateMode="Always">
            <o:LinkType>EnhancedMetaFile</o:LinkType>
            <o:LockedField>false</o:LockedField>
          </o:OLEObject>
        </w:object>
      </w:r>
    </w:p>
    <w:p w:rsidR="00D45E96" w:rsidRDefault="00D45E96" w:rsidP="00FE5D23">
      <w:pPr>
        <w:rPr>
          <w:b/>
          <w:szCs w:val="20"/>
          <w:lang w:val="pt-PT"/>
        </w:rPr>
      </w:pPr>
    </w:p>
    <w:p w:rsidR="00FE5D23" w:rsidRPr="00FA3856" w:rsidRDefault="00FE5D23" w:rsidP="00FE5D23">
      <w:pPr>
        <w:rPr>
          <w:b/>
          <w:szCs w:val="20"/>
          <w:lang w:val="pt-PT"/>
        </w:rPr>
      </w:pPr>
      <w:r w:rsidRPr="00FA3856">
        <w:rPr>
          <w:b/>
          <w:szCs w:val="20"/>
          <w:lang w:val="pt-PT"/>
        </w:rPr>
        <w:t>I – Regras de Validação do Registro:</w:t>
      </w:r>
    </w:p>
    <w:p w:rsidR="00FE5D23" w:rsidRPr="00FA3856" w:rsidRDefault="00FE5D23" w:rsidP="00FE5D23">
      <w:pPr>
        <w:rPr>
          <w:b/>
          <w:szCs w:val="20"/>
          <w:lang w:val="pt-PT"/>
        </w:rPr>
      </w:pPr>
    </w:p>
    <w:p w:rsidR="00FE5D23" w:rsidRPr="00FA3856" w:rsidRDefault="007D0E74" w:rsidP="00FE5D23">
      <w:pPr>
        <w:pStyle w:val="Corpodetexto"/>
        <w:ind w:left="708" w:firstLine="12"/>
        <w:rPr>
          <w:rFonts w:ascii="Times New Roman" w:hAnsi="Times New Roman"/>
          <w:szCs w:val="20"/>
        </w:rPr>
      </w:pPr>
      <w:hyperlink r:id="rId742" w:anchor="REGRA_OCORRENCIA_UNITARIA_ARQ" w:history="1">
        <w:r w:rsidR="00FE5D23" w:rsidRPr="00FA3856">
          <w:rPr>
            <w:rFonts w:ascii="Times New Roman" w:hAnsi="Times New Roman"/>
            <w:b/>
            <w:szCs w:val="20"/>
          </w:rPr>
          <w:t>REGRA_</w:t>
        </w:r>
      </w:hyperlink>
      <w:r w:rsidR="00FE5D23" w:rsidRPr="00FA3856">
        <w:rPr>
          <w:rFonts w:ascii="Times New Roman" w:hAnsi="Times New Roman"/>
          <w:b/>
          <w:szCs w:val="20"/>
        </w:rPr>
        <w:t>DUPLICIDADE_DESPREZADA</w:t>
      </w:r>
      <w:r w:rsidR="00FE5D23" w:rsidRPr="00FA3856">
        <w:rPr>
          <w:rFonts w:ascii="Times New Roman" w:hAnsi="Times New Roman"/>
          <w:color w:val="auto"/>
          <w:szCs w:val="20"/>
        </w:rPr>
        <w:t xml:space="preserve">: </w:t>
      </w:r>
      <w:r w:rsidR="00FE5D23" w:rsidRPr="00FA3856">
        <w:rPr>
          <w:rFonts w:ascii="Times New Roman" w:hAnsi="Times New Roman"/>
          <w:szCs w:val="20"/>
        </w:rPr>
        <w:t>Verifica se o registro já foi importado anteriormente, de acordo com a chave e os registros pais. Se a regra não for cumprida, a ECF gera um aviso.</w:t>
      </w:r>
    </w:p>
    <w:p w:rsidR="00FE5D23" w:rsidRPr="00FA3856" w:rsidRDefault="00FE5D23" w:rsidP="00FE5D23">
      <w:pPr>
        <w:pStyle w:val="Corpodetexto"/>
        <w:ind w:left="708" w:firstLine="12"/>
        <w:rPr>
          <w:rFonts w:ascii="Times New Roman" w:hAnsi="Times New Roman"/>
          <w:szCs w:val="20"/>
        </w:rPr>
      </w:pPr>
    </w:p>
    <w:p w:rsidR="00FE5D23" w:rsidRPr="00FA3856" w:rsidRDefault="007D0E74" w:rsidP="00FE5D23">
      <w:pPr>
        <w:pStyle w:val="Corpodetexto"/>
        <w:ind w:left="708" w:firstLine="12"/>
        <w:rPr>
          <w:rFonts w:ascii="Times New Roman" w:hAnsi="Times New Roman"/>
          <w:szCs w:val="20"/>
        </w:rPr>
      </w:pPr>
      <w:hyperlink r:id="rId743" w:anchor="REGRA_OCORRENCIA_UNITARIA_ARQ" w:history="1">
        <w:r w:rsidR="00FE5D23" w:rsidRPr="00FA3856">
          <w:rPr>
            <w:rFonts w:ascii="Times New Roman" w:hAnsi="Times New Roman"/>
            <w:b/>
            <w:szCs w:val="20"/>
          </w:rPr>
          <w:t>REGRA_</w:t>
        </w:r>
      </w:hyperlink>
      <w:r w:rsidR="00FE5D23" w:rsidRPr="00FA3856">
        <w:rPr>
          <w:rFonts w:ascii="Times New Roman" w:hAnsi="Times New Roman"/>
          <w:b/>
          <w:szCs w:val="20"/>
        </w:rPr>
        <w:t>LINHA_DESPREZADA</w:t>
      </w:r>
      <w:r w:rsidR="00FE5D23" w:rsidRPr="00FA3856">
        <w:rPr>
          <w:rFonts w:ascii="Times New Roman" w:hAnsi="Times New Roman"/>
          <w:color w:val="auto"/>
          <w:szCs w:val="20"/>
        </w:rPr>
        <w:t xml:space="preserve">: </w:t>
      </w:r>
      <w:r w:rsidR="00FE5D23" w:rsidRPr="00FA3856">
        <w:rPr>
          <w:rFonts w:ascii="Times New Roman" w:hAnsi="Times New Roman"/>
          <w:szCs w:val="20"/>
        </w:rPr>
        <w:t>Verifica se o registro existe na importação, mas não será importado por não existir na tabela dinâmica devido às configurações do bloco 0 ou da tabela dinâmica. Gera um aviso.</w:t>
      </w:r>
    </w:p>
    <w:p w:rsidR="00FE5D23" w:rsidRPr="00FA3856" w:rsidRDefault="00FE5D23" w:rsidP="00FE5D23">
      <w:pPr>
        <w:pStyle w:val="Corpodetexto"/>
        <w:ind w:left="708" w:firstLine="12"/>
        <w:rPr>
          <w:rFonts w:ascii="Times New Roman" w:hAnsi="Times New Roman"/>
          <w:b/>
          <w:szCs w:val="20"/>
        </w:rPr>
      </w:pPr>
    </w:p>
    <w:p w:rsidR="00FE5D23" w:rsidRPr="00FA3856" w:rsidRDefault="007D0E74" w:rsidP="00FE5D23">
      <w:pPr>
        <w:pStyle w:val="Corpodetexto"/>
        <w:ind w:left="708" w:firstLine="12"/>
        <w:rPr>
          <w:rFonts w:ascii="Times New Roman" w:hAnsi="Times New Roman"/>
          <w:b/>
          <w:szCs w:val="20"/>
        </w:rPr>
      </w:pPr>
      <w:hyperlink r:id="rId744" w:anchor="REGRA_OCORRENCIA_UNITARIA_ARQ" w:history="1">
        <w:r w:rsidR="00FE5D23" w:rsidRPr="00FA3856">
          <w:rPr>
            <w:rFonts w:ascii="Times New Roman" w:hAnsi="Times New Roman"/>
            <w:b/>
            <w:szCs w:val="20"/>
          </w:rPr>
          <w:t>REGRA_</w:t>
        </w:r>
      </w:hyperlink>
      <w:r w:rsidR="00FE5D23" w:rsidRPr="00FA3856">
        <w:rPr>
          <w:rFonts w:ascii="Times New Roman" w:hAnsi="Times New Roman"/>
          <w:b/>
          <w:szCs w:val="20"/>
        </w:rPr>
        <w:t>LINHA_ATUALIZADA</w:t>
      </w:r>
      <w:r w:rsidR="00FE5D23" w:rsidRPr="00FA3856">
        <w:rPr>
          <w:rFonts w:ascii="Times New Roman" w:hAnsi="Times New Roman"/>
          <w:color w:val="auto"/>
          <w:szCs w:val="20"/>
        </w:rPr>
        <w:t xml:space="preserve">: </w:t>
      </w:r>
      <w:r w:rsidR="00FE5D23" w:rsidRPr="00FA3856">
        <w:rPr>
          <w:rFonts w:ascii="Times New Roman" w:hAnsi="Times New Roman"/>
          <w:szCs w:val="20"/>
        </w:rPr>
        <w:t>Verifica se o registro está desatualizado em relação à tabela da RFB. Gera um aviso.</w:t>
      </w:r>
    </w:p>
    <w:p w:rsidR="00FE5D23" w:rsidRPr="00FA3856" w:rsidRDefault="00FE5D23" w:rsidP="00DC7752">
      <w:pPr>
        <w:rPr>
          <w:b/>
          <w:szCs w:val="20"/>
          <w:lang w:val="pt-PT"/>
        </w:rPr>
      </w:pPr>
    </w:p>
    <w:p w:rsidR="00DC7752" w:rsidRPr="00FA3856" w:rsidRDefault="00FE5D23" w:rsidP="00DC7752">
      <w:pPr>
        <w:rPr>
          <w:b/>
          <w:szCs w:val="20"/>
          <w:lang w:val="pt-PT"/>
        </w:rPr>
      </w:pPr>
      <w:r w:rsidRPr="00FA3856">
        <w:rPr>
          <w:b/>
          <w:szCs w:val="20"/>
          <w:lang w:val="pt-PT"/>
        </w:rPr>
        <w:t>I</w:t>
      </w:r>
      <w:r w:rsidR="00DC7752" w:rsidRPr="00FA3856">
        <w:rPr>
          <w:b/>
          <w:szCs w:val="20"/>
          <w:lang w:val="pt-PT"/>
        </w:rPr>
        <w:t>I – Regras de Validação de Campos:</w:t>
      </w:r>
    </w:p>
    <w:p w:rsidR="00DC7752" w:rsidRPr="00FA3856" w:rsidRDefault="00DC7752" w:rsidP="00DC7752">
      <w:pPr>
        <w:rPr>
          <w:b/>
          <w:szCs w:val="20"/>
          <w:lang w:val="pt-PT"/>
        </w:rPr>
      </w:pPr>
    </w:p>
    <w:tbl>
      <w:tblPr>
        <w:tblW w:w="15317"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85"/>
        <w:gridCol w:w="3000"/>
        <w:gridCol w:w="11115"/>
        <w:gridCol w:w="717"/>
      </w:tblGrid>
      <w:tr w:rsidR="00DC7752" w:rsidRPr="00FA3856" w:rsidTr="00177984">
        <w:trPr>
          <w:jc w:val="center"/>
        </w:trPr>
        <w:tc>
          <w:tcPr>
            <w:tcW w:w="485" w:type="dxa"/>
            <w:tcBorders>
              <w:top w:val="single" w:sz="6" w:space="0" w:color="auto"/>
              <w:left w:val="single" w:sz="6" w:space="0" w:color="auto"/>
              <w:bottom w:val="single" w:sz="6" w:space="0" w:color="auto"/>
              <w:right w:val="single" w:sz="6" w:space="0" w:color="auto"/>
            </w:tcBorders>
            <w:shd w:val="pct10" w:color="auto" w:fill="FFFFFF"/>
          </w:tcPr>
          <w:p w:rsidR="00DC7752" w:rsidRPr="00FA3856" w:rsidRDefault="00DC7752" w:rsidP="00F079BE">
            <w:pPr>
              <w:pStyle w:val="PSDS-CorpodeTexto0"/>
              <w:jc w:val="center"/>
              <w:rPr>
                <w:rFonts w:ascii="Times New Roman" w:hAnsi="Times New Roman"/>
                <w:b/>
                <w:bCs/>
              </w:rPr>
            </w:pPr>
            <w:r w:rsidRPr="00FA3856">
              <w:rPr>
                <w:rFonts w:ascii="Times New Roman" w:hAnsi="Times New Roman"/>
                <w:b/>
                <w:bCs/>
              </w:rPr>
              <w:t>Nº</w:t>
            </w:r>
          </w:p>
        </w:tc>
        <w:tc>
          <w:tcPr>
            <w:tcW w:w="3000" w:type="dxa"/>
            <w:tcBorders>
              <w:top w:val="single" w:sz="6" w:space="0" w:color="auto"/>
              <w:left w:val="single" w:sz="6" w:space="0" w:color="auto"/>
              <w:bottom w:val="single" w:sz="6" w:space="0" w:color="auto"/>
              <w:right w:val="single" w:sz="6" w:space="0" w:color="auto"/>
            </w:tcBorders>
            <w:shd w:val="pct10" w:color="auto" w:fill="FFFFFF"/>
          </w:tcPr>
          <w:p w:rsidR="00DC7752" w:rsidRPr="00FA3856" w:rsidRDefault="00DC7752" w:rsidP="00F079BE">
            <w:pPr>
              <w:pStyle w:val="PSDS-CorpodeTexto0"/>
              <w:jc w:val="center"/>
              <w:rPr>
                <w:rFonts w:ascii="Times New Roman" w:hAnsi="Times New Roman"/>
                <w:b/>
                <w:bCs/>
              </w:rPr>
            </w:pPr>
            <w:r w:rsidRPr="00FA3856">
              <w:rPr>
                <w:rFonts w:ascii="Times New Roman" w:hAnsi="Times New Roman"/>
                <w:b/>
                <w:bCs/>
              </w:rPr>
              <w:t>Campo</w:t>
            </w:r>
          </w:p>
        </w:tc>
        <w:tc>
          <w:tcPr>
            <w:tcW w:w="11115" w:type="dxa"/>
            <w:tcBorders>
              <w:top w:val="single" w:sz="6" w:space="0" w:color="auto"/>
              <w:left w:val="single" w:sz="6" w:space="0" w:color="auto"/>
              <w:bottom w:val="single" w:sz="6" w:space="0" w:color="auto"/>
              <w:right w:val="single" w:sz="6" w:space="0" w:color="auto"/>
            </w:tcBorders>
            <w:shd w:val="pct10" w:color="auto" w:fill="FFFFFF"/>
          </w:tcPr>
          <w:p w:rsidR="00DC7752" w:rsidRPr="00FA3856" w:rsidRDefault="00DC7752" w:rsidP="00F079BE">
            <w:pPr>
              <w:pStyle w:val="PSDS-CorpodeTexto0"/>
              <w:jc w:val="center"/>
              <w:rPr>
                <w:rFonts w:ascii="Times New Roman" w:hAnsi="Times New Roman"/>
                <w:b/>
                <w:bCs/>
              </w:rPr>
            </w:pPr>
            <w:r w:rsidRPr="00FA3856">
              <w:rPr>
                <w:rFonts w:ascii="Times New Roman" w:hAnsi="Times New Roman"/>
                <w:b/>
                <w:bCs/>
              </w:rPr>
              <w:t>Regras de Validação do Campo</w:t>
            </w:r>
          </w:p>
        </w:tc>
        <w:tc>
          <w:tcPr>
            <w:tcW w:w="717" w:type="dxa"/>
            <w:tcBorders>
              <w:top w:val="single" w:sz="6" w:space="0" w:color="auto"/>
              <w:left w:val="single" w:sz="6" w:space="0" w:color="auto"/>
              <w:bottom w:val="single" w:sz="6" w:space="0" w:color="auto"/>
              <w:right w:val="single" w:sz="6" w:space="0" w:color="auto"/>
            </w:tcBorders>
            <w:shd w:val="pct10" w:color="auto" w:fill="FFFFFF"/>
          </w:tcPr>
          <w:p w:rsidR="00DC7752" w:rsidRPr="00FA3856" w:rsidRDefault="00DC7752" w:rsidP="00F079BE">
            <w:pPr>
              <w:pStyle w:val="PSDS-CorpodeTexto0"/>
              <w:jc w:val="center"/>
              <w:rPr>
                <w:rFonts w:ascii="Times New Roman" w:hAnsi="Times New Roman"/>
                <w:b/>
                <w:bCs/>
              </w:rPr>
            </w:pPr>
            <w:r w:rsidRPr="00FA3856">
              <w:rPr>
                <w:rFonts w:ascii="Times New Roman" w:hAnsi="Times New Roman"/>
                <w:b/>
                <w:bCs/>
              </w:rPr>
              <w:t>Tipo</w:t>
            </w:r>
          </w:p>
        </w:tc>
      </w:tr>
      <w:tr w:rsidR="0012324D" w:rsidRPr="00FA3856" w:rsidTr="00177984">
        <w:trPr>
          <w:jc w:val="center"/>
        </w:trPr>
        <w:tc>
          <w:tcPr>
            <w:tcW w:w="485" w:type="dxa"/>
            <w:tcBorders>
              <w:top w:val="single" w:sz="6" w:space="0" w:color="auto"/>
              <w:left w:val="single" w:sz="6" w:space="0" w:color="auto"/>
              <w:bottom w:val="single" w:sz="6" w:space="0" w:color="auto"/>
              <w:right w:val="single" w:sz="6" w:space="0" w:color="auto"/>
            </w:tcBorders>
          </w:tcPr>
          <w:p w:rsidR="0012324D" w:rsidRPr="00FA3856" w:rsidRDefault="0012324D" w:rsidP="0012324D">
            <w:pPr>
              <w:pStyle w:val="PSDS-CorpodeTexto0"/>
              <w:suppressAutoHyphens w:val="0"/>
              <w:rPr>
                <w:rFonts w:ascii="Times New Roman" w:hAnsi="Times New Roman"/>
                <w:b/>
                <w:bCs/>
                <w:lang w:val="pt-PT"/>
              </w:rPr>
            </w:pPr>
            <w:r w:rsidRPr="00FA3856">
              <w:rPr>
                <w:rFonts w:ascii="Times New Roman" w:hAnsi="Times New Roman"/>
                <w:b/>
                <w:bCs/>
                <w:lang w:val="pt-PT"/>
              </w:rPr>
              <w:t>4</w:t>
            </w:r>
          </w:p>
        </w:tc>
        <w:tc>
          <w:tcPr>
            <w:tcW w:w="3000" w:type="dxa"/>
            <w:tcBorders>
              <w:top w:val="single" w:sz="6" w:space="0" w:color="auto"/>
              <w:left w:val="single" w:sz="6" w:space="0" w:color="auto"/>
              <w:bottom w:val="single" w:sz="6" w:space="0" w:color="auto"/>
              <w:right w:val="single" w:sz="6" w:space="0" w:color="auto"/>
            </w:tcBorders>
          </w:tcPr>
          <w:p w:rsidR="0012324D" w:rsidRPr="00FA3856" w:rsidRDefault="0012324D" w:rsidP="0012324D">
            <w:pPr>
              <w:pStyle w:val="PSDS-CorpodeTexto0"/>
              <w:rPr>
                <w:rFonts w:ascii="Times New Roman" w:hAnsi="Times New Roman"/>
              </w:rPr>
            </w:pPr>
            <w:r w:rsidRPr="00FA3856">
              <w:rPr>
                <w:rFonts w:ascii="Times New Roman" w:hAnsi="Times New Roman"/>
              </w:rPr>
              <w:t>VALOR</w:t>
            </w:r>
          </w:p>
        </w:tc>
        <w:tc>
          <w:tcPr>
            <w:tcW w:w="11115" w:type="dxa"/>
            <w:tcBorders>
              <w:top w:val="single" w:sz="6" w:space="0" w:color="auto"/>
              <w:left w:val="single" w:sz="6" w:space="0" w:color="auto"/>
              <w:bottom w:val="single" w:sz="6" w:space="0" w:color="auto"/>
              <w:right w:val="single" w:sz="6" w:space="0" w:color="auto"/>
            </w:tcBorders>
          </w:tcPr>
          <w:p w:rsidR="0012324D" w:rsidRPr="00FA3856" w:rsidRDefault="0012324D" w:rsidP="0012324D">
            <w:pPr>
              <w:pStyle w:val="Corpodetexto"/>
              <w:rPr>
                <w:rFonts w:ascii="Times New Roman" w:hAnsi="Times New Roman"/>
                <w:szCs w:val="20"/>
              </w:rPr>
            </w:pPr>
            <w:r w:rsidRPr="00FA3856">
              <w:rPr>
                <w:rFonts w:ascii="Times New Roman" w:hAnsi="Times New Roman"/>
                <w:b/>
                <w:bCs/>
                <w:szCs w:val="20"/>
              </w:rPr>
              <w:t>REGRA_OBRIGATORIO_TIPO_DIFERENTE_R</w:t>
            </w:r>
            <w:r w:rsidRPr="00FA3856">
              <w:rPr>
                <w:rFonts w:ascii="Times New Roman" w:hAnsi="Times New Roman"/>
                <w:szCs w:val="20"/>
              </w:rPr>
              <w:t xml:space="preserve">: </w:t>
            </w:r>
            <w:r w:rsidRPr="00FA3856">
              <w:rPr>
                <w:rStyle w:val="Hyperlink"/>
                <w:rFonts w:ascii="Times New Roman" w:hAnsi="Times New Roman"/>
                <w:bCs/>
                <w:color w:val="auto"/>
                <w:szCs w:val="20"/>
                <w:lang w:val="pt-PT"/>
              </w:rPr>
              <w:t xml:space="preserve">Verifica se o campo está preenchido quando o tipo da linha </w:t>
            </w:r>
            <w:r w:rsidR="00AE7FBB" w:rsidRPr="00FA3856">
              <w:rPr>
                <w:rStyle w:val="Hyperlink"/>
                <w:rFonts w:ascii="Times New Roman" w:hAnsi="Times New Roman"/>
                <w:bCs/>
                <w:color w:val="auto"/>
                <w:szCs w:val="20"/>
                <w:lang w:val="pt-PT"/>
              </w:rPr>
              <w:t>é diferente</w:t>
            </w:r>
            <w:r w:rsidRPr="00FA3856">
              <w:rPr>
                <w:rStyle w:val="Hyperlink"/>
                <w:rFonts w:ascii="Times New Roman" w:hAnsi="Times New Roman"/>
                <w:bCs/>
                <w:color w:val="auto"/>
                <w:szCs w:val="20"/>
                <w:lang w:val="pt-PT"/>
              </w:rPr>
              <w:t xml:space="preserve"> de “R”.</w:t>
            </w:r>
          </w:p>
        </w:tc>
        <w:tc>
          <w:tcPr>
            <w:tcW w:w="717" w:type="dxa"/>
            <w:tcBorders>
              <w:top w:val="single" w:sz="6" w:space="0" w:color="auto"/>
              <w:left w:val="single" w:sz="6" w:space="0" w:color="auto"/>
              <w:bottom w:val="single" w:sz="6" w:space="0" w:color="auto"/>
              <w:right w:val="single" w:sz="6" w:space="0" w:color="auto"/>
            </w:tcBorders>
          </w:tcPr>
          <w:p w:rsidR="0012324D" w:rsidRPr="00FA3856" w:rsidRDefault="0012324D" w:rsidP="0012324D">
            <w:pPr>
              <w:pStyle w:val="PSDS-CorpodeTexto0"/>
              <w:rPr>
                <w:rFonts w:ascii="Times New Roman" w:hAnsi="Times New Roman"/>
              </w:rPr>
            </w:pPr>
            <w:r w:rsidRPr="00FA3856">
              <w:rPr>
                <w:rFonts w:ascii="Times New Roman" w:hAnsi="Times New Roman"/>
              </w:rPr>
              <w:t>Erro</w:t>
            </w:r>
          </w:p>
          <w:p w:rsidR="0012324D" w:rsidRPr="00FA3856" w:rsidRDefault="0012324D" w:rsidP="0012324D">
            <w:pPr>
              <w:pStyle w:val="PSDS-CorpodeTexto0"/>
              <w:rPr>
                <w:rFonts w:ascii="Times New Roman" w:hAnsi="Times New Roman"/>
              </w:rPr>
            </w:pPr>
          </w:p>
        </w:tc>
      </w:tr>
    </w:tbl>
    <w:p w:rsidR="00F71BDB" w:rsidRPr="00FA3856" w:rsidRDefault="00F71BDB" w:rsidP="00AE337F">
      <w:pPr>
        <w:rPr>
          <w:b/>
          <w:szCs w:val="20"/>
          <w:lang w:val="pt-PT"/>
        </w:rPr>
      </w:pPr>
    </w:p>
    <w:p w:rsidR="00B75376" w:rsidRPr="00FA3856" w:rsidRDefault="00B75376" w:rsidP="00AE337F">
      <w:pPr>
        <w:rPr>
          <w:b/>
          <w:szCs w:val="20"/>
          <w:lang w:val="pt-PT"/>
        </w:rPr>
      </w:pPr>
    </w:p>
    <w:p w:rsidR="00B75376" w:rsidRPr="00FA3856" w:rsidRDefault="00B75376" w:rsidP="00AE337F">
      <w:pPr>
        <w:rPr>
          <w:b/>
          <w:szCs w:val="20"/>
          <w:lang w:val="pt-PT"/>
        </w:rPr>
      </w:pPr>
    </w:p>
    <w:p w:rsidR="00B75376" w:rsidRPr="00FA3856" w:rsidRDefault="00B75376" w:rsidP="00AE337F">
      <w:pPr>
        <w:rPr>
          <w:b/>
          <w:szCs w:val="20"/>
          <w:lang w:val="pt-PT"/>
        </w:rPr>
      </w:pPr>
    </w:p>
    <w:p w:rsidR="00177984" w:rsidRPr="00FA3856" w:rsidRDefault="00177984" w:rsidP="00AE337F">
      <w:pPr>
        <w:rPr>
          <w:b/>
          <w:szCs w:val="20"/>
          <w:lang w:val="pt-PT"/>
        </w:rPr>
      </w:pPr>
    </w:p>
    <w:p w:rsidR="00AE337F" w:rsidRPr="00FA3856" w:rsidRDefault="00AE337F" w:rsidP="00AE337F">
      <w:pPr>
        <w:rPr>
          <w:b/>
          <w:szCs w:val="20"/>
          <w:lang w:val="pt-PT"/>
        </w:rPr>
      </w:pPr>
      <w:r w:rsidRPr="00FA3856">
        <w:rPr>
          <w:b/>
          <w:szCs w:val="20"/>
          <w:lang w:val="pt-PT"/>
        </w:rPr>
        <w:lastRenderedPageBreak/>
        <w:t>I</w:t>
      </w:r>
      <w:r w:rsidR="003D500A" w:rsidRPr="00FA3856">
        <w:rPr>
          <w:b/>
          <w:szCs w:val="20"/>
          <w:lang w:val="pt-PT"/>
        </w:rPr>
        <w:t>I</w:t>
      </w:r>
      <w:r w:rsidRPr="00FA3856">
        <w:rPr>
          <w:b/>
          <w:szCs w:val="20"/>
          <w:lang w:val="pt-PT"/>
        </w:rPr>
        <w:t>I – Tabela Dinâmica:</w:t>
      </w:r>
      <w:r w:rsidR="000C2E7C">
        <w:rPr>
          <w:b/>
          <w:szCs w:val="20"/>
          <w:lang w:val="pt-PT"/>
        </w:rPr>
        <w:t xml:space="preserve"> </w:t>
      </w:r>
      <w:r w:rsidR="000C2E7C" w:rsidRPr="000C2E7C">
        <w:rPr>
          <w:b/>
          <w:szCs w:val="20"/>
          <w:lang w:val="pt-PT"/>
        </w:rPr>
        <w:t>X400 - Comércio Eletrônico e Tecnologia da Informação – Informações das Vendas</w:t>
      </w:r>
    </w:p>
    <w:p w:rsidR="007F6BED" w:rsidRPr="00FA3856" w:rsidRDefault="00486CDA" w:rsidP="007F6BED">
      <w:pPr>
        <w:pStyle w:val="Corpodetexto"/>
        <w:rPr>
          <w:rFonts w:ascii="Times New Roman" w:hAnsi="Times New Roman"/>
          <w:b/>
          <w:color w:val="002060"/>
          <w:szCs w:val="20"/>
        </w:rPr>
      </w:pPr>
      <w:r>
        <w:rPr>
          <w:rFonts w:ascii="Times New Roman" w:hAnsi="Times New Roman"/>
          <w:b/>
          <w:color w:val="002060"/>
          <w:szCs w:val="20"/>
        </w:rPr>
        <w:object w:dxaOrig="1534" w:dyaOrig="997">
          <v:shape id="_x0000_i1307" type="#_x0000_t75" style="width:76.5pt;height:49.5pt" o:ole="">
            <v:imagedata r:id="rId745" o:title=""/>
          </v:shape>
          <o:OLEObject Type="Link" ProgID="Excel.Sheet.12" ShapeID="_x0000_i1307" DrawAspect="Content" r:id="rId746" UpdateMode="OnCall">
            <o:LinkType>EnhancedMetaFile</o:LinkType>
            <o:LockedField>false</o:LockedField>
          </o:OLEObject>
        </w:object>
      </w:r>
    </w:p>
    <w:p w:rsidR="007F6BED" w:rsidRPr="00FA3856" w:rsidRDefault="007F6BED" w:rsidP="007F6BED">
      <w:pPr>
        <w:pStyle w:val="Corpodetexto"/>
        <w:rPr>
          <w:rFonts w:ascii="Times New Roman" w:hAnsi="Times New Roman"/>
          <w:b/>
          <w:color w:val="002060"/>
          <w:szCs w:val="20"/>
        </w:rPr>
      </w:pPr>
      <w:r w:rsidRPr="00FA3856">
        <w:rPr>
          <w:rFonts w:ascii="Times New Roman" w:hAnsi="Times New Roman"/>
          <w:b/>
          <w:color w:val="002060"/>
          <w:szCs w:val="20"/>
        </w:rPr>
        <w:t xml:space="preserve">Exemplo de Preenchimento: </w:t>
      </w:r>
    </w:p>
    <w:p w:rsidR="007F6BED" w:rsidRPr="00FA3856" w:rsidRDefault="007F6BED" w:rsidP="007F6BED">
      <w:pPr>
        <w:pStyle w:val="Corpodetexto"/>
        <w:rPr>
          <w:rFonts w:ascii="Times New Roman" w:hAnsi="Times New Roman"/>
          <w:b/>
          <w:color w:val="002060"/>
          <w:szCs w:val="20"/>
        </w:rPr>
      </w:pPr>
    </w:p>
    <w:p w:rsidR="007F6BED" w:rsidRPr="00FA3856" w:rsidRDefault="007F6BED" w:rsidP="007F6BED">
      <w:pPr>
        <w:pStyle w:val="Corpodetexto"/>
        <w:rPr>
          <w:rFonts w:ascii="Times New Roman" w:hAnsi="Times New Roman"/>
          <w:b/>
          <w:color w:val="002060"/>
          <w:szCs w:val="20"/>
        </w:rPr>
      </w:pPr>
      <w:r w:rsidRPr="00FA3856">
        <w:rPr>
          <w:rFonts w:ascii="Times New Roman" w:hAnsi="Times New Roman"/>
          <w:b/>
          <w:color w:val="002060"/>
          <w:szCs w:val="20"/>
        </w:rPr>
        <w:t>|X400|23|TRANSAÇÕES COM ÓRGÃOS DA ADMINISTRAÇÃO PÚBLICA||</w:t>
      </w:r>
    </w:p>
    <w:p w:rsidR="007F6BED" w:rsidRPr="00FA3856" w:rsidRDefault="007F6BED" w:rsidP="007F6BED">
      <w:pPr>
        <w:pStyle w:val="Corpodetexto"/>
        <w:ind w:firstLine="708"/>
        <w:rPr>
          <w:rFonts w:ascii="Times New Roman" w:hAnsi="Times New Roman"/>
          <w:color w:val="002060"/>
          <w:szCs w:val="20"/>
        </w:rPr>
      </w:pPr>
      <w:r w:rsidRPr="00FA3856">
        <w:rPr>
          <w:rFonts w:ascii="Times New Roman" w:hAnsi="Times New Roman"/>
          <w:color w:val="002060"/>
          <w:szCs w:val="20"/>
        </w:rPr>
        <w:t>|X400|: Identificação do tipo do registro.</w:t>
      </w:r>
    </w:p>
    <w:p w:rsidR="007F6BED" w:rsidRPr="00FA3856" w:rsidRDefault="007F6BED" w:rsidP="007F6BED">
      <w:pPr>
        <w:pStyle w:val="Corpodetexto"/>
        <w:ind w:firstLine="708"/>
        <w:rPr>
          <w:rFonts w:ascii="Times New Roman" w:hAnsi="Times New Roman"/>
          <w:color w:val="002060"/>
          <w:szCs w:val="20"/>
        </w:rPr>
      </w:pPr>
      <w:r w:rsidRPr="00FA3856">
        <w:rPr>
          <w:rFonts w:ascii="Times New Roman" w:hAnsi="Times New Roman"/>
          <w:color w:val="002060"/>
          <w:szCs w:val="20"/>
        </w:rPr>
        <w:t>|23|: Código da linha.</w:t>
      </w:r>
    </w:p>
    <w:p w:rsidR="007F6BED" w:rsidRPr="00FA3856" w:rsidRDefault="007F6BED" w:rsidP="007F6BED">
      <w:pPr>
        <w:pStyle w:val="Corpodetexto"/>
        <w:ind w:firstLine="708"/>
        <w:rPr>
          <w:rFonts w:ascii="Times New Roman" w:hAnsi="Times New Roman"/>
          <w:color w:val="002060"/>
          <w:szCs w:val="20"/>
        </w:rPr>
      </w:pPr>
      <w:r w:rsidRPr="00FA3856">
        <w:rPr>
          <w:rFonts w:ascii="Times New Roman" w:hAnsi="Times New Roman"/>
          <w:color w:val="002060"/>
          <w:szCs w:val="20"/>
        </w:rPr>
        <w:t>|TRANSAÇÕES COM ÓRGÃOS DA ADMINISTRAÇÃO PÚBLICA|: Descrição da linha.</w:t>
      </w:r>
    </w:p>
    <w:p w:rsidR="007F6BED" w:rsidRPr="00FA3856" w:rsidRDefault="007F6BED" w:rsidP="007F6BED">
      <w:pPr>
        <w:pStyle w:val="Corpodetexto"/>
        <w:ind w:firstLine="708"/>
        <w:rPr>
          <w:rFonts w:ascii="Times New Roman" w:hAnsi="Times New Roman"/>
          <w:color w:val="002060"/>
          <w:szCs w:val="20"/>
        </w:rPr>
      </w:pPr>
      <w:r w:rsidRPr="00FA3856">
        <w:rPr>
          <w:rFonts w:ascii="Times New Roman" w:hAnsi="Times New Roman"/>
          <w:color w:val="002060"/>
          <w:szCs w:val="20"/>
        </w:rPr>
        <w:t>||: Valor da linha (como a linha corresponde a um rótulo – R – não há valor).</w:t>
      </w:r>
    </w:p>
    <w:p w:rsidR="007F6BED" w:rsidRPr="00FA3856" w:rsidRDefault="007F6BED" w:rsidP="007F6BED">
      <w:pPr>
        <w:pStyle w:val="Corpodetexto"/>
        <w:ind w:firstLine="708"/>
        <w:rPr>
          <w:rFonts w:ascii="Times New Roman" w:hAnsi="Times New Roman"/>
          <w:color w:val="002060"/>
          <w:szCs w:val="20"/>
        </w:rPr>
      </w:pPr>
    </w:p>
    <w:p w:rsidR="007F6BED" w:rsidRPr="00FA3856" w:rsidRDefault="007F6BED" w:rsidP="007F6BED">
      <w:pPr>
        <w:pStyle w:val="Corpodetexto"/>
        <w:rPr>
          <w:rFonts w:ascii="Times New Roman" w:hAnsi="Times New Roman"/>
          <w:b/>
          <w:color w:val="002060"/>
          <w:szCs w:val="20"/>
        </w:rPr>
      </w:pPr>
      <w:r w:rsidRPr="00FA3856">
        <w:rPr>
          <w:rFonts w:ascii="Times New Roman" w:hAnsi="Times New Roman"/>
          <w:b/>
          <w:color w:val="002060"/>
          <w:szCs w:val="20"/>
        </w:rPr>
        <w:t>|X400|24|Vendas de Bens Tangíveis Realizadas para Órgãos da Administração Pública|100000,00|</w:t>
      </w:r>
    </w:p>
    <w:p w:rsidR="007F6BED" w:rsidRPr="00FA3856" w:rsidRDefault="007F6BED" w:rsidP="007F6BED">
      <w:pPr>
        <w:pStyle w:val="Corpodetexto"/>
        <w:ind w:firstLine="708"/>
        <w:rPr>
          <w:rFonts w:ascii="Times New Roman" w:hAnsi="Times New Roman"/>
          <w:color w:val="002060"/>
          <w:szCs w:val="20"/>
        </w:rPr>
      </w:pPr>
      <w:r w:rsidRPr="00FA3856">
        <w:rPr>
          <w:rFonts w:ascii="Times New Roman" w:hAnsi="Times New Roman"/>
          <w:color w:val="002060"/>
          <w:szCs w:val="20"/>
        </w:rPr>
        <w:t>|X400|: Identificação do tipo do registro.</w:t>
      </w:r>
    </w:p>
    <w:p w:rsidR="007F6BED" w:rsidRPr="00FA3856" w:rsidRDefault="007F6BED" w:rsidP="007F6BED">
      <w:pPr>
        <w:pStyle w:val="Corpodetexto"/>
        <w:ind w:firstLine="708"/>
        <w:rPr>
          <w:rFonts w:ascii="Times New Roman" w:hAnsi="Times New Roman"/>
          <w:color w:val="002060"/>
          <w:szCs w:val="20"/>
        </w:rPr>
      </w:pPr>
      <w:r w:rsidRPr="00FA3856">
        <w:rPr>
          <w:rFonts w:ascii="Times New Roman" w:hAnsi="Times New Roman"/>
          <w:color w:val="002060"/>
          <w:szCs w:val="20"/>
        </w:rPr>
        <w:t>|24|: Código da linha.</w:t>
      </w:r>
    </w:p>
    <w:p w:rsidR="007F6BED" w:rsidRPr="00FA3856" w:rsidRDefault="007F6BED" w:rsidP="007F6BED">
      <w:pPr>
        <w:pStyle w:val="Corpodetexto"/>
        <w:ind w:firstLine="708"/>
        <w:rPr>
          <w:rFonts w:ascii="Times New Roman" w:hAnsi="Times New Roman"/>
          <w:color w:val="002060"/>
          <w:szCs w:val="20"/>
        </w:rPr>
      </w:pPr>
      <w:r w:rsidRPr="00FA3856">
        <w:rPr>
          <w:rFonts w:ascii="Times New Roman" w:hAnsi="Times New Roman"/>
          <w:color w:val="002060"/>
          <w:szCs w:val="20"/>
        </w:rPr>
        <w:t>|Vendas de Bens Tangíveis Realizadas para Órgãos da Administração Pública|: Descrição da linha.</w:t>
      </w:r>
    </w:p>
    <w:p w:rsidR="007F6BED" w:rsidRPr="00FA3856" w:rsidRDefault="007F6BED" w:rsidP="007F6BED">
      <w:pPr>
        <w:pStyle w:val="Corpodetexto"/>
        <w:ind w:firstLine="708"/>
        <w:rPr>
          <w:rFonts w:ascii="Times New Roman" w:hAnsi="Times New Roman"/>
          <w:color w:val="002060"/>
          <w:szCs w:val="20"/>
        </w:rPr>
      </w:pPr>
      <w:r w:rsidRPr="00FA3856">
        <w:rPr>
          <w:rFonts w:ascii="Times New Roman" w:hAnsi="Times New Roman"/>
          <w:color w:val="002060"/>
          <w:szCs w:val="20"/>
        </w:rPr>
        <w:t>|100000,00|: Valor da linha (R$ 100.000,00).</w:t>
      </w:r>
    </w:p>
    <w:p w:rsidR="00783761" w:rsidRPr="00FA3856" w:rsidRDefault="00783761" w:rsidP="00AE337F">
      <w:pPr>
        <w:rPr>
          <w:b/>
          <w:szCs w:val="20"/>
          <w:lang w:val="pt-PT"/>
        </w:rPr>
      </w:pPr>
    </w:p>
    <w:p w:rsidR="00783761" w:rsidRPr="00FA3856" w:rsidRDefault="00783761">
      <w:pPr>
        <w:rPr>
          <w:b/>
          <w:bCs/>
          <w:color w:val="0000FF"/>
          <w:szCs w:val="20"/>
        </w:rPr>
      </w:pPr>
      <w:r w:rsidRPr="00FA3856">
        <w:rPr>
          <w:color w:val="0000FF"/>
          <w:szCs w:val="20"/>
        </w:rPr>
        <w:br w:type="page"/>
      </w:r>
    </w:p>
    <w:p w:rsidR="00E13728" w:rsidRPr="00FA3856" w:rsidRDefault="00E13728" w:rsidP="00867F54">
      <w:pPr>
        <w:pStyle w:val="Ttulo4"/>
      </w:pPr>
      <w:bookmarkStart w:id="407" w:name="_Toc479713810"/>
      <w:r w:rsidRPr="00FA3856">
        <w:lastRenderedPageBreak/>
        <w:t>Registro X410: Comércio Eletrônico</w:t>
      </w:r>
      <w:r w:rsidR="00F12B2A" w:rsidRPr="00FA3856">
        <w:t xml:space="preserve"> </w:t>
      </w:r>
      <w:r w:rsidR="00AD5447" w:rsidRPr="00FA3856">
        <w:t xml:space="preserve">– Informação de </w:t>
      </w:r>
      <w:r w:rsidR="00AD5447" w:rsidRPr="00FA3856">
        <w:rPr>
          <w:i/>
        </w:rPr>
        <w:t>Homepage</w:t>
      </w:r>
      <w:r w:rsidR="00AD5447" w:rsidRPr="00FA3856">
        <w:t>/Servidor</w:t>
      </w:r>
      <w:bookmarkEnd w:id="407"/>
    </w:p>
    <w:p w:rsidR="00E13728" w:rsidRPr="00FA3856" w:rsidRDefault="00E13728" w:rsidP="00E13728">
      <w:pPr>
        <w:rPr>
          <w:bCs/>
          <w:szCs w:val="20"/>
        </w:rPr>
      </w:pPr>
    </w:p>
    <w:p w:rsidR="00AD5447" w:rsidRPr="00FA3856" w:rsidRDefault="008D5E08" w:rsidP="00177984">
      <w:pPr>
        <w:pStyle w:val="PSDS-CorpodeTexto0"/>
        <w:widowControl w:val="0"/>
        <w:autoSpaceDE w:val="0"/>
        <w:autoSpaceDN w:val="0"/>
        <w:adjustRightInd w:val="0"/>
        <w:jc w:val="both"/>
        <w:rPr>
          <w:rFonts w:ascii="Times New Roman" w:hAnsi="Times New Roman"/>
          <w:bCs/>
        </w:rPr>
      </w:pPr>
      <w:r w:rsidRPr="00FA3856">
        <w:rPr>
          <w:rFonts w:ascii="Times New Roman" w:hAnsi="Times New Roman"/>
          <w:bCs/>
        </w:rPr>
        <w:tab/>
        <w:t>Este registro será habilitado somente para</w:t>
      </w:r>
      <w:r w:rsidR="00177984" w:rsidRPr="00FA3856">
        <w:rPr>
          <w:rFonts w:ascii="Times New Roman" w:hAnsi="Times New Roman"/>
          <w:bCs/>
        </w:rPr>
        <w:t xml:space="preserve"> as pessoas jurídicas</w:t>
      </w:r>
      <w:r w:rsidR="00AD5447" w:rsidRPr="00FA3856">
        <w:rPr>
          <w:rFonts w:ascii="Times New Roman" w:hAnsi="Times New Roman"/>
          <w:bCs/>
        </w:rPr>
        <w:t xml:space="preserve"> </w:t>
      </w:r>
      <w:r w:rsidRPr="00FA3856">
        <w:rPr>
          <w:rFonts w:ascii="Times New Roman" w:hAnsi="Times New Roman"/>
          <w:bCs/>
        </w:rPr>
        <w:t xml:space="preserve">que efetuaram durante o ano-calendário, </w:t>
      </w:r>
      <w:r w:rsidRPr="00FA3856">
        <w:rPr>
          <w:rFonts w:ascii="Times New Roman" w:hAnsi="Times New Roman"/>
          <w:b/>
          <w:bCs/>
        </w:rPr>
        <w:t>por meio da Internet</w:t>
      </w:r>
      <w:r w:rsidRPr="00FA3856">
        <w:rPr>
          <w:rFonts w:ascii="Times New Roman" w:hAnsi="Times New Roman"/>
          <w:bCs/>
        </w:rPr>
        <w:t>, vendas de bens tangíveis (corpóreos), de bens intangíveis (incorpóreos) ou prestado serviços para pessoas físicas ou jurídicas, residentes ou domiciliadas no Brasil ou no exterior</w:t>
      </w:r>
      <w:r w:rsidR="00AD5447" w:rsidRPr="00FA3856">
        <w:rPr>
          <w:rFonts w:ascii="Times New Roman" w:hAnsi="Times New Roman"/>
          <w:bCs/>
        </w:rPr>
        <w:t xml:space="preserve"> (0020.IND_E-COM_TI = "S")</w:t>
      </w:r>
      <w:r w:rsidRPr="00FA3856">
        <w:rPr>
          <w:rFonts w:ascii="Times New Roman" w:hAnsi="Times New Roman"/>
          <w:bCs/>
        </w:rPr>
        <w:t>.</w:t>
      </w:r>
      <w:r w:rsidR="00177984" w:rsidRPr="00FA3856">
        <w:rPr>
          <w:rFonts w:ascii="Times New Roman" w:hAnsi="Times New Roman"/>
          <w:bCs/>
        </w:rPr>
        <w:t xml:space="preserve"> </w:t>
      </w:r>
    </w:p>
    <w:p w:rsidR="00AD5447" w:rsidRPr="00FA3856" w:rsidRDefault="00AD5447" w:rsidP="00177984">
      <w:pPr>
        <w:pStyle w:val="PSDS-CorpodeTexto0"/>
        <w:widowControl w:val="0"/>
        <w:autoSpaceDE w:val="0"/>
        <w:autoSpaceDN w:val="0"/>
        <w:adjustRightInd w:val="0"/>
        <w:jc w:val="both"/>
        <w:rPr>
          <w:rFonts w:ascii="Times New Roman" w:hAnsi="Times New Roman"/>
          <w:bCs/>
        </w:rPr>
      </w:pPr>
    </w:p>
    <w:p w:rsidR="00AD5447" w:rsidRPr="00FA3856" w:rsidRDefault="008D5E08" w:rsidP="00AD5447">
      <w:pPr>
        <w:pStyle w:val="PSDS-CorpodeTexto0"/>
        <w:widowControl w:val="0"/>
        <w:autoSpaceDE w:val="0"/>
        <w:autoSpaceDN w:val="0"/>
        <w:adjustRightInd w:val="0"/>
        <w:ind w:firstLine="708"/>
        <w:jc w:val="both"/>
        <w:rPr>
          <w:rFonts w:ascii="Times New Roman" w:hAnsi="Times New Roman"/>
          <w:b/>
          <w:bCs/>
        </w:rPr>
      </w:pPr>
      <w:r w:rsidRPr="00FA3856">
        <w:rPr>
          <w:rFonts w:ascii="Times New Roman" w:hAnsi="Times New Roman"/>
          <w:bCs/>
        </w:rPr>
        <w:t xml:space="preserve">Deverão, </w:t>
      </w:r>
      <w:r w:rsidR="00AD5447" w:rsidRPr="00FA3856">
        <w:rPr>
          <w:rFonts w:ascii="Times New Roman" w:hAnsi="Times New Roman"/>
          <w:bCs/>
        </w:rPr>
        <w:t>também</w:t>
      </w:r>
      <w:r w:rsidRPr="00FA3856">
        <w:rPr>
          <w:rFonts w:ascii="Times New Roman" w:hAnsi="Times New Roman"/>
          <w:bCs/>
        </w:rPr>
        <w:t>, preencher este registro as pessoas jurídicas que pos</w:t>
      </w:r>
      <w:r w:rsidR="00AD5447" w:rsidRPr="00FA3856">
        <w:rPr>
          <w:rFonts w:ascii="Times New Roman" w:hAnsi="Times New Roman"/>
          <w:bCs/>
        </w:rPr>
        <w:t>suam servidor à sua disposição (</w:t>
      </w:r>
      <w:r w:rsidRPr="00FA3856">
        <w:rPr>
          <w:rFonts w:ascii="Times New Roman" w:hAnsi="Times New Roman"/>
          <w:bCs/>
        </w:rPr>
        <w:t>próprio, alugado, arrendado ou cedido a título oneroso ou gratuito</w:t>
      </w:r>
      <w:r w:rsidR="00AD5447" w:rsidRPr="00FA3856">
        <w:rPr>
          <w:rFonts w:ascii="Times New Roman" w:hAnsi="Times New Roman"/>
          <w:bCs/>
        </w:rPr>
        <w:t xml:space="preserve">), </w:t>
      </w:r>
      <w:r w:rsidRPr="00FA3856">
        <w:rPr>
          <w:rFonts w:ascii="Times New Roman" w:hAnsi="Times New Roman"/>
          <w:b/>
          <w:bCs/>
        </w:rPr>
        <w:t>a partir do qual realize transações de comércio eletrônico.</w:t>
      </w:r>
      <w:r w:rsidR="00177984" w:rsidRPr="00FA3856">
        <w:rPr>
          <w:rFonts w:ascii="Times New Roman" w:hAnsi="Times New Roman"/>
          <w:b/>
          <w:bCs/>
        </w:rPr>
        <w:t xml:space="preserve"> </w:t>
      </w:r>
    </w:p>
    <w:p w:rsidR="00AD5447" w:rsidRPr="00FA3856" w:rsidRDefault="00AD5447" w:rsidP="00AD5447">
      <w:pPr>
        <w:pStyle w:val="PSDS-CorpodeTexto0"/>
        <w:widowControl w:val="0"/>
        <w:autoSpaceDE w:val="0"/>
        <w:autoSpaceDN w:val="0"/>
        <w:adjustRightInd w:val="0"/>
        <w:ind w:firstLine="708"/>
        <w:jc w:val="both"/>
        <w:rPr>
          <w:rFonts w:ascii="Times New Roman" w:hAnsi="Times New Roman"/>
          <w:bCs/>
        </w:rPr>
      </w:pPr>
    </w:p>
    <w:p w:rsidR="008D5E08" w:rsidRPr="00FA3856" w:rsidRDefault="008D5E08" w:rsidP="00AD5447">
      <w:pPr>
        <w:pStyle w:val="PSDS-CorpodeTexto0"/>
        <w:widowControl w:val="0"/>
        <w:autoSpaceDE w:val="0"/>
        <w:autoSpaceDN w:val="0"/>
        <w:adjustRightInd w:val="0"/>
        <w:ind w:firstLine="708"/>
        <w:jc w:val="both"/>
        <w:rPr>
          <w:rFonts w:ascii="Times New Roman" w:hAnsi="Times New Roman"/>
        </w:rPr>
      </w:pPr>
      <w:r w:rsidRPr="00FA3856">
        <w:rPr>
          <w:rFonts w:ascii="Times New Roman" w:hAnsi="Times New Roman"/>
          <w:bCs/>
        </w:rPr>
        <w:t xml:space="preserve">Não deve preencher este registro a pessoa jurídica que tenha </w:t>
      </w:r>
      <w:r w:rsidRPr="00FA3856">
        <w:rPr>
          <w:rFonts w:ascii="Times New Roman" w:hAnsi="Times New Roman"/>
          <w:bCs/>
          <w:i/>
        </w:rPr>
        <w:t>homepage</w:t>
      </w:r>
      <w:r w:rsidRPr="00FA3856">
        <w:rPr>
          <w:rFonts w:ascii="Times New Roman" w:hAnsi="Times New Roman"/>
          <w:bCs/>
        </w:rPr>
        <w:t xml:space="preserve"> utilizada apenas como meio de publicidade ou de divulgação instituci</w:t>
      </w:r>
      <w:r w:rsidR="00AD5447" w:rsidRPr="00FA3856">
        <w:rPr>
          <w:rFonts w:ascii="Times New Roman" w:hAnsi="Times New Roman"/>
          <w:bCs/>
        </w:rPr>
        <w:t>onal da empresa e de sua marca; assim,</w:t>
      </w:r>
      <w:r w:rsidRPr="00FA3856">
        <w:rPr>
          <w:rFonts w:ascii="Times New Roman" w:hAnsi="Times New Roman"/>
          <w:bCs/>
        </w:rPr>
        <w:t xml:space="preserve"> não deve preencher este registro a pessoa jurídica que não forneça, por meio desta </w:t>
      </w:r>
      <w:r w:rsidRPr="00FA3856">
        <w:rPr>
          <w:rFonts w:ascii="Times New Roman" w:hAnsi="Times New Roman"/>
          <w:bCs/>
          <w:i/>
        </w:rPr>
        <w:t>homepage</w:t>
      </w:r>
      <w:r w:rsidRPr="00FA3856">
        <w:rPr>
          <w:rFonts w:ascii="Times New Roman" w:hAnsi="Times New Roman"/>
          <w:bCs/>
        </w:rPr>
        <w:t>, endereço eletrônico ou um “Fale Conosco</w:t>
      </w:r>
      <w:r w:rsidR="00AD5447" w:rsidRPr="00FA3856">
        <w:rPr>
          <w:rFonts w:ascii="Times New Roman" w:hAnsi="Times New Roman"/>
          <w:bCs/>
        </w:rPr>
        <w:t>”</w:t>
      </w:r>
      <w:r w:rsidRPr="00FA3856">
        <w:rPr>
          <w:rFonts w:ascii="Times New Roman" w:hAnsi="Times New Roman"/>
          <w:bCs/>
        </w:rPr>
        <w:t>.</w:t>
      </w:r>
    </w:p>
    <w:p w:rsidR="00AD5447" w:rsidRDefault="00AD5447" w:rsidP="00E13728">
      <w:pPr>
        <w:pStyle w:val="PSDS-MarcadoresNivel4"/>
        <w:tabs>
          <w:tab w:val="clear" w:pos="2271"/>
          <w:tab w:val="left" w:pos="720"/>
        </w:tabs>
        <w:spacing w:before="0" w:after="0"/>
        <w:ind w:left="0" w:firstLine="0"/>
        <w:rPr>
          <w:rFonts w:ascii="Times New Roman" w:hAnsi="Times New Roman" w:cs="Times New Roman"/>
          <w:szCs w:val="20"/>
          <w:lang w:val="pt-PT"/>
        </w:rPr>
      </w:pPr>
    </w:p>
    <w:p w:rsidR="00731C14" w:rsidRPr="00FA3856" w:rsidRDefault="00B35FA3" w:rsidP="00731C14">
      <w:pPr>
        <w:pStyle w:val="PSDS-MarcadoresNivel4"/>
        <w:tabs>
          <w:tab w:val="clear" w:pos="2271"/>
          <w:tab w:val="left" w:pos="720"/>
        </w:tabs>
        <w:spacing w:before="0" w:after="0"/>
        <w:ind w:left="0" w:firstLine="0"/>
        <w:jc w:val="center"/>
        <w:rPr>
          <w:rFonts w:ascii="Times New Roman" w:hAnsi="Times New Roman" w:cs="Times New Roman"/>
          <w:szCs w:val="20"/>
          <w:lang w:val="pt-PT"/>
        </w:rPr>
      </w:pPr>
      <w:r>
        <w:rPr>
          <w:rFonts w:ascii="Times New Roman" w:hAnsi="Times New Roman" w:cs="Times New Roman"/>
          <w:szCs w:val="20"/>
          <w:lang w:val="pt-PT"/>
        </w:rPr>
        <w:object w:dxaOrig="14835" w:dyaOrig="5865">
          <v:shape id="_x0000_i1981" type="#_x0000_t75" style="width:792.75pt;height:283.5pt" o:ole="">
            <v:imagedata r:id="rId747" o:title=""/>
          </v:shape>
          <o:OLEObject Type="Link" ProgID="Excel.Sheet.12" ShapeID="_x0000_i1981" DrawAspect="Content" r:id="rId748" UpdateMode="Always">
            <o:LinkType>EnhancedMetaFile</o:LinkType>
            <o:LockedField>false</o:LockedField>
          </o:OLEObject>
        </w:object>
      </w:r>
    </w:p>
    <w:p w:rsidR="00731C14" w:rsidRDefault="00731C14" w:rsidP="00E13728">
      <w:pPr>
        <w:pStyle w:val="PSDS-MarcadoresNivel4"/>
        <w:tabs>
          <w:tab w:val="clear" w:pos="2271"/>
          <w:tab w:val="left" w:pos="720"/>
        </w:tabs>
        <w:spacing w:before="0" w:after="0"/>
        <w:ind w:left="0" w:firstLine="0"/>
        <w:rPr>
          <w:rFonts w:ascii="Times New Roman" w:hAnsi="Times New Roman" w:cs="Times New Roman"/>
          <w:szCs w:val="20"/>
          <w:lang w:val="pt-PT"/>
        </w:rPr>
      </w:pPr>
    </w:p>
    <w:p w:rsidR="00731C14" w:rsidRDefault="00731C14" w:rsidP="00E13728">
      <w:pPr>
        <w:pStyle w:val="PSDS-MarcadoresNivel4"/>
        <w:tabs>
          <w:tab w:val="clear" w:pos="2271"/>
          <w:tab w:val="left" w:pos="720"/>
        </w:tabs>
        <w:spacing w:before="0" w:after="0"/>
        <w:ind w:left="0" w:firstLine="0"/>
        <w:rPr>
          <w:rFonts w:ascii="Times New Roman" w:hAnsi="Times New Roman" w:cs="Times New Roman"/>
          <w:szCs w:val="20"/>
          <w:lang w:val="pt-PT"/>
        </w:rPr>
      </w:pPr>
    </w:p>
    <w:p w:rsidR="00731C14" w:rsidRDefault="00731C14" w:rsidP="00E13728">
      <w:pPr>
        <w:pStyle w:val="PSDS-MarcadoresNivel4"/>
        <w:tabs>
          <w:tab w:val="clear" w:pos="2271"/>
          <w:tab w:val="left" w:pos="720"/>
        </w:tabs>
        <w:spacing w:before="0" w:after="0"/>
        <w:ind w:left="0" w:firstLine="0"/>
        <w:rPr>
          <w:rFonts w:ascii="Times New Roman" w:hAnsi="Times New Roman" w:cs="Times New Roman"/>
          <w:szCs w:val="20"/>
          <w:lang w:val="pt-PT"/>
        </w:rPr>
      </w:pPr>
    </w:p>
    <w:p w:rsidR="00731C14" w:rsidRDefault="00731C14" w:rsidP="00E13728">
      <w:pPr>
        <w:pStyle w:val="PSDS-MarcadoresNivel4"/>
        <w:tabs>
          <w:tab w:val="clear" w:pos="2271"/>
          <w:tab w:val="left" w:pos="720"/>
        </w:tabs>
        <w:spacing w:before="0" w:after="0"/>
        <w:ind w:left="0" w:firstLine="0"/>
        <w:rPr>
          <w:rFonts w:ascii="Times New Roman" w:hAnsi="Times New Roman" w:cs="Times New Roman"/>
          <w:szCs w:val="20"/>
          <w:lang w:val="pt-PT"/>
        </w:rPr>
      </w:pPr>
    </w:p>
    <w:p w:rsidR="00731C14" w:rsidRDefault="00B35FA3" w:rsidP="00731C14">
      <w:pPr>
        <w:pStyle w:val="PSDS-MarcadoresNivel4"/>
        <w:tabs>
          <w:tab w:val="clear" w:pos="2271"/>
          <w:tab w:val="left" w:pos="720"/>
        </w:tabs>
        <w:spacing w:before="0" w:after="0"/>
        <w:ind w:left="0" w:firstLine="0"/>
        <w:jc w:val="center"/>
        <w:rPr>
          <w:rFonts w:ascii="Times New Roman" w:hAnsi="Times New Roman" w:cs="Times New Roman"/>
          <w:szCs w:val="20"/>
          <w:lang w:val="pt-PT"/>
        </w:rPr>
      </w:pPr>
      <w:r>
        <w:rPr>
          <w:rFonts w:ascii="Times New Roman" w:hAnsi="Times New Roman" w:cs="Times New Roman"/>
          <w:szCs w:val="20"/>
          <w:lang w:val="pt-PT"/>
        </w:rPr>
        <w:object w:dxaOrig="14835" w:dyaOrig="2835">
          <v:shape id="_x0000_i1983" type="#_x0000_t75" style="width:792.75pt;height:136.5pt" o:ole="">
            <v:imagedata r:id="rId749" o:title=""/>
          </v:shape>
          <o:OLEObject Type="Link" ProgID="Excel.Sheet.12" ShapeID="_x0000_i1983" DrawAspect="Content" r:id="rId750" UpdateMode="Always">
            <o:LinkType>EnhancedMetaFile</o:LinkType>
            <o:LockedField>false</o:LockedField>
          </o:OLEObject>
        </w:object>
      </w:r>
    </w:p>
    <w:p w:rsidR="00731C14" w:rsidRDefault="00731C14" w:rsidP="00E13728">
      <w:pPr>
        <w:pStyle w:val="PSDS-MarcadoresNivel4"/>
        <w:tabs>
          <w:tab w:val="clear" w:pos="2271"/>
          <w:tab w:val="left" w:pos="720"/>
        </w:tabs>
        <w:spacing w:before="0" w:after="0"/>
        <w:ind w:left="0" w:firstLine="0"/>
        <w:rPr>
          <w:rFonts w:ascii="Times New Roman" w:hAnsi="Times New Roman" w:cs="Times New Roman"/>
          <w:szCs w:val="20"/>
          <w:lang w:val="pt-PT"/>
        </w:rPr>
      </w:pPr>
    </w:p>
    <w:p w:rsidR="00E13728" w:rsidRPr="00FA3856" w:rsidRDefault="00E13728" w:rsidP="00E13728">
      <w:pPr>
        <w:pStyle w:val="PSDS-MarcadoresNivel4"/>
        <w:tabs>
          <w:tab w:val="clear" w:pos="2271"/>
          <w:tab w:val="left" w:pos="720"/>
        </w:tabs>
        <w:spacing w:before="0" w:after="0"/>
        <w:ind w:left="0" w:firstLine="0"/>
        <w:rPr>
          <w:rFonts w:ascii="Times New Roman" w:hAnsi="Times New Roman" w:cs="Times New Roman"/>
          <w:szCs w:val="20"/>
          <w:lang w:val="pt-PT"/>
        </w:rPr>
      </w:pPr>
      <w:r w:rsidRPr="00FA3856">
        <w:rPr>
          <w:rFonts w:ascii="Times New Roman" w:hAnsi="Times New Roman" w:cs="Times New Roman"/>
          <w:szCs w:val="20"/>
          <w:lang w:val="pt-PT"/>
        </w:rPr>
        <w:t>I – Regras de Validação de Registro:</w:t>
      </w:r>
    </w:p>
    <w:p w:rsidR="00E13728" w:rsidRPr="00FA3856" w:rsidRDefault="00E13728" w:rsidP="00E13728">
      <w:pPr>
        <w:pStyle w:val="PSDS-MarcadoresNivel4"/>
        <w:tabs>
          <w:tab w:val="clear" w:pos="2271"/>
          <w:tab w:val="left" w:pos="720"/>
        </w:tabs>
        <w:spacing w:before="0" w:after="0"/>
        <w:ind w:left="0" w:firstLine="0"/>
        <w:rPr>
          <w:rFonts w:ascii="Times New Roman" w:hAnsi="Times New Roman" w:cs="Times New Roman"/>
          <w:szCs w:val="20"/>
          <w:lang w:val="pt-PT"/>
        </w:rPr>
      </w:pPr>
    </w:p>
    <w:p w:rsidR="00E13728" w:rsidRPr="00FA3856" w:rsidRDefault="00E13728" w:rsidP="00177984">
      <w:pPr>
        <w:pStyle w:val="PSDS-MarcadoresNivel4"/>
        <w:tabs>
          <w:tab w:val="clear" w:pos="2271"/>
          <w:tab w:val="left" w:pos="720"/>
        </w:tabs>
        <w:spacing w:before="0" w:after="0"/>
        <w:ind w:left="0" w:firstLine="0"/>
        <w:jc w:val="both"/>
        <w:rPr>
          <w:rFonts w:ascii="Times New Roman" w:hAnsi="Times New Roman" w:cs="Times New Roman"/>
          <w:b w:val="0"/>
          <w:szCs w:val="20"/>
          <w:lang w:val="pt-PT"/>
        </w:rPr>
      </w:pPr>
      <w:r w:rsidRPr="00FA3856">
        <w:rPr>
          <w:rFonts w:ascii="Times New Roman" w:hAnsi="Times New Roman" w:cs="Times New Roman"/>
          <w:szCs w:val="20"/>
          <w:lang w:val="pt-PT"/>
        </w:rPr>
        <w:t xml:space="preserve">REGRA_HOMEPAGE_SERVIDOR: </w:t>
      </w:r>
      <w:r w:rsidRPr="00FA3856">
        <w:rPr>
          <w:rFonts w:ascii="Times New Roman" w:hAnsi="Times New Roman" w:cs="Times New Roman"/>
          <w:b w:val="0"/>
          <w:szCs w:val="20"/>
          <w:lang w:val="pt-PT"/>
        </w:rPr>
        <w:t>Ver</w:t>
      </w:r>
      <w:r w:rsidR="00177984" w:rsidRPr="00FA3856">
        <w:rPr>
          <w:rFonts w:ascii="Times New Roman" w:hAnsi="Times New Roman" w:cs="Times New Roman"/>
          <w:b w:val="0"/>
          <w:szCs w:val="20"/>
          <w:lang w:val="pt-PT"/>
        </w:rPr>
        <w:t>fica</w:t>
      </w:r>
      <w:r w:rsidR="0011050B" w:rsidRPr="00FA3856">
        <w:rPr>
          <w:rFonts w:ascii="Times New Roman" w:hAnsi="Times New Roman" w:cs="Times New Roman"/>
          <w:b w:val="0"/>
          <w:szCs w:val="20"/>
          <w:lang w:val="pt-PT"/>
        </w:rPr>
        <w:t xml:space="preserve"> se, para cada X410.PAIS</w:t>
      </w:r>
      <w:r w:rsidRPr="00FA3856">
        <w:rPr>
          <w:rFonts w:ascii="Times New Roman" w:hAnsi="Times New Roman" w:cs="Times New Roman"/>
          <w:b w:val="0"/>
          <w:szCs w:val="20"/>
          <w:lang w:val="pt-PT"/>
        </w:rPr>
        <w:t xml:space="preserve">, </w:t>
      </w:r>
      <w:r w:rsidR="00177984" w:rsidRPr="00FA3856">
        <w:rPr>
          <w:rFonts w:ascii="Times New Roman" w:hAnsi="Times New Roman" w:cs="Times New Roman"/>
          <w:b w:val="0"/>
          <w:szCs w:val="20"/>
          <w:lang w:val="pt-PT"/>
        </w:rPr>
        <w:t>X410.IND_HOME_D</w:t>
      </w:r>
      <w:r w:rsidR="0011050B" w:rsidRPr="00FA3856">
        <w:rPr>
          <w:rFonts w:ascii="Times New Roman" w:hAnsi="Times New Roman" w:cs="Times New Roman"/>
          <w:b w:val="0"/>
          <w:szCs w:val="20"/>
          <w:lang w:val="pt-PT"/>
        </w:rPr>
        <w:t xml:space="preserve">ISP </w:t>
      </w:r>
      <w:r w:rsidRPr="00FA3856">
        <w:rPr>
          <w:rFonts w:ascii="Times New Roman" w:hAnsi="Times New Roman" w:cs="Times New Roman"/>
          <w:b w:val="0"/>
          <w:szCs w:val="20"/>
          <w:lang w:val="pt-PT"/>
        </w:rPr>
        <w:t>igual a “S”</w:t>
      </w:r>
      <w:r w:rsidR="008F71FA" w:rsidRPr="00FA3856">
        <w:rPr>
          <w:rFonts w:ascii="Times New Roman" w:hAnsi="Times New Roman" w:cs="Times New Roman"/>
          <w:b w:val="0"/>
          <w:szCs w:val="20"/>
          <w:lang w:val="pt-PT"/>
        </w:rPr>
        <w:t xml:space="preserve"> e</w:t>
      </w:r>
      <w:r w:rsidRPr="00FA3856">
        <w:rPr>
          <w:rFonts w:ascii="Times New Roman" w:hAnsi="Times New Roman" w:cs="Times New Roman"/>
          <w:b w:val="0"/>
          <w:szCs w:val="20"/>
          <w:lang w:val="pt-PT"/>
        </w:rPr>
        <w:t xml:space="preserve"> </w:t>
      </w:r>
      <w:r w:rsidR="0011050B" w:rsidRPr="00FA3856">
        <w:rPr>
          <w:rFonts w:ascii="Times New Roman" w:hAnsi="Times New Roman" w:cs="Times New Roman"/>
          <w:b w:val="0"/>
          <w:szCs w:val="20"/>
          <w:lang w:val="pt-PT"/>
        </w:rPr>
        <w:t xml:space="preserve">X410.IND_SERV_DISP </w:t>
      </w:r>
      <w:r w:rsidRPr="00FA3856">
        <w:rPr>
          <w:rFonts w:ascii="Times New Roman" w:hAnsi="Times New Roman" w:cs="Times New Roman"/>
          <w:b w:val="0"/>
          <w:szCs w:val="20"/>
          <w:lang w:val="pt-PT"/>
        </w:rPr>
        <w:t>igual a “</w:t>
      </w:r>
      <w:r w:rsidR="008F71FA" w:rsidRPr="00FA3856">
        <w:rPr>
          <w:rFonts w:ascii="Times New Roman" w:hAnsi="Times New Roman" w:cs="Times New Roman"/>
          <w:b w:val="0"/>
          <w:szCs w:val="20"/>
          <w:lang w:val="pt-PT"/>
        </w:rPr>
        <w:t>N</w:t>
      </w:r>
      <w:r w:rsidRPr="00FA3856">
        <w:rPr>
          <w:rFonts w:ascii="Times New Roman" w:hAnsi="Times New Roman" w:cs="Times New Roman"/>
          <w:b w:val="0"/>
          <w:szCs w:val="20"/>
          <w:lang w:val="pt-PT"/>
        </w:rPr>
        <w:t>”</w:t>
      </w:r>
      <w:r w:rsidR="0011050B" w:rsidRPr="00FA3856">
        <w:rPr>
          <w:rFonts w:ascii="Times New Roman" w:hAnsi="Times New Roman" w:cs="Times New Roman"/>
          <w:b w:val="0"/>
          <w:szCs w:val="20"/>
          <w:lang w:val="pt-PT"/>
        </w:rPr>
        <w:t xml:space="preserve"> ou  X410.IND_HOME_DISP </w:t>
      </w:r>
      <w:r w:rsidR="008F71FA" w:rsidRPr="00FA3856">
        <w:rPr>
          <w:rFonts w:ascii="Times New Roman" w:hAnsi="Times New Roman" w:cs="Times New Roman"/>
          <w:b w:val="0"/>
          <w:szCs w:val="20"/>
          <w:lang w:val="pt-PT"/>
        </w:rPr>
        <w:t xml:space="preserve">igual a “N” e </w:t>
      </w:r>
      <w:r w:rsidR="0011050B" w:rsidRPr="00FA3856">
        <w:rPr>
          <w:rFonts w:ascii="Times New Roman" w:hAnsi="Times New Roman" w:cs="Times New Roman"/>
          <w:b w:val="0"/>
          <w:szCs w:val="20"/>
          <w:lang w:val="pt-PT"/>
        </w:rPr>
        <w:t xml:space="preserve">X410.IND_SERV_DISP </w:t>
      </w:r>
      <w:r w:rsidR="008F71FA" w:rsidRPr="00FA3856">
        <w:rPr>
          <w:rFonts w:ascii="Times New Roman" w:hAnsi="Times New Roman" w:cs="Times New Roman"/>
          <w:b w:val="0"/>
          <w:szCs w:val="20"/>
          <w:lang w:val="pt-PT"/>
        </w:rPr>
        <w:t>igual a “S”. Caso a regra não seja cumprida, o sistema gera um erro.</w:t>
      </w:r>
    </w:p>
    <w:p w:rsidR="00881218" w:rsidRPr="00FA3856" w:rsidRDefault="00881218" w:rsidP="00177984">
      <w:pPr>
        <w:pStyle w:val="PSDS-MarcadoresNivel4"/>
        <w:tabs>
          <w:tab w:val="clear" w:pos="2271"/>
          <w:tab w:val="left" w:pos="720"/>
        </w:tabs>
        <w:spacing w:before="0" w:after="0"/>
        <w:ind w:left="0" w:firstLine="0"/>
        <w:jc w:val="both"/>
        <w:rPr>
          <w:rFonts w:ascii="Times New Roman" w:hAnsi="Times New Roman" w:cs="Times New Roman"/>
          <w:b w:val="0"/>
          <w:szCs w:val="20"/>
          <w:lang w:val="pt-PT"/>
        </w:rPr>
      </w:pPr>
    </w:p>
    <w:p w:rsidR="00731C14" w:rsidRDefault="00177984" w:rsidP="00881218">
      <w:pPr>
        <w:pStyle w:val="Corpodetexto"/>
        <w:rPr>
          <w:rFonts w:ascii="Times New Roman" w:hAnsi="Times New Roman"/>
          <w:b/>
          <w:color w:val="002060"/>
          <w:szCs w:val="20"/>
        </w:rPr>
      </w:pPr>
      <w:r w:rsidRPr="00FA3856">
        <w:rPr>
          <w:rFonts w:ascii="Times New Roman" w:hAnsi="Times New Roman"/>
          <w:b/>
          <w:color w:val="002060"/>
          <w:szCs w:val="20"/>
        </w:rPr>
        <w:t xml:space="preserve">Exemplo de Preenchimento: </w:t>
      </w:r>
    </w:p>
    <w:p w:rsidR="00731C14" w:rsidRDefault="00731C14" w:rsidP="00881218">
      <w:pPr>
        <w:pStyle w:val="Corpodetexto"/>
        <w:rPr>
          <w:rFonts w:ascii="Times New Roman" w:hAnsi="Times New Roman"/>
          <w:b/>
          <w:color w:val="002060"/>
          <w:szCs w:val="20"/>
        </w:rPr>
      </w:pPr>
    </w:p>
    <w:p w:rsidR="00881218" w:rsidRPr="00FA3856" w:rsidRDefault="00881218" w:rsidP="00881218">
      <w:pPr>
        <w:pStyle w:val="Corpodetexto"/>
        <w:rPr>
          <w:rFonts w:ascii="Times New Roman" w:hAnsi="Times New Roman"/>
          <w:b/>
          <w:color w:val="002060"/>
          <w:szCs w:val="20"/>
        </w:rPr>
      </w:pPr>
      <w:r w:rsidRPr="00FA3856">
        <w:rPr>
          <w:rFonts w:ascii="Times New Roman" w:hAnsi="Times New Roman"/>
          <w:b/>
          <w:color w:val="002060"/>
          <w:szCs w:val="20"/>
        </w:rPr>
        <w:t>|X410|</w:t>
      </w:r>
      <w:r w:rsidR="00E56B45" w:rsidRPr="00FA3856">
        <w:rPr>
          <w:rFonts w:ascii="Times New Roman" w:hAnsi="Times New Roman"/>
          <w:b/>
          <w:color w:val="002060"/>
          <w:szCs w:val="20"/>
        </w:rPr>
        <w:t>105|</w:t>
      </w:r>
      <w:r w:rsidRPr="00FA3856">
        <w:rPr>
          <w:rFonts w:ascii="Times New Roman" w:hAnsi="Times New Roman"/>
          <w:b/>
          <w:color w:val="002060"/>
          <w:szCs w:val="20"/>
        </w:rPr>
        <w:t>S|N|</w:t>
      </w:r>
    </w:p>
    <w:p w:rsidR="00881218" w:rsidRPr="00FA3856" w:rsidRDefault="00881218" w:rsidP="00881218">
      <w:pPr>
        <w:pStyle w:val="Corpodetexto"/>
        <w:ind w:firstLine="708"/>
        <w:rPr>
          <w:rFonts w:ascii="Times New Roman" w:hAnsi="Times New Roman"/>
          <w:color w:val="002060"/>
          <w:szCs w:val="20"/>
        </w:rPr>
      </w:pPr>
      <w:r w:rsidRPr="00FA3856">
        <w:rPr>
          <w:rFonts w:ascii="Times New Roman" w:hAnsi="Times New Roman"/>
          <w:color w:val="002060"/>
          <w:szCs w:val="20"/>
        </w:rPr>
        <w:t>|X410|: Identificação do tipo do registro.</w:t>
      </w:r>
    </w:p>
    <w:p w:rsidR="00E56B45" w:rsidRPr="00FA3856" w:rsidRDefault="00E56B45" w:rsidP="00881218">
      <w:pPr>
        <w:pStyle w:val="Corpodetexto"/>
        <w:ind w:firstLine="708"/>
        <w:rPr>
          <w:rFonts w:ascii="Times New Roman" w:hAnsi="Times New Roman"/>
          <w:color w:val="002060"/>
          <w:szCs w:val="20"/>
        </w:rPr>
      </w:pPr>
      <w:r w:rsidRPr="00FA3856">
        <w:rPr>
          <w:rFonts w:ascii="Times New Roman" w:hAnsi="Times New Roman"/>
          <w:color w:val="002060"/>
          <w:szCs w:val="20"/>
        </w:rPr>
        <w:t>|105|: Código do país (105 = “Brasil”).</w:t>
      </w:r>
    </w:p>
    <w:p w:rsidR="00881218" w:rsidRPr="00FA3856" w:rsidRDefault="00881218" w:rsidP="00881218">
      <w:pPr>
        <w:pStyle w:val="Corpodetexto"/>
        <w:ind w:firstLine="708"/>
        <w:rPr>
          <w:rFonts w:ascii="Times New Roman" w:hAnsi="Times New Roman"/>
          <w:color w:val="002060"/>
          <w:szCs w:val="20"/>
        </w:rPr>
      </w:pPr>
      <w:r w:rsidRPr="00FA3856">
        <w:rPr>
          <w:rFonts w:ascii="Times New Roman" w:hAnsi="Times New Roman"/>
          <w:color w:val="002060"/>
          <w:szCs w:val="20"/>
        </w:rPr>
        <w:t>|S|: Hom</w:t>
      </w:r>
      <w:r w:rsidR="00AE7FBB" w:rsidRPr="00FA3856">
        <w:rPr>
          <w:rFonts w:ascii="Times New Roman" w:hAnsi="Times New Roman"/>
          <w:color w:val="002060"/>
          <w:szCs w:val="20"/>
        </w:rPr>
        <w:t>e</w:t>
      </w:r>
      <w:r w:rsidRPr="00FA3856">
        <w:rPr>
          <w:rFonts w:ascii="Times New Roman" w:hAnsi="Times New Roman"/>
          <w:color w:val="002060"/>
          <w:szCs w:val="20"/>
        </w:rPr>
        <w:t>page disponível (S = Sim).</w:t>
      </w:r>
    </w:p>
    <w:p w:rsidR="00881218" w:rsidRPr="00FA3856" w:rsidRDefault="00881218" w:rsidP="00881218">
      <w:pPr>
        <w:pStyle w:val="Corpodetexto"/>
        <w:ind w:firstLine="708"/>
        <w:rPr>
          <w:rFonts w:ascii="Times New Roman" w:hAnsi="Times New Roman"/>
          <w:color w:val="002060"/>
          <w:szCs w:val="20"/>
        </w:rPr>
      </w:pPr>
      <w:r w:rsidRPr="00FA3856">
        <w:rPr>
          <w:rFonts w:ascii="Times New Roman" w:hAnsi="Times New Roman"/>
          <w:color w:val="002060"/>
          <w:szCs w:val="20"/>
        </w:rPr>
        <w:t>|N|: Servidor não disponível (N = Não).</w:t>
      </w:r>
    </w:p>
    <w:p w:rsidR="00881218" w:rsidRPr="00FA3856" w:rsidRDefault="00881218" w:rsidP="00E13728">
      <w:pPr>
        <w:pStyle w:val="PSDS-MarcadoresNivel4"/>
        <w:tabs>
          <w:tab w:val="clear" w:pos="2271"/>
          <w:tab w:val="left" w:pos="720"/>
        </w:tabs>
        <w:spacing w:before="0" w:after="0"/>
        <w:ind w:left="0" w:firstLine="0"/>
        <w:rPr>
          <w:rFonts w:ascii="Times New Roman" w:hAnsi="Times New Roman" w:cs="Times New Roman"/>
          <w:b w:val="0"/>
          <w:szCs w:val="20"/>
          <w:lang w:val="pt-PT"/>
        </w:rPr>
      </w:pPr>
    </w:p>
    <w:p w:rsidR="008F71FA" w:rsidRPr="00FA3856" w:rsidRDefault="008F71FA" w:rsidP="00E13728">
      <w:pPr>
        <w:pStyle w:val="PSDS-MarcadoresNivel4"/>
        <w:tabs>
          <w:tab w:val="clear" w:pos="2271"/>
          <w:tab w:val="left" w:pos="720"/>
        </w:tabs>
        <w:spacing w:before="0" w:after="0"/>
        <w:ind w:left="0" w:firstLine="0"/>
        <w:rPr>
          <w:rFonts w:ascii="Times New Roman" w:hAnsi="Times New Roman" w:cs="Times New Roman"/>
          <w:b w:val="0"/>
          <w:szCs w:val="20"/>
          <w:lang w:val="pt-PT"/>
        </w:rPr>
      </w:pPr>
    </w:p>
    <w:p w:rsidR="00783761" w:rsidRPr="00FA3856" w:rsidRDefault="00783761">
      <w:pPr>
        <w:rPr>
          <w:b/>
          <w:bCs/>
          <w:color w:val="0000FF"/>
          <w:szCs w:val="20"/>
        </w:rPr>
      </w:pPr>
      <w:r w:rsidRPr="00FA3856">
        <w:rPr>
          <w:color w:val="0000FF"/>
          <w:szCs w:val="20"/>
        </w:rPr>
        <w:br w:type="page"/>
      </w:r>
    </w:p>
    <w:p w:rsidR="00F079BE" w:rsidRPr="00FA3856" w:rsidRDefault="00F079BE" w:rsidP="00867F54">
      <w:pPr>
        <w:pStyle w:val="Ttulo4"/>
      </w:pPr>
      <w:bookmarkStart w:id="408" w:name="_Toc479713811"/>
      <w:r w:rsidRPr="00FA3856">
        <w:lastRenderedPageBreak/>
        <w:t xml:space="preserve">Registro X420: </w:t>
      </w:r>
      <w:r w:rsidRPr="00FA3856">
        <w:rPr>
          <w:i/>
        </w:rPr>
        <w:t>Royalties</w:t>
      </w:r>
      <w:r w:rsidRPr="00FA3856">
        <w:t xml:space="preserve"> Recebidos ou Pagos a Beneficiários do Brasil e do Exterior</w:t>
      </w:r>
      <w:bookmarkEnd w:id="408"/>
    </w:p>
    <w:p w:rsidR="00F079BE" w:rsidRPr="00FA3856" w:rsidRDefault="00F079BE" w:rsidP="00F079BE">
      <w:pPr>
        <w:rPr>
          <w:bCs/>
          <w:szCs w:val="20"/>
        </w:rPr>
      </w:pPr>
    </w:p>
    <w:p w:rsidR="0028090A" w:rsidRPr="00FA3856" w:rsidRDefault="0028090A" w:rsidP="0028090A">
      <w:pPr>
        <w:rPr>
          <w:bCs/>
          <w:szCs w:val="20"/>
        </w:rPr>
      </w:pPr>
      <w:r w:rsidRPr="00FA3856">
        <w:rPr>
          <w:bCs/>
          <w:szCs w:val="20"/>
        </w:rPr>
        <w:tab/>
        <w:t xml:space="preserve">Este registro será habilitado somente para as pessoas jurídicas que, durante o ano-calendário, </w:t>
      </w:r>
      <w:r w:rsidR="000766D2" w:rsidRPr="00FA3856">
        <w:rPr>
          <w:bCs/>
          <w:szCs w:val="20"/>
        </w:rPr>
        <w:t xml:space="preserve">tiveram recebimentos ou pagamentos </w:t>
      </w:r>
      <w:r w:rsidRPr="00FA3856">
        <w:rPr>
          <w:bCs/>
          <w:szCs w:val="20"/>
        </w:rPr>
        <w:t xml:space="preserve">de pessoas físicas ou jurídicas, residentes ou domiciliadas no Brasil ou no exterior, rendimentos a título de royalties </w:t>
      </w:r>
      <w:r w:rsidR="000766D2" w:rsidRPr="00FA3856">
        <w:rPr>
          <w:bCs/>
          <w:szCs w:val="20"/>
        </w:rPr>
        <w:t xml:space="preserve">(0020.IND_ROY_REC = “S” (Sim) ou 0020.IND_ROY_PAG = “S”) </w:t>
      </w:r>
      <w:r w:rsidRPr="00FA3856">
        <w:rPr>
          <w:bCs/>
          <w:szCs w:val="20"/>
        </w:rPr>
        <w:t>relativos a:</w:t>
      </w:r>
    </w:p>
    <w:p w:rsidR="0028090A" w:rsidRPr="00FA3856" w:rsidRDefault="0028090A" w:rsidP="0028090A">
      <w:pPr>
        <w:jc w:val="both"/>
        <w:rPr>
          <w:bCs/>
          <w:szCs w:val="20"/>
        </w:rPr>
      </w:pPr>
    </w:p>
    <w:p w:rsidR="0028090A" w:rsidRPr="00FA3856" w:rsidRDefault="001F020C" w:rsidP="0028090A">
      <w:pPr>
        <w:jc w:val="both"/>
        <w:rPr>
          <w:bCs/>
          <w:szCs w:val="20"/>
        </w:rPr>
      </w:pPr>
      <w:r w:rsidRPr="00FA3856">
        <w:rPr>
          <w:bCs/>
          <w:szCs w:val="20"/>
        </w:rPr>
        <w:t>- E</w:t>
      </w:r>
      <w:r w:rsidR="0028090A" w:rsidRPr="00FA3856">
        <w:rPr>
          <w:bCs/>
          <w:szCs w:val="20"/>
        </w:rPr>
        <w:t>xploração econômica dos direitos patrimoniais do autor, de marcas, de patentes e de desenho industrial;</w:t>
      </w:r>
    </w:p>
    <w:p w:rsidR="0028090A" w:rsidRPr="00FA3856" w:rsidRDefault="001F020C" w:rsidP="0028090A">
      <w:pPr>
        <w:jc w:val="both"/>
        <w:rPr>
          <w:bCs/>
          <w:szCs w:val="20"/>
        </w:rPr>
      </w:pPr>
      <w:r w:rsidRPr="00FA3856">
        <w:rPr>
          <w:bCs/>
          <w:szCs w:val="20"/>
        </w:rPr>
        <w:t>- E</w:t>
      </w:r>
      <w:r w:rsidR="0028090A" w:rsidRPr="00FA3856">
        <w:rPr>
          <w:bCs/>
          <w:szCs w:val="20"/>
        </w:rPr>
        <w:t>xploração de know-how;</w:t>
      </w:r>
    </w:p>
    <w:p w:rsidR="0028090A" w:rsidRPr="00FA3856" w:rsidRDefault="001F020C" w:rsidP="0028090A">
      <w:pPr>
        <w:jc w:val="both"/>
        <w:rPr>
          <w:bCs/>
          <w:szCs w:val="20"/>
        </w:rPr>
      </w:pPr>
      <w:r w:rsidRPr="00FA3856">
        <w:rPr>
          <w:bCs/>
          <w:szCs w:val="20"/>
        </w:rPr>
        <w:t>- E</w:t>
      </w:r>
      <w:r w:rsidR="0028090A" w:rsidRPr="00FA3856">
        <w:rPr>
          <w:bCs/>
          <w:szCs w:val="20"/>
        </w:rPr>
        <w:t>xploração de franquias;</w:t>
      </w:r>
    </w:p>
    <w:p w:rsidR="0028090A" w:rsidRPr="00FA3856" w:rsidRDefault="001F020C" w:rsidP="0028090A">
      <w:pPr>
        <w:jc w:val="both"/>
        <w:rPr>
          <w:bCs/>
          <w:szCs w:val="20"/>
        </w:rPr>
      </w:pPr>
      <w:r w:rsidRPr="00FA3856">
        <w:rPr>
          <w:bCs/>
          <w:szCs w:val="20"/>
        </w:rPr>
        <w:t>- E</w:t>
      </w:r>
      <w:r w:rsidR="0028090A" w:rsidRPr="00FA3856">
        <w:rPr>
          <w:bCs/>
          <w:szCs w:val="20"/>
        </w:rPr>
        <w:t>xploração dos direitos relativos à propriedade intelectual referente a cultivares.</w:t>
      </w:r>
    </w:p>
    <w:p w:rsidR="0028090A" w:rsidRPr="00FA3856" w:rsidRDefault="0028090A" w:rsidP="0028090A">
      <w:pPr>
        <w:jc w:val="both"/>
        <w:rPr>
          <w:bCs/>
          <w:szCs w:val="20"/>
        </w:rPr>
      </w:pPr>
    </w:p>
    <w:p w:rsidR="0028090A" w:rsidRPr="00FA3856" w:rsidRDefault="000766D2" w:rsidP="0028090A">
      <w:pPr>
        <w:ind w:firstLine="708"/>
        <w:jc w:val="both"/>
        <w:rPr>
          <w:bCs/>
          <w:szCs w:val="20"/>
        </w:rPr>
      </w:pPr>
      <w:r w:rsidRPr="00FA3856">
        <w:rPr>
          <w:b/>
          <w:bCs/>
          <w:szCs w:val="20"/>
        </w:rPr>
        <w:t xml:space="preserve">Observação: </w:t>
      </w:r>
      <w:r w:rsidRPr="00FA3856">
        <w:rPr>
          <w:bCs/>
          <w:szCs w:val="20"/>
        </w:rPr>
        <w:t xml:space="preserve">A </w:t>
      </w:r>
      <w:r w:rsidR="0028090A" w:rsidRPr="00FA3856">
        <w:rPr>
          <w:bCs/>
          <w:szCs w:val="20"/>
        </w:rPr>
        <w:t>pessoa jurídica deverá informar os valores consolidados por país.</w:t>
      </w:r>
    </w:p>
    <w:p w:rsidR="00FD1566" w:rsidRDefault="00FD1566" w:rsidP="009A346E">
      <w:pPr>
        <w:pStyle w:val="PSDS-MarcadoresNivel4"/>
        <w:tabs>
          <w:tab w:val="clear" w:pos="2271"/>
          <w:tab w:val="left" w:pos="720"/>
        </w:tabs>
        <w:spacing w:before="0" w:after="0"/>
        <w:ind w:left="0" w:firstLine="0"/>
        <w:rPr>
          <w:rFonts w:ascii="Times New Roman" w:hAnsi="Times New Roman" w:cs="Times New Roman"/>
          <w:szCs w:val="20"/>
          <w:lang w:val="pt-PT"/>
        </w:rPr>
      </w:pPr>
    </w:p>
    <w:p w:rsidR="00FD1566" w:rsidRDefault="00B35FA3" w:rsidP="00FD1566">
      <w:pPr>
        <w:pStyle w:val="PSDS-MarcadoresNivel4"/>
        <w:tabs>
          <w:tab w:val="clear" w:pos="2271"/>
          <w:tab w:val="left" w:pos="720"/>
        </w:tabs>
        <w:spacing w:before="0" w:after="0"/>
        <w:ind w:left="0" w:firstLine="0"/>
        <w:jc w:val="center"/>
        <w:rPr>
          <w:rFonts w:ascii="Times New Roman" w:hAnsi="Times New Roman" w:cs="Times New Roman"/>
          <w:szCs w:val="20"/>
          <w:lang w:val="pt-PT"/>
        </w:rPr>
      </w:pPr>
      <w:r>
        <w:rPr>
          <w:rFonts w:ascii="Times New Roman" w:hAnsi="Times New Roman" w:cs="Times New Roman"/>
          <w:szCs w:val="20"/>
          <w:lang w:val="pt-PT"/>
        </w:rPr>
        <w:object w:dxaOrig="14835" w:dyaOrig="4530">
          <v:shape id="_x0000_i1985" type="#_x0000_t75" style="width:792.75pt;height:219pt" o:ole="">
            <v:imagedata r:id="rId751" o:title=""/>
          </v:shape>
          <o:OLEObject Type="Link" ProgID="Excel.Sheet.12" ShapeID="_x0000_i1985" DrawAspect="Content" r:id="rId752" UpdateMode="Always">
            <o:LinkType>EnhancedMetaFile</o:LinkType>
            <o:LockedField>false</o:LockedField>
          </o:OLEObject>
        </w:object>
      </w:r>
    </w:p>
    <w:p w:rsidR="00FD1566" w:rsidRDefault="00FD1566" w:rsidP="009A346E">
      <w:pPr>
        <w:pStyle w:val="PSDS-MarcadoresNivel4"/>
        <w:tabs>
          <w:tab w:val="clear" w:pos="2271"/>
          <w:tab w:val="left" w:pos="720"/>
        </w:tabs>
        <w:spacing w:before="0" w:after="0"/>
        <w:ind w:left="0" w:firstLine="0"/>
        <w:rPr>
          <w:rFonts w:ascii="Times New Roman" w:hAnsi="Times New Roman" w:cs="Times New Roman"/>
          <w:szCs w:val="20"/>
          <w:lang w:val="pt-PT"/>
        </w:rPr>
      </w:pPr>
    </w:p>
    <w:p w:rsidR="00FD1566" w:rsidRDefault="00FD1566" w:rsidP="009A346E">
      <w:pPr>
        <w:pStyle w:val="PSDS-MarcadoresNivel4"/>
        <w:tabs>
          <w:tab w:val="clear" w:pos="2271"/>
          <w:tab w:val="left" w:pos="720"/>
        </w:tabs>
        <w:spacing w:before="0" w:after="0"/>
        <w:ind w:left="0" w:firstLine="0"/>
        <w:rPr>
          <w:rFonts w:ascii="Times New Roman" w:hAnsi="Times New Roman" w:cs="Times New Roman"/>
          <w:szCs w:val="20"/>
          <w:lang w:val="pt-PT"/>
        </w:rPr>
      </w:pPr>
    </w:p>
    <w:p w:rsidR="00FD1566" w:rsidRDefault="00FD1566" w:rsidP="009A346E">
      <w:pPr>
        <w:pStyle w:val="PSDS-MarcadoresNivel4"/>
        <w:tabs>
          <w:tab w:val="clear" w:pos="2271"/>
          <w:tab w:val="left" w:pos="720"/>
        </w:tabs>
        <w:spacing w:before="0" w:after="0"/>
        <w:ind w:left="0" w:firstLine="0"/>
        <w:rPr>
          <w:rFonts w:ascii="Times New Roman" w:hAnsi="Times New Roman" w:cs="Times New Roman"/>
          <w:szCs w:val="20"/>
          <w:lang w:val="pt-PT"/>
        </w:rPr>
      </w:pPr>
    </w:p>
    <w:p w:rsidR="00FD1566" w:rsidRDefault="00FD1566" w:rsidP="009A346E">
      <w:pPr>
        <w:pStyle w:val="PSDS-MarcadoresNivel4"/>
        <w:tabs>
          <w:tab w:val="clear" w:pos="2271"/>
          <w:tab w:val="left" w:pos="720"/>
        </w:tabs>
        <w:spacing w:before="0" w:after="0"/>
        <w:ind w:left="0" w:firstLine="0"/>
        <w:rPr>
          <w:rFonts w:ascii="Times New Roman" w:hAnsi="Times New Roman" w:cs="Times New Roman"/>
          <w:szCs w:val="20"/>
          <w:lang w:val="pt-PT"/>
        </w:rPr>
      </w:pPr>
    </w:p>
    <w:p w:rsidR="00FD1566" w:rsidRDefault="00FD1566" w:rsidP="009A346E">
      <w:pPr>
        <w:pStyle w:val="PSDS-MarcadoresNivel4"/>
        <w:tabs>
          <w:tab w:val="clear" w:pos="2271"/>
          <w:tab w:val="left" w:pos="720"/>
        </w:tabs>
        <w:spacing w:before="0" w:after="0"/>
        <w:ind w:left="0" w:firstLine="0"/>
        <w:rPr>
          <w:rFonts w:ascii="Times New Roman" w:hAnsi="Times New Roman" w:cs="Times New Roman"/>
          <w:szCs w:val="20"/>
          <w:lang w:val="pt-PT"/>
        </w:rPr>
      </w:pPr>
    </w:p>
    <w:p w:rsidR="00FD1566" w:rsidRDefault="00FD1566" w:rsidP="009A346E">
      <w:pPr>
        <w:pStyle w:val="PSDS-MarcadoresNivel4"/>
        <w:tabs>
          <w:tab w:val="clear" w:pos="2271"/>
          <w:tab w:val="left" w:pos="720"/>
        </w:tabs>
        <w:spacing w:before="0" w:after="0"/>
        <w:ind w:left="0" w:firstLine="0"/>
        <w:rPr>
          <w:rFonts w:ascii="Times New Roman" w:hAnsi="Times New Roman" w:cs="Times New Roman"/>
          <w:szCs w:val="20"/>
          <w:lang w:val="pt-PT"/>
        </w:rPr>
      </w:pPr>
    </w:p>
    <w:p w:rsidR="00FD1566" w:rsidRDefault="00FD1566" w:rsidP="009A346E">
      <w:pPr>
        <w:pStyle w:val="PSDS-MarcadoresNivel4"/>
        <w:tabs>
          <w:tab w:val="clear" w:pos="2271"/>
          <w:tab w:val="left" w:pos="720"/>
        </w:tabs>
        <w:spacing w:before="0" w:after="0"/>
        <w:ind w:left="0" w:firstLine="0"/>
        <w:rPr>
          <w:rFonts w:ascii="Times New Roman" w:hAnsi="Times New Roman" w:cs="Times New Roman"/>
          <w:szCs w:val="20"/>
          <w:lang w:val="pt-PT"/>
        </w:rPr>
      </w:pPr>
    </w:p>
    <w:p w:rsidR="00FD1566" w:rsidRDefault="00FD1566" w:rsidP="009A346E">
      <w:pPr>
        <w:pStyle w:val="PSDS-MarcadoresNivel4"/>
        <w:tabs>
          <w:tab w:val="clear" w:pos="2271"/>
          <w:tab w:val="left" w:pos="720"/>
        </w:tabs>
        <w:spacing w:before="0" w:after="0"/>
        <w:ind w:left="0" w:firstLine="0"/>
        <w:rPr>
          <w:rFonts w:ascii="Times New Roman" w:hAnsi="Times New Roman" w:cs="Times New Roman"/>
          <w:szCs w:val="20"/>
          <w:lang w:val="pt-PT"/>
        </w:rPr>
      </w:pPr>
    </w:p>
    <w:p w:rsidR="00FD1566" w:rsidRDefault="00FD1566" w:rsidP="009A346E">
      <w:pPr>
        <w:pStyle w:val="PSDS-MarcadoresNivel4"/>
        <w:tabs>
          <w:tab w:val="clear" w:pos="2271"/>
          <w:tab w:val="left" w:pos="720"/>
        </w:tabs>
        <w:spacing w:before="0" w:after="0"/>
        <w:ind w:left="0" w:firstLine="0"/>
        <w:rPr>
          <w:rFonts w:ascii="Times New Roman" w:hAnsi="Times New Roman" w:cs="Times New Roman"/>
          <w:szCs w:val="20"/>
          <w:lang w:val="pt-PT"/>
        </w:rPr>
      </w:pPr>
    </w:p>
    <w:p w:rsidR="00B35FA3" w:rsidRDefault="000C2E7C" w:rsidP="000C2E7C">
      <w:pPr>
        <w:pStyle w:val="PSDS-MarcadoresNivel4"/>
        <w:tabs>
          <w:tab w:val="clear" w:pos="2271"/>
          <w:tab w:val="left" w:pos="720"/>
        </w:tabs>
        <w:spacing w:before="0" w:after="0"/>
        <w:ind w:left="0" w:firstLine="0"/>
        <w:jc w:val="center"/>
        <w:rPr>
          <w:rFonts w:ascii="Times New Roman" w:hAnsi="Times New Roman" w:cstheme="minorBidi"/>
          <w:b w:val="0"/>
          <w:bCs w:val="0"/>
        </w:rPr>
      </w:pPr>
      <w:r>
        <w:rPr>
          <w:lang w:val="pt-PT"/>
        </w:rPr>
        <w:lastRenderedPageBreak/>
        <w:fldChar w:fldCharType="begin"/>
      </w:r>
      <w:r>
        <w:rPr>
          <w:lang w:val="pt-PT"/>
        </w:rPr>
        <w:instrText xml:space="preserve"> LINK </w:instrText>
      </w:r>
      <w:r w:rsidR="00B35FA3">
        <w:rPr>
          <w:lang w:val="pt-PT"/>
        </w:rPr>
        <w:instrText xml:space="preserve">Excel.Sheet.12 C:\\Junior\\Didig_2016\\ECF\\Registros_ECF_Leiaute_3_AC2016_SIT_ESP_2017.xlsx X420!L8C1:L9C8 </w:instrText>
      </w:r>
      <w:r>
        <w:rPr>
          <w:lang w:val="pt-PT"/>
        </w:rPr>
        <w:instrText xml:space="preserve">\a \f 4 \h </w:instrText>
      </w:r>
      <w:r w:rsidR="00B35FA3">
        <w:rPr>
          <w:lang w:val="pt-PT"/>
        </w:rPr>
        <w:fldChar w:fldCharType="separate"/>
      </w:r>
    </w:p>
    <w:tbl>
      <w:tblPr>
        <w:tblW w:w="14820" w:type="dxa"/>
        <w:tblCellMar>
          <w:top w:w="15" w:type="dxa"/>
          <w:left w:w="70" w:type="dxa"/>
          <w:bottom w:w="15" w:type="dxa"/>
          <w:right w:w="70" w:type="dxa"/>
        </w:tblCellMar>
        <w:tblLook w:val="04A0" w:firstRow="1" w:lastRow="0" w:firstColumn="1" w:lastColumn="0" w:noHBand="0" w:noVBand="1"/>
      </w:tblPr>
      <w:tblGrid>
        <w:gridCol w:w="959"/>
        <w:gridCol w:w="2119"/>
        <w:gridCol w:w="6792"/>
        <w:gridCol w:w="958"/>
        <w:gridCol w:w="958"/>
        <w:gridCol w:w="958"/>
        <w:gridCol w:w="958"/>
        <w:gridCol w:w="1118"/>
      </w:tblGrid>
      <w:tr w:rsidR="00B35FA3" w:rsidRPr="00B35FA3" w:rsidTr="00B35FA3">
        <w:trPr>
          <w:divId w:val="1259295350"/>
          <w:trHeight w:val="3330"/>
        </w:trPr>
        <w:tc>
          <w:tcPr>
            <w:tcW w:w="959" w:type="dxa"/>
            <w:tcBorders>
              <w:top w:val="single" w:sz="8" w:space="0" w:color="auto"/>
              <w:left w:val="single" w:sz="8" w:space="0" w:color="auto"/>
              <w:bottom w:val="single" w:sz="8" w:space="0" w:color="auto"/>
              <w:right w:val="single" w:sz="8" w:space="0" w:color="auto"/>
            </w:tcBorders>
            <w:vAlign w:val="center"/>
            <w:hideMark/>
          </w:tcPr>
          <w:p w:rsidR="00B35FA3" w:rsidRPr="00B35FA3" w:rsidRDefault="00B35FA3" w:rsidP="00B35FA3">
            <w:pPr>
              <w:jc w:val="center"/>
              <w:rPr>
                <w:rFonts w:eastAsia="Times New Roman" w:cs="Times New Roman"/>
                <w:b/>
                <w:bCs/>
                <w:color w:val="000000"/>
                <w:szCs w:val="20"/>
                <w:lang w:eastAsia="pt-BR"/>
              </w:rPr>
            </w:pPr>
            <w:r w:rsidRPr="00B35FA3">
              <w:rPr>
                <w:rFonts w:eastAsia="Times New Roman" w:cs="Times New Roman"/>
                <w:b/>
                <w:bCs/>
                <w:color w:val="000000"/>
                <w:szCs w:val="20"/>
                <w:lang w:eastAsia="pt-BR"/>
              </w:rPr>
              <w:t>3</w:t>
            </w:r>
          </w:p>
        </w:tc>
        <w:tc>
          <w:tcPr>
            <w:tcW w:w="2119" w:type="dxa"/>
            <w:tcBorders>
              <w:top w:val="nil"/>
              <w:left w:val="single" w:sz="8" w:space="0" w:color="auto"/>
              <w:bottom w:val="single" w:sz="8" w:space="0" w:color="auto"/>
              <w:right w:val="single" w:sz="8" w:space="0" w:color="auto"/>
            </w:tcBorders>
            <w:vAlign w:val="center"/>
            <w:hideMark/>
          </w:tcPr>
          <w:p w:rsidR="00B35FA3" w:rsidRPr="00B35FA3" w:rsidRDefault="00B35FA3" w:rsidP="00B35FA3">
            <w:pPr>
              <w:rPr>
                <w:rFonts w:eastAsia="Times New Roman" w:cs="Times New Roman"/>
                <w:color w:val="000000"/>
                <w:szCs w:val="20"/>
                <w:lang w:eastAsia="pt-BR"/>
              </w:rPr>
            </w:pPr>
            <w:r w:rsidRPr="00B35FA3">
              <w:rPr>
                <w:rFonts w:eastAsia="Times New Roman" w:cs="Times New Roman"/>
                <w:color w:val="000000"/>
                <w:szCs w:val="20"/>
                <w:lang w:eastAsia="pt-BR"/>
              </w:rPr>
              <w:t>PAIS</w:t>
            </w:r>
          </w:p>
        </w:tc>
        <w:tc>
          <w:tcPr>
            <w:tcW w:w="6792" w:type="dxa"/>
            <w:tcBorders>
              <w:top w:val="nil"/>
              <w:left w:val="nil"/>
              <w:bottom w:val="single" w:sz="8" w:space="0" w:color="auto"/>
              <w:right w:val="single" w:sz="8" w:space="0" w:color="auto"/>
            </w:tcBorders>
            <w:vAlign w:val="center"/>
            <w:hideMark/>
          </w:tcPr>
          <w:p w:rsidR="00B35FA3" w:rsidRPr="00B35FA3" w:rsidRDefault="00B35FA3" w:rsidP="00B35FA3">
            <w:pPr>
              <w:jc w:val="both"/>
              <w:rPr>
                <w:rFonts w:eastAsia="Times New Roman" w:cs="Times New Roman"/>
                <w:color w:val="000000"/>
                <w:szCs w:val="20"/>
                <w:lang w:eastAsia="pt-BR"/>
              </w:rPr>
            </w:pPr>
            <w:r w:rsidRPr="00B35FA3">
              <w:rPr>
                <w:rFonts w:eastAsia="Times New Roman" w:cs="Times New Roman"/>
                <w:color w:val="000000"/>
                <w:szCs w:val="20"/>
                <w:lang w:eastAsia="pt-BR"/>
              </w:rPr>
              <w:t>País: País ou a dependência de país de residência ou de domicílio da pessoa física ou jurídica que efetuou o pagamento ou a remessa do valor recebido ou pago pela pessoa jurídica declarante, observado os exemplos a seguir:</w:t>
            </w:r>
            <w:r w:rsidRPr="00B35FA3">
              <w:rPr>
                <w:rFonts w:eastAsia="Times New Roman" w:cs="Times New Roman"/>
                <w:color w:val="000000"/>
                <w:szCs w:val="20"/>
                <w:lang w:eastAsia="pt-BR"/>
              </w:rPr>
              <w:br/>
              <w:t xml:space="preserve">Exemplos: </w:t>
            </w:r>
            <w:r w:rsidRPr="00B35FA3">
              <w:rPr>
                <w:rFonts w:eastAsia="Times New Roman" w:cs="Times New Roman"/>
                <w:color w:val="000000"/>
                <w:szCs w:val="20"/>
                <w:lang w:eastAsia="pt-BR"/>
              </w:rPr>
              <w:br/>
              <w:t>1) Pessoa jurídica domiciliada na França possui conta corrente no Canadá e a partir desta remete royalties para a pessoa jurídica declarante. Nesse caso, o país a ser selecionado é a França.</w:t>
            </w:r>
            <w:r w:rsidRPr="00B35FA3">
              <w:rPr>
                <w:rFonts w:eastAsia="Times New Roman" w:cs="Times New Roman"/>
                <w:color w:val="000000"/>
                <w:szCs w:val="20"/>
                <w:lang w:eastAsia="pt-BR"/>
              </w:rPr>
              <w:br/>
              <w:t>2) Pessoa jurídica declarante efetua remessa, por conta e ordem do beneficiário do pagamento que é residente no Japão, para conta corrente localizada nos Estados Unidos da América. Nesse caso, o país a ser selecionado é o Japão.</w:t>
            </w:r>
            <w:r w:rsidRPr="00B35FA3">
              <w:rPr>
                <w:rFonts w:eastAsia="Times New Roman" w:cs="Times New Roman"/>
                <w:color w:val="000000"/>
                <w:szCs w:val="20"/>
                <w:lang w:eastAsia="pt-BR"/>
              </w:rPr>
              <w:br/>
              <w:t>Código do país, conforme tabela do Sped (Disponibilizada no programa da ECF no diretório Arquivos de Programas/Programas Sped/ECf/SpedEcf/Recursos/Tabelas).</w:t>
            </w:r>
          </w:p>
        </w:tc>
        <w:tc>
          <w:tcPr>
            <w:tcW w:w="958" w:type="dxa"/>
            <w:tcBorders>
              <w:top w:val="nil"/>
              <w:left w:val="single" w:sz="8" w:space="0" w:color="auto"/>
              <w:bottom w:val="single" w:sz="8" w:space="0" w:color="auto"/>
              <w:right w:val="single" w:sz="8" w:space="0" w:color="auto"/>
            </w:tcBorders>
            <w:vAlign w:val="center"/>
            <w:hideMark/>
          </w:tcPr>
          <w:p w:rsidR="00B35FA3" w:rsidRPr="00B35FA3" w:rsidRDefault="00B35FA3" w:rsidP="00B35FA3">
            <w:pPr>
              <w:jc w:val="center"/>
              <w:rPr>
                <w:rFonts w:eastAsia="Times New Roman" w:cs="Times New Roman"/>
                <w:color w:val="000000"/>
                <w:szCs w:val="20"/>
                <w:lang w:eastAsia="pt-BR"/>
              </w:rPr>
            </w:pPr>
            <w:r w:rsidRPr="00B35FA3">
              <w:rPr>
                <w:rFonts w:eastAsia="Times New Roman" w:cs="Times New Roman"/>
                <w:color w:val="000000"/>
                <w:szCs w:val="20"/>
                <w:lang w:eastAsia="pt-BR"/>
              </w:rPr>
              <w:t>N</w:t>
            </w:r>
          </w:p>
        </w:tc>
        <w:tc>
          <w:tcPr>
            <w:tcW w:w="958" w:type="dxa"/>
            <w:tcBorders>
              <w:top w:val="nil"/>
              <w:left w:val="nil"/>
              <w:bottom w:val="single" w:sz="8" w:space="0" w:color="auto"/>
              <w:right w:val="single" w:sz="8" w:space="0" w:color="auto"/>
            </w:tcBorders>
            <w:vAlign w:val="center"/>
            <w:hideMark/>
          </w:tcPr>
          <w:p w:rsidR="00B35FA3" w:rsidRPr="00B35FA3" w:rsidRDefault="00B35FA3" w:rsidP="00B35FA3">
            <w:pPr>
              <w:jc w:val="center"/>
              <w:rPr>
                <w:rFonts w:eastAsia="Times New Roman" w:cs="Times New Roman"/>
                <w:color w:val="000000"/>
                <w:szCs w:val="20"/>
                <w:lang w:eastAsia="pt-BR"/>
              </w:rPr>
            </w:pPr>
            <w:r w:rsidRPr="00B35FA3">
              <w:rPr>
                <w:rFonts w:eastAsia="Times New Roman" w:cs="Times New Roman"/>
                <w:color w:val="000000"/>
                <w:szCs w:val="20"/>
                <w:lang w:eastAsia="pt-BR"/>
              </w:rPr>
              <w:t>3</w:t>
            </w:r>
          </w:p>
        </w:tc>
        <w:tc>
          <w:tcPr>
            <w:tcW w:w="958" w:type="dxa"/>
            <w:tcBorders>
              <w:top w:val="nil"/>
              <w:left w:val="nil"/>
              <w:bottom w:val="single" w:sz="8" w:space="0" w:color="auto"/>
              <w:right w:val="single" w:sz="8" w:space="0" w:color="auto"/>
            </w:tcBorders>
            <w:vAlign w:val="center"/>
            <w:hideMark/>
          </w:tcPr>
          <w:p w:rsidR="00B35FA3" w:rsidRPr="00B35FA3" w:rsidRDefault="00B35FA3" w:rsidP="00B35FA3">
            <w:pPr>
              <w:jc w:val="center"/>
              <w:rPr>
                <w:rFonts w:eastAsia="Times New Roman" w:cs="Times New Roman"/>
                <w:color w:val="000000"/>
                <w:szCs w:val="20"/>
                <w:lang w:eastAsia="pt-BR"/>
              </w:rPr>
            </w:pPr>
            <w:r w:rsidRPr="00B35FA3">
              <w:rPr>
                <w:rFonts w:eastAsia="Times New Roman" w:cs="Times New Roman"/>
                <w:color w:val="000000"/>
                <w:szCs w:val="20"/>
                <w:lang w:eastAsia="pt-BR"/>
              </w:rPr>
              <w:t>-</w:t>
            </w:r>
          </w:p>
        </w:tc>
        <w:tc>
          <w:tcPr>
            <w:tcW w:w="958" w:type="dxa"/>
            <w:tcBorders>
              <w:top w:val="nil"/>
              <w:left w:val="nil"/>
              <w:bottom w:val="single" w:sz="8" w:space="0" w:color="auto"/>
              <w:right w:val="single" w:sz="8" w:space="0" w:color="auto"/>
            </w:tcBorders>
            <w:vAlign w:val="center"/>
            <w:hideMark/>
          </w:tcPr>
          <w:p w:rsidR="00B35FA3" w:rsidRPr="00B35FA3" w:rsidRDefault="00B35FA3" w:rsidP="00B35FA3">
            <w:pPr>
              <w:jc w:val="center"/>
              <w:rPr>
                <w:rFonts w:eastAsia="Times New Roman" w:cs="Times New Roman"/>
                <w:color w:val="000000"/>
                <w:szCs w:val="20"/>
                <w:lang w:eastAsia="pt-BR"/>
              </w:rPr>
            </w:pPr>
            <w:r w:rsidRPr="00B35FA3">
              <w:rPr>
                <w:rFonts w:eastAsia="Times New Roman" w:cs="Times New Roman"/>
                <w:color w:val="000000"/>
                <w:szCs w:val="20"/>
                <w:lang w:eastAsia="pt-BR"/>
              </w:rPr>
              <w:t>-</w:t>
            </w:r>
          </w:p>
        </w:tc>
        <w:tc>
          <w:tcPr>
            <w:tcW w:w="1118" w:type="dxa"/>
            <w:tcBorders>
              <w:top w:val="nil"/>
              <w:left w:val="nil"/>
              <w:bottom w:val="single" w:sz="8" w:space="0" w:color="auto"/>
              <w:right w:val="single" w:sz="8" w:space="0" w:color="auto"/>
            </w:tcBorders>
            <w:vAlign w:val="center"/>
            <w:hideMark/>
          </w:tcPr>
          <w:p w:rsidR="00B35FA3" w:rsidRPr="00B35FA3" w:rsidRDefault="00B35FA3" w:rsidP="00B35FA3">
            <w:pPr>
              <w:jc w:val="center"/>
              <w:rPr>
                <w:rFonts w:eastAsia="Times New Roman" w:cs="Times New Roman"/>
                <w:color w:val="000000"/>
                <w:szCs w:val="20"/>
                <w:lang w:eastAsia="pt-BR"/>
              </w:rPr>
            </w:pPr>
            <w:r w:rsidRPr="00B35FA3">
              <w:rPr>
                <w:rFonts w:eastAsia="Times New Roman" w:cs="Times New Roman"/>
                <w:color w:val="000000"/>
                <w:szCs w:val="20"/>
                <w:lang w:eastAsia="pt-BR"/>
              </w:rPr>
              <w:t>Sim</w:t>
            </w:r>
          </w:p>
        </w:tc>
      </w:tr>
      <w:tr w:rsidR="00B35FA3" w:rsidRPr="00B35FA3" w:rsidTr="00B35FA3">
        <w:trPr>
          <w:divId w:val="1259295350"/>
          <w:trHeight w:val="2820"/>
        </w:trPr>
        <w:tc>
          <w:tcPr>
            <w:tcW w:w="959" w:type="dxa"/>
            <w:tcBorders>
              <w:top w:val="single" w:sz="8" w:space="0" w:color="auto"/>
              <w:left w:val="single" w:sz="8" w:space="0" w:color="auto"/>
              <w:bottom w:val="single" w:sz="8" w:space="0" w:color="auto"/>
              <w:right w:val="single" w:sz="8" w:space="0" w:color="auto"/>
            </w:tcBorders>
            <w:shd w:val="clear" w:color="000000" w:fill="F2F2F2"/>
            <w:vAlign w:val="center"/>
            <w:hideMark/>
          </w:tcPr>
          <w:p w:rsidR="00B35FA3" w:rsidRPr="00B35FA3" w:rsidRDefault="00B35FA3" w:rsidP="00B35FA3">
            <w:pPr>
              <w:jc w:val="center"/>
              <w:rPr>
                <w:rFonts w:eastAsia="Times New Roman" w:cs="Times New Roman"/>
                <w:b/>
                <w:bCs/>
                <w:color w:val="000000"/>
                <w:szCs w:val="20"/>
                <w:lang w:eastAsia="pt-BR"/>
              </w:rPr>
            </w:pPr>
            <w:r w:rsidRPr="00B35FA3">
              <w:rPr>
                <w:rFonts w:eastAsia="Times New Roman" w:cs="Times New Roman"/>
                <w:b/>
                <w:bCs/>
                <w:color w:val="000000"/>
                <w:szCs w:val="20"/>
                <w:lang w:eastAsia="pt-BR"/>
              </w:rPr>
              <w:t>4</w:t>
            </w:r>
          </w:p>
        </w:tc>
        <w:tc>
          <w:tcPr>
            <w:tcW w:w="2119" w:type="dxa"/>
            <w:tcBorders>
              <w:top w:val="nil"/>
              <w:left w:val="single" w:sz="8" w:space="0" w:color="auto"/>
              <w:bottom w:val="single" w:sz="8" w:space="0" w:color="auto"/>
              <w:right w:val="single" w:sz="8" w:space="0" w:color="auto"/>
            </w:tcBorders>
            <w:shd w:val="clear" w:color="000000" w:fill="F2F2F2"/>
            <w:vAlign w:val="center"/>
            <w:hideMark/>
          </w:tcPr>
          <w:p w:rsidR="00B35FA3" w:rsidRPr="00B35FA3" w:rsidRDefault="00B35FA3" w:rsidP="00B35FA3">
            <w:pPr>
              <w:rPr>
                <w:rFonts w:eastAsia="Times New Roman" w:cs="Times New Roman"/>
                <w:color w:val="000000"/>
                <w:szCs w:val="20"/>
                <w:lang w:eastAsia="pt-BR"/>
              </w:rPr>
            </w:pPr>
            <w:r w:rsidRPr="00B35FA3">
              <w:rPr>
                <w:rFonts w:eastAsia="Times New Roman" w:cs="Times New Roman"/>
                <w:color w:val="000000"/>
                <w:szCs w:val="20"/>
                <w:lang w:eastAsia="pt-BR"/>
              </w:rPr>
              <w:t>VL_EXPL_DIR_SW</w:t>
            </w:r>
          </w:p>
        </w:tc>
        <w:tc>
          <w:tcPr>
            <w:tcW w:w="6792" w:type="dxa"/>
            <w:tcBorders>
              <w:top w:val="nil"/>
              <w:left w:val="nil"/>
              <w:bottom w:val="single" w:sz="8" w:space="0" w:color="auto"/>
              <w:right w:val="single" w:sz="8" w:space="0" w:color="auto"/>
            </w:tcBorders>
            <w:shd w:val="clear" w:color="000000" w:fill="F2F2F2"/>
            <w:vAlign w:val="center"/>
            <w:hideMark/>
          </w:tcPr>
          <w:p w:rsidR="00B35FA3" w:rsidRPr="00B35FA3" w:rsidRDefault="00B35FA3" w:rsidP="00B35FA3">
            <w:pPr>
              <w:jc w:val="both"/>
              <w:rPr>
                <w:rFonts w:eastAsia="Times New Roman" w:cs="Times New Roman"/>
                <w:color w:val="000000"/>
                <w:szCs w:val="20"/>
                <w:lang w:eastAsia="pt-BR"/>
              </w:rPr>
            </w:pPr>
            <w:r w:rsidRPr="00B35FA3">
              <w:rPr>
                <w:rFonts w:eastAsia="Times New Roman" w:cs="Times New Roman"/>
                <w:color w:val="000000"/>
                <w:szCs w:val="20"/>
                <w:lang w:eastAsia="pt-BR"/>
              </w:rPr>
              <w:t>Valor da Exploração Econômica dos Direitos Patrimoniais do Autor Relativos a Software: Valor relativo aos royalties recebidos ou pagos ou remetidos referentes aos atos e aos contratos de licença ou cessão de direitos de comercialização, distribuição e reprodução de programa de computador, de que trata a Lei nº 9.609, de 19 de fevereiro de 1998. Informar também neste campo o valor relativo aos contratos que impliquem transferência de tecnologia de programa de computador, de que trata o art. 11 da Lei nº 9.609, de 1998. Ainda, deverá ser informado, neste campo, o valor recebido em decorrência dos contratos que envolvam concessão de licença para uso próprio do adquirente, sob a modalidade de cópia única.</w:t>
            </w:r>
            <w:r w:rsidRPr="00B35FA3">
              <w:rPr>
                <w:rFonts w:eastAsia="Times New Roman" w:cs="Times New Roman"/>
                <w:color w:val="000000"/>
                <w:szCs w:val="20"/>
                <w:lang w:eastAsia="pt-BR"/>
              </w:rPr>
              <w:br/>
              <w:t>Atenção: Não incluir neste campo o valor recebido ou pago ou remetido a título de transferência total dos direitos patrimoniais do programa de computador.</w:t>
            </w:r>
          </w:p>
        </w:tc>
        <w:tc>
          <w:tcPr>
            <w:tcW w:w="958" w:type="dxa"/>
            <w:tcBorders>
              <w:top w:val="nil"/>
              <w:left w:val="single" w:sz="8" w:space="0" w:color="auto"/>
              <w:bottom w:val="single" w:sz="8" w:space="0" w:color="auto"/>
              <w:right w:val="single" w:sz="8" w:space="0" w:color="auto"/>
            </w:tcBorders>
            <w:shd w:val="clear" w:color="000000" w:fill="F2F2F2"/>
            <w:vAlign w:val="center"/>
            <w:hideMark/>
          </w:tcPr>
          <w:p w:rsidR="00B35FA3" w:rsidRPr="00B35FA3" w:rsidRDefault="00B35FA3" w:rsidP="00B35FA3">
            <w:pPr>
              <w:jc w:val="center"/>
              <w:rPr>
                <w:rFonts w:eastAsia="Times New Roman" w:cs="Times New Roman"/>
                <w:color w:val="000000"/>
                <w:szCs w:val="20"/>
                <w:lang w:eastAsia="pt-BR"/>
              </w:rPr>
            </w:pPr>
            <w:r w:rsidRPr="00B35FA3">
              <w:rPr>
                <w:rFonts w:eastAsia="Times New Roman" w:cs="Times New Roman"/>
                <w:color w:val="000000"/>
                <w:szCs w:val="20"/>
                <w:lang w:eastAsia="pt-BR"/>
              </w:rPr>
              <w:t>N</w:t>
            </w:r>
          </w:p>
        </w:tc>
        <w:tc>
          <w:tcPr>
            <w:tcW w:w="958" w:type="dxa"/>
            <w:tcBorders>
              <w:top w:val="nil"/>
              <w:left w:val="nil"/>
              <w:bottom w:val="single" w:sz="8" w:space="0" w:color="auto"/>
              <w:right w:val="single" w:sz="8" w:space="0" w:color="auto"/>
            </w:tcBorders>
            <w:shd w:val="clear" w:color="000000" w:fill="F2F2F2"/>
            <w:vAlign w:val="center"/>
            <w:hideMark/>
          </w:tcPr>
          <w:p w:rsidR="00B35FA3" w:rsidRPr="00B35FA3" w:rsidRDefault="00B35FA3" w:rsidP="00B35FA3">
            <w:pPr>
              <w:jc w:val="center"/>
              <w:rPr>
                <w:rFonts w:eastAsia="Times New Roman" w:cs="Times New Roman"/>
                <w:color w:val="000000"/>
                <w:szCs w:val="20"/>
                <w:lang w:eastAsia="pt-BR"/>
              </w:rPr>
            </w:pPr>
            <w:r w:rsidRPr="00B35FA3">
              <w:rPr>
                <w:rFonts w:eastAsia="Times New Roman" w:cs="Times New Roman"/>
                <w:color w:val="000000"/>
                <w:szCs w:val="20"/>
                <w:lang w:eastAsia="pt-BR"/>
              </w:rPr>
              <w:t>19</w:t>
            </w:r>
          </w:p>
        </w:tc>
        <w:tc>
          <w:tcPr>
            <w:tcW w:w="958" w:type="dxa"/>
            <w:tcBorders>
              <w:top w:val="nil"/>
              <w:left w:val="nil"/>
              <w:bottom w:val="single" w:sz="8" w:space="0" w:color="auto"/>
              <w:right w:val="single" w:sz="8" w:space="0" w:color="auto"/>
            </w:tcBorders>
            <w:shd w:val="clear" w:color="000000" w:fill="F2F2F2"/>
            <w:vAlign w:val="center"/>
            <w:hideMark/>
          </w:tcPr>
          <w:p w:rsidR="00B35FA3" w:rsidRPr="00B35FA3" w:rsidRDefault="00B35FA3" w:rsidP="00B35FA3">
            <w:pPr>
              <w:jc w:val="center"/>
              <w:rPr>
                <w:rFonts w:eastAsia="Times New Roman" w:cs="Times New Roman"/>
                <w:color w:val="000000"/>
                <w:szCs w:val="20"/>
                <w:lang w:eastAsia="pt-BR"/>
              </w:rPr>
            </w:pPr>
            <w:r w:rsidRPr="00B35FA3">
              <w:rPr>
                <w:rFonts w:eastAsia="Times New Roman" w:cs="Times New Roman"/>
                <w:color w:val="000000"/>
                <w:szCs w:val="20"/>
                <w:lang w:eastAsia="pt-BR"/>
              </w:rPr>
              <w:t>2</w:t>
            </w:r>
          </w:p>
        </w:tc>
        <w:tc>
          <w:tcPr>
            <w:tcW w:w="958" w:type="dxa"/>
            <w:tcBorders>
              <w:top w:val="nil"/>
              <w:left w:val="nil"/>
              <w:bottom w:val="single" w:sz="8" w:space="0" w:color="auto"/>
              <w:right w:val="single" w:sz="8" w:space="0" w:color="auto"/>
            </w:tcBorders>
            <w:shd w:val="clear" w:color="000000" w:fill="F2F2F2"/>
            <w:vAlign w:val="center"/>
            <w:hideMark/>
          </w:tcPr>
          <w:p w:rsidR="00B35FA3" w:rsidRPr="00B35FA3" w:rsidRDefault="00B35FA3" w:rsidP="00B35FA3">
            <w:pPr>
              <w:jc w:val="center"/>
              <w:rPr>
                <w:rFonts w:eastAsia="Times New Roman" w:cs="Times New Roman"/>
                <w:color w:val="000000"/>
                <w:szCs w:val="20"/>
                <w:lang w:eastAsia="pt-BR"/>
              </w:rPr>
            </w:pPr>
            <w:r w:rsidRPr="00B35FA3">
              <w:rPr>
                <w:rFonts w:eastAsia="Times New Roman" w:cs="Times New Roman"/>
                <w:color w:val="000000"/>
                <w:szCs w:val="20"/>
                <w:lang w:eastAsia="pt-BR"/>
              </w:rPr>
              <w:t>-</w:t>
            </w:r>
          </w:p>
        </w:tc>
        <w:tc>
          <w:tcPr>
            <w:tcW w:w="1118" w:type="dxa"/>
            <w:tcBorders>
              <w:top w:val="nil"/>
              <w:left w:val="nil"/>
              <w:bottom w:val="single" w:sz="8" w:space="0" w:color="auto"/>
              <w:right w:val="single" w:sz="8" w:space="0" w:color="auto"/>
            </w:tcBorders>
            <w:shd w:val="clear" w:color="000000" w:fill="F2F2F2"/>
            <w:vAlign w:val="center"/>
            <w:hideMark/>
          </w:tcPr>
          <w:p w:rsidR="00B35FA3" w:rsidRPr="00B35FA3" w:rsidRDefault="00B35FA3" w:rsidP="00B35FA3">
            <w:pPr>
              <w:jc w:val="center"/>
              <w:rPr>
                <w:rFonts w:eastAsia="Times New Roman" w:cs="Times New Roman"/>
                <w:color w:val="000000"/>
                <w:szCs w:val="20"/>
                <w:lang w:eastAsia="pt-BR"/>
              </w:rPr>
            </w:pPr>
            <w:r w:rsidRPr="00B35FA3">
              <w:rPr>
                <w:rFonts w:eastAsia="Times New Roman" w:cs="Times New Roman"/>
                <w:color w:val="000000"/>
                <w:szCs w:val="20"/>
                <w:lang w:eastAsia="pt-BR"/>
              </w:rPr>
              <w:t>Não</w:t>
            </w:r>
          </w:p>
        </w:tc>
      </w:tr>
    </w:tbl>
    <w:p w:rsidR="000C2E7C" w:rsidRDefault="000C2E7C" w:rsidP="000C2E7C">
      <w:pPr>
        <w:pStyle w:val="PSDS-MarcadoresNivel4"/>
        <w:tabs>
          <w:tab w:val="clear" w:pos="2271"/>
          <w:tab w:val="left" w:pos="720"/>
        </w:tabs>
        <w:spacing w:before="0" w:after="0"/>
        <w:ind w:left="0" w:firstLine="0"/>
        <w:jc w:val="center"/>
        <w:rPr>
          <w:rFonts w:ascii="Times New Roman" w:hAnsi="Times New Roman" w:cs="Times New Roman"/>
          <w:szCs w:val="20"/>
          <w:lang w:val="pt-PT"/>
        </w:rPr>
      </w:pPr>
      <w:r>
        <w:rPr>
          <w:rFonts w:ascii="Times New Roman" w:hAnsi="Times New Roman" w:cs="Times New Roman"/>
          <w:szCs w:val="20"/>
          <w:lang w:val="pt-PT"/>
        </w:rPr>
        <w:lastRenderedPageBreak/>
        <w:fldChar w:fldCharType="end"/>
      </w:r>
      <w:r w:rsidR="00B35FA3">
        <w:rPr>
          <w:rFonts w:ascii="Times New Roman" w:hAnsi="Times New Roman" w:cs="Times New Roman"/>
          <w:szCs w:val="20"/>
          <w:lang w:val="pt-PT"/>
        </w:rPr>
        <w:object w:dxaOrig="14835" w:dyaOrig="6165">
          <v:shape id="_x0000_i1987" type="#_x0000_t75" style="width:792.75pt;height:299.25pt" o:ole="">
            <v:imagedata r:id="rId753" o:title=""/>
          </v:shape>
          <o:OLEObject Type="Link" ProgID="Excel.Sheet.12" ShapeID="_x0000_i1987" DrawAspect="Content" r:id="rId754" UpdateMode="Always">
            <o:LinkType>EnhancedMetaFile</o:LinkType>
            <o:LockedField>false</o:LockedField>
          </o:OLEObject>
        </w:object>
      </w:r>
    </w:p>
    <w:p w:rsidR="00FD1566" w:rsidRDefault="00FD1566" w:rsidP="009A346E">
      <w:pPr>
        <w:pStyle w:val="PSDS-MarcadoresNivel4"/>
        <w:tabs>
          <w:tab w:val="clear" w:pos="2271"/>
          <w:tab w:val="left" w:pos="720"/>
        </w:tabs>
        <w:spacing w:before="0" w:after="0"/>
        <w:ind w:left="0" w:firstLine="0"/>
        <w:rPr>
          <w:rFonts w:ascii="Times New Roman" w:hAnsi="Times New Roman" w:cs="Times New Roman"/>
          <w:szCs w:val="20"/>
          <w:lang w:val="pt-PT"/>
        </w:rPr>
      </w:pPr>
    </w:p>
    <w:p w:rsidR="00FD1566" w:rsidRDefault="00FD1566" w:rsidP="009A346E">
      <w:pPr>
        <w:pStyle w:val="PSDS-MarcadoresNivel4"/>
        <w:tabs>
          <w:tab w:val="clear" w:pos="2271"/>
          <w:tab w:val="left" w:pos="720"/>
        </w:tabs>
        <w:spacing w:before="0" w:after="0"/>
        <w:ind w:left="0" w:firstLine="0"/>
        <w:rPr>
          <w:rFonts w:ascii="Times New Roman" w:hAnsi="Times New Roman" w:cs="Times New Roman"/>
          <w:szCs w:val="20"/>
          <w:lang w:val="pt-PT"/>
        </w:rPr>
      </w:pPr>
    </w:p>
    <w:p w:rsidR="00FD1566" w:rsidRDefault="00FD1566" w:rsidP="009A346E">
      <w:pPr>
        <w:pStyle w:val="PSDS-MarcadoresNivel4"/>
        <w:tabs>
          <w:tab w:val="clear" w:pos="2271"/>
          <w:tab w:val="left" w:pos="720"/>
        </w:tabs>
        <w:spacing w:before="0" w:after="0"/>
        <w:ind w:left="0" w:firstLine="0"/>
        <w:rPr>
          <w:rFonts w:ascii="Times New Roman" w:hAnsi="Times New Roman" w:cs="Times New Roman"/>
          <w:szCs w:val="20"/>
          <w:lang w:val="pt-PT"/>
        </w:rPr>
      </w:pPr>
    </w:p>
    <w:p w:rsidR="00FD1566" w:rsidRDefault="00FD1566" w:rsidP="009A346E">
      <w:pPr>
        <w:pStyle w:val="PSDS-MarcadoresNivel4"/>
        <w:tabs>
          <w:tab w:val="clear" w:pos="2271"/>
          <w:tab w:val="left" w:pos="720"/>
        </w:tabs>
        <w:spacing w:before="0" w:after="0"/>
        <w:ind w:left="0" w:firstLine="0"/>
        <w:rPr>
          <w:rFonts w:ascii="Times New Roman" w:hAnsi="Times New Roman" w:cs="Times New Roman"/>
          <w:szCs w:val="20"/>
          <w:lang w:val="pt-PT"/>
        </w:rPr>
      </w:pPr>
    </w:p>
    <w:p w:rsidR="00FD1566" w:rsidRDefault="00FD1566" w:rsidP="009A346E">
      <w:pPr>
        <w:pStyle w:val="PSDS-MarcadoresNivel4"/>
        <w:tabs>
          <w:tab w:val="clear" w:pos="2271"/>
          <w:tab w:val="left" w:pos="720"/>
        </w:tabs>
        <w:spacing w:before="0" w:after="0"/>
        <w:ind w:left="0" w:firstLine="0"/>
        <w:rPr>
          <w:rFonts w:ascii="Times New Roman" w:hAnsi="Times New Roman" w:cs="Times New Roman"/>
          <w:szCs w:val="20"/>
          <w:lang w:val="pt-PT"/>
        </w:rPr>
      </w:pPr>
    </w:p>
    <w:p w:rsidR="00FD1566" w:rsidRDefault="00FD1566" w:rsidP="009A346E">
      <w:pPr>
        <w:pStyle w:val="PSDS-MarcadoresNivel4"/>
        <w:tabs>
          <w:tab w:val="clear" w:pos="2271"/>
          <w:tab w:val="left" w:pos="720"/>
        </w:tabs>
        <w:spacing w:before="0" w:after="0"/>
        <w:ind w:left="0" w:firstLine="0"/>
        <w:rPr>
          <w:rFonts w:ascii="Times New Roman" w:hAnsi="Times New Roman" w:cs="Times New Roman"/>
          <w:szCs w:val="20"/>
          <w:lang w:val="pt-PT"/>
        </w:rPr>
      </w:pPr>
    </w:p>
    <w:p w:rsidR="00FD1566" w:rsidRDefault="00FD1566" w:rsidP="009A346E">
      <w:pPr>
        <w:pStyle w:val="PSDS-MarcadoresNivel4"/>
        <w:tabs>
          <w:tab w:val="clear" w:pos="2271"/>
          <w:tab w:val="left" w:pos="720"/>
        </w:tabs>
        <w:spacing w:before="0" w:after="0"/>
        <w:ind w:left="0" w:firstLine="0"/>
        <w:rPr>
          <w:rFonts w:ascii="Times New Roman" w:hAnsi="Times New Roman" w:cs="Times New Roman"/>
          <w:szCs w:val="20"/>
          <w:lang w:val="pt-PT"/>
        </w:rPr>
      </w:pPr>
    </w:p>
    <w:p w:rsidR="00FD1566" w:rsidRDefault="00FD1566" w:rsidP="009A346E">
      <w:pPr>
        <w:pStyle w:val="PSDS-MarcadoresNivel4"/>
        <w:tabs>
          <w:tab w:val="clear" w:pos="2271"/>
          <w:tab w:val="left" w:pos="720"/>
        </w:tabs>
        <w:spacing w:before="0" w:after="0"/>
        <w:ind w:left="0" w:firstLine="0"/>
        <w:rPr>
          <w:rFonts w:ascii="Times New Roman" w:hAnsi="Times New Roman" w:cs="Times New Roman"/>
          <w:szCs w:val="20"/>
          <w:lang w:val="pt-PT"/>
        </w:rPr>
      </w:pPr>
    </w:p>
    <w:p w:rsidR="00FD1566" w:rsidRDefault="00FD1566" w:rsidP="009A346E">
      <w:pPr>
        <w:pStyle w:val="PSDS-MarcadoresNivel4"/>
        <w:tabs>
          <w:tab w:val="clear" w:pos="2271"/>
          <w:tab w:val="left" w:pos="720"/>
        </w:tabs>
        <w:spacing w:before="0" w:after="0"/>
        <w:ind w:left="0" w:firstLine="0"/>
        <w:rPr>
          <w:rFonts w:ascii="Times New Roman" w:hAnsi="Times New Roman" w:cs="Times New Roman"/>
          <w:szCs w:val="20"/>
          <w:lang w:val="pt-PT"/>
        </w:rPr>
      </w:pPr>
    </w:p>
    <w:p w:rsidR="00FD1566" w:rsidRDefault="00FD1566" w:rsidP="009A346E">
      <w:pPr>
        <w:pStyle w:val="PSDS-MarcadoresNivel4"/>
        <w:tabs>
          <w:tab w:val="clear" w:pos="2271"/>
          <w:tab w:val="left" w:pos="720"/>
        </w:tabs>
        <w:spacing w:before="0" w:after="0"/>
        <w:ind w:left="0" w:firstLine="0"/>
        <w:rPr>
          <w:rFonts w:ascii="Times New Roman" w:hAnsi="Times New Roman" w:cs="Times New Roman"/>
          <w:szCs w:val="20"/>
          <w:lang w:val="pt-PT"/>
        </w:rPr>
      </w:pPr>
    </w:p>
    <w:p w:rsidR="00FD1566" w:rsidRDefault="00FD1566" w:rsidP="009A346E">
      <w:pPr>
        <w:pStyle w:val="PSDS-MarcadoresNivel4"/>
        <w:tabs>
          <w:tab w:val="clear" w:pos="2271"/>
          <w:tab w:val="left" w:pos="720"/>
        </w:tabs>
        <w:spacing w:before="0" w:after="0"/>
        <w:ind w:left="0" w:firstLine="0"/>
        <w:rPr>
          <w:rFonts w:ascii="Times New Roman" w:hAnsi="Times New Roman" w:cs="Times New Roman"/>
          <w:szCs w:val="20"/>
          <w:lang w:val="pt-PT"/>
        </w:rPr>
      </w:pPr>
    </w:p>
    <w:p w:rsidR="00FD1566" w:rsidRDefault="00FD1566" w:rsidP="009A346E">
      <w:pPr>
        <w:pStyle w:val="PSDS-MarcadoresNivel4"/>
        <w:tabs>
          <w:tab w:val="clear" w:pos="2271"/>
          <w:tab w:val="left" w:pos="720"/>
        </w:tabs>
        <w:spacing w:before="0" w:after="0"/>
        <w:ind w:left="0" w:firstLine="0"/>
        <w:rPr>
          <w:rFonts w:ascii="Times New Roman" w:hAnsi="Times New Roman" w:cs="Times New Roman"/>
          <w:szCs w:val="20"/>
          <w:lang w:val="pt-PT"/>
        </w:rPr>
      </w:pPr>
    </w:p>
    <w:p w:rsidR="00FD1566" w:rsidRDefault="00FD1566" w:rsidP="009A346E">
      <w:pPr>
        <w:pStyle w:val="PSDS-MarcadoresNivel4"/>
        <w:tabs>
          <w:tab w:val="clear" w:pos="2271"/>
          <w:tab w:val="left" w:pos="720"/>
        </w:tabs>
        <w:spacing w:before="0" w:after="0"/>
        <w:ind w:left="0" w:firstLine="0"/>
        <w:rPr>
          <w:rFonts w:ascii="Times New Roman" w:hAnsi="Times New Roman" w:cs="Times New Roman"/>
          <w:szCs w:val="20"/>
          <w:lang w:val="pt-PT"/>
        </w:rPr>
      </w:pPr>
    </w:p>
    <w:p w:rsidR="00FD1566" w:rsidRDefault="00B35FA3" w:rsidP="00FD1566">
      <w:pPr>
        <w:pStyle w:val="PSDS-MarcadoresNivel4"/>
        <w:tabs>
          <w:tab w:val="clear" w:pos="2271"/>
          <w:tab w:val="left" w:pos="720"/>
        </w:tabs>
        <w:spacing w:before="0" w:after="0"/>
        <w:ind w:left="0" w:firstLine="0"/>
        <w:jc w:val="center"/>
        <w:rPr>
          <w:rFonts w:ascii="Times New Roman" w:hAnsi="Times New Roman" w:cs="Times New Roman"/>
          <w:szCs w:val="20"/>
          <w:lang w:val="pt-PT"/>
        </w:rPr>
      </w:pPr>
      <w:r>
        <w:rPr>
          <w:rFonts w:ascii="Times New Roman" w:hAnsi="Times New Roman" w:cs="Times New Roman"/>
          <w:szCs w:val="20"/>
          <w:lang w:val="pt-PT"/>
        </w:rPr>
        <w:object w:dxaOrig="14835" w:dyaOrig="7170">
          <v:shape id="_x0000_i1989" type="#_x0000_t75" style="width:792.75pt;height:348.75pt" o:ole="">
            <v:imagedata r:id="rId755" o:title=""/>
          </v:shape>
          <o:OLEObject Type="Link" ProgID="Excel.Sheet.12" ShapeID="_x0000_i1989" DrawAspect="Content" r:id="rId756" UpdateMode="Always">
            <o:LinkType>EnhancedMetaFile</o:LinkType>
            <o:LockedField>false</o:LockedField>
          </o:OLEObject>
        </w:object>
      </w:r>
    </w:p>
    <w:p w:rsidR="00FD1566" w:rsidRDefault="00FD1566" w:rsidP="009A346E">
      <w:pPr>
        <w:pStyle w:val="PSDS-MarcadoresNivel4"/>
        <w:tabs>
          <w:tab w:val="clear" w:pos="2271"/>
          <w:tab w:val="left" w:pos="720"/>
        </w:tabs>
        <w:spacing w:before="0" w:after="0"/>
        <w:ind w:left="0" w:firstLine="0"/>
        <w:rPr>
          <w:rFonts w:ascii="Times New Roman" w:hAnsi="Times New Roman" w:cs="Times New Roman"/>
          <w:szCs w:val="20"/>
          <w:lang w:val="pt-PT"/>
        </w:rPr>
      </w:pPr>
    </w:p>
    <w:p w:rsidR="00FD1566" w:rsidRDefault="00FD1566" w:rsidP="009A346E">
      <w:pPr>
        <w:pStyle w:val="PSDS-MarcadoresNivel4"/>
        <w:tabs>
          <w:tab w:val="clear" w:pos="2271"/>
          <w:tab w:val="left" w:pos="720"/>
        </w:tabs>
        <w:spacing w:before="0" w:after="0"/>
        <w:ind w:left="0" w:firstLine="0"/>
        <w:rPr>
          <w:rFonts w:ascii="Times New Roman" w:hAnsi="Times New Roman" w:cs="Times New Roman"/>
          <w:szCs w:val="20"/>
          <w:lang w:val="pt-PT"/>
        </w:rPr>
      </w:pPr>
    </w:p>
    <w:p w:rsidR="00FD1566" w:rsidRDefault="00FD1566" w:rsidP="009A346E">
      <w:pPr>
        <w:pStyle w:val="PSDS-MarcadoresNivel4"/>
        <w:tabs>
          <w:tab w:val="clear" w:pos="2271"/>
          <w:tab w:val="left" w:pos="720"/>
        </w:tabs>
        <w:spacing w:before="0" w:after="0"/>
        <w:ind w:left="0" w:firstLine="0"/>
        <w:rPr>
          <w:rFonts w:ascii="Times New Roman" w:hAnsi="Times New Roman" w:cs="Times New Roman"/>
          <w:szCs w:val="20"/>
          <w:lang w:val="pt-PT"/>
        </w:rPr>
      </w:pPr>
    </w:p>
    <w:p w:rsidR="00FD1566" w:rsidRDefault="00FD1566" w:rsidP="009A346E">
      <w:pPr>
        <w:pStyle w:val="PSDS-MarcadoresNivel4"/>
        <w:tabs>
          <w:tab w:val="clear" w:pos="2271"/>
          <w:tab w:val="left" w:pos="720"/>
        </w:tabs>
        <w:spacing w:before="0" w:after="0"/>
        <w:ind w:left="0" w:firstLine="0"/>
        <w:rPr>
          <w:rFonts w:ascii="Times New Roman" w:hAnsi="Times New Roman" w:cs="Times New Roman"/>
          <w:szCs w:val="20"/>
          <w:lang w:val="pt-PT"/>
        </w:rPr>
      </w:pPr>
    </w:p>
    <w:p w:rsidR="00FD1566" w:rsidRDefault="00FD1566" w:rsidP="009A346E">
      <w:pPr>
        <w:pStyle w:val="PSDS-MarcadoresNivel4"/>
        <w:tabs>
          <w:tab w:val="clear" w:pos="2271"/>
          <w:tab w:val="left" w:pos="720"/>
        </w:tabs>
        <w:spacing w:before="0" w:after="0"/>
        <w:ind w:left="0" w:firstLine="0"/>
        <w:rPr>
          <w:rFonts w:ascii="Times New Roman" w:hAnsi="Times New Roman" w:cs="Times New Roman"/>
          <w:szCs w:val="20"/>
          <w:lang w:val="pt-PT"/>
        </w:rPr>
      </w:pPr>
    </w:p>
    <w:p w:rsidR="00FD1566" w:rsidRDefault="00FD1566" w:rsidP="009A346E">
      <w:pPr>
        <w:pStyle w:val="PSDS-MarcadoresNivel4"/>
        <w:tabs>
          <w:tab w:val="clear" w:pos="2271"/>
          <w:tab w:val="left" w:pos="720"/>
        </w:tabs>
        <w:spacing w:before="0" w:after="0"/>
        <w:ind w:left="0" w:firstLine="0"/>
        <w:rPr>
          <w:rFonts w:ascii="Times New Roman" w:hAnsi="Times New Roman" w:cs="Times New Roman"/>
          <w:szCs w:val="20"/>
          <w:lang w:val="pt-PT"/>
        </w:rPr>
      </w:pPr>
    </w:p>
    <w:p w:rsidR="00FD1566" w:rsidRDefault="00FD1566" w:rsidP="009A346E">
      <w:pPr>
        <w:pStyle w:val="PSDS-MarcadoresNivel4"/>
        <w:tabs>
          <w:tab w:val="clear" w:pos="2271"/>
          <w:tab w:val="left" w:pos="720"/>
        </w:tabs>
        <w:spacing w:before="0" w:after="0"/>
        <w:ind w:left="0" w:firstLine="0"/>
        <w:rPr>
          <w:rFonts w:ascii="Times New Roman" w:hAnsi="Times New Roman" w:cs="Times New Roman"/>
          <w:szCs w:val="20"/>
          <w:lang w:val="pt-PT"/>
        </w:rPr>
      </w:pPr>
    </w:p>
    <w:p w:rsidR="00FD1566" w:rsidRDefault="00FD1566" w:rsidP="009A346E">
      <w:pPr>
        <w:pStyle w:val="PSDS-MarcadoresNivel4"/>
        <w:tabs>
          <w:tab w:val="clear" w:pos="2271"/>
          <w:tab w:val="left" w:pos="720"/>
        </w:tabs>
        <w:spacing w:before="0" w:after="0"/>
        <w:ind w:left="0" w:firstLine="0"/>
        <w:rPr>
          <w:rFonts w:ascii="Times New Roman" w:hAnsi="Times New Roman" w:cs="Times New Roman"/>
          <w:szCs w:val="20"/>
          <w:lang w:val="pt-PT"/>
        </w:rPr>
      </w:pPr>
    </w:p>
    <w:p w:rsidR="00FD1566" w:rsidRDefault="00FD1566" w:rsidP="009A346E">
      <w:pPr>
        <w:pStyle w:val="PSDS-MarcadoresNivel4"/>
        <w:tabs>
          <w:tab w:val="clear" w:pos="2271"/>
          <w:tab w:val="left" w:pos="720"/>
        </w:tabs>
        <w:spacing w:before="0" w:after="0"/>
        <w:ind w:left="0" w:firstLine="0"/>
        <w:rPr>
          <w:rFonts w:ascii="Times New Roman" w:hAnsi="Times New Roman" w:cs="Times New Roman"/>
          <w:szCs w:val="20"/>
          <w:lang w:val="pt-PT"/>
        </w:rPr>
      </w:pPr>
    </w:p>
    <w:p w:rsidR="00FD1566" w:rsidRDefault="00FD1566" w:rsidP="009A346E">
      <w:pPr>
        <w:pStyle w:val="PSDS-MarcadoresNivel4"/>
        <w:tabs>
          <w:tab w:val="clear" w:pos="2271"/>
          <w:tab w:val="left" w:pos="720"/>
        </w:tabs>
        <w:spacing w:before="0" w:after="0"/>
        <w:ind w:left="0" w:firstLine="0"/>
        <w:rPr>
          <w:rFonts w:ascii="Times New Roman" w:hAnsi="Times New Roman" w:cs="Times New Roman"/>
          <w:szCs w:val="20"/>
          <w:lang w:val="pt-PT"/>
        </w:rPr>
      </w:pPr>
    </w:p>
    <w:p w:rsidR="00FD1566" w:rsidRDefault="00B35FA3" w:rsidP="00FD1566">
      <w:pPr>
        <w:pStyle w:val="PSDS-MarcadoresNivel4"/>
        <w:tabs>
          <w:tab w:val="clear" w:pos="2271"/>
          <w:tab w:val="left" w:pos="720"/>
        </w:tabs>
        <w:spacing w:before="0" w:after="0"/>
        <w:ind w:left="0" w:firstLine="0"/>
        <w:jc w:val="center"/>
        <w:rPr>
          <w:rFonts w:ascii="Times New Roman" w:hAnsi="Times New Roman" w:cs="Times New Roman"/>
          <w:szCs w:val="20"/>
          <w:lang w:val="pt-PT"/>
        </w:rPr>
      </w:pPr>
      <w:r>
        <w:rPr>
          <w:rFonts w:ascii="Times New Roman" w:hAnsi="Times New Roman" w:cs="Times New Roman"/>
          <w:szCs w:val="20"/>
          <w:lang w:val="pt-PT"/>
        </w:rPr>
        <w:object w:dxaOrig="14835" w:dyaOrig="6165">
          <v:shape id="_x0000_i1991" type="#_x0000_t75" style="width:792.75pt;height:299.25pt" o:ole="">
            <v:imagedata r:id="rId757" o:title=""/>
          </v:shape>
          <o:OLEObject Type="Link" ProgID="Excel.Sheet.12" ShapeID="_x0000_i1991" DrawAspect="Content" r:id="rId758" UpdateMode="Always">
            <o:LinkType>EnhancedMetaFile</o:LinkType>
            <o:LockedField>false</o:LockedField>
          </o:OLEObject>
        </w:object>
      </w:r>
    </w:p>
    <w:p w:rsidR="00FD1566" w:rsidRDefault="00FD1566" w:rsidP="009A346E">
      <w:pPr>
        <w:pStyle w:val="PSDS-MarcadoresNivel4"/>
        <w:tabs>
          <w:tab w:val="clear" w:pos="2271"/>
          <w:tab w:val="left" w:pos="720"/>
        </w:tabs>
        <w:spacing w:before="0" w:after="0"/>
        <w:ind w:left="0" w:firstLine="0"/>
        <w:rPr>
          <w:rFonts w:ascii="Times New Roman" w:hAnsi="Times New Roman" w:cs="Times New Roman"/>
          <w:szCs w:val="20"/>
          <w:lang w:val="pt-PT"/>
        </w:rPr>
      </w:pPr>
    </w:p>
    <w:p w:rsidR="00FD1566" w:rsidRDefault="00FD1566" w:rsidP="009A346E">
      <w:pPr>
        <w:pStyle w:val="PSDS-MarcadoresNivel4"/>
        <w:tabs>
          <w:tab w:val="clear" w:pos="2271"/>
          <w:tab w:val="left" w:pos="720"/>
        </w:tabs>
        <w:spacing w:before="0" w:after="0"/>
        <w:ind w:left="0" w:firstLine="0"/>
        <w:rPr>
          <w:rFonts w:ascii="Times New Roman" w:hAnsi="Times New Roman" w:cs="Times New Roman"/>
          <w:szCs w:val="20"/>
          <w:lang w:val="pt-PT"/>
        </w:rPr>
      </w:pPr>
    </w:p>
    <w:p w:rsidR="000C2E7C" w:rsidRDefault="000C2E7C" w:rsidP="009A346E">
      <w:pPr>
        <w:pStyle w:val="PSDS-MarcadoresNivel4"/>
        <w:tabs>
          <w:tab w:val="clear" w:pos="2271"/>
          <w:tab w:val="left" w:pos="720"/>
        </w:tabs>
        <w:spacing w:before="0" w:after="0"/>
        <w:ind w:left="0" w:firstLine="0"/>
        <w:rPr>
          <w:rFonts w:ascii="Times New Roman" w:hAnsi="Times New Roman" w:cs="Times New Roman"/>
          <w:szCs w:val="20"/>
          <w:lang w:val="pt-PT"/>
        </w:rPr>
      </w:pPr>
    </w:p>
    <w:p w:rsidR="000C2E7C" w:rsidRDefault="000C2E7C" w:rsidP="009A346E">
      <w:pPr>
        <w:pStyle w:val="PSDS-MarcadoresNivel4"/>
        <w:tabs>
          <w:tab w:val="clear" w:pos="2271"/>
          <w:tab w:val="left" w:pos="720"/>
        </w:tabs>
        <w:spacing w:before="0" w:after="0"/>
        <w:ind w:left="0" w:firstLine="0"/>
        <w:rPr>
          <w:rFonts w:ascii="Times New Roman" w:hAnsi="Times New Roman" w:cs="Times New Roman"/>
          <w:szCs w:val="20"/>
          <w:lang w:val="pt-PT"/>
        </w:rPr>
      </w:pPr>
    </w:p>
    <w:p w:rsidR="000C2E7C" w:rsidRDefault="000C2E7C" w:rsidP="009A346E">
      <w:pPr>
        <w:pStyle w:val="PSDS-MarcadoresNivel4"/>
        <w:tabs>
          <w:tab w:val="clear" w:pos="2271"/>
          <w:tab w:val="left" w:pos="720"/>
        </w:tabs>
        <w:spacing w:before="0" w:after="0"/>
        <w:ind w:left="0" w:firstLine="0"/>
        <w:rPr>
          <w:rFonts w:ascii="Times New Roman" w:hAnsi="Times New Roman" w:cs="Times New Roman"/>
          <w:szCs w:val="20"/>
          <w:lang w:val="pt-PT"/>
        </w:rPr>
      </w:pPr>
    </w:p>
    <w:p w:rsidR="000C2E7C" w:rsidRDefault="000C2E7C" w:rsidP="009A346E">
      <w:pPr>
        <w:pStyle w:val="PSDS-MarcadoresNivel4"/>
        <w:tabs>
          <w:tab w:val="clear" w:pos="2271"/>
          <w:tab w:val="left" w:pos="720"/>
        </w:tabs>
        <w:spacing w:before="0" w:after="0"/>
        <w:ind w:left="0" w:firstLine="0"/>
        <w:rPr>
          <w:rFonts w:ascii="Times New Roman" w:hAnsi="Times New Roman" w:cs="Times New Roman"/>
          <w:szCs w:val="20"/>
          <w:lang w:val="pt-PT"/>
        </w:rPr>
      </w:pPr>
    </w:p>
    <w:p w:rsidR="000C2E7C" w:rsidRDefault="000C2E7C" w:rsidP="009A346E">
      <w:pPr>
        <w:pStyle w:val="PSDS-MarcadoresNivel4"/>
        <w:tabs>
          <w:tab w:val="clear" w:pos="2271"/>
          <w:tab w:val="left" w:pos="720"/>
        </w:tabs>
        <w:spacing w:before="0" w:after="0"/>
        <w:ind w:left="0" w:firstLine="0"/>
        <w:rPr>
          <w:rFonts w:ascii="Times New Roman" w:hAnsi="Times New Roman" w:cs="Times New Roman"/>
          <w:szCs w:val="20"/>
          <w:lang w:val="pt-PT"/>
        </w:rPr>
      </w:pPr>
    </w:p>
    <w:p w:rsidR="000C2E7C" w:rsidRDefault="000C2E7C" w:rsidP="009A346E">
      <w:pPr>
        <w:pStyle w:val="PSDS-MarcadoresNivel4"/>
        <w:tabs>
          <w:tab w:val="clear" w:pos="2271"/>
          <w:tab w:val="left" w:pos="720"/>
        </w:tabs>
        <w:spacing w:before="0" w:after="0"/>
        <w:ind w:left="0" w:firstLine="0"/>
        <w:rPr>
          <w:rFonts w:ascii="Times New Roman" w:hAnsi="Times New Roman" w:cs="Times New Roman"/>
          <w:szCs w:val="20"/>
          <w:lang w:val="pt-PT"/>
        </w:rPr>
      </w:pPr>
    </w:p>
    <w:p w:rsidR="000C2E7C" w:rsidRDefault="000C2E7C" w:rsidP="009A346E">
      <w:pPr>
        <w:pStyle w:val="PSDS-MarcadoresNivel4"/>
        <w:tabs>
          <w:tab w:val="clear" w:pos="2271"/>
          <w:tab w:val="left" w:pos="720"/>
        </w:tabs>
        <w:spacing w:before="0" w:after="0"/>
        <w:ind w:left="0" w:firstLine="0"/>
        <w:rPr>
          <w:rFonts w:ascii="Times New Roman" w:hAnsi="Times New Roman" w:cs="Times New Roman"/>
          <w:szCs w:val="20"/>
          <w:lang w:val="pt-PT"/>
        </w:rPr>
      </w:pPr>
    </w:p>
    <w:p w:rsidR="000C2E7C" w:rsidRDefault="000C2E7C" w:rsidP="009A346E">
      <w:pPr>
        <w:pStyle w:val="PSDS-MarcadoresNivel4"/>
        <w:tabs>
          <w:tab w:val="clear" w:pos="2271"/>
          <w:tab w:val="left" w:pos="720"/>
        </w:tabs>
        <w:spacing w:before="0" w:after="0"/>
        <w:ind w:left="0" w:firstLine="0"/>
        <w:rPr>
          <w:rFonts w:ascii="Times New Roman" w:hAnsi="Times New Roman" w:cs="Times New Roman"/>
          <w:szCs w:val="20"/>
          <w:lang w:val="pt-PT"/>
        </w:rPr>
      </w:pPr>
    </w:p>
    <w:p w:rsidR="000C2E7C" w:rsidRDefault="000C2E7C" w:rsidP="009A346E">
      <w:pPr>
        <w:pStyle w:val="PSDS-MarcadoresNivel4"/>
        <w:tabs>
          <w:tab w:val="clear" w:pos="2271"/>
          <w:tab w:val="left" w:pos="720"/>
        </w:tabs>
        <w:spacing w:before="0" w:after="0"/>
        <w:ind w:left="0" w:firstLine="0"/>
        <w:rPr>
          <w:rFonts w:ascii="Times New Roman" w:hAnsi="Times New Roman" w:cs="Times New Roman"/>
          <w:szCs w:val="20"/>
          <w:lang w:val="pt-PT"/>
        </w:rPr>
      </w:pPr>
    </w:p>
    <w:p w:rsidR="000C2E7C" w:rsidRDefault="000C2E7C" w:rsidP="009A346E">
      <w:pPr>
        <w:pStyle w:val="PSDS-MarcadoresNivel4"/>
        <w:tabs>
          <w:tab w:val="clear" w:pos="2271"/>
          <w:tab w:val="left" w:pos="720"/>
        </w:tabs>
        <w:spacing w:before="0" w:after="0"/>
        <w:ind w:left="0" w:firstLine="0"/>
        <w:rPr>
          <w:rFonts w:ascii="Times New Roman" w:hAnsi="Times New Roman" w:cs="Times New Roman"/>
          <w:szCs w:val="20"/>
          <w:lang w:val="pt-PT"/>
        </w:rPr>
      </w:pPr>
    </w:p>
    <w:p w:rsidR="000C2E7C" w:rsidRDefault="000C2E7C" w:rsidP="009A346E">
      <w:pPr>
        <w:pStyle w:val="PSDS-MarcadoresNivel4"/>
        <w:tabs>
          <w:tab w:val="clear" w:pos="2271"/>
          <w:tab w:val="left" w:pos="720"/>
        </w:tabs>
        <w:spacing w:before="0" w:after="0"/>
        <w:ind w:left="0" w:firstLine="0"/>
        <w:rPr>
          <w:rFonts w:ascii="Times New Roman" w:hAnsi="Times New Roman" w:cs="Times New Roman"/>
          <w:szCs w:val="20"/>
          <w:lang w:val="pt-PT"/>
        </w:rPr>
      </w:pPr>
    </w:p>
    <w:p w:rsidR="000C2E7C" w:rsidRDefault="000C2E7C" w:rsidP="009A346E">
      <w:pPr>
        <w:pStyle w:val="PSDS-MarcadoresNivel4"/>
        <w:tabs>
          <w:tab w:val="clear" w:pos="2271"/>
          <w:tab w:val="left" w:pos="720"/>
        </w:tabs>
        <w:spacing w:before="0" w:after="0"/>
        <w:ind w:left="0" w:firstLine="0"/>
        <w:rPr>
          <w:rFonts w:ascii="Times New Roman" w:hAnsi="Times New Roman" w:cs="Times New Roman"/>
          <w:szCs w:val="20"/>
          <w:lang w:val="pt-PT"/>
        </w:rPr>
      </w:pPr>
    </w:p>
    <w:p w:rsidR="000C2E7C" w:rsidRDefault="00B35FA3" w:rsidP="000C2E7C">
      <w:pPr>
        <w:pStyle w:val="PSDS-MarcadoresNivel4"/>
        <w:tabs>
          <w:tab w:val="clear" w:pos="2271"/>
          <w:tab w:val="left" w:pos="720"/>
        </w:tabs>
        <w:spacing w:before="0" w:after="0"/>
        <w:ind w:left="0" w:firstLine="0"/>
        <w:jc w:val="center"/>
        <w:rPr>
          <w:rFonts w:ascii="Times New Roman" w:hAnsi="Times New Roman" w:cs="Times New Roman"/>
          <w:szCs w:val="20"/>
          <w:lang w:val="pt-PT"/>
        </w:rPr>
      </w:pPr>
      <w:r>
        <w:rPr>
          <w:rFonts w:ascii="Times New Roman" w:hAnsi="Times New Roman" w:cs="Times New Roman"/>
          <w:szCs w:val="20"/>
          <w:lang w:val="pt-PT"/>
        </w:rPr>
        <w:object w:dxaOrig="14835" w:dyaOrig="6690">
          <v:shape id="_x0000_i1993" type="#_x0000_t75" style="width:792.75pt;height:324.75pt" o:ole="">
            <v:imagedata r:id="rId759" o:title=""/>
          </v:shape>
          <o:OLEObject Type="Link" ProgID="Excel.Sheet.12" ShapeID="_x0000_i1993" DrawAspect="Content" r:id="rId760" UpdateMode="Always">
            <o:LinkType>EnhancedMetaFile</o:LinkType>
            <o:LockedField>false</o:LockedField>
          </o:OLEObject>
        </w:object>
      </w:r>
    </w:p>
    <w:p w:rsidR="00FD1566" w:rsidRDefault="00FD1566" w:rsidP="009A346E">
      <w:pPr>
        <w:pStyle w:val="PSDS-MarcadoresNivel4"/>
        <w:tabs>
          <w:tab w:val="clear" w:pos="2271"/>
          <w:tab w:val="left" w:pos="720"/>
        </w:tabs>
        <w:spacing w:before="0" w:after="0"/>
        <w:ind w:left="0" w:firstLine="0"/>
        <w:rPr>
          <w:rFonts w:ascii="Times New Roman" w:hAnsi="Times New Roman" w:cs="Times New Roman"/>
          <w:szCs w:val="20"/>
          <w:lang w:val="pt-PT"/>
        </w:rPr>
      </w:pPr>
    </w:p>
    <w:p w:rsidR="00FD1566" w:rsidRDefault="00FD1566" w:rsidP="009A346E">
      <w:pPr>
        <w:pStyle w:val="PSDS-MarcadoresNivel4"/>
        <w:tabs>
          <w:tab w:val="clear" w:pos="2271"/>
          <w:tab w:val="left" w:pos="720"/>
        </w:tabs>
        <w:spacing w:before="0" w:after="0"/>
        <w:ind w:left="0" w:firstLine="0"/>
        <w:rPr>
          <w:rFonts w:ascii="Times New Roman" w:hAnsi="Times New Roman" w:cs="Times New Roman"/>
          <w:szCs w:val="20"/>
          <w:lang w:val="pt-PT"/>
        </w:rPr>
      </w:pPr>
    </w:p>
    <w:p w:rsidR="00FD1566" w:rsidRDefault="00FD1566" w:rsidP="009A346E">
      <w:pPr>
        <w:pStyle w:val="PSDS-MarcadoresNivel4"/>
        <w:tabs>
          <w:tab w:val="clear" w:pos="2271"/>
          <w:tab w:val="left" w:pos="720"/>
        </w:tabs>
        <w:spacing w:before="0" w:after="0"/>
        <w:ind w:left="0" w:firstLine="0"/>
        <w:rPr>
          <w:rFonts w:ascii="Times New Roman" w:hAnsi="Times New Roman" w:cs="Times New Roman"/>
          <w:szCs w:val="20"/>
          <w:lang w:val="pt-PT"/>
        </w:rPr>
      </w:pPr>
    </w:p>
    <w:p w:rsidR="00FD1566" w:rsidRDefault="00FD1566" w:rsidP="009A346E">
      <w:pPr>
        <w:pStyle w:val="PSDS-MarcadoresNivel4"/>
        <w:tabs>
          <w:tab w:val="clear" w:pos="2271"/>
          <w:tab w:val="left" w:pos="720"/>
        </w:tabs>
        <w:spacing w:before="0" w:after="0"/>
        <w:ind w:left="0" w:firstLine="0"/>
        <w:rPr>
          <w:rFonts w:ascii="Times New Roman" w:hAnsi="Times New Roman" w:cs="Times New Roman"/>
          <w:szCs w:val="20"/>
          <w:lang w:val="pt-PT"/>
        </w:rPr>
      </w:pPr>
    </w:p>
    <w:p w:rsidR="00FD1566" w:rsidRDefault="00FD1566" w:rsidP="009A346E">
      <w:pPr>
        <w:pStyle w:val="PSDS-MarcadoresNivel4"/>
        <w:tabs>
          <w:tab w:val="clear" w:pos="2271"/>
          <w:tab w:val="left" w:pos="720"/>
        </w:tabs>
        <w:spacing w:before="0" w:after="0"/>
        <w:ind w:left="0" w:firstLine="0"/>
        <w:rPr>
          <w:rFonts w:ascii="Times New Roman" w:hAnsi="Times New Roman" w:cs="Times New Roman"/>
          <w:szCs w:val="20"/>
          <w:lang w:val="pt-PT"/>
        </w:rPr>
      </w:pPr>
    </w:p>
    <w:p w:rsidR="00FD1566" w:rsidRDefault="00FD1566" w:rsidP="009A346E">
      <w:pPr>
        <w:pStyle w:val="PSDS-MarcadoresNivel4"/>
        <w:tabs>
          <w:tab w:val="clear" w:pos="2271"/>
          <w:tab w:val="left" w:pos="720"/>
        </w:tabs>
        <w:spacing w:before="0" w:after="0"/>
        <w:ind w:left="0" w:firstLine="0"/>
        <w:rPr>
          <w:rFonts w:ascii="Times New Roman" w:hAnsi="Times New Roman" w:cs="Times New Roman"/>
          <w:szCs w:val="20"/>
          <w:lang w:val="pt-PT"/>
        </w:rPr>
      </w:pPr>
    </w:p>
    <w:p w:rsidR="00FD1566" w:rsidRDefault="00FD1566" w:rsidP="009A346E">
      <w:pPr>
        <w:pStyle w:val="PSDS-MarcadoresNivel4"/>
        <w:tabs>
          <w:tab w:val="clear" w:pos="2271"/>
          <w:tab w:val="left" w:pos="720"/>
        </w:tabs>
        <w:spacing w:before="0" w:after="0"/>
        <w:ind w:left="0" w:firstLine="0"/>
        <w:rPr>
          <w:rFonts w:ascii="Times New Roman" w:hAnsi="Times New Roman" w:cs="Times New Roman"/>
          <w:szCs w:val="20"/>
          <w:lang w:val="pt-PT"/>
        </w:rPr>
      </w:pPr>
    </w:p>
    <w:p w:rsidR="00FD1566" w:rsidRDefault="00FD1566" w:rsidP="009A346E">
      <w:pPr>
        <w:pStyle w:val="PSDS-MarcadoresNivel4"/>
        <w:tabs>
          <w:tab w:val="clear" w:pos="2271"/>
          <w:tab w:val="left" w:pos="720"/>
        </w:tabs>
        <w:spacing w:before="0" w:after="0"/>
        <w:ind w:left="0" w:firstLine="0"/>
        <w:rPr>
          <w:rFonts w:ascii="Times New Roman" w:hAnsi="Times New Roman" w:cs="Times New Roman"/>
          <w:szCs w:val="20"/>
          <w:lang w:val="pt-PT"/>
        </w:rPr>
      </w:pPr>
    </w:p>
    <w:p w:rsidR="00FD1566" w:rsidRDefault="00FD1566" w:rsidP="009A346E">
      <w:pPr>
        <w:pStyle w:val="PSDS-MarcadoresNivel4"/>
        <w:tabs>
          <w:tab w:val="clear" w:pos="2271"/>
          <w:tab w:val="left" w:pos="720"/>
        </w:tabs>
        <w:spacing w:before="0" w:after="0"/>
        <w:ind w:left="0" w:firstLine="0"/>
        <w:rPr>
          <w:rFonts w:ascii="Times New Roman" w:hAnsi="Times New Roman" w:cs="Times New Roman"/>
          <w:szCs w:val="20"/>
          <w:lang w:val="pt-PT"/>
        </w:rPr>
      </w:pPr>
    </w:p>
    <w:p w:rsidR="00FD1566" w:rsidRDefault="00FD1566" w:rsidP="009A346E">
      <w:pPr>
        <w:pStyle w:val="PSDS-MarcadoresNivel4"/>
        <w:tabs>
          <w:tab w:val="clear" w:pos="2271"/>
          <w:tab w:val="left" w:pos="720"/>
        </w:tabs>
        <w:spacing w:before="0" w:after="0"/>
        <w:ind w:left="0" w:firstLine="0"/>
        <w:rPr>
          <w:rFonts w:ascii="Times New Roman" w:hAnsi="Times New Roman" w:cs="Times New Roman"/>
          <w:szCs w:val="20"/>
          <w:lang w:val="pt-PT"/>
        </w:rPr>
      </w:pPr>
    </w:p>
    <w:p w:rsidR="00FD1566" w:rsidRDefault="00FD1566" w:rsidP="009A346E">
      <w:pPr>
        <w:pStyle w:val="PSDS-MarcadoresNivel4"/>
        <w:tabs>
          <w:tab w:val="clear" w:pos="2271"/>
          <w:tab w:val="left" w:pos="720"/>
        </w:tabs>
        <w:spacing w:before="0" w:after="0"/>
        <w:ind w:left="0" w:firstLine="0"/>
        <w:rPr>
          <w:rFonts w:ascii="Times New Roman" w:hAnsi="Times New Roman" w:cs="Times New Roman"/>
          <w:szCs w:val="20"/>
          <w:lang w:val="pt-PT"/>
        </w:rPr>
      </w:pPr>
    </w:p>
    <w:p w:rsidR="000C2E7C" w:rsidRDefault="000C2E7C" w:rsidP="009A346E">
      <w:pPr>
        <w:pStyle w:val="PSDS-MarcadoresNivel4"/>
        <w:tabs>
          <w:tab w:val="clear" w:pos="2271"/>
          <w:tab w:val="left" w:pos="720"/>
        </w:tabs>
        <w:spacing w:before="0" w:after="0"/>
        <w:ind w:left="0" w:firstLine="0"/>
        <w:rPr>
          <w:rFonts w:ascii="Times New Roman" w:hAnsi="Times New Roman" w:cs="Times New Roman"/>
          <w:szCs w:val="20"/>
          <w:lang w:val="pt-PT"/>
        </w:rPr>
      </w:pPr>
    </w:p>
    <w:p w:rsidR="003B49DF" w:rsidRPr="00FA3856" w:rsidRDefault="009A346E" w:rsidP="009A346E">
      <w:pPr>
        <w:pStyle w:val="PSDS-MarcadoresNivel4"/>
        <w:tabs>
          <w:tab w:val="clear" w:pos="2271"/>
          <w:tab w:val="left" w:pos="720"/>
        </w:tabs>
        <w:spacing w:before="0" w:after="0"/>
        <w:ind w:left="0" w:firstLine="0"/>
        <w:rPr>
          <w:rFonts w:ascii="Times New Roman" w:hAnsi="Times New Roman" w:cs="Times New Roman"/>
          <w:szCs w:val="20"/>
          <w:lang w:val="pt-PT"/>
        </w:rPr>
      </w:pPr>
      <w:r w:rsidRPr="00FA3856">
        <w:rPr>
          <w:rFonts w:ascii="Times New Roman" w:hAnsi="Times New Roman" w:cs="Times New Roman"/>
          <w:szCs w:val="20"/>
          <w:lang w:val="pt-PT"/>
        </w:rPr>
        <w:lastRenderedPageBreak/>
        <w:t>I – Regras de Validação do Registro:</w:t>
      </w:r>
    </w:p>
    <w:p w:rsidR="009A346E" w:rsidRPr="00FA3856" w:rsidRDefault="00F47ED7" w:rsidP="00F47ED7">
      <w:pPr>
        <w:pStyle w:val="PSDS-MarcadoresNivel4"/>
        <w:tabs>
          <w:tab w:val="clear" w:pos="2271"/>
          <w:tab w:val="left" w:pos="5265"/>
        </w:tabs>
        <w:spacing w:before="0" w:after="0"/>
        <w:ind w:left="0" w:firstLine="0"/>
        <w:rPr>
          <w:rFonts w:ascii="Times New Roman" w:hAnsi="Times New Roman" w:cs="Times New Roman"/>
          <w:szCs w:val="20"/>
          <w:lang w:val="pt-PT"/>
        </w:rPr>
      </w:pPr>
      <w:r w:rsidRPr="00FA3856">
        <w:rPr>
          <w:rFonts w:ascii="Times New Roman" w:hAnsi="Times New Roman" w:cs="Times New Roman"/>
          <w:szCs w:val="20"/>
          <w:lang w:val="pt-PT"/>
        </w:rPr>
        <w:tab/>
      </w:r>
    </w:p>
    <w:p w:rsidR="00157E0A" w:rsidRPr="00FA3856" w:rsidRDefault="00157E0A" w:rsidP="00CA2519">
      <w:pPr>
        <w:pStyle w:val="PSDS-MarcadoresNivel4"/>
        <w:tabs>
          <w:tab w:val="clear" w:pos="2271"/>
          <w:tab w:val="left" w:pos="720"/>
        </w:tabs>
        <w:spacing w:before="0" w:after="0"/>
        <w:ind w:left="0" w:firstLine="0"/>
        <w:jc w:val="both"/>
        <w:rPr>
          <w:rFonts w:ascii="Times New Roman" w:hAnsi="Times New Roman" w:cs="Times New Roman"/>
          <w:b w:val="0"/>
          <w:bCs w:val="0"/>
          <w:szCs w:val="20"/>
        </w:rPr>
      </w:pPr>
      <w:r w:rsidRPr="00FA3856">
        <w:rPr>
          <w:rFonts w:ascii="Times New Roman" w:hAnsi="Times New Roman" w:cs="Times New Roman"/>
          <w:bCs w:val="0"/>
          <w:szCs w:val="20"/>
        </w:rPr>
        <w:t xml:space="preserve">REGRA_X420_OBRIGATORIO_R: </w:t>
      </w:r>
      <w:r w:rsidRPr="00FA3856">
        <w:rPr>
          <w:rFonts w:ascii="Times New Roman" w:hAnsi="Times New Roman" w:cs="Times New Roman"/>
          <w:b w:val="0"/>
          <w:bCs w:val="0"/>
          <w:szCs w:val="20"/>
        </w:rPr>
        <w:t>Verifica, quando 0020.IND_ROY_REC igual a “S”, se existe X420.TIP_ROY igual a “R”. Se a regra não for cumprida, o sistema gera um erro.</w:t>
      </w:r>
    </w:p>
    <w:p w:rsidR="00157E0A" w:rsidRPr="00FA3856" w:rsidRDefault="00157E0A" w:rsidP="00CA2519">
      <w:pPr>
        <w:pStyle w:val="PSDS-MarcadoresNivel4"/>
        <w:tabs>
          <w:tab w:val="clear" w:pos="2271"/>
          <w:tab w:val="left" w:pos="720"/>
        </w:tabs>
        <w:spacing w:before="0" w:after="0"/>
        <w:ind w:left="0" w:firstLine="0"/>
        <w:jc w:val="both"/>
        <w:rPr>
          <w:rFonts w:ascii="Times New Roman" w:hAnsi="Times New Roman" w:cs="Times New Roman"/>
          <w:b w:val="0"/>
          <w:bCs w:val="0"/>
          <w:szCs w:val="20"/>
        </w:rPr>
      </w:pPr>
    </w:p>
    <w:p w:rsidR="00157E0A" w:rsidRPr="00FA3856" w:rsidRDefault="00157E0A" w:rsidP="00157E0A">
      <w:pPr>
        <w:pStyle w:val="PSDS-MarcadoresNivel4"/>
        <w:tabs>
          <w:tab w:val="clear" w:pos="2271"/>
          <w:tab w:val="left" w:pos="720"/>
        </w:tabs>
        <w:spacing w:before="0" w:after="0"/>
        <w:ind w:left="0" w:firstLine="0"/>
        <w:jc w:val="both"/>
        <w:rPr>
          <w:rFonts w:ascii="Times New Roman" w:hAnsi="Times New Roman" w:cs="Times New Roman"/>
          <w:b w:val="0"/>
          <w:bCs w:val="0"/>
          <w:szCs w:val="20"/>
        </w:rPr>
      </w:pPr>
      <w:r w:rsidRPr="00FA3856">
        <w:rPr>
          <w:rFonts w:ascii="Times New Roman" w:hAnsi="Times New Roman" w:cs="Times New Roman"/>
          <w:bCs w:val="0"/>
          <w:szCs w:val="20"/>
        </w:rPr>
        <w:t xml:space="preserve">REGRA_X420_OBRIGATORIO_P: </w:t>
      </w:r>
      <w:r w:rsidRPr="00FA3856">
        <w:rPr>
          <w:rFonts w:ascii="Times New Roman" w:hAnsi="Times New Roman" w:cs="Times New Roman"/>
          <w:b w:val="0"/>
          <w:bCs w:val="0"/>
          <w:szCs w:val="20"/>
        </w:rPr>
        <w:t>Verifica, quando 0020.IND_ROY_PAG igual a “S”, se existe X420.TIP_ROY igual a “P”. Se a regra não for cumprida, o sistema gera um erro.</w:t>
      </w:r>
    </w:p>
    <w:p w:rsidR="00157E0A" w:rsidRPr="00FA3856" w:rsidRDefault="00157E0A" w:rsidP="00157E0A">
      <w:pPr>
        <w:pStyle w:val="PSDS-MarcadoresNivel4"/>
        <w:tabs>
          <w:tab w:val="clear" w:pos="2271"/>
          <w:tab w:val="left" w:pos="720"/>
        </w:tabs>
        <w:spacing w:before="0" w:after="0"/>
        <w:ind w:left="0" w:firstLine="0"/>
        <w:jc w:val="both"/>
        <w:rPr>
          <w:rFonts w:ascii="Times New Roman" w:hAnsi="Times New Roman" w:cs="Times New Roman"/>
          <w:b w:val="0"/>
          <w:bCs w:val="0"/>
          <w:szCs w:val="20"/>
        </w:rPr>
      </w:pPr>
    </w:p>
    <w:p w:rsidR="00157E0A" w:rsidRPr="00FA3856" w:rsidRDefault="00157E0A" w:rsidP="00157E0A">
      <w:pPr>
        <w:pStyle w:val="PSDS-MarcadoresNivel4"/>
        <w:tabs>
          <w:tab w:val="clear" w:pos="2271"/>
          <w:tab w:val="left" w:pos="720"/>
        </w:tabs>
        <w:spacing w:before="0" w:after="0"/>
        <w:ind w:left="0" w:firstLine="0"/>
        <w:jc w:val="both"/>
        <w:rPr>
          <w:rFonts w:ascii="Times New Roman" w:hAnsi="Times New Roman" w:cs="Times New Roman"/>
          <w:b w:val="0"/>
          <w:bCs w:val="0"/>
          <w:szCs w:val="20"/>
        </w:rPr>
      </w:pPr>
      <w:r w:rsidRPr="00FA3856">
        <w:rPr>
          <w:rFonts w:ascii="Times New Roman" w:hAnsi="Times New Roman" w:cs="Times New Roman"/>
          <w:bCs w:val="0"/>
          <w:szCs w:val="20"/>
        </w:rPr>
        <w:t xml:space="preserve">REGRA_X420_PREENCHIDO: </w:t>
      </w:r>
      <w:r w:rsidRPr="00FA3856">
        <w:rPr>
          <w:rFonts w:ascii="Times New Roman" w:hAnsi="Times New Roman" w:cs="Times New Roman"/>
          <w:b w:val="0"/>
          <w:bCs w:val="0"/>
          <w:szCs w:val="20"/>
        </w:rPr>
        <w:t>Verifica se, pelo menos, um campo de valor foi informado. Se a regra não for cumprida, o sistema gera um erro.</w:t>
      </w:r>
    </w:p>
    <w:p w:rsidR="000C2E7C" w:rsidRDefault="000C2E7C" w:rsidP="007603E5">
      <w:pPr>
        <w:pStyle w:val="Corpodetexto"/>
        <w:rPr>
          <w:rFonts w:ascii="Times New Roman" w:hAnsi="Times New Roman"/>
          <w:b/>
          <w:color w:val="002060"/>
          <w:szCs w:val="20"/>
        </w:rPr>
      </w:pPr>
    </w:p>
    <w:p w:rsidR="00FD1566" w:rsidRDefault="001F020C" w:rsidP="007603E5">
      <w:pPr>
        <w:pStyle w:val="Corpodetexto"/>
        <w:rPr>
          <w:rFonts w:ascii="Times New Roman" w:hAnsi="Times New Roman"/>
          <w:b/>
          <w:color w:val="002060"/>
          <w:szCs w:val="20"/>
        </w:rPr>
      </w:pPr>
      <w:r w:rsidRPr="00FA3856">
        <w:rPr>
          <w:rFonts w:ascii="Times New Roman" w:hAnsi="Times New Roman"/>
          <w:b/>
          <w:color w:val="002060"/>
          <w:szCs w:val="20"/>
        </w:rPr>
        <w:t xml:space="preserve">Exemplo de Preenchimento: </w:t>
      </w:r>
    </w:p>
    <w:p w:rsidR="00FD1566" w:rsidRDefault="00FD1566" w:rsidP="007603E5">
      <w:pPr>
        <w:pStyle w:val="Corpodetexto"/>
        <w:rPr>
          <w:rFonts w:ascii="Times New Roman" w:hAnsi="Times New Roman"/>
          <w:b/>
          <w:color w:val="002060"/>
          <w:szCs w:val="20"/>
        </w:rPr>
      </w:pPr>
    </w:p>
    <w:p w:rsidR="007603E5" w:rsidRPr="00FA3856" w:rsidRDefault="007603E5" w:rsidP="007603E5">
      <w:pPr>
        <w:pStyle w:val="Corpodetexto"/>
        <w:rPr>
          <w:rFonts w:ascii="Times New Roman" w:hAnsi="Times New Roman"/>
          <w:b/>
          <w:color w:val="002060"/>
          <w:szCs w:val="20"/>
        </w:rPr>
      </w:pPr>
      <w:r w:rsidRPr="00FA3856">
        <w:rPr>
          <w:rFonts w:ascii="Times New Roman" w:hAnsi="Times New Roman"/>
          <w:b/>
          <w:color w:val="002060"/>
          <w:szCs w:val="20"/>
        </w:rPr>
        <w:t>|X420|</w:t>
      </w:r>
      <w:r w:rsidR="008D5E08" w:rsidRPr="00FA3856">
        <w:rPr>
          <w:rFonts w:ascii="Times New Roman" w:hAnsi="Times New Roman"/>
          <w:b/>
          <w:color w:val="002060"/>
          <w:szCs w:val="20"/>
        </w:rPr>
        <w:t>R|</w:t>
      </w:r>
      <w:r w:rsidRPr="00FA3856">
        <w:rPr>
          <w:rFonts w:ascii="Times New Roman" w:hAnsi="Times New Roman"/>
          <w:b/>
          <w:color w:val="002060"/>
          <w:szCs w:val="20"/>
        </w:rPr>
        <w:t>105|50000,00|10000,00|5000,00|6000,00|7000,00|8000,00|</w:t>
      </w:r>
      <w:r w:rsidR="008D5E08" w:rsidRPr="00FA3856">
        <w:rPr>
          <w:rFonts w:ascii="Times New Roman" w:hAnsi="Times New Roman"/>
          <w:b/>
          <w:color w:val="002060"/>
          <w:szCs w:val="20"/>
        </w:rPr>
        <w:t>9000,00|</w:t>
      </w:r>
    </w:p>
    <w:p w:rsidR="007603E5" w:rsidRPr="00FA3856" w:rsidRDefault="00881218" w:rsidP="007603E5">
      <w:pPr>
        <w:pStyle w:val="Corpodetexto"/>
        <w:ind w:firstLine="708"/>
        <w:rPr>
          <w:rFonts w:ascii="Times New Roman" w:hAnsi="Times New Roman"/>
          <w:color w:val="002060"/>
          <w:szCs w:val="20"/>
        </w:rPr>
      </w:pPr>
      <w:r w:rsidRPr="00FA3856">
        <w:rPr>
          <w:rFonts w:ascii="Times New Roman" w:hAnsi="Times New Roman"/>
          <w:color w:val="002060"/>
          <w:szCs w:val="20"/>
        </w:rPr>
        <w:t>|X42</w:t>
      </w:r>
      <w:r w:rsidR="007603E5" w:rsidRPr="00FA3856">
        <w:rPr>
          <w:rFonts w:ascii="Times New Roman" w:hAnsi="Times New Roman"/>
          <w:color w:val="002060"/>
          <w:szCs w:val="20"/>
        </w:rPr>
        <w:t>0|: Identificação do tipo do registro.</w:t>
      </w:r>
    </w:p>
    <w:p w:rsidR="008D5E08" w:rsidRPr="00FA3856" w:rsidRDefault="008D5E08" w:rsidP="007603E5">
      <w:pPr>
        <w:pStyle w:val="Corpodetexto"/>
        <w:ind w:firstLine="708"/>
        <w:rPr>
          <w:rFonts w:ascii="Times New Roman" w:hAnsi="Times New Roman"/>
          <w:color w:val="002060"/>
          <w:szCs w:val="20"/>
        </w:rPr>
      </w:pPr>
      <w:r w:rsidRPr="00FA3856">
        <w:rPr>
          <w:rFonts w:ascii="Times New Roman" w:hAnsi="Times New Roman"/>
          <w:color w:val="002060"/>
          <w:szCs w:val="20"/>
        </w:rPr>
        <w:t xml:space="preserve">|R|: Tipo dos </w:t>
      </w:r>
      <w:r w:rsidRPr="00FA3856">
        <w:rPr>
          <w:rFonts w:ascii="Times New Roman" w:hAnsi="Times New Roman"/>
          <w:i/>
          <w:color w:val="002060"/>
          <w:szCs w:val="20"/>
        </w:rPr>
        <w:t xml:space="preserve">royalties </w:t>
      </w:r>
      <w:r w:rsidRPr="00FA3856">
        <w:rPr>
          <w:rFonts w:ascii="Times New Roman" w:hAnsi="Times New Roman"/>
          <w:color w:val="002060"/>
          <w:szCs w:val="20"/>
        </w:rPr>
        <w:t xml:space="preserve">(R = </w:t>
      </w:r>
      <w:r w:rsidRPr="00FA3856">
        <w:rPr>
          <w:rFonts w:ascii="Times New Roman" w:hAnsi="Times New Roman"/>
          <w:i/>
          <w:color w:val="002060"/>
          <w:szCs w:val="20"/>
        </w:rPr>
        <w:t xml:space="preserve">Royalties </w:t>
      </w:r>
      <w:r w:rsidRPr="00FA3856">
        <w:rPr>
          <w:rFonts w:ascii="Times New Roman" w:hAnsi="Times New Roman"/>
          <w:color w:val="002060"/>
          <w:szCs w:val="20"/>
        </w:rPr>
        <w:t>recebidos).</w:t>
      </w:r>
    </w:p>
    <w:p w:rsidR="007603E5" w:rsidRPr="00FA3856" w:rsidRDefault="007603E5" w:rsidP="007603E5">
      <w:pPr>
        <w:pStyle w:val="Corpodetexto"/>
        <w:ind w:firstLine="708"/>
        <w:rPr>
          <w:rFonts w:ascii="Times New Roman" w:hAnsi="Times New Roman"/>
          <w:color w:val="002060"/>
          <w:szCs w:val="20"/>
        </w:rPr>
      </w:pPr>
      <w:r w:rsidRPr="00FA3856">
        <w:rPr>
          <w:rFonts w:ascii="Times New Roman" w:hAnsi="Times New Roman"/>
          <w:color w:val="002060"/>
          <w:szCs w:val="20"/>
        </w:rPr>
        <w:t>|105|: Código do país (105 = Brasil).</w:t>
      </w:r>
    </w:p>
    <w:p w:rsidR="007603E5" w:rsidRPr="00FA3856" w:rsidRDefault="007603E5" w:rsidP="007603E5">
      <w:pPr>
        <w:pStyle w:val="Corpodetexto"/>
        <w:ind w:firstLine="708"/>
        <w:rPr>
          <w:rFonts w:ascii="Times New Roman" w:hAnsi="Times New Roman"/>
          <w:color w:val="002060"/>
          <w:szCs w:val="20"/>
        </w:rPr>
      </w:pPr>
      <w:r w:rsidRPr="00FA3856">
        <w:rPr>
          <w:rFonts w:ascii="Times New Roman" w:hAnsi="Times New Roman"/>
          <w:color w:val="002060"/>
          <w:szCs w:val="20"/>
        </w:rPr>
        <w:t xml:space="preserve">|50000,00|: </w:t>
      </w:r>
      <w:r w:rsidR="008D5E08" w:rsidRPr="00FA3856">
        <w:rPr>
          <w:rFonts w:ascii="Times New Roman" w:hAnsi="Times New Roman"/>
          <w:color w:val="002060"/>
          <w:szCs w:val="20"/>
        </w:rPr>
        <w:t>Valor da Exploração Econômica dos Direitos Patrimoniais do Autor Relativos a Software</w:t>
      </w:r>
      <w:r w:rsidRPr="00FA3856">
        <w:rPr>
          <w:rFonts w:ascii="Times New Roman" w:hAnsi="Times New Roman"/>
          <w:color w:val="002060"/>
          <w:szCs w:val="20"/>
        </w:rPr>
        <w:t xml:space="preserve"> (R$ 50.000,00).</w:t>
      </w:r>
    </w:p>
    <w:p w:rsidR="007603E5" w:rsidRPr="00FA3856" w:rsidRDefault="007603E5" w:rsidP="007603E5">
      <w:pPr>
        <w:pStyle w:val="Corpodetexto"/>
        <w:ind w:firstLine="708"/>
        <w:rPr>
          <w:rFonts w:ascii="Times New Roman" w:hAnsi="Times New Roman"/>
          <w:color w:val="002060"/>
          <w:szCs w:val="20"/>
        </w:rPr>
      </w:pPr>
      <w:r w:rsidRPr="00FA3856">
        <w:rPr>
          <w:rFonts w:ascii="Times New Roman" w:hAnsi="Times New Roman"/>
          <w:color w:val="002060"/>
          <w:szCs w:val="20"/>
        </w:rPr>
        <w:t xml:space="preserve">|10000,00|: </w:t>
      </w:r>
      <w:r w:rsidR="008D5E08" w:rsidRPr="00FA3856">
        <w:rPr>
          <w:rFonts w:ascii="Times New Roman" w:hAnsi="Times New Roman"/>
          <w:color w:val="002060"/>
          <w:szCs w:val="20"/>
        </w:rPr>
        <w:t>Valor da Exploração Econômica dos Direitos Patrimoniais do Autor, Exceto Software</w:t>
      </w:r>
      <w:r w:rsidRPr="00FA3856">
        <w:rPr>
          <w:rFonts w:ascii="Times New Roman" w:hAnsi="Times New Roman"/>
          <w:color w:val="002060"/>
          <w:szCs w:val="20"/>
        </w:rPr>
        <w:t xml:space="preserve"> (R$ 10.000,00).</w:t>
      </w:r>
    </w:p>
    <w:p w:rsidR="007603E5" w:rsidRPr="00FA3856" w:rsidRDefault="007603E5" w:rsidP="007603E5">
      <w:pPr>
        <w:pStyle w:val="Corpodetexto"/>
        <w:ind w:firstLine="708"/>
        <w:rPr>
          <w:rFonts w:ascii="Times New Roman" w:hAnsi="Times New Roman"/>
          <w:color w:val="002060"/>
          <w:szCs w:val="20"/>
        </w:rPr>
      </w:pPr>
      <w:r w:rsidRPr="00FA3856">
        <w:rPr>
          <w:rFonts w:ascii="Times New Roman" w:hAnsi="Times New Roman"/>
          <w:color w:val="002060"/>
          <w:szCs w:val="20"/>
        </w:rPr>
        <w:t xml:space="preserve">|5000,00|: </w:t>
      </w:r>
      <w:r w:rsidR="008D5E08" w:rsidRPr="00FA3856">
        <w:rPr>
          <w:rFonts w:ascii="Times New Roman" w:hAnsi="Times New Roman"/>
          <w:color w:val="002060"/>
          <w:szCs w:val="20"/>
        </w:rPr>
        <w:t>Valor da Exploração Econômica dos Direitos Patrimoniais de Marcas</w:t>
      </w:r>
      <w:r w:rsidRPr="00FA3856">
        <w:rPr>
          <w:rFonts w:ascii="Times New Roman" w:hAnsi="Times New Roman"/>
          <w:color w:val="002060"/>
          <w:szCs w:val="20"/>
        </w:rPr>
        <w:t xml:space="preserve"> (R$ 5.000,00).</w:t>
      </w:r>
    </w:p>
    <w:p w:rsidR="007603E5" w:rsidRPr="00FA3856" w:rsidRDefault="007603E5" w:rsidP="007603E5">
      <w:pPr>
        <w:pStyle w:val="Corpodetexto"/>
        <w:ind w:firstLine="708"/>
        <w:rPr>
          <w:rFonts w:ascii="Times New Roman" w:hAnsi="Times New Roman"/>
          <w:color w:val="002060"/>
          <w:szCs w:val="20"/>
        </w:rPr>
      </w:pPr>
      <w:r w:rsidRPr="00FA3856">
        <w:rPr>
          <w:rFonts w:ascii="Times New Roman" w:hAnsi="Times New Roman"/>
          <w:color w:val="002060"/>
          <w:szCs w:val="20"/>
        </w:rPr>
        <w:t xml:space="preserve">|6000,00|: </w:t>
      </w:r>
      <w:r w:rsidR="008D5E08" w:rsidRPr="00FA3856">
        <w:rPr>
          <w:rFonts w:ascii="Times New Roman" w:hAnsi="Times New Roman"/>
          <w:color w:val="002060"/>
          <w:szCs w:val="20"/>
        </w:rPr>
        <w:t xml:space="preserve">Valor da Exploração Econômica dos Direitos Patrimoniais de Patentes e de Desenho Industrial </w:t>
      </w:r>
      <w:r w:rsidRPr="00FA3856">
        <w:rPr>
          <w:rFonts w:ascii="Times New Roman" w:hAnsi="Times New Roman"/>
          <w:color w:val="002060"/>
          <w:szCs w:val="20"/>
        </w:rPr>
        <w:t>(R$ 6.000,00).</w:t>
      </w:r>
    </w:p>
    <w:p w:rsidR="007603E5" w:rsidRPr="00FA3856" w:rsidRDefault="007603E5" w:rsidP="007603E5">
      <w:pPr>
        <w:pStyle w:val="Corpodetexto"/>
        <w:ind w:firstLine="708"/>
        <w:rPr>
          <w:rFonts w:ascii="Times New Roman" w:hAnsi="Times New Roman"/>
          <w:color w:val="002060"/>
          <w:szCs w:val="20"/>
        </w:rPr>
      </w:pPr>
      <w:r w:rsidRPr="00FA3856">
        <w:rPr>
          <w:rFonts w:ascii="Times New Roman" w:hAnsi="Times New Roman"/>
          <w:color w:val="002060"/>
          <w:szCs w:val="20"/>
        </w:rPr>
        <w:t xml:space="preserve">|7000,00|: </w:t>
      </w:r>
      <w:r w:rsidR="008D5E08" w:rsidRPr="00FA3856">
        <w:rPr>
          <w:rFonts w:ascii="Times New Roman" w:hAnsi="Times New Roman"/>
          <w:color w:val="002060"/>
          <w:szCs w:val="20"/>
        </w:rPr>
        <w:t xml:space="preserve">Valor da Exploração de Know-How </w:t>
      </w:r>
      <w:r w:rsidRPr="00FA3856">
        <w:rPr>
          <w:rFonts w:ascii="Times New Roman" w:hAnsi="Times New Roman"/>
          <w:color w:val="002060"/>
          <w:szCs w:val="20"/>
        </w:rPr>
        <w:t>(R$ 7.000,00).</w:t>
      </w:r>
    </w:p>
    <w:p w:rsidR="007603E5" w:rsidRPr="00FA3856" w:rsidRDefault="007603E5" w:rsidP="007603E5">
      <w:pPr>
        <w:pStyle w:val="Corpodetexto"/>
        <w:ind w:firstLine="708"/>
        <w:rPr>
          <w:rFonts w:ascii="Times New Roman" w:hAnsi="Times New Roman"/>
          <w:color w:val="002060"/>
          <w:szCs w:val="20"/>
        </w:rPr>
      </w:pPr>
      <w:r w:rsidRPr="00FA3856">
        <w:rPr>
          <w:rFonts w:ascii="Times New Roman" w:hAnsi="Times New Roman"/>
          <w:color w:val="002060"/>
          <w:szCs w:val="20"/>
        </w:rPr>
        <w:t xml:space="preserve">|8000,00|: </w:t>
      </w:r>
      <w:r w:rsidR="008D5E08" w:rsidRPr="00FA3856">
        <w:rPr>
          <w:rFonts w:ascii="Times New Roman" w:hAnsi="Times New Roman"/>
          <w:color w:val="002060"/>
          <w:szCs w:val="20"/>
        </w:rPr>
        <w:t xml:space="preserve">Valor da Exploração de Franquias </w:t>
      </w:r>
      <w:r w:rsidRPr="00FA3856">
        <w:rPr>
          <w:rFonts w:ascii="Times New Roman" w:hAnsi="Times New Roman"/>
          <w:color w:val="002060"/>
          <w:szCs w:val="20"/>
        </w:rPr>
        <w:t>(R$ 8.000,00).</w:t>
      </w:r>
    </w:p>
    <w:p w:rsidR="008D5E08" w:rsidRPr="00FA3856" w:rsidRDefault="008D5E08" w:rsidP="007603E5">
      <w:pPr>
        <w:pStyle w:val="Corpodetexto"/>
        <w:ind w:firstLine="708"/>
        <w:rPr>
          <w:rFonts w:ascii="Times New Roman" w:hAnsi="Times New Roman"/>
          <w:color w:val="002060"/>
          <w:szCs w:val="20"/>
        </w:rPr>
      </w:pPr>
      <w:r w:rsidRPr="00FA3856">
        <w:rPr>
          <w:rFonts w:ascii="Times New Roman" w:hAnsi="Times New Roman"/>
          <w:color w:val="002060"/>
          <w:szCs w:val="20"/>
        </w:rPr>
        <w:t>|9000,00|: Valor da Exploração dos Direitos Relativos à Propriedade Intelectual Referente a Cultivares (R$ 9.000,00).</w:t>
      </w:r>
    </w:p>
    <w:p w:rsidR="007603E5" w:rsidRPr="00FA3856" w:rsidRDefault="007603E5" w:rsidP="00157E0A">
      <w:pPr>
        <w:pStyle w:val="PSDS-MarcadoresNivel4"/>
        <w:tabs>
          <w:tab w:val="clear" w:pos="2271"/>
          <w:tab w:val="left" w:pos="720"/>
        </w:tabs>
        <w:spacing w:before="0" w:after="0"/>
        <w:ind w:left="0" w:firstLine="0"/>
        <w:jc w:val="both"/>
        <w:rPr>
          <w:rFonts w:ascii="Times New Roman" w:hAnsi="Times New Roman" w:cs="Times New Roman"/>
          <w:b w:val="0"/>
          <w:bCs w:val="0"/>
          <w:szCs w:val="20"/>
        </w:rPr>
      </w:pPr>
    </w:p>
    <w:p w:rsidR="00157E0A" w:rsidRPr="00FA3856" w:rsidRDefault="00157E0A" w:rsidP="003D500A">
      <w:pPr>
        <w:pStyle w:val="PSDS-MarcadoresNivel4"/>
        <w:tabs>
          <w:tab w:val="clear" w:pos="2271"/>
          <w:tab w:val="left" w:pos="720"/>
        </w:tabs>
        <w:spacing w:before="0" w:after="0"/>
        <w:ind w:left="0" w:firstLine="0"/>
        <w:rPr>
          <w:rFonts w:ascii="Times New Roman" w:hAnsi="Times New Roman" w:cs="Times New Roman"/>
          <w:szCs w:val="20"/>
          <w:lang w:val="pt-PT"/>
        </w:rPr>
      </w:pPr>
    </w:p>
    <w:p w:rsidR="00F47ED7" w:rsidRPr="00FA3856" w:rsidRDefault="00F47ED7" w:rsidP="003D500A">
      <w:pPr>
        <w:pStyle w:val="PSDS-MarcadoresNivel4"/>
        <w:tabs>
          <w:tab w:val="clear" w:pos="2271"/>
          <w:tab w:val="left" w:pos="720"/>
        </w:tabs>
        <w:spacing w:before="0" w:after="0"/>
        <w:ind w:left="0" w:firstLine="0"/>
        <w:rPr>
          <w:rFonts w:ascii="Times New Roman" w:hAnsi="Times New Roman" w:cs="Times New Roman"/>
          <w:szCs w:val="20"/>
          <w:lang w:val="pt-PT"/>
        </w:rPr>
      </w:pPr>
    </w:p>
    <w:p w:rsidR="003D500A" w:rsidRPr="00FA3856" w:rsidRDefault="003D500A" w:rsidP="009A346E">
      <w:pPr>
        <w:pStyle w:val="PSDS-MarcadoresNivel4"/>
        <w:tabs>
          <w:tab w:val="clear" w:pos="2271"/>
          <w:tab w:val="left" w:pos="720"/>
        </w:tabs>
        <w:spacing w:before="0" w:after="0"/>
        <w:ind w:left="0" w:firstLine="0"/>
        <w:rPr>
          <w:rFonts w:ascii="Times New Roman" w:hAnsi="Times New Roman" w:cs="Times New Roman"/>
          <w:szCs w:val="20"/>
          <w:lang w:val="pt-PT"/>
        </w:rPr>
      </w:pPr>
    </w:p>
    <w:p w:rsidR="00165C60" w:rsidRPr="00FA3856" w:rsidRDefault="00165C60">
      <w:pPr>
        <w:rPr>
          <w:b/>
          <w:bCs/>
          <w:color w:val="0000FF"/>
          <w:szCs w:val="20"/>
        </w:rPr>
      </w:pPr>
      <w:r w:rsidRPr="00FA3856">
        <w:rPr>
          <w:color w:val="0000FF"/>
          <w:szCs w:val="20"/>
        </w:rPr>
        <w:br w:type="page"/>
      </w:r>
    </w:p>
    <w:p w:rsidR="00CA2519" w:rsidRPr="00FA3856" w:rsidRDefault="00CA2519" w:rsidP="00867F54">
      <w:pPr>
        <w:pStyle w:val="Ttulo4"/>
      </w:pPr>
      <w:bookmarkStart w:id="409" w:name="_Toc479713812"/>
      <w:r w:rsidRPr="00FA3856">
        <w:lastRenderedPageBreak/>
        <w:t>Registro X430: Rendimentos Relativos a Serviços, Juros e Dividendos Recebidos do Brasil e do Exterior</w:t>
      </w:r>
      <w:bookmarkEnd w:id="409"/>
    </w:p>
    <w:p w:rsidR="00CA2519" w:rsidRPr="00FA3856" w:rsidRDefault="00CA2519" w:rsidP="00CA2519">
      <w:pPr>
        <w:rPr>
          <w:bCs/>
          <w:szCs w:val="20"/>
        </w:rPr>
      </w:pPr>
    </w:p>
    <w:p w:rsidR="00053F07" w:rsidRPr="00FA3856" w:rsidRDefault="00053F07" w:rsidP="009C5217">
      <w:pPr>
        <w:jc w:val="both"/>
        <w:rPr>
          <w:bCs/>
          <w:szCs w:val="20"/>
        </w:rPr>
      </w:pPr>
      <w:r w:rsidRPr="00FA3856">
        <w:rPr>
          <w:bCs/>
          <w:szCs w:val="20"/>
        </w:rPr>
        <w:tab/>
        <w:t xml:space="preserve">Este registro será habilitado somente para as pessoas jurídicas, durante o ano-calendário, </w:t>
      </w:r>
      <w:r w:rsidR="000766D2" w:rsidRPr="00FA3856">
        <w:rPr>
          <w:bCs/>
          <w:szCs w:val="20"/>
        </w:rPr>
        <w:t xml:space="preserve">com </w:t>
      </w:r>
      <w:r w:rsidRPr="00FA3856">
        <w:rPr>
          <w:bCs/>
          <w:szCs w:val="20"/>
        </w:rPr>
        <w:t>rendimentos relativos a</w:t>
      </w:r>
      <w:r w:rsidR="000766D2" w:rsidRPr="00FA3856">
        <w:rPr>
          <w:bCs/>
          <w:szCs w:val="20"/>
        </w:rPr>
        <w:t xml:space="preserve"> (0020.IND_REND_SERV = "S")</w:t>
      </w:r>
      <w:r w:rsidRPr="00FA3856">
        <w:rPr>
          <w:bCs/>
          <w:szCs w:val="20"/>
        </w:rPr>
        <w:t>:</w:t>
      </w:r>
    </w:p>
    <w:p w:rsidR="009C5217" w:rsidRPr="00FA3856" w:rsidRDefault="009C5217" w:rsidP="009C5217">
      <w:pPr>
        <w:jc w:val="both"/>
        <w:rPr>
          <w:bCs/>
          <w:szCs w:val="20"/>
        </w:rPr>
      </w:pPr>
    </w:p>
    <w:p w:rsidR="00053F07" w:rsidRPr="00FA3856" w:rsidRDefault="006671A6" w:rsidP="009C5217">
      <w:pPr>
        <w:jc w:val="both"/>
        <w:rPr>
          <w:bCs/>
          <w:szCs w:val="20"/>
        </w:rPr>
      </w:pPr>
      <w:r w:rsidRPr="00FA3856">
        <w:rPr>
          <w:bCs/>
          <w:szCs w:val="20"/>
        </w:rPr>
        <w:t>- S</w:t>
      </w:r>
      <w:r w:rsidR="00053F07" w:rsidRPr="00FA3856">
        <w:rPr>
          <w:bCs/>
          <w:szCs w:val="20"/>
        </w:rPr>
        <w:t>erviços de assistência técnica, científica, administrativa e semelhantes que impliquem transferência de tecnologia;</w:t>
      </w:r>
    </w:p>
    <w:p w:rsidR="00053F07" w:rsidRPr="00FA3856" w:rsidRDefault="006671A6" w:rsidP="009C5217">
      <w:pPr>
        <w:jc w:val="both"/>
        <w:rPr>
          <w:bCs/>
          <w:szCs w:val="20"/>
        </w:rPr>
      </w:pPr>
      <w:r w:rsidRPr="00FA3856">
        <w:rPr>
          <w:bCs/>
          <w:szCs w:val="20"/>
        </w:rPr>
        <w:t>- S</w:t>
      </w:r>
      <w:r w:rsidR="00053F07" w:rsidRPr="00FA3856">
        <w:rPr>
          <w:bCs/>
          <w:szCs w:val="20"/>
        </w:rPr>
        <w:t>erviços técnicos e de assistência que não impliquem transferência de tecnologia, prestados no Brasil ou no exterior à pessoa jurídica declarante;</w:t>
      </w:r>
    </w:p>
    <w:p w:rsidR="00053F07" w:rsidRPr="00FA3856" w:rsidRDefault="006671A6" w:rsidP="009C5217">
      <w:pPr>
        <w:jc w:val="both"/>
        <w:rPr>
          <w:bCs/>
          <w:szCs w:val="20"/>
        </w:rPr>
      </w:pPr>
      <w:r w:rsidRPr="00FA3856">
        <w:rPr>
          <w:bCs/>
          <w:szCs w:val="20"/>
        </w:rPr>
        <w:t>- J</w:t>
      </w:r>
      <w:r w:rsidR="00053F07" w:rsidRPr="00FA3856">
        <w:rPr>
          <w:bCs/>
          <w:szCs w:val="20"/>
        </w:rPr>
        <w:t>uros sobre capital próprio, bem como juros decorrentes de contratos de mútuo entre empresas ligadas e juros decorrentes de contratos de financiamento;</w:t>
      </w:r>
    </w:p>
    <w:p w:rsidR="00053F07" w:rsidRPr="00FA3856" w:rsidRDefault="006671A6" w:rsidP="009C5217">
      <w:pPr>
        <w:jc w:val="both"/>
        <w:rPr>
          <w:bCs/>
          <w:szCs w:val="20"/>
        </w:rPr>
      </w:pPr>
      <w:r w:rsidRPr="00FA3856">
        <w:rPr>
          <w:bCs/>
          <w:szCs w:val="20"/>
        </w:rPr>
        <w:t>- D</w:t>
      </w:r>
      <w:r w:rsidR="00053F07" w:rsidRPr="00FA3856">
        <w:rPr>
          <w:bCs/>
          <w:szCs w:val="20"/>
        </w:rPr>
        <w:t>ividendos decorrentes de participações em outras empresas.</w:t>
      </w:r>
    </w:p>
    <w:p w:rsidR="003B49DF" w:rsidRDefault="00053F07" w:rsidP="004455B9">
      <w:pPr>
        <w:jc w:val="both"/>
        <w:rPr>
          <w:bCs/>
          <w:szCs w:val="20"/>
        </w:rPr>
      </w:pPr>
      <w:r w:rsidRPr="00FA3856">
        <w:rPr>
          <w:bCs/>
          <w:szCs w:val="20"/>
        </w:rPr>
        <w:t> </w:t>
      </w:r>
    </w:p>
    <w:p w:rsidR="00DE2460" w:rsidRDefault="00DE2460" w:rsidP="004455B9">
      <w:pPr>
        <w:jc w:val="both"/>
        <w:rPr>
          <w:b/>
          <w:bCs/>
          <w:szCs w:val="20"/>
        </w:rPr>
      </w:pPr>
      <w:r>
        <w:rPr>
          <w:b/>
          <w:bCs/>
          <w:szCs w:val="20"/>
        </w:rPr>
        <w:t xml:space="preserve">Observação: </w:t>
      </w:r>
      <w:r w:rsidR="00DF20F8">
        <w:rPr>
          <w:b/>
          <w:bCs/>
          <w:szCs w:val="20"/>
        </w:rPr>
        <w:t>As informações</w:t>
      </w:r>
      <w:r>
        <w:rPr>
          <w:b/>
          <w:bCs/>
          <w:szCs w:val="20"/>
        </w:rPr>
        <w:t xml:space="preserve"> deste registro são requeridas considerando o regime de caixa (valores efetivamente recebidos).</w:t>
      </w:r>
    </w:p>
    <w:p w:rsidR="00DE2460" w:rsidRPr="00DE2460" w:rsidRDefault="00DE2460" w:rsidP="004455B9">
      <w:pPr>
        <w:jc w:val="both"/>
        <w:rPr>
          <w:b/>
          <w:bCs/>
          <w:szCs w:val="20"/>
        </w:rPr>
      </w:pPr>
    </w:p>
    <w:p w:rsidR="004455B9" w:rsidRPr="00FA3856" w:rsidRDefault="00B35FA3" w:rsidP="004455B9">
      <w:pPr>
        <w:jc w:val="center"/>
        <w:rPr>
          <w:rFonts w:cs="Times New Roman"/>
          <w:szCs w:val="20"/>
          <w:lang w:val="pt-PT"/>
        </w:rPr>
      </w:pPr>
      <w:r>
        <w:rPr>
          <w:rFonts w:cs="Times New Roman"/>
          <w:szCs w:val="20"/>
          <w:lang w:val="pt-PT"/>
        </w:rPr>
        <w:object w:dxaOrig="14835" w:dyaOrig="6435">
          <v:shape id="_x0000_i1995" type="#_x0000_t75" style="width:792.75pt;height:311.25pt" o:ole="">
            <v:imagedata r:id="rId761" o:title=""/>
          </v:shape>
          <o:OLEObject Type="Link" ProgID="Excel.Sheet.12" ShapeID="_x0000_i1995" DrawAspect="Content" r:id="rId762" UpdateMode="Always">
            <o:LinkType>EnhancedMetaFile</o:LinkType>
            <o:LockedField>false</o:LockedField>
          </o:OLEObject>
        </w:object>
      </w:r>
    </w:p>
    <w:p w:rsidR="004455B9" w:rsidRDefault="004455B9" w:rsidP="0028090A">
      <w:pPr>
        <w:pStyle w:val="PSDS-MarcadoresNivel4"/>
        <w:tabs>
          <w:tab w:val="clear" w:pos="2271"/>
          <w:tab w:val="left" w:pos="720"/>
        </w:tabs>
        <w:spacing w:before="0" w:after="0"/>
        <w:ind w:left="0" w:firstLine="0"/>
        <w:rPr>
          <w:rFonts w:ascii="Times New Roman" w:hAnsi="Times New Roman" w:cs="Times New Roman"/>
          <w:szCs w:val="20"/>
          <w:lang w:val="pt-PT"/>
        </w:rPr>
      </w:pPr>
    </w:p>
    <w:p w:rsidR="004455B9" w:rsidRDefault="004455B9" w:rsidP="0028090A">
      <w:pPr>
        <w:pStyle w:val="PSDS-MarcadoresNivel4"/>
        <w:tabs>
          <w:tab w:val="clear" w:pos="2271"/>
          <w:tab w:val="left" w:pos="720"/>
        </w:tabs>
        <w:spacing w:before="0" w:after="0"/>
        <w:ind w:left="0" w:firstLine="0"/>
        <w:rPr>
          <w:rFonts w:ascii="Times New Roman" w:hAnsi="Times New Roman" w:cs="Times New Roman"/>
          <w:szCs w:val="20"/>
          <w:lang w:val="pt-PT"/>
        </w:rPr>
      </w:pPr>
    </w:p>
    <w:p w:rsidR="004455B9" w:rsidRDefault="004455B9" w:rsidP="0028090A">
      <w:pPr>
        <w:pStyle w:val="PSDS-MarcadoresNivel4"/>
        <w:tabs>
          <w:tab w:val="clear" w:pos="2271"/>
          <w:tab w:val="left" w:pos="720"/>
        </w:tabs>
        <w:spacing w:before="0" w:after="0"/>
        <w:ind w:left="0" w:firstLine="0"/>
        <w:rPr>
          <w:rFonts w:ascii="Times New Roman" w:hAnsi="Times New Roman" w:cs="Times New Roman"/>
          <w:szCs w:val="20"/>
          <w:lang w:val="pt-PT"/>
        </w:rPr>
      </w:pPr>
    </w:p>
    <w:p w:rsidR="004455B9" w:rsidRDefault="004455B9" w:rsidP="0028090A">
      <w:pPr>
        <w:pStyle w:val="PSDS-MarcadoresNivel4"/>
        <w:tabs>
          <w:tab w:val="clear" w:pos="2271"/>
          <w:tab w:val="left" w:pos="720"/>
        </w:tabs>
        <w:spacing w:before="0" w:after="0"/>
        <w:ind w:left="0" w:firstLine="0"/>
        <w:rPr>
          <w:rFonts w:ascii="Times New Roman" w:hAnsi="Times New Roman" w:cs="Times New Roman"/>
          <w:szCs w:val="20"/>
          <w:lang w:val="pt-PT"/>
        </w:rPr>
      </w:pPr>
    </w:p>
    <w:p w:rsidR="00CC008B" w:rsidRDefault="00B35FA3" w:rsidP="00CC008B">
      <w:pPr>
        <w:pStyle w:val="PSDS-MarcadoresNivel4"/>
        <w:tabs>
          <w:tab w:val="clear" w:pos="2271"/>
          <w:tab w:val="left" w:pos="720"/>
        </w:tabs>
        <w:spacing w:before="0" w:after="0"/>
        <w:ind w:left="0" w:firstLine="0"/>
        <w:jc w:val="center"/>
        <w:rPr>
          <w:rFonts w:ascii="Times New Roman" w:hAnsi="Times New Roman" w:cs="Times New Roman"/>
          <w:szCs w:val="20"/>
          <w:lang w:val="pt-PT"/>
        </w:rPr>
      </w:pPr>
      <w:r>
        <w:rPr>
          <w:rFonts w:ascii="Times New Roman" w:hAnsi="Times New Roman" w:cs="Times New Roman"/>
          <w:szCs w:val="20"/>
          <w:lang w:val="pt-PT"/>
        </w:rPr>
        <w:object w:dxaOrig="14835" w:dyaOrig="7935">
          <v:shape id="_x0000_i1997" type="#_x0000_t75" style="width:792.75pt;height:380.25pt" o:ole="">
            <v:imagedata r:id="rId763" o:title=""/>
          </v:shape>
          <o:OLEObject Type="Link" ProgID="Excel.Sheet.12" ShapeID="_x0000_i1997" DrawAspect="Content" r:id="rId764" UpdateMode="Always">
            <o:LinkType>EnhancedMetaFile</o:LinkType>
            <o:LockedField>false</o:LockedField>
          </o:OLEObject>
        </w:object>
      </w:r>
    </w:p>
    <w:p w:rsidR="004455B9" w:rsidRDefault="004455B9" w:rsidP="0028090A">
      <w:pPr>
        <w:pStyle w:val="PSDS-MarcadoresNivel4"/>
        <w:tabs>
          <w:tab w:val="clear" w:pos="2271"/>
          <w:tab w:val="left" w:pos="720"/>
        </w:tabs>
        <w:spacing w:before="0" w:after="0"/>
        <w:ind w:left="0" w:firstLine="0"/>
        <w:rPr>
          <w:rFonts w:ascii="Times New Roman" w:hAnsi="Times New Roman" w:cs="Times New Roman"/>
          <w:szCs w:val="20"/>
          <w:lang w:val="pt-PT"/>
        </w:rPr>
      </w:pPr>
    </w:p>
    <w:p w:rsidR="004455B9" w:rsidRDefault="004455B9" w:rsidP="0028090A">
      <w:pPr>
        <w:pStyle w:val="PSDS-MarcadoresNivel4"/>
        <w:tabs>
          <w:tab w:val="clear" w:pos="2271"/>
          <w:tab w:val="left" w:pos="720"/>
        </w:tabs>
        <w:spacing w:before="0" w:after="0"/>
        <w:ind w:left="0" w:firstLine="0"/>
        <w:rPr>
          <w:rFonts w:ascii="Times New Roman" w:hAnsi="Times New Roman" w:cs="Times New Roman"/>
          <w:szCs w:val="20"/>
          <w:lang w:val="pt-PT"/>
        </w:rPr>
      </w:pPr>
    </w:p>
    <w:p w:rsidR="004455B9" w:rsidRDefault="004455B9" w:rsidP="0028090A">
      <w:pPr>
        <w:pStyle w:val="PSDS-MarcadoresNivel4"/>
        <w:tabs>
          <w:tab w:val="clear" w:pos="2271"/>
          <w:tab w:val="left" w:pos="720"/>
        </w:tabs>
        <w:spacing w:before="0" w:after="0"/>
        <w:ind w:left="0" w:firstLine="0"/>
        <w:rPr>
          <w:rFonts w:ascii="Times New Roman" w:hAnsi="Times New Roman" w:cs="Times New Roman"/>
          <w:szCs w:val="20"/>
          <w:lang w:val="pt-PT"/>
        </w:rPr>
      </w:pPr>
    </w:p>
    <w:p w:rsidR="004455B9" w:rsidRDefault="004455B9" w:rsidP="0028090A">
      <w:pPr>
        <w:pStyle w:val="PSDS-MarcadoresNivel4"/>
        <w:tabs>
          <w:tab w:val="clear" w:pos="2271"/>
          <w:tab w:val="left" w:pos="720"/>
        </w:tabs>
        <w:spacing w:before="0" w:after="0"/>
        <w:ind w:left="0" w:firstLine="0"/>
        <w:rPr>
          <w:rFonts w:ascii="Times New Roman" w:hAnsi="Times New Roman" w:cs="Times New Roman"/>
          <w:szCs w:val="20"/>
          <w:lang w:val="pt-PT"/>
        </w:rPr>
      </w:pPr>
    </w:p>
    <w:p w:rsidR="004455B9" w:rsidRDefault="004455B9" w:rsidP="0028090A">
      <w:pPr>
        <w:pStyle w:val="PSDS-MarcadoresNivel4"/>
        <w:tabs>
          <w:tab w:val="clear" w:pos="2271"/>
          <w:tab w:val="left" w:pos="720"/>
        </w:tabs>
        <w:spacing w:before="0" w:after="0"/>
        <w:ind w:left="0" w:firstLine="0"/>
        <w:rPr>
          <w:rFonts w:ascii="Times New Roman" w:hAnsi="Times New Roman" w:cs="Times New Roman"/>
          <w:szCs w:val="20"/>
          <w:lang w:val="pt-PT"/>
        </w:rPr>
      </w:pPr>
    </w:p>
    <w:p w:rsidR="004455B9" w:rsidRDefault="004455B9" w:rsidP="0028090A">
      <w:pPr>
        <w:pStyle w:val="PSDS-MarcadoresNivel4"/>
        <w:tabs>
          <w:tab w:val="clear" w:pos="2271"/>
          <w:tab w:val="left" w:pos="720"/>
        </w:tabs>
        <w:spacing w:before="0" w:after="0"/>
        <w:ind w:left="0" w:firstLine="0"/>
        <w:rPr>
          <w:rFonts w:ascii="Times New Roman" w:hAnsi="Times New Roman" w:cs="Times New Roman"/>
          <w:szCs w:val="20"/>
          <w:lang w:val="pt-PT"/>
        </w:rPr>
      </w:pPr>
    </w:p>
    <w:p w:rsidR="004455B9" w:rsidRDefault="004455B9" w:rsidP="004455B9">
      <w:pPr>
        <w:pStyle w:val="PSDS-MarcadoresNivel4"/>
        <w:tabs>
          <w:tab w:val="clear" w:pos="2271"/>
          <w:tab w:val="left" w:pos="720"/>
        </w:tabs>
        <w:spacing w:before="0" w:after="0"/>
        <w:ind w:left="0" w:firstLine="0"/>
        <w:jc w:val="center"/>
        <w:rPr>
          <w:rFonts w:ascii="Times New Roman" w:hAnsi="Times New Roman" w:cs="Times New Roman"/>
          <w:szCs w:val="20"/>
          <w:lang w:val="pt-PT"/>
        </w:rPr>
      </w:pPr>
    </w:p>
    <w:p w:rsidR="004455B9" w:rsidRDefault="00B35FA3" w:rsidP="00CC008B">
      <w:pPr>
        <w:pStyle w:val="PSDS-MarcadoresNivel4"/>
        <w:tabs>
          <w:tab w:val="clear" w:pos="2271"/>
          <w:tab w:val="left" w:pos="720"/>
        </w:tabs>
        <w:spacing w:before="0" w:after="0"/>
        <w:ind w:left="0" w:firstLine="0"/>
        <w:jc w:val="center"/>
        <w:rPr>
          <w:rFonts w:ascii="Times New Roman" w:hAnsi="Times New Roman" w:cs="Times New Roman"/>
          <w:szCs w:val="20"/>
          <w:lang w:val="pt-PT"/>
        </w:rPr>
      </w:pPr>
      <w:r>
        <w:rPr>
          <w:rFonts w:ascii="Times New Roman" w:hAnsi="Times New Roman" w:cs="Times New Roman"/>
          <w:szCs w:val="20"/>
          <w:lang w:val="pt-PT"/>
        </w:rPr>
        <w:object w:dxaOrig="14835" w:dyaOrig="3345">
          <v:shape id="_x0000_i1999" type="#_x0000_t75" style="width:792.75pt;height:162.75pt" o:ole="">
            <v:imagedata r:id="rId765" o:title=""/>
          </v:shape>
          <o:OLEObject Type="Link" ProgID="Excel.Sheet.12" ShapeID="_x0000_i1999" DrawAspect="Content" r:id="rId766" UpdateMode="Always">
            <o:LinkType>EnhancedMetaFile</o:LinkType>
            <o:LockedField>false</o:LockedField>
          </o:OLEObject>
        </w:object>
      </w:r>
    </w:p>
    <w:p w:rsidR="004455B9" w:rsidRDefault="004455B9" w:rsidP="0028090A">
      <w:pPr>
        <w:pStyle w:val="PSDS-MarcadoresNivel4"/>
        <w:tabs>
          <w:tab w:val="clear" w:pos="2271"/>
          <w:tab w:val="left" w:pos="720"/>
        </w:tabs>
        <w:spacing w:before="0" w:after="0"/>
        <w:ind w:left="0" w:firstLine="0"/>
        <w:rPr>
          <w:rFonts w:ascii="Times New Roman" w:hAnsi="Times New Roman" w:cs="Times New Roman"/>
          <w:szCs w:val="20"/>
          <w:lang w:val="pt-PT"/>
        </w:rPr>
      </w:pPr>
    </w:p>
    <w:p w:rsidR="004455B9" w:rsidRDefault="004455B9" w:rsidP="0028090A">
      <w:pPr>
        <w:pStyle w:val="PSDS-MarcadoresNivel4"/>
        <w:tabs>
          <w:tab w:val="clear" w:pos="2271"/>
          <w:tab w:val="left" w:pos="720"/>
        </w:tabs>
        <w:spacing w:before="0" w:after="0"/>
        <w:ind w:left="0" w:firstLine="0"/>
        <w:rPr>
          <w:rFonts w:ascii="Times New Roman" w:hAnsi="Times New Roman" w:cs="Times New Roman"/>
          <w:szCs w:val="20"/>
          <w:lang w:val="pt-PT"/>
        </w:rPr>
      </w:pPr>
    </w:p>
    <w:p w:rsidR="004455B9" w:rsidRDefault="004455B9" w:rsidP="0028090A">
      <w:pPr>
        <w:pStyle w:val="PSDS-MarcadoresNivel4"/>
        <w:tabs>
          <w:tab w:val="clear" w:pos="2271"/>
          <w:tab w:val="left" w:pos="720"/>
        </w:tabs>
        <w:spacing w:before="0" w:after="0"/>
        <w:ind w:left="0" w:firstLine="0"/>
        <w:rPr>
          <w:rFonts w:ascii="Times New Roman" w:hAnsi="Times New Roman" w:cs="Times New Roman"/>
          <w:szCs w:val="20"/>
          <w:lang w:val="pt-PT"/>
        </w:rPr>
      </w:pPr>
    </w:p>
    <w:p w:rsidR="004455B9" w:rsidRDefault="004455B9" w:rsidP="0028090A">
      <w:pPr>
        <w:pStyle w:val="PSDS-MarcadoresNivel4"/>
        <w:tabs>
          <w:tab w:val="clear" w:pos="2271"/>
          <w:tab w:val="left" w:pos="720"/>
        </w:tabs>
        <w:spacing w:before="0" w:after="0"/>
        <w:ind w:left="0" w:firstLine="0"/>
        <w:rPr>
          <w:rFonts w:ascii="Times New Roman" w:hAnsi="Times New Roman" w:cs="Times New Roman"/>
          <w:szCs w:val="20"/>
          <w:lang w:val="pt-PT"/>
        </w:rPr>
      </w:pPr>
    </w:p>
    <w:p w:rsidR="004455B9" w:rsidRDefault="004455B9" w:rsidP="0028090A">
      <w:pPr>
        <w:pStyle w:val="PSDS-MarcadoresNivel4"/>
        <w:tabs>
          <w:tab w:val="clear" w:pos="2271"/>
          <w:tab w:val="left" w:pos="720"/>
        </w:tabs>
        <w:spacing w:before="0" w:after="0"/>
        <w:ind w:left="0" w:firstLine="0"/>
        <w:rPr>
          <w:rFonts w:ascii="Times New Roman" w:hAnsi="Times New Roman" w:cs="Times New Roman"/>
          <w:szCs w:val="20"/>
          <w:lang w:val="pt-PT"/>
        </w:rPr>
      </w:pPr>
    </w:p>
    <w:p w:rsidR="004455B9" w:rsidRDefault="004455B9" w:rsidP="0028090A">
      <w:pPr>
        <w:pStyle w:val="PSDS-MarcadoresNivel4"/>
        <w:tabs>
          <w:tab w:val="clear" w:pos="2271"/>
          <w:tab w:val="left" w:pos="720"/>
        </w:tabs>
        <w:spacing w:before="0" w:after="0"/>
        <w:ind w:left="0" w:firstLine="0"/>
        <w:rPr>
          <w:rFonts w:ascii="Times New Roman" w:hAnsi="Times New Roman" w:cs="Times New Roman"/>
          <w:szCs w:val="20"/>
          <w:lang w:val="pt-PT"/>
        </w:rPr>
      </w:pPr>
    </w:p>
    <w:p w:rsidR="00CC008B" w:rsidRDefault="00CC008B" w:rsidP="0028090A">
      <w:pPr>
        <w:pStyle w:val="PSDS-MarcadoresNivel4"/>
        <w:tabs>
          <w:tab w:val="clear" w:pos="2271"/>
          <w:tab w:val="left" w:pos="720"/>
        </w:tabs>
        <w:spacing w:before="0" w:after="0"/>
        <w:ind w:left="0" w:firstLine="0"/>
        <w:rPr>
          <w:rFonts w:ascii="Times New Roman" w:hAnsi="Times New Roman" w:cs="Times New Roman"/>
          <w:szCs w:val="20"/>
          <w:lang w:val="pt-PT"/>
        </w:rPr>
      </w:pPr>
    </w:p>
    <w:p w:rsidR="00CC008B" w:rsidRDefault="00CC008B" w:rsidP="0028090A">
      <w:pPr>
        <w:pStyle w:val="PSDS-MarcadoresNivel4"/>
        <w:tabs>
          <w:tab w:val="clear" w:pos="2271"/>
          <w:tab w:val="left" w:pos="720"/>
        </w:tabs>
        <w:spacing w:before="0" w:after="0"/>
        <w:ind w:left="0" w:firstLine="0"/>
        <w:rPr>
          <w:rFonts w:ascii="Times New Roman" w:hAnsi="Times New Roman" w:cs="Times New Roman"/>
          <w:szCs w:val="20"/>
          <w:lang w:val="pt-PT"/>
        </w:rPr>
      </w:pPr>
    </w:p>
    <w:p w:rsidR="00CC008B" w:rsidRDefault="00CC008B" w:rsidP="0028090A">
      <w:pPr>
        <w:pStyle w:val="PSDS-MarcadoresNivel4"/>
        <w:tabs>
          <w:tab w:val="clear" w:pos="2271"/>
          <w:tab w:val="left" w:pos="720"/>
        </w:tabs>
        <w:spacing w:before="0" w:after="0"/>
        <w:ind w:left="0" w:firstLine="0"/>
        <w:rPr>
          <w:rFonts w:ascii="Times New Roman" w:hAnsi="Times New Roman" w:cs="Times New Roman"/>
          <w:szCs w:val="20"/>
          <w:lang w:val="pt-PT"/>
        </w:rPr>
      </w:pPr>
    </w:p>
    <w:p w:rsidR="00CC008B" w:rsidRDefault="00CC008B" w:rsidP="0028090A">
      <w:pPr>
        <w:pStyle w:val="PSDS-MarcadoresNivel4"/>
        <w:tabs>
          <w:tab w:val="clear" w:pos="2271"/>
          <w:tab w:val="left" w:pos="720"/>
        </w:tabs>
        <w:spacing w:before="0" w:after="0"/>
        <w:ind w:left="0" w:firstLine="0"/>
        <w:rPr>
          <w:rFonts w:ascii="Times New Roman" w:hAnsi="Times New Roman" w:cs="Times New Roman"/>
          <w:szCs w:val="20"/>
          <w:lang w:val="pt-PT"/>
        </w:rPr>
      </w:pPr>
    </w:p>
    <w:p w:rsidR="00CC008B" w:rsidRDefault="00CC008B" w:rsidP="0028090A">
      <w:pPr>
        <w:pStyle w:val="PSDS-MarcadoresNivel4"/>
        <w:tabs>
          <w:tab w:val="clear" w:pos="2271"/>
          <w:tab w:val="left" w:pos="720"/>
        </w:tabs>
        <w:spacing w:before="0" w:after="0"/>
        <w:ind w:left="0" w:firstLine="0"/>
        <w:rPr>
          <w:rFonts w:ascii="Times New Roman" w:hAnsi="Times New Roman" w:cs="Times New Roman"/>
          <w:szCs w:val="20"/>
          <w:lang w:val="pt-PT"/>
        </w:rPr>
      </w:pPr>
    </w:p>
    <w:p w:rsidR="00CC008B" w:rsidRDefault="00CC008B" w:rsidP="0028090A">
      <w:pPr>
        <w:pStyle w:val="PSDS-MarcadoresNivel4"/>
        <w:tabs>
          <w:tab w:val="clear" w:pos="2271"/>
          <w:tab w:val="left" w:pos="720"/>
        </w:tabs>
        <w:spacing w:before="0" w:after="0"/>
        <w:ind w:left="0" w:firstLine="0"/>
        <w:rPr>
          <w:rFonts w:ascii="Times New Roman" w:hAnsi="Times New Roman" w:cs="Times New Roman"/>
          <w:szCs w:val="20"/>
          <w:lang w:val="pt-PT"/>
        </w:rPr>
      </w:pPr>
    </w:p>
    <w:p w:rsidR="00CC008B" w:rsidRDefault="00CC008B" w:rsidP="0028090A">
      <w:pPr>
        <w:pStyle w:val="PSDS-MarcadoresNivel4"/>
        <w:tabs>
          <w:tab w:val="clear" w:pos="2271"/>
          <w:tab w:val="left" w:pos="720"/>
        </w:tabs>
        <w:spacing w:before="0" w:after="0"/>
        <w:ind w:left="0" w:firstLine="0"/>
        <w:rPr>
          <w:rFonts w:ascii="Times New Roman" w:hAnsi="Times New Roman" w:cs="Times New Roman"/>
          <w:szCs w:val="20"/>
          <w:lang w:val="pt-PT"/>
        </w:rPr>
      </w:pPr>
    </w:p>
    <w:p w:rsidR="00CC008B" w:rsidRDefault="00CC008B" w:rsidP="0028090A">
      <w:pPr>
        <w:pStyle w:val="PSDS-MarcadoresNivel4"/>
        <w:tabs>
          <w:tab w:val="clear" w:pos="2271"/>
          <w:tab w:val="left" w:pos="720"/>
        </w:tabs>
        <w:spacing w:before="0" w:after="0"/>
        <w:ind w:left="0" w:firstLine="0"/>
        <w:rPr>
          <w:rFonts w:ascii="Times New Roman" w:hAnsi="Times New Roman" w:cs="Times New Roman"/>
          <w:szCs w:val="20"/>
          <w:lang w:val="pt-PT"/>
        </w:rPr>
      </w:pPr>
    </w:p>
    <w:p w:rsidR="00CC008B" w:rsidRDefault="00CC008B" w:rsidP="0028090A">
      <w:pPr>
        <w:pStyle w:val="PSDS-MarcadoresNivel4"/>
        <w:tabs>
          <w:tab w:val="clear" w:pos="2271"/>
          <w:tab w:val="left" w:pos="720"/>
        </w:tabs>
        <w:spacing w:before="0" w:after="0"/>
        <w:ind w:left="0" w:firstLine="0"/>
        <w:rPr>
          <w:rFonts w:ascii="Times New Roman" w:hAnsi="Times New Roman" w:cs="Times New Roman"/>
          <w:szCs w:val="20"/>
          <w:lang w:val="pt-PT"/>
        </w:rPr>
      </w:pPr>
    </w:p>
    <w:p w:rsidR="00CC008B" w:rsidRDefault="00CC008B" w:rsidP="0028090A">
      <w:pPr>
        <w:pStyle w:val="PSDS-MarcadoresNivel4"/>
        <w:tabs>
          <w:tab w:val="clear" w:pos="2271"/>
          <w:tab w:val="left" w:pos="720"/>
        </w:tabs>
        <w:spacing w:before="0" w:after="0"/>
        <w:ind w:left="0" w:firstLine="0"/>
        <w:rPr>
          <w:rFonts w:ascii="Times New Roman" w:hAnsi="Times New Roman" w:cs="Times New Roman"/>
          <w:szCs w:val="20"/>
          <w:lang w:val="pt-PT"/>
        </w:rPr>
      </w:pPr>
    </w:p>
    <w:p w:rsidR="00CC008B" w:rsidRDefault="00CC008B" w:rsidP="0028090A">
      <w:pPr>
        <w:pStyle w:val="PSDS-MarcadoresNivel4"/>
        <w:tabs>
          <w:tab w:val="clear" w:pos="2271"/>
          <w:tab w:val="left" w:pos="720"/>
        </w:tabs>
        <w:spacing w:before="0" w:after="0"/>
        <w:ind w:left="0" w:firstLine="0"/>
        <w:rPr>
          <w:rFonts w:ascii="Times New Roman" w:hAnsi="Times New Roman" w:cs="Times New Roman"/>
          <w:szCs w:val="20"/>
          <w:lang w:val="pt-PT"/>
        </w:rPr>
      </w:pPr>
    </w:p>
    <w:p w:rsidR="00CC008B" w:rsidRDefault="00CC008B" w:rsidP="0028090A">
      <w:pPr>
        <w:pStyle w:val="PSDS-MarcadoresNivel4"/>
        <w:tabs>
          <w:tab w:val="clear" w:pos="2271"/>
          <w:tab w:val="left" w:pos="720"/>
        </w:tabs>
        <w:spacing w:before="0" w:after="0"/>
        <w:ind w:left="0" w:firstLine="0"/>
        <w:rPr>
          <w:rFonts w:ascii="Times New Roman" w:hAnsi="Times New Roman" w:cs="Times New Roman"/>
          <w:szCs w:val="20"/>
          <w:lang w:val="pt-PT"/>
        </w:rPr>
      </w:pPr>
    </w:p>
    <w:p w:rsidR="00CC008B" w:rsidRDefault="00CC008B" w:rsidP="0028090A">
      <w:pPr>
        <w:pStyle w:val="PSDS-MarcadoresNivel4"/>
        <w:tabs>
          <w:tab w:val="clear" w:pos="2271"/>
          <w:tab w:val="left" w:pos="720"/>
        </w:tabs>
        <w:spacing w:before="0" w:after="0"/>
        <w:ind w:left="0" w:firstLine="0"/>
        <w:rPr>
          <w:rFonts w:ascii="Times New Roman" w:hAnsi="Times New Roman" w:cs="Times New Roman"/>
          <w:szCs w:val="20"/>
          <w:lang w:val="pt-PT"/>
        </w:rPr>
      </w:pPr>
    </w:p>
    <w:p w:rsidR="00CC008B" w:rsidRDefault="00CC008B" w:rsidP="0028090A">
      <w:pPr>
        <w:pStyle w:val="PSDS-MarcadoresNivel4"/>
        <w:tabs>
          <w:tab w:val="clear" w:pos="2271"/>
          <w:tab w:val="left" w:pos="720"/>
        </w:tabs>
        <w:spacing w:before="0" w:after="0"/>
        <w:ind w:left="0" w:firstLine="0"/>
        <w:rPr>
          <w:rFonts w:ascii="Times New Roman" w:hAnsi="Times New Roman" w:cs="Times New Roman"/>
          <w:szCs w:val="20"/>
          <w:lang w:val="pt-PT"/>
        </w:rPr>
      </w:pPr>
    </w:p>
    <w:p w:rsidR="00CC008B" w:rsidRDefault="00CC008B" w:rsidP="0028090A">
      <w:pPr>
        <w:pStyle w:val="PSDS-MarcadoresNivel4"/>
        <w:tabs>
          <w:tab w:val="clear" w:pos="2271"/>
          <w:tab w:val="left" w:pos="720"/>
        </w:tabs>
        <w:spacing w:before="0" w:after="0"/>
        <w:ind w:left="0" w:firstLine="0"/>
        <w:rPr>
          <w:rFonts w:ascii="Times New Roman" w:hAnsi="Times New Roman" w:cs="Times New Roman"/>
          <w:szCs w:val="20"/>
          <w:lang w:val="pt-PT"/>
        </w:rPr>
      </w:pPr>
    </w:p>
    <w:p w:rsidR="00CC008B" w:rsidRDefault="00CC008B" w:rsidP="0028090A">
      <w:pPr>
        <w:pStyle w:val="PSDS-MarcadoresNivel4"/>
        <w:tabs>
          <w:tab w:val="clear" w:pos="2271"/>
          <w:tab w:val="left" w:pos="720"/>
        </w:tabs>
        <w:spacing w:before="0" w:after="0"/>
        <w:ind w:left="0" w:firstLine="0"/>
        <w:rPr>
          <w:rFonts w:ascii="Times New Roman" w:hAnsi="Times New Roman" w:cs="Times New Roman"/>
          <w:szCs w:val="20"/>
          <w:lang w:val="pt-PT"/>
        </w:rPr>
      </w:pPr>
    </w:p>
    <w:p w:rsidR="00CC008B" w:rsidRDefault="00CC008B" w:rsidP="0028090A">
      <w:pPr>
        <w:pStyle w:val="PSDS-MarcadoresNivel4"/>
        <w:tabs>
          <w:tab w:val="clear" w:pos="2271"/>
          <w:tab w:val="left" w:pos="720"/>
        </w:tabs>
        <w:spacing w:before="0" w:after="0"/>
        <w:ind w:left="0" w:firstLine="0"/>
        <w:rPr>
          <w:rFonts w:ascii="Times New Roman" w:hAnsi="Times New Roman" w:cs="Times New Roman"/>
          <w:szCs w:val="20"/>
          <w:lang w:val="pt-PT"/>
        </w:rPr>
      </w:pPr>
    </w:p>
    <w:p w:rsidR="00CC008B" w:rsidRDefault="00CC008B" w:rsidP="0028090A">
      <w:pPr>
        <w:pStyle w:val="PSDS-MarcadoresNivel4"/>
        <w:tabs>
          <w:tab w:val="clear" w:pos="2271"/>
          <w:tab w:val="left" w:pos="720"/>
        </w:tabs>
        <w:spacing w:before="0" w:after="0"/>
        <w:ind w:left="0" w:firstLine="0"/>
        <w:rPr>
          <w:rFonts w:ascii="Times New Roman" w:hAnsi="Times New Roman" w:cs="Times New Roman"/>
          <w:szCs w:val="20"/>
          <w:lang w:val="pt-PT"/>
        </w:rPr>
      </w:pPr>
    </w:p>
    <w:p w:rsidR="00CC008B" w:rsidRDefault="00CC008B" w:rsidP="0028090A">
      <w:pPr>
        <w:pStyle w:val="PSDS-MarcadoresNivel4"/>
        <w:tabs>
          <w:tab w:val="clear" w:pos="2271"/>
          <w:tab w:val="left" w:pos="720"/>
        </w:tabs>
        <w:spacing w:before="0" w:after="0"/>
        <w:ind w:left="0" w:firstLine="0"/>
        <w:rPr>
          <w:rFonts w:ascii="Times New Roman" w:hAnsi="Times New Roman" w:cs="Times New Roman"/>
          <w:szCs w:val="20"/>
          <w:lang w:val="pt-PT"/>
        </w:rPr>
      </w:pPr>
    </w:p>
    <w:p w:rsidR="00CC008B" w:rsidRDefault="00CC008B" w:rsidP="0028090A">
      <w:pPr>
        <w:pStyle w:val="PSDS-MarcadoresNivel4"/>
        <w:tabs>
          <w:tab w:val="clear" w:pos="2271"/>
          <w:tab w:val="left" w:pos="720"/>
        </w:tabs>
        <w:spacing w:before="0" w:after="0"/>
        <w:ind w:left="0" w:firstLine="0"/>
        <w:rPr>
          <w:rFonts w:ascii="Times New Roman" w:hAnsi="Times New Roman" w:cs="Times New Roman"/>
          <w:szCs w:val="20"/>
          <w:lang w:val="pt-PT"/>
        </w:rPr>
      </w:pPr>
    </w:p>
    <w:p w:rsidR="00CC008B" w:rsidRDefault="00B35FA3" w:rsidP="00CC008B">
      <w:pPr>
        <w:pStyle w:val="PSDS-MarcadoresNivel4"/>
        <w:tabs>
          <w:tab w:val="clear" w:pos="2271"/>
          <w:tab w:val="left" w:pos="720"/>
        </w:tabs>
        <w:spacing w:before="0" w:after="0"/>
        <w:ind w:left="0" w:firstLine="0"/>
        <w:jc w:val="center"/>
        <w:rPr>
          <w:rFonts w:ascii="Times New Roman" w:hAnsi="Times New Roman" w:cs="Times New Roman"/>
          <w:szCs w:val="20"/>
          <w:lang w:val="pt-PT"/>
        </w:rPr>
      </w:pPr>
      <w:r>
        <w:rPr>
          <w:rFonts w:ascii="Times New Roman" w:hAnsi="Times New Roman" w:cs="Times New Roman"/>
          <w:szCs w:val="20"/>
          <w:lang w:val="pt-PT"/>
        </w:rPr>
        <w:object w:dxaOrig="14835" w:dyaOrig="7935">
          <v:shape id="_x0000_i2001" type="#_x0000_t75" style="width:792.75pt;height:380.25pt" o:ole="">
            <v:imagedata r:id="rId767" o:title=""/>
          </v:shape>
          <o:OLEObject Type="Link" ProgID="Excel.Sheet.12" ShapeID="_x0000_i2001" DrawAspect="Content" r:id="rId768" UpdateMode="Always">
            <o:LinkType>EnhancedMetaFile</o:LinkType>
            <o:LockedField>false</o:LockedField>
          </o:OLEObject>
        </w:object>
      </w:r>
    </w:p>
    <w:p w:rsidR="004455B9" w:rsidRDefault="004455B9" w:rsidP="0028090A">
      <w:pPr>
        <w:pStyle w:val="PSDS-MarcadoresNivel4"/>
        <w:tabs>
          <w:tab w:val="clear" w:pos="2271"/>
          <w:tab w:val="left" w:pos="720"/>
        </w:tabs>
        <w:spacing w:before="0" w:after="0"/>
        <w:ind w:left="0" w:firstLine="0"/>
        <w:rPr>
          <w:rFonts w:ascii="Times New Roman" w:hAnsi="Times New Roman" w:cs="Times New Roman"/>
          <w:szCs w:val="20"/>
          <w:lang w:val="pt-PT"/>
        </w:rPr>
      </w:pPr>
    </w:p>
    <w:p w:rsidR="004455B9" w:rsidRDefault="004455B9" w:rsidP="0028090A">
      <w:pPr>
        <w:pStyle w:val="PSDS-MarcadoresNivel4"/>
        <w:tabs>
          <w:tab w:val="clear" w:pos="2271"/>
          <w:tab w:val="left" w:pos="720"/>
        </w:tabs>
        <w:spacing w:before="0" w:after="0"/>
        <w:ind w:left="0" w:firstLine="0"/>
        <w:rPr>
          <w:rFonts w:ascii="Times New Roman" w:hAnsi="Times New Roman" w:cs="Times New Roman"/>
          <w:szCs w:val="20"/>
          <w:lang w:val="pt-PT"/>
        </w:rPr>
      </w:pPr>
    </w:p>
    <w:p w:rsidR="004455B9" w:rsidRDefault="004455B9" w:rsidP="0028090A">
      <w:pPr>
        <w:pStyle w:val="PSDS-MarcadoresNivel4"/>
        <w:tabs>
          <w:tab w:val="clear" w:pos="2271"/>
          <w:tab w:val="left" w:pos="720"/>
        </w:tabs>
        <w:spacing w:before="0" w:after="0"/>
        <w:ind w:left="0" w:firstLine="0"/>
        <w:rPr>
          <w:rFonts w:ascii="Times New Roman" w:hAnsi="Times New Roman" w:cs="Times New Roman"/>
          <w:szCs w:val="20"/>
          <w:lang w:val="pt-PT"/>
        </w:rPr>
      </w:pPr>
    </w:p>
    <w:p w:rsidR="004455B9" w:rsidRDefault="004455B9" w:rsidP="0028090A">
      <w:pPr>
        <w:pStyle w:val="PSDS-MarcadoresNivel4"/>
        <w:tabs>
          <w:tab w:val="clear" w:pos="2271"/>
          <w:tab w:val="left" w:pos="720"/>
        </w:tabs>
        <w:spacing w:before="0" w:after="0"/>
        <w:ind w:left="0" w:firstLine="0"/>
        <w:rPr>
          <w:rFonts w:ascii="Times New Roman" w:hAnsi="Times New Roman" w:cs="Times New Roman"/>
          <w:szCs w:val="20"/>
          <w:lang w:val="pt-PT"/>
        </w:rPr>
      </w:pPr>
    </w:p>
    <w:p w:rsidR="004455B9" w:rsidRDefault="004455B9" w:rsidP="0028090A">
      <w:pPr>
        <w:pStyle w:val="PSDS-MarcadoresNivel4"/>
        <w:tabs>
          <w:tab w:val="clear" w:pos="2271"/>
          <w:tab w:val="left" w:pos="720"/>
        </w:tabs>
        <w:spacing w:before="0" w:after="0"/>
        <w:ind w:left="0" w:firstLine="0"/>
        <w:rPr>
          <w:rFonts w:ascii="Times New Roman" w:hAnsi="Times New Roman" w:cs="Times New Roman"/>
          <w:szCs w:val="20"/>
          <w:lang w:val="pt-PT"/>
        </w:rPr>
      </w:pPr>
    </w:p>
    <w:p w:rsidR="004455B9" w:rsidRDefault="004455B9" w:rsidP="0028090A">
      <w:pPr>
        <w:pStyle w:val="PSDS-MarcadoresNivel4"/>
        <w:tabs>
          <w:tab w:val="clear" w:pos="2271"/>
          <w:tab w:val="left" w:pos="720"/>
        </w:tabs>
        <w:spacing w:before="0" w:after="0"/>
        <w:ind w:left="0" w:firstLine="0"/>
        <w:rPr>
          <w:rFonts w:ascii="Times New Roman" w:hAnsi="Times New Roman" w:cs="Times New Roman"/>
          <w:szCs w:val="20"/>
          <w:lang w:val="pt-PT"/>
        </w:rPr>
      </w:pPr>
    </w:p>
    <w:p w:rsidR="004455B9" w:rsidRDefault="004455B9" w:rsidP="0028090A">
      <w:pPr>
        <w:pStyle w:val="PSDS-MarcadoresNivel4"/>
        <w:tabs>
          <w:tab w:val="clear" w:pos="2271"/>
          <w:tab w:val="left" w:pos="720"/>
        </w:tabs>
        <w:spacing w:before="0" w:after="0"/>
        <w:ind w:left="0" w:firstLine="0"/>
        <w:rPr>
          <w:rFonts w:ascii="Times New Roman" w:hAnsi="Times New Roman" w:cs="Times New Roman"/>
          <w:szCs w:val="20"/>
          <w:lang w:val="pt-PT"/>
        </w:rPr>
      </w:pPr>
    </w:p>
    <w:p w:rsidR="004455B9" w:rsidRDefault="00B35FA3" w:rsidP="0053782C">
      <w:pPr>
        <w:pStyle w:val="PSDS-MarcadoresNivel4"/>
        <w:tabs>
          <w:tab w:val="clear" w:pos="2271"/>
          <w:tab w:val="left" w:pos="720"/>
        </w:tabs>
        <w:spacing w:before="0" w:after="0"/>
        <w:ind w:left="0" w:firstLine="0"/>
        <w:jc w:val="center"/>
        <w:rPr>
          <w:rFonts w:ascii="Times New Roman" w:hAnsi="Times New Roman" w:cs="Times New Roman"/>
          <w:szCs w:val="20"/>
          <w:lang w:val="pt-PT"/>
        </w:rPr>
      </w:pPr>
      <w:r>
        <w:rPr>
          <w:rFonts w:ascii="Times New Roman" w:hAnsi="Times New Roman" w:cs="Times New Roman"/>
          <w:szCs w:val="20"/>
          <w:lang w:val="pt-PT"/>
        </w:rPr>
        <w:object w:dxaOrig="14835" w:dyaOrig="7695">
          <v:shape id="_x0000_i2003" type="#_x0000_t75" style="width:792.75pt;height:374.25pt" o:ole="">
            <v:imagedata r:id="rId769" o:title=""/>
          </v:shape>
          <o:OLEObject Type="Link" ProgID="Excel.Sheet.12" ShapeID="_x0000_i2003" DrawAspect="Content" r:id="rId770" UpdateMode="Always">
            <o:LinkType>EnhancedMetaFile</o:LinkType>
            <o:LockedField>false</o:LockedField>
          </o:OLEObject>
        </w:object>
      </w:r>
    </w:p>
    <w:p w:rsidR="004455B9" w:rsidRDefault="004455B9" w:rsidP="0028090A">
      <w:pPr>
        <w:pStyle w:val="PSDS-MarcadoresNivel4"/>
        <w:tabs>
          <w:tab w:val="clear" w:pos="2271"/>
          <w:tab w:val="left" w:pos="720"/>
        </w:tabs>
        <w:spacing w:before="0" w:after="0"/>
        <w:ind w:left="0" w:firstLine="0"/>
        <w:rPr>
          <w:rFonts w:ascii="Times New Roman" w:hAnsi="Times New Roman" w:cs="Times New Roman"/>
          <w:szCs w:val="20"/>
          <w:lang w:val="pt-PT"/>
        </w:rPr>
      </w:pPr>
    </w:p>
    <w:p w:rsidR="004455B9" w:rsidRDefault="004455B9" w:rsidP="0028090A">
      <w:pPr>
        <w:pStyle w:val="PSDS-MarcadoresNivel4"/>
        <w:tabs>
          <w:tab w:val="clear" w:pos="2271"/>
          <w:tab w:val="left" w:pos="720"/>
        </w:tabs>
        <w:spacing w:before="0" w:after="0"/>
        <w:ind w:left="0" w:firstLine="0"/>
        <w:rPr>
          <w:rFonts w:ascii="Times New Roman" w:hAnsi="Times New Roman" w:cs="Times New Roman"/>
          <w:szCs w:val="20"/>
          <w:lang w:val="pt-PT"/>
        </w:rPr>
      </w:pPr>
    </w:p>
    <w:p w:rsidR="004455B9" w:rsidRDefault="004455B9" w:rsidP="0028090A">
      <w:pPr>
        <w:pStyle w:val="PSDS-MarcadoresNivel4"/>
        <w:tabs>
          <w:tab w:val="clear" w:pos="2271"/>
          <w:tab w:val="left" w:pos="720"/>
        </w:tabs>
        <w:spacing w:before="0" w:after="0"/>
        <w:ind w:left="0" w:firstLine="0"/>
        <w:rPr>
          <w:rFonts w:ascii="Times New Roman" w:hAnsi="Times New Roman" w:cs="Times New Roman"/>
          <w:szCs w:val="20"/>
          <w:lang w:val="pt-PT"/>
        </w:rPr>
      </w:pPr>
    </w:p>
    <w:p w:rsidR="004455B9" w:rsidRDefault="004455B9" w:rsidP="0028090A">
      <w:pPr>
        <w:pStyle w:val="PSDS-MarcadoresNivel4"/>
        <w:tabs>
          <w:tab w:val="clear" w:pos="2271"/>
          <w:tab w:val="left" w:pos="720"/>
        </w:tabs>
        <w:spacing w:before="0" w:after="0"/>
        <w:ind w:left="0" w:firstLine="0"/>
        <w:rPr>
          <w:rFonts w:ascii="Times New Roman" w:hAnsi="Times New Roman" w:cs="Times New Roman"/>
          <w:szCs w:val="20"/>
          <w:lang w:val="pt-PT"/>
        </w:rPr>
      </w:pPr>
    </w:p>
    <w:p w:rsidR="004455B9" w:rsidRDefault="004455B9" w:rsidP="0028090A">
      <w:pPr>
        <w:pStyle w:val="PSDS-MarcadoresNivel4"/>
        <w:tabs>
          <w:tab w:val="clear" w:pos="2271"/>
          <w:tab w:val="left" w:pos="720"/>
        </w:tabs>
        <w:spacing w:before="0" w:after="0"/>
        <w:ind w:left="0" w:firstLine="0"/>
        <w:rPr>
          <w:rFonts w:ascii="Times New Roman" w:hAnsi="Times New Roman" w:cs="Times New Roman"/>
          <w:szCs w:val="20"/>
          <w:lang w:val="pt-PT"/>
        </w:rPr>
      </w:pPr>
    </w:p>
    <w:p w:rsidR="004455B9" w:rsidRDefault="004455B9" w:rsidP="0028090A">
      <w:pPr>
        <w:pStyle w:val="PSDS-MarcadoresNivel4"/>
        <w:tabs>
          <w:tab w:val="clear" w:pos="2271"/>
          <w:tab w:val="left" w:pos="720"/>
        </w:tabs>
        <w:spacing w:before="0" w:after="0"/>
        <w:ind w:left="0" w:firstLine="0"/>
        <w:rPr>
          <w:rFonts w:ascii="Times New Roman" w:hAnsi="Times New Roman" w:cs="Times New Roman"/>
          <w:szCs w:val="20"/>
          <w:lang w:val="pt-PT"/>
        </w:rPr>
      </w:pPr>
    </w:p>
    <w:p w:rsidR="004455B9" w:rsidRDefault="004455B9" w:rsidP="0028090A">
      <w:pPr>
        <w:pStyle w:val="PSDS-MarcadoresNivel4"/>
        <w:tabs>
          <w:tab w:val="clear" w:pos="2271"/>
          <w:tab w:val="left" w:pos="720"/>
        </w:tabs>
        <w:spacing w:before="0" w:after="0"/>
        <w:ind w:left="0" w:firstLine="0"/>
        <w:rPr>
          <w:rFonts w:ascii="Times New Roman" w:hAnsi="Times New Roman" w:cs="Times New Roman"/>
          <w:szCs w:val="20"/>
          <w:lang w:val="pt-PT"/>
        </w:rPr>
      </w:pPr>
    </w:p>
    <w:p w:rsidR="004455B9" w:rsidRDefault="004455B9" w:rsidP="0028090A">
      <w:pPr>
        <w:pStyle w:val="PSDS-MarcadoresNivel4"/>
        <w:tabs>
          <w:tab w:val="clear" w:pos="2271"/>
          <w:tab w:val="left" w:pos="720"/>
        </w:tabs>
        <w:spacing w:before="0" w:after="0"/>
        <w:ind w:left="0" w:firstLine="0"/>
        <w:rPr>
          <w:rFonts w:ascii="Times New Roman" w:hAnsi="Times New Roman" w:cs="Times New Roman"/>
          <w:szCs w:val="20"/>
          <w:lang w:val="pt-PT"/>
        </w:rPr>
      </w:pPr>
    </w:p>
    <w:p w:rsidR="004455B9" w:rsidRDefault="00B35FA3" w:rsidP="0053782C">
      <w:pPr>
        <w:pStyle w:val="PSDS-MarcadoresNivel4"/>
        <w:tabs>
          <w:tab w:val="clear" w:pos="2271"/>
          <w:tab w:val="left" w:pos="720"/>
        </w:tabs>
        <w:spacing w:before="0" w:after="0"/>
        <w:ind w:left="0" w:firstLine="0"/>
        <w:jc w:val="center"/>
        <w:rPr>
          <w:rFonts w:ascii="Times New Roman" w:hAnsi="Times New Roman" w:cs="Times New Roman"/>
          <w:szCs w:val="20"/>
          <w:lang w:val="pt-PT"/>
        </w:rPr>
      </w:pPr>
      <w:r>
        <w:rPr>
          <w:rFonts w:ascii="Times New Roman" w:hAnsi="Times New Roman" w:cs="Times New Roman"/>
          <w:szCs w:val="20"/>
          <w:lang w:val="pt-PT"/>
        </w:rPr>
        <w:object w:dxaOrig="14835" w:dyaOrig="5145">
          <v:shape id="_x0000_i2005" type="#_x0000_t75" style="width:792.75pt;height:249pt" o:ole="">
            <v:imagedata r:id="rId771" o:title=""/>
          </v:shape>
          <o:OLEObject Type="Link" ProgID="Excel.Sheet.12" ShapeID="_x0000_i2005" DrawAspect="Content" r:id="rId772" UpdateMode="Always">
            <o:LinkType>EnhancedMetaFile</o:LinkType>
            <o:LockedField>false</o:LockedField>
          </o:OLEObject>
        </w:object>
      </w:r>
    </w:p>
    <w:p w:rsidR="004455B9" w:rsidRDefault="004455B9" w:rsidP="0028090A">
      <w:pPr>
        <w:pStyle w:val="PSDS-MarcadoresNivel4"/>
        <w:tabs>
          <w:tab w:val="clear" w:pos="2271"/>
          <w:tab w:val="left" w:pos="720"/>
        </w:tabs>
        <w:spacing w:before="0" w:after="0"/>
        <w:ind w:left="0" w:firstLine="0"/>
        <w:rPr>
          <w:rFonts w:ascii="Times New Roman" w:hAnsi="Times New Roman" w:cs="Times New Roman"/>
          <w:szCs w:val="20"/>
          <w:lang w:val="pt-PT"/>
        </w:rPr>
      </w:pPr>
    </w:p>
    <w:p w:rsidR="0028090A" w:rsidRPr="00FA3856" w:rsidRDefault="0028090A" w:rsidP="0028090A">
      <w:pPr>
        <w:pStyle w:val="PSDS-MarcadoresNivel4"/>
        <w:tabs>
          <w:tab w:val="clear" w:pos="2271"/>
          <w:tab w:val="left" w:pos="720"/>
        </w:tabs>
        <w:spacing w:before="0" w:after="0"/>
        <w:ind w:left="0" w:firstLine="0"/>
        <w:rPr>
          <w:rFonts w:ascii="Times New Roman" w:hAnsi="Times New Roman" w:cs="Times New Roman"/>
          <w:szCs w:val="20"/>
          <w:lang w:val="pt-PT"/>
        </w:rPr>
      </w:pPr>
      <w:r w:rsidRPr="00FA3856">
        <w:rPr>
          <w:rFonts w:ascii="Times New Roman" w:hAnsi="Times New Roman" w:cs="Times New Roman"/>
          <w:szCs w:val="20"/>
          <w:lang w:val="pt-PT"/>
        </w:rPr>
        <w:t>I – Regra de Validação de Registro:</w:t>
      </w:r>
    </w:p>
    <w:p w:rsidR="0028090A" w:rsidRPr="00FA3856" w:rsidRDefault="0028090A" w:rsidP="0028090A">
      <w:pPr>
        <w:pStyle w:val="PSDS-MarcadoresNivel4"/>
        <w:tabs>
          <w:tab w:val="clear" w:pos="2271"/>
          <w:tab w:val="left" w:pos="720"/>
        </w:tabs>
        <w:spacing w:before="0" w:after="0"/>
        <w:ind w:left="0" w:firstLine="0"/>
        <w:rPr>
          <w:rFonts w:ascii="Times New Roman" w:hAnsi="Times New Roman" w:cs="Times New Roman"/>
          <w:szCs w:val="20"/>
          <w:lang w:val="pt-PT"/>
        </w:rPr>
      </w:pPr>
    </w:p>
    <w:p w:rsidR="0028090A" w:rsidRPr="00FA3856" w:rsidRDefault="0028090A" w:rsidP="0028090A">
      <w:pPr>
        <w:pStyle w:val="PSDS-MarcadoresNivel4"/>
        <w:tabs>
          <w:tab w:val="clear" w:pos="2271"/>
          <w:tab w:val="left" w:pos="720"/>
        </w:tabs>
        <w:spacing w:before="0" w:after="0"/>
        <w:ind w:left="0" w:firstLine="0"/>
        <w:rPr>
          <w:rFonts w:ascii="Times New Roman" w:hAnsi="Times New Roman" w:cs="Times New Roman"/>
          <w:b w:val="0"/>
          <w:szCs w:val="20"/>
          <w:lang w:val="pt-PT"/>
        </w:rPr>
      </w:pPr>
      <w:r w:rsidRPr="00FA3856">
        <w:rPr>
          <w:rFonts w:ascii="Times New Roman" w:hAnsi="Times New Roman" w:cs="Times New Roman"/>
          <w:szCs w:val="20"/>
          <w:lang w:val="pt-PT"/>
        </w:rPr>
        <w:tab/>
        <w:t xml:space="preserve">REGRA_CAMPOS_X430: </w:t>
      </w:r>
      <w:r w:rsidRPr="00FA3856">
        <w:rPr>
          <w:rFonts w:ascii="Times New Roman" w:hAnsi="Times New Roman" w:cs="Times New Roman"/>
          <w:b w:val="0"/>
          <w:szCs w:val="20"/>
          <w:lang w:val="pt-PT"/>
        </w:rPr>
        <w:t>Verifica se, pelo menos, um dos campos 3 a 8 está preenchido, quando os campos 1 e 2 estiverem preenchidos. Se a regra não cumprida, o sistema gera um erro.</w:t>
      </w:r>
    </w:p>
    <w:p w:rsidR="006671A6" w:rsidRPr="00FA3856" w:rsidRDefault="006671A6" w:rsidP="009C5217">
      <w:pPr>
        <w:pStyle w:val="Corpodetexto"/>
        <w:rPr>
          <w:rFonts w:ascii="Times New Roman" w:hAnsi="Times New Roman"/>
          <w:b/>
          <w:color w:val="002060"/>
          <w:szCs w:val="20"/>
        </w:rPr>
      </w:pPr>
    </w:p>
    <w:p w:rsidR="00571523" w:rsidRDefault="00571523">
      <w:pPr>
        <w:spacing w:after="200" w:line="276" w:lineRule="auto"/>
        <w:rPr>
          <w:b/>
          <w:color w:val="002060"/>
          <w:szCs w:val="20"/>
          <w:lang w:eastAsia="ar-SA"/>
        </w:rPr>
      </w:pPr>
      <w:r>
        <w:rPr>
          <w:b/>
          <w:color w:val="002060"/>
          <w:szCs w:val="20"/>
        </w:rPr>
        <w:br w:type="page"/>
      </w:r>
    </w:p>
    <w:p w:rsidR="004455B9" w:rsidRDefault="006671A6" w:rsidP="009C5217">
      <w:pPr>
        <w:pStyle w:val="Corpodetexto"/>
        <w:rPr>
          <w:rFonts w:ascii="Times New Roman" w:hAnsi="Times New Roman"/>
          <w:b/>
          <w:color w:val="002060"/>
          <w:szCs w:val="20"/>
        </w:rPr>
      </w:pPr>
      <w:r w:rsidRPr="00FA3856">
        <w:rPr>
          <w:rFonts w:ascii="Times New Roman" w:hAnsi="Times New Roman"/>
          <w:b/>
          <w:color w:val="002060"/>
          <w:szCs w:val="20"/>
        </w:rPr>
        <w:lastRenderedPageBreak/>
        <w:t xml:space="preserve">Exemplo de Preenchimento: </w:t>
      </w:r>
    </w:p>
    <w:p w:rsidR="004455B9" w:rsidRDefault="004455B9" w:rsidP="009C5217">
      <w:pPr>
        <w:pStyle w:val="Corpodetexto"/>
        <w:rPr>
          <w:rFonts w:ascii="Times New Roman" w:hAnsi="Times New Roman"/>
          <w:b/>
          <w:color w:val="002060"/>
          <w:szCs w:val="20"/>
        </w:rPr>
      </w:pPr>
    </w:p>
    <w:p w:rsidR="009C5217" w:rsidRPr="00FA3856" w:rsidRDefault="0028090A" w:rsidP="009C5217">
      <w:pPr>
        <w:pStyle w:val="Corpodetexto"/>
        <w:rPr>
          <w:rFonts w:ascii="Times New Roman" w:hAnsi="Times New Roman"/>
          <w:b/>
          <w:color w:val="002060"/>
          <w:szCs w:val="20"/>
        </w:rPr>
      </w:pPr>
      <w:r w:rsidRPr="00FA3856">
        <w:rPr>
          <w:rFonts w:ascii="Times New Roman" w:hAnsi="Times New Roman"/>
          <w:b/>
          <w:color w:val="002060"/>
          <w:szCs w:val="20"/>
        </w:rPr>
        <w:t>|X43</w:t>
      </w:r>
      <w:r w:rsidR="009C5217" w:rsidRPr="00FA3856">
        <w:rPr>
          <w:rFonts w:ascii="Times New Roman" w:hAnsi="Times New Roman"/>
          <w:b/>
          <w:color w:val="002060"/>
          <w:szCs w:val="20"/>
        </w:rPr>
        <w:t>0|105|50000,00|10000,00|5000,00|6000,00|7</w:t>
      </w:r>
      <w:r w:rsidRPr="00FA3856">
        <w:rPr>
          <w:rFonts w:ascii="Times New Roman" w:hAnsi="Times New Roman"/>
          <w:b/>
          <w:color w:val="002060"/>
          <w:szCs w:val="20"/>
        </w:rPr>
        <w:t>000,00|8000,00|</w:t>
      </w:r>
    </w:p>
    <w:p w:rsidR="009C5217" w:rsidRPr="00FA3856" w:rsidRDefault="0028090A" w:rsidP="009C5217">
      <w:pPr>
        <w:pStyle w:val="Corpodetexto"/>
        <w:ind w:firstLine="708"/>
        <w:rPr>
          <w:rFonts w:ascii="Times New Roman" w:hAnsi="Times New Roman"/>
          <w:color w:val="002060"/>
          <w:szCs w:val="20"/>
        </w:rPr>
      </w:pPr>
      <w:r w:rsidRPr="00FA3856">
        <w:rPr>
          <w:rFonts w:ascii="Times New Roman" w:hAnsi="Times New Roman"/>
          <w:color w:val="002060"/>
          <w:szCs w:val="20"/>
        </w:rPr>
        <w:t>|X43</w:t>
      </w:r>
      <w:r w:rsidR="009C5217" w:rsidRPr="00FA3856">
        <w:rPr>
          <w:rFonts w:ascii="Times New Roman" w:hAnsi="Times New Roman"/>
          <w:color w:val="002060"/>
          <w:szCs w:val="20"/>
        </w:rPr>
        <w:t>0|: Identificação do tipo do registro.</w:t>
      </w:r>
    </w:p>
    <w:p w:rsidR="009C5217" w:rsidRPr="00FA3856" w:rsidRDefault="009C5217" w:rsidP="009C5217">
      <w:pPr>
        <w:pStyle w:val="Corpodetexto"/>
        <w:ind w:firstLine="708"/>
        <w:rPr>
          <w:rFonts w:ascii="Times New Roman" w:hAnsi="Times New Roman"/>
          <w:color w:val="002060"/>
          <w:szCs w:val="20"/>
        </w:rPr>
      </w:pPr>
      <w:r w:rsidRPr="00FA3856">
        <w:rPr>
          <w:rFonts w:ascii="Times New Roman" w:hAnsi="Times New Roman"/>
          <w:color w:val="002060"/>
          <w:szCs w:val="20"/>
        </w:rPr>
        <w:t>|105|: Código do país (105 = Brasil).</w:t>
      </w:r>
    </w:p>
    <w:p w:rsidR="009C5217" w:rsidRPr="00FA3856" w:rsidRDefault="009C5217" w:rsidP="009C5217">
      <w:pPr>
        <w:pStyle w:val="Corpodetexto"/>
        <w:ind w:firstLine="708"/>
        <w:rPr>
          <w:rFonts w:ascii="Times New Roman" w:hAnsi="Times New Roman"/>
          <w:color w:val="002060"/>
          <w:szCs w:val="20"/>
        </w:rPr>
      </w:pPr>
      <w:r w:rsidRPr="00FA3856">
        <w:rPr>
          <w:rFonts w:ascii="Times New Roman" w:hAnsi="Times New Roman"/>
          <w:color w:val="002060"/>
          <w:szCs w:val="20"/>
        </w:rPr>
        <w:t xml:space="preserve">|50000,00|: </w:t>
      </w:r>
      <w:r w:rsidR="0028090A" w:rsidRPr="00FA3856">
        <w:rPr>
          <w:rFonts w:ascii="Times New Roman" w:hAnsi="Times New Roman"/>
          <w:color w:val="002060"/>
          <w:szCs w:val="20"/>
        </w:rPr>
        <w:t>Valor dos Serviços de Assistência Técnica, Científica, Administrativa e Assemelhados com Transferência de Tecnologia</w:t>
      </w:r>
      <w:r w:rsidRPr="00FA3856">
        <w:rPr>
          <w:rFonts w:ascii="Times New Roman" w:hAnsi="Times New Roman"/>
          <w:color w:val="002060"/>
          <w:szCs w:val="20"/>
        </w:rPr>
        <w:t xml:space="preserve"> (R$ 50.000,00).</w:t>
      </w:r>
    </w:p>
    <w:p w:rsidR="009C5217" w:rsidRPr="00FA3856" w:rsidRDefault="009C5217" w:rsidP="009C5217">
      <w:pPr>
        <w:pStyle w:val="Corpodetexto"/>
        <w:ind w:firstLine="708"/>
        <w:rPr>
          <w:rFonts w:ascii="Times New Roman" w:hAnsi="Times New Roman"/>
          <w:color w:val="002060"/>
          <w:szCs w:val="20"/>
        </w:rPr>
      </w:pPr>
      <w:r w:rsidRPr="00FA3856">
        <w:rPr>
          <w:rFonts w:ascii="Times New Roman" w:hAnsi="Times New Roman"/>
          <w:color w:val="002060"/>
          <w:szCs w:val="20"/>
        </w:rPr>
        <w:t xml:space="preserve">|10000,00|: </w:t>
      </w:r>
      <w:r w:rsidR="0028090A" w:rsidRPr="00FA3856">
        <w:rPr>
          <w:rFonts w:ascii="Times New Roman" w:hAnsi="Times New Roman"/>
          <w:color w:val="002060"/>
          <w:szCs w:val="20"/>
        </w:rPr>
        <w:t>Valor dos Serviços Técnicos e de Assistência sem Transferência de Tecnologia Prestados no Brasil</w:t>
      </w:r>
      <w:r w:rsidRPr="00FA3856">
        <w:rPr>
          <w:rFonts w:ascii="Times New Roman" w:hAnsi="Times New Roman"/>
          <w:color w:val="002060"/>
          <w:szCs w:val="20"/>
        </w:rPr>
        <w:t xml:space="preserve"> (R$ 10.000,00).</w:t>
      </w:r>
    </w:p>
    <w:p w:rsidR="009C5217" w:rsidRPr="00FA3856" w:rsidRDefault="009C5217" w:rsidP="009C5217">
      <w:pPr>
        <w:pStyle w:val="Corpodetexto"/>
        <w:ind w:firstLine="708"/>
        <w:rPr>
          <w:rFonts w:ascii="Times New Roman" w:hAnsi="Times New Roman"/>
          <w:color w:val="002060"/>
          <w:szCs w:val="20"/>
        </w:rPr>
      </w:pPr>
      <w:r w:rsidRPr="00FA3856">
        <w:rPr>
          <w:rFonts w:ascii="Times New Roman" w:hAnsi="Times New Roman"/>
          <w:color w:val="002060"/>
          <w:szCs w:val="20"/>
        </w:rPr>
        <w:t xml:space="preserve">|5000,00|: </w:t>
      </w:r>
      <w:r w:rsidR="0028090A" w:rsidRPr="00FA3856">
        <w:rPr>
          <w:rFonts w:ascii="Times New Roman" w:hAnsi="Times New Roman"/>
          <w:color w:val="002060"/>
          <w:szCs w:val="20"/>
        </w:rPr>
        <w:t xml:space="preserve">Valor dos Serviços Técnicos e de Assistência sem Transferência de Tecnologia Prestados no Exterior </w:t>
      </w:r>
      <w:r w:rsidRPr="00FA3856">
        <w:rPr>
          <w:rFonts w:ascii="Times New Roman" w:hAnsi="Times New Roman"/>
          <w:color w:val="002060"/>
          <w:szCs w:val="20"/>
        </w:rPr>
        <w:t>(R$ 5.000,00).</w:t>
      </w:r>
    </w:p>
    <w:p w:rsidR="009C5217" w:rsidRPr="00FA3856" w:rsidRDefault="009C5217" w:rsidP="009C5217">
      <w:pPr>
        <w:pStyle w:val="Corpodetexto"/>
        <w:ind w:firstLine="708"/>
        <w:rPr>
          <w:rFonts w:ascii="Times New Roman" w:hAnsi="Times New Roman"/>
          <w:color w:val="002060"/>
          <w:szCs w:val="20"/>
        </w:rPr>
      </w:pPr>
      <w:r w:rsidRPr="00FA3856">
        <w:rPr>
          <w:rFonts w:ascii="Times New Roman" w:hAnsi="Times New Roman"/>
          <w:color w:val="002060"/>
          <w:szCs w:val="20"/>
        </w:rPr>
        <w:t xml:space="preserve">|6000,00|: </w:t>
      </w:r>
      <w:r w:rsidR="0028090A" w:rsidRPr="00FA3856">
        <w:rPr>
          <w:rFonts w:ascii="Times New Roman" w:hAnsi="Times New Roman"/>
          <w:color w:val="002060"/>
          <w:szCs w:val="20"/>
        </w:rPr>
        <w:t>Valor dos Juros sobre o Capital Próprio</w:t>
      </w:r>
      <w:r w:rsidRPr="00FA3856">
        <w:rPr>
          <w:rFonts w:ascii="Times New Roman" w:hAnsi="Times New Roman"/>
          <w:color w:val="002060"/>
          <w:szCs w:val="20"/>
        </w:rPr>
        <w:t xml:space="preserve"> (R$ 6.000,00).</w:t>
      </w:r>
    </w:p>
    <w:p w:rsidR="009C5217" w:rsidRPr="00FA3856" w:rsidRDefault="009C5217" w:rsidP="009C5217">
      <w:pPr>
        <w:pStyle w:val="Corpodetexto"/>
        <w:ind w:firstLine="708"/>
        <w:rPr>
          <w:rFonts w:ascii="Times New Roman" w:hAnsi="Times New Roman"/>
          <w:color w:val="002060"/>
          <w:szCs w:val="20"/>
        </w:rPr>
      </w:pPr>
      <w:r w:rsidRPr="00FA3856">
        <w:rPr>
          <w:rFonts w:ascii="Times New Roman" w:hAnsi="Times New Roman"/>
          <w:color w:val="002060"/>
          <w:szCs w:val="20"/>
        </w:rPr>
        <w:t xml:space="preserve">|7000,00|: </w:t>
      </w:r>
      <w:r w:rsidR="0028090A" w:rsidRPr="00FA3856">
        <w:rPr>
          <w:rFonts w:ascii="Times New Roman" w:hAnsi="Times New Roman"/>
          <w:color w:val="002060"/>
          <w:szCs w:val="20"/>
        </w:rPr>
        <w:t xml:space="preserve">Valor dos Demais Juros </w:t>
      </w:r>
      <w:r w:rsidRPr="00FA3856">
        <w:rPr>
          <w:rFonts w:ascii="Times New Roman" w:hAnsi="Times New Roman"/>
          <w:color w:val="002060"/>
          <w:szCs w:val="20"/>
        </w:rPr>
        <w:t>(R$ 7.000,00).</w:t>
      </w:r>
    </w:p>
    <w:p w:rsidR="009C5217" w:rsidRPr="00FA3856" w:rsidRDefault="009C5217" w:rsidP="009C5217">
      <w:pPr>
        <w:pStyle w:val="Corpodetexto"/>
        <w:ind w:firstLine="708"/>
        <w:rPr>
          <w:rFonts w:ascii="Times New Roman" w:hAnsi="Times New Roman"/>
          <w:color w:val="002060"/>
          <w:szCs w:val="20"/>
        </w:rPr>
      </w:pPr>
      <w:r w:rsidRPr="00FA3856">
        <w:rPr>
          <w:rFonts w:ascii="Times New Roman" w:hAnsi="Times New Roman"/>
          <w:color w:val="002060"/>
          <w:szCs w:val="20"/>
        </w:rPr>
        <w:t xml:space="preserve">|8000,00|: </w:t>
      </w:r>
      <w:r w:rsidR="0028090A" w:rsidRPr="00FA3856">
        <w:rPr>
          <w:rFonts w:ascii="Times New Roman" w:hAnsi="Times New Roman"/>
          <w:color w:val="002060"/>
          <w:szCs w:val="20"/>
        </w:rPr>
        <w:t xml:space="preserve">Valor dos Dividendos </w:t>
      </w:r>
      <w:r w:rsidRPr="00FA3856">
        <w:rPr>
          <w:rFonts w:ascii="Times New Roman" w:hAnsi="Times New Roman"/>
          <w:color w:val="002060"/>
          <w:szCs w:val="20"/>
        </w:rPr>
        <w:t>(R$ 8.000,00).</w:t>
      </w:r>
    </w:p>
    <w:p w:rsidR="009C5217" w:rsidRPr="00FA3856" w:rsidRDefault="009C5217" w:rsidP="009C5217">
      <w:pPr>
        <w:pStyle w:val="PSDS-MarcadoresNivel4"/>
        <w:tabs>
          <w:tab w:val="clear" w:pos="2271"/>
          <w:tab w:val="left" w:pos="720"/>
        </w:tabs>
        <w:spacing w:before="0" w:after="0"/>
        <w:ind w:left="0" w:firstLine="0"/>
        <w:rPr>
          <w:rFonts w:ascii="Times New Roman" w:hAnsi="Times New Roman" w:cs="Times New Roman"/>
          <w:szCs w:val="20"/>
          <w:lang w:val="pt-PT"/>
        </w:rPr>
      </w:pPr>
    </w:p>
    <w:p w:rsidR="00165C60" w:rsidRPr="00FA3856" w:rsidRDefault="00165C60">
      <w:pPr>
        <w:rPr>
          <w:b/>
          <w:bCs/>
          <w:color w:val="0000FF"/>
          <w:szCs w:val="20"/>
        </w:rPr>
      </w:pPr>
      <w:r w:rsidRPr="00FA3856">
        <w:rPr>
          <w:color w:val="0000FF"/>
          <w:szCs w:val="20"/>
        </w:rPr>
        <w:br w:type="page"/>
      </w:r>
    </w:p>
    <w:p w:rsidR="00367F7C" w:rsidRPr="00FA3856" w:rsidRDefault="00367F7C" w:rsidP="00867F54">
      <w:pPr>
        <w:pStyle w:val="Ttulo4"/>
      </w:pPr>
      <w:bookmarkStart w:id="410" w:name="_Toc479713813"/>
      <w:r w:rsidRPr="00FA3856">
        <w:lastRenderedPageBreak/>
        <w:t>Registro X450: Pagamentos/Remessas Relativos a Serviços, Juros e Dividendos Recebidos do Brasil e do Exterior</w:t>
      </w:r>
      <w:bookmarkEnd w:id="410"/>
    </w:p>
    <w:p w:rsidR="00367F7C" w:rsidRPr="00FA3856" w:rsidRDefault="00367F7C" w:rsidP="00367F7C">
      <w:pPr>
        <w:rPr>
          <w:bCs/>
          <w:szCs w:val="20"/>
        </w:rPr>
      </w:pPr>
    </w:p>
    <w:p w:rsidR="00D44DA4" w:rsidRPr="00FA3856" w:rsidRDefault="00F7291B" w:rsidP="00F7291B">
      <w:pPr>
        <w:rPr>
          <w:bCs/>
          <w:szCs w:val="20"/>
        </w:rPr>
      </w:pPr>
      <w:r w:rsidRPr="00FA3856">
        <w:rPr>
          <w:bCs/>
          <w:szCs w:val="20"/>
        </w:rPr>
        <w:tab/>
        <w:t>Este registro</w:t>
      </w:r>
      <w:r w:rsidR="00D44DA4" w:rsidRPr="00FA3856">
        <w:rPr>
          <w:bCs/>
          <w:szCs w:val="20"/>
        </w:rPr>
        <w:t xml:space="preserve"> será </w:t>
      </w:r>
      <w:r w:rsidR="00AE7FBB" w:rsidRPr="00FA3856">
        <w:rPr>
          <w:bCs/>
          <w:szCs w:val="20"/>
        </w:rPr>
        <w:t>habilitado</w:t>
      </w:r>
      <w:r w:rsidR="00D44DA4" w:rsidRPr="00FA3856">
        <w:rPr>
          <w:bCs/>
          <w:szCs w:val="20"/>
        </w:rPr>
        <w:t xml:space="preserve"> somente para as pessoas jurídicas </w:t>
      </w:r>
      <w:r w:rsidR="008D7930" w:rsidRPr="00FA3856">
        <w:rPr>
          <w:bCs/>
          <w:szCs w:val="20"/>
        </w:rPr>
        <w:t xml:space="preserve">que, </w:t>
      </w:r>
      <w:r w:rsidR="00D44DA4" w:rsidRPr="00FA3856">
        <w:rPr>
          <w:bCs/>
          <w:szCs w:val="20"/>
        </w:rPr>
        <w:t>durante o ano-calendário</w:t>
      </w:r>
      <w:r w:rsidR="008D7930" w:rsidRPr="00FA3856">
        <w:rPr>
          <w:bCs/>
          <w:szCs w:val="20"/>
        </w:rPr>
        <w:t>, realizaram pagamentos/remessas</w:t>
      </w:r>
      <w:r w:rsidR="00D44DA4" w:rsidRPr="00FA3856">
        <w:rPr>
          <w:bCs/>
          <w:szCs w:val="20"/>
        </w:rPr>
        <w:t xml:space="preserve"> a pessoas físicas ou jurídicas, residentes ou domiciliadas no Brasil ou no exterior</w:t>
      </w:r>
      <w:r w:rsidR="000766D2" w:rsidRPr="00FA3856">
        <w:rPr>
          <w:bCs/>
          <w:szCs w:val="20"/>
        </w:rPr>
        <w:t xml:space="preserve"> (0020.</w:t>
      </w:r>
      <w:r w:rsidR="000766D2" w:rsidRPr="00FA3856">
        <w:rPr>
          <w:szCs w:val="20"/>
        </w:rPr>
        <w:t xml:space="preserve"> IND_PGTO_REM = “S”)</w:t>
      </w:r>
      <w:r w:rsidR="00D44DA4" w:rsidRPr="00FA3856">
        <w:rPr>
          <w:bCs/>
          <w:szCs w:val="20"/>
        </w:rPr>
        <w:t xml:space="preserve">, </w:t>
      </w:r>
      <w:r w:rsidR="008D7930" w:rsidRPr="00FA3856">
        <w:rPr>
          <w:bCs/>
          <w:szCs w:val="20"/>
        </w:rPr>
        <w:t xml:space="preserve">de </w:t>
      </w:r>
      <w:r w:rsidR="00D44DA4" w:rsidRPr="00FA3856">
        <w:rPr>
          <w:bCs/>
          <w:szCs w:val="20"/>
        </w:rPr>
        <w:t>valores relativos a:</w:t>
      </w:r>
    </w:p>
    <w:p w:rsidR="00F7291B" w:rsidRPr="00FA3856" w:rsidRDefault="00F7291B" w:rsidP="00F7291B">
      <w:pPr>
        <w:rPr>
          <w:bCs/>
          <w:szCs w:val="20"/>
        </w:rPr>
      </w:pPr>
    </w:p>
    <w:p w:rsidR="00D44DA4" w:rsidRPr="00FA3856" w:rsidRDefault="008D7930" w:rsidP="00D44DA4">
      <w:pPr>
        <w:jc w:val="both"/>
        <w:rPr>
          <w:bCs/>
          <w:szCs w:val="20"/>
        </w:rPr>
      </w:pPr>
      <w:r w:rsidRPr="00FA3856">
        <w:rPr>
          <w:bCs/>
          <w:szCs w:val="20"/>
        </w:rPr>
        <w:t>- S</w:t>
      </w:r>
      <w:r w:rsidR="00D44DA4" w:rsidRPr="00FA3856">
        <w:rPr>
          <w:bCs/>
          <w:szCs w:val="20"/>
        </w:rPr>
        <w:t>erviços de assistência técnica, científica, administrativa e semelhantes que impliquem transferência de tecnologia;</w:t>
      </w:r>
    </w:p>
    <w:p w:rsidR="00D44DA4" w:rsidRPr="00FA3856" w:rsidRDefault="008D7930" w:rsidP="00D44DA4">
      <w:pPr>
        <w:jc w:val="both"/>
        <w:rPr>
          <w:bCs/>
          <w:szCs w:val="20"/>
        </w:rPr>
      </w:pPr>
      <w:r w:rsidRPr="00FA3856">
        <w:rPr>
          <w:bCs/>
          <w:szCs w:val="20"/>
        </w:rPr>
        <w:t>- S</w:t>
      </w:r>
      <w:r w:rsidR="00D44DA4" w:rsidRPr="00FA3856">
        <w:rPr>
          <w:bCs/>
          <w:szCs w:val="20"/>
        </w:rPr>
        <w:t>erviços técnicos e de assistência que não impliquem transferência de tecnologia, prestados no Brasil ou no exterior;</w:t>
      </w:r>
    </w:p>
    <w:p w:rsidR="00D44DA4" w:rsidRPr="00FA3856" w:rsidRDefault="008D7930" w:rsidP="00D44DA4">
      <w:pPr>
        <w:jc w:val="both"/>
        <w:rPr>
          <w:bCs/>
          <w:szCs w:val="20"/>
        </w:rPr>
      </w:pPr>
      <w:r w:rsidRPr="00FA3856">
        <w:rPr>
          <w:bCs/>
          <w:szCs w:val="20"/>
        </w:rPr>
        <w:t>- J</w:t>
      </w:r>
      <w:r w:rsidR="00D44DA4" w:rsidRPr="00FA3856">
        <w:rPr>
          <w:bCs/>
          <w:szCs w:val="20"/>
        </w:rPr>
        <w:t>uros sobre capital próprio, bem como juros decorrentes de contratos de mútuo entre empresas ligadas e juros decorrentes de contratos de financiamento;</w:t>
      </w:r>
    </w:p>
    <w:p w:rsidR="00D44DA4" w:rsidRPr="00FA3856" w:rsidRDefault="008D7930" w:rsidP="00D44DA4">
      <w:pPr>
        <w:jc w:val="both"/>
        <w:rPr>
          <w:bCs/>
          <w:szCs w:val="20"/>
        </w:rPr>
      </w:pPr>
      <w:r w:rsidRPr="00FA3856">
        <w:rPr>
          <w:bCs/>
          <w:szCs w:val="20"/>
        </w:rPr>
        <w:t>- D</w:t>
      </w:r>
      <w:r w:rsidR="00D44DA4" w:rsidRPr="00FA3856">
        <w:rPr>
          <w:bCs/>
          <w:szCs w:val="20"/>
        </w:rPr>
        <w:t>ividendos decorrentes de participações em outras empresas.</w:t>
      </w:r>
    </w:p>
    <w:p w:rsidR="00DE2460" w:rsidRDefault="00DE2460" w:rsidP="00DE2460">
      <w:pPr>
        <w:jc w:val="both"/>
        <w:rPr>
          <w:b/>
          <w:bCs/>
          <w:szCs w:val="20"/>
        </w:rPr>
      </w:pPr>
    </w:p>
    <w:p w:rsidR="00D44DA4" w:rsidRDefault="008D7930" w:rsidP="00DE2460">
      <w:pPr>
        <w:ind w:firstLine="708"/>
        <w:jc w:val="both"/>
        <w:rPr>
          <w:bCs/>
          <w:szCs w:val="20"/>
        </w:rPr>
      </w:pPr>
      <w:r w:rsidRPr="00FA3856">
        <w:rPr>
          <w:bCs/>
          <w:szCs w:val="20"/>
        </w:rPr>
        <w:t>A</w:t>
      </w:r>
      <w:r w:rsidR="00D44DA4" w:rsidRPr="00FA3856">
        <w:rPr>
          <w:bCs/>
          <w:szCs w:val="20"/>
        </w:rPr>
        <w:t xml:space="preserve"> pessoa jurídica deverá informar os valores consolidados por país</w:t>
      </w:r>
      <w:r w:rsidR="00A41906" w:rsidRPr="00FA3856">
        <w:rPr>
          <w:bCs/>
          <w:szCs w:val="20"/>
        </w:rPr>
        <w:t>.</w:t>
      </w:r>
    </w:p>
    <w:p w:rsidR="00DE2460" w:rsidRDefault="00DE2460" w:rsidP="00A41906">
      <w:pPr>
        <w:ind w:firstLine="708"/>
        <w:jc w:val="both"/>
        <w:rPr>
          <w:bCs/>
          <w:szCs w:val="20"/>
        </w:rPr>
      </w:pPr>
    </w:p>
    <w:p w:rsidR="00DE2460" w:rsidRDefault="00DE2460" w:rsidP="00DE2460">
      <w:pPr>
        <w:jc w:val="both"/>
        <w:rPr>
          <w:b/>
          <w:bCs/>
          <w:szCs w:val="20"/>
        </w:rPr>
      </w:pPr>
      <w:r>
        <w:rPr>
          <w:b/>
          <w:bCs/>
          <w:szCs w:val="20"/>
        </w:rPr>
        <w:t xml:space="preserve">Observação: </w:t>
      </w:r>
      <w:r w:rsidR="00DF20F8">
        <w:rPr>
          <w:b/>
          <w:bCs/>
          <w:szCs w:val="20"/>
        </w:rPr>
        <w:t>As informações</w:t>
      </w:r>
      <w:r>
        <w:rPr>
          <w:b/>
          <w:bCs/>
          <w:szCs w:val="20"/>
        </w:rPr>
        <w:t xml:space="preserve"> deste registro são requeridas considerando o regime de caixa (valores efetivamente pagos).</w:t>
      </w:r>
    </w:p>
    <w:p w:rsidR="00A41906" w:rsidRDefault="00A41906" w:rsidP="00A41906">
      <w:pPr>
        <w:pStyle w:val="PSDS-MarcadoresNivel4"/>
        <w:tabs>
          <w:tab w:val="clear" w:pos="2271"/>
          <w:tab w:val="left" w:pos="720"/>
        </w:tabs>
        <w:spacing w:before="0" w:after="0"/>
        <w:ind w:left="0" w:firstLine="0"/>
        <w:rPr>
          <w:rFonts w:ascii="Times New Roman" w:hAnsi="Times New Roman" w:cs="Times New Roman"/>
          <w:szCs w:val="20"/>
          <w:lang w:val="pt-PT"/>
        </w:rPr>
      </w:pPr>
    </w:p>
    <w:p w:rsidR="00E76B8A" w:rsidRPr="00FA3856" w:rsidRDefault="0053782C" w:rsidP="00E76B8A">
      <w:pPr>
        <w:pStyle w:val="PSDS-MarcadoresNivel4"/>
        <w:tabs>
          <w:tab w:val="clear" w:pos="2271"/>
          <w:tab w:val="left" w:pos="720"/>
        </w:tabs>
        <w:spacing w:before="0" w:after="0"/>
        <w:ind w:left="0" w:firstLine="0"/>
        <w:jc w:val="center"/>
        <w:rPr>
          <w:rFonts w:ascii="Times New Roman" w:hAnsi="Times New Roman" w:cs="Times New Roman"/>
          <w:szCs w:val="20"/>
          <w:lang w:val="pt-PT"/>
        </w:rPr>
      </w:pPr>
      <w:r>
        <w:rPr>
          <w:rFonts w:ascii="Times New Roman" w:hAnsi="Times New Roman" w:cs="Times New Roman"/>
          <w:szCs w:val="20"/>
          <w:lang w:val="pt-PT"/>
        </w:rPr>
        <w:object w:dxaOrig="15985" w:dyaOrig="5196">
          <v:shape id="_x0000_i1321" type="#_x0000_t75" style="width:799.5pt;height:260.25pt" o:ole="">
            <v:imagedata r:id="rId773" o:title=""/>
          </v:shape>
          <o:OLEObject Type="Embed" ProgID="Excel.Sheet.12" ShapeID="_x0000_i1321" DrawAspect="Content" ObjectID="_1556641645" r:id="rId774"/>
        </w:object>
      </w:r>
    </w:p>
    <w:p w:rsidR="00E76B8A" w:rsidRDefault="00E76B8A" w:rsidP="00AA6BF7">
      <w:pPr>
        <w:pStyle w:val="PSDS-MarcadoresNivel4"/>
        <w:tabs>
          <w:tab w:val="clear" w:pos="2271"/>
          <w:tab w:val="left" w:pos="720"/>
        </w:tabs>
        <w:spacing w:before="0" w:after="0"/>
        <w:ind w:left="0" w:firstLine="0"/>
        <w:rPr>
          <w:rFonts w:ascii="Times New Roman" w:hAnsi="Times New Roman" w:cs="Times New Roman"/>
          <w:szCs w:val="20"/>
          <w:lang w:val="pt-PT"/>
        </w:rPr>
      </w:pPr>
    </w:p>
    <w:p w:rsidR="00E76B8A" w:rsidRDefault="00E76B8A" w:rsidP="00AA6BF7">
      <w:pPr>
        <w:pStyle w:val="PSDS-MarcadoresNivel4"/>
        <w:tabs>
          <w:tab w:val="clear" w:pos="2271"/>
          <w:tab w:val="left" w:pos="720"/>
        </w:tabs>
        <w:spacing w:before="0" w:after="0"/>
        <w:ind w:left="0" w:firstLine="0"/>
        <w:rPr>
          <w:rFonts w:ascii="Times New Roman" w:hAnsi="Times New Roman" w:cs="Times New Roman"/>
          <w:szCs w:val="20"/>
          <w:lang w:val="pt-PT"/>
        </w:rPr>
      </w:pPr>
    </w:p>
    <w:p w:rsidR="00E76B8A" w:rsidRDefault="00E76B8A" w:rsidP="00AA6BF7">
      <w:pPr>
        <w:pStyle w:val="PSDS-MarcadoresNivel4"/>
        <w:tabs>
          <w:tab w:val="clear" w:pos="2271"/>
          <w:tab w:val="left" w:pos="720"/>
        </w:tabs>
        <w:spacing w:before="0" w:after="0"/>
        <w:ind w:left="0" w:firstLine="0"/>
        <w:rPr>
          <w:rFonts w:ascii="Times New Roman" w:hAnsi="Times New Roman" w:cs="Times New Roman"/>
          <w:szCs w:val="20"/>
          <w:lang w:val="pt-PT"/>
        </w:rPr>
      </w:pPr>
    </w:p>
    <w:p w:rsidR="0053782C" w:rsidRDefault="0053782C" w:rsidP="00AA6BF7">
      <w:pPr>
        <w:pStyle w:val="PSDS-MarcadoresNivel4"/>
        <w:tabs>
          <w:tab w:val="clear" w:pos="2271"/>
          <w:tab w:val="left" w:pos="720"/>
        </w:tabs>
        <w:spacing w:before="0" w:after="0"/>
        <w:ind w:left="0" w:firstLine="0"/>
        <w:rPr>
          <w:rFonts w:ascii="Times New Roman" w:hAnsi="Times New Roman" w:cs="Times New Roman"/>
          <w:szCs w:val="20"/>
          <w:lang w:val="pt-PT"/>
        </w:rPr>
      </w:pPr>
    </w:p>
    <w:p w:rsidR="0053782C" w:rsidRDefault="0053782C" w:rsidP="00AA6BF7">
      <w:pPr>
        <w:pStyle w:val="PSDS-MarcadoresNivel4"/>
        <w:tabs>
          <w:tab w:val="clear" w:pos="2271"/>
          <w:tab w:val="left" w:pos="720"/>
        </w:tabs>
        <w:spacing w:before="0" w:after="0"/>
        <w:ind w:left="0" w:firstLine="0"/>
        <w:rPr>
          <w:rFonts w:ascii="Times New Roman" w:hAnsi="Times New Roman" w:cs="Times New Roman"/>
          <w:szCs w:val="20"/>
          <w:lang w:val="pt-PT"/>
        </w:rPr>
      </w:pPr>
    </w:p>
    <w:p w:rsidR="0053782C" w:rsidRDefault="0053782C" w:rsidP="00AA6BF7">
      <w:pPr>
        <w:pStyle w:val="PSDS-MarcadoresNivel4"/>
        <w:tabs>
          <w:tab w:val="clear" w:pos="2271"/>
          <w:tab w:val="left" w:pos="720"/>
        </w:tabs>
        <w:spacing w:before="0" w:after="0"/>
        <w:ind w:left="0" w:firstLine="0"/>
        <w:rPr>
          <w:rFonts w:ascii="Times New Roman" w:hAnsi="Times New Roman" w:cs="Times New Roman"/>
          <w:szCs w:val="20"/>
          <w:lang w:val="pt-PT"/>
        </w:rPr>
      </w:pPr>
    </w:p>
    <w:p w:rsidR="0053782C" w:rsidRDefault="00B35FA3" w:rsidP="0053782C">
      <w:pPr>
        <w:pStyle w:val="PSDS-MarcadoresNivel4"/>
        <w:tabs>
          <w:tab w:val="clear" w:pos="2271"/>
          <w:tab w:val="left" w:pos="720"/>
        </w:tabs>
        <w:spacing w:before="0" w:after="0"/>
        <w:ind w:left="0" w:firstLine="0"/>
        <w:jc w:val="center"/>
        <w:rPr>
          <w:rFonts w:ascii="Times New Roman" w:hAnsi="Times New Roman" w:cs="Times New Roman"/>
          <w:szCs w:val="20"/>
          <w:lang w:val="pt-PT"/>
        </w:rPr>
      </w:pPr>
      <w:r>
        <w:rPr>
          <w:rFonts w:ascii="Times New Roman" w:hAnsi="Times New Roman" w:cs="Times New Roman"/>
          <w:szCs w:val="20"/>
          <w:lang w:val="pt-PT"/>
        </w:rPr>
        <w:object w:dxaOrig="14835" w:dyaOrig="2070">
          <v:shape id="_x0000_i2008" type="#_x0000_t75" style="width:792.75pt;height:101.25pt" o:ole="">
            <v:imagedata r:id="rId775" o:title=""/>
          </v:shape>
          <o:OLEObject Type="Link" ProgID="Excel.Sheet.12" ShapeID="_x0000_i2008" DrawAspect="Content" r:id="rId776" UpdateMode="Always">
            <o:LinkType>EnhancedMetaFile</o:LinkType>
            <o:LockedField>false</o:LockedField>
          </o:OLEObject>
        </w:object>
      </w:r>
    </w:p>
    <w:p w:rsidR="00E76B8A" w:rsidRDefault="00E76B8A" w:rsidP="0053782C">
      <w:pPr>
        <w:pStyle w:val="PSDS-MarcadoresNivel4"/>
        <w:tabs>
          <w:tab w:val="clear" w:pos="2271"/>
          <w:tab w:val="left" w:pos="720"/>
        </w:tabs>
        <w:spacing w:before="0" w:after="0"/>
        <w:ind w:left="0" w:firstLine="0"/>
        <w:jc w:val="center"/>
        <w:rPr>
          <w:rFonts w:ascii="Times New Roman" w:hAnsi="Times New Roman" w:cs="Times New Roman"/>
          <w:szCs w:val="20"/>
          <w:lang w:val="pt-PT"/>
        </w:rPr>
      </w:pPr>
    </w:p>
    <w:p w:rsidR="00E76B8A" w:rsidRDefault="00E76B8A" w:rsidP="00AA6BF7">
      <w:pPr>
        <w:pStyle w:val="PSDS-MarcadoresNivel4"/>
        <w:tabs>
          <w:tab w:val="clear" w:pos="2271"/>
          <w:tab w:val="left" w:pos="720"/>
        </w:tabs>
        <w:spacing w:before="0" w:after="0"/>
        <w:ind w:left="0" w:firstLine="0"/>
        <w:rPr>
          <w:rFonts w:ascii="Times New Roman" w:hAnsi="Times New Roman" w:cs="Times New Roman"/>
          <w:szCs w:val="20"/>
          <w:lang w:val="pt-PT"/>
        </w:rPr>
      </w:pPr>
    </w:p>
    <w:p w:rsidR="00E76B8A" w:rsidRDefault="00E76B8A" w:rsidP="00AA6BF7">
      <w:pPr>
        <w:pStyle w:val="PSDS-MarcadoresNivel4"/>
        <w:tabs>
          <w:tab w:val="clear" w:pos="2271"/>
          <w:tab w:val="left" w:pos="720"/>
        </w:tabs>
        <w:spacing w:before="0" w:after="0"/>
        <w:ind w:left="0" w:firstLine="0"/>
        <w:rPr>
          <w:rFonts w:ascii="Times New Roman" w:hAnsi="Times New Roman" w:cs="Times New Roman"/>
          <w:szCs w:val="20"/>
          <w:lang w:val="pt-PT"/>
        </w:rPr>
      </w:pPr>
    </w:p>
    <w:p w:rsidR="00E76B8A" w:rsidRDefault="00E76B8A" w:rsidP="00E76B8A">
      <w:pPr>
        <w:pStyle w:val="PSDS-MarcadoresNivel4"/>
        <w:tabs>
          <w:tab w:val="clear" w:pos="2271"/>
          <w:tab w:val="left" w:pos="720"/>
        </w:tabs>
        <w:spacing w:before="0" w:after="0"/>
        <w:ind w:left="0" w:firstLine="0"/>
        <w:jc w:val="center"/>
        <w:rPr>
          <w:rFonts w:ascii="Times New Roman" w:hAnsi="Times New Roman" w:cs="Times New Roman"/>
          <w:szCs w:val="20"/>
          <w:lang w:val="pt-PT"/>
        </w:rPr>
      </w:pPr>
    </w:p>
    <w:p w:rsidR="00E76B8A" w:rsidRDefault="00E76B8A" w:rsidP="00AA6BF7">
      <w:pPr>
        <w:pStyle w:val="PSDS-MarcadoresNivel4"/>
        <w:tabs>
          <w:tab w:val="clear" w:pos="2271"/>
          <w:tab w:val="left" w:pos="720"/>
        </w:tabs>
        <w:spacing w:before="0" w:after="0"/>
        <w:ind w:left="0" w:firstLine="0"/>
        <w:rPr>
          <w:rFonts w:ascii="Times New Roman" w:hAnsi="Times New Roman" w:cs="Times New Roman"/>
          <w:szCs w:val="20"/>
          <w:lang w:val="pt-PT"/>
        </w:rPr>
      </w:pPr>
    </w:p>
    <w:p w:rsidR="00E76B8A" w:rsidRDefault="00E76B8A" w:rsidP="00AA6BF7">
      <w:pPr>
        <w:pStyle w:val="PSDS-MarcadoresNivel4"/>
        <w:tabs>
          <w:tab w:val="clear" w:pos="2271"/>
          <w:tab w:val="left" w:pos="720"/>
        </w:tabs>
        <w:spacing w:before="0" w:after="0"/>
        <w:ind w:left="0" w:firstLine="0"/>
        <w:rPr>
          <w:rFonts w:ascii="Times New Roman" w:hAnsi="Times New Roman" w:cs="Times New Roman"/>
          <w:szCs w:val="20"/>
          <w:lang w:val="pt-PT"/>
        </w:rPr>
      </w:pPr>
    </w:p>
    <w:p w:rsidR="00E76B8A" w:rsidRDefault="00E76B8A" w:rsidP="00AA6BF7">
      <w:pPr>
        <w:pStyle w:val="PSDS-MarcadoresNivel4"/>
        <w:tabs>
          <w:tab w:val="clear" w:pos="2271"/>
          <w:tab w:val="left" w:pos="720"/>
        </w:tabs>
        <w:spacing w:before="0" w:after="0"/>
        <w:ind w:left="0" w:firstLine="0"/>
        <w:rPr>
          <w:rFonts w:ascii="Times New Roman" w:hAnsi="Times New Roman" w:cs="Times New Roman"/>
          <w:szCs w:val="20"/>
          <w:lang w:val="pt-PT"/>
        </w:rPr>
      </w:pPr>
    </w:p>
    <w:p w:rsidR="00E76B8A" w:rsidRDefault="00E76B8A" w:rsidP="00AA6BF7">
      <w:pPr>
        <w:pStyle w:val="PSDS-MarcadoresNivel4"/>
        <w:tabs>
          <w:tab w:val="clear" w:pos="2271"/>
          <w:tab w:val="left" w:pos="720"/>
        </w:tabs>
        <w:spacing w:before="0" w:after="0"/>
        <w:ind w:left="0" w:firstLine="0"/>
        <w:rPr>
          <w:rFonts w:ascii="Times New Roman" w:hAnsi="Times New Roman" w:cs="Times New Roman"/>
          <w:szCs w:val="20"/>
          <w:lang w:val="pt-PT"/>
        </w:rPr>
      </w:pPr>
    </w:p>
    <w:p w:rsidR="00E76B8A" w:rsidRDefault="00E76B8A" w:rsidP="00AA6BF7">
      <w:pPr>
        <w:pStyle w:val="PSDS-MarcadoresNivel4"/>
        <w:tabs>
          <w:tab w:val="clear" w:pos="2271"/>
          <w:tab w:val="left" w:pos="720"/>
        </w:tabs>
        <w:spacing w:before="0" w:after="0"/>
        <w:ind w:left="0" w:firstLine="0"/>
        <w:rPr>
          <w:rFonts w:ascii="Times New Roman" w:hAnsi="Times New Roman" w:cs="Times New Roman"/>
          <w:szCs w:val="20"/>
          <w:lang w:val="pt-PT"/>
        </w:rPr>
      </w:pPr>
    </w:p>
    <w:p w:rsidR="00E76B8A" w:rsidRDefault="00E76B8A" w:rsidP="00AA6BF7">
      <w:pPr>
        <w:pStyle w:val="PSDS-MarcadoresNivel4"/>
        <w:tabs>
          <w:tab w:val="clear" w:pos="2271"/>
          <w:tab w:val="left" w:pos="720"/>
        </w:tabs>
        <w:spacing w:before="0" w:after="0"/>
        <w:ind w:left="0" w:firstLine="0"/>
        <w:rPr>
          <w:rFonts w:ascii="Times New Roman" w:hAnsi="Times New Roman" w:cs="Times New Roman"/>
          <w:szCs w:val="20"/>
          <w:lang w:val="pt-PT"/>
        </w:rPr>
      </w:pPr>
    </w:p>
    <w:p w:rsidR="00E76B8A" w:rsidRDefault="00E76B8A" w:rsidP="00AA6BF7">
      <w:pPr>
        <w:pStyle w:val="PSDS-MarcadoresNivel4"/>
        <w:tabs>
          <w:tab w:val="clear" w:pos="2271"/>
          <w:tab w:val="left" w:pos="720"/>
        </w:tabs>
        <w:spacing w:before="0" w:after="0"/>
        <w:ind w:left="0" w:firstLine="0"/>
        <w:rPr>
          <w:rFonts w:ascii="Times New Roman" w:hAnsi="Times New Roman" w:cs="Times New Roman"/>
          <w:szCs w:val="20"/>
          <w:lang w:val="pt-PT"/>
        </w:rPr>
      </w:pPr>
    </w:p>
    <w:p w:rsidR="00E76B8A" w:rsidRDefault="00E76B8A" w:rsidP="00AA6BF7">
      <w:pPr>
        <w:pStyle w:val="PSDS-MarcadoresNivel4"/>
        <w:tabs>
          <w:tab w:val="clear" w:pos="2271"/>
          <w:tab w:val="left" w:pos="720"/>
        </w:tabs>
        <w:spacing w:before="0" w:after="0"/>
        <w:ind w:left="0" w:firstLine="0"/>
        <w:rPr>
          <w:rFonts w:ascii="Times New Roman" w:hAnsi="Times New Roman" w:cs="Times New Roman"/>
          <w:szCs w:val="20"/>
          <w:lang w:val="pt-PT"/>
        </w:rPr>
      </w:pPr>
    </w:p>
    <w:p w:rsidR="00E76B8A" w:rsidRDefault="00E76B8A" w:rsidP="00AA6BF7">
      <w:pPr>
        <w:pStyle w:val="PSDS-MarcadoresNivel4"/>
        <w:tabs>
          <w:tab w:val="clear" w:pos="2271"/>
          <w:tab w:val="left" w:pos="720"/>
        </w:tabs>
        <w:spacing w:before="0" w:after="0"/>
        <w:ind w:left="0" w:firstLine="0"/>
        <w:rPr>
          <w:rFonts w:ascii="Times New Roman" w:hAnsi="Times New Roman" w:cs="Times New Roman"/>
          <w:szCs w:val="20"/>
          <w:lang w:val="pt-PT"/>
        </w:rPr>
      </w:pPr>
    </w:p>
    <w:p w:rsidR="00E76B8A" w:rsidRDefault="00E76B8A" w:rsidP="00AA6BF7">
      <w:pPr>
        <w:pStyle w:val="PSDS-MarcadoresNivel4"/>
        <w:tabs>
          <w:tab w:val="clear" w:pos="2271"/>
          <w:tab w:val="left" w:pos="720"/>
        </w:tabs>
        <w:spacing w:before="0" w:after="0"/>
        <w:ind w:left="0" w:firstLine="0"/>
        <w:rPr>
          <w:rFonts w:ascii="Times New Roman" w:hAnsi="Times New Roman" w:cs="Times New Roman"/>
          <w:szCs w:val="20"/>
          <w:lang w:val="pt-PT"/>
        </w:rPr>
      </w:pPr>
    </w:p>
    <w:p w:rsidR="00E76B8A" w:rsidRDefault="00E76B8A" w:rsidP="00AA6BF7">
      <w:pPr>
        <w:pStyle w:val="PSDS-MarcadoresNivel4"/>
        <w:tabs>
          <w:tab w:val="clear" w:pos="2271"/>
          <w:tab w:val="left" w:pos="720"/>
        </w:tabs>
        <w:spacing w:before="0" w:after="0"/>
        <w:ind w:left="0" w:firstLine="0"/>
        <w:rPr>
          <w:rFonts w:ascii="Times New Roman" w:hAnsi="Times New Roman" w:cs="Times New Roman"/>
          <w:szCs w:val="20"/>
          <w:lang w:val="pt-PT"/>
        </w:rPr>
      </w:pPr>
    </w:p>
    <w:p w:rsidR="00E76B8A" w:rsidRDefault="00E76B8A" w:rsidP="00AA6BF7">
      <w:pPr>
        <w:pStyle w:val="PSDS-MarcadoresNivel4"/>
        <w:tabs>
          <w:tab w:val="clear" w:pos="2271"/>
          <w:tab w:val="left" w:pos="720"/>
        </w:tabs>
        <w:spacing w:before="0" w:after="0"/>
        <w:ind w:left="0" w:firstLine="0"/>
        <w:rPr>
          <w:rFonts w:ascii="Times New Roman" w:hAnsi="Times New Roman" w:cs="Times New Roman"/>
          <w:szCs w:val="20"/>
          <w:lang w:val="pt-PT"/>
        </w:rPr>
      </w:pPr>
    </w:p>
    <w:p w:rsidR="00E76B8A" w:rsidRDefault="00E76B8A" w:rsidP="00AA6BF7">
      <w:pPr>
        <w:pStyle w:val="PSDS-MarcadoresNivel4"/>
        <w:tabs>
          <w:tab w:val="clear" w:pos="2271"/>
          <w:tab w:val="left" w:pos="720"/>
        </w:tabs>
        <w:spacing w:before="0" w:after="0"/>
        <w:ind w:left="0" w:firstLine="0"/>
        <w:rPr>
          <w:rFonts w:ascii="Times New Roman" w:hAnsi="Times New Roman" w:cs="Times New Roman"/>
          <w:szCs w:val="20"/>
          <w:lang w:val="pt-PT"/>
        </w:rPr>
      </w:pPr>
    </w:p>
    <w:p w:rsidR="00E76B8A" w:rsidRDefault="00E76B8A" w:rsidP="00AA6BF7">
      <w:pPr>
        <w:pStyle w:val="PSDS-MarcadoresNivel4"/>
        <w:tabs>
          <w:tab w:val="clear" w:pos="2271"/>
          <w:tab w:val="left" w:pos="720"/>
        </w:tabs>
        <w:spacing w:before="0" w:after="0"/>
        <w:ind w:left="0" w:firstLine="0"/>
        <w:rPr>
          <w:rFonts w:ascii="Times New Roman" w:hAnsi="Times New Roman" w:cs="Times New Roman"/>
          <w:szCs w:val="20"/>
          <w:lang w:val="pt-PT"/>
        </w:rPr>
      </w:pPr>
    </w:p>
    <w:p w:rsidR="00E76B8A" w:rsidRDefault="00E76B8A" w:rsidP="00AA6BF7">
      <w:pPr>
        <w:pStyle w:val="PSDS-MarcadoresNivel4"/>
        <w:tabs>
          <w:tab w:val="clear" w:pos="2271"/>
          <w:tab w:val="left" w:pos="720"/>
        </w:tabs>
        <w:spacing w:before="0" w:after="0"/>
        <w:ind w:left="0" w:firstLine="0"/>
        <w:rPr>
          <w:rFonts w:ascii="Times New Roman" w:hAnsi="Times New Roman" w:cs="Times New Roman"/>
          <w:szCs w:val="20"/>
          <w:lang w:val="pt-PT"/>
        </w:rPr>
      </w:pPr>
    </w:p>
    <w:p w:rsidR="00E76B8A" w:rsidRDefault="00E76B8A" w:rsidP="00AA6BF7">
      <w:pPr>
        <w:pStyle w:val="PSDS-MarcadoresNivel4"/>
        <w:tabs>
          <w:tab w:val="clear" w:pos="2271"/>
          <w:tab w:val="left" w:pos="720"/>
        </w:tabs>
        <w:spacing w:before="0" w:after="0"/>
        <w:ind w:left="0" w:firstLine="0"/>
        <w:rPr>
          <w:rFonts w:ascii="Times New Roman" w:hAnsi="Times New Roman" w:cs="Times New Roman"/>
          <w:szCs w:val="20"/>
          <w:lang w:val="pt-PT"/>
        </w:rPr>
      </w:pPr>
    </w:p>
    <w:p w:rsidR="00E76B8A" w:rsidRDefault="00E76B8A" w:rsidP="00AA6BF7">
      <w:pPr>
        <w:pStyle w:val="PSDS-MarcadoresNivel4"/>
        <w:tabs>
          <w:tab w:val="clear" w:pos="2271"/>
          <w:tab w:val="left" w:pos="720"/>
        </w:tabs>
        <w:spacing w:before="0" w:after="0"/>
        <w:ind w:left="0" w:firstLine="0"/>
        <w:rPr>
          <w:rFonts w:ascii="Times New Roman" w:hAnsi="Times New Roman" w:cs="Times New Roman"/>
          <w:szCs w:val="20"/>
          <w:lang w:val="pt-PT"/>
        </w:rPr>
      </w:pPr>
    </w:p>
    <w:p w:rsidR="00E76B8A" w:rsidRDefault="00E76B8A" w:rsidP="00AA6BF7">
      <w:pPr>
        <w:pStyle w:val="PSDS-MarcadoresNivel4"/>
        <w:tabs>
          <w:tab w:val="clear" w:pos="2271"/>
          <w:tab w:val="left" w:pos="720"/>
        </w:tabs>
        <w:spacing w:before="0" w:after="0"/>
        <w:ind w:left="0" w:firstLine="0"/>
        <w:rPr>
          <w:rFonts w:ascii="Times New Roman" w:hAnsi="Times New Roman" w:cs="Times New Roman"/>
          <w:szCs w:val="20"/>
          <w:lang w:val="pt-PT"/>
        </w:rPr>
      </w:pPr>
    </w:p>
    <w:p w:rsidR="00E76B8A" w:rsidRDefault="00E76B8A" w:rsidP="00AA6BF7">
      <w:pPr>
        <w:pStyle w:val="PSDS-MarcadoresNivel4"/>
        <w:tabs>
          <w:tab w:val="clear" w:pos="2271"/>
          <w:tab w:val="left" w:pos="720"/>
        </w:tabs>
        <w:spacing w:before="0" w:after="0"/>
        <w:ind w:left="0" w:firstLine="0"/>
        <w:rPr>
          <w:rFonts w:ascii="Times New Roman" w:hAnsi="Times New Roman" w:cs="Times New Roman"/>
          <w:szCs w:val="20"/>
          <w:lang w:val="pt-PT"/>
        </w:rPr>
      </w:pPr>
    </w:p>
    <w:p w:rsidR="00E76B8A" w:rsidRDefault="00E76B8A" w:rsidP="00AA6BF7">
      <w:pPr>
        <w:pStyle w:val="PSDS-MarcadoresNivel4"/>
        <w:tabs>
          <w:tab w:val="clear" w:pos="2271"/>
          <w:tab w:val="left" w:pos="720"/>
        </w:tabs>
        <w:spacing w:before="0" w:after="0"/>
        <w:ind w:left="0" w:firstLine="0"/>
        <w:rPr>
          <w:rFonts w:ascii="Times New Roman" w:hAnsi="Times New Roman" w:cs="Times New Roman"/>
          <w:szCs w:val="20"/>
          <w:lang w:val="pt-PT"/>
        </w:rPr>
      </w:pPr>
    </w:p>
    <w:p w:rsidR="00E76B8A" w:rsidRDefault="00E76B8A" w:rsidP="00AA6BF7">
      <w:pPr>
        <w:pStyle w:val="PSDS-MarcadoresNivel4"/>
        <w:tabs>
          <w:tab w:val="clear" w:pos="2271"/>
          <w:tab w:val="left" w:pos="720"/>
        </w:tabs>
        <w:spacing w:before="0" w:after="0"/>
        <w:ind w:left="0" w:firstLine="0"/>
        <w:rPr>
          <w:rFonts w:ascii="Times New Roman" w:hAnsi="Times New Roman" w:cs="Times New Roman"/>
          <w:szCs w:val="20"/>
          <w:lang w:val="pt-PT"/>
        </w:rPr>
      </w:pPr>
    </w:p>
    <w:p w:rsidR="00E76B8A" w:rsidRDefault="00E76B8A" w:rsidP="00AA6BF7">
      <w:pPr>
        <w:pStyle w:val="PSDS-MarcadoresNivel4"/>
        <w:tabs>
          <w:tab w:val="clear" w:pos="2271"/>
          <w:tab w:val="left" w:pos="720"/>
        </w:tabs>
        <w:spacing w:before="0" w:after="0"/>
        <w:ind w:left="0" w:firstLine="0"/>
        <w:rPr>
          <w:rFonts w:ascii="Times New Roman" w:hAnsi="Times New Roman" w:cs="Times New Roman"/>
          <w:szCs w:val="20"/>
          <w:lang w:val="pt-PT"/>
        </w:rPr>
      </w:pPr>
    </w:p>
    <w:p w:rsidR="00E76B8A" w:rsidRDefault="00E76B8A" w:rsidP="00AA6BF7">
      <w:pPr>
        <w:pStyle w:val="PSDS-MarcadoresNivel4"/>
        <w:tabs>
          <w:tab w:val="clear" w:pos="2271"/>
          <w:tab w:val="left" w:pos="720"/>
        </w:tabs>
        <w:spacing w:before="0" w:after="0"/>
        <w:ind w:left="0" w:firstLine="0"/>
        <w:rPr>
          <w:rFonts w:ascii="Times New Roman" w:hAnsi="Times New Roman" w:cs="Times New Roman"/>
          <w:szCs w:val="20"/>
          <w:lang w:val="pt-PT"/>
        </w:rPr>
      </w:pPr>
    </w:p>
    <w:p w:rsidR="00E76B8A" w:rsidRDefault="00E76B8A" w:rsidP="00AA6BF7">
      <w:pPr>
        <w:pStyle w:val="PSDS-MarcadoresNivel4"/>
        <w:tabs>
          <w:tab w:val="clear" w:pos="2271"/>
          <w:tab w:val="left" w:pos="720"/>
        </w:tabs>
        <w:spacing w:before="0" w:after="0"/>
        <w:ind w:left="0" w:firstLine="0"/>
        <w:rPr>
          <w:rFonts w:ascii="Times New Roman" w:hAnsi="Times New Roman" w:cs="Times New Roman"/>
          <w:szCs w:val="20"/>
          <w:lang w:val="pt-PT"/>
        </w:rPr>
      </w:pPr>
    </w:p>
    <w:p w:rsidR="00E76B8A" w:rsidRDefault="00E76B8A" w:rsidP="00AA6BF7">
      <w:pPr>
        <w:pStyle w:val="PSDS-MarcadoresNivel4"/>
        <w:tabs>
          <w:tab w:val="clear" w:pos="2271"/>
          <w:tab w:val="left" w:pos="720"/>
        </w:tabs>
        <w:spacing w:before="0" w:after="0"/>
        <w:ind w:left="0" w:firstLine="0"/>
        <w:rPr>
          <w:rFonts w:ascii="Times New Roman" w:hAnsi="Times New Roman" w:cs="Times New Roman"/>
          <w:szCs w:val="20"/>
          <w:lang w:val="pt-PT"/>
        </w:rPr>
      </w:pPr>
    </w:p>
    <w:p w:rsidR="00E76B8A" w:rsidRDefault="00E76B8A" w:rsidP="00AA6BF7">
      <w:pPr>
        <w:pStyle w:val="PSDS-MarcadoresNivel4"/>
        <w:tabs>
          <w:tab w:val="clear" w:pos="2271"/>
          <w:tab w:val="left" w:pos="720"/>
        </w:tabs>
        <w:spacing w:before="0" w:after="0"/>
        <w:ind w:left="0" w:firstLine="0"/>
        <w:rPr>
          <w:rFonts w:ascii="Times New Roman" w:hAnsi="Times New Roman" w:cs="Times New Roman"/>
          <w:szCs w:val="20"/>
          <w:lang w:val="pt-PT"/>
        </w:rPr>
      </w:pPr>
    </w:p>
    <w:p w:rsidR="00E76B8A" w:rsidRDefault="00E76B8A" w:rsidP="00AA6BF7">
      <w:pPr>
        <w:pStyle w:val="PSDS-MarcadoresNivel4"/>
        <w:tabs>
          <w:tab w:val="clear" w:pos="2271"/>
          <w:tab w:val="left" w:pos="720"/>
        </w:tabs>
        <w:spacing w:before="0" w:after="0"/>
        <w:ind w:left="0" w:firstLine="0"/>
        <w:rPr>
          <w:rFonts w:ascii="Times New Roman" w:hAnsi="Times New Roman" w:cs="Times New Roman"/>
          <w:szCs w:val="20"/>
          <w:lang w:val="pt-PT"/>
        </w:rPr>
      </w:pPr>
    </w:p>
    <w:p w:rsidR="00E76B8A" w:rsidRDefault="00B35FA3" w:rsidP="0053782C">
      <w:pPr>
        <w:pStyle w:val="PSDS-MarcadoresNivel4"/>
        <w:tabs>
          <w:tab w:val="clear" w:pos="2271"/>
          <w:tab w:val="left" w:pos="720"/>
        </w:tabs>
        <w:spacing w:before="0" w:after="0"/>
        <w:ind w:left="0" w:firstLine="0"/>
        <w:jc w:val="center"/>
        <w:rPr>
          <w:rFonts w:ascii="Times New Roman" w:hAnsi="Times New Roman" w:cs="Times New Roman"/>
          <w:szCs w:val="20"/>
          <w:lang w:val="pt-PT"/>
        </w:rPr>
      </w:pPr>
      <w:r>
        <w:rPr>
          <w:rFonts w:ascii="Times New Roman" w:hAnsi="Times New Roman" w:cs="Times New Roman"/>
          <w:szCs w:val="20"/>
          <w:lang w:val="pt-PT"/>
        </w:rPr>
        <w:object w:dxaOrig="14835" w:dyaOrig="7935">
          <v:shape id="_x0000_i2010" type="#_x0000_t75" style="width:792.75pt;height:380.25pt" o:ole="">
            <v:imagedata r:id="rId777" o:title=""/>
          </v:shape>
          <o:OLEObject Type="Link" ProgID="Excel.Sheet.12" ShapeID="_x0000_i2010" DrawAspect="Content" r:id="rId778" UpdateMode="Always">
            <o:LinkType>EnhancedMetaFile</o:LinkType>
            <o:LockedField>false</o:LockedField>
          </o:OLEObject>
        </w:object>
      </w:r>
    </w:p>
    <w:p w:rsidR="00E76B8A" w:rsidRDefault="00E76B8A" w:rsidP="00AA6BF7">
      <w:pPr>
        <w:pStyle w:val="PSDS-MarcadoresNivel4"/>
        <w:tabs>
          <w:tab w:val="clear" w:pos="2271"/>
          <w:tab w:val="left" w:pos="720"/>
        </w:tabs>
        <w:spacing w:before="0" w:after="0"/>
        <w:ind w:left="0" w:firstLine="0"/>
        <w:rPr>
          <w:rFonts w:ascii="Times New Roman" w:hAnsi="Times New Roman" w:cs="Times New Roman"/>
          <w:szCs w:val="20"/>
          <w:lang w:val="pt-PT"/>
        </w:rPr>
      </w:pPr>
    </w:p>
    <w:p w:rsidR="00E76B8A" w:rsidRDefault="00E76B8A" w:rsidP="00AA6BF7">
      <w:pPr>
        <w:pStyle w:val="PSDS-MarcadoresNivel4"/>
        <w:tabs>
          <w:tab w:val="clear" w:pos="2271"/>
          <w:tab w:val="left" w:pos="720"/>
        </w:tabs>
        <w:spacing w:before="0" w:after="0"/>
        <w:ind w:left="0" w:firstLine="0"/>
        <w:rPr>
          <w:rFonts w:ascii="Times New Roman" w:hAnsi="Times New Roman" w:cs="Times New Roman"/>
          <w:szCs w:val="20"/>
          <w:lang w:val="pt-PT"/>
        </w:rPr>
      </w:pPr>
    </w:p>
    <w:p w:rsidR="00E76B8A" w:rsidRDefault="00E76B8A" w:rsidP="00AA6BF7">
      <w:pPr>
        <w:pStyle w:val="PSDS-MarcadoresNivel4"/>
        <w:tabs>
          <w:tab w:val="clear" w:pos="2271"/>
          <w:tab w:val="left" w:pos="720"/>
        </w:tabs>
        <w:spacing w:before="0" w:after="0"/>
        <w:ind w:left="0" w:firstLine="0"/>
        <w:rPr>
          <w:rFonts w:ascii="Times New Roman" w:hAnsi="Times New Roman" w:cs="Times New Roman"/>
          <w:szCs w:val="20"/>
          <w:lang w:val="pt-PT"/>
        </w:rPr>
      </w:pPr>
    </w:p>
    <w:p w:rsidR="00E76B8A" w:rsidRDefault="00E76B8A" w:rsidP="00E76B8A">
      <w:pPr>
        <w:pStyle w:val="PSDS-MarcadoresNivel4"/>
        <w:tabs>
          <w:tab w:val="clear" w:pos="2271"/>
          <w:tab w:val="left" w:pos="720"/>
        </w:tabs>
        <w:spacing w:before="0" w:after="0"/>
        <w:ind w:left="0" w:firstLine="0"/>
        <w:jc w:val="center"/>
        <w:rPr>
          <w:rFonts w:ascii="Times New Roman" w:hAnsi="Times New Roman" w:cs="Times New Roman"/>
          <w:szCs w:val="20"/>
          <w:lang w:val="pt-PT"/>
        </w:rPr>
      </w:pPr>
    </w:p>
    <w:p w:rsidR="00E76B8A" w:rsidRDefault="00E76B8A" w:rsidP="00AA6BF7">
      <w:pPr>
        <w:pStyle w:val="PSDS-MarcadoresNivel4"/>
        <w:tabs>
          <w:tab w:val="clear" w:pos="2271"/>
          <w:tab w:val="left" w:pos="720"/>
        </w:tabs>
        <w:spacing w:before="0" w:after="0"/>
        <w:ind w:left="0" w:firstLine="0"/>
        <w:rPr>
          <w:rFonts w:ascii="Times New Roman" w:hAnsi="Times New Roman" w:cs="Times New Roman"/>
          <w:szCs w:val="20"/>
          <w:lang w:val="pt-PT"/>
        </w:rPr>
      </w:pPr>
    </w:p>
    <w:p w:rsidR="00E76B8A" w:rsidRDefault="00E76B8A" w:rsidP="00AA6BF7">
      <w:pPr>
        <w:pStyle w:val="PSDS-MarcadoresNivel4"/>
        <w:tabs>
          <w:tab w:val="clear" w:pos="2271"/>
          <w:tab w:val="left" w:pos="720"/>
        </w:tabs>
        <w:spacing w:before="0" w:after="0"/>
        <w:ind w:left="0" w:firstLine="0"/>
        <w:rPr>
          <w:rFonts w:ascii="Times New Roman" w:hAnsi="Times New Roman" w:cs="Times New Roman"/>
          <w:szCs w:val="20"/>
          <w:lang w:val="pt-PT"/>
        </w:rPr>
      </w:pPr>
    </w:p>
    <w:p w:rsidR="00E76B8A" w:rsidRDefault="00E76B8A" w:rsidP="00AA6BF7">
      <w:pPr>
        <w:pStyle w:val="PSDS-MarcadoresNivel4"/>
        <w:tabs>
          <w:tab w:val="clear" w:pos="2271"/>
          <w:tab w:val="left" w:pos="720"/>
        </w:tabs>
        <w:spacing w:before="0" w:after="0"/>
        <w:ind w:left="0" w:firstLine="0"/>
        <w:rPr>
          <w:rFonts w:ascii="Times New Roman" w:hAnsi="Times New Roman" w:cs="Times New Roman"/>
          <w:szCs w:val="20"/>
          <w:lang w:val="pt-PT"/>
        </w:rPr>
      </w:pPr>
    </w:p>
    <w:p w:rsidR="00E76B8A" w:rsidRDefault="00B35FA3" w:rsidP="0053782C">
      <w:pPr>
        <w:pStyle w:val="PSDS-MarcadoresNivel4"/>
        <w:tabs>
          <w:tab w:val="clear" w:pos="2271"/>
          <w:tab w:val="left" w:pos="720"/>
        </w:tabs>
        <w:spacing w:before="0" w:after="0"/>
        <w:ind w:left="0" w:firstLine="0"/>
        <w:jc w:val="center"/>
        <w:rPr>
          <w:rFonts w:ascii="Times New Roman" w:hAnsi="Times New Roman" w:cs="Times New Roman"/>
          <w:szCs w:val="20"/>
          <w:lang w:val="pt-PT"/>
        </w:rPr>
      </w:pPr>
      <w:r>
        <w:rPr>
          <w:rFonts w:ascii="Times New Roman" w:hAnsi="Times New Roman" w:cs="Times New Roman"/>
          <w:szCs w:val="20"/>
          <w:lang w:val="pt-PT"/>
        </w:rPr>
        <w:object w:dxaOrig="14835" w:dyaOrig="3345">
          <v:shape id="_x0000_i2012" type="#_x0000_t75" style="width:792.75pt;height:162.75pt" o:ole="">
            <v:imagedata r:id="rId779" o:title=""/>
          </v:shape>
          <o:OLEObject Type="Link" ProgID="Excel.Sheet.12" ShapeID="_x0000_i2012" DrawAspect="Content" r:id="rId780" UpdateMode="Always">
            <o:LinkType>EnhancedMetaFile</o:LinkType>
            <o:LockedField>false</o:LockedField>
          </o:OLEObject>
        </w:object>
      </w:r>
    </w:p>
    <w:p w:rsidR="00E76B8A" w:rsidRDefault="00E76B8A" w:rsidP="00AA6BF7">
      <w:pPr>
        <w:pStyle w:val="PSDS-MarcadoresNivel4"/>
        <w:tabs>
          <w:tab w:val="clear" w:pos="2271"/>
          <w:tab w:val="left" w:pos="720"/>
        </w:tabs>
        <w:spacing w:before="0" w:after="0"/>
        <w:ind w:left="0" w:firstLine="0"/>
        <w:rPr>
          <w:rFonts w:ascii="Times New Roman" w:hAnsi="Times New Roman" w:cs="Times New Roman"/>
          <w:szCs w:val="20"/>
          <w:lang w:val="pt-PT"/>
        </w:rPr>
      </w:pPr>
    </w:p>
    <w:p w:rsidR="00E76B8A" w:rsidRDefault="00E76B8A" w:rsidP="00AA6BF7">
      <w:pPr>
        <w:pStyle w:val="PSDS-MarcadoresNivel4"/>
        <w:tabs>
          <w:tab w:val="clear" w:pos="2271"/>
          <w:tab w:val="left" w:pos="720"/>
        </w:tabs>
        <w:spacing w:before="0" w:after="0"/>
        <w:ind w:left="0" w:firstLine="0"/>
        <w:rPr>
          <w:rFonts w:ascii="Times New Roman" w:hAnsi="Times New Roman" w:cs="Times New Roman"/>
          <w:szCs w:val="20"/>
          <w:lang w:val="pt-PT"/>
        </w:rPr>
      </w:pPr>
    </w:p>
    <w:p w:rsidR="00E76B8A" w:rsidRDefault="00E76B8A" w:rsidP="00AA6BF7">
      <w:pPr>
        <w:pStyle w:val="PSDS-MarcadoresNivel4"/>
        <w:tabs>
          <w:tab w:val="clear" w:pos="2271"/>
          <w:tab w:val="left" w:pos="720"/>
        </w:tabs>
        <w:spacing w:before="0" w:after="0"/>
        <w:ind w:left="0" w:firstLine="0"/>
        <w:rPr>
          <w:rFonts w:ascii="Times New Roman" w:hAnsi="Times New Roman" w:cs="Times New Roman"/>
          <w:szCs w:val="20"/>
          <w:lang w:val="pt-PT"/>
        </w:rPr>
      </w:pPr>
    </w:p>
    <w:p w:rsidR="00E76B8A" w:rsidRDefault="00E76B8A" w:rsidP="00E76B8A">
      <w:pPr>
        <w:pStyle w:val="PSDS-MarcadoresNivel4"/>
        <w:tabs>
          <w:tab w:val="clear" w:pos="2271"/>
          <w:tab w:val="left" w:pos="720"/>
        </w:tabs>
        <w:spacing w:before="0" w:after="0"/>
        <w:ind w:left="0" w:firstLine="0"/>
        <w:jc w:val="center"/>
        <w:rPr>
          <w:rFonts w:ascii="Times New Roman" w:hAnsi="Times New Roman" w:cs="Times New Roman"/>
          <w:szCs w:val="20"/>
          <w:lang w:val="pt-PT"/>
        </w:rPr>
      </w:pPr>
    </w:p>
    <w:p w:rsidR="00E76B8A" w:rsidRDefault="00E76B8A" w:rsidP="00AA6BF7">
      <w:pPr>
        <w:pStyle w:val="PSDS-MarcadoresNivel4"/>
        <w:tabs>
          <w:tab w:val="clear" w:pos="2271"/>
          <w:tab w:val="left" w:pos="720"/>
        </w:tabs>
        <w:spacing w:before="0" w:after="0"/>
        <w:ind w:left="0" w:firstLine="0"/>
        <w:rPr>
          <w:rFonts w:ascii="Times New Roman" w:hAnsi="Times New Roman" w:cs="Times New Roman"/>
          <w:szCs w:val="20"/>
          <w:lang w:val="pt-PT"/>
        </w:rPr>
      </w:pPr>
    </w:p>
    <w:p w:rsidR="00E76B8A" w:rsidRDefault="00E76B8A" w:rsidP="00AA6BF7">
      <w:pPr>
        <w:pStyle w:val="PSDS-MarcadoresNivel4"/>
        <w:tabs>
          <w:tab w:val="clear" w:pos="2271"/>
          <w:tab w:val="left" w:pos="720"/>
        </w:tabs>
        <w:spacing w:before="0" w:after="0"/>
        <w:ind w:left="0" w:firstLine="0"/>
        <w:rPr>
          <w:rFonts w:ascii="Times New Roman" w:hAnsi="Times New Roman" w:cs="Times New Roman"/>
          <w:szCs w:val="20"/>
          <w:lang w:val="pt-PT"/>
        </w:rPr>
      </w:pPr>
    </w:p>
    <w:p w:rsidR="00E76B8A" w:rsidRDefault="00E76B8A" w:rsidP="00AA6BF7">
      <w:pPr>
        <w:pStyle w:val="PSDS-MarcadoresNivel4"/>
        <w:tabs>
          <w:tab w:val="clear" w:pos="2271"/>
          <w:tab w:val="left" w:pos="720"/>
        </w:tabs>
        <w:spacing w:before="0" w:after="0"/>
        <w:ind w:left="0" w:firstLine="0"/>
        <w:rPr>
          <w:rFonts w:ascii="Times New Roman" w:hAnsi="Times New Roman" w:cs="Times New Roman"/>
          <w:szCs w:val="20"/>
          <w:lang w:val="pt-PT"/>
        </w:rPr>
      </w:pPr>
    </w:p>
    <w:p w:rsidR="00E76B8A" w:rsidRDefault="00E76B8A" w:rsidP="00AA6BF7">
      <w:pPr>
        <w:pStyle w:val="PSDS-MarcadoresNivel4"/>
        <w:tabs>
          <w:tab w:val="clear" w:pos="2271"/>
          <w:tab w:val="left" w:pos="720"/>
        </w:tabs>
        <w:spacing w:before="0" w:after="0"/>
        <w:ind w:left="0" w:firstLine="0"/>
        <w:rPr>
          <w:rFonts w:ascii="Times New Roman" w:hAnsi="Times New Roman" w:cs="Times New Roman"/>
          <w:szCs w:val="20"/>
          <w:lang w:val="pt-PT"/>
        </w:rPr>
      </w:pPr>
    </w:p>
    <w:p w:rsidR="00E76B8A" w:rsidRDefault="00E76B8A" w:rsidP="00AA6BF7">
      <w:pPr>
        <w:pStyle w:val="PSDS-MarcadoresNivel4"/>
        <w:tabs>
          <w:tab w:val="clear" w:pos="2271"/>
          <w:tab w:val="left" w:pos="720"/>
        </w:tabs>
        <w:spacing w:before="0" w:after="0"/>
        <w:ind w:left="0" w:firstLine="0"/>
        <w:rPr>
          <w:rFonts w:ascii="Times New Roman" w:hAnsi="Times New Roman" w:cs="Times New Roman"/>
          <w:szCs w:val="20"/>
          <w:lang w:val="pt-PT"/>
        </w:rPr>
      </w:pPr>
    </w:p>
    <w:p w:rsidR="00E76B8A" w:rsidRDefault="00E76B8A" w:rsidP="00AA6BF7">
      <w:pPr>
        <w:pStyle w:val="PSDS-MarcadoresNivel4"/>
        <w:tabs>
          <w:tab w:val="clear" w:pos="2271"/>
          <w:tab w:val="left" w:pos="720"/>
        </w:tabs>
        <w:spacing w:before="0" w:after="0"/>
        <w:ind w:left="0" w:firstLine="0"/>
        <w:rPr>
          <w:rFonts w:ascii="Times New Roman" w:hAnsi="Times New Roman" w:cs="Times New Roman"/>
          <w:szCs w:val="20"/>
          <w:lang w:val="pt-PT"/>
        </w:rPr>
      </w:pPr>
    </w:p>
    <w:p w:rsidR="00E76B8A" w:rsidRDefault="00E76B8A" w:rsidP="00AA6BF7">
      <w:pPr>
        <w:pStyle w:val="PSDS-MarcadoresNivel4"/>
        <w:tabs>
          <w:tab w:val="clear" w:pos="2271"/>
          <w:tab w:val="left" w:pos="720"/>
        </w:tabs>
        <w:spacing w:before="0" w:after="0"/>
        <w:ind w:left="0" w:firstLine="0"/>
        <w:rPr>
          <w:rFonts w:ascii="Times New Roman" w:hAnsi="Times New Roman" w:cs="Times New Roman"/>
          <w:szCs w:val="20"/>
          <w:lang w:val="pt-PT"/>
        </w:rPr>
      </w:pPr>
    </w:p>
    <w:p w:rsidR="00E76B8A" w:rsidRDefault="00E76B8A" w:rsidP="00AA6BF7">
      <w:pPr>
        <w:pStyle w:val="PSDS-MarcadoresNivel4"/>
        <w:tabs>
          <w:tab w:val="clear" w:pos="2271"/>
          <w:tab w:val="left" w:pos="720"/>
        </w:tabs>
        <w:spacing w:before="0" w:after="0"/>
        <w:ind w:left="0" w:firstLine="0"/>
        <w:rPr>
          <w:rFonts w:ascii="Times New Roman" w:hAnsi="Times New Roman" w:cs="Times New Roman"/>
          <w:szCs w:val="20"/>
          <w:lang w:val="pt-PT"/>
        </w:rPr>
      </w:pPr>
    </w:p>
    <w:p w:rsidR="00E76B8A" w:rsidRDefault="00E76B8A" w:rsidP="00AA6BF7">
      <w:pPr>
        <w:pStyle w:val="PSDS-MarcadoresNivel4"/>
        <w:tabs>
          <w:tab w:val="clear" w:pos="2271"/>
          <w:tab w:val="left" w:pos="720"/>
        </w:tabs>
        <w:spacing w:before="0" w:after="0"/>
        <w:ind w:left="0" w:firstLine="0"/>
        <w:rPr>
          <w:rFonts w:ascii="Times New Roman" w:hAnsi="Times New Roman" w:cs="Times New Roman"/>
          <w:szCs w:val="20"/>
          <w:lang w:val="pt-PT"/>
        </w:rPr>
      </w:pPr>
    </w:p>
    <w:p w:rsidR="00E76B8A" w:rsidRDefault="00E76B8A" w:rsidP="00AA6BF7">
      <w:pPr>
        <w:pStyle w:val="PSDS-MarcadoresNivel4"/>
        <w:tabs>
          <w:tab w:val="clear" w:pos="2271"/>
          <w:tab w:val="left" w:pos="720"/>
        </w:tabs>
        <w:spacing w:before="0" w:after="0"/>
        <w:ind w:left="0" w:firstLine="0"/>
        <w:rPr>
          <w:rFonts w:ascii="Times New Roman" w:hAnsi="Times New Roman" w:cs="Times New Roman"/>
          <w:szCs w:val="20"/>
          <w:lang w:val="pt-PT"/>
        </w:rPr>
      </w:pPr>
    </w:p>
    <w:p w:rsidR="00E76B8A" w:rsidRDefault="00E76B8A" w:rsidP="00AA6BF7">
      <w:pPr>
        <w:pStyle w:val="PSDS-MarcadoresNivel4"/>
        <w:tabs>
          <w:tab w:val="clear" w:pos="2271"/>
          <w:tab w:val="left" w:pos="720"/>
        </w:tabs>
        <w:spacing w:before="0" w:after="0"/>
        <w:ind w:left="0" w:firstLine="0"/>
        <w:rPr>
          <w:rFonts w:ascii="Times New Roman" w:hAnsi="Times New Roman" w:cs="Times New Roman"/>
          <w:szCs w:val="20"/>
          <w:lang w:val="pt-PT"/>
        </w:rPr>
      </w:pPr>
    </w:p>
    <w:p w:rsidR="00E76B8A" w:rsidRDefault="00E76B8A" w:rsidP="00AA6BF7">
      <w:pPr>
        <w:pStyle w:val="PSDS-MarcadoresNivel4"/>
        <w:tabs>
          <w:tab w:val="clear" w:pos="2271"/>
          <w:tab w:val="left" w:pos="720"/>
        </w:tabs>
        <w:spacing w:before="0" w:after="0"/>
        <w:ind w:left="0" w:firstLine="0"/>
        <w:rPr>
          <w:rFonts w:ascii="Times New Roman" w:hAnsi="Times New Roman" w:cs="Times New Roman"/>
          <w:szCs w:val="20"/>
          <w:lang w:val="pt-PT"/>
        </w:rPr>
      </w:pPr>
    </w:p>
    <w:p w:rsidR="00E76B8A" w:rsidRDefault="00E76B8A" w:rsidP="00AA6BF7">
      <w:pPr>
        <w:pStyle w:val="PSDS-MarcadoresNivel4"/>
        <w:tabs>
          <w:tab w:val="clear" w:pos="2271"/>
          <w:tab w:val="left" w:pos="720"/>
        </w:tabs>
        <w:spacing w:before="0" w:after="0"/>
        <w:ind w:left="0" w:firstLine="0"/>
        <w:rPr>
          <w:rFonts w:ascii="Times New Roman" w:hAnsi="Times New Roman" w:cs="Times New Roman"/>
          <w:szCs w:val="20"/>
          <w:lang w:val="pt-PT"/>
        </w:rPr>
      </w:pPr>
    </w:p>
    <w:p w:rsidR="00E76B8A" w:rsidRDefault="00E76B8A" w:rsidP="00AA6BF7">
      <w:pPr>
        <w:pStyle w:val="PSDS-MarcadoresNivel4"/>
        <w:tabs>
          <w:tab w:val="clear" w:pos="2271"/>
          <w:tab w:val="left" w:pos="720"/>
        </w:tabs>
        <w:spacing w:before="0" w:after="0"/>
        <w:ind w:left="0" w:firstLine="0"/>
        <w:rPr>
          <w:rFonts w:ascii="Times New Roman" w:hAnsi="Times New Roman" w:cs="Times New Roman"/>
          <w:szCs w:val="20"/>
          <w:lang w:val="pt-PT"/>
        </w:rPr>
      </w:pPr>
    </w:p>
    <w:p w:rsidR="00E76B8A" w:rsidRDefault="00E76B8A" w:rsidP="00AA6BF7">
      <w:pPr>
        <w:pStyle w:val="PSDS-MarcadoresNivel4"/>
        <w:tabs>
          <w:tab w:val="clear" w:pos="2271"/>
          <w:tab w:val="left" w:pos="720"/>
        </w:tabs>
        <w:spacing w:before="0" w:after="0"/>
        <w:ind w:left="0" w:firstLine="0"/>
        <w:rPr>
          <w:rFonts w:ascii="Times New Roman" w:hAnsi="Times New Roman" w:cs="Times New Roman"/>
          <w:szCs w:val="20"/>
          <w:lang w:val="pt-PT"/>
        </w:rPr>
      </w:pPr>
    </w:p>
    <w:p w:rsidR="00E76B8A" w:rsidRDefault="00E76B8A" w:rsidP="00AA6BF7">
      <w:pPr>
        <w:pStyle w:val="PSDS-MarcadoresNivel4"/>
        <w:tabs>
          <w:tab w:val="clear" w:pos="2271"/>
          <w:tab w:val="left" w:pos="720"/>
        </w:tabs>
        <w:spacing w:before="0" w:after="0"/>
        <w:ind w:left="0" w:firstLine="0"/>
        <w:rPr>
          <w:rFonts w:ascii="Times New Roman" w:hAnsi="Times New Roman" w:cs="Times New Roman"/>
          <w:szCs w:val="20"/>
          <w:lang w:val="pt-PT"/>
        </w:rPr>
      </w:pPr>
    </w:p>
    <w:p w:rsidR="00E76B8A" w:rsidRDefault="00E76B8A" w:rsidP="00AA6BF7">
      <w:pPr>
        <w:pStyle w:val="PSDS-MarcadoresNivel4"/>
        <w:tabs>
          <w:tab w:val="clear" w:pos="2271"/>
          <w:tab w:val="left" w:pos="720"/>
        </w:tabs>
        <w:spacing w:before="0" w:after="0"/>
        <w:ind w:left="0" w:firstLine="0"/>
        <w:rPr>
          <w:rFonts w:ascii="Times New Roman" w:hAnsi="Times New Roman" w:cs="Times New Roman"/>
          <w:szCs w:val="20"/>
          <w:lang w:val="pt-PT"/>
        </w:rPr>
      </w:pPr>
    </w:p>
    <w:p w:rsidR="00E76B8A" w:rsidRDefault="00E76B8A" w:rsidP="00AA6BF7">
      <w:pPr>
        <w:pStyle w:val="PSDS-MarcadoresNivel4"/>
        <w:tabs>
          <w:tab w:val="clear" w:pos="2271"/>
          <w:tab w:val="left" w:pos="720"/>
        </w:tabs>
        <w:spacing w:before="0" w:after="0"/>
        <w:ind w:left="0" w:firstLine="0"/>
        <w:rPr>
          <w:rFonts w:ascii="Times New Roman" w:hAnsi="Times New Roman" w:cs="Times New Roman"/>
          <w:szCs w:val="20"/>
          <w:lang w:val="pt-PT"/>
        </w:rPr>
      </w:pPr>
    </w:p>
    <w:p w:rsidR="00E76B8A" w:rsidRDefault="00E76B8A" w:rsidP="00AA6BF7">
      <w:pPr>
        <w:pStyle w:val="PSDS-MarcadoresNivel4"/>
        <w:tabs>
          <w:tab w:val="clear" w:pos="2271"/>
          <w:tab w:val="left" w:pos="720"/>
        </w:tabs>
        <w:spacing w:before="0" w:after="0"/>
        <w:ind w:left="0" w:firstLine="0"/>
        <w:rPr>
          <w:rFonts w:ascii="Times New Roman" w:hAnsi="Times New Roman" w:cs="Times New Roman"/>
          <w:szCs w:val="20"/>
          <w:lang w:val="pt-PT"/>
        </w:rPr>
      </w:pPr>
    </w:p>
    <w:p w:rsidR="00E76B8A" w:rsidRDefault="00E76B8A" w:rsidP="00AA6BF7">
      <w:pPr>
        <w:pStyle w:val="PSDS-MarcadoresNivel4"/>
        <w:tabs>
          <w:tab w:val="clear" w:pos="2271"/>
          <w:tab w:val="left" w:pos="720"/>
        </w:tabs>
        <w:spacing w:before="0" w:after="0"/>
        <w:ind w:left="0" w:firstLine="0"/>
        <w:rPr>
          <w:rFonts w:ascii="Times New Roman" w:hAnsi="Times New Roman" w:cs="Times New Roman"/>
          <w:szCs w:val="20"/>
          <w:lang w:val="pt-PT"/>
        </w:rPr>
      </w:pPr>
    </w:p>
    <w:p w:rsidR="00E76B8A" w:rsidRDefault="00E76B8A" w:rsidP="00AA6BF7">
      <w:pPr>
        <w:pStyle w:val="PSDS-MarcadoresNivel4"/>
        <w:tabs>
          <w:tab w:val="clear" w:pos="2271"/>
          <w:tab w:val="left" w:pos="720"/>
        </w:tabs>
        <w:spacing w:before="0" w:after="0"/>
        <w:ind w:left="0" w:firstLine="0"/>
        <w:rPr>
          <w:rFonts w:ascii="Times New Roman" w:hAnsi="Times New Roman" w:cs="Times New Roman"/>
          <w:szCs w:val="20"/>
          <w:lang w:val="pt-PT"/>
        </w:rPr>
      </w:pPr>
    </w:p>
    <w:p w:rsidR="00E76B8A" w:rsidRDefault="00E76B8A" w:rsidP="0053782C">
      <w:pPr>
        <w:pStyle w:val="PSDS-MarcadoresNivel4"/>
        <w:tabs>
          <w:tab w:val="clear" w:pos="2271"/>
          <w:tab w:val="left" w:pos="10230"/>
        </w:tabs>
        <w:spacing w:before="0" w:after="0"/>
        <w:ind w:left="0" w:firstLine="0"/>
        <w:rPr>
          <w:rFonts w:ascii="Times New Roman" w:hAnsi="Times New Roman" w:cs="Times New Roman"/>
          <w:szCs w:val="20"/>
          <w:lang w:val="pt-PT"/>
        </w:rPr>
      </w:pPr>
    </w:p>
    <w:p w:rsidR="0053782C" w:rsidRDefault="00B35FA3" w:rsidP="0053782C">
      <w:pPr>
        <w:pStyle w:val="PSDS-MarcadoresNivel4"/>
        <w:tabs>
          <w:tab w:val="clear" w:pos="2271"/>
          <w:tab w:val="left" w:pos="10230"/>
        </w:tabs>
        <w:spacing w:before="0" w:after="0"/>
        <w:ind w:left="0" w:firstLine="0"/>
        <w:jc w:val="center"/>
        <w:rPr>
          <w:rFonts w:ascii="Times New Roman" w:hAnsi="Times New Roman" w:cs="Times New Roman"/>
          <w:szCs w:val="20"/>
          <w:lang w:val="pt-PT"/>
        </w:rPr>
      </w:pPr>
      <w:r>
        <w:rPr>
          <w:rFonts w:ascii="Times New Roman" w:hAnsi="Times New Roman" w:cs="Times New Roman"/>
          <w:szCs w:val="20"/>
          <w:lang w:val="pt-PT"/>
        </w:rPr>
        <w:object w:dxaOrig="14835" w:dyaOrig="7935">
          <v:shape id="_x0000_i2014" type="#_x0000_t75" style="width:792.75pt;height:381.75pt" o:ole="">
            <v:imagedata r:id="rId781" o:title=""/>
          </v:shape>
          <o:OLEObject Type="Link" ProgID="Excel.Sheet.12" ShapeID="_x0000_i2014" DrawAspect="Content" r:id="rId782" UpdateMode="Always">
            <o:LinkType>EnhancedMetaFile</o:LinkType>
            <o:LockedField>false</o:LockedField>
          </o:OLEObject>
        </w:object>
      </w:r>
    </w:p>
    <w:p w:rsidR="00E76B8A" w:rsidRDefault="00E76B8A" w:rsidP="00AA6BF7">
      <w:pPr>
        <w:pStyle w:val="PSDS-MarcadoresNivel4"/>
        <w:tabs>
          <w:tab w:val="clear" w:pos="2271"/>
          <w:tab w:val="left" w:pos="720"/>
        </w:tabs>
        <w:spacing w:before="0" w:after="0"/>
        <w:ind w:left="0" w:firstLine="0"/>
        <w:rPr>
          <w:rFonts w:ascii="Times New Roman" w:hAnsi="Times New Roman" w:cs="Times New Roman"/>
          <w:szCs w:val="20"/>
          <w:lang w:val="pt-PT"/>
        </w:rPr>
      </w:pPr>
    </w:p>
    <w:p w:rsidR="00E76B8A" w:rsidRDefault="00E76B8A" w:rsidP="00AA6BF7">
      <w:pPr>
        <w:pStyle w:val="PSDS-MarcadoresNivel4"/>
        <w:tabs>
          <w:tab w:val="clear" w:pos="2271"/>
          <w:tab w:val="left" w:pos="720"/>
        </w:tabs>
        <w:spacing w:before="0" w:after="0"/>
        <w:ind w:left="0" w:firstLine="0"/>
        <w:rPr>
          <w:rFonts w:ascii="Times New Roman" w:hAnsi="Times New Roman" w:cs="Times New Roman"/>
          <w:szCs w:val="20"/>
          <w:lang w:val="pt-PT"/>
        </w:rPr>
      </w:pPr>
    </w:p>
    <w:p w:rsidR="00E76B8A" w:rsidRDefault="00E76B8A" w:rsidP="00E76B8A">
      <w:pPr>
        <w:pStyle w:val="PSDS-MarcadoresNivel4"/>
        <w:tabs>
          <w:tab w:val="clear" w:pos="2271"/>
          <w:tab w:val="left" w:pos="720"/>
        </w:tabs>
        <w:spacing w:before="0" w:after="0"/>
        <w:ind w:left="0" w:firstLine="0"/>
        <w:jc w:val="center"/>
        <w:rPr>
          <w:rFonts w:ascii="Times New Roman" w:hAnsi="Times New Roman" w:cs="Times New Roman"/>
          <w:szCs w:val="20"/>
          <w:lang w:val="pt-PT"/>
        </w:rPr>
      </w:pPr>
    </w:p>
    <w:p w:rsidR="00E76B8A" w:rsidRDefault="00E76B8A" w:rsidP="00AA6BF7">
      <w:pPr>
        <w:pStyle w:val="PSDS-MarcadoresNivel4"/>
        <w:tabs>
          <w:tab w:val="clear" w:pos="2271"/>
          <w:tab w:val="left" w:pos="720"/>
        </w:tabs>
        <w:spacing w:before="0" w:after="0"/>
        <w:ind w:left="0" w:firstLine="0"/>
        <w:rPr>
          <w:rFonts w:ascii="Times New Roman" w:hAnsi="Times New Roman" w:cs="Times New Roman"/>
          <w:szCs w:val="20"/>
          <w:lang w:val="pt-PT"/>
        </w:rPr>
      </w:pPr>
    </w:p>
    <w:p w:rsidR="00E76B8A" w:rsidRDefault="00E76B8A" w:rsidP="00AA6BF7">
      <w:pPr>
        <w:pStyle w:val="PSDS-MarcadoresNivel4"/>
        <w:tabs>
          <w:tab w:val="clear" w:pos="2271"/>
          <w:tab w:val="left" w:pos="720"/>
        </w:tabs>
        <w:spacing w:before="0" w:after="0"/>
        <w:ind w:left="0" w:firstLine="0"/>
        <w:rPr>
          <w:rFonts w:ascii="Times New Roman" w:hAnsi="Times New Roman" w:cs="Times New Roman"/>
          <w:szCs w:val="20"/>
          <w:lang w:val="pt-PT"/>
        </w:rPr>
      </w:pPr>
    </w:p>
    <w:p w:rsidR="00E76B8A" w:rsidRDefault="00E76B8A" w:rsidP="00AA6BF7">
      <w:pPr>
        <w:pStyle w:val="PSDS-MarcadoresNivel4"/>
        <w:tabs>
          <w:tab w:val="clear" w:pos="2271"/>
          <w:tab w:val="left" w:pos="720"/>
        </w:tabs>
        <w:spacing w:before="0" w:after="0"/>
        <w:ind w:left="0" w:firstLine="0"/>
        <w:rPr>
          <w:rFonts w:ascii="Times New Roman" w:hAnsi="Times New Roman" w:cs="Times New Roman"/>
          <w:szCs w:val="20"/>
          <w:lang w:val="pt-PT"/>
        </w:rPr>
      </w:pPr>
    </w:p>
    <w:p w:rsidR="00E76B8A" w:rsidRDefault="00E76B8A" w:rsidP="00AA6BF7">
      <w:pPr>
        <w:pStyle w:val="PSDS-MarcadoresNivel4"/>
        <w:tabs>
          <w:tab w:val="clear" w:pos="2271"/>
          <w:tab w:val="left" w:pos="720"/>
        </w:tabs>
        <w:spacing w:before="0" w:after="0"/>
        <w:ind w:left="0" w:firstLine="0"/>
        <w:rPr>
          <w:rFonts w:ascii="Times New Roman" w:hAnsi="Times New Roman" w:cs="Times New Roman"/>
          <w:szCs w:val="20"/>
          <w:lang w:val="pt-PT"/>
        </w:rPr>
      </w:pPr>
    </w:p>
    <w:p w:rsidR="00E76B8A" w:rsidRDefault="00B35FA3" w:rsidP="0053782C">
      <w:pPr>
        <w:pStyle w:val="PSDS-MarcadoresNivel4"/>
        <w:tabs>
          <w:tab w:val="clear" w:pos="2271"/>
          <w:tab w:val="left" w:pos="720"/>
        </w:tabs>
        <w:spacing w:before="0" w:after="0"/>
        <w:ind w:left="0" w:firstLine="0"/>
        <w:jc w:val="center"/>
        <w:rPr>
          <w:rFonts w:ascii="Times New Roman" w:hAnsi="Times New Roman" w:cs="Times New Roman"/>
          <w:szCs w:val="20"/>
          <w:lang w:val="pt-PT"/>
        </w:rPr>
      </w:pPr>
      <w:r>
        <w:rPr>
          <w:rFonts w:ascii="Times New Roman" w:hAnsi="Times New Roman" w:cs="Times New Roman"/>
          <w:szCs w:val="20"/>
          <w:lang w:val="pt-PT"/>
        </w:rPr>
        <w:object w:dxaOrig="14835" w:dyaOrig="7185">
          <v:shape id="_x0000_i2016" type="#_x0000_t75" style="width:792.75pt;height:349.5pt" o:ole="">
            <v:imagedata r:id="rId783" o:title=""/>
          </v:shape>
          <o:OLEObject Type="Link" ProgID="Excel.Sheet.12" ShapeID="_x0000_i2016" DrawAspect="Content" r:id="rId784" UpdateMode="Always">
            <o:LinkType>EnhancedMetaFile</o:LinkType>
            <o:LockedField>false</o:LockedField>
          </o:OLEObject>
        </w:object>
      </w:r>
    </w:p>
    <w:p w:rsidR="00E76B8A" w:rsidRDefault="00E76B8A" w:rsidP="00AA6BF7">
      <w:pPr>
        <w:pStyle w:val="PSDS-MarcadoresNivel4"/>
        <w:tabs>
          <w:tab w:val="clear" w:pos="2271"/>
          <w:tab w:val="left" w:pos="720"/>
        </w:tabs>
        <w:spacing w:before="0" w:after="0"/>
        <w:ind w:left="0" w:firstLine="0"/>
        <w:rPr>
          <w:rFonts w:ascii="Times New Roman" w:hAnsi="Times New Roman" w:cs="Times New Roman"/>
          <w:szCs w:val="20"/>
          <w:lang w:val="pt-PT"/>
        </w:rPr>
      </w:pPr>
    </w:p>
    <w:p w:rsidR="00E76B8A" w:rsidRDefault="00E76B8A" w:rsidP="00AA6BF7">
      <w:pPr>
        <w:pStyle w:val="PSDS-MarcadoresNivel4"/>
        <w:tabs>
          <w:tab w:val="clear" w:pos="2271"/>
          <w:tab w:val="left" w:pos="720"/>
        </w:tabs>
        <w:spacing w:before="0" w:after="0"/>
        <w:ind w:left="0" w:firstLine="0"/>
        <w:rPr>
          <w:rFonts w:ascii="Times New Roman" w:hAnsi="Times New Roman" w:cs="Times New Roman"/>
          <w:szCs w:val="20"/>
          <w:lang w:val="pt-PT"/>
        </w:rPr>
      </w:pPr>
    </w:p>
    <w:p w:rsidR="00E76B8A" w:rsidRDefault="00E76B8A" w:rsidP="00E76B8A">
      <w:pPr>
        <w:pStyle w:val="PSDS-MarcadoresNivel4"/>
        <w:tabs>
          <w:tab w:val="clear" w:pos="2271"/>
          <w:tab w:val="left" w:pos="720"/>
        </w:tabs>
        <w:spacing w:before="0" w:after="0"/>
        <w:ind w:left="0" w:firstLine="0"/>
        <w:jc w:val="center"/>
        <w:rPr>
          <w:rFonts w:ascii="Times New Roman" w:hAnsi="Times New Roman" w:cs="Times New Roman"/>
          <w:szCs w:val="20"/>
          <w:lang w:val="pt-PT"/>
        </w:rPr>
      </w:pPr>
    </w:p>
    <w:p w:rsidR="00E76B8A" w:rsidRDefault="00E76B8A" w:rsidP="00AA6BF7">
      <w:pPr>
        <w:pStyle w:val="PSDS-MarcadoresNivel4"/>
        <w:tabs>
          <w:tab w:val="clear" w:pos="2271"/>
          <w:tab w:val="left" w:pos="720"/>
        </w:tabs>
        <w:spacing w:before="0" w:after="0"/>
        <w:ind w:left="0" w:firstLine="0"/>
        <w:rPr>
          <w:rFonts w:ascii="Times New Roman" w:hAnsi="Times New Roman" w:cs="Times New Roman"/>
          <w:szCs w:val="20"/>
          <w:lang w:val="pt-PT"/>
        </w:rPr>
      </w:pPr>
    </w:p>
    <w:p w:rsidR="00E76B8A" w:rsidRDefault="00E76B8A" w:rsidP="00AA6BF7">
      <w:pPr>
        <w:pStyle w:val="PSDS-MarcadoresNivel4"/>
        <w:tabs>
          <w:tab w:val="clear" w:pos="2271"/>
          <w:tab w:val="left" w:pos="720"/>
        </w:tabs>
        <w:spacing w:before="0" w:after="0"/>
        <w:ind w:left="0" w:firstLine="0"/>
        <w:rPr>
          <w:rFonts w:ascii="Times New Roman" w:hAnsi="Times New Roman" w:cs="Times New Roman"/>
          <w:szCs w:val="20"/>
          <w:lang w:val="pt-PT"/>
        </w:rPr>
      </w:pPr>
    </w:p>
    <w:p w:rsidR="00E76B8A" w:rsidRDefault="00B35FA3" w:rsidP="0053782C">
      <w:pPr>
        <w:pStyle w:val="PSDS-MarcadoresNivel4"/>
        <w:tabs>
          <w:tab w:val="clear" w:pos="2271"/>
          <w:tab w:val="left" w:pos="720"/>
        </w:tabs>
        <w:spacing w:before="0" w:after="0"/>
        <w:ind w:left="0" w:firstLine="0"/>
        <w:jc w:val="center"/>
        <w:rPr>
          <w:rFonts w:ascii="Times New Roman" w:hAnsi="Times New Roman" w:cs="Times New Roman"/>
          <w:szCs w:val="20"/>
          <w:lang w:val="pt-PT"/>
        </w:rPr>
      </w:pPr>
      <w:r>
        <w:rPr>
          <w:rFonts w:ascii="Times New Roman" w:hAnsi="Times New Roman" w:cs="Times New Roman"/>
          <w:szCs w:val="20"/>
          <w:lang w:val="pt-PT"/>
        </w:rPr>
        <w:object w:dxaOrig="14835" w:dyaOrig="8235">
          <v:shape id="_x0000_i2018" type="#_x0000_t75" style="width:792.75pt;height:396.75pt" o:ole="">
            <v:imagedata r:id="rId785" o:title=""/>
          </v:shape>
          <o:OLEObject Type="Link" ProgID="Excel.Sheet.12" ShapeID="_x0000_i2018" DrawAspect="Content" r:id="rId786" UpdateMode="Always">
            <o:LinkType>EnhancedMetaFile</o:LinkType>
            <o:LockedField>false</o:LockedField>
          </o:OLEObject>
        </w:object>
      </w:r>
    </w:p>
    <w:p w:rsidR="00E76B8A" w:rsidRDefault="00E76B8A" w:rsidP="00AA6BF7">
      <w:pPr>
        <w:pStyle w:val="PSDS-MarcadoresNivel4"/>
        <w:tabs>
          <w:tab w:val="clear" w:pos="2271"/>
          <w:tab w:val="left" w:pos="720"/>
        </w:tabs>
        <w:spacing w:before="0" w:after="0"/>
        <w:ind w:left="0" w:firstLine="0"/>
        <w:rPr>
          <w:rFonts w:ascii="Times New Roman" w:hAnsi="Times New Roman" w:cs="Times New Roman"/>
          <w:szCs w:val="20"/>
          <w:lang w:val="pt-PT"/>
        </w:rPr>
      </w:pPr>
    </w:p>
    <w:p w:rsidR="00E76B8A" w:rsidRDefault="00E76B8A" w:rsidP="00AA6BF7">
      <w:pPr>
        <w:pStyle w:val="PSDS-MarcadoresNivel4"/>
        <w:tabs>
          <w:tab w:val="clear" w:pos="2271"/>
          <w:tab w:val="left" w:pos="720"/>
        </w:tabs>
        <w:spacing w:before="0" w:after="0"/>
        <w:ind w:left="0" w:firstLine="0"/>
        <w:rPr>
          <w:rFonts w:ascii="Times New Roman" w:hAnsi="Times New Roman" w:cs="Times New Roman"/>
          <w:szCs w:val="20"/>
          <w:lang w:val="pt-PT"/>
        </w:rPr>
      </w:pPr>
    </w:p>
    <w:p w:rsidR="00E76B8A" w:rsidRDefault="00E76B8A" w:rsidP="00E76B8A">
      <w:pPr>
        <w:pStyle w:val="PSDS-MarcadoresNivel4"/>
        <w:tabs>
          <w:tab w:val="clear" w:pos="2271"/>
          <w:tab w:val="left" w:pos="720"/>
        </w:tabs>
        <w:spacing w:before="0" w:after="0"/>
        <w:ind w:left="0" w:firstLine="0"/>
        <w:jc w:val="center"/>
        <w:rPr>
          <w:rFonts w:ascii="Times New Roman" w:hAnsi="Times New Roman" w:cs="Times New Roman"/>
          <w:szCs w:val="20"/>
          <w:lang w:val="pt-PT"/>
        </w:rPr>
      </w:pPr>
    </w:p>
    <w:p w:rsidR="0053782C" w:rsidRDefault="0053782C" w:rsidP="00BB0C65">
      <w:pPr>
        <w:spacing w:after="200" w:line="276" w:lineRule="auto"/>
        <w:rPr>
          <w:rFonts w:cs="Times New Roman"/>
          <w:szCs w:val="20"/>
          <w:lang w:val="pt-PT"/>
        </w:rPr>
      </w:pPr>
    </w:p>
    <w:p w:rsidR="00AA6BF7" w:rsidRPr="00BB0C65" w:rsidRDefault="0053782C" w:rsidP="00BB0C65">
      <w:pPr>
        <w:spacing w:after="200" w:line="276" w:lineRule="auto"/>
        <w:rPr>
          <w:rFonts w:cs="Times New Roman"/>
          <w:b/>
          <w:szCs w:val="20"/>
          <w:lang w:val="pt-PT"/>
        </w:rPr>
      </w:pPr>
      <w:r>
        <w:rPr>
          <w:rFonts w:cs="Times New Roman"/>
          <w:b/>
          <w:szCs w:val="20"/>
          <w:lang w:val="pt-PT"/>
        </w:rPr>
        <w:t>I</w:t>
      </w:r>
      <w:r w:rsidR="00AA6BF7" w:rsidRPr="00BB0C65">
        <w:rPr>
          <w:rFonts w:cs="Times New Roman"/>
          <w:b/>
          <w:szCs w:val="20"/>
          <w:lang w:val="pt-PT"/>
        </w:rPr>
        <w:t xml:space="preserve"> – Regra de Validação de Registro:</w:t>
      </w:r>
    </w:p>
    <w:p w:rsidR="007603E5" w:rsidRPr="00FA3856" w:rsidRDefault="00AA6BF7" w:rsidP="007603E5">
      <w:pPr>
        <w:pStyle w:val="PSDS-MarcadoresNivel4"/>
        <w:tabs>
          <w:tab w:val="clear" w:pos="2271"/>
          <w:tab w:val="left" w:pos="720"/>
        </w:tabs>
        <w:spacing w:before="0" w:after="0"/>
        <w:ind w:left="0" w:firstLine="0"/>
        <w:rPr>
          <w:rFonts w:ascii="Times New Roman" w:hAnsi="Times New Roman" w:cs="Times New Roman"/>
          <w:b w:val="0"/>
          <w:szCs w:val="20"/>
          <w:lang w:val="pt-PT"/>
        </w:rPr>
      </w:pPr>
      <w:r w:rsidRPr="00FA3856">
        <w:rPr>
          <w:rFonts w:ascii="Times New Roman" w:hAnsi="Times New Roman" w:cs="Times New Roman"/>
          <w:szCs w:val="20"/>
          <w:lang w:val="pt-PT"/>
        </w:rPr>
        <w:lastRenderedPageBreak/>
        <w:t xml:space="preserve">REGRA_CAMPOS_X450: </w:t>
      </w:r>
      <w:r w:rsidRPr="00FA3856">
        <w:rPr>
          <w:rFonts w:ascii="Times New Roman" w:hAnsi="Times New Roman" w:cs="Times New Roman"/>
          <w:b w:val="0"/>
          <w:szCs w:val="20"/>
          <w:lang w:val="pt-PT"/>
        </w:rPr>
        <w:t>Verifica se, pelo menos, um dos campos 3 a 10 está preenchido, quando os campos 1 e 2 estiverem preenchidos. Se a regra não cumprida, o sistema gera um erro.</w:t>
      </w:r>
    </w:p>
    <w:p w:rsidR="007603E5" w:rsidRPr="00FA3856" w:rsidRDefault="007603E5" w:rsidP="007603E5">
      <w:pPr>
        <w:pStyle w:val="PSDS-MarcadoresNivel4"/>
        <w:tabs>
          <w:tab w:val="clear" w:pos="2271"/>
          <w:tab w:val="left" w:pos="720"/>
        </w:tabs>
        <w:spacing w:before="0" w:after="0"/>
        <w:ind w:left="0" w:firstLine="0"/>
        <w:rPr>
          <w:rFonts w:ascii="Times New Roman" w:hAnsi="Times New Roman" w:cs="Times New Roman"/>
          <w:b w:val="0"/>
          <w:szCs w:val="20"/>
          <w:lang w:val="pt-PT"/>
        </w:rPr>
      </w:pPr>
    </w:p>
    <w:p w:rsidR="007603E5" w:rsidRPr="00FA3856" w:rsidRDefault="007603E5" w:rsidP="007603E5">
      <w:pPr>
        <w:pStyle w:val="PSDS-MarcadoresNivel4"/>
        <w:tabs>
          <w:tab w:val="clear" w:pos="2271"/>
          <w:tab w:val="left" w:pos="720"/>
        </w:tabs>
        <w:spacing w:before="0" w:after="0"/>
        <w:ind w:left="0" w:firstLine="0"/>
        <w:rPr>
          <w:rFonts w:ascii="Times New Roman" w:hAnsi="Times New Roman" w:cs="Times New Roman"/>
          <w:b w:val="0"/>
          <w:szCs w:val="20"/>
          <w:lang w:val="pt-PT"/>
        </w:rPr>
      </w:pPr>
      <w:r w:rsidRPr="00FA3856">
        <w:rPr>
          <w:rFonts w:ascii="Times New Roman" w:hAnsi="Times New Roman" w:cs="Times New Roman"/>
          <w:bCs w:val="0"/>
          <w:szCs w:val="20"/>
        </w:rPr>
        <w:t xml:space="preserve">REGRA_ROYALTIES_BRASIL: </w:t>
      </w:r>
      <w:r w:rsidRPr="00FA3856">
        <w:rPr>
          <w:rFonts w:ascii="Times New Roman" w:hAnsi="Times New Roman" w:cs="Times New Roman"/>
          <w:b w:val="0"/>
          <w:bCs w:val="0"/>
          <w:szCs w:val="20"/>
        </w:rPr>
        <w:t xml:space="preserve">Verifica, quando 0010.COD_QUALIF_PJ = “01” (PJ em Geral) e 0010_FORMA_TRIB = “1” (Lucro Real) </w:t>
      </w:r>
      <w:r w:rsidR="00AE7FBB" w:rsidRPr="00FA3856">
        <w:rPr>
          <w:rFonts w:ascii="Times New Roman" w:hAnsi="Times New Roman" w:cs="Times New Roman"/>
          <w:b w:val="0"/>
          <w:bCs w:val="0"/>
          <w:szCs w:val="20"/>
        </w:rPr>
        <w:t>e (</w:t>
      </w:r>
      <w:r w:rsidRPr="00FA3856">
        <w:rPr>
          <w:rFonts w:ascii="Times New Roman" w:hAnsi="Times New Roman" w:cs="Times New Roman"/>
          <w:b w:val="0"/>
          <w:bCs w:val="0"/>
          <w:szCs w:val="20"/>
        </w:rPr>
        <w:t>L210 (27) &gt; 0 ou L300(“3.01.01.07.01.31”) &gt; 0 ou L300 (“3.11.01.07.01.</w:t>
      </w:r>
      <w:r w:rsidR="006671A6" w:rsidRPr="00FA3856">
        <w:rPr>
          <w:rFonts w:ascii="Times New Roman" w:hAnsi="Times New Roman" w:cs="Times New Roman"/>
          <w:b w:val="0"/>
          <w:bCs w:val="0"/>
          <w:szCs w:val="20"/>
        </w:rPr>
        <w:t>3</w:t>
      </w:r>
      <w:r w:rsidR="000766D2" w:rsidRPr="00FA3856">
        <w:rPr>
          <w:rFonts w:ascii="Times New Roman" w:hAnsi="Times New Roman" w:cs="Times New Roman"/>
          <w:b w:val="0"/>
          <w:bCs w:val="0"/>
          <w:szCs w:val="20"/>
        </w:rPr>
        <w:t>1</w:t>
      </w:r>
      <w:r w:rsidR="006671A6" w:rsidRPr="00FA3856">
        <w:rPr>
          <w:rFonts w:ascii="Times New Roman" w:hAnsi="Times New Roman" w:cs="Times New Roman"/>
          <w:b w:val="0"/>
          <w:bCs w:val="0"/>
          <w:szCs w:val="20"/>
        </w:rPr>
        <w:t>”)</w:t>
      </w:r>
      <w:r w:rsidR="0011050B" w:rsidRPr="00FA3856">
        <w:rPr>
          <w:rFonts w:ascii="Times New Roman" w:hAnsi="Times New Roman" w:cs="Times New Roman"/>
          <w:b w:val="0"/>
          <w:bCs w:val="0"/>
          <w:szCs w:val="20"/>
        </w:rPr>
        <w:t xml:space="preserve">, se existe um X450.PAIS </w:t>
      </w:r>
      <w:r w:rsidRPr="00FA3856">
        <w:rPr>
          <w:rFonts w:ascii="Times New Roman" w:hAnsi="Times New Roman" w:cs="Times New Roman"/>
          <w:b w:val="0"/>
          <w:bCs w:val="0"/>
          <w:szCs w:val="20"/>
        </w:rPr>
        <w:t xml:space="preserve">com preenchimento igual a “105” (Brasil). Se a regra não for cumprida, o sistema gera um </w:t>
      </w:r>
      <w:r w:rsidR="00E21F24" w:rsidRPr="00FA3856">
        <w:rPr>
          <w:rFonts w:ascii="Times New Roman" w:hAnsi="Times New Roman" w:cs="Times New Roman"/>
          <w:b w:val="0"/>
          <w:bCs w:val="0"/>
          <w:szCs w:val="20"/>
        </w:rPr>
        <w:t>erro</w:t>
      </w:r>
      <w:r w:rsidRPr="00FA3856">
        <w:rPr>
          <w:rFonts w:ascii="Times New Roman" w:hAnsi="Times New Roman" w:cs="Times New Roman"/>
          <w:b w:val="0"/>
          <w:bCs w:val="0"/>
          <w:szCs w:val="20"/>
        </w:rPr>
        <w:t>.</w:t>
      </w:r>
    </w:p>
    <w:p w:rsidR="007603E5" w:rsidRPr="00FA3856" w:rsidRDefault="007603E5" w:rsidP="007603E5">
      <w:pPr>
        <w:pStyle w:val="PSDS-MarcadoresNivel4"/>
        <w:tabs>
          <w:tab w:val="clear" w:pos="2271"/>
          <w:tab w:val="left" w:pos="720"/>
        </w:tabs>
        <w:spacing w:before="0" w:after="0"/>
        <w:ind w:left="0" w:firstLine="0"/>
        <w:jc w:val="both"/>
        <w:rPr>
          <w:rFonts w:ascii="Times New Roman" w:hAnsi="Times New Roman" w:cs="Times New Roman"/>
          <w:bCs w:val="0"/>
          <w:szCs w:val="20"/>
        </w:rPr>
      </w:pPr>
    </w:p>
    <w:p w:rsidR="000766D2" w:rsidRPr="00FA3856" w:rsidRDefault="007603E5" w:rsidP="000766D2">
      <w:pPr>
        <w:pStyle w:val="PSDS-MarcadoresNivel4"/>
        <w:tabs>
          <w:tab w:val="clear" w:pos="2271"/>
          <w:tab w:val="left" w:pos="720"/>
        </w:tabs>
        <w:spacing w:before="0" w:after="0"/>
        <w:ind w:left="0" w:firstLine="0"/>
        <w:rPr>
          <w:rFonts w:ascii="Times New Roman" w:hAnsi="Times New Roman" w:cs="Times New Roman"/>
          <w:b w:val="0"/>
          <w:szCs w:val="20"/>
          <w:lang w:val="pt-PT"/>
        </w:rPr>
      </w:pPr>
      <w:r w:rsidRPr="00FA3856">
        <w:rPr>
          <w:rFonts w:ascii="Times New Roman" w:hAnsi="Times New Roman" w:cs="Times New Roman"/>
          <w:bCs w:val="0"/>
          <w:szCs w:val="20"/>
        </w:rPr>
        <w:t xml:space="preserve">REGRA_ROYALTIES_EXTERIOR: </w:t>
      </w:r>
      <w:r w:rsidRPr="00FA3856">
        <w:rPr>
          <w:rFonts w:ascii="Times New Roman" w:hAnsi="Times New Roman" w:cs="Times New Roman"/>
          <w:b w:val="0"/>
          <w:bCs w:val="0"/>
          <w:szCs w:val="20"/>
        </w:rPr>
        <w:t xml:space="preserve">Verifica, quando 0010.COD_QUALIF_PJ = “01” (PJ em Geral) e 0010_FORMA_TRIB = “1” (Lucro Real) </w:t>
      </w:r>
      <w:r w:rsidR="00AE7FBB" w:rsidRPr="00FA3856">
        <w:rPr>
          <w:rFonts w:ascii="Times New Roman" w:hAnsi="Times New Roman" w:cs="Times New Roman"/>
          <w:b w:val="0"/>
          <w:bCs w:val="0"/>
          <w:szCs w:val="20"/>
        </w:rPr>
        <w:t>e (</w:t>
      </w:r>
      <w:r w:rsidRPr="00FA3856">
        <w:rPr>
          <w:rFonts w:ascii="Times New Roman" w:hAnsi="Times New Roman" w:cs="Times New Roman"/>
          <w:b w:val="0"/>
          <w:bCs w:val="0"/>
          <w:szCs w:val="20"/>
        </w:rPr>
        <w:t>L210 (28) &gt; 0 ou L300(“3.01.01.07.01.32”</w:t>
      </w:r>
      <w:r w:rsidR="000766D2" w:rsidRPr="00FA3856">
        <w:rPr>
          <w:rFonts w:ascii="Times New Roman" w:hAnsi="Times New Roman" w:cs="Times New Roman"/>
          <w:b w:val="0"/>
          <w:bCs w:val="0"/>
          <w:szCs w:val="20"/>
        </w:rPr>
        <w:t>) &gt; 0 ou L300 (“3.11.01.07.01.32</w:t>
      </w:r>
      <w:r w:rsidRPr="00FA3856">
        <w:rPr>
          <w:rFonts w:ascii="Times New Roman" w:hAnsi="Times New Roman" w:cs="Times New Roman"/>
          <w:b w:val="0"/>
          <w:bCs w:val="0"/>
          <w:szCs w:val="20"/>
        </w:rPr>
        <w:t xml:space="preserve">”), se existe pelo menos um </w:t>
      </w:r>
      <w:r w:rsidR="006671A6" w:rsidRPr="00FA3856">
        <w:rPr>
          <w:rFonts w:ascii="Times New Roman" w:hAnsi="Times New Roman" w:cs="Times New Roman"/>
          <w:b w:val="0"/>
          <w:bCs w:val="0"/>
          <w:szCs w:val="20"/>
        </w:rPr>
        <w:t>X3</w:t>
      </w:r>
      <w:r w:rsidR="0011050B" w:rsidRPr="00FA3856">
        <w:rPr>
          <w:rFonts w:ascii="Times New Roman" w:hAnsi="Times New Roman" w:cs="Times New Roman"/>
          <w:b w:val="0"/>
          <w:bCs w:val="0"/>
          <w:szCs w:val="20"/>
        </w:rPr>
        <w:t xml:space="preserve">50.PAIS </w:t>
      </w:r>
      <w:r w:rsidRPr="00FA3856">
        <w:rPr>
          <w:rFonts w:ascii="Times New Roman" w:hAnsi="Times New Roman" w:cs="Times New Roman"/>
          <w:b w:val="0"/>
          <w:bCs w:val="0"/>
          <w:szCs w:val="20"/>
        </w:rPr>
        <w:t>com preenchimento diferente de “105” (Brasil).</w:t>
      </w:r>
      <w:r w:rsidR="000766D2" w:rsidRPr="00FA3856">
        <w:rPr>
          <w:rFonts w:ascii="Times New Roman" w:hAnsi="Times New Roman" w:cs="Times New Roman"/>
          <w:b w:val="0"/>
          <w:bCs w:val="0"/>
          <w:szCs w:val="20"/>
        </w:rPr>
        <w:t xml:space="preserve"> Se a regra não for cumprida, o sistema gera um </w:t>
      </w:r>
      <w:r w:rsidR="00E21F24" w:rsidRPr="00FA3856">
        <w:rPr>
          <w:rFonts w:ascii="Times New Roman" w:hAnsi="Times New Roman" w:cs="Times New Roman"/>
          <w:b w:val="0"/>
          <w:bCs w:val="0"/>
          <w:szCs w:val="20"/>
        </w:rPr>
        <w:t>erro</w:t>
      </w:r>
      <w:r w:rsidR="000766D2" w:rsidRPr="00FA3856">
        <w:rPr>
          <w:rFonts w:ascii="Times New Roman" w:hAnsi="Times New Roman" w:cs="Times New Roman"/>
          <w:b w:val="0"/>
          <w:bCs w:val="0"/>
          <w:szCs w:val="20"/>
        </w:rPr>
        <w:t>.</w:t>
      </w:r>
    </w:p>
    <w:p w:rsidR="007603E5" w:rsidRPr="00FA3856" w:rsidRDefault="007603E5" w:rsidP="00053F07">
      <w:pPr>
        <w:pStyle w:val="Corpodetexto"/>
        <w:rPr>
          <w:rFonts w:ascii="Times New Roman" w:hAnsi="Times New Roman"/>
          <w:b/>
          <w:color w:val="002060"/>
          <w:szCs w:val="20"/>
        </w:rPr>
      </w:pPr>
    </w:p>
    <w:p w:rsidR="00E76B8A" w:rsidRDefault="006671A6" w:rsidP="00053F07">
      <w:pPr>
        <w:pStyle w:val="Corpodetexto"/>
        <w:rPr>
          <w:rFonts w:ascii="Times New Roman" w:hAnsi="Times New Roman"/>
          <w:b/>
          <w:color w:val="002060"/>
          <w:szCs w:val="20"/>
        </w:rPr>
      </w:pPr>
      <w:r w:rsidRPr="00FA3856">
        <w:rPr>
          <w:rFonts w:ascii="Times New Roman" w:hAnsi="Times New Roman"/>
          <w:b/>
          <w:color w:val="002060"/>
          <w:szCs w:val="20"/>
        </w:rPr>
        <w:t xml:space="preserve">Exemplo de Preenchimento: </w:t>
      </w:r>
    </w:p>
    <w:p w:rsidR="00E76B8A" w:rsidRDefault="00E76B8A" w:rsidP="00053F07">
      <w:pPr>
        <w:pStyle w:val="Corpodetexto"/>
        <w:rPr>
          <w:rFonts w:ascii="Times New Roman" w:hAnsi="Times New Roman"/>
          <w:b/>
          <w:color w:val="002060"/>
          <w:szCs w:val="20"/>
        </w:rPr>
      </w:pPr>
    </w:p>
    <w:p w:rsidR="00053F07" w:rsidRPr="00FA3856" w:rsidRDefault="00053F07" w:rsidP="00053F07">
      <w:pPr>
        <w:pStyle w:val="Corpodetexto"/>
        <w:rPr>
          <w:rFonts w:ascii="Times New Roman" w:hAnsi="Times New Roman"/>
          <w:b/>
          <w:color w:val="002060"/>
          <w:szCs w:val="20"/>
        </w:rPr>
      </w:pPr>
      <w:r w:rsidRPr="00FA3856">
        <w:rPr>
          <w:rFonts w:ascii="Times New Roman" w:hAnsi="Times New Roman"/>
          <w:b/>
          <w:color w:val="002060"/>
          <w:szCs w:val="20"/>
        </w:rPr>
        <w:t>|X450|105|50000,00|10000,00|5000,00|6000,00|7000,00|8000,00|9000,00|10000,00|</w:t>
      </w:r>
    </w:p>
    <w:p w:rsidR="00053F07" w:rsidRPr="00FA3856" w:rsidRDefault="00053F07" w:rsidP="00053F07">
      <w:pPr>
        <w:pStyle w:val="Corpodetexto"/>
        <w:ind w:firstLine="708"/>
        <w:rPr>
          <w:rFonts w:ascii="Times New Roman" w:hAnsi="Times New Roman"/>
          <w:color w:val="002060"/>
          <w:szCs w:val="20"/>
        </w:rPr>
      </w:pPr>
      <w:r w:rsidRPr="00FA3856">
        <w:rPr>
          <w:rFonts w:ascii="Times New Roman" w:hAnsi="Times New Roman"/>
          <w:color w:val="002060"/>
          <w:szCs w:val="20"/>
        </w:rPr>
        <w:t>|X450|: Identificação do tipo do registro.</w:t>
      </w:r>
    </w:p>
    <w:p w:rsidR="00053F07" w:rsidRPr="00FA3856" w:rsidRDefault="00053F07" w:rsidP="00053F07">
      <w:pPr>
        <w:pStyle w:val="Corpodetexto"/>
        <w:ind w:firstLine="708"/>
        <w:rPr>
          <w:rFonts w:ascii="Times New Roman" w:hAnsi="Times New Roman"/>
          <w:color w:val="002060"/>
          <w:szCs w:val="20"/>
        </w:rPr>
      </w:pPr>
      <w:r w:rsidRPr="00FA3856">
        <w:rPr>
          <w:rFonts w:ascii="Times New Roman" w:hAnsi="Times New Roman"/>
          <w:color w:val="002060"/>
          <w:szCs w:val="20"/>
        </w:rPr>
        <w:t>|105|: Código do país (105 = Brasil).</w:t>
      </w:r>
    </w:p>
    <w:p w:rsidR="00053F07" w:rsidRPr="00FA3856" w:rsidRDefault="00053F07" w:rsidP="00053F07">
      <w:pPr>
        <w:pStyle w:val="Corpodetexto"/>
        <w:ind w:firstLine="708"/>
        <w:rPr>
          <w:rFonts w:ascii="Times New Roman" w:hAnsi="Times New Roman"/>
          <w:color w:val="002060"/>
          <w:szCs w:val="20"/>
        </w:rPr>
      </w:pPr>
      <w:r w:rsidRPr="00FA3856">
        <w:rPr>
          <w:rFonts w:ascii="Times New Roman" w:hAnsi="Times New Roman"/>
          <w:color w:val="002060"/>
          <w:szCs w:val="20"/>
        </w:rPr>
        <w:t>|50000,00|: Valor dos Serviços de Assistência Técnica, Científica, Administrativa e Assemelhados com Transferência de Tecnologia (R$ 50.000,00).</w:t>
      </w:r>
    </w:p>
    <w:p w:rsidR="00053F07" w:rsidRPr="00FA3856" w:rsidRDefault="00053F07" w:rsidP="00053F07">
      <w:pPr>
        <w:pStyle w:val="Corpodetexto"/>
        <w:ind w:firstLine="708"/>
        <w:rPr>
          <w:rFonts w:ascii="Times New Roman" w:hAnsi="Times New Roman"/>
          <w:color w:val="002060"/>
          <w:szCs w:val="20"/>
        </w:rPr>
      </w:pPr>
      <w:r w:rsidRPr="00FA3856">
        <w:rPr>
          <w:rFonts w:ascii="Times New Roman" w:hAnsi="Times New Roman"/>
          <w:color w:val="002060"/>
          <w:szCs w:val="20"/>
        </w:rPr>
        <w:t>|10000,00|: Valor dos Serviços Técnicos e de Assistência sem Transferência de Tecnologia Prestados no Brasil (R$ 10.000,00).</w:t>
      </w:r>
    </w:p>
    <w:p w:rsidR="00053F07" w:rsidRPr="00FA3856" w:rsidRDefault="00053F07" w:rsidP="00053F07">
      <w:pPr>
        <w:pStyle w:val="Corpodetexto"/>
        <w:ind w:firstLine="708"/>
        <w:rPr>
          <w:rFonts w:ascii="Times New Roman" w:hAnsi="Times New Roman"/>
          <w:color w:val="002060"/>
          <w:szCs w:val="20"/>
        </w:rPr>
      </w:pPr>
      <w:r w:rsidRPr="00FA3856">
        <w:rPr>
          <w:rFonts w:ascii="Times New Roman" w:hAnsi="Times New Roman"/>
          <w:color w:val="002060"/>
          <w:szCs w:val="20"/>
        </w:rPr>
        <w:t>|5000,00|: Valor dos Serviços Técnicos e de Assistência sem Transferência de Tecnologia Prestados no Exterior (R$ 5.000,00).</w:t>
      </w:r>
    </w:p>
    <w:p w:rsidR="00053F07" w:rsidRPr="00FA3856" w:rsidRDefault="00053F07" w:rsidP="00053F07">
      <w:pPr>
        <w:pStyle w:val="Corpodetexto"/>
        <w:ind w:firstLine="708"/>
        <w:rPr>
          <w:rFonts w:ascii="Times New Roman" w:hAnsi="Times New Roman"/>
          <w:color w:val="002060"/>
          <w:szCs w:val="20"/>
        </w:rPr>
      </w:pPr>
      <w:r w:rsidRPr="00FA3856">
        <w:rPr>
          <w:rFonts w:ascii="Times New Roman" w:hAnsi="Times New Roman"/>
          <w:color w:val="002060"/>
          <w:szCs w:val="20"/>
        </w:rPr>
        <w:t>|6000,00|: Valor dos Juros sobre o Capital Próprio Pagos a Pessoa Física (R$ 6.000,00).</w:t>
      </w:r>
    </w:p>
    <w:p w:rsidR="00053F07" w:rsidRPr="00FA3856" w:rsidRDefault="00053F07" w:rsidP="00053F07">
      <w:pPr>
        <w:pStyle w:val="Corpodetexto"/>
        <w:ind w:firstLine="708"/>
        <w:rPr>
          <w:rFonts w:ascii="Times New Roman" w:hAnsi="Times New Roman"/>
          <w:color w:val="002060"/>
          <w:szCs w:val="20"/>
        </w:rPr>
      </w:pPr>
      <w:r w:rsidRPr="00FA3856">
        <w:rPr>
          <w:rFonts w:ascii="Times New Roman" w:hAnsi="Times New Roman"/>
          <w:color w:val="002060"/>
          <w:szCs w:val="20"/>
        </w:rPr>
        <w:t>|7000,00|: Valor dos Juros sobre o Capital Próprio Pagos a Pessoa Jurídica (R$ 7.000,00).</w:t>
      </w:r>
    </w:p>
    <w:p w:rsidR="00053F07" w:rsidRPr="00FA3856" w:rsidRDefault="00053F07" w:rsidP="00053F07">
      <w:pPr>
        <w:pStyle w:val="Corpodetexto"/>
        <w:ind w:firstLine="708"/>
        <w:rPr>
          <w:rFonts w:ascii="Times New Roman" w:hAnsi="Times New Roman"/>
          <w:color w:val="002060"/>
          <w:szCs w:val="20"/>
        </w:rPr>
      </w:pPr>
      <w:r w:rsidRPr="00FA3856">
        <w:rPr>
          <w:rFonts w:ascii="Times New Roman" w:hAnsi="Times New Roman"/>
          <w:color w:val="002060"/>
          <w:szCs w:val="20"/>
        </w:rPr>
        <w:t>|8000,00|: Valor dos Demais Juros (R$ 8.000,00).</w:t>
      </w:r>
    </w:p>
    <w:p w:rsidR="00053F07" w:rsidRPr="00FA3856" w:rsidRDefault="00053F07" w:rsidP="00053F07">
      <w:pPr>
        <w:pStyle w:val="Corpodetexto"/>
        <w:ind w:firstLine="708"/>
        <w:rPr>
          <w:rFonts w:ascii="Times New Roman" w:hAnsi="Times New Roman"/>
          <w:color w:val="002060"/>
          <w:szCs w:val="20"/>
        </w:rPr>
      </w:pPr>
      <w:r w:rsidRPr="00FA3856">
        <w:rPr>
          <w:rFonts w:ascii="Times New Roman" w:hAnsi="Times New Roman"/>
          <w:color w:val="002060"/>
          <w:szCs w:val="20"/>
        </w:rPr>
        <w:t>|9000,00|: Dividendos pagos a Pessoa Física (R$ 9.000,00).</w:t>
      </w:r>
    </w:p>
    <w:p w:rsidR="00053F07" w:rsidRPr="00FA3856" w:rsidRDefault="00053F07" w:rsidP="00053F07">
      <w:pPr>
        <w:pStyle w:val="Corpodetexto"/>
        <w:ind w:firstLine="708"/>
        <w:rPr>
          <w:rFonts w:ascii="Times New Roman" w:hAnsi="Times New Roman"/>
          <w:color w:val="002060"/>
          <w:szCs w:val="20"/>
        </w:rPr>
      </w:pPr>
      <w:r w:rsidRPr="00FA3856">
        <w:rPr>
          <w:rFonts w:ascii="Times New Roman" w:hAnsi="Times New Roman"/>
          <w:color w:val="002060"/>
          <w:szCs w:val="20"/>
        </w:rPr>
        <w:t>|10000,00|: Dividendos pagos a Pessoa Jurídica (R$ 10.000,00).</w:t>
      </w:r>
    </w:p>
    <w:p w:rsidR="00053F07" w:rsidRPr="00FA3856" w:rsidRDefault="00053F07" w:rsidP="00053F07">
      <w:pPr>
        <w:pStyle w:val="Corpodetexto"/>
        <w:ind w:firstLine="708"/>
        <w:rPr>
          <w:rFonts w:ascii="Times New Roman" w:hAnsi="Times New Roman"/>
          <w:color w:val="002060"/>
          <w:szCs w:val="20"/>
        </w:rPr>
      </w:pPr>
    </w:p>
    <w:p w:rsidR="00A41906" w:rsidRPr="00FA3856" w:rsidRDefault="00A41906" w:rsidP="00A41906">
      <w:pPr>
        <w:pStyle w:val="PSDS-MarcadoresNivel4"/>
        <w:tabs>
          <w:tab w:val="clear" w:pos="2271"/>
          <w:tab w:val="left" w:pos="720"/>
        </w:tabs>
        <w:spacing w:before="0" w:after="0"/>
        <w:ind w:left="0" w:firstLine="0"/>
        <w:rPr>
          <w:rFonts w:ascii="Times New Roman" w:hAnsi="Times New Roman" w:cs="Times New Roman"/>
          <w:szCs w:val="20"/>
          <w:lang w:val="pt-PT"/>
        </w:rPr>
      </w:pPr>
    </w:p>
    <w:p w:rsidR="00157E0A" w:rsidRPr="00FA3856" w:rsidRDefault="00157E0A" w:rsidP="00157E0A">
      <w:pPr>
        <w:pStyle w:val="PSDS-MarcadoresNivel4"/>
        <w:tabs>
          <w:tab w:val="clear" w:pos="2271"/>
          <w:tab w:val="left" w:pos="720"/>
        </w:tabs>
        <w:spacing w:before="0" w:after="0"/>
        <w:ind w:left="0" w:firstLine="0"/>
        <w:rPr>
          <w:rFonts w:ascii="Times New Roman" w:hAnsi="Times New Roman" w:cs="Times New Roman"/>
          <w:szCs w:val="20"/>
          <w:lang w:val="pt-PT"/>
        </w:rPr>
      </w:pPr>
    </w:p>
    <w:p w:rsidR="00EE2217" w:rsidRPr="00FA3856" w:rsidRDefault="00EE2217">
      <w:pPr>
        <w:spacing w:after="200" w:line="276" w:lineRule="auto"/>
        <w:rPr>
          <w:b/>
          <w:bCs/>
          <w:color w:val="0000FF"/>
          <w:szCs w:val="20"/>
        </w:rPr>
      </w:pPr>
      <w:r w:rsidRPr="00FA3856">
        <w:rPr>
          <w:color w:val="0000FF"/>
          <w:szCs w:val="20"/>
        </w:rPr>
        <w:br w:type="page"/>
      </w:r>
    </w:p>
    <w:p w:rsidR="007E756C" w:rsidRPr="00FA3856" w:rsidRDefault="007E756C" w:rsidP="00867F54">
      <w:pPr>
        <w:pStyle w:val="Ttulo4"/>
      </w:pPr>
      <w:bookmarkStart w:id="411" w:name="_Toc479713814"/>
      <w:r w:rsidRPr="00FA3856">
        <w:lastRenderedPageBreak/>
        <w:t>Registro X460: Inovação Tecnológica e Desenvolvimento Tecnológico</w:t>
      </w:r>
      <w:bookmarkEnd w:id="411"/>
    </w:p>
    <w:p w:rsidR="007E756C" w:rsidRPr="00FA3856" w:rsidRDefault="007E756C" w:rsidP="007E756C">
      <w:pPr>
        <w:rPr>
          <w:bCs/>
          <w:szCs w:val="20"/>
        </w:rPr>
      </w:pPr>
    </w:p>
    <w:p w:rsidR="00EE2217" w:rsidRPr="00FA3856" w:rsidRDefault="00EE2217" w:rsidP="00EE2217">
      <w:pPr>
        <w:jc w:val="both"/>
        <w:rPr>
          <w:bCs/>
          <w:szCs w:val="20"/>
        </w:rPr>
      </w:pPr>
      <w:r w:rsidRPr="00FA3856">
        <w:rPr>
          <w:bCs/>
          <w:szCs w:val="20"/>
        </w:rPr>
        <w:tab/>
        <w:t>Este registro deverá ser preenchido pela pessoa jurídica que realizou, durante o ano-calendário, atividades de pesquisa tecnológica e desenvolvimento de inovação tecnológica para o</w:t>
      </w:r>
      <w:r w:rsidR="008D7930" w:rsidRPr="00FA3856">
        <w:rPr>
          <w:bCs/>
          <w:szCs w:val="20"/>
        </w:rPr>
        <w:t>s fins de que trata o Decreto n</w:t>
      </w:r>
      <w:r w:rsidR="008D7930" w:rsidRPr="00FA3856">
        <w:rPr>
          <w:bCs/>
          <w:szCs w:val="20"/>
          <w:u w:val="single"/>
          <w:vertAlign w:val="superscript"/>
        </w:rPr>
        <w:t>o</w:t>
      </w:r>
      <w:r w:rsidRPr="00FA3856">
        <w:rPr>
          <w:bCs/>
          <w:szCs w:val="20"/>
        </w:rPr>
        <w:t xml:space="preserve"> 5.798, de 7 de junho de 200</w:t>
      </w:r>
      <w:r w:rsidR="008D7930" w:rsidRPr="00FA3856">
        <w:rPr>
          <w:bCs/>
          <w:szCs w:val="20"/>
        </w:rPr>
        <w:t>6, com redação dada pelo art. 1</w:t>
      </w:r>
      <w:r w:rsidR="008D7930" w:rsidRPr="00FA3856">
        <w:rPr>
          <w:bCs/>
          <w:szCs w:val="20"/>
          <w:u w:val="single"/>
          <w:vertAlign w:val="superscript"/>
        </w:rPr>
        <w:t>o</w:t>
      </w:r>
      <w:r w:rsidRPr="00FA3856">
        <w:rPr>
          <w:bCs/>
          <w:szCs w:val="20"/>
        </w:rPr>
        <w:t xml:space="preserve"> do Decreto n</w:t>
      </w:r>
      <w:r w:rsidR="008D7930" w:rsidRPr="00FA3856">
        <w:rPr>
          <w:bCs/>
          <w:szCs w:val="20"/>
          <w:u w:val="single"/>
          <w:vertAlign w:val="superscript"/>
        </w:rPr>
        <w:t>o</w:t>
      </w:r>
      <w:r w:rsidRPr="00FA3856">
        <w:rPr>
          <w:bCs/>
          <w:szCs w:val="20"/>
        </w:rPr>
        <w:t xml:space="preserve"> 6.909, de 22 de julho de 2009, ou o Decreto n</w:t>
      </w:r>
      <w:r w:rsidR="008D7930" w:rsidRPr="00FA3856">
        <w:rPr>
          <w:bCs/>
          <w:szCs w:val="20"/>
          <w:u w:val="single"/>
          <w:vertAlign w:val="superscript"/>
        </w:rPr>
        <w:t>o</w:t>
      </w:r>
      <w:r w:rsidRPr="00FA3856">
        <w:rPr>
          <w:bCs/>
          <w:szCs w:val="20"/>
        </w:rPr>
        <w:t xml:space="preserve"> 6.260, de 20 de novembro de 2007, com redação dada pelo art. 2º do Decreto n</w:t>
      </w:r>
      <w:r w:rsidR="008D7930" w:rsidRPr="00FA3856">
        <w:rPr>
          <w:bCs/>
          <w:szCs w:val="20"/>
          <w:u w:val="single"/>
          <w:vertAlign w:val="superscript"/>
        </w:rPr>
        <w:t>o</w:t>
      </w:r>
      <w:r w:rsidRPr="00FA3856">
        <w:rPr>
          <w:bCs/>
          <w:szCs w:val="20"/>
        </w:rPr>
        <w:t xml:space="preserve"> 6.909, de 2009, ou, ainda, pela pessoa jurídica que tenha executado, direta ou indiretamente, programas de desenvolvimento tecnológico industrial ou agropecuário (PDTI/PDTA) de que trata o Decreto n</w:t>
      </w:r>
      <w:r w:rsidR="008D7930" w:rsidRPr="00FA3856">
        <w:rPr>
          <w:bCs/>
          <w:szCs w:val="20"/>
          <w:u w:val="single"/>
          <w:vertAlign w:val="superscript"/>
        </w:rPr>
        <w:t>o</w:t>
      </w:r>
      <w:r w:rsidRPr="00FA3856">
        <w:rPr>
          <w:bCs/>
          <w:szCs w:val="20"/>
        </w:rPr>
        <w:t xml:space="preserve"> 949, de 5 de outubro de 1993.</w:t>
      </w:r>
    </w:p>
    <w:p w:rsidR="007E756C" w:rsidRDefault="007E756C" w:rsidP="007E756C">
      <w:pPr>
        <w:rPr>
          <w:b/>
          <w:szCs w:val="20"/>
          <w:lang w:val="pt-PT"/>
        </w:rPr>
      </w:pPr>
    </w:p>
    <w:p w:rsidR="00BB0C65" w:rsidRPr="00FA3856" w:rsidRDefault="00B35FA3" w:rsidP="00BB0C65">
      <w:pPr>
        <w:jc w:val="center"/>
        <w:rPr>
          <w:b/>
          <w:szCs w:val="20"/>
          <w:lang w:val="pt-PT"/>
        </w:rPr>
      </w:pPr>
      <w:r>
        <w:rPr>
          <w:b/>
          <w:szCs w:val="20"/>
          <w:lang w:val="pt-PT"/>
        </w:rPr>
        <w:object w:dxaOrig="13995" w:dyaOrig="4770">
          <v:shape id="_x0000_i2020" type="#_x0000_t75" style="width:747pt;height:231pt" o:ole="">
            <v:imagedata r:id="rId787" o:title=""/>
          </v:shape>
          <o:OLEObject Type="Link" ProgID="Excel.Sheet.12" ShapeID="_x0000_i2020" DrawAspect="Content" r:id="rId788" UpdateMode="Always">
            <o:LinkType>EnhancedMetaFile</o:LinkType>
            <o:LockedField>false</o:LockedField>
          </o:OLEObject>
        </w:object>
      </w:r>
    </w:p>
    <w:p w:rsidR="00BB0C65" w:rsidRDefault="00BB0C65" w:rsidP="00FE5D23">
      <w:pPr>
        <w:rPr>
          <w:b/>
          <w:szCs w:val="20"/>
          <w:lang w:val="pt-PT"/>
        </w:rPr>
      </w:pPr>
    </w:p>
    <w:p w:rsidR="00FE5D23" w:rsidRPr="00FA3856" w:rsidRDefault="00FE5D23" w:rsidP="00FE5D23">
      <w:pPr>
        <w:rPr>
          <w:b/>
          <w:szCs w:val="20"/>
          <w:lang w:val="pt-PT"/>
        </w:rPr>
      </w:pPr>
      <w:r w:rsidRPr="00FA3856">
        <w:rPr>
          <w:b/>
          <w:szCs w:val="20"/>
          <w:lang w:val="pt-PT"/>
        </w:rPr>
        <w:t>I – Regras de Validação do Registro:</w:t>
      </w:r>
    </w:p>
    <w:p w:rsidR="00FE5D23" w:rsidRPr="00FA3856" w:rsidRDefault="00FE5D23" w:rsidP="00FE5D23">
      <w:pPr>
        <w:rPr>
          <w:b/>
          <w:szCs w:val="20"/>
          <w:lang w:val="pt-PT"/>
        </w:rPr>
      </w:pPr>
    </w:p>
    <w:p w:rsidR="00FE5D23" w:rsidRPr="00FA3856" w:rsidRDefault="007D0E74" w:rsidP="00FE5D23">
      <w:pPr>
        <w:pStyle w:val="Corpodetexto"/>
        <w:ind w:left="708" w:firstLine="12"/>
        <w:rPr>
          <w:rFonts w:ascii="Times New Roman" w:hAnsi="Times New Roman"/>
          <w:szCs w:val="20"/>
        </w:rPr>
      </w:pPr>
      <w:hyperlink r:id="rId789" w:anchor="REGRA_OCORRENCIA_UNITARIA_ARQ" w:history="1">
        <w:r w:rsidR="00FE5D23" w:rsidRPr="00FA3856">
          <w:rPr>
            <w:rFonts w:ascii="Times New Roman" w:hAnsi="Times New Roman"/>
            <w:b/>
            <w:szCs w:val="20"/>
          </w:rPr>
          <w:t>REGRA_</w:t>
        </w:r>
      </w:hyperlink>
      <w:r w:rsidR="00FE5D23" w:rsidRPr="00FA3856">
        <w:rPr>
          <w:rFonts w:ascii="Times New Roman" w:hAnsi="Times New Roman"/>
          <w:b/>
          <w:szCs w:val="20"/>
        </w:rPr>
        <w:t>DUPLICIDADE_DESPREZADA</w:t>
      </w:r>
      <w:r w:rsidR="00FE5D23" w:rsidRPr="00FA3856">
        <w:rPr>
          <w:rFonts w:ascii="Times New Roman" w:hAnsi="Times New Roman"/>
          <w:color w:val="auto"/>
          <w:szCs w:val="20"/>
        </w:rPr>
        <w:t xml:space="preserve">: </w:t>
      </w:r>
      <w:r w:rsidR="00FE5D23" w:rsidRPr="00FA3856">
        <w:rPr>
          <w:rFonts w:ascii="Times New Roman" w:hAnsi="Times New Roman"/>
          <w:szCs w:val="20"/>
        </w:rPr>
        <w:t>Verifica se o registro já foi importado anteriormente, de acordo com a chave e os registros pais. Se a regra não for cumprida, a ECF gera um aviso.</w:t>
      </w:r>
    </w:p>
    <w:p w:rsidR="00FE5D23" w:rsidRPr="00FA3856" w:rsidRDefault="00FE5D23" w:rsidP="00FE5D23">
      <w:pPr>
        <w:pStyle w:val="Corpodetexto"/>
        <w:ind w:left="708" w:firstLine="12"/>
        <w:rPr>
          <w:rFonts w:ascii="Times New Roman" w:hAnsi="Times New Roman"/>
          <w:szCs w:val="20"/>
        </w:rPr>
      </w:pPr>
    </w:p>
    <w:p w:rsidR="00FE5D23" w:rsidRPr="00FA3856" w:rsidRDefault="007D0E74" w:rsidP="00FE5D23">
      <w:pPr>
        <w:pStyle w:val="Corpodetexto"/>
        <w:ind w:left="708" w:firstLine="12"/>
        <w:rPr>
          <w:rFonts w:ascii="Times New Roman" w:hAnsi="Times New Roman"/>
          <w:szCs w:val="20"/>
        </w:rPr>
      </w:pPr>
      <w:hyperlink r:id="rId790" w:anchor="REGRA_OCORRENCIA_UNITARIA_ARQ" w:history="1">
        <w:r w:rsidR="00FE5D23" w:rsidRPr="00FA3856">
          <w:rPr>
            <w:rFonts w:ascii="Times New Roman" w:hAnsi="Times New Roman"/>
            <w:b/>
            <w:szCs w:val="20"/>
          </w:rPr>
          <w:t>REGRA_</w:t>
        </w:r>
      </w:hyperlink>
      <w:r w:rsidR="00FE5D23" w:rsidRPr="00FA3856">
        <w:rPr>
          <w:rFonts w:ascii="Times New Roman" w:hAnsi="Times New Roman"/>
          <w:b/>
          <w:szCs w:val="20"/>
        </w:rPr>
        <w:t>LINHA_DESPREZADA</w:t>
      </w:r>
      <w:r w:rsidR="00FE5D23" w:rsidRPr="00FA3856">
        <w:rPr>
          <w:rFonts w:ascii="Times New Roman" w:hAnsi="Times New Roman"/>
          <w:color w:val="auto"/>
          <w:szCs w:val="20"/>
        </w:rPr>
        <w:t xml:space="preserve">: </w:t>
      </w:r>
      <w:r w:rsidR="00FE5D23" w:rsidRPr="00FA3856">
        <w:rPr>
          <w:rFonts w:ascii="Times New Roman" w:hAnsi="Times New Roman"/>
          <w:szCs w:val="20"/>
        </w:rPr>
        <w:t>Verifica se o registro existe na importação, mas não será importado por não existir na tabela dinâmica devido às configurações do bloco 0 ou da tabela dinâmica. Gera um aviso.</w:t>
      </w:r>
    </w:p>
    <w:p w:rsidR="00FE5D23" w:rsidRPr="00FA3856" w:rsidRDefault="00FE5D23" w:rsidP="00FE5D23">
      <w:pPr>
        <w:pStyle w:val="Corpodetexto"/>
        <w:ind w:left="708" w:firstLine="12"/>
        <w:rPr>
          <w:rFonts w:ascii="Times New Roman" w:hAnsi="Times New Roman"/>
          <w:b/>
          <w:szCs w:val="20"/>
        </w:rPr>
      </w:pPr>
    </w:p>
    <w:p w:rsidR="00FE5D23" w:rsidRPr="00FA3856" w:rsidRDefault="007D0E74" w:rsidP="00FE5D23">
      <w:pPr>
        <w:pStyle w:val="Corpodetexto"/>
        <w:ind w:left="708" w:firstLine="12"/>
        <w:rPr>
          <w:rFonts w:ascii="Times New Roman" w:hAnsi="Times New Roman"/>
          <w:b/>
          <w:szCs w:val="20"/>
        </w:rPr>
      </w:pPr>
      <w:hyperlink r:id="rId791" w:anchor="REGRA_OCORRENCIA_UNITARIA_ARQ" w:history="1">
        <w:r w:rsidR="00FE5D23" w:rsidRPr="00FA3856">
          <w:rPr>
            <w:rFonts w:ascii="Times New Roman" w:hAnsi="Times New Roman"/>
            <w:b/>
            <w:szCs w:val="20"/>
          </w:rPr>
          <w:t>REGRA_</w:t>
        </w:r>
      </w:hyperlink>
      <w:r w:rsidR="00FE5D23" w:rsidRPr="00FA3856">
        <w:rPr>
          <w:rFonts w:ascii="Times New Roman" w:hAnsi="Times New Roman"/>
          <w:b/>
          <w:szCs w:val="20"/>
        </w:rPr>
        <w:t>LINHA_ATUALIZADA</w:t>
      </w:r>
      <w:r w:rsidR="00FE5D23" w:rsidRPr="00FA3856">
        <w:rPr>
          <w:rFonts w:ascii="Times New Roman" w:hAnsi="Times New Roman"/>
          <w:color w:val="auto"/>
          <w:szCs w:val="20"/>
        </w:rPr>
        <w:t xml:space="preserve">: </w:t>
      </w:r>
      <w:r w:rsidR="00FE5D23" w:rsidRPr="00FA3856">
        <w:rPr>
          <w:rFonts w:ascii="Times New Roman" w:hAnsi="Times New Roman"/>
          <w:szCs w:val="20"/>
        </w:rPr>
        <w:t>Verifica se o registro está desatualizado em relação à tabela da RFB. Gera um aviso.</w:t>
      </w:r>
    </w:p>
    <w:p w:rsidR="00770A40" w:rsidRPr="00FA3856" w:rsidRDefault="00770A40" w:rsidP="007E756C">
      <w:pPr>
        <w:rPr>
          <w:b/>
          <w:szCs w:val="20"/>
          <w:lang w:val="pt-PT"/>
        </w:rPr>
      </w:pPr>
    </w:p>
    <w:p w:rsidR="00B37AED" w:rsidRPr="00FA3856" w:rsidRDefault="00B37AED">
      <w:pPr>
        <w:spacing w:after="200" w:line="276" w:lineRule="auto"/>
        <w:rPr>
          <w:b/>
          <w:szCs w:val="20"/>
          <w:lang w:val="pt-PT"/>
        </w:rPr>
      </w:pPr>
      <w:r w:rsidRPr="00FA3856">
        <w:rPr>
          <w:b/>
          <w:szCs w:val="20"/>
          <w:lang w:val="pt-PT"/>
        </w:rPr>
        <w:br w:type="page"/>
      </w:r>
    </w:p>
    <w:p w:rsidR="007E756C" w:rsidRPr="00FA3856" w:rsidRDefault="00FE5D23" w:rsidP="007E756C">
      <w:pPr>
        <w:rPr>
          <w:b/>
          <w:szCs w:val="20"/>
          <w:lang w:val="pt-PT"/>
        </w:rPr>
      </w:pPr>
      <w:r w:rsidRPr="00FA3856">
        <w:rPr>
          <w:b/>
          <w:szCs w:val="20"/>
          <w:lang w:val="pt-PT"/>
        </w:rPr>
        <w:lastRenderedPageBreak/>
        <w:t>I</w:t>
      </w:r>
      <w:r w:rsidR="007E756C" w:rsidRPr="00FA3856">
        <w:rPr>
          <w:b/>
          <w:szCs w:val="20"/>
          <w:lang w:val="pt-PT"/>
        </w:rPr>
        <w:t>I – Regras de Validação de Campos:</w:t>
      </w:r>
    </w:p>
    <w:p w:rsidR="007E756C" w:rsidRPr="00FA3856" w:rsidRDefault="007E756C" w:rsidP="007E756C">
      <w:pPr>
        <w:rPr>
          <w:b/>
          <w:szCs w:val="20"/>
          <w:lang w:val="pt-PT"/>
        </w:rPr>
      </w:pPr>
    </w:p>
    <w:tbl>
      <w:tblPr>
        <w:tblW w:w="15317"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85"/>
        <w:gridCol w:w="3000"/>
        <w:gridCol w:w="11115"/>
        <w:gridCol w:w="717"/>
      </w:tblGrid>
      <w:tr w:rsidR="007E756C" w:rsidRPr="00FA3856" w:rsidTr="006671A6">
        <w:trPr>
          <w:jc w:val="center"/>
        </w:trPr>
        <w:tc>
          <w:tcPr>
            <w:tcW w:w="485" w:type="dxa"/>
            <w:tcBorders>
              <w:top w:val="single" w:sz="6" w:space="0" w:color="auto"/>
              <w:left w:val="single" w:sz="6" w:space="0" w:color="auto"/>
              <w:bottom w:val="single" w:sz="6" w:space="0" w:color="auto"/>
              <w:right w:val="single" w:sz="6" w:space="0" w:color="auto"/>
            </w:tcBorders>
            <w:shd w:val="pct10" w:color="auto" w:fill="FFFFFF"/>
          </w:tcPr>
          <w:p w:rsidR="007E756C" w:rsidRPr="00FA3856" w:rsidRDefault="007E756C" w:rsidP="00353C1C">
            <w:pPr>
              <w:pStyle w:val="PSDS-CorpodeTexto0"/>
              <w:jc w:val="center"/>
              <w:rPr>
                <w:rFonts w:ascii="Times New Roman" w:hAnsi="Times New Roman"/>
                <w:b/>
                <w:bCs/>
              </w:rPr>
            </w:pPr>
            <w:r w:rsidRPr="00FA3856">
              <w:rPr>
                <w:rFonts w:ascii="Times New Roman" w:hAnsi="Times New Roman"/>
                <w:b/>
                <w:bCs/>
              </w:rPr>
              <w:t>Nº</w:t>
            </w:r>
          </w:p>
        </w:tc>
        <w:tc>
          <w:tcPr>
            <w:tcW w:w="3000" w:type="dxa"/>
            <w:tcBorders>
              <w:top w:val="single" w:sz="6" w:space="0" w:color="auto"/>
              <w:left w:val="single" w:sz="6" w:space="0" w:color="auto"/>
              <w:bottom w:val="single" w:sz="6" w:space="0" w:color="auto"/>
              <w:right w:val="single" w:sz="6" w:space="0" w:color="auto"/>
            </w:tcBorders>
            <w:shd w:val="pct10" w:color="auto" w:fill="FFFFFF"/>
          </w:tcPr>
          <w:p w:rsidR="007E756C" w:rsidRPr="00FA3856" w:rsidRDefault="007E756C" w:rsidP="00353C1C">
            <w:pPr>
              <w:pStyle w:val="PSDS-CorpodeTexto0"/>
              <w:jc w:val="center"/>
              <w:rPr>
                <w:rFonts w:ascii="Times New Roman" w:hAnsi="Times New Roman"/>
                <w:b/>
                <w:bCs/>
              </w:rPr>
            </w:pPr>
            <w:r w:rsidRPr="00FA3856">
              <w:rPr>
                <w:rFonts w:ascii="Times New Roman" w:hAnsi="Times New Roman"/>
                <w:b/>
                <w:bCs/>
              </w:rPr>
              <w:t>Campo</w:t>
            </w:r>
          </w:p>
        </w:tc>
        <w:tc>
          <w:tcPr>
            <w:tcW w:w="11115" w:type="dxa"/>
            <w:tcBorders>
              <w:top w:val="single" w:sz="6" w:space="0" w:color="auto"/>
              <w:left w:val="single" w:sz="6" w:space="0" w:color="auto"/>
              <w:bottom w:val="single" w:sz="6" w:space="0" w:color="auto"/>
              <w:right w:val="single" w:sz="6" w:space="0" w:color="auto"/>
            </w:tcBorders>
            <w:shd w:val="pct10" w:color="auto" w:fill="FFFFFF"/>
          </w:tcPr>
          <w:p w:rsidR="007E756C" w:rsidRPr="00FA3856" w:rsidRDefault="007E756C" w:rsidP="00353C1C">
            <w:pPr>
              <w:pStyle w:val="PSDS-CorpodeTexto0"/>
              <w:jc w:val="center"/>
              <w:rPr>
                <w:rFonts w:ascii="Times New Roman" w:hAnsi="Times New Roman"/>
                <w:b/>
                <w:bCs/>
              </w:rPr>
            </w:pPr>
            <w:r w:rsidRPr="00FA3856">
              <w:rPr>
                <w:rFonts w:ascii="Times New Roman" w:hAnsi="Times New Roman"/>
                <w:b/>
                <w:bCs/>
              </w:rPr>
              <w:t>Regras de Validação do Campo</w:t>
            </w:r>
          </w:p>
        </w:tc>
        <w:tc>
          <w:tcPr>
            <w:tcW w:w="717" w:type="dxa"/>
            <w:tcBorders>
              <w:top w:val="single" w:sz="6" w:space="0" w:color="auto"/>
              <w:left w:val="single" w:sz="6" w:space="0" w:color="auto"/>
              <w:bottom w:val="single" w:sz="6" w:space="0" w:color="auto"/>
              <w:right w:val="single" w:sz="6" w:space="0" w:color="auto"/>
            </w:tcBorders>
            <w:shd w:val="pct10" w:color="auto" w:fill="FFFFFF"/>
          </w:tcPr>
          <w:p w:rsidR="007E756C" w:rsidRPr="00FA3856" w:rsidRDefault="007E756C" w:rsidP="00353C1C">
            <w:pPr>
              <w:pStyle w:val="PSDS-CorpodeTexto0"/>
              <w:jc w:val="center"/>
              <w:rPr>
                <w:rFonts w:ascii="Times New Roman" w:hAnsi="Times New Roman"/>
                <w:b/>
                <w:bCs/>
              </w:rPr>
            </w:pPr>
            <w:r w:rsidRPr="00FA3856">
              <w:rPr>
                <w:rFonts w:ascii="Times New Roman" w:hAnsi="Times New Roman"/>
                <w:b/>
                <w:bCs/>
              </w:rPr>
              <w:t>Tipo</w:t>
            </w:r>
          </w:p>
        </w:tc>
      </w:tr>
      <w:tr w:rsidR="0012324D" w:rsidRPr="00FA3856" w:rsidTr="006671A6">
        <w:trPr>
          <w:jc w:val="center"/>
        </w:trPr>
        <w:tc>
          <w:tcPr>
            <w:tcW w:w="485" w:type="dxa"/>
            <w:tcBorders>
              <w:top w:val="single" w:sz="6" w:space="0" w:color="auto"/>
              <w:left w:val="single" w:sz="6" w:space="0" w:color="auto"/>
              <w:bottom w:val="single" w:sz="6" w:space="0" w:color="auto"/>
              <w:right w:val="single" w:sz="6" w:space="0" w:color="auto"/>
            </w:tcBorders>
          </w:tcPr>
          <w:p w:rsidR="0012324D" w:rsidRPr="00FA3856" w:rsidRDefault="0012324D" w:rsidP="0012324D">
            <w:pPr>
              <w:pStyle w:val="PSDS-CorpodeTexto0"/>
              <w:suppressAutoHyphens w:val="0"/>
              <w:rPr>
                <w:rFonts w:ascii="Times New Roman" w:hAnsi="Times New Roman"/>
                <w:b/>
                <w:bCs/>
                <w:lang w:val="pt-PT"/>
              </w:rPr>
            </w:pPr>
            <w:r w:rsidRPr="00FA3856">
              <w:rPr>
                <w:rFonts w:ascii="Times New Roman" w:hAnsi="Times New Roman"/>
                <w:b/>
                <w:bCs/>
                <w:lang w:val="pt-PT"/>
              </w:rPr>
              <w:t>4</w:t>
            </w:r>
          </w:p>
        </w:tc>
        <w:tc>
          <w:tcPr>
            <w:tcW w:w="3000" w:type="dxa"/>
            <w:tcBorders>
              <w:top w:val="single" w:sz="6" w:space="0" w:color="auto"/>
              <w:left w:val="single" w:sz="6" w:space="0" w:color="auto"/>
              <w:bottom w:val="single" w:sz="6" w:space="0" w:color="auto"/>
              <w:right w:val="single" w:sz="6" w:space="0" w:color="auto"/>
            </w:tcBorders>
          </w:tcPr>
          <w:p w:rsidR="0012324D" w:rsidRPr="00FA3856" w:rsidRDefault="0012324D" w:rsidP="0012324D">
            <w:pPr>
              <w:pStyle w:val="PSDS-CorpodeTexto0"/>
              <w:rPr>
                <w:rFonts w:ascii="Times New Roman" w:hAnsi="Times New Roman"/>
              </w:rPr>
            </w:pPr>
            <w:r w:rsidRPr="00FA3856">
              <w:rPr>
                <w:rFonts w:ascii="Times New Roman" w:hAnsi="Times New Roman"/>
              </w:rPr>
              <w:t>VALOR</w:t>
            </w:r>
          </w:p>
        </w:tc>
        <w:tc>
          <w:tcPr>
            <w:tcW w:w="11115" w:type="dxa"/>
            <w:tcBorders>
              <w:top w:val="single" w:sz="6" w:space="0" w:color="auto"/>
              <w:left w:val="single" w:sz="6" w:space="0" w:color="auto"/>
              <w:bottom w:val="single" w:sz="6" w:space="0" w:color="auto"/>
              <w:right w:val="single" w:sz="6" w:space="0" w:color="auto"/>
            </w:tcBorders>
          </w:tcPr>
          <w:p w:rsidR="0012324D" w:rsidRPr="00FA3856" w:rsidRDefault="0012324D" w:rsidP="0012324D">
            <w:pPr>
              <w:pStyle w:val="Corpodetexto"/>
              <w:rPr>
                <w:rFonts w:ascii="Times New Roman" w:hAnsi="Times New Roman"/>
                <w:szCs w:val="20"/>
              </w:rPr>
            </w:pPr>
            <w:r w:rsidRPr="00FA3856">
              <w:rPr>
                <w:rFonts w:ascii="Times New Roman" w:hAnsi="Times New Roman"/>
                <w:b/>
                <w:bCs/>
                <w:szCs w:val="20"/>
              </w:rPr>
              <w:t>REGRA_OBRIGATORIO_TIPO_DIFERENTE_R</w:t>
            </w:r>
            <w:r w:rsidRPr="00FA3856">
              <w:rPr>
                <w:rFonts w:ascii="Times New Roman" w:hAnsi="Times New Roman"/>
                <w:szCs w:val="20"/>
              </w:rPr>
              <w:t xml:space="preserve">: </w:t>
            </w:r>
            <w:r w:rsidRPr="00FA3856">
              <w:rPr>
                <w:rStyle w:val="Hyperlink"/>
                <w:rFonts w:ascii="Times New Roman" w:hAnsi="Times New Roman"/>
                <w:bCs/>
                <w:color w:val="auto"/>
                <w:szCs w:val="20"/>
                <w:lang w:val="pt-PT"/>
              </w:rPr>
              <w:t xml:space="preserve">Verifica se o campo está preenchido quando o tipo da linha </w:t>
            </w:r>
            <w:r w:rsidR="00AE7FBB" w:rsidRPr="00FA3856">
              <w:rPr>
                <w:rStyle w:val="Hyperlink"/>
                <w:rFonts w:ascii="Times New Roman" w:hAnsi="Times New Roman"/>
                <w:bCs/>
                <w:color w:val="auto"/>
                <w:szCs w:val="20"/>
                <w:lang w:val="pt-PT"/>
              </w:rPr>
              <w:t>é diferente</w:t>
            </w:r>
            <w:r w:rsidRPr="00FA3856">
              <w:rPr>
                <w:rStyle w:val="Hyperlink"/>
                <w:rFonts w:ascii="Times New Roman" w:hAnsi="Times New Roman"/>
                <w:bCs/>
                <w:color w:val="auto"/>
                <w:szCs w:val="20"/>
                <w:lang w:val="pt-PT"/>
              </w:rPr>
              <w:t xml:space="preserve"> de “R”.</w:t>
            </w:r>
          </w:p>
        </w:tc>
        <w:tc>
          <w:tcPr>
            <w:tcW w:w="717" w:type="dxa"/>
            <w:tcBorders>
              <w:top w:val="single" w:sz="6" w:space="0" w:color="auto"/>
              <w:left w:val="single" w:sz="6" w:space="0" w:color="auto"/>
              <w:bottom w:val="single" w:sz="6" w:space="0" w:color="auto"/>
              <w:right w:val="single" w:sz="6" w:space="0" w:color="auto"/>
            </w:tcBorders>
          </w:tcPr>
          <w:p w:rsidR="0012324D" w:rsidRPr="00FA3856" w:rsidRDefault="0012324D" w:rsidP="0012324D">
            <w:pPr>
              <w:pStyle w:val="PSDS-CorpodeTexto0"/>
              <w:rPr>
                <w:rFonts w:ascii="Times New Roman" w:hAnsi="Times New Roman"/>
              </w:rPr>
            </w:pPr>
            <w:r w:rsidRPr="00FA3856">
              <w:rPr>
                <w:rFonts w:ascii="Times New Roman" w:hAnsi="Times New Roman"/>
              </w:rPr>
              <w:t>Erro</w:t>
            </w:r>
          </w:p>
          <w:p w:rsidR="0012324D" w:rsidRPr="00FA3856" w:rsidRDefault="0012324D" w:rsidP="0012324D">
            <w:pPr>
              <w:pStyle w:val="PSDS-CorpodeTexto0"/>
              <w:rPr>
                <w:rFonts w:ascii="Times New Roman" w:hAnsi="Times New Roman"/>
              </w:rPr>
            </w:pPr>
          </w:p>
        </w:tc>
      </w:tr>
    </w:tbl>
    <w:p w:rsidR="007E756C" w:rsidRPr="00FA3856" w:rsidRDefault="007E756C" w:rsidP="007E756C">
      <w:pPr>
        <w:pStyle w:val="Corpodetexto"/>
        <w:rPr>
          <w:rFonts w:ascii="Times New Roman" w:hAnsi="Times New Roman"/>
          <w:szCs w:val="20"/>
        </w:rPr>
      </w:pPr>
    </w:p>
    <w:p w:rsidR="00BA73FF" w:rsidRPr="00FA3856" w:rsidRDefault="00BA73FF" w:rsidP="007E756C">
      <w:pPr>
        <w:pStyle w:val="Corpodetexto"/>
        <w:rPr>
          <w:rFonts w:ascii="Times New Roman" w:hAnsi="Times New Roman"/>
          <w:b/>
          <w:szCs w:val="20"/>
        </w:rPr>
      </w:pPr>
      <w:r w:rsidRPr="00FA3856">
        <w:rPr>
          <w:rFonts w:ascii="Times New Roman" w:hAnsi="Times New Roman"/>
          <w:b/>
          <w:szCs w:val="20"/>
        </w:rPr>
        <w:t>I</w:t>
      </w:r>
      <w:r w:rsidR="00FE5D23" w:rsidRPr="00FA3856">
        <w:rPr>
          <w:rFonts w:ascii="Times New Roman" w:hAnsi="Times New Roman"/>
          <w:b/>
          <w:szCs w:val="20"/>
        </w:rPr>
        <w:t>I</w:t>
      </w:r>
      <w:r w:rsidRPr="00FA3856">
        <w:rPr>
          <w:rFonts w:ascii="Times New Roman" w:hAnsi="Times New Roman"/>
          <w:b/>
          <w:szCs w:val="20"/>
        </w:rPr>
        <w:t>I – Tabela Dinâmica:</w:t>
      </w:r>
      <w:r w:rsidR="0053782C">
        <w:rPr>
          <w:rFonts w:ascii="Times New Roman" w:hAnsi="Times New Roman"/>
          <w:b/>
          <w:szCs w:val="20"/>
        </w:rPr>
        <w:t xml:space="preserve"> </w:t>
      </w:r>
      <w:r w:rsidR="0053782C" w:rsidRPr="0053782C">
        <w:rPr>
          <w:rFonts w:ascii="Times New Roman" w:hAnsi="Times New Roman"/>
          <w:b/>
          <w:szCs w:val="20"/>
        </w:rPr>
        <w:t>X460 - Inovação Tecnológica e Desenvolvimento Tecnológico</w:t>
      </w:r>
    </w:p>
    <w:p w:rsidR="00B37AED" w:rsidRPr="00FA3856" w:rsidRDefault="00486CDA" w:rsidP="00B37AED">
      <w:pPr>
        <w:pStyle w:val="Corpodetexto"/>
        <w:rPr>
          <w:rFonts w:ascii="Times New Roman" w:hAnsi="Times New Roman"/>
          <w:b/>
          <w:color w:val="002060"/>
          <w:szCs w:val="20"/>
        </w:rPr>
      </w:pPr>
      <w:r>
        <w:rPr>
          <w:rFonts w:ascii="Times New Roman" w:hAnsi="Times New Roman"/>
          <w:b/>
          <w:szCs w:val="20"/>
        </w:rPr>
        <w:object w:dxaOrig="1534" w:dyaOrig="997">
          <v:shape id="_x0000_i1329" type="#_x0000_t75" style="width:76.5pt;height:49.5pt" o:ole="">
            <v:imagedata r:id="rId792" o:title=""/>
          </v:shape>
          <o:OLEObject Type="Link" ProgID="Excel.Sheet.12" ShapeID="_x0000_i1329" DrawAspect="Content" r:id="rId793" UpdateMode="OnCall">
            <o:LinkType>EnhancedMetaFile</o:LinkType>
            <o:LockedField>false</o:LockedField>
          </o:OLEObject>
        </w:object>
      </w:r>
    </w:p>
    <w:p w:rsidR="00B37AED" w:rsidRPr="00FA3856" w:rsidRDefault="00B37AED" w:rsidP="00B37AED">
      <w:pPr>
        <w:pStyle w:val="Corpodetexto"/>
        <w:rPr>
          <w:rFonts w:ascii="Times New Roman" w:hAnsi="Times New Roman"/>
          <w:b/>
          <w:color w:val="002060"/>
          <w:szCs w:val="20"/>
        </w:rPr>
      </w:pPr>
      <w:r w:rsidRPr="00FA3856">
        <w:rPr>
          <w:rFonts w:ascii="Times New Roman" w:hAnsi="Times New Roman"/>
          <w:b/>
          <w:color w:val="002060"/>
          <w:szCs w:val="20"/>
        </w:rPr>
        <w:t xml:space="preserve">Exemplo de Preenchimento: </w:t>
      </w:r>
    </w:p>
    <w:p w:rsidR="00B37AED" w:rsidRPr="00FA3856" w:rsidRDefault="00B37AED" w:rsidP="00B37AED">
      <w:pPr>
        <w:pStyle w:val="Corpodetexto"/>
        <w:rPr>
          <w:rFonts w:ascii="Times New Roman" w:hAnsi="Times New Roman"/>
          <w:b/>
          <w:color w:val="002060"/>
          <w:szCs w:val="20"/>
        </w:rPr>
      </w:pPr>
    </w:p>
    <w:p w:rsidR="00B37AED" w:rsidRPr="00FA3856" w:rsidRDefault="00B37AED" w:rsidP="00B37AED">
      <w:pPr>
        <w:pStyle w:val="Corpodetexto"/>
        <w:rPr>
          <w:rFonts w:ascii="Times New Roman" w:hAnsi="Times New Roman"/>
          <w:b/>
          <w:color w:val="002060"/>
          <w:szCs w:val="20"/>
        </w:rPr>
      </w:pPr>
      <w:r w:rsidRPr="00FA3856">
        <w:rPr>
          <w:rFonts w:ascii="Times New Roman" w:hAnsi="Times New Roman"/>
          <w:b/>
          <w:color w:val="002060"/>
          <w:szCs w:val="20"/>
        </w:rPr>
        <w:t>|X460|17|PROGRAMA DE DESENVOLVIMENTO TECNOLÓGICO INDUSTRIAL E AGROPECUÁRIO (PDTI / PDTA - LEI Nº 8.661/1993)||</w:t>
      </w:r>
    </w:p>
    <w:p w:rsidR="00B37AED" w:rsidRPr="00FA3856" w:rsidRDefault="00B37AED" w:rsidP="00B37AED">
      <w:pPr>
        <w:pStyle w:val="Corpodetexto"/>
        <w:ind w:firstLine="708"/>
        <w:rPr>
          <w:rFonts w:ascii="Times New Roman" w:hAnsi="Times New Roman"/>
          <w:color w:val="002060"/>
          <w:szCs w:val="20"/>
        </w:rPr>
      </w:pPr>
      <w:r w:rsidRPr="00FA3856">
        <w:rPr>
          <w:rFonts w:ascii="Times New Roman" w:hAnsi="Times New Roman"/>
          <w:color w:val="002060"/>
          <w:szCs w:val="20"/>
        </w:rPr>
        <w:t>|X460|: Identificação do tipo do registro.</w:t>
      </w:r>
    </w:p>
    <w:p w:rsidR="00B37AED" w:rsidRPr="00FA3856" w:rsidRDefault="00B37AED" w:rsidP="00B37AED">
      <w:pPr>
        <w:pStyle w:val="Corpodetexto"/>
        <w:ind w:firstLine="708"/>
        <w:rPr>
          <w:rFonts w:ascii="Times New Roman" w:hAnsi="Times New Roman"/>
          <w:color w:val="002060"/>
          <w:szCs w:val="20"/>
        </w:rPr>
      </w:pPr>
      <w:r w:rsidRPr="00FA3856">
        <w:rPr>
          <w:rFonts w:ascii="Times New Roman" w:hAnsi="Times New Roman"/>
          <w:color w:val="002060"/>
          <w:szCs w:val="20"/>
        </w:rPr>
        <w:t>|17|: Código da linha.</w:t>
      </w:r>
    </w:p>
    <w:p w:rsidR="00B37AED" w:rsidRPr="00FA3856" w:rsidRDefault="00B37AED" w:rsidP="00B37AED">
      <w:pPr>
        <w:pStyle w:val="Corpodetexto"/>
        <w:ind w:firstLine="708"/>
        <w:rPr>
          <w:rFonts w:ascii="Times New Roman" w:hAnsi="Times New Roman"/>
          <w:color w:val="002060"/>
          <w:szCs w:val="20"/>
        </w:rPr>
      </w:pPr>
      <w:r w:rsidRPr="00FA3856">
        <w:rPr>
          <w:rFonts w:ascii="Times New Roman" w:hAnsi="Times New Roman"/>
          <w:color w:val="002060"/>
          <w:szCs w:val="20"/>
        </w:rPr>
        <w:t>|PROGRAMA DE DESENVOLVIMENTO TECNOLÓGICO INDUSTRIAL E AGROPECUÁRIO (PDTI / PDTA - LEI Nº 8.661/1993)|: Descrição da linha.</w:t>
      </w:r>
    </w:p>
    <w:p w:rsidR="00B37AED" w:rsidRPr="00FA3856" w:rsidRDefault="00B37AED" w:rsidP="00B37AED">
      <w:pPr>
        <w:pStyle w:val="Corpodetexto"/>
        <w:ind w:firstLine="708"/>
        <w:rPr>
          <w:rFonts w:ascii="Times New Roman" w:hAnsi="Times New Roman"/>
          <w:color w:val="002060"/>
          <w:szCs w:val="20"/>
        </w:rPr>
      </w:pPr>
      <w:r w:rsidRPr="00FA3856">
        <w:rPr>
          <w:rFonts w:ascii="Times New Roman" w:hAnsi="Times New Roman"/>
          <w:color w:val="002060"/>
          <w:szCs w:val="20"/>
        </w:rPr>
        <w:t>||: Valor da linha (como a linha corresponde a um rótulo – R – não há valor).</w:t>
      </w:r>
    </w:p>
    <w:p w:rsidR="00B37AED" w:rsidRPr="00FA3856" w:rsidRDefault="00B37AED" w:rsidP="00B37AED">
      <w:pPr>
        <w:rPr>
          <w:bCs/>
          <w:szCs w:val="20"/>
        </w:rPr>
      </w:pPr>
    </w:p>
    <w:p w:rsidR="00B37AED" w:rsidRPr="00FA3856" w:rsidRDefault="00B37AED" w:rsidP="00B37AED">
      <w:pPr>
        <w:pStyle w:val="Corpodetexto"/>
        <w:rPr>
          <w:rFonts w:ascii="Times New Roman" w:hAnsi="Times New Roman"/>
          <w:b/>
          <w:color w:val="002060"/>
          <w:szCs w:val="20"/>
        </w:rPr>
      </w:pPr>
      <w:r w:rsidRPr="00FA3856">
        <w:rPr>
          <w:rFonts w:ascii="Times New Roman" w:hAnsi="Times New Roman"/>
          <w:b/>
          <w:color w:val="002060"/>
          <w:szCs w:val="20"/>
        </w:rPr>
        <w:t>|X460|18|Receitas Auferidas em Decorrência do PDTI/PDTA|100000,00|</w:t>
      </w:r>
    </w:p>
    <w:p w:rsidR="00B37AED" w:rsidRPr="00FA3856" w:rsidRDefault="00B37AED" w:rsidP="00B37AED">
      <w:pPr>
        <w:pStyle w:val="Corpodetexto"/>
        <w:ind w:firstLine="708"/>
        <w:rPr>
          <w:rFonts w:ascii="Times New Roman" w:hAnsi="Times New Roman"/>
          <w:color w:val="002060"/>
          <w:szCs w:val="20"/>
        </w:rPr>
      </w:pPr>
      <w:r w:rsidRPr="00FA3856">
        <w:rPr>
          <w:rFonts w:ascii="Times New Roman" w:hAnsi="Times New Roman"/>
          <w:color w:val="002060"/>
          <w:szCs w:val="20"/>
        </w:rPr>
        <w:t>|X460|: Identificação do tipo do registro.</w:t>
      </w:r>
    </w:p>
    <w:p w:rsidR="00B37AED" w:rsidRPr="00FA3856" w:rsidRDefault="00B37AED" w:rsidP="00B37AED">
      <w:pPr>
        <w:pStyle w:val="Corpodetexto"/>
        <w:ind w:firstLine="708"/>
        <w:rPr>
          <w:rFonts w:ascii="Times New Roman" w:hAnsi="Times New Roman"/>
          <w:color w:val="002060"/>
          <w:szCs w:val="20"/>
        </w:rPr>
      </w:pPr>
      <w:r w:rsidRPr="00FA3856">
        <w:rPr>
          <w:rFonts w:ascii="Times New Roman" w:hAnsi="Times New Roman"/>
          <w:color w:val="002060"/>
          <w:szCs w:val="20"/>
        </w:rPr>
        <w:t>|18|: Código da linha.</w:t>
      </w:r>
    </w:p>
    <w:p w:rsidR="00B37AED" w:rsidRPr="00FA3856" w:rsidRDefault="00B37AED" w:rsidP="00B37AED">
      <w:pPr>
        <w:pStyle w:val="Corpodetexto"/>
        <w:ind w:firstLine="708"/>
        <w:rPr>
          <w:rFonts w:ascii="Times New Roman" w:hAnsi="Times New Roman"/>
          <w:color w:val="002060"/>
          <w:szCs w:val="20"/>
        </w:rPr>
      </w:pPr>
      <w:r w:rsidRPr="00FA3856">
        <w:rPr>
          <w:rFonts w:ascii="Times New Roman" w:hAnsi="Times New Roman"/>
          <w:color w:val="002060"/>
          <w:szCs w:val="20"/>
        </w:rPr>
        <w:t>|Receitas Auferidas em Decorrência do PDTI/PDTA|: Descrição da linha.</w:t>
      </w:r>
    </w:p>
    <w:p w:rsidR="00B37AED" w:rsidRPr="00FA3856" w:rsidRDefault="00B37AED" w:rsidP="00B37AED">
      <w:pPr>
        <w:pStyle w:val="Corpodetexto"/>
        <w:ind w:firstLine="708"/>
        <w:rPr>
          <w:rFonts w:ascii="Times New Roman" w:hAnsi="Times New Roman"/>
          <w:color w:val="002060"/>
          <w:szCs w:val="20"/>
        </w:rPr>
      </w:pPr>
      <w:r w:rsidRPr="00FA3856">
        <w:rPr>
          <w:rFonts w:ascii="Times New Roman" w:hAnsi="Times New Roman"/>
          <w:color w:val="002060"/>
          <w:szCs w:val="20"/>
        </w:rPr>
        <w:t>|100000,00|: Valor da linha (R$ 100.000,00).</w:t>
      </w:r>
    </w:p>
    <w:p w:rsidR="00602836" w:rsidRPr="00FA3856" w:rsidRDefault="00602836" w:rsidP="00602836">
      <w:pPr>
        <w:rPr>
          <w:color w:val="0000FF"/>
          <w:szCs w:val="20"/>
        </w:rPr>
      </w:pPr>
    </w:p>
    <w:p w:rsidR="00602836" w:rsidRPr="00FA3856" w:rsidRDefault="00602836" w:rsidP="00602836">
      <w:pPr>
        <w:rPr>
          <w:b/>
          <w:bCs/>
          <w:color w:val="0000FF"/>
          <w:szCs w:val="20"/>
        </w:rPr>
      </w:pPr>
      <w:r w:rsidRPr="00FA3856">
        <w:rPr>
          <w:color w:val="0000FF"/>
          <w:szCs w:val="20"/>
        </w:rPr>
        <w:br w:type="page"/>
      </w:r>
    </w:p>
    <w:p w:rsidR="007E756C" w:rsidRPr="00FA3856" w:rsidRDefault="007E756C" w:rsidP="00867F54">
      <w:pPr>
        <w:pStyle w:val="Ttulo4"/>
      </w:pPr>
      <w:bookmarkStart w:id="412" w:name="_Toc479713815"/>
      <w:r w:rsidRPr="00FA3856">
        <w:lastRenderedPageBreak/>
        <w:t>Registro X470: Capacitação de Informática e Inclusão Digital</w:t>
      </w:r>
      <w:bookmarkEnd w:id="412"/>
    </w:p>
    <w:p w:rsidR="007E756C" w:rsidRPr="00FA3856" w:rsidRDefault="007E756C" w:rsidP="007E756C">
      <w:pPr>
        <w:rPr>
          <w:bCs/>
          <w:szCs w:val="20"/>
        </w:rPr>
      </w:pPr>
    </w:p>
    <w:p w:rsidR="00CE69DC" w:rsidRPr="00FA3856" w:rsidRDefault="00602836" w:rsidP="00602836">
      <w:pPr>
        <w:jc w:val="both"/>
        <w:rPr>
          <w:bCs/>
          <w:szCs w:val="20"/>
        </w:rPr>
      </w:pPr>
      <w:r w:rsidRPr="00FA3856">
        <w:rPr>
          <w:bCs/>
          <w:szCs w:val="20"/>
        </w:rPr>
        <w:tab/>
        <w:t>Este registro deverá ser preenchido</w:t>
      </w:r>
      <w:r w:rsidR="00CE69DC" w:rsidRPr="00FA3856">
        <w:rPr>
          <w:bCs/>
          <w:szCs w:val="20"/>
        </w:rPr>
        <w:t xml:space="preserve"> pela pessoa jurídica que tiver investido em atividades de pesquisa e desenvolvimento em tecnologias da informação no âmbito dos programas de capacitação e competitividade dos setores de informática e automação e tecnologias da informação de que tratam a Lei nº 8.248, de 23 de outubro de 1991, a Lei nº 10.176, de 11 de janeiro de 2001, a Lei nº 11.077, de 30 de dezembro de 2004, a Lei nº 12.249, de 11 de junho de 2010, e a Lei nº 12.431, de 24 de junho de 2011, regulamentadas pelo Decreto nº 5.906, de 26 de setembro de 2006, ou ter efetuado venda a varejo nos termos dos arts. 28 a 30 da Lei nº 11.196, de 2005, com redação dada pelo art. 17 da Lei nº 12.249, de 2010, que dispõem sobre o programa de inclusão digital.</w:t>
      </w:r>
    </w:p>
    <w:p w:rsidR="00435FC8" w:rsidRDefault="00435FC8" w:rsidP="007E756C">
      <w:pPr>
        <w:rPr>
          <w:b/>
          <w:szCs w:val="20"/>
          <w:lang w:val="pt-PT"/>
        </w:rPr>
      </w:pPr>
    </w:p>
    <w:p w:rsidR="00435FC8" w:rsidRDefault="00B35FA3" w:rsidP="00435FC8">
      <w:pPr>
        <w:jc w:val="center"/>
        <w:rPr>
          <w:b/>
          <w:szCs w:val="20"/>
          <w:lang w:val="pt-PT"/>
        </w:rPr>
      </w:pPr>
      <w:r>
        <w:rPr>
          <w:b/>
          <w:szCs w:val="20"/>
          <w:lang w:val="pt-PT"/>
        </w:rPr>
        <w:object w:dxaOrig="14010" w:dyaOrig="4740">
          <v:shape id="_x0000_i2023" type="#_x0000_t75" style="width:750pt;height:230.25pt" o:ole="">
            <v:imagedata r:id="rId794" o:title=""/>
          </v:shape>
          <o:OLEObject Type="Link" ProgID="Excel.Sheet.12" ShapeID="_x0000_i2023" DrawAspect="Content" r:id="rId795" UpdateMode="Always">
            <o:LinkType>EnhancedMetaFile</o:LinkType>
            <o:LockedField>false</o:LockedField>
          </o:OLEObject>
        </w:object>
      </w:r>
    </w:p>
    <w:p w:rsidR="00435FC8" w:rsidRPr="00FA3856" w:rsidRDefault="00435FC8" w:rsidP="007E756C">
      <w:pPr>
        <w:rPr>
          <w:b/>
          <w:szCs w:val="20"/>
          <w:lang w:val="pt-PT"/>
        </w:rPr>
      </w:pPr>
    </w:p>
    <w:p w:rsidR="00FE5D23" w:rsidRPr="00FA3856" w:rsidRDefault="00FE5D23" w:rsidP="00FE5D23">
      <w:pPr>
        <w:rPr>
          <w:b/>
          <w:szCs w:val="20"/>
          <w:lang w:val="pt-PT"/>
        </w:rPr>
      </w:pPr>
      <w:r w:rsidRPr="00FA3856">
        <w:rPr>
          <w:b/>
          <w:szCs w:val="20"/>
          <w:lang w:val="pt-PT"/>
        </w:rPr>
        <w:t>I – Regras de Validação do Registro:</w:t>
      </w:r>
    </w:p>
    <w:p w:rsidR="00FE5D23" w:rsidRPr="00FA3856" w:rsidRDefault="00FE5D23" w:rsidP="00FE5D23">
      <w:pPr>
        <w:rPr>
          <w:b/>
          <w:szCs w:val="20"/>
          <w:lang w:val="pt-PT"/>
        </w:rPr>
      </w:pPr>
    </w:p>
    <w:p w:rsidR="00FE5D23" w:rsidRPr="00FA3856" w:rsidRDefault="007D0E74" w:rsidP="00FE5D23">
      <w:pPr>
        <w:pStyle w:val="Corpodetexto"/>
        <w:ind w:left="708" w:firstLine="12"/>
        <w:rPr>
          <w:rFonts w:ascii="Times New Roman" w:hAnsi="Times New Roman"/>
          <w:szCs w:val="20"/>
        </w:rPr>
      </w:pPr>
      <w:hyperlink r:id="rId796" w:anchor="REGRA_OCORRENCIA_UNITARIA_ARQ" w:history="1">
        <w:r w:rsidR="00FE5D23" w:rsidRPr="00FA3856">
          <w:rPr>
            <w:rFonts w:ascii="Times New Roman" w:hAnsi="Times New Roman"/>
            <w:b/>
            <w:szCs w:val="20"/>
          </w:rPr>
          <w:t>REGRA_</w:t>
        </w:r>
      </w:hyperlink>
      <w:r w:rsidR="00FE5D23" w:rsidRPr="00FA3856">
        <w:rPr>
          <w:rFonts w:ascii="Times New Roman" w:hAnsi="Times New Roman"/>
          <w:b/>
          <w:szCs w:val="20"/>
        </w:rPr>
        <w:t>DUPLICIDADE_DESPREZADA</w:t>
      </w:r>
      <w:r w:rsidR="00FE5D23" w:rsidRPr="00FA3856">
        <w:rPr>
          <w:rFonts w:ascii="Times New Roman" w:hAnsi="Times New Roman"/>
          <w:color w:val="auto"/>
          <w:szCs w:val="20"/>
        </w:rPr>
        <w:t xml:space="preserve">: </w:t>
      </w:r>
      <w:r w:rsidR="00FE5D23" w:rsidRPr="00FA3856">
        <w:rPr>
          <w:rFonts w:ascii="Times New Roman" w:hAnsi="Times New Roman"/>
          <w:szCs w:val="20"/>
        </w:rPr>
        <w:t>Verifica se o registro já foi importado anteriormente, de acordo com a chave e os registros pais. Se a regra não for cumprida, a ECF gera um aviso.</w:t>
      </w:r>
    </w:p>
    <w:p w:rsidR="00FE5D23" w:rsidRPr="00FA3856" w:rsidRDefault="00FE5D23" w:rsidP="00FE5D23">
      <w:pPr>
        <w:pStyle w:val="Corpodetexto"/>
        <w:ind w:left="708" w:firstLine="12"/>
        <w:rPr>
          <w:rFonts w:ascii="Times New Roman" w:hAnsi="Times New Roman"/>
          <w:szCs w:val="20"/>
        </w:rPr>
      </w:pPr>
    </w:p>
    <w:p w:rsidR="00FE5D23" w:rsidRPr="00FA3856" w:rsidRDefault="007D0E74" w:rsidP="00FE5D23">
      <w:pPr>
        <w:pStyle w:val="Corpodetexto"/>
        <w:ind w:left="708" w:firstLine="12"/>
        <w:rPr>
          <w:rFonts w:ascii="Times New Roman" w:hAnsi="Times New Roman"/>
          <w:szCs w:val="20"/>
        </w:rPr>
      </w:pPr>
      <w:hyperlink r:id="rId797" w:anchor="REGRA_OCORRENCIA_UNITARIA_ARQ" w:history="1">
        <w:r w:rsidR="00FE5D23" w:rsidRPr="00FA3856">
          <w:rPr>
            <w:rFonts w:ascii="Times New Roman" w:hAnsi="Times New Roman"/>
            <w:b/>
            <w:szCs w:val="20"/>
          </w:rPr>
          <w:t>REGRA_</w:t>
        </w:r>
      </w:hyperlink>
      <w:r w:rsidR="00FE5D23" w:rsidRPr="00FA3856">
        <w:rPr>
          <w:rFonts w:ascii="Times New Roman" w:hAnsi="Times New Roman"/>
          <w:b/>
          <w:szCs w:val="20"/>
        </w:rPr>
        <w:t>LINHA_DESPREZADA</w:t>
      </w:r>
      <w:r w:rsidR="00FE5D23" w:rsidRPr="00FA3856">
        <w:rPr>
          <w:rFonts w:ascii="Times New Roman" w:hAnsi="Times New Roman"/>
          <w:color w:val="auto"/>
          <w:szCs w:val="20"/>
        </w:rPr>
        <w:t xml:space="preserve">: </w:t>
      </w:r>
      <w:r w:rsidR="00FE5D23" w:rsidRPr="00FA3856">
        <w:rPr>
          <w:rFonts w:ascii="Times New Roman" w:hAnsi="Times New Roman"/>
          <w:szCs w:val="20"/>
        </w:rPr>
        <w:t>Verifica se o registro existe na importação, mas não será importado por não existir na tabela dinâmica devido às configurações do bloco 0 ou da tabela dinâmica. Gera um aviso.</w:t>
      </w:r>
    </w:p>
    <w:p w:rsidR="00FE5D23" w:rsidRPr="00FA3856" w:rsidRDefault="00FE5D23" w:rsidP="00FE5D23">
      <w:pPr>
        <w:pStyle w:val="Corpodetexto"/>
        <w:ind w:left="708" w:firstLine="12"/>
        <w:rPr>
          <w:rFonts w:ascii="Times New Roman" w:hAnsi="Times New Roman"/>
          <w:b/>
          <w:szCs w:val="20"/>
        </w:rPr>
      </w:pPr>
    </w:p>
    <w:p w:rsidR="00FE5D23" w:rsidRPr="00FA3856" w:rsidRDefault="007D0E74" w:rsidP="00FE5D23">
      <w:pPr>
        <w:pStyle w:val="Corpodetexto"/>
        <w:ind w:left="708" w:firstLine="12"/>
        <w:rPr>
          <w:rFonts w:ascii="Times New Roman" w:hAnsi="Times New Roman"/>
          <w:b/>
          <w:szCs w:val="20"/>
        </w:rPr>
      </w:pPr>
      <w:hyperlink r:id="rId798" w:anchor="REGRA_OCORRENCIA_UNITARIA_ARQ" w:history="1">
        <w:r w:rsidR="00FE5D23" w:rsidRPr="00FA3856">
          <w:rPr>
            <w:rFonts w:ascii="Times New Roman" w:hAnsi="Times New Roman"/>
            <w:b/>
            <w:szCs w:val="20"/>
          </w:rPr>
          <w:t>REGRA_</w:t>
        </w:r>
      </w:hyperlink>
      <w:r w:rsidR="00FE5D23" w:rsidRPr="00FA3856">
        <w:rPr>
          <w:rFonts w:ascii="Times New Roman" w:hAnsi="Times New Roman"/>
          <w:b/>
          <w:szCs w:val="20"/>
        </w:rPr>
        <w:t>LINHA_ATUALIZADA</w:t>
      </w:r>
      <w:r w:rsidR="00FE5D23" w:rsidRPr="00FA3856">
        <w:rPr>
          <w:rFonts w:ascii="Times New Roman" w:hAnsi="Times New Roman"/>
          <w:color w:val="auto"/>
          <w:szCs w:val="20"/>
        </w:rPr>
        <w:t xml:space="preserve">: </w:t>
      </w:r>
      <w:r w:rsidR="00FE5D23" w:rsidRPr="00FA3856">
        <w:rPr>
          <w:rFonts w:ascii="Times New Roman" w:hAnsi="Times New Roman"/>
          <w:szCs w:val="20"/>
        </w:rPr>
        <w:t>Verifica se o registro está desatualizado em relação à tabela da RFB. Gera um aviso.</w:t>
      </w:r>
    </w:p>
    <w:p w:rsidR="00FE5D23" w:rsidRPr="00FA3856" w:rsidRDefault="00FE5D23" w:rsidP="007E756C">
      <w:pPr>
        <w:rPr>
          <w:b/>
          <w:szCs w:val="20"/>
          <w:lang w:val="pt-PT"/>
        </w:rPr>
      </w:pPr>
    </w:p>
    <w:p w:rsidR="004F3D8E" w:rsidRPr="00FA3856" w:rsidRDefault="004F3D8E" w:rsidP="007E756C">
      <w:pPr>
        <w:rPr>
          <w:b/>
          <w:szCs w:val="20"/>
          <w:lang w:val="pt-PT"/>
        </w:rPr>
      </w:pPr>
    </w:p>
    <w:p w:rsidR="004F3D8E" w:rsidRPr="00FA3856" w:rsidRDefault="004F3D8E" w:rsidP="007E756C">
      <w:pPr>
        <w:rPr>
          <w:b/>
          <w:szCs w:val="20"/>
          <w:lang w:val="pt-PT"/>
        </w:rPr>
      </w:pPr>
    </w:p>
    <w:p w:rsidR="004F3D8E" w:rsidRPr="00FA3856" w:rsidRDefault="004F3D8E" w:rsidP="007E756C">
      <w:pPr>
        <w:rPr>
          <w:b/>
          <w:szCs w:val="20"/>
          <w:lang w:val="pt-PT"/>
        </w:rPr>
      </w:pPr>
    </w:p>
    <w:p w:rsidR="007E756C" w:rsidRPr="00FA3856" w:rsidRDefault="00FE5D23" w:rsidP="007E756C">
      <w:pPr>
        <w:rPr>
          <w:b/>
          <w:szCs w:val="20"/>
          <w:lang w:val="pt-PT"/>
        </w:rPr>
      </w:pPr>
      <w:r w:rsidRPr="00FA3856">
        <w:rPr>
          <w:b/>
          <w:szCs w:val="20"/>
          <w:lang w:val="pt-PT"/>
        </w:rPr>
        <w:lastRenderedPageBreak/>
        <w:t>I</w:t>
      </w:r>
      <w:r w:rsidR="007E756C" w:rsidRPr="00FA3856">
        <w:rPr>
          <w:b/>
          <w:szCs w:val="20"/>
          <w:lang w:val="pt-PT"/>
        </w:rPr>
        <w:t>I – Regras de Validação de Campos:</w:t>
      </w:r>
    </w:p>
    <w:p w:rsidR="007E756C" w:rsidRPr="00FA3856" w:rsidRDefault="007E756C" w:rsidP="007E756C">
      <w:pPr>
        <w:rPr>
          <w:b/>
          <w:szCs w:val="20"/>
          <w:lang w:val="pt-PT"/>
        </w:rPr>
      </w:pPr>
    </w:p>
    <w:tbl>
      <w:tblPr>
        <w:tblW w:w="15317"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85"/>
        <w:gridCol w:w="3000"/>
        <w:gridCol w:w="11115"/>
        <w:gridCol w:w="717"/>
      </w:tblGrid>
      <w:tr w:rsidR="007E756C" w:rsidRPr="00FA3856" w:rsidTr="006671A6">
        <w:trPr>
          <w:jc w:val="center"/>
        </w:trPr>
        <w:tc>
          <w:tcPr>
            <w:tcW w:w="485" w:type="dxa"/>
            <w:tcBorders>
              <w:top w:val="single" w:sz="6" w:space="0" w:color="auto"/>
              <w:left w:val="single" w:sz="6" w:space="0" w:color="auto"/>
              <w:bottom w:val="single" w:sz="6" w:space="0" w:color="auto"/>
              <w:right w:val="single" w:sz="6" w:space="0" w:color="auto"/>
            </w:tcBorders>
            <w:shd w:val="pct10" w:color="auto" w:fill="FFFFFF"/>
          </w:tcPr>
          <w:p w:rsidR="007E756C" w:rsidRPr="00FA3856" w:rsidRDefault="007E756C" w:rsidP="00353C1C">
            <w:pPr>
              <w:pStyle w:val="PSDS-CorpodeTexto0"/>
              <w:jc w:val="center"/>
              <w:rPr>
                <w:rFonts w:ascii="Times New Roman" w:hAnsi="Times New Roman"/>
                <w:b/>
                <w:bCs/>
              </w:rPr>
            </w:pPr>
            <w:r w:rsidRPr="00FA3856">
              <w:rPr>
                <w:rFonts w:ascii="Times New Roman" w:hAnsi="Times New Roman"/>
                <w:b/>
                <w:bCs/>
              </w:rPr>
              <w:t>Nº</w:t>
            </w:r>
          </w:p>
        </w:tc>
        <w:tc>
          <w:tcPr>
            <w:tcW w:w="3000" w:type="dxa"/>
            <w:tcBorders>
              <w:top w:val="single" w:sz="6" w:space="0" w:color="auto"/>
              <w:left w:val="single" w:sz="6" w:space="0" w:color="auto"/>
              <w:bottom w:val="single" w:sz="6" w:space="0" w:color="auto"/>
              <w:right w:val="single" w:sz="6" w:space="0" w:color="auto"/>
            </w:tcBorders>
            <w:shd w:val="pct10" w:color="auto" w:fill="FFFFFF"/>
          </w:tcPr>
          <w:p w:rsidR="007E756C" w:rsidRPr="00FA3856" w:rsidRDefault="007E756C" w:rsidP="00353C1C">
            <w:pPr>
              <w:pStyle w:val="PSDS-CorpodeTexto0"/>
              <w:jc w:val="center"/>
              <w:rPr>
                <w:rFonts w:ascii="Times New Roman" w:hAnsi="Times New Roman"/>
                <w:b/>
                <w:bCs/>
              </w:rPr>
            </w:pPr>
            <w:r w:rsidRPr="00FA3856">
              <w:rPr>
                <w:rFonts w:ascii="Times New Roman" w:hAnsi="Times New Roman"/>
                <w:b/>
                <w:bCs/>
              </w:rPr>
              <w:t>Campo</w:t>
            </w:r>
          </w:p>
        </w:tc>
        <w:tc>
          <w:tcPr>
            <w:tcW w:w="11115" w:type="dxa"/>
            <w:tcBorders>
              <w:top w:val="single" w:sz="6" w:space="0" w:color="auto"/>
              <w:left w:val="single" w:sz="6" w:space="0" w:color="auto"/>
              <w:bottom w:val="single" w:sz="6" w:space="0" w:color="auto"/>
              <w:right w:val="single" w:sz="6" w:space="0" w:color="auto"/>
            </w:tcBorders>
            <w:shd w:val="pct10" w:color="auto" w:fill="FFFFFF"/>
          </w:tcPr>
          <w:p w:rsidR="007E756C" w:rsidRPr="00FA3856" w:rsidRDefault="007E756C" w:rsidP="00353C1C">
            <w:pPr>
              <w:pStyle w:val="PSDS-CorpodeTexto0"/>
              <w:jc w:val="center"/>
              <w:rPr>
                <w:rFonts w:ascii="Times New Roman" w:hAnsi="Times New Roman"/>
                <w:b/>
                <w:bCs/>
              </w:rPr>
            </w:pPr>
            <w:r w:rsidRPr="00FA3856">
              <w:rPr>
                <w:rFonts w:ascii="Times New Roman" w:hAnsi="Times New Roman"/>
                <w:b/>
                <w:bCs/>
              </w:rPr>
              <w:t>Regras de Validação do Campo</w:t>
            </w:r>
          </w:p>
        </w:tc>
        <w:tc>
          <w:tcPr>
            <w:tcW w:w="717" w:type="dxa"/>
            <w:tcBorders>
              <w:top w:val="single" w:sz="6" w:space="0" w:color="auto"/>
              <w:left w:val="single" w:sz="6" w:space="0" w:color="auto"/>
              <w:bottom w:val="single" w:sz="6" w:space="0" w:color="auto"/>
              <w:right w:val="single" w:sz="6" w:space="0" w:color="auto"/>
            </w:tcBorders>
            <w:shd w:val="pct10" w:color="auto" w:fill="FFFFFF"/>
          </w:tcPr>
          <w:p w:rsidR="007E756C" w:rsidRPr="00FA3856" w:rsidRDefault="007E756C" w:rsidP="00353C1C">
            <w:pPr>
              <w:pStyle w:val="PSDS-CorpodeTexto0"/>
              <w:jc w:val="center"/>
              <w:rPr>
                <w:rFonts w:ascii="Times New Roman" w:hAnsi="Times New Roman"/>
                <w:b/>
                <w:bCs/>
              </w:rPr>
            </w:pPr>
            <w:r w:rsidRPr="00FA3856">
              <w:rPr>
                <w:rFonts w:ascii="Times New Roman" w:hAnsi="Times New Roman"/>
                <w:b/>
                <w:bCs/>
              </w:rPr>
              <w:t>Tipo</w:t>
            </w:r>
          </w:p>
        </w:tc>
      </w:tr>
      <w:tr w:rsidR="0012324D" w:rsidRPr="00FA3856" w:rsidTr="006671A6">
        <w:trPr>
          <w:jc w:val="center"/>
        </w:trPr>
        <w:tc>
          <w:tcPr>
            <w:tcW w:w="485" w:type="dxa"/>
            <w:tcBorders>
              <w:top w:val="single" w:sz="6" w:space="0" w:color="auto"/>
              <w:left w:val="single" w:sz="6" w:space="0" w:color="auto"/>
              <w:bottom w:val="single" w:sz="6" w:space="0" w:color="auto"/>
              <w:right w:val="single" w:sz="6" w:space="0" w:color="auto"/>
            </w:tcBorders>
          </w:tcPr>
          <w:p w:rsidR="0012324D" w:rsidRPr="00FA3856" w:rsidRDefault="0012324D" w:rsidP="0012324D">
            <w:pPr>
              <w:pStyle w:val="PSDS-CorpodeTexto0"/>
              <w:suppressAutoHyphens w:val="0"/>
              <w:rPr>
                <w:rFonts w:ascii="Times New Roman" w:hAnsi="Times New Roman"/>
                <w:b/>
                <w:bCs/>
                <w:lang w:val="pt-PT"/>
              </w:rPr>
            </w:pPr>
            <w:r w:rsidRPr="00FA3856">
              <w:rPr>
                <w:rFonts w:ascii="Times New Roman" w:hAnsi="Times New Roman"/>
                <w:b/>
                <w:bCs/>
                <w:lang w:val="pt-PT"/>
              </w:rPr>
              <w:t>4</w:t>
            </w:r>
          </w:p>
        </w:tc>
        <w:tc>
          <w:tcPr>
            <w:tcW w:w="3000" w:type="dxa"/>
            <w:tcBorders>
              <w:top w:val="single" w:sz="6" w:space="0" w:color="auto"/>
              <w:left w:val="single" w:sz="6" w:space="0" w:color="auto"/>
              <w:bottom w:val="single" w:sz="6" w:space="0" w:color="auto"/>
              <w:right w:val="single" w:sz="6" w:space="0" w:color="auto"/>
            </w:tcBorders>
          </w:tcPr>
          <w:p w:rsidR="0012324D" w:rsidRPr="00FA3856" w:rsidRDefault="0012324D" w:rsidP="0012324D">
            <w:pPr>
              <w:pStyle w:val="PSDS-CorpodeTexto0"/>
              <w:rPr>
                <w:rFonts w:ascii="Times New Roman" w:hAnsi="Times New Roman"/>
              </w:rPr>
            </w:pPr>
            <w:r w:rsidRPr="00FA3856">
              <w:rPr>
                <w:rFonts w:ascii="Times New Roman" w:hAnsi="Times New Roman"/>
              </w:rPr>
              <w:t>VALOR</w:t>
            </w:r>
          </w:p>
        </w:tc>
        <w:tc>
          <w:tcPr>
            <w:tcW w:w="11115" w:type="dxa"/>
            <w:tcBorders>
              <w:top w:val="single" w:sz="6" w:space="0" w:color="auto"/>
              <w:left w:val="single" w:sz="6" w:space="0" w:color="auto"/>
              <w:bottom w:val="single" w:sz="6" w:space="0" w:color="auto"/>
              <w:right w:val="single" w:sz="6" w:space="0" w:color="auto"/>
            </w:tcBorders>
          </w:tcPr>
          <w:p w:rsidR="0012324D" w:rsidRPr="00FA3856" w:rsidRDefault="0012324D" w:rsidP="0012324D">
            <w:pPr>
              <w:pStyle w:val="Corpodetexto"/>
              <w:rPr>
                <w:rFonts w:ascii="Times New Roman" w:hAnsi="Times New Roman"/>
                <w:szCs w:val="20"/>
              </w:rPr>
            </w:pPr>
            <w:r w:rsidRPr="00FA3856">
              <w:rPr>
                <w:rFonts w:ascii="Times New Roman" w:hAnsi="Times New Roman"/>
                <w:b/>
                <w:bCs/>
                <w:szCs w:val="20"/>
              </w:rPr>
              <w:t>REGRA_OBRIGATORIO_TIPO_DIFERENTE_R</w:t>
            </w:r>
            <w:r w:rsidRPr="00FA3856">
              <w:rPr>
                <w:rFonts w:ascii="Times New Roman" w:hAnsi="Times New Roman"/>
                <w:szCs w:val="20"/>
              </w:rPr>
              <w:t xml:space="preserve">: </w:t>
            </w:r>
            <w:r w:rsidRPr="00FA3856">
              <w:rPr>
                <w:rStyle w:val="Hyperlink"/>
                <w:rFonts w:ascii="Times New Roman" w:hAnsi="Times New Roman"/>
                <w:bCs/>
                <w:color w:val="auto"/>
                <w:szCs w:val="20"/>
                <w:lang w:val="pt-PT"/>
              </w:rPr>
              <w:t xml:space="preserve">Verifica se o campo está preenchido quando o tipo da linha </w:t>
            </w:r>
            <w:r w:rsidR="00AE7FBB" w:rsidRPr="00FA3856">
              <w:rPr>
                <w:rStyle w:val="Hyperlink"/>
                <w:rFonts w:ascii="Times New Roman" w:hAnsi="Times New Roman"/>
                <w:bCs/>
                <w:color w:val="auto"/>
                <w:szCs w:val="20"/>
                <w:lang w:val="pt-PT"/>
              </w:rPr>
              <w:t>é diferente</w:t>
            </w:r>
            <w:r w:rsidRPr="00FA3856">
              <w:rPr>
                <w:rStyle w:val="Hyperlink"/>
                <w:rFonts w:ascii="Times New Roman" w:hAnsi="Times New Roman"/>
                <w:bCs/>
                <w:color w:val="auto"/>
                <w:szCs w:val="20"/>
                <w:lang w:val="pt-PT"/>
              </w:rPr>
              <w:t xml:space="preserve"> de “R”.</w:t>
            </w:r>
          </w:p>
        </w:tc>
        <w:tc>
          <w:tcPr>
            <w:tcW w:w="717" w:type="dxa"/>
            <w:tcBorders>
              <w:top w:val="single" w:sz="6" w:space="0" w:color="auto"/>
              <w:left w:val="single" w:sz="6" w:space="0" w:color="auto"/>
              <w:bottom w:val="single" w:sz="6" w:space="0" w:color="auto"/>
              <w:right w:val="single" w:sz="6" w:space="0" w:color="auto"/>
            </w:tcBorders>
          </w:tcPr>
          <w:p w:rsidR="0012324D" w:rsidRPr="00FA3856" w:rsidRDefault="0012324D" w:rsidP="0012324D">
            <w:pPr>
              <w:pStyle w:val="PSDS-CorpodeTexto0"/>
              <w:rPr>
                <w:rFonts w:ascii="Times New Roman" w:hAnsi="Times New Roman"/>
              </w:rPr>
            </w:pPr>
            <w:r w:rsidRPr="00FA3856">
              <w:rPr>
                <w:rFonts w:ascii="Times New Roman" w:hAnsi="Times New Roman"/>
              </w:rPr>
              <w:t>Erro</w:t>
            </w:r>
          </w:p>
          <w:p w:rsidR="0012324D" w:rsidRPr="00FA3856" w:rsidRDefault="0012324D" w:rsidP="0012324D">
            <w:pPr>
              <w:pStyle w:val="PSDS-CorpodeTexto0"/>
              <w:rPr>
                <w:rFonts w:ascii="Times New Roman" w:hAnsi="Times New Roman"/>
              </w:rPr>
            </w:pPr>
          </w:p>
        </w:tc>
      </w:tr>
    </w:tbl>
    <w:p w:rsidR="004F3D8E" w:rsidRPr="00FA3856" w:rsidRDefault="004F3D8E" w:rsidP="007E756C">
      <w:pPr>
        <w:pStyle w:val="Corpodetexto"/>
        <w:rPr>
          <w:rFonts w:ascii="Times New Roman" w:hAnsi="Times New Roman"/>
          <w:b/>
          <w:szCs w:val="20"/>
        </w:rPr>
      </w:pPr>
    </w:p>
    <w:p w:rsidR="00BA73FF" w:rsidRPr="00FA3856" w:rsidRDefault="00BA73FF" w:rsidP="007E756C">
      <w:pPr>
        <w:pStyle w:val="Corpodetexto"/>
        <w:rPr>
          <w:rFonts w:ascii="Times New Roman" w:hAnsi="Times New Roman"/>
          <w:b/>
          <w:szCs w:val="20"/>
        </w:rPr>
      </w:pPr>
      <w:r w:rsidRPr="00FA3856">
        <w:rPr>
          <w:rFonts w:ascii="Times New Roman" w:hAnsi="Times New Roman"/>
          <w:b/>
          <w:szCs w:val="20"/>
        </w:rPr>
        <w:t>I</w:t>
      </w:r>
      <w:r w:rsidR="00FE5D23" w:rsidRPr="00FA3856">
        <w:rPr>
          <w:rFonts w:ascii="Times New Roman" w:hAnsi="Times New Roman"/>
          <w:b/>
          <w:szCs w:val="20"/>
        </w:rPr>
        <w:t>I</w:t>
      </w:r>
      <w:r w:rsidRPr="00FA3856">
        <w:rPr>
          <w:rFonts w:ascii="Times New Roman" w:hAnsi="Times New Roman"/>
          <w:b/>
          <w:szCs w:val="20"/>
        </w:rPr>
        <w:t>I – Tabela Dinâmica:</w:t>
      </w:r>
      <w:r w:rsidR="0053782C">
        <w:rPr>
          <w:rFonts w:ascii="Times New Roman" w:hAnsi="Times New Roman"/>
          <w:b/>
          <w:szCs w:val="20"/>
        </w:rPr>
        <w:t xml:space="preserve"> </w:t>
      </w:r>
      <w:r w:rsidR="0053782C" w:rsidRPr="0053782C">
        <w:rPr>
          <w:rFonts w:ascii="Times New Roman" w:hAnsi="Times New Roman"/>
          <w:b/>
          <w:szCs w:val="20"/>
        </w:rPr>
        <w:t>X470 - Capacitação de Informática e Inclusão Digital</w:t>
      </w:r>
    </w:p>
    <w:p w:rsidR="00783761" w:rsidRPr="00FA3856" w:rsidRDefault="00486CDA" w:rsidP="007E756C">
      <w:pPr>
        <w:pStyle w:val="Corpodetexto"/>
        <w:rPr>
          <w:rFonts w:ascii="Times New Roman" w:hAnsi="Times New Roman"/>
          <w:b/>
          <w:szCs w:val="20"/>
        </w:rPr>
      </w:pPr>
      <w:r>
        <w:rPr>
          <w:rFonts w:ascii="Times New Roman" w:hAnsi="Times New Roman"/>
          <w:b/>
          <w:szCs w:val="20"/>
        </w:rPr>
        <w:object w:dxaOrig="1534" w:dyaOrig="997">
          <v:shape id="_x0000_i1331" type="#_x0000_t75" style="width:76.5pt;height:49.5pt" o:ole="">
            <v:imagedata r:id="rId799" o:title=""/>
          </v:shape>
          <o:OLEObject Type="Link" ProgID="Excel.Sheet.12" ShapeID="_x0000_i1331" DrawAspect="Content" r:id="rId800" UpdateMode="OnCall">
            <o:LinkType>EnhancedMetaFile</o:LinkType>
            <o:LockedField>false</o:LockedField>
          </o:OLEObject>
        </w:object>
      </w:r>
    </w:p>
    <w:p w:rsidR="004F3D8E" w:rsidRPr="00FA3856" w:rsidRDefault="004F3D8E" w:rsidP="004F3D8E">
      <w:pPr>
        <w:pStyle w:val="Corpodetexto"/>
        <w:rPr>
          <w:rFonts w:ascii="Times New Roman" w:hAnsi="Times New Roman"/>
          <w:b/>
          <w:color w:val="002060"/>
          <w:szCs w:val="20"/>
        </w:rPr>
      </w:pPr>
      <w:r w:rsidRPr="00FA3856">
        <w:rPr>
          <w:rFonts w:ascii="Times New Roman" w:hAnsi="Times New Roman"/>
          <w:b/>
          <w:color w:val="002060"/>
          <w:szCs w:val="20"/>
        </w:rPr>
        <w:t xml:space="preserve">Exemplo de Preenchimento: </w:t>
      </w:r>
    </w:p>
    <w:p w:rsidR="004F3D8E" w:rsidRPr="00FA3856" w:rsidRDefault="004F3D8E" w:rsidP="004F3D8E">
      <w:pPr>
        <w:pStyle w:val="Corpodetexto"/>
        <w:rPr>
          <w:rFonts w:ascii="Times New Roman" w:hAnsi="Times New Roman"/>
          <w:b/>
          <w:color w:val="002060"/>
          <w:szCs w:val="20"/>
        </w:rPr>
      </w:pPr>
    </w:p>
    <w:p w:rsidR="004F3D8E" w:rsidRPr="00FA3856" w:rsidRDefault="004F3D8E" w:rsidP="004F3D8E">
      <w:pPr>
        <w:pStyle w:val="Corpodetexto"/>
        <w:rPr>
          <w:rFonts w:ascii="Times New Roman" w:hAnsi="Times New Roman"/>
          <w:b/>
          <w:color w:val="002060"/>
          <w:szCs w:val="20"/>
        </w:rPr>
      </w:pPr>
      <w:r w:rsidRPr="00FA3856">
        <w:rPr>
          <w:rFonts w:ascii="Times New Roman" w:hAnsi="Times New Roman"/>
          <w:b/>
          <w:color w:val="002060"/>
          <w:szCs w:val="20"/>
        </w:rPr>
        <w:t>|X470|12|PROGRAMA DE INCLUSÃO DIGITAL - LEI Nº 11.196/2005||</w:t>
      </w:r>
    </w:p>
    <w:p w:rsidR="004F3D8E" w:rsidRPr="00FA3856" w:rsidRDefault="004F3D8E" w:rsidP="004F3D8E">
      <w:pPr>
        <w:pStyle w:val="Corpodetexto"/>
        <w:ind w:firstLine="708"/>
        <w:rPr>
          <w:rFonts w:ascii="Times New Roman" w:hAnsi="Times New Roman"/>
          <w:color w:val="002060"/>
          <w:szCs w:val="20"/>
        </w:rPr>
      </w:pPr>
      <w:r w:rsidRPr="00FA3856">
        <w:rPr>
          <w:rFonts w:ascii="Times New Roman" w:hAnsi="Times New Roman"/>
          <w:color w:val="002060"/>
          <w:szCs w:val="20"/>
        </w:rPr>
        <w:t>|X470|: Identificação do tipo do registro.</w:t>
      </w:r>
    </w:p>
    <w:p w:rsidR="004F3D8E" w:rsidRPr="00FA3856" w:rsidRDefault="004F3D8E" w:rsidP="004F3D8E">
      <w:pPr>
        <w:pStyle w:val="Corpodetexto"/>
        <w:ind w:firstLine="708"/>
        <w:rPr>
          <w:rFonts w:ascii="Times New Roman" w:hAnsi="Times New Roman"/>
          <w:color w:val="002060"/>
          <w:szCs w:val="20"/>
        </w:rPr>
      </w:pPr>
      <w:r w:rsidRPr="00FA3856">
        <w:rPr>
          <w:rFonts w:ascii="Times New Roman" w:hAnsi="Times New Roman"/>
          <w:color w:val="002060"/>
          <w:szCs w:val="20"/>
        </w:rPr>
        <w:t>|12|: Código da linha.</w:t>
      </w:r>
    </w:p>
    <w:p w:rsidR="004F3D8E" w:rsidRPr="00FA3856" w:rsidRDefault="004F3D8E" w:rsidP="004F3D8E">
      <w:pPr>
        <w:pStyle w:val="Corpodetexto"/>
        <w:ind w:firstLine="708"/>
        <w:rPr>
          <w:rFonts w:ascii="Times New Roman" w:hAnsi="Times New Roman"/>
          <w:color w:val="002060"/>
          <w:szCs w:val="20"/>
        </w:rPr>
      </w:pPr>
      <w:r w:rsidRPr="00FA3856">
        <w:rPr>
          <w:rFonts w:ascii="Times New Roman" w:hAnsi="Times New Roman"/>
          <w:color w:val="002060"/>
          <w:szCs w:val="20"/>
        </w:rPr>
        <w:t>|PROGRAMA DE INCLUSÃO DIGITAL - LEI Nº 11.196/2005|: Descrição da linha.</w:t>
      </w:r>
    </w:p>
    <w:p w:rsidR="004F3D8E" w:rsidRPr="00FA3856" w:rsidRDefault="004F3D8E" w:rsidP="004F3D8E">
      <w:pPr>
        <w:pStyle w:val="Corpodetexto"/>
        <w:ind w:firstLine="708"/>
        <w:rPr>
          <w:rFonts w:ascii="Times New Roman" w:hAnsi="Times New Roman"/>
          <w:color w:val="002060"/>
          <w:szCs w:val="20"/>
        </w:rPr>
      </w:pPr>
      <w:r w:rsidRPr="00FA3856">
        <w:rPr>
          <w:rFonts w:ascii="Times New Roman" w:hAnsi="Times New Roman"/>
          <w:color w:val="002060"/>
          <w:szCs w:val="20"/>
        </w:rPr>
        <w:t>||: Valor da linha (como a linha corresponde a um rótulo – R – não há valor).</w:t>
      </w:r>
    </w:p>
    <w:p w:rsidR="004F3D8E" w:rsidRPr="00FA3856" w:rsidRDefault="004F3D8E" w:rsidP="004F3D8E">
      <w:pPr>
        <w:rPr>
          <w:bCs/>
          <w:szCs w:val="20"/>
        </w:rPr>
      </w:pPr>
    </w:p>
    <w:p w:rsidR="004F3D8E" w:rsidRPr="00FA3856" w:rsidRDefault="004F3D8E" w:rsidP="004F3D8E">
      <w:pPr>
        <w:pStyle w:val="Corpodetexto"/>
        <w:rPr>
          <w:rFonts w:ascii="Times New Roman" w:hAnsi="Times New Roman"/>
          <w:b/>
          <w:color w:val="002060"/>
          <w:szCs w:val="20"/>
        </w:rPr>
      </w:pPr>
      <w:r w:rsidRPr="00FA3856">
        <w:rPr>
          <w:rFonts w:ascii="Times New Roman" w:hAnsi="Times New Roman"/>
          <w:b/>
          <w:color w:val="002060"/>
          <w:szCs w:val="20"/>
        </w:rPr>
        <w:t>|X470|16|Receita Auferida na Venda Efetuada às Sociedades de Arrendamento Mercantil e Leasing (art. 28, § 3º)|100000,00|</w:t>
      </w:r>
    </w:p>
    <w:p w:rsidR="004F3D8E" w:rsidRPr="00FA3856" w:rsidRDefault="004F3D8E" w:rsidP="004F3D8E">
      <w:pPr>
        <w:pStyle w:val="Corpodetexto"/>
        <w:ind w:firstLine="708"/>
        <w:rPr>
          <w:rFonts w:ascii="Times New Roman" w:hAnsi="Times New Roman"/>
          <w:color w:val="002060"/>
          <w:szCs w:val="20"/>
        </w:rPr>
      </w:pPr>
      <w:r w:rsidRPr="00FA3856">
        <w:rPr>
          <w:rFonts w:ascii="Times New Roman" w:hAnsi="Times New Roman"/>
          <w:color w:val="002060"/>
          <w:szCs w:val="20"/>
        </w:rPr>
        <w:t>|X470|: Identificação do tipo do registro.</w:t>
      </w:r>
    </w:p>
    <w:p w:rsidR="004F3D8E" w:rsidRPr="00FA3856" w:rsidRDefault="004F3D8E" w:rsidP="004F3D8E">
      <w:pPr>
        <w:pStyle w:val="Corpodetexto"/>
        <w:ind w:firstLine="708"/>
        <w:rPr>
          <w:rFonts w:ascii="Times New Roman" w:hAnsi="Times New Roman"/>
          <w:color w:val="002060"/>
          <w:szCs w:val="20"/>
        </w:rPr>
      </w:pPr>
      <w:r w:rsidRPr="00FA3856">
        <w:rPr>
          <w:rFonts w:ascii="Times New Roman" w:hAnsi="Times New Roman"/>
          <w:color w:val="002060"/>
          <w:szCs w:val="20"/>
        </w:rPr>
        <w:t>|16|: Código da linha.</w:t>
      </w:r>
    </w:p>
    <w:p w:rsidR="004F3D8E" w:rsidRPr="00FA3856" w:rsidRDefault="004F3D8E" w:rsidP="004F3D8E">
      <w:pPr>
        <w:pStyle w:val="Corpodetexto"/>
        <w:ind w:firstLine="708"/>
        <w:rPr>
          <w:rFonts w:ascii="Times New Roman" w:hAnsi="Times New Roman"/>
          <w:color w:val="002060"/>
          <w:szCs w:val="20"/>
        </w:rPr>
      </w:pPr>
      <w:r w:rsidRPr="00FA3856">
        <w:rPr>
          <w:rFonts w:ascii="Times New Roman" w:hAnsi="Times New Roman"/>
          <w:color w:val="002060"/>
          <w:szCs w:val="20"/>
        </w:rPr>
        <w:t>|Receita Auferida na Venda Efetuada às Sociedades de Arrendamento Mercantil e Leasing (art. 28, § 3º)|: Descrição da linha.</w:t>
      </w:r>
    </w:p>
    <w:p w:rsidR="004F3D8E" w:rsidRPr="00FA3856" w:rsidRDefault="004F3D8E" w:rsidP="004F3D8E">
      <w:pPr>
        <w:pStyle w:val="Corpodetexto"/>
        <w:ind w:firstLine="708"/>
        <w:rPr>
          <w:rFonts w:ascii="Times New Roman" w:hAnsi="Times New Roman"/>
          <w:color w:val="002060"/>
          <w:szCs w:val="20"/>
        </w:rPr>
      </w:pPr>
      <w:r w:rsidRPr="00FA3856">
        <w:rPr>
          <w:rFonts w:ascii="Times New Roman" w:hAnsi="Times New Roman"/>
          <w:color w:val="002060"/>
          <w:szCs w:val="20"/>
        </w:rPr>
        <w:t>|100000,00|: Valor da linha (R$ 100.000,00).</w:t>
      </w:r>
    </w:p>
    <w:p w:rsidR="004F3D8E" w:rsidRPr="00FA3856" w:rsidRDefault="004F3D8E" w:rsidP="004F3D8E">
      <w:pPr>
        <w:spacing w:after="200" w:line="276" w:lineRule="auto"/>
        <w:rPr>
          <w:b/>
          <w:bCs/>
          <w:color w:val="0000FF"/>
          <w:szCs w:val="20"/>
        </w:rPr>
      </w:pPr>
    </w:p>
    <w:p w:rsidR="006671A6" w:rsidRPr="00FA3856" w:rsidRDefault="006671A6">
      <w:pPr>
        <w:spacing w:after="200" w:line="276" w:lineRule="auto"/>
        <w:rPr>
          <w:b/>
          <w:bCs/>
          <w:color w:val="0000FF"/>
          <w:szCs w:val="20"/>
        </w:rPr>
      </w:pPr>
      <w:r w:rsidRPr="00FA3856">
        <w:rPr>
          <w:color w:val="0000FF"/>
          <w:szCs w:val="20"/>
        </w:rPr>
        <w:br w:type="page"/>
      </w:r>
    </w:p>
    <w:p w:rsidR="00221E07" w:rsidRPr="00FA3856" w:rsidRDefault="007E756C" w:rsidP="00867F54">
      <w:pPr>
        <w:pStyle w:val="Ttulo4"/>
      </w:pPr>
      <w:bookmarkStart w:id="413" w:name="_Toc479713816"/>
      <w:r w:rsidRPr="00FA3856">
        <w:lastRenderedPageBreak/>
        <w:t>Registro X480:</w:t>
      </w:r>
      <w:r w:rsidR="00221E07" w:rsidRPr="00FA3856">
        <w:t xml:space="preserve"> Repes, Recap, Padis, PATVD, Reidi, Repenec, Reicomp, Retaero, Recine, Resíduos Sólidos, Recopa, Copa do Mundo, Retid, REPNBL-Redes, Reif e Olimpíadas</w:t>
      </w:r>
      <w:bookmarkEnd w:id="413"/>
    </w:p>
    <w:p w:rsidR="00221E07" w:rsidRPr="00FA3856" w:rsidRDefault="007E756C" w:rsidP="007E756C">
      <w:pPr>
        <w:rPr>
          <w:bCs/>
          <w:szCs w:val="20"/>
        </w:rPr>
      </w:pPr>
      <w:r w:rsidRPr="00FA3856">
        <w:rPr>
          <w:bCs/>
          <w:szCs w:val="20"/>
        </w:rPr>
        <w:tab/>
      </w:r>
    </w:p>
    <w:p w:rsidR="00CE69DC" w:rsidRPr="00FA3856" w:rsidRDefault="00CE69DC" w:rsidP="00CE69DC">
      <w:pPr>
        <w:ind w:firstLine="708"/>
        <w:rPr>
          <w:bCs/>
          <w:szCs w:val="20"/>
        </w:rPr>
      </w:pPr>
      <w:r w:rsidRPr="00FA3856">
        <w:rPr>
          <w:bCs/>
          <w:szCs w:val="20"/>
        </w:rPr>
        <w:t>Este registro deverá ser preenchido pela pessoa jurídica: </w:t>
      </w:r>
    </w:p>
    <w:p w:rsidR="00CE69DC" w:rsidRPr="00FA3856" w:rsidRDefault="00CE69DC" w:rsidP="00CE69DC">
      <w:pPr>
        <w:jc w:val="both"/>
        <w:rPr>
          <w:bCs/>
          <w:szCs w:val="20"/>
        </w:rPr>
      </w:pPr>
    </w:p>
    <w:p w:rsidR="00CE69DC" w:rsidRPr="00FA3856" w:rsidRDefault="00CE69DC" w:rsidP="00CE69DC">
      <w:pPr>
        <w:jc w:val="both"/>
        <w:rPr>
          <w:bCs/>
          <w:szCs w:val="20"/>
        </w:rPr>
      </w:pPr>
      <w:r w:rsidRPr="00FA3856">
        <w:rPr>
          <w:bCs/>
          <w:szCs w:val="20"/>
        </w:rPr>
        <w:t>a) habilitada no Regime Especial de Tributação para a Plataforma de Exportação de Serviços de Tecnologia da Informação (Repes), instituído pela Lei nº 11.196, de 2005, com as alterações introduzidas pela Lei nº 11.774, de 17 de setembro de 2008, regulamentado pelo Decreto nº 5.712, de 2 de março de 2006, com as alterações introduzidas pelo Decreto nº 6.887, de 25 de junho de 2009; ou </w:t>
      </w:r>
    </w:p>
    <w:p w:rsidR="00CE69DC" w:rsidRPr="00FA3856" w:rsidRDefault="00CE69DC" w:rsidP="00CE69DC">
      <w:pPr>
        <w:jc w:val="both"/>
        <w:rPr>
          <w:bCs/>
          <w:szCs w:val="20"/>
        </w:rPr>
      </w:pPr>
      <w:r w:rsidRPr="00FA3856">
        <w:rPr>
          <w:bCs/>
          <w:szCs w:val="20"/>
        </w:rPr>
        <w:t>b) habilitada no Regime Especial de Aquisição de Bens de Capital para Empresas Exportadoras (Recap) instituído pela Lei nº 11.196, de 2005, com as alterações introduzidas pela Lei nº 11.774, de 2008, regulamentado pelo Decreto nº 5.649, de 29 de dezembro de 2005, com as alterações introduzidas pelo Decreto nº 6.887, de 2009; ou </w:t>
      </w:r>
    </w:p>
    <w:p w:rsidR="00CE69DC" w:rsidRPr="00FA3856" w:rsidRDefault="00CE69DC" w:rsidP="00CE69DC">
      <w:pPr>
        <w:jc w:val="both"/>
        <w:rPr>
          <w:bCs/>
          <w:szCs w:val="20"/>
        </w:rPr>
      </w:pPr>
      <w:r w:rsidRPr="00FA3856">
        <w:rPr>
          <w:bCs/>
          <w:szCs w:val="20"/>
        </w:rPr>
        <w:t>c) executora de projeto aprovado no âmbito do Programa de Apoio ao Desenvolvimento Tecnológico da Indústria de Semicondutores (Padis), instituído pela Lei nº 11.484, de 31 de maio de 2007, com alterações introduzidas pelo art. 20 c/c art. 139, I, “d” da Lei nº 12.249, de 11 de junho de 2010, regulamentado pelo Decreto nº 6.233, de 11 de outubro de 2007, com as alterações introduzidas pelo Decreto nº 6.887, de 2009; ou </w:t>
      </w:r>
    </w:p>
    <w:p w:rsidR="00CE69DC" w:rsidRPr="00FA3856" w:rsidRDefault="00CE69DC" w:rsidP="00CE69DC">
      <w:pPr>
        <w:jc w:val="both"/>
        <w:rPr>
          <w:bCs/>
          <w:szCs w:val="20"/>
        </w:rPr>
      </w:pPr>
      <w:r w:rsidRPr="00FA3856">
        <w:rPr>
          <w:bCs/>
          <w:szCs w:val="20"/>
        </w:rPr>
        <w:t>d) executora de projeto aprovado no âmbito do Programa de Apoio ao Desenvolvimento Tecnológico da Indústria de Equipamentos para TV Digital (PATVD), instituído pela Lei nº 11.484, de 2007, regulamentado pelo Decreto nº 6.234, de 11 de outubro de 2007, ou </w:t>
      </w:r>
    </w:p>
    <w:p w:rsidR="00CE69DC" w:rsidRPr="00FA3856" w:rsidRDefault="00CE69DC" w:rsidP="00CE69DC">
      <w:pPr>
        <w:jc w:val="both"/>
        <w:rPr>
          <w:bCs/>
          <w:szCs w:val="20"/>
        </w:rPr>
      </w:pPr>
      <w:r w:rsidRPr="00FA3856">
        <w:rPr>
          <w:bCs/>
          <w:szCs w:val="20"/>
        </w:rPr>
        <w:t xml:space="preserve">e) habilitada ou co-habilitada no Regime Especial de Incentivos para o Desenvolvimento da </w:t>
      </w:r>
      <w:r w:rsidR="00C321B8" w:rsidRPr="00FA3856">
        <w:rPr>
          <w:bCs/>
          <w:szCs w:val="20"/>
        </w:rPr>
        <w:t>Infraestrutura</w:t>
      </w:r>
      <w:r w:rsidRPr="00FA3856">
        <w:rPr>
          <w:bCs/>
          <w:szCs w:val="20"/>
        </w:rPr>
        <w:t xml:space="preserve"> (Reidi), instituído pela Lei nº 11.488, de 15 de junho de 2007, com as alterações introduzidas pela Lei nº 11.727, de 23 de junho de 2008, e pelo art. 21 c/c art. 139, I, “d” da Lei nº 12.249, de 2010, regulamentado pelo Decreto nº 6.144, de 3 de julho de 2007, com as alterações introduzidas pelo Decreto nº 6.167, de 24 de julho de 2007 e pelo Decreto nº 6.416, de 28 de março de 2008; ou </w:t>
      </w:r>
    </w:p>
    <w:p w:rsidR="00CE69DC" w:rsidRPr="00FA3856" w:rsidRDefault="00CE69DC" w:rsidP="00CE69DC">
      <w:pPr>
        <w:jc w:val="both"/>
        <w:rPr>
          <w:bCs/>
          <w:szCs w:val="20"/>
        </w:rPr>
      </w:pPr>
      <w:r w:rsidRPr="00FA3856">
        <w:rPr>
          <w:bCs/>
          <w:szCs w:val="20"/>
        </w:rPr>
        <w:t>f) habilitada ou co-habilitada no Regime Especial de Incentivos para o Desenvolvimento da Infraestrutura da Indústria Petrolífera das Regiões Norte, Nordeste e Centro-Oeste (Repenec), instituído pela Lei nº 12.249, de 2010, regulamentado pelo Decreto nº 7.320, de 28 de setembro de 2010; ou </w:t>
      </w:r>
    </w:p>
    <w:p w:rsidR="00CE69DC" w:rsidRPr="00FA3856" w:rsidRDefault="00CE69DC" w:rsidP="00CE69DC">
      <w:pPr>
        <w:jc w:val="both"/>
        <w:rPr>
          <w:bCs/>
          <w:szCs w:val="20"/>
        </w:rPr>
      </w:pPr>
      <w:r w:rsidRPr="00FA3856">
        <w:rPr>
          <w:bCs/>
          <w:szCs w:val="20"/>
        </w:rPr>
        <w:t>g) habilitada no Regime Especial de Incentivo a Computadores para Uso Educacional (Reicomp), instituído pela Lei nº 12.715, de 17 de setembro de 2012, regulamentado e o Decreto nº 7.750, de 8 de junho de 2012; ou </w:t>
      </w:r>
    </w:p>
    <w:p w:rsidR="00CE69DC" w:rsidRPr="00FA3856" w:rsidRDefault="00CE69DC" w:rsidP="00CE69DC">
      <w:pPr>
        <w:jc w:val="both"/>
        <w:rPr>
          <w:bCs/>
          <w:szCs w:val="20"/>
        </w:rPr>
      </w:pPr>
      <w:r w:rsidRPr="00FA3856">
        <w:rPr>
          <w:bCs/>
          <w:szCs w:val="20"/>
        </w:rPr>
        <w:t>h) habilitada no Regime Especial para a Indústria Aeronáutica Brasileira (Retaero), instituído pela Lei nº 12.249, de 2010; ou </w:t>
      </w:r>
    </w:p>
    <w:p w:rsidR="00CE69DC" w:rsidRPr="00FA3856" w:rsidRDefault="00CE69DC" w:rsidP="00CE69DC">
      <w:pPr>
        <w:jc w:val="both"/>
        <w:rPr>
          <w:bCs/>
          <w:szCs w:val="20"/>
        </w:rPr>
      </w:pPr>
      <w:r w:rsidRPr="00FA3856">
        <w:rPr>
          <w:bCs/>
          <w:szCs w:val="20"/>
        </w:rPr>
        <w:t>i) detentora de projeto de exibição cinematográfica aprovado no âmbito do Regime Especial de Tributação para Desenvolvimento da Atividade de Exibição Cinematográfica (Recine), instituído pela Lei nº 12.599, de 23 de março de 2012, regulamentada pelo Decreto nº 7.729, de 25 de maio de 2012; ou </w:t>
      </w:r>
    </w:p>
    <w:p w:rsidR="00CE69DC" w:rsidRPr="00FA3856" w:rsidRDefault="00CE69DC" w:rsidP="00CE69DC">
      <w:pPr>
        <w:jc w:val="both"/>
        <w:rPr>
          <w:bCs/>
          <w:szCs w:val="20"/>
        </w:rPr>
      </w:pPr>
      <w:r w:rsidRPr="00FA3856">
        <w:rPr>
          <w:bCs/>
          <w:szCs w:val="20"/>
        </w:rPr>
        <w:t>j) cujos estabelecimentos industriais façam jus a crédito presumido do IPI na aquisição de resíduos sólidos, de que trata a Lei nº 12.375, de 30 de dezembro de 2010, regulamentada pelo Decreto nº 7.619, de 21 de novembro de 2011; ou </w:t>
      </w:r>
    </w:p>
    <w:p w:rsidR="00CE69DC" w:rsidRPr="00FA3856" w:rsidRDefault="00CE69DC" w:rsidP="00CE69DC">
      <w:pPr>
        <w:jc w:val="both"/>
        <w:rPr>
          <w:bCs/>
          <w:szCs w:val="20"/>
        </w:rPr>
      </w:pPr>
      <w:r w:rsidRPr="00FA3856">
        <w:rPr>
          <w:bCs/>
          <w:szCs w:val="20"/>
        </w:rPr>
        <w:t>k) habilitada ou co-habilitada no Regime Especial de Tributação para construção, ampliação, reforma ou modernização de estádios de futebol (Recopa), instituído pela Lei nº 12.350, de 20 de dezembro de 2010, arts. 17 a 21, regulamentada pelo Decreto nº 7.319, de 28 de setembro de 2010; ou </w:t>
      </w:r>
    </w:p>
    <w:p w:rsidR="00CE69DC" w:rsidRPr="00FA3856" w:rsidRDefault="00CE69DC" w:rsidP="00CE69DC">
      <w:pPr>
        <w:jc w:val="both"/>
        <w:rPr>
          <w:bCs/>
          <w:szCs w:val="20"/>
        </w:rPr>
      </w:pPr>
      <w:r w:rsidRPr="00FA3856">
        <w:rPr>
          <w:bCs/>
          <w:szCs w:val="20"/>
        </w:rPr>
        <w:t>l) habilitada para fins de fruição dos benefícios fiscais, não abrangidos na alínea anterior, relativos à realização, no Brasil, da Copa das Confederações FIFA 2013 e da Copa do Mundo FIFA 2014, de que trata a Lei nº 12.350, de 2010, regulamentada pelo Decreto nº 7.578, e 11 de outubro de 2011; ou </w:t>
      </w:r>
    </w:p>
    <w:p w:rsidR="00CE69DC" w:rsidRPr="00FA3856" w:rsidRDefault="00CE69DC" w:rsidP="00CE69DC">
      <w:pPr>
        <w:jc w:val="both"/>
        <w:rPr>
          <w:bCs/>
          <w:szCs w:val="20"/>
        </w:rPr>
      </w:pPr>
      <w:r w:rsidRPr="00FA3856">
        <w:rPr>
          <w:bCs/>
          <w:szCs w:val="20"/>
        </w:rPr>
        <w:t>m) beneficiária do Regime Especial Tributário para a Indústria de Defesa (Retid), nos termos e condições estabelecidos na Lei nº 12.598, de 22 de março de 2012, ou  </w:t>
      </w:r>
    </w:p>
    <w:p w:rsidR="00CE69DC" w:rsidRPr="00FA3856" w:rsidRDefault="00CE69DC" w:rsidP="00CE69DC">
      <w:pPr>
        <w:jc w:val="both"/>
        <w:rPr>
          <w:bCs/>
          <w:szCs w:val="20"/>
        </w:rPr>
      </w:pPr>
      <w:r w:rsidRPr="00FA3856">
        <w:rPr>
          <w:bCs/>
          <w:szCs w:val="20"/>
        </w:rPr>
        <w:t>n) habilitada ou co-habilitada no Regime Especial de Tributação do Programa Nacional de Banda Larga para Implantação de Redes de Telecomunicações (REPNBL-Redes), instituído pela Lei nº 12.715, de 17 de setembro de 2012, regulamentada pelo Decreto nº 7.921, de 15 de fevereiro de 2013. </w:t>
      </w:r>
    </w:p>
    <w:p w:rsidR="00CE69DC" w:rsidRPr="00FA3856" w:rsidRDefault="00CE69DC" w:rsidP="00CE69DC">
      <w:pPr>
        <w:jc w:val="both"/>
        <w:rPr>
          <w:bCs/>
          <w:szCs w:val="20"/>
        </w:rPr>
      </w:pPr>
      <w:r w:rsidRPr="00FA3856">
        <w:rPr>
          <w:bCs/>
          <w:szCs w:val="20"/>
        </w:rPr>
        <w:t>o) habilitada ou co-habilitada no Regime Especial de Incentivo ao Desenvolvimento da Infraestrutura da Indústria de Fertilizantes - REIF, instituído pela Lei nº 12.794, de 02 de abril de 2013, arts. 5º a 11; ou </w:t>
      </w:r>
    </w:p>
    <w:p w:rsidR="00CE69DC" w:rsidRPr="00FA3856" w:rsidRDefault="00CE69DC" w:rsidP="00CE69DC">
      <w:pPr>
        <w:jc w:val="both"/>
        <w:rPr>
          <w:bCs/>
          <w:szCs w:val="20"/>
        </w:rPr>
      </w:pPr>
      <w:r w:rsidRPr="00FA3856">
        <w:rPr>
          <w:bCs/>
          <w:szCs w:val="20"/>
        </w:rPr>
        <w:t>p) habilitada para fins de fruição dos benefícios fiscais, relativos à realização, no Brasil, dos Jogos Olímpicos de 2016 e dos Jogos Paraolímpicos de 2016, de que trata a Lei nº 12.780, de 2013. </w:t>
      </w:r>
    </w:p>
    <w:p w:rsidR="00CE69DC" w:rsidRPr="00FA3856" w:rsidRDefault="00CE69DC" w:rsidP="00CE69DC">
      <w:pPr>
        <w:jc w:val="both"/>
        <w:rPr>
          <w:bCs/>
          <w:szCs w:val="20"/>
        </w:rPr>
      </w:pPr>
      <w:r w:rsidRPr="00FA3856">
        <w:rPr>
          <w:bCs/>
          <w:szCs w:val="20"/>
        </w:rPr>
        <w:t> </w:t>
      </w:r>
    </w:p>
    <w:p w:rsidR="00CE69DC" w:rsidRPr="00FA3856" w:rsidRDefault="00CE69DC" w:rsidP="00CE69DC">
      <w:pPr>
        <w:jc w:val="both"/>
        <w:rPr>
          <w:bCs/>
          <w:szCs w:val="20"/>
        </w:rPr>
      </w:pPr>
      <w:r w:rsidRPr="00FA3856">
        <w:rPr>
          <w:bCs/>
          <w:szCs w:val="20"/>
        </w:rPr>
        <w:t> </w:t>
      </w:r>
    </w:p>
    <w:p w:rsidR="00D97CE5" w:rsidRPr="00FA3856" w:rsidRDefault="00D97CE5" w:rsidP="00CE69DC">
      <w:pPr>
        <w:jc w:val="both"/>
        <w:rPr>
          <w:bCs/>
          <w:szCs w:val="20"/>
        </w:rPr>
      </w:pPr>
    </w:p>
    <w:p w:rsidR="00CE69DC" w:rsidRPr="00FA3856" w:rsidRDefault="00CE69DC" w:rsidP="00CE69DC">
      <w:pPr>
        <w:jc w:val="both"/>
        <w:rPr>
          <w:bCs/>
          <w:szCs w:val="20"/>
        </w:rPr>
      </w:pPr>
      <w:r w:rsidRPr="00FA3856">
        <w:rPr>
          <w:bCs/>
          <w:szCs w:val="20"/>
        </w:rPr>
        <w:t> </w:t>
      </w:r>
    </w:p>
    <w:p w:rsidR="007E756C" w:rsidRPr="00FA3856" w:rsidRDefault="007E756C" w:rsidP="00DC138C">
      <w:pPr>
        <w:jc w:val="both"/>
        <w:rPr>
          <w:bCs/>
          <w:szCs w:val="20"/>
        </w:rPr>
      </w:pPr>
    </w:p>
    <w:p w:rsidR="00D27A40" w:rsidRDefault="00B35FA3" w:rsidP="00D27A40">
      <w:pPr>
        <w:jc w:val="center"/>
        <w:rPr>
          <w:b/>
          <w:szCs w:val="20"/>
          <w:lang w:val="pt-PT"/>
        </w:rPr>
      </w:pPr>
      <w:r>
        <w:rPr>
          <w:b/>
          <w:szCs w:val="20"/>
          <w:lang w:val="pt-PT"/>
        </w:rPr>
        <w:object w:dxaOrig="13920" w:dyaOrig="5055">
          <v:shape id="_x0000_i2026" type="#_x0000_t75" style="width:743.25pt;height:244.5pt" o:ole="">
            <v:imagedata r:id="rId801" o:title=""/>
          </v:shape>
          <o:OLEObject Type="Link" ProgID="Excel.Sheet.12" ShapeID="_x0000_i2026" DrawAspect="Content" r:id="rId802" UpdateMode="Always">
            <o:LinkType>EnhancedMetaFile</o:LinkType>
            <o:LockedField>false</o:LockedField>
          </o:OLEObject>
        </w:object>
      </w:r>
    </w:p>
    <w:p w:rsidR="00D27A40" w:rsidRDefault="00D27A40" w:rsidP="00FE5D23">
      <w:pPr>
        <w:rPr>
          <w:b/>
          <w:szCs w:val="20"/>
          <w:lang w:val="pt-PT"/>
        </w:rPr>
      </w:pPr>
    </w:p>
    <w:p w:rsidR="00FE5D23" w:rsidRPr="00FA3856" w:rsidRDefault="00FE5D23" w:rsidP="00FE5D23">
      <w:pPr>
        <w:rPr>
          <w:b/>
          <w:szCs w:val="20"/>
          <w:lang w:val="pt-PT"/>
        </w:rPr>
      </w:pPr>
      <w:r w:rsidRPr="00FA3856">
        <w:rPr>
          <w:b/>
          <w:szCs w:val="20"/>
          <w:lang w:val="pt-PT"/>
        </w:rPr>
        <w:t>I – Regras de Validação do Registro:</w:t>
      </w:r>
    </w:p>
    <w:p w:rsidR="00FE5D23" w:rsidRPr="00FA3856" w:rsidRDefault="00FE5D23" w:rsidP="00FE5D23">
      <w:pPr>
        <w:rPr>
          <w:b/>
          <w:szCs w:val="20"/>
          <w:lang w:val="pt-PT"/>
        </w:rPr>
      </w:pPr>
    </w:p>
    <w:p w:rsidR="00FE5D23" w:rsidRPr="00FA3856" w:rsidRDefault="007D0E74" w:rsidP="00FE5D23">
      <w:pPr>
        <w:pStyle w:val="Corpodetexto"/>
        <w:ind w:left="708" w:firstLine="12"/>
        <w:rPr>
          <w:rFonts w:ascii="Times New Roman" w:hAnsi="Times New Roman"/>
          <w:szCs w:val="20"/>
        </w:rPr>
      </w:pPr>
      <w:hyperlink r:id="rId803" w:anchor="REGRA_OCORRENCIA_UNITARIA_ARQ" w:history="1">
        <w:r w:rsidR="00FE5D23" w:rsidRPr="00FA3856">
          <w:rPr>
            <w:rFonts w:ascii="Times New Roman" w:hAnsi="Times New Roman"/>
            <w:b/>
            <w:szCs w:val="20"/>
          </w:rPr>
          <w:t>REGRA_</w:t>
        </w:r>
      </w:hyperlink>
      <w:r w:rsidR="00FE5D23" w:rsidRPr="00FA3856">
        <w:rPr>
          <w:rFonts w:ascii="Times New Roman" w:hAnsi="Times New Roman"/>
          <w:b/>
          <w:szCs w:val="20"/>
        </w:rPr>
        <w:t>DUPLICIDADE_DESPREZADA</w:t>
      </w:r>
      <w:r w:rsidR="00FE5D23" w:rsidRPr="00FA3856">
        <w:rPr>
          <w:rFonts w:ascii="Times New Roman" w:hAnsi="Times New Roman"/>
          <w:color w:val="auto"/>
          <w:szCs w:val="20"/>
        </w:rPr>
        <w:t xml:space="preserve">: </w:t>
      </w:r>
      <w:r w:rsidR="00FE5D23" w:rsidRPr="00FA3856">
        <w:rPr>
          <w:rFonts w:ascii="Times New Roman" w:hAnsi="Times New Roman"/>
          <w:szCs w:val="20"/>
        </w:rPr>
        <w:t>Verifica se o registro já foi importado anteriormente, de acordo com a chave e os registros pais. Se a regra não for cumprida, a ECF gera um aviso.</w:t>
      </w:r>
    </w:p>
    <w:p w:rsidR="00FE5D23" w:rsidRPr="00FA3856" w:rsidRDefault="00FE5D23" w:rsidP="00FE5D23">
      <w:pPr>
        <w:pStyle w:val="Corpodetexto"/>
        <w:ind w:left="708" w:firstLine="12"/>
        <w:rPr>
          <w:rFonts w:ascii="Times New Roman" w:hAnsi="Times New Roman"/>
          <w:szCs w:val="20"/>
        </w:rPr>
      </w:pPr>
    </w:p>
    <w:p w:rsidR="00FE5D23" w:rsidRPr="00FA3856" w:rsidRDefault="007D0E74" w:rsidP="00FE5D23">
      <w:pPr>
        <w:pStyle w:val="Corpodetexto"/>
        <w:ind w:left="708" w:firstLine="12"/>
        <w:rPr>
          <w:rFonts w:ascii="Times New Roman" w:hAnsi="Times New Roman"/>
          <w:szCs w:val="20"/>
        </w:rPr>
      </w:pPr>
      <w:hyperlink r:id="rId804" w:anchor="REGRA_OCORRENCIA_UNITARIA_ARQ" w:history="1">
        <w:r w:rsidR="00FE5D23" w:rsidRPr="00FA3856">
          <w:rPr>
            <w:rFonts w:ascii="Times New Roman" w:hAnsi="Times New Roman"/>
            <w:b/>
            <w:szCs w:val="20"/>
          </w:rPr>
          <w:t>REGRA_</w:t>
        </w:r>
      </w:hyperlink>
      <w:r w:rsidR="00FE5D23" w:rsidRPr="00FA3856">
        <w:rPr>
          <w:rFonts w:ascii="Times New Roman" w:hAnsi="Times New Roman"/>
          <w:b/>
          <w:szCs w:val="20"/>
        </w:rPr>
        <w:t>LINHA_DESPREZADA</w:t>
      </w:r>
      <w:r w:rsidR="00FE5D23" w:rsidRPr="00FA3856">
        <w:rPr>
          <w:rFonts w:ascii="Times New Roman" w:hAnsi="Times New Roman"/>
          <w:color w:val="auto"/>
          <w:szCs w:val="20"/>
        </w:rPr>
        <w:t xml:space="preserve">: </w:t>
      </w:r>
      <w:r w:rsidR="00FE5D23" w:rsidRPr="00FA3856">
        <w:rPr>
          <w:rFonts w:ascii="Times New Roman" w:hAnsi="Times New Roman"/>
          <w:szCs w:val="20"/>
        </w:rPr>
        <w:t>Verifica se o registro existe na importação, mas não será importado por não existir na tabela dinâmica devido às configurações do bloco 0 ou da tabela dinâmica. Gera um aviso.</w:t>
      </w:r>
    </w:p>
    <w:p w:rsidR="00FE5D23" w:rsidRPr="00FA3856" w:rsidRDefault="00FE5D23" w:rsidP="00FE5D23">
      <w:pPr>
        <w:pStyle w:val="Corpodetexto"/>
        <w:ind w:left="708" w:firstLine="12"/>
        <w:rPr>
          <w:rFonts w:ascii="Times New Roman" w:hAnsi="Times New Roman"/>
          <w:b/>
          <w:szCs w:val="20"/>
        </w:rPr>
      </w:pPr>
    </w:p>
    <w:p w:rsidR="00FE5D23" w:rsidRPr="00FA3856" w:rsidRDefault="007D0E74" w:rsidP="00FE5D23">
      <w:pPr>
        <w:pStyle w:val="Corpodetexto"/>
        <w:ind w:left="708" w:firstLine="12"/>
        <w:rPr>
          <w:rFonts w:ascii="Times New Roman" w:hAnsi="Times New Roman"/>
          <w:b/>
          <w:szCs w:val="20"/>
        </w:rPr>
      </w:pPr>
      <w:hyperlink r:id="rId805" w:anchor="REGRA_OCORRENCIA_UNITARIA_ARQ" w:history="1">
        <w:r w:rsidR="00FE5D23" w:rsidRPr="00FA3856">
          <w:rPr>
            <w:rFonts w:ascii="Times New Roman" w:hAnsi="Times New Roman"/>
            <w:b/>
            <w:szCs w:val="20"/>
          </w:rPr>
          <w:t>REGRA_</w:t>
        </w:r>
      </w:hyperlink>
      <w:r w:rsidR="00FE5D23" w:rsidRPr="00FA3856">
        <w:rPr>
          <w:rFonts w:ascii="Times New Roman" w:hAnsi="Times New Roman"/>
          <w:b/>
          <w:szCs w:val="20"/>
        </w:rPr>
        <w:t>LINHA_ATUALIZADA</w:t>
      </w:r>
      <w:r w:rsidR="00FE5D23" w:rsidRPr="00FA3856">
        <w:rPr>
          <w:rFonts w:ascii="Times New Roman" w:hAnsi="Times New Roman"/>
          <w:color w:val="auto"/>
          <w:szCs w:val="20"/>
        </w:rPr>
        <w:t xml:space="preserve">: </w:t>
      </w:r>
      <w:r w:rsidR="00FE5D23" w:rsidRPr="00FA3856">
        <w:rPr>
          <w:rFonts w:ascii="Times New Roman" w:hAnsi="Times New Roman"/>
          <w:szCs w:val="20"/>
        </w:rPr>
        <w:t>Verifica se o registro está desatualizado em relação à tabela da RFB. Gera um aviso.</w:t>
      </w:r>
    </w:p>
    <w:p w:rsidR="00FE5D23" w:rsidRPr="00FA3856" w:rsidRDefault="00FE5D23" w:rsidP="007E756C">
      <w:pPr>
        <w:rPr>
          <w:b/>
          <w:szCs w:val="20"/>
          <w:lang w:val="pt-PT"/>
        </w:rPr>
      </w:pPr>
    </w:p>
    <w:p w:rsidR="007E756C" w:rsidRPr="00FA3856" w:rsidRDefault="00FE5D23" w:rsidP="007E756C">
      <w:pPr>
        <w:rPr>
          <w:b/>
          <w:szCs w:val="20"/>
          <w:lang w:val="pt-PT"/>
        </w:rPr>
      </w:pPr>
      <w:r w:rsidRPr="00FA3856">
        <w:rPr>
          <w:b/>
          <w:szCs w:val="20"/>
          <w:lang w:val="pt-PT"/>
        </w:rPr>
        <w:t>I</w:t>
      </w:r>
      <w:r w:rsidR="007E756C" w:rsidRPr="00FA3856">
        <w:rPr>
          <w:b/>
          <w:szCs w:val="20"/>
          <w:lang w:val="pt-PT"/>
        </w:rPr>
        <w:t>I – Regras de Validação de Campos:</w:t>
      </w:r>
    </w:p>
    <w:p w:rsidR="007E756C" w:rsidRPr="00FA3856" w:rsidRDefault="007E756C" w:rsidP="007E756C">
      <w:pPr>
        <w:rPr>
          <w:b/>
          <w:szCs w:val="20"/>
          <w:lang w:val="pt-PT"/>
        </w:rPr>
      </w:pPr>
    </w:p>
    <w:tbl>
      <w:tblPr>
        <w:tblW w:w="15317"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85"/>
        <w:gridCol w:w="3000"/>
        <w:gridCol w:w="11115"/>
        <w:gridCol w:w="717"/>
      </w:tblGrid>
      <w:tr w:rsidR="007E756C" w:rsidRPr="00FA3856" w:rsidTr="00A303CE">
        <w:trPr>
          <w:jc w:val="center"/>
        </w:trPr>
        <w:tc>
          <w:tcPr>
            <w:tcW w:w="485" w:type="dxa"/>
            <w:tcBorders>
              <w:top w:val="single" w:sz="6" w:space="0" w:color="auto"/>
              <w:left w:val="single" w:sz="6" w:space="0" w:color="auto"/>
              <w:bottom w:val="single" w:sz="6" w:space="0" w:color="auto"/>
              <w:right w:val="single" w:sz="6" w:space="0" w:color="auto"/>
            </w:tcBorders>
            <w:shd w:val="pct10" w:color="auto" w:fill="FFFFFF"/>
          </w:tcPr>
          <w:p w:rsidR="007E756C" w:rsidRPr="00FA3856" w:rsidRDefault="007E756C" w:rsidP="00353C1C">
            <w:pPr>
              <w:pStyle w:val="PSDS-CorpodeTexto0"/>
              <w:jc w:val="center"/>
              <w:rPr>
                <w:rFonts w:ascii="Times New Roman" w:hAnsi="Times New Roman"/>
                <w:b/>
                <w:bCs/>
              </w:rPr>
            </w:pPr>
            <w:r w:rsidRPr="00FA3856">
              <w:rPr>
                <w:rFonts w:ascii="Times New Roman" w:hAnsi="Times New Roman"/>
                <w:b/>
                <w:bCs/>
              </w:rPr>
              <w:t>Nº</w:t>
            </w:r>
          </w:p>
        </w:tc>
        <w:tc>
          <w:tcPr>
            <w:tcW w:w="3000" w:type="dxa"/>
            <w:tcBorders>
              <w:top w:val="single" w:sz="6" w:space="0" w:color="auto"/>
              <w:left w:val="single" w:sz="6" w:space="0" w:color="auto"/>
              <w:bottom w:val="single" w:sz="6" w:space="0" w:color="auto"/>
              <w:right w:val="single" w:sz="6" w:space="0" w:color="auto"/>
            </w:tcBorders>
            <w:shd w:val="pct10" w:color="auto" w:fill="FFFFFF"/>
          </w:tcPr>
          <w:p w:rsidR="007E756C" w:rsidRPr="00FA3856" w:rsidRDefault="007E756C" w:rsidP="00353C1C">
            <w:pPr>
              <w:pStyle w:val="PSDS-CorpodeTexto0"/>
              <w:jc w:val="center"/>
              <w:rPr>
                <w:rFonts w:ascii="Times New Roman" w:hAnsi="Times New Roman"/>
                <w:b/>
                <w:bCs/>
              </w:rPr>
            </w:pPr>
            <w:r w:rsidRPr="00FA3856">
              <w:rPr>
                <w:rFonts w:ascii="Times New Roman" w:hAnsi="Times New Roman"/>
                <w:b/>
                <w:bCs/>
              </w:rPr>
              <w:t>Campo</w:t>
            </w:r>
          </w:p>
        </w:tc>
        <w:tc>
          <w:tcPr>
            <w:tcW w:w="11115" w:type="dxa"/>
            <w:tcBorders>
              <w:top w:val="single" w:sz="6" w:space="0" w:color="auto"/>
              <w:left w:val="single" w:sz="6" w:space="0" w:color="auto"/>
              <w:bottom w:val="single" w:sz="6" w:space="0" w:color="auto"/>
              <w:right w:val="single" w:sz="6" w:space="0" w:color="auto"/>
            </w:tcBorders>
            <w:shd w:val="pct10" w:color="auto" w:fill="FFFFFF"/>
          </w:tcPr>
          <w:p w:rsidR="007E756C" w:rsidRPr="00FA3856" w:rsidRDefault="007E756C" w:rsidP="00353C1C">
            <w:pPr>
              <w:pStyle w:val="PSDS-CorpodeTexto0"/>
              <w:jc w:val="center"/>
              <w:rPr>
                <w:rFonts w:ascii="Times New Roman" w:hAnsi="Times New Roman"/>
                <w:b/>
                <w:bCs/>
              </w:rPr>
            </w:pPr>
            <w:r w:rsidRPr="00FA3856">
              <w:rPr>
                <w:rFonts w:ascii="Times New Roman" w:hAnsi="Times New Roman"/>
                <w:b/>
                <w:bCs/>
              </w:rPr>
              <w:t>Regras de Validação do Campo</w:t>
            </w:r>
          </w:p>
        </w:tc>
        <w:tc>
          <w:tcPr>
            <w:tcW w:w="717" w:type="dxa"/>
            <w:tcBorders>
              <w:top w:val="single" w:sz="6" w:space="0" w:color="auto"/>
              <w:left w:val="single" w:sz="6" w:space="0" w:color="auto"/>
              <w:bottom w:val="single" w:sz="6" w:space="0" w:color="auto"/>
              <w:right w:val="single" w:sz="6" w:space="0" w:color="auto"/>
            </w:tcBorders>
            <w:shd w:val="pct10" w:color="auto" w:fill="FFFFFF"/>
          </w:tcPr>
          <w:p w:rsidR="007E756C" w:rsidRPr="00FA3856" w:rsidRDefault="007E756C" w:rsidP="00353C1C">
            <w:pPr>
              <w:pStyle w:val="PSDS-CorpodeTexto0"/>
              <w:jc w:val="center"/>
              <w:rPr>
                <w:rFonts w:ascii="Times New Roman" w:hAnsi="Times New Roman"/>
                <w:b/>
                <w:bCs/>
              </w:rPr>
            </w:pPr>
            <w:r w:rsidRPr="00FA3856">
              <w:rPr>
                <w:rFonts w:ascii="Times New Roman" w:hAnsi="Times New Roman"/>
                <w:b/>
                <w:bCs/>
              </w:rPr>
              <w:t>Tipo</w:t>
            </w:r>
          </w:p>
        </w:tc>
      </w:tr>
      <w:tr w:rsidR="0012324D" w:rsidRPr="00FA3856" w:rsidTr="00A303CE">
        <w:trPr>
          <w:jc w:val="center"/>
        </w:trPr>
        <w:tc>
          <w:tcPr>
            <w:tcW w:w="485" w:type="dxa"/>
            <w:tcBorders>
              <w:top w:val="single" w:sz="6" w:space="0" w:color="auto"/>
              <w:left w:val="single" w:sz="6" w:space="0" w:color="auto"/>
              <w:bottom w:val="single" w:sz="6" w:space="0" w:color="auto"/>
              <w:right w:val="single" w:sz="6" w:space="0" w:color="auto"/>
            </w:tcBorders>
          </w:tcPr>
          <w:p w:rsidR="0012324D" w:rsidRPr="00FA3856" w:rsidRDefault="0012324D" w:rsidP="0012324D">
            <w:pPr>
              <w:pStyle w:val="PSDS-CorpodeTexto0"/>
              <w:suppressAutoHyphens w:val="0"/>
              <w:rPr>
                <w:rFonts w:ascii="Times New Roman" w:hAnsi="Times New Roman"/>
                <w:b/>
                <w:bCs/>
                <w:lang w:val="pt-PT"/>
              </w:rPr>
            </w:pPr>
            <w:r w:rsidRPr="00FA3856">
              <w:rPr>
                <w:rFonts w:ascii="Times New Roman" w:hAnsi="Times New Roman"/>
                <w:b/>
                <w:bCs/>
                <w:lang w:val="pt-PT"/>
              </w:rPr>
              <w:t>4</w:t>
            </w:r>
          </w:p>
        </w:tc>
        <w:tc>
          <w:tcPr>
            <w:tcW w:w="3000" w:type="dxa"/>
            <w:tcBorders>
              <w:top w:val="single" w:sz="6" w:space="0" w:color="auto"/>
              <w:left w:val="single" w:sz="6" w:space="0" w:color="auto"/>
              <w:bottom w:val="single" w:sz="6" w:space="0" w:color="auto"/>
              <w:right w:val="single" w:sz="6" w:space="0" w:color="auto"/>
            </w:tcBorders>
          </w:tcPr>
          <w:p w:rsidR="0012324D" w:rsidRPr="00FA3856" w:rsidRDefault="0012324D" w:rsidP="0012324D">
            <w:pPr>
              <w:pStyle w:val="PSDS-CorpodeTexto0"/>
              <w:rPr>
                <w:rFonts w:ascii="Times New Roman" w:hAnsi="Times New Roman"/>
              </w:rPr>
            </w:pPr>
            <w:r w:rsidRPr="00FA3856">
              <w:rPr>
                <w:rFonts w:ascii="Times New Roman" w:hAnsi="Times New Roman"/>
              </w:rPr>
              <w:t>VALOR</w:t>
            </w:r>
          </w:p>
        </w:tc>
        <w:tc>
          <w:tcPr>
            <w:tcW w:w="11115" w:type="dxa"/>
            <w:tcBorders>
              <w:top w:val="single" w:sz="6" w:space="0" w:color="auto"/>
              <w:left w:val="single" w:sz="6" w:space="0" w:color="auto"/>
              <w:bottom w:val="single" w:sz="6" w:space="0" w:color="auto"/>
              <w:right w:val="single" w:sz="6" w:space="0" w:color="auto"/>
            </w:tcBorders>
          </w:tcPr>
          <w:p w:rsidR="0012324D" w:rsidRPr="00FA3856" w:rsidRDefault="0012324D" w:rsidP="0012324D">
            <w:pPr>
              <w:pStyle w:val="Corpodetexto"/>
              <w:rPr>
                <w:rFonts w:ascii="Times New Roman" w:hAnsi="Times New Roman"/>
                <w:szCs w:val="20"/>
              </w:rPr>
            </w:pPr>
            <w:r w:rsidRPr="00FA3856">
              <w:rPr>
                <w:rFonts w:ascii="Times New Roman" w:hAnsi="Times New Roman"/>
                <w:b/>
                <w:bCs/>
                <w:szCs w:val="20"/>
              </w:rPr>
              <w:t>REGRA_OBRIGATORIO_TIPO_DIFERENTE_R</w:t>
            </w:r>
            <w:r w:rsidRPr="00FA3856">
              <w:rPr>
                <w:rFonts w:ascii="Times New Roman" w:hAnsi="Times New Roman"/>
                <w:szCs w:val="20"/>
              </w:rPr>
              <w:t xml:space="preserve">: </w:t>
            </w:r>
            <w:r w:rsidRPr="00FA3856">
              <w:rPr>
                <w:rStyle w:val="Hyperlink"/>
                <w:rFonts w:ascii="Times New Roman" w:hAnsi="Times New Roman"/>
                <w:bCs/>
                <w:color w:val="auto"/>
                <w:szCs w:val="20"/>
                <w:lang w:val="pt-PT"/>
              </w:rPr>
              <w:t xml:space="preserve">Verifica se o campo está preenchido quando o tipo da linha </w:t>
            </w:r>
            <w:r w:rsidR="00C321B8" w:rsidRPr="00FA3856">
              <w:rPr>
                <w:rStyle w:val="Hyperlink"/>
                <w:rFonts w:ascii="Times New Roman" w:hAnsi="Times New Roman"/>
                <w:bCs/>
                <w:color w:val="auto"/>
                <w:szCs w:val="20"/>
                <w:lang w:val="pt-PT"/>
              </w:rPr>
              <w:t>é diferente</w:t>
            </w:r>
            <w:r w:rsidRPr="00FA3856">
              <w:rPr>
                <w:rStyle w:val="Hyperlink"/>
                <w:rFonts w:ascii="Times New Roman" w:hAnsi="Times New Roman"/>
                <w:bCs/>
                <w:color w:val="auto"/>
                <w:szCs w:val="20"/>
                <w:lang w:val="pt-PT"/>
              </w:rPr>
              <w:t xml:space="preserve"> de “R”.</w:t>
            </w:r>
          </w:p>
        </w:tc>
        <w:tc>
          <w:tcPr>
            <w:tcW w:w="717" w:type="dxa"/>
            <w:tcBorders>
              <w:top w:val="single" w:sz="6" w:space="0" w:color="auto"/>
              <w:left w:val="single" w:sz="6" w:space="0" w:color="auto"/>
              <w:bottom w:val="single" w:sz="6" w:space="0" w:color="auto"/>
              <w:right w:val="single" w:sz="6" w:space="0" w:color="auto"/>
            </w:tcBorders>
          </w:tcPr>
          <w:p w:rsidR="0012324D" w:rsidRPr="00FA3856" w:rsidRDefault="0012324D" w:rsidP="0012324D">
            <w:pPr>
              <w:pStyle w:val="PSDS-CorpodeTexto0"/>
              <w:rPr>
                <w:rFonts w:ascii="Times New Roman" w:hAnsi="Times New Roman"/>
              </w:rPr>
            </w:pPr>
            <w:r w:rsidRPr="00FA3856">
              <w:rPr>
                <w:rFonts w:ascii="Times New Roman" w:hAnsi="Times New Roman"/>
              </w:rPr>
              <w:t>Erro</w:t>
            </w:r>
          </w:p>
          <w:p w:rsidR="0012324D" w:rsidRPr="00FA3856" w:rsidRDefault="0012324D" w:rsidP="0012324D">
            <w:pPr>
              <w:pStyle w:val="PSDS-CorpodeTexto0"/>
              <w:rPr>
                <w:rFonts w:ascii="Times New Roman" w:hAnsi="Times New Roman"/>
              </w:rPr>
            </w:pPr>
          </w:p>
        </w:tc>
      </w:tr>
    </w:tbl>
    <w:p w:rsidR="00DC138C" w:rsidRPr="00FA3856" w:rsidRDefault="00DC138C" w:rsidP="00585DC0">
      <w:pPr>
        <w:rPr>
          <w:b/>
          <w:szCs w:val="20"/>
          <w:lang w:val="pt-PT"/>
        </w:rPr>
      </w:pPr>
    </w:p>
    <w:p w:rsidR="00DC138C" w:rsidRPr="00FA3856" w:rsidRDefault="00DC138C" w:rsidP="00585DC0">
      <w:pPr>
        <w:rPr>
          <w:b/>
          <w:szCs w:val="20"/>
          <w:lang w:val="pt-PT"/>
        </w:rPr>
      </w:pPr>
    </w:p>
    <w:p w:rsidR="00DC138C" w:rsidRPr="00FA3856" w:rsidRDefault="00DC138C" w:rsidP="00585DC0">
      <w:pPr>
        <w:rPr>
          <w:b/>
          <w:szCs w:val="20"/>
          <w:lang w:val="pt-PT"/>
        </w:rPr>
      </w:pPr>
    </w:p>
    <w:p w:rsidR="00585DC0" w:rsidRPr="00FA3856" w:rsidRDefault="00585DC0" w:rsidP="008F6D09">
      <w:pPr>
        <w:tabs>
          <w:tab w:val="left" w:pos="1230"/>
        </w:tabs>
        <w:rPr>
          <w:b/>
          <w:szCs w:val="20"/>
          <w:lang w:val="pt-PT"/>
        </w:rPr>
      </w:pPr>
      <w:r w:rsidRPr="00FA3856">
        <w:rPr>
          <w:b/>
          <w:szCs w:val="20"/>
          <w:lang w:val="pt-PT"/>
        </w:rPr>
        <w:lastRenderedPageBreak/>
        <w:t>I</w:t>
      </w:r>
      <w:r w:rsidR="00FE5D23" w:rsidRPr="00FA3856">
        <w:rPr>
          <w:b/>
          <w:szCs w:val="20"/>
          <w:lang w:val="pt-PT"/>
        </w:rPr>
        <w:t>I</w:t>
      </w:r>
      <w:r w:rsidRPr="00FA3856">
        <w:rPr>
          <w:b/>
          <w:szCs w:val="20"/>
          <w:lang w:val="pt-PT"/>
        </w:rPr>
        <w:t>I – Tabela Dinâmica:</w:t>
      </w:r>
      <w:r w:rsidR="0053782C">
        <w:rPr>
          <w:b/>
          <w:szCs w:val="20"/>
          <w:lang w:val="pt-PT"/>
        </w:rPr>
        <w:t xml:space="preserve"> </w:t>
      </w:r>
      <w:r w:rsidR="0053782C" w:rsidRPr="0053782C">
        <w:rPr>
          <w:b/>
          <w:szCs w:val="20"/>
          <w:lang w:val="pt-PT"/>
        </w:rPr>
        <w:t>X480 - Repes, Recap, Padis, PATVD, Reidi, Repenec, Reicomp, Retaero, Recine, Resíduos Sólidos, Recopa, Copa do Mundo, Retid, REPNBL-Redes, Reif e Olimpíadas</w:t>
      </w:r>
    </w:p>
    <w:p w:rsidR="00DC138C" w:rsidRPr="00FA3856" w:rsidRDefault="00486CDA" w:rsidP="00585DC0">
      <w:pPr>
        <w:rPr>
          <w:b/>
          <w:szCs w:val="20"/>
          <w:lang w:val="pt-PT"/>
        </w:rPr>
      </w:pPr>
      <w:r>
        <w:rPr>
          <w:b/>
          <w:szCs w:val="20"/>
          <w:lang w:val="pt-PT"/>
        </w:rPr>
        <w:object w:dxaOrig="1534" w:dyaOrig="997">
          <v:shape id="_x0000_i1333" type="#_x0000_t75" style="width:76.5pt;height:49.5pt" o:ole="">
            <v:imagedata r:id="rId806" o:title=""/>
          </v:shape>
          <o:OLEObject Type="Link" ProgID="Excel.Sheet.12" ShapeID="_x0000_i1333" DrawAspect="Content" r:id="rId807" UpdateMode="OnCall">
            <o:LinkType>EnhancedMetaFile</o:LinkType>
            <o:LockedField>false</o:LockedField>
          </o:OLEObject>
        </w:object>
      </w:r>
    </w:p>
    <w:p w:rsidR="00691E39" w:rsidRPr="00FA3856" w:rsidRDefault="00691E39" w:rsidP="00691E39">
      <w:pPr>
        <w:pStyle w:val="Corpodetexto"/>
        <w:rPr>
          <w:rFonts w:ascii="Times New Roman" w:hAnsi="Times New Roman"/>
          <w:b/>
          <w:color w:val="002060"/>
          <w:szCs w:val="20"/>
        </w:rPr>
      </w:pPr>
      <w:r w:rsidRPr="00FA3856">
        <w:rPr>
          <w:rFonts w:ascii="Times New Roman" w:hAnsi="Times New Roman"/>
          <w:b/>
          <w:color w:val="002060"/>
          <w:szCs w:val="20"/>
        </w:rPr>
        <w:t xml:space="preserve">Exemplo de Preenchimento: </w:t>
      </w:r>
    </w:p>
    <w:p w:rsidR="00691E39" w:rsidRPr="00FA3856" w:rsidRDefault="00691E39" w:rsidP="00691E39">
      <w:pPr>
        <w:pStyle w:val="Corpodetexto"/>
        <w:rPr>
          <w:rFonts w:ascii="Times New Roman" w:hAnsi="Times New Roman"/>
          <w:b/>
          <w:color w:val="002060"/>
          <w:szCs w:val="20"/>
        </w:rPr>
      </w:pPr>
    </w:p>
    <w:p w:rsidR="00691E39" w:rsidRPr="00FA3856" w:rsidRDefault="00691E39" w:rsidP="00691E39">
      <w:pPr>
        <w:pStyle w:val="Corpodetexto"/>
        <w:rPr>
          <w:rFonts w:ascii="Times New Roman" w:hAnsi="Times New Roman"/>
          <w:b/>
          <w:color w:val="002060"/>
          <w:szCs w:val="20"/>
        </w:rPr>
      </w:pPr>
      <w:r w:rsidRPr="00FA3856">
        <w:rPr>
          <w:rFonts w:ascii="Times New Roman" w:hAnsi="Times New Roman"/>
          <w:b/>
          <w:color w:val="002060"/>
          <w:szCs w:val="20"/>
        </w:rPr>
        <w:t>|X480|161|RECEITAS||</w:t>
      </w:r>
    </w:p>
    <w:p w:rsidR="00691E39" w:rsidRPr="00FA3856" w:rsidRDefault="00691E39" w:rsidP="00691E39">
      <w:pPr>
        <w:pStyle w:val="Corpodetexto"/>
        <w:ind w:firstLine="708"/>
        <w:rPr>
          <w:rFonts w:ascii="Times New Roman" w:hAnsi="Times New Roman"/>
          <w:color w:val="002060"/>
          <w:szCs w:val="20"/>
        </w:rPr>
      </w:pPr>
      <w:r w:rsidRPr="00FA3856">
        <w:rPr>
          <w:rFonts w:ascii="Times New Roman" w:hAnsi="Times New Roman"/>
          <w:color w:val="002060"/>
          <w:szCs w:val="20"/>
        </w:rPr>
        <w:t>|X480|: Identificação do tipo do registro.</w:t>
      </w:r>
    </w:p>
    <w:p w:rsidR="00691E39" w:rsidRPr="00FA3856" w:rsidRDefault="00691E39" w:rsidP="00691E39">
      <w:pPr>
        <w:pStyle w:val="Corpodetexto"/>
        <w:ind w:firstLine="708"/>
        <w:rPr>
          <w:rFonts w:ascii="Times New Roman" w:hAnsi="Times New Roman"/>
          <w:color w:val="002060"/>
          <w:szCs w:val="20"/>
        </w:rPr>
      </w:pPr>
      <w:r w:rsidRPr="00FA3856">
        <w:rPr>
          <w:rFonts w:ascii="Times New Roman" w:hAnsi="Times New Roman"/>
          <w:color w:val="002060"/>
          <w:szCs w:val="20"/>
        </w:rPr>
        <w:t>|161|: Código da linha.</w:t>
      </w:r>
    </w:p>
    <w:p w:rsidR="00691E39" w:rsidRPr="00FA3856" w:rsidRDefault="00691E39" w:rsidP="00691E39">
      <w:pPr>
        <w:pStyle w:val="Corpodetexto"/>
        <w:ind w:firstLine="708"/>
        <w:rPr>
          <w:rFonts w:ascii="Times New Roman" w:hAnsi="Times New Roman"/>
          <w:color w:val="002060"/>
          <w:szCs w:val="20"/>
        </w:rPr>
      </w:pPr>
      <w:r w:rsidRPr="00FA3856">
        <w:rPr>
          <w:rFonts w:ascii="Times New Roman" w:hAnsi="Times New Roman"/>
          <w:color w:val="002060"/>
          <w:szCs w:val="20"/>
        </w:rPr>
        <w:t>|RECEITAS|: Descrição da linha.</w:t>
      </w:r>
    </w:p>
    <w:p w:rsidR="00691E39" w:rsidRPr="00FA3856" w:rsidRDefault="00691E39" w:rsidP="00691E39">
      <w:pPr>
        <w:pStyle w:val="Corpodetexto"/>
        <w:ind w:firstLine="708"/>
        <w:rPr>
          <w:rFonts w:ascii="Times New Roman" w:hAnsi="Times New Roman"/>
          <w:color w:val="002060"/>
          <w:szCs w:val="20"/>
        </w:rPr>
      </w:pPr>
      <w:r w:rsidRPr="00FA3856">
        <w:rPr>
          <w:rFonts w:ascii="Times New Roman" w:hAnsi="Times New Roman"/>
          <w:color w:val="002060"/>
          <w:szCs w:val="20"/>
        </w:rPr>
        <w:t>||: Valor da linha (como a linha corresponde a um rótulo – R – não há valor).</w:t>
      </w:r>
    </w:p>
    <w:p w:rsidR="00691E39" w:rsidRPr="00FA3856" w:rsidRDefault="00691E39" w:rsidP="00691E39">
      <w:pPr>
        <w:rPr>
          <w:bCs/>
          <w:szCs w:val="20"/>
        </w:rPr>
      </w:pPr>
    </w:p>
    <w:p w:rsidR="00691E39" w:rsidRPr="00FA3856" w:rsidRDefault="00691E39" w:rsidP="00691E39">
      <w:pPr>
        <w:pStyle w:val="Corpodetexto"/>
        <w:rPr>
          <w:rFonts w:ascii="Times New Roman" w:hAnsi="Times New Roman"/>
          <w:b/>
          <w:color w:val="002060"/>
          <w:szCs w:val="20"/>
        </w:rPr>
      </w:pPr>
      <w:r w:rsidRPr="00FA3856">
        <w:rPr>
          <w:rFonts w:ascii="Times New Roman" w:hAnsi="Times New Roman"/>
          <w:b/>
          <w:color w:val="002060"/>
          <w:szCs w:val="20"/>
        </w:rPr>
        <w:t>|X480|162|Valor das Receitas e Rendimentos Auferidos Decorrentes das Atividades Vinculadas à Organização e Realização dos Eventos (arts. 9 e 10)|100000,00|</w:t>
      </w:r>
    </w:p>
    <w:p w:rsidR="00691E39" w:rsidRPr="00FA3856" w:rsidRDefault="004F3D8E" w:rsidP="00691E39">
      <w:pPr>
        <w:pStyle w:val="Corpodetexto"/>
        <w:ind w:firstLine="708"/>
        <w:rPr>
          <w:rFonts w:ascii="Times New Roman" w:hAnsi="Times New Roman"/>
          <w:color w:val="002060"/>
          <w:szCs w:val="20"/>
        </w:rPr>
      </w:pPr>
      <w:r w:rsidRPr="00FA3856">
        <w:rPr>
          <w:rFonts w:ascii="Times New Roman" w:hAnsi="Times New Roman"/>
          <w:color w:val="002060"/>
          <w:szCs w:val="20"/>
        </w:rPr>
        <w:t>|X48</w:t>
      </w:r>
      <w:r w:rsidR="00691E39" w:rsidRPr="00FA3856">
        <w:rPr>
          <w:rFonts w:ascii="Times New Roman" w:hAnsi="Times New Roman"/>
          <w:color w:val="002060"/>
          <w:szCs w:val="20"/>
        </w:rPr>
        <w:t>0|: Identificação do tipo do registro.</w:t>
      </w:r>
    </w:p>
    <w:p w:rsidR="00691E39" w:rsidRPr="00FA3856" w:rsidRDefault="00691E39" w:rsidP="00691E39">
      <w:pPr>
        <w:pStyle w:val="Corpodetexto"/>
        <w:ind w:firstLine="708"/>
        <w:rPr>
          <w:rFonts w:ascii="Times New Roman" w:hAnsi="Times New Roman"/>
          <w:color w:val="002060"/>
          <w:szCs w:val="20"/>
        </w:rPr>
      </w:pPr>
      <w:r w:rsidRPr="00FA3856">
        <w:rPr>
          <w:rFonts w:ascii="Times New Roman" w:hAnsi="Times New Roman"/>
          <w:color w:val="002060"/>
          <w:szCs w:val="20"/>
        </w:rPr>
        <w:t>|162|: Código da linha.</w:t>
      </w:r>
    </w:p>
    <w:p w:rsidR="00691E39" w:rsidRPr="00FA3856" w:rsidRDefault="00691E39" w:rsidP="00691E39">
      <w:pPr>
        <w:pStyle w:val="Corpodetexto"/>
        <w:ind w:firstLine="708"/>
        <w:rPr>
          <w:rFonts w:ascii="Times New Roman" w:hAnsi="Times New Roman"/>
          <w:color w:val="002060"/>
          <w:szCs w:val="20"/>
        </w:rPr>
      </w:pPr>
      <w:r w:rsidRPr="00FA3856">
        <w:rPr>
          <w:rFonts w:ascii="Times New Roman" w:hAnsi="Times New Roman"/>
          <w:color w:val="002060"/>
          <w:szCs w:val="20"/>
        </w:rPr>
        <w:t>|Valor das Receitas e Rendimentos Auferidos Decorrentes das Atividades Vinculadas à Organização e Realização dos Eventos (arts. 9 e 10)|: Descrição da linha.</w:t>
      </w:r>
    </w:p>
    <w:p w:rsidR="00691E39" w:rsidRPr="00FA3856" w:rsidRDefault="00691E39" w:rsidP="00691E39">
      <w:pPr>
        <w:pStyle w:val="Corpodetexto"/>
        <w:ind w:firstLine="708"/>
        <w:rPr>
          <w:rFonts w:ascii="Times New Roman" w:hAnsi="Times New Roman"/>
          <w:color w:val="002060"/>
          <w:szCs w:val="20"/>
        </w:rPr>
      </w:pPr>
      <w:r w:rsidRPr="00FA3856">
        <w:rPr>
          <w:rFonts w:ascii="Times New Roman" w:hAnsi="Times New Roman"/>
          <w:color w:val="002060"/>
          <w:szCs w:val="20"/>
        </w:rPr>
        <w:t>|100000,00|: Valor da linha (R$ 100.000,00).</w:t>
      </w:r>
    </w:p>
    <w:p w:rsidR="002D2DA2" w:rsidRPr="00FA3856" w:rsidRDefault="002D2DA2">
      <w:pPr>
        <w:spacing w:after="200" w:line="276" w:lineRule="auto"/>
        <w:rPr>
          <w:b/>
          <w:bCs/>
          <w:color w:val="0000FF"/>
          <w:szCs w:val="20"/>
        </w:rPr>
      </w:pPr>
    </w:p>
    <w:p w:rsidR="00691E39" w:rsidRPr="00FA3856" w:rsidRDefault="00691E39">
      <w:pPr>
        <w:spacing w:after="200" w:line="276" w:lineRule="auto"/>
        <w:rPr>
          <w:b/>
          <w:bCs/>
          <w:color w:val="0000FF"/>
          <w:szCs w:val="20"/>
        </w:rPr>
      </w:pPr>
      <w:r w:rsidRPr="00FA3856">
        <w:rPr>
          <w:color w:val="0000FF"/>
          <w:szCs w:val="20"/>
        </w:rPr>
        <w:br w:type="page"/>
      </w:r>
    </w:p>
    <w:p w:rsidR="007E756C" w:rsidRPr="00FA3856" w:rsidRDefault="007E756C" w:rsidP="00867F54">
      <w:pPr>
        <w:pStyle w:val="Ttulo4"/>
      </w:pPr>
      <w:bookmarkStart w:id="414" w:name="_Toc479713817"/>
      <w:r w:rsidRPr="00FA3856">
        <w:lastRenderedPageBreak/>
        <w:t>Registro X490: Pólo Industrial de Manaus e Amazônia Ocidental</w:t>
      </w:r>
      <w:bookmarkEnd w:id="414"/>
    </w:p>
    <w:p w:rsidR="007E756C" w:rsidRPr="00FA3856" w:rsidRDefault="007E756C" w:rsidP="007E756C">
      <w:pPr>
        <w:rPr>
          <w:bCs/>
          <w:szCs w:val="20"/>
        </w:rPr>
      </w:pPr>
    </w:p>
    <w:p w:rsidR="002D2DA2" w:rsidRPr="00FA3856" w:rsidRDefault="002D2DA2" w:rsidP="002D2DA2">
      <w:pPr>
        <w:ind w:firstLine="708"/>
        <w:jc w:val="both"/>
        <w:rPr>
          <w:bCs/>
          <w:szCs w:val="20"/>
        </w:rPr>
      </w:pPr>
      <w:r w:rsidRPr="00FA3856">
        <w:rPr>
          <w:bCs/>
          <w:szCs w:val="20"/>
        </w:rPr>
        <w:t>Este registro deverá ser preenchido pela pessoa jurídica localizada na área de atuação da Superintendência da Zona Franca de Manaus (Suframa) beneficiária dos incentivos de que tratam o Decreto-lei nº 288, de 28 de fevereiro de 1967, e alterações posteriores; e a Lei nº 8.387, de 30 de dezembro de 1991, com as alterações e introduções posteriores; ou beneficiária dos incentivos de que trata o Decreto-lei nº 356, de 15 de agosto de 1968, e alterações posteriores.</w:t>
      </w:r>
    </w:p>
    <w:p w:rsidR="002D2DA2" w:rsidRPr="00FA3856" w:rsidRDefault="002D2DA2" w:rsidP="002D2DA2">
      <w:pPr>
        <w:jc w:val="both"/>
        <w:rPr>
          <w:b/>
          <w:bCs/>
          <w:szCs w:val="20"/>
        </w:rPr>
      </w:pPr>
    </w:p>
    <w:p w:rsidR="002D2DA2" w:rsidRPr="00FA3856" w:rsidRDefault="002D2DA2" w:rsidP="002D2DA2">
      <w:pPr>
        <w:jc w:val="both"/>
        <w:rPr>
          <w:bCs/>
          <w:szCs w:val="20"/>
        </w:rPr>
      </w:pPr>
      <w:r w:rsidRPr="00FA3856">
        <w:rPr>
          <w:b/>
          <w:bCs/>
          <w:szCs w:val="20"/>
        </w:rPr>
        <w:t>Atenção</w:t>
      </w:r>
      <w:r w:rsidRPr="00FA3856">
        <w:rPr>
          <w:bCs/>
          <w:szCs w:val="20"/>
        </w:rPr>
        <w:t>: Informações relativas aos benefícios decorrentes dos programas de capacitação e competitividade do setor de informática e automação, de que tratam a Lei nº 8.387, de 1991, e alterações posteriores; a Lei nº 8.248, de 1991, e alterações posteriores; a Lei nº 10.176, de 2001; a Lei nº 11.077, de 2004; a Lei nº 12.249, de 2010, a Lei nº 12.431, de 2011, o Decreto nº 5.906, de 2006, e o Decreto nº 6.405, de 2008, devem ser prestadas no registro X470.</w:t>
      </w:r>
    </w:p>
    <w:p w:rsidR="007E756C" w:rsidRDefault="002D2DA2" w:rsidP="00F30AD1">
      <w:pPr>
        <w:jc w:val="both"/>
        <w:rPr>
          <w:bCs/>
          <w:szCs w:val="20"/>
        </w:rPr>
      </w:pPr>
      <w:r w:rsidRPr="00FA3856">
        <w:rPr>
          <w:bCs/>
          <w:szCs w:val="20"/>
        </w:rPr>
        <w:t> </w:t>
      </w:r>
    </w:p>
    <w:p w:rsidR="00F30AD1" w:rsidRPr="00FA3856" w:rsidRDefault="00B35FA3" w:rsidP="00F30AD1">
      <w:pPr>
        <w:jc w:val="center"/>
        <w:rPr>
          <w:b/>
          <w:szCs w:val="20"/>
          <w:lang w:val="pt-PT"/>
        </w:rPr>
      </w:pPr>
      <w:r>
        <w:rPr>
          <w:b/>
          <w:szCs w:val="20"/>
          <w:lang w:val="pt-PT"/>
        </w:rPr>
        <w:object w:dxaOrig="14010" w:dyaOrig="4845">
          <v:shape id="_x0000_i2029" type="#_x0000_t75" style="width:750pt;height:234.75pt" o:ole="">
            <v:imagedata r:id="rId808" o:title=""/>
          </v:shape>
          <o:OLEObject Type="Link" ProgID="Excel.Sheet.12" ShapeID="_x0000_i2029" DrawAspect="Content" r:id="rId809" UpdateMode="Always">
            <o:LinkType>EnhancedMetaFile</o:LinkType>
            <o:LockedField>false</o:LockedField>
          </o:OLEObject>
        </w:object>
      </w:r>
    </w:p>
    <w:p w:rsidR="00F30AD1" w:rsidRDefault="00F30AD1" w:rsidP="00FE5D23">
      <w:pPr>
        <w:rPr>
          <w:b/>
          <w:szCs w:val="20"/>
          <w:lang w:val="pt-PT"/>
        </w:rPr>
      </w:pPr>
    </w:p>
    <w:p w:rsidR="00FE5D23" w:rsidRPr="00FA3856" w:rsidRDefault="00FE5D23" w:rsidP="00FE5D23">
      <w:pPr>
        <w:rPr>
          <w:b/>
          <w:szCs w:val="20"/>
          <w:lang w:val="pt-PT"/>
        </w:rPr>
      </w:pPr>
      <w:r w:rsidRPr="00FA3856">
        <w:rPr>
          <w:b/>
          <w:szCs w:val="20"/>
          <w:lang w:val="pt-PT"/>
        </w:rPr>
        <w:t>I – Regras de Validação do Registro:</w:t>
      </w:r>
    </w:p>
    <w:p w:rsidR="00FE5D23" w:rsidRPr="00FA3856" w:rsidRDefault="00FE5D23" w:rsidP="00FE5D23">
      <w:pPr>
        <w:rPr>
          <w:b/>
          <w:szCs w:val="20"/>
          <w:lang w:val="pt-PT"/>
        </w:rPr>
      </w:pPr>
    </w:p>
    <w:p w:rsidR="00FE5D23" w:rsidRPr="00FA3856" w:rsidRDefault="007D0E74" w:rsidP="00FE5D23">
      <w:pPr>
        <w:pStyle w:val="Corpodetexto"/>
        <w:ind w:left="708" w:firstLine="12"/>
        <w:rPr>
          <w:rFonts w:ascii="Times New Roman" w:hAnsi="Times New Roman"/>
          <w:szCs w:val="20"/>
        </w:rPr>
      </w:pPr>
      <w:hyperlink r:id="rId810" w:anchor="REGRA_OCORRENCIA_UNITARIA_ARQ" w:history="1">
        <w:r w:rsidR="00FE5D23" w:rsidRPr="00FA3856">
          <w:rPr>
            <w:rFonts w:ascii="Times New Roman" w:hAnsi="Times New Roman"/>
            <w:b/>
            <w:szCs w:val="20"/>
          </w:rPr>
          <w:t>REGRA_</w:t>
        </w:r>
      </w:hyperlink>
      <w:r w:rsidR="00FE5D23" w:rsidRPr="00FA3856">
        <w:rPr>
          <w:rFonts w:ascii="Times New Roman" w:hAnsi="Times New Roman"/>
          <w:b/>
          <w:szCs w:val="20"/>
        </w:rPr>
        <w:t>DUPLICIDADE_DESPREZADA</w:t>
      </w:r>
      <w:r w:rsidR="00FE5D23" w:rsidRPr="00FA3856">
        <w:rPr>
          <w:rFonts w:ascii="Times New Roman" w:hAnsi="Times New Roman"/>
          <w:color w:val="auto"/>
          <w:szCs w:val="20"/>
        </w:rPr>
        <w:t xml:space="preserve">: </w:t>
      </w:r>
      <w:r w:rsidR="00FE5D23" w:rsidRPr="00FA3856">
        <w:rPr>
          <w:rFonts w:ascii="Times New Roman" w:hAnsi="Times New Roman"/>
          <w:szCs w:val="20"/>
        </w:rPr>
        <w:t>Verifica se o registro já foi importado anteriormente, de acordo com a chave e os registros pais. Se a regra não for cumprida, a ECF gera um aviso.</w:t>
      </w:r>
    </w:p>
    <w:p w:rsidR="00FE5D23" w:rsidRPr="00FA3856" w:rsidRDefault="00FE5D23" w:rsidP="00FE5D23">
      <w:pPr>
        <w:pStyle w:val="Corpodetexto"/>
        <w:ind w:left="708" w:firstLine="12"/>
        <w:rPr>
          <w:rFonts w:ascii="Times New Roman" w:hAnsi="Times New Roman"/>
          <w:szCs w:val="20"/>
        </w:rPr>
      </w:pPr>
    </w:p>
    <w:p w:rsidR="00FE5D23" w:rsidRPr="00FA3856" w:rsidRDefault="007D0E74" w:rsidP="00FE5D23">
      <w:pPr>
        <w:pStyle w:val="Corpodetexto"/>
        <w:ind w:left="708" w:firstLine="12"/>
        <w:rPr>
          <w:rFonts w:ascii="Times New Roman" w:hAnsi="Times New Roman"/>
          <w:szCs w:val="20"/>
        </w:rPr>
      </w:pPr>
      <w:hyperlink r:id="rId811" w:anchor="REGRA_OCORRENCIA_UNITARIA_ARQ" w:history="1">
        <w:r w:rsidR="00FE5D23" w:rsidRPr="00FA3856">
          <w:rPr>
            <w:rFonts w:ascii="Times New Roman" w:hAnsi="Times New Roman"/>
            <w:b/>
            <w:szCs w:val="20"/>
          </w:rPr>
          <w:t>REGRA_</w:t>
        </w:r>
      </w:hyperlink>
      <w:r w:rsidR="00FE5D23" w:rsidRPr="00FA3856">
        <w:rPr>
          <w:rFonts w:ascii="Times New Roman" w:hAnsi="Times New Roman"/>
          <w:b/>
          <w:szCs w:val="20"/>
        </w:rPr>
        <w:t>LINHA_DESPREZADA</w:t>
      </w:r>
      <w:r w:rsidR="00FE5D23" w:rsidRPr="00FA3856">
        <w:rPr>
          <w:rFonts w:ascii="Times New Roman" w:hAnsi="Times New Roman"/>
          <w:color w:val="auto"/>
          <w:szCs w:val="20"/>
        </w:rPr>
        <w:t xml:space="preserve">: </w:t>
      </w:r>
      <w:r w:rsidR="00FE5D23" w:rsidRPr="00FA3856">
        <w:rPr>
          <w:rFonts w:ascii="Times New Roman" w:hAnsi="Times New Roman"/>
          <w:szCs w:val="20"/>
        </w:rPr>
        <w:t>Verifica se o registro existe na importação, mas não será importado por não existir na tabela dinâmica devido às configurações do bloco 0 ou da tabela dinâmica. Gera um aviso.</w:t>
      </w:r>
    </w:p>
    <w:p w:rsidR="00FE5D23" w:rsidRPr="00FA3856" w:rsidRDefault="00FE5D23" w:rsidP="00FE5D23">
      <w:pPr>
        <w:pStyle w:val="Corpodetexto"/>
        <w:ind w:left="708" w:firstLine="12"/>
        <w:rPr>
          <w:rFonts w:ascii="Times New Roman" w:hAnsi="Times New Roman"/>
          <w:b/>
          <w:szCs w:val="20"/>
        </w:rPr>
      </w:pPr>
    </w:p>
    <w:p w:rsidR="00FE5D23" w:rsidRPr="00FA3856" w:rsidRDefault="007D0E74" w:rsidP="00FE5D23">
      <w:pPr>
        <w:pStyle w:val="Corpodetexto"/>
        <w:ind w:left="708" w:firstLine="12"/>
        <w:rPr>
          <w:rFonts w:ascii="Times New Roman" w:hAnsi="Times New Roman"/>
          <w:b/>
          <w:szCs w:val="20"/>
        </w:rPr>
      </w:pPr>
      <w:hyperlink r:id="rId812" w:anchor="REGRA_OCORRENCIA_UNITARIA_ARQ" w:history="1">
        <w:r w:rsidR="00FE5D23" w:rsidRPr="00FA3856">
          <w:rPr>
            <w:rFonts w:ascii="Times New Roman" w:hAnsi="Times New Roman"/>
            <w:b/>
            <w:szCs w:val="20"/>
          </w:rPr>
          <w:t>REGRA_</w:t>
        </w:r>
      </w:hyperlink>
      <w:r w:rsidR="00FE5D23" w:rsidRPr="00FA3856">
        <w:rPr>
          <w:rFonts w:ascii="Times New Roman" w:hAnsi="Times New Roman"/>
          <w:b/>
          <w:szCs w:val="20"/>
        </w:rPr>
        <w:t>LINHA_ATUALIZADA</w:t>
      </w:r>
      <w:r w:rsidR="00FE5D23" w:rsidRPr="00FA3856">
        <w:rPr>
          <w:rFonts w:ascii="Times New Roman" w:hAnsi="Times New Roman"/>
          <w:color w:val="auto"/>
          <w:szCs w:val="20"/>
        </w:rPr>
        <w:t xml:space="preserve">: </w:t>
      </w:r>
      <w:r w:rsidR="00FE5D23" w:rsidRPr="00FA3856">
        <w:rPr>
          <w:rFonts w:ascii="Times New Roman" w:hAnsi="Times New Roman"/>
          <w:szCs w:val="20"/>
        </w:rPr>
        <w:t>Verifica se o registro está desatualizado em relação à tabela da RFB. Gera um aviso.</w:t>
      </w:r>
    </w:p>
    <w:p w:rsidR="007E756C" w:rsidRPr="00FA3856" w:rsidRDefault="00A303CE" w:rsidP="0053782C">
      <w:pPr>
        <w:spacing w:after="200" w:line="276" w:lineRule="auto"/>
        <w:rPr>
          <w:b/>
          <w:szCs w:val="20"/>
          <w:lang w:val="pt-PT"/>
        </w:rPr>
      </w:pPr>
      <w:r w:rsidRPr="00FA3856">
        <w:rPr>
          <w:b/>
          <w:szCs w:val="20"/>
          <w:lang w:val="pt-PT"/>
        </w:rPr>
        <w:br w:type="page"/>
      </w:r>
      <w:r w:rsidR="00FE5D23" w:rsidRPr="00FA3856">
        <w:rPr>
          <w:b/>
          <w:szCs w:val="20"/>
          <w:lang w:val="pt-PT"/>
        </w:rPr>
        <w:lastRenderedPageBreak/>
        <w:t>I</w:t>
      </w:r>
      <w:r w:rsidR="007E756C" w:rsidRPr="00FA3856">
        <w:rPr>
          <w:b/>
          <w:szCs w:val="20"/>
          <w:lang w:val="pt-PT"/>
        </w:rPr>
        <w:t>I – Regras de Validação de Campos:</w:t>
      </w:r>
    </w:p>
    <w:p w:rsidR="007E756C" w:rsidRPr="00FA3856" w:rsidRDefault="007E756C" w:rsidP="007E756C">
      <w:pPr>
        <w:rPr>
          <w:b/>
          <w:szCs w:val="20"/>
          <w:lang w:val="pt-PT"/>
        </w:rPr>
      </w:pPr>
    </w:p>
    <w:tbl>
      <w:tblPr>
        <w:tblW w:w="15317"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85"/>
        <w:gridCol w:w="3000"/>
        <w:gridCol w:w="11115"/>
        <w:gridCol w:w="717"/>
      </w:tblGrid>
      <w:tr w:rsidR="007E756C" w:rsidRPr="00FA3856" w:rsidTr="00A303CE">
        <w:trPr>
          <w:jc w:val="center"/>
        </w:trPr>
        <w:tc>
          <w:tcPr>
            <w:tcW w:w="485" w:type="dxa"/>
            <w:tcBorders>
              <w:top w:val="single" w:sz="6" w:space="0" w:color="auto"/>
              <w:left w:val="single" w:sz="6" w:space="0" w:color="auto"/>
              <w:bottom w:val="single" w:sz="6" w:space="0" w:color="auto"/>
              <w:right w:val="single" w:sz="6" w:space="0" w:color="auto"/>
            </w:tcBorders>
            <w:shd w:val="pct10" w:color="auto" w:fill="FFFFFF"/>
          </w:tcPr>
          <w:p w:rsidR="007E756C" w:rsidRPr="00FA3856" w:rsidRDefault="007E756C" w:rsidP="00353C1C">
            <w:pPr>
              <w:pStyle w:val="PSDS-CorpodeTexto0"/>
              <w:jc w:val="center"/>
              <w:rPr>
                <w:rFonts w:ascii="Times New Roman" w:hAnsi="Times New Roman"/>
                <w:b/>
                <w:bCs/>
              </w:rPr>
            </w:pPr>
            <w:r w:rsidRPr="00FA3856">
              <w:rPr>
                <w:rFonts w:ascii="Times New Roman" w:hAnsi="Times New Roman"/>
                <w:b/>
                <w:bCs/>
              </w:rPr>
              <w:t>Nº</w:t>
            </w:r>
          </w:p>
        </w:tc>
        <w:tc>
          <w:tcPr>
            <w:tcW w:w="3000" w:type="dxa"/>
            <w:tcBorders>
              <w:top w:val="single" w:sz="6" w:space="0" w:color="auto"/>
              <w:left w:val="single" w:sz="6" w:space="0" w:color="auto"/>
              <w:bottom w:val="single" w:sz="6" w:space="0" w:color="auto"/>
              <w:right w:val="single" w:sz="6" w:space="0" w:color="auto"/>
            </w:tcBorders>
            <w:shd w:val="pct10" w:color="auto" w:fill="FFFFFF"/>
          </w:tcPr>
          <w:p w:rsidR="007E756C" w:rsidRPr="00FA3856" w:rsidRDefault="007E756C" w:rsidP="00353C1C">
            <w:pPr>
              <w:pStyle w:val="PSDS-CorpodeTexto0"/>
              <w:jc w:val="center"/>
              <w:rPr>
                <w:rFonts w:ascii="Times New Roman" w:hAnsi="Times New Roman"/>
                <w:b/>
                <w:bCs/>
              </w:rPr>
            </w:pPr>
            <w:r w:rsidRPr="00FA3856">
              <w:rPr>
                <w:rFonts w:ascii="Times New Roman" w:hAnsi="Times New Roman"/>
                <w:b/>
                <w:bCs/>
              </w:rPr>
              <w:t>Campo</w:t>
            </w:r>
          </w:p>
        </w:tc>
        <w:tc>
          <w:tcPr>
            <w:tcW w:w="11115" w:type="dxa"/>
            <w:tcBorders>
              <w:top w:val="single" w:sz="6" w:space="0" w:color="auto"/>
              <w:left w:val="single" w:sz="6" w:space="0" w:color="auto"/>
              <w:bottom w:val="single" w:sz="6" w:space="0" w:color="auto"/>
              <w:right w:val="single" w:sz="6" w:space="0" w:color="auto"/>
            </w:tcBorders>
            <w:shd w:val="pct10" w:color="auto" w:fill="FFFFFF"/>
          </w:tcPr>
          <w:p w:rsidR="007E756C" w:rsidRPr="00FA3856" w:rsidRDefault="007E756C" w:rsidP="00353C1C">
            <w:pPr>
              <w:pStyle w:val="PSDS-CorpodeTexto0"/>
              <w:jc w:val="center"/>
              <w:rPr>
                <w:rFonts w:ascii="Times New Roman" w:hAnsi="Times New Roman"/>
                <w:b/>
                <w:bCs/>
              </w:rPr>
            </w:pPr>
            <w:r w:rsidRPr="00FA3856">
              <w:rPr>
                <w:rFonts w:ascii="Times New Roman" w:hAnsi="Times New Roman"/>
                <w:b/>
                <w:bCs/>
              </w:rPr>
              <w:t>Regras de Validação do Campo</w:t>
            </w:r>
          </w:p>
        </w:tc>
        <w:tc>
          <w:tcPr>
            <w:tcW w:w="717" w:type="dxa"/>
            <w:tcBorders>
              <w:top w:val="single" w:sz="6" w:space="0" w:color="auto"/>
              <w:left w:val="single" w:sz="6" w:space="0" w:color="auto"/>
              <w:bottom w:val="single" w:sz="6" w:space="0" w:color="auto"/>
              <w:right w:val="single" w:sz="6" w:space="0" w:color="auto"/>
            </w:tcBorders>
            <w:shd w:val="pct10" w:color="auto" w:fill="FFFFFF"/>
          </w:tcPr>
          <w:p w:rsidR="007E756C" w:rsidRPr="00FA3856" w:rsidRDefault="007E756C" w:rsidP="00353C1C">
            <w:pPr>
              <w:pStyle w:val="PSDS-CorpodeTexto0"/>
              <w:jc w:val="center"/>
              <w:rPr>
                <w:rFonts w:ascii="Times New Roman" w:hAnsi="Times New Roman"/>
                <w:b/>
                <w:bCs/>
              </w:rPr>
            </w:pPr>
            <w:r w:rsidRPr="00FA3856">
              <w:rPr>
                <w:rFonts w:ascii="Times New Roman" w:hAnsi="Times New Roman"/>
                <w:b/>
                <w:bCs/>
              </w:rPr>
              <w:t>Tipo</w:t>
            </w:r>
          </w:p>
        </w:tc>
      </w:tr>
      <w:tr w:rsidR="0012324D" w:rsidRPr="00FA3856" w:rsidTr="00A303CE">
        <w:trPr>
          <w:jc w:val="center"/>
        </w:trPr>
        <w:tc>
          <w:tcPr>
            <w:tcW w:w="485" w:type="dxa"/>
            <w:tcBorders>
              <w:top w:val="single" w:sz="6" w:space="0" w:color="auto"/>
              <w:left w:val="single" w:sz="6" w:space="0" w:color="auto"/>
              <w:bottom w:val="single" w:sz="6" w:space="0" w:color="auto"/>
              <w:right w:val="single" w:sz="6" w:space="0" w:color="auto"/>
            </w:tcBorders>
          </w:tcPr>
          <w:p w:rsidR="0012324D" w:rsidRPr="00FA3856" w:rsidRDefault="0012324D" w:rsidP="0012324D">
            <w:pPr>
              <w:pStyle w:val="PSDS-CorpodeTexto0"/>
              <w:suppressAutoHyphens w:val="0"/>
              <w:rPr>
                <w:rFonts w:ascii="Times New Roman" w:hAnsi="Times New Roman"/>
                <w:b/>
                <w:bCs/>
                <w:lang w:val="pt-PT"/>
              </w:rPr>
            </w:pPr>
            <w:r w:rsidRPr="00FA3856">
              <w:rPr>
                <w:rFonts w:ascii="Times New Roman" w:hAnsi="Times New Roman"/>
                <w:b/>
                <w:bCs/>
                <w:lang w:val="pt-PT"/>
              </w:rPr>
              <w:t>4</w:t>
            </w:r>
          </w:p>
        </w:tc>
        <w:tc>
          <w:tcPr>
            <w:tcW w:w="3000" w:type="dxa"/>
            <w:tcBorders>
              <w:top w:val="single" w:sz="6" w:space="0" w:color="auto"/>
              <w:left w:val="single" w:sz="6" w:space="0" w:color="auto"/>
              <w:bottom w:val="single" w:sz="6" w:space="0" w:color="auto"/>
              <w:right w:val="single" w:sz="6" w:space="0" w:color="auto"/>
            </w:tcBorders>
          </w:tcPr>
          <w:p w:rsidR="0012324D" w:rsidRPr="00FA3856" w:rsidRDefault="0012324D" w:rsidP="0012324D">
            <w:pPr>
              <w:pStyle w:val="PSDS-CorpodeTexto0"/>
              <w:rPr>
                <w:rFonts w:ascii="Times New Roman" w:hAnsi="Times New Roman"/>
              </w:rPr>
            </w:pPr>
            <w:r w:rsidRPr="00FA3856">
              <w:rPr>
                <w:rFonts w:ascii="Times New Roman" w:hAnsi="Times New Roman"/>
              </w:rPr>
              <w:t>VALOR</w:t>
            </w:r>
          </w:p>
        </w:tc>
        <w:tc>
          <w:tcPr>
            <w:tcW w:w="11115" w:type="dxa"/>
            <w:tcBorders>
              <w:top w:val="single" w:sz="6" w:space="0" w:color="auto"/>
              <w:left w:val="single" w:sz="6" w:space="0" w:color="auto"/>
              <w:bottom w:val="single" w:sz="6" w:space="0" w:color="auto"/>
              <w:right w:val="single" w:sz="6" w:space="0" w:color="auto"/>
            </w:tcBorders>
          </w:tcPr>
          <w:p w:rsidR="0012324D" w:rsidRPr="00FA3856" w:rsidRDefault="0012324D" w:rsidP="0012324D">
            <w:pPr>
              <w:pStyle w:val="Corpodetexto"/>
              <w:rPr>
                <w:rFonts w:ascii="Times New Roman" w:hAnsi="Times New Roman"/>
                <w:szCs w:val="20"/>
              </w:rPr>
            </w:pPr>
            <w:r w:rsidRPr="00FA3856">
              <w:rPr>
                <w:rFonts w:ascii="Times New Roman" w:hAnsi="Times New Roman"/>
                <w:b/>
                <w:bCs/>
                <w:szCs w:val="20"/>
              </w:rPr>
              <w:t>REGRA_OBRIGATORIO_TIPO_DIFERENTE_R</w:t>
            </w:r>
            <w:r w:rsidRPr="00FA3856">
              <w:rPr>
                <w:rFonts w:ascii="Times New Roman" w:hAnsi="Times New Roman"/>
                <w:szCs w:val="20"/>
              </w:rPr>
              <w:t xml:space="preserve">: </w:t>
            </w:r>
            <w:r w:rsidRPr="00FA3856">
              <w:rPr>
                <w:rStyle w:val="Hyperlink"/>
                <w:rFonts w:ascii="Times New Roman" w:hAnsi="Times New Roman"/>
                <w:bCs/>
                <w:color w:val="auto"/>
                <w:szCs w:val="20"/>
                <w:lang w:val="pt-PT"/>
              </w:rPr>
              <w:t xml:space="preserve">Verifica se o campo está preenchido quando o tipo da linha </w:t>
            </w:r>
            <w:r w:rsidR="00C321B8" w:rsidRPr="00FA3856">
              <w:rPr>
                <w:rStyle w:val="Hyperlink"/>
                <w:rFonts w:ascii="Times New Roman" w:hAnsi="Times New Roman"/>
                <w:bCs/>
                <w:color w:val="auto"/>
                <w:szCs w:val="20"/>
                <w:lang w:val="pt-PT"/>
              </w:rPr>
              <w:t>é diferente</w:t>
            </w:r>
            <w:r w:rsidRPr="00FA3856">
              <w:rPr>
                <w:rStyle w:val="Hyperlink"/>
                <w:rFonts w:ascii="Times New Roman" w:hAnsi="Times New Roman"/>
                <w:bCs/>
                <w:color w:val="auto"/>
                <w:szCs w:val="20"/>
                <w:lang w:val="pt-PT"/>
              </w:rPr>
              <w:t xml:space="preserve"> de “R”.</w:t>
            </w:r>
          </w:p>
        </w:tc>
        <w:tc>
          <w:tcPr>
            <w:tcW w:w="717" w:type="dxa"/>
            <w:tcBorders>
              <w:top w:val="single" w:sz="6" w:space="0" w:color="auto"/>
              <w:left w:val="single" w:sz="6" w:space="0" w:color="auto"/>
              <w:bottom w:val="single" w:sz="6" w:space="0" w:color="auto"/>
              <w:right w:val="single" w:sz="6" w:space="0" w:color="auto"/>
            </w:tcBorders>
          </w:tcPr>
          <w:p w:rsidR="0012324D" w:rsidRPr="00FA3856" w:rsidRDefault="0012324D" w:rsidP="0012324D">
            <w:pPr>
              <w:pStyle w:val="PSDS-CorpodeTexto0"/>
              <w:rPr>
                <w:rFonts w:ascii="Times New Roman" w:hAnsi="Times New Roman"/>
              </w:rPr>
            </w:pPr>
            <w:r w:rsidRPr="00FA3856">
              <w:rPr>
                <w:rFonts w:ascii="Times New Roman" w:hAnsi="Times New Roman"/>
              </w:rPr>
              <w:t>Erro</w:t>
            </w:r>
          </w:p>
          <w:p w:rsidR="0012324D" w:rsidRPr="00FA3856" w:rsidRDefault="0012324D" w:rsidP="0012324D">
            <w:pPr>
              <w:pStyle w:val="PSDS-CorpodeTexto0"/>
              <w:rPr>
                <w:rFonts w:ascii="Times New Roman" w:hAnsi="Times New Roman"/>
              </w:rPr>
            </w:pPr>
          </w:p>
        </w:tc>
      </w:tr>
    </w:tbl>
    <w:p w:rsidR="007E756C" w:rsidRPr="00FA3856" w:rsidRDefault="007E756C" w:rsidP="007E756C">
      <w:pPr>
        <w:pStyle w:val="Corpodetexto"/>
        <w:rPr>
          <w:rFonts w:ascii="Times New Roman" w:hAnsi="Times New Roman"/>
          <w:szCs w:val="20"/>
        </w:rPr>
      </w:pPr>
    </w:p>
    <w:p w:rsidR="002D2DA2" w:rsidRPr="00FA3856" w:rsidRDefault="002C16D9" w:rsidP="002D2DA2">
      <w:pPr>
        <w:rPr>
          <w:b/>
          <w:szCs w:val="20"/>
          <w:lang w:val="pt-PT"/>
        </w:rPr>
      </w:pPr>
      <w:r w:rsidRPr="00FA3856">
        <w:rPr>
          <w:b/>
          <w:szCs w:val="20"/>
          <w:lang w:val="pt-PT"/>
        </w:rPr>
        <w:t>I</w:t>
      </w:r>
      <w:r w:rsidR="00FE5D23" w:rsidRPr="00FA3856">
        <w:rPr>
          <w:b/>
          <w:szCs w:val="20"/>
          <w:lang w:val="pt-PT"/>
        </w:rPr>
        <w:t>I</w:t>
      </w:r>
      <w:r w:rsidRPr="00FA3856">
        <w:rPr>
          <w:b/>
          <w:szCs w:val="20"/>
          <w:lang w:val="pt-PT"/>
        </w:rPr>
        <w:t>I – Tabela Dinâmica:</w:t>
      </w:r>
      <w:r w:rsidR="0053782C">
        <w:rPr>
          <w:b/>
          <w:szCs w:val="20"/>
          <w:lang w:val="pt-PT"/>
        </w:rPr>
        <w:t xml:space="preserve"> </w:t>
      </w:r>
      <w:r w:rsidR="0053782C" w:rsidRPr="0053782C">
        <w:rPr>
          <w:b/>
          <w:szCs w:val="20"/>
          <w:lang w:val="pt-PT"/>
        </w:rPr>
        <w:t>X490 - Pólo Industrial de Manaus e Amazônia Ocidental</w:t>
      </w:r>
    </w:p>
    <w:p w:rsidR="002D2DA2" w:rsidRPr="00F30AD1" w:rsidRDefault="00486CDA" w:rsidP="00F30AD1">
      <w:pPr>
        <w:rPr>
          <w:b/>
          <w:szCs w:val="20"/>
          <w:lang w:val="pt-PT"/>
        </w:rPr>
      </w:pPr>
      <w:r>
        <w:rPr>
          <w:b/>
          <w:szCs w:val="20"/>
          <w:lang w:val="pt-PT"/>
        </w:rPr>
        <w:object w:dxaOrig="1534" w:dyaOrig="997">
          <v:shape id="_x0000_i1335" type="#_x0000_t75" style="width:76.5pt;height:49.5pt" o:ole="">
            <v:imagedata r:id="rId813" o:title=""/>
          </v:shape>
          <o:OLEObject Type="Link" ProgID="Excel.Sheet.12" ShapeID="_x0000_i1335" DrawAspect="Content" r:id="rId814" UpdateMode="OnCall">
            <o:LinkType>EnhancedMetaFile</o:LinkType>
            <o:LockedField>false</o:LockedField>
          </o:OLEObject>
        </w:object>
      </w:r>
    </w:p>
    <w:p w:rsidR="002D2DA2" w:rsidRPr="00FA3856" w:rsidRDefault="002D2DA2" w:rsidP="002D2DA2">
      <w:pPr>
        <w:pStyle w:val="Corpodetexto"/>
        <w:rPr>
          <w:rFonts w:ascii="Times New Roman" w:hAnsi="Times New Roman"/>
          <w:b/>
          <w:color w:val="002060"/>
          <w:szCs w:val="20"/>
        </w:rPr>
      </w:pPr>
      <w:r w:rsidRPr="00FA3856">
        <w:rPr>
          <w:rFonts w:ascii="Times New Roman" w:hAnsi="Times New Roman"/>
          <w:b/>
          <w:color w:val="002060"/>
          <w:szCs w:val="20"/>
        </w:rPr>
        <w:t xml:space="preserve">Exemplo de Preenchimento: </w:t>
      </w:r>
    </w:p>
    <w:p w:rsidR="002D2DA2" w:rsidRPr="00FA3856" w:rsidRDefault="002D2DA2" w:rsidP="002D2DA2">
      <w:pPr>
        <w:pStyle w:val="Corpodetexto"/>
        <w:rPr>
          <w:rFonts w:ascii="Times New Roman" w:hAnsi="Times New Roman"/>
          <w:b/>
          <w:color w:val="002060"/>
          <w:szCs w:val="20"/>
        </w:rPr>
      </w:pPr>
    </w:p>
    <w:p w:rsidR="002D2DA2" w:rsidRPr="00FA3856" w:rsidRDefault="002D2DA2" w:rsidP="002D2DA2">
      <w:pPr>
        <w:pStyle w:val="Corpodetexto"/>
        <w:rPr>
          <w:rFonts w:ascii="Times New Roman" w:hAnsi="Times New Roman"/>
          <w:b/>
          <w:color w:val="002060"/>
          <w:szCs w:val="20"/>
        </w:rPr>
      </w:pPr>
      <w:r w:rsidRPr="00FA3856">
        <w:rPr>
          <w:rFonts w:ascii="Times New Roman" w:hAnsi="Times New Roman"/>
          <w:b/>
          <w:color w:val="002060"/>
          <w:szCs w:val="20"/>
        </w:rPr>
        <w:t>|X490|1|PÓLO INDUSTRIAL DE MANAUS (ZFM)||</w:t>
      </w:r>
    </w:p>
    <w:p w:rsidR="002D2DA2" w:rsidRPr="00FA3856" w:rsidRDefault="002D2DA2" w:rsidP="002D2DA2">
      <w:pPr>
        <w:pStyle w:val="Corpodetexto"/>
        <w:ind w:firstLine="708"/>
        <w:rPr>
          <w:rFonts w:ascii="Times New Roman" w:hAnsi="Times New Roman"/>
          <w:color w:val="002060"/>
          <w:szCs w:val="20"/>
        </w:rPr>
      </w:pPr>
      <w:r w:rsidRPr="00FA3856">
        <w:rPr>
          <w:rFonts w:ascii="Times New Roman" w:hAnsi="Times New Roman"/>
          <w:color w:val="002060"/>
          <w:szCs w:val="20"/>
        </w:rPr>
        <w:t>|X490|: Identificação do tipo do registro.</w:t>
      </w:r>
    </w:p>
    <w:p w:rsidR="002D2DA2" w:rsidRPr="00FA3856" w:rsidRDefault="002D2DA2" w:rsidP="002D2DA2">
      <w:pPr>
        <w:pStyle w:val="Corpodetexto"/>
        <w:ind w:firstLine="708"/>
        <w:rPr>
          <w:rFonts w:ascii="Times New Roman" w:hAnsi="Times New Roman"/>
          <w:color w:val="002060"/>
          <w:szCs w:val="20"/>
        </w:rPr>
      </w:pPr>
      <w:r w:rsidRPr="00FA3856">
        <w:rPr>
          <w:rFonts w:ascii="Times New Roman" w:hAnsi="Times New Roman"/>
          <w:color w:val="002060"/>
          <w:szCs w:val="20"/>
        </w:rPr>
        <w:t>|1|: Código da linha.</w:t>
      </w:r>
    </w:p>
    <w:p w:rsidR="002D2DA2" w:rsidRPr="00FA3856" w:rsidRDefault="002D2DA2" w:rsidP="002D2DA2">
      <w:pPr>
        <w:pStyle w:val="Corpodetexto"/>
        <w:ind w:firstLine="708"/>
        <w:rPr>
          <w:rFonts w:ascii="Times New Roman" w:hAnsi="Times New Roman"/>
          <w:color w:val="002060"/>
          <w:szCs w:val="20"/>
        </w:rPr>
      </w:pPr>
      <w:r w:rsidRPr="00FA3856">
        <w:rPr>
          <w:rFonts w:ascii="Times New Roman" w:hAnsi="Times New Roman"/>
          <w:color w:val="002060"/>
          <w:szCs w:val="20"/>
        </w:rPr>
        <w:t>|PÓLO INDUSTRIAL DE MANAUS (ZFM)|: Descrição da linha.</w:t>
      </w:r>
    </w:p>
    <w:p w:rsidR="002D2DA2" w:rsidRPr="00FA3856" w:rsidRDefault="002D2DA2" w:rsidP="002D2DA2">
      <w:pPr>
        <w:pStyle w:val="Corpodetexto"/>
        <w:ind w:firstLine="708"/>
        <w:rPr>
          <w:rFonts w:ascii="Times New Roman" w:hAnsi="Times New Roman"/>
          <w:color w:val="002060"/>
          <w:szCs w:val="20"/>
        </w:rPr>
      </w:pPr>
      <w:r w:rsidRPr="00FA3856">
        <w:rPr>
          <w:rFonts w:ascii="Times New Roman" w:hAnsi="Times New Roman"/>
          <w:color w:val="002060"/>
          <w:szCs w:val="20"/>
        </w:rPr>
        <w:t>||: Valor da linha (como a linha corresponde a um rótulo – R – não há valor).</w:t>
      </w:r>
    </w:p>
    <w:p w:rsidR="002D2DA2" w:rsidRPr="00FA3856" w:rsidRDefault="002D2DA2" w:rsidP="002D2DA2">
      <w:pPr>
        <w:rPr>
          <w:bCs/>
          <w:szCs w:val="20"/>
        </w:rPr>
      </w:pPr>
    </w:p>
    <w:p w:rsidR="002D2DA2" w:rsidRPr="00FA3856" w:rsidRDefault="002D2DA2" w:rsidP="002D2DA2">
      <w:pPr>
        <w:pStyle w:val="Corpodetexto"/>
        <w:rPr>
          <w:rFonts w:ascii="Times New Roman" w:hAnsi="Times New Roman"/>
          <w:b/>
          <w:color w:val="002060"/>
          <w:szCs w:val="20"/>
        </w:rPr>
      </w:pPr>
      <w:r w:rsidRPr="00FA3856">
        <w:rPr>
          <w:rFonts w:ascii="Times New Roman" w:hAnsi="Times New Roman"/>
          <w:b/>
          <w:color w:val="002060"/>
          <w:szCs w:val="20"/>
        </w:rPr>
        <w:t>|X490|3|Receita de Vendas de Produtos Industrializados na Área de Atuação para a Amazônia Ocidental|100000,00|</w:t>
      </w:r>
    </w:p>
    <w:p w:rsidR="002D2DA2" w:rsidRPr="00FA3856" w:rsidRDefault="002D2DA2" w:rsidP="002D2DA2">
      <w:pPr>
        <w:pStyle w:val="Corpodetexto"/>
        <w:ind w:firstLine="708"/>
        <w:rPr>
          <w:rFonts w:ascii="Times New Roman" w:hAnsi="Times New Roman"/>
          <w:color w:val="002060"/>
          <w:szCs w:val="20"/>
        </w:rPr>
      </w:pPr>
      <w:r w:rsidRPr="00FA3856">
        <w:rPr>
          <w:rFonts w:ascii="Times New Roman" w:hAnsi="Times New Roman"/>
          <w:color w:val="002060"/>
          <w:szCs w:val="20"/>
        </w:rPr>
        <w:t>|X490|: Identificação do tipo do registro.</w:t>
      </w:r>
    </w:p>
    <w:p w:rsidR="002D2DA2" w:rsidRPr="00FA3856" w:rsidRDefault="002D2DA2" w:rsidP="002D2DA2">
      <w:pPr>
        <w:pStyle w:val="Corpodetexto"/>
        <w:ind w:firstLine="708"/>
        <w:rPr>
          <w:rFonts w:ascii="Times New Roman" w:hAnsi="Times New Roman"/>
          <w:color w:val="002060"/>
          <w:szCs w:val="20"/>
        </w:rPr>
      </w:pPr>
      <w:r w:rsidRPr="00FA3856">
        <w:rPr>
          <w:rFonts w:ascii="Times New Roman" w:hAnsi="Times New Roman"/>
          <w:color w:val="002060"/>
          <w:szCs w:val="20"/>
        </w:rPr>
        <w:t>|3|: Código da linha.</w:t>
      </w:r>
    </w:p>
    <w:p w:rsidR="002D2DA2" w:rsidRPr="00FA3856" w:rsidRDefault="002D2DA2" w:rsidP="002D2DA2">
      <w:pPr>
        <w:pStyle w:val="Corpodetexto"/>
        <w:ind w:firstLine="708"/>
        <w:rPr>
          <w:rFonts w:ascii="Times New Roman" w:hAnsi="Times New Roman"/>
          <w:color w:val="002060"/>
          <w:szCs w:val="20"/>
        </w:rPr>
      </w:pPr>
      <w:r w:rsidRPr="00FA3856">
        <w:rPr>
          <w:rFonts w:ascii="Times New Roman" w:hAnsi="Times New Roman"/>
          <w:color w:val="002060"/>
          <w:szCs w:val="20"/>
        </w:rPr>
        <w:t>|Receita de Vendas de Produtos Industrializados na Área de Atuação para a Amazônia Ocidental|: Descrição da linha.</w:t>
      </w:r>
    </w:p>
    <w:p w:rsidR="002D2DA2" w:rsidRPr="00FA3856" w:rsidRDefault="002D2DA2" w:rsidP="002D2DA2">
      <w:pPr>
        <w:pStyle w:val="Corpodetexto"/>
        <w:ind w:firstLine="708"/>
        <w:rPr>
          <w:rFonts w:ascii="Times New Roman" w:hAnsi="Times New Roman"/>
          <w:color w:val="002060"/>
          <w:szCs w:val="20"/>
        </w:rPr>
      </w:pPr>
      <w:r w:rsidRPr="00FA3856">
        <w:rPr>
          <w:rFonts w:ascii="Times New Roman" w:hAnsi="Times New Roman"/>
          <w:color w:val="002060"/>
          <w:szCs w:val="20"/>
        </w:rPr>
        <w:t>|100000,00|: Valor da linha (R$ 100.000,00).</w:t>
      </w:r>
    </w:p>
    <w:p w:rsidR="00C032A8" w:rsidRPr="00FA3856" w:rsidRDefault="00C032A8">
      <w:pPr>
        <w:spacing w:after="200" w:line="276" w:lineRule="auto"/>
        <w:rPr>
          <w:b/>
          <w:bCs/>
          <w:color w:val="0000FF"/>
          <w:szCs w:val="20"/>
        </w:rPr>
      </w:pPr>
      <w:r w:rsidRPr="00FA3856">
        <w:rPr>
          <w:color w:val="0000FF"/>
          <w:szCs w:val="20"/>
        </w:rPr>
        <w:br w:type="page"/>
      </w:r>
    </w:p>
    <w:p w:rsidR="00E03E5B" w:rsidRPr="00FA3856" w:rsidRDefault="00E03E5B" w:rsidP="00867F54">
      <w:pPr>
        <w:pStyle w:val="Ttulo4"/>
      </w:pPr>
      <w:bookmarkStart w:id="415" w:name="_Toc479713818"/>
      <w:r w:rsidRPr="00FA3856">
        <w:lastRenderedPageBreak/>
        <w:t>Registro X500: Zonas de Processamento de Exportação (ZPE)</w:t>
      </w:r>
      <w:bookmarkEnd w:id="415"/>
    </w:p>
    <w:p w:rsidR="00E03E5B" w:rsidRPr="00FA3856" w:rsidRDefault="00E03E5B" w:rsidP="00E03E5B">
      <w:pPr>
        <w:rPr>
          <w:bCs/>
          <w:szCs w:val="20"/>
        </w:rPr>
      </w:pPr>
    </w:p>
    <w:p w:rsidR="000E25DC" w:rsidRPr="00FA3856" w:rsidRDefault="000E25DC" w:rsidP="000E25DC">
      <w:pPr>
        <w:rPr>
          <w:bCs/>
          <w:szCs w:val="20"/>
        </w:rPr>
      </w:pPr>
      <w:r w:rsidRPr="00FA3856">
        <w:rPr>
          <w:bCs/>
          <w:szCs w:val="20"/>
        </w:rPr>
        <w:tab/>
        <w:t>Este registro deverá ser preenchido pela pessoa jurídica autorizada a operar em Zonas de Processamento de Exportação, voltadas para a produção de bens a serem comercializados no exterior, de acordo com o estabelecido pela Lei n</w:t>
      </w:r>
      <w:r w:rsidRPr="00FA3856">
        <w:rPr>
          <w:bCs/>
          <w:szCs w:val="20"/>
          <w:u w:val="single"/>
          <w:vertAlign w:val="superscript"/>
        </w:rPr>
        <w:t>o</w:t>
      </w:r>
      <w:r w:rsidRPr="00FA3856">
        <w:rPr>
          <w:bCs/>
          <w:szCs w:val="20"/>
        </w:rPr>
        <w:t xml:space="preserve"> 11.508, de 20 de julho de 2007, com alterações introduzidas pela Lei n</w:t>
      </w:r>
      <w:r w:rsidRPr="00FA3856">
        <w:rPr>
          <w:bCs/>
          <w:szCs w:val="20"/>
          <w:u w:val="single"/>
          <w:vertAlign w:val="superscript"/>
        </w:rPr>
        <w:t>o</w:t>
      </w:r>
      <w:r w:rsidRPr="00FA3856">
        <w:rPr>
          <w:bCs/>
          <w:szCs w:val="20"/>
        </w:rPr>
        <w:t xml:space="preserve"> 11.732, de 30 de junho de 2008, pela Lei n</w:t>
      </w:r>
      <w:r w:rsidRPr="00FA3856">
        <w:rPr>
          <w:bCs/>
          <w:szCs w:val="20"/>
          <w:u w:val="single"/>
          <w:vertAlign w:val="superscript"/>
        </w:rPr>
        <w:t>o</w:t>
      </w:r>
      <w:r w:rsidRPr="00FA3856">
        <w:rPr>
          <w:bCs/>
          <w:szCs w:val="20"/>
        </w:rPr>
        <w:t xml:space="preserve"> 12.507, de 11 de outubro de 2011, e pela Lei n</w:t>
      </w:r>
      <w:r w:rsidRPr="00FA3856">
        <w:rPr>
          <w:bCs/>
          <w:szCs w:val="20"/>
          <w:u w:val="single"/>
          <w:vertAlign w:val="superscript"/>
        </w:rPr>
        <w:t>o</w:t>
      </w:r>
      <w:r w:rsidRPr="00FA3856">
        <w:rPr>
          <w:bCs/>
          <w:szCs w:val="20"/>
        </w:rPr>
        <w:t xml:space="preserve"> 12.546, de 14 de dezembro de 2012.</w:t>
      </w:r>
    </w:p>
    <w:p w:rsidR="000E25DC" w:rsidRPr="00FA3856" w:rsidRDefault="000E25DC" w:rsidP="000E25DC">
      <w:pPr>
        <w:jc w:val="both"/>
        <w:rPr>
          <w:bCs/>
          <w:szCs w:val="20"/>
        </w:rPr>
      </w:pPr>
    </w:p>
    <w:p w:rsidR="000E25DC" w:rsidRPr="00FA3856" w:rsidRDefault="000E25DC" w:rsidP="000E25DC">
      <w:pPr>
        <w:jc w:val="both"/>
        <w:rPr>
          <w:bCs/>
          <w:szCs w:val="20"/>
        </w:rPr>
      </w:pPr>
      <w:r w:rsidRPr="00FA3856">
        <w:rPr>
          <w:b/>
          <w:bCs/>
          <w:szCs w:val="20"/>
        </w:rPr>
        <w:t>Atenção</w:t>
      </w:r>
      <w:r w:rsidRPr="00FA3856">
        <w:rPr>
          <w:bCs/>
          <w:szCs w:val="20"/>
        </w:rPr>
        <w:t>:</w:t>
      </w:r>
    </w:p>
    <w:p w:rsidR="000E25DC" w:rsidRPr="00FA3856" w:rsidRDefault="000E25DC" w:rsidP="000E25DC">
      <w:pPr>
        <w:jc w:val="both"/>
        <w:rPr>
          <w:bCs/>
          <w:szCs w:val="20"/>
        </w:rPr>
      </w:pPr>
      <w:r w:rsidRPr="00FA3856">
        <w:rPr>
          <w:bCs/>
          <w:szCs w:val="20"/>
        </w:rPr>
        <w:t>1) É vedada a instalação em ZPE de empresas cujos projetos evidenciem a simples transferência de plantas industriais já instaladas no País (Lei n</w:t>
      </w:r>
      <w:r w:rsidRPr="00FA3856">
        <w:rPr>
          <w:bCs/>
          <w:szCs w:val="20"/>
          <w:u w:val="single"/>
          <w:vertAlign w:val="superscript"/>
        </w:rPr>
        <w:t>o</w:t>
      </w:r>
      <w:r w:rsidRPr="00FA3856">
        <w:rPr>
          <w:bCs/>
          <w:szCs w:val="20"/>
        </w:rPr>
        <w:t xml:space="preserve"> 11.508, de 20 de julho de 2007, art. 5</w:t>
      </w:r>
      <w:r w:rsidRPr="00FA3856">
        <w:rPr>
          <w:bCs/>
          <w:szCs w:val="20"/>
          <w:u w:val="single"/>
          <w:vertAlign w:val="superscript"/>
        </w:rPr>
        <w:t>o</w:t>
      </w:r>
      <w:r w:rsidRPr="00FA3856">
        <w:rPr>
          <w:bCs/>
          <w:szCs w:val="20"/>
        </w:rPr>
        <w:t>).</w:t>
      </w:r>
    </w:p>
    <w:p w:rsidR="000E25DC" w:rsidRPr="00FA3856" w:rsidRDefault="000E25DC" w:rsidP="000E25DC">
      <w:pPr>
        <w:jc w:val="both"/>
        <w:rPr>
          <w:bCs/>
          <w:szCs w:val="20"/>
        </w:rPr>
      </w:pPr>
    </w:p>
    <w:p w:rsidR="000E25DC" w:rsidRPr="00FA3856" w:rsidRDefault="000E25DC" w:rsidP="000E25DC">
      <w:pPr>
        <w:jc w:val="both"/>
        <w:rPr>
          <w:bCs/>
          <w:szCs w:val="20"/>
        </w:rPr>
      </w:pPr>
      <w:r w:rsidRPr="00FA3856">
        <w:rPr>
          <w:bCs/>
          <w:szCs w:val="20"/>
        </w:rPr>
        <w:t>2) Não serão autorizadas, em ZPE, a produção, a importação ou exportação de (Lei n</w:t>
      </w:r>
      <w:r w:rsidRPr="00FA3856">
        <w:rPr>
          <w:bCs/>
          <w:szCs w:val="20"/>
          <w:u w:val="single"/>
          <w:vertAlign w:val="superscript"/>
        </w:rPr>
        <w:t>o</w:t>
      </w:r>
      <w:r w:rsidRPr="00FA3856">
        <w:rPr>
          <w:bCs/>
          <w:szCs w:val="20"/>
        </w:rPr>
        <w:t xml:space="preserve"> 11.508, de 20 de julho de 2007, art. 5</w:t>
      </w:r>
      <w:r w:rsidRPr="00FA3856">
        <w:rPr>
          <w:bCs/>
          <w:szCs w:val="20"/>
          <w:u w:val="single"/>
          <w:vertAlign w:val="superscript"/>
        </w:rPr>
        <w:t>o</w:t>
      </w:r>
      <w:r w:rsidRPr="00FA3856">
        <w:rPr>
          <w:bCs/>
          <w:szCs w:val="20"/>
        </w:rPr>
        <w:t>, parágrafo único):</w:t>
      </w:r>
    </w:p>
    <w:p w:rsidR="000E25DC" w:rsidRPr="00FA3856" w:rsidRDefault="000E25DC" w:rsidP="000E25DC">
      <w:pPr>
        <w:ind w:firstLine="708"/>
        <w:jc w:val="both"/>
        <w:rPr>
          <w:bCs/>
          <w:szCs w:val="20"/>
        </w:rPr>
      </w:pPr>
      <w:r w:rsidRPr="00FA3856">
        <w:rPr>
          <w:bCs/>
          <w:szCs w:val="20"/>
        </w:rPr>
        <w:t>a) armas ou explosivos de qualquer natureza, salvo com prévia autorização do Comando do Exército;</w:t>
      </w:r>
    </w:p>
    <w:p w:rsidR="000E25DC" w:rsidRPr="00FA3856" w:rsidRDefault="000E25DC" w:rsidP="000E25DC">
      <w:pPr>
        <w:ind w:firstLine="708"/>
        <w:jc w:val="both"/>
        <w:rPr>
          <w:bCs/>
          <w:szCs w:val="20"/>
        </w:rPr>
      </w:pPr>
      <w:r w:rsidRPr="00FA3856">
        <w:rPr>
          <w:bCs/>
          <w:szCs w:val="20"/>
        </w:rPr>
        <w:t>b) material radioativo, salvo com prévia autorização da Comissão Nacional de Energia Nuclear - CNEN; e</w:t>
      </w:r>
    </w:p>
    <w:p w:rsidR="000E25DC" w:rsidRPr="00FA3856" w:rsidRDefault="000E25DC" w:rsidP="000E25DC">
      <w:pPr>
        <w:ind w:firstLine="708"/>
        <w:jc w:val="both"/>
        <w:rPr>
          <w:bCs/>
          <w:szCs w:val="20"/>
        </w:rPr>
      </w:pPr>
      <w:r w:rsidRPr="00FA3856">
        <w:rPr>
          <w:bCs/>
          <w:szCs w:val="20"/>
        </w:rPr>
        <w:t>c) outros indicados em regulamento.</w:t>
      </w:r>
    </w:p>
    <w:p w:rsidR="004C6C71" w:rsidRDefault="004C6C71" w:rsidP="00FE5D23">
      <w:pPr>
        <w:rPr>
          <w:b/>
          <w:szCs w:val="20"/>
          <w:lang w:val="pt-PT"/>
        </w:rPr>
      </w:pPr>
    </w:p>
    <w:p w:rsidR="004C6C71" w:rsidRPr="00FA3856" w:rsidRDefault="00B35FA3" w:rsidP="004C6C71">
      <w:pPr>
        <w:jc w:val="center"/>
        <w:rPr>
          <w:b/>
          <w:szCs w:val="20"/>
          <w:lang w:val="pt-PT"/>
        </w:rPr>
      </w:pPr>
      <w:r>
        <w:rPr>
          <w:b/>
          <w:szCs w:val="20"/>
          <w:lang w:val="pt-PT"/>
        </w:rPr>
        <w:object w:dxaOrig="13875" w:dyaOrig="4710">
          <v:shape id="_x0000_i2032" type="#_x0000_t75" style="width:740.25pt;height:226.5pt" o:ole="">
            <v:imagedata r:id="rId815" o:title=""/>
          </v:shape>
          <o:OLEObject Type="Link" ProgID="Excel.Sheet.12" ShapeID="_x0000_i2032" DrawAspect="Content" r:id="rId816" UpdateMode="Always">
            <o:LinkType>EnhancedMetaFile</o:LinkType>
            <o:LockedField>false</o:LockedField>
          </o:OLEObject>
        </w:object>
      </w:r>
    </w:p>
    <w:p w:rsidR="000E25DC" w:rsidRPr="00FA3856" w:rsidRDefault="000E25DC" w:rsidP="00FE5D23">
      <w:pPr>
        <w:rPr>
          <w:b/>
          <w:szCs w:val="20"/>
          <w:lang w:val="pt-PT"/>
        </w:rPr>
      </w:pPr>
    </w:p>
    <w:p w:rsidR="000E25DC" w:rsidRPr="00FA3856" w:rsidRDefault="000E25DC" w:rsidP="00FE5D23">
      <w:pPr>
        <w:rPr>
          <w:b/>
          <w:szCs w:val="20"/>
          <w:lang w:val="pt-PT"/>
        </w:rPr>
      </w:pPr>
    </w:p>
    <w:p w:rsidR="000E25DC" w:rsidRPr="00FA3856" w:rsidRDefault="000E25DC" w:rsidP="00FE5D23">
      <w:pPr>
        <w:rPr>
          <w:b/>
          <w:szCs w:val="20"/>
          <w:lang w:val="pt-PT"/>
        </w:rPr>
      </w:pPr>
    </w:p>
    <w:p w:rsidR="000E25DC" w:rsidRPr="00FA3856" w:rsidRDefault="000E25DC" w:rsidP="00FE5D23">
      <w:pPr>
        <w:rPr>
          <w:b/>
          <w:szCs w:val="20"/>
          <w:lang w:val="pt-PT"/>
        </w:rPr>
      </w:pPr>
    </w:p>
    <w:p w:rsidR="000E25DC" w:rsidRPr="00FA3856" w:rsidRDefault="000E25DC" w:rsidP="00FE5D23">
      <w:pPr>
        <w:rPr>
          <w:b/>
          <w:szCs w:val="20"/>
          <w:lang w:val="pt-PT"/>
        </w:rPr>
      </w:pPr>
    </w:p>
    <w:p w:rsidR="00681EB4" w:rsidRDefault="00681EB4">
      <w:pPr>
        <w:spacing w:after="200" w:line="276" w:lineRule="auto"/>
        <w:rPr>
          <w:b/>
          <w:szCs w:val="20"/>
          <w:lang w:val="pt-PT"/>
        </w:rPr>
      </w:pPr>
      <w:r>
        <w:rPr>
          <w:b/>
          <w:szCs w:val="20"/>
          <w:lang w:val="pt-PT"/>
        </w:rPr>
        <w:br w:type="page"/>
      </w:r>
    </w:p>
    <w:p w:rsidR="00FE5D23" w:rsidRPr="00FA3856" w:rsidRDefault="00FE5D23" w:rsidP="00FE5D23">
      <w:pPr>
        <w:rPr>
          <w:b/>
          <w:szCs w:val="20"/>
          <w:lang w:val="pt-PT"/>
        </w:rPr>
      </w:pPr>
      <w:r w:rsidRPr="00FA3856">
        <w:rPr>
          <w:b/>
          <w:szCs w:val="20"/>
          <w:lang w:val="pt-PT"/>
        </w:rPr>
        <w:lastRenderedPageBreak/>
        <w:t>I – Regras de Validação do Registro:</w:t>
      </w:r>
    </w:p>
    <w:p w:rsidR="00FE5D23" w:rsidRPr="00FA3856" w:rsidRDefault="00FE5D23" w:rsidP="00FE5D23">
      <w:pPr>
        <w:rPr>
          <w:b/>
          <w:szCs w:val="20"/>
          <w:lang w:val="pt-PT"/>
        </w:rPr>
      </w:pPr>
    </w:p>
    <w:p w:rsidR="00FE5D23" w:rsidRPr="00FA3856" w:rsidRDefault="007D0E74" w:rsidP="00FE5D23">
      <w:pPr>
        <w:pStyle w:val="Corpodetexto"/>
        <w:ind w:left="708" w:firstLine="12"/>
        <w:rPr>
          <w:rFonts w:ascii="Times New Roman" w:hAnsi="Times New Roman"/>
          <w:szCs w:val="20"/>
        </w:rPr>
      </w:pPr>
      <w:hyperlink r:id="rId817" w:anchor="REGRA_OCORRENCIA_UNITARIA_ARQ" w:history="1">
        <w:r w:rsidR="00FE5D23" w:rsidRPr="00FA3856">
          <w:rPr>
            <w:rFonts w:ascii="Times New Roman" w:hAnsi="Times New Roman"/>
            <w:b/>
            <w:szCs w:val="20"/>
          </w:rPr>
          <w:t>REGRA_</w:t>
        </w:r>
      </w:hyperlink>
      <w:r w:rsidR="00FE5D23" w:rsidRPr="00FA3856">
        <w:rPr>
          <w:rFonts w:ascii="Times New Roman" w:hAnsi="Times New Roman"/>
          <w:b/>
          <w:szCs w:val="20"/>
        </w:rPr>
        <w:t>DUPLICIDADE_DESPREZADA</w:t>
      </w:r>
      <w:r w:rsidR="00FE5D23" w:rsidRPr="00FA3856">
        <w:rPr>
          <w:rFonts w:ascii="Times New Roman" w:hAnsi="Times New Roman"/>
          <w:color w:val="auto"/>
          <w:szCs w:val="20"/>
        </w:rPr>
        <w:t xml:space="preserve">: </w:t>
      </w:r>
      <w:r w:rsidR="00FE5D23" w:rsidRPr="00FA3856">
        <w:rPr>
          <w:rFonts w:ascii="Times New Roman" w:hAnsi="Times New Roman"/>
          <w:szCs w:val="20"/>
        </w:rPr>
        <w:t>Verifica se o registro já foi importado anteriormente, de acordo com a chave e os registros pais. Se a regra não for cumprida, a ECF gera um aviso.</w:t>
      </w:r>
    </w:p>
    <w:p w:rsidR="00FE5D23" w:rsidRPr="00FA3856" w:rsidRDefault="00FE5D23" w:rsidP="00FE5D23">
      <w:pPr>
        <w:pStyle w:val="Corpodetexto"/>
        <w:ind w:left="708" w:firstLine="12"/>
        <w:rPr>
          <w:rFonts w:ascii="Times New Roman" w:hAnsi="Times New Roman"/>
          <w:szCs w:val="20"/>
        </w:rPr>
      </w:pPr>
    </w:p>
    <w:p w:rsidR="00FE5D23" w:rsidRPr="00FA3856" w:rsidRDefault="007D0E74" w:rsidP="00FE5D23">
      <w:pPr>
        <w:pStyle w:val="Corpodetexto"/>
        <w:ind w:left="708" w:firstLine="12"/>
        <w:rPr>
          <w:rFonts w:ascii="Times New Roman" w:hAnsi="Times New Roman"/>
          <w:szCs w:val="20"/>
        </w:rPr>
      </w:pPr>
      <w:hyperlink r:id="rId818" w:anchor="REGRA_OCORRENCIA_UNITARIA_ARQ" w:history="1">
        <w:r w:rsidR="00FE5D23" w:rsidRPr="00FA3856">
          <w:rPr>
            <w:rFonts w:ascii="Times New Roman" w:hAnsi="Times New Roman"/>
            <w:b/>
            <w:szCs w:val="20"/>
          </w:rPr>
          <w:t>REGRA_</w:t>
        </w:r>
      </w:hyperlink>
      <w:r w:rsidR="00FE5D23" w:rsidRPr="00FA3856">
        <w:rPr>
          <w:rFonts w:ascii="Times New Roman" w:hAnsi="Times New Roman"/>
          <w:b/>
          <w:szCs w:val="20"/>
        </w:rPr>
        <w:t>LINHA_DESPREZADA</w:t>
      </w:r>
      <w:r w:rsidR="00FE5D23" w:rsidRPr="00FA3856">
        <w:rPr>
          <w:rFonts w:ascii="Times New Roman" w:hAnsi="Times New Roman"/>
          <w:color w:val="auto"/>
          <w:szCs w:val="20"/>
        </w:rPr>
        <w:t xml:space="preserve">: </w:t>
      </w:r>
      <w:r w:rsidR="00FE5D23" w:rsidRPr="00FA3856">
        <w:rPr>
          <w:rFonts w:ascii="Times New Roman" w:hAnsi="Times New Roman"/>
          <w:szCs w:val="20"/>
        </w:rPr>
        <w:t>Verifica se o registro existe na importação, mas não será importado por não existir na tabela dinâmica devido às configurações do bloco 0 ou da tabela dinâmica. Gera um aviso.</w:t>
      </w:r>
    </w:p>
    <w:p w:rsidR="00FE5D23" w:rsidRPr="00FA3856" w:rsidRDefault="00FE5D23" w:rsidP="00FE5D23">
      <w:pPr>
        <w:pStyle w:val="Corpodetexto"/>
        <w:ind w:left="708" w:firstLine="12"/>
        <w:rPr>
          <w:rFonts w:ascii="Times New Roman" w:hAnsi="Times New Roman"/>
          <w:b/>
          <w:szCs w:val="20"/>
        </w:rPr>
      </w:pPr>
    </w:p>
    <w:p w:rsidR="00FE5D23" w:rsidRPr="00FA3856" w:rsidRDefault="007D0E74" w:rsidP="00FE5D23">
      <w:pPr>
        <w:pStyle w:val="Corpodetexto"/>
        <w:ind w:left="708" w:firstLine="12"/>
        <w:rPr>
          <w:rFonts w:ascii="Times New Roman" w:hAnsi="Times New Roman"/>
          <w:b/>
          <w:szCs w:val="20"/>
        </w:rPr>
      </w:pPr>
      <w:hyperlink r:id="rId819" w:anchor="REGRA_OCORRENCIA_UNITARIA_ARQ" w:history="1">
        <w:r w:rsidR="00FE5D23" w:rsidRPr="00FA3856">
          <w:rPr>
            <w:rFonts w:ascii="Times New Roman" w:hAnsi="Times New Roman"/>
            <w:b/>
            <w:szCs w:val="20"/>
          </w:rPr>
          <w:t>REGRA_</w:t>
        </w:r>
      </w:hyperlink>
      <w:r w:rsidR="00FE5D23" w:rsidRPr="00FA3856">
        <w:rPr>
          <w:rFonts w:ascii="Times New Roman" w:hAnsi="Times New Roman"/>
          <w:b/>
          <w:szCs w:val="20"/>
        </w:rPr>
        <w:t>LINHA_ATUALIZADA</w:t>
      </w:r>
      <w:r w:rsidR="00FE5D23" w:rsidRPr="00FA3856">
        <w:rPr>
          <w:rFonts w:ascii="Times New Roman" w:hAnsi="Times New Roman"/>
          <w:color w:val="auto"/>
          <w:szCs w:val="20"/>
        </w:rPr>
        <w:t xml:space="preserve">: </w:t>
      </w:r>
      <w:r w:rsidR="00FE5D23" w:rsidRPr="00FA3856">
        <w:rPr>
          <w:rFonts w:ascii="Times New Roman" w:hAnsi="Times New Roman"/>
          <w:szCs w:val="20"/>
        </w:rPr>
        <w:t>Verifica se o registro está desatualizado em relação à tabela da RFB. Gera um aviso.</w:t>
      </w:r>
    </w:p>
    <w:p w:rsidR="00FE5D23" w:rsidRPr="00FA3856" w:rsidRDefault="00FE5D23" w:rsidP="00E03E5B">
      <w:pPr>
        <w:rPr>
          <w:b/>
          <w:szCs w:val="20"/>
          <w:lang w:val="pt-PT"/>
        </w:rPr>
      </w:pPr>
    </w:p>
    <w:p w:rsidR="00E03E5B" w:rsidRPr="00FA3856" w:rsidRDefault="00FE5D23" w:rsidP="00E03E5B">
      <w:pPr>
        <w:rPr>
          <w:b/>
          <w:szCs w:val="20"/>
          <w:lang w:val="pt-PT"/>
        </w:rPr>
      </w:pPr>
      <w:r w:rsidRPr="00FA3856">
        <w:rPr>
          <w:b/>
          <w:szCs w:val="20"/>
          <w:lang w:val="pt-PT"/>
        </w:rPr>
        <w:t>I</w:t>
      </w:r>
      <w:r w:rsidR="00E03E5B" w:rsidRPr="00FA3856">
        <w:rPr>
          <w:b/>
          <w:szCs w:val="20"/>
          <w:lang w:val="pt-PT"/>
        </w:rPr>
        <w:t>I – Regras de Validação de Campos:</w:t>
      </w:r>
    </w:p>
    <w:p w:rsidR="00E03E5B" w:rsidRPr="00FA3856" w:rsidRDefault="00E03E5B" w:rsidP="00E03E5B">
      <w:pPr>
        <w:rPr>
          <w:b/>
          <w:szCs w:val="20"/>
          <w:lang w:val="pt-PT"/>
        </w:rPr>
      </w:pPr>
    </w:p>
    <w:tbl>
      <w:tblPr>
        <w:tblW w:w="15317"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85"/>
        <w:gridCol w:w="3000"/>
        <w:gridCol w:w="11115"/>
        <w:gridCol w:w="717"/>
      </w:tblGrid>
      <w:tr w:rsidR="00E03E5B" w:rsidRPr="00FA3856" w:rsidTr="00A303CE">
        <w:trPr>
          <w:jc w:val="center"/>
        </w:trPr>
        <w:tc>
          <w:tcPr>
            <w:tcW w:w="485" w:type="dxa"/>
            <w:tcBorders>
              <w:top w:val="single" w:sz="6" w:space="0" w:color="auto"/>
              <w:left w:val="single" w:sz="6" w:space="0" w:color="auto"/>
              <w:bottom w:val="single" w:sz="6" w:space="0" w:color="auto"/>
              <w:right w:val="single" w:sz="6" w:space="0" w:color="auto"/>
            </w:tcBorders>
            <w:shd w:val="pct10" w:color="auto" w:fill="FFFFFF"/>
          </w:tcPr>
          <w:p w:rsidR="00E03E5B" w:rsidRPr="00FA3856" w:rsidRDefault="00E03E5B" w:rsidP="00353C1C">
            <w:pPr>
              <w:pStyle w:val="PSDS-CorpodeTexto0"/>
              <w:jc w:val="center"/>
              <w:rPr>
                <w:rFonts w:ascii="Times New Roman" w:hAnsi="Times New Roman"/>
                <w:b/>
                <w:bCs/>
              </w:rPr>
            </w:pPr>
            <w:r w:rsidRPr="00FA3856">
              <w:rPr>
                <w:rFonts w:ascii="Times New Roman" w:hAnsi="Times New Roman"/>
                <w:b/>
                <w:bCs/>
              </w:rPr>
              <w:t>Nº</w:t>
            </w:r>
          </w:p>
        </w:tc>
        <w:tc>
          <w:tcPr>
            <w:tcW w:w="3000" w:type="dxa"/>
            <w:tcBorders>
              <w:top w:val="single" w:sz="6" w:space="0" w:color="auto"/>
              <w:left w:val="single" w:sz="6" w:space="0" w:color="auto"/>
              <w:bottom w:val="single" w:sz="6" w:space="0" w:color="auto"/>
              <w:right w:val="single" w:sz="6" w:space="0" w:color="auto"/>
            </w:tcBorders>
            <w:shd w:val="pct10" w:color="auto" w:fill="FFFFFF"/>
          </w:tcPr>
          <w:p w:rsidR="00E03E5B" w:rsidRPr="00FA3856" w:rsidRDefault="00E03E5B" w:rsidP="00353C1C">
            <w:pPr>
              <w:pStyle w:val="PSDS-CorpodeTexto0"/>
              <w:jc w:val="center"/>
              <w:rPr>
                <w:rFonts w:ascii="Times New Roman" w:hAnsi="Times New Roman"/>
                <w:b/>
                <w:bCs/>
              </w:rPr>
            </w:pPr>
            <w:r w:rsidRPr="00FA3856">
              <w:rPr>
                <w:rFonts w:ascii="Times New Roman" w:hAnsi="Times New Roman"/>
                <w:b/>
                <w:bCs/>
              </w:rPr>
              <w:t>Campo</w:t>
            </w:r>
          </w:p>
        </w:tc>
        <w:tc>
          <w:tcPr>
            <w:tcW w:w="11115" w:type="dxa"/>
            <w:tcBorders>
              <w:top w:val="single" w:sz="6" w:space="0" w:color="auto"/>
              <w:left w:val="single" w:sz="6" w:space="0" w:color="auto"/>
              <w:bottom w:val="single" w:sz="6" w:space="0" w:color="auto"/>
              <w:right w:val="single" w:sz="6" w:space="0" w:color="auto"/>
            </w:tcBorders>
            <w:shd w:val="pct10" w:color="auto" w:fill="FFFFFF"/>
          </w:tcPr>
          <w:p w:rsidR="00E03E5B" w:rsidRPr="00FA3856" w:rsidRDefault="00E03E5B" w:rsidP="00353C1C">
            <w:pPr>
              <w:pStyle w:val="PSDS-CorpodeTexto0"/>
              <w:jc w:val="center"/>
              <w:rPr>
                <w:rFonts w:ascii="Times New Roman" w:hAnsi="Times New Roman"/>
                <w:b/>
                <w:bCs/>
              </w:rPr>
            </w:pPr>
            <w:r w:rsidRPr="00FA3856">
              <w:rPr>
                <w:rFonts w:ascii="Times New Roman" w:hAnsi="Times New Roman"/>
                <w:b/>
                <w:bCs/>
              </w:rPr>
              <w:t>Regras de Validação do Campo</w:t>
            </w:r>
          </w:p>
        </w:tc>
        <w:tc>
          <w:tcPr>
            <w:tcW w:w="717" w:type="dxa"/>
            <w:tcBorders>
              <w:top w:val="single" w:sz="6" w:space="0" w:color="auto"/>
              <w:left w:val="single" w:sz="6" w:space="0" w:color="auto"/>
              <w:bottom w:val="single" w:sz="6" w:space="0" w:color="auto"/>
              <w:right w:val="single" w:sz="6" w:space="0" w:color="auto"/>
            </w:tcBorders>
            <w:shd w:val="pct10" w:color="auto" w:fill="FFFFFF"/>
          </w:tcPr>
          <w:p w:rsidR="00E03E5B" w:rsidRPr="00FA3856" w:rsidRDefault="00E03E5B" w:rsidP="00353C1C">
            <w:pPr>
              <w:pStyle w:val="PSDS-CorpodeTexto0"/>
              <w:jc w:val="center"/>
              <w:rPr>
                <w:rFonts w:ascii="Times New Roman" w:hAnsi="Times New Roman"/>
                <w:b/>
                <w:bCs/>
              </w:rPr>
            </w:pPr>
            <w:r w:rsidRPr="00FA3856">
              <w:rPr>
                <w:rFonts w:ascii="Times New Roman" w:hAnsi="Times New Roman"/>
                <w:b/>
                <w:bCs/>
              </w:rPr>
              <w:t>Tipo</w:t>
            </w:r>
          </w:p>
        </w:tc>
      </w:tr>
      <w:tr w:rsidR="0012324D" w:rsidRPr="00FA3856" w:rsidTr="00A303CE">
        <w:trPr>
          <w:jc w:val="center"/>
        </w:trPr>
        <w:tc>
          <w:tcPr>
            <w:tcW w:w="485" w:type="dxa"/>
            <w:tcBorders>
              <w:top w:val="single" w:sz="6" w:space="0" w:color="auto"/>
              <w:left w:val="single" w:sz="6" w:space="0" w:color="auto"/>
              <w:bottom w:val="single" w:sz="6" w:space="0" w:color="auto"/>
              <w:right w:val="single" w:sz="6" w:space="0" w:color="auto"/>
            </w:tcBorders>
          </w:tcPr>
          <w:p w:rsidR="0012324D" w:rsidRPr="00FA3856" w:rsidRDefault="0012324D" w:rsidP="0012324D">
            <w:pPr>
              <w:pStyle w:val="PSDS-CorpodeTexto0"/>
              <w:suppressAutoHyphens w:val="0"/>
              <w:rPr>
                <w:rFonts w:ascii="Times New Roman" w:hAnsi="Times New Roman"/>
                <w:b/>
                <w:bCs/>
                <w:lang w:val="pt-PT"/>
              </w:rPr>
            </w:pPr>
            <w:r w:rsidRPr="00FA3856">
              <w:rPr>
                <w:rFonts w:ascii="Times New Roman" w:hAnsi="Times New Roman"/>
                <w:b/>
                <w:bCs/>
                <w:lang w:val="pt-PT"/>
              </w:rPr>
              <w:t>4</w:t>
            </w:r>
          </w:p>
        </w:tc>
        <w:tc>
          <w:tcPr>
            <w:tcW w:w="3000" w:type="dxa"/>
            <w:tcBorders>
              <w:top w:val="single" w:sz="6" w:space="0" w:color="auto"/>
              <w:left w:val="single" w:sz="6" w:space="0" w:color="auto"/>
              <w:bottom w:val="single" w:sz="6" w:space="0" w:color="auto"/>
              <w:right w:val="single" w:sz="6" w:space="0" w:color="auto"/>
            </w:tcBorders>
          </w:tcPr>
          <w:p w:rsidR="0012324D" w:rsidRPr="00FA3856" w:rsidRDefault="0012324D" w:rsidP="0012324D">
            <w:pPr>
              <w:pStyle w:val="PSDS-CorpodeTexto0"/>
              <w:rPr>
                <w:rFonts w:ascii="Times New Roman" w:hAnsi="Times New Roman"/>
              </w:rPr>
            </w:pPr>
            <w:r w:rsidRPr="00FA3856">
              <w:rPr>
                <w:rFonts w:ascii="Times New Roman" w:hAnsi="Times New Roman"/>
              </w:rPr>
              <w:t>VALOR</w:t>
            </w:r>
          </w:p>
        </w:tc>
        <w:tc>
          <w:tcPr>
            <w:tcW w:w="11115" w:type="dxa"/>
            <w:tcBorders>
              <w:top w:val="single" w:sz="6" w:space="0" w:color="auto"/>
              <w:left w:val="single" w:sz="6" w:space="0" w:color="auto"/>
              <w:bottom w:val="single" w:sz="6" w:space="0" w:color="auto"/>
              <w:right w:val="single" w:sz="6" w:space="0" w:color="auto"/>
            </w:tcBorders>
          </w:tcPr>
          <w:p w:rsidR="0012324D" w:rsidRPr="00FA3856" w:rsidRDefault="0012324D" w:rsidP="0012324D">
            <w:pPr>
              <w:pStyle w:val="Corpodetexto"/>
              <w:rPr>
                <w:rFonts w:ascii="Times New Roman" w:hAnsi="Times New Roman"/>
                <w:szCs w:val="20"/>
              </w:rPr>
            </w:pPr>
            <w:r w:rsidRPr="00FA3856">
              <w:rPr>
                <w:rFonts w:ascii="Times New Roman" w:hAnsi="Times New Roman"/>
                <w:b/>
                <w:bCs/>
                <w:szCs w:val="20"/>
              </w:rPr>
              <w:t>REGRA_OBRIGATORIO_TIPO_DIFERENTE_R</w:t>
            </w:r>
            <w:r w:rsidRPr="00FA3856">
              <w:rPr>
                <w:rFonts w:ascii="Times New Roman" w:hAnsi="Times New Roman"/>
                <w:szCs w:val="20"/>
              </w:rPr>
              <w:t xml:space="preserve">: </w:t>
            </w:r>
            <w:r w:rsidRPr="00FA3856">
              <w:rPr>
                <w:rStyle w:val="Hyperlink"/>
                <w:rFonts w:ascii="Times New Roman" w:hAnsi="Times New Roman"/>
                <w:bCs/>
                <w:color w:val="auto"/>
                <w:szCs w:val="20"/>
                <w:lang w:val="pt-PT"/>
              </w:rPr>
              <w:t xml:space="preserve">Verifica se o campo está preenchido quando o tipo da linha </w:t>
            </w:r>
            <w:r w:rsidR="00C321B8" w:rsidRPr="00FA3856">
              <w:rPr>
                <w:rStyle w:val="Hyperlink"/>
                <w:rFonts w:ascii="Times New Roman" w:hAnsi="Times New Roman"/>
                <w:bCs/>
                <w:color w:val="auto"/>
                <w:szCs w:val="20"/>
                <w:lang w:val="pt-PT"/>
              </w:rPr>
              <w:t>é diferente</w:t>
            </w:r>
            <w:r w:rsidRPr="00FA3856">
              <w:rPr>
                <w:rStyle w:val="Hyperlink"/>
                <w:rFonts w:ascii="Times New Roman" w:hAnsi="Times New Roman"/>
                <w:bCs/>
                <w:color w:val="auto"/>
                <w:szCs w:val="20"/>
                <w:lang w:val="pt-PT"/>
              </w:rPr>
              <w:t xml:space="preserve"> de “R”.</w:t>
            </w:r>
          </w:p>
        </w:tc>
        <w:tc>
          <w:tcPr>
            <w:tcW w:w="717" w:type="dxa"/>
            <w:tcBorders>
              <w:top w:val="single" w:sz="6" w:space="0" w:color="auto"/>
              <w:left w:val="single" w:sz="6" w:space="0" w:color="auto"/>
              <w:bottom w:val="single" w:sz="6" w:space="0" w:color="auto"/>
              <w:right w:val="single" w:sz="6" w:space="0" w:color="auto"/>
            </w:tcBorders>
          </w:tcPr>
          <w:p w:rsidR="0012324D" w:rsidRPr="00FA3856" w:rsidRDefault="0012324D" w:rsidP="0012324D">
            <w:pPr>
              <w:pStyle w:val="PSDS-CorpodeTexto0"/>
              <w:rPr>
                <w:rFonts w:ascii="Times New Roman" w:hAnsi="Times New Roman"/>
              </w:rPr>
            </w:pPr>
            <w:r w:rsidRPr="00FA3856">
              <w:rPr>
                <w:rFonts w:ascii="Times New Roman" w:hAnsi="Times New Roman"/>
              </w:rPr>
              <w:t>Erro</w:t>
            </w:r>
          </w:p>
          <w:p w:rsidR="0012324D" w:rsidRPr="00FA3856" w:rsidRDefault="0012324D" w:rsidP="0012324D">
            <w:pPr>
              <w:pStyle w:val="PSDS-CorpodeTexto0"/>
              <w:rPr>
                <w:rFonts w:ascii="Times New Roman" w:hAnsi="Times New Roman"/>
              </w:rPr>
            </w:pPr>
          </w:p>
        </w:tc>
      </w:tr>
    </w:tbl>
    <w:p w:rsidR="00E03E5B" w:rsidRPr="00FA3856" w:rsidRDefault="00E03E5B" w:rsidP="00FC47AC">
      <w:pPr>
        <w:pStyle w:val="PSDS-MarcadoresNivel4"/>
        <w:tabs>
          <w:tab w:val="clear" w:pos="2271"/>
          <w:tab w:val="left" w:pos="720"/>
        </w:tabs>
        <w:spacing w:before="0" w:after="0"/>
        <w:ind w:left="0" w:firstLine="0"/>
        <w:rPr>
          <w:rFonts w:ascii="Times New Roman" w:hAnsi="Times New Roman" w:cs="Times New Roman"/>
          <w:b w:val="0"/>
          <w:bCs w:val="0"/>
          <w:color w:val="000000"/>
          <w:szCs w:val="20"/>
          <w:lang w:eastAsia="ar-SA"/>
        </w:rPr>
      </w:pPr>
    </w:p>
    <w:p w:rsidR="000E25DC" w:rsidRPr="00FA3856" w:rsidRDefault="00FC47AC" w:rsidP="004276EA">
      <w:pPr>
        <w:pStyle w:val="PSDS-MarcadoresNivel4"/>
        <w:tabs>
          <w:tab w:val="clear" w:pos="2271"/>
          <w:tab w:val="left" w:pos="720"/>
        </w:tabs>
        <w:spacing w:before="0" w:after="0"/>
        <w:ind w:left="0" w:firstLine="0"/>
        <w:rPr>
          <w:rFonts w:ascii="Times New Roman" w:hAnsi="Times New Roman" w:cs="Times New Roman"/>
          <w:bCs w:val="0"/>
          <w:color w:val="000000"/>
          <w:szCs w:val="20"/>
          <w:lang w:eastAsia="ar-SA"/>
        </w:rPr>
      </w:pPr>
      <w:r w:rsidRPr="00FA3856">
        <w:rPr>
          <w:rFonts w:ascii="Times New Roman" w:hAnsi="Times New Roman" w:cs="Times New Roman"/>
          <w:bCs w:val="0"/>
          <w:color w:val="000000"/>
          <w:szCs w:val="20"/>
          <w:lang w:eastAsia="ar-SA"/>
        </w:rPr>
        <w:t>I</w:t>
      </w:r>
      <w:r w:rsidR="00FE5D23" w:rsidRPr="00FA3856">
        <w:rPr>
          <w:rFonts w:ascii="Times New Roman" w:hAnsi="Times New Roman" w:cs="Times New Roman"/>
          <w:bCs w:val="0"/>
          <w:color w:val="000000"/>
          <w:szCs w:val="20"/>
          <w:lang w:eastAsia="ar-SA"/>
        </w:rPr>
        <w:t>I</w:t>
      </w:r>
      <w:r w:rsidR="004276EA" w:rsidRPr="00FA3856">
        <w:rPr>
          <w:rFonts w:ascii="Times New Roman" w:hAnsi="Times New Roman" w:cs="Times New Roman"/>
          <w:bCs w:val="0"/>
          <w:color w:val="000000"/>
          <w:szCs w:val="20"/>
          <w:lang w:eastAsia="ar-SA"/>
        </w:rPr>
        <w:t>I – Tabela Dinâmica:</w:t>
      </w:r>
      <w:r w:rsidR="0053782C">
        <w:rPr>
          <w:rFonts w:ascii="Times New Roman" w:hAnsi="Times New Roman" w:cs="Times New Roman"/>
          <w:bCs w:val="0"/>
          <w:color w:val="000000"/>
          <w:szCs w:val="20"/>
          <w:lang w:eastAsia="ar-SA"/>
        </w:rPr>
        <w:t xml:space="preserve"> </w:t>
      </w:r>
      <w:r w:rsidR="0053782C" w:rsidRPr="0053782C">
        <w:rPr>
          <w:rFonts w:ascii="Times New Roman" w:hAnsi="Times New Roman" w:cs="Times New Roman"/>
          <w:bCs w:val="0"/>
          <w:color w:val="000000"/>
          <w:szCs w:val="20"/>
          <w:lang w:eastAsia="ar-SA"/>
        </w:rPr>
        <w:t>X500 - Zonas de Processamento de Exportação (ZPE)</w:t>
      </w:r>
    </w:p>
    <w:p w:rsidR="00770A40" w:rsidRPr="00681EB4" w:rsidRDefault="00486CDA" w:rsidP="00681EB4">
      <w:pPr>
        <w:pStyle w:val="PSDS-MarcadoresNivel4"/>
        <w:tabs>
          <w:tab w:val="clear" w:pos="2271"/>
          <w:tab w:val="left" w:pos="720"/>
        </w:tabs>
        <w:spacing w:before="0" w:after="0"/>
        <w:ind w:left="0" w:firstLine="0"/>
        <w:rPr>
          <w:rFonts w:ascii="Times New Roman" w:hAnsi="Times New Roman" w:cs="Times New Roman"/>
          <w:bCs w:val="0"/>
          <w:color w:val="000000"/>
          <w:szCs w:val="20"/>
          <w:lang w:eastAsia="ar-SA"/>
        </w:rPr>
      </w:pPr>
      <w:r>
        <w:rPr>
          <w:rFonts w:ascii="Times New Roman" w:hAnsi="Times New Roman" w:cs="Times New Roman"/>
          <w:bCs w:val="0"/>
          <w:color w:val="000000"/>
          <w:szCs w:val="20"/>
          <w:lang w:eastAsia="ar-SA"/>
        </w:rPr>
        <w:object w:dxaOrig="1534" w:dyaOrig="997">
          <v:shape id="_x0000_i1337" type="#_x0000_t75" style="width:76.5pt;height:49.5pt" o:ole="">
            <v:imagedata r:id="rId820" o:title=""/>
          </v:shape>
          <o:OLEObject Type="Link" ProgID="Excel.Sheet.12" ShapeID="_x0000_i1337" DrawAspect="Content" r:id="rId821" UpdateMode="OnCall">
            <o:LinkType>EnhancedMetaFile</o:LinkType>
            <o:LockedField>false</o:LockedField>
          </o:OLEObject>
        </w:object>
      </w:r>
    </w:p>
    <w:p w:rsidR="000E25DC" w:rsidRPr="00FA3856" w:rsidRDefault="000E25DC" w:rsidP="000E25DC">
      <w:pPr>
        <w:pStyle w:val="Corpodetexto"/>
        <w:rPr>
          <w:rFonts w:ascii="Times New Roman" w:hAnsi="Times New Roman"/>
          <w:b/>
          <w:color w:val="002060"/>
          <w:szCs w:val="20"/>
        </w:rPr>
      </w:pPr>
      <w:r w:rsidRPr="00FA3856">
        <w:rPr>
          <w:rFonts w:ascii="Times New Roman" w:hAnsi="Times New Roman"/>
          <w:b/>
          <w:color w:val="002060"/>
          <w:szCs w:val="20"/>
        </w:rPr>
        <w:t xml:space="preserve">Exemplo de Preenchimento: </w:t>
      </w:r>
    </w:p>
    <w:p w:rsidR="000E25DC" w:rsidRPr="00FA3856" w:rsidRDefault="000E25DC" w:rsidP="000E25DC">
      <w:pPr>
        <w:pStyle w:val="Corpodetexto"/>
        <w:rPr>
          <w:rFonts w:ascii="Times New Roman" w:hAnsi="Times New Roman"/>
          <w:b/>
          <w:color w:val="002060"/>
          <w:szCs w:val="20"/>
        </w:rPr>
      </w:pPr>
    </w:p>
    <w:p w:rsidR="000E25DC" w:rsidRPr="00FA3856" w:rsidRDefault="000E25DC" w:rsidP="000E25DC">
      <w:pPr>
        <w:pStyle w:val="Corpodetexto"/>
        <w:rPr>
          <w:rFonts w:ascii="Times New Roman" w:hAnsi="Times New Roman"/>
          <w:b/>
          <w:color w:val="002060"/>
          <w:szCs w:val="20"/>
        </w:rPr>
      </w:pPr>
      <w:r w:rsidRPr="00FA3856">
        <w:rPr>
          <w:rFonts w:ascii="Times New Roman" w:hAnsi="Times New Roman"/>
          <w:b/>
          <w:color w:val="002060"/>
          <w:szCs w:val="20"/>
        </w:rPr>
        <w:t>|X</w:t>
      </w:r>
      <w:r w:rsidR="002D2DA2" w:rsidRPr="00FA3856">
        <w:rPr>
          <w:rFonts w:ascii="Times New Roman" w:hAnsi="Times New Roman"/>
          <w:b/>
          <w:color w:val="002060"/>
          <w:szCs w:val="20"/>
        </w:rPr>
        <w:t>50</w:t>
      </w:r>
      <w:r w:rsidRPr="00FA3856">
        <w:rPr>
          <w:rFonts w:ascii="Times New Roman" w:hAnsi="Times New Roman"/>
          <w:b/>
          <w:color w:val="002060"/>
          <w:szCs w:val="20"/>
        </w:rPr>
        <w:t>0|1|</w:t>
      </w:r>
      <w:r w:rsidR="002D2DA2" w:rsidRPr="00FA3856">
        <w:rPr>
          <w:rFonts w:ascii="Times New Roman" w:hAnsi="Times New Roman"/>
          <w:b/>
          <w:color w:val="002060"/>
          <w:szCs w:val="20"/>
        </w:rPr>
        <w:t>ZPE (LEI Nº 11.508/2007, ALTERADA PELA LEI Nº 11.732/2008)</w:t>
      </w:r>
      <w:r w:rsidRPr="00FA3856">
        <w:rPr>
          <w:rFonts w:ascii="Times New Roman" w:hAnsi="Times New Roman"/>
          <w:b/>
          <w:color w:val="002060"/>
          <w:szCs w:val="20"/>
        </w:rPr>
        <w:t>||</w:t>
      </w:r>
    </w:p>
    <w:p w:rsidR="000E25DC" w:rsidRPr="00FA3856" w:rsidRDefault="000E25DC" w:rsidP="000E25DC">
      <w:pPr>
        <w:pStyle w:val="Corpodetexto"/>
        <w:ind w:firstLine="708"/>
        <w:rPr>
          <w:rFonts w:ascii="Times New Roman" w:hAnsi="Times New Roman"/>
          <w:color w:val="002060"/>
          <w:szCs w:val="20"/>
        </w:rPr>
      </w:pPr>
      <w:r w:rsidRPr="00FA3856">
        <w:rPr>
          <w:rFonts w:ascii="Times New Roman" w:hAnsi="Times New Roman"/>
          <w:color w:val="002060"/>
          <w:szCs w:val="20"/>
        </w:rPr>
        <w:t>|X</w:t>
      </w:r>
      <w:r w:rsidR="002D2DA2" w:rsidRPr="00FA3856">
        <w:rPr>
          <w:rFonts w:ascii="Times New Roman" w:hAnsi="Times New Roman"/>
          <w:color w:val="002060"/>
          <w:szCs w:val="20"/>
        </w:rPr>
        <w:t>50</w:t>
      </w:r>
      <w:r w:rsidRPr="00FA3856">
        <w:rPr>
          <w:rFonts w:ascii="Times New Roman" w:hAnsi="Times New Roman"/>
          <w:color w:val="002060"/>
          <w:szCs w:val="20"/>
        </w:rPr>
        <w:t>0|: Identificação do tipo do registro.</w:t>
      </w:r>
    </w:p>
    <w:p w:rsidR="000E25DC" w:rsidRPr="00FA3856" w:rsidRDefault="000E25DC" w:rsidP="000E25DC">
      <w:pPr>
        <w:pStyle w:val="Corpodetexto"/>
        <w:ind w:firstLine="708"/>
        <w:rPr>
          <w:rFonts w:ascii="Times New Roman" w:hAnsi="Times New Roman"/>
          <w:color w:val="002060"/>
          <w:szCs w:val="20"/>
        </w:rPr>
      </w:pPr>
      <w:r w:rsidRPr="00FA3856">
        <w:rPr>
          <w:rFonts w:ascii="Times New Roman" w:hAnsi="Times New Roman"/>
          <w:color w:val="002060"/>
          <w:szCs w:val="20"/>
        </w:rPr>
        <w:t>|1|: Código da linha.</w:t>
      </w:r>
    </w:p>
    <w:p w:rsidR="000E25DC" w:rsidRPr="00FA3856" w:rsidRDefault="000E25DC" w:rsidP="000E25DC">
      <w:pPr>
        <w:pStyle w:val="Corpodetexto"/>
        <w:ind w:firstLine="708"/>
        <w:rPr>
          <w:rFonts w:ascii="Times New Roman" w:hAnsi="Times New Roman"/>
          <w:color w:val="002060"/>
          <w:szCs w:val="20"/>
        </w:rPr>
      </w:pPr>
      <w:r w:rsidRPr="00FA3856">
        <w:rPr>
          <w:rFonts w:ascii="Times New Roman" w:hAnsi="Times New Roman"/>
          <w:color w:val="002060"/>
          <w:szCs w:val="20"/>
        </w:rPr>
        <w:t>|</w:t>
      </w:r>
      <w:r w:rsidR="002D2DA2" w:rsidRPr="00FA3856">
        <w:rPr>
          <w:rFonts w:ascii="Times New Roman" w:hAnsi="Times New Roman"/>
          <w:color w:val="002060"/>
          <w:szCs w:val="20"/>
        </w:rPr>
        <w:t>ZPE (LEI Nº 11.508/2007, ALTERADA PELA LEI Nº 11.732/2008)</w:t>
      </w:r>
      <w:r w:rsidRPr="00FA3856">
        <w:rPr>
          <w:rFonts w:ascii="Times New Roman" w:hAnsi="Times New Roman"/>
          <w:color w:val="002060"/>
          <w:szCs w:val="20"/>
        </w:rPr>
        <w:t>|: Descrição da linha.</w:t>
      </w:r>
    </w:p>
    <w:p w:rsidR="000E25DC" w:rsidRPr="00FA3856" w:rsidRDefault="000E25DC" w:rsidP="000E25DC">
      <w:pPr>
        <w:pStyle w:val="Corpodetexto"/>
        <w:ind w:firstLine="708"/>
        <w:rPr>
          <w:rFonts w:ascii="Times New Roman" w:hAnsi="Times New Roman"/>
          <w:color w:val="002060"/>
          <w:szCs w:val="20"/>
        </w:rPr>
      </w:pPr>
      <w:r w:rsidRPr="00FA3856">
        <w:rPr>
          <w:rFonts w:ascii="Times New Roman" w:hAnsi="Times New Roman"/>
          <w:color w:val="002060"/>
          <w:szCs w:val="20"/>
        </w:rPr>
        <w:t>||: Valor da linha (como a linha corresponde a um rótulo – R – não há valor).</w:t>
      </w:r>
    </w:p>
    <w:p w:rsidR="000E25DC" w:rsidRPr="00FA3856" w:rsidRDefault="000E25DC" w:rsidP="00770A40">
      <w:pPr>
        <w:rPr>
          <w:bCs/>
          <w:szCs w:val="20"/>
        </w:rPr>
      </w:pPr>
    </w:p>
    <w:p w:rsidR="002D2DA2" w:rsidRPr="00FA3856" w:rsidRDefault="002D2DA2" w:rsidP="002D2DA2">
      <w:pPr>
        <w:pStyle w:val="Corpodetexto"/>
        <w:rPr>
          <w:rFonts w:ascii="Times New Roman" w:hAnsi="Times New Roman"/>
          <w:b/>
          <w:color w:val="002060"/>
          <w:szCs w:val="20"/>
        </w:rPr>
      </w:pPr>
      <w:r w:rsidRPr="00FA3856">
        <w:rPr>
          <w:rFonts w:ascii="Times New Roman" w:hAnsi="Times New Roman"/>
          <w:b/>
          <w:color w:val="002060"/>
          <w:szCs w:val="20"/>
        </w:rPr>
        <w:t>|X500|13|Suspensão do IPI sobre Aquisições de Mercadorias entre Empresas Autorizadas a Operar em ZPE (art. 18, § 5º)|100000,00|</w:t>
      </w:r>
    </w:p>
    <w:p w:rsidR="002D2DA2" w:rsidRPr="00FA3856" w:rsidRDefault="002D2DA2" w:rsidP="002D2DA2">
      <w:pPr>
        <w:pStyle w:val="Corpodetexto"/>
        <w:ind w:firstLine="708"/>
        <w:rPr>
          <w:rFonts w:ascii="Times New Roman" w:hAnsi="Times New Roman"/>
          <w:color w:val="002060"/>
          <w:szCs w:val="20"/>
        </w:rPr>
      </w:pPr>
      <w:r w:rsidRPr="00FA3856">
        <w:rPr>
          <w:rFonts w:ascii="Times New Roman" w:hAnsi="Times New Roman"/>
          <w:color w:val="002060"/>
          <w:szCs w:val="20"/>
        </w:rPr>
        <w:t>|X500|: Identificação do tipo do registro.</w:t>
      </w:r>
    </w:p>
    <w:p w:rsidR="002D2DA2" w:rsidRPr="00FA3856" w:rsidRDefault="002D2DA2" w:rsidP="002D2DA2">
      <w:pPr>
        <w:pStyle w:val="Corpodetexto"/>
        <w:ind w:firstLine="708"/>
        <w:rPr>
          <w:rFonts w:ascii="Times New Roman" w:hAnsi="Times New Roman"/>
          <w:color w:val="002060"/>
          <w:szCs w:val="20"/>
        </w:rPr>
      </w:pPr>
      <w:r w:rsidRPr="00FA3856">
        <w:rPr>
          <w:rFonts w:ascii="Times New Roman" w:hAnsi="Times New Roman"/>
          <w:color w:val="002060"/>
          <w:szCs w:val="20"/>
        </w:rPr>
        <w:t>|13|: Código da linha.</w:t>
      </w:r>
    </w:p>
    <w:p w:rsidR="002D2DA2" w:rsidRPr="00FA3856" w:rsidRDefault="002D2DA2" w:rsidP="002D2DA2">
      <w:pPr>
        <w:pStyle w:val="Corpodetexto"/>
        <w:ind w:firstLine="708"/>
        <w:rPr>
          <w:rFonts w:ascii="Times New Roman" w:hAnsi="Times New Roman"/>
          <w:color w:val="002060"/>
          <w:szCs w:val="20"/>
        </w:rPr>
      </w:pPr>
      <w:r w:rsidRPr="00FA3856">
        <w:rPr>
          <w:rFonts w:ascii="Times New Roman" w:hAnsi="Times New Roman"/>
          <w:color w:val="002060"/>
          <w:szCs w:val="20"/>
        </w:rPr>
        <w:t>|Suspensão do IPI sobre Aquisições de Mercadorias entre Empresas Autorizadas a Operar em ZPE (art. 18, § 5º)|: Descrição da linha.</w:t>
      </w:r>
    </w:p>
    <w:p w:rsidR="002D2DA2" w:rsidRPr="00FA3856" w:rsidRDefault="002D2DA2" w:rsidP="002D2DA2">
      <w:pPr>
        <w:pStyle w:val="Corpodetexto"/>
        <w:ind w:firstLine="708"/>
        <w:rPr>
          <w:rFonts w:ascii="Times New Roman" w:hAnsi="Times New Roman"/>
          <w:color w:val="002060"/>
          <w:szCs w:val="20"/>
        </w:rPr>
      </w:pPr>
      <w:r w:rsidRPr="00FA3856">
        <w:rPr>
          <w:rFonts w:ascii="Times New Roman" w:hAnsi="Times New Roman"/>
          <w:color w:val="002060"/>
          <w:szCs w:val="20"/>
        </w:rPr>
        <w:t>|100000,00|: Valor da linha (R$ 100.000,00).</w:t>
      </w:r>
    </w:p>
    <w:p w:rsidR="002D2DA2" w:rsidRPr="00FA3856" w:rsidRDefault="002D2DA2" w:rsidP="002D2DA2">
      <w:pPr>
        <w:rPr>
          <w:bCs/>
          <w:szCs w:val="20"/>
        </w:rPr>
      </w:pPr>
    </w:p>
    <w:p w:rsidR="00770A40" w:rsidRPr="00FA3856" w:rsidRDefault="00770A40" w:rsidP="00770A40">
      <w:pPr>
        <w:rPr>
          <w:bCs/>
          <w:szCs w:val="20"/>
        </w:rPr>
      </w:pPr>
    </w:p>
    <w:p w:rsidR="002D2DA2" w:rsidRPr="00FA3856" w:rsidRDefault="002D2DA2">
      <w:pPr>
        <w:spacing w:after="200" w:line="276" w:lineRule="auto"/>
        <w:rPr>
          <w:b/>
          <w:bCs/>
          <w:color w:val="0000FF"/>
          <w:szCs w:val="20"/>
        </w:rPr>
      </w:pPr>
      <w:r w:rsidRPr="00FA3856">
        <w:rPr>
          <w:color w:val="0000FF"/>
          <w:szCs w:val="20"/>
        </w:rPr>
        <w:br w:type="page"/>
      </w:r>
    </w:p>
    <w:p w:rsidR="00E03E5B" w:rsidRPr="00FA3856" w:rsidRDefault="00E03E5B" w:rsidP="00867F54">
      <w:pPr>
        <w:pStyle w:val="Ttulo4"/>
      </w:pPr>
      <w:bookmarkStart w:id="416" w:name="_Toc479713819"/>
      <w:r w:rsidRPr="00FA3856">
        <w:lastRenderedPageBreak/>
        <w:t>Registro X510: Áreas de Livre Comércio (ALC)</w:t>
      </w:r>
      <w:bookmarkEnd w:id="416"/>
    </w:p>
    <w:p w:rsidR="00E03E5B" w:rsidRPr="00FA3856" w:rsidRDefault="00E03E5B" w:rsidP="00E03E5B">
      <w:pPr>
        <w:rPr>
          <w:bCs/>
          <w:szCs w:val="20"/>
        </w:rPr>
      </w:pPr>
    </w:p>
    <w:p w:rsidR="00C77098" w:rsidRPr="00FA3856" w:rsidRDefault="00E03E5B" w:rsidP="00121CF9">
      <w:pPr>
        <w:pStyle w:val="NormalWeb"/>
        <w:spacing w:before="0" w:after="0"/>
        <w:jc w:val="both"/>
        <w:rPr>
          <w:rFonts w:ascii="Times New Roman" w:eastAsia="Times New Roman" w:hAnsi="Times New Roman" w:cs="Times New Roman"/>
          <w:szCs w:val="20"/>
          <w:lang w:eastAsia="pt-BR"/>
        </w:rPr>
      </w:pPr>
      <w:r w:rsidRPr="00FA3856">
        <w:rPr>
          <w:rFonts w:ascii="Times New Roman" w:hAnsi="Times New Roman" w:cs="Times New Roman"/>
          <w:bCs/>
          <w:szCs w:val="20"/>
        </w:rPr>
        <w:tab/>
      </w:r>
      <w:r w:rsidR="00C77098" w:rsidRPr="00FA3856">
        <w:rPr>
          <w:rFonts w:ascii="Times New Roman" w:eastAsia="Times New Roman" w:hAnsi="Times New Roman" w:cs="Times New Roman"/>
          <w:szCs w:val="20"/>
          <w:lang w:eastAsia="pt-BR"/>
        </w:rPr>
        <w:t>Este registro deverá ser preenchido pelas pessoas jurídicas autorizadas a operar nas Áreas de Livre Comércio</w:t>
      </w:r>
      <w:r w:rsidR="00121CF9" w:rsidRPr="00FA3856">
        <w:rPr>
          <w:rFonts w:ascii="Times New Roman" w:eastAsia="Times New Roman" w:hAnsi="Times New Roman" w:cs="Times New Roman"/>
          <w:szCs w:val="20"/>
          <w:lang w:eastAsia="pt-BR"/>
        </w:rPr>
        <w:t xml:space="preserve"> (ALC)</w:t>
      </w:r>
      <w:r w:rsidR="00C77098" w:rsidRPr="00FA3856">
        <w:rPr>
          <w:rFonts w:ascii="Times New Roman" w:eastAsia="Times New Roman" w:hAnsi="Times New Roman" w:cs="Times New Roman"/>
          <w:szCs w:val="20"/>
          <w:lang w:eastAsia="pt-BR"/>
        </w:rPr>
        <w:t xml:space="preserve"> de Boa Vista, Bonfim, Tabatinga, Macapá e Santana, Brasiléia, Cruzeiro do Sul ou Guajará-Mirim, beneficiárias dos incentivos de que tratam a Lei n</w:t>
      </w:r>
      <w:r w:rsidR="00C77098" w:rsidRPr="00FA3856">
        <w:rPr>
          <w:rFonts w:ascii="Times New Roman" w:eastAsia="Times New Roman" w:hAnsi="Times New Roman" w:cs="Times New Roman"/>
          <w:szCs w:val="20"/>
          <w:u w:val="single"/>
          <w:vertAlign w:val="superscript"/>
          <w:lang w:eastAsia="pt-BR"/>
        </w:rPr>
        <w:t>o</w:t>
      </w:r>
      <w:r w:rsidR="00C77098" w:rsidRPr="00FA3856">
        <w:rPr>
          <w:rFonts w:ascii="Times New Roman" w:eastAsia="Times New Roman" w:hAnsi="Times New Roman" w:cs="Times New Roman"/>
          <w:szCs w:val="20"/>
          <w:lang w:eastAsia="pt-BR"/>
        </w:rPr>
        <w:t xml:space="preserve"> 8.256, de 25 de novembro de 1991, a Lei n</w:t>
      </w:r>
      <w:r w:rsidR="00C77098" w:rsidRPr="00FA3856">
        <w:rPr>
          <w:rFonts w:ascii="Times New Roman" w:eastAsia="Times New Roman" w:hAnsi="Times New Roman" w:cs="Times New Roman"/>
          <w:szCs w:val="20"/>
          <w:u w:val="single"/>
          <w:vertAlign w:val="superscript"/>
          <w:lang w:eastAsia="pt-BR"/>
        </w:rPr>
        <w:t>o</w:t>
      </w:r>
      <w:r w:rsidR="00C77098" w:rsidRPr="00FA3856">
        <w:rPr>
          <w:rFonts w:ascii="Times New Roman" w:eastAsia="Times New Roman" w:hAnsi="Times New Roman" w:cs="Times New Roman"/>
          <w:szCs w:val="20"/>
          <w:lang w:eastAsia="pt-BR"/>
        </w:rPr>
        <w:t xml:space="preserve"> 11.732, de 30 de junho de 2008, a Lei n</w:t>
      </w:r>
      <w:r w:rsidR="00C77098" w:rsidRPr="00FA3856">
        <w:rPr>
          <w:rFonts w:ascii="Times New Roman" w:eastAsia="Times New Roman" w:hAnsi="Times New Roman" w:cs="Times New Roman"/>
          <w:szCs w:val="20"/>
          <w:u w:val="single"/>
          <w:vertAlign w:val="superscript"/>
          <w:lang w:eastAsia="pt-BR"/>
        </w:rPr>
        <w:t>o</w:t>
      </w:r>
      <w:r w:rsidR="00C77098" w:rsidRPr="00FA3856">
        <w:rPr>
          <w:rFonts w:ascii="Times New Roman" w:eastAsia="Times New Roman" w:hAnsi="Times New Roman" w:cs="Times New Roman"/>
          <w:szCs w:val="20"/>
          <w:lang w:eastAsia="pt-BR"/>
        </w:rPr>
        <w:t xml:space="preserve"> 7.965, de 22 de dezembro de 1989, a Lei n</w:t>
      </w:r>
      <w:r w:rsidR="00C77098" w:rsidRPr="00FA3856">
        <w:rPr>
          <w:rFonts w:ascii="Times New Roman" w:eastAsia="Times New Roman" w:hAnsi="Times New Roman" w:cs="Times New Roman"/>
          <w:szCs w:val="20"/>
          <w:u w:val="single"/>
          <w:vertAlign w:val="superscript"/>
          <w:lang w:eastAsia="pt-BR"/>
        </w:rPr>
        <w:t>o</w:t>
      </w:r>
      <w:r w:rsidR="00C77098" w:rsidRPr="00FA3856">
        <w:rPr>
          <w:rFonts w:ascii="Times New Roman" w:eastAsia="Times New Roman" w:hAnsi="Times New Roman" w:cs="Times New Roman"/>
          <w:szCs w:val="20"/>
          <w:lang w:eastAsia="pt-BR"/>
        </w:rPr>
        <w:t xml:space="preserve"> 8.387, de 30 de dezembro de 1991, o Decreto n</w:t>
      </w:r>
      <w:r w:rsidR="00C77098" w:rsidRPr="00FA3856">
        <w:rPr>
          <w:rFonts w:ascii="Times New Roman" w:eastAsia="Times New Roman" w:hAnsi="Times New Roman" w:cs="Times New Roman"/>
          <w:szCs w:val="20"/>
          <w:u w:val="single"/>
          <w:vertAlign w:val="superscript"/>
          <w:lang w:eastAsia="pt-BR"/>
        </w:rPr>
        <w:t>o</w:t>
      </w:r>
      <w:r w:rsidR="00C77098" w:rsidRPr="00FA3856">
        <w:rPr>
          <w:rFonts w:ascii="Times New Roman" w:eastAsia="Times New Roman" w:hAnsi="Times New Roman" w:cs="Times New Roman"/>
          <w:szCs w:val="20"/>
          <w:lang w:eastAsia="pt-BR"/>
        </w:rPr>
        <w:t xml:space="preserve"> 517, de 8 de maio de 1992, a Lei n</w:t>
      </w:r>
      <w:r w:rsidR="00C77098" w:rsidRPr="00FA3856">
        <w:rPr>
          <w:rFonts w:ascii="Times New Roman" w:eastAsia="Times New Roman" w:hAnsi="Times New Roman" w:cs="Times New Roman"/>
          <w:szCs w:val="20"/>
          <w:u w:val="single"/>
          <w:vertAlign w:val="superscript"/>
          <w:lang w:eastAsia="pt-BR"/>
        </w:rPr>
        <w:t>o</w:t>
      </w:r>
      <w:r w:rsidR="00C77098" w:rsidRPr="00FA3856">
        <w:rPr>
          <w:rFonts w:ascii="Times New Roman" w:eastAsia="Times New Roman" w:hAnsi="Times New Roman" w:cs="Times New Roman"/>
          <w:szCs w:val="20"/>
          <w:lang w:eastAsia="pt-BR"/>
        </w:rPr>
        <w:t xml:space="preserve"> 8.857, de 8 de março de 1994, e a Lei n</w:t>
      </w:r>
      <w:r w:rsidR="00C77098" w:rsidRPr="00FA3856">
        <w:rPr>
          <w:rFonts w:ascii="Times New Roman" w:eastAsia="Times New Roman" w:hAnsi="Times New Roman" w:cs="Times New Roman"/>
          <w:szCs w:val="20"/>
          <w:u w:val="single"/>
          <w:vertAlign w:val="superscript"/>
          <w:lang w:eastAsia="pt-BR"/>
        </w:rPr>
        <w:t>o</w:t>
      </w:r>
      <w:r w:rsidR="00C77098" w:rsidRPr="00FA3856">
        <w:rPr>
          <w:rFonts w:ascii="Times New Roman" w:eastAsia="Times New Roman" w:hAnsi="Times New Roman" w:cs="Times New Roman"/>
          <w:szCs w:val="20"/>
          <w:lang w:eastAsia="pt-BR"/>
        </w:rPr>
        <w:t xml:space="preserve"> 8.210, de 19 de julho de 1991, e alterações posteriores.</w:t>
      </w:r>
    </w:p>
    <w:p w:rsidR="00E03E5B" w:rsidRDefault="00E03E5B" w:rsidP="00E03E5B">
      <w:pPr>
        <w:rPr>
          <w:b/>
          <w:szCs w:val="20"/>
          <w:lang w:val="pt-PT"/>
        </w:rPr>
      </w:pPr>
    </w:p>
    <w:p w:rsidR="00681EB4" w:rsidRPr="00FA3856" w:rsidRDefault="00B35FA3" w:rsidP="00681EB4">
      <w:pPr>
        <w:jc w:val="center"/>
        <w:rPr>
          <w:b/>
          <w:szCs w:val="20"/>
          <w:lang w:val="pt-PT"/>
        </w:rPr>
      </w:pPr>
      <w:r>
        <w:rPr>
          <w:b/>
          <w:szCs w:val="20"/>
          <w:lang w:val="pt-PT"/>
        </w:rPr>
        <w:object w:dxaOrig="13920" w:dyaOrig="4665">
          <v:shape id="_x0000_i2035" type="#_x0000_t75" style="width:743.25pt;height:227.25pt" o:ole="">
            <v:imagedata r:id="rId822" o:title=""/>
          </v:shape>
          <o:OLEObject Type="Link" ProgID="Excel.Sheet.12" ShapeID="_x0000_i2035" DrawAspect="Content" r:id="rId823" UpdateMode="Always">
            <o:LinkType>EnhancedMetaFile</o:LinkType>
            <o:LockedField>false</o:LockedField>
          </o:OLEObject>
        </w:object>
      </w:r>
    </w:p>
    <w:p w:rsidR="00681EB4" w:rsidRDefault="00681EB4" w:rsidP="00FE5D23">
      <w:pPr>
        <w:rPr>
          <w:b/>
          <w:szCs w:val="20"/>
          <w:lang w:val="pt-PT"/>
        </w:rPr>
      </w:pPr>
    </w:p>
    <w:p w:rsidR="00FE5D23" w:rsidRPr="00FA3856" w:rsidRDefault="00FE5D23" w:rsidP="00FE5D23">
      <w:pPr>
        <w:rPr>
          <w:b/>
          <w:szCs w:val="20"/>
          <w:lang w:val="pt-PT"/>
        </w:rPr>
      </w:pPr>
      <w:r w:rsidRPr="00FA3856">
        <w:rPr>
          <w:b/>
          <w:szCs w:val="20"/>
          <w:lang w:val="pt-PT"/>
        </w:rPr>
        <w:t>I – Regras de Validação do Registro:</w:t>
      </w:r>
    </w:p>
    <w:p w:rsidR="00FE5D23" w:rsidRPr="00FA3856" w:rsidRDefault="00FE5D23" w:rsidP="00FE5D23">
      <w:pPr>
        <w:rPr>
          <w:b/>
          <w:szCs w:val="20"/>
          <w:lang w:val="pt-PT"/>
        </w:rPr>
      </w:pPr>
    </w:p>
    <w:p w:rsidR="00FE5D23" w:rsidRPr="00FA3856" w:rsidRDefault="007D0E74" w:rsidP="00FE5D23">
      <w:pPr>
        <w:pStyle w:val="Corpodetexto"/>
        <w:ind w:left="708" w:firstLine="12"/>
        <w:rPr>
          <w:rFonts w:ascii="Times New Roman" w:hAnsi="Times New Roman"/>
          <w:szCs w:val="20"/>
        </w:rPr>
      </w:pPr>
      <w:hyperlink r:id="rId824" w:anchor="REGRA_OCORRENCIA_UNITARIA_ARQ" w:history="1">
        <w:r w:rsidR="00FE5D23" w:rsidRPr="00FA3856">
          <w:rPr>
            <w:rFonts w:ascii="Times New Roman" w:hAnsi="Times New Roman"/>
            <w:b/>
            <w:szCs w:val="20"/>
          </w:rPr>
          <w:t>REGRA_</w:t>
        </w:r>
      </w:hyperlink>
      <w:r w:rsidR="00FE5D23" w:rsidRPr="00FA3856">
        <w:rPr>
          <w:rFonts w:ascii="Times New Roman" w:hAnsi="Times New Roman"/>
          <w:b/>
          <w:szCs w:val="20"/>
        </w:rPr>
        <w:t>DUPLICIDADE_DESPREZADA</w:t>
      </w:r>
      <w:r w:rsidR="00FE5D23" w:rsidRPr="00FA3856">
        <w:rPr>
          <w:rFonts w:ascii="Times New Roman" w:hAnsi="Times New Roman"/>
          <w:color w:val="auto"/>
          <w:szCs w:val="20"/>
        </w:rPr>
        <w:t xml:space="preserve">: </w:t>
      </w:r>
      <w:r w:rsidR="00FE5D23" w:rsidRPr="00FA3856">
        <w:rPr>
          <w:rFonts w:ascii="Times New Roman" w:hAnsi="Times New Roman"/>
          <w:szCs w:val="20"/>
        </w:rPr>
        <w:t>Verifica se o registro já foi importado anteriormente, de acordo com a chave e os registros pais. Se a regra não for cumprida, a ECF gera um aviso.</w:t>
      </w:r>
    </w:p>
    <w:p w:rsidR="00FE5D23" w:rsidRPr="00FA3856" w:rsidRDefault="00FE5D23" w:rsidP="00FE5D23">
      <w:pPr>
        <w:pStyle w:val="Corpodetexto"/>
        <w:ind w:left="708" w:firstLine="12"/>
        <w:rPr>
          <w:rFonts w:ascii="Times New Roman" w:hAnsi="Times New Roman"/>
          <w:szCs w:val="20"/>
        </w:rPr>
      </w:pPr>
    </w:p>
    <w:p w:rsidR="00FE5D23" w:rsidRPr="00FA3856" w:rsidRDefault="007D0E74" w:rsidP="00FE5D23">
      <w:pPr>
        <w:pStyle w:val="Corpodetexto"/>
        <w:ind w:left="708" w:firstLine="12"/>
        <w:rPr>
          <w:rFonts w:ascii="Times New Roman" w:hAnsi="Times New Roman"/>
          <w:szCs w:val="20"/>
        </w:rPr>
      </w:pPr>
      <w:hyperlink r:id="rId825" w:anchor="REGRA_OCORRENCIA_UNITARIA_ARQ" w:history="1">
        <w:r w:rsidR="00FE5D23" w:rsidRPr="00FA3856">
          <w:rPr>
            <w:rFonts w:ascii="Times New Roman" w:hAnsi="Times New Roman"/>
            <w:b/>
            <w:szCs w:val="20"/>
          </w:rPr>
          <w:t>REGRA_</w:t>
        </w:r>
      </w:hyperlink>
      <w:r w:rsidR="00FE5D23" w:rsidRPr="00FA3856">
        <w:rPr>
          <w:rFonts w:ascii="Times New Roman" w:hAnsi="Times New Roman"/>
          <w:b/>
          <w:szCs w:val="20"/>
        </w:rPr>
        <w:t>LINHA_DESPREZADA</w:t>
      </w:r>
      <w:r w:rsidR="00FE5D23" w:rsidRPr="00FA3856">
        <w:rPr>
          <w:rFonts w:ascii="Times New Roman" w:hAnsi="Times New Roman"/>
          <w:color w:val="auto"/>
          <w:szCs w:val="20"/>
        </w:rPr>
        <w:t xml:space="preserve">: </w:t>
      </w:r>
      <w:r w:rsidR="00FE5D23" w:rsidRPr="00FA3856">
        <w:rPr>
          <w:rFonts w:ascii="Times New Roman" w:hAnsi="Times New Roman"/>
          <w:szCs w:val="20"/>
        </w:rPr>
        <w:t>Verifica se o registro existe na importação, mas não será importado por não existir na tabela dinâmica devido às configurações do bloco 0 ou da tabela dinâmica. Gera um aviso.</w:t>
      </w:r>
    </w:p>
    <w:p w:rsidR="00FE5D23" w:rsidRPr="00FA3856" w:rsidRDefault="00FE5D23" w:rsidP="00FE5D23">
      <w:pPr>
        <w:pStyle w:val="Corpodetexto"/>
        <w:ind w:left="708" w:firstLine="12"/>
        <w:rPr>
          <w:rFonts w:ascii="Times New Roman" w:hAnsi="Times New Roman"/>
          <w:b/>
          <w:szCs w:val="20"/>
        </w:rPr>
      </w:pPr>
    </w:p>
    <w:p w:rsidR="00FE5D23" w:rsidRPr="00FA3856" w:rsidRDefault="007D0E74" w:rsidP="00FE5D23">
      <w:pPr>
        <w:pStyle w:val="Corpodetexto"/>
        <w:ind w:left="708" w:firstLine="12"/>
        <w:rPr>
          <w:rFonts w:ascii="Times New Roman" w:hAnsi="Times New Roman"/>
          <w:b/>
          <w:szCs w:val="20"/>
        </w:rPr>
      </w:pPr>
      <w:hyperlink r:id="rId826" w:anchor="REGRA_OCORRENCIA_UNITARIA_ARQ" w:history="1">
        <w:r w:rsidR="00FE5D23" w:rsidRPr="00FA3856">
          <w:rPr>
            <w:rFonts w:ascii="Times New Roman" w:hAnsi="Times New Roman"/>
            <w:b/>
            <w:szCs w:val="20"/>
          </w:rPr>
          <w:t>REGRA_</w:t>
        </w:r>
      </w:hyperlink>
      <w:r w:rsidR="00FE5D23" w:rsidRPr="00FA3856">
        <w:rPr>
          <w:rFonts w:ascii="Times New Roman" w:hAnsi="Times New Roman"/>
          <w:b/>
          <w:szCs w:val="20"/>
        </w:rPr>
        <w:t>LINHA_ATUALIZADA</w:t>
      </w:r>
      <w:r w:rsidR="00FE5D23" w:rsidRPr="00FA3856">
        <w:rPr>
          <w:rFonts w:ascii="Times New Roman" w:hAnsi="Times New Roman"/>
          <w:color w:val="auto"/>
          <w:szCs w:val="20"/>
        </w:rPr>
        <w:t xml:space="preserve">: </w:t>
      </w:r>
      <w:r w:rsidR="00FE5D23" w:rsidRPr="00FA3856">
        <w:rPr>
          <w:rFonts w:ascii="Times New Roman" w:hAnsi="Times New Roman"/>
          <w:szCs w:val="20"/>
        </w:rPr>
        <w:t>Verifica se o registro está desatualizado em relação à tabela da RFB. Gera um aviso.</w:t>
      </w:r>
    </w:p>
    <w:p w:rsidR="00FE5D23" w:rsidRPr="00FA3856" w:rsidRDefault="00FE5D23" w:rsidP="00E03E5B">
      <w:pPr>
        <w:rPr>
          <w:b/>
          <w:szCs w:val="20"/>
          <w:lang w:val="pt-PT"/>
        </w:rPr>
      </w:pPr>
    </w:p>
    <w:p w:rsidR="00121CF9" w:rsidRPr="00FA3856" w:rsidRDefault="00121CF9">
      <w:pPr>
        <w:spacing w:after="200" w:line="276" w:lineRule="auto"/>
        <w:rPr>
          <w:b/>
          <w:szCs w:val="20"/>
          <w:lang w:val="pt-PT"/>
        </w:rPr>
      </w:pPr>
      <w:r w:rsidRPr="00FA3856">
        <w:rPr>
          <w:b/>
          <w:szCs w:val="20"/>
          <w:lang w:val="pt-PT"/>
        </w:rPr>
        <w:br w:type="page"/>
      </w:r>
    </w:p>
    <w:p w:rsidR="00E03E5B" w:rsidRPr="00FA3856" w:rsidRDefault="00783761" w:rsidP="00E03E5B">
      <w:pPr>
        <w:rPr>
          <w:b/>
          <w:szCs w:val="20"/>
          <w:lang w:val="pt-PT"/>
        </w:rPr>
      </w:pPr>
      <w:r w:rsidRPr="00FA3856">
        <w:rPr>
          <w:b/>
          <w:szCs w:val="20"/>
          <w:lang w:val="pt-PT"/>
        </w:rPr>
        <w:lastRenderedPageBreak/>
        <w:t>I</w:t>
      </w:r>
      <w:r w:rsidR="00E03E5B" w:rsidRPr="00FA3856">
        <w:rPr>
          <w:b/>
          <w:szCs w:val="20"/>
          <w:lang w:val="pt-PT"/>
        </w:rPr>
        <w:t>I – Regras de Validação de Campos:</w:t>
      </w:r>
    </w:p>
    <w:p w:rsidR="00E03E5B" w:rsidRPr="00FA3856" w:rsidRDefault="00E03E5B" w:rsidP="00E03E5B">
      <w:pPr>
        <w:rPr>
          <w:b/>
          <w:szCs w:val="20"/>
          <w:lang w:val="pt-PT"/>
        </w:rPr>
      </w:pPr>
    </w:p>
    <w:tbl>
      <w:tblPr>
        <w:tblW w:w="15367"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85"/>
        <w:gridCol w:w="3000"/>
        <w:gridCol w:w="11165"/>
        <w:gridCol w:w="717"/>
      </w:tblGrid>
      <w:tr w:rsidR="00E03E5B" w:rsidRPr="00FA3856" w:rsidTr="005230F0">
        <w:trPr>
          <w:jc w:val="center"/>
        </w:trPr>
        <w:tc>
          <w:tcPr>
            <w:tcW w:w="485" w:type="dxa"/>
            <w:tcBorders>
              <w:top w:val="single" w:sz="6" w:space="0" w:color="auto"/>
              <w:left w:val="single" w:sz="6" w:space="0" w:color="auto"/>
              <w:bottom w:val="single" w:sz="6" w:space="0" w:color="auto"/>
              <w:right w:val="single" w:sz="6" w:space="0" w:color="auto"/>
            </w:tcBorders>
            <w:shd w:val="pct10" w:color="auto" w:fill="FFFFFF"/>
          </w:tcPr>
          <w:p w:rsidR="00E03E5B" w:rsidRPr="00FA3856" w:rsidRDefault="00E03E5B" w:rsidP="00353C1C">
            <w:pPr>
              <w:pStyle w:val="PSDS-CorpodeTexto0"/>
              <w:jc w:val="center"/>
              <w:rPr>
                <w:rFonts w:ascii="Times New Roman" w:hAnsi="Times New Roman"/>
                <w:b/>
                <w:bCs/>
              </w:rPr>
            </w:pPr>
            <w:r w:rsidRPr="00FA3856">
              <w:rPr>
                <w:rFonts w:ascii="Times New Roman" w:hAnsi="Times New Roman"/>
                <w:b/>
                <w:bCs/>
              </w:rPr>
              <w:t>Nº</w:t>
            </w:r>
          </w:p>
        </w:tc>
        <w:tc>
          <w:tcPr>
            <w:tcW w:w="3000" w:type="dxa"/>
            <w:tcBorders>
              <w:top w:val="single" w:sz="6" w:space="0" w:color="auto"/>
              <w:left w:val="single" w:sz="6" w:space="0" w:color="auto"/>
              <w:bottom w:val="single" w:sz="6" w:space="0" w:color="auto"/>
              <w:right w:val="single" w:sz="6" w:space="0" w:color="auto"/>
            </w:tcBorders>
            <w:shd w:val="pct10" w:color="auto" w:fill="FFFFFF"/>
          </w:tcPr>
          <w:p w:rsidR="00E03E5B" w:rsidRPr="00FA3856" w:rsidRDefault="00E03E5B" w:rsidP="00353C1C">
            <w:pPr>
              <w:pStyle w:val="PSDS-CorpodeTexto0"/>
              <w:jc w:val="center"/>
              <w:rPr>
                <w:rFonts w:ascii="Times New Roman" w:hAnsi="Times New Roman"/>
                <w:b/>
                <w:bCs/>
              </w:rPr>
            </w:pPr>
            <w:r w:rsidRPr="00FA3856">
              <w:rPr>
                <w:rFonts w:ascii="Times New Roman" w:hAnsi="Times New Roman"/>
                <w:b/>
                <w:bCs/>
              </w:rPr>
              <w:t>Campo</w:t>
            </w:r>
          </w:p>
        </w:tc>
        <w:tc>
          <w:tcPr>
            <w:tcW w:w="11165" w:type="dxa"/>
            <w:tcBorders>
              <w:top w:val="single" w:sz="6" w:space="0" w:color="auto"/>
              <w:left w:val="single" w:sz="6" w:space="0" w:color="auto"/>
              <w:bottom w:val="single" w:sz="6" w:space="0" w:color="auto"/>
              <w:right w:val="single" w:sz="6" w:space="0" w:color="auto"/>
            </w:tcBorders>
            <w:shd w:val="pct10" w:color="auto" w:fill="FFFFFF"/>
          </w:tcPr>
          <w:p w:rsidR="00E03E5B" w:rsidRPr="00FA3856" w:rsidRDefault="00E03E5B" w:rsidP="00353C1C">
            <w:pPr>
              <w:pStyle w:val="PSDS-CorpodeTexto0"/>
              <w:jc w:val="center"/>
              <w:rPr>
                <w:rFonts w:ascii="Times New Roman" w:hAnsi="Times New Roman"/>
                <w:b/>
                <w:bCs/>
              </w:rPr>
            </w:pPr>
            <w:r w:rsidRPr="00FA3856">
              <w:rPr>
                <w:rFonts w:ascii="Times New Roman" w:hAnsi="Times New Roman"/>
                <w:b/>
                <w:bCs/>
              </w:rPr>
              <w:t>Regras de Validação do Campo</w:t>
            </w:r>
          </w:p>
        </w:tc>
        <w:tc>
          <w:tcPr>
            <w:tcW w:w="717" w:type="dxa"/>
            <w:tcBorders>
              <w:top w:val="single" w:sz="6" w:space="0" w:color="auto"/>
              <w:left w:val="single" w:sz="6" w:space="0" w:color="auto"/>
              <w:bottom w:val="single" w:sz="6" w:space="0" w:color="auto"/>
              <w:right w:val="single" w:sz="6" w:space="0" w:color="auto"/>
            </w:tcBorders>
            <w:shd w:val="pct10" w:color="auto" w:fill="FFFFFF"/>
          </w:tcPr>
          <w:p w:rsidR="00E03E5B" w:rsidRPr="00FA3856" w:rsidRDefault="00E03E5B" w:rsidP="00353C1C">
            <w:pPr>
              <w:pStyle w:val="PSDS-CorpodeTexto0"/>
              <w:jc w:val="center"/>
              <w:rPr>
                <w:rFonts w:ascii="Times New Roman" w:hAnsi="Times New Roman"/>
                <w:b/>
                <w:bCs/>
              </w:rPr>
            </w:pPr>
            <w:r w:rsidRPr="00FA3856">
              <w:rPr>
                <w:rFonts w:ascii="Times New Roman" w:hAnsi="Times New Roman"/>
                <w:b/>
                <w:bCs/>
              </w:rPr>
              <w:t>Tipo</w:t>
            </w:r>
          </w:p>
        </w:tc>
      </w:tr>
      <w:tr w:rsidR="0012324D" w:rsidRPr="00FA3856" w:rsidTr="005230F0">
        <w:trPr>
          <w:jc w:val="center"/>
        </w:trPr>
        <w:tc>
          <w:tcPr>
            <w:tcW w:w="485" w:type="dxa"/>
            <w:tcBorders>
              <w:top w:val="single" w:sz="6" w:space="0" w:color="auto"/>
              <w:left w:val="single" w:sz="6" w:space="0" w:color="auto"/>
              <w:bottom w:val="single" w:sz="6" w:space="0" w:color="auto"/>
              <w:right w:val="single" w:sz="6" w:space="0" w:color="auto"/>
            </w:tcBorders>
          </w:tcPr>
          <w:p w:rsidR="0012324D" w:rsidRPr="00FA3856" w:rsidRDefault="0012324D" w:rsidP="0012324D">
            <w:pPr>
              <w:pStyle w:val="PSDS-CorpodeTexto0"/>
              <w:suppressAutoHyphens w:val="0"/>
              <w:rPr>
                <w:rFonts w:ascii="Times New Roman" w:hAnsi="Times New Roman"/>
                <w:b/>
                <w:bCs/>
                <w:lang w:val="pt-PT"/>
              </w:rPr>
            </w:pPr>
            <w:r w:rsidRPr="00FA3856">
              <w:rPr>
                <w:rFonts w:ascii="Times New Roman" w:hAnsi="Times New Roman"/>
                <w:b/>
                <w:bCs/>
                <w:lang w:val="pt-PT"/>
              </w:rPr>
              <w:t>4</w:t>
            </w:r>
          </w:p>
        </w:tc>
        <w:tc>
          <w:tcPr>
            <w:tcW w:w="3000" w:type="dxa"/>
            <w:tcBorders>
              <w:top w:val="single" w:sz="6" w:space="0" w:color="auto"/>
              <w:left w:val="single" w:sz="6" w:space="0" w:color="auto"/>
              <w:bottom w:val="single" w:sz="6" w:space="0" w:color="auto"/>
              <w:right w:val="single" w:sz="6" w:space="0" w:color="auto"/>
            </w:tcBorders>
          </w:tcPr>
          <w:p w:rsidR="0012324D" w:rsidRPr="00FA3856" w:rsidRDefault="0012324D" w:rsidP="0012324D">
            <w:pPr>
              <w:pStyle w:val="PSDS-CorpodeTexto0"/>
              <w:rPr>
                <w:rFonts w:ascii="Times New Roman" w:hAnsi="Times New Roman"/>
              </w:rPr>
            </w:pPr>
            <w:r w:rsidRPr="00FA3856">
              <w:rPr>
                <w:rFonts w:ascii="Times New Roman" w:hAnsi="Times New Roman"/>
              </w:rPr>
              <w:t>VALOR</w:t>
            </w:r>
          </w:p>
        </w:tc>
        <w:tc>
          <w:tcPr>
            <w:tcW w:w="11165" w:type="dxa"/>
            <w:tcBorders>
              <w:top w:val="single" w:sz="6" w:space="0" w:color="auto"/>
              <w:left w:val="single" w:sz="6" w:space="0" w:color="auto"/>
              <w:bottom w:val="single" w:sz="6" w:space="0" w:color="auto"/>
              <w:right w:val="single" w:sz="6" w:space="0" w:color="auto"/>
            </w:tcBorders>
          </w:tcPr>
          <w:p w:rsidR="0012324D" w:rsidRPr="00FA3856" w:rsidRDefault="0012324D" w:rsidP="0012324D">
            <w:pPr>
              <w:pStyle w:val="Corpodetexto"/>
              <w:rPr>
                <w:rFonts w:ascii="Times New Roman" w:hAnsi="Times New Roman"/>
                <w:szCs w:val="20"/>
              </w:rPr>
            </w:pPr>
            <w:r w:rsidRPr="00FA3856">
              <w:rPr>
                <w:rFonts w:ascii="Times New Roman" w:hAnsi="Times New Roman"/>
                <w:b/>
                <w:bCs/>
                <w:szCs w:val="20"/>
              </w:rPr>
              <w:t>REGRA_OBRIGATORIO_TIPO_DIFERENTE_R</w:t>
            </w:r>
            <w:r w:rsidRPr="00FA3856">
              <w:rPr>
                <w:rFonts w:ascii="Times New Roman" w:hAnsi="Times New Roman"/>
                <w:szCs w:val="20"/>
              </w:rPr>
              <w:t xml:space="preserve">: </w:t>
            </w:r>
            <w:r w:rsidRPr="00FA3856">
              <w:rPr>
                <w:rStyle w:val="Hyperlink"/>
                <w:rFonts w:ascii="Times New Roman" w:hAnsi="Times New Roman"/>
                <w:bCs/>
                <w:color w:val="auto"/>
                <w:szCs w:val="20"/>
                <w:lang w:val="pt-PT"/>
              </w:rPr>
              <w:t xml:space="preserve">Verifica se o campo está preenchido quando o tipo da linha </w:t>
            </w:r>
            <w:r w:rsidR="00C321B8" w:rsidRPr="00FA3856">
              <w:rPr>
                <w:rStyle w:val="Hyperlink"/>
                <w:rFonts w:ascii="Times New Roman" w:hAnsi="Times New Roman"/>
                <w:bCs/>
                <w:color w:val="auto"/>
                <w:szCs w:val="20"/>
                <w:lang w:val="pt-PT"/>
              </w:rPr>
              <w:t>é diferente</w:t>
            </w:r>
            <w:r w:rsidRPr="00FA3856">
              <w:rPr>
                <w:rStyle w:val="Hyperlink"/>
                <w:rFonts w:ascii="Times New Roman" w:hAnsi="Times New Roman"/>
                <w:bCs/>
                <w:color w:val="auto"/>
                <w:szCs w:val="20"/>
                <w:lang w:val="pt-PT"/>
              </w:rPr>
              <w:t xml:space="preserve"> de “R”.</w:t>
            </w:r>
          </w:p>
        </w:tc>
        <w:tc>
          <w:tcPr>
            <w:tcW w:w="717" w:type="dxa"/>
            <w:tcBorders>
              <w:top w:val="single" w:sz="6" w:space="0" w:color="auto"/>
              <w:left w:val="single" w:sz="6" w:space="0" w:color="auto"/>
              <w:bottom w:val="single" w:sz="6" w:space="0" w:color="auto"/>
              <w:right w:val="single" w:sz="6" w:space="0" w:color="auto"/>
            </w:tcBorders>
          </w:tcPr>
          <w:p w:rsidR="0012324D" w:rsidRPr="00FA3856" w:rsidRDefault="0012324D" w:rsidP="0012324D">
            <w:pPr>
              <w:pStyle w:val="PSDS-CorpodeTexto0"/>
              <w:rPr>
                <w:rFonts w:ascii="Times New Roman" w:hAnsi="Times New Roman"/>
              </w:rPr>
            </w:pPr>
            <w:r w:rsidRPr="00FA3856">
              <w:rPr>
                <w:rFonts w:ascii="Times New Roman" w:hAnsi="Times New Roman"/>
              </w:rPr>
              <w:t>Erro</w:t>
            </w:r>
          </w:p>
          <w:p w:rsidR="0012324D" w:rsidRPr="00FA3856" w:rsidRDefault="0012324D" w:rsidP="0012324D">
            <w:pPr>
              <w:pStyle w:val="PSDS-CorpodeTexto0"/>
              <w:rPr>
                <w:rFonts w:ascii="Times New Roman" w:hAnsi="Times New Roman"/>
              </w:rPr>
            </w:pPr>
          </w:p>
        </w:tc>
      </w:tr>
    </w:tbl>
    <w:p w:rsidR="00E03E5B" w:rsidRPr="00FA3856" w:rsidRDefault="00E03E5B" w:rsidP="00E03E5B">
      <w:pPr>
        <w:rPr>
          <w:b/>
          <w:szCs w:val="20"/>
          <w:lang w:val="pt-PT"/>
        </w:rPr>
      </w:pPr>
    </w:p>
    <w:p w:rsidR="00E03E5B" w:rsidRPr="00FA3856" w:rsidRDefault="00FC47AC" w:rsidP="00E03E5B">
      <w:pPr>
        <w:rPr>
          <w:b/>
          <w:szCs w:val="20"/>
          <w:lang w:val="pt-PT"/>
        </w:rPr>
      </w:pPr>
      <w:r w:rsidRPr="00FA3856">
        <w:rPr>
          <w:b/>
          <w:szCs w:val="20"/>
          <w:lang w:val="pt-PT"/>
        </w:rPr>
        <w:t>I</w:t>
      </w:r>
      <w:r w:rsidR="00FE5D23" w:rsidRPr="00FA3856">
        <w:rPr>
          <w:b/>
          <w:szCs w:val="20"/>
          <w:lang w:val="pt-PT"/>
        </w:rPr>
        <w:t>I</w:t>
      </w:r>
      <w:r w:rsidRPr="00FA3856">
        <w:rPr>
          <w:b/>
          <w:szCs w:val="20"/>
          <w:lang w:val="pt-PT"/>
        </w:rPr>
        <w:t>I – Tabela Dinâmica:</w:t>
      </w:r>
      <w:r w:rsidR="0053782C">
        <w:rPr>
          <w:b/>
          <w:szCs w:val="20"/>
          <w:lang w:val="pt-PT"/>
        </w:rPr>
        <w:t xml:space="preserve"> </w:t>
      </w:r>
      <w:r w:rsidR="0053782C" w:rsidRPr="0053782C">
        <w:rPr>
          <w:b/>
          <w:szCs w:val="20"/>
          <w:lang w:val="pt-PT"/>
        </w:rPr>
        <w:t>X510 - Áreas de Livre Comércio (ALC)</w:t>
      </w:r>
    </w:p>
    <w:p w:rsidR="00A303CE" w:rsidRPr="00681EB4" w:rsidRDefault="00486CDA" w:rsidP="00681EB4">
      <w:pPr>
        <w:rPr>
          <w:b/>
          <w:szCs w:val="20"/>
          <w:lang w:val="pt-PT"/>
        </w:rPr>
      </w:pPr>
      <w:r>
        <w:rPr>
          <w:b/>
          <w:szCs w:val="20"/>
          <w:lang w:val="pt-PT"/>
        </w:rPr>
        <w:object w:dxaOrig="1534" w:dyaOrig="997">
          <v:shape id="_x0000_i1339" type="#_x0000_t75" style="width:76.5pt;height:49.5pt" o:ole="">
            <v:imagedata r:id="rId827" o:title=""/>
          </v:shape>
          <o:OLEObject Type="Link" ProgID="Excel.Sheet.12" ShapeID="_x0000_i1339" DrawAspect="Content" r:id="rId828" UpdateMode="OnCall">
            <o:LinkType>EnhancedMetaFile</o:LinkType>
            <o:LockedField>false</o:LockedField>
          </o:OLEObject>
        </w:object>
      </w:r>
    </w:p>
    <w:p w:rsidR="00121CF9" w:rsidRPr="00FA3856" w:rsidRDefault="00642131" w:rsidP="00A303CE">
      <w:pPr>
        <w:spacing w:line="276" w:lineRule="auto"/>
        <w:rPr>
          <w:b/>
          <w:color w:val="002060"/>
          <w:szCs w:val="20"/>
        </w:rPr>
      </w:pPr>
      <w:r w:rsidRPr="00FA3856">
        <w:rPr>
          <w:b/>
          <w:color w:val="002060"/>
          <w:szCs w:val="20"/>
        </w:rPr>
        <w:t xml:space="preserve">Exemplo de Preenchimento: </w:t>
      </w:r>
    </w:p>
    <w:p w:rsidR="00A303CE" w:rsidRPr="00FA3856" w:rsidRDefault="00A303CE" w:rsidP="00A303CE">
      <w:pPr>
        <w:pStyle w:val="Corpodetexto"/>
        <w:rPr>
          <w:rFonts w:ascii="Times New Roman" w:hAnsi="Times New Roman"/>
          <w:b/>
          <w:color w:val="002060"/>
          <w:szCs w:val="20"/>
        </w:rPr>
      </w:pPr>
    </w:p>
    <w:p w:rsidR="00121CF9" w:rsidRPr="00FA3856" w:rsidRDefault="00121CF9" w:rsidP="00A303CE">
      <w:pPr>
        <w:pStyle w:val="Corpodetexto"/>
        <w:rPr>
          <w:rFonts w:ascii="Times New Roman" w:hAnsi="Times New Roman"/>
          <w:b/>
          <w:color w:val="002060"/>
          <w:szCs w:val="20"/>
        </w:rPr>
      </w:pPr>
      <w:r w:rsidRPr="00FA3856">
        <w:rPr>
          <w:rFonts w:ascii="Times New Roman" w:hAnsi="Times New Roman"/>
          <w:b/>
          <w:color w:val="002060"/>
          <w:szCs w:val="20"/>
        </w:rPr>
        <w:t>|X510|1|ALC (Lei nº 7.965/1989, Lei nº 8.210/1991, Lei nº 8.256/1991, alterada pela Lei nº 11.732/2008, Lei nº 8.387/1991, 8.857/1994 e Decreto nº 517/1992)||</w:t>
      </w:r>
    </w:p>
    <w:p w:rsidR="00121CF9" w:rsidRPr="00FA3856" w:rsidRDefault="00121CF9" w:rsidP="00A303CE">
      <w:pPr>
        <w:pStyle w:val="Corpodetexto"/>
        <w:ind w:firstLine="708"/>
        <w:rPr>
          <w:rFonts w:ascii="Times New Roman" w:hAnsi="Times New Roman"/>
          <w:color w:val="002060"/>
          <w:szCs w:val="20"/>
        </w:rPr>
      </w:pPr>
      <w:r w:rsidRPr="00FA3856">
        <w:rPr>
          <w:rFonts w:ascii="Times New Roman" w:hAnsi="Times New Roman"/>
          <w:color w:val="002060"/>
          <w:szCs w:val="20"/>
        </w:rPr>
        <w:t>|X510|: Identificação do tipo do registro.</w:t>
      </w:r>
    </w:p>
    <w:p w:rsidR="00121CF9" w:rsidRPr="00FA3856" w:rsidRDefault="00121CF9" w:rsidP="00A303CE">
      <w:pPr>
        <w:pStyle w:val="Corpodetexto"/>
        <w:ind w:firstLine="708"/>
        <w:rPr>
          <w:rFonts w:ascii="Times New Roman" w:hAnsi="Times New Roman"/>
          <w:color w:val="002060"/>
          <w:szCs w:val="20"/>
        </w:rPr>
      </w:pPr>
      <w:r w:rsidRPr="00FA3856">
        <w:rPr>
          <w:rFonts w:ascii="Times New Roman" w:hAnsi="Times New Roman"/>
          <w:color w:val="002060"/>
          <w:szCs w:val="20"/>
        </w:rPr>
        <w:t>|1|: Código da linha.</w:t>
      </w:r>
    </w:p>
    <w:p w:rsidR="00121CF9" w:rsidRPr="00FA3856" w:rsidRDefault="00121CF9" w:rsidP="00A303CE">
      <w:pPr>
        <w:pStyle w:val="Corpodetexto"/>
        <w:ind w:firstLine="708"/>
        <w:rPr>
          <w:rFonts w:ascii="Times New Roman" w:hAnsi="Times New Roman"/>
          <w:color w:val="002060"/>
          <w:szCs w:val="20"/>
        </w:rPr>
      </w:pPr>
      <w:r w:rsidRPr="00FA3856">
        <w:rPr>
          <w:rFonts w:ascii="Times New Roman" w:hAnsi="Times New Roman"/>
          <w:color w:val="002060"/>
          <w:szCs w:val="20"/>
        </w:rPr>
        <w:t>|ALC (Lei nº 7.965/1989, Lei nº 8.210/1991, Lei nº 8.256/1991, alterada pela Lei nº 11.732/2008, Lei nº 8.387/1991, 8.857/1994 e Decreto nº 517/1992)|: Descrição da linha.</w:t>
      </w:r>
    </w:p>
    <w:p w:rsidR="00121CF9" w:rsidRPr="00FA3856" w:rsidRDefault="00121CF9" w:rsidP="00A303CE">
      <w:pPr>
        <w:pStyle w:val="Corpodetexto"/>
        <w:ind w:firstLine="708"/>
        <w:rPr>
          <w:rFonts w:ascii="Times New Roman" w:hAnsi="Times New Roman"/>
          <w:color w:val="002060"/>
          <w:szCs w:val="20"/>
        </w:rPr>
      </w:pPr>
      <w:r w:rsidRPr="00FA3856">
        <w:rPr>
          <w:rFonts w:ascii="Times New Roman" w:hAnsi="Times New Roman"/>
          <w:color w:val="002060"/>
          <w:szCs w:val="20"/>
        </w:rPr>
        <w:t>||: Valor da linha (como a linha corresponde a um rótulo – R – não há valor).</w:t>
      </w:r>
    </w:p>
    <w:p w:rsidR="00783761" w:rsidRPr="00FA3856" w:rsidRDefault="00783761" w:rsidP="00A303CE">
      <w:pPr>
        <w:pStyle w:val="Corpodetexto"/>
        <w:rPr>
          <w:rFonts w:ascii="Times New Roman" w:hAnsi="Times New Roman"/>
          <w:b/>
          <w:szCs w:val="20"/>
          <w:lang w:val="pt-PT"/>
        </w:rPr>
      </w:pPr>
    </w:p>
    <w:p w:rsidR="00121CF9" w:rsidRPr="00FA3856" w:rsidRDefault="00121CF9" w:rsidP="00A303CE">
      <w:pPr>
        <w:pStyle w:val="Corpodetexto"/>
        <w:rPr>
          <w:rFonts w:ascii="Times New Roman" w:hAnsi="Times New Roman"/>
          <w:b/>
          <w:color w:val="002060"/>
          <w:szCs w:val="20"/>
        </w:rPr>
      </w:pPr>
      <w:r w:rsidRPr="00FA3856">
        <w:rPr>
          <w:rFonts w:ascii="Times New Roman" w:hAnsi="Times New Roman"/>
          <w:b/>
          <w:color w:val="002060"/>
          <w:szCs w:val="20"/>
        </w:rPr>
        <w:t>|X510|2|Entrada de Mercadorias Estrangeiras Sujeitas à Isenção do II e do IPI|100000,00|</w:t>
      </w:r>
    </w:p>
    <w:p w:rsidR="00121CF9" w:rsidRPr="00FA3856" w:rsidRDefault="00121CF9" w:rsidP="00A303CE">
      <w:pPr>
        <w:pStyle w:val="Corpodetexto"/>
        <w:ind w:firstLine="708"/>
        <w:rPr>
          <w:rFonts w:ascii="Times New Roman" w:hAnsi="Times New Roman"/>
          <w:color w:val="002060"/>
          <w:szCs w:val="20"/>
        </w:rPr>
      </w:pPr>
      <w:r w:rsidRPr="00FA3856">
        <w:rPr>
          <w:rFonts w:ascii="Times New Roman" w:hAnsi="Times New Roman"/>
          <w:color w:val="002060"/>
          <w:szCs w:val="20"/>
        </w:rPr>
        <w:t>|X510|: Identificação do tipo do registro.</w:t>
      </w:r>
    </w:p>
    <w:p w:rsidR="00121CF9" w:rsidRPr="00FA3856" w:rsidRDefault="00121CF9" w:rsidP="00A303CE">
      <w:pPr>
        <w:pStyle w:val="Corpodetexto"/>
        <w:ind w:firstLine="708"/>
        <w:rPr>
          <w:rFonts w:ascii="Times New Roman" w:hAnsi="Times New Roman"/>
          <w:color w:val="002060"/>
          <w:szCs w:val="20"/>
        </w:rPr>
      </w:pPr>
      <w:r w:rsidRPr="00FA3856">
        <w:rPr>
          <w:rFonts w:ascii="Times New Roman" w:hAnsi="Times New Roman"/>
          <w:color w:val="002060"/>
          <w:szCs w:val="20"/>
        </w:rPr>
        <w:t>|2|: Código da linha.</w:t>
      </w:r>
    </w:p>
    <w:p w:rsidR="00121CF9" w:rsidRPr="00FA3856" w:rsidRDefault="00121CF9" w:rsidP="00A303CE">
      <w:pPr>
        <w:pStyle w:val="Corpodetexto"/>
        <w:ind w:firstLine="708"/>
        <w:rPr>
          <w:rFonts w:ascii="Times New Roman" w:hAnsi="Times New Roman"/>
          <w:color w:val="002060"/>
          <w:szCs w:val="20"/>
        </w:rPr>
      </w:pPr>
      <w:r w:rsidRPr="00FA3856">
        <w:rPr>
          <w:rFonts w:ascii="Times New Roman" w:hAnsi="Times New Roman"/>
          <w:color w:val="002060"/>
          <w:szCs w:val="20"/>
        </w:rPr>
        <w:t>|Entrada de Mercadorias Estrangeiras Sujeitas à Isenção do II e do IPI|: Descrição da linha.</w:t>
      </w:r>
    </w:p>
    <w:p w:rsidR="00121CF9" w:rsidRPr="00FA3856" w:rsidRDefault="00121CF9" w:rsidP="00A303CE">
      <w:pPr>
        <w:pStyle w:val="Corpodetexto"/>
        <w:ind w:firstLine="708"/>
        <w:rPr>
          <w:rFonts w:ascii="Times New Roman" w:hAnsi="Times New Roman"/>
          <w:color w:val="002060"/>
          <w:szCs w:val="20"/>
        </w:rPr>
      </w:pPr>
      <w:r w:rsidRPr="00FA3856">
        <w:rPr>
          <w:rFonts w:ascii="Times New Roman" w:hAnsi="Times New Roman"/>
          <w:color w:val="002060"/>
          <w:szCs w:val="20"/>
        </w:rPr>
        <w:t>|100000,00|: Valor da linha (R$ 100.000,00).</w:t>
      </w:r>
    </w:p>
    <w:p w:rsidR="00121CF9" w:rsidRPr="00FA3856" w:rsidRDefault="00121CF9" w:rsidP="00A303CE">
      <w:pPr>
        <w:pStyle w:val="Corpodetexto"/>
        <w:rPr>
          <w:rFonts w:ascii="Times New Roman" w:hAnsi="Times New Roman"/>
          <w:b/>
          <w:szCs w:val="20"/>
          <w:lang w:val="pt-PT"/>
        </w:rPr>
      </w:pPr>
    </w:p>
    <w:p w:rsidR="00121CF9" w:rsidRPr="00FA3856" w:rsidRDefault="00121CF9" w:rsidP="00A303CE">
      <w:pPr>
        <w:jc w:val="both"/>
        <w:rPr>
          <w:b/>
          <w:color w:val="002060"/>
          <w:szCs w:val="20"/>
        </w:rPr>
      </w:pPr>
      <w:r w:rsidRPr="00FA3856">
        <w:rPr>
          <w:b/>
          <w:color w:val="002060"/>
          <w:szCs w:val="20"/>
        </w:rPr>
        <w:t>|X510|3|Isenção do II Correspondente à Entrada de Mercadorias Estrangeiras|30000,00|</w:t>
      </w:r>
    </w:p>
    <w:p w:rsidR="00121CF9" w:rsidRPr="00FA3856" w:rsidRDefault="00121CF9" w:rsidP="00A303CE">
      <w:pPr>
        <w:pStyle w:val="Corpodetexto"/>
        <w:ind w:firstLine="708"/>
        <w:rPr>
          <w:rFonts w:ascii="Times New Roman" w:hAnsi="Times New Roman"/>
          <w:color w:val="002060"/>
          <w:szCs w:val="20"/>
        </w:rPr>
      </w:pPr>
      <w:r w:rsidRPr="00FA3856">
        <w:rPr>
          <w:rFonts w:ascii="Times New Roman" w:hAnsi="Times New Roman"/>
          <w:color w:val="002060"/>
          <w:szCs w:val="20"/>
        </w:rPr>
        <w:t>|X510|: Identificação do tipo do registro.</w:t>
      </w:r>
    </w:p>
    <w:p w:rsidR="00121CF9" w:rsidRPr="00FA3856" w:rsidRDefault="00121CF9" w:rsidP="00A303CE">
      <w:pPr>
        <w:pStyle w:val="Corpodetexto"/>
        <w:ind w:firstLine="708"/>
        <w:rPr>
          <w:rFonts w:ascii="Times New Roman" w:hAnsi="Times New Roman"/>
          <w:color w:val="002060"/>
          <w:szCs w:val="20"/>
        </w:rPr>
      </w:pPr>
      <w:r w:rsidRPr="00FA3856">
        <w:rPr>
          <w:rFonts w:ascii="Times New Roman" w:hAnsi="Times New Roman"/>
          <w:color w:val="002060"/>
          <w:szCs w:val="20"/>
        </w:rPr>
        <w:t>|3|: Código da linha.</w:t>
      </w:r>
    </w:p>
    <w:p w:rsidR="00121CF9" w:rsidRPr="00FA3856" w:rsidRDefault="00121CF9" w:rsidP="00A303CE">
      <w:pPr>
        <w:pStyle w:val="Corpodetexto"/>
        <w:ind w:firstLine="708"/>
        <w:rPr>
          <w:rFonts w:ascii="Times New Roman" w:hAnsi="Times New Roman"/>
          <w:color w:val="002060"/>
          <w:szCs w:val="20"/>
        </w:rPr>
      </w:pPr>
      <w:r w:rsidRPr="00FA3856">
        <w:rPr>
          <w:rFonts w:ascii="Times New Roman" w:hAnsi="Times New Roman"/>
          <w:color w:val="002060"/>
          <w:szCs w:val="20"/>
        </w:rPr>
        <w:t>|Isenção do II Correspondente à Entrada de Mercadorias Estrangeiras|: Descrição da linha.</w:t>
      </w:r>
    </w:p>
    <w:p w:rsidR="00121CF9" w:rsidRPr="00FA3856" w:rsidRDefault="00121CF9" w:rsidP="00A303CE">
      <w:pPr>
        <w:pStyle w:val="Corpodetexto"/>
        <w:ind w:firstLine="708"/>
        <w:rPr>
          <w:rFonts w:ascii="Times New Roman" w:hAnsi="Times New Roman"/>
          <w:color w:val="002060"/>
          <w:szCs w:val="20"/>
        </w:rPr>
      </w:pPr>
      <w:r w:rsidRPr="00FA3856">
        <w:rPr>
          <w:rFonts w:ascii="Times New Roman" w:hAnsi="Times New Roman"/>
          <w:color w:val="002060"/>
          <w:szCs w:val="20"/>
        </w:rPr>
        <w:t>|30000,00|: Valor da linha (R$ 30.000,00).</w:t>
      </w:r>
    </w:p>
    <w:p w:rsidR="00121CF9" w:rsidRPr="00FA3856" w:rsidRDefault="00121CF9" w:rsidP="00A303CE">
      <w:pPr>
        <w:pStyle w:val="Corpodetexto"/>
        <w:rPr>
          <w:rFonts w:ascii="Times New Roman" w:hAnsi="Times New Roman"/>
          <w:b/>
          <w:szCs w:val="20"/>
          <w:lang w:val="pt-PT"/>
        </w:rPr>
      </w:pPr>
    </w:p>
    <w:p w:rsidR="00783761" w:rsidRPr="00FA3856" w:rsidRDefault="00783761">
      <w:pPr>
        <w:rPr>
          <w:b/>
          <w:bCs/>
          <w:color w:val="0000FF"/>
          <w:szCs w:val="20"/>
        </w:rPr>
      </w:pPr>
      <w:r w:rsidRPr="00FA3856">
        <w:rPr>
          <w:color w:val="0000FF"/>
          <w:szCs w:val="20"/>
        </w:rPr>
        <w:br w:type="page"/>
      </w:r>
    </w:p>
    <w:p w:rsidR="003B49DF" w:rsidRPr="00FA3856" w:rsidRDefault="003B49DF" w:rsidP="00867F54">
      <w:pPr>
        <w:pStyle w:val="Ttulo4"/>
      </w:pPr>
      <w:bookmarkStart w:id="417" w:name="_Toc479713820"/>
      <w:r w:rsidRPr="00FA3856">
        <w:lastRenderedPageBreak/>
        <w:t>Registro X990: Encerramento do Bloco X</w:t>
      </w:r>
      <w:bookmarkEnd w:id="417"/>
    </w:p>
    <w:p w:rsidR="00C77098" w:rsidRDefault="00C77098" w:rsidP="00C77098">
      <w:pPr>
        <w:pStyle w:val="Corpodetexto"/>
        <w:rPr>
          <w:rFonts w:ascii="Times New Roman" w:hAnsi="Times New Roman"/>
          <w:b/>
          <w:color w:val="002060"/>
          <w:szCs w:val="20"/>
        </w:rPr>
      </w:pPr>
    </w:p>
    <w:p w:rsidR="00681EB4" w:rsidRPr="00FA3856" w:rsidRDefault="00B35FA3" w:rsidP="00681EB4">
      <w:pPr>
        <w:pStyle w:val="Corpodetexto"/>
        <w:jc w:val="center"/>
        <w:rPr>
          <w:rFonts w:ascii="Times New Roman" w:hAnsi="Times New Roman"/>
          <w:b/>
          <w:color w:val="002060"/>
          <w:szCs w:val="20"/>
        </w:rPr>
      </w:pPr>
      <w:r>
        <w:rPr>
          <w:rFonts w:ascii="Times New Roman" w:hAnsi="Times New Roman"/>
          <w:b/>
          <w:color w:val="002060"/>
          <w:szCs w:val="20"/>
        </w:rPr>
        <w:object w:dxaOrig="14100" w:dyaOrig="2175">
          <v:shape id="_x0000_i2038" type="#_x0000_t75" style="width:753.75pt;height:106.5pt" o:ole="">
            <v:imagedata r:id="rId829" o:title=""/>
          </v:shape>
          <o:OLEObject Type="Link" ProgID="Excel.Sheet.12" ShapeID="_x0000_i2038" DrawAspect="Content" r:id="rId830" UpdateMode="Always">
            <o:LinkType>EnhancedMetaFile</o:LinkType>
            <o:LockedField>false</o:LockedField>
          </o:OLEObject>
        </w:object>
      </w:r>
    </w:p>
    <w:p w:rsidR="00681EB4" w:rsidRDefault="00681EB4" w:rsidP="00C77098">
      <w:pPr>
        <w:pStyle w:val="Corpodetexto"/>
        <w:rPr>
          <w:rFonts w:ascii="Times New Roman" w:hAnsi="Times New Roman"/>
          <w:b/>
          <w:color w:val="002060"/>
          <w:szCs w:val="20"/>
        </w:rPr>
      </w:pPr>
    </w:p>
    <w:p w:rsidR="00C77098" w:rsidRPr="00FA3856" w:rsidRDefault="00C77098" w:rsidP="00C77098">
      <w:pPr>
        <w:pStyle w:val="Corpodetexto"/>
        <w:rPr>
          <w:rFonts w:ascii="Times New Roman" w:hAnsi="Times New Roman"/>
          <w:b/>
          <w:color w:val="002060"/>
          <w:szCs w:val="20"/>
        </w:rPr>
      </w:pPr>
      <w:r w:rsidRPr="00FA3856">
        <w:rPr>
          <w:rFonts w:ascii="Times New Roman" w:hAnsi="Times New Roman"/>
          <w:b/>
          <w:color w:val="002060"/>
          <w:szCs w:val="20"/>
        </w:rPr>
        <w:t>Exemplo de Preenchimento: |X990|212|</w:t>
      </w:r>
    </w:p>
    <w:p w:rsidR="00C77098" w:rsidRPr="00FA3856" w:rsidRDefault="00C77098" w:rsidP="00C77098">
      <w:pPr>
        <w:pStyle w:val="Corpodetexto"/>
        <w:ind w:firstLine="708"/>
        <w:rPr>
          <w:rFonts w:ascii="Times New Roman" w:hAnsi="Times New Roman"/>
          <w:color w:val="002060"/>
          <w:szCs w:val="20"/>
        </w:rPr>
      </w:pPr>
      <w:r w:rsidRPr="00FA3856">
        <w:rPr>
          <w:rFonts w:ascii="Times New Roman" w:hAnsi="Times New Roman"/>
          <w:color w:val="002060"/>
          <w:szCs w:val="20"/>
        </w:rPr>
        <w:t>|X990|: Identificação do tipo do registro.</w:t>
      </w:r>
    </w:p>
    <w:p w:rsidR="00C77098" w:rsidRPr="00FA3856" w:rsidRDefault="00C77098" w:rsidP="00C77098">
      <w:pPr>
        <w:pStyle w:val="Corpodetexto"/>
        <w:ind w:firstLine="708"/>
        <w:rPr>
          <w:rFonts w:ascii="Times New Roman" w:hAnsi="Times New Roman"/>
          <w:color w:val="002060"/>
          <w:szCs w:val="20"/>
        </w:rPr>
      </w:pPr>
      <w:r w:rsidRPr="00FA3856">
        <w:rPr>
          <w:rFonts w:ascii="Times New Roman" w:hAnsi="Times New Roman"/>
          <w:color w:val="002060"/>
          <w:szCs w:val="20"/>
        </w:rPr>
        <w:t>|212|: A quantidade total de registros do Bloco X é 212 (duzentos e doze registros).</w:t>
      </w:r>
    </w:p>
    <w:p w:rsidR="00783761" w:rsidRPr="00FA3856" w:rsidRDefault="00783761" w:rsidP="00783761">
      <w:pPr>
        <w:pStyle w:val="PSDS-MarcadoresNivel3"/>
        <w:tabs>
          <w:tab w:val="clear" w:pos="1440"/>
        </w:tabs>
        <w:spacing w:before="0" w:after="0"/>
        <w:ind w:left="0" w:firstLine="0"/>
        <w:rPr>
          <w:rFonts w:ascii="Times New Roman" w:hAnsi="Times New Roman" w:cs="Times New Roman"/>
          <w:color w:val="0000FF"/>
          <w:szCs w:val="20"/>
        </w:rPr>
      </w:pPr>
    </w:p>
    <w:p w:rsidR="00C962EA" w:rsidRPr="00FA3856" w:rsidRDefault="00C962EA">
      <w:pPr>
        <w:spacing w:after="200" w:line="276" w:lineRule="auto"/>
        <w:rPr>
          <w:b/>
          <w:bCs/>
          <w:color w:val="0000FF"/>
          <w:szCs w:val="20"/>
        </w:rPr>
      </w:pPr>
      <w:r w:rsidRPr="00FA3856">
        <w:rPr>
          <w:color w:val="0000FF"/>
          <w:szCs w:val="20"/>
        </w:rPr>
        <w:br w:type="page"/>
      </w:r>
    </w:p>
    <w:p w:rsidR="003B49DF" w:rsidRPr="00FA3856" w:rsidRDefault="003B49DF" w:rsidP="00867F54">
      <w:pPr>
        <w:pStyle w:val="Ttulo3"/>
      </w:pPr>
      <w:bookmarkStart w:id="418" w:name="_Toc479713821"/>
      <w:r w:rsidRPr="00FA3856">
        <w:lastRenderedPageBreak/>
        <w:t>Bloco Y: Informações Gerais</w:t>
      </w:r>
      <w:bookmarkEnd w:id="418"/>
    </w:p>
    <w:p w:rsidR="003B49DF" w:rsidRPr="00FA3856" w:rsidRDefault="003B49DF" w:rsidP="003B49DF">
      <w:pPr>
        <w:pStyle w:val="PSDS-MarcadoresNivel3"/>
        <w:tabs>
          <w:tab w:val="clear" w:pos="1440"/>
        </w:tabs>
        <w:spacing w:before="0" w:after="0"/>
        <w:ind w:left="0" w:firstLine="0"/>
        <w:rPr>
          <w:rFonts w:ascii="Times New Roman" w:hAnsi="Times New Roman" w:cs="Times New Roman"/>
          <w:color w:val="0000FF"/>
          <w:szCs w:val="20"/>
        </w:rPr>
      </w:pPr>
    </w:p>
    <w:p w:rsidR="003B49DF" w:rsidRPr="00FA3856" w:rsidRDefault="003B49DF" w:rsidP="00867F54">
      <w:pPr>
        <w:pStyle w:val="Ttulo4"/>
      </w:pPr>
      <w:bookmarkStart w:id="419" w:name="_Toc479713822"/>
      <w:r w:rsidRPr="00FA3856">
        <w:t>Registro Y001: Abertura do Bloco Y</w:t>
      </w:r>
      <w:bookmarkEnd w:id="419"/>
    </w:p>
    <w:p w:rsidR="00E03E5B" w:rsidRDefault="00E03E5B" w:rsidP="003B49DF">
      <w:pPr>
        <w:pStyle w:val="PSDS-MarcadoresNivel2"/>
        <w:numPr>
          <w:ilvl w:val="0"/>
          <w:numId w:val="0"/>
        </w:numPr>
        <w:rPr>
          <w:rFonts w:ascii="Times New Roman" w:hAnsi="Times New Roman"/>
        </w:rPr>
      </w:pPr>
    </w:p>
    <w:p w:rsidR="001D0215" w:rsidRPr="00FA3856" w:rsidRDefault="00B35FA3" w:rsidP="001D0215">
      <w:pPr>
        <w:pStyle w:val="PSDS-MarcadoresNivel2"/>
        <w:numPr>
          <w:ilvl w:val="0"/>
          <w:numId w:val="0"/>
        </w:numPr>
        <w:jc w:val="center"/>
        <w:rPr>
          <w:rFonts w:ascii="Times New Roman" w:hAnsi="Times New Roman"/>
        </w:rPr>
      </w:pPr>
      <w:r>
        <w:rPr>
          <w:rFonts w:ascii="Times New Roman" w:hAnsi="Times New Roman"/>
        </w:rPr>
        <w:object w:dxaOrig="13305" w:dyaOrig="3090">
          <v:shape id="_x0000_i2040" type="#_x0000_t75" style="width:710.25pt;height:150pt" o:ole="">
            <v:imagedata r:id="rId831" o:title=""/>
          </v:shape>
          <o:OLEObject Type="Link" ProgID="Excel.Sheet.12" ShapeID="_x0000_i2040" DrawAspect="Content" r:id="rId832" UpdateMode="Always">
            <o:LinkType>EnhancedMetaFile</o:LinkType>
            <o:LockedField>false</o:LockedField>
          </o:OLEObject>
        </w:object>
      </w:r>
    </w:p>
    <w:p w:rsidR="001D0215" w:rsidRDefault="001D0215" w:rsidP="003B49DF">
      <w:pPr>
        <w:pStyle w:val="PSDS-MarcadoresNivel2"/>
        <w:numPr>
          <w:ilvl w:val="0"/>
          <w:numId w:val="0"/>
        </w:numPr>
        <w:rPr>
          <w:rFonts w:ascii="Times New Roman" w:hAnsi="Times New Roman"/>
        </w:rPr>
      </w:pPr>
    </w:p>
    <w:p w:rsidR="003B49DF" w:rsidRPr="00FA3856" w:rsidRDefault="003B49DF" w:rsidP="003B49DF">
      <w:pPr>
        <w:pStyle w:val="PSDS-MarcadoresNivel2"/>
        <w:numPr>
          <w:ilvl w:val="0"/>
          <w:numId w:val="0"/>
        </w:numPr>
        <w:rPr>
          <w:rFonts w:ascii="Times New Roman" w:hAnsi="Times New Roman"/>
        </w:rPr>
      </w:pPr>
      <w:r w:rsidRPr="00FA3856">
        <w:rPr>
          <w:rFonts w:ascii="Times New Roman" w:hAnsi="Times New Roman"/>
        </w:rPr>
        <w:t>I – Regras de Validação do Registro:</w:t>
      </w:r>
    </w:p>
    <w:p w:rsidR="003B49DF" w:rsidRPr="00FA3856" w:rsidRDefault="003B49DF" w:rsidP="003B49DF">
      <w:pPr>
        <w:pStyle w:val="PSDS-MarcadoresNivel2"/>
        <w:numPr>
          <w:ilvl w:val="0"/>
          <w:numId w:val="0"/>
        </w:numPr>
        <w:rPr>
          <w:rFonts w:ascii="Times New Roman" w:hAnsi="Times New Roman"/>
        </w:rPr>
      </w:pPr>
    </w:p>
    <w:p w:rsidR="003B49DF" w:rsidRPr="00FA3856" w:rsidRDefault="007D0E74" w:rsidP="003B49DF">
      <w:pPr>
        <w:pStyle w:val="Corpodetexto"/>
        <w:ind w:left="708" w:firstLine="12"/>
        <w:rPr>
          <w:rFonts w:ascii="Times New Roman" w:hAnsi="Times New Roman"/>
          <w:szCs w:val="20"/>
        </w:rPr>
      </w:pPr>
      <w:hyperlink r:id="rId833" w:anchor="REGRA_OCORRENCIA_UNITARIA_ARQ" w:history="1">
        <w:r w:rsidR="003B49DF" w:rsidRPr="00FA3856">
          <w:rPr>
            <w:rFonts w:ascii="Times New Roman" w:hAnsi="Times New Roman"/>
            <w:b/>
            <w:szCs w:val="20"/>
          </w:rPr>
          <w:t>REGRA_OCORRENCIA_UNITARIA_ARQ</w:t>
        </w:r>
      </w:hyperlink>
      <w:r w:rsidR="003B49DF" w:rsidRPr="00FA3856">
        <w:rPr>
          <w:rFonts w:ascii="Times New Roman" w:hAnsi="Times New Roman"/>
          <w:color w:val="auto"/>
          <w:szCs w:val="20"/>
        </w:rPr>
        <w:t xml:space="preserve">: </w:t>
      </w:r>
      <w:r w:rsidR="003B49DF" w:rsidRPr="00FA3856">
        <w:rPr>
          <w:rFonts w:ascii="Times New Roman" w:hAnsi="Times New Roman"/>
          <w:szCs w:val="20"/>
        </w:rPr>
        <w:t>Verifica se registro ocorreu apenas uma vez por arquivo, considerando a chave “Y001” (REG). Se a regra não for cumprida, a ECF gera um erro.</w:t>
      </w:r>
    </w:p>
    <w:p w:rsidR="00C962EA" w:rsidRPr="00FA3856" w:rsidRDefault="00C962EA" w:rsidP="003B49DF">
      <w:pPr>
        <w:pStyle w:val="Corpodetexto"/>
        <w:ind w:left="708" w:firstLine="12"/>
        <w:rPr>
          <w:rFonts w:ascii="Times New Roman" w:hAnsi="Times New Roman"/>
          <w:szCs w:val="20"/>
        </w:rPr>
      </w:pPr>
    </w:p>
    <w:p w:rsidR="001D0215" w:rsidRDefault="00C962EA" w:rsidP="00C962EA">
      <w:pPr>
        <w:pStyle w:val="Corpodetexto"/>
        <w:rPr>
          <w:rFonts w:ascii="Times New Roman" w:hAnsi="Times New Roman"/>
          <w:b/>
          <w:color w:val="002060"/>
          <w:szCs w:val="20"/>
        </w:rPr>
      </w:pPr>
      <w:r w:rsidRPr="00FA3856">
        <w:rPr>
          <w:rFonts w:ascii="Times New Roman" w:hAnsi="Times New Roman"/>
          <w:b/>
          <w:color w:val="002060"/>
          <w:szCs w:val="20"/>
        </w:rPr>
        <w:t xml:space="preserve">Exemplo de Preenchimento: </w:t>
      </w:r>
    </w:p>
    <w:p w:rsidR="001D0215" w:rsidRDefault="001D0215" w:rsidP="00C962EA">
      <w:pPr>
        <w:pStyle w:val="Corpodetexto"/>
        <w:rPr>
          <w:rFonts w:ascii="Times New Roman" w:hAnsi="Times New Roman"/>
          <w:b/>
          <w:color w:val="002060"/>
          <w:szCs w:val="20"/>
        </w:rPr>
      </w:pPr>
    </w:p>
    <w:p w:rsidR="00C962EA" w:rsidRPr="00FA3856" w:rsidRDefault="00C962EA" w:rsidP="00C962EA">
      <w:pPr>
        <w:pStyle w:val="Corpodetexto"/>
        <w:rPr>
          <w:rFonts w:ascii="Times New Roman" w:hAnsi="Times New Roman"/>
          <w:b/>
          <w:color w:val="002060"/>
          <w:szCs w:val="20"/>
        </w:rPr>
      </w:pPr>
      <w:r w:rsidRPr="00FA3856">
        <w:rPr>
          <w:rFonts w:ascii="Times New Roman" w:hAnsi="Times New Roman"/>
          <w:b/>
          <w:color w:val="002060"/>
          <w:szCs w:val="20"/>
        </w:rPr>
        <w:t>|Y001|0|</w:t>
      </w:r>
    </w:p>
    <w:p w:rsidR="00C962EA" w:rsidRPr="00FA3856" w:rsidRDefault="00C962EA" w:rsidP="00C962EA">
      <w:pPr>
        <w:pStyle w:val="Corpodetexto"/>
        <w:ind w:firstLine="708"/>
        <w:rPr>
          <w:rFonts w:ascii="Times New Roman" w:hAnsi="Times New Roman"/>
          <w:color w:val="002060"/>
          <w:szCs w:val="20"/>
        </w:rPr>
      </w:pPr>
      <w:r w:rsidRPr="00FA3856">
        <w:rPr>
          <w:rFonts w:ascii="Times New Roman" w:hAnsi="Times New Roman"/>
          <w:color w:val="002060"/>
          <w:szCs w:val="20"/>
        </w:rPr>
        <w:t>|Y001|: Identificação do tipo do registro.</w:t>
      </w:r>
    </w:p>
    <w:p w:rsidR="00C962EA" w:rsidRPr="00FA3856" w:rsidRDefault="00C962EA" w:rsidP="00C962EA">
      <w:pPr>
        <w:pStyle w:val="Corpodetexto"/>
        <w:ind w:firstLine="708"/>
        <w:rPr>
          <w:rFonts w:ascii="Times New Roman" w:hAnsi="Times New Roman"/>
          <w:color w:val="002060"/>
          <w:szCs w:val="20"/>
        </w:rPr>
      </w:pPr>
      <w:r w:rsidRPr="00FA3856">
        <w:rPr>
          <w:rFonts w:ascii="Times New Roman" w:hAnsi="Times New Roman"/>
          <w:color w:val="002060"/>
          <w:szCs w:val="20"/>
        </w:rPr>
        <w:t>|0|: Indica que o bloco possui dados informados.</w:t>
      </w:r>
    </w:p>
    <w:p w:rsidR="00C962EA" w:rsidRPr="00FA3856" w:rsidRDefault="00C962EA" w:rsidP="003B49DF">
      <w:pPr>
        <w:pStyle w:val="Corpodetexto"/>
        <w:ind w:left="708" w:firstLine="12"/>
        <w:rPr>
          <w:rFonts w:ascii="Times New Roman" w:hAnsi="Times New Roman"/>
          <w:szCs w:val="20"/>
        </w:rPr>
      </w:pPr>
    </w:p>
    <w:p w:rsidR="00C962EA" w:rsidRPr="00FA3856" w:rsidRDefault="00C962EA">
      <w:pPr>
        <w:spacing w:after="200" w:line="276" w:lineRule="auto"/>
        <w:rPr>
          <w:b/>
          <w:bCs/>
          <w:color w:val="0000FF"/>
          <w:szCs w:val="20"/>
        </w:rPr>
      </w:pPr>
      <w:r w:rsidRPr="00FA3856">
        <w:rPr>
          <w:color w:val="0000FF"/>
          <w:szCs w:val="20"/>
        </w:rPr>
        <w:br w:type="page"/>
      </w:r>
    </w:p>
    <w:p w:rsidR="00D35CAD" w:rsidRPr="00FA3856" w:rsidRDefault="00221E07" w:rsidP="00867F54">
      <w:pPr>
        <w:pStyle w:val="Ttulo4"/>
      </w:pPr>
      <w:bookmarkStart w:id="420" w:name="_Toc479713823"/>
      <w:r w:rsidRPr="00FA3856">
        <w:lastRenderedPageBreak/>
        <w:t xml:space="preserve">Registro Y520: Pagamentos/Recebimentos </w:t>
      </w:r>
      <w:r w:rsidR="00D35CAD" w:rsidRPr="00FA3856">
        <w:t>do Exterior ou de Não Residentes</w:t>
      </w:r>
      <w:bookmarkEnd w:id="420"/>
    </w:p>
    <w:p w:rsidR="00D35CAD" w:rsidRPr="00FA3856" w:rsidRDefault="00D35CAD" w:rsidP="00D35CAD">
      <w:pPr>
        <w:rPr>
          <w:szCs w:val="20"/>
        </w:rPr>
      </w:pPr>
    </w:p>
    <w:p w:rsidR="004038F0" w:rsidRPr="00FA3856" w:rsidRDefault="004038F0" w:rsidP="004038F0">
      <w:pPr>
        <w:pStyle w:val="PSDS-CorpodeTexto0"/>
        <w:widowControl w:val="0"/>
        <w:autoSpaceDE w:val="0"/>
        <w:autoSpaceDN w:val="0"/>
        <w:adjustRightInd w:val="0"/>
        <w:jc w:val="both"/>
        <w:rPr>
          <w:rFonts w:ascii="Times New Roman" w:hAnsi="Times New Roman"/>
          <w:lang w:val="pt-PT"/>
        </w:rPr>
      </w:pPr>
      <w:r w:rsidRPr="00FA3856">
        <w:rPr>
          <w:rFonts w:ascii="Times New Roman" w:hAnsi="Times New Roman"/>
        </w:rPr>
        <w:tab/>
        <w:t>Este registro será habilitado somente para as pessoas jur</w:t>
      </w:r>
      <w:r w:rsidR="00F47ED7" w:rsidRPr="00FA3856">
        <w:rPr>
          <w:rFonts w:ascii="Times New Roman" w:hAnsi="Times New Roman"/>
        </w:rPr>
        <w:t>ídicas que receberam (0020.IND_</w:t>
      </w:r>
      <w:r w:rsidRPr="00FA3856">
        <w:rPr>
          <w:rFonts w:ascii="Times New Roman" w:hAnsi="Times New Roman"/>
        </w:rPr>
        <w:t>REC_EXT = "S") ou pagaram, creditaram, entregaram, empregaram ou remeteram (0020.</w:t>
      </w:r>
      <w:r w:rsidRPr="00FA3856">
        <w:rPr>
          <w:rFonts w:ascii="Times New Roman" w:hAnsi="Times New Roman"/>
          <w:lang w:val="pt-PT"/>
        </w:rPr>
        <w:t xml:space="preserve">IND_PGTO_EXT = "S") </w:t>
      </w:r>
      <w:r w:rsidRPr="00FA3856">
        <w:rPr>
          <w:rFonts w:ascii="Times New Roman" w:hAnsi="Times New Roman"/>
        </w:rPr>
        <w:t>, durante o ano-calendário, de pessoas físicas ou jurídicas, residentes ou domiciliadas no exterior ou de não-residentes:</w:t>
      </w:r>
    </w:p>
    <w:p w:rsidR="004038F0" w:rsidRPr="00FA3856" w:rsidRDefault="004038F0" w:rsidP="004038F0">
      <w:pPr>
        <w:jc w:val="both"/>
        <w:rPr>
          <w:szCs w:val="20"/>
        </w:rPr>
      </w:pPr>
    </w:p>
    <w:p w:rsidR="004038F0" w:rsidRPr="00FA3856" w:rsidRDefault="004038F0" w:rsidP="004038F0">
      <w:pPr>
        <w:jc w:val="both"/>
        <w:rPr>
          <w:szCs w:val="20"/>
        </w:rPr>
      </w:pPr>
      <w:r w:rsidRPr="00FA3856">
        <w:rPr>
          <w:szCs w:val="20"/>
        </w:rPr>
        <w:t>- quaisquer valores mediante operações de câmbio de qualquer natureza;</w:t>
      </w:r>
    </w:p>
    <w:p w:rsidR="004038F0" w:rsidRPr="00FA3856" w:rsidRDefault="004038F0" w:rsidP="004038F0">
      <w:pPr>
        <w:jc w:val="both"/>
        <w:rPr>
          <w:szCs w:val="20"/>
        </w:rPr>
      </w:pPr>
      <w:r w:rsidRPr="00FA3856">
        <w:rPr>
          <w:szCs w:val="20"/>
        </w:rPr>
        <w:t>- quaisquer valores por intermédio de transferências internacionais em reais (TIR), ou seja, provenientes de conta bancária em reais (R$) titulada por não-residente;</w:t>
      </w:r>
    </w:p>
    <w:p w:rsidR="004038F0" w:rsidRPr="00FA3856" w:rsidRDefault="004038F0" w:rsidP="004038F0">
      <w:pPr>
        <w:jc w:val="both"/>
        <w:rPr>
          <w:szCs w:val="20"/>
        </w:rPr>
      </w:pPr>
      <w:r w:rsidRPr="00FA3856">
        <w:rPr>
          <w:szCs w:val="20"/>
        </w:rPr>
        <w:t>- quaisquer valores por intermédio de depósitos em contas bancárias mantidas no exterior;</w:t>
      </w:r>
    </w:p>
    <w:p w:rsidR="004038F0" w:rsidRPr="00FA3856" w:rsidRDefault="004038F0" w:rsidP="004038F0">
      <w:pPr>
        <w:jc w:val="both"/>
        <w:rPr>
          <w:szCs w:val="20"/>
        </w:rPr>
      </w:pPr>
      <w:r w:rsidRPr="00FA3856">
        <w:rPr>
          <w:szCs w:val="20"/>
        </w:rPr>
        <w:t>- valores iguais ou superiores a R$ 120.000,00 (cento e vinte mil reais), equivalentes a R$ 10.000,00 por mês, por intermédio de cartões de crédito;</w:t>
      </w:r>
    </w:p>
    <w:p w:rsidR="004038F0" w:rsidRPr="00FA3856" w:rsidRDefault="004038F0" w:rsidP="004038F0">
      <w:pPr>
        <w:jc w:val="both"/>
        <w:rPr>
          <w:szCs w:val="20"/>
        </w:rPr>
      </w:pPr>
      <w:r w:rsidRPr="00FA3856">
        <w:rPr>
          <w:szCs w:val="20"/>
        </w:rPr>
        <w:t xml:space="preserve">- valores em moeda nacional ou estrangeira, cheques ou cheques de viagem, convertidos em reais (R$) na data de cada operação, iguais ou superiores a R$ 120.000,00 (cento e vinte mil reais), equivalentes a R$ 10.000,00 por mês. </w:t>
      </w:r>
    </w:p>
    <w:p w:rsidR="0002526E" w:rsidRDefault="0002526E" w:rsidP="0002526E">
      <w:pPr>
        <w:pStyle w:val="PSDS-MarcadoresNivel4"/>
        <w:tabs>
          <w:tab w:val="clear" w:pos="2271"/>
          <w:tab w:val="left" w:pos="720"/>
        </w:tabs>
        <w:spacing w:before="0" w:after="0"/>
        <w:ind w:left="0" w:firstLine="0"/>
        <w:rPr>
          <w:rFonts w:ascii="Times New Roman" w:hAnsi="Times New Roman" w:cs="Times New Roman"/>
          <w:szCs w:val="20"/>
          <w:lang w:val="pt-PT"/>
        </w:rPr>
      </w:pPr>
    </w:p>
    <w:p w:rsidR="0038469A" w:rsidRPr="00FA3856" w:rsidRDefault="00B35FA3" w:rsidP="0038469A">
      <w:pPr>
        <w:pStyle w:val="PSDS-MarcadoresNivel4"/>
        <w:tabs>
          <w:tab w:val="clear" w:pos="2271"/>
          <w:tab w:val="left" w:pos="720"/>
        </w:tabs>
        <w:spacing w:before="0" w:after="0"/>
        <w:ind w:left="0" w:firstLine="0"/>
        <w:jc w:val="center"/>
        <w:rPr>
          <w:rFonts w:ascii="Times New Roman" w:hAnsi="Times New Roman" w:cs="Times New Roman"/>
          <w:szCs w:val="20"/>
          <w:lang w:val="pt-PT"/>
        </w:rPr>
      </w:pPr>
      <w:r>
        <w:rPr>
          <w:rFonts w:ascii="Times New Roman" w:hAnsi="Times New Roman" w:cs="Times New Roman"/>
          <w:szCs w:val="20"/>
          <w:lang w:val="pt-PT"/>
        </w:rPr>
        <w:object w:dxaOrig="14835" w:dyaOrig="4455">
          <v:shape id="_x0000_i2042" type="#_x0000_t75" style="width:792.75pt;height:216.75pt" o:ole="">
            <v:imagedata r:id="rId834" o:title=""/>
          </v:shape>
          <o:OLEObject Type="Link" ProgID="Excel.Sheet.12" ShapeID="_x0000_i2042" DrawAspect="Content" r:id="rId835" UpdateMode="Always">
            <o:LinkType>EnhancedMetaFile</o:LinkType>
            <o:LockedField>false</o:LockedField>
          </o:OLEObject>
        </w:object>
      </w:r>
    </w:p>
    <w:p w:rsidR="0038469A" w:rsidRDefault="0038469A" w:rsidP="0002526E">
      <w:pPr>
        <w:pStyle w:val="PSDS-MarcadoresNivel4"/>
        <w:tabs>
          <w:tab w:val="clear" w:pos="2271"/>
          <w:tab w:val="left" w:pos="720"/>
        </w:tabs>
        <w:spacing w:before="0" w:after="0"/>
        <w:ind w:left="0" w:firstLine="0"/>
        <w:rPr>
          <w:rFonts w:ascii="Times New Roman" w:hAnsi="Times New Roman" w:cs="Times New Roman"/>
          <w:szCs w:val="20"/>
          <w:lang w:val="pt-PT"/>
        </w:rPr>
      </w:pPr>
    </w:p>
    <w:p w:rsidR="0038469A" w:rsidRDefault="0038469A" w:rsidP="0002526E">
      <w:pPr>
        <w:pStyle w:val="PSDS-MarcadoresNivel4"/>
        <w:tabs>
          <w:tab w:val="clear" w:pos="2271"/>
          <w:tab w:val="left" w:pos="720"/>
        </w:tabs>
        <w:spacing w:before="0" w:after="0"/>
        <w:ind w:left="0" w:firstLine="0"/>
        <w:rPr>
          <w:rFonts w:ascii="Times New Roman" w:hAnsi="Times New Roman" w:cs="Times New Roman"/>
          <w:szCs w:val="20"/>
          <w:lang w:val="pt-PT"/>
        </w:rPr>
      </w:pPr>
    </w:p>
    <w:p w:rsidR="0038469A" w:rsidRDefault="0038469A" w:rsidP="0038469A">
      <w:pPr>
        <w:pStyle w:val="PSDS-MarcadoresNivel4"/>
        <w:tabs>
          <w:tab w:val="clear" w:pos="2271"/>
          <w:tab w:val="left" w:pos="720"/>
        </w:tabs>
        <w:spacing w:before="0" w:after="0"/>
        <w:ind w:left="0" w:firstLine="0"/>
        <w:jc w:val="center"/>
        <w:rPr>
          <w:rFonts w:ascii="Times New Roman" w:hAnsi="Times New Roman" w:cs="Times New Roman"/>
          <w:szCs w:val="20"/>
          <w:lang w:val="pt-PT"/>
        </w:rPr>
      </w:pPr>
    </w:p>
    <w:p w:rsidR="00D7606A" w:rsidRDefault="00D7606A" w:rsidP="0038469A">
      <w:pPr>
        <w:pStyle w:val="PSDS-MarcadoresNivel4"/>
        <w:tabs>
          <w:tab w:val="clear" w:pos="2271"/>
          <w:tab w:val="left" w:pos="720"/>
        </w:tabs>
        <w:spacing w:before="0" w:after="0"/>
        <w:ind w:left="0" w:firstLine="0"/>
        <w:jc w:val="center"/>
        <w:rPr>
          <w:rFonts w:ascii="Times New Roman" w:hAnsi="Times New Roman" w:cs="Times New Roman"/>
          <w:szCs w:val="20"/>
          <w:lang w:val="pt-PT"/>
        </w:rPr>
      </w:pPr>
    </w:p>
    <w:p w:rsidR="00D7606A" w:rsidRDefault="00D7606A" w:rsidP="0038469A">
      <w:pPr>
        <w:pStyle w:val="PSDS-MarcadoresNivel4"/>
        <w:tabs>
          <w:tab w:val="clear" w:pos="2271"/>
          <w:tab w:val="left" w:pos="720"/>
        </w:tabs>
        <w:spacing w:before="0" w:after="0"/>
        <w:ind w:left="0" w:firstLine="0"/>
        <w:jc w:val="center"/>
        <w:rPr>
          <w:rFonts w:ascii="Times New Roman" w:hAnsi="Times New Roman" w:cs="Times New Roman"/>
          <w:szCs w:val="20"/>
          <w:lang w:val="pt-PT"/>
        </w:rPr>
      </w:pPr>
    </w:p>
    <w:p w:rsidR="00D7606A" w:rsidRDefault="00D7606A" w:rsidP="0038469A">
      <w:pPr>
        <w:pStyle w:val="PSDS-MarcadoresNivel4"/>
        <w:tabs>
          <w:tab w:val="clear" w:pos="2271"/>
          <w:tab w:val="left" w:pos="720"/>
        </w:tabs>
        <w:spacing w:before="0" w:after="0"/>
        <w:ind w:left="0" w:firstLine="0"/>
        <w:jc w:val="center"/>
        <w:rPr>
          <w:rFonts w:ascii="Times New Roman" w:hAnsi="Times New Roman" w:cs="Times New Roman"/>
          <w:szCs w:val="20"/>
          <w:lang w:val="pt-PT"/>
        </w:rPr>
      </w:pPr>
    </w:p>
    <w:p w:rsidR="00D7606A" w:rsidRDefault="00D7606A" w:rsidP="0038469A">
      <w:pPr>
        <w:pStyle w:val="PSDS-MarcadoresNivel4"/>
        <w:tabs>
          <w:tab w:val="clear" w:pos="2271"/>
          <w:tab w:val="left" w:pos="720"/>
        </w:tabs>
        <w:spacing w:before="0" w:after="0"/>
        <w:ind w:left="0" w:firstLine="0"/>
        <w:jc w:val="center"/>
        <w:rPr>
          <w:rFonts w:ascii="Times New Roman" w:hAnsi="Times New Roman" w:cs="Times New Roman"/>
          <w:szCs w:val="20"/>
          <w:lang w:val="pt-PT"/>
        </w:rPr>
      </w:pPr>
    </w:p>
    <w:p w:rsidR="00D7606A" w:rsidRDefault="00D7606A" w:rsidP="0038469A">
      <w:pPr>
        <w:pStyle w:val="PSDS-MarcadoresNivel4"/>
        <w:tabs>
          <w:tab w:val="clear" w:pos="2271"/>
          <w:tab w:val="left" w:pos="720"/>
        </w:tabs>
        <w:spacing w:before="0" w:after="0"/>
        <w:ind w:left="0" w:firstLine="0"/>
        <w:jc w:val="center"/>
        <w:rPr>
          <w:rFonts w:ascii="Times New Roman" w:hAnsi="Times New Roman" w:cs="Times New Roman"/>
          <w:szCs w:val="20"/>
          <w:lang w:val="pt-PT"/>
        </w:rPr>
      </w:pPr>
    </w:p>
    <w:p w:rsidR="00D7606A" w:rsidRDefault="00D7606A" w:rsidP="0038469A">
      <w:pPr>
        <w:pStyle w:val="PSDS-MarcadoresNivel4"/>
        <w:tabs>
          <w:tab w:val="clear" w:pos="2271"/>
          <w:tab w:val="left" w:pos="720"/>
        </w:tabs>
        <w:spacing w:before="0" w:after="0"/>
        <w:ind w:left="0" w:firstLine="0"/>
        <w:jc w:val="center"/>
        <w:rPr>
          <w:rFonts w:ascii="Times New Roman" w:hAnsi="Times New Roman" w:cs="Times New Roman"/>
          <w:szCs w:val="20"/>
          <w:lang w:val="pt-PT"/>
        </w:rPr>
      </w:pPr>
    </w:p>
    <w:p w:rsidR="00D7606A" w:rsidRDefault="00B35FA3" w:rsidP="0038469A">
      <w:pPr>
        <w:pStyle w:val="PSDS-MarcadoresNivel4"/>
        <w:tabs>
          <w:tab w:val="clear" w:pos="2271"/>
          <w:tab w:val="left" w:pos="720"/>
        </w:tabs>
        <w:spacing w:before="0" w:after="0"/>
        <w:ind w:left="0" w:firstLine="0"/>
        <w:jc w:val="center"/>
        <w:rPr>
          <w:rFonts w:ascii="Times New Roman" w:hAnsi="Times New Roman" w:cs="Times New Roman"/>
          <w:szCs w:val="20"/>
          <w:lang w:val="pt-PT"/>
        </w:rPr>
      </w:pPr>
      <w:r>
        <w:rPr>
          <w:rFonts w:ascii="Times New Roman" w:hAnsi="Times New Roman" w:cs="Times New Roman"/>
          <w:szCs w:val="20"/>
          <w:lang w:val="pt-PT"/>
        </w:rPr>
        <w:object w:dxaOrig="14835" w:dyaOrig="5925">
          <v:shape id="_x0000_i2044" type="#_x0000_t75" style="width:792.75pt;height:287.25pt" o:ole="">
            <v:imagedata r:id="rId836" o:title=""/>
          </v:shape>
          <o:OLEObject Type="Link" ProgID="Excel.Sheet.12" ShapeID="_x0000_i2044" DrawAspect="Content" r:id="rId837" UpdateMode="Always">
            <o:LinkType>EnhancedMetaFile</o:LinkType>
            <o:LockedField>false</o:LockedField>
          </o:OLEObject>
        </w:object>
      </w:r>
    </w:p>
    <w:p w:rsidR="0038469A" w:rsidRDefault="0038469A" w:rsidP="0002526E">
      <w:pPr>
        <w:pStyle w:val="PSDS-MarcadoresNivel4"/>
        <w:tabs>
          <w:tab w:val="clear" w:pos="2271"/>
          <w:tab w:val="left" w:pos="720"/>
        </w:tabs>
        <w:spacing w:before="0" w:after="0"/>
        <w:ind w:left="0" w:firstLine="0"/>
        <w:rPr>
          <w:rFonts w:ascii="Times New Roman" w:hAnsi="Times New Roman" w:cs="Times New Roman"/>
          <w:szCs w:val="20"/>
          <w:lang w:val="pt-PT"/>
        </w:rPr>
      </w:pPr>
    </w:p>
    <w:p w:rsidR="00F47ED7" w:rsidRPr="00FA3856" w:rsidRDefault="00F47ED7" w:rsidP="0002526E">
      <w:pPr>
        <w:pStyle w:val="PSDS-MarcadoresNivel4"/>
        <w:tabs>
          <w:tab w:val="clear" w:pos="2271"/>
          <w:tab w:val="left" w:pos="720"/>
        </w:tabs>
        <w:spacing w:before="0" w:after="0"/>
        <w:ind w:left="0" w:firstLine="0"/>
        <w:rPr>
          <w:rFonts w:ascii="Times New Roman" w:hAnsi="Times New Roman" w:cs="Times New Roman"/>
          <w:szCs w:val="20"/>
          <w:lang w:val="pt-PT"/>
        </w:rPr>
      </w:pPr>
      <w:r w:rsidRPr="00FA3856">
        <w:rPr>
          <w:rFonts w:ascii="Times New Roman" w:hAnsi="Times New Roman" w:cs="Times New Roman"/>
          <w:szCs w:val="20"/>
          <w:lang w:val="pt-PT"/>
        </w:rPr>
        <w:t xml:space="preserve">I – Regras de Validação de Registro: </w:t>
      </w:r>
    </w:p>
    <w:p w:rsidR="00F47ED7" w:rsidRPr="00FA3856" w:rsidRDefault="00F47ED7" w:rsidP="0002526E">
      <w:pPr>
        <w:pStyle w:val="PSDS-MarcadoresNivel4"/>
        <w:tabs>
          <w:tab w:val="clear" w:pos="2271"/>
          <w:tab w:val="left" w:pos="720"/>
        </w:tabs>
        <w:spacing w:before="0" w:after="0"/>
        <w:ind w:left="0" w:firstLine="0"/>
        <w:rPr>
          <w:rFonts w:ascii="Times New Roman" w:hAnsi="Times New Roman" w:cs="Times New Roman"/>
          <w:szCs w:val="20"/>
          <w:lang w:val="pt-PT"/>
        </w:rPr>
      </w:pPr>
    </w:p>
    <w:p w:rsidR="00F47ED7" w:rsidRPr="00FA3856" w:rsidRDefault="00430C6A" w:rsidP="00F47ED7">
      <w:pPr>
        <w:pStyle w:val="PSDS-MarcadoresNivel4"/>
        <w:tabs>
          <w:tab w:val="clear" w:pos="2271"/>
          <w:tab w:val="left" w:pos="720"/>
        </w:tabs>
        <w:spacing w:before="0" w:after="0"/>
        <w:ind w:left="0" w:firstLine="0"/>
        <w:jc w:val="both"/>
        <w:rPr>
          <w:rFonts w:ascii="Times New Roman" w:hAnsi="Times New Roman" w:cs="Times New Roman"/>
          <w:b w:val="0"/>
          <w:bCs w:val="0"/>
          <w:szCs w:val="20"/>
        </w:rPr>
      </w:pPr>
      <w:r w:rsidRPr="00FA3856">
        <w:rPr>
          <w:rFonts w:ascii="Times New Roman" w:hAnsi="Times New Roman" w:cs="Times New Roman"/>
          <w:bCs w:val="0"/>
          <w:szCs w:val="20"/>
        </w:rPr>
        <w:t>REGRA_Y5</w:t>
      </w:r>
      <w:r w:rsidR="00F47ED7" w:rsidRPr="00FA3856">
        <w:rPr>
          <w:rFonts w:ascii="Times New Roman" w:hAnsi="Times New Roman" w:cs="Times New Roman"/>
          <w:bCs w:val="0"/>
          <w:szCs w:val="20"/>
        </w:rPr>
        <w:t xml:space="preserve">20_OBRIGATORIO_R: </w:t>
      </w:r>
      <w:r w:rsidR="00F47ED7" w:rsidRPr="00FA3856">
        <w:rPr>
          <w:rFonts w:ascii="Times New Roman" w:hAnsi="Times New Roman" w:cs="Times New Roman"/>
          <w:b w:val="0"/>
          <w:bCs w:val="0"/>
          <w:szCs w:val="20"/>
        </w:rPr>
        <w:t>Verifica, quando 0020.IND_R</w:t>
      </w:r>
      <w:r w:rsidRPr="00FA3856">
        <w:rPr>
          <w:rFonts w:ascii="Times New Roman" w:hAnsi="Times New Roman" w:cs="Times New Roman"/>
          <w:b w:val="0"/>
          <w:bCs w:val="0"/>
          <w:szCs w:val="20"/>
        </w:rPr>
        <w:t>EC_EXT igual a “S”, se existe Y5</w:t>
      </w:r>
      <w:r w:rsidR="00F47ED7" w:rsidRPr="00FA3856">
        <w:rPr>
          <w:rFonts w:ascii="Times New Roman" w:hAnsi="Times New Roman" w:cs="Times New Roman"/>
          <w:b w:val="0"/>
          <w:bCs w:val="0"/>
          <w:szCs w:val="20"/>
        </w:rPr>
        <w:t>20.TIP_</w:t>
      </w:r>
      <w:r w:rsidR="0011050B" w:rsidRPr="00FA3856">
        <w:rPr>
          <w:rFonts w:ascii="Times New Roman" w:hAnsi="Times New Roman" w:cs="Times New Roman"/>
          <w:b w:val="0"/>
          <w:bCs w:val="0"/>
          <w:szCs w:val="20"/>
        </w:rPr>
        <w:t xml:space="preserve">EXT </w:t>
      </w:r>
      <w:r w:rsidRPr="00FA3856">
        <w:rPr>
          <w:rFonts w:ascii="Times New Roman" w:hAnsi="Times New Roman" w:cs="Times New Roman"/>
          <w:b w:val="0"/>
          <w:bCs w:val="0"/>
          <w:szCs w:val="20"/>
        </w:rPr>
        <w:t>igual a “R” e não existe Y5</w:t>
      </w:r>
      <w:r w:rsidR="00F47ED7" w:rsidRPr="00FA3856">
        <w:rPr>
          <w:rFonts w:ascii="Times New Roman" w:hAnsi="Times New Roman" w:cs="Times New Roman"/>
          <w:b w:val="0"/>
          <w:bCs w:val="0"/>
          <w:szCs w:val="20"/>
        </w:rPr>
        <w:t>20.TIP_EXT igual a “P”. Se a regra não for cumprida, o sistema gera um erro.</w:t>
      </w:r>
    </w:p>
    <w:p w:rsidR="00F47ED7" w:rsidRPr="00FA3856" w:rsidRDefault="00F47ED7" w:rsidP="00F47ED7">
      <w:pPr>
        <w:pStyle w:val="PSDS-MarcadoresNivel4"/>
        <w:tabs>
          <w:tab w:val="clear" w:pos="2271"/>
          <w:tab w:val="left" w:pos="720"/>
        </w:tabs>
        <w:spacing w:before="0" w:after="0"/>
        <w:ind w:left="0" w:firstLine="0"/>
        <w:jc w:val="both"/>
        <w:rPr>
          <w:rFonts w:ascii="Times New Roman" w:hAnsi="Times New Roman" w:cs="Times New Roman"/>
          <w:b w:val="0"/>
          <w:bCs w:val="0"/>
          <w:szCs w:val="20"/>
        </w:rPr>
      </w:pPr>
    </w:p>
    <w:p w:rsidR="00F47ED7" w:rsidRPr="00FA3856" w:rsidRDefault="00430C6A" w:rsidP="00F47ED7">
      <w:pPr>
        <w:pStyle w:val="PSDS-MarcadoresNivel4"/>
        <w:tabs>
          <w:tab w:val="clear" w:pos="2271"/>
          <w:tab w:val="left" w:pos="720"/>
        </w:tabs>
        <w:spacing w:before="0" w:after="0"/>
        <w:ind w:left="0" w:firstLine="0"/>
        <w:jc w:val="both"/>
        <w:rPr>
          <w:rFonts w:ascii="Times New Roman" w:hAnsi="Times New Roman" w:cs="Times New Roman"/>
          <w:b w:val="0"/>
          <w:bCs w:val="0"/>
          <w:szCs w:val="20"/>
        </w:rPr>
      </w:pPr>
      <w:r w:rsidRPr="00FA3856">
        <w:rPr>
          <w:rFonts w:ascii="Times New Roman" w:hAnsi="Times New Roman" w:cs="Times New Roman"/>
          <w:bCs w:val="0"/>
          <w:szCs w:val="20"/>
        </w:rPr>
        <w:t>REGRA_Y5</w:t>
      </w:r>
      <w:r w:rsidR="00F47ED7" w:rsidRPr="00FA3856">
        <w:rPr>
          <w:rFonts w:ascii="Times New Roman" w:hAnsi="Times New Roman" w:cs="Times New Roman"/>
          <w:bCs w:val="0"/>
          <w:szCs w:val="20"/>
        </w:rPr>
        <w:t xml:space="preserve">20_OBRIGATORIO_P: </w:t>
      </w:r>
      <w:r w:rsidR="00F47ED7" w:rsidRPr="00FA3856">
        <w:rPr>
          <w:rFonts w:ascii="Times New Roman" w:hAnsi="Times New Roman" w:cs="Times New Roman"/>
          <w:b w:val="0"/>
          <w:bCs w:val="0"/>
          <w:szCs w:val="20"/>
        </w:rPr>
        <w:t>Verifica, quando 0020.IND_PGTO_E</w:t>
      </w:r>
      <w:r w:rsidRPr="00FA3856">
        <w:rPr>
          <w:rFonts w:ascii="Times New Roman" w:hAnsi="Times New Roman" w:cs="Times New Roman"/>
          <w:b w:val="0"/>
          <w:bCs w:val="0"/>
          <w:szCs w:val="20"/>
        </w:rPr>
        <w:t>XT igual a “S”, se não existe Y5</w:t>
      </w:r>
      <w:r w:rsidR="00F47ED7" w:rsidRPr="00FA3856">
        <w:rPr>
          <w:rFonts w:ascii="Times New Roman" w:hAnsi="Times New Roman" w:cs="Times New Roman"/>
          <w:b w:val="0"/>
          <w:bCs w:val="0"/>
          <w:szCs w:val="20"/>
        </w:rPr>
        <w:t>20</w:t>
      </w:r>
      <w:r w:rsidR="0011050B" w:rsidRPr="00FA3856">
        <w:rPr>
          <w:rFonts w:ascii="Times New Roman" w:hAnsi="Times New Roman" w:cs="Times New Roman"/>
          <w:b w:val="0"/>
          <w:bCs w:val="0"/>
          <w:szCs w:val="20"/>
        </w:rPr>
        <w:t xml:space="preserve">.TIP_EXT </w:t>
      </w:r>
      <w:r w:rsidRPr="00FA3856">
        <w:rPr>
          <w:rFonts w:ascii="Times New Roman" w:hAnsi="Times New Roman" w:cs="Times New Roman"/>
          <w:b w:val="0"/>
          <w:bCs w:val="0"/>
          <w:szCs w:val="20"/>
        </w:rPr>
        <w:t>igual a “R” e existe Y5</w:t>
      </w:r>
      <w:r w:rsidR="00F47ED7" w:rsidRPr="00FA3856">
        <w:rPr>
          <w:rFonts w:ascii="Times New Roman" w:hAnsi="Times New Roman" w:cs="Times New Roman"/>
          <w:b w:val="0"/>
          <w:bCs w:val="0"/>
          <w:szCs w:val="20"/>
        </w:rPr>
        <w:t>20.TIP_EXT igual a “P”. Se a regra não for cumprida, o sistema gera um erro.</w:t>
      </w:r>
    </w:p>
    <w:p w:rsidR="00F47ED7" w:rsidRPr="00FA3856" w:rsidRDefault="00F47ED7" w:rsidP="0002526E">
      <w:pPr>
        <w:pStyle w:val="PSDS-MarcadoresNivel4"/>
        <w:tabs>
          <w:tab w:val="clear" w:pos="2271"/>
          <w:tab w:val="left" w:pos="720"/>
        </w:tabs>
        <w:spacing w:before="0" w:after="0"/>
        <w:ind w:left="0" w:firstLine="0"/>
        <w:rPr>
          <w:rFonts w:ascii="Times New Roman" w:hAnsi="Times New Roman" w:cs="Times New Roman"/>
          <w:szCs w:val="20"/>
          <w:lang w:val="pt-PT"/>
        </w:rPr>
      </w:pPr>
    </w:p>
    <w:p w:rsidR="00D7606A" w:rsidRDefault="00D7606A">
      <w:pPr>
        <w:spacing w:after="200" w:line="276" w:lineRule="auto"/>
        <w:rPr>
          <w:rFonts w:cs="Times New Roman"/>
          <w:b/>
          <w:bCs/>
          <w:szCs w:val="20"/>
          <w:lang w:val="pt-PT"/>
        </w:rPr>
      </w:pPr>
      <w:r>
        <w:rPr>
          <w:rFonts w:cs="Times New Roman"/>
          <w:szCs w:val="20"/>
          <w:lang w:val="pt-PT"/>
        </w:rPr>
        <w:br w:type="page"/>
      </w:r>
    </w:p>
    <w:p w:rsidR="0002526E" w:rsidRPr="00FA3856" w:rsidRDefault="00F47ED7" w:rsidP="0002526E">
      <w:pPr>
        <w:pStyle w:val="PSDS-MarcadoresNivel4"/>
        <w:tabs>
          <w:tab w:val="clear" w:pos="2271"/>
          <w:tab w:val="left" w:pos="720"/>
        </w:tabs>
        <w:spacing w:before="0" w:after="0"/>
        <w:ind w:left="0" w:firstLine="0"/>
        <w:rPr>
          <w:rFonts w:ascii="Times New Roman" w:hAnsi="Times New Roman" w:cs="Times New Roman"/>
          <w:szCs w:val="20"/>
          <w:lang w:val="pt-PT"/>
        </w:rPr>
      </w:pPr>
      <w:r w:rsidRPr="00FA3856">
        <w:rPr>
          <w:rFonts w:ascii="Times New Roman" w:hAnsi="Times New Roman" w:cs="Times New Roman"/>
          <w:szCs w:val="20"/>
          <w:lang w:val="pt-PT"/>
        </w:rPr>
        <w:lastRenderedPageBreak/>
        <w:t>I</w:t>
      </w:r>
      <w:r w:rsidR="0002526E" w:rsidRPr="00FA3856">
        <w:rPr>
          <w:rFonts w:ascii="Times New Roman" w:hAnsi="Times New Roman" w:cs="Times New Roman"/>
          <w:szCs w:val="20"/>
          <w:lang w:val="pt-PT"/>
        </w:rPr>
        <w:t>I – Regras de Validação de Campos:</w:t>
      </w:r>
    </w:p>
    <w:p w:rsidR="00D73F2C" w:rsidRPr="00FA3856" w:rsidRDefault="00D73F2C" w:rsidP="0002526E">
      <w:pPr>
        <w:pStyle w:val="PSDS-MarcadoresNivel4"/>
        <w:tabs>
          <w:tab w:val="clear" w:pos="2271"/>
          <w:tab w:val="left" w:pos="720"/>
        </w:tabs>
        <w:spacing w:before="0" w:after="0"/>
        <w:ind w:left="0" w:firstLine="0"/>
        <w:rPr>
          <w:rFonts w:ascii="Times New Roman" w:hAnsi="Times New Roman" w:cs="Times New Roman"/>
          <w:szCs w:val="20"/>
          <w:lang w:val="pt-PT"/>
        </w:rPr>
      </w:pPr>
    </w:p>
    <w:tbl>
      <w:tblPr>
        <w:tblW w:w="16370"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85"/>
        <w:gridCol w:w="3000"/>
        <w:gridCol w:w="12168"/>
        <w:gridCol w:w="717"/>
      </w:tblGrid>
      <w:tr w:rsidR="0002526E" w:rsidRPr="00FA3856" w:rsidTr="00E117C4">
        <w:trPr>
          <w:jc w:val="center"/>
        </w:trPr>
        <w:tc>
          <w:tcPr>
            <w:tcW w:w="485" w:type="dxa"/>
            <w:tcBorders>
              <w:top w:val="single" w:sz="6" w:space="0" w:color="auto"/>
              <w:left w:val="single" w:sz="6" w:space="0" w:color="auto"/>
              <w:bottom w:val="single" w:sz="6" w:space="0" w:color="auto"/>
              <w:right w:val="single" w:sz="6" w:space="0" w:color="auto"/>
            </w:tcBorders>
            <w:shd w:val="pct10" w:color="auto" w:fill="FFFFFF"/>
          </w:tcPr>
          <w:p w:rsidR="0002526E" w:rsidRPr="00FA3856" w:rsidRDefault="0002526E" w:rsidP="0002526E">
            <w:pPr>
              <w:pStyle w:val="PSDS-CorpodeTexto0"/>
              <w:jc w:val="center"/>
              <w:rPr>
                <w:rFonts w:ascii="Times New Roman" w:hAnsi="Times New Roman"/>
                <w:b/>
                <w:bCs/>
              </w:rPr>
            </w:pPr>
            <w:r w:rsidRPr="00FA3856">
              <w:rPr>
                <w:rFonts w:ascii="Times New Roman" w:hAnsi="Times New Roman"/>
                <w:b/>
                <w:bCs/>
              </w:rPr>
              <w:t>Nº</w:t>
            </w:r>
          </w:p>
        </w:tc>
        <w:tc>
          <w:tcPr>
            <w:tcW w:w="3000" w:type="dxa"/>
            <w:tcBorders>
              <w:top w:val="single" w:sz="6" w:space="0" w:color="auto"/>
              <w:left w:val="single" w:sz="6" w:space="0" w:color="auto"/>
              <w:bottom w:val="single" w:sz="6" w:space="0" w:color="auto"/>
              <w:right w:val="single" w:sz="6" w:space="0" w:color="auto"/>
            </w:tcBorders>
            <w:shd w:val="pct10" w:color="auto" w:fill="FFFFFF"/>
          </w:tcPr>
          <w:p w:rsidR="0002526E" w:rsidRPr="00FA3856" w:rsidRDefault="0002526E" w:rsidP="0002526E">
            <w:pPr>
              <w:pStyle w:val="PSDS-CorpodeTexto0"/>
              <w:jc w:val="center"/>
              <w:rPr>
                <w:rFonts w:ascii="Times New Roman" w:hAnsi="Times New Roman"/>
                <w:b/>
                <w:bCs/>
              </w:rPr>
            </w:pPr>
            <w:r w:rsidRPr="00FA3856">
              <w:rPr>
                <w:rFonts w:ascii="Times New Roman" w:hAnsi="Times New Roman"/>
                <w:b/>
                <w:bCs/>
              </w:rPr>
              <w:t>Campo</w:t>
            </w:r>
          </w:p>
        </w:tc>
        <w:tc>
          <w:tcPr>
            <w:tcW w:w="12168" w:type="dxa"/>
            <w:tcBorders>
              <w:top w:val="single" w:sz="6" w:space="0" w:color="auto"/>
              <w:left w:val="single" w:sz="6" w:space="0" w:color="auto"/>
              <w:bottom w:val="single" w:sz="6" w:space="0" w:color="auto"/>
              <w:right w:val="single" w:sz="6" w:space="0" w:color="auto"/>
            </w:tcBorders>
            <w:shd w:val="pct10" w:color="auto" w:fill="FFFFFF"/>
          </w:tcPr>
          <w:p w:rsidR="0002526E" w:rsidRPr="00FA3856" w:rsidRDefault="0002526E" w:rsidP="0002526E">
            <w:pPr>
              <w:pStyle w:val="PSDS-CorpodeTexto0"/>
              <w:jc w:val="center"/>
              <w:rPr>
                <w:rFonts w:ascii="Times New Roman" w:hAnsi="Times New Roman"/>
                <w:b/>
                <w:bCs/>
              </w:rPr>
            </w:pPr>
            <w:r w:rsidRPr="00FA3856">
              <w:rPr>
                <w:rFonts w:ascii="Times New Roman" w:hAnsi="Times New Roman"/>
                <w:b/>
                <w:bCs/>
              </w:rPr>
              <w:t>Regras de Validação do Campo</w:t>
            </w:r>
          </w:p>
        </w:tc>
        <w:tc>
          <w:tcPr>
            <w:tcW w:w="717" w:type="dxa"/>
            <w:tcBorders>
              <w:top w:val="single" w:sz="6" w:space="0" w:color="auto"/>
              <w:left w:val="single" w:sz="6" w:space="0" w:color="auto"/>
              <w:bottom w:val="single" w:sz="6" w:space="0" w:color="auto"/>
              <w:right w:val="single" w:sz="6" w:space="0" w:color="auto"/>
            </w:tcBorders>
            <w:shd w:val="pct10" w:color="auto" w:fill="FFFFFF"/>
          </w:tcPr>
          <w:p w:rsidR="0002526E" w:rsidRPr="00FA3856" w:rsidRDefault="0002526E" w:rsidP="0002526E">
            <w:pPr>
              <w:pStyle w:val="PSDS-CorpodeTexto0"/>
              <w:jc w:val="center"/>
              <w:rPr>
                <w:rFonts w:ascii="Times New Roman" w:hAnsi="Times New Roman"/>
                <w:b/>
                <w:bCs/>
              </w:rPr>
            </w:pPr>
            <w:r w:rsidRPr="00FA3856">
              <w:rPr>
                <w:rFonts w:ascii="Times New Roman" w:hAnsi="Times New Roman"/>
                <w:b/>
                <w:bCs/>
              </w:rPr>
              <w:t>Tipo</w:t>
            </w:r>
          </w:p>
        </w:tc>
      </w:tr>
      <w:tr w:rsidR="0002526E" w:rsidRPr="00FA3856" w:rsidTr="00E117C4">
        <w:trPr>
          <w:jc w:val="center"/>
        </w:trPr>
        <w:tc>
          <w:tcPr>
            <w:tcW w:w="485" w:type="dxa"/>
            <w:tcBorders>
              <w:top w:val="single" w:sz="6" w:space="0" w:color="auto"/>
              <w:left w:val="single" w:sz="6" w:space="0" w:color="auto"/>
              <w:bottom w:val="single" w:sz="6" w:space="0" w:color="auto"/>
              <w:right w:val="single" w:sz="6" w:space="0" w:color="auto"/>
            </w:tcBorders>
          </w:tcPr>
          <w:p w:rsidR="0002526E" w:rsidRPr="00FA3856" w:rsidRDefault="0002526E" w:rsidP="0002526E">
            <w:pPr>
              <w:pStyle w:val="PSDS-CorpodeTexto0"/>
              <w:suppressAutoHyphens w:val="0"/>
              <w:rPr>
                <w:rFonts w:ascii="Times New Roman" w:hAnsi="Times New Roman"/>
                <w:b/>
                <w:bCs/>
                <w:lang w:val="pt-PT"/>
              </w:rPr>
            </w:pPr>
            <w:r w:rsidRPr="00FA3856">
              <w:rPr>
                <w:rFonts w:ascii="Times New Roman" w:hAnsi="Times New Roman"/>
                <w:b/>
                <w:bCs/>
                <w:lang w:val="pt-PT"/>
              </w:rPr>
              <w:t>2</w:t>
            </w:r>
          </w:p>
        </w:tc>
        <w:tc>
          <w:tcPr>
            <w:tcW w:w="3000" w:type="dxa"/>
            <w:tcBorders>
              <w:top w:val="single" w:sz="6" w:space="0" w:color="auto"/>
              <w:left w:val="single" w:sz="6" w:space="0" w:color="auto"/>
              <w:bottom w:val="single" w:sz="6" w:space="0" w:color="auto"/>
              <w:right w:val="single" w:sz="6" w:space="0" w:color="auto"/>
            </w:tcBorders>
          </w:tcPr>
          <w:p w:rsidR="0002526E" w:rsidRPr="00FA3856" w:rsidRDefault="0002526E" w:rsidP="0002526E">
            <w:pPr>
              <w:pStyle w:val="PSDS-CorpodeTexto0"/>
              <w:rPr>
                <w:rFonts w:ascii="Times New Roman" w:hAnsi="Times New Roman"/>
                <w:lang w:val="pt-PT"/>
              </w:rPr>
            </w:pPr>
            <w:r w:rsidRPr="00FA3856">
              <w:rPr>
                <w:rFonts w:ascii="Times New Roman" w:hAnsi="Times New Roman"/>
                <w:lang w:val="pt-PT"/>
              </w:rPr>
              <w:t>TIP_EXT</w:t>
            </w:r>
          </w:p>
        </w:tc>
        <w:tc>
          <w:tcPr>
            <w:tcW w:w="12168" w:type="dxa"/>
            <w:tcBorders>
              <w:top w:val="single" w:sz="6" w:space="0" w:color="auto"/>
              <w:left w:val="single" w:sz="6" w:space="0" w:color="auto"/>
              <w:bottom w:val="single" w:sz="6" w:space="0" w:color="auto"/>
              <w:right w:val="single" w:sz="6" w:space="0" w:color="auto"/>
            </w:tcBorders>
          </w:tcPr>
          <w:p w:rsidR="0002526E" w:rsidRPr="00FA3856" w:rsidRDefault="0002526E" w:rsidP="0002526E">
            <w:pPr>
              <w:pStyle w:val="PSDS-CorpodeTexto0"/>
              <w:jc w:val="both"/>
              <w:rPr>
                <w:rFonts w:ascii="Times New Roman" w:hAnsi="Times New Roman"/>
              </w:rPr>
            </w:pPr>
            <w:r w:rsidRPr="00FA3856">
              <w:rPr>
                <w:rStyle w:val="Hyperlink"/>
                <w:rFonts w:ascii="Times New Roman" w:hAnsi="Times New Roman"/>
                <w:b/>
                <w:color w:val="auto"/>
              </w:rPr>
              <w:t xml:space="preserve">REGRA_TIP_EXT_PERMITIDO: </w:t>
            </w:r>
            <w:r w:rsidR="004038F0" w:rsidRPr="00FA3856">
              <w:rPr>
                <w:rStyle w:val="Hyperlink"/>
                <w:rFonts w:ascii="Times New Roman" w:hAnsi="Times New Roman"/>
                <w:color w:val="auto"/>
              </w:rPr>
              <w:t xml:space="preserve">Verifica, quando </w:t>
            </w:r>
            <w:r w:rsidR="00430C6A" w:rsidRPr="00FA3856">
              <w:rPr>
                <w:rStyle w:val="Hyperlink"/>
                <w:rFonts w:ascii="Times New Roman" w:hAnsi="Times New Roman"/>
                <w:color w:val="auto"/>
              </w:rPr>
              <w:t>Y520.</w:t>
            </w:r>
            <w:r w:rsidR="004038F0" w:rsidRPr="00FA3856">
              <w:rPr>
                <w:rStyle w:val="Hyperlink"/>
                <w:rFonts w:ascii="Times New Roman" w:hAnsi="Times New Roman"/>
                <w:color w:val="auto"/>
              </w:rPr>
              <w:t>TIP_EXT</w:t>
            </w:r>
            <w:r w:rsidR="0011050B" w:rsidRPr="00FA3856">
              <w:rPr>
                <w:rStyle w:val="Hyperlink"/>
                <w:rFonts w:ascii="Times New Roman" w:hAnsi="Times New Roman"/>
                <w:color w:val="auto"/>
              </w:rPr>
              <w:t xml:space="preserve"> </w:t>
            </w:r>
            <w:r w:rsidRPr="00FA3856">
              <w:rPr>
                <w:rStyle w:val="Hyperlink"/>
                <w:rFonts w:ascii="Times New Roman" w:hAnsi="Times New Roman"/>
                <w:color w:val="auto"/>
              </w:rPr>
              <w:t>igual a “P”, se 0020_IND_PGTO_EXT é</w:t>
            </w:r>
            <w:r w:rsidR="00C962EA" w:rsidRPr="00FA3856">
              <w:rPr>
                <w:rStyle w:val="Hyperlink"/>
                <w:rFonts w:ascii="Times New Roman" w:hAnsi="Times New Roman"/>
                <w:color w:val="auto"/>
              </w:rPr>
              <w:t xml:space="preserve"> igual a “S”, ou, quando</w:t>
            </w:r>
            <w:r w:rsidR="00430C6A" w:rsidRPr="00FA3856">
              <w:rPr>
                <w:rStyle w:val="Hyperlink"/>
                <w:rFonts w:ascii="Times New Roman" w:hAnsi="Times New Roman"/>
                <w:color w:val="auto"/>
              </w:rPr>
              <w:t>Y520.</w:t>
            </w:r>
            <w:r w:rsidR="00C962EA" w:rsidRPr="00FA3856">
              <w:rPr>
                <w:rStyle w:val="Hyperlink"/>
                <w:rFonts w:ascii="Times New Roman" w:hAnsi="Times New Roman"/>
                <w:color w:val="auto"/>
              </w:rPr>
              <w:t>TIP_EXT</w:t>
            </w:r>
            <w:r w:rsidR="0011050B" w:rsidRPr="00FA3856">
              <w:rPr>
                <w:rStyle w:val="Hyperlink"/>
                <w:rFonts w:ascii="Times New Roman" w:hAnsi="Times New Roman"/>
                <w:color w:val="auto"/>
              </w:rPr>
              <w:t xml:space="preserve"> </w:t>
            </w:r>
            <w:r w:rsidRPr="00FA3856">
              <w:rPr>
                <w:rStyle w:val="Hyperlink"/>
                <w:rFonts w:ascii="Times New Roman" w:hAnsi="Times New Roman"/>
                <w:color w:val="auto"/>
              </w:rPr>
              <w:t>igual a “R”, se 0020_IND_REC_EXT é igual a “S”.</w:t>
            </w:r>
          </w:p>
        </w:tc>
        <w:tc>
          <w:tcPr>
            <w:tcW w:w="717" w:type="dxa"/>
            <w:tcBorders>
              <w:top w:val="single" w:sz="6" w:space="0" w:color="auto"/>
              <w:left w:val="single" w:sz="6" w:space="0" w:color="auto"/>
              <w:bottom w:val="single" w:sz="6" w:space="0" w:color="auto"/>
              <w:right w:val="single" w:sz="6" w:space="0" w:color="auto"/>
            </w:tcBorders>
          </w:tcPr>
          <w:p w:rsidR="0002526E" w:rsidRPr="00FA3856" w:rsidRDefault="0002526E" w:rsidP="0002526E">
            <w:pPr>
              <w:pStyle w:val="PSDS-CorpodeTexto0"/>
              <w:rPr>
                <w:rFonts w:ascii="Times New Roman" w:hAnsi="Times New Roman"/>
                <w:lang w:val="pt-PT"/>
              </w:rPr>
            </w:pPr>
            <w:r w:rsidRPr="00FA3856">
              <w:rPr>
                <w:rFonts w:ascii="Times New Roman" w:hAnsi="Times New Roman"/>
                <w:lang w:val="pt-PT"/>
              </w:rPr>
              <w:t>Erro</w:t>
            </w:r>
          </w:p>
        </w:tc>
      </w:tr>
      <w:tr w:rsidR="0002526E" w:rsidRPr="00FA3856" w:rsidTr="00E117C4">
        <w:trPr>
          <w:jc w:val="center"/>
        </w:trPr>
        <w:tc>
          <w:tcPr>
            <w:tcW w:w="485" w:type="dxa"/>
            <w:tcBorders>
              <w:top w:val="single" w:sz="6" w:space="0" w:color="auto"/>
              <w:left w:val="single" w:sz="6" w:space="0" w:color="auto"/>
              <w:bottom w:val="single" w:sz="6" w:space="0" w:color="auto"/>
              <w:right w:val="single" w:sz="6" w:space="0" w:color="auto"/>
            </w:tcBorders>
          </w:tcPr>
          <w:p w:rsidR="0002526E" w:rsidRPr="00FA3856" w:rsidRDefault="0002526E" w:rsidP="0002526E">
            <w:pPr>
              <w:pStyle w:val="PSDS-CorpodeTexto0"/>
              <w:suppressAutoHyphens w:val="0"/>
              <w:rPr>
                <w:rFonts w:ascii="Times New Roman" w:hAnsi="Times New Roman"/>
                <w:b/>
                <w:bCs/>
                <w:lang w:val="pt-PT"/>
              </w:rPr>
            </w:pPr>
            <w:r w:rsidRPr="00FA3856">
              <w:rPr>
                <w:rFonts w:ascii="Times New Roman" w:hAnsi="Times New Roman"/>
                <w:b/>
                <w:bCs/>
                <w:lang w:val="pt-PT"/>
              </w:rPr>
              <w:t>4</w:t>
            </w:r>
          </w:p>
        </w:tc>
        <w:tc>
          <w:tcPr>
            <w:tcW w:w="3000" w:type="dxa"/>
            <w:tcBorders>
              <w:top w:val="single" w:sz="6" w:space="0" w:color="auto"/>
              <w:left w:val="single" w:sz="6" w:space="0" w:color="auto"/>
              <w:bottom w:val="single" w:sz="6" w:space="0" w:color="auto"/>
              <w:right w:val="single" w:sz="6" w:space="0" w:color="auto"/>
            </w:tcBorders>
          </w:tcPr>
          <w:p w:rsidR="0002526E" w:rsidRPr="00FA3856" w:rsidRDefault="0002526E" w:rsidP="0002526E">
            <w:pPr>
              <w:pStyle w:val="PSDS-CorpodeTexto0"/>
              <w:rPr>
                <w:rFonts w:ascii="Times New Roman" w:hAnsi="Times New Roman"/>
                <w:lang w:val="pt-PT"/>
              </w:rPr>
            </w:pPr>
            <w:r w:rsidRPr="00FA3856">
              <w:rPr>
                <w:rFonts w:ascii="Times New Roman" w:hAnsi="Times New Roman"/>
                <w:lang w:val="pt-PT"/>
              </w:rPr>
              <w:t>FORMA</w:t>
            </w:r>
          </w:p>
        </w:tc>
        <w:tc>
          <w:tcPr>
            <w:tcW w:w="12168" w:type="dxa"/>
            <w:tcBorders>
              <w:top w:val="single" w:sz="6" w:space="0" w:color="auto"/>
              <w:left w:val="single" w:sz="6" w:space="0" w:color="auto"/>
              <w:bottom w:val="single" w:sz="6" w:space="0" w:color="auto"/>
              <w:right w:val="single" w:sz="6" w:space="0" w:color="auto"/>
            </w:tcBorders>
          </w:tcPr>
          <w:p w:rsidR="0002526E" w:rsidRPr="00FA3856" w:rsidRDefault="0002526E" w:rsidP="00746FF1">
            <w:pPr>
              <w:pStyle w:val="PSDS-CorpodeTexto0"/>
              <w:jc w:val="both"/>
              <w:rPr>
                <w:rFonts w:ascii="Times New Roman" w:hAnsi="Times New Roman"/>
              </w:rPr>
            </w:pPr>
            <w:r w:rsidRPr="00FA3856">
              <w:rPr>
                <w:rStyle w:val="Hyperlink"/>
                <w:rFonts w:ascii="Times New Roman" w:hAnsi="Times New Roman"/>
                <w:b/>
                <w:color w:val="auto"/>
              </w:rPr>
              <w:t xml:space="preserve">REGRA_FORMA_PAGTO_INVALIDA: </w:t>
            </w:r>
            <w:r w:rsidRPr="00FA3856">
              <w:rPr>
                <w:rStyle w:val="Hyperlink"/>
                <w:rFonts w:ascii="Times New Roman" w:hAnsi="Times New Roman"/>
                <w:color w:val="auto"/>
              </w:rPr>
              <w:t>Verifica</w:t>
            </w:r>
            <w:r w:rsidR="00746FF1" w:rsidRPr="00FA3856">
              <w:rPr>
                <w:rStyle w:val="Hyperlink"/>
                <w:rFonts w:ascii="Times New Roman" w:hAnsi="Times New Roman"/>
                <w:color w:val="auto"/>
              </w:rPr>
              <w:t xml:space="preserve">, quando </w:t>
            </w:r>
            <w:r w:rsidR="0011050B" w:rsidRPr="00FA3856">
              <w:rPr>
                <w:rStyle w:val="Hyperlink"/>
                <w:rFonts w:ascii="Times New Roman" w:hAnsi="Times New Roman"/>
                <w:color w:val="auto"/>
              </w:rPr>
              <w:t xml:space="preserve">Y520.TIP_EXT </w:t>
            </w:r>
            <w:r w:rsidR="00746FF1" w:rsidRPr="00FA3856">
              <w:rPr>
                <w:rStyle w:val="Hyperlink"/>
                <w:rFonts w:ascii="Times New Roman" w:hAnsi="Times New Roman"/>
                <w:color w:val="auto"/>
              </w:rPr>
              <w:t xml:space="preserve">igual a “P”, se </w:t>
            </w:r>
            <w:r w:rsidR="0011050B" w:rsidRPr="00FA3856">
              <w:rPr>
                <w:rStyle w:val="Hyperlink"/>
                <w:rFonts w:ascii="Times New Roman" w:hAnsi="Times New Roman"/>
                <w:color w:val="auto"/>
              </w:rPr>
              <w:t xml:space="preserve">Y520.FORMA </w:t>
            </w:r>
            <w:r w:rsidR="00746FF1" w:rsidRPr="00FA3856">
              <w:rPr>
                <w:rStyle w:val="Hyperlink"/>
                <w:rFonts w:ascii="Times New Roman" w:hAnsi="Times New Roman"/>
                <w:color w:val="auto"/>
              </w:rPr>
              <w:t xml:space="preserve">é diferente de “4”, ou, quando </w:t>
            </w:r>
            <w:r w:rsidR="0011050B" w:rsidRPr="00FA3856">
              <w:rPr>
                <w:rStyle w:val="Hyperlink"/>
                <w:rFonts w:ascii="Times New Roman" w:hAnsi="Times New Roman"/>
                <w:color w:val="auto"/>
              </w:rPr>
              <w:t xml:space="preserve">Y520.TIP_EXT </w:t>
            </w:r>
            <w:r w:rsidR="00746FF1" w:rsidRPr="00FA3856">
              <w:rPr>
                <w:rStyle w:val="Hyperlink"/>
                <w:rFonts w:ascii="Times New Roman" w:hAnsi="Times New Roman"/>
                <w:color w:val="auto"/>
              </w:rPr>
              <w:t xml:space="preserve">igual a “R”, se </w:t>
            </w:r>
            <w:r w:rsidR="00430C6A" w:rsidRPr="00FA3856">
              <w:rPr>
                <w:rStyle w:val="Hyperlink"/>
                <w:rFonts w:ascii="Times New Roman" w:hAnsi="Times New Roman"/>
                <w:color w:val="auto"/>
              </w:rPr>
              <w:t>Y520.</w:t>
            </w:r>
            <w:r w:rsidR="00746FF1" w:rsidRPr="00FA3856">
              <w:rPr>
                <w:rStyle w:val="Hyperlink"/>
                <w:rFonts w:ascii="Times New Roman" w:hAnsi="Times New Roman"/>
                <w:color w:val="auto"/>
              </w:rPr>
              <w:t>F</w:t>
            </w:r>
            <w:r w:rsidR="0011050B" w:rsidRPr="00FA3856">
              <w:rPr>
                <w:rStyle w:val="Hyperlink"/>
                <w:rFonts w:ascii="Times New Roman" w:hAnsi="Times New Roman"/>
                <w:color w:val="auto"/>
              </w:rPr>
              <w:t xml:space="preserve">ORMA </w:t>
            </w:r>
            <w:r w:rsidR="00746FF1" w:rsidRPr="00FA3856">
              <w:rPr>
                <w:rStyle w:val="Hyperlink"/>
                <w:rFonts w:ascii="Times New Roman" w:hAnsi="Times New Roman"/>
                <w:color w:val="auto"/>
              </w:rPr>
              <w:t>é diferente de “5”.</w:t>
            </w:r>
          </w:p>
        </w:tc>
        <w:tc>
          <w:tcPr>
            <w:tcW w:w="717" w:type="dxa"/>
            <w:tcBorders>
              <w:top w:val="single" w:sz="6" w:space="0" w:color="auto"/>
              <w:left w:val="single" w:sz="6" w:space="0" w:color="auto"/>
              <w:bottom w:val="single" w:sz="6" w:space="0" w:color="auto"/>
              <w:right w:val="single" w:sz="6" w:space="0" w:color="auto"/>
            </w:tcBorders>
          </w:tcPr>
          <w:p w:rsidR="0002526E" w:rsidRPr="00FA3856" w:rsidRDefault="0002526E" w:rsidP="0002526E">
            <w:pPr>
              <w:pStyle w:val="PSDS-CorpodeTexto0"/>
              <w:rPr>
                <w:rFonts w:ascii="Times New Roman" w:hAnsi="Times New Roman"/>
                <w:lang w:val="pt-PT"/>
              </w:rPr>
            </w:pPr>
            <w:r w:rsidRPr="00FA3856">
              <w:rPr>
                <w:rFonts w:ascii="Times New Roman" w:hAnsi="Times New Roman"/>
                <w:lang w:val="pt-PT"/>
              </w:rPr>
              <w:t>Erro</w:t>
            </w:r>
          </w:p>
        </w:tc>
      </w:tr>
    </w:tbl>
    <w:p w:rsidR="00D7606A" w:rsidRDefault="00D7606A" w:rsidP="00430C6A">
      <w:pPr>
        <w:rPr>
          <w:b/>
          <w:color w:val="002060"/>
          <w:szCs w:val="20"/>
        </w:rPr>
      </w:pPr>
    </w:p>
    <w:p w:rsidR="0038469A" w:rsidRDefault="00430C6A" w:rsidP="00430C6A">
      <w:pPr>
        <w:rPr>
          <w:b/>
          <w:color w:val="002060"/>
          <w:szCs w:val="20"/>
        </w:rPr>
      </w:pPr>
      <w:r w:rsidRPr="00FA3856">
        <w:rPr>
          <w:b/>
          <w:color w:val="002060"/>
          <w:szCs w:val="20"/>
        </w:rPr>
        <w:t xml:space="preserve">Exemplo de Preenchimento: </w:t>
      </w:r>
    </w:p>
    <w:p w:rsidR="0038469A" w:rsidRDefault="0038469A" w:rsidP="00430C6A">
      <w:pPr>
        <w:rPr>
          <w:b/>
          <w:color w:val="002060"/>
          <w:szCs w:val="20"/>
        </w:rPr>
      </w:pPr>
    </w:p>
    <w:p w:rsidR="00C962EA" w:rsidRPr="00FA3856" w:rsidRDefault="00C962EA" w:rsidP="00430C6A">
      <w:pPr>
        <w:rPr>
          <w:b/>
          <w:color w:val="002060"/>
          <w:szCs w:val="20"/>
        </w:rPr>
      </w:pPr>
      <w:r w:rsidRPr="00FA3856">
        <w:rPr>
          <w:b/>
          <w:color w:val="002060"/>
          <w:szCs w:val="20"/>
        </w:rPr>
        <w:t>|Y520|R|1|1|10500|100000,00|</w:t>
      </w:r>
    </w:p>
    <w:p w:rsidR="00C962EA" w:rsidRPr="00FA3856" w:rsidRDefault="00430C6A" w:rsidP="00430C6A">
      <w:pPr>
        <w:pStyle w:val="Corpodetexto"/>
        <w:spacing w:line="240" w:lineRule="auto"/>
        <w:ind w:left="708" w:firstLine="709"/>
        <w:rPr>
          <w:rFonts w:ascii="Times New Roman" w:hAnsi="Times New Roman"/>
          <w:color w:val="002060"/>
          <w:szCs w:val="20"/>
        </w:rPr>
      </w:pPr>
      <w:r w:rsidRPr="00FA3856">
        <w:rPr>
          <w:rFonts w:ascii="Times New Roman" w:hAnsi="Times New Roman"/>
          <w:color w:val="002060"/>
          <w:szCs w:val="20"/>
        </w:rPr>
        <w:t>|Y520|: Ident</w:t>
      </w:r>
      <w:r w:rsidR="00C962EA" w:rsidRPr="00FA3856">
        <w:rPr>
          <w:rFonts w:ascii="Times New Roman" w:hAnsi="Times New Roman"/>
          <w:color w:val="002060"/>
          <w:szCs w:val="20"/>
        </w:rPr>
        <w:t>ificação do tipo do registro.</w:t>
      </w:r>
    </w:p>
    <w:p w:rsidR="00C962EA" w:rsidRPr="00FA3856" w:rsidRDefault="00C962EA" w:rsidP="00430C6A">
      <w:pPr>
        <w:pStyle w:val="Corpodetexto"/>
        <w:spacing w:line="240" w:lineRule="auto"/>
        <w:ind w:left="708" w:firstLine="709"/>
        <w:rPr>
          <w:rFonts w:ascii="Times New Roman" w:hAnsi="Times New Roman"/>
          <w:color w:val="002060"/>
          <w:szCs w:val="20"/>
        </w:rPr>
      </w:pPr>
      <w:r w:rsidRPr="00FA3856">
        <w:rPr>
          <w:rFonts w:ascii="Times New Roman" w:hAnsi="Times New Roman"/>
          <w:color w:val="002060"/>
          <w:szCs w:val="20"/>
        </w:rPr>
        <w:t>|R|: Rendimentos recebidos do exterior.</w:t>
      </w:r>
    </w:p>
    <w:p w:rsidR="00C962EA" w:rsidRPr="00FA3856" w:rsidRDefault="00C962EA" w:rsidP="00430C6A">
      <w:pPr>
        <w:pStyle w:val="Corpodetexto"/>
        <w:spacing w:line="240" w:lineRule="auto"/>
        <w:ind w:left="708" w:firstLine="709"/>
        <w:rPr>
          <w:rFonts w:ascii="Times New Roman" w:hAnsi="Times New Roman"/>
          <w:color w:val="002060"/>
          <w:szCs w:val="20"/>
        </w:rPr>
      </w:pPr>
      <w:r w:rsidRPr="00FA3856">
        <w:rPr>
          <w:rFonts w:ascii="Times New Roman" w:hAnsi="Times New Roman"/>
          <w:color w:val="002060"/>
          <w:szCs w:val="20"/>
        </w:rPr>
        <w:t>|1|: País (1 = Canadá).</w:t>
      </w:r>
    </w:p>
    <w:p w:rsidR="00C962EA" w:rsidRPr="00FA3856" w:rsidRDefault="00C962EA" w:rsidP="00430C6A">
      <w:pPr>
        <w:pStyle w:val="Corpodetexto"/>
        <w:spacing w:line="240" w:lineRule="auto"/>
        <w:ind w:left="708" w:firstLine="709"/>
        <w:rPr>
          <w:rFonts w:ascii="Times New Roman" w:hAnsi="Times New Roman"/>
          <w:color w:val="002060"/>
          <w:szCs w:val="20"/>
        </w:rPr>
      </w:pPr>
      <w:r w:rsidRPr="00FA3856">
        <w:rPr>
          <w:rFonts w:ascii="Times New Roman" w:hAnsi="Times New Roman"/>
          <w:color w:val="002060"/>
          <w:szCs w:val="20"/>
        </w:rPr>
        <w:t>|1|: Forma de recebimento (1 = Operação de Câmbio).</w:t>
      </w:r>
    </w:p>
    <w:p w:rsidR="00C962EA" w:rsidRPr="00FA3856" w:rsidRDefault="00C962EA" w:rsidP="00430C6A">
      <w:pPr>
        <w:pStyle w:val="Corpodetexto"/>
        <w:spacing w:line="240" w:lineRule="auto"/>
        <w:ind w:left="708" w:firstLine="709"/>
        <w:rPr>
          <w:rFonts w:ascii="Times New Roman" w:hAnsi="Times New Roman"/>
          <w:color w:val="002060"/>
          <w:szCs w:val="20"/>
        </w:rPr>
      </w:pPr>
      <w:r w:rsidRPr="00FA3856">
        <w:rPr>
          <w:rFonts w:ascii="Times New Roman" w:hAnsi="Times New Roman"/>
          <w:color w:val="002060"/>
          <w:szCs w:val="20"/>
        </w:rPr>
        <w:t>|10500|: Natureza da operação (10500 = Câmbio Simplificado Simultâneo</w:t>
      </w:r>
    </w:p>
    <w:p w:rsidR="00C962EA" w:rsidRPr="00FA3856" w:rsidRDefault="00C962EA" w:rsidP="00430C6A">
      <w:pPr>
        <w:pStyle w:val="Corpodetexto"/>
        <w:spacing w:line="240" w:lineRule="auto"/>
        <w:ind w:left="708" w:firstLine="709"/>
        <w:rPr>
          <w:rFonts w:ascii="Times New Roman" w:hAnsi="Times New Roman"/>
          <w:color w:val="002060"/>
          <w:szCs w:val="20"/>
        </w:rPr>
      </w:pPr>
      <w:r w:rsidRPr="00FA3856">
        <w:rPr>
          <w:rFonts w:ascii="Times New Roman" w:hAnsi="Times New Roman"/>
          <w:color w:val="002060"/>
          <w:szCs w:val="20"/>
        </w:rPr>
        <w:t>|100000,00: Valor recebido (R$ 100.000,00).</w:t>
      </w:r>
    </w:p>
    <w:p w:rsidR="00430C6A" w:rsidRPr="00FA3856" w:rsidRDefault="00430C6A">
      <w:pPr>
        <w:spacing w:after="200" w:line="276" w:lineRule="auto"/>
        <w:rPr>
          <w:b/>
          <w:bCs/>
          <w:color w:val="0000FF"/>
          <w:szCs w:val="20"/>
        </w:rPr>
      </w:pPr>
      <w:r w:rsidRPr="00FA3856">
        <w:rPr>
          <w:color w:val="0000FF"/>
          <w:szCs w:val="20"/>
        </w:rPr>
        <w:br w:type="page"/>
      </w:r>
    </w:p>
    <w:p w:rsidR="0043376C" w:rsidRPr="00FA3856" w:rsidRDefault="0043376C" w:rsidP="00867F54">
      <w:pPr>
        <w:pStyle w:val="Ttulo4"/>
      </w:pPr>
      <w:bookmarkStart w:id="421" w:name="_Toc479713824"/>
      <w:r w:rsidRPr="00FA3856">
        <w:lastRenderedPageBreak/>
        <w:t xml:space="preserve">Registro Y540: Discriminação da Receita de Vendas dos </w:t>
      </w:r>
      <w:r w:rsidR="00C321B8" w:rsidRPr="00FA3856">
        <w:t>Estabelecimentos</w:t>
      </w:r>
      <w:r w:rsidRPr="00FA3856">
        <w:t xml:space="preserve"> por Atividade </w:t>
      </w:r>
      <w:r w:rsidR="00C321B8" w:rsidRPr="00FA3856">
        <w:t>Econômica</w:t>
      </w:r>
      <w:bookmarkEnd w:id="421"/>
    </w:p>
    <w:p w:rsidR="0043376C" w:rsidRPr="00FA3856" w:rsidRDefault="0043376C" w:rsidP="0043376C">
      <w:pPr>
        <w:rPr>
          <w:szCs w:val="20"/>
        </w:rPr>
      </w:pPr>
    </w:p>
    <w:p w:rsidR="00B5730B" w:rsidRPr="00FA3856" w:rsidRDefault="00B5730B" w:rsidP="00B5730B">
      <w:pPr>
        <w:rPr>
          <w:szCs w:val="20"/>
        </w:rPr>
      </w:pPr>
      <w:r w:rsidRPr="00FA3856">
        <w:rPr>
          <w:szCs w:val="20"/>
        </w:rPr>
        <w:tab/>
        <w:t>Este registro será habilitado para todas as pessoas jurídicas, para discriminação da receita de vendas dos estabelecimentos por atividade econômica, quando for o caso.</w:t>
      </w:r>
    </w:p>
    <w:p w:rsidR="00E117C4" w:rsidRDefault="00E117C4" w:rsidP="00B5730B">
      <w:pPr>
        <w:rPr>
          <w:b/>
          <w:szCs w:val="20"/>
          <w:lang w:val="pt-PT"/>
        </w:rPr>
      </w:pPr>
    </w:p>
    <w:p w:rsidR="0038469A" w:rsidRPr="00FA3856" w:rsidRDefault="00B35FA3" w:rsidP="0038469A">
      <w:pPr>
        <w:jc w:val="center"/>
        <w:rPr>
          <w:b/>
          <w:szCs w:val="20"/>
          <w:lang w:val="pt-PT"/>
        </w:rPr>
      </w:pPr>
      <w:r>
        <w:rPr>
          <w:b/>
          <w:szCs w:val="20"/>
          <w:lang w:val="pt-PT"/>
        </w:rPr>
        <w:object w:dxaOrig="14835" w:dyaOrig="4410">
          <v:shape id="_x0000_i2046" type="#_x0000_t75" style="width:792.75pt;height:212.25pt" o:ole="">
            <v:imagedata r:id="rId838" o:title=""/>
          </v:shape>
          <o:OLEObject Type="Link" ProgID="Excel.Sheet.12" ShapeID="_x0000_i2046" DrawAspect="Content" r:id="rId839" UpdateMode="Always">
            <o:LinkType>EnhancedMetaFile</o:LinkType>
            <o:LockedField>false</o:LockedField>
          </o:OLEObject>
        </w:object>
      </w:r>
    </w:p>
    <w:p w:rsidR="0038469A" w:rsidRDefault="0038469A" w:rsidP="00B5730B">
      <w:pPr>
        <w:rPr>
          <w:b/>
          <w:szCs w:val="20"/>
          <w:lang w:val="pt-PT"/>
        </w:rPr>
      </w:pPr>
    </w:p>
    <w:p w:rsidR="00B5730B" w:rsidRPr="00FA3856" w:rsidRDefault="00B5730B" w:rsidP="00B5730B">
      <w:pPr>
        <w:rPr>
          <w:b/>
          <w:szCs w:val="20"/>
          <w:lang w:val="pt-PT"/>
        </w:rPr>
      </w:pPr>
      <w:r w:rsidRPr="00FA3856">
        <w:rPr>
          <w:b/>
          <w:szCs w:val="20"/>
          <w:lang w:val="pt-PT"/>
        </w:rPr>
        <w:t>I – Regras de Validação de Campos:</w:t>
      </w:r>
    </w:p>
    <w:p w:rsidR="005230F0" w:rsidRPr="00FA3856" w:rsidRDefault="005230F0" w:rsidP="00B5730B">
      <w:pPr>
        <w:rPr>
          <w:b/>
          <w:szCs w:val="20"/>
          <w:lang w:val="pt-PT"/>
        </w:rPr>
      </w:pPr>
    </w:p>
    <w:tbl>
      <w:tblPr>
        <w:tblW w:w="15593"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85"/>
        <w:gridCol w:w="3000"/>
        <w:gridCol w:w="11391"/>
        <w:gridCol w:w="717"/>
      </w:tblGrid>
      <w:tr w:rsidR="00B5730B" w:rsidRPr="00FA3856" w:rsidTr="00B5730B">
        <w:trPr>
          <w:jc w:val="center"/>
        </w:trPr>
        <w:tc>
          <w:tcPr>
            <w:tcW w:w="485" w:type="dxa"/>
            <w:tcBorders>
              <w:top w:val="single" w:sz="6" w:space="0" w:color="auto"/>
              <w:left w:val="single" w:sz="6" w:space="0" w:color="auto"/>
              <w:bottom w:val="single" w:sz="6" w:space="0" w:color="auto"/>
              <w:right w:val="single" w:sz="6" w:space="0" w:color="auto"/>
            </w:tcBorders>
            <w:shd w:val="pct10" w:color="auto" w:fill="FFFFFF"/>
          </w:tcPr>
          <w:p w:rsidR="00B5730B" w:rsidRPr="00FA3856" w:rsidRDefault="00B5730B" w:rsidP="00B5730B">
            <w:pPr>
              <w:pStyle w:val="PSDS-CorpodeTexto0"/>
              <w:jc w:val="center"/>
              <w:rPr>
                <w:rFonts w:ascii="Times New Roman" w:hAnsi="Times New Roman"/>
                <w:b/>
                <w:bCs/>
              </w:rPr>
            </w:pPr>
            <w:r w:rsidRPr="00FA3856">
              <w:rPr>
                <w:rFonts w:ascii="Times New Roman" w:hAnsi="Times New Roman"/>
                <w:b/>
                <w:bCs/>
              </w:rPr>
              <w:t>Nº</w:t>
            </w:r>
          </w:p>
        </w:tc>
        <w:tc>
          <w:tcPr>
            <w:tcW w:w="3000" w:type="dxa"/>
            <w:tcBorders>
              <w:top w:val="single" w:sz="6" w:space="0" w:color="auto"/>
              <w:left w:val="single" w:sz="6" w:space="0" w:color="auto"/>
              <w:bottom w:val="single" w:sz="6" w:space="0" w:color="auto"/>
              <w:right w:val="single" w:sz="6" w:space="0" w:color="auto"/>
            </w:tcBorders>
            <w:shd w:val="pct10" w:color="auto" w:fill="FFFFFF"/>
          </w:tcPr>
          <w:p w:rsidR="00B5730B" w:rsidRPr="00FA3856" w:rsidRDefault="00B5730B" w:rsidP="00B5730B">
            <w:pPr>
              <w:pStyle w:val="PSDS-CorpodeTexto0"/>
              <w:jc w:val="center"/>
              <w:rPr>
                <w:rFonts w:ascii="Times New Roman" w:hAnsi="Times New Roman"/>
                <w:b/>
                <w:bCs/>
              </w:rPr>
            </w:pPr>
            <w:r w:rsidRPr="00FA3856">
              <w:rPr>
                <w:rFonts w:ascii="Times New Roman" w:hAnsi="Times New Roman"/>
                <w:b/>
                <w:bCs/>
              </w:rPr>
              <w:t>Campo</w:t>
            </w:r>
          </w:p>
        </w:tc>
        <w:tc>
          <w:tcPr>
            <w:tcW w:w="11391" w:type="dxa"/>
            <w:tcBorders>
              <w:top w:val="single" w:sz="6" w:space="0" w:color="auto"/>
              <w:left w:val="single" w:sz="6" w:space="0" w:color="auto"/>
              <w:bottom w:val="single" w:sz="6" w:space="0" w:color="auto"/>
              <w:right w:val="single" w:sz="6" w:space="0" w:color="auto"/>
            </w:tcBorders>
            <w:shd w:val="pct10" w:color="auto" w:fill="FFFFFF"/>
          </w:tcPr>
          <w:p w:rsidR="00B5730B" w:rsidRPr="00FA3856" w:rsidRDefault="00B5730B" w:rsidP="00B5730B">
            <w:pPr>
              <w:pStyle w:val="PSDS-CorpodeTexto0"/>
              <w:jc w:val="center"/>
              <w:rPr>
                <w:rFonts w:ascii="Times New Roman" w:hAnsi="Times New Roman"/>
                <w:b/>
                <w:bCs/>
              </w:rPr>
            </w:pPr>
            <w:r w:rsidRPr="00FA3856">
              <w:rPr>
                <w:rFonts w:ascii="Times New Roman" w:hAnsi="Times New Roman"/>
                <w:b/>
                <w:bCs/>
              </w:rPr>
              <w:t>Regras de Validação do Campo</w:t>
            </w:r>
          </w:p>
        </w:tc>
        <w:tc>
          <w:tcPr>
            <w:tcW w:w="717" w:type="dxa"/>
            <w:tcBorders>
              <w:top w:val="single" w:sz="6" w:space="0" w:color="auto"/>
              <w:left w:val="single" w:sz="6" w:space="0" w:color="auto"/>
              <w:bottom w:val="single" w:sz="6" w:space="0" w:color="auto"/>
              <w:right w:val="single" w:sz="6" w:space="0" w:color="auto"/>
            </w:tcBorders>
            <w:shd w:val="pct10" w:color="auto" w:fill="FFFFFF"/>
          </w:tcPr>
          <w:p w:rsidR="00B5730B" w:rsidRPr="00FA3856" w:rsidRDefault="00B5730B" w:rsidP="00B5730B">
            <w:pPr>
              <w:pStyle w:val="PSDS-CorpodeTexto0"/>
              <w:jc w:val="center"/>
              <w:rPr>
                <w:rFonts w:ascii="Times New Roman" w:hAnsi="Times New Roman"/>
                <w:b/>
                <w:bCs/>
              </w:rPr>
            </w:pPr>
            <w:r w:rsidRPr="00FA3856">
              <w:rPr>
                <w:rFonts w:ascii="Times New Roman" w:hAnsi="Times New Roman"/>
                <w:b/>
                <w:bCs/>
              </w:rPr>
              <w:t>Tipo</w:t>
            </w:r>
          </w:p>
        </w:tc>
      </w:tr>
      <w:tr w:rsidR="005625C1" w:rsidRPr="00FA3856" w:rsidTr="00CD4CC9">
        <w:trPr>
          <w:jc w:val="center"/>
        </w:trPr>
        <w:tc>
          <w:tcPr>
            <w:tcW w:w="485" w:type="dxa"/>
            <w:tcBorders>
              <w:top w:val="single" w:sz="6" w:space="0" w:color="auto"/>
              <w:left w:val="single" w:sz="6" w:space="0" w:color="auto"/>
              <w:bottom w:val="single" w:sz="6" w:space="0" w:color="auto"/>
              <w:right w:val="single" w:sz="6" w:space="0" w:color="auto"/>
            </w:tcBorders>
          </w:tcPr>
          <w:p w:rsidR="005625C1" w:rsidRPr="00FA3856" w:rsidRDefault="005625C1" w:rsidP="00CD4CC9">
            <w:pPr>
              <w:pStyle w:val="PSDS-CorpodeTexto0"/>
              <w:suppressAutoHyphens w:val="0"/>
              <w:rPr>
                <w:rFonts w:ascii="Times New Roman" w:hAnsi="Times New Roman"/>
                <w:b/>
                <w:bCs/>
                <w:lang w:val="pt-PT"/>
              </w:rPr>
            </w:pPr>
            <w:r w:rsidRPr="00FA3856">
              <w:rPr>
                <w:rFonts w:ascii="Times New Roman" w:hAnsi="Times New Roman"/>
                <w:b/>
                <w:bCs/>
                <w:lang w:val="pt-PT"/>
              </w:rPr>
              <w:t>2</w:t>
            </w:r>
          </w:p>
        </w:tc>
        <w:tc>
          <w:tcPr>
            <w:tcW w:w="3000" w:type="dxa"/>
            <w:tcBorders>
              <w:top w:val="single" w:sz="6" w:space="0" w:color="auto"/>
              <w:left w:val="single" w:sz="6" w:space="0" w:color="auto"/>
              <w:bottom w:val="single" w:sz="6" w:space="0" w:color="auto"/>
              <w:right w:val="single" w:sz="6" w:space="0" w:color="auto"/>
            </w:tcBorders>
          </w:tcPr>
          <w:p w:rsidR="005625C1" w:rsidRPr="00FA3856" w:rsidRDefault="005625C1" w:rsidP="00CD4CC9">
            <w:pPr>
              <w:pStyle w:val="PSDS-CorpodeTexto0"/>
              <w:rPr>
                <w:rFonts w:ascii="Times New Roman" w:hAnsi="Times New Roman"/>
                <w:lang w:val="pt-PT"/>
              </w:rPr>
            </w:pPr>
            <w:r w:rsidRPr="00FA3856">
              <w:rPr>
                <w:rFonts w:ascii="Times New Roman" w:hAnsi="Times New Roman"/>
                <w:lang w:val="pt-PT"/>
              </w:rPr>
              <w:t>CNPJ_ESTAB</w:t>
            </w:r>
          </w:p>
        </w:tc>
        <w:tc>
          <w:tcPr>
            <w:tcW w:w="11391" w:type="dxa"/>
            <w:tcBorders>
              <w:top w:val="single" w:sz="6" w:space="0" w:color="auto"/>
              <w:left w:val="single" w:sz="6" w:space="0" w:color="auto"/>
              <w:bottom w:val="single" w:sz="6" w:space="0" w:color="auto"/>
              <w:right w:val="single" w:sz="6" w:space="0" w:color="auto"/>
            </w:tcBorders>
          </w:tcPr>
          <w:p w:rsidR="005625C1" w:rsidRPr="00FA3856" w:rsidRDefault="007D0E74" w:rsidP="00CD4CC9">
            <w:pPr>
              <w:shd w:val="clear" w:color="auto" w:fill="FFFFFF"/>
              <w:jc w:val="both"/>
              <w:rPr>
                <w:szCs w:val="20"/>
              </w:rPr>
            </w:pPr>
            <w:hyperlink w:anchor="REGRA_VALIDA_CNPJ" w:history="1">
              <w:r w:rsidR="005625C1" w:rsidRPr="00FA3856">
                <w:rPr>
                  <w:rStyle w:val="Hyperlink"/>
                  <w:b/>
                  <w:bCs/>
                  <w:color w:val="auto"/>
                  <w:szCs w:val="20"/>
                  <w:lang w:val="pt-PT"/>
                </w:rPr>
                <w:t>REGRA_VALIDA_CNPJ</w:t>
              </w:r>
            </w:hyperlink>
            <w:r w:rsidR="005625C1" w:rsidRPr="00FA3856">
              <w:rPr>
                <w:b/>
                <w:bCs/>
                <w:szCs w:val="20"/>
                <w:lang w:val="pt-PT"/>
              </w:rPr>
              <w:t xml:space="preserve">: </w:t>
            </w:r>
            <w:r w:rsidR="005625C1" w:rsidRPr="00FA3856">
              <w:rPr>
                <w:szCs w:val="20"/>
              </w:rPr>
              <w:t xml:space="preserve"> Verifica se a regra de formação do código é válida.</w:t>
            </w:r>
          </w:p>
          <w:p w:rsidR="005625C1" w:rsidRPr="00FA3856" w:rsidRDefault="005625C1" w:rsidP="00CD4CC9">
            <w:pPr>
              <w:shd w:val="clear" w:color="auto" w:fill="FFFFFF"/>
              <w:jc w:val="both"/>
              <w:rPr>
                <w:szCs w:val="20"/>
              </w:rPr>
            </w:pPr>
          </w:p>
          <w:p w:rsidR="005625C1" w:rsidRPr="00FA3856" w:rsidRDefault="005625C1" w:rsidP="00CD4CC9">
            <w:pPr>
              <w:shd w:val="clear" w:color="auto" w:fill="FFFFFF"/>
              <w:jc w:val="both"/>
              <w:rPr>
                <w:szCs w:val="20"/>
              </w:rPr>
            </w:pPr>
            <w:r w:rsidRPr="00FA3856">
              <w:rPr>
                <w:b/>
                <w:szCs w:val="20"/>
              </w:rPr>
              <w:t xml:space="preserve">REGRA_CNPJ_MATRIZ: </w:t>
            </w:r>
            <w:r w:rsidRPr="00FA3856">
              <w:rPr>
                <w:szCs w:val="20"/>
              </w:rPr>
              <w:t>Verifica se os 8 (oito) primeiros dígitos do Y540.CNPJ_ESTAB são iguais aos 8 (oito) primeiros dígitos 0000.CNPJ.</w:t>
            </w:r>
          </w:p>
        </w:tc>
        <w:tc>
          <w:tcPr>
            <w:tcW w:w="717" w:type="dxa"/>
            <w:tcBorders>
              <w:top w:val="single" w:sz="6" w:space="0" w:color="auto"/>
              <w:left w:val="single" w:sz="6" w:space="0" w:color="auto"/>
              <w:bottom w:val="single" w:sz="6" w:space="0" w:color="auto"/>
              <w:right w:val="single" w:sz="6" w:space="0" w:color="auto"/>
            </w:tcBorders>
          </w:tcPr>
          <w:p w:rsidR="005625C1" w:rsidRPr="00FA3856" w:rsidRDefault="005625C1" w:rsidP="00CD4CC9">
            <w:pPr>
              <w:pStyle w:val="PSDS-CorpodeTexto0"/>
              <w:rPr>
                <w:rFonts w:ascii="Times New Roman" w:hAnsi="Times New Roman"/>
                <w:lang w:val="pt-PT"/>
              </w:rPr>
            </w:pPr>
            <w:r w:rsidRPr="00FA3856">
              <w:rPr>
                <w:rFonts w:ascii="Times New Roman" w:hAnsi="Times New Roman"/>
                <w:lang w:val="pt-PT"/>
              </w:rPr>
              <w:t>Erro</w:t>
            </w:r>
          </w:p>
          <w:p w:rsidR="005625C1" w:rsidRPr="00FA3856" w:rsidRDefault="005625C1" w:rsidP="00CD4CC9">
            <w:pPr>
              <w:pStyle w:val="PSDS-CorpodeTexto0"/>
              <w:rPr>
                <w:rFonts w:ascii="Times New Roman" w:hAnsi="Times New Roman"/>
                <w:lang w:val="pt-PT"/>
              </w:rPr>
            </w:pPr>
          </w:p>
          <w:p w:rsidR="005625C1" w:rsidRPr="00FA3856" w:rsidRDefault="005625C1" w:rsidP="00CD4CC9">
            <w:pPr>
              <w:pStyle w:val="PSDS-CorpodeTexto0"/>
              <w:rPr>
                <w:rFonts w:ascii="Times New Roman" w:hAnsi="Times New Roman"/>
                <w:lang w:val="pt-PT"/>
              </w:rPr>
            </w:pPr>
            <w:r w:rsidRPr="00FA3856">
              <w:rPr>
                <w:rFonts w:ascii="Times New Roman" w:hAnsi="Times New Roman"/>
                <w:lang w:val="pt-PT"/>
              </w:rPr>
              <w:t>Erro</w:t>
            </w:r>
          </w:p>
        </w:tc>
      </w:tr>
      <w:tr w:rsidR="00B5730B" w:rsidRPr="00FA3856" w:rsidTr="00B5730B">
        <w:trPr>
          <w:jc w:val="center"/>
        </w:trPr>
        <w:tc>
          <w:tcPr>
            <w:tcW w:w="485" w:type="dxa"/>
            <w:tcBorders>
              <w:top w:val="single" w:sz="6" w:space="0" w:color="auto"/>
              <w:left w:val="single" w:sz="6" w:space="0" w:color="auto"/>
              <w:bottom w:val="single" w:sz="6" w:space="0" w:color="auto"/>
              <w:right w:val="single" w:sz="6" w:space="0" w:color="auto"/>
            </w:tcBorders>
          </w:tcPr>
          <w:p w:rsidR="00B5730B" w:rsidRPr="00FA3856" w:rsidRDefault="005625C1" w:rsidP="00B5730B">
            <w:pPr>
              <w:pStyle w:val="PSDS-CorpodeTexto0"/>
              <w:suppressAutoHyphens w:val="0"/>
              <w:rPr>
                <w:rFonts w:ascii="Times New Roman" w:hAnsi="Times New Roman"/>
                <w:b/>
                <w:bCs/>
                <w:lang w:val="pt-PT"/>
              </w:rPr>
            </w:pPr>
            <w:r w:rsidRPr="00FA3856">
              <w:rPr>
                <w:rFonts w:ascii="Times New Roman" w:hAnsi="Times New Roman"/>
                <w:b/>
                <w:bCs/>
                <w:lang w:val="pt-PT"/>
              </w:rPr>
              <w:t>3</w:t>
            </w:r>
          </w:p>
        </w:tc>
        <w:tc>
          <w:tcPr>
            <w:tcW w:w="3000" w:type="dxa"/>
            <w:tcBorders>
              <w:top w:val="single" w:sz="6" w:space="0" w:color="auto"/>
              <w:left w:val="single" w:sz="6" w:space="0" w:color="auto"/>
              <w:bottom w:val="single" w:sz="6" w:space="0" w:color="auto"/>
              <w:right w:val="single" w:sz="6" w:space="0" w:color="auto"/>
            </w:tcBorders>
          </w:tcPr>
          <w:p w:rsidR="005625C1" w:rsidRPr="00FA3856" w:rsidRDefault="005625C1" w:rsidP="005625C1">
            <w:pPr>
              <w:pStyle w:val="PSDS-CorpodeTexto0"/>
              <w:rPr>
                <w:rFonts w:ascii="Times New Roman" w:hAnsi="Times New Roman"/>
                <w:lang w:val="pt-PT"/>
              </w:rPr>
            </w:pPr>
            <w:r w:rsidRPr="00FA3856">
              <w:rPr>
                <w:rFonts w:ascii="Times New Roman" w:hAnsi="Times New Roman"/>
                <w:lang w:val="pt-PT"/>
              </w:rPr>
              <w:t>VL_REC_ESTAB</w:t>
            </w:r>
          </w:p>
          <w:p w:rsidR="00B5730B" w:rsidRPr="00FA3856" w:rsidRDefault="00B5730B" w:rsidP="00B5730B">
            <w:pPr>
              <w:pStyle w:val="PSDS-CorpodeTexto0"/>
              <w:rPr>
                <w:rFonts w:ascii="Times New Roman" w:hAnsi="Times New Roman"/>
                <w:lang w:val="pt-PT"/>
              </w:rPr>
            </w:pPr>
          </w:p>
        </w:tc>
        <w:tc>
          <w:tcPr>
            <w:tcW w:w="11391" w:type="dxa"/>
            <w:tcBorders>
              <w:top w:val="single" w:sz="6" w:space="0" w:color="auto"/>
              <w:left w:val="single" w:sz="6" w:space="0" w:color="auto"/>
              <w:bottom w:val="single" w:sz="6" w:space="0" w:color="auto"/>
              <w:right w:val="single" w:sz="6" w:space="0" w:color="auto"/>
            </w:tcBorders>
          </w:tcPr>
          <w:p w:rsidR="00CD4CC9" w:rsidRPr="00FA3856" w:rsidRDefault="007E421D" w:rsidP="00430C6A">
            <w:pPr>
              <w:shd w:val="clear" w:color="auto" w:fill="FFFFFF"/>
              <w:jc w:val="both"/>
              <w:rPr>
                <w:szCs w:val="20"/>
              </w:rPr>
            </w:pPr>
            <w:r w:rsidRPr="00FA3856">
              <w:rPr>
                <w:b/>
                <w:szCs w:val="20"/>
              </w:rPr>
              <w:t xml:space="preserve">REGRA_VL_REC_ESTAB: </w:t>
            </w:r>
            <w:r w:rsidRPr="00FA3856">
              <w:rPr>
                <w:szCs w:val="20"/>
              </w:rPr>
              <w:t>Verifica</w:t>
            </w:r>
            <w:r w:rsidR="00CD4CC9" w:rsidRPr="00FA3856">
              <w:rPr>
                <w:szCs w:val="20"/>
              </w:rPr>
              <w:t>:</w:t>
            </w:r>
          </w:p>
          <w:p w:rsidR="00B5730B" w:rsidRPr="00FA3856" w:rsidRDefault="00CD4CC9" w:rsidP="00430C6A">
            <w:pPr>
              <w:shd w:val="clear" w:color="auto" w:fill="FFFFFF"/>
              <w:jc w:val="both"/>
              <w:rPr>
                <w:szCs w:val="20"/>
              </w:rPr>
            </w:pPr>
            <w:r w:rsidRPr="00FA3856">
              <w:rPr>
                <w:szCs w:val="20"/>
              </w:rPr>
              <w:t xml:space="preserve">- </w:t>
            </w:r>
            <w:r w:rsidR="00F60A09" w:rsidRPr="00FA3856">
              <w:rPr>
                <w:szCs w:val="20"/>
              </w:rPr>
              <w:t>Quando</w:t>
            </w:r>
            <w:r w:rsidR="007E421D" w:rsidRPr="00FA3856">
              <w:rPr>
                <w:szCs w:val="20"/>
              </w:rPr>
              <w:t xml:space="preserve"> </w:t>
            </w:r>
            <w:r w:rsidR="00F60A09" w:rsidRPr="00FA3856">
              <w:rPr>
                <w:szCs w:val="20"/>
              </w:rPr>
              <w:t>0010.</w:t>
            </w:r>
            <w:r w:rsidRPr="00FA3856">
              <w:rPr>
                <w:szCs w:val="20"/>
              </w:rPr>
              <w:t>COD_QUALIF_PJ = “01” (PJ em Geral)</w:t>
            </w:r>
            <w:r w:rsidR="00F60A09" w:rsidRPr="00FA3856">
              <w:rPr>
                <w:szCs w:val="20"/>
              </w:rPr>
              <w:t xml:space="preserve"> </w:t>
            </w:r>
            <w:r w:rsidR="00F432C6" w:rsidRPr="00FA3856">
              <w:rPr>
                <w:szCs w:val="20"/>
              </w:rPr>
              <w:t xml:space="preserve">e 0010.FORMA.TRIB = “1” (Lucro Real) </w:t>
            </w:r>
            <w:r w:rsidR="00F60A09" w:rsidRPr="00FA3856">
              <w:rPr>
                <w:szCs w:val="20"/>
              </w:rPr>
              <w:t>e 0010.</w:t>
            </w:r>
            <w:r w:rsidR="00F60A09" w:rsidRPr="00FA3856">
              <w:rPr>
                <w:szCs w:val="20"/>
                <w:lang w:val="pt-PT"/>
              </w:rPr>
              <w:t>FORMA_APUR = “T” (Trimestral)</w:t>
            </w:r>
            <w:r w:rsidR="000232CC" w:rsidRPr="00FA3856">
              <w:rPr>
                <w:szCs w:val="20"/>
              </w:rPr>
              <w:t>, se o somatório dos valores do campo</w:t>
            </w:r>
            <w:r w:rsidR="00F60A09" w:rsidRPr="00FA3856">
              <w:rPr>
                <w:szCs w:val="20"/>
              </w:rPr>
              <w:t xml:space="preserve"> </w:t>
            </w:r>
            <w:r w:rsidR="007E421D" w:rsidRPr="00FA3856">
              <w:rPr>
                <w:szCs w:val="20"/>
              </w:rPr>
              <w:t>Y540.VL_REC_ESTAB</w:t>
            </w:r>
            <w:r w:rsidRPr="00FA3856">
              <w:rPr>
                <w:szCs w:val="20"/>
              </w:rPr>
              <w:t xml:space="preserve"> é igual </w:t>
            </w:r>
            <w:r w:rsidR="00F60A09" w:rsidRPr="00FA3856">
              <w:rPr>
                <w:szCs w:val="20"/>
              </w:rPr>
              <w:t xml:space="preserve">ao resultado de </w:t>
            </w:r>
            <w:r w:rsidRPr="00FA3856">
              <w:rPr>
                <w:szCs w:val="20"/>
              </w:rPr>
              <w:t>[L300A(3.01.01.01.01) – L300A(3.01.01.01.02.01</w:t>
            </w:r>
            <w:r w:rsidR="00F60A09" w:rsidRPr="00FA3856">
              <w:rPr>
                <w:szCs w:val="20"/>
              </w:rPr>
              <w:t>)</w:t>
            </w:r>
            <w:r w:rsidR="002955FE" w:rsidRPr="00FA3856">
              <w:rPr>
                <w:szCs w:val="20"/>
              </w:rPr>
              <w:t xml:space="preserve"> – </w:t>
            </w:r>
            <w:r w:rsidR="00340CE2" w:rsidRPr="00FA3856">
              <w:rPr>
                <w:szCs w:val="20"/>
              </w:rPr>
              <w:t>L300A(3.01.01</w:t>
            </w:r>
            <w:r w:rsidR="000E4834" w:rsidRPr="00FA3856">
              <w:rPr>
                <w:szCs w:val="20"/>
              </w:rPr>
              <w:t>.01.02.02</w:t>
            </w:r>
            <w:r w:rsidR="00340CE2" w:rsidRPr="00FA3856">
              <w:rPr>
                <w:szCs w:val="20"/>
              </w:rPr>
              <w:t xml:space="preserve">) </w:t>
            </w:r>
            <w:r w:rsidR="001F5D8E" w:rsidRPr="00FA3856">
              <w:rPr>
                <w:szCs w:val="20"/>
              </w:rPr>
              <w:t>+ L300A(3.11.01.01.01) – L300A(3.11.01.01.02.01)</w:t>
            </w:r>
            <w:r w:rsidR="002955FE" w:rsidRPr="00FA3856">
              <w:rPr>
                <w:szCs w:val="20"/>
              </w:rPr>
              <w:t xml:space="preserve"> – L300A(3.1</w:t>
            </w:r>
            <w:r w:rsidR="000E4834" w:rsidRPr="00FA3856">
              <w:rPr>
                <w:szCs w:val="20"/>
              </w:rPr>
              <w:t>1.01.01.02.02</w:t>
            </w:r>
            <w:r w:rsidR="002955FE" w:rsidRPr="00FA3856">
              <w:rPr>
                <w:szCs w:val="20"/>
              </w:rPr>
              <w:t>)</w:t>
            </w:r>
            <w:r w:rsidR="00F60A09" w:rsidRPr="00FA3856">
              <w:rPr>
                <w:szCs w:val="20"/>
              </w:rPr>
              <w:t>] (somatório de todos os trimestres).</w:t>
            </w:r>
          </w:p>
          <w:p w:rsidR="00F60A09" w:rsidRPr="00FA3856" w:rsidRDefault="00F60A09" w:rsidP="00430C6A">
            <w:pPr>
              <w:shd w:val="clear" w:color="auto" w:fill="FFFFFF"/>
              <w:jc w:val="both"/>
              <w:rPr>
                <w:szCs w:val="20"/>
              </w:rPr>
            </w:pPr>
          </w:p>
          <w:p w:rsidR="00F60A09" w:rsidRPr="00FA3856" w:rsidRDefault="00F60A09" w:rsidP="00F60A09">
            <w:pPr>
              <w:shd w:val="clear" w:color="auto" w:fill="FFFFFF"/>
              <w:jc w:val="both"/>
              <w:rPr>
                <w:szCs w:val="20"/>
              </w:rPr>
            </w:pPr>
            <w:r w:rsidRPr="00FA3856">
              <w:rPr>
                <w:szCs w:val="20"/>
              </w:rPr>
              <w:t xml:space="preserve">- Quando 0010.COD_QUALIF_PJ = “01” (PJ em Geral) e </w:t>
            </w:r>
            <w:r w:rsidR="00F432C6" w:rsidRPr="00FA3856">
              <w:rPr>
                <w:szCs w:val="20"/>
              </w:rPr>
              <w:t xml:space="preserve">0010.FORMA.TRIB = “1” (Lucro Real) e </w:t>
            </w:r>
            <w:r w:rsidRPr="00FA3856">
              <w:rPr>
                <w:szCs w:val="20"/>
              </w:rPr>
              <w:t>0010.</w:t>
            </w:r>
            <w:r w:rsidRPr="00FA3856">
              <w:rPr>
                <w:szCs w:val="20"/>
                <w:lang w:val="pt-PT"/>
              </w:rPr>
              <w:t>FORMA_APUR = “A” (Anual)</w:t>
            </w:r>
            <w:r w:rsidRPr="00FA3856">
              <w:rPr>
                <w:szCs w:val="20"/>
              </w:rPr>
              <w:t xml:space="preserve">, se </w:t>
            </w:r>
            <w:r w:rsidR="00F432C6" w:rsidRPr="00FA3856">
              <w:rPr>
                <w:szCs w:val="20"/>
              </w:rPr>
              <w:t xml:space="preserve">o somatório </w:t>
            </w:r>
            <w:r w:rsidR="000232CC" w:rsidRPr="00FA3856">
              <w:rPr>
                <w:szCs w:val="20"/>
              </w:rPr>
              <w:t xml:space="preserve">dos valores do campo </w:t>
            </w:r>
            <w:r w:rsidRPr="00FA3856">
              <w:rPr>
                <w:szCs w:val="20"/>
              </w:rPr>
              <w:t xml:space="preserve">Y540.VL_REC_ESTAB é igual a </w:t>
            </w:r>
            <w:r w:rsidR="002955FE" w:rsidRPr="00FA3856">
              <w:rPr>
                <w:szCs w:val="20"/>
              </w:rPr>
              <w:t>[L300A(3.01.01.01.01) – L300A(3.01.01.01.02.01) – L300A(</w:t>
            </w:r>
            <w:r w:rsidR="000E4834" w:rsidRPr="00FA3856">
              <w:rPr>
                <w:szCs w:val="20"/>
              </w:rPr>
              <w:t>3.01.01.01.02.02</w:t>
            </w:r>
            <w:r w:rsidR="002955FE" w:rsidRPr="00FA3856">
              <w:rPr>
                <w:szCs w:val="20"/>
              </w:rPr>
              <w:t>) + L300A(3.11.01.01.01) – L300A(3.11.01.01.02.01) – L300A(3.1</w:t>
            </w:r>
            <w:r w:rsidR="000E4834" w:rsidRPr="00FA3856">
              <w:rPr>
                <w:szCs w:val="20"/>
              </w:rPr>
              <w:t>1.01.01.02.02</w:t>
            </w:r>
            <w:r w:rsidR="002955FE" w:rsidRPr="00FA3856">
              <w:rPr>
                <w:szCs w:val="20"/>
              </w:rPr>
              <w:t xml:space="preserve">)] </w:t>
            </w:r>
            <w:r w:rsidR="001F5D8E" w:rsidRPr="00FA3856">
              <w:rPr>
                <w:szCs w:val="20"/>
              </w:rPr>
              <w:t xml:space="preserve"> </w:t>
            </w:r>
            <w:r w:rsidRPr="00FA3856">
              <w:rPr>
                <w:szCs w:val="20"/>
              </w:rPr>
              <w:t>(somente referente ao “A00”).</w:t>
            </w:r>
          </w:p>
          <w:p w:rsidR="00F432C6" w:rsidRPr="00FA3856" w:rsidRDefault="00F432C6" w:rsidP="00F60A09">
            <w:pPr>
              <w:shd w:val="clear" w:color="auto" w:fill="FFFFFF"/>
              <w:jc w:val="both"/>
              <w:rPr>
                <w:szCs w:val="20"/>
              </w:rPr>
            </w:pPr>
          </w:p>
          <w:p w:rsidR="00F432C6" w:rsidRPr="00FA3856" w:rsidRDefault="00F432C6" w:rsidP="00F432C6">
            <w:pPr>
              <w:shd w:val="clear" w:color="auto" w:fill="FFFFFF"/>
              <w:jc w:val="both"/>
              <w:rPr>
                <w:szCs w:val="20"/>
              </w:rPr>
            </w:pPr>
            <w:r w:rsidRPr="00FA3856">
              <w:rPr>
                <w:szCs w:val="20"/>
              </w:rPr>
              <w:t xml:space="preserve">- Quando 0010.FORMA.TRIB = “5” (Lucro Presumido) </w:t>
            </w:r>
            <w:r w:rsidR="00684A15" w:rsidRPr="00FA3856">
              <w:rPr>
                <w:szCs w:val="20"/>
              </w:rPr>
              <w:t xml:space="preserve">e 0010.TIP_ESC_PRE = “C” </w:t>
            </w:r>
            <w:r w:rsidRPr="00FA3856">
              <w:rPr>
                <w:szCs w:val="20"/>
                <w:lang w:val="pt-PT"/>
              </w:rPr>
              <w:t>e 0020.</w:t>
            </w:r>
            <w:r w:rsidRPr="00FA3856">
              <w:rPr>
                <w:szCs w:val="20"/>
              </w:rPr>
              <w:t xml:space="preserve">IND_RED_ISEN = “S”, se o somatório </w:t>
            </w:r>
            <w:r w:rsidR="000232CC" w:rsidRPr="00FA3856">
              <w:rPr>
                <w:szCs w:val="20"/>
              </w:rPr>
              <w:t xml:space="preserve">dos valores do campo </w:t>
            </w:r>
            <w:r w:rsidRPr="00FA3856">
              <w:rPr>
                <w:szCs w:val="20"/>
              </w:rPr>
              <w:t xml:space="preserve">Y540.VL_REC_ESTAB é igual a </w:t>
            </w:r>
            <w:r w:rsidR="00E258D8" w:rsidRPr="00FA3856">
              <w:rPr>
                <w:szCs w:val="20"/>
                <w:lang w:val="pt-PT"/>
              </w:rPr>
              <w:t>P130(2) + P130(3) + P130(4) + P130(5)</w:t>
            </w:r>
            <w:r w:rsidRPr="00FA3856">
              <w:rPr>
                <w:szCs w:val="20"/>
              </w:rPr>
              <w:t xml:space="preserve"> (somatório de todos os </w:t>
            </w:r>
            <w:r w:rsidR="00160C2B" w:rsidRPr="00FA3856">
              <w:rPr>
                <w:szCs w:val="20"/>
              </w:rPr>
              <w:t>trimestres</w:t>
            </w:r>
            <w:r w:rsidRPr="00FA3856">
              <w:rPr>
                <w:szCs w:val="20"/>
              </w:rPr>
              <w:t>).</w:t>
            </w:r>
          </w:p>
          <w:p w:rsidR="00F432C6" w:rsidRPr="00FA3856" w:rsidRDefault="00F432C6" w:rsidP="00F432C6">
            <w:pPr>
              <w:shd w:val="clear" w:color="auto" w:fill="FFFFFF"/>
              <w:jc w:val="both"/>
              <w:rPr>
                <w:szCs w:val="20"/>
              </w:rPr>
            </w:pPr>
          </w:p>
          <w:p w:rsidR="00F432C6" w:rsidRPr="00FA3856" w:rsidRDefault="00F432C6" w:rsidP="00F432C6">
            <w:pPr>
              <w:shd w:val="clear" w:color="auto" w:fill="FFFFFF"/>
              <w:jc w:val="both"/>
              <w:rPr>
                <w:szCs w:val="20"/>
              </w:rPr>
            </w:pPr>
            <w:r w:rsidRPr="00FA3856">
              <w:rPr>
                <w:szCs w:val="20"/>
              </w:rPr>
              <w:t xml:space="preserve">- Quando 0010.FORMA.TRIB = “5” (Lucro Presumido) </w:t>
            </w:r>
            <w:r w:rsidR="00684A15" w:rsidRPr="00FA3856">
              <w:rPr>
                <w:szCs w:val="20"/>
              </w:rPr>
              <w:t xml:space="preserve">e 0010.TIP_ESC_PRE = “C” </w:t>
            </w:r>
            <w:r w:rsidRPr="00FA3856">
              <w:rPr>
                <w:szCs w:val="20"/>
              </w:rPr>
              <w:t>e 00</w:t>
            </w:r>
            <w:r w:rsidR="00160C2B" w:rsidRPr="00FA3856">
              <w:rPr>
                <w:szCs w:val="20"/>
              </w:rPr>
              <w:t>2</w:t>
            </w:r>
            <w:r w:rsidRPr="00FA3856">
              <w:rPr>
                <w:szCs w:val="20"/>
              </w:rPr>
              <w:t>0.</w:t>
            </w:r>
            <w:r w:rsidR="00160C2B" w:rsidRPr="00FA3856">
              <w:rPr>
                <w:szCs w:val="20"/>
                <w:lang w:val="pt-PT"/>
              </w:rPr>
              <w:t>IND_RED_ISEN</w:t>
            </w:r>
            <w:r w:rsidRPr="00FA3856">
              <w:rPr>
                <w:szCs w:val="20"/>
                <w:lang w:val="pt-PT"/>
              </w:rPr>
              <w:t xml:space="preserve"> = “N</w:t>
            </w:r>
            <w:r w:rsidRPr="00FA3856">
              <w:rPr>
                <w:szCs w:val="20"/>
              </w:rPr>
              <w:t xml:space="preserve">”, se o somatório </w:t>
            </w:r>
            <w:r w:rsidR="000232CC" w:rsidRPr="00FA3856">
              <w:rPr>
                <w:szCs w:val="20"/>
              </w:rPr>
              <w:t xml:space="preserve">dos valores do campo </w:t>
            </w:r>
            <w:r w:rsidRPr="00FA3856">
              <w:rPr>
                <w:szCs w:val="20"/>
              </w:rPr>
              <w:t xml:space="preserve">Y540.VL_REC_ESTAB é igual a </w:t>
            </w:r>
            <w:r w:rsidR="00160C2B" w:rsidRPr="00FA3856">
              <w:rPr>
                <w:szCs w:val="20"/>
              </w:rPr>
              <w:t>[P150(3.01.01.01.01) – P150(3.01.01.01.02.01)</w:t>
            </w:r>
            <w:r w:rsidR="001F5D8E" w:rsidRPr="00FA3856">
              <w:rPr>
                <w:szCs w:val="20"/>
              </w:rPr>
              <w:t xml:space="preserve"> </w:t>
            </w:r>
            <w:r w:rsidR="002955FE" w:rsidRPr="00FA3856">
              <w:rPr>
                <w:szCs w:val="20"/>
              </w:rPr>
              <w:t xml:space="preserve">– P150(3.01.01.01.02.02) </w:t>
            </w:r>
            <w:r w:rsidR="001F5D8E" w:rsidRPr="00FA3856">
              <w:rPr>
                <w:szCs w:val="20"/>
              </w:rPr>
              <w:t>+ P150(3.11.01.01.01) – P150(3.11.01.01.02.01)</w:t>
            </w:r>
            <w:r w:rsidR="002955FE" w:rsidRPr="00FA3856">
              <w:rPr>
                <w:szCs w:val="20"/>
              </w:rPr>
              <w:t xml:space="preserve"> – P150(3.11.01.01.02.02)</w:t>
            </w:r>
            <w:r w:rsidR="00160C2B" w:rsidRPr="00FA3856">
              <w:rPr>
                <w:szCs w:val="20"/>
              </w:rPr>
              <w:t xml:space="preserve">] </w:t>
            </w:r>
            <w:r w:rsidRPr="00FA3856">
              <w:rPr>
                <w:szCs w:val="20"/>
              </w:rPr>
              <w:t xml:space="preserve">(somatório de todos os </w:t>
            </w:r>
            <w:r w:rsidR="00160C2B" w:rsidRPr="00FA3856">
              <w:rPr>
                <w:szCs w:val="20"/>
              </w:rPr>
              <w:t>trimestres</w:t>
            </w:r>
            <w:r w:rsidRPr="00FA3856">
              <w:rPr>
                <w:szCs w:val="20"/>
              </w:rPr>
              <w:t>).</w:t>
            </w:r>
          </w:p>
          <w:p w:rsidR="00160C2B" w:rsidRPr="00FA3856" w:rsidRDefault="00160C2B" w:rsidP="00F432C6">
            <w:pPr>
              <w:shd w:val="clear" w:color="auto" w:fill="FFFFFF"/>
              <w:jc w:val="both"/>
              <w:rPr>
                <w:szCs w:val="20"/>
              </w:rPr>
            </w:pPr>
          </w:p>
          <w:p w:rsidR="00160C2B" w:rsidRPr="00FA3856" w:rsidRDefault="00160C2B" w:rsidP="00160C2B">
            <w:pPr>
              <w:shd w:val="clear" w:color="auto" w:fill="FFFFFF"/>
              <w:jc w:val="both"/>
              <w:rPr>
                <w:szCs w:val="20"/>
              </w:rPr>
            </w:pPr>
            <w:r w:rsidRPr="00FA3856">
              <w:rPr>
                <w:szCs w:val="20"/>
              </w:rPr>
              <w:t xml:space="preserve">- Quando 0010.FORMA.TRIB = “6” (Lucro Arbitrado), se o somatório </w:t>
            </w:r>
            <w:r w:rsidR="000232CC" w:rsidRPr="00FA3856">
              <w:rPr>
                <w:szCs w:val="20"/>
              </w:rPr>
              <w:t xml:space="preserve">dos valores do campo </w:t>
            </w:r>
            <w:r w:rsidRPr="00FA3856">
              <w:rPr>
                <w:szCs w:val="20"/>
              </w:rPr>
              <w:t>Y540.VL_REC_ESTAB é igual a [</w:t>
            </w:r>
            <w:r w:rsidR="00E258D8" w:rsidRPr="00FA3856">
              <w:rPr>
                <w:szCs w:val="20"/>
              </w:rPr>
              <w:t>T120(2) + T120(4) + T120(6) + T120(8) + T120(10) + T150(3)</w:t>
            </w:r>
            <w:r w:rsidRPr="00FA3856">
              <w:rPr>
                <w:szCs w:val="20"/>
              </w:rPr>
              <w:t>] (somatório de todos os trimestres).</w:t>
            </w:r>
          </w:p>
          <w:p w:rsidR="00160C2B" w:rsidRPr="00FA3856" w:rsidRDefault="00160C2B" w:rsidP="00160C2B">
            <w:pPr>
              <w:shd w:val="clear" w:color="auto" w:fill="FFFFFF"/>
              <w:jc w:val="both"/>
              <w:rPr>
                <w:szCs w:val="20"/>
              </w:rPr>
            </w:pPr>
          </w:p>
          <w:p w:rsidR="00CD4CC9" w:rsidRPr="00FA3856" w:rsidRDefault="00CD4CC9" w:rsidP="00CD4CC9">
            <w:pPr>
              <w:shd w:val="clear" w:color="auto" w:fill="FFFFFF"/>
              <w:jc w:val="both"/>
              <w:rPr>
                <w:szCs w:val="20"/>
              </w:rPr>
            </w:pPr>
            <w:r w:rsidRPr="00FA3856">
              <w:rPr>
                <w:szCs w:val="20"/>
              </w:rPr>
              <w:t xml:space="preserve">- </w:t>
            </w:r>
            <w:r w:rsidR="00F60A09" w:rsidRPr="00FA3856">
              <w:rPr>
                <w:szCs w:val="20"/>
              </w:rPr>
              <w:t>Quando</w:t>
            </w:r>
            <w:r w:rsidR="001F5D8E" w:rsidRPr="00FA3856">
              <w:rPr>
                <w:szCs w:val="20"/>
              </w:rPr>
              <w:t xml:space="preserve"> 0010.</w:t>
            </w:r>
            <w:r w:rsidRPr="00FA3856">
              <w:rPr>
                <w:szCs w:val="20"/>
              </w:rPr>
              <w:t>COD_QUALIF_PJ = “02” (</w:t>
            </w:r>
            <w:r w:rsidR="00F60A09" w:rsidRPr="00FA3856">
              <w:rPr>
                <w:szCs w:val="20"/>
              </w:rPr>
              <w:t>PJ Componente do Sistema Financeiro</w:t>
            </w:r>
            <w:r w:rsidRPr="00FA3856">
              <w:rPr>
                <w:szCs w:val="20"/>
              </w:rPr>
              <w:t>)</w:t>
            </w:r>
            <w:r w:rsidR="00C72EB4" w:rsidRPr="00FA3856">
              <w:rPr>
                <w:szCs w:val="20"/>
              </w:rPr>
              <w:t xml:space="preserve"> e 0010.FORMA.TRIB = “1” (Lucro Real) e 0010.</w:t>
            </w:r>
            <w:r w:rsidR="00C72EB4" w:rsidRPr="00FA3856">
              <w:rPr>
                <w:szCs w:val="20"/>
                <w:lang w:val="pt-PT"/>
              </w:rPr>
              <w:t>FORMA_APUR = “T”</w:t>
            </w:r>
            <w:r w:rsidRPr="00FA3856">
              <w:rPr>
                <w:szCs w:val="20"/>
              </w:rPr>
              <w:t xml:space="preserve">, se </w:t>
            </w:r>
            <w:r w:rsidR="00F432C6" w:rsidRPr="00FA3856">
              <w:rPr>
                <w:szCs w:val="20"/>
              </w:rPr>
              <w:t xml:space="preserve">o somatório dos campos </w:t>
            </w:r>
            <w:r w:rsidRPr="00FA3856">
              <w:rPr>
                <w:szCs w:val="20"/>
              </w:rPr>
              <w:t>Y540.VL_REC_ESTAB é igual ao somatório de [</w:t>
            </w:r>
            <w:r w:rsidR="00F60A09" w:rsidRPr="00FA3856">
              <w:rPr>
                <w:szCs w:val="20"/>
              </w:rPr>
              <w:t>L300B</w:t>
            </w:r>
            <w:r w:rsidRPr="00FA3856">
              <w:rPr>
                <w:szCs w:val="20"/>
              </w:rPr>
              <w:t>(</w:t>
            </w:r>
            <w:r w:rsidR="00F60A09" w:rsidRPr="00FA3856">
              <w:rPr>
                <w:szCs w:val="20"/>
              </w:rPr>
              <w:t>3.1.7.1.0.00.00</w:t>
            </w:r>
            <w:r w:rsidRPr="00FA3856">
              <w:rPr>
                <w:szCs w:val="20"/>
              </w:rPr>
              <w:t>)</w:t>
            </w:r>
            <w:r w:rsidR="00F60A09" w:rsidRPr="00FA3856">
              <w:rPr>
                <w:szCs w:val="20"/>
              </w:rPr>
              <w:t>)] (somatório de todos os períodos).</w:t>
            </w:r>
          </w:p>
          <w:p w:rsidR="00C72EB4" w:rsidRPr="00FA3856" w:rsidRDefault="00C72EB4" w:rsidP="00CD4CC9">
            <w:pPr>
              <w:shd w:val="clear" w:color="auto" w:fill="FFFFFF"/>
              <w:jc w:val="both"/>
              <w:rPr>
                <w:szCs w:val="20"/>
              </w:rPr>
            </w:pPr>
          </w:p>
          <w:p w:rsidR="00C72EB4" w:rsidRPr="00FA3856" w:rsidRDefault="00C72EB4" w:rsidP="00C72EB4">
            <w:pPr>
              <w:shd w:val="clear" w:color="auto" w:fill="FFFFFF"/>
              <w:jc w:val="both"/>
              <w:rPr>
                <w:szCs w:val="20"/>
              </w:rPr>
            </w:pPr>
            <w:r w:rsidRPr="00FA3856">
              <w:rPr>
                <w:szCs w:val="20"/>
              </w:rPr>
              <w:t>- Quando 0010.COD_QUALIF_PJ = “02” (PJ Componente do Sistema Financeiro) e 0010.FORMA.TRIB = “1” (Lucro Real) e 0010.</w:t>
            </w:r>
            <w:r w:rsidRPr="00FA3856">
              <w:rPr>
                <w:szCs w:val="20"/>
                <w:lang w:val="pt-PT"/>
              </w:rPr>
              <w:t>FORMA_APUR = “A” (Anual)</w:t>
            </w:r>
            <w:r w:rsidRPr="00FA3856">
              <w:rPr>
                <w:szCs w:val="20"/>
              </w:rPr>
              <w:t>, se o somatório dos campos Y540.VL_REC_ESTAB é igual ao somatório de [L300B(3.1.7.1.0.00.00))] (somente referente ao “A00”).</w:t>
            </w:r>
          </w:p>
          <w:p w:rsidR="00F60A09" w:rsidRPr="00FA3856" w:rsidRDefault="00F60A09" w:rsidP="00CD4CC9">
            <w:pPr>
              <w:shd w:val="clear" w:color="auto" w:fill="FFFFFF"/>
              <w:jc w:val="both"/>
              <w:rPr>
                <w:szCs w:val="20"/>
              </w:rPr>
            </w:pPr>
          </w:p>
          <w:p w:rsidR="00CD4CC9" w:rsidRPr="00FA3856" w:rsidRDefault="00F60A09" w:rsidP="00100EFB">
            <w:pPr>
              <w:shd w:val="clear" w:color="auto" w:fill="FFFFFF"/>
              <w:jc w:val="both"/>
              <w:rPr>
                <w:szCs w:val="20"/>
              </w:rPr>
            </w:pPr>
            <w:r w:rsidRPr="00FA3856">
              <w:rPr>
                <w:szCs w:val="20"/>
              </w:rPr>
              <w:t>- Quando</w:t>
            </w:r>
            <w:r w:rsidR="001F5D8E" w:rsidRPr="00FA3856">
              <w:rPr>
                <w:szCs w:val="20"/>
              </w:rPr>
              <w:t xml:space="preserve"> 0010.</w:t>
            </w:r>
            <w:r w:rsidRPr="00FA3856">
              <w:rPr>
                <w:szCs w:val="20"/>
              </w:rPr>
              <w:t>COD_QUALIF_PJ = “03” (Sociedades Seguradoras, de Capitalização ou Entidade Aberta de Previdência Complementar)</w:t>
            </w:r>
            <w:r w:rsidR="00C72EB4" w:rsidRPr="00FA3856">
              <w:rPr>
                <w:szCs w:val="20"/>
              </w:rPr>
              <w:t xml:space="preserve"> ) e 0010.FORMA.TRIB = “1” (Lucro Real) e 0010.</w:t>
            </w:r>
            <w:r w:rsidR="00C72EB4" w:rsidRPr="00FA3856">
              <w:rPr>
                <w:szCs w:val="20"/>
                <w:lang w:val="pt-PT"/>
              </w:rPr>
              <w:t>FORMA_APUR = “T”</w:t>
            </w:r>
            <w:r w:rsidRPr="00FA3856">
              <w:rPr>
                <w:szCs w:val="20"/>
              </w:rPr>
              <w:t xml:space="preserve">, se </w:t>
            </w:r>
            <w:r w:rsidR="00F432C6" w:rsidRPr="00FA3856">
              <w:rPr>
                <w:szCs w:val="20"/>
              </w:rPr>
              <w:t xml:space="preserve">o somatório dos campos </w:t>
            </w:r>
            <w:r w:rsidRPr="00FA3856">
              <w:rPr>
                <w:szCs w:val="20"/>
              </w:rPr>
              <w:t>Y540.VL_REC_ESTAB é igual ao somatório de [L300C(</w:t>
            </w:r>
            <w:r w:rsidR="00100EFB" w:rsidRPr="00FA3856">
              <w:rPr>
                <w:szCs w:val="20"/>
              </w:rPr>
              <w:t>3.01.01.01.01.01) + L300C(3.01.01.01.01.02)]</w:t>
            </w:r>
            <w:r w:rsidRPr="00FA3856">
              <w:rPr>
                <w:szCs w:val="20"/>
              </w:rPr>
              <w:t xml:space="preserve"> (s</w:t>
            </w:r>
            <w:r w:rsidR="001F5D8E" w:rsidRPr="00FA3856">
              <w:rPr>
                <w:szCs w:val="20"/>
              </w:rPr>
              <w:t>omatório de todos os períodos).</w:t>
            </w:r>
          </w:p>
          <w:p w:rsidR="00C72EB4" w:rsidRPr="00FA3856" w:rsidRDefault="00C72EB4" w:rsidP="00100EFB">
            <w:pPr>
              <w:shd w:val="clear" w:color="auto" w:fill="FFFFFF"/>
              <w:jc w:val="both"/>
              <w:rPr>
                <w:szCs w:val="20"/>
              </w:rPr>
            </w:pPr>
          </w:p>
          <w:p w:rsidR="00C72EB4" w:rsidRPr="00FA3856" w:rsidRDefault="00C72EB4" w:rsidP="00100EFB">
            <w:pPr>
              <w:shd w:val="clear" w:color="auto" w:fill="FFFFFF"/>
              <w:jc w:val="both"/>
              <w:rPr>
                <w:szCs w:val="20"/>
              </w:rPr>
            </w:pPr>
            <w:r w:rsidRPr="00FA3856">
              <w:rPr>
                <w:szCs w:val="20"/>
              </w:rPr>
              <w:t>- Quando 0010.COD_QUALIF_PJ = “03” (Sociedades Seguradoras, de Capitalização ou Entidade Aberta de Previdência Complementar) ) e 0010.FORMA.TRIB = “1” (Lucro Real) e 0010.</w:t>
            </w:r>
            <w:r w:rsidRPr="00FA3856">
              <w:rPr>
                <w:szCs w:val="20"/>
                <w:lang w:val="pt-PT"/>
              </w:rPr>
              <w:t>FORMA_APUR = “A”</w:t>
            </w:r>
            <w:r w:rsidRPr="00FA3856">
              <w:rPr>
                <w:szCs w:val="20"/>
              </w:rPr>
              <w:t>, se o somatório dos campos Y540.VL_REC_ESTAB é igual ao somatório de [L300C(3.01.01.01.01.01) + L300C(3.01.01.01.01.02)] (somente referente ao “A00”).</w:t>
            </w:r>
          </w:p>
        </w:tc>
        <w:tc>
          <w:tcPr>
            <w:tcW w:w="717" w:type="dxa"/>
            <w:tcBorders>
              <w:top w:val="single" w:sz="6" w:space="0" w:color="auto"/>
              <w:left w:val="single" w:sz="6" w:space="0" w:color="auto"/>
              <w:bottom w:val="single" w:sz="6" w:space="0" w:color="auto"/>
              <w:right w:val="single" w:sz="6" w:space="0" w:color="auto"/>
            </w:tcBorders>
          </w:tcPr>
          <w:p w:rsidR="00B5730B" w:rsidRPr="00FA3856" w:rsidRDefault="001F5D8E" w:rsidP="00B5730B">
            <w:pPr>
              <w:pStyle w:val="PSDS-CorpodeTexto0"/>
              <w:rPr>
                <w:rFonts w:ascii="Times New Roman" w:hAnsi="Times New Roman"/>
                <w:lang w:val="pt-PT"/>
              </w:rPr>
            </w:pPr>
            <w:r w:rsidRPr="00FA3856">
              <w:rPr>
                <w:rFonts w:ascii="Times New Roman" w:hAnsi="Times New Roman"/>
                <w:lang w:val="pt-PT"/>
              </w:rPr>
              <w:lastRenderedPageBreak/>
              <w:t>Aviso</w:t>
            </w:r>
          </w:p>
          <w:p w:rsidR="00B5730B" w:rsidRPr="00FA3856" w:rsidRDefault="00B5730B" w:rsidP="00B5730B">
            <w:pPr>
              <w:pStyle w:val="PSDS-CorpodeTexto0"/>
              <w:rPr>
                <w:rFonts w:ascii="Times New Roman" w:hAnsi="Times New Roman"/>
                <w:lang w:val="pt-PT"/>
              </w:rPr>
            </w:pPr>
          </w:p>
        </w:tc>
      </w:tr>
    </w:tbl>
    <w:p w:rsidR="00B5730B" w:rsidRPr="00FA3856" w:rsidRDefault="00B5730B" w:rsidP="00B5730B">
      <w:pPr>
        <w:rPr>
          <w:b/>
          <w:color w:val="002060"/>
          <w:szCs w:val="20"/>
        </w:rPr>
      </w:pPr>
    </w:p>
    <w:p w:rsidR="0038469A" w:rsidRDefault="00430C6A" w:rsidP="00430C6A">
      <w:pPr>
        <w:spacing w:line="276" w:lineRule="auto"/>
        <w:rPr>
          <w:b/>
          <w:color w:val="002060"/>
          <w:szCs w:val="20"/>
        </w:rPr>
      </w:pPr>
      <w:r w:rsidRPr="00FA3856">
        <w:rPr>
          <w:b/>
          <w:color w:val="002060"/>
          <w:szCs w:val="20"/>
        </w:rPr>
        <w:t xml:space="preserve">Exemplo de Preenchimento: </w:t>
      </w:r>
    </w:p>
    <w:p w:rsidR="0038469A" w:rsidRDefault="0038469A" w:rsidP="00430C6A">
      <w:pPr>
        <w:spacing w:line="276" w:lineRule="auto"/>
        <w:rPr>
          <w:b/>
          <w:color w:val="002060"/>
          <w:szCs w:val="20"/>
        </w:rPr>
      </w:pPr>
    </w:p>
    <w:p w:rsidR="00B5730B" w:rsidRPr="00FA3856" w:rsidRDefault="00B5730B" w:rsidP="00430C6A">
      <w:pPr>
        <w:spacing w:line="276" w:lineRule="auto"/>
        <w:rPr>
          <w:b/>
          <w:color w:val="002060"/>
          <w:szCs w:val="20"/>
        </w:rPr>
      </w:pPr>
      <w:r w:rsidRPr="00FA3856">
        <w:rPr>
          <w:b/>
          <w:color w:val="002060"/>
          <w:szCs w:val="20"/>
        </w:rPr>
        <w:t>|</w:t>
      </w:r>
      <w:r w:rsidR="00E117C4" w:rsidRPr="00FA3856">
        <w:rPr>
          <w:b/>
          <w:color w:val="002060"/>
          <w:szCs w:val="20"/>
        </w:rPr>
        <w:t>Y54</w:t>
      </w:r>
      <w:r w:rsidRPr="00FA3856">
        <w:rPr>
          <w:b/>
          <w:color w:val="002060"/>
          <w:szCs w:val="20"/>
        </w:rPr>
        <w:t>0|22222222222222||100000,00|</w:t>
      </w:r>
      <w:r w:rsidR="00E117C4" w:rsidRPr="00FA3856">
        <w:rPr>
          <w:b/>
          <w:color w:val="002060"/>
          <w:szCs w:val="20"/>
        </w:rPr>
        <w:t>4399101|</w:t>
      </w:r>
    </w:p>
    <w:p w:rsidR="00B5730B" w:rsidRPr="00FA3856" w:rsidRDefault="00E117C4" w:rsidP="00430C6A">
      <w:pPr>
        <w:pStyle w:val="Corpodetexto"/>
        <w:ind w:left="708" w:firstLine="709"/>
        <w:rPr>
          <w:rFonts w:ascii="Times New Roman" w:hAnsi="Times New Roman"/>
          <w:color w:val="002060"/>
          <w:szCs w:val="20"/>
        </w:rPr>
      </w:pPr>
      <w:r w:rsidRPr="00FA3856">
        <w:rPr>
          <w:rFonts w:ascii="Times New Roman" w:hAnsi="Times New Roman"/>
          <w:color w:val="002060"/>
          <w:szCs w:val="20"/>
        </w:rPr>
        <w:t>|Y54</w:t>
      </w:r>
      <w:r w:rsidR="00B5730B" w:rsidRPr="00FA3856">
        <w:rPr>
          <w:rFonts w:ascii="Times New Roman" w:hAnsi="Times New Roman"/>
          <w:color w:val="002060"/>
          <w:szCs w:val="20"/>
        </w:rPr>
        <w:t>0|: Identificação do tipo do registro.</w:t>
      </w:r>
    </w:p>
    <w:p w:rsidR="00B5730B" w:rsidRPr="00FA3856" w:rsidRDefault="00B5730B" w:rsidP="00430C6A">
      <w:pPr>
        <w:pStyle w:val="Corpodetexto"/>
        <w:ind w:left="708" w:firstLine="709"/>
        <w:rPr>
          <w:rFonts w:ascii="Times New Roman" w:hAnsi="Times New Roman"/>
          <w:color w:val="002060"/>
          <w:szCs w:val="20"/>
        </w:rPr>
      </w:pPr>
      <w:r w:rsidRPr="00FA3856">
        <w:rPr>
          <w:rFonts w:ascii="Times New Roman" w:hAnsi="Times New Roman"/>
          <w:color w:val="002060"/>
          <w:szCs w:val="20"/>
        </w:rPr>
        <w:t xml:space="preserve">|22222222222222|: CNPJ </w:t>
      </w:r>
      <w:r w:rsidR="00E117C4" w:rsidRPr="00FA3856">
        <w:rPr>
          <w:rFonts w:ascii="Times New Roman" w:hAnsi="Times New Roman"/>
          <w:color w:val="002060"/>
          <w:szCs w:val="20"/>
        </w:rPr>
        <w:t>do estabelecimento</w:t>
      </w:r>
      <w:r w:rsidRPr="00FA3856">
        <w:rPr>
          <w:rFonts w:ascii="Times New Roman" w:hAnsi="Times New Roman"/>
          <w:color w:val="002060"/>
          <w:szCs w:val="20"/>
        </w:rPr>
        <w:t xml:space="preserve"> (CNPJ = 22.222.222/2222-22).</w:t>
      </w:r>
    </w:p>
    <w:p w:rsidR="00B5730B" w:rsidRPr="00FA3856" w:rsidRDefault="00B5730B" w:rsidP="00430C6A">
      <w:pPr>
        <w:pStyle w:val="Corpodetexto"/>
        <w:ind w:left="708" w:firstLine="709"/>
        <w:rPr>
          <w:rFonts w:ascii="Times New Roman" w:hAnsi="Times New Roman"/>
          <w:color w:val="002060"/>
          <w:szCs w:val="20"/>
        </w:rPr>
      </w:pPr>
      <w:r w:rsidRPr="00FA3856">
        <w:rPr>
          <w:rFonts w:ascii="Times New Roman" w:hAnsi="Times New Roman"/>
          <w:color w:val="002060"/>
          <w:szCs w:val="20"/>
        </w:rPr>
        <w:t xml:space="preserve">|100000,00|: Valor da </w:t>
      </w:r>
      <w:r w:rsidR="00E117C4" w:rsidRPr="00FA3856">
        <w:rPr>
          <w:rFonts w:ascii="Times New Roman" w:hAnsi="Times New Roman"/>
          <w:color w:val="002060"/>
          <w:szCs w:val="20"/>
        </w:rPr>
        <w:t>receita de vendas, deduzidas as vendas canceladas, devoluções e descontos incondicionais</w:t>
      </w:r>
      <w:r w:rsidRPr="00FA3856">
        <w:rPr>
          <w:rFonts w:ascii="Times New Roman" w:hAnsi="Times New Roman"/>
          <w:color w:val="002060"/>
          <w:szCs w:val="20"/>
        </w:rPr>
        <w:t xml:space="preserve"> (R$ 100.000,00).</w:t>
      </w:r>
    </w:p>
    <w:p w:rsidR="00E117C4" w:rsidRPr="00FA3856" w:rsidRDefault="00E117C4" w:rsidP="00430C6A">
      <w:pPr>
        <w:pStyle w:val="Corpodetexto"/>
        <w:ind w:left="708" w:firstLine="709"/>
        <w:rPr>
          <w:rFonts w:ascii="Times New Roman" w:hAnsi="Times New Roman"/>
          <w:color w:val="002060"/>
          <w:szCs w:val="20"/>
        </w:rPr>
      </w:pPr>
      <w:r w:rsidRPr="00FA3856">
        <w:rPr>
          <w:rFonts w:ascii="Times New Roman" w:hAnsi="Times New Roman"/>
          <w:color w:val="002060"/>
          <w:szCs w:val="20"/>
        </w:rPr>
        <w:t>|4399101|: CNAE da atividade preponderante (4399101 = Administração de obras).</w:t>
      </w:r>
    </w:p>
    <w:p w:rsidR="00430C6A" w:rsidRPr="00FA3856" w:rsidRDefault="00430C6A">
      <w:pPr>
        <w:spacing w:after="200" w:line="276" w:lineRule="auto"/>
        <w:rPr>
          <w:b/>
          <w:bCs/>
          <w:color w:val="0000FF"/>
          <w:szCs w:val="20"/>
        </w:rPr>
      </w:pPr>
      <w:r w:rsidRPr="00FA3856">
        <w:rPr>
          <w:color w:val="0000FF"/>
          <w:szCs w:val="20"/>
        </w:rPr>
        <w:br w:type="page"/>
      </w:r>
    </w:p>
    <w:p w:rsidR="00353C1C" w:rsidRPr="00FA3856" w:rsidRDefault="00353C1C" w:rsidP="00867F54">
      <w:pPr>
        <w:pStyle w:val="Ttulo4"/>
      </w:pPr>
      <w:bookmarkStart w:id="422" w:name="_Toc479713825"/>
      <w:r w:rsidRPr="00FA3856">
        <w:lastRenderedPageBreak/>
        <w:t>Registro Y550: Vendas a Comercial Exportadora com Fim Específico de Exportação</w:t>
      </w:r>
      <w:bookmarkEnd w:id="422"/>
    </w:p>
    <w:p w:rsidR="00353C1C" w:rsidRPr="00FA3856" w:rsidRDefault="00353C1C" w:rsidP="00353C1C">
      <w:pPr>
        <w:rPr>
          <w:szCs w:val="20"/>
        </w:rPr>
      </w:pPr>
    </w:p>
    <w:p w:rsidR="00353C1C" w:rsidRPr="00FA3856" w:rsidRDefault="00BB2C36" w:rsidP="00267AAD">
      <w:pPr>
        <w:ind w:firstLine="708"/>
        <w:rPr>
          <w:szCs w:val="20"/>
        </w:rPr>
      </w:pPr>
      <w:r w:rsidRPr="00FA3856">
        <w:rPr>
          <w:szCs w:val="20"/>
        </w:rPr>
        <w:t>Este registro deve ser preenchido pelas pessoas ju</w:t>
      </w:r>
      <w:r w:rsidR="00267AAD" w:rsidRPr="00FA3856">
        <w:rPr>
          <w:szCs w:val="20"/>
        </w:rPr>
        <w:t>rídicas que efetuaram vendas a empresas c</w:t>
      </w:r>
      <w:r w:rsidRPr="00FA3856">
        <w:rPr>
          <w:szCs w:val="20"/>
        </w:rPr>
        <w:t>ome</w:t>
      </w:r>
      <w:r w:rsidR="00267AAD" w:rsidRPr="00FA3856">
        <w:rPr>
          <w:szCs w:val="20"/>
        </w:rPr>
        <w:t>rciais e</w:t>
      </w:r>
      <w:r w:rsidRPr="00FA3856">
        <w:rPr>
          <w:szCs w:val="20"/>
        </w:rPr>
        <w:t xml:space="preserve">xportadoras </w:t>
      </w:r>
      <w:r w:rsidR="001E4FFF" w:rsidRPr="00FA3856">
        <w:rPr>
          <w:szCs w:val="20"/>
        </w:rPr>
        <w:t xml:space="preserve">com o fim específico de exportação </w:t>
      </w:r>
      <w:r w:rsidRPr="00FA3856">
        <w:rPr>
          <w:szCs w:val="20"/>
        </w:rPr>
        <w:t xml:space="preserve">no ano-calendário a que se refere a </w:t>
      </w:r>
      <w:r w:rsidR="00267AAD" w:rsidRPr="00FA3856">
        <w:rPr>
          <w:szCs w:val="20"/>
        </w:rPr>
        <w:t>ECF</w:t>
      </w:r>
      <w:r w:rsidRPr="00FA3856">
        <w:rPr>
          <w:szCs w:val="20"/>
        </w:rPr>
        <w:t>.</w:t>
      </w:r>
    </w:p>
    <w:p w:rsidR="007063E8" w:rsidRDefault="007063E8" w:rsidP="007063E8">
      <w:pPr>
        <w:pStyle w:val="PSDS-MarcadoresNivel4"/>
        <w:tabs>
          <w:tab w:val="clear" w:pos="2271"/>
          <w:tab w:val="left" w:pos="720"/>
        </w:tabs>
        <w:spacing w:before="0" w:after="0"/>
        <w:ind w:left="0" w:firstLine="0"/>
        <w:rPr>
          <w:rFonts w:ascii="Times New Roman" w:hAnsi="Times New Roman" w:cs="Times New Roman"/>
          <w:szCs w:val="20"/>
          <w:lang w:val="pt-PT"/>
        </w:rPr>
      </w:pPr>
    </w:p>
    <w:p w:rsidR="0038469A" w:rsidRPr="00FA3856" w:rsidRDefault="00B35FA3" w:rsidP="0038469A">
      <w:pPr>
        <w:pStyle w:val="PSDS-MarcadoresNivel4"/>
        <w:tabs>
          <w:tab w:val="clear" w:pos="2271"/>
          <w:tab w:val="left" w:pos="720"/>
        </w:tabs>
        <w:spacing w:before="0" w:after="0"/>
        <w:ind w:left="0" w:firstLine="0"/>
        <w:jc w:val="center"/>
        <w:rPr>
          <w:rFonts w:ascii="Times New Roman" w:hAnsi="Times New Roman" w:cs="Times New Roman"/>
          <w:szCs w:val="20"/>
          <w:lang w:val="pt-PT"/>
        </w:rPr>
      </w:pPr>
      <w:r>
        <w:rPr>
          <w:rFonts w:ascii="Times New Roman" w:hAnsi="Times New Roman" w:cs="Times New Roman"/>
          <w:szCs w:val="20"/>
          <w:lang w:val="pt-PT"/>
        </w:rPr>
        <w:object w:dxaOrig="14835" w:dyaOrig="3225">
          <v:shape id="_x0000_i2048" type="#_x0000_t75" style="width:792.75pt;height:157.5pt" o:ole="">
            <v:imagedata r:id="rId840" o:title=""/>
          </v:shape>
          <o:OLEObject Type="Link" ProgID="Excel.Sheet.12" ShapeID="_x0000_i2048" DrawAspect="Content" r:id="rId841" UpdateMode="Always">
            <o:LinkType>EnhancedMetaFile</o:LinkType>
            <o:LockedField>false</o:LockedField>
          </o:OLEObject>
        </w:object>
      </w:r>
    </w:p>
    <w:p w:rsidR="0038469A" w:rsidRDefault="0038469A" w:rsidP="00BB2C36">
      <w:pPr>
        <w:rPr>
          <w:b/>
          <w:szCs w:val="20"/>
          <w:lang w:val="pt-PT"/>
        </w:rPr>
      </w:pPr>
    </w:p>
    <w:p w:rsidR="00BB2C36" w:rsidRPr="00FA3856" w:rsidRDefault="00BB2C36" w:rsidP="00BB2C36">
      <w:pPr>
        <w:rPr>
          <w:b/>
          <w:szCs w:val="20"/>
          <w:lang w:val="pt-PT"/>
        </w:rPr>
      </w:pPr>
      <w:r w:rsidRPr="00FA3856">
        <w:rPr>
          <w:b/>
          <w:szCs w:val="20"/>
          <w:lang w:val="pt-PT"/>
        </w:rPr>
        <w:t>I – Regras de Validação de Campos:</w:t>
      </w:r>
    </w:p>
    <w:p w:rsidR="00642131" w:rsidRPr="00FA3856" w:rsidRDefault="00642131" w:rsidP="00BB2C36">
      <w:pPr>
        <w:rPr>
          <w:b/>
          <w:szCs w:val="20"/>
          <w:lang w:val="pt-PT"/>
        </w:rPr>
      </w:pPr>
    </w:p>
    <w:tbl>
      <w:tblPr>
        <w:tblW w:w="15593"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85"/>
        <w:gridCol w:w="3000"/>
        <w:gridCol w:w="11391"/>
        <w:gridCol w:w="717"/>
      </w:tblGrid>
      <w:tr w:rsidR="00BB2C36" w:rsidRPr="00FA3856" w:rsidTr="00B5730B">
        <w:trPr>
          <w:jc w:val="center"/>
        </w:trPr>
        <w:tc>
          <w:tcPr>
            <w:tcW w:w="485" w:type="dxa"/>
            <w:tcBorders>
              <w:top w:val="single" w:sz="6" w:space="0" w:color="auto"/>
              <w:left w:val="single" w:sz="6" w:space="0" w:color="auto"/>
              <w:bottom w:val="single" w:sz="6" w:space="0" w:color="auto"/>
              <w:right w:val="single" w:sz="6" w:space="0" w:color="auto"/>
            </w:tcBorders>
            <w:shd w:val="pct10" w:color="auto" w:fill="FFFFFF"/>
          </w:tcPr>
          <w:p w:rsidR="00BB2C36" w:rsidRPr="00FA3856" w:rsidRDefault="00BB2C36" w:rsidP="00B5730B">
            <w:pPr>
              <w:pStyle w:val="PSDS-CorpodeTexto0"/>
              <w:jc w:val="center"/>
              <w:rPr>
                <w:rFonts w:ascii="Times New Roman" w:hAnsi="Times New Roman"/>
                <w:b/>
                <w:bCs/>
              </w:rPr>
            </w:pPr>
            <w:r w:rsidRPr="00FA3856">
              <w:rPr>
                <w:rFonts w:ascii="Times New Roman" w:hAnsi="Times New Roman"/>
                <w:b/>
                <w:bCs/>
              </w:rPr>
              <w:t>Nº</w:t>
            </w:r>
          </w:p>
        </w:tc>
        <w:tc>
          <w:tcPr>
            <w:tcW w:w="3000" w:type="dxa"/>
            <w:tcBorders>
              <w:top w:val="single" w:sz="6" w:space="0" w:color="auto"/>
              <w:left w:val="single" w:sz="6" w:space="0" w:color="auto"/>
              <w:bottom w:val="single" w:sz="6" w:space="0" w:color="auto"/>
              <w:right w:val="single" w:sz="6" w:space="0" w:color="auto"/>
            </w:tcBorders>
            <w:shd w:val="pct10" w:color="auto" w:fill="FFFFFF"/>
          </w:tcPr>
          <w:p w:rsidR="00BB2C36" w:rsidRPr="00FA3856" w:rsidRDefault="00BB2C36" w:rsidP="00B5730B">
            <w:pPr>
              <w:pStyle w:val="PSDS-CorpodeTexto0"/>
              <w:jc w:val="center"/>
              <w:rPr>
                <w:rFonts w:ascii="Times New Roman" w:hAnsi="Times New Roman"/>
                <w:b/>
                <w:bCs/>
              </w:rPr>
            </w:pPr>
            <w:r w:rsidRPr="00FA3856">
              <w:rPr>
                <w:rFonts w:ascii="Times New Roman" w:hAnsi="Times New Roman"/>
                <w:b/>
                <w:bCs/>
              </w:rPr>
              <w:t>Campo</w:t>
            </w:r>
          </w:p>
        </w:tc>
        <w:tc>
          <w:tcPr>
            <w:tcW w:w="11391" w:type="dxa"/>
            <w:tcBorders>
              <w:top w:val="single" w:sz="6" w:space="0" w:color="auto"/>
              <w:left w:val="single" w:sz="6" w:space="0" w:color="auto"/>
              <w:bottom w:val="single" w:sz="6" w:space="0" w:color="auto"/>
              <w:right w:val="single" w:sz="6" w:space="0" w:color="auto"/>
            </w:tcBorders>
            <w:shd w:val="pct10" w:color="auto" w:fill="FFFFFF"/>
          </w:tcPr>
          <w:p w:rsidR="00BB2C36" w:rsidRPr="00FA3856" w:rsidRDefault="00BB2C36" w:rsidP="00B5730B">
            <w:pPr>
              <w:pStyle w:val="PSDS-CorpodeTexto0"/>
              <w:jc w:val="center"/>
              <w:rPr>
                <w:rFonts w:ascii="Times New Roman" w:hAnsi="Times New Roman"/>
                <w:b/>
                <w:bCs/>
              </w:rPr>
            </w:pPr>
            <w:r w:rsidRPr="00FA3856">
              <w:rPr>
                <w:rFonts w:ascii="Times New Roman" w:hAnsi="Times New Roman"/>
                <w:b/>
                <w:bCs/>
              </w:rPr>
              <w:t>Regras de Validação do Campo</w:t>
            </w:r>
          </w:p>
        </w:tc>
        <w:tc>
          <w:tcPr>
            <w:tcW w:w="717" w:type="dxa"/>
            <w:tcBorders>
              <w:top w:val="single" w:sz="6" w:space="0" w:color="auto"/>
              <w:left w:val="single" w:sz="6" w:space="0" w:color="auto"/>
              <w:bottom w:val="single" w:sz="6" w:space="0" w:color="auto"/>
              <w:right w:val="single" w:sz="6" w:space="0" w:color="auto"/>
            </w:tcBorders>
            <w:shd w:val="pct10" w:color="auto" w:fill="FFFFFF"/>
          </w:tcPr>
          <w:p w:rsidR="00BB2C36" w:rsidRPr="00FA3856" w:rsidRDefault="00BB2C36" w:rsidP="00B5730B">
            <w:pPr>
              <w:pStyle w:val="PSDS-CorpodeTexto0"/>
              <w:jc w:val="center"/>
              <w:rPr>
                <w:rFonts w:ascii="Times New Roman" w:hAnsi="Times New Roman"/>
                <w:b/>
                <w:bCs/>
              </w:rPr>
            </w:pPr>
            <w:r w:rsidRPr="00FA3856">
              <w:rPr>
                <w:rFonts w:ascii="Times New Roman" w:hAnsi="Times New Roman"/>
                <w:b/>
                <w:bCs/>
              </w:rPr>
              <w:t>Tipo</w:t>
            </w:r>
          </w:p>
        </w:tc>
      </w:tr>
      <w:tr w:rsidR="00BB2C36" w:rsidRPr="00FA3856" w:rsidTr="00B5730B">
        <w:trPr>
          <w:jc w:val="center"/>
        </w:trPr>
        <w:tc>
          <w:tcPr>
            <w:tcW w:w="485" w:type="dxa"/>
            <w:tcBorders>
              <w:top w:val="single" w:sz="6" w:space="0" w:color="auto"/>
              <w:left w:val="single" w:sz="6" w:space="0" w:color="auto"/>
              <w:bottom w:val="single" w:sz="6" w:space="0" w:color="auto"/>
              <w:right w:val="single" w:sz="6" w:space="0" w:color="auto"/>
            </w:tcBorders>
          </w:tcPr>
          <w:p w:rsidR="00BB2C36" w:rsidRPr="00FA3856" w:rsidRDefault="00BB2C36" w:rsidP="00B5730B">
            <w:pPr>
              <w:pStyle w:val="PSDS-CorpodeTexto0"/>
              <w:suppressAutoHyphens w:val="0"/>
              <w:rPr>
                <w:rFonts w:ascii="Times New Roman" w:hAnsi="Times New Roman"/>
                <w:b/>
                <w:bCs/>
                <w:lang w:val="pt-PT"/>
              </w:rPr>
            </w:pPr>
            <w:r w:rsidRPr="00FA3856">
              <w:rPr>
                <w:rFonts w:ascii="Times New Roman" w:hAnsi="Times New Roman"/>
                <w:b/>
                <w:bCs/>
                <w:lang w:val="pt-PT"/>
              </w:rPr>
              <w:t>2</w:t>
            </w:r>
          </w:p>
        </w:tc>
        <w:tc>
          <w:tcPr>
            <w:tcW w:w="3000" w:type="dxa"/>
            <w:tcBorders>
              <w:top w:val="single" w:sz="6" w:space="0" w:color="auto"/>
              <w:left w:val="single" w:sz="6" w:space="0" w:color="auto"/>
              <w:bottom w:val="single" w:sz="6" w:space="0" w:color="auto"/>
              <w:right w:val="single" w:sz="6" w:space="0" w:color="auto"/>
            </w:tcBorders>
          </w:tcPr>
          <w:p w:rsidR="00BB2C36" w:rsidRPr="00FA3856" w:rsidRDefault="00BB2C36" w:rsidP="00B5730B">
            <w:pPr>
              <w:pStyle w:val="PSDS-CorpodeTexto0"/>
              <w:rPr>
                <w:rFonts w:ascii="Times New Roman" w:hAnsi="Times New Roman"/>
                <w:lang w:val="pt-PT"/>
              </w:rPr>
            </w:pPr>
            <w:r w:rsidRPr="00FA3856">
              <w:rPr>
                <w:rFonts w:ascii="Times New Roman" w:hAnsi="Times New Roman"/>
                <w:lang w:val="pt-PT"/>
              </w:rPr>
              <w:t>CNPJ_EXP</w:t>
            </w:r>
          </w:p>
        </w:tc>
        <w:tc>
          <w:tcPr>
            <w:tcW w:w="11391" w:type="dxa"/>
            <w:tcBorders>
              <w:top w:val="single" w:sz="6" w:space="0" w:color="auto"/>
              <w:left w:val="single" w:sz="6" w:space="0" w:color="auto"/>
              <w:bottom w:val="single" w:sz="6" w:space="0" w:color="auto"/>
              <w:right w:val="single" w:sz="6" w:space="0" w:color="auto"/>
            </w:tcBorders>
          </w:tcPr>
          <w:p w:rsidR="00BB2C36" w:rsidRPr="00FA3856" w:rsidRDefault="007D0E74" w:rsidP="00B5730B">
            <w:pPr>
              <w:shd w:val="clear" w:color="auto" w:fill="FFFFFF"/>
              <w:jc w:val="both"/>
              <w:rPr>
                <w:szCs w:val="20"/>
              </w:rPr>
            </w:pPr>
            <w:hyperlink w:anchor="REGRA_VALIDA_CNPJ" w:history="1">
              <w:r w:rsidR="00BB2C36" w:rsidRPr="00FA3856">
                <w:rPr>
                  <w:rStyle w:val="Hyperlink"/>
                  <w:b/>
                  <w:bCs/>
                  <w:color w:val="auto"/>
                  <w:szCs w:val="20"/>
                  <w:lang w:val="pt-PT"/>
                </w:rPr>
                <w:t>REGRA_VALIDA_CNPJ</w:t>
              </w:r>
            </w:hyperlink>
            <w:r w:rsidR="00BB2C36" w:rsidRPr="00FA3856">
              <w:rPr>
                <w:b/>
                <w:bCs/>
                <w:szCs w:val="20"/>
                <w:lang w:val="pt-PT"/>
              </w:rPr>
              <w:t xml:space="preserve">: </w:t>
            </w:r>
            <w:r w:rsidR="00BB2C36" w:rsidRPr="00FA3856">
              <w:rPr>
                <w:szCs w:val="20"/>
              </w:rPr>
              <w:t xml:space="preserve"> Verifica se a regra de formação do código é válida.</w:t>
            </w:r>
          </w:p>
          <w:p w:rsidR="00BB2C36" w:rsidRPr="00FA3856" w:rsidRDefault="00BB2C36" w:rsidP="00B5730B">
            <w:pPr>
              <w:shd w:val="clear" w:color="auto" w:fill="FFFFFF"/>
              <w:jc w:val="both"/>
              <w:rPr>
                <w:szCs w:val="20"/>
              </w:rPr>
            </w:pPr>
          </w:p>
          <w:p w:rsidR="00BB2C36" w:rsidRPr="00FA3856" w:rsidRDefault="00BB2C36" w:rsidP="00B5730B">
            <w:pPr>
              <w:shd w:val="clear" w:color="auto" w:fill="FFFFFF"/>
              <w:jc w:val="both"/>
              <w:rPr>
                <w:szCs w:val="20"/>
              </w:rPr>
            </w:pPr>
            <w:r w:rsidRPr="00FA3856">
              <w:rPr>
                <w:b/>
                <w:szCs w:val="20"/>
              </w:rPr>
              <w:t xml:space="preserve">REGRA_CNPJ_DIFERENTE: </w:t>
            </w:r>
            <w:r w:rsidRPr="00FA3856">
              <w:rPr>
                <w:szCs w:val="20"/>
              </w:rPr>
              <w:t xml:space="preserve">Verifica se </w:t>
            </w:r>
            <w:r w:rsidR="0011050B" w:rsidRPr="00FA3856">
              <w:rPr>
                <w:szCs w:val="20"/>
              </w:rPr>
              <w:t xml:space="preserve">Y555.CNPJ </w:t>
            </w:r>
            <w:r w:rsidRPr="00FA3856">
              <w:rPr>
                <w:szCs w:val="20"/>
              </w:rPr>
              <w:t>é diferente do 0000.</w:t>
            </w:r>
            <w:r w:rsidR="00430C6A" w:rsidRPr="00FA3856">
              <w:rPr>
                <w:szCs w:val="20"/>
              </w:rPr>
              <w:t>CNPJ</w:t>
            </w:r>
            <w:r w:rsidRPr="00FA3856">
              <w:rPr>
                <w:szCs w:val="20"/>
              </w:rPr>
              <w:t>.</w:t>
            </w:r>
          </w:p>
        </w:tc>
        <w:tc>
          <w:tcPr>
            <w:tcW w:w="717" w:type="dxa"/>
            <w:tcBorders>
              <w:top w:val="single" w:sz="6" w:space="0" w:color="auto"/>
              <w:left w:val="single" w:sz="6" w:space="0" w:color="auto"/>
              <w:bottom w:val="single" w:sz="6" w:space="0" w:color="auto"/>
              <w:right w:val="single" w:sz="6" w:space="0" w:color="auto"/>
            </w:tcBorders>
          </w:tcPr>
          <w:p w:rsidR="00BB2C36" w:rsidRPr="00FA3856" w:rsidRDefault="00BB2C36" w:rsidP="00B5730B">
            <w:pPr>
              <w:pStyle w:val="PSDS-CorpodeTexto0"/>
              <w:rPr>
                <w:rFonts w:ascii="Times New Roman" w:hAnsi="Times New Roman"/>
                <w:lang w:val="pt-PT"/>
              </w:rPr>
            </w:pPr>
            <w:r w:rsidRPr="00FA3856">
              <w:rPr>
                <w:rFonts w:ascii="Times New Roman" w:hAnsi="Times New Roman"/>
                <w:lang w:val="pt-PT"/>
              </w:rPr>
              <w:t>Erro</w:t>
            </w:r>
          </w:p>
          <w:p w:rsidR="00BB2C36" w:rsidRPr="00FA3856" w:rsidRDefault="00BB2C36" w:rsidP="00B5730B">
            <w:pPr>
              <w:pStyle w:val="PSDS-CorpodeTexto0"/>
              <w:rPr>
                <w:rFonts w:ascii="Times New Roman" w:hAnsi="Times New Roman"/>
                <w:lang w:val="pt-PT"/>
              </w:rPr>
            </w:pPr>
          </w:p>
          <w:p w:rsidR="00BB2C36" w:rsidRPr="00FA3856" w:rsidRDefault="00BB2C36" w:rsidP="00B5730B">
            <w:pPr>
              <w:pStyle w:val="PSDS-CorpodeTexto0"/>
              <w:rPr>
                <w:rFonts w:ascii="Times New Roman" w:hAnsi="Times New Roman"/>
                <w:lang w:val="pt-PT"/>
              </w:rPr>
            </w:pPr>
            <w:r w:rsidRPr="00FA3856">
              <w:rPr>
                <w:rFonts w:ascii="Times New Roman" w:hAnsi="Times New Roman"/>
                <w:lang w:val="pt-PT"/>
              </w:rPr>
              <w:t>Erro</w:t>
            </w:r>
          </w:p>
        </w:tc>
      </w:tr>
    </w:tbl>
    <w:p w:rsidR="00BB2C36" w:rsidRPr="00FA3856" w:rsidRDefault="00BB2C36" w:rsidP="00BB2C36">
      <w:pPr>
        <w:rPr>
          <w:b/>
          <w:color w:val="002060"/>
          <w:szCs w:val="20"/>
        </w:rPr>
      </w:pPr>
    </w:p>
    <w:p w:rsidR="0038469A" w:rsidRDefault="00430C6A" w:rsidP="00430C6A">
      <w:pPr>
        <w:spacing w:line="276" w:lineRule="auto"/>
        <w:rPr>
          <w:b/>
          <w:color w:val="002060"/>
          <w:szCs w:val="20"/>
        </w:rPr>
      </w:pPr>
      <w:r w:rsidRPr="00FA3856">
        <w:rPr>
          <w:b/>
          <w:color w:val="002060"/>
          <w:szCs w:val="20"/>
        </w:rPr>
        <w:t>Exemplo de Preenchimento:</w:t>
      </w:r>
    </w:p>
    <w:p w:rsidR="0038469A" w:rsidRDefault="0038469A" w:rsidP="00430C6A">
      <w:pPr>
        <w:spacing w:line="276" w:lineRule="auto"/>
        <w:rPr>
          <w:b/>
          <w:color w:val="002060"/>
          <w:szCs w:val="20"/>
        </w:rPr>
      </w:pPr>
    </w:p>
    <w:p w:rsidR="00BB2C36" w:rsidRPr="00FA3856" w:rsidRDefault="00430C6A" w:rsidP="00430C6A">
      <w:pPr>
        <w:spacing w:line="276" w:lineRule="auto"/>
        <w:rPr>
          <w:b/>
          <w:color w:val="002060"/>
          <w:szCs w:val="20"/>
        </w:rPr>
      </w:pPr>
      <w:r w:rsidRPr="00FA3856">
        <w:rPr>
          <w:b/>
          <w:color w:val="002060"/>
          <w:szCs w:val="20"/>
        </w:rPr>
        <w:t xml:space="preserve"> </w:t>
      </w:r>
      <w:r w:rsidR="00BB2C36" w:rsidRPr="00FA3856">
        <w:rPr>
          <w:b/>
          <w:color w:val="002060"/>
          <w:szCs w:val="20"/>
        </w:rPr>
        <w:t>|Y550|22222222222222|11111111|100000,00|</w:t>
      </w:r>
    </w:p>
    <w:p w:rsidR="00BB2C36" w:rsidRPr="00FA3856" w:rsidRDefault="00BB2C36" w:rsidP="00430C6A">
      <w:pPr>
        <w:pStyle w:val="Corpodetexto"/>
        <w:ind w:left="708" w:firstLine="709"/>
        <w:rPr>
          <w:rFonts w:ascii="Times New Roman" w:hAnsi="Times New Roman"/>
          <w:color w:val="002060"/>
          <w:szCs w:val="20"/>
        </w:rPr>
      </w:pPr>
      <w:r w:rsidRPr="00FA3856">
        <w:rPr>
          <w:rFonts w:ascii="Times New Roman" w:hAnsi="Times New Roman"/>
          <w:color w:val="002060"/>
          <w:szCs w:val="20"/>
        </w:rPr>
        <w:t>|Y550|: Identificação do tipo do registro.</w:t>
      </w:r>
    </w:p>
    <w:p w:rsidR="00BB2C36" w:rsidRPr="00FA3856" w:rsidRDefault="00BB2C36" w:rsidP="00430C6A">
      <w:pPr>
        <w:pStyle w:val="Corpodetexto"/>
        <w:ind w:left="708" w:firstLine="709"/>
        <w:rPr>
          <w:rFonts w:ascii="Times New Roman" w:hAnsi="Times New Roman"/>
          <w:color w:val="002060"/>
          <w:szCs w:val="20"/>
        </w:rPr>
      </w:pPr>
      <w:r w:rsidRPr="00FA3856">
        <w:rPr>
          <w:rFonts w:ascii="Times New Roman" w:hAnsi="Times New Roman"/>
          <w:color w:val="002060"/>
          <w:szCs w:val="20"/>
        </w:rPr>
        <w:t>|22222222222222|: CNPJ da empresa comercial exportadora adquirente (CNPJ = 22.222.222/2222-22).</w:t>
      </w:r>
    </w:p>
    <w:p w:rsidR="00BB2C36" w:rsidRPr="00FA3856" w:rsidRDefault="00BB2C36" w:rsidP="00430C6A">
      <w:pPr>
        <w:pStyle w:val="Corpodetexto"/>
        <w:ind w:left="708" w:firstLine="709"/>
        <w:rPr>
          <w:rFonts w:ascii="Times New Roman" w:hAnsi="Times New Roman"/>
          <w:color w:val="002060"/>
          <w:szCs w:val="20"/>
        </w:rPr>
      </w:pPr>
      <w:r w:rsidRPr="00FA3856">
        <w:rPr>
          <w:rFonts w:ascii="Times New Roman" w:hAnsi="Times New Roman"/>
          <w:color w:val="002060"/>
          <w:szCs w:val="20"/>
        </w:rPr>
        <w:t>|11111111|: Código NCM (1111.11.11).</w:t>
      </w:r>
    </w:p>
    <w:p w:rsidR="00BB2C36" w:rsidRPr="00FA3856" w:rsidRDefault="00BB2C36" w:rsidP="00430C6A">
      <w:pPr>
        <w:pStyle w:val="Corpodetexto"/>
        <w:ind w:left="708" w:firstLine="709"/>
        <w:rPr>
          <w:rFonts w:ascii="Times New Roman" w:hAnsi="Times New Roman"/>
          <w:color w:val="002060"/>
          <w:szCs w:val="20"/>
        </w:rPr>
      </w:pPr>
      <w:r w:rsidRPr="00FA3856">
        <w:rPr>
          <w:rFonts w:ascii="Times New Roman" w:hAnsi="Times New Roman"/>
          <w:color w:val="002060"/>
          <w:szCs w:val="20"/>
        </w:rPr>
        <w:t>|100000,00|: Valor da mercadoria vendida (R$ 100.000,00).</w:t>
      </w:r>
    </w:p>
    <w:p w:rsidR="00BB2C36" w:rsidRPr="00FA3856" w:rsidRDefault="00BB2C36" w:rsidP="00430C6A">
      <w:pPr>
        <w:pStyle w:val="PSDS-MarcadoresNivel4"/>
        <w:tabs>
          <w:tab w:val="clear" w:pos="2271"/>
          <w:tab w:val="left" w:pos="720"/>
        </w:tabs>
        <w:spacing w:before="0" w:after="0"/>
        <w:ind w:left="0" w:firstLine="0"/>
        <w:rPr>
          <w:rFonts w:ascii="Times New Roman" w:hAnsi="Times New Roman" w:cs="Times New Roman"/>
          <w:szCs w:val="20"/>
          <w:lang w:val="pt-PT"/>
        </w:rPr>
      </w:pPr>
    </w:p>
    <w:p w:rsidR="00D2192B" w:rsidRPr="00FA3856" w:rsidRDefault="00D2192B">
      <w:pPr>
        <w:rPr>
          <w:b/>
          <w:bCs/>
          <w:color w:val="0000FF"/>
          <w:szCs w:val="20"/>
        </w:rPr>
      </w:pPr>
      <w:r w:rsidRPr="00FA3856">
        <w:rPr>
          <w:color w:val="0000FF"/>
          <w:szCs w:val="20"/>
        </w:rPr>
        <w:br w:type="page"/>
      </w:r>
    </w:p>
    <w:p w:rsidR="007063E8" w:rsidRPr="00FA3856" w:rsidRDefault="007063E8" w:rsidP="00867F54">
      <w:pPr>
        <w:pStyle w:val="Ttulo4"/>
      </w:pPr>
      <w:bookmarkStart w:id="423" w:name="_Toc479713826"/>
      <w:r w:rsidRPr="00FA3856">
        <w:lastRenderedPageBreak/>
        <w:t>Registro Y560: Detalhamento das Exportações da Comercial Exportadora</w:t>
      </w:r>
      <w:bookmarkEnd w:id="423"/>
    </w:p>
    <w:p w:rsidR="007063E8" w:rsidRPr="00FA3856" w:rsidRDefault="007063E8" w:rsidP="007063E8">
      <w:pPr>
        <w:rPr>
          <w:szCs w:val="20"/>
        </w:rPr>
      </w:pPr>
    </w:p>
    <w:p w:rsidR="00D2192B" w:rsidRPr="00FA3856" w:rsidRDefault="007063E8" w:rsidP="00D2192B">
      <w:pPr>
        <w:rPr>
          <w:szCs w:val="20"/>
        </w:rPr>
      </w:pPr>
      <w:r w:rsidRPr="00FA3856">
        <w:rPr>
          <w:szCs w:val="20"/>
        </w:rPr>
        <w:tab/>
      </w:r>
      <w:r w:rsidR="00D2192B" w:rsidRPr="00FA3856">
        <w:rPr>
          <w:szCs w:val="20"/>
        </w:rPr>
        <w:t>Este registro deve ser preenchido</w:t>
      </w:r>
      <w:r w:rsidR="00267AAD" w:rsidRPr="00FA3856">
        <w:rPr>
          <w:szCs w:val="20"/>
        </w:rPr>
        <w:t xml:space="preserve"> pela empresa comercial e</w:t>
      </w:r>
      <w:r w:rsidR="00D2192B" w:rsidRPr="00FA3856">
        <w:rPr>
          <w:szCs w:val="20"/>
        </w:rPr>
        <w:t>xportadora que</w:t>
      </w:r>
      <w:r w:rsidR="00267AAD" w:rsidRPr="00FA3856">
        <w:rPr>
          <w:szCs w:val="20"/>
        </w:rPr>
        <w:t>, no ano-cal</w:t>
      </w:r>
      <w:r w:rsidR="00DF20F8">
        <w:rPr>
          <w:szCs w:val="20"/>
        </w:rPr>
        <w:t xml:space="preserve">endário a que se refere a ECF, </w:t>
      </w:r>
      <w:r w:rsidR="00D2192B" w:rsidRPr="00FA3856">
        <w:rPr>
          <w:szCs w:val="20"/>
        </w:rPr>
        <w:t>comprou produtos com o fim espec</w:t>
      </w:r>
      <w:r w:rsidR="00267AAD" w:rsidRPr="00FA3856">
        <w:rPr>
          <w:szCs w:val="20"/>
        </w:rPr>
        <w:t>ífico de exportação ou exportou</w:t>
      </w:r>
      <w:r w:rsidR="00D2192B" w:rsidRPr="00FA3856">
        <w:rPr>
          <w:szCs w:val="20"/>
        </w:rPr>
        <w:t xml:space="preserve"> produtos adquiridos com esta finalidade.</w:t>
      </w:r>
    </w:p>
    <w:p w:rsidR="00DB3BAE" w:rsidRPr="00FA3856" w:rsidRDefault="00DB3BAE" w:rsidP="00D2192B">
      <w:pPr>
        <w:rPr>
          <w:szCs w:val="20"/>
        </w:rPr>
      </w:pPr>
    </w:p>
    <w:p w:rsidR="00DB3BAE" w:rsidRPr="00FA3856" w:rsidRDefault="00DB3BAE" w:rsidP="00DB3BAE">
      <w:pPr>
        <w:jc w:val="both"/>
        <w:rPr>
          <w:szCs w:val="20"/>
        </w:rPr>
      </w:pPr>
      <w:r w:rsidRPr="00FA3856">
        <w:rPr>
          <w:b/>
          <w:szCs w:val="20"/>
        </w:rPr>
        <w:t>Exemplo</w:t>
      </w:r>
      <w:r w:rsidRPr="00FA3856">
        <w:rPr>
          <w:szCs w:val="20"/>
        </w:rPr>
        <w:t>: A comercial exportadora comprou, no ano de 2014, R$ 100 mil de mercadorias (Código NCM 1111.11.11) do vendedor "Y" (CNPJ 22.222.222/2222-22) com o fim específico de exportação. Até dezembro de 2014 havia exportado parte da mercadoria pelo valor de R$ 85 mil. O restante da mercadoria foi exportado em janeiro de 2014.</w:t>
      </w:r>
    </w:p>
    <w:p w:rsidR="00DB3BAE" w:rsidRPr="00FA3856" w:rsidRDefault="00DB3BAE" w:rsidP="00DB3BAE">
      <w:pPr>
        <w:jc w:val="both"/>
        <w:rPr>
          <w:szCs w:val="20"/>
        </w:rPr>
      </w:pPr>
      <w:r w:rsidRPr="00FA3856">
        <w:rPr>
          <w:szCs w:val="20"/>
        </w:rPr>
        <w:t>Deve-se informar:</w:t>
      </w:r>
    </w:p>
    <w:p w:rsidR="00DB3BAE" w:rsidRPr="00FA3856" w:rsidRDefault="00DB3BAE" w:rsidP="00DB3BAE">
      <w:pPr>
        <w:jc w:val="both"/>
        <w:rPr>
          <w:szCs w:val="20"/>
        </w:rPr>
      </w:pPr>
      <w:r w:rsidRPr="00FA3856">
        <w:rPr>
          <w:szCs w:val="20"/>
        </w:rPr>
        <w:t>CNPJ do Produtor/Vendedor: 22.222.222/2222-22;</w:t>
      </w:r>
    </w:p>
    <w:p w:rsidR="00DB3BAE" w:rsidRPr="00FA3856" w:rsidRDefault="00DB3BAE" w:rsidP="00DB3BAE">
      <w:pPr>
        <w:jc w:val="both"/>
        <w:rPr>
          <w:szCs w:val="20"/>
        </w:rPr>
      </w:pPr>
      <w:r w:rsidRPr="00FA3856">
        <w:rPr>
          <w:szCs w:val="20"/>
        </w:rPr>
        <w:t>Código NCM: 1111.11.11;</w:t>
      </w:r>
    </w:p>
    <w:p w:rsidR="00DB3BAE" w:rsidRPr="00FA3856" w:rsidRDefault="00DB3BAE" w:rsidP="00DB3BAE">
      <w:pPr>
        <w:jc w:val="both"/>
        <w:rPr>
          <w:szCs w:val="20"/>
        </w:rPr>
      </w:pPr>
      <w:r w:rsidRPr="00FA3856">
        <w:rPr>
          <w:szCs w:val="20"/>
        </w:rPr>
        <w:t>Valor da Compra: R$ 100 mil;</w:t>
      </w:r>
    </w:p>
    <w:p w:rsidR="00DB3BAE" w:rsidRPr="00FA3856" w:rsidRDefault="00DB3BAE" w:rsidP="00DB3BAE">
      <w:pPr>
        <w:rPr>
          <w:szCs w:val="20"/>
        </w:rPr>
      </w:pPr>
      <w:r w:rsidRPr="00FA3856">
        <w:rPr>
          <w:szCs w:val="20"/>
        </w:rPr>
        <w:t>Valor Exportado: R$ 85 mil.</w:t>
      </w:r>
    </w:p>
    <w:p w:rsidR="00DB3BAE" w:rsidRDefault="00DB3BAE">
      <w:pPr>
        <w:rPr>
          <w:b/>
          <w:szCs w:val="20"/>
          <w:lang w:val="pt-PT"/>
        </w:rPr>
      </w:pPr>
    </w:p>
    <w:p w:rsidR="000717A5" w:rsidRDefault="00B35FA3" w:rsidP="000717A5">
      <w:pPr>
        <w:jc w:val="center"/>
        <w:rPr>
          <w:b/>
          <w:szCs w:val="20"/>
          <w:lang w:val="pt-PT"/>
        </w:rPr>
      </w:pPr>
      <w:r>
        <w:rPr>
          <w:b/>
          <w:szCs w:val="20"/>
          <w:lang w:val="pt-PT"/>
        </w:rPr>
        <w:object w:dxaOrig="14835" w:dyaOrig="4470">
          <v:shape id="_x0000_i2050" type="#_x0000_t75" style="width:792.75pt;height:3in" o:ole="">
            <v:imagedata r:id="rId842" o:title=""/>
          </v:shape>
          <o:OLEObject Type="Link" ProgID="Excel.Sheet.12" ShapeID="_x0000_i2050" DrawAspect="Content" r:id="rId843" UpdateMode="Always">
            <o:LinkType>EnhancedMetaFile</o:LinkType>
            <o:LockedField>false</o:LockedField>
          </o:OLEObject>
        </w:object>
      </w:r>
    </w:p>
    <w:p w:rsidR="000717A5" w:rsidRPr="00FA3856" w:rsidRDefault="000717A5">
      <w:pPr>
        <w:rPr>
          <w:b/>
          <w:szCs w:val="20"/>
          <w:lang w:val="pt-PT"/>
        </w:rPr>
      </w:pPr>
    </w:p>
    <w:p w:rsidR="00DB3BAE" w:rsidRPr="00FA3856" w:rsidRDefault="00DB3BAE" w:rsidP="00DB3BAE">
      <w:pPr>
        <w:rPr>
          <w:b/>
          <w:szCs w:val="20"/>
          <w:lang w:val="pt-PT"/>
        </w:rPr>
      </w:pPr>
      <w:r w:rsidRPr="00FA3856">
        <w:rPr>
          <w:b/>
          <w:szCs w:val="20"/>
          <w:lang w:val="pt-PT"/>
        </w:rPr>
        <w:t>I – Regras de Validação de Campos:</w:t>
      </w:r>
    </w:p>
    <w:p w:rsidR="00642131" w:rsidRPr="00FA3856" w:rsidRDefault="00642131" w:rsidP="00DB3BAE">
      <w:pPr>
        <w:rPr>
          <w:b/>
          <w:szCs w:val="20"/>
          <w:lang w:val="pt-PT"/>
        </w:rPr>
      </w:pPr>
    </w:p>
    <w:tbl>
      <w:tblPr>
        <w:tblW w:w="15593"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85"/>
        <w:gridCol w:w="3000"/>
        <w:gridCol w:w="11391"/>
        <w:gridCol w:w="717"/>
      </w:tblGrid>
      <w:tr w:rsidR="00DB3BAE" w:rsidRPr="00FA3856" w:rsidTr="00B5730B">
        <w:trPr>
          <w:jc w:val="center"/>
        </w:trPr>
        <w:tc>
          <w:tcPr>
            <w:tcW w:w="485" w:type="dxa"/>
            <w:tcBorders>
              <w:top w:val="single" w:sz="6" w:space="0" w:color="auto"/>
              <w:left w:val="single" w:sz="6" w:space="0" w:color="auto"/>
              <w:bottom w:val="single" w:sz="6" w:space="0" w:color="auto"/>
              <w:right w:val="single" w:sz="6" w:space="0" w:color="auto"/>
            </w:tcBorders>
            <w:shd w:val="pct10" w:color="auto" w:fill="FFFFFF"/>
          </w:tcPr>
          <w:p w:rsidR="00DB3BAE" w:rsidRPr="00FA3856" w:rsidRDefault="00DB3BAE" w:rsidP="00B5730B">
            <w:pPr>
              <w:pStyle w:val="PSDS-CorpodeTexto0"/>
              <w:jc w:val="center"/>
              <w:rPr>
                <w:rFonts w:ascii="Times New Roman" w:hAnsi="Times New Roman"/>
                <w:b/>
                <w:bCs/>
              </w:rPr>
            </w:pPr>
            <w:r w:rsidRPr="00FA3856">
              <w:rPr>
                <w:rFonts w:ascii="Times New Roman" w:hAnsi="Times New Roman"/>
                <w:b/>
                <w:bCs/>
              </w:rPr>
              <w:t>Nº</w:t>
            </w:r>
          </w:p>
        </w:tc>
        <w:tc>
          <w:tcPr>
            <w:tcW w:w="3000" w:type="dxa"/>
            <w:tcBorders>
              <w:top w:val="single" w:sz="6" w:space="0" w:color="auto"/>
              <w:left w:val="single" w:sz="6" w:space="0" w:color="auto"/>
              <w:bottom w:val="single" w:sz="6" w:space="0" w:color="auto"/>
              <w:right w:val="single" w:sz="6" w:space="0" w:color="auto"/>
            </w:tcBorders>
            <w:shd w:val="pct10" w:color="auto" w:fill="FFFFFF"/>
          </w:tcPr>
          <w:p w:rsidR="00DB3BAE" w:rsidRPr="00FA3856" w:rsidRDefault="00DB3BAE" w:rsidP="00B5730B">
            <w:pPr>
              <w:pStyle w:val="PSDS-CorpodeTexto0"/>
              <w:jc w:val="center"/>
              <w:rPr>
                <w:rFonts w:ascii="Times New Roman" w:hAnsi="Times New Roman"/>
                <w:b/>
                <w:bCs/>
              </w:rPr>
            </w:pPr>
            <w:r w:rsidRPr="00FA3856">
              <w:rPr>
                <w:rFonts w:ascii="Times New Roman" w:hAnsi="Times New Roman"/>
                <w:b/>
                <w:bCs/>
              </w:rPr>
              <w:t>Campo</w:t>
            </w:r>
          </w:p>
        </w:tc>
        <w:tc>
          <w:tcPr>
            <w:tcW w:w="11391" w:type="dxa"/>
            <w:tcBorders>
              <w:top w:val="single" w:sz="6" w:space="0" w:color="auto"/>
              <w:left w:val="single" w:sz="6" w:space="0" w:color="auto"/>
              <w:bottom w:val="single" w:sz="6" w:space="0" w:color="auto"/>
              <w:right w:val="single" w:sz="6" w:space="0" w:color="auto"/>
            </w:tcBorders>
            <w:shd w:val="pct10" w:color="auto" w:fill="FFFFFF"/>
          </w:tcPr>
          <w:p w:rsidR="00DB3BAE" w:rsidRPr="00FA3856" w:rsidRDefault="00DB3BAE" w:rsidP="00B5730B">
            <w:pPr>
              <w:pStyle w:val="PSDS-CorpodeTexto0"/>
              <w:jc w:val="center"/>
              <w:rPr>
                <w:rFonts w:ascii="Times New Roman" w:hAnsi="Times New Roman"/>
                <w:b/>
                <w:bCs/>
              </w:rPr>
            </w:pPr>
            <w:r w:rsidRPr="00FA3856">
              <w:rPr>
                <w:rFonts w:ascii="Times New Roman" w:hAnsi="Times New Roman"/>
                <w:b/>
                <w:bCs/>
              </w:rPr>
              <w:t>Regras de Validação do Campo</w:t>
            </w:r>
          </w:p>
        </w:tc>
        <w:tc>
          <w:tcPr>
            <w:tcW w:w="717" w:type="dxa"/>
            <w:tcBorders>
              <w:top w:val="single" w:sz="6" w:space="0" w:color="auto"/>
              <w:left w:val="single" w:sz="6" w:space="0" w:color="auto"/>
              <w:bottom w:val="single" w:sz="6" w:space="0" w:color="auto"/>
              <w:right w:val="single" w:sz="6" w:space="0" w:color="auto"/>
            </w:tcBorders>
            <w:shd w:val="pct10" w:color="auto" w:fill="FFFFFF"/>
          </w:tcPr>
          <w:p w:rsidR="00DB3BAE" w:rsidRPr="00FA3856" w:rsidRDefault="00DB3BAE" w:rsidP="00B5730B">
            <w:pPr>
              <w:pStyle w:val="PSDS-CorpodeTexto0"/>
              <w:jc w:val="center"/>
              <w:rPr>
                <w:rFonts w:ascii="Times New Roman" w:hAnsi="Times New Roman"/>
                <w:b/>
                <w:bCs/>
              </w:rPr>
            </w:pPr>
            <w:r w:rsidRPr="00FA3856">
              <w:rPr>
                <w:rFonts w:ascii="Times New Roman" w:hAnsi="Times New Roman"/>
                <w:b/>
                <w:bCs/>
              </w:rPr>
              <w:t>Tipo</w:t>
            </w:r>
          </w:p>
        </w:tc>
      </w:tr>
      <w:tr w:rsidR="00DB3BAE" w:rsidRPr="00FA3856" w:rsidTr="00B5730B">
        <w:trPr>
          <w:jc w:val="center"/>
        </w:trPr>
        <w:tc>
          <w:tcPr>
            <w:tcW w:w="485" w:type="dxa"/>
            <w:tcBorders>
              <w:top w:val="single" w:sz="6" w:space="0" w:color="auto"/>
              <w:left w:val="single" w:sz="6" w:space="0" w:color="auto"/>
              <w:bottom w:val="single" w:sz="6" w:space="0" w:color="auto"/>
              <w:right w:val="single" w:sz="6" w:space="0" w:color="auto"/>
            </w:tcBorders>
          </w:tcPr>
          <w:p w:rsidR="00DB3BAE" w:rsidRPr="00FA3856" w:rsidRDefault="00A63673" w:rsidP="00B5730B">
            <w:pPr>
              <w:pStyle w:val="PSDS-CorpodeTexto0"/>
              <w:suppressAutoHyphens w:val="0"/>
              <w:rPr>
                <w:rFonts w:ascii="Times New Roman" w:hAnsi="Times New Roman"/>
                <w:b/>
                <w:bCs/>
                <w:lang w:val="pt-PT"/>
              </w:rPr>
            </w:pPr>
            <w:r w:rsidRPr="00FA3856">
              <w:rPr>
                <w:rFonts w:ascii="Times New Roman" w:hAnsi="Times New Roman"/>
                <w:b/>
                <w:bCs/>
                <w:lang w:val="pt-PT"/>
              </w:rPr>
              <w:t>2</w:t>
            </w:r>
          </w:p>
        </w:tc>
        <w:tc>
          <w:tcPr>
            <w:tcW w:w="3000" w:type="dxa"/>
            <w:tcBorders>
              <w:top w:val="single" w:sz="6" w:space="0" w:color="auto"/>
              <w:left w:val="single" w:sz="6" w:space="0" w:color="auto"/>
              <w:bottom w:val="single" w:sz="6" w:space="0" w:color="auto"/>
              <w:right w:val="single" w:sz="6" w:space="0" w:color="auto"/>
            </w:tcBorders>
          </w:tcPr>
          <w:p w:rsidR="00DB3BAE" w:rsidRPr="00FA3856" w:rsidRDefault="00A63673" w:rsidP="00B5730B">
            <w:pPr>
              <w:pStyle w:val="PSDS-CorpodeTexto0"/>
              <w:rPr>
                <w:rFonts w:ascii="Times New Roman" w:hAnsi="Times New Roman"/>
                <w:lang w:val="pt-PT"/>
              </w:rPr>
            </w:pPr>
            <w:r w:rsidRPr="00FA3856">
              <w:rPr>
                <w:rFonts w:ascii="Times New Roman" w:hAnsi="Times New Roman"/>
                <w:lang w:val="pt-PT"/>
              </w:rPr>
              <w:t>CNPJ</w:t>
            </w:r>
          </w:p>
        </w:tc>
        <w:tc>
          <w:tcPr>
            <w:tcW w:w="11391" w:type="dxa"/>
            <w:tcBorders>
              <w:top w:val="single" w:sz="6" w:space="0" w:color="auto"/>
              <w:left w:val="single" w:sz="6" w:space="0" w:color="auto"/>
              <w:bottom w:val="single" w:sz="6" w:space="0" w:color="auto"/>
              <w:right w:val="single" w:sz="6" w:space="0" w:color="auto"/>
            </w:tcBorders>
          </w:tcPr>
          <w:p w:rsidR="00DB3BAE" w:rsidRPr="00FA3856" w:rsidRDefault="007D0E74" w:rsidP="00B5730B">
            <w:pPr>
              <w:shd w:val="clear" w:color="auto" w:fill="FFFFFF"/>
              <w:jc w:val="both"/>
              <w:rPr>
                <w:szCs w:val="20"/>
              </w:rPr>
            </w:pPr>
            <w:hyperlink w:anchor="REGRA_VALIDA_CNPJ" w:history="1">
              <w:r w:rsidR="00A63673" w:rsidRPr="00FA3856">
                <w:rPr>
                  <w:rStyle w:val="Hyperlink"/>
                  <w:b/>
                  <w:bCs/>
                  <w:color w:val="auto"/>
                  <w:szCs w:val="20"/>
                  <w:lang w:val="pt-PT"/>
                </w:rPr>
                <w:t>REGRA_VALIDA_CNPJ</w:t>
              </w:r>
            </w:hyperlink>
            <w:r w:rsidR="00A63673" w:rsidRPr="00FA3856">
              <w:rPr>
                <w:b/>
                <w:bCs/>
                <w:szCs w:val="20"/>
                <w:lang w:val="pt-PT"/>
              </w:rPr>
              <w:t xml:space="preserve">: </w:t>
            </w:r>
            <w:r w:rsidR="00A63673" w:rsidRPr="00FA3856">
              <w:rPr>
                <w:szCs w:val="20"/>
              </w:rPr>
              <w:t xml:space="preserve"> Verifica se a regra de formação do código é válida.</w:t>
            </w:r>
          </w:p>
          <w:p w:rsidR="00BB2C36" w:rsidRPr="00FA3856" w:rsidRDefault="00BB2C36" w:rsidP="00BB2C36">
            <w:pPr>
              <w:shd w:val="clear" w:color="auto" w:fill="FFFFFF"/>
              <w:jc w:val="both"/>
              <w:rPr>
                <w:szCs w:val="20"/>
              </w:rPr>
            </w:pPr>
          </w:p>
        </w:tc>
        <w:tc>
          <w:tcPr>
            <w:tcW w:w="717" w:type="dxa"/>
            <w:tcBorders>
              <w:top w:val="single" w:sz="6" w:space="0" w:color="auto"/>
              <w:left w:val="single" w:sz="6" w:space="0" w:color="auto"/>
              <w:bottom w:val="single" w:sz="6" w:space="0" w:color="auto"/>
              <w:right w:val="single" w:sz="6" w:space="0" w:color="auto"/>
            </w:tcBorders>
          </w:tcPr>
          <w:p w:rsidR="00DB3BAE" w:rsidRPr="00FA3856" w:rsidRDefault="00A63673" w:rsidP="00B5730B">
            <w:pPr>
              <w:pStyle w:val="PSDS-CorpodeTexto0"/>
              <w:rPr>
                <w:rFonts w:ascii="Times New Roman" w:hAnsi="Times New Roman"/>
                <w:lang w:val="pt-PT"/>
              </w:rPr>
            </w:pPr>
            <w:r w:rsidRPr="00FA3856">
              <w:rPr>
                <w:rFonts w:ascii="Times New Roman" w:hAnsi="Times New Roman"/>
                <w:lang w:val="pt-PT"/>
              </w:rPr>
              <w:t>Erro</w:t>
            </w:r>
          </w:p>
          <w:p w:rsidR="00BB2C36" w:rsidRPr="00FA3856" w:rsidRDefault="00BB2C36" w:rsidP="00B5730B">
            <w:pPr>
              <w:pStyle w:val="PSDS-CorpodeTexto0"/>
              <w:rPr>
                <w:rFonts w:ascii="Times New Roman" w:hAnsi="Times New Roman"/>
                <w:lang w:val="pt-PT"/>
              </w:rPr>
            </w:pPr>
          </w:p>
        </w:tc>
      </w:tr>
    </w:tbl>
    <w:p w:rsidR="000717A5" w:rsidRDefault="000717A5" w:rsidP="004A3E37">
      <w:pPr>
        <w:rPr>
          <w:b/>
          <w:color w:val="002060"/>
          <w:szCs w:val="20"/>
        </w:rPr>
      </w:pPr>
    </w:p>
    <w:p w:rsidR="000717A5" w:rsidRDefault="000717A5" w:rsidP="004A3E37">
      <w:pPr>
        <w:rPr>
          <w:b/>
          <w:color w:val="002060"/>
          <w:szCs w:val="20"/>
        </w:rPr>
      </w:pPr>
    </w:p>
    <w:p w:rsidR="000717A5" w:rsidRDefault="00DB3BAE" w:rsidP="004A3E37">
      <w:pPr>
        <w:rPr>
          <w:b/>
          <w:color w:val="002060"/>
          <w:szCs w:val="20"/>
        </w:rPr>
      </w:pPr>
      <w:r w:rsidRPr="00FA3856">
        <w:rPr>
          <w:b/>
          <w:color w:val="002060"/>
          <w:szCs w:val="20"/>
        </w:rPr>
        <w:lastRenderedPageBreak/>
        <w:t>E</w:t>
      </w:r>
      <w:r w:rsidR="00A63673" w:rsidRPr="00FA3856">
        <w:rPr>
          <w:b/>
          <w:color w:val="002060"/>
          <w:szCs w:val="20"/>
        </w:rPr>
        <w:t>x</w:t>
      </w:r>
      <w:r w:rsidRPr="00FA3856">
        <w:rPr>
          <w:b/>
          <w:color w:val="002060"/>
          <w:szCs w:val="20"/>
        </w:rPr>
        <w:t xml:space="preserve">emplo de Preenchimento: </w:t>
      </w:r>
    </w:p>
    <w:p w:rsidR="000717A5" w:rsidRDefault="000717A5" w:rsidP="004A3E37">
      <w:pPr>
        <w:rPr>
          <w:b/>
          <w:color w:val="002060"/>
          <w:szCs w:val="20"/>
        </w:rPr>
      </w:pPr>
    </w:p>
    <w:p w:rsidR="00DB3BAE" w:rsidRPr="00FA3856" w:rsidRDefault="00DB3BAE" w:rsidP="004A3E37">
      <w:pPr>
        <w:rPr>
          <w:b/>
          <w:color w:val="002060"/>
          <w:szCs w:val="20"/>
        </w:rPr>
      </w:pPr>
      <w:r w:rsidRPr="00FA3856">
        <w:rPr>
          <w:b/>
          <w:color w:val="002060"/>
          <w:szCs w:val="20"/>
        </w:rPr>
        <w:t>|Y560|22222222222222|11111111|100000,00|85000,00|</w:t>
      </w:r>
    </w:p>
    <w:p w:rsidR="00DB3BAE" w:rsidRPr="00FA3856" w:rsidRDefault="00DB3BAE" w:rsidP="004A3E37">
      <w:pPr>
        <w:pStyle w:val="Corpodetexto"/>
        <w:spacing w:line="240" w:lineRule="auto"/>
        <w:ind w:left="708" w:firstLine="709"/>
        <w:rPr>
          <w:rFonts w:ascii="Times New Roman" w:hAnsi="Times New Roman"/>
          <w:color w:val="002060"/>
          <w:szCs w:val="20"/>
        </w:rPr>
      </w:pPr>
      <w:r w:rsidRPr="00FA3856">
        <w:rPr>
          <w:rFonts w:ascii="Times New Roman" w:hAnsi="Times New Roman"/>
          <w:color w:val="002060"/>
          <w:szCs w:val="20"/>
        </w:rPr>
        <w:t>|Y560|: Identificação do tipo do registro.</w:t>
      </w:r>
    </w:p>
    <w:p w:rsidR="00DB3BAE" w:rsidRPr="00FA3856" w:rsidRDefault="00DB3BAE" w:rsidP="004A3E37">
      <w:pPr>
        <w:pStyle w:val="Corpodetexto"/>
        <w:spacing w:line="240" w:lineRule="auto"/>
        <w:ind w:left="708" w:firstLine="709"/>
        <w:rPr>
          <w:rFonts w:ascii="Times New Roman" w:hAnsi="Times New Roman"/>
          <w:color w:val="002060"/>
          <w:szCs w:val="20"/>
        </w:rPr>
      </w:pPr>
      <w:r w:rsidRPr="00FA3856">
        <w:rPr>
          <w:rFonts w:ascii="Times New Roman" w:hAnsi="Times New Roman"/>
          <w:color w:val="002060"/>
          <w:szCs w:val="20"/>
        </w:rPr>
        <w:t>|22222222222222|: CNPJ da empresa produtora ou vendedora (CNPJ = 22.222.222/2222-22).</w:t>
      </w:r>
    </w:p>
    <w:p w:rsidR="00DB3BAE" w:rsidRPr="00FA3856" w:rsidRDefault="00DB3BAE" w:rsidP="004A3E37">
      <w:pPr>
        <w:pStyle w:val="Corpodetexto"/>
        <w:spacing w:line="240" w:lineRule="auto"/>
        <w:ind w:left="708" w:firstLine="709"/>
        <w:rPr>
          <w:rFonts w:ascii="Times New Roman" w:hAnsi="Times New Roman"/>
          <w:color w:val="002060"/>
          <w:szCs w:val="20"/>
        </w:rPr>
      </w:pPr>
      <w:r w:rsidRPr="00FA3856">
        <w:rPr>
          <w:rFonts w:ascii="Times New Roman" w:hAnsi="Times New Roman"/>
          <w:color w:val="002060"/>
          <w:szCs w:val="20"/>
        </w:rPr>
        <w:t>|11111111|: Código NCM (1111.11.11).</w:t>
      </w:r>
    </w:p>
    <w:p w:rsidR="00DB3BAE" w:rsidRPr="00FA3856" w:rsidRDefault="00DB3BAE" w:rsidP="004A3E37">
      <w:pPr>
        <w:pStyle w:val="Corpodetexto"/>
        <w:spacing w:line="240" w:lineRule="auto"/>
        <w:ind w:left="708" w:firstLine="709"/>
        <w:rPr>
          <w:rFonts w:ascii="Times New Roman" w:hAnsi="Times New Roman"/>
          <w:color w:val="002060"/>
          <w:szCs w:val="20"/>
        </w:rPr>
      </w:pPr>
      <w:r w:rsidRPr="00FA3856">
        <w:rPr>
          <w:rFonts w:ascii="Times New Roman" w:hAnsi="Times New Roman"/>
          <w:color w:val="002060"/>
          <w:szCs w:val="20"/>
        </w:rPr>
        <w:t>|100000,00|: Valor da aquisição do produto (R$ 100.000,00).</w:t>
      </w:r>
    </w:p>
    <w:p w:rsidR="00DB3BAE" w:rsidRPr="00FA3856" w:rsidRDefault="00DB3BAE" w:rsidP="004A3E37">
      <w:pPr>
        <w:pStyle w:val="Corpodetexto"/>
        <w:spacing w:line="240" w:lineRule="auto"/>
        <w:ind w:left="708" w:firstLine="709"/>
        <w:rPr>
          <w:rFonts w:ascii="Times New Roman" w:hAnsi="Times New Roman"/>
          <w:color w:val="002060"/>
          <w:szCs w:val="20"/>
        </w:rPr>
      </w:pPr>
      <w:r w:rsidRPr="00FA3856">
        <w:rPr>
          <w:rFonts w:ascii="Times New Roman" w:hAnsi="Times New Roman"/>
          <w:color w:val="002060"/>
          <w:szCs w:val="20"/>
        </w:rPr>
        <w:t>|85000,00|: Valor da operação de exportação (R$ 85.000,00).</w:t>
      </w:r>
    </w:p>
    <w:p w:rsidR="00C914A9" w:rsidRPr="00FA3856" w:rsidRDefault="00C914A9">
      <w:pPr>
        <w:rPr>
          <w:b/>
          <w:bCs/>
          <w:color w:val="0000FF"/>
          <w:szCs w:val="20"/>
        </w:rPr>
      </w:pPr>
    </w:p>
    <w:p w:rsidR="00DB3BAE" w:rsidRPr="00FA3856" w:rsidRDefault="00DB3BAE">
      <w:pPr>
        <w:rPr>
          <w:b/>
          <w:bCs/>
          <w:color w:val="0000FF"/>
          <w:szCs w:val="20"/>
        </w:rPr>
      </w:pPr>
      <w:r w:rsidRPr="00FA3856">
        <w:rPr>
          <w:color w:val="0000FF"/>
          <w:szCs w:val="20"/>
        </w:rPr>
        <w:br w:type="page"/>
      </w:r>
    </w:p>
    <w:p w:rsidR="009B72A6" w:rsidRPr="00FA3856" w:rsidRDefault="009B72A6" w:rsidP="00867F54">
      <w:pPr>
        <w:pStyle w:val="Ttulo4"/>
      </w:pPr>
      <w:bookmarkStart w:id="424" w:name="_Toc479713827"/>
      <w:r w:rsidRPr="00FA3856">
        <w:lastRenderedPageBreak/>
        <w:t>Registro Y</w:t>
      </w:r>
      <w:r w:rsidR="002D521E" w:rsidRPr="00FA3856">
        <w:t>57</w:t>
      </w:r>
      <w:r w:rsidRPr="00FA3856">
        <w:t xml:space="preserve">0: </w:t>
      </w:r>
      <w:r w:rsidR="002D521E" w:rsidRPr="00FA3856">
        <w:t>De</w:t>
      </w:r>
      <w:r w:rsidR="001E5612" w:rsidRPr="00FA3856">
        <w:t>monstrativo do Imposto de Renda e</w:t>
      </w:r>
      <w:r w:rsidR="002D521E" w:rsidRPr="00FA3856">
        <w:t xml:space="preserve"> CSLL Retidos na Fonte</w:t>
      </w:r>
      <w:bookmarkEnd w:id="424"/>
    </w:p>
    <w:p w:rsidR="009B72A6" w:rsidRPr="00FA3856" w:rsidRDefault="009B72A6" w:rsidP="009B72A6">
      <w:pPr>
        <w:rPr>
          <w:szCs w:val="20"/>
        </w:rPr>
      </w:pPr>
    </w:p>
    <w:p w:rsidR="001E5612" w:rsidRPr="00FA3856" w:rsidRDefault="001E5612" w:rsidP="001E5612">
      <w:pPr>
        <w:rPr>
          <w:szCs w:val="20"/>
        </w:rPr>
      </w:pPr>
      <w:r w:rsidRPr="00FA3856">
        <w:rPr>
          <w:szCs w:val="20"/>
        </w:rPr>
        <w:tab/>
      </w:r>
      <w:r w:rsidR="00C321B8" w:rsidRPr="00FA3856">
        <w:rPr>
          <w:szCs w:val="20"/>
        </w:rPr>
        <w:t>Neste registro</w:t>
      </w:r>
      <w:r w:rsidRPr="00FA3856">
        <w:rPr>
          <w:szCs w:val="20"/>
        </w:rPr>
        <w:t xml:space="preserve"> devem ser prestadas informações sobre todo o imposto de renda (IRRF) e contribuição social sobre o lucro líquido (CSLL) retidos na fonte durante o período abrangido pela </w:t>
      </w:r>
      <w:r w:rsidR="00267AAD" w:rsidRPr="00FA3856">
        <w:rPr>
          <w:szCs w:val="20"/>
        </w:rPr>
        <w:t>ECF</w:t>
      </w:r>
      <w:r w:rsidRPr="00FA3856">
        <w:rPr>
          <w:szCs w:val="20"/>
        </w:rPr>
        <w:t>, incidentes sobre as receitas que compõem a base de cálculo do tributo devido.</w:t>
      </w:r>
    </w:p>
    <w:p w:rsidR="000717A5" w:rsidRDefault="000717A5" w:rsidP="00D2192B">
      <w:pPr>
        <w:jc w:val="center"/>
        <w:rPr>
          <w:b/>
          <w:bCs/>
          <w:szCs w:val="20"/>
        </w:rPr>
      </w:pPr>
    </w:p>
    <w:p w:rsidR="000717A5" w:rsidRDefault="00B35FA3" w:rsidP="00D2192B">
      <w:pPr>
        <w:jc w:val="center"/>
        <w:rPr>
          <w:b/>
          <w:bCs/>
          <w:szCs w:val="20"/>
        </w:rPr>
      </w:pPr>
      <w:r>
        <w:rPr>
          <w:b/>
          <w:bCs/>
          <w:szCs w:val="20"/>
        </w:rPr>
        <w:object w:dxaOrig="14835" w:dyaOrig="6060">
          <v:shape id="_x0000_i2052" type="#_x0000_t75" style="width:792.75pt;height:293.25pt" o:ole="">
            <v:imagedata r:id="rId844" o:title=""/>
          </v:shape>
          <o:OLEObject Type="Link" ProgID="Excel.Sheet.12" ShapeID="_x0000_i2052" DrawAspect="Content" r:id="rId845" UpdateMode="Always">
            <o:LinkType>EnhancedMetaFile</o:LinkType>
            <o:LockedField>false</o:LockedField>
          </o:OLEObject>
        </w:object>
      </w:r>
    </w:p>
    <w:p w:rsidR="000717A5" w:rsidRDefault="000717A5" w:rsidP="00D2192B">
      <w:pPr>
        <w:jc w:val="center"/>
        <w:rPr>
          <w:b/>
          <w:bCs/>
          <w:szCs w:val="20"/>
        </w:rPr>
      </w:pPr>
    </w:p>
    <w:p w:rsidR="000717A5" w:rsidRDefault="000717A5" w:rsidP="00D2192B">
      <w:pPr>
        <w:jc w:val="center"/>
        <w:rPr>
          <w:b/>
          <w:bCs/>
          <w:szCs w:val="20"/>
        </w:rPr>
      </w:pPr>
    </w:p>
    <w:p w:rsidR="000717A5" w:rsidRDefault="000717A5" w:rsidP="00D2192B">
      <w:pPr>
        <w:jc w:val="center"/>
        <w:rPr>
          <w:b/>
          <w:bCs/>
          <w:szCs w:val="20"/>
        </w:rPr>
      </w:pPr>
    </w:p>
    <w:p w:rsidR="000717A5" w:rsidRDefault="000717A5" w:rsidP="00D2192B">
      <w:pPr>
        <w:jc w:val="center"/>
        <w:rPr>
          <w:b/>
          <w:bCs/>
          <w:szCs w:val="20"/>
        </w:rPr>
      </w:pPr>
    </w:p>
    <w:p w:rsidR="000717A5" w:rsidRDefault="000717A5" w:rsidP="00D2192B">
      <w:pPr>
        <w:jc w:val="center"/>
        <w:rPr>
          <w:b/>
          <w:bCs/>
          <w:szCs w:val="20"/>
        </w:rPr>
      </w:pPr>
    </w:p>
    <w:p w:rsidR="000717A5" w:rsidRDefault="000717A5" w:rsidP="00D2192B">
      <w:pPr>
        <w:jc w:val="center"/>
        <w:rPr>
          <w:b/>
          <w:bCs/>
          <w:szCs w:val="20"/>
        </w:rPr>
      </w:pPr>
    </w:p>
    <w:p w:rsidR="000717A5" w:rsidRDefault="000717A5" w:rsidP="00D2192B">
      <w:pPr>
        <w:jc w:val="center"/>
        <w:rPr>
          <w:b/>
          <w:bCs/>
          <w:szCs w:val="20"/>
        </w:rPr>
      </w:pPr>
    </w:p>
    <w:p w:rsidR="000717A5" w:rsidRDefault="000717A5" w:rsidP="00D2192B">
      <w:pPr>
        <w:jc w:val="center"/>
        <w:rPr>
          <w:b/>
          <w:bCs/>
          <w:szCs w:val="20"/>
        </w:rPr>
      </w:pPr>
    </w:p>
    <w:p w:rsidR="000717A5" w:rsidRDefault="000717A5" w:rsidP="00D2192B">
      <w:pPr>
        <w:jc w:val="center"/>
        <w:rPr>
          <w:b/>
          <w:bCs/>
          <w:szCs w:val="20"/>
        </w:rPr>
      </w:pPr>
    </w:p>
    <w:p w:rsidR="000717A5" w:rsidRDefault="000717A5" w:rsidP="00D2192B">
      <w:pPr>
        <w:jc w:val="center"/>
        <w:rPr>
          <w:b/>
          <w:bCs/>
          <w:szCs w:val="20"/>
        </w:rPr>
      </w:pPr>
    </w:p>
    <w:p w:rsidR="000717A5" w:rsidRDefault="00B35FA3" w:rsidP="00D2192B">
      <w:pPr>
        <w:jc w:val="center"/>
        <w:rPr>
          <w:b/>
          <w:bCs/>
          <w:szCs w:val="20"/>
        </w:rPr>
      </w:pPr>
      <w:r>
        <w:rPr>
          <w:b/>
          <w:bCs/>
          <w:szCs w:val="20"/>
        </w:rPr>
        <w:object w:dxaOrig="14835" w:dyaOrig="2595">
          <v:shape id="_x0000_i2054" type="#_x0000_t75" style="width:792.75pt;height:125.25pt" o:ole="">
            <v:imagedata r:id="rId846" o:title=""/>
          </v:shape>
          <o:OLEObject Type="Link" ProgID="Excel.Sheet.12" ShapeID="_x0000_i2054" DrawAspect="Content" r:id="rId847" UpdateMode="Always">
            <o:LinkType>EnhancedMetaFile</o:LinkType>
            <o:LockedField>false</o:LockedField>
          </o:OLEObject>
        </w:object>
      </w:r>
    </w:p>
    <w:p w:rsidR="000717A5" w:rsidRDefault="000717A5" w:rsidP="00D2192B">
      <w:pPr>
        <w:jc w:val="center"/>
        <w:rPr>
          <w:b/>
          <w:bCs/>
          <w:szCs w:val="20"/>
        </w:rPr>
      </w:pPr>
    </w:p>
    <w:p w:rsidR="00F21181" w:rsidRPr="00FA3856" w:rsidRDefault="009A5CB5" w:rsidP="00D2192B">
      <w:pPr>
        <w:jc w:val="center"/>
        <w:rPr>
          <w:b/>
          <w:bCs/>
          <w:szCs w:val="20"/>
        </w:rPr>
      </w:pPr>
      <w:r w:rsidRPr="00FA3856">
        <w:rPr>
          <w:b/>
          <w:bCs/>
          <w:szCs w:val="20"/>
        </w:rPr>
        <w:t>Tabela de Códigos de Retenção na Fonte</w:t>
      </w:r>
    </w:p>
    <w:p w:rsidR="00AC2767" w:rsidRPr="00FA3856" w:rsidRDefault="00AC2767" w:rsidP="00183B73">
      <w:pPr>
        <w:rPr>
          <w:szCs w:val="20"/>
        </w:rPr>
      </w:pPr>
    </w:p>
    <w:tbl>
      <w:tblPr>
        <w:tblW w:w="16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0"/>
        <w:gridCol w:w="10918"/>
        <w:gridCol w:w="1479"/>
        <w:gridCol w:w="1479"/>
        <w:gridCol w:w="1479"/>
      </w:tblGrid>
      <w:tr w:rsidR="009A5CB5" w:rsidRPr="00FA3856" w:rsidTr="009A5CB5">
        <w:trPr>
          <w:jc w:val="center"/>
        </w:trPr>
        <w:tc>
          <w:tcPr>
            <w:tcW w:w="980" w:type="dxa"/>
            <w:vAlign w:val="center"/>
          </w:tcPr>
          <w:p w:rsidR="009A5CB5" w:rsidRPr="00FA3856" w:rsidRDefault="009A5CB5" w:rsidP="004A3E37">
            <w:pPr>
              <w:pStyle w:val="NormalWeb"/>
              <w:spacing w:before="0" w:after="0"/>
              <w:jc w:val="center"/>
              <w:rPr>
                <w:rFonts w:ascii="Times New Roman" w:hAnsi="Times New Roman" w:cs="Times New Roman"/>
                <w:b/>
                <w:bCs/>
                <w:szCs w:val="20"/>
              </w:rPr>
            </w:pPr>
            <w:r w:rsidRPr="00FA3856">
              <w:rPr>
                <w:rFonts w:ascii="Times New Roman" w:hAnsi="Times New Roman" w:cs="Times New Roman"/>
                <w:b/>
                <w:bCs/>
                <w:szCs w:val="20"/>
              </w:rPr>
              <w:t>Códigos</w:t>
            </w:r>
          </w:p>
        </w:tc>
        <w:tc>
          <w:tcPr>
            <w:tcW w:w="10918" w:type="dxa"/>
            <w:vAlign w:val="center"/>
          </w:tcPr>
          <w:p w:rsidR="009A5CB5" w:rsidRPr="00FA3856" w:rsidRDefault="009A5CB5" w:rsidP="004A3E37">
            <w:pPr>
              <w:pStyle w:val="NormalWeb"/>
              <w:spacing w:before="0" w:after="0"/>
              <w:jc w:val="center"/>
              <w:rPr>
                <w:rFonts w:ascii="Times New Roman" w:hAnsi="Times New Roman" w:cs="Times New Roman"/>
                <w:b/>
                <w:bCs/>
                <w:szCs w:val="20"/>
              </w:rPr>
            </w:pPr>
            <w:r w:rsidRPr="00FA3856">
              <w:rPr>
                <w:rFonts w:ascii="Times New Roman" w:hAnsi="Times New Roman" w:cs="Times New Roman"/>
                <w:b/>
                <w:bCs/>
                <w:szCs w:val="20"/>
              </w:rPr>
              <w:t>Nome da Receita</w:t>
            </w:r>
          </w:p>
        </w:tc>
        <w:tc>
          <w:tcPr>
            <w:tcW w:w="1479" w:type="dxa"/>
            <w:vAlign w:val="center"/>
          </w:tcPr>
          <w:p w:rsidR="009A5CB5" w:rsidRPr="00FA3856" w:rsidRDefault="00C321B8" w:rsidP="004A3E37">
            <w:pPr>
              <w:pStyle w:val="NormalWeb"/>
              <w:spacing w:before="0" w:after="0"/>
              <w:jc w:val="center"/>
              <w:rPr>
                <w:rFonts w:ascii="Times New Roman" w:hAnsi="Times New Roman" w:cs="Times New Roman"/>
                <w:b/>
                <w:bCs/>
                <w:szCs w:val="20"/>
              </w:rPr>
            </w:pPr>
            <w:r w:rsidRPr="00FA3856">
              <w:rPr>
                <w:rFonts w:ascii="Times New Roman" w:hAnsi="Times New Roman" w:cs="Times New Roman"/>
                <w:b/>
                <w:bCs/>
                <w:szCs w:val="20"/>
              </w:rPr>
              <w:t>Órgão</w:t>
            </w:r>
            <w:r w:rsidR="009A5CB5" w:rsidRPr="00FA3856">
              <w:rPr>
                <w:rFonts w:ascii="Times New Roman" w:hAnsi="Times New Roman" w:cs="Times New Roman"/>
                <w:b/>
                <w:bCs/>
                <w:szCs w:val="20"/>
              </w:rPr>
              <w:t xml:space="preserve"> Público</w:t>
            </w:r>
          </w:p>
        </w:tc>
        <w:tc>
          <w:tcPr>
            <w:tcW w:w="1479" w:type="dxa"/>
            <w:vAlign w:val="center"/>
          </w:tcPr>
          <w:p w:rsidR="009A5CB5" w:rsidRPr="00FA3856" w:rsidRDefault="009A5CB5" w:rsidP="004A3E37">
            <w:pPr>
              <w:pStyle w:val="NormalWeb"/>
              <w:spacing w:before="0" w:after="0"/>
              <w:jc w:val="center"/>
              <w:rPr>
                <w:rFonts w:ascii="Times New Roman" w:hAnsi="Times New Roman" w:cs="Times New Roman"/>
                <w:b/>
                <w:bCs/>
                <w:szCs w:val="20"/>
              </w:rPr>
            </w:pPr>
            <w:r w:rsidRPr="00FA3856">
              <w:rPr>
                <w:rFonts w:ascii="Times New Roman" w:hAnsi="Times New Roman" w:cs="Times New Roman"/>
                <w:b/>
                <w:bCs/>
                <w:szCs w:val="20"/>
              </w:rPr>
              <w:t>IRRF</w:t>
            </w:r>
          </w:p>
        </w:tc>
        <w:tc>
          <w:tcPr>
            <w:tcW w:w="1479" w:type="dxa"/>
            <w:vAlign w:val="center"/>
          </w:tcPr>
          <w:p w:rsidR="009A5CB5" w:rsidRPr="00FA3856" w:rsidRDefault="009A5CB5" w:rsidP="004A3E37">
            <w:pPr>
              <w:pStyle w:val="NormalWeb"/>
              <w:spacing w:before="0" w:after="0"/>
              <w:jc w:val="center"/>
              <w:rPr>
                <w:rFonts w:ascii="Times New Roman" w:hAnsi="Times New Roman" w:cs="Times New Roman"/>
                <w:b/>
                <w:bCs/>
                <w:szCs w:val="20"/>
              </w:rPr>
            </w:pPr>
            <w:r w:rsidRPr="00FA3856">
              <w:rPr>
                <w:rFonts w:ascii="Times New Roman" w:hAnsi="Times New Roman" w:cs="Times New Roman"/>
                <w:b/>
                <w:bCs/>
                <w:szCs w:val="20"/>
              </w:rPr>
              <w:t>CSLL</w:t>
            </w:r>
          </w:p>
        </w:tc>
      </w:tr>
      <w:tr w:rsidR="00183B73" w:rsidRPr="00FA3856" w:rsidTr="00350DBA">
        <w:trPr>
          <w:jc w:val="center"/>
        </w:trPr>
        <w:tc>
          <w:tcPr>
            <w:tcW w:w="980" w:type="dxa"/>
            <w:vAlign w:val="bottom"/>
          </w:tcPr>
          <w:p w:rsidR="00183B73" w:rsidRPr="00FA3856" w:rsidRDefault="00183B73" w:rsidP="00183B73">
            <w:pPr>
              <w:rPr>
                <w:color w:val="000000"/>
                <w:szCs w:val="20"/>
              </w:rPr>
            </w:pPr>
            <w:r w:rsidRPr="00FA3856">
              <w:rPr>
                <w:color w:val="000000"/>
                <w:szCs w:val="20"/>
              </w:rPr>
              <w:t>4085</w:t>
            </w:r>
          </w:p>
        </w:tc>
        <w:tc>
          <w:tcPr>
            <w:tcW w:w="10918" w:type="dxa"/>
            <w:vAlign w:val="bottom"/>
          </w:tcPr>
          <w:p w:rsidR="00183B73" w:rsidRPr="00FA3856" w:rsidRDefault="00183B73" w:rsidP="00183B73">
            <w:pPr>
              <w:rPr>
                <w:color w:val="000000"/>
                <w:szCs w:val="20"/>
              </w:rPr>
            </w:pPr>
            <w:r w:rsidRPr="00FA3856">
              <w:rPr>
                <w:color w:val="000000"/>
                <w:szCs w:val="20"/>
              </w:rPr>
              <w:t>RET CONTRIB PAGT EST/DF/MUNIC - BENS/SERVIÇOS - CSLL/COFINS/PIS</w:t>
            </w:r>
          </w:p>
        </w:tc>
        <w:tc>
          <w:tcPr>
            <w:tcW w:w="1479" w:type="dxa"/>
          </w:tcPr>
          <w:p w:rsidR="00183B73" w:rsidRPr="00FA3856" w:rsidRDefault="00183B73" w:rsidP="00183B73">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Sim</w:t>
            </w:r>
          </w:p>
        </w:tc>
        <w:tc>
          <w:tcPr>
            <w:tcW w:w="1479" w:type="dxa"/>
          </w:tcPr>
          <w:p w:rsidR="00183B73" w:rsidRPr="00FA3856" w:rsidRDefault="00183B73" w:rsidP="00183B73">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Não</w:t>
            </w:r>
          </w:p>
        </w:tc>
        <w:tc>
          <w:tcPr>
            <w:tcW w:w="1479" w:type="dxa"/>
          </w:tcPr>
          <w:p w:rsidR="00183B73" w:rsidRPr="00FA3856" w:rsidRDefault="00183B73" w:rsidP="00183B73">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Sim</w:t>
            </w:r>
          </w:p>
        </w:tc>
      </w:tr>
      <w:tr w:rsidR="00183B73" w:rsidRPr="00FA3856" w:rsidTr="00350DBA">
        <w:trPr>
          <w:jc w:val="center"/>
        </w:trPr>
        <w:tc>
          <w:tcPr>
            <w:tcW w:w="980" w:type="dxa"/>
            <w:vAlign w:val="bottom"/>
          </w:tcPr>
          <w:p w:rsidR="00183B73" w:rsidRPr="00FA3856" w:rsidRDefault="00183B73" w:rsidP="00183B73">
            <w:pPr>
              <w:rPr>
                <w:color w:val="000000"/>
                <w:szCs w:val="20"/>
              </w:rPr>
            </w:pPr>
            <w:r w:rsidRPr="00FA3856">
              <w:rPr>
                <w:color w:val="000000"/>
                <w:szCs w:val="20"/>
              </w:rPr>
              <w:t>4397</w:t>
            </w:r>
          </w:p>
        </w:tc>
        <w:tc>
          <w:tcPr>
            <w:tcW w:w="10918" w:type="dxa"/>
            <w:vAlign w:val="bottom"/>
          </w:tcPr>
          <w:p w:rsidR="00183B73" w:rsidRPr="00FA3856" w:rsidRDefault="00183B73" w:rsidP="00183B73">
            <w:pPr>
              <w:rPr>
                <w:color w:val="000000"/>
                <w:szCs w:val="20"/>
              </w:rPr>
            </w:pPr>
            <w:r w:rsidRPr="00FA3856">
              <w:rPr>
                <w:color w:val="000000"/>
                <w:szCs w:val="20"/>
              </w:rPr>
              <w:t>CSLL - RET FONTE PAGT ESTADOS/DF/MUNICÍPIOS - BENS/SERVIÇOS</w:t>
            </w:r>
          </w:p>
        </w:tc>
        <w:tc>
          <w:tcPr>
            <w:tcW w:w="1479" w:type="dxa"/>
          </w:tcPr>
          <w:p w:rsidR="00183B73" w:rsidRPr="00FA3856" w:rsidRDefault="00183B73" w:rsidP="00183B73">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Sim</w:t>
            </w:r>
          </w:p>
        </w:tc>
        <w:tc>
          <w:tcPr>
            <w:tcW w:w="1479" w:type="dxa"/>
          </w:tcPr>
          <w:p w:rsidR="00183B73" w:rsidRPr="00FA3856" w:rsidRDefault="00183B73" w:rsidP="00183B73">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Não</w:t>
            </w:r>
          </w:p>
        </w:tc>
        <w:tc>
          <w:tcPr>
            <w:tcW w:w="1479" w:type="dxa"/>
          </w:tcPr>
          <w:p w:rsidR="00183B73" w:rsidRPr="00FA3856" w:rsidRDefault="00183B73" w:rsidP="00183B73">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Sim</w:t>
            </w:r>
          </w:p>
        </w:tc>
      </w:tr>
      <w:tr w:rsidR="00183B73" w:rsidRPr="00FA3856" w:rsidTr="00350DBA">
        <w:trPr>
          <w:jc w:val="center"/>
        </w:trPr>
        <w:tc>
          <w:tcPr>
            <w:tcW w:w="980" w:type="dxa"/>
            <w:vAlign w:val="bottom"/>
          </w:tcPr>
          <w:p w:rsidR="00183B73" w:rsidRPr="00FA3856" w:rsidRDefault="00183B73" w:rsidP="00183B73">
            <w:pPr>
              <w:rPr>
                <w:color w:val="000000"/>
                <w:szCs w:val="20"/>
              </w:rPr>
            </w:pPr>
            <w:r w:rsidRPr="00FA3856">
              <w:rPr>
                <w:color w:val="000000"/>
                <w:szCs w:val="20"/>
              </w:rPr>
              <w:t>5928</w:t>
            </w:r>
          </w:p>
        </w:tc>
        <w:tc>
          <w:tcPr>
            <w:tcW w:w="10918" w:type="dxa"/>
            <w:vAlign w:val="bottom"/>
          </w:tcPr>
          <w:p w:rsidR="00183B73" w:rsidRPr="00FA3856" w:rsidRDefault="00183B73" w:rsidP="00183B73">
            <w:pPr>
              <w:rPr>
                <w:color w:val="000000"/>
                <w:szCs w:val="20"/>
              </w:rPr>
            </w:pPr>
            <w:r w:rsidRPr="00FA3856">
              <w:rPr>
                <w:color w:val="000000"/>
                <w:szCs w:val="20"/>
              </w:rPr>
              <w:t>IRRF -REND DECOR DECISÃO JUSTIÇA FEDERAL, EXCETO ART 12A L 7713/88</w:t>
            </w:r>
          </w:p>
        </w:tc>
        <w:tc>
          <w:tcPr>
            <w:tcW w:w="1479" w:type="dxa"/>
          </w:tcPr>
          <w:p w:rsidR="00183B73" w:rsidRPr="00FA3856" w:rsidRDefault="00183B73" w:rsidP="00183B73">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Sim</w:t>
            </w:r>
          </w:p>
        </w:tc>
        <w:tc>
          <w:tcPr>
            <w:tcW w:w="1479" w:type="dxa"/>
          </w:tcPr>
          <w:p w:rsidR="00183B73" w:rsidRPr="00FA3856" w:rsidRDefault="00183B73" w:rsidP="00183B73">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Sim</w:t>
            </w:r>
          </w:p>
        </w:tc>
        <w:tc>
          <w:tcPr>
            <w:tcW w:w="1479" w:type="dxa"/>
          </w:tcPr>
          <w:p w:rsidR="00183B73" w:rsidRPr="00FA3856" w:rsidRDefault="00404BE0" w:rsidP="00183B73">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Não</w:t>
            </w:r>
          </w:p>
        </w:tc>
      </w:tr>
      <w:tr w:rsidR="00183B73" w:rsidRPr="00FA3856" w:rsidTr="00350DBA">
        <w:trPr>
          <w:jc w:val="center"/>
        </w:trPr>
        <w:tc>
          <w:tcPr>
            <w:tcW w:w="980" w:type="dxa"/>
            <w:vAlign w:val="bottom"/>
          </w:tcPr>
          <w:p w:rsidR="00183B73" w:rsidRPr="00FA3856" w:rsidRDefault="00183B73" w:rsidP="00183B73">
            <w:pPr>
              <w:rPr>
                <w:color w:val="000000"/>
                <w:szCs w:val="20"/>
              </w:rPr>
            </w:pPr>
            <w:r w:rsidRPr="00FA3856">
              <w:rPr>
                <w:color w:val="000000"/>
                <w:szCs w:val="20"/>
              </w:rPr>
              <w:t>5936</w:t>
            </w:r>
          </w:p>
        </w:tc>
        <w:tc>
          <w:tcPr>
            <w:tcW w:w="10918" w:type="dxa"/>
            <w:vAlign w:val="bottom"/>
          </w:tcPr>
          <w:p w:rsidR="00183B73" w:rsidRPr="00FA3856" w:rsidRDefault="00183B73" w:rsidP="00183B73">
            <w:pPr>
              <w:rPr>
                <w:color w:val="000000"/>
                <w:szCs w:val="20"/>
              </w:rPr>
            </w:pPr>
            <w:r w:rsidRPr="00FA3856">
              <w:rPr>
                <w:color w:val="000000"/>
                <w:szCs w:val="20"/>
              </w:rPr>
              <w:t>IRRF - REND DECOR DEC JUSTIÇA TRABALHO, EXCETO ART 12A L. 7.713/88</w:t>
            </w:r>
          </w:p>
        </w:tc>
        <w:tc>
          <w:tcPr>
            <w:tcW w:w="1479" w:type="dxa"/>
          </w:tcPr>
          <w:p w:rsidR="00183B73" w:rsidRPr="00FA3856" w:rsidRDefault="00183B73" w:rsidP="00183B73">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Sim</w:t>
            </w:r>
          </w:p>
        </w:tc>
        <w:tc>
          <w:tcPr>
            <w:tcW w:w="1479" w:type="dxa"/>
          </w:tcPr>
          <w:p w:rsidR="00183B73" w:rsidRPr="00FA3856" w:rsidRDefault="00183B73" w:rsidP="00183B73">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Sim</w:t>
            </w:r>
          </w:p>
        </w:tc>
        <w:tc>
          <w:tcPr>
            <w:tcW w:w="1479" w:type="dxa"/>
          </w:tcPr>
          <w:p w:rsidR="00183B73" w:rsidRPr="00FA3856" w:rsidRDefault="00404BE0" w:rsidP="00183B73">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Não</w:t>
            </w:r>
          </w:p>
        </w:tc>
      </w:tr>
      <w:tr w:rsidR="00183B73" w:rsidRPr="00FA3856" w:rsidTr="00350DBA">
        <w:trPr>
          <w:jc w:val="center"/>
        </w:trPr>
        <w:tc>
          <w:tcPr>
            <w:tcW w:w="980" w:type="dxa"/>
            <w:vAlign w:val="bottom"/>
          </w:tcPr>
          <w:p w:rsidR="00183B73" w:rsidRPr="00FA3856" w:rsidRDefault="00183B73" w:rsidP="00183B73">
            <w:pPr>
              <w:rPr>
                <w:color w:val="000000"/>
                <w:szCs w:val="20"/>
              </w:rPr>
            </w:pPr>
            <w:r w:rsidRPr="00FA3856">
              <w:rPr>
                <w:color w:val="000000"/>
                <w:szCs w:val="20"/>
              </w:rPr>
              <w:t>5944</w:t>
            </w:r>
          </w:p>
        </w:tc>
        <w:tc>
          <w:tcPr>
            <w:tcW w:w="10918" w:type="dxa"/>
            <w:vAlign w:val="bottom"/>
          </w:tcPr>
          <w:p w:rsidR="00183B73" w:rsidRPr="00FA3856" w:rsidRDefault="00183B73" w:rsidP="00183B73">
            <w:pPr>
              <w:rPr>
                <w:color w:val="000000"/>
                <w:szCs w:val="20"/>
              </w:rPr>
            </w:pPr>
            <w:r w:rsidRPr="00FA3856">
              <w:rPr>
                <w:color w:val="000000"/>
                <w:szCs w:val="20"/>
              </w:rPr>
              <w:t>IRRF - PAGAMENTO DE PJ A PJ POR SERVIÇOS DE FACTORING</w:t>
            </w:r>
          </w:p>
        </w:tc>
        <w:tc>
          <w:tcPr>
            <w:tcW w:w="1479" w:type="dxa"/>
          </w:tcPr>
          <w:p w:rsidR="00183B73" w:rsidRPr="00FA3856" w:rsidRDefault="00183B73" w:rsidP="00183B73">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Sim</w:t>
            </w:r>
          </w:p>
        </w:tc>
        <w:tc>
          <w:tcPr>
            <w:tcW w:w="1479" w:type="dxa"/>
          </w:tcPr>
          <w:p w:rsidR="00183B73" w:rsidRPr="00FA3856" w:rsidRDefault="00183B73" w:rsidP="00183B73">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Sim</w:t>
            </w:r>
          </w:p>
        </w:tc>
        <w:tc>
          <w:tcPr>
            <w:tcW w:w="1479" w:type="dxa"/>
          </w:tcPr>
          <w:p w:rsidR="00183B73" w:rsidRPr="00FA3856" w:rsidRDefault="00404BE0" w:rsidP="00183B73">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Não</w:t>
            </w:r>
          </w:p>
        </w:tc>
      </w:tr>
      <w:tr w:rsidR="00183B73" w:rsidRPr="00FA3856" w:rsidTr="00350DBA">
        <w:trPr>
          <w:jc w:val="center"/>
        </w:trPr>
        <w:tc>
          <w:tcPr>
            <w:tcW w:w="980" w:type="dxa"/>
            <w:vAlign w:val="bottom"/>
          </w:tcPr>
          <w:p w:rsidR="00183B73" w:rsidRPr="00FA3856" w:rsidRDefault="00183B73" w:rsidP="00183B73">
            <w:pPr>
              <w:rPr>
                <w:color w:val="000000"/>
                <w:szCs w:val="20"/>
              </w:rPr>
            </w:pPr>
            <w:r w:rsidRPr="00FA3856">
              <w:rPr>
                <w:color w:val="000000"/>
                <w:szCs w:val="20"/>
              </w:rPr>
              <w:t>6147</w:t>
            </w:r>
          </w:p>
        </w:tc>
        <w:tc>
          <w:tcPr>
            <w:tcW w:w="10918" w:type="dxa"/>
            <w:vAlign w:val="bottom"/>
          </w:tcPr>
          <w:p w:rsidR="00183B73" w:rsidRPr="00FA3856" w:rsidRDefault="00183B73" w:rsidP="00183B73">
            <w:pPr>
              <w:rPr>
                <w:color w:val="000000"/>
                <w:szCs w:val="20"/>
              </w:rPr>
            </w:pPr>
            <w:r w:rsidRPr="00FA3856">
              <w:rPr>
                <w:color w:val="000000"/>
                <w:szCs w:val="20"/>
              </w:rPr>
              <w:t>PRODUTOS - RETENÇÃO EM PAGAMENTOS POR ÓRGÃO PÚBLICO</w:t>
            </w:r>
          </w:p>
        </w:tc>
        <w:tc>
          <w:tcPr>
            <w:tcW w:w="1479" w:type="dxa"/>
          </w:tcPr>
          <w:p w:rsidR="00183B73" w:rsidRPr="00FA3856" w:rsidRDefault="00183B73" w:rsidP="00183B73">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Sim</w:t>
            </w:r>
          </w:p>
        </w:tc>
        <w:tc>
          <w:tcPr>
            <w:tcW w:w="1479" w:type="dxa"/>
          </w:tcPr>
          <w:p w:rsidR="00183B73" w:rsidRPr="00FA3856" w:rsidRDefault="00183B73" w:rsidP="00183B73">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Sim</w:t>
            </w:r>
          </w:p>
        </w:tc>
        <w:tc>
          <w:tcPr>
            <w:tcW w:w="1479" w:type="dxa"/>
          </w:tcPr>
          <w:p w:rsidR="00183B73" w:rsidRPr="00FA3856" w:rsidRDefault="00183B73" w:rsidP="00183B73">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Sim</w:t>
            </w:r>
          </w:p>
        </w:tc>
      </w:tr>
      <w:tr w:rsidR="00183B73" w:rsidRPr="00FA3856" w:rsidTr="00350DBA">
        <w:trPr>
          <w:jc w:val="center"/>
        </w:trPr>
        <w:tc>
          <w:tcPr>
            <w:tcW w:w="980" w:type="dxa"/>
            <w:vAlign w:val="bottom"/>
          </w:tcPr>
          <w:p w:rsidR="00183B73" w:rsidRPr="00FA3856" w:rsidRDefault="00183B73" w:rsidP="00183B73">
            <w:pPr>
              <w:rPr>
                <w:color w:val="000000"/>
                <w:szCs w:val="20"/>
              </w:rPr>
            </w:pPr>
            <w:r w:rsidRPr="00FA3856">
              <w:rPr>
                <w:color w:val="000000"/>
                <w:szCs w:val="20"/>
              </w:rPr>
              <w:t>6175</w:t>
            </w:r>
          </w:p>
        </w:tc>
        <w:tc>
          <w:tcPr>
            <w:tcW w:w="10918" w:type="dxa"/>
            <w:vAlign w:val="bottom"/>
          </w:tcPr>
          <w:p w:rsidR="00183B73" w:rsidRPr="00FA3856" w:rsidRDefault="00183B73" w:rsidP="00183B73">
            <w:pPr>
              <w:rPr>
                <w:color w:val="000000"/>
                <w:szCs w:val="20"/>
              </w:rPr>
            </w:pPr>
            <w:r w:rsidRPr="00FA3856">
              <w:rPr>
                <w:color w:val="000000"/>
                <w:szCs w:val="20"/>
              </w:rPr>
              <w:t>TRANSPORTE DE PASSAGEIROS - RETENÇÃO EM PAGAMENTO POR ÓRGÃO PÚBLICO</w:t>
            </w:r>
          </w:p>
        </w:tc>
        <w:tc>
          <w:tcPr>
            <w:tcW w:w="1479" w:type="dxa"/>
          </w:tcPr>
          <w:p w:rsidR="00183B73" w:rsidRPr="00FA3856" w:rsidRDefault="00183B73" w:rsidP="00183B73">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Sim</w:t>
            </w:r>
          </w:p>
        </w:tc>
        <w:tc>
          <w:tcPr>
            <w:tcW w:w="1479" w:type="dxa"/>
          </w:tcPr>
          <w:p w:rsidR="00183B73" w:rsidRPr="00FA3856" w:rsidRDefault="00183B73" w:rsidP="00183B73">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Sim</w:t>
            </w:r>
          </w:p>
        </w:tc>
        <w:tc>
          <w:tcPr>
            <w:tcW w:w="1479" w:type="dxa"/>
          </w:tcPr>
          <w:p w:rsidR="00183B73" w:rsidRPr="00FA3856" w:rsidRDefault="00183B73" w:rsidP="00183B73">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Sim</w:t>
            </w:r>
          </w:p>
        </w:tc>
      </w:tr>
      <w:tr w:rsidR="00183B73" w:rsidRPr="00FA3856" w:rsidTr="00350DBA">
        <w:trPr>
          <w:jc w:val="center"/>
        </w:trPr>
        <w:tc>
          <w:tcPr>
            <w:tcW w:w="980" w:type="dxa"/>
            <w:vAlign w:val="bottom"/>
          </w:tcPr>
          <w:p w:rsidR="00183B73" w:rsidRPr="00FA3856" w:rsidRDefault="00183B73" w:rsidP="00183B73">
            <w:pPr>
              <w:rPr>
                <w:color w:val="000000"/>
                <w:szCs w:val="20"/>
              </w:rPr>
            </w:pPr>
            <w:r w:rsidRPr="00FA3856">
              <w:rPr>
                <w:color w:val="000000"/>
                <w:szCs w:val="20"/>
              </w:rPr>
              <w:t>6188</w:t>
            </w:r>
          </w:p>
        </w:tc>
        <w:tc>
          <w:tcPr>
            <w:tcW w:w="10918" w:type="dxa"/>
            <w:vAlign w:val="bottom"/>
          </w:tcPr>
          <w:p w:rsidR="00183B73" w:rsidRPr="00FA3856" w:rsidRDefault="00183B73" w:rsidP="00183B73">
            <w:pPr>
              <w:rPr>
                <w:color w:val="000000"/>
                <w:szCs w:val="20"/>
              </w:rPr>
            </w:pPr>
            <w:r w:rsidRPr="00FA3856">
              <w:rPr>
                <w:color w:val="000000"/>
                <w:szCs w:val="20"/>
              </w:rPr>
              <w:t>FINANCEIRAS - RETENÇÃO EM PAGAMENTO POR ÓRGÃO PÚBLICO</w:t>
            </w:r>
          </w:p>
        </w:tc>
        <w:tc>
          <w:tcPr>
            <w:tcW w:w="1479" w:type="dxa"/>
          </w:tcPr>
          <w:p w:rsidR="00183B73" w:rsidRPr="00FA3856" w:rsidRDefault="00183B73" w:rsidP="00183B73">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Sim</w:t>
            </w:r>
          </w:p>
        </w:tc>
        <w:tc>
          <w:tcPr>
            <w:tcW w:w="1479" w:type="dxa"/>
          </w:tcPr>
          <w:p w:rsidR="00183B73" w:rsidRPr="00FA3856" w:rsidRDefault="00183B73" w:rsidP="00183B73">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Sim</w:t>
            </w:r>
          </w:p>
        </w:tc>
        <w:tc>
          <w:tcPr>
            <w:tcW w:w="1479" w:type="dxa"/>
          </w:tcPr>
          <w:p w:rsidR="00183B73" w:rsidRPr="00FA3856" w:rsidRDefault="00183B73" w:rsidP="00183B73">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Sim</w:t>
            </w:r>
          </w:p>
        </w:tc>
      </w:tr>
      <w:tr w:rsidR="00183B73" w:rsidRPr="00FA3856" w:rsidTr="00350DBA">
        <w:trPr>
          <w:jc w:val="center"/>
        </w:trPr>
        <w:tc>
          <w:tcPr>
            <w:tcW w:w="980" w:type="dxa"/>
            <w:vAlign w:val="bottom"/>
          </w:tcPr>
          <w:p w:rsidR="00183B73" w:rsidRPr="00FA3856" w:rsidRDefault="00183B73" w:rsidP="00183B73">
            <w:pPr>
              <w:rPr>
                <w:color w:val="000000"/>
                <w:szCs w:val="20"/>
              </w:rPr>
            </w:pPr>
            <w:r w:rsidRPr="00FA3856">
              <w:rPr>
                <w:color w:val="000000"/>
                <w:szCs w:val="20"/>
              </w:rPr>
              <w:t>6190</w:t>
            </w:r>
          </w:p>
        </w:tc>
        <w:tc>
          <w:tcPr>
            <w:tcW w:w="10918" w:type="dxa"/>
            <w:vAlign w:val="bottom"/>
          </w:tcPr>
          <w:p w:rsidR="00183B73" w:rsidRPr="00FA3856" w:rsidRDefault="00183B73" w:rsidP="00183B73">
            <w:pPr>
              <w:rPr>
                <w:color w:val="000000"/>
                <w:szCs w:val="20"/>
              </w:rPr>
            </w:pPr>
            <w:r w:rsidRPr="00FA3856">
              <w:rPr>
                <w:color w:val="000000"/>
                <w:szCs w:val="20"/>
              </w:rPr>
              <w:t>SERVIÇOS - RETENÇÃO EM PAGAMENTO POR ÓRGÃO PÚBLICO</w:t>
            </w:r>
          </w:p>
        </w:tc>
        <w:tc>
          <w:tcPr>
            <w:tcW w:w="1479" w:type="dxa"/>
          </w:tcPr>
          <w:p w:rsidR="00183B73" w:rsidRPr="00FA3856" w:rsidRDefault="00183B73" w:rsidP="00183B73">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Sim</w:t>
            </w:r>
          </w:p>
        </w:tc>
        <w:tc>
          <w:tcPr>
            <w:tcW w:w="1479" w:type="dxa"/>
          </w:tcPr>
          <w:p w:rsidR="00183B73" w:rsidRPr="00FA3856" w:rsidRDefault="00183B73" w:rsidP="00183B73">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Sim</w:t>
            </w:r>
          </w:p>
        </w:tc>
        <w:tc>
          <w:tcPr>
            <w:tcW w:w="1479" w:type="dxa"/>
          </w:tcPr>
          <w:p w:rsidR="00183B73" w:rsidRPr="00FA3856" w:rsidRDefault="00183B73" w:rsidP="00183B73">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Sim</w:t>
            </w:r>
          </w:p>
        </w:tc>
      </w:tr>
      <w:tr w:rsidR="00183B73" w:rsidRPr="00FA3856" w:rsidTr="00350DBA">
        <w:trPr>
          <w:jc w:val="center"/>
        </w:trPr>
        <w:tc>
          <w:tcPr>
            <w:tcW w:w="980" w:type="dxa"/>
            <w:vAlign w:val="bottom"/>
          </w:tcPr>
          <w:p w:rsidR="00183B73" w:rsidRPr="00FA3856" w:rsidRDefault="00183B73" w:rsidP="00183B73">
            <w:pPr>
              <w:rPr>
                <w:color w:val="000000"/>
                <w:szCs w:val="20"/>
              </w:rPr>
            </w:pPr>
            <w:r w:rsidRPr="00FA3856">
              <w:rPr>
                <w:color w:val="000000"/>
                <w:szCs w:val="20"/>
              </w:rPr>
              <w:t>6228</w:t>
            </w:r>
          </w:p>
        </w:tc>
        <w:tc>
          <w:tcPr>
            <w:tcW w:w="10918" w:type="dxa"/>
            <w:vAlign w:val="bottom"/>
          </w:tcPr>
          <w:p w:rsidR="00183B73" w:rsidRPr="00FA3856" w:rsidRDefault="00183B73" w:rsidP="00183B73">
            <w:pPr>
              <w:rPr>
                <w:color w:val="000000"/>
                <w:szCs w:val="20"/>
              </w:rPr>
            </w:pPr>
            <w:r w:rsidRPr="00FA3856">
              <w:rPr>
                <w:color w:val="000000"/>
                <w:szCs w:val="20"/>
              </w:rPr>
              <w:t>CSLL - RETENÇÃO NA FONTE SOBRE PAGAMENTO DE ÓRGÃO PUBLICO A PESSOA JURÍDICA</w:t>
            </w:r>
          </w:p>
        </w:tc>
        <w:tc>
          <w:tcPr>
            <w:tcW w:w="1479" w:type="dxa"/>
          </w:tcPr>
          <w:p w:rsidR="00183B73" w:rsidRPr="00FA3856" w:rsidRDefault="00183B73" w:rsidP="00183B73">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Sim</w:t>
            </w:r>
          </w:p>
        </w:tc>
        <w:tc>
          <w:tcPr>
            <w:tcW w:w="1479" w:type="dxa"/>
          </w:tcPr>
          <w:p w:rsidR="00183B73" w:rsidRPr="00FA3856" w:rsidRDefault="00183B73" w:rsidP="00183B73">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Não</w:t>
            </w:r>
          </w:p>
        </w:tc>
        <w:tc>
          <w:tcPr>
            <w:tcW w:w="1479" w:type="dxa"/>
          </w:tcPr>
          <w:p w:rsidR="00183B73" w:rsidRPr="00FA3856" w:rsidRDefault="00183B73" w:rsidP="00183B73">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Sim</w:t>
            </w:r>
          </w:p>
        </w:tc>
      </w:tr>
      <w:tr w:rsidR="00183B73" w:rsidRPr="00FA3856" w:rsidTr="00350DBA">
        <w:trPr>
          <w:jc w:val="center"/>
        </w:trPr>
        <w:tc>
          <w:tcPr>
            <w:tcW w:w="980" w:type="dxa"/>
            <w:vAlign w:val="bottom"/>
          </w:tcPr>
          <w:p w:rsidR="00183B73" w:rsidRPr="00FA3856" w:rsidRDefault="00183B73" w:rsidP="00183B73">
            <w:pPr>
              <w:rPr>
                <w:color w:val="000000"/>
                <w:szCs w:val="20"/>
              </w:rPr>
            </w:pPr>
            <w:r w:rsidRPr="00FA3856">
              <w:rPr>
                <w:color w:val="000000"/>
                <w:szCs w:val="20"/>
              </w:rPr>
              <w:t>6256</w:t>
            </w:r>
          </w:p>
        </w:tc>
        <w:tc>
          <w:tcPr>
            <w:tcW w:w="10918" w:type="dxa"/>
            <w:vAlign w:val="bottom"/>
          </w:tcPr>
          <w:p w:rsidR="00183B73" w:rsidRPr="00FA3856" w:rsidRDefault="00183B73" w:rsidP="00183B73">
            <w:pPr>
              <w:rPr>
                <w:color w:val="000000"/>
                <w:szCs w:val="20"/>
              </w:rPr>
            </w:pPr>
            <w:r w:rsidRPr="00FA3856">
              <w:rPr>
                <w:color w:val="000000"/>
                <w:szCs w:val="20"/>
              </w:rPr>
              <w:t>IRPJ - PAGAMENTO EFETUADO POR ÓRGÃO PÚBLICO</w:t>
            </w:r>
          </w:p>
        </w:tc>
        <w:tc>
          <w:tcPr>
            <w:tcW w:w="1479" w:type="dxa"/>
          </w:tcPr>
          <w:p w:rsidR="00183B73" w:rsidRPr="00FA3856" w:rsidRDefault="00183B73" w:rsidP="00183B73">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Sim</w:t>
            </w:r>
          </w:p>
        </w:tc>
        <w:tc>
          <w:tcPr>
            <w:tcW w:w="1479" w:type="dxa"/>
          </w:tcPr>
          <w:p w:rsidR="00183B73" w:rsidRPr="00FA3856" w:rsidRDefault="00183B73" w:rsidP="00183B73">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Sim</w:t>
            </w:r>
          </w:p>
        </w:tc>
        <w:tc>
          <w:tcPr>
            <w:tcW w:w="1479" w:type="dxa"/>
          </w:tcPr>
          <w:p w:rsidR="00183B73" w:rsidRPr="00FA3856" w:rsidRDefault="00183B73" w:rsidP="00183B73">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Não</w:t>
            </w:r>
          </w:p>
        </w:tc>
      </w:tr>
      <w:tr w:rsidR="00183B73" w:rsidRPr="00FA3856" w:rsidTr="00350DBA">
        <w:trPr>
          <w:jc w:val="center"/>
        </w:trPr>
        <w:tc>
          <w:tcPr>
            <w:tcW w:w="980" w:type="dxa"/>
            <w:vAlign w:val="bottom"/>
          </w:tcPr>
          <w:p w:rsidR="00183B73" w:rsidRPr="00FA3856" w:rsidRDefault="00183B73" w:rsidP="00183B73">
            <w:pPr>
              <w:rPr>
                <w:color w:val="000000"/>
                <w:szCs w:val="20"/>
              </w:rPr>
            </w:pPr>
            <w:r w:rsidRPr="00FA3856">
              <w:rPr>
                <w:color w:val="000000"/>
                <w:szCs w:val="20"/>
              </w:rPr>
              <w:t>8739</w:t>
            </w:r>
          </w:p>
        </w:tc>
        <w:tc>
          <w:tcPr>
            <w:tcW w:w="10918" w:type="dxa"/>
            <w:vAlign w:val="bottom"/>
          </w:tcPr>
          <w:p w:rsidR="00183B73" w:rsidRPr="00FA3856" w:rsidRDefault="00183B73" w:rsidP="00183B73">
            <w:pPr>
              <w:rPr>
                <w:color w:val="000000"/>
                <w:szCs w:val="20"/>
              </w:rPr>
            </w:pPr>
            <w:r w:rsidRPr="00FA3856">
              <w:rPr>
                <w:color w:val="000000"/>
                <w:szCs w:val="20"/>
              </w:rPr>
              <w:t>GASOL/DIESEL/GLP E ALCOOL NO VAREJO-R ORG PUB</w:t>
            </w:r>
          </w:p>
        </w:tc>
        <w:tc>
          <w:tcPr>
            <w:tcW w:w="1479" w:type="dxa"/>
          </w:tcPr>
          <w:p w:rsidR="00183B73" w:rsidRPr="00FA3856" w:rsidRDefault="00183B73" w:rsidP="00183B73">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Sim</w:t>
            </w:r>
          </w:p>
        </w:tc>
        <w:tc>
          <w:tcPr>
            <w:tcW w:w="1479" w:type="dxa"/>
          </w:tcPr>
          <w:p w:rsidR="00183B73" w:rsidRPr="00FA3856" w:rsidRDefault="00183B73" w:rsidP="00183B73">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Sim</w:t>
            </w:r>
          </w:p>
        </w:tc>
        <w:tc>
          <w:tcPr>
            <w:tcW w:w="1479" w:type="dxa"/>
          </w:tcPr>
          <w:p w:rsidR="00183B73" w:rsidRPr="00FA3856" w:rsidRDefault="00183B73" w:rsidP="00183B73">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Sim</w:t>
            </w:r>
          </w:p>
        </w:tc>
      </w:tr>
      <w:tr w:rsidR="00183B73" w:rsidRPr="00FA3856" w:rsidTr="00350DBA">
        <w:trPr>
          <w:jc w:val="center"/>
        </w:trPr>
        <w:tc>
          <w:tcPr>
            <w:tcW w:w="980" w:type="dxa"/>
            <w:vAlign w:val="bottom"/>
          </w:tcPr>
          <w:p w:rsidR="00183B73" w:rsidRPr="00FA3856" w:rsidRDefault="00183B73" w:rsidP="00183B73">
            <w:pPr>
              <w:rPr>
                <w:color w:val="000000"/>
                <w:szCs w:val="20"/>
              </w:rPr>
            </w:pPr>
            <w:r w:rsidRPr="00FA3856">
              <w:rPr>
                <w:color w:val="000000"/>
                <w:szCs w:val="20"/>
              </w:rPr>
              <w:t>8767</w:t>
            </w:r>
          </w:p>
        </w:tc>
        <w:tc>
          <w:tcPr>
            <w:tcW w:w="10918" w:type="dxa"/>
            <w:vAlign w:val="bottom"/>
          </w:tcPr>
          <w:p w:rsidR="00183B73" w:rsidRPr="00FA3856" w:rsidRDefault="00183B73" w:rsidP="00183B73">
            <w:pPr>
              <w:rPr>
                <w:color w:val="000000"/>
                <w:szCs w:val="20"/>
              </w:rPr>
            </w:pPr>
            <w:r w:rsidRPr="00FA3856">
              <w:rPr>
                <w:color w:val="000000"/>
                <w:szCs w:val="20"/>
              </w:rPr>
              <w:t>MEDICAMENTO ADQUIR DISTRIB/VAREJ-RET ORG PUBL</w:t>
            </w:r>
          </w:p>
        </w:tc>
        <w:tc>
          <w:tcPr>
            <w:tcW w:w="1479" w:type="dxa"/>
          </w:tcPr>
          <w:p w:rsidR="00183B73" w:rsidRPr="00FA3856" w:rsidRDefault="00183B73" w:rsidP="00183B73">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Sim</w:t>
            </w:r>
          </w:p>
        </w:tc>
        <w:tc>
          <w:tcPr>
            <w:tcW w:w="1479" w:type="dxa"/>
          </w:tcPr>
          <w:p w:rsidR="00183B73" w:rsidRPr="00FA3856" w:rsidRDefault="00183B73" w:rsidP="00183B73">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Sim</w:t>
            </w:r>
          </w:p>
        </w:tc>
        <w:tc>
          <w:tcPr>
            <w:tcW w:w="1479" w:type="dxa"/>
          </w:tcPr>
          <w:p w:rsidR="00183B73" w:rsidRPr="00FA3856" w:rsidRDefault="00183B73" w:rsidP="00183B73">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Sim</w:t>
            </w:r>
          </w:p>
        </w:tc>
      </w:tr>
      <w:tr w:rsidR="00183B73" w:rsidRPr="00FA3856" w:rsidTr="00350DBA">
        <w:trPr>
          <w:jc w:val="center"/>
        </w:trPr>
        <w:tc>
          <w:tcPr>
            <w:tcW w:w="980" w:type="dxa"/>
            <w:vAlign w:val="bottom"/>
          </w:tcPr>
          <w:p w:rsidR="00183B73" w:rsidRPr="00FA3856" w:rsidRDefault="00183B73" w:rsidP="00183B73">
            <w:pPr>
              <w:rPr>
                <w:color w:val="000000"/>
                <w:szCs w:val="20"/>
              </w:rPr>
            </w:pPr>
            <w:r w:rsidRPr="00FA3856">
              <w:rPr>
                <w:color w:val="000000"/>
                <w:szCs w:val="20"/>
              </w:rPr>
              <w:t>8850</w:t>
            </w:r>
          </w:p>
        </w:tc>
        <w:tc>
          <w:tcPr>
            <w:tcW w:w="10918" w:type="dxa"/>
            <w:vAlign w:val="bottom"/>
          </w:tcPr>
          <w:p w:rsidR="00183B73" w:rsidRPr="00FA3856" w:rsidRDefault="00183B73" w:rsidP="00183B73">
            <w:pPr>
              <w:rPr>
                <w:color w:val="000000"/>
                <w:szCs w:val="20"/>
              </w:rPr>
            </w:pPr>
            <w:r w:rsidRPr="00FA3856">
              <w:rPr>
                <w:color w:val="000000"/>
                <w:szCs w:val="20"/>
              </w:rPr>
              <w:t>TRANSPORTE INTERNACIONAL PASSAGEIRO-R ORG PUB</w:t>
            </w:r>
          </w:p>
        </w:tc>
        <w:tc>
          <w:tcPr>
            <w:tcW w:w="1479" w:type="dxa"/>
          </w:tcPr>
          <w:p w:rsidR="00183B73" w:rsidRPr="00FA3856" w:rsidRDefault="00183B73" w:rsidP="00183B73">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Sim</w:t>
            </w:r>
          </w:p>
        </w:tc>
        <w:tc>
          <w:tcPr>
            <w:tcW w:w="1479" w:type="dxa"/>
          </w:tcPr>
          <w:p w:rsidR="00183B73" w:rsidRPr="00FA3856" w:rsidRDefault="00183B73" w:rsidP="00183B73">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Sim</w:t>
            </w:r>
          </w:p>
        </w:tc>
        <w:tc>
          <w:tcPr>
            <w:tcW w:w="1479" w:type="dxa"/>
          </w:tcPr>
          <w:p w:rsidR="00183B73" w:rsidRPr="00FA3856" w:rsidRDefault="00183B73" w:rsidP="00183B73">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Sim</w:t>
            </w:r>
          </w:p>
        </w:tc>
      </w:tr>
      <w:tr w:rsidR="00183B73" w:rsidRPr="00FA3856" w:rsidTr="00350DBA">
        <w:trPr>
          <w:jc w:val="center"/>
        </w:trPr>
        <w:tc>
          <w:tcPr>
            <w:tcW w:w="980" w:type="dxa"/>
            <w:vAlign w:val="bottom"/>
          </w:tcPr>
          <w:p w:rsidR="00183B73" w:rsidRPr="00FA3856" w:rsidRDefault="00183B73" w:rsidP="00183B73">
            <w:pPr>
              <w:rPr>
                <w:color w:val="000000"/>
                <w:szCs w:val="20"/>
              </w:rPr>
            </w:pPr>
            <w:r w:rsidRPr="00FA3856">
              <w:rPr>
                <w:color w:val="000000"/>
                <w:szCs w:val="20"/>
              </w:rPr>
              <w:t>8863</w:t>
            </w:r>
          </w:p>
        </w:tc>
        <w:tc>
          <w:tcPr>
            <w:tcW w:w="10918" w:type="dxa"/>
            <w:vAlign w:val="bottom"/>
          </w:tcPr>
          <w:p w:rsidR="00183B73" w:rsidRPr="00FA3856" w:rsidRDefault="00183B73" w:rsidP="00183B73">
            <w:pPr>
              <w:rPr>
                <w:color w:val="000000"/>
                <w:szCs w:val="20"/>
              </w:rPr>
            </w:pPr>
            <w:r w:rsidRPr="00FA3856">
              <w:rPr>
                <w:color w:val="000000"/>
                <w:szCs w:val="20"/>
              </w:rPr>
              <w:t>BENS OU SERVIÇOS ADQUIRIDOS DE SOCIEDADES COOPERATIVAS E ASSOCIAÇÃO</w:t>
            </w:r>
          </w:p>
        </w:tc>
        <w:tc>
          <w:tcPr>
            <w:tcW w:w="1479" w:type="dxa"/>
          </w:tcPr>
          <w:p w:rsidR="00183B73" w:rsidRPr="00FA3856" w:rsidRDefault="00183B73" w:rsidP="00183B73">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Sim</w:t>
            </w:r>
          </w:p>
        </w:tc>
        <w:tc>
          <w:tcPr>
            <w:tcW w:w="1479" w:type="dxa"/>
          </w:tcPr>
          <w:p w:rsidR="00183B73" w:rsidRPr="00FA3856" w:rsidRDefault="00183B73" w:rsidP="00183B73">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Sim</w:t>
            </w:r>
          </w:p>
        </w:tc>
        <w:tc>
          <w:tcPr>
            <w:tcW w:w="1479" w:type="dxa"/>
          </w:tcPr>
          <w:p w:rsidR="00183B73" w:rsidRPr="00FA3856" w:rsidRDefault="00183B73" w:rsidP="00183B73">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Sim</w:t>
            </w:r>
          </w:p>
        </w:tc>
      </w:tr>
      <w:tr w:rsidR="00183B73" w:rsidRPr="00FA3856" w:rsidTr="00350DBA">
        <w:trPr>
          <w:jc w:val="center"/>
        </w:trPr>
        <w:tc>
          <w:tcPr>
            <w:tcW w:w="980" w:type="dxa"/>
            <w:vAlign w:val="bottom"/>
          </w:tcPr>
          <w:p w:rsidR="00183B73" w:rsidRPr="00FA3856" w:rsidRDefault="00183B73" w:rsidP="00183B73">
            <w:pPr>
              <w:rPr>
                <w:color w:val="000000"/>
                <w:szCs w:val="20"/>
              </w:rPr>
            </w:pPr>
            <w:r w:rsidRPr="00FA3856">
              <w:rPr>
                <w:color w:val="000000"/>
                <w:szCs w:val="20"/>
              </w:rPr>
              <w:t>9060</w:t>
            </w:r>
          </w:p>
        </w:tc>
        <w:tc>
          <w:tcPr>
            <w:tcW w:w="10918" w:type="dxa"/>
            <w:vAlign w:val="bottom"/>
          </w:tcPr>
          <w:p w:rsidR="00183B73" w:rsidRPr="00FA3856" w:rsidRDefault="00183B73" w:rsidP="00183B73">
            <w:pPr>
              <w:rPr>
                <w:color w:val="000000"/>
                <w:szCs w:val="20"/>
              </w:rPr>
            </w:pPr>
            <w:r w:rsidRPr="00FA3856">
              <w:rPr>
                <w:color w:val="000000"/>
                <w:szCs w:val="20"/>
              </w:rPr>
              <w:t>QUEROSENE DE AVIAÇÃO ADQUIRIDO DE PRODUTOR OU IMPORTADOR - RETIDO</w:t>
            </w:r>
          </w:p>
        </w:tc>
        <w:tc>
          <w:tcPr>
            <w:tcW w:w="1479" w:type="dxa"/>
          </w:tcPr>
          <w:p w:rsidR="00183B73" w:rsidRPr="00FA3856" w:rsidRDefault="00183B73" w:rsidP="00183B73">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Sim</w:t>
            </w:r>
          </w:p>
        </w:tc>
        <w:tc>
          <w:tcPr>
            <w:tcW w:w="1479" w:type="dxa"/>
          </w:tcPr>
          <w:p w:rsidR="00183B73" w:rsidRPr="00FA3856" w:rsidRDefault="00183B73" w:rsidP="00183B73">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Sim</w:t>
            </w:r>
          </w:p>
        </w:tc>
        <w:tc>
          <w:tcPr>
            <w:tcW w:w="1479" w:type="dxa"/>
          </w:tcPr>
          <w:p w:rsidR="00183B73" w:rsidRPr="00FA3856" w:rsidRDefault="00183B73" w:rsidP="00183B73">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Sim</w:t>
            </w:r>
          </w:p>
        </w:tc>
      </w:tr>
      <w:tr w:rsidR="00183B73" w:rsidRPr="00FA3856" w:rsidTr="00350DBA">
        <w:trPr>
          <w:jc w:val="center"/>
        </w:trPr>
        <w:tc>
          <w:tcPr>
            <w:tcW w:w="980" w:type="dxa"/>
            <w:vAlign w:val="bottom"/>
          </w:tcPr>
          <w:p w:rsidR="00183B73" w:rsidRPr="00FA3856" w:rsidRDefault="00183B73" w:rsidP="00183B73">
            <w:pPr>
              <w:rPr>
                <w:color w:val="000000"/>
                <w:szCs w:val="20"/>
              </w:rPr>
            </w:pPr>
            <w:r w:rsidRPr="00FA3856">
              <w:rPr>
                <w:color w:val="000000"/>
                <w:szCs w:val="20"/>
              </w:rPr>
              <w:t>9997</w:t>
            </w:r>
          </w:p>
        </w:tc>
        <w:tc>
          <w:tcPr>
            <w:tcW w:w="10918" w:type="dxa"/>
            <w:vAlign w:val="bottom"/>
          </w:tcPr>
          <w:p w:rsidR="00183B73" w:rsidRPr="00FA3856" w:rsidRDefault="00183B73" w:rsidP="00183B73">
            <w:pPr>
              <w:rPr>
                <w:color w:val="000000"/>
                <w:szCs w:val="20"/>
              </w:rPr>
            </w:pPr>
            <w:r w:rsidRPr="00FA3856">
              <w:rPr>
                <w:color w:val="000000"/>
                <w:szCs w:val="20"/>
              </w:rPr>
              <w:t>OUTRAS RETENÇÕES NÃO ESPECIFICADAS ACIMA</w:t>
            </w:r>
          </w:p>
        </w:tc>
        <w:tc>
          <w:tcPr>
            <w:tcW w:w="1479" w:type="dxa"/>
          </w:tcPr>
          <w:p w:rsidR="00183B73" w:rsidRPr="00FA3856" w:rsidRDefault="00183B73" w:rsidP="00183B73">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Sim</w:t>
            </w:r>
          </w:p>
        </w:tc>
        <w:tc>
          <w:tcPr>
            <w:tcW w:w="1479" w:type="dxa"/>
          </w:tcPr>
          <w:p w:rsidR="00183B73" w:rsidRPr="00FA3856" w:rsidRDefault="00183B73" w:rsidP="00183B73">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Sim</w:t>
            </w:r>
          </w:p>
        </w:tc>
        <w:tc>
          <w:tcPr>
            <w:tcW w:w="1479" w:type="dxa"/>
          </w:tcPr>
          <w:p w:rsidR="00183B73" w:rsidRPr="00FA3856" w:rsidRDefault="00183B73" w:rsidP="00183B73">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Sim</w:t>
            </w:r>
          </w:p>
        </w:tc>
      </w:tr>
      <w:tr w:rsidR="00183B73" w:rsidRPr="00FA3856" w:rsidTr="00350DBA">
        <w:trPr>
          <w:jc w:val="center"/>
        </w:trPr>
        <w:tc>
          <w:tcPr>
            <w:tcW w:w="980" w:type="dxa"/>
            <w:vAlign w:val="bottom"/>
          </w:tcPr>
          <w:p w:rsidR="00183B73" w:rsidRPr="00FA3856" w:rsidRDefault="003C701B" w:rsidP="00183B73">
            <w:pPr>
              <w:rPr>
                <w:color w:val="000000"/>
                <w:szCs w:val="20"/>
              </w:rPr>
            </w:pPr>
            <w:r>
              <w:rPr>
                <w:color w:val="000000"/>
                <w:szCs w:val="20"/>
              </w:rPr>
              <w:t>0</w:t>
            </w:r>
            <w:r w:rsidR="00183B73" w:rsidRPr="00FA3856">
              <w:rPr>
                <w:color w:val="000000"/>
                <w:szCs w:val="20"/>
              </w:rPr>
              <w:t>916</w:t>
            </w:r>
          </w:p>
        </w:tc>
        <w:tc>
          <w:tcPr>
            <w:tcW w:w="10918" w:type="dxa"/>
            <w:vAlign w:val="bottom"/>
          </w:tcPr>
          <w:p w:rsidR="00183B73" w:rsidRPr="00FA3856" w:rsidRDefault="00183B73" w:rsidP="00183B73">
            <w:pPr>
              <w:rPr>
                <w:color w:val="000000"/>
                <w:szCs w:val="20"/>
              </w:rPr>
            </w:pPr>
            <w:r w:rsidRPr="00FA3856">
              <w:rPr>
                <w:color w:val="000000"/>
                <w:szCs w:val="20"/>
              </w:rPr>
              <w:t>IRRF - PRÊMIOS OBTIDOS EM CONCURSOS SORTEIOS</w:t>
            </w:r>
          </w:p>
        </w:tc>
        <w:tc>
          <w:tcPr>
            <w:tcW w:w="1479" w:type="dxa"/>
          </w:tcPr>
          <w:p w:rsidR="00183B73" w:rsidRPr="00FA3856" w:rsidRDefault="00183B73" w:rsidP="00183B73">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Não</w:t>
            </w:r>
          </w:p>
        </w:tc>
        <w:tc>
          <w:tcPr>
            <w:tcW w:w="1479" w:type="dxa"/>
          </w:tcPr>
          <w:p w:rsidR="00183B73" w:rsidRPr="00FA3856" w:rsidRDefault="00183B73" w:rsidP="00183B73">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Sim</w:t>
            </w:r>
          </w:p>
        </w:tc>
        <w:tc>
          <w:tcPr>
            <w:tcW w:w="1479" w:type="dxa"/>
          </w:tcPr>
          <w:p w:rsidR="00183B73" w:rsidRPr="00FA3856" w:rsidRDefault="00183B73" w:rsidP="00183B73">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Não</w:t>
            </w:r>
          </w:p>
        </w:tc>
      </w:tr>
      <w:tr w:rsidR="00183B73" w:rsidRPr="00FA3856" w:rsidTr="00350DBA">
        <w:trPr>
          <w:jc w:val="center"/>
        </w:trPr>
        <w:tc>
          <w:tcPr>
            <w:tcW w:w="980" w:type="dxa"/>
            <w:vAlign w:val="bottom"/>
          </w:tcPr>
          <w:p w:rsidR="00183B73" w:rsidRPr="00FA3856" w:rsidRDefault="003C701B" w:rsidP="00183B73">
            <w:pPr>
              <w:rPr>
                <w:color w:val="000000"/>
                <w:szCs w:val="20"/>
              </w:rPr>
            </w:pPr>
            <w:r>
              <w:rPr>
                <w:color w:val="000000"/>
                <w:szCs w:val="20"/>
              </w:rPr>
              <w:t>0</w:t>
            </w:r>
            <w:r w:rsidR="00183B73" w:rsidRPr="00FA3856">
              <w:rPr>
                <w:color w:val="000000"/>
                <w:szCs w:val="20"/>
              </w:rPr>
              <w:t>924</w:t>
            </w:r>
          </w:p>
        </w:tc>
        <w:tc>
          <w:tcPr>
            <w:tcW w:w="10918" w:type="dxa"/>
            <w:vAlign w:val="bottom"/>
          </w:tcPr>
          <w:p w:rsidR="00183B73" w:rsidRPr="00FA3856" w:rsidRDefault="00183B73" w:rsidP="00183B73">
            <w:pPr>
              <w:rPr>
                <w:color w:val="000000"/>
                <w:szCs w:val="20"/>
              </w:rPr>
            </w:pPr>
            <w:r w:rsidRPr="00FA3856">
              <w:rPr>
                <w:color w:val="000000"/>
                <w:szCs w:val="20"/>
              </w:rPr>
              <w:t>IRRF - DEMAIS RENDIMENTOS CAPITAL</w:t>
            </w:r>
          </w:p>
        </w:tc>
        <w:tc>
          <w:tcPr>
            <w:tcW w:w="1479" w:type="dxa"/>
          </w:tcPr>
          <w:p w:rsidR="00183B73" w:rsidRPr="00FA3856" w:rsidRDefault="00183B73" w:rsidP="00183B73">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Não</w:t>
            </w:r>
          </w:p>
        </w:tc>
        <w:tc>
          <w:tcPr>
            <w:tcW w:w="1479" w:type="dxa"/>
          </w:tcPr>
          <w:p w:rsidR="00183B73" w:rsidRPr="00FA3856" w:rsidRDefault="00183B73" w:rsidP="00183B73">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Sim</w:t>
            </w:r>
          </w:p>
        </w:tc>
        <w:tc>
          <w:tcPr>
            <w:tcW w:w="1479" w:type="dxa"/>
          </w:tcPr>
          <w:p w:rsidR="00183B73" w:rsidRPr="00FA3856" w:rsidRDefault="00183B73" w:rsidP="00183B73">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Não</w:t>
            </w:r>
          </w:p>
        </w:tc>
      </w:tr>
      <w:tr w:rsidR="00183B73" w:rsidRPr="00FA3856" w:rsidTr="00350DBA">
        <w:trPr>
          <w:jc w:val="center"/>
        </w:trPr>
        <w:tc>
          <w:tcPr>
            <w:tcW w:w="980" w:type="dxa"/>
            <w:vAlign w:val="bottom"/>
          </w:tcPr>
          <w:p w:rsidR="00183B73" w:rsidRPr="00FA3856" w:rsidRDefault="00183B73" w:rsidP="00183B73">
            <w:pPr>
              <w:rPr>
                <w:color w:val="000000"/>
                <w:szCs w:val="20"/>
              </w:rPr>
            </w:pPr>
            <w:r w:rsidRPr="00FA3856">
              <w:rPr>
                <w:color w:val="000000"/>
                <w:szCs w:val="20"/>
              </w:rPr>
              <w:t>1708</w:t>
            </w:r>
          </w:p>
        </w:tc>
        <w:tc>
          <w:tcPr>
            <w:tcW w:w="10918" w:type="dxa"/>
            <w:vAlign w:val="bottom"/>
          </w:tcPr>
          <w:p w:rsidR="00183B73" w:rsidRPr="00FA3856" w:rsidRDefault="00183B73" w:rsidP="00183B73">
            <w:pPr>
              <w:rPr>
                <w:color w:val="000000"/>
                <w:szCs w:val="20"/>
              </w:rPr>
            </w:pPr>
            <w:r w:rsidRPr="00FA3856">
              <w:rPr>
                <w:color w:val="000000"/>
                <w:szCs w:val="20"/>
              </w:rPr>
              <w:t>IRRF - REMUNERAÇÃO SERVIÇOS PRESTADOS POR PESSOA JURÍDICA</w:t>
            </w:r>
          </w:p>
        </w:tc>
        <w:tc>
          <w:tcPr>
            <w:tcW w:w="1479" w:type="dxa"/>
          </w:tcPr>
          <w:p w:rsidR="00183B73" w:rsidRPr="00FA3856" w:rsidRDefault="00183B73" w:rsidP="00183B73">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Não</w:t>
            </w:r>
          </w:p>
        </w:tc>
        <w:tc>
          <w:tcPr>
            <w:tcW w:w="1479" w:type="dxa"/>
          </w:tcPr>
          <w:p w:rsidR="00183B73" w:rsidRPr="00FA3856" w:rsidRDefault="00183B73" w:rsidP="00183B73">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Sim</w:t>
            </w:r>
          </w:p>
        </w:tc>
        <w:tc>
          <w:tcPr>
            <w:tcW w:w="1479" w:type="dxa"/>
          </w:tcPr>
          <w:p w:rsidR="00183B73" w:rsidRPr="00FA3856" w:rsidRDefault="00183B73" w:rsidP="00183B73">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Não</w:t>
            </w:r>
          </w:p>
        </w:tc>
      </w:tr>
      <w:tr w:rsidR="00EC29C6" w:rsidRPr="00FA3856" w:rsidTr="003B033F">
        <w:trPr>
          <w:jc w:val="center"/>
        </w:trPr>
        <w:tc>
          <w:tcPr>
            <w:tcW w:w="980" w:type="dxa"/>
            <w:vAlign w:val="bottom"/>
          </w:tcPr>
          <w:p w:rsidR="00EC29C6" w:rsidRPr="00FA3856" w:rsidRDefault="00EC29C6" w:rsidP="003B033F">
            <w:pPr>
              <w:rPr>
                <w:color w:val="000000"/>
                <w:szCs w:val="20"/>
              </w:rPr>
            </w:pPr>
            <w:r w:rsidRPr="00FA3856">
              <w:rPr>
                <w:color w:val="000000"/>
                <w:szCs w:val="20"/>
              </w:rPr>
              <w:t>3277</w:t>
            </w:r>
          </w:p>
        </w:tc>
        <w:tc>
          <w:tcPr>
            <w:tcW w:w="10918" w:type="dxa"/>
            <w:vAlign w:val="bottom"/>
          </w:tcPr>
          <w:p w:rsidR="00EC29C6" w:rsidRPr="00FA3856" w:rsidRDefault="00EC29C6" w:rsidP="003B033F">
            <w:pPr>
              <w:rPr>
                <w:color w:val="000000"/>
                <w:szCs w:val="20"/>
              </w:rPr>
            </w:pPr>
            <w:r w:rsidRPr="00FA3856">
              <w:rPr>
                <w:color w:val="000000"/>
                <w:szCs w:val="20"/>
              </w:rPr>
              <w:t>IRRF - RENDIMENTOS DE PARTES BENEFICIÁRIAS OU DE FUNDADOR</w:t>
            </w:r>
          </w:p>
        </w:tc>
        <w:tc>
          <w:tcPr>
            <w:tcW w:w="1479" w:type="dxa"/>
          </w:tcPr>
          <w:p w:rsidR="00EC29C6" w:rsidRPr="00FA3856" w:rsidRDefault="00EC29C6" w:rsidP="003B033F">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Não</w:t>
            </w:r>
          </w:p>
        </w:tc>
        <w:tc>
          <w:tcPr>
            <w:tcW w:w="1479" w:type="dxa"/>
          </w:tcPr>
          <w:p w:rsidR="00EC29C6" w:rsidRPr="00FA3856" w:rsidRDefault="00EC29C6" w:rsidP="003B033F">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Sim</w:t>
            </w:r>
          </w:p>
        </w:tc>
        <w:tc>
          <w:tcPr>
            <w:tcW w:w="1479" w:type="dxa"/>
          </w:tcPr>
          <w:p w:rsidR="00EC29C6" w:rsidRPr="00FA3856" w:rsidRDefault="00EC29C6" w:rsidP="003B033F">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Não</w:t>
            </w:r>
          </w:p>
        </w:tc>
      </w:tr>
      <w:tr w:rsidR="00183B73" w:rsidRPr="00FA3856" w:rsidTr="00350DBA">
        <w:trPr>
          <w:jc w:val="center"/>
        </w:trPr>
        <w:tc>
          <w:tcPr>
            <w:tcW w:w="980" w:type="dxa"/>
            <w:vAlign w:val="bottom"/>
          </w:tcPr>
          <w:p w:rsidR="00183B73" w:rsidRPr="00FA3856" w:rsidRDefault="00EC29C6" w:rsidP="00183B73">
            <w:pPr>
              <w:rPr>
                <w:color w:val="000000"/>
                <w:szCs w:val="20"/>
              </w:rPr>
            </w:pPr>
            <w:r>
              <w:rPr>
                <w:color w:val="000000"/>
                <w:szCs w:val="20"/>
              </w:rPr>
              <w:t>3280</w:t>
            </w:r>
          </w:p>
        </w:tc>
        <w:tc>
          <w:tcPr>
            <w:tcW w:w="10918" w:type="dxa"/>
            <w:vAlign w:val="bottom"/>
          </w:tcPr>
          <w:p w:rsidR="00183B73" w:rsidRPr="00FA3856" w:rsidRDefault="00EC29C6" w:rsidP="00183B73">
            <w:pPr>
              <w:rPr>
                <w:color w:val="000000"/>
                <w:szCs w:val="20"/>
              </w:rPr>
            </w:pPr>
            <w:r>
              <w:rPr>
                <w:color w:val="000000"/>
                <w:szCs w:val="20"/>
              </w:rPr>
              <w:t xml:space="preserve">IRRF - </w:t>
            </w:r>
            <w:r w:rsidRPr="00EC29C6">
              <w:rPr>
                <w:color w:val="000000"/>
                <w:szCs w:val="20"/>
              </w:rPr>
              <w:t>REMUNERAÇÃO SOBRE SERVIÇOS PRESTADOS POR ASSOC. DE COOPERATIVA DE TRABALHO</w:t>
            </w:r>
          </w:p>
        </w:tc>
        <w:tc>
          <w:tcPr>
            <w:tcW w:w="1479" w:type="dxa"/>
          </w:tcPr>
          <w:p w:rsidR="00183B73" w:rsidRPr="00FA3856" w:rsidRDefault="00183B73" w:rsidP="00183B73">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Não</w:t>
            </w:r>
          </w:p>
        </w:tc>
        <w:tc>
          <w:tcPr>
            <w:tcW w:w="1479" w:type="dxa"/>
          </w:tcPr>
          <w:p w:rsidR="00183B73" w:rsidRPr="00FA3856" w:rsidRDefault="00183B73" w:rsidP="00183B73">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Sim</w:t>
            </w:r>
          </w:p>
        </w:tc>
        <w:tc>
          <w:tcPr>
            <w:tcW w:w="1479" w:type="dxa"/>
          </w:tcPr>
          <w:p w:rsidR="00183B73" w:rsidRPr="00FA3856" w:rsidRDefault="00183B73" w:rsidP="00183B73">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Não</w:t>
            </w:r>
          </w:p>
        </w:tc>
      </w:tr>
      <w:tr w:rsidR="00183B73" w:rsidRPr="00FA3856" w:rsidTr="00350DBA">
        <w:trPr>
          <w:jc w:val="center"/>
        </w:trPr>
        <w:tc>
          <w:tcPr>
            <w:tcW w:w="980" w:type="dxa"/>
            <w:vAlign w:val="bottom"/>
          </w:tcPr>
          <w:p w:rsidR="00183B73" w:rsidRPr="00FA3856" w:rsidRDefault="00183B73" w:rsidP="00183B73">
            <w:pPr>
              <w:rPr>
                <w:color w:val="000000"/>
                <w:szCs w:val="20"/>
              </w:rPr>
            </w:pPr>
            <w:r w:rsidRPr="00FA3856">
              <w:rPr>
                <w:color w:val="000000"/>
                <w:szCs w:val="20"/>
              </w:rPr>
              <w:t>3426</w:t>
            </w:r>
          </w:p>
        </w:tc>
        <w:tc>
          <w:tcPr>
            <w:tcW w:w="10918" w:type="dxa"/>
            <w:vAlign w:val="bottom"/>
          </w:tcPr>
          <w:p w:rsidR="00183B73" w:rsidRPr="00FA3856" w:rsidRDefault="00183B73" w:rsidP="00183B73">
            <w:pPr>
              <w:rPr>
                <w:color w:val="000000"/>
                <w:szCs w:val="20"/>
              </w:rPr>
            </w:pPr>
            <w:r w:rsidRPr="00FA3856">
              <w:rPr>
                <w:color w:val="000000"/>
                <w:szCs w:val="20"/>
              </w:rPr>
              <w:t>IRRF - APLICAÇÕES FINANCEIRAS DE RENDA FIXA - PESSOA JURÍDICA</w:t>
            </w:r>
          </w:p>
        </w:tc>
        <w:tc>
          <w:tcPr>
            <w:tcW w:w="1479" w:type="dxa"/>
          </w:tcPr>
          <w:p w:rsidR="00183B73" w:rsidRPr="00FA3856" w:rsidRDefault="00183B73" w:rsidP="00183B73">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Não</w:t>
            </w:r>
          </w:p>
        </w:tc>
        <w:tc>
          <w:tcPr>
            <w:tcW w:w="1479" w:type="dxa"/>
          </w:tcPr>
          <w:p w:rsidR="00183B73" w:rsidRPr="00FA3856" w:rsidRDefault="00183B73" w:rsidP="00183B73">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Sim</w:t>
            </w:r>
          </w:p>
        </w:tc>
        <w:tc>
          <w:tcPr>
            <w:tcW w:w="1479" w:type="dxa"/>
          </w:tcPr>
          <w:p w:rsidR="00183B73" w:rsidRPr="00FA3856" w:rsidRDefault="00183B73" w:rsidP="00183B73">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Não</w:t>
            </w:r>
          </w:p>
        </w:tc>
      </w:tr>
      <w:tr w:rsidR="00183B73" w:rsidRPr="00FA3856" w:rsidTr="00350DBA">
        <w:trPr>
          <w:jc w:val="center"/>
        </w:trPr>
        <w:tc>
          <w:tcPr>
            <w:tcW w:w="980" w:type="dxa"/>
            <w:vAlign w:val="bottom"/>
          </w:tcPr>
          <w:p w:rsidR="00183B73" w:rsidRPr="00FA3856" w:rsidRDefault="00183B73" w:rsidP="00183B73">
            <w:pPr>
              <w:rPr>
                <w:color w:val="000000"/>
                <w:szCs w:val="20"/>
              </w:rPr>
            </w:pPr>
            <w:r w:rsidRPr="00FA3856">
              <w:rPr>
                <w:color w:val="000000"/>
                <w:szCs w:val="20"/>
              </w:rPr>
              <w:t>5204</w:t>
            </w:r>
          </w:p>
        </w:tc>
        <w:tc>
          <w:tcPr>
            <w:tcW w:w="10918" w:type="dxa"/>
            <w:vAlign w:val="bottom"/>
          </w:tcPr>
          <w:p w:rsidR="00183B73" w:rsidRPr="00FA3856" w:rsidRDefault="00183B73" w:rsidP="00183B73">
            <w:pPr>
              <w:rPr>
                <w:color w:val="000000"/>
                <w:szCs w:val="20"/>
              </w:rPr>
            </w:pPr>
            <w:r w:rsidRPr="00FA3856">
              <w:rPr>
                <w:color w:val="000000"/>
                <w:szCs w:val="20"/>
              </w:rPr>
              <w:t>IRRF - JUROS INDENIZAÇÕES LUCROS CESSANTES</w:t>
            </w:r>
          </w:p>
        </w:tc>
        <w:tc>
          <w:tcPr>
            <w:tcW w:w="1479" w:type="dxa"/>
          </w:tcPr>
          <w:p w:rsidR="00183B73" w:rsidRPr="00FA3856" w:rsidRDefault="00183B73" w:rsidP="00183B73">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Não</w:t>
            </w:r>
          </w:p>
        </w:tc>
        <w:tc>
          <w:tcPr>
            <w:tcW w:w="1479" w:type="dxa"/>
          </w:tcPr>
          <w:p w:rsidR="00183B73" w:rsidRPr="00FA3856" w:rsidRDefault="00183B73" w:rsidP="00183B73">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Sim</w:t>
            </w:r>
          </w:p>
        </w:tc>
        <w:tc>
          <w:tcPr>
            <w:tcW w:w="1479" w:type="dxa"/>
          </w:tcPr>
          <w:p w:rsidR="00183B73" w:rsidRPr="00FA3856" w:rsidRDefault="00183B73" w:rsidP="00183B73">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Não</w:t>
            </w:r>
          </w:p>
        </w:tc>
      </w:tr>
      <w:tr w:rsidR="00183B73" w:rsidRPr="00FA3856" w:rsidTr="00350DBA">
        <w:trPr>
          <w:jc w:val="center"/>
        </w:trPr>
        <w:tc>
          <w:tcPr>
            <w:tcW w:w="980" w:type="dxa"/>
            <w:vAlign w:val="bottom"/>
          </w:tcPr>
          <w:p w:rsidR="00183B73" w:rsidRPr="00FA3856" w:rsidRDefault="00183B73" w:rsidP="00183B73">
            <w:pPr>
              <w:rPr>
                <w:color w:val="000000"/>
                <w:szCs w:val="20"/>
              </w:rPr>
            </w:pPr>
            <w:r w:rsidRPr="00FA3856">
              <w:rPr>
                <w:color w:val="000000"/>
                <w:szCs w:val="20"/>
              </w:rPr>
              <w:lastRenderedPageBreak/>
              <w:t>5232</w:t>
            </w:r>
          </w:p>
        </w:tc>
        <w:tc>
          <w:tcPr>
            <w:tcW w:w="10918" w:type="dxa"/>
            <w:vAlign w:val="bottom"/>
          </w:tcPr>
          <w:p w:rsidR="00183B73" w:rsidRPr="00FA3856" w:rsidRDefault="00183B73" w:rsidP="00183B73">
            <w:pPr>
              <w:rPr>
                <w:color w:val="000000"/>
                <w:szCs w:val="20"/>
              </w:rPr>
            </w:pPr>
            <w:r w:rsidRPr="00FA3856">
              <w:rPr>
                <w:color w:val="000000"/>
                <w:szCs w:val="20"/>
              </w:rPr>
              <w:t>IRRF - APLICAÇÕES FINANCEIRAS EM FUNDOS DE INVESTIMENTO IMOBILIÁRIOS</w:t>
            </w:r>
          </w:p>
        </w:tc>
        <w:tc>
          <w:tcPr>
            <w:tcW w:w="1479" w:type="dxa"/>
          </w:tcPr>
          <w:p w:rsidR="00183B73" w:rsidRPr="00FA3856" w:rsidRDefault="00183B73" w:rsidP="00183B73">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Não</w:t>
            </w:r>
          </w:p>
        </w:tc>
        <w:tc>
          <w:tcPr>
            <w:tcW w:w="1479" w:type="dxa"/>
          </w:tcPr>
          <w:p w:rsidR="00183B73" w:rsidRPr="00FA3856" w:rsidRDefault="00183B73" w:rsidP="00183B73">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Sim</w:t>
            </w:r>
          </w:p>
        </w:tc>
        <w:tc>
          <w:tcPr>
            <w:tcW w:w="1479" w:type="dxa"/>
          </w:tcPr>
          <w:p w:rsidR="00183B73" w:rsidRPr="00FA3856" w:rsidRDefault="00183B73" w:rsidP="00183B73">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Não</w:t>
            </w:r>
          </w:p>
        </w:tc>
      </w:tr>
      <w:tr w:rsidR="00183B73" w:rsidRPr="00FA3856" w:rsidTr="00350DBA">
        <w:trPr>
          <w:jc w:val="center"/>
        </w:trPr>
        <w:tc>
          <w:tcPr>
            <w:tcW w:w="980" w:type="dxa"/>
            <w:vAlign w:val="bottom"/>
          </w:tcPr>
          <w:p w:rsidR="00183B73" w:rsidRPr="00FA3856" w:rsidRDefault="00183B73" w:rsidP="00183B73">
            <w:pPr>
              <w:rPr>
                <w:color w:val="000000"/>
                <w:szCs w:val="20"/>
              </w:rPr>
            </w:pPr>
            <w:r w:rsidRPr="00FA3856">
              <w:rPr>
                <w:color w:val="000000"/>
                <w:szCs w:val="20"/>
              </w:rPr>
              <w:t>5273</w:t>
            </w:r>
          </w:p>
        </w:tc>
        <w:tc>
          <w:tcPr>
            <w:tcW w:w="10918" w:type="dxa"/>
            <w:vAlign w:val="bottom"/>
          </w:tcPr>
          <w:p w:rsidR="00183B73" w:rsidRPr="00FA3856" w:rsidRDefault="00183B73" w:rsidP="00183B73">
            <w:pPr>
              <w:rPr>
                <w:color w:val="000000"/>
                <w:szCs w:val="20"/>
              </w:rPr>
            </w:pPr>
            <w:r w:rsidRPr="00FA3856">
              <w:rPr>
                <w:color w:val="000000"/>
                <w:szCs w:val="20"/>
              </w:rPr>
              <w:t>IRRF - OPERAÇÕES DE SWAP (ART. 74 L 8981/95)</w:t>
            </w:r>
          </w:p>
        </w:tc>
        <w:tc>
          <w:tcPr>
            <w:tcW w:w="1479" w:type="dxa"/>
          </w:tcPr>
          <w:p w:rsidR="00183B73" w:rsidRPr="00FA3856" w:rsidRDefault="00183B73" w:rsidP="00183B73">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Não</w:t>
            </w:r>
          </w:p>
        </w:tc>
        <w:tc>
          <w:tcPr>
            <w:tcW w:w="1479" w:type="dxa"/>
          </w:tcPr>
          <w:p w:rsidR="00183B73" w:rsidRPr="00FA3856" w:rsidRDefault="00183B73" w:rsidP="00183B73">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Sim</w:t>
            </w:r>
          </w:p>
        </w:tc>
        <w:tc>
          <w:tcPr>
            <w:tcW w:w="1479" w:type="dxa"/>
          </w:tcPr>
          <w:p w:rsidR="00183B73" w:rsidRPr="00FA3856" w:rsidRDefault="00183B73" w:rsidP="00183B73">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Não</w:t>
            </w:r>
          </w:p>
        </w:tc>
      </w:tr>
      <w:tr w:rsidR="00183B73" w:rsidRPr="00FA3856" w:rsidTr="00350DBA">
        <w:trPr>
          <w:jc w:val="center"/>
        </w:trPr>
        <w:tc>
          <w:tcPr>
            <w:tcW w:w="980" w:type="dxa"/>
            <w:vAlign w:val="bottom"/>
          </w:tcPr>
          <w:p w:rsidR="00183B73" w:rsidRPr="00FA3856" w:rsidRDefault="00183B73" w:rsidP="00183B73">
            <w:pPr>
              <w:rPr>
                <w:color w:val="000000"/>
                <w:szCs w:val="20"/>
              </w:rPr>
            </w:pPr>
            <w:r w:rsidRPr="00FA3856">
              <w:rPr>
                <w:color w:val="000000"/>
                <w:szCs w:val="20"/>
              </w:rPr>
              <w:t>5557</w:t>
            </w:r>
          </w:p>
        </w:tc>
        <w:tc>
          <w:tcPr>
            <w:tcW w:w="10918" w:type="dxa"/>
            <w:vAlign w:val="bottom"/>
          </w:tcPr>
          <w:p w:rsidR="00183B73" w:rsidRPr="00FA3856" w:rsidRDefault="00183B73" w:rsidP="00183B73">
            <w:pPr>
              <w:rPr>
                <w:color w:val="000000"/>
                <w:szCs w:val="20"/>
              </w:rPr>
            </w:pPr>
            <w:r w:rsidRPr="00FA3856">
              <w:rPr>
                <w:color w:val="000000"/>
                <w:szCs w:val="20"/>
              </w:rPr>
              <w:t>IRRF - GANHOS LÍQUIDOS EM OPERAÇÕES EM BOLSAS E ASSEMELHADOS</w:t>
            </w:r>
          </w:p>
        </w:tc>
        <w:tc>
          <w:tcPr>
            <w:tcW w:w="1479" w:type="dxa"/>
          </w:tcPr>
          <w:p w:rsidR="00183B73" w:rsidRPr="00FA3856" w:rsidRDefault="00183B73" w:rsidP="00183B73">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Não</w:t>
            </w:r>
          </w:p>
        </w:tc>
        <w:tc>
          <w:tcPr>
            <w:tcW w:w="1479" w:type="dxa"/>
          </w:tcPr>
          <w:p w:rsidR="00183B73" w:rsidRPr="00FA3856" w:rsidRDefault="00183B73" w:rsidP="00183B73">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Sim</w:t>
            </w:r>
          </w:p>
        </w:tc>
        <w:tc>
          <w:tcPr>
            <w:tcW w:w="1479" w:type="dxa"/>
          </w:tcPr>
          <w:p w:rsidR="00183B73" w:rsidRPr="00FA3856" w:rsidRDefault="00183B73" w:rsidP="00183B73">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Não</w:t>
            </w:r>
          </w:p>
        </w:tc>
      </w:tr>
      <w:tr w:rsidR="00183B73" w:rsidRPr="00FA3856" w:rsidTr="00350DBA">
        <w:trPr>
          <w:jc w:val="center"/>
        </w:trPr>
        <w:tc>
          <w:tcPr>
            <w:tcW w:w="980" w:type="dxa"/>
            <w:vAlign w:val="bottom"/>
          </w:tcPr>
          <w:p w:rsidR="00183B73" w:rsidRPr="00FA3856" w:rsidRDefault="00183B73" w:rsidP="00183B73">
            <w:pPr>
              <w:rPr>
                <w:color w:val="000000"/>
                <w:szCs w:val="20"/>
              </w:rPr>
            </w:pPr>
            <w:r w:rsidRPr="00FA3856">
              <w:rPr>
                <w:color w:val="000000"/>
                <w:szCs w:val="20"/>
              </w:rPr>
              <w:t>5706</w:t>
            </w:r>
          </w:p>
        </w:tc>
        <w:tc>
          <w:tcPr>
            <w:tcW w:w="10918" w:type="dxa"/>
            <w:vAlign w:val="bottom"/>
          </w:tcPr>
          <w:p w:rsidR="00183B73" w:rsidRPr="00FA3856" w:rsidRDefault="00183B73" w:rsidP="00183B73">
            <w:pPr>
              <w:rPr>
                <w:color w:val="000000"/>
                <w:szCs w:val="20"/>
              </w:rPr>
            </w:pPr>
            <w:r w:rsidRPr="00FA3856">
              <w:rPr>
                <w:color w:val="000000"/>
                <w:szCs w:val="20"/>
              </w:rPr>
              <w:t>IRRF - JUROS SOBRE O CAPITAL PRÓPRIO</w:t>
            </w:r>
          </w:p>
        </w:tc>
        <w:tc>
          <w:tcPr>
            <w:tcW w:w="1479" w:type="dxa"/>
          </w:tcPr>
          <w:p w:rsidR="00183B73" w:rsidRPr="00FA3856" w:rsidRDefault="00183B73" w:rsidP="00183B73">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Não</w:t>
            </w:r>
          </w:p>
        </w:tc>
        <w:tc>
          <w:tcPr>
            <w:tcW w:w="1479" w:type="dxa"/>
          </w:tcPr>
          <w:p w:rsidR="00183B73" w:rsidRPr="00FA3856" w:rsidRDefault="00183B73" w:rsidP="00183B73">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Sim</w:t>
            </w:r>
          </w:p>
        </w:tc>
        <w:tc>
          <w:tcPr>
            <w:tcW w:w="1479" w:type="dxa"/>
          </w:tcPr>
          <w:p w:rsidR="00183B73" w:rsidRPr="00FA3856" w:rsidRDefault="00183B73" w:rsidP="00183B73">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Não</w:t>
            </w:r>
          </w:p>
        </w:tc>
      </w:tr>
      <w:tr w:rsidR="00183B73" w:rsidRPr="00FA3856" w:rsidTr="00350DBA">
        <w:trPr>
          <w:jc w:val="center"/>
        </w:trPr>
        <w:tc>
          <w:tcPr>
            <w:tcW w:w="980" w:type="dxa"/>
            <w:vAlign w:val="bottom"/>
          </w:tcPr>
          <w:p w:rsidR="00183B73" w:rsidRPr="00FA3856" w:rsidRDefault="00183B73" w:rsidP="00183B73">
            <w:pPr>
              <w:rPr>
                <w:color w:val="000000"/>
                <w:szCs w:val="20"/>
              </w:rPr>
            </w:pPr>
            <w:r w:rsidRPr="00FA3856">
              <w:rPr>
                <w:color w:val="000000"/>
                <w:szCs w:val="20"/>
              </w:rPr>
              <w:t>5952</w:t>
            </w:r>
          </w:p>
        </w:tc>
        <w:tc>
          <w:tcPr>
            <w:tcW w:w="10918" w:type="dxa"/>
            <w:vAlign w:val="bottom"/>
          </w:tcPr>
          <w:p w:rsidR="00183B73" w:rsidRPr="00FA3856" w:rsidRDefault="00183B73" w:rsidP="00183B73">
            <w:pPr>
              <w:rPr>
                <w:color w:val="000000"/>
                <w:szCs w:val="20"/>
              </w:rPr>
            </w:pPr>
            <w:r w:rsidRPr="00FA3856">
              <w:rPr>
                <w:color w:val="000000"/>
                <w:szCs w:val="20"/>
              </w:rPr>
              <w:t>RETENÇÃO CONTRIBUIÇÕES PAGT DE PJ A PJ DIR PRIV - CSLL/COFINS/PIS</w:t>
            </w:r>
          </w:p>
        </w:tc>
        <w:tc>
          <w:tcPr>
            <w:tcW w:w="1479" w:type="dxa"/>
          </w:tcPr>
          <w:p w:rsidR="00183B73" w:rsidRPr="00FA3856" w:rsidRDefault="00183B73" w:rsidP="00183B73">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Não</w:t>
            </w:r>
          </w:p>
        </w:tc>
        <w:tc>
          <w:tcPr>
            <w:tcW w:w="1479" w:type="dxa"/>
          </w:tcPr>
          <w:p w:rsidR="00183B73" w:rsidRPr="00FA3856" w:rsidRDefault="00183B73" w:rsidP="00183B73">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Não</w:t>
            </w:r>
          </w:p>
        </w:tc>
        <w:tc>
          <w:tcPr>
            <w:tcW w:w="1479" w:type="dxa"/>
          </w:tcPr>
          <w:p w:rsidR="00183B73" w:rsidRPr="00FA3856" w:rsidRDefault="00183B73" w:rsidP="00183B73">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Sim</w:t>
            </w:r>
          </w:p>
        </w:tc>
      </w:tr>
      <w:tr w:rsidR="00183B73" w:rsidRPr="00FA3856" w:rsidTr="00350DBA">
        <w:trPr>
          <w:jc w:val="center"/>
        </w:trPr>
        <w:tc>
          <w:tcPr>
            <w:tcW w:w="980" w:type="dxa"/>
            <w:vAlign w:val="bottom"/>
          </w:tcPr>
          <w:p w:rsidR="00183B73" w:rsidRPr="00FA3856" w:rsidRDefault="00183B73" w:rsidP="00183B73">
            <w:pPr>
              <w:rPr>
                <w:color w:val="000000"/>
                <w:szCs w:val="20"/>
              </w:rPr>
            </w:pPr>
            <w:r w:rsidRPr="00FA3856">
              <w:rPr>
                <w:color w:val="000000"/>
                <w:szCs w:val="20"/>
              </w:rPr>
              <w:t>5987</w:t>
            </w:r>
          </w:p>
        </w:tc>
        <w:tc>
          <w:tcPr>
            <w:tcW w:w="10918" w:type="dxa"/>
            <w:vAlign w:val="bottom"/>
          </w:tcPr>
          <w:p w:rsidR="00183B73" w:rsidRPr="00FA3856" w:rsidRDefault="00183B73" w:rsidP="00183B73">
            <w:pPr>
              <w:rPr>
                <w:color w:val="000000"/>
                <w:szCs w:val="20"/>
              </w:rPr>
            </w:pPr>
            <w:r w:rsidRPr="00FA3856">
              <w:rPr>
                <w:color w:val="000000"/>
                <w:szCs w:val="20"/>
              </w:rPr>
              <w:t>CSLL - RETENÇÃO PAGAMENTOS DE PJ A PJ DIREITO PRIVADO</w:t>
            </w:r>
          </w:p>
        </w:tc>
        <w:tc>
          <w:tcPr>
            <w:tcW w:w="1479" w:type="dxa"/>
          </w:tcPr>
          <w:p w:rsidR="00183B73" w:rsidRPr="00FA3856" w:rsidRDefault="00183B73" w:rsidP="00183B73">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Não</w:t>
            </w:r>
          </w:p>
        </w:tc>
        <w:tc>
          <w:tcPr>
            <w:tcW w:w="1479" w:type="dxa"/>
          </w:tcPr>
          <w:p w:rsidR="00183B73" w:rsidRPr="00FA3856" w:rsidRDefault="00183B73" w:rsidP="00183B73">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Não</w:t>
            </w:r>
          </w:p>
        </w:tc>
        <w:tc>
          <w:tcPr>
            <w:tcW w:w="1479" w:type="dxa"/>
          </w:tcPr>
          <w:p w:rsidR="00183B73" w:rsidRPr="00FA3856" w:rsidRDefault="00183B73" w:rsidP="00183B73">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Sim</w:t>
            </w:r>
          </w:p>
        </w:tc>
      </w:tr>
      <w:tr w:rsidR="00183B73" w:rsidRPr="00FA3856" w:rsidTr="00350DBA">
        <w:trPr>
          <w:jc w:val="center"/>
        </w:trPr>
        <w:tc>
          <w:tcPr>
            <w:tcW w:w="980" w:type="dxa"/>
            <w:vAlign w:val="bottom"/>
          </w:tcPr>
          <w:p w:rsidR="00183B73" w:rsidRPr="00FA3856" w:rsidRDefault="00183B73" w:rsidP="00183B73">
            <w:pPr>
              <w:rPr>
                <w:color w:val="000000"/>
                <w:szCs w:val="20"/>
              </w:rPr>
            </w:pPr>
            <w:r w:rsidRPr="00FA3856">
              <w:rPr>
                <w:color w:val="000000"/>
                <w:szCs w:val="20"/>
              </w:rPr>
              <w:t>6800</w:t>
            </w:r>
          </w:p>
        </w:tc>
        <w:tc>
          <w:tcPr>
            <w:tcW w:w="10918" w:type="dxa"/>
            <w:vAlign w:val="bottom"/>
          </w:tcPr>
          <w:p w:rsidR="00183B73" w:rsidRPr="00FA3856" w:rsidRDefault="00183B73" w:rsidP="00183B73">
            <w:pPr>
              <w:rPr>
                <w:color w:val="000000"/>
                <w:szCs w:val="20"/>
              </w:rPr>
            </w:pPr>
            <w:r w:rsidRPr="00FA3856">
              <w:rPr>
                <w:color w:val="000000"/>
                <w:szCs w:val="20"/>
              </w:rPr>
              <w:t>IRRF - APLICAÇÕES FINANCEIRAS EM FUNDOS DE INVESTIMENTO DE RENDA FIXA</w:t>
            </w:r>
          </w:p>
        </w:tc>
        <w:tc>
          <w:tcPr>
            <w:tcW w:w="1479" w:type="dxa"/>
          </w:tcPr>
          <w:p w:rsidR="00183B73" w:rsidRPr="00FA3856" w:rsidRDefault="00183B73" w:rsidP="00183B73">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Não</w:t>
            </w:r>
          </w:p>
        </w:tc>
        <w:tc>
          <w:tcPr>
            <w:tcW w:w="1479" w:type="dxa"/>
          </w:tcPr>
          <w:p w:rsidR="00183B73" w:rsidRPr="00FA3856" w:rsidRDefault="00183B73" w:rsidP="00183B73">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Sim</w:t>
            </w:r>
          </w:p>
        </w:tc>
        <w:tc>
          <w:tcPr>
            <w:tcW w:w="1479" w:type="dxa"/>
          </w:tcPr>
          <w:p w:rsidR="00183B73" w:rsidRPr="00FA3856" w:rsidRDefault="00183B73" w:rsidP="00183B73">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Não</w:t>
            </w:r>
          </w:p>
        </w:tc>
      </w:tr>
      <w:tr w:rsidR="00183B73" w:rsidRPr="00FA3856" w:rsidTr="00350DBA">
        <w:trPr>
          <w:jc w:val="center"/>
        </w:trPr>
        <w:tc>
          <w:tcPr>
            <w:tcW w:w="980" w:type="dxa"/>
            <w:vAlign w:val="bottom"/>
          </w:tcPr>
          <w:p w:rsidR="00183B73" w:rsidRPr="00FA3856" w:rsidRDefault="00183B73" w:rsidP="00183B73">
            <w:pPr>
              <w:rPr>
                <w:color w:val="000000"/>
                <w:szCs w:val="20"/>
              </w:rPr>
            </w:pPr>
            <w:r w:rsidRPr="00FA3856">
              <w:rPr>
                <w:color w:val="000000"/>
                <w:szCs w:val="20"/>
              </w:rPr>
              <w:t>6813</w:t>
            </w:r>
          </w:p>
        </w:tc>
        <w:tc>
          <w:tcPr>
            <w:tcW w:w="10918" w:type="dxa"/>
            <w:vAlign w:val="bottom"/>
          </w:tcPr>
          <w:p w:rsidR="00183B73" w:rsidRPr="00FA3856" w:rsidRDefault="00183B73" w:rsidP="00183B73">
            <w:pPr>
              <w:rPr>
                <w:color w:val="000000"/>
                <w:szCs w:val="20"/>
              </w:rPr>
            </w:pPr>
            <w:r w:rsidRPr="00FA3856">
              <w:rPr>
                <w:color w:val="000000"/>
                <w:szCs w:val="20"/>
              </w:rPr>
              <w:t>IRRF - FUNDOS DE INVESTIMENTO - AÇÕES</w:t>
            </w:r>
          </w:p>
        </w:tc>
        <w:tc>
          <w:tcPr>
            <w:tcW w:w="1479" w:type="dxa"/>
          </w:tcPr>
          <w:p w:rsidR="00183B73" w:rsidRPr="00FA3856" w:rsidRDefault="00183B73" w:rsidP="00183B73">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Não</w:t>
            </w:r>
          </w:p>
        </w:tc>
        <w:tc>
          <w:tcPr>
            <w:tcW w:w="1479" w:type="dxa"/>
          </w:tcPr>
          <w:p w:rsidR="00183B73" w:rsidRPr="00FA3856" w:rsidRDefault="00183B73" w:rsidP="00183B73">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Sim</w:t>
            </w:r>
          </w:p>
        </w:tc>
        <w:tc>
          <w:tcPr>
            <w:tcW w:w="1479" w:type="dxa"/>
          </w:tcPr>
          <w:p w:rsidR="00183B73" w:rsidRPr="00FA3856" w:rsidRDefault="00183B73" w:rsidP="00183B73">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Não</w:t>
            </w:r>
          </w:p>
        </w:tc>
      </w:tr>
      <w:tr w:rsidR="00183B73" w:rsidRPr="00FA3856" w:rsidTr="00350DBA">
        <w:trPr>
          <w:jc w:val="center"/>
        </w:trPr>
        <w:tc>
          <w:tcPr>
            <w:tcW w:w="980" w:type="dxa"/>
            <w:vAlign w:val="bottom"/>
          </w:tcPr>
          <w:p w:rsidR="00183B73" w:rsidRPr="00FA3856" w:rsidRDefault="00183B73" w:rsidP="00183B73">
            <w:pPr>
              <w:rPr>
                <w:color w:val="000000"/>
                <w:szCs w:val="20"/>
              </w:rPr>
            </w:pPr>
            <w:r w:rsidRPr="00FA3856">
              <w:rPr>
                <w:color w:val="000000"/>
                <w:szCs w:val="20"/>
              </w:rPr>
              <w:t>8045</w:t>
            </w:r>
          </w:p>
        </w:tc>
        <w:tc>
          <w:tcPr>
            <w:tcW w:w="10918" w:type="dxa"/>
            <w:vAlign w:val="bottom"/>
          </w:tcPr>
          <w:p w:rsidR="00183B73" w:rsidRPr="00FA3856" w:rsidRDefault="00183B73" w:rsidP="00183B73">
            <w:pPr>
              <w:rPr>
                <w:color w:val="000000"/>
                <w:szCs w:val="20"/>
              </w:rPr>
            </w:pPr>
            <w:r w:rsidRPr="00FA3856">
              <w:rPr>
                <w:color w:val="000000"/>
                <w:szCs w:val="20"/>
              </w:rPr>
              <w:t>IRRF - OUTROS RENDIMENTOS</w:t>
            </w:r>
          </w:p>
        </w:tc>
        <w:tc>
          <w:tcPr>
            <w:tcW w:w="1479" w:type="dxa"/>
          </w:tcPr>
          <w:p w:rsidR="00183B73" w:rsidRPr="00FA3856" w:rsidRDefault="00183B73" w:rsidP="00183B73">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Não</w:t>
            </w:r>
          </w:p>
        </w:tc>
        <w:tc>
          <w:tcPr>
            <w:tcW w:w="1479" w:type="dxa"/>
          </w:tcPr>
          <w:p w:rsidR="00183B73" w:rsidRPr="00FA3856" w:rsidRDefault="00183B73" w:rsidP="00183B73">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Sim</w:t>
            </w:r>
          </w:p>
        </w:tc>
        <w:tc>
          <w:tcPr>
            <w:tcW w:w="1479" w:type="dxa"/>
          </w:tcPr>
          <w:p w:rsidR="00183B73" w:rsidRPr="00FA3856" w:rsidRDefault="00183B73" w:rsidP="00183B73">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Não</w:t>
            </w:r>
          </w:p>
        </w:tc>
      </w:tr>
      <w:tr w:rsidR="00183B73" w:rsidRPr="00FA3856" w:rsidTr="00350DBA">
        <w:trPr>
          <w:jc w:val="center"/>
        </w:trPr>
        <w:tc>
          <w:tcPr>
            <w:tcW w:w="980" w:type="dxa"/>
            <w:vAlign w:val="bottom"/>
          </w:tcPr>
          <w:p w:rsidR="00183B73" w:rsidRPr="00FA3856" w:rsidRDefault="00183B73" w:rsidP="00183B73">
            <w:pPr>
              <w:rPr>
                <w:color w:val="000000"/>
                <w:szCs w:val="20"/>
              </w:rPr>
            </w:pPr>
            <w:r w:rsidRPr="00FA3856">
              <w:rPr>
                <w:color w:val="000000"/>
                <w:szCs w:val="20"/>
              </w:rPr>
              <w:t>8468</w:t>
            </w:r>
          </w:p>
        </w:tc>
        <w:tc>
          <w:tcPr>
            <w:tcW w:w="10918" w:type="dxa"/>
            <w:vAlign w:val="bottom"/>
          </w:tcPr>
          <w:p w:rsidR="00183B73" w:rsidRPr="00FA3856" w:rsidRDefault="00183B73" w:rsidP="00183B73">
            <w:pPr>
              <w:rPr>
                <w:color w:val="000000"/>
                <w:szCs w:val="20"/>
              </w:rPr>
            </w:pPr>
            <w:r w:rsidRPr="00FA3856">
              <w:rPr>
                <w:color w:val="000000"/>
                <w:szCs w:val="20"/>
              </w:rPr>
              <w:t>IRRF - DAY-TRADE OPERAÇÕES EM BOLSA</w:t>
            </w:r>
          </w:p>
        </w:tc>
        <w:tc>
          <w:tcPr>
            <w:tcW w:w="1479" w:type="dxa"/>
          </w:tcPr>
          <w:p w:rsidR="00183B73" w:rsidRPr="00FA3856" w:rsidRDefault="00183B73" w:rsidP="00183B73">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Não</w:t>
            </w:r>
          </w:p>
        </w:tc>
        <w:tc>
          <w:tcPr>
            <w:tcW w:w="1479" w:type="dxa"/>
          </w:tcPr>
          <w:p w:rsidR="00183B73" w:rsidRPr="00FA3856" w:rsidRDefault="00183B73" w:rsidP="00183B73">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Sim</w:t>
            </w:r>
          </w:p>
        </w:tc>
        <w:tc>
          <w:tcPr>
            <w:tcW w:w="1479" w:type="dxa"/>
          </w:tcPr>
          <w:p w:rsidR="00183B73" w:rsidRPr="00FA3856" w:rsidRDefault="00183B73" w:rsidP="00183B73">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Não</w:t>
            </w:r>
          </w:p>
        </w:tc>
      </w:tr>
      <w:tr w:rsidR="00183B73" w:rsidRPr="00FA3856" w:rsidTr="00350DBA">
        <w:trPr>
          <w:jc w:val="center"/>
        </w:trPr>
        <w:tc>
          <w:tcPr>
            <w:tcW w:w="980" w:type="dxa"/>
            <w:vAlign w:val="bottom"/>
          </w:tcPr>
          <w:p w:rsidR="00183B73" w:rsidRPr="00FA3856" w:rsidRDefault="00183B73" w:rsidP="00183B73">
            <w:pPr>
              <w:rPr>
                <w:color w:val="000000"/>
                <w:szCs w:val="20"/>
              </w:rPr>
            </w:pPr>
            <w:r w:rsidRPr="00FA3856">
              <w:rPr>
                <w:color w:val="000000"/>
                <w:szCs w:val="20"/>
              </w:rPr>
              <w:t>9385</w:t>
            </w:r>
          </w:p>
        </w:tc>
        <w:tc>
          <w:tcPr>
            <w:tcW w:w="10918" w:type="dxa"/>
            <w:vAlign w:val="bottom"/>
          </w:tcPr>
          <w:p w:rsidR="00183B73" w:rsidRPr="00FA3856" w:rsidRDefault="00183B73" w:rsidP="00183B73">
            <w:pPr>
              <w:rPr>
                <w:color w:val="000000"/>
                <w:szCs w:val="20"/>
              </w:rPr>
            </w:pPr>
            <w:r w:rsidRPr="00FA3856">
              <w:rPr>
                <w:color w:val="000000"/>
                <w:szCs w:val="20"/>
              </w:rPr>
              <w:t>IRRF - MULTAS E VANTAGENS</w:t>
            </w:r>
          </w:p>
        </w:tc>
        <w:tc>
          <w:tcPr>
            <w:tcW w:w="1479" w:type="dxa"/>
          </w:tcPr>
          <w:p w:rsidR="00183B73" w:rsidRPr="00FA3856" w:rsidRDefault="00183B73" w:rsidP="00183B73">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Não</w:t>
            </w:r>
          </w:p>
        </w:tc>
        <w:tc>
          <w:tcPr>
            <w:tcW w:w="1479" w:type="dxa"/>
          </w:tcPr>
          <w:p w:rsidR="00183B73" w:rsidRPr="00FA3856" w:rsidRDefault="00183B73" w:rsidP="00183B73">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Sim</w:t>
            </w:r>
          </w:p>
        </w:tc>
        <w:tc>
          <w:tcPr>
            <w:tcW w:w="1479" w:type="dxa"/>
          </w:tcPr>
          <w:p w:rsidR="00183B73" w:rsidRPr="00FA3856" w:rsidRDefault="00183B73" w:rsidP="00183B73">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Não</w:t>
            </w:r>
          </w:p>
        </w:tc>
      </w:tr>
      <w:tr w:rsidR="00183B73" w:rsidRPr="00FA3856" w:rsidTr="00350DBA">
        <w:trPr>
          <w:jc w:val="center"/>
        </w:trPr>
        <w:tc>
          <w:tcPr>
            <w:tcW w:w="980" w:type="dxa"/>
            <w:vAlign w:val="bottom"/>
          </w:tcPr>
          <w:p w:rsidR="00183B73" w:rsidRPr="00FA3856" w:rsidRDefault="00183B73" w:rsidP="00183B73">
            <w:pPr>
              <w:rPr>
                <w:color w:val="000000"/>
                <w:szCs w:val="20"/>
              </w:rPr>
            </w:pPr>
            <w:r w:rsidRPr="00FA3856">
              <w:rPr>
                <w:color w:val="000000"/>
                <w:szCs w:val="20"/>
              </w:rPr>
              <w:t>9998</w:t>
            </w:r>
          </w:p>
        </w:tc>
        <w:tc>
          <w:tcPr>
            <w:tcW w:w="10918" w:type="dxa"/>
            <w:vAlign w:val="bottom"/>
          </w:tcPr>
          <w:p w:rsidR="00183B73" w:rsidRPr="00FA3856" w:rsidRDefault="00183B73" w:rsidP="00183B73">
            <w:pPr>
              <w:rPr>
                <w:color w:val="000000"/>
                <w:szCs w:val="20"/>
              </w:rPr>
            </w:pPr>
            <w:r w:rsidRPr="00FA3856">
              <w:rPr>
                <w:color w:val="000000"/>
                <w:szCs w:val="20"/>
              </w:rPr>
              <w:t>CSLL - OUTRAS RETENÇÕES NÃO ESPECIFICADAS ACIMA</w:t>
            </w:r>
          </w:p>
        </w:tc>
        <w:tc>
          <w:tcPr>
            <w:tcW w:w="1479" w:type="dxa"/>
          </w:tcPr>
          <w:p w:rsidR="00183B73" w:rsidRPr="00FA3856" w:rsidRDefault="00183B73" w:rsidP="00183B73">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Não</w:t>
            </w:r>
          </w:p>
        </w:tc>
        <w:tc>
          <w:tcPr>
            <w:tcW w:w="1479" w:type="dxa"/>
          </w:tcPr>
          <w:p w:rsidR="00183B73" w:rsidRPr="00FA3856" w:rsidRDefault="00183B73" w:rsidP="00183B73">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Não</w:t>
            </w:r>
          </w:p>
        </w:tc>
        <w:tc>
          <w:tcPr>
            <w:tcW w:w="1479" w:type="dxa"/>
          </w:tcPr>
          <w:p w:rsidR="00183B73" w:rsidRPr="00FA3856" w:rsidRDefault="00183B73" w:rsidP="00183B73">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Sim</w:t>
            </w:r>
          </w:p>
        </w:tc>
      </w:tr>
      <w:tr w:rsidR="00183B73" w:rsidRPr="00FA3856" w:rsidTr="00350DBA">
        <w:trPr>
          <w:jc w:val="center"/>
        </w:trPr>
        <w:tc>
          <w:tcPr>
            <w:tcW w:w="980" w:type="dxa"/>
            <w:vAlign w:val="bottom"/>
          </w:tcPr>
          <w:p w:rsidR="00183B73" w:rsidRPr="00FA3856" w:rsidRDefault="00183B73" w:rsidP="00183B73">
            <w:pPr>
              <w:rPr>
                <w:color w:val="000000"/>
                <w:szCs w:val="20"/>
              </w:rPr>
            </w:pPr>
            <w:r w:rsidRPr="00FA3856">
              <w:rPr>
                <w:color w:val="000000"/>
                <w:szCs w:val="20"/>
              </w:rPr>
              <w:t>9999</w:t>
            </w:r>
          </w:p>
        </w:tc>
        <w:tc>
          <w:tcPr>
            <w:tcW w:w="10918" w:type="dxa"/>
            <w:vAlign w:val="bottom"/>
          </w:tcPr>
          <w:p w:rsidR="00183B73" w:rsidRPr="00FA3856" w:rsidRDefault="00183B73" w:rsidP="00183B73">
            <w:pPr>
              <w:rPr>
                <w:color w:val="000000"/>
                <w:szCs w:val="20"/>
              </w:rPr>
            </w:pPr>
            <w:r w:rsidRPr="00FA3856">
              <w:rPr>
                <w:color w:val="000000"/>
                <w:szCs w:val="20"/>
              </w:rPr>
              <w:t>IRPJ - OUTRAS RETENÇÕES NÃO ESPECIFICADAS ACIMA</w:t>
            </w:r>
          </w:p>
        </w:tc>
        <w:tc>
          <w:tcPr>
            <w:tcW w:w="1479" w:type="dxa"/>
          </w:tcPr>
          <w:p w:rsidR="00183B73" w:rsidRPr="00FA3856" w:rsidRDefault="00183B73" w:rsidP="00183B73">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Não</w:t>
            </w:r>
          </w:p>
        </w:tc>
        <w:tc>
          <w:tcPr>
            <w:tcW w:w="1479" w:type="dxa"/>
          </w:tcPr>
          <w:p w:rsidR="00183B73" w:rsidRPr="00FA3856" w:rsidRDefault="00183B73" w:rsidP="00183B73">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Sim</w:t>
            </w:r>
          </w:p>
        </w:tc>
        <w:tc>
          <w:tcPr>
            <w:tcW w:w="1479" w:type="dxa"/>
          </w:tcPr>
          <w:p w:rsidR="00183B73" w:rsidRPr="00FA3856" w:rsidRDefault="00183B73" w:rsidP="00183B73">
            <w:pPr>
              <w:pStyle w:val="NormalWeb"/>
              <w:spacing w:before="0" w:after="0"/>
              <w:jc w:val="center"/>
              <w:rPr>
                <w:rFonts w:ascii="Times New Roman" w:hAnsi="Times New Roman" w:cs="Times New Roman"/>
                <w:szCs w:val="20"/>
              </w:rPr>
            </w:pPr>
            <w:r w:rsidRPr="00FA3856">
              <w:rPr>
                <w:rFonts w:ascii="Times New Roman" w:hAnsi="Times New Roman" w:cs="Times New Roman"/>
                <w:szCs w:val="20"/>
              </w:rPr>
              <w:t>Não</w:t>
            </w:r>
          </w:p>
        </w:tc>
      </w:tr>
    </w:tbl>
    <w:p w:rsidR="004A3E37" w:rsidRPr="00FA3856" w:rsidRDefault="004A3E37" w:rsidP="009A5CB5">
      <w:pPr>
        <w:rPr>
          <w:b/>
          <w:szCs w:val="20"/>
          <w:lang w:val="pt-PT"/>
        </w:rPr>
      </w:pPr>
    </w:p>
    <w:p w:rsidR="00642131" w:rsidRPr="00FA3856" w:rsidRDefault="009A5CB5" w:rsidP="009A5CB5">
      <w:pPr>
        <w:rPr>
          <w:b/>
          <w:szCs w:val="20"/>
          <w:lang w:val="pt-PT"/>
        </w:rPr>
      </w:pPr>
      <w:r w:rsidRPr="00FA3856">
        <w:rPr>
          <w:b/>
          <w:szCs w:val="20"/>
          <w:lang w:val="pt-PT"/>
        </w:rPr>
        <w:t>I – Regras de Validação de Campos:</w:t>
      </w:r>
    </w:p>
    <w:tbl>
      <w:tblPr>
        <w:tblW w:w="16370"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85"/>
        <w:gridCol w:w="1283"/>
        <w:gridCol w:w="13885"/>
        <w:gridCol w:w="717"/>
      </w:tblGrid>
      <w:tr w:rsidR="009A5CB5" w:rsidRPr="00FA3856" w:rsidTr="004A3E37">
        <w:trPr>
          <w:jc w:val="center"/>
        </w:trPr>
        <w:tc>
          <w:tcPr>
            <w:tcW w:w="485" w:type="dxa"/>
            <w:tcBorders>
              <w:top w:val="single" w:sz="6" w:space="0" w:color="auto"/>
              <w:left w:val="single" w:sz="6" w:space="0" w:color="auto"/>
              <w:bottom w:val="single" w:sz="6" w:space="0" w:color="auto"/>
              <w:right w:val="single" w:sz="6" w:space="0" w:color="auto"/>
            </w:tcBorders>
            <w:shd w:val="pct10" w:color="auto" w:fill="FFFFFF"/>
          </w:tcPr>
          <w:p w:rsidR="009A5CB5" w:rsidRPr="00FA3856" w:rsidRDefault="009A5CB5" w:rsidP="00BA16B8">
            <w:pPr>
              <w:pStyle w:val="PSDS-CorpodeTexto0"/>
              <w:jc w:val="center"/>
              <w:rPr>
                <w:rFonts w:ascii="Times New Roman" w:hAnsi="Times New Roman"/>
                <w:b/>
                <w:bCs/>
              </w:rPr>
            </w:pPr>
            <w:r w:rsidRPr="00FA3856">
              <w:rPr>
                <w:rFonts w:ascii="Times New Roman" w:hAnsi="Times New Roman"/>
                <w:b/>
                <w:bCs/>
              </w:rPr>
              <w:t>Nº</w:t>
            </w:r>
          </w:p>
        </w:tc>
        <w:tc>
          <w:tcPr>
            <w:tcW w:w="1283" w:type="dxa"/>
            <w:tcBorders>
              <w:top w:val="single" w:sz="6" w:space="0" w:color="auto"/>
              <w:left w:val="single" w:sz="6" w:space="0" w:color="auto"/>
              <w:bottom w:val="single" w:sz="6" w:space="0" w:color="auto"/>
              <w:right w:val="single" w:sz="6" w:space="0" w:color="auto"/>
            </w:tcBorders>
            <w:shd w:val="pct10" w:color="auto" w:fill="FFFFFF"/>
          </w:tcPr>
          <w:p w:rsidR="009A5CB5" w:rsidRPr="00FA3856" w:rsidRDefault="009A5CB5" w:rsidP="00BA16B8">
            <w:pPr>
              <w:pStyle w:val="PSDS-CorpodeTexto0"/>
              <w:jc w:val="center"/>
              <w:rPr>
                <w:rFonts w:ascii="Times New Roman" w:hAnsi="Times New Roman"/>
                <w:b/>
                <w:bCs/>
              </w:rPr>
            </w:pPr>
            <w:r w:rsidRPr="00FA3856">
              <w:rPr>
                <w:rFonts w:ascii="Times New Roman" w:hAnsi="Times New Roman"/>
                <w:b/>
                <w:bCs/>
              </w:rPr>
              <w:t>Campo</w:t>
            </w:r>
          </w:p>
        </w:tc>
        <w:tc>
          <w:tcPr>
            <w:tcW w:w="13885" w:type="dxa"/>
            <w:tcBorders>
              <w:top w:val="single" w:sz="6" w:space="0" w:color="auto"/>
              <w:left w:val="single" w:sz="6" w:space="0" w:color="auto"/>
              <w:bottom w:val="single" w:sz="6" w:space="0" w:color="auto"/>
              <w:right w:val="single" w:sz="6" w:space="0" w:color="auto"/>
            </w:tcBorders>
            <w:shd w:val="pct10" w:color="auto" w:fill="FFFFFF"/>
          </w:tcPr>
          <w:p w:rsidR="009A5CB5" w:rsidRPr="00FA3856" w:rsidRDefault="009A5CB5" w:rsidP="00BA16B8">
            <w:pPr>
              <w:pStyle w:val="PSDS-CorpodeTexto0"/>
              <w:jc w:val="center"/>
              <w:rPr>
                <w:rFonts w:ascii="Times New Roman" w:hAnsi="Times New Roman"/>
                <w:b/>
                <w:bCs/>
              </w:rPr>
            </w:pPr>
            <w:r w:rsidRPr="00FA3856">
              <w:rPr>
                <w:rFonts w:ascii="Times New Roman" w:hAnsi="Times New Roman"/>
                <w:b/>
                <w:bCs/>
              </w:rPr>
              <w:t>Regras de Validação do Campo</w:t>
            </w:r>
          </w:p>
        </w:tc>
        <w:tc>
          <w:tcPr>
            <w:tcW w:w="717" w:type="dxa"/>
            <w:tcBorders>
              <w:top w:val="single" w:sz="6" w:space="0" w:color="auto"/>
              <w:left w:val="single" w:sz="6" w:space="0" w:color="auto"/>
              <w:bottom w:val="single" w:sz="6" w:space="0" w:color="auto"/>
              <w:right w:val="single" w:sz="6" w:space="0" w:color="auto"/>
            </w:tcBorders>
            <w:shd w:val="pct10" w:color="auto" w:fill="FFFFFF"/>
          </w:tcPr>
          <w:p w:rsidR="009A5CB5" w:rsidRPr="00FA3856" w:rsidRDefault="009A5CB5" w:rsidP="00BA16B8">
            <w:pPr>
              <w:pStyle w:val="PSDS-CorpodeTexto0"/>
              <w:jc w:val="center"/>
              <w:rPr>
                <w:rFonts w:ascii="Times New Roman" w:hAnsi="Times New Roman"/>
                <w:b/>
                <w:bCs/>
              </w:rPr>
            </w:pPr>
            <w:r w:rsidRPr="00FA3856">
              <w:rPr>
                <w:rFonts w:ascii="Times New Roman" w:hAnsi="Times New Roman"/>
                <w:b/>
                <w:bCs/>
              </w:rPr>
              <w:t>Tipo</w:t>
            </w:r>
          </w:p>
        </w:tc>
      </w:tr>
      <w:tr w:rsidR="00B77E72" w:rsidRPr="00FA3856" w:rsidTr="004A3E37">
        <w:trPr>
          <w:jc w:val="center"/>
        </w:trPr>
        <w:tc>
          <w:tcPr>
            <w:tcW w:w="485" w:type="dxa"/>
            <w:tcBorders>
              <w:top w:val="single" w:sz="6" w:space="0" w:color="auto"/>
              <w:left w:val="single" w:sz="6" w:space="0" w:color="auto"/>
              <w:bottom w:val="single" w:sz="6" w:space="0" w:color="auto"/>
              <w:right w:val="single" w:sz="6" w:space="0" w:color="auto"/>
            </w:tcBorders>
          </w:tcPr>
          <w:p w:rsidR="00B77E72" w:rsidRPr="00FA3856" w:rsidRDefault="00B77E72" w:rsidP="00BA16B8">
            <w:pPr>
              <w:pStyle w:val="PSDS-CorpodeTexto0"/>
              <w:suppressAutoHyphens w:val="0"/>
              <w:rPr>
                <w:rFonts w:ascii="Times New Roman" w:hAnsi="Times New Roman"/>
                <w:b/>
                <w:bCs/>
                <w:lang w:val="pt-PT"/>
              </w:rPr>
            </w:pPr>
            <w:r w:rsidRPr="00FA3856">
              <w:rPr>
                <w:rFonts w:ascii="Times New Roman" w:hAnsi="Times New Roman"/>
                <w:b/>
                <w:bCs/>
                <w:lang w:val="pt-PT"/>
              </w:rPr>
              <w:t>5</w:t>
            </w:r>
          </w:p>
        </w:tc>
        <w:tc>
          <w:tcPr>
            <w:tcW w:w="1283" w:type="dxa"/>
            <w:tcBorders>
              <w:top w:val="single" w:sz="6" w:space="0" w:color="auto"/>
              <w:left w:val="single" w:sz="6" w:space="0" w:color="auto"/>
              <w:bottom w:val="single" w:sz="6" w:space="0" w:color="auto"/>
              <w:right w:val="single" w:sz="6" w:space="0" w:color="auto"/>
            </w:tcBorders>
          </w:tcPr>
          <w:p w:rsidR="00B77E72" w:rsidRPr="00FA3856" w:rsidRDefault="00B77E72" w:rsidP="00BA16B8">
            <w:pPr>
              <w:pStyle w:val="PSDS-CorpodeTexto0"/>
              <w:rPr>
                <w:rFonts w:ascii="Times New Roman" w:hAnsi="Times New Roman"/>
                <w:lang w:val="pt-PT"/>
              </w:rPr>
            </w:pPr>
            <w:r w:rsidRPr="00FA3856">
              <w:rPr>
                <w:rFonts w:ascii="Times New Roman" w:hAnsi="Times New Roman"/>
                <w:lang w:val="pt-PT"/>
              </w:rPr>
              <w:t>COD_REC</w:t>
            </w:r>
          </w:p>
        </w:tc>
        <w:tc>
          <w:tcPr>
            <w:tcW w:w="13885" w:type="dxa"/>
            <w:tcBorders>
              <w:top w:val="single" w:sz="6" w:space="0" w:color="auto"/>
              <w:left w:val="single" w:sz="6" w:space="0" w:color="auto"/>
              <w:bottom w:val="single" w:sz="6" w:space="0" w:color="auto"/>
              <w:right w:val="single" w:sz="6" w:space="0" w:color="auto"/>
            </w:tcBorders>
          </w:tcPr>
          <w:p w:rsidR="00B77E72" w:rsidRPr="00FA3856" w:rsidRDefault="00B77E72" w:rsidP="00BA16B8">
            <w:pPr>
              <w:shd w:val="clear" w:color="auto" w:fill="FFFFFF"/>
              <w:jc w:val="both"/>
              <w:rPr>
                <w:szCs w:val="20"/>
              </w:rPr>
            </w:pPr>
            <w:r w:rsidRPr="00FA3856">
              <w:rPr>
                <w:b/>
                <w:szCs w:val="20"/>
              </w:rPr>
              <w:t xml:space="preserve">REGRA_COD_REC_ORP_PUB: </w:t>
            </w:r>
            <w:r w:rsidRPr="00FA3856">
              <w:rPr>
                <w:szCs w:val="20"/>
              </w:rPr>
              <w:t>Verif</w:t>
            </w:r>
            <w:r w:rsidR="004A3E37" w:rsidRPr="00FA3856">
              <w:rPr>
                <w:szCs w:val="20"/>
              </w:rPr>
              <w:t>ica, quando Y570.I</w:t>
            </w:r>
            <w:r w:rsidR="0011050B" w:rsidRPr="00FA3856">
              <w:rPr>
                <w:szCs w:val="20"/>
              </w:rPr>
              <w:t xml:space="preserve">ND_ORG_PUB </w:t>
            </w:r>
            <w:r w:rsidRPr="00FA3856">
              <w:rPr>
                <w:szCs w:val="20"/>
              </w:rPr>
              <w:t>ig</w:t>
            </w:r>
            <w:r w:rsidR="004A3E37" w:rsidRPr="00FA3856">
              <w:rPr>
                <w:szCs w:val="20"/>
              </w:rPr>
              <w:t xml:space="preserve">ual </w:t>
            </w:r>
            <w:r w:rsidR="0011050B" w:rsidRPr="00FA3856">
              <w:rPr>
                <w:szCs w:val="20"/>
              </w:rPr>
              <w:t xml:space="preserve">a “Sim”, se Y570.COD_REC </w:t>
            </w:r>
            <w:r w:rsidRPr="00FA3856">
              <w:rPr>
                <w:szCs w:val="20"/>
              </w:rPr>
              <w:t>é igual a 4085 ou 4397 ou 5928 ou 5936 ou 5944 ou 6147 ou 6175 ou 6188 ou 6190 ou 6228 ou 6256 ou 8739 ou 8767 ou 8850 ou 8863 ou 9060 ou 9997.</w:t>
            </w:r>
          </w:p>
          <w:p w:rsidR="00B77E72" w:rsidRPr="00FA3856" w:rsidRDefault="00B77E72" w:rsidP="00BA16B8">
            <w:pPr>
              <w:shd w:val="clear" w:color="auto" w:fill="FFFFFF"/>
              <w:jc w:val="both"/>
              <w:rPr>
                <w:szCs w:val="20"/>
              </w:rPr>
            </w:pPr>
          </w:p>
          <w:p w:rsidR="00B77E72" w:rsidRPr="00FA3856" w:rsidRDefault="00B77E72" w:rsidP="00BA16B8">
            <w:pPr>
              <w:shd w:val="clear" w:color="auto" w:fill="FFFFFF"/>
              <w:jc w:val="both"/>
              <w:rPr>
                <w:szCs w:val="20"/>
              </w:rPr>
            </w:pPr>
            <w:r w:rsidRPr="00FA3856">
              <w:rPr>
                <w:b/>
                <w:szCs w:val="20"/>
              </w:rPr>
              <w:t xml:space="preserve">REGRA_COD_REC_ORP_PUB_NAO: </w:t>
            </w:r>
            <w:r w:rsidRPr="00FA3856">
              <w:rPr>
                <w:szCs w:val="20"/>
              </w:rPr>
              <w:t>Verif</w:t>
            </w:r>
            <w:r w:rsidR="004A3E37" w:rsidRPr="00FA3856">
              <w:rPr>
                <w:szCs w:val="20"/>
              </w:rPr>
              <w:t>ica, quando Y570.</w:t>
            </w:r>
            <w:r w:rsidR="0011050B" w:rsidRPr="00FA3856">
              <w:rPr>
                <w:szCs w:val="20"/>
              </w:rPr>
              <w:t xml:space="preserve">IND_ORG_PUB </w:t>
            </w:r>
            <w:r w:rsidRPr="00FA3856">
              <w:rPr>
                <w:szCs w:val="20"/>
              </w:rPr>
              <w:t>ig</w:t>
            </w:r>
            <w:r w:rsidR="004A3E37" w:rsidRPr="00FA3856">
              <w:rPr>
                <w:szCs w:val="20"/>
              </w:rPr>
              <w:t xml:space="preserve">ual </w:t>
            </w:r>
            <w:r w:rsidR="0011050B" w:rsidRPr="00FA3856">
              <w:rPr>
                <w:szCs w:val="20"/>
              </w:rPr>
              <w:t xml:space="preserve">a “Não”, se Y570.COD_REC </w:t>
            </w:r>
            <w:r w:rsidRPr="00FA3856">
              <w:rPr>
                <w:szCs w:val="20"/>
              </w:rPr>
              <w:t>é igual a 0916 ou 0924 ou 1708 ou 3277 ou 3426 ou 5204 ou 5232 ou 5273 ou 5557 ou 5706 ou 5928 ou 5936 ou 5944 ou 5952 ou 5987 ou 6800 ou 6813 ou 8045 ou 8468 ou 9385 ou 9998 ou 9999.</w:t>
            </w:r>
          </w:p>
        </w:tc>
        <w:tc>
          <w:tcPr>
            <w:tcW w:w="717" w:type="dxa"/>
            <w:tcBorders>
              <w:top w:val="single" w:sz="6" w:space="0" w:color="auto"/>
              <w:left w:val="single" w:sz="6" w:space="0" w:color="auto"/>
              <w:bottom w:val="single" w:sz="6" w:space="0" w:color="auto"/>
              <w:right w:val="single" w:sz="6" w:space="0" w:color="auto"/>
            </w:tcBorders>
          </w:tcPr>
          <w:p w:rsidR="00B77E72" w:rsidRPr="00FA3856" w:rsidRDefault="00B77E72" w:rsidP="00BA16B8">
            <w:pPr>
              <w:pStyle w:val="PSDS-CorpodeTexto0"/>
              <w:rPr>
                <w:rFonts w:ascii="Times New Roman" w:hAnsi="Times New Roman"/>
                <w:lang w:val="pt-PT"/>
              </w:rPr>
            </w:pPr>
            <w:r w:rsidRPr="00FA3856">
              <w:rPr>
                <w:rFonts w:ascii="Times New Roman" w:hAnsi="Times New Roman"/>
                <w:lang w:val="pt-PT"/>
              </w:rPr>
              <w:t>Erro</w:t>
            </w:r>
          </w:p>
          <w:p w:rsidR="004A3E37" w:rsidRPr="00FA3856" w:rsidRDefault="004A3E37" w:rsidP="00BA16B8">
            <w:pPr>
              <w:pStyle w:val="PSDS-CorpodeTexto0"/>
              <w:rPr>
                <w:rFonts w:ascii="Times New Roman" w:hAnsi="Times New Roman"/>
                <w:lang w:val="pt-PT"/>
              </w:rPr>
            </w:pPr>
          </w:p>
          <w:p w:rsidR="004A3E37" w:rsidRPr="00FA3856" w:rsidRDefault="004A3E37" w:rsidP="00BA16B8">
            <w:pPr>
              <w:pStyle w:val="PSDS-CorpodeTexto0"/>
              <w:rPr>
                <w:rFonts w:ascii="Times New Roman" w:hAnsi="Times New Roman"/>
                <w:lang w:val="pt-PT"/>
              </w:rPr>
            </w:pPr>
          </w:p>
          <w:p w:rsidR="004A3E37" w:rsidRPr="00FA3856" w:rsidRDefault="004A3E37" w:rsidP="00BA16B8">
            <w:pPr>
              <w:pStyle w:val="PSDS-CorpodeTexto0"/>
              <w:rPr>
                <w:rFonts w:ascii="Times New Roman" w:hAnsi="Times New Roman"/>
                <w:lang w:val="pt-PT"/>
              </w:rPr>
            </w:pPr>
            <w:r w:rsidRPr="00FA3856">
              <w:rPr>
                <w:rFonts w:ascii="Times New Roman" w:hAnsi="Times New Roman"/>
                <w:lang w:val="pt-PT"/>
              </w:rPr>
              <w:t>Erro</w:t>
            </w:r>
          </w:p>
          <w:p w:rsidR="00B77E72" w:rsidRPr="00FA3856" w:rsidRDefault="00B77E72" w:rsidP="00BA16B8">
            <w:pPr>
              <w:pStyle w:val="PSDS-CorpodeTexto0"/>
              <w:rPr>
                <w:rFonts w:ascii="Times New Roman" w:hAnsi="Times New Roman"/>
                <w:lang w:val="pt-PT"/>
              </w:rPr>
            </w:pPr>
          </w:p>
        </w:tc>
      </w:tr>
      <w:tr w:rsidR="00B77E72" w:rsidRPr="00FA3856" w:rsidTr="004A3E37">
        <w:trPr>
          <w:jc w:val="center"/>
        </w:trPr>
        <w:tc>
          <w:tcPr>
            <w:tcW w:w="485" w:type="dxa"/>
            <w:tcBorders>
              <w:top w:val="single" w:sz="6" w:space="0" w:color="auto"/>
              <w:left w:val="single" w:sz="6" w:space="0" w:color="auto"/>
              <w:bottom w:val="single" w:sz="6" w:space="0" w:color="auto"/>
              <w:right w:val="single" w:sz="6" w:space="0" w:color="auto"/>
            </w:tcBorders>
          </w:tcPr>
          <w:p w:rsidR="00B77E72" w:rsidRPr="00FA3856" w:rsidRDefault="00B77E72" w:rsidP="00BA16B8">
            <w:pPr>
              <w:pStyle w:val="PSDS-CorpodeTexto0"/>
              <w:suppressAutoHyphens w:val="0"/>
              <w:rPr>
                <w:rFonts w:ascii="Times New Roman" w:hAnsi="Times New Roman"/>
                <w:b/>
                <w:bCs/>
                <w:lang w:val="pt-PT"/>
              </w:rPr>
            </w:pPr>
            <w:r w:rsidRPr="00FA3856">
              <w:rPr>
                <w:rFonts w:ascii="Times New Roman" w:hAnsi="Times New Roman"/>
                <w:b/>
                <w:bCs/>
                <w:lang w:val="pt-PT"/>
              </w:rPr>
              <w:t>7</w:t>
            </w:r>
          </w:p>
        </w:tc>
        <w:tc>
          <w:tcPr>
            <w:tcW w:w="1283" w:type="dxa"/>
            <w:tcBorders>
              <w:top w:val="single" w:sz="6" w:space="0" w:color="auto"/>
              <w:left w:val="single" w:sz="6" w:space="0" w:color="auto"/>
              <w:bottom w:val="single" w:sz="6" w:space="0" w:color="auto"/>
              <w:right w:val="single" w:sz="6" w:space="0" w:color="auto"/>
            </w:tcBorders>
          </w:tcPr>
          <w:p w:rsidR="00B77E72" w:rsidRPr="00FA3856" w:rsidRDefault="00B77E72" w:rsidP="00BA16B8">
            <w:pPr>
              <w:pStyle w:val="PSDS-CorpodeTexto0"/>
              <w:rPr>
                <w:rFonts w:ascii="Times New Roman" w:hAnsi="Times New Roman"/>
                <w:lang w:val="pt-PT"/>
              </w:rPr>
            </w:pPr>
            <w:r w:rsidRPr="00FA3856">
              <w:rPr>
                <w:rFonts w:ascii="Times New Roman" w:hAnsi="Times New Roman"/>
                <w:lang w:val="pt-PT"/>
              </w:rPr>
              <w:t>IR_RET</w:t>
            </w:r>
          </w:p>
        </w:tc>
        <w:tc>
          <w:tcPr>
            <w:tcW w:w="13885" w:type="dxa"/>
            <w:tcBorders>
              <w:top w:val="single" w:sz="6" w:space="0" w:color="auto"/>
              <w:left w:val="single" w:sz="6" w:space="0" w:color="auto"/>
              <w:bottom w:val="single" w:sz="6" w:space="0" w:color="auto"/>
              <w:right w:val="single" w:sz="6" w:space="0" w:color="auto"/>
            </w:tcBorders>
          </w:tcPr>
          <w:p w:rsidR="00B77E72" w:rsidRPr="00FA3856" w:rsidRDefault="00B77E72" w:rsidP="00B77E72">
            <w:pPr>
              <w:shd w:val="clear" w:color="auto" w:fill="FFFFFF"/>
              <w:jc w:val="both"/>
              <w:rPr>
                <w:szCs w:val="20"/>
              </w:rPr>
            </w:pPr>
            <w:r w:rsidRPr="00FA3856">
              <w:rPr>
                <w:b/>
                <w:szCs w:val="20"/>
              </w:rPr>
              <w:t xml:space="preserve">REGRA_COD_REC_IR_RET: </w:t>
            </w:r>
            <w:r w:rsidRPr="00FA3856">
              <w:rPr>
                <w:szCs w:val="20"/>
              </w:rPr>
              <w:t xml:space="preserve">Verifica se </w:t>
            </w:r>
            <w:r w:rsidR="0011050B" w:rsidRPr="00FA3856">
              <w:rPr>
                <w:szCs w:val="20"/>
              </w:rPr>
              <w:t xml:space="preserve">Y570.IR_RET </w:t>
            </w:r>
            <w:r w:rsidR="009013C1" w:rsidRPr="00FA3856">
              <w:rPr>
                <w:szCs w:val="20"/>
              </w:rPr>
              <w:t xml:space="preserve">está preenchido quando </w:t>
            </w:r>
            <w:r w:rsidR="0011050B" w:rsidRPr="00FA3856">
              <w:rPr>
                <w:szCs w:val="20"/>
              </w:rPr>
              <w:t xml:space="preserve">Y570.COD_REC </w:t>
            </w:r>
            <w:r w:rsidRPr="00FA3856">
              <w:rPr>
                <w:szCs w:val="20"/>
              </w:rPr>
              <w:t xml:space="preserve">é igual a 5928 ou 5936 ou 5944 ou 6147 ou 6175 ou 6188 ou 6190 ou 6256 ou 8739 ou 8767 ou 8850 ou 8863 ou 9060 ou 9997 ou 0916 ou 0924 ou 1708 ou 3277 ou </w:t>
            </w:r>
            <w:r w:rsidR="00EC29C6">
              <w:rPr>
                <w:szCs w:val="20"/>
              </w:rPr>
              <w:t xml:space="preserve">3280 ou </w:t>
            </w:r>
            <w:r w:rsidRPr="00FA3856">
              <w:rPr>
                <w:szCs w:val="20"/>
              </w:rPr>
              <w:t>3426 ou 5204 ou 5232 ou 5273 ou 5557 ou 5706 ou 5928 ou 5936 ou 5944 ou 6800 ou 6813 ou 8045 ou 8468 ou 9385 ou 9999.</w:t>
            </w:r>
          </w:p>
          <w:p w:rsidR="009013C1" w:rsidRPr="00FA3856" w:rsidRDefault="009013C1" w:rsidP="00B77E72">
            <w:pPr>
              <w:shd w:val="clear" w:color="auto" w:fill="FFFFFF"/>
              <w:jc w:val="both"/>
              <w:rPr>
                <w:szCs w:val="20"/>
              </w:rPr>
            </w:pPr>
          </w:p>
          <w:p w:rsidR="009013C1" w:rsidRPr="00FA3856" w:rsidRDefault="009013C1" w:rsidP="0014042E">
            <w:pPr>
              <w:shd w:val="clear" w:color="auto" w:fill="FFFFFF"/>
              <w:jc w:val="both"/>
              <w:rPr>
                <w:szCs w:val="20"/>
              </w:rPr>
            </w:pPr>
            <w:r w:rsidRPr="00FA3856">
              <w:rPr>
                <w:b/>
                <w:szCs w:val="20"/>
              </w:rPr>
              <w:t>REGRA_</w:t>
            </w:r>
            <w:r w:rsidR="0014042E" w:rsidRPr="00FA3856">
              <w:rPr>
                <w:b/>
                <w:szCs w:val="20"/>
              </w:rPr>
              <w:t>EXISTE_IR_RET</w:t>
            </w:r>
            <w:r w:rsidRPr="00FA3856">
              <w:rPr>
                <w:b/>
                <w:szCs w:val="20"/>
              </w:rPr>
              <w:t xml:space="preserve">: </w:t>
            </w:r>
            <w:r w:rsidRPr="00FA3856">
              <w:rPr>
                <w:szCs w:val="20"/>
              </w:rPr>
              <w:t xml:space="preserve">Verifica, quando </w:t>
            </w:r>
            <w:r w:rsidR="0014042E" w:rsidRPr="00FA3856">
              <w:rPr>
                <w:szCs w:val="20"/>
              </w:rPr>
              <w:t>(</w:t>
            </w:r>
            <w:r w:rsidR="00F76547" w:rsidRPr="00FA3856">
              <w:rPr>
                <w:szCs w:val="20"/>
              </w:rPr>
              <w:t>N620 (21) ou N620 (23) ou N620 (24</w:t>
            </w:r>
            <w:r w:rsidRPr="00FA3856">
              <w:rPr>
                <w:szCs w:val="20"/>
              </w:rPr>
              <w:t xml:space="preserve">) </w:t>
            </w:r>
            <w:r w:rsidR="0014042E" w:rsidRPr="00FA3856">
              <w:rPr>
                <w:szCs w:val="20"/>
              </w:rPr>
              <w:t>forem maiores que zero); ou (0010</w:t>
            </w:r>
            <w:r w:rsidR="00F76547" w:rsidRPr="00FA3856">
              <w:rPr>
                <w:szCs w:val="20"/>
              </w:rPr>
              <w:t>.COD_QUALIF_PJ = “1” e (N630 (20) ou N630 (21) ou N630 (22</w:t>
            </w:r>
            <w:r w:rsidR="0014042E" w:rsidRPr="00FA3856">
              <w:rPr>
                <w:szCs w:val="20"/>
              </w:rPr>
              <w:t xml:space="preserve">) </w:t>
            </w:r>
            <w:r w:rsidRPr="00FA3856">
              <w:rPr>
                <w:szCs w:val="20"/>
              </w:rPr>
              <w:t>for</w:t>
            </w:r>
            <w:r w:rsidR="0014042E" w:rsidRPr="00FA3856">
              <w:rPr>
                <w:szCs w:val="20"/>
              </w:rPr>
              <w:t>em</w:t>
            </w:r>
            <w:r w:rsidRPr="00FA3856">
              <w:rPr>
                <w:szCs w:val="20"/>
              </w:rPr>
              <w:t xml:space="preserve"> maior</w:t>
            </w:r>
            <w:r w:rsidR="0014042E" w:rsidRPr="00FA3856">
              <w:rPr>
                <w:szCs w:val="20"/>
              </w:rPr>
              <w:t xml:space="preserve">es que zero); ou (0010.COD_QUALIF_PJ </w:t>
            </w:r>
            <m:oMath>
              <m:r>
                <w:rPr>
                  <w:rFonts w:ascii="Cambria Math" w:hAnsi="Cambria Math"/>
                  <w:szCs w:val="20"/>
                </w:rPr>
                <m:t>≠</m:t>
              </m:r>
            </m:oMath>
            <w:r w:rsidR="00F76547" w:rsidRPr="00FA3856">
              <w:rPr>
                <w:szCs w:val="20"/>
              </w:rPr>
              <w:t xml:space="preserve"> “1” e (N630 (17) ou N630 (18) ou N630 (19</w:t>
            </w:r>
            <w:r w:rsidR="0014042E" w:rsidRPr="00FA3856">
              <w:rPr>
                <w:szCs w:val="20"/>
              </w:rPr>
              <w:t>)</w:t>
            </w:r>
            <w:r w:rsidR="00F76547" w:rsidRPr="00FA3856">
              <w:rPr>
                <w:szCs w:val="20"/>
              </w:rPr>
              <w:t>) forem maiores que zero); ou (P300 (10) ou P300 (12) ou P3</w:t>
            </w:r>
            <w:r w:rsidR="0014042E" w:rsidRPr="00FA3856">
              <w:rPr>
                <w:szCs w:val="20"/>
              </w:rPr>
              <w:t>00 (13) forem maiores que zero); ou (T150 (11) ou T150 (13) ou T150 (14) forem maiores que zero);</w:t>
            </w:r>
            <w:r w:rsidR="0011050B" w:rsidRPr="00FA3856">
              <w:rPr>
                <w:szCs w:val="20"/>
              </w:rPr>
              <w:t xml:space="preserve"> se Y570.IR_RET </w:t>
            </w:r>
            <w:r w:rsidRPr="00FA3856">
              <w:rPr>
                <w:szCs w:val="20"/>
              </w:rPr>
              <w:t>está preenchido.</w:t>
            </w:r>
          </w:p>
        </w:tc>
        <w:tc>
          <w:tcPr>
            <w:tcW w:w="717" w:type="dxa"/>
            <w:tcBorders>
              <w:top w:val="single" w:sz="6" w:space="0" w:color="auto"/>
              <w:left w:val="single" w:sz="6" w:space="0" w:color="auto"/>
              <w:bottom w:val="single" w:sz="6" w:space="0" w:color="auto"/>
              <w:right w:val="single" w:sz="6" w:space="0" w:color="auto"/>
            </w:tcBorders>
          </w:tcPr>
          <w:p w:rsidR="00B77E72" w:rsidRPr="00FA3856" w:rsidRDefault="00B77E72" w:rsidP="00BA16B8">
            <w:pPr>
              <w:pStyle w:val="PSDS-CorpodeTexto0"/>
              <w:rPr>
                <w:rFonts w:ascii="Times New Roman" w:hAnsi="Times New Roman"/>
                <w:lang w:val="pt-PT"/>
              </w:rPr>
            </w:pPr>
            <w:r w:rsidRPr="00FA3856">
              <w:rPr>
                <w:rFonts w:ascii="Times New Roman" w:hAnsi="Times New Roman"/>
                <w:lang w:val="pt-PT"/>
              </w:rPr>
              <w:t>Erro</w:t>
            </w:r>
          </w:p>
          <w:p w:rsidR="009013C1" w:rsidRPr="00FA3856" w:rsidRDefault="009013C1" w:rsidP="00BA16B8">
            <w:pPr>
              <w:pStyle w:val="PSDS-CorpodeTexto0"/>
              <w:rPr>
                <w:rFonts w:ascii="Times New Roman" w:hAnsi="Times New Roman"/>
                <w:lang w:val="pt-PT"/>
              </w:rPr>
            </w:pPr>
          </w:p>
          <w:p w:rsidR="009013C1" w:rsidRPr="00FA3856" w:rsidRDefault="009013C1" w:rsidP="00BA16B8">
            <w:pPr>
              <w:pStyle w:val="PSDS-CorpodeTexto0"/>
              <w:rPr>
                <w:rFonts w:ascii="Times New Roman" w:hAnsi="Times New Roman"/>
                <w:lang w:val="pt-PT"/>
              </w:rPr>
            </w:pPr>
          </w:p>
          <w:p w:rsidR="009013C1" w:rsidRPr="00FA3856" w:rsidRDefault="009013C1" w:rsidP="00BA16B8">
            <w:pPr>
              <w:pStyle w:val="PSDS-CorpodeTexto0"/>
              <w:rPr>
                <w:rFonts w:ascii="Times New Roman" w:hAnsi="Times New Roman"/>
                <w:lang w:val="pt-PT"/>
              </w:rPr>
            </w:pPr>
          </w:p>
          <w:p w:rsidR="00B77E72" w:rsidRPr="00FA3856" w:rsidRDefault="009013C1" w:rsidP="00BA16B8">
            <w:pPr>
              <w:pStyle w:val="PSDS-CorpodeTexto0"/>
              <w:rPr>
                <w:rFonts w:ascii="Times New Roman" w:hAnsi="Times New Roman"/>
                <w:lang w:val="pt-PT"/>
              </w:rPr>
            </w:pPr>
            <w:r w:rsidRPr="00FA3856">
              <w:rPr>
                <w:rFonts w:ascii="Times New Roman" w:hAnsi="Times New Roman"/>
                <w:lang w:val="pt-PT"/>
              </w:rPr>
              <w:t>Erro</w:t>
            </w:r>
          </w:p>
        </w:tc>
      </w:tr>
      <w:tr w:rsidR="009A5CB5" w:rsidRPr="00FA3856" w:rsidTr="004A3E37">
        <w:trPr>
          <w:jc w:val="center"/>
        </w:trPr>
        <w:tc>
          <w:tcPr>
            <w:tcW w:w="485" w:type="dxa"/>
            <w:tcBorders>
              <w:top w:val="single" w:sz="6" w:space="0" w:color="auto"/>
              <w:left w:val="single" w:sz="6" w:space="0" w:color="auto"/>
              <w:bottom w:val="single" w:sz="6" w:space="0" w:color="auto"/>
              <w:right w:val="single" w:sz="6" w:space="0" w:color="auto"/>
            </w:tcBorders>
          </w:tcPr>
          <w:p w:rsidR="009A5CB5" w:rsidRPr="00FA3856" w:rsidRDefault="00B77E72" w:rsidP="00BA16B8">
            <w:pPr>
              <w:pStyle w:val="PSDS-CorpodeTexto0"/>
              <w:suppressAutoHyphens w:val="0"/>
              <w:rPr>
                <w:rFonts w:ascii="Times New Roman" w:hAnsi="Times New Roman"/>
                <w:b/>
                <w:bCs/>
                <w:lang w:val="pt-PT"/>
              </w:rPr>
            </w:pPr>
            <w:r w:rsidRPr="00FA3856">
              <w:rPr>
                <w:rFonts w:ascii="Times New Roman" w:hAnsi="Times New Roman"/>
                <w:b/>
                <w:bCs/>
                <w:lang w:val="pt-PT"/>
              </w:rPr>
              <w:t>8</w:t>
            </w:r>
          </w:p>
        </w:tc>
        <w:tc>
          <w:tcPr>
            <w:tcW w:w="1283" w:type="dxa"/>
            <w:tcBorders>
              <w:top w:val="single" w:sz="6" w:space="0" w:color="auto"/>
              <w:left w:val="single" w:sz="6" w:space="0" w:color="auto"/>
              <w:bottom w:val="single" w:sz="6" w:space="0" w:color="auto"/>
              <w:right w:val="single" w:sz="6" w:space="0" w:color="auto"/>
            </w:tcBorders>
          </w:tcPr>
          <w:p w:rsidR="009A5CB5" w:rsidRPr="00FA3856" w:rsidRDefault="00B77E72" w:rsidP="00BA16B8">
            <w:pPr>
              <w:pStyle w:val="PSDS-CorpodeTexto0"/>
              <w:rPr>
                <w:rFonts w:ascii="Times New Roman" w:hAnsi="Times New Roman"/>
                <w:lang w:val="pt-PT"/>
              </w:rPr>
            </w:pPr>
            <w:r w:rsidRPr="00FA3856">
              <w:rPr>
                <w:rFonts w:ascii="Times New Roman" w:hAnsi="Times New Roman"/>
                <w:lang w:val="pt-PT"/>
              </w:rPr>
              <w:t>CSLL_RET</w:t>
            </w:r>
          </w:p>
        </w:tc>
        <w:tc>
          <w:tcPr>
            <w:tcW w:w="13885" w:type="dxa"/>
            <w:tcBorders>
              <w:top w:val="single" w:sz="6" w:space="0" w:color="auto"/>
              <w:left w:val="single" w:sz="6" w:space="0" w:color="auto"/>
              <w:bottom w:val="single" w:sz="6" w:space="0" w:color="auto"/>
              <w:right w:val="single" w:sz="6" w:space="0" w:color="auto"/>
            </w:tcBorders>
          </w:tcPr>
          <w:p w:rsidR="00B77E72" w:rsidRPr="00FA3856" w:rsidRDefault="009A5CB5" w:rsidP="00B77E72">
            <w:pPr>
              <w:shd w:val="clear" w:color="auto" w:fill="FFFFFF"/>
              <w:jc w:val="both"/>
              <w:rPr>
                <w:szCs w:val="20"/>
              </w:rPr>
            </w:pPr>
            <w:r w:rsidRPr="00FA3856">
              <w:rPr>
                <w:b/>
                <w:szCs w:val="20"/>
              </w:rPr>
              <w:t>REGRA_</w:t>
            </w:r>
            <w:r w:rsidR="00B77E72" w:rsidRPr="00FA3856">
              <w:rPr>
                <w:b/>
                <w:szCs w:val="20"/>
              </w:rPr>
              <w:t>COD_REC_CSLL_RET</w:t>
            </w:r>
            <w:r w:rsidRPr="00FA3856">
              <w:rPr>
                <w:b/>
                <w:szCs w:val="20"/>
              </w:rPr>
              <w:t xml:space="preserve">: </w:t>
            </w:r>
            <w:r w:rsidR="00B77E72" w:rsidRPr="00FA3856">
              <w:rPr>
                <w:szCs w:val="20"/>
              </w:rPr>
              <w:t xml:space="preserve">Verifica </w:t>
            </w:r>
            <w:r w:rsidRPr="00FA3856">
              <w:rPr>
                <w:szCs w:val="20"/>
              </w:rPr>
              <w:t xml:space="preserve">se </w:t>
            </w:r>
            <w:r w:rsidR="0011050B" w:rsidRPr="00FA3856">
              <w:rPr>
                <w:szCs w:val="20"/>
              </w:rPr>
              <w:t xml:space="preserve">Y570.CSLL_RET </w:t>
            </w:r>
            <w:r w:rsidR="009013C1" w:rsidRPr="00FA3856">
              <w:rPr>
                <w:szCs w:val="20"/>
              </w:rPr>
              <w:t xml:space="preserve">está preenchido quando </w:t>
            </w:r>
            <w:r w:rsidR="0011050B" w:rsidRPr="00FA3856">
              <w:rPr>
                <w:szCs w:val="20"/>
              </w:rPr>
              <w:t xml:space="preserve">Y570.COD_REC </w:t>
            </w:r>
            <w:r w:rsidR="00B77E72" w:rsidRPr="00FA3856">
              <w:rPr>
                <w:szCs w:val="20"/>
              </w:rPr>
              <w:t>é igual a 4085 ou 4397 ou 5928 ou 5936 ou 5944 ou 6147 ou 6175 ou 6188 ou 6190 ou 6228 ou 8739 ou 8767 ou 8850 ou 8863 ou 9060 ou 9997 ou 5952 ou 5987 ou 9998.</w:t>
            </w:r>
          </w:p>
          <w:p w:rsidR="00907F69" w:rsidRPr="00FA3856" w:rsidRDefault="00907F69" w:rsidP="00B77E72">
            <w:pPr>
              <w:shd w:val="clear" w:color="auto" w:fill="FFFFFF"/>
              <w:jc w:val="both"/>
              <w:rPr>
                <w:szCs w:val="20"/>
              </w:rPr>
            </w:pPr>
          </w:p>
          <w:p w:rsidR="00907F69" w:rsidRPr="00FA3856" w:rsidRDefault="00907F69" w:rsidP="004A3E37">
            <w:pPr>
              <w:shd w:val="clear" w:color="auto" w:fill="FFFFFF"/>
              <w:jc w:val="both"/>
              <w:rPr>
                <w:szCs w:val="20"/>
              </w:rPr>
            </w:pPr>
            <w:r w:rsidRPr="00FA3856">
              <w:rPr>
                <w:b/>
                <w:szCs w:val="20"/>
              </w:rPr>
              <w:t xml:space="preserve">REGRA_EXISTE_CSLL_RET: </w:t>
            </w:r>
            <w:r w:rsidR="00F76547" w:rsidRPr="00FA3856">
              <w:rPr>
                <w:szCs w:val="20"/>
              </w:rPr>
              <w:t>Verifica, quando (N660 (14) ou N660 (15) ou N660 (16) ou N660 (17</w:t>
            </w:r>
            <w:r w:rsidRPr="00FA3856">
              <w:rPr>
                <w:szCs w:val="20"/>
              </w:rPr>
              <w:t xml:space="preserve">) forem </w:t>
            </w:r>
            <w:r w:rsidR="00F76547" w:rsidRPr="00FA3856">
              <w:rPr>
                <w:szCs w:val="20"/>
              </w:rPr>
              <w:t>maiores que zero); ou ((N670 (15) ou N670 (16) ou N670 (17) ou N670 (18</w:t>
            </w:r>
            <w:r w:rsidRPr="00FA3856">
              <w:rPr>
                <w:szCs w:val="20"/>
              </w:rPr>
              <w:t>)) forem maiores que zero); ou (P500 (9) ou P500 (10) ou P500 (11) ou P500 (12) forem maiores qu</w:t>
            </w:r>
            <w:r w:rsidR="00F76547" w:rsidRPr="00FA3856">
              <w:rPr>
                <w:szCs w:val="20"/>
              </w:rPr>
              <w:t>e zero); ou (T181 (11) ou T181 (12) ou T181 (13) ou T181 (14</w:t>
            </w:r>
            <w:r w:rsidRPr="00FA3856">
              <w:rPr>
                <w:szCs w:val="20"/>
              </w:rPr>
              <w:t>) forem maior</w:t>
            </w:r>
            <w:r w:rsidR="004A3E37" w:rsidRPr="00FA3856">
              <w:rPr>
                <w:szCs w:val="20"/>
              </w:rPr>
              <w:t xml:space="preserve">es que </w:t>
            </w:r>
            <w:r w:rsidR="00826398" w:rsidRPr="00FA3856">
              <w:rPr>
                <w:szCs w:val="20"/>
              </w:rPr>
              <w:t>zero); se Y570.CSLL_</w:t>
            </w:r>
            <w:r w:rsidR="0011050B" w:rsidRPr="00FA3856">
              <w:rPr>
                <w:szCs w:val="20"/>
              </w:rPr>
              <w:t xml:space="preserve">RET </w:t>
            </w:r>
            <w:r w:rsidRPr="00FA3856">
              <w:rPr>
                <w:szCs w:val="20"/>
              </w:rPr>
              <w:t>está preenchido.</w:t>
            </w:r>
          </w:p>
        </w:tc>
        <w:tc>
          <w:tcPr>
            <w:tcW w:w="717" w:type="dxa"/>
            <w:tcBorders>
              <w:top w:val="single" w:sz="6" w:space="0" w:color="auto"/>
              <w:left w:val="single" w:sz="6" w:space="0" w:color="auto"/>
              <w:bottom w:val="single" w:sz="6" w:space="0" w:color="auto"/>
              <w:right w:val="single" w:sz="6" w:space="0" w:color="auto"/>
            </w:tcBorders>
          </w:tcPr>
          <w:p w:rsidR="009A5CB5" w:rsidRPr="00FA3856" w:rsidRDefault="009A5CB5" w:rsidP="00BA16B8">
            <w:pPr>
              <w:pStyle w:val="PSDS-CorpodeTexto0"/>
              <w:rPr>
                <w:rFonts w:ascii="Times New Roman" w:hAnsi="Times New Roman"/>
                <w:lang w:val="pt-PT"/>
              </w:rPr>
            </w:pPr>
            <w:r w:rsidRPr="00FA3856">
              <w:rPr>
                <w:rFonts w:ascii="Times New Roman" w:hAnsi="Times New Roman"/>
                <w:lang w:val="pt-PT"/>
              </w:rPr>
              <w:t>Erro</w:t>
            </w:r>
          </w:p>
          <w:p w:rsidR="004A3E37" w:rsidRPr="00FA3856" w:rsidRDefault="004A3E37" w:rsidP="00BA16B8">
            <w:pPr>
              <w:pStyle w:val="PSDS-CorpodeTexto0"/>
              <w:rPr>
                <w:rFonts w:ascii="Times New Roman" w:hAnsi="Times New Roman"/>
                <w:lang w:val="pt-PT"/>
              </w:rPr>
            </w:pPr>
          </w:p>
          <w:p w:rsidR="004A3E37" w:rsidRPr="00FA3856" w:rsidRDefault="004A3E37" w:rsidP="00BA16B8">
            <w:pPr>
              <w:pStyle w:val="PSDS-CorpodeTexto0"/>
              <w:rPr>
                <w:rFonts w:ascii="Times New Roman" w:hAnsi="Times New Roman"/>
                <w:lang w:val="pt-PT"/>
              </w:rPr>
            </w:pPr>
          </w:p>
          <w:p w:rsidR="004A3E37" w:rsidRPr="00FA3856" w:rsidRDefault="00F76547" w:rsidP="00BA16B8">
            <w:pPr>
              <w:pStyle w:val="PSDS-CorpodeTexto0"/>
              <w:rPr>
                <w:rFonts w:ascii="Times New Roman" w:hAnsi="Times New Roman"/>
                <w:lang w:val="pt-PT"/>
              </w:rPr>
            </w:pPr>
            <w:r w:rsidRPr="00FA3856">
              <w:rPr>
                <w:rFonts w:ascii="Times New Roman" w:hAnsi="Times New Roman"/>
                <w:lang w:val="pt-PT"/>
              </w:rPr>
              <w:t>Erro</w:t>
            </w:r>
          </w:p>
          <w:p w:rsidR="009A5CB5" w:rsidRPr="00FA3856" w:rsidRDefault="009A5CB5" w:rsidP="00BA16B8">
            <w:pPr>
              <w:pStyle w:val="PSDS-CorpodeTexto0"/>
              <w:rPr>
                <w:rFonts w:ascii="Times New Roman" w:hAnsi="Times New Roman"/>
                <w:lang w:val="pt-PT"/>
              </w:rPr>
            </w:pPr>
          </w:p>
        </w:tc>
      </w:tr>
    </w:tbl>
    <w:p w:rsidR="009A5CB5" w:rsidRPr="00FA3856" w:rsidRDefault="009A5CB5" w:rsidP="009A5CB5">
      <w:pPr>
        <w:rPr>
          <w:b/>
          <w:color w:val="002060"/>
          <w:szCs w:val="20"/>
        </w:rPr>
      </w:pPr>
    </w:p>
    <w:p w:rsidR="000717A5" w:rsidRDefault="000717A5">
      <w:pPr>
        <w:spacing w:after="200" w:line="276" w:lineRule="auto"/>
        <w:rPr>
          <w:b/>
          <w:color w:val="002060"/>
          <w:szCs w:val="20"/>
        </w:rPr>
      </w:pPr>
      <w:r>
        <w:rPr>
          <w:b/>
          <w:color w:val="002060"/>
          <w:szCs w:val="20"/>
        </w:rPr>
        <w:br w:type="page"/>
      </w:r>
    </w:p>
    <w:p w:rsidR="000717A5" w:rsidRDefault="00C321B8" w:rsidP="004A3E37">
      <w:pPr>
        <w:rPr>
          <w:b/>
          <w:color w:val="002060"/>
          <w:szCs w:val="20"/>
        </w:rPr>
      </w:pPr>
      <w:r w:rsidRPr="00FA3856">
        <w:rPr>
          <w:b/>
          <w:color w:val="002060"/>
          <w:szCs w:val="20"/>
        </w:rPr>
        <w:lastRenderedPageBreak/>
        <w:t>Exemplo</w:t>
      </w:r>
      <w:r w:rsidR="00E00E4D" w:rsidRPr="00FA3856">
        <w:rPr>
          <w:b/>
          <w:color w:val="002060"/>
          <w:szCs w:val="20"/>
        </w:rPr>
        <w:t xml:space="preserve"> de Preenchimento: </w:t>
      </w:r>
    </w:p>
    <w:p w:rsidR="000717A5" w:rsidRDefault="000717A5" w:rsidP="004A3E37">
      <w:pPr>
        <w:rPr>
          <w:b/>
          <w:color w:val="002060"/>
          <w:szCs w:val="20"/>
        </w:rPr>
      </w:pPr>
    </w:p>
    <w:p w:rsidR="00E00E4D" w:rsidRPr="00FA3856" w:rsidRDefault="00E00E4D" w:rsidP="004A3E37">
      <w:pPr>
        <w:rPr>
          <w:b/>
          <w:color w:val="002060"/>
          <w:szCs w:val="20"/>
        </w:rPr>
      </w:pPr>
      <w:r w:rsidRPr="00FA3856">
        <w:rPr>
          <w:b/>
          <w:color w:val="002060"/>
          <w:szCs w:val="20"/>
        </w:rPr>
        <w:t>|Y570|11111111000191|FONTE PAGADORA|S|5928|100000,00|</w:t>
      </w:r>
      <w:r w:rsidR="009013C1" w:rsidRPr="00FA3856">
        <w:rPr>
          <w:b/>
          <w:color w:val="002060"/>
          <w:szCs w:val="20"/>
        </w:rPr>
        <w:t>15</w:t>
      </w:r>
      <w:r w:rsidRPr="00FA3856">
        <w:rPr>
          <w:b/>
          <w:color w:val="002060"/>
          <w:szCs w:val="20"/>
        </w:rPr>
        <w:t>00,00|500,00|</w:t>
      </w:r>
    </w:p>
    <w:p w:rsidR="00E00E4D" w:rsidRPr="00FA3856" w:rsidRDefault="00E00E4D" w:rsidP="004A3E37">
      <w:pPr>
        <w:pStyle w:val="Corpodetexto"/>
        <w:spacing w:line="240" w:lineRule="auto"/>
        <w:ind w:left="708" w:firstLine="709"/>
        <w:rPr>
          <w:rFonts w:ascii="Times New Roman" w:hAnsi="Times New Roman"/>
          <w:color w:val="002060"/>
          <w:szCs w:val="20"/>
        </w:rPr>
      </w:pPr>
      <w:r w:rsidRPr="00FA3856">
        <w:rPr>
          <w:rFonts w:ascii="Times New Roman" w:hAnsi="Times New Roman"/>
          <w:color w:val="002060"/>
          <w:szCs w:val="20"/>
        </w:rPr>
        <w:t>|Y570|: Identificação do tipo do registro.</w:t>
      </w:r>
    </w:p>
    <w:p w:rsidR="00E00E4D" w:rsidRPr="00FA3856" w:rsidRDefault="00E00E4D" w:rsidP="004A3E37">
      <w:pPr>
        <w:pStyle w:val="Corpodetexto"/>
        <w:spacing w:line="240" w:lineRule="auto"/>
        <w:ind w:left="708" w:firstLine="709"/>
        <w:rPr>
          <w:rFonts w:ascii="Times New Roman" w:hAnsi="Times New Roman"/>
          <w:color w:val="002060"/>
          <w:szCs w:val="20"/>
        </w:rPr>
      </w:pPr>
      <w:r w:rsidRPr="00FA3856">
        <w:rPr>
          <w:rFonts w:ascii="Times New Roman" w:hAnsi="Times New Roman"/>
          <w:color w:val="002060"/>
          <w:szCs w:val="20"/>
        </w:rPr>
        <w:t>|CNPJ|: CNPJ da fonte pagadora (CNPJ: 11.111.111/0001-91).</w:t>
      </w:r>
    </w:p>
    <w:p w:rsidR="00E00E4D" w:rsidRPr="00FA3856" w:rsidRDefault="00E00E4D" w:rsidP="004A3E37">
      <w:pPr>
        <w:pStyle w:val="Corpodetexto"/>
        <w:spacing w:line="240" w:lineRule="auto"/>
        <w:ind w:left="708" w:firstLine="709"/>
        <w:rPr>
          <w:rFonts w:ascii="Times New Roman" w:hAnsi="Times New Roman"/>
          <w:color w:val="002060"/>
          <w:szCs w:val="20"/>
        </w:rPr>
      </w:pPr>
      <w:r w:rsidRPr="00FA3856">
        <w:rPr>
          <w:rFonts w:ascii="Times New Roman" w:hAnsi="Times New Roman"/>
          <w:color w:val="002060"/>
          <w:szCs w:val="20"/>
        </w:rPr>
        <w:t>|FONTE PAGADORA|: Nome empresarial da fonte pagadora.</w:t>
      </w:r>
    </w:p>
    <w:p w:rsidR="00E00E4D" w:rsidRPr="00FA3856" w:rsidRDefault="00E00E4D" w:rsidP="004A3E37">
      <w:pPr>
        <w:pStyle w:val="Corpodetexto"/>
        <w:spacing w:line="240" w:lineRule="auto"/>
        <w:ind w:left="708" w:firstLine="709"/>
        <w:rPr>
          <w:rFonts w:ascii="Times New Roman" w:hAnsi="Times New Roman"/>
          <w:color w:val="002060"/>
          <w:szCs w:val="20"/>
        </w:rPr>
      </w:pPr>
      <w:r w:rsidRPr="00FA3856">
        <w:rPr>
          <w:rFonts w:ascii="Times New Roman" w:hAnsi="Times New Roman"/>
          <w:color w:val="002060"/>
          <w:szCs w:val="20"/>
        </w:rPr>
        <w:t>|S|: Indicador de órgão público (</w:t>
      </w:r>
      <w:r w:rsidR="00C321B8" w:rsidRPr="00FA3856">
        <w:rPr>
          <w:rFonts w:ascii="Times New Roman" w:hAnsi="Times New Roman"/>
          <w:color w:val="002060"/>
          <w:szCs w:val="20"/>
        </w:rPr>
        <w:t>Órgão</w:t>
      </w:r>
      <w:r w:rsidRPr="00FA3856">
        <w:rPr>
          <w:rFonts w:ascii="Times New Roman" w:hAnsi="Times New Roman"/>
          <w:color w:val="002060"/>
          <w:szCs w:val="20"/>
        </w:rPr>
        <w:t xml:space="preserve"> Público = Sim).</w:t>
      </w:r>
    </w:p>
    <w:p w:rsidR="00E00E4D" w:rsidRPr="00FA3856" w:rsidRDefault="00E00E4D" w:rsidP="004A3E37">
      <w:pPr>
        <w:pStyle w:val="Corpodetexto"/>
        <w:spacing w:line="240" w:lineRule="auto"/>
        <w:ind w:left="708" w:firstLine="709"/>
        <w:rPr>
          <w:rFonts w:ascii="Times New Roman" w:hAnsi="Times New Roman"/>
          <w:color w:val="002060"/>
          <w:szCs w:val="20"/>
        </w:rPr>
      </w:pPr>
      <w:r w:rsidRPr="00FA3856">
        <w:rPr>
          <w:rFonts w:ascii="Times New Roman" w:hAnsi="Times New Roman"/>
          <w:color w:val="002060"/>
          <w:szCs w:val="20"/>
        </w:rPr>
        <w:t>|5928|: Código da receita (5928 = Rendimentos decorrentes de decisão da Justiça Federal).</w:t>
      </w:r>
    </w:p>
    <w:p w:rsidR="00E00E4D" w:rsidRPr="00FA3856" w:rsidRDefault="00E00E4D" w:rsidP="004A3E37">
      <w:pPr>
        <w:pStyle w:val="Corpodetexto"/>
        <w:spacing w:line="240" w:lineRule="auto"/>
        <w:ind w:left="708" w:firstLine="709"/>
        <w:rPr>
          <w:rFonts w:ascii="Times New Roman" w:hAnsi="Times New Roman"/>
          <w:color w:val="002060"/>
          <w:szCs w:val="20"/>
        </w:rPr>
      </w:pPr>
      <w:r w:rsidRPr="00FA3856">
        <w:rPr>
          <w:rFonts w:ascii="Times New Roman" w:hAnsi="Times New Roman"/>
          <w:color w:val="002060"/>
          <w:szCs w:val="20"/>
        </w:rPr>
        <w:t>|100000,00|: Rendimento bruto (R$ 100.000,00).</w:t>
      </w:r>
    </w:p>
    <w:p w:rsidR="00E00E4D" w:rsidRPr="00FA3856" w:rsidRDefault="00E00E4D" w:rsidP="004A3E37">
      <w:pPr>
        <w:pStyle w:val="Corpodetexto"/>
        <w:spacing w:line="240" w:lineRule="auto"/>
        <w:ind w:left="708" w:firstLine="709"/>
        <w:rPr>
          <w:rFonts w:ascii="Times New Roman" w:hAnsi="Times New Roman"/>
          <w:color w:val="002060"/>
          <w:szCs w:val="20"/>
        </w:rPr>
      </w:pPr>
      <w:r w:rsidRPr="00FA3856">
        <w:rPr>
          <w:rFonts w:ascii="Times New Roman" w:hAnsi="Times New Roman"/>
          <w:color w:val="002060"/>
          <w:szCs w:val="20"/>
        </w:rPr>
        <w:t xml:space="preserve">|1000,00|: </w:t>
      </w:r>
      <w:r w:rsidR="009013C1" w:rsidRPr="00FA3856">
        <w:rPr>
          <w:rFonts w:ascii="Times New Roman" w:hAnsi="Times New Roman"/>
          <w:color w:val="002060"/>
          <w:szCs w:val="20"/>
        </w:rPr>
        <w:t>IR Retido na Fonte (R$ 1.5</w:t>
      </w:r>
      <w:r w:rsidRPr="00FA3856">
        <w:rPr>
          <w:rFonts w:ascii="Times New Roman" w:hAnsi="Times New Roman"/>
          <w:color w:val="002060"/>
          <w:szCs w:val="20"/>
        </w:rPr>
        <w:t>00,00).</w:t>
      </w:r>
    </w:p>
    <w:p w:rsidR="00E00E4D" w:rsidRPr="00FA3856" w:rsidRDefault="00E00E4D" w:rsidP="004A3E37">
      <w:pPr>
        <w:pStyle w:val="Corpodetexto"/>
        <w:spacing w:line="240" w:lineRule="auto"/>
        <w:ind w:left="708" w:firstLine="709"/>
        <w:rPr>
          <w:rFonts w:ascii="Times New Roman" w:hAnsi="Times New Roman"/>
          <w:color w:val="002060"/>
          <w:szCs w:val="20"/>
        </w:rPr>
      </w:pPr>
      <w:r w:rsidRPr="00FA3856">
        <w:rPr>
          <w:rFonts w:ascii="Times New Roman" w:hAnsi="Times New Roman"/>
          <w:color w:val="002060"/>
          <w:szCs w:val="20"/>
        </w:rPr>
        <w:t>|500,00|: CSLL Retida na Fonte (R$ 500,00).</w:t>
      </w:r>
    </w:p>
    <w:p w:rsidR="00E00E4D" w:rsidRPr="00FA3856" w:rsidRDefault="00E00E4D" w:rsidP="004A3E37">
      <w:pPr>
        <w:pStyle w:val="Corpodetexto"/>
        <w:spacing w:line="240" w:lineRule="auto"/>
        <w:ind w:left="708" w:firstLine="709"/>
        <w:rPr>
          <w:rFonts w:ascii="Times New Roman" w:hAnsi="Times New Roman"/>
          <w:color w:val="002060"/>
          <w:szCs w:val="20"/>
        </w:rPr>
      </w:pPr>
    </w:p>
    <w:p w:rsidR="00F21181" w:rsidRPr="00FA3856" w:rsidRDefault="00F21181" w:rsidP="00770A40">
      <w:pPr>
        <w:rPr>
          <w:color w:val="0000FF"/>
          <w:szCs w:val="20"/>
        </w:rPr>
      </w:pPr>
    </w:p>
    <w:p w:rsidR="00A1664A" w:rsidRPr="00FA3856" w:rsidRDefault="000B0C32" w:rsidP="00867F54">
      <w:pPr>
        <w:pStyle w:val="Ttulo4"/>
      </w:pPr>
      <w:r w:rsidRPr="00FA3856">
        <w:br w:type="page"/>
      </w:r>
      <w:r w:rsidR="00A1664A" w:rsidRPr="00FA3856">
        <w:lastRenderedPageBreak/>
        <w:t xml:space="preserve"> </w:t>
      </w:r>
      <w:bookmarkStart w:id="425" w:name="_Toc479713828"/>
      <w:r w:rsidR="00A1664A" w:rsidRPr="00FA3856">
        <w:t>Registro Y580: Doações a Campanhas Eleitorais</w:t>
      </w:r>
      <w:bookmarkEnd w:id="425"/>
    </w:p>
    <w:p w:rsidR="00A1664A" w:rsidRPr="00FA3856" w:rsidRDefault="00A1664A" w:rsidP="00A1664A">
      <w:pPr>
        <w:rPr>
          <w:szCs w:val="20"/>
        </w:rPr>
      </w:pPr>
    </w:p>
    <w:p w:rsidR="000B0C32" w:rsidRPr="00FA3856" w:rsidRDefault="00A1664A" w:rsidP="000B0C32">
      <w:pPr>
        <w:rPr>
          <w:szCs w:val="20"/>
        </w:rPr>
      </w:pPr>
      <w:r w:rsidRPr="00FA3856">
        <w:rPr>
          <w:szCs w:val="20"/>
        </w:rPr>
        <w:tab/>
      </w:r>
      <w:r w:rsidR="000B0C32" w:rsidRPr="00FA3856">
        <w:rPr>
          <w:szCs w:val="20"/>
        </w:rPr>
        <w:t xml:space="preserve">Este registro deve ser preenchido pela pessoa jurídica que, durante o ano-calendário, efetuou doações a candidatos, comitês financeiros e partidos políticos, ainda que na forma de fornecimento de mercadorias ou prestação de serviços para campanhas eleitorais. </w:t>
      </w:r>
    </w:p>
    <w:p w:rsidR="000B0C32" w:rsidRPr="00FA3856" w:rsidRDefault="000B0C32" w:rsidP="000B0C32">
      <w:pPr>
        <w:jc w:val="both"/>
        <w:rPr>
          <w:b/>
          <w:szCs w:val="20"/>
        </w:rPr>
      </w:pPr>
    </w:p>
    <w:p w:rsidR="000B0C32" w:rsidRPr="00FA3856" w:rsidRDefault="000B0C32" w:rsidP="000B0C32">
      <w:pPr>
        <w:jc w:val="both"/>
        <w:rPr>
          <w:szCs w:val="20"/>
        </w:rPr>
      </w:pPr>
      <w:r w:rsidRPr="00FA3856">
        <w:rPr>
          <w:b/>
          <w:szCs w:val="20"/>
        </w:rPr>
        <w:t>Atenção</w:t>
      </w:r>
      <w:r w:rsidRPr="00FA3856">
        <w:rPr>
          <w:szCs w:val="20"/>
        </w:rPr>
        <w:t>:</w:t>
      </w:r>
    </w:p>
    <w:p w:rsidR="000B0C32" w:rsidRPr="00FA3856" w:rsidRDefault="000B0C32" w:rsidP="000B0C32">
      <w:pPr>
        <w:jc w:val="both"/>
        <w:rPr>
          <w:szCs w:val="20"/>
        </w:rPr>
      </w:pPr>
      <w:r w:rsidRPr="00FA3856">
        <w:rPr>
          <w:szCs w:val="20"/>
        </w:rPr>
        <w:t>1) Os valores doados não são dedutíveis da base de cálculo do Imposto de Renda e da CSLL.</w:t>
      </w:r>
    </w:p>
    <w:p w:rsidR="000B0C32" w:rsidRPr="00FA3856" w:rsidRDefault="000B0C32" w:rsidP="000B0C32">
      <w:pPr>
        <w:jc w:val="both"/>
        <w:rPr>
          <w:szCs w:val="20"/>
        </w:rPr>
      </w:pPr>
    </w:p>
    <w:p w:rsidR="000B0C32" w:rsidRPr="00FA3856" w:rsidRDefault="000B0C32" w:rsidP="000B0C32">
      <w:pPr>
        <w:jc w:val="both"/>
        <w:rPr>
          <w:szCs w:val="20"/>
        </w:rPr>
      </w:pPr>
      <w:r w:rsidRPr="00FA3856">
        <w:rPr>
          <w:szCs w:val="20"/>
        </w:rPr>
        <w:t>2) As instituições de educação e de assistência social imunes, nos termos do art. 150, inciso VI, alínea “c”, da Constituição Federal de 1988, bem como as instituições isentas de que trata o art. 15 da Lei n</w:t>
      </w:r>
      <w:r w:rsidRPr="00FA3856">
        <w:rPr>
          <w:szCs w:val="20"/>
          <w:u w:val="single"/>
          <w:vertAlign w:val="superscript"/>
        </w:rPr>
        <w:t>o</w:t>
      </w:r>
      <w:r w:rsidRPr="00FA3856">
        <w:rPr>
          <w:szCs w:val="20"/>
        </w:rPr>
        <w:t xml:space="preserve"> 9.532, de 10 de dezembro de 1997, devem observar os requisitos para o gozo do benefício, em especial o estabelecido no art. 12, § 2</w:t>
      </w:r>
      <w:r w:rsidRPr="00FA3856">
        <w:rPr>
          <w:szCs w:val="20"/>
          <w:u w:val="single"/>
          <w:vertAlign w:val="superscript"/>
        </w:rPr>
        <w:t>o</w:t>
      </w:r>
      <w:r w:rsidRPr="00FA3856">
        <w:rPr>
          <w:szCs w:val="20"/>
        </w:rPr>
        <w:t>, alínea “b”, da Lei n</w:t>
      </w:r>
      <w:r w:rsidRPr="00FA3856">
        <w:rPr>
          <w:szCs w:val="20"/>
          <w:u w:val="single"/>
          <w:vertAlign w:val="superscript"/>
        </w:rPr>
        <w:t>o</w:t>
      </w:r>
      <w:r w:rsidRPr="00FA3856">
        <w:rPr>
          <w:szCs w:val="20"/>
        </w:rPr>
        <w:t xml:space="preserve"> 9.532, de 1997, que assim dispõe: aplicar integralmente seus recursos na manutenção e desenvolvimento dos seus objetivos sociais.</w:t>
      </w:r>
    </w:p>
    <w:p w:rsidR="002E2501" w:rsidRDefault="002E2501" w:rsidP="000B0C32">
      <w:pPr>
        <w:rPr>
          <w:b/>
          <w:szCs w:val="20"/>
          <w:lang w:val="pt-PT"/>
        </w:rPr>
      </w:pPr>
    </w:p>
    <w:p w:rsidR="00D7606A" w:rsidRDefault="00B35FA3" w:rsidP="00D7606A">
      <w:pPr>
        <w:jc w:val="center"/>
        <w:rPr>
          <w:b/>
          <w:szCs w:val="20"/>
          <w:lang w:val="pt-PT"/>
        </w:rPr>
      </w:pPr>
      <w:r>
        <w:rPr>
          <w:b/>
          <w:szCs w:val="20"/>
          <w:lang w:val="pt-PT"/>
        </w:rPr>
        <w:object w:dxaOrig="14835" w:dyaOrig="6465">
          <v:shape id="_x0000_i2056" type="#_x0000_t75" style="width:792.75pt;height:314.25pt" o:ole="">
            <v:imagedata r:id="rId848" o:title=""/>
          </v:shape>
          <o:OLEObject Type="Link" ProgID="Excel.Sheet.12" ShapeID="_x0000_i2056" DrawAspect="Content" r:id="rId849" UpdateMode="Always">
            <o:LinkType>EnhancedMetaFile</o:LinkType>
            <o:LockedField>false</o:LockedField>
          </o:OLEObject>
        </w:object>
      </w:r>
    </w:p>
    <w:p w:rsidR="000B0C32" w:rsidRPr="00FA3856" w:rsidRDefault="00D7606A" w:rsidP="00D7606A">
      <w:pPr>
        <w:rPr>
          <w:b/>
          <w:szCs w:val="20"/>
          <w:lang w:val="pt-PT"/>
        </w:rPr>
      </w:pPr>
      <w:r>
        <w:rPr>
          <w:b/>
          <w:szCs w:val="20"/>
          <w:lang w:val="pt-PT"/>
        </w:rPr>
        <w:t>I</w:t>
      </w:r>
      <w:r w:rsidR="000B0C32" w:rsidRPr="00FA3856">
        <w:rPr>
          <w:b/>
          <w:szCs w:val="20"/>
          <w:lang w:val="pt-PT"/>
        </w:rPr>
        <w:t xml:space="preserve"> – Regras de Validação de Campos:</w:t>
      </w:r>
    </w:p>
    <w:p w:rsidR="005230F0" w:rsidRPr="00FA3856" w:rsidRDefault="005230F0" w:rsidP="000B0C32">
      <w:pPr>
        <w:rPr>
          <w:b/>
          <w:szCs w:val="20"/>
          <w:lang w:val="pt-PT"/>
        </w:rPr>
      </w:pPr>
    </w:p>
    <w:tbl>
      <w:tblPr>
        <w:tblW w:w="16370"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85"/>
        <w:gridCol w:w="3000"/>
        <w:gridCol w:w="12168"/>
        <w:gridCol w:w="717"/>
      </w:tblGrid>
      <w:tr w:rsidR="000B0C32" w:rsidRPr="00FA3856" w:rsidTr="00BB2C36">
        <w:trPr>
          <w:jc w:val="center"/>
        </w:trPr>
        <w:tc>
          <w:tcPr>
            <w:tcW w:w="485" w:type="dxa"/>
            <w:tcBorders>
              <w:top w:val="single" w:sz="6" w:space="0" w:color="auto"/>
              <w:left w:val="single" w:sz="6" w:space="0" w:color="auto"/>
              <w:bottom w:val="single" w:sz="6" w:space="0" w:color="auto"/>
              <w:right w:val="single" w:sz="6" w:space="0" w:color="auto"/>
            </w:tcBorders>
            <w:shd w:val="pct10" w:color="auto" w:fill="FFFFFF"/>
          </w:tcPr>
          <w:p w:rsidR="000B0C32" w:rsidRPr="00FA3856" w:rsidRDefault="000B0C32" w:rsidP="000B0C32">
            <w:pPr>
              <w:pStyle w:val="PSDS-CorpodeTexto0"/>
              <w:jc w:val="center"/>
              <w:rPr>
                <w:rFonts w:ascii="Times New Roman" w:hAnsi="Times New Roman"/>
                <w:b/>
                <w:bCs/>
              </w:rPr>
            </w:pPr>
            <w:r w:rsidRPr="00FA3856">
              <w:rPr>
                <w:rFonts w:ascii="Times New Roman" w:hAnsi="Times New Roman"/>
                <w:b/>
                <w:bCs/>
              </w:rPr>
              <w:t>Nº</w:t>
            </w:r>
          </w:p>
        </w:tc>
        <w:tc>
          <w:tcPr>
            <w:tcW w:w="3000" w:type="dxa"/>
            <w:tcBorders>
              <w:top w:val="single" w:sz="6" w:space="0" w:color="auto"/>
              <w:left w:val="single" w:sz="6" w:space="0" w:color="auto"/>
              <w:bottom w:val="single" w:sz="6" w:space="0" w:color="auto"/>
              <w:right w:val="single" w:sz="6" w:space="0" w:color="auto"/>
            </w:tcBorders>
            <w:shd w:val="pct10" w:color="auto" w:fill="FFFFFF"/>
          </w:tcPr>
          <w:p w:rsidR="000B0C32" w:rsidRPr="00FA3856" w:rsidRDefault="000B0C32" w:rsidP="000B0C32">
            <w:pPr>
              <w:pStyle w:val="PSDS-CorpodeTexto0"/>
              <w:jc w:val="center"/>
              <w:rPr>
                <w:rFonts w:ascii="Times New Roman" w:hAnsi="Times New Roman"/>
                <w:b/>
                <w:bCs/>
              </w:rPr>
            </w:pPr>
            <w:r w:rsidRPr="00FA3856">
              <w:rPr>
                <w:rFonts w:ascii="Times New Roman" w:hAnsi="Times New Roman"/>
                <w:b/>
                <w:bCs/>
              </w:rPr>
              <w:t>Campo</w:t>
            </w:r>
          </w:p>
        </w:tc>
        <w:tc>
          <w:tcPr>
            <w:tcW w:w="12168" w:type="dxa"/>
            <w:tcBorders>
              <w:top w:val="single" w:sz="6" w:space="0" w:color="auto"/>
              <w:left w:val="single" w:sz="6" w:space="0" w:color="auto"/>
              <w:bottom w:val="single" w:sz="6" w:space="0" w:color="auto"/>
              <w:right w:val="single" w:sz="6" w:space="0" w:color="auto"/>
            </w:tcBorders>
            <w:shd w:val="pct10" w:color="auto" w:fill="FFFFFF"/>
          </w:tcPr>
          <w:p w:rsidR="000B0C32" w:rsidRPr="00FA3856" w:rsidRDefault="000B0C32" w:rsidP="000B0C32">
            <w:pPr>
              <w:pStyle w:val="PSDS-CorpodeTexto0"/>
              <w:jc w:val="center"/>
              <w:rPr>
                <w:rFonts w:ascii="Times New Roman" w:hAnsi="Times New Roman"/>
                <w:b/>
                <w:bCs/>
              </w:rPr>
            </w:pPr>
            <w:r w:rsidRPr="00FA3856">
              <w:rPr>
                <w:rFonts w:ascii="Times New Roman" w:hAnsi="Times New Roman"/>
                <w:b/>
                <w:bCs/>
              </w:rPr>
              <w:t>Regras de Validação do Campo</w:t>
            </w:r>
          </w:p>
        </w:tc>
        <w:tc>
          <w:tcPr>
            <w:tcW w:w="717" w:type="dxa"/>
            <w:tcBorders>
              <w:top w:val="single" w:sz="6" w:space="0" w:color="auto"/>
              <w:left w:val="single" w:sz="6" w:space="0" w:color="auto"/>
              <w:bottom w:val="single" w:sz="6" w:space="0" w:color="auto"/>
              <w:right w:val="single" w:sz="6" w:space="0" w:color="auto"/>
            </w:tcBorders>
            <w:shd w:val="pct10" w:color="auto" w:fill="FFFFFF"/>
          </w:tcPr>
          <w:p w:rsidR="000B0C32" w:rsidRPr="00FA3856" w:rsidRDefault="000B0C32" w:rsidP="000B0C32">
            <w:pPr>
              <w:pStyle w:val="PSDS-CorpodeTexto0"/>
              <w:jc w:val="center"/>
              <w:rPr>
                <w:rFonts w:ascii="Times New Roman" w:hAnsi="Times New Roman"/>
                <w:b/>
                <w:bCs/>
              </w:rPr>
            </w:pPr>
            <w:r w:rsidRPr="00FA3856">
              <w:rPr>
                <w:rFonts w:ascii="Times New Roman" w:hAnsi="Times New Roman"/>
                <w:b/>
                <w:bCs/>
              </w:rPr>
              <w:t>Tipo</w:t>
            </w:r>
          </w:p>
        </w:tc>
      </w:tr>
      <w:tr w:rsidR="000B0C32" w:rsidRPr="00FA3856" w:rsidTr="00BB2C36">
        <w:trPr>
          <w:jc w:val="center"/>
        </w:trPr>
        <w:tc>
          <w:tcPr>
            <w:tcW w:w="485" w:type="dxa"/>
            <w:tcBorders>
              <w:top w:val="single" w:sz="6" w:space="0" w:color="auto"/>
              <w:left w:val="single" w:sz="6" w:space="0" w:color="auto"/>
              <w:bottom w:val="single" w:sz="6" w:space="0" w:color="auto"/>
              <w:right w:val="single" w:sz="6" w:space="0" w:color="auto"/>
            </w:tcBorders>
          </w:tcPr>
          <w:p w:rsidR="000B0C32" w:rsidRPr="00FA3856" w:rsidRDefault="000B0C32" w:rsidP="000B0C32">
            <w:pPr>
              <w:pStyle w:val="PSDS-CorpodeTexto0"/>
              <w:suppressAutoHyphens w:val="0"/>
              <w:rPr>
                <w:rFonts w:ascii="Times New Roman" w:hAnsi="Times New Roman"/>
                <w:b/>
                <w:bCs/>
                <w:lang w:val="pt-PT"/>
              </w:rPr>
            </w:pPr>
            <w:r w:rsidRPr="00FA3856">
              <w:rPr>
                <w:rFonts w:ascii="Times New Roman" w:hAnsi="Times New Roman"/>
                <w:b/>
                <w:bCs/>
                <w:lang w:val="pt-PT"/>
              </w:rPr>
              <w:t>2</w:t>
            </w:r>
          </w:p>
        </w:tc>
        <w:tc>
          <w:tcPr>
            <w:tcW w:w="3000" w:type="dxa"/>
            <w:tcBorders>
              <w:top w:val="single" w:sz="6" w:space="0" w:color="auto"/>
              <w:left w:val="single" w:sz="6" w:space="0" w:color="auto"/>
              <w:bottom w:val="single" w:sz="6" w:space="0" w:color="auto"/>
              <w:right w:val="single" w:sz="6" w:space="0" w:color="auto"/>
            </w:tcBorders>
          </w:tcPr>
          <w:p w:rsidR="000B0C32" w:rsidRPr="00FA3856" w:rsidRDefault="000B0C32" w:rsidP="000B0C32">
            <w:pPr>
              <w:pStyle w:val="PSDS-CorpodeTexto0"/>
              <w:rPr>
                <w:rFonts w:ascii="Times New Roman" w:hAnsi="Times New Roman"/>
                <w:lang w:val="pt-PT"/>
              </w:rPr>
            </w:pPr>
            <w:r w:rsidRPr="00FA3856">
              <w:rPr>
                <w:rFonts w:ascii="Times New Roman" w:hAnsi="Times New Roman"/>
                <w:lang w:val="pt-PT"/>
              </w:rPr>
              <w:t xml:space="preserve">CNPJ </w:t>
            </w:r>
          </w:p>
        </w:tc>
        <w:tc>
          <w:tcPr>
            <w:tcW w:w="12168" w:type="dxa"/>
            <w:tcBorders>
              <w:top w:val="single" w:sz="6" w:space="0" w:color="auto"/>
              <w:left w:val="single" w:sz="6" w:space="0" w:color="auto"/>
              <w:bottom w:val="single" w:sz="6" w:space="0" w:color="auto"/>
              <w:right w:val="single" w:sz="6" w:space="0" w:color="auto"/>
            </w:tcBorders>
          </w:tcPr>
          <w:p w:rsidR="00BB2C36" w:rsidRPr="00FA3856" w:rsidRDefault="007D0E74" w:rsidP="000B0C32">
            <w:pPr>
              <w:shd w:val="clear" w:color="auto" w:fill="FFFFFF"/>
              <w:jc w:val="both"/>
              <w:rPr>
                <w:szCs w:val="20"/>
              </w:rPr>
            </w:pPr>
            <w:hyperlink w:anchor="REGRA_VALIDA_CNPJ" w:history="1">
              <w:r w:rsidR="00BB2C36" w:rsidRPr="00FA3856">
                <w:rPr>
                  <w:rStyle w:val="Hyperlink"/>
                  <w:b/>
                  <w:bCs/>
                  <w:color w:val="auto"/>
                  <w:szCs w:val="20"/>
                  <w:lang w:val="pt-PT"/>
                </w:rPr>
                <w:t>REGRA_VALIDA_CNPJ</w:t>
              </w:r>
            </w:hyperlink>
            <w:r w:rsidR="00BB2C36" w:rsidRPr="00FA3856">
              <w:rPr>
                <w:b/>
                <w:bCs/>
                <w:szCs w:val="20"/>
                <w:lang w:val="pt-PT"/>
              </w:rPr>
              <w:t xml:space="preserve">: </w:t>
            </w:r>
            <w:r w:rsidR="00BB2C36" w:rsidRPr="00FA3856">
              <w:rPr>
                <w:szCs w:val="20"/>
              </w:rPr>
              <w:t xml:space="preserve"> Verifica se a regra de formação do código é válida.</w:t>
            </w:r>
          </w:p>
        </w:tc>
        <w:tc>
          <w:tcPr>
            <w:tcW w:w="717" w:type="dxa"/>
            <w:tcBorders>
              <w:top w:val="single" w:sz="6" w:space="0" w:color="auto"/>
              <w:left w:val="single" w:sz="6" w:space="0" w:color="auto"/>
              <w:bottom w:val="single" w:sz="6" w:space="0" w:color="auto"/>
              <w:right w:val="single" w:sz="6" w:space="0" w:color="auto"/>
            </w:tcBorders>
          </w:tcPr>
          <w:p w:rsidR="000B0C32" w:rsidRPr="00FA3856" w:rsidRDefault="000B0C32" w:rsidP="000B0C32">
            <w:pPr>
              <w:pStyle w:val="PSDS-CorpodeTexto0"/>
              <w:rPr>
                <w:rFonts w:ascii="Times New Roman" w:hAnsi="Times New Roman"/>
                <w:lang w:val="pt-PT"/>
              </w:rPr>
            </w:pPr>
            <w:r w:rsidRPr="00FA3856">
              <w:rPr>
                <w:rFonts w:ascii="Times New Roman" w:hAnsi="Times New Roman"/>
                <w:lang w:val="pt-PT"/>
              </w:rPr>
              <w:t>Erro</w:t>
            </w:r>
          </w:p>
          <w:p w:rsidR="000B0C32" w:rsidRPr="00FA3856" w:rsidRDefault="000B0C32" w:rsidP="000B0C32">
            <w:pPr>
              <w:pStyle w:val="PSDS-CorpodeTexto0"/>
              <w:rPr>
                <w:rFonts w:ascii="Times New Roman" w:hAnsi="Times New Roman"/>
                <w:lang w:val="pt-PT"/>
              </w:rPr>
            </w:pPr>
          </w:p>
        </w:tc>
      </w:tr>
    </w:tbl>
    <w:p w:rsidR="000B0C32" w:rsidRPr="00FA3856" w:rsidRDefault="000B0C32" w:rsidP="000B0C32">
      <w:pPr>
        <w:rPr>
          <w:b/>
          <w:color w:val="002060"/>
          <w:szCs w:val="20"/>
        </w:rPr>
      </w:pPr>
    </w:p>
    <w:p w:rsidR="002E2501" w:rsidRDefault="002159D6" w:rsidP="002159D6">
      <w:pPr>
        <w:rPr>
          <w:b/>
          <w:color w:val="002060"/>
          <w:szCs w:val="20"/>
        </w:rPr>
      </w:pPr>
      <w:r w:rsidRPr="00FA3856">
        <w:rPr>
          <w:b/>
          <w:color w:val="002060"/>
          <w:szCs w:val="20"/>
        </w:rPr>
        <w:t>Exemplo de Preenchimento:</w:t>
      </w:r>
    </w:p>
    <w:p w:rsidR="002E2501" w:rsidRDefault="002159D6" w:rsidP="002159D6">
      <w:pPr>
        <w:rPr>
          <w:b/>
          <w:color w:val="002060"/>
          <w:szCs w:val="20"/>
        </w:rPr>
      </w:pPr>
      <w:r w:rsidRPr="00FA3856">
        <w:rPr>
          <w:b/>
          <w:color w:val="002060"/>
          <w:szCs w:val="20"/>
        </w:rPr>
        <w:t xml:space="preserve"> </w:t>
      </w:r>
    </w:p>
    <w:p w:rsidR="000B0C32" w:rsidRPr="00FA3856" w:rsidRDefault="000B0C32" w:rsidP="002159D6">
      <w:pPr>
        <w:rPr>
          <w:b/>
          <w:color w:val="002060"/>
          <w:szCs w:val="20"/>
        </w:rPr>
      </w:pPr>
      <w:r w:rsidRPr="00FA3856">
        <w:rPr>
          <w:b/>
          <w:color w:val="002060"/>
          <w:szCs w:val="20"/>
        </w:rPr>
        <w:t>|Y580|1111111100191|03|02|100000,00|</w:t>
      </w:r>
    </w:p>
    <w:p w:rsidR="000B0C32" w:rsidRPr="00FA3856" w:rsidRDefault="000B0C32" w:rsidP="000B0C32">
      <w:pPr>
        <w:pStyle w:val="Corpodetexto"/>
        <w:ind w:left="708" w:firstLine="709"/>
        <w:rPr>
          <w:rFonts w:ascii="Times New Roman" w:hAnsi="Times New Roman"/>
          <w:color w:val="002060"/>
          <w:szCs w:val="20"/>
        </w:rPr>
      </w:pPr>
      <w:r w:rsidRPr="00FA3856">
        <w:rPr>
          <w:rFonts w:ascii="Times New Roman" w:hAnsi="Times New Roman"/>
          <w:color w:val="002060"/>
          <w:szCs w:val="20"/>
        </w:rPr>
        <w:t>|Y580|: Identificação do tipo do registro.</w:t>
      </w:r>
    </w:p>
    <w:p w:rsidR="000B0C32" w:rsidRPr="00FA3856" w:rsidRDefault="000B0C32" w:rsidP="000B0C32">
      <w:pPr>
        <w:pStyle w:val="Corpodetexto"/>
        <w:ind w:left="708" w:firstLine="709"/>
        <w:rPr>
          <w:rFonts w:ascii="Times New Roman" w:hAnsi="Times New Roman"/>
          <w:color w:val="002060"/>
          <w:szCs w:val="20"/>
        </w:rPr>
      </w:pPr>
      <w:r w:rsidRPr="00FA3856">
        <w:rPr>
          <w:rFonts w:ascii="Times New Roman" w:hAnsi="Times New Roman"/>
          <w:color w:val="002060"/>
          <w:szCs w:val="20"/>
        </w:rPr>
        <w:t>|11111111000191|: CNPJ do partido político, comitê financeiro de partido político ou candidato a cargo eletivo beneficiário da doação (CNPJ = 11.111.111/0001-91).</w:t>
      </w:r>
    </w:p>
    <w:p w:rsidR="000B0C32" w:rsidRPr="00FA3856" w:rsidRDefault="000B0C32" w:rsidP="000B0C32">
      <w:pPr>
        <w:pStyle w:val="Corpodetexto"/>
        <w:ind w:left="708" w:firstLine="709"/>
        <w:rPr>
          <w:rFonts w:ascii="Times New Roman" w:hAnsi="Times New Roman"/>
          <w:color w:val="002060"/>
          <w:szCs w:val="20"/>
        </w:rPr>
      </w:pPr>
      <w:r w:rsidRPr="00FA3856">
        <w:rPr>
          <w:rFonts w:ascii="Times New Roman" w:hAnsi="Times New Roman"/>
          <w:color w:val="002060"/>
          <w:szCs w:val="20"/>
        </w:rPr>
        <w:t>|03|: Tipo de beneficiário da doação (03 = Partido Político).</w:t>
      </w:r>
    </w:p>
    <w:p w:rsidR="000B0C32" w:rsidRPr="00FA3856" w:rsidRDefault="000B0C32" w:rsidP="000B0C32">
      <w:pPr>
        <w:pStyle w:val="Corpodetexto"/>
        <w:ind w:left="708" w:firstLine="709"/>
        <w:rPr>
          <w:rFonts w:ascii="Times New Roman" w:hAnsi="Times New Roman"/>
          <w:color w:val="002060"/>
          <w:szCs w:val="20"/>
        </w:rPr>
      </w:pPr>
      <w:r w:rsidRPr="00FA3856">
        <w:rPr>
          <w:rFonts w:ascii="Times New Roman" w:hAnsi="Times New Roman"/>
          <w:color w:val="002060"/>
          <w:szCs w:val="20"/>
        </w:rPr>
        <w:t>|02|: Forma de doação (02 = Transferência Eletrônica).</w:t>
      </w:r>
    </w:p>
    <w:p w:rsidR="000B0C32" w:rsidRPr="00FA3856" w:rsidRDefault="000B0C32" w:rsidP="000B0C32">
      <w:pPr>
        <w:pStyle w:val="Corpodetexto"/>
        <w:ind w:left="708" w:firstLine="709"/>
        <w:rPr>
          <w:rFonts w:ascii="Times New Roman" w:hAnsi="Times New Roman"/>
          <w:color w:val="002060"/>
          <w:szCs w:val="20"/>
        </w:rPr>
      </w:pPr>
      <w:r w:rsidRPr="00FA3856">
        <w:rPr>
          <w:rFonts w:ascii="Times New Roman" w:hAnsi="Times New Roman"/>
          <w:color w:val="002060"/>
          <w:szCs w:val="20"/>
        </w:rPr>
        <w:t>|100000,00|: Valor da doação efetuada (R$ 100.000,00).</w:t>
      </w:r>
    </w:p>
    <w:p w:rsidR="000B0C32" w:rsidRPr="00FA3856" w:rsidRDefault="000B0C32" w:rsidP="000B0C32">
      <w:pPr>
        <w:ind w:firstLine="708"/>
        <w:rPr>
          <w:b/>
          <w:color w:val="002060"/>
          <w:szCs w:val="20"/>
        </w:rPr>
      </w:pPr>
    </w:p>
    <w:p w:rsidR="003B49DF" w:rsidRPr="00FA3856" w:rsidRDefault="003B49DF" w:rsidP="003B49DF">
      <w:pPr>
        <w:pStyle w:val="PSDS-MarcadoresNivel4"/>
        <w:tabs>
          <w:tab w:val="clear" w:pos="2271"/>
          <w:tab w:val="left" w:pos="720"/>
        </w:tabs>
        <w:spacing w:before="0" w:after="0"/>
        <w:ind w:hanging="648"/>
        <w:rPr>
          <w:rFonts w:ascii="Times New Roman" w:hAnsi="Times New Roman" w:cs="Times New Roman"/>
          <w:szCs w:val="20"/>
        </w:rPr>
      </w:pPr>
    </w:p>
    <w:p w:rsidR="007C696A" w:rsidRPr="00FA3856" w:rsidRDefault="007C696A">
      <w:pPr>
        <w:rPr>
          <w:b/>
          <w:bCs/>
          <w:color w:val="0000FF"/>
          <w:szCs w:val="20"/>
        </w:rPr>
      </w:pPr>
      <w:r w:rsidRPr="00FA3856">
        <w:rPr>
          <w:color w:val="0000FF"/>
          <w:szCs w:val="20"/>
        </w:rPr>
        <w:br w:type="page"/>
      </w:r>
    </w:p>
    <w:p w:rsidR="00A1664A" w:rsidRPr="00FA3856" w:rsidRDefault="00A1664A" w:rsidP="00867F54">
      <w:pPr>
        <w:pStyle w:val="Ttulo4"/>
      </w:pPr>
      <w:bookmarkStart w:id="426" w:name="_Toc479713829"/>
      <w:r w:rsidRPr="00FA3856">
        <w:lastRenderedPageBreak/>
        <w:t>Registro Y590: Ativos no Exterior</w:t>
      </w:r>
      <w:bookmarkEnd w:id="426"/>
    </w:p>
    <w:p w:rsidR="00A1664A" w:rsidRPr="00FA3856" w:rsidRDefault="00A1664A" w:rsidP="00A1664A">
      <w:pPr>
        <w:rPr>
          <w:szCs w:val="20"/>
        </w:rPr>
      </w:pPr>
    </w:p>
    <w:p w:rsidR="000524AE" w:rsidRPr="00FA3856" w:rsidRDefault="00A1664A" w:rsidP="00FD2F4C">
      <w:pPr>
        <w:jc w:val="both"/>
        <w:rPr>
          <w:szCs w:val="20"/>
        </w:rPr>
      </w:pPr>
      <w:r w:rsidRPr="00FA3856">
        <w:rPr>
          <w:szCs w:val="20"/>
        </w:rPr>
        <w:tab/>
      </w:r>
      <w:r w:rsidR="000524AE" w:rsidRPr="00FA3856">
        <w:rPr>
          <w:szCs w:val="20"/>
        </w:rPr>
        <w:t>Este registro deve ser preenchido por todas as pessoas jurídicas</w:t>
      </w:r>
      <w:r w:rsidR="00826398" w:rsidRPr="00FA3856">
        <w:rPr>
          <w:szCs w:val="20"/>
        </w:rPr>
        <w:t xml:space="preserve"> que possuem ativos no exterior</w:t>
      </w:r>
      <w:r w:rsidR="000524AE" w:rsidRPr="00FA3856">
        <w:rPr>
          <w:szCs w:val="20"/>
        </w:rPr>
        <w:t xml:space="preserve">, salvo quando o valor contábil total dos ativos </w:t>
      </w:r>
      <w:r w:rsidR="00826398" w:rsidRPr="00FA3856">
        <w:rPr>
          <w:szCs w:val="20"/>
        </w:rPr>
        <w:t xml:space="preserve">no exterior </w:t>
      </w:r>
      <w:r w:rsidR="000524AE" w:rsidRPr="00FA3856">
        <w:rPr>
          <w:szCs w:val="20"/>
        </w:rPr>
        <w:t>a declarar, convertido para reais (R$) no final do período abrangido pela ECF, for inferior a R$ 100.000,00 (cem mil reais). O valor do ativo no exterior é convertido em reais (R$) tomando-se por base a taxa de câmbio da moeda do país de origem, fixada para venda, pelo Banco Central do Brasil, correspondente à data de seu efetivo pagamento. Caso a moeda do país de origem não tenha cotação no Brasi</w:t>
      </w:r>
      <w:r w:rsidR="00FD2F4C" w:rsidRPr="00FA3856">
        <w:rPr>
          <w:szCs w:val="20"/>
        </w:rPr>
        <w:t>l, o seu valor é convertido em d</w:t>
      </w:r>
      <w:r w:rsidR="000524AE" w:rsidRPr="00FA3856">
        <w:rPr>
          <w:szCs w:val="20"/>
        </w:rPr>
        <w:t>ólares dos Estados Unido</w:t>
      </w:r>
      <w:r w:rsidR="00FD2F4C" w:rsidRPr="00FA3856">
        <w:rPr>
          <w:szCs w:val="20"/>
        </w:rPr>
        <w:t>s da América e, em seguida, em r</w:t>
      </w:r>
      <w:r w:rsidR="000524AE" w:rsidRPr="00FA3856">
        <w:rPr>
          <w:szCs w:val="20"/>
        </w:rPr>
        <w:t>eais</w:t>
      </w:r>
      <w:r w:rsidR="00FD2F4C" w:rsidRPr="00FA3856">
        <w:rPr>
          <w:szCs w:val="20"/>
        </w:rPr>
        <w:t xml:space="preserve"> (R$)</w:t>
      </w:r>
      <w:r w:rsidR="000524AE" w:rsidRPr="00FA3856">
        <w:rPr>
          <w:szCs w:val="20"/>
        </w:rPr>
        <w:t>.</w:t>
      </w:r>
    </w:p>
    <w:p w:rsidR="002E2501" w:rsidRDefault="002E2501" w:rsidP="002E2501">
      <w:pPr>
        <w:jc w:val="center"/>
        <w:rPr>
          <w:b/>
          <w:color w:val="002060"/>
          <w:szCs w:val="20"/>
        </w:rPr>
      </w:pPr>
    </w:p>
    <w:p w:rsidR="002E2501" w:rsidRPr="00FA3856" w:rsidRDefault="00B35FA3" w:rsidP="002E2501">
      <w:pPr>
        <w:jc w:val="center"/>
        <w:rPr>
          <w:b/>
          <w:color w:val="002060"/>
          <w:szCs w:val="20"/>
        </w:rPr>
      </w:pPr>
      <w:r>
        <w:rPr>
          <w:b/>
          <w:color w:val="002060"/>
          <w:szCs w:val="20"/>
        </w:rPr>
        <w:object w:dxaOrig="14835" w:dyaOrig="5400">
          <v:shape id="_x0000_i2058" type="#_x0000_t75" style="width:792.75pt;height:262.5pt" o:ole="">
            <v:imagedata r:id="rId850" o:title=""/>
          </v:shape>
          <o:OLEObject Type="Link" ProgID="Excel.Sheet.12" ShapeID="_x0000_i2058" DrawAspect="Content" r:id="rId851" UpdateMode="Always">
            <o:LinkType>EnhancedMetaFile</o:LinkType>
            <o:LockedField>false</o:LockedField>
          </o:OLEObject>
        </w:object>
      </w:r>
    </w:p>
    <w:p w:rsidR="002159D6" w:rsidRPr="00FA3856" w:rsidRDefault="002159D6" w:rsidP="00FD2F4C">
      <w:pPr>
        <w:rPr>
          <w:b/>
          <w:color w:val="002060"/>
          <w:szCs w:val="20"/>
        </w:rPr>
      </w:pPr>
    </w:p>
    <w:p w:rsidR="002159D6" w:rsidRDefault="002159D6" w:rsidP="00FD2F4C">
      <w:pPr>
        <w:rPr>
          <w:b/>
          <w:color w:val="002060"/>
          <w:szCs w:val="20"/>
        </w:rPr>
      </w:pPr>
    </w:p>
    <w:p w:rsidR="002E2501" w:rsidRDefault="002E2501" w:rsidP="00FD2F4C">
      <w:pPr>
        <w:rPr>
          <w:b/>
          <w:color w:val="002060"/>
          <w:szCs w:val="20"/>
        </w:rPr>
      </w:pPr>
    </w:p>
    <w:p w:rsidR="002E2501" w:rsidRDefault="002E2501" w:rsidP="00FD2F4C">
      <w:pPr>
        <w:rPr>
          <w:b/>
          <w:color w:val="002060"/>
          <w:szCs w:val="20"/>
        </w:rPr>
      </w:pPr>
    </w:p>
    <w:p w:rsidR="002E2501" w:rsidRDefault="002E2501" w:rsidP="00FD2F4C">
      <w:pPr>
        <w:rPr>
          <w:b/>
          <w:color w:val="002060"/>
          <w:szCs w:val="20"/>
        </w:rPr>
      </w:pPr>
    </w:p>
    <w:p w:rsidR="002E2501" w:rsidRDefault="002E2501" w:rsidP="00FD2F4C">
      <w:pPr>
        <w:rPr>
          <w:b/>
          <w:color w:val="002060"/>
          <w:szCs w:val="20"/>
        </w:rPr>
      </w:pPr>
    </w:p>
    <w:p w:rsidR="002E2501" w:rsidRDefault="002E2501" w:rsidP="00FD2F4C">
      <w:pPr>
        <w:rPr>
          <w:b/>
          <w:color w:val="002060"/>
          <w:szCs w:val="20"/>
        </w:rPr>
      </w:pPr>
    </w:p>
    <w:p w:rsidR="002E2501" w:rsidRDefault="002E2501" w:rsidP="00FD2F4C">
      <w:pPr>
        <w:rPr>
          <w:b/>
          <w:color w:val="002060"/>
          <w:szCs w:val="20"/>
        </w:rPr>
      </w:pPr>
    </w:p>
    <w:p w:rsidR="002E2501" w:rsidRDefault="002E2501" w:rsidP="00FD2F4C">
      <w:pPr>
        <w:rPr>
          <w:b/>
          <w:color w:val="002060"/>
          <w:szCs w:val="20"/>
        </w:rPr>
      </w:pPr>
    </w:p>
    <w:p w:rsidR="002E2501" w:rsidRDefault="002E2501" w:rsidP="00FD2F4C">
      <w:pPr>
        <w:rPr>
          <w:b/>
          <w:color w:val="002060"/>
          <w:szCs w:val="20"/>
        </w:rPr>
      </w:pPr>
    </w:p>
    <w:p w:rsidR="002E2501" w:rsidRDefault="002E2501" w:rsidP="00FD2F4C">
      <w:pPr>
        <w:rPr>
          <w:b/>
          <w:color w:val="002060"/>
          <w:szCs w:val="20"/>
        </w:rPr>
      </w:pPr>
    </w:p>
    <w:p w:rsidR="002E2501" w:rsidRPr="00FA3856" w:rsidRDefault="00B35FA3" w:rsidP="002E2501">
      <w:pPr>
        <w:jc w:val="center"/>
        <w:rPr>
          <w:b/>
          <w:color w:val="002060"/>
          <w:szCs w:val="20"/>
        </w:rPr>
      </w:pPr>
      <w:r>
        <w:rPr>
          <w:b/>
          <w:color w:val="002060"/>
          <w:szCs w:val="20"/>
        </w:rPr>
        <w:object w:dxaOrig="14835" w:dyaOrig="3615">
          <v:shape id="_x0000_i2060" type="#_x0000_t75" style="width:792.75pt;height:174.75pt" o:ole="">
            <v:imagedata r:id="rId852" o:title=""/>
          </v:shape>
          <o:OLEObject Type="Link" ProgID="Excel.Sheet.12" ShapeID="_x0000_i2060" DrawAspect="Content" r:id="rId853" UpdateMode="Always">
            <o:LinkType>EnhancedMetaFile</o:LinkType>
            <o:LockedField>false</o:LockedField>
          </o:OLEObject>
        </w:object>
      </w:r>
    </w:p>
    <w:p w:rsidR="002E2501" w:rsidRDefault="002E2501" w:rsidP="00FD2F4C">
      <w:pPr>
        <w:rPr>
          <w:b/>
          <w:color w:val="002060"/>
          <w:szCs w:val="20"/>
        </w:rPr>
      </w:pPr>
    </w:p>
    <w:p w:rsidR="0067442F" w:rsidRPr="00D756FC" w:rsidRDefault="0067442F" w:rsidP="0067442F">
      <w:pPr>
        <w:rPr>
          <w:b/>
          <w:szCs w:val="20"/>
          <w:lang w:val="pt-PT"/>
        </w:rPr>
      </w:pPr>
      <w:r w:rsidRPr="00D756FC">
        <w:rPr>
          <w:b/>
          <w:szCs w:val="20"/>
          <w:lang w:val="pt-PT"/>
        </w:rPr>
        <w:t>I – Regras de Validação do Registro:</w:t>
      </w:r>
    </w:p>
    <w:p w:rsidR="0067442F" w:rsidRPr="00D756FC" w:rsidRDefault="0067442F" w:rsidP="0067442F">
      <w:pPr>
        <w:rPr>
          <w:b/>
          <w:szCs w:val="20"/>
          <w:lang w:val="pt-PT"/>
        </w:rPr>
      </w:pPr>
    </w:p>
    <w:p w:rsidR="0067442F" w:rsidRPr="00FA3856" w:rsidRDefault="0067442F" w:rsidP="0067442F">
      <w:pPr>
        <w:pStyle w:val="Corpodetexto"/>
        <w:ind w:left="708" w:firstLine="12"/>
        <w:rPr>
          <w:rFonts w:ascii="Times New Roman" w:hAnsi="Times New Roman"/>
          <w:szCs w:val="20"/>
        </w:rPr>
      </w:pPr>
      <w:r w:rsidRPr="00D756FC">
        <w:rPr>
          <w:rFonts w:ascii="Times New Roman" w:hAnsi="Times New Roman" w:cs="Times New Roman"/>
          <w:b/>
        </w:rPr>
        <w:t>REGRA_IND_PART_EXT_Y590</w:t>
      </w:r>
      <w:r w:rsidRPr="00D756FC">
        <w:rPr>
          <w:rFonts w:ascii="Times New Roman" w:hAnsi="Times New Roman" w:cs="Times New Roman"/>
          <w:color w:val="auto"/>
          <w:szCs w:val="20"/>
        </w:rPr>
        <w:t>:</w:t>
      </w:r>
      <w:r w:rsidRPr="00D756FC">
        <w:rPr>
          <w:rFonts w:ascii="Times New Roman" w:hAnsi="Times New Roman"/>
          <w:color w:val="auto"/>
          <w:szCs w:val="20"/>
        </w:rPr>
        <w:t xml:space="preserve"> </w:t>
      </w:r>
      <w:r w:rsidRPr="00D756FC">
        <w:rPr>
          <w:rFonts w:ascii="Times New Roman" w:hAnsi="Times New Roman"/>
          <w:szCs w:val="20"/>
        </w:rPr>
        <w:t>Verifica, quando 0020.IND_PART_EXT é igual a “S” (Sim) e 0020.IND_ATIV_EXT é igual a “N”</w:t>
      </w:r>
      <w:r w:rsidR="007E1445" w:rsidRPr="00D756FC">
        <w:rPr>
          <w:rFonts w:ascii="Times New Roman" w:hAnsi="Times New Roman"/>
          <w:szCs w:val="20"/>
        </w:rPr>
        <w:t xml:space="preserve"> (Não)</w:t>
      </w:r>
      <w:r w:rsidRPr="00D756FC">
        <w:rPr>
          <w:rFonts w:ascii="Times New Roman" w:hAnsi="Times New Roman"/>
          <w:szCs w:val="20"/>
        </w:rPr>
        <w:t>, se o registro Y590 foi preenchido. Se a regra não for cumprida, a ECF gera um aviso.</w:t>
      </w:r>
    </w:p>
    <w:p w:rsidR="0067442F" w:rsidRDefault="0067442F" w:rsidP="00FD2F4C">
      <w:pPr>
        <w:rPr>
          <w:b/>
          <w:color w:val="002060"/>
          <w:szCs w:val="20"/>
        </w:rPr>
      </w:pPr>
    </w:p>
    <w:p w:rsidR="00FD2F4C" w:rsidRPr="00FA3856" w:rsidRDefault="00FD2F4C" w:rsidP="00FD2F4C">
      <w:pPr>
        <w:rPr>
          <w:b/>
          <w:color w:val="002060"/>
          <w:szCs w:val="20"/>
        </w:rPr>
      </w:pPr>
      <w:r w:rsidRPr="00FA3856">
        <w:rPr>
          <w:b/>
          <w:color w:val="002060"/>
          <w:szCs w:val="20"/>
        </w:rPr>
        <w:t xml:space="preserve">Exemplo de Preenchimento: </w:t>
      </w:r>
    </w:p>
    <w:p w:rsidR="002E2501" w:rsidRDefault="002E2501" w:rsidP="002E2501">
      <w:pPr>
        <w:rPr>
          <w:b/>
          <w:color w:val="002060"/>
          <w:szCs w:val="20"/>
        </w:rPr>
      </w:pPr>
    </w:p>
    <w:p w:rsidR="00FD2F4C" w:rsidRPr="00FA3856" w:rsidRDefault="00FD2F4C" w:rsidP="002E2501">
      <w:pPr>
        <w:rPr>
          <w:b/>
          <w:color w:val="002060"/>
          <w:szCs w:val="20"/>
        </w:rPr>
      </w:pPr>
      <w:r w:rsidRPr="00FA3856">
        <w:rPr>
          <w:b/>
          <w:color w:val="002060"/>
          <w:szCs w:val="20"/>
        </w:rPr>
        <w:t>|Y590|</w:t>
      </w:r>
      <w:r w:rsidR="007369B9" w:rsidRPr="00FA3856">
        <w:rPr>
          <w:b/>
          <w:color w:val="002060"/>
          <w:szCs w:val="20"/>
        </w:rPr>
        <w:t>0331|249|10.000 AÇÕES DA COMPANHIA ABC ADQUIRIDAS EM 20/02/2014 POR MEIO DA BOLSA DE VALORES DE NOVA YORK POR U$ 100.000,00|0|300000,00|</w:t>
      </w:r>
    </w:p>
    <w:p w:rsidR="00FD2F4C" w:rsidRPr="00FA3856" w:rsidRDefault="00FD2F4C" w:rsidP="00FD2F4C">
      <w:pPr>
        <w:pStyle w:val="Corpodetexto"/>
        <w:ind w:left="708" w:firstLine="709"/>
        <w:rPr>
          <w:rFonts w:ascii="Times New Roman" w:hAnsi="Times New Roman"/>
          <w:color w:val="002060"/>
          <w:szCs w:val="20"/>
        </w:rPr>
      </w:pPr>
      <w:r w:rsidRPr="00FA3856">
        <w:rPr>
          <w:rFonts w:ascii="Times New Roman" w:hAnsi="Times New Roman"/>
          <w:color w:val="002060"/>
          <w:szCs w:val="20"/>
        </w:rPr>
        <w:t>|Y</w:t>
      </w:r>
      <w:r w:rsidR="007369B9" w:rsidRPr="00FA3856">
        <w:rPr>
          <w:rFonts w:ascii="Times New Roman" w:hAnsi="Times New Roman"/>
          <w:color w:val="002060"/>
          <w:szCs w:val="20"/>
        </w:rPr>
        <w:t>590</w:t>
      </w:r>
      <w:r w:rsidRPr="00FA3856">
        <w:rPr>
          <w:rFonts w:ascii="Times New Roman" w:hAnsi="Times New Roman"/>
          <w:color w:val="002060"/>
          <w:szCs w:val="20"/>
        </w:rPr>
        <w:t>|: Identificação do tipo do registro.</w:t>
      </w:r>
    </w:p>
    <w:p w:rsidR="007369B9" w:rsidRPr="00FA3856" w:rsidRDefault="007369B9" w:rsidP="00FD2F4C">
      <w:pPr>
        <w:pStyle w:val="Corpodetexto"/>
        <w:ind w:left="708" w:firstLine="709"/>
        <w:rPr>
          <w:rFonts w:ascii="Times New Roman" w:hAnsi="Times New Roman"/>
          <w:color w:val="002060"/>
          <w:szCs w:val="20"/>
        </w:rPr>
      </w:pPr>
      <w:r w:rsidRPr="00FA3856">
        <w:rPr>
          <w:rFonts w:ascii="Times New Roman" w:hAnsi="Times New Roman"/>
          <w:color w:val="002060"/>
          <w:szCs w:val="20"/>
        </w:rPr>
        <w:t>|0331|: Tipo do ativo no exterior (0331 = Ações).</w:t>
      </w:r>
    </w:p>
    <w:p w:rsidR="007369B9" w:rsidRPr="00FA3856" w:rsidRDefault="007369B9" w:rsidP="00FD2F4C">
      <w:pPr>
        <w:pStyle w:val="Corpodetexto"/>
        <w:ind w:left="708" w:firstLine="709"/>
        <w:rPr>
          <w:rFonts w:ascii="Times New Roman" w:hAnsi="Times New Roman"/>
          <w:color w:val="002060"/>
          <w:szCs w:val="20"/>
        </w:rPr>
      </w:pPr>
      <w:r w:rsidRPr="00FA3856">
        <w:rPr>
          <w:rFonts w:ascii="Times New Roman" w:hAnsi="Times New Roman"/>
          <w:color w:val="002060"/>
          <w:szCs w:val="20"/>
        </w:rPr>
        <w:t>|249|: Código do país (249 = Estados Unidos da América).</w:t>
      </w:r>
    </w:p>
    <w:p w:rsidR="007369B9" w:rsidRPr="00FA3856" w:rsidRDefault="007369B9" w:rsidP="00FD2F4C">
      <w:pPr>
        <w:pStyle w:val="Corpodetexto"/>
        <w:ind w:left="708" w:firstLine="709"/>
        <w:rPr>
          <w:rFonts w:ascii="Times New Roman" w:hAnsi="Times New Roman"/>
          <w:color w:val="002060"/>
          <w:szCs w:val="20"/>
        </w:rPr>
      </w:pPr>
      <w:r w:rsidRPr="00FA3856">
        <w:rPr>
          <w:rFonts w:ascii="Times New Roman" w:hAnsi="Times New Roman"/>
          <w:color w:val="002060"/>
          <w:szCs w:val="20"/>
        </w:rPr>
        <w:t>|10.000 AÇÕES DA COMPANHIA ABC ADQUIRIDAS EM 20/02/2014 POR MEIO DA BOLSA DE VALORES DE NOVA YORK POR U$ 100.000,00|: Discriminação do ativo.</w:t>
      </w:r>
    </w:p>
    <w:p w:rsidR="007369B9" w:rsidRPr="00FA3856" w:rsidRDefault="007369B9" w:rsidP="00FD2F4C">
      <w:pPr>
        <w:pStyle w:val="Corpodetexto"/>
        <w:ind w:left="708" w:firstLine="709"/>
        <w:rPr>
          <w:rFonts w:ascii="Times New Roman" w:hAnsi="Times New Roman"/>
          <w:color w:val="002060"/>
          <w:szCs w:val="20"/>
        </w:rPr>
      </w:pPr>
      <w:r w:rsidRPr="00FA3856">
        <w:rPr>
          <w:rFonts w:ascii="Times New Roman" w:hAnsi="Times New Roman"/>
          <w:color w:val="002060"/>
          <w:szCs w:val="20"/>
        </w:rPr>
        <w:t>|0|: Não há valor anterior, pois foi adquirida no período da ECF.</w:t>
      </w:r>
    </w:p>
    <w:p w:rsidR="007369B9" w:rsidRPr="00FA3856" w:rsidRDefault="007369B9" w:rsidP="00FD2F4C">
      <w:pPr>
        <w:pStyle w:val="Corpodetexto"/>
        <w:ind w:left="708" w:firstLine="709"/>
        <w:rPr>
          <w:rFonts w:ascii="Times New Roman" w:hAnsi="Times New Roman"/>
          <w:color w:val="002060"/>
          <w:szCs w:val="20"/>
        </w:rPr>
      </w:pPr>
      <w:r w:rsidRPr="00FA3856">
        <w:rPr>
          <w:rFonts w:ascii="Times New Roman" w:hAnsi="Times New Roman"/>
          <w:color w:val="002060"/>
          <w:szCs w:val="20"/>
        </w:rPr>
        <w:t>|300000,00|: Valor no final do período atual (R$ 300.000,00).</w:t>
      </w:r>
    </w:p>
    <w:p w:rsidR="007369B9" w:rsidRPr="00FA3856" w:rsidRDefault="007369B9" w:rsidP="00FD2F4C">
      <w:pPr>
        <w:pStyle w:val="Corpodetexto"/>
        <w:ind w:left="708" w:firstLine="709"/>
        <w:rPr>
          <w:rFonts w:ascii="Times New Roman" w:hAnsi="Times New Roman"/>
          <w:color w:val="002060"/>
          <w:szCs w:val="20"/>
        </w:rPr>
      </w:pPr>
    </w:p>
    <w:p w:rsidR="007369B9" w:rsidRPr="00FA3856" w:rsidRDefault="007369B9" w:rsidP="00FD2F4C">
      <w:pPr>
        <w:pStyle w:val="Corpodetexto"/>
        <w:ind w:left="708" w:firstLine="709"/>
        <w:rPr>
          <w:rFonts w:ascii="Times New Roman" w:hAnsi="Times New Roman"/>
          <w:color w:val="002060"/>
          <w:szCs w:val="20"/>
        </w:rPr>
      </w:pPr>
    </w:p>
    <w:p w:rsidR="003B49DF" w:rsidRPr="00FA3856" w:rsidRDefault="003B49DF" w:rsidP="003B49DF">
      <w:pPr>
        <w:pStyle w:val="PSDS-MarcadoresNivel4"/>
        <w:tabs>
          <w:tab w:val="clear" w:pos="2271"/>
          <w:tab w:val="left" w:pos="720"/>
        </w:tabs>
        <w:spacing w:before="0" w:after="0"/>
        <w:ind w:hanging="648"/>
        <w:rPr>
          <w:rFonts w:ascii="Times New Roman" w:hAnsi="Times New Roman" w:cs="Times New Roman"/>
          <w:szCs w:val="20"/>
        </w:rPr>
      </w:pPr>
    </w:p>
    <w:p w:rsidR="009417D6" w:rsidRPr="00FA3856" w:rsidRDefault="004C2BD3" w:rsidP="007C696A">
      <w:pPr>
        <w:pStyle w:val="PSDS-MarcadoresNivel4"/>
        <w:tabs>
          <w:tab w:val="clear" w:pos="2271"/>
          <w:tab w:val="left" w:pos="720"/>
        </w:tabs>
        <w:spacing w:before="0" w:after="0"/>
        <w:ind w:left="0" w:firstLine="0"/>
        <w:rPr>
          <w:rFonts w:ascii="Times New Roman" w:hAnsi="Times New Roman" w:cs="Times New Roman"/>
          <w:color w:val="0000FF"/>
          <w:szCs w:val="20"/>
        </w:rPr>
      </w:pPr>
      <w:r w:rsidRPr="00FA3856">
        <w:rPr>
          <w:rFonts w:ascii="Times New Roman" w:hAnsi="Times New Roman" w:cs="Times New Roman"/>
          <w:color w:val="0000FF"/>
          <w:szCs w:val="20"/>
        </w:rPr>
        <w:br w:type="page"/>
      </w:r>
    </w:p>
    <w:p w:rsidR="004C2BD3" w:rsidRPr="00FA3856" w:rsidRDefault="004C2BD3" w:rsidP="00867F54">
      <w:pPr>
        <w:pStyle w:val="Ttulo4"/>
      </w:pPr>
      <w:bookmarkStart w:id="427" w:name="_Toc479713830"/>
      <w:r w:rsidRPr="00FA3856">
        <w:lastRenderedPageBreak/>
        <w:t xml:space="preserve">Registro Y600: Identificação </w:t>
      </w:r>
      <w:r w:rsidR="00CB364F" w:rsidRPr="00FA3856">
        <w:t xml:space="preserve">e </w:t>
      </w:r>
      <w:r w:rsidR="0083216C">
        <w:t>Remuneração</w:t>
      </w:r>
      <w:r w:rsidR="00CB364F" w:rsidRPr="00FA3856">
        <w:t xml:space="preserve"> de </w:t>
      </w:r>
      <w:r w:rsidR="00961BDE">
        <w:t>Sócios, Titulares, Dirigentes e Conselheiros</w:t>
      </w:r>
      <w:bookmarkEnd w:id="427"/>
    </w:p>
    <w:p w:rsidR="004C2BD3" w:rsidRPr="00FA3856" w:rsidRDefault="004C2BD3" w:rsidP="004C2BD3">
      <w:pPr>
        <w:rPr>
          <w:szCs w:val="20"/>
        </w:rPr>
      </w:pPr>
    </w:p>
    <w:p w:rsidR="00F9169B" w:rsidRPr="00D756FC" w:rsidRDefault="00F9169B" w:rsidP="00F9169B">
      <w:pPr>
        <w:ind w:firstLine="708"/>
        <w:jc w:val="both"/>
        <w:rPr>
          <w:szCs w:val="20"/>
        </w:rPr>
      </w:pPr>
      <w:r w:rsidRPr="00D756FC">
        <w:rPr>
          <w:szCs w:val="20"/>
        </w:rPr>
        <w:t xml:space="preserve">Este registro deve ser preenchido pela pessoa jurídica com dados dos 999 (novecentos </w:t>
      </w:r>
      <w:r w:rsidR="007F2FDC" w:rsidRPr="00D756FC">
        <w:rPr>
          <w:szCs w:val="20"/>
        </w:rPr>
        <w:t>e noventa e nove) maiores dirigentes, conselheiros, sócios</w:t>
      </w:r>
      <w:r w:rsidRPr="00D756FC">
        <w:rPr>
          <w:szCs w:val="20"/>
        </w:rPr>
        <w:t xml:space="preserve"> ou dos titulares no período </w:t>
      </w:r>
      <w:r w:rsidR="00D76261" w:rsidRPr="00D756FC">
        <w:rPr>
          <w:szCs w:val="20"/>
        </w:rPr>
        <w:t xml:space="preserve">da ECF, inclusive os sócios, titulares, dirigentes e conselheiros </w:t>
      </w:r>
      <w:r w:rsidRPr="00D756FC">
        <w:rPr>
          <w:szCs w:val="20"/>
        </w:rPr>
        <w:t xml:space="preserve">que tenham saído da </w:t>
      </w:r>
      <w:r w:rsidR="00D76261" w:rsidRPr="00D756FC">
        <w:rPr>
          <w:szCs w:val="20"/>
        </w:rPr>
        <w:t xml:space="preserve">sociedade no período </w:t>
      </w:r>
      <w:r w:rsidRPr="00D756FC">
        <w:rPr>
          <w:szCs w:val="20"/>
        </w:rPr>
        <w:t>e não fazem parte do quadro societário</w:t>
      </w:r>
      <w:r w:rsidR="00D76261" w:rsidRPr="00D756FC">
        <w:rPr>
          <w:szCs w:val="20"/>
        </w:rPr>
        <w:t xml:space="preserve"> na data final da ECF; </w:t>
      </w:r>
      <w:r w:rsidR="007F2FDC" w:rsidRPr="00D756FC">
        <w:rPr>
          <w:szCs w:val="20"/>
        </w:rPr>
        <w:t>ou o</w:t>
      </w:r>
      <w:r w:rsidR="00420A32" w:rsidRPr="00D756FC">
        <w:rPr>
          <w:szCs w:val="20"/>
        </w:rPr>
        <w:t>s</w:t>
      </w:r>
      <w:r w:rsidR="007F2FDC" w:rsidRPr="00D756FC">
        <w:rPr>
          <w:szCs w:val="20"/>
        </w:rPr>
        <w:t xml:space="preserve"> dirigentes e conselheiros que tenham saído da pessoa jurídica no período e não fazem parte da pessoa jurídica na data final</w:t>
      </w:r>
      <w:r w:rsidR="00D76261" w:rsidRPr="00D756FC">
        <w:rPr>
          <w:szCs w:val="20"/>
        </w:rPr>
        <w:t xml:space="preserve"> da ECF.</w:t>
      </w:r>
    </w:p>
    <w:p w:rsidR="00562F69" w:rsidRPr="00D756FC" w:rsidRDefault="00562F69" w:rsidP="00B93932">
      <w:pPr>
        <w:jc w:val="both"/>
        <w:rPr>
          <w:szCs w:val="20"/>
        </w:rPr>
      </w:pPr>
    </w:p>
    <w:p w:rsidR="00562F69" w:rsidRPr="00D756FC" w:rsidRDefault="00562F69" w:rsidP="00B93932">
      <w:pPr>
        <w:jc w:val="both"/>
        <w:rPr>
          <w:szCs w:val="20"/>
        </w:rPr>
      </w:pPr>
      <w:r w:rsidRPr="00D756FC">
        <w:rPr>
          <w:szCs w:val="20"/>
        </w:rPr>
        <w:tab/>
        <w:t>Regras de preenchimento:</w:t>
      </w:r>
    </w:p>
    <w:p w:rsidR="00562F69" w:rsidRPr="00D756FC" w:rsidRDefault="00562F69" w:rsidP="00B93932">
      <w:pPr>
        <w:jc w:val="both"/>
        <w:rPr>
          <w:szCs w:val="20"/>
        </w:rPr>
      </w:pPr>
    </w:p>
    <w:p w:rsidR="00D76261" w:rsidRPr="00D76261" w:rsidRDefault="00C51228" w:rsidP="00D76261">
      <w:pPr>
        <w:ind w:firstLine="708"/>
        <w:jc w:val="both"/>
        <w:rPr>
          <w:szCs w:val="20"/>
        </w:rPr>
      </w:pPr>
      <w:r w:rsidRPr="00D756FC">
        <w:rPr>
          <w:color w:val="222222"/>
          <w:szCs w:val="20"/>
          <w:shd w:val="clear" w:color="auto" w:fill="FFFFFF"/>
        </w:rPr>
        <w:t>1 – Informar os 500 maiores</w:t>
      </w:r>
      <w:r w:rsidRPr="00D756FC">
        <w:rPr>
          <w:rStyle w:val="apple-converted-space"/>
          <w:color w:val="222222"/>
          <w:szCs w:val="20"/>
          <w:shd w:val="clear" w:color="auto" w:fill="FFFFFF"/>
        </w:rPr>
        <w:t> </w:t>
      </w:r>
      <w:r w:rsidR="007F2FDC" w:rsidRPr="00D756FC">
        <w:rPr>
          <w:rStyle w:val="apple-converted-space"/>
          <w:color w:val="222222"/>
          <w:szCs w:val="20"/>
          <w:shd w:val="clear" w:color="auto" w:fill="FFFFFF"/>
        </w:rPr>
        <w:t xml:space="preserve">dirigentes, conselheiros, </w:t>
      </w:r>
      <w:r w:rsidRPr="00D756FC">
        <w:rPr>
          <w:bCs/>
          <w:color w:val="222222"/>
          <w:szCs w:val="20"/>
          <w:shd w:val="clear" w:color="auto" w:fill="FFFFFF"/>
        </w:rPr>
        <w:t>sócios</w:t>
      </w:r>
      <w:r w:rsidR="007F2FDC" w:rsidRPr="00D756FC">
        <w:rPr>
          <w:bCs/>
          <w:color w:val="222222"/>
          <w:szCs w:val="20"/>
          <w:shd w:val="clear" w:color="auto" w:fill="FFFFFF"/>
        </w:rPr>
        <w:t xml:space="preserve"> ou titulares</w:t>
      </w:r>
      <w:r w:rsidRPr="00D756FC">
        <w:rPr>
          <w:rStyle w:val="apple-converted-space"/>
          <w:color w:val="222222"/>
          <w:szCs w:val="20"/>
          <w:shd w:val="clear" w:color="auto" w:fill="FFFFFF"/>
        </w:rPr>
        <w:t> </w:t>
      </w:r>
      <w:r w:rsidRPr="00D756FC">
        <w:rPr>
          <w:color w:val="222222"/>
          <w:szCs w:val="20"/>
          <w:shd w:val="clear" w:color="auto" w:fill="FFFFFF"/>
        </w:rPr>
        <w:t>na da</w:t>
      </w:r>
      <w:r w:rsidR="00D76261" w:rsidRPr="00D756FC">
        <w:rPr>
          <w:color w:val="222222"/>
          <w:szCs w:val="20"/>
          <w:shd w:val="clear" w:color="auto" w:fill="FFFFFF"/>
        </w:rPr>
        <w:t>ta final do período de apuração, ordenados pelo total dos campos Y600.</w:t>
      </w:r>
      <w:r w:rsidR="00D76261" w:rsidRPr="00D756FC">
        <w:rPr>
          <w:lang w:val="pt-PT"/>
        </w:rPr>
        <w:t>VL_REM_TRAB; Y600</w:t>
      </w:r>
      <w:r w:rsidR="00D76261" w:rsidRPr="00D756FC">
        <w:rPr>
          <w:szCs w:val="20"/>
        </w:rPr>
        <w:t>.VL_LUC_DIV; Y600.VL_JUR_CAP e Y600. VL_DEM_REND;</w:t>
      </w:r>
    </w:p>
    <w:p w:rsidR="00562F69" w:rsidRPr="007F2FDC" w:rsidRDefault="00562F69" w:rsidP="00D76261">
      <w:pPr>
        <w:ind w:left="1416"/>
        <w:jc w:val="both"/>
        <w:rPr>
          <w:szCs w:val="20"/>
        </w:rPr>
      </w:pPr>
    </w:p>
    <w:p w:rsidR="005E18FE" w:rsidRPr="007F2FDC" w:rsidRDefault="005E18FE" w:rsidP="00B93932">
      <w:pPr>
        <w:jc w:val="both"/>
        <w:rPr>
          <w:szCs w:val="20"/>
        </w:rPr>
      </w:pPr>
    </w:p>
    <w:p w:rsidR="005E18FE" w:rsidRPr="00FA3856" w:rsidRDefault="005E18FE" w:rsidP="005E18FE">
      <w:pPr>
        <w:ind w:left="1416"/>
        <w:jc w:val="both"/>
        <w:rPr>
          <w:szCs w:val="20"/>
        </w:rPr>
      </w:pPr>
      <w:r w:rsidRPr="00FA3856">
        <w:rPr>
          <w:b/>
          <w:szCs w:val="20"/>
        </w:rPr>
        <w:t xml:space="preserve">Observação: </w:t>
      </w:r>
      <w:r w:rsidRPr="00FA3856">
        <w:rPr>
          <w:szCs w:val="20"/>
        </w:rPr>
        <w:t xml:space="preserve">No caso de ações em tesouraria, a sociedade deverá informar </w:t>
      </w:r>
      <w:r w:rsidR="00413511" w:rsidRPr="00FA3856">
        <w:rPr>
          <w:szCs w:val="20"/>
        </w:rPr>
        <w:t xml:space="preserve">uma ocorrência do registro com </w:t>
      </w:r>
      <w:r w:rsidRPr="00FA3856">
        <w:rPr>
          <w:szCs w:val="20"/>
        </w:rPr>
        <w:t>Y600. IND_QUALIF_SOCIO = “PJ”, Y600.CPF_CNPJ = “CNPJ da própria sociedade”</w:t>
      </w:r>
      <w:r w:rsidR="00DE6910" w:rsidRPr="00FA3856">
        <w:rPr>
          <w:szCs w:val="20"/>
        </w:rPr>
        <w:t>, Y600.DT_ALT_SOC = “31/12/Ano da Escrituração” e Y600.NOM_EMP = “Ações em Tesouraria”.</w:t>
      </w:r>
    </w:p>
    <w:p w:rsidR="005E18FE" w:rsidRPr="00FA3856" w:rsidRDefault="005E18FE" w:rsidP="005E18FE">
      <w:pPr>
        <w:tabs>
          <w:tab w:val="left" w:pos="9401"/>
        </w:tabs>
        <w:ind w:left="1416"/>
        <w:jc w:val="both"/>
        <w:rPr>
          <w:szCs w:val="20"/>
        </w:rPr>
      </w:pPr>
      <w:r w:rsidRPr="00FA3856">
        <w:rPr>
          <w:szCs w:val="20"/>
        </w:rPr>
        <w:tab/>
      </w:r>
    </w:p>
    <w:p w:rsidR="00DE6910" w:rsidRPr="00FA3856" w:rsidRDefault="005E18FE" w:rsidP="00DE6910">
      <w:pPr>
        <w:ind w:left="1416"/>
        <w:jc w:val="both"/>
        <w:rPr>
          <w:szCs w:val="20"/>
        </w:rPr>
      </w:pPr>
      <w:r w:rsidRPr="00FA3856">
        <w:rPr>
          <w:b/>
          <w:szCs w:val="20"/>
        </w:rPr>
        <w:t xml:space="preserve">Observação: </w:t>
      </w:r>
      <w:r w:rsidRPr="00FA3856">
        <w:rPr>
          <w:szCs w:val="20"/>
        </w:rPr>
        <w:t xml:space="preserve">No caso de ações em </w:t>
      </w:r>
      <w:r w:rsidRPr="00FA3856">
        <w:rPr>
          <w:i/>
          <w:szCs w:val="20"/>
        </w:rPr>
        <w:t xml:space="preserve">free float </w:t>
      </w:r>
      <w:r w:rsidRPr="00FA3856">
        <w:rPr>
          <w:szCs w:val="20"/>
        </w:rPr>
        <w:t xml:space="preserve">(livre circulante), a sociedade deverá informar </w:t>
      </w:r>
      <w:r w:rsidR="00413511" w:rsidRPr="00FA3856">
        <w:rPr>
          <w:szCs w:val="20"/>
        </w:rPr>
        <w:t xml:space="preserve">uma ocorrência do registro com </w:t>
      </w:r>
      <w:r w:rsidRPr="00FA3856">
        <w:rPr>
          <w:szCs w:val="20"/>
        </w:rPr>
        <w:t>Y600. IND_QUALIF_SOCIO = “PJ”, Y600.CPF_CNPJ = “CNPJ da própria sociedade”</w:t>
      </w:r>
      <w:r w:rsidR="00DE6910" w:rsidRPr="00FA3856">
        <w:rPr>
          <w:szCs w:val="20"/>
        </w:rPr>
        <w:t xml:space="preserve">, Y600.DT_ALT_SOC = “31/12/Ano da Escrituração” e Y600.NOM_EMP = “Ações em </w:t>
      </w:r>
      <w:r w:rsidR="00DE6910" w:rsidRPr="00FA3856">
        <w:rPr>
          <w:i/>
          <w:szCs w:val="20"/>
        </w:rPr>
        <w:t>Free Float</w:t>
      </w:r>
      <w:r w:rsidR="00DE6910" w:rsidRPr="00FA3856">
        <w:rPr>
          <w:szCs w:val="20"/>
        </w:rPr>
        <w:t>”.</w:t>
      </w:r>
    </w:p>
    <w:p w:rsidR="00562F69" w:rsidRPr="00FA3856" w:rsidRDefault="00562F69" w:rsidP="00DE6910">
      <w:pPr>
        <w:ind w:left="1416"/>
        <w:jc w:val="both"/>
        <w:rPr>
          <w:szCs w:val="20"/>
        </w:rPr>
      </w:pPr>
    </w:p>
    <w:p w:rsidR="00D97D5E" w:rsidRPr="00FA3856" w:rsidRDefault="00562F69" w:rsidP="00B93932">
      <w:pPr>
        <w:jc w:val="both"/>
        <w:rPr>
          <w:rStyle w:val="apple-converted-space"/>
          <w:color w:val="222222"/>
          <w:szCs w:val="20"/>
          <w:shd w:val="clear" w:color="auto" w:fill="FFFFFF"/>
        </w:rPr>
      </w:pPr>
      <w:r w:rsidRPr="00FA3856">
        <w:rPr>
          <w:szCs w:val="20"/>
        </w:rPr>
        <w:tab/>
      </w:r>
      <w:r w:rsidR="00C51228" w:rsidRPr="00FA3856">
        <w:rPr>
          <w:color w:val="222222"/>
          <w:szCs w:val="20"/>
          <w:shd w:val="clear" w:color="auto" w:fill="FFFFFF"/>
        </w:rPr>
        <w:t>2 – Informar as 499 maiores alterações  Y600.DT_ALT_SOC</w:t>
      </w:r>
      <w:r w:rsidR="00C51228" w:rsidRPr="00FA3856">
        <w:rPr>
          <w:rStyle w:val="apple-converted-space"/>
          <w:color w:val="222222"/>
          <w:szCs w:val="20"/>
          <w:shd w:val="clear" w:color="auto" w:fill="FFFFFF"/>
        </w:rPr>
        <w:t> </w:t>
      </w:r>
      <w:r w:rsidR="00C51228" w:rsidRPr="00FA3856">
        <w:rPr>
          <w:color w:val="222222"/>
          <w:szCs w:val="20"/>
          <w:shd w:val="clear" w:color="auto" w:fill="FFFFFF"/>
        </w:rPr>
        <w:t>ocorridas durante o período, não contempladas pelo item 1.</w:t>
      </w:r>
      <w:r w:rsidR="00C51228" w:rsidRPr="00FA3856">
        <w:rPr>
          <w:rStyle w:val="apple-converted-space"/>
          <w:color w:val="222222"/>
          <w:szCs w:val="20"/>
          <w:shd w:val="clear" w:color="auto" w:fill="FFFFFF"/>
        </w:rPr>
        <w:t> </w:t>
      </w:r>
    </w:p>
    <w:p w:rsidR="00C51228" w:rsidRPr="00FA3856" w:rsidRDefault="00C51228" w:rsidP="00B93932">
      <w:pPr>
        <w:jc w:val="both"/>
        <w:rPr>
          <w:szCs w:val="20"/>
        </w:rPr>
      </w:pPr>
    </w:p>
    <w:p w:rsidR="00C51228" w:rsidRPr="00FA3856" w:rsidRDefault="00C51228" w:rsidP="00C51228">
      <w:r w:rsidRPr="00FA3856">
        <w:rPr>
          <w:b/>
          <w:bCs/>
          <w:color w:val="2F2F2F"/>
          <w:szCs w:val="20"/>
          <w:shd w:val="clear" w:color="auto" w:fill="FFFFFF"/>
        </w:rPr>
        <w:t>Exemplos de eventos que devem ser registrados: </w:t>
      </w:r>
      <w:r w:rsidRPr="00FA3856">
        <w:rPr>
          <w:rFonts w:ascii="Arial" w:hAnsi="Arial" w:cs="Arial"/>
          <w:color w:val="2F2F2F"/>
          <w:sz w:val="15"/>
          <w:szCs w:val="15"/>
          <w:shd w:val="clear" w:color="auto" w:fill="FFFFFF"/>
        </w:rPr>
        <w:br/>
      </w:r>
    </w:p>
    <w:p w:rsidR="00C51228" w:rsidRPr="00FA3856" w:rsidRDefault="00C51228" w:rsidP="00C51228">
      <w:pPr>
        <w:shd w:val="clear" w:color="auto" w:fill="FFFFFF"/>
        <w:rPr>
          <w:rFonts w:ascii="Arial" w:hAnsi="Arial" w:cs="Arial"/>
          <w:color w:val="222222"/>
          <w:sz w:val="19"/>
          <w:szCs w:val="19"/>
        </w:rPr>
      </w:pPr>
      <w:r w:rsidRPr="00FA3856">
        <w:rPr>
          <w:color w:val="222222"/>
          <w:szCs w:val="20"/>
        </w:rPr>
        <w:t>1- Alteração intermediária da porcentagem de participação no capital social da Pessoa Jurídica </w:t>
      </w:r>
      <w:r w:rsidR="007F2FDC">
        <w:rPr>
          <w:color w:val="2F2F2F"/>
          <w:szCs w:val="20"/>
        </w:rPr>
        <w:t>no curso do período de apuração.</w:t>
      </w:r>
      <w:r w:rsidRPr="00FA3856">
        <w:rPr>
          <w:rFonts w:ascii="Arial" w:hAnsi="Arial" w:cs="Arial"/>
          <w:color w:val="222222"/>
          <w:sz w:val="19"/>
          <w:szCs w:val="19"/>
        </w:rPr>
        <w:br/>
      </w:r>
      <w:r w:rsidRPr="00FA3856">
        <w:rPr>
          <w:rFonts w:ascii="Arial" w:hAnsi="Arial" w:cs="Arial"/>
          <w:color w:val="222222"/>
          <w:sz w:val="19"/>
          <w:szCs w:val="19"/>
        </w:rPr>
        <w:br/>
      </w:r>
      <w:r w:rsidRPr="00FA3856">
        <w:rPr>
          <w:color w:val="222222"/>
          <w:szCs w:val="20"/>
        </w:rPr>
        <w:t>2- </w:t>
      </w:r>
      <w:r w:rsidRPr="00FA3856">
        <w:rPr>
          <w:color w:val="2F2F2F"/>
          <w:szCs w:val="20"/>
        </w:rPr>
        <w:t>Aquisição e alienação de </w:t>
      </w:r>
      <w:r w:rsidRPr="00FA3856">
        <w:rPr>
          <w:color w:val="222222"/>
          <w:szCs w:val="20"/>
        </w:rPr>
        <w:t>participação no capital social da Pessoa Jurídica</w:t>
      </w:r>
      <w:r w:rsidRPr="00FA3856">
        <w:rPr>
          <w:color w:val="2F2F2F"/>
          <w:szCs w:val="20"/>
        </w:rPr>
        <w:t> no curso do período de apuração. Os dois eventos devem estar registrados. </w:t>
      </w:r>
      <w:r w:rsidRPr="00FA3856">
        <w:rPr>
          <w:rFonts w:ascii="Arial" w:hAnsi="Arial" w:cs="Arial"/>
          <w:color w:val="222222"/>
          <w:sz w:val="19"/>
          <w:szCs w:val="19"/>
        </w:rPr>
        <w:br/>
      </w:r>
      <w:r w:rsidRPr="00FA3856">
        <w:rPr>
          <w:rFonts w:ascii="Arial" w:hAnsi="Arial" w:cs="Arial"/>
          <w:color w:val="222222"/>
          <w:sz w:val="19"/>
          <w:szCs w:val="19"/>
        </w:rPr>
        <w:br/>
      </w:r>
      <w:r w:rsidRPr="00FA3856">
        <w:rPr>
          <w:color w:val="222222"/>
          <w:szCs w:val="20"/>
        </w:rPr>
        <w:t>3- Alterações das porcentagens de free float e ações em tesouraria</w:t>
      </w:r>
      <w:r w:rsidR="007F2FDC">
        <w:rPr>
          <w:rFonts w:ascii="Arial" w:hAnsi="Arial" w:cs="Arial"/>
          <w:color w:val="222222"/>
          <w:sz w:val="19"/>
          <w:szCs w:val="19"/>
        </w:rPr>
        <w:t>.</w:t>
      </w:r>
      <w:r w:rsidRPr="00FA3856">
        <w:rPr>
          <w:rFonts w:ascii="Arial" w:hAnsi="Arial" w:cs="Arial"/>
          <w:color w:val="222222"/>
          <w:sz w:val="19"/>
          <w:szCs w:val="19"/>
        </w:rPr>
        <w:br/>
      </w:r>
      <w:r w:rsidRPr="00FA3856">
        <w:rPr>
          <w:rFonts w:ascii="Arial" w:hAnsi="Arial" w:cs="Arial"/>
          <w:color w:val="222222"/>
          <w:sz w:val="19"/>
          <w:szCs w:val="19"/>
        </w:rPr>
        <w:br/>
      </w:r>
      <w:r w:rsidRPr="00FA3856">
        <w:rPr>
          <w:color w:val="222222"/>
          <w:szCs w:val="20"/>
        </w:rPr>
        <w:t>4- Emissões ou cancelamentos de quotas/ ações, mesmo derivadas da conversão de outros valores mobiliários.</w:t>
      </w:r>
      <w:r w:rsidRPr="00FA3856">
        <w:rPr>
          <w:rFonts w:ascii="Arial" w:hAnsi="Arial" w:cs="Arial"/>
          <w:color w:val="222222"/>
          <w:sz w:val="19"/>
          <w:szCs w:val="19"/>
        </w:rPr>
        <w:t> </w:t>
      </w:r>
      <w:r w:rsidRPr="00FA3856">
        <w:rPr>
          <w:rFonts w:ascii="Arial" w:hAnsi="Arial" w:cs="Arial"/>
          <w:color w:val="222222"/>
          <w:sz w:val="19"/>
          <w:szCs w:val="19"/>
        </w:rPr>
        <w:br/>
      </w:r>
      <w:r w:rsidRPr="00FA3856">
        <w:rPr>
          <w:rFonts w:ascii="Arial" w:hAnsi="Arial" w:cs="Arial"/>
          <w:color w:val="222222"/>
          <w:sz w:val="19"/>
          <w:szCs w:val="19"/>
        </w:rPr>
        <w:br/>
      </w:r>
      <w:r w:rsidRPr="00FA3856">
        <w:rPr>
          <w:color w:val="222222"/>
          <w:szCs w:val="20"/>
        </w:rPr>
        <w:t>5- Split ou inplit de ações</w:t>
      </w:r>
      <w:r w:rsidR="007F2FDC">
        <w:rPr>
          <w:rFonts w:ascii="Arial" w:hAnsi="Arial" w:cs="Arial"/>
          <w:color w:val="222222"/>
          <w:sz w:val="19"/>
          <w:szCs w:val="19"/>
        </w:rPr>
        <w:t>.</w:t>
      </w:r>
    </w:p>
    <w:p w:rsidR="00C51228" w:rsidRPr="00FA3856" w:rsidRDefault="00C51228" w:rsidP="00B93932">
      <w:pPr>
        <w:jc w:val="both"/>
        <w:rPr>
          <w:szCs w:val="20"/>
        </w:rPr>
      </w:pPr>
    </w:p>
    <w:p w:rsidR="004C2BD3" w:rsidRPr="00FA3856" w:rsidRDefault="004C2BD3" w:rsidP="004C2BD3">
      <w:pPr>
        <w:rPr>
          <w:szCs w:val="20"/>
        </w:rPr>
      </w:pPr>
    </w:p>
    <w:p w:rsidR="00627E35" w:rsidRPr="00FA3856" w:rsidRDefault="00627E35" w:rsidP="004C2BD3">
      <w:pPr>
        <w:rPr>
          <w:szCs w:val="20"/>
        </w:rPr>
      </w:pPr>
    </w:p>
    <w:p w:rsidR="00627E35" w:rsidRPr="00FA3856" w:rsidRDefault="00627E35" w:rsidP="004C2BD3">
      <w:pPr>
        <w:rPr>
          <w:szCs w:val="20"/>
        </w:rPr>
      </w:pPr>
    </w:p>
    <w:p w:rsidR="00627E35" w:rsidRPr="00FA3856" w:rsidRDefault="00627E35" w:rsidP="004C2BD3">
      <w:pPr>
        <w:rPr>
          <w:szCs w:val="20"/>
        </w:rPr>
      </w:pPr>
    </w:p>
    <w:p w:rsidR="00627E35" w:rsidRPr="00FA3856" w:rsidRDefault="00627E35" w:rsidP="004C2BD3">
      <w:pPr>
        <w:rPr>
          <w:szCs w:val="20"/>
        </w:rPr>
      </w:pPr>
    </w:p>
    <w:p w:rsidR="00627E35" w:rsidRPr="00FA3856" w:rsidRDefault="00627E35" w:rsidP="004C2BD3">
      <w:pPr>
        <w:rPr>
          <w:szCs w:val="20"/>
        </w:rPr>
      </w:pPr>
    </w:p>
    <w:p w:rsidR="00627E35" w:rsidRPr="00FA3856" w:rsidRDefault="00627E35" w:rsidP="004C2BD3">
      <w:pPr>
        <w:rPr>
          <w:szCs w:val="20"/>
        </w:rPr>
      </w:pPr>
    </w:p>
    <w:p w:rsidR="00627E35" w:rsidRPr="00FA3856" w:rsidRDefault="00627E35" w:rsidP="004C2BD3">
      <w:pPr>
        <w:rPr>
          <w:szCs w:val="20"/>
        </w:rPr>
      </w:pPr>
    </w:p>
    <w:p w:rsidR="00627E35" w:rsidRPr="00FA3856" w:rsidRDefault="00B35FA3" w:rsidP="000B6866">
      <w:pPr>
        <w:jc w:val="center"/>
        <w:rPr>
          <w:szCs w:val="20"/>
        </w:rPr>
      </w:pPr>
      <w:r>
        <w:rPr>
          <w:szCs w:val="20"/>
        </w:rPr>
        <w:object w:dxaOrig="14835" w:dyaOrig="8580">
          <v:shape id="_x0000_i2062" type="#_x0000_t75" style="width:792.75pt;height:415.5pt" o:ole="">
            <v:imagedata r:id="rId854" o:title=""/>
          </v:shape>
          <o:OLEObject Type="Link" ProgID="Excel.Sheet.12" ShapeID="_x0000_i2062" DrawAspect="Content" r:id="rId855" UpdateMode="Always">
            <o:LinkType>EnhancedMetaFile</o:LinkType>
            <o:LockedField>false</o:LockedField>
          </o:OLEObject>
        </w:object>
      </w:r>
    </w:p>
    <w:p w:rsidR="000B6866" w:rsidRDefault="000B6866" w:rsidP="009417D6">
      <w:pPr>
        <w:pStyle w:val="PSDS-MarcadoresNivel4"/>
        <w:tabs>
          <w:tab w:val="clear" w:pos="2271"/>
          <w:tab w:val="left" w:pos="720"/>
        </w:tabs>
        <w:spacing w:before="0" w:after="0"/>
        <w:ind w:left="0" w:firstLine="0"/>
        <w:rPr>
          <w:rFonts w:ascii="Times New Roman" w:hAnsi="Times New Roman" w:cs="Times New Roman"/>
          <w:szCs w:val="20"/>
          <w:lang w:val="pt-PT"/>
        </w:rPr>
      </w:pPr>
    </w:p>
    <w:p w:rsidR="000B6866" w:rsidRDefault="000B6866" w:rsidP="009417D6">
      <w:pPr>
        <w:pStyle w:val="PSDS-MarcadoresNivel4"/>
        <w:tabs>
          <w:tab w:val="clear" w:pos="2271"/>
          <w:tab w:val="left" w:pos="720"/>
        </w:tabs>
        <w:spacing w:before="0" w:after="0"/>
        <w:ind w:left="0" w:firstLine="0"/>
        <w:rPr>
          <w:rFonts w:ascii="Times New Roman" w:hAnsi="Times New Roman" w:cs="Times New Roman"/>
          <w:szCs w:val="20"/>
          <w:lang w:val="pt-PT"/>
        </w:rPr>
      </w:pPr>
    </w:p>
    <w:p w:rsidR="000B6866" w:rsidRDefault="000B6866" w:rsidP="009417D6">
      <w:pPr>
        <w:pStyle w:val="PSDS-MarcadoresNivel4"/>
        <w:tabs>
          <w:tab w:val="clear" w:pos="2271"/>
          <w:tab w:val="left" w:pos="720"/>
        </w:tabs>
        <w:spacing w:before="0" w:after="0"/>
        <w:ind w:left="0" w:firstLine="0"/>
        <w:rPr>
          <w:rFonts w:ascii="Times New Roman" w:hAnsi="Times New Roman" w:cs="Times New Roman"/>
          <w:szCs w:val="20"/>
          <w:lang w:val="pt-PT"/>
        </w:rPr>
      </w:pPr>
    </w:p>
    <w:p w:rsidR="000B6866" w:rsidRDefault="00B35FA3" w:rsidP="000B6866">
      <w:pPr>
        <w:pStyle w:val="PSDS-MarcadoresNivel4"/>
        <w:tabs>
          <w:tab w:val="clear" w:pos="2271"/>
          <w:tab w:val="left" w:pos="720"/>
        </w:tabs>
        <w:spacing w:before="0" w:after="0"/>
        <w:ind w:left="0" w:firstLine="0"/>
        <w:jc w:val="center"/>
        <w:rPr>
          <w:rFonts w:ascii="Times New Roman" w:hAnsi="Times New Roman" w:cs="Times New Roman"/>
          <w:szCs w:val="20"/>
          <w:lang w:val="pt-PT"/>
        </w:rPr>
      </w:pPr>
      <w:r>
        <w:rPr>
          <w:rFonts w:ascii="Times New Roman" w:hAnsi="Times New Roman" w:cs="Times New Roman"/>
          <w:szCs w:val="20"/>
          <w:lang w:val="pt-PT"/>
        </w:rPr>
        <w:object w:dxaOrig="14835" w:dyaOrig="9240">
          <v:shape id="_x0000_i2064" type="#_x0000_t75" style="width:792.75pt;height:445.5pt" o:ole="">
            <v:imagedata r:id="rId856" o:title=""/>
          </v:shape>
          <o:OLEObject Type="Link" ProgID="Excel.Sheet.12" ShapeID="_x0000_i2064" DrawAspect="Content" r:id="rId857" UpdateMode="Always">
            <o:LinkType>EnhancedMetaFile</o:LinkType>
            <o:LockedField>false</o:LockedField>
          </o:OLEObject>
        </w:object>
      </w:r>
    </w:p>
    <w:p w:rsidR="000B6866" w:rsidRDefault="00B35FA3" w:rsidP="000B6866">
      <w:pPr>
        <w:pStyle w:val="PSDS-MarcadoresNivel4"/>
        <w:tabs>
          <w:tab w:val="clear" w:pos="2271"/>
          <w:tab w:val="left" w:pos="720"/>
        </w:tabs>
        <w:spacing w:before="0" w:after="0"/>
        <w:ind w:left="0" w:firstLine="0"/>
        <w:jc w:val="center"/>
        <w:rPr>
          <w:rFonts w:ascii="Times New Roman" w:hAnsi="Times New Roman" w:cs="Times New Roman"/>
          <w:szCs w:val="20"/>
          <w:lang w:val="pt-PT"/>
        </w:rPr>
      </w:pPr>
      <w:r>
        <w:rPr>
          <w:rFonts w:ascii="Times New Roman" w:hAnsi="Times New Roman" w:cs="Times New Roman"/>
          <w:szCs w:val="20"/>
          <w:lang w:val="pt-PT"/>
        </w:rPr>
        <w:object w:dxaOrig="14835" w:dyaOrig="9360">
          <v:shape id="_x0000_i2066" type="#_x0000_t75" style="width:792.75pt;height:452.25pt" o:ole="">
            <v:imagedata r:id="rId858" o:title=""/>
          </v:shape>
          <o:OLEObject Type="Link" ProgID="Excel.Sheet.12" ShapeID="_x0000_i2066" DrawAspect="Content" r:id="rId859" UpdateMode="Always">
            <o:LinkType>EnhancedMetaFile</o:LinkType>
            <o:LockedField>false</o:LockedField>
          </o:OLEObject>
        </w:object>
      </w:r>
    </w:p>
    <w:p w:rsidR="000B6866" w:rsidRDefault="000B6866" w:rsidP="009417D6">
      <w:pPr>
        <w:pStyle w:val="PSDS-MarcadoresNivel4"/>
        <w:tabs>
          <w:tab w:val="clear" w:pos="2271"/>
          <w:tab w:val="left" w:pos="720"/>
        </w:tabs>
        <w:spacing w:before="0" w:after="0"/>
        <w:ind w:left="0" w:firstLine="0"/>
        <w:rPr>
          <w:rFonts w:ascii="Times New Roman" w:hAnsi="Times New Roman" w:cs="Times New Roman"/>
          <w:szCs w:val="20"/>
          <w:lang w:val="pt-PT"/>
        </w:rPr>
      </w:pPr>
    </w:p>
    <w:p w:rsidR="009417D6" w:rsidRPr="00FA3856" w:rsidRDefault="009417D6" w:rsidP="009417D6">
      <w:pPr>
        <w:pStyle w:val="PSDS-MarcadoresNivel4"/>
        <w:tabs>
          <w:tab w:val="clear" w:pos="2271"/>
          <w:tab w:val="left" w:pos="720"/>
        </w:tabs>
        <w:spacing w:before="0" w:after="0"/>
        <w:ind w:left="0" w:firstLine="0"/>
        <w:rPr>
          <w:rFonts w:ascii="Times New Roman" w:hAnsi="Times New Roman" w:cs="Times New Roman"/>
          <w:szCs w:val="20"/>
          <w:lang w:val="pt-PT"/>
        </w:rPr>
      </w:pPr>
      <w:r w:rsidRPr="00FA3856">
        <w:rPr>
          <w:rFonts w:ascii="Times New Roman" w:hAnsi="Times New Roman" w:cs="Times New Roman"/>
          <w:szCs w:val="20"/>
          <w:lang w:val="pt-PT"/>
        </w:rPr>
        <w:lastRenderedPageBreak/>
        <w:t>I – Regras de Validação de Campos:</w:t>
      </w:r>
    </w:p>
    <w:p w:rsidR="00D73F2C" w:rsidRPr="00FA3856" w:rsidRDefault="00D73F2C" w:rsidP="009417D6">
      <w:pPr>
        <w:pStyle w:val="PSDS-MarcadoresNivel4"/>
        <w:tabs>
          <w:tab w:val="clear" w:pos="2271"/>
          <w:tab w:val="left" w:pos="720"/>
        </w:tabs>
        <w:spacing w:before="0" w:after="0"/>
        <w:ind w:left="0" w:firstLine="0"/>
        <w:rPr>
          <w:rFonts w:ascii="Times New Roman" w:hAnsi="Times New Roman" w:cs="Times New Roman"/>
          <w:szCs w:val="20"/>
          <w:lang w:val="pt-PT"/>
        </w:rPr>
      </w:pPr>
    </w:p>
    <w:tbl>
      <w:tblPr>
        <w:tblW w:w="16370"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85"/>
        <w:gridCol w:w="3000"/>
        <w:gridCol w:w="12168"/>
        <w:gridCol w:w="717"/>
      </w:tblGrid>
      <w:tr w:rsidR="009417D6" w:rsidRPr="00FA3856" w:rsidTr="00BB2C36">
        <w:trPr>
          <w:tblHeader/>
          <w:jc w:val="center"/>
        </w:trPr>
        <w:tc>
          <w:tcPr>
            <w:tcW w:w="485" w:type="dxa"/>
            <w:tcBorders>
              <w:top w:val="single" w:sz="6" w:space="0" w:color="auto"/>
              <w:left w:val="single" w:sz="6" w:space="0" w:color="auto"/>
              <w:bottom w:val="single" w:sz="6" w:space="0" w:color="auto"/>
              <w:right w:val="single" w:sz="6" w:space="0" w:color="auto"/>
            </w:tcBorders>
            <w:shd w:val="pct10" w:color="auto" w:fill="FFFFFF"/>
          </w:tcPr>
          <w:p w:rsidR="009417D6" w:rsidRPr="00FA3856" w:rsidRDefault="009417D6" w:rsidP="00574CEE">
            <w:pPr>
              <w:pStyle w:val="PSDS-CorpodeTexto0"/>
              <w:jc w:val="center"/>
              <w:rPr>
                <w:rFonts w:ascii="Times New Roman" w:hAnsi="Times New Roman"/>
                <w:b/>
                <w:bCs/>
              </w:rPr>
            </w:pPr>
            <w:r w:rsidRPr="00FA3856">
              <w:rPr>
                <w:rFonts w:ascii="Times New Roman" w:hAnsi="Times New Roman"/>
                <w:b/>
                <w:bCs/>
              </w:rPr>
              <w:t>Nº</w:t>
            </w:r>
          </w:p>
        </w:tc>
        <w:tc>
          <w:tcPr>
            <w:tcW w:w="3000" w:type="dxa"/>
            <w:tcBorders>
              <w:top w:val="single" w:sz="6" w:space="0" w:color="auto"/>
              <w:left w:val="single" w:sz="6" w:space="0" w:color="auto"/>
              <w:bottom w:val="single" w:sz="6" w:space="0" w:color="auto"/>
              <w:right w:val="single" w:sz="6" w:space="0" w:color="auto"/>
            </w:tcBorders>
            <w:shd w:val="pct10" w:color="auto" w:fill="FFFFFF"/>
          </w:tcPr>
          <w:p w:rsidR="009417D6" w:rsidRPr="00FA3856" w:rsidRDefault="009417D6" w:rsidP="00574CEE">
            <w:pPr>
              <w:pStyle w:val="PSDS-CorpodeTexto0"/>
              <w:jc w:val="center"/>
              <w:rPr>
                <w:rFonts w:ascii="Times New Roman" w:hAnsi="Times New Roman"/>
                <w:b/>
                <w:bCs/>
              </w:rPr>
            </w:pPr>
            <w:r w:rsidRPr="00FA3856">
              <w:rPr>
                <w:rFonts w:ascii="Times New Roman" w:hAnsi="Times New Roman"/>
                <w:b/>
                <w:bCs/>
              </w:rPr>
              <w:t>Campo</w:t>
            </w:r>
          </w:p>
        </w:tc>
        <w:tc>
          <w:tcPr>
            <w:tcW w:w="12168" w:type="dxa"/>
            <w:tcBorders>
              <w:top w:val="single" w:sz="6" w:space="0" w:color="auto"/>
              <w:left w:val="single" w:sz="6" w:space="0" w:color="auto"/>
              <w:bottom w:val="single" w:sz="6" w:space="0" w:color="auto"/>
              <w:right w:val="single" w:sz="6" w:space="0" w:color="auto"/>
            </w:tcBorders>
            <w:shd w:val="pct10" w:color="auto" w:fill="FFFFFF"/>
          </w:tcPr>
          <w:p w:rsidR="009417D6" w:rsidRPr="00FA3856" w:rsidRDefault="009417D6" w:rsidP="00574CEE">
            <w:pPr>
              <w:pStyle w:val="PSDS-CorpodeTexto0"/>
              <w:jc w:val="center"/>
              <w:rPr>
                <w:rFonts w:ascii="Times New Roman" w:hAnsi="Times New Roman"/>
                <w:b/>
                <w:bCs/>
              </w:rPr>
            </w:pPr>
            <w:r w:rsidRPr="00FA3856">
              <w:rPr>
                <w:rFonts w:ascii="Times New Roman" w:hAnsi="Times New Roman"/>
                <w:b/>
                <w:bCs/>
              </w:rPr>
              <w:t>Regras de Validação do Campo</w:t>
            </w:r>
          </w:p>
        </w:tc>
        <w:tc>
          <w:tcPr>
            <w:tcW w:w="717" w:type="dxa"/>
            <w:tcBorders>
              <w:top w:val="single" w:sz="6" w:space="0" w:color="auto"/>
              <w:left w:val="single" w:sz="6" w:space="0" w:color="auto"/>
              <w:bottom w:val="single" w:sz="6" w:space="0" w:color="auto"/>
              <w:right w:val="single" w:sz="6" w:space="0" w:color="auto"/>
            </w:tcBorders>
            <w:shd w:val="pct10" w:color="auto" w:fill="FFFFFF"/>
          </w:tcPr>
          <w:p w:rsidR="009417D6" w:rsidRPr="00FA3856" w:rsidRDefault="009417D6" w:rsidP="00574CEE">
            <w:pPr>
              <w:pStyle w:val="PSDS-CorpodeTexto0"/>
              <w:jc w:val="center"/>
              <w:rPr>
                <w:rFonts w:ascii="Times New Roman" w:hAnsi="Times New Roman"/>
                <w:b/>
                <w:bCs/>
              </w:rPr>
            </w:pPr>
            <w:r w:rsidRPr="00FA3856">
              <w:rPr>
                <w:rFonts w:ascii="Times New Roman" w:hAnsi="Times New Roman"/>
                <w:b/>
                <w:bCs/>
              </w:rPr>
              <w:t>Tipo</w:t>
            </w:r>
          </w:p>
        </w:tc>
      </w:tr>
      <w:tr w:rsidR="00BC63D3" w:rsidRPr="00FA3856" w:rsidTr="00BC63D3">
        <w:trPr>
          <w:jc w:val="center"/>
        </w:trPr>
        <w:tc>
          <w:tcPr>
            <w:tcW w:w="485" w:type="dxa"/>
            <w:tcBorders>
              <w:top w:val="single" w:sz="6" w:space="0" w:color="auto"/>
              <w:left w:val="single" w:sz="6" w:space="0" w:color="auto"/>
              <w:bottom w:val="single" w:sz="6" w:space="0" w:color="auto"/>
              <w:right w:val="single" w:sz="6" w:space="0" w:color="auto"/>
            </w:tcBorders>
          </w:tcPr>
          <w:p w:rsidR="00BC63D3" w:rsidRPr="00FA3856" w:rsidRDefault="00797C81" w:rsidP="00BC63D3">
            <w:pPr>
              <w:pStyle w:val="PSDS-CorpodeTexto0"/>
              <w:suppressAutoHyphens w:val="0"/>
              <w:rPr>
                <w:rFonts w:ascii="Times New Roman" w:hAnsi="Times New Roman"/>
                <w:b/>
                <w:bCs/>
                <w:lang w:val="pt-PT"/>
              </w:rPr>
            </w:pPr>
            <w:r w:rsidRPr="00FA3856">
              <w:rPr>
                <w:rFonts w:ascii="Times New Roman" w:hAnsi="Times New Roman"/>
                <w:b/>
                <w:bCs/>
                <w:lang w:val="pt-PT"/>
              </w:rPr>
              <w:t>3</w:t>
            </w:r>
          </w:p>
        </w:tc>
        <w:tc>
          <w:tcPr>
            <w:tcW w:w="3000" w:type="dxa"/>
            <w:tcBorders>
              <w:top w:val="single" w:sz="6" w:space="0" w:color="auto"/>
              <w:left w:val="single" w:sz="6" w:space="0" w:color="auto"/>
              <w:bottom w:val="single" w:sz="6" w:space="0" w:color="auto"/>
              <w:right w:val="single" w:sz="6" w:space="0" w:color="auto"/>
            </w:tcBorders>
          </w:tcPr>
          <w:p w:rsidR="00BC63D3" w:rsidRPr="00FA3856" w:rsidRDefault="00BC63D3" w:rsidP="00BC63D3">
            <w:pPr>
              <w:pStyle w:val="PSDS-CorpodeTexto0"/>
              <w:rPr>
                <w:rFonts w:ascii="Times New Roman" w:hAnsi="Times New Roman"/>
                <w:lang w:val="pt-PT"/>
              </w:rPr>
            </w:pPr>
            <w:r w:rsidRPr="00FA3856">
              <w:rPr>
                <w:rFonts w:ascii="Times New Roman" w:hAnsi="Times New Roman"/>
                <w:lang w:val="pt-PT"/>
              </w:rPr>
              <w:t>DATA_FIM_SOC</w:t>
            </w:r>
          </w:p>
        </w:tc>
        <w:tc>
          <w:tcPr>
            <w:tcW w:w="12168" w:type="dxa"/>
            <w:tcBorders>
              <w:top w:val="single" w:sz="6" w:space="0" w:color="auto"/>
              <w:left w:val="single" w:sz="6" w:space="0" w:color="auto"/>
              <w:bottom w:val="single" w:sz="6" w:space="0" w:color="auto"/>
              <w:right w:val="single" w:sz="6" w:space="0" w:color="auto"/>
            </w:tcBorders>
          </w:tcPr>
          <w:p w:rsidR="00BC63D3" w:rsidRPr="00FA3856" w:rsidRDefault="00BC63D3" w:rsidP="00BC63D3">
            <w:pPr>
              <w:pStyle w:val="PSDS-CorpodeTexto0"/>
              <w:jc w:val="both"/>
              <w:rPr>
                <w:rStyle w:val="Hyperlink"/>
                <w:rFonts w:ascii="Times New Roman" w:hAnsi="Times New Roman"/>
                <w:color w:val="auto"/>
              </w:rPr>
            </w:pPr>
            <w:r w:rsidRPr="00FA3856">
              <w:rPr>
                <w:rStyle w:val="Hyperlink"/>
                <w:rFonts w:ascii="Times New Roman" w:hAnsi="Times New Roman"/>
                <w:b/>
                <w:color w:val="auto"/>
              </w:rPr>
              <w:t xml:space="preserve">REGRA_DATA_FIM_SOC: </w:t>
            </w:r>
            <w:r w:rsidRPr="00FA3856">
              <w:rPr>
                <w:rStyle w:val="Hyperlink"/>
                <w:rFonts w:ascii="Times New Roman" w:hAnsi="Times New Roman"/>
                <w:color w:val="auto"/>
              </w:rPr>
              <w:t>Veri</w:t>
            </w:r>
            <w:r w:rsidR="002159D6" w:rsidRPr="00FA3856">
              <w:rPr>
                <w:rStyle w:val="Hyperlink"/>
                <w:rFonts w:ascii="Times New Roman" w:hAnsi="Times New Roman"/>
                <w:color w:val="auto"/>
              </w:rPr>
              <w:t>fica</w:t>
            </w:r>
            <w:r w:rsidR="0011050B" w:rsidRPr="00FA3856">
              <w:rPr>
                <w:rStyle w:val="Hyperlink"/>
                <w:rFonts w:ascii="Times New Roman" w:hAnsi="Times New Roman"/>
                <w:color w:val="auto"/>
              </w:rPr>
              <w:t xml:space="preserve">, caso Y600.DATA_FIM_SOC </w:t>
            </w:r>
            <w:r w:rsidRPr="00FA3856">
              <w:rPr>
                <w:rStyle w:val="Hyperlink"/>
                <w:rFonts w:ascii="Times New Roman" w:hAnsi="Times New Roman"/>
                <w:color w:val="auto"/>
              </w:rPr>
              <w:t>está preenchida, se está compreendida entre 0000.DT_</w:t>
            </w:r>
            <w:r w:rsidR="002159D6" w:rsidRPr="00FA3856">
              <w:rPr>
                <w:rStyle w:val="Hyperlink"/>
                <w:rFonts w:ascii="Times New Roman" w:hAnsi="Times New Roman"/>
                <w:color w:val="auto"/>
              </w:rPr>
              <w:t xml:space="preserve">INI </w:t>
            </w:r>
            <w:r w:rsidRPr="00FA3856">
              <w:rPr>
                <w:rStyle w:val="Hyperlink"/>
                <w:rFonts w:ascii="Times New Roman" w:hAnsi="Times New Roman"/>
                <w:color w:val="auto"/>
              </w:rPr>
              <w:t>e 00</w:t>
            </w:r>
            <w:r w:rsidR="002159D6" w:rsidRPr="00FA3856">
              <w:rPr>
                <w:rStyle w:val="Hyperlink"/>
                <w:rFonts w:ascii="Times New Roman" w:hAnsi="Times New Roman"/>
                <w:color w:val="auto"/>
              </w:rPr>
              <w:t>0</w:t>
            </w:r>
            <w:r w:rsidRPr="00FA3856">
              <w:rPr>
                <w:rStyle w:val="Hyperlink"/>
                <w:rFonts w:ascii="Times New Roman" w:hAnsi="Times New Roman"/>
                <w:color w:val="auto"/>
              </w:rPr>
              <w:t>0.DT</w:t>
            </w:r>
            <w:r w:rsidR="002159D6" w:rsidRPr="00FA3856">
              <w:rPr>
                <w:rStyle w:val="Hyperlink"/>
                <w:rFonts w:ascii="Times New Roman" w:hAnsi="Times New Roman"/>
                <w:color w:val="auto"/>
              </w:rPr>
              <w:t>_FIN</w:t>
            </w:r>
            <w:r w:rsidRPr="00FA3856">
              <w:rPr>
                <w:rStyle w:val="Hyperlink"/>
                <w:rFonts w:ascii="Times New Roman" w:hAnsi="Times New Roman"/>
                <w:color w:val="auto"/>
              </w:rPr>
              <w:t>.</w:t>
            </w:r>
          </w:p>
          <w:p w:rsidR="0011050B" w:rsidRPr="00FA3856" w:rsidRDefault="0011050B" w:rsidP="00794D21">
            <w:pPr>
              <w:pStyle w:val="PSDS-CorpodeTexto0"/>
              <w:jc w:val="both"/>
              <w:rPr>
                <w:rFonts w:ascii="Times New Roman" w:hAnsi="Times New Roman"/>
              </w:rPr>
            </w:pPr>
          </w:p>
        </w:tc>
        <w:tc>
          <w:tcPr>
            <w:tcW w:w="717" w:type="dxa"/>
            <w:tcBorders>
              <w:top w:val="single" w:sz="6" w:space="0" w:color="auto"/>
              <w:left w:val="single" w:sz="6" w:space="0" w:color="auto"/>
              <w:bottom w:val="single" w:sz="6" w:space="0" w:color="auto"/>
              <w:right w:val="single" w:sz="6" w:space="0" w:color="auto"/>
            </w:tcBorders>
          </w:tcPr>
          <w:p w:rsidR="00BC63D3" w:rsidRPr="00FA3856" w:rsidRDefault="00BC63D3" w:rsidP="00BC63D3">
            <w:pPr>
              <w:pStyle w:val="PSDS-CorpodeTexto0"/>
              <w:rPr>
                <w:rFonts w:ascii="Times New Roman" w:hAnsi="Times New Roman"/>
                <w:lang w:val="pt-PT"/>
              </w:rPr>
            </w:pPr>
            <w:r w:rsidRPr="00FA3856">
              <w:rPr>
                <w:rFonts w:ascii="Times New Roman" w:hAnsi="Times New Roman"/>
                <w:lang w:val="pt-PT"/>
              </w:rPr>
              <w:t>Erro</w:t>
            </w:r>
          </w:p>
        </w:tc>
      </w:tr>
      <w:tr w:rsidR="003748B4" w:rsidRPr="00FA3856" w:rsidTr="00BB2C36">
        <w:trPr>
          <w:jc w:val="center"/>
        </w:trPr>
        <w:tc>
          <w:tcPr>
            <w:tcW w:w="485" w:type="dxa"/>
            <w:tcBorders>
              <w:top w:val="single" w:sz="6" w:space="0" w:color="auto"/>
              <w:left w:val="single" w:sz="6" w:space="0" w:color="auto"/>
              <w:bottom w:val="single" w:sz="6" w:space="0" w:color="auto"/>
              <w:right w:val="single" w:sz="6" w:space="0" w:color="auto"/>
            </w:tcBorders>
          </w:tcPr>
          <w:p w:rsidR="003748B4" w:rsidRPr="00FA3856" w:rsidRDefault="00BC63D3" w:rsidP="00574CEE">
            <w:pPr>
              <w:pStyle w:val="PSDS-CorpodeTexto0"/>
              <w:suppressAutoHyphens w:val="0"/>
              <w:rPr>
                <w:rFonts w:ascii="Times New Roman" w:hAnsi="Times New Roman"/>
                <w:b/>
                <w:bCs/>
                <w:lang w:val="pt-PT"/>
              </w:rPr>
            </w:pPr>
            <w:r w:rsidRPr="00FA3856">
              <w:rPr>
                <w:rFonts w:ascii="Times New Roman" w:hAnsi="Times New Roman"/>
                <w:b/>
                <w:bCs/>
                <w:lang w:val="pt-PT"/>
              </w:rPr>
              <w:t>6</w:t>
            </w:r>
          </w:p>
        </w:tc>
        <w:tc>
          <w:tcPr>
            <w:tcW w:w="3000" w:type="dxa"/>
            <w:tcBorders>
              <w:top w:val="single" w:sz="6" w:space="0" w:color="auto"/>
              <w:left w:val="single" w:sz="6" w:space="0" w:color="auto"/>
              <w:bottom w:val="single" w:sz="6" w:space="0" w:color="auto"/>
              <w:right w:val="single" w:sz="6" w:space="0" w:color="auto"/>
            </w:tcBorders>
          </w:tcPr>
          <w:p w:rsidR="003748B4" w:rsidRPr="00FA3856" w:rsidRDefault="003748B4" w:rsidP="00574CEE">
            <w:pPr>
              <w:pStyle w:val="PSDS-CorpodeTexto0"/>
              <w:rPr>
                <w:rFonts w:ascii="Times New Roman" w:hAnsi="Times New Roman"/>
                <w:lang w:val="pt-PT"/>
              </w:rPr>
            </w:pPr>
            <w:r w:rsidRPr="00FA3856">
              <w:rPr>
                <w:rFonts w:ascii="Times New Roman" w:hAnsi="Times New Roman"/>
                <w:lang w:val="pt-PT"/>
              </w:rPr>
              <w:t>CPF_CNPJ</w:t>
            </w:r>
          </w:p>
        </w:tc>
        <w:tc>
          <w:tcPr>
            <w:tcW w:w="12168" w:type="dxa"/>
            <w:tcBorders>
              <w:top w:val="single" w:sz="6" w:space="0" w:color="auto"/>
              <w:left w:val="single" w:sz="6" w:space="0" w:color="auto"/>
              <w:bottom w:val="single" w:sz="6" w:space="0" w:color="auto"/>
              <w:right w:val="single" w:sz="6" w:space="0" w:color="auto"/>
            </w:tcBorders>
          </w:tcPr>
          <w:p w:rsidR="003748B4" w:rsidRPr="00FA3856" w:rsidRDefault="003748B4" w:rsidP="003748B4">
            <w:pPr>
              <w:pStyle w:val="PSDS-CorpodeTexto0"/>
              <w:jc w:val="both"/>
              <w:rPr>
                <w:rStyle w:val="Hyperlink"/>
                <w:rFonts w:ascii="Times New Roman" w:hAnsi="Times New Roman"/>
                <w:color w:val="auto"/>
              </w:rPr>
            </w:pPr>
            <w:r w:rsidRPr="00FA3856">
              <w:rPr>
                <w:rStyle w:val="Hyperlink"/>
                <w:rFonts w:ascii="Times New Roman" w:hAnsi="Times New Roman"/>
                <w:b/>
                <w:color w:val="auto"/>
              </w:rPr>
              <w:t>REGRA_OBRIGATORIO_BRA</w:t>
            </w:r>
            <w:r w:rsidR="000B0C32" w:rsidRPr="00FA3856">
              <w:rPr>
                <w:rStyle w:val="Hyperlink"/>
                <w:rFonts w:ascii="Times New Roman" w:hAnsi="Times New Roman"/>
                <w:b/>
                <w:color w:val="auto"/>
              </w:rPr>
              <w:t>S</w:t>
            </w:r>
            <w:r w:rsidRPr="00FA3856">
              <w:rPr>
                <w:rStyle w:val="Hyperlink"/>
                <w:rFonts w:ascii="Times New Roman" w:hAnsi="Times New Roman"/>
                <w:b/>
                <w:color w:val="auto"/>
              </w:rPr>
              <w:t xml:space="preserve">IL: </w:t>
            </w:r>
            <w:r w:rsidR="00BC63D3" w:rsidRPr="00FA3856">
              <w:rPr>
                <w:rStyle w:val="Hyperlink"/>
                <w:rFonts w:ascii="Times New Roman" w:hAnsi="Times New Roman"/>
                <w:color w:val="auto"/>
              </w:rPr>
              <w:t xml:space="preserve">Verifica se o </w:t>
            </w:r>
            <w:r w:rsidR="0011050B" w:rsidRPr="00FA3856">
              <w:rPr>
                <w:rStyle w:val="Hyperlink"/>
                <w:rFonts w:ascii="Times New Roman" w:hAnsi="Times New Roman"/>
                <w:color w:val="auto"/>
              </w:rPr>
              <w:t xml:space="preserve">Y600.CPF_CNPJ </w:t>
            </w:r>
            <w:r w:rsidRPr="00FA3856">
              <w:rPr>
                <w:rStyle w:val="Hyperlink"/>
                <w:rFonts w:ascii="Times New Roman" w:hAnsi="Times New Roman"/>
                <w:color w:val="auto"/>
              </w:rPr>
              <w:t>está preenchi</w:t>
            </w:r>
            <w:r w:rsidR="00BC63D3" w:rsidRPr="00FA3856">
              <w:rPr>
                <w:rStyle w:val="Hyperlink"/>
                <w:rFonts w:ascii="Times New Roman" w:hAnsi="Times New Roman"/>
                <w:color w:val="auto"/>
              </w:rPr>
              <w:t xml:space="preserve">do </w:t>
            </w:r>
            <w:r w:rsidR="00C321B8" w:rsidRPr="00FA3856">
              <w:rPr>
                <w:rStyle w:val="Hyperlink"/>
                <w:rFonts w:ascii="Times New Roman" w:hAnsi="Times New Roman"/>
                <w:color w:val="auto"/>
              </w:rPr>
              <w:t>somente</w:t>
            </w:r>
            <w:r w:rsidR="00BC63D3" w:rsidRPr="00FA3856">
              <w:rPr>
                <w:rStyle w:val="Hyperlink"/>
                <w:rFonts w:ascii="Times New Roman" w:hAnsi="Times New Roman"/>
                <w:color w:val="auto"/>
              </w:rPr>
              <w:t xml:space="preserve"> quando </w:t>
            </w:r>
            <w:r w:rsidR="0011050B" w:rsidRPr="00FA3856">
              <w:rPr>
                <w:rStyle w:val="Hyperlink"/>
                <w:rFonts w:ascii="Times New Roman" w:hAnsi="Times New Roman"/>
                <w:color w:val="auto"/>
              </w:rPr>
              <w:t xml:space="preserve">Y600.PAIS </w:t>
            </w:r>
            <w:r w:rsidRPr="00FA3856">
              <w:rPr>
                <w:rStyle w:val="Hyperlink"/>
                <w:rFonts w:ascii="Times New Roman" w:hAnsi="Times New Roman"/>
                <w:color w:val="auto"/>
              </w:rPr>
              <w:t>for igual a “105” (Brasil).</w:t>
            </w:r>
          </w:p>
          <w:p w:rsidR="003748B4" w:rsidRPr="00FA3856" w:rsidRDefault="003748B4" w:rsidP="00574CEE">
            <w:pPr>
              <w:pStyle w:val="PSDS-CorpodeTexto0"/>
              <w:jc w:val="both"/>
              <w:rPr>
                <w:rStyle w:val="Hyperlink"/>
                <w:rFonts w:ascii="Times New Roman" w:hAnsi="Times New Roman"/>
                <w:color w:val="auto"/>
              </w:rPr>
            </w:pPr>
            <w:r w:rsidRPr="00FA3856">
              <w:rPr>
                <w:rStyle w:val="Hyperlink"/>
                <w:rFonts w:ascii="Times New Roman" w:hAnsi="Times New Roman"/>
                <w:color w:val="auto"/>
              </w:rPr>
              <w:t xml:space="preserve"> </w:t>
            </w:r>
          </w:p>
          <w:p w:rsidR="003748B4" w:rsidRPr="00FA3856" w:rsidRDefault="003748B4" w:rsidP="00574CEE">
            <w:pPr>
              <w:pStyle w:val="PSDS-CorpodeTexto0"/>
              <w:jc w:val="both"/>
              <w:rPr>
                <w:rFonts w:ascii="Times New Roman" w:hAnsi="Times New Roman"/>
              </w:rPr>
            </w:pPr>
            <w:r w:rsidRPr="00FA3856">
              <w:rPr>
                <w:rFonts w:ascii="Times New Roman" w:hAnsi="Times New Roman"/>
                <w:b/>
              </w:rPr>
              <w:t xml:space="preserve">REGRA_VALIDA_CPF_CNPJ: </w:t>
            </w:r>
            <w:r w:rsidRPr="00FA3856">
              <w:rPr>
                <w:rFonts w:ascii="Times New Roman" w:hAnsi="Times New Roman"/>
              </w:rPr>
              <w:t>Quando tamanho do campo igual 11, aplica a REGRA_VALIDA_CPF e quando o tamanho do campo igual a 14, aplica a REGRA_VALIDA_CNPJ.</w:t>
            </w:r>
          </w:p>
        </w:tc>
        <w:tc>
          <w:tcPr>
            <w:tcW w:w="717" w:type="dxa"/>
            <w:tcBorders>
              <w:top w:val="single" w:sz="6" w:space="0" w:color="auto"/>
              <w:left w:val="single" w:sz="6" w:space="0" w:color="auto"/>
              <w:bottom w:val="single" w:sz="6" w:space="0" w:color="auto"/>
              <w:right w:val="single" w:sz="6" w:space="0" w:color="auto"/>
            </w:tcBorders>
          </w:tcPr>
          <w:p w:rsidR="003748B4" w:rsidRPr="00FA3856" w:rsidRDefault="003748B4" w:rsidP="00574CEE">
            <w:pPr>
              <w:pStyle w:val="PSDS-CorpodeTexto0"/>
              <w:rPr>
                <w:rFonts w:ascii="Times New Roman" w:hAnsi="Times New Roman"/>
                <w:lang w:val="pt-PT"/>
              </w:rPr>
            </w:pPr>
            <w:r w:rsidRPr="00FA3856">
              <w:rPr>
                <w:rFonts w:ascii="Times New Roman" w:hAnsi="Times New Roman"/>
                <w:lang w:val="pt-PT"/>
              </w:rPr>
              <w:t>Erro</w:t>
            </w:r>
          </w:p>
          <w:p w:rsidR="003748B4" w:rsidRPr="00FA3856" w:rsidRDefault="003748B4" w:rsidP="00574CEE">
            <w:pPr>
              <w:pStyle w:val="PSDS-CorpodeTexto0"/>
              <w:rPr>
                <w:rFonts w:ascii="Times New Roman" w:hAnsi="Times New Roman"/>
                <w:lang w:val="pt-PT"/>
              </w:rPr>
            </w:pPr>
          </w:p>
          <w:p w:rsidR="003748B4" w:rsidRPr="00FA3856" w:rsidRDefault="003748B4" w:rsidP="00574CEE">
            <w:pPr>
              <w:pStyle w:val="PSDS-CorpodeTexto0"/>
              <w:rPr>
                <w:rFonts w:ascii="Times New Roman" w:hAnsi="Times New Roman"/>
                <w:lang w:val="pt-PT"/>
              </w:rPr>
            </w:pPr>
          </w:p>
          <w:p w:rsidR="003748B4" w:rsidRPr="00FA3856" w:rsidRDefault="003748B4" w:rsidP="00574CEE">
            <w:pPr>
              <w:pStyle w:val="PSDS-CorpodeTexto0"/>
              <w:rPr>
                <w:rFonts w:ascii="Times New Roman" w:hAnsi="Times New Roman"/>
                <w:lang w:val="pt-PT"/>
              </w:rPr>
            </w:pPr>
            <w:r w:rsidRPr="00FA3856">
              <w:rPr>
                <w:rFonts w:ascii="Times New Roman" w:hAnsi="Times New Roman"/>
                <w:lang w:val="pt-PT"/>
              </w:rPr>
              <w:t>Erro</w:t>
            </w:r>
          </w:p>
        </w:tc>
      </w:tr>
      <w:tr w:rsidR="003748B4" w:rsidRPr="00FA3856" w:rsidTr="00BB2C36">
        <w:trPr>
          <w:jc w:val="center"/>
        </w:trPr>
        <w:tc>
          <w:tcPr>
            <w:tcW w:w="485" w:type="dxa"/>
            <w:tcBorders>
              <w:top w:val="single" w:sz="6" w:space="0" w:color="auto"/>
              <w:left w:val="single" w:sz="6" w:space="0" w:color="auto"/>
              <w:bottom w:val="single" w:sz="6" w:space="0" w:color="auto"/>
              <w:right w:val="single" w:sz="6" w:space="0" w:color="auto"/>
            </w:tcBorders>
          </w:tcPr>
          <w:p w:rsidR="003748B4" w:rsidRPr="00FA3856" w:rsidRDefault="00BC63D3" w:rsidP="00574CEE">
            <w:pPr>
              <w:pStyle w:val="PSDS-CorpodeTexto0"/>
              <w:suppressAutoHyphens w:val="0"/>
              <w:rPr>
                <w:rFonts w:ascii="Times New Roman" w:hAnsi="Times New Roman"/>
                <w:b/>
                <w:bCs/>
                <w:lang w:val="pt-PT"/>
              </w:rPr>
            </w:pPr>
            <w:r w:rsidRPr="00FA3856">
              <w:rPr>
                <w:rFonts w:ascii="Times New Roman" w:hAnsi="Times New Roman"/>
                <w:b/>
                <w:bCs/>
                <w:lang w:val="pt-PT"/>
              </w:rPr>
              <w:t>7</w:t>
            </w:r>
          </w:p>
        </w:tc>
        <w:tc>
          <w:tcPr>
            <w:tcW w:w="3000" w:type="dxa"/>
            <w:tcBorders>
              <w:top w:val="single" w:sz="6" w:space="0" w:color="auto"/>
              <w:left w:val="single" w:sz="6" w:space="0" w:color="auto"/>
              <w:bottom w:val="single" w:sz="6" w:space="0" w:color="auto"/>
              <w:right w:val="single" w:sz="6" w:space="0" w:color="auto"/>
            </w:tcBorders>
          </w:tcPr>
          <w:p w:rsidR="003748B4" w:rsidRPr="00FA3856" w:rsidRDefault="003748B4" w:rsidP="00574CEE">
            <w:pPr>
              <w:pStyle w:val="PSDS-CorpodeTexto0"/>
              <w:rPr>
                <w:rFonts w:ascii="Times New Roman" w:hAnsi="Times New Roman"/>
                <w:lang w:val="pt-PT"/>
              </w:rPr>
            </w:pPr>
            <w:r w:rsidRPr="00FA3856">
              <w:rPr>
                <w:rFonts w:ascii="Times New Roman" w:hAnsi="Times New Roman"/>
                <w:lang w:val="pt-PT"/>
              </w:rPr>
              <w:t>QUALIF</w:t>
            </w:r>
          </w:p>
        </w:tc>
        <w:tc>
          <w:tcPr>
            <w:tcW w:w="12168" w:type="dxa"/>
            <w:tcBorders>
              <w:top w:val="single" w:sz="6" w:space="0" w:color="auto"/>
              <w:left w:val="single" w:sz="6" w:space="0" w:color="auto"/>
              <w:bottom w:val="single" w:sz="6" w:space="0" w:color="auto"/>
              <w:right w:val="single" w:sz="6" w:space="0" w:color="auto"/>
            </w:tcBorders>
          </w:tcPr>
          <w:p w:rsidR="003748B4" w:rsidRPr="00FA3856" w:rsidRDefault="003748B4" w:rsidP="004C0BD9">
            <w:pPr>
              <w:pStyle w:val="PSDS-CorpodeTexto0"/>
              <w:jc w:val="both"/>
              <w:rPr>
                <w:rFonts w:ascii="Times New Roman" w:hAnsi="Times New Roman"/>
              </w:rPr>
            </w:pPr>
            <w:r w:rsidRPr="00FA3856">
              <w:rPr>
                <w:rStyle w:val="Hyperlink"/>
                <w:rFonts w:ascii="Times New Roman" w:hAnsi="Times New Roman"/>
                <w:b/>
                <w:color w:val="auto"/>
              </w:rPr>
              <w:t>REGRA_Y600_QUALIF:</w:t>
            </w:r>
            <w:r w:rsidR="004C0BD9" w:rsidRPr="00FA3856">
              <w:rPr>
                <w:rStyle w:val="Hyperlink"/>
                <w:rFonts w:ascii="Times New Roman" w:hAnsi="Times New Roman"/>
                <w:b/>
                <w:color w:val="auto"/>
              </w:rPr>
              <w:t xml:space="preserve"> </w:t>
            </w:r>
            <w:r w:rsidR="00BC63D3" w:rsidRPr="00FA3856">
              <w:rPr>
                <w:rStyle w:val="Hyperlink"/>
                <w:rFonts w:ascii="Times New Roman" w:hAnsi="Times New Roman"/>
                <w:color w:val="auto"/>
              </w:rPr>
              <w:t xml:space="preserve">Verifica, quando </w:t>
            </w:r>
            <w:r w:rsidR="0011050B" w:rsidRPr="00FA3856">
              <w:rPr>
                <w:rStyle w:val="Hyperlink"/>
                <w:rFonts w:ascii="Times New Roman" w:hAnsi="Times New Roman"/>
                <w:color w:val="auto"/>
              </w:rPr>
              <w:t xml:space="preserve">Y600.PAIS </w:t>
            </w:r>
            <w:r w:rsidR="004C0BD9" w:rsidRPr="00FA3856">
              <w:rPr>
                <w:rStyle w:val="Hyperlink"/>
                <w:rFonts w:ascii="Times New Roman" w:hAnsi="Times New Roman"/>
                <w:color w:val="auto"/>
              </w:rPr>
              <w:t>igual a “105</w:t>
            </w:r>
            <w:r w:rsidR="00BC63D3" w:rsidRPr="00FA3856">
              <w:rPr>
                <w:rStyle w:val="Hyperlink"/>
                <w:rFonts w:ascii="Times New Roman" w:hAnsi="Times New Roman"/>
                <w:color w:val="auto"/>
              </w:rPr>
              <w:t>” (Brasi</w:t>
            </w:r>
            <w:bookmarkStart w:id="428" w:name="BM58/a"/>
            <w:bookmarkEnd w:id="428"/>
            <w:r w:rsidR="00BC63D3" w:rsidRPr="00FA3856">
              <w:rPr>
                <w:rStyle w:val="Hyperlink"/>
                <w:rFonts w:ascii="Times New Roman" w:hAnsi="Times New Roman"/>
                <w:color w:val="auto"/>
              </w:rPr>
              <w:t xml:space="preserve">l) e </w:t>
            </w:r>
            <w:r w:rsidR="00797C81" w:rsidRPr="00FA3856">
              <w:rPr>
                <w:rStyle w:val="Hyperlink"/>
                <w:rFonts w:ascii="Times New Roman" w:hAnsi="Times New Roman"/>
                <w:color w:val="auto"/>
              </w:rPr>
              <w:t>Y600.</w:t>
            </w:r>
            <w:r w:rsidR="001F083D" w:rsidRPr="00FA3856">
              <w:rPr>
                <w:rFonts w:ascii="Times New Roman" w:hAnsi="Times New Roman"/>
                <w:lang w:val="pt-PT"/>
              </w:rPr>
              <w:t>IND_QUALIF_SOCIO</w:t>
            </w:r>
            <w:r w:rsidR="001F083D" w:rsidRPr="00FA3856">
              <w:rPr>
                <w:rStyle w:val="Hyperlink"/>
                <w:rFonts w:ascii="Times New Roman" w:hAnsi="Times New Roman"/>
                <w:color w:val="auto"/>
              </w:rPr>
              <w:t xml:space="preserve"> </w:t>
            </w:r>
            <w:r w:rsidR="004C0BD9" w:rsidRPr="00FA3856">
              <w:rPr>
                <w:rStyle w:val="Hyperlink"/>
                <w:rFonts w:ascii="Times New Roman" w:hAnsi="Times New Roman"/>
                <w:color w:val="auto"/>
              </w:rPr>
              <w:t>i</w:t>
            </w:r>
            <w:r w:rsidR="00BC63D3" w:rsidRPr="00FA3856">
              <w:rPr>
                <w:rStyle w:val="Hyperlink"/>
                <w:rFonts w:ascii="Times New Roman" w:hAnsi="Times New Roman"/>
                <w:color w:val="auto"/>
              </w:rPr>
              <w:t xml:space="preserve">gual a “PF”, se </w:t>
            </w:r>
            <w:r w:rsidR="0011050B" w:rsidRPr="00FA3856">
              <w:rPr>
                <w:rStyle w:val="Hyperlink"/>
                <w:rFonts w:ascii="Times New Roman" w:hAnsi="Times New Roman"/>
                <w:color w:val="auto"/>
              </w:rPr>
              <w:t xml:space="preserve">Y600.QUALIF </w:t>
            </w:r>
            <w:r w:rsidR="004C0BD9" w:rsidRPr="00FA3856">
              <w:rPr>
                <w:rStyle w:val="Hyperlink"/>
                <w:rFonts w:ascii="Times New Roman" w:hAnsi="Times New Roman"/>
                <w:color w:val="auto"/>
              </w:rPr>
              <w:t>é igual a “01”, “02</w:t>
            </w:r>
            <w:r w:rsidR="00BC63D3" w:rsidRPr="00FA3856">
              <w:rPr>
                <w:rStyle w:val="Hyperlink"/>
                <w:rFonts w:ascii="Times New Roman" w:hAnsi="Times New Roman"/>
                <w:color w:val="auto"/>
              </w:rPr>
              <w:t xml:space="preserve">” ou “09”; quando </w:t>
            </w:r>
            <w:r w:rsidR="0011050B" w:rsidRPr="00FA3856">
              <w:rPr>
                <w:rStyle w:val="Hyperlink"/>
                <w:rFonts w:ascii="Times New Roman" w:hAnsi="Times New Roman"/>
                <w:color w:val="auto"/>
              </w:rPr>
              <w:t xml:space="preserve">Y600.PAIS </w:t>
            </w:r>
            <w:r w:rsidR="004C0BD9" w:rsidRPr="00FA3856">
              <w:rPr>
                <w:rStyle w:val="Hyperlink"/>
                <w:rFonts w:ascii="Times New Roman" w:hAnsi="Times New Roman"/>
                <w:color w:val="auto"/>
              </w:rPr>
              <w:t xml:space="preserve">igual a “105” (Brasil) e </w:t>
            </w:r>
            <w:r w:rsidR="00797C81" w:rsidRPr="00FA3856">
              <w:rPr>
                <w:rStyle w:val="Hyperlink"/>
                <w:rFonts w:ascii="Times New Roman" w:hAnsi="Times New Roman"/>
                <w:color w:val="auto"/>
              </w:rPr>
              <w:t>Y600.</w:t>
            </w:r>
            <w:r w:rsidR="001F083D" w:rsidRPr="00FA3856">
              <w:rPr>
                <w:rFonts w:ascii="Times New Roman" w:hAnsi="Times New Roman"/>
                <w:lang w:val="pt-PT"/>
              </w:rPr>
              <w:t>IND_QUALIF_SOCIO</w:t>
            </w:r>
            <w:r w:rsidR="001F083D" w:rsidRPr="00FA3856">
              <w:rPr>
                <w:rStyle w:val="Hyperlink"/>
                <w:rFonts w:ascii="Times New Roman" w:hAnsi="Times New Roman"/>
                <w:color w:val="auto"/>
              </w:rPr>
              <w:t xml:space="preserve"> </w:t>
            </w:r>
            <w:r w:rsidR="004C0BD9" w:rsidRPr="00FA3856">
              <w:rPr>
                <w:rStyle w:val="Hyperlink"/>
                <w:rFonts w:ascii="Times New Roman" w:hAnsi="Times New Roman"/>
                <w:color w:val="auto"/>
              </w:rPr>
              <w:t>i</w:t>
            </w:r>
            <w:r w:rsidR="00BC63D3" w:rsidRPr="00FA3856">
              <w:rPr>
                <w:rStyle w:val="Hyperlink"/>
                <w:rFonts w:ascii="Times New Roman" w:hAnsi="Times New Roman"/>
                <w:color w:val="auto"/>
              </w:rPr>
              <w:t xml:space="preserve">gual a “PJ”, se </w:t>
            </w:r>
            <w:r w:rsidR="0011050B" w:rsidRPr="00FA3856">
              <w:rPr>
                <w:rStyle w:val="Hyperlink"/>
                <w:rFonts w:ascii="Times New Roman" w:hAnsi="Times New Roman"/>
                <w:color w:val="auto"/>
              </w:rPr>
              <w:t xml:space="preserve">Y600.QUALIF </w:t>
            </w:r>
            <w:r w:rsidR="004C0BD9" w:rsidRPr="00FA3856">
              <w:rPr>
                <w:rStyle w:val="Hyperlink"/>
                <w:rFonts w:ascii="Times New Roman" w:hAnsi="Times New Roman"/>
                <w:color w:val="auto"/>
              </w:rPr>
              <w:t>é igual a “03” ou “04”</w:t>
            </w:r>
            <w:r w:rsidR="00BC63D3" w:rsidRPr="00FA3856">
              <w:rPr>
                <w:rStyle w:val="Hyperlink"/>
                <w:rFonts w:ascii="Times New Roman" w:hAnsi="Times New Roman"/>
                <w:color w:val="auto"/>
              </w:rPr>
              <w:t xml:space="preserve">; quando </w:t>
            </w:r>
            <w:r w:rsidR="00797C81" w:rsidRPr="00FA3856">
              <w:rPr>
                <w:rStyle w:val="Hyperlink"/>
                <w:rFonts w:ascii="Times New Roman" w:hAnsi="Times New Roman"/>
                <w:color w:val="auto"/>
              </w:rPr>
              <w:t>Y600.</w:t>
            </w:r>
            <w:r w:rsidR="0011050B" w:rsidRPr="00FA3856">
              <w:rPr>
                <w:rStyle w:val="Hyperlink"/>
                <w:rFonts w:ascii="Times New Roman" w:hAnsi="Times New Roman"/>
                <w:color w:val="auto"/>
              </w:rPr>
              <w:t xml:space="preserve">PAIS </w:t>
            </w:r>
            <w:r w:rsidR="00574CEE" w:rsidRPr="00FA3856">
              <w:rPr>
                <w:rStyle w:val="Hyperlink"/>
                <w:rFonts w:ascii="Times New Roman" w:hAnsi="Times New Roman"/>
                <w:color w:val="auto"/>
              </w:rPr>
              <w:t>é diferente de “105</w:t>
            </w:r>
            <w:r w:rsidR="00BC63D3" w:rsidRPr="00FA3856">
              <w:rPr>
                <w:rStyle w:val="Hyperlink"/>
                <w:rFonts w:ascii="Times New Roman" w:hAnsi="Times New Roman"/>
                <w:color w:val="auto"/>
              </w:rPr>
              <w:t xml:space="preserve">” (Brasil) e </w:t>
            </w:r>
            <w:r w:rsidR="00797C81" w:rsidRPr="00FA3856">
              <w:rPr>
                <w:rStyle w:val="Hyperlink"/>
                <w:rFonts w:ascii="Times New Roman" w:hAnsi="Times New Roman"/>
                <w:color w:val="auto"/>
              </w:rPr>
              <w:t>Y600.</w:t>
            </w:r>
            <w:r w:rsidR="001F083D" w:rsidRPr="00FA3856">
              <w:rPr>
                <w:rFonts w:ascii="Times New Roman" w:hAnsi="Times New Roman"/>
                <w:lang w:val="pt-PT"/>
              </w:rPr>
              <w:t>IND_QUALIF_SOCIO</w:t>
            </w:r>
            <w:r w:rsidR="001F083D" w:rsidRPr="00FA3856">
              <w:rPr>
                <w:rStyle w:val="Hyperlink"/>
                <w:rFonts w:ascii="Times New Roman" w:hAnsi="Times New Roman"/>
                <w:color w:val="auto"/>
              </w:rPr>
              <w:t xml:space="preserve"> </w:t>
            </w:r>
            <w:r w:rsidR="00574CEE" w:rsidRPr="00FA3856">
              <w:rPr>
                <w:rStyle w:val="Hyperlink"/>
                <w:rFonts w:ascii="Times New Roman" w:hAnsi="Times New Roman"/>
                <w:color w:val="auto"/>
              </w:rPr>
              <w:t>i</w:t>
            </w:r>
            <w:r w:rsidR="00BC63D3" w:rsidRPr="00FA3856">
              <w:rPr>
                <w:rStyle w:val="Hyperlink"/>
                <w:rFonts w:ascii="Times New Roman" w:hAnsi="Times New Roman"/>
                <w:color w:val="auto"/>
              </w:rPr>
              <w:t xml:space="preserve">gual a “PF”, se </w:t>
            </w:r>
            <w:r w:rsidR="0011050B" w:rsidRPr="00FA3856">
              <w:rPr>
                <w:rStyle w:val="Hyperlink"/>
                <w:rFonts w:ascii="Times New Roman" w:hAnsi="Times New Roman"/>
                <w:color w:val="auto"/>
              </w:rPr>
              <w:t xml:space="preserve">Y600.QUALIF </w:t>
            </w:r>
            <w:r w:rsidR="00574CEE" w:rsidRPr="00FA3856">
              <w:rPr>
                <w:rStyle w:val="Hyperlink"/>
                <w:rFonts w:ascii="Times New Roman" w:hAnsi="Times New Roman"/>
                <w:color w:val="auto"/>
              </w:rPr>
              <w:t>é igual a “05</w:t>
            </w:r>
            <w:r w:rsidR="00BC63D3" w:rsidRPr="00FA3856">
              <w:rPr>
                <w:rStyle w:val="Hyperlink"/>
                <w:rFonts w:ascii="Times New Roman" w:hAnsi="Times New Roman"/>
                <w:color w:val="auto"/>
              </w:rPr>
              <w:t xml:space="preserve">” ou “06”; quando </w:t>
            </w:r>
            <w:r w:rsidR="0011050B" w:rsidRPr="00FA3856">
              <w:rPr>
                <w:rStyle w:val="Hyperlink"/>
                <w:rFonts w:ascii="Times New Roman" w:hAnsi="Times New Roman"/>
                <w:color w:val="auto"/>
              </w:rPr>
              <w:t xml:space="preserve">Y600.PAIS </w:t>
            </w:r>
            <w:r w:rsidR="00574CEE" w:rsidRPr="00FA3856">
              <w:rPr>
                <w:rStyle w:val="Hyperlink"/>
                <w:rFonts w:ascii="Times New Roman" w:hAnsi="Times New Roman"/>
                <w:color w:val="auto"/>
              </w:rPr>
              <w:t>é diferente de “105”</w:t>
            </w:r>
            <w:r w:rsidR="00BC63D3" w:rsidRPr="00FA3856">
              <w:rPr>
                <w:rStyle w:val="Hyperlink"/>
                <w:rFonts w:ascii="Times New Roman" w:hAnsi="Times New Roman"/>
                <w:color w:val="auto"/>
              </w:rPr>
              <w:t xml:space="preserve"> (Brasil) e </w:t>
            </w:r>
            <w:r w:rsidR="00797C81" w:rsidRPr="00FA3856">
              <w:rPr>
                <w:rStyle w:val="Hyperlink"/>
                <w:rFonts w:ascii="Times New Roman" w:hAnsi="Times New Roman"/>
                <w:color w:val="auto"/>
              </w:rPr>
              <w:t>Y600.</w:t>
            </w:r>
            <w:r w:rsidR="001F083D" w:rsidRPr="00FA3856">
              <w:rPr>
                <w:rFonts w:ascii="Times New Roman" w:hAnsi="Times New Roman"/>
                <w:lang w:val="pt-PT"/>
              </w:rPr>
              <w:t>IND_QUALIF_SOCIO</w:t>
            </w:r>
            <w:r w:rsidR="001F083D" w:rsidRPr="00FA3856">
              <w:rPr>
                <w:rStyle w:val="Hyperlink"/>
                <w:rFonts w:ascii="Times New Roman" w:hAnsi="Times New Roman"/>
                <w:color w:val="auto"/>
              </w:rPr>
              <w:t xml:space="preserve"> </w:t>
            </w:r>
            <w:r w:rsidR="00574CEE" w:rsidRPr="00FA3856">
              <w:rPr>
                <w:rStyle w:val="Hyperlink"/>
                <w:rFonts w:ascii="Times New Roman" w:hAnsi="Times New Roman"/>
                <w:color w:val="auto"/>
              </w:rPr>
              <w:t>i</w:t>
            </w:r>
            <w:r w:rsidR="00BC63D3" w:rsidRPr="00FA3856">
              <w:rPr>
                <w:rStyle w:val="Hyperlink"/>
                <w:rFonts w:ascii="Times New Roman" w:hAnsi="Times New Roman"/>
                <w:color w:val="auto"/>
              </w:rPr>
              <w:t xml:space="preserve">gual a “PJ”, se </w:t>
            </w:r>
            <w:r w:rsidR="0011050B" w:rsidRPr="00FA3856">
              <w:rPr>
                <w:rStyle w:val="Hyperlink"/>
                <w:rFonts w:ascii="Times New Roman" w:hAnsi="Times New Roman"/>
                <w:color w:val="auto"/>
              </w:rPr>
              <w:t xml:space="preserve">Y600.QUALIF </w:t>
            </w:r>
            <w:r w:rsidR="00574CEE" w:rsidRPr="00FA3856">
              <w:rPr>
                <w:rStyle w:val="Hyperlink"/>
                <w:rFonts w:ascii="Times New Roman" w:hAnsi="Times New Roman"/>
                <w:color w:val="auto"/>
              </w:rPr>
              <w:t>é igual a “07” ou “08”.</w:t>
            </w:r>
          </w:p>
        </w:tc>
        <w:tc>
          <w:tcPr>
            <w:tcW w:w="717" w:type="dxa"/>
            <w:tcBorders>
              <w:top w:val="single" w:sz="6" w:space="0" w:color="auto"/>
              <w:left w:val="single" w:sz="6" w:space="0" w:color="auto"/>
              <w:bottom w:val="single" w:sz="6" w:space="0" w:color="auto"/>
              <w:right w:val="single" w:sz="6" w:space="0" w:color="auto"/>
            </w:tcBorders>
          </w:tcPr>
          <w:p w:rsidR="003748B4" w:rsidRPr="00FA3856" w:rsidRDefault="003748B4" w:rsidP="00574CEE">
            <w:pPr>
              <w:pStyle w:val="PSDS-CorpodeTexto0"/>
              <w:rPr>
                <w:rFonts w:ascii="Times New Roman" w:hAnsi="Times New Roman"/>
                <w:lang w:val="pt-PT"/>
              </w:rPr>
            </w:pPr>
            <w:r w:rsidRPr="00FA3856">
              <w:rPr>
                <w:rFonts w:ascii="Times New Roman" w:hAnsi="Times New Roman"/>
                <w:lang w:val="pt-PT"/>
              </w:rPr>
              <w:t>Erro</w:t>
            </w:r>
          </w:p>
        </w:tc>
      </w:tr>
      <w:tr w:rsidR="00794D21" w:rsidRPr="00FA3856" w:rsidTr="00CD4CC9">
        <w:trPr>
          <w:jc w:val="center"/>
        </w:trPr>
        <w:tc>
          <w:tcPr>
            <w:tcW w:w="485" w:type="dxa"/>
            <w:tcBorders>
              <w:top w:val="single" w:sz="6" w:space="0" w:color="auto"/>
              <w:left w:val="single" w:sz="6" w:space="0" w:color="auto"/>
              <w:bottom w:val="single" w:sz="6" w:space="0" w:color="auto"/>
              <w:right w:val="single" w:sz="6" w:space="0" w:color="auto"/>
            </w:tcBorders>
          </w:tcPr>
          <w:p w:rsidR="00794D21" w:rsidRPr="00FA3856" w:rsidRDefault="00794D21" w:rsidP="00CD4CC9">
            <w:pPr>
              <w:pStyle w:val="PSDS-CorpodeTexto0"/>
              <w:suppressAutoHyphens w:val="0"/>
              <w:rPr>
                <w:rFonts w:ascii="Times New Roman" w:hAnsi="Times New Roman"/>
                <w:b/>
                <w:bCs/>
                <w:lang w:val="pt-PT"/>
              </w:rPr>
            </w:pPr>
            <w:r w:rsidRPr="00FA3856">
              <w:rPr>
                <w:rFonts w:ascii="Times New Roman" w:hAnsi="Times New Roman"/>
                <w:b/>
                <w:bCs/>
                <w:lang w:val="pt-PT"/>
              </w:rPr>
              <w:t>11</w:t>
            </w:r>
          </w:p>
        </w:tc>
        <w:tc>
          <w:tcPr>
            <w:tcW w:w="3000" w:type="dxa"/>
            <w:tcBorders>
              <w:top w:val="single" w:sz="6" w:space="0" w:color="auto"/>
              <w:left w:val="single" w:sz="6" w:space="0" w:color="auto"/>
              <w:bottom w:val="single" w:sz="6" w:space="0" w:color="auto"/>
              <w:right w:val="single" w:sz="6" w:space="0" w:color="auto"/>
            </w:tcBorders>
          </w:tcPr>
          <w:p w:rsidR="00794D21" w:rsidRPr="00FA3856" w:rsidRDefault="00794D21" w:rsidP="00CD4CC9">
            <w:pPr>
              <w:pStyle w:val="PSDS-CorpodeTexto0"/>
              <w:rPr>
                <w:rFonts w:ascii="Times New Roman" w:hAnsi="Times New Roman"/>
                <w:lang w:val="pt-PT"/>
              </w:rPr>
            </w:pPr>
            <w:r w:rsidRPr="00FA3856">
              <w:rPr>
                <w:rFonts w:ascii="Times New Roman" w:hAnsi="Times New Roman"/>
                <w:lang w:val="pt-PT"/>
              </w:rPr>
              <w:t>CPF_REP_LEG</w:t>
            </w:r>
          </w:p>
        </w:tc>
        <w:tc>
          <w:tcPr>
            <w:tcW w:w="12168" w:type="dxa"/>
            <w:tcBorders>
              <w:top w:val="single" w:sz="6" w:space="0" w:color="auto"/>
              <w:left w:val="single" w:sz="6" w:space="0" w:color="auto"/>
              <w:bottom w:val="single" w:sz="6" w:space="0" w:color="auto"/>
              <w:right w:val="single" w:sz="6" w:space="0" w:color="auto"/>
            </w:tcBorders>
          </w:tcPr>
          <w:p w:rsidR="00794D21" w:rsidRPr="00FA3856" w:rsidRDefault="00794D21" w:rsidP="00794D21">
            <w:pPr>
              <w:pStyle w:val="PSDS-CorpodeTexto0"/>
              <w:jc w:val="both"/>
              <w:rPr>
                <w:rFonts w:ascii="Times New Roman" w:hAnsi="Times New Roman"/>
                <w:b/>
              </w:rPr>
            </w:pPr>
            <w:r w:rsidRPr="00FA3856">
              <w:rPr>
                <w:rStyle w:val="Hyperlink"/>
                <w:rFonts w:ascii="Times New Roman" w:hAnsi="Times New Roman"/>
                <w:b/>
                <w:color w:val="auto"/>
              </w:rPr>
              <w:t xml:space="preserve">REGRA_VALIDA_CPF: </w:t>
            </w:r>
            <w:r w:rsidRPr="00FA3856">
              <w:rPr>
                <w:rStyle w:val="Hyperlink"/>
                <w:rFonts w:ascii="Times New Roman" w:hAnsi="Times New Roman"/>
                <w:color w:val="auto"/>
              </w:rPr>
              <w:t>Verifica se o CPF informado é válido.</w:t>
            </w:r>
          </w:p>
        </w:tc>
        <w:tc>
          <w:tcPr>
            <w:tcW w:w="717" w:type="dxa"/>
            <w:tcBorders>
              <w:top w:val="single" w:sz="6" w:space="0" w:color="auto"/>
              <w:left w:val="single" w:sz="6" w:space="0" w:color="auto"/>
              <w:bottom w:val="single" w:sz="6" w:space="0" w:color="auto"/>
              <w:right w:val="single" w:sz="6" w:space="0" w:color="auto"/>
            </w:tcBorders>
          </w:tcPr>
          <w:p w:rsidR="00794D21" w:rsidRPr="00FA3856" w:rsidRDefault="00794D21" w:rsidP="00CD4CC9">
            <w:pPr>
              <w:pStyle w:val="PSDS-CorpodeTexto0"/>
              <w:rPr>
                <w:rFonts w:ascii="Times New Roman" w:hAnsi="Times New Roman"/>
                <w:lang w:val="pt-PT"/>
              </w:rPr>
            </w:pPr>
            <w:r w:rsidRPr="00FA3856">
              <w:rPr>
                <w:rFonts w:ascii="Times New Roman" w:hAnsi="Times New Roman"/>
                <w:lang w:val="pt-PT"/>
              </w:rPr>
              <w:t>Erro</w:t>
            </w:r>
          </w:p>
          <w:p w:rsidR="00794D21" w:rsidRPr="00FA3856" w:rsidRDefault="00794D21" w:rsidP="00CD4CC9">
            <w:pPr>
              <w:pStyle w:val="PSDS-CorpodeTexto0"/>
              <w:rPr>
                <w:rFonts w:ascii="Times New Roman" w:hAnsi="Times New Roman"/>
                <w:lang w:val="pt-PT"/>
              </w:rPr>
            </w:pPr>
          </w:p>
        </w:tc>
      </w:tr>
      <w:tr w:rsidR="003748B4" w:rsidRPr="00FA3856" w:rsidTr="00BB2C36">
        <w:trPr>
          <w:jc w:val="center"/>
        </w:trPr>
        <w:tc>
          <w:tcPr>
            <w:tcW w:w="485" w:type="dxa"/>
            <w:tcBorders>
              <w:top w:val="single" w:sz="6" w:space="0" w:color="auto"/>
              <w:left w:val="single" w:sz="6" w:space="0" w:color="auto"/>
              <w:bottom w:val="single" w:sz="6" w:space="0" w:color="auto"/>
              <w:right w:val="single" w:sz="6" w:space="0" w:color="auto"/>
            </w:tcBorders>
          </w:tcPr>
          <w:p w:rsidR="009417D6" w:rsidRPr="00FA3856" w:rsidRDefault="00BC63D3" w:rsidP="00574CEE">
            <w:pPr>
              <w:pStyle w:val="PSDS-CorpodeTexto0"/>
              <w:suppressAutoHyphens w:val="0"/>
              <w:rPr>
                <w:rFonts w:ascii="Times New Roman" w:hAnsi="Times New Roman"/>
                <w:b/>
                <w:bCs/>
                <w:lang w:val="pt-PT"/>
              </w:rPr>
            </w:pPr>
            <w:r w:rsidRPr="00FA3856">
              <w:rPr>
                <w:rFonts w:ascii="Times New Roman" w:hAnsi="Times New Roman"/>
                <w:b/>
                <w:bCs/>
                <w:lang w:val="pt-PT"/>
              </w:rPr>
              <w:t>12</w:t>
            </w:r>
          </w:p>
        </w:tc>
        <w:tc>
          <w:tcPr>
            <w:tcW w:w="3000" w:type="dxa"/>
            <w:tcBorders>
              <w:top w:val="single" w:sz="6" w:space="0" w:color="auto"/>
              <w:left w:val="single" w:sz="6" w:space="0" w:color="auto"/>
              <w:bottom w:val="single" w:sz="6" w:space="0" w:color="auto"/>
              <w:right w:val="single" w:sz="6" w:space="0" w:color="auto"/>
            </w:tcBorders>
          </w:tcPr>
          <w:p w:rsidR="009417D6" w:rsidRPr="00FA3856" w:rsidRDefault="003748B4" w:rsidP="00574CEE">
            <w:pPr>
              <w:pStyle w:val="PSDS-CorpodeTexto0"/>
              <w:rPr>
                <w:rFonts w:ascii="Times New Roman" w:hAnsi="Times New Roman"/>
                <w:lang w:val="pt-PT"/>
              </w:rPr>
            </w:pPr>
            <w:r w:rsidRPr="00FA3856">
              <w:rPr>
                <w:rFonts w:ascii="Times New Roman" w:hAnsi="Times New Roman"/>
                <w:lang w:val="pt-PT"/>
              </w:rPr>
              <w:t>QUALIF_REP_LEG</w:t>
            </w:r>
          </w:p>
        </w:tc>
        <w:tc>
          <w:tcPr>
            <w:tcW w:w="12168" w:type="dxa"/>
            <w:tcBorders>
              <w:top w:val="single" w:sz="6" w:space="0" w:color="auto"/>
              <w:left w:val="single" w:sz="6" w:space="0" w:color="auto"/>
              <w:bottom w:val="single" w:sz="6" w:space="0" w:color="auto"/>
              <w:right w:val="single" w:sz="6" w:space="0" w:color="auto"/>
            </w:tcBorders>
          </w:tcPr>
          <w:p w:rsidR="003748B4" w:rsidRPr="00FA3856" w:rsidRDefault="00B93932" w:rsidP="004916FB">
            <w:pPr>
              <w:pStyle w:val="PSDS-CorpodeTexto0"/>
              <w:jc w:val="both"/>
              <w:rPr>
                <w:rFonts w:ascii="Times New Roman" w:hAnsi="Times New Roman"/>
              </w:rPr>
            </w:pPr>
            <w:r w:rsidRPr="00FA3856">
              <w:rPr>
                <w:rStyle w:val="Hyperlink"/>
                <w:rFonts w:ascii="Times New Roman" w:hAnsi="Times New Roman"/>
                <w:b/>
                <w:color w:val="auto"/>
              </w:rPr>
              <w:t xml:space="preserve">REGRA_QUALIF_REP_LEG_OBRIGATORIO: </w:t>
            </w:r>
            <w:r w:rsidRPr="00FA3856">
              <w:rPr>
                <w:rStyle w:val="Hyperlink"/>
                <w:rFonts w:ascii="Times New Roman" w:hAnsi="Times New Roman"/>
                <w:color w:val="auto"/>
              </w:rPr>
              <w:t>Veri</w:t>
            </w:r>
            <w:r w:rsidR="00797C81" w:rsidRPr="00FA3856">
              <w:rPr>
                <w:rStyle w:val="Hyperlink"/>
                <w:rFonts w:ascii="Times New Roman" w:hAnsi="Times New Roman"/>
                <w:color w:val="auto"/>
              </w:rPr>
              <w:t>fica,</w:t>
            </w:r>
            <w:r w:rsidR="0011050B" w:rsidRPr="00FA3856">
              <w:rPr>
                <w:rStyle w:val="Hyperlink"/>
                <w:rFonts w:ascii="Times New Roman" w:hAnsi="Times New Roman"/>
                <w:color w:val="auto"/>
              </w:rPr>
              <w:t xml:space="preserve"> caso Y600.CPF_REP_LEG </w:t>
            </w:r>
            <w:r w:rsidRPr="00FA3856">
              <w:rPr>
                <w:rStyle w:val="Hyperlink"/>
                <w:rFonts w:ascii="Times New Roman" w:hAnsi="Times New Roman"/>
                <w:color w:val="auto"/>
              </w:rPr>
              <w:t>esteja preench</w:t>
            </w:r>
            <w:r w:rsidR="00797C81" w:rsidRPr="00FA3856">
              <w:rPr>
                <w:rStyle w:val="Hyperlink"/>
                <w:rFonts w:ascii="Times New Roman" w:hAnsi="Times New Roman"/>
                <w:color w:val="auto"/>
              </w:rPr>
              <w:t>ido, se Y600.QUAL</w:t>
            </w:r>
            <w:r w:rsidR="0011050B" w:rsidRPr="00FA3856">
              <w:rPr>
                <w:rStyle w:val="Hyperlink"/>
                <w:rFonts w:ascii="Times New Roman" w:hAnsi="Times New Roman"/>
                <w:color w:val="auto"/>
              </w:rPr>
              <w:t xml:space="preserve">IF_REP_LEG </w:t>
            </w:r>
            <w:r w:rsidRPr="00FA3856">
              <w:rPr>
                <w:rStyle w:val="Hyperlink"/>
                <w:rFonts w:ascii="Times New Roman" w:hAnsi="Times New Roman"/>
                <w:color w:val="auto"/>
              </w:rPr>
              <w:t>está preenchido. Cas</w:t>
            </w:r>
            <w:r w:rsidR="00BC63D3" w:rsidRPr="00FA3856">
              <w:rPr>
                <w:rStyle w:val="Hyperlink"/>
                <w:rFonts w:ascii="Times New Roman" w:hAnsi="Times New Roman"/>
                <w:color w:val="auto"/>
              </w:rPr>
              <w:t xml:space="preserve">o </w:t>
            </w:r>
            <w:r w:rsidR="00F3718D" w:rsidRPr="00FA3856">
              <w:rPr>
                <w:rStyle w:val="Hyperlink"/>
                <w:rFonts w:ascii="Times New Roman" w:hAnsi="Times New Roman"/>
                <w:color w:val="auto"/>
              </w:rPr>
              <w:t xml:space="preserve">Y600.CPF_REP_LEG </w:t>
            </w:r>
            <w:r w:rsidRPr="00FA3856">
              <w:rPr>
                <w:rStyle w:val="Hyperlink"/>
                <w:rFonts w:ascii="Times New Roman" w:hAnsi="Times New Roman"/>
                <w:color w:val="auto"/>
              </w:rPr>
              <w:t xml:space="preserve">não esteja preenchido, </w:t>
            </w:r>
            <w:r w:rsidR="00BC63D3" w:rsidRPr="00FA3856">
              <w:rPr>
                <w:rStyle w:val="Hyperlink"/>
                <w:rFonts w:ascii="Times New Roman" w:hAnsi="Times New Roman"/>
                <w:color w:val="auto"/>
              </w:rPr>
              <w:t xml:space="preserve">o campo </w:t>
            </w:r>
            <w:r w:rsidR="0011050B" w:rsidRPr="00FA3856">
              <w:rPr>
                <w:rStyle w:val="Hyperlink"/>
                <w:rFonts w:ascii="Times New Roman" w:hAnsi="Times New Roman"/>
                <w:color w:val="auto"/>
              </w:rPr>
              <w:t xml:space="preserve">Y600.QUALIF_REP_LEG </w:t>
            </w:r>
            <w:r w:rsidR="00BE769B" w:rsidRPr="00FA3856">
              <w:rPr>
                <w:rStyle w:val="Hyperlink"/>
                <w:rFonts w:ascii="Times New Roman" w:hAnsi="Times New Roman"/>
                <w:color w:val="auto"/>
              </w:rPr>
              <w:t>não deve ser preenchido.</w:t>
            </w:r>
          </w:p>
        </w:tc>
        <w:tc>
          <w:tcPr>
            <w:tcW w:w="717" w:type="dxa"/>
            <w:tcBorders>
              <w:top w:val="single" w:sz="6" w:space="0" w:color="auto"/>
              <w:left w:val="single" w:sz="6" w:space="0" w:color="auto"/>
              <w:bottom w:val="single" w:sz="6" w:space="0" w:color="auto"/>
              <w:right w:val="single" w:sz="6" w:space="0" w:color="auto"/>
            </w:tcBorders>
          </w:tcPr>
          <w:p w:rsidR="009417D6" w:rsidRPr="00FA3856" w:rsidRDefault="009417D6" w:rsidP="00574CEE">
            <w:pPr>
              <w:pStyle w:val="PSDS-CorpodeTexto0"/>
              <w:rPr>
                <w:rFonts w:ascii="Times New Roman" w:hAnsi="Times New Roman"/>
                <w:lang w:val="pt-PT"/>
              </w:rPr>
            </w:pPr>
            <w:r w:rsidRPr="00FA3856">
              <w:rPr>
                <w:rFonts w:ascii="Times New Roman" w:hAnsi="Times New Roman"/>
                <w:lang w:val="pt-PT"/>
              </w:rPr>
              <w:t>Erro</w:t>
            </w:r>
          </w:p>
          <w:p w:rsidR="00B93932" w:rsidRPr="00FA3856" w:rsidRDefault="00B93932" w:rsidP="00574CEE">
            <w:pPr>
              <w:pStyle w:val="PSDS-CorpodeTexto0"/>
              <w:rPr>
                <w:rFonts w:ascii="Times New Roman" w:hAnsi="Times New Roman"/>
                <w:lang w:val="pt-PT"/>
              </w:rPr>
            </w:pPr>
          </w:p>
        </w:tc>
      </w:tr>
    </w:tbl>
    <w:p w:rsidR="008E31E9" w:rsidRPr="00FA3856" w:rsidRDefault="008E31E9" w:rsidP="000524AE">
      <w:pPr>
        <w:rPr>
          <w:b/>
          <w:color w:val="002060"/>
          <w:szCs w:val="20"/>
        </w:rPr>
      </w:pPr>
    </w:p>
    <w:p w:rsidR="000B6866" w:rsidRDefault="002159D6" w:rsidP="002159D6">
      <w:pPr>
        <w:rPr>
          <w:b/>
          <w:color w:val="002060"/>
          <w:szCs w:val="20"/>
        </w:rPr>
      </w:pPr>
      <w:r w:rsidRPr="00FA3856">
        <w:rPr>
          <w:b/>
          <w:color w:val="002060"/>
          <w:szCs w:val="20"/>
        </w:rPr>
        <w:t xml:space="preserve">Exemplo de Preenchimento: </w:t>
      </w:r>
    </w:p>
    <w:p w:rsidR="000B6866" w:rsidRDefault="000B6866" w:rsidP="002159D6">
      <w:pPr>
        <w:rPr>
          <w:b/>
          <w:color w:val="002060"/>
          <w:szCs w:val="20"/>
        </w:rPr>
      </w:pPr>
    </w:p>
    <w:p w:rsidR="000524AE" w:rsidRPr="00FA3856" w:rsidRDefault="000524AE" w:rsidP="002159D6">
      <w:pPr>
        <w:rPr>
          <w:b/>
          <w:color w:val="002060"/>
          <w:szCs w:val="20"/>
        </w:rPr>
      </w:pPr>
      <w:r w:rsidRPr="00FA3856">
        <w:rPr>
          <w:b/>
          <w:color w:val="002060"/>
          <w:szCs w:val="20"/>
        </w:rPr>
        <w:t>|Y600|01012012|105|PF|00000000000|FULANO SÓCIO|01|60,00|60,00|||</w:t>
      </w:r>
      <w:r w:rsidR="00C91BD3" w:rsidRPr="00FA3856">
        <w:rPr>
          <w:b/>
          <w:color w:val="002060"/>
          <w:szCs w:val="20"/>
        </w:rPr>
        <w:t>100000,00|10000,00|5000,00|3000,00|9000,00|</w:t>
      </w:r>
    </w:p>
    <w:p w:rsidR="000524AE" w:rsidRPr="00FA3856" w:rsidRDefault="000524AE" w:rsidP="000524AE">
      <w:pPr>
        <w:pStyle w:val="Corpodetexto"/>
        <w:ind w:left="708" w:firstLine="709"/>
        <w:rPr>
          <w:rFonts w:ascii="Times New Roman" w:hAnsi="Times New Roman"/>
          <w:color w:val="002060"/>
          <w:szCs w:val="20"/>
        </w:rPr>
      </w:pPr>
      <w:r w:rsidRPr="00FA3856">
        <w:rPr>
          <w:rFonts w:ascii="Times New Roman" w:hAnsi="Times New Roman"/>
          <w:color w:val="002060"/>
          <w:szCs w:val="20"/>
        </w:rPr>
        <w:t>|Y600|: Identificação do tipo do registro.</w:t>
      </w:r>
    </w:p>
    <w:p w:rsidR="000524AE" w:rsidRPr="00FA3856" w:rsidRDefault="000524AE" w:rsidP="000524AE">
      <w:pPr>
        <w:pStyle w:val="Corpodetexto"/>
        <w:ind w:left="708" w:firstLine="709"/>
        <w:rPr>
          <w:rFonts w:ascii="Times New Roman" w:hAnsi="Times New Roman"/>
          <w:color w:val="002060"/>
          <w:szCs w:val="20"/>
        </w:rPr>
      </w:pPr>
      <w:r w:rsidRPr="00FA3856">
        <w:rPr>
          <w:rFonts w:ascii="Times New Roman" w:hAnsi="Times New Roman"/>
          <w:color w:val="002060"/>
          <w:szCs w:val="20"/>
        </w:rPr>
        <w:t>|01012012|: Data da última alteração societária (01/01/2012).</w:t>
      </w:r>
    </w:p>
    <w:p w:rsidR="000524AE" w:rsidRPr="00FA3856" w:rsidRDefault="000524AE" w:rsidP="000524AE">
      <w:pPr>
        <w:pStyle w:val="Corpodetexto"/>
        <w:ind w:left="708" w:firstLine="709"/>
        <w:rPr>
          <w:rFonts w:ascii="Times New Roman" w:hAnsi="Times New Roman"/>
          <w:color w:val="002060"/>
          <w:szCs w:val="20"/>
        </w:rPr>
      </w:pPr>
      <w:r w:rsidRPr="00FA3856">
        <w:rPr>
          <w:rFonts w:ascii="Times New Roman" w:hAnsi="Times New Roman"/>
          <w:color w:val="002060"/>
          <w:szCs w:val="20"/>
        </w:rPr>
        <w:t>|105|: Código do país de residência ou domicílio do sócio ou titular (105 = Brasil).</w:t>
      </w:r>
    </w:p>
    <w:p w:rsidR="000524AE" w:rsidRPr="00FA3856" w:rsidRDefault="000524AE" w:rsidP="000524AE">
      <w:pPr>
        <w:pStyle w:val="Corpodetexto"/>
        <w:ind w:left="708" w:firstLine="709"/>
        <w:rPr>
          <w:rFonts w:ascii="Times New Roman" w:hAnsi="Times New Roman"/>
          <w:color w:val="002060"/>
          <w:szCs w:val="20"/>
        </w:rPr>
      </w:pPr>
      <w:r w:rsidRPr="00FA3856">
        <w:rPr>
          <w:rFonts w:ascii="Times New Roman" w:hAnsi="Times New Roman"/>
          <w:color w:val="002060"/>
          <w:szCs w:val="20"/>
        </w:rPr>
        <w:t>|PF|: Indicador da natureza do sócio ou titular (PF = Pessoa Física).</w:t>
      </w:r>
    </w:p>
    <w:p w:rsidR="000524AE" w:rsidRPr="00FA3856" w:rsidRDefault="000524AE" w:rsidP="000524AE">
      <w:pPr>
        <w:pStyle w:val="Corpodetexto"/>
        <w:ind w:left="708" w:firstLine="709"/>
        <w:rPr>
          <w:rFonts w:ascii="Times New Roman" w:hAnsi="Times New Roman"/>
          <w:color w:val="002060"/>
          <w:szCs w:val="20"/>
        </w:rPr>
      </w:pPr>
      <w:r w:rsidRPr="00FA3856">
        <w:rPr>
          <w:rFonts w:ascii="Times New Roman" w:hAnsi="Times New Roman"/>
          <w:color w:val="002060"/>
          <w:szCs w:val="20"/>
        </w:rPr>
        <w:t>|00000000000|: CPF ou CNPJ do sócio ou titular (CPF: 000.000.000-00).</w:t>
      </w:r>
    </w:p>
    <w:p w:rsidR="000524AE" w:rsidRPr="00FA3856" w:rsidRDefault="000524AE" w:rsidP="000524AE">
      <w:pPr>
        <w:pStyle w:val="Corpodetexto"/>
        <w:ind w:left="708" w:firstLine="709"/>
        <w:rPr>
          <w:rFonts w:ascii="Times New Roman" w:hAnsi="Times New Roman"/>
          <w:color w:val="002060"/>
          <w:szCs w:val="20"/>
        </w:rPr>
      </w:pPr>
      <w:r w:rsidRPr="00FA3856">
        <w:rPr>
          <w:rFonts w:ascii="Times New Roman" w:hAnsi="Times New Roman"/>
          <w:color w:val="002060"/>
          <w:szCs w:val="20"/>
        </w:rPr>
        <w:t>|FULANO SÓCIO|: Nome ou nome empresarial do sócio ou titular.</w:t>
      </w:r>
    </w:p>
    <w:p w:rsidR="000524AE" w:rsidRPr="00FA3856" w:rsidRDefault="000524AE" w:rsidP="000524AE">
      <w:pPr>
        <w:pStyle w:val="Corpodetexto"/>
        <w:ind w:left="708" w:firstLine="709"/>
        <w:rPr>
          <w:rFonts w:ascii="Times New Roman" w:hAnsi="Times New Roman"/>
          <w:color w:val="002060"/>
          <w:szCs w:val="20"/>
        </w:rPr>
      </w:pPr>
      <w:r w:rsidRPr="00FA3856">
        <w:rPr>
          <w:rFonts w:ascii="Times New Roman" w:hAnsi="Times New Roman"/>
          <w:color w:val="002060"/>
          <w:szCs w:val="20"/>
        </w:rPr>
        <w:t>|01|: Qualificação do sócio ou titular (01 = Acionista Pessoa Física Domiciliado no Brasil).</w:t>
      </w:r>
    </w:p>
    <w:p w:rsidR="000524AE" w:rsidRPr="00FA3856" w:rsidRDefault="000524AE" w:rsidP="000524AE">
      <w:pPr>
        <w:pStyle w:val="Corpodetexto"/>
        <w:ind w:left="708" w:firstLine="709"/>
        <w:rPr>
          <w:rFonts w:ascii="Times New Roman" w:hAnsi="Times New Roman"/>
          <w:color w:val="002060"/>
          <w:szCs w:val="20"/>
        </w:rPr>
      </w:pPr>
      <w:r w:rsidRPr="00FA3856">
        <w:rPr>
          <w:rFonts w:ascii="Times New Roman" w:hAnsi="Times New Roman"/>
          <w:color w:val="002060"/>
          <w:szCs w:val="20"/>
        </w:rPr>
        <w:t>|60,00|: Percentual de participação do sócio ou titular no capital total (60%).</w:t>
      </w:r>
    </w:p>
    <w:p w:rsidR="000524AE" w:rsidRPr="00FA3856" w:rsidRDefault="000524AE" w:rsidP="000524AE">
      <w:pPr>
        <w:pStyle w:val="Corpodetexto"/>
        <w:ind w:left="708" w:firstLine="709"/>
        <w:rPr>
          <w:rFonts w:ascii="Times New Roman" w:hAnsi="Times New Roman"/>
          <w:color w:val="002060"/>
          <w:szCs w:val="20"/>
        </w:rPr>
      </w:pPr>
      <w:r w:rsidRPr="00FA3856">
        <w:rPr>
          <w:rFonts w:ascii="Times New Roman" w:hAnsi="Times New Roman"/>
          <w:color w:val="002060"/>
          <w:szCs w:val="20"/>
        </w:rPr>
        <w:t>|60,00|: Percentual de participação do sócio ou titular no capital votante (60%).</w:t>
      </w:r>
    </w:p>
    <w:p w:rsidR="000524AE" w:rsidRPr="00FA3856" w:rsidRDefault="000524AE" w:rsidP="000524AE">
      <w:pPr>
        <w:pStyle w:val="Corpodetexto"/>
        <w:ind w:left="708" w:firstLine="709"/>
        <w:rPr>
          <w:rFonts w:ascii="Times New Roman" w:hAnsi="Times New Roman"/>
          <w:color w:val="002060"/>
          <w:szCs w:val="20"/>
        </w:rPr>
      </w:pPr>
      <w:r w:rsidRPr="00FA3856">
        <w:rPr>
          <w:rFonts w:ascii="Times New Roman" w:hAnsi="Times New Roman"/>
          <w:color w:val="002060"/>
          <w:szCs w:val="20"/>
        </w:rPr>
        <w:t>||: Não há representante legal (CPF do representante legal não preenchido).</w:t>
      </w:r>
    </w:p>
    <w:p w:rsidR="000524AE" w:rsidRPr="00FA3856" w:rsidRDefault="000524AE" w:rsidP="000524AE">
      <w:pPr>
        <w:pStyle w:val="Corpodetexto"/>
        <w:ind w:left="708" w:firstLine="709"/>
        <w:rPr>
          <w:rFonts w:ascii="Times New Roman" w:hAnsi="Times New Roman"/>
          <w:color w:val="002060"/>
          <w:szCs w:val="20"/>
        </w:rPr>
      </w:pPr>
      <w:r w:rsidRPr="00FA3856">
        <w:rPr>
          <w:rFonts w:ascii="Times New Roman" w:hAnsi="Times New Roman"/>
          <w:color w:val="002060"/>
          <w:szCs w:val="20"/>
        </w:rPr>
        <w:t>||: Não há representante legal (Qualificação do representante legal não preenchida).</w:t>
      </w:r>
    </w:p>
    <w:p w:rsidR="00C91BD3" w:rsidRPr="00FA3856" w:rsidRDefault="00C91BD3" w:rsidP="00C91BD3">
      <w:pPr>
        <w:pStyle w:val="Corpodetexto"/>
        <w:ind w:left="708" w:firstLine="709"/>
        <w:rPr>
          <w:rFonts w:ascii="Times New Roman" w:hAnsi="Times New Roman"/>
          <w:color w:val="002060"/>
          <w:szCs w:val="20"/>
        </w:rPr>
      </w:pPr>
      <w:r w:rsidRPr="00FA3856">
        <w:rPr>
          <w:rFonts w:ascii="Times New Roman" w:hAnsi="Times New Roman"/>
          <w:color w:val="002060"/>
          <w:szCs w:val="20"/>
        </w:rPr>
        <w:t>|100000,00|: Rendimentos pagos e escriturados ao dirigente, conselheiro, sócio ou titular (R$ 100.000,00).</w:t>
      </w:r>
    </w:p>
    <w:p w:rsidR="00C91BD3" w:rsidRPr="00FA3856" w:rsidRDefault="00C91BD3" w:rsidP="00C91BD3">
      <w:pPr>
        <w:pStyle w:val="Corpodetexto"/>
        <w:ind w:left="708" w:firstLine="709"/>
        <w:rPr>
          <w:rFonts w:ascii="Times New Roman" w:hAnsi="Times New Roman"/>
          <w:color w:val="002060"/>
          <w:szCs w:val="20"/>
        </w:rPr>
      </w:pPr>
      <w:r w:rsidRPr="00FA3856">
        <w:rPr>
          <w:rFonts w:ascii="Times New Roman" w:hAnsi="Times New Roman"/>
          <w:color w:val="002060"/>
          <w:szCs w:val="20"/>
        </w:rPr>
        <w:t>|10000,00|: Lucros e dividendos pagos ao dirigente, conselheiro, sócio ou titular (R$ 10.000,00).</w:t>
      </w:r>
    </w:p>
    <w:p w:rsidR="00C91BD3" w:rsidRPr="00FA3856" w:rsidRDefault="00C91BD3" w:rsidP="00C91BD3">
      <w:pPr>
        <w:pStyle w:val="Corpodetexto"/>
        <w:ind w:left="708" w:firstLine="709"/>
        <w:rPr>
          <w:rFonts w:ascii="Times New Roman" w:hAnsi="Times New Roman"/>
          <w:color w:val="002060"/>
          <w:szCs w:val="20"/>
        </w:rPr>
      </w:pPr>
      <w:r w:rsidRPr="00FA3856">
        <w:rPr>
          <w:rFonts w:ascii="Times New Roman" w:hAnsi="Times New Roman"/>
          <w:color w:val="002060"/>
          <w:szCs w:val="20"/>
        </w:rPr>
        <w:t>|5000,00|: Juros sobre o capital próprio pagos ao dirigente, conselheiro, sócio ou titular (R$ 5.000,00).</w:t>
      </w:r>
    </w:p>
    <w:p w:rsidR="00C91BD3" w:rsidRPr="00FA3856" w:rsidRDefault="00C91BD3" w:rsidP="00C91BD3">
      <w:pPr>
        <w:pStyle w:val="Corpodetexto"/>
        <w:ind w:left="708" w:firstLine="709"/>
        <w:rPr>
          <w:rFonts w:ascii="Times New Roman" w:hAnsi="Times New Roman"/>
          <w:color w:val="002060"/>
          <w:szCs w:val="20"/>
        </w:rPr>
      </w:pPr>
      <w:r w:rsidRPr="00FA3856">
        <w:rPr>
          <w:rFonts w:ascii="Times New Roman" w:hAnsi="Times New Roman"/>
          <w:color w:val="002060"/>
          <w:szCs w:val="20"/>
        </w:rPr>
        <w:t>|3000,00|: Demais rendimentos pagos ao dirigente, conselheiro, sócio ou titular (R$ 3.000,00).</w:t>
      </w:r>
    </w:p>
    <w:p w:rsidR="00C91BD3" w:rsidRPr="00FA3856" w:rsidRDefault="00C91BD3" w:rsidP="00C91BD3">
      <w:pPr>
        <w:pStyle w:val="Corpodetexto"/>
        <w:ind w:left="1416"/>
        <w:rPr>
          <w:rFonts w:ascii="Times New Roman" w:hAnsi="Times New Roman"/>
          <w:color w:val="002060"/>
          <w:szCs w:val="20"/>
        </w:rPr>
      </w:pPr>
      <w:r w:rsidRPr="00FA3856">
        <w:rPr>
          <w:rFonts w:ascii="Times New Roman" w:hAnsi="Times New Roman"/>
          <w:color w:val="002060"/>
          <w:szCs w:val="20"/>
        </w:rPr>
        <w:t>|9000,00|: Imposto de renda retido na fonte em virtude do pagamento de lucros ou dividendos não abrangidos pela isenção e sobre os rendimentos pagos ao dirigente, conselheiro, sócio ou titular (R$ 9.000,00).</w:t>
      </w:r>
    </w:p>
    <w:p w:rsidR="000524AE" w:rsidRPr="00FA3856" w:rsidRDefault="000524AE" w:rsidP="000524AE">
      <w:pPr>
        <w:pStyle w:val="Corpodetexto"/>
        <w:ind w:left="708" w:firstLine="709"/>
        <w:rPr>
          <w:rFonts w:ascii="Times New Roman" w:hAnsi="Times New Roman"/>
          <w:color w:val="002060"/>
          <w:szCs w:val="20"/>
        </w:rPr>
      </w:pPr>
    </w:p>
    <w:p w:rsidR="00546668" w:rsidRPr="00FA3856" w:rsidRDefault="00546668" w:rsidP="00867F54">
      <w:pPr>
        <w:pStyle w:val="Ttulo4"/>
      </w:pPr>
      <w:bookmarkStart w:id="429" w:name="_Toc479713831"/>
      <w:r w:rsidRPr="00FA3856">
        <w:lastRenderedPageBreak/>
        <w:t xml:space="preserve">Registro Y612: </w:t>
      </w:r>
      <w:r w:rsidR="00CB364F" w:rsidRPr="00FA3856">
        <w:t xml:space="preserve">Identificação e </w:t>
      </w:r>
      <w:r w:rsidRPr="00FA3856">
        <w:t>Rendimentos de Dirigentes e Conselheiros – Imunes ou Isentas</w:t>
      </w:r>
      <w:bookmarkEnd w:id="429"/>
    </w:p>
    <w:p w:rsidR="00546668" w:rsidRPr="00FA3856" w:rsidRDefault="00546668" w:rsidP="00546668">
      <w:pPr>
        <w:rPr>
          <w:szCs w:val="20"/>
        </w:rPr>
      </w:pPr>
    </w:p>
    <w:p w:rsidR="00420A32" w:rsidRPr="00372EFC" w:rsidRDefault="00420A32" w:rsidP="00420A32">
      <w:pPr>
        <w:ind w:firstLine="708"/>
        <w:jc w:val="both"/>
        <w:rPr>
          <w:szCs w:val="20"/>
        </w:rPr>
      </w:pPr>
      <w:r w:rsidRPr="00D756FC">
        <w:rPr>
          <w:szCs w:val="20"/>
        </w:rPr>
        <w:t xml:space="preserve">Este registro deve ser preenchido pelas imunes ou </w:t>
      </w:r>
      <w:r w:rsidR="00DF20F8" w:rsidRPr="00D756FC">
        <w:rPr>
          <w:szCs w:val="20"/>
        </w:rPr>
        <w:t>isentas</w:t>
      </w:r>
      <w:r w:rsidRPr="00D756FC">
        <w:rPr>
          <w:szCs w:val="20"/>
        </w:rPr>
        <w:t xml:space="preserve"> com dados dos 999 (novecentos e noventa e nove) maiores dirigentes e conselheiros, no período de apuração, inclusive os dirigentes e conselheiros que tenham saído das imunes ou isentas no período de apuração e não fazem parte das imunes ou isentas na data final do período de apuração. Os dirigentes e conselheiros devem ser informados, ainda não tenham recebido rendimento no período (nessa situação, o valor a ser informado será zero).</w:t>
      </w:r>
    </w:p>
    <w:p w:rsidR="00272DE0" w:rsidRDefault="00272DE0" w:rsidP="00260296">
      <w:pPr>
        <w:pStyle w:val="PSDS-MarcadoresNivel4"/>
        <w:tabs>
          <w:tab w:val="clear" w:pos="2271"/>
          <w:tab w:val="left" w:pos="720"/>
        </w:tabs>
        <w:spacing w:before="0" w:after="0"/>
        <w:ind w:left="0" w:firstLine="0"/>
        <w:rPr>
          <w:rFonts w:ascii="Times New Roman" w:hAnsi="Times New Roman" w:cs="Times New Roman"/>
          <w:szCs w:val="20"/>
          <w:lang w:val="pt-PT"/>
        </w:rPr>
      </w:pPr>
    </w:p>
    <w:p w:rsidR="00272DE0" w:rsidRDefault="00B35FA3" w:rsidP="00272DE0">
      <w:pPr>
        <w:pStyle w:val="PSDS-MarcadoresNivel4"/>
        <w:tabs>
          <w:tab w:val="clear" w:pos="2271"/>
          <w:tab w:val="left" w:pos="720"/>
        </w:tabs>
        <w:spacing w:before="0" w:after="0"/>
        <w:ind w:left="0" w:firstLine="0"/>
        <w:jc w:val="center"/>
        <w:rPr>
          <w:rFonts w:ascii="Times New Roman" w:hAnsi="Times New Roman" w:cs="Times New Roman"/>
          <w:szCs w:val="20"/>
          <w:lang w:val="pt-PT"/>
        </w:rPr>
      </w:pPr>
      <w:r>
        <w:rPr>
          <w:rFonts w:ascii="Times New Roman" w:hAnsi="Times New Roman" w:cs="Times New Roman"/>
          <w:szCs w:val="20"/>
          <w:lang w:val="pt-PT"/>
        </w:rPr>
        <w:object w:dxaOrig="14835" w:dyaOrig="6810">
          <v:shape id="_x0000_i2068" type="#_x0000_t75" style="width:792.75pt;height:330pt" o:ole="">
            <v:imagedata r:id="rId860" o:title=""/>
          </v:shape>
          <o:OLEObject Type="Link" ProgID="Excel.Sheet.12" ShapeID="_x0000_i2068" DrawAspect="Content" r:id="rId861" UpdateMode="Always">
            <o:LinkType>EnhancedMetaFile</o:LinkType>
            <o:LockedField>false</o:LockedField>
          </o:OLEObject>
        </w:object>
      </w:r>
    </w:p>
    <w:p w:rsidR="00272DE0" w:rsidRDefault="00272DE0" w:rsidP="00260296">
      <w:pPr>
        <w:pStyle w:val="PSDS-MarcadoresNivel4"/>
        <w:tabs>
          <w:tab w:val="clear" w:pos="2271"/>
          <w:tab w:val="left" w:pos="720"/>
        </w:tabs>
        <w:spacing w:before="0" w:after="0"/>
        <w:ind w:left="0" w:firstLine="0"/>
        <w:rPr>
          <w:rFonts w:ascii="Times New Roman" w:hAnsi="Times New Roman" w:cs="Times New Roman"/>
          <w:szCs w:val="20"/>
          <w:lang w:val="pt-PT"/>
        </w:rPr>
      </w:pPr>
    </w:p>
    <w:p w:rsidR="00272DE0" w:rsidRDefault="00272DE0" w:rsidP="00260296">
      <w:pPr>
        <w:pStyle w:val="PSDS-MarcadoresNivel4"/>
        <w:tabs>
          <w:tab w:val="clear" w:pos="2271"/>
          <w:tab w:val="left" w:pos="720"/>
        </w:tabs>
        <w:spacing w:before="0" w:after="0"/>
        <w:ind w:left="0" w:firstLine="0"/>
        <w:rPr>
          <w:rFonts w:ascii="Times New Roman" w:hAnsi="Times New Roman" w:cs="Times New Roman"/>
          <w:szCs w:val="20"/>
          <w:lang w:val="pt-PT"/>
        </w:rPr>
      </w:pPr>
    </w:p>
    <w:p w:rsidR="00272DE0" w:rsidRDefault="00272DE0" w:rsidP="00260296">
      <w:pPr>
        <w:pStyle w:val="PSDS-MarcadoresNivel4"/>
        <w:tabs>
          <w:tab w:val="clear" w:pos="2271"/>
          <w:tab w:val="left" w:pos="720"/>
        </w:tabs>
        <w:spacing w:before="0" w:after="0"/>
        <w:ind w:left="0" w:firstLine="0"/>
        <w:rPr>
          <w:rFonts w:ascii="Times New Roman" w:hAnsi="Times New Roman" w:cs="Times New Roman"/>
          <w:szCs w:val="20"/>
          <w:lang w:val="pt-PT"/>
        </w:rPr>
      </w:pPr>
    </w:p>
    <w:p w:rsidR="00272DE0" w:rsidRDefault="00272DE0" w:rsidP="00260296">
      <w:pPr>
        <w:pStyle w:val="PSDS-MarcadoresNivel4"/>
        <w:tabs>
          <w:tab w:val="clear" w:pos="2271"/>
          <w:tab w:val="left" w:pos="720"/>
        </w:tabs>
        <w:spacing w:before="0" w:after="0"/>
        <w:ind w:left="0" w:firstLine="0"/>
        <w:rPr>
          <w:rFonts w:ascii="Times New Roman" w:hAnsi="Times New Roman" w:cs="Times New Roman"/>
          <w:szCs w:val="20"/>
          <w:lang w:val="pt-PT"/>
        </w:rPr>
      </w:pPr>
    </w:p>
    <w:p w:rsidR="00272DE0" w:rsidRDefault="00272DE0" w:rsidP="00260296">
      <w:pPr>
        <w:pStyle w:val="PSDS-MarcadoresNivel4"/>
        <w:tabs>
          <w:tab w:val="clear" w:pos="2271"/>
          <w:tab w:val="left" w:pos="720"/>
        </w:tabs>
        <w:spacing w:before="0" w:after="0"/>
        <w:ind w:left="0" w:firstLine="0"/>
        <w:rPr>
          <w:rFonts w:ascii="Times New Roman" w:hAnsi="Times New Roman" w:cs="Times New Roman"/>
          <w:szCs w:val="20"/>
          <w:lang w:val="pt-PT"/>
        </w:rPr>
      </w:pPr>
    </w:p>
    <w:p w:rsidR="00272DE0" w:rsidRDefault="00B35FA3" w:rsidP="00272DE0">
      <w:pPr>
        <w:pStyle w:val="PSDS-MarcadoresNivel4"/>
        <w:tabs>
          <w:tab w:val="clear" w:pos="2271"/>
          <w:tab w:val="left" w:pos="720"/>
        </w:tabs>
        <w:spacing w:before="0" w:after="0"/>
        <w:ind w:left="0" w:firstLine="0"/>
        <w:jc w:val="center"/>
        <w:rPr>
          <w:rFonts w:ascii="Times New Roman" w:hAnsi="Times New Roman" w:cs="Times New Roman"/>
          <w:szCs w:val="20"/>
          <w:lang w:val="pt-PT"/>
        </w:rPr>
      </w:pPr>
      <w:r>
        <w:rPr>
          <w:rFonts w:ascii="Times New Roman" w:hAnsi="Times New Roman" w:cs="Times New Roman"/>
          <w:szCs w:val="20"/>
          <w:lang w:val="pt-PT"/>
        </w:rPr>
        <w:object w:dxaOrig="14835" w:dyaOrig="2085">
          <v:shape id="_x0000_i2070" type="#_x0000_t75" style="width:792.75pt;height:101.25pt" o:ole="">
            <v:imagedata r:id="rId862" o:title=""/>
          </v:shape>
          <o:OLEObject Type="Link" ProgID="Excel.Sheet.12" ShapeID="_x0000_i2070" DrawAspect="Content" r:id="rId863" UpdateMode="Always">
            <o:LinkType>EnhancedMetaFile</o:LinkType>
            <o:LockedField>false</o:LockedField>
          </o:OLEObject>
        </w:object>
      </w:r>
    </w:p>
    <w:p w:rsidR="00272DE0" w:rsidRDefault="00272DE0" w:rsidP="00260296">
      <w:pPr>
        <w:pStyle w:val="PSDS-MarcadoresNivel4"/>
        <w:tabs>
          <w:tab w:val="clear" w:pos="2271"/>
          <w:tab w:val="left" w:pos="720"/>
        </w:tabs>
        <w:spacing w:before="0" w:after="0"/>
        <w:ind w:left="0" w:firstLine="0"/>
        <w:rPr>
          <w:rFonts w:ascii="Times New Roman" w:hAnsi="Times New Roman" w:cs="Times New Roman"/>
          <w:szCs w:val="20"/>
          <w:lang w:val="pt-PT"/>
        </w:rPr>
      </w:pPr>
    </w:p>
    <w:p w:rsidR="00260296" w:rsidRPr="00FA3856" w:rsidRDefault="00260296" w:rsidP="00260296">
      <w:pPr>
        <w:pStyle w:val="PSDS-MarcadoresNivel4"/>
        <w:tabs>
          <w:tab w:val="clear" w:pos="2271"/>
          <w:tab w:val="left" w:pos="720"/>
        </w:tabs>
        <w:spacing w:before="0" w:after="0"/>
        <w:ind w:left="0" w:firstLine="0"/>
        <w:rPr>
          <w:rFonts w:ascii="Times New Roman" w:hAnsi="Times New Roman" w:cs="Times New Roman"/>
          <w:szCs w:val="20"/>
          <w:lang w:val="pt-PT"/>
        </w:rPr>
      </w:pPr>
      <w:r w:rsidRPr="00FA3856">
        <w:rPr>
          <w:rFonts w:ascii="Times New Roman" w:hAnsi="Times New Roman" w:cs="Times New Roman"/>
          <w:szCs w:val="20"/>
          <w:lang w:val="pt-PT"/>
        </w:rPr>
        <w:t>I – Regras de Validação de Campos:</w:t>
      </w:r>
    </w:p>
    <w:p w:rsidR="00260296" w:rsidRPr="00FA3856" w:rsidRDefault="00260296" w:rsidP="00260296">
      <w:pPr>
        <w:pStyle w:val="PSDS-MarcadoresNivel4"/>
        <w:tabs>
          <w:tab w:val="clear" w:pos="2271"/>
          <w:tab w:val="left" w:pos="720"/>
        </w:tabs>
        <w:spacing w:before="0" w:after="0"/>
        <w:ind w:left="0" w:firstLine="0"/>
        <w:rPr>
          <w:rFonts w:ascii="Times New Roman" w:hAnsi="Times New Roman" w:cs="Times New Roman"/>
          <w:szCs w:val="20"/>
          <w:lang w:val="pt-PT"/>
        </w:rPr>
      </w:pPr>
    </w:p>
    <w:tbl>
      <w:tblPr>
        <w:tblW w:w="16370"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85"/>
        <w:gridCol w:w="3000"/>
        <w:gridCol w:w="12168"/>
        <w:gridCol w:w="717"/>
      </w:tblGrid>
      <w:tr w:rsidR="00260296" w:rsidRPr="00FA3856" w:rsidTr="00BB2C36">
        <w:trPr>
          <w:tblHeader/>
          <w:jc w:val="center"/>
        </w:trPr>
        <w:tc>
          <w:tcPr>
            <w:tcW w:w="485" w:type="dxa"/>
            <w:tcBorders>
              <w:top w:val="single" w:sz="6" w:space="0" w:color="auto"/>
              <w:left w:val="single" w:sz="6" w:space="0" w:color="auto"/>
              <w:bottom w:val="single" w:sz="6" w:space="0" w:color="auto"/>
              <w:right w:val="single" w:sz="6" w:space="0" w:color="auto"/>
            </w:tcBorders>
            <w:shd w:val="pct10" w:color="auto" w:fill="FFFFFF"/>
          </w:tcPr>
          <w:p w:rsidR="00260296" w:rsidRPr="00FA3856" w:rsidRDefault="00260296" w:rsidP="000B0C32">
            <w:pPr>
              <w:pStyle w:val="PSDS-CorpodeTexto0"/>
              <w:jc w:val="center"/>
              <w:rPr>
                <w:rFonts w:ascii="Times New Roman" w:hAnsi="Times New Roman"/>
                <w:b/>
                <w:bCs/>
              </w:rPr>
            </w:pPr>
            <w:r w:rsidRPr="00FA3856">
              <w:rPr>
                <w:rFonts w:ascii="Times New Roman" w:hAnsi="Times New Roman"/>
                <w:b/>
                <w:bCs/>
              </w:rPr>
              <w:t>Nº</w:t>
            </w:r>
          </w:p>
        </w:tc>
        <w:tc>
          <w:tcPr>
            <w:tcW w:w="3000" w:type="dxa"/>
            <w:tcBorders>
              <w:top w:val="single" w:sz="6" w:space="0" w:color="auto"/>
              <w:left w:val="single" w:sz="6" w:space="0" w:color="auto"/>
              <w:bottom w:val="single" w:sz="6" w:space="0" w:color="auto"/>
              <w:right w:val="single" w:sz="6" w:space="0" w:color="auto"/>
            </w:tcBorders>
            <w:shd w:val="pct10" w:color="auto" w:fill="FFFFFF"/>
          </w:tcPr>
          <w:p w:rsidR="00260296" w:rsidRPr="00FA3856" w:rsidRDefault="00260296" w:rsidP="000B0C32">
            <w:pPr>
              <w:pStyle w:val="PSDS-CorpodeTexto0"/>
              <w:jc w:val="center"/>
              <w:rPr>
                <w:rFonts w:ascii="Times New Roman" w:hAnsi="Times New Roman"/>
                <w:b/>
                <w:bCs/>
              </w:rPr>
            </w:pPr>
            <w:r w:rsidRPr="00FA3856">
              <w:rPr>
                <w:rFonts w:ascii="Times New Roman" w:hAnsi="Times New Roman"/>
                <w:b/>
                <w:bCs/>
              </w:rPr>
              <w:t>Campo</w:t>
            </w:r>
          </w:p>
        </w:tc>
        <w:tc>
          <w:tcPr>
            <w:tcW w:w="12168" w:type="dxa"/>
            <w:tcBorders>
              <w:top w:val="single" w:sz="6" w:space="0" w:color="auto"/>
              <w:left w:val="single" w:sz="6" w:space="0" w:color="auto"/>
              <w:bottom w:val="single" w:sz="6" w:space="0" w:color="auto"/>
              <w:right w:val="single" w:sz="6" w:space="0" w:color="auto"/>
            </w:tcBorders>
            <w:shd w:val="pct10" w:color="auto" w:fill="FFFFFF"/>
          </w:tcPr>
          <w:p w:rsidR="00260296" w:rsidRPr="00FA3856" w:rsidRDefault="00260296" w:rsidP="000B0C32">
            <w:pPr>
              <w:pStyle w:val="PSDS-CorpodeTexto0"/>
              <w:jc w:val="center"/>
              <w:rPr>
                <w:rFonts w:ascii="Times New Roman" w:hAnsi="Times New Roman"/>
                <w:b/>
                <w:bCs/>
              </w:rPr>
            </w:pPr>
            <w:r w:rsidRPr="00FA3856">
              <w:rPr>
                <w:rFonts w:ascii="Times New Roman" w:hAnsi="Times New Roman"/>
                <w:b/>
                <w:bCs/>
              </w:rPr>
              <w:t>Regras de Validação do Campo</w:t>
            </w:r>
          </w:p>
        </w:tc>
        <w:tc>
          <w:tcPr>
            <w:tcW w:w="717" w:type="dxa"/>
            <w:tcBorders>
              <w:top w:val="single" w:sz="6" w:space="0" w:color="auto"/>
              <w:left w:val="single" w:sz="6" w:space="0" w:color="auto"/>
              <w:bottom w:val="single" w:sz="6" w:space="0" w:color="auto"/>
              <w:right w:val="single" w:sz="6" w:space="0" w:color="auto"/>
            </w:tcBorders>
            <w:shd w:val="pct10" w:color="auto" w:fill="FFFFFF"/>
          </w:tcPr>
          <w:p w:rsidR="00260296" w:rsidRPr="00FA3856" w:rsidRDefault="00260296" w:rsidP="000B0C32">
            <w:pPr>
              <w:pStyle w:val="PSDS-CorpodeTexto0"/>
              <w:jc w:val="center"/>
              <w:rPr>
                <w:rFonts w:ascii="Times New Roman" w:hAnsi="Times New Roman"/>
                <w:b/>
                <w:bCs/>
              </w:rPr>
            </w:pPr>
            <w:r w:rsidRPr="00FA3856">
              <w:rPr>
                <w:rFonts w:ascii="Times New Roman" w:hAnsi="Times New Roman"/>
                <w:b/>
                <w:bCs/>
              </w:rPr>
              <w:t>Tipo</w:t>
            </w:r>
          </w:p>
        </w:tc>
      </w:tr>
      <w:tr w:rsidR="00260296" w:rsidRPr="00FA3856" w:rsidTr="00BB2C36">
        <w:trPr>
          <w:jc w:val="center"/>
        </w:trPr>
        <w:tc>
          <w:tcPr>
            <w:tcW w:w="485" w:type="dxa"/>
            <w:tcBorders>
              <w:top w:val="single" w:sz="6" w:space="0" w:color="auto"/>
              <w:left w:val="single" w:sz="6" w:space="0" w:color="auto"/>
              <w:bottom w:val="single" w:sz="6" w:space="0" w:color="auto"/>
              <w:right w:val="single" w:sz="6" w:space="0" w:color="auto"/>
            </w:tcBorders>
          </w:tcPr>
          <w:p w:rsidR="00260296" w:rsidRPr="00FA3856" w:rsidRDefault="00260296" w:rsidP="000B0C32">
            <w:pPr>
              <w:pStyle w:val="PSDS-CorpodeTexto0"/>
              <w:suppressAutoHyphens w:val="0"/>
              <w:rPr>
                <w:rFonts w:ascii="Times New Roman" w:hAnsi="Times New Roman"/>
                <w:b/>
                <w:bCs/>
                <w:lang w:val="pt-PT"/>
              </w:rPr>
            </w:pPr>
            <w:r w:rsidRPr="00FA3856">
              <w:rPr>
                <w:rFonts w:ascii="Times New Roman" w:hAnsi="Times New Roman"/>
                <w:b/>
                <w:bCs/>
                <w:lang w:val="pt-PT"/>
              </w:rPr>
              <w:t>4</w:t>
            </w:r>
          </w:p>
        </w:tc>
        <w:tc>
          <w:tcPr>
            <w:tcW w:w="3000" w:type="dxa"/>
            <w:tcBorders>
              <w:top w:val="single" w:sz="6" w:space="0" w:color="auto"/>
              <w:left w:val="single" w:sz="6" w:space="0" w:color="auto"/>
              <w:bottom w:val="single" w:sz="6" w:space="0" w:color="auto"/>
              <w:right w:val="single" w:sz="6" w:space="0" w:color="auto"/>
            </w:tcBorders>
          </w:tcPr>
          <w:p w:rsidR="00260296" w:rsidRPr="00FA3856" w:rsidRDefault="00260296" w:rsidP="000B0C32">
            <w:pPr>
              <w:pStyle w:val="PSDS-CorpodeTexto0"/>
              <w:rPr>
                <w:rFonts w:ascii="Times New Roman" w:hAnsi="Times New Roman"/>
                <w:lang w:val="pt-PT"/>
              </w:rPr>
            </w:pPr>
            <w:r w:rsidRPr="00FA3856">
              <w:rPr>
                <w:rFonts w:ascii="Times New Roman" w:hAnsi="Times New Roman"/>
                <w:lang w:val="pt-PT"/>
              </w:rPr>
              <w:t>QUALIF</w:t>
            </w:r>
          </w:p>
        </w:tc>
        <w:tc>
          <w:tcPr>
            <w:tcW w:w="12168" w:type="dxa"/>
            <w:tcBorders>
              <w:top w:val="single" w:sz="6" w:space="0" w:color="auto"/>
              <w:left w:val="single" w:sz="6" w:space="0" w:color="auto"/>
              <w:bottom w:val="single" w:sz="6" w:space="0" w:color="auto"/>
              <w:right w:val="single" w:sz="6" w:space="0" w:color="auto"/>
            </w:tcBorders>
          </w:tcPr>
          <w:p w:rsidR="00260296" w:rsidRPr="00FA3856" w:rsidRDefault="007D0E74" w:rsidP="0011050B">
            <w:pPr>
              <w:shd w:val="clear" w:color="auto" w:fill="FFFFFF"/>
              <w:jc w:val="both"/>
              <w:rPr>
                <w:szCs w:val="20"/>
              </w:rPr>
            </w:pPr>
            <w:hyperlink w:anchor="REGRA_Y612_QUALIF" w:history="1">
              <w:r w:rsidR="0068391C" w:rsidRPr="00FA3856">
                <w:rPr>
                  <w:b/>
                  <w:szCs w:val="20"/>
                  <w:lang w:val="pt-PT" w:eastAsia="ar-SA"/>
                </w:rPr>
                <w:t>REGRA_Y612_QUALIF</w:t>
              </w:r>
            </w:hyperlink>
            <w:r w:rsidR="0068391C" w:rsidRPr="00FA3856">
              <w:rPr>
                <w:b/>
                <w:szCs w:val="20"/>
                <w:lang w:val="pt-PT" w:eastAsia="ar-SA"/>
              </w:rPr>
              <w:t xml:space="preserve">: </w:t>
            </w:r>
            <w:r w:rsidR="0068391C" w:rsidRPr="00FA3856">
              <w:rPr>
                <w:szCs w:val="20"/>
                <w:lang w:val="pt-PT" w:eastAsia="ar-SA"/>
              </w:rPr>
              <w:t>Verifica se o código ut</w:t>
            </w:r>
            <w:r w:rsidR="00644487" w:rsidRPr="00FA3856">
              <w:rPr>
                <w:szCs w:val="20"/>
                <w:lang w:val="pt-PT" w:eastAsia="ar-SA"/>
              </w:rPr>
              <w:t>iliz</w:t>
            </w:r>
            <w:r w:rsidR="0011050B" w:rsidRPr="00FA3856">
              <w:rPr>
                <w:szCs w:val="20"/>
                <w:lang w:val="pt-PT" w:eastAsia="ar-SA"/>
              </w:rPr>
              <w:t xml:space="preserve">ado em Y612.QUALIF </w:t>
            </w:r>
            <w:r w:rsidR="0068391C" w:rsidRPr="00FA3856">
              <w:rPr>
                <w:szCs w:val="20"/>
                <w:lang w:val="pt-PT" w:eastAsia="ar-SA"/>
              </w:rPr>
              <w:t>é um dos códigos existentes na tabela de qualificação de dirigentes ou conselheiros.</w:t>
            </w:r>
          </w:p>
        </w:tc>
        <w:tc>
          <w:tcPr>
            <w:tcW w:w="717" w:type="dxa"/>
            <w:tcBorders>
              <w:top w:val="single" w:sz="6" w:space="0" w:color="auto"/>
              <w:left w:val="single" w:sz="6" w:space="0" w:color="auto"/>
              <w:bottom w:val="single" w:sz="6" w:space="0" w:color="auto"/>
              <w:right w:val="single" w:sz="6" w:space="0" w:color="auto"/>
            </w:tcBorders>
          </w:tcPr>
          <w:p w:rsidR="00260296" w:rsidRPr="00FA3856" w:rsidRDefault="00260296" w:rsidP="000B0C32">
            <w:pPr>
              <w:pStyle w:val="PSDS-CorpodeTexto0"/>
              <w:rPr>
                <w:rFonts w:ascii="Times New Roman" w:hAnsi="Times New Roman"/>
                <w:lang w:val="pt-PT"/>
              </w:rPr>
            </w:pPr>
            <w:r w:rsidRPr="00FA3856">
              <w:rPr>
                <w:rFonts w:ascii="Times New Roman" w:hAnsi="Times New Roman"/>
                <w:lang w:val="pt-PT"/>
              </w:rPr>
              <w:t>Erro</w:t>
            </w:r>
          </w:p>
          <w:p w:rsidR="00260296" w:rsidRPr="00FA3856" w:rsidRDefault="00260296" w:rsidP="000B0C32">
            <w:pPr>
              <w:pStyle w:val="PSDS-CorpodeTexto0"/>
              <w:rPr>
                <w:rFonts w:ascii="Times New Roman" w:hAnsi="Times New Roman"/>
                <w:lang w:val="pt-PT"/>
              </w:rPr>
            </w:pPr>
          </w:p>
        </w:tc>
      </w:tr>
    </w:tbl>
    <w:p w:rsidR="00260296" w:rsidRPr="00FA3856" w:rsidRDefault="00260296" w:rsidP="00260296">
      <w:pPr>
        <w:rPr>
          <w:szCs w:val="20"/>
          <w:lang w:val="pt-PT"/>
        </w:rPr>
      </w:pPr>
    </w:p>
    <w:p w:rsidR="00272DE0" w:rsidRDefault="00260296" w:rsidP="00644487">
      <w:pPr>
        <w:rPr>
          <w:b/>
          <w:color w:val="002060"/>
          <w:szCs w:val="20"/>
        </w:rPr>
      </w:pPr>
      <w:r w:rsidRPr="00FA3856">
        <w:rPr>
          <w:b/>
          <w:color w:val="002060"/>
          <w:szCs w:val="20"/>
        </w:rPr>
        <w:t xml:space="preserve">Exemplo de Preenchimento: </w:t>
      </w:r>
    </w:p>
    <w:p w:rsidR="00272DE0" w:rsidRDefault="00272DE0" w:rsidP="00644487">
      <w:pPr>
        <w:rPr>
          <w:b/>
          <w:color w:val="002060"/>
          <w:szCs w:val="20"/>
        </w:rPr>
      </w:pPr>
    </w:p>
    <w:p w:rsidR="00260296" w:rsidRPr="00FA3856" w:rsidRDefault="00260296" w:rsidP="00644487">
      <w:pPr>
        <w:rPr>
          <w:b/>
          <w:color w:val="002060"/>
          <w:szCs w:val="20"/>
        </w:rPr>
      </w:pPr>
      <w:r w:rsidRPr="00FA3856">
        <w:rPr>
          <w:b/>
          <w:color w:val="002060"/>
          <w:szCs w:val="20"/>
        </w:rPr>
        <w:t>|Y612|</w:t>
      </w:r>
      <w:r w:rsidR="0068391C" w:rsidRPr="00FA3856">
        <w:rPr>
          <w:b/>
          <w:color w:val="002060"/>
          <w:szCs w:val="20"/>
        </w:rPr>
        <w:t>00000000000|FULANO DIRIGENTE|12|50000,00|10000,00|8000,00|</w:t>
      </w:r>
    </w:p>
    <w:p w:rsidR="00260296" w:rsidRPr="00FA3856" w:rsidRDefault="0068391C" w:rsidP="00260296">
      <w:pPr>
        <w:pStyle w:val="Corpodetexto"/>
        <w:ind w:left="708" w:firstLine="709"/>
        <w:rPr>
          <w:rFonts w:ascii="Times New Roman" w:hAnsi="Times New Roman"/>
          <w:color w:val="002060"/>
          <w:szCs w:val="20"/>
        </w:rPr>
      </w:pPr>
      <w:r w:rsidRPr="00FA3856">
        <w:rPr>
          <w:rFonts w:ascii="Times New Roman" w:hAnsi="Times New Roman"/>
          <w:color w:val="002060"/>
          <w:szCs w:val="20"/>
        </w:rPr>
        <w:t>|Y612</w:t>
      </w:r>
      <w:r w:rsidR="00260296" w:rsidRPr="00FA3856">
        <w:rPr>
          <w:rFonts w:ascii="Times New Roman" w:hAnsi="Times New Roman"/>
          <w:color w:val="002060"/>
          <w:szCs w:val="20"/>
        </w:rPr>
        <w:t>|: Identificação do tipo do registro.</w:t>
      </w:r>
    </w:p>
    <w:p w:rsidR="00260296" w:rsidRPr="00FA3856" w:rsidRDefault="00260296" w:rsidP="00260296">
      <w:pPr>
        <w:pStyle w:val="Corpodetexto"/>
        <w:ind w:left="708" w:firstLine="709"/>
        <w:rPr>
          <w:rFonts w:ascii="Times New Roman" w:hAnsi="Times New Roman"/>
          <w:color w:val="002060"/>
          <w:szCs w:val="20"/>
        </w:rPr>
      </w:pPr>
      <w:r w:rsidRPr="00FA3856">
        <w:rPr>
          <w:rFonts w:ascii="Times New Roman" w:hAnsi="Times New Roman"/>
          <w:color w:val="002060"/>
          <w:szCs w:val="20"/>
        </w:rPr>
        <w:t>|</w:t>
      </w:r>
      <w:r w:rsidR="0068391C" w:rsidRPr="00FA3856">
        <w:rPr>
          <w:rFonts w:ascii="Times New Roman" w:hAnsi="Times New Roman"/>
          <w:color w:val="002060"/>
          <w:szCs w:val="20"/>
        </w:rPr>
        <w:t>00000000000</w:t>
      </w:r>
      <w:r w:rsidRPr="00FA3856">
        <w:rPr>
          <w:rFonts w:ascii="Times New Roman" w:hAnsi="Times New Roman"/>
          <w:color w:val="002060"/>
          <w:szCs w:val="20"/>
        </w:rPr>
        <w:t xml:space="preserve">|: </w:t>
      </w:r>
      <w:r w:rsidR="0068391C" w:rsidRPr="00FA3856">
        <w:rPr>
          <w:rFonts w:ascii="Times New Roman" w:hAnsi="Times New Roman"/>
          <w:color w:val="002060"/>
          <w:szCs w:val="20"/>
        </w:rPr>
        <w:t>CPF do dirigente ou conselheiro</w:t>
      </w:r>
      <w:r w:rsidRPr="00FA3856">
        <w:rPr>
          <w:rFonts w:ascii="Times New Roman" w:hAnsi="Times New Roman"/>
          <w:color w:val="002060"/>
          <w:szCs w:val="20"/>
        </w:rPr>
        <w:t xml:space="preserve"> (</w:t>
      </w:r>
      <w:r w:rsidR="0068391C" w:rsidRPr="00FA3856">
        <w:rPr>
          <w:rFonts w:ascii="Times New Roman" w:hAnsi="Times New Roman"/>
          <w:color w:val="002060"/>
          <w:szCs w:val="20"/>
        </w:rPr>
        <w:t>000.000.000-00</w:t>
      </w:r>
      <w:r w:rsidRPr="00FA3856">
        <w:rPr>
          <w:rFonts w:ascii="Times New Roman" w:hAnsi="Times New Roman"/>
          <w:color w:val="002060"/>
          <w:szCs w:val="20"/>
        </w:rPr>
        <w:t>).</w:t>
      </w:r>
    </w:p>
    <w:p w:rsidR="00260296" w:rsidRPr="00FA3856" w:rsidRDefault="00260296" w:rsidP="00260296">
      <w:pPr>
        <w:rPr>
          <w:color w:val="002060"/>
          <w:szCs w:val="20"/>
        </w:rPr>
      </w:pPr>
      <w:r w:rsidRPr="00FA3856">
        <w:rPr>
          <w:b/>
          <w:color w:val="002060"/>
          <w:szCs w:val="20"/>
        </w:rPr>
        <w:tab/>
      </w:r>
      <w:r w:rsidRPr="00FA3856">
        <w:rPr>
          <w:b/>
          <w:color w:val="002060"/>
          <w:szCs w:val="20"/>
        </w:rPr>
        <w:tab/>
      </w:r>
      <w:r w:rsidRPr="00FA3856">
        <w:rPr>
          <w:color w:val="002060"/>
          <w:szCs w:val="20"/>
        </w:rPr>
        <w:t>|</w:t>
      </w:r>
      <w:r w:rsidR="0068391C" w:rsidRPr="00FA3856">
        <w:rPr>
          <w:color w:val="002060"/>
          <w:szCs w:val="20"/>
        </w:rPr>
        <w:t>FULANO DIRIGENTE</w:t>
      </w:r>
      <w:r w:rsidRPr="00FA3856">
        <w:rPr>
          <w:color w:val="002060"/>
          <w:szCs w:val="20"/>
        </w:rPr>
        <w:t xml:space="preserve">|: </w:t>
      </w:r>
      <w:r w:rsidR="0068391C" w:rsidRPr="00FA3856">
        <w:rPr>
          <w:color w:val="002060"/>
          <w:szCs w:val="20"/>
        </w:rPr>
        <w:t>Nome do dirigente ou conselheiro.</w:t>
      </w:r>
    </w:p>
    <w:p w:rsidR="0068391C" w:rsidRPr="00FA3856" w:rsidRDefault="0068391C" w:rsidP="00260296">
      <w:pPr>
        <w:rPr>
          <w:color w:val="002060"/>
          <w:szCs w:val="20"/>
        </w:rPr>
      </w:pPr>
      <w:r w:rsidRPr="00FA3856">
        <w:rPr>
          <w:color w:val="002060"/>
          <w:szCs w:val="20"/>
        </w:rPr>
        <w:tab/>
      </w:r>
      <w:r w:rsidRPr="00FA3856">
        <w:rPr>
          <w:color w:val="002060"/>
          <w:szCs w:val="20"/>
        </w:rPr>
        <w:tab/>
        <w:t>|12|: Qualificação do dirigente ou conselheiro (12 = Presidente sem vínculo empregatício).</w:t>
      </w:r>
    </w:p>
    <w:p w:rsidR="0068391C" w:rsidRPr="00FA3856" w:rsidRDefault="0068391C" w:rsidP="00260296">
      <w:pPr>
        <w:rPr>
          <w:color w:val="002060"/>
          <w:szCs w:val="20"/>
        </w:rPr>
      </w:pPr>
      <w:r w:rsidRPr="00FA3856">
        <w:rPr>
          <w:color w:val="002060"/>
          <w:szCs w:val="20"/>
        </w:rPr>
        <w:tab/>
      </w:r>
      <w:r w:rsidRPr="00FA3856">
        <w:rPr>
          <w:color w:val="002060"/>
          <w:szCs w:val="20"/>
        </w:rPr>
        <w:tab/>
        <w:t>|50000,00|: Rendimentos do trabalho do dirigente ou conselheiro pagos e escriturados (R$ 50.000,00).</w:t>
      </w:r>
    </w:p>
    <w:p w:rsidR="0068391C" w:rsidRPr="00FA3856" w:rsidRDefault="0068391C" w:rsidP="00260296">
      <w:pPr>
        <w:rPr>
          <w:color w:val="002060"/>
          <w:szCs w:val="20"/>
        </w:rPr>
      </w:pPr>
      <w:r w:rsidRPr="00FA3856">
        <w:rPr>
          <w:color w:val="002060"/>
          <w:szCs w:val="20"/>
        </w:rPr>
        <w:tab/>
      </w:r>
      <w:r w:rsidRPr="00FA3856">
        <w:rPr>
          <w:color w:val="002060"/>
          <w:szCs w:val="20"/>
        </w:rPr>
        <w:tab/>
        <w:t xml:space="preserve">|10000,00|: Demais </w:t>
      </w:r>
      <w:r w:rsidR="00772814" w:rsidRPr="00FA3856">
        <w:rPr>
          <w:color w:val="002060"/>
          <w:szCs w:val="20"/>
        </w:rPr>
        <w:t>rendimento do dirigente ou conselheiro pagos e escriturados (R$ 10.000,00).</w:t>
      </w:r>
    </w:p>
    <w:p w:rsidR="00772814" w:rsidRPr="00FA3856" w:rsidRDefault="00772814" w:rsidP="00260296">
      <w:pPr>
        <w:rPr>
          <w:color w:val="002060"/>
          <w:szCs w:val="20"/>
        </w:rPr>
      </w:pPr>
      <w:r w:rsidRPr="00FA3856">
        <w:rPr>
          <w:color w:val="002060"/>
          <w:szCs w:val="20"/>
        </w:rPr>
        <w:tab/>
      </w:r>
      <w:r w:rsidRPr="00FA3856">
        <w:rPr>
          <w:color w:val="002060"/>
          <w:szCs w:val="20"/>
        </w:rPr>
        <w:tab/>
        <w:t xml:space="preserve">|8000,00|: Imposto de renda retido na fonte em função do pagamento de </w:t>
      </w:r>
      <w:r w:rsidR="00C321B8" w:rsidRPr="00FA3856">
        <w:rPr>
          <w:color w:val="002060"/>
          <w:szCs w:val="20"/>
        </w:rPr>
        <w:t>rendimentos</w:t>
      </w:r>
      <w:r w:rsidRPr="00FA3856">
        <w:rPr>
          <w:color w:val="002060"/>
          <w:szCs w:val="20"/>
        </w:rPr>
        <w:t xml:space="preserve"> a dirigentes ou conselheiros (R$ 8.000,00).</w:t>
      </w:r>
    </w:p>
    <w:p w:rsidR="003B49DF" w:rsidRPr="00FA3856" w:rsidRDefault="003B49DF" w:rsidP="00260296">
      <w:pPr>
        <w:pStyle w:val="PSDS-MarcadoresNivel4"/>
        <w:tabs>
          <w:tab w:val="clear" w:pos="2271"/>
          <w:tab w:val="left" w:pos="720"/>
        </w:tabs>
        <w:spacing w:before="0" w:after="0"/>
        <w:ind w:left="0" w:firstLine="0"/>
        <w:rPr>
          <w:rFonts w:ascii="Times New Roman" w:hAnsi="Times New Roman" w:cs="Times New Roman"/>
          <w:szCs w:val="20"/>
          <w:lang w:val="pt-PT"/>
        </w:rPr>
      </w:pPr>
    </w:p>
    <w:p w:rsidR="00A70CD2" w:rsidRPr="00FA3856" w:rsidRDefault="00A70CD2">
      <w:pPr>
        <w:rPr>
          <w:b/>
          <w:bCs/>
          <w:color w:val="0000FF"/>
          <w:szCs w:val="20"/>
        </w:rPr>
      </w:pPr>
      <w:r w:rsidRPr="00FA3856">
        <w:rPr>
          <w:color w:val="0000FF"/>
          <w:szCs w:val="20"/>
        </w:rPr>
        <w:br w:type="page"/>
      </w:r>
    </w:p>
    <w:p w:rsidR="00075992" w:rsidRPr="00FA3856" w:rsidRDefault="00075992" w:rsidP="00867F54">
      <w:pPr>
        <w:pStyle w:val="Ttulo4"/>
      </w:pPr>
      <w:bookmarkStart w:id="430" w:name="_Toc479713832"/>
      <w:r w:rsidRPr="00FA3856">
        <w:lastRenderedPageBreak/>
        <w:t>Registro Y620: Partici</w:t>
      </w:r>
      <w:r w:rsidR="007477BD" w:rsidRPr="00FA3856">
        <w:t>p</w:t>
      </w:r>
      <w:r w:rsidR="00F75869" w:rsidRPr="00FA3856">
        <w:t>ações</w:t>
      </w:r>
      <w:r w:rsidRPr="00FA3856">
        <w:t xml:space="preserve"> </w:t>
      </w:r>
      <w:r w:rsidR="002178AE" w:rsidRPr="00FA3856">
        <w:t>Avaliada</w:t>
      </w:r>
      <w:r w:rsidR="00F75869" w:rsidRPr="00FA3856">
        <w:t>s</w:t>
      </w:r>
      <w:r w:rsidR="002178AE" w:rsidRPr="00FA3856">
        <w:t xml:space="preserve"> Pelo Método de Equivalência Patrimonial</w:t>
      </w:r>
      <w:bookmarkEnd w:id="430"/>
    </w:p>
    <w:p w:rsidR="00075992" w:rsidRPr="00FA3856" w:rsidRDefault="00075992" w:rsidP="00075992">
      <w:pPr>
        <w:rPr>
          <w:szCs w:val="20"/>
        </w:rPr>
      </w:pPr>
    </w:p>
    <w:p w:rsidR="00150275" w:rsidRPr="00FA3856" w:rsidRDefault="00075992" w:rsidP="00150275">
      <w:pPr>
        <w:jc w:val="both"/>
        <w:rPr>
          <w:szCs w:val="20"/>
        </w:rPr>
      </w:pPr>
      <w:r w:rsidRPr="00FA3856">
        <w:rPr>
          <w:szCs w:val="20"/>
        </w:rPr>
        <w:tab/>
      </w:r>
      <w:r w:rsidR="00B617AA" w:rsidRPr="00FA3856">
        <w:rPr>
          <w:szCs w:val="20"/>
        </w:rPr>
        <w:t xml:space="preserve">Este registro deve ser preenchido pela pessoa jurídica domiciliada no Brasil que teve participações </w:t>
      </w:r>
      <w:r w:rsidR="002178AE" w:rsidRPr="00FA3856">
        <w:rPr>
          <w:szCs w:val="20"/>
        </w:rPr>
        <w:t>avaliadas pelo método de equivalência patrimonial</w:t>
      </w:r>
      <w:r w:rsidR="00B617AA" w:rsidRPr="00FA3856">
        <w:rPr>
          <w:szCs w:val="20"/>
        </w:rPr>
        <w:t xml:space="preserve">, no </w:t>
      </w:r>
      <w:r w:rsidR="00DE6910" w:rsidRPr="00FA3856">
        <w:rPr>
          <w:szCs w:val="20"/>
        </w:rPr>
        <w:t>período de apuração</w:t>
      </w:r>
      <w:r w:rsidR="00B617AA" w:rsidRPr="00FA3856">
        <w:rPr>
          <w:szCs w:val="20"/>
        </w:rPr>
        <w:t>, em capital de pessoa jurídica domiciliada no Bra</w:t>
      </w:r>
      <w:r w:rsidR="002178AE" w:rsidRPr="00FA3856">
        <w:rPr>
          <w:szCs w:val="20"/>
        </w:rPr>
        <w:t>sil ou no exterior</w:t>
      </w:r>
      <w:r w:rsidR="00150275" w:rsidRPr="00FA3856">
        <w:rPr>
          <w:szCs w:val="20"/>
        </w:rPr>
        <w:t xml:space="preserve">. </w:t>
      </w:r>
    </w:p>
    <w:p w:rsidR="00150275" w:rsidRPr="00FA3856" w:rsidRDefault="00150275" w:rsidP="00150275">
      <w:pPr>
        <w:jc w:val="both"/>
        <w:rPr>
          <w:szCs w:val="20"/>
        </w:rPr>
      </w:pPr>
    </w:p>
    <w:p w:rsidR="00150275" w:rsidRPr="00FA3856" w:rsidRDefault="00150275" w:rsidP="00150275">
      <w:pPr>
        <w:jc w:val="both"/>
        <w:rPr>
          <w:szCs w:val="20"/>
        </w:rPr>
      </w:pPr>
      <w:r w:rsidRPr="00FA3856">
        <w:rPr>
          <w:b/>
          <w:szCs w:val="20"/>
        </w:rPr>
        <w:t xml:space="preserve">Observação: </w:t>
      </w:r>
      <w:r w:rsidRPr="00FA3856">
        <w:rPr>
          <w:szCs w:val="20"/>
          <w:shd w:val="clear" w:color="auto" w:fill="FFFFFF"/>
        </w:rPr>
        <w:t xml:space="preserve">Este registro deve ser preenchido ainda que apenas para fins de informação do laudo disciplinado no art. </w:t>
      </w:r>
      <w:r w:rsidR="00745FC4">
        <w:rPr>
          <w:szCs w:val="20"/>
          <w:shd w:val="clear" w:color="auto" w:fill="FFFFFF"/>
        </w:rPr>
        <w:t>178, Instrução Normativa Nº 1.700/2017</w:t>
      </w:r>
      <w:r w:rsidRPr="00FA3856">
        <w:rPr>
          <w:szCs w:val="20"/>
          <w:shd w:val="clear" w:color="auto" w:fill="FFFFFF"/>
        </w:rPr>
        <w:t>. Caso a participação societária já esteja extinta no período de apuração vinculado à ECF, os campos 07 a 11 devem estar zerados.</w:t>
      </w:r>
      <w:r w:rsidRPr="00FA3856">
        <w:rPr>
          <w:rStyle w:val="apple-converted-space"/>
          <w:szCs w:val="20"/>
          <w:shd w:val="clear" w:color="auto" w:fill="FFFFFF"/>
        </w:rPr>
        <w:t> </w:t>
      </w:r>
    </w:p>
    <w:p w:rsidR="00A21DB7" w:rsidRPr="00FA3856" w:rsidRDefault="00A21DB7" w:rsidP="002178AE">
      <w:pPr>
        <w:jc w:val="both"/>
        <w:rPr>
          <w:szCs w:val="20"/>
        </w:rPr>
      </w:pPr>
    </w:p>
    <w:p w:rsidR="00B617AA" w:rsidRPr="00FA3856" w:rsidRDefault="00B617AA" w:rsidP="00A21DB7">
      <w:pPr>
        <w:ind w:firstLine="708"/>
        <w:jc w:val="both"/>
        <w:rPr>
          <w:szCs w:val="20"/>
        </w:rPr>
      </w:pPr>
      <w:r w:rsidRPr="00FA3856">
        <w:rPr>
          <w:szCs w:val="20"/>
        </w:rPr>
        <w:t xml:space="preserve">Para seu preenchimento, a pessoa jurídica declarante deve discriminar as empresas </w:t>
      </w:r>
      <w:r w:rsidR="002178AE" w:rsidRPr="00FA3856">
        <w:rPr>
          <w:szCs w:val="20"/>
        </w:rPr>
        <w:t>avaliadas pelo método de equivalência patrimonial</w:t>
      </w:r>
      <w:r w:rsidRPr="00FA3856">
        <w:rPr>
          <w:szCs w:val="20"/>
        </w:rPr>
        <w:t xml:space="preserve"> </w:t>
      </w:r>
      <w:r w:rsidR="00A21DB7" w:rsidRPr="00FA3856">
        <w:rPr>
          <w:szCs w:val="20"/>
        </w:rPr>
        <w:t>em ordem cronológica</w:t>
      </w:r>
      <w:r w:rsidR="00752BC0" w:rsidRPr="00FA3856">
        <w:rPr>
          <w:szCs w:val="20"/>
        </w:rPr>
        <w:t xml:space="preserve"> da data de aquisição</w:t>
      </w:r>
      <w:r w:rsidR="00A21DB7" w:rsidRPr="00FA3856">
        <w:rPr>
          <w:szCs w:val="20"/>
        </w:rPr>
        <w:t>, limitado a 999 registros.</w:t>
      </w:r>
      <w:r w:rsidR="00025B48" w:rsidRPr="00FA3856">
        <w:rPr>
          <w:szCs w:val="20"/>
        </w:rPr>
        <w:t xml:space="preserve"> </w:t>
      </w:r>
    </w:p>
    <w:p w:rsidR="00DE6910" w:rsidRPr="00FA3856" w:rsidRDefault="00DE6910" w:rsidP="002178AE">
      <w:pPr>
        <w:jc w:val="both"/>
        <w:rPr>
          <w:szCs w:val="20"/>
        </w:rPr>
      </w:pPr>
    </w:p>
    <w:p w:rsidR="00DE6910" w:rsidRPr="00FA3856" w:rsidRDefault="00DE6910" w:rsidP="002178AE">
      <w:pPr>
        <w:jc w:val="both"/>
        <w:rPr>
          <w:szCs w:val="20"/>
        </w:rPr>
      </w:pPr>
      <w:r w:rsidRPr="00FA3856">
        <w:rPr>
          <w:szCs w:val="20"/>
        </w:rPr>
        <w:tab/>
        <w:t>Regras de preenchimento:</w:t>
      </w:r>
    </w:p>
    <w:p w:rsidR="00075992" w:rsidRPr="00FA3856" w:rsidRDefault="00075992" w:rsidP="00075992">
      <w:pPr>
        <w:rPr>
          <w:szCs w:val="20"/>
        </w:rPr>
      </w:pPr>
    </w:p>
    <w:p w:rsidR="00DE6910" w:rsidRPr="00FA3856" w:rsidRDefault="00DE6910" w:rsidP="00DE6910">
      <w:pPr>
        <w:ind w:firstLine="708"/>
        <w:jc w:val="both"/>
        <w:rPr>
          <w:szCs w:val="20"/>
        </w:rPr>
      </w:pPr>
      <w:r w:rsidRPr="00FA3856">
        <w:rPr>
          <w:szCs w:val="20"/>
        </w:rPr>
        <w:t xml:space="preserve">1 – Informar </w:t>
      </w:r>
      <w:r w:rsidR="00A21DB7" w:rsidRPr="00FA3856">
        <w:rPr>
          <w:szCs w:val="20"/>
        </w:rPr>
        <w:t>a</w:t>
      </w:r>
      <w:r w:rsidRPr="00FA3856">
        <w:rPr>
          <w:szCs w:val="20"/>
        </w:rPr>
        <w:t>s 500 maiores participaç</w:t>
      </w:r>
      <w:r w:rsidR="00A21DB7" w:rsidRPr="00FA3856">
        <w:rPr>
          <w:szCs w:val="20"/>
        </w:rPr>
        <w:t>ões</w:t>
      </w:r>
      <w:r w:rsidRPr="00FA3856">
        <w:rPr>
          <w:szCs w:val="20"/>
        </w:rPr>
        <w:t xml:space="preserve"> avaliadas pelo método de equival</w:t>
      </w:r>
      <w:r w:rsidR="00A21DB7" w:rsidRPr="00FA3856">
        <w:rPr>
          <w:szCs w:val="20"/>
        </w:rPr>
        <w:t>ência patrimon</w:t>
      </w:r>
      <w:r w:rsidRPr="00FA3856">
        <w:rPr>
          <w:szCs w:val="20"/>
        </w:rPr>
        <w:t>i</w:t>
      </w:r>
      <w:r w:rsidR="00A21DB7" w:rsidRPr="00FA3856">
        <w:rPr>
          <w:szCs w:val="20"/>
        </w:rPr>
        <w:t>a</w:t>
      </w:r>
      <w:r w:rsidRPr="00FA3856">
        <w:rPr>
          <w:szCs w:val="20"/>
        </w:rPr>
        <w:t>l</w:t>
      </w:r>
      <w:r w:rsidR="00A21DB7" w:rsidRPr="00FA3856">
        <w:rPr>
          <w:szCs w:val="20"/>
        </w:rPr>
        <w:t xml:space="preserve"> existentes</w:t>
      </w:r>
      <w:r w:rsidRPr="00FA3856">
        <w:rPr>
          <w:szCs w:val="20"/>
        </w:rPr>
        <w:t xml:space="preserve"> na data final do período de apuração.</w:t>
      </w:r>
    </w:p>
    <w:p w:rsidR="00DE6910" w:rsidRPr="00FA3856" w:rsidRDefault="00DE6910" w:rsidP="00DE6910">
      <w:pPr>
        <w:jc w:val="both"/>
        <w:rPr>
          <w:szCs w:val="20"/>
        </w:rPr>
      </w:pPr>
    </w:p>
    <w:p w:rsidR="00DE6910" w:rsidRPr="00FA3856" w:rsidRDefault="00DE6910" w:rsidP="00925366">
      <w:pPr>
        <w:ind w:firstLine="708"/>
        <w:jc w:val="both"/>
        <w:rPr>
          <w:szCs w:val="20"/>
        </w:rPr>
      </w:pPr>
      <w:r w:rsidRPr="00FA3856">
        <w:rPr>
          <w:szCs w:val="20"/>
        </w:rPr>
        <w:t>2 –</w:t>
      </w:r>
      <w:r w:rsidR="00925366" w:rsidRPr="00FA3856">
        <w:rPr>
          <w:szCs w:val="20"/>
        </w:rPr>
        <w:t xml:space="preserve"> Informar </w:t>
      </w:r>
      <w:r w:rsidR="00871852" w:rsidRPr="00FA3856">
        <w:rPr>
          <w:szCs w:val="20"/>
        </w:rPr>
        <w:t xml:space="preserve">as </w:t>
      </w:r>
      <w:r w:rsidR="00925366" w:rsidRPr="00FA3856">
        <w:rPr>
          <w:szCs w:val="20"/>
        </w:rPr>
        <w:t>499 maiores alterações</w:t>
      </w:r>
      <w:r w:rsidR="00925366" w:rsidRPr="00FA3856">
        <w:t> </w:t>
      </w:r>
      <w:r w:rsidR="00925366" w:rsidRPr="00FA3856">
        <w:rPr>
          <w:szCs w:val="20"/>
        </w:rPr>
        <w:t>no Y620.IND_RELAC</w:t>
      </w:r>
      <w:r w:rsidR="00925366" w:rsidRPr="00FA3856">
        <w:t> </w:t>
      </w:r>
      <w:r w:rsidR="00925366" w:rsidRPr="00FA3856">
        <w:rPr>
          <w:szCs w:val="20"/>
        </w:rPr>
        <w:t>ocorridas durante o período,</w:t>
      </w:r>
      <w:r w:rsidR="00925366" w:rsidRPr="00FA3856">
        <w:t> </w:t>
      </w:r>
      <w:r w:rsidR="00925366" w:rsidRPr="00FA3856">
        <w:rPr>
          <w:szCs w:val="20"/>
        </w:rPr>
        <w:t>não contempladas no item 1.</w:t>
      </w:r>
    </w:p>
    <w:p w:rsidR="00871852" w:rsidRPr="00FA3856" w:rsidRDefault="00871852" w:rsidP="00925366">
      <w:pPr>
        <w:ind w:firstLine="708"/>
        <w:jc w:val="both"/>
        <w:rPr>
          <w:szCs w:val="20"/>
        </w:rPr>
      </w:pPr>
    </w:p>
    <w:p w:rsidR="00DE6910" w:rsidRPr="00FA3856" w:rsidRDefault="00271AB5" w:rsidP="00075992">
      <w:pPr>
        <w:rPr>
          <w:rStyle w:val="apple-converted-space"/>
          <w:color w:val="222222"/>
          <w:szCs w:val="20"/>
          <w:shd w:val="clear" w:color="auto" w:fill="FFFFFF"/>
        </w:rPr>
      </w:pPr>
      <w:r w:rsidRPr="00FA3856">
        <w:rPr>
          <w:b/>
          <w:bCs/>
          <w:color w:val="222222"/>
          <w:szCs w:val="20"/>
          <w:shd w:val="clear" w:color="auto" w:fill="FFFFFF"/>
        </w:rPr>
        <w:t xml:space="preserve">Exemplos de </w:t>
      </w:r>
      <w:r w:rsidR="002B2303" w:rsidRPr="00FA3856">
        <w:rPr>
          <w:b/>
          <w:bCs/>
          <w:color w:val="222222"/>
          <w:szCs w:val="20"/>
          <w:shd w:val="clear" w:color="auto" w:fill="FFFFFF"/>
        </w:rPr>
        <w:t>e</w:t>
      </w:r>
      <w:r w:rsidRPr="00FA3856">
        <w:rPr>
          <w:b/>
          <w:bCs/>
          <w:color w:val="222222"/>
          <w:szCs w:val="20"/>
          <w:shd w:val="clear" w:color="auto" w:fill="FFFFFF"/>
        </w:rPr>
        <w:t>ventos que devem ser registrados:</w:t>
      </w:r>
      <w:r w:rsidRPr="00FA3856">
        <w:rPr>
          <w:rStyle w:val="apple-converted-space"/>
          <w:b/>
          <w:bCs/>
          <w:color w:val="222222"/>
          <w:szCs w:val="20"/>
          <w:shd w:val="clear" w:color="auto" w:fill="FFFFFF"/>
        </w:rPr>
        <w:t> </w:t>
      </w:r>
      <w:r w:rsidRPr="00FA3856">
        <w:rPr>
          <w:rFonts w:ascii="Arial" w:hAnsi="Arial" w:cs="Arial"/>
          <w:color w:val="222222"/>
          <w:sz w:val="19"/>
          <w:szCs w:val="19"/>
        </w:rPr>
        <w:br/>
      </w:r>
      <w:r w:rsidRPr="00FA3856">
        <w:rPr>
          <w:rFonts w:ascii="Arial" w:hAnsi="Arial" w:cs="Arial"/>
          <w:color w:val="222222"/>
          <w:sz w:val="19"/>
          <w:szCs w:val="19"/>
        </w:rPr>
        <w:br/>
      </w:r>
      <w:r w:rsidRPr="00FA3856">
        <w:rPr>
          <w:color w:val="222222"/>
          <w:szCs w:val="20"/>
          <w:shd w:val="clear" w:color="auto" w:fill="FFFFFF"/>
        </w:rPr>
        <w:t>1-  Aquisição de nova parcela de participação societária, estágios, seja com aquisição de controle ou ainda apenas mantendo a influência significativa.</w:t>
      </w:r>
      <w:r w:rsidRPr="00FA3856">
        <w:rPr>
          <w:rStyle w:val="apple-converted-space"/>
          <w:rFonts w:ascii="Arial" w:hAnsi="Arial" w:cs="Arial"/>
          <w:color w:val="222222"/>
          <w:sz w:val="19"/>
          <w:szCs w:val="19"/>
          <w:shd w:val="clear" w:color="auto" w:fill="FFFFFF"/>
        </w:rPr>
        <w:t> </w:t>
      </w:r>
      <w:r w:rsidRPr="00FA3856">
        <w:rPr>
          <w:rFonts w:ascii="Arial" w:hAnsi="Arial" w:cs="Arial"/>
          <w:color w:val="222222"/>
          <w:sz w:val="19"/>
          <w:szCs w:val="19"/>
        </w:rPr>
        <w:br/>
      </w:r>
      <w:r w:rsidRPr="00FA3856">
        <w:rPr>
          <w:color w:val="222222"/>
          <w:szCs w:val="20"/>
          <w:shd w:val="clear" w:color="auto" w:fill="FFFFFF"/>
        </w:rPr>
        <w:br/>
        <w:t>2- Aquisição ou perda de controle ou influência significativa devido apenas acordo de acionistas/cotistas, sem aquisição adicional ou venda de participação societária.</w:t>
      </w:r>
      <w:r w:rsidRPr="00FA3856">
        <w:rPr>
          <w:rStyle w:val="apple-converted-space"/>
          <w:color w:val="222222"/>
          <w:szCs w:val="20"/>
          <w:shd w:val="clear" w:color="auto" w:fill="FFFFFF"/>
        </w:rPr>
        <w:t> </w:t>
      </w:r>
      <w:r w:rsidRPr="00FA3856">
        <w:rPr>
          <w:rFonts w:ascii="Arial" w:hAnsi="Arial" w:cs="Arial"/>
          <w:color w:val="222222"/>
          <w:sz w:val="19"/>
          <w:szCs w:val="19"/>
        </w:rPr>
        <w:br/>
      </w:r>
      <w:r w:rsidRPr="00FA3856">
        <w:rPr>
          <w:color w:val="222222"/>
          <w:szCs w:val="20"/>
          <w:shd w:val="clear" w:color="auto" w:fill="FFFFFF"/>
        </w:rPr>
        <w:br/>
        <w:t>3-  Alienação da participação societária total, ou parcial, resultando em perda influência significativa.</w:t>
      </w:r>
      <w:r w:rsidRPr="00FA3856">
        <w:rPr>
          <w:rStyle w:val="apple-converted-space"/>
          <w:color w:val="222222"/>
          <w:szCs w:val="20"/>
          <w:shd w:val="clear" w:color="auto" w:fill="FFFFFF"/>
        </w:rPr>
        <w:t> </w:t>
      </w:r>
      <w:r w:rsidRPr="00FA3856">
        <w:rPr>
          <w:rFonts w:ascii="Arial" w:hAnsi="Arial" w:cs="Arial"/>
          <w:color w:val="222222"/>
          <w:sz w:val="19"/>
          <w:szCs w:val="19"/>
        </w:rPr>
        <w:br/>
      </w:r>
      <w:r w:rsidRPr="00FA3856">
        <w:rPr>
          <w:color w:val="222222"/>
          <w:szCs w:val="20"/>
          <w:shd w:val="clear" w:color="auto" w:fill="FFFFFF"/>
        </w:rPr>
        <w:br/>
        <w:t>4-  Aquisição e alienação de participação societária no curso do período de apuração.</w:t>
      </w:r>
      <w:bookmarkStart w:id="431" w:name="BM61A/a"/>
      <w:bookmarkStart w:id="432" w:name="BM61A/b"/>
      <w:bookmarkEnd w:id="431"/>
      <w:bookmarkEnd w:id="432"/>
      <w:r w:rsidRPr="00FA3856">
        <w:rPr>
          <w:color w:val="222222"/>
          <w:szCs w:val="20"/>
          <w:shd w:val="clear" w:color="auto" w:fill="FFFFFF"/>
        </w:rPr>
        <w:t xml:space="preserve"> Os dois eventos devem estar registrados.</w:t>
      </w:r>
      <w:r w:rsidRPr="00FA3856">
        <w:rPr>
          <w:rStyle w:val="apple-converted-space"/>
          <w:color w:val="222222"/>
          <w:szCs w:val="20"/>
          <w:shd w:val="clear" w:color="auto" w:fill="FFFFFF"/>
        </w:rPr>
        <w:t> </w:t>
      </w:r>
    </w:p>
    <w:p w:rsidR="00271AB5" w:rsidRPr="00FA3856" w:rsidRDefault="00271AB5" w:rsidP="00075992">
      <w:pPr>
        <w:rPr>
          <w:szCs w:val="20"/>
        </w:rPr>
      </w:pPr>
    </w:p>
    <w:p w:rsidR="00627E35" w:rsidRPr="00FA3856" w:rsidRDefault="00627E35" w:rsidP="00075992">
      <w:pPr>
        <w:rPr>
          <w:szCs w:val="20"/>
        </w:rPr>
      </w:pPr>
    </w:p>
    <w:p w:rsidR="00627E35" w:rsidRPr="00FA3856" w:rsidRDefault="00627E35" w:rsidP="00075992">
      <w:pPr>
        <w:rPr>
          <w:szCs w:val="20"/>
        </w:rPr>
      </w:pPr>
    </w:p>
    <w:p w:rsidR="00627E35" w:rsidRPr="00FA3856" w:rsidRDefault="00627E35" w:rsidP="00075992">
      <w:pPr>
        <w:rPr>
          <w:szCs w:val="20"/>
        </w:rPr>
      </w:pPr>
    </w:p>
    <w:p w:rsidR="00627E35" w:rsidRPr="00FA3856" w:rsidRDefault="00627E35" w:rsidP="00075992">
      <w:pPr>
        <w:rPr>
          <w:szCs w:val="20"/>
        </w:rPr>
      </w:pPr>
    </w:p>
    <w:p w:rsidR="00627E35" w:rsidRPr="00FA3856" w:rsidRDefault="00627E35" w:rsidP="00075992">
      <w:pPr>
        <w:rPr>
          <w:szCs w:val="20"/>
        </w:rPr>
      </w:pPr>
    </w:p>
    <w:p w:rsidR="00627E35" w:rsidRPr="00FA3856" w:rsidRDefault="00627E35" w:rsidP="00075992">
      <w:pPr>
        <w:rPr>
          <w:szCs w:val="20"/>
        </w:rPr>
      </w:pPr>
    </w:p>
    <w:p w:rsidR="00627E35" w:rsidRPr="00FA3856" w:rsidRDefault="00627E35" w:rsidP="00075992">
      <w:pPr>
        <w:rPr>
          <w:szCs w:val="20"/>
        </w:rPr>
      </w:pPr>
    </w:p>
    <w:p w:rsidR="00627E35" w:rsidRPr="00FA3856" w:rsidRDefault="00627E35" w:rsidP="00075992">
      <w:pPr>
        <w:rPr>
          <w:szCs w:val="20"/>
        </w:rPr>
      </w:pPr>
    </w:p>
    <w:p w:rsidR="00627E35" w:rsidRPr="00FA3856" w:rsidRDefault="00627E35" w:rsidP="00075992">
      <w:pPr>
        <w:rPr>
          <w:szCs w:val="20"/>
        </w:rPr>
      </w:pPr>
    </w:p>
    <w:p w:rsidR="00627E35" w:rsidRPr="00FA3856" w:rsidRDefault="00627E35" w:rsidP="00075992">
      <w:pPr>
        <w:rPr>
          <w:szCs w:val="20"/>
        </w:rPr>
      </w:pPr>
    </w:p>
    <w:p w:rsidR="00627E35" w:rsidRPr="00FA3856" w:rsidRDefault="00627E35" w:rsidP="00075992">
      <w:pPr>
        <w:rPr>
          <w:szCs w:val="20"/>
        </w:rPr>
      </w:pPr>
    </w:p>
    <w:p w:rsidR="00627E35" w:rsidRPr="00FA3856" w:rsidRDefault="00627E35" w:rsidP="00075992">
      <w:pPr>
        <w:rPr>
          <w:szCs w:val="20"/>
        </w:rPr>
      </w:pPr>
    </w:p>
    <w:p w:rsidR="00627E35" w:rsidRPr="00FA3856" w:rsidRDefault="00627E35" w:rsidP="00075992">
      <w:pPr>
        <w:rPr>
          <w:szCs w:val="20"/>
        </w:rPr>
      </w:pPr>
    </w:p>
    <w:p w:rsidR="00931A2A" w:rsidRDefault="00B35FA3" w:rsidP="00931A2A">
      <w:pPr>
        <w:pStyle w:val="PSDS-MarcadoresNivel4"/>
        <w:tabs>
          <w:tab w:val="clear" w:pos="2271"/>
          <w:tab w:val="left" w:pos="720"/>
        </w:tabs>
        <w:spacing w:before="0" w:after="0"/>
        <w:ind w:left="0" w:firstLine="0"/>
        <w:jc w:val="center"/>
        <w:rPr>
          <w:rFonts w:ascii="Times New Roman" w:hAnsi="Times New Roman" w:cs="Times New Roman"/>
          <w:szCs w:val="20"/>
          <w:lang w:val="pt-PT"/>
        </w:rPr>
      </w:pPr>
      <w:r>
        <w:rPr>
          <w:rFonts w:ascii="Times New Roman" w:hAnsi="Times New Roman" w:cs="Times New Roman"/>
          <w:szCs w:val="20"/>
          <w:lang w:val="pt-PT"/>
        </w:rPr>
        <w:object w:dxaOrig="14835" w:dyaOrig="8070">
          <v:shape id="_x0000_i2072" type="#_x0000_t75" style="width:792.75pt;height:390.75pt" o:ole="">
            <v:imagedata r:id="rId864" o:title=""/>
          </v:shape>
          <o:OLEObject Type="Link" ProgID="Excel.Sheet.12" ShapeID="_x0000_i2072" DrawAspect="Content" r:id="rId865" UpdateMode="Always">
            <o:LinkType>EnhancedMetaFile</o:LinkType>
            <o:LockedField>false</o:LockedField>
          </o:OLEObject>
        </w:object>
      </w:r>
    </w:p>
    <w:p w:rsidR="00931A2A" w:rsidRDefault="00931A2A" w:rsidP="005C1AF5">
      <w:pPr>
        <w:pStyle w:val="PSDS-MarcadoresNivel4"/>
        <w:tabs>
          <w:tab w:val="clear" w:pos="2271"/>
          <w:tab w:val="left" w:pos="720"/>
        </w:tabs>
        <w:spacing w:before="0" w:after="0"/>
        <w:ind w:left="0" w:firstLine="0"/>
        <w:rPr>
          <w:rFonts w:ascii="Times New Roman" w:hAnsi="Times New Roman" w:cs="Times New Roman"/>
          <w:szCs w:val="20"/>
          <w:lang w:val="pt-PT"/>
        </w:rPr>
      </w:pPr>
    </w:p>
    <w:p w:rsidR="00931A2A" w:rsidRDefault="00931A2A" w:rsidP="005C1AF5">
      <w:pPr>
        <w:pStyle w:val="PSDS-MarcadoresNivel4"/>
        <w:tabs>
          <w:tab w:val="clear" w:pos="2271"/>
          <w:tab w:val="left" w:pos="720"/>
        </w:tabs>
        <w:spacing w:before="0" w:after="0"/>
        <w:ind w:left="0" w:firstLine="0"/>
        <w:rPr>
          <w:rFonts w:ascii="Times New Roman" w:hAnsi="Times New Roman" w:cs="Times New Roman"/>
          <w:szCs w:val="20"/>
          <w:lang w:val="pt-PT"/>
        </w:rPr>
      </w:pPr>
    </w:p>
    <w:p w:rsidR="00931A2A" w:rsidRDefault="00931A2A" w:rsidP="005C1AF5">
      <w:pPr>
        <w:pStyle w:val="PSDS-MarcadoresNivel4"/>
        <w:tabs>
          <w:tab w:val="clear" w:pos="2271"/>
          <w:tab w:val="left" w:pos="720"/>
        </w:tabs>
        <w:spacing w:before="0" w:after="0"/>
        <w:ind w:left="0" w:firstLine="0"/>
        <w:rPr>
          <w:rFonts w:ascii="Times New Roman" w:hAnsi="Times New Roman" w:cs="Times New Roman"/>
          <w:szCs w:val="20"/>
          <w:lang w:val="pt-PT"/>
        </w:rPr>
      </w:pPr>
    </w:p>
    <w:p w:rsidR="00931A2A" w:rsidRDefault="00931A2A" w:rsidP="005C1AF5">
      <w:pPr>
        <w:pStyle w:val="PSDS-MarcadoresNivel4"/>
        <w:tabs>
          <w:tab w:val="clear" w:pos="2271"/>
          <w:tab w:val="left" w:pos="720"/>
        </w:tabs>
        <w:spacing w:before="0" w:after="0"/>
        <w:ind w:left="0" w:firstLine="0"/>
        <w:rPr>
          <w:rFonts w:ascii="Times New Roman" w:hAnsi="Times New Roman" w:cs="Times New Roman"/>
          <w:szCs w:val="20"/>
          <w:lang w:val="pt-PT"/>
        </w:rPr>
      </w:pPr>
    </w:p>
    <w:p w:rsidR="00931A2A" w:rsidRDefault="00931A2A" w:rsidP="005C1AF5">
      <w:pPr>
        <w:pStyle w:val="PSDS-MarcadoresNivel4"/>
        <w:tabs>
          <w:tab w:val="clear" w:pos="2271"/>
          <w:tab w:val="left" w:pos="720"/>
        </w:tabs>
        <w:spacing w:before="0" w:after="0"/>
        <w:ind w:left="0" w:firstLine="0"/>
        <w:rPr>
          <w:rFonts w:ascii="Times New Roman" w:hAnsi="Times New Roman" w:cs="Times New Roman"/>
          <w:szCs w:val="20"/>
          <w:lang w:val="pt-PT"/>
        </w:rPr>
      </w:pPr>
    </w:p>
    <w:p w:rsidR="00931A2A" w:rsidRDefault="00931A2A" w:rsidP="005C1AF5">
      <w:pPr>
        <w:pStyle w:val="PSDS-MarcadoresNivel4"/>
        <w:tabs>
          <w:tab w:val="clear" w:pos="2271"/>
          <w:tab w:val="left" w:pos="720"/>
        </w:tabs>
        <w:spacing w:before="0" w:after="0"/>
        <w:ind w:left="0" w:firstLine="0"/>
        <w:rPr>
          <w:rFonts w:ascii="Times New Roman" w:hAnsi="Times New Roman" w:cs="Times New Roman"/>
          <w:szCs w:val="20"/>
          <w:lang w:val="pt-PT"/>
        </w:rPr>
      </w:pPr>
    </w:p>
    <w:p w:rsidR="00931A2A" w:rsidRDefault="00931A2A" w:rsidP="005C1AF5">
      <w:pPr>
        <w:pStyle w:val="PSDS-MarcadoresNivel4"/>
        <w:tabs>
          <w:tab w:val="clear" w:pos="2271"/>
          <w:tab w:val="left" w:pos="720"/>
        </w:tabs>
        <w:spacing w:before="0" w:after="0"/>
        <w:ind w:left="0" w:firstLine="0"/>
        <w:rPr>
          <w:rFonts w:ascii="Times New Roman" w:hAnsi="Times New Roman" w:cs="Times New Roman"/>
          <w:szCs w:val="20"/>
          <w:lang w:val="pt-PT"/>
        </w:rPr>
      </w:pPr>
    </w:p>
    <w:p w:rsidR="00931A2A" w:rsidRDefault="00B35FA3" w:rsidP="00931A2A">
      <w:pPr>
        <w:pStyle w:val="PSDS-MarcadoresNivel4"/>
        <w:tabs>
          <w:tab w:val="clear" w:pos="2271"/>
          <w:tab w:val="left" w:pos="720"/>
        </w:tabs>
        <w:spacing w:before="0" w:after="0"/>
        <w:ind w:left="0" w:firstLine="0"/>
        <w:jc w:val="center"/>
        <w:rPr>
          <w:rFonts w:ascii="Times New Roman" w:hAnsi="Times New Roman" w:cs="Times New Roman"/>
          <w:szCs w:val="20"/>
          <w:lang w:val="pt-PT"/>
        </w:rPr>
      </w:pPr>
      <w:r>
        <w:rPr>
          <w:rFonts w:ascii="Times New Roman" w:hAnsi="Times New Roman" w:cs="Times New Roman"/>
          <w:szCs w:val="20"/>
          <w:lang w:val="pt-PT"/>
        </w:rPr>
        <w:object w:dxaOrig="14835" w:dyaOrig="7860">
          <v:shape id="_x0000_i2074" type="#_x0000_t75" style="width:792.75pt;height:381.75pt" o:ole="">
            <v:imagedata r:id="rId866" o:title=""/>
          </v:shape>
          <o:OLEObject Type="Link" ProgID="Excel.Sheet.12" ShapeID="_x0000_i2074" DrawAspect="Content" r:id="rId867" UpdateMode="Always">
            <o:LinkType>EnhancedMetaFile</o:LinkType>
            <o:LockedField>false</o:LockedField>
          </o:OLEObject>
        </w:object>
      </w:r>
    </w:p>
    <w:p w:rsidR="00931A2A" w:rsidRDefault="00931A2A">
      <w:pPr>
        <w:spacing w:after="200" w:line="276" w:lineRule="auto"/>
        <w:rPr>
          <w:rFonts w:cs="Times New Roman"/>
          <w:b/>
          <w:bCs/>
          <w:szCs w:val="20"/>
          <w:lang w:val="pt-PT"/>
        </w:rPr>
      </w:pPr>
      <w:r>
        <w:rPr>
          <w:rFonts w:cs="Times New Roman"/>
          <w:szCs w:val="20"/>
          <w:lang w:val="pt-PT"/>
        </w:rPr>
        <w:br w:type="page"/>
      </w:r>
    </w:p>
    <w:p w:rsidR="00351755" w:rsidRPr="00D756FC" w:rsidRDefault="00351755" w:rsidP="00351755">
      <w:pPr>
        <w:rPr>
          <w:b/>
          <w:szCs w:val="20"/>
          <w:lang w:val="pt-PT"/>
        </w:rPr>
      </w:pPr>
      <w:r w:rsidRPr="00D756FC">
        <w:rPr>
          <w:b/>
          <w:szCs w:val="20"/>
          <w:lang w:val="pt-PT"/>
        </w:rPr>
        <w:lastRenderedPageBreak/>
        <w:t>I – Regras de Validação do Registro:</w:t>
      </w:r>
    </w:p>
    <w:p w:rsidR="00351755" w:rsidRPr="00D756FC" w:rsidRDefault="00351755" w:rsidP="00351755">
      <w:pPr>
        <w:rPr>
          <w:b/>
          <w:szCs w:val="20"/>
          <w:lang w:val="pt-PT"/>
        </w:rPr>
      </w:pPr>
    </w:p>
    <w:p w:rsidR="00351755" w:rsidRPr="00FA3856" w:rsidRDefault="00351755" w:rsidP="00351755">
      <w:pPr>
        <w:pStyle w:val="Corpodetexto"/>
        <w:ind w:left="708" w:firstLine="12"/>
        <w:rPr>
          <w:rFonts w:ascii="Times New Roman" w:hAnsi="Times New Roman"/>
          <w:szCs w:val="20"/>
        </w:rPr>
      </w:pPr>
      <w:r w:rsidRPr="00D756FC">
        <w:rPr>
          <w:rFonts w:ascii="Times New Roman" w:hAnsi="Times New Roman" w:cs="Times New Roman"/>
          <w:b/>
        </w:rPr>
        <w:t>REGRA_IND_PART_COLIG_Y620</w:t>
      </w:r>
      <w:r w:rsidRPr="00D756FC">
        <w:rPr>
          <w:rFonts w:ascii="Times New Roman" w:hAnsi="Times New Roman" w:cs="Times New Roman"/>
          <w:color w:val="auto"/>
          <w:szCs w:val="20"/>
        </w:rPr>
        <w:t>:</w:t>
      </w:r>
      <w:r w:rsidRPr="00D756FC">
        <w:rPr>
          <w:rFonts w:ascii="Times New Roman" w:hAnsi="Times New Roman"/>
          <w:color w:val="auto"/>
          <w:szCs w:val="20"/>
        </w:rPr>
        <w:t xml:space="preserve"> </w:t>
      </w:r>
      <w:r w:rsidRPr="00D756FC">
        <w:rPr>
          <w:rFonts w:ascii="Times New Roman" w:hAnsi="Times New Roman"/>
          <w:szCs w:val="20"/>
        </w:rPr>
        <w:t>Verifica, quando 0020.IND_PART_EXT é igual a “S” (Sim) e 0020.IND_PART_COLIG é igual a “N”</w:t>
      </w:r>
      <w:r w:rsidR="007E1445" w:rsidRPr="00D756FC">
        <w:rPr>
          <w:rFonts w:ascii="Times New Roman" w:hAnsi="Times New Roman"/>
          <w:szCs w:val="20"/>
        </w:rPr>
        <w:t xml:space="preserve"> (Não)</w:t>
      </w:r>
      <w:r w:rsidRPr="00D756FC">
        <w:rPr>
          <w:rFonts w:ascii="Times New Roman" w:hAnsi="Times New Roman"/>
          <w:szCs w:val="20"/>
        </w:rPr>
        <w:t>, se o registro Y620 foi preenchido. Se a regra não for cumprida, a ECF gera um aviso.</w:t>
      </w:r>
    </w:p>
    <w:p w:rsidR="00351755" w:rsidRDefault="00351755" w:rsidP="005C1AF5">
      <w:pPr>
        <w:pStyle w:val="PSDS-MarcadoresNivel4"/>
        <w:tabs>
          <w:tab w:val="clear" w:pos="2271"/>
          <w:tab w:val="left" w:pos="720"/>
        </w:tabs>
        <w:spacing w:before="0" w:after="0"/>
        <w:ind w:left="0" w:firstLine="0"/>
        <w:rPr>
          <w:rFonts w:ascii="Times New Roman" w:hAnsi="Times New Roman" w:cs="Times New Roman"/>
          <w:szCs w:val="20"/>
          <w:lang w:val="pt-PT"/>
        </w:rPr>
      </w:pPr>
    </w:p>
    <w:p w:rsidR="005C1AF5" w:rsidRPr="00FA3856" w:rsidRDefault="00351755" w:rsidP="005C1AF5">
      <w:pPr>
        <w:pStyle w:val="PSDS-MarcadoresNivel4"/>
        <w:tabs>
          <w:tab w:val="clear" w:pos="2271"/>
          <w:tab w:val="left" w:pos="720"/>
        </w:tabs>
        <w:spacing w:before="0" w:after="0"/>
        <w:ind w:left="0" w:firstLine="0"/>
        <w:rPr>
          <w:rFonts w:ascii="Times New Roman" w:hAnsi="Times New Roman" w:cs="Times New Roman"/>
          <w:szCs w:val="20"/>
          <w:lang w:val="pt-PT"/>
        </w:rPr>
      </w:pPr>
      <w:r>
        <w:rPr>
          <w:rFonts w:ascii="Times New Roman" w:hAnsi="Times New Roman" w:cs="Times New Roman"/>
          <w:szCs w:val="20"/>
          <w:lang w:val="pt-PT"/>
        </w:rPr>
        <w:t>I</w:t>
      </w:r>
      <w:r w:rsidR="005C1AF5" w:rsidRPr="00FA3856">
        <w:rPr>
          <w:rFonts w:ascii="Times New Roman" w:hAnsi="Times New Roman" w:cs="Times New Roman"/>
          <w:szCs w:val="20"/>
          <w:lang w:val="pt-PT"/>
        </w:rPr>
        <w:t>I – Regras de Validação de Campos:</w:t>
      </w:r>
    </w:p>
    <w:p w:rsidR="005C1AF5" w:rsidRPr="00FA3856" w:rsidRDefault="005C1AF5" w:rsidP="005C1AF5">
      <w:pPr>
        <w:pStyle w:val="PSDS-MarcadoresNivel4"/>
        <w:tabs>
          <w:tab w:val="clear" w:pos="2271"/>
          <w:tab w:val="left" w:pos="720"/>
        </w:tabs>
        <w:spacing w:before="0" w:after="0"/>
        <w:ind w:left="0" w:firstLine="0"/>
        <w:rPr>
          <w:rFonts w:ascii="Times New Roman" w:hAnsi="Times New Roman" w:cs="Times New Roman"/>
          <w:szCs w:val="20"/>
          <w:lang w:val="pt-PT"/>
        </w:rPr>
      </w:pPr>
    </w:p>
    <w:tbl>
      <w:tblPr>
        <w:tblW w:w="16370"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85"/>
        <w:gridCol w:w="3000"/>
        <w:gridCol w:w="12168"/>
        <w:gridCol w:w="717"/>
      </w:tblGrid>
      <w:tr w:rsidR="005C1AF5" w:rsidRPr="00FA3856" w:rsidTr="00BB2C36">
        <w:trPr>
          <w:tblHeader/>
          <w:jc w:val="center"/>
        </w:trPr>
        <w:tc>
          <w:tcPr>
            <w:tcW w:w="485" w:type="dxa"/>
            <w:tcBorders>
              <w:top w:val="single" w:sz="6" w:space="0" w:color="auto"/>
              <w:left w:val="single" w:sz="6" w:space="0" w:color="auto"/>
              <w:bottom w:val="single" w:sz="6" w:space="0" w:color="auto"/>
              <w:right w:val="single" w:sz="6" w:space="0" w:color="auto"/>
            </w:tcBorders>
            <w:shd w:val="pct10" w:color="auto" w:fill="FFFFFF"/>
          </w:tcPr>
          <w:p w:rsidR="005C1AF5" w:rsidRPr="00FA3856" w:rsidRDefault="005C1AF5" w:rsidP="000B0C32">
            <w:pPr>
              <w:pStyle w:val="PSDS-CorpodeTexto0"/>
              <w:jc w:val="center"/>
              <w:rPr>
                <w:rFonts w:ascii="Times New Roman" w:hAnsi="Times New Roman"/>
                <w:b/>
                <w:bCs/>
              </w:rPr>
            </w:pPr>
            <w:r w:rsidRPr="00FA3856">
              <w:rPr>
                <w:rFonts w:ascii="Times New Roman" w:hAnsi="Times New Roman"/>
                <w:b/>
                <w:bCs/>
              </w:rPr>
              <w:t>Nº</w:t>
            </w:r>
          </w:p>
        </w:tc>
        <w:tc>
          <w:tcPr>
            <w:tcW w:w="3000" w:type="dxa"/>
            <w:tcBorders>
              <w:top w:val="single" w:sz="6" w:space="0" w:color="auto"/>
              <w:left w:val="single" w:sz="6" w:space="0" w:color="auto"/>
              <w:bottom w:val="single" w:sz="6" w:space="0" w:color="auto"/>
              <w:right w:val="single" w:sz="6" w:space="0" w:color="auto"/>
            </w:tcBorders>
            <w:shd w:val="pct10" w:color="auto" w:fill="FFFFFF"/>
          </w:tcPr>
          <w:p w:rsidR="005C1AF5" w:rsidRPr="00FA3856" w:rsidRDefault="005C1AF5" w:rsidP="000B0C32">
            <w:pPr>
              <w:pStyle w:val="PSDS-CorpodeTexto0"/>
              <w:jc w:val="center"/>
              <w:rPr>
                <w:rFonts w:ascii="Times New Roman" w:hAnsi="Times New Roman"/>
                <w:b/>
                <w:bCs/>
              </w:rPr>
            </w:pPr>
            <w:r w:rsidRPr="00FA3856">
              <w:rPr>
                <w:rFonts w:ascii="Times New Roman" w:hAnsi="Times New Roman"/>
                <w:b/>
                <w:bCs/>
              </w:rPr>
              <w:t>Campo</w:t>
            </w:r>
          </w:p>
        </w:tc>
        <w:tc>
          <w:tcPr>
            <w:tcW w:w="12168" w:type="dxa"/>
            <w:tcBorders>
              <w:top w:val="single" w:sz="6" w:space="0" w:color="auto"/>
              <w:left w:val="single" w:sz="6" w:space="0" w:color="auto"/>
              <w:bottom w:val="single" w:sz="6" w:space="0" w:color="auto"/>
              <w:right w:val="single" w:sz="6" w:space="0" w:color="auto"/>
            </w:tcBorders>
            <w:shd w:val="pct10" w:color="auto" w:fill="FFFFFF"/>
          </w:tcPr>
          <w:p w:rsidR="005C1AF5" w:rsidRPr="00FA3856" w:rsidRDefault="005C1AF5" w:rsidP="000B0C32">
            <w:pPr>
              <w:pStyle w:val="PSDS-CorpodeTexto0"/>
              <w:jc w:val="center"/>
              <w:rPr>
                <w:rFonts w:ascii="Times New Roman" w:hAnsi="Times New Roman"/>
                <w:b/>
                <w:bCs/>
              </w:rPr>
            </w:pPr>
            <w:r w:rsidRPr="00FA3856">
              <w:rPr>
                <w:rFonts w:ascii="Times New Roman" w:hAnsi="Times New Roman"/>
                <w:b/>
                <w:bCs/>
              </w:rPr>
              <w:t>Regras de Validação do Campo</w:t>
            </w:r>
          </w:p>
        </w:tc>
        <w:tc>
          <w:tcPr>
            <w:tcW w:w="717" w:type="dxa"/>
            <w:tcBorders>
              <w:top w:val="single" w:sz="6" w:space="0" w:color="auto"/>
              <w:left w:val="single" w:sz="6" w:space="0" w:color="auto"/>
              <w:bottom w:val="single" w:sz="6" w:space="0" w:color="auto"/>
              <w:right w:val="single" w:sz="6" w:space="0" w:color="auto"/>
            </w:tcBorders>
            <w:shd w:val="pct10" w:color="auto" w:fill="FFFFFF"/>
          </w:tcPr>
          <w:p w:rsidR="005C1AF5" w:rsidRPr="00FA3856" w:rsidRDefault="005C1AF5" w:rsidP="000B0C32">
            <w:pPr>
              <w:pStyle w:val="PSDS-CorpodeTexto0"/>
              <w:jc w:val="center"/>
              <w:rPr>
                <w:rFonts w:ascii="Times New Roman" w:hAnsi="Times New Roman"/>
                <w:b/>
                <w:bCs/>
              </w:rPr>
            </w:pPr>
            <w:r w:rsidRPr="00FA3856">
              <w:rPr>
                <w:rFonts w:ascii="Times New Roman" w:hAnsi="Times New Roman"/>
                <w:b/>
                <w:bCs/>
              </w:rPr>
              <w:t>Tipo</w:t>
            </w:r>
          </w:p>
        </w:tc>
      </w:tr>
      <w:tr w:rsidR="005C1AF5" w:rsidRPr="00FA3856" w:rsidTr="00BB2C36">
        <w:trPr>
          <w:jc w:val="center"/>
        </w:trPr>
        <w:tc>
          <w:tcPr>
            <w:tcW w:w="485" w:type="dxa"/>
            <w:tcBorders>
              <w:top w:val="single" w:sz="6" w:space="0" w:color="auto"/>
              <w:left w:val="single" w:sz="6" w:space="0" w:color="auto"/>
              <w:bottom w:val="single" w:sz="6" w:space="0" w:color="auto"/>
              <w:right w:val="single" w:sz="6" w:space="0" w:color="auto"/>
            </w:tcBorders>
          </w:tcPr>
          <w:p w:rsidR="005C1AF5" w:rsidRPr="00FA3856" w:rsidRDefault="007349A3" w:rsidP="000B0C32">
            <w:pPr>
              <w:pStyle w:val="PSDS-CorpodeTexto0"/>
              <w:suppressAutoHyphens w:val="0"/>
              <w:rPr>
                <w:rFonts w:ascii="Times New Roman" w:hAnsi="Times New Roman"/>
                <w:b/>
                <w:bCs/>
                <w:lang w:val="pt-PT"/>
              </w:rPr>
            </w:pPr>
            <w:r w:rsidRPr="00FA3856">
              <w:rPr>
                <w:rFonts w:ascii="Times New Roman" w:hAnsi="Times New Roman"/>
                <w:b/>
                <w:bCs/>
                <w:lang w:val="pt-PT"/>
              </w:rPr>
              <w:t>5</w:t>
            </w:r>
          </w:p>
        </w:tc>
        <w:tc>
          <w:tcPr>
            <w:tcW w:w="3000" w:type="dxa"/>
            <w:tcBorders>
              <w:top w:val="single" w:sz="6" w:space="0" w:color="auto"/>
              <w:left w:val="single" w:sz="6" w:space="0" w:color="auto"/>
              <w:bottom w:val="single" w:sz="6" w:space="0" w:color="auto"/>
              <w:right w:val="single" w:sz="6" w:space="0" w:color="auto"/>
            </w:tcBorders>
          </w:tcPr>
          <w:p w:rsidR="005C1AF5" w:rsidRPr="00FA3856" w:rsidRDefault="005C1AF5" w:rsidP="000B0C32">
            <w:pPr>
              <w:pStyle w:val="PSDS-CorpodeTexto0"/>
              <w:rPr>
                <w:rFonts w:ascii="Times New Roman" w:hAnsi="Times New Roman"/>
                <w:lang w:val="pt-PT"/>
              </w:rPr>
            </w:pPr>
            <w:r w:rsidRPr="00FA3856">
              <w:rPr>
                <w:rFonts w:ascii="Times New Roman" w:hAnsi="Times New Roman"/>
                <w:lang w:val="pt-PT"/>
              </w:rPr>
              <w:t xml:space="preserve">CNPJ </w:t>
            </w:r>
          </w:p>
        </w:tc>
        <w:tc>
          <w:tcPr>
            <w:tcW w:w="12168" w:type="dxa"/>
            <w:tcBorders>
              <w:top w:val="single" w:sz="6" w:space="0" w:color="auto"/>
              <w:left w:val="single" w:sz="6" w:space="0" w:color="auto"/>
              <w:bottom w:val="single" w:sz="6" w:space="0" w:color="auto"/>
              <w:right w:val="single" w:sz="6" w:space="0" w:color="auto"/>
            </w:tcBorders>
          </w:tcPr>
          <w:p w:rsidR="005C1AF5" w:rsidRPr="00FA3856" w:rsidRDefault="007D0E74" w:rsidP="005C1AF5">
            <w:pPr>
              <w:shd w:val="clear" w:color="auto" w:fill="FFFFFF"/>
              <w:jc w:val="both"/>
              <w:rPr>
                <w:szCs w:val="20"/>
              </w:rPr>
            </w:pPr>
            <w:hyperlink w:anchor="REGRA_OBRIGATORIO_BRASIL" w:history="1">
              <w:r w:rsidR="005C1AF5" w:rsidRPr="00FA3856">
                <w:rPr>
                  <w:rStyle w:val="Hyperlink"/>
                  <w:b/>
                  <w:color w:val="auto"/>
                  <w:szCs w:val="20"/>
                </w:rPr>
                <w:t>REGRA_OBRIGATORIO_BRASIL</w:t>
              </w:r>
            </w:hyperlink>
            <w:r w:rsidR="005C1AF5" w:rsidRPr="00FA3856">
              <w:rPr>
                <w:rStyle w:val="Hyperlink"/>
                <w:b/>
                <w:color w:val="auto"/>
                <w:szCs w:val="20"/>
              </w:rPr>
              <w:t xml:space="preserve">: </w:t>
            </w:r>
            <w:r w:rsidR="005C1AF5" w:rsidRPr="00FA3856">
              <w:rPr>
                <w:szCs w:val="20"/>
              </w:rPr>
              <w:t xml:space="preserve">Obrigatório se </w:t>
            </w:r>
            <w:r w:rsidR="0011050B" w:rsidRPr="00FA3856">
              <w:rPr>
                <w:szCs w:val="20"/>
              </w:rPr>
              <w:t xml:space="preserve">Y620.PAIS </w:t>
            </w:r>
            <w:r w:rsidR="005C1AF5" w:rsidRPr="00FA3856">
              <w:rPr>
                <w:szCs w:val="20"/>
              </w:rPr>
              <w:t>for igual a "105" (Brasil). Caso contrário, não deve ser preenchido.</w:t>
            </w:r>
          </w:p>
          <w:p w:rsidR="00672FA5" w:rsidRPr="00FA3856" w:rsidRDefault="00672FA5" w:rsidP="005C1AF5">
            <w:pPr>
              <w:shd w:val="clear" w:color="auto" w:fill="FFFFFF"/>
              <w:jc w:val="both"/>
              <w:rPr>
                <w:szCs w:val="20"/>
              </w:rPr>
            </w:pPr>
          </w:p>
          <w:p w:rsidR="005C1AF5" w:rsidRPr="00FA3856" w:rsidRDefault="00672FA5" w:rsidP="00672FA5">
            <w:pPr>
              <w:shd w:val="clear" w:color="auto" w:fill="FFFFFF"/>
              <w:jc w:val="both"/>
              <w:rPr>
                <w:szCs w:val="20"/>
              </w:rPr>
            </w:pPr>
            <w:r w:rsidRPr="00FA3856">
              <w:rPr>
                <w:b/>
                <w:szCs w:val="20"/>
              </w:rPr>
              <w:t xml:space="preserve">REGRA_CNPJ_DIFERENTE: </w:t>
            </w:r>
            <w:r w:rsidRPr="00FA3856">
              <w:rPr>
                <w:szCs w:val="20"/>
              </w:rPr>
              <w:t>Verif</w:t>
            </w:r>
            <w:r w:rsidR="00772814" w:rsidRPr="00FA3856">
              <w:rPr>
                <w:szCs w:val="20"/>
              </w:rPr>
              <w:t>i</w:t>
            </w:r>
            <w:r w:rsidR="0011050B" w:rsidRPr="00FA3856">
              <w:rPr>
                <w:szCs w:val="20"/>
              </w:rPr>
              <w:t xml:space="preserve">ca se Y620.CNPJ </w:t>
            </w:r>
            <w:r w:rsidRPr="00FA3856">
              <w:rPr>
                <w:szCs w:val="20"/>
              </w:rPr>
              <w:t>é diferente do 0000.CNPJ.</w:t>
            </w:r>
          </w:p>
          <w:p w:rsidR="001E5612" w:rsidRPr="00FA3856" w:rsidRDefault="001E5612" w:rsidP="00672FA5">
            <w:pPr>
              <w:shd w:val="clear" w:color="auto" w:fill="FFFFFF"/>
              <w:jc w:val="both"/>
              <w:rPr>
                <w:szCs w:val="20"/>
              </w:rPr>
            </w:pPr>
          </w:p>
          <w:p w:rsidR="001E5612" w:rsidRPr="00FA3856" w:rsidRDefault="007D0E74" w:rsidP="001E5612">
            <w:pPr>
              <w:pStyle w:val="PSDS-CorpodeTexto0"/>
              <w:jc w:val="both"/>
              <w:rPr>
                <w:rFonts w:ascii="Times New Roman" w:hAnsi="Times New Roman"/>
              </w:rPr>
            </w:pPr>
            <w:hyperlink w:anchor="REGRA_VALIDA_CNPJ" w:history="1">
              <w:r w:rsidR="001E5612" w:rsidRPr="00FA3856">
                <w:rPr>
                  <w:rStyle w:val="Hyperlink"/>
                  <w:rFonts w:ascii="Times New Roman" w:hAnsi="Times New Roman"/>
                  <w:b/>
                  <w:bCs/>
                  <w:color w:val="auto"/>
                  <w:lang w:val="pt-PT"/>
                </w:rPr>
                <w:t>REGRA_VALIDA_CNPJ</w:t>
              </w:r>
            </w:hyperlink>
            <w:r w:rsidR="001E5612" w:rsidRPr="00FA3856">
              <w:rPr>
                <w:rFonts w:ascii="Times New Roman" w:hAnsi="Times New Roman"/>
                <w:b/>
                <w:bCs/>
                <w:lang w:val="pt-PT"/>
              </w:rPr>
              <w:t xml:space="preserve">: </w:t>
            </w:r>
            <w:r w:rsidR="001E5612" w:rsidRPr="00FA3856">
              <w:rPr>
                <w:rFonts w:ascii="Times New Roman" w:hAnsi="Times New Roman"/>
              </w:rPr>
              <w:t xml:space="preserve"> Verifica se a regra de formação do código é válida.</w:t>
            </w:r>
          </w:p>
          <w:p w:rsidR="0016489F" w:rsidRPr="00FA3856" w:rsidRDefault="0016489F" w:rsidP="001E5612">
            <w:pPr>
              <w:pStyle w:val="PSDS-CorpodeTexto0"/>
              <w:jc w:val="both"/>
              <w:rPr>
                <w:rFonts w:ascii="Times New Roman" w:hAnsi="Times New Roman"/>
              </w:rPr>
            </w:pPr>
          </w:p>
          <w:p w:rsidR="0016489F" w:rsidRPr="00FA3856" w:rsidRDefault="0016489F" w:rsidP="001E5612">
            <w:pPr>
              <w:pStyle w:val="PSDS-CorpodeTexto0"/>
              <w:jc w:val="both"/>
              <w:rPr>
                <w:rFonts w:ascii="Times New Roman" w:hAnsi="Times New Roman"/>
              </w:rPr>
            </w:pPr>
          </w:p>
        </w:tc>
        <w:tc>
          <w:tcPr>
            <w:tcW w:w="717" w:type="dxa"/>
            <w:tcBorders>
              <w:top w:val="single" w:sz="6" w:space="0" w:color="auto"/>
              <w:left w:val="single" w:sz="6" w:space="0" w:color="auto"/>
              <w:bottom w:val="single" w:sz="6" w:space="0" w:color="auto"/>
              <w:right w:val="single" w:sz="6" w:space="0" w:color="auto"/>
            </w:tcBorders>
          </w:tcPr>
          <w:p w:rsidR="005C1AF5" w:rsidRPr="00FA3856" w:rsidRDefault="005C1AF5" w:rsidP="000B0C32">
            <w:pPr>
              <w:pStyle w:val="PSDS-CorpodeTexto0"/>
              <w:rPr>
                <w:rFonts w:ascii="Times New Roman" w:hAnsi="Times New Roman"/>
                <w:lang w:val="pt-PT"/>
              </w:rPr>
            </w:pPr>
            <w:r w:rsidRPr="00FA3856">
              <w:rPr>
                <w:rFonts w:ascii="Times New Roman" w:hAnsi="Times New Roman"/>
                <w:lang w:val="pt-PT"/>
              </w:rPr>
              <w:t>Erro</w:t>
            </w:r>
          </w:p>
          <w:p w:rsidR="00672FA5" w:rsidRPr="00FA3856" w:rsidRDefault="00672FA5" w:rsidP="000B0C32">
            <w:pPr>
              <w:pStyle w:val="PSDS-CorpodeTexto0"/>
              <w:rPr>
                <w:rFonts w:ascii="Times New Roman" w:hAnsi="Times New Roman"/>
                <w:lang w:val="pt-PT"/>
              </w:rPr>
            </w:pPr>
          </w:p>
          <w:p w:rsidR="00672FA5" w:rsidRPr="00FA3856" w:rsidRDefault="00672FA5" w:rsidP="000B0C32">
            <w:pPr>
              <w:pStyle w:val="PSDS-CorpodeTexto0"/>
              <w:rPr>
                <w:rFonts w:ascii="Times New Roman" w:hAnsi="Times New Roman"/>
                <w:lang w:val="pt-PT"/>
              </w:rPr>
            </w:pPr>
            <w:r w:rsidRPr="00FA3856">
              <w:rPr>
                <w:rFonts w:ascii="Times New Roman" w:hAnsi="Times New Roman"/>
                <w:lang w:val="pt-PT"/>
              </w:rPr>
              <w:t>Erro</w:t>
            </w:r>
          </w:p>
          <w:p w:rsidR="002178AE" w:rsidRPr="00FA3856" w:rsidRDefault="002178AE" w:rsidP="000B0C32">
            <w:pPr>
              <w:pStyle w:val="PSDS-CorpodeTexto0"/>
              <w:rPr>
                <w:rFonts w:ascii="Times New Roman" w:hAnsi="Times New Roman"/>
                <w:lang w:val="pt-PT"/>
              </w:rPr>
            </w:pPr>
          </w:p>
          <w:p w:rsidR="005C1AF5" w:rsidRPr="00FA3856" w:rsidRDefault="001E5612" w:rsidP="000B0C32">
            <w:pPr>
              <w:pStyle w:val="PSDS-CorpodeTexto0"/>
              <w:rPr>
                <w:rFonts w:ascii="Times New Roman" w:hAnsi="Times New Roman"/>
                <w:lang w:val="pt-PT"/>
              </w:rPr>
            </w:pPr>
            <w:r w:rsidRPr="00FA3856">
              <w:rPr>
                <w:rFonts w:ascii="Times New Roman" w:hAnsi="Times New Roman"/>
                <w:lang w:val="pt-PT"/>
              </w:rPr>
              <w:t>Erro</w:t>
            </w:r>
          </w:p>
        </w:tc>
      </w:tr>
      <w:tr w:rsidR="002178AE" w:rsidRPr="00FA3856" w:rsidTr="00BC63D3">
        <w:trPr>
          <w:jc w:val="center"/>
        </w:trPr>
        <w:tc>
          <w:tcPr>
            <w:tcW w:w="485" w:type="dxa"/>
            <w:tcBorders>
              <w:top w:val="single" w:sz="6" w:space="0" w:color="auto"/>
              <w:left w:val="single" w:sz="6" w:space="0" w:color="auto"/>
              <w:bottom w:val="single" w:sz="6" w:space="0" w:color="auto"/>
              <w:right w:val="single" w:sz="6" w:space="0" w:color="auto"/>
            </w:tcBorders>
          </w:tcPr>
          <w:p w:rsidR="002178AE" w:rsidRPr="00FA3856" w:rsidRDefault="007349A3" w:rsidP="00BC63D3">
            <w:pPr>
              <w:pStyle w:val="PSDS-CorpodeTexto0"/>
              <w:suppressAutoHyphens w:val="0"/>
              <w:rPr>
                <w:rFonts w:ascii="Times New Roman" w:hAnsi="Times New Roman"/>
                <w:b/>
                <w:bCs/>
                <w:lang w:val="pt-PT"/>
              </w:rPr>
            </w:pPr>
            <w:r w:rsidRPr="00FA3856">
              <w:rPr>
                <w:rFonts w:ascii="Times New Roman" w:hAnsi="Times New Roman"/>
                <w:b/>
                <w:bCs/>
                <w:lang w:val="pt-PT"/>
              </w:rPr>
              <w:t>14</w:t>
            </w:r>
          </w:p>
        </w:tc>
        <w:tc>
          <w:tcPr>
            <w:tcW w:w="3000" w:type="dxa"/>
            <w:tcBorders>
              <w:top w:val="single" w:sz="6" w:space="0" w:color="auto"/>
              <w:left w:val="single" w:sz="6" w:space="0" w:color="auto"/>
              <w:bottom w:val="single" w:sz="6" w:space="0" w:color="auto"/>
              <w:right w:val="single" w:sz="6" w:space="0" w:color="auto"/>
            </w:tcBorders>
          </w:tcPr>
          <w:p w:rsidR="002178AE" w:rsidRPr="00FA3856" w:rsidRDefault="002178AE" w:rsidP="00BC63D3">
            <w:pPr>
              <w:pStyle w:val="PSDS-CorpodeTexto0"/>
              <w:rPr>
                <w:rFonts w:ascii="Times New Roman" w:hAnsi="Times New Roman"/>
                <w:lang w:val="pt-PT"/>
              </w:rPr>
            </w:pPr>
            <w:r w:rsidRPr="00FA3856">
              <w:rPr>
                <w:rFonts w:ascii="Times New Roman" w:hAnsi="Times New Roman"/>
                <w:lang w:val="pt-PT"/>
              </w:rPr>
              <w:t>NUM_PROC_CART</w:t>
            </w:r>
          </w:p>
          <w:p w:rsidR="002178AE" w:rsidRPr="00FA3856" w:rsidRDefault="002178AE" w:rsidP="00BC63D3">
            <w:pPr>
              <w:pStyle w:val="PSDS-CorpodeTexto0"/>
              <w:rPr>
                <w:rFonts w:ascii="Times New Roman" w:hAnsi="Times New Roman"/>
                <w:lang w:val="pt-PT"/>
              </w:rPr>
            </w:pPr>
          </w:p>
        </w:tc>
        <w:tc>
          <w:tcPr>
            <w:tcW w:w="12168" w:type="dxa"/>
            <w:tcBorders>
              <w:top w:val="single" w:sz="6" w:space="0" w:color="auto"/>
              <w:left w:val="single" w:sz="6" w:space="0" w:color="auto"/>
              <w:bottom w:val="single" w:sz="6" w:space="0" w:color="auto"/>
              <w:right w:val="single" w:sz="6" w:space="0" w:color="auto"/>
            </w:tcBorders>
          </w:tcPr>
          <w:p w:rsidR="002178AE" w:rsidRPr="00FA3856" w:rsidRDefault="007D0E74" w:rsidP="00BC63D3">
            <w:pPr>
              <w:shd w:val="clear" w:color="auto" w:fill="FFFFFF"/>
              <w:jc w:val="both"/>
              <w:rPr>
                <w:szCs w:val="20"/>
              </w:rPr>
            </w:pPr>
            <w:hyperlink w:anchor="REGRA_DATA_INI_MAIOR" w:history="1">
              <w:r w:rsidR="002178AE" w:rsidRPr="00FA3856">
                <w:rPr>
                  <w:rStyle w:val="Hyperlink"/>
                  <w:b/>
                  <w:color w:val="auto"/>
                  <w:szCs w:val="20"/>
                </w:rPr>
                <w:t>REGRA_PREENCHER_IND_PROC_CART</w:t>
              </w:r>
            </w:hyperlink>
            <w:r w:rsidR="002178AE" w:rsidRPr="00FA3856">
              <w:rPr>
                <w:b/>
                <w:szCs w:val="20"/>
              </w:rPr>
              <w:t xml:space="preserve">: </w:t>
            </w:r>
            <w:r w:rsidR="002178AE" w:rsidRPr="00FA3856">
              <w:rPr>
                <w:szCs w:val="20"/>
              </w:rPr>
              <w:t xml:space="preserve"> Verifica</w:t>
            </w:r>
            <w:r w:rsidR="0058555C" w:rsidRPr="00FA3856">
              <w:rPr>
                <w:szCs w:val="20"/>
              </w:rPr>
              <w:t xml:space="preserve">, quando </w:t>
            </w:r>
            <w:r w:rsidR="00644487" w:rsidRPr="00FA3856">
              <w:rPr>
                <w:szCs w:val="20"/>
              </w:rPr>
              <w:t>Y620.</w:t>
            </w:r>
            <w:r w:rsidR="0011050B" w:rsidRPr="00FA3856">
              <w:rPr>
                <w:szCs w:val="20"/>
              </w:rPr>
              <w:t xml:space="preserve">IND_PROC_CART </w:t>
            </w:r>
            <w:r w:rsidR="002178AE" w:rsidRPr="00FA3856">
              <w:rPr>
                <w:szCs w:val="20"/>
              </w:rPr>
              <w:t xml:space="preserve">igual a “S”, se o campo </w:t>
            </w:r>
            <w:r w:rsidR="00644487" w:rsidRPr="00FA3856">
              <w:rPr>
                <w:szCs w:val="20"/>
              </w:rPr>
              <w:t>Y620.</w:t>
            </w:r>
            <w:r w:rsidR="002178AE" w:rsidRPr="00FA3856">
              <w:rPr>
                <w:szCs w:val="20"/>
              </w:rPr>
              <w:t>NUM_PROC_CART</w:t>
            </w:r>
            <w:r w:rsidR="0011050B" w:rsidRPr="00FA3856">
              <w:rPr>
                <w:szCs w:val="20"/>
              </w:rPr>
              <w:t xml:space="preserve"> </w:t>
            </w:r>
            <w:r w:rsidR="002178AE" w:rsidRPr="00FA3856">
              <w:rPr>
                <w:szCs w:val="20"/>
              </w:rPr>
              <w:t>está preenchido.</w:t>
            </w:r>
          </w:p>
          <w:p w:rsidR="00644487" w:rsidRPr="00FA3856" w:rsidRDefault="00644487" w:rsidP="00BC63D3">
            <w:pPr>
              <w:shd w:val="clear" w:color="auto" w:fill="FFFFFF"/>
              <w:jc w:val="both"/>
              <w:rPr>
                <w:szCs w:val="20"/>
              </w:rPr>
            </w:pPr>
          </w:p>
          <w:p w:rsidR="002178AE" w:rsidRPr="00FA3856" w:rsidRDefault="007D0E74" w:rsidP="00BC63D3">
            <w:pPr>
              <w:shd w:val="clear" w:color="auto" w:fill="FFFFFF"/>
              <w:jc w:val="both"/>
              <w:rPr>
                <w:szCs w:val="20"/>
                <w:lang w:val="pt-PT"/>
              </w:rPr>
            </w:pPr>
            <w:hyperlink w:anchor="REGRA_DATA_INI_MAIOR" w:history="1">
              <w:r w:rsidR="002178AE" w:rsidRPr="00FA3856">
                <w:rPr>
                  <w:rStyle w:val="Hyperlink"/>
                  <w:b/>
                  <w:color w:val="auto"/>
                  <w:szCs w:val="20"/>
                </w:rPr>
                <w:t>REGRA_NAO_PREENCHER_IND_PROC_CART</w:t>
              </w:r>
            </w:hyperlink>
            <w:r w:rsidR="002178AE" w:rsidRPr="00FA3856">
              <w:rPr>
                <w:b/>
                <w:szCs w:val="20"/>
              </w:rPr>
              <w:t xml:space="preserve">: </w:t>
            </w:r>
            <w:r w:rsidR="002178AE" w:rsidRPr="00FA3856">
              <w:rPr>
                <w:szCs w:val="20"/>
              </w:rPr>
              <w:t xml:space="preserve"> Verifica</w:t>
            </w:r>
            <w:r w:rsidR="0058555C" w:rsidRPr="00FA3856">
              <w:rPr>
                <w:szCs w:val="20"/>
              </w:rPr>
              <w:t xml:space="preserve">, quando </w:t>
            </w:r>
            <w:r w:rsidR="00644487" w:rsidRPr="00FA3856">
              <w:rPr>
                <w:szCs w:val="20"/>
              </w:rPr>
              <w:t>Y620.</w:t>
            </w:r>
            <w:r w:rsidR="0011050B" w:rsidRPr="00FA3856">
              <w:rPr>
                <w:szCs w:val="20"/>
              </w:rPr>
              <w:t xml:space="preserve">IND_PROC_CART </w:t>
            </w:r>
            <w:r w:rsidR="002178AE" w:rsidRPr="00FA3856">
              <w:rPr>
                <w:szCs w:val="20"/>
              </w:rPr>
              <w:t xml:space="preserve">igual a “N”, se o campo </w:t>
            </w:r>
            <w:r w:rsidR="00644487" w:rsidRPr="00FA3856">
              <w:rPr>
                <w:szCs w:val="20"/>
              </w:rPr>
              <w:t>Y620.</w:t>
            </w:r>
            <w:r w:rsidR="002178AE" w:rsidRPr="00FA3856">
              <w:rPr>
                <w:szCs w:val="20"/>
              </w:rPr>
              <w:t>NUM_PROC_CART</w:t>
            </w:r>
            <w:r w:rsidR="0011050B" w:rsidRPr="00FA3856">
              <w:rPr>
                <w:szCs w:val="20"/>
              </w:rPr>
              <w:t xml:space="preserve"> </w:t>
            </w:r>
            <w:r w:rsidR="002178AE" w:rsidRPr="00FA3856">
              <w:rPr>
                <w:szCs w:val="20"/>
              </w:rPr>
              <w:t>não está preenchido.</w:t>
            </w:r>
          </w:p>
        </w:tc>
        <w:tc>
          <w:tcPr>
            <w:tcW w:w="717" w:type="dxa"/>
            <w:tcBorders>
              <w:top w:val="single" w:sz="6" w:space="0" w:color="auto"/>
              <w:left w:val="single" w:sz="6" w:space="0" w:color="auto"/>
              <w:bottom w:val="single" w:sz="6" w:space="0" w:color="auto"/>
              <w:right w:val="single" w:sz="6" w:space="0" w:color="auto"/>
            </w:tcBorders>
          </w:tcPr>
          <w:p w:rsidR="002178AE" w:rsidRPr="00FA3856" w:rsidRDefault="002178AE" w:rsidP="00BC63D3">
            <w:pPr>
              <w:pStyle w:val="PSDS-CorpodeTexto0"/>
              <w:rPr>
                <w:rFonts w:ascii="Times New Roman" w:hAnsi="Times New Roman"/>
                <w:lang w:val="pt-PT"/>
              </w:rPr>
            </w:pPr>
            <w:r w:rsidRPr="00FA3856">
              <w:rPr>
                <w:rFonts w:ascii="Times New Roman" w:hAnsi="Times New Roman"/>
                <w:lang w:val="pt-PT"/>
              </w:rPr>
              <w:t>Erro</w:t>
            </w:r>
          </w:p>
          <w:p w:rsidR="002178AE" w:rsidRPr="00FA3856" w:rsidRDefault="002178AE" w:rsidP="00BC63D3">
            <w:pPr>
              <w:pStyle w:val="PSDS-CorpodeTexto0"/>
              <w:rPr>
                <w:rFonts w:ascii="Times New Roman" w:hAnsi="Times New Roman"/>
                <w:lang w:val="pt-PT"/>
              </w:rPr>
            </w:pPr>
          </w:p>
          <w:p w:rsidR="002178AE" w:rsidRPr="00FA3856" w:rsidRDefault="002178AE" w:rsidP="00BC63D3">
            <w:pPr>
              <w:pStyle w:val="PSDS-CorpodeTexto0"/>
              <w:rPr>
                <w:rFonts w:ascii="Times New Roman" w:hAnsi="Times New Roman"/>
                <w:lang w:val="pt-PT"/>
              </w:rPr>
            </w:pPr>
          </w:p>
          <w:p w:rsidR="002178AE" w:rsidRPr="00FA3856" w:rsidRDefault="002178AE" w:rsidP="00BC63D3">
            <w:pPr>
              <w:pStyle w:val="PSDS-CorpodeTexto0"/>
              <w:rPr>
                <w:rFonts w:ascii="Times New Roman" w:hAnsi="Times New Roman"/>
                <w:lang w:val="pt-PT"/>
              </w:rPr>
            </w:pPr>
            <w:r w:rsidRPr="00FA3856">
              <w:rPr>
                <w:rFonts w:ascii="Times New Roman" w:hAnsi="Times New Roman"/>
                <w:lang w:val="pt-PT"/>
              </w:rPr>
              <w:t>Erro</w:t>
            </w:r>
          </w:p>
        </w:tc>
      </w:tr>
      <w:tr w:rsidR="002178AE" w:rsidRPr="00FA3856" w:rsidTr="00BC63D3">
        <w:trPr>
          <w:jc w:val="center"/>
        </w:trPr>
        <w:tc>
          <w:tcPr>
            <w:tcW w:w="485" w:type="dxa"/>
            <w:tcBorders>
              <w:top w:val="single" w:sz="6" w:space="0" w:color="auto"/>
              <w:left w:val="single" w:sz="6" w:space="0" w:color="auto"/>
              <w:bottom w:val="single" w:sz="6" w:space="0" w:color="auto"/>
              <w:right w:val="single" w:sz="6" w:space="0" w:color="auto"/>
            </w:tcBorders>
          </w:tcPr>
          <w:p w:rsidR="002178AE" w:rsidRPr="00FA3856" w:rsidRDefault="007349A3" w:rsidP="00BC63D3">
            <w:pPr>
              <w:pStyle w:val="PSDS-CorpodeTexto0"/>
              <w:suppressAutoHyphens w:val="0"/>
              <w:rPr>
                <w:rFonts w:ascii="Times New Roman" w:hAnsi="Times New Roman"/>
                <w:b/>
                <w:bCs/>
                <w:lang w:val="pt-PT"/>
              </w:rPr>
            </w:pPr>
            <w:r w:rsidRPr="00FA3856">
              <w:rPr>
                <w:rFonts w:ascii="Times New Roman" w:hAnsi="Times New Roman"/>
                <w:b/>
                <w:bCs/>
                <w:lang w:val="pt-PT"/>
              </w:rPr>
              <w:t>15</w:t>
            </w:r>
          </w:p>
        </w:tc>
        <w:tc>
          <w:tcPr>
            <w:tcW w:w="3000" w:type="dxa"/>
            <w:tcBorders>
              <w:top w:val="single" w:sz="6" w:space="0" w:color="auto"/>
              <w:left w:val="single" w:sz="6" w:space="0" w:color="auto"/>
              <w:bottom w:val="single" w:sz="6" w:space="0" w:color="auto"/>
              <w:right w:val="single" w:sz="6" w:space="0" w:color="auto"/>
            </w:tcBorders>
          </w:tcPr>
          <w:p w:rsidR="002178AE" w:rsidRPr="00FA3856" w:rsidRDefault="002178AE" w:rsidP="00BC63D3">
            <w:pPr>
              <w:pStyle w:val="PSDS-CorpodeTexto0"/>
              <w:rPr>
                <w:rFonts w:ascii="Times New Roman" w:hAnsi="Times New Roman"/>
                <w:lang w:val="pt-PT"/>
              </w:rPr>
            </w:pPr>
            <w:r w:rsidRPr="00FA3856">
              <w:rPr>
                <w:rFonts w:ascii="Times New Roman" w:hAnsi="Times New Roman"/>
                <w:lang w:val="pt-PT"/>
              </w:rPr>
              <w:t>NOME_CART</w:t>
            </w:r>
          </w:p>
          <w:p w:rsidR="002178AE" w:rsidRPr="00FA3856" w:rsidRDefault="002178AE" w:rsidP="00BC63D3">
            <w:pPr>
              <w:pStyle w:val="PSDS-CorpodeTexto0"/>
              <w:rPr>
                <w:rFonts w:ascii="Times New Roman" w:hAnsi="Times New Roman"/>
                <w:lang w:val="pt-PT"/>
              </w:rPr>
            </w:pPr>
          </w:p>
        </w:tc>
        <w:tc>
          <w:tcPr>
            <w:tcW w:w="12168" w:type="dxa"/>
            <w:tcBorders>
              <w:top w:val="single" w:sz="6" w:space="0" w:color="auto"/>
              <w:left w:val="single" w:sz="6" w:space="0" w:color="auto"/>
              <w:bottom w:val="single" w:sz="6" w:space="0" w:color="auto"/>
              <w:right w:val="single" w:sz="6" w:space="0" w:color="auto"/>
            </w:tcBorders>
          </w:tcPr>
          <w:p w:rsidR="002178AE" w:rsidRPr="00FA3856" w:rsidRDefault="007D0E74" w:rsidP="00BC63D3">
            <w:pPr>
              <w:shd w:val="clear" w:color="auto" w:fill="FFFFFF"/>
              <w:jc w:val="both"/>
              <w:rPr>
                <w:szCs w:val="20"/>
              </w:rPr>
            </w:pPr>
            <w:hyperlink w:anchor="REGRA_DATA_INI_MAIOR" w:history="1">
              <w:r w:rsidR="002178AE" w:rsidRPr="00FA3856">
                <w:rPr>
                  <w:rStyle w:val="Hyperlink"/>
                  <w:b/>
                  <w:color w:val="auto"/>
                  <w:szCs w:val="20"/>
                </w:rPr>
                <w:t>REGRA_PREENCHER_IND_PROC_CART</w:t>
              </w:r>
            </w:hyperlink>
            <w:r w:rsidR="002178AE" w:rsidRPr="00FA3856">
              <w:rPr>
                <w:b/>
                <w:szCs w:val="20"/>
              </w:rPr>
              <w:t xml:space="preserve">: </w:t>
            </w:r>
            <w:r w:rsidR="002178AE" w:rsidRPr="00FA3856">
              <w:rPr>
                <w:szCs w:val="20"/>
              </w:rPr>
              <w:t xml:space="preserve"> Verifica</w:t>
            </w:r>
            <w:r w:rsidR="0058555C" w:rsidRPr="00FA3856">
              <w:rPr>
                <w:szCs w:val="20"/>
              </w:rPr>
              <w:t xml:space="preserve">, quando </w:t>
            </w:r>
            <w:r w:rsidR="00644487" w:rsidRPr="00FA3856">
              <w:rPr>
                <w:szCs w:val="20"/>
              </w:rPr>
              <w:t>Y620.</w:t>
            </w:r>
            <w:r w:rsidR="0011050B" w:rsidRPr="00FA3856">
              <w:rPr>
                <w:szCs w:val="20"/>
              </w:rPr>
              <w:t xml:space="preserve">IND_PROC_CART </w:t>
            </w:r>
            <w:r w:rsidR="002178AE" w:rsidRPr="00FA3856">
              <w:rPr>
                <w:szCs w:val="20"/>
              </w:rPr>
              <w:t xml:space="preserve">igual a “S”, se o campo </w:t>
            </w:r>
            <w:r w:rsidR="00644487" w:rsidRPr="00FA3856">
              <w:rPr>
                <w:szCs w:val="20"/>
              </w:rPr>
              <w:t>Y620.</w:t>
            </w:r>
            <w:r w:rsidR="002178AE" w:rsidRPr="00FA3856">
              <w:rPr>
                <w:szCs w:val="20"/>
              </w:rPr>
              <w:t>NOME_CART</w:t>
            </w:r>
            <w:r w:rsidR="0011050B" w:rsidRPr="00FA3856">
              <w:rPr>
                <w:szCs w:val="20"/>
              </w:rPr>
              <w:t xml:space="preserve"> </w:t>
            </w:r>
            <w:r w:rsidR="002178AE" w:rsidRPr="00FA3856">
              <w:rPr>
                <w:szCs w:val="20"/>
              </w:rPr>
              <w:t>está preenchido.</w:t>
            </w:r>
          </w:p>
          <w:p w:rsidR="002178AE" w:rsidRPr="00FA3856" w:rsidRDefault="002178AE" w:rsidP="00BC63D3">
            <w:pPr>
              <w:shd w:val="clear" w:color="auto" w:fill="FFFFFF"/>
              <w:jc w:val="both"/>
              <w:rPr>
                <w:szCs w:val="20"/>
              </w:rPr>
            </w:pPr>
          </w:p>
          <w:p w:rsidR="002178AE" w:rsidRPr="00FA3856" w:rsidRDefault="007D0E74" w:rsidP="00BC63D3">
            <w:pPr>
              <w:shd w:val="clear" w:color="auto" w:fill="FFFFFF"/>
              <w:jc w:val="both"/>
              <w:rPr>
                <w:szCs w:val="20"/>
                <w:lang w:val="pt-PT"/>
              </w:rPr>
            </w:pPr>
            <w:hyperlink w:anchor="REGRA_DATA_INI_MAIOR" w:history="1">
              <w:r w:rsidR="002178AE" w:rsidRPr="00FA3856">
                <w:rPr>
                  <w:rStyle w:val="Hyperlink"/>
                  <w:b/>
                  <w:color w:val="auto"/>
                  <w:szCs w:val="20"/>
                </w:rPr>
                <w:t>REGRA_NAO_PREENCHER_IND_PROC_CART</w:t>
              </w:r>
            </w:hyperlink>
            <w:r w:rsidR="002178AE" w:rsidRPr="00FA3856">
              <w:rPr>
                <w:b/>
                <w:szCs w:val="20"/>
              </w:rPr>
              <w:t xml:space="preserve">: </w:t>
            </w:r>
            <w:r w:rsidR="002178AE" w:rsidRPr="00FA3856">
              <w:rPr>
                <w:szCs w:val="20"/>
              </w:rPr>
              <w:t xml:space="preserve"> Verifica</w:t>
            </w:r>
            <w:r w:rsidR="0058555C" w:rsidRPr="00FA3856">
              <w:rPr>
                <w:szCs w:val="20"/>
              </w:rPr>
              <w:t xml:space="preserve">, quando </w:t>
            </w:r>
            <w:r w:rsidR="00644487" w:rsidRPr="00FA3856">
              <w:rPr>
                <w:szCs w:val="20"/>
              </w:rPr>
              <w:t>Y620.</w:t>
            </w:r>
            <w:r w:rsidR="0011050B" w:rsidRPr="00FA3856">
              <w:rPr>
                <w:szCs w:val="20"/>
              </w:rPr>
              <w:t xml:space="preserve">IND_PROC_CART </w:t>
            </w:r>
            <w:r w:rsidR="002178AE" w:rsidRPr="00FA3856">
              <w:rPr>
                <w:szCs w:val="20"/>
              </w:rPr>
              <w:t xml:space="preserve">igual a “N”, se o campo </w:t>
            </w:r>
            <w:r w:rsidR="00644487" w:rsidRPr="00FA3856">
              <w:rPr>
                <w:szCs w:val="20"/>
              </w:rPr>
              <w:t>Y620.</w:t>
            </w:r>
            <w:r w:rsidR="0011050B" w:rsidRPr="00FA3856">
              <w:rPr>
                <w:szCs w:val="20"/>
              </w:rPr>
              <w:t xml:space="preserve">NOME_CART </w:t>
            </w:r>
            <w:r w:rsidR="002178AE" w:rsidRPr="00FA3856">
              <w:rPr>
                <w:szCs w:val="20"/>
              </w:rPr>
              <w:t>não está preenchido.</w:t>
            </w:r>
          </w:p>
        </w:tc>
        <w:tc>
          <w:tcPr>
            <w:tcW w:w="717" w:type="dxa"/>
            <w:tcBorders>
              <w:top w:val="single" w:sz="6" w:space="0" w:color="auto"/>
              <w:left w:val="single" w:sz="6" w:space="0" w:color="auto"/>
              <w:bottom w:val="single" w:sz="6" w:space="0" w:color="auto"/>
              <w:right w:val="single" w:sz="6" w:space="0" w:color="auto"/>
            </w:tcBorders>
          </w:tcPr>
          <w:p w:rsidR="002178AE" w:rsidRPr="00FA3856" w:rsidRDefault="002178AE" w:rsidP="00BC63D3">
            <w:pPr>
              <w:pStyle w:val="PSDS-CorpodeTexto0"/>
              <w:rPr>
                <w:rFonts w:ascii="Times New Roman" w:hAnsi="Times New Roman"/>
                <w:lang w:val="pt-PT"/>
              </w:rPr>
            </w:pPr>
            <w:r w:rsidRPr="00FA3856">
              <w:rPr>
                <w:rFonts w:ascii="Times New Roman" w:hAnsi="Times New Roman"/>
                <w:lang w:val="pt-PT"/>
              </w:rPr>
              <w:t>Erro</w:t>
            </w:r>
          </w:p>
          <w:p w:rsidR="002178AE" w:rsidRPr="00FA3856" w:rsidRDefault="002178AE" w:rsidP="00BC63D3">
            <w:pPr>
              <w:pStyle w:val="PSDS-CorpodeTexto0"/>
              <w:rPr>
                <w:rFonts w:ascii="Times New Roman" w:hAnsi="Times New Roman"/>
                <w:lang w:val="pt-PT"/>
              </w:rPr>
            </w:pPr>
          </w:p>
          <w:p w:rsidR="002178AE" w:rsidRPr="00FA3856" w:rsidRDefault="002178AE" w:rsidP="00BC63D3">
            <w:pPr>
              <w:pStyle w:val="PSDS-CorpodeTexto0"/>
              <w:rPr>
                <w:rFonts w:ascii="Times New Roman" w:hAnsi="Times New Roman"/>
                <w:lang w:val="pt-PT"/>
              </w:rPr>
            </w:pPr>
          </w:p>
          <w:p w:rsidR="002178AE" w:rsidRPr="00FA3856" w:rsidRDefault="002178AE" w:rsidP="00BC63D3">
            <w:pPr>
              <w:pStyle w:val="PSDS-CorpodeTexto0"/>
              <w:rPr>
                <w:rFonts w:ascii="Times New Roman" w:hAnsi="Times New Roman"/>
                <w:lang w:val="pt-PT"/>
              </w:rPr>
            </w:pPr>
            <w:r w:rsidRPr="00FA3856">
              <w:rPr>
                <w:rFonts w:ascii="Times New Roman" w:hAnsi="Times New Roman"/>
                <w:lang w:val="pt-PT"/>
              </w:rPr>
              <w:t>Erro</w:t>
            </w:r>
          </w:p>
          <w:p w:rsidR="002178AE" w:rsidRPr="00FA3856" w:rsidRDefault="002178AE" w:rsidP="00BC63D3">
            <w:pPr>
              <w:pStyle w:val="PSDS-CorpodeTexto0"/>
              <w:rPr>
                <w:rFonts w:ascii="Times New Roman" w:hAnsi="Times New Roman"/>
                <w:lang w:val="pt-PT"/>
              </w:rPr>
            </w:pPr>
          </w:p>
        </w:tc>
      </w:tr>
      <w:tr w:rsidR="005C1AF5" w:rsidRPr="00FA3856" w:rsidTr="00BB2C36">
        <w:trPr>
          <w:jc w:val="center"/>
        </w:trPr>
        <w:tc>
          <w:tcPr>
            <w:tcW w:w="485" w:type="dxa"/>
            <w:tcBorders>
              <w:top w:val="single" w:sz="6" w:space="0" w:color="auto"/>
              <w:left w:val="single" w:sz="6" w:space="0" w:color="auto"/>
              <w:bottom w:val="single" w:sz="6" w:space="0" w:color="auto"/>
              <w:right w:val="single" w:sz="6" w:space="0" w:color="auto"/>
            </w:tcBorders>
          </w:tcPr>
          <w:p w:rsidR="005C1AF5" w:rsidRPr="00FA3856" w:rsidRDefault="007349A3" w:rsidP="000B0C32">
            <w:pPr>
              <w:pStyle w:val="PSDS-CorpodeTexto0"/>
              <w:suppressAutoHyphens w:val="0"/>
              <w:rPr>
                <w:rFonts w:ascii="Times New Roman" w:hAnsi="Times New Roman"/>
                <w:b/>
                <w:bCs/>
                <w:lang w:val="pt-PT"/>
              </w:rPr>
            </w:pPr>
            <w:r w:rsidRPr="00FA3856">
              <w:rPr>
                <w:rFonts w:ascii="Times New Roman" w:hAnsi="Times New Roman"/>
                <w:b/>
                <w:bCs/>
                <w:lang w:val="pt-PT"/>
              </w:rPr>
              <w:t>17</w:t>
            </w:r>
          </w:p>
        </w:tc>
        <w:tc>
          <w:tcPr>
            <w:tcW w:w="3000" w:type="dxa"/>
            <w:tcBorders>
              <w:top w:val="single" w:sz="6" w:space="0" w:color="auto"/>
              <w:left w:val="single" w:sz="6" w:space="0" w:color="auto"/>
              <w:bottom w:val="single" w:sz="6" w:space="0" w:color="auto"/>
              <w:right w:val="single" w:sz="6" w:space="0" w:color="auto"/>
            </w:tcBorders>
          </w:tcPr>
          <w:p w:rsidR="005C1AF5" w:rsidRPr="00FA3856" w:rsidRDefault="002178AE" w:rsidP="000B0C32">
            <w:pPr>
              <w:pStyle w:val="PSDS-CorpodeTexto0"/>
              <w:rPr>
                <w:rFonts w:ascii="Times New Roman" w:hAnsi="Times New Roman"/>
                <w:lang w:val="pt-PT"/>
              </w:rPr>
            </w:pPr>
            <w:r w:rsidRPr="00FA3856">
              <w:rPr>
                <w:rFonts w:ascii="Times New Roman" w:hAnsi="Times New Roman"/>
                <w:lang w:val="pt-PT"/>
              </w:rPr>
              <w:t>NUM_PROC</w:t>
            </w:r>
            <w:r w:rsidR="005C27CE" w:rsidRPr="00FA3856">
              <w:rPr>
                <w:rFonts w:ascii="Times New Roman" w:hAnsi="Times New Roman"/>
                <w:lang w:val="pt-PT"/>
              </w:rPr>
              <w:t>_RFB</w:t>
            </w:r>
          </w:p>
          <w:p w:rsidR="005C1AF5" w:rsidRPr="00FA3856" w:rsidRDefault="005C1AF5" w:rsidP="000B0C32">
            <w:pPr>
              <w:pStyle w:val="PSDS-CorpodeTexto0"/>
              <w:rPr>
                <w:rFonts w:ascii="Times New Roman" w:hAnsi="Times New Roman"/>
                <w:lang w:val="pt-PT"/>
              </w:rPr>
            </w:pPr>
          </w:p>
        </w:tc>
        <w:tc>
          <w:tcPr>
            <w:tcW w:w="12168" w:type="dxa"/>
            <w:tcBorders>
              <w:top w:val="single" w:sz="6" w:space="0" w:color="auto"/>
              <w:left w:val="single" w:sz="6" w:space="0" w:color="auto"/>
              <w:bottom w:val="single" w:sz="6" w:space="0" w:color="auto"/>
              <w:right w:val="single" w:sz="6" w:space="0" w:color="auto"/>
            </w:tcBorders>
          </w:tcPr>
          <w:p w:rsidR="005C1AF5" w:rsidRPr="00FA3856" w:rsidRDefault="007D0E74" w:rsidP="002178AE">
            <w:pPr>
              <w:shd w:val="clear" w:color="auto" w:fill="FFFFFF"/>
              <w:jc w:val="both"/>
              <w:rPr>
                <w:szCs w:val="20"/>
              </w:rPr>
            </w:pPr>
            <w:hyperlink w:anchor="REGRA_DATA_INI_MAIOR" w:history="1">
              <w:r w:rsidR="00672FA5" w:rsidRPr="00FA3856">
                <w:rPr>
                  <w:rStyle w:val="Hyperlink"/>
                  <w:b/>
                  <w:color w:val="auto"/>
                  <w:szCs w:val="20"/>
                </w:rPr>
                <w:t>REGRA_</w:t>
              </w:r>
              <w:r w:rsidR="001E5612" w:rsidRPr="00FA3856">
                <w:rPr>
                  <w:rStyle w:val="Hyperlink"/>
                  <w:b/>
                  <w:color w:val="auto"/>
                  <w:szCs w:val="20"/>
                </w:rPr>
                <w:t>PREENCHER_</w:t>
              </w:r>
              <w:r w:rsidR="002178AE" w:rsidRPr="00FA3856">
                <w:rPr>
                  <w:rStyle w:val="Hyperlink"/>
                  <w:b/>
                  <w:color w:val="auto"/>
                  <w:szCs w:val="20"/>
                </w:rPr>
                <w:t>IND_PROC_RFB</w:t>
              </w:r>
            </w:hyperlink>
            <w:r w:rsidR="005C1AF5" w:rsidRPr="00FA3856">
              <w:rPr>
                <w:b/>
                <w:szCs w:val="20"/>
              </w:rPr>
              <w:t xml:space="preserve">: </w:t>
            </w:r>
            <w:r w:rsidR="005C1AF5" w:rsidRPr="00FA3856">
              <w:rPr>
                <w:szCs w:val="20"/>
              </w:rPr>
              <w:t xml:space="preserve"> Verifica</w:t>
            </w:r>
            <w:r w:rsidR="002178AE" w:rsidRPr="00FA3856">
              <w:rPr>
                <w:szCs w:val="20"/>
              </w:rPr>
              <w:t xml:space="preserve">, quando </w:t>
            </w:r>
            <w:r w:rsidR="00644487" w:rsidRPr="00FA3856">
              <w:rPr>
                <w:szCs w:val="20"/>
              </w:rPr>
              <w:t>Y620.</w:t>
            </w:r>
            <w:r w:rsidR="002178AE" w:rsidRPr="00FA3856">
              <w:rPr>
                <w:szCs w:val="20"/>
              </w:rPr>
              <w:t>IND_PROC_RFB</w:t>
            </w:r>
            <w:r w:rsidR="0011050B" w:rsidRPr="00FA3856">
              <w:rPr>
                <w:szCs w:val="20"/>
              </w:rPr>
              <w:t xml:space="preserve"> </w:t>
            </w:r>
            <w:r w:rsidR="002178AE" w:rsidRPr="00FA3856">
              <w:rPr>
                <w:szCs w:val="20"/>
              </w:rPr>
              <w:t>igual a “S”,</w:t>
            </w:r>
            <w:r w:rsidR="005C1AF5" w:rsidRPr="00FA3856">
              <w:rPr>
                <w:szCs w:val="20"/>
              </w:rPr>
              <w:t xml:space="preserve"> se o campo </w:t>
            </w:r>
            <w:r w:rsidR="00644487" w:rsidRPr="00FA3856">
              <w:rPr>
                <w:szCs w:val="20"/>
              </w:rPr>
              <w:t>Y620.</w:t>
            </w:r>
            <w:r w:rsidR="002178AE" w:rsidRPr="00FA3856">
              <w:rPr>
                <w:szCs w:val="20"/>
              </w:rPr>
              <w:t>NUM_PROC_RFB</w:t>
            </w:r>
            <w:r w:rsidR="0011050B" w:rsidRPr="00FA3856">
              <w:rPr>
                <w:szCs w:val="20"/>
              </w:rPr>
              <w:t xml:space="preserve"> </w:t>
            </w:r>
            <w:r w:rsidR="002178AE" w:rsidRPr="00FA3856">
              <w:rPr>
                <w:szCs w:val="20"/>
              </w:rPr>
              <w:t>está preenchido.</w:t>
            </w:r>
          </w:p>
          <w:p w:rsidR="002178AE" w:rsidRPr="00FA3856" w:rsidRDefault="002178AE" w:rsidP="002178AE">
            <w:pPr>
              <w:shd w:val="clear" w:color="auto" w:fill="FFFFFF"/>
              <w:jc w:val="both"/>
              <w:rPr>
                <w:szCs w:val="20"/>
              </w:rPr>
            </w:pPr>
          </w:p>
          <w:p w:rsidR="002178AE" w:rsidRPr="00FA3856" w:rsidRDefault="007349A3" w:rsidP="002178AE">
            <w:pPr>
              <w:shd w:val="clear" w:color="auto" w:fill="FFFFFF"/>
              <w:jc w:val="both"/>
              <w:rPr>
                <w:szCs w:val="20"/>
                <w:lang w:val="pt-PT"/>
              </w:rPr>
            </w:pPr>
            <w:r w:rsidRPr="00FA3856">
              <w:rPr>
                <w:b/>
                <w:szCs w:val="20"/>
              </w:rPr>
              <w:t>REGRA_NAO_PREENCHER_IND_PROC_RFB</w:t>
            </w:r>
            <w:r w:rsidR="002178AE" w:rsidRPr="00FA3856">
              <w:rPr>
                <w:b/>
                <w:szCs w:val="20"/>
              </w:rPr>
              <w:t xml:space="preserve">: </w:t>
            </w:r>
            <w:r w:rsidR="002178AE" w:rsidRPr="00FA3856">
              <w:rPr>
                <w:szCs w:val="20"/>
              </w:rPr>
              <w:t xml:space="preserve"> Verifica, quando </w:t>
            </w:r>
            <w:r w:rsidR="00644487" w:rsidRPr="00FA3856">
              <w:rPr>
                <w:szCs w:val="20"/>
              </w:rPr>
              <w:t>Y620.</w:t>
            </w:r>
            <w:r w:rsidR="002178AE" w:rsidRPr="00FA3856">
              <w:rPr>
                <w:szCs w:val="20"/>
              </w:rPr>
              <w:t>IND_PROC_RFB</w:t>
            </w:r>
            <w:r w:rsidR="0011050B" w:rsidRPr="00FA3856">
              <w:rPr>
                <w:szCs w:val="20"/>
              </w:rPr>
              <w:t xml:space="preserve"> </w:t>
            </w:r>
            <w:r w:rsidR="002178AE" w:rsidRPr="00FA3856">
              <w:rPr>
                <w:szCs w:val="20"/>
              </w:rPr>
              <w:t xml:space="preserve">igual a “N”, se o campo </w:t>
            </w:r>
            <w:r w:rsidR="00644487" w:rsidRPr="00FA3856">
              <w:rPr>
                <w:szCs w:val="20"/>
              </w:rPr>
              <w:t>Y620.</w:t>
            </w:r>
            <w:r w:rsidR="0011050B" w:rsidRPr="00FA3856">
              <w:rPr>
                <w:szCs w:val="20"/>
              </w:rPr>
              <w:t xml:space="preserve">NUM_PROC_RFB </w:t>
            </w:r>
            <w:r w:rsidR="002178AE" w:rsidRPr="00FA3856">
              <w:rPr>
                <w:szCs w:val="20"/>
              </w:rPr>
              <w:t>não está preenchido.</w:t>
            </w:r>
          </w:p>
        </w:tc>
        <w:tc>
          <w:tcPr>
            <w:tcW w:w="717" w:type="dxa"/>
            <w:tcBorders>
              <w:top w:val="single" w:sz="6" w:space="0" w:color="auto"/>
              <w:left w:val="single" w:sz="6" w:space="0" w:color="auto"/>
              <w:bottom w:val="single" w:sz="6" w:space="0" w:color="auto"/>
              <w:right w:val="single" w:sz="6" w:space="0" w:color="auto"/>
            </w:tcBorders>
          </w:tcPr>
          <w:p w:rsidR="005C1AF5" w:rsidRPr="00FA3856" w:rsidRDefault="005C1AF5" w:rsidP="000B0C32">
            <w:pPr>
              <w:pStyle w:val="PSDS-CorpodeTexto0"/>
              <w:rPr>
                <w:rFonts w:ascii="Times New Roman" w:hAnsi="Times New Roman"/>
                <w:lang w:val="pt-PT"/>
              </w:rPr>
            </w:pPr>
            <w:r w:rsidRPr="00FA3856">
              <w:rPr>
                <w:rFonts w:ascii="Times New Roman" w:hAnsi="Times New Roman"/>
                <w:lang w:val="pt-PT"/>
              </w:rPr>
              <w:t>Erro</w:t>
            </w:r>
          </w:p>
          <w:p w:rsidR="002178AE" w:rsidRPr="00FA3856" w:rsidRDefault="002178AE" w:rsidP="000B0C32">
            <w:pPr>
              <w:pStyle w:val="PSDS-CorpodeTexto0"/>
              <w:rPr>
                <w:rFonts w:ascii="Times New Roman" w:hAnsi="Times New Roman"/>
                <w:lang w:val="pt-PT"/>
              </w:rPr>
            </w:pPr>
          </w:p>
          <w:p w:rsidR="002178AE" w:rsidRPr="00FA3856" w:rsidRDefault="002178AE" w:rsidP="000B0C32">
            <w:pPr>
              <w:pStyle w:val="PSDS-CorpodeTexto0"/>
              <w:rPr>
                <w:rFonts w:ascii="Times New Roman" w:hAnsi="Times New Roman"/>
                <w:lang w:val="pt-PT"/>
              </w:rPr>
            </w:pPr>
          </w:p>
          <w:p w:rsidR="002178AE" w:rsidRPr="00FA3856" w:rsidRDefault="002178AE" w:rsidP="000B0C32">
            <w:pPr>
              <w:pStyle w:val="PSDS-CorpodeTexto0"/>
              <w:rPr>
                <w:rFonts w:ascii="Times New Roman" w:hAnsi="Times New Roman"/>
                <w:lang w:val="pt-PT"/>
              </w:rPr>
            </w:pPr>
            <w:r w:rsidRPr="00FA3856">
              <w:rPr>
                <w:rFonts w:ascii="Times New Roman" w:hAnsi="Times New Roman"/>
                <w:lang w:val="pt-PT"/>
              </w:rPr>
              <w:t>Erro</w:t>
            </w:r>
          </w:p>
          <w:p w:rsidR="005C1AF5" w:rsidRPr="00FA3856" w:rsidRDefault="005C1AF5" w:rsidP="000B0C32">
            <w:pPr>
              <w:pStyle w:val="PSDS-CorpodeTexto0"/>
              <w:rPr>
                <w:rFonts w:ascii="Times New Roman" w:hAnsi="Times New Roman"/>
                <w:lang w:val="pt-PT"/>
              </w:rPr>
            </w:pPr>
          </w:p>
        </w:tc>
      </w:tr>
    </w:tbl>
    <w:p w:rsidR="00644487" w:rsidRPr="00FA3856" w:rsidRDefault="00644487" w:rsidP="00644487">
      <w:pPr>
        <w:rPr>
          <w:b/>
          <w:color w:val="002060"/>
          <w:szCs w:val="20"/>
        </w:rPr>
      </w:pPr>
    </w:p>
    <w:p w:rsidR="00931A2A" w:rsidRDefault="00931A2A">
      <w:pPr>
        <w:spacing w:after="200" w:line="276" w:lineRule="auto"/>
        <w:rPr>
          <w:b/>
          <w:color w:val="002060"/>
          <w:szCs w:val="20"/>
        </w:rPr>
      </w:pPr>
      <w:r>
        <w:rPr>
          <w:b/>
          <w:color w:val="002060"/>
          <w:szCs w:val="20"/>
        </w:rPr>
        <w:br w:type="page"/>
      </w:r>
    </w:p>
    <w:p w:rsidR="00931A2A" w:rsidRDefault="005C1AF5" w:rsidP="00644487">
      <w:pPr>
        <w:rPr>
          <w:b/>
          <w:color w:val="002060"/>
          <w:szCs w:val="20"/>
        </w:rPr>
      </w:pPr>
      <w:r w:rsidRPr="00FA3856">
        <w:rPr>
          <w:b/>
          <w:color w:val="002060"/>
          <w:szCs w:val="20"/>
        </w:rPr>
        <w:lastRenderedPageBreak/>
        <w:t xml:space="preserve">Exemplo de Preenchimento: </w:t>
      </w:r>
    </w:p>
    <w:p w:rsidR="00931A2A" w:rsidRDefault="00931A2A" w:rsidP="00644487">
      <w:pPr>
        <w:rPr>
          <w:b/>
          <w:color w:val="002060"/>
          <w:szCs w:val="20"/>
        </w:rPr>
      </w:pPr>
    </w:p>
    <w:p w:rsidR="005C1AF5" w:rsidRPr="00FA3856" w:rsidRDefault="005C1AF5" w:rsidP="00644487">
      <w:pPr>
        <w:rPr>
          <w:b/>
          <w:color w:val="002060"/>
          <w:szCs w:val="20"/>
        </w:rPr>
      </w:pPr>
      <w:r w:rsidRPr="00FA3856">
        <w:rPr>
          <w:b/>
          <w:color w:val="002060"/>
          <w:szCs w:val="20"/>
        </w:rPr>
        <w:t>|</w:t>
      </w:r>
      <w:r w:rsidR="00672FA5" w:rsidRPr="00FA3856">
        <w:rPr>
          <w:b/>
          <w:color w:val="002060"/>
          <w:szCs w:val="20"/>
        </w:rPr>
        <w:t>Y62</w:t>
      </w:r>
      <w:r w:rsidRPr="00FA3856">
        <w:rPr>
          <w:b/>
          <w:color w:val="002060"/>
          <w:szCs w:val="20"/>
        </w:rPr>
        <w:t>0|</w:t>
      </w:r>
      <w:r w:rsidR="005358BF" w:rsidRPr="00FA3856">
        <w:rPr>
          <w:b/>
          <w:color w:val="002060"/>
          <w:szCs w:val="20"/>
        </w:rPr>
        <w:t>01012014|</w:t>
      </w:r>
      <w:r w:rsidR="000973E7" w:rsidRPr="00FA3856">
        <w:rPr>
          <w:b/>
          <w:color w:val="002060"/>
          <w:szCs w:val="20"/>
        </w:rPr>
        <w:t>1|105|44444444000191</w:t>
      </w:r>
      <w:r w:rsidRPr="00FA3856">
        <w:rPr>
          <w:b/>
          <w:color w:val="002060"/>
          <w:szCs w:val="20"/>
        </w:rPr>
        <w:t>|</w:t>
      </w:r>
      <w:r w:rsidR="00672FA5" w:rsidRPr="00FA3856">
        <w:rPr>
          <w:b/>
          <w:color w:val="002060"/>
          <w:szCs w:val="20"/>
        </w:rPr>
        <w:t>EMPRESA COLIGADA NO BRASIL|1</w:t>
      </w:r>
      <w:r w:rsidRPr="00FA3856">
        <w:rPr>
          <w:b/>
          <w:color w:val="002060"/>
          <w:szCs w:val="20"/>
        </w:rPr>
        <w:t>000000</w:t>
      </w:r>
      <w:r w:rsidR="00672FA5" w:rsidRPr="00FA3856">
        <w:rPr>
          <w:b/>
          <w:color w:val="002060"/>
          <w:szCs w:val="20"/>
        </w:rPr>
        <w:t>,00</w:t>
      </w:r>
      <w:r w:rsidRPr="00FA3856">
        <w:rPr>
          <w:b/>
          <w:color w:val="002060"/>
          <w:szCs w:val="20"/>
        </w:rPr>
        <w:t>|</w:t>
      </w:r>
      <w:r w:rsidR="000973E7" w:rsidRPr="00FA3856">
        <w:rPr>
          <w:b/>
          <w:color w:val="002060"/>
          <w:szCs w:val="20"/>
        </w:rPr>
        <w:t>300000,00|</w:t>
      </w:r>
      <w:r w:rsidR="00672FA5" w:rsidRPr="00FA3856">
        <w:rPr>
          <w:b/>
          <w:color w:val="002060"/>
          <w:szCs w:val="20"/>
        </w:rPr>
        <w:t>25,00</w:t>
      </w:r>
      <w:r w:rsidRPr="00FA3856">
        <w:rPr>
          <w:b/>
          <w:color w:val="002060"/>
          <w:szCs w:val="20"/>
        </w:rPr>
        <w:t>|</w:t>
      </w:r>
      <w:r w:rsidR="00672FA5" w:rsidRPr="00FA3856">
        <w:rPr>
          <w:b/>
          <w:color w:val="002060"/>
          <w:szCs w:val="20"/>
        </w:rPr>
        <w:t>30,00</w:t>
      </w:r>
      <w:r w:rsidRPr="00FA3856">
        <w:rPr>
          <w:b/>
          <w:color w:val="002060"/>
          <w:szCs w:val="20"/>
        </w:rPr>
        <w:t>|</w:t>
      </w:r>
      <w:r w:rsidR="00672FA5" w:rsidRPr="00FA3856">
        <w:rPr>
          <w:b/>
          <w:color w:val="002060"/>
          <w:szCs w:val="20"/>
        </w:rPr>
        <w:t>-100000,00</w:t>
      </w:r>
      <w:r w:rsidRPr="00FA3856">
        <w:rPr>
          <w:b/>
          <w:color w:val="002060"/>
          <w:szCs w:val="20"/>
        </w:rPr>
        <w:t>|</w:t>
      </w:r>
      <w:r w:rsidR="000973E7" w:rsidRPr="00FA3856">
        <w:rPr>
          <w:b/>
          <w:color w:val="002060"/>
          <w:szCs w:val="20"/>
        </w:rPr>
        <w:t>31102013</w:t>
      </w:r>
      <w:r w:rsidR="002178AE" w:rsidRPr="00FA3856">
        <w:rPr>
          <w:b/>
          <w:color w:val="002060"/>
          <w:szCs w:val="20"/>
        </w:rPr>
        <w:t>|N|||N||</w:t>
      </w:r>
    </w:p>
    <w:p w:rsidR="005C1AF5" w:rsidRPr="00FA3856" w:rsidRDefault="00672FA5" w:rsidP="005C1AF5">
      <w:pPr>
        <w:pStyle w:val="Corpodetexto"/>
        <w:ind w:left="708" w:firstLine="709"/>
        <w:rPr>
          <w:rFonts w:ascii="Times New Roman" w:hAnsi="Times New Roman"/>
          <w:color w:val="002060"/>
          <w:szCs w:val="20"/>
        </w:rPr>
      </w:pPr>
      <w:r w:rsidRPr="00FA3856">
        <w:rPr>
          <w:rFonts w:ascii="Times New Roman" w:hAnsi="Times New Roman"/>
          <w:color w:val="002060"/>
          <w:szCs w:val="20"/>
        </w:rPr>
        <w:t>|Y62</w:t>
      </w:r>
      <w:r w:rsidR="005C1AF5" w:rsidRPr="00FA3856">
        <w:rPr>
          <w:rFonts w:ascii="Times New Roman" w:hAnsi="Times New Roman"/>
          <w:color w:val="002060"/>
          <w:szCs w:val="20"/>
        </w:rPr>
        <w:t>0|: Identificação do tipo do registro.</w:t>
      </w:r>
    </w:p>
    <w:p w:rsidR="005358BF" w:rsidRPr="00FA3856" w:rsidRDefault="005358BF" w:rsidP="005C1AF5">
      <w:pPr>
        <w:pStyle w:val="Corpodetexto"/>
        <w:ind w:left="708" w:firstLine="709"/>
        <w:rPr>
          <w:rFonts w:ascii="Times New Roman" w:hAnsi="Times New Roman"/>
          <w:color w:val="002060"/>
          <w:szCs w:val="20"/>
        </w:rPr>
      </w:pPr>
      <w:r w:rsidRPr="00FA3856">
        <w:rPr>
          <w:rFonts w:ascii="Times New Roman" w:hAnsi="Times New Roman"/>
          <w:color w:val="002060"/>
          <w:szCs w:val="20"/>
        </w:rPr>
        <w:t>|01012014|: Data do evento.</w:t>
      </w:r>
    </w:p>
    <w:p w:rsidR="005358BF" w:rsidRPr="00FA3856" w:rsidRDefault="000973E7" w:rsidP="005C1AF5">
      <w:pPr>
        <w:pStyle w:val="Corpodetexto"/>
        <w:ind w:left="708" w:firstLine="709"/>
        <w:rPr>
          <w:rFonts w:ascii="Times New Roman" w:hAnsi="Times New Roman"/>
          <w:color w:val="002060"/>
          <w:szCs w:val="20"/>
        </w:rPr>
      </w:pPr>
      <w:r w:rsidRPr="00FA3856">
        <w:rPr>
          <w:rFonts w:ascii="Times New Roman" w:hAnsi="Times New Roman"/>
          <w:color w:val="002060"/>
          <w:szCs w:val="20"/>
        </w:rPr>
        <w:t xml:space="preserve">|1|: </w:t>
      </w:r>
      <w:r w:rsidR="00DF20F8" w:rsidRPr="00FA3856">
        <w:rPr>
          <w:rFonts w:ascii="Times New Roman" w:hAnsi="Times New Roman"/>
          <w:color w:val="002060"/>
          <w:szCs w:val="20"/>
        </w:rPr>
        <w:t>Indicador</w:t>
      </w:r>
      <w:r w:rsidRPr="00FA3856">
        <w:rPr>
          <w:rFonts w:ascii="Times New Roman" w:hAnsi="Times New Roman"/>
          <w:color w:val="002060"/>
          <w:szCs w:val="20"/>
        </w:rPr>
        <w:t xml:space="preserve"> do tipo de relacionamento (1 = Controle).</w:t>
      </w:r>
    </w:p>
    <w:p w:rsidR="000973E7" w:rsidRPr="00FA3856" w:rsidRDefault="000973E7" w:rsidP="000973E7">
      <w:pPr>
        <w:ind w:left="708" w:firstLine="708"/>
        <w:rPr>
          <w:color w:val="002060"/>
          <w:szCs w:val="20"/>
        </w:rPr>
      </w:pPr>
      <w:r w:rsidRPr="00FA3856">
        <w:rPr>
          <w:color w:val="002060"/>
          <w:szCs w:val="20"/>
        </w:rPr>
        <w:t>|105|: País da coligada ou controlada (Brasil).</w:t>
      </w:r>
    </w:p>
    <w:p w:rsidR="005C1AF5" w:rsidRPr="00FA3856" w:rsidRDefault="005C1AF5" w:rsidP="005C1AF5">
      <w:pPr>
        <w:pStyle w:val="Corpodetexto"/>
        <w:ind w:left="708" w:firstLine="709"/>
        <w:rPr>
          <w:rFonts w:ascii="Times New Roman" w:hAnsi="Times New Roman"/>
          <w:color w:val="002060"/>
          <w:szCs w:val="20"/>
        </w:rPr>
      </w:pPr>
      <w:r w:rsidRPr="00FA3856">
        <w:rPr>
          <w:rFonts w:ascii="Times New Roman" w:hAnsi="Times New Roman"/>
          <w:color w:val="002060"/>
          <w:szCs w:val="20"/>
        </w:rPr>
        <w:t xml:space="preserve">|44444444000191|: CNPJ </w:t>
      </w:r>
      <w:r w:rsidR="00672FA5" w:rsidRPr="00FA3856">
        <w:rPr>
          <w:rFonts w:ascii="Times New Roman" w:hAnsi="Times New Roman"/>
          <w:color w:val="002060"/>
          <w:szCs w:val="20"/>
        </w:rPr>
        <w:t>da coligada ou controlada</w:t>
      </w:r>
      <w:r w:rsidRPr="00FA3856">
        <w:rPr>
          <w:rFonts w:ascii="Times New Roman" w:hAnsi="Times New Roman"/>
          <w:color w:val="002060"/>
          <w:szCs w:val="20"/>
        </w:rPr>
        <w:t xml:space="preserve"> (44.444.444/0001-91).</w:t>
      </w:r>
    </w:p>
    <w:p w:rsidR="005C1AF5" w:rsidRPr="00FA3856" w:rsidRDefault="005C1AF5" w:rsidP="005C1AF5">
      <w:pPr>
        <w:rPr>
          <w:color w:val="002060"/>
          <w:szCs w:val="20"/>
        </w:rPr>
      </w:pPr>
      <w:r w:rsidRPr="00FA3856">
        <w:rPr>
          <w:b/>
          <w:color w:val="002060"/>
          <w:szCs w:val="20"/>
        </w:rPr>
        <w:tab/>
      </w:r>
      <w:r w:rsidRPr="00FA3856">
        <w:rPr>
          <w:b/>
          <w:color w:val="002060"/>
          <w:szCs w:val="20"/>
        </w:rPr>
        <w:tab/>
      </w:r>
      <w:r w:rsidRPr="00FA3856">
        <w:rPr>
          <w:color w:val="002060"/>
          <w:szCs w:val="20"/>
        </w:rPr>
        <w:t>|</w:t>
      </w:r>
      <w:r w:rsidR="00672FA5" w:rsidRPr="00FA3856">
        <w:rPr>
          <w:color w:val="002060"/>
          <w:szCs w:val="20"/>
        </w:rPr>
        <w:t>EMPRESA COLIGADA NO BRASIL</w:t>
      </w:r>
      <w:r w:rsidRPr="00FA3856">
        <w:rPr>
          <w:color w:val="002060"/>
          <w:szCs w:val="20"/>
        </w:rPr>
        <w:t xml:space="preserve">|: </w:t>
      </w:r>
      <w:r w:rsidR="00672FA5" w:rsidRPr="00FA3856">
        <w:rPr>
          <w:color w:val="002060"/>
          <w:szCs w:val="20"/>
        </w:rPr>
        <w:t>Nome empresarial da coligada ou controlada.</w:t>
      </w:r>
    </w:p>
    <w:p w:rsidR="005C1AF5" w:rsidRPr="00FA3856" w:rsidRDefault="005C1AF5" w:rsidP="005C1AF5">
      <w:pPr>
        <w:rPr>
          <w:color w:val="002060"/>
          <w:szCs w:val="20"/>
        </w:rPr>
      </w:pPr>
      <w:r w:rsidRPr="00FA3856">
        <w:rPr>
          <w:color w:val="002060"/>
          <w:szCs w:val="20"/>
        </w:rPr>
        <w:tab/>
      </w:r>
      <w:r w:rsidRPr="00FA3856">
        <w:rPr>
          <w:color w:val="002060"/>
          <w:szCs w:val="20"/>
        </w:rPr>
        <w:tab/>
        <w:t>|</w:t>
      </w:r>
      <w:r w:rsidR="00672FA5" w:rsidRPr="00FA3856">
        <w:rPr>
          <w:color w:val="002060"/>
          <w:szCs w:val="20"/>
        </w:rPr>
        <w:t>1000000,0</w:t>
      </w:r>
      <w:r w:rsidRPr="00FA3856">
        <w:rPr>
          <w:color w:val="002060"/>
          <w:szCs w:val="20"/>
        </w:rPr>
        <w:t xml:space="preserve">0|: </w:t>
      </w:r>
      <w:r w:rsidR="00672FA5" w:rsidRPr="00FA3856">
        <w:rPr>
          <w:color w:val="002060"/>
          <w:szCs w:val="20"/>
        </w:rPr>
        <w:t xml:space="preserve">Valor total da participação </w:t>
      </w:r>
      <w:r w:rsidR="000973E7" w:rsidRPr="00FA3856">
        <w:rPr>
          <w:color w:val="002060"/>
          <w:szCs w:val="20"/>
        </w:rPr>
        <w:t xml:space="preserve">em reais </w:t>
      </w:r>
      <w:r w:rsidR="00672FA5" w:rsidRPr="00FA3856">
        <w:rPr>
          <w:color w:val="002060"/>
          <w:szCs w:val="20"/>
        </w:rPr>
        <w:t>(R$ 1</w:t>
      </w:r>
      <w:r w:rsidRPr="00FA3856">
        <w:rPr>
          <w:color w:val="002060"/>
          <w:szCs w:val="20"/>
        </w:rPr>
        <w:t>.000.000,00).</w:t>
      </w:r>
    </w:p>
    <w:p w:rsidR="000973E7" w:rsidRPr="00FA3856" w:rsidRDefault="000973E7" w:rsidP="000973E7">
      <w:pPr>
        <w:ind w:left="708" w:firstLine="708"/>
        <w:rPr>
          <w:color w:val="002060"/>
          <w:szCs w:val="20"/>
        </w:rPr>
      </w:pPr>
      <w:r w:rsidRPr="00FA3856">
        <w:rPr>
          <w:color w:val="002060"/>
          <w:szCs w:val="20"/>
        </w:rPr>
        <w:t>|300000,00|: Valor total da participação moeda original do país da empresa investida (R$ 300.000,00).</w:t>
      </w:r>
    </w:p>
    <w:p w:rsidR="005C1AF5" w:rsidRPr="00FA3856" w:rsidRDefault="005C1AF5" w:rsidP="005C1AF5">
      <w:pPr>
        <w:rPr>
          <w:color w:val="002060"/>
          <w:szCs w:val="20"/>
        </w:rPr>
      </w:pPr>
      <w:r w:rsidRPr="00FA3856">
        <w:rPr>
          <w:color w:val="002060"/>
          <w:szCs w:val="20"/>
        </w:rPr>
        <w:tab/>
      </w:r>
      <w:r w:rsidRPr="00FA3856">
        <w:rPr>
          <w:color w:val="002060"/>
          <w:szCs w:val="20"/>
        </w:rPr>
        <w:tab/>
        <w:t>|</w:t>
      </w:r>
      <w:r w:rsidR="00672FA5" w:rsidRPr="00FA3856">
        <w:rPr>
          <w:color w:val="002060"/>
          <w:szCs w:val="20"/>
        </w:rPr>
        <w:t>25,00</w:t>
      </w:r>
      <w:r w:rsidRPr="00FA3856">
        <w:rPr>
          <w:color w:val="002060"/>
          <w:szCs w:val="20"/>
        </w:rPr>
        <w:t xml:space="preserve">|: </w:t>
      </w:r>
      <w:r w:rsidR="00672FA5" w:rsidRPr="00FA3856">
        <w:rPr>
          <w:color w:val="002060"/>
          <w:szCs w:val="20"/>
        </w:rPr>
        <w:t>Percentual de participação no capital total</w:t>
      </w:r>
      <w:r w:rsidRPr="00FA3856">
        <w:rPr>
          <w:color w:val="002060"/>
          <w:szCs w:val="20"/>
        </w:rPr>
        <w:t xml:space="preserve"> (</w:t>
      </w:r>
      <w:r w:rsidR="00672FA5" w:rsidRPr="00FA3856">
        <w:rPr>
          <w:color w:val="002060"/>
          <w:szCs w:val="20"/>
        </w:rPr>
        <w:t>25%</w:t>
      </w:r>
      <w:r w:rsidRPr="00FA3856">
        <w:rPr>
          <w:color w:val="002060"/>
          <w:szCs w:val="20"/>
        </w:rPr>
        <w:t>).</w:t>
      </w:r>
    </w:p>
    <w:p w:rsidR="005C1AF5" w:rsidRPr="00FA3856" w:rsidRDefault="005C1AF5" w:rsidP="005C1AF5">
      <w:pPr>
        <w:rPr>
          <w:color w:val="002060"/>
          <w:szCs w:val="20"/>
        </w:rPr>
      </w:pPr>
      <w:r w:rsidRPr="00FA3856">
        <w:rPr>
          <w:color w:val="002060"/>
          <w:szCs w:val="20"/>
        </w:rPr>
        <w:tab/>
      </w:r>
      <w:r w:rsidRPr="00FA3856">
        <w:rPr>
          <w:color w:val="002060"/>
          <w:szCs w:val="20"/>
        </w:rPr>
        <w:tab/>
      </w:r>
      <w:r w:rsidR="00672FA5" w:rsidRPr="00FA3856">
        <w:rPr>
          <w:color w:val="002060"/>
          <w:szCs w:val="20"/>
        </w:rPr>
        <w:t>|30,00|: Percentual de participação no capital votante (30%).</w:t>
      </w:r>
    </w:p>
    <w:p w:rsidR="00672FA5" w:rsidRPr="00FA3856" w:rsidRDefault="00672FA5" w:rsidP="005C1AF5">
      <w:pPr>
        <w:rPr>
          <w:color w:val="002060"/>
          <w:szCs w:val="20"/>
        </w:rPr>
      </w:pPr>
      <w:r w:rsidRPr="00FA3856">
        <w:rPr>
          <w:color w:val="002060"/>
          <w:szCs w:val="20"/>
        </w:rPr>
        <w:tab/>
      </w:r>
      <w:r w:rsidRPr="00FA3856">
        <w:rPr>
          <w:color w:val="002060"/>
          <w:szCs w:val="20"/>
        </w:rPr>
        <w:tab/>
        <w:t>|-100000,00|: Resultado da equivalência patrimonial (perda de R$ 100.000,00).</w:t>
      </w:r>
    </w:p>
    <w:p w:rsidR="002178AE" w:rsidRPr="00FA3856" w:rsidRDefault="000973E7" w:rsidP="005C1AF5">
      <w:pPr>
        <w:rPr>
          <w:color w:val="002060"/>
          <w:szCs w:val="20"/>
        </w:rPr>
      </w:pPr>
      <w:r w:rsidRPr="00FA3856">
        <w:rPr>
          <w:color w:val="002060"/>
          <w:szCs w:val="20"/>
        </w:rPr>
        <w:tab/>
      </w:r>
      <w:r w:rsidRPr="00FA3856">
        <w:rPr>
          <w:color w:val="002060"/>
          <w:szCs w:val="20"/>
        </w:rPr>
        <w:tab/>
        <w:t>|31</w:t>
      </w:r>
      <w:r w:rsidR="002178AE" w:rsidRPr="00FA3856">
        <w:rPr>
          <w:color w:val="002060"/>
          <w:szCs w:val="20"/>
        </w:rPr>
        <w:t>1</w:t>
      </w:r>
      <w:r w:rsidRPr="00FA3856">
        <w:rPr>
          <w:color w:val="002060"/>
          <w:szCs w:val="20"/>
        </w:rPr>
        <w:t>0</w:t>
      </w:r>
      <w:r w:rsidR="002178AE" w:rsidRPr="00FA3856">
        <w:rPr>
          <w:color w:val="002060"/>
          <w:szCs w:val="20"/>
        </w:rPr>
        <w:t xml:space="preserve">2014|: Data </w:t>
      </w:r>
      <w:r w:rsidRPr="00FA3856">
        <w:rPr>
          <w:color w:val="002060"/>
          <w:szCs w:val="20"/>
        </w:rPr>
        <w:t>da aquisição da participação (31/</w:t>
      </w:r>
      <w:r w:rsidR="002178AE" w:rsidRPr="00FA3856">
        <w:rPr>
          <w:color w:val="002060"/>
          <w:szCs w:val="20"/>
        </w:rPr>
        <w:t>1</w:t>
      </w:r>
      <w:r w:rsidR="00B0643E">
        <w:rPr>
          <w:color w:val="002060"/>
          <w:szCs w:val="20"/>
        </w:rPr>
        <w:t>0/2014</w:t>
      </w:r>
      <w:r w:rsidR="002178AE" w:rsidRPr="00FA3856">
        <w:rPr>
          <w:color w:val="002060"/>
          <w:szCs w:val="20"/>
        </w:rPr>
        <w:t>).</w:t>
      </w:r>
    </w:p>
    <w:p w:rsidR="002178AE" w:rsidRPr="00FA3856" w:rsidRDefault="002178AE" w:rsidP="005C1AF5">
      <w:pPr>
        <w:rPr>
          <w:color w:val="002060"/>
          <w:szCs w:val="20"/>
        </w:rPr>
      </w:pPr>
      <w:r w:rsidRPr="00FA3856">
        <w:rPr>
          <w:color w:val="002060"/>
          <w:szCs w:val="20"/>
        </w:rPr>
        <w:tab/>
      </w:r>
      <w:r w:rsidRPr="00FA3856">
        <w:rPr>
          <w:color w:val="002060"/>
          <w:szCs w:val="20"/>
        </w:rPr>
        <w:tab/>
        <w:t>|N|: Não houve sumário do laudo de avaliação registrado em cartório.</w:t>
      </w:r>
    </w:p>
    <w:p w:rsidR="002178AE" w:rsidRPr="00FA3856" w:rsidRDefault="002178AE" w:rsidP="005C1AF5">
      <w:pPr>
        <w:rPr>
          <w:color w:val="002060"/>
          <w:szCs w:val="20"/>
        </w:rPr>
      </w:pPr>
      <w:r w:rsidRPr="00FA3856">
        <w:rPr>
          <w:color w:val="002060"/>
          <w:szCs w:val="20"/>
        </w:rPr>
        <w:tab/>
      </w:r>
      <w:r w:rsidRPr="00FA3856">
        <w:rPr>
          <w:color w:val="002060"/>
          <w:szCs w:val="20"/>
        </w:rPr>
        <w:tab/>
        <w:t>||: Não há número do registro em cartório.</w:t>
      </w:r>
    </w:p>
    <w:p w:rsidR="002178AE" w:rsidRPr="00FA3856" w:rsidRDefault="002178AE" w:rsidP="005C1AF5">
      <w:pPr>
        <w:rPr>
          <w:color w:val="002060"/>
          <w:szCs w:val="20"/>
        </w:rPr>
      </w:pPr>
      <w:r w:rsidRPr="00FA3856">
        <w:rPr>
          <w:color w:val="002060"/>
          <w:szCs w:val="20"/>
        </w:rPr>
        <w:tab/>
      </w:r>
      <w:r w:rsidRPr="00FA3856">
        <w:rPr>
          <w:color w:val="002060"/>
          <w:szCs w:val="20"/>
        </w:rPr>
        <w:tab/>
        <w:t>||: Não há nome do cartório.</w:t>
      </w:r>
    </w:p>
    <w:p w:rsidR="002178AE" w:rsidRPr="00FA3856" w:rsidRDefault="002178AE" w:rsidP="005C1AF5">
      <w:pPr>
        <w:rPr>
          <w:color w:val="002060"/>
          <w:szCs w:val="20"/>
        </w:rPr>
      </w:pPr>
      <w:r w:rsidRPr="00FA3856">
        <w:rPr>
          <w:color w:val="002060"/>
          <w:szCs w:val="20"/>
        </w:rPr>
        <w:tab/>
      </w:r>
      <w:r w:rsidRPr="00FA3856">
        <w:rPr>
          <w:color w:val="002060"/>
          <w:szCs w:val="20"/>
        </w:rPr>
        <w:tab/>
        <w:t>|N|: Não houve laudo de avaliação protocolado na RFB.</w:t>
      </w:r>
    </w:p>
    <w:p w:rsidR="002178AE" w:rsidRPr="00FA3856" w:rsidRDefault="002178AE" w:rsidP="005C1AF5">
      <w:pPr>
        <w:rPr>
          <w:color w:val="002060"/>
          <w:szCs w:val="20"/>
        </w:rPr>
      </w:pPr>
      <w:r w:rsidRPr="00FA3856">
        <w:rPr>
          <w:color w:val="002060"/>
          <w:szCs w:val="20"/>
        </w:rPr>
        <w:tab/>
      </w:r>
      <w:r w:rsidRPr="00FA3856">
        <w:rPr>
          <w:color w:val="002060"/>
          <w:szCs w:val="20"/>
        </w:rPr>
        <w:tab/>
        <w:t>||: Não há número de processo na RFB.</w:t>
      </w:r>
    </w:p>
    <w:p w:rsidR="00A70CD2" w:rsidRPr="00FA3856" w:rsidRDefault="00A70CD2" w:rsidP="00A70CD2">
      <w:pPr>
        <w:rPr>
          <w:szCs w:val="20"/>
        </w:rPr>
      </w:pPr>
    </w:p>
    <w:p w:rsidR="00A70CD2" w:rsidRPr="00FA3856" w:rsidRDefault="00A70CD2">
      <w:pPr>
        <w:rPr>
          <w:b/>
          <w:bCs/>
          <w:color w:val="0000FF"/>
          <w:szCs w:val="20"/>
        </w:rPr>
      </w:pPr>
      <w:r w:rsidRPr="00FA3856">
        <w:rPr>
          <w:color w:val="0000FF"/>
          <w:szCs w:val="20"/>
        </w:rPr>
        <w:br w:type="page"/>
      </w:r>
    </w:p>
    <w:p w:rsidR="00075992" w:rsidRPr="00FA3856" w:rsidRDefault="00075992" w:rsidP="00867F54">
      <w:pPr>
        <w:pStyle w:val="Ttulo4"/>
      </w:pPr>
      <w:bookmarkStart w:id="433" w:name="_Toc479713833"/>
      <w:r w:rsidRPr="00FA3856">
        <w:lastRenderedPageBreak/>
        <w:t>Registro Y630: Fundos/Clubes de Investimento</w:t>
      </w:r>
      <w:bookmarkEnd w:id="433"/>
    </w:p>
    <w:p w:rsidR="00075992" w:rsidRPr="00FA3856" w:rsidRDefault="00075992" w:rsidP="00075992">
      <w:pPr>
        <w:rPr>
          <w:szCs w:val="20"/>
        </w:rPr>
      </w:pPr>
    </w:p>
    <w:p w:rsidR="003934AA" w:rsidRPr="00FA3856" w:rsidRDefault="003934AA" w:rsidP="003934AA">
      <w:pPr>
        <w:rPr>
          <w:szCs w:val="20"/>
        </w:rPr>
      </w:pPr>
      <w:r w:rsidRPr="00FA3856">
        <w:rPr>
          <w:szCs w:val="20"/>
        </w:rPr>
        <w:tab/>
        <w:t>Este registro deve ser preenchido pelas pessoas jurídicas administradoras de fundos ou clubes de investimento, e pelos fundos de investimento imobiliário de que trata a Lei n</w:t>
      </w:r>
      <w:r w:rsidRPr="00FA3856">
        <w:rPr>
          <w:szCs w:val="20"/>
          <w:u w:val="single"/>
          <w:vertAlign w:val="superscript"/>
        </w:rPr>
        <w:t>o</w:t>
      </w:r>
      <w:r w:rsidRPr="00FA3856">
        <w:rPr>
          <w:szCs w:val="20"/>
        </w:rPr>
        <w:t xml:space="preserve"> 8.668, de 25 de junho de 1993, alterada pelos arts. 2</w:t>
      </w:r>
      <w:r w:rsidRPr="00FA3856">
        <w:rPr>
          <w:szCs w:val="20"/>
          <w:u w:val="single"/>
          <w:vertAlign w:val="superscript"/>
        </w:rPr>
        <w:t>o</w:t>
      </w:r>
      <w:r w:rsidRPr="00FA3856">
        <w:rPr>
          <w:szCs w:val="20"/>
        </w:rPr>
        <w:t xml:space="preserve"> a 4</w:t>
      </w:r>
      <w:r w:rsidRPr="00FA3856">
        <w:rPr>
          <w:szCs w:val="20"/>
          <w:u w:val="single"/>
          <w:vertAlign w:val="superscript"/>
        </w:rPr>
        <w:t>o</w:t>
      </w:r>
      <w:r w:rsidRPr="00FA3856">
        <w:rPr>
          <w:szCs w:val="20"/>
        </w:rPr>
        <w:t xml:space="preserve"> e 22 da Lei n</w:t>
      </w:r>
      <w:r w:rsidRPr="00FA3856">
        <w:rPr>
          <w:szCs w:val="20"/>
          <w:u w:val="single"/>
          <w:vertAlign w:val="superscript"/>
        </w:rPr>
        <w:t>o</w:t>
      </w:r>
      <w:r w:rsidRPr="00FA3856">
        <w:rPr>
          <w:szCs w:val="20"/>
        </w:rPr>
        <w:t xml:space="preserve"> 9.779, de 19 de janeiro de 1999.</w:t>
      </w:r>
    </w:p>
    <w:p w:rsidR="00983CEC" w:rsidRDefault="00983CEC" w:rsidP="00983CEC">
      <w:pPr>
        <w:pStyle w:val="PSDS-MarcadoresNivel4"/>
        <w:tabs>
          <w:tab w:val="clear" w:pos="2271"/>
          <w:tab w:val="left" w:pos="720"/>
        </w:tabs>
        <w:spacing w:before="0" w:after="0"/>
        <w:ind w:left="0" w:firstLine="0"/>
        <w:jc w:val="center"/>
        <w:rPr>
          <w:rFonts w:ascii="Times New Roman" w:hAnsi="Times New Roman" w:cs="Times New Roman"/>
          <w:szCs w:val="20"/>
          <w:lang w:val="pt-PT"/>
        </w:rPr>
      </w:pPr>
    </w:p>
    <w:p w:rsidR="00D7606A" w:rsidRDefault="00B35FA3" w:rsidP="00983CEC">
      <w:pPr>
        <w:pStyle w:val="PSDS-MarcadoresNivel4"/>
        <w:tabs>
          <w:tab w:val="clear" w:pos="2271"/>
          <w:tab w:val="left" w:pos="720"/>
        </w:tabs>
        <w:spacing w:before="0" w:after="0"/>
        <w:ind w:left="0" w:firstLine="0"/>
        <w:jc w:val="center"/>
        <w:rPr>
          <w:rFonts w:ascii="Times New Roman" w:hAnsi="Times New Roman" w:cs="Times New Roman"/>
          <w:szCs w:val="20"/>
          <w:lang w:val="pt-PT"/>
        </w:rPr>
      </w:pPr>
      <w:r>
        <w:rPr>
          <w:rFonts w:ascii="Times New Roman" w:hAnsi="Times New Roman" w:cs="Times New Roman"/>
          <w:szCs w:val="20"/>
          <w:lang w:val="pt-PT"/>
        </w:rPr>
        <w:object w:dxaOrig="14835" w:dyaOrig="7605">
          <v:shape id="_x0000_i2076" type="#_x0000_t75" style="width:792.75pt;height:369.75pt" o:ole="">
            <v:imagedata r:id="rId868" o:title=""/>
          </v:shape>
          <o:OLEObject Type="Link" ProgID="Excel.Sheet.12" ShapeID="_x0000_i2076" DrawAspect="Content" r:id="rId869" UpdateMode="Always">
            <o:LinkType>EnhancedMetaFile</o:LinkType>
            <o:LockedField>false</o:LockedField>
          </o:OLEObject>
        </w:object>
      </w:r>
    </w:p>
    <w:p w:rsidR="00D7606A" w:rsidRDefault="00D7606A" w:rsidP="00814E97">
      <w:pPr>
        <w:pStyle w:val="PSDS-MarcadoresNivel4"/>
        <w:tabs>
          <w:tab w:val="clear" w:pos="2271"/>
          <w:tab w:val="left" w:pos="720"/>
        </w:tabs>
        <w:spacing w:before="0" w:after="0"/>
        <w:ind w:left="0" w:firstLine="0"/>
        <w:rPr>
          <w:rFonts w:ascii="Times New Roman" w:hAnsi="Times New Roman" w:cs="Times New Roman"/>
          <w:szCs w:val="20"/>
          <w:lang w:val="pt-PT"/>
        </w:rPr>
      </w:pPr>
    </w:p>
    <w:p w:rsidR="00D7606A" w:rsidRDefault="00D7606A" w:rsidP="00814E97">
      <w:pPr>
        <w:pStyle w:val="PSDS-MarcadoresNivel4"/>
        <w:tabs>
          <w:tab w:val="clear" w:pos="2271"/>
          <w:tab w:val="left" w:pos="720"/>
        </w:tabs>
        <w:spacing w:before="0" w:after="0"/>
        <w:ind w:left="0" w:firstLine="0"/>
        <w:rPr>
          <w:rFonts w:ascii="Times New Roman" w:hAnsi="Times New Roman" w:cs="Times New Roman"/>
          <w:szCs w:val="20"/>
          <w:lang w:val="pt-PT"/>
        </w:rPr>
      </w:pPr>
    </w:p>
    <w:p w:rsidR="00D7606A" w:rsidRDefault="00D7606A" w:rsidP="00814E97">
      <w:pPr>
        <w:pStyle w:val="PSDS-MarcadoresNivel4"/>
        <w:tabs>
          <w:tab w:val="clear" w:pos="2271"/>
          <w:tab w:val="left" w:pos="720"/>
        </w:tabs>
        <w:spacing w:before="0" w:after="0"/>
        <w:ind w:left="0" w:firstLine="0"/>
        <w:rPr>
          <w:rFonts w:ascii="Times New Roman" w:hAnsi="Times New Roman" w:cs="Times New Roman"/>
          <w:szCs w:val="20"/>
          <w:lang w:val="pt-PT"/>
        </w:rPr>
      </w:pPr>
    </w:p>
    <w:p w:rsidR="00D7606A" w:rsidRDefault="00B35FA3" w:rsidP="00D7606A">
      <w:pPr>
        <w:pStyle w:val="PSDS-MarcadoresNivel4"/>
        <w:tabs>
          <w:tab w:val="clear" w:pos="2271"/>
          <w:tab w:val="left" w:pos="720"/>
        </w:tabs>
        <w:spacing w:before="0" w:after="0"/>
        <w:ind w:left="0" w:firstLine="0"/>
        <w:jc w:val="center"/>
        <w:rPr>
          <w:rFonts w:ascii="Times New Roman" w:hAnsi="Times New Roman" w:cs="Times New Roman"/>
          <w:szCs w:val="20"/>
          <w:lang w:val="pt-PT"/>
        </w:rPr>
      </w:pPr>
      <w:r>
        <w:rPr>
          <w:rFonts w:ascii="Times New Roman" w:hAnsi="Times New Roman" w:cs="Times New Roman"/>
          <w:szCs w:val="20"/>
          <w:lang w:val="pt-PT"/>
        </w:rPr>
        <w:object w:dxaOrig="14835" w:dyaOrig="1065">
          <v:shape id="_x0000_i2078" type="#_x0000_t75" style="width:792.75pt;height:51pt" o:ole="">
            <v:imagedata r:id="rId870" o:title=""/>
          </v:shape>
          <o:OLEObject Type="Link" ProgID="Excel.Sheet.12" ShapeID="_x0000_i2078" DrawAspect="Content" r:id="rId871" UpdateMode="Always">
            <o:LinkType>EnhancedMetaFile</o:LinkType>
            <o:LockedField>false</o:LockedField>
          </o:OLEObject>
        </w:object>
      </w:r>
    </w:p>
    <w:p w:rsidR="00D7606A" w:rsidRDefault="00D7606A" w:rsidP="00814E97">
      <w:pPr>
        <w:pStyle w:val="PSDS-MarcadoresNivel4"/>
        <w:tabs>
          <w:tab w:val="clear" w:pos="2271"/>
          <w:tab w:val="left" w:pos="720"/>
        </w:tabs>
        <w:spacing w:before="0" w:after="0"/>
        <w:ind w:left="0" w:firstLine="0"/>
        <w:rPr>
          <w:rFonts w:ascii="Times New Roman" w:hAnsi="Times New Roman" w:cs="Times New Roman"/>
          <w:szCs w:val="20"/>
          <w:lang w:val="pt-PT"/>
        </w:rPr>
      </w:pPr>
    </w:p>
    <w:p w:rsidR="00814E97" w:rsidRPr="00FA3856" w:rsidRDefault="00814E97" w:rsidP="00814E97">
      <w:pPr>
        <w:pStyle w:val="PSDS-MarcadoresNivel4"/>
        <w:tabs>
          <w:tab w:val="clear" w:pos="2271"/>
          <w:tab w:val="left" w:pos="720"/>
        </w:tabs>
        <w:spacing w:before="0" w:after="0"/>
        <w:ind w:left="0" w:firstLine="0"/>
        <w:rPr>
          <w:rFonts w:ascii="Times New Roman" w:hAnsi="Times New Roman" w:cs="Times New Roman"/>
          <w:szCs w:val="20"/>
          <w:lang w:val="pt-PT"/>
        </w:rPr>
      </w:pPr>
      <w:r w:rsidRPr="00FA3856">
        <w:rPr>
          <w:rFonts w:ascii="Times New Roman" w:hAnsi="Times New Roman" w:cs="Times New Roman"/>
          <w:szCs w:val="20"/>
          <w:lang w:val="pt-PT"/>
        </w:rPr>
        <w:t>I – Regras de Validação de Campos:</w:t>
      </w:r>
    </w:p>
    <w:p w:rsidR="00814E97" w:rsidRPr="00FA3856" w:rsidRDefault="00814E97" w:rsidP="00814E97">
      <w:pPr>
        <w:pStyle w:val="PSDS-MarcadoresNivel4"/>
        <w:tabs>
          <w:tab w:val="clear" w:pos="2271"/>
          <w:tab w:val="left" w:pos="720"/>
        </w:tabs>
        <w:spacing w:before="0" w:after="0"/>
        <w:ind w:left="0" w:firstLine="0"/>
        <w:rPr>
          <w:rFonts w:ascii="Times New Roman" w:hAnsi="Times New Roman" w:cs="Times New Roman"/>
          <w:szCs w:val="20"/>
          <w:lang w:val="pt-PT"/>
        </w:rPr>
      </w:pPr>
    </w:p>
    <w:tbl>
      <w:tblPr>
        <w:tblW w:w="16370"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85"/>
        <w:gridCol w:w="3000"/>
        <w:gridCol w:w="12168"/>
        <w:gridCol w:w="717"/>
      </w:tblGrid>
      <w:tr w:rsidR="00814E97" w:rsidRPr="00FA3856" w:rsidTr="00BB2C36">
        <w:trPr>
          <w:tblHeader/>
          <w:jc w:val="center"/>
        </w:trPr>
        <w:tc>
          <w:tcPr>
            <w:tcW w:w="485" w:type="dxa"/>
            <w:tcBorders>
              <w:top w:val="single" w:sz="6" w:space="0" w:color="auto"/>
              <w:left w:val="single" w:sz="6" w:space="0" w:color="auto"/>
              <w:bottom w:val="single" w:sz="6" w:space="0" w:color="auto"/>
              <w:right w:val="single" w:sz="6" w:space="0" w:color="auto"/>
            </w:tcBorders>
            <w:shd w:val="pct10" w:color="auto" w:fill="FFFFFF"/>
          </w:tcPr>
          <w:p w:rsidR="00814E97" w:rsidRPr="00FA3856" w:rsidRDefault="00814E97" w:rsidP="00A70CD2">
            <w:pPr>
              <w:pStyle w:val="PSDS-CorpodeTexto0"/>
              <w:jc w:val="center"/>
              <w:rPr>
                <w:rFonts w:ascii="Times New Roman" w:hAnsi="Times New Roman"/>
                <w:b/>
                <w:bCs/>
              </w:rPr>
            </w:pPr>
            <w:r w:rsidRPr="00FA3856">
              <w:rPr>
                <w:rFonts w:ascii="Times New Roman" w:hAnsi="Times New Roman"/>
                <w:b/>
                <w:bCs/>
              </w:rPr>
              <w:t>Nº</w:t>
            </w:r>
          </w:p>
        </w:tc>
        <w:tc>
          <w:tcPr>
            <w:tcW w:w="3000" w:type="dxa"/>
            <w:tcBorders>
              <w:top w:val="single" w:sz="6" w:space="0" w:color="auto"/>
              <w:left w:val="single" w:sz="6" w:space="0" w:color="auto"/>
              <w:bottom w:val="single" w:sz="6" w:space="0" w:color="auto"/>
              <w:right w:val="single" w:sz="6" w:space="0" w:color="auto"/>
            </w:tcBorders>
            <w:shd w:val="pct10" w:color="auto" w:fill="FFFFFF"/>
          </w:tcPr>
          <w:p w:rsidR="00814E97" w:rsidRPr="00FA3856" w:rsidRDefault="00814E97" w:rsidP="00A70CD2">
            <w:pPr>
              <w:pStyle w:val="PSDS-CorpodeTexto0"/>
              <w:jc w:val="center"/>
              <w:rPr>
                <w:rFonts w:ascii="Times New Roman" w:hAnsi="Times New Roman"/>
                <w:b/>
                <w:bCs/>
              </w:rPr>
            </w:pPr>
            <w:r w:rsidRPr="00FA3856">
              <w:rPr>
                <w:rFonts w:ascii="Times New Roman" w:hAnsi="Times New Roman"/>
                <w:b/>
                <w:bCs/>
              </w:rPr>
              <w:t>Campo</w:t>
            </w:r>
          </w:p>
        </w:tc>
        <w:tc>
          <w:tcPr>
            <w:tcW w:w="12168" w:type="dxa"/>
            <w:tcBorders>
              <w:top w:val="single" w:sz="6" w:space="0" w:color="auto"/>
              <w:left w:val="single" w:sz="6" w:space="0" w:color="auto"/>
              <w:bottom w:val="single" w:sz="6" w:space="0" w:color="auto"/>
              <w:right w:val="single" w:sz="6" w:space="0" w:color="auto"/>
            </w:tcBorders>
            <w:shd w:val="pct10" w:color="auto" w:fill="FFFFFF"/>
          </w:tcPr>
          <w:p w:rsidR="00814E97" w:rsidRPr="00FA3856" w:rsidRDefault="00814E97" w:rsidP="00A70CD2">
            <w:pPr>
              <w:pStyle w:val="PSDS-CorpodeTexto0"/>
              <w:jc w:val="center"/>
              <w:rPr>
                <w:rFonts w:ascii="Times New Roman" w:hAnsi="Times New Roman"/>
                <w:b/>
                <w:bCs/>
              </w:rPr>
            </w:pPr>
            <w:r w:rsidRPr="00FA3856">
              <w:rPr>
                <w:rFonts w:ascii="Times New Roman" w:hAnsi="Times New Roman"/>
                <w:b/>
                <w:bCs/>
              </w:rPr>
              <w:t>Regras de Validação do Campo</w:t>
            </w:r>
          </w:p>
        </w:tc>
        <w:tc>
          <w:tcPr>
            <w:tcW w:w="717" w:type="dxa"/>
            <w:tcBorders>
              <w:top w:val="single" w:sz="6" w:space="0" w:color="auto"/>
              <w:left w:val="single" w:sz="6" w:space="0" w:color="auto"/>
              <w:bottom w:val="single" w:sz="6" w:space="0" w:color="auto"/>
              <w:right w:val="single" w:sz="6" w:space="0" w:color="auto"/>
            </w:tcBorders>
            <w:shd w:val="pct10" w:color="auto" w:fill="FFFFFF"/>
          </w:tcPr>
          <w:p w:rsidR="00814E97" w:rsidRPr="00FA3856" w:rsidRDefault="00814E97" w:rsidP="00A70CD2">
            <w:pPr>
              <w:pStyle w:val="PSDS-CorpodeTexto0"/>
              <w:jc w:val="center"/>
              <w:rPr>
                <w:rFonts w:ascii="Times New Roman" w:hAnsi="Times New Roman"/>
                <w:b/>
                <w:bCs/>
              </w:rPr>
            </w:pPr>
            <w:r w:rsidRPr="00FA3856">
              <w:rPr>
                <w:rFonts w:ascii="Times New Roman" w:hAnsi="Times New Roman"/>
                <w:b/>
                <w:bCs/>
              </w:rPr>
              <w:t>Tipo</w:t>
            </w:r>
          </w:p>
        </w:tc>
      </w:tr>
      <w:tr w:rsidR="00A63673" w:rsidRPr="00FA3856" w:rsidTr="00BB2C36">
        <w:trPr>
          <w:jc w:val="center"/>
        </w:trPr>
        <w:tc>
          <w:tcPr>
            <w:tcW w:w="485" w:type="dxa"/>
            <w:tcBorders>
              <w:top w:val="single" w:sz="6" w:space="0" w:color="auto"/>
              <w:left w:val="single" w:sz="6" w:space="0" w:color="auto"/>
              <w:bottom w:val="single" w:sz="6" w:space="0" w:color="auto"/>
              <w:right w:val="single" w:sz="6" w:space="0" w:color="auto"/>
            </w:tcBorders>
          </w:tcPr>
          <w:p w:rsidR="00A63673" w:rsidRPr="00FA3856" w:rsidRDefault="00A63673" w:rsidP="00A70CD2">
            <w:pPr>
              <w:pStyle w:val="PSDS-CorpodeTexto0"/>
              <w:suppressAutoHyphens w:val="0"/>
              <w:rPr>
                <w:rFonts w:ascii="Times New Roman" w:hAnsi="Times New Roman"/>
                <w:b/>
                <w:bCs/>
                <w:lang w:val="pt-PT"/>
              </w:rPr>
            </w:pPr>
            <w:r w:rsidRPr="00FA3856">
              <w:rPr>
                <w:rFonts w:ascii="Times New Roman" w:hAnsi="Times New Roman"/>
                <w:b/>
                <w:bCs/>
                <w:lang w:val="pt-PT"/>
              </w:rPr>
              <w:t>2</w:t>
            </w:r>
          </w:p>
        </w:tc>
        <w:tc>
          <w:tcPr>
            <w:tcW w:w="3000" w:type="dxa"/>
            <w:tcBorders>
              <w:top w:val="single" w:sz="6" w:space="0" w:color="auto"/>
              <w:left w:val="single" w:sz="6" w:space="0" w:color="auto"/>
              <w:bottom w:val="single" w:sz="6" w:space="0" w:color="auto"/>
              <w:right w:val="single" w:sz="6" w:space="0" w:color="auto"/>
            </w:tcBorders>
          </w:tcPr>
          <w:p w:rsidR="00A63673" w:rsidRPr="00FA3856" w:rsidRDefault="00A63673" w:rsidP="00A70CD2">
            <w:pPr>
              <w:pStyle w:val="PSDS-CorpodeTexto0"/>
              <w:rPr>
                <w:rFonts w:ascii="Times New Roman" w:hAnsi="Times New Roman"/>
                <w:lang w:val="pt-PT"/>
              </w:rPr>
            </w:pPr>
            <w:r w:rsidRPr="00FA3856">
              <w:rPr>
                <w:rFonts w:ascii="Times New Roman" w:hAnsi="Times New Roman"/>
                <w:lang w:val="pt-PT"/>
              </w:rPr>
              <w:t>CNPJ</w:t>
            </w:r>
          </w:p>
          <w:p w:rsidR="00644487" w:rsidRPr="00FA3856" w:rsidRDefault="00644487" w:rsidP="00A70CD2">
            <w:pPr>
              <w:pStyle w:val="PSDS-CorpodeTexto0"/>
              <w:rPr>
                <w:rFonts w:ascii="Times New Roman" w:hAnsi="Times New Roman"/>
                <w:lang w:val="pt-PT"/>
              </w:rPr>
            </w:pPr>
          </w:p>
        </w:tc>
        <w:tc>
          <w:tcPr>
            <w:tcW w:w="12168" w:type="dxa"/>
            <w:tcBorders>
              <w:top w:val="single" w:sz="6" w:space="0" w:color="auto"/>
              <w:left w:val="single" w:sz="6" w:space="0" w:color="auto"/>
              <w:bottom w:val="single" w:sz="6" w:space="0" w:color="auto"/>
              <w:right w:val="single" w:sz="6" w:space="0" w:color="auto"/>
            </w:tcBorders>
          </w:tcPr>
          <w:p w:rsidR="00A63673" w:rsidRPr="00FA3856" w:rsidRDefault="007D0E74" w:rsidP="0082332B">
            <w:pPr>
              <w:pStyle w:val="PSDS-CorpodeTexto0"/>
              <w:jc w:val="both"/>
              <w:rPr>
                <w:rFonts w:ascii="Times New Roman" w:hAnsi="Times New Roman"/>
              </w:rPr>
            </w:pPr>
            <w:hyperlink w:anchor="REGRA_VALIDA_CNPJ" w:history="1">
              <w:r w:rsidR="00A63673" w:rsidRPr="00FA3856">
                <w:rPr>
                  <w:rStyle w:val="Hyperlink"/>
                  <w:rFonts w:ascii="Times New Roman" w:hAnsi="Times New Roman"/>
                  <w:b/>
                  <w:bCs/>
                  <w:color w:val="auto"/>
                  <w:lang w:val="pt-PT"/>
                </w:rPr>
                <w:t>REGRA_VALIDA_CNPJ</w:t>
              </w:r>
            </w:hyperlink>
            <w:r w:rsidR="00A63673" w:rsidRPr="00FA3856">
              <w:rPr>
                <w:rFonts w:ascii="Times New Roman" w:hAnsi="Times New Roman"/>
                <w:b/>
                <w:bCs/>
                <w:lang w:val="pt-PT"/>
              </w:rPr>
              <w:t xml:space="preserve">: </w:t>
            </w:r>
            <w:r w:rsidR="00A63673" w:rsidRPr="00FA3856">
              <w:rPr>
                <w:rFonts w:ascii="Times New Roman" w:hAnsi="Times New Roman"/>
              </w:rPr>
              <w:t xml:space="preserve"> Verifica se a regra de formação do código é válida.</w:t>
            </w:r>
          </w:p>
        </w:tc>
        <w:tc>
          <w:tcPr>
            <w:tcW w:w="717" w:type="dxa"/>
            <w:tcBorders>
              <w:top w:val="single" w:sz="6" w:space="0" w:color="auto"/>
              <w:left w:val="single" w:sz="6" w:space="0" w:color="auto"/>
              <w:bottom w:val="single" w:sz="6" w:space="0" w:color="auto"/>
              <w:right w:val="single" w:sz="6" w:space="0" w:color="auto"/>
            </w:tcBorders>
          </w:tcPr>
          <w:p w:rsidR="00A63673" w:rsidRPr="00FA3856" w:rsidRDefault="00A63673" w:rsidP="00A70CD2">
            <w:pPr>
              <w:pStyle w:val="PSDS-CorpodeTexto0"/>
              <w:rPr>
                <w:rFonts w:ascii="Times New Roman" w:hAnsi="Times New Roman"/>
                <w:lang w:val="pt-PT"/>
              </w:rPr>
            </w:pPr>
            <w:r w:rsidRPr="00FA3856">
              <w:rPr>
                <w:rFonts w:ascii="Times New Roman" w:hAnsi="Times New Roman"/>
                <w:lang w:val="pt-PT"/>
              </w:rPr>
              <w:t>Erro</w:t>
            </w:r>
          </w:p>
        </w:tc>
      </w:tr>
      <w:tr w:rsidR="00814E97" w:rsidRPr="00FA3856" w:rsidTr="00BB2C36">
        <w:trPr>
          <w:jc w:val="center"/>
        </w:trPr>
        <w:tc>
          <w:tcPr>
            <w:tcW w:w="485" w:type="dxa"/>
            <w:tcBorders>
              <w:top w:val="single" w:sz="6" w:space="0" w:color="auto"/>
              <w:left w:val="single" w:sz="6" w:space="0" w:color="auto"/>
              <w:bottom w:val="single" w:sz="6" w:space="0" w:color="auto"/>
              <w:right w:val="single" w:sz="6" w:space="0" w:color="auto"/>
            </w:tcBorders>
          </w:tcPr>
          <w:p w:rsidR="00814E97" w:rsidRPr="00FA3856" w:rsidRDefault="0082332B" w:rsidP="00A70CD2">
            <w:pPr>
              <w:pStyle w:val="PSDS-CorpodeTexto0"/>
              <w:suppressAutoHyphens w:val="0"/>
              <w:rPr>
                <w:rFonts w:ascii="Times New Roman" w:hAnsi="Times New Roman"/>
                <w:b/>
                <w:bCs/>
                <w:lang w:val="pt-PT"/>
              </w:rPr>
            </w:pPr>
            <w:r w:rsidRPr="00FA3856">
              <w:rPr>
                <w:rFonts w:ascii="Times New Roman" w:hAnsi="Times New Roman"/>
                <w:b/>
                <w:bCs/>
                <w:lang w:val="pt-PT"/>
              </w:rPr>
              <w:t>6</w:t>
            </w:r>
          </w:p>
        </w:tc>
        <w:tc>
          <w:tcPr>
            <w:tcW w:w="3000" w:type="dxa"/>
            <w:tcBorders>
              <w:top w:val="single" w:sz="6" w:space="0" w:color="auto"/>
              <w:left w:val="single" w:sz="6" w:space="0" w:color="auto"/>
              <w:bottom w:val="single" w:sz="6" w:space="0" w:color="auto"/>
              <w:right w:val="single" w:sz="6" w:space="0" w:color="auto"/>
            </w:tcBorders>
          </w:tcPr>
          <w:p w:rsidR="00814E97" w:rsidRPr="00FA3856" w:rsidRDefault="0082332B" w:rsidP="00A70CD2">
            <w:pPr>
              <w:pStyle w:val="PSDS-CorpodeTexto0"/>
              <w:rPr>
                <w:rFonts w:ascii="Times New Roman" w:hAnsi="Times New Roman"/>
                <w:lang w:val="pt-PT"/>
              </w:rPr>
            </w:pPr>
            <w:r w:rsidRPr="00FA3856">
              <w:rPr>
                <w:rFonts w:ascii="Times New Roman" w:hAnsi="Times New Roman"/>
                <w:lang w:val="pt-PT"/>
              </w:rPr>
              <w:t xml:space="preserve">DAT_ABERT </w:t>
            </w:r>
          </w:p>
        </w:tc>
        <w:tc>
          <w:tcPr>
            <w:tcW w:w="12168" w:type="dxa"/>
            <w:tcBorders>
              <w:top w:val="single" w:sz="6" w:space="0" w:color="auto"/>
              <w:left w:val="single" w:sz="6" w:space="0" w:color="auto"/>
              <w:bottom w:val="single" w:sz="6" w:space="0" w:color="auto"/>
              <w:right w:val="single" w:sz="6" w:space="0" w:color="auto"/>
            </w:tcBorders>
          </w:tcPr>
          <w:p w:rsidR="00814E97" w:rsidRPr="00FA3856" w:rsidRDefault="007D0E74" w:rsidP="0082332B">
            <w:pPr>
              <w:pStyle w:val="PSDS-CorpodeTexto0"/>
              <w:jc w:val="both"/>
              <w:rPr>
                <w:rFonts w:ascii="Times New Roman" w:hAnsi="Times New Roman"/>
              </w:rPr>
            </w:pPr>
            <w:hyperlink w:anchor="REGRA_DATA_INI_MAIOR" w:history="1">
              <w:r w:rsidR="00A63673" w:rsidRPr="00FA3856">
                <w:rPr>
                  <w:rStyle w:val="Hyperlink"/>
                  <w:rFonts w:ascii="Times New Roman" w:hAnsi="Times New Roman"/>
                  <w:b/>
                  <w:color w:val="auto"/>
                </w:rPr>
                <w:t>REGRA_DATA_MAIOR</w:t>
              </w:r>
            </w:hyperlink>
            <w:r w:rsidR="00A63673" w:rsidRPr="00FA3856">
              <w:rPr>
                <w:rStyle w:val="Hyperlink"/>
                <w:rFonts w:ascii="Times New Roman" w:hAnsi="Times New Roman"/>
                <w:b/>
                <w:color w:val="auto"/>
              </w:rPr>
              <w:t>_DT_FIN</w:t>
            </w:r>
            <w:r w:rsidR="0082332B" w:rsidRPr="00FA3856">
              <w:rPr>
                <w:rFonts w:ascii="Times New Roman" w:hAnsi="Times New Roman"/>
                <w:b/>
              </w:rPr>
              <w:t xml:space="preserve">: </w:t>
            </w:r>
            <w:r w:rsidR="0082332B" w:rsidRPr="00FA3856">
              <w:rPr>
                <w:rFonts w:ascii="Times New Roman" w:hAnsi="Times New Roman"/>
              </w:rPr>
              <w:t xml:space="preserve"> Verifica se </w:t>
            </w:r>
            <w:r w:rsidR="00516F95" w:rsidRPr="00FA3856">
              <w:rPr>
                <w:rFonts w:ascii="Times New Roman" w:hAnsi="Times New Roman"/>
              </w:rPr>
              <w:t xml:space="preserve">Y630.DT_ABERT </w:t>
            </w:r>
            <w:r w:rsidR="0082332B" w:rsidRPr="00FA3856">
              <w:rPr>
                <w:rFonts w:ascii="Times New Roman" w:hAnsi="Times New Roman"/>
              </w:rPr>
              <w:t xml:space="preserve">foi preenchido com a data menor que a data informada em </w:t>
            </w:r>
            <w:r w:rsidR="00A530D3" w:rsidRPr="00FA3856">
              <w:rPr>
                <w:rFonts w:ascii="Times New Roman" w:hAnsi="Times New Roman"/>
              </w:rPr>
              <w:t>0000.DT_FIN</w:t>
            </w:r>
            <w:r w:rsidR="0082332B" w:rsidRPr="00FA3856">
              <w:rPr>
                <w:rFonts w:ascii="Times New Roman" w:hAnsi="Times New Roman"/>
              </w:rPr>
              <w:t>.</w:t>
            </w:r>
          </w:p>
        </w:tc>
        <w:tc>
          <w:tcPr>
            <w:tcW w:w="717" w:type="dxa"/>
            <w:tcBorders>
              <w:top w:val="single" w:sz="6" w:space="0" w:color="auto"/>
              <w:left w:val="single" w:sz="6" w:space="0" w:color="auto"/>
              <w:bottom w:val="single" w:sz="6" w:space="0" w:color="auto"/>
              <w:right w:val="single" w:sz="6" w:space="0" w:color="auto"/>
            </w:tcBorders>
          </w:tcPr>
          <w:p w:rsidR="00814E97" w:rsidRPr="00FA3856" w:rsidRDefault="00814E97" w:rsidP="00A70CD2">
            <w:pPr>
              <w:pStyle w:val="PSDS-CorpodeTexto0"/>
              <w:rPr>
                <w:rFonts w:ascii="Times New Roman" w:hAnsi="Times New Roman"/>
                <w:lang w:val="pt-PT"/>
              </w:rPr>
            </w:pPr>
            <w:r w:rsidRPr="00FA3856">
              <w:rPr>
                <w:rFonts w:ascii="Times New Roman" w:hAnsi="Times New Roman"/>
                <w:lang w:val="pt-PT"/>
              </w:rPr>
              <w:t>Erro</w:t>
            </w:r>
          </w:p>
          <w:p w:rsidR="0082332B" w:rsidRPr="00FA3856" w:rsidRDefault="0082332B" w:rsidP="00A70CD2">
            <w:pPr>
              <w:pStyle w:val="PSDS-CorpodeTexto0"/>
              <w:rPr>
                <w:rFonts w:ascii="Times New Roman" w:hAnsi="Times New Roman"/>
                <w:lang w:val="pt-PT"/>
              </w:rPr>
            </w:pPr>
          </w:p>
        </w:tc>
      </w:tr>
      <w:tr w:rsidR="00814E97" w:rsidRPr="00FA3856" w:rsidTr="00BB2C36">
        <w:trPr>
          <w:jc w:val="center"/>
        </w:trPr>
        <w:tc>
          <w:tcPr>
            <w:tcW w:w="485" w:type="dxa"/>
            <w:tcBorders>
              <w:top w:val="single" w:sz="6" w:space="0" w:color="auto"/>
              <w:left w:val="single" w:sz="6" w:space="0" w:color="auto"/>
              <w:bottom w:val="single" w:sz="6" w:space="0" w:color="auto"/>
              <w:right w:val="single" w:sz="6" w:space="0" w:color="auto"/>
            </w:tcBorders>
          </w:tcPr>
          <w:p w:rsidR="00814E97" w:rsidRPr="00FA3856" w:rsidRDefault="0082332B" w:rsidP="00A70CD2">
            <w:pPr>
              <w:pStyle w:val="PSDS-CorpodeTexto0"/>
              <w:suppressAutoHyphens w:val="0"/>
              <w:rPr>
                <w:rFonts w:ascii="Times New Roman" w:hAnsi="Times New Roman"/>
                <w:b/>
                <w:bCs/>
                <w:lang w:val="pt-PT"/>
              </w:rPr>
            </w:pPr>
            <w:r w:rsidRPr="00FA3856">
              <w:rPr>
                <w:rFonts w:ascii="Times New Roman" w:hAnsi="Times New Roman"/>
                <w:b/>
                <w:bCs/>
                <w:lang w:val="pt-PT"/>
              </w:rPr>
              <w:t>7</w:t>
            </w:r>
          </w:p>
        </w:tc>
        <w:tc>
          <w:tcPr>
            <w:tcW w:w="3000" w:type="dxa"/>
            <w:tcBorders>
              <w:top w:val="single" w:sz="6" w:space="0" w:color="auto"/>
              <w:left w:val="single" w:sz="6" w:space="0" w:color="auto"/>
              <w:bottom w:val="single" w:sz="6" w:space="0" w:color="auto"/>
              <w:right w:val="single" w:sz="6" w:space="0" w:color="auto"/>
            </w:tcBorders>
          </w:tcPr>
          <w:p w:rsidR="0082332B" w:rsidRPr="00FA3856" w:rsidRDefault="0082332B" w:rsidP="0082332B">
            <w:pPr>
              <w:pStyle w:val="PSDS-CorpodeTexto0"/>
              <w:rPr>
                <w:rFonts w:ascii="Times New Roman" w:hAnsi="Times New Roman"/>
                <w:lang w:val="pt-PT"/>
              </w:rPr>
            </w:pPr>
            <w:r w:rsidRPr="00FA3856">
              <w:rPr>
                <w:rFonts w:ascii="Times New Roman" w:hAnsi="Times New Roman"/>
                <w:lang w:val="pt-PT"/>
              </w:rPr>
              <w:t>DAT_ENCER</w:t>
            </w:r>
          </w:p>
          <w:p w:rsidR="00814E97" w:rsidRPr="00FA3856" w:rsidRDefault="00814E97" w:rsidP="00A70CD2">
            <w:pPr>
              <w:pStyle w:val="PSDS-CorpodeTexto0"/>
              <w:rPr>
                <w:rFonts w:ascii="Times New Roman" w:hAnsi="Times New Roman"/>
                <w:lang w:val="pt-PT"/>
              </w:rPr>
            </w:pPr>
          </w:p>
        </w:tc>
        <w:tc>
          <w:tcPr>
            <w:tcW w:w="12168" w:type="dxa"/>
            <w:tcBorders>
              <w:top w:val="single" w:sz="6" w:space="0" w:color="auto"/>
              <w:left w:val="single" w:sz="6" w:space="0" w:color="auto"/>
              <w:bottom w:val="single" w:sz="6" w:space="0" w:color="auto"/>
              <w:right w:val="single" w:sz="6" w:space="0" w:color="auto"/>
            </w:tcBorders>
          </w:tcPr>
          <w:p w:rsidR="0082332B" w:rsidRPr="00FA3856" w:rsidRDefault="007D0E74" w:rsidP="0082332B">
            <w:pPr>
              <w:shd w:val="clear" w:color="auto" w:fill="FFFFFF"/>
              <w:jc w:val="both"/>
              <w:rPr>
                <w:szCs w:val="20"/>
              </w:rPr>
            </w:pPr>
            <w:hyperlink w:anchor="REGRA_DATA_INI_MAIOR" w:history="1">
              <w:r w:rsidR="0082332B" w:rsidRPr="00FA3856">
                <w:rPr>
                  <w:rStyle w:val="Hyperlink"/>
                  <w:b/>
                  <w:color w:val="auto"/>
                  <w:szCs w:val="20"/>
                </w:rPr>
                <w:t>REGRA_DATA_MAIOR</w:t>
              </w:r>
            </w:hyperlink>
            <w:r w:rsidR="00A63673" w:rsidRPr="00FA3856">
              <w:rPr>
                <w:rStyle w:val="Hyperlink"/>
                <w:b/>
                <w:color w:val="auto"/>
                <w:szCs w:val="20"/>
              </w:rPr>
              <w:t>_DT_FIN</w:t>
            </w:r>
            <w:r w:rsidR="0082332B" w:rsidRPr="00FA3856">
              <w:rPr>
                <w:b/>
                <w:szCs w:val="20"/>
              </w:rPr>
              <w:t xml:space="preserve">: </w:t>
            </w:r>
            <w:r w:rsidR="0082332B" w:rsidRPr="00FA3856">
              <w:rPr>
                <w:szCs w:val="20"/>
              </w:rPr>
              <w:t xml:space="preserve"> Verifica se </w:t>
            </w:r>
            <w:r w:rsidR="00516F95" w:rsidRPr="00FA3856">
              <w:rPr>
                <w:szCs w:val="20"/>
              </w:rPr>
              <w:t xml:space="preserve">Y630.DT_ENCER </w:t>
            </w:r>
            <w:r w:rsidR="0082332B" w:rsidRPr="00FA3856">
              <w:rPr>
                <w:szCs w:val="20"/>
              </w:rPr>
              <w:t xml:space="preserve">foi preenchido com a data menor que a data informada em </w:t>
            </w:r>
            <w:r w:rsidR="00A530D3" w:rsidRPr="00FA3856">
              <w:rPr>
                <w:szCs w:val="20"/>
              </w:rPr>
              <w:t>0000.DT_FIN</w:t>
            </w:r>
            <w:r w:rsidR="0082332B" w:rsidRPr="00FA3856">
              <w:rPr>
                <w:szCs w:val="20"/>
              </w:rPr>
              <w:t>.</w:t>
            </w:r>
          </w:p>
          <w:p w:rsidR="0082332B" w:rsidRPr="00FA3856" w:rsidRDefault="0082332B" w:rsidP="0082332B">
            <w:pPr>
              <w:shd w:val="clear" w:color="auto" w:fill="FFFFFF"/>
              <w:jc w:val="both"/>
              <w:rPr>
                <w:szCs w:val="20"/>
              </w:rPr>
            </w:pPr>
          </w:p>
          <w:p w:rsidR="00814E97" w:rsidRPr="00FA3856" w:rsidRDefault="0082332B" w:rsidP="00A70CD2">
            <w:pPr>
              <w:pStyle w:val="PSDS-CorpodeTexto0"/>
              <w:jc w:val="both"/>
              <w:rPr>
                <w:rFonts w:ascii="Times New Roman" w:hAnsi="Times New Roman"/>
                <w:lang w:val="pt-PT"/>
              </w:rPr>
            </w:pPr>
            <w:r w:rsidRPr="00FA3856">
              <w:rPr>
                <w:rFonts w:ascii="Times New Roman" w:hAnsi="Times New Roman"/>
                <w:b/>
                <w:lang w:val="pt-PT"/>
              </w:rPr>
              <w:t xml:space="preserve">REGRA_DATA_ABERT_ENCER: </w:t>
            </w:r>
            <w:r w:rsidRPr="00FA3856">
              <w:rPr>
                <w:rFonts w:ascii="Times New Roman" w:hAnsi="Times New Roman"/>
                <w:lang w:val="pt-PT"/>
              </w:rPr>
              <w:t xml:space="preserve">Verifica se </w:t>
            </w:r>
            <w:r w:rsidR="00516F95" w:rsidRPr="00FA3856">
              <w:rPr>
                <w:rFonts w:ascii="Times New Roman" w:hAnsi="Times New Roman"/>
                <w:lang w:val="pt-PT"/>
              </w:rPr>
              <w:t xml:space="preserve">Y630.DT_ABERT </w:t>
            </w:r>
            <w:r w:rsidRPr="00FA3856">
              <w:rPr>
                <w:rFonts w:ascii="Times New Roman" w:hAnsi="Times New Roman"/>
                <w:lang w:val="pt-PT"/>
              </w:rPr>
              <w:t>foi preenchido com a data menor que a data</w:t>
            </w:r>
            <w:r w:rsidR="00A530D3" w:rsidRPr="00FA3856">
              <w:rPr>
                <w:rFonts w:ascii="Times New Roman" w:hAnsi="Times New Roman"/>
                <w:lang w:val="pt-PT"/>
              </w:rPr>
              <w:t xml:space="preserve"> inf</w:t>
            </w:r>
            <w:r w:rsidR="00516F95" w:rsidRPr="00FA3856">
              <w:rPr>
                <w:rFonts w:ascii="Times New Roman" w:hAnsi="Times New Roman"/>
                <w:lang w:val="pt-PT"/>
              </w:rPr>
              <w:t>ormada em Y630.DAT_ENCER</w:t>
            </w:r>
            <w:r w:rsidRPr="00FA3856">
              <w:rPr>
                <w:rFonts w:ascii="Times New Roman" w:hAnsi="Times New Roman"/>
                <w:lang w:val="pt-PT"/>
              </w:rPr>
              <w:t>.</w:t>
            </w:r>
          </w:p>
        </w:tc>
        <w:tc>
          <w:tcPr>
            <w:tcW w:w="717" w:type="dxa"/>
            <w:tcBorders>
              <w:top w:val="single" w:sz="6" w:space="0" w:color="auto"/>
              <w:left w:val="single" w:sz="6" w:space="0" w:color="auto"/>
              <w:bottom w:val="single" w:sz="6" w:space="0" w:color="auto"/>
              <w:right w:val="single" w:sz="6" w:space="0" w:color="auto"/>
            </w:tcBorders>
          </w:tcPr>
          <w:p w:rsidR="00814E97" w:rsidRPr="00FA3856" w:rsidRDefault="00814E97" w:rsidP="00A70CD2">
            <w:pPr>
              <w:pStyle w:val="PSDS-CorpodeTexto0"/>
              <w:rPr>
                <w:rFonts w:ascii="Times New Roman" w:hAnsi="Times New Roman"/>
                <w:lang w:val="pt-PT"/>
              </w:rPr>
            </w:pPr>
            <w:r w:rsidRPr="00FA3856">
              <w:rPr>
                <w:rFonts w:ascii="Times New Roman" w:hAnsi="Times New Roman"/>
                <w:lang w:val="pt-PT"/>
              </w:rPr>
              <w:t>Erro</w:t>
            </w:r>
          </w:p>
          <w:p w:rsidR="0082332B" w:rsidRPr="00FA3856" w:rsidRDefault="0082332B" w:rsidP="00A70CD2">
            <w:pPr>
              <w:pStyle w:val="PSDS-CorpodeTexto0"/>
              <w:rPr>
                <w:rFonts w:ascii="Times New Roman" w:hAnsi="Times New Roman"/>
                <w:lang w:val="pt-PT"/>
              </w:rPr>
            </w:pPr>
          </w:p>
          <w:p w:rsidR="0082332B" w:rsidRPr="00FA3856" w:rsidRDefault="0082332B" w:rsidP="00A70CD2">
            <w:pPr>
              <w:pStyle w:val="PSDS-CorpodeTexto0"/>
              <w:rPr>
                <w:rFonts w:ascii="Times New Roman" w:hAnsi="Times New Roman"/>
                <w:lang w:val="pt-PT"/>
              </w:rPr>
            </w:pPr>
            <w:r w:rsidRPr="00FA3856">
              <w:rPr>
                <w:rFonts w:ascii="Times New Roman" w:hAnsi="Times New Roman"/>
                <w:lang w:val="pt-PT"/>
              </w:rPr>
              <w:t>Erro</w:t>
            </w:r>
          </w:p>
        </w:tc>
      </w:tr>
    </w:tbl>
    <w:p w:rsidR="0082332B" w:rsidRPr="00FA3856" w:rsidRDefault="0082332B" w:rsidP="00814E97">
      <w:pPr>
        <w:rPr>
          <w:szCs w:val="20"/>
          <w:lang w:val="pt-PT"/>
        </w:rPr>
      </w:pPr>
    </w:p>
    <w:p w:rsidR="00983CEC" w:rsidRDefault="00A530D3" w:rsidP="00A530D3">
      <w:pPr>
        <w:rPr>
          <w:b/>
          <w:color w:val="002060"/>
          <w:szCs w:val="20"/>
        </w:rPr>
      </w:pPr>
      <w:r w:rsidRPr="00FA3856">
        <w:rPr>
          <w:b/>
          <w:color w:val="002060"/>
          <w:szCs w:val="20"/>
        </w:rPr>
        <w:t xml:space="preserve">Exemplo de Preenchimento: </w:t>
      </w:r>
    </w:p>
    <w:p w:rsidR="00983CEC" w:rsidRDefault="00983CEC" w:rsidP="00A530D3">
      <w:pPr>
        <w:rPr>
          <w:b/>
          <w:color w:val="002060"/>
          <w:szCs w:val="20"/>
        </w:rPr>
      </w:pPr>
    </w:p>
    <w:p w:rsidR="00814E97" w:rsidRPr="00FA3856" w:rsidRDefault="00814E97" w:rsidP="00A530D3">
      <w:pPr>
        <w:rPr>
          <w:b/>
          <w:color w:val="002060"/>
          <w:szCs w:val="20"/>
        </w:rPr>
      </w:pPr>
      <w:r w:rsidRPr="00FA3856">
        <w:rPr>
          <w:b/>
          <w:color w:val="002060"/>
          <w:szCs w:val="20"/>
        </w:rPr>
        <w:t>|</w:t>
      </w:r>
      <w:r w:rsidR="0082332B" w:rsidRPr="00FA3856">
        <w:rPr>
          <w:b/>
          <w:color w:val="002060"/>
          <w:szCs w:val="20"/>
        </w:rPr>
        <w:t>Y63</w:t>
      </w:r>
      <w:r w:rsidRPr="00FA3856">
        <w:rPr>
          <w:b/>
          <w:color w:val="002060"/>
          <w:szCs w:val="20"/>
        </w:rPr>
        <w:t>0|44444444000191|1</w:t>
      </w:r>
      <w:r w:rsidR="000410C3" w:rsidRPr="00FA3856">
        <w:rPr>
          <w:b/>
          <w:color w:val="002060"/>
          <w:szCs w:val="20"/>
        </w:rPr>
        <w:t>0</w:t>
      </w:r>
      <w:r w:rsidR="0082332B" w:rsidRPr="00FA3856">
        <w:rPr>
          <w:b/>
          <w:color w:val="002060"/>
          <w:szCs w:val="20"/>
        </w:rPr>
        <w:t>0</w:t>
      </w:r>
      <w:r w:rsidRPr="00FA3856">
        <w:rPr>
          <w:b/>
          <w:color w:val="002060"/>
          <w:szCs w:val="20"/>
        </w:rPr>
        <w:t>|500</w:t>
      </w:r>
      <w:r w:rsidR="0082332B" w:rsidRPr="00FA3856">
        <w:rPr>
          <w:b/>
          <w:color w:val="002060"/>
          <w:szCs w:val="20"/>
        </w:rPr>
        <w:t>0000</w:t>
      </w:r>
      <w:r w:rsidRPr="00FA3856">
        <w:rPr>
          <w:b/>
          <w:color w:val="002060"/>
          <w:szCs w:val="20"/>
        </w:rPr>
        <w:t>|</w:t>
      </w:r>
      <w:r w:rsidR="0082332B" w:rsidRPr="00FA3856">
        <w:rPr>
          <w:b/>
          <w:color w:val="002060"/>
          <w:szCs w:val="20"/>
        </w:rPr>
        <w:t>10000000</w:t>
      </w:r>
      <w:r w:rsidR="000410C3" w:rsidRPr="00FA3856">
        <w:rPr>
          <w:b/>
          <w:color w:val="002060"/>
          <w:szCs w:val="20"/>
        </w:rPr>
        <w:t>0</w:t>
      </w:r>
      <w:r w:rsidR="0082332B" w:rsidRPr="00FA3856">
        <w:rPr>
          <w:b/>
          <w:color w:val="002060"/>
          <w:szCs w:val="20"/>
        </w:rPr>
        <w:t>,00</w:t>
      </w:r>
      <w:r w:rsidRPr="00FA3856">
        <w:rPr>
          <w:b/>
          <w:color w:val="002060"/>
          <w:szCs w:val="20"/>
        </w:rPr>
        <w:t>|</w:t>
      </w:r>
      <w:r w:rsidR="0082332B" w:rsidRPr="00FA3856">
        <w:rPr>
          <w:b/>
          <w:color w:val="002060"/>
          <w:szCs w:val="20"/>
        </w:rPr>
        <w:t>1</w:t>
      </w:r>
      <w:r w:rsidR="000410C3" w:rsidRPr="00FA3856">
        <w:rPr>
          <w:b/>
          <w:color w:val="002060"/>
          <w:szCs w:val="20"/>
        </w:rPr>
        <w:t>0</w:t>
      </w:r>
      <w:r w:rsidR="0082332B" w:rsidRPr="00FA3856">
        <w:rPr>
          <w:b/>
          <w:color w:val="002060"/>
          <w:szCs w:val="20"/>
        </w:rPr>
        <w:t>012010</w:t>
      </w:r>
      <w:r w:rsidRPr="00FA3856">
        <w:rPr>
          <w:b/>
          <w:color w:val="002060"/>
          <w:szCs w:val="20"/>
        </w:rPr>
        <w:t>|</w:t>
      </w:r>
      <w:r w:rsidR="0082332B" w:rsidRPr="00FA3856">
        <w:rPr>
          <w:b/>
          <w:color w:val="002060"/>
          <w:szCs w:val="20"/>
        </w:rPr>
        <w:t>|</w:t>
      </w:r>
    </w:p>
    <w:p w:rsidR="00814E97" w:rsidRPr="00FA3856" w:rsidRDefault="00672FA5" w:rsidP="00814E97">
      <w:pPr>
        <w:pStyle w:val="Corpodetexto"/>
        <w:ind w:left="708" w:firstLine="709"/>
        <w:rPr>
          <w:rFonts w:ascii="Times New Roman" w:hAnsi="Times New Roman"/>
          <w:color w:val="002060"/>
          <w:szCs w:val="20"/>
        </w:rPr>
      </w:pPr>
      <w:r w:rsidRPr="00FA3856">
        <w:rPr>
          <w:rFonts w:ascii="Times New Roman" w:hAnsi="Times New Roman"/>
          <w:color w:val="002060"/>
          <w:szCs w:val="20"/>
        </w:rPr>
        <w:t>|Y63</w:t>
      </w:r>
      <w:r w:rsidR="00814E97" w:rsidRPr="00FA3856">
        <w:rPr>
          <w:rFonts w:ascii="Times New Roman" w:hAnsi="Times New Roman"/>
          <w:color w:val="002060"/>
          <w:szCs w:val="20"/>
        </w:rPr>
        <w:t>0|: Identificação do tipo do registro.</w:t>
      </w:r>
    </w:p>
    <w:p w:rsidR="00814E97" w:rsidRPr="00FA3856" w:rsidRDefault="00814E97" w:rsidP="00814E97">
      <w:pPr>
        <w:pStyle w:val="Corpodetexto"/>
        <w:ind w:left="708" w:firstLine="709"/>
        <w:rPr>
          <w:rFonts w:ascii="Times New Roman" w:hAnsi="Times New Roman"/>
          <w:color w:val="002060"/>
          <w:szCs w:val="20"/>
        </w:rPr>
      </w:pPr>
      <w:r w:rsidRPr="00FA3856">
        <w:rPr>
          <w:rFonts w:ascii="Times New Roman" w:hAnsi="Times New Roman"/>
          <w:color w:val="002060"/>
          <w:szCs w:val="20"/>
        </w:rPr>
        <w:t xml:space="preserve">|44444444000191|: CNPJ do </w:t>
      </w:r>
      <w:r w:rsidR="000410C3" w:rsidRPr="00FA3856">
        <w:rPr>
          <w:rFonts w:ascii="Times New Roman" w:hAnsi="Times New Roman"/>
          <w:color w:val="002060"/>
          <w:szCs w:val="20"/>
        </w:rPr>
        <w:t>fundo ou clube de investimento</w:t>
      </w:r>
      <w:r w:rsidRPr="00FA3856">
        <w:rPr>
          <w:rFonts w:ascii="Times New Roman" w:hAnsi="Times New Roman"/>
          <w:color w:val="002060"/>
          <w:szCs w:val="20"/>
        </w:rPr>
        <w:t xml:space="preserve"> (44.444.444/0001-91).</w:t>
      </w:r>
    </w:p>
    <w:p w:rsidR="00814E97" w:rsidRPr="00FA3856" w:rsidRDefault="00814E97" w:rsidP="00814E97">
      <w:pPr>
        <w:rPr>
          <w:color w:val="002060"/>
          <w:szCs w:val="20"/>
        </w:rPr>
      </w:pPr>
      <w:r w:rsidRPr="00FA3856">
        <w:rPr>
          <w:b/>
          <w:color w:val="002060"/>
          <w:szCs w:val="20"/>
        </w:rPr>
        <w:tab/>
      </w:r>
      <w:r w:rsidRPr="00FA3856">
        <w:rPr>
          <w:b/>
          <w:color w:val="002060"/>
          <w:szCs w:val="20"/>
        </w:rPr>
        <w:tab/>
      </w:r>
      <w:r w:rsidRPr="00FA3856">
        <w:rPr>
          <w:color w:val="002060"/>
          <w:szCs w:val="20"/>
        </w:rPr>
        <w:t>|1</w:t>
      </w:r>
      <w:r w:rsidR="000410C3" w:rsidRPr="00FA3856">
        <w:rPr>
          <w:color w:val="002060"/>
          <w:szCs w:val="20"/>
        </w:rPr>
        <w:t>00</w:t>
      </w:r>
      <w:r w:rsidRPr="00FA3856">
        <w:rPr>
          <w:color w:val="002060"/>
          <w:szCs w:val="20"/>
        </w:rPr>
        <w:t xml:space="preserve">|: </w:t>
      </w:r>
      <w:r w:rsidR="000410C3" w:rsidRPr="00FA3856">
        <w:rPr>
          <w:color w:val="002060"/>
          <w:szCs w:val="20"/>
        </w:rPr>
        <w:t>Quantidade de quotistas (100 quotistas).</w:t>
      </w:r>
    </w:p>
    <w:p w:rsidR="00814E97" w:rsidRPr="00FA3856" w:rsidRDefault="00814E97" w:rsidP="00814E97">
      <w:pPr>
        <w:rPr>
          <w:color w:val="002060"/>
          <w:szCs w:val="20"/>
        </w:rPr>
      </w:pPr>
      <w:r w:rsidRPr="00FA3856">
        <w:rPr>
          <w:color w:val="002060"/>
          <w:szCs w:val="20"/>
        </w:rPr>
        <w:tab/>
      </w:r>
      <w:r w:rsidRPr="00FA3856">
        <w:rPr>
          <w:color w:val="002060"/>
          <w:szCs w:val="20"/>
        </w:rPr>
        <w:tab/>
      </w:r>
      <w:r w:rsidR="000410C3" w:rsidRPr="00FA3856">
        <w:rPr>
          <w:color w:val="002060"/>
          <w:szCs w:val="20"/>
        </w:rPr>
        <w:t>|500000</w:t>
      </w:r>
      <w:r w:rsidRPr="00FA3856">
        <w:rPr>
          <w:color w:val="002060"/>
          <w:szCs w:val="20"/>
        </w:rPr>
        <w:t xml:space="preserve">0|: </w:t>
      </w:r>
      <w:r w:rsidR="000410C3" w:rsidRPr="00FA3856">
        <w:rPr>
          <w:color w:val="002060"/>
          <w:szCs w:val="20"/>
        </w:rPr>
        <w:t>Quantidade de quotas (</w:t>
      </w:r>
      <w:r w:rsidRPr="00FA3856">
        <w:rPr>
          <w:color w:val="002060"/>
          <w:szCs w:val="20"/>
        </w:rPr>
        <w:t>5</w:t>
      </w:r>
      <w:r w:rsidR="000410C3" w:rsidRPr="00FA3856">
        <w:rPr>
          <w:color w:val="002060"/>
          <w:szCs w:val="20"/>
        </w:rPr>
        <w:t>.000.000 de quotas</w:t>
      </w:r>
      <w:r w:rsidRPr="00FA3856">
        <w:rPr>
          <w:color w:val="002060"/>
          <w:szCs w:val="20"/>
        </w:rPr>
        <w:t>).</w:t>
      </w:r>
    </w:p>
    <w:p w:rsidR="00814E97" w:rsidRPr="00FA3856" w:rsidRDefault="00814E97" w:rsidP="00814E97">
      <w:pPr>
        <w:rPr>
          <w:color w:val="002060"/>
          <w:szCs w:val="20"/>
        </w:rPr>
      </w:pPr>
      <w:r w:rsidRPr="00FA3856">
        <w:rPr>
          <w:color w:val="002060"/>
          <w:szCs w:val="20"/>
        </w:rPr>
        <w:tab/>
      </w:r>
      <w:r w:rsidRPr="00FA3856">
        <w:rPr>
          <w:color w:val="002060"/>
          <w:szCs w:val="20"/>
        </w:rPr>
        <w:tab/>
        <w:t>|</w:t>
      </w:r>
      <w:r w:rsidR="000410C3" w:rsidRPr="00FA3856">
        <w:rPr>
          <w:color w:val="002060"/>
          <w:szCs w:val="20"/>
        </w:rPr>
        <w:t>100000000,00</w:t>
      </w:r>
      <w:r w:rsidRPr="00FA3856">
        <w:rPr>
          <w:color w:val="002060"/>
          <w:szCs w:val="20"/>
        </w:rPr>
        <w:t xml:space="preserve">|: </w:t>
      </w:r>
      <w:r w:rsidR="000410C3" w:rsidRPr="00FA3856">
        <w:rPr>
          <w:color w:val="002060"/>
          <w:szCs w:val="20"/>
        </w:rPr>
        <w:t>Patrimônio do fundo ou clube de investimento no final do período (R$ 100.000.000,00).</w:t>
      </w:r>
    </w:p>
    <w:p w:rsidR="00814E97" w:rsidRPr="00FA3856" w:rsidRDefault="00814E97" w:rsidP="00814E97">
      <w:pPr>
        <w:rPr>
          <w:color w:val="002060"/>
          <w:szCs w:val="20"/>
        </w:rPr>
      </w:pPr>
      <w:r w:rsidRPr="00FA3856">
        <w:rPr>
          <w:color w:val="002060"/>
          <w:szCs w:val="20"/>
        </w:rPr>
        <w:tab/>
      </w:r>
      <w:r w:rsidRPr="00FA3856">
        <w:rPr>
          <w:color w:val="002060"/>
          <w:szCs w:val="20"/>
        </w:rPr>
        <w:tab/>
        <w:t>|</w:t>
      </w:r>
      <w:r w:rsidR="000410C3" w:rsidRPr="00FA3856">
        <w:rPr>
          <w:color w:val="002060"/>
          <w:szCs w:val="20"/>
        </w:rPr>
        <w:t>10012010</w:t>
      </w:r>
      <w:r w:rsidRPr="00FA3856">
        <w:rPr>
          <w:color w:val="002060"/>
          <w:szCs w:val="20"/>
        </w:rPr>
        <w:t xml:space="preserve">|: </w:t>
      </w:r>
      <w:r w:rsidR="000410C3" w:rsidRPr="00FA3856">
        <w:rPr>
          <w:color w:val="002060"/>
          <w:szCs w:val="20"/>
        </w:rPr>
        <w:t>Data de abertura do fundo ou clube de investimento (01/01/2010).</w:t>
      </w:r>
    </w:p>
    <w:p w:rsidR="000410C3" w:rsidRPr="00FA3856" w:rsidRDefault="000410C3" w:rsidP="00814E97">
      <w:pPr>
        <w:rPr>
          <w:color w:val="002060"/>
          <w:szCs w:val="20"/>
        </w:rPr>
      </w:pPr>
      <w:r w:rsidRPr="00FA3856">
        <w:rPr>
          <w:color w:val="002060"/>
          <w:szCs w:val="20"/>
        </w:rPr>
        <w:tab/>
      </w:r>
      <w:r w:rsidRPr="00FA3856">
        <w:rPr>
          <w:color w:val="002060"/>
          <w:szCs w:val="20"/>
        </w:rPr>
        <w:tab/>
        <w:t>||: Não há data de encerramento do fundo ou clube de investimento.</w:t>
      </w:r>
    </w:p>
    <w:p w:rsidR="00814E97" w:rsidRPr="00FA3856" w:rsidRDefault="00814E97" w:rsidP="00814E97">
      <w:pPr>
        <w:pStyle w:val="PSDS-MarcadoresNivel4"/>
        <w:tabs>
          <w:tab w:val="clear" w:pos="2271"/>
          <w:tab w:val="left" w:pos="720"/>
        </w:tabs>
        <w:spacing w:before="0" w:after="0"/>
        <w:ind w:left="0" w:firstLine="0"/>
        <w:rPr>
          <w:rFonts w:ascii="Times New Roman" w:hAnsi="Times New Roman" w:cs="Times New Roman"/>
          <w:szCs w:val="20"/>
        </w:rPr>
      </w:pPr>
    </w:p>
    <w:p w:rsidR="00165C60" w:rsidRPr="00FA3856" w:rsidRDefault="00165C60">
      <w:pPr>
        <w:rPr>
          <w:b/>
          <w:bCs/>
          <w:color w:val="0000FF"/>
          <w:szCs w:val="20"/>
        </w:rPr>
      </w:pPr>
      <w:r w:rsidRPr="00FA3856">
        <w:rPr>
          <w:color w:val="0000FF"/>
          <w:szCs w:val="20"/>
        </w:rPr>
        <w:br w:type="page"/>
      </w:r>
    </w:p>
    <w:p w:rsidR="00075992" w:rsidRPr="00FA3856" w:rsidRDefault="00075992" w:rsidP="00867F54">
      <w:pPr>
        <w:pStyle w:val="Ttulo4"/>
      </w:pPr>
      <w:bookmarkStart w:id="434" w:name="_Toc479713834"/>
      <w:r w:rsidRPr="00FA3856">
        <w:lastRenderedPageBreak/>
        <w:t>Registro Y640: Participações em Consórcios de Empresas</w:t>
      </w:r>
      <w:bookmarkEnd w:id="434"/>
    </w:p>
    <w:p w:rsidR="00075992" w:rsidRPr="00FA3856" w:rsidRDefault="00075992" w:rsidP="00075992">
      <w:pPr>
        <w:rPr>
          <w:szCs w:val="20"/>
        </w:rPr>
      </w:pPr>
    </w:p>
    <w:p w:rsidR="002550A4" w:rsidRPr="00FA3856" w:rsidRDefault="00075992" w:rsidP="002550A4">
      <w:pPr>
        <w:rPr>
          <w:szCs w:val="20"/>
        </w:rPr>
      </w:pPr>
      <w:r w:rsidRPr="00FA3856">
        <w:rPr>
          <w:szCs w:val="20"/>
        </w:rPr>
        <w:tab/>
      </w:r>
      <w:r w:rsidR="002550A4" w:rsidRPr="00FA3856">
        <w:rPr>
          <w:szCs w:val="20"/>
        </w:rPr>
        <w:t xml:space="preserve">Este registro deve ser </w:t>
      </w:r>
      <w:r w:rsidR="00C321B8" w:rsidRPr="00FA3856">
        <w:rPr>
          <w:szCs w:val="20"/>
        </w:rPr>
        <w:t>preenchido</w:t>
      </w:r>
      <w:r w:rsidR="002550A4" w:rsidRPr="00FA3856">
        <w:rPr>
          <w:szCs w:val="20"/>
        </w:rPr>
        <w:t xml:space="preserve"> pela pessoa jurídica participante de consórcio constituído nos termos do disposto nos arts. 278 e 279 da Lei n</w:t>
      </w:r>
      <w:r w:rsidR="002550A4" w:rsidRPr="00FA3856">
        <w:rPr>
          <w:szCs w:val="20"/>
          <w:u w:val="single"/>
          <w:vertAlign w:val="superscript"/>
        </w:rPr>
        <w:t>o</w:t>
      </w:r>
      <w:r w:rsidR="002550A4" w:rsidRPr="00FA3856">
        <w:rPr>
          <w:szCs w:val="20"/>
        </w:rPr>
        <w:t xml:space="preserve"> 6.404, de 15 de dezembro de 1976.</w:t>
      </w:r>
    </w:p>
    <w:p w:rsidR="003B49DF" w:rsidRDefault="002550A4" w:rsidP="00D31963">
      <w:pPr>
        <w:jc w:val="both"/>
        <w:rPr>
          <w:szCs w:val="20"/>
        </w:rPr>
      </w:pPr>
      <w:r w:rsidRPr="00FA3856">
        <w:rPr>
          <w:szCs w:val="20"/>
        </w:rPr>
        <w:t> </w:t>
      </w:r>
    </w:p>
    <w:p w:rsidR="00D31963" w:rsidRPr="00FA3856" w:rsidRDefault="00B35FA3" w:rsidP="00D31963">
      <w:pPr>
        <w:jc w:val="center"/>
        <w:rPr>
          <w:rFonts w:cs="Times New Roman"/>
          <w:szCs w:val="20"/>
          <w:lang w:val="pt-PT"/>
        </w:rPr>
      </w:pPr>
      <w:r>
        <w:rPr>
          <w:szCs w:val="20"/>
        </w:rPr>
        <w:object w:dxaOrig="14835" w:dyaOrig="7155">
          <v:shape id="_x0000_i2080" type="#_x0000_t75" style="width:792.75pt;height:346.5pt" o:ole="">
            <v:imagedata r:id="rId872" o:title=""/>
          </v:shape>
          <o:OLEObject Type="Link" ProgID="Excel.Sheet.12" ShapeID="_x0000_i2080" DrawAspect="Content" r:id="rId873" UpdateMode="Always">
            <o:LinkType>EnhancedMetaFile</o:LinkType>
            <o:LockedField>false</o:LockedField>
          </o:OLEObject>
        </w:object>
      </w:r>
    </w:p>
    <w:p w:rsidR="00814E97" w:rsidRPr="00FA3856" w:rsidRDefault="00814E97">
      <w:pPr>
        <w:rPr>
          <w:b/>
          <w:bCs/>
          <w:szCs w:val="20"/>
          <w:lang w:val="pt-PT"/>
        </w:rPr>
      </w:pPr>
      <w:r w:rsidRPr="00FA3856">
        <w:rPr>
          <w:szCs w:val="20"/>
          <w:lang w:val="pt-PT"/>
        </w:rPr>
        <w:br w:type="page"/>
      </w:r>
    </w:p>
    <w:p w:rsidR="003934AA" w:rsidRPr="00FA3856" w:rsidRDefault="003934AA" w:rsidP="003934AA">
      <w:pPr>
        <w:pStyle w:val="PSDS-MarcadoresNivel4"/>
        <w:tabs>
          <w:tab w:val="clear" w:pos="2271"/>
          <w:tab w:val="left" w:pos="720"/>
        </w:tabs>
        <w:spacing w:before="0" w:after="0"/>
        <w:ind w:left="0" w:firstLine="0"/>
        <w:rPr>
          <w:rFonts w:ascii="Times New Roman" w:hAnsi="Times New Roman" w:cs="Times New Roman"/>
          <w:szCs w:val="20"/>
          <w:lang w:val="pt-PT"/>
        </w:rPr>
      </w:pPr>
      <w:r w:rsidRPr="00FA3856">
        <w:rPr>
          <w:rFonts w:ascii="Times New Roman" w:hAnsi="Times New Roman" w:cs="Times New Roman"/>
          <w:szCs w:val="20"/>
          <w:lang w:val="pt-PT"/>
        </w:rPr>
        <w:lastRenderedPageBreak/>
        <w:t>I – Regras de Validação de Campos:</w:t>
      </w:r>
    </w:p>
    <w:p w:rsidR="003934AA" w:rsidRPr="00FA3856" w:rsidRDefault="003934AA" w:rsidP="003934AA">
      <w:pPr>
        <w:pStyle w:val="PSDS-MarcadoresNivel4"/>
        <w:tabs>
          <w:tab w:val="clear" w:pos="2271"/>
          <w:tab w:val="left" w:pos="720"/>
        </w:tabs>
        <w:spacing w:before="0" w:after="0"/>
        <w:ind w:left="0" w:firstLine="0"/>
        <w:rPr>
          <w:rFonts w:ascii="Times New Roman" w:hAnsi="Times New Roman" w:cs="Times New Roman"/>
          <w:szCs w:val="20"/>
          <w:lang w:val="pt-PT"/>
        </w:rPr>
      </w:pPr>
    </w:p>
    <w:tbl>
      <w:tblPr>
        <w:tblW w:w="16370"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85"/>
        <w:gridCol w:w="3000"/>
        <w:gridCol w:w="12168"/>
        <w:gridCol w:w="717"/>
      </w:tblGrid>
      <w:tr w:rsidR="003934AA" w:rsidRPr="00FA3856" w:rsidTr="00BB2C36">
        <w:trPr>
          <w:tblHeader/>
          <w:jc w:val="center"/>
        </w:trPr>
        <w:tc>
          <w:tcPr>
            <w:tcW w:w="485" w:type="dxa"/>
            <w:tcBorders>
              <w:top w:val="single" w:sz="6" w:space="0" w:color="auto"/>
              <w:left w:val="single" w:sz="6" w:space="0" w:color="auto"/>
              <w:bottom w:val="single" w:sz="6" w:space="0" w:color="auto"/>
              <w:right w:val="single" w:sz="6" w:space="0" w:color="auto"/>
            </w:tcBorders>
            <w:shd w:val="pct10" w:color="auto" w:fill="FFFFFF"/>
          </w:tcPr>
          <w:p w:rsidR="003934AA" w:rsidRPr="00FA3856" w:rsidRDefault="003934AA" w:rsidP="00A70CD2">
            <w:pPr>
              <w:pStyle w:val="PSDS-CorpodeTexto0"/>
              <w:jc w:val="center"/>
              <w:rPr>
                <w:rFonts w:ascii="Times New Roman" w:hAnsi="Times New Roman"/>
                <w:b/>
                <w:bCs/>
              </w:rPr>
            </w:pPr>
            <w:r w:rsidRPr="00FA3856">
              <w:rPr>
                <w:rFonts w:ascii="Times New Roman" w:hAnsi="Times New Roman"/>
                <w:b/>
                <w:bCs/>
              </w:rPr>
              <w:t>Nº</w:t>
            </w:r>
          </w:p>
        </w:tc>
        <w:tc>
          <w:tcPr>
            <w:tcW w:w="3000" w:type="dxa"/>
            <w:tcBorders>
              <w:top w:val="single" w:sz="6" w:space="0" w:color="auto"/>
              <w:left w:val="single" w:sz="6" w:space="0" w:color="auto"/>
              <w:bottom w:val="single" w:sz="6" w:space="0" w:color="auto"/>
              <w:right w:val="single" w:sz="6" w:space="0" w:color="auto"/>
            </w:tcBorders>
            <w:shd w:val="pct10" w:color="auto" w:fill="FFFFFF"/>
          </w:tcPr>
          <w:p w:rsidR="003934AA" w:rsidRPr="00FA3856" w:rsidRDefault="003934AA" w:rsidP="00A70CD2">
            <w:pPr>
              <w:pStyle w:val="PSDS-CorpodeTexto0"/>
              <w:jc w:val="center"/>
              <w:rPr>
                <w:rFonts w:ascii="Times New Roman" w:hAnsi="Times New Roman"/>
                <w:b/>
                <w:bCs/>
              </w:rPr>
            </w:pPr>
            <w:r w:rsidRPr="00FA3856">
              <w:rPr>
                <w:rFonts w:ascii="Times New Roman" w:hAnsi="Times New Roman"/>
                <w:b/>
                <w:bCs/>
              </w:rPr>
              <w:t>Campo</w:t>
            </w:r>
          </w:p>
        </w:tc>
        <w:tc>
          <w:tcPr>
            <w:tcW w:w="12168" w:type="dxa"/>
            <w:tcBorders>
              <w:top w:val="single" w:sz="6" w:space="0" w:color="auto"/>
              <w:left w:val="single" w:sz="6" w:space="0" w:color="auto"/>
              <w:bottom w:val="single" w:sz="6" w:space="0" w:color="auto"/>
              <w:right w:val="single" w:sz="6" w:space="0" w:color="auto"/>
            </w:tcBorders>
            <w:shd w:val="pct10" w:color="auto" w:fill="FFFFFF"/>
          </w:tcPr>
          <w:p w:rsidR="003934AA" w:rsidRPr="00FA3856" w:rsidRDefault="003934AA" w:rsidP="00A70CD2">
            <w:pPr>
              <w:pStyle w:val="PSDS-CorpodeTexto0"/>
              <w:jc w:val="center"/>
              <w:rPr>
                <w:rFonts w:ascii="Times New Roman" w:hAnsi="Times New Roman"/>
                <w:b/>
                <w:bCs/>
              </w:rPr>
            </w:pPr>
            <w:r w:rsidRPr="00FA3856">
              <w:rPr>
                <w:rFonts w:ascii="Times New Roman" w:hAnsi="Times New Roman"/>
                <w:b/>
                <w:bCs/>
              </w:rPr>
              <w:t>Regras de Validação do Campo</w:t>
            </w:r>
          </w:p>
        </w:tc>
        <w:tc>
          <w:tcPr>
            <w:tcW w:w="717" w:type="dxa"/>
            <w:tcBorders>
              <w:top w:val="single" w:sz="6" w:space="0" w:color="auto"/>
              <w:left w:val="single" w:sz="6" w:space="0" w:color="auto"/>
              <w:bottom w:val="single" w:sz="6" w:space="0" w:color="auto"/>
              <w:right w:val="single" w:sz="6" w:space="0" w:color="auto"/>
            </w:tcBorders>
            <w:shd w:val="pct10" w:color="auto" w:fill="FFFFFF"/>
          </w:tcPr>
          <w:p w:rsidR="003934AA" w:rsidRPr="00FA3856" w:rsidRDefault="003934AA" w:rsidP="00A70CD2">
            <w:pPr>
              <w:pStyle w:val="PSDS-CorpodeTexto0"/>
              <w:jc w:val="center"/>
              <w:rPr>
                <w:rFonts w:ascii="Times New Roman" w:hAnsi="Times New Roman"/>
                <w:b/>
                <w:bCs/>
              </w:rPr>
            </w:pPr>
            <w:r w:rsidRPr="00FA3856">
              <w:rPr>
                <w:rFonts w:ascii="Times New Roman" w:hAnsi="Times New Roman"/>
                <w:b/>
                <w:bCs/>
              </w:rPr>
              <w:t>Tipo</w:t>
            </w:r>
          </w:p>
        </w:tc>
      </w:tr>
      <w:tr w:rsidR="003934AA" w:rsidRPr="00FA3856" w:rsidTr="00BB2C36">
        <w:trPr>
          <w:jc w:val="center"/>
        </w:trPr>
        <w:tc>
          <w:tcPr>
            <w:tcW w:w="485" w:type="dxa"/>
            <w:tcBorders>
              <w:top w:val="single" w:sz="6" w:space="0" w:color="auto"/>
              <w:left w:val="single" w:sz="6" w:space="0" w:color="auto"/>
              <w:bottom w:val="single" w:sz="6" w:space="0" w:color="auto"/>
              <w:right w:val="single" w:sz="6" w:space="0" w:color="auto"/>
            </w:tcBorders>
          </w:tcPr>
          <w:p w:rsidR="003934AA" w:rsidRPr="00FA3856" w:rsidRDefault="003934AA" w:rsidP="00A70CD2">
            <w:pPr>
              <w:pStyle w:val="PSDS-CorpodeTexto0"/>
              <w:suppressAutoHyphens w:val="0"/>
              <w:rPr>
                <w:rFonts w:ascii="Times New Roman" w:hAnsi="Times New Roman"/>
                <w:b/>
                <w:bCs/>
                <w:lang w:val="pt-PT"/>
              </w:rPr>
            </w:pPr>
            <w:r w:rsidRPr="00FA3856">
              <w:rPr>
                <w:rFonts w:ascii="Times New Roman" w:hAnsi="Times New Roman"/>
                <w:b/>
                <w:bCs/>
                <w:lang w:val="pt-PT"/>
              </w:rPr>
              <w:t>5</w:t>
            </w:r>
          </w:p>
        </w:tc>
        <w:tc>
          <w:tcPr>
            <w:tcW w:w="3000" w:type="dxa"/>
            <w:tcBorders>
              <w:top w:val="single" w:sz="6" w:space="0" w:color="auto"/>
              <w:left w:val="single" w:sz="6" w:space="0" w:color="auto"/>
              <w:bottom w:val="single" w:sz="6" w:space="0" w:color="auto"/>
              <w:right w:val="single" w:sz="6" w:space="0" w:color="auto"/>
            </w:tcBorders>
          </w:tcPr>
          <w:p w:rsidR="003934AA" w:rsidRPr="00FA3856" w:rsidRDefault="003934AA" w:rsidP="00A70CD2">
            <w:pPr>
              <w:pStyle w:val="PSDS-CorpodeTexto0"/>
              <w:rPr>
                <w:rFonts w:ascii="Times New Roman" w:hAnsi="Times New Roman"/>
                <w:bCs/>
                <w:lang w:val="pt-PT"/>
              </w:rPr>
            </w:pPr>
            <w:r w:rsidRPr="00FA3856">
              <w:rPr>
                <w:rFonts w:ascii="Times New Roman" w:hAnsi="Times New Roman"/>
                <w:bCs/>
                <w:lang w:val="pt-PT"/>
              </w:rPr>
              <w:t>CNPJ_LID</w:t>
            </w:r>
          </w:p>
          <w:p w:rsidR="003934AA" w:rsidRPr="00FA3856" w:rsidRDefault="003934AA" w:rsidP="00A70CD2">
            <w:pPr>
              <w:pStyle w:val="PSDS-CorpodeTexto0"/>
              <w:rPr>
                <w:rFonts w:ascii="Times New Roman" w:hAnsi="Times New Roman"/>
                <w:lang w:val="pt-PT"/>
              </w:rPr>
            </w:pPr>
          </w:p>
        </w:tc>
        <w:tc>
          <w:tcPr>
            <w:tcW w:w="12168" w:type="dxa"/>
            <w:tcBorders>
              <w:top w:val="single" w:sz="6" w:space="0" w:color="auto"/>
              <w:left w:val="single" w:sz="6" w:space="0" w:color="auto"/>
              <w:bottom w:val="single" w:sz="6" w:space="0" w:color="auto"/>
              <w:right w:val="single" w:sz="6" w:space="0" w:color="auto"/>
            </w:tcBorders>
          </w:tcPr>
          <w:p w:rsidR="003934AA" w:rsidRPr="00FA3856" w:rsidRDefault="003934AA" w:rsidP="003934AA">
            <w:pPr>
              <w:pStyle w:val="PSDS-CorpodeTexto0"/>
              <w:jc w:val="both"/>
              <w:rPr>
                <w:rFonts w:ascii="Times New Roman" w:hAnsi="Times New Roman"/>
              </w:rPr>
            </w:pPr>
            <w:r w:rsidRPr="00FA3856">
              <w:rPr>
                <w:rFonts w:ascii="Times New Roman" w:hAnsi="Times New Roman"/>
                <w:b/>
              </w:rPr>
              <w:t xml:space="preserve">REGRA_CNPJ_LID: </w:t>
            </w:r>
            <w:r w:rsidRPr="00FA3856">
              <w:rPr>
                <w:rFonts w:ascii="Times New Roman" w:hAnsi="Times New Roman"/>
              </w:rPr>
              <w:t xml:space="preserve">Verifica, caso </w:t>
            </w:r>
            <w:r w:rsidR="00A530D3" w:rsidRPr="00FA3856">
              <w:rPr>
                <w:rFonts w:ascii="Times New Roman" w:hAnsi="Times New Roman"/>
              </w:rPr>
              <w:t>Y640.</w:t>
            </w:r>
            <w:r w:rsidR="00516F95" w:rsidRPr="00FA3856">
              <w:rPr>
                <w:rFonts w:ascii="Times New Roman" w:hAnsi="Times New Roman"/>
              </w:rPr>
              <w:t xml:space="preserve">COND_DECL </w:t>
            </w:r>
            <w:r w:rsidRPr="00FA3856">
              <w:rPr>
                <w:rFonts w:ascii="Times New Roman" w:hAnsi="Times New Roman"/>
              </w:rPr>
              <w:t xml:space="preserve">= “1” (empresa líder), se </w:t>
            </w:r>
            <w:r w:rsidR="00516F95" w:rsidRPr="00FA3856">
              <w:rPr>
                <w:rFonts w:ascii="Times New Roman" w:hAnsi="Times New Roman"/>
              </w:rPr>
              <w:t xml:space="preserve">Y640.CNPJ_LID </w:t>
            </w:r>
            <w:r w:rsidRPr="00FA3856">
              <w:rPr>
                <w:rFonts w:ascii="Times New Roman" w:hAnsi="Times New Roman"/>
              </w:rPr>
              <w:t>é igual a 0000.</w:t>
            </w:r>
            <w:r w:rsidR="00A530D3" w:rsidRPr="00FA3856">
              <w:rPr>
                <w:rFonts w:ascii="Times New Roman" w:hAnsi="Times New Roman"/>
              </w:rPr>
              <w:t>CNPJ</w:t>
            </w:r>
            <w:r w:rsidRPr="00FA3856">
              <w:rPr>
                <w:rFonts w:ascii="Times New Roman" w:hAnsi="Times New Roman"/>
              </w:rPr>
              <w:t>.</w:t>
            </w:r>
          </w:p>
          <w:p w:rsidR="00BB2C36" w:rsidRPr="00FA3856" w:rsidRDefault="00BB2C36" w:rsidP="003934AA">
            <w:pPr>
              <w:pStyle w:val="PSDS-CorpodeTexto0"/>
              <w:jc w:val="both"/>
              <w:rPr>
                <w:rFonts w:ascii="Times New Roman" w:hAnsi="Times New Roman"/>
              </w:rPr>
            </w:pPr>
          </w:p>
          <w:p w:rsidR="00BB2C36" w:rsidRPr="00FA3856" w:rsidRDefault="007D0E74" w:rsidP="003934AA">
            <w:pPr>
              <w:pStyle w:val="PSDS-CorpodeTexto0"/>
              <w:jc w:val="both"/>
              <w:rPr>
                <w:rFonts w:ascii="Times New Roman" w:hAnsi="Times New Roman"/>
              </w:rPr>
            </w:pPr>
            <w:hyperlink w:anchor="REGRA_VALIDA_CNPJ" w:history="1">
              <w:r w:rsidR="00BB2C36" w:rsidRPr="00FA3856">
                <w:rPr>
                  <w:rStyle w:val="Hyperlink"/>
                  <w:rFonts w:ascii="Times New Roman" w:hAnsi="Times New Roman"/>
                  <w:b/>
                  <w:bCs/>
                  <w:color w:val="auto"/>
                  <w:lang w:val="pt-PT"/>
                </w:rPr>
                <w:t>REGRA_VALIDA_CNPJ</w:t>
              </w:r>
            </w:hyperlink>
            <w:r w:rsidR="00BB2C36" w:rsidRPr="00FA3856">
              <w:rPr>
                <w:rFonts w:ascii="Times New Roman" w:hAnsi="Times New Roman"/>
                <w:b/>
                <w:bCs/>
                <w:lang w:val="pt-PT"/>
              </w:rPr>
              <w:t xml:space="preserve">: </w:t>
            </w:r>
            <w:r w:rsidR="00BB2C36" w:rsidRPr="00FA3856">
              <w:rPr>
                <w:rFonts w:ascii="Times New Roman" w:hAnsi="Times New Roman"/>
              </w:rPr>
              <w:t xml:space="preserve"> Verifica se a regra de formação do código é válida.</w:t>
            </w:r>
          </w:p>
        </w:tc>
        <w:tc>
          <w:tcPr>
            <w:tcW w:w="717" w:type="dxa"/>
            <w:tcBorders>
              <w:top w:val="single" w:sz="6" w:space="0" w:color="auto"/>
              <w:left w:val="single" w:sz="6" w:space="0" w:color="auto"/>
              <w:bottom w:val="single" w:sz="6" w:space="0" w:color="auto"/>
              <w:right w:val="single" w:sz="6" w:space="0" w:color="auto"/>
            </w:tcBorders>
          </w:tcPr>
          <w:p w:rsidR="003934AA" w:rsidRPr="00FA3856" w:rsidRDefault="003934AA" w:rsidP="00A70CD2">
            <w:pPr>
              <w:pStyle w:val="PSDS-CorpodeTexto0"/>
              <w:rPr>
                <w:rFonts w:ascii="Times New Roman" w:hAnsi="Times New Roman"/>
                <w:lang w:val="pt-PT"/>
              </w:rPr>
            </w:pPr>
            <w:r w:rsidRPr="00FA3856">
              <w:rPr>
                <w:rFonts w:ascii="Times New Roman" w:hAnsi="Times New Roman"/>
                <w:lang w:val="pt-PT"/>
              </w:rPr>
              <w:t>Erro</w:t>
            </w:r>
          </w:p>
          <w:p w:rsidR="00BB2C36" w:rsidRPr="00FA3856" w:rsidRDefault="00BB2C36" w:rsidP="00A70CD2">
            <w:pPr>
              <w:pStyle w:val="PSDS-CorpodeTexto0"/>
              <w:rPr>
                <w:rFonts w:ascii="Times New Roman" w:hAnsi="Times New Roman"/>
                <w:lang w:val="pt-PT"/>
              </w:rPr>
            </w:pPr>
          </w:p>
          <w:p w:rsidR="00BB2C36" w:rsidRPr="00FA3856" w:rsidRDefault="00BB2C36" w:rsidP="00A70CD2">
            <w:pPr>
              <w:pStyle w:val="PSDS-CorpodeTexto0"/>
              <w:rPr>
                <w:rFonts w:ascii="Times New Roman" w:hAnsi="Times New Roman"/>
                <w:lang w:val="pt-PT"/>
              </w:rPr>
            </w:pPr>
            <w:r w:rsidRPr="00FA3856">
              <w:rPr>
                <w:rFonts w:ascii="Times New Roman" w:hAnsi="Times New Roman"/>
                <w:lang w:val="pt-PT"/>
              </w:rPr>
              <w:t>Erro</w:t>
            </w:r>
          </w:p>
        </w:tc>
      </w:tr>
      <w:tr w:rsidR="003934AA" w:rsidRPr="00FA3856" w:rsidTr="00BB2C36">
        <w:trPr>
          <w:jc w:val="center"/>
        </w:trPr>
        <w:tc>
          <w:tcPr>
            <w:tcW w:w="485" w:type="dxa"/>
            <w:tcBorders>
              <w:top w:val="single" w:sz="6" w:space="0" w:color="auto"/>
              <w:left w:val="single" w:sz="6" w:space="0" w:color="auto"/>
              <w:bottom w:val="single" w:sz="6" w:space="0" w:color="auto"/>
              <w:right w:val="single" w:sz="6" w:space="0" w:color="auto"/>
            </w:tcBorders>
          </w:tcPr>
          <w:p w:rsidR="003934AA" w:rsidRPr="00FA3856" w:rsidRDefault="003934AA" w:rsidP="00A70CD2">
            <w:pPr>
              <w:pStyle w:val="PSDS-CorpodeTexto0"/>
              <w:suppressAutoHyphens w:val="0"/>
              <w:rPr>
                <w:rFonts w:ascii="Times New Roman" w:hAnsi="Times New Roman"/>
                <w:b/>
                <w:bCs/>
                <w:lang w:val="pt-PT"/>
              </w:rPr>
            </w:pPr>
            <w:r w:rsidRPr="00FA3856">
              <w:rPr>
                <w:rFonts w:ascii="Times New Roman" w:hAnsi="Times New Roman"/>
                <w:b/>
                <w:bCs/>
                <w:lang w:val="pt-PT"/>
              </w:rPr>
              <w:t>6</w:t>
            </w:r>
          </w:p>
        </w:tc>
        <w:tc>
          <w:tcPr>
            <w:tcW w:w="3000" w:type="dxa"/>
            <w:tcBorders>
              <w:top w:val="single" w:sz="6" w:space="0" w:color="auto"/>
              <w:left w:val="single" w:sz="6" w:space="0" w:color="auto"/>
              <w:bottom w:val="single" w:sz="6" w:space="0" w:color="auto"/>
              <w:right w:val="single" w:sz="6" w:space="0" w:color="auto"/>
            </w:tcBorders>
          </w:tcPr>
          <w:p w:rsidR="003934AA" w:rsidRPr="00FA3856" w:rsidRDefault="003934AA" w:rsidP="00A70CD2">
            <w:pPr>
              <w:pStyle w:val="PSDS-CorpodeTexto0"/>
              <w:rPr>
                <w:rFonts w:ascii="Times New Roman" w:hAnsi="Times New Roman"/>
                <w:bCs/>
                <w:lang w:val="pt-PT"/>
              </w:rPr>
            </w:pPr>
            <w:r w:rsidRPr="00FA3856">
              <w:rPr>
                <w:rFonts w:ascii="Times New Roman" w:hAnsi="Times New Roman"/>
                <w:bCs/>
                <w:lang w:val="pt-PT"/>
              </w:rPr>
              <w:t>VL_DECL</w:t>
            </w:r>
          </w:p>
          <w:p w:rsidR="003934AA" w:rsidRPr="00FA3856" w:rsidRDefault="003934AA" w:rsidP="00A70CD2">
            <w:pPr>
              <w:pStyle w:val="PSDS-CorpodeTexto0"/>
              <w:rPr>
                <w:rFonts w:ascii="Times New Roman" w:hAnsi="Times New Roman"/>
                <w:lang w:val="pt-PT"/>
              </w:rPr>
            </w:pPr>
          </w:p>
        </w:tc>
        <w:tc>
          <w:tcPr>
            <w:tcW w:w="12168" w:type="dxa"/>
            <w:tcBorders>
              <w:top w:val="single" w:sz="6" w:space="0" w:color="auto"/>
              <w:left w:val="single" w:sz="6" w:space="0" w:color="auto"/>
              <w:bottom w:val="single" w:sz="6" w:space="0" w:color="auto"/>
              <w:right w:val="single" w:sz="6" w:space="0" w:color="auto"/>
            </w:tcBorders>
          </w:tcPr>
          <w:p w:rsidR="0077295E" w:rsidRPr="00FA3856" w:rsidRDefault="003934AA" w:rsidP="00516F95">
            <w:pPr>
              <w:pStyle w:val="PSDS-CorpodeTexto0"/>
              <w:jc w:val="both"/>
              <w:rPr>
                <w:rFonts w:ascii="Times New Roman" w:hAnsi="Times New Roman"/>
              </w:rPr>
            </w:pPr>
            <w:r w:rsidRPr="00FA3856">
              <w:rPr>
                <w:rFonts w:ascii="Times New Roman" w:hAnsi="Times New Roman"/>
                <w:b/>
              </w:rPr>
              <w:t xml:space="preserve">REGRA_VL_DECL_MENOR_VL_CONS: </w:t>
            </w:r>
            <w:r w:rsidRPr="00FA3856">
              <w:rPr>
                <w:rFonts w:ascii="Times New Roman" w:hAnsi="Times New Roman"/>
              </w:rPr>
              <w:t xml:space="preserve">Verifica se o valor informado </w:t>
            </w:r>
            <w:r w:rsidR="00516F95" w:rsidRPr="00FA3856">
              <w:rPr>
                <w:rFonts w:ascii="Times New Roman" w:hAnsi="Times New Roman"/>
              </w:rPr>
              <w:t>em</w:t>
            </w:r>
            <w:r w:rsidRPr="00FA3856">
              <w:rPr>
                <w:rFonts w:ascii="Times New Roman" w:hAnsi="Times New Roman"/>
              </w:rPr>
              <w:t xml:space="preserve"> </w:t>
            </w:r>
            <w:r w:rsidR="00516F95" w:rsidRPr="00FA3856">
              <w:rPr>
                <w:rFonts w:ascii="Times New Roman" w:hAnsi="Times New Roman"/>
              </w:rPr>
              <w:t xml:space="preserve">Y640.VL_DECL </w:t>
            </w:r>
            <w:r w:rsidRPr="00FA3856">
              <w:rPr>
                <w:rFonts w:ascii="Times New Roman" w:hAnsi="Times New Roman"/>
              </w:rPr>
              <w:t xml:space="preserve">é menor </w:t>
            </w:r>
            <w:r w:rsidR="0077295E" w:rsidRPr="00FA3856">
              <w:rPr>
                <w:rFonts w:ascii="Times New Roman" w:hAnsi="Times New Roman"/>
              </w:rPr>
              <w:t xml:space="preserve">ou igual </w:t>
            </w:r>
            <w:r w:rsidRPr="00FA3856">
              <w:rPr>
                <w:rFonts w:ascii="Times New Roman" w:hAnsi="Times New Roman"/>
              </w:rPr>
              <w:t>que o valor inf</w:t>
            </w:r>
            <w:r w:rsidR="00A530D3" w:rsidRPr="00FA3856">
              <w:rPr>
                <w:rFonts w:ascii="Times New Roman" w:hAnsi="Times New Roman"/>
              </w:rPr>
              <w:t>orma</w:t>
            </w:r>
            <w:r w:rsidR="00516F95" w:rsidRPr="00FA3856">
              <w:rPr>
                <w:rFonts w:ascii="Times New Roman" w:hAnsi="Times New Roman"/>
              </w:rPr>
              <w:t>do em Y640.VL_CONS</w:t>
            </w:r>
            <w:r w:rsidRPr="00FA3856">
              <w:rPr>
                <w:rFonts w:ascii="Times New Roman" w:hAnsi="Times New Roman"/>
              </w:rPr>
              <w:t>.</w:t>
            </w:r>
          </w:p>
        </w:tc>
        <w:tc>
          <w:tcPr>
            <w:tcW w:w="717" w:type="dxa"/>
            <w:tcBorders>
              <w:top w:val="single" w:sz="6" w:space="0" w:color="auto"/>
              <w:left w:val="single" w:sz="6" w:space="0" w:color="auto"/>
              <w:bottom w:val="single" w:sz="6" w:space="0" w:color="auto"/>
              <w:right w:val="single" w:sz="6" w:space="0" w:color="auto"/>
            </w:tcBorders>
          </w:tcPr>
          <w:p w:rsidR="003934AA" w:rsidRPr="00FA3856" w:rsidRDefault="003934AA" w:rsidP="00A70CD2">
            <w:pPr>
              <w:pStyle w:val="PSDS-CorpodeTexto0"/>
              <w:rPr>
                <w:rFonts w:ascii="Times New Roman" w:hAnsi="Times New Roman"/>
                <w:lang w:val="pt-PT"/>
              </w:rPr>
            </w:pPr>
            <w:r w:rsidRPr="00FA3856">
              <w:rPr>
                <w:rFonts w:ascii="Times New Roman" w:hAnsi="Times New Roman"/>
                <w:lang w:val="pt-PT"/>
              </w:rPr>
              <w:t>Erro</w:t>
            </w:r>
          </w:p>
          <w:p w:rsidR="0077295E" w:rsidRPr="00FA3856" w:rsidRDefault="0077295E" w:rsidP="00A70CD2">
            <w:pPr>
              <w:pStyle w:val="PSDS-CorpodeTexto0"/>
              <w:rPr>
                <w:rFonts w:ascii="Times New Roman" w:hAnsi="Times New Roman"/>
                <w:lang w:val="pt-PT"/>
              </w:rPr>
            </w:pPr>
          </w:p>
        </w:tc>
      </w:tr>
    </w:tbl>
    <w:p w:rsidR="003934AA" w:rsidRPr="00FA3856" w:rsidRDefault="003934AA" w:rsidP="003934AA">
      <w:pPr>
        <w:rPr>
          <w:szCs w:val="20"/>
          <w:lang w:val="pt-PT"/>
        </w:rPr>
      </w:pPr>
    </w:p>
    <w:p w:rsidR="00D31963" w:rsidRDefault="00A530D3" w:rsidP="00A530D3">
      <w:pPr>
        <w:rPr>
          <w:b/>
          <w:color w:val="002060"/>
          <w:szCs w:val="20"/>
        </w:rPr>
      </w:pPr>
      <w:r w:rsidRPr="00FA3856">
        <w:rPr>
          <w:b/>
          <w:color w:val="002060"/>
          <w:szCs w:val="20"/>
        </w:rPr>
        <w:t xml:space="preserve">Exemplo de Preenchimento: </w:t>
      </w:r>
    </w:p>
    <w:p w:rsidR="00D31963" w:rsidRDefault="00D31963" w:rsidP="00A530D3">
      <w:pPr>
        <w:rPr>
          <w:b/>
          <w:color w:val="002060"/>
          <w:szCs w:val="20"/>
        </w:rPr>
      </w:pPr>
    </w:p>
    <w:p w:rsidR="003934AA" w:rsidRPr="00FA3856" w:rsidRDefault="003934AA" w:rsidP="00A530D3">
      <w:pPr>
        <w:rPr>
          <w:b/>
          <w:color w:val="002060"/>
          <w:szCs w:val="20"/>
        </w:rPr>
      </w:pPr>
      <w:r w:rsidRPr="00FA3856">
        <w:rPr>
          <w:b/>
          <w:color w:val="002060"/>
          <w:szCs w:val="20"/>
        </w:rPr>
        <w:t>|Y640|44444444000191|1|500000,00|22222222000191|400000,00|</w:t>
      </w:r>
    </w:p>
    <w:p w:rsidR="003934AA" w:rsidRPr="00FA3856" w:rsidRDefault="003934AA" w:rsidP="003934AA">
      <w:pPr>
        <w:pStyle w:val="Corpodetexto"/>
        <w:ind w:left="708" w:firstLine="709"/>
        <w:rPr>
          <w:rFonts w:ascii="Times New Roman" w:hAnsi="Times New Roman"/>
          <w:color w:val="002060"/>
          <w:szCs w:val="20"/>
        </w:rPr>
      </w:pPr>
      <w:r w:rsidRPr="00FA3856">
        <w:rPr>
          <w:rFonts w:ascii="Times New Roman" w:hAnsi="Times New Roman"/>
          <w:color w:val="002060"/>
          <w:szCs w:val="20"/>
        </w:rPr>
        <w:t>|Y640|: Identificação do tipo do registro.</w:t>
      </w:r>
    </w:p>
    <w:p w:rsidR="003934AA" w:rsidRPr="00FA3856" w:rsidRDefault="003934AA" w:rsidP="003934AA">
      <w:pPr>
        <w:pStyle w:val="Corpodetexto"/>
        <w:ind w:left="708" w:firstLine="709"/>
        <w:rPr>
          <w:rFonts w:ascii="Times New Roman" w:hAnsi="Times New Roman"/>
          <w:color w:val="002060"/>
          <w:szCs w:val="20"/>
        </w:rPr>
      </w:pPr>
      <w:r w:rsidRPr="00FA3856">
        <w:rPr>
          <w:rFonts w:ascii="Times New Roman" w:hAnsi="Times New Roman"/>
          <w:color w:val="002060"/>
          <w:szCs w:val="20"/>
        </w:rPr>
        <w:t>|44444444000191|: CNPJ do consórcio (44.444.444/0001-91).</w:t>
      </w:r>
    </w:p>
    <w:p w:rsidR="003934AA" w:rsidRPr="00FA3856" w:rsidRDefault="003934AA" w:rsidP="003934AA">
      <w:pPr>
        <w:rPr>
          <w:color w:val="002060"/>
          <w:szCs w:val="20"/>
        </w:rPr>
      </w:pPr>
      <w:r w:rsidRPr="00FA3856">
        <w:rPr>
          <w:b/>
          <w:color w:val="002060"/>
          <w:szCs w:val="20"/>
        </w:rPr>
        <w:tab/>
      </w:r>
      <w:r w:rsidRPr="00FA3856">
        <w:rPr>
          <w:b/>
          <w:color w:val="002060"/>
          <w:szCs w:val="20"/>
        </w:rPr>
        <w:tab/>
      </w:r>
      <w:r w:rsidRPr="00FA3856">
        <w:rPr>
          <w:color w:val="002060"/>
          <w:szCs w:val="20"/>
        </w:rPr>
        <w:t>|1|: Condição da declarante (1 = empresa líder – nesse caso, é obrigatório o preenchimento do Y650).</w:t>
      </w:r>
    </w:p>
    <w:p w:rsidR="003934AA" w:rsidRPr="00FA3856" w:rsidRDefault="003934AA" w:rsidP="003934AA">
      <w:pPr>
        <w:rPr>
          <w:color w:val="002060"/>
          <w:szCs w:val="20"/>
        </w:rPr>
      </w:pPr>
      <w:r w:rsidRPr="00FA3856">
        <w:rPr>
          <w:color w:val="002060"/>
          <w:szCs w:val="20"/>
        </w:rPr>
        <w:tab/>
      </w:r>
      <w:r w:rsidRPr="00FA3856">
        <w:rPr>
          <w:color w:val="002060"/>
          <w:szCs w:val="20"/>
        </w:rPr>
        <w:tab/>
        <w:t>|500000,00|: Receita do consórcio (R$ 500.000,00).</w:t>
      </w:r>
    </w:p>
    <w:p w:rsidR="003934AA" w:rsidRPr="00FA3856" w:rsidRDefault="003934AA" w:rsidP="003934AA">
      <w:pPr>
        <w:rPr>
          <w:color w:val="002060"/>
          <w:szCs w:val="20"/>
        </w:rPr>
      </w:pPr>
      <w:r w:rsidRPr="00FA3856">
        <w:rPr>
          <w:color w:val="002060"/>
          <w:szCs w:val="20"/>
        </w:rPr>
        <w:tab/>
      </w:r>
      <w:r w:rsidRPr="00FA3856">
        <w:rPr>
          <w:color w:val="002060"/>
          <w:szCs w:val="20"/>
        </w:rPr>
        <w:tab/>
        <w:t>|22222222000191|: CNPJ da empresa líder do consórcio (22.222.222/0001-91).</w:t>
      </w:r>
    </w:p>
    <w:p w:rsidR="003934AA" w:rsidRPr="00FA3856" w:rsidRDefault="003934AA" w:rsidP="003934AA">
      <w:pPr>
        <w:rPr>
          <w:color w:val="002060"/>
          <w:szCs w:val="20"/>
        </w:rPr>
      </w:pPr>
      <w:r w:rsidRPr="00FA3856">
        <w:rPr>
          <w:color w:val="002060"/>
          <w:szCs w:val="20"/>
        </w:rPr>
        <w:tab/>
      </w:r>
      <w:r w:rsidRPr="00FA3856">
        <w:rPr>
          <w:color w:val="002060"/>
          <w:szCs w:val="20"/>
        </w:rPr>
        <w:tab/>
        <w:t>|400000,00|: Receita do declarante (R$ 400.000,00).</w:t>
      </w:r>
    </w:p>
    <w:p w:rsidR="003934AA" w:rsidRPr="00FA3856" w:rsidRDefault="003934AA" w:rsidP="003934AA">
      <w:pPr>
        <w:rPr>
          <w:color w:val="002060"/>
          <w:szCs w:val="20"/>
        </w:rPr>
      </w:pPr>
      <w:r w:rsidRPr="00FA3856">
        <w:rPr>
          <w:color w:val="002060"/>
          <w:szCs w:val="20"/>
        </w:rPr>
        <w:tab/>
      </w:r>
      <w:r w:rsidRPr="00FA3856">
        <w:rPr>
          <w:color w:val="002060"/>
          <w:szCs w:val="20"/>
        </w:rPr>
        <w:tab/>
      </w:r>
    </w:p>
    <w:p w:rsidR="003934AA" w:rsidRPr="00FA3856" w:rsidRDefault="003934AA" w:rsidP="003934AA">
      <w:pPr>
        <w:rPr>
          <w:b/>
          <w:bCs/>
          <w:color w:val="0000FF"/>
          <w:szCs w:val="20"/>
        </w:rPr>
      </w:pPr>
      <w:r w:rsidRPr="00FA3856">
        <w:rPr>
          <w:b/>
          <w:bCs/>
          <w:color w:val="0000FF"/>
          <w:szCs w:val="20"/>
        </w:rPr>
        <w:tab/>
      </w:r>
      <w:r w:rsidRPr="00FA3856">
        <w:rPr>
          <w:b/>
          <w:bCs/>
          <w:color w:val="0000FF"/>
          <w:szCs w:val="20"/>
        </w:rPr>
        <w:tab/>
      </w:r>
    </w:p>
    <w:p w:rsidR="003934AA" w:rsidRPr="00FA3856" w:rsidRDefault="003934AA" w:rsidP="003B49DF">
      <w:pPr>
        <w:pStyle w:val="PSDS-MarcadoresNivel4"/>
        <w:tabs>
          <w:tab w:val="clear" w:pos="2271"/>
          <w:tab w:val="left" w:pos="720"/>
        </w:tabs>
        <w:spacing w:before="0" w:after="0"/>
        <w:ind w:hanging="648"/>
        <w:rPr>
          <w:rFonts w:ascii="Times New Roman" w:hAnsi="Times New Roman" w:cs="Times New Roman"/>
          <w:szCs w:val="20"/>
          <w:lang w:val="pt-PT"/>
        </w:rPr>
      </w:pPr>
    </w:p>
    <w:p w:rsidR="00EF24FD" w:rsidRPr="00FA3856" w:rsidRDefault="00EF24FD">
      <w:pPr>
        <w:rPr>
          <w:b/>
          <w:bCs/>
          <w:color w:val="0000FF"/>
          <w:szCs w:val="20"/>
        </w:rPr>
      </w:pPr>
      <w:r w:rsidRPr="00FA3856">
        <w:rPr>
          <w:color w:val="0000FF"/>
          <w:szCs w:val="20"/>
        </w:rPr>
        <w:br w:type="page"/>
      </w:r>
    </w:p>
    <w:p w:rsidR="00EF24FD" w:rsidRPr="00FA3856" w:rsidRDefault="00EF24FD" w:rsidP="00867F54">
      <w:pPr>
        <w:pStyle w:val="Ttulo4"/>
      </w:pPr>
      <w:bookmarkStart w:id="435" w:name="_Toc479713835"/>
      <w:r w:rsidRPr="00FA3856">
        <w:lastRenderedPageBreak/>
        <w:t>Registro Y650: Participantes do Consórcio</w:t>
      </w:r>
      <w:bookmarkEnd w:id="435"/>
    </w:p>
    <w:p w:rsidR="00EF24FD" w:rsidRPr="00FA3856" w:rsidRDefault="00EF24FD" w:rsidP="00EF24FD">
      <w:pPr>
        <w:rPr>
          <w:szCs w:val="20"/>
        </w:rPr>
      </w:pPr>
    </w:p>
    <w:p w:rsidR="00C7612C" w:rsidRPr="00FA3856" w:rsidRDefault="00EF24FD" w:rsidP="00C63BB7">
      <w:pPr>
        <w:rPr>
          <w:szCs w:val="20"/>
        </w:rPr>
      </w:pPr>
      <w:r w:rsidRPr="00FA3856">
        <w:rPr>
          <w:szCs w:val="20"/>
        </w:rPr>
        <w:tab/>
      </w:r>
      <w:r w:rsidR="00C7612C" w:rsidRPr="00FA3856">
        <w:rPr>
          <w:szCs w:val="20"/>
        </w:rPr>
        <w:t>Este registro deve ser preenchido quando a pessoa jurídica indicou ser líder de consórcio no registro Y640 (</w:t>
      </w:r>
      <w:r w:rsidR="00A530D3" w:rsidRPr="00FA3856">
        <w:rPr>
          <w:szCs w:val="20"/>
        </w:rPr>
        <w:t>Y640.</w:t>
      </w:r>
      <w:r w:rsidR="00C7612C" w:rsidRPr="00FA3856">
        <w:rPr>
          <w:szCs w:val="20"/>
        </w:rPr>
        <w:t xml:space="preserve">COND_DECL = </w:t>
      </w:r>
      <w:r w:rsidR="00A530D3" w:rsidRPr="00FA3856">
        <w:rPr>
          <w:szCs w:val="20"/>
        </w:rPr>
        <w:t>“</w:t>
      </w:r>
      <w:r w:rsidR="00C7612C" w:rsidRPr="00FA3856">
        <w:rPr>
          <w:szCs w:val="20"/>
        </w:rPr>
        <w:t>1</w:t>
      </w:r>
      <w:r w:rsidR="00A530D3" w:rsidRPr="00FA3856">
        <w:rPr>
          <w:szCs w:val="20"/>
        </w:rPr>
        <w:t>”</w:t>
      </w:r>
      <w:r w:rsidR="00C7612C" w:rsidRPr="00FA3856">
        <w:rPr>
          <w:szCs w:val="20"/>
        </w:rPr>
        <w:t xml:space="preserve">). Deverão ser indicados, </w:t>
      </w:r>
      <w:r w:rsidR="00C63BB7" w:rsidRPr="00FA3856">
        <w:rPr>
          <w:szCs w:val="20"/>
        </w:rPr>
        <w:t>neste registro</w:t>
      </w:r>
      <w:r w:rsidR="00C7612C" w:rsidRPr="00FA3856">
        <w:rPr>
          <w:szCs w:val="20"/>
        </w:rPr>
        <w:t>, para cada um dos demais participantes do consórcio no qual a declarante é líder, o CNPJ</w:t>
      </w:r>
      <w:r w:rsidR="00A57DF3" w:rsidRPr="00FA3856">
        <w:rPr>
          <w:szCs w:val="20"/>
        </w:rPr>
        <w:t xml:space="preserve"> do participante</w:t>
      </w:r>
      <w:r w:rsidR="00C7612C" w:rsidRPr="00FA3856">
        <w:rPr>
          <w:szCs w:val="20"/>
        </w:rPr>
        <w:t xml:space="preserve"> e a respectiva receita auferida, observado o disposto no caput do art. 3</w:t>
      </w:r>
      <w:r w:rsidR="00C63BB7" w:rsidRPr="00FA3856">
        <w:rPr>
          <w:szCs w:val="20"/>
          <w:u w:val="single"/>
          <w:vertAlign w:val="superscript"/>
        </w:rPr>
        <w:t>o</w:t>
      </w:r>
      <w:r w:rsidR="00C7612C" w:rsidRPr="00FA3856">
        <w:rPr>
          <w:szCs w:val="20"/>
        </w:rPr>
        <w:t xml:space="preserve"> da IN RFB n</w:t>
      </w:r>
      <w:r w:rsidR="00C63BB7" w:rsidRPr="00FA3856">
        <w:rPr>
          <w:szCs w:val="20"/>
          <w:u w:val="single"/>
          <w:vertAlign w:val="superscript"/>
        </w:rPr>
        <w:t>o</w:t>
      </w:r>
      <w:r w:rsidR="00C7612C" w:rsidRPr="00FA3856">
        <w:rPr>
          <w:szCs w:val="20"/>
        </w:rPr>
        <w:t xml:space="preserve"> 1.199, de 2011.</w:t>
      </w:r>
    </w:p>
    <w:p w:rsidR="003934AA" w:rsidRPr="00FA3856" w:rsidRDefault="003934AA" w:rsidP="00C63BB7">
      <w:pPr>
        <w:rPr>
          <w:szCs w:val="20"/>
        </w:rPr>
      </w:pPr>
    </w:p>
    <w:p w:rsidR="003934AA" w:rsidRPr="00FA3856" w:rsidRDefault="003934AA" w:rsidP="00C63BB7">
      <w:pPr>
        <w:rPr>
          <w:szCs w:val="20"/>
        </w:rPr>
      </w:pPr>
      <w:r w:rsidRPr="00FA3856">
        <w:rPr>
          <w:szCs w:val="20"/>
        </w:rPr>
        <w:tab/>
        <w:t>Não é necessário informar o CNPJ e a receita da empresa líder, pois já foram informados no registro Y640.</w:t>
      </w:r>
    </w:p>
    <w:p w:rsidR="003B49DF" w:rsidRDefault="003B49DF" w:rsidP="003B49DF">
      <w:pPr>
        <w:rPr>
          <w:szCs w:val="20"/>
          <w:lang w:val="pt-PT"/>
        </w:rPr>
      </w:pPr>
    </w:p>
    <w:p w:rsidR="00D31963" w:rsidRPr="00FA3856" w:rsidRDefault="00B35FA3" w:rsidP="00D31963">
      <w:pPr>
        <w:jc w:val="center"/>
        <w:rPr>
          <w:szCs w:val="20"/>
          <w:lang w:val="pt-PT"/>
        </w:rPr>
      </w:pPr>
      <w:r>
        <w:rPr>
          <w:szCs w:val="20"/>
          <w:lang w:val="pt-PT"/>
        </w:rPr>
        <w:object w:dxaOrig="14835" w:dyaOrig="2700">
          <v:shape id="_x0000_i2082" type="#_x0000_t75" style="width:792.75pt;height:131.25pt" o:ole="">
            <v:imagedata r:id="rId874" o:title=""/>
          </v:shape>
          <o:OLEObject Type="Link" ProgID="Excel.Sheet.12" ShapeID="_x0000_i2082" DrawAspect="Content" r:id="rId875" UpdateMode="Always">
            <o:LinkType>EnhancedMetaFile</o:LinkType>
            <o:LockedField>false</o:LockedField>
          </o:OLEObject>
        </w:object>
      </w:r>
    </w:p>
    <w:p w:rsidR="00D31963" w:rsidRDefault="00D31963" w:rsidP="00A57DF3">
      <w:pPr>
        <w:pStyle w:val="PSDS-MarcadoresNivel4"/>
        <w:tabs>
          <w:tab w:val="clear" w:pos="2271"/>
          <w:tab w:val="left" w:pos="720"/>
        </w:tabs>
        <w:spacing w:before="0" w:after="0"/>
        <w:ind w:left="0" w:firstLine="0"/>
        <w:rPr>
          <w:rFonts w:ascii="Times New Roman" w:hAnsi="Times New Roman" w:cs="Times New Roman"/>
          <w:szCs w:val="20"/>
          <w:lang w:val="pt-PT"/>
        </w:rPr>
      </w:pPr>
    </w:p>
    <w:p w:rsidR="00A57DF3" w:rsidRPr="00FA3856" w:rsidRDefault="00A57DF3" w:rsidP="00A57DF3">
      <w:pPr>
        <w:pStyle w:val="PSDS-MarcadoresNivel4"/>
        <w:tabs>
          <w:tab w:val="clear" w:pos="2271"/>
          <w:tab w:val="left" w:pos="720"/>
        </w:tabs>
        <w:spacing w:before="0" w:after="0"/>
        <w:ind w:left="0" w:firstLine="0"/>
        <w:rPr>
          <w:rFonts w:ascii="Times New Roman" w:hAnsi="Times New Roman" w:cs="Times New Roman"/>
          <w:szCs w:val="20"/>
          <w:lang w:val="pt-PT"/>
        </w:rPr>
      </w:pPr>
      <w:r w:rsidRPr="00FA3856">
        <w:rPr>
          <w:rFonts w:ascii="Times New Roman" w:hAnsi="Times New Roman" w:cs="Times New Roman"/>
          <w:szCs w:val="20"/>
          <w:lang w:val="pt-PT"/>
        </w:rPr>
        <w:t>I – Regras de Validação de Campos:</w:t>
      </w:r>
    </w:p>
    <w:p w:rsidR="00A57DF3" w:rsidRPr="00FA3856" w:rsidRDefault="00A57DF3" w:rsidP="00A57DF3">
      <w:pPr>
        <w:pStyle w:val="PSDS-MarcadoresNivel4"/>
        <w:tabs>
          <w:tab w:val="clear" w:pos="2271"/>
          <w:tab w:val="left" w:pos="720"/>
        </w:tabs>
        <w:spacing w:before="0" w:after="0"/>
        <w:ind w:left="0" w:firstLine="0"/>
        <w:rPr>
          <w:rFonts w:ascii="Times New Roman" w:hAnsi="Times New Roman" w:cs="Times New Roman"/>
          <w:szCs w:val="20"/>
          <w:lang w:val="pt-PT"/>
        </w:rPr>
      </w:pPr>
    </w:p>
    <w:tbl>
      <w:tblPr>
        <w:tblW w:w="16370"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85"/>
        <w:gridCol w:w="3000"/>
        <w:gridCol w:w="12168"/>
        <w:gridCol w:w="717"/>
      </w:tblGrid>
      <w:tr w:rsidR="00A57DF3" w:rsidRPr="00FA3856" w:rsidTr="00BB2C36">
        <w:trPr>
          <w:tblHeader/>
          <w:jc w:val="center"/>
        </w:trPr>
        <w:tc>
          <w:tcPr>
            <w:tcW w:w="485" w:type="dxa"/>
            <w:tcBorders>
              <w:top w:val="single" w:sz="6" w:space="0" w:color="auto"/>
              <w:left w:val="single" w:sz="6" w:space="0" w:color="auto"/>
              <w:bottom w:val="single" w:sz="6" w:space="0" w:color="auto"/>
              <w:right w:val="single" w:sz="6" w:space="0" w:color="auto"/>
            </w:tcBorders>
            <w:shd w:val="pct10" w:color="auto" w:fill="FFFFFF"/>
          </w:tcPr>
          <w:p w:rsidR="00A57DF3" w:rsidRPr="00FA3856" w:rsidRDefault="00A57DF3" w:rsidP="00A70CD2">
            <w:pPr>
              <w:pStyle w:val="PSDS-CorpodeTexto0"/>
              <w:jc w:val="center"/>
              <w:rPr>
                <w:rFonts w:ascii="Times New Roman" w:hAnsi="Times New Roman"/>
                <w:b/>
                <w:bCs/>
              </w:rPr>
            </w:pPr>
            <w:r w:rsidRPr="00FA3856">
              <w:rPr>
                <w:rFonts w:ascii="Times New Roman" w:hAnsi="Times New Roman"/>
                <w:b/>
                <w:bCs/>
              </w:rPr>
              <w:t>Nº</w:t>
            </w:r>
          </w:p>
        </w:tc>
        <w:tc>
          <w:tcPr>
            <w:tcW w:w="3000" w:type="dxa"/>
            <w:tcBorders>
              <w:top w:val="single" w:sz="6" w:space="0" w:color="auto"/>
              <w:left w:val="single" w:sz="6" w:space="0" w:color="auto"/>
              <w:bottom w:val="single" w:sz="6" w:space="0" w:color="auto"/>
              <w:right w:val="single" w:sz="6" w:space="0" w:color="auto"/>
            </w:tcBorders>
            <w:shd w:val="pct10" w:color="auto" w:fill="FFFFFF"/>
          </w:tcPr>
          <w:p w:rsidR="00A57DF3" w:rsidRPr="00FA3856" w:rsidRDefault="00A57DF3" w:rsidP="00A70CD2">
            <w:pPr>
              <w:pStyle w:val="PSDS-CorpodeTexto0"/>
              <w:jc w:val="center"/>
              <w:rPr>
                <w:rFonts w:ascii="Times New Roman" w:hAnsi="Times New Roman"/>
                <w:b/>
                <w:bCs/>
              </w:rPr>
            </w:pPr>
            <w:r w:rsidRPr="00FA3856">
              <w:rPr>
                <w:rFonts w:ascii="Times New Roman" w:hAnsi="Times New Roman"/>
                <w:b/>
                <w:bCs/>
              </w:rPr>
              <w:t>Campo</w:t>
            </w:r>
          </w:p>
        </w:tc>
        <w:tc>
          <w:tcPr>
            <w:tcW w:w="12168" w:type="dxa"/>
            <w:tcBorders>
              <w:top w:val="single" w:sz="6" w:space="0" w:color="auto"/>
              <w:left w:val="single" w:sz="6" w:space="0" w:color="auto"/>
              <w:bottom w:val="single" w:sz="6" w:space="0" w:color="auto"/>
              <w:right w:val="single" w:sz="6" w:space="0" w:color="auto"/>
            </w:tcBorders>
            <w:shd w:val="pct10" w:color="auto" w:fill="FFFFFF"/>
          </w:tcPr>
          <w:p w:rsidR="00A57DF3" w:rsidRPr="00FA3856" w:rsidRDefault="00A57DF3" w:rsidP="00A70CD2">
            <w:pPr>
              <w:pStyle w:val="PSDS-CorpodeTexto0"/>
              <w:jc w:val="center"/>
              <w:rPr>
                <w:rFonts w:ascii="Times New Roman" w:hAnsi="Times New Roman"/>
                <w:b/>
                <w:bCs/>
              </w:rPr>
            </w:pPr>
            <w:r w:rsidRPr="00FA3856">
              <w:rPr>
                <w:rFonts w:ascii="Times New Roman" w:hAnsi="Times New Roman"/>
                <w:b/>
                <w:bCs/>
              </w:rPr>
              <w:t>Regras de Validação do Campo</w:t>
            </w:r>
          </w:p>
        </w:tc>
        <w:tc>
          <w:tcPr>
            <w:tcW w:w="717" w:type="dxa"/>
            <w:tcBorders>
              <w:top w:val="single" w:sz="6" w:space="0" w:color="auto"/>
              <w:left w:val="single" w:sz="6" w:space="0" w:color="auto"/>
              <w:bottom w:val="single" w:sz="6" w:space="0" w:color="auto"/>
              <w:right w:val="single" w:sz="6" w:space="0" w:color="auto"/>
            </w:tcBorders>
            <w:shd w:val="pct10" w:color="auto" w:fill="FFFFFF"/>
          </w:tcPr>
          <w:p w:rsidR="00A57DF3" w:rsidRPr="00FA3856" w:rsidRDefault="00A57DF3" w:rsidP="00A70CD2">
            <w:pPr>
              <w:pStyle w:val="PSDS-CorpodeTexto0"/>
              <w:jc w:val="center"/>
              <w:rPr>
                <w:rFonts w:ascii="Times New Roman" w:hAnsi="Times New Roman"/>
                <w:b/>
                <w:bCs/>
              </w:rPr>
            </w:pPr>
            <w:r w:rsidRPr="00FA3856">
              <w:rPr>
                <w:rFonts w:ascii="Times New Roman" w:hAnsi="Times New Roman"/>
                <w:b/>
                <w:bCs/>
              </w:rPr>
              <w:t>Tipo</w:t>
            </w:r>
          </w:p>
        </w:tc>
      </w:tr>
      <w:tr w:rsidR="00A57DF3" w:rsidRPr="00FA3856" w:rsidTr="00BB2C36">
        <w:trPr>
          <w:jc w:val="center"/>
        </w:trPr>
        <w:tc>
          <w:tcPr>
            <w:tcW w:w="485" w:type="dxa"/>
            <w:tcBorders>
              <w:top w:val="single" w:sz="6" w:space="0" w:color="auto"/>
              <w:left w:val="single" w:sz="6" w:space="0" w:color="auto"/>
              <w:bottom w:val="single" w:sz="6" w:space="0" w:color="auto"/>
              <w:right w:val="single" w:sz="6" w:space="0" w:color="auto"/>
            </w:tcBorders>
          </w:tcPr>
          <w:p w:rsidR="00A57DF3" w:rsidRPr="00FA3856" w:rsidRDefault="00A57DF3" w:rsidP="00A70CD2">
            <w:pPr>
              <w:pStyle w:val="PSDS-CorpodeTexto0"/>
              <w:suppressAutoHyphens w:val="0"/>
              <w:rPr>
                <w:rFonts w:ascii="Times New Roman" w:hAnsi="Times New Roman"/>
                <w:b/>
                <w:bCs/>
                <w:lang w:val="pt-PT"/>
              </w:rPr>
            </w:pPr>
            <w:r w:rsidRPr="00FA3856">
              <w:rPr>
                <w:rFonts w:ascii="Times New Roman" w:hAnsi="Times New Roman"/>
                <w:b/>
                <w:bCs/>
                <w:lang w:val="pt-PT"/>
              </w:rPr>
              <w:t>3</w:t>
            </w:r>
          </w:p>
        </w:tc>
        <w:tc>
          <w:tcPr>
            <w:tcW w:w="3000" w:type="dxa"/>
            <w:tcBorders>
              <w:top w:val="single" w:sz="6" w:space="0" w:color="auto"/>
              <w:left w:val="single" w:sz="6" w:space="0" w:color="auto"/>
              <w:bottom w:val="single" w:sz="6" w:space="0" w:color="auto"/>
              <w:right w:val="single" w:sz="6" w:space="0" w:color="auto"/>
            </w:tcBorders>
          </w:tcPr>
          <w:p w:rsidR="00A57DF3" w:rsidRPr="00FA3856" w:rsidRDefault="00A57DF3" w:rsidP="00A70CD2">
            <w:pPr>
              <w:pStyle w:val="PSDS-CorpodeTexto0"/>
              <w:rPr>
                <w:rFonts w:ascii="Times New Roman" w:hAnsi="Times New Roman"/>
                <w:bCs/>
                <w:lang w:val="pt-PT"/>
              </w:rPr>
            </w:pPr>
            <w:r w:rsidRPr="00FA3856">
              <w:rPr>
                <w:rFonts w:ascii="Times New Roman" w:hAnsi="Times New Roman"/>
                <w:bCs/>
                <w:lang w:val="pt-PT"/>
              </w:rPr>
              <w:t>VL_PART</w:t>
            </w:r>
          </w:p>
          <w:p w:rsidR="00A57DF3" w:rsidRPr="00FA3856" w:rsidRDefault="00A57DF3" w:rsidP="00A70CD2">
            <w:pPr>
              <w:pStyle w:val="PSDS-CorpodeTexto0"/>
              <w:rPr>
                <w:rFonts w:ascii="Times New Roman" w:hAnsi="Times New Roman"/>
                <w:lang w:val="pt-PT"/>
              </w:rPr>
            </w:pPr>
          </w:p>
        </w:tc>
        <w:tc>
          <w:tcPr>
            <w:tcW w:w="12168" w:type="dxa"/>
            <w:tcBorders>
              <w:top w:val="single" w:sz="6" w:space="0" w:color="auto"/>
              <w:left w:val="single" w:sz="6" w:space="0" w:color="auto"/>
              <w:bottom w:val="single" w:sz="6" w:space="0" w:color="auto"/>
              <w:right w:val="single" w:sz="6" w:space="0" w:color="auto"/>
            </w:tcBorders>
          </w:tcPr>
          <w:p w:rsidR="00A57DF3" w:rsidRPr="00FA3856" w:rsidRDefault="00A57DF3" w:rsidP="00516F95">
            <w:pPr>
              <w:pStyle w:val="PSDS-CorpodeTexto0"/>
              <w:jc w:val="both"/>
              <w:rPr>
                <w:rFonts w:ascii="Times New Roman" w:hAnsi="Times New Roman"/>
              </w:rPr>
            </w:pPr>
            <w:r w:rsidRPr="00FA3856">
              <w:rPr>
                <w:rFonts w:ascii="Times New Roman" w:hAnsi="Times New Roman"/>
                <w:b/>
              </w:rPr>
              <w:t xml:space="preserve">REGRA_SOMA_VL_PART: </w:t>
            </w:r>
            <w:r w:rsidRPr="00FA3856">
              <w:rPr>
                <w:rFonts w:ascii="Times New Roman" w:hAnsi="Times New Roman"/>
              </w:rPr>
              <w:t xml:space="preserve">Verifica se o somatório das receitas dos participantes informadas </w:t>
            </w:r>
            <w:r w:rsidR="00516F95" w:rsidRPr="00FA3856">
              <w:rPr>
                <w:rFonts w:ascii="Times New Roman" w:hAnsi="Times New Roman"/>
              </w:rPr>
              <w:t>em</w:t>
            </w:r>
            <w:r w:rsidRPr="00FA3856">
              <w:rPr>
                <w:rFonts w:ascii="Times New Roman" w:hAnsi="Times New Roman"/>
              </w:rPr>
              <w:t xml:space="preserve"> </w:t>
            </w:r>
            <w:r w:rsidR="00516F95" w:rsidRPr="00FA3856">
              <w:rPr>
                <w:rFonts w:ascii="Times New Roman" w:hAnsi="Times New Roman"/>
              </w:rPr>
              <w:t xml:space="preserve">Y650.VL_PART </w:t>
            </w:r>
            <w:r w:rsidRPr="00FA3856">
              <w:rPr>
                <w:rFonts w:ascii="Times New Roman" w:hAnsi="Times New Roman"/>
              </w:rPr>
              <w:t xml:space="preserve">dos registros Y650 filhos somado ao valor da receita da empresa líder </w:t>
            </w:r>
            <w:r w:rsidR="00C321B8" w:rsidRPr="00FA3856">
              <w:rPr>
                <w:rFonts w:ascii="Times New Roman" w:hAnsi="Times New Roman"/>
              </w:rPr>
              <w:t>informada</w:t>
            </w:r>
            <w:r w:rsidRPr="00FA3856">
              <w:rPr>
                <w:rFonts w:ascii="Times New Roman" w:hAnsi="Times New Roman"/>
              </w:rPr>
              <w:t xml:space="preserve"> no </w:t>
            </w:r>
            <w:r w:rsidR="00A530D3" w:rsidRPr="00FA3856">
              <w:rPr>
                <w:rFonts w:ascii="Times New Roman" w:hAnsi="Times New Roman"/>
              </w:rPr>
              <w:t>Y640.</w:t>
            </w:r>
            <w:r w:rsidRPr="00FA3856">
              <w:rPr>
                <w:rFonts w:ascii="Times New Roman" w:hAnsi="Times New Roman"/>
              </w:rPr>
              <w:t>VL_D</w:t>
            </w:r>
            <w:r w:rsidR="00A530D3" w:rsidRPr="00FA3856">
              <w:rPr>
                <w:rFonts w:ascii="Times New Roman" w:hAnsi="Times New Roman"/>
              </w:rPr>
              <w:t xml:space="preserve">ECL </w:t>
            </w:r>
            <w:r w:rsidRPr="00FA3856">
              <w:rPr>
                <w:rFonts w:ascii="Times New Roman" w:hAnsi="Times New Roman"/>
              </w:rPr>
              <w:t xml:space="preserve">é igual ao </w:t>
            </w:r>
            <w:r w:rsidR="00A530D3" w:rsidRPr="00FA3856">
              <w:rPr>
                <w:rFonts w:ascii="Times New Roman" w:hAnsi="Times New Roman"/>
              </w:rPr>
              <w:t>Y640.VL_CONS</w:t>
            </w:r>
            <w:r w:rsidRPr="00FA3856">
              <w:rPr>
                <w:rFonts w:ascii="Times New Roman" w:hAnsi="Times New Roman"/>
              </w:rPr>
              <w:t>.</w:t>
            </w:r>
          </w:p>
        </w:tc>
        <w:tc>
          <w:tcPr>
            <w:tcW w:w="717" w:type="dxa"/>
            <w:tcBorders>
              <w:top w:val="single" w:sz="6" w:space="0" w:color="auto"/>
              <w:left w:val="single" w:sz="6" w:space="0" w:color="auto"/>
              <w:bottom w:val="single" w:sz="6" w:space="0" w:color="auto"/>
              <w:right w:val="single" w:sz="6" w:space="0" w:color="auto"/>
            </w:tcBorders>
          </w:tcPr>
          <w:p w:rsidR="00A57DF3" w:rsidRPr="00FA3856" w:rsidRDefault="00A57DF3" w:rsidP="00A70CD2">
            <w:pPr>
              <w:pStyle w:val="PSDS-CorpodeTexto0"/>
              <w:rPr>
                <w:rFonts w:ascii="Times New Roman" w:hAnsi="Times New Roman"/>
                <w:lang w:val="pt-PT"/>
              </w:rPr>
            </w:pPr>
            <w:r w:rsidRPr="00FA3856">
              <w:rPr>
                <w:rFonts w:ascii="Times New Roman" w:hAnsi="Times New Roman"/>
                <w:lang w:val="pt-PT"/>
              </w:rPr>
              <w:t>Erro</w:t>
            </w:r>
          </w:p>
        </w:tc>
      </w:tr>
    </w:tbl>
    <w:p w:rsidR="00A57DF3" w:rsidRPr="00FA3856" w:rsidRDefault="00A57DF3" w:rsidP="003B49DF">
      <w:pPr>
        <w:rPr>
          <w:szCs w:val="20"/>
          <w:lang w:val="pt-PT"/>
        </w:rPr>
      </w:pPr>
    </w:p>
    <w:p w:rsidR="00D31963" w:rsidRDefault="00A530D3" w:rsidP="00A530D3">
      <w:pPr>
        <w:rPr>
          <w:b/>
          <w:color w:val="002060"/>
          <w:szCs w:val="20"/>
        </w:rPr>
      </w:pPr>
      <w:r w:rsidRPr="00FA3856">
        <w:rPr>
          <w:b/>
          <w:color w:val="002060"/>
          <w:szCs w:val="20"/>
        </w:rPr>
        <w:t xml:space="preserve">Exemplo de Preenchimento: </w:t>
      </w:r>
    </w:p>
    <w:p w:rsidR="00D31963" w:rsidRDefault="00D31963" w:rsidP="00A530D3">
      <w:pPr>
        <w:rPr>
          <w:b/>
          <w:color w:val="002060"/>
          <w:szCs w:val="20"/>
        </w:rPr>
      </w:pPr>
    </w:p>
    <w:p w:rsidR="00A57DF3" w:rsidRPr="00FA3856" w:rsidRDefault="00A57DF3" w:rsidP="00A530D3">
      <w:pPr>
        <w:rPr>
          <w:b/>
          <w:color w:val="002060"/>
          <w:szCs w:val="20"/>
        </w:rPr>
      </w:pPr>
      <w:r w:rsidRPr="00FA3856">
        <w:rPr>
          <w:b/>
          <w:color w:val="002060"/>
          <w:szCs w:val="20"/>
        </w:rPr>
        <w:t>|Y650|11111111000191|100000,00|</w:t>
      </w:r>
    </w:p>
    <w:p w:rsidR="00A57DF3" w:rsidRPr="00FA3856" w:rsidRDefault="00A57DF3" w:rsidP="00A57DF3">
      <w:pPr>
        <w:pStyle w:val="Corpodetexto"/>
        <w:ind w:left="708" w:firstLine="709"/>
        <w:rPr>
          <w:rFonts w:ascii="Times New Roman" w:hAnsi="Times New Roman"/>
          <w:color w:val="002060"/>
          <w:szCs w:val="20"/>
        </w:rPr>
      </w:pPr>
      <w:r w:rsidRPr="00FA3856">
        <w:rPr>
          <w:rFonts w:ascii="Times New Roman" w:hAnsi="Times New Roman"/>
          <w:color w:val="002060"/>
          <w:szCs w:val="20"/>
        </w:rPr>
        <w:t>|Y650|: Identificação do tipo do registro.</w:t>
      </w:r>
    </w:p>
    <w:p w:rsidR="00A57DF3" w:rsidRPr="00FA3856" w:rsidRDefault="00A57DF3" w:rsidP="00A57DF3">
      <w:pPr>
        <w:pStyle w:val="Corpodetexto"/>
        <w:ind w:left="708" w:firstLine="709"/>
        <w:rPr>
          <w:rFonts w:ascii="Times New Roman" w:hAnsi="Times New Roman"/>
          <w:color w:val="002060"/>
          <w:szCs w:val="20"/>
        </w:rPr>
      </w:pPr>
      <w:r w:rsidRPr="00FA3856">
        <w:rPr>
          <w:rFonts w:ascii="Times New Roman" w:hAnsi="Times New Roman"/>
          <w:color w:val="002060"/>
          <w:szCs w:val="20"/>
        </w:rPr>
        <w:t>|11111111000191|: CNPJ da empresa participante do consórcio (11.111.111/0001-91).</w:t>
      </w:r>
    </w:p>
    <w:p w:rsidR="00A57DF3" w:rsidRPr="00FA3856" w:rsidRDefault="00A57DF3" w:rsidP="00A57DF3">
      <w:pPr>
        <w:rPr>
          <w:color w:val="002060"/>
          <w:szCs w:val="20"/>
        </w:rPr>
      </w:pPr>
      <w:r w:rsidRPr="00FA3856">
        <w:rPr>
          <w:b/>
          <w:color w:val="002060"/>
          <w:szCs w:val="20"/>
        </w:rPr>
        <w:tab/>
      </w:r>
      <w:r w:rsidRPr="00FA3856">
        <w:rPr>
          <w:b/>
          <w:color w:val="002060"/>
          <w:szCs w:val="20"/>
        </w:rPr>
        <w:tab/>
      </w:r>
      <w:r w:rsidR="003934AA" w:rsidRPr="00FA3856">
        <w:rPr>
          <w:color w:val="002060"/>
          <w:szCs w:val="20"/>
        </w:rPr>
        <w:t>|100000</w:t>
      </w:r>
      <w:r w:rsidRPr="00FA3856">
        <w:rPr>
          <w:color w:val="002060"/>
          <w:szCs w:val="20"/>
        </w:rPr>
        <w:t xml:space="preserve">,00|: </w:t>
      </w:r>
      <w:r w:rsidR="003934AA" w:rsidRPr="00FA3856">
        <w:rPr>
          <w:color w:val="002060"/>
          <w:szCs w:val="20"/>
        </w:rPr>
        <w:t>Valor da receita da empresa participante (R$ 100.000,00).</w:t>
      </w:r>
    </w:p>
    <w:p w:rsidR="008332B1" w:rsidRPr="00FA3856" w:rsidRDefault="008332B1">
      <w:pPr>
        <w:rPr>
          <w:b/>
          <w:bCs/>
          <w:color w:val="0000FF"/>
          <w:szCs w:val="20"/>
        </w:rPr>
      </w:pPr>
    </w:p>
    <w:p w:rsidR="00A57DF3" w:rsidRPr="00FA3856" w:rsidRDefault="00A57DF3">
      <w:pPr>
        <w:rPr>
          <w:b/>
          <w:bCs/>
          <w:color w:val="0000FF"/>
          <w:szCs w:val="20"/>
        </w:rPr>
      </w:pPr>
      <w:r w:rsidRPr="00FA3856">
        <w:rPr>
          <w:color w:val="0000FF"/>
          <w:szCs w:val="20"/>
        </w:rPr>
        <w:br w:type="page"/>
      </w:r>
    </w:p>
    <w:p w:rsidR="0092310D" w:rsidRPr="00FA3856" w:rsidRDefault="0092310D" w:rsidP="00867F54">
      <w:pPr>
        <w:pStyle w:val="Ttulo4"/>
      </w:pPr>
      <w:bookmarkStart w:id="436" w:name="_Toc479713836"/>
      <w:r w:rsidRPr="00FA3856">
        <w:lastRenderedPageBreak/>
        <w:t>Registro Y660: Dados de Sucessoras</w:t>
      </w:r>
      <w:bookmarkEnd w:id="436"/>
    </w:p>
    <w:p w:rsidR="0092310D" w:rsidRPr="00FA3856" w:rsidRDefault="0092310D" w:rsidP="0092310D">
      <w:pPr>
        <w:rPr>
          <w:szCs w:val="20"/>
        </w:rPr>
      </w:pPr>
    </w:p>
    <w:p w:rsidR="008332B1" w:rsidRPr="00FA3856" w:rsidRDefault="008332B1" w:rsidP="0056665D">
      <w:pPr>
        <w:ind w:firstLine="708"/>
        <w:jc w:val="both"/>
        <w:rPr>
          <w:szCs w:val="20"/>
        </w:rPr>
      </w:pPr>
      <w:r w:rsidRPr="00FA3856">
        <w:rPr>
          <w:szCs w:val="20"/>
        </w:rPr>
        <w:t xml:space="preserve">Este registro deve ser preenchido pela pessoa jurídica que está obrigada a entregar a ECF relativa às situações especiais de fusão, cisão </w:t>
      </w:r>
      <w:r w:rsidR="008E401B" w:rsidRPr="00FA3856">
        <w:rPr>
          <w:szCs w:val="20"/>
        </w:rPr>
        <w:t xml:space="preserve">parcial, cisão total </w:t>
      </w:r>
      <w:r w:rsidRPr="00FA3856">
        <w:rPr>
          <w:szCs w:val="20"/>
        </w:rPr>
        <w:t>ou incorpora</w:t>
      </w:r>
      <w:r w:rsidR="0056665D" w:rsidRPr="00FA3856">
        <w:rPr>
          <w:szCs w:val="20"/>
        </w:rPr>
        <w:t>ção</w:t>
      </w:r>
      <w:r w:rsidR="008E401B" w:rsidRPr="00FA3856">
        <w:rPr>
          <w:szCs w:val="20"/>
        </w:rPr>
        <w:t>/incorporada</w:t>
      </w:r>
      <w:r w:rsidR="0056665D" w:rsidRPr="00FA3856">
        <w:rPr>
          <w:szCs w:val="20"/>
        </w:rPr>
        <w:t xml:space="preserve">, quando </w:t>
      </w:r>
      <w:r w:rsidR="00A530D3" w:rsidRPr="00FA3856">
        <w:rPr>
          <w:szCs w:val="20"/>
        </w:rPr>
        <w:t>0000.SIT_ESPECIAL</w:t>
      </w:r>
      <w:r w:rsidR="0056665D" w:rsidRPr="00FA3856">
        <w:rPr>
          <w:szCs w:val="20"/>
        </w:rPr>
        <w:t xml:space="preserve"> for informado, com dados de sucessora(s).</w:t>
      </w:r>
      <w:r w:rsidRPr="00FA3856">
        <w:rPr>
          <w:szCs w:val="20"/>
        </w:rPr>
        <w:t xml:space="preserve"> </w:t>
      </w:r>
    </w:p>
    <w:p w:rsidR="00A57DF3" w:rsidRDefault="00A57DF3" w:rsidP="00A57DF3">
      <w:pPr>
        <w:pStyle w:val="PSDS-MarcadoresNivel4"/>
        <w:tabs>
          <w:tab w:val="clear" w:pos="2271"/>
          <w:tab w:val="left" w:pos="720"/>
        </w:tabs>
        <w:spacing w:before="0" w:after="0"/>
        <w:ind w:left="0" w:firstLine="0"/>
        <w:rPr>
          <w:rFonts w:ascii="Times New Roman" w:hAnsi="Times New Roman" w:cs="Times New Roman"/>
          <w:szCs w:val="20"/>
        </w:rPr>
      </w:pPr>
    </w:p>
    <w:p w:rsidR="00D31963" w:rsidRPr="00FA3856" w:rsidRDefault="00B35FA3" w:rsidP="00D31963">
      <w:pPr>
        <w:pStyle w:val="PSDS-MarcadoresNivel4"/>
        <w:tabs>
          <w:tab w:val="clear" w:pos="2271"/>
          <w:tab w:val="left" w:pos="720"/>
        </w:tabs>
        <w:spacing w:before="0" w:after="0"/>
        <w:ind w:left="0" w:firstLine="0"/>
        <w:jc w:val="center"/>
        <w:rPr>
          <w:rFonts w:ascii="Times New Roman" w:hAnsi="Times New Roman" w:cs="Times New Roman"/>
          <w:szCs w:val="20"/>
        </w:rPr>
      </w:pPr>
      <w:r>
        <w:rPr>
          <w:rFonts w:ascii="Times New Roman" w:hAnsi="Times New Roman" w:cs="Times New Roman"/>
          <w:szCs w:val="20"/>
        </w:rPr>
        <w:object w:dxaOrig="14835" w:dyaOrig="3225">
          <v:shape id="_x0000_i2084" type="#_x0000_t75" style="width:792.75pt;height:157.5pt" o:ole="">
            <v:imagedata r:id="rId876" o:title=""/>
          </v:shape>
          <o:OLEObject Type="Link" ProgID="Excel.Sheet.12" ShapeID="_x0000_i2084" DrawAspect="Content" r:id="rId877" UpdateMode="Always">
            <o:LinkType>EnhancedMetaFile</o:LinkType>
            <o:LockedField>false</o:LockedField>
          </o:OLEObject>
        </w:object>
      </w:r>
    </w:p>
    <w:p w:rsidR="00D31963" w:rsidRDefault="00D31963" w:rsidP="00D129CE">
      <w:pPr>
        <w:pStyle w:val="PSDS-MarcadoresNivel4"/>
        <w:tabs>
          <w:tab w:val="clear" w:pos="2271"/>
          <w:tab w:val="left" w:pos="720"/>
        </w:tabs>
        <w:spacing w:before="0" w:after="0"/>
        <w:ind w:left="0" w:firstLine="0"/>
        <w:rPr>
          <w:rFonts w:ascii="Times New Roman" w:hAnsi="Times New Roman" w:cs="Times New Roman"/>
          <w:szCs w:val="20"/>
          <w:lang w:val="pt-PT"/>
        </w:rPr>
      </w:pPr>
    </w:p>
    <w:p w:rsidR="00D129CE" w:rsidRPr="00FA3856" w:rsidRDefault="00D129CE" w:rsidP="00D129CE">
      <w:pPr>
        <w:pStyle w:val="PSDS-MarcadoresNivel4"/>
        <w:tabs>
          <w:tab w:val="clear" w:pos="2271"/>
          <w:tab w:val="left" w:pos="720"/>
        </w:tabs>
        <w:spacing w:before="0" w:after="0"/>
        <w:ind w:left="0" w:firstLine="0"/>
        <w:rPr>
          <w:rFonts w:ascii="Times New Roman" w:hAnsi="Times New Roman" w:cs="Times New Roman"/>
          <w:szCs w:val="20"/>
          <w:lang w:val="pt-PT"/>
        </w:rPr>
      </w:pPr>
      <w:r w:rsidRPr="00FA3856">
        <w:rPr>
          <w:rFonts w:ascii="Times New Roman" w:hAnsi="Times New Roman" w:cs="Times New Roman"/>
          <w:szCs w:val="20"/>
          <w:lang w:val="pt-PT"/>
        </w:rPr>
        <w:t>I – Regras de Validação de Campos:</w:t>
      </w:r>
    </w:p>
    <w:p w:rsidR="00D129CE" w:rsidRPr="00FA3856" w:rsidRDefault="00D129CE" w:rsidP="00D129CE">
      <w:pPr>
        <w:pStyle w:val="PSDS-MarcadoresNivel4"/>
        <w:tabs>
          <w:tab w:val="clear" w:pos="2271"/>
          <w:tab w:val="left" w:pos="720"/>
        </w:tabs>
        <w:spacing w:before="0" w:after="0"/>
        <w:ind w:left="0" w:firstLine="0"/>
        <w:rPr>
          <w:rFonts w:ascii="Times New Roman" w:hAnsi="Times New Roman" w:cs="Times New Roman"/>
          <w:szCs w:val="20"/>
          <w:lang w:val="pt-PT"/>
        </w:rPr>
      </w:pPr>
    </w:p>
    <w:tbl>
      <w:tblPr>
        <w:tblW w:w="16370"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85"/>
        <w:gridCol w:w="3000"/>
        <w:gridCol w:w="12168"/>
        <w:gridCol w:w="717"/>
      </w:tblGrid>
      <w:tr w:rsidR="00D129CE" w:rsidRPr="00FA3856" w:rsidTr="00CD4CC9">
        <w:trPr>
          <w:tblHeader/>
          <w:jc w:val="center"/>
        </w:trPr>
        <w:tc>
          <w:tcPr>
            <w:tcW w:w="485" w:type="dxa"/>
            <w:tcBorders>
              <w:top w:val="single" w:sz="6" w:space="0" w:color="auto"/>
              <w:left w:val="single" w:sz="6" w:space="0" w:color="auto"/>
              <w:bottom w:val="single" w:sz="6" w:space="0" w:color="auto"/>
              <w:right w:val="single" w:sz="6" w:space="0" w:color="auto"/>
            </w:tcBorders>
            <w:shd w:val="pct10" w:color="auto" w:fill="FFFFFF"/>
          </w:tcPr>
          <w:p w:rsidR="00D129CE" w:rsidRPr="00FA3856" w:rsidRDefault="00D129CE" w:rsidP="00CD4CC9">
            <w:pPr>
              <w:pStyle w:val="PSDS-CorpodeTexto0"/>
              <w:jc w:val="center"/>
              <w:rPr>
                <w:rFonts w:ascii="Times New Roman" w:hAnsi="Times New Roman"/>
                <w:b/>
                <w:bCs/>
              </w:rPr>
            </w:pPr>
            <w:r w:rsidRPr="00FA3856">
              <w:rPr>
                <w:rFonts w:ascii="Times New Roman" w:hAnsi="Times New Roman"/>
                <w:b/>
                <w:bCs/>
              </w:rPr>
              <w:t>Nº</w:t>
            </w:r>
          </w:p>
        </w:tc>
        <w:tc>
          <w:tcPr>
            <w:tcW w:w="3000" w:type="dxa"/>
            <w:tcBorders>
              <w:top w:val="single" w:sz="6" w:space="0" w:color="auto"/>
              <w:left w:val="single" w:sz="6" w:space="0" w:color="auto"/>
              <w:bottom w:val="single" w:sz="6" w:space="0" w:color="auto"/>
              <w:right w:val="single" w:sz="6" w:space="0" w:color="auto"/>
            </w:tcBorders>
            <w:shd w:val="pct10" w:color="auto" w:fill="FFFFFF"/>
          </w:tcPr>
          <w:p w:rsidR="00D129CE" w:rsidRPr="00FA3856" w:rsidRDefault="00D129CE" w:rsidP="00CD4CC9">
            <w:pPr>
              <w:pStyle w:val="PSDS-CorpodeTexto0"/>
              <w:jc w:val="center"/>
              <w:rPr>
                <w:rFonts w:ascii="Times New Roman" w:hAnsi="Times New Roman"/>
                <w:b/>
                <w:bCs/>
              </w:rPr>
            </w:pPr>
            <w:r w:rsidRPr="00FA3856">
              <w:rPr>
                <w:rFonts w:ascii="Times New Roman" w:hAnsi="Times New Roman"/>
                <w:b/>
                <w:bCs/>
              </w:rPr>
              <w:t>Campo</w:t>
            </w:r>
          </w:p>
        </w:tc>
        <w:tc>
          <w:tcPr>
            <w:tcW w:w="12168" w:type="dxa"/>
            <w:tcBorders>
              <w:top w:val="single" w:sz="6" w:space="0" w:color="auto"/>
              <w:left w:val="single" w:sz="6" w:space="0" w:color="auto"/>
              <w:bottom w:val="single" w:sz="6" w:space="0" w:color="auto"/>
              <w:right w:val="single" w:sz="6" w:space="0" w:color="auto"/>
            </w:tcBorders>
            <w:shd w:val="pct10" w:color="auto" w:fill="FFFFFF"/>
          </w:tcPr>
          <w:p w:rsidR="00D129CE" w:rsidRPr="00FA3856" w:rsidRDefault="00D129CE" w:rsidP="00CD4CC9">
            <w:pPr>
              <w:pStyle w:val="PSDS-CorpodeTexto0"/>
              <w:jc w:val="center"/>
              <w:rPr>
                <w:rFonts w:ascii="Times New Roman" w:hAnsi="Times New Roman"/>
                <w:b/>
                <w:bCs/>
              </w:rPr>
            </w:pPr>
            <w:r w:rsidRPr="00FA3856">
              <w:rPr>
                <w:rFonts w:ascii="Times New Roman" w:hAnsi="Times New Roman"/>
                <w:b/>
                <w:bCs/>
              </w:rPr>
              <w:t>Regras de Validação do Campo</w:t>
            </w:r>
          </w:p>
        </w:tc>
        <w:tc>
          <w:tcPr>
            <w:tcW w:w="717" w:type="dxa"/>
            <w:tcBorders>
              <w:top w:val="single" w:sz="6" w:space="0" w:color="auto"/>
              <w:left w:val="single" w:sz="6" w:space="0" w:color="auto"/>
              <w:bottom w:val="single" w:sz="6" w:space="0" w:color="auto"/>
              <w:right w:val="single" w:sz="6" w:space="0" w:color="auto"/>
            </w:tcBorders>
            <w:shd w:val="pct10" w:color="auto" w:fill="FFFFFF"/>
          </w:tcPr>
          <w:p w:rsidR="00D129CE" w:rsidRPr="00FA3856" w:rsidRDefault="00D129CE" w:rsidP="00CD4CC9">
            <w:pPr>
              <w:pStyle w:val="PSDS-CorpodeTexto0"/>
              <w:jc w:val="center"/>
              <w:rPr>
                <w:rFonts w:ascii="Times New Roman" w:hAnsi="Times New Roman"/>
                <w:b/>
                <w:bCs/>
              </w:rPr>
            </w:pPr>
            <w:r w:rsidRPr="00FA3856">
              <w:rPr>
                <w:rFonts w:ascii="Times New Roman" w:hAnsi="Times New Roman"/>
                <w:b/>
                <w:bCs/>
              </w:rPr>
              <w:t>Tipo</w:t>
            </w:r>
          </w:p>
        </w:tc>
      </w:tr>
      <w:tr w:rsidR="00D129CE" w:rsidRPr="00FA3856" w:rsidTr="00CD4CC9">
        <w:trPr>
          <w:jc w:val="center"/>
        </w:trPr>
        <w:tc>
          <w:tcPr>
            <w:tcW w:w="485" w:type="dxa"/>
            <w:tcBorders>
              <w:top w:val="single" w:sz="6" w:space="0" w:color="auto"/>
              <w:left w:val="single" w:sz="6" w:space="0" w:color="auto"/>
              <w:bottom w:val="single" w:sz="6" w:space="0" w:color="auto"/>
              <w:right w:val="single" w:sz="6" w:space="0" w:color="auto"/>
            </w:tcBorders>
          </w:tcPr>
          <w:p w:rsidR="00D129CE" w:rsidRPr="00FA3856" w:rsidRDefault="00D129CE" w:rsidP="00CD4CC9">
            <w:pPr>
              <w:pStyle w:val="PSDS-CorpodeTexto0"/>
              <w:suppressAutoHyphens w:val="0"/>
              <w:rPr>
                <w:rFonts w:ascii="Times New Roman" w:hAnsi="Times New Roman"/>
                <w:b/>
                <w:bCs/>
                <w:lang w:val="pt-PT"/>
              </w:rPr>
            </w:pPr>
            <w:r w:rsidRPr="00FA3856">
              <w:rPr>
                <w:rFonts w:ascii="Times New Roman" w:hAnsi="Times New Roman"/>
                <w:b/>
                <w:bCs/>
                <w:lang w:val="pt-PT"/>
              </w:rPr>
              <w:t>4</w:t>
            </w:r>
          </w:p>
        </w:tc>
        <w:tc>
          <w:tcPr>
            <w:tcW w:w="3000" w:type="dxa"/>
            <w:tcBorders>
              <w:top w:val="single" w:sz="6" w:space="0" w:color="auto"/>
              <w:left w:val="single" w:sz="6" w:space="0" w:color="auto"/>
              <w:bottom w:val="single" w:sz="6" w:space="0" w:color="auto"/>
              <w:right w:val="single" w:sz="6" w:space="0" w:color="auto"/>
            </w:tcBorders>
          </w:tcPr>
          <w:p w:rsidR="00D129CE" w:rsidRPr="00FA3856" w:rsidRDefault="00D129CE" w:rsidP="00CD4CC9">
            <w:pPr>
              <w:pStyle w:val="PSDS-CorpodeTexto0"/>
              <w:rPr>
                <w:rFonts w:ascii="Times New Roman" w:hAnsi="Times New Roman"/>
                <w:bCs/>
                <w:lang w:val="pt-PT"/>
              </w:rPr>
            </w:pPr>
            <w:r w:rsidRPr="00FA3856">
              <w:rPr>
                <w:rFonts w:ascii="Times New Roman" w:hAnsi="Times New Roman"/>
                <w:bCs/>
                <w:lang w:val="pt-PT"/>
              </w:rPr>
              <w:t>PERC_PAT_LIQ</w:t>
            </w:r>
          </w:p>
          <w:p w:rsidR="00D129CE" w:rsidRPr="00FA3856" w:rsidRDefault="00D129CE" w:rsidP="00CD4CC9">
            <w:pPr>
              <w:pStyle w:val="PSDS-CorpodeTexto0"/>
              <w:rPr>
                <w:rFonts w:ascii="Times New Roman" w:hAnsi="Times New Roman"/>
                <w:lang w:val="pt-PT"/>
              </w:rPr>
            </w:pPr>
          </w:p>
        </w:tc>
        <w:tc>
          <w:tcPr>
            <w:tcW w:w="12168" w:type="dxa"/>
            <w:tcBorders>
              <w:top w:val="single" w:sz="6" w:space="0" w:color="auto"/>
              <w:left w:val="single" w:sz="6" w:space="0" w:color="auto"/>
              <w:bottom w:val="single" w:sz="6" w:space="0" w:color="auto"/>
              <w:right w:val="single" w:sz="6" w:space="0" w:color="auto"/>
            </w:tcBorders>
          </w:tcPr>
          <w:p w:rsidR="00D129CE" w:rsidRPr="00FA3856" w:rsidRDefault="00D129CE" w:rsidP="00D129CE">
            <w:pPr>
              <w:pStyle w:val="PSDS-CorpodeTexto0"/>
              <w:jc w:val="both"/>
              <w:rPr>
                <w:rFonts w:ascii="Times New Roman" w:hAnsi="Times New Roman"/>
              </w:rPr>
            </w:pPr>
            <w:r w:rsidRPr="00FA3856">
              <w:rPr>
                <w:rFonts w:ascii="Times New Roman" w:hAnsi="Times New Roman"/>
                <w:b/>
              </w:rPr>
              <w:t xml:space="preserve">REGRA_PERC_PAT_CISAO_TOTAL: </w:t>
            </w:r>
            <w:r w:rsidRPr="00FA3856">
              <w:rPr>
                <w:rFonts w:ascii="Times New Roman" w:hAnsi="Times New Roman"/>
              </w:rPr>
              <w:t>Verifica, quando 0000.SIT_ESPECIAL igual a “2” (Fus</w:t>
            </w:r>
            <w:r w:rsidR="00054F23" w:rsidRPr="00FA3856">
              <w:rPr>
                <w:rFonts w:ascii="Times New Roman" w:hAnsi="Times New Roman"/>
              </w:rPr>
              <w:t xml:space="preserve">ão), “3” (Incorporação/Incorporada) </w:t>
            </w:r>
            <w:r w:rsidRPr="00FA3856">
              <w:rPr>
                <w:rFonts w:ascii="Times New Roman" w:hAnsi="Times New Roman"/>
              </w:rPr>
              <w:t>ou “5” (Cisão Total) se o somatório de Y660.</w:t>
            </w:r>
            <w:r w:rsidRPr="00FA3856">
              <w:rPr>
                <w:rFonts w:ascii="Times New Roman" w:hAnsi="Times New Roman"/>
                <w:bCs/>
                <w:lang w:val="pt-PT"/>
              </w:rPr>
              <w:t xml:space="preserve">PERC_PAT_LIQ </w:t>
            </w:r>
            <w:r w:rsidRPr="00FA3856">
              <w:rPr>
                <w:rFonts w:ascii="Times New Roman" w:hAnsi="Times New Roman"/>
              </w:rPr>
              <w:t>é igual a 100%.</w:t>
            </w:r>
          </w:p>
          <w:p w:rsidR="00D129CE" w:rsidRPr="00FA3856" w:rsidRDefault="00054F23" w:rsidP="00054F23">
            <w:pPr>
              <w:pStyle w:val="PSDS-CorpodeTexto0"/>
              <w:tabs>
                <w:tab w:val="left" w:pos="2130"/>
              </w:tabs>
              <w:jc w:val="both"/>
              <w:rPr>
                <w:rFonts w:ascii="Times New Roman" w:hAnsi="Times New Roman"/>
              </w:rPr>
            </w:pPr>
            <w:r w:rsidRPr="00FA3856">
              <w:rPr>
                <w:rFonts w:ascii="Times New Roman" w:hAnsi="Times New Roman"/>
              </w:rPr>
              <w:tab/>
            </w:r>
          </w:p>
          <w:p w:rsidR="00D129CE" w:rsidRPr="00FA3856" w:rsidRDefault="00D129CE" w:rsidP="008E401B">
            <w:pPr>
              <w:pStyle w:val="PSDS-CorpodeTexto0"/>
              <w:jc w:val="both"/>
              <w:rPr>
                <w:rFonts w:ascii="Times New Roman" w:hAnsi="Times New Roman"/>
                <w:bCs/>
                <w:lang w:val="pt-PT"/>
              </w:rPr>
            </w:pPr>
            <w:r w:rsidRPr="00FA3856">
              <w:rPr>
                <w:rFonts w:ascii="Times New Roman" w:hAnsi="Times New Roman"/>
                <w:b/>
              </w:rPr>
              <w:t xml:space="preserve">REGRA_PERC_PAT_CISAO_PARCIAL: </w:t>
            </w:r>
            <w:r w:rsidRPr="00FA3856">
              <w:rPr>
                <w:rFonts w:ascii="Times New Roman" w:hAnsi="Times New Roman"/>
              </w:rPr>
              <w:t>Verifica, quando 0000.SIT_ESPECIAL igual a “</w:t>
            </w:r>
            <w:r w:rsidR="00054F23" w:rsidRPr="00FA3856">
              <w:rPr>
                <w:rFonts w:ascii="Times New Roman" w:hAnsi="Times New Roman"/>
              </w:rPr>
              <w:t>6</w:t>
            </w:r>
            <w:r w:rsidRPr="00FA3856">
              <w:rPr>
                <w:rFonts w:ascii="Times New Roman" w:hAnsi="Times New Roman"/>
              </w:rPr>
              <w:t xml:space="preserve">” (Cisão </w:t>
            </w:r>
            <w:r w:rsidR="00054F23" w:rsidRPr="00FA3856">
              <w:rPr>
                <w:rFonts w:ascii="Times New Roman" w:hAnsi="Times New Roman"/>
              </w:rPr>
              <w:t>Parcial</w:t>
            </w:r>
            <w:r w:rsidRPr="00FA3856">
              <w:rPr>
                <w:rFonts w:ascii="Times New Roman" w:hAnsi="Times New Roman"/>
              </w:rPr>
              <w:t>) se o somatório de Y660.</w:t>
            </w:r>
            <w:r w:rsidRPr="00FA3856">
              <w:rPr>
                <w:rFonts w:ascii="Times New Roman" w:hAnsi="Times New Roman"/>
                <w:bCs/>
                <w:lang w:val="pt-PT"/>
              </w:rPr>
              <w:t xml:space="preserve">PERC_PAT_LIQ </w:t>
            </w:r>
            <w:r w:rsidRPr="00FA3856">
              <w:rPr>
                <w:rFonts w:ascii="Times New Roman" w:hAnsi="Times New Roman"/>
              </w:rPr>
              <w:t xml:space="preserve">é </w:t>
            </w:r>
            <w:r w:rsidR="008E401B" w:rsidRPr="00FA3856">
              <w:rPr>
                <w:rFonts w:ascii="Times New Roman" w:hAnsi="Times New Roman"/>
              </w:rPr>
              <w:t>diferente</w:t>
            </w:r>
            <w:r w:rsidR="00054F23" w:rsidRPr="00FA3856">
              <w:rPr>
                <w:rFonts w:ascii="Times New Roman" w:hAnsi="Times New Roman"/>
              </w:rPr>
              <w:t xml:space="preserve"> </w:t>
            </w:r>
            <w:r w:rsidR="008E401B" w:rsidRPr="00FA3856">
              <w:rPr>
                <w:rFonts w:ascii="Times New Roman" w:hAnsi="Times New Roman"/>
              </w:rPr>
              <w:t>do resultado da diferença de 100% e 0000.PAT_REMAN_CIS.</w:t>
            </w:r>
          </w:p>
        </w:tc>
        <w:tc>
          <w:tcPr>
            <w:tcW w:w="717" w:type="dxa"/>
            <w:tcBorders>
              <w:top w:val="single" w:sz="6" w:space="0" w:color="auto"/>
              <w:left w:val="single" w:sz="6" w:space="0" w:color="auto"/>
              <w:bottom w:val="single" w:sz="6" w:space="0" w:color="auto"/>
              <w:right w:val="single" w:sz="6" w:space="0" w:color="auto"/>
            </w:tcBorders>
          </w:tcPr>
          <w:p w:rsidR="00D129CE" w:rsidRPr="00FA3856" w:rsidRDefault="00D129CE" w:rsidP="00CD4CC9">
            <w:pPr>
              <w:pStyle w:val="PSDS-CorpodeTexto0"/>
              <w:rPr>
                <w:rFonts w:ascii="Times New Roman" w:hAnsi="Times New Roman"/>
                <w:lang w:val="pt-PT"/>
              </w:rPr>
            </w:pPr>
            <w:r w:rsidRPr="00FA3856">
              <w:rPr>
                <w:rFonts w:ascii="Times New Roman" w:hAnsi="Times New Roman"/>
                <w:lang w:val="pt-PT"/>
              </w:rPr>
              <w:t>Erro</w:t>
            </w:r>
          </w:p>
          <w:p w:rsidR="008E401B" w:rsidRPr="00FA3856" w:rsidRDefault="008E401B" w:rsidP="00CD4CC9">
            <w:pPr>
              <w:pStyle w:val="PSDS-CorpodeTexto0"/>
              <w:rPr>
                <w:rFonts w:ascii="Times New Roman" w:hAnsi="Times New Roman"/>
                <w:lang w:val="pt-PT"/>
              </w:rPr>
            </w:pPr>
          </w:p>
          <w:p w:rsidR="008E401B" w:rsidRPr="00FA3856" w:rsidRDefault="008E401B" w:rsidP="00CD4CC9">
            <w:pPr>
              <w:pStyle w:val="PSDS-CorpodeTexto0"/>
              <w:rPr>
                <w:rFonts w:ascii="Times New Roman" w:hAnsi="Times New Roman"/>
                <w:lang w:val="pt-PT"/>
              </w:rPr>
            </w:pPr>
          </w:p>
          <w:p w:rsidR="008E401B" w:rsidRPr="00FA3856" w:rsidRDefault="008E401B" w:rsidP="00CD4CC9">
            <w:pPr>
              <w:pStyle w:val="PSDS-CorpodeTexto0"/>
              <w:rPr>
                <w:rFonts w:ascii="Times New Roman" w:hAnsi="Times New Roman"/>
                <w:lang w:val="pt-PT"/>
              </w:rPr>
            </w:pPr>
            <w:r w:rsidRPr="00FA3856">
              <w:rPr>
                <w:rFonts w:ascii="Times New Roman" w:hAnsi="Times New Roman"/>
                <w:lang w:val="pt-PT"/>
              </w:rPr>
              <w:t>Erro</w:t>
            </w:r>
          </w:p>
        </w:tc>
      </w:tr>
    </w:tbl>
    <w:p w:rsidR="00D31963" w:rsidRDefault="00D31963" w:rsidP="00A530D3">
      <w:pPr>
        <w:rPr>
          <w:b/>
          <w:color w:val="002060"/>
          <w:szCs w:val="20"/>
        </w:rPr>
      </w:pPr>
    </w:p>
    <w:p w:rsidR="00D31963" w:rsidRDefault="00D31963">
      <w:pPr>
        <w:spacing w:after="200" w:line="276" w:lineRule="auto"/>
        <w:rPr>
          <w:b/>
          <w:color w:val="002060"/>
          <w:szCs w:val="20"/>
        </w:rPr>
      </w:pPr>
      <w:r>
        <w:rPr>
          <w:b/>
          <w:color w:val="002060"/>
          <w:szCs w:val="20"/>
        </w:rPr>
        <w:br w:type="page"/>
      </w:r>
    </w:p>
    <w:p w:rsidR="00A530D3" w:rsidRPr="00FA3856" w:rsidRDefault="0056665D" w:rsidP="00A530D3">
      <w:pPr>
        <w:rPr>
          <w:b/>
          <w:color w:val="002060"/>
          <w:szCs w:val="20"/>
        </w:rPr>
      </w:pPr>
      <w:r w:rsidRPr="00FA3856">
        <w:rPr>
          <w:b/>
          <w:color w:val="002060"/>
          <w:szCs w:val="20"/>
        </w:rPr>
        <w:lastRenderedPageBreak/>
        <w:t>Exemplo de Preenchimento</w:t>
      </w:r>
      <w:r w:rsidR="00A530D3" w:rsidRPr="00FA3856">
        <w:rPr>
          <w:b/>
          <w:color w:val="002060"/>
          <w:szCs w:val="20"/>
        </w:rPr>
        <w:t xml:space="preserve">: </w:t>
      </w:r>
    </w:p>
    <w:p w:rsidR="00D31963" w:rsidRDefault="00D31963" w:rsidP="00D31963">
      <w:pPr>
        <w:rPr>
          <w:b/>
          <w:color w:val="002060"/>
          <w:szCs w:val="20"/>
        </w:rPr>
      </w:pPr>
    </w:p>
    <w:p w:rsidR="0056665D" w:rsidRPr="00FA3856" w:rsidRDefault="0056665D" w:rsidP="00D31963">
      <w:pPr>
        <w:rPr>
          <w:b/>
          <w:color w:val="002060"/>
          <w:szCs w:val="20"/>
        </w:rPr>
      </w:pPr>
      <w:r w:rsidRPr="00FA3856">
        <w:rPr>
          <w:b/>
          <w:color w:val="002060"/>
          <w:szCs w:val="20"/>
        </w:rPr>
        <w:t>|Y660|11111111000191|EMPRESA SUCESSORA 1 LTDA|40,00|</w:t>
      </w:r>
    </w:p>
    <w:p w:rsidR="0056665D" w:rsidRPr="00FA3856" w:rsidRDefault="0056665D" w:rsidP="0056665D">
      <w:pPr>
        <w:pStyle w:val="Corpodetexto"/>
        <w:ind w:left="708" w:firstLine="709"/>
        <w:rPr>
          <w:rFonts w:ascii="Times New Roman" w:hAnsi="Times New Roman"/>
          <w:color w:val="002060"/>
          <w:szCs w:val="20"/>
        </w:rPr>
      </w:pPr>
      <w:r w:rsidRPr="00FA3856">
        <w:rPr>
          <w:rFonts w:ascii="Times New Roman" w:hAnsi="Times New Roman"/>
          <w:color w:val="002060"/>
          <w:szCs w:val="20"/>
        </w:rPr>
        <w:t>|Y660|: Identificação do tipo do registro.</w:t>
      </w:r>
    </w:p>
    <w:p w:rsidR="0056665D" w:rsidRPr="00FA3856" w:rsidRDefault="0056665D" w:rsidP="0056665D">
      <w:pPr>
        <w:pStyle w:val="Corpodetexto"/>
        <w:ind w:left="708" w:firstLine="709"/>
        <w:rPr>
          <w:rFonts w:ascii="Times New Roman" w:hAnsi="Times New Roman"/>
          <w:color w:val="002060"/>
          <w:szCs w:val="20"/>
        </w:rPr>
      </w:pPr>
      <w:r w:rsidRPr="00FA3856">
        <w:rPr>
          <w:rFonts w:ascii="Times New Roman" w:hAnsi="Times New Roman"/>
          <w:color w:val="002060"/>
          <w:szCs w:val="20"/>
        </w:rPr>
        <w:t>|11111111000191|: CNPJ da sucessora (11.111.111/0001-91).</w:t>
      </w:r>
    </w:p>
    <w:p w:rsidR="0056665D" w:rsidRPr="00FA3856" w:rsidRDefault="0056665D" w:rsidP="0056665D">
      <w:pPr>
        <w:pStyle w:val="Corpodetexto"/>
        <w:ind w:left="708" w:firstLine="709"/>
        <w:rPr>
          <w:rFonts w:ascii="Times New Roman" w:hAnsi="Times New Roman"/>
          <w:color w:val="002060"/>
          <w:szCs w:val="20"/>
        </w:rPr>
      </w:pPr>
      <w:r w:rsidRPr="00FA3856">
        <w:rPr>
          <w:rFonts w:ascii="Times New Roman" w:hAnsi="Times New Roman"/>
          <w:color w:val="002060"/>
          <w:szCs w:val="20"/>
        </w:rPr>
        <w:t xml:space="preserve">|EMPRESA SUCESSORA 1 LTDA|: Nome </w:t>
      </w:r>
      <w:r w:rsidR="00C321B8" w:rsidRPr="00FA3856">
        <w:rPr>
          <w:rFonts w:ascii="Times New Roman" w:hAnsi="Times New Roman"/>
          <w:color w:val="002060"/>
          <w:szCs w:val="20"/>
        </w:rPr>
        <w:t>empresarial</w:t>
      </w:r>
      <w:r w:rsidRPr="00FA3856">
        <w:rPr>
          <w:rFonts w:ascii="Times New Roman" w:hAnsi="Times New Roman"/>
          <w:color w:val="002060"/>
          <w:szCs w:val="20"/>
        </w:rPr>
        <w:t xml:space="preserve"> da sucessora.</w:t>
      </w:r>
    </w:p>
    <w:p w:rsidR="0056665D" w:rsidRPr="00FA3856" w:rsidRDefault="0056665D" w:rsidP="0056665D">
      <w:pPr>
        <w:rPr>
          <w:color w:val="002060"/>
          <w:szCs w:val="20"/>
        </w:rPr>
      </w:pPr>
      <w:r w:rsidRPr="00FA3856">
        <w:rPr>
          <w:b/>
          <w:color w:val="002060"/>
          <w:szCs w:val="20"/>
        </w:rPr>
        <w:tab/>
      </w:r>
      <w:r w:rsidRPr="00FA3856">
        <w:rPr>
          <w:b/>
          <w:color w:val="002060"/>
          <w:szCs w:val="20"/>
        </w:rPr>
        <w:tab/>
      </w:r>
      <w:r w:rsidRPr="00FA3856">
        <w:rPr>
          <w:color w:val="002060"/>
          <w:szCs w:val="20"/>
        </w:rPr>
        <w:t>|40,00|: Percentual da sucedida destinada à sucessora (40%).</w:t>
      </w:r>
    </w:p>
    <w:p w:rsidR="0056665D" w:rsidRPr="00FA3856" w:rsidRDefault="0056665D" w:rsidP="0056665D">
      <w:pPr>
        <w:rPr>
          <w:color w:val="002060"/>
          <w:szCs w:val="20"/>
        </w:rPr>
      </w:pPr>
    </w:p>
    <w:p w:rsidR="0056665D" w:rsidRPr="00FA3856" w:rsidRDefault="0056665D" w:rsidP="00D31963">
      <w:pPr>
        <w:rPr>
          <w:b/>
          <w:color w:val="002060"/>
          <w:szCs w:val="20"/>
        </w:rPr>
      </w:pPr>
      <w:r w:rsidRPr="00FA3856">
        <w:rPr>
          <w:b/>
          <w:color w:val="002060"/>
          <w:szCs w:val="20"/>
        </w:rPr>
        <w:t>|Y660|22222222000191|EMPRESA SUCESSORA 2 LTDA|60,00|</w:t>
      </w:r>
    </w:p>
    <w:p w:rsidR="0056665D" w:rsidRPr="00FA3856" w:rsidRDefault="0056665D" w:rsidP="0056665D">
      <w:pPr>
        <w:pStyle w:val="Corpodetexto"/>
        <w:ind w:left="708" w:firstLine="709"/>
        <w:rPr>
          <w:rFonts w:ascii="Times New Roman" w:hAnsi="Times New Roman"/>
          <w:color w:val="002060"/>
          <w:szCs w:val="20"/>
        </w:rPr>
      </w:pPr>
      <w:r w:rsidRPr="00FA3856">
        <w:rPr>
          <w:rFonts w:ascii="Times New Roman" w:hAnsi="Times New Roman"/>
          <w:color w:val="002060"/>
          <w:szCs w:val="20"/>
        </w:rPr>
        <w:t>|Y660|: Identificação do tipo do registro.</w:t>
      </w:r>
    </w:p>
    <w:p w:rsidR="0056665D" w:rsidRPr="00FA3856" w:rsidRDefault="0056665D" w:rsidP="0056665D">
      <w:pPr>
        <w:pStyle w:val="Corpodetexto"/>
        <w:ind w:left="708" w:firstLine="709"/>
        <w:rPr>
          <w:rFonts w:ascii="Times New Roman" w:hAnsi="Times New Roman"/>
          <w:color w:val="002060"/>
          <w:szCs w:val="20"/>
        </w:rPr>
      </w:pPr>
      <w:r w:rsidRPr="00FA3856">
        <w:rPr>
          <w:rFonts w:ascii="Times New Roman" w:hAnsi="Times New Roman"/>
          <w:color w:val="002060"/>
          <w:szCs w:val="20"/>
        </w:rPr>
        <w:t>|22222222000191|: CNPJ da sucessora (22.222.222/0001-91).</w:t>
      </w:r>
    </w:p>
    <w:p w:rsidR="0056665D" w:rsidRPr="00FA3856" w:rsidRDefault="0056665D" w:rsidP="0056665D">
      <w:pPr>
        <w:pStyle w:val="Corpodetexto"/>
        <w:ind w:left="708" w:firstLine="709"/>
        <w:rPr>
          <w:rFonts w:ascii="Times New Roman" w:hAnsi="Times New Roman"/>
          <w:color w:val="002060"/>
          <w:szCs w:val="20"/>
        </w:rPr>
      </w:pPr>
      <w:r w:rsidRPr="00FA3856">
        <w:rPr>
          <w:rFonts w:ascii="Times New Roman" w:hAnsi="Times New Roman"/>
          <w:color w:val="002060"/>
          <w:szCs w:val="20"/>
        </w:rPr>
        <w:t xml:space="preserve">|EMPRESA SUCESSORA 2 LTDA|: Nome </w:t>
      </w:r>
      <w:r w:rsidR="00C321B8" w:rsidRPr="00FA3856">
        <w:rPr>
          <w:rFonts w:ascii="Times New Roman" w:hAnsi="Times New Roman"/>
          <w:color w:val="002060"/>
          <w:szCs w:val="20"/>
        </w:rPr>
        <w:t>empresarial</w:t>
      </w:r>
      <w:r w:rsidRPr="00FA3856">
        <w:rPr>
          <w:rFonts w:ascii="Times New Roman" w:hAnsi="Times New Roman"/>
          <w:color w:val="002060"/>
          <w:szCs w:val="20"/>
        </w:rPr>
        <w:t xml:space="preserve"> da sucessora.</w:t>
      </w:r>
    </w:p>
    <w:p w:rsidR="0056665D" w:rsidRPr="00FA3856" w:rsidRDefault="0056665D" w:rsidP="0056665D">
      <w:pPr>
        <w:rPr>
          <w:color w:val="002060"/>
          <w:szCs w:val="20"/>
        </w:rPr>
      </w:pPr>
      <w:r w:rsidRPr="00FA3856">
        <w:rPr>
          <w:b/>
          <w:color w:val="002060"/>
          <w:szCs w:val="20"/>
        </w:rPr>
        <w:tab/>
      </w:r>
      <w:r w:rsidRPr="00FA3856">
        <w:rPr>
          <w:b/>
          <w:color w:val="002060"/>
          <w:szCs w:val="20"/>
        </w:rPr>
        <w:tab/>
      </w:r>
      <w:r w:rsidRPr="00FA3856">
        <w:rPr>
          <w:color w:val="002060"/>
          <w:szCs w:val="20"/>
        </w:rPr>
        <w:t>|60,00|: Percentual da sucedida destinada à sucessora (60%).</w:t>
      </w:r>
    </w:p>
    <w:p w:rsidR="00A71C2B" w:rsidRPr="00FA3856" w:rsidRDefault="00A71C2B" w:rsidP="0056665D">
      <w:pPr>
        <w:rPr>
          <w:b/>
          <w:bCs/>
          <w:color w:val="0000FF"/>
          <w:szCs w:val="20"/>
        </w:rPr>
      </w:pPr>
    </w:p>
    <w:p w:rsidR="00A530D3" w:rsidRPr="00FA3856" w:rsidRDefault="00A530D3">
      <w:pPr>
        <w:spacing w:after="200" w:line="276" w:lineRule="auto"/>
        <w:rPr>
          <w:b/>
          <w:bCs/>
          <w:color w:val="0000FF"/>
          <w:szCs w:val="20"/>
        </w:rPr>
      </w:pPr>
      <w:r w:rsidRPr="00FA3856">
        <w:rPr>
          <w:color w:val="0000FF"/>
          <w:szCs w:val="20"/>
        </w:rPr>
        <w:br w:type="page"/>
      </w:r>
    </w:p>
    <w:p w:rsidR="004631A2" w:rsidRPr="00FA3856" w:rsidRDefault="004631A2" w:rsidP="00867F54">
      <w:pPr>
        <w:pStyle w:val="Ttulo4"/>
      </w:pPr>
      <w:bookmarkStart w:id="437" w:name="_Toc479713837"/>
      <w:r w:rsidRPr="00FA3856">
        <w:lastRenderedPageBreak/>
        <w:t>Registro Y67</w:t>
      </w:r>
      <w:r w:rsidR="002F79AD" w:rsidRPr="00FA3856">
        <w:t>1</w:t>
      </w:r>
      <w:r w:rsidRPr="00FA3856">
        <w:t>: Outras Informações</w:t>
      </w:r>
      <w:r w:rsidR="00223735" w:rsidRPr="00FA3856">
        <w:t xml:space="preserve"> (Lucro Real)</w:t>
      </w:r>
      <w:bookmarkEnd w:id="437"/>
    </w:p>
    <w:p w:rsidR="004631A2" w:rsidRPr="00FA3856" w:rsidRDefault="004631A2" w:rsidP="004631A2">
      <w:pPr>
        <w:rPr>
          <w:szCs w:val="20"/>
        </w:rPr>
      </w:pPr>
    </w:p>
    <w:p w:rsidR="00D93C99" w:rsidRPr="00FA3856" w:rsidRDefault="00D15915" w:rsidP="00D15915">
      <w:pPr>
        <w:ind w:firstLine="708"/>
        <w:rPr>
          <w:szCs w:val="20"/>
        </w:rPr>
      </w:pPr>
      <w:r w:rsidRPr="00FA3856">
        <w:rPr>
          <w:szCs w:val="20"/>
        </w:rPr>
        <w:t>Este registro deve ser preenchido</w:t>
      </w:r>
      <w:r w:rsidR="00D93C99" w:rsidRPr="00FA3856">
        <w:rPr>
          <w:szCs w:val="20"/>
        </w:rPr>
        <w:t xml:space="preserve"> por todas as pessoas jurídicas que apuraram o imposto de renda com base no lucro real.</w:t>
      </w:r>
    </w:p>
    <w:p w:rsidR="00083454" w:rsidRDefault="00083454" w:rsidP="00223735">
      <w:pPr>
        <w:rPr>
          <w:b/>
          <w:szCs w:val="20"/>
          <w:lang w:val="pt-PT"/>
        </w:rPr>
      </w:pPr>
    </w:p>
    <w:p w:rsidR="00083454" w:rsidRDefault="00B35FA3" w:rsidP="00083454">
      <w:pPr>
        <w:jc w:val="center"/>
        <w:rPr>
          <w:b/>
          <w:szCs w:val="20"/>
          <w:lang w:val="pt-PT"/>
        </w:rPr>
      </w:pPr>
      <w:r>
        <w:rPr>
          <w:b/>
          <w:szCs w:val="20"/>
          <w:lang w:val="pt-PT"/>
        </w:rPr>
        <w:object w:dxaOrig="14835" w:dyaOrig="7305">
          <v:shape id="_x0000_i2086" type="#_x0000_t75" style="width:792.75pt;height:353.25pt" o:ole="">
            <v:imagedata r:id="rId878" o:title=""/>
          </v:shape>
          <o:OLEObject Type="Link" ProgID="Excel.Sheet.12" ShapeID="_x0000_i2086" DrawAspect="Content" r:id="rId879" UpdateMode="Always">
            <o:LinkType>EnhancedMetaFile</o:LinkType>
            <o:LockedField>false</o:LockedField>
          </o:OLEObject>
        </w:object>
      </w:r>
    </w:p>
    <w:p w:rsidR="00083454" w:rsidRDefault="00083454" w:rsidP="00223735">
      <w:pPr>
        <w:rPr>
          <w:b/>
          <w:szCs w:val="20"/>
          <w:lang w:val="pt-PT"/>
        </w:rPr>
      </w:pPr>
    </w:p>
    <w:p w:rsidR="00083454" w:rsidRDefault="00083454" w:rsidP="00223735">
      <w:pPr>
        <w:rPr>
          <w:b/>
          <w:szCs w:val="20"/>
          <w:lang w:val="pt-PT"/>
        </w:rPr>
      </w:pPr>
    </w:p>
    <w:p w:rsidR="00083454" w:rsidRDefault="00083454" w:rsidP="00223735">
      <w:pPr>
        <w:rPr>
          <w:b/>
          <w:szCs w:val="20"/>
          <w:lang w:val="pt-PT"/>
        </w:rPr>
      </w:pPr>
    </w:p>
    <w:p w:rsidR="00083454" w:rsidRDefault="00083454" w:rsidP="00223735">
      <w:pPr>
        <w:rPr>
          <w:b/>
          <w:szCs w:val="20"/>
          <w:lang w:val="pt-PT"/>
        </w:rPr>
      </w:pPr>
    </w:p>
    <w:p w:rsidR="00083454" w:rsidRDefault="00083454" w:rsidP="00223735">
      <w:pPr>
        <w:rPr>
          <w:b/>
          <w:szCs w:val="20"/>
          <w:lang w:val="pt-PT"/>
        </w:rPr>
      </w:pPr>
    </w:p>
    <w:p w:rsidR="00083454" w:rsidRDefault="00B35FA3" w:rsidP="00083454">
      <w:pPr>
        <w:jc w:val="center"/>
        <w:rPr>
          <w:b/>
          <w:szCs w:val="20"/>
          <w:lang w:val="pt-PT"/>
        </w:rPr>
      </w:pPr>
      <w:r>
        <w:rPr>
          <w:b/>
          <w:szCs w:val="20"/>
          <w:lang w:val="pt-PT"/>
        </w:rPr>
        <w:object w:dxaOrig="14835" w:dyaOrig="7980">
          <v:shape id="_x0000_i2088" type="#_x0000_t75" style="width:792.75pt;height:387pt" o:ole="">
            <v:imagedata r:id="rId880" o:title=""/>
          </v:shape>
          <o:OLEObject Type="Link" ProgID="Excel.Sheet.12" ShapeID="_x0000_i2088" DrawAspect="Content" r:id="rId881" UpdateMode="Always">
            <o:LinkType>EnhancedMetaFile</o:LinkType>
            <o:LockedField>false</o:LockedField>
          </o:OLEObject>
        </w:object>
      </w:r>
    </w:p>
    <w:p w:rsidR="00083454" w:rsidRDefault="00083454" w:rsidP="00223735">
      <w:pPr>
        <w:rPr>
          <w:b/>
          <w:szCs w:val="20"/>
          <w:lang w:val="pt-PT"/>
        </w:rPr>
      </w:pPr>
    </w:p>
    <w:p w:rsidR="00083454" w:rsidRDefault="00083454" w:rsidP="00223735">
      <w:pPr>
        <w:rPr>
          <w:b/>
          <w:szCs w:val="20"/>
          <w:lang w:val="pt-PT"/>
        </w:rPr>
      </w:pPr>
    </w:p>
    <w:p w:rsidR="00083454" w:rsidRDefault="00083454" w:rsidP="00223735">
      <w:pPr>
        <w:rPr>
          <w:b/>
          <w:szCs w:val="20"/>
          <w:lang w:val="pt-PT"/>
        </w:rPr>
      </w:pPr>
    </w:p>
    <w:p w:rsidR="00083454" w:rsidRDefault="00083454" w:rsidP="00223735">
      <w:pPr>
        <w:rPr>
          <w:b/>
          <w:szCs w:val="20"/>
          <w:lang w:val="pt-PT"/>
        </w:rPr>
      </w:pPr>
    </w:p>
    <w:p w:rsidR="00083454" w:rsidRDefault="00083454" w:rsidP="00223735">
      <w:pPr>
        <w:rPr>
          <w:b/>
          <w:szCs w:val="20"/>
          <w:lang w:val="pt-PT"/>
        </w:rPr>
      </w:pPr>
    </w:p>
    <w:p w:rsidR="00083454" w:rsidRDefault="00083454" w:rsidP="00223735">
      <w:pPr>
        <w:rPr>
          <w:b/>
          <w:szCs w:val="20"/>
          <w:lang w:val="pt-PT"/>
        </w:rPr>
      </w:pPr>
    </w:p>
    <w:p w:rsidR="00083454" w:rsidRDefault="00B35FA3" w:rsidP="00083454">
      <w:pPr>
        <w:jc w:val="center"/>
        <w:rPr>
          <w:b/>
          <w:szCs w:val="20"/>
          <w:lang w:val="pt-PT"/>
        </w:rPr>
      </w:pPr>
      <w:r>
        <w:rPr>
          <w:b/>
          <w:szCs w:val="20"/>
          <w:lang w:val="pt-PT"/>
        </w:rPr>
        <w:object w:dxaOrig="14835" w:dyaOrig="6120">
          <v:shape id="_x0000_i2090" type="#_x0000_t75" style="width:741.75pt;height:306pt" o:ole="">
            <v:imagedata r:id="rId882" o:title=""/>
          </v:shape>
          <o:OLEObject Type="Link" ProgID="Excel.Sheet.12" ShapeID="_x0000_i2090" DrawAspect="Content" r:id="rId883" UpdateMode="Always">
            <o:LinkType>EnhancedMetaFile</o:LinkType>
            <o:LockedField>false</o:LockedField>
          </o:OLEObject>
        </w:object>
      </w:r>
    </w:p>
    <w:p w:rsidR="00083454" w:rsidRDefault="00083454" w:rsidP="00223735">
      <w:pPr>
        <w:rPr>
          <w:b/>
          <w:szCs w:val="20"/>
          <w:lang w:val="pt-PT"/>
        </w:rPr>
      </w:pPr>
    </w:p>
    <w:p w:rsidR="00D20A3B" w:rsidRPr="00FA3856" w:rsidRDefault="00223735" w:rsidP="00223735">
      <w:pPr>
        <w:rPr>
          <w:b/>
          <w:szCs w:val="20"/>
          <w:lang w:val="pt-PT"/>
        </w:rPr>
      </w:pPr>
      <w:r w:rsidRPr="00FA3856">
        <w:rPr>
          <w:b/>
          <w:szCs w:val="20"/>
          <w:lang w:val="pt-PT"/>
        </w:rPr>
        <w:t>I</w:t>
      </w:r>
      <w:r w:rsidR="00D20A3B" w:rsidRPr="00FA3856">
        <w:rPr>
          <w:b/>
          <w:szCs w:val="20"/>
          <w:lang w:val="pt-PT"/>
        </w:rPr>
        <w:t xml:space="preserve"> – Regras de Validação de Campos:</w:t>
      </w:r>
    </w:p>
    <w:p w:rsidR="00D20A3B" w:rsidRPr="00FA3856" w:rsidRDefault="00D20A3B" w:rsidP="00D20A3B">
      <w:pPr>
        <w:pStyle w:val="PSDS-MarcadoresNivel4"/>
        <w:tabs>
          <w:tab w:val="clear" w:pos="2271"/>
          <w:tab w:val="left" w:pos="720"/>
        </w:tabs>
        <w:spacing w:before="0" w:after="0"/>
        <w:ind w:left="0" w:firstLine="0"/>
        <w:rPr>
          <w:rFonts w:ascii="Times New Roman" w:hAnsi="Times New Roman" w:cs="Times New Roman"/>
          <w:szCs w:val="20"/>
          <w:lang w:val="pt-PT"/>
        </w:rPr>
      </w:pPr>
    </w:p>
    <w:tbl>
      <w:tblPr>
        <w:tblW w:w="16370"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85"/>
        <w:gridCol w:w="3000"/>
        <w:gridCol w:w="12168"/>
        <w:gridCol w:w="717"/>
      </w:tblGrid>
      <w:tr w:rsidR="00D20A3B" w:rsidRPr="00FA3856" w:rsidTr="00BB2C36">
        <w:trPr>
          <w:tblHeader/>
          <w:jc w:val="center"/>
        </w:trPr>
        <w:tc>
          <w:tcPr>
            <w:tcW w:w="485" w:type="dxa"/>
            <w:tcBorders>
              <w:top w:val="single" w:sz="6" w:space="0" w:color="auto"/>
              <w:left w:val="single" w:sz="6" w:space="0" w:color="auto"/>
              <w:bottom w:val="single" w:sz="6" w:space="0" w:color="auto"/>
              <w:right w:val="single" w:sz="6" w:space="0" w:color="auto"/>
            </w:tcBorders>
            <w:shd w:val="pct10" w:color="auto" w:fill="FFFFFF"/>
          </w:tcPr>
          <w:p w:rsidR="00D20A3B" w:rsidRPr="00FA3856" w:rsidRDefault="00D20A3B" w:rsidP="00596CCC">
            <w:pPr>
              <w:pStyle w:val="PSDS-CorpodeTexto0"/>
              <w:jc w:val="center"/>
              <w:rPr>
                <w:rFonts w:ascii="Times New Roman" w:hAnsi="Times New Roman"/>
                <w:b/>
                <w:bCs/>
              </w:rPr>
            </w:pPr>
            <w:r w:rsidRPr="00FA3856">
              <w:rPr>
                <w:rFonts w:ascii="Times New Roman" w:hAnsi="Times New Roman"/>
                <w:b/>
                <w:bCs/>
              </w:rPr>
              <w:t>Nº</w:t>
            </w:r>
          </w:p>
        </w:tc>
        <w:tc>
          <w:tcPr>
            <w:tcW w:w="3000" w:type="dxa"/>
            <w:tcBorders>
              <w:top w:val="single" w:sz="6" w:space="0" w:color="auto"/>
              <w:left w:val="single" w:sz="6" w:space="0" w:color="auto"/>
              <w:bottom w:val="single" w:sz="6" w:space="0" w:color="auto"/>
              <w:right w:val="single" w:sz="6" w:space="0" w:color="auto"/>
            </w:tcBorders>
            <w:shd w:val="pct10" w:color="auto" w:fill="FFFFFF"/>
          </w:tcPr>
          <w:p w:rsidR="00D20A3B" w:rsidRPr="00FA3856" w:rsidRDefault="00D20A3B" w:rsidP="00596CCC">
            <w:pPr>
              <w:pStyle w:val="PSDS-CorpodeTexto0"/>
              <w:jc w:val="center"/>
              <w:rPr>
                <w:rFonts w:ascii="Times New Roman" w:hAnsi="Times New Roman"/>
                <w:b/>
                <w:bCs/>
              </w:rPr>
            </w:pPr>
            <w:r w:rsidRPr="00FA3856">
              <w:rPr>
                <w:rFonts w:ascii="Times New Roman" w:hAnsi="Times New Roman"/>
                <w:b/>
                <w:bCs/>
              </w:rPr>
              <w:t>Campo</w:t>
            </w:r>
          </w:p>
        </w:tc>
        <w:tc>
          <w:tcPr>
            <w:tcW w:w="12168" w:type="dxa"/>
            <w:tcBorders>
              <w:top w:val="single" w:sz="6" w:space="0" w:color="auto"/>
              <w:left w:val="single" w:sz="6" w:space="0" w:color="auto"/>
              <w:bottom w:val="single" w:sz="6" w:space="0" w:color="auto"/>
              <w:right w:val="single" w:sz="6" w:space="0" w:color="auto"/>
            </w:tcBorders>
            <w:shd w:val="pct10" w:color="auto" w:fill="FFFFFF"/>
          </w:tcPr>
          <w:p w:rsidR="00D20A3B" w:rsidRPr="00FA3856" w:rsidRDefault="00D20A3B" w:rsidP="00596CCC">
            <w:pPr>
              <w:pStyle w:val="PSDS-CorpodeTexto0"/>
              <w:jc w:val="center"/>
              <w:rPr>
                <w:rFonts w:ascii="Times New Roman" w:hAnsi="Times New Roman"/>
                <w:b/>
                <w:bCs/>
              </w:rPr>
            </w:pPr>
            <w:r w:rsidRPr="00FA3856">
              <w:rPr>
                <w:rFonts w:ascii="Times New Roman" w:hAnsi="Times New Roman"/>
                <w:b/>
                <w:bCs/>
              </w:rPr>
              <w:t>Regras de Validação do Campo</w:t>
            </w:r>
          </w:p>
        </w:tc>
        <w:tc>
          <w:tcPr>
            <w:tcW w:w="717" w:type="dxa"/>
            <w:tcBorders>
              <w:top w:val="single" w:sz="6" w:space="0" w:color="auto"/>
              <w:left w:val="single" w:sz="6" w:space="0" w:color="auto"/>
              <w:bottom w:val="single" w:sz="6" w:space="0" w:color="auto"/>
              <w:right w:val="single" w:sz="6" w:space="0" w:color="auto"/>
            </w:tcBorders>
            <w:shd w:val="pct10" w:color="auto" w:fill="FFFFFF"/>
          </w:tcPr>
          <w:p w:rsidR="00D20A3B" w:rsidRPr="00FA3856" w:rsidRDefault="00D20A3B" w:rsidP="00596CCC">
            <w:pPr>
              <w:pStyle w:val="PSDS-CorpodeTexto0"/>
              <w:jc w:val="center"/>
              <w:rPr>
                <w:rFonts w:ascii="Times New Roman" w:hAnsi="Times New Roman"/>
                <w:b/>
                <w:bCs/>
              </w:rPr>
            </w:pPr>
            <w:r w:rsidRPr="00FA3856">
              <w:rPr>
                <w:rFonts w:ascii="Times New Roman" w:hAnsi="Times New Roman"/>
                <w:b/>
                <w:bCs/>
              </w:rPr>
              <w:t>Tipo</w:t>
            </w:r>
          </w:p>
        </w:tc>
      </w:tr>
      <w:tr w:rsidR="00545FF9" w:rsidRPr="00FA3856" w:rsidTr="00BB2C36">
        <w:trPr>
          <w:jc w:val="center"/>
        </w:trPr>
        <w:tc>
          <w:tcPr>
            <w:tcW w:w="485" w:type="dxa"/>
            <w:tcBorders>
              <w:top w:val="single" w:sz="6" w:space="0" w:color="auto"/>
              <w:left w:val="single" w:sz="6" w:space="0" w:color="auto"/>
              <w:bottom w:val="single" w:sz="6" w:space="0" w:color="auto"/>
              <w:right w:val="single" w:sz="6" w:space="0" w:color="auto"/>
            </w:tcBorders>
          </w:tcPr>
          <w:p w:rsidR="00545FF9" w:rsidRPr="00FA3856" w:rsidRDefault="00545FF9" w:rsidP="00596CCC">
            <w:pPr>
              <w:pStyle w:val="PSDS-CorpodeTexto0"/>
              <w:suppressAutoHyphens w:val="0"/>
              <w:rPr>
                <w:rFonts w:ascii="Times New Roman" w:hAnsi="Times New Roman"/>
                <w:b/>
                <w:bCs/>
                <w:lang w:val="pt-PT"/>
              </w:rPr>
            </w:pPr>
            <w:r w:rsidRPr="00FA3856">
              <w:rPr>
                <w:rFonts w:ascii="Times New Roman" w:hAnsi="Times New Roman"/>
                <w:b/>
                <w:bCs/>
                <w:lang w:val="pt-PT"/>
              </w:rPr>
              <w:t>3</w:t>
            </w:r>
          </w:p>
        </w:tc>
        <w:tc>
          <w:tcPr>
            <w:tcW w:w="3000" w:type="dxa"/>
            <w:tcBorders>
              <w:top w:val="single" w:sz="6" w:space="0" w:color="auto"/>
              <w:left w:val="single" w:sz="6" w:space="0" w:color="auto"/>
              <w:bottom w:val="single" w:sz="6" w:space="0" w:color="auto"/>
              <w:right w:val="single" w:sz="6" w:space="0" w:color="auto"/>
            </w:tcBorders>
          </w:tcPr>
          <w:p w:rsidR="00545FF9" w:rsidRPr="00FA3856" w:rsidRDefault="00545FF9" w:rsidP="00596CCC">
            <w:pPr>
              <w:pStyle w:val="PSDS-CorpodeTexto0"/>
              <w:rPr>
                <w:rFonts w:ascii="Times New Roman" w:hAnsi="Times New Roman"/>
                <w:lang w:val="pt-PT"/>
              </w:rPr>
            </w:pPr>
            <w:r w:rsidRPr="00FA3856">
              <w:rPr>
                <w:rFonts w:ascii="Times New Roman" w:hAnsi="Times New Roman"/>
                <w:lang w:val="pt-PT"/>
              </w:rPr>
              <w:t>VL_DOA_CRIANCA</w:t>
            </w:r>
          </w:p>
        </w:tc>
        <w:tc>
          <w:tcPr>
            <w:tcW w:w="12168" w:type="dxa"/>
            <w:tcBorders>
              <w:top w:val="single" w:sz="6" w:space="0" w:color="auto"/>
              <w:left w:val="single" w:sz="6" w:space="0" w:color="auto"/>
              <w:bottom w:val="single" w:sz="6" w:space="0" w:color="auto"/>
              <w:right w:val="single" w:sz="6" w:space="0" w:color="auto"/>
            </w:tcBorders>
          </w:tcPr>
          <w:p w:rsidR="00545FF9" w:rsidRPr="00FA3856" w:rsidRDefault="00545FF9" w:rsidP="00516F95">
            <w:pPr>
              <w:pStyle w:val="PSDS-CorpodeTexto0"/>
              <w:jc w:val="both"/>
              <w:rPr>
                <w:rFonts w:ascii="Times New Roman" w:hAnsi="Times New Roman"/>
                <w:b/>
              </w:rPr>
            </w:pPr>
            <w:r w:rsidRPr="00FA3856">
              <w:rPr>
                <w:rFonts w:ascii="Times New Roman" w:eastAsia="Arial Unicode MS" w:hAnsi="Times New Roman"/>
                <w:b/>
                <w:lang w:val="pt-PT"/>
              </w:rPr>
              <w:t xml:space="preserve">REGRA_VL_DOA_CRIANCA: </w:t>
            </w:r>
            <w:r w:rsidRPr="00FA3856">
              <w:rPr>
                <w:rFonts w:ascii="Times New Roman" w:eastAsia="Arial Unicode MS" w:hAnsi="Times New Roman"/>
                <w:lang w:val="pt-PT"/>
              </w:rPr>
              <w:t xml:space="preserve">Verifica se </w:t>
            </w:r>
            <w:r w:rsidR="00516F95" w:rsidRPr="00FA3856">
              <w:rPr>
                <w:rFonts w:ascii="Times New Roman" w:eastAsia="Arial Unicode MS" w:hAnsi="Times New Roman"/>
                <w:lang w:val="pt-PT"/>
              </w:rPr>
              <w:t xml:space="preserve">Y671.VL_DOA_CRIANCA </w:t>
            </w:r>
            <w:r w:rsidR="00946B02" w:rsidRPr="00FA3856">
              <w:rPr>
                <w:rFonts w:ascii="Times New Roman" w:eastAsia="Arial Unicode MS" w:hAnsi="Times New Roman"/>
                <w:lang w:val="pt-PT"/>
              </w:rPr>
              <w:t>está preenchido quando N630 (11</w:t>
            </w:r>
            <w:r w:rsidRPr="00FA3856">
              <w:rPr>
                <w:rFonts w:ascii="Times New Roman" w:eastAsia="Arial Unicode MS" w:hAnsi="Times New Roman"/>
                <w:lang w:val="pt-PT"/>
              </w:rPr>
              <w:t>) (Fundos dos Direitos da Criança e do Adolescente) for maior que zero, no</w:t>
            </w:r>
            <w:r w:rsidR="00946B02" w:rsidRPr="00FA3856">
              <w:rPr>
                <w:rFonts w:ascii="Times New Roman" w:eastAsia="Arial Unicode MS" w:hAnsi="Times New Roman"/>
                <w:lang w:val="pt-PT"/>
              </w:rPr>
              <w:t xml:space="preserve"> caso de PJ em Geral, ou N630 (10</w:t>
            </w:r>
            <w:r w:rsidRPr="00FA3856">
              <w:rPr>
                <w:rFonts w:ascii="Times New Roman" w:eastAsia="Arial Unicode MS" w:hAnsi="Times New Roman"/>
                <w:lang w:val="pt-PT"/>
              </w:rPr>
              <w:t>) (Fundos dos Direitos da Criança e do Adolescente) for maior que zero, no caso de Financeiras, Segurados, de Capitalização e Entidades Abertas de Previdências Complementar.</w:t>
            </w:r>
          </w:p>
        </w:tc>
        <w:tc>
          <w:tcPr>
            <w:tcW w:w="717" w:type="dxa"/>
            <w:tcBorders>
              <w:top w:val="single" w:sz="6" w:space="0" w:color="auto"/>
              <w:left w:val="single" w:sz="6" w:space="0" w:color="auto"/>
              <w:bottom w:val="single" w:sz="6" w:space="0" w:color="auto"/>
              <w:right w:val="single" w:sz="6" w:space="0" w:color="auto"/>
            </w:tcBorders>
          </w:tcPr>
          <w:p w:rsidR="00545FF9" w:rsidRPr="00FA3856" w:rsidRDefault="00545FF9" w:rsidP="00596CCC">
            <w:pPr>
              <w:pStyle w:val="PSDS-CorpodeTexto0"/>
              <w:rPr>
                <w:rFonts w:ascii="Times New Roman" w:hAnsi="Times New Roman"/>
                <w:lang w:val="pt-PT"/>
              </w:rPr>
            </w:pPr>
            <w:r w:rsidRPr="00FA3856">
              <w:rPr>
                <w:rFonts w:ascii="Times New Roman" w:hAnsi="Times New Roman"/>
                <w:lang w:val="pt-PT"/>
              </w:rPr>
              <w:t>Erro</w:t>
            </w:r>
          </w:p>
        </w:tc>
      </w:tr>
      <w:tr w:rsidR="00D20A3B" w:rsidRPr="00FA3856" w:rsidTr="00BB2C36">
        <w:trPr>
          <w:jc w:val="center"/>
        </w:trPr>
        <w:tc>
          <w:tcPr>
            <w:tcW w:w="485" w:type="dxa"/>
            <w:tcBorders>
              <w:top w:val="single" w:sz="6" w:space="0" w:color="auto"/>
              <w:left w:val="single" w:sz="6" w:space="0" w:color="auto"/>
              <w:bottom w:val="single" w:sz="6" w:space="0" w:color="auto"/>
              <w:right w:val="single" w:sz="6" w:space="0" w:color="auto"/>
            </w:tcBorders>
          </w:tcPr>
          <w:p w:rsidR="00D20A3B" w:rsidRPr="00FA3856" w:rsidRDefault="00545FF9" w:rsidP="00596CCC">
            <w:pPr>
              <w:pStyle w:val="PSDS-CorpodeTexto0"/>
              <w:suppressAutoHyphens w:val="0"/>
              <w:rPr>
                <w:rFonts w:ascii="Times New Roman" w:hAnsi="Times New Roman"/>
                <w:b/>
                <w:bCs/>
                <w:lang w:val="pt-PT"/>
              </w:rPr>
            </w:pPr>
            <w:r w:rsidRPr="00FA3856">
              <w:rPr>
                <w:rFonts w:ascii="Times New Roman" w:hAnsi="Times New Roman"/>
                <w:b/>
                <w:bCs/>
                <w:lang w:val="pt-PT"/>
              </w:rPr>
              <w:t>4</w:t>
            </w:r>
          </w:p>
        </w:tc>
        <w:tc>
          <w:tcPr>
            <w:tcW w:w="3000" w:type="dxa"/>
            <w:tcBorders>
              <w:top w:val="single" w:sz="6" w:space="0" w:color="auto"/>
              <w:left w:val="single" w:sz="6" w:space="0" w:color="auto"/>
              <w:bottom w:val="single" w:sz="6" w:space="0" w:color="auto"/>
              <w:right w:val="single" w:sz="6" w:space="0" w:color="auto"/>
            </w:tcBorders>
          </w:tcPr>
          <w:p w:rsidR="00D20A3B" w:rsidRPr="00FA3856" w:rsidRDefault="00545FF9" w:rsidP="00596CCC">
            <w:pPr>
              <w:pStyle w:val="PSDS-CorpodeTexto0"/>
              <w:rPr>
                <w:rFonts w:ascii="Times New Roman" w:hAnsi="Times New Roman"/>
                <w:lang w:val="pt-PT"/>
              </w:rPr>
            </w:pPr>
            <w:r w:rsidRPr="00FA3856">
              <w:rPr>
                <w:rFonts w:ascii="Times New Roman" w:hAnsi="Times New Roman"/>
                <w:lang w:val="pt-PT"/>
              </w:rPr>
              <w:t>VL_DOA_IDOSO</w:t>
            </w:r>
          </w:p>
        </w:tc>
        <w:tc>
          <w:tcPr>
            <w:tcW w:w="12168" w:type="dxa"/>
            <w:tcBorders>
              <w:top w:val="single" w:sz="6" w:space="0" w:color="auto"/>
              <w:left w:val="single" w:sz="6" w:space="0" w:color="auto"/>
              <w:bottom w:val="single" w:sz="6" w:space="0" w:color="auto"/>
              <w:right w:val="single" w:sz="6" w:space="0" w:color="auto"/>
            </w:tcBorders>
          </w:tcPr>
          <w:p w:rsidR="00D20A3B" w:rsidRPr="00FA3856" w:rsidRDefault="00D20A3B" w:rsidP="00516F95">
            <w:pPr>
              <w:pStyle w:val="PSDS-CorpodeTexto0"/>
              <w:jc w:val="both"/>
              <w:rPr>
                <w:rFonts w:ascii="Times New Roman" w:hAnsi="Times New Roman"/>
                <w:b/>
              </w:rPr>
            </w:pPr>
            <w:r w:rsidRPr="00FA3856">
              <w:rPr>
                <w:rFonts w:ascii="Times New Roman" w:eastAsia="Arial Unicode MS" w:hAnsi="Times New Roman"/>
                <w:b/>
                <w:lang w:val="pt-PT"/>
              </w:rPr>
              <w:t>REGRA_</w:t>
            </w:r>
            <w:r w:rsidR="00545FF9" w:rsidRPr="00FA3856">
              <w:rPr>
                <w:rFonts w:ascii="Times New Roman" w:eastAsia="Arial Unicode MS" w:hAnsi="Times New Roman"/>
                <w:b/>
                <w:lang w:val="pt-PT"/>
              </w:rPr>
              <w:t>VL_DOA_IDOSO</w:t>
            </w:r>
            <w:r w:rsidRPr="00FA3856">
              <w:rPr>
                <w:rFonts w:ascii="Times New Roman" w:eastAsia="Arial Unicode MS" w:hAnsi="Times New Roman"/>
                <w:b/>
                <w:lang w:val="pt-PT"/>
              </w:rPr>
              <w:t xml:space="preserve">: </w:t>
            </w:r>
            <w:r w:rsidRPr="00FA3856">
              <w:rPr>
                <w:rFonts w:ascii="Times New Roman" w:eastAsia="Arial Unicode MS" w:hAnsi="Times New Roman"/>
                <w:lang w:val="pt-PT"/>
              </w:rPr>
              <w:t xml:space="preserve">Verifica se </w:t>
            </w:r>
            <w:r w:rsidR="00223735" w:rsidRPr="00FA3856">
              <w:rPr>
                <w:rFonts w:ascii="Times New Roman" w:eastAsia="Arial Unicode MS" w:hAnsi="Times New Roman"/>
                <w:lang w:val="pt-PT"/>
              </w:rPr>
              <w:t>Y671.</w:t>
            </w:r>
            <w:r w:rsidRPr="00FA3856">
              <w:rPr>
                <w:rFonts w:ascii="Times New Roman" w:eastAsia="Arial Unicode MS" w:hAnsi="Times New Roman"/>
                <w:lang w:val="pt-PT"/>
              </w:rPr>
              <w:t>VL_</w:t>
            </w:r>
            <w:r w:rsidR="00516F95" w:rsidRPr="00FA3856">
              <w:rPr>
                <w:rFonts w:ascii="Times New Roman" w:eastAsia="Arial Unicode MS" w:hAnsi="Times New Roman"/>
                <w:lang w:val="pt-PT"/>
              </w:rPr>
              <w:t xml:space="preserve">DOA_IDOSO </w:t>
            </w:r>
            <w:r w:rsidRPr="00FA3856">
              <w:rPr>
                <w:rFonts w:ascii="Times New Roman" w:eastAsia="Arial Unicode MS" w:hAnsi="Times New Roman"/>
                <w:lang w:val="pt-PT"/>
              </w:rPr>
              <w:t xml:space="preserve">está preenchido quando </w:t>
            </w:r>
            <w:r w:rsidR="00946B02" w:rsidRPr="00FA3856">
              <w:rPr>
                <w:rFonts w:ascii="Times New Roman" w:eastAsia="Arial Unicode MS" w:hAnsi="Times New Roman"/>
                <w:lang w:val="pt-PT"/>
              </w:rPr>
              <w:t>N630 (12</w:t>
            </w:r>
            <w:r w:rsidR="00545FF9" w:rsidRPr="00FA3856">
              <w:rPr>
                <w:rFonts w:ascii="Times New Roman" w:eastAsia="Arial Unicode MS" w:hAnsi="Times New Roman"/>
                <w:lang w:val="pt-PT"/>
              </w:rPr>
              <w:t>) (</w:t>
            </w:r>
            <w:r w:rsidR="00545FF9" w:rsidRPr="00FA3856">
              <w:rPr>
                <w:rFonts w:ascii="Times New Roman" w:hAnsi="Times New Roman"/>
                <w:bCs/>
                <w:color w:val="000000"/>
                <w:lang w:eastAsia="pt-BR"/>
              </w:rPr>
              <w:t>Fundos Nacional, Estaduais ou Municipais do Idoso</w:t>
            </w:r>
            <w:r w:rsidR="00545FF9" w:rsidRPr="00FA3856">
              <w:rPr>
                <w:rFonts w:ascii="Times New Roman" w:eastAsia="Arial Unicode MS" w:hAnsi="Times New Roman"/>
                <w:lang w:val="pt-PT"/>
              </w:rPr>
              <w:t xml:space="preserve">) for maior que zero, no </w:t>
            </w:r>
            <w:r w:rsidR="00946B02" w:rsidRPr="00FA3856">
              <w:rPr>
                <w:rFonts w:ascii="Times New Roman" w:eastAsia="Arial Unicode MS" w:hAnsi="Times New Roman"/>
                <w:lang w:val="pt-PT"/>
              </w:rPr>
              <w:t>caso de PJ em Geral, ou N630 (11</w:t>
            </w:r>
            <w:r w:rsidR="00545FF9" w:rsidRPr="00FA3856">
              <w:rPr>
                <w:rFonts w:ascii="Times New Roman" w:eastAsia="Arial Unicode MS" w:hAnsi="Times New Roman"/>
                <w:lang w:val="pt-PT"/>
              </w:rPr>
              <w:t>) (</w:t>
            </w:r>
            <w:r w:rsidR="00545FF9" w:rsidRPr="00FA3856">
              <w:rPr>
                <w:rFonts w:ascii="Times New Roman" w:hAnsi="Times New Roman"/>
                <w:bCs/>
                <w:color w:val="000000"/>
                <w:lang w:eastAsia="pt-BR"/>
              </w:rPr>
              <w:t>Fundos Nacional, Estaduais ou Municipais do Idoso</w:t>
            </w:r>
            <w:r w:rsidR="00545FF9" w:rsidRPr="00FA3856">
              <w:rPr>
                <w:rFonts w:ascii="Times New Roman" w:eastAsia="Arial Unicode MS" w:hAnsi="Times New Roman"/>
                <w:lang w:val="pt-PT"/>
              </w:rPr>
              <w:t>) for maior que zero, no caso de Financeiras, Segurados, de Capitalização e Entidades Abertas de Previdências Complementar.</w:t>
            </w:r>
          </w:p>
        </w:tc>
        <w:tc>
          <w:tcPr>
            <w:tcW w:w="717" w:type="dxa"/>
            <w:tcBorders>
              <w:top w:val="single" w:sz="6" w:space="0" w:color="auto"/>
              <w:left w:val="single" w:sz="6" w:space="0" w:color="auto"/>
              <w:bottom w:val="single" w:sz="6" w:space="0" w:color="auto"/>
              <w:right w:val="single" w:sz="6" w:space="0" w:color="auto"/>
            </w:tcBorders>
          </w:tcPr>
          <w:p w:rsidR="00D20A3B" w:rsidRPr="00FA3856" w:rsidRDefault="00D20A3B" w:rsidP="00596CCC">
            <w:pPr>
              <w:pStyle w:val="PSDS-CorpodeTexto0"/>
              <w:rPr>
                <w:rFonts w:ascii="Times New Roman" w:hAnsi="Times New Roman"/>
                <w:lang w:val="pt-PT"/>
              </w:rPr>
            </w:pPr>
            <w:r w:rsidRPr="00FA3856">
              <w:rPr>
                <w:rFonts w:ascii="Times New Roman" w:hAnsi="Times New Roman"/>
                <w:lang w:val="pt-PT"/>
              </w:rPr>
              <w:t>Erro</w:t>
            </w:r>
          </w:p>
        </w:tc>
      </w:tr>
    </w:tbl>
    <w:p w:rsidR="00083454" w:rsidRDefault="00083454">
      <w:pPr>
        <w:spacing w:after="200" w:line="276" w:lineRule="auto"/>
        <w:rPr>
          <w:b/>
          <w:color w:val="002060"/>
          <w:szCs w:val="20"/>
        </w:rPr>
      </w:pPr>
      <w:r>
        <w:rPr>
          <w:b/>
          <w:color w:val="002060"/>
          <w:szCs w:val="20"/>
        </w:rPr>
        <w:br w:type="page"/>
      </w:r>
    </w:p>
    <w:p w:rsidR="00083454" w:rsidRDefault="006B5DE4" w:rsidP="00223735">
      <w:pPr>
        <w:rPr>
          <w:b/>
          <w:color w:val="002060"/>
          <w:szCs w:val="20"/>
        </w:rPr>
      </w:pPr>
      <w:r w:rsidRPr="00FA3856">
        <w:rPr>
          <w:b/>
          <w:color w:val="002060"/>
          <w:szCs w:val="20"/>
        </w:rPr>
        <w:lastRenderedPageBreak/>
        <w:t>Exemplo de Preenchimen</w:t>
      </w:r>
      <w:r w:rsidR="00223735" w:rsidRPr="00FA3856">
        <w:rPr>
          <w:b/>
          <w:color w:val="002060"/>
          <w:szCs w:val="20"/>
        </w:rPr>
        <w:t xml:space="preserve">to: </w:t>
      </w:r>
    </w:p>
    <w:p w:rsidR="00083454" w:rsidRDefault="00083454" w:rsidP="00223735">
      <w:pPr>
        <w:rPr>
          <w:b/>
          <w:color w:val="002060"/>
          <w:szCs w:val="20"/>
        </w:rPr>
      </w:pPr>
    </w:p>
    <w:p w:rsidR="006B5DE4" w:rsidRPr="00FA3856" w:rsidRDefault="006B5DE4" w:rsidP="00223735">
      <w:pPr>
        <w:rPr>
          <w:b/>
          <w:color w:val="002060"/>
          <w:szCs w:val="20"/>
        </w:rPr>
      </w:pPr>
      <w:r w:rsidRPr="00FA3856">
        <w:rPr>
          <w:b/>
          <w:color w:val="002060"/>
          <w:szCs w:val="20"/>
        </w:rPr>
        <w:t>|Y671|10000,00|20000,00|10000,00|200</w:t>
      </w:r>
      <w:r w:rsidR="00D20A3B" w:rsidRPr="00FA3856">
        <w:rPr>
          <w:b/>
          <w:color w:val="002060"/>
          <w:szCs w:val="20"/>
        </w:rPr>
        <w:t>000,00|5000,00|6000,00|6</w:t>
      </w:r>
      <w:r w:rsidRPr="00FA3856">
        <w:rPr>
          <w:b/>
          <w:color w:val="002060"/>
          <w:szCs w:val="20"/>
        </w:rPr>
        <w:t>000,00|20</w:t>
      </w:r>
      <w:r w:rsidR="00D20A3B" w:rsidRPr="00FA3856">
        <w:rPr>
          <w:b/>
          <w:color w:val="002060"/>
          <w:szCs w:val="20"/>
        </w:rPr>
        <w:t>0</w:t>
      </w:r>
      <w:r w:rsidR="00A9069E" w:rsidRPr="00FA3856">
        <w:rPr>
          <w:b/>
          <w:color w:val="002060"/>
          <w:szCs w:val="20"/>
        </w:rPr>
        <w:t>00,00</w:t>
      </w:r>
      <w:r w:rsidRPr="00FA3856">
        <w:rPr>
          <w:b/>
          <w:color w:val="002060"/>
          <w:szCs w:val="20"/>
        </w:rPr>
        <w:t>|2</w:t>
      </w:r>
      <w:r w:rsidR="00D20A3B" w:rsidRPr="00FA3856">
        <w:rPr>
          <w:b/>
          <w:color w:val="002060"/>
          <w:szCs w:val="20"/>
        </w:rPr>
        <w:t>5</w:t>
      </w:r>
      <w:r w:rsidRPr="00FA3856">
        <w:rPr>
          <w:b/>
          <w:color w:val="002060"/>
          <w:szCs w:val="20"/>
        </w:rPr>
        <w:t>000,00|10000,00|10,00|2|2|</w:t>
      </w:r>
    </w:p>
    <w:p w:rsidR="006B5DE4" w:rsidRPr="00FA3856" w:rsidRDefault="006B5DE4" w:rsidP="006B5DE4">
      <w:pPr>
        <w:pStyle w:val="Corpodetexto"/>
        <w:ind w:left="708" w:firstLine="709"/>
        <w:rPr>
          <w:rFonts w:ascii="Times New Roman" w:hAnsi="Times New Roman"/>
          <w:color w:val="002060"/>
          <w:szCs w:val="20"/>
        </w:rPr>
      </w:pPr>
      <w:r w:rsidRPr="00FA3856">
        <w:rPr>
          <w:rFonts w:ascii="Times New Roman" w:hAnsi="Times New Roman"/>
          <w:color w:val="002060"/>
          <w:szCs w:val="20"/>
        </w:rPr>
        <w:t>|Y671|: Identificação do tipo do registro.</w:t>
      </w:r>
    </w:p>
    <w:p w:rsidR="006B5DE4" w:rsidRPr="00FA3856" w:rsidRDefault="006B5DE4" w:rsidP="006B5DE4">
      <w:pPr>
        <w:pStyle w:val="Corpodetexto"/>
        <w:ind w:left="708" w:firstLine="709"/>
        <w:rPr>
          <w:rFonts w:ascii="Times New Roman" w:hAnsi="Times New Roman"/>
          <w:color w:val="002060"/>
          <w:szCs w:val="20"/>
        </w:rPr>
      </w:pPr>
      <w:r w:rsidRPr="00FA3856">
        <w:rPr>
          <w:rFonts w:ascii="Times New Roman" w:hAnsi="Times New Roman"/>
          <w:color w:val="002060"/>
          <w:szCs w:val="20"/>
        </w:rPr>
        <w:t>|10000,00|: Aquisição de máquinas, aparelhos, instrumentos e equipamentos novos (R$ 10.000,00)</w:t>
      </w:r>
      <w:r w:rsidR="00D20A3B" w:rsidRPr="00FA3856">
        <w:rPr>
          <w:rFonts w:ascii="Times New Roman" w:hAnsi="Times New Roman"/>
          <w:color w:val="002060"/>
          <w:szCs w:val="20"/>
        </w:rPr>
        <w:t>.</w:t>
      </w:r>
    </w:p>
    <w:p w:rsidR="006B5DE4" w:rsidRPr="00FA3856" w:rsidRDefault="006B5DE4" w:rsidP="006B5DE4">
      <w:pPr>
        <w:pStyle w:val="Corpodetexto"/>
        <w:ind w:left="708" w:firstLine="709"/>
        <w:rPr>
          <w:rFonts w:ascii="Times New Roman" w:hAnsi="Times New Roman"/>
          <w:color w:val="002060"/>
          <w:szCs w:val="20"/>
        </w:rPr>
      </w:pPr>
      <w:r w:rsidRPr="00FA3856">
        <w:rPr>
          <w:rFonts w:ascii="Times New Roman" w:hAnsi="Times New Roman"/>
          <w:color w:val="002060"/>
          <w:szCs w:val="20"/>
        </w:rPr>
        <w:t>|20000,00|: Doação aos fundos dos direitos da criança e do adolescente (R$ 20.000,00)</w:t>
      </w:r>
      <w:r w:rsidR="00D20A3B" w:rsidRPr="00FA3856">
        <w:rPr>
          <w:rFonts w:ascii="Times New Roman" w:hAnsi="Times New Roman"/>
          <w:color w:val="002060"/>
          <w:szCs w:val="20"/>
        </w:rPr>
        <w:t>.</w:t>
      </w:r>
    </w:p>
    <w:p w:rsidR="006B5DE4" w:rsidRPr="00FA3856" w:rsidRDefault="006B5DE4" w:rsidP="006B5DE4">
      <w:pPr>
        <w:pStyle w:val="Corpodetexto"/>
        <w:ind w:left="708" w:firstLine="709"/>
        <w:rPr>
          <w:rFonts w:ascii="Times New Roman" w:hAnsi="Times New Roman"/>
          <w:color w:val="002060"/>
          <w:szCs w:val="20"/>
        </w:rPr>
      </w:pPr>
      <w:r w:rsidRPr="00FA3856">
        <w:rPr>
          <w:rFonts w:ascii="Times New Roman" w:hAnsi="Times New Roman"/>
          <w:color w:val="002060"/>
          <w:szCs w:val="20"/>
        </w:rPr>
        <w:t>|10000,00|: Doação aos fundos nacional, estaduais e municipais do idoso (R$ 10.000,00)</w:t>
      </w:r>
      <w:r w:rsidR="00D20A3B" w:rsidRPr="00FA3856">
        <w:rPr>
          <w:rFonts w:ascii="Times New Roman" w:hAnsi="Times New Roman"/>
          <w:color w:val="002060"/>
          <w:szCs w:val="20"/>
        </w:rPr>
        <w:t>.</w:t>
      </w:r>
    </w:p>
    <w:p w:rsidR="006B5DE4" w:rsidRPr="00FA3856" w:rsidRDefault="006B5DE4" w:rsidP="006B5DE4">
      <w:pPr>
        <w:pStyle w:val="Corpodetexto"/>
        <w:ind w:left="708" w:firstLine="709"/>
        <w:rPr>
          <w:rFonts w:ascii="Times New Roman" w:hAnsi="Times New Roman"/>
          <w:color w:val="002060"/>
          <w:szCs w:val="20"/>
        </w:rPr>
      </w:pPr>
      <w:r w:rsidRPr="00FA3856">
        <w:rPr>
          <w:rFonts w:ascii="Times New Roman" w:hAnsi="Times New Roman"/>
          <w:color w:val="002060"/>
          <w:szCs w:val="20"/>
        </w:rPr>
        <w:t>|200000,00| : Aquisições para o ativo imobilizado (R$ 200.000,00)</w:t>
      </w:r>
      <w:r w:rsidR="00D20A3B" w:rsidRPr="00FA3856">
        <w:rPr>
          <w:rFonts w:ascii="Times New Roman" w:hAnsi="Times New Roman"/>
          <w:color w:val="002060"/>
          <w:szCs w:val="20"/>
        </w:rPr>
        <w:t>.</w:t>
      </w:r>
    </w:p>
    <w:p w:rsidR="006B5DE4" w:rsidRPr="00FA3856" w:rsidRDefault="006B5DE4" w:rsidP="006B5DE4">
      <w:pPr>
        <w:pStyle w:val="Corpodetexto"/>
        <w:ind w:left="708" w:firstLine="709"/>
        <w:rPr>
          <w:rFonts w:ascii="Times New Roman" w:hAnsi="Times New Roman"/>
          <w:color w:val="002060"/>
          <w:szCs w:val="20"/>
        </w:rPr>
      </w:pPr>
      <w:r w:rsidRPr="00FA3856">
        <w:rPr>
          <w:rFonts w:ascii="Times New Roman" w:hAnsi="Times New Roman"/>
          <w:color w:val="002060"/>
          <w:szCs w:val="20"/>
        </w:rPr>
        <w:t>|5000,00|: Baixas do ativo imobilizado (R$ 5.000,00)</w:t>
      </w:r>
      <w:r w:rsidR="00D20A3B" w:rsidRPr="00FA3856">
        <w:rPr>
          <w:rFonts w:ascii="Times New Roman" w:hAnsi="Times New Roman"/>
          <w:color w:val="002060"/>
          <w:szCs w:val="20"/>
        </w:rPr>
        <w:t>.</w:t>
      </w:r>
    </w:p>
    <w:p w:rsidR="00D20A3B" w:rsidRPr="00FA3856" w:rsidRDefault="00D20A3B" w:rsidP="006B5DE4">
      <w:pPr>
        <w:pStyle w:val="Corpodetexto"/>
        <w:ind w:left="708" w:firstLine="709"/>
        <w:rPr>
          <w:rFonts w:ascii="Times New Roman" w:hAnsi="Times New Roman"/>
          <w:color w:val="002060"/>
          <w:szCs w:val="20"/>
        </w:rPr>
      </w:pPr>
      <w:r w:rsidRPr="00FA3856">
        <w:rPr>
          <w:rFonts w:ascii="Times New Roman" w:hAnsi="Times New Roman"/>
          <w:color w:val="002060"/>
          <w:szCs w:val="20"/>
        </w:rPr>
        <w:t>|6000,00|: Bens sujeitos ao incentivo de que trata a Lei n</w:t>
      </w:r>
      <w:r w:rsidRPr="00FA3856">
        <w:rPr>
          <w:rFonts w:ascii="Times New Roman" w:hAnsi="Times New Roman"/>
          <w:color w:val="002060"/>
          <w:szCs w:val="20"/>
          <w:u w:val="single"/>
          <w:vertAlign w:val="superscript"/>
        </w:rPr>
        <w:t>o</w:t>
      </w:r>
      <w:r w:rsidRPr="00FA3856">
        <w:rPr>
          <w:rFonts w:ascii="Times New Roman" w:hAnsi="Times New Roman"/>
          <w:color w:val="002060"/>
          <w:szCs w:val="20"/>
        </w:rPr>
        <w:t xml:space="preserve"> 11.051/2004, no início do período (R$ 6.000,00).</w:t>
      </w:r>
    </w:p>
    <w:p w:rsidR="00D20A3B" w:rsidRPr="00FA3856" w:rsidRDefault="00D20A3B" w:rsidP="00D20A3B">
      <w:pPr>
        <w:pStyle w:val="Corpodetexto"/>
        <w:ind w:left="708" w:firstLine="709"/>
        <w:rPr>
          <w:rFonts w:ascii="Times New Roman" w:hAnsi="Times New Roman"/>
          <w:color w:val="002060"/>
          <w:szCs w:val="20"/>
        </w:rPr>
      </w:pPr>
      <w:r w:rsidRPr="00FA3856">
        <w:rPr>
          <w:rFonts w:ascii="Times New Roman" w:hAnsi="Times New Roman"/>
          <w:color w:val="002060"/>
          <w:szCs w:val="20"/>
        </w:rPr>
        <w:t>|6000,00|: Bens sujeitos ao incentivo de que trata a Lei n</w:t>
      </w:r>
      <w:r w:rsidRPr="00FA3856">
        <w:rPr>
          <w:rFonts w:ascii="Times New Roman" w:hAnsi="Times New Roman"/>
          <w:color w:val="002060"/>
          <w:szCs w:val="20"/>
          <w:u w:val="single"/>
          <w:vertAlign w:val="superscript"/>
        </w:rPr>
        <w:t>o</w:t>
      </w:r>
      <w:r w:rsidRPr="00FA3856">
        <w:rPr>
          <w:rFonts w:ascii="Times New Roman" w:hAnsi="Times New Roman"/>
          <w:color w:val="002060"/>
          <w:szCs w:val="20"/>
        </w:rPr>
        <w:t xml:space="preserve"> 11.051/2004, no fim do período (R$ 6.000,00).</w:t>
      </w:r>
    </w:p>
    <w:p w:rsidR="00D20A3B" w:rsidRPr="00FA3856" w:rsidRDefault="00D20A3B" w:rsidP="00D20A3B">
      <w:pPr>
        <w:pStyle w:val="Corpodetexto"/>
        <w:ind w:left="708" w:firstLine="709"/>
        <w:rPr>
          <w:rFonts w:ascii="Times New Roman" w:hAnsi="Times New Roman"/>
          <w:color w:val="002060"/>
          <w:szCs w:val="20"/>
        </w:rPr>
      </w:pPr>
      <w:r w:rsidRPr="00FA3856">
        <w:rPr>
          <w:rFonts w:ascii="Times New Roman" w:hAnsi="Times New Roman"/>
          <w:color w:val="002060"/>
          <w:szCs w:val="20"/>
        </w:rPr>
        <w:t>|20000,00|: Saldo de créditos de CSLL sobre depreciação no início do período (R$ 20.0</w:t>
      </w:r>
      <w:bookmarkStart w:id="438" w:name="bugnotes"/>
      <w:r w:rsidRPr="00FA3856">
        <w:rPr>
          <w:rFonts w:ascii="Times New Roman" w:hAnsi="Times New Roman"/>
          <w:color w:val="002060"/>
          <w:szCs w:val="20"/>
        </w:rPr>
        <w:t>00,00).</w:t>
      </w:r>
    </w:p>
    <w:p w:rsidR="00D20A3B" w:rsidRPr="00FA3856" w:rsidRDefault="00D20A3B" w:rsidP="00D20A3B">
      <w:pPr>
        <w:pStyle w:val="Corpodetexto"/>
        <w:ind w:left="708" w:firstLine="709"/>
        <w:rPr>
          <w:rFonts w:ascii="Times New Roman" w:hAnsi="Times New Roman"/>
          <w:color w:val="002060"/>
          <w:szCs w:val="20"/>
        </w:rPr>
      </w:pPr>
      <w:r w:rsidRPr="00FA3856">
        <w:rPr>
          <w:rFonts w:ascii="Times New Roman" w:hAnsi="Times New Roman"/>
          <w:color w:val="002060"/>
          <w:szCs w:val="20"/>
        </w:rPr>
        <w:t xml:space="preserve">|25000,00|: Valor </w:t>
      </w:r>
      <w:r w:rsidR="00C321B8" w:rsidRPr="00FA3856">
        <w:rPr>
          <w:rFonts w:ascii="Times New Roman" w:hAnsi="Times New Roman"/>
          <w:color w:val="002060"/>
          <w:szCs w:val="20"/>
        </w:rPr>
        <w:t>das operações</w:t>
      </w:r>
      <w:r w:rsidRPr="00FA3856">
        <w:rPr>
          <w:rFonts w:ascii="Times New Roman" w:hAnsi="Times New Roman"/>
          <w:color w:val="002060"/>
          <w:szCs w:val="20"/>
        </w:rPr>
        <w:t xml:space="preserve"> de câmbio com isenção de IOF.</w:t>
      </w:r>
    </w:p>
    <w:p w:rsidR="00D20A3B" w:rsidRPr="00FA3856" w:rsidRDefault="00D20A3B" w:rsidP="00D20A3B">
      <w:pPr>
        <w:pStyle w:val="Corpodetexto"/>
        <w:ind w:left="708" w:firstLine="709"/>
        <w:rPr>
          <w:rFonts w:ascii="Times New Roman" w:hAnsi="Times New Roman"/>
          <w:color w:val="002060"/>
          <w:szCs w:val="20"/>
        </w:rPr>
      </w:pPr>
      <w:r w:rsidRPr="00FA3856">
        <w:rPr>
          <w:rFonts w:ascii="Times New Roman" w:hAnsi="Times New Roman"/>
          <w:color w:val="002060"/>
          <w:szCs w:val="20"/>
        </w:rPr>
        <w:t>|10000,00|: Valor total da folha de pagamento sujeita à alíquota reduzid</w:t>
      </w:r>
      <w:bookmarkEnd w:id="438"/>
      <w:r w:rsidRPr="00FA3856">
        <w:rPr>
          <w:rFonts w:ascii="Times New Roman" w:hAnsi="Times New Roman"/>
          <w:color w:val="002060"/>
          <w:szCs w:val="20"/>
        </w:rPr>
        <w:t>a de que trata a Lei n</w:t>
      </w:r>
      <w:r w:rsidRPr="00FA3856">
        <w:rPr>
          <w:rFonts w:ascii="Times New Roman" w:hAnsi="Times New Roman"/>
          <w:color w:val="002060"/>
          <w:szCs w:val="20"/>
          <w:u w:val="single"/>
          <w:vertAlign w:val="superscript"/>
        </w:rPr>
        <w:t>o</w:t>
      </w:r>
      <w:r w:rsidRPr="00FA3856">
        <w:rPr>
          <w:rFonts w:ascii="Times New Roman" w:hAnsi="Times New Roman"/>
          <w:color w:val="002060"/>
          <w:szCs w:val="20"/>
        </w:rPr>
        <w:t xml:space="preserve"> 11.774/2008 (R$ 10.000,00).</w:t>
      </w:r>
    </w:p>
    <w:p w:rsidR="00D20A3B" w:rsidRPr="00FA3856" w:rsidRDefault="00D20A3B" w:rsidP="00D20A3B">
      <w:pPr>
        <w:pStyle w:val="Corpodetexto"/>
        <w:ind w:left="708" w:firstLine="709"/>
        <w:rPr>
          <w:rFonts w:ascii="Times New Roman" w:hAnsi="Times New Roman"/>
          <w:color w:val="002060"/>
          <w:szCs w:val="20"/>
        </w:rPr>
      </w:pPr>
      <w:r w:rsidRPr="00FA3856">
        <w:rPr>
          <w:rFonts w:ascii="Times New Roman" w:hAnsi="Times New Roman"/>
          <w:color w:val="002060"/>
          <w:szCs w:val="20"/>
        </w:rPr>
        <w:t>|10,00|: Alíquota reduzida de que trata a Lei n</w:t>
      </w:r>
      <w:r w:rsidRPr="00FA3856">
        <w:rPr>
          <w:rFonts w:ascii="Times New Roman" w:hAnsi="Times New Roman"/>
          <w:color w:val="002060"/>
          <w:szCs w:val="20"/>
          <w:u w:val="single"/>
          <w:vertAlign w:val="superscript"/>
        </w:rPr>
        <w:t>o</w:t>
      </w:r>
      <w:r w:rsidRPr="00FA3856">
        <w:rPr>
          <w:rFonts w:ascii="Times New Roman" w:hAnsi="Times New Roman"/>
          <w:color w:val="002060"/>
          <w:szCs w:val="20"/>
        </w:rPr>
        <w:t xml:space="preserve"> 11.774/2008 (10%).</w:t>
      </w:r>
    </w:p>
    <w:p w:rsidR="00D20A3B" w:rsidRPr="00FA3856" w:rsidRDefault="00D20A3B" w:rsidP="00D20A3B">
      <w:pPr>
        <w:pStyle w:val="Corpodetexto"/>
        <w:ind w:left="708" w:firstLine="709"/>
        <w:rPr>
          <w:rFonts w:ascii="Times New Roman" w:hAnsi="Times New Roman"/>
          <w:color w:val="002060"/>
          <w:szCs w:val="20"/>
        </w:rPr>
      </w:pPr>
      <w:r w:rsidRPr="00FA3856">
        <w:rPr>
          <w:rFonts w:ascii="Times New Roman" w:hAnsi="Times New Roman"/>
          <w:color w:val="002060"/>
          <w:szCs w:val="20"/>
        </w:rPr>
        <w:t>|2|: Alteração de capital na forma dos art. 22 e 23 da Lei n</w:t>
      </w:r>
      <w:r w:rsidRPr="00FA3856">
        <w:rPr>
          <w:rFonts w:ascii="Times New Roman" w:hAnsi="Times New Roman"/>
          <w:color w:val="002060"/>
          <w:szCs w:val="20"/>
          <w:u w:val="single"/>
          <w:vertAlign w:val="superscript"/>
        </w:rPr>
        <w:t>o</w:t>
      </w:r>
      <w:r w:rsidRPr="00FA3856">
        <w:rPr>
          <w:rFonts w:ascii="Times New Roman" w:hAnsi="Times New Roman"/>
          <w:color w:val="002060"/>
          <w:szCs w:val="20"/>
        </w:rPr>
        <w:t xml:space="preserve"> 9.249/1995 (2 = Sim).</w:t>
      </w:r>
    </w:p>
    <w:p w:rsidR="00D20A3B" w:rsidRPr="00FA3856" w:rsidRDefault="00D20A3B" w:rsidP="00D20A3B">
      <w:pPr>
        <w:pStyle w:val="Corpodetexto"/>
        <w:ind w:left="708" w:firstLine="709"/>
        <w:rPr>
          <w:rFonts w:ascii="Times New Roman" w:hAnsi="Times New Roman"/>
          <w:color w:val="002060"/>
          <w:szCs w:val="20"/>
        </w:rPr>
      </w:pPr>
      <w:r w:rsidRPr="00FA3856">
        <w:rPr>
          <w:rFonts w:ascii="Times New Roman" w:hAnsi="Times New Roman"/>
          <w:color w:val="002060"/>
          <w:szCs w:val="20"/>
        </w:rPr>
        <w:t>|2|: Opção pela escrituração, no ativo, da base de cálculo negativa da CSLL (2 = Sim).</w:t>
      </w:r>
    </w:p>
    <w:p w:rsidR="00D20A3B" w:rsidRPr="00FA3856" w:rsidRDefault="00D20A3B" w:rsidP="006B5DE4">
      <w:pPr>
        <w:pStyle w:val="Corpodetexto"/>
        <w:ind w:left="708" w:firstLine="709"/>
        <w:rPr>
          <w:rFonts w:ascii="Times New Roman" w:hAnsi="Times New Roman"/>
          <w:color w:val="002060"/>
          <w:szCs w:val="20"/>
        </w:rPr>
      </w:pPr>
    </w:p>
    <w:p w:rsidR="006B5DE4" w:rsidRPr="00FA3856" w:rsidRDefault="006B5DE4">
      <w:pPr>
        <w:rPr>
          <w:b/>
          <w:bCs/>
          <w:color w:val="0000FF"/>
          <w:szCs w:val="20"/>
        </w:rPr>
      </w:pPr>
      <w:r w:rsidRPr="00FA3856">
        <w:rPr>
          <w:color w:val="0000FF"/>
          <w:szCs w:val="20"/>
        </w:rPr>
        <w:br w:type="page"/>
      </w:r>
    </w:p>
    <w:p w:rsidR="002F79AD" w:rsidRPr="00FA3856" w:rsidRDefault="002F79AD" w:rsidP="00867F54">
      <w:pPr>
        <w:pStyle w:val="Ttulo4"/>
      </w:pPr>
      <w:bookmarkStart w:id="439" w:name="_Toc479713838"/>
      <w:r w:rsidRPr="00FA3856">
        <w:lastRenderedPageBreak/>
        <w:t>Registro Y672: Outras Informações (Lucro Presumido</w:t>
      </w:r>
      <w:r w:rsidR="0021370A" w:rsidRPr="00FA3856">
        <w:t xml:space="preserve"> ou Lucro Arbitrado</w:t>
      </w:r>
      <w:r w:rsidRPr="00FA3856">
        <w:t>)</w:t>
      </w:r>
      <w:bookmarkEnd w:id="439"/>
    </w:p>
    <w:p w:rsidR="002F79AD" w:rsidRPr="00FA3856" w:rsidRDefault="002F79AD" w:rsidP="002F79AD">
      <w:pPr>
        <w:rPr>
          <w:szCs w:val="20"/>
        </w:rPr>
      </w:pPr>
    </w:p>
    <w:p w:rsidR="002F79AD" w:rsidRPr="00FA3856" w:rsidRDefault="0021370A" w:rsidP="002F79AD">
      <w:pPr>
        <w:rPr>
          <w:szCs w:val="20"/>
        </w:rPr>
      </w:pPr>
      <w:r w:rsidRPr="00FA3856">
        <w:rPr>
          <w:szCs w:val="20"/>
        </w:rPr>
        <w:t> </w:t>
      </w:r>
      <w:r w:rsidR="00850708" w:rsidRPr="00FA3856">
        <w:rPr>
          <w:szCs w:val="20"/>
        </w:rPr>
        <w:tab/>
      </w:r>
      <w:r w:rsidRPr="00FA3856">
        <w:rPr>
          <w:szCs w:val="20"/>
        </w:rPr>
        <w:t>A pessoa jurídica que apurou o imposto de renda com base no lucro presumido ou arbitrado deve preencher esta ficha em consonância com as orientações a seguir:</w:t>
      </w:r>
    </w:p>
    <w:p w:rsidR="00944C26" w:rsidRDefault="00944C26">
      <w:pPr>
        <w:rPr>
          <w:b/>
          <w:szCs w:val="20"/>
        </w:rPr>
      </w:pPr>
    </w:p>
    <w:p w:rsidR="00944C26" w:rsidRDefault="00B35FA3" w:rsidP="00944C26">
      <w:pPr>
        <w:jc w:val="center"/>
        <w:rPr>
          <w:b/>
          <w:szCs w:val="20"/>
        </w:rPr>
      </w:pPr>
      <w:r>
        <w:rPr>
          <w:b/>
          <w:szCs w:val="20"/>
        </w:rPr>
        <w:object w:dxaOrig="14835" w:dyaOrig="8130">
          <v:shape id="_x0000_i2092" type="#_x0000_t75" style="width:741.75pt;height:407.25pt" o:ole="">
            <v:imagedata r:id="rId884" o:title=""/>
          </v:shape>
          <o:OLEObject Type="Link" ProgID="Excel.Sheet.12" ShapeID="_x0000_i2092" DrawAspect="Content" r:id="rId885" UpdateMode="Always">
            <o:LinkType>EnhancedMetaFile</o:LinkType>
            <o:LockedField>false</o:LockedField>
          </o:OLEObject>
        </w:object>
      </w:r>
    </w:p>
    <w:p w:rsidR="00944C26" w:rsidRDefault="00944C26">
      <w:pPr>
        <w:rPr>
          <w:b/>
          <w:szCs w:val="20"/>
        </w:rPr>
      </w:pPr>
    </w:p>
    <w:p w:rsidR="00944C26" w:rsidRDefault="00944C26">
      <w:pPr>
        <w:rPr>
          <w:b/>
          <w:szCs w:val="20"/>
        </w:rPr>
      </w:pPr>
    </w:p>
    <w:p w:rsidR="00944C26" w:rsidRDefault="00B35FA3" w:rsidP="00944C26">
      <w:pPr>
        <w:jc w:val="center"/>
        <w:rPr>
          <w:b/>
          <w:szCs w:val="20"/>
        </w:rPr>
      </w:pPr>
      <w:r>
        <w:rPr>
          <w:b/>
          <w:szCs w:val="20"/>
        </w:rPr>
        <w:object w:dxaOrig="14835" w:dyaOrig="8550">
          <v:shape id="_x0000_i2094" type="#_x0000_t75" style="width:741.75pt;height:429.75pt" o:ole="">
            <v:imagedata r:id="rId886" o:title=""/>
          </v:shape>
          <o:OLEObject Type="Link" ProgID="Excel.Sheet.12" ShapeID="_x0000_i2094" DrawAspect="Content" r:id="rId887" UpdateMode="Always">
            <o:LinkType>EnhancedMetaFile</o:LinkType>
            <o:LockedField>false</o:LockedField>
          </o:OLEObject>
        </w:object>
      </w:r>
    </w:p>
    <w:p w:rsidR="00944C26" w:rsidRDefault="00944C26">
      <w:pPr>
        <w:rPr>
          <w:b/>
          <w:szCs w:val="20"/>
        </w:rPr>
      </w:pPr>
    </w:p>
    <w:p w:rsidR="00944C26" w:rsidRDefault="00944C26">
      <w:pPr>
        <w:rPr>
          <w:b/>
          <w:szCs w:val="20"/>
        </w:rPr>
      </w:pPr>
    </w:p>
    <w:p w:rsidR="00944C26" w:rsidRDefault="00944C26">
      <w:pPr>
        <w:rPr>
          <w:b/>
          <w:szCs w:val="20"/>
        </w:rPr>
      </w:pPr>
    </w:p>
    <w:p w:rsidR="00944C26" w:rsidRDefault="00944C26">
      <w:pPr>
        <w:rPr>
          <w:b/>
          <w:szCs w:val="20"/>
        </w:rPr>
      </w:pPr>
    </w:p>
    <w:p w:rsidR="00944C26" w:rsidRDefault="00B35FA3" w:rsidP="00944C26">
      <w:pPr>
        <w:jc w:val="center"/>
        <w:rPr>
          <w:b/>
          <w:szCs w:val="20"/>
        </w:rPr>
      </w:pPr>
      <w:r>
        <w:rPr>
          <w:b/>
          <w:szCs w:val="20"/>
        </w:rPr>
        <w:object w:dxaOrig="14835" w:dyaOrig="3555">
          <v:shape id="_x0000_i2096" type="#_x0000_t75" style="width:741.75pt;height:177.75pt" o:ole="">
            <v:imagedata r:id="rId888" o:title=""/>
          </v:shape>
          <o:OLEObject Type="Link" ProgID="Excel.Sheet.12" ShapeID="_x0000_i2096" DrawAspect="Content" r:id="rId889" UpdateMode="Always">
            <o:LinkType>EnhancedMetaFile</o:LinkType>
            <o:LockedField>false</o:LockedField>
          </o:OLEObject>
        </w:object>
      </w:r>
    </w:p>
    <w:p w:rsidR="00944C26" w:rsidRDefault="00944C26">
      <w:pPr>
        <w:rPr>
          <w:b/>
          <w:szCs w:val="20"/>
        </w:rPr>
      </w:pPr>
    </w:p>
    <w:p w:rsidR="000D387C" w:rsidRPr="00FA3856" w:rsidRDefault="000D387C">
      <w:pPr>
        <w:rPr>
          <w:b/>
          <w:szCs w:val="20"/>
        </w:rPr>
      </w:pPr>
      <w:r w:rsidRPr="00FA3856">
        <w:rPr>
          <w:b/>
          <w:szCs w:val="20"/>
        </w:rPr>
        <w:t>I – Regra</w:t>
      </w:r>
      <w:r w:rsidR="00451FF4" w:rsidRPr="00FA3856">
        <w:rPr>
          <w:b/>
          <w:szCs w:val="20"/>
        </w:rPr>
        <w:t>s</w:t>
      </w:r>
      <w:r w:rsidRPr="00FA3856">
        <w:rPr>
          <w:b/>
          <w:szCs w:val="20"/>
        </w:rPr>
        <w:t xml:space="preserve"> de Validação de </w:t>
      </w:r>
      <w:r w:rsidR="00451FF4" w:rsidRPr="00FA3856">
        <w:rPr>
          <w:b/>
          <w:szCs w:val="20"/>
        </w:rPr>
        <w:t>Registro</w:t>
      </w:r>
      <w:r w:rsidRPr="00FA3856">
        <w:rPr>
          <w:b/>
          <w:szCs w:val="20"/>
        </w:rPr>
        <w:t>:</w:t>
      </w:r>
    </w:p>
    <w:p w:rsidR="0008559E" w:rsidRPr="00FA3856" w:rsidRDefault="0008559E" w:rsidP="000D387C">
      <w:pPr>
        <w:ind w:firstLine="709"/>
        <w:rPr>
          <w:b/>
          <w:bCs/>
          <w:szCs w:val="20"/>
        </w:rPr>
      </w:pPr>
    </w:p>
    <w:p w:rsidR="00451FF4" w:rsidRPr="00FA3856" w:rsidRDefault="000D387C" w:rsidP="000D387C">
      <w:pPr>
        <w:ind w:firstLine="709"/>
        <w:rPr>
          <w:color w:val="0000FF"/>
          <w:szCs w:val="20"/>
        </w:rPr>
      </w:pPr>
      <w:r w:rsidRPr="00FA3856">
        <w:rPr>
          <w:b/>
          <w:bCs/>
          <w:szCs w:val="20"/>
        </w:rPr>
        <w:t>REGRA_Y672_PREENCHIDO:</w:t>
      </w:r>
      <w:r w:rsidRPr="00FA3856">
        <w:rPr>
          <w:color w:val="0000FF"/>
          <w:szCs w:val="20"/>
        </w:rPr>
        <w:t xml:space="preserve"> </w:t>
      </w:r>
    </w:p>
    <w:p w:rsidR="00451FF4" w:rsidRPr="00FA3856" w:rsidRDefault="00451FF4" w:rsidP="00451FF4">
      <w:pPr>
        <w:ind w:left="707" w:firstLine="709"/>
        <w:rPr>
          <w:szCs w:val="20"/>
        </w:rPr>
      </w:pPr>
      <w:r w:rsidRPr="00FA3856">
        <w:rPr>
          <w:color w:val="0000FF"/>
          <w:szCs w:val="20"/>
        </w:rPr>
        <w:t xml:space="preserve">- </w:t>
      </w:r>
      <w:r w:rsidRPr="00FA3856">
        <w:rPr>
          <w:szCs w:val="20"/>
        </w:rPr>
        <w:t xml:space="preserve">Se 0010.TIP_ESC_PRE = “C”, </w:t>
      </w:r>
      <w:r w:rsidR="00A4081E">
        <w:rPr>
          <w:szCs w:val="20"/>
        </w:rPr>
        <w:t xml:space="preserve">nenhum </w:t>
      </w:r>
      <w:r w:rsidRPr="00FA3856">
        <w:rPr>
          <w:szCs w:val="20"/>
        </w:rPr>
        <w:t>dos campos abaixo deve estar preenchido:</w:t>
      </w:r>
    </w:p>
    <w:p w:rsidR="00451FF4" w:rsidRPr="00FA3856" w:rsidRDefault="0008559E" w:rsidP="00A4081E">
      <w:pPr>
        <w:ind w:left="2124"/>
        <w:jc w:val="both"/>
        <w:rPr>
          <w:szCs w:val="20"/>
        </w:rPr>
      </w:pPr>
      <w:r w:rsidRPr="00FA3856">
        <w:rPr>
          <w:szCs w:val="20"/>
        </w:rPr>
        <w:t>Y672.</w:t>
      </w:r>
      <w:r w:rsidR="00451FF4" w:rsidRPr="00FA3856">
        <w:rPr>
          <w:szCs w:val="20"/>
        </w:rPr>
        <w:t>VL_CAPITA</w:t>
      </w:r>
      <w:r w:rsidR="001F5796" w:rsidRPr="00FA3856">
        <w:rPr>
          <w:szCs w:val="20"/>
        </w:rPr>
        <w:t>L</w:t>
      </w:r>
      <w:r w:rsidR="00451FF4" w:rsidRPr="00FA3856">
        <w:rPr>
          <w:szCs w:val="20"/>
        </w:rPr>
        <w:t xml:space="preserve">, </w:t>
      </w:r>
      <w:r w:rsidR="00A4081E" w:rsidRPr="00FA3856">
        <w:rPr>
          <w:szCs w:val="20"/>
        </w:rPr>
        <w:t>Y672.VL_CAPITAL</w:t>
      </w:r>
      <w:r w:rsidR="00A4081E">
        <w:rPr>
          <w:szCs w:val="20"/>
        </w:rPr>
        <w:t xml:space="preserve">_ANT, </w:t>
      </w:r>
      <w:r w:rsidRPr="00FA3856">
        <w:rPr>
          <w:szCs w:val="20"/>
        </w:rPr>
        <w:t>Y672.</w:t>
      </w:r>
      <w:r w:rsidR="00451FF4" w:rsidRPr="00FA3856">
        <w:rPr>
          <w:szCs w:val="20"/>
        </w:rPr>
        <w:t xml:space="preserve">VL_ESTOQUES, </w:t>
      </w:r>
      <w:r w:rsidR="00A4081E" w:rsidRPr="00FA3856">
        <w:rPr>
          <w:szCs w:val="20"/>
        </w:rPr>
        <w:t>Y672.VL_ESTOQUES</w:t>
      </w:r>
      <w:r w:rsidR="00A4081E">
        <w:rPr>
          <w:szCs w:val="20"/>
        </w:rPr>
        <w:t xml:space="preserve">_ANT, </w:t>
      </w:r>
      <w:r w:rsidRPr="00FA3856">
        <w:rPr>
          <w:szCs w:val="20"/>
        </w:rPr>
        <w:t>Y672.</w:t>
      </w:r>
      <w:r w:rsidR="00451FF4" w:rsidRPr="00FA3856">
        <w:rPr>
          <w:szCs w:val="20"/>
        </w:rPr>
        <w:t xml:space="preserve">VL_CAIXA, </w:t>
      </w:r>
      <w:r w:rsidR="00A4081E" w:rsidRPr="00FA3856">
        <w:rPr>
          <w:szCs w:val="20"/>
        </w:rPr>
        <w:t>Y672.VL_CAIXA</w:t>
      </w:r>
      <w:r w:rsidR="00A4081E">
        <w:rPr>
          <w:szCs w:val="20"/>
        </w:rPr>
        <w:t xml:space="preserve">_ANT, </w:t>
      </w:r>
      <w:r w:rsidRPr="00FA3856">
        <w:rPr>
          <w:szCs w:val="20"/>
        </w:rPr>
        <w:t>Y672.</w:t>
      </w:r>
      <w:r w:rsidR="00451FF4" w:rsidRPr="00FA3856">
        <w:rPr>
          <w:szCs w:val="20"/>
        </w:rPr>
        <w:t xml:space="preserve">VL_APLIC_FIN, </w:t>
      </w:r>
      <w:r w:rsidR="00A4081E" w:rsidRPr="00FA3856">
        <w:rPr>
          <w:szCs w:val="20"/>
        </w:rPr>
        <w:t>Y672.VL_APLIC_FIN</w:t>
      </w:r>
      <w:r w:rsidR="00A4081E">
        <w:rPr>
          <w:szCs w:val="20"/>
        </w:rPr>
        <w:t>_ANT</w:t>
      </w:r>
      <w:r w:rsidR="00A4081E" w:rsidRPr="00FA3856">
        <w:rPr>
          <w:szCs w:val="20"/>
        </w:rPr>
        <w:t xml:space="preserve">, </w:t>
      </w:r>
      <w:r w:rsidRPr="00FA3856">
        <w:rPr>
          <w:szCs w:val="20"/>
        </w:rPr>
        <w:t>Y672.</w:t>
      </w:r>
      <w:r w:rsidR="00A4081E">
        <w:rPr>
          <w:szCs w:val="20"/>
        </w:rPr>
        <w:t xml:space="preserve">VL_CTA_REC, </w:t>
      </w:r>
      <w:r w:rsidR="00A4081E" w:rsidRPr="00FA3856">
        <w:rPr>
          <w:szCs w:val="20"/>
        </w:rPr>
        <w:t>Y672.</w:t>
      </w:r>
      <w:r w:rsidR="00A4081E">
        <w:rPr>
          <w:szCs w:val="20"/>
        </w:rPr>
        <w:t xml:space="preserve">VL_CTA_REC_ANT, </w:t>
      </w:r>
      <w:r w:rsidRPr="00FA3856">
        <w:rPr>
          <w:szCs w:val="20"/>
        </w:rPr>
        <w:t>Y672.</w:t>
      </w:r>
      <w:r w:rsidR="00451FF4" w:rsidRPr="00FA3856">
        <w:rPr>
          <w:szCs w:val="20"/>
        </w:rPr>
        <w:t>VL_CTA_PAG</w:t>
      </w:r>
      <w:r w:rsidR="00A4081E">
        <w:rPr>
          <w:szCs w:val="20"/>
        </w:rPr>
        <w:t xml:space="preserve"> e </w:t>
      </w:r>
      <w:r w:rsidR="00A4081E" w:rsidRPr="00FA3856">
        <w:rPr>
          <w:szCs w:val="20"/>
        </w:rPr>
        <w:t>Y672.VL_CTA_PAG</w:t>
      </w:r>
      <w:r w:rsidR="00A4081E">
        <w:rPr>
          <w:szCs w:val="20"/>
        </w:rPr>
        <w:t>_ANT</w:t>
      </w:r>
      <w:r w:rsidR="00451FF4" w:rsidRPr="00FA3856">
        <w:rPr>
          <w:szCs w:val="20"/>
        </w:rPr>
        <w:t>.</w:t>
      </w:r>
    </w:p>
    <w:p w:rsidR="00451FF4" w:rsidRPr="00FA3856" w:rsidRDefault="00451FF4" w:rsidP="00451FF4">
      <w:pPr>
        <w:ind w:left="707" w:firstLine="709"/>
        <w:rPr>
          <w:szCs w:val="20"/>
        </w:rPr>
      </w:pPr>
    </w:p>
    <w:p w:rsidR="00451FF4" w:rsidRPr="00FA3856" w:rsidRDefault="00451FF4" w:rsidP="00451FF4">
      <w:pPr>
        <w:ind w:left="707" w:firstLine="709"/>
        <w:rPr>
          <w:szCs w:val="20"/>
        </w:rPr>
      </w:pPr>
      <w:r w:rsidRPr="00FA3856">
        <w:rPr>
          <w:szCs w:val="20"/>
        </w:rPr>
        <w:t>- Se (0010.TIP_ESC_PRE = “L” ou 0010.FORMA.TRIB = “6” ou “7”), pelo menos um dos campos abaixo deve estar preenchido:</w:t>
      </w:r>
    </w:p>
    <w:p w:rsidR="00451FF4" w:rsidRPr="00FA3856" w:rsidRDefault="0008559E" w:rsidP="00D73F2C">
      <w:pPr>
        <w:ind w:left="2124"/>
        <w:rPr>
          <w:szCs w:val="20"/>
        </w:rPr>
      </w:pPr>
      <w:r w:rsidRPr="00FA3856">
        <w:rPr>
          <w:szCs w:val="20"/>
        </w:rPr>
        <w:t>Y672.</w:t>
      </w:r>
      <w:r w:rsidR="00451FF4" w:rsidRPr="00FA3856">
        <w:rPr>
          <w:szCs w:val="20"/>
        </w:rPr>
        <w:t>VL_CAPITA</w:t>
      </w:r>
      <w:r w:rsidR="00360EEA" w:rsidRPr="00FA3856">
        <w:rPr>
          <w:szCs w:val="20"/>
        </w:rPr>
        <w:t>L</w:t>
      </w:r>
      <w:r w:rsidRPr="00FA3856">
        <w:rPr>
          <w:rFonts w:eastAsia="Arial Unicode MS"/>
          <w:szCs w:val="20"/>
          <w:lang w:val="pt-PT"/>
        </w:rPr>
        <w:t xml:space="preserve">, </w:t>
      </w:r>
      <w:r w:rsidRPr="00FA3856">
        <w:rPr>
          <w:szCs w:val="20"/>
        </w:rPr>
        <w:t>Y672.</w:t>
      </w:r>
      <w:r w:rsidR="00451FF4" w:rsidRPr="00FA3856">
        <w:rPr>
          <w:szCs w:val="20"/>
        </w:rPr>
        <w:t>VL_EST</w:t>
      </w:r>
      <w:r w:rsidR="00360EEA" w:rsidRPr="00FA3856">
        <w:rPr>
          <w:szCs w:val="20"/>
        </w:rPr>
        <w:t xml:space="preserve">OQUES, </w:t>
      </w:r>
      <w:r w:rsidRPr="00FA3856">
        <w:rPr>
          <w:szCs w:val="20"/>
        </w:rPr>
        <w:t>Y672.</w:t>
      </w:r>
      <w:r w:rsidR="00360EEA" w:rsidRPr="00FA3856">
        <w:rPr>
          <w:szCs w:val="20"/>
        </w:rPr>
        <w:t xml:space="preserve">VL_CAIXA, </w:t>
      </w:r>
      <w:r w:rsidRPr="00FA3856">
        <w:rPr>
          <w:szCs w:val="20"/>
        </w:rPr>
        <w:t>Y672.</w:t>
      </w:r>
      <w:r w:rsidR="00451FF4" w:rsidRPr="00FA3856">
        <w:rPr>
          <w:szCs w:val="20"/>
        </w:rPr>
        <w:t xml:space="preserve">VL_APLIC_FIN, </w:t>
      </w:r>
      <w:r w:rsidRPr="00FA3856">
        <w:rPr>
          <w:szCs w:val="20"/>
        </w:rPr>
        <w:t>Y672.</w:t>
      </w:r>
      <w:r w:rsidR="00451FF4" w:rsidRPr="00FA3856">
        <w:rPr>
          <w:szCs w:val="20"/>
        </w:rPr>
        <w:t xml:space="preserve">VL_CTA_REC, </w:t>
      </w:r>
      <w:r w:rsidRPr="00FA3856">
        <w:rPr>
          <w:szCs w:val="20"/>
        </w:rPr>
        <w:t>Y672.</w:t>
      </w:r>
      <w:r w:rsidR="00451FF4" w:rsidRPr="00FA3856">
        <w:rPr>
          <w:szCs w:val="20"/>
        </w:rPr>
        <w:t xml:space="preserve">VL_CTA_PAG, </w:t>
      </w:r>
      <w:r w:rsidRPr="00FA3856">
        <w:rPr>
          <w:szCs w:val="20"/>
        </w:rPr>
        <w:t>Y672.</w:t>
      </w:r>
      <w:r w:rsidR="00451FF4" w:rsidRPr="00FA3856">
        <w:rPr>
          <w:szCs w:val="20"/>
        </w:rPr>
        <w:t xml:space="preserve">VL_COMPRA_MERC, </w:t>
      </w:r>
      <w:r w:rsidRPr="00FA3856">
        <w:rPr>
          <w:szCs w:val="20"/>
        </w:rPr>
        <w:t>Y672.</w:t>
      </w:r>
      <w:r w:rsidR="00451FF4" w:rsidRPr="00FA3856">
        <w:rPr>
          <w:szCs w:val="20"/>
        </w:rPr>
        <w:t xml:space="preserve">VL_COMPRA_ATIVO, </w:t>
      </w:r>
      <w:r w:rsidRPr="00FA3856">
        <w:rPr>
          <w:szCs w:val="20"/>
        </w:rPr>
        <w:t>Y672.</w:t>
      </w:r>
      <w:r w:rsidR="00451FF4" w:rsidRPr="00FA3856">
        <w:rPr>
          <w:szCs w:val="20"/>
        </w:rPr>
        <w:t xml:space="preserve">VL_RECEITAS, </w:t>
      </w:r>
      <w:r w:rsidRPr="00FA3856">
        <w:rPr>
          <w:szCs w:val="20"/>
        </w:rPr>
        <w:t>Y672.</w:t>
      </w:r>
      <w:r w:rsidR="00451FF4" w:rsidRPr="00FA3856">
        <w:rPr>
          <w:szCs w:val="20"/>
        </w:rPr>
        <w:t xml:space="preserve">TOT_ATIVO, </w:t>
      </w:r>
      <w:r w:rsidRPr="00FA3856">
        <w:rPr>
          <w:szCs w:val="20"/>
        </w:rPr>
        <w:t>Y672.</w:t>
      </w:r>
      <w:r w:rsidR="00451FF4" w:rsidRPr="00FA3856">
        <w:rPr>
          <w:szCs w:val="20"/>
        </w:rPr>
        <w:t xml:space="preserve">VL_FOLHA e </w:t>
      </w:r>
      <w:r w:rsidRPr="00FA3856">
        <w:rPr>
          <w:szCs w:val="20"/>
        </w:rPr>
        <w:t>Y672.</w:t>
      </w:r>
      <w:r w:rsidR="00451FF4" w:rsidRPr="00FA3856">
        <w:rPr>
          <w:szCs w:val="20"/>
        </w:rPr>
        <w:t>VL_ALIQ_RED.</w:t>
      </w:r>
    </w:p>
    <w:p w:rsidR="00D73F2C" w:rsidRPr="00FA3856" w:rsidRDefault="00D73F2C" w:rsidP="00D73F2C">
      <w:pPr>
        <w:ind w:left="2124"/>
        <w:rPr>
          <w:szCs w:val="20"/>
        </w:rPr>
      </w:pPr>
    </w:p>
    <w:p w:rsidR="00F36E63" w:rsidRPr="00FA3856" w:rsidRDefault="00F36E63" w:rsidP="00F36E63">
      <w:pPr>
        <w:pStyle w:val="PSDS-MarcadoresNivel4"/>
        <w:tabs>
          <w:tab w:val="clear" w:pos="2271"/>
          <w:tab w:val="left" w:pos="720"/>
        </w:tabs>
        <w:spacing w:before="0" w:after="0"/>
        <w:ind w:left="0" w:firstLine="0"/>
        <w:rPr>
          <w:rFonts w:ascii="Times New Roman" w:hAnsi="Times New Roman" w:cs="Times New Roman"/>
          <w:szCs w:val="20"/>
          <w:lang w:val="pt-PT"/>
        </w:rPr>
      </w:pPr>
      <w:r w:rsidRPr="00FA3856">
        <w:rPr>
          <w:rFonts w:ascii="Times New Roman" w:hAnsi="Times New Roman" w:cs="Times New Roman"/>
          <w:szCs w:val="20"/>
          <w:lang w:val="pt-PT"/>
        </w:rPr>
        <w:t>II – Regras de Validação de Campos:</w:t>
      </w:r>
    </w:p>
    <w:p w:rsidR="00D73F2C" w:rsidRPr="00FA3856" w:rsidRDefault="00D73F2C" w:rsidP="00F36E63">
      <w:pPr>
        <w:pStyle w:val="PSDS-MarcadoresNivel4"/>
        <w:tabs>
          <w:tab w:val="clear" w:pos="2271"/>
          <w:tab w:val="left" w:pos="720"/>
        </w:tabs>
        <w:spacing w:before="0" w:after="0"/>
        <w:ind w:left="0" w:firstLine="0"/>
        <w:rPr>
          <w:rFonts w:ascii="Times New Roman" w:hAnsi="Times New Roman" w:cs="Times New Roman"/>
          <w:szCs w:val="20"/>
          <w:lang w:val="pt-PT"/>
        </w:rPr>
      </w:pPr>
    </w:p>
    <w:tbl>
      <w:tblPr>
        <w:tblW w:w="16370"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85"/>
        <w:gridCol w:w="3000"/>
        <w:gridCol w:w="12168"/>
        <w:gridCol w:w="717"/>
      </w:tblGrid>
      <w:tr w:rsidR="00F36E63" w:rsidRPr="00FA3856" w:rsidTr="00BB2C36">
        <w:trPr>
          <w:tblHeader/>
          <w:jc w:val="center"/>
        </w:trPr>
        <w:tc>
          <w:tcPr>
            <w:tcW w:w="485" w:type="dxa"/>
            <w:tcBorders>
              <w:top w:val="single" w:sz="6" w:space="0" w:color="auto"/>
              <w:left w:val="single" w:sz="6" w:space="0" w:color="auto"/>
              <w:bottom w:val="single" w:sz="6" w:space="0" w:color="auto"/>
              <w:right w:val="single" w:sz="6" w:space="0" w:color="auto"/>
            </w:tcBorders>
            <w:shd w:val="pct10" w:color="auto" w:fill="FFFFFF"/>
          </w:tcPr>
          <w:p w:rsidR="00F36E63" w:rsidRPr="00FA3856" w:rsidRDefault="00F36E63" w:rsidP="000E4982">
            <w:pPr>
              <w:pStyle w:val="PSDS-CorpodeTexto0"/>
              <w:jc w:val="center"/>
              <w:rPr>
                <w:rFonts w:ascii="Times New Roman" w:hAnsi="Times New Roman"/>
                <w:b/>
                <w:bCs/>
              </w:rPr>
            </w:pPr>
            <w:r w:rsidRPr="00FA3856">
              <w:rPr>
                <w:rFonts w:ascii="Times New Roman" w:hAnsi="Times New Roman"/>
                <w:b/>
                <w:bCs/>
              </w:rPr>
              <w:t>Nº</w:t>
            </w:r>
          </w:p>
        </w:tc>
        <w:tc>
          <w:tcPr>
            <w:tcW w:w="3000" w:type="dxa"/>
            <w:tcBorders>
              <w:top w:val="single" w:sz="6" w:space="0" w:color="auto"/>
              <w:left w:val="single" w:sz="6" w:space="0" w:color="auto"/>
              <w:bottom w:val="single" w:sz="6" w:space="0" w:color="auto"/>
              <w:right w:val="single" w:sz="6" w:space="0" w:color="auto"/>
            </w:tcBorders>
            <w:shd w:val="pct10" w:color="auto" w:fill="FFFFFF"/>
          </w:tcPr>
          <w:p w:rsidR="00F36E63" w:rsidRPr="00FA3856" w:rsidRDefault="00F36E63" w:rsidP="000E4982">
            <w:pPr>
              <w:pStyle w:val="PSDS-CorpodeTexto0"/>
              <w:jc w:val="center"/>
              <w:rPr>
                <w:rFonts w:ascii="Times New Roman" w:hAnsi="Times New Roman"/>
                <w:b/>
                <w:bCs/>
              </w:rPr>
            </w:pPr>
            <w:r w:rsidRPr="00FA3856">
              <w:rPr>
                <w:rFonts w:ascii="Times New Roman" w:hAnsi="Times New Roman"/>
                <w:b/>
                <w:bCs/>
              </w:rPr>
              <w:t>Campo</w:t>
            </w:r>
          </w:p>
        </w:tc>
        <w:tc>
          <w:tcPr>
            <w:tcW w:w="12168" w:type="dxa"/>
            <w:tcBorders>
              <w:top w:val="single" w:sz="6" w:space="0" w:color="auto"/>
              <w:left w:val="single" w:sz="6" w:space="0" w:color="auto"/>
              <w:bottom w:val="single" w:sz="6" w:space="0" w:color="auto"/>
              <w:right w:val="single" w:sz="6" w:space="0" w:color="auto"/>
            </w:tcBorders>
            <w:shd w:val="pct10" w:color="auto" w:fill="FFFFFF"/>
          </w:tcPr>
          <w:p w:rsidR="00F36E63" w:rsidRPr="00FA3856" w:rsidRDefault="00F36E63" w:rsidP="000E4982">
            <w:pPr>
              <w:pStyle w:val="PSDS-CorpodeTexto0"/>
              <w:jc w:val="center"/>
              <w:rPr>
                <w:rFonts w:ascii="Times New Roman" w:hAnsi="Times New Roman"/>
                <w:b/>
                <w:bCs/>
              </w:rPr>
            </w:pPr>
            <w:r w:rsidRPr="00FA3856">
              <w:rPr>
                <w:rFonts w:ascii="Times New Roman" w:hAnsi="Times New Roman"/>
                <w:b/>
                <w:bCs/>
              </w:rPr>
              <w:t>Regras de Validação do Campo</w:t>
            </w:r>
          </w:p>
        </w:tc>
        <w:tc>
          <w:tcPr>
            <w:tcW w:w="717" w:type="dxa"/>
            <w:tcBorders>
              <w:top w:val="single" w:sz="6" w:space="0" w:color="auto"/>
              <w:left w:val="single" w:sz="6" w:space="0" w:color="auto"/>
              <w:bottom w:val="single" w:sz="6" w:space="0" w:color="auto"/>
              <w:right w:val="single" w:sz="6" w:space="0" w:color="auto"/>
            </w:tcBorders>
            <w:shd w:val="pct10" w:color="auto" w:fill="FFFFFF"/>
          </w:tcPr>
          <w:p w:rsidR="00F36E63" w:rsidRPr="00FA3856" w:rsidRDefault="00F36E63" w:rsidP="000E4982">
            <w:pPr>
              <w:pStyle w:val="PSDS-CorpodeTexto0"/>
              <w:jc w:val="center"/>
              <w:rPr>
                <w:rFonts w:ascii="Times New Roman" w:hAnsi="Times New Roman"/>
                <w:b/>
                <w:bCs/>
              </w:rPr>
            </w:pPr>
            <w:r w:rsidRPr="00FA3856">
              <w:rPr>
                <w:rFonts w:ascii="Times New Roman" w:hAnsi="Times New Roman"/>
                <w:b/>
                <w:bCs/>
              </w:rPr>
              <w:t>Tipo</w:t>
            </w:r>
          </w:p>
        </w:tc>
      </w:tr>
      <w:tr w:rsidR="00F36E63" w:rsidRPr="00FA3856" w:rsidTr="00BB2C36">
        <w:trPr>
          <w:jc w:val="center"/>
        </w:trPr>
        <w:tc>
          <w:tcPr>
            <w:tcW w:w="485" w:type="dxa"/>
            <w:tcBorders>
              <w:top w:val="single" w:sz="6" w:space="0" w:color="auto"/>
              <w:left w:val="single" w:sz="6" w:space="0" w:color="auto"/>
              <w:bottom w:val="single" w:sz="6" w:space="0" w:color="auto"/>
              <w:right w:val="single" w:sz="6" w:space="0" w:color="auto"/>
            </w:tcBorders>
          </w:tcPr>
          <w:p w:rsidR="00F36E63" w:rsidRPr="00FA3856" w:rsidRDefault="00F36E63" w:rsidP="000E4982">
            <w:pPr>
              <w:pStyle w:val="PSDS-CorpodeTexto0"/>
              <w:suppressAutoHyphens w:val="0"/>
              <w:rPr>
                <w:rFonts w:ascii="Times New Roman" w:hAnsi="Times New Roman"/>
                <w:b/>
                <w:bCs/>
                <w:lang w:val="pt-PT"/>
              </w:rPr>
            </w:pPr>
            <w:r w:rsidRPr="00FA3856">
              <w:rPr>
                <w:rFonts w:ascii="Times New Roman" w:hAnsi="Times New Roman"/>
                <w:b/>
                <w:bCs/>
                <w:lang w:val="pt-PT"/>
              </w:rPr>
              <w:t>2</w:t>
            </w:r>
          </w:p>
        </w:tc>
        <w:tc>
          <w:tcPr>
            <w:tcW w:w="3000" w:type="dxa"/>
            <w:tcBorders>
              <w:top w:val="single" w:sz="6" w:space="0" w:color="auto"/>
              <w:left w:val="single" w:sz="6" w:space="0" w:color="auto"/>
              <w:bottom w:val="single" w:sz="6" w:space="0" w:color="auto"/>
              <w:right w:val="single" w:sz="6" w:space="0" w:color="auto"/>
            </w:tcBorders>
          </w:tcPr>
          <w:p w:rsidR="00F36E63" w:rsidRPr="00FA3856" w:rsidRDefault="00F36E63" w:rsidP="000E4982">
            <w:pPr>
              <w:pStyle w:val="PSDS-CorpodeTexto0"/>
              <w:rPr>
                <w:rFonts w:ascii="Times New Roman" w:hAnsi="Times New Roman"/>
                <w:lang w:val="pt-PT"/>
              </w:rPr>
            </w:pPr>
            <w:r w:rsidRPr="00FA3856">
              <w:rPr>
                <w:rFonts w:ascii="Times New Roman" w:hAnsi="Times New Roman"/>
                <w:lang w:val="pt-PT"/>
              </w:rPr>
              <w:t>VL_CAPITAL_ANT</w:t>
            </w:r>
          </w:p>
        </w:tc>
        <w:tc>
          <w:tcPr>
            <w:tcW w:w="12168" w:type="dxa"/>
            <w:tcBorders>
              <w:top w:val="single" w:sz="6" w:space="0" w:color="auto"/>
              <w:left w:val="single" w:sz="6" w:space="0" w:color="auto"/>
              <w:bottom w:val="single" w:sz="6" w:space="0" w:color="auto"/>
              <w:right w:val="single" w:sz="6" w:space="0" w:color="auto"/>
            </w:tcBorders>
          </w:tcPr>
          <w:p w:rsidR="00F36E63" w:rsidRPr="00FA3856" w:rsidRDefault="00F36E63" w:rsidP="00360EEA">
            <w:pPr>
              <w:pStyle w:val="PSDS-CorpodeTexto0"/>
              <w:jc w:val="both"/>
              <w:rPr>
                <w:rFonts w:ascii="Times New Roman" w:hAnsi="Times New Roman"/>
                <w:b/>
              </w:rPr>
            </w:pPr>
            <w:r w:rsidRPr="00FA3856">
              <w:rPr>
                <w:rFonts w:ascii="Times New Roman" w:eastAsia="Arial Unicode MS" w:hAnsi="Times New Roman"/>
                <w:b/>
                <w:lang w:val="pt-PT"/>
              </w:rPr>
              <w:t xml:space="preserve">REGRA_NAO_PREECHER_ESC_CONT: </w:t>
            </w:r>
            <w:r w:rsidR="00516F95" w:rsidRPr="00FA3856">
              <w:rPr>
                <w:rFonts w:ascii="Times New Roman" w:eastAsia="Arial Unicode MS" w:hAnsi="Times New Roman"/>
                <w:lang w:val="pt-PT"/>
              </w:rPr>
              <w:t xml:space="preserve">Verifica se </w:t>
            </w:r>
            <w:r w:rsidR="0008559E" w:rsidRPr="00FA3856">
              <w:rPr>
                <w:rFonts w:ascii="Times New Roman" w:hAnsi="Times New Roman"/>
              </w:rPr>
              <w:t>Y672.</w:t>
            </w:r>
            <w:r w:rsidRPr="00FA3856">
              <w:rPr>
                <w:rFonts w:ascii="Times New Roman" w:eastAsia="Arial Unicode MS" w:hAnsi="Times New Roman"/>
                <w:lang w:val="pt-PT"/>
              </w:rPr>
              <w:t>VL_C</w:t>
            </w:r>
            <w:r w:rsidR="00516F95" w:rsidRPr="00FA3856">
              <w:rPr>
                <w:rFonts w:ascii="Times New Roman" w:eastAsia="Arial Unicode MS" w:hAnsi="Times New Roman"/>
                <w:lang w:val="pt-PT"/>
              </w:rPr>
              <w:t xml:space="preserve">APITAL_ANT </w:t>
            </w:r>
            <w:r w:rsidR="00360EEA" w:rsidRPr="00FA3856">
              <w:rPr>
                <w:rFonts w:ascii="Times New Roman" w:eastAsia="Arial Unicode MS" w:hAnsi="Times New Roman"/>
                <w:lang w:val="pt-PT"/>
              </w:rPr>
              <w:t xml:space="preserve">não </w:t>
            </w:r>
            <w:r w:rsidRPr="00FA3856">
              <w:rPr>
                <w:rFonts w:ascii="Times New Roman" w:eastAsia="Arial Unicode MS" w:hAnsi="Times New Roman"/>
                <w:lang w:val="pt-PT"/>
              </w:rPr>
              <w:t xml:space="preserve">está preenchido quando </w:t>
            </w:r>
            <w:r w:rsidR="00360EEA" w:rsidRPr="00FA3856">
              <w:rPr>
                <w:rFonts w:ascii="Times New Roman" w:eastAsia="Arial Unicode MS" w:hAnsi="Times New Roman"/>
                <w:lang w:val="pt-PT"/>
              </w:rPr>
              <w:t>0010</w:t>
            </w:r>
            <w:r w:rsidR="0008559E" w:rsidRPr="00FA3856">
              <w:rPr>
                <w:rFonts w:ascii="Times New Roman" w:eastAsia="Arial Unicode MS" w:hAnsi="Times New Roman"/>
                <w:lang w:val="pt-PT"/>
              </w:rPr>
              <w:t>.</w:t>
            </w:r>
            <w:r w:rsidR="00516F95" w:rsidRPr="00FA3856">
              <w:rPr>
                <w:rFonts w:ascii="Times New Roman" w:eastAsia="Arial Unicode MS" w:hAnsi="Times New Roman"/>
                <w:lang w:val="pt-PT"/>
              </w:rPr>
              <w:t xml:space="preserve">TIPO_ESC_PRE </w:t>
            </w:r>
            <w:r w:rsidR="00151BD1" w:rsidRPr="00FA3856">
              <w:rPr>
                <w:rFonts w:ascii="Times New Roman" w:eastAsia="Arial Unicode MS" w:hAnsi="Times New Roman"/>
                <w:lang w:val="pt-PT"/>
              </w:rPr>
              <w:t>for igual a “C” (Contábil) e 0010.FORMA_TRIB = “5” (Lucro Presumido).</w:t>
            </w:r>
          </w:p>
        </w:tc>
        <w:tc>
          <w:tcPr>
            <w:tcW w:w="717" w:type="dxa"/>
            <w:tcBorders>
              <w:top w:val="single" w:sz="6" w:space="0" w:color="auto"/>
              <w:left w:val="single" w:sz="6" w:space="0" w:color="auto"/>
              <w:bottom w:val="single" w:sz="6" w:space="0" w:color="auto"/>
              <w:right w:val="single" w:sz="6" w:space="0" w:color="auto"/>
            </w:tcBorders>
          </w:tcPr>
          <w:p w:rsidR="00F36E63" w:rsidRPr="00FA3856" w:rsidRDefault="00F36E63" w:rsidP="000E4982">
            <w:pPr>
              <w:pStyle w:val="PSDS-CorpodeTexto0"/>
              <w:rPr>
                <w:rFonts w:ascii="Times New Roman" w:hAnsi="Times New Roman"/>
                <w:lang w:val="pt-PT"/>
              </w:rPr>
            </w:pPr>
            <w:r w:rsidRPr="00FA3856">
              <w:rPr>
                <w:rFonts w:ascii="Times New Roman" w:hAnsi="Times New Roman"/>
                <w:lang w:val="pt-PT"/>
              </w:rPr>
              <w:t>Erro</w:t>
            </w:r>
          </w:p>
        </w:tc>
      </w:tr>
      <w:tr w:rsidR="00F36E63" w:rsidRPr="00FA3856" w:rsidTr="00BB2C36">
        <w:trPr>
          <w:jc w:val="center"/>
        </w:trPr>
        <w:tc>
          <w:tcPr>
            <w:tcW w:w="485" w:type="dxa"/>
            <w:tcBorders>
              <w:top w:val="single" w:sz="6" w:space="0" w:color="auto"/>
              <w:left w:val="single" w:sz="6" w:space="0" w:color="auto"/>
              <w:bottom w:val="single" w:sz="6" w:space="0" w:color="auto"/>
              <w:right w:val="single" w:sz="6" w:space="0" w:color="auto"/>
            </w:tcBorders>
          </w:tcPr>
          <w:p w:rsidR="00F36E63" w:rsidRPr="00FA3856" w:rsidRDefault="00F36E63" w:rsidP="000E4982">
            <w:pPr>
              <w:pStyle w:val="PSDS-CorpodeTexto0"/>
              <w:suppressAutoHyphens w:val="0"/>
              <w:rPr>
                <w:rFonts w:ascii="Times New Roman" w:hAnsi="Times New Roman"/>
                <w:b/>
                <w:bCs/>
                <w:lang w:val="pt-PT"/>
              </w:rPr>
            </w:pPr>
            <w:r w:rsidRPr="00FA3856">
              <w:rPr>
                <w:rFonts w:ascii="Times New Roman" w:hAnsi="Times New Roman"/>
                <w:b/>
                <w:bCs/>
                <w:lang w:val="pt-PT"/>
              </w:rPr>
              <w:t>3</w:t>
            </w:r>
          </w:p>
        </w:tc>
        <w:tc>
          <w:tcPr>
            <w:tcW w:w="3000" w:type="dxa"/>
            <w:tcBorders>
              <w:top w:val="single" w:sz="6" w:space="0" w:color="auto"/>
              <w:left w:val="single" w:sz="6" w:space="0" w:color="auto"/>
              <w:bottom w:val="single" w:sz="6" w:space="0" w:color="auto"/>
              <w:right w:val="single" w:sz="6" w:space="0" w:color="auto"/>
            </w:tcBorders>
          </w:tcPr>
          <w:p w:rsidR="00F36E63" w:rsidRPr="00FA3856" w:rsidRDefault="00F36E63" w:rsidP="000E4982">
            <w:pPr>
              <w:pStyle w:val="PSDS-CorpodeTexto0"/>
              <w:rPr>
                <w:rFonts w:ascii="Times New Roman" w:hAnsi="Times New Roman"/>
                <w:lang w:val="pt-PT"/>
              </w:rPr>
            </w:pPr>
            <w:r w:rsidRPr="00FA3856">
              <w:rPr>
                <w:rFonts w:ascii="Times New Roman" w:hAnsi="Times New Roman"/>
                <w:lang w:val="pt-PT"/>
              </w:rPr>
              <w:t>VL_CAPITAL</w:t>
            </w:r>
          </w:p>
        </w:tc>
        <w:tc>
          <w:tcPr>
            <w:tcW w:w="12168" w:type="dxa"/>
            <w:tcBorders>
              <w:top w:val="single" w:sz="6" w:space="0" w:color="auto"/>
              <w:left w:val="single" w:sz="6" w:space="0" w:color="auto"/>
              <w:bottom w:val="single" w:sz="6" w:space="0" w:color="auto"/>
              <w:right w:val="single" w:sz="6" w:space="0" w:color="auto"/>
            </w:tcBorders>
          </w:tcPr>
          <w:p w:rsidR="00F36E63" w:rsidRPr="00FA3856" w:rsidRDefault="00F36E63" w:rsidP="00F36E63">
            <w:pPr>
              <w:pStyle w:val="PSDS-CorpodeTexto0"/>
              <w:jc w:val="both"/>
              <w:rPr>
                <w:rFonts w:ascii="Times New Roman" w:eastAsia="Arial Unicode MS" w:hAnsi="Times New Roman"/>
                <w:lang w:val="pt-PT"/>
              </w:rPr>
            </w:pPr>
            <w:r w:rsidRPr="00FA3856">
              <w:rPr>
                <w:rFonts w:ascii="Times New Roman" w:eastAsia="Arial Unicode MS" w:hAnsi="Times New Roman"/>
                <w:b/>
                <w:lang w:val="pt-PT"/>
              </w:rPr>
              <w:t xml:space="preserve">REGRA_NAO_PREECHER_ESC_CONT: </w:t>
            </w:r>
            <w:r w:rsidRPr="00FA3856">
              <w:rPr>
                <w:rFonts w:ascii="Times New Roman" w:eastAsia="Arial Unicode MS" w:hAnsi="Times New Roman"/>
                <w:lang w:val="pt-PT"/>
              </w:rPr>
              <w:t xml:space="preserve">Verifica se o campo </w:t>
            </w:r>
            <w:r w:rsidR="00516F95" w:rsidRPr="00FA3856">
              <w:rPr>
                <w:rFonts w:ascii="Times New Roman" w:eastAsia="Arial Unicode MS" w:hAnsi="Times New Roman"/>
                <w:lang w:val="pt-PT"/>
              </w:rPr>
              <w:t xml:space="preserve">Y672.VL_CAPITAL </w:t>
            </w:r>
            <w:r w:rsidR="00360EEA" w:rsidRPr="00FA3856">
              <w:rPr>
                <w:rFonts w:ascii="Times New Roman" w:eastAsia="Arial Unicode MS" w:hAnsi="Times New Roman"/>
                <w:lang w:val="pt-PT"/>
              </w:rPr>
              <w:t xml:space="preserve">não </w:t>
            </w:r>
            <w:r w:rsidRPr="00FA3856">
              <w:rPr>
                <w:rFonts w:ascii="Times New Roman" w:eastAsia="Arial Unicode MS" w:hAnsi="Times New Roman"/>
                <w:lang w:val="pt-PT"/>
              </w:rPr>
              <w:t xml:space="preserve">está preenchido quando o campo </w:t>
            </w:r>
            <w:r w:rsidR="00360EEA" w:rsidRPr="00FA3856">
              <w:rPr>
                <w:rFonts w:ascii="Times New Roman" w:eastAsia="Arial Unicode MS" w:hAnsi="Times New Roman"/>
                <w:lang w:val="pt-PT"/>
              </w:rPr>
              <w:t>0010.</w:t>
            </w:r>
            <w:r w:rsidR="00516F95" w:rsidRPr="00FA3856">
              <w:rPr>
                <w:rFonts w:ascii="Times New Roman" w:eastAsia="Arial Unicode MS" w:hAnsi="Times New Roman"/>
                <w:lang w:val="pt-PT"/>
              </w:rPr>
              <w:t xml:space="preserve">TIPO_ESC_PRE </w:t>
            </w:r>
            <w:r w:rsidRPr="00FA3856">
              <w:rPr>
                <w:rFonts w:ascii="Times New Roman" w:eastAsia="Arial Unicode MS" w:hAnsi="Times New Roman"/>
                <w:lang w:val="pt-PT"/>
              </w:rPr>
              <w:t xml:space="preserve">do registro </w:t>
            </w:r>
            <w:r w:rsidR="00151BD1" w:rsidRPr="00FA3856">
              <w:rPr>
                <w:rFonts w:ascii="Times New Roman" w:eastAsia="Arial Unicode MS" w:hAnsi="Times New Roman"/>
                <w:lang w:val="pt-PT"/>
              </w:rPr>
              <w:t>0010 for igual a “C” (Contábil) e 0010.FORMA_TRIB = “5” (Lucro Presumido).</w:t>
            </w:r>
          </w:p>
          <w:p w:rsidR="00F36E63" w:rsidRPr="00FA3856" w:rsidRDefault="00F36E63" w:rsidP="00F36E63">
            <w:pPr>
              <w:pStyle w:val="PSDS-CorpodeTexto0"/>
              <w:jc w:val="both"/>
              <w:rPr>
                <w:rFonts w:ascii="Times New Roman" w:eastAsia="Arial Unicode MS" w:hAnsi="Times New Roman"/>
                <w:lang w:val="pt-PT"/>
              </w:rPr>
            </w:pPr>
          </w:p>
          <w:p w:rsidR="00F36E63" w:rsidRPr="00FA3856" w:rsidRDefault="00F36E63" w:rsidP="000E4982">
            <w:pPr>
              <w:pStyle w:val="PSDS-CorpodeTexto0"/>
              <w:jc w:val="both"/>
              <w:rPr>
                <w:rFonts w:ascii="Times New Roman" w:eastAsia="Arial Unicode MS" w:hAnsi="Times New Roman"/>
                <w:lang w:val="pt-PT"/>
              </w:rPr>
            </w:pPr>
            <w:r w:rsidRPr="00FA3856">
              <w:rPr>
                <w:rFonts w:ascii="Times New Roman" w:hAnsi="Times New Roman"/>
                <w:b/>
                <w:bCs/>
                <w:lang w:val="pt-PT"/>
              </w:rPr>
              <w:lastRenderedPageBreak/>
              <w:t xml:space="preserve">REGRA_Y672_CAPITAL_NAO_INFORMADO: </w:t>
            </w:r>
            <w:r w:rsidRPr="00FA3856">
              <w:rPr>
                <w:rFonts w:ascii="Times New Roman" w:hAnsi="Times New Roman"/>
                <w:bCs/>
                <w:lang w:val="pt-PT"/>
              </w:rPr>
              <w:t xml:space="preserve">Verifica </w:t>
            </w:r>
            <w:r w:rsidRPr="00FA3856">
              <w:rPr>
                <w:rFonts w:ascii="Times New Roman" w:eastAsia="Arial Unicode MS" w:hAnsi="Times New Roman"/>
                <w:lang w:val="pt-PT"/>
              </w:rPr>
              <w:t xml:space="preserve">se o campo </w:t>
            </w:r>
            <w:r w:rsidR="00516F95" w:rsidRPr="00FA3856">
              <w:rPr>
                <w:rFonts w:ascii="Times New Roman" w:eastAsia="Arial Unicode MS" w:hAnsi="Times New Roman"/>
                <w:lang w:val="pt-PT"/>
              </w:rPr>
              <w:t xml:space="preserve">Y762.VL_CAPITAL </w:t>
            </w:r>
            <w:r w:rsidRPr="00FA3856">
              <w:rPr>
                <w:rFonts w:ascii="Times New Roman" w:eastAsia="Arial Unicode MS" w:hAnsi="Times New Roman"/>
                <w:lang w:val="pt-PT"/>
              </w:rPr>
              <w:t>está preenchido</w:t>
            </w:r>
            <w:r w:rsidR="000E4982" w:rsidRPr="00FA3856">
              <w:rPr>
                <w:rFonts w:ascii="Times New Roman" w:hAnsi="Times New Roman"/>
                <w:bCs/>
                <w:lang w:val="pt-PT"/>
              </w:rPr>
              <w:t xml:space="preserve"> quando </w:t>
            </w:r>
            <w:r w:rsidR="00360EEA" w:rsidRPr="00FA3856">
              <w:rPr>
                <w:rFonts w:ascii="Times New Roman" w:hAnsi="Times New Roman"/>
                <w:bCs/>
                <w:lang w:val="pt-PT"/>
              </w:rPr>
              <w:t>0010.</w:t>
            </w:r>
            <w:r w:rsidRPr="00FA3856">
              <w:rPr>
                <w:rFonts w:ascii="Times New Roman" w:hAnsi="Times New Roman"/>
                <w:bCs/>
                <w:lang w:val="pt-PT"/>
              </w:rPr>
              <w:t>FORMA_TRIB</w:t>
            </w:r>
            <w:r w:rsidR="00516F95" w:rsidRPr="00FA3856">
              <w:rPr>
                <w:rFonts w:ascii="Times New Roman" w:hAnsi="Times New Roman"/>
                <w:bCs/>
                <w:lang w:val="pt-PT"/>
              </w:rPr>
              <w:t xml:space="preserve"> </w:t>
            </w:r>
            <w:r w:rsidRPr="00FA3856">
              <w:rPr>
                <w:rFonts w:ascii="Times New Roman" w:hAnsi="Times New Roman"/>
                <w:bCs/>
                <w:lang w:val="pt-PT"/>
              </w:rPr>
              <w:t>for igual a “5” (</w:t>
            </w:r>
            <w:r w:rsidR="00F36ACB" w:rsidRPr="00FA3856">
              <w:rPr>
                <w:rFonts w:ascii="Times New Roman" w:hAnsi="Times New Roman"/>
                <w:bCs/>
                <w:lang w:val="pt-PT"/>
              </w:rPr>
              <w:t xml:space="preserve">Lucro </w:t>
            </w:r>
            <w:r w:rsidRPr="00FA3856">
              <w:rPr>
                <w:rFonts w:ascii="Times New Roman" w:hAnsi="Times New Roman"/>
                <w:bCs/>
                <w:lang w:val="pt-PT"/>
              </w:rPr>
              <w:t xml:space="preserve">Presumido) e </w:t>
            </w:r>
            <w:r w:rsidR="00360EEA" w:rsidRPr="00FA3856">
              <w:rPr>
                <w:rFonts w:ascii="Times New Roman" w:hAnsi="Times New Roman"/>
                <w:bCs/>
                <w:lang w:val="pt-PT"/>
              </w:rPr>
              <w:t>0010.</w:t>
            </w:r>
            <w:r w:rsidRPr="00FA3856">
              <w:rPr>
                <w:rFonts w:ascii="Times New Roman" w:eastAsia="Arial Unicode MS" w:hAnsi="Times New Roman"/>
                <w:lang w:val="pt-PT"/>
              </w:rPr>
              <w:t>TIPO_ESC_</w:t>
            </w:r>
            <w:r w:rsidR="00516F95" w:rsidRPr="00FA3856">
              <w:rPr>
                <w:rFonts w:ascii="Times New Roman" w:eastAsia="Arial Unicode MS" w:hAnsi="Times New Roman"/>
                <w:lang w:val="pt-PT"/>
              </w:rPr>
              <w:t xml:space="preserve">PRE </w:t>
            </w:r>
            <w:r w:rsidRPr="00FA3856">
              <w:rPr>
                <w:rFonts w:ascii="Times New Roman" w:eastAsia="Arial Unicode MS" w:hAnsi="Times New Roman"/>
                <w:lang w:val="pt-PT"/>
              </w:rPr>
              <w:t>for igual a “L” (Livro Caixa)</w:t>
            </w:r>
            <w:r w:rsidR="000E4982" w:rsidRPr="00FA3856">
              <w:rPr>
                <w:rFonts w:ascii="Times New Roman" w:eastAsia="Arial Unicode MS" w:hAnsi="Times New Roman"/>
                <w:lang w:val="pt-PT"/>
              </w:rPr>
              <w:t xml:space="preserve"> ou quando </w:t>
            </w:r>
            <w:r w:rsidR="00360EEA" w:rsidRPr="00FA3856">
              <w:rPr>
                <w:rFonts w:ascii="Times New Roman" w:eastAsia="Arial Unicode MS" w:hAnsi="Times New Roman"/>
                <w:lang w:val="pt-PT"/>
              </w:rPr>
              <w:t>0010.</w:t>
            </w:r>
            <w:r w:rsidR="000E4982" w:rsidRPr="00FA3856">
              <w:rPr>
                <w:rFonts w:ascii="Times New Roman" w:hAnsi="Times New Roman"/>
                <w:bCs/>
                <w:lang w:val="pt-PT"/>
              </w:rPr>
              <w:t>FORMA_T</w:t>
            </w:r>
            <w:r w:rsidR="00516F95" w:rsidRPr="00FA3856">
              <w:rPr>
                <w:rFonts w:ascii="Times New Roman" w:hAnsi="Times New Roman"/>
                <w:bCs/>
                <w:lang w:val="pt-PT"/>
              </w:rPr>
              <w:t xml:space="preserve">RIB </w:t>
            </w:r>
            <w:r w:rsidR="000E4982" w:rsidRPr="00FA3856">
              <w:rPr>
                <w:rFonts w:ascii="Times New Roman" w:hAnsi="Times New Roman"/>
                <w:bCs/>
                <w:lang w:val="pt-PT"/>
              </w:rPr>
              <w:t>for igual a “6” (</w:t>
            </w:r>
            <w:r w:rsidR="00F36ACB" w:rsidRPr="00FA3856">
              <w:rPr>
                <w:rFonts w:ascii="Times New Roman" w:hAnsi="Times New Roman"/>
                <w:bCs/>
                <w:lang w:val="pt-PT"/>
              </w:rPr>
              <w:t xml:space="preserve">Lucro </w:t>
            </w:r>
            <w:r w:rsidR="000E4982" w:rsidRPr="00FA3856">
              <w:rPr>
                <w:rFonts w:ascii="Times New Roman" w:hAnsi="Times New Roman"/>
                <w:bCs/>
                <w:lang w:val="pt-PT"/>
              </w:rPr>
              <w:t xml:space="preserve">Arbitrado) </w:t>
            </w:r>
            <w:r w:rsidR="000E4982" w:rsidRPr="00FA3856">
              <w:rPr>
                <w:rFonts w:ascii="Times New Roman" w:eastAsia="Arial Unicode MS" w:hAnsi="Times New Roman"/>
                <w:lang w:val="pt-PT"/>
              </w:rPr>
              <w:t>ou “7” (Presumido/Arbitrado).</w:t>
            </w:r>
          </w:p>
        </w:tc>
        <w:tc>
          <w:tcPr>
            <w:tcW w:w="717" w:type="dxa"/>
            <w:tcBorders>
              <w:top w:val="single" w:sz="6" w:space="0" w:color="auto"/>
              <w:left w:val="single" w:sz="6" w:space="0" w:color="auto"/>
              <w:bottom w:val="single" w:sz="6" w:space="0" w:color="auto"/>
              <w:right w:val="single" w:sz="6" w:space="0" w:color="auto"/>
            </w:tcBorders>
          </w:tcPr>
          <w:p w:rsidR="00F36E63" w:rsidRPr="00FA3856" w:rsidRDefault="00F36E63" w:rsidP="000E4982">
            <w:pPr>
              <w:pStyle w:val="PSDS-CorpodeTexto0"/>
              <w:rPr>
                <w:rFonts w:ascii="Times New Roman" w:hAnsi="Times New Roman"/>
                <w:lang w:val="pt-PT"/>
              </w:rPr>
            </w:pPr>
            <w:r w:rsidRPr="00FA3856">
              <w:rPr>
                <w:rFonts w:ascii="Times New Roman" w:hAnsi="Times New Roman"/>
                <w:lang w:val="pt-PT"/>
              </w:rPr>
              <w:lastRenderedPageBreak/>
              <w:t>Erro</w:t>
            </w:r>
          </w:p>
          <w:p w:rsidR="00F36E63" w:rsidRPr="00FA3856" w:rsidRDefault="00F36E63" w:rsidP="000E4982">
            <w:pPr>
              <w:pStyle w:val="PSDS-CorpodeTexto0"/>
              <w:rPr>
                <w:rFonts w:ascii="Times New Roman" w:hAnsi="Times New Roman"/>
                <w:lang w:val="pt-PT"/>
              </w:rPr>
            </w:pPr>
          </w:p>
          <w:p w:rsidR="00F36E63" w:rsidRPr="00FA3856" w:rsidRDefault="00F36E63" w:rsidP="000E4982">
            <w:pPr>
              <w:pStyle w:val="PSDS-CorpodeTexto0"/>
              <w:rPr>
                <w:rFonts w:ascii="Times New Roman" w:hAnsi="Times New Roman"/>
                <w:lang w:val="pt-PT"/>
              </w:rPr>
            </w:pPr>
          </w:p>
          <w:p w:rsidR="00F36E63" w:rsidRPr="00FA3856" w:rsidRDefault="00F36E63" w:rsidP="000E4982">
            <w:pPr>
              <w:pStyle w:val="PSDS-CorpodeTexto0"/>
              <w:rPr>
                <w:rFonts w:ascii="Times New Roman" w:hAnsi="Times New Roman"/>
                <w:lang w:val="pt-PT"/>
              </w:rPr>
            </w:pPr>
            <w:r w:rsidRPr="00FA3856">
              <w:rPr>
                <w:rFonts w:ascii="Times New Roman" w:hAnsi="Times New Roman"/>
                <w:lang w:val="pt-PT"/>
              </w:rPr>
              <w:t>Aviso</w:t>
            </w:r>
          </w:p>
        </w:tc>
      </w:tr>
      <w:tr w:rsidR="000E4982" w:rsidRPr="00FA3856" w:rsidTr="00BB2C36">
        <w:trPr>
          <w:jc w:val="center"/>
        </w:trPr>
        <w:tc>
          <w:tcPr>
            <w:tcW w:w="485" w:type="dxa"/>
            <w:tcBorders>
              <w:top w:val="single" w:sz="6" w:space="0" w:color="auto"/>
              <w:left w:val="single" w:sz="6" w:space="0" w:color="auto"/>
              <w:bottom w:val="single" w:sz="6" w:space="0" w:color="auto"/>
              <w:right w:val="single" w:sz="6" w:space="0" w:color="auto"/>
            </w:tcBorders>
          </w:tcPr>
          <w:p w:rsidR="000E4982" w:rsidRPr="00FA3856" w:rsidRDefault="000E4982" w:rsidP="000E4982">
            <w:pPr>
              <w:pStyle w:val="PSDS-CorpodeTexto0"/>
              <w:suppressAutoHyphens w:val="0"/>
              <w:rPr>
                <w:rFonts w:ascii="Times New Roman" w:hAnsi="Times New Roman"/>
                <w:b/>
                <w:bCs/>
                <w:lang w:val="pt-PT"/>
              </w:rPr>
            </w:pPr>
            <w:r w:rsidRPr="00FA3856">
              <w:rPr>
                <w:rFonts w:ascii="Times New Roman" w:hAnsi="Times New Roman"/>
                <w:b/>
                <w:bCs/>
                <w:lang w:val="pt-PT"/>
              </w:rPr>
              <w:t>4</w:t>
            </w:r>
          </w:p>
        </w:tc>
        <w:tc>
          <w:tcPr>
            <w:tcW w:w="3000" w:type="dxa"/>
            <w:tcBorders>
              <w:top w:val="single" w:sz="6" w:space="0" w:color="auto"/>
              <w:left w:val="single" w:sz="6" w:space="0" w:color="auto"/>
              <w:bottom w:val="single" w:sz="6" w:space="0" w:color="auto"/>
              <w:right w:val="single" w:sz="6" w:space="0" w:color="auto"/>
            </w:tcBorders>
          </w:tcPr>
          <w:p w:rsidR="000E4982" w:rsidRPr="00FA3856" w:rsidRDefault="000E4982" w:rsidP="000E4982">
            <w:pPr>
              <w:pStyle w:val="PSDS-CorpodeTexto0"/>
              <w:rPr>
                <w:rFonts w:ascii="Times New Roman" w:hAnsi="Times New Roman"/>
                <w:lang w:val="pt-PT"/>
              </w:rPr>
            </w:pPr>
            <w:r w:rsidRPr="00FA3856">
              <w:rPr>
                <w:rFonts w:ascii="Times New Roman" w:hAnsi="Times New Roman"/>
                <w:lang w:val="pt-PT"/>
              </w:rPr>
              <w:t>VL_ESTOQUE_ANT</w:t>
            </w:r>
          </w:p>
          <w:p w:rsidR="000E4982" w:rsidRPr="00FA3856" w:rsidRDefault="000E4982" w:rsidP="000E4982">
            <w:pPr>
              <w:pStyle w:val="PSDS-CorpodeTexto0"/>
              <w:rPr>
                <w:rFonts w:ascii="Times New Roman" w:hAnsi="Times New Roman"/>
                <w:lang w:val="pt-PT"/>
              </w:rPr>
            </w:pPr>
          </w:p>
        </w:tc>
        <w:tc>
          <w:tcPr>
            <w:tcW w:w="12168" w:type="dxa"/>
            <w:tcBorders>
              <w:top w:val="single" w:sz="6" w:space="0" w:color="auto"/>
              <w:left w:val="single" w:sz="6" w:space="0" w:color="auto"/>
              <w:bottom w:val="single" w:sz="6" w:space="0" w:color="auto"/>
              <w:right w:val="single" w:sz="6" w:space="0" w:color="auto"/>
            </w:tcBorders>
          </w:tcPr>
          <w:p w:rsidR="000E4982" w:rsidRPr="00FA3856" w:rsidRDefault="000E4982" w:rsidP="000E4982">
            <w:pPr>
              <w:pStyle w:val="PSDS-CorpodeTexto0"/>
              <w:jc w:val="both"/>
              <w:rPr>
                <w:rFonts w:ascii="Times New Roman" w:eastAsia="Arial Unicode MS" w:hAnsi="Times New Roman"/>
                <w:b/>
                <w:lang w:val="pt-PT"/>
              </w:rPr>
            </w:pPr>
            <w:r w:rsidRPr="00FA3856">
              <w:rPr>
                <w:rFonts w:ascii="Times New Roman" w:eastAsia="Arial Unicode MS" w:hAnsi="Times New Roman"/>
                <w:b/>
                <w:lang w:val="pt-PT"/>
              </w:rPr>
              <w:t xml:space="preserve">REGRA_NAO_PREECHER_ESC_CONT: </w:t>
            </w:r>
            <w:r w:rsidRPr="00FA3856">
              <w:rPr>
                <w:rFonts w:ascii="Times New Roman" w:eastAsia="Arial Unicode MS" w:hAnsi="Times New Roman"/>
                <w:lang w:val="pt-PT"/>
              </w:rPr>
              <w:t>Verifica se</w:t>
            </w:r>
            <w:r w:rsidR="00360EEA" w:rsidRPr="00FA3856">
              <w:rPr>
                <w:rFonts w:ascii="Times New Roman" w:eastAsia="Arial Unicode MS" w:hAnsi="Times New Roman"/>
                <w:lang w:val="pt-PT"/>
              </w:rPr>
              <w:t xml:space="preserve"> o c</w:t>
            </w:r>
            <w:r w:rsidR="00516F95" w:rsidRPr="00FA3856">
              <w:rPr>
                <w:rFonts w:ascii="Times New Roman" w:eastAsia="Arial Unicode MS" w:hAnsi="Times New Roman"/>
                <w:lang w:val="pt-PT"/>
              </w:rPr>
              <w:t xml:space="preserve">ampo Y672.VL_ESTOQUE_ANT </w:t>
            </w:r>
            <w:r w:rsidR="00360EEA" w:rsidRPr="00FA3856">
              <w:rPr>
                <w:rFonts w:ascii="Times New Roman" w:eastAsia="Arial Unicode MS" w:hAnsi="Times New Roman"/>
                <w:lang w:val="pt-PT"/>
              </w:rPr>
              <w:t xml:space="preserve">não </w:t>
            </w:r>
            <w:r w:rsidR="000142A3" w:rsidRPr="00FA3856">
              <w:rPr>
                <w:rFonts w:ascii="Times New Roman" w:eastAsia="Arial Unicode MS" w:hAnsi="Times New Roman"/>
                <w:lang w:val="pt-PT"/>
              </w:rPr>
              <w:t xml:space="preserve">está preenchido quando </w:t>
            </w:r>
            <w:r w:rsidR="00360EEA" w:rsidRPr="00FA3856">
              <w:rPr>
                <w:rFonts w:ascii="Times New Roman" w:eastAsia="Arial Unicode MS" w:hAnsi="Times New Roman"/>
                <w:lang w:val="pt-PT"/>
              </w:rPr>
              <w:t>0010.</w:t>
            </w:r>
            <w:r w:rsidRPr="00FA3856">
              <w:rPr>
                <w:rFonts w:ascii="Times New Roman" w:eastAsia="Arial Unicode MS" w:hAnsi="Times New Roman"/>
                <w:lang w:val="pt-PT"/>
              </w:rPr>
              <w:t>TIPO_ESC_</w:t>
            </w:r>
            <w:r w:rsidR="00516F95" w:rsidRPr="00FA3856">
              <w:rPr>
                <w:rFonts w:ascii="Times New Roman" w:eastAsia="Arial Unicode MS" w:hAnsi="Times New Roman"/>
                <w:lang w:val="pt-PT"/>
              </w:rPr>
              <w:t xml:space="preserve">PRE </w:t>
            </w:r>
            <w:r w:rsidR="00151BD1" w:rsidRPr="00FA3856">
              <w:rPr>
                <w:rFonts w:ascii="Times New Roman" w:eastAsia="Arial Unicode MS" w:hAnsi="Times New Roman"/>
                <w:lang w:val="pt-PT"/>
              </w:rPr>
              <w:t>for igual a “C” (Contábil) e 0010.FORMA_TRIB = “5” (Lucro Presumido).</w:t>
            </w:r>
          </w:p>
        </w:tc>
        <w:tc>
          <w:tcPr>
            <w:tcW w:w="717" w:type="dxa"/>
            <w:tcBorders>
              <w:top w:val="single" w:sz="6" w:space="0" w:color="auto"/>
              <w:left w:val="single" w:sz="6" w:space="0" w:color="auto"/>
              <w:bottom w:val="single" w:sz="6" w:space="0" w:color="auto"/>
              <w:right w:val="single" w:sz="6" w:space="0" w:color="auto"/>
            </w:tcBorders>
          </w:tcPr>
          <w:p w:rsidR="000E4982" w:rsidRPr="00FA3856" w:rsidRDefault="000E4982" w:rsidP="000E4982">
            <w:pPr>
              <w:pStyle w:val="PSDS-CorpodeTexto0"/>
              <w:rPr>
                <w:rFonts w:ascii="Times New Roman" w:hAnsi="Times New Roman"/>
                <w:lang w:val="pt-PT"/>
              </w:rPr>
            </w:pPr>
            <w:r w:rsidRPr="00FA3856">
              <w:rPr>
                <w:rFonts w:ascii="Times New Roman" w:hAnsi="Times New Roman"/>
                <w:lang w:val="pt-PT"/>
              </w:rPr>
              <w:t>Erro</w:t>
            </w:r>
          </w:p>
        </w:tc>
      </w:tr>
      <w:tr w:rsidR="000E4982" w:rsidRPr="00FA3856" w:rsidTr="00BB2C36">
        <w:trPr>
          <w:jc w:val="center"/>
        </w:trPr>
        <w:tc>
          <w:tcPr>
            <w:tcW w:w="485" w:type="dxa"/>
            <w:tcBorders>
              <w:top w:val="single" w:sz="6" w:space="0" w:color="auto"/>
              <w:left w:val="single" w:sz="6" w:space="0" w:color="auto"/>
              <w:bottom w:val="single" w:sz="6" w:space="0" w:color="auto"/>
              <w:right w:val="single" w:sz="6" w:space="0" w:color="auto"/>
            </w:tcBorders>
          </w:tcPr>
          <w:p w:rsidR="000E4982" w:rsidRPr="00FA3856" w:rsidRDefault="000E4982" w:rsidP="000E4982">
            <w:pPr>
              <w:pStyle w:val="PSDS-CorpodeTexto0"/>
              <w:suppressAutoHyphens w:val="0"/>
              <w:rPr>
                <w:rFonts w:ascii="Times New Roman" w:hAnsi="Times New Roman"/>
                <w:b/>
                <w:bCs/>
                <w:lang w:val="pt-PT"/>
              </w:rPr>
            </w:pPr>
            <w:r w:rsidRPr="00FA3856">
              <w:rPr>
                <w:rFonts w:ascii="Times New Roman" w:hAnsi="Times New Roman"/>
                <w:b/>
                <w:bCs/>
                <w:lang w:val="pt-PT"/>
              </w:rPr>
              <w:t>5</w:t>
            </w:r>
          </w:p>
        </w:tc>
        <w:tc>
          <w:tcPr>
            <w:tcW w:w="3000" w:type="dxa"/>
            <w:tcBorders>
              <w:top w:val="single" w:sz="6" w:space="0" w:color="auto"/>
              <w:left w:val="single" w:sz="6" w:space="0" w:color="auto"/>
              <w:bottom w:val="single" w:sz="6" w:space="0" w:color="auto"/>
              <w:right w:val="single" w:sz="6" w:space="0" w:color="auto"/>
            </w:tcBorders>
          </w:tcPr>
          <w:p w:rsidR="000E4982" w:rsidRPr="00FA3856" w:rsidRDefault="000E4982" w:rsidP="000E4982">
            <w:pPr>
              <w:pStyle w:val="PSDS-CorpodeTexto0"/>
              <w:rPr>
                <w:rFonts w:ascii="Times New Roman" w:hAnsi="Times New Roman"/>
                <w:lang w:val="pt-PT"/>
              </w:rPr>
            </w:pPr>
            <w:r w:rsidRPr="00FA3856">
              <w:rPr>
                <w:rFonts w:ascii="Times New Roman" w:hAnsi="Times New Roman"/>
                <w:lang w:val="pt-PT"/>
              </w:rPr>
              <w:t>VL_ESTOQUES</w:t>
            </w:r>
          </w:p>
          <w:p w:rsidR="000E4982" w:rsidRPr="00FA3856" w:rsidRDefault="000E4982" w:rsidP="000E4982">
            <w:pPr>
              <w:pStyle w:val="PSDS-CorpodeTexto0"/>
              <w:rPr>
                <w:rFonts w:ascii="Times New Roman" w:hAnsi="Times New Roman"/>
                <w:lang w:val="pt-PT"/>
              </w:rPr>
            </w:pPr>
          </w:p>
        </w:tc>
        <w:tc>
          <w:tcPr>
            <w:tcW w:w="12168" w:type="dxa"/>
            <w:tcBorders>
              <w:top w:val="single" w:sz="6" w:space="0" w:color="auto"/>
              <w:left w:val="single" w:sz="6" w:space="0" w:color="auto"/>
              <w:bottom w:val="single" w:sz="6" w:space="0" w:color="auto"/>
              <w:right w:val="single" w:sz="6" w:space="0" w:color="auto"/>
            </w:tcBorders>
          </w:tcPr>
          <w:p w:rsidR="000E4982" w:rsidRPr="00FA3856" w:rsidRDefault="000E4982" w:rsidP="000E4982">
            <w:pPr>
              <w:pStyle w:val="PSDS-CorpodeTexto0"/>
              <w:jc w:val="both"/>
              <w:rPr>
                <w:rFonts w:ascii="Times New Roman" w:eastAsia="Arial Unicode MS" w:hAnsi="Times New Roman"/>
                <w:b/>
                <w:lang w:val="pt-PT"/>
              </w:rPr>
            </w:pPr>
            <w:r w:rsidRPr="00FA3856">
              <w:rPr>
                <w:rFonts w:ascii="Times New Roman" w:eastAsia="Arial Unicode MS" w:hAnsi="Times New Roman"/>
                <w:b/>
                <w:lang w:val="pt-PT"/>
              </w:rPr>
              <w:t xml:space="preserve">REGRA_NAO_PREECHER_ESC_CONT: </w:t>
            </w:r>
            <w:r w:rsidR="00516F95" w:rsidRPr="00FA3856">
              <w:rPr>
                <w:rFonts w:ascii="Times New Roman" w:eastAsia="Arial Unicode MS" w:hAnsi="Times New Roman"/>
                <w:lang w:val="pt-PT"/>
              </w:rPr>
              <w:t xml:space="preserve">Verifica se </w:t>
            </w:r>
            <w:r w:rsidR="00360EEA" w:rsidRPr="00FA3856">
              <w:rPr>
                <w:rFonts w:ascii="Times New Roman" w:eastAsia="Arial Unicode MS" w:hAnsi="Times New Roman"/>
                <w:lang w:val="pt-PT"/>
              </w:rPr>
              <w:t>Y672.</w:t>
            </w:r>
            <w:r w:rsidRPr="00FA3856">
              <w:rPr>
                <w:rFonts w:ascii="Times New Roman" w:eastAsia="Arial Unicode MS" w:hAnsi="Times New Roman"/>
                <w:lang w:val="pt-PT"/>
              </w:rPr>
              <w:t>V</w:t>
            </w:r>
            <w:r w:rsidR="00516F95" w:rsidRPr="00FA3856">
              <w:rPr>
                <w:rFonts w:ascii="Times New Roman" w:eastAsia="Arial Unicode MS" w:hAnsi="Times New Roman"/>
                <w:lang w:val="pt-PT"/>
              </w:rPr>
              <w:t xml:space="preserve">L_ESTOQUES </w:t>
            </w:r>
            <w:r w:rsidR="00360EEA" w:rsidRPr="00FA3856">
              <w:rPr>
                <w:rFonts w:ascii="Times New Roman" w:eastAsia="Arial Unicode MS" w:hAnsi="Times New Roman"/>
                <w:lang w:val="pt-PT"/>
              </w:rPr>
              <w:t xml:space="preserve">não </w:t>
            </w:r>
            <w:r w:rsidR="000142A3" w:rsidRPr="00FA3856">
              <w:rPr>
                <w:rFonts w:ascii="Times New Roman" w:eastAsia="Arial Unicode MS" w:hAnsi="Times New Roman"/>
                <w:lang w:val="pt-PT"/>
              </w:rPr>
              <w:t xml:space="preserve">está preenchido quando </w:t>
            </w:r>
            <w:r w:rsidR="00360EEA" w:rsidRPr="00FA3856">
              <w:rPr>
                <w:rFonts w:ascii="Times New Roman" w:eastAsia="Arial Unicode MS" w:hAnsi="Times New Roman"/>
                <w:lang w:val="pt-PT"/>
              </w:rPr>
              <w:t>0010.</w:t>
            </w:r>
            <w:r w:rsidRPr="00FA3856">
              <w:rPr>
                <w:rFonts w:ascii="Times New Roman" w:eastAsia="Arial Unicode MS" w:hAnsi="Times New Roman"/>
                <w:lang w:val="pt-PT"/>
              </w:rPr>
              <w:t>TIPO_ESC_</w:t>
            </w:r>
            <w:r w:rsidR="00516F95" w:rsidRPr="00FA3856">
              <w:rPr>
                <w:rFonts w:ascii="Times New Roman" w:eastAsia="Arial Unicode MS" w:hAnsi="Times New Roman"/>
                <w:lang w:val="pt-PT"/>
              </w:rPr>
              <w:t xml:space="preserve">PRE </w:t>
            </w:r>
            <w:r w:rsidR="00151BD1" w:rsidRPr="00FA3856">
              <w:rPr>
                <w:rFonts w:ascii="Times New Roman" w:eastAsia="Arial Unicode MS" w:hAnsi="Times New Roman"/>
                <w:lang w:val="pt-PT"/>
              </w:rPr>
              <w:t>for igual a “C” (Contábil) e 0010.FORMA_TRIB = “5” (Lucro Presumido).</w:t>
            </w:r>
          </w:p>
        </w:tc>
        <w:tc>
          <w:tcPr>
            <w:tcW w:w="717" w:type="dxa"/>
            <w:tcBorders>
              <w:top w:val="single" w:sz="6" w:space="0" w:color="auto"/>
              <w:left w:val="single" w:sz="6" w:space="0" w:color="auto"/>
              <w:bottom w:val="single" w:sz="6" w:space="0" w:color="auto"/>
              <w:right w:val="single" w:sz="6" w:space="0" w:color="auto"/>
            </w:tcBorders>
          </w:tcPr>
          <w:p w:rsidR="000E4982" w:rsidRPr="00FA3856" w:rsidRDefault="000E4982" w:rsidP="000E4982">
            <w:pPr>
              <w:pStyle w:val="PSDS-CorpodeTexto0"/>
              <w:rPr>
                <w:rFonts w:ascii="Times New Roman" w:hAnsi="Times New Roman"/>
                <w:lang w:val="pt-PT"/>
              </w:rPr>
            </w:pPr>
            <w:r w:rsidRPr="00FA3856">
              <w:rPr>
                <w:rFonts w:ascii="Times New Roman" w:hAnsi="Times New Roman"/>
                <w:lang w:val="pt-PT"/>
              </w:rPr>
              <w:t>Erro</w:t>
            </w:r>
          </w:p>
        </w:tc>
      </w:tr>
      <w:tr w:rsidR="000E4982" w:rsidRPr="00FA3856" w:rsidTr="00BB2C36">
        <w:trPr>
          <w:jc w:val="center"/>
        </w:trPr>
        <w:tc>
          <w:tcPr>
            <w:tcW w:w="485" w:type="dxa"/>
            <w:tcBorders>
              <w:top w:val="single" w:sz="6" w:space="0" w:color="auto"/>
              <w:left w:val="single" w:sz="6" w:space="0" w:color="auto"/>
              <w:bottom w:val="single" w:sz="6" w:space="0" w:color="auto"/>
              <w:right w:val="single" w:sz="6" w:space="0" w:color="auto"/>
            </w:tcBorders>
          </w:tcPr>
          <w:p w:rsidR="000E4982" w:rsidRPr="00FA3856" w:rsidRDefault="000E4982" w:rsidP="000E4982">
            <w:pPr>
              <w:pStyle w:val="PSDS-CorpodeTexto0"/>
              <w:suppressAutoHyphens w:val="0"/>
              <w:rPr>
                <w:rFonts w:ascii="Times New Roman" w:hAnsi="Times New Roman"/>
                <w:b/>
                <w:bCs/>
                <w:lang w:val="pt-PT"/>
              </w:rPr>
            </w:pPr>
            <w:r w:rsidRPr="00FA3856">
              <w:rPr>
                <w:rFonts w:ascii="Times New Roman" w:hAnsi="Times New Roman"/>
                <w:b/>
                <w:bCs/>
                <w:lang w:val="pt-PT"/>
              </w:rPr>
              <w:t>6</w:t>
            </w:r>
          </w:p>
        </w:tc>
        <w:tc>
          <w:tcPr>
            <w:tcW w:w="3000" w:type="dxa"/>
            <w:tcBorders>
              <w:top w:val="single" w:sz="6" w:space="0" w:color="auto"/>
              <w:left w:val="single" w:sz="6" w:space="0" w:color="auto"/>
              <w:bottom w:val="single" w:sz="6" w:space="0" w:color="auto"/>
              <w:right w:val="single" w:sz="6" w:space="0" w:color="auto"/>
            </w:tcBorders>
          </w:tcPr>
          <w:p w:rsidR="000E4982" w:rsidRPr="00FA3856" w:rsidRDefault="000E4982" w:rsidP="000E4982">
            <w:pPr>
              <w:pStyle w:val="PSDS-CorpodeTexto0"/>
              <w:rPr>
                <w:rFonts w:ascii="Times New Roman" w:hAnsi="Times New Roman"/>
                <w:lang w:val="pt-PT"/>
              </w:rPr>
            </w:pPr>
            <w:r w:rsidRPr="00FA3856">
              <w:rPr>
                <w:rFonts w:ascii="Times New Roman" w:hAnsi="Times New Roman"/>
                <w:lang w:val="pt-PT"/>
              </w:rPr>
              <w:t>VL_CAIXA_ANT</w:t>
            </w:r>
          </w:p>
        </w:tc>
        <w:tc>
          <w:tcPr>
            <w:tcW w:w="12168" w:type="dxa"/>
            <w:tcBorders>
              <w:top w:val="single" w:sz="6" w:space="0" w:color="auto"/>
              <w:left w:val="single" w:sz="6" w:space="0" w:color="auto"/>
              <w:bottom w:val="single" w:sz="6" w:space="0" w:color="auto"/>
              <w:right w:val="single" w:sz="6" w:space="0" w:color="auto"/>
            </w:tcBorders>
          </w:tcPr>
          <w:p w:rsidR="000E4982" w:rsidRPr="00FA3856" w:rsidRDefault="000E4982" w:rsidP="00360EEA">
            <w:pPr>
              <w:pStyle w:val="PSDS-CorpodeTexto0"/>
              <w:jc w:val="both"/>
              <w:rPr>
                <w:rFonts w:ascii="Times New Roman" w:eastAsia="Arial Unicode MS" w:hAnsi="Times New Roman"/>
                <w:b/>
                <w:lang w:val="pt-PT"/>
              </w:rPr>
            </w:pPr>
            <w:r w:rsidRPr="00FA3856">
              <w:rPr>
                <w:rFonts w:ascii="Times New Roman" w:eastAsia="Arial Unicode MS" w:hAnsi="Times New Roman"/>
                <w:b/>
                <w:lang w:val="pt-PT"/>
              </w:rPr>
              <w:t xml:space="preserve">REGRA_NAO_PREECHER_ESC_CONT: </w:t>
            </w:r>
            <w:r w:rsidR="00516F95" w:rsidRPr="00FA3856">
              <w:rPr>
                <w:rFonts w:ascii="Times New Roman" w:eastAsia="Arial Unicode MS" w:hAnsi="Times New Roman"/>
                <w:lang w:val="pt-PT"/>
              </w:rPr>
              <w:t xml:space="preserve">Verifica se Y672.VL_CAIXA_ANT </w:t>
            </w:r>
            <w:r w:rsidR="00360EEA" w:rsidRPr="00FA3856">
              <w:rPr>
                <w:rFonts w:ascii="Times New Roman" w:eastAsia="Arial Unicode MS" w:hAnsi="Times New Roman"/>
                <w:lang w:val="pt-PT"/>
              </w:rPr>
              <w:t xml:space="preserve">não </w:t>
            </w:r>
            <w:r w:rsidR="000142A3" w:rsidRPr="00FA3856">
              <w:rPr>
                <w:rFonts w:ascii="Times New Roman" w:eastAsia="Arial Unicode MS" w:hAnsi="Times New Roman"/>
                <w:lang w:val="pt-PT"/>
              </w:rPr>
              <w:t xml:space="preserve">está preenchido quando </w:t>
            </w:r>
            <w:r w:rsidR="00360EEA" w:rsidRPr="00FA3856">
              <w:rPr>
                <w:rFonts w:ascii="Times New Roman" w:eastAsia="Arial Unicode MS" w:hAnsi="Times New Roman"/>
                <w:lang w:val="pt-PT"/>
              </w:rPr>
              <w:t>0010.</w:t>
            </w:r>
            <w:r w:rsidR="00516F95" w:rsidRPr="00FA3856">
              <w:rPr>
                <w:rFonts w:ascii="Times New Roman" w:eastAsia="Arial Unicode MS" w:hAnsi="Times New Roman"/>
                <w:lang w:val="pt-PT"/>
              </w:rPr>
              <w:t xml:space="preserve">TIPO_ESC_PRE </w:t>
            </w:r>
            <w:r w:rsidR="00151BD1" w:rsidRPr="00FA3856">
              <w:rPr>
                <w:rFonts w:ascii="Times New Roman" w:eastAsia="Arial Unicode MS" w:hAnsi="Times New Roman"/>
                <w:lang w:val="pt-PT"/>
              </w:rPr>
              <w:t>for igual a “C” (Contábil) e 0010.FORMA_TRIB = “5” (Lucro Presumido).</w:t>
            </w:r>
          </w:p>
        </w:tc>
        <w:tc>
          <w:tcPr>
            <w:tcW w:w="717" w:type="dxa"/>
            <w:tcBorders>
              <w:top w:val="single" w:sz="6" w:space="0" w:color="auto"/>
              <w:left w:val="single" w:sz="6" w:space="0" w:color="auto"/>
              <w:bottom w:val="single" w:sz="6" w:space="0" w:color="auto"/>
              <w:right w:val="single" w:sz="6" w:space="0" w:color="auto"/>
            </w:tcBorders>
          </w:tcPr>
          <w:p w:rsidR="000E4982" w:rsidRPr="00FA3856" w:rsidRDefault="000E4982" w:rsidP="000E4982">
            <w:pPr>
              <w:pStyle w:val="PSDS-CorpodeTexto0"/>
              <w:rPr>
                <w:rFonts w:ascii="Times New Roman" w:hAnsi="Times New Roman"/>
                <w:lang w:val="pt-PT"/>
              </w:rPr>
            </w:pPr>
            <w:r w:rsidRPr="00FA3856">
              <w:rPr>
                <w:rFonts w:ascii="Times New Roman" w:hAnsi="Times New Roman"/>
                <w:lang w:val="pt-PT"/>
              </w:rPr>
              <w:t>Erro</w:t>
            </w:r>
          </w:p>
        </w:tc>
      </w:tr>
      <w:tr w:rsidR="000E4982" w:rsidRPr="00FA3856" w:rsidTr="00BB2C36">
        <w:trPr>
          <w:jc w:val="center"/>
        </w:trPr>
        <w:tc>
          <w:tcPr>
            <w:tcW w:w="485" w:type="dxa"/>
            <w:tcBorders>
              <w:top w:val="single" w:sz="6" w:space="0" w:color="auto"/>
              <w:left w:val="single" w:sz="6" w:space="0" w:color="auto"/>
              <w:bottom w:val="single" w:sz="6" w:space="0" w:color="auto"/>
              <w:right w:val="single" w:sz="6" w:space="0" w:color="auto"/>
            </w:tcBorders>
          </w:tcPr>
          <w:p w:rsidR="000E4982" w:rsidRPr="00FA3856" w:rsidRDefault="000E4982" w:rsidP="000E4982">
            <w:pPr>
              <w:pStyle w:val="PSDS-CorpodeTexto0"/>
              <w:suppressAutoHyphens w:val="0"/>
              <w:rPr>
                <w:rFonts w:ascii="Times New Roman" w:hAnsi="Times New Roman"/>
                <w:b/>
                <w:bCs/>
                <w:lang w:val="pt-PT"/>
              </w:rPr>
            </w:pPr>
            <w:r w:rsidRPr="00FA3856">
              <w:rPr>
                <w:rFonts w:ascii="Times New Roman" w:hAnsi="Times New Roman"/>
                <w:b/>
                <w:bCs/>
                <w:lang w:val="pt-PT"/>
              </w:rPr>
              <w:t>7</w:t>
            </w:r>
          </w:p>
        </w:tc>
        <w:tc>
          <w:tcPr>
            <w:tcW w:w="3000" w:type="dxa"/>
            <w:tcBorders>
              <w:top w:val="single" w:sz="6" w:space="0" w:color="auto"/>
              <w:left w:val="single" w:sz="6" w:space="0" w:color="auto"/>
              <w:bottom w:val="single" w:sz="6" w:space="0" w:color="auto"/>
              <w:right w:val="single" w:sz="6" w:space="0" w:color="auto"/>
            </w:tcBorders>
          </w:tcPr>
          <w:p w:rsidR="000E4982" w:rsidRPr="00FA3856" w:rsidRDefault="000E4982" w:rsidP="000E4982">
            <w:pPr>
              <w:pStyle w:val="PSDS-CorpodeTexto0"/>
              <w:rPr>
                <w:rFonts w:ascii="Times New Roman" w:hAnsi="Times New Roman"/>
                <w:lang w:val="pt-PT"/>
              </w:rPr>
            </w:pPr>
            <w:r w:rsidRPr="00FA3856">
              <w:rPr>
                <w:rFonts w:ascii="Times New Roman" w:hAnsi="Times New Roman"/>
                <w:lang w:val="pt-PT"/>
              </w:rPr>
              <w:t>VL_CAIXA</w:t>
            </w:r>
          </w:p>
          <w:p w:rsidR="000E4982" w:rsidRPr="00FA3856" w:rsidRDefault="000E4982" w:rsidP="000E4982">
            <w:pPr>
              <w:pStyle w:val="PSDS-CorpodeTexto0"/>
              <w:rPr>
                <w:rFonts w:ascii="Times New Roman" w:hAnsi="Times New Roman"/>
                <w:lang w:val="pt-PT"/>
              </w:rPr>
            </w:pPr>
          </w:p>
        </w:tc>
        <w:tc>
          <w:tcPr>
            <w:tcW w:w="12168" w:type="dxa"/>
            <w:tcBorders>
              <w:top w:val="single" w:sz="6" w:space="0" w:color="auto"/>
              <w:left w:val="single" w:sz="6" w:space="0" w:color="auto"/>
              <w:bottom w:val="single" w:sz="6" w:space="0" w:color="auto"/>
              <w:right w:val="single" w:sz="6" w:space="0" w:color="auto"/>
            </w:tcBorders>
          </w:tcPr>
          <w:p w:rsidR="000E4982" w:rsidRPr="00FA3856" w:rsidRDefault="000E4982" w:rsidP="000E4982">
            <w:pPr>
              <w:pStyle w:val="PSDS-CorpodeTexto0"/>
              <w:jc w:val="both"/>
              <w:rPr>
                <w:rFonts w:ascii="Times New Roman" w:eastAsia="Arial Unicode MS" w:hAnsi="Times New Roman"/>
                <w:b/>
                <w:lang w:val="pt-PT"/>
              </w:rPr>
            </w:pPr>
            <w:r w:rsidRPr="00FA3856">
              <w:rPr>
                <w:rFonts w:ascii="Times New Roman" w:eastAsia="Arial Unicode MS" w:hAnsi="Times New Roman"/>
                <w:b/>
                <w:lang w:val="pt-PT"/>
              </w:rPr>
              <w:t xml:space="preserve">REGRA_NAO_PREECHER_ESC_CONT: </w:t>
            </w:r>
            <w:r w:rsidR="00516F95" w:rsidRPr="00FA3856">
              <w:rPr>
                <w:rFonts w:ascii="Times New Roman" w:eastAsia="Arial Unicode MS" w:hAnsi="Times New Roman"/>
                <w:lang w:val="pt-PT"/>
              </w:rPr>
              <w:t xml:space="preserve">Verifica se </w:t>
            </w:r>
            <w:r w:rsidR="00360EEA" w:rsidRPr="00FA3856">
              <w:rPr>
                <w:rFonts w:ascii="Times New Roman" w:eastAsia="Arial Unicode MS" w:hAnsi="Times New Roman"/>
                <w:lang w:val="pt-PT"/>
              </w:rPr>
              <w:t>Y672.</w:t>
            </w:r>
            <w:r w:rsidR="00516F95" w:rsidRPr="00FA3856">
              <w:rPr>
                <w:rFonts w:ascii="Times New Roman" w:eastAsia="Arial Unicode MS" w:hAnsi="Times New Roman"/>
                <w:lang w:val="pt-PT"/>
              </w:rPr>
              <w:t xml:space="preserve">VL_CAIXA </w:t>
            </w:r>
            <w:r w:rsidR="00360EEA" w:rsidRPr="00FA3856">
              <w:rPr>
                <w:rFonts w:ascii="Times New Roman" w:eastAsia="Arial Unicode MS" w:hAnsi="Times New Roman"/>
                <w:lang w:val="pt-PT"/>
              </w:rPr>
              <w:t xml:space="preserve">não </w:t>
            </w:r>
            <w:r w:rsidR="000142A3" w:rsidRPr="00FA3856">
              <w:rPr>
                <w:rFonts w:ascii="Times New Roman" w:eastAsia="Arial Unicode MS" w:hAnsi="Times New Roman"/>
                <w:lang w:val="pt-PT"/>
              </w:rPr>
              <w:t xml:space="preserve">está preenchido quando </w:t>
            </w:r>
            <w:r w:rsidR="00360EEA" w:rsidRPr="00FA3856">
              <w:rPr>
                <w:rFonts w:ascii="Times New Roman" w:eastAsia="Arial Unicode MS" w:hAnsi="Times New Roman"/>
                <w:lang w:val="pt-PT"/>
              </w:rPr>
              <w:t>0010.</w:t>
            </w:r>
            <w:r w:rsidRPr="00FA3856">
              <w:rPr>
                <w:rFonts w:ascii="Times New Roman" w:eastAsia="Arial Unicode MS" w:hAnsi="Times New Roman"/>
                <w:lang w:val="pt-PT"/>
              </w:rPr>
              <w:t>TIPO_ESC_</w:t>
            </w:r>
            <w:r w:rsidR="00516F95" w:rsidRPr="00FA3856">
              <w:rPr>
                <w:rFonts w:ascii="Times New Roman" w:eastAsia="Arial Unicode MS" w:hAnsi="Times New Roman"/>
                <w:lang w:val="pt-PT"/>
              </w:rPr>
              <w:t xml:space="preserve">PRE </w:t>
            </w:r>
            <w:r w:rsidR="00151BD1" w:rsidRPr="00FA3856">
              <w:rPr>
                <w:rFonts w:ascii="Times New Roman" w:eastAsia="Arial Unicode MS" w:hAnsi="Times New Roman"/>
                <w:lang w:val="pt-PT"/>
              </w:rPr>
              <w:t>for igual a “C” (Contábil) e 0010.FORMA_TRIB = “5” (Lucro Presumido).</w:t>
            </w:r>
          </w:p>
        </w:tc>
        <w:tc>
          <w:tcPr>
            <w:tcW w:w="717" w:type="dxa"/>
            <w:tcBorders>
              <w:top w:val="single" w:sz="6" w:space="0" w:color="auto"/>
              <w:left w:val="single" w:sz="6" w:space="0" w:color="auto"/>
              <w:bottom w:val="single" w:sz="6" w:space="0" w:color="auto"/>
              <w:right w:val="single" w:sz="6" w:space="0" w:color="auto"/>
            </w:tcBorders>
          </w:tcPr>
          <w:p w:rsidR="000E4982" w:rsidRPr="00FA3856" w:rsidRDefault="000E4982" w:rsidP="000E4982">
            <w:pPr>
              <w:pStyle w:val="PSDS-CorpodeTexto0"/>
              <w:rPr>
                <w:rFonts w:ascii="Times New Roman" w:hAnsi="Times New Roman"/>
                <w:lang w:val="pt-PT"/>
              </w:rPr>
            </w:pPr>
            <w:r w:rsidRPr="00FA3856">
              <w:rPr>
                <w:rFonts w:ascii="Times New Roman" w:hAnsi="Times New Roman"/>
                <w:lang w:val="pt-PT"/>
              </w:rPr>
              <w:t>Erro</w:t>
            </w:r>
          </w:p>
        </w:tc>
      </w:tr>
      <w:tr w:rsidR="000E4982" w:rsidRPr="00FA3856" w:rsidTr="00BB2C36">
        <w:trPr>
          <w:jc w:val="center"/>
        </w:trPr>
        <w:tc>
          <w:tcPr>
            <w:tcW w:w="485" w:type="dxa"/>
            <w:tcBorders>
              <w:top w:val="single" w:sz="6" w:space="0" w:color="auto"/>
              <w:left w:val="single" w:sz="6" w:space="0" w:color="auto"/>
              <w:bottom w:val="single" w:sz="6" w:space="0" w:color="auto"/>
              <w:right w:val="single" w:sz="6" w:space="0" w:color="auto"/>
            </w:tcBorders>
          </w:tcPr>
          <w:p w:rsidR="000E4982" w:rsidRPr="00FA3856" w:rsidRDefault="000E4982" w:rsidP="000E4982">
            <w:pPr>
              <w:pStyle w:val="PSDS-CorpodeTexto0"/>
              <w:suppressAutoHyphens w:val="0"/>
              <w:rPr>
                <w:rFonts w:ascii="Times New Roman" w:hAnsi="Times New Roman"/>
                <w:b/>
                <w:bCs/>
                <w:lang w:val="pt-PT"/>
              </w:rPr>
            </w:pPr>
            <w:r w:rsidRPr="00FA3856">
              <w:rPr>
                <w:rFonts w:ascii="Times New Roman" w:hAnsi="Times New Roman"/>
                <w:b/>
                <w:bCs/>
                <w:lang w:val="pt-PT"/>
              </w:rPr>
              <w:t>8</w:t>
            </w:r>
          </w:p>
        </w:tc>
        <w:tc>
          <w:tcPr>
            <w:tcW w:w="3000" w:type="dxa"/>
            <w:tcBorders>
              <w:top w:val="single" w:sz="6" w:space="0" w:color="auto"/>
              <w:left w:val="single" w:sz="6" w:space="0" w:color="auto"/>
              <w:bottom w:val="single" w:sz="6" w:space="0" w:color="auto"/>
              <w:right w:val="single" w:sz="6" w:space="0" w:color="auto"/>
            </w:tcBorders>
          </w:tcPr>
          <w:p w:rsidR="000E4982" w:rsidRPr="00FA3856" w:rsidRDefault="000E4982" w:rsidP="000E4982">
            <w:pPr>
              <w:pStyle w:val="PSDS-CorpodeTexto0"/>
              <w:rPr>
                <w:rFonts w:ascii="Times New Roman" w:hAnsi="Times New Roman"/>
                <w:lang w:val="pt-PT"/>
              </w:rPr>
            </w:pPr>
            <w:r w:rsidRPr="00FA3856">
              <w:rPr>
                <w:rFonts w:ascii="Times New Roman" w:hAnsi="Times New Roman"/>
                <w:lang w:val="pt-PT"/>
              </w:rPr>
              <w:t>VL_APLIC_FIN_ANT</w:t>
            </w:r>
          </w:p>
        </w:tc>
        <w:tc>
          <w:tcPr>
            <w:tcW w:w="12168" w:type="dxa"/>
            <w:tcBorders>
              <w:top w:val="single" w:sz="6" w:space="0" w:color="auto"/>
              <w:left w:val="single" w:sz="6" w:space="0" w:color="auto"/>
              <w:bottom w:val="single" w:sz="6" w:space="0" w:color="auto"/>
              <w:right w:val="single" w:sz="6" w:space="0" w:color="auto"/>
            </w:tcBorders>
          </w:tcPr>
          <w:p w:rsidR="000E4982" w:rsidRPr="00FA3856" w:rsidRDefault="000E4982" w:rsidP="000E4982">
            <w:pPr>
              <w:pStyle w:val="PSDS-CorpodeTexto0"/>
              <w:jc w:val="both"/>
              <w:rPr>
                <w:rFonts w:ascii="Times New Roman" w:eastAsia="Arial Unicode MS" w:hAnsi="Times New Roman"/>
                <w:b/>
                <w:lang w:val="pt-PT"/>
              </w:rPr>
            </w:pPr>
            <w:r w:rsidRPr="00FA3856">
              <w:rPr>
                <w:rFonts w:ascii="Times New Roman" w:eastAsia="Arial Unicode MS" w:hAnsi="Times New Roman"/>
                <w:b/>
                <w:lang w:val="pt-PT"/>
              </w:rPr>
              <w:t xml:space="preserve">REGRA_NAO_PREECHER_ESC_CONT: </w:t>
            </w:r>
            <w:r w:rsidR="00516F95" w:rsidRPr="00FA3856">
              <w:rPr>
                <w:rFonts w:ascii="Times New Roman" w:eastAsia="Arial Unicode MS" w:hAnsi="Times New Roman"/>
                <w:lang w:val="pt-PT"/>
              </w:rPr>
              <w:t xml:space="preserve">Verifica se </w:t>
            </w:r>
            <w:r w:rsidR="00360EEA" w:rsidRPr="00FA3856">
              <w:rPr>
                <w:rFonts w:ascii="Times New Roman" w:eastAsia="Arial Unicode MS" w:hAnsi="Times New Roman"/>
                <w:lang w:val="pt-PT"/>
              </w:rPr>
              <w:t>Y672.</w:t>
            </w:r>
            <w:r w:rsidR="00516F95" w:rsidRPr="00FA3856">
              <w:rPr>
                <w:rFonts w:ascii="Times New Roman" w:eastAsia="Arial Unicode MS" w:hAnsi="Times New Roman"/>
                <w:lang w:val="pt-PT"/>
              </w:rPr>
              <w:t xml:space="preserve">VL_APLIC_FIN_ANT </w:t>
            </w:r>
            <w:r w:rsidR="00360EEA" w:rsidRPr="00FA3856">
              <w:rPr>
                <w:rFonts w:ascii="Times New Roman" w:eastAsia="Arial Unicode MS" w:hAnsi="Times New Roman"/>
                <w:lang w:val="pt-PT"/>
              </w:rPr>
              <w:t xml:space="preserve">não </w:t>
            </w:r>
            <w:r w:rsidR="000142A3" w:rsidRPr="00FA3856">
              <w:rPr>
                <w:rFonts w:ascii="Times New Roman" w:eastAsia="Arial Unicode MS" w:hAnsi="Times New Roman"/>
                <w:lang w:val="pt-PT"/>
              </w:rPr>
              <w:t xml:space="preserve">está preenchido quando </w:t>
            </w:r>
            <w:r w:rsidR="00360EEA" w:rsidRPr="00FA3856">
              <w:rPr>
                <w:rFonts w:ascii="Times New Roman" w:eastAsia="Arial Unicode MS" w:hAnsi="Times New Roman"/>
                <w:lang w:val="pt-PT"/>
              </w:rPr>
              <w:t>0010.</w:t>
            </w:r>
            <w:r w:rsidRPr="00FA3856">
              <w:rPr>
                <w:rFonts w:ascii="Times New Roman" w:eastAsia="Arial Unicode MS" w:hAnsi="Times New Roman"/>
                <w:lang w:val="pt-PT"/>
              </w:rPr>
              <w:t>TIPO_ESC_</w:t>
            </w:r>
            <w:r w:rsidR="00516F95" w:rsidRPr="00FA3856">
              <w:rPr>
                <w:rFonts w:ascii="Times New Roman" w:eastAsia="Arial Unicode MS" w:hAnsi="Times New Roman"/>
                <w:lang w:val="pt-PT"/>
              </w:rPr>
              <w:t xml:space="preserve">PRE </w:t>
            </w:r>
            <w:r w:rsidR="00151BD1" w:rsidRPr="00FA3856">
              <w:rPr>
                <w:rFonts w:ascii="Times New Roman" w:eastAsia="Arial Unicode MS" w:hAnsi="Times New Roman"/>
                <w:lang w:val="pt-PT"/>
              </w:rPr>
              <w:t>for igual a “C” (Contábil) e 0010.FORMA_TRIB = “5” (Lucro Presumido).</w:t>
            </w:r>
          </w:p>
        </w:tc>
        <w:tc>
          <w:tcPr>
            <w:tcW w:w="717" w:type="dxa"/>
            <w:tcBorders>
              <w:top w:val="single" w:sz="6" w:space="0" w:color="auto"/>
              <w:left w:val="single" w:sz="6" w:space="0" w:color="auto"/>
              <w:bottom w:val="single" w:sz="6" w:space="0" w:color="auto"/>
              <w:right w:val="single" w:sz="6" w:space="0" w:color="auto"/>
            </w:tcBorders>
          </w:tcPr>
          <w:p w:rsidR="000E4982" w:rsidRPr="00FA3856" w:rsidRDefault="000E4982" w:rsidP="000E4982">
            <w:pPr>
              <w:pStyle w:val="PSDS-CorpodeTexto0"/>
              <w:rPr>
                <w:rFonts w:ascii="Times New Roman" w:hAnsi="Times New Roman"/>
                <w:lang w:val="pt-PT"/>
              </w:rPr>
            </w:pPr>
            <w:r w:rsidRPr="00FA3856">
              <w:rPr>
                <w:rFonts w:ascii="Times New Roman" w:hAnsi="Times New Roman"/>
                <w:lang w:val="pt-PT"/>
              </w:rPr>
              <w:t>Erro</w:t>
            </w:r>
          </w:p>
        </w:tc>
      </w:tr>
      <w:tr w:rsidR="000E4982" w:rsidRPr="00FA3856" w:rsidTr="00BB2C36">
        <w:trPr>
          <w:jc w:val="center"/>
        </w:trPr>
        <w:tc>
          <w:tcPr>
            <w:tcW w:w="485" w:type="dxa"/>
            <w:tcBorders>
              <w:top w:val="single" w:sz="6" w:space="0" w:color="auto"/>
              <w:left w:val="single" w:sz="6" w:space="0" w:color="auto"/>
              <w:bottom w:val="single" w:sz="6" w:space="0" w:color="auto"/>
              <w:right w:val="single" w:sz="6" w:space="0" w:color="auto"/>
            </w:tcBorders>
          </w:tcPr>
          <w:p w:rsidR="000E4982" w:rsidRPr="00FA3856" w:rsidRDefault="000E4982" w:rsidP="000E4982">
            <w:pPr>
              <w:pStyle w:val="PSDS-CorpodeTexto0"/>
              <w:suppressAutoHyphens w:val="0"/>
              <w:rPr>
                <w:rFonts w:ascii="Times New Roman" w:hAnsi="Times New Roman"/>
                <w:b/>
                <w:bCs/>
                <w:lang w:val="pt-PT"/>
              </w:rPr>
            </w:pPr>
            <w:r w:rsidRPr="00FA3856">
              <w:rPr>
                <w:rFonts w:ascii="Times New Roman" w:hAnsi="Times New Roman"/>
                <w:b/>
                <w:bCs/>
                <w:lang w:val="pt-PT"/>
              </w:rPr>
              <w:t>9</w:t>
            </w:r>
          </w:p>
        </w:tc>
        <w:tc>
          <w:tcPr>
            <w:tcW w:w="3000" w:type="dxa"/>
            <w:tcBorders>
              <w:top w:val="single" w:sz="6" w:space="0" w:color="auto"/>
              <w:left w:val="single" w:sz="6" w:space="0" w:color="auto"/>
              <w:bottom w:val="single" w:sz="6" w:space="0" w:color="auto"/>
              <w:right w:val="single" w:sz="6" w:space="0" w:color="auto"/>
            </w:tcBorders>
          </w:tcPr>
          <w:p w:rsidR="000E4982" w:rsidRPr="00FA3856" w:rsidRDefault="000E4982" w:rsidP="000E4982">
            <w:pPr>
              <w:pStyle w:val="PSDS-CorpodeTexto0"/>
              <w:rPr>
                <w:rFonts w:ascii="Times New Roman" w:hAnsi="Times New Roman"/>
                <w:lang w:val="pt-PT"/>
              </w:rPr>
            </w:pPr>
            <w:r w:rsidRPr="00FA3856">
              <w:rPr>
                <w:rFonts w:ascii="Times New Roman" w:hAnsi="Times New Roman"/>
                <w:lang w:val="pt-PT"/>
              </w:rPr>
              <w:t>VL_APLIC_FIN</w:t>
            </w:r>
          </w:p>
        </w:tc>
        <w:tc>
          <w:tcPr>
            <w:tcW w:w="12168" w:type="dxa"/>
            <w:tcBorders>
              <w:top w:val="single" w:sz="6" w:space="0" w:color="auto"/>
              <w:left w:val="single" w:sz="6" w:space="0" w:color="auto"/>
              <w:bottom w:val="single" w:sz="6" w:space="0" w:color="auto"/>
              <w:right w:val="single" w:sz="6" w:space="0" w:color="auto"/>
            </w:tcBorders>
          </w:tcPr>
          <w:p w:rsidR="000E4982" w:rsidRPr="00FA3856" w:rsidRDefault="000E4982" w:rsidP="000E4982">
            <w:pPr>
              <w:pStyle w:val="PSDS-CorpodeTexto0"/>
              <w:jc w:val="both"/>
              <w:rPr>
                <w:rFonts w:ascii="Times New Roman" w:eastAsia="Arial Unicode MS" w:hAnsi="Times New Roman"/>
                <w:b/>
                <w:lang w:val="pt-PT"/>
              </w:rPr>
            </w:pPr>
            <w:r w:rsidRPr="00FA3856">
              <w:rPr>
                <w:rFonts w:ascii="Times New Roman" w:eastAsia="Arial Unicode MS" w:hAnsi="Times New Roman"/>
                <w:b/>
                <w:lang w:val="pt-PT"/>
              </w:rPr>
              <w:t xml:space="preserve">REGRA_NAO_PREECHER_ESC_CONT: </w:t>
            </w:r>
            <w:r w:rsidR="00516F95" w:rsidRPr="00FA3856">
              <w:rPr>
                <w:rFonts w:ascii="Times New Roman" w:eastAsia="Arial Unicode MS" w:hAnsi="Times New Roman"/>
                <w:lang w:val="pt-PT"/>
              </w:rPr>
              <w:t xml:space="preserve">Verifica se </w:t>
            </w:r>
            <w:r w:rsidR="00360EEA" w:rsidRPr="00FA3856">
              <w:rPr>
                <w:rFonts w:ascii="Times New Roman" w:eastAsia="Arial Unicode MS" w:hAnsi="Times New Roman"/>
                <w:lang w:val="pt-PT"/>
              </w:rPr>
              <w:t>Y672.</w:t>
            </w:r>
            <w:r w:rsidR="00516F95" w:rsidRPr="00FA3856">
              <w:rPr>
                <w:rFonts w:ascii="Times New Roman" w:eastAsia="Arial Unicode MS" w:hAnsi="Times New Roman"/>
                <w:lang w:val="pt-PT"/>
              </w:rPr>
              <w:t xml:space="preserve">VL_APLIC_FIN </w:t>
            </w:r>
            <w:r w:rsidR="00360EEA" w:rsidRPr="00FA3856">
              <w:rPr>
                <w:rFonts w:ascii="Times New Roman" w:eastAsia="Arial Unicode MS" w:hAnsi="Times New Roman"/>
                <w:lang w:val="pt-PT"/>
              </w:rPr>
              <w:t xml:space="preserve">não </w:t>
            </w:r>
            <w:r w:rsidR="000142A3" w:rsidRPr="00FA3856">
              <w:rPr>
                <w:rFonts w:ascii="Times New Roman" w:eastAsia="Arial Unicode MS" w:hAnsi="Times New Roman"/>
                <w:lang w:val="pt-PT"/>
              </w:rPr>
              <w:t xml:space="preserve">está preenchido quando </w:t>
            </w:r>
            <w:r w:rsidR="00360EEA" w:rsidRPr="00FA3856">
              <w:rPr>
                <w:rFonts w:ascii="Times New Roman" w:eastAsia="Arial Unicode MS" w:hAnsi="Times New Roman"/>
                <w:lang w:val="pt-PT"/>
              </w:rPr>
              <w:t>0010.</w:t>
            </w:r>
            <w:r w:rsidRPr="00FA3856">
              <w:rPr>
                <w:rFonts w:ascii="Times New Roman" w:eastAsia="Arial Unicode MS" w:hAnsi="Times New Roman"/>
                <w:lang w:val="pt-PT"/>
              </w:rPr>
              <w:t>TIPO_ESC_</w:t>
            </w:r>
            <w:r w:rsidR="00516F95" w:rsidRPr="00FA3856">
              <w:rPr>
                <w:rFonts w:ascii="Times New Roman" w:eastAsia="Arial Unicode MS" w:hAnsi="Times New Roman"/>
                <w:lang w:val="pt-PT"/>
              </w:rPr>
              <w:t xml:space="preserve">PRE </w:t>
            </w:r>
            <w:r w:rsidR="00151BD1" w:rsidRPr="00FA3856">
              <w:rPr>
                <w:rFonts w:ascii="Times New Roman" w:eastAsia="Arial Unicode MS" w:hAnsi="Times New Roman"/>
                <w:lang w:val="pt-PT"/>
              </w:rPr>
              <w:t>for igual a “C” (Contábil) e 0010.FORMA_TRIB = “5” (Lucro Presumido).</w:t>
            </w:r>
          </w:p>
        </w:tc>
        <w:tc>
          <w:tcPr>
            <w:tcW w:w="717" w:type="dxa"/>
            <w:tcBorders>
              <w:top w:val="single" w:sz="6" w:space="0" w:color="auto"/>
              <w:left w:val="single" w:sz="6" w:space="0" w:color="auto"/>
              <w:bottom w:val="single" w:sz="6" w:space="0" w:color="auto"/>
              <w:right w:val="single" w:sz="6" w:space="0" w:color="auto"/>
            </w:tcBorders>
          </w:tcPr>
          <w:p w:rsidR="000E4982" w:rsidRPr="00FA3856" w:rsidRDefault="000E4982" w:rsidP="000E4982">
            <w:pPr>
              <w:pStyle w:val="PSDS-CorpodeTexto0"/>
              <w:rPr>
                <w:rFonts w:ascii="Times New Roman" w:hAnsi="Times New Roman"/>
                <w:lang w:val="pt-PT"/>
              </w:rPr>
            </w:pPr>
            <w:r w:rsidRPr="00FA3856">
              <w:rPr>
                <w:rFonts w:ascii="Times New Roman" w:hAnsi="Times New Roman"/>
                <w:lang w:val="pt-PT"/>
              </w:rPr>
              <w:t>Erro</w:t>
            </w:r>
          </w:p>
        </w:tc>
      </w:tr>
      <w:tr w:rsidR="000E4982" w:rsidRPr="00FA3856" w:rsidTr="00BB2C36">
        <w:trPr>
          <w:jc w:val="center"/>
        </w:trPr>
        <w:tc>
          <w:tcPr>
            <w:tcW w:w="485" w:type="dxa"/>
            <w:tcBorders>
              <w:top w:val="single" w:sz="6" w:space="0" w:color="auto"/>
              <w:left w:val="single" w:sz="6" w:space="0" w:color="auto"/>
              <w:bottom w:val="single" w:sz="6" w:space="0" w:color="auto"/>
              <w:right w:val="single" w:sz="6" w:space="0" w:color="auto"/>
            </w:tcBorders>
          </w:tcPr>
          <w:p w:rsidR="000E4982" w:rsidRPr="00FA3856" w:rsidRDefault="000E4982" w:rsidP="000E4982">
            <w:pPr>
              <w:pStyle w:val="PSDS-CorpodeTexto0"/>
              <w:suppressAutoHyphens w:val="0"/>
              <w:rPr>
                <w:rFonts w:ascii="Times New Roman" w:hAnsi="Times New Roman"/>
                <w:b/>
                <w:bCs/>
                <w:lang w:val="pt-PT"/>
              </w:rPr>
            </w:pPr>
            <w:r w:rsidRPr="00FA3856">
              <w:rPr>
                <w:rFonts w:ascii="Times New Roman" w:hAnsi="Times New Roman"/>
                <w:b/>
                <w:bCs/>
                <w:lang w:val="pt-PT"/>
              </w:rPr>
              <w:t>10</w:t>
            </w:r>
          </w:p>
        </w:tc>
        <w:tc>
          <w:tcPr>
            <w:tcW w:w="3000" w:type="dxa"/>
            <w:tcBorders>
              <w:top w:val="single" w:sz="6" w:space="0" w:color="auto"/>
              <w:left w:val="single" w:sz="6" w:space="0" w:color="auto"/>
              <w:bottom w:val="single" w:sz="6" w:space="0" w:color="auto"/>
              <w:right w:val="single" w:sz="6" w:space="0" w:color="auto"/>
            </w:tcBorders>
          </w:tcPr>
          <w:p w:rsidR="000E4982" w:rsidRPr="00FA3856" w:rsidRDefault="000E4982" w:rsidP="000E4982">
            <w:pPr>
              <w:pStyle w:val="PSDS-CorpodeTexto0"/>
              <w:rPr>
                <w:rFonts w:ascii="Times New Roman" w:hAnsi="Times New Roman"/>
                <w:lang w:val="pt-PT"/>
              </w:rPr>
            </w:pPr>
            <w:r w:rsidRPr="00FA3856">
              <w:rPr>
                <w:rFonts w:ascii="Times New Roman" w:hAnsi="Times New Roman"/>
                <w:lang w:val="pt-PT"/>
              </w:rPr>
              <w:t>VL_CTA_REC_ANT</w:t>
            </w:r>
          </w:p>
          <w:p w:rsidR="000E4982" w:rsidRPr="00FA3856" w:rsidRDefault="000E4982" w:rsidP="000E4982">
            <w:pPr>
              <w:pStyle w:val="PSDS-CorpodeTexto0"/>
              <w:rPr>
                <w:rFonts w:ascii="Times New Roman" w:hAnsi="Times New Roman"/>
                <w:lang w:val="pt-PT"/>
              </w:rPr>
            </w:pPr>
          </w:p>
        </w:tc>
        <w:tc>
          <w:tcPr>
            <w:tcW w:w="12168" w:type="dxa"/>
            <w:tcBorders>
              <w:top w:val="single" w:sz="6" w:space="0" w:color="auto"/>
              <w:left w:val="single" w:sz="6" w:space="0" w:color="auto"/>
              <w:bottom w:val="single" w:sz="6" w:space="0" w:color="auto"/>
              <w:right w:val="single" w:sz="6" w:space="0" w:color="auto"/>
            </w:tcBorders>
          </w:tcPr>
          <w:p w:rsidR="000E4982" w:rsidRPr="00FA3856" w:rsidRDefault="000E4982" w:rsidP="000E4982">
            <w:pPr>
              <w:pStyle w:val="PSDS-CorpodeTexto0"/>
              <w:jc w:val="both"/>
              <w:rPr>
                <w:rFonts w:ascii="Times New Roman" w:eastAsia="Arial Unicode MS" w:hAnsi="Times New Roman"/>
                <w:b/>
                <w:lang w:val="pt-PT"/>
              </w:rPr>
            </w:pPr>
            <w:r w:rsidRPr="00FA3856">
              <w:rPr>
                <w:rFonts w:ascii="Times New Roman" w:eastAsia="Arial Unicode MS" w:hAnsi="Times New Roman"/>
                <w:b/>
                <w:lang w:val="pt-PT"/>
              </w:rPr>
              <w:t xml:space="preserve">REGRA_NAO_PREECHER_ESC_CONT: </w:t>
            </w:r>
            <w:r w:rsidR="00516F95" w:rsidRPr="00FA3856">
              <w:rPr>
                <w:rFonts w:ascii="Times New Roman" w:eastAsia="Arial Unicode MS" w:hAnsi="Times New Roman"/>
                <w:lang w:val="pt-PT"/>
              </w:rPr>
              <w:t xml:space="preserve">Verifica se </w:t>
            </w:r>
            <w:r w:rsidR="00360EEA" w:rsidRPr="00FA3856">
              <w:rPr>
                <w:rFonts w:ascii="Times New Roman" w:eastAsia="Arial Unicode MS" w:hAnsi="Times New Roman"/>
                <w:lang w:val="pt-PT"/>
              </w:rPr>
              <w:t>Y672.</w:t>
            </w:r>
            <w:r w:rsidR="00516F95" w:rsidRPr="00FA3856">
              <w:rPr>
                <w:rFonts w:ascii="Times New Roman" w:eastAsia="Arial Unicode MS" w:hAnsi="Times New Roman"/>
                <w:lang w:val="pt-PT"/>
              </w:rPr>
              <w:t xml:space="preserve">VL_CTA_REC_ANT </w:t>
            </w:r>
            <w:r w:rsidR="00360EEA" w:rsidRPr="00FA3856">
              <w:rPr>
                <w:rFonts w:ascii="Times New Roman" w:eastAsia="Arial Unicode MS" w:hAnsi="Times New Roman"/>
                <w:lang w:val="pt-PT"/>
              </w:rPr>
              <w:t xml:space="preserve">não </w:t>
            </w:r>
            <w:r w:rsidR="000142A3" w:rsidRPr="00FA3856">
              <w:rPr>
                <w:rFonts w:ascii="Times New Roman" w:eastAsia="Arial Unicode MS" w:hAnsi="Times New Roman"/>
                <w:lang w:val="pt-PT"/>
              </w:rPr>
              <w:t xml:space="preserve">está preenchido quando </w:t>
            </w:r>
            <w:r w:rsidR="00360EEA" w:rsidRPr="00FA3856">
              <w:rPr>
                <w:rFonts w:ascii="Times New Roman" w:eastAsia="Arial Unicode MS" w:hAnsi="Times New Roman"/>
                <w:lang w:val="pt-PT"/>
              </w:rPr>
              <w:t>0010.</w:t>
            </w:r>
            <w:r w:rsidRPr="00FA3856">
              <w:rPr>
                <w:rFonts w:ascii="Times New Roman" w:eastAsia="Arial Unicode MS" w:hAnsi="Times New Roman"/>
                <w:lang w:val="pt-PT"/>
              </w:rPr>
              <w:t>TIPO_ESC_</w:t>
            </w:r>
            <w:r w:rsidR="00516F95" w:rsidRPr="00FA3856">
              <w:rPr>
                <w:rFonts w:ascii="Times New Roman" w:eastAsia="Arial Unicode MS" w:hAnsi="Times New Roman"/>
                <w:lang w:val="pt-PT"/>
              </w:rPr>
              <w:t xml:space="preserve">PRE </w:t>
            </w:r>
            <w:r w:rsidR="00151BD1" w:rsidRPr="00FA3856">
              <w:rPr>
                <w:rFonts w:ascii="Times New Roman" w:eastAsia="Arial Unicode MS" w:hAnsi="Times New Roman"/>
                <w:lang w:val="pt-PT"/>
              </w:rPr>
              <w:t>for igual a “C” (Contábil) e 0010.FORMA_TRIB = “5” (Lucro Presumido).</w:t>
            </w:r>
          </w:p>
        </w:tc>
        <w:tc>
          <w:tcPr>
            <w:tcW w:w="717" w:type="dxa"/>
            <w:tcBorders>
              <w:top w:val="single" w:sz="6" w:space="0" w:color="auto"/>
              <w:left w:val="single" w:sz="6" w:space="0" w:color="auto"/>
              <w:bottom w:val="single" w:sz="6" w:space="0" w:color="auto"/>
              <w:right w:val="single" w:sz="6" w:space="0" w:color="auto"/>
            </w:tcBorders>
          </w:tcPr>
          <w:p w:rsidR="000E4982" w:rsidRPr="00FA3856" w:rsidRDefault="000E4982" w:rsidP="000E4982">
            <w:pPr>
              <w:pStyle w:val="PSDS-CorpodeTexto0"/>
              <w:rPr>
                <w:rFonts w:ascii="Times New Roman" w:hAnsi="Times New Roman"/>
                <w:lang w:val="pt-PT"/>
              </w:rPr>
            </w:pPr>
            <w:r w:rsidRPr="00FA3856">
              <w:rPr>
                <w:rFonts w:ascii="Times New Roman" w:hAnsi="Times New Roman"/>
                <w:lang w:val="pt-PT"/>
              </w:rPr>
              <w:t>Erro</w:t>
            </w:r>
          </w:p>
        </w:tc>
      </w:tr>
      <w:tr w:rsidR="000E4982" w:rsidRPr="00FA3856" w:rsidTr="00BB2C36">
        <w:trPr>
          <w:jc w:val="center"/>
        </w:trPr>
        <w:tc>
          <w:tcPr>
            <w:tcW w:w="485" w:type="dxa"/>
            <w:tcBorders>
              <w:top w:val="single" w:sz="6" w:space="0" w:color="auto"/>
              <w:left w:val="single" w:sz="6" w:space="0" w:color="auto"/>
              <w:bottom w:val="single" w:sz="6" w:space="0" w:color="auto"/>
              <w:right w:val="single" w:sz="6" w:space="0" w:color="auto"/>
            </w:tcBorders>
          </w:tcPr>
          <w:p w:rsidR="000E4982" w:rsidRPr="00FA3856" w:rsidRDefault="000E4982" w:rsidP="000E4982">
            <w:pPr>
              <w:pStyle w:val="PSDS-CorpodeTexto0"/>
              <w:suppressAutoHyphens w:val="0"/>
              <w:rPr>
                <w:rFonts w:ascii="Times New Roman" w:hAnsi="Times New Roman"/>
                <w:b/>
                <w:bCs/>
                <w:lang w:val="pt-PT"/>
              </w:rPr>
            </w:pPr>
            <w:r w:rsidRPr="00FA3856">
              <w:rPr>
                <w:rFonts w:ascii="Times New Roman" w:hAnsi="Times New Roman"/>
                <w:b/>
                <w:bCs/>
                <w:lang w:val="pt-PT"/>
              </w:rPr>
              <w:t>11</w:t>
            </w:r>
          </w:p>
        </w:tc>
        <w:tc>
          <w:tcPr>
            <w:tcW w:w="3000" w:type="dxa"/>
            <w:tcBorders>
              <w:top w:val="single" w:sz="6" w:space="0" w:color="auto"/>
              <w:left w:val="single" w:sz="6" w:space="0" w:color="auto"/>
              <w:bottom w:val="single" w:sz="6" w:space="0" w:color="auto"/>
              <w:right w:val="single" w:sz="6" w:space="0" w:color="auto"/>
            </w:tcBorders>
          </w:tcPr>
          <w:p w:rsidR="000E4982" w:rsidRPr="00FA3856" w:rsidRDefault="000E4982" w:rsidP="000E4982">
            <w:pPr>
              <w:pStyle w:val="PSDS-CorpodeTexto0"/>
              <w:rPr>
                <w:rFonts w:ascii="Times New Roman" w:hAnsi="Times New Roman"/>
                <w:lang w:val="pt-PT"/>
              </w:rPr>
            </w:pPr>
            <w:r w:rsidRPr="00FA3856">
              <w:rPr>
                <w:rFonts w:ascii="Times New Roman" w:hAnsi="Times New Roman"/>
                <w:lang w:val="pt-PT"/>
              </w:rPr>
              <w:t>VL_CTA_REC</w:t>
            </w:r>
          </w:p>
          <w:p w:rsidR="000E4982" w:rsidRPr="00FA3856" w:rsidRDefault="000E4982" w:rsidP="000E4982">
            <w:pPr>
              <w:pStyle w:val="PSDS-CorpodeTexto0"/>
              <w:rPr>
                <w:rFonts w:ascii="Times New Roman" w:hAnsi="Times New Roman"/>
                <w:lang w:val="pt-PT"/>
              </w:rPr>
            </w:pPr>
          </w:p>
        </w:tc>
        <w:tc>
          <w:tcPr>
            <w:tcW w:w="12168" w:type="dxa"/>
            <w:tcBorders>
              <w:top w:val="single" w:sz="6" w:space="0" w:color="auto"/>
              <w:left w:val="single" w:sz="6" w:space="0" w:color="auto"/>
              <w:bottom w:val="single" w:sz="6" w:space="0" w:color="auto"/>
              <w:right w:val="single" w:sz="6" w:space="0" w:color="auto"/>
            </w:tcBorders>
          </w:tcPr>
          <w:p w:rsidR="000E4982" w:rsidRPr="00FA3856" w:rsidRDefault="000E4982" w:rsidP="000E4982">
            <w:pPr>
              <w:pStyle w:val="PSDS-CorpodeTexto0"/>
              <w:jc w:val="both"/>
              <w:rPr>
                <w:rFonts w:ascii="Times New Roman" w:eastAsia="Arial Unicode MS" w:hAnsi="Times New Roman"/>
                <w:b/>
                <w:lang w:val="pt-PT"/>
              </w:rPr>
            </w:pPr>
            <w:r w:rsidRPr="00FA3856">
              <w:rPr>
                <w:rFonts w:ascii="Times New Roman" w:eastAsia="Arial Unicode MS" w:hAnsi="Times New Roman"/>
                <w:b/>
                <w:lang w:val="pt-PT"/>
              </w:rPr>
              <w:t xml:space="preserve">REGRA_NAO_PREECHER_ESC_CONT: </w:t>
            </w:r>
            <w:r w:rsidRPr="00FA3856">
              <w:rPr>
                <w:rFonts w:ascii="Times New Roman" w:eastAsia="Arial Unicode MS" w:hAnsi="Times New Roman"/>
                <w:lang w:val="pt-PT"/>
              </w:rPr>
              <w:t>Ver</w:t>
            </w:r>
            <w:r w:rsidR="00516F95" w:rsidRPr="00FA3856">
              <w:rPr>
                <w:rFonts w:ascii="Times New Roman" w:eastAsia="Arial Unicode MS" w:hAnsi="Times New Roman"/>
                <w:lang w:val="pt-PT"/>
              </w:rPr>
              <w:t xml:space="preserve">ifica se </w:t>
            </w:r>
            <w:r w:rsidR="00360EEA" w:rsidRPr="00FA3856">
              <w:rPr>
                <w:rFonts w:ascii="Times New Roman" w:eastAsia="Arial Unicode MS" w:hAnsi="Times New Roman"/>
                <w:lang w:val="pt-PT"/>
              </w:rPr>
              <w:t>Y672.</w:t>
            </w:r>
            <w:r w:rsidR="00516F95" w:rsidRPr="00FA3856">
              <w:rPr>
                <w:rFonts w:ascii="Times New Roman" w:eastAsia="Arial Unicode MS" w:hAnsi="Times New Roman"/>
                <w:lang w:val="pt-PT"/>
              </w:rPr>
              <w:t xml:space="preserve">VL_CTA_REC </w:t>
            </w:r>
            <w:r w:rsidR="00360EEA" w:rsidRPr="00FA3856">
              <w:rPr>
                <w:rFonts w:ascii="Times New Roman" w:eastAsia="Arial Unicode MS" w:hAnsi="Times New Roman"/>
                <w:lang w:val="pt-PT"/>
              </w:rPr>
              <w:t xml:space="preserve">não </w:t>
            </w:r>
            <w:r w:rsidR="000142A3" w:rsidRPr="00FA3856">
              <w:rPr>
                <w:rFonts w:ascii="Times New Roman" w:eastAsia="Arial Unicode MS" w:hAnsi="Times New Roman"/>
                <w:lang w:val="pt-PT"/>
              </w:rPr>
              <w:t xml:space="preserve">está preenchido quando </w:t>
            </w:r>
            <w:r w:rsidR="00360EEA" w:rsidRPr="00FA3856">
              <w:rPr>
                <w:rFonts w:ascii="Times New Roman" w:eastAsia="Arial Unicode MS" w:hAnsi="Times New Roman"/>
                <w:lang w:val="pt-PT"/>
              </w:rPr>
              <w:t>0010.</w:t>
            </w:r>
            <w:r w:rsidRPr="00FA3856">
              <w:rPr>
                <w:rFonts w:ascii="Times New Roman" w:eastAsia="Arial Unicode MS" w:hAnsi="Times New Roman"/>
                <w:lang w:val="pt-PT"/>
              </w:rPr>
              <w:t>TIPO_ESC_</w:t>
            </w:r>
            <w:r w:rsidR="00516F95" w:rsidRPr="00FA3856">
              <w:rPr>
                <w:rFonts w:ascii="Times New Roman" w:eastAsia="Arial Unicode MS" w:hAnsi="Times New Roman"/>
                <w:lang w:val="pt-PT"/>
              </w:rPr>
              <w:t xml:space="preserve">PRE </w:t>
            </w:r>
            <w:r w:rsidRPr="00FA3856">
              <w:rPr>
                <w:rFonts w:ascii="Times New Roman" w:eastAsia="Arial Unicode MS" w:hAnsi="Times New Roman"/>
                <w:lang w:val="pt-PT"/>
              </w:rPr>
              <w:t>for ig</w:t>
            </w:r>
            <w:r w:rsidR="00151BD1" w:rsidRPr="00FA3856">
              <w:rPr>
                <w:rFonts w:ascii="Times New Roman" w:eastAsia="Arial Unicode MS" w:hAnsi="Times New Roman"/>
                <w:lang w:val="pt-PT"/>
              </w:rPr>
              <w:t>ual a “C” (Contábil) e 0010.FORMA_TRIB = “5” (Lucro Presumido).</w:t>
            </w:r>
          </w:p>
        </w:tc>
        <w:tc>
          <w:tcPr>
            <w:tcW w:w="717" w:type="dxa"/>
            <w:tcBorders>
              <w:top w:val="single" w:sz="6" w:space="0" w:color="auto"/>
              <w:left w:val="single" w:sz="6" w:space="0" w:color="auto"/>
              <w:bottom w:val="single" w:sz="6" w:space="0" w:color="auto"/>
              <w:right w:val="single" w:sz="6" w:space="0" w:color="auto"/>
            </w:tcBorders>
          </w:tcPr>
          <w:p w:rsidR="000E4982" w:rsidRPr="00FA3856" w:rsidRDefault="000E4982" w:rsidP="000E4982">
            <w:pPr>
              <w:pStyle w:val="PSDS-CorpodeTexto0"/>
              <w:rPr>
                <w:rFonts w:ascii="Times New Roman" w:hAnsi="Times New Roman"/>
                <w:lang w:val="pt-PT"/>
              </w:rPr>
            </w:pPr>
            <w:r w:rsidRPr="00FA3856">
              <w:rPr>
                <w:rFonts w:ascii="Times New Roman" w:hAnsi="Times New Roman"/>
                <w:lang w:val="pt-PT"/>
              </w:rPr>
              <w:t>Erro</w:t>
            </w:r>
          </w:p>
        </w:tc>
      </w:tr>
      <w:tr w:rsidR="003B4C80" w:rsidRPr="00FA3856" w:rsidTr="00BB2C36">
        <w:trPr>
          <w:jc w:val="center"/>
        </w:trPr>
        <w:tc>
          <w:tcPr>
            <w:tcW w:w="485" w:type="dxa"/>
            <w:tcBorders>
              <w:top w:val="single" w:sz="6" w:space="0" w:color="auto"/>
              <w:left w:val="single" w:sz="6" w:space="0" w:color="auto"/>
              <w:bottom w:val="single" w:sz="6" w:space="0" w:color="auto"/>
              <w:right w:val="single" w:sz="6" w:space="0" w:color="auto"/>
            </w:tcBorders>
          </w:tcPr>
          <w:p w:rsidR="003B4C80" w:rsidRPr="00FA3856" w:rsidRDefault="003B4C80" w:rsidP="003B4C80">
            <w:pPr>
              <w:pStyle w:val="PSDS-CorpodeTexto0"/>
              <w:suppressAutoHyphens w:val="0"/>
              <w:rPr>
                <w:rFonts w:ascii="Times New Roman" w:hAnsi="Times New Roman"/>
                <w:b/>
                <w:bCs/>
                <w:lang w:val="pt-PT"/>
              </w:rPr>
            </w:pPr>
            <w:r w:rsidRPr="00FA3856">
              <w:rPr>
                <w:rFonts w:ascii="Times New Roman" w:hAnsi="Times New Roman"/>
                <w:b/>
                <w:bCs/>
                <w:lang w:val="pt-PT"/>
              </w:rPr>
              <w:t>12</w:t>
            </w:r>
          </w:p>
        </w:tc>
        <w:tc>
          <w:tcPr>
            <w:tcW w:w="3000" w:type="dxa"/>
            <w:tcBorders>
              <w:top w:val="single" w:sz="6" w:space="0" w:color="auto"/>
              <w:left w:val="single" w:sz="6" w:space="0" w:color="auto"/>
              <w:bottom w:val="single" w:sz="6" w:space="0" w:color="auto"/>
              <w:right w:val="single" w:sz="6" w:space="0" w:color="auto"/>
            </w:tcBorders>
          </w:tcPr>
          <w:p w:rsidR="003B4C80" w:rsidRPr="00FA3856" w:rsidRDefault="003B4C80" w:rsidP="003B4C80">
            <w:pPr>
              <w:pStyle w:val="PSDS-CorpodeTexto0"/>
              <w:rPr>
                <w:rFonts w:ascii="Times New Roman" w:hAnsi="Times New Roman"/>
                <w:lang w:val="pt-PT"/>
              </w:rPr>
            </w:pPr>
            <w:r w:rsidRPr="00FA3856">
              <w:rPr>
                <w:rFonts w:ascii="Times New Roman" w:hAnsi="Times New Roman"/>
                <w:lang w:val="pt-PT"/>
              </w:rPr>
              <w:t>VL_CTA_PAG_ANT</w:t>
            </w:r>
          </w:p>
          <w:p w:rsidR="003B4C80" w:rsidRPr="00FA3856" w:rsidRDefault="003B4C80" w:rsidP="003B4C80">
            <w:pPr>
              <w:pStyle w:val="PSDS-CorpodeTexto0"/>
              <w:rPr>
                <w:rFonts w:ascii="Times New Roman" w:hAnsi="Times New Roman"/>
                <w:lang w:val="pt-PT"/>
              </w:rPr>
            </w:pPr>
          </w:p>
        </w:tc>
        <w:tc>
          <w:tcPr>
            <w:tcW w:w="12168" w:type="dxa"/>
            <w:tcBorders>
              <w:top w:val="single" w:sz="6" w:space="0" w:color="auto"/>
              <w:left w:val="single" w:sz="6" w:space="0" w:color="auto"/>
              <w:bottom w:val="single" w:sz="6" w:space="0" w:color="auto"/>
              <w:right w:val="single" w:sz="6" w:space="0" w:color="auto"/>
            </w:tcBorders>
          </w:tcPr>
          <w:p w:rsidR="003B4C80" w:rsidRPr="00FA3856" w:rsidRDefault="003B4C80" w:rsidP="003B4C80">
            <w:pPr>
              <w:pStyle w:val="PSDS-CorpodeTexto0"/>
              <w:jc w:val="both"/>
              <w:rPr>
                <w:rFonts w:ascii="Times New Roman" w:eastAsia="Arial Unicode MS" w:hAnsi="Times New Roman"/>
                <w:b/>
                <w:lang w:val="pt-PT"/>
              </w:rPr>
            </w:pPr>
            <w:r w:rsidRPr="00FA3856">
              <w:rPr>
                <w:rFonts w:ascii="Times New Roman" w:eastAsia="Arial Unicode MS" w:hAnsi="Times New Roman"/>
                <w:b/>
                <w:lang w:val="pt-PT"/>
              </w:rPr>
              <w:t xml:space="preserve">REGRA_NAO_PREECHER_ESC_CONT: </w:t>
            </w:r>
            <w:r w:rsidR="00516F95" w:rsidRPr="00FA3856">
              <w:rPr>
                <w:rFonts w:ascii="Times New Roman" w:eastAsia="Arial Unicode MS" w:hAnsi="Times New Roman"/>
                <w:lang w:val="pt-PT"/>
              </w:rPr>
              <w:t xml:space="preserve">Verifica se </w:t>
            </w:r>
            <w:r w:rsidR="00360EEA" w:rsidRPr="00FA3856">
              <w:rPr>
                <w:rFonts w:ascii="Times New Roman" w:eastAsia="Arial Unicode MS" w:hAnsi="Times New Roman"/>
                <w:lang w:val="pt-PT"/>
              </w:rPr>
              <w:t>Y672.</w:t>
            </w:r>
            <w:r w:rsidR="00516F95" w:rsidRPr="00FA3856">
              <w:rPr>
                <w:rFonts w:ascii="Times New Roman" w:eastAsia="Arial Unicode MS" w:hAnsi="Times New Roman"/>
                <w:lang w:val="pt-PT"/>
              </w:rPr>
              <w:t xml:space="preserve">VL_CTA_PAG_ANT </w:t>
            </w:r>
            <w:r w:rsidR="00360EEA" w:rsidRPr="00FA3856">
              <w:rPr>
                <w:rFonts w:ascii="Times New Roman" w:eastAsia="Arial Unicode MS" w:hAnsi="Times New Roman"/>
                <w:lang w:val="pt-PT"/>
              </w:rPr>
              <w:t xml:space="preserve">não </w:t>
            </w:r>
            <w:r w:rsidRPr="00FA3856">
              <w:rPr>
                <w:rFonts w:ascii="Times New Roman" w:eastAsia="Arial Unicode MS" w:hAnsi="Times New Roman"/>
                <w:lang w:val="pt-PT"/>
              </w:rPr>
              <w:t xml:space="preserve">está preenchido quando </w:t>
            </w:r>
            <w:r w:rsidR="00360EEA" w:rsidRPr="00FA3856">
              <w:rPr>
                <w:rFonts w:ascii="Times New Roman" w:eastAsia="Arial Unicode MS" w:hAnsi="Times New Roman"/>
                <w:lang w:val="pt-PT"/>
              </w:rPr>
              <w:t>0010.</w:t>
            </w:r>
            <w:r w:rsidR="00516F95" w:rsidRPr="00FA3856">
              <w:rPr>
                <w:rFonts w:ascii="Times New Roman" w:eastAsia="Arial Unicode MS" w:hAnsi="Times New Roman"/>
                <w:lang w:val="pt-PT"/>
              </w:rPr>
              <w:t xml:space="preserve">TIPO_ESC_PRE </w:t>
            </w:r>
            <w:r w:rsidRPr="00FA3856">
              <w:rPr>
                <w:rFonts w:ascii="Times New Roman" w:eastAsia="Arial Unicode MS" w:hAnsi="Times New Roman"/>
                <w:lang w:val="pt-PT"/>
              </w:rPr>
              <w:t>for igual a “C” (C</w:t>
            </w:r>
            <w:r w:rsidR="00151BD1" w:rsidRPr="00FA3856">
              <w:rPr>
                <w:rFonts w:ascii="Times New Roman" w:eastAsia="Arial Unicode MS" w:hAnsi="Times New Roman"/>
                <w:lang w:val="pt-PT"/>
              </w:rPr>
              <w:t>ontábil) e 0010.FORMA_TRIB = “5” (Lucro Presumido).</w:t>
            </w:r>
          </w:p>
        </w:tc>
        <w:tc>
          <w:tcPr>
            <w:tcW w:w="717" w:type="dxa"/>
            <w:tcBorders>
              <w:top w:val="single" w:sz="6" w:space="0" w:color="auto"/>
              <w:left w:val="single" w:sz="6" w:space="0" w:color="auto"/>
              <w:bottom w:val="single" w:sz="6" w:space="0" w:color="auto"/>
              <w:right w:val="single" w:sz="6" w:space="0" w:color="auto"/>
            </w:tcBorders>
          </w:tcPr>
          <w:p w:rsidR="003B4C80" w:rsidRPr="00FA3856" w:rsidRDefault="003B4C80" w:rsidP="003B4C80">
            <w:pPr>
              <w:pStyle w:val="PSDS-CorpodeTexto0"/>
              <w:rPr>
                <w:rFonts w:ascii="Times New Roman" w:hAnsi="Times New Roman"/>
                <w:lang w:val="pt-PT"/>
              </w:rPr>
            </w:pPr>
            <w:r w:rsidRPr="00FA3856">
              <w:rPr>
                <w:rFonts w:ascii="Times New Roman" w:hAnsi="Times New Roman"/>
                <w:lang w:val="pt-PT"/>
              </w:rPr>
              <w:t>Erro</w:t>
            </w:r>
          </w:p>
        </w:tc>
      </w:tr>
      <w:tr w:rsidR="000E4982" w:rsidRPr="00FA3856" w:rsidTr="00BB2C36">
        <w:trPr>
          <w:jc w:val="center"/>
        </w:trPr>
        <w:tc>
          <w:tcPr>
            <w:tcW w:w="485" w:type="dxa"/>
            <w:tcBorders>
              <w:top w:val="single" w:sz="6" w:space="0" w:color="auto"/>
              <w:left w:val="single" w:sz="6" w:space="0" w:color="auto"/>
              <w:bottom w:val="single" w:sz="6" w:space="0" w:color="auto"/>
              <w:right w:val="single" w:sz="6" w:space="0" w:color="auto"/>
            </w:tcBorders>
          </w:tcPr>
          <w:p w:rsidR="000E4982" w:rsidRPr="00FA3856" w:rsidRDefault="003B4C80" w:rsidP="000E4982">
            <w:pPr>
              <w:pStyle w:val="PSDS-CorpodeTexto0"/>
              <w:suppressAutoHyphens w:val="0"/>
              <w:rPr>
                <w:rFonts w:ascii="Times New Roman" w:hAnsi="Times New Roman"/>
                <w:b/>
                <w:bCs/>
                <w:lang w:val="pt-PT"/>
              </w:rPr>
            </w:pPr>
            <w:r w:rsidRPr="00FA3856">
              <w:rPr>
                <w:rFonts w:ascii="Times New Roman" w:hAnsi="Times New Roman"/>
                <w:b/>
                <w:bCs/>
                <w:lang w:val="pt-PT"/>
              </w:rPr>
              <w:t>13</w:t>
            </w:r>
          </w:p>
        </w:tc>
        <w:tc>
          <w:tcPr>
            <w:tcW w:w="3000" w:type="dxa"/>
            <w:tcBorders>
              <w:top w:val="single" w:sz="6" w:space="0" w:color="auto"/>
              <w:left w:val="single" w:sz="6" w:space="0" w:color="auto"/>
              <w:bottom w:val="single" w:sz="6" w:space="0" w:color="auto"/>
              <w:right w:val="single" w:sz="6" w:space="0" w:color="auto"/>
            </w:tcBorders>
          </w:tcPr>
          <w:p w:rsidR="000E4982" w:rsidRPr="00FA3856" w:rsidRDefault="000E4982" w:rsidP="000E4982">
            <w:pPr>
              <w:pStyle w:val="PSDS-CorpodeTexto0"/>
              <w:rPr>
                <w:rFonts w:ascii="Times New Roman" w:hAnsi="Times New Roman"/>
                <w:lang w:val="pt-PT"/>
              </w:rPr>
            </w:pPr>
            <w:r w:rsidRPr="00FA3856">
              <w:rPr>
                <w:rFonts w:ascii="Times New Roman" w:hAnsi="Times New Roman"/>
                <w:lang w:val="pt-PT"/>
              </w:rPr>
              <w:t>VL_CTA_PAG</w:t>
            </w:r>
          </w:p>
          <w:p w:rsidR="000E4982" w:rsidRPr="00FA3856" w:rsidRDefault="000E4982" w:rsidP="000E4982">
            <w:pPr>
              <w:pStyle w:val="PSDS-CorpodeTexto0"/>
              <w:rPr>
                <w:rFonts w:ascii="Times New Roman" w:hAnsi="Times New Roman"/>
                <w:lang w:val="pt-PT"/>
              </w:rPr>
            </w:pPr>
          </w:p>
        </w:tc>
        <w:tc>
          <w:tcPr>
            <w:tcW w:w="12168" w:type="dxa"/>
            <w:tcBorders>
              <w:top w:val="single" w:sz="6" w:space="0" w:color="auto"/>
              <w:left w:val="single" w:sz="6" w:space="0" w:color="auto"/>
              <w:bottom w:val="single" w:sz="6" w:space="0" w:color="auto"/>
              <w:right w:val="single" w:sz="6" w:space="0" w:color="auto"/>
            </w:tcBorders>
          </w:tcPr>
          <w:p w:rsidR="000E4982" w:rsidRPr="00FA3856" w:rsidRDefault="000E4982" w:rsidP="000E4982">
            <w:pPr>
              <w:pStyle w:val="PSDS-CorpodeTexto0"/>
              <w:jc w:val="both"/>
              <w:rPr>
                <w:rFonts w:ascii="Times New Roman" w:eastAsia="Arial Unicode MS" w:hAnsi="Times New Roman"/>
                <w:b/>
                <w:lang w:val="pt-PT"/>
              </w:rPr>
            </w:pPr>
            <w:r w:rsidRPr="00FA3856">
              <w:rPr>
                <w:rFonts w:ascii="Times New Roman" w:eastAsia="Arial Unicode MS" w:hAnsi="Times New Roman"/>
                <w:b/>
                <w:lang w:val="pt-PT"/>
              </w:rPr>
              <w:t xml:space="preserve">REGRA_NAO_PREECHER_ESC_CONT: </w:t>
            </w:r>
            <w:r w:rsidR="00516F95" w:rsidRPr="00FA3856">
              <w:rPr>
                <w:rFonts w:ascii="Times New Roman" w:eastAsia="Arial Unicode MS" w:hAnsi="Times New Roman"/>
                <w:lang w:val="pt-PT"/>
              </w:rPr>
              <w:t xml:space="preserve">Verifica se </w:t>
            </w:r>
            <w:r w:rsidR="00360EEA" w:rsidRPr="00FA3856">
              <w:rPr>
                <w:rFonts w:ascii="Times New Roman" w:eastAsia="Arial Unicode MS" w:hAnsi="Times New Roman"/>
                <w:lang w:val="pt-PT"/>
              </w:rPr>
              <w:t>Y672.</w:t>
            </w:r>
            <w:r w:rsidRPr="00FA3856">
              <w:rPr>
                <w:rFonts w:ascii="Times New Roman" w:eastAsia="Arial Unicode MS" w:hAnsi="Times New Roman"/>
                <w:lang w:val="pt-PT"/>
              </w:rPr>
              <w:t>VL_</w:t>
            </w:r>
            <w:r w:rsidR="003B4C80" w:rsidRPr="00FA3856">
              <w:rPr>
                <w:rFonts w:ascii="Times New Roman" w:eastAsia="Arial Unicode MS" w:hAnsi="Times New Roman"/>
                <w:lang w:val="pt-PT"/>
              </w:rPr>
              <w:t>CTA_PAG</w:t>
            </w:r>
            <w:r w:rsidR="00516F95" w:rsidRPr="00FA3856">
              <w:rPr>
                <w:rFonts w:ascii="Times New Roman" w:eastAsia="Arial Unicode MS" w:hAnsi="Times New Roman"/>
                <w:lang w:val="pt-PT"/>
              </w:rPr>
              <w:t xml:space="preserve"> </w:t>
            </w:r>
            <w:r w:rsidR="00360EEA" w:rsidRPr="00FA3856">
              <w:rPr>
                <w:rFonts w:ascii="Times New Roman" w:eastAsia="Arial Unicode MS" w:hAnsi="Times New Roman"/>
                <w:lang w:val="pt-PT"/>
              </w:rPr>
              <w:t xml:space="preserve">não </w:t>
            </w:r>
            <w:r w:rsidR="000142A3" w:rsidRPr="00FA3856">
              <w:rPr>
                <w:rFonts w:ascii="Times New Roman" w:eastAsia="Arial Unicode MS" w:hAnsi="Times New Roman"/>
                <w:lang w:val="pt-PT"/>
              </w:rPr>
              <w:t xml:space="preserve">está preenchido quando </w:t>
            </w:r>
            <w:r w:rsidR="00360EEA" w:rsidRPr="00FA3856">
              <w:rPr>
                <w:rFonts w:ascii="Times New Roman" w:eastAsia="Arial Unicode MS" w:hAnsi="Times New Roman"/>
                <w:lang w:val="pt-PT"/>
              </w:rPr>
              <w:t>0010.</w:t>
            </w:r>
            <w:r w:rsidRPr="00FA3856">
              <w:rPr>
                <w:rFonts w:ascii="Times New Roman" w:eastAsia="Arial Unicode MS" w:hAnsi="Times New Roman"/>
                <w:lang w:val="pt-PT"/>
              </w:rPr>
              <w:t>TIPO_ESC_</w:t>
            </w:r>
            <w:r w:rsidR="00516F95" w:rsidRPr="00FA3856">
              <w:rPr>
                <w:rFonts w:ascii="Times New Roman" w:eastAsia="Arial Unicode MS" w:hAnsi="Times New Roman"/>
                <w:lang w:val="pt-PT"/>
              </w:rPr>
              <w:t xml:space="preserve">PRE </w:t>
            </w:r>
            <w:r w:rsidR="00151BD1" w:rsidRPr="00FA3856">
              <w:rPr>
                <w:rFonts w:ascii="Times New Roman" w:eastAsia="Arial Unicode MS" w:hAnsi="Times New Roman"/>
                <w:lang w:val="pt-PT"/>
              </w:rPr>
              <w:t>for igual a “C” (Contábil) e 0010.FORMA_TRIB = “5” (Lucro Presumido).</w:t>
            </w:r>
          </w:p>
        </w:tc>
        <w:tc>
          <w:tcPr>
            <w:tcW w:w="717" w:type="dxa"/>
            <w:tcBorders>
              <w:top w:val="single" w:sz="6" w:space="0" w:color="auto"/>
              <w:left w:val="single" w:sz="6" w:space="0" w:color="auto"/>
              <w:bottom w:val="single" w:sz="6" w:space="0" w:color="auto"/>
              <w:right w:val="single" w:sz="6" w:space="0" w:color="auto"/>
            </w:tcBorders>
          </w:tcPr>
          <w:p w:rsidR="000E4982" w:rsidRPr="00FA3856" w:rsidRDefault="000E4982" w:rsidP="000E4982">
            <w:pPr>
              <w:pStyle w:val="PSDS-CorpodeTexto0"/>
              <w:rPr>
                <w:rFonts w:ascii="Times New Roman" w:hAnsi="Times New Roman"/>
                <w:lang w:val="pt-PT"/>
              </w:rPr>
            </w:pPr>
            <w:r w:rsidRPr="00FA3856">
              <w:rPr>
                <w:rFonts w:ascii="Times New Roman" w:hAnsi="Times New Roman"/>
                <w:lang w:val="pt-PT"/>
              </w:rPr>
              <w:t>Erro</w:t>
            </w:r>
          </w:p>
        </w:tc>
      </w:tr>
      <w:tr w:rsidR="000E4982" w:rsidRPr="00FA3856" w:rsidTr="00BB2C36">
        <w:trPr>
          <w:jc w:val="center"/>
        </w:trPr>
        <w:tc>
          <w:tcPr>
            <w:tcW w:w="485" w:type="dxa"/>
            <w:tcBorders>
              <w:top w:val="single" w:sz="6" w:space="0" w:color="auto"/>
              <w:left w:val="single" w:sz="6" w:space="0" w:color="auto"/>
              <w:bottom w:val="single" w:sz="6" w:space="0" w:color="auto"/>
              <w:right w:val="single" w:sz="6" w:space="0" w:color="auto"/>
            </w:tcBorders>
          </w:tcPr>
          <w:p w:rsidR="000E4982" w:rsidRPr="00FA3856" w:rsidRDefault="000E4982" w:rsidP="000E4982">
            <w:pPr>
              <w:pStyle w:val="PSDS-CorpodeTexto0"/>
              <w:suppressAutoHyphens w:val="0"/>
              <w:rPr>
                <w:rFonts w:ascii="Times New Roman" w:hAnsi="Times New Roman"/>
                <w:b/>
                <w:bCs/>
                <w:lang w:val="pt-PT"/>
              </w:rPr>
            </w:pPr>
            <w:r w:rsidRPr="00FA3856">
              <w:rPr>
                <w:rFonts w:ascii="Times New Roman" w:hAnsi="Times New Roman"/>
                <w:b/>
                <w:bCs/>
                <w:lang w:val="pt-PT"/>
              </w:rPr>
              <w:t>21</w:t>
            </w:r>
          </w:p>
        </w:tc>
        <w:tc>
          <w:tcPr>
            <w:tcW w:w="3000" w:type="dxa"/>
            <w:tcBorders>
              <w:top w:val="single" w:sz="6" w:space="0" w:color="auto"/>
              <w:left w:val="single" w:sz="6" w:space="0" w:color="auto"/>
              <w:bottom w:val="single" w:sz="6" w:space="0" w:color="auto"/>
              <w:right w:val="single" w:sz="6" w:space="0" w:color="auto"/>
            </w:tcBorders>
          </w:tcPr>
          <w:p w:rsidR="000E4982" w:rsidRPr="00FA3856" w:rsidRDefault="000E4982" w:rsidP="000E4982">
            <w:pPr>
              <w:pStyle w:val="PSDS-CorpodeTexto0"/>
              <w:rPr>
                <w:rFonts w:ascii="Times New Roman" w:hAnsi="Times New Roman"/>
                <w:lang w:val="pt-PT"/>
              </w:rPr>
            </w:pPr>
            <w:r w:rsidRPr="00FA3856">
              <w:rPr>
                <w:rFonts w:ascii="Times New Roman" w:hAnsi="Times New Roman"/>
                <w:lang w:val="pt-PT"/>
              </w:rPr>
              <w:t xml:space="preserve">IND_AVAL_ESTOQ </w:t>
            </w:r>
          </w:p>
        </w:tc>
        <w:tc>
          <w:tcPr>
            <w:tcW w:w="12168" w:type="dxa"/>
            <w:tcBorders>
              <w:top w:val="single" w:sz="6" w:space="0" w:color="auto"/>
              <w:left w:val="single" w:sz="6" w:space="0" w:color="auto"/>
              <w:bottom w:val="single" w:sz="6" w:space="0" w:color="auto"/>
              <w:right w:val="single" w:sz="6" w:space="0" w:color="auto"/>
            </w:tcBorders>
          </w:tcPr>
          <w:p w:rsidR="000E4982" w:rsidRPr="00FA3856" w:rsidRDefault="007D0E74" w:rsidP="000E4982">
            <w:pPr>
              <w:pStyle w:val="PSDS-CorpodeTexto0"/>
              <w:jc w:val="both"/>
              <w:rPr>
                <w:rFonts w:ascii="Times New Roman" w:eastAsia="Arial Unicode MS" w:hAnsi="Times New Roman"/>
                <w:lang w:val="pt-PT"/>
              </w:rPr>
            </w:pPr>
            <w:hyperlink w:anchor="REGRA_Y672_METODO" w:history="1">
              <w:r w:rsidR="000E4982" w:rsidRPr="00FA3856">
                <w:rPr>
                  <w:rFonts w:ascii="Times New Roman" w:eastAsia="Arial Unicode MS" w:hAnsi="Times New Roman"/>
                  <w:b/>
                  <w:lang w:val="pt-PT"/>
                </w:rPr>
                <w:t>REGRA_Y672_METODO</w:t>
              </w:r>
            </w:hyperlink>
            <w:r w:rsidR="000E4982" w:rsidRPr="00FA3856">
              <w:rPr>
                <w:rFonts w:ascii="Times New Roman" w:eastAsia="Arial Unicode MS" w:hAnsi="Times New Roman"/>
                <w:b/>
                <w:lang w:val="pt-PT"/>
              </w:rPr>
              <w:t xml:space="preserve">: </w:t>
            </w:r>
            <w:r w:rsidR="000E4982" w:rsidRPr="00FA3856">
              <w:rPr>
                <w:rFonts w:ascii="Times New Roman" w:eastAsia="Arial Unicode MS" w:hAnsi="Times New Roman"/>
                <w:lang w:val="pt-PT"/>
              </w:rPr>
              <w:t xml:space="preserve">Verifica se </w:t>
            </w:r>
            <w:r w:rsidR="00360EEA" w:rsidRPr="00FA3856">
              <w:rPr>
                <w:rFonts w:ascii="Times New Roman" w:eastAsia="Arial Unicode MS" w:hAnsi="Times New Roman"/>
                <w:lang w:val="pt-PT"/>
              </w:rPr>
              <w:t>Y672.</w:t>
            </w:r>
            <w:r w:rsidR="00516F95" w:rsidRPr="00FA3856">
              <w:rPr>
                <w:rFonts w:ascii="Times New Roman" w:eastAsia="Arial Unicode MS" w:hAnsi="Times New Roman"/>
                <w:lang w:val="pt-PT"/>
              </w:rPr>
              <w:t xml:space="preserve">IND_AVAL_ESTOQ </w:t>
            </w:r>
            <w:r w:rsidR="000E4982" w:rsidRPr="00FA3856">
              <w:rPr>
                <w:rFonts w:ascii="Times New Roman" w:eastAsia="Arial Unicode MS" w:hAnsi="Times New Roman"/>
                <w:lang w:val="pt-PT"/>
              </w:rPr>
              <w:t xml:space="preserve">não está preenchido, quando </w:t>
            </w:r>
            <w:r w:rsidR="00516F95" w:rsidRPr="00FA3856">
              <w:rPr>
                <w:rFonts w:ascii="Times New Roman" w:eastAsia="Arial Unicode MS" w:hAnsi="Times New Roman"/>
                <w:lang w:val="pt-PT"/>
              </w:rPr>
              <w:t xml:space="preserve">Y672.VL_ESTOQUES </w:t>
            </w:r>
            <w:r w:rsidR="000E4982" w:rsidRPr="00FA3856">
              <w:rPr>
                <w:rFonts w:ascii="Times New Roman" w:eastAsia="Arial Unicode MS" w:hAnsi="Times New Roman"/>
                <w:lang w:val="pt-PT"/>
              </w:rPr>
              <w:t xml:space="preserve">for maior que zero, </w:t>
            </w:r>
            <w:r w:rsidR="00516F95" w:rsidRPr="00FA3856">
              <w:rPr>
                <w:rFonts w:ascii="Times New Roman" w:eastAsia="Arial Unicode MS" w:hAnsi="Times New Roman"/>
                <w:lang w:val="pt-PT"/>
              </w:rPr>
              <w:t xml:space="preserve">0010.FORMA_TRIB </w:t>
            </w:r>
            <w:r w:rsidR="000E4982" w:rsidRPr="00FA3856">
              <w:rPr>
                <w:rFonts w:ascii="Times New Roman" w:eastAsia="Arial Unicode MS" w:hAnsi="Times New Roman"/>
                <w:lang w:val="pt-PT"/>
              </w:rPr>
              <w:t>for igual a “5” (</w:t>
            </w:r>
            <w:r w:rsidR="00F36ACB" w:rsidRPr="00FA3856">
              <w:rPr>
                <w:rFonts w:ascii="Times New Roman" w:eastAsia="Arial Unicode MS" w:hAnsi="Times New Roman"/>
                <w:lang w:val="pt-PT"/>
              </w:rPr>
              <w:t xml:space="preserve">Lucro </w:t>
            </w:r>
            <w:r w:rsidR="000E4982" w:rsidRPr="00FA3856">
              <w:rPr>
                <w:rFonts w:ascii="Times New Roman" w:eastAsia="Arial Unicode MS" w:hAnsi="Times New Roman"/>
                <w:lang w:val="pt-PT"/>
              </w:rPr>
              <w:t>Presumido) ou “7” (</w:t>
            </w:r>
            <w:r w:rsidR="00F36ACB" w:rsidRPr="00FA3856">
              <w:rPr>
                <w:rFonts w:ascii="Times New Roman" w:eastAsia="Arial Unicode MS" w:hAnsi="Times New Roman"/>
                <w:lang w:val="pt-PT"/>
              </w:rPr>
              <w:t xml:space="preserve">Lucro </w:t>
            </w:r>
            <w:r w:rsidR="000E4982" w:rsidRPr="00FA3856">
              <w:rPr>
                <w:rFonts w:ascii="Times New Roman" w:eastAsia="Arial Unicode MS" w:hAnsi="Times New Roman"/>
                <w:lang w:val="pt-PT"/>
              </w:rPr>
              <w:t xml:space="preserve">Presumido/Arbitrado) e </w:t>
            </w:r>
            <w:r w:rsidR="00360EEA" w:rsidRPr="00FA3856">
              <w:rPr>
                <w:rFonts w:ascii="Times New Roman" w:eastAsia="Arial Unicode MS" w:hAnsi="Times New Roman"/>
                <w:lang w:val="pt-PT"/>
              </w:rPr>
              <w:t>0010</w:t>
            </w:r>
            <w:r w:rsidR="000E4982" w:rsidRPr="00FA3856">
              <w:rPr>
                <w:rFonts w:ascii="Times New Roman" w:eastAsia="Arial Unicode MS" w:hAnsi="Times New Roman"/>
                <w:lang w:val="pt-PT"/>
              </w:rPr>
              <w:t>TIPO_ESC</w:t>
            </w:r>
            <w:r w:rsidR="00516F95" w:rsidRPr="00FA3856">
              <w:rPr>
                <w:rFonts w:ascii="Times New Roman" w:eastAsia="Arial Unicode MS" w:hAnsi="Times New Roman"/>
                <w:lang w:val="pt-PT"/>
              </w:rPr>
              <w:t xml:space="preserve">_PRE </w:t>
            </w:r>
            <w:r w:rsidR="00DB2CF6" w:rsidRPr="00FA3856">
              <w:rPr>
                <w:rFonts w:ascii="Times New Roman" w:eastAsia="Arial Unicode MS" w:hAnsi="Times New Roman"/>
                <w:lang w:val="pt-PT"/>
              </w:rPr>
              <w:t>for igual a “L” (Livro Caixa).</w:t>
            </w:r>
          </w:p>
          <w:p w:rsidR="00360EEA" w:rsidRPr="00FA3856" w:rsidRDefault="00360EEA" w:rsidP="000E4982">
            <w:pPr>
              <w:pStyle w:val="PSDS-CorpodeTexto0"/>
              <w:jc w:val="both"/>
              <w:rPr>
                <w:rFonts w:ascii="Times New Roman" w:eastAsia="Arial Unicode MS" w:hAnsi="Times New Roman"/>
                <w:lang w:val="pt-PT"/>
              </w:rPr>
            </w:pPr>
          </w:p>
          <w:p w:rsidR="000142A3" w:rsidRPr="00FA3856" w:rsidRDefault="000142A3" w:rsidP="000142A3">
            <w:pPr>
              <w:pStyle w:val="PSDS-CorpodeTexto0"/>
              <w:tabs>
                <w:tab w:val="left" w:pos="1335"/>
              </w:tabs>
              <w:jc w:val="both"/>
              <w:rPr>
                <w:rFonts w:ascii="Times New Roman" w:hAnsi="Times New Roman"/>
                <w:lang w:val="pt-PT"/>
              </w:rPr>
            </w:pPr>
            <w:r w:rsidRPr="00FA3856">
              <w:rPr>
                <w:rFonts w:ascii="Times New Roman" w:eastAsia="Arial Unicode MS" w:hAnsi="Times New Roman"/>
                <w:b/>
                <w:lang w:val="pt-PT"/>
              </w:rPr>
              <w:t xml:space="preserve">REGRA_Y672_METODO_P100: </w:t>
            </w:r>
            <w:r w:rsidRPr="00FA3856">
              <w:rPr>
                <w:rFonts w:ascii="Times New Roman" w:eastAsia="Arial Unicode MS" w:hAnsi="Times New Roman"/>
                <w:lang w:val="pt-PT"/>
              </w:rPr>
              <w:t xml:space="preserve">Verifica se </w:t>
            </w:r>
            <w:r w:rsidR="00360EEA" w:rsidRPr="00FA3856">
              <w:rPr>
                <w:rFonts w:ascii="Times New Roman" w:eastAsia="Arial Unicode MS" w:hAnsi="Times New Roman"/>
                <w:lang w:val="pt-PT"/>
              </w:rPr>
              <w:t>Y672.</w:t>
            </w:r>
            <w:r w:rsidR="00516F95" w:rsidRPr="00FA3856">
              <w:rPr>
                <w:rFonts w:ascii="Times New Roman" w:eastAsia="Arial Unicode MS" w:hAnsi="Times New Roman"/>
                <w:lang w:val="pt-PT"/>
              </w:rPr>
              <w:t xml:space="preserve">IND_AVAL_ESTOQ </w:t>
            </w:r>
            <w:r w:rsidRPr="00FA3856">
              <w:rPr>
                <w:rFonts w:ascii="Times New Roman" w:eastAsia="Arial Unicode MS" w:hAnsi="Times New Roman"/>
                <w:lang w:val="pt-PT"/>
              </w:rPr>
              <w:t xml:space="preserve">não está preenchido, quando </w:t>
            </w:r>
            <w:r w:rsidR="00516F95" w:rsidRPr="00FA3856">
              <w:rPr>
                <w:rFonts w:ascii="Times New Roman" w:eastAsia="Arial Unicode MS" w:hAnsi="Times New Roman"/>
                <w:lang w:val="pt-PT"/>
              </w:rPr>
              <w:t xml:space="preserve">0010.FORMA_TRIB </w:t>
            </w:r>
            <w:r w:rsidRPr="00FA3856">
              <w:rPr>
                <w:rFonts w:ascii="Times New Roman" w:eastAsia="Arial Unicode MS" w:hAnsi="Times New Roman"/>
                <w:lang w:val="pt-PT"/>
              </w:rPr>
              <w:t>for igual a “5” (</w:t>
            </w:r>
            <w:r w:rsidR="00F36ACB" w:rsidRPr="00FA3856">
              <w:rPr>
                <w:rFonts w:ascii="Times New Roman" w:eastAsia="Arial Unicode MS" w:hAnsi="Times New Roman"/>
                <w:lang w:val="pt-PT"/>
              </w:rPr>
              <w:t xml:space="preserve">Lucro </w:t>
            </w:r>
            <w:r w:rsidRPr="00FA3856">
              <w:rPr>
                <w:rFonts w:ascii="Times New Roman" w:eastAsia="Arial Unicode MS" w:hAnsi="Times New Roman"/>
                <w:lang w:val="pt-PT"/>
              </w:rPr>
              <w:t>Presumido) ou “7” (</w:t>
            </w:r>
            <w:r w:rsidR="00F36ACB" w:rsidRPr="00FA3856">
              <w:rPr>
                <w:rFonts w:ascii="Times New Roman" w:eastAsia="Arial Unicode MS" w:hAnsi="Times New Roman"/>
                <w:lang w:val="pt-PT"/>
              </w:rPr>
              <w:t xml:space="preserve">Lucro </w:t>
            </w:r>
            <w:r w:rsidRPr="00FA3856">
              <w:rPr>
                <w:rFonts w:ascii="Times New Roman" w:eastAsia="Arial Unicode MS" w:hAnsi="Times New Roman"/>
                <w:lang w:val="pt-PT"/>
              </w:rPr>
              <w:t xml:space="preserve">Presumido/Arbitrado), </w:t>
            </w:r>
            <w:r w:rsidR="00360EEA" w:rsidRPr="00FA3856">
              <w:rPr>
                <w:rFonts w:ascii="Times New Roman" w:eastAsia="Arial Unicode MS" w:hAnsi="Times New Roman"/>
                <w:lang w:val="pt-PT"/>
              </w:rPr>
              <w:t>0010.</w:t>
            </w:r>
            <w:r w:rsidRPr="00FA3856">
              <w:rPr>
                <w:rFonts w:ascii="Times New Roman" w:eastAsia="Arial Unicode MS" w:hAnsi="Times New Roman"/>
                <w:lang w:val="pt-PT"/>
              </w:rPr>
              <w:t>TIPO_ESC_</w:t>
            </w:r>
            <w:r w:rsidR="00516F95" w:rsidRPr="00FA3856">
              <w:rPr>
                <w:rFonts w:ascii="Times New Roman" w:eastAsia="Arial Unicode MS" w:hAnsi="Times New Roman"/>
                <w:lang w:val="pt-PT"/>
              </w:rPr>
              <w:t xml:space="preserve">PRE </w:t>
            </w:r>
            <w:r w:rsidRPr="00FA3856">
              <w:rPr>
                <w:rFonts w:ascii="Times New Roman" w:eastAsia="Arial Unicode MS" w:hAnsi="Times New Roman"/>
                <w:lang w:val="pt-PT"/>
              </w:rPr>
              <w:t xml:space="preserve">for igual a “C” (Contábil) e </w:t>
            </w:r>
            <w:r w:rsidRPr="00FA3856">
              <w:rPr>
                <w:rFonts w:ascii="Times New Roman" w:hAnsi="Times New Roman"/>
                <w:lang w:val="pt-PT"/>
              </w:rPr>
              <w:t>P100(“</w:t>
            </w:r>
            <w:r w:rsidRPr="00FA3856">
              <w:rPr>
                <w:rFonts w:ascii="Times New Roman" w:hAnsi="Times New Roman"/>
              </w:rPr>
              <w:t>1.01.03.01.21”)</w:t>
            </w:r>
            <w:r w:rsidRPr="00FA3856">
              <w:rPr>
                <w:rFonts w:ascii="Times New Roman" w:hAnsi="Times New Roman"/>
                <w:lang w:val="pt-PT"/>
              </w:rPr>
              <w:t xml:space="preserve"> diferente de zero para qualquer período informado no registro P030.</w:t>
            </w:r>
          </w:p>
        </w:tc>
        <w:tc>
          <w:tcPr>
            <w:tcW w:w="717" w:type="dxa"/>
            <w:tcBorders>
              <w:top w:val="single" w:sz="6" w:space="0" w:color="auto"/>
              <w:left w:val="single" w:sz="6" w:space="0" w:color="auto"/>
              <w:bottom w:val="single" w:sz="6" w:space="0" w:color="auto"/>
              <w:right w:val="single" w:sz="6" w:space="0" w:color="auto"/>
            </w:tcBorders>
          </w:tcPr>
          <w:p w:rsidR="000E4982" w:rsidRPr="00FA3856" w:rsidRDefault="000E4982" w:rsidP="000E4982">
            <w:pPr>
              <w:pStyle w:val="PSDS-CorpodeTexto0"/>
              <w:rPr>
                <w:rFonts w:ascii="Times New Roman" w:hAnsi="Times New Roman"/>
                <w:lang w:val="pt-PT"/>
              </w:rPr>
            </w:pPr>
            <w:r w:rsidRPr="00FA3856">
              <w:rPr>
                <w:rFonts w:ascii="Times New Roman" w:hAnsi="Times New Roman"/>
                <w:lang w:val="pt-PT"/>
              </w:rPr>
              <w:t>Erro</w:t>
            </w:r>
          </w:p>
          <w:p w:rsidR="000142A3" w:rsidRPr="00FA3856" w:rsidRDefault="000142A3" w:rsidP="000E4982">
            <w:pPr>
              <w:pStyle w:val="PSDS-CorpodeTexto0"/>
              <w:rPr>
                <w:rFonts w:ascii="Times New Roman" w:hAnsi="Times New Roman"/>
                <w:lang w:val="pt-PT"/>
              </w:rPr>
            </w:pPr>
          </w:p>
          <w:p w:rsidR="000142A3" w:rsidRPr="00FA3856" w:rsidRDefault="000142A3" w:rsidP="000E4982">
            <w:pPr>
              <w:pStyle w:val="PSDS-CorpodeTexto0"/>
              <w:rPr>
                <w:rFonts w:ascii="Times New Roman" w:hAnsi="Times New Roman"/>
                <w:lang w:val="pt-PT"/>
              </w:rPr>
            </w:pPr>
          </w:p>
          <w:p w:rsidR="000142A3" w:rsidRPr="00FA3856" w:rsidRDefault="000142A3" w:rsidP="000E4982">
            <w:pPr>
              <w:pStyle w:val="PSDS-CorpodeTexto0"/>
              <w:rPr>
                <w:rFonts w:ascii="Times New Roman" w:hAnsi="Times New Roman"/>
                <w:lang w:val="pt-PT"/>
              </w:rPr>
            </w:pPr>
            <w:r w:rsidRPr="00FA3856">
              <w:rPr>
                <w:rFonts w:ascii="Times New Roman" w:hAnsi="Times New Roman"/>
                <w:lang w:val="pt-PT"/>
              </w:rPr>
              <w:t>Erro</w:t>
            </w:r>
          </w:p>
        </w:tc>
      </w:tr>
    </w:tbl>
    <w:p w:rsidR="000E4982" w:rsidRPr="00FA3856" w:rsidRDefault="000E4982" w:rsidP="000E4982">
      <w:pPr>
        <w:rPr>
          <w:color w:val="0000FF"/>
          <w:szCs w:val="20"/>
        </w:rPr>
      </w:pPr>
    </w:p>
    <w:p w:rsidR="00360EEA" w:rsidRPr="00FA3856" w:rsidRDefault="00360EEA">
      <w:pPr>
        <w:spacing w:after="200" w:line="276" w:lineRule="auto"/>
        <w:rPr>
          <w:b/>
          <w:color w:val="002060"/>
          <w:szCs w:val="20"/>
          <w:lang w:eastAsia="ar-SA"/>
        </w:rPr>
      </w:pPr>
      <w:r w:rsidRPr="00FA3856">
        <w:rPr>
          <w:b/>
          <w:color w:val="002060"/>
          <w:szCs w:val="20"/>
        </w:rPr>
        <w:br w:type="page"/>
      </w:r>
    </w:p>
    <w:p w:rsidR="00DB2CF6" w:rsidRPr="00FA3856" w:rsidRDefault="00DB2CF6" w:rsidP="00DB2CF6">
      <w:pPr>
        <w:pStyle w:val="Corpodetexto"/>
        <w:rPr>
          <w:rFonts w:ascii="Times New Roman" w:hAnsi="Times New Roman"/>
          <w:b/>
          <w:color w:val="002060"/>
          <w:szCs w:val="20"/>
        </w:rPr>
      </w:pPr>
      <w:r w:rsidRPr="00FA3856">
        <w:rPr>
          <w:rFonts w:ascii="Times New Roman" w:hAnsi="Times New Roman"/>
          <w:b/>
          <w:color w:val="002060"/>
          <w:szCs w:val="20"/>
        </w:rPr>
        <w:lastRenderedPageBreak/>
        <w:t xml:space="preserve">Exemplo de Preenchimento: </w:t>
      </w:r>
    </w:p>
    <w:p w:rsidR="00944C26" w:rsidRDefault="00944C26" w:rsidP="00944C26">
      <w:pPr>
        <w:pStyle w:val="Corpodetexto"/>
        <w:rPr>
          <w:rFonts w:ascii="Times New Roman" w:hAnsi="Times New Roman"/>
          <w:b/>
          <w:color w:val="002060"/>
          <w:szCs w:val="20"/>
        </w:rPr>
      </w:pPr>
    </w:p>
    <w:p w:rsidR="00DB2CF6" w:rsidRPr="00FA3856" w:rsidRDefault="00DB2CF6" w:rsidP="00944C26">
      <w:pPr>
        <w:pStyle w:val="Corpodetexto"/>
        <w:rPr>
          <w:rFonts w:ascii="Times New Roman" w:hAnsi="Times New Roman"/>
          <w:b/>
          <w:color w:val="002060"/>
          <w:szCs w:val="20"/>
        </w:rPr>
      </w:pPr>
      <w:r w:rsidRPr="00FA3856">
        <w:rPr>
          <w:rFonts w:ascii="Times New Roman" w:hAnsi="Times New Roman"/>
          <w:b/>
          <w:color w:val="002060"/>
          <w:szCs w:val="20"/>
        </w:rPr>
        <w:t>|Y672|10000,00|20000,00|1000,00|2000,00|5000,00|6000,00|1000,00|2000,00|1000,00|2000,00|1000,00|2000,00|1000,00|2000,00|1</w:t>
      </w:r>
      <w:r w:rsidR="006B5F0D" w:rsidRPr="00FA3856">
        <w:rPr>
          <w:rFonts w:ascii="Times New Roman" w:hAnsi="Times New Roman"/>
          <w:b/>
          <w:color w:val="002060"/>
          <w:szCs w:val="20"/>
        </w:rPr>
        <w:t>0</w:t>
      </w:r>
      <w:r w:rsidRPr="00FA3856">
        <w:rPr>
          <w:rFonts w:ascii="Times New Roman" w:hAnsi="Times New Roman"/>
          <w:b/>
          <w:color w:val="002060"/>
          <w:szCs w:val="20"/>
        </w:rPr>
        <w:t>000,00|100000,00|1</w:t>
      </w:r>
      <w:r w:rsidR="006B5F0D" w:rsidRPr="00FA3856">
        <w:rPr>
          <w:rFonts w:ascii="Times New Roman" w:hAnsi="Times New Roman"/>
          <w:b/>
          <w:color w:val="002060"/>
          <w:szCs w:val="20"/>
        </w:rPr>
        <w:t>0000,00|10</w:t>
      </w:r>
      <w:r w:rsidRPr="00FA3856">
        <w:rPr>
          <w:rFonts w:ascii="Times New Roman" w:hAnsi="Times New Roman"/>
          <w:b/>
          <w:color w:val="002060"/>
          <w:szCs w:val="20"/>
        </w:rPr>
        <w:t>,00|</w:t>
      </w:r>
      <w:r w:rsidR="006B5F0D" w:rsidRPr="00FA3856">
        <w:rPr>
          <w:rFonts w:ascii="Times New Roman" w:hAnsi="Times New Roman"/>
          <w:b/>
          <w:color w:val="002060"/>
          <w:szCs w:val="20"/>
        </w:rPr>
        <w:t>2</w:t>
      </w:r>
      <w:r w:rsidRPr="00FA3856">
        <w:rPr>
          <w:rFonts w:ascii="Times New Roman" w:hAnsi="Times New Roman"/>
          <w:b/>
          <w:color w:val="002060"/>
          <w:szCs w:val="20"/>
        </w:rPr>
        <w:t>|2|</w:t>
      </w:r>
    </w:p>
    <w:p w:rsidR="00DB2CF6" w:rsidRPr="00FA3856" w:rsidRDefault="00DB2CF6" w:rsidP="00DB2CF6">
      <w:pPr>
        <w:pStyle w:val="Corpodetexto"/>
        <w:ind w:left="708" w:firstLine="709"/>
        <w:rPr>
          <w:rFonts w:ascii="Times New Roman" w:hAnsi="Times New Roman"/>
          <w:color w:val="002060"/>
          <w:szCs w:val="20"/>
        </w:rPr>
      </w:pPr>
      <w:r w:rsidRPr="00FA3856">
        <w:rPr>
          <w:rFonts w:ascii="Times New Roman" w:hAnsi="Times New Roman"/>
          <w:color w:val="002060"/>
          <w:szCs w:val="20"/>
        </w:rPr>
        <w:t>|Y672|: Identificação do tipo do registro.</w:t>
      </w:r>
    </w:p>
    <w:p w:rsidR="00DB2CF6" w:rsidRPr="00FA3856" w:rsidRDefault="00DB2CF6" w:rsidP="00DB2CF6">
      <w:pPr>
        <w:ind w:left="708" w:firstLine="709"/>
        <w:rPr>
          <w:color w:val="002060"/>
          <w:szCs w:val="20"/>
        </w:rPr>
      </w:pPr>
      <w:r w:rsidRPr="00FA3856">
        <w:rPr>
          <w:color w:val="002060"/>
          <w:szCs w:val="20"/>
        </w:rPr>
        <w:t>|10000,00|: Capital registrado no ano imediatamente anterior (R$ 10.000,00)</w:t>
      </w:r>
    </w:p>
    <w:p w:rsidR="00DB2CF6" w:rsidRPr="00FA3856" w:rsidRDefault="00DB2CF6" w:rsidP="00DB2CF6">
      <w:pPr>
        <w:ind w:left="708" w:firstLine="709"/>
        <w:rPr>
          <w:color w:val="002060"/>
          <w:szCs w:val="20"/>
        </w:rPr>
      </w:pPr>
      <w:r w:rsidRPr="00FA3856">
        <w:rPr>
          <w:color w:val="002060"/>
          <w:szCs w:val="20"/>
        </w:rPr>
        <w:t>|20000,00|: Capital registrado no ano da escrituração (R$ 20.000,00)</w:t>
      </w:r>
    </w:p>
    <w:p w:rsidR="00DB2CF6" w:rsidRPr="00FA3856" w:rsidRDefault="00DB2CF6" w:rsidP="00DB2CF6">
      <w:pPr>
        <w:ind w:left="708" w:firstLine="709"/>
        <w:rPr>
          <w:color w:val="002060"/>
          <w:szCs w:val="20"/>
        </w:rPr>
      </w:pPr>
      <w:r w:rsidRPr="00FA3856">
        <w:rPr>
          <w:color w:val="002060"/>
          <w:szCs w:val="20"/>
        </w:rPr>
        <w:t>|1000,00|: Estoques no ano imediatamente anterior (R$ 1.000,00)</w:t>
      </w:r>
    </w:p>
    <w:p w:rsidR="00DB2CF6" w:rsidRPr="00FA3856" w:rsidRDefault="00DB2CF6" w:rsidP="00DB2CF6">
      <w:pPr>
        <w:ind w:left="708" w:firstLine="709"/>
        <w:rPr>
          <w:color w:val="002060"/>
          <w:szCs w:val="20"/>
        </w:rPr>
      </w:pPr>
      <w:r w:rsidRPr="00FA3856">
        <w:rPr>
          <w:color w:val="002060"/>
          <w:szCs w:val="20"/>
        </w:rPr>
        <w:t>|2000,00|: Estoques no ano da escrituração (R$ 2.000,00)</w:t>
      </w:r>
    </w:p>
    <w:p w:rsidR="00DB2CF6" w:rsidRPr="00FA3856" w:rsidRDefault="00DB2CF6" w:rsidP="00DB2CF6">
      <w:pPr>
        <w:ind w:left="708" w:firstLine="709"/>
        <w:rPr>
          <w:color w:val="002060"/>
          <w:szCs w:val="20"/>
        </w:rPr>
      </w:pPr>
      <w:r w:rsidRPr="00FA3856">
        <w:rPr>
          <w:color w:val="002060"/>
          <w:szCs w:val="20"/>
        </w:rPr>
        <w:t>|5000,00|: Caixa no ano imediatamente anterior (R$ 5.000,00)</w:t>
      </w:r>
    </w:p>
    <w:p w:rsidR="00DB2CF6" w:rsidRPr="00FA3856" w:rsidRDefault="00DB2CF6" w:rsidP="00DB2CF6">
      <w:pPr>
        <w:ind w:left="708" w:firstLine="709"/>
        <w:rPr>
          <w:color w:val="002060"/>
          <w:szCs w:val="20"/>
        </w:rPr>
      </w:pPr>
      <w:r w:rsidRPr="00FA3856">
        <w:rPr>
          <w:color w:val="002060"/>
          <w:szCs w:val="20"/>
        </w:rPr>
        <w:t>|6000,00|: Caixa no ano da escrituração (R$ 6.000,00)</w:t>
      </w:r>
    </w:p>
    <w:p w:rsidR="00DB2CF6" w:rsidRPr="00FA3856" w:rsidRDefault="00DB2CF6" w:rsidP="00DB2CF6">
      <w:pPr>
        <w:ind w:left="708" w:firstLine="709"/>
        <w:rPr>
          <w:color w:val="002060"/>
          <w:szCs w:val="20"/>
        </w:rPr>
      </w:pPr>
      <w:r w:rsidRPr="00FA3856">
        <w:rPr>
          <w:color w:val="002060"/>
          <w:szCs w:val="20"/>
        </w:rPr>
        <w:t>|1000,00|: Aplicações financeiras no ano imediatamente anterior (R$ 1.000,00)</w:t>
      </w:r>
    </w:p>
    <w:p w:rsidR="00DB2CF6" w:rsidRPr="00FA3856" w:rsidRDefault="00DB2CF6" w:rsidP="00DB2CF6">
      <w:pPr>
        <w:ind w:left="708" w:firstLine="709"/>
        <w:rPr>
          <w:color w:val="002060"/>
          <w:szCs w:val="20"/>
        </w:rPr>
      </w:pPr>
      <w:r w:rsidRPr="00FA3856">
        <w:rPr>
          <w:color w:val="002060"/>
          <w:szCs w:val="20"/>
        </w:rPr>
        <w:t>|2000,00|: Aplicações financeiras no ano da escrituração (R$ 2.000,00)</w:t>
      </w:r>
    </w:p>
    <w:p w:rsidR="00DB2CF6" w:rsidRPr="00FA3856" w:rsidRDefault="00DB2CF6" w:rsidP="00DB2CF6">
      <w:pPr>
        <w:ind w:left="708" w:firstLine="709"/>
        <w:rPr>
          <w:color w:val="002060"/>
          <w:szCs w:val="20"/>
        </w:rPr>
      </w:pPr>
      <w:r w:rsidRPr="00FA3856">
        <w:rPr>
          <w:color w:val="002060"/>
          <w:szCs w:val="20"/>
        </w:rPr>
        <w:t>|1000,00|: Conta a receber no ano imediatamente anterior (R$ 1.000,00)</w:t>
      </w:r>
    </w:p>
    <w:p w:rsidR="00DB2CF6" w:rsidRPr="00FA3856" w:rsidRDefault="00DB2CF6" w:rsidP="00DB2CF6">
      <w:pPr>
        <w:ind w:left="708" w:firstLine="709"/>
        <w:rPr>
          <w:color w:val="002060"/>
          <w:szCs w:val="20"/>
        </w:rPr>
      </w:pPr>
      <w:r w:rsidRPr="00FA3856">
        <w:rPr>
          <w:color w:val="002060"/>
          <w:szCs w:val="20"/>
        </w:rPr>
        <w:t>|2000,00|: Conta a receber no ano da escrituração (R$ 2.000,00)</w:t>
      </w:r>
    </w:p>
    <w:p w:rsidR="00DB2CF6" w:rsidRPr="00FA3856" w:rsidRDefault="00DB2CF6" w:rsidP="006B5F0D">
      <w:pPr>
        <w:ind w:left="708" w:firstLine="709"/>
        <w:rPr>
          <w:color w:val="002060"/>
          <w:szCs w:val="20"/>
        </w:rPr>
      </w:pPr>
      <w:r w:rsidRPr="00FA3856">
        <w:rPr>
          <w:color w:val="002060"/>
          <w:szCs w:val="20"/>
        </w:rPr>
        <w:t>|1000,00|:</w:t>
      </w:r>
      <w:r w:rsidR="006B5F0D" w:rsidRPr="00FA3856">
        <w:rPr>
          <w:color w:val="002060"/>
          <w:szCs w:val="20"/>
        </w:rPr>
        <w:t xml:space="preserve"> Conta a pagar no ano imediatamente anterior (R$ 1.000,00)</w:t>
      </w:r>
    </w:p>
    <w:p w:rsidR="00DB2CF6" w:rsidRPr="00FA3856" w:rsidRDefault="00DB2CF6" w:rsidP="006B5F0D">
      <w:pPr>
        <w:ind w:left="708" w:firstLine="709"/>
        <w:rPr>
          <w:color w:val="002060"/>
          <w:szCs w:val="20"/>
        </w:rPr>
      </w:pPr>
      <w:r w:rsidRPr="00FA3856">
        <w:rPr>
          <w:color w:val="002060"/>
          <w:szCs w:val="20"/>
        </w:rPr>
        <w:t>|2000,00|:</w:t>
      </w:r>
      <w:r w:rsidR="006B5F0D" w:rsidRPr="00FA3856">
        <w:rPr>
          <w:color w:val="002060"/>
          <w:szCs w:val="20"/>
        </w:rPr>
        <w:t xml:space="preserve"> Conta a pagar no ano da escrituração (R$ 2.000,00)</w:t>
      </w:r>
    </w:p>
    <w:p w:rsidR="00DB2CF6" w:rsidRPr="00FA3856" w:rsidRDefault="00DB2CF6" w:rsidP="00DB2CF6">
      <w:pPr>
        <w:ind w:left="708" w:firstLine="709"/>
        <w:rPr>
          <w:color w:val="002060"/>
          <w:szCs w:val="20"/>
        </w:rPr>
      </w:pPr>
      <w:r w:rsidRPr="00FA3856">
        <w:rPr>
          <w:color w:val="002060"/>
          <w:szCs w:val="20"/>
        </w:rPr>
        <w:t>|1000,00|</w:t>
      </w:r>
      <w:r w:rsidR="006B5F0D" w:rsidRPr="00FA3856">
        <w:rPr>
          <w:color w:val="002060"/>
          <w:szCs w:val="20"/>
        </w:rPr>
        <w:t>: Compras de mercadorias no ano da escrituração (R$ 1.000,00)</w:t>
      </w:r>
    </w:p>
    <w:p w:rsidR="00DB2CF6" w:rsidRPr="00FA3856" w:rsidRDefault="00DB2CF6" w:rsidP="00DB2CF6">
      <w:pPr>
        <w:ind w:left="708" w:firstLine="709"/>
        <w:rPr>
          <w:color w:val="002060"/>
          <w:szCs w:val="20"/>
        </w:rPr>
      </w:pPr>
      <w:r w:rsidRPr="00FA3856">
        <w:rPr>
          <w:color w:val="002060"/>
          <w:szCs w:val="20"/>
        </w:rPr>
        <w:t>|2000,00|:</w:t>
      </w:r>
      <w:r w:rsidR="006B5F0D" w:rsidRPr="00FA3856">
        <w:rPr>
          <w:color w:val="002060"/>
          <w:szCs w:val="20"/>
        </w:rPr>
        <w:t xml:space="preserve"> Compras do ativo, exceto ativo circulante e ativo não circulante realizável a longo prazo, no ano da escrituração (R$ 2.000,00)</w:t>
      </w:r>
    </w:p>
    <w:p w:rsidR="00DB2CF6" w:rsidRPr="00FA3856" w:rsidRDefault="00DB2CF6" w:rsidP="00DB2CF6">
      <w:pPr>
        <w:ind w:left="708" w:firstLine="709"/>
        <w:rPr>
          <w:color w:val="002060"/>
          <w:szCs w:val="20"/>
        </w:rPr>
      </w:pPr>
      <w:r w:rsidRPr="00FA3856">
        <w:rPr>
          <w:color w:val="002060"/>
          <w:szCs w:val="20"/>
        </w:rPr>
        <w:t>|1</w:t>
      </w:r>
      <w:r w:rsidR="006B5F0D" w:rsidRPr="00FA3856">
        <w:rPr>
          <w:color w:val="002060"/>
          <w:szCs w:val="20"/>
        </w:rPr>
        <w:t>0</w:t>
      </w:r>
      <w:r w:rsidRPr="00FA3856">
        <w:rPr>
          <w:color w:val="002060"/>
          <w:szCs w:val="20"/>
        </w:rPr>
        <w:t>000,00|:</w:t>
      </w:r>
      <w:r w:rsidR="006B5F0D" w:rsidRPr="00FA3856">
        <w:rPr>
          <w:color w:val="002060"/>
          <w:szCs w:val="20"/>
        </w:rPr>
        <w:t xml:space="preserve"> Receitas e rendimentos não tributáveis ou tributados exclusivamente na fonte no ano da escrituração (R$ 10.000,00)</w:t>
      </w:r>
    </w:p>
    <w:p w:rsidR="00DB2CF6" w:rsidRPr="00FA3856" w:rsidRDefault="00DB2CF6" w:rsidP="00DB2CF6">
      <w:pPr>
        <w:ind w:left="708" w:firstLine="709"/>
        <w:rPr>
          <w:color w:val="002060"/>
          <w:szCs w:val="20"/>
        </w:rPr>
      </w:pPr>
      <w:r w:rsidRPr="00FA3856">
        <w:rPr>
          <w:color w:val="002060"/>
          <w:szCs w:val="20"/>
        </w:rPr>
        <w:t>|100000,00|:</w:t>
      </w:r>
      <w:r w:rsidR="006B5F0D" w:rsidRPr="00FA3856">
        <w:rPr>
          <w:color w:val="002060"/>
          <w:szCs w:val="20"/>
        </w:rPr>
        <w:t xml:space="preserve"> Total do ativo no ano da escrituração (R$ 100.000,00)</w:t>
      </w:r>
    </w:p>
    <w:p w:rsidR="00DB2CF6" w:rsidRPr="00FA3856" w:rsidRDefault="00DB2CF6" w:rsidP="00DB2CF6">
      <w:pPr>
        <w:ind w:left="708" w:firstLine="709"/>
        <w:rPr>
          <w:color w:val="002060"/>
          <w:szCs w:val="20"/>
        </w:rPr>
      </w:pPr>
      <w:r w:rsidRPr="00FA3856">
        <w:rPr>
          <w:color w:val="002060"/>
          <w:szCs w:val="20"/>
        </w:rPr>
        <w:t>|1</w:t>
      </w:r>
      <w:r w:rsidR="006B5F0D" w:rsidRPr="00FA3856">
        <w:rPr>
          <w:color w:val="002060"/>
          <w:szCs w:val="20"/>
        </w:rPr>
        <w:t>0</w:t>
      </w:r>
      <w:r w:rsidRPr="00FA3856">
        <w:rPr>
          <w:color w:val="002060"/>
          <w:szCs w:val="20"/>
        </w:rPr>
        <w:t>000,00|:</w:t>
      </w:r>
      <w:r w:rsidR="006B5F0D" w:rsidRPr="00FA3856">
        <w:rPr>
          <w:color w:val="002060"/>
          <w:szCs w:val="20"/>
        </w:rPr>
        <w:t xml:space="preserve"> Folha de pagamen</w:t>
      </w:r>
      <w:bookmarkStart w:id="440" w:name="BM67B/01"/>
      <w:bookmarkStart w:id="441" w:name="BM67B/02"/>
      <w:bookmarkStart w:id="442" w:name="BM67B/04"/>
      <w:bookmarkStart w:id="443" w:name="BM67B/06"/>
      <w:bookmarkStart w:id="444" w:name="BM67B/08"/>
      <w:bookmarkStart w:id="445" w:name="BM67B/09"/>
      <w:bookmarkStart w:id="446" w:name="BM67B/14"/>
      <w:bookmarkStart w:id="447" w:name="BM67B/15"/>
      <w:bookmarkEnd w:id="440"/>
      <w:bookmarkEnd w:id="441"/>
      <w:bookmarkEnd w:id="442"/>
      <w:bookmarkEnd w:id="443"/>
      <w:bookmarkEnd w:id="444"/>
      <w:bookmarkEnd w:id="445"/>
      <w:bookmarkEnd w:id="446"/>
      <w:bookmarkEnd w:id="447"/>
      <w:r w:rsidR="006B5F0D" w:rsidRPr="00FA3856">
        <w:rPr>
          <w:color w:val="002060"/>
          <w:szCs w:val="20"/>
        </w:rPr>
        <w:t>to sujeita à alíquota reduzida de que trata a Lei n</w:t>
      </w:r>
      <w:r w:rsidR="006B5F0D" w:rsidRPr="00FA3856">
        <w:rPr>
          <w:color w:val="002060"/>
          <w:szCs w:val="20"/>
          <w:u w:val="single"/>
          <w:vertAlign w:val="superscript"/>
        </w:rPr>
        <w:t>o</w:t>
      </w:r>
      <w:r w:rsidR="006B5F0D" w:rsidRPr="00FA3856">
        <w:rPr>
          <w:color w:val="002060"/>
          <w:szCs w:val="20"/>
        </w:rPr>
        <w:t xml:space="preserve"> 11.774/2008 (R$ 10.000,00)</w:t>
      </w:r>
    </w:p>
    <w:p w:rsidR="00DB2CF6" w:rsidRPr="00FA3856" w:rsidRDefault="00DB2CF6" w:rsidP="00DB2CF6">
      <w:pPr>
        <w:ind w:left="708" w:firstLine="709"/>
        <w:rPr>
          <w:color w:val="002060"/>
          <w:szCs w:val="20"/>
        </w:rPr>
      </w:pPr>
      <w:r w:rsidRPr="00FA3856">
        <w:rPr>
          <w:color w:val="002060"/>
          <w:szCs w:val="20"/>
        </w:rPr>
        <w:t>|</w:t>
      </w:r>
      <w:r w:rsidR="006B5F0D" w:rsidRPr="00FA3856">
        <w:rPr>
          <w:color w:val="002060"/>
          <w:szCs w:val="20"/>
        </w:rPr>
        <w:t>10</w:t>
      </w:r>
      <w:r w:rsidRPr="00FA3856">
        <w:rPr>
          <w:color w:val="002060"/>
          <w:szCs w:val="20"/>
        </w:rPr>
        <w:t>,00|:</w:t>
      </w:r>
      <w:r w:rsidR="006B5F0D" w:rsidRPr="00FA3856">
        <w:rPr>
          <w:color w:val="002060"/>
          <w:szCs w:val="20"/>
        </w:rPr>
        <w:t xml:space="preserve"> Alíquota reduzida de que trata a Lei n</w:t>
      </w:r>
      <w:r w:rsidR="006B5F0D" w:rsidRPr="00FA3856">
        <w:rPr>
          <w:color w:val="002060"/>
          <w:szCs w:val="20"/>
          <w:u w:val="single"/>
          <w:vertAlign w:val="superscript"/>
        </w:rPr>
        <w:t>o</w:t>
      </w:r>
      <w:r w:rsidR="006B5F0D" w:rsidRPr="00FA3856">
        <w:rPr>
          <w:color w:val="002060"/>
          <w:szCs w:val="20"/>
        </w:rPr>
        <w:t xml:space="preserve"> 11.774/2008 (10%) </w:t>
      </w:r>
    </w:p>
    <w:p w:rsidR="00DB2CF6" w:rsidRPr="00FA3856" w:rsidRDefault="00DB2CF6" w:rsidP="00DB2CF6">
      <w:pPr>
        <w:ind w:left="708" w:firstLine="709"/>
        <w:rPr>
          <w:color w:val="002060"/>
          <w:szCs w:val="20"/>
        </w:rPr>
      </w:pPr>
      <w:r w:rsidRPr="00FA3856">
        <w:rPr>
          <w:color w:val="002060"/>
          <w:szCs w:val="20"/>
        </w:rPr>
        <w:t>|</w:t>
      </w:r>
      <w:r w:rsidR="006B5F0D" w:rsidRPr="00FA3856">
        <w:rPr>
          <w:color w:val="002060"/>
          <w:szCs w:val="20"/>
        </w:rPr>
        <w:t>2</w:t>
      </w:r>
      <w:r w:rsidRPr="00FA3856">
        <w:rPr>
          <w:color w:val="002060"/>
          <w:szCs w:val="20"/>
        </w:rPr>
        <w:t>|:</w:t>
      </w:r>
      <w:r w:rsidR="006B5F0D" w:rsidRPr="00FA3856">
        <w:rPr>
          <w:color w:val="002060"/>
          <w:szCs w:val="20"/>
        </w:rPr>
        <w:t xml:space="preserve"> Regime de apuração das receitas (2 = Competência)</w:t>
      </w:r>
    </w:p>
    <w:p w:rsidR="00DB2CF6" w:rsidRPr="00FA3856" w:rsidRDefault="00DB2CF6" w:rsidP="00DB2CF6">
      <w:pPr>
        <w:ind w:left="708" w:firstLine="709"/>
        <w:rPr>
          <w:color w:val="002060"/>
          <w:szCs w:val="20"/>
        </w:rPr>
      </w:pPr>
      <w:r w:rsidRPr="00FA3856">
        <w:rPr>
          <w:color w:val="002060"/>
          <w:szCs w:val="20"/>
        </w:rPr>
        <w:t>|2|:</w:t>
      </w:r>
      <w:r w:rsidR="006B5F0D" w:rsidRPr="00FA3856">
        <w:rPr>
          <w:color w:val="002060"/>
          <w:szCs w:val="20"/>
        </w:rPr>
        <w:t xml:space="preserve"> Método de avaliação de estoques (2 = PEPS)</w:t>
      </w:r>
      <w:r w:rsidRPr="00FA3856">
        <w:rPr>
          <w:color w:val="0000FF"/>
          <w:szCs w:val="20"/>
        </w:rPr>
        <w:br w:type="page"/>
      </w:r>
    </w:p>
    <w:p w:rsidR="00970E4C" w:rsidRPr="00FA3856" w:rsidRDefault="00970E4C" w:rsidP="00867F54">
      <w:pPr>
        <w:pStyle w:val="Ttulo4"/>
      </w:pPr>
      <w:bookmarkStart w:id="448" w:name="_Toc479713839"/>
      <w:r w:rsidRPr="00FA3856">
        <w:lastRenderedPageBreak/>
        <w:t>Registro Y680: Mês das Informações de Optantes pelo Refis</w:t>
      </w:r>
      <w:r w:rsidR="00FE44A1" w:rsidRPr="00FA3856">
        <w:t xml:space="preserve"> (Lucro</w:t>
      </w:r>
      <w:r w:rsidR="00086D41" w:rsidRPr="00FA3856">
        <w:t xml:space="preserve"> Real, Presumido e </w:t>
      </w:r>
      <w:r w:rsidR="00FE44A1" w:rsidRPr="00FA3856">
        <w:t>Arbitrado)</w:t>
      </w:r>
      <w:bookmarkEnd w:id="448"/>
    </w:p>
    <w:p w:rsidR="00970E4C" w:rsidRPr="00FA3856" w:rsidRDefault="00970E4C" w:rsidP="00970E4C">
      <w:pPr>
        <w:rPr>
          <w:szCs w:val="20"/>
        </w:rPr>
      </w:pPr>
    </w:p>
    <w:p w:rsidR="00970E4C" w:rsidRPr="00FA3856" w:rsidRDefault="00970E4C" w:rsidP="00970E4C">
      <w:pPr>
        <w:rPr>
          <w:szCs w:val="20"/>
        </w:rPr>
      </w:pPr>
      <w:r w:rsidRPr="00FA3856">
        <w:rPr>
          <w:szCs w:val="20"/>
        </w:rPr>
        <w:tab/>
        <w:t>Apresenta o mês relativo às informações das empresas optantes pelo REFIS.</w:t>
      </w:r>
    </w:p>
    <w:p w:rsidR="0026098A" w:rsidRDefault="0026098A" w:rsidP="0026098A">
      <w:pPr>
        <w:rPr>
          <w:color w:val="0000FF"/>
          <w:szCs w:val="20"/>
        </w:rPr>
      </w:pPr>
    </w:p>
    <w:p w:rsidR="000550B0" w:rsidRPr="00FA3856" w:rsidRDefault="00B35FA3" w:rsidP="000550B0">
      <w:pPr>
        <w:jc w:val="center"/>
        <w:rPr>
          <w:color w:val="0000FF"/>
          <w:szCs w:val="20"/>
        </w:rPr>
      </w:pPr>
      <w:r>
        <w:rPr>
          <w:color w:val="0000FF"/>
          <w:szCs w:val="20"/>
        </w:rPr>
        <w:object w:dxaOrig="14835" w:dyaOrig="5400">
          <v:shape id="_x0000_i2098" type="#_x0000_t75" style="width:741.75pt;height:270pt" o:ole="">
            <v:imagedata r:id="rId890" o:title=""/>
          </v:shape>
          <o:OLEObject Type="Link" ProgID="Excel.Sheet.12" ShapeID="_x0000_i2098" DrawAspect="Content" r:id="rId891" UpdateMode="Always">
            <o:LinkType>EnhancedMetaFile</o:LinkType>
            <o:LockedField>false</o:LockedField>
          </o:OLEObject>
        </w:object>
      </w:r>
    </w:p>
    <w:p w:rsidR="000550B0" w:rsidRDefault="000550B0" w:rsidP="000329A9">
      <w:pPr>
        <w:pStyle w:val="PSDS-MarcadoresNivel4"/>
        <w:tabs>
          <w:tab w:val="clear" w:pos="2271"/>
          <w:tab w:val="left" w:pos="720"/>
        </w:tabs>
        <w:spacing w:before="0" w:after="0"/>
        <w:ind w:left="0" w:firstLine="0"/>
        <w:rPr>
          <w:rFonts w:ascii="Times New Roman" w:hAnsi="Times New Roman" w:cs="Times New Roman"/>
          <w:szCs w:val="20"/>
          <w:lang w:val="pt-PT"/>
        </w:rPr>
      </w:pPr>
    </w:p>
    <w:p w:rsidR="000329A9" w:rsidRPr="00FA3856" w:rsidRDefault="000329A9" w:rsidP="000329A9">
      <w:pPr>
        <w:pStyle w:val="PSDS-MarcadoresNivel4"/>
        <w:tabs>
          <w:tab w:val="clear" w:pos="2271"/>
          <w:tab w:val="left" w:pos="720"/>
        </w:tabs>
        <w:spacing w:before="0" w:after="0"/>
        <w:ind w:left="0" w:firstLine="0"/>
        <w:rPr>
          <w:rFonts w:ascii="Times New Roman" w:hAnsi="Times New Roman" w:cs="Times New Roman"/>
          <w:szCs w:val="20"/>
          <w:lang w:val="pt-PT"/>
        </w:rPr>
      </w:pPr>
      <w:r w:rsidRPr="00FA3856">
        <w:rPr>
          <w:rFonts w:ascii="Times New Roman" w:hAnsi="Times New Roman" w:cs="Times New Roman"/>
          <w:szCs w:val="20"/>
          <w:lang w:val="pt-PT"/>
        </w:rPr>
        <w:t>I – Regras de Validação de Campos:</w:t>
      </w:r>
    </w:p>
    <w:p w:rsidR="000329A9" w:rsidRPr="00FA3856" w:rsidRDefault="000329A9" w:rsidP="000329A9">
      <w:pPr>
        <w:pStyle w:val="PSDS-MarcadoresNivel4"/>
        <w:tabs>
          <w:tab w:val="clear" w:pos="2271"/>
          <w:tab w:val="left" w:pos="720"/>
        </w:tabs>
        <w:spacing w:before="0" w:after="0"/>
        <w:ind w:left="0" w:firstLine="0"/>
        <w:rPr>
          <w:rFonts w:ascii="Times New Roman" w:hAnsi="Times New Roman" w:cs="Times New Roman"/>
          <w:szCs w:val="20"/>
          <w:lang w:val="pt-PT"/>
        </w:rPr>
      </w:pPr>
    </w:p>
    <w:tbl>
      <w:tblPr>
        <w:tblW w:w="16370"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85"/>
        <w:gridCol w:w="3000"/>
        <w:gridCol w:w="12168"/>
        <w:gridCol w:w="717"/>
      </w:tblGrid>
      <w:tr w:rsidR="000329A9" w:rsidRPr="00FA3856" w:rsidTr="00BB2C36">
        <w:trPr>
          <w:tblHeader/>
          <w:jc w:val="center"/>
        </w:trPr>
        <w:tc>
          <w:tcPr>
            <w:tcW w:w="485" w:type="dxa"/>
            <w:tcBorders>
              <w:top w:val="single" w:sz="6" w:space="0" w:color="auto"/>
              <w:left w:val="single" w:sz="6" w:space="0" w:color="auto"/>
              <w:bottom w:val="single" w:sz="6" w:space="0" w:color="auto"/>
              <w:right w:val="single" w:sz="6" w:space="0" w:color="auto"/>
            </w:tcBorders>
            <w:shd w:val="pct10" w:color="auto" w:fill="FFFFFF"/>
          </w:tcPr>
          <w:p w:rsidR="000329A9" w:rsidRPr="00FA3856" w:rsidRDefault="000329A9" w:rsidP="00840B6F">
            <w:pPr>
              <w:pStyle w:val="PSDS-CorpodeTexto0"/>
              <w:jc w:val="center"/>
              <w:rPr>
                <w:rFonts w:ascii="Times New Roman" w:hAnsi="Times New Roman"/>
                <w:b/>
                <w:bCs/>
              </w:rPr>
            </w:pPr>
            <w:r w:rsidRPr="00FA3856">
              <w:rPr>
                <w:rFonts w:ascii="Times New Roman" w:hAnsi="Times New Roman"/>
                <w:b/>
                <w:bCs/>
              </w:rPr>
              <w:t>Nº</w:t>
            </w:r>
          </w:p>
        </w:tc>
        <w:tc>
          <w:tcPr>
            <w:tcW w:w="3000" w:type="dxa"/>
            <w:tcBorders>
              <w:top w:val="single" w:sz="6" w:space="0" w:color="auto"/>
              <w:left w:val="single" w:sz="6" w:space="0" w:color="auto"/>
              <w:bottom w:val="single" w:sz="6" w:space="0" w:color="auto"/>
              <w:right w:val="single" w:sz="6" w:space="0" w:color="auto"/>
            </w:tcBorders>
            <w:shd w:val="pct10" w:color="auto" w:fill="FFFFFF"/>
          </w:tcPr>
          <w:p w:rsidR="000329A9" w:rsidRPr="00FA3856" w:rsidRDefault="000329A9" w:rsidP="00840B6F">
            <w:pPr>
              <w:pStyle w:val="PSDS-CorpodeTexto0"/>
              <w:jc w:val="center"/>
              <w:rPr>
                <w:rFonts w:ascii="Times New Roman" w:hAnsi="Times New Roman"/>
                <w:b/>
                <w:bCs/>
              </w:rPr>
            </w:pPr>
            <w:r w:rsidRPr="00FA3856">
              <w:rPr>
                <w:rFonts w:ascii="Times New Roman" w:hAnsi="Times New Roman"/>
                <w:b/>
                <w:bCs/>
              </w:rPr>
              <w:t>Campo</w:t>
            </w:r>
          </w:p>
        </w:tc>
        <w:tc>
          <w:tcPr>
            <w:tcW w:w="12168" w:type="dxa"/>
            <w:tcBorders>
              <w:top w:val="single" w:sz="6" w:space="0" w:color="auto"/>
              <w:left w:val="single" w:sz="6" w:space="0" w:color="auto"/>
              <w:bottom w:val="single" w:sz="6" w:space="0" w:color="auto"/>
              <w:right w:val="single" w:sz="6" w:space="0" w:color="auto"/>
            </w:tcBorders>
            <w:shd w:val="pct10" w:color="auto" w:fill="FFFFFF"/>
          </w:tcPr>
          <w:p w:rsidR="000329A9" w:rsidRPr="00FA3856" w:rsidRDefault="000329A9" w:rsidP="00840B6F">
            <w:pPr>
              <w:pStyle w:val="PSDS-CorpodeTexto0"/>
              <w:jc w:val="center"/>
              <w:rPr>
                <w:rFonts w:ascii="Times New Roman" w:hAnsi="Times New Roman"/>
                <w:b/>
                <w:bCs/>
              </w:rPr>
            </w:pPr>
            <w:r w:rsidRPr="00FA3856">
              <w:rPr>
                <w:rFonts w:ascii="Times New Roman" w:hAnsi="Times New Roman"/>
                <w:b/>
                <w:bCs/>
              </w:rPr>
              <w:t>Regras de Validação do Campo</w:t>
            </w:r>
          </w:p>
        </w:tc>
        <w:tc>
          <w:tcPr>
            <w:tcW w:w="717" w:type="dxa"/>
            <w:tcBorders>
              <w:top w:val="single" w:sz="6" w:space="0" w:color="auto"/>
              <w:left w:val="single" w:sz="6" w:space="0" w:color="auto"/>
              <w:bottom w:val="single" w:sz="6" w:space="0" w:color="auto"/>
              <w:right w:val="single" w:sz="6" w:space="0" w:color="auto"/>
            </w:tcBorders>
            <w:shd w:val="pct10" w:color="auto" w:fill="FFFFFF"/>
          </w:tcPr>
          <w:p w:rsidR="000329A9" w:rsidRPr="00FA3856" w:rsidRDefault="000329A9" w:rsidP="00840B6F">
            <w:pPr>
              <w:pStyle w:val="PSDS-CorpodeTexto0"/>
              <w:jc w:val="center"/>
              <w:rPr>
                <w:rFonts w:ascii="Times New Roman" w:hAnsi="Times New Roman"/>
                <w:b/>
                <w:bCs/>
              </w:rPr>
            </w:pPr>
            <w:r w:rsidRPr="00FA3856">
              <w:rPr>
                <w:rFonts w:ascii="Times New Roman" w:hAnsi="Times New Roman"/>
                <w:b/>
                <w:bCs/>
              </w:rPr>
              <w:t>Tipo</w:t>
            </w:r>
          </w:p>
        </w:tc>
      </w:tr>
      <w:tr w:rsidR="000329A9" w:rsidRPr="00FA3856" w:rsidTr="00BB2C36">
        <w:trPr>
          <w:jc w:val="center"/>
        </w:trPr>
        <w:tc>
          <w:tcPr>
            <w:tcW w:w="485" w:type="dxa"/>
            <w:tcBorders>
              <w:top w:val="single" w:sz="6" w:space="0" w:color="auto"/>
              <w:left w:val="single" w:sz="6" w:space="0" w:color="auto"/>
              <w:bottom w:val="single" w:sz="6" w:space="0" w:color="auto"/>
              <w:right w:val="single" w:sz="6" w:space="0" w:color="auto"/>
            </w:tcBorders>
          </w:tcPr>
          <w:p w:rsidR="000329A9" w:rsidRPr="00FA3856" w:rsidRDefault="000329A9" w:rsidP="00840B6F">
            <w:pPr>
              <w:pStyle w:val="PSDS-CorpodeTexto0"/>
              <w:suppressAutoHyphens w:val="0"/>
              <w:rPr>
                <w:rFonts w:ascii="Times New Roman" w:hAnsi="Times New Roman"/>
                <w:b/>
                <w:bCs/>
                <w:lang w:val="pt-PT"/>
              </w:rPr>
            </w:pPr>
            <w:r w:rsidRPr="00FA3856">
              <w:rPr>
                <w:rFonts w:ascii="Times New Roman" w:hAnsi="Times New Roman"/>
                <w:b/>
                <w:bCs/>
                <w:lang w:val="pt-PT"/>
              </w:rPr>
              <w:t>2</w:t>
            </w:r>
          </w:p>
        </w:tc>
        <w:tc>
          <w:tcPr>
            <w:tcW w:w="3000" w:type="dxa"/>
            <w:tcBorders>
              <w:top w:val="single" w:sz="6" w:space="0" w:color="auto"/>
              <w:left w:val="single" w:sz="6" w:space="0" w:color="auto"/>
              <w:bottom w:val="single" w:sz="6" w:space="0" w:color="auto"/>
              <w:right w:val="single" w:sz="6" w:space="0" w:color="auto"/>
            </w:tcBorders>
          </w:tcPr>
          <w:p w:rsidR="000329A9" w:rsidRPr="00FA3856" w:rsidRDefault="000329A9" w:rsidP="00840B6F">
            <w:pPr>
              <w:pStyle w:val="PSDS-CorpodeTexto0"/>
              <w:rPr>
                <w:rFonts w:ascii="Times New Roman" w:hAnsi="Times New Roman"/>
                <w:lang w:val="pt-PT"/>
              </w:rPr>
            </w:pPr>
            <w:r w:rsidRPr="00FA3856">
              <w:rPr>
                <w:rFonts w:ascii="Times New Roman" w:hAnsi="Times New Roman"/>
                <w:lang w:val="pt-PT"/>
              </w:rPr>
              <w:t>MES</w:t>
            </w:r>
          </w:p>
        </w:tc>
        <w:tc>
          <w:tcPr>
            <w:tcW w:w="12168" w:type="dxa"/>
            <w:tcBorders>
              <w:top w:val="single" w:sz="6" w:space="0" w:color="auto"/>
              <w:left w:val="single" w:sz="6" w:space="0" w:color="auto"/>
              <w:bottom w:val="single" w:sz="6" w:space="0" w:color="auto"/>
              <w:right w:val="single" w:sz="6" w:space="0" w:color="auto"/>
            </w:tcBorders>
          </w:tcPr>
          <w:p w:rsidR="000329A9" w:rsidRPr="00FA3856" w:rsidRDefault="000329A9" w:rsidP="00840B6F">
            <w:pPr>
              <w:pStyle w:val="PSDS-CorpodeTexto0"/>
              <w:jc w:val="both"/>
              <w:rPr>
                <w:rFonts w:ascii="Times New Roman" w:eastAsia="Arial Unicode MS" w:hAnsi="Times New Roman"/>
                <w:lang w:val="pt-PT"/>
              </w:rPr>
            </w:pPr>
            <w:r w:rsidRPr="00FA3856">
              <w:rPr>
                <w:rFonts w:ascii="Times New Roman" w:eastAsia="Arial Unicode MS" w:hAnsi="Times New Roman"/>
                <w:b/>
                <w:lang w:val="pt-PT"/>
              </w:rPr>
              <w:t xml:space="preserve">REGRA_MES_FORA_PERIODO: </w:t>
            </w:r>
            <w:r w:rsidR="00516F95" w:rsidRPr="00FA3856">
              <w:rPr>
                <w:rFonts w:ascii="Times New Roman" w:eastAsia="Arial Unicode MS" w:hAnsi="Times New Roman"/>
                <w:lang w:val="pt-PT"/>
              </w:rPr>
              <w:t xml:space="preserve">Verifica se Y680.MES </w:t>
            </w:r>
            <w:r w:rsidRPr="00FA3856">
              <w:rPr>
                <w:rFonts w:ascii="Times New Roman" w:eastAsia="Arial Unicode MS" w:hAnsi="Times New Roman"/>
                <w:lang w:val="pt-PT"/>
              </w:rPr>
              <w:t>está compreendido no período informado entre 0000.DT_</w:t>
            </w:r>
            <w:r w:rsidR="00360EEA" w:rsidRPr="00FA3856">
              <w:rPr>
                <w:rFonts w:ascii="Times New Roman" w:eastAsia="Arial Unicode MS" w:hAnsi="Times New Roman"/>
                <w:lang w:val="pt-PT"/>
              </w:rPr>
              <w:t xml:space="preserve">INI </w:t>
            </w:r>
            <w:r w:rsidRPr="00FA3856">
              <w:rPr>
                <w:rFonts w:ascii="Times New Roman" w:eastAsia="Arial Unicode MS" w:hAnsi="Times New Roman"/>
                <w:lang w:val="pt-PT"/>
              </w:rPr>
              <w:t>e 0000.DT</w:t>
            </w:r>
            <w:r w:rsidR="00360EEA" w:rsidRPr="00FA3856">
              <w:rPr>
                <w:rFonts w:ascii="Times New Roman" w:eastAsia="Arial Unicode MS" w:hAnsi="Times New Roman"/>
                <w:lang w:val="pt-PT"/>
              </w:rPr>
              <w:t>_FIN</w:t>
            </w:r>
            <w:r w:rsidRPr="00FA3856">
              <w:rPr>
                <w:rFonts w:ascii="Times New Roman" w:eastAsia="Arial Unicode MS" w:hAnsi="Times New Roman"/>
                <w:lang w:val="pt-PT"/>
              </w:rPr>
              <w:t xml:space="preserve">. </w:t>
            </w:r>
          </w:p>
          <w:p w:rsidR="00516F95" w:rsidRPr="00FA3856" w:rsidRDefault="00516F95" w:rsidP="00840B6F">
            <w:pPr>
              <w:pStyle w:val="PSDS-CorpodeTexto0"/>
              <w:jc w:val="both"/>
              <w:rPr>
                <w:rFonts w:ascii="Times New Roman" w:hAnsi="Times New Roman"/>
                <w:b/>
              </w:rPr>
            </w:pPr>
          </w:p>
        </w:tc>
        <w:tc>
          <w:tcPr>
            <w:tcW w:w="717" w:type="dxa"/>
            <w:tcBorders>
              <w:top w:val="single" w:sz="6" w:space="0" w:color="auto"/>
              <w:left w:val="single" w:sz="6" w:space="0" w:color="auto"/>
              <w:bottom w:val="single" w:sz="6" w:space="0" w:color="auto"/>
              <w:right w:val="single" w:sz="6" w:space="0" w:color="auto"/>
            </w:tcBorders>
          </w:tcPr>
          <w:p w:rsidR="000329A9" w:rsidRPr="00FA3856" w:rsidRDefault="000329A9" w:rsidP="00840B6F">
            <w:pPr>
              <w:pStyle w:val="PSDS-CorpodeTexto0"/>
              <w:rPr>
                <w:rFonts w:ascii="Times New Roman" w:hAnsi="Times New Roman"/>
                <w:lang w:val="pt-PT"/>
              </w:rPr>
            </w:pPr>
            <w:r w:rsidRPr="00FA3856">
              <w:rPr>
                <w:rFonts w:ascii="Times New Roman" w:hAnsi="Times New Roman"/>
                <w:lang w:val="pt-PT"/>
              </w:rPr>
              <w:t>Erro</w:t>
            </w:r>
          </w:p>
        </w:tc>
      </w:tr>
    </w:tbl>
    <w:p w:rsidR="005230F0" w:rsidRPr="00FA3856" w:rsidRDefault="005230F0" w:rsidP="000329A9">
      <w:pPr>
        <w:pStyle w:val="Corpodetexto"/>
        <w:rPr>
          <w:rFonts w:ascii="Times New Roman" w:hAnsi="Times New Roman"/>
          <w:b/>
          <w:color w:val="002060"/>
          <w:szCs w:val="20"/>
        </w:rPr>
      </w:pPr>
    </w:p>
    <w:p w:rsidR="000550B0" w:rsidRDefault="000329A9" w:rsidP="00360EEA">
      <w:pPr>
        <w:pStyle w:val="Corpodetexto"/>
        <w:rPr>
          <w:rFonts w:ascii="Times New Roman" w:hAnsi="Times New Roman"/>
          <w:b/>
          <w:color w:val="002060"/>
          <w:szCs w:val="20"/>
        </w:rPr>
      </w:pPr>
      <w:r w:rsidRPr="00FA3856">
        <w:rPr>
          <w:rFonts w:ascii="Times New Roman" w:hAnsi="Times New Roman"/>
          <w:b/>
          <w:color w:val="002060"/>
          <w:szCs w:val="20"/>
        </w:rPr>
        <w:t>Exemplo de Preenc</w:t>
      </w:r>
      <w:r w:rsidR="00360EEA" w:rsidRPr="00FA3856">
        <w:rPr>
          <w:rFonts w:ascii="Times New Roman" w:hAnsi="Times New Roman"/>
          <w:b/>
          <w:color w:val="002060"/>
          <w:szCs w:val="20"/>
        </w:rPr>
        <w:t xml:space="preserve">himento: </w:t>
      </w:r>
    </w:p>
    <w:p w:rsidR="000550B0" w:rsidRDefault="000550B0" w:rsidP="00360EEA">
      <w:pPr>
        <w:pStyle w:val="Corpodetexto"/>
        <w:rPr>
          <w:rFonts w:ascii="Times New Roman" w:hAnsi="Times New Roman"/>
          <w:b/>
          <w:color w:val="002060"/>
          <w:szCs w:val="20"/>
        </w:rPr>
      </w:pPr>
    </w:p>
    <w:p w:rsidR="000329A9" w:rsidRPr="00FA3856" w:rsidRDefault="000329A9" w:rsidP="00360EEA">
      <w:pPr>
        <w:pStyle w:val="Corpodetexto"/>
        <w:rPr>
          <w:rFonts w:ascii="Times New Roman" w:hAnsi="Times New Roman"/>
          <w:b/>
          <w:color w:val="002060"/>
          <w:szCs w:val="20"/>
        </w:rPr>
      </w:pPr>
      <w:r w:rsidRPr="00FA3856">
        <w:rPr>
          <w:rFonts w:ascii="Times New Roman" w:hAnsi="Times New Roman"/>
          <w:b/>
          <w:color w:val="002060"/>
          <w:szCs w:val="20"/>
        </w:rPr>
        <w:t>|Y680|01|</w:t>
      </w:r>
    </w:p>
    <w:p w:rsidR="000329A9" w:rsidRPr="00FA3856" w:rsidRDefault="000329A9" w:rsidP="000550B0">
      <w:pPr>
        <w:pStyle w:val="Corpodetexto"/>
        <w:ind w:firstLine="708"/>
        <w:rPr>
          <w:rFonts w:ascii="Times New Roman" w:hAnsi="Times New Roman"/>
          <w:color w:val="002060"/>
          <w:szCs w:val="20"/>
        </w:rPr>
      </w:pPr>
      <w:r w:rsidRPr="00FA3856">
        <w:rPr>
          <w:rFonts w:ascii="Times New Roman" w:hAnsi="Times New Roman"/>
          <w:color w:val="002060"/>
          <w:szCs w:val="20"/>
        </w:rPr>
        <w:t>|Y680|: Identificação do tipo do registro.</w:t>
      </w:r>
    </w:p>
    <w:p w:rsidR="000329A9" w:rsidRPr="00FA3856" w:rsidRDefault="000329A9" w:rsidP="000550B0">
      <w:pPr>
        <w:pStyle w:val="Corpodetexto"/>
        <w:ind w:firstLine="708"/>
        <w:rPr>
          <w:rFonts w:ascii="Times New Roman" w:hAnsi="Times New Roman"/>
          <w:color w:val="002060"/>
          <w:szCs w:val="20"/>
        </w:rPr>
      </w:pPr>
      <w:r w:rsidRPr="00FA3856">
        <w:rPr>
          <w:rFonts w:ascii="Times New Roman" w:hAnsi="Times New Roman"/>
          <w:color w:val="002060"/>
          <w:szCs w:val="20"/>
        </w:rPr>
        <w:t>|01|: Identificação do mês (janeiro).</w:t>
      </w:r>
    </w:p>
    <w:p w:rsidR="00D54D81" w:rsidRPr="00FA3856" w:rsidRDefault="00D54D81" w:rsidP="00867F54">
      <w:pPr>
        <w:pStyle w:val="Ttulo4"/>
      </w:pPr>
      <w:bookmarkStart w:id="449" w:name="_Toc479713840"/>
      <w:r w:rsidRPr="00FA3856">
        <w:lastRenderedPageBreak/>
        <w:t>Registro Y681: Informações de Optantes pelo Refis (Lucros Real, Presumido e Arbitrado)</w:t>
      </w:r>
      <w:bookmarkEnd w:id="449"/>
    </w:p>
    <w:p w:rsidR="00D54D81" w:rsidRPr="00FA3856" w:rsidRDefault="00D54D81" w:rsidP="00D54D81">
      <w:pPr>
        <w:rPr>
          <w:szCs w:val="20"/>
        </w:rPr>
      </w:pPr>
    </w:p>
    <w:p w:rsidR="00D54D81" w:rsidRPr="00FA3856" w:rsidRDefault="00D54D81" w:rsidP="00D5660B">
      <w:pPr>
        <w:pStyle w:val="PSDS-CorpodeTexto0"/>
        <w:jc w:val="both"/>
        <w:rPr>
          <w:rFonts w:ascii="Times New Roman" w:hAnsi="Times New Roman"/>
          <w:color w:val="000000"/>
        </w:rPr>
      </w:pPr>
      <w:r w:rsidRPr="00FA3856">
        <w:rPr>
          <w:rFonts w:ascii="Times New Roman" w:hAnsi="Times New Roman"/>
          <w:lang w:eastAsia="pt-BR"/>
        </w:rPr>
        <w:tab/>
      </w:r>
      <w:r w:rsidR="006718D1" w:rsidRPr="00FA3856">
        <w:rPr>
          <w:rFonts w:ascii="Times New Roman" w:hAnsi="Times New Roman"/>
          <w:color w:val="000000"/>
        </w:rPr>
        <w:t>Este registro deve ser preenchido pela pessoa jurídica, exceto imune ou isenta, que optou pelo REFIS para os meses em que esteve submetida ao programa</w:t>
      </w:r>
      <w:r w:rsidR="000329A9" w:rsidRPr="00FA3856">
        <w:rPr>
          <w:rFonts w:ascii="Times New Roman" w:hAnsi="Times New Roman"/>
          <w:color w:val="000000"/>
        </w:rPr>
        <w:t xml:space="preserve"> (indicados no registro Y680)</w:t>
      </w:r>
      <w:r w:rsidR="006718D1" w:rsidRPr="00FA3856">
        <w:rPr>
          <w:rFonts w:ascii="Times New Roman" w:hAnsi="Times New Roman"/>
          <w:color w:val="000000"/>
        </w:rPr>
        <w:t>.</w:t>
      </w:r>
    </w:p>
    <w:p w:rsidR="000550B0" w:rsidRDefault="000550B0" w:rsidP="000550B0">
      <w:pPr>
        <w:jc w:val="center"/>
        <w:rPr>
          <w:b/>
          <w:szCs w:val="20"/>
          <w:lang w:val="pt-PT"/>
        </w:rPr>
      </w:pPr>
    </w:p>
    <w:p w:rsidR="00B86E9A" w:rsidRPr="00FA3856" w:rsidRDefault="00B35FA3" w:rsidP="000550B0">
      <w:pPr>
        <w:jc w:val="center"/>
        <w:rPr>
          <w:b/>
          <w:szCs w:val="20"/>
          <w:lang w:val="pt-PT"/>
        </w:rPr>
      </w:pPr>
      <w:r>
        <w:rPr>
          <w:b/>
          <w:szCs w:val="20"/>
          <w:lang w:val="pt-PT"/>
        </w:rPr>
        <w:object w:dxaOrig="13920" w:dyaOrig="4755">
          <v:shape id="_x0000_i2100" type="#_x0000_t75" style="width:696.75pt;height:238.5pt" o:ole="">
            <v:imagedata r:id="rId892" o:title=""/>
          </v:shape>
          <o:OLEObject Type="Link" ProgID="Excel.Sheet.12" ShapeID="_x0000_i2100" DrawAspect="Content" r:id="rId893" UpdateMode="Always">
            <o:LinkType>EnhancedMetaFile</o:LinkType>
            <o:LockedField>false</o:LockedField>
          </o:OLEObject>
        </w:object>
      </w:r>
    </w:p>
    <w:p w:rsidR="000550B0" w:rsidRDefault="000550B0" w:rsidP="00FE5D23">
      <w:pPr>
        <w:rPr>
          <w:b/>
          <w:szCs w:val="20"/>
          <w:lang w:val="pt-PT"/>
        </w:rPr>
      </w:pPr>
    </w:p>
    <w:p w:rsidR="00FE5D23" w:rsidRPr="00FA3856" w:rsidRDefault="00FE5D23" w:rsidP="00FE5D23">
      <w:pPr>
        <w:rPr>
          <w:b/>
          <w:szCs w:val="20"/>
          <w:lang w:val="pt-PT"/>
        </w:rPr>
      </w:pPr>
      <w:r w:rsidRPr="00FA3856">
        <w:rPr>
          <w:b/>
          <w:szCs w:val="20"/>
          <w:lang w:val="pt-PT"/>
        </w:rPr>
        <w:t>I – Regras de Validação do Registro:</w:t>
      </w:r>
    </w:p>
    <w:p w:rsidR="00FE5D23" w:rsidRPr="00FA3856" w:rsidRDefault="00FE5D23" w:rsidP="00FE5D23">
      <w:pPr>
        <w:rPr>
          <w:b/>
          <w:szCs w:val="20"/>
          <w:lang w:val="pt-PT"/>
        </w:rPr>
      </w:pPr>
    </w:p>
    <w:p w:rsidR="00FE5D23" w:rsidRPr="00FA3856" w:rsidRDefault="007D0E74" w:rsidP="00FE5D23">
      <w:pPr>
        <w:pStyle w:val="Corpodetexto"/>
        <w:ind w:left="708" w:firstLine="12"/>
        <w:rPr>
          <w:rFonts w:ascii="Times New Roman" w:hAnsi="Times New Roman"/>
          <w:szCs w:val="20"/>
        </w:rPr>
      </w:pPr>
      <w:hyperlink r:id="rId894" w:anchor="REGRA_OCORRENCIA_UNITARIA_ARQ" w:history="1">
        <w:r w:rsidR="00FE5D23" w:rsidRPr="00FA3856">
          <w:rPr>
            <w:rFonts w:ascii="Times New Roman" w:hAnsi="Times New Roman"/>
            <w:b/>
            <w:szCs w:val="20"/>
          </w:rPr>
          <w:t>REGRA_</w:t>
        </w:r>
      </w:hyperlink>
      <w:r w:rsidR="00FE5D23" w:rsidRPr="00FA3856">
        <w:rPr>
          <w:rFonts w:ascii="Times New Roman" w:hAnsi="Times New Roman"/>
          <w:b/>
          <w:szCs w:val="20"/>
        </w:rPr>
        <w:t>DUPLICIDADE_DESPREZADA</w:t>
      </w:r>
      <w:r w:rsidR="00FE5D23" w:rsidRPr="00FA3856">
        <w:rPr>
          <w:rFonts w:ascii="Times New Roman" w:hAnsi="Times New Roman"/>
          <w:color w:val="auto"/>
          <w:szCs w:val="20"/>
        </w:rPr>
        <w:t xml:space="preserve">: </w:t>
      </w:r>
      <w:r w:rsidR="00FE5D23" w:rsidRPr="00FA3856">
        <w:rPr>
          <w:rFonts w:ascii="Times New Roman" w:hAnsi="Times New Roman"/>
          <w:szCs w:val="20"/>
        </w:rPr>
        <w:t>Verifica se o registro já foi importado anteriormente, de acordo com a chave e os registros pais. Se a regra não for cumprida, a ECF gera um aviso.</w:t>
      </w:r>
    </w:p>
    <w:p w:rsidR="00FE5D23" w:rsidRPr="00FA3856" w:rsidRDefault="00FE5D23" w:rsidP="00FE5D23">
      <w:pPr>
        <w:pStyle w:val="Corpodetexto"/>
        <w:ind w:left="708" w:firstLine="12"/>
        <w:rPr>
          <w:rFonts w:ascii="Times New Roman" w:hAnsi="Times New Roman"/>
          <w:szCs w:val="20"/>
        </w:rPr>
      </w:pPr>
    </w:p>
    <w:p w:rsidR="00FE5D23" w:rsidRPr="00FA3856" w:rsidRDefault="007D0E74" w:rsidP="00FE5D23">
      <w:pPr>
        <w:pStyle w:val="Corpodetexto"/>
        <w:ind w:left="708" w:firstLine="12"/>
        <w:rPr>
          <w:rFonts w:ascii="Times New Roman" w:hAnsi="Times New Roman"/>
          <w:szCs w:val="20"/>
        </w:rPr>
      </w:pPr>
      <w:hyperlink r:id="rId895" w:anchor="REGRA_OCORRENCIA_UNITARIA_ARQ" w:history="1">
        <w:r w:rsidR="00FE5D23" w:rsidRPr="00FA3856">
          <w:rPr>
            <w:rFonts w:ascii="Times New Roman" w:hAnsi="Times New Roman"/>
            <w:b/>
            <w:szCs w:val="20"/>
          </w:rPr>
          <w:t>REGRA_</w:t>
        </w:r>
      </w:hyperlink>
      <w:r w:rsidR="00FE5D23" w:rsidRPr="00FA3856">
        <w:rPr>
          <w:rFonts w:ascii="Times New Roman" w:hAnsi="Times New Roman"/>
          <w:b/>
          <w:szCs w:val="20"/>
        </w:rPr>
        <w:t>LINHA_DESPREZADA</w:t>
      </w:r>
      <w:r w:rsidR="00FE5D23" w:rsidRPr="00FA3856">
        <w:rPr>
          <w:rFonts w:ascii="Times New Roman" w:hAnsi="Times New Roman"/>
          <w:color w:val="auto"/>
          <w:szCs w:val="20"/>
        </w:rPr>
        <w:t xml:space="preserve">: </w:t>
      </w:r>
      <w:r w:rsidR="00FE5D23" w:rsidRPr="00FA3856">
        <w:rPr>
          <w:rFonts w:ascii="Times New Roman" w:hAnsi="Times New Roman"/>
          <w:szCs w:val="20"/>
        </w:rPr>
        <w:t xml:space="preserve">Verifica se o registro existe na importação, mas não será importado por não existir na tabela dinâmica devido às configurações do bloco 0 ou da tabela dinâmica. </w:t>
      </w:r>
      <w:r w:rsidR="00E64C77" w:rsidRPr="00FA3856">
        <w:rPr>
          <w:rFonts w:ascii="Times New Roman" w:hAnsi="Times New Roman"/>
          <w:szCs w:val="20"/>
        </w:rPr>
        <w:t>Se a regra não for cumprida, a ECF gera um aviso.</w:t>
      </w:r>
    </w:p>
    <w:p w:rsidR="00FE5D23" w:rsidRPr="00FA3856" w:rsidRDefault="00FE5D23" w:rsidP="00FE5D23">
      <w:pPr>
        <w:pStyle w:val="Corpodetexto"/>
        <w:ind w:left="708" w:firstLine="12"/>
        <w:rPr>
          <w:rFonts w:ascii="Times New Roman" w:hAnsi="Times New Roman"/>
          <w:b/>
          <w:szCs w:val="20"/>
        </w:rPr>
      </w:pPr>
    </w:p>
    <w:p w:rsidR="00FE5D23" w:rsidRPr="00FA3856" w:rsidRDefault="007D0E74" w:rsidP="00FE5D23">
      <w:pPr>
        <w:pStyle w:val="Corpodetexto"/>
        <w:ind w:left="708" w:firstLine="12"/>
        <w:rPr>
          <w:rFonts w:ascii="Times New Roman" w:hAnsi="Times New Roman"/>
          <w:b/>
          <w:szCs w:val="20"/>
        </w:rPr>
      </w:pPr>
      <w:hyperlink r:id="rId896" w:anchor="REGRA_OCORRENCIA_UNITARIA_ARQ" w:history="1">
        <w:r w:rsidR="00FE5D23" w:rsidRPr="00FA3856">
          <w:rPr>
            <w:rFonts w:ascii="Times New Roman" w:hAnsi="Times New Roman"/>
            <w:b/>
            <w:szCs w:val="20"/>
          </w:rPr>
          <w:t>REGRA_</w:t>
        </w:r>
      </w:hyperlink>
      <w:r w:rsidR="00FE5D23" w:rsidRPr="00FA3856">
        <w:rPr>
          <w:rFonts w:ascii="Times New Roman" w:hAnsi="Times New Roman"/>
          <w:b/>
          <w:szCs w:val="20"/>
        </w:rPr>
        <w:t>LINHA_ATUALIZADA</w:t>
      </w:r>
      <w:r w:rsidR="00FE5D23" w:rsidRPr="00FA3856">
        <w:rPr>
          <w:rFonts w:ascii="Times New Roman" w:hAnsi="Times New Roman"/>
          <w:color w:val="auto"/>
          <w:szCs w:val="20"/>
        </w:rPr>
        <w:t xml:space="preserve">: </w:t>
      </w:r>
      <w:r w:rsidR="00FE5D23" w:rsidRPr="00FA3856">
        <w:rPr>
          <w:rFonts w:ascii="Times New Roman" w:hAnsi="Times New Roman"/>
          <w:szCs w:val="20"/>
        </w:rPr>
        <w:t xml:space="preserve">Verifica se o registro está desatualizado em relação à tabela da RFB. </w:t>
      </w:r>
      <w:r w:rsidR="00E64C77" w:rsidRPr="00FA3856">
        <w:rPr>
          <w:rFonts w:ascii="Times New Roman" w:hAnsi="Times New Roman"/>
          <w:szCs w:val="20"/>
        </w:rPr>
        <w:t>Se a regra não for cumprida, a ECF gera um aviso.</w:t>
      </w:r>
    </w:p>
    <w:p w:rsidR="00FE5D23" w:rsidRPr="00FA3856" w:rsidRDefault="00FE5D23" w:rsidP="00F25115">
      <w:pPr>
        <w:rPr>
          <w:b/>
          <w:szCs w:val="20"/>
        </w:rPr>
      </w:pPr>
    </w:p>
    <w:p w:rsidR="00D73F2C" w:rsidRPr="00FA3856" w:rsidRDefault="00D73F2C">
      <w:pPr>
        <w:rPr>
          <w:b/>
          <w:szCs w:val="20"/>
        </w:rPr>
      </w:pPr>
      <w:r w:rsidRPr="00FA3856">
        <w:rPr>
          <w:b/>
          <w:szCs w:val="20"/>
        </w:rPr>
        <w:br w:type="page"/>
      </w:r>
    </w:p>
    <w:p w:rsidR="006718D1" w:rsidRPr="00FA3856" w:rsidRDefault="00FE5D23" w:rsidP="00F25115">
      <w:pPr>
        <w:rPr>
          <w:b/>
          <w:szCs w:val="20"/>
        </w:rPr>
      </w:pPr>
      <w:r w:rsidRPr="00FA3856">
        <w:rPr>
          <w:b/>
          <w:szCs w:val="20"/>
        </w:rPr>
        <w:lastRenderedPageBreak/>
        <w:t>I</w:t>
      </w:r>
      <w:r w:rsidR="00F25115" w:rsidRPr="00FA3856">
        <w:rPr>
          <w:b/>
          <w:szCs w:val="20"/>
        </w:rPr>
        <w:t>I – Tabela Dinâmica:</w:t>
      </w:r>
      <w:r w:rsidR="006718D1" w:rsidRPr="00FA3856">
        <w:rPr>
          <w:b/>
          <w:szCs w:val="20"/>
        </w:rPr>
        <w:t xml:space="preserve"> </w:t>
      </w:r>
      <w:r w:rsidR="00D7606A" w:rsidRPr="00D7606A">
        <w:rPr>
          <w:b/>
          <w:szCs w:val="20"/>
        </w:rPr>
        <w:t>Y681 - Informações de Optantes pelo Refis (Lucro Real, Presumido e Arbitrado)</w:t>
      </w:r>
    </w:p>
    <w:p w:rsidR="00D5660B" w:rsidRPr="000550B0" w:rsidRDefault="00486CDA" w:rsidP="00C673C1">
      <w:pPr>
        <w:rPr>
          <w:b/>
          <w:szCs w:val="20"/>
        </w:rPr>
      </w:pPr>
      <w:r>
        <w:rPr>
          <w:b/>
          <w:szCs w:val="20"/>
        </w:rPr>
        <w:object w:dxaOrig="1534" w:dyaOrig="997">
          <v:shape id="_x0000_i1372" type="#_x0000_t75" style="width:76.5pt;height:49.5pt" o:ole="">
            <v:imagedata r:id="rId897" o:title=""/>
          </v:shape>
          <o:OLEObject Type="Link" ProgID="Excel.Sheet.12" ShapeID="_x0000_i1372" DrawAspect="Content" r:id="rId898" UpdateMode="OnCall">
            <o:LinkType>EnhancedMetaFile</o:LinkType>
            <o:LockedField>false</o:LockedField>
          </o:OLEObject>
        </w:object>
      </w:r>
    </w:p>
    <w:p w:rsidR="00D5660B" w:rsidRDefault="00D5660B" w:rsidP="00D5660B">
      <w:pPr>
        <w:pStyle w:val="Corpodetexto"/>
        <w:rPr>
          <w:rFonts w:ascii="Times New Roman" w:hAnsi="Times New Roman"/>
          <w:b/>
          <w:color w:val="002060"/>
          <w:szCs w:val="20"/>
        </w:rPr>
      </w:pPr>
      <w:r w:rsidRPr="00FA3856">
        <w:rPr>
          <w:rFonts w:ascii="Times New Roman" w:hAnsi="Times New Roman"/>
          <w:b/>
          <w:color w:val="002060"/>
          <w:szCs w:val="20"/>
        </w:rPr>
        <w:t xml:space="preserve">Exemplo de Preenchimento: </w:t>
      </w:r>
    </w:p>
    <w:p w:rsidR="000550B0" w:rsidRPr="00FA3856" w:rsidRDefault="000550B0" w:rsidP="00D5660B">
      <w:pPr>
        <w:pStyle w:val="Corpodetexto"/>
        <w:rPr>
          <w:rFonts w:ascii="Times New Roman" w:hAnsi="Times New Roman"/>
          <w:b/>
          <w:color w:val="002060"/>
          <w:szCs w:val="20"/>
        </w:rPr>
      </w:pPr>
    </w:p>
    <w:p w:rsidR="00D5660B" w:rsidRPr="00FA3856" w:rsidRDefault="00D5660B" w:rsidP="000550B0">
      <w:pPr>
        <w:pStyle w:val="Corpodetexto"/>
        <w:rPr>
          <w:rFonts w:ascii="Times New Roman" w:hAnsi="Times New Roman"/>
          <w:b/>
          <w:color w:val="002060"/>
          <w:szCs w:val="20"/>
        </w:rPr>
      </w:pPr>
      <w:r w:rsidRPr="00FA3856">
        <w:rPr>
          <w:rFonts w:ascii="Times New Roman" w:hAnsi="Times New Roman"/>
          <w:b/>
          <w:color w:val="002060"/>
          <w:szCs w:val="20"/>
        </w:rPr>
        <w:t>|</w:t>
      </w:r>
      <w:r w:rsidR="00AC6469" w:rsidRPr="00FA3856">
        <w:rPr>
          <w:rFonts w:ascii="Times New Roman" w:hAnsi="Times New Roman"/>
          <w:b/>
          <w:color w:val="002060"/>
          <w:szCs w:val="20"/>
        </w:rPr>
        <w:t>Y681|</w:t>
      </w:r>
      <w:r w:rsidRPr="00FA3856">
        <w:rPr>
          <w:rFonts w:ascii="Times New Roman" w:hAnsi="Times New Roman"/>
          <w:b/>
          <w:color w:val="002060"/>
          <w:szCs w:val="20"/>
        </w:rPr>
        <w:t>1|</w:t>
      </w:r>
      <w:r w:rsidR="00AC6469" w:rsidRPr="00FA3856">
        <w:rPr>
          <w:rFonts w:ascii="Times New Roman" w:hAnsi="Times New Roman"/>
          <w:b/>
          <w:color w:val="002060"/>
          <w:szCs w:val="20"/>
        </w:rPr>
        <w:t xml:space="preserve"> Receita da Venda de Produtos de Fabricação Própria|</w:t>
      </w:r>
      <w:r w:rsidRPr="00FA3856">
        <w:rPr>
          <w:rFonts w:ascii="Times New Roman" w:hAnsi="Times New Roman"/>
          <w:b/>
          <w:color w:val="002060"/>
          <w:szCs w:val="20"/>
        </w:rPr>
        <w:t>100000,00|</w:t>
      </w:r>
    </w:p>
    <w:p w:rsidR="00D5660B" w:rsidRPr="00FA3856" w:rsidRDefault="00AC6469" w:rsidP="000550B0">
      <w:pPr>
        <w:pStyle w:val="Corpodetexto"/>
        <w:ind w:firstLine="708"/>
        <w:rPr>
          <w:rFonts w:ascii="Times New Roman" w:hAnsi="Times New Roman"/>
          <w:color w:val="002060"/>
          <w:szCs w:val="20"/>
        </w:rPr>
      </w:pPr>
      <w:r w:rsidRPr="00FA3856">
        <w:rPr>
          <w:rFonts w:ascii="Times New Roman" w:hAnsi="Times New Roman"/>
          <w:color w:val="002060"/>
          <w:szCs w:val="20"/>
        </w:rPr>
        <w:t>|Y681</w:t>
      </w:r>
      <w:r w:rsidR="00D5660B" w:rsidRPr="00FA3856">
        <w:rPr>
          <w:rFonts w:ascii="Times New Roman" w:hAnsi="Times New Roman"/>
          <w:color w:val="002060"/>
          <w:szCs w:val="20"/>
        </w:rPr>
        <w:t>|: Identificação do tipo do registro.</w:t>
      </w:r>
    </w:p>
    <w:p w:rsidR="00D5660B" w:rsidRPr="00FA3856" w:rsidRDefault="00AC6469" w:rsidP="000550B0">
      <w:pPr>
        <w:pStyle w:val="Corpodetexto"/>
        <w:ind w:firstLine="708"/>
        <w:rPr>
          <w:rFonts w:ascii="Times New Roman" w:hAnsi="Times New Roman"/>
          <w:color w:val="002060"/>
          <w:szCs w:val="20"/>
        </w:rPr>
      </w:pPr>
      <w:r w:rsidRPr="00FA3856">
        <w:rPr>
          <w:rFonts w:ascii="Times New Roman" w:hAnsi="Times New Roman"/>
          <w:color w:val="002060"/>
          <w:szCs w:val="20"/>
        </w:rPr>
        <w:t>|</w:t>
      </w:r>
      <w:r w:rsidR="00D5660B" w:rsidRPr="00FA3856">
        <w:rPr>
          <w:rFonts w:ascii="Times New Roman" w:hAnsi="Times New Roman"/>
          <w:color w:val="002060"/>
          <w:szCs w:val="20"/>
        </w:rPr>
        <w:t xml:space="preserve">1|: </w:t>
      </w:r>
      <w:r w:rsidRPr="00FA3856">
        <w:rPr>
          <w:rFonts w:ascii="Times New Roman" w:hAnsi="Times New Roman"/>
          <w:color w:val="002060"/>
          <w:szCs w:val="20"/>
        </w:rPr>
        <w:t>Código da linha da tabela dinâmica.</w:t>
      </w:r>
    </w:p>
    <w:p w:rsidR="00AC6469" w:rsidRPr="00FA3856" w:rsidRDefault="00AC6469" w:rsidP="000550B0">
      <w:pPr>
        <w:pStyle w:val="Corpodetexto"/>
        <w:ind w:firstLine="708"/>
        <w:rPr>
          <w:rFonts w:ascii="Times New Roman" w:hAnsi="Times New Roman"/>
          <w:color w:val="002060"/>
          <w:szCs w:val="20"/>
        </w:rPr>
      </w:pPr>
      <w:r w:rsidRPr="00FA3856">
        <w:rPr>
          <w:rFonts w:ascii="Times New Roman" w:hAnsi="Times New Roman"/>
          <w:color w:val="002060"/>
          <w:szCs w:val="20"/>
        </w:rPr>
        <w:t>|Receita da Venda de Produtos de Fabricação Própria|: Descrição da linha da tabela dinâmica.</w:t>
      </w:r>
    </w:p>
    <w:p w:rsidR="00AC6469" w:rsidRPr="00FA3856" w:rsidRDefault="00AC6469" w:rsidP="000550B0">
      <w:pPr>
        <w:pStyle w:val="Corpodetexto"/>
        <w:ind w:firstLine="708"/>
        <w:rPr>
          <w:rFonts w:ascii="Times New Roman" w:hAnsi="Times New Roman"/>
          <w:color w:val="002060"/>
          <w:szCs w:val="20"/>
        </w:rPr>
      </w:pPr>
      <w:r w:rsidRPr="00FA3856">
        <w:rPr>
          <w:rFonts w:ascii="Times New Roman" w:hAnsi="Times New Roman"/>
          <w:color w:val="002060"/>
          <w:szCs w:val="20"/>
        </w:rPr>
        <w:t>|1000000,00|: Valor da linha da tabela dinâmica (R$ 10.0000,00).</w:t>
      </w:r>
    </w:p>
    <w:p w:rsidR="00D5660B" w:rsidRPr="00FA3856" w:rsidRDefault="00D5660B" w:rsidP="00C673C1">
      <w:pPr>
        <w:rPr>
          <w:szCs w:val="20"/>
        </w:rPr>
      </w:pPr>
    </w:p>
    <w:p w:rsidR="00AC6469" w:rsidRPr="00FA3856" w:rsidRDefault="00AC6469" w:rsidP="000550B0">
      <w:pPr>
        <w:pStyle w:val="Corpodetexto"/>
        <w:rPr>
          <w:rFonts w:ascii="Times New Roman" w:hAnsi="Times New Roman"/>
          <w:b/>
          <w:color w:val="002060"/>
          <w:szCs w:val="20"/>
        </w:rPr>
      </w:pPr>
      <w:r w:rsidRPr="00FA3856">
        <w:rPr>
          <w:rFonts w:ascii="Times New Roman" w:hAnsi="Times New Roman"/>
          <w:b/>
          <w:color w:val="002060"/>
          <w:szCs w:val="20"/>
        </w:rPr>
        <w:t>|Y681|2| Receita da Revenda de Mercadorias|100000,00|</w:t>
      </w:r>
    </w:p>
    <w:p w:rsidR="00AC6469" w:rsidRPr="00FA3856" w:rsidRDefault="00AC6469" w:rsidP="000550B0">
      <w:pPr>
        <w:pStyle w:val="Corpodetexto"/>
        <w:ind w:firstLine="708"/>
        <w:rPr>
          <w:rFonts w:ascii="Times New Roman" w:hAnsi="Times New Roman"/>
          <w:color w:val="002060"/>
          <w:szCs w:val="20"/>
        </w:rPr>
      </w:pPr>
      <w:r w:rsidRPr="00FA3856">
        <w:rPr>
          <w:rFonts w:ascii="Times New Roman" w:hAnsi="Times New Roman"/>
          <w:color w:val="002060"/>
          <w:szCs w:val="20"/>
        </w:rPr>
        <w:t>|Y681|: Identificação do tipo do registro.</w:t>
      </w:r>
    </w:p>
    <w:p w:rsidR="00AC6469" w:rsidRPr="00FA3856" w:rsidRDefault="00AC6469" w:rsidP="000550B0">
      <w:pPr>
        <w:pStyle w:val="Corpodetexto"/>
        <w:ind w:firstLine="708"/>
        <w:rPr>
          <w:rFonts w:ascii="Times New Roman" w:hAnsi="Times New Roman"/>
          <w:color w:val="002060"/>
          <w:szCs w:val="20"/>
        </w:rPr>
      </w:pPr>
      <w:r w:rsidRPr="00FA3856">
        <w:rPr>
          <w:rFonts w:ascii="Times New Roman" w:hAnsi="Times New Roman"/>
          <w:color w:val="002060"/>
          <w:szCs w:val="20"/>
        </w:rPr>
        <w:t>|2|: Código da linha da tabela dinâmica.</w:t>
      </w:r>
    </w:p>
    <w:p w:rsidR="00AC6469" w:rsidRPr="00FA3856" w:rsidRDefault="00AC6469" w:rsidP="000550B0">
      <w:pPr>
        <w:pStyle w:val="Corpodetexto"/>
        <w:ind w:firstLine="708"/>
        <w:rPr>
          <w:rFonts w:ascii="Times New Roman" w:hAnsi="Times New Roman"/>
          <w:color w:val="002060"/>
          <w:szCs w:val="20"/>
        </w:rPr>
      </w:pPr>
      <w:r w:rsidRPr="00FA3856">
        <w:rPr>
          <w:rFonts w:ascii="Times New Roman" w:hAnsi="Times New Roman"/>
          <w:color w:val="002060"/>
          <w:szCs w:val="20"/>
        </w:rPr>
        <w:t>|Receita da Revenda de Mercadorias|: Descrição da linha da tabela dinâmica.</w:t>
      </w:r>
    </w:p>
    <w:p w:rsidR="00AC6469" w:rsidRPr="00FA3856" w:rsidRDefault="00AC6469" w:rsidP="000550B0">
      <w:pPr>
        <w:pStyle w:val="Corpodetexto"/>
        <w:ind w:firstLine="708"/>
        <w:rPr>
          <w:rFonts w:ascii="Times New Roman" w:hAnsi="Times New Roman"/>
          <w:color w:val="002060"/>
          <w:szCs w:val="20"/>
        </w:rPr>
      </w:pPr>
      <w:r w:rsidRPr="00FA3856">
        <w:rPr>
          <w:rFonts w:ascii="Times New Roman" w:hAnsi="Times New Roman"/>
          <w:color w:val="002060"/>
          <w:szCs w:val="20"/>
        </w:rPr>
        <w:t>|1000000,00|: Valor da linha da tabela dinâmica (R$ 10.0000,00).</w:t>
      </w:r>
    </w:p>
    <w:p w:rsidR="00AC6469" w:rsidRPr="00FA3856" w:rsidRDefault="00AC6469" w:rsidP="00AC6469">
      <w:pPr>
        <w:pStyle w:val="Corpodetexto"/>
        <w:ind w:left="708" w:firstLine="708"/>
        <w:rPr>
          <w:rFonts w:ascii="Times New Roman" w:hAnsi="Times New Roman"/>
          <w:color w:val="002060"/>
          <w:szCs w:val="20"/>
        </w:rPr>
      </w:pPr>
    </w:p>
    <w:p w:rsidR="00AC6469" w:rsidRPr="00FA3856" w:rsidRDefault="00AC6469" w:rsidP="000550B0">
      <w:pPr>
        <w:pStyle w:val="Corpodetexto"/>
        <w:rPr>
          <w:rFonts w:ascii="Times New Roman" w:hAnsi="Times New Roman"/>
          <w:b/>
          <w:color w:val="002060"/>
          <w:szCs w:val="20"/>
        </w:rPr>
      </w:pPr>
      <w:r w:rsidRPr="00FA3856">
        <w:rPr>
          <w:rFonts w:ascii="Times New Roman" w:hAnsi="Times New Roman"/>
          <w:b/>
          <w:color w:val="002060"/>
          <w:szCs w:val="20"/>
        </w:rPr>
        <w:t>|Y681|3| Receita das Unidades Imobiliárias Vendidas|100000,00|</w:t>
      </w:r>
    </w:p>
    <w:p w:rsidR="00AC6469" w:rsidRPr="00FA3856" w:rsidRDefault="00AC6469" w:rsidP="000550B0">
      <w:pPr>
        <w:pStyle w:val="Corpodetexto"/>
        <w:ind w:firstLine="708"/>
        <w:rPr>
          <w:rFonts w:ascii="Times New Roman" w:hAnsi="Times New Roman"/>
          <w:color w:val="002060"/>
          <w:szCs w:val="20"/>
        </w:rPr>
      </w:pPr>
      <w:r w:rsidRPr="00FA3856">
        <w:rPr>
          <w:rFonts w:ascii="Times New Roman" w:hAnsi="Times New Roman"/>
          <w:color w:val="002060"/>
          <w:szCs w:val="20"/>
        </w:rPr>
        <w:t>|Y681|: Identificação do tipo do registro.</w:t>
      </w:r>
    </w:p>
    <w:p w:rsidR="00AC6469" w:rsidRPr="00FA3856" w:rsidRDefault="00AC6469" w:rsidP="000550B0">
      <w:pPr>
        <w:pStyle w:val="Corpodetexto"/>
        <w:ind w:firstLine="708"/>
        <w:rPr>
          <w:rFonts w:ascii="Times New Roman" w:hAnsi="Times New Roman"/>
          <w:color w:val="002060"/>
          <w:szCs w:val="20"/>
        </w:rPr>
      </w:pPr>
      <w:r w:rsidRPr="00FA3856">
        <w:rPr>
          <w:rFonts w:ascii="Times New Roman" w:hAnsi="Times New Roman"/>
          <w:color w:val="002060"/>
          <w:szCs w:val="20"/>
        </w:rPr>
        <w:t>|3|: Código da linha da tabela dinâmica.</w:t>
      </w:r>
    </w:p>
    <w:p w:rsidR="00AC6469" w:rsidRPr="00FA3856" w:rsidRDefault="00AC6469" w:rsidP="000550B0">
      <w:pPr>
        <w:pStyle w:val="Corpodetexto"/>
        <w:ind w:firstLine="708"/>
        <w:rPr>
          <w:rFonts w:ascii="Times New Roman" w:hAnsi="Times New Roman"/>
          <w:color w:val="002060"/>
          <w:szCs w:val="20"/>
        </w:rPr>
      </w:pPr>
      <w:r w:rsidRPr="00FA3856">
        <w:rPr>
          <w:rFonts w:ascii="Times New Roman" w:hAnsi="Times New Roman"/>
          <w:color w:val="002060"/>
          <w:szCs w:val="20"/>
        </w:rPr>
        <w:t>|Receita das Unidades Imobiliárias Vendidas|: Descrição da linha da tabela dinâmica.</w:t>
      </w:r>
    </w:p>
    <w:p w:rsidR="00AC6469" w:rsidRPr="00FA3856" w:rsidRDefault="00AC6469" w:rsidP="000550B0">
      <w:pPr>
        <w:pStyle w:val="Corpodetexto"/>
        <w:ind w:firstLine="708"/>
        <w:rPr>
          <w:rFonts w:ascii="Times New Roman" w:hAnsi="Times New Roman"/>
          <w:color w:val="002060"/>
          <w:szCs w:val="20"/>
        </w:rPr>
      </w:pPr>
      <w:r w:rsidRPr="00FA3856">
        <w:rPr>
          <w:rFonts w:ascii="Times New Roman" w:hAnsi="Times New Roman"/>
          <w:color w:val="002060"/>
          <w:szCs w:val="20"/>
        </w:rPr>
        <w:t>|1000000,00|: Valor da linha da tabela dinâmica (R$ 10.0000,00).</w:t>
      </w:r>
    </w:p>
    <w:p w:rsidR="00F25115" w:rsidRPr="00FA3856" w:rsidRDefault="00D5660B" w:rsidP="00867F54">
      <w:pPr>
        <w:pStyle w:val="Ttulo4"/>
      </w:pPr>
      <w:r w:rsidRPr="00FA3856">
        <w:br w:type="page"/>
      </w:r>
      <w:r w:rsidR="00F25115" w:rsidRPr="00FA3856">
        <w:lastRenderedPageBreak/>
        <w:t xml:space="preserve"> </w:t>
      </w:r>
      <w:bookmarkStart w:id="450" w:name="_Toc479713841"/>
      <w:r w:rsidR="00F25115" w:rsidRPr="00FA3856">
        <w:t>Registro Y682: Informações de Optantes pelo Refis – Imunes ou Isentas</w:t>
      </w:r>
      <w:bookmarkEnd w:id="450"/>
    </w:p>
    <w:p w:rsidR="00F25115" w:rsidRPr="00FA3856" w:rsidRDefault="00F25115" w:rsidP="00F25115">
      <w:pPr>
        <w:rPr>
          <w:szCs w:val="20"/>
        </w:rPr>
      </w:pPr>
    </w:p>
    <w:p w:rsidR="00991541" w:rsidRPr="00FA3856" w:rsidRDefault="00F25115" w:rsidP="00662A37">
      <w:pPr>
        <w:pStyle w:val="PSDS-CorpodeTexto0"/>
        <w:rPr>
          <w:rFonts w:ascii="Times New Roman" w:hAnsi="Times New Roman"/>
        </w:rPr>
      </w:pPr>
      <w:r w:rsidRPr="00FA3856">
        <w:rPr>
          <w:rFonts w:ascii="Times New Roman" w:hAnsi="Times New Roman"/>
        </w:rPr>
        <w:tab/>
      </w:r>
      <w:r w:rsidR="00662A37" w:rsidRPr="00FA3856">
        <w:rPr>
          <w:rFonts w:ascii="Times New Roman" w:hAnsi="Times New Roman"/>
        </w:rPr>
        <w:t>Este registro deve ser preenchido</w:t>
      </w:r>
      <w:r w:rsidR="00991541" w:rsidRPr="00FA3856">
        <w:rPr>
          <w:rFonts w:ascii="Times New Roman" w:hAnsi="Times New Roman"/>
        </w:rPr>
        <w:t xml:space="preserve"> pela pessoa jurídica imune ou isenta que optou pelo REFIS para os meses em que esteve submetida ao programa.</w:t>
      </w:r>
    </w:p>
    <w:p w:rsidR="00662A37" w:rsidRPr="00FA3856" w:rsidRDefault="00662A37" w:rsidP="00662A37">
      <w:pPr>
        <w:pStyle w:val="PSDS-CorpodeTexto0"/>
        <w:rPr>
          <w:rFonts w:ascii="Times New Roman" w:hAnsi="Times New Roman"/>
        </w:rPr>
      </w:pPr>
    </w:p>
    <w:p w:rsidR="00662A37" w:rsidRPr="00FA3856" w:rsidRDefault="005D549B" w:rsidP="00662A37">
      <w:pPr>
        <w:pStyle w:val="PSDS-CorpodeTexto0"/>
        <w:rPr>
          <w:rFonts w:ascii="Times New Roman" w:hAnsi="Times New Roman"/>
        </w:rPr>
      </w:pPr>
      <w:r w:rsidRPr="00FA3856">
        <w:rPr>
          <w:rFonts w:ascii="Times New Roman" w:hAnsi="Times New Roman"/>
        </w:rPr>
        <w:tab/>
        <w:t>No Y682.ACRES_PATR</w:t>
      </w:r>
      <w:r w:rsidR="00662A37" w:rsidRPr="00FA3856">
        <w:rPr>
          <w:rFonts w:ascii="Times New Roman" w:hAnsi="Times New Roman"/>
        </w:rPr>
        <w:t>, deve ser informado o somatório das receitas auferidas em cada mês, independentemente de sua natureza.</w:t>
      </w:r>
    </w:p>
    <w:p w:rsidR="00F25115" w:rsidRDefault="00991541" w:rsidP="000550B0">
      <w:pPr>
        <w:pStyle w:val="PSDS-CorpodeTexto0"/>
        <w:rPr>
          <w:rFonts w:ascii="Times New Roman" w:hAnsi="Times New Roman"/>
        </w:rPr>
      </w:pPr>
      <w:r w:rsidRPr="00FA3856">
        <w:rPr>
          <w:rFonts w:ascii="Times New Roman" w:hAnsi="Times New Roman"/>
        </w:rPr>
        <w:t> </w:t>
      </w:r>
    </w:p>
    <w:p w:rsidR="000550B0" w:rsidRPr="00FA3856" w:rsidRDefault="00B35FA3" w:rsidP="000550B0">
      <w:pPr>
        <w:pStyle w:val="PSDS-CorpodeTexto0"/>
        <w:jc w:val="center"/>
        <w:rPr>
          <w:color w:val="0000FF"/>
        </w:rPr>
      </w:pPr>
      <w:r>
        <w:rPr>
          <w:color w:val="0000FF"/>
        </w:rPr>
        <w:object w:dxaOrig="14835" w:dyaOrig="5715">
          <v:shape id="_x0000_i2103" type="#_x0000_t75" style="width:741.75pt;height:284.25pt" o:ole="">
            <v:imagedata r:id="rId899" o:title=""/>
          </v:shape>
          <o:OLEObject Type="Link" ProgID="Excel.Sheet.12" ShapeID="_x0000_i2103" DrawAspect="Content" r:id="rId900" UpdateMode="Always">
            <o:LinkType>EnhancedMetaFile</o:LinkType>
            <o:LockedField>false</o:LockedField>
          </o:OLEObject>
        </w:object>
      </w:r>
    </w:p>
    <w:p w:rsidR="000550B0" w:rsidRDefault="000550B0" w:rsidP="00083C1C">
      <w:pPr>
        <w:pStyle w:val="PSDS-MarcadoresNivel4"/>
        <w:tabs>
          <w:tab w:val="clear" w:pos="2271"/>
          <w:tab w:val="left" w:pos="720"/>
        </w:tabs>
        <w:spacing w:before="0" w:after="0"/>
        <w:ind w:left="0" w:firstLine="0"/>
        <w:rPr>
          <w:rFonts w:ascii="Times New Roman" w:hAnsi="Times New Roman" w:cs="Times New Roman"/>
          <w:szCs w:val="20"/>
          <w:lang w:val="pt-PT"/>
        </w:rPr>
      </w:pPr>
    </w:p>
    <w:p w:rsidR="00083C1C" w:rsidRPr="00FA3856" w:rsidRDefault="00083C1C" w:rsidP="00083C1C">
      <w:pPr>
        <w:pStyle w:val="PSDS-MarcadoresNivel4"/>
        <w:tabs>
          <w:tab w:val="clear" w:pos="2271"/>
          <w:tab w:val="left" w:pos="720"/>
        </w:tabs>
        <w:spacing w:before="0" w:after="0"/>
        <w:ind w:left="0" w:firstLine="0"/>
        <w:rPr>
          <w:rFonts w:ascii="Times New Roman" w:hAnsi="Times New Roman" w:cs="Times New Roman"/>
          <w:szCs w:val="20"/>
          <w:lang w:val="pt-PT"/>
        </w:rPr>
      </w:pPr>
      <w:r w:rsidRPr="00FA3856">
        <w:rPr>
          <w:rFonts w:ascii="Times New Roman" w:hAnsi="Times New Roman" w:cs="Times New Roman"/>
          <w:szCs w:val="20"/>
          <w:lang w:val="pt-PT"/>
        </w:rPr>
        <w:t>I – Regras de Validação de Campos:</w:t>
      </w:r>
    </w:p>
    <w:p w:rsidR="00083C1C" w:rsidRPr="00FA3856" w:rsidRDefault="00083C1C" w:rsidP="00083C1C">
      <w:pPr>
        <w:pStyle w:val="PSDS-MarcadoresNivel4"/>
        <w:tabs>
          <w:tab w:val="clear" w:pos="2271"/>
          <w:tab w:val="left" w:pos="720"/>
        </w:tabs>
        <w:spacing w:before="0" w:after="0"/>
        <w:ind w:left="0" w:firstLine="0"/>
        <w:rPr>
          <w:rFonts w:ascii="Times New Roman" w:hAnsi="Times New Roman" w:cs="Times New Roman"/>
          <w:szCs w:val="20"/>
          <w:lang w:val="pt-PT"/>
        </w:rPr>
      </w:pPr>
    </w:p>
    <w:tbl>
      <w:tblPr>
        <w:tblW w:w="16370"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85"/>
        <w:gridCol w:w="3000"/>
        <w:gridCol w:w="12168"/>
        <w:gridCol w:w="717"/>
      </w:tblGrid>
      <w:tr w:rsidR="00083C1C" w:rsidRPr="00FA3856" w:rsidTr="00BB2C36">
        <w:trPr>
          <w:tblHeader/>
          <w:jc w:val="center"/>
        </w:trPr>
        <w:tc>
          <w:tcPr>
            <w:tcW w:w="485" w:type="dxa"/>
            <w:tcBorders>
              <w:top w:val="single" w:sz="6" w:space="0" w:color="auto"/>
              <w:left w:val="single" w:sz="6" w:space="0" w:color="auto"/>
              <w:bottom w:val="single" w:sz="6" w:space="0" w:color="auto"/>
              <w:right w:val="single" w:sz="6" w:space="0" w:color="auto"/>
            </w:tcBorders>
            <w:shd w:val="pct10" w:color="auto" w:fill="FFFFFF"/>
          </w:tcPr>
          <w:p w:rsidR="00083C1C" w:rsidRPr="00FA3856" w:rsidRDefault="00083C1C" w:rsidP="00083C1C">
            <w:pPr>
              <w:pStyle w:val="PSDS-CorpodeTexto0"/>
              <w:jc w:val="center"/>
              <w:rPr>
                <w:rFonts w:ascii="Times New Roman" w:hAnsi="Times New Roman"/>
                <w:b/>
                <w:bCs/>
              </w:rPr>
            </w:pPr>
            <w:r w:rsidRPr="00FA3856">
              <w:rPr>
                <w:rFonts w:ascii="Times New Roman" w:hAnsi="Times New Roman"/>
                <w:b/>
                <w:bCs/>
              </w:rPr>
              <w:t>Nº</w:t>
            </w:r>
          </w:p>
        </w:tc>
        <w:tc>
          <w:tcPr>
            <w:tcW w:w="3000" w:type="dxa"/>
            <w:tcBorders>
              <w:top w:val="single" w:sz="6" w:space="0" w:color="auto"/>
              <w:left w:val="single" w:sz="6" w:space="0" w:color="auto"/>
              <w:bottom w:val="single" w:sz="6" w:space="0" w:color="auto"/>
              <w:right w:val="single" w:sz="6" w:space="0" w:color="auto"/>
            </w:tcBorders>
            <w:shd w:val="pct10" w:color="auto" w:fill="FFFFFF"/>
          </w:tcPr>
          <w:p w:rsidR="00083C1C" w:rsidRPr="00FA3856" w:rsidRDefault="00083C1C" w:rsidP="00083C1C">
            <w:pPr>
              <w:pStyle w:val="PSDS-CorpodeTexto0"/>
              <w:jc w:val="center"/>
              <w:rPr>
                <w:rFonts w:ascii="Times New Roman" w:hAnsi="Times New Roman"/>
                <w:b/>
                <w:bCs/>
              </w:rPr>
            </w:pPr>
            <w:r w:rsidRPr="00FA3856">
              <w:rPr>
                <w:rFonts w:ascii="Times New Roman" w:hAnsi="Times New Roman"/>
                <w:b/>
                <w:bCs/>
              </w:rPr>
              <w:t>Campo</w:t>
            </w:r>
          </w:p>
        </w:tc>
        <w:tc>
          <w:tcPr>
            <w:tcW w:w="12168" w:type="dxa"/>
            <w:tcBorders>
              <w:top w:val="single" w:sz="6" w:space="0" w:color="auto"/>
              <w:left w:val="single" w:sz="6" w:space="0" w:color="auto"/>
              <w:bottom w:val="single" w:sz="6" w:space="0" w:color="auto"/>
              <w:right w:val="single" w:sz="6" w:space="0" w:color="auto"/>
            </w:tcBorders>
            <w:shd w:val="pct10" w:color="auto" w:fill="FFFFFF"/>
          </w:tcPr>
          <w:p w:rsidR="00083C1C" w:rsidRPr="00FA3856" w:rsidRDefault="00083C1C" w:rsidP="00083C1C">
            <w:pPr>
              <w:pStyle w:val="PSDS-CorpodeTexto0"/>
              <w:jc w:val="center"/>
              <w:rPr>
                <w:rFonts w:ascii="Times New Roman" w:hAnsi="Times New Roman"/>
                <w:b/>
                <w:bCs/>
              </w:rPr>
            </w:pPr>
            <w:r w:rsidRPr="00FA3856">
              <w:rPr>
                <w:rFonts w:ascii="Times New Roman" w:hAnsi="Times New Roman"/>
                <w:b/>
                <w:bCs/>
              </w:rPr>
              <w:t>Regras de Validação do Campo</w:t>
            </w:r>
          </w:p>
        </w:tc>
        <w:tc>
          <w:tcPr>
            <w:tcW w:w="717" w:type="dxa"/>
            <w:tcBorders>
              <w:top w:val="single" w:sz="6" w:space="0" w:color="auto"/>
              <w:left w:val="single" w:sz="6" w:space="0" w:color="auto"/>
              <w:bottom w:val="single" w:sz="6" w:space="0" w:color="auto"/>
              <w:right w:val="single" w:sz="6" w:space="0" w:color="auto"/>
            </w:tcBorders>
            <w:shd w:val="pct10" w:color="auto" w:fill="FFFFFF"/>
          </w:tcPr>
          <w:p w:rsidR="00083C1C" w:rsidRPr="00FA3856" w:rsidRDefault="00083C1C" w:rsidP="00083C1C">
            <w:pPr>
              <w:pStyle w:val="PSDS-CorpodeTexto0"/>
              <w:jc w:val="center"/>
              <w:rPr>
                <w:rFonts w:ascii="Times New Roman" w:hAnsi="Times New Roman"/>
                <w:b/>
                <w:bCs/>
              </w:rPr>
            </w:pPr>
            <w:r w:rsidRPr="00FA3856">
              <w:rPr>
                <w:rFonts w:ascii="Times New Roman" w:hAnsi="Times New Roman"/>
                <w:b/>
                <w:bCs/>
              </w:rPr>
              <w:t>Tipo</w:t>
            </w:r>
          </w:p>
        </w:tc>
      </w:tr>
      <w:tr w:rsidR="00083C1C" w:rsidRPr="00FA3856" w:rsidTr="00BB2C36">
        <w:trPr>
          <w:jc w:val="center"/>
        </w:trPr>
        <w:tc>
          <w:tcPr>
            <w:tcW w:w="485" w:type="dxa"/>
            <w:tcBorders>
              <w:top w:val="single" w:sz="6" w:space="0" w:color="auto"/>
              <w:left w:val="single" w:sz="6" w:space="0" w:color="auto"/>
              <w:bottom w:val="single" w:sz="6" w:space="0" w:color="auto"/>
              <w:right w:val="single" w:sz="6" w:space="0" w:color="auto"/>
            </w:tcBorders>
          </w:tcPr>
          <w:p w:rsidR="00083C1C" w:rsidRPr="00FA3856" w:rsidRDefault="00083C1C" w:rsidP="00083C1C">
            <w:pPr>
              <w:pStyle w:val="PSDS-CorpodeTexto0"/>
              <w:suppressAutoHyphens w:val="0"/>
              <w:rPr>
                <w:rFonts w:ascii="Times New Roman" w:hAnsi="Times New Roman"/>
                <w:b/>
                <w:bCs/>
                <w:lang w:val="pt-PT"/>
              </w:rPr>
            </w:pPr>
            <w:r w:rsidRPr="00FA3856">
              <w:rPr>
                <w:rFonts w:ascii="Times New Roman" w:hAnsi="Times New Roman"/>
                <w:b/>
                <w:bCs/>
                <w:lang w:val="pt-PT"/>
              </w:rPr>
              <w:t>2</w:t>
            </w:r>
          </w:p>
        </w:tc>
        <w:tc>
          <w:tcPr>
            <w:tcW w:w="3000" w:type="dxa"/>
            <w:tcBorders>
              <w:top w:val="single" w:sz="6" w:space="0" w:color="auto"/>
              <w:left w:val="single" w:sz="6" w:space="0" w:color="auto"/>
              <w:bottom w:val="single" w:sz="6" w:space="0" w:color="auto"/>
              <w:right w:val="single" w:sz="6" w:space="0" w:color="auto"/>
            </w:tcBorders>
          </w:tcPr>
          <w:p w:rsidR="00083C1C" w:rsidRPr="00FA3856" w:rsidRDefault="00083C1C" w:rsidP="00083C1C">
            <w:pPr>
              <w:pStyle w:val="PSDS-CorpodeTexto0"/>
              <w:rPr>
                <w:rFonts w:ascii="Times New Roman" w:hAnsi="Times New Roman"/>
                <w:lang w:val="pt-PT"/>
              </w:rPr>
            </w:pPr>
            <w:r w:rsidRPr="00FA3856">
              <w:rPr>
                <w:rFonts w:ascii="Times New Roman" w:hAnsi="Times New Roman"/>
                <w:lang w:val="pt-PT"/>
              </w:rPr>
              <w:t>MES</w:t>
            </w:r>
          </w:p>
        </w:tc>
        <w:tc>
          <w:tcPr>
            <w:tcW w:w="12168" w:type="dxa"/>
            <w:tcBorders>
              <w:top w:val="single" w:sz="6" w:space="0" w:color="auto"/>
              <w:left w:val="single" w:sz="6" w:space="0" w:color="auto"/>
              <w:bottom w:val="single" w:sz="6" w:space="0" w:color="auto"/>
              <w:right w:val="single" w:sz="6" w:space="0" w:color="auto"/>
            </w:tcBorders>
          </w:tcPr>
          <w:p w:rsidR="00083C1C" w:rsidRPr="00FA3856" w:rsidRDefault="00083C1C" w:rsidP="00083C1C">
            <w:pPr>
              <w:pStyle w:val="PSDS-CorpodeTexto0"/>
              <w:jc w:val="both"/>
              <w:rPr>
                <w:rFonts w:ascii="Times New Roman" w:eastAsia="Arial Unicode MS" w:hAnsi="Times New Roman"/>
                <w:lang w:val="pt-PT"/>
              </w:rPr>
            </w:pPr>
            <w:r w:rsidRPr="00FA3856">
              <w:rPr>
                <w:rFonts w:ascii="Times New Roman" w:eastAsia="Arial Unicode MS" w:hAnsi="Times New Roman"/>
                <w:b/>
                <w:lang w:val="pt-PT"/>
              </w:rPr>
              <w:t xml:space="preserve">REGRA_MES_FORA_PERIODO: </w:t>
            </w:r>
            <w:r w:rsidR="00516F95" w:rsidRPr="00FA3856">
              <w:rPr>
                <w:rFonts w:ascii="Times New Roman" w:eastAsia="Arial Unicode MS" w:hAnsi="Times New Roman"/>
                <w:lang w:val="pt-PT"/>
              </w:rPr>
              <w:t>Verifica se Y682.MES e</w:t>
            </w:r>
            <w:r w:rsidRPr="00FA3856">
              <w:rPr>
                <w:rFonts w:ascii="Times New Roman" w:eastAsia="Arial Unicode MS" w:hAnsi="Times New Roman"/>
                <w:lang w:val="pt-PT"/>
              </w:rPr>
              <w:t>stá compreendido no período informado entre 0000.DT</w:t>
            </w:r>
            <w:r w:rsidR="005D549B" w:rsidRPr="00FA3856">
              <w:rPr>
                <w:rFonts w:ascii="Times New Roman" w:eastAsia="Arial Unicode MS" w:hAnsi="Times New Roman"/>
                <w:lang w:val="pt-PT"/>
              </w:rPr>
              <w:t>_INI e 0000.DT_FIN</w:t>
            </w:r>
            <w:r w:rsidRPr="00FA3856">
              <w:rPr>
                <w:rFonts w:ascii="Times New Roman" w:eastAsia="Arial Unicode MS" w:hAnsi="Times New Roman"/>
                <w:lang w:val="pt-PT"/>
              </w:rPr>
              <w:t xml:space="preserve">. </w:t>
            </w:r>
          </w:p>
          <w:p w:rsidR="00516F95" w:rsidRPr="00FA3856" w:rsidRDefault="00516F95" w:rsidP="00083C1C">
            <w:pPr>
              <w:pStyle w:val="PSDS-CorpodeTexto0"/>
              <w:jc w:val="both"/>
              <w:rPr>
                <w:rFonts w:ascii="Times New Roman" w:hAnsi="Times New Roman"/>
                <w:b/>
              </w:rPr>
            </w:pPr>
          </w:p>
        </w:tc>
        <w:tc>
          <w:tcPr>
            <w:tcW w:w="717" w:type="dxa"/>
            <w:tcBorders>
              <w:top w:val="single" w:sz="6" w:space="0" w:color="auto"/>
              <w:left w:val="single" w:sz="6" w:space="0" w:color="auto"/>
              <w:bottom w:val="single" w:sz="6" w:space="0" w:color="auto"/>
              <w:right w:val="single" w:sz="6" w:space="0" w:color="auto"/>
            </w:tcBorders>
          </w:tcPr>
          <w:p w:rsidR="00083C1C" w:rsidRPr="00FA3856" w:rsidRDefault="00083C1C" w:rsidP="00083C1C">
            <w:pPr>
              <w:pStyle w:val="PSDS-CorpodeTexto0"/>
              <w:rPr>
                <w:rFonts w:ascii="Times New Roman" w:hAnsi="Times New Roman"/>
                <w:lang w:val="pt-PT"/>
              </w:rPr>
            </w:pPr>
            <w:r w:rsidRPr="00FA3856">
              <w:rPr>
                <w:rFonts w:ascii="Times New Roman" w:hAnsi="Times New Roman"/>
                <w:lang w:val="pt-PT"/>
              </w:rPr>
              <w:t>Erro</w:t>
            </w:r>
          </w:p>
        </w:tc>
      </w:tr>
    </w:tbl>
    <w:p w:rsidR="00662A37" w:rsidRPr="00FA3856" w:rsidRDefault="00662A37">
      <w:pPr>
        <w:rPr>
          <w:color w:val="0000FF"/>
          <w:szCs w:val="20"/>
        </w:rPr>
      </w:pPr>
    </w:p>
    <w:p w:rsidR="000550B0" w:rsidRDefault="000550B0">
      <w:pPr>
        <w:spacing w:after="200" w:line="276" w:lineRule="auto"/>
        <w:rPr>
          <w:b/>
          <w:color w:val="002060"/>
          <w:szCs w:val="20"/>
          <w:lang w:eastAsia="ar-SA"/>
        </w:rPr>
      </w:pPr>
      <w:r>
        <w:rPr>
          <w:b/>
          <w:color w:val="002060"/>
          <w:szCs w:val="20"/>
        </w:rPr>
        <w:br w:type="page"/>
      </w:r>
    </w:p>
    <w:p w:rsidR="00662A37" w:rsidRPr="00FA3856" w:rsidRDefault="00662A37" w:rsidP="00662A37">
      <w:pPr>
        <w:pStyle w:val="Corpodetexto"/>
        <w:rPr>
          <w:rFonts w:ascii="Times New Roman" w:hAnsi="Times New Roman"/>
          <w:b/>
          <w:color w:val="002060"/>
          <w:szCs w:val="20"/>
        </w:rPr>
      </w:pPr>
      <w:r w:rsidRPr="00FA3856">
        <w:rPr>
          <w:rFonts w:ascii="Times New Roman" w:hAnsi="Times New Roman"/>
          <w:b/>
          <w:color w:val="002060"/>
          <w:szCs w:val="20"/>
        </w:rPr>
        <w:lastRenderedPageBreak/>
        <w:t xml:space="preserve">Exemplo de Preenchimento: </w:t>
      </w:r>
    </w:p>
    <w:p w:rsidR="000550B0" w:rsidRDefault="000550B0" w:rsidP="000550B0">
      <w:pPr>
        <w:pStyle w:val="Corpodetexto"/>
        <w:rPr>
          <w:rFonts w:ascii="Times New Roman" w:hAnsi="Times New Roman"/>
          <w:b/>
          <w:color w:val="002060"/>
          <w:szCs w:val="20"/>
        </w:rPr>
      </w:pPr>
    </w:p>
    <w:p w:rsidR="00662A37" w:rsidRPr="00FA3856" w:rsidRDefault="00662A37" w:rsidP="000550B0">
      <w:pPr>
        <w:pStyle w:val="Corpodetexto"/>
        <w:rPr>
          <w:rFonts w:ascii="Times New Roman" w:hAnsi="Times New Roman"/>
          <w:b/>
          <w:color w:val="002060"/>
          <w:szCs w:val="20"/>
        </w:rPr>
      </w:pPr>
      <w:r w:rsidRPr="00FA3856">
        <w:rPr>
          <w:rFonts w:ascii="Times New Roman" w:hAnsi="Times New Roman"/>
          <w:b/>
          <w:color w:val="002060"/>
          <w:szCs w:val="20"/>
        </w:rPr>
        <w:t>|Y682|01|100000,00|</w:t>
      </w:r>
    </w:p>
    <w:p w:rsidR="00662A37" w:rsidRPr="00FA3856" w:rsidRDefault="00662A37" w:rsidP="000550B0">
      <w:pPr>
        <w:pStyle w:val="Corpodetexto"/>
        <w:ind w:firstLine="708"/>
        <w:rPr>
          <w:rFonts w:ascii="Times New Roman" w:hAnsi="Times New Roman"/>
          <w:color w:val="002060"/>
          <w:szCs w:val="20"/>
        </w:rPr>
      </w:pPr>
      <w:r w:rsidRPr="00FA3856">
        <w:rPr>
          <w:rFonts w:ascii="Times New Roman" w:hAnsi="Times New Roman"/>
          <w:color w:val="002060"/>
          <w:szCs w:val="20"/>
        </w:rPr>
        <w:t>|Y682|: Identificação do tipo do registro.</w:t>
      </w:r>
    </w:p>
    <w:p w:rsidR="00662A37" w:rsidRPr="00FA3856" w:rsidRDefault="00662A37" w:rsidP="000550B0">
      <w:pPr>
        <w:pStyle w:val="Corpodetexto"/>
        <w:ind w:firstLine="708"/>
        <w:rPr>
          <w:rFonts w:ascii="Times New Roman" w:hAnsi="Times New Roman"/>
          <w:color w:val="002060"/>
          <w:szCs w:val="20"/>
        </w:rPr>
      </w:pPr>
      <w:r w:rsidRPr="00FA3856">
        <w:rPr>
          <w:rFonts w:ascii="Times New Roman" w:hAnsi="Times New Roman"/>
          <w:color w:val="002060"/>
          <w:szCs w:val="20"/>
        </w:rPr>
        <w:t>|01|: Identificação do mês (janeiro).</w:t>
      </w:r>
    </w:p>
    <w:p w:rsidR="00662A37" w:rsidRPr="00FA3856" w:rsidRDefault="00662A37" w:rsidP="000550B0">
      <w:pPr>
        <w:pStyle w:val="Corpodetexto"/>
        <w:ind w:firstLine="708"/>
        <w:rPr>
          <w:rFonts w:ascii="Times New Roman" w:hAnsi="Times New Roman"/>
          <w:color w:val="002060"/>
          <w:szCs w:val="20"/>
        </w:rPr>
      </w:pPr>
      <w:r w:rsidRPr="00FA3856">
        <w:rPr>
          <w:rFonts w:ascii="Times New Roman" w:hAnsi="Times New Roman"/>
          <w:color w:val="002060"/>
          <w:szCs w:val="20"/>
        </w:rPr>
        <w:t xml:space="preserve">|100000,00|: Acréscimo patrimonial </w:t>
      </w:r>
      <w:r w:rsidR="006718D1" w:rsidRPr="00FA3856">
        <w:rPr>
          <w:rFonts w:ascii="Times New Roman" w:hAnsi="Times New Roman"/>
          <w:color w:val="002060"/>
          <w:szCs w:val="20"/>
        </w:rPr>
        <w:t xml:space="preserve">no </w:t>
      </w:r>
      <w:r w:rsidRPr="00FA3856">
        <w:rPr>
          <w:rFonts w:ascii="Times New Roman" w:hAnsi="Times New Roman"/>
          <w:color w:val="002060"/>
          <w:szCs w:val="20"/>
        </w:rPr>
        <w:t>mês de janeiro (R$ 100.000,00).</w:t>
      </w:r>
    </w:p>
    <w:p w:rsidR="00662A37" w:rsidRPr="00FA3856" w:rsidRDefault="00662A37" w:rsidP="00662A37">
      <w:pPr>
        <w:pStyle w:val="Corpodetexto"/>
        <w:ind w:left="708" w:firstLine="708"/>
        <w:rPr>
          <w:rFonts w:ascii="Times New Roman" w:hAnsi="Times New Roman"/>
          <w:color w:val="002060"/>
          <w:szCs w:val="20"/>
        </w:rPr>
      </w:pPr>
    </w:p>
    <w:p w:rsidR="00662A37" w:rsidRPr="00FA3856" w:rsidRDefault="00662A37" w:rsidP="000550B0">
      <w:pPr>
        <w:pStyle w:val="Corpodetexto"/>
        <w:rPr>
          <w:rFonts w:ascii="Times New Roman" w:hAnsi="Times New Roman"/>
          <w:b/>
          <w:color w:val="002060"/>
          <w:szCs w:val="20"/>
        </w:rPr>
      </w:pPr>
      <w:r w:rsidRPr="00FA3856">
        <w:rPr>
          <w:rFonts w:ascii="Times New Roman" w:hAnsi="Times New Roman"/>
          <w:b/>
          <w:color w:val="002060"/>
          <w:szCs w:val="20"/>
        </w:rPr>
        <w:t>|Y682|02|200000,00|</w:t>
      </w:r>
    </w:p>
    <w:p w:rsidR="00662A37" w:rsidRPr="00FA3856" w:rsidRDefault="006718D1" w:rsidP="000550B0">
      <w:pPr>
        <w:pStyle w:val="Corpodetexto"/>
        <w:ind w:firstLine="708"/>
        <w:rPr>
          <w:rFonts w:ascii="Times New Roman" w:hAnsi="Times New Roman"/>
          <w:color w:val="002060"/>
          <w:szCs w:val="20"/>
        </w:rPr>
      </w:pPr>
      <w:r w:rsidRPr="00FA3856">
        <w:rPr>
          <w:rFonts w:ascii="Times New Roman" w:hAnsi="Times New Roman"/>
          <w:color w:val="002060"/>
          <w:szCs w:val="20"/>
        </w:rPr>
        <w:t xml:space="preserve">|Y682|: </w:t>
      </w:r>
      <w:r w:rsidR="00662A37" w:rsidRPr="00FA3856">
        <w:rPr>
          <w:rFonts w:ascii="Times New Roman" w:hAnsi="Times New Roman"/>
          <w:color w:val="002060"/>
          <w:szCs w:val="20"/>
        </w:rPr>
        <w:t>Identificação do tipo do registro.</w:t>
      </w:r>
    </w:p>
    <w:p w:rsidR="00662A37" w:rsidRPr="00FA3856" w:rsidRDefault="00662A37" w:rsidP="000550B0">
      <w:pPr>
        <w:pStyle w:val="Corpodetexto"/>
        <w:ind w:firstLine="708"/>
        <w:rPr>
          <w:rFonts w:ascii="Times New Roman" w:hAnsi="Times New Roman"/>
          <w:color w:val="002060"/>
          <w:szCs w:val="20"/>
        </w:rPr>
      </w:pPr>
      <w:r w:rsidRPr="00FA3856">
        <w:rPr>
          <w:rFonts w:ascii="Times New Roman" w:hAnsi="Times New Roman"/>
          <w:color w:val="002060"/>
          <w:szCs w:val="20"/>
        </w:rPr>
        <w:t>|02|: Identificação do mês (fevereiro).</w:t>
      </w:r>
    </w:p>
    <w:p w:rsidR="00662A37" w:rsidRPr="00FA3856" w:rsidRDefault="00662A37" w:rsidP="000550B0">
      <w:pPr>
        <w:pStyle w:val="Corpodetexto"/>
        <w:ind w:firstLine="708"/>
        <w:rPr>
          <w:rFonts w:ascii="Times New Roman" w:hAnsi="Times New Roman"/>
          <w:color w:val="002060"/>
          <w:szCs w:val="20"/>
        </w:rPr>
      </w:pPr>
      <w:r w:rsidRPr="00FA3856">
        <w:rPr>
          <w:rFonts w:ascii="Times New Roman" w:hAnsi="Times New Roman"/>
          <w:color w:val="002060"/>
          <w:szCs w:val="20"/>
        </w:rPr>
        <w:t xml:space="preserve">|200000,00|: </w:t>
      </w:r>
      <w:r w:rsidR="006718D1" w:rsidRPr="00FA3856">
        <w:rPr>
          <w:rFonts w:ascii="Times New Roman" w:hAnsi="Times New Roman"/>
          <w:color w:val="002060"/>
          <w:szCs w:val="20"/>
        </w:rPr>
        <w:t xml:space="preserve">Acréscimo patrimonial no </w:t>
      </w:r>
      <w:r w:rsidRPr="00FA3856">
        <w:rPr>
          <w:rFonts w:ascii="Times New Roman" w:hAnsi="Times New Roman"/>
          <w:color w:val="002060"/>
          <w:szCs w:val="20"/>
        </w:rPr>
        <w:t>mês de fevereiro (R$ 200.000,00).</w:t>
      </w:r>
    </w:p>
    <w:p w:rsidR="00662A37" w:rsidRPr="00FA3856" w:rsidRDefault="00662A37" w:rsidP="00662A37">
      <w:pPr>
        <w:pStyle w:val="Corpodetexto"/>
        <w:ind w:left="708" w:firstLine="708"/>
        <w:rPr>
          <w:rFonts w:ascii="Times New Roman" w:hAnsi="Times New Roman"/>
          <w:color w:val="002060"/>
          <w:szCs w:val="20"/>
        </w:rPr>
      </w:pPr>
    </w:p>
    <w:p w:rsidR="00662A37" w:rsidRPr="00FA3856" w:rsidRDefault="00662A37" w:rsidP="000550B0">
      <w:pPr>
        <w:pStyle w:val="Corpodetexto"/>
        <w:rPr>
          <w:rFonts w:ascii="Times New Roman" w:hAnsi="Times New Roman"/>
          <w:b/>
          <w:color w:val="002060"/>
          <w:szCs w:val="20"/>
        </w:rPr>
      </w:pPr>
      <w:r w:rsidRPr="00FA3856">
        <w:rPr>
          <w:rFonts w:ascii="Times New Roman" w:hAnsi="Times New Roman"/>
          <w:b/>
          <w:color w:val="002060"/>
          <w:szCs w:val="20"/>
        </w:rPr>
        <w:t>|Y682|03|111123,04|</w:t>
      </w:r>
    </w:p>
    <w:p w:rsidR="00662A37" w:rsidRPr="00FA3856" w:rsidRDefault="006718D1" w:rsidP="000550B0">
      <w:pPr>
        <w:pStyle w:val="Corpodetexto"/>
        <w:ind w:firstLine="708"/>
        <w:rPr>
          <w:rFonts w:ascii="Times New Roman" w:hAnsi="Times New Roman"/>
          <w:color w:val="002060"/>
          <w:szCs w:val="20"/>
        </w:rPr>
      </w:pPr>
      <w:r w:rsidRPr="00FA3856">
        <w:rPr>
          <w:rFonts w:ascii="Times New Roman" w:hAnsi="Times New Roman"/>
          <w:color w:val="002060"/>
          <w:szCs w:val="20"/>
        </w:rPr>
        <w:t>|Y682|:</w:t>
      </w:r>
      <w:r w:rsidR="00662A37" w:rsidRPr="00FA3856">
        <w:rPr>
          <w:rFonts w:ascii="Times New Roman" w:hAnsi="Times New Roman"/>
          <w:color w:val="002060"/>
          <w:szCs w:val="20"/>
        </w:rPr>
        <w:t xml:space="preserve"> Identificação do tipo do registro.</w:t>
      </w:r>
    </w:p>
    <w:p w:rsidR="00662A37" w:rsidRPr="00FA3856" w:rsidRDefault="00662A37" w:rsidP="000550B0">
      <w:pPr>
        <w:pStyle w:val="Corpodetexto"/>
        <w:ind w:firstLine="708"/>
        <w:rPr>
          <w:rFonts w:ascii="Times New Roman" w:hAnsi="Times New Roman"/>
          <w:color w:val="002060"/>
          <w:szCs w:val="20"/>
        </w:rPr>
      </w:pPr>
      <w:r w:rsidRPr="00FA3856">
        <w:rPr>
          <w:rFonts w:ascii="Times New Roman" w:hAnsi="Times New Roman"/>
          <w:color w:val="002060"/>
          <w:szCs w:val="20"/>
        </w:rPr>
        <w:t>|03|: Identificação do mês (março).</w:t>
      </w:r>
    </w:p>
    <w:p w:rsidR="00662A37" w:rsidRPr="00FA3856" w:rsidRDefault="00662A37" w:rsidP="000550B0">
      <w:pPr>
        <w:pStyle w:val="Corpodetexto"/>
        <w:ind w:firstLine="708"/>
        <w:rPr>
          <w:rFonts w:ascii="Times New Roman" w:hAnsi="Times New Roman"/>
          <w:color w:val="002060"/>
          <w:szCs w:val="20"/>
        </w:rPr>
      </w:pPr>
      <w:r w:rsidRPr="00FA3856">
        <w:rPr>
          <w:rFonts w:ascii="Times New Roman" w:hAnsi="Times New Roman"/>
          <w:color w:val="002060"/>
          <w:szCs w:val="20"/>
        </w:rPr>
        <w:t xml:space="preserve">|111123,04|: </w:t>
      </w:r>
      <w:r w:rsidR="006718D1" w:rsidRPr="00FA3856">
        <w:rPr>
          <w:rFonts w:ascii="Times New Roman" w:hAnsi="Times New Roman"/>
          <w:color w:val="002060"/>
          <w:szCs w:val="20"/>
        </w:rPr>
        <w:t xml:space="preserve">Acréscimo patrimonial no </w:t>
      </w:r>
      <w:r w:rsidRPr="00FA3856">
        <w:rPr>
          <w:rFonts w:ascii="Times New Roman" w:hAnsi="Times New Roman"/>
          <w:color w:val="002060"/>
          <w:szCs w:val="20"/>
        </w:rPr>
        <w:t>mês de março (R$ 111.123,04).</w:t>
      </w:r>
    </w:p>
    <w:p w:rsidR="006718D1" w:rsidRPr="00FA3856" w:rsidRDefault="006718D1" w:rsidP="00662A37">
      <w:pPr>
        <w:pStyle w:val="Corpodetexto"/>
        <w:ind w:left="708" w:firstLine="708"/>
        <w:rPr>
          <w:rFonts w:ascii="Times New Roman" w:hAnsi="Times New Roman"/>
          <w:color w:val="002060"/>
          <w:szCs w:val="20"/>
        </w:rPr>
      </w:pPr>
    </w:p>
    <w:p w:rsidR="006718D1" w:rsidRPr="00FA3856" w:rsidRDefault="006718D1" w:rsidP="000550B0">
      <w:pPr>
        <w:pStyle w:val="Corpodetexto"/>
        <w:rPr>
          <w:rFonts w:ascii="Times New Roman" w:hAnsi="Times New Roman"/>
          <w:b/>
          <w:color w:val="002060"/>
          <w:szCs w:val="20"/>
        </w:rPr>
      </w:pPr>
      <w:r w:rsidRPr="00FA3856">
        <w:rPr>
          <w:rFonts w:ascii="Times New Roman" w:hAnsi="Times New Roman"/>
          <w:b/>
          <w:color w:val="002060"/>
          <w:szCs w:val="20"/>
        </w:rPr>
        <w:t>|Y682|04|500000,00|</w:t>
      </w:r>
    </w:p>
    <w:p w:rsidR="006718D1" w:rsidRPr="00FA3856" w:rsidRDefault="006718D1" w:rsidP="000550B0">
      <w:pPr>
        <w:pStyle w:val="Corpodetexto"/>
        <w:ind w:firstLine="708"/>
        <w:rPr>
          <w:rFonts w:ascii="Times New Roman" w:hAnsi="Times New Roman"/>
          <w:color w:val="002060"/>
          <w:szCs w:val="20"/>
        </w:rPr>
      </w:pPr>
      <w:r w:rsidRPr="00FA3856">
        <w:rPr>
          <w:rFonts w:ascii="Times New Roman" w:hAnsi="Times New Roman"/>
          <w:color w:val="002060"/>
          <w:szCs w:val="20"/>
        </w:rPr>
        <w:t>|Y682|: Identificação do tipo do registro.</w:t>
      </w:r>
    </w:p>
    <w:p w:rsidR="006718D1" w:rsidRPr="00FA3856" w:rsidRDefault="006718D1" w:rsidP="000550B0">
      <w:pPr>
        <w:pStyle w:val="Corpodetexto"/>
        <w:ind w:firstLine="708"/>
        <w:rPr>
          <w:rFonts w:ascii="Times New Roman" w:hAnsi="Times New Roman"/>
          <w:color w:val="002060"/>
          <w:szCs w:val="20"/>
        </w:rPr>
      </w:pPr>
      <w:r w:rsidRPr="00FA3856">
        <w:rPr>
          <w:rFonts w:ascii="Times New Roman" w:hAnsi="Times New Roman"/>
          <w:color w:val="002060"/>
          <w:szCs w:val="20"/>
        </w:rPr>
        <w:t>|04|: Identificação do mês (abril).</w:t>
      </w:r>
    </w:p>
    <w:p w:rsidR="006718D1" w:rsidRPr="00FA3856" w:rsidRDefault="006718D1" w:rsidP="000550B0">
      <w:pPr>
        <w:pStyle w:val="Corpodetexto"/>
        <w:ind w:firstLine="708"/>
        <w:rPr>
          <w:rFonts w:ascii="Times New Roman" w:hAnsi="Times New Roman"/>
          <w:color w:val="002060"/>
          <w:szCs w:val="20"/>
        </w:rPr>
      </w:pPr>
      <w:r w:rsidRPr="00FA3856">
        <w:rPr>
          <w:rFonts w:ascii="Times New Roman" w:hAnsi="Times New Roman"/>
          <w:color w:val="002060"/>
          <w:szCs w:val="20"/>
        </w:rPr>
        <w:t>|500000,00|: Acréscimo patrimonial no mês de abril (R$ 500.000,00).</w:t>
      </w:r>
    </w:p>
    <w:p w:rsidR="00662A37" w:rsidRPr="00FA3856" w:rsidRDefault="00662A37" w:rsidP="006718D1">
      <w:pPr>
        <w:pStyle w:val="Corpodetexto"/>
        <w:rPr>
          <w:rFonts w:ascii="Times New Roman" w:hAnsi="Times New Roman"/>
          <w:color w:val="002060"/>
          <w:szCs w:val="20"/>
        </w:rPr>
      </w:pPr>
    </w:p>
    <w:p w:rsidR="00662A37" w:rsidRPr="00FA3856" w:rsidRDefault="00662A37" w:rsidP="000550B0">
      <w:pPr>
        <w:pStyle w:val="Corpodetexto"/>
        <w:rPr>
          <w:rFonts w:ascii="Times New Roman" w:hAnsi="Times New Roman"/>
          <w:b/>
          <w:color w:val="002060"/>
          <w:szCs w:val="20"/>
        </w:rPr>
      </w:pPr>
      <w:r w:rsidRPr="00FA3856">
        <w:rPr>
          <w:rFonts w:ascii="Times New Roman" w:hAnsi="Times New Roman"/>
          <w:b/>
          <w:color w:val="002060"/>
          <w:szCs w:val="20"/>
        </w:rPr>
        <w:t>|Y682|11|2345678,10|</w:t>
      </w:r>
    </w:p>
    <w:p w:rsidR="00662A37" w:rsidRPr="00FA3856" w:rsidRDefault="006718D1" w:rsidP="000550B0">
      <w:pPr>
        <w:pStyle w:val="Corpodetexto"/>
        <w:ind w:firstLine="708"/>
        <w:rPr>
          <w:rFonts w:ascii="Times New Roman" w:hAnsi="Times New Roman"/>
          <w:color w:val="002060"/>
          <w:szCs w:val="20"/>
        </w:rPr>
      </w:pPr>
      <w:r w:rsidRPr="00FA3856">
        <w:rPr>
          <w:rFonts w:ascii="Times New Roman" w:hAnsi="Times New Roman"/>
          <w:color w:val="002060"/>
          <w:szCs w:val="20"/>
        </w:rPr>
        <w:t>|Y682|:</w:t>
      </w:r>
      <w:r w:rsidR="00662A37" w:rsidRPr="00FA3856">
        <w:rPr>
          <w:rFonts w:ascii="Times New Roman" w:hAnsi="Times New Roman"/>
          <w:color w:val="002060"/>
          <w:szCs w:val="20"/>
        </w:rPr>
        <w:t xml:space="preserve"> Identificação do tipo do registro.</w:t>
      </w:r>
    </w:p>
    <w:p w:rsidR="00662A37" w:rsidRPr="00FA3856" w:rsidRDefault="00662A37" w:rsidP="000550B0">
      <w:pPr>
        <w:pStyle w:val="Corpodetexto"/>
        <w:ind w:firstLine="708"/>
        <w:rPr>
          <w:rFonts w:ascii="Times New Roman" w:hAnsi="Times New Roman"/>
          <w:color w:val="002060"/>
          <w:szCs w:val="20"/>
        </w:rPr>
      </w:pPr>
      <w:r w:rsidRPr="00FA3856">
        <w:rPr>
          <w:rFonts w:ascii="Times New Roman" w:hAnsi="Times New Roman"/>
          <w:color w:val="002060"/>
          <w:szCs w:val="20"/>
        </w:rPr>
        <w:t>|11|: Identificação do mês (novembro).</w:t>
      </w:r>
    </w:p>
    <w:p w:rsidR="00662A37" w:rsidRPr="00FA3856" w:rsidRDefault="00662A37" w:rsidP="000550B0">
      <w:pPr>
        <w:pStyle w:val="Corpodetexto"/>
        <w:ind w:firstLine="708"/>
        <w:rPr>
          <w:rFonts w:ascii="Times New Roman" w:hAnsi="Times New Roman"/>
          <w:color w:val="002060"/>
          <w:szCs w:val="20"/>
        </w:rPr>
      </w:pPr>
      <w:r w:rsidRPr="00FA3856">
        <w:rPr>
          <w:rFonts w:ascii="Times New Roman" w:hAnsi="Times New Roman"/>
          <w:color w:val="002060"/>
          <w:szCs w:val="20"/>
        </w:rPr>
        <w:t xml:space="preserve">|2345678,10|: </w:t>
      </w:r>
      <w:r w:rsidR="006718D1" w:rsidRPr="00FA3856">
        <w:rPr>
          <w:rFonts w:ascii="Times New Roman" w:hAnsi="Times New Roman"/>
          <w:color w:val="002060"/>
          <w:szCs w:val="20"/>
        </w:rPr>
        <w:t>Acréscimo patrimonial no</w:t>
      </w:r>
      <w:r w:rsidRPr="00FA3856">
        <w:rPr>
          <w:rFonts w:ascii="Times New Roman" w:hAnsi="Times New Roman"/>
          <w:color w:val="002060"/>
          <w:szCs w:val="20"/>
        </w:rPr>
        <w:t xml:space="preserve"> mês de novembro (R$ 2.345.678,10).</w:t>
      </w:r>
    </w:p>
    <w:p w:rsidR="00662A37" w:rsidRPr="00FA3856" w:rsidRDefault="00662A37" w:rsidP="00662A37">
      <w:pPr>
        <w:pStyle w:val="Corpodetexto"/>
        <w:ind w:firstLine="708"/>
        <w:rPr>
          <w:rFonts w:ascii="Times New Roman" w:hAnsi="Times New Roman"/>
          <w:b/>
          <w:color w:val="002060"/>
          <w:szCs w:val="20"/>
        </w:rPr>
      </w:pPr>
    </w:p>
    <w:p w:rsidR="00662A37" w:rsidRPr="00FA3856" w:rsidRDefault="00662A37" w:rsidP="000550B0">
      <w:pPr>
        <w:pStyle w:val="Corpodetexto"/>
        <w:rPr>
          <w:rFonts w:ascii="Times New Roman" w:hAnsi="Times New Roman"/>
          <w:b/>
          <w:color w:val="002060"/>
          <w:szCs w:val="20"/>
        </w:rPr>
      </w:pPr>
      <w:r w:rsidRPr="00FA3856">
        <w:rPr>
          <w:rFonts w:ascii="Times New Roman" w:hAnsi="Times New Roman"/>
          <w:b/>
          <w:color w:val="002060"/>
          <w:szCs w:val="20"/>
        </w:rPr>
        <w:t>|Y682|12|1000000,00|</w:t>
      </w:r>
    </w:p>
    <w:p w:rsidR="00662A37" w:rsidRPr="00FA3856" w:rsidRDefault="006718D1" w:rsidP="000550B0">
      <w:pPr>
        <w:pStyle w:val="Corpodetexto"/>
        <w:ind w:firstLine="708"/>
        <w:rPr>
          <w:rFonts w:ascii="Times New Roman" w:hAnsi="Times New Roman"/>
          <w:color w:val="002060"/>
          <w:szCs w:val="20"/>
        </w:rPr>
      </w:pPr>
      <w:r w:rsidRPr="00FA3856">
        <w:rPr>
          <w:rFonts w:ascii="Times New Roman" w:hAnsi="Times New Roman"/>
          <w:color w:val="002060"/>
          <w:szCs w:val="20"/>
        </w:rPr>
        <w:t>|Y682|:</w:t>
      </w:r>
      <w:r w:rsidR="00662A37" w:rsidRPr="00FA3856">
        <w:rPr>
          <w:rFonts w:ascii="Times New Roman" w:hAnsi="Times New Roman"/>
          <w:color w:val="002060"/>
          <w:szCs w:val="20"/>
        </w:rPr>
        <w:t xml:space="preserve"> Identificação do tipo do registro.</w:t>
      </w:r>
    </w:p>
    <w:p w:rsidR="00662A37" w:rsidRPr="00FA3856" w:rsidRDefault="00662A37" w:rsidP="000550B0">
      <w:pPr>
        <w:pStyle w:val="Corpodetexto"/>
        <w:ind w:firstLine="708"/>
        <w:rPr>
          <w:rFonts w:ascii="Times New Roman" w:hAnsi="Times New Roman"/>
          <w:color w:val="002060"/>
          <w:szCs w:val="20"/>
        </w:rPr>
      </w:pPr>
      <w:r w:rsidRPr="00FA3856">
        <w:rPr>
          <w:rFonts w:ascii="Times New Roman" w:hAnsi="Times New Roman"/>
          <w:color w:val="002060"/>
          <w:szCs w:val="20"/>
        </w:rPr>
        <w:t>|12|: Identificação do mês (dezembro).</w:t>
      </w:r>
    </w:p>
    <w:p w:rsidR="00662A37" w:rsidRPr="00FA3856" w:rsidRDefault="00662A37" w:rsidP="000550B0">
      <w:pPr>
        <w:pStyle w:val="Corpodetexto"/>
        <w:ind w:firstLine="708"/>
        <w:rPr>
          <w:rFonts w:ascii="Times New Roman" w:hAnsi="Times New Roman"/>
          <w:color w:val="002060"/>
          <w:szCs w:val="20"/>
        </w:rPr>
      </w:pPr>
      <w:r w:rsidRPr="00FA3856">
        <w:rPr>
          <w:rFonts w:ascii="Times New Roman" w:hAnsi="Times New Roman"/>
          <w:color w:val="002060"/>
          <w:szCs w:val="20"/>
        </w:rPr>
        <w:t xml:space="preserve">|1000000,00|: </w:t>
      </w:r>
      <w:r w:rsidR="006718D1" w:rsidRPr="00FA3856">
        <w:rPr>
          <w:rFonts w:ascii="Times New Roman" w:hAnsi="Times New Roman"/>
          <w:color w:val="002060"/>
          <w:szCs w:val="20"/>
        </w:rPr>
        <w:t xml:space="preserve">Acréscimo patrimonial no </w:t>
      </w:r>
      <w:r w:rsidRPr="00FA3856">
        <w:rPr>
          <w:rFonts w:ascii="Times New Roman" w:hAnsi="Times New Roman"/>
          <w:color w:val="002060"/>
          <w:szCs w:val="20"/>
        </w:rPr>
        <w:t>mês de dezembro (R$ 1.000.000,00).</w:t>
      </w:r>
    </w:p>
    <w:p w:rsidR="00F25115" w:rsidRPr="00FA3856" w:rsidRDefault="00F25115">
      <w:pPr>
        <w:rPr>
          <w:b/>
          <w:bCs/>
          <w:color w:val="0000FF"/>
          <w:szCs w:val="20"/>
        </w:rPr>
      </w:pPr>
      <w:r w:rsidRPr="00FA3856">
        <w:rPr>
          <w:color w:val="0000FF"/>
          <w:szCs w:val="20"/>
        </w:rPr>
        <w:br w:type="page"/>
      </w:r>
    </w:p>
    <w:p w:rsidR="00FE44A1" w:rsidRPr="00FA3856" w:rsidRDefault="00FE44A1" w:rsidP="00867F54">
      <w:pPr>
        <w:pStyle w:val="Ttulo4"/>
      </w:pPr>
      <w:bookmarkStart w:id="451" w:name="_Toc479713842"/>
      <w:r w:rsidRPr="00FA3856">
        <w:lastRenderedPageBreak/>
        <w:t>Registro Y690: Informações de Optantes pelo PAES</w:t>
      </w:r>
      <w:bookmarkEnd w:id="451"/>
    </w:p>
    <w:p w:rsidR="00FE44A1" w:rsidRPr="00FA3856" w:rsidRDefault="00FE44A1" w:rsidP="00FE44A1">
      <w:pPr>
        <w:rPr>
          <w:szCs w:val="20"/>
        </w:rPr>
      </w:pPr>
    </w:p>
    <w:p w:rsidR="00FE4B6D" w:rsidRPr="00FA3856" w:rsidRDefault="00FE44A1" w:rsidP="005D549B">
      <w:pPr>
        <w:pStyle w:val="PSDS-CorpodeTexto0"/>
        <w:rPr>
          <w:rFonts w:ascii="Times New Roman" w:hAnsi="Times New Roman"/>
        </w:rPr>
      </w:pPr>
      <w:r w:rsidRPr="00FA3856">
        <w:rPr>
          <w:rFonts w:ascii="Times New Roman" w:hAnsi="Times New Roman"/>
          <w:lang w:eastAsia="pt-BR"/>
        </w:rPr>
        <w:tab/>
      </w:r>
      <w:r w:rsidR="00FE4B6D" w:rsidRPr="00FA3856">
        <w:rPr>
          <w:rFonts w:ascii="Times New Roman" w:hAnsi="Times New Roman"/>
        </w:rPr>
        <w:t>Este registro deve ser preenchido</w:t>
      </w:r>
      <w:r w:rsidR="00E64C77" w:rsidRPr="00FA3856">
        <w:rPr>
          <w:rFonts w:ascii="Times New Roman" w:hAnsi="Times New Roman"/>
        </w:rPr>
        <w:t xml:space="preserve"> pela pessoa jurídica que optou pelo Parcelamento Especial (Paes), de que trata a Lei n</w:t>
      </w:r>
      <w:r w:rsidR="00FE4B6D" w:rsidRPr="00FA3856">
        <w:rPr>
          <w:rFonts w:ascii="Times New Roman" w:hAnsi="Times New Roman"/>
          <w:u w:val="single"/>
          <w:vertAlign w:val="superscript"/>
        </w:rPr>
        <w:t>o</w:t>
      </w:r>
      <w:r w:rsidR="00E64C77" w:rsidRPr="00FA3856">
        <w:rPr>
          <w:rFonts w:ascii="Times New Roman" w:hAnsi="Times New Roman"/>
        </w:rPr>
        <w:t xml:space="preserve"> 10.684, de 30 de maio de 2003, para os meses em que esteve submetida ao parcelamento.</w:t>
      </w:r>
      <w:r w:rsidR="00991541" w:rsidRPr="00FA3856">
        <w:rPr>
          <w:rFonts w:ascii="Times New Roman" w:hAnsi="Times New Roman"/>
        </w:rPr>
        <w:t xml:space="preserve"> </w:t>
      </w:r>
      <w:r w:rsidR="00516F95" w:rsidRPr="00FA3856">
        <w:rPr>
          <w:rFonts w:ascii="Times New Roman" w:hAnsi="Times New Roman"/>
        </w:rPr>
        <w:t>Em</w:t>
      </w:r>
      <w:r w:rsidR="005D549B" w:rsidRPr="00FA3856">
        <w:rPr>
          <w:rFonts w:ascii="Times New Roman" w:hAnsi="Times New Roman"/>
        </w:rPr>
        <w:t xml:space="preserve"> Y690.VL_REC_BRU</w:t>
      </w:r>
      <w:r w:rsidR="00FE4B6D" w:rsidRPr="00FA3856">
        <w:rPr>
          <w:rFonts w:ascii="Times New Roman" w:hAnsi="Times New Roman"/>
        </w:rPr>
        <w:t xml:space="preserve">, deve ser informada a receita bruta da pessoa jurídica em cada mês definido </w:t>
      </w:r>
      <w:r w:rsidR="00516F95" w:rsidRPr="00FA3856">
        <w:rPr>
          <w:rFonts w:ascii="Times New Roman" w:hAnsi="Times New Roman"/>
        </w:rPr>
        <w:t>em</w:t>
      </w:r>
      <w:r w:rsidR="00FE4B6D" w:rsidRPr="00FA3856">
        <w:rPr>
          <w:rFonts w:ascii="Times New Roman" w:hAnsi="Times New Roman"/>
        </w:rPr>
        <w:t xml:space="preserve"> </w:t>
      </w:r>
      <w:r w:rsidR="005D549B" w:rsidRPr="00FA3856">
        <w:rPr>
          <w:rFonts w:ascii="Times New Roman" w:hAnsi="Times New Roman"/>
        </w:rPr>
        <w:t xml:space="preserve">Y690.MES. </w:t>
      </w:r>
      <w:r w:rsidR="00FE4B6D" w:rsidRPr="00FA3856">
        <w:rPr>
          <w:rFonts w:ascii="Times New Roman" w:hAnsi="Times New Roman"/>
        </w:rPr>
        <w:t>Integram a receita bruta operacional</w:t>
      </w:r>
      <w:r w:rsidR="00991541" w:rsidRPr="00FA3856">
        <w:rPr>
          <w:rFonts w:ascii="Times New Roman" w:hAnsi="Times New Roman"/>
        </w:rPr>
        <w:t xml:space="preserve"> (art. 44 da Lei n</w:t>
      </w:r>
      <w:r w:rsidR="00991541" w:rsidRPr="00FA3856">
        <w:rPr>
          <w:rFonts w:ascii="Times New Roman" w:hAnsi="Times New Roman"/>
          <w:u w:val="single"/>
          <w:vertAlign w:val="superscript"/>
        </w:rPr>
        <w:t>o</w:t>
      </w:r>
      <w:r w:rsidR="00991541" w:rsidRPr="00FA3856">
        <w:rPr>
          <w:rFonts w:ascii="Times New Roman" w:hAnsi="Times New Roman"/>
        </w:rPr>
        <w:t xml:space="preserve"> 4.506, de 30 de novembro de 1964)</w:t>
      </w:r>
      <w:r w:rsidR="005D549B" w:rsidRPr="00FA3856">
        <w:rPr>
          <w:rFonts w:ascii="Times New Roman" w:hAnsi="Times New Roman"/>
        </w:rPr>
        <w:t>:</w:t>
      </w:r>
    </w:p>
    <w:p w:rsidR="00E64C77" w:rsidRPr="00FA3856" w:rsidRDefault="00E64C77" w:rsidP="00FE4B6D">
      <w:pPr>
        <w:pStyle w:val="PSDS-CorpodeTexto0"/>
        <w:ind w:left="708" w:firstLine="708"/>
        <w:rPr>
          <w:rFonts w:ascii="Times New Roman" w:hAnsi="Times New Roman"/>
        </w:rPr>
      </w:pPr>
      <w:r w:rsidRPr="00FA3856">
        <w:rPr>
          <w:rFonts w:ascii="Times New Roman" w:hAnsi="Times New Roman"/>
        </w:rPr>
        <w:t>I - O produto da venda dos bens e serviços nas transações ou operações de conta própria;</w:t>
      </w:r>
    </w:p>
    <w:p w:rsidR="00E64C77" w:rsidRPr="00FA3856" w:rsidRDefault="00E64C77" w:rsidP="00FE4B6D">
      <w:pPr>
        <w:pStyle w:val="PSDS-CorpodeTexto0"/>
        <w:ind w:left="708" w:firstLine="708"/>
        <w:rPr>
          <w:rFonts w:ascii="Times New Roman" w:hAnsi="Times New Roman"/>
        </w:rPr>
      </w:pPr>
      <w:r w:rsidRPr="00FA3856">
        <w:rPr>
          <w:rFonts w:ascii="Times New Roman" w:hAnsi="Times New Roman"/>
        </w:rPr>
        <w:t>II - O resultado auferido nas operações de conta alheia;</w:t>
      </w:r>
    </w:p>
    <w:p w:rsidR="00E64C77" w:rsidRPr="00FA3856" w:rsidRDefault="00E64C77" w:rsidP="00FE4B6D">
      <w:pPr>
        <w:pStyle w:val="PSDS-CorpodeTexto0"/>
        <w:ind w:left="708" w:firstLine="708"/>
        <w:rPr>
          <w:rFonts w:ascii="Times New Roman" w:hAnsi="Times New Roman"/>
        </w:rPr>
      </w:pPr>
      <w:r w:rsidRPr="00FA3856">
        <w:rPr>
          <w:rFonts w:ascii="Times New Roman" w:hAnsi="Times New Roman"/>
        </w:rPr>
        <w:t>III - As recuperações ou devoluções de custos, deduções ou provisões;</w:t>
      </w:r>
    </w:p>
    <w:p w:rsidR="00E64C77" w:rsidRPr="00FA3856" w:rsidRDefault="00E64C77" w:rsidP="00FE4B6D">
      <w:pPr>
        <w:pStyle w:val="PSDS-CorpodeTexto0"/>
        <w:ind w:left="708" w:firstLine="708"/>
        <w:rPr>
          <w:rFonts w:ascii="Times New Roman" w:hAnsi="Times New Roman"/>
        </w:rPr>
      </w:pPr>
      <w:r w:rsidRPr="00FA3856">
        <w:rPr>
          <w:rFonts w:ascii="Times New Roman" w:hAnsi="Times New Roman"/>
        </w:rPr>
        <w:t>IV - As subvenções correntes, para custeio ou operação, recebidas de pessoas jurídicas de direito público ou privado, ou de pessoas naturais.</w:t>
      </w:r>
    </w:p>
    <w:p w:rsidR="00E64C77" w:rsidRPr="00FA3856" w:rsidRDefault="00E64C77" w:rsidP="00E64C77">
      <w:pPr>
        <w:pStyle w:val="PSDS-CorpodeTexto0"/>
        <w:rPr>
          <w:rFonts w:ascii="Times New Roman" w:hAnsi="Times New Roman"/>
        </w:rPr>
      </w:pPr>
      <w:r w:rsidRPr="00FA3856">
        <w:rPr>
          <w:rFonts w:ascii="Times New Roman" w:hAnsi="Times New Roman"/>
        </w:rPr>
        <w:t> </w:t>
      </w:r>
    </w:p>
    <w:p w:rsidR="00FE44A1" w:rsidRPr="00FA3856" w:rsidRDefault="00E64C77" w:rsidP="00991541">
      <w:pPr>
        <w:pStyle w:val="PSDS-CorpodeTexto0"/>
        <w:ind w:firstLine="708"/>
        <w:rPr>
          <w:rFonts w:ascii="Times New Roman" w:hAnsi="Times New Roman"/>
        </w:rPr>
      </w:pPr>
      <w:r w:rsidRPr="00FA3856">
        <w:rPr>
          <w:rFonts w:ascii="Times New Roman" w:hAnsi="Times New Roman"/>
        </w:rPr>
        <w:t>Da receita bruta de vendas e serviços não devem ser diminuídas as vendas canceladas, os descontos concedidos incondicionalmente e os impostos incidentes sobre vendas (Lei n</w:t>
      </w:r>
      <w:r w:rsidR="00991541" w:rsidRPr="00FA3856">
        <w:rPr>
          <w:rFonts w:ascii="Times New Roman" w:hAnsi="Times New Roman"/>
          <w:u w:val="single"/>
          <w:vertAlign w:val="superscript"/>
        </w:rPr>
        <w:t>o</w:t>
      </w:r>
      <w:r w:rsidRPr="00FA3856">
        <w:rPr>
          <w:rFonts w:ascii="Times New Roman" w:hAnsi="Times New Roman"/>
        </w:rPr>
        <w:t xml:space="preserve"> 4.506, de 30 de novembro de 1964, art. 44, Decreto-lei n</w:t>
      </w:r>
      <w:r w:rsidR="00991541" w:rsidRPr="00FA3856">
        <w:rPr>
          <w:rFonts w:ascii="Times New Roman" w:hAnsi="Times New Roman"/>
          <w:u w:val="single"/>
          <w:vertAlign w:val="superscript"/>
        </w:rPr>
        <w:t>o</w:t>
      </w:r>
      <w:r w:rsidRPr="00FA3856">
        <w:rPr>
          <w:rFonts w:ascii="Times New Roman" w:hAnsi="Times New Roman"/>
        </w:rPr>
        <w:t xml:space="preserve"> 1.598, de 30 de dezembro de 1977, art. 12, e Portaria Conjunta PGFN/SRF n</w:t>
      </w:r>
      <w:r w:rsidR="00991541" w:rsidRPr="00FA3856">
        <w:rPr>
          <w:rFonts w:ascii="Times New Roman" w:hAnsi="Times New Roman"/>
          <w:u w:val="single"/>
          <w:vertAlign w:val="superscript"/>
        </w:rPr>
        <w:t>o</w:t>
      </w:r>
      <w:r w:rsidRPr="00FA3856">
        <w:rPr>
          <w:rFonts w:ascii="Times New Roman" w:hAnsi="Times New Roman"/>
        </w:rPr>
        <w:t xml:space="preserve"> 3, de 1</w:t>
      </w:r>
      <w:r w:rsidR="00991541" w:rsidRPr="00FA3856">
        <w:rPr>
          <w:rFonts w:ascii="Times New Roman" w:hAnsi="Times New Roman"/>
          <w:u w:val="single"/>
          <w:vertAlign w:val="superscript"/>
        </w:rPr>
        <w:t>o</w:t>
      </w:r>
      <w:r w:rsidRPr="00FA3856">
        <w:rPr>
          <w:rFonts w:ascii="Times New Roman" w:hAnsi="Times New Roman"/>
        </w:rPr>
        <w:t xml:space="preserve"> de setembro de 2003, art. 8º).</w:t>
      </w:r>
    </w:p>
    <w:p w:rsidR="000550B0" w:rsidRDefault="000550B0" w:rsidP="00414A01">
      <w:pPr>
        <w:pStyle w:val="PSDS-MarcadoresNivel4"/>
        <w:tabs>
          <w:tab w:val="clear" w:pos="2271"/>
          <w:tab w:val="left" w:pos="720"/>
        </w:tabs>
        <w:spacing w:before="0" w:after="0"/>
        <w:ind w:left="0" w:firstLine="0"/>
        <w:rPr>
          <w:rFonts w:ascii="Times New Roman" w:hAnsi="Times New Roman" w:cs="Times New Roman"/>
          <w:szCs w:val="20"/>
          <w:lang w:val="pt-PT"/>
        </w:rPr>
      </w:pPr>
    </w:p>
    <w:p w:rsidR="000550B0" w:rsidRDefault="00B35FA3" w:rsidP="000550B0">
      <w:pPr>
        <w:pStyle w:val="PSDS-MarcadoresNivel4"/>
        <w:tabs>
          <w:tab w:val="clear" w:pos="2271"/>
          <w:tab w:val="left" w:pos="720"/>
        </w:tabs>
        <w:spacing w:before="0" w:after="0"/>
        <w:ind w:left="0" w:firstLine="0"/>
        <w:jc w:val="center"/>
        <w:rPr>
          <w:rFonts w:ascii="Times New Roman" w:hAnsi="Times New Roman" w:cs="Times New Roman"/>
          <w:szCs w:val="20"/>
          <w:lang w:val="pt-PT"/>
        </w:rPr>
      </w:pPr>
      <w:r>
        <w:rPr>
          <w:rFonts w:ascii="Times New Roman" w:hAnsi="Times New Roman" w:cs="Times New Roman"/>
          <w:szCs w:val="20"/>
          <w:lang w:val="pt-PT"/>
        </w:rPr>
        <w:object w:dxaOrig="14835" w:dyaOrig="5715">
          <v:shape id="_x0000_i2105" type="#_x0000_t75" style="width:741.75pt;height:284.25pt" o:ole="">
            <v:imagedata r:id="rId901" o:title=""/>
          </v:shape>
          <o:OLEObject Type="Link" ProgID="Excel.Sheet.12" ShapeID="_x0000_i2105" DrawAspect="Content" r:id="rId902" UpdateMode="Always">
            <o:LinkType>EnhancedMetaFile</o:LinkType>
            <o:LockedField>false</o:LockedField>
          </o:OLEObject>
        </w:object>
      </w:r>
    </w:p>
    <w:p w:rsidR="000550B0" w:rsidRDefault="000550B0">
      <w:pPr>
        <w:spacing w:after="200" w:line="276" w:lineRule="auto"/>
        <w:rPr>
          <w:rFonts w:cs="Times New Roman"/>
          <w:b/>
          <w:bCs/>
          <w:szCs w:val="20"/>
          <w:lang w:val="pt-PT"/>
        </w:rPr>
      </w:pPr>
      <w:r>
        <w:rPr>
          <w:rFonts w:cs="Times New Roman"/>
          <w:szCs w:val="20"/>
          <w:lang w:val="pt-PT"/>
        </w:rPr>
        <w:br w:type="page"/>
      </w:r>
    </w:p>
    <w:p w:rsidR="00414A01" w:rsidRPr="00FA3856" w:rsidRDefault="00083C1C" w:rsidP="00414A01">
      <w:pPr>
        <w:pStyle w:val="PSDS-MarcadoresNivel4"/>
        <w:tabs>
          <w:tab w:val="clear" w:pos="2271"/>
          <w:tab w:val="left" w:pos="720"/>
        </w:tabs>
        <w:spacing w:before="0" w:after="0"/>
        <w:ind w:left="0" w:firstLine="0"/>
        <w:rPr>
          <w:rFonts w:ascii="Times New Roman" w:hAnsi="Times New Roman" w:cs="Times New Roman"/>
          <w:szCs w:val="20"/>
          <w:lang w:val="pt-PT"/>
        </w:rPr>
      </w:pPr>
      <w:r w:rsidRPr="00FA3856">
        <w:rPr>
          <w:rFonts w:ascii="Times New Roman" w:hAnsi="Times New Roman" w:cs="Times New Roman"/>
          <w:szCs w:val="20"/>
          <w:lang w:val="pt-PT"/>
        </w:rPr>
        <w:lastRenderedPageBreak/>
        <w:t>I</w:t>
      </w:r>
      <w:r w:rsidR="00414A01" w:rsidRPr="00FA3856">
        <w:rPr>
          <w:rFonts w:ascii="Times New Roman" w:hAnsi="Times New Roman" w:cs="Times New Roman"/>
          <w:szCs w:val="20"/>
          <w:lang w:val="pt-PT"/>
        </w:rPr>
        <w:t xml:space="preserve"> – Regras de Validação de Campos:</w:t>
      </w:r>
    </w:p>
    <w:p w:rsidR="00414A01" w:rsidRPr="00FA3856" w:rsidRDefault="00414A01" w:rsidP="00414A01">
      <w:pPr>
        <w:pStyle w:val="PSDS-MarcadoresNivel4"/>
        <w:tabs>
          <w:tab w:val="clear" w:pos="2271"/>
          <w:tab w:val="left" w:pos="720"/>
        </w:tabs>
        <w:spacing w:before="0" w:after="0"/>
        <w:ind w:left="0" w:firstLine="0"/>
        <w:rPr>
          <w:rFonts w:ascii="Times New Roman" w:hAnsi="Times New Roman" w:cs="Times New Roman"/>
          <w:szCs w:val="20"/>
          <w:lang w:val="pt-PT"/>
        </w:rPr>
      </w:pPr>
    </w:p>
    <w:tbl>
      <w:tblPr>
        <w:tblW w:w="16370"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85"/>
        <w:gridCol w:w="3000"/>
        <w:gridCol w:w="12168"/>
        <w:gridCol w:w="717"/>
      </w:tblGrid>
      <w:tr w:rsidR="00414A01" w:rsidRPr="00FA3856" w:rsidTr="00BB2C36">
        <w:trPr>
          <w:tblHeader/>
          <w:jc w:val="center"/>
        </w:trPr>
        <w:tc>
          <w:tcPr>
            <w:tcW w:w="485" w:type="dxa"/>
            <w:tcBorders>
              <w:top w:val="single" w:sz="6" w:space="0" w:color="auto"/>
              <w:left w:val="single" w:sz="6" w:space="0" w:color="auto"/>
              <w:bottom w:val="single" w:sz="6" w:space="0" w:color="auto"/>
              <w:right w:val="single" w:sz="6" w:space="0" w:color="auto"/>
            </w:tcBorders>
            <w:shd w:val="pct10" w:color="auto" w:fill="FFFFFF"/>
          </w:tcPr>
          <w:p w:rsidR="00414A01" w:rsidRPr="00FA3856" w:rsidRDefault="00414A01" w:rsidP="00083C1C">
            <w:pPr>
              <w:pStyle w:val="PSDS-CorpodeTexto0"/>
              <w:jc w:val="center"/>
              <w:rPr>
                <w:rFonts w:ascii="Times New Roman" w:hAnsi="Times New Roman"/>
                <w:b/>
                <w:bCs/>
              </w:rPr>
            </w:pPr>
            <w:r w:rsidRPr="00FA3856">
              <w:rPr>
                <w:rFonts w:ascii="Times New Roman" w:hAnsi="Times New Roman"/>
                <w:b/>
                <w:bCs/>
              </w:rPr>
              <w:t>Nº</w:t>
            </w:r>
          </w:p>
        </w:tc>
        <w:tc>
          <w:tcPr>
            <w:tcW w:w="3000" w:type="dxa"/>
            <w:tcBorders>
              <w:top w:val="single" w:sz="6" w:space="0" w:color="auto"/>
              <w:left w:val="single" w:sz="6" w:space="0" w:color="auto"/>
              <w:bottom w:val="single" w:sz="6" w:space="0" w:color="auto"/>
              <w:right w:val="single" w:sz="6" w:space="0" w:color="auto"/>
            </w:tcBorders>
            <w:shd w:val="pct10" w:color="auto" w:fill="FFFFFF"/>
          </w:tcPr>
          <w:p w:rsidR="00414A01" w:rsidRPr="00FA3856" w:rsidRDefault="00414A01" w:rsidP="00083C1C">
            <w:pPr>
              <w:pStyle w:val="PSDS-CorpodeTexto0"/>
              <w:jc w:val="center"/>
              <w:rPr>
                <w:rFonts w:ascii="Times New Roman" w:hAnsi="Times New Roman"/>
                <w:b/>
                <w:bCs/>
              </w:rPr>
            </w:pPr>
            <w:r w:rsidRPr="00FA3856">
              <w:rPr>
                <w:rFonts w:ascii="Times New Roman" w:hAnsi="Times New Roman"/>
                <w:b/>
                <w:bCs/>
              </w:rPr>
              <w:t>Campo</w:t>
            </w:r>
          </w:p>
        </w:tc>
        <w:tc>
          <w:tcPr>
            <w:tcW w:w="12168" w:type="dxa"/>
            <w:tcBorders>
              <w:top w:val="single" w:sz="6" w:space="0" w:color="auto"/>
              <w:left w:val="single" w:sz="6" w:space="0" w:color="auto"/>
              <w:bottom w:val="single" w:sz="6" w:space="0" w:color="auto"/>
              <w:right w:val="single" w:sz="6" w:space="0" w:color="auto"/>
            </w:tcBorders>
            <w:shd w:val="pct10" w:color="auto" w:fill="FFFFFF"/>
          </w:tcPr>
          <w:p w:rsidR="00414A01" w:rsidRPr="00FA3856" w:rsidRDefault="00414A01" w:rsidP="00083C1C">
            <w:pPr>
              <w:pStyle w:val="PSDS-CorpodeTexto0"/>
              <w:jc w:val="center"/>
              <w:rPr>
                <w:rFonts w:ascii="Times New Roman" w:hAnsi="Times New Roman"/>
                <w:b/>
                <w:bCs/>
              </w:rPr>
            </w:pPr>
            <w:r w:rsidRPr="00FA3856">
              <w:rPr>
                <w:rFonts w:ascii="Times New Roman" w:hAnsi="Times New Roman"/>
                <w:b/>
                <w:bCs/>
              </w:rPr>
              <w:t>Regras de Validação do Campo</w:t>
            </w:r>
          </w:p>
        </w:tc>
        <w:tc>
          <w:tcPr>
            <w:tcW w:w="717" w:type="dxa"/>
            <w:tcBorders>
              <w:top w:val="single" w:sz="6" w:space="0" w:color="auto"/>
              <w:left w:val="single" w:sz="6" w:space="0" w:color="auto"/>
              <w:bottom w:val="single" w:sz="6" w:space="0" w:color="auto"/>
              <w:right w:val="single" w:sz="6" w:space="0" w:color="auto"/>
            </w:tcBorders>
            <w:shd w:val="pct10" w:color="auto" w:fill="FFFFFF"/>
          </w:tcPr>
          <w:p w:rsidR="00414A01" w:rsidRPr="00FA3856" w:rsidRDefault="00414A01" w:rsidP="00083C1C">
            <w:pPr>
              <w:pStyle w:val="PSDS-CorpodeTexto0"/>
              <w:jc w:val="center"/>
              <w:rPr>
                <w:rFonts w:ascii="Times New Roman" w:hAnsi="Times New Roman"/>
                <w:b/>
                <w:bCs/>
              </w:rPr>
            </w:pPr>
            <w:r w:rsidRPr="00FA3856">
              <w:rPr>
                <w:rFonts w:ascii="Times New Roman" w:hAnsi="Times New Roman"/>
                <w:b/>
                <w:bCs/>
              </w:rPr>
              <w:t>Tipo</w:t>
            </w:r>
          </w:p>
        </w:tc>
      </w:tr>
      <w:tr w:rsidR="00414A01" w:rsidRPr="00FA3856" w:rsidTr="00BB2C36">
        <w:trPr>
          <w:jc w:val="center"/>
        </w:trPr>
        <w:tc>
          <w:tcPr>
            <w:tcW w:w="485" w:type="dxa"/>
            <w:tcBorders>
              <w:top w:val="single" w:sz="6" w:space="0" w:color="auto"/>
              <w:left w:val="single" w:sz="6" w:space="0" w:color="auto"/>
              <w:bottom w:val="single" w:sz="6" w:space="0" w:color="auto"/>
              <w:right w:val="single" w:sz="6" w:space="0" w:color="auto"/>
            </w:tcBorders>
          </w:tcPr>
          <w:p w:rsidR="00414A01" w:rsidRPr="00FA3856" w:rsidRDefault="00414A01" w:rsidP="00083C1C">
            <w:pPr>
              <w:pStyle w:val="PSDS-CorpodeTexto0"/>
              <w:suppressAutoHyphens w:val="0"/>
              <w:rPr>
                <w:rFonts w:ascii="Times New Roman" w:hAnsi="Times New Roman"/>
                <w:b/>
                <w:bCs/>
                <w:lang w:val="pt-PT"/>
              </w:rPr>
            </w:pPr>
            <w:r w:rsidRPr="00FA3856">
              <w:rPr>
                <w:rFonts w:ascii="Times New Roman" w:hAnsi="Times New Roman"/>
                <w:b/>
                <w:bCs/>
                <w:lang w:val="pt-PT"/>
              </w:rPr>
              <w:t>2</w:t>
            </w:r>
          </w:p>
        </w:tc>
        <w:tc>
          <w:tcPr>
            <w:tcW w:w="3000" w:type="dxa"/>
            <w:tcBorders>
              <w:top w:val="single" w:sz="6" w:space="0" w:color="auto"/>
              <w:left w:val="single" w:sz="6" w:space="0" w:color="auto"/>
              <w:bottom w:val="single" w:sz="6" w:space="0" w:color="auto"/>
              <w:right w:val="single" w:sz="6" w:space="0" w:color="auto"/>
            </w:tcBorders>
          </w:tcPr>
          <w:p w:rsidR="00414A01" w:rsidRPr="00FA3856" w:rsidRDefault="00414A01" w:rsidP="00083C1C">
            <w:pPr>
              <w:pStyle w:val="PSDS-CorpodeTexto0"/>
              <w:rPr>
                <w:rFonts w:ascii="Times New Roman" w:hAnsi="Times New Roman"/>
                <w:lang w:val="pt-PT"/>
              </w:rPr>
            </w:pPr>
            <w:r w:rsidRPr="00FA3856">
              <w:rPr>
                <w:rFonts w:ascii="Times New Roman" w:hAnsi="Times New Roman"/>
                <w:lang w:val="pt-PT"/>
              </w:rPr>
              <w:t>MES</w:t>
            </w:r>
          </w:p>
        </w:tc>
        <w:tc>
          <w:tcPr>
            <w:tcW w:w="12168" w:type="dxa"/>
            <w:tcBorders>
              <w:top w:val="single" w:sz="6" w:space="0" w:color="auto"/>
              <w:left w:val="single" w:sz="6" w:space="0" w:color="auto"/>
              <w:bottom w:val="single" w:sz="6" w:space="0" w:color="auto"/>
              <w:right w:val="single" w:sz="6" w:space="0" w:color="auto"/>
            </w:tcBorders>
          </w:tcPr>
          <w:p w:rsidR="00414A01" w:rsidRPr="00FA3856" w:rsidRDefault="00414A01" w:rsidP="00414A01">
            <w:pPr>
              <w:pStyle w:val="PSDS-CorpodeTexto0"/>
              <w:jc w:val="both"/>
              <w:rPr>
                <w:rFonts w:ascii="Times New Roman" w:eastAsia="Arial Unicode MS" w:hAnsi="Times New Roman"/>
                <w:lang w:val="pt-PT"/>
              </w:rPr>
            </w:pPr>
            <w:r w:rsidRPr="00FA3856">
              <w:rPr>
                <w:rFonts w:ascii="Times New Roman" w:eastAsia="Arial Unicode MS" w:hAnsi="Times New Roman"/>
                <w:b/>
                <w:lang w:val="pt-PT"/>
              </w:rPr>
              <w:t>REGRA_MES_FORA_PERI</w:t>
            </w:r>
            <w:r w:rsidR="00083C1C" w:rsidRPr="00FA3856">
              <w:rPr>
                <w:rFonts w:ascii="Times New Roman" w:eastAsia="Arial Unicode MS" w:hAnsi="Times New Roman"/>
                <w:b/>
                <w:lang w:val="pt-PT"/>
              </w:rPr>
              <w:t>O</w:t>
            </w:r>
            <w:r w:rsidRPr="00FA3856">
              <w:rPr>
                <w:rFonts w:ascii="Times New Roman" w:eastAsia="Arial Unicode MS" w:hAnsi="Times New Roman"/>
                <w:b/>
                <w:lang w:val="pt-PT"/>
              </w:rPr>
              <w:t xml:space="preserve">DO: </w:t>
            </w:r>
            <w:r w:rsidR="00516F95" w:rsidRPr="00FA3856">
              <w:rPr>
                <w:rFonts w:ascii="Times New Roman" w:eastAsia="Arial Unicode MS" w:hAnsi="Times New Roman"/>
                <w:lang w:val="pt-PT"/>
              </w:rPr>
              <w:t xml:space="preserve">Verifica se Y690.MES </w:t>
            </w:r>
            <w:r w:rsidRPr="00FA3856">
              <w:rPr>
                <w:rFonts w:ascii="Times New Roman" w:eastAsia="Arial Unicode MS" w:hAnsi="Times New Roman"/>
                <w:lang w:val="pt-PT"/>
              </w:rPr>
              <w:t>está compreendido no período informado entre 0000.DT_</w:t>
            </w:r>
            <w:r w:rsidR="005D549B" w:rsidRPr="00FA3856">
              <w:rPr>
                <w:rFonts w:ascii="Times New Roman" w:eastAsia="Arial Unicode MS" w:hAnsi="Times New Roman"/>
                <w:lang w:val="pt-PT"/>
              </w:rPr>
              <w:t xml:space="preserve">INI </w:t>
            </w:r>
            <w:r w:rsidRPr="00FA3856">
              <w:rPr>
                <w:rFonts w:ascii="Times New Roman" w:eastAsia="Arial Unicode MS" w:hAnsi="Times New Roman"/>
                <w:lang w:val="pt-PT"/>
              </w:rPr>
              <w:t>e 0000.DT</w:t>
            </w:r>
            <w:r w:rsidR="005D549B" w:rsidRPr="00FA3856">
              <w:rPr>
                <w:rFonts w:ascii="Times New Roman" w:eastAsia="Arial Unicode MS" w:hAnsi="Times New Roman"/>
                <w:lang w:val="pt-PT"/>
              </w:rPr>
              <w:t>_FIN</w:t>
            </w:r>
            <w:r w:rsidRPr="00FA3856">
              <w:rPr>
                <w:rFonts w:ascii="Times New Roman" w:eastAsia="Arial Unicode MS" w:hAnsi="Times New Roman"/>
                <w:lang w:val="pt-PT"/>
              </w:rPr>
              <w:t xml:space="preserve">. </w:t>
            </w:r>
          </w:p>
          <w:p w:rsidR="00516F95" w:rsidRPr="00FA3856" w:rsidRDefault="00516F95" w:rsidP="00414A01">
            <w:pPr>
              <w:pStyle w:val="PSDS-CorpodeTexto0"/>
              <w:jc w:val="both"/>
              <w:rPr>
                <w:rFonts w:ascii="Times New Roman" w:hAnsi="Times New Roman"/>
                <w:b/>
              </w:rPr>
            </w:pPr>
          </w:p>
        </w:tc>
        <w:tc>
          <w:tcPr>
            <w:tcW w:w="717" w:type="dxa"/>
            <w:tcBorders>
              <w:top w:val="single" w:sz="6" w:space="0" w:color="auto"/>
              <w:left w:val="single" w:sz="6" w:space="0" w:color="auto"/>
              <w:bottom w:val="single" w:sz="6" w:space="0" w:color="auto"/>
              <w:right w:val="single" w:sz="6" w:space="0" w:color="auto"/>
            </w:tcBorders>
          </w:tcPr>
          <w:p w:rsidR="00414A01" w:rsidRPr="00FA3856" w:rsidRDefault="00414A01" w:rsidP="00083C1C">
            <w:pPr>
              <w:pStyle w:val="PSDS-CorpodeTexto0"/>
              <w:rPr>
                <w:rFonts w:ascii="Times New Roman" w:hAnsi="Times New Roman"/>
                <w:lang w:val="pt-PT"/>
              </w:rPr>
            </w:pPr>
            <w:r w:rsidRPr="00FA3856">
              <w:rPr>
                <w:rFonts w:ascii="Times New Roman" w:hAnsi="Times New Roman"/>
                <w:lang w:val="pt-PT"/>
              </w:rPr>
              <w:t>Erro</w:t>
            </w:r>
          </w:p>
        </w:tc>
      </w:tr>
    </w:tbl>
    <w:p w:rsidR="00414A01" w:rsidRPr="00FA3856" w:rsidRDefault="00414A01" w:rsidP="003B49DF">
      <w:pPr>
        <w:pStyle w:val="Corpodetexto"/>
        <w:rPr>
          <w:rFonts w:ascii="Times New Roman" w:hAnsi="Times New Roman"/>
          <w:szCs w:val="20"/>
        </w:rPr>
      </w:pPr>
    </w:p>
    <w:p w:rsidR="00662A37" w:rsidRDefault="00662A37" w:rsidP="00662A37">
      <w:pPr>
        <w:pStyle w:val="Corpodetexto"/>
        <w:rPr>
          <w:rFonts w:ascii="Times New Roman" w:hAnsi="Times New Roman"/>
          <w:b/>
          <w:color w:val="002060"/>
          <w:szCs w:val="20"/>
        </w:rPr>
      </w:pPr>
      <w:r w:rsidRPr="00FA3856">
        <w:rPr>
          <w:rFonts w:ascii="Times New Roman" w:hAnsi="Times New Roman"/>
          <w:b/>
          <w:color w:val="002060"/>
          <w:szCs w:val="20"/>
        </w:rPr>
        <w:t xml:space="preserve">Exemplo de Preenchimento: </w:t>
      </w:r>
    </w:p>
    <w:p w:rsidR="000550B0" w:rsidRPr="00FA3856" w:rsidRDefault="000550B0" w:rsidP="00662A37">
      <w:pPr>
        <w:pStyle w:val="Corpodetexto"/>
        <w:rPr>
          <w:rFonts w:ascii="Times New Roman" w:hAnsi="Times New Roman"/>
          <w:b/>
          <w:color w:val="002060"/>
          <w:szCs w:val="20"/>
        </w:rPr>
      </w:pPr>
    </w:p>
    <w:p w:rsidR="00662A37" w:rsidRPr="00FA3856" w:rsidRDefault="00662A37" w:rsidP="000550B0">
      <w:pPr>
        <w:pStyle w:val="Corpodetexto"/>
        <w:rPr>
          <w:rFonts w:ascii="Times New Roman" w:hAnsi="Times New Roman"/>
          <w:b/>
          <w:color w:val="002060"/>
          <w:szCs w:val="20"/>
        </w:rPr>
      </w:pPr>
      <w:r w:rsidRPr="00FA3856">
        <w:rPr>
          <w:rFonts w:ascii="Times New Roman" w:hAnsi="Times New Roman"/>
          <w:b/>
          <w:color w:val="002060"/>
          <w:szCs w:val="20"/>
        </w:rPr>
        <w:t>|Y690|01|100000,00|</w:t>
      </w:r>
    </w:p>
    <w:p w:rsidR="00662A37" w:rsidRPr="00FA3856" w:rsidRDefault="00662A37" w:rsidP="000550B0">
      <w:pPr>
        <w:pStyle w:val="Corpodetexto"/>
        <w:ind w:firstLine="708"/>
        <w:rPr>
          <w:rFonts w:ascii="Times New Roman" w:hAnsi="Times New Roman"/>
          <w:color w:val="002060"/>
          <w:szCs w:val="20"/>
        </w:rPr>
      </w:pPr>
      <w:r w:rsidRPr="00FA3856">
        <w:rPr>
          <w:rFonts w:ascii="Times New Roman" w:hAnsi="Times New Roman"/>
          <w:color w:val="002060"/>
          <w:szCs w:val="20"/>
        </w:rPr>
        <w:t>|Y690|: Identificação do tipo do registro.</w:t>
      </w:r>
    </w:p>
    <w:p w:rsidR="00662A37" w:rsidRPr="00FA3856" w:rsidRDefault="00662A37" w:rsidP="000550B0">
      <w:pPr>
        <w:pStyle w:val="Corpodetexto"/>
        <w:ind w:firstLine="708"/>
        <w:rPr>
          <w:rFonts w:ascii="Times New Roman" w:hAnsi="Times New Roman"/>
          <w:color w:val="002060"/>
          <w:szCs w:val="20"/>
        </w:rPr>
      </w:pPr>
      <w:r w:rsidRPr="00FA3856">
        <w:rPr>
          <w:rFonts w:ascii="Times New Roman" w:hAnsi="Times New Roman"/>
          <w:color w:val="002060"/>
          <w:szCs w:val="20"/>
        </w:rPr>
        <w:t>|01|: Identificação do mês (janeiro).</w:t>
      </w:r>
    </w:p>
    <w:p w:rsidR="00FE44A1" w:rsidRPr="00FA3856" w:rsidRDefault="00662A37" w:rsidP="000550B0">
      <w:pPr>
        <w:pStyle w:val="Corpodetexto"/>
        <w:ind w:firstLine="708"/>
        <w:rPr>
          <w:rFonts w:ascii="Times New Roman" w:hAnsi="Times New Roman"/>
          <w:color w:val="002060"/>
          <w:szCs w:val="20"/>
        </w:rPr>
      </w:pPr>
      <w:r w:rsidRPr="00FA3856">
        <w:rPr>
          <w:rFonts w:ascii="Times New Roman" w:hAnsi="Times New Roman"/>
          <w:color w:val="002060"/>
          <w:szCs w:val="20"/>
        </w:rPr>
        <w:t>|100000,00|: Receita bruta do mês de janeiro (R$ 100.000,00).</w:t>
      </w:r>
    </w:p>
    <w:p w:rsidR="00662A37" w:rsidRPr="00FA3856" w:rsidRDefault="00662A37" w:rsidP="00662A37">
      <w:pPr>
        <w:pStyle w:val="Corpodetexto"/>
        <w:ind w:left="708" w:firstLine="708"/>
        <w:rPr>
          <w:rFonts w:ascii="Times New Roman" w:hAnsi="Times New Roman"/>
          <w:color w:val="002060"/>
          <w:szCs w:val="20"/>
        </w:rPr>
      </w:pPr>
    </w:p>
    <w:p w:rsidR="00662A37" w:rsidRPr="00FA3856" w:rsidRDefault="00662A37" w:rsidP="000550B0">
      <w:pPr>
        <w:pStyle w:val="Corpodetexto"/>
        <w:rPr>
          <w:rFonts w:ascii="Times New Roman" w:hAnsi="Times New Roman"/>
          <w:b/>
          <w:color w:val="002060"/>
          <w:szCs w:val="20"/>
        </w:rPr>
      </w:pPr>
      <w:r w:rsidRPr="00FA3856">
        <w:rPr>
          <w:rFonts w:ascii="Times New Roman" w:hAnsi="Times New Roman"/>
          <w:b/>
          <w:color w:val="002060"/>
          <w:szCs w:val="20"/>
        </w:rPr>
        <w:t>|Y690|02|200000,00|</w:t>
      </w:r>
    </w:p>
    <w:p w:rsidR="00662A37" w:rsidRPr="00FA3856" w:rsidRDefault="00662A37" w:rsidP="000550B0">
      <w:pPr>
        <w:pStyle w:val="Corpodetexto"/>
        <w:ind w:firstLine="708"/>
        <w:rPr>
          <w:rFonts w:ascii="Times New Roman" w:hAnsi="Times New Roman"/>
          <w:color w:val="002060"/>
          <w:szCs w:val="20"/>
        </w:rPr>
      </w:pPr>
      <w:r w:rsidRPr="00FA3856">
        <w:rPr>
          <w:rFonts w:ascii="Times New Roman" w:hAnsi="Times New Roman"/>
          <w:color w:val="002060"/>
          <w:szCs w:val="20"/>
        </w:rPr>
        <w:t>|Y690|: Identificação do tipo do registro.</w:t>
      </w:r>
    </w:p>
    <w:p w:rsidR="00662A37" w:rsidRPr="00FA3856" w:rsidRDefault="00662A37" w:rsidP="000550B0">
      <w:pPr>
        <w:pStyle w:val="Corpodetexto"/>
        <w:ind w:firstLine="708"/>
        <w:rPr>
          <w:rFonts w:ascii="Times New Roman" w:hAnsi="Times New Roman"/>
          <w:color w:val="002060"/>
          <w:szCs w:val="20"/>
        </w:rPr>
      </w:pPr>
      <w:r w:rsidRPr="00FA3856">
        <w:rPr>
          <w:rFonts w:ascii="Times New Roman" w:hAnsi="Times New Roman"/>
          <w:color w:val="002060"/>
          <w:szCs w:val="20"/>
        </w:rPr>
        <w:t>|02|: Identificação do mês (fevereiro).</w:t>
      </w:r>
    </w:p>
    <w:p w:rsidR="00662A37" w:rsidRPr="00FA3856" w:rsidRDefault="00662A37" w:rsidP="000550B0">
      <w:pPr>
        <w:pStyle w:val="Corpodetexto"/>
        <w:ind w:firstLine="708"/>
        <w:rPr>
          <w:rFonts w:ascii="Times New Roman" w:hAnsi="Times New Roman"/>
          <w:color w:val="002060"/>
          <w:szCs w:val="20"/>
        </w:rPr>
      </w:pPr>
      <w:r w:rsidRPr="00FA3856">
        <w:rPr>
          <w:rFonts w:ascii="Times New Roman" w:hAnsi="Times New Roman"/>
          <w:color w:val="002060"/>
          <w:szCs w:val="20"/>
        </w:rPr>
        <w:t>|200000,00|: Receita bruta do mês de fevereiro (R$ 200.000,00).</w:t>
      </w:r>
    </w:p>
    <w:p w:rsidR="00662A37" w:rsidRPr="00FA3856" w:rsidRDefault="00662A37" w:rsidP="00662A37">
      <w:pPr>
        <w:pStyle w:val="Corpodetexto"/>
        <w:ind w:left="708" w:firstLine="708"/>
        <w:rPr>
          <w:rFonts w:ascii="Times New Roman" w:hAnsi="Times New Roman"/>
          <w:color w:val="002060"/>
          <w:szCs w:val="20"/>
        </w:rPr>
      </w:pPr>
    </w:p>
    <w:p w:rsidR="00662A37" w:rsidRPr="00FA3856" w:rsidRDefault="00662A37" w:rsidP="000550B0">
      <w:pPr>
        <w:pStyle w:val="Corpodetexto"/>
        <w:rPr>
          <w:rFonts w:ascii="Times New Roman" w:hAnsi="Times New Roman"/>
          <w:b/>
          <w:color w:val="002060"/>
          <w:szCs w:val="20"/>
        </w:rPr>
      </w:pPr>
      <w:r w:rsidRPr="00FA3856">
        <w:rPr>
          <w:rFonts w:ascii="Times New Roman" w:hAnsi="Times New Roman"/>
          <w:b/>
          <w:color w:val="002060"/>
          <w:szCs w:val="20"/>
        </w:rPr>
        <w:t>|Y690|03|111123,04|</w:t>
      </w:r>
    </w:p>
    <w:p w:rsidR="00662A37" w:rsidRPr="00FA3856" w:rsidRDefault="00662A37" w:rsidP="000550B0">
      <w:pPr>
        <w:pStyle w:val="Corpodetexto"/>
        <w:ind w:firstLine="708"/>
        <w:rPr>
          <w:rFonts w:ascii="Times New Roman" w:hAnsi="Times New Roman"/>
          <w:color w:val="002060"/>
          <w:szCs w:val="20"/>
        </w:rPr>
      </w:pPr>
      <w:r w:rsidRPr="00FA3856">
        <w:rPr>
          <w:rFonts w:ascii="Times New Roman" w:hAnsi="Times New Roman"/>
          <w:color w:val="002060"/>
          <w:szCs w:val="20"/>
        </w:rPr>
        <w:t>|Y690|: Identificação do tipo do registro.</w:t>
      </w:r>
    </w:p>
    <w:p w:rsidR="00662A37" w:rsidRPr="00FA3856" w:rsidRDefault="00662A37" w:rsidP="000550B0">
      <w:pPr>
        <w:pStyle w:val="Corpodetexto"/>
        <w:ind w:firstLine="708"/>
        <w:rPr>
          <w:rFonts w:ascii="Times New Roman" w:hAnsi="Times New Roman"/>
          <w:color w:val="002060"/>
          <w:szCs w:val="20"/>
        </w:rPr>
      </w:pPr>
      <w:r w:rsidRPr="00FA3856">
        <w:rPr>
          <w:rFonts w:ascii="Times New Roman" w:hAnsi="Times New Roman"/>
          <w:color w:val="002060"/>
          <w:szCs w:val="20"/>
        </w:rPr>
        <w:t>|03|: Identificação do mês (março).</w:t>
      </w:r>
    </w:p>
    <w:p w:rsidR="00662A37" w:rsidRPr="00FA3856" w:rsidRDefault="00662A37" w:rsidP="000550B0">
      <w:pPr>
        <w:pStyle w:val="Corpodetexto"/>
        <w:ind w:firstLine="708"/>
        <w:rPr>
          <w:rFonts w:ascii="Times New Roman" w:hAnsi="Times New Roman"/>
          <w:color w:val="002060"/>
          <w:szCs w:val="20"/>
        </w:rPr>
      </w:pPr>
      <w:r w:rsidRPr="00FA3856">
        <w:rPr>
          <w:rFonts w:ascii="Times New Roman" w:hAnsi="Times New Roman"/>
          <w:color w:val="002060"/>
          <w:szCs w:val="20"/>
        </w:rPr>
        <w:t>|111123,04|: Receita bruta do mês de março (R$ 111.123,04).</w:t>
      </w:r>
    </w:p>
    <w:p w:rsidR="00662A37" w:rsidRPr="00FA3856" w:rsidRDefault="00662A37" w:rsidP="00662A37">
      <w:pPr>
        <w:pStyle w:val="Corpodetexto"/>
        <w:ind w:left="708" w:firstLine="708"/>
        <w:rPr>
          <w:rFonts w:ascii="Times New Roman" w:hAnsi="Times New Roman"/>
          <w:color w:val="002060"/>
          <w:szCs w:val="20"/>
        </w:rPr>
      </w:pPr>
    </w:p>
    <w:p w:rsidR="00662A37" w:rsidRPr="00FA3856" w:rsidRDefault="00662A37" w:rsidP="000550B0">
      <w:pPr>
        <w:pStyle w:val="Corpodetexto"/>
        <w:rPr>
          <w:rFonts w:ascii="Times New Roman" w:hAnsi="Times New Roman"/>
          <w:b/>
          <w:color w:val="002060"/>
          <w:szCs w:val="20"/>
        </w:rPr>
      </w:pPr>
      <w:r w:rsidRPr="00FA3856">
        <w:rPr>
          <w:rFonts w:ascii="Times New Roman" w:hAnsi="Times New Roman"/>
          <w:b/>
          <w:color w:val="002060"/>
          <w:szCs w:val="20"/>
        </w:rPr>
        <w:t>|Y690|11|2345678,10|</w:t>
      </w:r>
    </w:p>
    <w:p w:rsidR="00662A37" w:rsidRPr="00FA3856" w:rsidRDefault="00662A37" w:rsidP="000550B0">
      <w:pPr>
        <w:pStyle w:val="Corpodetexto"/>
        <w:ind w:firstLine="708"/>
        <w:rPr>
          <w:rFonts w:ascii="Times New Roman" w:hAnsi="Times New Roman"/>
          <w:color w:val="002060"/>
          <w:szCs w:val="20"/>
        </w:rPr>
      </w:pPr>
      <w:r w:rsidRPr="00FA3856">
        <w:rPr>
          <w:rFonts w:ascii="Times New Roman" w:hAnsi="Times New Roman"/>
          <w:color w:val="002060"/>
          <w:szCs w:val="20"/>
        </w:rPr>
        <w:t>|Y690|: Identificação do tipo do registro.</w:t>
      </w:r>
    </w:p>
    <w:p w:rsidR="00662A37" w:rsidRPr="00FA3856" w:rsidRDefault="00662A37" w:rsidP="000550B0">
      <w:pPr>
        <w:pStyle w:val="Corpodetexto"/>
        <w:ind w:firstLine="708"/>
        <w:rPr>
          <w:rFonts w:ascii="Times New Roman" w:hAnsi="Times New Roman"/>
          <w:color w:val="002060"/>
          <w:szCs w:val="20"/>
        </w:rPr>
      </w:pPr>
      <w:r w:rsidRPr="00FA3856">
        <w:rPr>
          <w:rFonts w:ascii="Times New Roman" w:hAnsi="Times New Roman"/>
          <w:color w:val="002060"/>
          <w:szCs w:val="20"/>
        </w:rPr>
        <w:t>|11|: Identificação do mês (novembro).</w:t>
      </w:r>
    </w:p>
    <w:p w:rsidR="00662A37" w:rsidRPr="00FA3856" w:rsidRDefault="00662A37" w:rsidP="000550B0">
      <w:pPr>
        <w:pStyle w:val="Corpodetexto"/>
        <w:ind w:firstLine="708"/>
        <w:rPr>
          <w:rFonts w:ascii="Times New Roman" w:hAnsi="Times New Roman"/>
          <w:color w:val="002060"/>
          <w:szCs w:val="20"/>
        </w:rPr>
      </w:pPr>
      <w:r w:rsidRPr="00FA3856">
        <w:rPr>
          <w:rFonts w:ascii="Times New Roman" w:hAnsi="Times New Roman"/>
          <w:color w:val="002060"/>
          <w:szCs w:val="20"/>
        </w:rPr>
        <w:t>|2345678,10|: Receita bruta do mês de novembro (R$ 2.345.678,10).</w:t>
      </w:r>
    </w:p>
    <w:p w:rsidR="00662A37" w:rsidRPr="00FA3856" w:rsidRDefault="00662A37" w:rsidP="00662A37">
      <w:pPr>
        <w:pStyle w:val="Corpodetexto"/>
        <w:ind w:firstLine="708"/>
        <w:rPr>
          <w:rFonts w:ascii="Times New Roman" w:hAnsi="Times New Roman"/>
          <w:b/>
          <w:color w:val="002060"/>
          <w:szCs w:val="20"/>
        </w:rPr>
      </w:pPr>
    </w:p>
    <w:p w:rsidR="00662A37" w:rsidRPr="00FA3856" w:rsidRDefault="00662A37" w:rsidP="000550B0">
      <w:pPr>
        <w:pStyle w:val="Corpodetexto"/>
        <w:rPr>
          <w:rFonts w:ascii="Times New Roman" w:hAnsi="Times New Roman"/>
          <w:b/>
          <w:color w:val="002060"/>
          <w:szCs w:val="20"/>
        </w:rPr>
      </w:pPr>
      <w:r w:rsidRPr="00FA3856">
        <w:rPr>
          <w:rFonts w:ascii="Times New Roman" w:hAnsi="Times New Roman"/>
          <w:b/>
          <w:color w:val="002060"/>
          <w:szCs w:val="20"/>
        </w:rPr>
        <w:t>|Y690|12|1000000,00|</w:t>
      </w:r>
    </w:p>
    <w:p w:rsidR="00662A37" w:rsidRPr="00FA3856" w:rsidRDefault="00662A37" w:rsidP="000550B0">
      <w:pPr>
        <w:pStyle w:val="Corpodetexto"/>
        <w:ind w:firstLine="708"/>
        <w:rPr>
          <w:rFonts w:ascii="Times New Roman" w:hAnsi="Times New Roman"/>
          <w:color w:val="002060"/>
          <w:szCs w:val="20"/>
        </w:rPr>
      </w:pPr>
      <w:r w:rsidRPr="00FA3856">
        <w:rPr>
          <w:rFonts w:ascii="Times New Roman" w:hAnsi="Times New Roman"/>
          <w:color w:val="002060"/>
          <w:szCs w:val="20"/>
        </w:rPr>
        <w:t>|Y690|: Identificação do tipo do registro.</w:t>
      </w:r>
    </w:p>
    <w:p w:rsidR="00662A37" w:rsidRPr="00FA3856" w:rsidRDefault="00662A37" w:rsidP="000550B0">
      <w:pPr>
        <w:pStyle w:val="Corpodetexto"/>
        <w:ind w:firstLine="708"/>
        <w:rPr>
          <w:rFonts w:ascii="Times New Roman" w:hAnsi="Times New Roman"/>
          <w:color w:val="002060"/>
          <w:szCs w:val="20"/>
        </w:rPr>
      </w:pPr>
      <w:r w:rsidRPr="00FA3856">
        <w:rPr>
          <w:rFonts w:ascii="Times New Roman" w:hAnsi="Times New Roman"/>
          <w:color w:val="002060"/>
          <w:szCs w:val="20"/>
        </w:rPr>
        <w:t>|12|: Identificação do mês (dezembro).</w:t>
      </w:r>
    </w:p>
    <w:p w:rsidR="00662A37" w:rsidRPr="00FA3856" w:rsidRDefault="00662A37" w:rsidP="000550B0">
      <w:pPr>
        <w:pStyle w:val="Corpodetexto"/>
        <w:ind w:firstLine="708"/>
        <w:rPr>
          <w:rFonts w:ascii="Times New Roman" w:hAnsi="Times New Roman"/>
          <w:color w:val="002060"/>
          <w:szCs w:val="20"/>
        </w:rPr>
      </w:pPr>
      <w:r w:rsidRPr="00FA3856">
        <w:rPr>
          <w:rFonts w:ascii="Times New Roman" w:hAnsi="Times New Roman"/>
          <w:color w:val="002060"/>
          <w:szCs w:val="20"/>
        </w:rPr>
        <w:t>|1000000,00|: Receita bruta do mês de dezembro (R$ 1.000.000,00).</w:t>
      </w:r>
    </w:p>
    <w:p w:rsidR="00662A37" w:rsidRPr="00FA3856" w:rsidRDefault="00662A37">
      <w:pPr>
        <w:rPr>
          <w:b/>
          <w:bCs/>
          <w:color w:val="0000FF"/>
          <w:szCs w:val="20"/>
        </w:rPr>
      </w:pPr>
    </w:p>
    <w:p w:rsidR="005E1760" w:rsidRPr="00FA3856" w:rsidRDefault="00E66953" w:rsidP="00867F54">
      <w:pPr>
        <w:pStyle w:val="Ttulo4"/>
      </w:pPr>
      <w:r w:rsidRPr="00FA3856">
        <w:br w:type="page"/>
      </w:r>
      <w:bookmarkStart w:id="452" w:name="_Toc437067674"/>
      <w:bookmarkStart w:id="453" w:name="_Toc479713843"/>
      <w:r w:rsidR="005E1760" w:rsidRPr="00FA3856">
        <w:lastRenderedPageBreak/>
        <w:t>Registro Y720: Informações de Períodos Anteriores</w:t>
      </w:r>
      <w:bookmarkEnd w:id="452"/>
      <w:bookmarkEnd w:id="453"/>
    </w:p>
    <w:p w:rsidR="005E1760" w:rsidRPr="00FA3856" w:rsidRDefault="005E1760" w:rsidP="005E1760">
      <w:pPr>
        <w:shd w:val="clear" w:color="auto" w:fill="FFFFFF"/>
        <w:rPr>
          <w:rFonts w:ascii="Arial" w:hAnsi="Arial" w:cs="Arial"/>
          <w:color w:val="000000"/>
          <w:sz w:val="18"/>
          <w:szCs w:val="18"/>
        </w:rPr>
      </w:pPr>
    </w:p>
    <w:p w:rsidR="00A2246C" w:rsidRPr="00D756FC" w:rsidRDefault="005E1760" w:rsidP="00A2246C">
      <w:pPr>
        <w:shd w:val="clear" w:color="auto" w:fill="FFFFFF"/>
        <w:jc w:val="both"/>
        <w:rPr>
          <w:rFonts w:eastAsia="Times New Roman" w:cs="Times New Roman"/>
          <w:color w:val="222222"/>
          <w:szCs w:val="20"/>
          <w:lang w:eastAsia="pt-BR"/>
        </w:rPr>
      </w:pPr>
      <w:r w:rsidRPr="00FA3856">
        <w:rPr>
          <w:rFonts w:ascii="Arial" w:hAnsi="Arial" w:cs="Arial"/>
          <w:color w:val="000000"/>
          <w:sz w:val="18"/>
          <w:szCs w:val="18"/>
        </w:rPr>
        <w:t> </w:t>
      </w:r>
      <w:r w:rsidRPr="00FA3856">
        <w:rPr>
          <w:rFonts w:ascii="Arial" w:hAnsi="Arial" w:cs="Arial"/>
          <w:color w:val="000000"/>
          <w:sz w:val="18"/>
          <w:szCs w:val="18"/>
        </w:rPr>
        <w:tab/>
      </w:r>
      <w:r w:rsidR="00A2246C" w:rsidRPr="00D756FC">
        <w:rPr>
          <w:rFonts w:eastAsia="Times New Roman" w:cs="Times New Roman"/>
          <w:color w:val="222222"/>
          <w:szCs w:val="20"/>
          <w:lang w:eastAsia="pt-BR"/>
        </w:rPr>
        <w:t>Este registro é obrigatório apenas por ocasião da entrega da escrituração em atraso. A sua obrigatoriedade será verificada na hora da validação para a transmissão.</w:t>
      </w:r>
    </w:p>
    <w:p w:rsidR="00A2246C" w:rsidRPr="00D756FC" w:rsidRDefault="00A2246C" w:rsidP="00A2246C">
      <w:pPr>
        <w:shd w:val="clear" w:color="auto" w:fill="FFFFFF"/>
        <w:jc w:val="both"/>
        <w:rPr>
          <w:rFonts w:eastAsia="Times New Roman" w:cs="Times New Roman"/>
          <w:color w:val="222222"/>
          <w:szCs w:val="20"/>
          <w:lang w:eastAsia="pt-BR"/>
        </w:rPr>
      </w:pPr>
      <w:r w:rsidRPr="00D756FC">
        <w:rPr>
          <w:rFonts w:eastAsia="Times New Roman" w:cs="Times New Roman"/>
          <w:color w:val="222222"/>
          <w:szCs w:val="20"/>
          <w:lang w:eastAsia="pt-BR"/>
        </w:rPr>
        <w:t> </w:t>
      </w:r>
    </w:p>
    <w:p w:rsidR="00A2246C" w:rsidRPr="00D756FC" w:rsidRDefault="00A2246C" w:rsidP="00A2246C">
      <w:pPr>
        <w:shd w:val="clear" w:color="auto" w:fill="FFFFFF"/>
        <w:ind w:firstLine="708"/>
        <w:jc w:val="both"/>
        <w:rPr>
          <w:rFonts w:eastAsia="Times New Roman" w:cs="Times New Roman"/>
          <w:color w:val="222222"/>
          <w:szCs w:val="20"/>
          <w:lang w:eastAsia="pt-BR"/>
        </w:rPr>
      </w:pPr>
      <w:r w:rsidRPr="00D756FC">
        <w:rPr>
          <w:rFonts w:eastAsia="Times New Roman" w:cs="Times New Roman"/>
          <w:color w:val="222222"/>
          <w:szCs w:val="20"/>
          <w:lang w:eastAsia="pt-BR"/>
        </w:rPr>
        <w:t>Para as empresas tributadas pelo lucro real, a ECD compõe o Lalur e a sua não apresentação ou apresentação com atraso sujeita o contribuinte à multa a que se refere o art. 8º-A do Decreto-lei nº 1.598/1977, incluído pela lei nº 12.973/2014, norma que foi disciplinada pelo art. 6º da Instrução Normativa R</w:t>
      </w:r>
      <w:r w:rsidR="00745FC4">
        <w:rPr>
          <w:rFonts w:eastAsia="Times New Roman" w:cs="Times New Roman"/>
          <w:color w:val="222222"/>
          <w:szCs w:val="20"/>
          <w:lang w:eastAsia="pt-BR"/>
        </w:rPr>
        <w:t>FB nº 1.422/2013 e pelo art. 311</w:t>
      </w:r>
      <w:r w:rsidRPr="00D756FC">
        <w:rPr>
          <w:rFonts w:eastAsia="Times New Roman" w:cs="Times New Roman"/>
          <w:color w:val="222222"/>
          <w:szCs w:val="20"/>
          <w:lang w:eastAsia="pt-BR"/>
        </w:rPr>
        <w:t xml:space="preserve"> da </w:t>
      </w:r>
      <w:r w:rsidR="00745FC4">
        <w:rPr>
          <w:rFonts w:eastAsia="Times New Roman" w:cs="Times New Roman"/>
          <w:color w:val="222222"/>
          <w:szCs w:val="20"/>
          <w:lang w:eastAsia="pt-BR"/>
        </w:rPr>
        <w:t>Instrução Normativa RFB nº 1.700/2017</w:t>
      </w:r>
      <w:r w:rsidRPr="00D756FC">
        <w:rPr>
          <w:rFonts w:eastAsia="Times New Roman" w:cs="Times New Roman"/>
          <w:color w:val="222222"/>
          <w:szCs w:val="20"/>
          <w:lang w:eastAsia="pt-BR"/>
        </w:rPr>
        <w:t>. </w:t>
      </w:r>
    </w:p>
    <w:p w:rsidR="00A2246C" w:rsidRPr="00D756FC" w:rsidRDefault="00A2246C" w:rsidP="00A2246C">
      <w:pPr>
        <w:shd w:val="clear" w:color="auto" w:fill="FFFFFF"/>
        <w:jc w:val="both"/>
        <w:rPr>
          <w:rFonts w:eastAsia="Times New Roman" w:cs="Times New Roman"/>
          <w:color w:val="222222"/>
          <w:szCs w:val="20"/>
          <w:lang w:eastAsia="pt-BR"/>
        </w:rPr>
      </w:pPr>
      <w:r w:rsidRPr="00D756FC">
        <w:rPr>
          <w:rFonts w:eastAsia="Times New Roman" w:cs="Times New Roman"/>
          <w:color w:val="222222"/>
          <w:szCs w:val="20"/>
          <w:lang w:eastAsia="pt-BR"/>
        </w:rPr>
        <w:t> </w:t>
      </w:r>
    </w:p>
    <w:p w:rsidR="00A2246C" w:rsidRPr="00D756FC" w:rsidRDefault="00A2246C" w:rsidP="00A2246C">
      <w:pPr>
        <w:shd w:val="clear" w:color="auto" w:fill="FFFFFF"/>
        <w:ind w:firstLine="708"/>
        <w:jc w:val="both"/>
        <w:rPr>
          <w:rFonts w:eastAsia="Times New Roman" w:cs="Times New Roman"/>
          <w:color w:val="222222"/>
          <w:szCs w:val="20"/>
          <w:lang w:eastAsia="pt-BR"/>
        </w:rPr>
      </w:pPr>
      <w:r w:rsidRPr="00D756FC">
        <w:rPr>
          <w:rFonts w:eastAsia="Times New Roman" w:cs="Times New Roman"/>
          <w:color w:val="222222"/>
          <w:szCs w:val="20"/>
          <w:lang w:eastAsia="pt-BR"/>
        </w:rPr>
        <w:t>A multa incidirá sobre o valor lucro líquido antes do Imposto de Renda da pessoa jurídica e da Contribuição Social sobre o Lucro Líquido, no período a que se refere a apuração.</w:t>
      </w:r>
    </w:p>
    <w:p w:rsidR="00A2246C" w:rsidRPr="00D756FC" w:rsidRDefault="00A2246C" w:rsidP="00A2246C">
      <w:pPr>
        <w:shd w:val="clear" w:color="auto" w:fill="FFFFFF"/>
        <w:jc w:val="both"/>
        <w:rPr>
          <w:rFonts w:eastAsia="Times New Roman" w:cs="Times New Roman"/>
          <w:color w:val="222222"/>
          <w:szCs w:val="20"/>
          <w:lang w:eastAsia="pt-BR"/>
        </w:rPr>
      </w:pPr>
      <w:r w:rsidRPr="00D756FC">
        <w:rPr>
          <w:rFonts w:eastAsia="Times New Roman" w:cs="Times New Roman"/>
          <w:color w:val="222222"/>
          <w:szCs w:val="20"/>
          <w:lang w:eastAsia="pt-BR"/>
        </w:rPr>
        <w:t> </w:t>
      </w:r>
    </w:p>
    <w:p w:rsidR="00A2246C" w:rsidRPr="00D756FC" w:rsidRDefault="00A2246C" w:rsidP="00A2246C">
      <w:pPr>
        <w:shd w:val="clear" w:color="auto" w:fill="FFFFFF"/>
        <w:ind w:firstLine="708"/>
        <w:jc w:val="both"/>
        <w:rPr>
          <w:rFonts w:eastAsia="Times New Roman" w:cs="Times New Roman"/>
          <w:color w:val="222222"/>
          <w:szCs w:val="20"/>
          <w:lang w:eastAsia="pt-BR"/>
        </w:rPr>
      </w:pPr>
      <w:r w:rsidRPr="00D756FC">
        <w:rPr>
          <w:rFonts w:eastAsia="Times New Roman" w:cs="Times New Roman"/>
          <w:color w:val="222222"/>
          <w:szCs w:val="20"/>
          <w:lang w:eastAsia="pt-BR"/>
        </w:rPr>
        <w:t>Assim sendo, </w:t>
      </w:r>
      <w:r w:rsidRPr="00D756FC">
        <w:rPr>
          <w:rFonts w:eastAsia="Times New Roman" w:cs="Times New Roman"/>
          <w:b/>
          <w:bCs/>
          <w:i/>
          <w:iCs/>
          <w:color w:val="222222"/>
          <w:szCs w:val="20"/>
          <w:lang w:eastAsia="pt-BR"/>
        </w:rPr>
        <w:t>i)</w:t>
      </w:r>
      <w:r w:rsidRPr="00D756FC">
        <w:rPr>
          <w:rFonts w:eastAsia="Times New Roman" w:cs="Times New Roman"/>
          <w:color w:val="222222"/>
          <w:szCs w:val="20"/>
          <w:lang w:eastAsia="pt-BR"/>
        </w:rPr>
        <w:t> quando a forma de apuração for o lucro real anual, deverá ser considerada como base, a receita líquida antes da incidência do Imposto de Renda da pessoa jurídica e da Contribuição Social sobre o lucro líquido do período da ECF entregue em atraso; e </w:t>
      </w:r>
      <w:r w:rsidRPr="00D756FC">
        <w:rPr>
          <w:rFonts w:eastAsia="Times New Roman" w:cs="Times New Roman"/>
          <w:b/>
          <w:bCs/>
          <w:i/>
          <w:iCs/>
          <w:color w:val="222222"/>
          <w:szCs w:val="20"/>
          <w:lang w:eastAsia="pt-BR"/>
        </w:rPr>
        <w:t>ii)</w:t>
      </w:r>
      <w:r w:rsidRPr="00D756FC">
        <w:rPr>
          <w:rFonts w:eastAsia="Times New Roman" w:cs="Times New Roman"/>
          <w:color w:val="222222"/>
          <w:szCs w:val="20"/>
          <w:lang w:eastAsia="pt-BR"/>
        </w:rPr>
        <w:t> quando a forma de apuração for lucro real trimestral, deverá ser considerado como base, o somatório das receitas líquidas antes da incidência do Imposto de Renda da pessoa jurídica e da Contribuição Social sobre o lucro líquido de todos os trimestrais a que se refere a escrituração entregue em atraso.</w:t>
      </w:r>
    </w:p>
    <w:p w:rsidR="00A2246C" w:rsidRPr="00D756FC" w:rsidRDefault="00A2246C" w:rsidP="00A2246C">
      <w:pPr>
        <w:shd w:val="clear" w:color="auto" w:fill="FFFFFF"/>
        <w:jc w:val="both"/>
        <w:rPr>
          <w:rFonts w:eastAsia="Times New Roman" w:cs="Times New Roman"/>
          <w:color w:val="222222"/>
          <w:szCs w:val="20"/>
          <w:lang w:eastAsia="pt-BR"/>
        </w:rPr>
      </w:pPr>
      <w:r w:rsidRPr="00D756FC">
        <w:rPr>
          <w:rFonts w:eastAsia="Times New Roman" w:cs="Times New Roman"/>
          <w:color w:val="222222"/>
          <w:szCs w:val="20"/>
          <w:lang w:eastAsia="pt-BR"/>
        </w:rPr>
        <w:t> </w:t>
      </w:r>
    </w:p>
    <w:p w:rsidR="00A2246C" w:rsidRPr="00D756FC" w:rsidRDefault="00A2246C" w:rsidP="00A2246C">
      <w:pPr>
        <w:shd w:val="clear" w:color="auto" w:fill="FFFFFF"/>
        <w:ind w:firstLine="708"/>
        <w:jc w:val="both"/>
        <w:rPr>
          <w:rFonts w:eastAsia="Times New Roman" w:cs="Times New Roman"/>
          <w:color w:val="222222"/>
          <w:szCs w:val="20"/>
          <w:lang w:eastAsia="pt-BR"/>
        </w:rPr>
      </w:pPr>
      <w:r w:rsidRPr="00D756FC">
        <w:rPr>
          <w:rFonts w:eastAsia="Times New Roman" w:cs="Times New Roman"/>
          <w:color w:val="222222"/>
          <w:szCs w:val="20"/>
          <w:lang w:eastAsia="pt-BR"/>
        </w:rPr>
        <w:t>Conforme está previsto no parágrafo 1º do art. 8º-A do Decreto-Lei n</w:t>
      </w:r>
      <w:r w:rsidRPr="00D756FC">
        <w:rPr>
          <w:rFonts w:eastAsia="Times New Roman" w:cs="Times New Roman"/>
          <w:color w:val="222222"/>
          <w:szCs w:val="20"/>
          <w:u w:val="single"/>
          <w:vertAlign w:val="superscript"/>
          <w:lang w:eastAsia="pt-BR"/>
        </w:rPr>
        <w:t>o</w:t>
      </w:r>
      <w:r w:rsidRPr="00D756FC">
        <w:rPr>
          <w:rFonts w:eastAsia="Times New Roman" w:cs="Times New Roman"/>
          <w:color w:val="222222"/>
          <w:szCs w:val="20"/>
          <w:lang w:eastAsia="pt-BR"/>
        </w:rPr>
        <w:t> 1.598/1977, há um limite para o valor da multa, estabelecido em função do valor da receita bruta total do ano-calendário anterior. Logo, essa informação será exigida no programa.</w:t>
      </w:r>
    </w:p>
    <w:p w:rsidR="00A2246C" w:rsidRPr="00D756FC" w:rsidRDefault="00A2246C" w:rsidP="00A2246C">
      <w:pPr>
        <w:shd w:val="clear" w:color="auto" w:fill="FFFFFF"/>
        <w:jc w:val="both"/>
        <w:rPr>
          <w:rFonts w:eastAsia="Times New Roman" w:cs="Times New Roman"/>
          <w:color w:val="222222"/>
          <w:szCs w:val="20"/>
          <w:lang w:eastAsia="pt-BR"/>
        </w:rPr>
      </w:pPr>
      <w:r w:rsidRPr="00D756FC">
        <w:rPr>
          <w:rFonts w:eastAsia="Times New Roman" w:cs="Times New Roman"/>
          <w:color w:val="222222"/>
          <w:szCs w:val="20"/>
          <w:lang w:eastAsia="pt-BR"/>
        </w:rPr>
        <w:t> </w:t>
      </w:r>
    </w:p>
    <w:p w:rsidR="00A2246C" w:rsidRPr="00D756FC" w:rsidRDefault="00A2246C" w:rsidP="00A2246C">
      <w:pPr>
        <w:shd w:val="clear" w:color="auto" w:fill="FFFFFF"/>
        <w:ind w:firstLine="708"/>
        <w:jc w:val="both"/>
        <w:rPr>
          <w:rFonts w:eastAsia="Times New Roman" w:cs="Times New Roman"/>
          <w:color w:val="222222"/>
          <w:szCs w:val="20"/>
          <w:lang w:eastAsia="pt-BR"/>
        </w:rPr>
      </w:pPr>
      <w:r w:rsidRPr="00D756FC">
        <w:rPr>
          <w:rFonts w:eastAsia="Times New Roman" w:cs="Times New Roman"/>
          <w:color w:val="222222"/>
          <w:szCs w:val="20"/>
          <w:lang w:eastAsia="pt-BR"/>
        </w:rPr>
        <w:t>Também nos termos do parágrafo 2º do art. 8º-A do Decreto-Lei n</w:t>
      </w:r>
      <w:r w:rsidRPr="00D756FC">
        <w:rPr>
          <w:rFonts w:eastAsia="Times New Roman" w:cs="Times New Roman"/>
          <w:color w:val="222222"/>
          <w:szCs w:val="20"/>
          <w:u w:val="single"/>
          <w:vertAlign w:val="superscript"/>
          <w:lang w:eastAsia="pt-BR"/>
        </w:rPr>
        <w:t>o</w:t>
      </w:r>
      <w:r w:rsidRPr="00D756FC">
        <w:rPr>
          <w:rFonts w:eastAsia="Times New Roman" w:cs="Times New Roman"/>
          <w:color w:val="222222"/>
          <w:szCs w:val="20"/>
          <w:lang w:eastAsia="pt-BR"/>
        </w:rPr>
        <w:t> 1.598/1977, para a situação em que a empresa não tenha apresentado lucro líquido no período de apuração a que se refere a ECF, deverá ser utilizado como base, o lucro líquido, antes do Imposto de Renda e da Contribuição Social do último período de apuração, atualizado pela taxa referencial do Sistema Especial de Liquidação e de Custódia - Selic, até o termo final de encerramento do período a que se refere a escrituração. </w:t>
      </w:r>
    </w:p>
    <w:p w:rsidR="00A2246C" w:rsidRPr="00D756FC" w:rsidRDefault="00A2246C" w:rsidP="00A2246C">
      <w:pPr>
        <w:shd w:val="clear" w:color="auto" w:fill="FFFFFF"/>
        <w:jc w:val="both"/>
        <w:rPr>
          <w:rFonts w:eastAsia="Times New Roman" w:cs="Times New Roman"/>
          <w:color w:val="222222"/>
          <w:szCs w:val="20"/>
          <w:lang w:eastAsia="pt-BR"/>
        </w:rPr>
      </w:pPr>
      <w:r w:rsidRPr="00D756FC">
        <w:rPr>
          <w:rFonts w:eastAsia="Times New Roman" w:cs="Times New Roman"/>
          <w:color w:val="222222"/>
          <w:szCs w:val="20"/>
          <w:lang w:eastAsia="pt-BR"/>
        </w:rPr>
        <w:t> </w:t>
      </w:r>
    </w:p>
    <w:p w:rsidR="00A2246C" w:rsidRPr="00D756FC" w:rsidRDefault="00A2246C" w:rsidP="00A2246C">
      <w:pPr>
        <w:shd w:val="clear" w:color="auto" w:fill="FFFFFF"/>
        <w:ind w:firstLine="708"/>
        <w:jc w:val="both"/>
        <w:rPr>
          <w:rFonts w:eastAsia="Times New Roman" w:cs="Times New Roman"/>
          <w:color w:val="222222"/>
          <w:szCs w:val="20"/>
          <w:lang w:eastAsia="pt-BR"/>
        </w:rPr>
      </w:pPr>
      <w:r w:rsidRPr="00D756FC">
        <w:rPr>
          <w:rFonts w:eastAsia="Times New Roman" w:cs="Times New Roman"/>
          <w:color w:val="222222"/>
          <w:szCs w:val="20"/>
          <w:lang w:eastAsia="pt-BR"/>
        </w:rPr>
        <w:t>Ou seja, se a empresa não apresentou lucro no período da escrituração, deverá informar o lucro líquido do último período anterior em que obteve lucro e atualizar esse valor, pela SELIC, até o termo final de encerramento do período a que se refere a escrituração. O programa está preparado para efetuar a atualização pela SELIC, automaticamente; logo o lucro líquido deverá ser informado em valores históricos.</w:t>
      </w:r>
    </w:p>
    <w:p w:rsidR="005E1760" w:rsidRPr="00837879" w:rsidRDefault="00837879" w:rsidP="005E1760">
      <w:pPr>
        <w:pStyle w:val="NormalWeb"/>
        <w:shd w:val="clear" w:color="auto" w:fill="FFFFFF"/>
        <w:spacing w:before="120" w:after="120"/>
        <w:rPr>
          <w:rFonts w:ascii="Spranq eco sans" w:hAnsi="Spranq eco sans" w:cs="Arial"/>
          <w:b/>
          <w:color w:val="000000"/>
          <w:sz w:val="18"/>
          <w:szCs w:val="18"/>
        </w:rPr>
      </w:pPr>
      <w:r w:rsidRPr="00D756FC">
        <w:rPr>
          <w:rFonts w:ascii="Spranq eco sans" w:hAnsi="Spranq eco sans" w:cs="Arial"/>
          <w:b/>
          <w:color w:val="000000"/>
          <w:sz w:val="18"/>
          <w:szCs w:val="18"/>
        </w:rPr>
        <w:t>Observação: No caso de lucro real trimestral, o programa considera a soma dos quatro trimestres de apuração para verificar se há lucro ou prejuízo no período. Portanto, se a soma dos quatro trimestres de apuração for maior que zero, esse será o valor utilizado para o cálculo da multa por atraso na entrega da ECF. Por outro lado, caso a soma dos quatro trimestres seja menor que zero, o contribuinte deverá informar o lucro do último período de apuração informado neste registro</w:t>
      </w:r>
      <w:r w:rsidRPr="00837879">
        <w:rPr>
          <w:rFonts w:ascii="Spranq eco sans" w:hAnsi="Spranq eco sans" w:cs="Arial"/>
          <w:b/>
          <w:color w:val="000000"/>
          <w:sz w:val="18"/>
          <w:szCs w:val="18"/>
          <w:highlight w:val="yellow"/>
        </w:rPr>
        <w:t>.</w:t>
      </w:r>
    </w:p>
    <w:p w:rsidR="005E1760" w:rsidRPr="00FA3856" w:rsidRDefault="00B35FA3" w:rsidP="005F1FB6">
      <w:pPr>
        <w:pStyle w:val="PSDS-MarcadoresNivel4"/>
        <w:tabs>
          <w:tab w:val="clear" w:pos="2271"/>
          <w:tab w:val="left" w:pos="720"/>
        </w:tabs>
        <w:spacing w:before="0" w:after="0"/>
        <w:ind w:left="0" w:firstLine="0"/>
        <w:jc w:val="center"/>
        <w:rPr>
          <w:color w:val="000000"/>
          <w:sz w:val="18"/>
          <w:szCs w:val="18"/>
        </w:rPr>
      </w:pPr>
      <w:r>
        <w:rPr>
          <w:color w:val="000000"/>
          <w:sz w:val="18"/>
          <w:szCs w:val="18"/>
        </w:rPr>
        <w:object w:dxaOrig="14835" w:dyaOrig="6285">
          <v:shape id="_x0000_i2107" type="#_x0000_t75" style="width:741.75pt;height:314.25pt" o:ole="">
            <v:imagedata r:id="rId903" o:title=""/>
          </v:shape>
          <o:OLEObject Type="Link" ProgID="Excel.Sheet.12" ShapeID="_x0000_i2107" DrawAspect="Content" r:id="rId904" UpdateMode="Always">
            <o:LinkType>EnhancedMetaFile</o:LinkType>
            <o:LockedField>false</o:LockedField>
          </o:OLEObject>
        </w:object>
      </w:r>
    </w:p>
    <w:p w:rsidR="005E1760" w:rsidRPr="00FA3856" w:rsidRDefault="005E1760" w:rsidP="005E1760">
      <w:pPr>
        <w:pStyle w:val="PSDS-MarcadoresNivel4"/>
        <w:tabs>
          <w:tab w:val="clear" w:pos="2271"/>
          <w:tab w:val="left" w:pos="720"/>
        </w:tabs>
        <w:spacing w:before="0" w:after="0"/>
        <w:ind w:left="0" w:firstLine="0"/>
        <w:rPr>
          <w:rFonts w:ascii="Times New Roman" w:hAnsi="Times New Roman" w:cs="Times New Roman"/>
          <w:szCs w:val="20"/>
          <w:lang w:val="pt-PT"/>
        </w:rPr>
      </w:pPr>
    </w:p>
    <w:p w:rsidR="005E1760" w:rsidRPr="00FA3856" w:rsidRDefault="005E1760" w:rsidP="005E1760">
      <w:pPr>
        <w:pStyle w:val="PSDS-MarcadoresNivel4"/>
        <w:tabs>
          <w:tab w:val="clear" w:pos="2271"/>
          <w:tab w:val="left" w:pos="720"/>
        </w:tabs>
        <w:spacing w:before="0" w:after="0"/>
        <w:ind w:left="0" w:firstLine="0"/>
        <w:rPr>
          <w:rFonts w:ascii="Times New Roman" w:hAnsi="Times New Roman" w:cs="Times New Roman"/>
          <w:szCs w:val="20"/>
          <w:lang w:val="pt-PT"/>
        </w:rPr>
      </w:pPr>
      <w:r w:rsidRPr="00FA3856">
        <w:rPr>
          <w:rFonts w:ascii="Times New Roman" w:hAnsi="Times New Roman" w:cs="Times New Roman"/>
          <w:szCs w:val="20"/>
          <w:lang w:val="pt-PT"/>
        </w:rPr>
        <w:t>I – Regras de Validação de Campos:</w:t>
      </w:r>
    </w:p>
    <w:p w:rsidR="005E1760" w:rsidRPr="00FA3856" w:rsidRDefault="005E1760" w:rsidP="005E1760">
      <w:pPr>
        <w:pStyle w:val="PSDS-MarcadoresNivel4"/>
        <w:tabs>
          <w:tab w:val="clear" w:pos="2271"/>
          <w:tab w:val="left" w:pos="720"/>
        </w:tabs>
        <w:spacing w:before="0" w:after="0"/>
        <w:ind w:left="0" w:firstLine="0"/>
        <w:rPr>
          <w:rFonts w:ascii="Times New Roman" w:hAnsi="Times New Roman" w:cs="Times New Roman"/>
          <w:szCs w:val="20"/>
          <w:lang w:val="pt-PT"/>
        </w:rPr>
      </w:pPr>
    </w:p>
    <w:tbl>
      <w:tblPr>
        <w:tblW w:w="16370"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85"/>
        <w:gridCol w:w="3000"/>
        <w:gridCol w:w="12168"/>
        <w:gridCol w:w="717"/>
      </w:tblGrid>
      <w:tr w:rsidR="005E1760" w:rsidRPr="00FA3856" w:rsidTr="00FA3856">
        <w:trPr>
          <w:tblHeader/>
          <w:jc w:val="center"/>
        </w:trPr>
        <w:tc>
          <w:tcPr>
            <w:tcW w:w="485" w:type="dxa"/>
            <w:tcBorders>
              <w:top w:val="single" w:sz="6" w:space="0" w:color="auto"/>
              <w:left w:val="single" w:sz="6" w:space="0" w:color="auto"/>
              <w:bottom w:val="single" w:sz="6" w:space="0" w:color="auto"/>
              <w:right w:val="single" w:sz="6" w:space="0" w:color="auto"/>
            </w:tcBorders>
            <w:shd w:val="pct10" w:color="auto" w:fill="FFFFFF"/>
          </w:tcPr>
          <w:p w:rsidR="005E1760" w:rsidRPr="00FA3856" w:rsidRDefault="005E1760" w:rsidP="00FA3856">
            <w:pPr>
              <w:pStyle w:val="PSDS-CorpodeTexto0"/>
              <w:jc w:val="center"/>
              <w:rPr>
                <w:rFonts w:ascii="Times New Roman" w:hAnsi="Times New Roman"/>
                <w:b/>
                <w:bCs/>
              </w:rPr>
            </w:pPr>
            <w:r w:rsidRPr="00FA3856">
              <w:rPr>
                <w:rFonts w:ascii="Times New Roman" w:hAnsi="Times New Roman"/>
                <w:b/>
                <w:bCs/>
              </w:rPr>
              <w:t>Nº</w:t>
            </w:r>
          </w:p>
        </w:tc>
        <w:tc>
          <w:tcPr>
            <w:tcW w:w="3000" w:type="dxa"/>
            <w:tcBorders>
              <w:top w:val="single" w:sz="6" w:space="0" w:color="auto"/>
              <w:left w:val="single" w:sz="6" w:space="0" w:color="auto"/>
              <w:bottom w:val="single" w:sz="6" w:space="0" w:color="auto"/>
              <w:right w:val="single" w:sz="6" w:space="0" w:color="auto"/>
            </w:tcBorders>
            <w:shd w:val="pct10" w:color="auto" w:fill="FFFFFF"/>
          </w:tcPr>
          <w:p w:rsidR="005E1760" w:rsidRPr="00FA3856" w:rsidRDefault="005E1760" w:rsidP="00FA3856">
            <w:pPr>
              <w:pStyle w:val="PSDS-CorpodeTexto0"/>
              <w:jc w:val="center"/>
              <w:rPr>
                <w:rFonts w:ascii="Times New Roman" w:hAnsi="Times New Roman"/>
                <w:b/>
                <w:bCs/>
              </w:rPr>
            </w:pPr>
            <w:r w:rsidRPr="00FA3856">
              <w:rPr>
                <w:rFonts w:ascii="Times New Roman" w:hAnsi="Times New Roman"/>
                <w:b/>
                <w:bCs/>
              </w:rPr>
              <w:t>Campo</w:t>
            </w:r>
          </w:p>
        </w:tc>
        <w:tc>
          <w:tcPr>
            <w:tcW w:w="12168" w:type="dxa"/>
            <w:tcBorders>
              <w:top w:val="single" w:sz="6" w:space="0" w:color="auto"/>
              <w:left w:val="single" w:sz="6" w:space="0" w:color="auto"/>
              <w:bottom w:val="single" w:sz="6" w:space="0" w:color="auto"/>
              <w:right w:val="single" w:sz="6" w:space="0" w:color="auto"/>
            </w:tcBorders>
            <w:shd w:val="pct10" w:color="auto" w:fill="FFFFFF"/>
          </w:tcPr>
          <w:p w:rsidR="005E1760" w:rsidRPr="00FA3856" w:rsidRDefault="005E1760" w:rsidP="00FA3856">
            <w:pPr>
              <w:pStyle w:val="PSDS-CorpodeTexto0"/>
              <w:jc w:val="center"/>
              <w:rPr>
                <w:rFonts w:ascii="Times New Roman" w:hAnsi="Times New Roman"/>
                <w:b/>
                <w:bCs/>
              </w:rPr>
            </w:pPr>
            <w:r w:rsidRPr="00FA3856">
              <w:rPr>
                <w:rFonts w:ascii="Times New Roman" w:hAnsi="Times New Roman"/>
                <w:b/>
                <w:bCs/>
              </w:rPr>
              <w:t>Regras de Validação do Campo</w:t>
            </w:r>
          </w:p>
        </w:tc>
        <w:tc>
          <w:tcPr>
            <w:tcW w:w="717" w:type="dxa"/>
            <w:tcBorders>
              <w:top w:val="single" w:sz="6" w:space="0" w:color="auto"/>
              <w:left w:val="single" w:sz="6" w:space="0" w:color="auto"/>
              <w:bottom w:val="single" w:sz="6" w:space="0" w:color="auto"/>
              <w:right w:val="single" w:sz="6" w:space="0" w:color="auto"/>
            </w:tcBorders>
            <w:shd w:val="pct10" w:color="auto" w:fill="FFFFFF"/>
          </w:tcPr>
          <w:p w:rsidR="005E1760" w:rsidRPr="00FA3856" w:rsidRDefault="005E1760" w:rsidP="00FA3856">
            <w:pPr>
              <w:pStyle w:val="PSDS-CorpodeTexto0"/>
              <w:jc w:val="center"/>
              <w:rPr>
                <w:rFonts w:ascii="Times New Roman" w:hAnsi="Times New Roman"/>
                <w:b/>
                <w:bCs/>
              </w:rPr>
            </w:pPr>
            <w:r w:rsidRPr="00FA3856">
              <w:rPr>
                <w:rFonts w:ascii="Times New Roman" w:hAnsi="Times New Roman"/>
                <w:b/>
                <w:bCs/>
              </w:rPr>
              <w:t>Tipo</w:t>
            </w:r>
          </w:p>
        </w:tc>
      </w:tr>
      <w:tr w:rsidR="005E1760" w:rsidRPr="00FA3856" w:rsidTr="00FA3856">
        <w:trPr>
          <w:jc w:val="center"/>
        </w:trPr>
        <w:tc>
          <w:tcPr>
            <w:tcW w:w="485" w:type="dxa"/>
            <w:tcBorders>
              <w:top w:val="single" w:sz="6" w:space="0" w:color="auto"/>
              <w:left w:val="single" w:sz="6" w:space="0" w:color="auto"/>
              <w:bottom w:val="single" w:sz="6" w:space="0" w:color="auto"/>
              <w:right w:val="single" w:sz="6" w:space="0" w:color="auto"/>
            </w:tcBorders>
          </w:tcPr>
          <w:p w:rsidR="005E1760" w:rsidRPr="00FA3856" w:rsidRDefault="005E1760" w:rsidP="00FA3856">
            <w:pPr>
              <w:pStyle w:val="PSDS-CorpodeTexto0"/>
              <w:suppressAutoHyphens w:val="0"/>
              <w:rPr>
                <w:rFonts w:ascii="Times New Roman" w:hAnsi="Times New Roman"/>
                <w:b/>
                <w:bCs/>
                <w:lang w:val="pt-PT"/>
              </w:rPr>
            </w:pPr>
            <w:r w:rsidRPr="00FA3856">
              <w:rPr>
                <w:rFonts w:ascii="Times New Roman" w:hAnsi="Times New Roman"/>
                <w:b/>
                <w:bCs/>
                <w:lang w:val="pt-PT"/>
              </w:rPr>
              <w:t>3</w:t>
            </w:r>
          </w:p>
        </w:tc>
        <w:tc>
          <w:tcPr>
            <w:tcW w:w="3000" w:type="dxa"/>
            <w:tcBorders>
              <w:top w:val="single" w:sz="6" w:space="0" w:color="auto"/>
              <w:left w:val="single" w:sz="6" w:space="0" w:color="auto"/>
              <w:bottom w:val="single" w:sz="6" w:space="0" w:color="auto"/>
              <w:right w:val="single" w:sz="6" w:space="0" w:color="auto"/>
            </w:tcBorders>
          </w:tcPr>
          <w:p w:rsidR="005E1760" w:rsidRPr="00FA3856" w:rsidRDefault="005E1760" w:rsidP="00FA3856">
            <w:pPr>
              <w:pStyle w:val="PSDS-CorpodeTexto0"/>
              <w:rPr>
                <w:rFonts w:ascii="Times New Roman" w:hAnsi="Times New Roman"/>
                <w:lang w:val="pt-PT"/>
              </w:rPr>
            </w:pPr>
            <w:r w:rsidRPr="00FA3856">
              <w:rPr>
                <w:rFonts w:ascii="Times New Roman" w:hAnsi="Times New Roman"/>
                <w:lang w:val="pt-PT"/>
              </w:rPr>
              <w:t>DT_LUC_LIQ</w:t>
            </w:r>
          </w:p>
        </w:tc>
        <w:tc>
          <w:tcPr>
            <w:tcW w:w="12168" w:type="dxa"/>
            <w:tcBorders>
              <w:top w:val="single" w:sz="6" w:space="0" w:color="auto"/>
              <w:left w:val="single" w:sz="6" w:space="0" w:color="auto"/>
              <w:bottom w:val="single" w:sz="6" w:space="0" w:color="auto"/>
              <w:right w:val="single" w:sz="6" w:space="0" w:color="auto"/>
            </w:tcBorders>
          </w:tcPr>
          <w:p w:rsidR="005E1760" w:rsidRPr="00FA3856" w:rsidRDefault="005E1760" w:rsidP="00FA3856">
            <w:pPr>
              <w:pStyle w:val="PSDS-CorpodeTexto0"/>
              <w:jc w:val="both"/>
              <w:rPr>
                <w:rFonts w:ascii="Times New Roman" w:eastAsia="Arial Unicode MS" w:hAnsi="Times New Roman"/>
                <w:lang w:val="pt-PT"/>
              </w:rPr>
            </w:pPr>
            <w:r w:rsidRPr="00FA3856">
              <w:rPr>
                <w:rFonts w:ascii="Times New Roman" w:eastAsia="Arial Unicode MS" w:hAnsi="Times New Roman"/>
                <w:b/>
                <w:lang w:val="pt-PT"/>
              </w:rPr>
              <w:t xml:space="preserve">REGRA_MENOR_DT_INI_ESC: </w:t>
            </w:r>
            <w:r w:rsidRPr="00FA3856">
              <w:rPr>
                <w:rFonts w:ascii="Times New Roman" w:eastAsia="Arial Unicode MS" w:hAnsi="Times New Roman"/>
                <w:lang w:val="pt-PT"/>
              </w:rPr>
              <w:t>Verifica se Y720.DT_LUC_LIQ  é menor ou igual que a 0000.DT_INI.</w:t>
            </w:r>
          </w:p>
        </w:tc>
        <w:tc>
          <w:tcPr>
            <w:tcW w:w="717" w:type="dxa"/>
            <w:tcBorders>
              <w:top w:val="single" w:sz="6" w:space="0" w:color="auto"/>
              <w:left w:val="single" w:sz="6" w:space="0" w:color="auto"/>
              <w:bottom w:val="single" w:sz="6" w:space="0" w:color="auto"/>
              <w:right w:val="single" w:sz="6" w:space="0" w:color="auto"/>
            </w:tcBorders>
          </w:tcPr>
          <w:p w:rsidR="005E1760" w:rsidRPr="00FA3856" w:rsidRDefault="005E1760" w:rsidP="00FA3856">
            <w:pPr>
              <w:pStyle w:val="PSDS-CorpodeTexto0"/>
              <w:rPr>
                <w:rFonts w:ascii="Times New Roman" w:hAnsi="Times New Roman"/>
                <w:lang w:val="pt-PT"/>
              </w:rPr>
            </w:pPr>
            <w:r w:rsidRPr="00FA3856">
              <w:rPr>
                <w:rFonts w:ascii="Times New Roman" w:hAnsi="Times New Roman"/>
                <w:lang w:val="pt-PT"/>
              </w:rPr>
              <w:t>Erro</w:t>
            </w:r>
          </w:p>
          <w:p w:rsidR="005E1760" w:rsidRPr="00FA3856" w:rsidRDefault="005E1760" w:rsidP="00FA3856">
            <w:pPr>
              <w:pStyle w:val="PSDS-CorpodeTexto0"/>
              <w:rPr>
                <w:rFonts w:ascii="Times New Roman" w:hAnsi="Times New Roman"/>
                <w:lang w:val="pt-PT"/>
              </w:rPr>
            </w:pPr>
          </w:p>
        </w:tc>
      </w:tr>
    </w:tbl>
    <w:p w:rsidR="005E1760" w:rsidRPr="00FA3856" w:rsidRDefault="005E1760" w:rsidP="005E1760">
      <w:pPr>
        <w:pStyle w:val="Corpodetexto"/>
        <w:rPr>
          <w:rFonts w:ascii="Times New Roman" w:hAnsi="Times New Roman"/>
          <w:b/>
          <w:color w:val="002060"/>
          <w:szCs w:val="20"/>
        </w:rPr>
      </w:pPr>
    </w:p>
    <w:p w:rsidR="005F1FB6" w:rsidRDefault="005F1FB6">
      <w:pPr>
        <w:spacing w:after="200" w:line="276" w:lineRule="auto"/>
        <w:rPr>
          <w:b/>
          <w:color w:val="002060"/>
          <w:szCs w:val="20"/>
          <w:lang w:eastAsia="ar-SA"/>
        </w:rPr>
      </w:pPr>
      <w:r>
        <w:rPr>
          <w:b/>
          <w:color w:val="002060"/>
          <w:szCs w:val="20"/>
        </w:rPr>
        <w:br w:type="page"/>
      </w:r>
    </w:p>
    <w:p w:rsidR="005E1760" w:rsidRPr="00FA3856" w:rsidRDefault="005E1760" w:rsidP="005E1760">
      <w:pPr>
        <w:pStyle w:val="Corpodetexto"/>
        <w:rPr>
          <w:rFonts w:ascii="Times New Roman" w:hAnsi="Times New Roman"/>
          <w:b/>
          <w:color w:val="002060"/>
          <w:szCs w:val="20"/>
        </w:rPr>
      </w:pPr>
      <w:r w:rsidRPr="00FA3856">
        <w:rPr>
          <w:rFonts w:ascii="Times New Roman" w:hAnsi="Times New Roman"/>
          <w:b/>
          <w:color w:val="002060"/>
          <w:szCs w:val="20"/>
        </w:rPr>
        <w:lastRenderedPageBreak/>
        <w:t xml:space="preserve">Exemplo de Preenchimento: </w:t>
      </w:r>
    </w:p>
    <w:p w:rsidR="005F1FB6" w:rsidRDefault="005F1FB6" w:rsidP="005F1FB6">
      <w:pPr>
        <w:pStyle w:val="Corpodetexto"/>
        <w:rPr>
          <w:rFonts w:ascii="Times New Roman" w:hAnsi="Times New Roman"/>
          <w:b/>
          <w:color w:val="002060"/>
          <w:szCs w:val="20"/>
        </w:rPr>
      </w:pPr>
    </w:p>
    <w:p w:rsidR="005E1760" w:rsidRPr="00FA3856" w:rsidRDefault="005E1760" w:rsidP="005F1FB6">
      <w:pPr>
        <w:pStyle w:val="Corpodetexto"/>
        <w:rPr>
          <w:rFonts w:ascii="Times New Roman" w:hAnsi="Times New Roman"/>
          <w:b/>
          <w:color w:val="002060"/>
          <w:szCs w:val="20"/>
          <w:vertAlign w:val="superscript"/>
        </w:rPr>
      </w:pPr>
      <w:r w:rsidRPr="00FA3856">
        <w:rPr>
          <w:rFonts w:ascii="Times New Roman" w:hAnsi="Times New Roman"/>
          <w:b/>
          <w:color w:val="002060"/>
          <w:szCs w:val="20"/>
        </w:rPr>
        <w:t>|Y720|100000,00|31122013|</w:t>
      </w:r>
      <w:r w:rsidR="005F1FB6">
        <w:rPr>
          <w:rFonts w:ascii="Times New Roman" w:hAnsi="Times New Roman"/>
          <w:b/>
          <w:color w:val="002060"/>
          <w:szCs w:val="20"/>
        </w:rPr>
        <w:t>100000000,00|</w:t>
      </w:r>
    </w:p>
    <w:p w:rsidR="005E1760" w:rsidRPr="00FA3856" w:rsidRDefault="005E1760" w:rsidP="005F1FB6">
      <w:pPr>
        <w:pStyle w:val="Corpodetexto"/>
        <w:ind w:firstLine="708"/>
        <w:rPr>
          <w:rFonts w:ascii="Times New Roman" w:hAnsi="Times New Roman"/>
          <w:color w:val="002060"/>
          <w:szCs w:val="20"/>
        </w:rPr>
      </w:pPr>
      <w:r w:rsidRPr="00FA3856">
        <w:rPr>
          <w:rFonts w:ascii="Times New Roman" w:hAnsi="Times New Roman"/>
          <w:color w:val="002060"/>
          <w:szCs w:val="20"/>
        </w:rPr>
        <w:t>|Y720|: Identificação do tipo do registro.</w:t>
      </w:r>
    </w:p>
    <w:p w:rsidR="005E1760" w:rsidRPr="00FA3856" w:rsidRDefault="005E1760" w:rsidP="005F1FB6">
      <w:pPr>
        <w:pStyle w:val="Corpodetexto"/>
        <w:ind w:left="708"/>
        <w:rPr>
          <w:rFonts w:ascii="Times New Roman" w:hAnsi="Times New Roman"/>
          <w:color w:val="002060"/>
          <w:szCs w:val="20"/>
        </w:rPr>
      </w:pPr>
      <w:r w:rsidRPr="00FA3856">
        <w:rPr>
          <w:rFonts w:ascii="Times New Roman" w:hAnsi="Times New Roman"/>
          <w:color w:val="002060"/>
          <w:szCs w:val="20"/>
        </w:rPr>
        <w:t>|100000,00|: Lucro líquido antes da incidência do imposto sobre a renda e da contribuição social sobre o lucro líquido do último período de apuração informado, atualizado pela taxa referencial do Selic (R$ 100.000,00).</w:t>
      </w:r>
    </w:p>
    <w:p w:rsidR="005E1760" w:rsidRDefault="005E1760" w:rsidP="005F1FB6">
      <w:pPr>
        <w:pStyle w:val="Corpodetexto"/>
        <w:ind w:firstLine="708"/>
        <w:rPr>
          <w:rFonts w:ascii="Times New Roman" w:hAnsi="Times New Roman"/>
          <w:color w:val="002060"/>
          <w:szCs w:val="20"/>
        </w:rPr>
      </w:pPr>
      <w:r w:rsidRPr="00FA3856">
        <w:rPr>
          <w:rFonts w:ascii="Times New Roman" w:hAnsi="Times New Roman"/>
          <w:color w:val="002060"/>
          <w:szCs w:val="20"/>
        </w:rPr>
        <w:t>|31122013|: Data final do período de apuração do lucro líquido informado no campo anterior (31/12/2013).</w:t>
      </w:r>
    </w:p>
    <w:p w:rsidR="005F1FB6" w:rsidRPr="00FA3856" w:rsidRDefault="005F1FB6" w:rsidP="005F1FB6">
      <w:pPr>
        <w:pStyle w:val="Corpodetexto"/>
        <w:ind w:firstLine="708"/>
        <w:rPr>
          <w:rFonts w:ascii="Times New Roman" w:hAnsi="Times New Roman"/>
          <w:color w:val="002060"/>
          <w:szCs w:val="20"/>
        </w:rPr>
      </w:pPr>
      <w:r>
        <w:rPr>
          <w:rFonts w:ascii="Times New Roman" w:hAnsi="Times New Roman"/>
          <w:color w:val="002060"/>
          <w:szCs w:val="20"/>
        </w:rPr>
        <w:t>|100000000,00|: Receita bruta do período anterior.</w:t>
      </w:r>
    </w:p>
    <w:p w:rsidR="00E66953" w:rsidRPr="00FA3856" w:rsidRDefault="00E66953">
      <w:pPr>
        <w:spacing w:after="200" w:line="276" w:lineRule="auto"/>
        <w:rPr>
          <w:b/>
          <w:bCs/>
          <w:color w:val="0000FF"/>
          <w:szCs w:val="20"/>
        </w:rPr>
      </w:pPr>
    </w:p>
    <w:p w:rsidR="005E1760" w:rsidRPr="00FA3856" w:rsidRDefault="005E1760">
      <w:pPr>
        <w:spacing w:after="200" w:line="276" w:lineRule="auto"/>
        <w:rPr>
          <w:b/>
          <w:bCs/>
          <w:color w:val="0000FF"/>
          <w:szCs w:val="20"/>
        </w:rPr>
      </w:pPr>
      <w:r w:rsidRPr="00FA3856">
        <w:rPr>
          <w:color w:val="0000FF"/>
          <w:szCs w:val="20"/>
        </w:rPr>
        <w:br w:type="page"/>
      </w:r>
    </w:p>
    <w:p w:rsidR="00C76BA4" w:rsidRPr="00FA3856" w:rsidRDefault="00C76BA4" w:rsidP="00867F54">
      <w:pPr>
        <w:pStyle w:val="Ttulo4"/>
      </w:pPr>
      <w:bookmarkStart w:id="454" w:name="_Toc479713844"/>
      <w:r w:rsidRPr="00FA3856">
        <w:lastRenderedPageBreak/>
        <w:t>Registro Y800: Outras Informações</w:t>
      </w:r>
      <w:bookmarkEnd w:id="454"/>
    </w:p>
    <w:p w:rsidR="00C76BA4" w:rsidRPr="00FA3856" w:rsidRDefault="00C76BA4" w:rsidP="00C76BA4">
      <w:pPr>
        <w:pStyle w:val="Corpodetexto"/>
        <w:rPr>
          <w:rFonts w:ascii="Times New Roman" w:hAnsi="Times New Roman"/>
          <w:color w:val="auto"/>
          <w:szCs w:val="20"/>
          <w:lang w:eastAsia="en-US"/>
        </w:rPr>
      </w:pPr>
    </w:p>
    <w:p w:rsidR="00C76BA4" w:rsidRPr="00D756FC" w:rsidRDefault="00BA0E00" w:rsidP="00C76BA4">
      <w:pPr>
        <w:pStyle w:val="Corpodetexto"/>
        <w:ind w:firstLine="708"/>
        <w:rPr>
          <w:rFonts w:ascii="Times New Roman" w:hAnsi="Times New Roman"/>
          <w:szCs w:val="20"/>
        </w:rPr>
      </w:pPr>
      <w:r w:rsidRPr="00D756FC">
        <w:rPr>
          <w:rFonts w:ascii="Times New Roman" w:hAnsi="Times New Roman"/>
          <w:szCs w:val="20"/>
        </w:rPr>
        <w:t>Este</w:t>
      </w:r>
      <w:r w:rsidR="00C76BA4" w:rsidRPr="00D756FC">
        <w:rPr>
          <w:rFonts w:ascii="Times New Roman" w:hAnsi="Times New Roman"/>
          <w:szCs w:val="20"/>
        </w:rPr>
        <w:t xml:space="preserve"> </w:t>
      </w:r>
      <w:r w:rsidRPr="00D756FC">
        <w:rPr>
          <w:rFonts w:ascii="Times New Roman" w:hAnsi="Times New Roman"/>
          <w:szCs w:val="20"/>
        </w:rPr>
        <w:t xml:space="preserve">registro </w:t>
      </w:r>
      <w:r w:rsidR="00C76BA4" w:rsidRPr="00D756FC">
        <w:rPr>
          <w:rFonts w:ascii="Times New Roman" w:hAnsi="Times New Roman"/>
          <w:szCs w:val="20"/>
        </w:rPr>
        <w:t xml:space="preserve">permite que seja anexado um arquivo em formato texto </w:t>
      </w:r>
      <w:r w:rsidR="00C76BA4" w:rsidRPr="00D756FC">
        <w:rPr>
          <w:rFonts w:ascii="Times New Roman" w:hAnsi="Times New Roman"/>
          <w:i/>
          <w:szCs w:val="20"/>
        </w:rPr>
        <w:t>RTF (Rich Text Format)</w:t>
      </w:r>
      <w:r w:rsidR="00C76BA4" w:rsidRPr="00D756FC">
        <w:rPr>
          <w:rFonts w:ascii="Times New Roman" w:hAnsi="Times New Roman"/>
          <w:szCs w:val="20"/>
        </w:rPr>
        <w:t xml:space="preserve">, que se destina a receber informações que devam constar </w:t>
      </w:r>
      <w:r w:rsidR="00E64C77" w:rsidRPr="00D756FC">
        <w:rPr>
          <w:rFonts w:ascii="Times New Roman" w:hAnsi="Times New Roman"/>
          <w:szCs w:val="20"/>
        </w:rPr>
        <w:t>da ECF</w:t>
      </w:r>
      <w:r w:rsidR="00C76BA4" w:rsidRPr="00D756FC">
        <w:rPr>
          <w:rFonts w:ascii="Times New Roman" w:hAnsi="Times New Roman"/>
          <w:szCs w:val="20"/>
        </w:rPr>
        <w:t xml:space="preserve">, </w:t>
      </w:r>
      <w:r w:rsidR="00210219" w:rsidRPr="00D756FC">
        <w:rPr>
          <w:rFonts w:ascii="Times New Roman" w:hAnsi="Times New Roman"/>
          <w:szCs w:val="20"/>
        </w:rPr>
        <w:t xml:space="preserve">tais como: </w:t>
      </w:r>
      <w:r w:rsidR="00E64C77" w:rsidRPr="00D756FC">
        <w:rPr>
          <w:rFonts w:ascii="Times New Roman" w:hAnsi="Times New Roman"/>
          <w:szCs w:val="20"/>
        </w:rPr>
        <w:t>laudos, relatórios, etc.</w:t>
      </w:r>
      <w:r w:rsidR="005D549B" w:rsidRPr="00D756FC">
        <w:rPr>
          <w:rFonts w:ascii="Times New Roman" w:hAnsi="Times New Roman"/>
          <w:szCs w:val="20"/>
        </w:rPr>
        <w:t xml:space="preserve"> </w:t>
      </w:r>
    </w:p>
    <w:p w:rsidR="00C76BA4" w:rsidRPr="00D756FC" w:rsidRDefault="00C76BA4" w:rsidP="00C76BA4">
      <w:pPr>
        <w:pStyle w:val="Corpodetexto"/>
        <w:ind w:firstLine="708"/>
        <w:rPr>
          <w:rFonts w:ascii="Times New Roman" w:hAnsi="Times New Roman"/>
          <w:szCs w:val="20"/>
        </w:rPr>
      </w:pPr>
    </w:p>
    <w:p w:rsidR="00210219" w:rsidRPr="00D756FC" w:rsidRDefault="0099132B" w:rsidP="00C76BA4">
      <w:pPr>
        <w:pStyle w:val="Corpodetexto"/>
        <w:ind w:firstLine="708"/>
        <w:rPr>
          <w:rFonts w:ascii="Times New Roman" w:hAnsi="Times New Roman"/>
          <w:szCs w:val="20"/>
        </w:rPr>
      </w:pPr>
      <w:r w:rsidRPr="00D756FC">
        <w:rPr>
          <w:rFonts w:ascii="Times New Roman" w:hAnsi="Times New Roman"/>
          <w:szCs w:val="20"/>
        </w:rPr>
        <w:t xml:space="preserve">Exemplos de </w:t>
      </w:r>
      <w:r w:rsidR="00210219" w:rsidRPr="00D756FC">
        <w:rPr>
          <w:rFonts w:ascii="Times New Roman" w:hAnsi="Times New Roman"/>
          <w:szCs w:val="20"/>
        </w:rPr>
        <w:t>utilizações de informações a serem prestadas à administração pública através da anexação à ECF, em arquivos RTF</w:t>
      </w:r>
      <w:r w:rsidRPr="00D756FC">
        <w:rPr>
          <w:rFonts w:ascii="Times New Roman" w:hAnsi="Times New Roman"/>
          <w:szCs w:val="20"/>
        </w:rPr>
        <w:t>, através deste registro</w:t>
      </w:r>
      <w:r w:rsidR="00210219" w:rsidRPr="00D756FC">
        <w:rPr>
          <w:rFonts w:ascii="Times New Roman" w:hAnsi="Times New Roman"/>
          <w:szCs w:val="20"/>
        </w:rPr>
        <w:t>:</w:t>
      </w:r>
    </w:p>
    <w:p w:rsidR="00210219" w:rsidRPr="00D756FC" w:rsidRDefault="00210219" w:rsidP="00210219">
      <w:pPr>
        <w:pStyle w:val="Corpodetexto"/>
        <w:numPr>
          <w:ilvl w:val="0"/>
          <w:numId w:val="19"/>
        </w:numPr>
        <w:rPr>
          <w:rFonts w:ascii="Times New Roman" w:hAnsi="Times New Roman"/>
          <w:szCs w:val="20"/>
        </w:rPr>
      </w:pPr>
      <w:r w:rsidRPr="00D756FC">
        <w:rPr>
          <w:rFonts w:ascii="Times New Roman" w:hAnsi="Times New Roman"/>
          <w:szCs w:val="20"/>
        </w:rPr>
        <w:t xml:space="preserve">O laudo de avaliação elaborado por perito independente que determina a mais ou menos-valia, correspondente à diferença entre o valor justo dos ativos líquidos da investida, na proporção da porcentagem da participação adquirida, e o valor </w:t>
      </w:r>
      <w:r w:rsidR="0099132B" w:rsidRPr="00D756FC">
        <w:rPr>
          <w:rFonts w:ascii="Times New Roman" w:hAnsi="Times New Roman"/>
          <w:szCs w:val="20"/>
        </w:rPr>
        <w:t xml:space="preserve">do </w:t>
      </w:r>
      <w:r w:rsidRPr="00D756FC">
        <w:rPr>
          <w:rFonts w:ascii="Times New Roman" w:hAnsi="Times New Roman"/>
          <w:szCs w:val="20"/>
        </w:rPr>
        <w:t>patrimônio líquido na época, por ocasião da aquisição da participação em investimento que deva ser avaliado pelo patrimônio líquido da investida. (</w:t>
      </w:r>
      <w:r w:rsidR="0099132B" w:rsidRPr="00D756FC">
        <w:rPr>
          <w:rFonts w:ascii="Times New Roman" w:hAnsi="Times New Roman"/>
          <w:szCs w:val="20"/>
        </w:rPr>
        <w:t>Art. 20 do Decreto-Lei n</w:t>
      </w:r>
      <w:r w:rsidR="0099132B" w:rsidRPr="00D756FC">
        <w:rPr>
          <w:rFonts w:ascii="Times New Roman" w:hAnsi="Times New Roman"/>
          <w:szCs w:val="20"/>
          <w:u w:val="single"/>
          <w:vertAlign w:val="superscript"/>
        </w:rPr>
        <w:t>o</w:t>
      </w:r>
      <w:r w:rsidR="0099132B" w:rsidRPr="00D756FC">
        <w:rPr>
          <w:rFonts w:ascii="Times New Roman" w:hAnsi="Times New Roman"/>
          <w:szCs w:val="20"/>
        </w:rPr>
        <w:t xml:space="preserve"> 1.598/1977, com a redação dada pela Lei n</w:t>
      </w:r>
      <w:r w:rsidR="0099132B" w:rsidRPr="00D756FC">
        <w:rPr>
          <w:rFonts w:ascii="Times New Roman" w:hAnsi="Times New Roman"/>
          <w:szCs w:val="20"/>
          <w:u w:val="single"/>
          <w:vertAlign w:val="superscript"/>
        </w:rPr>
        <w:t>o</w:t>
      </w:r>
      <w:r w:rsidR="00745FC4">
        <w:rPr>
          <w:rFonts w:ascii="Times New Roman" w:hAnsi="Times New Roman"/>
          <w:szCs w:val="20"/>
        </w:rPr>
        <w:t xml:space="preserve"> 12.973/2014. Art. 178, §</w:t>
      </w:r>
      <w:r w:rsidR="0099132B" w:rsidRPr="00D756FC">
        <w:rPr>
          <w:rFonts w:ascii="Times New Roman" w:hAnsi="Times New Roman"/>
          <w:szCs w:val="20"/>
        </w:rPr>
        <w:t xml:space="preserve"> 2º da Instrução Normativa</w:t>
      </w:r>
      <w:r w:rsidRPr="00D756FC">
        <w:rPr>
          <w:rFonts w:ascii="Times New Roman" w:hAnsi="Times New Roman"/>
          <w:szCs w:val="20"/>
        </w:rPr>
        <w:t xml:space="preserve"> RFB </w:t>
      </w:r>
      <w:r w:rsidR="0099132B" w:rsidRPr="00D756FC">
        <w:rPr>
          <w:rFonts w:ascii="Times New Roman" w:hAnsi="Times New Roman"/>
          <w:szCs w:val="20"/>
        </w:rPr>
        <w:t>n</w:t>
      </w:r>
      <w:r w:rsidR="0099132B" w:rsidRPr="00D756FC">
        <w:rPr>
          <w:rFonts w:ascii="Times New Roman" w:hAnsi="Times New Roman"/>
          <w:szCs w:val="20"/>
          <w:u w:val="single"/>
          <w:vertAlign w:val="superscript"/>
        </w:rPr>
        <w:t>o</w:t>
      </w:r>
      <w:r w:rsidR="0099132B" w:rsidRPr="00D756FC">
        <w:rPr>
          <w:rFonts w:ascii="Times New Roman" w:hAnsi="Times New Roman"/>
          <w:szCs w:val="20"/>
        </w:rPr>
        <w:t xml:space="preserve"> </w:t>
      </w:r>
      <w:r w:rsidR="00745FC4">
        <w:rPr>
          <w:rFonts w:ascii="Times New Roman" w:hAnsi="Times New Roman"/>
          <w:szCs w:val="20"/>
        </w:rPr>
        <w:t>1.700/2017</w:t>
      </w:r>
      <w:r w:rsidRPr="00D756FC">
        <w:rPr>
          <w:rFonts w:ascii="Times New Roman" w:hAnsi="Times New Roman"/>
          <w:szCs w:val="20"/>
        </w:rPr>
        <w:t>)</w:t>
      </w:r>
      <w:r w:rsidR="0099132B" w:rsidRPr="00D756FC">
        <w:rPr>
          <w:rFonts w:ascii="Times New Roman" w:hAnsi="Times New Roman"/>
          <w:szCs w:val="20"/>
        </w:rPr>
        <w:t>.</w:t>
      </w:r>
    </w:p>
    <w:p w:rsidR="00210219" w:rsidRPr="00D756FC" w:rsidRDefault="00210219" w:rsidP="00210219">
      <w:pPr>
        <w:pStyle w:val="Corpodetexto"/>
        <w:ind w:firstLine="708"/>
        <w:rPr>
          <w:rFonts w:ascii="Times New Roman" w:hAnsi="Times New Roman"/>
          <w:szCs w:val="20"/>
        </w:rPr>
      </w:pPr>
    </w:p>
    <w:p w:rsidR="00210219" w:rsidRPr="00D756FC" w:rsidRDefault="00210219" w:rsidP="00210219">
      <w:pPr>
        <w:pStyle w:val="Corpodetexto"/>
        <w:numPr>
          <w:ilvl w:val="0"/>
          <w:numId w:val="19"/>
        </w:numPr>
        <w:rPr>
          <w:rFonts w:ascii="Times New Roman" w:hAnsi="Times New Roman"/>
          <w:szCs w:val="20"/>
        </w:rPr>
      </w:pPr>
      <w:r w:rsidRPr="00D756FC">
        <w:rPr>
          <w:rFonts w:ascii="Times New Roman" w:hAnsi="Times New Roman"/>
          <w:szCs w:val="20"/>
        </w:rPr>
        <w:t>A memória de cálculo relacionada aos eventos de incorporação, fusão ou cisão, ocorridos até 31 de dezembro de 2017, cuja participação societária tenha sido adquirida até 31 de dezembro de 2014, apresentada pela empresa resultante do evento, evidenciando de forma analítica a evolução da amortização do ágio ou deságio desde a data de aquisição da participação societária até a data do evento, considerando os métodos e critérios vigentes em 31 de dezembro de 2007. (A</w:t>
      </w:r>
      <w:r w:rsidR="0099132B" w:rsidRPr="00D756FC">
        <w:rPr>
          <w:rFonts w:ascii="Times New Roman" w:hAnsi="Times New Roman"/>
          <w:szCs w:val="20"/>
        </w:rPr>
        <w:t>rt. 65 da Lei nº 12.973/2014 e Art</w:t>
      </w:r>
      <w:r w:rsidRPr="00D756FC">
        <w:rPr>
          <w:rFonts w:ascii="Times New Roman" w:hAnsi="Times New Roman"/>
          <w:szCs w:val="20"/>
        </w:rPr>
        <w:t>s</w:t>
      </w:r>
      <w:r w:rsidR="0099132B" w:rsidRPr="00D756FC">
        <w:rPr>
          <w:rFonts w:ascii="Times New Roman" w:hAnsi="Times New Roman"/>
          <w:szCs w:val="20"/>
        </w:rPr>
        <w:t>.</w:t>
      </w:r>
      <w:r w:rsidR="00745FC4">
        <w:rPr>
          <w:rFonts w:ascii="Times New Roman" w:hAnsi="Times New Roman"/>
          <w:szCs w:val="20"/>
        </w:rPr>
        <w:t xml:space="preserve"> 192 e 193</w:t>
      </w:r>
      <w:r w:rsidRPr="00D756FC">
        <w:rPr>
          <w:rFonts w:ascii="Times New Roman" w:hAnsi="Times New Roman"/>
          <w:szCs w:val="20"/>
        </w:rPr>
        <w:t xml:space="preserve"> da </w:t>
      </w:r>
      <w:r w:rsidR="0099132B" w:rsidRPr="00D756FC">
        <w:rPr>
          <w:rFonts w:ascii="Times New Roman" w:hAnsi="Times New Roman"/>
          <w:szCs w:val="20"/>
        </w:rPr>
        <w:t>Instrução Normativa</w:t>
      </w:r>
      <w:r w:rsidRPr="00D756FC">
        <w:rPr>
          <w:rFonts w:ascii="Times New Roman" w:hAnsi="Times New Roman"/>
          <w:szCs w:val="20"/>
        </w:rPr>
        <w:t xml:space="preserve"> RFB n</w:t>
      </w:r>
      <w:r w:rsidRPr="00D756FC">
        <w:rPr>
          <w:rFonts w:ascii="Times New Roman" w:hAnsi="Times New Roman"/>
          <w:szCs w:val="20"/>
          <w:u w:val="single"/>
          <w:vertAlign w:val="superscript"/>
        </w:rPr>
        <w:t>o</w:t>
      </w:r>
      <w:r w:rsidR="00745FC4">
        <w:rPr>
          <w:rFonts w:ascii="Times New Roman" w:hAnsi="Times New Roman"/>
          <w:szCs w:val="20"/>
        </w:rPr>
        <w:t xml:space="preserve"> 1.700/2017</w:t>
      </w:r>
      <w:r w:rsidRPr="00D756FC">
        <w:rPr>
          <w:rFonts w:ascii="Times New Roman" w:hAnsi="Times New Roman"/>
          <w:szCs w:val="20"/>
        </w:rPr>
        <w:t xml:space="preserve">). </w:t>
      </w:r>
    </w:p>
    <w:p w:rsidR="0049706C" w:rsidRPr="00D756FC" w:rsidRDefault="0049706C" w:rsidP="0099132B">
      <w:pPr>
        <w:pStyle w:val="Corpodetexto"/>
        <w:rPr>
          <w:rFonts w:ascii="Times New Roman" w:hAnsi="Times New Roman"/>
          <w:szCs w:val="20"/>
        </w:rPr>
      </w:pPr>
    </w:p>
    <w:p w:rsidR="00C76BA4" w:rsidRPr="00D756FC" w:rsidRDefault="00C76BA4" w:rsidP="00C76BA4">
      <w:pPr>
        <w:pStyle w:val="Corpodetexto"/>
        <w:ind w:firstLine="708"/>
        <w:rPr>
          <w:rFonts w:ascii="Times New Roman" w:hAnsi="Times New Roman"/>
          <w:szCs w:val="20"/>
        </w:rPr>
      </w:pPr>
      <w:r w:rsidRPr="00D756FC">
        <w:rPr>
          <w:rFonts w:ascii="Times New Roman" w:hAnsi="Times New Roman"/>
          <w:szCs w:val="20"/>
        </w:rPr>
        <w:t>O procedimento para anexar é o seguinte</w:t>
      </w:r>
      <w:r w:rsidR="0099132B" w:rsidRPr="00D756FC">
        <w:rPr>
          <w:rFonts w:ascii="Times New Roman" w:hAnsi="Times New Roman"/>
          <w:szCs w:val="20"/>
        </w:rPr>
        <w:t xml:space="preserve"> no próprio arquivo .txt</w:t>
      </w:r>
      <w:r w:rsidRPr="00D756FC">
        <w:rPr>
          <w:rFonts w:ascii="Times New Roman" w:hAnsi="Times New Roman"/>
          <w:szCs w:val="20"/>
        </w:rPr>
        <w:t>:</w:t>
      </w:r>
    </w:p>
    <w:p w:rsidR="00C76BA4" w:rsidRPr="00D756FC" w:rsidRDefault="00C76BA4" w:rsidP="00C76BA4">
      <w:pPr>
        <w:pStyle w:val="Corpodetexto"/>
        <w:ind w:firstLine="708"/>
        <w:rPr>
          <w:rFonts w:ascii="Times New Roman" w:hAnsi="Times New Roman"/>
          <w:szCs w:val="20"/>
        </w:rPr>
      </w:pPr>
    </w:p>
    <w:p w:rsidR="00C76BA4" w:rsidRPr="00D756FC" w:rsidRDefault="00C76BA4" w:rsidP="00C76BA4">
      <w:pPr>
        <w:pStyle w:val="Corpodetexto"/>
        <w:ind w:firstLine="708"/>
        <w:rPr>
          <w:rFonts w:ascii="Times New Roman" w:hAnsi="Times New Roman"/>
          <w:szCs w:val="20"/>
        </w:rPr>
      </w:pPr>
      <w:r w:rsidRPr="00D756FC">
        <w:rPr>
          <w:rFonts w:ascii="Times New Roman" w:hAnsi="Times New Roman"/>
          <w:szCs w:val="20"/>
        </w:rPr>
        <w:t xml:space="preserve">1 – Digite o documento que deseja anexar no </w:t>
      </w:r>
      <w:r w:rsidRPr="00D756FC">
        <w:rPr>
          <w:rFonts w:ascii="Times New Roman" w:hAnsi="Times New Roman"/>
          <w:i/>
          <w:szCs w:val="20"/>
        </w:rPr>
        <w:t>Word</w:t>
      </w:r>
      <w:r w:rsidRPr="00D756FC">
        <w:rPr>
          <w:rFonts w:ascii="Times New Roman" w:hAnsi="Times New Roman"/>
          <w:szCs w:val="20"/>
        </w:rPr>
        <w:t>;</w:t>
      </w:r>
    </w:p>
    <w:p w:rsidR="00C76BA4" w:rsidRPr="00D756FC" w:rsidRDefault="00C76BA4" w:rsidP="00C76BA4">
      <w:pPr>
        <w:pStyle w:val="Corpodetexto"/>
        <w:ind w:firstLine="708"/>
        <w:rPr>
          <w:rFonts w:ascii="Times New Roman" w:hAnsi="Times New Roman"/>
          <w:szCs w:val="20"/>
        </w:rPr>
      </w:pPr>
      <w:r w:rsidRPr="00D756FC">
        <w:rPr>
          <w:rFonts w:ascii="Times New Roman" w:hAnsi="Times New Roman"/>
          <w:szCs w:val="20"/>
        </w:rPr>
        <w:t>2 – Salve o documento como .rtf;</w:t>
      </w:r>
    </w:p>
    <w:p w:rsidR="00C76BA4" w:rsidRPr="00D756FC" w:rsidRDefault="00C76BA4" w:rsidP="00C76BA4">
      <w:pPr>
        <w:pStyle w:val="Corpodetexto"/>
        <w:ind w:firstLine="708"/>
        <w:rPr>
          <w:rFonts w:ascii="Times New Roman" w:hAnsi="Times New Roman"/>
          <w:szCs w:val="20"/>
        </w:rPr>
      </w:pPr>
      <w:r w:rsidRPr="00D756FC">
        <w:rPr>
          <w:rFonts w:ascii="Times New Roman" w:hAnsi="Times New Roman"/>
          <w:szCs w:val="20"/>
        </w:rPr>
        <w:t xml:space="preserve">3 – Abra o documento no Bloco de Notas; </w:t>
      </w:r>
    </w:p>
    <w:p w:rsidR="00C76BA4" w:rsidRPr="00D756FC" w:rsidRDefault="00C76BA4" w:rsidP="00C76BA4">
      <w:pPr>
        <w:pStyle w:val="Corpodetexto"/>
        <w:ind w:firstLine="708"/>
        <w:rPr>
          <w:rFonts w:ascii="Times New Roman" w:hAnsi="Times New Roman"/>
          <w:szCs w:val="20"/>
        </w:rPr>
      </w:pPr>
      <w:r w:rsidRPr="00D756FC">
        <w:rPr>
          <w:rFonts w:ascii="Times New Roman" w:hAnsi="Times New Roman"/>
          <w:szCs w:val="20"/>
        </w:rPr>
        <w:t>4 – Copie todo o conteúdo do arq</w:t>
      </w:r>
      <w:r w:rsidR="005D549B" w:rsidRPr="00D756FC">
        <w:rPr>
          <w:rFonts w:ascii="Times New Roman" w:hAnsi="Times New Roman"/>
          <w:szCs w:val="20"/>
        </w:rPr>
        <w:t>uivo aberto no Bloco de Notas;</w:t>
      </w:r>
    </w:p>
    <w:p w:rsidR="00C76BA4" w:rsidRPr="00D756FC" w:rsidRDefault="00C76BA4" w:rsidP="00C76BA4">
      <w:pPr>
        <w:pStyle w:val="Corpodetexto"/>
        <w:ind w:firstLine="708"/>
        <w:rPr>
          <w:rFonts w:ascii="Times New Roman" w:hAnsi="Times New Roman"/>
          <w:szCs w:val="20"/>
        </w:rPr>
      </w:pPr>
      <w:r w:rsidRPr="00D756FC">
        <w:rPr>
          <w:rFonts w:ascii="Times New Roman" w:hAnsi="Times New Roman"/>
          <w:szCs w:val="20"/>
        </w:rPr>
        <w:t>5 – Cole o co</w:t>
      </w:r>
      <w:r w:rsidR="005D549B" w:rsidRPr="00D756FC">
        <w:rPr>
          <w:rFonts w:ascii="Times New Roman" w:hAnsi="Times New Roman"/>
          <w:szCs w:val="20"/>
        </w:rPr>
        <w:t>nteúdo copiado no registro Y800;</w:t>
      </w:r>
    </w:p>
    <w:p w:rsidR="005D549B" w:rsidRPr="00D756FC" w:rsidRDefault="005D549B" w:rsidP="00C76BA4">
      <w:pPr>
        <w:pStyle w:val="Corpodetexto"/>
        <w:ind w:firstLine="708"/>
        <w:rPr>
          <w:rFonts w:ascii="Times New Roman" w:hAnsi="Times New Roman"/>
          <w:szCs w:val="20"/>
        </w:rPr>
      </w:pPr>
      <w:r w:rsidRPr="00D756FC">
        <w:rPr>
          <w:rFonts w:ascii="Times New Roman" w:hAnsi="Times New Roman"/>
          <w:szCs w:val="20"/>
        </w:rPr>
        <w:t>6 – Importe o arquivo, de acordo com o Leiaute da ECF, para o programa da ECF.</w:t>
      </w:r>
    </w:p>
    <w:p w:rsidR="00FB47A2" w:rsidRPr="00D756FC" w:rsidRDefault="00FB47A2" w:rsidP="00C76BA4">
      <w:pPr>
        <w:pStyle w:val="Corpodetexto"/>
        <w:ind w:firstLine="708"/>
        <w:rPr>
          <w:rFonts w:ascii="Times New Roman" w:hAnsi="Times New Roman"/>
          <w:szCs w:val="20"/>
        </w:rPr>
      </w:pPr>
    </w:p>
    <w:p w:rsidR="00FB47A2" w:rsidRPr="00D756FC" w:rsidRDefault="00FB47A2" w:rsidP="00FB47A2">
      <w:pPr>
        <w:pStyle w:val="m-9105575877668705275western"/>
        <w:shd w:val="clear" w:color="auto" w:fill="FFFFFF"/>
        <w:spacing w:before="0" w:beforeAutospacing="0" w:after="0" w:afterAutospacing="0"/>
        <w:rPr>
          <w:b/>
          <w:color w:val="000000"/>
          <w:sz w:val="20"/>
          <w:szCs w:val="20"/>
        </w:rPr>
      </w:pPr>
      <w:r w:rsidRPr="00D756FC">
        <w:rPr>
          <w:b/>
          <w:color w:val="000000"/>
          <w:sz w:val="20"/>
          <w:szCs w:val="20"/>
        </w:rPr>
        <w:t>Funcionalidade de inclusão arquivo cadastrado no Y800 no programa da ECF:</w:t>
      </w:r>
      <w:r w:rsidRPr="00D756FC">
        <w:rPr>
          <w:b/>
          <w:color w:val="000000"/>
          <w:sz w:val="20"/>
          <w:szCs w:val="20"/>
        </w:rPr>
        <w:br/>
      </w:r>
    </w:p>
    <w:p w:rsidR="00FB47A2" w:rsidRPr="00D756FC" w:rsidRDefault="00FB47A2" w:rsidP="00FB47A2">
      <w:pPr>
        <w:pStyle w:val="m-9105575877668705275western"/>
        <w:shd w:val="clear" w:color="auto" w:fill="FFFFFF"/>
        <w:spacing w:before="0" w:beforeAutospacing="0" w:after="0" w:afterAutospacing="0"/>
        <w:ind w:left="708"/>
        <w:rPr>
          <w:color w:val="000000"/>
          <w:sz w:val="20"/>
          <w:szCs w:val="20"/>
        </w:rPr>
      </w:pPr>
      <w:r w:rsidRPr="00D756FC">
        <w:rPr>
          <w:color w:val="000000"/>
          <w:sz w:val="20"/>
          <w:szCs w:val="20"/>
        </w:rPr>
        <w:t>1 – Selecionar a opção incluir arquivo rtf.</w:t>
      </w:r>
      <w:r w:rsidRPr="00D756FC">
        <w:rPr>
          <w:color w:val="000000"/>
          <w:sz w:val="20"/>
          <w:szCs w:val="20"/>
        </w:rPr>
        <w:br/>
        <w:t>2 – O sistema abre uma interface de localização de arquivo.</w:t>
      </w:r>
      <w:r w:rsidRPr="00D756FC">
        <w:rPr>
          <w:color w:val="000000"/>
          <w:sz w:val="20"/>
          <w:szCs w:val="20"/>
        </w:rPr>
        <w:br/>
        <w:t>3 – Selecionar somente arquivo ".RTF" (formato RTF)</w:t>
      </w:r>
      <w:r w:rsidRPr="00D756FC">
        <w:rPr>
          <w:color w:val="000000"/>
          <w:sz w:val="20"/>
          <w:szCs w:val="20"/>
        </w:rPr>
        <w:br/>
        <w:t>4 – O sistema copia o arquivo para a pasta do sistema com o nome padronizado.</w:t>
      </w:r>
      <w:r w:rsidRPr="00D756FC">
        <w:rPr>
          <w:color w:val="000000"/>
          <w:sz w:val="20"/>
          <w:szCs w:val="20"/>
        </w:rPr>
        <w:br/>
        <w:t xml:space="preserve">5 – O sistema calcula o </w:t>
      </w:r>
      <w:r w:rsidRPr="00D756FC">
        <w:rPr>
          <w:i/>
          <w:color w:val="000000"/>
          <w:sz w:val="20"/>
          <w:szCs w:val="20"/>
        </w:rPr>
        <w:t>hash</w:t>
      </w:r>
      <w:r w:rsidRPr="00D756FC">
        <w:rPr>
          <w:color w:val="000000"/>
          <w:sz w:val="20"/>
          <w:szCs w:val="20"/>
        </w:rPr>
        <w:t xml:space="preserve"> e armazena o nome o local e o </w:t>
      </w:r>
      <w:r w:rsidRPr="00D756FC">
        <w:rPr>
          <w:i/>
          <w:color w:val="000000"/>
          <w:sz w:val="20"/>
          <w:szCs w:val="20"/>
        </w:rPr>
        <w:t>hash</w:t>
      </w:r>
      <w:r w:rsidRPr="00D756FC">
        <w:rPr>
          <w:color w:val="000000"/>
          <w:sz w:val="20"/>
          <w:szCs w:val="20"/>
        </w:rPr>
        <w:t xml:space="preserve"> da cópia do arquivo selecionado. </w:t>
      </w:r>
      <w:r w:rsidRPr="00D756FC">
        <w:rPr>
          <w:color w:val="000000"/>
          <w:sz w:val="20"/>
          <w:szCs w:val="20"/>
        </w:rPr>
        <w:br/>
        <w:t>6 – O sistema coloca o nome do arquivo no campo descrição.</w:t>
      </w:r>
    </w:p>
    <w:p w:rsidR="00FB47A2" w:rsidRPr="00D756FC" w:rsidRDefault="00FB47A2" w:rsidP="00FB47A2">
      <w:pPr>
        <w:pStyle w:val="m-9105575877668705275western"/>
        <w:shd w:val="clear" w:color="auto" w:fill="FFFFFF"/>
        <w:spacing w:before="0" w:beforeAutospacing="0" w:after="0" w:afterAutospacing="0"/>
        <w:rPr>
          <w:color w:val="000000"/>
          <w:sz w:val="20"/>
          <w:szCs w:val="20"/>
        </w:rPr>
      </w:pPr>
    </w:p>
    <w:p w:rsidR="00FB47A2" w:rsidRPr="00D756FC" w:rsidRDefault="00FB47A2" w:rsidP="00FB47A2">
      <w:pPr>
        <w:pStyle w:val="m-9105575877668705275western"/>
        <w:shd w:val="clear" w:color="auto" w:fill="FFFFFF"/>
        <w:spacing w:before="0" w:beforeAutospacing="0" w:after="0" w:afterAutospacing="0"/>
        <w:rPr>
          <w:color w:val="000000"/>
          <w:sz w:val="20"/>
          <w:szCs w:val="20"/>
        </w:rPr>
      </w:pPr>
      <w:r w:rsidRPr="00D756FC">
        <w:rPr>
          <w:b/>
          <w:color w:val="000000"/>
          <w:sz w:val="20"/>
          <w:szCs w:val="20"/>
        </w:rPr>
        <w:t>Funcionalidade de exclusão arquivo cadastrado no Y800 no programa da ECF</w:t>
      </w:r>
      <w:r w:rsidRPr="00D756FC">
        <w:rPr>
          <w:color w:val="000000"/>
          <w:sz w:val="20"/>
          <w:szCs w:val="20"/>
        </w:rPr>
        <w:t>:</w:t>
      </w:r>
    </w:p>
    <w:p w:rsidR="00FB47A2" w:rsidRPr="00D756FC" w:rsidRDefault="00FB47A2" w:rsidP="00FB47A2">
      <w:pPr>
        <w:pStyle w:val="m-9105575877668705275western"/>
        <w:shd w:val="clear" w:color="auto" w:fill="FFFFFF"/>
        <w:spacing w:before="0" w:beforeAutospacing="0" w:after="0" w:afterAutospacing="0"/>
        <w:ind w:left="708"/>
        <w:rPr>
          <w:color w:val="000000"/>
          <w:sz w:val="20"/>
          <w:szCs w:val="20"/>
        </w:rPr>
      </w:pPr>
      <w:r w:rsidRPr="00D756FC">
        <w:rPr>
          <w:color w:val="000000"/>
          <w:sz w:val="20"/>
          <w:szCs w:val="20"/>
        </w:rPr>
        <w:br/>
        <w:t>1 – Selecionar um registro e solicitar a exclusão (Botão "-").</w:t>
      </w:r>
      <w:r w:rsidRPr="00D756FC">
        <w:rPr>
          <w:color w:val="000000"/>
          <w:sz w:val="20"/>
          <w:szCs w:val="20"/>
        </w:rPr>
        <w:br/>
        <w:t>2 – O sistema exclui o registro Y800 e o arquivo na pasta.</w:t>
      </w:r>
    </w:p>
    <w:p w:rsidR="00FB47A2" w:rsidRPr="00D756FC" w:rsidRDefault="00FB47A2" w:rsidP="00FB47A2">
      <w:pPr>
        <w:pStyle w:val="Corpodetexto"/>
        <w:rPr>
          <w:rFonts w:ascii="Times New Roman" w:hAnsi="Times New Roman"/>
          <w:szCs w:val="20"/>
        </w:rPr>
      </w:pPr>
    </w:p>
    <w:p w:rsidR="005D549B" w:rsidRPr="00D756FC" w:rsidRDefault="005D549B" w:rsidP="00C76BA4">
      <w:pPr>
        <w:pStyle w:val="Corpodetexto"/>
        <w:ind w:firstLine="708"/>
        <w:rPr>
          <w:rFonts w:ascii="Times New Roman" w:hAnsi="Times New Roman"/>
          <w:szCs w:val="20"/>
        </w:rPr>
      </w:pPr>
      <w:r w:rsidRPr="00D756FC">
        <w:rPr>
          <w:rFonts w:ascii="Times New Roman" w:hAnsi="Times New Roman"/>
          <w:szCs w:val="20"/>
        </w:rPr>
        <w:t xml:space="preserve">É possível ver o arquivo em formato texto </w:t>
      </w:r>
      <w:r w:rsidRPr="00D756FC">
        <w:rPr>
          <w:rFonts w:ascii="Times New Roman" w:hAnsi="Times New Roman"/>
          <w:i/>
          <w:szCs w:val="20"/>
        </w:rPr>
        <w:t xml:space="preserve">RTF </w:t>
      </w:r>
      <w:r w:rsidRPr="00D756FC">
        <w:rPr>
          <w:rFonts w:ascii="Times New Roman" w:hAnsi="Times New Roman"/>
          <w:szCs w:val="20"/>
        </w:rPr>
        <w:t>em Relatório/Outras Informações.</w:t>
      </w:r>
    </w:p>
    <w:p w:rsidR="006F2862" w:rsidRPr="00D756FC" w:rsidRDefault="006F2862" w:rsidP="00C76BA4">
      <w:pPr>
        <w:pStyle w:val="Corpodetexto"/>
        <w:ind w:firstLine="708"/>
        <w:rPr>
          <w:rFonts w:ascii="Times New Roman" w:hAnsi="Times New Roman"/>
          <w:szCs w:val="20"/>
        </w:rPr>
      </w:pPr>
    </w:p>
    <w:p w:rsidR="00DC6BF2" w:rsidRPr="00D756FC" w:rsidRDefault="00DC6BF2" w:rsidP="00BA0E00">
      <w:pPr>
        <w:pStyle w:val="PSDS-CorpodeTexto0"/>
        <w:ind w:left="707"/>
        <w:jc w:val="both"/>
        <w:rPr>
          <w:rFonts w:ascii="Times New Roman" w:hAnsi="Times New Roman"/>
          <w:b/>
          <w:color w:val="002060"/>
        </w:rPr>
      </w:pPr>
    </w:p>
    <w:p w:rsidR="00DC6BF2" w:rsidRDefault="00B35FA3" w:rsidP="00DC6BF2">
      <w:pPr>
        <w:pStyle w:val="PSDS-CorpodeTexto0"/>
        <w:jc w:val="center"/>
        <w:rPr>
          <w:rFonts w:ascii="Times New Roman" w:hAnsi="Times New Roman"/>
          <w:b/>
          <w:color w:val="002060"/>
        </w:rPr>
      </w:pPr>
      <w:r>
        <w:rPr>
          <w:rFonts w:ascii="Times New Roman" w:hAnsi="Times New Roman"/>
          <w:b/>
          <w:color w:val="002060"/>
        </w:rPr>
        <w:object w:dxaOrig="14835" w:dyaOrig="4785">
          <v:shape id="_x0000_i2109" type="#_x0000_t75" style="width:741.75pt;height:239.25pt" o:ole="">
            <v:imagedata r:id="rId905" o:title=""/>
          </v:shape>
          <o:OLEObject Type="Link" ProgID="Excel.Sheet.12" ShapeID="_x0000_i2109" DrawAspect="Content" r:id="rId906" UpdateMode="Always">
            <o:LinkType>EnhancedMetaFile</o:LinkType>
            <o:LockedField>false</o:LockedField>
            <o:FieldCodes>\* MERGEFORMAT</o:FieldCodes>
          </o:OLEObject>
        </w:object>
      </w:r>
    </w:p>
    <w:p w:rsidR="00DC6BF2" w:rsidRDefault="00DC6BF2" w:rsidP="00BA0E00">
      <w:pPr>
        <w:pStyle w:val="PSDS-CorpodeTexto0"/>
        <w:ind w:left="707"/>
        <w:jc w:val="both"/>
        <w:rPr>
          <w:rFonts w:ascii="Times New Roman" w:hAnsi="Times New Roman"/>
          <w:b/>
          <w:color w:val="002060"/>
        </w:rPr>
      </w:pPr>
    </w:p>
    <w:p w:rsidR="00DC6BF2" w:rsidRPr="00D756FC" w:rsidRDefault="00DC6BF2" w:rsidP="00DC6BF2">
      <w:pPr>
        <w:pStyle w:val="PSDS-MarcadoresNivel4"/>
        <w:tabs>
          <w:tab w:val="clear" w:pos="2271"/>
          <w:tab w:val="left" w:pos="720"/>
        </w:tabs>
        <w:spacing w:before="0" w:after="0"/>
        <w:ind w:left="0" w:firstLine="0"/>
        <w:rPr>
          <w:rFonts w:ascii="Times New Roman" w:hAnsi="Times New Roman" w:cs="Times New Roman"/>
          <w:szCs w:val="20"/>
          <w:lang w:val="pt-PT"/>
        </w:rPr>
      </w:pPr>
      <w:r w:rsidRPr="00D756FC">
        <w:rPr>
          <w:rFonts w:ascii="Times New Roman" w:hAnsi="Times New Roman" w:cs="Times New Roman"/>
          <w:szCs w:val="20"/>
          <w:lang w:val="pt-PT"/>
        </w:rPr>
        <w:t>I – Regras de Validação de Campos:</w:t>
      </w:r>
    </w:p>
    <w:p w:rsidR="00DC6BF2" w:rsidRPr="00D756FC" w:rsidRDefault="00DC6BF2" w:rsidP="00DC6BF2">
      <w:pPr>
        <w:pStyle w:val="PSDS-MarcadoresNivel4"/>
        <w:tabs>
          <w:tab w:val="clear" w:pos="2271"/>
          <w:tab w:val="left" w:pos="720"/>
        </w:tabs>
        <w:spacing w:before="0" w:after="0"/>
        <w:ind w:left="0" w:firstLine="0"/>
        <w:rPr>
          <w:rFonts w:ascii="Times New Roman" w:hAnsi="Times New Roman" w:cs="Times New Roman"/>
          <w:szCs w:val="20"/>
          <w:lang w:val="pt-PT"/>
        </w:rPr>
      </w:pPr>
    </w:p>
    <w:tbl>
      <w:tblPr>
        <w:tblW w:w="16370"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85"/>
        <w:gridCol w:w="3000"/>
        <w:gridCol w:w="12168"/>
        <w:gridCol w:w="717"/>
      </w:tblGrid>
      <w:tr w:rsidR="00DC6BF2" w:rsidRPr="00D756FC" w:rsidTr="001D59E2">
        <w:trPr>
          <w:tblHeader/>
          <w:jc w:val="center"/>
        </w:trPr>
        <w:tc>
          <w:tcPr>
            <w:tcW w:w="485" w:type="dxa"/>
            <w:tcBorders>
              <w:top w:val="single" w:sz="6" w:space="0" w:color="auto"/>
              <w:left w:val="single" w:sz="6" w:space="0" w:color="auto"/>
              <w:bottom w:val="single" w:sz="6" w:space="0" w:color="auto"/>
              <w:right w:val="single" w:sz="6" w:space="0" w:color="auto"/>
            </w:tcBorders>
            <w:shd w:val="pct10" w:color="auto" w:fill="FFFFFF"/>
          </w:tcPr>
          <w:p w:rsidR="00DC6BF2" w:rsidRPr="00D756FC" w:rsidRDefault="00DC6BF2" w:rsidP="001D59E2">
            <w:pPr>
              <w:pStyle w:val="PSDS-CorpodeTexto0"/>
              <w:jc w:val="center"/>
              <w:rPr>
                <w:rFonts w:ascii="Times New Roman" w:hAnsi="Times New Roman"/>
                <w:b/>
                <w:bCs/>
              </w:rPr>
            </w:pPr>
            <w:r w:rsidRPr="00D756FC">
              <w:rPr>
                <w:rFonts w:ascii="Times New Roman" w:hAnsi="Times New Roman"/>
                <w:b/>
                <w:bCs/>
              </w:rPr>
              <w:t>Nº</w:t>
            </w:r>
          </w:p>
        </w:tc>
        <w:tc>
          <w:tcPr>
            <w:tcW w:w="3000" w:type="dxa"/>
            <w:tcBorders>
              <w:top w:val="single" w:sz="6" w:space="0" w:color="auto"/>
              <w:left w:val="single" w:sz="6" w:space="0" w:color="auto"/>
              <w:bottom w:val="single" w:sz="6" w:space="0" w:color="auto"/>
              <w:right w:val="single" w:sz="6" w:space="0" w:color="auto"/>
            </w:tcBorders>
            <w:shd w:val="pct10" w:color="auto" w:fill="FFFFFF"/>
          </w:tcPr>
          <w:p w:rsidR="00DC6BF2" w:rsidRPr="00D756FC" w:rsidRDefault="00DC6BF2" w:rsidP="001D59E2">
            <w:pPr>
              <w:pStyle w:val="PSDS-CorpodeTexto0"/>
              <w:jc w:val="center"/>
              <w:rPr>
                <w:rFonts w:ascii="Times New Roman" w:hAnsi="Times New Roman"/>
                <w:b/>
                <w:bCs/>
              </w:rPr>
            </w:pPr>
            <w:r w:rsidRPr="00D756FC">
              <w:rPr>
                <w:rFonts w:ascii="Times New Roman" w:hAnsi="Times New Roman"/>
                <w:b/>
                <w:bCs/>
              </w:rPr>
              <w:t>Campo</w:t>
            </w:r>
          </w:p>
        </w:tc>
        <w:tc>
          <w:tcPr>
            <w:tcW w:w="12168" w:type="dxa"/>
            <w:tcBorders>
              <w:top w:val="single" w:sz="6" w:space="0" w:color="auto"/>
              <w:left w:val="single" w:sz="6" w:space="0" w:color="auto"/>
              <w:bottom w:val="single" w:sz="6" w:space="0" w:color="auto"/>
              <w:right w:val="single" w:sz="6" w:space="0" w:color="auto"/>
            </w:tcBorders>
            <w:shd w:val="pct10" w:color="auto" w:fill="FFFFFF"/>
          </w:tcPr>
          <w:p w:rsidR="00DC6BF2" w:rsidRPr="00D756FC" w:rsidRDefault="00DC6BF2" w:rsidP="001D59E2">
            <w:pPr>
              <w:pStyle w:val="PSDS-CorpodeTexto0"/>
              <w:jc w:val="center"/>
              <w:rPr>
                <w:rFonts w:ascii="Times New Roman" w:hAnsi="Times New Roman"/>
                <w:b/>
                <w:bCs/>
              </w:rPr>
            </w:pPr>
            <w:r w:rsidRPr="00D756FC">
              <w:rPr>
                <w:rFonts w:ascii="Times New Roman" w:hAnsi="Times New Roman"/>
                <w:b/>
                <w:bCs/>
              </w:rPr>
              <w:t>Regras de Validação do Campo</w:t>
            </w:r>
          </w:p>
        </w:tc>
        <w:tc>
          <w:tcPr>
            <w:tcW w:w="717" w:type="dxa"/>
            <w:tcBorders>
              <w:top w:val="single" w:sz="6" w:space="0" w:color="auto"/>
              <w:left w:val="single" w:sz="6" w:space="0" w:color="auto"/>
              <w:bottom w:val="single" w:sz="6" w:space="0" w:color="auto"/>
              <w:right w:val="single" w:sz="6" w:space="0" w:color="auto"/>
            </w:tcBorders>
            <w:shd w:val="pct10" w:color="auto" w:fill="FFFFFF"/>
          </w:tcPr>
          <w:p w:rsidR="00DC6BF2" w:rsidRPr="00D756FC" w:rsidRDefault="00DC6BF2" w:rsidP="001D59E2">
            <w:pPr>
              <w:pStyle w:val="PSDS-CorpodeTexto0"/>
              <w:jc w:val="center"/>
              <w:rPr>
                <w:rFonts w:ascii="Times New Roman" w:hAnsi="Times New Roman"/>
                <w:b/>
                <w:bCs/>
              </w:rPr>
            </w:pPr>
            <w:r w:rsidRPr="00D756FC">
              <w:rPr>
                <w:rFonts w:ascii="Times New Roman" w:hAnsi="Times New Roman"/>
                <w:b/>
                <w:bCs/>
              </w:rPr>
              <w:t>Tipo</w:t>
            </w:r>
          </w:p>
        </w:tc>
      </w:tr>
      <w:tr w:rsidR="00DC6BF2" w:rsidRPr="00D756FC" w:rsidTr="001D59E2">
        <w:trPr>
          <w:jc w:val="center"/>
        </w:trPr>
        <w:tc>
          <w:tcPr>
            <w:tcW w:w="485" w:type="dxa"/>
            <w:tcBorders>
              <w:top w:val="single" w:sz="6" w:space="0" w:color="auto"/>
              <w:left w:val="single" w:sz="6" w:space="0" w:color="auto"/>
              <w:bottom w:val="single" w:sz="6" w:space="0" w:color="auto"/>
              <w:right w:val="single" w:sz="6" w:space="0" w:color="auto"/>
            </w:tcBorders>
          </w:tcPr>
          <w:p w:rsidR="00DC6BF2" w:rsidRPr="00D756FC" w:rsidRDefault="00402DF3" w:rsidP="001D59E2">
            <w:pPr>
              <w:pStyle w:val="PSDS-CorpodeTexto0"/>
              <w:suppressAutoHyphens w:val="0"/>
              <w:rPr>
                <w:rFonts w:ascii="Times New Roman" w:hAnsi="Times New Roman"/>
                <w:b/>
                <w:bCs/>
                <w:lang w:val="pt-PT"/>
              </w:rPr>
            </w:pPr>
            <w:r w:rsidRPr="00D756FC">
              <w:rPr>
                <w:rFonts w:ascii="Times New Roman" w:hAnsi="Times New Roman"/>
                <w:b/>
                <w:bCs/>
                <w:lang w:val="pt-PT"/>
              </w:rPr>
              <w:t>4</w:t>
            </w:r>
          </w:p>
        </w:tc>
        <w:tc>
          <w:tcPr>
            <w:tcW w:w="3000" w:type="dxa"/>
            <w:tcBorders>
              <w:top w:val="single" w:sz="6" w:space="0" w:color="auto"/>
              <w:left w:val="single" w:sz="6" w:space="0" w:color="auto"/>
              <w:bottom w:val="single" w:sz="6" w:space="0" w:color="auto"/>
              <w:right w:val="single" w:sz="6" w:space="0" w:color="auto"/>
            </w:tcBorders>
          </w:tcPr>
          <w:p w:rsidR="00DC6BF2" w:rsidRPr="00D756FC" w:rsidRDefault="00402DF3" w:rsidP="001D59E2">
            <w:pPr>
              <w:pStyle w:val="PSDS-CorpodeTexto0"/>
              <w:rPr>
                <w:rFonts w:ascii="Times New Roman" w:hAnsi="Times New Roman"/>
                <w:lang w:val="pt-PT"/>
              </w:rPr>
            </w:pPr>
            <w:r w:rsidRPr="00D756FC">
              <w:rPr>
                <w:rFonts w:ascii="Times New Roman" w:hAnsi="Times New Roman"/>
                <w:lang w:val="pt-PT"/>
              </w:rPr>
              <w:t>HASH</w:t>
            </w:r>
          </w:p>
        </w:tc>
        <w:tc>
          <w:tcPr>
            <w:tcW w:w="12168" w:type="dxa"/>
            <w:tcBorders>
              <w:top w:val="single" w:sz="6" w:space="0" w:color="auto"/>
              <w:left w:val="single" w:sz="6" w:space="0" w:color="auto"/>
              <w:bottom w:val="single" w:sz="6" w:space="0" w:color="auto"/>
              <w:right w:val="single" w:sz="6" w:space="0" w:color="auto"/>
            </w:tcBorders>
          </w:tcPr>
          <w:p w:rsidR="00DC6BF2" w:rsidRPr="00D756FC" w:rsidRDefault="00402DF3" w:rsidP="001D59E2">
            <w:pPr>
              <w:pStyle w:val="PSDS-CorpodeTexto0"/>
              <w:jc w:val="both"/>
              <w:rPr>
                <w:rFonts w:ascii="Times New Roman" w:eastAsia="Arial Unicode MS" w:hAnsi="Times New Roman"/>
                <w:lang w:val="pt-PT"/>
              </w:rPr>
            </w:pPr>
            <w:r w:rsidRPr="00D756FC">
              <w:rPr>
                <w:rFonts w:ascii="Times New Roman" w:eastAsia="Arial Unicode MS" w:hAnsi="Times New Roman"/>
                <w:b/>
                <w:lang w:val="pt-PT"/>
              </w:rPr>
              <w:t xml:space="preserve">REGRA_VALIDA_HASH_ARQUIVO: </w:t>
            </w:r>
            <w:r w:rsidRPr="00D756FC">
              <w:rPr>
                <w:rFonts w:ascii="Times New Roman" w:hAnsi="Times New Roman" w:cs="Times New Roman"/>
                <w:color w:val="000000"/>
              </w:rPr>
              <w:t>Verifica se o hash do conteúdo do arquivo é igual ao HASH armazenado</w:t>
            </w:r>
          </w:p>
        </w:tc>
        <w:tc>
          <w:tcPr>
            <w:tcW w:w="717" w:type="dxa"/>
            <w:tcBorders>
              <w:top w:val="single" w:sz="6" w:space="0" w:color="auto"/>
              <w:left w:val="single" w:sz="6" w:space="0" w:color="auto"/>
              <w:bottom w:val="single" w:sz="6" w:space="0" w:color="auto"/>
              <w:right w:val="single" w:sz="6" w:space="0" w:color="auto"/>
            </w:tcBorders>
          </w:tcPr>
          <w:p w:rsidR="00DC6BF2" w:rsidRPr="00D756FC" w:rsidRDefault="00DC6BF2" w:rsidP="001D59E2">
            <w:pPr>
              <w:pStyle w:val="PSDS-CorpodeTexto0"/>
              <w:rPr>
                <w:rFonts w:ascii="Times New Roman" w:hAnsi="Times New Roman"/>
                <w:lang w:val="pt-PT"/>
              </w:rPr>
            </w:pPr>
            <w:r w:rsidRPr="00D756FC">
              <w:rPr>
                <w:rFonts w:ascii="Times New Roman" w:hAnsi="Times New Roman"/>
                <w:lang w:val="pt-PT"/>
              </w:rPr>
              <w:t>Erro</w:t>
            </w:r>
          </w:p>
          <w:p w:rsidR="00DC6BF2" w:rsidRPr="00D756FC" w:rsidRDefault="00DC6BF2" w:rsidP="001D59E2">
            <w:pPr>
              <w:pStyle w:val="PSDS-CorpodeTexto0"/>
              <w:rPr>
                <w:rFonts w:ascii="Times New Roman" w:hAnsi="Times New Roman"/>
                <w:lang w:val="pt-PT"/>
              </w:rPr>
            </w:pPr>
          </w:p>
        </w:tc>
      </w:tr>
    </w:tbl>
    <w:p w:rsidR="00DC6BF2" w:rsidRPr="00D756FC" w:rsidRDefault="00DC6BF2" w:rsidP="00DC6BF2">
      <w:pPr>
        <w:pStyle w:val="Corpodetexto"/>
        <w:rPr>
          <w:rFonts w:ascii="Times New Roman" w:hAnsi="Times New Roman"/>
          <w:b/>
          <w:color w:val="002060"/>
          <w:szCs w:val="20"/>
        </w:rPr>
      </w:pPr>
    </w:p>
    <w:p w:rsidR="00DC6BF2" w:rsidRPr="00D756FC" w:rsidRDefault="00DC6BF2" w:rsidP="00DC6BF2">
      <w:pPr>
        <w:pStyle w:val="PSDS-CorpodeTexto0"/>
        <w:jc w:val="both"/>
        <w:rPr>
          <w:rFonts w:ascii="Times New Roman" w:hAnsi="Times New Roman"/>
          <w:b/>
          <w:color w:val="002060"/>
        </w:rPr>
      </w:pPr>
      <w:r w:rsidRPr="00D756FC">
        <w:rPr>
          <w:rFonts w:ascii="Times New Roman" w:hAnsi="Times New Roman"/>
          <w:b/>
          <w:color w:val="002060"/>
        </w:rPr>
        <w:t>Exemplo de preenchimento:</w:t>
      </w:r>
    </w:p>
    <w:p w:rsidR="00402DF3" w:rsidRPr="00D756FC" w:rsidRDefault="00402DF3" w:rsidP="00DC6BF2">
      <w:pPr>
        <w:pStyle w:val="PSDS-CorpodeTexto0"/>
        <w:jc w:val="both"/>
        <w:rPr>
          <w:rFonts w:ascii="Times New Roman" w:hAnsi="Times New Roman"/>
          <w:b/>
          <w:color w:val="002060"/>
        </w:rPr>
      </w:pPr>
    </w:p>
    <w:p w:rsidR="00402DF3" w:rsidRPr="00D756FC" w:rsidRDefault="00402DF3" w:rsidP="00402DF3">
      <w:pPr>
        <w:pStyle w:val="Corpodetexto"/>
        <w:rPr>
          <w:rFonts w:ascii="Times New Roman" w:hAnsi="Times New Roman"/>
          <w:b/>
          <w:color w:val="002060"/>
          <w:szCs w:val="20"/>
          <w:vertAlign w:val="superscript"/>
        </w:rPr>
      </w:pPr>
      <w:r w:rsidRPr="00D756FC">
        <w:rPr>
          <w:rFonts w:ascii="Times New Roman" w:hAnsi="Times New Roman"/>
          <w:b/>
          <w:color w:val="002060"/>
          <w:szCs w:val="20"/>
        </w:rPr>
        <w:t>|Y800|001|Memória de Cálculo – Incoportação|1234567890ABCDEFABCDEFABCDEFAB1234567890|{\rtf1\ansi\ansicpg1252\uc1...|Y800FIM|</w:t>
      </w:r>
    </w:p>
    <w:p w:rsidR="00BA0E00" w:rsidRPr="00D756FC" w:rsidRDefault="00BA0E00" w:rsidP="00402DF3">
      <w:pPr>
        <w:pStyle w:val="Corpodetexto"/>
        <w:ind w:firstLine="708"/>
        <w:rPr>
          <w:rFonts w:ascii="Times New Roman" w:hAnsi="Times New Roman"/>
          <w:color w:val="002060"/>
          <w:szCs w:val="20"/>
        </w:rPr>
      </w:pPr>
      <w:r w:rsidRPr="00D756FC">
        <w:rPr>
          <w:rFonts w:ascii="Times New Roman" w:hAnsi="Times New Roman"/>
          <w:color w:val="002060"/>
          <w:szCs w:val="20"/>
        </w:rPr>
        <w:t>|Y800|: Identificação do tipo do registro.</w:t>
      </w:r>
    </w:p>
    <w:p w:rsidR="00402DF3" w:rsidRPr="00D756FC" w:rsidRDefault="00402DF3" w:rsidP="00402DF3">
      <w:pPr>
        <w:pStyle w:val="Corpodetexto"/>
        <w:ind w:firstLine="708"/>
        <w:rPr>
          <w:rFonts w:ascii="Times New Roman" w:hAnsi="Times New Roman"/>
          <w:color w:val="002060"/>
          <w:szCs w:val="20"/>
        </w:rPr>
      </w:pPr>
      <w:r w:rsidRPr="00D756FC">
        <w:rPr>
          <w:rFonts w:ascii="Times New Roman" w:hAnsi="Times New Roman"/>
          <w:color w:val="002060"/>
          <w:szCs w:val="20"/>
        </w:rPr>
        <w:t>|001|: Tipo do documento.</w:t>
      </w:r>
    </w:p>
    <w:p w:rsidR="00402DF3" w:rsidRPr="00D756FC" w:rsidRDefault="00402DF3" w:rsidP="00402DF3">
      <w:pPr>
        <w:pStyle w:val="Corpodetexto"/>
        <w:ind w:firstLine="708"/>
        <w:rPr>
          <w:rFonts w:ascii="Times New Roman" w:hAnsi="Times New Roman"/>
          <w:color w:val="002060"/>
          <w:szCs w:val="20"/>
        </w:rPr>
      </w:pPr>
      <w:r w:rsidRPr="00D756FC">
        <w:rPr>
          <w:rFonts w:ascii="Times New Roman" w:hAnsi="Times New Roman"/>
          <w:color w:val="002060"/>
          <w:szCs w:val="20"/>
        </w:rPr>
        <w:t>|Memória de Cálculo – Incorporação|: Descrição do documento.</w:t>
      </w:r>
    </w:p>
    <w:p w:rsidR="00402DF3" w:rsidRPr="00D756FC" w:rsidRDefault="00FB47A2" w:rsidP="00402DF3">
      <w:pPr>
        <w:pStyle w:val="Corpodetexto"/>
        <w:ind w:firstLine="708"/>
        <w:rPr>
          <w:rFonts w:ascii="Times New Roman" w:hAnsi="Times New Roman"/>
          <w:color w:val="002060"/>
          <w:szCs w:val="20"/>
        </w:rPr>
      </w:pPr>
      <w:r w:rsidRPr="00D756FC">
        <w:rPr>
          <w:rFonts w:ascii="Times New Roman" w:hAnsi="Times New Roman"/>
          <w:color w:val="002060"/>
          <w:szCs w:val="20"/>
        </w:rPr>
        <w:t xml:space="preserve">|1234567890ABCDEFABCDEFABCDEFAB1234567890|: </w:t>
      </w:r>
      <w:r w:rsidRPr="00D756FC">
        <w:rPr>
          <w:rFonts w:ascii="Times New Roman" w:hAnsi="Times New Roman"/>
          <w:i/>
          <w:color w:val="002060"/>
          <w:szCs w:val="20"/>
        </w:rPr>
        <w:t xml:space="preserve">Hash </w:t>
      </w:r>
      <w:r w:rsidRPr="00D756FC">
        <w:rPr>
          <w:rFonts w:ascii="Times New Roman" w:hAnsi="Times New Roman"/>
          <w:color w:val="002060"/>
          <w:szCs w:val="20"/>
        </w:rPr>
        <w:t xml:space="preserve">do </w:t>
      </w:r>
      <w:r w:rsidR="00DF20F8" w:rsidRPr="00D756FC">
        <w:rPr>
          <w:rFonts w:ascii="Times New Roman" w:hAnsi="Times New Roman"/>
          <w:color w:val="002060"/>
          <w:szCs w:val="20"/>
        </w:rPr>
        <w:t>arquivo</w:t>
      </w:r>
      <w:r w:rsidRPr="00D756FC">
        <w:rPr>
          <w:rFonts w:ascii="Times New Roman" w:hAnsi="Times New Roman"/>
          <w:color w:val="002060"/>
          <w:szCs w:val="20"/>
        </w:rPr>
        <w:t xml:space="preserve"> incluído.</w:t>
      </w:r>
    </w:p>
    <w:p w:rsidR="00BA0E00" w:rsidRPr="00D756FC" w:rsidRDefault="00BA0E00" w:rsidP="00402DF3">
      <w:pPr>
        <w:pStyle w:val="Corpodetexto"/>
        <w:ind w:firstLine="708"/>
        <w:rPr>
          <w:rFonts w:ascii="Times New Roman" w:hAnsi="Times New Roman"/>
          <w:color w:val="002060"/>
          <w:szCs w:val="20"/>
        </w:rPr>
      </w:pPr>
      <w:r w:rsidRPr="00D756FC">
        <w:rPr>
          <w:rFonts w:ascii="Times New Roman" w:hAnsi="Times New Roman"/>
          <w:color w:val="002060"/>
          <w:szCs w:val="20"/>
        </w:rPr>
        <w:t>|{\rtf1\ansi\ansicpg1252\uc1...|: Sequência de bytes que representem um único arquivo no formato RTF (Rich Text Format).</w:t>
      </w:r>
    </w:p>
    <w:p w:rsidR="00BA0E00" w:rsidRPr="00FA3856" w:rsidRDefault="00BA0E00" w:rsidP="00402DF3">
      <w:pPr>
        <w:pStyle w:val="Corpodetexto"/>
        <w:ind w:firstLine="708"/>
        <w:rPr>
          <w:rFonts w:ascii="Times New Roman" w:hAnsi="Times New Roman"/>
          <w:color w:val="002060"/>
          <w:szCs w:val="20"/>
        </w:rPr>
      </w:pPr>
      <w:r w:rsidRPr="00D756FC">
        <w:rPr>
          <w:rFonts w:ascii="Times New Roman" w:hAnsi="Times New Roman"/>
          <w:color w:val="002060"/>
          <w:szCs w:val="20"/>
        </w:rPr>
        <w:t>|Y800FIM|: Identificação o fim do arquivo.</w:t>
      </w:r>
    </w:p>
    <w:p w:rsidR="00BA0E00" w:rsidRPr="00FA3856" w:rsidRDefault="00BA0E00" w:rsidP="00C76BA4">
      <w:pPr>
        <w:pStyle w:val="PSDS-MarcadoresNivel3"/>
        <w:tabs>
          <w:tab w:val="clear" w:pos="1440"/>
        </w:tabs>
        <w:spacing w:before="0" w:after="0"/>
        <w:ind w:left="720" w:firstLine="0"/>
        <w:rPr>
          <w:rFonts w:ascii="Times New Roman" w:hAnsi="Times New Roman" w:cs="Times New Roman"/>
          <w:color w:val="0000FF"/>
          <w:szCs w:val="20"/>
        </w:rPr>
      </w:pPr>
    </w:p>
    <w:p w:rsidR="00C76BA4" w:rsidRPr="00FA3856" w:rsidRDefault="00C76BA4">
      <w:pPr>
        <w:rPr>
          <w:b/>
          <w:bCs/>
          <w:color w:val="0000FF"/>
          <w:szCs w:val="20"/>
        </w:rPr>
      </w:pPr>
      <w:r w:rsidRPr="00FA3856">
        <w:rPr>
          <w:color w:val="0000FF"/>
          <w:szCs w:val="20"/>
        </w:rPr>
        <w:br w:type="page"/>
      </w:r>
    </w:p>
    <w:p w:rsidR="003B49DF" w:rsidRPr="00FA3856" w:rsidRDefault="003B49DF" w:rsidP="00867F54">
      <w:pPr>
        <w:pStyle w:val="Ttulo4"/>
      </w:pPr>
      <w:bookmarkStart w:id="455" w:name="_Toc479713845"/>
      <w:r w:rsidRPr="00FA3856">
        <w:lastRenderedPageBreak/>
        <w:t>Registro Y990: Encerramento do Bloco Y</w:t>
      </w:r>
      <w:bookmarkEnd w:id="455"/>
    </w:p>
    <w:p w:rsidR="003B49DF" w:rsidRPr="00FA3856" w:rsidRDefault="003B49DF" w:rsidP="003B49DF">
      <w:pPr>
        <w:pStyle w:val="PSDS-MarcadoresNivel3"/>
        <w:tabs>
          <w:tab w:val="clear" w:pos="1440"/>
        </w:tabs>
        <w:spacing w:before="0" w:after="0"/>
        <w:ind w:left="720" w:firstLine="0"/>
        <w:rPr>
          <w:rFonts w:ascii="Times New Roman" w:hAnsi="Times New Roman" w:cs="Times New Roman"/>
          <w:szCs w:val="20"/>
        </w:rPr>
      </w:pPr>
    </w:p>
    <w:p w:rsidR="000779C9" w:rsidRPr="00FA3856" w:rsidRDefault="000779C9" w:rsidP="003B49DF">
      <w:pPr>
        <w:pStyle w:val="PSDS-MarcadoresNivel3"/>
        <w:tabs>
          <w:tab w:val="clear" w:pos="1440"/>
        </w:tabs>
        <w:spacing w:before="0" w:after="0"/>
        <w:ind w:left="720" w:firstLine="0"/>
        <w:rPr>
          <w:rFonts w:ascii="Times New Roman" w:hAnsi="Times New Roman" w:cs="Times New Roman"/>
          <w:b w:val="0"/>
          <w:szCs w:val="20"/>
        </w:rPr>
      </w:pPr>
      <w:r w:rsidRPr="00FA3856">
        <w:rPr>
          <w:rFonts w:ascii="Times New Roman" w:hAnsi="Times New Roman" w:cs="Times New Roman"/>
          <w:b w:val="0"/>
          <w:szCs w:val="20"/>
        </w:rPr>
        <w:t>Este registro indica o encerramento do Bloco Y e informa o total de ocorrências dos registros pertencentes ao Bloco Y no arquivo da ECF.</w:t>
      </w:r>
    </w:p>
    <w:p w:rsidR="000779C9" w:rsidRDefault="000779C9" w:rsidP="000779C9">
      <w:pPr>
        <w:pStyle w:val="Corpodetexto"/>
        <w:rPr>
          <w:rFonts w:ascii="Times New Roman" w:hAnsi="Times New Roman"/>
          <w:b/>
          <w:color w:val="002060"/>
          <w:szCs w:val="20"/>
        </w:rPr>
      </w:pPr>
    </w:p>
    <w:p w:rsidR="00A02210" w:rsidRPr="00FA3856" w:rsidRDefault="00B35FA3" w:rsidP="00A02210">
      <w:pPr>
        <w:pStyle w:val="Corpodetexto"/>
        <w:jc w:val="center"/>
        <w:rPr>
          <w:rFonts w:ascii="Times New Roman" w:hAnsi="Times New Roman"/>
          <w:b/>
          <w:color w:val="002060"/>
          <w:szCs w:val="20"/>
        </w:rPr>
      </w:pPr>
      <w:r>
        <w:rPr>
          <w:rFonts w:ascii="Times New Roman" w:hAnsi="Times New Roman"/>
          <w:b/>
          <w:color w:val="002060"/>
          <w:szCs w:val="20"/>
        </w:rPr>
        <w:object w:dxaOrig="14100" w:dyaOrig="2475">
          <v:shape id="_x0000_i2111" type="#_x0000_t75" style="width:705pt;height:123.75pt" o:ole="">
            <v:imagedata r:id="rId907" o:title=""/>
          </v:shape>
          <o:OLEObject Type="Link" ProgID="Excel.Sheet.12" ShapeID="_x0000_i2111" DrawAspect="Content" r:id="rId908" UpdateMode="Always">
            <o:LinkType>EnhancedMetaFile</o:LinkType>
            <o:LockedField>false</o:LockedField>
          </o:OLEObject>
        </w:object>
      </w:r>
    </w:p>
    <w:p w:rsidR="00A02210" w:rsidRDefault="00A02210" w:rsidP="000779C9">
      <w:pPr>
        <w:pStyle w:val="Corpodetexto"/>
        <w:rPr>
          <w:rFonts w:ascii="Times New Roman" w:hAnsi="Times New Roman"/>
          <w:b/>
          <w:color w:val="002060"/>
          <w:szCs w:val="20"/>
        </w:rPr>
      </w:pPr>
    </w:p>
    <w:p w:rsidR="00A02210" w:rsidRDefault="000779C9" w:rsidP="000779C9">
      <w:pPr>
        <w:pStyle w:val="Corpodetexto"/>
        <w:rPr>
          <w:rFonts w:ascii="Times New Roman" w:hAnsi="Times New Roman"/>
          <w:b/>
          <w:color w:val="002060"/>
          <w:szCs w:val="20"/>
        </w:rPr>
      </w:pPr>
      <w:r w:rsidRPr="00FA3856">
        <w:rPr>
          <w:rFonts w:ascii="Times New Roman" w:hAnsi="Times New Roman"/>
          <w:b/>
          <w:color w:val="002060"/>
          <w:szCs w:val="20"/>
        </w:rPr>
        <w:t xml:space="preserve">Exemplo de Preenchimento: </w:t>
      </w:r>
    </w:p>
    <w:p w:rsidR="00A02210" w:rsidRDefault="00A02210" w:rsidP="000779C9">
      <w:pPr>
        <w:pStyle w:val="Corpodetexto"/>
        <w:rPr>
          <w:rFonts w:ascii="Times New Roman" w:hAnsi="Times New Roman"/>
          <w:b/>
          <w:color w:val="002060"/>
          <w:szCs w:val="20"/>
        </w:rPr>
      </w:pPr>
    </w:p>
    <w:p w:rsidR="000779C9" w:rsidRPr="00FA3856" w:rsidRDefault="000779C9" w:rsidP="000779C9">
      <w:pPr>
        <w:pStyle w:val="Corpodetexto"/>
        <w:rPr>
          <w:rFonts w:ascii="Times New Roman" w:hAnsi="Times New Roman"/>
          <w:b/>
          <w:color w:val="002060"/>
          <w:szCs w:val="20"/>
        </w:rPr>
      </w:pPr>
      <w:r w:rsidRPr="00FA3856">
        <w:rPr>
          <w:rFonts w:ascii="Times New Roman" w:hAnsi="Times New Roman"/>
          <w:b/>
          <w:color w:val="002060"/>
          <w:szCs w:val="20"/>
        </w:rPr>
        <w:t>|</w:t>
      </w:r>
      <w:r w:rsidR="00C77098" w:rsidRPr="00FA3856">
        <w:rPr>
          <w:rFonts w:ascii="Times New Roman" w:hAnsi="Times New Roman"/>
          <w:b/>
          <w:color w:val="002060"/>
          <w:szCs w:val="20"/>
        </w:rPr>
        <w:t>Y99</w:t>
      </w:r>
      <w:r w:rsidRPr="00FA3856">
        <w:rPr>
          <w:rFonts w:ascii="Times New Roman" w:hAnsi="Times New Roman"/>
          <w:b/>
          <w:color w:val="002060"/>
          <w:szCs w:val="20"/>
        </w:rPr>
        <w:t>0|</w:t>
      </w:r>
      <w:r w:rsidR="00BA0E00" w:rsidRPr="00FA3856">
        <w:rPr>
          <w:rFonts w:ascii="Times New Roman" w:hAnsi="Times New Roman"/>
          <w:b/>
          <w:color w:val="002060"/>
          <w:szCs w:val="20"/>
        </w:rPr>
        <w:t>12</w:t>
      </w:r>
      <w:r w:rsidR="00C77098" w:rsidRPr="00FA3856">
        <w:rPr>
          <w:rFonts w:ascii="Times New Roman" w:hAnsi="Times New Roman"/>
          <w:b/>
          <w:color w:val="002060"/>
          <w:szCs w:val="20"/>
        </w:rPr>
        <w:t>0</w:t>
      </w:r>
      <w:r w:rsidRPr="00FA3856">
        <w:rPr>
          <w:rFonts w:ascii="Times New Roman" w:hAnsi="Times New Roman"/>
          <w:b/>
          <w:color w:val="002060"/>
          <w:szCs w:val="20"/>
        </w:rPr>
        <w:t>|</w:t>
      </w:r>
    </w:p>
    <w:p w:rsidR="000779C9" w:rsidRPr="00FA3856" w:rsidRDefault="000779C9" w:rsidP="000779C9">
      <w:pPr>
        <w:pStyle w:val="Corpodetexto"/>
        <w:ind w:firstLine="708"/>
        <w:rPr>
          <w:rFonts w:ascii="Times New Roman" w:hAnsi="Times New Roman"/>
          <w:color w:val="002060"/>
          <w:szCs w:val="20"/>
        </w:rPr>
      </w:pPr>
      <w:r w:rsidRPr="00FA3856">
        <w:rPr>
          <w:rFonts w:ascii="Times New Roman" w:hAnsi="Times New Roman"/>
          <w:color w:val="002060"/>
          <w:szCs w:val="20"/>
        </w:rPr>
        <w:t>|Y990|: Identificação do tipo do registro.</w:t>
      </w:r>
    </w:p>
    <w:p w:rsidR="00BA0E00" w:rsidRPr="00FA3856" w:rsidRDefault="00BA0E00" w:rsidP="00BA0E00">
      <w:pPr>
        <w:pStyle w:val="Corpodetexto"/>
        <w:ind w:firstLine="708"/>
        <w:rPr>
          <w:rFonts w:ascii="Times New Roman" w:hAnsi="Times New Roman"/>
          <w:color w:val="002060"/>
          <w:szCs w:val="20"/>
        </w:rPr>
      </w:pPr>
      <w:r w:rsidRPr="00FA3856">
        <w:rPr>
          <w:rFonts w:ascii="Times New Roman" w:hAnsi="Times New Roman"/>
          <w:color w:val="002060"/>
          <w:szCs w:val="20"/>
        </w:rPr>
        <w:t>|12</w:t>
      </w:r>
      <w:r w:rsidR="00C77098" w:rsidRPr="00FA3856">
        <w:rPr>
          <w:rFonts w:ascii="Times New Roman" w:hAnsi="Times New Roman"/>
          <w:color w:val="002060"/>
          <w:szCs w:val="20"/>
        </w:rPr>
        <w:t>0</w:t>
      </w:r>
      <w:r w:rsidR="000779C9" w:rsidRPr="00FA3856">
        <w:rPr>
          <w:rFonts w:ascii="Times New Roman" w:hAnsi="Times New Roman"/>
          <w:color w:val="002060"/>
          <w:szCs w:val="20"/>
        </w:rPr>
        <w:t xml:space="preserve">|: </w:t>
      </w:r>
      <w:r w:rsidRPr="00FA3856">
        <w:rPr>
          <w:rFonts w:ascii="Times New Roman" w:hAnsi="Times New Roman"/>
          <w:color w:val="002060"/>
          <w:szCs w:val="20"/>
        </w:rPr>
        <w:t>A quantidade total de registros do Bloco Y é 12</w:t>
      </w:r>
      <w:r w:rsidR="00C77098" w:rsidRPr="00FA3856">
        <w:rPr>
          <w:rFonts w:ascii="Times New Roman" w:hAnsi="Times New Roman"/>
          <w:color w:val="002060"/>
          <w:szCs w:val="20"/>
        </w:rPr>
        <w:t>0</w:t>
      </w:r>
      <w:r w:rsidRPr="00FA3856">
        <w:rPr>
          <w:rFonts w:ascii="Times New Roman" w:hAnsi="Times New Roman"/>
          <w:color w:val="002060"/>
          <w:szCs w:val="20"/>
        </w:rPr>
        <w:t xml:space="preserve"> (</w:t>
      </w:r>
      <w:r w:rsidR="00C77098" w:rsidRPr="00FA3856">
        <w:rPr>
          <w:rFonts w:ascii="Times New Roman" w:hAnsi="Times New Roman"/>
          <w:color w:val="002060"/>
          <w:szCs w:val="20"/>
        </w:rPr>
        <w:t>cento e vinte</w:t>
      </w:r>
      <w:r w:rsidRPr="00FA3856">
        <w:rPr>
          <w:rFonts w:ascii="Times New Roman" w:hAnsi="Times New Roman"/>
          <w:color w:val="002060"/>
          <w:szCs w:val="20"/>
        </w:rPr>
        <w:t xml:space="preserve"> registros).</w:t>
      </w:r>
    </w:p>
    <w:p w:rsidR="00733470" w:rsidRPr="00FA3856" w:rsidRDefault="00733470" w:rsidP="00BA0E00">
      <w:pPr>
        <w:pStyle w:val="Corpodetexto"/>
        <w:ind w:firstLine="708"/>
        <w:rPr>
          <w:rFonts w:ascii="Times New Roman" w:hAnsi="Times New Roman"/>
          <w:color w:val="0000FF"/>
          <w:szCs w:val="20"/>
        </w:rPr>
      </w:pPr>
    </w:p>
    <w:p w:rsidR="000779C9" w:rsidRPr="00FA3856" w:rsidRDefault="000779C9">
      <w:pPr>
        <w:rPr>
          <w:b/>
          <w:bCs/>
          <w:color w:val="0000FF"/>
          <w:szCs w:val="20"/>
        </w:rPr>
      </w:pPr>
      <w:r w:rsidRPr="00FA3856">
        <w:rPr>
          <w:color w:val="0000FF"/>
          <w:szCs w:val="20"/>
        </w:rPr>
        <w:br w:type="page"/>
      </w:r>
    </w:p>
    <w:p w:rsidR="003B49DF" w:rsidRPr="00FA3856" w:rsidRDefault="003B49DF" w:rsidP="00867F54">
      <w:pPr>
        <w:pStyle w:val="Ttulo3"/>
      </w:pPr>
      <w:bookmarkStart w:id="456" w:name="_Toc479713846"/>
      <w:r w:rsidRPr="00FA3856">
        <w:lastRenderedPageBreak/>
        <w:t>Bloco 9: Encerramento do Arquivo Digital</w:t>
      </w:r>
      <w:bookmarkEnd w:id="456"/>
    </w:p>
    <w:p w:rsidR="003B49DF" w:rsidRPr="00FA3856" w:rsidRDefault="003B49DF" w:rsidP="003B49DF">
      <w:pPr>
        <w:pStyle w:val="PSDS-MarcadoresNivel3"/>
        <w:tabs>
          <w:tab w:val="clear" w:pos="1440"/>
        </w:tabs>
        <w:spacing w:before="0" w:after="0"/>
        <w:ind w:left="0" w:firstLine="0"/>
        <w:rPr>
          <w:rFonts w:ascii="Times New Roman" w:hAnsi="Times New Roman" w:cs="Times New Roman"/>
          <w:color w:val="0000FF"/>
          <w:szCs w:val="20"/>
        </w:rPr>
      </w:pPr>
    </w:p>
    <w:p w:rsidR="003B49DF" w:rsidRDefault="003B49DF" w:rsidP="00867F54">
      <w:pPr>
        <w:pStyle w:val="Ttulo4"/>
      </w:pPr>
      <w:bookmarkStart w:id="457" w:name="_Toc479713847"/>
      <w:r w:rsidRPr="00FA3856">
        <w:t>Registro 9001: Abertura do Bloco 9</w:t>
      </w:r>
      <w:bookmarkEnd w:id="457"/>
    </w:p>
    <w:p w:rsidR="00F0386C" w:rsidRPr="00F0386C" w:rsidRDefault="00F0386C" w:rsidP="00F0386C"/>
    <w:p w:rsidR="000779C9" w:rsidRPr="00FA3856" w:rsidRDefault="000779C9" w:rsidP="003B49DF">
      <w:pPr>
        <w:rPr>
          <w:szCs w:val="20"/>
        </w:rPr>
      </w:pPr>
      <w:r w:rsidRPr="00FA3856">
        <w:rPr>
          <w:szCs w:val="20"/>
        </w:rPr>
        <w:tab/>
        <w:t>Este registro indica se o Bloco 9 possui dados informados.</w:t>
      </w:r>
    </w:p>
    <w:p w:rsidR="003B49DF" w:rsidRDefault="003B49DF" w:rsidP="003B49DF">
      <w:pPr>
        <w:pStyle w:val="PSDS-MarcadoresNivel2"/>
        <w:numPr>
          <w:ilvl w:val="0"/>
          <w:numId w:val="0"/>
        </w:numPr>
        <w:rPr>
          <w:rFonts w:ascii="Times New Roman" w:hAnsi="Times New Roman"/>
        </w:rPr>
      </w:pPr>
    </w:p>
    <w:p w:rsidR="001D59E2" w:rsidRPr="00FA3856" w:rsidRDefault="00B35FA3" w:rsidP="001D59E2">
      <w:pPr>
        <w:pStyle w:val="PSDS-MarcadoresNivel2"/>
        <w:numPr>
          <w:ilvl w:val="0"/>
          <w:numId w:val="0"/>
        </w:numPr>
        <w:jc w:val="center"/>
        <w:rPr>
          <w:rFonts w:ascii="Times New Roman" w:hAnsi="Times New Roman"/>
        </w:rPr>
      </w:pPr>
      <w:r>
        <w:rPr>
          <w:rFonts w:ascii="Times New Roman" w:hAnsi="Times New Roman"/>
        </w:rPr>
        <w:object w:dxaOrig="13305" w:dyaOrig="3090">
          <v:shape id="_x0000_i2113" type="#_x0000_t75" style="width:666pt;height:155.25pt" o:ole="">
            <v:imagedata r:id="rId909" o:title=""/>
          </v:shape>
          <o:OLEObject Type="Link" ProgID="Excel.Sheet.12" ShapeID="_x0000_i2113" DrawAspect="Content" r:id="rId910" UpdateMode="Always">
            <o:LinkType>EnhancedMetaFile</o:LinkType>
            <o:LockedField>false</o:LockedField>
          </o:OLEObject>
        </w:object>
      </w:r>
    </w:p>
    <w:p w:rsidR="001D59E2" w:rsidRDefault="001D59E2" w:rsidP="000779C9">
      <w:pPr>
        <w:rPr>
          <w:b/>
          <w:szCs w:val="20"/>
        </w:rPr>
      </w:pPr>
    </w:p>
    <w:p w:rsidR="003B49DF" w:rsidRPr="00FA3856" w:rsidRDefault="003B49DF" w:rsidP="000779C9">
      <w:pPr>
        <w:rPr>
          <w:b/>
          <w:szCs w:val="20"/>
        </w:rPr>
      </w:pPr>
      <w:r w:rsidRPr="00FA3856">
        <w:rPr>
          <w:b/>
          <w:szCs w:val="20"/>
        </w:rPr>
        <w:t>I – Regras de Validação do Registro:</w:t>
      </w:r>
    </w:p>
    <w:p w:rsidR="003B49DF" w:rsidRPr="00FA3856" w:rsidRDefault="007D0E74" w:rsidP="003B49DF">
      <w:pPr>
        <w:pStyle w:val="Corpodetexto"/>
        <w:ind w:left="708" w:firstLine="12"/>
        <w:rPr>
          <w:rFonts w:ascii="Times New Roman" w:hAnsi="Times New Roman"/>
          <w:szCs w:val="20"/>
        </w:rPr>
      </w:pPr>
      <w:hyperlink r:id="rId911" w:anchor="REGRA_OCORRENCIA_UNITARIA_ARQ" w:history="1">
        <w:r w:rsidR="003B49DF" w:rsidRPr="00FA3856">
          <w:rPr>
            <w:rFonts w:ascii="Times New Roman" w:hAnsi="Times New Roman"/>
            <w:b/>
            <w:szCs w:val="20"/>
          </w:rPr>
          <w:t>REGRA_OCORRENCIA_UNITARIA_ARQ</w:t>
        </w:r>
      </w:hyperlink>
      <w:r w:rsidR="003B49DF" w:rsidRPr="00FA3856">
        <w:rPr>
          <w:rFonts w:ascii="Times New Roman" w:hAnsi="Times New Roman"/>
          <w:color w:val="auto"/>
          <w:szCs w:val="20"/>
        </w:rPr>
        <w:t xml:space="preserve">: </w:t>
      </w:r>
      <w:r w:rsidR="003B49DF" w:rsidRPr="00FA3856">
        <w:rPr>
          <w:rFonts w:ascii="Times New Roman" w:hAnsi="Times New Roman"/>
          <w:szCs w:val="20"/>
        </w:rPr>
        <w:t>Verifica se registro ocorreu apenas uma vez por arquivo, considerando a chave “9001” (REG). Se a regra não for cumprida, a ECF gera um erro.</w:t>
      </w:r>
    </w:p>
    <w:p w:rsidR="003B49DF" w:rsidRPr="00FA3856" w:rsidRDefault="003B49DF" w:rsidP="003B49DF">
      <w:pPr>
        <w:pStyle w:val="Corpodetexto"/>
        <w:rPr>
          <w:rFonts w:ascii="Times New Roman" w:hAnsi="Times New Roman"/>
          <w:szCs w:val="20"/>
        </w:rPr>
      </w:pPr>
    </w:p>
    <w:p w:rsidR="001D59E2" w:rsidRDefault="000779C9" w:rsidP="003B49DF">
      <w:pPr>
        <w:pStyle w:val="Corpodetexto"/>
        <w:rPr>
          <w:rFonts w:ascii="Times New Roman" w:hAnsi="Times New Roman"/>
          <w:b/>
          <w:color w:val="002060"/>
          <w:szCs w:val="20"/>
        </w:rPr>
      </w:pPr>
      <w:r w:rsidRPr="00FA3856">
        <w:rPr>
          <w:rFonts w:ascii="Times New Roman" w:hAnsi="Times New Roman"/>
          <w:b/>
          <w:color w:val="002060"/>
          <w:szCs w:val="20"/>
        </w:rPr>
        <w:t xml:space="preserve">Exemplo de Preenchimento: </w:t>
      </w:r>
    </w:p>
    <w:p w:rsidR="001D59E2" w:rsidRDefault="001D59E2" w:rsidP="003B49DF">
      <w:pPr>
        <w:pStyle w:val="Corpodetexto"/>
        <w:rPr>
          <w:rFonts w:ascii="Times New Roman" w:hAnsi="Times New Roman"/>
          <w:b/>
          <w:color w:val="002060"/>
          <w:szCs w:val="20"/>
        </w:rPr>
      </w:pPr>
    </w:p>
    <w:p w:rsidR="000779C9" w:rsidRPr="00FA3856" w:rsidRDefault="000779C9" w:rsidP="003B49DF">
      <w:pPr>
        <w:pStyle w:val="Corpodetexto"/>
        <w:rPr>
          <w:rFonts w:ascii="Times New Roman" w:hAnsi="Times New Roman"/>
          <w:b/>
          <w:color w:val="002060"/>
          <w:szCs w:val="20"/>
        </w:rPr>
      </w:pPr>
      <w:r w:rsidRPr="00FA3856">
        <w:rPr>
          <w:rFonts w:ascii="Times New Roman" w:hAnsi="Times New Roman"/>
          <w:b/>
          <w:color w:val="002060"/>
          <w:szCs w:val="20"/>
        </w:rPr>
        <w:t>|9001|0|</w:t>
      </w:r>
    </w:p>
    <w:p w:rsidR="000779C9" w:rsidRPr="00FA3856" w:rsidRDefault="000779C9" w:rsidP="000779C9">
      <w:pPr>
        <w:pStyle w:val="Corpodetexto"/>
        <w:ind w:firstLine="708"/>
        <w:rPr>
          <w:rFonts w:ascii="Times New Roman" w:hAnsi="Times New Roman"/>
          <w:color w:val="002060"/>
          <w:szCs w:val="20"/>
        </w:rPr>
      </w:pPr>
      <w:r w:rsidRPr="00FA3856">
        <w:rPr>
          <w:rFonts w:ascii="Times New Roman" w:hAnsi="Times New Roman"/>
          <w:color w:val="002060"/>
          <w:szCs w:val="20"/>
        </w:rPr>
        <w:t>|9001|: Identificação do tipo do registro.</w:t>
      </w:r>
    </w:p>
    <w:p w:rsidR="000779C9" w:rsidRPr="00FA3856" w:rsidRDefault="000779C9" w:rsidP="000779C9">
      <w:pPr>
        <w:pStyle w:val="Corpodetexto"/>
        <w:ind w:firstLine="708"/>
        <w:rPr>
          <w:rFonts w:ascii="Times New Roman" w:hAnsi="Times New Roman"/>
          <w:color w:val="002060"/>
          <w:szCs w:val="20"/>
        </w:rPr>
      </w:pPr>
      <w:r w:rsidRPr="00FA3856">
        <w:rPr>
          <w:rFonts w:ascii="Times New Roman" w:hAnsi="Times New Roman"/>
          <w:color w:val="002060"/>
          <w:szCs w:val="20"/>
        </w:rPr>
        <w:t>|0|: Indica que o bloco possui dados informados.</w:t>
      </w:r>
    </w:p>
    <w:p w:rsidR="00DD4BB2" w:rsidRPr="00FA3856" w:rsidRDefault="00DD4BB2" w:rsidP="00DD4BB2">
      <w:pPr>
        <w:pStyle w:val="Corpodetexto"/>
        <w:rPr>
          <w:rFonts w:ascii="Times New Roman" w:hAnsi="Times New Roman"/>
          <w:color w:val="002060"/>
          <w:szCs w:val="20"/>
        </w:rPr>
      </w:pPr>
    </w:p>
    <w:p w:rsidR="008600E7" w:rsidRPr="00FA3856" w:rsidRDefault="008600E7">
      <w:pPr>
        <w:spacing w:after="200" w:line="276" w:lineRule="auto"/>
        <w:rPr>
          <w:b/>
          <w:bCs/>
          <w:color w:val="0000FF"/>
          <w:szCs w:val="20"/>
        </w:rPr>
      </w:pPr>
      <w:r w:rsidRPr="00FA3856">
        <w:rPr>
          <w:color w:val="0000FF"/>
          <w:szCs w:val="20"/>
        </w:rPr>
        <w:br w:type="page"/>
      </w:r>
    </w:p>
    <w:p w:rsidR="00DD4BB2" w:rsidRPr="00FA3856" w:rsidRDefault="00DD4BB2" w:rsidP="00867F54">
      <w:pPr>
        <w:pStyle w:val="Ttulo4"/>
      </w:pPr>
      <w:bookmarkStart w:id="458" w:name="_Toc479713848"/>
      <w:r w:rsidRPr="00FA3856">
        <w:lastRenderedPageBreak/>
        <w:t>Registro 9100: Avisos da Escrituração</w:t>
      </w:r>
      <w:bookmarkEnd w:id="458"/>
    </w:p>
    <w:p w:rsidR="00DD4BB2" w:rsidRPr="00FA3856" w:rsidRDefault="00DD4BB2" w:rsidP="00DD4BB2">
      <w:pPr>
        <w:pStyle w:val="Corpodetexto"/>
        <w:rPr>
          <w:rFonts w:ascii="Times New Roman" w:hAnsi="Times New Roman"/>
          <w:color w:val="002060"/>
          <w:szCs w:val="20"/>
        </w:rPr>
      </w:pPr>
    </w:p>
    <w:p w:rsidR="008600E7" w:rsidRDefault="00DD4BB2" w:rsidP="001D59E2">
      <w:pPr>
        <w:shd w:val="clear" w:color="auto" w:fill="FFFFFF"/>
        <w:rPr>
          <w:color w:val="222222"/>
          <w:szCs w:val="20"/>
        </w:rPr>
      </w:pPr>
      <w:r w:rsidRPr="00FA3856">
        <w:rPr>
          <w:color w:val="222222"/>
          <w:szCs w:val="20"/>
        </w:rPr>
        <w:t> </w:t>
      </w:r>
      <w:r w:rsidR="005D549B" w:rsidRPr="00FA3856">
        <w:rPr>
          <w:color w:val="222222"/>
          <w:szCs w:val="20"/>
        </w:rPr>
        <w:tab/>
      </w:r>
      <w:r w:rsidR="008600E7" w:rsidRPr="00FA3856">
        <w:rPr>
          <w:color w:val="222222"/>
          <w:szCs w:val="20"/>
        </w:rPr>
        <w:t>Registro inserido pelo sistema com as d</w:t>
      </w:r>
      <w:r w:rsidRPr="00FA3856">
        <w:rPr>
          <w:color w:val="222222"/>
          <w:szCs w:val="20"/>
        </w:rPr>
        <w:t xml:space="preserve">ivergências apontadas </w:t>
      </w:r>
      <w:r w:rsidR="00DB09C0">
        <w:rPr>
          <w:color w:val="222222"/>
          <w:szCs w:val="20"/>
        </w:rPr>
        <w:t>pelas regras que geram advertências.</w:t>
      </w:r>
    </w:p>
    <w:p w:rsidR="001D59E2" w:rsidRDefault="001D59E2" w:rsidP="001D59E2">
      <w:pPr>
        <w:shd w:val="clear" w:color="auto" w:fill="FFFFFF"/>
        <w:rPr>
          <w:color w:val="222222"/>
          <w:szCs w:val="20"/>
        </w:rPr>
      </w:pPr>
    </w:p>
    <w:bookmarkStart w:id="459" w:name="_MON_1555349646"/>
    <w:bookmarkEnd w:id="459"/>
    <w:p w:rsidR="001D59E2" w:rsidRPr="00FA3856" w:rsidRDefault="00C83612" w:rsidP="001D59E2">
      <w:pPr>
        <w:shd w:val="clear" w:color="auto" w:fill="FFFFFF"/>
        <w:jc w:val="center"/>
        <w:rPr>
          <w:b/>
          <w:bCs/>
          <w:color w:val="0000FF"/>
          <w:szCs w:val="20"/>
        </w:rPr>
      </w:pPr>
      <w:r>
        <w:rPr>
          <w:color w:val="222222"/>
          <w:szCs w:val="20"/>
        </w:rPr>
        <w:object w:dxaOrig="14215" w:dyaOrig="4037">
          <v:shape id="_x0000_i1379" type="#_x0000_t75" style="width:711.75pt;height:201.75pt" o:ole="">
            <v:imagedata r:id="rId912" o:title=""/>
          </v:shape>
          <o:OLEObject Type="Embed" ProgID="Excel.Sheet.12" ShapeID="_x0000_i1379" DrawAspect="Content" ObjectID="_1556641646" r:id="rId913"/>
        </w:object>
      </w:r>
    </w:p>
    <w:p w:rsidR="001D59E2" w:rsidRDefault="001D59E2">
      <w:pPr>
        <w:spacing w:after="200" w:line="276" w:lineRule="auto"/>
        <w:rPr>
          <w:b/>
          <w:bCs/>
          <w:color w:val="0000FF"/>
          <w:szCs w:val="20"/>
        </w:rPr>
      </w:pPr>
      <w:r>
        <w:rPr>
          <w:color w:val="0000FF"/>
          <w:szCs w:val="20"/>
        </w:rPr>
        <w:br w:type="page"/>
      </w:r>
    </w:p>
    <w:p w:rsidR="00733470" w:rsidRPr="00FA3856" w:rsidRDefault="00733470" w:rsidP="00867F54">
      <w:pPr>
        <w:pStyle w:val="Ttulo4"/>
      </w:pPr>
      <w:bookmarkStart w:id="460" w:name="_Toc479713849"/>
      <w:r w:rsidRPr="00FA3856">
        <w:lastRenderedPageBreak/>
        <w:t>Registro 9900: Registros do Arquivo</w:t>
      </w:r>
      <w:bookmarkEnd w:id="460"/>
    </w:p>
    <w:p w:rsidR="00733470" w:rsidRPr="00FA3856" w:rsidRDefault="00733470" w:rsidP="00733470">
      <w:pPr>
        <w:rPr>
          <w:szCs w:val="20"/>
        </w:rPr>
      </w:pPr>
    </w:p>
    <w:p w:rsidR="00D81F5D" w:rsidRPr="00FA3856" w:rsidRDefault="00D81F5D" w:rsidP="008600E7">
      <w:pPr>
        <w:shd w:val="clear" w:color="auto" w:fill="FFFFFF"/>
        <w:ind w:firstLine="708"/>
        <w:rPr>
          <w:color w:val="222222"/>
          <w:szCs w:val="20"/>
        </w:rPr>
      </w:pPr>
      <w:r w:rsidRPr="00FA3856">
        <w:rPr>
          <w:color w:val="222222"/>
          <w:szCs w:val="20"/>
        </w:rPr>
        <w:t xml:space="preserve">Este registro informa a quantidade total de registros por tipo de registro do arquivo da ECF. </w:t>
      </w:r>
      <w:r w:rsidR="00E31038" w:rsidRPr="00FA3856">
        <w:rPr>
          <w:color w:val="222222"/>
          <w:szCs w:val="20"/>
        </w:rPr>
        <w:t>Devem ser mostradas a quantidade de ocorrências de todos os registros que aparecem no arquivo da ECF, inclusive do próprio registro 9900</w:t>
      </w:r>
      <w:r w:rsidR="000779C9" w:rsidRPr="00FA3856">
        <w:rPr>
          <w:color w:val="222222"/>
          <w:szCs w:val="20"/>
        </w:rPr>
        <w:t>, que será preenchido por último</w:t>
      </w:r>
      <w:r w:rsidR="00E31038" w:rsidRPr="00FA3856">
        <w:rPr>
          <w:color w:val="222222"/>
          <w:szCs w:val="20"/>
        </w:rPr>
        <w:t xml:space="preserve">. </w:t>
      </w:r>
      <w:r w:rsidRPr="00FA3856">
        <w:rPr>
          <w:color w:val="222222"/>
          <w:szCs w:val="20"/>
        </w:rPr>
        <w:t>Além disso, deve ser informado o código da versão da tabela dinâmica utilizada (atualmente a versão é 1.00) e a identificação da tabela dinâmica utilizada (será preenchido pelo sistema). Ambos os campos (</w:t>
      </w:r>
      <w:r w:rsidR="00516F95" w:rsidRPr="00FA3856">
        <w:rPr>
          <w:color w:val="222222"/>
          <w:szCs w:val="20"/>
        </w:rPr>
        <w:t>9900.</w:t>
      </w:r>
      <w:r w:rsidRPr="00FA3856">
        <w:rPr>
          <w:color w:val="222222"/>
          <w:szCs w:val="20"/>
        </w:rPr>
        <w:t xml:space="preserve">VERSAO e </w:t>
      </w:r>
      <w:r w:rsidR="00516F95" w:rsidRPr="00FA3856">
        <w:rPr>
          <w:color w:val="222222"/>
          <w:szCs w:val="20"/>
        </w:rPr>
        <w:t>9900.</w:t>
      </w:r>
      <w:r w:rsidRPr="00FA3856">
        <w:rPr>
          <w:color w:val="222222"/>
          <w:szCs w:val="20"/>
        </w:rPr>
        <w:t>ID_TAB_DIN), atualmente, são não obrigatórios.</w:t>
      </w:r>
    </w:p>
    <w:p w:rsidR="001D59E2" w:rsidRDefault="001D59E2" w:rsidP="00E31038">
      <w:pPr>
        <w:pStyle w:val="Corpodetexto"/>
        <w:rPr>
          <w:rFonts w:ascii="Times New Roman" w:hAnsi="Times New Roman"/>
          <w:b/>
          <w:color w:val="002060"/>
          <w:szCs w:val="20"/>
        </w:rPr>
      </w:pPr>
    </w:p>
    <w:p w:rsidR="001D59E2" w:rsidRDefault="00B35FA3" w:rsidP="001D59E2">
      <w:pPr>
        <w:pStyle w:val="Corpodetexto"/>
        <w:jc w:val="center"/>
        <w:rPr>
          <w:rFonts w:ascii="Times New Roman" w:hAnsi="Times New Roman"/>
          <w:b/>
          <w:color w:val="002060"/>
          <w:szCs w:val="20"/>
        </w:rPr>
      </w:pPr>
      <w:r>
        <w:rPr>
          <w:rFonts w:ascii="Times New Roman" w:hAnsi="Times New Roman"/>
          <w:b/>
          <w:color w:val="002060"/>
          <w:szCs w:val="20"/>
        </w:rPr>
        <w:object w:dxaOrig="13305" w:dyaOrig="3750">
          <v:shape id="_x0000_i2116" type="#_x0000_t75" style="width:666pt;height:185.25pt" o:ole="">
            <v:imagedata r:id="rId914" o:title=""/>
          </v:shape>
          <o:OLEObject Type="Link" ProgID="Excel.Sheet.12" ShapeID="_x0000_i2116" DrawAspect="Content" r:id="rId915" UpdateMode="Always">
            <o:LinkType>EnhancedMetaFile</o:LinkType>
            <o:LockedField>false</o:LockedField>
          </o:OLEObject>
        </w:object>
      </w:r>
    </w:p>
    <w:p w:rsidR="001D59E2" w:rsidRDefault="001D59E2" w:rsidP="00E31038">
      <w:pPr>
        <w:pStyle w:val="Corpodetexto"/>
        <w:rPr>
          <w:rFonts w:ascii="Times New Roman" w:hAnsi="Times New Roman"/>
          <w:b/>
          <w:color w:val="002060"/>
          <w:szCs w:val="20"/>
        </w:rPr>
      </w:pPr>
    </w:p>
    <w:p w:rsidR="00D81F5D" w:rsidRPr="00FA3856" w:rsidRDefault="00D81F5D" w:rsidP="00E31038">
      <w:pPr>
        <w:pStyle w:val="Corpodetexto"/>
        <w:rPr>
          <w:rFonts w:ascii="Times New Roman" w:hAnsi="Times New Roman"/>
          <w:color w:val="002060"/>
          <w:szCs w:val="20"/>
        </w:rPr>
      </w:pPr>
      <w:r w:rsidRPr="00FA3856">
        <w:rPr>
          <w:rFonts w:ascii="Times New Roman" w:hAnsi="Times New Roman"/>
          <w:b/>
          <w:color w:val="002060"/>
          <w:szCs w:val="20"/>
        </w:rPr>
        <w:t>Exemplo de P</w:t>
      </w:r>
      <w:r w:rsidR="000779C9" w:rsidRPr="00FA3856">
        <w:rPr>
          <w:rFonts w:ascii="Times New Roman" w:hAnsi="Times New Roman"/>
          <w:b/>
          <w:color w:val="002060"/>
          <w:szCs w:val="20"/>
        </w:rPr>
        <w:t>reenchimento:</w:t>
      </w:r>
    </w:p>
    <w:p w:rsidR="001D59E2" w:rsidRDefault="001D59E2" w:rsidP="001D59E2">
      <w:pPr>
        <w:pStyle w:val="Corpodetexto"/>
        <w:rPr>
          <w:rFonts w:ascii="Times New Roman" w:hAnsi="Times New Roman"/>
          <w:b/>
          <w:color w:val="002060"/>
          <w:szCs w:val="20"/>
        </w:rPr>
      </w:pPr>
    </w:p>
    <w:p w:rsidR="00D81F5D" w:rsidRPr="00FA3856" w:rsidRDefault="00D81F5D" w:rsidP="001D59E2">
      <w:pPr>
        <w:pStyle w:val="Corpodetexto"/>
        <w:rPr>
          <w:rFonts w:ascii="Times New Roman" w:hAnsi="Times New Roman"/>
          <w:b/>
          <w:color w:val="002060"/>
          <w:szCs w:val="20"/>
        </w:rPr>
      </w:pPr>
      <w:r w:rsidRPr="00FA3856">
        <w:rPr>
          <w:rFonts w:ascii="Times New Roman" w:hAnsi="Times New Roman"/>
          <w:b/>
          <w:color w:val="002060"/>
          <w:szCs w:val="20"/>
        </w:rPr>
        <w:t>|9900|0000|1||</w:t>
      </w:r>
      <w:r w:rsidR="00E33146" w:rsidRPr="00FA3856">
        <w:rPr>
          <w:rFonts w:ascii="Times New Roman" w:hAnsi="Times New Roman"/>
          <w:b/>
          <w:color w:val="002060"/>
          <w:szCs w:val="20"/>
        </w:rPr>
        <w:t>|</w:t>
      </w:r>
    </w:p>
    <w:p w:rsidR="00E31038" w:rsidRPr="00FA3856" w:rsidRDefault="00E31038" w:rsidP="001D59E2">
      <w:pPr>
        <w:pStyle w:val="Corpodetexto"/>
        <w:ind w:firstLine="708"/>
        <w:rPr>
          <w:rFonts w:ascii="Times New Roman" w:hAnsi="Times New Roman"/>
          <w:color w:val="002060"/>
          <w:szCs w:val="20"/>
        </w:rPr>
      </w:pPr>
      <w:r w:rsidRPr="00FA3856">
        <w:rPr>
          <w:rFonts w:ascii="Times New Roman" w:hAnsi="Times New Roman"/>
          <w:color w:val="002060"/>
          <w:szCs w:val="20"/>
        </w:rPr>
        <w:t>|9900|: Identificação do tipo do registro.</w:t>
      </w:r>
    </w:p>
    <w:p w:rsidR="00E31038" w:rsidRPr="00FA3856" w:rsidRDefault="00E31038" w:rsidP="001D59E2">
      <w:pPr>
        <w:pStyle w:val="Corpodetexto"/>
        <w:ind w:firstLine="708"/>
        <w:rPr>
          <w:rFonts w:ascii="Times New Roman" w:hAnsi="Times New Roman"/>
          <w:color w:val="002060"/>
          <w:szCs w:val="20"/>
        </w:rPr>
      </w:pPr>
      <w:r w:rsidRPr="00FA3856">
        <w:rPr>
          <w:rFonts w:ascii="Times New Roman" w:hAnsi="Times New Roman"/>
          <w:color w:val="002060"/>
          <w:szCs w:val="20"/>
        </w:rPr>
        <w:t>|0000|: Será mostrado o total de ocorrência do registro 0000.</w:t>
      </w:r>
    </w:p>
    <w:p w:rsidR="00E31038" w:rsidRPr="00FA3856" w:rsidRDefault="001D59E2" w:rsidP="00E31038">
      <w:pPr>
        <w:pStyle w:val="Corpodetexto"/>
        <w:rPr>
          <w:rFonts w:ascii="Times New Roman" w:hAnsi="Times New Roman"/>
          <w:color w:val="002060"/>
          <w:szCs w:val="20"/>
        </w:rPr>
      </w:pPr>
      <w:r>
        <w:rPr>
          <w:rFonts w:ascii="Times New Roman" w:hAnsi="Times New Roman"/>
          <w:color w:val="002060"/>
          <w:szCs w:val="20"/>
        </w:rPr>
        <w:tab/>
      </w:r>
      <w:r w:rsidR="00E31038" w:rsidRPr="00FA3856">
        <w:rPr>
          <w:rFonts w:ascii="Times New Roman" w:hAnsi="Times New Roman"/>
          <w:color w:val="002060"/>
          <w:szCs w:val="20"/>
        </w:rPr>
        <w:t>|1|: A quantidade total do registro 00000 no arquivo da ECF é 1.</w:t>
      </w:r>
    </w:p>
    <w:p w:rsidR="00E31038" w:rsidRPr="00FA3856" w:rsidRDefault="00E31038" w:rsidP="00E31038">
      <w:pPr>
        <w:pStyle w:val="Corpodetexto"/>
        <w:rPr>
          <w:rFonts w:ascii="Times New Roman" w:hAnsi="Times New Roman"/>
          <w:color w:val="002060"/>
          <w:szCs w:val="20"/>
        </w:rPr>
      </w:pPr>
    </w:p>
    <w:p w:rsidR="00D81F5D" w:rsidRPr="00FA3856" w:rsidRDefault="00D81F5D" w:rsidP="001D59E2">
      <w:pPr>
        <w:pStyle w:val="Corpodetexto"/>
        <w:rPr>
          <w:rFonts w:ascii="Times New Roman" w:hAnsi="Times New Roman"/>
          <w:b/>
          <w:color w:val="002060"/>
          <w:szCs w:val="20"/>
        </w:rPr>
      </w:pPr>
      <w:r w:rsidRPr="00FA3856">
        <w:rPr>
          <w:rFonts w:ascii="Times New Roman" w:hAnsi="Times New Roman"/>
          <w:b/>
          <w:color w:val="002060"/>
          <w:szCs w:val="20"/>
        </w:rPr>
        <w:t>|9900|0001|1||</w:t>
      </w:r>
      <w:r w:rsidR="00E33146" w:rsidRPr="00FA3856">
        <w:rPr>
          <w:rFonts w:ascii="Times New Roman" w:hAnsi="Times New Roman"/>
          <w:b/>
          <w:color w:val="002060"/>
          <w:szCs w:val="20"/>
        </w:rPr>
        <w:t>|</w:t>
      </w:r>
    </w:p>
    <w:p w:rsidR="00E31038" w:rsidRPr="00FA3856" w:rsidRDefault="00E31038" w:rsidP="001D59E2">
      <w:pPr>
        <w:pStyle w:val="Corpodetexto"/>
        <w:ind w:firstLine="708"/>
        <w:rPr>
          <w:rFonts w:ascii="Times New Roman" w:hAnsi="Times New Roman"/>
          <w:color w:val="002060"/>
          <w:szCs w:val="20"/>
        </w:rPr>
      </w:pPr>
      <w:r w:rsidRPr="00FA3856">
        <w:rPr>
          <w:rFonts w:ascii="Times New Roman" w:hAnsi="Times New Roman"/>
          <w:color w:val="002060"/>
          <w:szCs w:val="20"/>
        </w:rPr>
        <w:t>|9900|: Identificação do tipo do registro.</w:t>
      </w:r>
    </w:p>
    <w:p w:rsidR="00E31038" w:rsidRPr="00FA3856" w:rsidRDefault="00E31038" w:rsidP="001D59E2">
      <w:pPr>
        <w:pStyle w:val="Corpodetexto"/>
        <w:ind w:firstLine="708"/>
        <w:rPr>
          <w:rFonts w:ascii="Times New Roman" w:hAnsi="Times New Roman"/>
          <w:color w:val="002060"/>
          <w:szCs w:val="20"/>
        </w:rPr>
      </w:pPr>
      <w:r w:rsidRPr="00FA3856">
        <w:rPr>
          <w:rFonts w:ascii="Times New Roman" w:hAnsi="Times New Roman"/>
          <w:color w:val="002060"/>
          <w:szCs w:val="20"/>
        </w:rPr>
        <w:t>|0001|: Será mostrado o total de ocorrência do registro 0001.</w:t>
      </w:r>
    </w:p>
    <w:p w:rsidR="00E31038" w:rsidRPr="00FA3856" w:rsidRDefault="001D59E2" w:rsidP="00E31038">
      <w:pPr>
        <w:pStyle w:val="Corpodetexto"/>
        <w:rPr>
          <w:rFonts w:ascii="Times New Roman" w:hAnsi="Times New Roman"/>
          <w:color w:val="002060"/>
          <w:szCs w:val="20"/>
        </w:rPr>
      </w:pPr>
      <w:r>
        <w:rPr>
          <w:rFonts w:ascii="Times New Roman" w:hAnsi="Times New Roman"/>
          <w:color w:val="002060"/>
          <w:szCs w:val="20"/>
        </w:rPr>
        <w:tab/>
      </w:r>
      <w:r w:rsidR="00E31038" w:rsidRPr="00FA3856">
        <w:rPr>
          <w:rFonts w:ascii="Times New Roman" w:hAnsi="Times New Roman"/>
          <w:color w:val="002060"/>
          <w:szCs w:val="20"/>
        </w:rPr>
        <w:t>|1|: A quantidade total do registro 0001 no arquivo da ECF é 1.</w:t>
      </w:r>
    </w:p>
    <w:p w:rsidR="00E31038" w:rsidRPr="00FA3856" w:rsidRDefault="00E31038" w:rsidP="00E31038">
      <w:pPr>
        <w:pStyle w:val="Corpodetexto"/>
        <w:ind w:left="708" w:firstLine="708"/>
        <w:rPr>
          <w:rFonts w:ascii="Times New Roman" w:hAnsi="Times New Roman"/>
          <w:b/>
          <w:color w:val="002060"/>
          <w:szCs w:val="20"/>
        </w:rPr>
      </w:pPr>
    </w:p>
    <w:p w:rsidR="00D81F5D" w:rsidRPr="00FA3856" w:rsidRDefault="00D81F5D" w:rsidP="001D59E2">
      <w:pPr>
        <w:pStyle w:val="Corpodetexto"/>
        <w:rPr>
          <w:rFonts w:ascii="Times New Roman" w:hAnsi="Times New Roman"/>
          <w:b/>
          <w:color w:val="002060"/>
          <w:szCs w:val="20"/>
        </w:rPr>
      </w:pPr>
      <w:r w:rsidRPr="00FA3856">
        <w:rPr>
          <w:rFonts w:ascii="Times New Roman" w:hAnsi="Times New Roman"/>
          <w:b/>
          <w:color w:val="002060"/>
          <w:szCs w:val="20"/>
        </w:rPr>
        <w:t>|9900|0010|1||</w:t>
      </w:r>
      <w:r w:rsidR="00E33146" w:rsidRPr="00FA3856">
        <w:rPr>
          <w:rFonts w:ascii="Times New Roman" w:hAnsi="Times New Roman"/>
          <w:b/>
          <w:color w:val="002060"/>
          <w:szCs w:val="20"/>
        </w:rPr>
        <w:t>|</w:t>
      </w:r>
    </w:p>
    <w:p w:rsidR="00E31038" w:rsidRPr="00FA3856" w:rsidRDefault="00E31038" w:rsidP="001D59E2">
      <w:pPr>
        <w:pStyle w:val="Corpodetexto"/>
        <w:ind w:firstLine="708"/>
        <w:rPr>
          <w:rFonts w:ascii="Times New Roman" w:hAnsi="Times New Roman"/>
          <w:color w:val="002060"/>
          <w:szCs w:val="20"/>
        </w:rPr>
      </w:pPr>
      <w:r w:rsidRPr="00FA3856">
        <w:rPr>
          <w:rFonts w:ascii="Times New Roman" w:hAnsi="Times New Roman"/>
          <w:color w:val="002060"/>
          <w:szCs w:val="20"/>
        </w:rPr>
        <w:t>|9900|: Identificação do tipo do registro.</w:t>
      </w:r>
    </w:p>
    <w:p w:rsidR="00E31038" w:rsidRPr="00FA3856" w:rsidRDefault="00E31038" w:rsidP="001D59E2">
      <w:pPr>
        <w:pStyle w:val="Corpodetexto"/>
        <w:ind w:firstLine="708"/>
        <w:rPr>
          <w:rFonts w:ascii="Times New Roman" w:hAnsi="Times New Roman"/>
          <w:color w:val="002060"/>
          <w:szCs w:val="20"/>
        </w:rPr>
      </w:pPr>
      <w:r w:rsidRPr="00FA3856">
        <w:rPr>
          <w:rFonts w:ascii="Times New Roman" w:hAnsi="Times New Roman"/>
          <w:color w:val="002060"/>
          <w:szCs w:val="20"/>
        </w:rPr>
        <w:t>|0010|: Será mostrado o total de ocorrência do registro 0010.</w:t>
      </w:r>
    </w:p>
    <w:p w:rsidR="00E31038" w:rsidRPr="00FA3856" w:rsidRDefault="001D59E2" w:rsidP="00E31038">
      <w:pPr>
        <w:pStyle w:val="Corpodetexto"/>
        <w:rPr>
          <w:rFonts w:ascii="Times New Roman" w:hAnsi="Times New Roman"/>
          <w:color w:val="002060"/>
          <w:szCs w:val="20"/>
        </w:rPr>
      </w:pPr>
      <w:r>
        <w:rPr>
          <w:rFonts w:ascii="Times New Roman" w:hAnsi="Times New Roman"/>
          <w:color w:val="002060"/>
          <w:szCs w:val="20"/>
        </w:rPr>
        <w:tab/>
      </w:r>
      <w:r w:rsidR="00E31038" w:rsidRPr="00FA3856">
        <w:rPr>
          <w:rFonts w:ascii="Times New Roman" w:hAnsi="Times New Roman"/>
          <w:color w:val="002060"/>
          <w:szCs w:val="20"/>
        </w:rPr>
        <w:t>|1|: A quantidade total do registro 0010 no arquivo da ECF é 1.</w:t>
      </w:r>
    </w:p>
    <w:p w:rsidR="00D81F5D" w:rsidRPr="00FA3856" w:rsidRDefault="00D81F5D" w:rsidP="001D59E2">
      <w:pPr>
        <w:pStyle w:val="Corpodetexto"/>
        <w:rPr>
          <w:rFonts w:ascii="Times New Roman" w:hAnsi="Times New Roman"/>
          <w:b/>
          <w:color w:val="002060"/>
          <w:szCs w:val="20"/>
        </w:rPr>
      </w:pPr>
      <w:r w:rsidRPr="00FA3856">
        <w:rPr>
          <w:rFonts w:ascii="Times New Roman" w:hAnsi="Times New Roman"/>
          <w:b/>
          <w:color w:val="002060"/>
          <w:szCs w:val="20"/>
        </w:rPr>
        <w:lastRenderedPageBreak/>
        <w:t>|9900|0020|1||</w:t>
      </w:r>
      <w:r w:rsidR="00E33146" w:rsidRPr="00FA3856">
        <w:rPr>
          <w:rFonts w:ascii="Times New Roman" w:hAnsi="Times New Roman"/>
          <w:b/>
          <w:color w:val="002060"/>
          <w:szCs w:val="20"/>
        </w:rPr>
        <w:t>|</w:t>
      </w:r>
    </w:p>
    <w:p w:rsidR="00E31038" w:rsidRPr="00FA3856" w:rsidRDefault="00E31038" w:rsidP="001D59E2">
      <w:pPr>
        <w:pStyle w:val="Corpodetexto"/>
        <w:ind w:firstLine="708"/>
        <w:rPr>
          <w:rFonts w:ascii="Times New Roman" w:hAnsi="Times New Roman"/>
          <w:color w:val="002060"/>
          <w:szCs w:val="20"/>
        </w:rPr>
      </w:pPr>
      <w:r w:rsidRPr="00FA3856">
        <w:rPr>
          <w:rFonts w:ascii="Times New Roman" w:hAnsi="Times New Roman"/>
          <w:color w:val="002060"/>
          <w:szCs w:val="20"/>
        </w:rPr>
        <w:t>|9900|: Identificação do tipo do registro.</w:t>
      </w:r>
    </w:p>
    <w:p w:rsidR="00E31038" w:rsidRPr="00FA3856" w:rsidRDefault="00E31038" w:rsidP="001D59E2">
      <w:pPr>
        <w:pStyle w:val="Corpodetexto"/>
        <w:ind w:firstLine="708"/>
        <w:rPr>
          <w:rFonts w:ascii="Times New Roman" w:hAnsi="Times New Roman"/>
          <w:color w:val="002060"/>
          <w:szCs w:val="20"/>
        </w:rPr>
      </w:pPr>
      <w:r w:rsidRPr="00FA3856">
        <w:rPr>
          <w:rFonts w:ascii="Times New Roman" w:hAnsi="Times New Roman"/>
          <w:color w:val="002060"/>
          <w:szCs w:val="20"/>
        </w:rPr>
        <w:t>|0020|: Será mostrado o total de ocorrência do registro 0020.</w:t>
      </w:r>
    </w:p>
    <w:p w:rsidR="00E31038" w:rsidRPr="00FA3856" w:rsidRDefault="001D59E2" w:rsidP="00E31038">
      <w:pPr>
        <w:pStyle w:val="Corpodetexto"/>
        <w:rPr>
          <w:rFonts w:ascii="Times New Roman" w:hAnsi="Times New Roman"/>
          <w:color w:val="002060"/>
          <w:szCs w:val="20"/>
        </w:rPr>
      </w:pPr>
      <w:r>
        <w:rPr>
          <w:rFonts w:ascii="Times New Roman" w:hAnsi="Times New Roman"/>
          <w:color w:val="002060"/>
          <w:szCs w:val="20"/>
        </w:rPr>
        <w:tab/>
      </w:r>
      <w:r w:rsidR="00E31038" w:rsidRPr="00FA3856">
        <w:rPr>
          <w:rFonts w:ascii="Times New Roman" w:hAnsi="Times New Roman"/>
          <w:color w:val="002060"/>
          <w:szCs w:val="20"/>
        </w:rPr>
        <w:t>|1|: A quantidade total do registro 0020 no arquivo da ECF é 1.</w:t>
      </w:r>
    </w:p>
    <w:p w:rsidR="00E31038" w:rsidRPr="00FA3856" w:rsidRDefault="00E31038" w:rsidP="00E31038">
      <w:pPr>
        <w:pStyle w:val="Corpodetexto"/>
        <w:ind w:left="708" w:firstLine="708"/>
        <w:rPr>
          <w:rFonts w:ascii="Times New Roman" w:hAnsi="Times New Roman"/>
          <w:b/>
          <w:color w:val="002060"/>
          <w:szCs w:val="20"/>
        </w:rPr>
      </w:pPr>
    </w:p>
    <w:p w:rsidR="00D81F5D" w:rsidRPr="00FA3856" w:rsidRDefault="00E33146" w:rsidP="001D59E2">
      <w:pPr>
        <w:pStyle w:val="Corpodetexto"/>
        <w:rPr>
          <w:rFonts w:ascii="Times New Roman" w:hAnsi="Times New Roman"/>
          <w:b/>
          <w:color w:val="002060"/>
          <w:szCs w:val="20"/>
        </w:rPr>
      </w:pPr>
      <w:r w:rsidRPr="00FA3856">
        <w:rPr>
          <w:rFonts w:ascii="Times New Roman" w:hAnsi="Times New Roman"/>
          <w:b/>
          <w:color w:val="002060"/>
          <w:szCs w:val="20"/>
        </w:rPr>
        <w:t>|9900|U100|302|11|SPEDECF_DINAMICA_U100_A|</w:t>
      </w:r>
    </w:p>
    <w:p w:rsidR="00E31038" w:rsidRPr="00FA3856" w:rsidRDefault="00E31038" w:rsidP="001D59E2">
      <w:pPr>
        <w:pStyle w:val="Corpodetexto"/>
        <w:ind w:firstLine="708"/>
        <w:rPr>
          <w:rFonts w:ascii="Times New Roman" w:hAnsi="Times New Roman"/>
          <w:color w:val="002060"/>
          <w:szCs w:val="20"/>
        </w:rPr>
      </w:pPr>
      <w:r w:rsidRPr="00FA3856">
        <w:rPr>
          <w:rFonts w:ascii="Times New Roman" w:hAnsi="Times New Roman"/>
          <w:color w:val="002060"/>
          <w:szCs w:val="20"/>
        </w:rPr>
        <w:t>|9900|: Identificação do tipo do registro.</w:t>
      </w:r>
    </w:p>
    <w:p w:rsidR="00E31038" w:rsidRPr="00FA3856" w:rsidRDefault="00E31038" w:rsidP="001D59E2">
      <w:pPr>
        <w:pStyle w:val="Corpodetexto"/>
        <w:ind w:firstLine="708"/>
        <w:rPr>
          <w:rFonts w:ascii="Times New Roman" w:hAnsi="Times New Roman"/>
          <w:color w:val="002060"/>
          <w:szCs w:val="20"/>
        </w:rPr>
      </w:pPr>
      <w:r w:rsidRPr="00FA3856">
        <w:rPr>
          <w:rFonts w:ascii="Times New Roman" w:hAnsi="Times New Roman"/>
          <w:color w:val="002060"/>
          <w:szCs w:val="20"/>
        </w:rPr>
        <w:t>|U100|: Será mostrado o total de ocorrência do registro U100.</w:t>
      </w:r>
    </w:p>
    <w:p w:rsidR="00E31038" w:rsidRPr="00FA3856" w:rsidRDefault="001D59E2" w:rsidP="00E31038">
      <w:pPr>
        <w:pStyle w:val="Corpodetexto"/>
        <w:rPr>
          <w:rFonts w:ascii="Times New Roman" w:hAnsi="Times New Roman"/>
          <w:color w:val="002060"/>
          <w:szCs w:val="20"/>
        </w:rPr>
      </w:pPr>
      <w:r>
        <w:rPr>
          <w:rFonts w:ascii="Times New Roman" w:hAnsi="Times New Roman"/>
          <w:color w:val="002060"/>
          <w:szCs w:val="20"/>
        </w:rPr>
        <w:tab/>
      </w:r>
      <w:r w:rsidR="00E31038" w:rsidRPr="00FA3856">
        <w:rPr>
          <w:rFonts w:ascii="Times New Roman" w:hAnsi="Times New Roman"/>
          <w:color w:val="002060"/>
          <w:szCs w:val="20"/>
        </w:rPr>
        <w:t>|302|: A quantidade total do registro U100 no arquivo da ECF é 302.</w:t>
      </w:r>
    </w:p>
    <w:p w:rsidR="00E33146" w:rsidRPr="00FA3856" w:rsidRDefault="001D59E2" w:rsidP="00E31038">
      <w:pPr>
        <w:pStyle w:val="Corpodetexto"/>
        <w:rPr>
          <w:rFonts w:ascii="Times New Roman" w:hAnsi="Times New Roman"/>
          <w:color w:val="002060"/>
          <w:szCs w:val="20"/>
        </w:rPr>
      </w:pPr>
      <w:r>
        <w:rPr>
          <w:rFonts w:ascii="Times New Roman" w:hAnsi="Times New Roman"/>
          <w:color w:val="002060"/>
          <w:szCs w:val="20"/>
        </w:rPr>
        <w:tab/>
      </w:r>
      <w:r w:rsidR="00E33146" w:rsidRPr="00FA3856">
        <w:rPr>
          <w:rFonts w:ascii="Times New Roman" w:hAnsi="Times New Roman"/>
          <w:color w:val="002060"/>
          <w:szCs w:val="20"/>
        </w:rPr>
        <w:t>|11|: Versão 11 da tabela dinâmica.</w:t>
      </w:r>
    </w:p>
    <w:p w:rsidR="00E33146" w:rsidRPr="00FA3856" w:rsidRDefault="001D59E2" w:rsidP="00E31038">
      <w:pPr>
        <w:pStyle w:val="Corpodetexto"/>
        <w:rPr>
          <w:rFonts w:ascii="Times New Roman" w:hAnsi="Times New Roman"/>
          <w:color w:val="002060"/>
          <w:szCs w:val="20"/>
        </w:rPr>
      </w:pPr>
      <w:r>
        <w:rPr>
          <w:rFonts w:ascii="Times New Roman" w:hAnsi="Times New Roman"/>
          <w:color w:val="002060"/>
          <w:szCs w:val="20"/>
        </w:rPr>
        <w:tab/>
      </w:r>
      <w:r w:rsidR="00E33146" w:rsidRPr="00FA3856">
        <w:rPr>
          <w:rFonts w:ascii="Times New Roman" w:hAnsi="Times New Roman"/>
          <w:color w:val="002060"/>
          <w:szCs w:val="20"/>
        </w:rPr>
        <w:t>|SPEDECF_DINAMICA_U100_A|: Tabela dinâmica utilizada.</w:t>
      </w:r>
    </w:p>
    <w:p w:rsidR="00E31038" w:rsidRPr="00FA3856" w:rsidRDefault="00E31038" w:rsidP="00E31038">
      <w:pPr>
        <w:pStyle w:val="Corpodetexto"/>
        <w:ind w:left="708" w:firstLine="708"/>
        <w:rPr>
          <w:rFonts w:ascii="Times New Roman" w:hAnsi="Times New Roman"/>
          <w:b/>
          <w:color w:val="002060"/>
          <w:szCs w:val="20"/>
        </w:rPr>
      </w:pPr>
    </w:p>
    <w:p w:rsidR="00D81F5D" w:rsidRPr="00FA3856" w:rsidRDefault="00E33146" w:rsidP="001D59E2">
      <w:pPr>
        <w:pStyle w:val="Corpodetexto"/>
        <w:rPr>
          <w:rFonts w:ascii="Times New Roman" w:hAnsi="Times New Roman"/>
          <w:b/>
          <w:color w:val="002060"/>
          <w:szCs w:val="20"/>
        </w:rPr>
      </w:pPr>
      <w:r w:rsidRPr="00FA3856">
        <w:rPr>
          <w:rFonts w:ascii="Times New Roman" w:hAnsi="Times New Roman"/>
          <w:b/>
          <w:color w:val="002060"/>
          <w:szCs w:val="20"/>
        </w:rPr>
        <w:t>|9900|U150|213|11|SPEDECF_DINAMICA_U150_A|</w:t>
      </w:r>
    </w:p>
    <w:p w:rsidR="00E31038" w:rsidRPr="00FA3856" w:rsidRDefault="00E31038" w:rsidP="001D59E2">
      <w:pPr>
        <w:pStyle w:val="Corpodetexto"/>
        <w:ind w:firstLine="708"/>
        <w:rPr>
          <w:rFonts w:ascii="Times New Roman" w:hAnsi="Times New Roman"/>
          <w:color w:val="002060"/>
          <w:szCs w:val="20"/>
        </w:rPr>
      </w:pPr>
      <w:r w:rsidRPr="00FA3856">
        <w:rPr>
          <w:rFonts w:ascii="Times New Roman" w:hAnsi="Times New Roman"/>
          <w:color w:val="002060"/>
          <w:szCs w:val="20"/>
        </w:rPr>
        <w:t>|9900|: Identificação do tipo do registro.</w:t>
      </w:r>
    </w:p>
    <w:p w:rsidR="00E31038" w:rsidRPr="00FA3856" w:rsidRDefault="00E31038" w:rsidP="001D59E2">
      <w:pPr>
        <w:pStyle w:val="Corpodetexto"/>
        <w:ind w:firstLine="708"/>
        <w:rPr>
          <w:rFonts w:ascii="Times New Roman" w:hAnsi="Times New Roman"/>
          <w:color w:val="002060"/>
          <w:szCs w:val="20"/>
        </w:rPr>
      </w:pPr>
      <w:r w:rsidRPr="00FA3856">
        <w:rPr>
          <w:rFonts w:ascii="Times New Roman" w:hAnsi="Times New Roman"/>
          <w:color w:val="002060"/>
          <w:szCs w:val="20"/>
        </w:rPr>
        <w:t>|U150|: Será mostrado o total de ocorrência do registro U150.</w:t>
      </w:r>
    </w:p>
    <w:p w:rsidR="00E31038" w:rsidRPr="00FA3856" w:rsidRDefault="001D59E2" w:rsidP="00E31038">
      <w:pPr>
        <w:pStyle w:val="Corpodetexto"/>
        <w:rPr>
          <w:rFonts w:ascii="Times New Roman" w:hAnsi="Times New Roman"/>
          <w:color w:val="002060"/>
          <w:szCs w:val="20"/>
        </w:rPr>
      </w:pPr>
      <w:r>
        <w:rPr>
          <w:rFonts w:ascii="Times New Roman" w:hAnsi="Times New Roman"/>
          <w:color w:val="002060"/>
          <w:szCs w:val="20"/>
        </w:rPr>
        <w:tab/>
      </w:r>
      <w:r w:rsidR="00E31038" w:rsidRPr="00FA3856">
        <w:rPr>
          <w:rFonts w:ascii="Times New Roman" w:hAnsi="Times New Roman"/>
          <w:color w:val="002060"/>
          <w:szCs w:val="20"/>
        </w:rPr>
        <w:t>|213|: A quantidade total do registro U150 no arquivo da ECF é 213.</w:t>
      </w:r>
    </w:p>
    <w:p w:rsidR="00E33146" w:rsidRPr="00FA3856" w:rsidRDefault="00E33146" w:rsidP="001D59E2">
      <w:pPr>
        <w:pStyle w:val="Corpodetexto"/>
        <w:ind w:firstLine="708"/>
        <w:rPr>
          <w:rFonts w:ascii="Times New Roman" w:hAnsi="Times New Roman"/>
          <w:color w:val="002060"/>
          <w:szCs w:val="20"/>
        </w:rPr>
      </w:pPr>
      <w:r w:rsidRPr="00FA3856">
        <w:rPr>
          <w:rFonts w:ascii="Times New Roman" w:hAnsi="Times New Roman"/>
          <w:color w:val="002060"/>
          <w:szCs w:val="20"/>
        </w:rPr>
        <w:t>|11|: Versão 11 da tabela dinâmica.</w:t>
      </w:r>
    </w:p>
    <w:p w:rsidR="00E33146" w:rsidRPr="00FA3856" w:rsidRDefault="001D59E2" w:rsidP="00E33146">
      <w:pPr>
        <w:pStyle w:val="Corpodetexto"/>
        <w:rPr>
          <w:rFonts w:ascii="Times New Roman" w:hAnsi="Times New Roman"/>
          <w:color w:val="002060"/>
          <w:szCs w:val="20"/>
        </w:rPr>
      </w:pPr>
      <w:r>
        <w:rPr>
          <w:rFonts w:ascii="Times New Roman" w:hAnsi="Times New Roman"/>
          <w:color w:val="002060"/>
          <w:szCs w:val="20"/>
        </w:rPr>
        <w:tab/>
      </w:r>
      <w:r w:rsidR="00E33146" w:rsidRPr="00FA3856">
        <w:rPr>
          <w:rFonts w:ascii="Times New Roman" w:hAnsi="Times New Roman"/>
          <w:color w:val="002060"/>
          <w:szCs w:val="20"/>
        </w:rPr>
        <w:t>|SPEDECF_DINAMICA_U150_A|: Tabela dinâmica utilizada.</w:t>
      </w:r>
    </w:p>
    <w:p w:rsidR="00E31038" w:rsidRPr="00FA3856" w:rsidRDefault="00E31038" w:rsidP="00E31038">
      <w:pPr>
        <w:pStyle w:val="Corpodetexto"/>
        <w:ind w:left="708" w:firstLine="708"/>
        <w:rPr>
          <w:rFonts w:ascii="Times New Roman" w:hAnsi="Times New Roman"/>
          <w:b/>
          <w:color w:val="002060"/>
          <w:szCs w:val="20"/>
        </w:rPr>
      </w:pPr>
    </w:p>
    <w:p w:rsidR="000779C9" w:rsidRPr="00FA3856" w:rsidRDefault="000779C9" w:rsidP="001D59E2">
      <w:pPr>
        <w:pStyle w:val="Corpodetexto"/>
        <w:rPr>
          <w:rFonts w:ascii="Times New Roman" w:hAnsi="Times New Roman"/>
          <w:b/>
          <w:color w:val="002060"/>
          <w:szCs w:val="20"/>
        </w:rPr>
      </w:pPr>
      <w:r w:rsidRPr="00FA3856">
        <w:rPr>
          <w:rFonts w:ascii="Times New Roman" w:hAnsi="Times New Roman"/>
          <w:b/>
          <w:color w:val="002060"/>
          <w:szCs w:val="20"/>
        </w:rPr>
        <w:t>|9900|9990|1||</w:t>
      </w:r>
      <w:r w:rsidR="00E33146" w:rsidRPr="00FA3856">
        <w:rPr>
          <w:rFonts w:ascii="Times New Roman" w:hAnsi="Times New Roman"/>
          <w:b/>
          <w:color w:val="002060"/>
          <w:szCs w:val="20"/>
        </w:rPr>
        <w:t>|</w:t>
      </w:r>
    </w:p>
    <w:p w:rsidR="000779C9" w:rsidRPr="00FA3856" w:rsidRDefault="000779C9" w:rsidP="001D59E2">
      <w:pPr>
        <w:pStyle w:val="Corpodetexto"/>
        <w:ind w:firstLine="708"/>
        <w:rPr>
          <w:rFonts w:ascii="Times New Roman" w:hAnsi="Times New Roman"/>
          <w:color w:val="002060"/>
          <w:szCs w:val="20"/>
        </w:rPr>
      </w:pPr>
      <w:r w:rsidRPr="00FA3856">
        <w:rPr>
          <w:rFonts w:ascii="Times New Roman" w:hAnsi="Times New Roman"/>
          <w:color w:val="002060"/>
          <w:szCs w:val="20"/>
        </w:rPr>
        <w:t>|9900|: Identificação do tipo do registro.</w:t>
      </w:r>
    </w:p>
    <w:p w:rsidR="000779C9" w:rsidRPr="00FA3856" w:rsidRDefault="000779C9" w:rsidP="001D59E2">
      <w:pPr>
        <w:pStyle w:val="Corpodetexto"/>
        <w:ind w:firstLine="708"/>
        <w:rPr>
          <w:rFonts w:ascii="Times New Roman" w:hAnsi="Times New Roman"/>
          <w:color w:val="002060"/>
          <w:szCs w:val="20"/>
        </w:rPr>
      </w:pPr>
      <w:r w:rsidRPr="00FA3856">
        <w:rPr>
          <w:rFonts w:ascii="Times New Roman" w:hAnsi="Times New Roman"/>
          <w:color w:val="002060"/>
          <w:szCs w:val="20"/>
        </w:rPr>
        <w:t>|9990|: Será mostrado o total de ocorrência do registro 9990.</w:t>
      </w:r>
    </w:p>
    <w:p w:rsidR="000779C9" w:rsidRPr="00FA3856" w:rsidRDefault="001D59E2" w:rsidP="000779C9">
      <w:pPr>
        <w:pStyle w:val="Corpodetexto"/>
        <w:rPr>
          <w:rFonts w:ascii="Times New Roman" w:hAnsi="Times New Roman"/>
          <w:color w:val="002060"/>
          <w:szCs w:val="20"/>
        </w:rPr>
      </w:pPr>
      <w:r>
        <w:rPr>
          <w:rFonts w:ascii="Times New Roman" w:hAnsi="Times New Roman"/>
          <w:color w:val="002060"/>
          <w:szCs w:val="20"/>
        </w:rPr>
        <w:tab/>
      </w:r>
      <w:r w:rsidR="000779C9" w:rsidRPr="00FA3856">
        <w:rPr>
          <w:rFonts w:ascii="Times New Roman" w:hAnsi="Times New Roman"/>
          <w:color w:val="002060"/>
          <w:szCs w:val="20"/>
        </w:rPr>
        <w:t>|1|: A quantidade total do registro 9990 no arquivo da ECF é 1.</w:t>
      </w:r>
    </w:p>
    <w:p w:rsidR="000779C9" w:rsidRPr="00FA3856" w:rsidRDefault="000779C9" w:rsidP="00E31038">
      <w:pPr>
        <w:pStyle w:val="Corpodetexto"/>
        <w:ind w:left="708" w:firstLine="708"/>
        <w:rPr>
          <w:rFonts w:ascii="Times New Roman" w:hAnsi="Times New Roman"/>
          <w:b/>
          <w:color w:val="002060"/>
          <w:szCs w:val="20"/>
        </w:rPr>
      </w:pPr>
    </w:p>
    <w:p w:rsidR="00D81F5D" w:rsidRPr="00FA3856" w:rsidRDefault="00D81F5D" w:rsidP="001D59E2">
      <w:pPr>
        <w:pStyle w:val="Corpodetexto"/>
        <w:rPr>
          <w:rFonts w:ascii="Times New Roman" w:hAnsi="Times New Roman"/>
          <w:b/>
          <w:color w:val="002060"/>
          <w:szCs w:val="20"/>
        </w:rPr>
      </w:pPr>
      <w:r w:rsidRPr="00FA3856">
        <w:rPr>
          <w:rFonts w:ascii="Times New Roman" w:hAnsi="Times New Roman"/>
          <w:b/>
          <w:color w:val="002060"/>
          <w:szCs w:val="20"/>
        </w:rPr>
        <w:t>|9900|9999|1||</w:t>
      </w:r>
      <w:r w:rsidR="00E33146" w:rsidRPr="00FA3856">
        <w:rPr>
          <w:rFonts w:ascii="Times New Roman" w:hAnsi="Times New Roman"/>
          <w:b/>
          <w:color w:val="002060"/>
          <w:szCs w:val="20"/>
        </w:rPr>
        <w:t>|</w:t>
      </w:r>
    </w:p>
    <w:p w:rsidR="00E31038" w:rsidRPr="00FA3856" w:rsidRDefault="00E31038" w:rsidP="001D59E2">
      <w:pPr>
        <w:pStyle w:val="Corpodetexto"/>
        <w:ind w:firstLine="708"/>
        <w:rPr>
          <w:rFonts w:ascii="Times New Roman" w:hAnsi="Times New Roman"/>
          <w:color w:val="002060"/>
          <w:szCs w:val="20"/>
        </w:rPr>
      </w:pPr>
      <w:r w:rsidRPr="00FA3856">
        <w:rPr>
          <w:rFonts w:ascii="Times New Roman" w:hAnsi="Times New Roman"/>
          <w:color w:val="002060"/>
          <w:szCs w:val="20"/>
        </w:rPr>
        <w:t>|9900|: Identificação do tipo do registro.</w:t>
      </w:r>
    </w:p>
    <w:p w:rsidR="00E31038" w:rsidRPr="00FA3856" w:rsidRDefault="00E31038" w:rsidP="001D59E2">
      <w:pPr>
        <w:pStyle w:val="Corpodetexto"/>
        <w:ind w:firstLine="708"/>
        <w:rPr>
          <w:rFonts w:ascii="Times New Roman" w:hAnsi="Times New Roman"/>
          <w:color w:val="002060"/>
          <w:szCs w:val="20"/>
        </w:rPr>
      </w:pPr>
      <w:r w:rsidRPr="00FA3856">
        <w:rPr>
          <w:rFonts w:ascii="Times New Roman" w:hAnsi="Times New Roman"/>
          <w:color w:val="002060"/>
          <w:szCs w:val="20"/>
        </w:rPr>
        <w:t>|9999|: Será mostrado o total de ocorrência do registro 9999.</w:t>
      </w:r>
    </w:p>
    <w:p w:rsidR="00E31038" w:rsidRPr="00FA3856" w:rsidRDefault="001D59E2" w:rsidP="00E31038">
      <w:pPr>
        <w:pStyle w:val="Corpodetexto"/>
        <w:rPr>
          <w:rFonts w:ascii="Times New Roman" w:hAnsi="Times New Roman"/>
          <w:color w:val="002060"/>
          <w:szCs w:val="20"/>
        </w:rPr>
      </w:pPr>
      <w:r>
        <w:rPr>
          <w:rFonts w:ascii="Times New Roman" w:hAnsi="Times New Roman"/>
          <w:color w:val="002060"/>
          <w:szCs w:val="20"/>
        </w:rPr>
        <w:tab/>
      </w:r>
      <w:r w:rsidR="00E31038" w:rsidRPr="00FA3856">
        <w:rPr>
          <w:rFonts w:ascii="Times New Roman" w:hAnsi="Times New Roman"/>
          <w:color w:val="002060"/>
          <w:szCs w:val="20"/>
        </w:rPr>
        <w:t>|1|: A quantidade total do registro 9999 no arquivo da ECF é 1.</w:t>
      </w:r>
    </w:p>
    <w:p w:rsidR="00E31038" w:rsidRPr="00FA3856" w:rsidRDefault="00E31038" w:rsidP="00E31038">
      <w:pPr>
        <w:pStyle w:val="Corpodetexto"/>
        <w:ind w:left="708" w:firstLine="708"/>
        <w:rPr>
          <w:rFonts w:ascii="Times New Roman" w:hAnsi="Times New Roman"/>
          <w:b/>
          <w:color w:val="002060"/>
          <w:szCs w:val="20"/>
        </w:rPr>
      </w:pPr>
    </w:p>
    <w:p w:rsidR="000D3C15" w:rsidRPr="00FA3856" w:rsidRDefault="00D81F5D" w:rsidP="001D59E2">
      <w:pPr>
        <w:pStyle w:val="Corpodetexto"/>
        <w:rPr>
          <w:rFonts w:ascii="Times New Roman" w:hAnsi="Times New Roman"/>
          <w:b/>
          <w:color w:val="002060"/>
          <w:szCs w:val="20"/>
        </w:rPr>
      </w:pPr>
      <w:r w:rsidRPr="00FA3856">
        <w:rPr>
          <w:rFonts w:ascii="Times New Roman" w:hAnsi="Times New Roman"/>
          <w:b/>
          <w:color w:val="002060"/>
          <w:szCs w:val="20"/>
        </w:rPr>
        <w:t>|9900|9900|43|</w:t>
      </w:r>
      <w:r w:rsidR="00E33146" w:rsidRPr="00FA3856">
        <w:rPr>
          <w:rFonts w:ascii="Times New Roman" w:hAnsi="Times New Roman"/>
          <w:b/>
          <w:color w:val="002060"/>
          <w:szCs w:val="20"/>
        </w:rPr>
        <w:t>|</w:t>
      </w:r>
      <w:r w:rsidRPr="00FA3856">
        <w:rPr>
          <w:rFonts w:ascii="Times New Roman" w:hAnsi="Times New Roman"/>
          <w:b/>
          <w:color w:val="002060"/>
          <w:szCs w:val="20"/>
        </w:rPr>
        <w:t>|</w:t>
      </w:r>
    </w:p>
    <w:p w:rsidR="00E31038" w:rsidRPr="00FA3856" w:rsidRDefault="00E31038" w:rsidP="001D59E2">
      <w:pPr>
        <w:pStyle w:val="Corpodetexto"/>
        <w:ind w:firstLine="708"/>
        <w:rPr>
          <w:rFonts w:ascii="Times New Roman" w:hAnsi="Times New Roman"/>
          <w:color w:val="002060"/>
          <w:szCs w:val="20"/>
        </w:rPr>
      </w:pPr>
      <w:r w:rsidRPr="00FA3856">
        <w:rPr>
          <w:rFonts w:ascii="Times New Roman" w:hAnsi="Times New Roman"/>
          <w:color w:val="002060"/>
          <w:szCs w:val="20"/>
        </w:rPr>
        <w:t>|9900|: Identificação do tipo do registro.</w:t>
      </w:r>
    </w:p>
    <w:p w:rsidR="00E31038" w:rsidRPr="00FA3856" w:rsidRDefault="00E31038" w:rsidP="001D59E2">
      <w:pPr>
        <w:pStyle w:val="Corpodetexto"/>
        <w:ind w:firstLine="708"/>
        <w:rPr>
          <w:rFonts w:ascii="Times New Roman" w:hAnsi="Times New Roman"/>
          <w:color w:val="002060"/>
          <w:szCs w:val="20"/>
        </w:rPr>
      </w:pPr>
      <w:r w:rsidRPr="00FA3856">
        <w:rPr>
          <w:rFonts w:ascii="Times New Roman" w:hAnsi="Times New Roman"/>
          <w:color w:val="002060"/>
          <w:szCs w:val="20"/>
        </w:rPr>
        <w:t>|9900|: Será mostrado o total de ocorrência do registro 9900.</w:t>
      </w:r>
    </w:p>
    <w:p w:rsidR="00E31038" w:rsidRPr="00FA3856" w:rsidRDefault="001D59E2" w:rsidP="00E31038">
      <w:pPr>
        <w:pStyle w:val="Corpodetexto"/>
        <w:rPr>
          <w:rFonts w:ascii="Times New Roman" w:hAnsi="Times New Roman"/>
          <w:color w:val="002060"/>
          <w:szCs w:val="20"/>
        </w:rPr>
      </w:pPr>
      <w:r>
        <w:rPr>
          <w:rFonts w:ascii="Times New Roman" w:hAnsi="Times New Roman"/>
          <w:color w:val="002060"/>
          <w:szCs w:val="20"/>
        </w:rPr>
        <w:tab/>
      </w:r>
      <w:r w:rsidR="00E31038" w:rsidRPr="00FA3856">
        <w:rPr>
          <w:rFonts w:ascii="Times New Roman" w:hAnsi="Times New Roman"/>
          <w:color w:val="002060"/>
          <w:szCs w:val="20"/>
        </w:rPr>
        <w:t>|43|: A quantidade total do registro 9900 no arquivo da ECF é 43.</w:t>
      </w:r>
    </w:p>
    <w:p w:rsidR="001D59E2" w:rsidRDefault="001D59E2">
      <w:pPr>
        <w:spacing w:after="200" w:line="276" w:lineRule="auto"/>
        <w:rPr>
          <w:b/>
          <w:bCs/>
          <w:color w:val="0000FF"/>
          <w:szCs w:val="20"/>
        </w:rPr>
      </w:pPr>
      <w:r>
        <w:rPr>
          <w:color w:val="0000FF"/>
          <w:szCs w:val="20"/>
        </w:rPr>
        <w:br w:type="page"/>
      </w:r>
    </w:p>
    <w:p w:rsidR="003B49DF" w:rsidRPr="00FA3856" w:rsidRDefault="003B49DF" w:rsidP="00867F54">
      <w:pPr>
        <w:pStyle w:val="Ttulo4"/>
      </w:pPr>
      <w:bookmarkStart w:id="461" w:name="_Toc479713850"/>
      <w:r w:rsidRPr="00FA3856">
        <w:lastRenderedPageBreak/>
        <w:t>Registro 9990: Encerramento do Bloco 9</w:t>
      </w:r>
      <w:bookmarkEnd w:id="461"/>
    </w:p>
    <w:p w:rsidR="003B49DF" w:rsidRPr="00FA3856" w:rsidRDefault="003B49DF" w:rsidP="003B49DF">
      <w:pPr>
        <w:pStyle w:val="PSDS-MarcadoresNivel3"/>
        <w:tabs>
          <w:tab w:val="clear" w:pos="1440"/>
        </w:tabs>
        <w:spacing w:before="0" w:after="0"/>
        <w:ind w:left="720" w:firstLine="0"/>
        <w:rPr>
          <w:rFonts w:ascii="Times New Roman" w:hAnsi="Times New Roman" w:cs="Times New Roman"/>
          <w:szCs w:val="20"/>
        </w:rPr>
      </w:pPr>
    </w:p>
    <w:p w:rsidR="00D81F5D" w:rsidRPr="00FA3856" w:rsidRDefault="00D81F5D" w:rsidP="00D81F5D">
      <w:pPr>
        <w:pStyle w:val="PSDS-MarcadoresNivel3"/>
        <w:tabs>
          <w:tab w:val="clear" w:pos="1440"/>
        </w:tabs>
        <w:spacing w:before="0" w:after="0"/>
        <w:ind w:left="720" w:firstLine="696"/>
        <w:rPr>
          <w:rFonts w:ascii="Times New Roman" w:hAnsi="Times New Roman" w:cs="Times New Roman"/>
          <w:b w:val="0"/>
          <w:szCs w:val="20"/>
        </w:rPr>
      </w:pPr>
      <w:r w:rsidRPr="00FA3856">
        <w:rPr>
          <w:rFonts w:ascii="Times New Roman" w:hAnsi="Times New Roman" w:cs="Times New Roman"/>
          <w:b w:val="0"/>
          <w:szCs w:val="20"/>
        </w:rPr>
        <w:t>Este registro informa a quantidade total de registros do Bloco 9. Há que se ressaltar que vários registros ocorrem mais de uma vez. Portanto, na contagem dos registros, deve-se levar em consideração todos os registros informados, ainda que repetidos.</w:t>
      </w:r>
    </w:p>
    <w:p w:rsidR="003B49DF" w:rsidRDefault="003B49DF" w:rsidP="001D59E2">
      <w:pPr>
        <w:pStyle w:val="PSDS-MarcadoresNivel2"/>
        <w:numPr>
          <w:ilvl w:val="0"/>
          <w:numId w:val="0"/>
        </w:numPr>
        <w:jc w:val="center"/>
        <w:rPr>
          <w:rFonts w:ascii="Times New Roman" w:hAnsi="Times New Roman"/>
        </w:rPr>
      </w:pPr>
    </w:p>
    <w:p w:rsidR="001D59E2" w:rsidRDefault="00B35FA3" w:rsidP="001D59E2">
      <w:pPr>
        <w:pStyle w:val="PSDS-MarcadoresNivel2"/>
        <w:numPr>
          <w:ilvl w:val="0"/>
          <w:numId w:val="0"/>
        </w:numPr>
        <w:jc w:val="center"/>
        <w:rPr>
          <w:rFonts w:ascii="Times New Roman" w:hAnsi="Times New Roman"/>
        </w:rPr>
      </w:pPr>
      <w:r>
        <w:rPr>
          <w:rFonts w:ascii="Times New Roman" w:hAnsi="Times New Roman"/>
        </w:rPr>
        <w:object w:dxaOrig="14100" w:dyaOrig="2175">
          <v:shape id="_x0000_i2118" type="#_x0000_t75" style="width:705pt;height:109.5pt" o:ole="">
            <v:imagedata r:id="rId916" o:title=""/>
          </v:shape>
          <o:OLEObject Type="Link" ProgID="Excel.Sheet.12" ShapeID="_x0000_i2118" DrawAspect="Content" r:id="rId917" UpdateMode="Always">
            <o:LinkType>EnhancedMetaFile</o:LinkType>
            <o:LockedField>false</o:LockedField>
          </o:OLEObject>
        </w:object>
      </w:r>
    </w:p>
    <w:p w:rsidR="001D59E2" w:rsidRPr="00FA3856" w:rsidRDefault="001D59E2" w:rsidP="001D59E2">
      <w:pPr>
        <w:pStyle w:val="PSDS-MarcadoresNivel2"/>
        <w:numPr>
          <w:ilvl w:val="0"/>
          <w:numId w:val="0"/>
        </w:numPr>
        <w:jc w:val="center"/>
        <w:rPr>
          <w:rFonts w:ascii="Times New Roman" w:hAnsi="Times New Roman"/>
        </w:rPr>
      </w:pPr>
    </w:p>
    <w:p w:rsidR="001D59E2" w:rsidRDefault="00E64C77" w:rsidP="00E64C77">
      <w:pPr>
        <w:pStyle w:val="Corpodetexto"/>
        <w:rPr>
          <w:rFonts w:ascii="Times New Roman" w:hAnsi="Times New Roman"/>
          <w:b/>
          <w:color w:val="002060"/>
          <w:szCs w:val="20"/>
        </w:rPr>
      </w:pPr>
      <w:r w:rsidRPr="00FA3856">
        <w:rPr>
          <w:rFonts w:ascii="Times New Roman" w:hAnsi="Times New Roman"/>
          <w:b/>
          <w:color w:val="002060"/>
          <w:szCs w:val="20"/>
        </w:rPr>
        <w:t xml:space="preserve">Exemplo de Preenchimento: </w:t>
      </w:r>
    </w:p>
    <w:p w:rsidR="001D59E2" w:rsidRDefault="001D59E2" w:rsidP="00E64C77">
      <w:pPr>
        <w:pStyle w:val="Corpodetexto"/>
        <w:rPr>
          <w:rFonts w:ascii="Times New Roman" w:hAnsi="Times New Roman"/>
          <w:b/>
          <w:color w:val="002060"/>
          <w:szCs w:val="20"/>
        </w:rPr>
      </w:pPr>
    </w:p>
    <w:p w:rsidR="00E64C77" w:rsidRPr="00FA3856" w:rsidRDefault="00E64C77" w:rsidP="00E64C77">
      <w:pPr>
        <w:pStyle w:val="Corpodetexto"/>
        <w:rPr>
          <w:rFonts w:ascii="Times New Roman" w:hAnsi="Times New Roman"/>
          <w:b/>
          <w:color w:val="002060"/>
          <w:szCs w:val="20"/>
        </w:rPr>
      </w:pPr>
      <w:r w:rsidRPr="00FA3856">
        <w:rPr>
          <w:rFonts w:ascii="Times New Roman" w:hAnsi="Times New Roman"/>
          <w:b/>
          <w:color w:val="002060"/>
          <w:szCs w:val="20"/>
        </w:rPr>
        <w:t>|9990|46|</w:t>
      </w:r>
    </w:p>
    <w:p w:rsidR="00E64C77" w:rsidRPr="00FA3856" w:rsidRDefault="00E64C77" w:rsidP="00E64C77">
      <w:pPr>
        <w:pStyle w:val="Corpodetexto"/>
        <w:rPr>
          <w:rFonts w:ascii="Times New Roman" w:hAnsi="Times New Roman"/>
          <w:color w:val="002060"/>
          <w:szCs w:val="20"/>
        </w:rPr>
      </w:pPr>
      <w:r w:rsidRPr="00FA3856">
        <w:rPr>
          <w:rFonts w:ascii="Times New Roman" w:hAnsi="Times New Roman"/>
          <w:b/>
          <w:color w:val="002060"/>
          <w:szCs w:val="20"/>
        </w:rPr>
        <w:tab/>
      </w:r>
      <w:r w:rsidR="00D81F5D" w:rsidRPr="00FA3856">
        <w:rPr>
          <w:rFonts w:ascii="Times New Roman" w:hAnsi="Times New Roman"/>
          <w:color w:val="002060"/>
          <w:szCs w:val="20"/>
        </w:rPr>
        <w:t>|9990</w:t>
      </w:r>
      <w:r w:rsidRPr="00FA3856">
        <w:rPr>
          <w:rFonts w:ascii="Times New Roman" w:hAnsi="Times New Roman"/>
          <w:color w:val="002060"/>
          <w:szCs w:val="20"/>
        </w:rPr>
        <w:t>|: Identificação do tipo do registro.</w:t>
      </w:r>
    </w:p>
    <w:p w:rsidR="00E64C77" w:rsidRPr="00FA3856" w:rsidRDefault="00E64C77" w:rsidP="00E64C77">
      <w:pPr>
        <w:pStyle w:val="Corpodetexto"/>
        <w:rPr>
          <w:rFonts w:ascii="Times New Roman" w:hAnsi="Times New Roman"/>
          <w:color w:val="002060"/>
          <w:szCs w:val="20"/>
        </w:rPr>
      </w:pPr>
      <w:r w:rsidRPr="00FA3856">
        <w:rPr>
          <w:rFonts w:ascii="Times New Roman" w:hAnsi="Times New Roman"/>
          <w:color w:val="002060"/>
          <w:szCs w:val="20"/>
        </w:rPr>
        <w:tab/>
      </w:r>
      <w:r w:rsidR="00D81F5D" w:rsidRPr="00FA3856">
        <w:rPr>
          <w:rFonts w:ascii="Times New Roman" w:hAnsi="Times New Roman"/>
          <w:color w:val="002060"/>
          <w:szCs w:val="20"/>
        </w:rPr>
        <w:t>|46</w:t>
      </w:r>
      <w:r w:rsidRPr="00FA3856">
        <w:rPr>
          <w:rFonts w:ascii="Times New Roman" w:hAnsi="Times New Roman"/>
          <w:color w:val="002060"/>
          <w:szCs w:val="20"/>
        </w:rPr>
        <w:t>|: A quantid</w:t>
      </w:r>
      <w:r w:rsidR="00D81F5D" w:rsidRPr="00FA3856">
        <w:rPr>
          <w:rFonts w:ascii="Times New Roman" w:hAnsi="Times New Roman"/>
          <w:color w:val="002060"/>
          <w:szCs w:val="20"/>
        </w:rPr>
        <w:t xml:space="preserve">ade total de registros </w:t>
      </w:r>
      <w:r w:rsidRPr="00FA3856">
        <w:rPr>
          <w:rFonts w:ascii="Times New Roman" w:hAnsi="Times New Roman"/>
          <w:color w:val="002060"/>
          <w:szCs w:val="20"/>
        </w:rPr>
        <w:t xml:space="preserve">do </w:t>
      </w:r>
      <w:r w:rsidR="00D81F5D" w:rsidRPr="00FA3856">
        <w:rPr>
          <w:rFonts w:ascii="Times New Roman" w:hAnsi="Times New Roman"/>
          <w:color w:val="002060"/>
          <w:szCs w:val="20"/>
        </w:rPr>
        <w:t>Bloco 9</w:t>
      </w:r>
      <w:r w:rsidRPr="00FA3856">
        <w:rPr>
          <w:rFonts w:ascii="Times New Roman" w:hAnsi="Times New Roman"/>
          <w:color w:val="002060"/>
          <w:szCs w:val="20"/>
        </w:rPr>
        <w:t xml:space="preserve"> é </w:t>
      </w:r>
      <w:r w:rsidR="00D81F5D" w:rsidRPr="00FA3856">
        <w:rPr>
          <w:rFonts w:ascii="Times New Roman" w:hAnsi="Times New Roman"/>
          <w:color w:val="002060"/>
          <w:szCs w:val="20"/>
        </w:rPr>
        <w:t>46</w:t>
      </w:r>
      <w:r w:rsidRPr="00FA3856">
        <w:rPr>
          <w:rFonts w:ascii="Times New Roman" w:hAnsi="Times New Roman"/>
          <w:color w:val="002060"/>
          <w:szCs w:val="20"/>
        </w:rPr>
        <w:t xml:space="preserve"> (</w:t>
      </w:r>
      <w:r w:rsidR="00D81F5D" w:rsidRPr="00FA3856">
        <w:rPr>
          <w:rFonts w:ascii="Times New Roman" w:hAnsi="Times New Roman"/>
          <w:color w:val="002060"/>
          <w:szCs w:val="20"/>
        </w:rPr>
        <w:t>quarenta e seis registros</w:t>
      </w:r>
      <w:r w:rsidRPr="00FA3856">
        <w:rPr>
          <w:rFonts w:ascii="Times New Roman" w:hAnsi="Times New Roman"/>
          <w:color w:val="002060"/>
          <w:szCs w:val="20"/>
        </w:rPr>
        <w:t>).</w:t>
      </w:r>
    </w:p>
    <w:p w:rsidR="00E64C77" w:rsidRPr="00FA3856" w:rsidRDefault="00E64C77" w:rsidP="003B49DF">
      <w:pPr>
        <w:pStyle w:val="PSDS-MarcadoresNivel2"/>
        <w:numPr>
          <w:ilvl w:val="0"/>
          <w:numId w:val="0"/>
        </w:numPr>
        <w:rPr>
          <w:rFonts w:ascii="Times New Roman" w:hAnsi="Times New Roman"/>
        </w:rPr>
      </w:pPr>
    </w:p>
    <w:p w:rsidR="00E64C77" w:rsidRPr="00FA3856" w:rsidRDefault="00E64C77">
      <w:pPr>
        <w:rPr>
          <w:b/>
          <w:bCs/>
          <w:color w:val="0000FF"/>
          <w:szCs w:val="20"/>
        </w:rPr>
      </w:pPr>
      <w:r w:rsidRPr="00FA3856">
        <w:rPr>
          <w:color w:val="0000FF"/>
          <w:szCs w:val="20"/>
        </w:rPr>
        <w:br w:type="page"/>
      </w:r>
    </w:p>
    <w:p w:rsidR="00667E11" w:rsidRPr="00FA3856" w:rsidRDefault="00667E11" w:rsidP="00867F54">
      <w:pPr>
        <w:pStyle w:val="Ttulo4"/>
      </w:pPr>
      <w:bookmarkStart w:id="462" w:name="_Toc479713851"/>
      <w:r w:rsidRPr="00FA3856">
        <w:lastRenderedPageBreak/>
        <w:t>Registro 9999: Encerramento do Arquivo Digital</w:t>
      </w:r>
      <w:bookmarkEnd w:id="462"/>
    </w:p>
    <w:p w:rsidR="00667E11" w:rsidRPr="00FA3856" w:rsidRDefault="00667E11" w:rsidP="00667E11">
      <w:pPr>
        <w:pStyle w:val="PSDS-MarcadoresNivel3"/>
        <w:tabs>
          <w:tab w:val="clear" w:pos="1440"/>
        </w:tabs>
        <w:spacing w:before="0" w:after="0"/>
        <w:ind w:left="720" w:firstLine="0"/>
        <w:rPr>
          <w:rFonts w:ascii="Times New Roman" w:hAnsi="Times New Roman" w:cs="Times New Roman"/>
          <w:szCs w:val="20"/>
        </w:rPr>
      </w:pPr>
    </w:p>
    <w:p w:rsidR="00E64C77" w:rsidRPr="00FA3856" w:rsidRDefault="00E64C77" w:rsidP="00D81F5D">
      <w:pPr>
        <w:pStyle w:val="PSDS-MarcadoresNivel3"/>
        <w:tabs>
          <w:tab w:val="clear" w:pos="1440"/>
        </w:tabs>
        <w:spacing w:before="0" w:after="0"/>
        <w:ind w:left="720" w:firstLine="696"/>
        <w:rPr>
          <w:rFonts w:ascii="Times New Roman" w:hAnsi="Times New Roman" w:cs="Times New Roman"/>
          <w:b w:val="0"/>
          <w:szCs w:val="20"/>
        </w:rPr>
      </w:pPr>
      <w:r w:rsidRPr="00FA3856">
        <w:rPr>
          <w:rFonts w:ascii="Times New Roman" w:hAnsi="Times New Roman" w:cs="Times New Roman"/>
          <w:b w:val="0"/>
          <w:szCs w:val="20"/>
        </w:rPr>
        <w:t>Este registro informa a quantidade total de registros</w:t>
      </w:r>
      <w:r w:rsidR="00D81F5D" w:rsidRPr="00FA3856">
        <w:rPr>
          <w:rFonts w:ascii="Times New Roman" w:hAnsi="Times New Roman" w:cs="Times New Roman"/>
          <w:b w:val="0"/>
          <w:szCs w:val="20"/>
        </w:rPr>
        <w:t xml:space="preserve"> (linhas)</w:t>
      </w:r>
      <w:r w:rsidRPr="00FA3856">
        <w:rPr>
          <w:rFonts w:ascii="Times New Roman" w:hAnsi="Times New Roman" w:cs="Times New Roman"/>
          <w:b w:val="0"/>
          <w:szCs w:val="20"/>
        </w:rPr>
        <w:t xml:space="preserve"> do arquivo da ECF.</w:t>
      </w:r>
      <w:r w:rsidR="00D81F5D" w:rsidRPr="00FA3856">
        <w:rPr>
          <w:rFonts w:ascii="Times New Roman" w:hAnsi="Times New Roman" w:cs="Times New Roman"/>
          <w:b w:val="0"/>
          <w:szCs w:val="20"/>
        </w:rPr>
        <w:t xml:space="preserve"> Há que se ressaltar que vários registros ocorrem mais de uma vez. Portanto, na contagem dos registros, deve-se levar em consideração todos os registros informados, ainda que repetidos.</w:t>
      </w:r>
    </w:p>
    <w:p w:rsidR="00882345" w:rsidRDefault="00882345" w:rsidP="00667E11">
      <w:pPr>
        <w:rPr>
          <w:szCs w:val="20"/>
          <w:lang w:val="pt-PT"/>
        </w:rPr>
      </w:pPr>
    </w:p>
    <w:p w:rsidR="00A60AB8" w:rsidRPr="00FA3856" w:rsidRDefault="00B35FA3" w:rsidP="00A60AB8">
      <w:pPr>
        <w:jc w:val="center"/>
        <w:rPr>
          <w:szCs w:val="20"/>
          <w:lang w:val="pt-PT"/>
        </w:rPr>
      </w:pPr>
      <w:r>
        <w:rPr>
          <w:szCs w:val="20"/>
          <w:lang w:val="pt-PT"/>
        </w:rPr>
        <w:object w:dxaOrig="14100" w:dyaOrig="2175">
          <v:shape id="_x0000_i2120" type="#_x0000_t75" style="width:705pt;height:109.5pt" o:ole="">
            <v:imagedata r:id="rId918" o:title=""/>
          </v:shape>
          <o:OLEObject Type="Link" ProgID="Excel.Sheet.12" ShapeID="_x0000_i2120" DrawAspect="Content" r:id="rId919" UpdateMode="Always">
            <o:LinkType>EnhancedMetaFile</o:LinkType>
            <o:LockedField>false</o:LockedField>
          </o:OLEObject>
        </w:object>
      </w:r>
    </w:p>
    <w:p w:rsidR="00A60AB8" w:rsidRDefault="00A60AB8" w:rsidP="00F11E71">
      <w:pPr>
        <w:pStyle w:val="Corpodetexto"/>
        <w:rPr>
          <w:rFonts w:ascii="Times New Roman" w:hAnsi="Times New Roman"/>
          <w:b/>
          <w:color w:val="002060"/>
          <w:szCs w:val="20"/>
        </w:rPr>
      </w:pPr>
    </w:p>
    <w:p w:rsidR="00A60AB8" w:rsidRDefault="00E64C77" w:rsidP="00F11E71">
      <w:pPr>
        <w:pStyle w:val="Corpodetexto"/>
        <w:rPr>
          <w:rFonts w:ascii="Times New Roman" w:hAnsi="Times New Roman"/>
          <w:b/>
          <w:color w:val="002060"/>
          <w:szCs w:val="20"/>
        </w:rPr>
      </w:pPr>
      <w:r w:rsidRPr="00FA3856">
        <w:rPr>
          <w:rFonts w:ascii="Times New Roman" w:hAnsi="Times New Roman"/>
          <w:b/>
          <w:color w:val="002060"/>
          <w:szCs w:val="20"/>
        </w:rPr>
        <w:t xml:space="preserve">Exemplo de Preenchimento: </w:t>
      </w:r>
    </w:p>
    <w:p w:rsidR="00A60AB8" w:rsidRDefault="00A60AB8" w:rsidP="00F11E71">
      <w:pPr>
        <w:pStyle w:val="Corpodetexto"/>
        <w:rPr>
          <w:rFonts w:ascii="Times New Roman" w:hAnsi="Times New Roman"/>
          <w:b/>
          <w:color w:val="002060"/>
          <w:szCs w:val="20"/>
        </w:rPr>
      </w:pPr>
    </w:p>
    <w:p w:rsidR="003B49DF" w:rsidRPr="00FA3856" w:rsidRDefault="00E64C77" w:rsidP="00F11E71">
      <w:pPr>
        <w:pStyle w:val="Corpodetexto"/>
        <w:rPr>
          <w:rFonts w:ascii="Times New Roman" w:hAnsi="Times New Roman"/>
          <w:b/>
          <w:color w:val="002060"/>
          <w:szCs w:val="20"/>
        </w:rPr>
      </w:pPr>
      <w:r w:rsidRPr="00FA3856">
        <w:rPr>
          <w:rFonts w:ascii="Times New Roman" w:hAnsi="Times New Roman"/>
          <w:b/>
          <w:color w:val="002060"/>
          <w:szCs w:val="20"/>
        </w:rPr>
        <w:t>|9999|8007|</w:t>
      </w:r>
    </w:p>
    <w:p w:rsidR="00E64C77" w:rsidRPr="00FA3856" w:rsidRDefault="00E64C77" w:rsidP="00F11E71">
      <w:pPr>
        <w:pStyle w:val="Corpodetexto"/>
        <w:rPr>
          <w:rFonts w:ascii="Times New Roman" w:hAnsi="Times New Roman"/>
          <w:color w:val="002060"/>
          <w:szCs w:val="20"/>
        </w:rPr>
      </w:pPr>
      <w:r w:rsidRPr="00FA3856">
        <w:rPr>
          <w:rFonts w:ascii="Times New Roman" w:hAnsi="Times New Roman"/>
          <w:b/>
          <w:color w:val="002060"/>
          <w:szCs w:val="20"/>
        </w:rPr>
        <w:tab/>
      </w:r>
      <w:r w:rsidRPr="00FA3856">
        <w:rPr>
          <w:rFonts w:ascii="Times New Roman" w:hAnsi="Times New Roman"/>
          <w:color w:val="002060"/>
          <w:szCs w:val="20"/>
        </w:rPr>
        <w:t>|9999|: Identificação do tipo do registro.</w:t>
      </w:r>
    </w:p>
    <w:p w:rsidR="00E64C77" w:rsidRPr="00FA3856" w:rsidRDefault="00E64C77" w:rsidP="00F11E71">
      <w:pPr>
        <w:pStyle w:val="Corpodetexto"/>
        <w:rPr>
          <w:rFonts w:ascii="Times New Roman" w:hAnsi="Times New Roman"/>
          <w:color w:val="002060"/>
          <w:szCs w:val="20"/>
        </w:rPr>
      </w:pPr>
      <w:r w:rsidRPr="00FA3856">
        <w:rPr>
          <w:rFonts w:ascii="Times New Roman" w:hAnsi="Times New Roman"/>
          <w:color w:val="002060"/>
          <w:szCs w:val="20"/>
        </w:rPr>
        <w:tab/>
        <w:t xml:space="preserve">|8007|: A quantidade total de registros do arquivo da ECF é 8.007 (oito mil e sete </w:t>
      </w:r>
      <w:r w:rsidR="00D81F5D" w:rsidRPr="00FA3856">
        <w:rPr>
          <w:rFonts w:ascii="Times New Roman" w:hAnsi="Times New Roman"/>
          <w:color w:val="002060"/>
          <w:szCs w:val="20"/>
        </w:rPr>
        <w:t>registros</w:t>
      </w:r>
      <w:r w:rsidRPr="00FA3856">
        <w:rPr>
          <w:rFonts w:ascii="Times New Roman" w:hAnsi="Times New Roman"/>
          <w:color w:val="002060"/>
          <w:szCs w:val="20"/>
        </w:rPr>
        <w:t>).</w:t>
      </w:r>
    </w:p>
    <w:p w:rsidR="000D3C15" w:rsidRPr="00FA3856" w:rsidRDefault="000D3C15">
      <w:pPr>
        <w:rPr>
          <w:b/>
          <w:bCs/>
          <w:color w:val="0000FF"/>
          <w:szCs w:val="20"/>
        </w:rPr>
      </w:pPr>
      <w:r w:rsidRPr="00FA3856">
        <w:rPr>
          <w:color w:val="0000FF"/>
          <w:szCs w:val="20"/>
        </w:rPr>
        <w:br w:type="page"/>
      </w:r>
    </w:p>
    <w:p w:rsidR="00C7525D" w:rsidRPr="00FA3856" w:rsidRDefault="00456D64" w:rsidP="00C7525D">
      <w:pPr>
        <w:pStyle w:val="Ttulo1"/>
        <w:rPr>
          <w:rFonts w:eastAsia="Arial Unicode MS"/>
          <w:bCs w:val="0"/>
          <w:lang w:eastAsia="ar-SA"/>
        </w:rPr>
      </w:pPr>
      <w:bookmarkStart w:id="463" w:name="_Toc479713852"/>
      <w:r w:rsidRPr="00FA3856">
        <w:rPr>
          <w:rFonts w:eastAsia="Arial Unicode MS"/>
          <w:bCs w:val="0"/>
          <w:lang w:eastAsia="ar-SA"/>
        </w:rPr>
        <w:lastRenderedPageBreak/>
        <w:t>Anexo</w:t>
      </w:r>
      <w:r w:rsidR="00835792">
        <w:rPr>
          <w:rFonts w:eastAsia="Arial Unicode MS"/>
          <w:bCs w:val="0"/>
          <w:lang w:eastAsia="ar-SA"/>
        </w:rPr>
        <w:t xml:space="preserve"> - </w:t>
      </w:r>
      <w:r w:rsidR="00C7525D" w:rsidRPr="00FA3856">
        <w:rPr>
          <w:rFonts w:eastAsia="Arial Unicode MS"/>
          <w:bCs w:val="0"/>
          <w:lang w:eastAsia="ar-SA"/>
        </w:rPr>
        <w:t>Alterações do Manual</w:t>
      </w:r>
      <w:bookmarkEnd w:id="463"/>
    </w:p>
    <w:p w:rsidR="00C7525D" w:rsidRPr="00FA3856" w:rsidRDefault="00C7525D" w:rsidP="00C7525D">
      <w:pPr>
        <w:rPr>
          <w:rFonts w:eastAsia="Arial Unicode MS"/>
          <w:lang w:eastAsia="ar-SA"/>
        </w:rPr>
      </w:pPr>
    </w:p>
    <w:p w:rsidR="00C7525D" w:rsidRDefault="00D95E2A" w:rsidP="00D95E2A">
      <w:pPr>
        <w:pStyle w:val="04ParteNormativa"/>
        <w:ind w:firstLine="0"/>
        <w:rPr>
          <w:lang w:eastAsia="ar-SA"/>
        </w:rPr>
      </w:pPr>
      <w:r>
        <w:rPr>
          <w:lang w:eastAsia="ar-SA"/>
        </w:rPr>
        <w:t xml:space="preserve"> </w:t>
      </w:r>
      <w:r>
        <w:rPr>
          <w:lang w:eastAsia="ar-SA"/>
        </w:rPr>
        <w:tab/>
        <w:t>A seguir, um resumo das a</w:t>
      </w:r>
      <w:r w:rsidR="00C7525D" w:rsidRPr="00FA3856">
        <w:rPr>
          <w:lang w:eastAsia="ar-SA"/>
        </w:rPr>
        <w:t xml:space="preserve">lterações em </w:t>
      </w:r>
      <w:r>
        <w:rPr>
          <w:lang w:eastAsia="ar-SA"/>
        </w:rPr>
        <w:t>r</w:t>
      </w:r>
      <w:r w:rsidR="00C7525D" w:rsidRPr="00FA3856">
        <w:rPr>
          <w:lang w:eastAsia="ar-SA"/>
        </w:rPr>
        <w:t xml:space="preserve">elação ao </w:t>
      </w:r>
      <w:r>
        <w:rPr>
          <w:lang w:eastAsia="ar-SA"/>
        </w:rPr>
        <w:t>m</w:t>
      </w:r>
      <w:r w:rsidR="00C7525D" w:rsidRPr="00FA3856">
        <w:rPr>
          <w:lang w:eastAsia="ar-SA"/>
        </w:rPr>
        <w:t xml:space="preserve">anual </w:t>
      </w:r>
      <w:r>
        <w:rPr>
          <w:lang w:eastAsia="ar-SA"/>
        </w:rPr>
        <w:t>a</w:t>
      </w:r>
      <w:r w:rsidR="00C7525D" w:rsidRPr="00FA3856">
        <w:rPr>
          <w:lang w:eastAsia="ar-SA"/>
        </w:rPr>
        <w:t>nexo ao Ato Declaratório Executivo Cofis n</w:t>
      </w:r>
      <w:r w:rsidR="00C7525D" w:rsidRPr="00FA3856">
        <w:rPr>
          <w:u w:val="single"/>
          <w:vertAlign w:val="superscript"/>
          <w:lang w:eastAsia="ar-SA"/>
        </w:rPr>
        <w:t>o</w:t>
      </w:r>
      <w:r w:rsidR="00E929FE">
        <w:rPr>
          <w:lang w:eastAsia="ar-SA"/>
        </w:rPr>
        <w:t xml:space="preserve"> 101</w:t>
      </w:r>
      <w:r w:rsidR="00C7525D" w:rsidRPr="00FA3856">
        <w:rPr>
          <w:lang w:eastAsia="ar-SA"/>
        </w:rPr>
        <w:t>/201</w:t>
      </w:r>
      <w:r w:rsidR="00A33BC1" w:rsidRPr="00FA3856">
        <w:rPr>
          <w:lang w:eastAsia="ar-SA"/>
        </w:rPr>
        <w:t>6</w:t>
      </w:r>
    </w:p>
    <w:p w:rsidR="003E68F2" w:rsidRDefault="003E68F2" w:rsidP="00391278">
      <w:pPr>
        <w:rPr>
          <w:lang w:eastAsia="ar-SA"/>
        </w:rPr>
      </w:pPr>
    </w:p>
    <w:p w:rsidR="00356FC5" w:rsidRPr="00356FC5" w:rsidRDefault="003E68F2" w:rsidP="003E68F2">
      <w:pPr>
        <w:pStyle w:val="Ttulo3"/>
      </w:pPr>
      <w:bookmarkStart w:id="464" w:name="_Toc479713853"/>
      <w:r w:rsidRPr="003E68F2">
        <w:rPr>
          <w:color w:val="auto"/>
          <w:u w:val="single"/>
        </w:rPr>
        <w:t>Alteração no item:</w:t>
      </w:r>
      <w:r w:rsidRPr="00D95E2A">
        <w:rPr>
          <w:color w:val="auto"/>
        </w:rPr>
        <w:t xml:space="preserve"> </w:t>
      </w:r>
      <w:r w:rsidR="00356FC5" w:rsidRPr="00356FC5">
        <w:t>2.3.7. Pesquisa nos registros: Inclusão de item.</w:t>
      </w:r>
      <w:bookmarkEnd w:id="464"/>
    </w:p>
    <w:p w:rsidR="00356FC5" w:rsidRPr="00356FC5" w:rsidRDefault="00356FC5" w:rsidP="00356FC5"/>
    <w:p w:rsidR="00356FC5" w:rsidRPr="00356FC5" w:rsidRDefault="00356FC5" w:rsidP="00356FC5">
      <w:pPr>
        <w:pStyle w:val="Corpodetexto"/>
        <w:spacing w:line="240" w:lineRule="auto"/>
        <w:rPr>
          <w:rFonts w:ascii="Times New Roman" w:hAnsi="Times New Roman"/>
          <w:szCs w:val="20"/>
        </w:rPr>
      </w:pPr>
      <w:r w:rsidRPr="00356FC5">
        <w:rPr>
          <w:rFonts w:ascii="Times New Roman" w:hAnsi="Times New Roman"/>
          <w:szCs w:val="20"/>
        </w:rPr>
        <w:tab/>
        <w:t>Ao utilizar a opção de “Pesquisar” na interface do programa da ECF, no caso de pesquisa em relação a campos no formato texto, é possível utilizar %XXXX% para pesquisar palavras específicas.</w:t>
      </w:r>
    </w:p>
    <w:p w:rsidR="00356FC5" w:rsidRPr="00356FC5" w:rsidRDefault="00356FC5" w:rsidP="00356FC5">
      <w:pPr>
        <w:pStyle w:val="Corpodetexto"/>
        <w:spacing w:line="240" w:lineRule="auto"/>
        <w:rPr>
          <w:rFonts w:ascii="Times New Roman" w:hAnsi="Times New Roman"/>
          <w:szCs w:val="20"/>
        </w:rPr>
      </w:pPr>
    </w:p>
    <w:p w:rsidR="00356FC5" w:rsidRDefault="00356FC5" w:rsidP="00356FC5">
      <w:pPr>
        <w:pStyle w:val="Corpodetexto"/>
        <w:spacing w:line="240" w:lineRule="auto"/>
        <w:ind w:left="708"/>
        <w:rPr>
          <w:rFonts w:ascii="Times New Roman" w:hAnsi="Times New Roman"/>
          <w:szCs w:val="20"/>
        </w:rPr>
      </w:pPr>
      <w:r w:rsidRPr="00356FC5">
        <w:rPr>
          <w:rFonts w:ascii="Times New Roman" w:hAnsi="Times New Roman"/>
          <w:b/>
          <w:szCs w:val="20"/>
        </w:rPr>
        <w:t>Exemplo</w:t>
      </w:r>
      <w:r w:rsidRPr="00356FC5">
        <w:rPr>
          <w:rFonts w:ascii="Times New Roman" w:hAnsi="Times New Roman"/>
          <w:szCs w:val="20"/>
        </w:rPr>
        <w:t>: Registro P100 – É possível fazer uma pesquisa, no campo “Descrição”, que mostre todas as linhas que contém a palavra “circulante”. Para isso, deve ser informado no campo pesquisa (descrição): %Circulante%.</w:t>
      </w:r>
    </w:p>
    <w:p w:rsidR="00356FC5" w:rsidRDefault="00356FC5" w:rsidP="00356FC5">
      <w:pPr>
        <w:pStyle w:val="Corpodetexto"/>
        <w:spacing w:line="240" w:lineRule="auto"/>
        <w:rPr>
          <w:rFonts w:ascii="Times New Roman" w:hAnsi="Times New Roman"/>
          <w:szCs w:val="20"/>
        </w:rPr>
      </w:pPr>
    </w:p>
    <w:p w:rsidR="00356FC5" w:rsidRDefault="00356FC5" w:rsidP="00356FC5">
      <w:pPr>
        <w:pStyle w:val="Corpodetexto"/>
        <w:spacing w:line="240" w:lineRule="auto"/>
        <w:jc w:val="center"/>
        <w:rPr>
          <w:rFonts w:ascii="Times New Roman" w:hAnsi="Times New Roman"/>
          <w:szCs w:val="20"/>
        </w:rPr>
      </w:pPr>
      <w:r>
        <w:rPr>
          <w:rFonts w:ascii="Times New Roman" w:hAnsi="Times New Roman"/>
          <w:noProof/>
          <w:szCs w:val="20"/>
          <w:lang w:eastAsia="pt-BR"/>
        </w:rPr>
        <w:drawing>
          <wp:inline distT="0" distB="0" distL="0" distR="0" wp14:anchorId="745A5A17" wp14:editId="493F199E">
            <wp:extent cx="5695950" cy="752475"/>
            <wp:effectExtent l="0" t="0" r="0" b="952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95950" cy="752475"/>
                    </a:xfrm>
                    <a:prstGeom prst="rect">
                      <a:avLst/>
                    </a:prstGeom>
                    <a:noFill/>
                    <a:ln>
                      <a:noFill/>
                    </a:ln>
                  </pic:spPr>
                </pic:pic>
              </a:graphicData>
            </a:graphic>
          </wp:inline>
        </w:drawing>
      </w:r>
    </w:p>
    <w:p w:rsidR="003E68F2" w:rsidRDefault="003E68F2" w:rsidP="00391278">
      <w:pPr>
        <w:rPr>
          <w:lang w:eastAsia="ar-SA"/>
        </w:rPr>
      </w:pPr>
    </w:p>
    <w:p w:rsidR="002234DB" w:rsidRPr="00FA3856" w:rsidRDefault="003E68F2" w:rsidP="003E68F2">
      <w:pPr>
        <w:pStyle w:val="Ttulo3"/>
      </w:pPr>
      <w:bookmarkStart w:id="465" w:name="_Toc479713854"/>
      <w:r w:rsidRPr="003E68F2">
        <w:rPr>
          <w:color w:val="auto"/>
          <w:u w:val="single"/>
        </w:rPr>
        <w:t>Alteração no item:</w:t>
      </w:r>
      <w:r w:rsidR="00D95E2A" w:rsidRPr="00D95E2A">
        <w:rPr>
          <w:color w:val="auto"/>
        </w:rPr>
        <w:t xml:space="preserve"> </w:t>
      </w:r>
      <w:r w:rsidR="002234DB" w:rsidRPr="00FA3856">
        <w:t>Registro 0000: Abertura do Arquivo Digital e Identificação da Pessoa Jurídica</w:t>
      </w:r>
      <w:r w:rsidR="002234DB">
        <w:t>: Inclusão de regra.</w:t>
      </w:r>
      <w:bookmarkEnd w:id="465"/>
    </w:p>
    <w:p w:rsidR="002234DB" w:rsidRDefault="002234DB" w:rsidP="00391278">
      <w:pPr>
        <w:rPr>
          <w:lang w:eastAsia="ar-SA"/>
        </w:rPr>
      </w:pPr>
    </w:p>
    <w:tbl>
      <w:tblPr>
        <w:tblpPr w:leftFromText="141" w:rightFromText="141" w:vertAnchor="text" w:tblpXSpec="center" w:tblpY="1"/>
        <w:tblOverlap w:val="never"/>
        <w:tblW w:w="16370"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677"/>
        <w:gridCol w:w="1928"/>
        <w:gridCol w:w="13048"/>
        <w:gridCol w:w="717"/>
      </w:tblGrid>
      <w:tr w:rsidR="002234DB" w:rsidRPr="00FA3856" w:rsidTr="00B0595C">
        <w:trPr>
          <w:trHeight w:val="445"/>
        </w:trPr>
        <w:tc>
          <w:tcPr>
            <w:tcW w:w="677" w:type="dxa"/>
            <w:tcBorders>
              <w:top w:val="single" w:sz="6" w:space="0" w:color="auto"/>
              <w:left w:val="single" w:sz="6" w:space="0" w:color="auto"/>
              <w:bottom w:val="single" w:sz="6" w:space="0" w:color="auto"/>
              <w:right w:val="single" w:sz="6" w:space="0" w:color="auto"/>
            </w:tcBorders>
          </w:tcPr>
          <w:p w:rsidR="002234DB" w:rsidRPr="00FA3856" w:rsidRDefault="002234DB" w:rsidP="00B0595C">
            <w:pPr>
              <w:pStyle w:val="PSDS-CorpodeTexto0"/>
              <w:suppressAutoHyphens w:val="0"/>
              <w:jc w:val="center"/>
              <w:rPr>
                <w:rFonts w:ascii="Times New Roman" w:hAnsi="Times New Roman"/>
                <w:b/>
                <w:bCs/>
                <w:lang w:val="en-US"/>
              </w:rPr>
            </w:pPr>
            <w:r w:rsidRPr="00FA3856">
              <w:rPr>
                <w:rFonts w:ascii="Times New Roman" w:hAnsi="Times New Roman"/>
                <w:b/>
                <w:bCs/>
                <w:lang w:val="en-US"/>
              </w:rPr>
              <w:t>15</w:t>
            </w:r>
          </w:p>
        </w:tc>
        <w:tc>
          <w:tcPr>
            <w:tcW w:w="1928" w:type="dxa"/>
            <w:tcBorders>
              <w:top w:val="single" w:sz="6" w:space="0" w:color="auto"/>
              <w:left w:val="single" w:sz="6" w:space="0" w:color="auto"/>
              <w:bottom w:val="single" w:sz="6" w:space="0" w:color="auto"/>
              <w:right w:val="single" w:sz="6" w:space="0" w:color="auto"/>
            </w:tcBorders>
          </w:tcPr>
          <w:p w:rsidR="002234DB" w:rsidRPr="00FA3856" w:rsidRDefault="002234DB" w:rsidP="00B0595C">
            <w:pPr>
              <w:pStyle w:val="PSDS-CorpodeTexto0"/>
              <w:rPr>
                <w:rFonts w:ascii="Times New Roman" w:hAnsi="Times New Roman"/>
                <w:lang w:val="pt-PT"/>
              </w:rPr>
            </w:pPr>
            <w:r w:rsidRPr="00FA3856">
              <w:rPr>
                <w:rFonts w:ascii="Times New Roman" w:hAnsi="Times New Roman"/>
                <w:lang w:val="pt-PT"/>
              </w:rPr>
              <w:t>COD_SCP</w:t>
            </w:r>
          </w:p>
        </w:tc>
        <w:tc>
          <w:tcPr>
            <w:tcW w:w="13048" w:type="dxa"/>
            <w:tcBorders>
              <w:top w:val="single" w:sz="6" w:space="0" w:color="auto"/>
              <w:left w:val="single" w:sz="6" w:space="0" w:color="auto"/>
              <w:bottom w:val="single" w:sz="6" w:space="0" w:color="auto"/>
              <w:right w:val="single" w:sz="6" w:space="0" w:color="auto"/>
            </w:tcBorders>
          </w:tcPr>
          <w:p w:rsidR="002234DB" w:rsidRPr="002234DB" w:rsidRDefault="007D0E74" w:rsidP="00B0595C">
            <w:pPr>
              <w:pStyle w:val="PSDS-CorpodeTexto0"/>
              <w:jc w:val="both"/>
              <w:rPr>
                <w:rFonts w:ascii="Times New Roman" w:hAnsi="Times New Roman"/>
              </w:rPr>
            </w:pPr>
            <w:hyperlink w:anchor="REGRA_VALIDA_CNPJ" w:history="1">
              <w:r w:rsidR="002234DB" w:rsidRPr="002234DB">
                <w:rPr>
                  <w:rStyle w:val="Hyperlink"/>
                  <w:rFonts w:ascii="Times New Roman" w:hAnsi="Times New Roman"/>
                  <w:b/>
                  <w:bCs/>
                  <w:color w:val="auto"/>
                  <w:highlight w:val="yellow"/>
                  <w:lang w:val="pt-PT"/>
                </w:rPr>
                <w:t>REGRA_VALIDA_CNPJ</w:t>
              </w:r>
            </w:hyperlink>
            <w:r w:rsidR="002234DB" w:rsidRPr="002234DB">
              <w:rPr>
                <w:rFonts w:ascii="Times New Roman" w:hAnsi="Times New Roman"/>
                <w:b/>
                <w:bCs/>
                <w:highlight w:val="yellow"/>
                <w:lang w:val="pt-PT"/>
              </w:rPr>
              <w:t xml:space="preserve">: </w:t>
            </w:r>
            <w:r w:rsidR="002234DB" w:rsidRPr="002234DB">
              <w:rPr>
                <w:rFonts w:ascii="Times New Roman" w:hAnsi="Times New Roman"/>
                <w:highlight w:val="yellow"/>
              </w:rPr>
              <w:t xml:space="preserve"> Verifica se a regra de formação do código é válida.</w:t>
            </w:r>
          </w:p>
        </w:tc>
        <w:tc>
          <w:tcPr>
            <w:tcW w:w="717" w:type="dxa"/>
            <w:tcBorders>
              <w:top w:val="single" w:sz="6" w:space="0" w:color="auto"/>
              <w:left w:val="single" w:sz="6" w:space="0" w:color="auto"/>
              <w:bottom w:val="single" w:sz="6" w:space="0" w:color="auto"/>
              <w:right w:val="single" w:sz="6" w:space="0" w:color="auto"/>
            </w:tcBorders>
          </w:tcPr>
          <w:p w:rsidR="002234DB" w:rsidRPr="00FA3856" w:rsidRDefault="002234DB" w:rsidP="00B0595C">
            <w:pPr>
              <w:pStyle w:val="PSDS-CorpodeTexto0"/>
              <w:rPr>
                <w:rFonts w:ascii="Times New Roman" w:hAnsi="Times New Roman"/>
                <w:lang w:val="pt-PT"/>
              </w:rPr>
            </w:pPr>
            <w:r w:rsidRPr="00FA3856">
              <w:rPr>
                <w:rFonts w:ascii="Times New Roman" w:hAnsi="Times New Roman"/>
                <w:lang w:val="pt-PT"/>
              </w:rPr>
              <w:t>E</w:t>
            </w:r>
            <w:r>
              <w:rPr>
                <w:rFonts w:ascii="Times New Roman" w:hAnsi="Times New Roman"/>
                <w:lang w:val="pt-PT"/>
              </w:rPr>
              <w:t>rro</w:t>
            </w:r>
          </w:p>
        </w:tc>
      </w:tr>
    </w:tbl>
    <w:p w:rsidR="003E68F2" w:rsidRDefault="003E68F2" w:rsidP="00391278">
      <w:pPr>
        <w:rPr>
          <w:lang w:eastAsia="ar-SA"/>
        </w:rPr>
      </w:pPr>
    </w:p>
    <w:p w:rsidR="006A51EE" w:rsidRPr="00FA3856" w:rsidRDefault="003E68F2" w:rsidP="003E68F2">
      <w:pPr>
        <w:pStyle w:val="Ttulo3"/>
      </w:pPr>
      <w:bookmarkStart w:id="466" w:name="_Toc479713855"/>
      <w:r w:rsidRPr="003E68F2">
        <w:rPr>
          <w:color w:val="auto"/>
          <w:u w:val="single"/>
        </w:rPr>
        <w:t>Alteração no item:</w:t>
      </w:r>
      <w:r w:rsidRPr="00D95E2A">
        <w:rPr>
          <w:color w:val="auto"/>
        </w:rPr>
        <w:t xml:space="preserve"> </w:t>
      </w:r>
      <w:r w:rsidR="006A51EE" w:rsidRPr="00FA3856">
        <w:t>Registro 0010: Parâmetros de Tributação</w:t>
      </w:r>
      <w:r w:rsidR="006A51EE">
        <w:t>: Atualização da descrição do campo.</w:t>
      </w:r>
      <w:bookmarkEnd w:id="466"/>
    </w:p>
    <w:p w:rsidR="006A51EE" w:rsidRDefault="006A51EE" w:rsidP="00391278">
      <w:pPr>
        <w:rPr>
          <w:lang w:eastAsia="ar-SA"/>
        </w:rPr>
      </w:pPr>
    </w:p>
    <w:tbl>
      <w:tblPr>
        <w:tblW w:w="15158" w:type="dxa"/>
        <w:tblCellMar>
          <w:left w:w="70" w:type="dxa"/>
          <w:right w:w="70" w:type="dxa"/>
        </w:tblCellMar>
        <w:tblLook w:val="04A0" w:firstRow="1" w:lastRow="0" w:firstColumn="1" w:lastColumn="0" w:noHBand="0" w:noVBand="1"/>
      </w:tblPr>
      <w:tblGrid>
        <w:gridCol w:w="940"/>
        <w:gridCol w:w="2080"/>
        <w:gridCol w:w="12138"/>
      </w:tblGrid>
      <w:tr w:rsidR="006A51EE" w:rsidRPr="006A51EE" w:rsidTr="006A51EE">
        <w:trPr>
          <w:trHeight w:val="2486"/>
        </w:trPr>
        <w:tc>
          <w:tcPr>
            <w:tcW w:w="940" w:type="dxa"/>
            <w:tcBorders>
              <w:top w:val="single" w:sz="8" w:space="0" w:color="auto"/>
              <w:left w:val="single" w:sz="8" w:space="0" w:color="auto"/>
              <w:bottom w:val="single" w:sz="8" w:space="0" w:color="auto"/>
              <w:right w:val="single" w:sz="8" w:space="0" w:color="auto"/>
            </w:tcBorders>
            <w:shd w:val="clear" w:color="000000" w:fill="F2F2F2"/>
            <w:vAlign w:val="center"/>
            <w:hideMark/>
          </w:tcPr>
          <w:p w:rsidR="006A51EE" w:rsidRPr="006A51EE" w:rsidRDefault="006A51EE" w:rsidP="006A51EE">
            <w:pPr>
              <w:jc w:val="center"/>
              <w:rPr>
                <w:rFonts w:eastAsia="Times New Roman" w:cs="Times New Roman"/>
                <w:b/>
                <w:bCs/>
                <w:color w:val="000000"/>
                <w:szCs w:val="20"/>
                <w:lang w:eastAsia="pt-BR"/>
              </w:rPr>
            </w:pPr>
            <w:r w:rsidRPr="006A51EE">
              <w:rPr>
                <w:rFonts w:eastAsia="Times New Roman" w:cs="Times New Roman"/>
                <w:b/>
                <w:bCs/>
                <w:color w:val="000000"/>
                <w:szCs w:val="20"/>
                <w:lang w:eastAsia="pt-BR"/>
              </w:rPr>
              <w:t>14</w:t>
            </w:r>
          </w:p>
        </w:tc>
        <w:tc>
          <w:tcPr>
            <w:tcW w:w="2080" w:type="dxa"/>
            <w:tcBorders>
              <w:top w:val="single" w:sz="8" w:space="0" w:color="auto"/>
              <w:left w:val="nil"/>
              <w:bottom w:val="single" w:sz="8" w:space="0" w:color="auto"/>
              <w:right w:val="single" w:sz="8" w:space="0" w:color="auto"/>
            </w:tcBorders>
            <w:shd w:val="clear" w:color="000000" w:fill="F2F2F2"/>
            <w:vAlign w:val="bottom"/>
            <w:hideMark/>
          </w:tcPr>
          <w:p w:rsidR="006A51EE" w:rsidRPr="006A51EE" w:rsidRDefault="006A51EE" w:rsidP="006A51EE">
            <w:pPr>
              <w:rPr>
                <w:rFonts w:eastAsia="Times New Roman" w:cs="Times New Roman"/>
                <w:color w:val="000000"/>
                <w:szCs w:val="20"/>
                <w:lang w:eastAsia="pt-BR"/>
              </w:rPr>
            </w:pPr>
            <w:r w:rsidRPr="006A51EE">
              <w:rPr>
                <w:rFonts w:eastAsia="Times New Roman" w:cs="Times New Roman"/>
                <w:color w:val="000000"/>
                <w:szCs w:val="20"/>
                <w:lang w:eastAsia="pt-BR"/>
              </w:rPr>
              <w:t>IND_REC_RECEITA</w:t>
            </w:r>
          </w:p>
        </w:tc>
        <w:tc>
          <w:tcPr>
            <w:tcW w:w="12138" w:type="dxa"/>
            <w:tcBorders>
              <w:top w:val="single" w:sz="8" w:space="0" w:color="auto"/>
              <w:left w:val="nil"/>
              <w:bottom w:val="single" w:sz="8" w:space="0" w:color="auto"/>
              <w:right w:val="single" w:sz="8" w:space="0" w:color="auto"/>
            </w:tcBorders>
            <w:shd w:val="clear" w:color="000000" w:fill="F2F2F2"/>
            <w:vAlign w:val="center"/>
            <w:hideMark/>
          </w:tcPr>
          <w:p w:rsidR="006A51EE" w:rsidRPr="006A51EE" w:rsidRDefault="006A51EE" w:rsidP="006A51EE">
            <w:pPr>
              <w:rPr>
                <w:rFonts w:eastAsia="Times New Roman" w:cs="Times New Roman"/>
                <w:color w:val="000000"/>
                <w:szCs w:val="20"/>
                <w:lang w:eastAsia="pt-BR"/>
              </w:rPr>
            </w:pPr>
            <w:r w:rsidRPr="006A51EE">
              <w:rPr>
                <w:rFonts w:eastAsia="Times New Roman" w:cs="Times New Roman"/>
                <w:color w:val="000000"/>
                <w:szCs w:val="20"/>
                <w:lang w:eastAsia="pt-BR"/>
              </w:rPr>
              <w:t xml:space="preserve">Critério de reconhecimento de receitas para empresas tributadas pelo Lucro Presumido </w:t>
            </w:r>
            <w:r w:rsidRPr="006A51EE">
              <w:rPr>
                <w:rFonts w:eastAsia="Times New Roman" w:cs="Times New Roman"/>
                <w:color w:val="000000"/>
                <w:szCs w:val="20"/>
                <w:highlight w:val="yellow"/>
                <w:lang w:eastAsia="pt-BR"/>
              </w:rPr>
              <w:t>(Art. 215, § 9º,  Instrução Normativa RFB nº 1.700/2017):</w:t>
            </w:r>
            <w:r w:rsidRPr="006A51EE">
              <w:rPr>
                <w:rFonts w:eastAsia="Times New Roman" w:cs="Times New Roman"/>
                <w:color w:val="000000"/>
                <w:szCs w:val="20"/>
                <w:lang w:eastAsia="pt-BR"/>
              </w:rPr>
              <w:br/>
              <w:t>1. Regime de caixa</w:t>
            </w:r>
            <w:r w:rsidRPr="006A51EE">
              <w:rPr>
                <w:rFonts w:eastAsia="Times New Roman" w:cs="Times New Roman"/>
                <w:color w:val="000000"/>
                <w:szCs w:val="20"/>
                <w:lang w:eastAsia="pt-BR"/>
              </w:rPr>
              <w:br/>
              <w:t>2. Regime de competência</w:t>
            </w:r>
            <w:r w:rsidRPr="006A51EE">
              <w:rPr>
                <w:rFonts w:eastAsia="Times New Roman" w:cs="Times New Roman"/>
                <w:color w:val="000000"/>
                <w:szCs w:val="20"/>
                <w:lang w:eastAsia="pt-BR"/>
              </w:rPr>
              <w:br/>
            </w:r>
            <w:r w:rsidRPr="006A51EE">
              <w:rPr>
                <w:rFonts w:eastAsia="Times New Roman" w:cs="Times New Roman"/>
                <w:color w:val="000000"/>
                <w:szCs w:val="20"/>
                <w:lang w:eastAsia="pt-BR"/>
              </w:rPr>
              <w:br/>
            </w:r>
            <w:r w:rsidRPr="006A51EE">
              <w:rPr>
                <w:rFonts w:eastAsia="Times New Roman" w:cs="Times New Roman"/>
                <w:b/>
                <w:bCs/>
                <w:color w:val="000000"/>
                <w:szCs w:val="20"/>
                <w:lang w:eastAsia="pt-BR"/>
              </w:rPr>
              <w:t xml:space="preserve">Atenção: </w:t>
            </w:r>
            <w:r w:rsidRPr="006A51EE">
              <w:rPr>
                <w:rFonts w:eastAsia="Times New Roman" w:cs="Times New Roman"/>
                <w:color w:val="000000"/>
                <w:szCs w:val="20"/>
                <w:lang w:eastAsia="pt-BR"/>
              </w:rPr>
              <w:br/>
              <w:t>- Este campo só é preenchido pelas pessoas jurídicas tributadas pelo lucro presumido.</w:t>
            </w:r>
            <w:r w:rsidRPr="006A51EE">
              <w:rPr>
                <w:rFonts w:eastAsia="Times New Roman" w:cs="Times New Roman"/>
                <w:color w:val="000000"/>
                <w:szCs w:val="20"/>
                <w:lang w:eastAsia="pt-BR"/>
              </w:rPr>
              <w:br/>
              <w:t>- Caso a pessoa jurídica preencha 0010.IND_REC_RECEITA = “1”, então 0010.TIP_ESC_PRE pode ser igual a “C” e “L”.</w:t>
            </w:r>
            <w:r w:rsidRPr="006A51EE">
              <w:rPr>
                <w:rFonts w:eastAsia="Times New Roman" w:cs="Times New Roman"/>
                <w:color w:val="000000"/>
                <w:szCs w:val="20"/>
                <w:lang w:eastAsia="pt-BR"/>
              </w:rPr>
              <w:br/>
              <w:t>- Caso a pessoa jurídica preencha 0010.IND_REC_RECEITA = “2”, então 0010.TIP_ESC_PRE deve ser igual a “C”.</w:t>
            </w:r>
          </w:p>
        </w:tc>
      </w:tr>
    </w:tbl>
    <w:p w:rsidR="003E68F2" w:rsidRDefault="003E68F2" w:rsidP="00391278">
      <w:pPr>
        <w:rPr>
          <w:lang w:eastAsia="ar-SA"/>
        </w:rPr>
      </w:pPr>
    </w:p>
    <w:p w:rsidR="000E3C5B" w:rsidRDefault="000E3C5B" w:rsidP="00391278">
      <w:pPr>
        <w:rPr>
          <w:lang w:eastAsia="ar-SA"/>
        </w:rPr>
      </w:pPr>
    </w:p>
    <w:p w:rsidR="000E3C5B" w:rsidRDefault="000E3C5B" w:rsidP="00391278">
      <w:pPr>
        <w:rPr>
          <w:lang w:eastAsia="ar-SA"/>
        </w:rPr>
      </w:pPr>
    </w:p>
    <w:p w:rsidR="006933DD" w:rsidRDefault="006933DD" w:rsidP="00391278">
      <w:pPr>
        <w:rPr>
          <w:lang w:eastAsia="ar-SA"/>
        </w:rPr>
      </w:pPr>
    </w:p>
    <w:p w:rsidR="006933DD" w:rsidRPr="00FA3856" w:rsidRDefault="006933DD" w:rsidP="006933DD">
      <w:pPr>
        <w:pStyle w:val="Ttulo3"/>
      </w:pPr>
      <w:r w:rsidRPr="003E68F2">
        <w:rPr>
          <w:color w:val="auto"/>
          <w:u w:val="single"/>
        </w:rPr>
        <w:lastRenderedPageBreak/>
        <w:t>Alteração no item:</w:t>
      </w:r>
      <w:r w:rsidRPr="00D95E2A">
        <w:rPr>
          <w:color w:val="auto"/>
        </w:rPr>
        <w:t xml:space="preserve"> </w:t>
      </w:r>
      <w:r w:rsidRPr="00FA3856">
        <w:t>Registro J050: Plano de Contas do Contribuinte</w:t>
      </w:r>
      <w:r>
        <w:t>: Inclusão de regra.</w:t>
      </w:r>
    </w:p>
    <w:p w:rsidR="006933DD" w:rsidRPr="00FA3856" w:rsidRDefault="006933DD" w:rsidP="006933DD">
      <w:pPr>
        <w:rPr>
          <w:szCs w:val="20"/>
        </w:rPr>
      </w:pPr>
    </w:p>
    <w:tbl>
      <w:tblPr>
        <w:tblW w:w="16370"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527"/>
        <w:gridCol w:w="1706"/>
        <w:gridCol w:w="13420"/>
        <w:gridCol w:w="717"/>
      </w:tblGrid>
      <w:tr w:rsidR="006933DD" w:rsidRPr="00FA3856" w:rsidTr="00580D05">
        <w:trPr>
          <w:jc w:val="center"/>
        </w:trPr>
        <w:tc>
          <w:tcPr>
            <w:tcW w:w="527" w:type="dxa"/>
            <w:tcBorders>
              <w:top w:val="single" w:sz="6" w:space="0" w:color="auto"/>
              <w:left w:val="single" w:sz="6" w:space="0" w:color="auto"/>
              <w:bottom w:val="single" w:sz="6" w:space="0" w:color="auto"/>
              <w:right w:val="single" w:sz="6" w:space="0" w:color="auto"/>
            </w:tcBorders>
          </w:tcPr>
          <w:p w:rsidR="006933DD" w:rsidRPr="00DC0C3D" w:rsidRDefault="006933DD" w:rsidP="00580D05">
            <w:pPr>
              <w:jc w:val="center"/>
              <w:rPr>
                <w:b/>
                <w:szCs w:val="20"/>
                <w:highlight w:val="yellow"/>
              </w:rPr>
            </w:pPr>
            <w:r w:rsidRPr="00DC0C3D">
              <w:rPr>
                <w:b/>
                <w:szCs w:val="20"/>
                <w:highlight w:val="yellow"/>
              </w:rPr>
              <w:t>3</w:t>
            </w:r>
          </w:p>
        </w:tc>
        <w:tc>
          <w:tcPr>
            <w:tcW w:w="1706" w:type="dxa"/>
            <w:tcBorders>
              <w:top w:val="single" w:sz="6" w:space="0" w:color="auto"/>
              <w:left w:val="single" w:sz="6" w:space="0" w:color="auto"/>
              <w:bottom w:val="single" w:sz="6" w:space="0" w:color="auto"/>
              <w:right w:val="single" w:sz="6" w:space="0" w:color="auto"/>
            </w:tcBorders>
          </w:tcPr>
          <w:p w:rsidR="006933DD" w:rsidRPr="00DC0C3D" w:rsidRDefault="006933DD" w:rsidP="00580D05">
            <w:pPr>
              <w:jc w:val="both"/>
              <w:rPr>
                <w:szCs w:val="20"/>
                <w:highlight w:val="yellow"/>
              </w:rPr>
            </w:pPr>
            <w:r w:rsidRPr="00DC0C3D">
              <w:rPr>
                <w:szCs w:val="20"/>
                <w:highlight w:val="yellow"/>
              </w:rPr>
              <w:t>COD_NAT</w:t>
            </w:r>
          </w:p>
        </w:tc>
        <w:tc>
          <w:tcPr>
            <w:tcW w:w="13420" w:type="dxa"/>
            <w:tcBorders>
              <w:top w:val="single" w:sz="6" w:space="0" w:color="auto"/>
              <w:left w:val="single" w:sz="6" w:space="0" w:color="auto"/>
              <w:bottom w:val="single" w:sz="6" w:space="0" w:color="auto"/>
              <w:right w:val="single" w:sz="6" w:space="0" w:color="auto"/>
            </w:tcBorders>
          </w:tcPr>
          <w:p w:rsidR="006933DD" w:rsidRPr="00DC0C3D" w:rsidRDefault="006933DD" w:rsidP="00580D05">
            <w:pPr>
              <w:pStyle w:val="Corpodetexto"/>
              <w:rPr>
                <w:rStyle w:val="Hyperlink"/>
                <w:rFonts w:ascii="Times New Roman" w:hAnsi="Times New Roman"/>
                <w:color w:val="auto"/>
                <w:szCs w:val="20"/>
                <w:highlight w:val="yellow"/>
              </w:rPr>
            </w:pPr>
            <w:r w:rsidRPr="00DC0C3D">
              <w:rPr>
                <w:rStyle w:val="Hyperlink"/>
                <w:rFonts w:ascii="Times New Roman" w:hAnsi="Times New Roman"/>
                <w:b/>
                <w:color w:val="auto"/>
                <w:szCs w:val="20"/>
                <w:highlight w:val="yellow"/>
              </w:rPr>
              <w:t xml:space="preserve">REGRA_NATUREZA_J050_C050: </w:t>
            </w:r>
            <w:r w:rsidRPr="00DC0C3D">
              <w:rPr>
                <w:rStyle w:val="Hyperlink"/>
                <w:rFonts w:ascii="Times New Roman" w:hAnsi="Times New Roman"/>
                <w:color w:val="auto"/>
                <w:szCs w:val="20"/>
                <w:highlight w:val="yellow"/>
              </w:rPr>
              <w:t>Verifica se a conta informada no registro J050 (J050.COD_CTA) existe no registro C050 (C050.COD_CTA) e se possui a mesma natureza (J050.COD_NAT = C050.COD_NAT).</w:t>
            </w:r>
          </w:p>
        </w:tc>
        <w:tc>
          <w:tcPr>
            <w:tcW w:w="717" w:type="dxa"/>
            <w:tcBorders>
              <w:top w:val="single" w:sz="6" w:space="0" w:color="auto"/>
              <w:left w:val="single" w:sz="6" w:space="0" w:color="auto"/>
              <w:bottom w:val="single" w:sz="6" w:space="0" w:color="auto"/>
              <w:right w:val="single" w:sz="6" w:space="0" w:color="auto"/>
            </w:tcBorders>
          </w:tcPr>
          <w:p w:rsidR="006933DD" w:rsidRPr="00FA3856" w:rsidRDefault="006933DD" w:rsidP="00580D05">
            <w:pPr>
              <w:widowControl w:val="0"/>
              <w:autoSpaceDE w:val="0"/>
              <w:autoSpaceDN w:val="0"/>
              <w:adjustRightInd w:val="0"/>
              <w:jc w:val="both"/>
              <w:rPr>
                <w:szCs w:val="20"/>
              </w:rPr>
            </w:pPr>
            <w:r w:rsidRPr="00DC0C3D">
              <w:rPr>
                <w:szCs w:val="20"/>
                <w:highlight w:val="yellow"/>
              </w:rPr>
              <w:t>Erro</w:t>
            </w:r>
          </w:p>
        </w:tc>
      </w:tr>
    </w:tbl>
    <w:p w:rsidR="006933DD" w:rsidRDefault="006933DD" w:rsidP="00391278">
      <w:pPr>
        <w:rPr>
          <w:lang w:eastAsia="ar-SA"/>
        </w:rPr>
      </w:pPr>
    </w:p>
    <w:p w:rsidR="000E3C5B" w:rsidRDefault="000E3C5B" w:rsidP="00391278">
      <w:pPr>
        <w:rPr>
          <w:lang w:eastAsia="ar-SA"/>
        </w:rPr>
      </w:pPr>
    </w:p>
    <w:p w:rsidR="000E3C5B" w:rsidRDefault="000E3C5B" w:rsidP="000E3C5B">
      <w:pPr>
        <w:pStyle w:val="Ttulo3"/>
      </w:pPr>
      <w:r w:rsidRPr="003E68F2">
        <w:rPr>
          <w:color w:val="auto"/>
          <w:u w:val="single"/>
        </w:rPr>
        <w:t>Alteração no item:</w:t>
      </w:r>
      <w:r w:rsidRPr="00D95E2A">
        <w:rPr>
          <w:color w:val="auto"/>
        </w:rPr>
        <w:t xml:space="preserve"> </w:t>
      </w:r>
      <w:r>
        <w:t>Registro L1</w:t>
      </w:r>
      <w:r w:rsidRPr="00FA3856">
        <w:t xml:space="preserve">00: </w:t>
      </w:r>
      <w:r>
        <w:t xml:space="preserve">Balanço Patrimonial: </w:t>
      </w:r>
      <w:r w:rsidR="009F59E4">
        <w:t>Atualização de texto e i</w:t>
      </w:r>
      <w:r w:rsidR="00DC2CC6">
        <w:t>nclusão de contas no L1</w:t>
      </w:r>
      <w:r>
        <w:t>00B</w:t>
      </w:r>
    </w:p>
    <w:p w:rsidR="000E3C5B" w:rsidRDefault="000E3C5B" w:rsidP="00391278">
      <w:pPr>
        <w:rPr>
          <w:lang w:eastAsia="ar-SA"/>
        </w:rPr>
      </w:pPr>
    </w:p>
    <w:p w:rsidR="009F59E4" w:rsidRDefault="009F59E4" w:rsidP="009F59E4">
      <w:pPr>
        <w:ind w:firstLine="708"/>
        <w:rPr>
          <w:szCs w:val="20"/>
          <w:lang w:val="pt-PT"/>
        </w:rPr>
      </w:pPr>
      <w:r w:rsidRPr="00FA3856">
        <w:rPr>
          <w:szCs w:val="20"/>
        </w:rPr>
        <w:t xml:space="preserve">Apresenta o balanço patrimonial com base nas contas referenciais para o período de apuração. </w:t>
      </w:r>
      <w:r w:rsidRPr="00FA3856">
        <w:rPr>
          <w:szCs w:val="20"/>
          <w:lang w:val="pt-PT"/>
        </w:rPr>
        <w:t>O saldo inicial pode ser replicado do registro E010/E015 ou preenchido.</w:t>
      </w:r>
      <w:r w:rsidRPr="00FA3856">
        <w:rPr>
          <w:szCs w:val="20"/>
        </w:rPr>
        <w:t xml:space="preserve"> </w:t>
      </w:r>
      <w:r w:rsidRPr="00FA3856">
        <w:rPr>
          <w:szCs w:val="20"/>
          <w:lang w:val="pt-PT"/>
        </w:rPr>
        <w:t xml:space="preserve">O saldo final será recuperado do registro K155/K156. </w:t>
      </w:r>
      <w:r w:rsidRPr="009F59E4">
        <w:rPr>
          <w:b/>
          <w:szCs w:val="20"/>
          <w:highlight w:val="yellow"/>
          <w:lang w:val="pt-PT"/>
        </w:rPr>
        <w:t>Os saldos finais do registro L100 não são editáveis.</w:t>
      </w:r>
    </w:p>
    <w:p w:rsidR="009F59E4" w:rsidRDefault="009F59E4" w:rsidP="00391278">
      <w:pPr>
        <w:rPr>
          <w:lang w:eastAsia="ar-SA"/>
        </w:rPr>
      </w:pPr>
    </w:p>
    <w:tbl>
      <w:tblPr>
        <w:tblW w:w="7083" w:type="dxa"/>
        <w:tblCellMar>
          <w:left w:w="70" w:type="dxa"/>
          <w:right w:w="70" w:type="dxa"/>
        </w:tblCellMar>
        <w:tblLook w:val="04A0" w:firstRow="1" w:lastRow="0" w:firstColumn="1" w:lastColumn="0" w:noHBand="0" w:noVBand="1"/>
      </w:tblPr>
      <w:tblGrid>
        <w:gridCol w:w="1420"/>
        <w:gridCol w:w="5663"/>
      </w:tblGrid>
      <w:tr w:rsidR="000E3C5B" w:rsidRPr="000E3C5B" w:rsidTr="000E3C5B">
        <w:trPr>
          <w:trHeight w:val="510"/>
        </w:trPr>
        <w:tc>
          <w:tcPr>
            <w:tcW w:w="1420"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rsidR="000E3C5B" w:rsidRPr="000E3C5B" w:rsidRDefault="000E3C5B" w:rsidP="000E3C5B">
            <w:pPr>
              <w:rPr>
                <w:rFonts w:eastAsia="Times New Roman" w:cs="Times New Roman"/>
                <w:color w:val="0000CC"/>
                <w:szCs w:val="20"/>
                <w:lang w:eastAsia="pt-BR"/>
              </w:rPr>
            </w:pPr>
            <w:r w:rsidRPr="000E3C5B">
              <w:rPr>
                <w:rFonts w:eastAsia="Times New Roman" w:cs="Times New Roman"/>
                <w:color w:val="0000CC"/>
                <w:szCs w:val="20"/>
                <w:lang w:eastAsia="pt-BR"/>
              </w:rPr>
              <w:t>1.1.1.4.2.02.00</w:t>
            </w:r>
          </w:p>
        </w:tc>
        <w:tc>
          <w:tcPr>
            <w:tcW w:w="5663" w:type="dxa"/>
            <w:tcBorders>
              <w:top w:val="single" w:sz="4" w:space="0" w:color="auto"/>
              <w:left w:val="nil"/>
              <w:bottom w:val="single" w:sz="4" w:space="0" w:color="auto"/>
              <w:right w:val="single" w:sz="4" w:space="0" w:color="auto"/>
            </w:tcBorders>
            <w:shd w:val="clear" w:color="000000" w:fill="FFF2CC"/>
            <w:vAlign w:val="center"/>
            <w:hideMark/>
          </w:tcPr>
          <w:p w:rsidR="000E3C5B" w:rsidRPr="000E3C5B" w:rsidRDefault="000E3C5B" w:rsidP="000E3C5B">
            <w:pPr>
              <w:rPr>
                <w:rFonts w:eastAsia="Times New Roman" w:cs="Times New Roman"/>
                <w:color w:val="0000CC"/>
                <w:szCs w:val="20"/>
                <w:lang w:eastAsia="pt-BR"/>
              </w:rPr>
            </w:pPr>
            <w:r w:rsidRPr="000E3C5B">
              <w:rPr>
                <w:rFonts w:eastAsia="Times New Roman" w:cs="Times New Roman"/>
                <w:color w:val="0000CC"/>
                <w:szCs w:val="20"/>
                <w:lang w:eastAsia="pt-BR"/>
              </w:rPr>
              <w:t>BANCO CENTRAL - DEPÓSITOS EM MOEDA ELETRÔNICA</w:t>
            </w:r>
          </w:p>
        </w:tc>
      </w:tr>
      <w:tr w:rsidR="000E3C5B" w:rsidRPr="000E3C5B" w:rsidTr="000E3C5B">
        <w:trPr>
          <w:trHeight w:val="510"/>
        </w:trPr>
        <w:tc>
          <w:tcPr>
            <w:tcW w:w="1420"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rsidR="000E3C5B" w:rsidRPr="000E3C5B" w:rsidRDefault="000E3C5B" w:rsidP="000E3C5B">
            <w:pPr>
              <w:rPr>
                <w:rFonts w:eastAsia="Times New Roman" w:cs="Times New Roman"/>
                <w:color w:val="0000CC"/>
                <w:szCs w:val="20"/>
                <w:lang w:eastAsia="pt-BR"/>
              </w:rPr>
            </w:pPr>
            <w:r w:rsidRPr="000E3C5B">
              <w:rPr>
                <w:rFonts w:eastAsia="Times New Roman" w:cs="Times New Roman"/>
                <w:color w:val="0000CC"/>
                <w:szCs w:val="20"/>
                <w:lang w:eastAsia="pt-BR"/>
              </w:rPr>
              <w:t>1.1.1.6.1.30.00</w:t>
            </w:r>
          </w:p>
        </w:tc>
        <w:tc>
          <w:tcPr>
            <w:tcW w:w="5663" w:type="dxa"/>
            <w:tcBorders>
              <w:top w:val="single" w:sz="4" w:space="0" w:color="auto"/>
              <w:left w:val="nil"/>
              <w:bottom w:val="single" w:sz="4" w:space="0" w:color="auto"/>
              <w:right w:val="single" w:sz="4" w:space="0" w:color="auto"/>
            </w:tcBorders>
            <w:shd w:val="clear" w:color="000000" w:fill="FFF2CC"/>
            <w:vAlign w:val="center"/>
            <w:hideMark/>
          </w:tcPr>
          <w:p w:rsidR="000E3C5B" w:rsidRPr="000E3C5B" w:rsidRDefault="000E3C5B" w:rsidP="000E3C5B">
            <w:pPr>
              <w:rPr>
                <w:rFonts w:eastAsia="Times New Roman" w:cs="Times New Roman"/>
                <w:color w:val="0000CC"/>
                <w:szCs w:val="20"/>
                <w:lang w:eastAsia="pt-BR"/>
              </w:rPr>
            </w:pPr>
            <w:r w:rsidRPr="000E3C5B">
              <w:rPr>
                <w:rFonts w:eastAsia="Times New Roman" w:cs="Times New Roman"/>
                <w:color w:val="0000CC"/>
                <w:szCs w:val="20"/>
                <w:lang w:eastAsia="pt-BR"/>
              </w:rPr>
              <w:t>DIREITOS CREDITÓRIOS DESCONTADOS</w:t>
            </w:r>
          </w:p>
        </w:tc>
      </w:tr>
      <w:tr w:rsidR="000E3C5B" w:rsidRPr="000E3C5B" w:rsidTr="000E3C5B">
        <w:trPr>
          <w:trHeight w:val="510"/>
        </w:trPr>
        <w:tc>
          <w:tcPr>
            <w:tcW w:w="1420"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rsidR="000E3C5B" w:rsidRPr="000E3C5B" w:rsidRDefault="000E3C5B" w:rsidP="000E3C5B">
            <w:pPr>
              <w:rPr>
                <w:rFonts w:eastAsia="Times New Roman" w:cs="Times New Roman"/>
                <w:color w:val="0000CC"/>
                <w:szCs w:val="20"/>
                <w:lang w:eastAsia="pt-BR"/>
              </w:rPr>
            </w:pPr>
            <w:r w:rsidRPr="000E3C5B">
              <w:rPr>
                <w:rFonts w:eastAsia="Times New Roman" w:cs="Times New Roman"/>
                <w:color w:val="0000CC"/>
                <w:szCs w:val="20"/>
                <w:lang w:eastAsia="pt-BR"/>
              </w:rPr>
              <w:t>1.1.1.6.1.30.10</w:t>
            </w:r>
          </w:p>
        </w:tc>
        <w:tc>
          <w:tcPr>
            <w:tcW w:w="5663" w:type="dxa"/>
            <w:tcBorders>
              <w:top w:val="single" w:sz="4" w:space="0" w:color="auto"/>
              <w:left w:val="nil"/>
              <w:bottom w:val="single" w:sz="4" w:space="0" w:color="auto"/>
              <w:right w:val="single" w:sz="4" w:space="0" w:color="auto"/>
            </w:tcBorders>
            <w:shd w:val="clear" w:color="000000" w:fill="FFF2CC"/>
            <w:vAlign w:val="center"/>
            <w:hideMark/>
          </w:tcPr>
          <w:p w:rsidR="000E3C5B" w:rsidRPr="000E3C5B" w:rsidRDefault="000E3C5B" w:rsidP="000E3C5B">
            <w:pPr>
              <w:rPr>
                <w:rFonts w:eastAsia="Times New Roman" w:cs="Times New Roman"/>
                <w:color w:val="0000CC"/>
                <w:szCs w:val="20"/>
                <w:lang w:eastAsia="pt-BR"/>
              </w:rPr>
            </w:pPr>
            <w:r w:rsidRPr="000E3C5B">
              <w:rPr>
                <w:rFonts w:eastAsia="Times New Roman" w:cs="Times New Roman"/>
                <w:color w:val="0000CC"/>
                <w:szCs w:val="20"/>
                <w:lang w:eastAsia="pt-BR"/>
              </w:rPr>
              <w:t>TÍTULOS DE CRÉDITO</w:t>
            </w:r>
          </w:p>
        </w:tc>
      </w:tr>
      <w:tr w:rsidR="000E3C5B" w:rsidRPr="000E3C5B" w:rsidTr="000E3C5B">
        <w:trPr>
          <w:trHeight w:val="510"/>
        </w:trPr>
        <w:tc>
          <w:tcPr>
            <w:tcW w:w="1420"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rsidR="000E3C5B" w:rsidRPr="000E3C5B" w:rsidRDefault="000E3C5B" w:rsidP="000E3C5B">
            <w:pPr>
              <w:rPr>
                <w:rFonts w:eastAsia="Times New Roman" w:cs="Times New Roman"/>
                <w:color w:val="0000CC"/>
                <w:szCs w:val="20"/>
                <w:lang w:eastAsia="pt-BR"/>
              </w:rPr>
            </w:pPr>
            <w:r w:rsidRPr="000E3C5B">
              <w:rPr>
                <w:rFonts w:eastAsia="Times New Roman" w:cs="Times New Roman"/>
                <w:color w:val="0000CC"/>
                <w:szCs w:val="20"/>
                <w:lang w:eastAsia="pt-BR"/>
              </w:rPr>
              <w:t>1.1.1.6.1.30.20</w:t>
            </w:r>
          </w:p>
        </w:tc>
        <w:tc>
          <w:tcPr>
            <w:tcW w:w="5663" w:type="dxa"/>
            <w:tcBorders>
              <w:top w:val="single" w:sz="4" w:space="0" w:color="auto"/>
              <w:left w:val="nil"/>
              <w:bottom w:val="single" w:sz="4" w:space="0" w:color="auto"/>
              <w:right w:val="single" w:sz="4" w:space="0" w:color="auto"/>
            </w:tcBorders>
            <w:shd w:val="clear" w:color="000000" w:fill="FFF2CC"/>
            <w:vAlign w:val="center"/>
            <w:hideMark/>
          </w:tcPr>
          <w:p w:rsidR="000E3C5B" w:rsidRPr="000E3C5B" w:rsidRDefault="000E3C5B" w:rsidP="000E3C5B">
            <w:pPr>
              <w:rPr>
                <w:rFonts w:eastAsia="Times New Roman" w:cs="Times New Roman"/>
                <w:color w:val="0000CC"/>
                <w:szCs w:val="20"/>
                <w:lang w:eastAsia="pt-BR"/>
              </w:rPr>
            </w:pPr>
            <w:r w:rsidRPr="000E3C5B">
              <w:rPr>
                <w:rFonts w:eastAsia="Times New Roman" w:cs="Times New Roman"/>
                <w:color w:val="0000CC"/>
                <w:szCs w:val="20"/>
                <w:lang w:eastAsia="pt-BR"/>
              </w:rPr>
              <w:t>DEMAIS DIREITOS CREDITÓRIOS</w:t>
            </w:r>
          </w:p>
        </w:tc>
      </w:tr>
      <w:tr w:rsidR="000E3C5B" w:rsidRPr="000E3C5B" w:rsidTr="000E3C5B">
        <w:trPr>
          <w:trHeight w:val="510"/>
        </w:trPr>
        <w:tc>
          <w:tcPr>
            <w:tcW w:w="1420"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rsidR="000E3C5B" w:rsidRPr="000E3C5B" w:rsidRDefault="000E3C5B" w:rsidP="000E3C5B">
            <w:pPr>
              <w:rPr>
                <w:rFonts w:eastAsia="Times New Roman" w:cs="Times New Roman"/>
                <w:color w:val="0000CC"/>
                <w:szCs w:val="20"/>
                <w:lang w:eastAsia="pt-BR"/>
              </w:rPr>
            </w:pPr>
            <w:r w:rsidRPr="000E3C5B">
              <w:rPr>
                <w:rFonts w:eastAsia="Times New Roman" w:cs="Times New Roman"/>
                <w:color w:val="0000CC"/>
                <w:szCs w:val="20"/>
                <w:lang w:eastAsia="pt-BR"/>
              </w:rPr>
              <w:t>2.1.6.1.6.25.00</w:t>
            </w:r>
          </w:p>
        </w:tc>
        <w:tc>
          <w:tcPr>
            <w:tcW w:w="5663" w:type="dxa"/>
            <w:tcBorders>
              <w:top w:val="single" w:sz="4" w:space="0" w:color="auto"/>
              <w:left w:val="nil"/>
              <w:bottom w:val="single" w:sz="4" w:space="0" w:color="auto"/>
              <w:right w:val="single" w:sz="4" w:space="0" w:color="auto"/>
            </w:tcBorders>
            <w:shd w:val="clear" w:color="000000" w:fill="FFF2CC"/>
            <w:vAlign w:val="center"/>
            <w:hideMark/>
          </w:tcPr>
          <w:p w:rsidR="000E3C5B" w:rsidRPr="000E3C5B" w:rsidRDefault="000E3C5B" w:rsidP="000E3C5B">
            <w:pPr>
              <w:rPr>
                <w:rFonts w:eastAsia="Times New Roman" w:cs="Times New Roman"/>
                <w:color w:val="0000CC"/>
                <w:szCs w:val="20"/>
                <w:lang w:eastAsia="pt-BR"/>
              </w:rPr>
            </w:pPr>
            <w:r w:rsidRPr="000E3C5B">
              <w:rPr>
                <w:rFonts w:eastAsia="Times New Roman" w:cs="Times New Roman"/>
                <w:color w:val="0000CC"/>
                <w:szCs w:val="20"/>
                <w:lang w:eastAsia="pt-BR"/>
              </w:rPr>
              <w:t>HEDGE DE INVESTIMENTO NO EXTERIOR (+/-)</w:t>
            </w:r>
          </w:p>
        </w:tc>
      </w:tr>
      <w:tr w:rsidR="000E3C5B" w:rsidRPr="000E3C5B" w:rsidTr="000E3C5B">
        <w:trPr>
          <w:trHeight w:val="510"/>
        </w:trPr>
        <w:tc>
          <w:tcPr>
            <w:tcW w:w="1420"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rsidR="000E3C5B" w:rsidRPr="000E3C5B" w:rsidRDefault="000E3C5B" w:rsidP="000E3C5B">
            <w:pPr>
              <w:rPr>
                <w:rFonts w:eastAsia="Times New Roman" w:cs="Times New Roman"/>
                <w:color w:val="0000CC"/>
                <w:szCs w:val="20"/>
                <w:lang w:eastAsia="pt-BR"/>
              </w:rPr>
            </w:pPr>
            <w:r w:rsidRPr="000E3C5B">
              <w:rPr>
                <w:rFonts w:eastAsia="Times New Roman" w:cs="Times New Roman"/>
                <w:color w:val="0000CC"/>
                <w:szCs w:val="20"/>
                <w:lang w:eastAsia="pt-BR"/>
              </w:rPr>
              <w:t>2.1.6.1.6.25.10</w:t>
            </w:r>
          </w:p>
        </w:tc>
        <w:tc>
          <w:tcPr>
            <w:tcW w:w="5663" w:type="dxa"/>
            <w:tcBorders>
              <w:top w:val="single" w:sz="4" w:space="0" w:color="auto"/>
              <w:left w:val="nil"/>
              <w:bottom w:val="single" w:sz="4" w:space="0" w:color="auto"/>
              <w:right w:val="single" w:sz="4" w:space="0" w:color="auto"/>
            </w:tcBorders>
            <w:shd w:val="clear" w:color="000000" w:fill="FFF2CC"/>
            <w:vAlign w:val="center"/>
            <w:hideMark/>
          </w:tcPr>
          <w:p w:rsidR="000E3C5B" w:rsidRPr="000E3C5B" w:rsidRDefault="000E3C5B" w:rsidP="000E3C5B">
            <w:pPr>
              <w:rPr>
                <w:rFonts w:eastAsia="Times New Roman" w:cs="Times New Roman"/>
                <w:color w:val="0000CC"/>
                <w:szCs w:val="20"/>
                <w:lang w:eastAsia="pt-BR"/>
              </w:rPr>
            </w:pPr>
            <w:r w:rsidRPr="000E3C5B">
              <w:rPr>
                <w:rFonts w:eastAsia="Times New Roman" w:cs="Times New Roman"/>
                <w:color w:val="0000CC"/>
                <w:szCs w:val="20"/>
                <w:lang w:eastAsia="pt-BR"/>
              </w:rPr>
              <w:t>Próprios - Instrumentos Financeiros Derivativos</w:t>
            </w:r>
          </w:p>
        </w:tc>
      </w:tr>
      <w:tr w:rsidR="000E3C5B" w:rsidRPr="000E3C5B" w:rsidTr="000E3C5B">
        <w:trPr>
          <w:trHeight w:val="510"/>
        </w:trPr>
        <w:tc>
          <w:tcPr>
            <w:tcW w:w="1420"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rsidR="000E3C5B" w:rsidRPr="000E3C5B" w:rsidRDefault="000E3C5B" w:rsidP="000E3C5B">
            <w:pPr>
              <w:rPr>
                <w:rFonts w:eastAsia="Times New Roman" w:cs="Times New Roman"/>
                <w:color w:val="0000CC"/>
                <w:szCs w:val="20"/>
                <w:lang w:eastAsia="pt-BR"/>
              </w:rPr>
            </w:pPr>
            <w:r w:rsidRPr="000E3C5B">
              <w:rPr>
                <w:rFonts w:eastAsia="Times New Roman" w:cs="Times New Roman"/>
                <w:color w:val="0000CC"/>
                <w:szCs w:val="20"/>
                <w:lang w:eastAsia="pt-BR"/>
              </w:rPr>
              <w:t>2.1.6.1.6.25.15</w:t>
            </w:r>
          </w:p>
        </w:tc>
        <w:tc>
          <w:tcPr>
            <w:tcW w:w="5663" w:type="dxa"/>
            <w:tcBorders>
              <w:top w:val="single" w:sz="4" w:space="0" w:color="auto"/>
              <w:left w:val="nil"/>
              <w:bottom w:val="single" w:sz="4" w:space="0" w:color="auto"/>
              <w:right w:val="single" w:sz="4" w:space="0" w:color="auto"/>
            </w:tcBorders>
            <w:shd w:val="clear" w:color="000000" w:fill="FFF2CC"/>
            <w:vAlign w:val="center"/>
            <w:hideMark/>
          </w:tcPr>
          <w:p w:rsidR="000E3C5B" w:rsidRPr="000E3C5B" w:rsidRDefault="000E3C5B" w:rsidP="000E3C5B">
            <w:pPr>
              <w:rPr>
                <w:rFonts w:eastAsia="Times New Roman" w:cs="Times New Roman"/>
                <w:color w:val="0000CC"/>
                <w:szCs w:val="20"/>
                <w:lang w:eastAsia="pt-BR"/>
              </w:rPr>
            </w:pPr>
            <w:r w:rsidRPr="000E3C5B">
              <w:rPr>
                <w:rFonts w:eastAsia="Times New Roman" w:cs="Times New Roman"/>
                <w:color w:val="0000CC"/>
                <w:szCs w:val="20"/>
                <w:lang w:eastAsia="pt-BR"/>
              </w:rPr>
              <w:t>Próprios - Instrumentos Financeiros Não Derivativos</w:t>
            </w:r>
          </w:p>
        </w:tc>
      </w:tr>
      <w:tr w:rsidR="000E3C5B" w:rsidRPr="000E3C5B" w:rsidTr="000E3C5B">
        <w:trPr>
          <w:trHeight w:val="510"/>
        </w:trPr>
        <w:tc>
          <w:tcPr>
            <w:tcW w:w="1420"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rsidR="000E3C5B" w:rsidRPr="000E3C5B" w:rsidRDefault="000E3C5B" w:rsidP="000E3C5B">
            <w:pPr>
              <w:rPr>
                <w:rFonts w:eastAsia="Times New Roman" w:cs="Times New Roman"/>
                <w:color w:val="0000CC"/>
                <w:szCs w:val="20"/>
                <w:lang w:eastAsia="pt-BR"/>
              </w:rPr>
            </w:pPr>
            <w:r w:rsidRPr="000E3C5B">
              <w:rPr>
                <w:rFonts w:eastAsia="Times New Roman" w:cs="Times New Roman"/>
                <w:color w:val="0000CC"/>
                <w:szCs w:val="20"/>
                <w:lang w:eastAsia="pt-BR"/>
              </w:rPr>
              <w:t>2.1.6.1.6.25.20</w:t>
            </w:r>
          </w:p>
        </w:tc>
        <w:tc>
          <w:tcPr>
            <w:tcW w:w="5663" w:type="dxa"/>
            <w:tcBorders>
              <w:top w:val="single" w:sz="4" w:space="0" w:color="auto"/>
              <w:left w:val="nil"/>
              <w:bottom w:val="single" w:sz="4" w:space="0" w:color="auto"/>
              <w:right w:val="single" w:sz="4" w:space="0" w:color="auto"/>
            </w:tcBorders>
            <w:shd w:val="clear" w:color="000000" w:fill="FFF2CC"/>
            <w:vAlign w:val="center"/>
            <w:hideMark/>
          </w:tcPr>
          <w:p w:rsidR="000E3C5B" w:rsidRPr="000E3C5B" w:rsidRDefault="000E3C5B" w:rsidP="000E3C5B">
            <w:pPr>
              <w:rPr>
                <w:rFonts w:eastAsia="Times New Roman" w:cs="Times New Roman"/>
                <w:color w:val="0000CC"/>
                <w:szCs w:val="20"/>
                <w:lang w:eastAsia="pt-BR"/>
              </w:rPr>
            </w:pPr>
            <w:r w:rsidRPr="000E3C5B">
              <w:rPr>
                <w:rFonts w:eastAsia="Times New Roman" w:cs="Times New Roman"/>
                <w:color w:val="0000CC"/>
                <w:szCs w:val="20"/>
                <w:lang w:eastAsia="pt-BR"/>
              </w:rPr>
              <w:t>De Coligadas e Controladas - Instrumentos Financeiros Derivativos</w:t>
            </w:r>
          </w:p>
        </w:tc>
      </w:tr>
      <w:tr w:rsidR="000E3C5B" w:rsidRPr="000E3C5B" w:rsidTr="000E3C5B">
        <w:trPr>
          <w:trHeight w:val="510"/>
        </w:trPr>
        <w:tc>
          <w:tcPr>
            <w:tcW w:w="1420"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rsidR="000E3C5B" w:rsidRPr="000E3C5B" w:rsidRDefault="000E3C5B" w:rsidP="000E3C5B">
            <w:pPr>
              <w:rPr>
                <w:rFonts w:eastAsia="Times New Roman" w:cs="Times New Roman"/>
                <w:color w:val="0000CC"/>
                <w:szCs w:val="20"/>
                <w:lang w:eastAsia="pt-BR"/>
              </w:rPr>
            </w:pPr>
            <w:r w:rsidRPr="000E3C5B">
              <w:rPr>
                <w:rFonts w:eastAsia="Times New Roman" w:cs="Times New Roman"/>
                <w:color w:val="0000CC"/>
                <w:szCs w:val="20"/>
                <w:lang w:eastAsia="pt-BR"/>
              </w:rPr>
              <w:t>2.1.6.1.6.25.25</w:t>
            </w:r>
          </w:p>
        </w:tc>
        <w:tc>
          <w:tcPr>
            <w:tcW w:w="5663" w:type="dxa"/>
            <w:tcBorders>
              <w:top w:val="single" w:sz="4" w:space="0" w:color="auto"/>
              <w:left w:val="nil"/>
              <w:bottom w:val="single" w:sz="4" w:space="0" w:color="auto"/>
              <w:right w:val="single" w:sz="4" w:space="0" w:color="auto"/>
            </w:tcBorders>
            <w:shd w:val="clear" w:color="000000" w:fill="FFF2CC"/>
            <w:vAlign w:val="center"/>
            <w:hideMark/>
          </w:tcPr>
          <w:p w:rsidR="000E3C5B" w:rsidRPr="000E3C5B" w:rsidRDefault="000E3C5B" w:rsidP="000E3C5B">
            <w:pPr>
              <w:rPr>
                <w:rFonts w:eastAsia="Times New Roman" w:cs="Times New Roman"/>
                <w:color w:val="0000CC"/>
                <w:szCs w:val="20"/>
                <w:lang w:eastAsia="pt-BR"/>
              </w:rPr>
            </w:pPr>
            <w:r w:rsidRPr="000E3C5B">
              <w:rPr>
                <w:rFonts w:eastAsia="Times New Roman" w:cs="Times New Roman"/>
                <w:color w:val="0000CC"/>
                <w:szCs w:val="20"/>
                <w:lang w:eastAsia="pt-BR"/>
              </w:rPr>
              <w:t>De Coligadas e Controladas - Instrumentos Financeiros Não Derivativos</w:t>
            </w:r>
          </w:p>
        </w:tc>
      </w:tr>
      <w:tr w:rsidR="003A0251" w:rsidRPr="003A0251" w:rsidTr="003A0251">
        <w:trPr>
          <w:trHeight w:val="510"/>
        </w:trPr>
        <w:tc>
          <w:tcPr>
            <w:tcW w:w="1420"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rsidR="003A0251" w:rsidRPr="003A0251" w:rsidRDefault="003A0251" w:rsidP="003A0251">
            <w:pPr>
              <w:rPr>
                <w:rFonts w:eastAsia="Times New Roman" w:cs="Times New Roman"/>
                <w:color w:val="0000CC"/>
                <w:szCs w:val="20"/>
                <w:lang w:eastAsia="pt-BR"/>
              </w:rPr>
            </w:pPr>
            <w:r w:rsidRPr="003A0251">
              <w:rPr>
                <w:rFonts w:eastAsia="Times New Roman" w:cs="Times New Roman"/>
                <w:color w:val="0000CC"/>
                <w:szCs w:val="20"/>
                <w:lang w:eastAsia="pt-BR"/>
              </w:rPr>
              <w:t>2.1.6.1.6.50.00</w:t>
            </w:r>
          </w:p>
        </w:tc>
        <w:tc>
          <w:tcPr>
            <w:tcW w:w="5663" w:type="dxa"/>
            <w:tcBorders>
              <w:top w:val="single" w:sz="4" w:space="0" w:color="auto"/>
              <w:left w:val="nil"/>
              <w:bottom w:val="single" w:sz="4" w:space="0" w:color="auto"/>
              <w:right w:val="single" w:sz="4" w:space="0" w:color="auto"/>
            </w:tcBorders>
            <w:shd w:val="clear" w:color="000000" w:fill="FFF2CC"/>
            <w:vAlign w:val="center"/>
            <w:hideMark/>
          </w:tcPr>
          <w:p w:rsidR="003A0251" w:rsidRPr="003A0251" w:rsidRDefault="003A0251" w:rsidP="003A0251">
            <w:pPr>
              <w:rPr>
                <w:rFonts w:eastAsia="Times New Roman" w:cs="Times New Roman"/>
                <w:color w:val="0000CC"/>
                <w:szCs w:val="20"/>
                <w:lang w:eastAsia="pt-BR"/>
              </w:rPr>
            </w:pPr>
            <w:r w:rsidRPr="003A0251">
              <w:rPr>
                <w:rFonts w:eastAsia="Times New Roman" w:cs="Times New Roman"/>
                <w:color w:val="0000CC"/>
                <w:szCs w:val="20"/>
                <w:lang w:eastAsia="pt-BR"/>
              </w:rPr>
              <w:t>AJUSTES DE VARIAÇÃO CAMBIAL DE INVESTIMENTO NO EXTERIOR (+/-)</w:t>
            </w:r>
          </w:p>
        </w:tc>
      </w:tr>
      <w:tr w:rsidR="003A0251" w:rsidRPr="003A0251" w:rsidTr="003A0251">
        <w:trPr>
          <w:trHeight w:val="510"/>
        </w:trPr>
        <w:tc>
          <w:tcPr>
            <w:tcW w:w="1420"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rsidR="003A0251" w:rsidRPr="003A0251" w:rsidRDefault="003A0251" w:rsidP="003A0251">
            <w:pPr>
              <w:rPr>
                <w:rFonts w:eastAsia="Times New Roman" w:cs="Times New Roman"/>
                <w:color w:val="0000CC"/>
                <w:szCs w:val="20"/>
                <w:lang w:eastAsia="pt-BR"/>
              </w:rPr>
            </w:pPr>
            <w:r w:rsidRPr="003A0251">
              <w:rPr>
                <w:rFonts w:eastAsia="Times New Roman" w:cs="Times New Roman"/>
                <w:color w:val="0000CC"/>
                <w:szCs w:val="20"/>
                <w:lang w:eastAsia="pt-BR"/>
              </w:rPr>
              <w:t>2.1.4.1.9.30.00</w:t>
            </w:r>
          </w:p>
        </w:tc>
        <w:tc>
          <w:tcPr>
            <w:tcW w:w="5663" w:type="dxa"/>
            <w:tcBorders>
              <w:top w:val="single" w:sz="4" w:space="0" w:color="auto"/>
              <w:left w:val="nil"/>
              <w:bottom w:val="single" w:sz="4" w:space="0" w:color="auto"/>
              <w:right w:val="single" w:sz="4" w:space="0" w:color="auto"/>
            </w:tcBorders>
            <w:shd w:val="clear" w:color="000000" w:fill="FFF2CC"/>
            <w:vAlign w:val="center"/>
            <w:hideMark/>
          </w:tcPr>
          <w:p w:rsidR="003A0251" w:rsidRPr="003A0251" w:rsidRDefault="003A0251" w:rsidP="003A0251">
            <w:pPr>
              <w:rPr>
                <w:rFonts w:eastAsia="Times New Roman" w:cs="Times New Roman"/>
                <w:color w:val="0000CC"/>
                <w:szCs w:val="20"/>
                <w:lang w:eastAsia="pt-BR"/>
              </w:rPr>
            </w:pPr>
            <w:r w:rsidRPr="003A0251">
              <w:rPr>
                <w:rFonts w:eastAsia="Times New Roman" w:cs="Times New Roman"/>
                <w:color w:val="0000CC"/>
                <w:szCs w:val="20"/>
                <w:lang w:eastAsia="pt-BR"/>
              </w:rPr>
              <w:t>CONTA DE PAGAMENTO PRÉ-PAGA</w:t>
            </w:r>
          </w:p>
        </w:tc>
      </w:tr>
      <w:tr w:rsidR="003A0251" w:rsidRPr="003A0251" w:rsidTr="003A0251">
        <w:trPr>
          <w:trHeight w:val="510"/>
        </w:trPr>
        <w:tc>
          <w:tcPr>
            <w:tcW w:w="1420"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rsidR="003A0251" w:rsidRPr="003A0251" w:rsidRDefault="003A0251" w:rsidP="003A0251">
            <w:pPr>
              <w:rPr>
                <w:rFonts w:eastAsia="Times New Roman" w:cs="Times New Roman"/>
                <w:color w:val="0000CC"/>
                <w:szCs w:val="20"/>
                <w:lang w:eastAsia="pt-BR"/>
              </w:rPr>
            </w:pPr>
            <w:r w:rsidRPr="003A0251">
              <w:rPr>
                <w:rFonts w:eastAsia="Times New Roman" w:cs="Times New Roman"/>
                <w:color w:val="0000CC"/>
                <w:szCs w:val="20"/>
                <w:lang w:eastAsia="pt-BR"/>
              </w:rPr>
              <w:t>2.1.4.1.9.30.10</w:t>
            </w:r>
          </w:p>
        </w:tc>
        <w:tc>
          <w:tcPr>
            <w:tcW w:w="5663" w:type="dxa"/>
            <w:tcBorders>
              <w:top w:val="single" w:sz="4" w:space="0" w:color="auto"/>
              <w:left w:val="nil"/>
              <w:bottom w:val="single" w:sz="4" w:space="0" w:color="auto"/>
              <w:right w:val="single" w:sz="4" w:space="0" w:color="auto"/>
            </w:tcBorders>
            <w:shd w:val="clear" w:color="000000" w:fill="FFF2CC"/>
            <w:vAlign w:val="center"/>
            <w:hideMark/>
          </w:tcPr>
          <w:p w:rsidR="003A0251" w:rsidRPr="003A0251" w:rsidRDefault="003A0251" w:rsidP="003A0251">
            <w:pPr>
              <w:rPr>
                <w:rFonts w:eastAsia="Times New Roman" w:cs="Times New Roman"/>
                <w:color w:val="0000CC"/>
                <w:szCs w:val="20"/>
                <w:lang w:eastAsia="pt-BR"/>
              </w:rPr>
            </w:pPr>
            <w:r w:rsidRPr="003A0251">
              <w:rPr>
                <w:rFonts w:eastAsia="Times New Roman" w:cs="Times New Roman"/>
                <w:color w:val="0000CC"/>
                <w:szCs w:val="20"/>
                <w:lang w:eastAsia="pt-BR"/>
              </w:rPr>
              <w:t>Saldos de Livre Movimentação</w:t>
            </w:r>
          </w:p>
        </w:tc>
      </w:tr>
      <w:tr w:rsidR="00DF4A70" w:rsidRPr="00DF4A70" w:rsidTr="00DF4A70">
        <w:trPr>
          <w:trHeight w:val="510"/>
        </w:trPr>
        <w:tc>
          <w:tcPr>
            <w:tcW w:w="1420"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rsidR="00DF4A70" w:rsidRPr="00DF4A70" w:rsidRDefault="00DF4A70" w:rsidP="00DF4A70">
            <w:pPr>
              <w:rPr>
                <w:rFonts w:eastAsia="Times New Roman" w:cs="Times New Roman"/>
                <w:color w:val="0000CC"/>
                <w:szCs w:val="20"/>
                <w:lang w:eastAsia="pt-BR"/>
              </w:rPr>
            </w:pPr>
            <w:r w:rsidRPr="00DF4A70">
              <w:rPr>
                <w:rFonts w:eastAsia="Times New Roman" w:cs="Times New Roman"/>
                <w:color w:val="0000CC"/>
                <w:szCs w:val="20"/>
                <w:lang w:eastAsia="pt-BR"/>
              </w:rPr>
              <w:lastRenderedPageBreak/>
              <w:t>2.1.6.1.3.40.00</w:t>
            </w:r>
          </w:p>
        </w:tc>
        <w:tc>
          <w:tcPr>
            <w:tcW w:w="5663" w:type="dxa"/>
            <w:tcBorders>
              <w:top w:val="single" w:sz="4" w:space="0" w:color="auto"/>
              <w:left w:val="nil"/>
              <w:bottom w:val="single" w:sz="4" w:space="0" w:color="auto"/>
              <w:right w:val="single" w:sz="4" w:space="0" w:color="auto"/>
            </w:tcBorders>
            <w:shd w:val="clear" w:color="000000" w:fill="FFF2CC"/>
            <w:vAlign w:val="center"/>
            <w:hideMark/>
          </w:tcPr>
          <w:p w:rsidR="00DF4A70" w:rsidRPr="00DF4A70" w:rsidRDefault="00DF4A70" w:rsidP="00DF4A70">
            <w:pPr>
              <w:rPr>
                <w:rFonts w:eastAsia="Times New Roman" w:cs="Times New Roman"/>
                <w:color w:val="0000CC"/>
                <w:szCs w:val="20"/>
                <w:lang w:eastAsia="pt-BR"/>
              </w:rPr>
            </w:pPr>
            <w:r w:rsidRPr="00DF4A70">
              <w:rPr>
                <w:rFonts w:eastAsia="Times New Roman" w:cs="Times New Roman"/>
                <w:color w:val="0000CC"/>
                <w:szCs w:val="20"/>
                <w:lang w:eastAsia="pt-BR"/>
              </w:rPr>
              <w:t>RESERVA DE PAGAMENTOS BASEADOS EM INSTRUMENTOS DE CAPITAL</w:t>
            </w:r>
          </w:p>
        </w:tc>
      </w:tr>
      <w:tr w:rsidR="00DF4A70" w:rsidRPr="00DF4A70" w:rsidTr="00DF4A70">
        <w:trPr>
          <w:trHeight w:val="510"/>
        </w:trPr>
        <w:tc>
          <w:tcPr>
            <w:tcW w:w="1420"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rsidR="00DF4A70" w:rsidRPr="00DF4A70" w:rsidRDefault="00DF4A70" w:rsidP="00DF4A70">
            <w:pPr>
              <w:rPr>
                <w:rFonts w:eastAsia="Times New Roman" w:cs="Times New Roman"/>
                <w:color w:val="0000CC"/>
                <w:szCs w:val="20"/>
                <w:lang w:eastAsia="pt-BR"/>
              </w:rPr>
            </w:pPr>
            <w:r w:rsidRPr="00DF4A70">
              <w:rPr>
                <w:rFonts w:eastAsia="Times New Roman" w:cs="Times New Roman"/>
                <w:color w:val="0000CC"/>
                <w:szCs w:val="20"/>
                <w:lang w:eastAsia="pt-BR"/>
              </w:rPr>
              <w:t>2.1.6.1.3.40.10</w:t>
            </w:r>
          </w:p>
        </w:tc>
        <w:tc>
          <w:tcPr>
            <w:tcW w:w="5663" w:type="dxa"/>
            <w:tcBorders>
              <w:top w:val="single" w:sz="4" w:space="0" w:color="auto"/>
              <w:left w:val="nil"/>
              <w:bottom w:val="single" w:sz="4" w:space="0" w:color="auto"/>
              <w:right w:val="single" w:sz="4" w:space="0" w:color="auto"/>
            </w:tcBorders>
            <w:shd w:val="clear" w:color="000000" w:fill="FFF2CC"/>
            <w:vAlign w:val="center"/>
            <w:hideMark/>
          </w:tcPr>
          <w:p w:rsidR="00DF4A70" w:rsidRPr="00DF4A70" w:rsidRDefault="00DF4A70" w:rsidP="00DF4A70">
            <w:pPr>
              <w:rPr>
                <w:rFonts w:eastAsia="Times New Roman" w:cs="Times New Roman"/>
                <w:color w:val="0000CC"/>
                <w:szCs w:val="20"/>
                <w:lang w:eastAsia="pt-BR"/>
              </w:rPr>
            </w:pPr>
            <w:r w:rsidRPr="00DF4A70">
              <w:rPr>
                <w:rFonts w:eastAsia="Times New Roman" w:cs="Times New Roman"/>
                <w:color w:val="0000CC"/>
                <w:szCs w:val="20"/>
                <w:lang w:eastAsia="pt-BR"/>
              </w:rPr>
              <w:t>PRÓPRIOS</w:t>
            </w:r>
          </w:p>
        </w:tc>
      </w:tr>
      <w:tr w:rsidR="00DF4A70" w:rsidRPr="00DF4A70" w:rsidTr="00DF4A70">
        <w:trPr>
          <w:trHeight w:val="510"/>
        </w:trPr>
        <w:tc>
          <w:tcPr>
            <w:tcW w:w="1420"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rsidR="00DF4A70" w:rsidRPr="00DF4A70" w:rsidRDefault="00DF4A70" w:rsidP="00DF4A70">
            <w:pPr>
              <w:rPr>
                <w:rFonts w:eastAsia="Times New Roman" w:cs="Times New Roman"/>
                <w:color w:val="0000CC"/>
                <w:szCs w:val="20"/>
                <w:lang w:eastAsia="pt-BR"/>
              </w:rPr>
            </w:pPr>
            <w:r w:rsidRPr="00DF4A70">
              <w:rPr>
                <w:rFonts w:eastAsia="Times New Roman" w:cs="Times New Roman"/>
                <w:color w:val="0000CC"/>
                <w:szCs w:val="20"/>
                <w:lang w:eastAsia="pt-BR"/>
              </w:rPr>
              <w:t>2.1.6.1.3.40.20</w:t>
            </w:r>
          </w:p>
        </w:tc>
        <w:tc>
          <w:tcPr>
            <w:tcW w:w="5663" w:type="dxa"/>
            <w:tcBorders>
              <w:top w:val="single" w:sz="4" w:space="0" w:color="auto"/>
              <w:left w:val="nil"/>
              <w:bottom w:val="single" w:sz="4" w:space="0" w:color="auto"/>
              <w:right w:val="single" w:sz="4" w:space="0" w:color="auto"/>
            </w:tcBorders>
            <w:shd w:val="clear" w:color="000000" w:fill="FFF2CC"/>
            <w:vAlign w:val="center"/>
            <w:hideMark/>
          </w:tcPr>
          <w:p w:rsidR="00DF4A70" w:rsidRPr="00DF4A70" w:rsidRDefault="00DF4A70" w:rsidP="00DF4A70">
            <w:pPr>
              <w:rPr>
                <w:rFonts w:eastAsia="Times New Roman" w:cs="Times New Roman"/>
                <w:color w:val="0000CC"/>
                <w:szCs w:val="20"/>
                <w:lang w:eastAsia="pt-BR"/>
              </w:rPr>
            </w:pPr>
            <w:r w:rsidRPr="00DF4A70">
              <w:rPr>
                <w:rFonts w:eastAsia="Times New Roman" w:cs="Times New Roman"/>
                <w:color w:val="0000CC"/>
                <w:szCs w:val="20"/>
                <w:lang w:eastAsia="pt-BR"/>
              </w:rPr>
              <w:t>DE LIGADAS</w:t>
            </w:r>
          </w:p>
        </w:tc>
      </w:tr>
    </w:tbl>
    <w:p w:rsidR="000E3C5B" w:rsidRDefault="000E3C5B" w:rsidP="00391278">
      <w:pPr>
        <w:rPr>
          <w:lang w:eastAsia="ar-SA"/>
        </w:rPr>
      </w:pPr>
    </w:p>
    <w:p w:rsidR="00F0386C" w:rsidRDefault="003E68F2" w:rsidP="003E68F2">
      <w:pPr>
        <w:pStyle w:val="Ttulo3"/>
      </w:pPr>
      <w:bookmarkStart w:id="467" w:name="_Toc479713856"/>
      <w:r w:rsidRPr="003E68F2">
        <w:rPr>
          <w:color w:val="auto"/>
          <w:u w:val="single"/>
        </w:rPr>
        <w:t>Alteração no item:</w:t>
      </w:r>
      <w:r w:rsidR="00D95E2A" w:rsidRPr="00D95E2A">
        <w:rPr>
          <w:color w:val="auto"/>
        </w:rPr>
        <w:t xml:space="preserve"> </w:t>
      </w:r>
      <w:r w:rsidR="00F0386C" w:rsidRPr="00FA3856">
        <w:t>Registro L300: Demonstração do Resultado Líquido no Período Fiscal</w:t>
      </w:r>
      <w:r w:rsidR="00F0386C">
        <w:t xml:space="preserve">: </w:t>
      </w:r>
      <w:r w:rsidR="009F59E4">
        <w:t>Atualização de texto, a</w:t>
      </w:r>
      <w:r w:rsidR="00DF4A70">
        <w:t>lteração de orientações e i</w:t>
      </w:r>
      <w:r w:rsidR="00F0386C">
        <w:t>nclusão de conta</w:t>
      </w:r>
      <w:r w:rsidR="00DF4A70">
        <w:t>s</w:t>
      </w:r>
      <w:r w:rsidR="00F0386C">
        <w:t xml:space="preserve"> no L300A</w:t>
      </w:r>
      <w:bookmarkEnd w:id="467"/>
    </w:p>
    <w:p w:rsidR="009F59E4" w:rsidRDefault="009F59E4" w:rsidP="009F59E4"/>
    <w:p w:rsidR="009F59E4" w:rsidRPr="009F59E4" w:rsidRDefault="009F59E4" w:rsidP="009F59E4">
      <w:r w:rsidRPr="00FA3856">
        <w:rPr>
          <w:szCs w:val="20"/>
        </w:rPr>
        <w:t xml:space="preserve">Apresenta o demonstrativo do resultado do exercício para o período de apuração. </w:t>
      </w:r>
      <w:r>
        <w:rPr>
          <w:b/>
          <w:szCs w:val="20"/>
          <w:highlight w:val="yellow"/>
          <w:lang w:val="pt-PT"/>
        </w:rPr>
        <w:t>Os saldos finais do registro L3</w:t>
      </w:r>
      <w:r w:rsidRPr="009F59E4">
        <w:rPr>
          <w:b/>
          <w:szCs w:val="20"/>
          <w:highlight w:val="yellow"/>
          <w:lang w:val="pt-PT"/>
        </w:rPr>
        <w:t>00 não são editáveis.</w:t>
      </w:r>
    </w:p>
    <w:p w:rsidR="00F0386C" w:rsidRDefault="00F0386C" w:rsidP="00391278">
      <w:pPr>
        <w:rPr>
          <w:lang w:eastAsia="ar-SA"/>
        </w:rPr>
      </w:pPr>
    </w:p>
    <w:tbl>
      <w:tblPr>
        <w:tblW w:w="6516" w:type="dxa"/>
        <w:tblCellMar>
          <w:left w:w="70" w:type="dxa"/>
          <w:right w:w="70" w:type="dxa"/>
        </w:tblCellMar>
        <w:tblLook w:val="04A0" w:firstRow="1" w:lastRow="0" w:firstColumn="1" w:lastColumn="0" w:noHBand="0" w:noVBand="1"/>
      </w:tblPr>
      <w:tblGrid>
        <w:gridCol w:w="1490"/>
        <w:gridCol w:w="5026"/>
      </w:tblGrid>
      <w:tr w:rsidR="00F0386C" w:rsidRPr="00F0386C" w:rsidTr="00F0386C">
        <w:trPr>
          <w:trHeight w:val="748"/>
        </w:trPr>
        <w:tc>
          <w:tcPr>
            <w:tcW w:w="14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0386C" w:rsidRPr="00F0386C" w:rsidRDefault="00F0386C" w:rsidP="00F0386C">
            <w:pPr>
              <w:rPr>
                <w:rFonts w:eastAsia="Times New Roman" w:cs="Times New Roman"/>
                <w:color w:val="0000CC"/>
                <w:szCs w:val="20"/>
                <w:lang w:eastAsia="pt-BR"/>
              </w:rPr>
            </w:pPr>
            <w:r w:rsidRPr="00F0386C">
              <w:rPr>
                <w:rFonts w:eastAsia="Times New Roman" w:cs="Times New Roman"/>
                <w:color w:val="0000CC"/>
                <w:szCs w:val="20"/>
                <w:lang w:eastAsia="pt-BR"/>
              </w:rPr>
              <w:t>3.11.01.05.01.47</w:t>
            </w:r>
          </w:p>
        </w:tc>
        <w:tc>
          <w:tcPr>
            <w:tcW w:w="5026" w:type="dxa"/>
            <w:tcBorders>
              <w:top w:val="single" w:sz="4" w:space="0" w:color="auto"/>
              <w:left w:val="nil"/>
              <w:bottom w:val="single" w:sz="4" w:space="0" w:color="auto"/>
              <w:right w:val="single" w:sz="4" w:space="0" w:color="auto"/>
            </w:tcBorders>
            <w:shd w:val="clear" w:color="000000" w:fill="FFFFFF"/>
            <w:vAlign w:val="center"/>
            <w:hideMark/>
          </w:tcPr>
          <w:p w:rsidR="00F0386C" w:rsidRPr="00F0386C" w:rsidRDefault="00F0386C" w:rsidP="00F0386C">
            <w:pPr>
              <w:rPr>
                <w:rFonts w:eastAsia="Times New Roman" w:cs="Times New Roman"/>
                <w:color w:val="0000CC"/>
                <w:szCs w:val="20"/>
                <w:lang w:eastAsia="pt-BR"/>
              </w:rPr>
            </w:pPr>
            <w:r w:rsidRPr="00F0386C">
              <w:rPr>
                <w:rFonts w:eastAsia="Times New Roman" w:cs="Times New Roman"/>
                <w:color w:val="0000CC"/>
                <w:szCs w:val="20"/>
                <w:lang w:eastAsia="pt-BR"/>
              </w:rPr>
              <w:t>Doações e Subvenções para Investimentos</w:t>
            </w:r>
          </w:p>
        </w:tc>
      </w:tr>
    </w:tbl>
    <w:p w:rsidR="003E68F2" w:rsidRDefault="003E68F2" w:rsidP="00391278">
      <w:pPr>
        <w:rPr>
          <w:lang w:eastAsia="ar-SA"/>
        </w:rPr>
      </w:pPr>
    </w:p>
    <w:p w:rsidR="00DF4A70" w:rsidRDefault="00DF4A70" w:rsidP="00391278">
      <w:pPr>
        <w:rPr>
          <w:lang w:eastAsia="ar-SA"/>
        </w:rPr>
      </w:pPr>
    </w:p>
    <w:tbl>
      <w:tblPr>
        <w:tblW w:w="16311" w:type="dxa"/>
        <w:tblCellMar>
          <w:left w:w="70" w:type="dxa"/>
          <w:right w:w="70" w:type="dxa"/>
        </w:tblCellMar>
        <w:tblLook w:val="04A0" w:firstRow="1" w:lastRow="0" w:firstColumn="1" w:lastColumn="0" w:noHBand="0" w:noVBand="1"/>
      </w:tblPr>
      <w:tblGrid>
        <w:gridCol w:w="1490"/>
        <w:gridCol w:w="3379"/>
        <w:gridCol w:w="934"/>
        <w:gridCol w:w="1359"/>
        <w:gridCol w:w="933"/>
        <w:gridCol w:w="1151"/>
        <w:gridCol w:w="7065"/>
      </w:tblGrid>
      <w:tr w:rsidR="001B510A" w:rsidRPr="00DF4A70" w:rsidTr="001B510A">
        <w:trPr>
          <w:trHeight w:val="1530"/>
        </w:trPr>
        <w:tc>
          <w:tcPr>
            <w:tcW w:w="14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510A" w:rsidRPr="00DF4A70" w:rsidRDefault="001B510A" w:rsidP="00DF4A70">
            <w:pPr>
              <w:rPr>
                <w:rFonts w:eastAsia="Times New Roman" w:cs="Times New Roman"/>
                <w:color w:val="0000CC"/>
                <w:szCs w:val="20"/>
                <w:lang w:eastAsia="pt-BR"/>
              </w:rPr>
            </w:pPr>
            <w:r w:rsidRPr="00DF4A70">
              <w:rPr>
                <w:rFonts w:eastAsia="Times New Roman" w:cs="Times New Roman"/>
                <w:color w:val="0000CC"/>
                <w:szCs w:val="20"/>
                <w:lang w:eastAsia="pt-BR"/>
              </w:rPr>
              <w:t>3.02.01.01.01.01</w:t>
            </w:r>
          </w:p>
        </w:tc>
        <w:tc>
          <w:tcPr>
            <w:tcW w:w="3379" w:type="dxa"/>
            <w:tcBorders>
              <w:top w:val="single" w:sz="4" w:space="0" w:color="auto"/>
              <w:left w:val="nil"/>
              <w:bottom w:val="single" w:sz="4" w:space="0" w:color="auto"/>
              <w:right w:val="single" w:sz="4" w:space="0" w:color="auto"/>
            </w:tcBorders>
            <w:shd w:val="clear" w:color="000000" w:fill="FFFFFF"/>
            <w:vAlign w:val="center"/>
            <w:hideMark/>
          </w:tcPr>
          <w:p w:rsidR="001B510A" w:rsidRPr="00DF4A70" w:rsidRDefault="001B510A" w:rsidP="00DF4A70">
            <w:pPr>
              <w:rPr>
                <w:rFonts w:eastAsia="Times New Roman" w:cs="Times New Roman"/>
                <w:color w:val="0000CC"/>
                <w:szCs w:val="20"/>
                <w:lang w:eastAsia="pt-BR"/>
              </w:rPr>
            </w:pPr>
            <w:r w:rsidRPr="00DF4A70">
              <w:rPr>
                <w:rFonts w:eastAsia="Times New Roman" w:cs="Times New Roman"/>
                <w:color w:val="0000CC"/>
                <w:szCs w:val="20"/>
                <w:lang w:eastAsia="pt-BR"/>
              </w:rPr>
              <w:t>(-) Provisão para Contribuição Social sobre o Lucro Líquido (Atividade Geral)</w:t>
            </w:r>
          </w:p>
        </w:tc>
        <w:tc>
          <w:tcPr>
            <w:tcW w:w="934" w:type="dxa"/>
            <w:tcBorders>
              <w:top w:val="single" w:sz="4" w:space="0" w:color="auto"/>
              <w:left w:val="nil"/>
              <w:bottom w:val="single" w:sz="4" w:space="0" w:color="auto"/>
              <w:right w:val="single" w:sz="4" w:space="0" w:color="auto"/>
            </w:tcBorders>
            <w:shd w:val="clear" w:color="000000" w:fill="FFFFFF"/>
            <w:vAlign w:val="center"/>
            <w:hideMark/>
          </w:tcPr>
          <w:p w:rsidR="001B510A" w:rsidRPr="00DF4A70" w:rsidRDefault="001B510A" w:rsidP="00DF4A70">
            <w:pPr>
              <w:jc w:val="center"/>
              <w:rPr>
                <w:rFonts w:eastAsia="Times New Roman" w:cs="Times New Roman"/>
                <w:color w:val="0000CC"/>
                <w:szCs w:val="20"/>
                <w:lang w:eastAsia="pt-BR"/>
              </w:rPr>
            </w:pPr>
            <w:r w:rsidRPr="00DF4A70">
              <w:rPr>
                <w:rFonts w:eastAsia="Times New Roman" w:cs="Times New Roman"/>
                <w:color w:val="0000CC"/>
                <w:szCs w:val="20"/>
                <w:lang w:eastAsia="pt-BR"/>
              </w:rPr>
              <w:t>A</w:t>
            </w:r>
          </w:p>
        </w:tc>
        <w:tc>
          <w:tcPr>
            <w:tcW w:w="1359" w:type="dxa"/>
            <w:tcBorders>
              <w:top w:val="single" w:sz="4" w:space="0" w:color="auto"/>
              <w:left w:val="nil"/>
              <w:bottom w:val="single" w:sz="4" w:space="0" w:color="auto"/>
              <w:right w:val="single" w:sz="4" w:space="0" w:color="auto"/>
            </w:tcBorders>
            <w:shd w:val="clear" w:color="000000" w:fill="FFFFFF"/>
            <w:vAlign w:val="center"/>
            <w:hideMark/>
          </w:tcPr>
          <w:p w:rsidR="001B510A" w:rsidRPr="00DF4A70" w:rsidRDefault="001B510A" w:rsidP="00DF4A70">
            <w:pPr>
              <w:rPr>
                <w:rFonts w:eastAsia="Times New Roman" w:cs="Times New Roman"/>
                <w:color w:val="0000CC"/>
                <w:szCs w:val="20"/>
                <w:lang w:eastAsia="pt-BR"/>
              </w:rPr>
            </w:pPr>
            <w:r w:rsidRPr="00DF4A70">
              <w:rPr>
                <w:rFonts w:eastAsia="Times New Roman" w:cs="Times New Roman"/>
                <w:color w:val="0000CC"/>
                <w:szCs w:val="20"/>
                <w:lang w:eastAsia="pt-BR"/>
              </w:rPr>
              <w:t>3.02.01.01.01</w:t>
            </w:r>
          </w:p>
        </w:tc>
        <w:tc>
          <w:tcPr>
            <w:tcW w:w="933" w:type="dxa"/>
            <w:tcBorders>
              <w:top w:val="single" w:sz="4" w:space="0" w:color="auto"/>
              <w:left w:val="nil"/>
              <w:bottom w:val="single" w:sz="4" w:space="0" w:color="auto"/>
              <w:right w:val="single" w:sz="4" w:space="0" w:color="auto"/>
            </w:tcBorders>
            <w:shd w:val="clear" w:color="000000" w:fill="FFFFFF"/>
            <w:vAlign w:val="center"/>
            <w:hideMark/>
          </w:tcPr>
          <w:p w:rsidR="001B510A" w:rsidRPr="00DF4A70" w:rsidRDefault="001B510A" w:rsidP="00DF4A70">
            <w:pPr>
              <w:jc w:val="center"/>
              <w:rPr>
                <w:rFonts w:eastAsia="Times New Roman" w:cs="Times New Roman"/>
                <w:color w:val="0000CC"/>
                <w:szCs w:val="20"/>
                <w:lang w:eastAsia="pt-BR"/>
              </w:rPr>
            </w:pPr>
            <w:r w:rsidRPr="00DF4A70">
              <w:rPr>
                <w:rFonts w:eastAsia="Times New Roman" w:cs="Times New Roman"/>
                <w:color w:val="0000CC"/>
                <w:szCs w:val="20"/>
                <w:lang w:eastAsia="pt-BR"/>
              </w:rPr>
              <w:t>6</w:t>
            </w:r>
          </w:p>
        </w:tc>
        <w:tc>
          <w:tcPr>
            <w:tcW w:w="1151" w:type="dxa"/>
            <w:tcBorders>
              <w:top w:val="single" w:sz="4" w:space="0" w:color="auto"/>
              <w:left w:val="nil"/>
              <w:bottom w:val="single" w:sz="4" w:space="0" w:color="auto"/>
              <w:right w:val="single" w:sz="4" w:space="0" w:color="auto"/>
            </w:tcBorders>
            <w:shd w:val="clear" w:color="000000" w:fill="FFFFFF"/>
            <w:vAlign w:val="center"/>
            <w:hideMark/>
          </w:tcPr>
          <w:p w:rsidR="001B510A" w:rsidRPr="00DF4A70" w:rsidRDefault="001B510A" w:rsidP="00DF4A70">
            <w:pPr>
              <w:jc w:val="center"/>
              <w:rPr>
                <w:rFonts w:eastAsia="Times New Roman" w:cs="Times New Roman"/>
                <w:color w:val="0000CC"/>
                <w:szCs w:val="20"/>
                <w:lang w:eastAsia="pt-BR"/>
              </w:rPr>
            </w:pPr>
            <w:r w:rsidRPr="00DF4A70">
              <w:rPr>
                <w:rFonts w:eastAsia="Times New Roman" w:cs="Times New Roman"/>
                <w:color w:val="0000CC"/>
                <w:szCs w:val="20"/>
                <w:lang w:eastAsia="pt-BR"/>
              </w:rPr>
              <w:t>4</w:t>
            </w:r>
          </w:p>
        </w:tc>
        <w:tc>
          <w:tcPr>
            <w:tcW w:w="7065" w:type="dxa"/>
            <w:tcBorders>
              <w:top w:val="single" w:sz="4" w:space="0" w:color="auto"/>
              <w:left w:val="nil"/>
              <w:bottom w:val="single" w:sz="4" w:space="0" w:color="auto"/>
              <w:right w:val="single" w:sz="4" w:space="0" w:color="auto"/>
            </w:tcBorders>
            <w:shd w:val="clear" w:color="auto" w:fill="auto"/>
            <w:vAlign w:val="center"/>
            <w:hideMark/>
          </w:tcPr>
          <w:p w:rsidR="001B510A" w:rsidRPr="00DF4A70" w:rsidRDefault="001B510A" w:rsidP="00DF4A70">
            <w:pPr>
              <w:jc w:val="both"/>
              <w:rPr>
                <w:rFonts w:eastAsia="Times New Roman" w:cs="Times New Roman"/>
                <w:color w:val="0000CC"/>
                <w:szCs w:val="20"/>
                <w:lang w:eastAsia="pt-BR"/>
              </w:rPr>
            </w:pPr>
            <w:r w:rsidRPr="00DF4A70">
              <w:rPr>
                <w:rFonts w:eastAsia="Times New Roman" w:cs="Times New Roman"/>
                <w:color w:val="0000CC"/>
                <w:szCs w:val="20"/>
                <w:lang w:eastAsia="pt-BR"/>
              </w:rPr>
              <w:t>Contas que registram a soma das provisões para a CSLL calculadas sobre a base de cálculo correspondente ao período de apuração da atividade geral. A sua constituição é obrigatória para todas as pessoas jurídicas tributadas com base no lucro real.</w:t>
            </w:r>
            <w:r w:rsidRPr="00DF4A70">
              <w:rPr>
                <w:rFonts w:eastAsia="Times New Roman" w:cs="Times New Roman"/>
                <w:color w:val="0000CC"/>
                <w:szCs w:val="20"/>
                <w:lang w:eastAsia="pt-BR"/>
              </w:rPr>
              <w:br/>
              <w:t>As cooperativas devem informar, nesta linha, a provisão da CSLL sobre os resultados das operações realizadas com os não-associados</w:t>
            </w:r>
          </w:p>
        </w:tc>
      </w:tr>
      <w:tr w:rsidR="001B510A" w:rsidRPr="00DF4A70" w:rsidTr="001B510A">
        <w:trPr>
          <w:trHeight w:val="765"/>
        </w:trPr>
        <w:tc>
          <w:tcPr>
            <w:tcW w:w="1490" w:type="dxa"/>
            <w:tcBorders>
              <w:top w:val="nil"/>
              <w:left w:val="single" w:sz="4" w:space="0" w:color="auto"/>
              <w:bottom w:val="single" w:sz="4" w:space="0" w:color="auto"/>
              <w:right w:val="single" w:sz="4" w:space="0" w:color="auto"/>
            </w:tcBorders>
            <w:shd w:val="clear" w:color="000000" w:fill="FFFFFF"/>
            <w:vAlign w:val="center"/>
            <w:hideMark/>
          </w:tcPr>
          <w:p w:rsidR="001B510A" w:rsidRPr="00DF4A70" w:rsidRDefault="001B510A" w:rsidP="00DF4A70">
            <w:pPr>
              <w:rPr>
                <w:rFonts w:eastAsia="Times New Roman" w:cs="Times New Roman"/>
                <w:color w:val="0000CC"/>
                <w:szCs w:val="20"/>
                <w:lang w:eastAsia="pt-BR"/>
              </w:rPr>
            </w:pPr>
            <w:r w:rsidRPr="00DF4A70">
              <w:rPr>
                <w:rFonts w:eastAsia="Times New Roman" w:cs="Times New Roman"/>
                <w:color w:val="0000CC"/>
                <w:szCs w:val="20"/>
                <w:lang w:eastAsia="pt-BR"/>
              </w:rPr>
              <w:t>3.02.01.01.01.02</w:t>
            </w:r>
          </w:p>
        </w:tc>
        <w:tc>
          <w:tcPr>
            <w:tcW w:w="3379" w:type="dxa"/>
            <w:tcBorders>
              <w:top w:val="nil"/>
              <w:left w:val="nil"/>
              <w:bottom w:val="single" w:sz="4" w:space="0" w:color="auto"/>
              <w:right w:val="single" w:sz="4" w:space="0" w:color="auto"/>
            </w:tcBorders>
            <w:shd w:val="clear" w:color="000000" w:fill="FFFFFF"/>
            <w:vAlign w:val="center"/>
            <w:hideMark/>
          </w:tcPr>
          <w:p w:rsidR="001B510A" w:rsidRPr="00DF4A70" w:rsidRDefault="001B510A" w:rsidP="00DF4A70">
            <w:pPr>
              <w:rPr>
                <w:rFonts w:eastAsia="Times New Roman" w:cs="Times New Roman"/>
                <w:color w:val="0000CC"/>
                <w:szCs w:val="20"/>
                <w:lang w:eastAsia="pt-BR"/>
              </w:rPr>
            </w:pPr>
            <w:r w:rsidRPr="00DF4A70">
              <w:rPr>
                <w:rFonts w:eastAsia="Times New Roman" w:cs="Times New Roman"/>
                <w:color w:val="0000CC"/>
                <w:szCs w:val="20"/>
                <w:lang w:eastAsia="pt-BR"/>
              </w:rPr>
              <w:t>(-) Provisão para Imposto de Renda - Pessoa Jurídica (Atividade Geral e Rural)</w:t>
            </w:r>
          </w:p>
        </w:tc>
        <w:tc>
          <w:tcPr>
            <w:tcW w:w="934" w:type="dxa"/>
            <w:tcBorders>
              <w:top w:val="nil"/>
              <w:left w:val="nil"/>
              <w:bottom w:val="single" w:sz="4" w:space="0" w:color="auto"/>
              <w:right w:val="single" w:sz="4" w:space="0" w:color="auto"/>
            </w:tcBorders>
            <w:shd w:val="clear" w:color="000000" w:fill="FFFFFF"/>
            <w:vAlign w:val="center"/>
            <w:hideMark/>
          </w:tcPr>
          <w:p w:rsidR="001B510A" w:rsidRPr="00DF4A70" w:rsidRDefault="001B510A" w:rsidP="00DF4A70">
            <w:pPr>
              <w:jc w:val="center"/>
              <w:rPr>
                <w:rFonts w:eastAsia="Times New Roman" w:cs="Times New Roman"/>
                <w:color w:val="0000CC"/>
                <w:szCs w:val="20"/>
                <w:lang w:eastAsia="pt-BR"/>
              </w:rPr>
            </w:pPr>
            <w:r w:rsidRPr="00DF4A70">
              <w:rPr>
                <w:rFonts w:eastAsia="Times New Roman" w:cs="Times New Roman"/>
                <w:color w:val="0000CC"/>
                <w:szCs w:val="20"/>
                <w:lang w:eastAsia="pt-BR"/>
              </w:rPr>
              <w:t>A</w:t>
            </w:r>
          </w:p>
        </w:tc>
        <w:tc>
          <w:tcPr>
            <w:tcW w:w="1359" w:type="dxa"/>
            <w:tcBorders>
              <w:top w:val="nil"/>
              <w:left w:val="nil"/>
              <w:bottom w:val="single" w:sz="4" w:space="0" w:color="auto"/>
              <w:right w:val="single" w:sz="4" w:space="0" w:color="auto"/>
            </w:tcBorders>
            <w:shd w:val="clear" w:color="000000" w:fill="FFFFFF"/>
            <w:vAlign w:val="center"/>
            <w:hideMark/>
          </w:tcPr>
          <w:p w:rsidR="001B510A" w:rsidRPr="00DF4A70" w:rsidRDefault="001B510A" w:rsidP="00DF4A70">
            <w:pPr>
              <w:rPr>
                <w:rFonts w:eastAsia="Times New Roman" w:cs="Times New Roman"/>
                <w:color w:val="0000CC"/>
                <w:szCs w:val="20"/>
                <w:lang w:eastAsia="pt-BR"/>
              </w:rPr>
            </w:pPr>
            <w:r w:rsidRPr="00DF4A70">
              <w:rPr>
                <w:rFonts w:eastAsia="Times New Roman" w:cs="Times New Roman"/>
                <w:color w:val="0000CC"/>
                <w:szCs w:val="20"/>
                <w:lang w:eastAsia="pt-BR"/>
              </w:rPr>
              <w:t>3.02.01.01.01</w:t>
            </w:r>
          </w:p>
        </w:tc>
        <w:tc>
          <w:tcPr>
            <w:tcW w:w="933" w:type="dxa"/>
            <w:tcBorders>
              <w:top w:val="nil"/>
              <w:left w:val="nil"/>
              <w:bottom w:val="single" w:sz="4" w:space="0" w:color="auto"/>
              <w:right w:val="single" w:sz="4" w:space="0" w:color="auto"/>
            </w:tcBorders>
            <w:shd w:val="clear" w:color="000000" w:fill="FFFFFF"/>
            <w:vAlign w:val="center"/>
            <w:hideMark/>
          </w:tcPr>
          <w:p w:rsidR="001B510A" w:rsidRPr="00DF4A70" w:rsidRDefault="001B510A" w:rsidP="00DF4A70">
            <w:pPr>
              <w:jc w:val="center"/>
              <w:rPr>
                <w:rFonts w:eastAsia="Times New Roman" w:cs="Times New Roman"/>
                <w:color w:val="0000CC"/>
                <w:szCs w:val="20"/>
                <w:lang w:eastAsia="pt-BR"/>
              </w:rPr>
            </w:pPr>
            <w:r w:rsidRPr="00DF4A70">
              <w:rPr>
                <w:rFonts w:eastAsia="Times New Roman" w:cs="Times New Roman"/>
                <w:color w:val="0000CC"/>
                <w:szCs w:val="20"/>
                <w:lang w:eastAsia="pt-BR"/>
              </w:rPr>
              <w:t>6</w:t>
            </w:r>
          </w:p>
        </w:tc>
        <w:tc>
          <w:tcPr>
            <w:tcW w:w="1151" w:type="dxa"/>
            <w:tcBorders>
              <w:top w:val="nil"/>
              <w:left w:val="nil"/>
              <w:bottom w:val="single" w:sz="4" w:space="0" w:color="auto"/>
              <w:right w:val="single" w:sz="4" w:space="0" w:color="auto"/>
            </w:tcBorders>
            <w:shd w:val="clear" w:color="000000" w:fill="FFFFFF"/>
            <w:vAlign w:val="center"/>
            <w:hideMark/>
          </w:tcPr>
          <w:p w:rsidR="001B510A" w:rsidRPr="00DF4A70" w:rsidRDefault="001B510A" w:rsidP="00DF4A70">
            <w:pPr>
              <w:jc w:val="center"/>
              <w:rPr>
                <w:rFonts w:eastAsia="Times New Roman" w:cs="Times New Roman"/>
                <w:color w:val="0000CC"/>
                <w:szCs w:val="20"/>
                <w:lang w:eastAsia="pt-BR"/>
              </w:rPr>
            </w:pPr>
            <w:r w:rsidRPr="00DF4A70">
              <w:rPr>
                <w:rFonts w:eastAsia="Times New Roman" w:cs="Times New Roman"/>
                <w:color w:val="0000CC"/>
                <w:szCs w:val="20"/>
                <w:lang w:eastAsia="pt-BR"/>
              </w:rPr>
              <w:t>4</w:t>
            </w:r>
          </w:p>
        </w:tc>
        <w:tc>
          <w:tcPr>
            <w:tcW w:w="7065" w:type="dxa"/>
            <w:tcBorders>
              <w:top w:val="nil"/>
              <w:left w:val="nil"/>
              <w:bottom w:val="single" w:sz="4" w:space="0" w:color="auto"/>
              <w:right w:val="single" w:sz="4" w:space="0" w:color="auto"/>
            </w:tcBorders>
            <w:shd w:val="clear" w:color="auto" w:fill="auto"/>
            <w:vAlign w:val="center"/>
            <w:hideMark/>
          </w:tcPr>
          <w:p w:rsidR="001B510A" w:rsidRPr="00DF4A70" w:rsidRDefault="001B510A" w:rsidP="00DF4A70">
            <w:pPr>
              <w:jc w:val="both"/>
              <w:rPr>
                <w:rFonts w:eastAsia="Times New Roman" w:cs="Times New Roman"/>
                <w:color w:val="0000CC"/>
                <w:szCs w:val="20"/>
                <w:lang w:eastAsia="pt-BR"/>
              </w:rPr>
            </w:pPr>
            <w:r w:rsidRPr="00DF4A70">
              <w:rPr>
                <w:rFonts w:eastAsia="Times New Roman" w:cs="Times New Roman"/>
                <w:color w:val="0000CC"/>
                <w:szCs w:val="20"/>
                <w:lang w:eastAsia="pt-BR"/>
              </w:rPr>
              <w:t>Contas que registram a soma das provisões para o imposto de renda constituídas sobre o lucro real. A sua constituição é obrigatória para todas as pessoas jurídicas tributadas com base no lucro real.</w:t>
            </w:r>
          </w:p>
        </w:tc>
      </w:tr>
      <w:tr w:rsidR="001B510A" w:rsidRPr="00DF4A70" w:rsidTr="001B510A">
        <w:trPr>
          <w:trHeight w:val="1275"/>
        </w:trPr>
        <w:tc>
          <w:tcPr>
            <w:tcW w:w="1490" w:type="dxa"/>
            <w:tcBorders>
              <w:top w:val="nil"/>
              <w:left w:val="single" w:sz="4" w:space="0" w:color="auto"/>
              <w:bottom w:val="single" w:sz="4" w:space="0" w:color="auto"/>
              <w:right w:val="single" w:sz="4" w:space="0" w:color="auto"/>
            </w:tcBorders>
            <w:shd w:val="clear" w:color="000000" w:fill="FFFFFF"/>
            <w:vAlign w:val="center"/>
            <w:hideMark/>
          </w:tcPr>
          <w:p w:rsidR="001B510A" w:rsidRPr="00DF4A70" w:rsidRDefault="001B510A" w:rsidP="00DF4A70">
            <w:pPr>
              <w:rPr>
                <w:rFonts w:eastAsia="Times New Roman" w:cs="Times New Roman"/>
                <w:color w:val="0000CC"/>
                <w:szCs w:val="20"/>
                <w:lang w:eastAsia="pt-BR"/>
              </w:rPr>
            </w:pPr>
            <w:r w:rsidRPr="00DF4A70">
              <w:rPr>
                <w:rFonts w:eastAsia="Times New Roman" w:cs="Times New Roman"/>
                <w:color w:val="0000CC"/>
                <w:szCs w:val="20"/>
                <w:lang w:eastAsia="pt-BR"/>
              </w:rPr>
              <w:t>3.02.01.01.01.11</w:t>
            </w:r>
          </w:p>
        </w:tc>
        <w:tc>
          <w:tcPr>
            <w:tcW w:w="3379" w:type="dxa"/>
            <w:tcBorders>
              <w:top w:val="nil"/>
              <w:left w:val="nil"/>
              <w:bottom w:val="single" w:sz="4" w:space="0" w:color="auto"/>
              <w:right w:val="single" w:sz="4" w:space="0" w:color="auto"/>
            </w:tcBorders>
            <w:shd w:val="clear" w:color="000000" w:fill="FFFFFF"/>
            <w:vAlign w:val="center"/>
            <w:hideMark/>
          </w:tcPr>
          <w:p w:rsidR="001B510A" w:rsidRPr="00DF4A70" w:rsidRDefault="001B510A" w:rsidP="00DF4A70">
            <w:pPr>
              <w:rPr>
                <w:rFonts w:eastAsia="Times New Roman" w:cs="Times New Roman"/>
                <w:color w:val="0000CC"/>
                <w:szCs w:val="20"/>
                <w:lang w:eastAsia="pt-BR"/>
              </w:rPr>
            </w:pPr>
            <w:r w:rsidRPr="00DF4A70">
              <w:rPr>
                <w:rFonts w:eastAsia="Times New Roman" w:cs="Times New Roman"/>
                <w:color w:val="0000CC"/>
                <w:szCs w:val="20"/>
                <w:lang w:eastAsia="pt-BR"/>
              </w:rPr>
              <w:t>(-) Provisão para Contribuição Social sobre o Lucro Líquido - Lucros Diferidos (Atividade Geral)</w:t>
            </w:r>
          </w:p>
        </w:tc>
        <w:tc>
          <w:tcPr>
            <w:tcW w:w="934" w:type="dxa"/>
            <w:tcBorders>
              <w:top w:val="nil"/>
              <w:left w:val="nil"/>
              <w:bottom w:val="single" w:sz="4" w:space="0" w:color="auto"/>
              <w:right w:val="single" w:sz="4" w:space="0" w:color="auto"/>
            </w:tcBorders>
            <w:shd w:val="clear" w:color="000000" w:fill="FFFFFF"/>
            <w:vAlign w:val="center"/>
            <w:hideMark/>
          </w:tcPr>
          <w:p w:rsidR="001B510A" w:rsidRPr="00DF4A70" w:rsidRDefault="001B510A" w:rsidP="00DF4A70">
            <w:pPr>
              <w:jc w:val="center"/>
              <w:rPr>
                <w:rFonts w:eastAsia="Times New Roman" w:cs="Times New Roman"/>
                <w:color w:val="0000CC"/>
                <w:szCs w:val="20"/>
                <w:lang w:eastAsia="pt-BR"/>
              </w:rPr>
            </w:pPr>
            <w:r w:rsidRPr="00DF4A70">
              <w:rPr>
                <w:rFonts w:eastAsia="Times New Roman" w:cs="Times New Roman"/>
                <w:color w:val="0000CC"/>
                <w:szCs w:val="20"/>
                <w:lang w:eastAsia="pt-BR"/>
              </w:rPr>
              <w:t>A</w:t>
            </w:r>
          </w:p>
        </w:tc>
        <w:tc>
          <w:tcPr>
            <w:tcW w:w="1359" w:type="dxa"/>
            <w:tcBorders>
              <w:top w:val="nil"/>
              <w:left w:val="nil"/>
              <w:bottom w:val="single" w:sz="4" w:space="0" w:color="auto"/>
              <w:right w:val="single" w:sz="4" w:space="0" w:color="auto"/>
            </w:tcBorders>
            <w:shd w:val="clear" w:color="000000" w:fill="FFFFFF"/>
            <w:vAlign w:val="center"/>
            <w:hideMark/>
          </w:tcPr>
          <w:p w:rsidR="001B510A" w:rsidRPr="00DF4A70" w:rsidRDefault="001B510A" w:rsidP="00DF4A70">
            <w:pPr>
              <w:rPr>
                <w:rFonts w:eastAsia="Times New Roman" w:cs="Times New Roman"/>
                <w:color w:val="0000CC"/>
                <w:szCs w:val="20"/>
                <w:lang w:eastAsia="pt-BR"/>
              </w:rPr>
            </w:pPr>
            <w:r w:rsidRPr="00DF4A70">
              <w:rPr>
                <w:rFonts w:eastAsia="Times New Roman" w:cs="Times New Roman"/>
                <w:color w:val="0000CC"/>
                <w:szCs w:val="20"/>
                <w:lang w:eastAsia="pt-BR"/>
              </w:rPr>
              <w:t>3.02.01.01.01</w:t>
            </w:r>
          </w:p>
        </w:tc>
        <w:tc>
          <w:tcPr>
            <w:tcW w:w="933" w:type="dxa"/>
            <w:tcBorders>
              <w:top w:val="nil"/>
              <w:left w:val="nil"/>
              <w:bottom w:val="single" w:sz="4" w:space="0" w:color="auto"/>
              <w:right w:val="single" w:sz="4" w:space="0" w:color="auto"/>
            </w:tcBorders>
            <w:shd w:val="clear" w:color="000000" w:fill="FFFFFF"/>
            <w:vAlign w:val="center"/>
            <w:hideMark/>
          </w:tcPr>
          <w:p w:rsidR="001B510A" w:rsidRPr="00DF4A70" w:rsidRDefault="001B510A" w:rsidP="00DF4A70">
            <w:pPr>
              <w:jc w:val="center"/>
              <w:rPr>
                <w:rFonts w:eastAsia="Times New Roman" w:cs="Times New Roman"/>
                <w:color w:val="0000CC"/>
                <w:szCs w:val="20"/>
                <w:lang w:eastAsia="pt-BR"/>
              </w:rPr>
            </w:pPr>
            <w:r w:rsidRPr="00DF4A70">
              <w:rPr>
                <w:rFonts w:eastAsia="Times New Roman" w:cs="Times New Roman"/>
                <w:color w:val="0000CC"/>
                <w:szCs w:val="20"/>
                <w:lang w:eastAsia="pt-BR"/>
              </w:rPr>
              <w:t>6</w:t>
            </w:r>
          </w:p>
        </w:tc>
        <w:tc>
          <w:tcPr>
            <w:tcW w:w="1151" w:type="dxa"/>
            <w:tcBorders>
              <w:top w:val="nil"/>
              <w:left w:val="nil"/>
              <w:bottom w:val="single" w:sz="4" w:space="0" w:color="auto"/>
              <w:right w:val="single" w:sz="4" w:space="0" w:color="auto"/>
            </w:tcBorders>
            <w:shd w:val="clear" w:color="000000" w:fill="FFFFFF"/>
            <w:vAlign w:val="center"/>
            <w:hideMark/>
          </w:tcPr>
          <w:p w:rsidR="001B510A" w:rsidRPr="00DF4A70" w:rsidRDefault="001B510A" w:rsidP="00DF4A70">
            <w:pPr>
              <w:jc w:val="center"/>
              <w:rPr>
                <w:rFonts w:eastAsia="Times New Roman" w:cs="Times New Roman"/>
                <w:color w:val="0000CC"/>
                <w:szCs w:val="20"/>
                <w:lang w:eastAsia="pt-BR"/>
              </w:rPr>
            </w:pPr>
            <w:r w:rsidRPr="00DF4A70">
              <w:rPr>
                <w:rFonts w:eastAsia="Times New Roman" w:cs="Times New Roman"/>
                <w:color w:val="0000CC"/>
                <w:szCs w:val="20"/>
                <w:lang w:eastAsia="pt-BR"/>
              </w:rPr>
              <w:t>4</w:t>
            </w:r>
          </w:p>
        </w:tc>
        <w:tc>
          <w:tcPr>
            <w:tcW w:w="7065" w:type="dxa"/>
            <w:tcBorders>
              <w:top w:val="nil"/>
              <w:left w:val="nil"/>
              <w:bottom w:val="single" w:sz="4" w:space="0" w:color="auto"/>
              <w:right w:val="single" w:sz="4" w:space="0" w:color="auto"/>
            </w:tcBorders>
            <w:shd w:val="clear" w:color="auto" w:fill="auto"/>
            <w:vAlign w:val="center"/>
            <w:hideMark/>
          </w:tcPr>
          <w:p w:rsidR="001B510A" w:rsidRPr="00DF4A70" w:rsidRDefault="001B510A" w:rsidP="00DF4A70">
            <w:pPr>
              <w:jc w:val="both"/>
              <w:rPr>
                <w:rFonts w:eastAsia="Times New Roman" w:cs="Times New Roman"/>
                <w:color w:val="0000CC"/>
                <w:szCs w:val="20"/>
                <w:lang w:eastAsia="pt-BR"/>
              </w:rPr>
            </w:pPr>
            <w:r w:rsidRPr="00DF4A70">
              <w:rPr>
                <w:rFonts w:eastAsia="Times New Roman" w:cs="Times New Roman"/>
                <w:color w:val="0000CC"/>
                <w:szCs w:val="20"/>
                <w:lang w:eastAsia="pt-BR"/>
              </w:rPr>
              <w:t>Contas que registram a soma das provisões para a CSLL calculadas sobre os lucros diferidos da atividade geral, se for o caso. A sua constituição é obrigatória para todas as pessoas jurídicas tributadas com base no lucro real.</w:t>
            </w:r>
            <w:r w:rsidRPr="00DF4A70">
              <w:rPr>
                <w:rFonts w:eastAsia="Times New Roman" w:cs="Times New Roman"/>
                <w:color w:val="0000CC"/>
                <w:szCs w:val="20"/>
                <w:lang w:eastAsia="pt-BR"/>
              </w:rPr>
              <w:br/>
              <w:t>As cooperativas devem informar, nesta linha, a provisão da CSLL sobre os resultados das operações realizadas com os não-associados</w:t>
            </w:r>
          </w:p>
        </w:tc>
      </w:tr>
      <w:tr w:rsidR="001B510A" w:rsidRPr="00DF4A70" w:rsidTr="001B510A">
        <w:trPr>
          <w:trHeight w:val="765"/>
        </w:trPr>
        <w:tc>
          <w:tcPr>
            <w:tcW w:w="1490" w:type="dxa"/>
            <w:tcBorders>
              <w:top w:val="nil"/>
              <w:left w:val="single" w:sz="4" w:space="0" w:color="auto"/>
              <w:bottom w:val="single" w:sz="4" w:space="0" w:color="auto"/>
              <w:right w:val="single" w:sz="4" w:space="0" w:color="auto"/>
            </w:tcBorders>
            <w:shd w:val="clear" w:color="000000" w:fill="FFFFFF"/>
            <w:vAlign w:val="center"/>
            <w:hideMark/>
          </w:tcPr>
          <w:p w:rsidR="001B510A" w:rsidRPr="00DF4A70" w:rsidRDefault="001B510A" w:rsidP="00DF4A70">
            <w:pPr>
              <w:rPr>
                <w:rFonts w:eastAsia="Times New Roman" w:cs="Times New Roman"/>
                <w:color w:val="0000CC"/>
                <w:szCs w:val="20"/>
                <w:lang w:eastAsia="pt-BR"/>
              </w:rPr>
            </w:pPr>
            <w:r w:rsidRPr="00DF4A70">
              <w:rPr>
                <w:rFonts w:eastAsia="Times New Roman" w:cs="Times New Roman"/>
                <w:color w:val="0000CC"/>
                <w:szCs w:val="20"/>
                <w:lang w:eastAsia="pt-BR"/>
              </w:rPr>
              <w:t>3.02.01.01.01.12</w:t>
            </w:r>
          </w:p>
        </w:tc>
        <w:tc>
          <w:tcPr>
            <w:tcW w:w="3379" w:type="dxa"/>
            <w:tcBorders>
              <w:top w:val="nil"/>
              <w:left w:val="nil"/>
              <w:bottom w:val="single" w:sz="4" w:space="0" w:color="auto"/>
              <w:right w:val="single" w:sz="4" w:space="0" w:color="auto"/>
            </w:tcBorders>
            <w:shd w:val="clear" w:color="000000" w:fill="FFFFFF"/>
            <w:vAlign w:val="center"/>
            <w:hideMark/>
          </w:tcPr>
          <w:p w:rsidR="001B510A" w:rsidRPr="00DF4A70" w:rsidRDefault="001B510A" w:rsidP="00DF4A70">
            <w:pPr>
              <w:rPr>
                <w:rFonts w:eastAsia="Times New Roman" w:cs="Times New Roman"/>
                <w:color w:val="0000CC"/>
                <w:szCs w:val="20"/>
                <w:lang w:eastAsia="pt-BR"/>
              </w:rPr>
            </w:pPr>
            <w:r w:rsidRPr="00DF4A70">
              <w:rPr>
                <w:rFonts w:eastAsia="Times New Roman" w:cs="Times New Roman"/>
                <w:color w:val="0000CC"/>
                <w:szCs w:val="20"/>
                <w:lang w:eastAsia="pt-BR"/>
              </w:rPr>
              <w:t>(-) Provisão para Imposto de Renda - Pessoa Jurídica - Lucros Diferidos (Atividade Geral e Rural)</w:t>
            </w:r>
          </w:p>
        </w:tc>
        <w:tc>
          <w:tcPr>
            <w:tcW w:w="934" w:type="dxa"/>
            <w:tcBorders>
              <w:top w:val="nil"/>
              <w:left w:val="nil"/>
              <w:bottom w:val="single" w:sz="4" w:space="0" w:color="auto"/>
              <w:right w:val="single" w:sz="4" w:space="0" w:color="auto"/>
            </w:tcBorders>
            <w:shd w:val="clear" w:color="000000" w:fill="FFFFFF"/>
            <w:vAlign w:val="center"/>
            <w:hideMark/>
          </w:tcPr>
          <w:p w:rsidR="001B510A" w:rsidRPr="00DF4A70" w:rsidRDefault="001B510A" w:rsidP="00DF4A70">
            <w:pPr>
              <w:jc w:val="center"/>
              <w:rPr>
                <w:rFonts w:eastAsia="Times New Roman" w:cs="Times New Roman"/>
                <w:color w:val="0000CC"/>
                <w:szCs w:val="20"/>
                <w:lang w:eastAsia="pt-BR"/>
              </w:rPr>
            </w:pPr>
            <w:r w:rsidRPr="00DF4A70">
              <w:rPr>
                <w:rFonts w:eastAsia="Times New Roman" w:cs="Times New Roman"/>
                <w:color w:val="0000CC"/>
                <w:szCs w:val="20"/>
                <w:lang w:eastAsia="pt-BR"/>
              </w:rPr>
              <w:t>A</w:t>
            </w:r>
          </w:p>
        </w:tc>
        <w:tc>
          <w:tcPr>
            <w:tcW w:w="1359" w:type="dxa"/>
            <w:tcBorders>
              <w:top w:val="nil"/>
              <w:left w:val="nil"/>
              <w:bottom w:val="single" w:sz="4" w:space="0" w:color="auto"/>
              <w:right w:val="single" w:sz="4" w:space="0" w:color="auto"/>
            </w:tcBorders>
            <w:shd w:val="clear" w:color="000000" w:fill="FFFFFF"/>
            <w:vAlign w:val="center"/>
            <w:hideMark/>
          </w:tcPr>
          <w:p w:rsidR="001B510A" w:rsidRPr="00DF4A70" w:rsidRDefault="001B510A" w:rsidP="00DF4A70">
            <w:pPr>
              <w:rPr>
                <w:rFonts w:eastAsia="Times New Roman" w:cs="Times New Roman"/>
                <w:color w:val="0000CC"/>
                <w:szCs w:val="20"/>
                <w:lang w:eastAsia="pt-BR"/>
              </w:rPr>
            </w:pPr>
            <w:r w:rsidRPr="00DF4A70">
              <w:rPr>
                <w:rFonts w:eastAsia="Times New Roman" w:cs="Times New Roman"/>
                <w:color w:val="0000CC"/>
                <w:szCs w:val="20"/>
                <w:lang w:eastAsia="pt-BR"/>
              </w:rPr>
              <w:t>3.02.01.01.01</w:t>
            </w:r>
          </w:p>
        </w:tc>
        <w:tc>
          <w:tcPr>
            <w:tcW w:w="933" w:type="dxa"/>
            <w:tcBorders>
              <w:top w:val="nil"/>
              <w:left w:val="nil"/>
              <w:bottom w:val="single" w:sz="4" w:space="0" w:color="auto"/>
              <w:right w:val="single" w:sz="4" w:space="0" w:color="auto"/>
            </w:tcBorders>
            <w:shd w:val="clear" w:color="000000" w:fill="FFFFFF"/>
            <w:vAlign w:val="center"/>
            <w:hideMark/>
          </w:tcPr>
          <w:p w:rsidR="001B510A" w:rsidRPr="00DF4A70" w:rsidRDefault="001B510A" w:rsidP="00DF4A70">
            <w:pPr>
              <w:jc w:val="center"/>
              <w:rPr>
                <w:rFonts w:eastAsia="Times New Roman" w:cs="Times New Roman"/>
                <w:color w:val="0000CC"/>
                <w:szCs w:val="20"/>
                <w:lang w:eastAsia="pt-BR"/>
              </w:rPr>
            </w:pPr>
            <w:r w:rsidRPr="00DF4A70">
              <w:rPr>
                <w:rFonts w:eastAsia="Times New Roman" w:cs="Times New Roman"/>
                <w:color w:val="0000CC"/>
                <w:szCs w:val="20"/>
                <w:lang w:eastAsia="pt-BR"/>
              </w:rPr>
              <w:t>6</w:t>
            </w:r>
          </w:p>
        </w:tc>
        <w:tc>
          <w:tcPr>
            <w:tcW w:w="1151" w:type="dxa"/>
            <w:tcBorders>
              <w:top w:val="nil"/>
              <w:left w:val="nil"/>
              <w:bottom w:val="single" w:sz="4" w:space="0" w:color="auto"/>
              <w:right w:val="single" w:sz="4" w:space="0" w:color="auto"/>
            </w:tcBorders>
            <w:shd w:val="clear" w:color="000000" w:fill="FFFFFF"/>
            <w:vAlign w:val="center"/>
            <w:hideMark/>
          </w:tcPr>
          <w:p w:rsidR="001B510A" w:rsidRPr="00DF4A70" w:rsidRDefault="001B510A" w:rsidP="00DF4A70">
            <w:pPr>
              <w:jc w:val="center"/>
              <w:rPr>
                <w:rFonts w:eastAsia="Times New Roman" w:cs="Times New Roman"/>
                <w:color w:val="0000CC"/>
                <w:szCs w:val="20"/>
                <w:lang w:eastAsia="pt-BR"/>
              </w:rPr>
            </w:pPr>
            <w:r w:rsidRPr="00DF4A70">
              <w:rPr>
                <w:rFonts w:eastAsia="Times New Roman" w:cs="Times New Roman"/>
                <w:color w:val="0000CC"/>
                <w:szCs w:val="20"/>
                <w:lang w:eastAsia="pt-BR"/>
              </w:rPr>
              <w:t>4</w:t>
            </w:r>
          </w:p>
        </w:tc>
        <w:tc>
          <w:tcPr>
            <w:tcW w:w="7065" w:type="dxa"/>
            <w:tcBorders>
              <w:top w:val="nil"/>
              <w:left w:val="nil"/>
              <w:bottom w:val="single" w:sz="4" w:space="0" w:color="auto"/>
              <w:right w:val="single" w:sz="4" w:space="0" w:color="auto"/>
            </w:tcBorders>
            <w:shd w:val="clear" w:color="auto" w:fill="auto"/>
            <w:vAlign w:val="center"/>
            <w:hideMark/>
          </w:tcPr>
          <w:p w:rsidR="001B510A" w:rsidRPr="00DF4A70" w:rsidRDefault="001B510A" w:rsidP="00DF4A70">
            <w:pPr>
              <w:jc w:val="both"/>
              <w:rPr>
                <w:rFonts w:eastAsia="Times New Roman" w:cs="Times New Roman"/>
                <w:color w:val="0000CC"/>
                <w:szCs w:val="20"/>
                <w:lang w:eastAsia="pt-BR"/>
              </w:rPr>
            </w:pPr>
            <w:r w:rsidRPr="00DF4A70">
              <w:rPr>
                <w:rFonts w:eastAsia="Times New Roman" w:cs="Times New Roman"/>
                <w:color w:val="0000CC"/>
                <w:szCs w:val="20"/>
                <w:lang w:eastAsia="pt-BR"/>
              </w:rPr>
              <w:t>Contas que registram a soma das provisões para o imposto de renda constituídas sobre os lucros diferidos. A sua constituição é obrigatória para todas as pessoas jurídicas tributadas com base no lucro real.</w:t>
            </w:r>
          </w:p>
        </w:tc>
      </w:tr>
    </w:tbl>
    <w:p w:rsidR="00DF4A70" w:rsidRDefault="00DF4A70" w:rsidP="00391278">
      <w:pPr>
        <w:rPr>
          <w:lang w:eastAsia="ar-SA"/>
        </w:rPr>
      </w:pPr>
    </w:p>
    <w:tbl>
      <w:tblPr>
        <w:tblW w:w="16311" w:type="dxa"/>
        <w:tblCellMar>
          <w:left w:w="70" w:type="dxa"/>
          <w:right w:w="70" w:type="dxa"/>
        </w:tblCellMar>
        <w:tblLook w:val="04A0" w:firstRow="1" w:lastRow="0" w:firstColumn="1" w:lastColumn="0" w:noHBand="0" w:noVBand="1"/>
      </w:tblPr>
      <w:tblGrid>
        <w:gridCol w:w="1490"/>
        <w:gridCol w:w="3379"/>
        <w:gridCol w:w="934"/>
        <w:gridCol w:w="1359"/>
        <w:gridCol w:w="933"/>
        <w:gridCol w:w="1151"/>
        <w:gridCol w:w="7065"/>
      </w:tblGrid>
      <w:tr w:rsidR="001B510A" w:rsidRPr="001B510A" w:rsidTr="001B510A">
        <w:trPr>
          <w:trHeight w:val="1275"/>
        </w:trPr>
        <w:tc>
          <w:tcPr>
            <w:tcW w:w="14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510A" w:rsidRPr="001B510A" w:rsidRDefault="001B510A" w:rsidP="001B510A">
            <w:pPr>
              <w:rPr>
                <w:rFonts w:eastAsia="Times New Roman" w:cs="Times New Roman"/>
                <w:color w:val="0000CC"/>
                <w:szCs w:val="20"/>
                <w:lang w:eastAsia="pt-BR"/>
              </w:rPr>
            </w:pPr>
            <w:r w:rsidRPr="001B510A">
              <w:rPr>
                <w:rFonts w:eastAsia="Times New Roman" w:cs="Times New Roman"/>
                <w:color w:val="0000CC"/>
                <w:szCs w:val="20"/>
                <w:lang w:eastAsia="pt-BR"/>
              </w:rPr>
              <w:lastRenderedPageBreak/>
              <w:t>3.12.01.01.01.01</w:t>
            </w:r>
          </w:p>
        </w:tc>
        <w:tc>
          <w:tcPr>
            <w:tcW w:w="3379" w:type="dxa"/>
            <w:tcBorders>
              <w:top w:val="single" w:sz="4" w:space="0" w:color="auto"/>
              <w:left w:val="nil"/>
              <w:bottom w:val="single" w:sz="4" w:space="0" w:color="auto"/>
              <w:right w:val="single" w:sz="4" w:space="0" w:color="auto"/>
            </w:tcBorders>
            <w:shd w:val="clear" w:color="000000" w:fill="FFFFFF"/>
            <w:vAlign w:val="center"/>
            <w:hideMark/>
          </w:tcPr>
          <w:p w:rsidR="001B510A" w:rsidRPr="001B510A" w:rsidRDefault="001B510A" w:rsidP="001B510A">
            <w:pPr>
              <w:rPr>
                <w:rFonts w:eastAsia="Times New Roman" w:cs="Times New Roman"/>
                <w:color w:val="0000CC"/>
                <w:szCs w:val="20"/>
                <w:lang w:eastAsia="pt-BR"/>
              </w:rPr>
            </w:pPr>
            <w:r w:rsidRPr="001B510A">
              <w:rPr>
                <w:rFonts w:eastAsia="Times New Roman" w:cs="Times New Roman"/>
                <w:color w:val="0000CC"/>
                <w:szCs w:val="20"/>
                <w:lang w:eastAsia="pt-BR"/>
              </w:rPr>
              <w:t>Contribuição Social sobre o Lucro Líquido (Atividade Rural)</w:t>
            </w:r>
          </w:p>
        </w:tc>
        <w:tc>
          <w:tcPr>
            <w:tcW w:w="934" w:type="dxa"/>
            <w:tcBorders>
              <w:top w:val="single" w:sz="4" w:space="0" w:color="auto"/>
              <w:left w:val="nil"/>
              <w:bottom w:val="single" w:sz="4" w:space="0" w:color="auto"/>
              <w:right w:val="single" w:sz="4" w:space="0" w:color="auto"/>
            </w:tcBorders>
            <w:shd w:val="clear" w:color="000000" w:fill="FFFFFF"/>
            <w:vAlign w:val="center"/>
            <w:hideMark/>
          </w:tcPr>
          <w:p w:rsidR="001B510A" w:rsidRPr="001B510A" w:rsidRDefault="001B510A" w:rsidP="001B510A">
            <w:pPr>
              <w:jc w:val="center"/>
              <w:rPr>
                <w:rFonts w:eastAsia="Times New Roman" w:cs="Times New Roman"/>
                <w:color w:val="0000CC"/>
                <w:szCs w:val="20"/>
                <w:lang w:eastAsia="pt-BR"/>
              </w:rPr>
            </w:pPr>
            <w:r w:rsidRPr="001B510A">
              <w:rPr>
                <w:rFonts w:eastAsia="Times New Roman" w:cs="Times New Roman"/>
                <w:color w:val="0000CC"/>
                <w:szCs w:val="20"/>
                <w:lang w:eastAsia="pt-BR"/>
              </w:rPr>
              <w:t>A</w:t>
            </w:r>
          </w:p>
        </w:tc>
        <w:tc>
          <w:tcPr>
            <w:tcW w:w="1359" w:type="dxa"/>
            <w:tcBorders>
              <w:top w:val="single" w:sz="4" w:space="0" w:color="auto"/>
              <w:left w:val="nil"/>
              <w:bottom w:val="single" w:sz="4" w:space="0" w:color="auto"/>
              <w:right w:val="single" w:sz="4" w:space="0" w:color="auto"/>
            </w:tcBorders>
            <w:shd w:val="clear" w:color="000000" w:fill="FFFFFF"/>
            <w:vAlign w:val="center"/>
            <w:hideMark/>
          </w:tcPr>
          <w:p w:rsidR="001B510A" w:rsidRPr="001B510A" w:rsidRDefault="001B510A" w:rsidP="001B510A">
            <w:pPr>
              <w:rPr>
                <w:rFonts w:eastAsia="Times New Roman" w:cs="Times New Roman"/>
                <w:color w:val="0000CC"/>
                <w:szCs w:val="20"/>
                <w:lang w:eastAsia="pt-BR"/>
              </w:rPr>
            </w:pPr>
            <w:r w:rsidRPr="001B510A">
              <w:rPr>
                <w:rFonts w:eastAsia="Times New Roman" w:cs="Times New Roman"/>
                <w:color w:val="0000CC"/>
                <w:szCs w:val="20"/>
                <w:lang w:eastAsia="pt-BR"/>
              </w:rPr>
              <w:t>3.12.01.01.01</w:t>
            </w:r>
          </w:p>
        </w:tc>
        <w:tc>
          <w:tcPr>
            <w:tcW w:w="933" w:type="dxa"/>
            <w:tcBorders>
              <w:top w:val="single" w:sz="4" w:space="0" w:color="auto"/>
              <w:left w:val="nil"/>
              <w:bottom w:val="single" w:sz="4" w:space="0" w:color="auto"/>
              <w:right w:val="single" w:sz="4" w:space="0" w:color="auto"/>
            </w:tcBorders>
            <w:shd w:val="clear" w:color="000000" w:fill="FFFFFF"/>
            <w:vAlign w:val="center"/>
            <w:hideMark/>
          </w:tcPr>
          <w:p w:rsidR="001B510A" w:rsidRPr="001B510A" w:rsidRDefault="001B510A" w:rsidP="001B510A">
            <w:pPr>
              <w:jc w:val="center"/>
              <w:rPr>
                <w:rFonts w:eastAsia="Times New Roman" w:cs="Times New Roman"/>
                <w:color w:val="0000CC"/>
                <w:szCs w:val="20"/>
                <w:lang w:eastAsia="pt-BR"/>
              </w:rPr>
            </w:pPr>
            <w:r w:rsidRPr="001B510A">
              <w:rPr>
                <w:rFonts w:eastAsia="Times New Roman" w:cs="Times New Roman"/>
                <w:color w:val="0000CC"/>
                <w:szCs w:val="20"/>
                <w:lang w:eastAsia="pt-BR"/>
              </w:rPr>
              <w:t>6</w:t>
            </w:r>
          </w:p>
        </w:tc>
        <w:tc>
          <w:tcPr>
            <w:tcW w:w="1151" w:type="dxa"/>
            <w:tcBorders>
              <w:top w:val="single" w:sz="4" w:space="0" w:color="auto"/>
              <w:left w:val="nil"/>
              <w:bottom w:val="single" w:sz="4" w:space="0" w:color="auto"/>
              <w:right w:val="single" w:sz="4" w:space="0" w:color="auto"/>
            </w:tcBorders>
            <w:shd w:val="clear" w:color="000000" w:fill="FFFFFF"/>
            <w:vAlign w:val="center"/>
            <w:hideMark/>
          </w:tcPr>
          <w:p w:rsidR="001B510A" w:rsidRPr="001B510A" w:rsidRDefault="001B510A" w:rsidP="001B510A">
            <w:pPr>
              <w:jc w:val="center"/>
              <w:rPr>
                <w:rFonts w:eastAsia="Times New Roman" w:cs="Times New Roman"/>
                <w:color w:val="0000CC"/>
                <w:szCs w:val="20"/>
                <w:lang w:eastAsia="pt-BR"/>
              </w:rPr>
            </w:pPr>
            <w:r w:rsidRPr="001B510A">
              <w:rPr>
                <w:rFonts w:eastAsia="Times New Roman" w:cs="Times New Roman"/>
                <w:color w:val="0000CC"/>
                <w:szCs w:val="20"/>
                <w:lang w:eastAsia="pt-BR"/>
              </w:rPr>
              <w:t>4</w:t>
            </w:r>
          </w:p>
        </w:tc>
        <w:tc>
          <w:tcPr>
            <w:tcW w:w="7065" w:type="dxa"/>
            <w:tcBorders>
              <w:top w:val="single" w:sz="4" w:space="0" w:color="auto"/>
              <w:left w:val="nil"/>
              <w:bottom w:val="single" w:sz="4" w:space="0" w:color="auto"/>
              <w:right w:val="single" w:sz="4" w:space="0" w:color="auto"/>
            </w:tcBorders>
            <w:shd w:val="clear" w:color="auto" w:fill="auto"/>
            <w:vAlign w:val="center"/>
            <w:hideMark/>
          </w:tcPr>
          <w:p w:rsidR="001B510A" w:rsidRPr="001B510A" w:rsidRDefault="001B510A" w:rsidP="001B510A">
            <w:pPr>
              <w:jc w:val="both"/>
              <w:rPr>
                <w:rFonts w:eastAsia="Times New Roman" w:cs="Times New Roman"/>
                <w:color w:val="0000CC"/>
                <w:szCs w:val="20"/>
                <w:lang w:eastAsia="pt-BR"/>
              </w:rPr>
            </w:pPr>
            <w:r w:rsidRPr="001B510A">
              <w:rPr>
                <w:rFonts w:eastAsia="Times New Roman" w:cs="Times New Roman"/>
                <w:color w:val="0000CC"/>
                <w:szCs w:val="20"/>
                <w:lang w:eastAsia="pt-BR"/>
              </w:rPr>
              <w:t>Contas que registram a soma das provisões para a CSLL calculadas sobre a base de cálculo correspondente ao período de apuração. A sua constituição é obrigatória para todas as pessoas jurídicas tributadas com base no lucro real.</w:t>
            </w:r>
            <w:r w:rsidRPr="001B510A">
              <w:rPr>
                <w:rFonts w:eastAsia="Times New Roman" w:cs="Times New Roman"/>
                <w:color w:val="0000CC"/>
                <w:szCs w:val="20"/>
                <w:lang w:eastAsia="pt-BR"/>
              </w:rPr>
              <w:br/>
              <w:t>As cooperativas devem informar, nesta linha, a provisão da CSLL sobre os resultados das operações realizadas com os não-associados</w:t>
            </w:r>
          </w:p>
        </w:tc>
      </w:tr>
      <w:tr w:rsidR="001B510A" w:rsidRPr="001B510A" w:rsidTr="001B510A">
        <w:trPr>
          <w:trHeight w:val="1275"/>
        </w:trPr>
        <w:tc>
          <w:tcPr>
            <w:tcW w:w="1490" w:type="dxa"/>
            <w:tcBorders>
              <w:top w:val="nil"/>
              <w:left w:val="single" w:sz="4" w:space="0" w:color="auto"/>
              <w:bottom w:val="single" w:sz="4" w:space="0" w:color="auto"/>
              <w:right w:val="single" w:sz="4" w:space="0" w:color="auto"/>
            </w:tcBorders>
            <w:shd w:val="clear" w:color="000000" w:fill="FFFFFF"/>
            <w:vAlign w:val="center"/>
            <w:hideMark/>
          </w:tcPr>
          <w:p w:rsidR="001B510A" w:rsidRPr="001B510A" w:rsidRDefault="001B510A" w:rsidP="001B510A">
            <w:pPr>
              <w:rPr>
                <w:rFonts w:eastAsia="Times New Roman" w:cs="Times New Roman"/>
                <w:color w:val="0000CC"/>
                <w:szCs w:val="20"/>
                <w:lang w:eastAsia="pt-BR"/>
              </w:rPr>
            </w:pPr>
            <w:r w:rsidRPr="001B510A">
              <w:rPr>
                <w:rFonts w:eastAsia="Times New Roman" w:cs="Times New Roman"/>
                <w:color w:val="0000CC"/>
                <w:szCs w:val="20"/>
                <w:lang w:eastAsia="pt-BR"/>
              </w:rPr>
              <w:t>3.12.01.01.01.11</w:t>
            </w:r>
          </w:p>
        </w:tc>
        <w:tc>
          <w:tcPr>
            <w:tcW w:w="3379" w:type="dxa"/>
            <w:tcBorders>
              <w:top w:val="nil"/>
              <w:left w:val="nil"/>
              <w:bottom w:val="single" w:sz="4" w:space="0" w:color="auto"/>
              <w:right w:val="single" w:sz="4" w:space="0" w:color="auto"/>
            </w:tcBorders>
            <w:shd w:val="clear" w:color="000000" w:fill="FFFFFF"/>
            <w:vAlign w:val="center"/>
            <w:hideMark/>
          </w:tcPr>
          <w:p w:rsidR="001B510A" w:rsidRPr="001B510A" w:rsidRDefault="001B510A" w:rsidP="001B510A">
            <w:pPr>
              <w:rPr>
                <w:rFonts w:eastAsia="Times New Roman" w:cs="Times New Roman"/>
                <w:color w:val="0000CC"/>
                <w:szCs w:val="20"/>
                <w:lang w:eastAsia="pt-BR"/>
              </w:rPr>
            </w:pPr>
            <w:r w:rsidRPr="001B510A">
              <w:rPr>
                <w:rFonts w:eastAsia="Times New Roman" w:cs="Times New Roman"/>
                <w:color w:val="0000CC"/>
                <w:szCs w:val="20"/>
                <w:lang w:eastAsia="pt-BR"/>
              </w:rPr>
              <w:t>Contribuição Social sobre o Lucro Líquido - Lucros Diferidos (Atividade Rural)</w:t>
            </w:r>
          </w:p>
        </w:tc>
        <w:tc>
          <w:tcPr>
            <w:tcW w:w="934" w:type="dxa"/>
            <w:tcBorders>
              <w:top w:val="nil"/>
              <w:left w:val="nil"/>
              <w:bottom w:val="single" w:sz="4" w:space="0" w:color="auto"/>
              <w:right w:val="single" w:sz="4" w:space="0" w:color="auto"/>
            </w:tcBorders>
            <w:shd w:val="clear" w:color="000000" w:fill="FFFFFF"/>
            <w:vAlign w:val="center"/>
            <w:hideMark/>
          </w:tcPr>
          <w:p w:rsidR="001B510A" w:rsidRPr="001B510A" w:rsidRDefault="001B510A" w:rsidP="001B510A">
            <w:pPr>
              <w:jc w:val="center"/>
              <w:rPr>
                <w:rFonts w:eastAsia="Times New Roman" w:cs="Times New Roman"/>
                <w:color w:val="0000CC"/>
                <w:szCs w:val="20"/>
                <w:lang w:eastAsia="pt-BR"/>
              </w:rPr>
            </w:pPr>
            <w:r w:rsidRPr="001B510A">
              <w:rPr>
                <w:rFonts w:eastAsia="Times New Roman" w:cs="Times New Roman"/>
                <w:color w:val="0000CC"/>
                <w:szCs w:val="20"/>
                <w:lang w:eastAsia="pt-BR"/>
              </w:rPr>
              <w:t>A</w:t>
            </w:r>
          </w:p>
        </w:tc>
        <w:tc>
          <w:tcPr>
            <w:tcW w:w="1359" w:type="dxa"/>
            <w:tcBorders>
              <w:top w:val="nil"/>
              <w:left w:val="nil"/>
              <w:bottom w:val="single" w:sz="4" w:space="0" w:color="auto"/>
              <w:right w:val="single" w:sz="4" w:space="0" w:color="auto"/>
            </w:tcBorders>
            <w:shd w:val="clear" w:color="000000" w:fill="FFFFFF"/>
            <w:vAlign w:val="center"/>
            <w:hideMark/>
          </w:tcPr>
          <w:p w:rsidR="001B510A" w:rsidRPr="001B510A" w:rsidRDefault="001B510A" w:rsidP="001B510A">
            <w:pPr>
              <w:rPr>
                <w:rFonts w:eastAsia="Times New Roman" w:cs="Times New Roman"/>
                <w:color w:val="0000CC"/>
                <w:szCs w:val="20"/>
                <w:lang w:eastAsia="pt-BR"/>
              </w:rPr>
            </w:pPr>
            <w:r w:rsidRPr="001B510A">
              <w:rPr>
                <w:rFonts w:eastAsia="Times New Roman" w:cs="Times New Roman"/>
                <w:color w:val="0000CC"/>
                <w:szCs w:val="20"/>
                <w:lang w:eastAsia="pt-BR"/>
              </w:rPr>
              <w:t>3.12.01.01.01</w:t>
            </w:r>
          </w:p>
        </w:tc>
        <w:tc>
          <w:tcPr>
            <w:tcW w:w="933" w:type="dxa"/>
            <w:tcBorders>
              <w:top w:val="nil"/>
              <w:left w:val="nil"/>
              <w:bottom w:val="single" w:sz="4" w:space="0" w:color="auto"/>
              <w:right w:val="single" w:sz="4" w:space="0" w:color="auto"/>
            </w:tcBorders>
            <w:shd w:val="clear" w:color="000000" w:fill="FFFFFF"/>
            <w:vAlign w:val="center"/>
            <w:hideMark/>
          </w:tcPr>
          <w:p w:rsidR="001B510A" w:rsidRPr="001B510A" w:rsidRDefault="001B510A" w:rsidP="001B510A">
            <w:pPr>
              <w:jc w:val="center"/>
              <w:rPr>
                <w:rFonts w:eastAsia="Times New Roman" w:cs="Times New Roman"/>
                <w:color w:val="0000CC"/>
                <w:szCs w:val="20"/>
                <w:lang w:eastAsia="pt-BR"/>
              </w:rPr>
            </w:pPr>
            <w:r w:rsidRPr="001B510A">
              <w:rPr>
                <w:rFonts w:eastAsia="Times New Roman" w:cs="Times New Roman"/>
                <w:color w:val="0000CC"/>
                <w:szCs w:val="20"/>
                <w:lang w:eastAsia="pt-BR"/>
              </w:rPr>
              <w:t>6</w:t>
            </w:r>
          </w:p>
        </w:tc>
        <w:tc>
          <w:tcPr>
            <w:tcW w:w="1151" w:type="dxa"/>
            <w:tcBorders>
              <w:top w:val="nil"/>
              <w:left w:val="nil"/>
              <w:bottom w:val="single" w:sz="4" w:space="0" w:color="auto"/>
              <w:right w:val="single" w:sz="4" w:space="0" w:color="auto"/>
            </w:tcBorders>
            <w:shd w:val="clear" w:color="000000" w:fill="FFFFFF"/>
            <w:vAlign w:val="center"/>
            <w:hideMark/>
          </w:tcPr>
          <w:p w:rsidR="001B510A" w:rsidRPr="001B510A" w:rsidRDefault="001B510A" w:rsidP="001B510A">
            <w:pPr>
              <w:jc w:val="center"/>
              <w:rPr>
                <w:rFonts w:eastAsia="Times New Roman" w:cs="Times New Roman"/>
                <w:color w:val="0000CC"/>
                <w:szCs w:val="20"/>
                <w:lang w:eastAsia="pt-BR"/>
              </w:rPr>
            </w:pPr>
            <w:r w:rsidRPr="001B510A">
              <w:rPr>
                <w:rFonts w:eastAsia="Times New Roman" w:cs="Times New Roman"/>
                <w:color w:val="0000CC"/>
                <w:szCs w:val="20"/>
                <w:lang w:eastAsia="pt-BR"/>
              </w:rPr>
              <w:t>4</w:t>
            </w:r>
          </w:p>
        </w:tc>
        <w:tc>
          <w:tcPr>
            <w:tcW w:w="7065" w:type="dxa"/>
            <w:tcBorders>
              <w:top w:val="nil"/>
              <w:left w:val="nil"/>
              <w:bottom w:val="single" w:sz="4" w:space="0" w:color="auto"/>
              <w:right w:val="single" w:sz="4" w:space="0" w:color="auto"/>
            </w:tcBorders>
            <w:shd w:val="clear" w:color="auto" w:fill="auto"/>
            <w:vAlign w:val="center"/>
            <w:hideMark/>
          </w:tcPr>
          <w:p w:rsidR="001B510A" w:rsidRPr="001B510A" w:rsidRDefault="001B510A" w:rsidP="001B510A">
            <w:pPr>
              <w:jc w:val="both"/>
              <w:rPr>
                <w:rFonts w:eastAsia="Times New Roman" w:cs="Times New Roman"/>
                <w:color w:val="0000CC"/>
                <w:szCs w:val="20"/>
                <w:lang w:eastAsia="pt-BR"/>
              </w:rPr>
            </w:pPr>
            <w:r w:rsidRPr="001B510A">
              <w:rPr>
                <w:rFonts w:eastAsia="Times New Roman" w:cs="Times New Roman"/>
                <w:color w:val="0000CC"/>
                <w:szCs w:val="20"/>
                <w:lang w:eastAsia="pt-BR"/>
              </w:rPr>
              <w:t>Contas que registram a soma das provisões para a CSLL calculadas sobre os lucros diferidos da atividade rural, se for o caso. A sua constituição é obrigatória para todas as pessoas jurídicas tributadas com base no lucro real.</w:t>
            </w:r>
            <w:r w:rsidRPr="001B510A">
              <w:rPr>
                <w:rFonts w:eastAsia="Times New Roman" w:cs="Times New Roman"/>
                <w:color w:val="0000CC"/>
                <w:szCs w:val="20"/>
                <w:lang w:eastAsia="pt-BR"/>
              </w:rPr>
              <w:br/>
              <w:t>As cooperativas devem informar, nesta linha, a provisão da CSLL sobre os resultados das operações realizadas com os não-associados</w:t>
            </w:r>
          </w:p>
        </w:tc>
      </w:tr>
    </w:tbl>
    <w:p w:rsidR="001B510A" w:rsidRDefault="001B510A" w:rsidP="00391278">
      <w:pPr>
        <w:rPr>
          <w:lang w:eastAsia="ar-SA"/>
        </w:rPr>
      </w:pPr>
    </w:p>
    <w:p w:rsidR="001B510A" w:rsidRDefault="001B510A" w:rsidP="00391278">
      <w:pPr>
        <w:rPr>
          <w:lang w:eastAsia="ar-SA"/>
        </w:rPr>
      </w:pPr>
    </w:p>
    <w:p w:rsidR="00295379" w:rsidRDefault="00295379" w:rsidP="00295379">
      <w:pPr>
        <w:pStyle w:val="Ttulo3"/>
      </w:pPr>
      <w:r w:rsidRPr="003E68F2">
        <w:rPr>
          <w:color w:val="auto"/>
          <w:u w:val="single"/>
        </w:rPr>
        <w:t>Alteração no item:</w:t>
      </w:r>
      <w:r w:rsidRPr="00D95E2A">
        <w:rPr>
          <w:color w:val="auto"/>
        </w:rPr>
        <w:t xml:space="preserve"> </w:t>
      </w:r>
      <w:r w:rsidRPr="00FA3856">
        <w:t>Registro L300: Demonstração do Resultado Líquido no Período Fiscal</w:t>
      </w:r>
      <w:r>
        <w:t>: Inclusão de contas no L300B</w:t>
      </w:r>
    </w:p>
    <w:p w:rsidR="00295379" w:rsidRDefault="00295379" w:rsidP="00295379"/>
    <w:tbl>
      <w:tblPr>
        <w:tblW w:w="6516" w:type="dxa"/>
        <w:tblCellMar>
          <w:left w:w="70" w:type="dxa"/>
          <w:right w:w="70" w:type="dxa"/>
        </w:tblCellMar>
        <w:tblLook w:val="04A0" w:firstRow="1" w:lastRow="0" w:firstColumn="1" w:lastColumn="0" w:noHBand="0" w:noVBand="1"/>
      </w:tblPr>
      <w:tblGrid>
        <w:gridCol w:w="1520"/>
        <w:gridCol w:w="4996"/>
      </w:tblGrid>
      <w:tr w:rsidR="00992BF0" w:rsidRPr="00992BF0" w:rsidTr="00992BF0">
        <w:trPr>
          <w:trHeight w:val="375"/>
        </w:trPr>
        <w:tc>
          <w:tcPr>
            <w:tcW w:w="1520"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rsidR="00992BF0" w:rsidRPr="00992BF0" w:rsidRDefault="00992BF0" w:rsidP="00992BF0">
            <w:pPr>
              <w:rPr>
                <w:rFonts w:eastAsia="Times New Roman" w:cs="Times New Roman"/>
                <w:color w:val="0000CC"/>
                <w:szCs w:val="20"/>
                <w:lang w:eastAsia="pt-BR"/>
              </w:rPr>
            </w:pPr>
            <w:r w:rsidRPr="00992BF0">
              <w:rPr>
                <w:rFonts w:eastAsia="Times New Roman" w:cs="Times New Roman"/>
                <w:color w:val="0000CC"/>
                <w:szCs w:val="20"/>
                <w:lang w:eastAsia="pt-BR"/>
              </w:rPr>
              <w:t>3.1.7.1.9.99.10</w:t>
            </w:r>
          </w:p>
        </w:tc>
        <w:tc>
          <w:tcPr>
            <w:tcW w:w="4996" w:type="dxa"/>
            <w:tcBorders>
              <w:top w:val="single" w:sz="4" w:space="0" w:color="auto"/>
              <w:left w:val="nil"/>
              <w:bottom w:val="single" w:sz="4" w:space="0" w:color="auto"/>
              <w:right w:val="single" w:sz="4" w:space="0" w:color="auto"/>
            </w:tcBorders>
            <w:shd w:val="clear" w:color="000000" w:fill="FFF2CC"/>
            <w:vAlign w:val="center"/>
            <w:hideMark/>
          </w:tcPr>
          <w:p w:rsidR="00992BF0" w:rsidRPr="00992BF0" w:rsidRDefault="00992BF0" w:rsidP="00992BF0">
            <w:pPr>
              <w:rPr>
                <w:rFonts w:eastAsia="Times New Roman" w:cs="Times New Roman"/>
                <w:color w:val="0000CC"/>
                <w:szCs w:val="20"/>
                <w:lang w:eastAsia="pt-BR"/>
              </w:rPr>
            </w:pPr>
            <w:r w:rsidRPr="00992BF0">
              <w:rPr>
                <w:rFonts w:eastAsia="Times New Roman" w:cs="Times New Roman"/>
                <w:color w:val="0000CC"/>
                <w:szCs w:val="20"/>
                <w:lang w:eastAsia="pt-BR"/>
              </w:rPr>
              <w:t>Receitas de Juros Sobre o Capital Próprio</w:t>
            </w:r>
          </w:p>
        </w:tc>
      </w:tr>
      <w:tr w:rsidR="00992BF0" w:rsidRPr="00992BF0" w:rsidTr="00992BF0">
        <w:trPr>
          <w:trHeight w:val="375"/>
        </w:trPr>
        <w:tc>
          <w:tcPr>
            <w:tcW w:w="1520"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rsidR="00992BF0" w:rsidRPr="00992BF0" w:rsidRDefault="00992BF0" w:rsidP="00992BF0">
            <w:pPr>
              <w:rPr>
                <w:rFonts w:eastAsia="Times New Roman" w:cs="Times New Roman"/>
                <w:color w:val="0000CC"/>
                <w:szCs w:val="20"/>
                <w:lang w:eastAsia="pt-BR"/>
              </w:rPr>
            </w:pPr>
            <w:r w:rsidRPr="00992BF0">
              <w:rPr>
                <w:rFonts w:eastAsia="Times New Roman" w:cs="Times New Roman"/>
                <w:color w:val="0000CC"/>
                <w:szCs w:val="20"/>
                <w:lang w:eastAsia="pt-BR"/>
              </w:rPr>
              <w:t>3.1.8.1.8.40.00</w:t>
            </w:r>
          </w:p>
        </w:tc>
        <w:tc>
          <w:tcPr>
            <w:tcW w:w="4996" w:type="dxa"/>
            <w:tcBorders>
              <w:top w:val="single" w:sz="4" w:space="0" w:color="auto"/>
              <w:left w:val="nil"/>
              <w:bottom w:val="single" w:sz="4" w:space="0" w:color="auto"/>
              <w:right w:val="single" w:sz="4" w:space="0" w:color="auto"/>
            </w:tcBorders>
            <w:shd w:val="clear" w:color="000000" w:fill="FFF2CC"/>
            <w:vAlign w:val="center"/>
            <w:hideMark/>
          </w:tcPr>
          <w:p w:rsidR="00992BF0" w:rsidRPr="00992BF0" w:rsidRDefault="000E3C5B" w:rsidP="00992BF0">
            <w:pPr>
              <w:rPr>
                <w:rFonts w:eastAsia="Times New Roman" w:cs="Times New Roman"/>
                <w:color w:val="0000CC"/>
                <w:szCs w:val="20"/>
                <w:lang w:eastAsia="pt-BR"/>
              </w:rPr>
            </w:pPr>
            <w:r>
              <w:rPr>
                <w:rFonts w:eastAsia="Times New Roman" w:cs="Times New Roman"/>
                <w:color w:val="0000CC"/>
                <w:szCs w:val="20"/>
                <w:lang w:eastAsia="pt-BR"/>
              </w:rPr>
              <w:t>DESPESAS DE PROVISÕES PASSIVAS</w:t>
            </w:r>
          </w:p>
        </w:tc>
      </w:tr>
      <w:tr w:rsidR="00992BF0" w:rsidRPr="00992BF0" w:rsidTr="00992BF0">
        <w:trPr>
          <w:trHeight w:val="375"/>
        </w:trPr>
        <w:tc>
          <w:tcPr>
            <w:tcW w:w="1520"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rsidR="00992BF0" w:rsidRPr="00992BF0" w:rsidRDefault="00992BF0" w:rsidP="00992BF0">
            <w:pPr>
              <w:rPr>
                <w:rFonts w:eastAsia="Times New Roman" w:cs="Times New Roman"/>
                <w:color w:val="0000CC"/>
                <w:szCs w:val="20"/>
                <w:lang w:eastAsia="pt-BR"/>
              </w:rPr>
            </w:pPr>
            <w:r w:rsidRPr="00992BF0">
              <w:rPr>
                <w:rFonts w:eastAsia="Times New Roman" w:cs="Times New Roman"/>
                <w:color w:val="0000CC"/>
                <w:szCs w:val="20"/>
                <w:lang w:eastAsia="pt-BR"/>
              </w:rPr>
              <w:t>3.1.8.1.8.40.10</w:t>
            </w:r>
          </w:p>
        </w:tc>
        <w:tc>
          <w:tcPr>
            <w:tcW w:w="4996" w:type="dxa"/>
            <w:tcBorders>
              <w:top w:val="single" w:sz="4" w:space="0" w:color="auto"/>
              <w:left w:val="nil"/>
              <w:bottom w:val="single" w:sz="4" w:space="0" w:color="auto"/>
              <w:right w:val="single" w:sz="4" w:space="0" w:color="auto"/>
            </w:tcBorders>
            <w:shd w:val="clear" w:color="000000" w:fill="FFF2CC"/>
            <w:vAlign w:val="center"/>
            <w:hideMark/>
          </w:tcPr>
          <w:p w:rsidR="00992BF0" w:rsidRPr="00992BF0" w:rsidRDefault="00992BF0" w:rsidP="00992BF0">
            <w:pPr>
              <w:rPr>
                <w:rFonts w:eastAsia="Times New Roman" w:cs="Times New Roman"/>
                <w:color w:val="0000CC"/>
                <w:szCs w:val="20"/>
                <w:lang w:eastAsia="pt-BR"/>
              </w:rPr>
            </w:pPr>
            <w:r w:rsidRPr="00992BF0">
              <w:rPr>
                <w:rFonts w:eastAsia="Times New Roman" w:cs="Times New Roman"/>
                <w:color w:val="0000CC"/>
                <w:szCs w:val="20"/>
                <w:lang w:eastAsia="pt-BR"/>
              </w:rPr>
              <w:t>Contingências</w:t>
            </w:r>
          </w:p>
        </w:tc>
      </w:tr>
      <w:tr w:rsidR="00992BF0" w:rsidRPr="00992BF0" w:rsidTr="00992BF0">
        <w:trPr>
          <w:trHeight w:val="375"/>
        </w:trPr>
        <w:tc>
          <w:tcPr>
            <w:tcW w:w="1520"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rsidR="00992BF0" w:rsidRPr="00992BF0" w:rsidRDefault="00992BF0" w:rsidP="00992BF0">
            <w:pPr>
              <w:rPr>
                <w:rFonts w:eastAsia="Times New Roman" w:cs="Times New Roman"/>
                <w:color w:val="0000CC"/>
                <w:szCs w:val="20"/>
                <w:lang w:eastAsia="pt-BR"/>
              </w:rPr>
            </w:pPr>
            <w:r w:rsidRPr="00992BF0">
              <w:rPr>
                <w:rFonts w:eastAsia="Times New Roman" w:cs="Times New Roman"/>
                <w:color w:val="0000CC"/>
                <w:szCs w:val="20"/>
                <w:lang w:eastAsia="pt-BR"/>
              </w:rPr>
              <w:t>3.1.8.1.8.40.20</w:t>
            </w:r>
          </w:p>
        </w:tc>
        <w:tc>
          <w:tcPr>
            <w:tcW w:w="4996" w:type="dxa"/>
            <w:tcBorders>
              <w:top w:val="single" w:sz="4" w:space="0" w:color="auto"/>
              <w:left w:val="nil"/>
              <w:bottom w:val="single" w:sz="4" w:space="0" w:color="auto"/>
              <w:right w:val="single" w:sz="4" w:space="0" w:color="auto"/>
            </w:tcBorders>
            <w:shd w:val="clear" w:color="000000" w:fill="FFF2CC"/>
            <w:vAlign w:val="center"/>
            <w:hideMark/>
          </w:tcPr>
          <w:p w:rsidR="00992BF0" w:rsidRPr="00992BF0" w:rsidRDefault="00992BF0" w:rsidP="00992BF0">
            <w:pPr>
              <w:rPr>
                <w:rFonts w:eastAsia="Times New Roman" w:cs="Times New Roman"/>
                <w:color w:val="0000CC"/>
                <w:szCs w:val="20"/>
                <w:lang w:eastAsia="pt-BR"/>
              </w:rPr>
            </w:pPr>
            <w:r w:rsidRPr="00992BF0">
              <w:rPr>
                <w:rFonts w:eastAsia="Times New Roman" w:cs="Times New Roman"/>
                <w:color w:val="0000CC"/>
                <w:szCs w:val="20"/>
                <w:lang w:eastAsia="pt-BR"/>
              </w:rPr>
              <w:t>Garantias Financeiras Prestadas</w:t>
            </w:r>
          </w:p>
        </w:tc>
      </w:tr>
      <w:tr w:rsidR="00992BF0" w:rsidRPr="00992BF0" w:rsidTr="00992BF0">
        <w:trPr>
          <w:trHeight w:val="375"/>
        </w:trPr>
        <w:tc>
          <w:tcPr>
            <w:tcW w:w="1520"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rsidR="00992BF0" w:rsidRPr="00992BF0" w:rsidRDefault="00992BF0" w:rsidP="00992BF0">
            <w:pPr>
              <w:rPr>
                <w:rFonts w:eastAsia="Times New Roman" w:cs="Times New Roman"/>
                <w:color w:val="0000CC"/>
                <w:szCs w:val="20"/>
                <w:lang w:eastAsia="pt-BR"/>
              </w:rPr>
            </w:pPr>
            <w:r w:rsidRPr="00992BF0">
              <w:rPr>
                <w:rFonts w:eastAsia="Times New Roman" w:cs="Times New Roman"/>
                <w:color w:val="0000CC"/>
                <w:szCs w:val="20"/>
                <w:lang w:eastAsia="pt-BR"/>
              </w:rPr>
              <w:t>3.1.8.1.8.40.90</w:t>
            </w:r>
          </w:p>
        </w:tc>
        <w:tc>
          <w:tcPr>
            <w:tcW w:w="4996" w:type="dxa"/>
            <w:tcBorders>
              <w:top w:val="single" w:sz="4" w:space="0" w:color="auto"/>
              <w:left w:val="nil"/>
              <w:bottom w:val="single" w:sz="4" w:space="0" w:color="auto"/>
              <w:right w:val="single" w:sz="4" w:space="0" w:color="auto"/>
            </w:tcBorders>
            <w:shd w:val="clear" w:color="000000" w:fill="FFF2CC"/>
            <w:vAlign w:val="center"/>
            <w:hideMark/>
          </w:tcPr>
          <w:p w:rsidR="00992BF0" w:rsidRPr="00992BF0" w:rsidRDefault="00992BF0" w:rsidP="00992BF0">
            <w:pPr>
              <w:rPr>
                <w:rFonts w:eastAsia="Times New Roman" w:cs="Times New Roman"/>
                <w:color w:val="0000CC"/>
                <w:szCs w:val="20"/>
                <w:lang w:eastAsia="pt-BR"/>
              </w:rPr>
            </w:pPr>
            <w:r w:rsidRPr="00992BF0">
              <w:rPr>
                <w:rFonts w:eastAsia="Times New Roman" w:cs="Times New Roman"/>
                <w:color w:val="0000CC"/>
                <w:szCs w:val="20"/>
                <w:lang w:eastAsia="pt-BR"/>
              </w:rPr>
              <w:t>Outras</w:t>
            </w:r>
          </w:p>
        </w:tc>
      </w:tr>
    </w:tbl>
    <w:p w:rsidR="00295379" w:rsidRPr="00295379" w:rsidRDefault="00295379" w:rsidP="00295379"/>
    <w:p w:rsidR="00295379" w:rsidRDefault="00BF2A65" w:rsidP="00BF2A65">
      <w:pPr>
        <w:pStyle w:val="Ttulo3"/>
      </w:pPr>
      <w:r w:rsidRPr="003E68F2">
        <w:rPr>
          <w:color w:val="auto"/>
          <w:u w:val="single"/>
        </w:rPr>
        <w:t>Alteração no item:</w:t>
      </w:r>
      <w:r w:rsidRPr="00D95E2A">
        <w:rPr>
          <w:color w:val="auto"/>
        </w:rPr>
        <w:t xml:space="preserve"> </w:t>
      </w:r>
      <w:r w:rsidRPr="00FA3856">
        <w:t>Registro L300: Demonstração do Resultado Líquido no Período Fiscal</w:t>
      </w:r>
      <w:r>
        <w:t>: Inclusão de contas no L300C</w:t>
      </w:r>
    </w:p>
    <w:p w:rsidR="00BF2A65" w:rsidRDefault="00BF2A65" w:rsidP="00391278">
      <w:pPr>
        <w:rPr>
          <w:lang w:eastAsia="ar-SA"/>
        </w:rPr>
      </w:pPr>
    </w:p>
    <w:tbl>
      <w:tblPr>
        <w:tblW w:w="6880" w:type="dxa"/>
        <w:tblCellMar>
          <w:left w:w="70" w:type="dxa"/>
          <w:right w:w="70" w:type="dxa"/>
        </w:tblCellMar>
        <w:tblLook w:val="04A0" w:firstRow="1" w:lastRow="0" w:firstColumn="1" w:lastColumn="0" w:noHBand="0" w:noVBand="1"/>
      </w:tblPr>
      <w:tblGrid>
        <w:gridCol w:w="1780"/>
        <w:gridCol w:w="5100"/>
      </w:tblGrid>
      <w:tr w:rsidR="00BF2A65" w:rsidRPr="00BF2A65" w:rsidTr="00BF2A65">
        <w:trPr>
          <w:trHeight w:val="510"/>
        </w:trPr>
        <w:tc>
          <w:tcPr>
            <w:tcW w:w="1780" w:type="dxa"/>
            <w:tcBorders>
              <w:top w:val="single" w:sz="4" w:space="0" w:color="auto"/>
              <w:left w:val="single" w:sz="4" w:space="0" w:color="auto"/>
              <w:bottom w:val="single" w:sz="4" w:space="0" w:color="auto"/>
              <w:right w:val="single" w:sz="4" w:space="0" w:color="auto"/>
            </w:tcBorders>
            <w:shd w:val="clear" w:color="000000" w:fill="9BC2E6"/>
            <w:noWrap/>
            <w:vAlign w:val="center"/>
            <w:hideMark/>
          </w:tcPr>
          <w:p w:rsidR="00BF2A65" w:rsidRPr="00BF2A65" w:rsidRDefault="00BF2A65" w:rsidP="00BF2A65">
            <w:pPr>
              <w:rPr>
                <w:rFonts w:eastAsia="Times New Roman" w:cs="Times New Roman"/>
                <w:color w:val="0000CC"/>
                <w:szCs w:val="20"/>
                <w:lang w:eastAsia="pt-BR"/>
              </w:rPr>
            </w:pPr>
            <w:r w:rsidRPr="00BF2A65">
              <w:rPr>
                <w:rFonts w:eastAsia="Times New Roman" w:cs="Times New Roman"/>
                <w:color w:val="0000CC"/>
                <w:szCs w:val="20"/>
                <w:lang w:eastAsia="pt-BR"/>
              </w:rPr>
              <w:t>3.02.11</w:t>
            </w:r>
          </w:p>
        </w:tc>
        <w:tc>
          <w:tcPr>
            <w:tcW w:w="5100" w:type="dxa"/>
            <w:tcBorders>
              <w:top w:val="single" w:sz="4" w:space="0" w:color="auto"/>
              <w:left w:val="nil"/>
              <w:bottom w:val="single" w:sz="4" w:space="0" w:color="auto"/>
              <w:right w:val="single" w:sz="4" w:space="0" w:color="auto"/>
            </w:tcBorders>
            <w:shd w:val="clear" w:color="000000" w:fill="9BC2E6"/>
            <w:vAlign w:val="center"/>
            <w:hideMark/>
          </w:tcPr>
          <w:p w:rsidR="00BF2A65" w:rsidRPr="00BF2A65" w:rsidRDefault="00BF2A65" w:rsidP="00BF2A65">
            <w:pPr>
              <w:rPr>
                <w:rFonts w:eastAsia="Times New Roman" w:cs="Times New Roman"/>
                <w:color w:val="0000CC"/>
                <w:szCs w:val="20"/>
                <w:lang w:eastAsia="pt-BR"/>
              </w:rPr>
            </w:pPr>
            <w:r w:rsidRPr="00BF2A65">
              <w:rPr>
                <w:rFonts w:eastAsia="Times New Roman" w:cs="Times New Roman"/>
                <w:color w:val="0000CC"/>
                <w:szCs w:val="20"/>
                <w:lang w:eastAsia="pt-BR"/>
              </w:rPr>
              <w:t>(-) Contribuição Social sobre o Lucro Líquido - Lucros Diferidos</w:t>
            </w:r>
          </w:p>
        </w:tc>
      </w:tr>
      <w:tr w:rsidR="0077204E" w:rsidRPr="0077204E" w:rsidTr="0077204E">
        <w:trPr>
          <w:trHeight w:val="510"/>
        </w:trPr>
        <w:tc>
          <w:tcPr>
            <w:tcW w:w="1780" w:type="dxa"/>
            <w:tcBorders>
              <w:top w:val="single" w:sz="4" w:space="0" w:color="auto"/>
              <w:left w:val="single" w:sz="4" w:space="0" w:color="auto"/>
              <w:bottom w:val="single" w:sz="4" w:space="0" w:color="auto"/>
              <w:right w:val="single" w:sz="4" w:space="0" w:color="auto"/>
            </w:tcBorders>
            <w:shd w:val="clear" w:color="000000" w:fill="9BC2E6"/>
            <w:noWrap/>
            <w:vAlign w:val="center"/>
            <w:hideMark/>
          </w:tcPr>
          <w:p w:rsidR="0077204E" w:rsidRPr="0077204E" w:rsidRDefault="0077204E" w:rsidP="0077204E">
            <w:pPr>
              <w:rPr>
                <w:rFonts w:eastAsia="Times New Roman" w:cs="Times New Roman"/>
                <w:color w:val="0000CC"/>
                <w:szCs w:val="20"/>
                <w:lang w:eastAsia="pt-BR"/>
              </w:rPr>
            </w:pPr>
            <w:r w:rsidRPr="0077204E">
              <w:rPr>
                <w:rFonts w:eastAsia="Times New Roman" w:cs="Times New Roman"/>
                <w:color w:val="0000CC"/>
                <w:szCs w:val="20"/>
                <w:lang w:eastAsia="pt-BR"/>
              </w:rPr>
              <w:t>3.03.11</w:t>
            </w:r>
          </w:p>
        </w:tc>
        <w:tc>
          <w:tcPr>
            <w:tcW w:w="5100" w:type="dxa"/>
            <w:tcBorders>
              <w:top w:val="single" w:sz="4" w:space="0" w:color="auto"/>
              <w:left w:val="nil"/>
              <w:bottom w:val="single" w:sz="4" w:space="0" w:color="auto"/>
              <w:right w:val="single" w:sz="4" w:space="0" w:color="auto"/>
            </w:tcBorders>
            <w:shd w:val="clear" w:color="000000" w:fill="9BC2E6"/>
            <w:vAlign w:val="center"/>
            <w:hideMark/>
          </w:tcPr>
          <w:p w:rsidR="0077204E" w:rsidRPr="0077204E" w:rsidRDefault="0077204E" w:rsidP="0077204E">
            <w:pPr>
              <w:rPr>
                <w:rFonts w:eastAsia="Times New Roman" w:cs="Times New Roman"/>
                <w:color w:val="0000CC"/>
                <w:szCs w:val="20"/>
                <w:lang w:eastAsia="pt-BR"/>
              </w:rPr>
            </w:pPr>
            <w:r w:rsidRPr="0077204E">
              <w:rPr>
                <w:rFonts w:eastAsia="Times New Roman" w:cs="Times New Roman"/>
                <w:color w:val="0000CC"/>
                <w:szCs w:val="20"/>
                <w:lang w:eastAsia="pt-BR"/>
              </w:rPr>
              <w:t>(-) Provisão para o Imposto de Renda - Lucros Diferidos</w:t>
            </w:r>
          </w:p>
        </w:tc>
      </w:tr>
    </w:tbl>
    <w:p w:rsidR="00BF2A65" w:rsidRDefault="00BF2A65" w:rsidP="00391278">
      <w:pPr>
        <w:rPr>
          <w:lang w:eastAsia="ar-SA"/>
        </w:rPr>
      </w:pPr>
    </w:p>
    <w:p w:rsidR="001A091D" w:rsidRPr="00FA3856" w:rsidRDefault="003E68F2" w:rsidP="003E68F2">
      <w:pPr>
        <w:pStyle w:val="Ttulo3"/>
      </w:pPr>
      <w:bookmarkStart w:id="468" w:name="_Toc479713857"/>
      <w:r w:rsidRPr="003E68F2">
        <w:rPr>
          <w:color w:val="auto"/>
          <w:u w:val="single"/>
        </w:rPr>
        <w:t>Alteração no item:</w:t>
      </w:r>
      <w:r w:rsidR="00D95E2A" w:rsidRPr="00D95E2A">
        <w:rPr>
          <w:color w:val="auto"/>
        </w:rPr>
        <w:t xml:space="preserve"> </w:t>
      </w:r>
      <w:r w:rsidR="001A091D" w:rsidRPr="00FA3856">
        <w:t>Registro M310: Contas Contábeis Relacionadas ao Lançamento da Parte A do e-Lalur</w:t>
      </w:r>
      <w:r w:rsidR="001A091D">
        <w:t>: Inclusão de regra.</w:t>
      </w:r>
      <w:bookmarkEnd w:id="468"/>
    </w:p>
    <w:p w:rsidR="001A091D" w:rsidRPr="00FA3856" w:rsidRDefault="001A091D" w:rsidP="001A091D">
      <w:pPr>
        <w:rPr>
          <w:b/>
          <w:bCs/>
          <w:szCs w:val="20"/>
          <w:lang w:val="pt-PT"/>
        </w:rPr>
      </w:pPr>
    </w:p>
    <w:tbl>
      <w:tblPr>
        <w:tblW w:w="16370"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85"/>
        <w:gridCol w:w="3000"/>
        <w:gridCol w:w="12168"/>
        <w:gridCol w:w="717"/>
      </w:tblGrid>
      <w:tr w:rsidR="001A091D" w:rsidRPr="00FA3856" w:rsidTr="00DD3A79">
        <w:trPr>
          <w:jc w:val="center"/>
        </w:trPr>
        <w:tc>
          <w:tcPr>
            <w:tcW w:w="485" w:type="dxa"/>
            <w:tcBorders>
              <w:top w:val="single" w:sz="6" w:space="0" w:color="auto"/>
              <w:left w:val="single" w:sz="6" w:space="0" w:color="auto"/>
              <w:bottom w:val="single" w:sz="6" w:space="0" w:color="auto"/>
              <w:right w:val="single" w:sz="6" w:space="0" w:color="auto"/>
            </w:tcBorders>
            <w:shd w:val="pct10" w:color="auto" w:fill="FFFFFF"/>
          </w:tcPr>
          <w:p w:rsidR="001A091D" w:rsidRPr="00FA3856" w:rsidRDefault="001A091D" w:rsidP="00DD3A79">
            <w:pPr>
              <w:pStyle w:val="PSDS-CorpodeTexto0"/>
              <w:jc w:val="center"/>
              <w:rPr>
                <w:rFonts w:ascii="Times New Roman" w:hAnsi="Times New Roman"/>
                <w:b/>
                <w:bCs/>
              </w:rPr>
            </w:pPr>
            <w:r w:rsidRPr="00FA3856">
              <w:rPr>
                <w:rFonts w:ascii="Times New Roman" w:hAnsi="Times New Roman"/>
                <w:b/>
                <w:bCs/>
              </w:rPr>
              <w:t>Nº</w:t>
            </w:r>
          </w:p>
        </w:tc>
        <w:tc>
          <w:tcPr>
            <w:tcW w:w="3000" w:type="dxa"/>
            <w:tcBorders>
              <w:top w:val="single" w:sz="6" w:space="0" w:color="auto"/>
              <w:left w:val="single" w:sz="6" w:space="0" w:color="auto"/>
              <w:bottom w:val="single" w:sz="6" w:space="0" w:color="auto"/>
              <w:right w:val="single" w:sz="6" w:space="0" w:color="auto"/>
            </w:tcBorders>
            <w:shd w:val="pct10" w:color="auto" w:fill="FFFFFF"/>
          </w:tcPr>
          <w:p w:rsidR="001A091D" w:rsidRPr="00FA3856" w:rsidRDefault="001A091D" w:rsidP="00DD3A79">
            <w:pPr>
              <w:pStyle w:val="PSDS-CorpodeTexto0"/>
              <w:jc w:val="center"/>
              <w:rPr>
                <w:rFonts w:ascii="Times New Roman" w:hAnsi="Times New Roman"/>
                <w:b/>
                <w:bCs/>
              </w:rPr>
            </w:pPr>
            <w:r w:rsidRPr="00FA3856">
              <w:rPr>
                <w:rFonts w:ascii="Times New Roman" w:hAnsi="Times New Roman"/>
                <w:b/>
                <w:bCs/>
              </w:rPr>
              <w:t>Campo</w:t>
            </w:r>
          </w:p>
        </w:tc>
        <w:tc>
          <w:tcPr>
            <w:tcW w:w="12168" w:type="dxa"/>
            <w:tcBorders>
              <w:top w:val="single" w:sz="6" w:space="0" w:color="auto"/>
              <w:left w:val="single" w:sz="6" w:space="0" w:color="auto"/>
              <w:bottom w:val="single" w:sz="6" w:space="0" w:color="auto"/>
              <w:right w:val="single" w:sz="6" w:space="0" w:color="auto"/>
            </w:tcBorders>
            <w:shd w:val="pct10" w:color="auto" w:fill="FFFFFF"/>
          </w:tcPr>
          <w:p w:rsidR="001A091D" w:rsidRPr="00FA3856" w:rsidRDefault="001A091D" w:rsidP="00DD3A79">
            <w:pPr>
              <w:pStyle w:val="PSDS-CorpodeTexto0"/>
              <w:jc w:val="center"/>
              <w:rPr>
                <w:rFonts w:ascii="Times New Roman" w:hAnsi="Times New Roman"/>
                <w:b/>
                <w:bCs/>
              </w:rPr>
            </w:pPr>
            <w:r w:rsidRPr="00FA3856">
              <w:rPr>
                <w:rFonts w:ascii="Times New Roman" w:hAnsi="Times New Roman"/>
                <w:b/>
                <w:bCs/>
              </w:rPr>
              <w:t>Regras de Validação do Campo</w:t>
            </w:r>
          </w:p>
        </w:tc>
        <w:tc>
          <w:tcPr>
            <w:tcW w:w="717" w:type="dxa"/>
            <w:tcBorders>
              <w:top w:val="single" w:sz="6" w:space="0" w:color="auto"/>
              <w:left w:val="single" w:sz="6" w:space="0" w:color="auto"/>
              <w:bottom w:val="single" w:sz="6" w:space="0" w:color="auto"/>
              <w:right w:val="single" w:sz="6" w:space="0" w:color="auto"/>
            </w:tcBorders>
            <w:shd w:val="pct10" w:color="auto" w:fill="FFFFFF"/>
          </w:tcPr>
          <w:p w:rsidR="001A091D" w:rsidRPr="00FA3856" w:rsidRDefault="001A091D" w:rsidP="00DD3A79">
            <w:pPr>
              <w:pStyle w:val="PSDS-CorpodeTexto0"/>
              <w:jc w:val="center"/>
              <w:rPr>
                <w:rFonts w:ascii="Times New Roman" w:hAnsi="Times New Roman"/>
                <w:b/>
                <w:bCs/>
              </w:rPr>
            </w:pPr>
            <w:r w:rsidRPr="00FA3856">
              <w:rPr>
                <w:rFonts w:ascii="Times New Roman" w:hAnsi="Times New Roman"/>
                <w:b/>
                <w:bCs/>
              </w:rPr>
              <w:t>Tipo</w:t>
            </w:r>
          </w:p>
        </w:tc>
      </w:tr>
      <w:tr w:rsidR="001A091D" w:rsidRPr="00FA3856" w:rsidTr="00DD3A79">
        <w:trPr>
          <w:jc w:val="center"/>
        </w:trPr>
        <w:tc>
          <w:tcPr>
            <w:tcW w:w="485" w:type="dxa"/>
            <w:tcBorders>
              <w:top w:val="single" w:sz="6" w:space="0" w:color="auto"/>
              <w:left w:val="single" w:sz="6" w:space="0" w:color="auto"/>
              <w:bottom w:val="single" w:sz="6" w:space="0" w:color="auto"/>
              <w:right w:val="single" w:sz="6" w:space="0" w:color="auto"/>
            </w:tcBorders>
          </w:tcPr>
          <w:p w:rsidR="001A091D" w:rsidRPr="00FA3856" w:rsidRDefault="001A091D" w:rsidP="00DD3A79">
            <w:pPr>
              <w:pStyle w:val="PSDS-CorpodeTexto0"/>
              <w:suppressAutoHyphens w:val="0"/>
              <w:rPr>
                <w:rFonts w:ascii="Times New Roman" w:hAnsi="Times New Roman"/>
                <w:b/>
                <w:bCs/>
                <w:lang w:val="pt-PT"/>
              </w:rPr>
            </w:pPr>
            <w:r w:rsidRPr="00FA3856">
              <w:rPr>
                <w:rFonts w:ascii="Times New Roman" w:hAnsi="Times New Roman"/>
                <w:b/>
                <w:bCs/>
                <w:lang w:val="pt-PT"/>
              </w:rPr>
              <w:t>2</w:t>
            </w:r>
          </w:p>
        </w:tc>
        <w:tc>
          <w:tcPr>
            <w:tcW w:w="3000" w:type="dxa"/>
            <w:tcBorders>
              <w:top w:val="single" w:sz="6" w:space="0" w:color="auto"/>
              <w:left w:val="single" w:sz="6" w:space="0" w:color="auto"/>
              <w:bottom w:val="single" w:sz="6" w:space="0" w:color="auto"/>
              <w:right w:val="single" w:sz="6" w:space="0" w:color="auto"/>
            </w:tcBorders>
          </w:tcPr>
          <w:p w:rsidR="001A091D" w:rsidRPr="00FA3856" w:rsidRDefault="001A091D" w:rsidP="00DD3A79">
            <w:pPr>
              <w:pStyle w:val="PSDS-CorpodeTexto0"/>
              <w:rPr>
                <w:rFonts w:ascii="Times New Roman" w:hAnsi="Times New Roman"/>
                <w:lang w:val="pt-PT"/>
              </w:rPr>
            </w:pPr>
            <w:r w:rsidRPr="00FA3856">
              <w:rPr>
                <w:rFonts w:ascii="Times New Roman" w:hAnsi="Times New Roman"/>
                <w:lang w:val="pt-PT"/>
              </w:rPr>
              <w:t>COD_CTA</w:t>
            </w:r>
          </w:p>
        </w:tc>
        <w:tc>
          <w:tcPr>
            <w:tcW w:w="12168" w:type="dxa"/>
            <w:tcBorders>
              <w:top w:val="single" w:sz="6" w:space="0" w:color="auto"/>
              <w:left w:val="single" w:sz="6" w:space="0" w:color="auto"/>
              <w:bottom w:val="single" w:sz="6" w:space="0" w:color="auto"/>
              <w:right w:val="single" w:sz="6" w:space="0" w:color="auto"/>
            </w:tcBorders>
          </w:tcPr>
          <w:p w:rsidR="001A091D" w:rsidRPr="001A091D" w:rsidRDefault="001A091D" w:rsidP="00DD3A79">
            <w:pPr>
              <w:pStyle w:val="PSDS-CorpodeTexto0"/>
              <w:rPr>
                <w:rFonts w:ascii="Times New Roman" w:hAnsi="Times New Roman"/>
                <w:lang w:val="pt-PT"/>
              </w:rPr>
            </w:pPr>
            <w:r w:rsidRPr="001A091D">
              <w:rPr>
                <w:rFonts w:ascii="Times New Roman" w:hAnsi="Times New Roman"/>
                <w:b/>
                <w:highlight w:val="yellow"/>
              </w:rPr>
              <w:t xml:space="preserve">REGRA_VALIDA_CONTA_BALANCO_DRE: </w:t>
            </w:r>
            <w:r w:rsidRPr="001A091D">
              <w:rPr>
                <w:rFonts w:ascii="Times New Roman" w:hAnsi="Times New Roman"/>
                <w:highlight w:val="yellow"/>
              </w:rPr>
              <w:t>Verifica se o campo M310.COD_CTA e o campo M310.COD_CCUS existem no registro K155 ou no registro K355 para o mesmo período de apuração.</w:t>
            </w:r>
          </w:p>
        </w:tc>
        <w:tc>
          <w:tcPr>
            <w:tcW w:w="717" w:type="dxa"/>
            <w:tcBorders>
              <w:top w:val="single" w:sz="6" w:space="0" w:color="auto"/>
              <w:left w:val="single" w:sz="6" w:space="0" w:color="auto"/>
              <w:bottom w:val="single" w:sz="6" w:space="0" w:color="auto"/>
              <w:right w:val="single" w:sz="6" w:space="0" w:color="auto"/>
            </w:tcBorders>
          </w:tcPr>
          <w:p w:rsidR="001A091D" w:rsidRPr="00FA3856" w:rsidRDefault="001A091D" w:rsidP="00DD3A79">
            <w:pPr>
              <w:pStyle w:val="PSDS-CorpodeTexto0"/>
              <w:rPr>
                <w:rFonts w:ascii="Times New Roman" w:hAnsi="Times New Roman"/>
                <w:lang w:val="pt-PT"/>
              </w:rPr>
            </w:pPr>
            <w:r w:rsidRPr="001A091D">
              <w:rPr>
                <w:rFonts w:ascii="Times New Roman" w:hAnsi="Times New Roman"/>
                <w:highlight w:val="yellow"/>
                <w:lang w:val="pt-PT"/>
              </w:rPr>
              <w:t>Erro</w:t>
            </w:r>
          </w:p>
          <w:p w:rsidR="001A091D" w:rsidRPr="00FA3856" w:rsidRDefault="001A091D" w:rsidP="00DD3A79">
            <w:pPr>
              <w:pStyle w:val="PSDS-CorpodeTexto0"/>
              <w:rPr>
                <w:rFonts w:ascii="Times New Roman" w:hAnsi="Times New Roman"/>
                <w:lang w:val="pt-PT"/>
              </w:rPr>
            </w:pPr>
          </w:p>
        </w:tc>
      </w:tr>
    </w:tbl>
    <w:p w:rsidR="001A091D" w:rsidRDefault="001A091D" w:rsidP="00391278">
      <w:pPr>
        <w:rPr>
          <w:lang w:eastAsia="ar-SA"/>
        </w:rPr>
      </w:pPr>
    </w:p>
    <w:p w:rsidR="006933DD" w:rsidRDefault="006933DD" w:rsidP="00391278">
      <w:pPr>
        <w:rPr>
          <w:lang w:eastAsia="ar-SA"/>
        </w:rPr>
      </w:pPr>
    </w:p>
    <w:p w:rsidR="001A091D" w:rsidRDefault="003E68F2" w:rsidP="003E68F2">
      <w:pPr>
        <w:pStyle w:val="Ttulo3"/>
      </w:pPr>
      <w:bookmarkStart w:id="469" w:name="_Toc479713858"/>
      <w:r w:rsidRPr="003E68F2">
        <w:rPr>
          <w:color w:val="auto"/>
          <w:u w:val="single"/>
        </w:rPr>
        <w:lastRenderedPageBreak/>
        <w:t>Alteração no item:</w:t>
      </w:r>
      <w:r w:rsidR="00D95E2A" w:rsidRPr="00D95E2A">
        <w:rPr>
          <w:color w:val="auto"/>
        </w:rPr>
        <w:t xml:space="preserve"> </w:t>
      </w:r>
      <w:r w:rsidR="001A091D" w:rsidRPr="00FA3856">
        <w:t>Registro M360: Contas Contábeis Relacionadas ao Lançamento da Parte A do e-Lacs</w:t>
      </w:r>
      <w:r w:rsidR="001A091D">
        <w:t>: Inclusão de regra.</w:t>
      </w:r>
      <w:bookmarkEnd w:id="469"/>
    </w:p>
    <w:p w:rsidR="001A091D" w:rsidRDefault="001A091D" w:rsidP="001A091D"/>
    <w:tbl>
      <w:tblPr>
        <w:tblW w:w="16370"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85"/>
        <w:gridCol w:w="3000"/>
        <w:gridCol w:w="12168"/>
        <w:gridCol w:w="717"/>
      </w:tblGrid>
      <w:tr w:rsidR="001A091D" w:rsidRPr="00FA3856" w:rsidTr="00DD3A79">
        <w:trPr>
          <w:jc w:val="center"/>
        </w:trPr>
        <w:tc>
          <w:tcPr>
            <w:tcW w:w="485" w:type="dxa"/>
            <w:tcBorders>
              <w:top w:val="single" w:sz="6" w:space="0" w:color="auto"/>
              <w:left w:val="single" w:sz="6" w:space="0" w:color="auto"/>
              <w:bottom w:val="single" w:sz="6" w:space="0" w:color="auto"/>
              <w:right w:val="single" w:sz="6" w:space="0" w:color="auto"/>
            </w:tcBorders>
            <w:shd w:val="pct10" w:color="auto" w:fill="FFFFFF"/>
          </w:tcPr>
          <w:p w:rsidR="001A091D" w:rsidRPr="00FA3856" w:rsidRDefault="001A091D" w:rsidP="00DD3A79">
            <w:pPr>
              <w:pStyle w:val="PSDS-CorpodeTexto0"/>
              <w:jc w:val="center"/>
              <w:rPr>
                <w:rFonts w:ascii="Times New Roman" w:hAnsi="Times New Roman"/>
                <w:b/>
                <w:bCs/>
              </w:rPr>
            </w:pPr>
            <w:r w:rsidRPr="00FA3856">
              <w:rPr>
                <w:rFonts w:ascii="Times New Roman" w:hAnsi="Times New Roman"/>
                <w:b/>
                <w:bCs/>
              </w:rPr>
              <w:t>Nº</w:t>
            </w:r>
          </w:p>
        </w:tc>
        <w:tc>
          <w:tcPr>
            <w:tcW w:w="3000" w:type="dxa"/>
            <w:tcBorders>
              <w:top w:val="single" w:sz="6" w:space="0" w:color="auto"/>
              <w:left w:val="single" w:sz="6" w:space="0" w:color="auto"/>
              <w:bottom w:val="single" w:sz="6" w:space="0" w:color="auto"/>
              <w:right w:val="single" w:sz="6" w:space="0" w:color="auto"/>
            </w:tcBorders>
            <w:shd w:val="pct10" w:color="auto" w:fill="FFFFFF"/>
          </w:tcPr>
          <w:p w:rsidR="001A091D" w:rsidRPr="00FA3856" w:rsidRDefault="001A091D" w:rsidP="00DD3A79">
            <w:pPr>
              <w:pStyle w:val="PSDS-CorpodeTexto0"/>
              <w:jc w:val="center"/>
              <w:rPr>
                <w:rFonts w:ascii="Times New Roman" w:hAnsi="Times New Roman"/>
                <w:b/>
                <w:bCs/>
              </w:rPr>
            </w:pPr>
            <w:r w:rsidRPr="00FA3856">
              <w:rPr>
                <w:rFonts w:ascii="Times New Roman" w:hAnsi="Times New Roman"/>
                <w:b/>
                <w:bCs/>
              </w:rPr>
              <w:t>Campo</w:t>
            </w:r>
          </w:p>
        </w:tc>
        <w:tc>
          <w:tcPr>
            <w:tcW w:w="12168" w:type="dxa"/>
            <w:tcBorders>
              <w:top w:val="single" w:sz="6" w:space="0" w:color="auto"/>
              <w:left w:val="single" w:sz="6" w:space="0" w:color="auto"/>
              <w:bottom w:val="single" w:sz="6" w:space="0" w:color="auto"/>
              <w:right w:val="single" w:sz="6" w:space="0" w:color="auto"/>
            </w:tcBorders>
            <w:shd w:val="pct10" w:color="auto" w:fill="FFFFFF"/>
          </w:tcPr>
          <w:p w:rsidR="001A091D" w:rsidRPr="00FA3856" w:rsidRDefault="001A091D" w:rsidP="00DD3A79">
            <w:pPr>
              <w:pStyle w:val="PSDS-CorpodeTexto0"/>
              <w:jc w:val="center"/>
              <w:rPr>
                <w:rFonts w:ascii="Times New Roman" w:hAnsi="Times New Roman"/>
                <w:b/>
                <w:bCs/>
              </w:rPr>
            </w:pPr>
            <w:r w:rsidRPr="00FA3856">
              <w:rPr>
                <w:rFonts w:ascii="Times New Roman" w:hAnsi="Times New Roman"/>
                <w:b/>
                <w:bCs/>
              </w:rPr>
              <w:t>Regras de Validação do Campo</w:t>
            </w:r>
          </w:p>
        </w:tc>
        <w:tc>
          <w:tcPr>
            <w:tcW w:w="717" w:type="dxa"/>
            <w:tcBorders>
              <w:top w:val="single" w:sz="6" w:space="0" w:color="auto"/>
              <w:left w:val="single" w:sz="6" w:space="0" w:color="auto"/>
              <w:bottom w:val="single" w:sz="6" w:space="0" w:color="auto"/>
              <w:right w:val="single" w:sz="6" w:space="0" w:color="auto"/>
            </w:tcBorders>
            <w:shd w:val="pct10" w:color="auto" w:fill="FFFFFF"/>
          </w:tcPr>
          <w:p w:rsidR="001A091D" w:rsidRPr="00FA3856" w:rsidRDefault="001A091D" w:rsidP="00DD3A79">
            <w:pPr>
              <w:pStyle w:val="PSDS-CorpodeTexto0"/>
              <w:jc w:val="center"/>
              <w:rPr>
                <w:rFonts w:ascii="Times New Roman" w:hAnsi="Times New Roman"/>
                <w:b/>
                <w:bCs/>
              </w:rPr>
            </w:pPr>
            <w:r w:rsidRPr="00FA3856">
              <w:rPr>
                <w:rFonts w:ascii="Times New Roman" w:hAnsi="Times New Roman"/>
                <w:b/>
                <w:bCs/>
              </w:rPr>
              <w:t>Tipo</w:t>
            </w:r>
          </w:p>
        </w:tc>
      </w:tr>
      <w:tr w:rsidR="001A091D" w:rsidRPr="00FA3856" w:rsidTr="00DD3A79">
        <w:trPr>
          <w:jc w:val="center"/>
        </w:trPr>
        <w:tc>
          <w:tcPr>
            <w:tcW w:w="485" w:type="dxa"/>
            <w:tcBorders>
              <w:top w:val="single" w:sz="6" w:space="0" w:color="auto"/>
              <w:left w:val="single" w:sz="6" w:space="0" w:color="auto"/>
              <w:bottom w:val="single" w:sz="6" w:space="0" w:color="auto"/>
              <w:right w:val="single" w:sz="6" w:space="0" w:color="auto"/>
            </w:tcBorders>
          </w:tcPr>
          <w:p w:rsidR="001A091D" w:rsidRPr="00FA3856" w:rsidRDefault="001A091D" w:rsidP="00DD3A79">
            <w:pPr>
              <w:pStyle w:val="PSDS-CorpodeTexto0"/>
              <w:suppressAutoHyphens w:val="0"/>
              <w:rPr>
                <w:rFonts w:ascii="Times New Roman" w:hAnsi="Times New Roman"/>
                <w:b/>
                <w:bCs/>
                <w:lang w:val="pt-PT"/>
              </w:rPr>
            </w:pPr>
            <w:r w:rsidRPr="00FA3856">
              <w:rPr>
                <w:rFonts w:ascii="Times New Roman" w:hAnsi="Times New Roman"/>
                <w:b/>
                <w:bCs/>
                <w:lang w:val="pt-PT"/>
              </w:rPr>
              <w:t>2</w:t>
            </w:r>
          </w:p>
        </w:tc>
        <w:tc>
          <w:tcPr>
            <w:tcW w:w="3000" w:type="dxa"/>
            <w:tcBorders>
              <w:top w:val="single" w:sz="6" w:space="0" w:color="auto"/>
              <w:left w:val="single" w:sz="6" w:space="0" w:color="auto"/>
              <w:bottom w:val="single" w:sz="6" w:space="0" w:color="auto"/>
              <w:right w:val="single" w:sz="6" w:space="0" w:color="auto"/>
            </w:tcBorders>
          </w:tcPr>
          <w:p w:rsidR="001A091D" w:rsidRPr="00FA3856" w:rsidRDefault="001A091D" w:rsidP="00DD3A79">
            <w:pPr>
              <w:pStyle w:val="PSDS-CorpodeTexto0"/>
              <w:rPr>
                <w:rFonts w:ascii="Times New Roman" w:hAnsi="Times New Roman"/>
                <w:lang w:val="pt-PT"/>
              </w:rPr>
            </w:pPr>
            <w:r w:rsidRPr="00FA3856">
              <w:rPr>
                <w:rFonts w:ascii="Times New Roman" w:hAnsi="Times New Roman"/>
                <w:lang w:val="pt-PT"/>
              </w:rPr>
              <w:t>COD_CTA</w:t>
            </w:r>
          </w:p>
        </w:tc>
        <w:tc>
          <w:tcPr>
            <w:tcW w:w="12168" w:type="dxa"/>
            <w:tcBorders>
              <w:top w:val="single" w:sz="6" w:space="0" w:color="auto"/>
              <w:left w:val="single" w:sz="6" w:space="0" w:color="auto"/>
              <w:bottom w:val="single" w:sz="6" w:space="0" w:color="auto"/>
              <w:right w:val="single" w:sz="6" w:space="0" w:color="auto"/>
            </w:tcBorders>
          </w:tcPr>
          <w:p w:rsidR="001A091D" w:rsidRPr="001A091D" w:rsidRDefault="001A091D" w:rsidP="00DD3A79">
            <w:pPr>
              <w:pStyle w:val="PSDS-CorpodeTexto0"/>
              <w:rPr>
                <w:rFonts w:ascii="Times New Roman" w:hAnsi="Times New Roman"/>
                <w:lang w:val="pt-PT"/>
              </w:rPr>
            </w:pPr>
            <w:r w:rsidRPr="001A091D">
              <w:rPr>
                <w:rFonts w:ascii="Times New Roman" w:hAnsi="Times New Roman"/>
                <w:b/>
                <w:highlight w:val="yellow"/>
              </w:rPr>
              <w:t xml:space="preserve">REGRA_VALIDA_CONTA_BALANCO_DRE: </w:t>
            </w:r>
            <w:r w:rsidR="003571AB">
              <w:rPr>
                <w:rFonts w:ascii="Times New Roman" w:hAnsi="Times New Roman"/>
                <w:highlight w:val="yellow"/>
              </w:rPr>
              <w:t>Verifica se o campo M360.COD_CTA e o campo M36</w:t>
            </w:r>
            <w:r w:rsidRPr="001A091D">
              <w:rPr>
                <w:rFonts w:ascii="Times New Roman" w:hAnsi="Times New Roman"/>
                <w:highlight w:val="yellow"/>
              </w:rPr>
              <w:t>0.COD_CCUS existem no registro K155 ou no registro K355 para o mesmo período de apuração.</w:t>
            </w:r>
          </w:p>
        </w:tc>
        <w:tc>
          <w:tcPr>
            <w:tcW w:w="717" w:type="dxa"/>
            <w:tcBorders>
              <w:top w:val="single" w:sz="6" w:space="0" w:color="auto"/>
              <w:left w:val="single" w:sz="6" w:space="0" w:color="auto"/>
              <w:bottom w:val="single" w:sz="6" w:space="0" w:color="auto"/>
              <w:right w:val="single" w:sz="6" w:space="0" w:color="auto"/>
            </w:tcBorders>
          </w:tcPr>
          <w:p w:rsidR="001A091D" w:rsidRPr="00FA3856" w:rsidRDefault="001A091D" w:rsidP="00DD3A79">
            <w:pPr>
              <w:pStyle w:val="PSDS-CorpodeTexto0"/>
              <w:rPr>
                <w:rFonts w:ascii="Times New Roman" w:hAnsi="Times New Roman"/>
                <w:lang w:val="pt-PT"/>
              </w:rPr>
            </w:pPr>
            <w:r w:rsidRPr="001A091D">
              <w:rPr>
                <w:rFonts w:ascii="Times New Roman" w:hAnsi="Times New Roman"/>
                <w:highlight w:val="yellow"/>
                <w:lang w:val="pt-PT"/>
              </w:rPr>
              <w:t>Erro</w:t>
            </w:r>
          </w:p>
          <w:p w:rsidR="001A091D" w:rsidRPr="00FA3856" w:rsidRDefault="001A091D" w:rsidP="00DD3A79">
            <w:pPr>
              <w:pStyle w:val="PSDS-CorpodeTexto0"/>
              <w:rPr>
                <w:rFonts w:ascii="Times New Roman" w:hAnsi="Times New Roman"/>
                <w:lang w:val="pt-PT"/>
              </w:rPr>
            </w:pPr>
          </w:p>
        </w:tc>
      </w:tr>
    </w:tbl>
    <w:p w:rsidR="001A091D" w:rsidRDefault="001A091D" w:rsidP="00391278">
      <w:pPr>
        <w:rPr>
          <w:lang w:eastAsia="ar-SA"/>
        </w:rPr>
      </w:pPr>
    </w:p>
    <w:p w:rsidR="002C2C0A" w:rsidRPr="0070069F" w:rsidRDefault="002C2C0A" w:rsidP="002C2C0A">
      <w:pPr>
        <w:pStyle w:val="Ttulo3"/>
        <w:rPr>
          <w:lang w:val="en-US"/>
        </w:rPr>
      </w:pPr>
      <w:r w:rsidRPr="003E68F2">
        <w:rPr>
          <w:color w:val="auto"/>
          <w:u w:val="single"/>
        </w:rPr>
        <w:t>Alteração no item:</w:t>
      </w:r>
      <w:r>
        <w:rPr>
          <w:color w:val="auto"/>
          <w:u w:val="single"/>
        </w:rPr>
        <w:t xml:space="preserve">  </w:t>
      </w:r>
      <w:r w:rsidRPr="0070069F">
        <w:rPr>
          <w:lang w:val="en-US"/>
        </w:rPr>
        <w:t>Bloco W: Declaração País-a-País (</w:t>
      </w:r>
      <w:r w:rsidRPr="0070069F">
        <w:rPr>
          <w:i/>
          <w:lang w:val="en-US"/>
        </w:rPr>
        <w:t>Country-by-Country Report</w:t>
      </w:r>
      <w:r w:rsidRPr="0070069F">
        <w:rPr>
          <w:lang w:val="en-US"/>
        </w:rPr>
        <w:t>)</w:t>
      </w:r>
      <w:r>
        <w:rPr>
          <w:lang w:val="en-US"/>
        </w:rPr>
        <w:t>: Atualização de textos.</w:t>
      </w:r>
    </w:p>
    <w:p w:rsidR="002C2C0A" w:rsidRDefault="002C2C0A" w:rsidP="00391278">
      <w:pPr>
        <w:rPr>
          <w:lang w:eastAsia="ar-SA"/>
        </w:rPr>
      </w:pPr>
    </w:p>
    <w:p w:rsidR="006B174B" w:rsidRPr="0070069F" w:rsidRDefault="003E68F2" w:rsidP="003E68F2">
      <w:pPr>
        <w:pStyle w:val="Ttulo3"/>
      </w:pPr>
      <w:bookmarkStart w:id="470" w:name="_Toc479713859"/>
      <w:r w:rsidRPr="003E68F2">
        <w:rPr>
          <w:color w:val="auto"/>
          <w:u w:val="single"/>
        </w:rPr>
        <w:t>Alteração no item:</w:t>
      </w:r>
      <w:r w:rsidR="006933DD">
        <w:rPr>
          <w:color w:val="auto"/>
          <w:u w:val="single"/>
        </w:rPr>
        <w:t xml:space="preserve"> </w:t>
      </w:r>
      <w:r w:rsidR="006B174B" w:rsidRPr="0070069F">
        <w:t>Registro W100: Informações sobre o Grupo Multinacional e a Entidade Declarante – Declaração País-a-País</w:t>
      </w:r>
      <w:r w:rsidR="006B174B">
        <w:t>: Alteração de regra.</w:t>
      </w:r>
      <w:bookmarkEnd w:id="470"/>
    </w:p>
    <w:p w:rsidR="006B174B" w:rsidRDefault="006B174B" w:rsidP="00391278">
      <w:pPr>
        <w:rPr>
          <w:lang w:eastAsia="ar-SA"/>
        </w:rPr>
      </w:pPr>
    </w:p>
    <w:p w:rsidR="006B174B" w:rsidRDefault="006B174B" w:rsidP="00391278">
      <w:pPr>
        <w:rPr>
          <w:szCs w:val="20"/>
        </w:rPr>
      </w:pPr>
      <w:r w:rsidRPr="0070069F">
        <w:rPr>
          <w:b/>
          <w:szCs w:val="20"/>
        </w:rPr>
        <w:t xml:space="preserve">REGRA_W100_DATA_MENOR_IGUAL_ECF: </w:t>
      </w:r>
      <w:r w:rsidRPr="0070069F">
        <w:rPr>
          <w:szCs w:val="20"/>
        </w:rPr>
        <w:t>Verifica se W100.DT_FIN é</w:t>
      </w:r>
      <w:r>
        <w:rPr>
          <w:szCs w:val="20"/>
        </w:rPr>
        <w:t xml:space="preserve"> maior ou igual a 0000.DT_INI e</w:t>
      </w:r>
      <w:r w:rsidRPr="0070069F">
        <w:rPr>
          <w:szCs w:val="20"/>
        </w:rPr>
        <w:t xml:space="preserve"> menor ou igual a 0000.DT_FIN.</w:t>
      </w:r>
    </w:p>
    <w:p w:rsidR="003E68F2" w:rsidRDefault="003E68F2" w:rsidP="00391278">
      <w:pPr>
        <w:rPr>
          <w:szCs w:val="20"/>
        </w:rPr>
      </w:pPr>
    </w:p>
    <w:p w:rsidR="00D72E49" w:rsidRDefault="003E68F2" w:rsidP="003E68F2">
      <w:pPr>
        <w:pStyle w:val="Ttulo3"/>
      </w:pPr>
      <w:bookmarkStart w:id="471" w:name="_Toc479713860"/>
      <w:r w:rsidRPr="003E68F2">
        <w:rPr>
          <w:color w:val="auto"/>
          <w:u w:val="single"/>
        </w:rPr>
        <w:t>Alteração no item:</w:t>
      </w:r>
      <w:r w:rsidR="00D95E2A" w:rsidRPr="00D95E2A">
        <w:rPr>
          <w:color w:val="auto"/>
        </w:rPr>
        <w:t xml:space="preserve"> </w:t>
      </w:r>
      <w:r w:rsidR="00D72E49" w:rsidRPr="0070069F">
        <w:t>Registro W200: Declaração País-a-País</w:t>
      </w:r>
      <w:r w:rsidR="00D72E49">
        <w:t xml:space="preserve">: Alteração do tipo </w:t>
      </w:r>
      <w:r w:rsidR="00E00235">
        <w:t>dos campos</w:t>
      </w:r>
      <w:r w:rsidR="00D72E49">
        <w:t xml:space="preserve"> de “N” para “NS”.</w:t>
      </w:r>
      <w:bookmarkEnd w:id="471"/>
    </w:p>
    <w:p w:rsidR="00D72E49" w:rsidRDefault="00D72E49" w:rsidP="00D72E49"/>
    <w:p w:rsidR="00D72E49" w:rsidRDefault="00D72E49" w:rsidP="00D72E49">
      <w:pPr>
        <w:rPr>
          <w:szCs w:val="20"/>
        </w:rPr>
      </w:pPr>
      <w:r>
        <w:rPr>
          <w:szCs w:val="20"/>
        </w:rPr>
        <w:t>Campos com o tipo alterado de “N” para “NS”:</w:t>
      </w:r>
    </w:p>
    <w:p w:rsidR="00D72E49" w:rsidRDefault="00D72E49" w:rsidP="00D72E49">
      <w:pPr>
        <w:rPr>
          <w:szCs w:val="20"/>
        </w:rPr>
      </w:pPr>
    </w:p>
    <w:p w:rsidR="00D72E49" w:rsidRDefault="00D72E49" w:rsidP="00D72E49">
      <w:pPr>
        <w:rPr>
          <w:szCs w:val="20"/>
        </w:rPr>
      </w:pPr>
      <w:r>
        <w:rPr>
          <w:szCs w:val="20"/>
        </w:rPr>
        <w:t>VL_REC_NAO_REL_EST</w:t>
      </w:r>
    </w:p>
    <w:p w:rsidR="00D72E49" w:rsidRDefault="00D72E49" w:rsidP="00D72E49">
      <w:pPr>
        <w:rPr>
          <w:szCs w:val="20"/>
        </w:rPr>
      </w:pPr>
      <w:r>
        <w:rPr>
          <w:szCs w:val="20"/>
        </w:rPr>
        <w:t>VL_REC_NAO_REL</w:t>
      </w:r>
    </w:p>
    <w:p w:rsidR="00D72E49" w:rsidRDefault="00D72E49" w:rsidP="00D72E49">
      <w:pPr>
        <w:rPr>
          <w:szCs w:val="20"/>
        </w:rPr>
      </w:pPr>
      <w:r>
        <w:rPr>
          <w:szCs w:val="20"/>
        </w:rPr>
        <w:t>VL_REC_REL_EST</w:t>
      </w:r>
    </w:p>
    <w:p w:rsidR="00D72E49" w:rsidRDefault="00D72E49" w:rsidP="00D72E49">
      <w:pPr>
        <w:rPr>
          <w:szCs w:val="20"/>
        </w:rPr>
      </w:pPr>
      <w:r>
        <w:rPr>
          <w:szCs w:val="20"/>
        </w:rPr>
        <w:t>VL_REC_REL</w:t>
      </w:r>
    </w:p>
    <w:p w:rsidR="00D72E49" w:rsidRDefault="00D72E49" w:rsidP="00D72E49">
      <w:pPr>
        <w:rPr>
          <w:szCs w:val="20"/>
        </w:rPr>
      </w:pPr>
      <w:r>
        <w:rPr>
          <w:szCs w:val="20"/>
        </w:rPr>
        <w:t>VL_REC_TOTAL_EST</w:t>
      </w:r>
    </w:p>
    <w:p w:rsidR="00D72E49" w:rsidRDefault="00D72E49" w:rsidP="00D72E49">
      <w:pPr>
        <w:rPr>
          <w:szCs w:val="20"/>
        </w:rPr>
      </w:pPr>
      <w:r>
        <w:rPr>
          <w:szCs w:val="20"/>
        </w:rPr>
        <w:t>VL_REC_TOTAL</w:t>
      </w:r>
    </w:p>
    <w:p w:rsidR="00D72E49" w:rsidRDefault="00D72E49" w:rsidP="00D72E49">
      <w:pPr>
        <w:rPr>
          <w:szCs w:val="20"/>
        </w:rPr>
      </w:pPr>
      <w:r>
        <w:rPr>
          <w:szCs w:val="20"/>
        </w:rPr>
        <w:t>VL_IR_PAGO_EST</w:t>
      </w:r>
    </w:p>
    <w:p w:rsidR="00D72E49" w:rsidRDefault="00D72E49" w:rsidP="00D72E49">
      <w:pPr>
        <w:rPr>
          <w:szCs w:val="20"/>
        </w:rPr>
      </w:pPr>
      <w:r>
        <w:rPr>
          <w:szCs w:val="20"/>
        </w:rPr>
        <w:t>VL_IR_PAGO</w:t>
      </w:r>
    </w:p>
    <w:p w:rsidR="00D72E49" w:rsidRDefault="00D72E49" w:rsidP="00D72E49">
      <w:pPr>
        <w:rPr>
          <w:szCs w:val="20"/>
        </w:rPr>
      </w:pPr>
      <w:r>
        <w:rPr>
          <w:szCs w:val="20"/>
        </w:rPr>
        <w:t>VL_IR_DEVIDO_EST</w:t>
      </w:r>
    </w:p>
    <w:p w:rsidR="00D72E49" w:rsidRDefault="00D72E49" w:rsidP="00D72E49">
      <w:pPr>
        <w:rPr>
          <w:szCs w:val="20"/>
        </w:rPr>
      </w:pPr>
      <w:r>
        <w:rPr>
          <w:szCs w:val="20"/>
        </w:rPr>
        <w:t>VL_IR_DEVIDO</w:t>
      </w:r>
    </w:p>
    <w:p w:rsidR="00D72E49" w:rsidRPr="00867F54" w:rsidRDefault="00D72E49" w:rsidP="00D72E49">
      <w:pPr>
        <w:rPr>
          <w:szCs w:val="20"/>
          <w:lang w:val="en-US"/>
        </w:rPr>
      </w:pPr>
      <w:r w:rsidRPr="00867F54">
        <w:rPr>
          <w:szCs w:val="20"/>
          <w:lang w:val="en-US"/>
        </w:rPr>
        <w:t>VL_CAP_SOC_EST</w:t>
      </w:r>
    </w:p>
    <w:p w:rsidR="00D72E49" w:rsidRPr="00867F54" w:rsidRDefault="00D72E49" w:rsidP="00D72E49">
      <w:pPr>
        <w:rPr>
          <w:szCs w:val="20"/>
          <w:lang w:val="en-US"/>
        </w:rPr>
      </w:pPr>
      <w:r w:rsidRPr="00867F54">
        <w:rPr>
          <w:szCs w:val="20"/>
          <w:lang w:val="en-US"/>
        </w:rPr>
        <w:t>VL_CAP_SOC</w:t>
      </w:r>
    </w:p>
    <w:p w:rsidR="00D72E49" w:rsidRDefault="00D72E49" w:rsidP="00D72E49">
      <w:pPr>
        <w:rPr>
          <w:szCs w:val="20"/>
        </w:rPr>
      </w:pPr>
      <w:r>
        <w:rPr>
          <w:szCs w:val="20"/>
        </w:rPr>
        <w:t>VL_LUC_ACUM_EST</w:t>
      </w:r>
    </w:p>
    <w:p w:rsidR="00D72E49" w:rsidRDefault="00D72E49" w:rsidP="00D72E49">
      <w:pPr>
        <w:rPr>
          <w:szCs w:val="20"/>
        </w:rPr>
      </w:pPr>
      <w:r>
        <w:rPr>
          <w:szCs w:val="20"/>
        </w:rPr>
        <w:t>VL_LUC_ACUM</w:t>
      </w:r>
    </w:p>
    <w:p w:rsidR="00D72E49" w:rsidRDefault="00D72E49" w:rsidP="00D72E49">
      <w:pPr>
        <w:rPr>
          <w:szCs w:val="20"/>
        </w:rPr>
      </w:pPr>
      <w:r>
        <w:rPr>
          <w:szCs w:val="20"/>
        </w:rPr>
        <w:t>VL_ATIV_TANG_EST</w:t>
      </w:r>
    </w:p>
    <w:p w:rsidR="00D72E49" w:rsidRPr="00D72E49" w:rsidRDefault="00D72E49" w:rsidP="00D72E49">
      <w:r>
        <w:rPr>
          <w:szCs w:val="20"/>
        </w:rPr>
        <w:t>VL_ATIV_TANG</w:t>
      </w:r>
    </w:p>
    <w:p w:rsidR="003E68F2" w:rsidRDefault="003E68F2" w:rsidP="00391278">
      <w:pPr>
        <w:rPr>
          <w:lang w:eastAsia="ar-SA"/>
        </w:rPr>
      </w:pPr>
    </w:p>
    <w:p w:rsidR="002D6458" w:rsidRPr="0070069F" w:rsidRDefault="003E68F2" w:rsidP="003E68F2">
      <w:pPr>
        <w:pStyle w:val="Ttulo3"/>
      </w:pPr>
      <w:bookmarkStart w:id="472" w:name="_Toc479713861"/>
      <w:r w:rsidRPr="003E68F2">
        <w:rPr>
          <w:color w:val="auto"/>
          <w:u w:val="single"/>
        </w:rPr>
        <w:t>Alteração no item:</w:t>
      </w:r>
      <w:r w:rsidR="00D95E2A" w:rsidRPr="00D95E2A">
        <w:rPr>
          <w:color w:val="auto"/>
        </w:rPr>
        <w:t xml:space="preserve"> </w:t>
      </w:r>
      <w:r w:rsidR="002D6458" w:rsidRPr="0070069F">
        <w:t>Registro W250: Declaração País-a-País – Entidades Integrantes</w:t>
      </w:r>
      <w:r w:rsidR="002D6458">
        <w:t>: Alteração do tamanho dos campos.</w:t>
      </w:r>
      <w:bookmarkEnd w:id="472"/>
    </w:p>
    <w:p w:rsidR="002D6458" w:rsidRDefault="002D6458" w:rsidP="00391278">
      <w:pPr>
        <w:rPr>
          <w:lang w:eastAsia="ar-SA"/>
        </w:rPr>
      </w:pPr>
    </w:p>
    <w:tbl>
      <w:tblPr>
        <w:tblW w:w="15000" w:type="dxa"/>
        <w:tblInd w:w="-10" w:type="dxa"/>
        <w:tblCellMar>
          <w:left w:w="70" w:type="dxa"/>
          <w:right w:w="70" w:type="dxa"/>
        </w:tblCellMar>
        <w:tblLook w:val="04A0" w:firstRow="1" w:lastRow="0" w:firstColumn="1" w:lastColumn="0" w:noHBand="0" w:noVBand="1"/>
      </w:tblPr>
      <w:tblGrid>
        <w:gridCol w:w="960"/>
        <w:gridCol w:w="2020"/>
        <w:gridCol w:w="7060"/>
        <w:gridCol w:w="960"/>
        <w:gridCol w:w="960"/>
        <w:gridCol w:w="960"/>
        <w:gridCol w:w="960"/>
        <w:gridCol w:w="1120"/>
      </w:tblGrid>
      <w:tr w:rsidR="002D6458" w:rsidRPr="002D6458" w:rsidTr="002D6458">
        <w:trPr>
          <w:trHeight w:val="2565"/>
        </w:trPr>
        <w:tc>
          <w:tcPr>
            <w:tcW w:w="960" w:type="dxa"/>
            <w:tcBorders>
              <w:top w:val="single" w:sz="8" w:space="0" w:color="auto"/>
              <w:left w:val="single" w:sz="8" w:space="0" w:color="auto"/>
              <w:bottom w:val="single" w:sz="8" w:space="0" w:color="auto"/>
              <w:right w:val="single" w:sz="8" w:space="0" w:color="auto"/>
            </w:tcBorders>
            <w:shd w:val="clear" w:color="000000" w:fill="F2F2F2"/>
            <w:vAlign w:val="center"/>
            <w:hideMark/>
          </w:tcPr>
          <w:p w:rsidR="002D6458" w:rsidRPr="002D6458" w:rsidRDefault="002D6458" w:rsidP="002D6458">
            <w:pPr>
              <w:jc w:val="center"/>
              <w:rPr>
                <w:rFonts w:eastAsia="Times New Roman" w:cs="Times New Roman"/>
                <w:b/>
                <w:bCs/>
                <w:color w:val="000000"/>
                <w:szCs w:val="20"/>
                <w:lang w:eastAsia="pt-BR"/>
              </w:rPr>
            </w:pPr>
            <w:r w:rsidRPr="002D6458">
              <w:rPr>
                <w:rFonts w:eastAsia="Times New Roman" w:cs="Times New Roman"/>
                <w:b/>
                <w:bCs/>
                <w:color w:val="000000"/>
                <w:szCs w:val="20"/>
                <w:lang w:eastAsia="pt-BR"/>
              </w:rPr>
              <w:lastRenderedPageBreak/>
              <w:t>26</w:t>
            </w:r>
          </w:p>
        </w:tc>
        <w:tc>
          <w:tcPr>
            <w:tcW w:w="2020" w:type="dxa"/>
            <w:tcBorders>
              <w:top w:val="single" w:sz="8" w:space="0" w:color="auto"/>
              <w:left w:val="nil"/>
              <w:bottom w:val="single" w:sz="8" w:space="0" w:color="auto"/>
              <w:right w:val="single" w:sz="8" w:space="0" w:color="auto"/>
            </w:tcBorders>
            <w:shd w:val="clear" w:color="000000" w:fill="F2F2F2"/>
            <w:vAlign w:val="center"/>
            <w:hideMark/>
          </w:tcPr>
          <w:p w:rsidR="002D6458" w:rsidRPr="002D6458" w:rsidRDefault="002D6458" w:rsidP="002D6458">
            <w:pPr>
              <w:rPr>
                <w:rFonts w:eastAsia="Times New Roman" w:cs="Times New Roman"/>
                <w:color w:val="000000"/>
                <w:szCs w:val="20"/>
                <w:lang w:eastAsia="pt-BR"/>
              </w:rPr>
            </w:pPr>
            <w:r w:rsidRPr="002D6458">
              <w:rPr>
                <w:rFonts w:eastAsia="Times New Roman" w:cs="Times New Roman"/>
                <w:color w:val="000000"/>
                <w:szCs w:val="20"/>
                <w:lang w:eastAsia="pt-BR"/>
              </w:rPr>
              <w:t>DESC_OUTROS</w:t>
            </w:r>
          </w:p>
        </w:tc>
        <w:tc>
          <w:tcPr>
            <w:tcW w:w="7060" w:type="dxa"/>
            <w:tcBorders>
              <w:top w:val="single" w:sz="8" w:space="0" w:color="auto"/>
              <w:left w:val="nil"/>
              <w:bottom w:val="single" w:sz="8" w:space="0" w:color="auto"/>
              <w:right w:val="single" w:sz="8" w:space="0" w:color="auto"/>
            </w:tcBorders>
            <w:shd w:val="clear" w:color="000000" w:fill="F2F2F2"/>
            <w:vAlign w:val="center"/>
            <w:hideMark/>
          </w:tcPr>
          <w:p w:rsidR="002D6458" w:rsidRPr="002D6458" w:rsidRDefault="002D6458" w:rsidP="002D6458">
            <w:pPr>
              <w:jc w:val="both"/>
              <w:rPr>
                <w:rFonts w:eastAsia="Times New Roman" w:cs="Times New Roman"/>
                <w:color w:val="000000"/>
                <w:szCs w:val="20"/>
                <w:lang w:eastAsia="pt-BR"/>
              </w:rPr>
            </w:pPr>
            <w:r w:rsidRPr="002D6458">
              <w:rPr>
                <w:rFonts w:eastAsia="Times New Roman" w:cs="Times New Roman"/>
                <w:color w:val="000000"/>
                <w:szCs w:val="20"/>
                <w:lang w:eastAsia="pt-BR"/>
              </w:rPr>
              <w:t>Descrição da Atividade Econômica Desempenhada, no caso de W250.ATIV_13 (Outros) igual a "Sim": Campo em texto livre para que a entidade declarante descreva as atividades econômicas desempenhadas pela entidade integrante reportada que não estejam especificadas dentre as opções disponíveis nos campos anteriores, caso o campo 25 (“Outros”) tenha sido preenchido com “Sim”.</w:t>
            </w:r>
            <w:r w:rsidRPr="002D6458">
              <w:rPr>
                <w:rFonts w:eastAsia="Times New Roman" w:cs="Times New Roman"/>
                <w:color w:val="000000"/>
                <w:szCs w:val="20"/>
                <w:lang w:eastAsia="pt-BR"/>
              </w:rPr>
              <w:br/>
            </w:r>
            <w:r w:rsidRPr="002D6458">
              <w:rPr>
                <w:rFonts w:eastAsia="Times New Roman" w:cs="Times New Roman"/>
                <w:color w:val="000000"/>
                <w:szCs w:val="20"/>
                <w:lang w:eastAsia="pt-BR"/>
              </w:rPr>
              <w:br/>
              <w:t>Conforme previsto na Instrução Normativa RFB nº 1.681/2016, artigo 9, § 3º, todas as informações em texto livre da Declaração País-a-País deverão ser fornecidas em um único idioma, a ser escolhido pela entidade declarante dentre as opções de português, inglês e espanhol.</w:t>
            </w:r>
          </w:p>
        </w:tc>
        <w:tc>
          <w:tcPr>
            <w:tcW w:w="960" w:type="dxa"/>
            <w:tcBorders>
              <w:top w:val="single" w:sz="8" w:space="0" w:color="auto"/>
              <w:left w:val="nil"/>
              <w:bottom w:val="single" w:sz="8" w:space="0" w:color="auto"/>
              <w:right w:val="single" w:sz="8" w:space="0" w:color="auto"/>
            </w:tcBorders>
            <w:shd w:val="clear" w:color="000000" w:fill="F2F2F2"/>
            <w:vAlign w:val="center"/>
            <w:hideMark/>
          </w:tcPr>
          <w:p w:rsidR="002D6458" w:rsidRPr="002D6458" w:rsidRDefault="002D6458" w:rsidP="002D6458">
            <w:pPr>
              <w:jc w:val="center"/>
              <w:rPr>
                <w:rFonts w:eastAsia="Times New Roman" w:cs="Times New Roman"/>
                <w:color w:val="000000"/>
                <w:szCs w:val="20"/>
                <w:lang w:eastAsia="pt-BR"/>
              </w:rPr>
            </w:pPr>
            <w:r w:rsidRPr="002D6458">
              <w:rPr>
                <w:rFonts w:eastAsia="Times New Roman" w:cs="Times New Roman"/>
                <w:color w:val="000000"/>
                <w:szCs w:val="20"/>
                <w:lang w:eastAsia="pt-BR"/>
              </w:rPr>
              <w:t>C</w:t>
            </w:r>
          </w:p>
        </w:tc>
        <w:tc>
          <w:tcPr>
            <w:tcW w:w="960" w:type="dxa"/>
            <w:tcBorders>
              <w:top w:val="single" w:sz="8" w:space="0" w:color="auto"/>
              <w:left w:val="nil"/>
              <w:bottom w:val="single" w:sz="8" w:space="0" w:color="auto"/>
              <w:right w:val="single" w:sz="8" w:space="0" w:color="auto"/>
            </w:tcBorders>
            <w:shd w:val="clear" w:color="000000" w:fill="F2F2F2"/>
            <w:vAlign w:val="center"/>
            <w:hideMark/>
          </w:tcPr>
          <w:p w:rsidR="002D6458" w:rsidRPr="002D6458" w:rsidRDefault="002D6458" w:rsidP="002D6458">
            <w:pPr>
              <w:jc w:val="center"/>
              <w:rPr>
                <w:rFonts w:eastAsia="Times New Roman" w:cs="Times New Roman"/>
                <w:color w:val="000000"/>
                <w:szCs w:val="20"/>
                <w:lang w:eastAsia="pt-BR"/>
              </w:rPr>
            </w:pPr>
            <w:r w:rsidRPr="002D6458">
              <w:rPr>
                <w:rFonts w:eastAsia="Times New Roman" w:cs="Times New Roman"/>
                <w:color w:val="000000"/>
                <w:szCs w:val="20"/>
                <w:lang w:eastAsia="pt-BR"/>
              </w:rPr>
              <w:t>255</w:t>
            </w:r>
          </w:p>
        </w:tc>
        <w:tc>
          <w:tcPr>
            <w:tcW w:w="960" w:type="dxa"/>
            <w:tcBorders>
              <w:top w:val="single" w:sz="8" w:space="0" w:color="auto"/>
              <w:left w:val="nil"/>
              <w:bottom w:val="single" w:sz="8" w:space="0" w:color="auto"/>
              <w:right w:val="single" w:sz="8" w:space="0" w:color="auto"/>
            </w:tcBorders>
            <w:shd w:val="clear" w:color="000000" w:fill="F2F2F2"/>
            <w:vAlign w:val="center"/>
            <w:hideMark/>
          </w:tcPr>
          <w:p w:rsidR="002D6458" w:rsidRPr="002D6458" w:rsidRDefault="002D6458" w:rsidP="002D6458">
            <w:pPr>
              <w:jc w:val="center"/>
              <w:rPr>
                <w:rFonts w:eastAsia="Times New Roman" w:cs="Times New Roman"/>
                <w:color w:val="000000"/>
                <w:szCs w:val="20"/>
                <w:lang w:eastAsia="pt-BR"/>
              </w:rPr>
            </w:pPr>
            <w:r w:rsidRPr="002D6458">
              <w:rPr>
                <w:rFonts w:eastAsia="Times New Roman" w:cs="Times New Roman"/>
                <w:color w:val="000000"/>
                <w:szCs w:val="20"/>
                <w:lang w:eastAsia="pt-BR"/>
              </w:rPr>
              <w:t>-</w:t>
            </w:r>
          </w:p>
        </w:tc>
        <w:tc>
          <w:tcPr>
            <w:tcW w:w="960" w:type="dxa"/>
            <w:tcBorders>
              <w:top w:val="single" w:sz="8" w:space="0" w:color="auto"/>
              <w:left w:val="nil"/>
              <w:bottom w:val="single" w:sz="8" w:space="0" w:color="auto"/>
              <w:right w:val="single" w:sz="8" w:space="0" w:color="auto"/>
            </w:tcBorders>
            <w:shd w:val="clear" w:color="000000" w:fill="F2F2F2"/>
            <w:vAlign w:val="center"/>
            <w:hideMark/>
          </w:tcPr>
          <w:p w:rsidR="002D6458" w:rsidRPr="002D6458" w:rsidRDefault="002D6458" w:rsidP="002D6458">
            <w:pPr>
              <w:jc w:val="center"/>
              <w:rPr>
                <w:rFonts w:eastAsia="Times New Roman" w:cs="Times New Roman"/>
                <w:color w:val="000000"/>
                <w:szCs w:val="20"/>
                <w:lang w:eastAsia="pt-BR"/>
              </w:rPr>
            </w:pPr>
            <w:r w:rsidRPr="002D6458">
              <w:rPr>
                <w:rFonts w:eastAsia="Times New Roman" w:cs="Times New Roman"/>
                <w:color w:val="000000"/>
                <w:szCs w:val="20"/>
                <w:lang w:eastAsia="pt-BR"/>
              </w:rPr>
              <w:t>-</w:t>
            </w:r>
          </w:p>
        </w:tc>
        <w:tc>
          <w:tcPr>
            <w:tcW w:w="1120" w:type="dxa"/>
            <w:tcBorders>
              <w:top w:val="single" w:sz="8" w:space="0" w:color="auto"/>
              <w:left w:val="nil"/>
              <w:bottom w:val="single" w:sz="8" w:space="0" w:color="auto"/>
              <w:right w:val="single" w:sz="8" w:space="0" w:color="auto"/>
            </w:tcBorders>
            <w:shd w:val="clear" w:color="000000" w:fill="F2F2F2"/>
            <w:vAlign w:val="center"/>
            <w:hideMark/>
          </w:tcPr>
          <w:p w:rsidR="002D6458" w:rsidRPr="002D6458" w:rsidRDefault="002D6458" w:rsidP="002D6458">
            <w:pPr>
              <w:jc w:val="center"/>
              <w:rPr>
                <w:rFonts w:eastAsia="Times New Roman" w:cs="Times New Roman"/>
                <w:color w:val="000000"/>
                <w:szCs w:val="20"/>
                <w:lang w:eastAsia="pt-BR"/>
              </w:rPr>
            </w:pPr>
            <w:r w:rsidRPr="002D6458">
              <w:rPr>
                <w:rFonts w:eastAsia="Times New Roman" w:cs="Times New Roman"/>
                <w:color w:val="000000"/>
                <w:szCs w:val="20"/>
                <w:lang w:eastAsia="pt-BR"/>
              </w:rPr>
              <w:t>Não</w:t>
            </w:r>
          </w:p>
        </w:tc>
      </w:tr>
      <w:tr w:rsidR="002D6458" w:rsidRPr="002D6458" w:rsidTr="002D6458">
        <w:trPr>
          <w:trHeight w:val="2310"/>
        </w:trPr>
        <w:tc>
          <w:tcPr>
            <w:tcW w:w="960" w:type="dxa"/>
            <w:tcBorders>
              <w:top w:val="nil"/>
              <w:left w:val="single" w:sz="8" w:space="0" w:color="auto"/>
              <w:bottom w:val="single" w:sz="8" w:space="0" w:color="auto"/>
              <w:right w:val="single" w:sz="8" w:space="0" w:color="auto"/>
            </w:tcBorders>
            <w:shd w:val="clear" w:color="000000" w:fill="FFFFFF"/>
            <w:vAlign w:val="center"/>
            <w:hideMark/>
          </w:tcPr>
          <w:p w:rsidR="002D6458" w:rsidRPr="002D6458" w:rsidRDefault="002D6458" w:rsidP="002D6458">
            <w:pPr>
              <w:jc w:val="center"/>
              <w:rPr>
                <w:rFonts w:eastAsia="Times New Roman" w:cs="Times New Roman"/>
                <w:b/>
                <w:bCs/>
                <w:color w:val="000000"/>
                <w:szCs w:val="20"/>
                <w:lang w:eastAsia="pt-BR"/>
              </w:rPr>
            </w:pPr>
            <w:r w:rsidRPr="002D6458">
              <w:rPr>
                <w:rFonts w:eastAsia="Times New Roman" w:cs="Times New Roman"/>
                <w:b/>
                <w:bCs/>
                <w:color w:val="000000"/>
                <w:szCs w:val="20"/>
                <w:lang w:eastAsia="pt-BR"/>
              </w:rPr>
              <w:t>27</w:t>
            </w:r>
          </w:p>
        </w:tc>
        <w:tc>
          <w:tcPr>
            <w:tcW w:w="2020" w:type="dxa"/>
            <w:tcBorders>
              <w:top w:val="nil"/>
              <w:left w:val="nil"/>
              <w:bottom w:val="single" w:sz="8" w:space="0" w:color="auto"/>
              <w:right w:val="single" w:sz="8" w:space="0" w:color="auto"/>
            </w:tcBorders>
            <w:shd w:val="clear" w:color="000000" w:fill="FFFFFF"/>
            <w:vAlign w:val="center"/>
            <w:hideMark/>
          </w:tcPr>
          <w:p w:rsidR="002D6458" w:rsidRPr="002D6458" w:rsidRDefault="002D6458" w:rsidP="002D6458">
            <w:pPr>
              <w:rPr>
                <w:rFonts w:eastAsia="Times New Roman" w:cs="Times New Roman"/>
                <w:color w:val="000000"/>
                <w:szCs w:val="20"/>
                <w:lang w:eastAsia="pt-BR"/>
              </w:rPr>
            </w:pPr>
            <w:r w:rsidRPr="002D6458">
              <w:rPr>
                <w:rFonts w:eastAsia="Times New Roman" w:cs="Times New Roman"/>
                <w:color w:val="000000"/>
                <w:szCs w:val="20"/>
                <w:lang w:eastAsia="pt-BR"/>
              </w:rPr>
              <w:t>OBSERVAÇÃO</w:t>
            </w:r>
          </w:p>
        </w:tc>
        <w:tc>
          <w:tcPr>
            <w:tcW w:w="7060" w:type="dxa"/>
            <w:tcBorders>
              <w:top w:val="nil"/>
              <w:left w:val="nil"/>
              <w:bottom w:val="single" w:sz="8" w:space="0" w:color="auto"/>
              <w:right w:val="single" w:sz="8" w:space="0" w:color="auto"/>
            </w:tcBorders>
            <w:shd w:val="clear" w:color="000000" w:fill="FFFFFF"/>
            <w:vAlign w:val="center"/>
            <w:hideMark/>
          </w:tcPr>
          <w:p w:rsidR="002D6458" w:rsidRPr="002D6458" w:rsidRDefault="002D6458" w:rsidP="002D6458">
            <w:pPr>
              <w:spacing w:after="240"/>
              <w:jc w:val="both"/>
              <w:rPr>
                <w:rFonts w:eastAsia="Times New Roman" w:cs="Times New Roman"/>
                <w:color w:val="000000"/>
                <w:szCs w:val="20"/>
                <w:lang w:eastAsia="pt-BR"/>
              </w:rPr>
            </w:pPr>
            <w:r w:rsidRPr="002D6458">
              <w:rPr>
                <w:rFonts w:eastAsia="Times New Roman" w:cs="Times New Roman"/>
                <w:color w:val="000000"/>
                <w:szCs w:val="20"/>
                <w:lang w:eastAsia="pt-BR"/>
              </w:rPr>
              <w:t>Outras Informações: Campo de utilização opcional, para o fornecimento de informações adicionais sobre a entidade reportada.</w:t>
            </w:r>
            <w:r w:rsidRPr="002D6458">
              <w:rPr>
                <w:rFonts w:eastAsia="Times New Roman" w:cs="Times New Roman"/>
                <w:color w:val="000000"/>
                <w:szCs w:val="20"/>
                <w:lang w:eastAsia="pt-BR"/>
              </w:rPr>
              <w:br/>
            </w:r>
            <w:r w:rsidRPr="002D6458">
              <w:rPr>
                <w:rFonts w:eastAsia="Times New Roman" w:cs="Times New Roman"/>
                <w:color w:val="000000"/>
                <w:szCs w:val="20"/>
                <w:lang w:eastAsia="pt-BR"/>
              </w:rPr>
              <w:br/>
              <w:t>Conforme previsto na Instrução Normativa RFB nº 1.681/2016, artigo 9, § 3º, todas as informações em texto livre da Declaração País-a-País deverão ser fornecidas em um único idioma, a ser escolhido pela entidade declarante dentre as opções de português, inglês e espanhol.</w:t>
            </w:r>
          </w:p>
        </w:tc>
        <w:tc>
          <w:tcPr>
            <w:tcW w:w="960" w:type="dxa"/>
            <w:tcBorders>
              <w:top w:val="nil"/>
              <w:left w:val="nil"/>
              <w:bottom w:val="single" w:sz="8" w:space="0" w:color="auto"/>
              <w:right w:val="single" w:sz="8" w:space="0" w:color="auto"/>
            </w:tcBorders>
            <w:shd w:val="clear" w:color="000000" w:fill="FFFFFF"/>
            <w:vAlign w:val="center"/>
            <w:hideMark/>
          </w:tcPr>
          <w:p w:rsidR="002D6458" w:rsidRPr="002D6458" w:rsidRDefault="002D6458" w:rsidP="002D6458">
            <w:pPr>
              <w:jc w:val="center"/>
              <w:rPr>
                <w:rFonts w:eastAsia="Times New Roman" w:cs="Times New Roman"/>
                <w:color w:val="000000"/>
                <w:szCs w:val="20"/>
                <w:lang w:eastAsia="pt-BR"/>
              </w:rPr>
            </w:pPr>
            <w:r w:rsidRPr="002D6458">
              <w:rPr>
                <w:rFonts w:eastAsia="Times New Roman" w:cs="Times New Roman"/>
                <w:color w:val="000000"/>
                <w:szCs w:val="20"/>
                <w:lang w:eastAsia="pt-BR"/>
              </w:rPr>
              <w:t>C</w:t>
            </w:r>
          </w:p>
        </w:tc>
        <w:tc>
          <w:tcPr>
            <w:tcW w:w="960" w:type="dxa"/>
            <w:tcBorders>
              <w:top w:val="nil"/>
              <w:left w:val="nil"/>
              <w:bottom w:val="single" w:sz="8" w:space="0" w:color="auto"/>
              <w:right w:val="single" w:sz="8" w:space="0" w:color="auto"/>
            </w:tcBorders>
            <w:shd w:val="clear" w:color="000000" w:fill="FFFFFF"/>
            <w:vAlign w:val="center"/>
            <w:hideMark/>
          </w:tcPr>
          <w:p w:rsidR="002D6458" w:rsidRPr="002D6458" w:rsidRDefault="002D6458" w:rsidP="002D6458">
            <w:pPr>
              <w:jc w:val="center"/>
              <w:rPr>
                <w:rFonts w:eastAsia="Times New Roman" w:cs="Times New Roman"/>
                <w:color w:val="000000"/>
                <w:szCs w:val="20"/>
                <w:lang w:eastAsia="pt-BR"/>
              </w:rPr>
            </w:pPr>
            <w:r w:rsidRPr="002D6458">
              <w:rPr>
                <w:rFonts w:eastAsia="Times New Roman" w:cs="Times New Roman"/>
                <w:color w:val="000000"/>
                <w:szCs w:val="20"/>
                <w:lang w:eastAsia="pt-BR"/>
              </w:rPr>
              <w:t>1000</w:t>
            </w:r>
          </w:p>
        </w:tc>
        <w:tc>
          <w:tcPr>
            <w:tcW w:w="960" w:type="dxa"/>
            <w:tcBorders>
              <w:top w:val="nil"/>
              <w:left w:val="nil"/>
              <w:bottom w:val="single" w:sz="8" w:space="0" w:color="auto"/>
              <w:right w:val="single" w:sz="8" w:space="0" w:color="auto"/>
            </w:tcBorders>
            <w:shd w:val="clear" w:color="000000" w:fill="FFFFFF"/>
            <w:vAlign w:val="center"/>
            <w:hideMark/>
          </w:tcPr>
          <w:p w:rsidR="002D6458" w:rsidRPr="002D6458" w:rsidRDefault="002D6458" w:rsidP="002D6458">
            <w:pPr>
              <w:jc w:val="center"/>
              <w:rPr>
                <w:rFonts w:eastAsia="Times New Roman" w:cs="Times New Roman"/>
                <w:color w:val="000000"/>
                <w:szCs w:val="20"/>
                <w:lang w:eastAsia="pt-BR"/>
              </w:rPr>
            </w:pPr>
            <w:r w:rsidRPr="002D6458">
              <w:rPr>
                <w:rFonts w:eastAsia="Times New Roman" w:cs="Times New Roman"/>
                <w:color w:val="000000"/>
                <w:szCs w:val="20"/>
                <w:lang w:eastAsia="pt-BR"/>
              </w:rPr>
              <w:t>-</w:t>
            </w:r>
          </w:p>
        </w:tc>
        <w:tc>
          <w:tcPr>
            <w:tcW w:w="960" w:type="dxa"/>
            <w:tcBorders>
              <w:top w:val="nil"/>
              <w:left w:val="nil"/>
              <w:bottom w:val="single" w:sz="8" w:space="0" w:color="auto"/>
              <w:right w:val="single" w:sz="8" w:space="0" w:color="auto"/>
            </w:tcBorders>
            <w:shd w:val="clear" w:color="000000" w:fill="FFFFFF"/>
            <w:vAlign w:val="center"/>
            <w:hideMark/>
          </w:tcPr>
          <w:p w:rsidR="002D6458" w:rsidRPr="002D6458" w:rsidRDefault="002D6458" w:rsidP="002D6458">
            <w:pPr>
              <w:jc w:val="center"/>
              <w:rPr>
                <w:rFonts w:eastAsia="Times New Roman" w:cs="Times New Roman"/>
                <w:color w:val="000000"/>
                <w:szCs w:val="20"/>
                <w:lang w:eastAsia="pt-BR"/>
              </w:rPr>
            </w:pPr>
            <w:r w:rsidRPr="002D6458">
              <w:rPr>
                <w:rFonts w:eastAsia="Times New Roman" w:cs="Times New Roman"/>
                <w:color w:val="000000"/>
                <w:szCs w:val="20"/>
                <w:lang w:eastAsia="pt-BR"/>
              </w:rPr>
              <w:t>-</w:t>
            </w:r>
          </w:p>
        </w:tc>
        <w:tc>
          <w:tcPr>
            <w:tcW w:w="1120" w:type="dxa"/>
            <w:tcBorders>
              <w:top w:val="nil"/>
              <w:left w:val="nil"/>
              <w:bottom w:val="single" w:sz="8" w:space="0" w:color="auto"/>
              <w:right w:val="single" w:sz="8" w:space="0" w:color="auto"/>
            </w:tcBorders>
            <w:shd w:val="clear" w:color="000000" w:fill="FFFFFF"/>
            <w:vAlign w:val="center"/>
            <w:hideMark/>
          </w:tcPr>
          <w:p w:rsidR="002D6458" w:rsidRPr="002D6458" w:rsidRDefault="002D6458" w:rsidP="002D6458">
            <w:pPr>
              <w:jc w:val="center"/>
              <w:rPr>
                <w:rFonts w:eastAsia="Times New Roman" w:cs="Times New Roman"/>
                <w:color w:val="000000"/>
                <w:szCs w:val="20"/>
                <w:lang w:eastAsia="pt-BR"/>
              </w:rPr>
            </w:pPr>
            <w:r w:rsidRPr="002D6458">
              <w:rPr>
                <w:rFonts w:eastAsia="Times New Roman" w:cs="Times New Roman"/>
                <w:color w:val="000000"/>
                <w:szCs w:val="20"/>
                <w:lang w:eastAsia="pt-BR"/>
              </w:rPr>
              <w:t>Não</w:t>
            </w:r>
          </w:p>
        </w:tc>
      </w:tr>
    </w:tbl>
    <w:p w:rsidR="002D6458" w:rsidRDefault="002D6458" w:rsidP="00391278">
      <w:pPr>
        <w:rPr>
          <w:lang w:eastAsia="ar-SA"/>
        </w:rPr>
      </w:pPr>
    </w:p>
    <w:p w:rsidR="00391278" w:rsidRPr="00FA3856" w:rsidRDefault="003E68F2" w:rsidP="003E68F2">
      <w:pPr>
        <w:pStyle w:val="Ttulo3"/>
      </w:pPr>
      <w:bookmarkStart w:id="473" w:name="_Toc479713862"/>
      <w:r w:rsidRPr="003E68F2">
        <w:rPr>
          <w:color w:val="auto"/>
          <w:u w:val="single"/>
        </w:rPr>
        <w:t>Alteração no item:</w:t>
      </w:r>
      <w:r>
        <w:t xml:space="preserve"> </w:t>
      </w:r>
      <w:r w:rsidR="00391278" w:rsidRPr="00FA3856">
        <w:t>Registro X320: Operações com o Exterior – Importações (Saída de Divisas)</w:t>
      </w:r>
      <w:r w:rsidR="00391278">
        <w:t>: Inclusão de campo.</w:t>
      </w:r>
      <w:bookmarkEnd w:id="473"/>
    </w:p>
    <w:p w:rsidR="006B6F6E" w:rsidRDefault="006B6F6E" w:rsidP="006B6F6E">
      <w:pPr>
        <w:rPr>
          <w:rFonts w:eastAsia="Arial Unicode MS"/>
          <w:lang w:eastAsia="ar-SA"/>
        </w:rPr>
      </w:pPr>
    </w:p>
    <w:p w:rsidR="00391278" w:rsidRDefault="00B35FA3" w:rsidP="00391278">
      <w:pPr>
        <w:rPr>
          <w:b/>
          <w:szCs w:val="20"/>
        </w:rPr>
      </w:pPr>
      <w:r>
        <w:rPr>
          <w:b/>
          <w:szCs w:val="20"/>
        </w:rPr>
        <w:object w:dxaOrig="14910" w:dyaOrig="795">
          <v:shape id="_x0000_i2122" type="#_x0000_t75" style="width:744pt;height:39pt" o:ole="">
            <v:imagedata r:id="rId920" o:title=""/>
          </v:shape>
          <o:OLEObject Type="Link" ProgID="Excel.Sheet.12" ShapeID="_x0000_i2122" DrawAspect="Content" r:id="rId921" UpdateMode="Always">
            <o:LinkType>EnhancedMetaFile</o:LinkType>
            <o:LockedField>false</o:LockedField>
          </o:OLEObject>
        </w:object>
      </w:r>
    </w:p>
    <w:p w:rsidR="00391278" w:rsidRDefault="00391278" w:rsidP="006B6F6E">
      <w:pPr>
        <w:rPr>
          <w:rFonts w:eastAsia="Arial Unicode MS"/>
          <w:lang w:eastAsia="ar-SA"/>
        </w:rPr>
      </w:pPr>
    </w:p>
    <w:p w:rsidR="00F56419" w:rsidRPr="00FA3856" w:rsidRDefault="003E68F2" w:rsidP="003E68F2">
      <w:pPr>
        <w:pStyle w:val="Ttulo3"/>
      </w:pPr>
      <w:bookmarkStart w:id="474" w:name="_Toc479713863"/>
      <w:r w:rsidRPr="003E68F2">
        <w:rPr>
          <w:color w:val="auto"/>
          <w:u w:val="single"/>
        </w:rPr>
        <w:t>Alteração no item:</w:t>
      </w:r>
      <w:r w:rsidR="00D95E2A" w:rsidRPr="00D95E2A">
        <w:rPr>
          <w:color w:val="auto"/>
        </w:rPr>
        <w:t xml:space="preserve"> </w:t>
      </w:r>
      <w:r w:rsidR="00F56419" w:rsidRPr="00FA3856">
        <w:t>Registro X340: Identificação da Participação no Exterior</w:t>
      </w:r>
      <w:r w:rsidR="00F56419">
        <w:t>: Inclusão de campo.</w:t>
      </w:r>
      <w:bookmarkEnd w:id="474"/>
    </w:p>
    <w:p w:rsidR="0076173F" w:rsidRDefault="0076173F" w:rsidP="006B6F6E">
      <w:pPr>
        <w:rPr>
          <w:rFonts w:eastAsia="Arial Unicode MS"/>
          <w:lang w:eastAsia="ar-SA"/>
        </w:rPr>
      </w:pPr>
    </w:p>
    <w:p w:rsidR="00F56419" w:rsidRDefault="00B35FA3" w:rsidP="00F56419">
      <w:pPr>
        <w:spacing w:after="200" w:line="276" w:lineRule="auto"/>
        <w:rPr>
          <w:rFonts w:cs="Times New Roman"/>
          <w:b/>
          <w:bCs/>
          <w:szCs w:val="20"/>
          <w:lang w:val="pt-PT"/>
        </w:rPr>
      </w:pPr>
      <w:r>
        <w:rPr>
          <w:rFonts w:cs="Times New Roman"/>
          <w:szCs w:val="20"/>
          <w:lang w:val="pt-PT"/>
        </w:rPr>
        <w:object w:dxaOrig="14835" w:dyaOrig="330">
          <v:shape id="_x0000_i2124" type="#_x0000_t75" style="width:741.75pt;height:16.5pt" o:ole="">
            <v:imagedata r:id="rId922" o:title=""/>
          </v:shape>
          <o:OLEObject Type="Link" ProgID="Excel.Sheet.12" ShapeID="_x0000_i2124" DrawAspect="Content" r:id="rId923" UpdateMode="Always">
            <o:LinkType>EnhancedMetaFile</o:LinkType>
            <o:LockedField>false</o:LockedField>
          </o:OLEObject>
        </w:object>
      </w:r>
    </w:p>
    <w:p w:rsidR="00F56419" w:rsidRDefault="00F56419" w:rsidP="006B6F6E">
      <w:pPr>
        <w:rPr>
          <w:rFonts w:eastAsia="Arial Unicode MS"/>
          <w:lang w:eastAsia="ar-SA"/>
        </w:rPr>
      </w:pPr>
    </w:p>
    <w:sectPr w:rsidR="00F56419" w:rsidSect="00800892">
      <w:headerReference w:type="default" r:id="rId924"/>
      <w:footerReference w:type="default" r:id="rId925"/>
      <w:pgSz w:w="16838" w:h="11906" w:orient="landscape" w:code="9"/>
      <w:pgMar w:top="1134" w:right="284" w:bottom="1134" w:left="28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0E74" w:rsidRDefault="007D0E74" w:rsidP="003E3CC6">
      <w:r>
        <w:separator/>
      </w:r>
    </w:p>
  </w:endnote>
  <w:endnote w:type="continuationSeparator" w:id="0">
    <w:p w:rsidR="007D0E74" w:rsidRDefault="007D0E74" w:rsidP="003E3C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1)">
    <w:altName w:val="Times New Roman"/>
    <w:panose1 w:val="00000000000000000000"/>
    <w:charset w:val="00"/>
    <w:family w:val="roman"/>
    <w:notTrueType/>
    <w:pitch w:val="default"/>
    <w:sig w:usb0="00000003" w:usb1="00000000" w:usb2="00000000" w:usb3="00000000" w:csb0="00000001" w:csb1="00000000"/>
  </w:font>
  <w:font w:name="Spranq eco sans">
    <w:altName w:val="Times New Roman"/>
    <w:panose1 w:val="00000000000000000000"/>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DejaVu Sans">
    <w:altName w:val="Times New Roman"/>
    <w:charset w:val="00"/>
    <w:family w:val="swiss"/>
    <w:pitch w:val="variable"/>
    <w:sig w:usb0="E7000EFF" w:usb1="5200F5FF" w:usb2="0A242021" w:usb3="00000000" w:csb0="000001BF" w:csb1="00000000"/>
  </w:font>
  <w:font w:name="WenQuanYi Micro Hei">
    <w:panose1 w:val="00000000000000000000"/>
    <w:charset w:val="80"/>
    <w:family w:val="auto"/>
    <w:notTrueType/>
    <w:pitch w:val="variable"/>
    <w:sig w:usb0="00000001" w:usb1="08070000" w:usb2="00000010" w:usb3="00000000" w:csb0="00020000" w:csb1="00000000"/>
  </w:font>
  <w:font w:name="MS Sans Serif">
    <w:panose1 w:val="00000000000000000000"/>
    <w:charset w:val="00"/>
    <w:family w:val="swiss"/>
    <w:notTrueType/>
    <w:pitch w:val="variable"/>
    <w:sig w:usb0="00000003" w:usb1="00000000" w:usb2="00000000" w:usb3="00000000" w:csb0="00000001" w:csb1="00000000"/>
  </w:font>
  <w:font w:name="OpenSymbol">
    <w:altName w:val="Times New Roman"/>
    <w:charset w:val="00"/>
    <w:family w:val="auto"/>
    <w:pitch w:val="variable"/>
    <w:sig w:usb0="800000AF" w:usb1="1001ECE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auto"/>
    <w:pitch w:val="variable"/>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0"/>
        <w:szCs w:val="20"/>
      </w:rPr>
      <w:id w:val="93632525"/>
      <w:docPartObj>
        <w:docPartGallery w:val="Page Numbers (Bottom of Page)"/>
        <w:docPartUnique/>
      </w:docPartObj>
    </w:sdtPr>
    <w:sdtEndPr/>
    <w:sdtContent>
      <w:sdt>
        <w:sdtPr>
          <w:rPr>
            <w:rFonts w:ascii="Times New Roman" w:hAnsi="Times New Roman" w:cs="Times New Roman"/>
            <w:sz w:val="20"/>
            <w:szCs w:val="20"/>
          </w:rPr>
          <w:id w:val="252092309"/>
          <w:docPartObj>
            <w:docPartGallery w:val="Page Numbers (Top of Page)"/>
            <w:docPartUnique/>
          </w:docPartObj>
        </w:sdtPr>
        <w:sdtEndPr/>
        <w:sdtContent>
          <w:p w:rsidR="00E13425" w:rsidRPr="0013365A" w:rsidRDefault="00E13425" w:rsidP="000F6DAD">
            <w:pPr>
              <w:pStyle w:val="Rodap"/>
              <w:rPr>
                <w:rFonts w:ascii="Times New Roman" w:hAnsi="Times New Roman" w:cs="Times New Roman"/>
                <w:sz w:val="20"/>
                <w:szCs w:val="20"/>
              </w:rPr>
            </w:pPr>
            <w:r w:rsidRPr="0013365A">
              <w:rPr>
                <w:rFonts w:ascii="Times New Roman" w:hAnsi="Times New Roman" w:cs="Times New Roman"/>
                <w:sz w:val="20"/>
                <w:szCs w:val="20"/>
              </w:rPr>
              <w:t>RFB/Subsecretaria de Fiscalização/Coordenaç</w:t>
            </w:r>
            <w:r>
              <w:rPr>
                <w:rFonts w:ascii="Times New Roman" w:hAnsi="Times New Roman" w:cs="Times New Roman"/>
                <w:sz w:val="20"/>
                <w:szCs w:val="20"/>
              </w:rPr>
              <w:t xml:space="preserve">ão Geral de Fiscalização/Div. </w:t>
            </w:r>
            <w:r w:rsidRPr="0013365A">
              <w:rPr>
                <w:rFonts w:ascii="Times New Roman" w:hAnsi="Times New Roman" w:cs="Times New Roman"/>
                <w:sz w:val="20"/>
                <w:szCs w:val="20"/>
              </w:rPr>
              <w:t>de Escrituração Digital</w:t>
            </w:r>
            <w:r>
              <w:rPr>
                <w:rFonts w:ascii="Times New Roman" w:hAnsi="Times New Roman" w:cs="Times New Roman"/>
                <w:sz w:val="20"/>
                <w:szCs w:val="20"/>
              </w:rPr>
              <w:t xml:space="preserve">                                                                                                     </w:t>
            </w:r>
            <w:r w:rsidRPr="0013365A">
              <w:rPr>
                <w:rFonts w:ascii="Times New Roman" w:hAnsi="Times New Roman" w:cs="Times New Roman"/>
                <w:sz w:val="20"/>
                <w:szCs w:val="20"/>
              </w:rPr>
              <w:t xml:space="preserve">Página </w:t>
            </w:r>
            <w:r w:rsidRPr="0013365A">
              <w:rPr>
                <w:rFonts w:ascii="Times New Roman" w:hAnsi="Times New Roman" w:cs="Times New Roman"/>
                <w:b/>
                <w:sz w:val="20"/>
                <w:szCs w:val="20"/>
              </w:rPr>
              <w:fldChar w:fldCharType="begin"/>
            </w:r>
            <w:r w:rsidRPr="0013365A">
              <w:rPr>
                <w:rFonts w:ascii="Times New Roman" w:hAnsi="Times New Roman" w:cs="Times New Roman"/>
                <w:b/>
                <w:sz w:val="20"/>
                <w:szCs w:val="20"/>
              </w:rPr>
              <w:instrText>PAGE</w:instrText>
            </w:r>
            <w:r w:rsidRPr="0013365A">
              <w:rPr>
                <w:rFonts w:ascii="Times New Roman" w:hAnsi="Times New Roman" w:cs="Times New Roman"/>
                <w:b/>
                <w:sz w:val="20"/>
                <w:szCs w:val="20"/>
              </w:rPr>
              <w:fldChar w:fldCharType="separate"/>
            </w:r>
            <w:r w:rsidR="00B35FA3">
              <w:rPr>
                <w:rFonts w:ascii="Times New Roman" w:hAnsi="Times New Roman" w:cs="Times New Roman"/>
                <w:b/>
                <w:noProof/>
                <w:sz w:val="20"/>
                <w:szCs w:val="20"/>
              </w:rPr>
              <w:t>376</w:t>
            </w:r>
            <w:r w:rsidRPr="0013365A">
              <w:rPr>
                <w:rFonts w:ascii="Times New Roman" w:hAnsi="Times New Roman" w:cs="Times New Roman"/>
                <w:b/>
                <w:sz w:val="20"/>
                <w:szCs w:val="20"/>
              </w:rPr>
              <w:fldChar w:fldCharType="end"/>
            </w:r>
            <w:r w:rsidRPr="0013365A">
              <w:rPr>
                <w:rFonts w:ascii="Times New Roman" w:hAnsi="Times New Roman" w:cs="Times New Roman"/>
                <w:sz w:val="20"/>
                <w:szCs w:val="20"/>
              </w:rPr>
              <w:t xml:space="preserve"> de </w:t>
            </w:r>
            <w:r w:rsidRPr="0013365A">
              <w:rPr>
                <w:rFonts w:ascii="Times New Roman" w:hAnsi="Times New Roman" w:cs="Times New Roman"/>
                <w:b/>
                <w:sz w:val="20"/>
                <w:szCs w:val="20"/>
              </w:rPr>
              <w:fldChar w:fldCharType="begin"/>
            </w:r>
            <w:r w:rsidRPr="0013365A">
              <w:rPr>
                <w:rFonts w:ascii="Times New Roman" w:hAnsi="Times New Roman" w:cs="Times New Roman"/>
                <w:b/>
                <w:sz w:val="20"/>
                <w:szCs w:val="20"/>
              </w:rPr>
              <w:instrText>NUMPAGES</w:instrText>
            </w:r>
            <w:r w:rsidRPr="0013365A">
              <w:rPr>
                <w:rFonts w:ascii="Times New Roman" w:hAnsi="Times New Roman" w:cs="Times New Roman"/>
                <w:b/>
                <w:sz w:val="20"/>
                <w:szCs w:val="20"/>
              </w:rPr>
              <w:fldChar w:fldCharType="separate"/>
            </w:r>
            <w:r w:rsidR="00B35FA3">
              <w:rPr>
                <w:rFonts w:ascii="Times New Roman" w:hAnsi="Times New Roman" w:cs="Times New Roman"/>
                <w:b/>
                <w:noProof/>
                <w:sz w:val="20"/>
                <w:szCs w:val="20"/>
              </w:rPr>
              <w:t>591</w:t>
            </w:r>
            <w:r w:rsidRPr="0013365A">
              <w:rPr>
                <w:rFonts w:ascii="Times New Roman" w:hAnsi="Times New Roman" w:cs="Times New Roman"/>
                <w:b/>
                <w:sz w:val="20"/>
                <w:szCs w:val="20"/>
              </w:rPr>
              <w:fldChar w:fldCharType="end"/>
            </w:r>
          </w:p>
        </w:sdtContent>
      </w:sdt>
    </w:sdtContent>
  </w:sdt>
  <w:p w:rsidR="00E13425" w:rsidRPr="0013365A" w:rsidRDefault="00E13425">
    <w:pPr>
      <w:pStyle w:val="Rodap"/>
      <w:rPr>
        <w:rFonts w:ascii="Times New Roman" w:hAnsi="Times New Roman" w:cs="Times New Roman"/>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0E74" w:rsidRDefault="007D0E74" w:rsidP="003E3CC6">
      <w:r>
        <w:separator/>
      </w:r>
    </w:p>
  </w:footnote>
  <w:footnote w:type="continuationSeparator" w:id="0">
    <w:p w:rsidR="007D0E74" w:rsidRDefault="007D0E74" w:rsidP="003E3CC6">
      <w:r>
        <w:continuationSeparator/>
      </w:r>
    </w:p>
  </w:footnote>
  <w:footnote w:id="1">
    <w:p w:rsidR="00E13425" w:rsidRDefault="00E13425" w:rsidP="00517880">
      <w:pPr>
        <w:pStyle w:val="Textodenotaderodap"/>
        <w:jc w:val="both"/>
      </w:pPr>
      <w:r>
        <w:rPr>
          <w:rStyle w:val="Refdenotaderodap"/>
        </w:rPr>
        <w:footnoteRef/>
      </w:r>
      <w:r>
        <w:t xml:space="preserve"> Para acessar o conteúdo integral do relatório final da Ação 13 do Projeto BEPS, consulte </w:t>
      </w:r>
      <w:hyperlink r:id="rId1" w:history="1">
        <w:r>
          <w:rPr>
            <w:rStyle w:val="Hyperlink"/>
          </w:rPr>
          <w:t>http://www.oecd.org/tax/transfer-pricing-documentation-and-country-by-country-reporting-action-13-2015-final-report-9789264241480-en.htm</w:t>
        </w:r>
      </w:hyperlink>
    </w:p>
    <w:p w:rsidR="00E13425" w:rsidRDefault="00E13425" w:rsidP="00517880">
      <w:pPr>
        <w:pStyle w:val="Textodenotaderodap"/>
        <w:jc w:val="both"/>
      </w:pPr>
    </w:p>
  </w:footnote>
  <w:footnote w:id="2">
    <w:p w:rsidR="00E13425" w:rsidRDefault="00E13425" w:rsidP="00517880">
      <w:pPr>
        <w:pStyle w:val="Textodenotaderodap"/>
        <w:jc w:val="both"/>
      </w:pPr>
      <w:r>
        <w:rPr>
          <w:rStyle w:val="Refdenotaderodap"/>
        </w:rPr>
        <w:footnoteRef/>
      </w:r>
      <w:r>
        <w:t xml:space="preserve"> Para mais informações sobre o Projeto BEPS, consulte em </w:t>
      </w:r>
      <w:hyperlink r:id="rId2" w:history="1">
        <w:r>
          <w:rPr>
            <w:rStyle w:val="Hyperlink"/>
          </w:rPr>
          <w:t>http://www.oecd.org/tax/beps/</w:t>
        </w:r>
      </w:hyperlink>
      <w:r>
        <w:t>. E Para conhecer os relatórios das 15 Ações do Projeto BEPS, consulte em &lt;</w:t>
      </w:r>
      <w:hyperlink r:id="rId3" w:history="1">
        <w:r>
          <w:rPr>
            <w:rStyle w:val="Hyperlink"/>
          </w:rPr>
          <w:t>http://www.oecd.org/ctp/beps-2015-final-reports.htm</w:t>
        </w:r>
      </w:hyperlink>
      <w:r>
        <w:t>&gt;.</w:t>
      </w:r>
    </w:p>
  </w:footnote>
  <w:footnote w:id="3">
    <w:p w:rsidR="00E13425" w:rsidRDefault="00E13425" w:rsidP="00F46979">
      <w:pPr>
        <w:pStyle w:val="Textodenotaderodap"/>
      </w:pPr>
      <w:r>
        <w:rPr>
          <w:rStyle w:val="Refdenotaderodap"/>
        </w:rPr>
        <w:footnoteRef/>
      </w:r>
      <w:r>
        <w:t xml:space="preserve"> Informações adicionais podem ser encontradas no </w:t>
      </w:r>
      <w:r>
        <w:rPr>
          <w:i/>
          <w:iCs/>
        </w:rPr>
        <w:t>Guidance on the Implementation of Country-by-Country Reporting</w:t>
      </w:r>
      <w:r>
        <w:t xml:space="preserve">, publicado pela Organização para a Cooperação e o Desenvolvimento Econômico em junho de 2016. O documento pode ser acessado por meio do link: &lt;http://www.oecd.org/tax/beps/guidance-on-the-implementation-of-country-by-country-reporting-beps-action-13.htm&gt;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3425" w:rsidRPr="0013365A" w:rsidRDefault="00E13425" w:rsidP="00C01DDC">
    <w:pPr>
      <w:pStyle w:val="Cabealho"/>
      <w:rPr>
        <w:rFonts w:ascii="Times New Roman" w:hAnsi="Times New Roman" w:cs="Times New Roman"/>
        <w:sz w:val="20"/>
        <w:szCs w:val="20"/>
      </w:rPr>
    </w:pPr>
    <w:r>
      <w:rPr>
        <w:rFonts w:ascii="Times New Roman" w:hAnsi="Times New Roman" w:cs="Times New Roman"/>
        <w:sz w:val="20"/>
        <w:szCs w:val="20"/>
      </w:rPr>
      <w:t>Anexo ao Ato Declaratório Executivo Cofis n</w:t>
    </w:r>
    <w:r>
      <w:rPr>
        <w:rFonts w:ascii="Times New Roman" w:hAnsi="Times New Roman" w:cs="Times New Roman"/>
        <w:sz w:val="20"/>
        <w:szCs w:val="20"/>
        <w:u w:val="single"/>
        <w:vertAlign w:val="superscript"/>
      </w:rPr>
      <w:t>o</w:t>
    </w:r>
    <w:r>
      <w:rPr>
        <w:rFonts w:ascii="Times New Roman" w:hAnsi="Times New Roman" w:cs="Times New Roman"/>
        <w:sz w:val="20"/>
        <w:szCs w:val="20"/>
      </w:rPr>
      <w:t xml:space="preserve">  30/2017                                                                                                                                                           Manual de Orientação do Leiaute da ECF</w:t>
    </w:r>
  </w:p>
  <w:p w:rsidR="00E13425" w:rsidRPr="0013365A" w:rsidRDefault="00E13425" w:rsidP="00EC2D50">
    <w:pPr>
      <w:pStyle w:val="Cabealho"/>
      <w:jc w:val="center"/>
      <w:rPr>
        <w:rFonts w:ascii="Times New Roman" w:hAnsi="Times New Roman" w:cs="Times New Roman"/>
        <w:sz w:val="20"/>
        <w:szCs w:val="20"/>
      </w:rPr>
    </w:pPr>
    <w:r>
      <w:rPr>
        <w:rFonts w:ascii="Times New Roman" w:hAnsi="Times New Roman" w:cs="Times New Roman"/>
        <w:sz w:val="20"/>
        <w:szCs w:val="20"/>
      </w:rPr>
      <w:t xml:space="preserve">                                                                                                                                                                                                                                                          </w:t>
    </w:r>
    <w:r w:rsidRPr="0013365A">
      <w:rPr>
        <w:rFonts w:ascii="Times New Roman" w:hAnsi="Times New Roman" w:cs="Times New Roman"/>
        <w:sz w:val="20"/>
        <w:szCs w:val="20"/>
      </w:rPr>
      <w:t xml:space="preserve">Atualização: </w:t>
    </w:r>
    <w:r>
      <w:rPr>
        <w:rFonts w:ascii="Times New Roman" w:hAnsi="Times New Roman" w:cs="Times New Roman"/>
        <w:sz w:val="20"/>
        <w:szCs w:val="20"/>
      </w:rPr>
      <w:t>Maio de 2017.</w:t>
    </w:r>
  </w:p>
  <w:p w:rsidR="00E13425" w:rsidRPr="0013365A" w:rsidRDefault="00E13425" w:rsidP="00526E62">
    <w:pPr>
      <w:pStyle w:val="Cabealho"/>
      <w:tabs>
        <w:tab w:val="clear" w:pos="4252"/>
        <w:tab w:val="clear" w:pos="8504"/>
        <w:tab w:val="left" w:pos="3750"/>
      </w:tabs>
      <w:rPr>
        <w:rFonts w:ascii="Times New Roman" w:hAnsi="Times New Roman" w:cs="Times New Roman"/>
        <w:sz w:val="20"/>
        <w:szCs w:val="20"/>
      </w:rPr>
    </w:pPr>
    <w:r>
      <w:rPr>
        <w:rFonts w:ascii="Times New Roman" w:hAnsi="Times New Roman" w:cs="Times New Roman"/>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7703634"/>
    <w:lvl w:ilvl="0">
      <w:start w:val="1"/>
      <w:numFmt w:val="bullet"/>
      <w:pStyle w:val="Commarcadores"/>
      <w:lvlText w:val=""/>
      <w:lvlJc w:val="left"/>
      <w:pPr>
        <w:tabs>
          <w:tab w:val="num" w:pos="10838"/>
        </w:tabs>
        <w:ind w:left="10838" w:hanging="360"/>
      </w:pPr>
      <w:rPr>
        <w:rFonts w:ascii="Symbol" w:hAnsi="Symbol" w:hint="default"/>
      </w:rPr>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pStyle w:val="Ttulo5"/>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Symbol" w:hAnsi="Symbol"/>
        <w:sz w:val="20"/>
      </w:rPr>
    </w:lvl>
  </w:abstractNum>
  <w:abstractNum w:abstractNumId="3" w15:restartNumberingAfterBreak="0">
    <w:nsid w:val="00000003"/>
    <w:multiLevelType w:val="multilevel"/>
    <w:tmpl w:val="00000003"/>
    <w:name w:val="WW8Num3"/>
    <w:lvl w:ilvl="0">
      <w:start w:val="1"/>
      <w:numFmt w:val="decimal"/>
      <w:suff w:val="space"/>
      <w:lvlText w:val="P%1. "/>
      <w:lvlJc w:val="left"/>
      <w:pPr>
        <w:tabs>
          <w:tab w:val="num" w:pos="0"/>
        </w:tabs>
        <w:ind w:left="1080" w:hanging="360"/>
      </w:pPr>
      <w:rPr>
        <w:b/>
        <w:i w:val="0"/>
      </w:rPr>
    </w:lvl>
    <w:lvl w:ilvl="1">
      <w:start w:val="1"/>
      <w:numFmt w:val="decimal"/>
      <w:suff w:val="space"/>
      <w:lvlText w:val="P%1.%2. "/>
      <w:lvlJc w:val="left"/>
      <w:pPr>
        <w:tabs>
          <w:tab w:val="num" w:pos="0"/>
        </w:tabs>
        <w:ind w:left="1440" w:hanging="360"/>
      </w:pPr>
      <w:rPr>
        <w:b/>
        <w:i w:val="0"/>
      </w:rPr>
    </w:lvl>
    <w:lvl w:ilvl="2">
      <w:start w:val="1"/>
      <w:numFmt w:val="decimal"/>
      <w:suff w:val="space"/>
      <w:lvlText w:val="P%1.%2.%3. "/>
      <w:lvlJc w:val="left"/>
      <w:pPr>
        <w:tabs>
          <w:tab w:val="num" w:pos="0"/>
        </w:tabs>
        <w:ind w:left="1800" w:hanging="360"/>
      </w:pPr>
      <w:rPr>
        <w:b/>
        <w:i w:val="0"/>
      </w:rPr>
    </w:lvl>
    <w:lvl w:ilvl="3">
      <w:start w:val="1"/>
      <w:numFmt w:val="decimal"/>
      <w:suff w:val="space"/>
      <w:lvlText w:val="P%1.%2.%3.%4. "/>
      <w:lvlJc w:val="left"/>
      <w:pPr>
        <w:tabs>
          <w:tab w:val="num" w:pos="0"/>
        </w:tabs>
        <w:ind w:left="2160" w:hanging="360"/>
      </w:pPr>
      <w:rPr>
        <w:b/>
        <w:i w:val="0"/>
      </w:rPr>
    </w:lvl>
    <w:lvl w:ilvl="4">
      <w:start w:val="1"/>
      <w:numFmt w:val="decimal"/>
      <w:suff w:val="space"/>
      <w:lvlText w:val="P%1.%2.%3.%4.%5. "/>
      <w:lvlJc w:val="left"/>
      <w:pPr>
        <w:tabs>
          <w:tab w:val="num" w:pos="0"/>
        </w:tabs>
        <w:ind w:left="2520" w:hanging="360"/>
      </w:pPr>
      <w:rPr>
        <w:b/>
        <w:i w:val="0"/>
      </w:rPr>
    </w:lvl>
    <w:lvl w:ilvl="5">
      <w:start w:val="1"/>
      <w:numFmt w:val="decimal"/>
      <w:suff w:val="space"/>
      <w:lvlText w:val="P%1.%2.%3.%4.%5.%6. "/>
      <w:lvlJc w:val="left"/>
      <w:pPr>
        <w:tabs>
          <w:tab w:val="num" w:pos="0"/>
        </w:tabs>
        <w:ind w:left="2880" w:hanging="360"/>
      </w:pPr>
      <w:rPr>
        <w:b/>
        <w:i w:val="0"/>
      </w:rPr>
    </w:lvl>
    <w:lvl w:ilvl="6">
      <w:start w:val="1"/>
      <w:numFmt w:val="decimal"/>
      <w:suff w:val="space"/>
      <w:lvlText w:val="P%1.%2.%3.%4.%5.%6.%7. "/>
      <w:lvlJc w:val="left"/>
      <w:pPr>
        <w:tabs>
          <w:tab w:val="num" w:pos="0"/>
        </w:tabs>
        <w:ind w:left="3240" w:hanging="360"/>
      </w:pPr>
      <w:rPr>
        <w:b/>
        <w:i w:val="0"/>
      </w:rPr>
    </w:lvl>
    <w:lvl w:ilvl="7">
      <w:start w:val="1"/>
      <w:numFmt w:val="decimal"/>
      <w:suff w:val="space"/>
      <w:lvlText w:val="P%1.%2.%3.%4.%5.%6.%7.%8. "/>
      <w:lvlJc w:val="left"/>
      <w:pPr>
        <w:tabs>
          <w:tab w:val="num" w:pos="0"/>
        </w:tabs>
        <w:ind w:left="3600" w:hanging="360"/>
      </w:pPr>
      <w:rPr>
        <w:b/>
        <w:i w:val="0"/>
      </w:rPr>
    </w:lvl>
    <w:lvl w:ilvl="8">
      <w:start w:val="1"/>
      <w:numFmt w:val="decimal"/>
      <w:suff w:val="space"/>
      <w:lvlText w:val="P%1.%2.%3.%4.%5.%6.%7.%8.%9. "/>
      <w:lvlJc w:val="left"/>
      <w:pPr>
        <w:tabs>
          <w:tab w:val="num" w:pos="0"/>
        </w:tabs>
        <w:ind w:left="3960" w:hanging="360"/>
      </w:pPr>
      <w:rPr>
        <w:b/>
        <w:i w:val="0"/>
      </w:rPr>
    </w:lvl>
  </w:abstractNum>
  <w:abstractNum w:abstractNumId="4" w15:restartNumberingAfterBreak="0">
    <w:nsid w:val="00000005"/>
    <w:multiLevelType w:val="singleLevel"/>
    <w:tmpl w:val="00000005"/>
    <w:name w:val="WW8Num5"/>
    <w:lvl w:ilvl="0">
      <w:start w:val="1"/>
      <w:numFmt w:val="bullet"/>
      <w:pStyle w:val="PSDS-FluxoPrincipal-Titulo"/>
      <w:lvlText w:val=""/>
      <w:lvlJc w:val="left"/>
      <w:pPr>
        <w:tabs>
          <w:tab w:val="num" w:pos="720"/>
        </w:tabs>
        <w:ind w:left="720" w:hanging="360"/>
      </w:pPr>
      <w:rPr>
        <w:rFonts w:ascii="Symbol" w:hAnsi="Symbol"/>
        <w:sz w:val="20"/>
      </w:rPr>
    </w:lvl>
  </w:abstractNum>
  <w:abstractNum w:abstractNumId="5"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sz w:val="20"/>
      </w:rPr>
    </w:lvl>
  </w:abstractNum>
  <w:abstractNum w:abstractNumId="6" w15:restartNumberingAfterBreak="0">
    <w:nsid w:val="00000008"/>
    <w:multiLevelType w:val="singleLevel"/>
    <w:tmpl w:val="00000008"/>
    <w:name w:val="WW8Num8"/>
    <w:lvl w:ilvl="0">
      <w:start w:val="1"/>
      <w:numFmt w:val="bullet"/>
      <w:lvlText w:val=""/>
      <w:lvlJc w:val="left"/>
      <w:pPr>
        <w:tabs>
          <w:tab w:val="num" w:pos="720"/>
        </w:tabs>
        <w:ind w:left="720" w:hanging="360"/>
      </w:pPr>
      <w:rPr>
        <w:rFonts w:ascii="Symbol" w:hAnsi="Symbol"/>
        <w:sz w:val="20"/>
      </w:rPr>
    </w:lvl>
  </w:abstractNum>
  <w:abstractNum w:abstractNumId="7" w15:restartNumberingAfterBreak="0">
    <w:nsid w:val="00000009"/>
    <w:multiLevelType w:val="singleLevel"/>
    <w:tmpl w:val="00000009"/>
    <w:name w:val="WW8Num9"/>
    <w:lvl w:ilvl="0">
      <w:start w:val="1"/>
      <w:numFmt w:val="bullet"/>
      <w:lvlText w:val=""/>
      <w:lvlJc w:val="left"/>
      <w:pPr>
        <w:tabs>
          <w:tab w:val="num" w:pos="720"/>
        </w:tabs>
        <w:ind w:left="720" w:hanging="360"/>
      </w:pPr>
      <w:rPr>
        <w:rFonts w:ascii="Symbol" w:hAnsi="Symbol"/>
        <w:sz w:val="20"/>
      </w:rPr>
    </w:lvl>
  </w:abstractNum>
  <w:abstractNum w:abstractNumId="8" w15:restartNumberingAfterBreak="0">
    <w:nsid w:val="0000000A"/>
    <w:multiLevelType w:val="singleLevel"/>
    <w:tmpl w:val="0000000A"/>
    <w:name w:val="WW8Num10"/>
    <w:lvl w:ilvl="0">
      <w:start w:val="1"/>
      <w:numFmt w:val="bullet"/>
      <w:lvlText w:val=""/>
      <w:lvlJc w:val="left"/>
      <w:pPr>
        <w:tabs>
          <w:tab w:val="num" w:pos="720"/>
        </w:tabs>
        <w:ind w:left="720" w:hanging="360"/>
      </w:pPr>
      <w:rPr>
        <w:rFonts w:ascii="Symbol" w:hAnsi="Symbol"/>
        <w:sz w:val="20"/>
      </w:rPr>
    </w:lvl>
  </w:abstractNum>
  <w:abstractNum w:abstractNumId="9" w15:restartNumberingAfterBreak="0">
    <w:nsid w:val="00000013"/>
    <w:multiLevelType w:val="multilevel"/>
    <w:tmpl w:val="00000013"/>
    <w:name w:val="WW8Num19"/>
    <w:lvl w:ilvl="0">
      <w:start w:val="1"/>
      <w:numFmt w:val="bullet"/>
      <w:lvlText w:val=""/>
      <w:lvlJc w:val="left"/>
      <w:pPr>
        <w:tabs>
          <w:tab w:val="num" w:pos="577"/>
        </w:tabs>
        <w:ind w:left="577" w:hanging="360"/>
      </w:pPr>
      <w:rPr>
        <w:rFonts w:ascii="Symbol" w:hAnsi="Symbol" w:cs="Times New Roman"/>
      </w:rPr>
    </w:lvl>
    <w:lvl w:ilvl="1">
      <w:start w:val="1"/>
      <w:numFmt w:val="bullet"/>
      <w:lvlText w:val=""/>
      <w:lvlJc w:val="left"/>
      <w:pPr>
        <w:tabs>
          <w:tab w:val="num" w:pos="937"/>
        </w:tabs>
        <w:ind w:left="937" w:hanging="360"/>
      </w:pPr>
      <w:rPr>
        <w:rFonts w:ascii="Symbol" w:hAnsi="Symbol" w:cs="Times New Roman"/>
      </w:rPr>
    </w:lvl>
    <w:lvl w:ilvl="2">
      <w:start w:val="1"/>
      <w:numFmt w:val="bullet"/>
      <w:lvlText w:val=""/>
      <w:lvlJc w:val="left"/>
      <w:pPr>
        <w:tabs>
          <w:tab w:val="num" w:pos="1297"/>
        </w:tabs>
        <w:ind w:left="1297" w:hanging="360"/>
      </w:pPr>
      <w:rPr>
        <w:rFonts w:ascii="Symbol" w:hAnsi="Symbol" w:cs="Times New Roman"/>
      </w:rPr>
    </w:lvl>
    <w:lvl w:ilvl="3">
      <w:start w:val="1"/>
      <w:numFmt w:val="bullet"/>
      <w:lvlText w:val=""/>
      <w:lvlJc w:val="left"/>
      <w:pPr>
        <w:tabs>
          <w:tab w:val="num" w:pos="1657"/>
        </w:tabs>
        <w:ind w:left="1657" w:hanging="360"/>
      </w:pPr>
      <w:rPr>
        <w:rFonts w:ascii="Symbol" w:hAnsi="Symbol" w:cs="Times New Roman"/>
      </w:rPr>
    </w:lvl>
    <w:lvl w:ilvl="4">
      <w:start w:val="1"/>
      <w:numFmt w:val="bullet"/>
      <w:lvlText w:val=""/>
      <w:lvlJc w:val="left"/>
      <w:pPr>
        <w:tabs>
          <w:tab w:val="num" w:pos="2017"/>
        </w:tabs>
        <w:ind w:left="2017" w:hanging="360"/>
      </w:pPr>
      <w:rPr>
        <w:rFonts w:ascii="Symbol" w:hAnsi="Symbol" w:cs="Times New Roman"/>
      </w:rPr>
    </w:lvl>
    <w:lvl w:ilvl="5">
      <w:start w:val="1"/>
      <w:numFmt w:val="bullet"/>
      <w:lvlText w:val=""/>
      <w:lvlJc w:val="left"/>
      <w:pPr>
        <w:tabs>
          <w:tab w:val="num" w:pos="2377"/>
        </w:tabs>
        <w:ind w:left="2377" w:hanging="360"/>
      </w:pPr>
      <w:rPr>
        <w:rFonts w:ascii="Symbol" w:hAnsi="Symbol" w:cs="Times New Roman"/>
      </w:rPr>
    </w:lvl>
    <w:lvl w:ilvl="6">
      <w:start w:val="1"/>
      <w:numFmt w:val="bullet"/>
      <w:lvlText w:val=""/>
      <w:lvlJc w:val="left"/>
      <w:pPr>
        <w:tabs>
          <w:tab w:val="num" w:pos="2737"/>
        </w:tabs>
        <w:ind w:left="2737" w:hanging="360"/>
      </w:pPr>
      <w:rPr>
        <w:rFonts w:ascii="Symbol" w:hAnsi="Symbol" w:cs="Times New Roman"/>
      </w:rPr>
    </w:lvl>
    <w:lvl w:ilvl="7">
      <w:start w:val="1"/>
      <w:numFmt w:val="bullet"/>
      <w:lvlText w:val=""/>
      <w:lvlJc w:val="left"/>
      <w:pPr>
        <w:tabs>
          <w:tab w:val="num" w:pos="3097"/>
        </w:tabs>
        <w:ind w:left="3097" w:hanging="360"/>
      </w:pPr>
      <w:rPr>
        <w:rFonts w:ascii="Symbol" w:hAnsi="Symbol" w:cs="Times New Roman"/>
      </w:rPr>
    </w:lvl>
    <w:lvl w:ilvl="8">
      <w:start w:val="1"/>
      <w:numFmt w:val="bullet"/>
      <w:lvlText w:val=""/>
      <w:lvlJc w:val="left"/>
      <w:pPr>
        <w:tabs>
          <w:tab w:val="num" w:pos="3457"/>
        </w:tabs>
        <w:ind w:left="3457" w:hanging="360"/>
      </w:pPr>
      <w:rPr>
        <w:rFonts w:ascii="Symbol" w:hAnsi="Symbol" w:cs="Times New Roman"/>
      </w:rPr>
    </w:lvl>
  </w:abstractNum>
  <w:abstractNum w:abstractNumId="10" w15:restartNumberingAfterBreak="0">
    <w:nsid w:val="046B2290"/>
    <w:multiLevelType w:val="hybridMultilevel"/>
    <w:tmpl w:val="5148B71E"/>
    <w:lvl w:ilvl="0" w:tplc="04B4D776">
      <w:numFmt w:val="bullet"/>
      <w:lvlText w:val="-"/>
      <w:lvlJc w:val="left"/>
      <w:pPr>
        <w:tabs>
          <w:tab w:val="num" w:pos="1080"/>
        </w:tabs>
        <w:ind w:left="1080" w:hanging="360"/>
      </w:pPr>
      <w:rPr>
        <w:rFonts w:ascii="Times New Roman" w:eastAsia="Times New Roman" w:hAnsi="Times New Roman" w:cs="Times New Roman" w:hint="default"/>
      </w:rPr>
    </w:lvl>
    <w:lvl w:ilvl="1" w:tplc="04160003">
      <w:start w:val="1"/>
      <w:numFmt w:val="bullet"/>
      <w:lvlText w:val="o"/>
      <w:lvlJc w:val="left"/>
      <w:pPr>
        <w:tabs>
          <w:tab w:val="num" w:pos="1800"/>
        </w:tabs>
        <w:ind w:left="1800" w:hanging="360"/>
      </w:pPr>
      <w:rPr>
        <w:rFonts w:ascii="Courier New" w:hAnsi="Courier New" w:cs="Times New Roman" w:hint="default"/>
      </w:rPr>
    </w:lvl>
    <w:lvl w:ilvl="2" w:tplc="04160005">
      <w:start w:val="1"/>
      <w:numFmt w:val="bullet"/>
      <w:lvlText w:val=""/>
      <w:lvlJc w:val="left"/>
      <w:pPr>
        <w:tabs>
          <w:tab w:val="num" w:pos="2520"/>
        </w:tabs>
        <w:ind w:left="2520" w:hanging="360"/>
      </w:pPr>
      <w:rPr>
        <w:rFonts w:ascii="Wingdings" w:hAnsi="Wingdings" w:hint="default"/>
      </w:rPr>
    </w:lvl>
    <w:lvl w:ilvl="3" w:tplc="04160001">
      <w:start w:val="1"/>
      <w:numFmt w:val="bullet"/>
      <w:lvlText w:val=""/>
      <w:lvlJc w:val="left"/>
      <w:pPr>
        <w:tabs>
          <w:tab w:val="num" w:pos="3240"/>
        </w:tabs>
        <w:ind w:left="3240" w:hanging="360"/>
      </w:pPr>
      <w:rPr>
        <w:rFonts w:ascii="Symbol" w:hAnsi="Symbol" w:hint="default"/>
      </w:rPr>
    </w:lvl>
    <w:lvl w:ilvl="4" w:tplc="04160003">
      <w:start w:val="1"/>
      <w:numFmt w:val="bullet"/>
      <w:lvlText w:val="o"/>
      <w:lvlJc w:val="left"/>
      <w:pPr>
        <w:tabs>
          <w:tab w:val="num" w:pos="3960"/>
        </w:tabs>
        <w:ind w:left="3960" w:hanging="360"/>
      </w:pPr>
      <w:rPr>
        <w:rFonts w:ascii="Courier New" w:hAnsi="Courier New" w:cs="Times New Roman" w:hint="default"/>
      </w:rPr>
    </w:lvl>
    <w:lvl w:ilvl="5" w:tplc="04160005">
      <w:start w:val="1"/>
      <w:numFmt w:val="bullet"/>
      <w:lvlText w:val=""/>
      <w:lvlJc w:val="left"/>
      <w:pPr>
        <w:tabs>
          <w:tab w:val="num" w:pos="4680"/>
        </w:tabs>
        <w:ind w:left="4680" w:hanging="360"/>
      </w:pPr>
      <w:rPr>
        <w:rFonts w:ascii="Wingdings" w:hAnsi="Wingdings" w:hint="default"/>
      </w:rPr>
    </w:lvl>
    <w:lvl w:ilvl="6" w:tplc="04160001">
      <w:start w:val="1"/>
      <w:numFmt w:val="bullet"/>
      <w:lvlText w:val=""/>
      <w:lvlJc w:val="left"/>
      <w:pPr>
        <w:tabs>
          <w:tab w:val="num" w:pos="5400"/>
        </w:tabs>
        <w:ind w:left="5400" w:hanging="360"/>
      </w:pPr>
      <w:rPr>
        <w:rFonts w:ascii="Symbol" w:hAnsi="Symbol" w:hint="default"/>
      </w:rPr>
    </w:lvl>
    <w:lvl w:ilvl="7" w:tplc="04160003">
      <w:start w:val="1"/>
      <w:numFmt w:val="bullet"/>
      <w:lvlText w:val="o"/>
      <w:lvlJc w:val="left"/>
      <w:pPr>
        <w:tabs>
          <w:tab w:val="num" w:pos="6120"/>
        </w:tabs>
        <w:ind w:left="6120" w:hanging="360"/>
      </w:pPr>
      <w:rPr>
        <w:rFonts w:ascii="Courier New" w:hAnsi="Courier New" w:cs="Times New Roman" w:hint="default"/>
      </w:rPr>
    </w:lvl>
    <w:lvl w:ilvl="8" w:tplc="04160005">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04AC78D8"/>
    <w:multiLevelType w:val="hybridMultilevel"/>
    <w:tmpl w:val="06AA17EC"/>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2" w15:restartNumberingAfterBreak="0">
    <w:nsid w:val="16351E4C"/>
    <w:multiLevelType w:val="hybridMultilevel"/>
    <w:tmpl w:val="B65A2184"/>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1D685279"/>
    <w:multiLevelType w:val="hybridMultilevel"/>
    <w:tmpl w:val="66BA7CF2"/>
    <w:lvl w:ilvl="0" w:tplc="E05CD320">
      <w:start w:val="1"/>
      <w:numFmt w:val="decimalZero"/>
      <w:lvlText w:val="%1"/>
      <w:lvlJc w:val="left"/>
      <w:pPr>
        <w:tabs>
          <w:tab w:val="num" w:pos="360"/>
        </w:tabs>
      </w:pPr>
      <w:rPr>
        <w:rFonts w:hint="default"/>
      </w:rPr>
    </w:lvl>
    <w:lvl w:ilvl="1" w:tplc="0416000D">
      <w:start w:val="1"/>
      <w:numFmt w:val="bullet"/>
      <w:lvlText w:val=""/>
      <w:lvlJc w:val="left"/>
      <w:pPr>
        <w:tabs>
          <w:tab w:val="num" w:pos="1440"/>
        </w:tabs>
        <w:ind w:left="1440" w:hanging="360"/>
      </w:pPr>
      <w:rPr>
        <w:rFonts w:ascii="Wingdings" w:hAnsi="Wingdings" w:cs="Times New Roman"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 w15:restartNumberingAfterBreak="0">
    <w:nsid w:val="1DA56DB5"/>
    <w:multiLevelType w:val="hybridMultilevel"/>
    <w:tmpl w:val="0F1E699A"/>
    <w:lvl w:ilvl="0" w:tplc="0416000D">
      <w:start w:val="1"/>
      <w:numFmt w:val="bullet"/>
      <w:lvlText w:val=""/>
      <w:lvlJc w:val="left"/>
      <w:pPr>
        <w:tabs>
          <w:tab w:val="num" w:pos="1212"/>
        </w:tabs>
        <w:ind w:left="1212" w:hanging="360"/>
      </w:pPr>
      <w:rPr>
        <w:rFonts w:ascii="Wingdings" w:hAnsi="Wingdings" w:cs="Times New Roman" w:hint="default"/>
      </w:rPr>
    </w:lvl>
    <w:lvl w:ilvl="1" w:tplc="04160003">
      <w:start w:val="1"/>
      <w:numFmt w:val="bullet"/>
      <w:lvlText w:val="o"/>
      <w:lvlJc w:val="left"/>
      <w:pPr>
        <w:tabs>
          <w:tab w:val="num" w:pos="2292"/>
        </w:tabs>
        <w:ind w:left="2292" w:hanging="360"/>
      </w:pPr>
      <w:rPr>
        <w:rFonts w:ascii="Courier New" w:hAnsi="Courier New" w:cs="Courier New" w:hint="default"/>
      </w:rPr>
    </w:lvl>
    <w:lvl w:ilvl="2" w:tplc="04160005">
      <w:start w:val="1"/>
      <w:numFmt w:val="bullet"/>
      <w:lvlText w:val=""/>
      <w:lvlJc w:val="left"/>
      <w:pPr>
        <w:tabs>
          <w:tab w:val="num" w:pos="3012"/>
        </w:tabs>
        <w:ind w:left="3012" w:hanging="360"/>
      </w:pPr>
      <w:rPr>
        <w:rFonts w:ascii="Wingdings" w:hAnsi="Wingdings" w:cs="Times New Roman" w:hint="default"/>
      </w:rPr>
    </w:lvl>
    <w:lvl w:ilvl="3" w:tplc="04160001">
      <w:start w:val="1"/>
      <w:numFmt w:val="bullet"/>
      <w:lvlText w:val=""/>
      <w:lvlJc w:val="left"/>
      <w:pPr>
        <w:tabs>
          <w:tab w:val="num" w:pos="3732"/>
        </w:tabs>
        <w:ind w:left="3732" w:hanging="360"/>
      </w:pPr>
      <w:rPr>
        <w:rFonts w:ascii="Symbol" w:hAnsi="Symbol" w:cs="Times New Roman" w:hint="default"/>
      </w:rPr>
    </w:lvl>
    <w:lvl w:ilvl="4" w:tplc="04160003">
      <w:start w:val="1"/>
      <w:numFmt w:val="bullet"/>
      <w:lvlText w:val="o"/>
      <w:lvlJc w:val="left"/>
      <w:pPr>
        <w:tabs>
          <w:tab w:val="num" w:pos="4452"/>
        </w:tabs>
        <w:ind w:left="4452" w:hanging="360"/>
      </w:pPr>
      <w:rPr>
        <w:rFonts w:ascii="Courier New" w:hAnsi="Courier New" w:cs="Courier New" w:hint="default"/>
      </w:rPr>
    </w:lvl>
    <w:lvl w:ilvl="5" w:tplc="04160005">
      <w:start w:val="1"/>
      <w:numFmt w:val="bullet"/>
      <w:lvlText w:val=""/>
      <w:lvlJc w:val="left"/>
      <w:pPr>
        <w:tabs>
          <w:tab w:val="num" w:pos="5172"/>
        </w:tabs>
        <w:ind w:left="5172" w:hanging="360"/>
      </w:pPr>
      <w:rPr>
        <w:rFonts w:ascii="Wingdings" w:hAnsi="Wingdings" w:cs="Times New Roman" w:hint="default"/>
      </w:rPr>
    </w:lvl>
    <w:lvl w:ilvl="6" w:tplc="04160001">
      <w:start w:val="1"/>
      <w:numFmt w:val="bullet"/>
      <w:lvlText w:val=""/>
      <w:lvlJc w:val="left"/>
      <w:pPr>
        <w:tabs>
          <w:tab w:val="num" w:pos="5892"/>
        </w:tabs>
        <w:ind w:left="5892" w:hanging="360"/>
      </w:pPr>
      <w:rPr>
        <w:rFonts w:ascii="Symbol" w:hAnsi="Symbol" w:cs="Times New Roman" w:hint="default"/>
      </w:rPr>
    </w:lvl>
    <w:lvl w:ilvl="7" w:tplc="04160003">
      <w:start w:val="1"/>
      <w:numFmt w:val="bullet"/>
      <w:lvlText w:val="o"/>
      <w:lvlJc w:val="left"/>
      <w:pPr>
        <w:tabs>
          <w:tab w:val="num" w:pos="6612"/>
        </w:tabs>
        <w:ind w:left="6612" w:hanging="360"/>
      </w:pPr>
      <w:rPr>
        <w:rFonts w:ascii="Courier New" w:hAnsi="Courier New" w:cs="Courier New" w:hint="default"/>
      </w:rPr>
    </w:lvl>
    <w:lvl w:ilvl="8" w:tplc="04160005">
      <w:start w:val="1"/>
      <w:numFmt w:val="bullet"/>
      <w:lvlText w:val=""/>
      <w:lvlJc w:val="left"/>
      <w:pPr>
        <w:tabs>
          <w:tab w:val="num" w:pos="7332"/>
        </w:tabs>
        <w:ind w:left="7332" w:hanging="360"/>
      </w:pPr>
      <w:rPr>
        <w:rFonts w:ascii="Wingdings" w:hAnsi="Wingdings" w:cs="Times New Roman" w:hint="default"/>
      </w:rPr>
    </w:lvl>
  </w:abstractNum>
  <w:abstractNum w:abstractNumId="15" w15:restartNumberingAfterBreak="0">
    <w:nsid w:val="20D4128B"/>
    <w:multiLevelType w:val="hybridMultilevel"/>
    <w:tmpl w:val="289A1B06"/>
    <w:name w:val="WW8Num18722"/>
    <w:lvl w:ilvl="0" w:tplc="00000063">
      <w:start w:val="1"/>
      <w:numFmt w:val="decimal"/>
      <w:lvlText w:val="%1"/>
      <w:lvlJc w:val="left"/>
      <w:pPr>
        <w:tabs>
          <w:tab w:val="num" w:pos="360"/>
        </w:tabs>
        <w:ind w:left="0" w:firstLine="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6" w15:restartNumberingAfterBreak="0">
    <w:nsid w:val="3ABF5E96"/>
    <w:multiLevelType w:val="hybridMultilevel"/>
    <w:tmpl w:val="CAFCC538"/>
    <w:lvl w:ilvl="0" w:tplc="04160001">
      <w:start w:val="1"/>
      <w:numFmt w:val="bullet"/>
      <w:lvlText w:val=""/>
      <w:lvlJc w:val="left"/>
      <w:pPr>
        <w:tabs>
          <w:tab w:val="num" w:pos="1429"/>
        </w:tabs>
        <w:ind w:left="1429" w:hanging="360"/>
      </w:pPr>
      <w:rPr>
        <w:rFonts w:ascii="Symbol" w:hAnsi="Symbol" w:cs="Times New Roman" w:hint="default"/>
      </w:rPr>
    </w:lvl>
    <w:lvl w:ilvl="1" w:tplc="04160003">
      <w:start w:val="1"/>
      <w:numFmt w:val="bullet"/>
      <w:lvlText w:val="o"/>
      <w:lvlJc w:val="left"/>
      <w:pPr>
        <w:tabs>
          <w:tab w:val="num" w:pos="2149"/>
        </w:tabs>
        <w:ind w:left="2149" w:hanging="360"/>
      </w:pPr>
      <w:rPr>
        <w:rFonts w:ascii="Courier New" w:hAnsi="Courier New" w:cs="Courier New" w:hint="default"/>
      </w:rPr>
    </w:lvl>
    <w:lvl w:ilvl="2" w:tplc="04160005">
      <w:start w:val="1"/>
      <w:numFmt w:val="bullet"/>
      <w:lvlText w:val=""/>
      <w:lvlJc w:val="left"/>
      <w:pPr>
        <w:tabs>
          <w:tab w:val="num" w:pos="2869"/>
        </w:tabs>
        <w:ind w:left="2869" w:hanging="360"/>
      </w:pPr>
      <w:rPr>
        <w:rFonts w:ascii="Wingdings" w:hAnsi="Wingdings" w:cs="Times New Roman" w:hint="default"/>
      </w:rPr>
    </w:lvl>
    <w:lvl w:ilvl="3" w:tplc="04160001">
      <w:start w:val="1"/>
      <w:numFmt w:val="bullet"/>
      <w:lvlText w:val=""/>
      <w:lvlJc w:val="left"/>
      <w:pPr>
        <w:tabs>
          <w:tab w:val="num" w:pos="3589"/>
        </w:tabs>
        <w:ind w:left="3589" w:hanging="360"/>
      </w:pPr>
      <w:rPr>
        <w:rFonts w:ascii="Symbol" w:hAnsi="Symbol" w:cs="Times New Roman" w:hint="default"/>
      </w:rPr>
    </w:lvl>
    <w:lvl w:ilvl="4" w:tplc="04160003">
      <w:start w:val="1"/>
      <w:numFmt w:val="bullet"/>
      <w:lvlText w:val="o"/>
      <w:lvlJc w:val="left"/>
      <w:pPr>
        <w:tabs>
          <w:tab w:val="num" w:pos="4309"/>
        </w:tabs>
        <w:ind w:left="4309" w:hanging="360"/>
      </w:pPr>
      <w:rPr>
        <w:rFonts w:ascii="Courier New" w:hAnsi="Courier New" w:cs="Courier New" w:hint="default"/>
      </w:rPr>
    </w:lvl>
    <w:lvl w:ilvl="5" w:tplc="04160005">
      <w:start w:val="1"/>
      <w:numFmt w:val="bullet"/>
      <w:lvlText w:val=""/>
      <w:lvlJc w:val="left"/>
      <w:pPr>
        <w:tabs>
          <w:tab w:val="num" w:pos="5029"/>
        </w:tabs>
        <w:ind w:left="5029" w:hanging="360"/>
      </w:pPr>
      <w:rPr>
        <w:rFonts w:ascii="Wingdings" w:hAnsi="Wingdings" w:cs="Times New Roman" w:hint="default"/>
      </w:rPr>
    </w:lvl>
    <w:lvl w:ilvl="6" w:tplc="04160001">
      <w:start w:val="1"/>
      <w:numFmt w:val="bullet"/>
      <w:lvlText w:val=""/>
      <w:lvlJc w:val="left"/>
      <w:pPr>
        <w:tabs>
          <w:tab w:val="num" w:pos="5749"/>
        </w:tabs>
        <w:ind w:left="5749" w:hanging="360"/>
      </w:pPr>
      <w:rPr>
        <w:rFonts w:ascii="Symbol" w:hAnsi="Symbol" w:cs="Times New Roman" w:hint="default"/>
      </w:rPr>
    </w:lvl>
    <w:lvl w:ilvl="7" w:tplc="04160003">
      <w:start w:val="1"/>
      <w:numFmt w:val="bullet"/>
      <w:lvlText w:val="o"/>
      <w:lvlJc w:val="left"/>
      <w:pPr>
        <w:tabs>
          <w:tab w:val="num" w:pos="6469"/>
        </w:tabs>
        <w:ind w:left="6469" w:hanging="360"/>
      </w:pPr>
      <w:rPr>
        <w:rFonts w:ascii="Courier New" w:hAnsi="Courier New" w:cs="Courier New" w:hint="default"/>
      </w:rPr>
    </w:lvl>
    <w:lvl w:ilvl="8" w:tplc="04160005">
      <w:start w:val="1"/>
      <w:numFmt w:val="bullet"/>
      <w:lvlText w:val=""/>
      <w:lvlJc w:val="left"/>
      <w:pPr>
        <w:tabs>
          <w:tab w:val="num" w:pos="7189"/>
        </w:tabs>
        <w:ind w:left="7189" w:hanging="360"/>
      </w:pPr>
      <w:rPr>
        <w:rFonts w:ascii="Wingdings" w:hAnsi="Wingdings" w:cs="Times New Roman" w:hint="default"/>
      </w:rPr>
    </w:lvl>
  </w:abstractNum>
  <w:abstractNum w:abstractNumId="17" w15:restartNumberingAfterBreak="0">
    <w:nsid w:val="40C74149"/>
    <w:multiLevelType w:val="hybridMultilevel"/>
    <w:tmpl w:val="A9D6F2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49FE4A2B"/>
    <w:multiLevelType w:val="hybridMultilevel"/>
    <w:tmpl w:val="E60CFC80"/>
    <w:lvl w:ilvl="0" w:tplc="827A1B20">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9" w15:restartNumberingAfterBreak="0">
    <w:nsid w:val="4CDD0EAF"/>
    <w:multiLevelType w:val="hybridMultilevel"/>
    <w:tmpl w:val="29C26FF2"/>
    <w:lvl w:ilvl="0" w:tplc="BA5E3BBC">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0" w15:restartNumberingAfterBreak="0">
    <w:nsid w:val="513B7810"/>
    <w:multiLevelType w:val="multilevel"/>
    <w:tmpl w:val="C1BE11F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589350A5"/>
    <w:multiLevelType w:val="multilevel"/>
    <w:tmpl w:val="2B60766A"/>
    <w:lvl w:ilvl="0">
      <w:start w:val="1"/>
      <w:numFmt w:val="decimal"/>
      <w:pStyle w:val="PSDS-FluxoAlternativo"/>
      <w:lvlText w:val="%1."/>
      <w:lvlJc w:val="left"/>
      <w:pPr>
        <w:tabs>
          <w:tab w:val="num" w:pos="600"/>
        </w:tabs>
        <w:ind w:left="600" w:hanging="600"/>
      </w:pPr>
      <w:rPr>
        <w:rFonts w:hint="default"/>
      </w:rPr>
    </w:lvl>
    <w:lvl w:ilvl="1">
      <w:start w:val="1"/>
      <w:numFmt w:val="decimal"/>
      <w:pStyle w:val="PSDS-FluxoAlternativo-Subfluxo"/>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800"/>
        </w:tabs>
        <w:ind w:left="1800" w:hanging="180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520"/>
        </w:tabs>
        <w:ind w:left="2520" w:hanging="2520"/>
      </w:pPr>
      <w:rPr>
        <w:rFonts w:hint="default"/>
      </w:rPr>
    </w:lvl>
    <w:lvl w:ilvl="7">
      <w:start w:val="1"/>
      <w:numFmt w:val="decimal"/>
      <w:lvlText w:val="%1.%2.%3.%4.%5.%6.%7.%8."/>
      <w:lvlJc w:val="left"/>
      <w:pPr>
        <w:tabs>
          <w:tab w:val="num" w:pos="2880"/>
        </w:tabs>
        <w:ind w:left="2880" w:hanging="2880"/>
      </w:pPr>
      <w:rPr>
        <w:rFonts w:hint="default"/>
      </w:rPr>
    </w:lvl>
    <w:lvl w:ilvl="8">
      <w:start w:val="1"/>
      <w:numFmt w:val="decimal"/>
      <w:lvlText w:val="%1.%2.%3.%4.%5.%6.%7.%8.%9."/>
      <w:lvlJc w:val="left"/>
      <w:pPr>
        <w:tabs>
          <w:tab w:val="num" w:pos="3240"/>
        </w:tabs>
        <w:ind w:left="3240" w:hanging="3240"/>
      </w:pPr>
      <w:rPr>
        <w:rFonts w:hint="default"/>
      </w:rPr>
    </w:lvl>
  </w:abstractNum>
  <w:abstractNum w:abstractNumId="22" w15:restartNumberingAfterBreak="0">
    <w:nsid w:val="58B31B53"/>
    <w:multiLevelType w:val="hybridMultilevel"/>
    <w:tmpl w:val="FD5E8FB8"/>
    <w:lvl w:ilvl="0" w:tplc="F0E0895E">
      <w:start w:val="1"/>
      <w:numFmt w:val="decimal"/>
      <w:lvlText w:val="%1"/>
      <w:lvlJc w:val="left"/>
      <w:pPr>
        <w:tabs>
          <w:tab w:val="num" w:pos="360"/>
        </w:tabs>
      </w:pPr>
      <w:rPr>
        <w:rFonts w:hint="default"/>
      </w:r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23" w15:restartNumberingAfterBreak="0">
    <w:nsid w:val="5C7713A0"/>
    <w:multiLevelType w:val="hybridMultilevel"/>
    <w:tmpl w:val="262263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693C7814"/>
    <w:multiLevelType w:val="hybridMultilevel"/>
    <w:tmpl w:val="F6D60F5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6C927E4D"/>
    <w:multiLevelType w:val="hybridMultilevel"/>
    <w:tmpl w:val="3F121EEA"/>
    <w:lvl w:ilvl="0" w:tplc="0416000D">
      <w:start w:val="1"/>
      <w:numFmt w:val="bullet"/>
      <w:lvlText w:val=""/>
      <w:lvlJc w:val="left"/>
      <w:pPr>
        <w:tabs>
          <w:tab w:val="num" w:pos="1212"/>
        </w:tabs>
        <w:ind w:left="1212" w:hanging="360"/>
      </w:pPr>
      <w:rPr>
        <w:rFonts w:ascii="Wingdings" w:hAnsi="Wingdings" w:cs="Times New Roman" w:hint="default"/>
      </w:rPr>
    </w:lvl>
    <w:lvl w:ilvl="1" w:tplc="04160003">
      <w:start w:val="1"/>
      <w:numFmt w:val="bullet"/>
      <w:lvlText w:val="o"/>
      <w:lvlJc w:val="left"/>
      <w:pPr>
        <w:tabs>
          <w:tab w:val="num" w:pos="2292"/>
        </w:tabs>
        <w:ind w:left="2292" w:hanging="360"/>
      </w:pPr>
      <w:rPr>
        <w:rFonts w:ascii="Courier New" w:hAnsi="Courier New" w:cs="Courier New" w:hint="default"/>
      </w:rPr>
    </w:lvl>
    <w:lvl w:ilvl="2" w:tplc="04160005">
      <w:start w:val="1"/>
      <w:numFmt w:val="bullet"/>
      <w:lvlText w:val=""/>
      <w:lvlJc w:val="left"/>
      <w:pPr>
        <w:tabs>
          <w:tab w:val="num" w:pos="3012"/>
        </w:tabs>
        <w:ind w:left="3012" w:hanging="360"/>
      </w:pPr>
      <w:rPr>
        <w:rFonts w:ascii="Wingdings" w:hAnsi="Wingdings" w:cs="Times New Roman" w:hint="default"/>
      </w:rPr>
    </w:lvl>
    <w:lvl w:ilvl="3" w:tplc="04160001">
      <w:start w:val="1"/>
      <w:numFmt w:val="bullet"/>
      <w:lvlText w:val=""/>
      <w:lvlJc w:val="left"/>
      <w:pPr>
        <w:tabs>
          <w:tab w:val="num" w:pos="3732"/>
        </w:tabs>
        <w:ind w:left="3732" w:hanging="360"/>
      </w:pPr>
      <w:rPr>
        <w:rFonts w:ascii="Symbol" w:hAnsi="Symbol" w:cs="Times New Roman" w:hint="default"/>
      </w:rPr>
    </w:lvl>
    <w:lvl w:ilvl="4" w:tplc="04160003">
      <w:start w:val="1"/>
      <w:numFmt w:val="bullet"/>
      <w:lvlText w:val="o"/>
      <w:lvlJc w:val="left"/>
      <w:pPr>
        <w:tabs>
          <w:tab w:val="num" w:pos="4452"/>
        </w:tabs>
        <w:ind w:left="4452" w:hanging="360"/>
      </w:pPr>
      <w:rPr>
        <w:rFonts w:ascii="Courier New" w:hAnsi="Courier New" w:cs="Courier New" w:hint="default"/>
      </w:rPr>
    </w:lvl>
    <w:lvl w:ilvl="5" w:tplc="04160005">
      <w:start w:val="1"/>
      <w:numFmt w:val="bullet"/>
      <w:lvlText w:val=""/>
      <w:lvlJc w:val="left"/>
      <w:pPr>
        <w:tabs>
          <w:tab w:val="num" w:pos="5172"/>
        </w:tabs>
        <w:ind w:left="5172" w:hanging="360"/>
      </w:pPr>
      <w:rPr>
        <w:rFonts w:ascii="Wingdings" w:hAnsi="Wingdings" w:cs="Times New Roman" w:hint="default"/>
      </w:rPr>
    </w:lvl>
    <w:lvl w:ilvl="6" w:tplc="04160001">
      <w:start w:val="1"/>
      <w:numFmt w:val="bullet"/>
      <w:lvlText w:val=""/>
      <w:lvlJc w:val="left"/>
      <w:pPr>
        <w:tabs>
          <w:tab w:val="num" w:pos="5892"/>
        </w:tabs>
        <w:ind w:left="5892" w:hanging="360"/>
      </w:pPr>
      <w:rPr>
        <w:rFonts w:ascii="Symbol" w:hAnsi="Symbol" w:cs="Times New Roman" w:hint="default"/>
      </w:rPr>
    </w:lvl>
    <w:lvl w:ilvl="7" w:tplc="04160003">
      <w:start w:val="1"/>
      <w:numFmt w:val="bullet"/>
      <w:lvlText w:val="o"/>
      <w:lvlJc w:val="left"/>
      <w:pPr>
        <w:tabs>
          <w:tab w:val="num" w:pos="6612"/>
        </w:tabs>
        <w:ind w:left="6612" w:hanging="360"/>
      </w:pPr>
      <w:rPr>
        <w:rFonts w:ascii="Courier New" w:hAnsi="Courier New" w:cs="Courier New" w:hint="default"/>
      </w:rPr>
    </w:lvl>
    <w:lvl w:ilvl="8" w:tplc="04160005">
      <w:start w:val="1"/>
      <w:numFmt w:val="bullet"/>
      <w:lvlText w:val=""/>
      <w:lvlJc w:val="left"/>
      <w:pPr>
        <w:tabs>
          <w:tab w:val="num" w:pos="7332"/>
        </w:tabs>
        <w:ind w:left="7332" w:hanging="360"/>
      </w:pPr>
      <w:rPr>
        <w:rFonts w:ascii="Wingdings" w:hAnsi="Wingdings" w:cs="Times New Roman" w:hint="default"/>
      </w:rPr>
    </w:lvl>
  </w:abstractNum>
  <w:abstractNum w:abstractNumId="26" w15:restartNumberingAfterBreak="0">
    <w:nsid w:val="726568B9"/>
    <w:multiLevelType w:val="multilevel"/>
    <w:tmpl w:val="49E06F38"/>
    <w:lvl w:ilvl="0">
      <w:start w:val="1"/>
      <w:numFmt w:val="decimal"/>
      <w:pStyle w:val="PSDS-MarcadoresNivel1"/>
      <w:lvlText w:val="%1."/>
      <w:lvlJc w:val="left"/>
      <w:pPr>
        <w:tabs>
          <w:tab w:val="num" w:pos="360"/>
        </w:tabs>
        <w:ind w:left="360" w:hanging="360"/>
      </w:pPr>
      <w:rPr>
        <w:rFonts w:hint="default"/>
      </w:rPr>
    </w:lvl>
    <w:lvl w:ilvl="1">
      <w:start w:val="1"/>
      <w:numFmt w:val="decimal"/>
      <w:pStyle w:val="PSDS-MarcadoresNivel2"/>
      <w:lvlText w:val="%1.%2."/>
      <w:lvlJc w:val="left"/>
      <w:pPr>
        <w:tabs>
          <w:tab w:val="num" w:pos="792"/>
        </w:tabs>
        <w:ind w:left="792" w:hanging="432"/>
      </w:pPr>
      <w:rPr>
        <w:rFonts w:hint="default"/>
      </w:rPr>
    </w:lvl>
    <w:lvl w:ilvl="2">
      <w:start w:val="1"/>
      <w:numFmt w:val="decimal"/>
      <w:lvlText w:val="%1.%2.%3."/>
      <w:lvlJc w:val="left"/>
      <w:pPr>
        <w:tabs>
          <w:tab w:val="num" w:pos="9576"/>
        </w:tabs>
        <w:ind w:left="9576" w:hanging="504"/>
      </w:pPr>
      <w:rPr>
        <w:rFonts w:hint="default"/>
      </w:rPr>
    </w:lvl>
    <w:lvl w:ilvl="3">
      <w:start w:val="1"/>
      <w:numFmt w:val="decimal"/>
      <w:lvlText w:val="%1.%2.%3.%4."/>
      <w:lvlJc w:val="left"/>
      <w:pPr>
        <w:tabs>
          <w:tab w:val="num" w:pos="2160"/>
        </w:tabs>
        <w:ind w:left="1728" w:hanging="648"/>
      </w:pPr>
      <w:rPr>
        <w:rFonts w:ascii="Arial" w:hAnsi="Arial" w:hint="default"/>
        <w:b/>
        <w:i w:val="0"/>
        <w:color w:val="auto"/>
        <w:sz w:val="24"/>
      </w:rPr>
    </w:lvl>
    <w:lvl w:ilvl="4">
      <w:start w:val="1"/>
      <w:numFmt w:val="decimal"/>
      <w:pStyle w:val="PSDS-MarcadoresNivel5"/>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7" w15:restartNumberingAfterBreak="0">
    <w:nsid w:val="74165258"/>
    <w:multiLevelType w:val="multilevel"/>
    <w:tmpl w:val="A5AA1CB4"/>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7B9B3DE6"/>
    <w:multiLevelType w:val="hybridMultilevel"/>
    <w:tmpl w:val="82E27BD2"/>
    <w:lvl w:ilvl="0" w:tplc="04160017">
      <w:start w:val="1"/>
      <w:numFmt w:val="lowerLetter"/>
      <w:lvlText w:val="%1)"/>
      <w:lvlJc w:val="left"/>
      <w:pPr>
        <w:tabs>
          <w:tab w:val="num" w:pos="720"/>
        </w:tabs>
        <w:ind w:left="720" w:hanging="360"/>
      </w:p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num w:numId="1">
    <w:abstractNumId w:val="1"/>
  </w:num>
  <w:num w:numId="2">
    <w:abstractNumId w:val="4"/>
  </w:num>
  <w:num w:numId="3">
    <w:abstractNumId w:val="21"/>
  </w:num>
  <w:num w:numId="4">
    <w:abstractNumId w:val="26"/>
  </w:num>
  <w:num w:numId="5">
    <w:abstractNumId w:val="0"/>
  </w:num>
  <w:num w:numId="6">
    <w:abstractNumId w:val="11"/>
  </w:num>
  <w:num w:numId="7">
    <w:abstractNumId w:val="17"/>
  </w:num>
  <w:num w:numId="8">
    <w:abstractNumId w:val="23"/>
  </w:num>
  <w:num w:numId="9">
    <w:abstractNumId w:val="24"/>
  </w:num>
  <w:num w:numId="10">
    <w:abstractNumId w:val="22"/>
  </w:num>
  <w:num w:numId="11">
    <w:abstractNumId w:val="13"/>
  </w:num>
  <w:num w:numId="12">
    <w:abstractNumId w:val="16"/>
  </w:num>
  <w:num w:numId="13">
    <w:abstractNumId w:val="25"/>
  </w:num>
  <w:num w:numId="14">
    <w:abstractNumId w:val="14"/>
  </w:num>
  <w:num w:numId="15">
    <w:abstractNumId w:val="18"/>
  </w:num>
  <w:num w:numId="1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num>
  <w:num w:numId="18">
    <w:abstractNumId w:val="10"/>
  </w:num>
  <w:num w:numId="19">
    <w:abstractNumId w:val="19"/>
  </w:num>
  <w:num w:numId="20">
    <w:abstractNumId w:val="12"/>
  </w:num>
  <w:num w:numId="21">
    <w:abstractNumId w:val="26"/>
  </w:num>
  <w:num w:numId="22">
    <w:abstractNumId w:val="2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765C"/>
    <w:rsid w:val="000008D9"/>
    <w:rsid w:val="00000BE2"/>
    <w:rsid w:val="00001315"/>
    <w:rsid w:val="000014F9"/>
    <w:rsid w:val="000016E4"/>
    <w:rsid w:val="00001BD0"/>
    <w:rsid w:val="00001C07"/>
    <w:rsid w:val="00002590"/>
    <w:rsid w:val="000026E1"/>
    <w:rsid w:val="00003DA4"/>
    <w:rsid w:val="00004230"/>
    <w:rsid w:val="0000435B"/>
    <w:rsid w:val="00004891"/>
    <w:rsid w:val="0000555D"/>
    <w:rsid w:val="00005AE0"/>
    <w:rsid w:val="00005BF5"/>
    <w:rsid w:val="00005EBE"/>
    <w:rsid w:val="00006768"/>
    <w:rsid w:val="00006FA7"/>
    <w:rsid w:val="000078A6"/>
    <w:rsid w:val="000079FC"/>
    <w:rsid w:val="00007A19"/>
    <w:rsid w:val="00007D5D"/>
    <w:rsid w:val="00007E39"/>
    <w:rsid w:val="000104A1"/>
    <w:rsid w:val="00010663"/>
    <w:rsid w:val="00010848"/>
    <w:rsid w:val="000108E6"/>
    <w:rsid w:val="00010A1C"/>
    <w:rsid w:val="0001106E"/>
    <w:rsid w:val="000115FF"/>
    <w:rsid w:val="000121A7"/>
    <w:rsid w:val="00012703"/>
    <w:rsid w:val="0001270F"/>
    <w:rsid w:val="000130DC"/>
    <w:rsid w:val="0001384F"/>
    <w:rsid w:val="00013A6A"/>
    <w:rsid w:val="00014063"/>
    <w:rsid w:val="000142A3"/>
    <w:rsid w:val="00014339"/>
    <w:rsid w:val="00014C05"/>
    <w:rsid w:val="00014D6C"/>
    <w:rsid w:val="00014D8F"/>
    <w:rsid w:val="00015109"/>
    <w:rsid w:val="000152AB"/>
    <w:rsid w:val="00015345"/>
    <w:rsid w:val="000154E9"/>
    <w:rsid w:val="00015693"/>
    <w:rsid w:val="000157BD"/>
    <w:rsid w:val="00015B04"/>
    <w:rsid w:val="000165B8"/>
    <w:rsid w:val="0001677A"/>
    <w:rsid w:val="00016C36"/>
    <w:rsid w:val="00016E67"/>
    <w:rsid w:val="00017429"/>
    <w:rsid w:val="00020225"/>
    <w:rsid w:val="0002037E"/>
    <w:rsid w:val="00020F1B"/>
    <w:rsid w:val="00020FD2"/>
    <w:rsid w:val="00021508"/>
    <w:rsid w:val="00021CCD"/>
    <w:rsid w:val="00021EA6"/>
    <w:rsid w:val="00021EA9"/>
    <w:rsid w:val="0002204D"/>
    <w:rsid w:val="000226C4"/>
    <w:rsid w:val="000229A9"/>
    <w:rsid w:val="000232CC"/>
    <w:rsid w:val="0002374F"/>
    <w:rsid w:val="00023C7D"/>
    <w:rsid w:val="000245CC"/>
    <w:rsid w:val="00024712"/>
    <w:rsid w:val="00024AD5"/>
    <w:rsid w:val="00024B32"/>
    <w:rsid w:val="00025122"/>
    <w:rsid w:val="0002526E"/>
    <w:rsid w:val="0002586F"/>
    <w:rsid w:val="00025B48"/>
    <w:rsid w:val="00025D5E"/>
    <w:rsid w:val="0002624E"/>
    <w:rsid w:val="0002688F"/>
    <w:rsid w:val="00026ECC"/>
    <w:rsid w:val="00026ED6"/>
    <w:rsid w:val="00027924"/>
    <w:rsid w:val="0003027D"/>
    <w:rsid w:val="00030403"/>
    <w:rsid w:val="000313EC"/>
    <w:rsid w:val="00031D8E"/>
    <w:rsid w:val="000321E0"/>
    <w:rsid w:val="00032318"/>
    <w:rsid w:val="00032798"/>
    <w:rsid w:val="0003279D"/>
    <w:rsid w:val="000329A9"/>
    <w:rsid w:val="00033267"/>
    <w:rsid w:val="00033351"/>
    <w:rsid w:val="0003404F"/>
    <w:rsid w:val="00034464"/>
    <w:rsid w:val="00034552"/>
    <w:rsid w:val="00034715"/>
    <w:rsid w:val="000351CF"/>
    <w:rsid w:val="000359AD"/>
    <w:rsid w:val="00035CB7"/>
    <w:rsid w:val="0003609C"/>
    <w:rsid w:val="0003647C"/>
    <w:rsid w:val="000367DD"/>
    <w:rsid w:val="00036810"/>
    <w:rsid w:val="000371C4"/>
    <w:rsid w:val="000372D2"/>
    <w:rsid w:val="0003769D"/>
    <w:rsid w:val="00040043"/>
    <w:rsid w:val="00040D7B"/>
    <w:rsid w:val="000410C3"/>
    <w:rsid w:val="00041658"/>
    <w:rsid w:val="000419FB"/>
    <w:rsid w:val="00041CF2"/>
    <w:rsid w:val="00042EF7"/>
    <w:rsid w:val="000430B5"/>
    <w:rsid w:val="0004316E"/>
    <w:rsid w:val="00043395"/>
    <w:rsid w:val="000443F2"/>
    <w:rsid w:val="000444E8"/>
    <w:rsid w:val="00045280"/>
    <w:rsid w:val="00045F17"/>
    <w:rsid w:val="00045F2A"/>
    <w:rsid w:val="00045FE3"/>
    <w:rsid w:val="00045FFD"/>
    <w:rsid w:val="00046010"/>
    <w:rsid w:val="00046B61"/>
    <w:rsid w:val="0004747F"/>
    <w:rsid w:val="000475A3"/>
    <w:rsid w:val="0005001F"/>
    <w:rsid w:val="0005039A"/>
    <w:rsid w:val="0005039B"/>
    <w:rsid w:val="00050BED"/>
    <w:rsid w:val="000510B7"/>
    <w:rsid w:val="00052289"/>
    <w:rsid w:val="000524AE"/>
    <w:rsid w:val="00052982"/>
    <w:rsid w:val="0005324C"/>
    <w:rsid w:val="00053491"/>
    <w:rsid w:val="0005364A"/>
    <w:rsid w:val="00053847"/>
    <w:rsid w:val="00053A2E"/>
    <w:rsid w:val="00053B9C"/>
    <w:rsid w:val="00053D25"/>
    <w:rsid w:val="00053F07"/>
    <w:rsid w:val="00053FE6"/>
    <w:rsid w:val="000540D9"/>
    <w:rsid w:val="000547BB"/>
    <w:rsid w:val="00054B31"/>
    <w:rsid w:val="00054DB9"/>
    <w:rsid w:val="00054F23"/>
    <w:rsid w:val="000550B0"/>
    <w:rsid w:val="0005570E"/>
    <w:rsid w:val="00055A6E"/>
    <w:rsid w:val="000561C4"/>
    <w:rsid w:val="00056538"/>
    <w:rsid w:val="0005692F"/>
    <w:rsid w:val="00056D79"/>
    <w:rsid w:val="00057083"/>
    <w:rsid w:val="00057984"/>
    <w:rsid w:val="00057F04"/>
    <w:rsid w:val="000608A9"/>
    <w:rsid w:val="00060F89"/>
    <w:rsid w:val="00060FF7"/>
    <w:rsid w:val="00062301"/>
    <w:rsid w:val="00063F72"/>
    <w:rsid w:val="00064536"/>
    <w:rsid w:val="0006495B"/>
    <w:rsid w:val="00064DC9"/>
    <w:rsid w:val="00064E42"/>
    <w:rsid w:val="000654C2"/>
    <w:rsid w:val="00065C18"/>
    <w:rsid w:val="00065E44"/>
    <w:rsid w:val="00065E71"/>
    <w:rsid w:val="000661EB"/>
    <w:rsid w:val="000662D3"/>
    <w:rsid w:val="0006663F"/>
    <w:rsid w:val="00066689"/>
    <w:rsid w:val="00066E19"/>
    <w:rsid w:val="00066F86"/>
    <w:rsid w:val="00067005"/>
    <w:rsid w:val="000670EF"/>
    <w:rsid w:val="00067106"/>
    <w:rsid w:val="000671DF"/>
    <w:rsid w:val="0006720C"/>
    <w:rsid w:val="0006747E"/>
    <w:rsid w:val="00067B72"/>
    <w:rsid w:val="00070696"/>
    <w:rsid w:val="00070EF8"/>
    <w:rsid w:val="000716A2"/>
    <w:rsid w:val="000717A5"/>
    <w:rsid w:val="00071B5C"/>
    <w:rsid w:val="00071B73"/>
    <w:rsid w:val="00071D2C"/>
    <w:rsid w:val="00071D6A"/>
    <w:rsid w:val="000721F3"/>
    <w:rsid w:val="0007282B"/>
    <w:rsid w:val="00072D8A"/>
    <w:rsid w:val="0007328B"/>
    <w:rsid w:val="000732CB"/>
    <w:rsid w:val="00073414"/>
    <w:rsid w:val="00073441"/>
    <w:rsid w:val="0007383D"/>
    <w:rsid w:val="00073B07"/>
    <w:rsid w:val="00074378"/>
    <w:rsid w:val="00074925"/>
    <w:rsid w:val="00074B0F"/>
    <w:rsid w:val="00074ECE"/>
    <w:rsid w:val="00074FE3"/>
    <w:rsid w:val="0007567E"/>
    <w:rsid w:val="00075992"/>
    <w:rsid w:val="00075B34"/>
    <w:rsid w:val="00075FD6"/>
    <w:rsid w:val="0007628F"/>
    <w:rsid w:val="000766D2"/>
    <w:rsid w:val="00076D64"/>
    <w:rsid w:val="00076FFB"/>
    <w:rsid w:val="00077057"/>
    <w:rsid w:val="00077543"/>
    <w:rsid w:val="0007767A"/>
    <w:rsid w:val="000779C9"/>
    <w:rsid w:val="00080054"/>
    <w:rsid w:val="0008056D"/>
    <w:rsid w:val="00080883"/>
    <w:rsid w:val="00080B18"/>
    <w:rsid w:val="00080BA8"/>
    <w:rsid w:val="0008101D"/>
    <w:rsid w:val="0008102C"/>
    <w:rsid w:val="0008134C"/>
    <w:rsid w:val="00081477"/>
    <w:rsid w:val="00082689"/>
    <w:rsid w:val="00082AFC"/>
    <w:rsid w:val="00082CFF"/>
    <w:rsid w:val="00083330"/>
    <w:rsid w:val="00083454"/>
    <w:rsid w:val="000835DF"/>
    <w:rsid w:val="00083672"/>
    <w:rsid w:val="000838FD"/>
    <w:rsid w:val="00083C1C"/>
    <w:rsid w:val="00083D20"/>
    <w:rsid w:val="0008411F"/>
    <w:rsid w:val="000841D1"/>
    <w:rsid w:val="000841DD"/>
    <w:rsid w:val="00084751"/>
    <w:rsid w:val="00084918"/>
    <w:rsid w:val="00085198"/>
    <w:rsid w:val="00085338"/>
    <w:rsid w:val="0008559E"/>
    <w:rsid w:val="000862E4"/>
    <w:rsid w:val="00086348"/>
    <w:rsid w:val="00086D41"/>
    <w:rsid w:val="00086F28"/>
    <w:rsid w:val="00087163"/>
    <w:rsid w:val="000873FB"/>
    <w:rsid w:val="00087651"/>
    <w:rsid w:val="00087BBF"/>
    <w:rsid w:val="00087BD0"/>
    <w:rsid w:val="00087CB4"/>
    <w:rsid w:val="0009061D"/>
    <w:rsid w:val="00090B6F"/>
    <w:rsid w:val="00090B91"/>
    <w:rsid w:val="00090CF7"/>
    <w:rsid w:val="0009162C"/>
    <w:rsid w:val="0009207B"/>
    <w:rsid w:val="0009249D"/>
    <w:rsid w:val="00092E44"/>
    <w:rsid w:val="00092E87"/>
    <w:rsid w:val="0009302C"/>
    <w:rsid w:val="0009323F"/>
    <w:rsid w:val="00093C2F"/>
    <w:rsid w:val="00093C37"/>
    <w:rsid w:val="0009413B"/>
    <w:rsid w:val="00094226"/>
    <w:rsid w:val="00094326"/>
    <w:rsid w:val="0009494E"/>
    <w:rsid w:val="00094AEB"/>
    <w:rsid w:val="0009510C"/>
    <w:rsid w:val="000951E8"/>
    <w:rsid w:val="00095420"/>
    <w:rsid w:val="000954CD"/>
    <w:rsid w:val="00095A2C"/>
    <w:rsid w:val="00095BE7"/>
    <w:rsid w:val="000964E8"/>
    <w:rsid w:val="000973E7"/>
    <w:rsid w:val="000976FD"/>
    <w:rsid w:val="0009776D"/>
    <w:rsid w:val="000A0530"/>
    <w:rsid w:val="000A0883"/>
    <w:rsid w:val="000A0B69"/>
    <w:rsid w:val="000A11BB"/>
    <w:rsid w:val="000A14F0"/>
    <w:rsid w:val="000A19B0"/>
    <w:rsid w:val="000A1AE0"/>
    <w:rsid w:val="000A1F8A"/>
    <w:rsid w:val="000A2B94"/>
    <w:rsid w:val="000A31E2"/>
    <w:rsid w:val="000A3908"/>
    <w:rsid w:val="000A398C"/>
    <w:rsid w:val="000A3F3C"/>
    <w:rsid w:val="000A49C7"/>
    <w:rsid w:val="000A5100"/>
    <w:rsid w:val="000A51D5"/>
    <w:rsid w:val="000A539A"/>
    <w:rsid w:val="000A55E6"/>
    <w:rsid w:val="000A5681"/>
    <w:rsid w:val="000A5732"/>
    <w:rsid w:val="000A57DD"/>
    <w:rsid w:val="000A6021"/>
    <w:rsid w:val="000A61EB"/>
    <w:rsid w:val="000A63C2"/>
    <w:rsid w:val="000A63C4"/>
    <w:rsid w:val="000A6C80"/>
    <w:rsid w:val="000A6CFC"/>
    <w:rsid w:val="000A6F2D"/>
    <w:rsid w:val="000A72ED"/>
    <w:rsid w:val="000A75D6"/>
    <w:rsid w:val="000A7680"/>
    <w:rsid w:val="000A7A09"/>
    <w:rsid w:val="000B0213"/>
    <w:rsid w:val="000B0B23"/>
    <w:rsid w:val="000B0C32"/>
    <w:rsid w:val="000B0EA7"/>
    <w:rsid w:val="000B0F70"/>
    <w:rsid w:val="000B111F"/>
    <w:rsid w:val="000B1144"/>
    <w:rsid w:val="000B1B18"/>
    <w:rsid w:val="000B1C5F"/>
    <w:rsid w:val="000B1EB2"/>
    <w:rsid w:val="000B2338"/>
    <w:rsid w:val="000B2A68"/>
    <w:rsid w:val="000B2FB1"/>
    <w:rsid w:val="000B391F"/>
    <w:rsid w:val="000B3F6F"/>
    <w:rsid w:val="000B44C2"/>
    <w:rsid w:val="000B4987"/>
    <w:rsid w:val="000B4E2C"/>
    <w:rsid w:val="000B537A"/>
    <w:rsid w:val="000B61CD"/>
    <w:rsid w:val="000B6565"/>
    <w:rsid w:val="000B6765"/>
    <w:rsid w:val="000B6866"/>
    <w:rsid w:val="000B6D5E"/>
    <w:rsid w:val="000B7532"/>
    <w:rsid w:val="000B770E"/>
    <w:rsid w:val="000B776D"/>
    <w:rsid w:val="000B7FCA"/>
    <w:rsid w:val="000C0B85"/>
    <w:rsid w:val="000C0B97"/>
    <w:rsid w:val="000C16B0"/>
    <w:rsid w:val="000C1719"/>
    <w:rsid w:val="000C197F"/>
    <w:rsid w:val="000C1B6B"/>
    <w:rsid w:val="000C1BA6"/>
    <w:rsid w:val="000C1E20"/>
    <w:rsid w:val="000C2444"/>
    <w:rsid w:val="000C24D8"/>
    <w:rsid w:val="000C2E7C"/>
    <w:rsid w:val="000C4D92"/>
    <w:rsid w:val="000C4F4A"/>
    <w:rsid w:val="000C632E"/>
    <w:rsid w:val="000C6ACB"/>
    <w:rsid w:val="000C6D10"/>
    <w:rsid w:val="000C6F82"/>
    <w:rsid w:val="000C72A0"/>
    <w:rsid w:val="000C7490"/>
    <w:rsid w:val="000C778C"/>
    <w:rsid w:val="000C7D4A"/>
    <w:rsid w:val="000D06E8"/>
    <w:rsid w:val="000D0DD5"/>
    <w:rsid w:val="000D10B7"/>
    <w:rsid w:val="000D1129"/>
    <w:rsid w:val="000D1E6A"/>
    <w:rsid w:val="000D2046"/>
    <w:rsid w:val="000D2491"/>
    <w:rsid w:val="000D24F6"/>
    <w:rsid w:val="000D2B16"/>
    <w:rsid w:val="000D2B3F"/>
    <w:rsid w:val="000D2D94"/>
    <w:rsid w:val="000D2F24"/>
    <w:rsid w:val="000D3296"/>
    <w:rsid w:val="000D387C"/>
    <w:rsid w:val="000D3A99"/>
    <w:rsid w:val="000D3AC3"/>
    <w:rsid w:val="000D3C15"/>
    <w:rsid w:val="000D4E99"/>
    <w:rsid w:val="000D502B"/>
    <w:rsid w:val="000D558E"/>
    <w:rsid w:val="000D60FA"/>
    <w:rsid w:val="000D6685"/>
    <w:rsid w:val="000D6709"/>
    <w:rsid w:val="000D6848"/>
    <w:rsid w:val="000D6D8F"/>
    <w:rsid w:val="000D6F54"/>
    <w:rsid w:val="000D71A4"/>
    <w:rsid w:val="000E0DB1"/>
    <w:rsid w:val="000E1865"/>
    <w:rsid w:val="000E1B3A"/>
    <w:rsid w:val="000E22C1"/>
    <w:rsid w:val="000E22F8"/>
    <w:rsid w:val="000E2521"/>
    <w:rsid w:val="000E25DC"/>
    <w:rsid w:val="000E2C4C"/>
    <w:rsid w:val="000E2CFB"/>
    <w:rsid w:val="000E2FF6"/>
    <w:rsid w:val="000E351A"/>
    <w:rsid w:val="000E3C5B"/>
    <w:rsid w:val="000E43FA"/>
    <w:rsid w:val="000E46DA"/>
    <w:rsid w:val="000E474A"/>
    <w:rsid w:val="000E4834"/>
    <w:rsid w:val="000E4982"/>
    <w:rsid w:val="000E4C3B"/>
    <w:rsid w:val="000E5CCF"/>
    <w:rsid w:val="000E6252"/>
    <w:rsid w:val="000E751E"/>
    <w:rsid w:val="000E7C12"/>
    <w:rsid w:val="000E7D83"/>
    <w:rsid w:val="000E7F3A"/>
    <w:rsid w:val="000F0559"/>
    <w:rsid w:val="000F07B7"/>
    <w:rsid w:val="000F0FAE"/>
    <w:rsid w:val="000F15F8"/>
    <w:rsid w:val="000F1E2D"/>
    <w:rsid w:val="000F1E87"/>
    <w:rsid w:val="000F24D2"/>
    <w:rsid w:val="000F277C"/>
    <w:rsid w:val="000F30B5"/>
    <w:rsid w:val="000F32FE"/>
    <w:rsid w:val="000F3862"/>
    <w:rsid w:val="000F3955"/>
    <w:rsid w:val="000F4052"/>
    <w:rsid w:val="000F443B"/>
    <w:rsid w:val="000F4740"/>
    <w:rsid w:val="000F4EBF"/>
    <w:rsid w:val="000F4F48"/>
    <w:rsid w:val="000F53AF"/>
    <w:rsid w:val="000F5E30"/>
    <w:rsid w:val="000F60BE"/>
    <w:rsid w:val="000F6DAD"/>
    <w:rsid w:val="000F6DBD"/>
    <w:rsid w:val="000F75B7"/>
    <w:rsid w:val="000F7629"/>
    <w:rsid w:val="000F7748"/>
    <w:rsid w:val="000F77FA"/>
    <w:rsid w:val="000F7FB9"/>
    <w:rsid w:val="001004FE"/>
    <w:rsid w:val="00100D8A"/>
    <w:rsid w:val="00100EFB"/>
    <w:rsid w:val="001024E2"/>
    <w:rsid w:val="00102521"/>
    <w:rsid w:val="00102D5A"/>
    <w:rsid w:val="0010343C"/>
    <w:rsid w:val="00103512"/>
    <w:rsid w:val="00103DCD"/>
    <w:rsid w:val="00104859"/>
    <w:rsid w:val="00104FF4"/>
    <w:rsid w:val="00105AA9"/>
    <w:rsid w:val="001060A5"/>
    <w:rsid w:val="00106771"/>
    <w:rsid w:val="001071CD"/>
    <w:rsid w:val="00107620"/>
    <w:rsid w:val="00107D21"/>
    <w:rsid w:val="00107DC6"/>
    <w:rsid w:val="00107F01"/>
    <w:rsid w:val="001101F4"/>
    <w:rsid w:val="0011050B"/>
    <w:rsid w:val="00110697"/>
    <w:rsid w:val="00110BB2"/>
    <w:rsid w:val="00110D73"/>
    <w:rsid w:val="001114FF"/>
    <w:rsid w:val="001115C7"/>
    <w:rsid w:val="00112625"/>
    <w:rsid w:val="00113817"/>
    <w:rsid w:val="0011418B"/>
    <w:rsid w:val="00114A1D"/>
    <w:rsid w:val="00114BEA"/>
    <w:rsid w:val="00114E48"/>
    <w:rsid w:val="0011535E"/>
    <w:rsid w:val="001156EC"/>
    <w:rsid w:val="00115C3B"/>
    <w:rsid w:val="00115EDD"/>
    <w:rsid w:val="00116438"/>
    <w:rsid w:val="0011656E"/>
    <w:rsid w:val="00116FBF"/>
    <w:rsid w:val="00117646"/>
    <w:rsid w:val="001176F6"/>
    <w:rsid w:val="00117C31"/>
    <w:rsid w:val="00120547"/>
    <w:rsid w:val="0012087B"/>
    <w:rsid w:val="00120B5F"/>
    <w:rsid w:val="001214EB"/>
    <w:rsid w:val="001215B9"/>
    <w:rsid w:val="00121784"/>
    <w:rsid w:val="0012198D"/>
    <w:rsid w:val="00121B83"/>
    <w:rsid w:val="00121CF9"/>
    <w:rsid w:val="0012294F"/>
    <w:rsid w:val="00123132"/>
    <w:rsid w:val="0012324D"/>
    <w:rsid w:val="00123271"/>
    <w:rsid w:val="001236DC"/>
    <w:rsid w:val="00123D92"/>
    <w:rsid w:val="00124101"/>
    <w:rsid w:val="001243AF"/>
    <w:rsid w:val="0012451B"/>
    <w:rsid w:val="00124873"/>
    <w:rsid w:val="0012533B"/>
    <w:rsid w:val="00125D94"/>
    <w:rsid w:val="00126AAB"/>
    <w:rsid w:val="00127801"/>
    <w:rsid w:val="00127B9F"/>
    <w:rsid w:val="00127C86"/>
    <w:rsid w:val="00127F94"/>
    <w:rsid w:val="00127FB4"/>
    <w:rsid w:val="00130982"/>
    <w:rsid w:val="00130EDB"/>
    <w:rsid w:val="00131388"/>
    <w:rsid w:val="00131732"/>
    <w:rsid w:val="0013186E"/>
    <w:rsid w:val="001321E4"/>
    <w:rsid w:val="00132266"/>
    <w:rsid w:val="00132367"/>
    <w:rsid w:val="001323AE"/>
    <w:rsid w:val="001330AB"/>
    <w:rsid w:val="0013322A"/>
    <w:rsid w:val="00133547"/>
    <w:rsid w:val="0013365A"/>
    <w:rsid w:val="0013402E"/>
    <w:rsid w:val="0013454A"/>
    <w:rsid w:val="001345A8"/>
    <w:rsid w:val="00135351"/>
    <w:rsid w:val="001353B2"/>
    <w:rsid w:val="00135550"/>
    <w:rsid w:val="00135D36"/>
    <w:rsid w:val="00136634"/>
    <w:rsid w:val="00136BB9"/>
    <w:rsid w:val="00136FF0"/>
    <w:rsid w:val="0013719F"/>
    <w:rsid w:val="0013782B"/>
    <w:rsid w:val="00137B03"/>
    <w:rsid w:val="0014042E"/>
    <w:rsid w:val="0014045A"/>
    <w:rsid w:val="001408A6"/>
    <w:rsid w:val="00140E69"/>
    <w:rsid w:val="00141351"/>
    <w:rsid w:val="001413DF"/>
    <w:rsid w:val="0014150B"/>
    <w:rsid w:val="0014187F"/>
    <w:rsid w:val="0014196B"/>
    <w:rsid w:val="00141BE7"/>
    <w:rsid w:val="00141CC5"/>
    <w:rsid w:val="00141D93"/>
    <w:rsid w:val="00141E84"/>
    <w:rsid w:val="00142173"/>
    <w:rsid w:val="00142418"/>
    <w:rsid w:val="00142BF5"/>
    <w:rsid w:val="00142D3C"/>
    <w:rsid w:val="00142E8F"/>
    <w:rsid w:val="00143442"/>
    <w:rsid w:val="00143BCF"/>
    <w:rsid w:val="00143C7B"/>
    <w:rsid w:val="00143E96"/>
    <w:rsid w:val="001440B1"/>
    <w:rsid w:val="001451A3"/>
    <w:rsid w:val="0014555A"/>
    <w:rsid w:val="00145B5D"/>
    <w:rsid w:val="00145C09"/>
    <w:rsid w:val="00146041"/>
    <w:rsid w:val="00146397"/>
    <w:rsid w:val="00147395"/>
    <w:rsid w:val="0014761B"/>
    <w:rsid w:val="00147705"/>
    <w:rsid w:val="00147E4F"/>
    <w:rsid w:val="00150275"/>
    <w:rsid w:val="0015068A"/>
    <w:rsid w:val="001510A7"/>
    <w:rsid w:val="001513BB"/>
    <w:rsid w:val="0015157F"/>
    <w:rsid w:val="00151592"/>
    <w:rsid w:val="00151755"/>
    <w:rsid w:val="00151A5B"/>
    <w:rsid w:val="00151BD1"/>
    <w:rsid w:val="00152469"/>
    <w:rsid w:val="00152530"/>
    <w:rsid w:val="0015323C"/>
    <w:rsid w:val="001535D0"/>
    <w:rsid w:val="00153D01"/>
    <w:rsid w:val="00153E9B"/>
    <w:rsid w:val="00154389"/>
    <w:rsid w:val="0015439E"/>
    <w:rsid w:val="00154581"/>
    <w:rsid w:val="00154C51"/>
    <w:rsid w:val="00154DF9"/>
    <w:rsid w:val="001556E7"/>
    <w:rsid w:val="00155888"/>
    <w:rsid w:val="00156336"/>
    <w:rsid w:val="0015671D"/>
    <w:rsid w:val="00156819"/>
    <w:rsid w:val="00156AB9"/>
    <w:rsid w:val="00156C2C"/>
    <w:rsid w:val="00156C8F"/>
    <w:rsid w:val="00156E2E"/>
    <w:rsid w:val="00156E81"/>
    <w:rsid w:val="001571C7"/>
    <w:rsid w:val="00157392"/>
    <w:rsid w:val="00157A41"/>
    <w:rsid w:val="00157A90"/>
    <w:rsid w:val="00157E0A"/>
    <w:rsid w:val="001600D1"/>
    <w:rsid w:val="001601A2"/>
    <w:rsid w:val="00160C2B"/>
    <w:rsid w:val="001612BE"/>
    <w:rsid w:val="0016182D"/>
    <w:rsid w:val="00161D22"/>
    <w:rsid w:val="00161EF7"/>
    <w:rsid w:val="00162346"/>
    <w:rsid w:val="00162BE7"/>
    <w:rsid w:val="00163074"/>
    <w:rsid w:val="001631F4"/>
    <w:rsid w:val="001633D5"/>
    <w:rsid w:val="00163523"/>
    <w:rsid w:val="00164120"/>
    <w:rsid w:val="0016489F"/>
    <w:rsid w:val="0016498A"/>
    <w:rsid w:val="00164DE2"/>
    <w:rsid w:val="00164F8B"/>
    <w:rsid w:val="001650B5"/>
    <w:rsid w:val="00165C60"/>
    <w:rsid w:val="00166249"/>
    <w:rsid w:val="00166A89"/>
    <w:rsid w:val="00166F0B"/>
    <w:rsid w:val="00167179"/>
    <w:rsid w:val="001675B9"/>
    <w:rsid w:val="0016787F"/>
    <w:rsid w:val="0016791E"/>
    <w:rsid w:val="00167C09"/>
    <w:rsid w:val="00167D85"/>
    <w:rsid w:val="00170891"/>
    <w:rsid w:val="00170D01"/>
    <w:rsid w:val="00171884"/>
    <w:rsid w:val="00171B8D"/>
    <w:rsid w:val="00171C0E"/>
    <w:rsid w:val="00171EFB"/>
    <w:rsid w:val="00171F24"/>
    <w:rsid w:val="00171F45"/>
    <w:rsid w:val="0017225D"/>
    <w:rsid w:val="001730DC"/>
    <w:rsid w:val="00173FB9"/>
    <w:rsid w:val="0017419C"/>
    <w:rsid w:val="0017472C"/>
    <w:rsid w:val="00174797"/>
    <w:rsid w:val="00174802"/>
    <w:rsid w:val="0017486D"/>
    <w:rsid w:val="00174A8F"/>
    <w:rsid w:val="00174A9C"/>
    <w:rsid w:val="00175020"/>
    <w:rsid w:val="00175670"/>
    <w:rsid w:val="00175CE4"/>
    <w:rsid w:val="00177984"/>
    <w:rsid w:val="001779BC"/>
    <w:rsid w:val="00180423"/>
    <w:rsid w:val="001807AB"/>
    <w:rsid w:val="00180ACD"/>
    <w:rsid w:val="00181021"/>
    <w:rsid w:val="00181526"/>
    <w:rsid w:val="001815D1"/>
    <w:rsid w:val="00181A14"/>
    <w:rsid w:val="00181C58"/>
    <w:rsid w:val="00181F8F"/>
    <w:rsid w:val="00181FFA"/>
    <w:rsid w:val="001823D7"/>
    <w:rsid w:val="00182CA6"/>
    <w:rsid w:val="00182FEC"/>
    <w:rsid w:val="0018362A"/>
    <w:rsid w:val="001838E4"/>
    <w:rsid w:val="00183B73"/>
    <w:rsid w:val="0018465C"/>
    <w:rsid w:val="001846C6"/>
    <w:rsid w:val="00184F25"/>
    <w:rsid w:val="001855F7"/>
    <w:rsid w:val="0018680E"/>
    <w:rsid w:val="00187E3A"/>
    <w:rsid w:val="001906B7"/>
    <w:rsid w:val="0019071B"/>
    <w:rsid w:val="00190A68"/>
    <w:rsid w:val="00190E09"/>
    <w:rsid w:val="00192FCE"/>
    <w:rsid w:val="0019346F"/>
    <w:rsid w:val="00193EED"/>
    <w:rsid w:val="001946AA"/>
    <w:rsid w:val="00194D10"/>
    <w:rsid w:val="001961A0"/>
    <w:rsid w:val="0019626D"/>
    <w:rsid w:val="0019676A"/>
    <w:rsid w:val="001971AA"/>
    <w:rsid w:val="001971BB"/>
    <w:rsid w:val="00197255"/>
    <w:rsid w:val="001972FA"/>
    <w:rsid w:val="001975E4"/>
    <w:rsid w:val="00197F31"/>
    <w:rsid w:val="001A0397"/>
    <w:rsid w:val="001A05F3"/>
    <w:rsid w:val="001A091D"/>
    <w:rsid w:val="001A122D"/>
    <w:rsid w:val="001A1582"/>
    <w:rsid w:val="001A17A0"/>
    <w:rsid w:val="001A297B"/>
    <w:rsid w:val="001A2AF9"/>
    <w:rsid w:val="001A2FAA"/>
    <w:rsid w:val="001A3006"/>
    <w:rsid w:val="001A3329"/>
    <w:rsid w:val="001A3705"/>
    <w:rsid w:val="001A37AF"/>
    <w:rsid w:val="001A3CDB"/>
    <w:rsid w:val="001A421F"/>
    <w:rsid w:val="001A4B0F"/>
    <w:rsid w:val="001A4B51"/>
    <w:rsid w:val="001A4CD6"/>
    <w:rsid w:val="001A5014"/>
    <w:rsid w:val="001A53A8"/>
    <w:rsid w:val="001A5704"/>
    <w:rsid w:val="001A5978"/>
    <w:rsid w:val="001A6419"/>
    <w:rsid w:val="001A66D0"/>
    <w:rsid w:val="001A678D"/>
    <w:rsid w:val="001A67B7"/>
    <w:rsid w:val="001A6818"/>
    <w:rsid w:val="001A6AD0"/>
    <w:rsid w:val="001A6C43"/>
    <w:rsid w:val="001A6D86"/>
    <w:rsid w:val="001A6D89"/>
    <w:rsid w:val="001A7509"/>
    <w:rsid w:val="001A75F2"/>
    <w:rsid w:val="001A77AC"/>
    <w:rsid w:val="001B0174"/>
    <w:rsid w:val="001B0595"/>
    <w:rsid w:val="001B05CA"/>
    <w:rsid w:val="001B0913"/>
    <w:rsid w:val="001B0C75"/>
    <w:rsid w:val="001B0CD1"/>
    <w:rsid w:val="001B0D7B"/>
    <w:rsid w:val="001B1B30"/>
    <w:rsid w:val="001B1CB3"/>
    <w:rsid w:val="001B1FE3"/>
    <w:rsid w:val="001B27E2"/>
    <w:rsid w:val="001B2803"/>
    <w:rsid w:val="001B2A7D"/>
    <w:rsid w:val="001B2B20"/>
    <w:rsid w:val="001B2F15"/>
    <w:rsid w:val="001B35F7"/>
    <w:rsid w:val="001B380C"/>
    <w:rsid w:val="001B3B30"/>
    <w:rsid w:val="001B3BC5"/>
    <w:rsid w:val="001B510A"/>
    <w:rsid w:val="001B5417"/>
    <w:rsid w:val="001B55D6"/>
    <w:rsid w:val="001B58FE"/>
    <w:rsid w:val="001B5E16"/>
    <w:rsid w:val="001B62CB"/>
    <w:rsid w:val="001B6D83"/>
    <w:rsid w:val="001B6DF5"/>
    <w:rsid w:val="001B6EB3"/>
    <w:rsid w:val="001B707C"/>
    <w:rsid w:val="001B7E0B"/>
    <w:rsid w:val="001B7EF6"/>
    <w:rsid w:val="001B7F07"/>
    <w:rsid w:val="001B7FEE"/>
    <w:rsid w:val="001C0D2F"/>
    <w:rsid w:val="001C0E8E"/>
    <w:rsid w:val="001C1A0A"/>
    <w:rsid w:val="001C1E84"/>
    <w:rsid w:val="001C266F"/>
    <w:rsid w:val="001C2869"/>
    <w:rsid w:val="001C3079"/>
    <w:rsid w:val="001C32C1"/>
    <w:rsid w:val="001C440E"/>
    <w:rsid w:val="001C4640"/>
    <w:rsid w:val="001C5008"/>
    <w:rsid w:val="001C572B"/>
    <w:rsid w:val="001C5900"/>
    <w:rsid w:val="001C6AFB"/>
    <w:rsid w:val="001C712D"/>
    <w:rsid w:val="001C71BB"/>
    <w:rsid w:val="001C73CA"/>
    <w:rsid w:val="001C7455"/>
    <w:rsid w:val="001C7A94"/>
    <w:rsid w:val="001D019B"/>
    <w:rsid w:val="001D0215"/>
    <w:rsid w:val="001D029D"/>
    <w:rsid w:val="001D029E"/>
    <w:rsid w:val="001D0E43"/>
    <w:rsid w:val="001D0EE6"/>
    <w:rsid w:val="001D0FE7"/>
    <w:rsid w:val="001D15C6"/>
    <w:rsid w:val="001D277A"/>
    <w:rsid w:val="001D2A72"/>
    <w:rsid w:val="001D2BB9"/>
    <w:rsid w:val="001D2F58"/>
    <w:rsid w:val="001D34F0"/>
    <w:rsid w:val="001D3839"/>
    <w:rsid w:val="001D38E8"/>
    <w:rsid w:val="001D4516"/>
    <w:rsid w:val="001D4701"/>
    <w:rsid w:val="001D4858"/>
    <w:rsid w:val="001D5569"/>
    <w:rsid w:val="001D59E2"/>
    <w:rsid w:val="001D63EA"/>
    <w:rsid w:val="001D6D84"/>
    <w:rsid w:val="001D6EF4"/>
    <w:rsid w:val="001D74AE"/>
    <w:rsid w:val="001D77A8"/>
    <w:rsid w:val="001D7A7D"/>
    <w:rsid w:val="001D7B32"/>
    <w:rsid w:val="001E0308"/>
    <w:rsid w:val="001E07C3"/>
    <w:rsid w:val="001E0CF5"/>
    <w:rsid w:val="001E20D2"/>
    <w:rsid w:val="001E22C9"/>
    <w:rsid w:val="001E2DBA"/>
    <w:rsid w:val="001E407D"/>
    <w:rsid w:val="001E4ECB"/>
    <w:rsid w:val="001E4FFF"/>
    <w:rsid w:val="001E514F"/>
    <w:rsid w:val="001E5392"/>
    <w:rsid w:val="001E5612"/>
    <w:rsid w:val="001E5715"/>
    <w:rsid w:val="001E5B02"/>
    <w:rsid w:val="001E5C02"/>
    <w:rsid w:val="001E60B8"/>
    <w:rsid w:val="001E626A"/>
    <w:rsid w:val="001E6512"/>
    <w:rsid w:val="001E6819"/>
    <w:rsid w:val="001E70AE"/>
    <w:rsid w:val="001E7260"/>
    <w:rsid w:val="001E79F7"/>
    <w:rsid w:val="001F020C"/>
    <w:rsid w:val="001F071D"/>
    <w:rsid w:val="001F083D"/>
    <w:rsid w:val="001F0ACD"/>
    <w:rsid w:val="001F0D8A"/>
    <w:rsid w:val="001F0F57"/>
    <w:rsid w:val="001F1557"/>
    <w:rsid w:val="001F17C0"/>
    <w:rsid w:val="001F1C06"/>
    <w:rsid w:val="001F1F27"/>
    <w:rsid w:val="001F1F7B"/>
    <w:rsid w:val="001F23E2"/>
    <w:rsid w:val="001F255A"/>
    <w:rsid w:val="001F29B1"/>
    <w:rsid w:val="001F3249"/>
    <w:rsid w:val="001F3553"/>
    <w:rsid w:val="001F35DD"/>
    <w:rsid w:val="001F3872"/>
    <w:rsid w:val="001F3951"/>
    <w:rsid w:val="001F3A53"/>
    <w:rsid w:val="001F3CF1"/>
    <w:rsid w:val="001F4757"/>
    <w:rsid w:val="001F477C"/>
    <w:rsid w:val="001F4933"/>
    <w:rsid w:val="001F4F67"/>
    <w:rsid w:val="001F5796"/>
    <w:rsid w:val="001F5D8E"/>
    <w:rsid w:val="001F6558"/>
    <w:rsid w:val="001F6724"/>
    <w:rsid w:val="001F6B78"/>
    <w:rsid w:val="001F7C5B"/>
    <w:rsid w:val="001F7C84"/>
    <w:rsid w:val="001F7D78"/>
    <w:rsid w:val="00200746"/>
    <w:rsid w:val="00200A37"/>
    <w:rsid w:val="00201278"/>
    <w:rsid w:val="00201951"/>
    <w:rsid w:val="00201D8E"/>
    <w:rsid w:val="00202E6B"/>
    <w:rsid w:val="0020323B"/>
    <w:rsid w:val="0020324B"/>
    <w:rsid w:val="00203614"/>
    <w:rsid w:val="00203DD9"/>
    <w:rsid w:val="00204307"/>
    <w:rsid w:val="00204382"/>
    <w:rsid w:val="00205C3E"/>
    <w:rsid w:val="002063EA"/>
    <w:rsid w:val="00206497"/>
    <w:rsid w:val="00206938"/>
    <w:rsid w:val="00206A0D"/>
    <w:rsid w:val="00206E6B"/>
    <w:rsid w:val="00206F5A"/>
    <w:rsid w:val="002070F8"/>
    <w:rsid w:val="00207244"/>
    <w:rsid w:val="00210065"/>
    <w:rsid w:val="00210219"/>
    <w:rsid w:val="00210652"/>
    <w:rsid w:val="00210D82"/>
    <w:rsid w:val="0021136A"/>
    <w:rsid w:val="00211735"/>
    <w:rsid w:val="00211A7A"/>
    <w:rsid w:val="00211AED"/>
    <w:rsid w:val="00211B2D"/>
    <w:rsid w:val="00211F80"/>
    <w:rsid w:val="002121AC"/>
    <w:rsid w:val="00212FA3"/>
    <w:rsid w:val="0021370A"/>
    <w:rsid w:val="00213A24"/>
    <w:rsid w:val="00213A61"/>
    <w:rsid w:val="0021402F"/>
    <w:rsid w:val="002144D4"/>
    <w:rsid w:val="00214777"/>
    <w:rsid w:val="00214DBC"/>
    <w:rsid w:val="00215385"/>
    <w:rsid w:val="0021573B"/>
    <w:rsid w:val="002159BE"/>
    <w:rsid w:val="002159D6"/>
    <w:rsid w:val="00215A82"/>
    <w:rsid w:val="00215EFF"/>
    <w:rsid w:val="002167B5"/>
    <w:rsid w:val="00216DF3"/>
    <w:rsid w:val="00217495"/>
    <w:rsid w:val="00217770"/>
    <w:rsid w:val="002178AE"/>
    <w:rsid w:val="0022004D"/>
    <w:rsid w:val="00220676"/>
    <w:rsid w:val="002206DE"/>
    <w:rsid w:val="002212E7"/>
    <w:rsid w:val="00221A25"/>
    <w:rsid w:val="00221E07"/>
    <w:rsid w:val="0022211D"/>
    <w:rsid w:val="002227DD"/>
    <w:rsid w:val="00222899"/>
    <w:rsid w:val="0022293D"/>
    <w:rsid w:val="00222969"/>
    <w:rsid w:val="00222A0B"/>
    <w:rsid w:val="00222A73"/>
    <w:rsid w:val="00222FB6"/>
    <w:rsid w:val="0022322F"/>
    <w:rsid w:val="002234DB"/>
    <w:rsid w:val="00223735"/>
    <w:rsid w:val="00223BCF"/>
    <w:rsid w:val="00224696"/>
    <w:rsid w:val="002247D6"/>
    <w:rsid w:val="0022537A"/>
    <w:rsid w:val="00225BD1"/>
    <w:rsid w:val="00225E77"/>
    <w:rsid w:val="0022627B"/>
    <w:rsid w:val="002267BB"/>
    <w:rsid w:val="002273B5"/>
    <w:rsid w:val="00230266"/>
    <w:rsid w:val="00230443"/>
    <w:rsid w:val="002309A8"/>
    <w:rsid w:val="002310F8"/>
    <w:rsid w:val="0023142D"/>
    <w:rsid w:val="00231B11"/>
    <w:rsid w:val="00232131"/>
    <w:rsid w:val="002322D4"/>
    <w:rsid w:val="00232CBA"/>
    <w:rsid w:val="00232E5C"/>
    <w:rsid w:val="0023326E"/>
    <w:rsid w:val="00233333"/>
    <w:rsid w:val="002336A2"/>
    <w:rsid w:val="002336F5"/>
    <w:rsid w:val="00233A55"/>
    <w:rsid w:val="00234298"/>
    <w:rsid w:val="00234754"/>
    <w:rsid w:val="00234EB7"/>
    <w:rsid w:val="00235527"/>
    <w:rsid w:val="002362DE"/>
    <w:rsid w:val="00236919"/>
    <w:rsid w:val="00236AA5"/>
    <w:rsid w:val="0023740F"/>
    <w:rsid w:val="002376C8"/>
    <w:rsid w:val="0024111F"/>
    <w:rsid w:val="00241CDF"/>
    <w:rsid w:val="00242081"/>
    <w:rsid w:val="002428B6"/>
    <w:rsid w:val="00242B25"/>
    <w:rsid w:val="00242C94"/>
    <w:rsid w:val="00242ED2"/>
    <w:rsid w:val="00243DFB"/>
    <w:rsid w:val="002440C1"/>
    <w:rsid w:val="002449BD"/>
    <w:rsid w:val="00244F25"/>
    <w:rsid w:val="00245006"/>
    <w:rsid w:val="00245C99"/>
    <w:rsid w:val="00246263"/>
    <w:rsid w:val="00246283"/>
    <w:rsid w:val="00246502"/>
    <w:rsid w:val="0024672B"/>
    <w:rsid w:val="00246D33"/>
    <w:rsid w:val="002474AA"/>
    <w:rsid w:val="002475BE"/>
    <w:rsid w:val="002477C2"/>
    <w:rsid w:val="00247831"/>
    <w:rsid w:val="00247BD1"/>
    <w:rsid w:val="002500F7"/>
    <w:rsid w:val="00250474"/>
    <w:rsid w:val="002511F9"/>
    <w:rsid w:val="0025143D"/>
    <w:rsid w:val="00251517"/>
    <w:rsid w:val="0025236D"/>
    <w:rsid w:val="00252901"/>
    <w:rsid w:val="00252999"/>
    <w:rsid w:val="002530B1"/>
    <w:rsid w:val="002530C4"/>
    <w:rsid w:val="00253D12"/>
    <w:rsid w:val="002542EE"/>
    <w:rsid w:val="00255037"/>
    <w:rsid w:val="002550A4"/>
    <w:rsid w:val="00255213"/>
    <w:rsid w:val="00255382"/>
    <w:rsid w:val="0025589B"/>
    <w:rsid w:val="002558C2"/>
    <w:rsid w:val="00255D65"/>
    <w:rsid w:val="0025661F"/>
    <w:rsid w:val="00256EB0"/>
    <w:rsid w:val="002575F9"/>
    <w:rsid w:val="002576FF"/>
    <w:rsid w:val="00257E28"/>
    <w:rsid w:val="00257E78"/>
    <w:rsid w:val="00260296"/>
    <w:rsid w:val="00260331"/>
    <w:rsid w:val="002605A6"/>
    <w:rsid w:val="0026098A"/>
    <w:rsid w:val="00260F70"/>
    <w:rsid w:val="0026104F"/>
    <w:rsid w:val="002615C3"/>
    <w:rsid w:val="00261B60"/>
    <w:rsid w:val="00261C6A"/>
    <w:rsid w:val="00261E47"/>
    <w:rsid w:val="00262850"/>
    <w:rsid w:val="0026292F"/>
    <w:rsid w:val="0026297D"/>
    <w:rsid w:val="002629EA"/>
    <w:rsid w:val="00262A77"/>
    <w:rsid w:val="00262D8D"/>
    <w:rsid w:val="00263552"/>
    <w:rsid w:val="002637A3"/>
    <w:rsid w:val="00263BB2"/>
    <w:rsid w:val="0026408B"/>
    <w:rsid w:val="00264296"/>
    <w:rsid w:val="00264644"/>
    <w:rsid w:val="0026487D"/>
    <w:rsid w:val="00265261"/>
    <w:rsid w:val="002657E2"/>
    <w:rsid w:val="00265922"/>
    <w:rsid w:val="00265C34"/>
    <w:rsid w:val="00265DCA"/>
    <w:rsid w:val="00266241"/>
    <w:rsid w:val="00266E7D"/>
    <w:rsid w:val="002670B6"/>
    <w:rsid w:val="00267194"/>
    <w:rsid w:val="00267229"/>
    <w:rsid w:val="002673A8"/>
    <w:rsid w:val="00267AAD"/>
    <w:rsid w:val="00267B45"/>
    <w:rsid w:val="00270311"/>
    <w:rsid w:val="00270515"/>
    <w:rsid w:val="002707DC"/>
    <w:rsid w:val="00270D53"/>
    <w:rsid w:val="00270F30"/>
    <w:rsid w:val="00271294"/>
    <w:rsid w:val="002712EA"/>
    <w:rsid w:val="00271743"/>
    <w:rsid w:val="0027188B"/>
    <w:rsid w:val="00271AB5"/>
    <w:rsid w:val="00271C21"/>
    <w:rsid w:val="00272502"/>
    <w:rsid w:val="002727C7"/>
    <w:rsid w:val="002728C5"/>
    <w:rsid w:val="002728E0"/>
    <w:rsid w:val="00272903"/>
    <w:rsid w:val="00272A2A"/>
    <w:rsid w:val="00272C69"/>
    <w:rsid w:val="00272D7D"/>
    <w:rsid w:val="00272DE0"/>
    <w:rsid w:val="00273015"/>
    <w:rsid w:val="0027375E"/>
    <w:rsid w:val="002740B0"/>
    <w:rsid w:val="00274455"/>
    <w:rsid w:val="00274479"/>
    <w:rsid w:val="00274F87"/>
    <w:rsid w:val="002750A7"/>
    <w:rsid w:val="00275712"/>
    <w:rsid w:val="002758F1"/>
    <w:rsid w:val="00275960"/>
    <w:rsid w:val="00275F0E"/>
    <w:rsid w:val="0027775A"/>
    <w:rsid w:val="002779D9"/>
    <w:rsid w:val="002808D1"/>
    <w:rsid w:val="0028090A"/>
    <w:rsid w:val="00280946"/>
    <w:rsid w:val="00280BF9"/>
    <w:rsid w:val="0028189B"/>
    <w:rsid w:val="002818AF"/>
    <w:rsid w:val="00282055"/>
    <w:rsid w:val="00282624"/>
    <w:rsid w:val="00282C6F"/>
    <w:rsid w:val="00282EDA"/>
    <w:rsid w:val="00283B4D"/>
    <w:rsid w:val="002844D0"/>
    <w:rsid w:val="002848CC"/>
    <w:rsid w:val="00284C46"/>
    <w:rsid w:val="002853EE"/>
    <w:rsid w:val="00285602"/>
    <w:rsid w:val="00285B66"/>
    <w:rsid w:val="002863A8"/>
    <w:rsid w:val="002867CF"/>
    <w:rsid w:val="00286EF9"/>
    <w:rsid w:val="00286F72"/>
    <w:rsid w:val="0028720E"/>
    <w:rsid w:val="00287635"/>
    <w:rsid w:val="00287E44"/>
    <w:rsid w:val="00287EBA"/>
    <w:rsid w:val="00287EEE"/>
    <w:rsid w:val="0029036B"/>
    <w:rsid w:val="002907D6"/>
    <w:rsid w:val="00290B3F"/>
    <w:rsid w:val="00291820"/>
    <w:rsid w:val="002918EF"/>
    <w:rsid w:val="00292066"/>
    <w:rsid w:val="00292740"/>
    <w:rsid w:val="00292ED8"/>
    <w:rsid w:val="0029344F"/>
    <w:rsid w:val="00293D96"/>
    <w:rsid w:val="002944E3"/>
    <w:rsid w:val="00294C37"/>
    <w:rsid w:val="00294D9B"/>
    <w:rsid w:val="00295379"/>
    <w:rsid w:val="0029553B"/>
    <w:rsid w:val="002955A2"/>
    <w:rsid w:val="002955FE"/>
    <w:rsid w:val="00295CD3"/>
    <w:rsid w:val="00295DA6"/>
    <w:rsid w:val="00295FAC"/>
    <w:rsid w:val="002964DC"/>
    <w:rsid w:val="00296973"/>
    <w:rsid w:val="00296E65"/>
    <w:rsid w:val="00297462"/>
    <w:rsid w:val="00297785"/>
    <w:rsid w:val="00297FA8"/>
    <w:rsid w:val="002A0285"/>
    <w:rsid w:val="002A07DF"/>
    <w:rsid w:val="002A0D94"/>
    <w:rsid w:val="002A1225"/>
    <w:rsid w:val="002A1DC9"/>
    <w:rsid w:val="002A1DFB"/>
    <w:rsid w:val="002A1E01"/>
    <w:rsid w:val="002A1F63"/>
    <w:rsid w:val="002A1FCF"/>
    <w:rsid w:val="002A238A"/>
    <w:rsid w:val="002A2BA4"/>
    <w:rsid w:val="002A2C8B"/>
    <w:rsid w:val="002A3A27"/>
    <w:rsid w:val="002A3F33"/>
    <w:rsid w:val="002A439A"/>
    <w:rsid w:val="002A4F33"/>
    <w:rsid w:val="002A500C"/>
    <w:rsid w:val="002A52A0"/>
    <w:rsid w:val="002A55A8"/>
    <w:rsid w:val="002A5E25"/>
    <w:rsid w:val="002A5ED8"/>
    <w:rsid w:val="002A6E26"/>
    <w:rsid w:val="002A7542"/>
    <w:rsid w:val="002A75F9"/>
    <w:rsid w:val="002A7895"/>
    <w:rsid w:val="002A7CB2"/>
    <w:rsid w:val="002A7CB6"/>
    <w:rsid w:val="002B0607"/>
    <w:rsid w:val="002B0846"/>
    <w:rsid w:val="002B091D"/>
    <w:rsid w:val="002B1BD2"/>
    <w:rsid w:val="002B1FB0"/>
    <w:rsid w:val="002B22A3"/>
    <w:rsid w:val="002B2303"/>
    <w:rsid w:val="002B25A0"/>
    <w:rsid w:val="002B35AA"/>
    <w:rsid w:val="002B375B"/>
    <w:rsid w:val="002B3938"/>
    <w:rsid w:val="002B3B3F"/>
    <w:rsid w:val="002B43A4"/>
    <w:rsid w:val="002B4743"/>
    <w:rsid w:val="002B4D3E"/>
    <w:rsid w:val="002B52FD"/>
    <w:rsid w:val="002B5A60"/>
    <w:rsid w:val="002B6043"/>
    <w:rsid w:val="002B662C"/>
    <w:rsid w:val="002B67EB"/>
    <w:rsid w:val="002B6A5E"/>
    <w:rsid w:val="002B71E0"/>
    <w:rsid w:val="002B78EB"/>
    <w:rsid w:val="002B7D78"/>
    <w:rsid w:val="002B7E43"/>
    <w:rsid w:val="002C03FC"/>
    <w:rsid w:val="002C0F18"/>
    <w:rsid w:val="002C129A"/>
    <w:rsid w:val="002C1312"/>
    <w:rsid w:val="002C1412"/>
    <w:rsid w:val="002C16D9"/>
    <w:rsid w:val="002C192A"/>
    <w:rsid w:val="002C1E7B"/>
    <w:rsid w:val="002C2549"/>
    <w:rsid w:val="002C29BA"/>
    <w:rsid w:val="002C2AED"/>
    <w:rsid w:val="002C2C0A"/>
    <w:rsid w:val="002C3350"/>
    <w:rsid w:val="002C341A"/>
    <w:rsid w:val="002C34A2"/>
    <w:rsid w:val="002C3569"/>
    <w:rsid w:val="002C3778"/>
    <w:rsid w:val="002C430A"/>
    <w:rsid w:val="002C4B9D"/>
    <w:rsid w:val="002C4D77"/>
    <w:rsid w:val="002C4E14"/>
    <w:rsid w:val="002C58A4"/>
    <w:rsid w:val="002C5953"/>
    <w:rsid w:val="002C6200"/>
    <w:rsid w:val="002C6CEE"/>
    <w:rsid w:val="002C7585"/>
    <w:rsid w:val="002C77C7"/>
    <w:rsid w:val="002D1106"/>
    <w:rsid w:val="002D11D9"/>
    <w:rsid w:val="002D265F"/>
    <w:rsid w:val="002D2867"/>
    <w:rsid w:val="002D2913"/>
    <w:rsid w:val="002D2CBE"/>
    <w:rsid w:val="002D2DA2"/>
    <w:rsid w:val="002D308A"/>
    <w:rsid w:val="002D3788"/>
    <w:rsid w:val="002D3839"/>
    <w:rsid w:val="002D3B63"/>
    <w:rsid w:val="002D3DAA"/>
    <w:rsid w:val="002D3DDE"/>
    <w:rsid w:val="002D3F6B"/>
    <w:rsid w:val="002D40FE"/>
    <w:rsid w:val="002D4A25"/>
    <w:rsid w:val="002D4E51"/>
    <w:rsid w:val="002D4E7B"/>
    <w:rsid w:val="002D521E"/>
    <w:rsid w:val="002D5C06"/>
    <w:rsid w:val="002D5C44"/>
    <w:rsid w:val="002D6458"/>
    <w:rsid w:val="002D6557"/>
    <w:rsid w:val="002D69BD"/>
    <w:rsid w:val="002D6D80"/>
    <w:rsid w:val="002D73A7"/>
    <w:rsid w:val="002D777C"/>
    <w:rsid w:val="002D78E1"/>
    <w:rsid w:val="002D7E73"/>
    <w:rsid w:val="002E0215"/>
    <w:rsid w:val="002E0590"/>
    <w:rsid w:val="002E070F"/>
    <w:rsid w:val="002E0897"/>
    <w:rsid w:val="002E15BD"/>
    <w:rsid w:val="002E1DEB"/>
    <w:rsid w:val="002E20E1"/>
    <w:rsid w:val="002E2118"/>
    <w:rsid w:val="002E2501"/>
    <w:rsid w:val="002E280A"/>
    <w:rsid w:val="002E2B6C"/>
    <w:rsid w:val="002E2D7E"/>
    <w:rsid w:val="002E2FC6"/>
    <w:rsid w:val="002E3825"/>
    <w:rsid w:val="002E4337"/>
    <w:rsid w:val="002E48AB"/>
    <w:rsid w:val="002E5215"/>
    <w:rsid w:val="002E5223"/>
    <w:rsid w:val="002E5242"/>
    <w:rsid w:val="002E537A"/>
    <w:rsid w:val="002E55AC"/>
    <w:rsid w:val="002E5AA5"/>
    <w:rsid w:val="002E5B24"/>
    <w:rsid w:val="002E6F04"/>
    <w:rsid w:val="002E73D0"/>
    <w:rsid w:val="002F1087"/>
    <w:rsid w:val="002F118A"/>
    <w:rsid w:val="002F15C6"/>
    <w:rsid w:val="002F1ED4"/>
    <w:rsid w:val="002F2397"/>
    <w:rsid w:val="002F2479"/>
    <w:rsid w:val="002F2891"/>
    <w:rsid w:val="002F3493"/>
    <w:rsid w:val="002F39F4"/>
    <w:rsid w:val="002F4006"/>
    <w:rsid w:val="002F4306"/>
    <w:rsid w:val="002F4A79"/>
    <w:rsid w:val="002F5463"/>
    <w:rsid w:val="002F5696"/>
    <w:rsid w:val="002F57EB"/>
    <w:rsid w:val="002F59F4"/>
    <w:rsid w:val="002F5FDD"/>
    <w:rsid w:val="002F6A52"/>
    <w:rsid w:val="002F6DF4"/>
    <w:rsid w:val="002F79A7"/>
    <w:rsid w:val="002F79AD"/>
    <w:rsid w:val="003000CB"/>
    <w:rsid w:val="00300927"/>
    <w:rsid w:val="003009A4"/>
    <w:rsid w:val="00300F5A"/>
    <w:rsid w:val="00301887"/>
    <w:rsid w:val="00302044"/>
    <w:rsid w:val="00302145"/>
    <w:rsid w:val="0030221B"/>
    <w:rsid w:val="00302A43"/>
    <w:rsid w:val="00303536"/>
    <w:rsid w:val="003035C2"/>
    <w:rsid w:val="003038EC"/>
    <w:rsid w:val="00303F77"/>
    <w:rsid w:val="00305423"/>
    <w:rsid w:val="00305AA0"/>
    <w:rsid w:val="00305F55"/>
    <w:rsid w:val="0030696E"/>
    <w:rsid w:val="00306C11"/>
    <w:rsid w:val="00306C27"/>
    <w:rsid w:val="00306EE0"/>
    <w:rsid w:val="00307019"/>
    <w:rsid w:val="00307357"/>
    <w:rsid w:val="003074F2"/>
    <w:rsid w:val="0030751C"/>
    <w:rsid w:val="00307F28"/>
    <w:rsid w:val="00310F43"/>
    <w:rsid w:val="00310F82"/>
    <w:rsid w:val="00311B9E"/>
    <w:rsid w:val="003120E3"/>
    <w:rsid w:val="0031222B"/>
    <w:rsid w:val="0031227E"/>
    <w:rsid w:val="003123C6"/>
    <w:rsid w:val="00312457"/>
    <w:rsid w:val="00312603"/>
    <w:rsid w:val="00312D2C"/>
    <w:rsid w:val="00312E3B"/>
    <w:rsid w:val="0031333C"/>
    <w:rsid w:val="00313A66"/>
    <w:rsid w:val="00313F4A"/>
    <w:rsid w:val="00314DA5"/>
    <w:rsid w:val="0031548B"/>
    <w:rsid w:val="00315733"/>
    <w:rsid w:val="0031621D"/>
    <w:rsid w:val="003163D9"/>
    <w:rsid w:val="003163E0"/>
    <w:rsid w:val="00316A0C"/>
    <w:rsid w:val="00316B77"/>
    <w:rsid w:val="00317694"/>
    <w:rsid w:val="00317EF0"/>
    <w:rsid w:val="00320165"/>
    <w:rsid w:val="003202DB"/>
    <w:rsid w:val="00320457"/>
    <w:rsid w:val="00320778"/>
    <w:rsid w:val="003208EF"/>
    <w:rsid w:val="00320B05"/>
    <w:rsid w:val="00320B41"/>
    <w:rsid w:val="00320D55"/>
    <w:rsid w:val="00321348"/>
    <w:rsid w:val="003214DA"/>
    <w:rsid w:val="0032159A"/>
    <w:rsid w:val="0032162A"/>
    <w:rsid w:val="003216A3"/>
    <w:rsid w:val="00321880"/>
    <w:rsid w:val="00321A5D"/>
    <w:rsid w:val="003224B7"/>
    <w:rsid w:val="00323046"/>
    <w:rsid w:val="003244FC"/>
    <w:rsid w:val="00324DDC"/>
    <w:rsid w:val="00324F85"/>
    <w:rsid w:val="00324FF2"/>
    <w:rsid w:val="00325023"/>
    <w:rsid w:val="0032516D"/>
    <w:rsid w:val="0032531D"/>
    <w:rsid w:val="00325411"/>
    <w:rsid w:val="00325501"/>
    <w:rsid w:val="00325B60"/>
    <w:rsid w:val="00325C2C"/>
    <w:rsid w:val="00325FC9"/>
    <w:rsid w:val="00326354"/>
    <w:rsid w:val="0032639B"/>
    <w:rsid w:val="0032641F"/>
    <w:rsid w:val="003266F0"/>
    <w:rsid w:val="00326C62"/>
    <w:rsid w:val="00326D69"/>
    <w:rsid w:val="00326DC6"/>
    <w:rsid w:val="00326E1F"/>
    <w:rsid w:val="00327299"/>
    <w:rsid w:val="003273E6"/>
    <w:rsid w:val="0033027C"/>
    <w:rsid w:val="00330F10"/>
    <w:rsid w:val="00331B36"/>
    <w:rsid w:val="003321CC"/>
    <w:rsid w:val="003334A8"/>
    <w:rsid w:val="00333888"/>
    <w:rsid w:val="00333BA0"/>
    <w:rsid w:val="0033409D"/>
    <w:rsid w:val="00334DDF"/>
    <w:rsid w:val="00335493"/>
    <w:rsid w:val="00335E38"/>
    <w:rsid w:val="003369A4"/>
    <w:rsid w:val="00337081"/>
    <w:rsid w:val="003371B6"/>
    <w:rsid w:val="003374E4"/>
    <w:rsid w:val="003376B4"/>
    <w:rsid w:val="003376FA"/>
    <w:rsid w:val="003378E4"/>
    <w:rsid w:val="00337FD4"/>
    <w:rsid w:val="003404C1"/>
    <w:rsid w:val="0034066D"/>
    <w:rsid w:val="00340CE2"/>
    <w:rsid w:val="00340DB1"/>
    <w:rsid w:val="0034130C"/>
    <w:rsid w:val="00341697"/>
    <w:rsid w:val="00341A50"/>
    <w:rsid w:val="00341A81"/>
    <w:rsid w:val="00341D3C"/>
    <w:rsid w:val="0034233B"/>
    <w:rsid w:val="00342735"/>
    <w:rsid w:val="003428D2"/>
    <w:rsid w:val="00342F1D"/>
    <w:rsid w:val="0034312E"/>
    <w:rsid w:val="00343169"/>
    <w:rsid w:val="003431C6"/>
    <w:rsid w:val="00343253"/>
    <w:rsid w:val="0034340F"/>
    <w:rsid w:val="003447BA"/>
    <w:rsid w:val="00344B0F"/>
    <w:rsid w:val="00344BAA"/>
    <w:rsid w:val="00344DB9"/>
    <w:rsid w:val="00344F26"/>
    <w:rsid w:val="003450D6"/>
    <w:rsid w:val="00345137"/>
    <w:rsid w:val="00345553"/>
    <w:rsid w:val="00345E83"/>
    <w:rsid w:val="003464D9"/>
    <w:rsid w:val="00346CB9"/>
    <w:rsid w:val="00347226"/>
    <w:rsid w:val="00347A4A"/>
    <w:rsid w:val="00347BEA"/>
    <w:rsid w:val="00347C85"/>
    <w:rsid w:val="00350032"/>
    <w:rsid w:val="003504E5"/>
    <w:rsid w:val="00350DBA"/>
    <w:rsid w:val="0035127C"/>
    <w:rsid w:val="00351755"/>
    <w:rsid w:val="00351761"/>
    <w:rsid w:val="003517F9"/>
    <w:rsid w:val="00351A56"/>
    <w:rsid w:val="00351C74"/>
    <w:rsid w:val="00351FA3"/>
    <w:rsid w:val="00352013"/>
    <w:rsid w:val="00352069"/>
    <w:rsid w:val="00352732"/>
    <w:rsid w:val="00352C06"/>
    <w:rsid w:val="00352C5A"/>
    <w:rsid w:val="00352CDD"/>
    <w:rsid w:val="0035321B"/>
    <w:rsid w:val="0035354A"/>
    <w:rsid w:val="00353955"/>
    <w:rsid w:val="00353C1C"/>
    <w:rsid w:val="00353EE7"/>
    <w:rsid w:val="003540EE"/>
    <w:rsid w:val="00354698"/>
    <w:rsid w:val="003547CD"/>
    <w:rsid w:val="00354BF6"/>
    <w:rsid w:val="00354C03"/>
    <w:rsid w:val="003552DF"/>
    <w:rsid w:val="00355BEB"/>
    <w:rsid w:val="00356152"/>
    <w:rsid w:val="00356BE9"/>
    <w:rsid w:val="00356FC5"/>
    <w:rsid w:val="003571AB"/>
    <w:rsid w:val="00357456"/>
    <w:rsid w:val="003574FA"/>
    <w:rsid w:val="00357C21"/>
    <w:rsid w:val="00357E60"/>
    <w:rsid w:val="00360013"/>
    <w:rsid w:val="003600F6"/>
    <w:rsid w:val="0036021B"/>
    <w:rsid w:val="00360918"/>
    <w:rsid w:val="00360D63"/>
    <w:rsid w:val="00360EEA"/>
    <w:rsid w:val="00361AA6"/>
    <w:rsid w:val="00361BA8"/>
    <w:rsid w:val="00361C4A"/>
    <w:rsid w:val="00361E5F"/>
    <w:rsid w:val="00362149"/>
    <w:rsid w:val="0036222A"/>
    <w:rsid w:val="003624EF"/>
    <w:rsid w:val="003627EB"/>
    <w:rsid w:val="00363626"/>
    <w:rsid w:val="003636A4"/>
    <w:rsid w:val="0036375C"/>
    <w:rsid w:val="00363D0A"/>
    <w:rsid w:val="00364412"/>
    <w:rsid w:val="00364745"/>
    <w:rsid w:val="00364AAC"/>
    <w:rsid w:val="00364E9F"/>
    <w:rsid w:val="00365045"/>
    <w:rsid w:val="00365575"/>
    <w:rsid w:val="00365576"/>
    <w:rsid w:val="00365ACB"/>
    <w:rsid w:val="00365AEB"/>
    <w:rsid w:val="003661FB"/>
    <w:rsid w:val="00366347"/>
    <w:rsid w:val="0036766E"/>
    <w:rsid w:val="003677E4"/>
    <w:rsid w:val="003678D9"/>
    <w:rsid w:val="00367F6E"/>
    <w:rsid w:val="00367F7C"/>
    <w:rsid w:val="00370A6C"/>
    <w:rsid w:val="00370D4E"/>
    <w:rsid w:val="00371008"/>
    <w:rsid w:val="003712D3"/>
    <w:rsid w:val="00371939"/>
    <w:rsid w:val="00371DB3"/>
    <w:rsid w:val="00372114"/>
    <w:rsid w:val="00372163"/>
    <w:rsid w:val="00372466"/>
    <w:rsid w:val="00372EC2"/>
    <w:rsid w:val="00372EFC"/>
    <w:rsid w:val="0037336E"/>
    <w:rsid w:val="003733B0"/>
    <w:rsid w:val="0037345B"/>
    <w:rsid w:val="00373EF1"/>
    <w:rsid w:val="00374777"/>
    <w:rsid w:val="003748B4"/>
    <w:rsid w:val="00375629"/>
    <w:rsid w:val="00375E89"/>
    <w:rsid w:val="00376030"/>
    <w:rsid w:val="003769C1"/>
    <w:rsid w:val="00376A00"/>
    <w:rsid w:val="003770B6"/>
    <w:rsid w:val="0037727D"/>
    <w:rsid w:val="00377C37"/>
    <w:rsid w:val="003806C0"/>
    <w:rsid w:val="00380861"/>
    <w:rsid w:val="00380A12"/>
    <w:rsid w:val="003814F2"/>
    <w:rsid w:val="00381B72"/>
    <w:rsid w:val="00382380"/>
    <w:rsid w:val="00382768"/>
    <w:rsid w:val="0038319D"/>
    <w:rsid w:val="003836CF"/>
    <w:rsid w:val="00383B72"/>
    <w:rsid w:val="00383CE4"/>
    <w:rsid w:val="0038469A"/>
    <w:rsid w:val="00384EA0"/>
    <w:rsid w:val="003851F7"/>
    <w:rsid w:val="00385278"/>
    <w:rsid w:val="00385307"/>
    <w:rsid w:val="00385619"/>
    <w:rsid w:val="00385EEB"/>
    <w:rsid w:val="003865D5"/>
    <w:rsid w:val="003869A4"/>
    <w:rsid w:val="00386A32"/>
    <w:rsid w:val="0038754B"/>
    <w:rsid w:val="0038795D"/>
    <w:rsid w:val="00387F81"/>
    <w:rsid w:val="00387FED"/>
    <w:rsid w:val="0039028F"/>
    <w:rsid w:val="00390BEE"/>
    <w:rsid w:val="00391135"/>
    <w:rsid w:val="00391278"/>
    <w:rsid w:val="00391368"/>
    <w:rsid w:val="003918CF"/>
    <w:rsid w:val="00391D55"/>
    <w:rsid w:val="00392154"/>
    <w:rsid w:val="00392157"/>
    <w:rsid w:val="00392448"/>
    <w:rsid w:val="00392C27"/>
    <w:rsid w:val="003931D7"/>
    <w:rsid w:val="003931DC"/>
    <w:rsid w:val="003934AA"/>
    <w:rsid w:val="003934DE"/>
    <w:rsid w:val="003935C9"/>
    <w:rsid w:val="003939D5"/>
    <w:rsid w:val="003945DF"/>
    <w:rsid w:val="00395908"/>
    <w:rsid w:val="00395C01"/>
    <w:rsid w:val="003963D9"/>
    <w:rsid w:val="00397A8B"/>
    <w:rsid w:val="00397BBA"/>
    <w:rsid w:val="003A0132"/>
    <w:rsid w:val="003A0251"/>
    <w:rsid w:val="003A031E"/>
    <w:rsid w:val="003A056D"/>
    <w:rsid w:val="003A0BAE"/>
    <w:rsid w:val="003A101C"/>
    <w:rsid w:val="003A12F9"/>
    <w:rsid w:val="003A209F"/>
    <w:rsid w:val="003A216C"/>
    <w:rsid w:val="003A2933"/>
    <w:rsid w:val="003A2F43"/>
    <w:rsid w:val="003A3963"/>
    <w:rsid w:val="003A3B99"/>
    <w:rsid w:val="003A48EB"/>
    <w:rsid w:val="003A4C79"/>
    <w:rsid w:val="003A51E0"/>
    <w:rsid w:val="003A57B4"/>
    <w:rsid w:val="003A5A3B"/>
    <w:rsid w:val="003A5A50"/>
    <w:rsid w:val="003A64FE"/>
    <w:rsid w:val="003A711D"/>
    <w:rsid w:val="003A73C5"/>
    <w:rsid w:val="003A7CF7"/>
    <w:rsid w:val="003A7F15"/>
    <w:rsid w:val="003B033F"/>
    <w:rsid w:val="003B0389"/>
    <w:rsid w:val="003B03ED"/>
    <w:rsid w:val="003B0415"/>
    <w:rsid w:val="003B059F"/>
    <w:rsid w:val="003B08BE"/>
    <w:rsid w:val="003B0AE9"/>
    <w:rsid w:val="003B13F5"/>
    <w:rsid w:val="003B1A31"/>
    <w:rsid w:val="003B1C68"/>
    <w:rsid w:val="003B270F"/>
    <w:rsid w:val="003B3524"/>
    <w:rsid w:val="003B394A"/>
    <w:rsid w:val="003B3B55"/>
    <w:rsid w:val="003B3C7D"/>
    <w:rsid w:val="003B3E88"/>
    <w:rsid w:val="003B47BF"/>
    <w:rsid w:val="003B49DF"/>
    <w:rsid w:val="003B4C80"/>
    <w:rsid w:val="003B51F8"/>
    <w:rsid w:val="003B5BAD"/>
    <w:rsid w:val="003B5FE5"/>
    <w:rsid w:val="003B662A"/>
    <w:rsid w:val="003B66E8"/>
    <w:rsid w:val="003B703D"/>
    <w:rsid w:val="003B7664"/>
    <w:rsid w:val="003B77D1"/>
    <w:rsid w:val="003B785B"/>
    <w:rsid w:val="003B78E5"/>
    <w:rsid w:val="003B7FE5"/>
    <w:rsid w:val="003C073F"/>
    <w:rsid w:val="003C0945"/>
    <w:rsid w:val="003C0B18"/>
    <w:rsid w:val="003C0BD5"/>
    <w:rsid w:val="003C0C78"/>
    <w:rsid w:val="003C1F3A"/>
    <w:rsid w:val="003C202D"/>
    <w:rsid w:val="003C2509"/>
    <w:rsid w:val="003C2677"/>
    <w:rsid w:val="003C2C89"/>
    <w:rsid w:val="003C36FC"/>
    <w:rsid w:val="003C38ED"/>
    <w:rsid w:val="003C4022"/>
    <w:rsid w:val="003C4A97"/>
    <w:rsid w:val="003C4F78"/>
    <w:rsid w:val="003C5349"/>
    <w:rsid w:val="003C595A"/>
    <w:rsid w:val="003C5A46"/>
    <w:rsid w:val="003C5AC7"/>
    <w:rsid w:val="003C5AFA"/>
    <w:rsid w:val="003C67BC"/>
    <w:rsid w:val="003C682C"/>
    <w:rsid w:val="003C6A9D"/>
    <w:rsid w:val="003C6EE0"/>
    <w:rsid w:val="003C701B"/>
    <w:rsid w:val="003C725D"/>
    <w:rsid w:val="003C7D66"/>
    <w:rsid w:val="003D01AF"/>
    <w:rsid w:val="003D1069"/>
    <w:rsid w:val="003D1072"/>
    <w:rsid w:val="003D1C0A"/>
    <w:rsid w:val="003D1CA1"/>
    <w:rsid w:val="003D2856"/>
    <w:rsid w:val="003D2AB7"/>
    <w:rsid w:val="003D2B02"/>
    <w:rsid w:val="003D32B8"/>
    <w:rsid w:val="003D3A14"/>
    <w:rsid w:val="003D3B1D"/>
    <w:rsid w:val="003D3E3C"/>
    <w:rsid w:val="003D3F2B"/>
    <w:rsid w:val="003D4042"/>
    <w:rsid w:val="003D46C8"/>
    <w:rsid w:val="003D4A88"/>
    <w:rsid w:val="003D500A"/>
    <w:rsid w:val="003D5517"/>
    <w:rsid w:val="003D58AC"/>
    <w:rsid w:val="003D5AEB"/>
    <w:rsid w:val="003D5E1B"/>
    <w:rsid w:val="003D5EFB"/>
    <w:rsid w:val="003D5F10"/>
    <w:rsid w:val="003D7150"/>
    <w:rsid w:val="003D7AFF"/>
    <w:rsid w:val="003E00C7"/>
    <w:rsid w:val="003E0534"/>
    <w:rsid w:val="003E05CE"/>
    <w:rsid w:val="003E06CA"/>
    <w:rsid w:val="003E112D"/>
    <w:rsid w:val="003E1689"/>
    <w:rsid w:val="003E1A5E"/>
    <w:rsid w:val="003E214A"/>
    <w:rsid w:val="003E2637"/>
    <w:rsid w:val="003E272D"/>
    <w:rsid w:val="003E28BC"/>
    <w:rsid w:val="003E29E7"/>
    <w:rsid w:val="003E2AFC"/>
    <w:rsid w:val="003E2E2A"/>
    <w:rsid w:val="003E3172"/>
    <w:rsid w:val="003E321B"/>
    <w:rsid w:val="003E3CC6"/>
    <w:rsid w:val="003E3D47"/>
    <w:rsid w:val="003E40A9"/>
    <w:rsid w:val="003E42C6"/>
    <w:rsid w:val="003E525D"/>
    <w:rsid w:val="003E53EF"/>
    <w:rsid w:val="003E5AE1"/>
    <w:rsid w:val="003E5E91"/>
    <w:rsid w:val="003E62BA"/>
    <w:rsid w:val="003E64B4"/>
    <w:rsid w:val="003E6856"/>
    <w:rsid w:val="003E68F2"/>
    <w:rsid w:val="003E6CAA"/>
    <w:rsid w:val="003E6CAC"/>
    <w:rsid w:val="003E73E4"/>
    <w:rsid w:val="003E74C9"/>
    <w:rsid w:val="003E7A35"/>
    <w:rsid w:val="003E7AAD"/>
    <w:rsid w:val="003E7B42"/>
    <w:rsid w:val="003E7C8B"/>
    <w:rsid w:val="003F001C"/>
    <w:rsid w:val="003F0373"/>
    <w:rsid w:val="003F0B62"/>
    <w:rsid w:val="003F0BF4"/>
    <w:rsid w:val="003F0FEC"/>
    <w:rsid w:val="003F21E4"/>
    <w:rsid w:val="003F22C3"/>
    <w:rsid w:val="003F2A54"/>
    <w:rsid w:val="003F2D9F"/>
    <w:rsid w:val="003F309F"/>
    <w:rsid w:val="003F369A"/>
    <w:rsid w:val="003F3703"/>
    <w:rsid w:val="003F38AC"/>
    <w:rsid w:val="003F3CB1"/>
    <w:rsid w:val="003F418C"/>
    <w:rsid w:val="003F4CA6"/>
    <w:rsid w:val="003F4F02"/>
    <w:rsid w:val="003F5161"/>
    <w:rsid w:val="003F53D6"/>
    <w:rsid w:val="003F57D6"/>
    <w:rsid w:val="003F5FFD"/>
    <w:rsid w:val="003F6839"/>
    <w:rsid w:val="003F6977"/>
    <w:rsid w:val="003F772E"/>
    <w:rsid w:val="003F78B1"/>
    <w:rsid w:val="003F7A2A"/>
    <w:rsid w:val="004005CC"/>
    <w:rsid w:val="0040061E"/>
    <w:rsid w:val="00400909"/>
    <w:rsid w:val="00400A6A"/>
    <w:rsid w:val="00400F1E"/>
    <w:rsid w:val="00401778"/>
    <w:rsid w:val="0040291E"/>
    <w:rsid w:val="00402A1E"/>
    <w:rsid w:val="00402DF3"/>
    <w:rsid w:val="00403830"/>
    <w:rsid w:val="004038F0"/>
    <w:rsid w:val="00403CCB"/>
    <w:rsid w:val="00404249"/>
    <w:rsid w:val="00404BE0"/>
    <w:rsid w:val="00404DF2"/>
    <w:rsid w:val="00404FD0"/>
    <w:rsid w:val="00405071"/>
    <w:rsid w:val="00406ABA"/>
    <w:rsid w:val="00406F13"/>
    <w:rsid w:val="00407236"/>
    <w:rsid w:val="004072D5"/>
    <w:rsid w:val="00407444"/>
    <w:rsid w:val="00407813"/>
    <w:rsid w:val="00407BB2"/>
    <w:rsid w:val="004107B4"/>
    <w:rsid w:val="00410DDD"/>
    <w:rsid w:val="0041150E"/>
    <w:rsid w:val="004117B0"/>
    <w:rsid w:val="00411D08"/>
    <w:rsid w:val="00411D4D"/>
    <w:rsid w:val="00411F81"/>
    <w:rsid w:val="00412A2D"/>
    <w:rsid w:val="00412C9A"/>
    <w:rsid w:val="00412CEE"/>
    <w:rsid w:val="00412CF7"/>
    <w:rsid w:val="00413093"/>
    <w:rsid w:val="00413511"/>
    <w:rsid w:val="0041399A"/>
    <w:rsid w:val="00413B23"/>
    <w:rsid w:val="0041433B"/>
    <w:rsid w:val="004148A9"/>
    <w:rsid w:val="00414A01"/>
    <w:rsid w:val="00415009"/>
    <w:rsid w:val="0041556B"/>
    <w:rsid w:val="004158E6"/>
    <w:rsid w:val="00415930"/>
    <w:rsid w:val="00415BC5"/>
    <w:rsid w:val="00416260"/>
    <w:rsid w:val="004163EF"/>
    <w:rsid w:val="00416CA8"/>
    <w:rsid w:val="00416F2B"/>
    <w:rsid w:val="00417060"/>
    <w:rsid w:val="004174B1"/>
    <w:rsid w:val="004174B3"/>
    <w:rsid w:val="004174E7"/>
    <w:rsid w:val="004177C3"/>
    <w:rsid w:val="0041796A"/>
    <w:rsid w:val="00417AB8"/>
    <w:rsid w:val="00417AB9"/>
    <w:rsid w:val="004200AF"/>
    <w:rsid w:val="004206F9"/>
    <w:rsid w:val="00420A32"/>
    <w:rsid w:val="00420F2B"/>
    <w:rsid w:val="0042119C"/>
    <w:rsid w:val="004211EC"/>
    <w:rsid w:val="00421593"/>
    <w:rsid w:val="00422E00"/>
    <w:rsid w:val="00424763"/>
    <w:rsid w:val="00424C7B"/>
    <w:rsid w:val="00424EB9"/>
    <w:rsid w:val="004253C8"/>
    <w:rsid w:val="004255D7"/>
    <w:rsid w:val="00425A4B"/>
    <w:rsid w:val="00426915"/>
    <w:rsid w:val="00426D9B"/>
    <w:rsid w:val="00426DDB"/>
    <w:rsid w:val="00427664"/>
    <w:rsid w:val="004276EA"/>
    <w:rsid w:val="00427875"/>
    <w:rsid w:val="004278CC"/>
    <w:rsid w:val="00427F6D"/>
    <w:rsid w:val="0043075A"/>
    <w:rsid w:val="00430B9E"/>
    <w:rsid w:val="00430C6A"/>
    <w:rsid w:val="00430E29"/>
    <w:rsid w:val="004319CB"/>
    <w:rsid w:val="00431AAC"/>
    <w:rsid w:val="00431D17"/>
    <w:rsid w:val="00432A48"/>
    <w:rsid w:val="00432FF5"/>
    <w:rsid w:val="004330D1"/>
    <w:rsid w:val="0043376C"/>
    <w:rsid w:val="00433885"/>
    <w:rsid w:val="00433A66"/>
    <w:rsid w:val="00434176"/>
    <w:rsid w:val="004341AC"/>
    <w:rsid w:val="00434566"/>
    <w:rsid w:val="00434FC8"/>
    <w:rsid w:val="00435B4B"/>
    <w:rsid w:val="00435FC8"/>
    <w:rsid w:val="00436D4F"/>
    <w:rsid w:val="00436D9F"/>
    <w:rsid w:val="00436E8F"/>
    <w:rsid w:val="00437880"/>
    <w:rsid w:val="00437CE0"/>
    <w:rsid w:val="00437D6B"/>
    <w:rsid w:val="004403EC"/>
    <w:rsid w:val="004407BC"/>
    <w:rsid w:val="004410ED"/>
    <w:rsid w:val="00441201"/>
    <w:rsid w:val="00441562"/>
    <w:rsid w:val="004417B8"/>
    <w:rsid w:val="00442139"/>
    <w:rsid w:val="004422C1"/>
    <w:rsid w:val="004427BD"/>
    <w:rsid w:val="00442B28"/>
    <w:rsid w:val="00442B2E"/>
    <w:rsid w:val="00442D2D"/>
    <w:rsid w:val="00443977"/>
    <w:rsid w:val="00443F0A"/>
    <w:rsid w:val="004440B3"/>
    <w:rsid w:val="004441EE"/>
    <w:rsid w:val="004450B3"/>
    <w:rsid w:val="004450CF"/>
    <w:rsid w:val="004455B9"/>
    <w:rsid w:val="00445721"/>
    <w:rsid w:val="00445E66"/>
    <w:rsid w:val="0044609B"/>
    <w:rsid w:val="00446222"/>
    <w:rsid w:val="004462B3"/>
    <w:rsid w:val="004463DD"/>
    <w:rsid w:val="00446410"/>
    <w:rsid w:val="00446778"/>
    <w:rsid w:val="00446B17"/>
    <w:rsid w:val="00446B25"/>
    <w:rsid w:val="00446C33"/>
    <w:rsid w:val="00446E24"/>
    <w:rsid w:val="00447087"/>
    <w:rsid w:val="00447303"/>
    <w:rsid w:val="00447D66"/>
    <w:rsid w:val="004503BC"/>
    <w:rsid w:val="0045042A"/>
    <w:rsid w:val="00450781"/>
    <w:rsid w:val="004511AC"/>
    <w:rsid w:val="004519EA"/>
    <w:rsid w:val="00451A5B"/>
    <w:rsid w:val="00451D5D"/>
    <w:rsid w:val="00451FF4"/>
    <w:rsid w:val="00452227"/>
    <w:rsid w:val="00452D94"/>
    <w:rsid w:val="004531C4"/>
    <w:rsid w:val="00453DD1"/>
    <w:rsid w:val="00453F5D"/>
    <w:rsid w:val="00454370"/>
    <w:rsid w:val="004545C7"/>
    <w:rsid w:val="004546A6"/>
    <w:rsid w:val="00454A8D"/>
    <w:rsid w:val="00454B11"/>
    <w:rsid w:val="00454CA9"/>
    <w:rsid w:val="00454CFE"/>
    <w:rsid w:val="00455135"/>
    <w:rsid w:val="004553A6"/>
    <w:rsid w:val="0045572E"/>
    <w:rsid w:val="0045576B"/>
    <w:rsid w:val="00455C5B"/>
    <w:rsid w:val="0045628A"/>
    <w:rsid w:val="00456324"/>
    <w:rsid w:val="004568B3"/>
    <w:rsid w:val="00456D0A"/>
    <w:rsid w:val="00456D64"/>
    <w:rsid w:val="00457503"/>
    <w:rsid w:val="00457BAB"/>
    <w:rsid w:val="00457D63"/>
    <w:rsid w:val="00460264"/>
    <w:rsid w:val="00460322"/>
    <w:rsid w:val="00460369"/>
    <w:rsid w:val="004604B2"/>
    <w:rsid w:val="00460B68"/>
    <w:rsid w:val="00460E3C"/>
    <w:rsid w:val="00461028"/>
    <w:rsid w:val="00461900"/>
    <w:rsid w:val="004619A9"/>
    <w:rsid w:val="004620B1"/>
    <w:rsid w:val="00462178"/>
    <w:rsid w:val="00462634"/>
    <w:rsid w:val="00462C28"/>
    <w:rsid w:val="004631A2"/>
    <w:rsid w:val="00463362"/>
    <w:rsid w:val="00463518"/>
    <w:rsid w:val="00463FDC"/>
    <w:rsid w:val="00464005"/>
    <w:rsid w:val="004640C2"/>
    <w:rsid w:val="004644CE"/>
    <w:rsid w:val="004644D5"/>
    <w:rsid w:val="00464904"/>
    <w:rsid w:val="00464FED"/>
    <w:rsid w:val="004650F4"/>
    <w:rsid w:val="0046537B"/>
    <w:rsid w:val="004656BD"/>
    <w:rsid w:val="0046613B"/>
    <w:rsid w:val="0046725B"/>
    <w:rsid w:val="0046761C"/>
    <w:rsid w:val="004676B5"/>
    <w:rsid w:val="004676D3"/>
    <w:rsid w:val="00467A45"/>
    <w:rsid w:val="004712F3"/>
    <w:rsid w:val="00471786"/>
    <w:rsid w:val="00471860"/>
    <w:rsid w:val="00471979"/>
    <w:rsid w:val="00471A12"/>
    <w:rsid w:val="00472249"/>
    <w:rsid w:val="0047294B"/>
    <w:rsid w:val="00472EBA"/>
    <w:rsid w:val="0047309F"/>
    <w:rsid w:val="00473126"/>
    <w:rsid w:val="004734AD"/>
    <w:rsid w:val="00473CD2"/>
    <w:rsid w:val="00473EDC"/>
    <w:rsid w:val="00473FF8"/>
    <w:rsid w:val="00474A05"/>
    <w:rsid w:val="00474D80"/>
    <w:rsid w:val="0047503D"/>
    <w:rsid w:val="00476484"/>
    <w:rsid w:val="00476744"/>
    <w:rsid w:val="00476C86"/>
    <w:rsid w:val="0047703D"/>
    <w:rsid w:val="004771ED"/>
    <w:rsid w:val="00477A6E"/>
    <w:rsid w:val="00477DFF"/>
    <w:rsid w:val="00480025"/>
    <w:rsid w:val="00480B29"/>
    <w:rsid w:val="00480B2B"/>
    <w:rsid w:val="00480FA9"/>
    <w:rsid w:val="0048121E"/>
    <w:rsid w:val="00481635"/>
    <w:rsid w:val="00481F86"/>
    <w:rsid w:val="00481FDF"/>
    <w:rsid w:val="0048204C"/>
    <w:rsid w:val="00482196"/>
    <w:rsid w:val="00482B1A"/>
    <w:rsid w:val="00482BC0"/>
    <w:rsid w:val="00482F33"/>
    <w:rsid w:val="0048337D"/>
    <w:rsid w:val="0048371D"/>
    <w:rsid w:val="004838FE"/>
    <w:rsid w:val="00483C3A"/>
    <w:rsid w:val="00484098"/>
    <w:rsid w:val="004840BF"/>
    <w:rsid w:val="004842C1"/>
    <w:rsid w:val="0048440F"/>
    <w:rsid w:val="00484B95"/>
    <w:rsid w:val="004850D1"/>
    <w:rsid w:val="004851B9"/>
    <w:rsid w:val="00485A80"/>
    <w:rsid w:val="00485CFF"/>
    <w:rsid w:val="00486908"/>
    <w:rsid w:val="00486B1A"/>
    <w:rsid w:val="00486CDA"/>
    <w:rsid w:val="004871F9"/>
    <w:rsid w:val="004878A0"/>
    <w:rsid w:val="00487FF4"/>
    <w:rsid w:val="004901D5"/>
    <w:rsid w:val="004902E4"/>
    <w:rsid w:val="004909D9"/>
    <w:rsid w:val="00491058"/>
    <w:rsid w:val="004916FB"/>
    <w:rsid w:val="00491DBB"/>
    <w:rsid w:val="004924CA"/>
    <w:rsid w:val="0049264E"/>
    <w:rsid w:val="00492FCE"/>
    <w:rsid w:val="00493677"/>
    <w:rsid w:val="00493FDB"/>
    <w:rsid w:val="00494593"/>
    <w:rsid w:val="00495B98"/>
    <w:rsid w:val="0049635A"/>
    <w:rsid w:val="00496CE7"/>
    <w:rsid w:val="00496FC9"/>
    <w:rsid w:val="0049706C"/>
    <w:rsid w:val="004973FA"/>
    <w:rsid w:val="00497B6B"/>
    <w:rsid w:val="00497CA2"/>
    <w:rsid w:val="00497EF5"/>
    <w:rsid w:val="00497F27"/>
    <w:rsid w:val="00497F9E"/>
    <w:rsid w:val="00497FA8"/>
    <w:rsid w:val="004A0540"/>
    <w:rsid w:val="004A0639"/>
    <w:rsid w:val="004A22F2"/>
    <w:rsid w:val="004A2431"/>
    <w:rsid w:val="004A2571"/>
    <w:rsid w:val="004A2A0D"/>
    <w:rsid w:val="004A2A17"/>
    <w:rsid w:val="004A3079"/>
    <w:rsid w:val="004A3546"/>
    <w:rsid w:val="004A3BE1"/>
    <w:rsid w:val="004A3E37"/>
    <w:rsid w:val="004A4C76"/>
    <w:rsid w:val="004A4D2B"/>
    <w:rsid w:val="004A4FFF"/>
    <w:rsid w:val="004A5362"/>
    <w:rsid w:val="004A5A02"/>
    <w:rsid w:val="004A6276"/>
    <w:rsid w:val="004A636B"/>
    <w:rsid w:val="004A63DE"/>
    <w:rsid w:val="004A702E"/>
    <w:rsid w:val="004A76C1"/>
    <w:rsid w:val="004B0072"/>
    <w:rsid w:val="004B0354"/>
    <w:rsid w:val="004B061E"/>
    <w:rsid w:val="004B0ED7"/>
    <w:rsid w:val="004B15AB"/>
    <w:rsid w:val="004B24EE"/>
    <w:rsid w:val="004B27E7"/>
    <w:rsid w:val="004B3629"/>
    <w:rsid w:val="004B378F"/>
    <w:rsid w:val="004B38EC"/>
    <w:rsid w:val="004B42E3"/>
    <w:rsid w:val="004B4A77"/>
    <w:rsid w:val="004B4C0B"/>
    <w:rsid w:val="004B4E23"/>
    <w:rsid w:val="004B50F4"/>
    <w:rsid w:val="004B5947"/>
    <w:rsid w:val="004B5A7C"/>
    <w:rsid w:val="004B5CF6"/>
    <w:rsid w:val="004B5DF7"/>
    <w:rsid w:val="004B5E4C"/>
    <w:rsid w:val="004B7494"/>
    <w:rsid w:val="004B7B4C"/>
    <w:rsid w:val="004B7CCE"/>
    <w:rsid w:val="004B7E37"/>
    <w:rsid w:val="004C00D2"/>
    <w:rsid w:val="004C07E8"/>
    <w:rsid w:val="004C085C"/>
    <w:rsid w:val="004C0AF6"/>
    <w:rsid w:val="004C0BD9"/>
    <w:rsid w:val="004C1268"/>
    <w:rsid w:val="004C2A7D"/>
    <w:rsid w:val="004C2BD3"/>
    <w:rsid w:val="004C2CFE"/>
    <w:rsid w:val="004C3279"/>
    <w:rsid w:val="004C3768"/>
    <w:rsid w:val="004C388C"/>
    <w:rsid w:val="004C3D1A"/>
    <w:rsid w:val="004C3DB6"/>
    <w:rsid w:val="004C4061"/>
    <w:rsid w:val="004C503B"/>
    <w:rsid w:val="004C5548"/>
    <w:rsid w:val="004C5B0E"/>
    <w:rsid w:val="004C5B23"/>
    <w:rsid w:val="004C6BB9"/>
    <w:rsid w:val="004C6C71"/>
    <w:rsid w:val="004C7725"/>
    <w:rsid w:val="004C7A7F"/>
    <w:rsid w:val="004D0BA0"/>
    <w:rsid w:val="004D11E2"/>
    <w:rsid w:val="004D193C"/>
    <w:rsid w:val="004D1F9A"/>
    <w:rsid w:val="004D20A4"/>
    <w:rsid w:val="004D28B8"/>
    <w:rsid w:val="004D3026"/>
    <w:rsid w:val="004D374F"/>
    <w:rsid w:val="004D3849"/>
    <w:rsid w:val="004D39D7"/>
    <w:rsid w:val="004D3FEC"/>
    <w:rsid w:val="004D4F92"/>
    <w:rsid w:val="004D58AE"/>
    <w:rsid w:val="004D58BC"/>
    <w:rsid w:val="004D6121"/>
    <w:rsid w:val="004D6519"/>
    <w:rsid w:val="004D67C8"/>
    <w:rsid w:val="004D7033"/>
    <w:rsid w:val="004D7345"/>
    <w:rsid w:val="004D7E46"/>
    <w:rsid w:val="004E0330"/>
    <w:rsid w:val="004E03FA"/>
    <w:rsid w:val="004E14D8"/>
    <w:rsid w:val="004E193A"/>
    <w:rsid w:val="004E1AF1"/>
    <w:rsid w:val="004E2017"/>
    <w:rsid w:val="004E2860"/>
    <w:rsid w:val="004E28F2"/>
    <w:rsid w:val="004E2E14"/>
    <w:rsid w:val="004E2F4D"/>
    <w:rsid w:val="004E2FBD"/>
    <w:rsid w:val="004E3547"/>
    <w:rsid w:val="004E3812"/>
    <w:rsid w:val="004E4B46"/>
    <w:rsid w:val="004E55AC"/>
    <w:rsid w:val="004E568A"/>
    <w:rsid w:val="004E57E7"/>
    <w:rsid w:val="004E62D3"/>
    <w:rsid w:val="004E6975"/>
    <w:rsid w:val="004E70A7"/>
    <w:rsid w:val="004E7788"/>
    <w:rsid w:val="004E7ADB"/>
    <w:rsid w:val="004E7AFC"/>
    <w:rsid w:val="004E7C1F"/>
    <w:rsid w:val="004E7E86"/>
    <w:rsid w:val="004E7FE5"/>
    <w:rsid w:val="004F0377"/>
    <w:rsid w:val="004F03A8"/>
    <w:rsid w:val="004F1678"/>
    <w:rsid w:val="004F1737"/>
    <w:rsid w:val="004F1D26"/>
    <w:rsid w:val="004F2E51"/>
    <w:rsid w:val="004F2E7E"/>
    <w:rsid w:val="004F3095"/>
    <w:rsid w:val="004F34D2"/>
    <w:rsid w:val="004F3D8E"/>
    <w:rsid w:val="004F47E3"/>
    <w:rsid w:val="004F4951"/>
    <w:rsid w:val="004F4C89"/>
    <w:rsid w:val="004F4D15"/>
    <w:rsid w:val="004F4D61"/>
    <w:rsid w:val="004F50E4"/>
    <w:rsid w:val="004F50E6"/>
    <w:rsid w:val="004F5511"/>
    <w:rsid w:val="004F5809"/>
    <w:rsid w:val="004F5915"/>
    <w:rsid w:val="004F5988"/>
    <w:rsid w:val="004F64D9"/>
    <w:rsid w:val="004F6604"/>
    <w:rsid w:val="004F66EC"/>
    <w:rsid w:val="004F68F7"/>
    <w:rsid w:val="004F69AC"/>
    <w:rsid w:val="004F71A6"/>
    <w:rsid w:val="004F737B"/>
    <w:rsid w:val="004F73EB"/>
    <w:rsid w:val="004F741A"/>
    <w:rsid w:val="004F7683"/>
    <w:rsid w:val="004F76C4"/>
    <w:rsid w:val="004F789D"/>
    <w:rsid w:val="004F7E08"/>
    <w:rsid w:val="00500257"/>
    <w:rsid w:val="00500307"/>
    <w:rsid w:val="005004B1"/>
    <w:rsid w:val="005006F5"/>
    <w:rsid w:val="005008AC"/>
    <w:rsid w:val="005008E3"/>
    <w:rsid w:val="00500F8A"/>
    <w:rsid w:val="005011A1"/>
    <w:rsid w:val="005017F9"/>
    <w:rsid w:val="00501CB5"/>
    <w:rsid w:val="00502259"/>
    <w:rsid w:val="00502DD0"/>
    <w:rsid w:val="005031A7"/>
    <w:rsid w:val="00503232"/>
    <w:rsid w:val="0050336D"/>
    <w:rsid w:val="00503EAB"/>
    <w:rsid w:val="005045C0"/>
    <w:rsid w:val="005046D9"/>
    <w:rsid w:val="00504810"/>
    <w:rsid w:val="0050505A"/>
    <w:rsid w:val="00505166"/>
    <w:rsid w:val="0050521F"/>
    <w:rsid w:val="00505702"/>
    <w:rsid w:val="00506813"/>
    <w:rsid w:val="00506E2D"/>
    <w:rsid w:val="005072BB"/>
    <w:rsid w:val="005075AC"/>
    <w:rsid w:val="00507874"/>
    <w:rsid w:val="00507E14"/>
    <w:rsid w:val="005102FB"/>
    <w:rsid w:val="005104E0"/>
    <w:rsid w:val="005107D4"/>
    <w:rsid w:val="00511866"/>
    <w:rsid w:val="005118A4"/>
    <w:rsid w:val="00511C61"/>
    <w:rsid w:val="00512750"/>
    <w:rsid w:val="00512B19"/>
    <w:rsid w:val="00512BDB"/>
    <w:rsid w:val="0051462A"/>
    <w:rsid w:val="00514FE7"/>
    <w:rsid w:val="005151C4"/>
    <w:rsid w:val="00515675"/>
    <w:rsid w:val="00515D36"/>
    <w:rsid w:val="00516422"/>
    <w:rsid w:val="00516F95"/>
    <w:rsid w:val="0051702D"/>
    <w:rsid w:val="0051741D"/>
    <w:rsid w:val="00517880"/>
    <w:rsid w:val="00517BD7"/>
    <w:rsid w:val="00517E15"/>
    <w:rsid w:val="00520006"/>
    <w:rsid w:val="00520421"/>
    <w:rsid w:val="00520BEC"/>
    <w:rsid w:val="00520D55"/>
    <w:rsid w:val="00520E1C"/>
    <w:rsid w:val="00521510"/>
    <w:rsid w:val="005218C7"/>
    <w:rsid w:val="005225D8"/>
    <w:rsid w:val="00522697"/>
    <w:rsid w:val="00522AB3"/>
    <w:rsid w:val="00522B13"/>
    <w:rsid w:val="005230F0"/>
    <w:rsid w:val="005231E0"/>
    <w:rsid w:val="00523840"/>
    <w:rsid w:val="00524279"/>
    <w:rsid w:val="005247DC"/>
    <w:rsid w:val="005252C6"/>
    <w:rsid w:val="00525430"/>
    <w:rsid w:val="00525763"/>
    <w:rsid w:val="005259AE"/>
    <w:rsid w:val="00525F8F"/>
    <w:rsid w:val="0052629D"/>
    <w:rsid w:val="00526473"/>
    <w:rsid w:val="005266D1"/>
    <w:rsid w:val="0052685A"/>
    <w:rsid w:val="00526E62"/>
    <w:rsid w:val="005271C2"/>
    <w:rsid w:val="005272AB"/>
    <w:rsid w:val="00527692"/>
    <w:rsid w:val="005276B5"/>
    <w:rsid w:val="00527D2B"/>
    <w:rsid w:val="00527EC1"/>
    <w:rsid w:val="00527FE4"/>
    <w:rsid w:val="005302DE"/>
    <w:rsid w:val="005306D7"/>
    <w:rsid w:val="005308A3"/>
    <w:rsid w:val="00530B5A"/>
    <w:rsid w:val="00530D00"/>
    <w:rsid w:val="00530F2F"/>
    <w:rsid w:val="0053130A"/>
    <w:rsid w:val="005315D0"/>
    <w:rsid w:val="005319B0"/>
    <w:rsid w:val="005326C5"/>
    <w:rsid w:val="00532DA2"/>
    <w:rsid w:val="0053475E"/>
    <w:rsid w:val="00534E8E"/>
    <w:rsid w:val="00535018"/>
    <w:rsid w:val="0053548A"/>
    <w:rsid w:val="005358BF"/>
    <w:rsid w:val="00536725"/>
    <w:rsid w:val="005367B2"/>
    <w:rsid w:val="00537576"/>
    <w:rsid w:val="0053782C"/>
    <w:rsid w:val="0054028F"/>
    <w:rsid w:val="00540710"/>
    <w:rsid w:val="00540754"/>
    <w:rsid w:val="00541B77"/>
    <w:rsid w:val="00541E07"/>
    <w:rsid w:val="005421B8"/>
    <w:rsid w:val="00542494"/>
    <w:rsid w:val="005427D7"/>
    <w:rsid w:val="00542F75"/>
    <w:rsid w:val="005436FD"/>
    <w:rsid w:val="0054379D"/>
    <w:rsid w:val="00543F8F"/>
    <w:rsid w:val="00544038"/>
    <w:rsid w:val="005443C0"/>
    <w:rsid w:val="00544BA2"/>
    <w:rsid w:val="005453F6"/>
    <w:rsid w:val="00545774"/>
    <w:rsid w:val="00545AE1"/>
    <w:rsid w:val="00545FF9"/>
    <w:rsid w:val="00546659"/>
    <w:rsid w:val="00546668"/>
    <w:rsid w:val="00546CB9"/>
    <w:rsid w:val="00546E2A"/>
    <w:rsid w:val="00547CD0"/>
    <w:rsid w:val="005505BC"/>
    <w:rsid w:val="005508F6"/>
    <w:rsid w:val="00551AA5"/>
    <w:rsid w:val="00551C73"/>
    <w:rsid w:val="0055278E"/>
    <w:rsid w:val="00552864"/>
    <w:rsid w:val="00552FF9"/>
    <w:rsid w:val="005530FA"/>
    <w:rsid w:val="0055330F"/>
    <w:rsid w:val="0055350B"/>
    <w:rsid w:val="00553BFA"/>
    <w:rsid w:val="00553C2C"/>
    <w:rsid w:val="00553FA4"/>
    <w:rsid w:val="005540B9"/>
    <w:rsid w:val="00554215"/>
    <w:rsid w:val="00555133"/>
    <w:rsid w:val="005562F5"/>
    <w:rsid w:val="005566A7"/>
    <w:rsid w:val="00556BC1"/>
    <w:rsid w:val="00556DC4"/>
    <w:rsid w:val="00557B05"/>
    <w:rsid w:val="0056021B"/>
    <w:rsid w:val="005602D7"/>
    <w:rsid w:val="00560908"/>
    <w:rsid w:val="005609FA"/>
    <w:rsid w:val="00560A2B"/>
    <w:rsid w:val="00560E6F"/>
    <w:rsid w:val="00561328"/>
    <w:rsid w:val="0056194C"/>
    <w:rsid w:val="00561DBC"/>
    <w:rsid w:val="005620CB"/>
    <w:rsid w:val="005625C1"/>
    <w:rsid w:val="0056276A"/>
    <w:rsid w:val="00562F69"/>
    <w:rsid w:val="00562FC2"/>
    <w:rsid w:val="00563622"/>
    <w:rsid w:val="005640FC"/>
    <w:rsid w:val="0056570F"/>
    <w:rsid w:val="005660CA"/>
    <w:rsid w:val="00566127"/>
    <w:rsid w:val="0056637F"/>
    <w:rsid w:val="00566548"/>
    <w:rsid w:val="0056665D"/>
    <w:rsid w:val="005667D7"/>
    <w:rsid w:val="00567055"/>
    <w:rsid w:val="00567077"/>
    <w:rsid w:val="0056732B"/>
    <w:rsid w:val="00567345"/>
    <w:rsid w:val="0056759E"/>
    <w:rsid w:val="005678FC"/>
    <w:rsid w:val="00567A5B"/>
    <w:rsid w:val="00570057"/>
    <w:rsid w:val="0057051B"/>
    <w:rsid w:val="0057083B"/>
    <w:rsid w:val="00570C9F"/>
    <w:rsid w:val="00570F46"/>
    <w:rsid w:val="005710F0"/>
    <w:rsid w:val="00571523"/>
    <w:rsid w:val="00571B9A"/>
    <w:rsid w:val="0057204C"/>
    <w:rsid w:val="00572DBB"/>
    <w:rsid w:val="005732FD"/>
    <w:rsid w:val="00573F68"/>
    <w:rsid w:val="00574219"/>
    <w:rsid w:val="005744BB"/>
    <w:rsid w:val="005748CC"/>
    <w:rsid w:val="005748DE"/>
    <w:rsid w:val="00574B1D"/>
    <w:rsid w:val="00574CEE"/>
    <w:rsid w:val="00574DBC"/>
    <w:rsid w:val="00574E54"/>
    <w:rsid w:val="005755A4"/>
    <w:rsid w:val="005755E4"/>
    <w:rsid w:val="00575730"/>
    <w:rsid w:val="005758DA"/>
    <w:rsid w:val="00575E96"/>
    <w:rsid w:val="0057688B"/>
    <w:rsid w:val="005769E1"/>
    <w:rsid w:val="00576C1B"/>
    <w:rsid w:val="00577020"/>
    <w:rsid w:val="0057704C"/>
    <w:rsid w:val="0057762E"/>
    <w:rsid w:val="0057771A"/>
    <w:rsid w:val="005805E1"/>
    <w:rsid w:val="00580C69"/>
    <w:rsid w:val="00580D05"/>
    <w:rsid w:val="00581C74"/>
    <w:rsid w:val="00582369"/>
    <w:rsid w:val="00582962"/>
    <w:rsid w:val="00582AC2"/>
    <w:rsid w:val="00582B14"/>
    <w:rsid w:val="00582B93"/>
    <w:rsid w:val="005832E5"/>
    <w:rsid w:val="0058369B"/>
    <w:rsid w:val="0058382D"/>
    <w:rsid w:val="005838C9"/>
    <w:rsid w:val="005840B4"/>
    <w:rsid w:val="0058440E"/>
    <w:rsid w:val="0058482A"/>
    <w:rsid w:val="005854A7"/>
    <w:rsid w:val="0058555C"/>
    <w:rsid w:val="00585C48"/>
    <w:rsid w:val="00585DC0"/>
    <w:rsid w:val="00585F25"/>
    <w:rsid w:val="00586003"/>
    <w:rsid w:val="00586192"/>
    <w:rsid w:val="0058639A"/>
    <w:rsid w:val="005863BC"/>
    <w:rsid w:val="005869CD"/>
    <w:rsid w:val="00586AA1"/>
    <w:rsid w:val="00586EA4"/>
    <w:rsid w:val="005873D4"/>
    <w:rsid w:val="00587542"/>
    <w:rsid w:val="00587953"/>
    <w:rsid w:val="005879E9"/>
    <w:rsid w:val="00587E57"/>
    <w:rsid w:val="0059038A"/>
    <w:rsid w:val="00590606"/>
    <w:rsid w:val="00590EC3"/>
    <w:rsid w:val="00590FFF"/>
    <w:rsid w:val="005911FE"/>
    <w:rsid w:val="0059179C"/>
    <w:rsid w:val="005918A1"/>
    <w:rsid w:val="00592164"/>
    <w:rsid w:val="005928EE"/>
    <w:rsid w:val="00592AB2"/>
    <w:rsid w:val="00592B70"/>
    <w:rsid w:val="00593484"/>
    <w:rsid w:val="005947B6"/>
    <w:rsid w:val="0059484B"/>
    <w:rsid w:val="0059493A"/>
    <w:rsid w:val="00594AA3"/>
    <w:rsid w:val="005953BF"/>
    <w:rsid w:val="0059543E"/>
    <w:rsid w:val="00596CCC"/>
    <w:rsid w:val="00596D27"/>
    <w:rsid w:val="005973AB"/>
    <w:rsid w:val="00597BD8"/>
    <w:rsid w:val="00597FBF"/>
    <w:rsid w:val="005A0117"/>
    <w:rsid w:val="005A0429"/>
    <w:rsid w:val="005A07B3"/>
    <w:rsid w:val="005A0BCB"/>
    <w:rsid w:val="005A10B0"/>
    <w:rsid w:val="005A1FA3"/>
    <w:rsid w:val="005A2397"/>
    <w:rsid w:val="005A254D"/>
    <w:rsid w:val="005A27D4"/>
    <w:rsid w:val="005A2B03"/>
    <w:rsid w:val="005A30AD"/>
    <w:rsid w:val="005A3316"/>
    <w:rsid w:val="005A337B"/>
    <w:rsid w:val="005A371B"/>
    <w:rsid w:val="005A3E0D"/>
    <w:rsid w:val="005A45EA"/>
    <w:rsid w:val="005A45F8"/>
    <w:rsid w:val="005A5230"/>
    <w:rsid w:val="005A5781"/>
    <w:rsid w:val="005A672C"/>
    <w:rsid w:val="005A684D"/>
    <w:rsid w:val="005A69AF"/>
    <w:rsid w:val="005A69F8"/>
    <w:rsid w:val="005A6F1D"/>
    <w:rsid w:val="005A7835"/>
    <w:rsid w:val="005A78EA"/>
    <w:rsid w:val="005B0647"/>
    <w:rsid w:val="005B0D24"/>
    <w:rsid w:val="005B14E2"/>
    <w:rsid w:val="005B15CE"/>
    <w:rsid w:val="005B177C"/>
    <w:rsid w:val="005B2176"/>
    <w:rsid w:val="005B25F2"/>
    <w:rsid w:val="005B27B5"/>
    <w:rsid w:val="005B30D4"/>
    <w:rsid w:val="005B331B"/>
    <w:rsid w:val="005B356B"/>
    <w:rsid w:val="005B399B"/>
    <w:rsid w:val="005B3BF1"/>
    <w:rsid w:val="005B3D41"/>
    <w:rsid w:val="005B4260"/>
    <w:rsid w:val="005B4293"/>
    <w:rsid w:val="005B445B"/>
    <w:rsid w:val="005B491C"/>
    <w:rsid w:val="005B4F6D"/>
    <w:rsid w:val="005B4FC8"/>
    <w:rsid w:val="005B53C2"/>
    <w:rsid w:val="005B57F2"/>
    <w:rsid w:val="005B5A70"/>
    <w:rsid w:val="005B5D28"/>
    <w:rsid w:val="005B6387"/>
    <w:rsid w:val="005B644D"/>
    <w:rsid w:val="005B6A4C"/>
    <w:rsid w:val="005B6C58"/>
    <w:rsid w:val="005B6D5F"/>
    <w:rsid w:val="005B792D"/>
    <w:rsid w:val="005B7AA7"/>
    <w:rsid w:val="005B7B94"/>
    <w:rsid w:val="005B7DB6"/>
    <w:rsid w:val="005B7E5D"/>
    <w:rsid w:val="005C0E2B"/>
    <w:rsid w:val="005C0EA6"/>
    <w:rsid w:val="005C1296"/>
    <w:rsid w:val="005C12BE"/>
    <w:rsid w:val="005C16A5"/>
    <w:rsid w:val="005C1AF5"/>
    <w:rsid w:val="005C1BBA"/>
    <w:rsid w:val="005C1DA9"/>
    <w:rsid w:val="005C2148"/>
    <w:rsid w:val="005C27CE"/>
    <w:rsid w:val="005C2F27"/>
    <w:rsid w:val="005C375D"/>
    <w:rsid w:val="005C38FF"/>
    <w:rsid w:val="005C397B"/>
    <w:rsid w:val="005C3B84"/>
    <w:rsid w:val="005C3BB4"/>
    <w:rsid w:val="005C3E4A"/>
    <w:rsid w:val="005C3EA4"/>
    <w:rsid w:val="005C4118"/>
    <w:rsid w:val="005C4625"/>
    <w:rsid w:val="005C4A44"/>
    <w:rsid w:val="005C4F95"/>
    <w:rsid w:val="005C5EE5"/>
    <w:rsid w:val="005C6023"/>
    <w:rsid w:val="005C614C"/>
    <w:rsid w:val="005C6453"/>
    <w:rsid w:val="005C6B83"/>
    <w:rsid w:val="005C6CAF"/>
    <w:rsid w:val="005C6E8F"/>
    <w:rsid w:val="005C73B5"/>
    <w:rsid w:val="005C79D3"/>
    <w:rsid w:val="005D0ABC"/>
    <w:rsid w:val="005D0C35"/>
    <w:rsid w:val="005D1621"/>
    <w:rsid w:val="005D1DF4"/>
    <w:rsid w:val="005D2006"/>
    <w:rsid w:val="005D22CC"/>
    <w:rsid w:val="005D23A9"/>
    <w:rsid w:val="005D2776"/>
    <w:rsid w:val="005D2F91"/>
    <w:rsid w:val="005D3430"/>
    <w:rsid w:val="005D3493"/>
    <w:rsid w:val="005D3844"/>
    <w:rsid w:val="005D3949"/>
    <w:rsid w:val="005D3CB5"/>
    <w:rsid w:val="005D3CC0"/>
    <w:rsid w:val="005D3CF4"/>
    <w:rsid w:val="005D495A"/>
    <w:rsid w:val="005D4C66"/>
    <w:rsid w:val="005D4FB6"/>
    <w:rsid w:val="005D5189"/>
    <w:rsid w:val="005D53D8"/>
    <w:rsid w:val="005D549B"/>
    <w:rsid w:val="005D5B7D"/>
    <w:rsid w:val="005D6B4F"/>
    <w:rsid w:val="005D6DC5"/>
    <w:rsid w:val="005D7652"/>
    <w:rsid w:val="005D785C"/>
    <w:rsid w:val="005D7925"/>
    <w:rsid w:val="005D7F4F"/>
    <w:rsid w:val="005E0A1A"/>
    <w:rsid w:val="005E0A38"/>
    <w:rsid w:val="005E0CA0"/>
    <w:rsid w:val="005E1760"/>
    <w:rsid w:val="005E18FE"/>
    <w:rsid w:val="005E1B0B"/>
    <w:rsid w:val="005E1D1E"/>
    <w:rsid w:val="005E1FB2"/>
    <w:rsid w:val="005E1FC8"/>
    <w:rsid w:val="005E20D7"/>
    <w:rsid w:val="005E2399"/>
    <w:rsid w:val="005E28FB"/>
    <w:rsid w:val="005E2C10"/>
    <w:rsid w:val="005E38CA"/>
    <w:rsid w:val="005E3DBB"/>
    <w:rsid w:val="005E4321"/>
    <w:rsid w:val="005E4785"/>
    <w:rsid w:val="005E4889"/>
    <w:rsid w:val="005E5C9E"/>
    <w:rsid w:val="005E6A78"/>
    <w:rsid w:val="005E6C7A"/>
    <w:rsid w:val="005E6E0C"/>
    <w:rsid w:val="005E7222"/>
    <w:rsid w:val="005E7A54"/>
    <w:rsid w:val="005E7B5B"/>
    <w:rsid w:val="005E7E74"/>
    <w:rsid w:val="005F0048"/>
    <w:rsid w:val="005F011B"/>
    <w:rsid w:val="005F0155"/>
    <w:rsid w:val="005F0648"/>
    <w:rsid w:val="005F083B"/>
    <w:rsid w:val="005F0BEF"/>
    <w:rsid w:val="005F197D"/>
    <w:rsid w:val="005F1FB6"/>
    <w:rsid w:val="005F1FDB"/>
    <w:rsid w:val="005F202C"/>
    <w:rsid w:val="005F2A1F"/>
    <w:rsid w:val="005F2B58"/>
    <w:rsid w:val="005F2C06"/>
    <w:rsid w:val="005F341E"/>
    <w:rsid w:val="005F3432"/>
    <w:rsid w:val="005F4E13"/>
    <w:rsid w:val="005F5389"/>
    <w:rsid w:val="005F59AF"/>
    <w:rsid w:val="005F6312"/>
    <w:rsid w:val="005F68C6"/>
    <w:rsid w:val="005F7885"/>
    <w:rsid w:val="005F7A69"/>
    <w:rsid w:val="005F7CA3"/>
    <w:rsid w:val="005F7ECD"/>
    <w:rsid w:val="00600647"/>
    <w:rsid w:val="0060075B"/>
    <w:rsid w:val="00600961"/>
    <w:rsid w:val="00602283"/>
    <w:rsid w:val="00602836"/>
    <w:rsid w:val="00602C7A"/>
    <w:rsid w:val="006034D1"/>
    <w:rsid w:val="00603A48"/>
    <w:rsid w:val="006045B5"/>
    <w:rsid w:val="00604DEC"/>
    <w:rsid w:val="00604EFE"/>
    <w:rsid w:val="0060588E"/>
    <w:rsid w:val="0060616F"/>
    <w:rsid w:val="00606190"/>
    <w:rsid w:val="00606B96"/>
    <w:rsid w:val="00606C49"/>
    <w:rsid w:val="00606DE6"/>
    <w:rsid w:val="00606FA4"/>
    <w:rsid w:val="0060740F"/>
    <w:rsid w:val="00607782"/>
    <w:rsid w:val="00607820"/>
    <w:rsid w:val="006104A7"/>
    <w:rsid w:val="006106B3"/>
    <w:rsid w:val="0061087D"/>
    <w:rsid w:val="006112B1"/>
    <w:rsid w:val="00611DC0"/>
    <w:rsid w:val="0061204F"/>
    <w:rsid w:val="00612F66"/>
    <w:rsid w:val="006135BE"/>
    <w:rsid w:val="00613A0F"/>
    <w:rsid w:val="006143AE"/>
    <w:rsid w:val="00614622"/>
    <w:rsid w:val="006148CB"/>
    <w:rsid w:val="0061492C"/>
    <w:rsid w:val="00614969"/>
    <w:rsid w:val="00614AE9"/>
    <w:rsid w:val="00614D98"/>
    <w:rsid w:val="0061573B"/>
    <w:rsid w:val="00615B49"/>
    <w:rsid w:val="00615FE4"/>
    <w:rsid w:val="006167A4"/>
    <w:rsid w:val="00616887"/>
    <w:rsid w:val="006169BB"/>
    <w:rsid w:val="00616E80"/>
    <w:rsid w:val="00616EFB"/>
    <w:rsid w:val="006201F1"/>
    <w:rsid w:val="00620AEE"/>
    <w:rsid w:val="00620B2F"/>
    <w:rsid w:val="00620D65"/>
    <w:rsid w:val="00621155"/>
    <w:rsid w:val="0062117A"/>
    <w:rsid w:val="006212A9"/>
    <w:rsid w:val="0062187B"/>
    <w:rsid w:val="00621B44"/>
    <w:rsid w:val="00622325"/>
    <w:rsid w:val="006223B5"/>
    <w:rsid w:val="00622523"/>
    <w:rsid w:val="006228DA"/>
    <w:rsid w:val="006234B9"/>
    <w:rsid w:val="006234D5"/>
    <w:rsid w:val="00623691"/>
    <w:rsid w:val="006236E4"/>
    <w:rsid w:val="00623833"/>
    <w:rsid w:val="006240AB"/>
    <w:rsid w:val="006240C0"/>
    <w:rsid w:val="00624789"/>
    <w:rsid w:val="00625516"/>
    <w:rsid w:val="00625729"/>
    <w:rsid w:val="00625E4F"/>
    <w:rsid w:val="00625F2B"/>
    <w:rsid w:val="00626487"/>
    <w:rsid w:val="006264DE"/>
    <w:rsid w:val="00626C7E"/>
    <w:rsid w:val="00626EED"/>
    <w:rsid w:val="006271D4"/>
    <w:rsid w:val="0062762D"/>
    <w:rsid w:val="00627683"/>
    <w:rsid w:val="00627E35"/>
    <w:rsid w:val="00627EB7"/>
    <w:rsid w:val="00630058"/>
    <w:rsid w:val="00630293"/>
    <w:rsid w:val="006302E4"/>
    <w:rsid w:val="00630B9A"/>
    <w:rsid w:val="00630F11"/>
    <w:rsid w:val="00630F54"/>
    <w:rsid w:val="0063149E"/>
    <w:rsid w:val="006318C6"/>
    <w:rsid w:val="00631A55"/>
    <w:rsid w:val="00632101"/>
    <w:rsid w:val="00632107"/>
    <w:rsid w:val="006324E4"/>
    <w:rsid w:val="0063296C"/>
    <w:rsid w:val="00632A96"/>
    <w:rsid w:val="00632C4D"/>
    <w:rsid w:val="00632EA2"/>
    <w:rsid w:val="0063357D"/>
    <w:rsid w:val="006335BD"/>
    <w:rsid w:val="00633DC9"/>
    <w:rsid w:val="00634283"/>
    <w:rsid w:val="006344B3"/>
    <w:rsid w:val="00634930"/>
    <w:rsid w:val="00634EA6"/>
    <w:rsid w:val="0063523F"/>
    <w:rsid w:val="006356BF"/>
    <w:rsid w:val="00635B1F"/>
    <w:rsid w:val="00635F8E"/>
    <w:rsid w:val="006361CF"/>
    <w:rsid w:val="0063659D"/>
    <w:rsid w:val="0063688A"/>
    <w:rsid w:val="00636C67"/>
    <w:rsid w:val="0063733D"/>
    <w:rsid w:val="006378E0"/>
    <w:rsid w:val="00637B5B"/>
    <w:rsid w:val="006402D6"/>
    <w:rsid w:val="006403F7"/>
    <w:rsid w:val="0064062F"/>
    <w:rsid w:val="0064064D"/>
    <w:rsid w:val="006406EF"/>
    <w:rsid w:val="00640AAD"/>
    <w:rsid w:val="00640E9E"/>
    <w:rsid w:val="00641E50"/>
    <w:rsid w:val="00642131"/>
    <w:rsid w:val="006424C4"/>
    <w:rsid w:val="00642F42"/>
    <w:rsid w:val="006435CB"/>
    <w:rsid w:val="0064373B"/>
    <w:rsid w:val="00643A56"/>
    <w:rsid w:val="00644027"/>
    <w:rsid w:val="0064429C"/>
    <w:rsid w:val="00644487"/>
    <w:rsid w:val="0064453B"/>
    <w:rsid w:val="0064503C"/>
    <w:rsid w:val="006451C3"/>
    <w:rsid w:val="00645238"/>
    <w:rsid w:val="006455F3"/>
    <w:rsid w:val="00645611"/>
    <w:rsid w:val="00645D65"/>
    <w:rsid w:val="00645F31"/>
    <w:rsid w:val="00646151"/>
    <w:rsid w:val="0064644E"/>
    <w:rsid w:val="00646A4D"/>
    <w:rsid w:val="00646B87"/>
    <w:rsid w:val="00647495"/>
    <w:rsid w:val="006475AD"/>
    <w:rsid w:val="00647904"/>
    <w:rsid w:val="00647CB4"/>
    <w:rsid w:val="006507A2"/>
    <w:rsid w:val="00650A89"/>
    <w:rsid w:val="0065108D"/>
    <w:rsid w:val="0065115E"/>
    <w:rsid w:val="006512D7"/>
    <w:rsid w:val="00651A68"/>
    <w:rsid w:val="00651F3B"/>
    <w:rsid w:val="0065255C"/>
    <w:rsid w:val="00652594"/>
    <w:rsid w:val="00653B8C"/>
    <w:rsid w:val="006547A3"/>
    <w:rsid w:val="006548C9"/>
    <w:rsid w:val="00654BED"/>
    <w:rsid w:val="00655006"/>
    <w:rsid w:val="0065523B"/>
    <w:rsid w:val="00655280"/>
    <w:rsid w:val="006557EF"/>
    <w:rsid w:val="00655876"/>
    <w:rsid w:val="00655EC5"/>
    <w:rsid w:val="0065628C"/>
    <w:rsid w:val="006570D9"/>
    <w:rsid w:val="00657B82"/>
    <w:rsid w:val="0066002E"/>
    <w:rsid w:val="006605E3"/>
    <w:rsid w:val="00660656"/>
    <w:rsid w:val="006607D0"/>
    <w:rsid w:val="006608B7"/>
    <w:rsid w:val="00660CA7"/>
    <w:rsid w:val="00660CC1"/>
    <w:rsid w:val="006617ED"/>
    <w:rsid w:val="006628C0"/>
    <w:rsid w:val="00662A37"/>
    <w:rsid w:val="00662A40"/>
    <w:rsid w:val="00662A43"/>
    <w:rsid w:val="00662E6F"/>
    <w:rsid w:val="0066307E"/>
    <w:rsid w:val="006648E6"/>
    <w:rsid w:val="0066532E"/>
    <w:rsid w:val="00666142"/>
    <w:rsid w:val="00666154"/>
    <w:rsid w:val="00666188"/>
    <w:rsid w:val="006663CE"/>
    <w:rsid w:val="00666C06"/>
    <w:rsid w:val="00666CA4"/>
    <w:rsid w:val="006671A6"/>
    <w:rsid w:val="00667E11"/>
    <w:rsid w:val="006704EF"/>
    <w:rsid w:val="00670F46"/>
    <w:rsid w:val="00671061"/>
    <w:rsid w:val="0067109F"/>
    <w:rsid w:val="00671612"/>
    <w:rsid w:val="006718D1"/>
    <w:rsid w:val="00671DD0"/>
    <w:rsid w:val="006722F8"/>
    <w:rsid w:val="00672735"/>
    <w:rsid w:val="00672A3A"/>
    <w:rsid w:val="00672BCD"/>
    <w:rsid w:val="00672FA5"/>
    <w:rsid w:val="00673136"/>
    <w:rsid w:val="0067314E"/>
    <w:rsid w:val="006731C7"/>
    <w:rsid w:val="006732B4"/>
    <w:rsid w:val="00673775"/>
    <w:rsid w:val="00673B26"/>
    <w:rsid w:val="00673E4B"/>
    <w:rsid w:val="0067438E"/>
    <w:rsid w:val="0067442F"/>
    <w:rsid w:val="00674C27"/>
    <w:rsid w:val="006751EA"/>
    <w:rsid w:val="0067602A"/>
    <w:rsid w:val="00676444"/>
    <w:rsid w:val="0067658B"/>
    <w:rsid w:val="00676CF8"/>
    <w:rsid w:val="006774A7"/>
    <w:rsid w:val="006775DE"/>
    <w:rsid w:val="006777E3"/>
    <w:rsid w:val="0067788A"/>
    <w:rsid w:val="00677BF3"/>
    <w:rsid w:val="00680445"/>
    <w:rsid w:val="00680969"/>
    <w:rsid w:val="00680B47"/>
    <w:rsid w:val="00680F57"/>
    <w:rsid w:val="006817F2"/>
    <w:rsid w:val="00681EB4"/>
    <w:rsid w:val="006823B3"/>
    <w:rsid w:val="006825DE"/>
    <w:rsid w:val="00682883"/>
    <w:rsid w:val="00682B12"/>
    <w:rsid w:val="00682D39"/>
    <w:rsid w:val="006833CF"/>
    <w:rsid w:val="006835D0"/>
    <w:rsid w:val="006837AD"/>
    <w:rsid w:val="0068391C"/>
    <w:rsid w:val="0068443A"/>
    <w:rsid w:val="00684637"/>
    <w:rsid w:val="00684A15"/>
    <w:rsid w:val="00684BC6"/>
    <w:rsid w:val="00684F8A"/>
    <w:rsid w:val="0068539C"/>
    <w:rsid w:val="006854C1"/>
    <w:rsid w:val="006855BC"/>
    <w:rsid w:val="006856D9"/>
    <w:rsid w:val="00685772"/>
    <w:rsid w:val="00685A64"/>
    <w:rsid w:val="00685A71"/>
    <w:rsid w:val="00685CFA"/>
    <w:rsid w:val="00685F37"/>
    <w:rsid w:val="00685FA5"/>
    <w:rsid w:val="0068628D"/>
    <w:rsid w:val="00686376"/>
    <w:rsid w:val="00686D0F"/>
    <w:rsid w:val="00686DAE"/>
    <w:rsid w:val="006870E3"/>
    <w:rsid w:val="00687AC0"/>
    <w:rsid w:val="00687DD3"/>
    <w:rsid w:val="0069023E"/>
    <w:rsid w:val="006902DF"/>
    <w:rsid w:val="00690BD1"/>
    <w:rsid w:val="00690C29"/>
    <w:rsid w:val="00691A71"/>
    <w:rsid w:val="00691E39"/>
    <w:rsid w:val="0069209D"/>
    <w:rsid w:val="00693216"/>
    <w:rsid w:val="00693289"/>
    <w:rsid w:val="006933DD"/>
    <w:rsid w:val="00693430"/>
    <w:rsid w:val="0069384A"/>
    <w:rsid w:val="006939C9"/>
    <w:rsid w:val="00693D33"/>
    <w:rsid w:val="00693E70"/>
    <w:rsid w:val="00694161"/>
    <w:rsid w:val="0069450F"/>
    <w:rsid w:val="0069490E"/>
    <w:rsid w:val="0069497D"/>
    <w:rsid w:val="006950CA"/>
    <w:rsid w:val="0069513A"/>
    <w:rsid w:val="006951B4"/>
    <w:rsid w:val="006952CA"/>
    <w:rsid w:val="0069532A"/>
    <w:rsid w:val="00695627"/>
    <w:rsid w:val="00695840"/>
    <w:rsid w:val="00695B6A"/>
    <w:rsid w:val="00695D84"/>
    <w:rsid w:val="00696F5B"/>
    <w:rsid w:val="006972B3"/>
    <w:rsid w:val="00697F04"/>
    <w:rsid w:val="006A000F"/>
    <w:rsid w:val="006A0015"/>
    <w:rsid w:val="006A01BF"/>
    <w:rsid w:val="006A0653"/>
    <w:rsid w:val="006A0AF8"/>
    <w:rsid w:val="006A1892"/>
    <w:rsid w:val="006A1EA1"/>
    <w:rsid w:val="006A20D1"/>
    <w:rsid w:val="006A21D1"/>
    <w:rsid w:val="006A2342"/>
    <w:rsid w:val="006A2B3F"/>
    <w:rsid w:val="006A30D9"/>
    <w:rsid w:val="006A3EB6"/>
    <w:rsid w:val="006A3EC3"/>
    <w:rsid w:val="006A4A22"/>
    <w:rsid w:val="006A4D3C"/>
    <w:rsid w:val="006A504D"/>
    <w:rsid w:val="006A51EE"/>
    <w:rsid w:val="006A5618"/>
    <w:rsid w:val="006A5645"/>
    <w:rsid w:val="006A636C"/>
    <w:rsid w:val="006A6428"/>
    <w:rsid w:val="006A65CA"/>
    <w:rsid w:val="006A693D"/>
    <w:rsid w:val="006A73A9"/>
    <w:rsid w:val="006A75F6"/>
    <w:rsid w:val="006B02D2"/>
    <w:rsid w:val="006B0335"/>
    <w:rsid w:val="006B05E1"/>
    <w:rsid w:val="006B0F5C"/>
    <w:rsid w:val="006B107E"/>
    <w:rsid w:val="006B14DF"/>
    <w:rsid w:val="006B174B"/>
    <w:rsid w:val="006B1DF0"/>
    <w:rsid w:val="006B2505"/>
    <w:rsid w:val="006B2B39"/>
    <w:rsid w:val="006B2BBC"/>
    <w:rsid w:val="006B2C79"/>
    <w:rsid w:val="006B2DDC"/>
    <w:rsid w:val="006B2DF7"/>
    <w:rsid w:val="006B45A1"/>
    <w:rsid w:val="006B4644"/>
    <w:rsid w:val="006B4B96"/>
    <w:rsid w:val="006B4BCD"/>
    <w:rsid w:val="006B4CFD"/>
    <w:rsid w:val="006B5DE4"/>
    <w:rsid w:val="006B5F0D"/>
    <w:rsid w:val="006B63C1"/>
    <w:rsid w:val="006B6DF4"/>
    <w:rsid w:val="006B6F6E"/>
    <w:rsid w:val="006B7245"/>
    <w:rsid w:val="006C0518"/>
    <w:rsid w:val="006C0BFB"/>
    <w:rsid w:val="006C0C91"/>
    <w:rsid w:val="006C1072"/>
    <w:rsid w:val="006C134F"/>
    <w:rsid w:val="006C17F1"/>
    <w:rsid w:val="006C1F07"/>
    <w:rsid w:val="006C3056"/>
    <w:rsid w:val="006C3134"/>
    <w:rsid w:val="006C45B2"/>
    <w:rsid w:val="006C471B"/>
    <w:rsid w:val="006C4A65"/>
    <w:rsid w:val="006C4D2D"/>
    <w:rsid w:val="006C4E78"/>
    <w:rsid w:val="006C4E96"/>
    <w:rsid w:val="006C5476"/>
    <w:rsid w:val="006C558D"/>
    <w:rsid w:val="006C5775"/>
    <w:rsid w:val="006C5BA6"/>
    <w:rsid w:val="006C624D"/>
    <w:rsid w:val="006C65E8"/>
    <w:rsid w:val="006C6C36"/>
    <w:rsid w:val="006C6F39"/>
    <w:rsid w:val="006C7670"/>
    <w:rsid w:val="006C7A14"/>
    <w:rsid w:val="006C7C48"/>
    <w:rsid w:val="006C7F99"/>
    <w:rsid w:val="006D0968"/>
    <w:rsid w:val="006D0E51"/>
    <w:rsid w:val="006D0F53"/>
    <w:rsid w:val="006D13C3"/>
    <w:rsid w:val="006D16EA"/>
    <w:rsid w:val="006D1835"/>
    <w:rsid w:val="006D19C4"/>
    <w:rsid w:val="006D1C10"/>
    <w:rsid w:val="006D20D7"/>
    <w:rsid w:val="006D25DE"/>
    <w:rsid w:val="006D3972"/>
    <w:rsid w:val="006D3995"/>
    <w:rsid w:val="006D3AF5"/>
    <w:rsid w:val="006D3E8B"/>
    <w:rsid w:val="006D3FB5"/>
    <w:rsid w:val="006D43B0"/>
    <w:rsid w:val="006D4655"/>
    <w:rsid w:val="006D4772"/>
    <w:rsid w:val="006D4907"/>
    <w:rsid w:val="006D4F00"/>
    <w:rsid w:val="006D5124"/>
    <w:rsid w:val="006D5D76"/>
    <w:rsid w:val="006D5F6B"/>
    <w:rsid w:val="006D67EB"/>
    <w:rsid w:val="006D6F57"/>
    <w:rsid w:val="006D75BE"/>
    <w:rsid w:val="006D7ACB"/>
    <w:rsid w:val="006D7B2F"/>
    <w:rsid w:val="006D7FDE"/>
    <w:rsid w:val="006E013C"/>
    <w:rsid w:val="006E04C6"/>
    <w:rsid w:val="006E0618"/>
    <w:rsid w:val="006E06A8"/>
    <w:rsid w:val="006E0ED9"/>
    <w:rsid w:val="006E4AFF"/>
    <w:rsid w:val="006E4D67"/>
    <w:rsid w:val="006E59B1"/>
    <w:rsid w:val="006E60A5"/>
    <w:rsid w:val="006E6862"/>
    <w:rsid w:val="006E6A38"/>
    <w:rsid w:val="006E6C52"/>
    <w:rsid w:val="006E6EA2"/>
    <w:rsid w:val="006E72DD"/>
    <w:rsid w:val="006E797F"/>
    <w:rsid w:val="006E7A90"/>
    <w:rsid w:val="006E7D82"/>
    <w:rsid w:val="006F054F"/>
    <w:rsid w:val="006F0ACD"/>
    <w:rsid w:val="006F0CAC"/>
    <w:rsid w:val="006F1047"/>
    <w:rsid w:val="006F1155"/>
    <w:rsid w:val="006F12AE"/>
    <w:rsid w:val="006F164C"/>
    <w:rsid w:val="006F175A"/>
    <w:rsid w:val="006F2490"/>
    <w:rsid w:val="006F2862"/>
    <w:rsid w:val="006F287C"/>
    <w:rsid w:val="006F3093"/>
    <w:rsid w:val="006F3740"/>
    <w:rsid w:val="006F3BC6"/>
    <w:rsid w:val="006F3CBC"/>
    <w:rsid w:val="006F3DEF"/>
    <w:rsid w:val="006F3F24"/>
    <w:rsid w:val="006F4331"/>
    <w:rsid w:val="006F43BA"/>
    <w:rsid w:val="006F4789"/>
    <w:rsid w:val="006F49F9"/>
    <w:rsid w:val="006F4B8D"/>
    <w:rsid w:val="006F5895"/>
    <w:rsid w:val="006F5A1D"/>
    <w:rsid w:val="006F5C7E"/>
    <w:rsid w:val="006F5DF0"/>
    <w:rsid w:val="006F5EED"/>
    <w:rsid w:val="006F6041"/>
    <w:rsid w:val="006F6F2E"/>
    <w:rsid w:val="006F78E8"/>
    <w:rsid w:val="007001C2"/>
    <w:rsid w:val="00700355"/>
    <w:rsid w:val="007004B7"/>
    <w:rsid w:val="0070069F"/>
    <w:rsid w:val="007007FB"/>
    <w:rsid w:val="00700C94"/>
    <w:rsid w:val="00700E5E"/>
    <w:rsid w:val="00702536"/>
    <w:rsid w:val="007039B3"/>
    <w:rsid w:val="00703FBB"/>
    <w:rsid w:val="00704626"/>
    <w:rsid w:val="00705BCF"/>
    <w:rsid w:val="007063E8"/>
    <w:rsid w:val="0070646A"/>
    <w:rsid w:val="0070680A"/>
    <w:rsid w:val="0070688D"/>
    <w:rsid w:val="00706E65"/>
    <w:rsid w:val="007073D7"/>
    <w:rsid w:val="007073DE"/>
    <w:rsid w:val="00707620"/>
    <w:rsid w:val="00707686"/>
    <w:rsid w:val="00707A33"/>
    <w:rsid w:val="00707B5F"/>
    <w:rsid w:val="00707B8B"/>
    <w:rsid w:val="00707CC5"/>
    <w:rsid w:val="00707D2B"/>
    <w:rsid w:val="0071001F"/>
    <w:rsid w:val="0071017F"/>
    <w:rsid w:val="0071033C"/>
    <w:rsid w:val="007104A4"/>
    <w:rsid w:val="00710E20"/>
    <w:rsid w:val="00710E8D"/>
    <w:rsid w:val="00711264"/>
    <w:rsid w:val="00711CAF"/>
    <w:rsid w:val="00711E87"/>
    <w:rsid w:val="0071222D"/>
    <w:rsid w:val="0071244C"/>
    <w:rsid w:val="00712732"/>
    <w:rsid w:val="00712C27"/>
    <w:rsid w:val="00713823"/>
    <w:rsid w:val="0071531B"/>
    <w:rsid w:val="007157BC"/>
    <w:rsid w:val="0071665C"/>
    <w:rsid w:val="007166BD"/>
    <w:rsid w:val="0071683A"/>
    <w:rsid w:val="00716D09"/>
    <w:rsid w:val="00717709"/>
    <w:rsid w:val="00717D20"/>
    <w:rsid w:val="00717EF8"/>
    <w:rsid w:val="007203D0"/>
    <w:rsid w:val="00720DDF"/>
    <w:rsid w:val="007212CC"/>
    <w:rsid w:val="007212CF"/>
    <w:rsid w:val="00721EFB"/>
    <w:rsid w:val="00722601"/>
    <w:rsid w:val="0072261C"/>
    <w:rsid w:val="00722CA7"/>
    <w:rsid w:val="007236E5"/>
    <w:rsid w:val="007238C6"/>
    <w:rsid w:val="00723FD8"/>
    <w:rsid w:val="00723FE4"/>
    <w:rsid w:val="0072445E"/>
    <w:rsid w:val="007249ED"/>
    <w:rsid w:val="00724AA0"/>
    <w:rsid w:val="00724CBE"/>
    <w:rsid w:val="00724F63"/>
    <w:rsid w:val="007252F2"/>
    <w:rsid w:val="007259F9"/>
    <w:rsid w:val="00726137"/>
    <w:rsid w:val="00726456"/>
    <w:rsid w:val="007268E9"/>
    <w:rsid w:val="00726981"/>
    <w:rsid w:val="00727315"/>
    <w:rsid w:val="00727700"/>
    <w:rsid w:val="00727E4B"/>
    <w:rsid w:val="0073016E"/>
    <w:rsid w:val="0073042A"/>
    <w:rsid w:val="00730850"/>
    <w:rsid w:val="0073117C"/>
    <w:rsid w:val="007314B9"/>
    <w:rsid w:val="00731C14"/>
    <w:rsid w:val="0073224C"/>
    <w:rsid w:val="00732677"/>
    <w:rsid w:val="00732886"/>
    <w:rsid w:val="00732B64"/>
    <w:rsid w:val="00733470"/>
    <w:rsid w:val="00733508"/>
    <w:rsid w:val="0073371B"/>
    <w:rsid w:val="00733974"/>
    <w:rsid w:val="007339D8"/>
    <w:rsid w:val="00733B0F"/>
    <w:rsid w:val="00733D7A"/>
    <w:rsid w:val="00734059"/>
    <w:rsid w:val="007343AD"/>
    <w:rsid w:val="00734422"/>
    <w:rsid w:val="00734700"/>
    <w:rsid w:val="00734758"/>
    <w:rsid w:val="007349A3"/>
    <w:rsid w:val="00735144"/>
    <w:rsid w:val="00735252"/>
    <w:rsid w:val="00735734"/>
    <w:rsid w:val="00735A16"/>
    <w:rsid w:val="00735A4F"/>
    <w:rsid w:val="0073656A"/>
    <w:rsid w:val="007366DB"/>
    <w:rsid w:val="007369B9"/>
    <w:rsid w:val="00736E72"/>
    <w:rsid w:val="007370E1"/>
    <w:rsid w:val="0073737C"/>
    <w:rsid w:val="007374E7"/>
    <w:rsid w:val="0073776D"/>
    <w:rsid w:val="0073784E"/>
    <w:rsid w:val="00737946"/>
    <w:rsid w:val="00737A94"/>
    <w:rsid w:val="00737B6B"/>
    <w:rsid w:val="00737B6D"/>
    <w:rsid w:val="00737CB2"/>
    <w:rsid w:val="00737D06"/>
    <w:rsid w:val="00737F0D"/>
    <w:rsid w:val="007408CD"/>
    <w:rsid w:val="0074097D"/>
    <w:rsid w:val="00741699"/>
    <w:rsid w:val="00741D66"/>
    <w:rsid w:val="00742226"/>
    <w:rsid w:val="00742544"/>
    <w:rsid w:val="00742E5F"/>
    <w:rsid w:val="00742F62"/>
    <w:rsid w:val="0074309A"/>
    <w:rsid w:val="007433F4"/>
    <w:rsid w:val="0074344E"/>
    <w:rsid w:val="00743BFA"/>
    <w:rsid w:val="00743DC8"/>
    <w:rsid w:val="007440C8"/>
    <w:rsid w:val="00744423"/>
    <w:rsid w:val="007444D7"/>
    <w:rsid w:val="007444ED"/>
    <w:rsid w:val="007447DC"/>
    <w:rsid w:val="00744D9D"/>
    <w:rsid w:val="00744E50"/>
    <w:rsid w:val="007452D4"/>
    <w:rsid w:val="007453CA"/>
    <w:rsid w:val="00745E3E"/>
    <w:rsid w:val="00745FC4"/>
    <w:rsid w:val="00746348"/>
    <w:rsid w:val="00746931"/>
    <w:rsid w:val="00746C35"/>
    <w:rsid w:val="00746CE1"/>
    <w:rsid w:val="00746FF1"/>
    <w:rsid w:val="007471A8"/>
    <w:rsid w:val="007476BC"/>
    <w:rsid w:val="007477BD"/>
    <w:rsid w:val="00747887"/>
    <w:rsid w:val="00747B00"/>
    <w:rsid w:val="00747C1E"/>
    <w:rsid w:val="007501E1"/>
    <w:rsid w:val="00750504"/>
    <w:rsid w:val="00750E1A"/>
    <w:rsid w:val="00751028"/>
    <w:rsid w:val="00751045"/>
    <w:rsid w:val="007511B7"/>
    <w:rsid w:val="00751AE8"/>
    <w:rsid w:val="00751B7A"/>
    <w:rsid w:val="0075213F"/>
    <w:rsid w:val="00752BC0"/>
    <w:rsid w:val="00753538"/>
    <w:rsid w:val="007538D5"/>
    <w:rsid w:val="00753BBF"/>
    <w:rsid w:val="00753D98"/>
    <w:rsid w:val="0075415C"/>
    <w:rsid w:val="00754280"/>
    <w:rsid w:val="00754EDC"/>
    <w:rsid w:val="00754EED"/>
    <w:rsid w:val="0075507A"/>
    <w:rsid w:val="007564CC"/>
    <w:rsid w:val="00756843"/>
    <w:rsid w:val="00756B3F"/>
    <w:rsid w:val="00757143"/>
    <w:rsid w:val="00757502"/>
    <w:rsid w:val="0075773B"/>
    <w:rsid w:val="00757FE6"/>
    <w:rsid w:val="00760266"/>
    <w:rsid w:val="007603E5"/>
    <w:rsid w:val="007603F6"/>
    <w:rsid w:val="0076063F"/>
    <w:rsid w:val="007613FB"/>
    <w:rsid w:val="007614FC"/>
    <w:rsid w:val="0076173F"/>
    <w:rsid w:val="00761A1E"/>
    <w:rsid w:val="00761F77"/>
    <w:rsid w:val="00761FA3"/>
    <w:rsid w:val="007620FD"/>
    <w:rsid w:val="0076238A"/>
    <w:rsid w:val="0076278E"/>
    <w:rsid w:val="00762A97"/>
    <w:rsid w:val="00762D39"/>
    <w:rsid w:val="00762F36"/>
    <w:rsid w:val="00763030"/>
    <w:rsid w:val="00763280"/>
    <w:rsid w:val="00763871"/>
    <w:rsid w:val="00763A6A"/>
    <w:rsid w:val="00763C2D"/>
    <w:rsid w:val="00764278"/>
    <w:rsid w:val="007645A5"/>
    <w:rsid w:val="00764F4A"/>
    <w:rsid w:val="00765856"/>
    <w:rsid w:val="00765969"/>
    <w:rsid w:val="00765D8F"/>
    <w:rsid w:val="007661D6"/>
    <w:rsid w:val="00766A84"/>
    <w:rsid w:val="00767728"/>
    <w:rsid w:val="00767E3B"/>
    <w:rsid w:val="00770A40"/>
    <w:rsid w:val="00771327"/>
    <w:rsid w:val="00771C59"/>
    <w:rsid w:val="00771EEA"/>
    <w:rsid w:val="0077204E"/>
    <w:rsid w:val="007722A0"/>
    <w:rsid w:val="00772814"/>
    <w:rsid w:val="0077295E"/>
    <w:rsid w:val="00772A44"/>
    <w:rsid w:val="00772CD6"/>
    <w:rsid w:val="0077396D"/>
    <w:rsid w:val="00773985"/>
    <w:rsid w:val="00773D03"/>
    <w:rsid w:val="00773D06"/>
    <w:rsid w:val="00773E0F"/>
    <w:rsid w:val="007742E4"/>
    <w:rsid w:val="00774A75"/>
    <w:rsid w:val="00774ADA"/>
    <w:rsid w:val="00774C8E"/>
    <w:rsid w:val="00775096"/>
    <w:rsid w:val="0077530C"/>
    <w:rsid w:val="00775542"/>
    <w:rsid w:val="00775A82"/>
    <w:rsid w:val="00775EF4"/>
    <w:rsid w:val="007762C8"/>
    <w:rsid w:val="0077671B"/>
    <w:rsid w:val="00776A6D"/>
    <w:rsid w:val="007772FD"/>
    <w:rsid w:val="00777570"/>
    <w:rsid w:val="00777986"/>
    <w:rsid w:val="00777AFD"/>
    <w:rsid w:val="00777B0B"/>
    <w:rsid w:val="00777BEE"/>
    <w:rsid w:val="00780267"/>
    <w:rsid w:val="00780719"/>
    <w:rsid w:val="00780754"/>
    <w:rsid w:val="00781123"/>
    <w:rsid w:val="00781570"/>
    <w:rsid w:val="0078291A"/>
    <w:rsid w:val="00783613"/>
    <w:rsid w:val="00783761"/>
    <w:rsid w:val="0078397F"/>
    <w:rsid w:val="00783B3E"/>
    <w:rsid w:val="007841EC"/>
    <w:rsid w:val="00784888"/>
    <w:rsid w:val="00784F57"/>
    <w:rsid w:val="0078506A"/>
    <w:rsid w:val="00786491"/>
    <w:rsid w:val="0078685A"/>
    <w:rsid w:val="00786A0E"/>
    <w:rsid w:val="00786AC3"/>
    <w:rsid w:val="00786EEF"/>
    <w:rsid w:val="0078728D"/>
    <w:rsid w:val="0078743D"/>
    <w:rsid w:val="007874C3"/>
    <w:rsid w:val="00787CA0"/>
    <w:rsid w:val="00787DB8"/>
    <w:rsid w:val="00787DF0"/>
    <w:rsid w:val="00787DF2"/>
    <w:rsid w:val="00790B73"/>
    <w:rsid w:val="00790B9F"/>
    <w:rsid w:val="00790D0C"/>
    <w:rsid w:val="00790F08"/>
    <w:rsid w:val="00791408"/>
    <w:rsid w:val="007915F2"/>
    <w:rsid w:val="00791948"/>
    <w:rsid w:val="00791DA0"/>
    <w:rsid w:val="0079211F"/>
    <w:rsid w:val="007925EF"/>
    <w:rsid w:val="0079306D"/>
    <w:rsid w:val="0079352B"/>
    <w:rsid w:val="00793635"/>
    <w:rsid w:val="00793C9D"/>
    <w:rsid w:val="00793CB3"/>
    <w:rsid w:val="00793D35"/>
    <w:rsid w:val="00793D51"/>
    <w:rsid w:val="00794557"/>
    <w:rsid w:val="00794583"/>
    <w:rsid w:val="00794D21"/>
    <w:rsid w:val="007952F2"/>
    <w:rsid w:val="0079562E"/>
    <w:rsid w:val="00795B3D"/>
    <w:rsid w:val="00795E77"/>
    <w:rsid w:val="00795F8E"/>
    <w:rsid w:val="007964D4"/>
    <w:rsid w:val="00796634"/>
    <w:rsid w:val="007967D6"/>
    <w:rsid w:val="0079687E"/>
    <w:rsid w:val="00796E7A"/>
    <w:rsid w:val="00796EC1"/>
    <w:rsid w:val="00797C0E"/>
    <w:rsid w:val="00797C81"/>
    <w:rsid w:val="00797CE1"/>
    <w:rsid w:val="00797FA5"/>
    <w:rsid w:val="007A0597"/>
    <w:rsid w:val="007A07AD"/>
    <w:rsid w:val="007A0D34"/>
    <w:rsid w:val="007A0DE7"/>
    <w:rsid w:val="007A3036"/>
    <w:rsid w:val="007A3298"/>
    <w:rsid w:val="007A5084"/>
    <w:rsid w:val="007A50AA"/>
    <w:rsid w:val="007A5361"/>
    <w:rsid w:val="007A545C"/>
    <w:rsid w:val="007A5A07"/>
    <w:rsid w:val="007A5A6B"/>
    <w:rsid w:val="007A62BF"/>
    <w:rsid w:val="007A6591"/>
    <w:rsid w:val="007A6640"/>
    <w:rsid w:val="007A6DD0"/>
    <w:rsid w:val="007A6DF3"/>
    <w:rsid w:val="007A7243"/>
    <w:rsid w:val="007A77CC"/>
    <w:rsid w:val="007A7ACB"/>
    <w:rsid w:val="007B04F2"/>
    <w:rsid w:val="007B05B1"/>
    <w:rsid w:val="007B05BB"/>
    <w:rsid w:val="007B0803"/>
    <w:rsid w:val="007B0A03"/>
    <w:rsid w:val="007B0A7B"/>
    <w:rsid w:val="007B0EDA"/>
    <w:rsid w:val="007B1465"/>
    <w:rsid w:val="007B15C3"/>
    <w:rsid w:val="007B172A"/>
    <w:rsid w:val="007B19F1"/>
    <w:rsid w:val="007B1FE6"/>
    <w:rsid w:val="007B250E"/>
    <w:rsid w:val="007B25A0"/>
    <w:rsid w:val="007B28E6"/>
    <w:rsid w:val="007B2D8B"/>
    <w:rsid w:val="007B362F"/>
    <w:rsid w:val="007B378F"/>
    <w:rsid w:val="007B3F4D"/>
    <w:rsid w:val="007B4086"/>
    <w:rsid w:val="007B40D3"/>
    <w:rsid w:val="007B4343"/>
    <w:rsid w:val="007B4463"/>
    <w:rsid w:val="007B6258"/>
    <w:rsid w:val="007B656A"/>
    <w:rsid w:val="007B672B"/>
    <w:rsid w:val="007B764A"/>
    <w:rsid w:val="007B7F41"/>
    <w:rsid w:val="007C0032"/>
    <w:rsid w:val="007C04E0"/>
    <w:rsid w:val="007C07FF"/>
    <w:rsid w:val="007C0C98"/>
    <w:rsid w:val="007C0EAF"/>
    <w:rsid w:val="007C11FD"/>
    <w:rsid w:val="007C174E"/>
    <w:rsid w:val="007C193A"/>
    <w:rsid w:val="007C19E7"/>
    <w:rsid w:val="007C1B35"/>
    <w:rsid w:val="007C1B7A"/>
    <w:rsid w:val="007C1DF4"/>
    <w:rsid w:val="007C22E1"/>
    <w:rsid w:val="007C244B"/>
    <w:rsid w:val="007C257D"/>
    <w:rsid w:val="007C32D0"/>
    <w:rsid w:val="007C331B"/>
    <w:rsid w:val="007C3795"/>
    <w:rsid w:val="007C397F"/>
    <w:rsid w:val="007C42A8"/>
    <w:rsid w:val="007C4597"/>
    <w:rsid w:val="007C4618"/>
    <w:rsid w:val="007C4842"/>
    <w:rsid w:val="007C4C45"/>
    <w:rsid w:val="007C4E5B"/>
    <w:rsid w:val="007C554F"/>
    <w:rsid w:val="007C56A2"/>
    <w:rsid w:val="007C57BC"/>
    <w:rsid w:val="007C696A"/>
    <w:rsid w:val="007C6D2C"/>
    <w:rsid w:val="007C7098"/>
    <w:rsid w:val="007C79B1"/>
    <w:rsid w:val="007C7B06"/>
    <w:rsid w:val="007C7CBD"/>
    <w:rsid w:val="007D0281"/>
    <w:rsid w:val="007D04DD"/>
    <w:rsid w:val="007D0686"/>
    <w:rsid w:val="007D0E74"/>
    <w:rsid w:val="007D12B8"/>
    <w:rsid w:val="007D1581"/>
    <w:rsid w:val="007D21FC"/>
    <w:rsid w:val="007D2307"/>
    <w:rsid w:val="007D27B2"/>
    <w:rsid w:val="007D34EF"/>
    <w:rsid w:val="007D3A06"/>
    <w:rsid w:val="007D3A15"/>
    <w:rsid w:val="007D3D8B"/>
    <w:rsid w:val="007D3F67"/>
    <w:rsid w:val="007D41EA"/>
    <w:rsid w:val="007D41F2"/>
    <w:rsid w:val="007D4D28"/>
    <w:rsid w:val="007D50B2"/>
    <w:rsid w:val="007D5227"/>
    <w:rsid w:val="007D554B"/>
    <w:rsid w:val="007D581D"/>
    <w:rsid w:val="007D5873"/>
    <w:rsid w:val="007D59E9"/>
    <w:rsid w:val="007D5C92"/>
    <w:rsid w:val="007D67A9"/>
    <w:rsid w:val="007D696B"/>
    <w:rsid w:val="007D731A"/>
    <w:rsid w:val="007D7DC8"/>
    <w:rsid w:val="007D7F26"/>
    <w:rsid w:val="007E0698"/>
    <w:rsid w:val="007E06CC"/>
    <w:rsid w:val="007E09D6"/>
    <w:rsid w:val="007E0AB8"/>
    <w:rsid w:val="007E0B74"/>
    <w:rsid w:val="007E0F39"/>
    <w:rsid w:val="007E0F8E"/>
    <w:rsid w:val="007E1445"/>
    <w:rsid w:val="007E30D1"/>
    <w:rsid w:val="007E3178"/>
    <w:rsid w:val="007E40BB"/>
    <w:rsid w:val="007E421D"/>
    <w:rsid w:val="007E5367"/>
    <w:rsid w:val="007E55F6"/>
    <w:rsid w:val="007E6A56"/>
    <w:rsid w:val="007E6D43"/>
    <w:rsid w:val="007E7179"/>
    <w:rsid w:val="007E7197"/>
    <w:rsid w:val="007E756C"/>
    <w:rsid w:val="007E75AA"/>
    <w:rsid w:val="007E7ACE"/>
    <w:rsid w:val="007F0813"/>
    <w:rsid w:val="007F0B11"/>
    <w:rsid w:val="007F14C7"/>
    <w:rsid w:val="007F1E1C"/>
    <w:rsid w:val="007F25D4"/>
    <w:rsid w:val="007F291F"/>
    <w:rsid w:val="007F2DDF"/>
    <w:rsid w:val="007F2FDC"/>
    <w:rsid w:val="007F31E0"/>
    <w:rsid w:val="007F3BBF"/>
    <w:rsid w:val="007F46B7"/>
    <w:rsid w:val="007F4B71"/>
    <w:rsid w:val="007F527C"/>
    <w:rsid w:val="007F5E62"/>
    <w:rsid w:val="007F5EE3"/>
    <w:rsid w:val="007F6BED"/>
    <w:rsid w:val="007F6CEC"/>
    <w:rsid w:val="007F7354"/>
    <w:rsid w:val="007F77D4"/>
    <w:rsid w:val="007F7C5F"/>
    <w:rsid w:val="007F7C61"/>
    <w:rsid w:val="008003C7"/>
    <w:rsid w:val="00800892"/>
    <w:rsid w:val="00801A5B"/>
    <w:rsid w:val="00801B3F"/>
    <w:rsid w:val="00801F97"/>
    <w:rsid w:val="0080283B"/>
    <w:rsid w:val="00802A10"/>
    <w:rsid w:val="00802FDA"/>
    <w:rsid w:val="00804C7B"/>
    <w:rsid w:val="00805189"/>
    <w:rsid w:val="008051F9"/>
    <w:rsid w:val="00805425"/>
    <w:rsid w:val="0080551F"/>
    <w:rsid w:val="00806955"/>
    <w:rsid w:val="00806D44"/>
    <w:rsid w:val="00806DA2"/>
    <w:rsid w:val="00807468"/>
    <w:rsid w:val="00810018"/>
    <w:rsid w:val="008101E5"/>
    <w:rsid w:val="008102CF"/>
    <w:rsid w:val="00810443"/>
    <w:rsid w:val="00810BDB"/>
    <w:rsid w:val="00810DB6"/>
    <w:rsid w:val="00811002"/>
    <w:rsid w:val="00811511"/>
    <w:rsid w:val="008117D6"/>
    <w:rsid w:val="00811824"/>
    <w:rsid w:val="00811B93"/>
    <w:rsid w:val="0081210D"/>
    <w:rsid w:val="0081307B"/>
    <w:rsid w:val="008132D0"/>
    <w:rsid w:val="00813449"/>
    <w:rsid w:val="0081414E"/>
    <w:rsid w:val="008141DD"/>
    <w:rsid w:val="00814E97"/>
    <w:rsid w:val="0081506D"/>
    <w:rsid w:val="00815103"/>
    <w:rsid w:val="0081544A"/>
    <w:rsid w:val="0081682C"/>
    <w:rsid w:val="0081696D"/>
    <w:rsid w:val="00816996"/>
    <w:rsid w:val="008169B5"/>
    <w:rsid w:val="00816B4B"/>
    <w:rsid w:val="008175D4"/>
    <w:rsid w:val="0081768D"/>
    <w:rsid w:val="00820238"/>
    <w:rsid w:val="00820686"/>
    <w:rsid w:val="00820C7E"/>
    <w:rsid w:val="00820EC0"/>
    <w:rsid w:val="0082100F"/>
    <w:rsid w:val="0082146B"/>
    <w:rsid w:val="00821954"/>
    <w:rsid w:val="00821B8A"/>
    <w:rsid w:val="00821F4D"/>
    <w:rsid w:val="0082223A"/>
    <w:rsid w:val="00822D97"/>
    <w:rsid w:val="0082332B"/>
    <w:rsid w:val="0082377D"/>
    <w:rsid w:val="0082387A"/>
    <w:rsid w:val="00823C2A"/>
    <w:rsid w:val="00824A17"/>
    <w:rsid w:val="00824D41"/>
    <w:rsid w:val="00825E2C"/>
    <w:rsid w:val="00825ECC"/>
    <w:rsid w:val="00825F80"/>
    <w:rsid w:val="00825FA3"/>
    <w:rsid w:val="00826398"/>
    <w:rsid w:val="008265E5"/>
    <w:rsid w:val="00826851"/>
    <w:rsid w:val="008275E7"/>
    <w:rsid w:val="008276FA"/>
    <w:rsid w:val="00830129"/>
    <w:rsid w:val="008304FB"/>
    <w:rsid w:val="008308E6"/>
    <w:rsid w:val="0083157C"/>
    <w:rsid w:val="0083187A"/>
    <w:rsid w:val="0083216C"/>
    <w:rsid w:val="00832319"/>
    <w:rsid w:val="00832586"/>
    <w:rsid w:val="00832598"/>
    <w:rsid w:val="0083262C"/>
    <w:rsid w:val="0083291E"/>
    <w:rsid w:val="00833013"/>
    <w:rsid w:val="008332B1"/>
    <w:rsid w:val="008335C8"/>
    <w:rsid w:val="0083371B"/>
    <w:rsid w:val="008345B7"/>
    <w:rsid w:val="008346B5"/>
    <w:rsid w:val="008354FF"/>
    <w:rsid w:val="00835669"/>
    <w:rsid w:val="00835792"/>
    <w:rsid w:val="00835BAE"/>
    <w:rsid w:val="0083605C"/>
    <w:rsid w:val="00836178"/>
    <w:rsid w:val="008372E8"/>
    <w:rsid w:val="00837879"/>
    <w:rsid w:val="00837E44"/>
    <w:rsid w:val="008409C6"/>
    <w:rsid w:val="00840B6F"/>
    <w:rsid w:val="00840B82"/>
    <w:rsid w:val="008413CE"/>
    <w:rsid w:val="0084171A"/>
    <w:rsid w:val="008417BC"/>
    <w:rsid w:val="0084199C"/>
    <w:rsid w:val="00841DFD"/>
    <w:rsid w:val="00841FB0"/>
    <w:rsid w:val="00842202"/>
    <w:rsid w:val="00842524"/>
    <w:rsid w:val="008429F6"/>
    <w:rsid w:val="00842B42"/>
    <w:rsid w:val="008431C5"/>
    <w:rsid w:val="008432D5"/>
    <w:rsid w:val="00843888"/>
    <w:rsid w:val="00843974"/>
    <w:rsid w:val="00843C1E"/>
    <w:rsid w:val="00843C4A"/>
    <w:rsid w:val="00844B2F"/>
    <w:rsid w:val="0084576A"/>
    <w:rsid w:val="0084576D"/>
    <w:rsid w:val="00845E3B"/>
    <w:rsid w:val="0084628B"/>
    <w:rsid w:val="0084684C"/>
    <w:rsid w:val="00846EB4"/>
    <w:rsid w:val="00847484"/>
    <w:rsid w:val="0085006E"/>
    <w:rsid w:val="008502EA"/>
    <w:rsid w:val="00850708"/>
    <w:rsid w:val="008518AE"/>
    <w:rsid w:val="00851EFF"/>
    <w:rsid w:val="00852431"/>
    <w:rsid w:val="00853698"/>
    <w:rsid w:val="00853750"/>
    <w:rsid w:val="008542D4"/>
    <w:rsid w:val="008542F9"/>
    <w:rsid w:val="00854CEA"/>
    <w:rsid w:val="00855246"/>
    <w:rsid w:val="0085567B"/>
    <w:rsid w:val="008564D9"/>
    <w:rsid w:val="00856610"/>
    <w:rsid w:val="00856944"/>
    <w:rsid w:val="00856B7F"/>
    <w:rsid w:val="00857118"/>
    <w:rsid w:val="00857658"/>
    <w:rsid w:val="008578A6"/>
    <w:rsid w:val="00857B52"/>
    <w:rsid w:val="008600E7"/>
    <w:rsid w:val="00860109"/>
    <w:rsid w:val="00860378"/>
    <w:rsid w:val="0086037A"/>
    <w:rsid w:val="008606FD"/>
    <w:rsid w:val="00860E87"/>
    <w:rsid w:val="00861535"/>
    <w:rsid w:val="008616D7"/>
    <w:rsid w:val="00861C00"/>
    <w:rsid w:val="00861D7C"/>
    <w:rsid w:val="00862696"/>
    <w:rsid w:val="00862B22"/>
    <w:rsid w:val="00863386"/>
    <w:rsid w:val="0086352C"/>
    <w:rsid w:val="0086372F"/>
    <w:rsid w:val="0086464E"/>
    <w:rsid w:val="00864AA7"/>
    <w:rsid w:val="00864B2C"/>
    <w:rsid w:val="00864B59"/>
    <w:rsid w:val="008663EE"/>
    <w:rsid w:val="0086664D"/>
    <w:rsid w:val="008666BA"/>
    <w:rsid w:val="00866F99"/>
    <w:rsid w:val="008671CE"/>
    <w:rsid w:val="0086738E"/>
    <w:rsid w:val="008675DC"/>
    <w:rsid w:val="008676E4"/>
    <w:rsid w:val="00867F54"/>
    <w:rsid w:val="0087021D"/>
    <w:rsid w:val="00870F00"/>
    <w:rsid w:val="00870F2D"/>
    <w:rsid w:val="00871196"/>
    <w:rsid w:val="008716AF"/>
    <w:rsid w:val="00871746"/>
    <w:rsid w:val="008717B1"/>
    <w:rsid w:val="00871852"/>
    <w:rsid w:val="008718AD"/>
    <w:rsid w:val="00871B4A"/>
    <w:rsid w:val="00871C2B"/>
    <w:rsid w:val="00871C31"/>
    <w:rsid w:val="008729A2"/>
    <w:rsid w:val="0087312D"/>
    <w:rsid w:val="00873E56"/>
    <w:rsid w:val="008744E1"/>
    <w:rsid w:val="008745A7"/>
    <w:rsid w:val="00875003"/>
    <w:rsid w:val="00875D45"/>
    <w:rsid w:val="00875DCE"/>
    <w:rsid w:val="00875DE8"/>
    <w:rsid w:val="008760B6"/>
    <w:rsid w:val="00876450"/>
    <w:rsid w:val="00876798"/>
    <w:rsid w:val="00876B5A"/>
    <w:rsid w:val="008771A9"/>
    <w:rsid w:val="008774B9"/>
    <w:rsid w:val="00877675"/>
    <w:rsid w:val="00877D07"/>
    <w:rsid w:val="008804B7"/>
    <w:rsid w:val="00881218"/>
    <w:rsid w:val="0088165C"/>
    <w:rsid w:val="00881B7C"/>
    <w:rsid w:val="00881E7E"/>
    <w:rsid w:val="00882345"/>
    <w:rsid w:val="008823E2"/>
    <w:rsid w:val="00882E20"/>
    <w:rsid w:val="00883181"/>
    <w:rsid w:val="00883302"/>
    <w:rsid w:val="00883F66"/>
    <w:rsid w:val="00884A9F"/>
    <w:rsid w:val="00885F01"/>
    <w:rsid w:val="008866DE"/>
    <w:rsid w:val="00886890"/>
    <w:rsid w:val="008868AB"/>
    <w:rsid w:val="00886B77"/>
    <w:rsid w:val="00886F07"/>
    <w:rsid w:val="00887496"/>
    <w:rsid w:val="00887497"/>
    <w:rsid w:val="008878A1"/>
    <w:rsid w:val="008908AF"/>
    <w:rsid w:val="008908D9"/>
    <w:rsid w:val="008917FA"/>
    <w:rsid w:val="00891A6E"/>
    <w:rsid w:val="00891D00"/>
    <w:rsid w:val="00891F9E"/>
    <w:rsid w:val="00892735"/>
    <w:rsid w:val="00892DF6"/>
    <w:rsid w:val="008931D3"/>
    <w:rsid w:val="00893861"/>
    <w:rsid w:val="00893CC5"/>
    <w:rsid w:val="00893F66"/>
    <w:rsid w:val="00893FAB"/>
    <w:rsid w:val="0089463D"/>
    <w:rsid w:val="0089492A"/>
    <w:rsid w:val="00894D05"/>
    <w:rsid w:val="008955E7"/>
    <w:rsid w:val="00895E70"/>
    <w:rsid w:val="00896224"/>
    <w:rsid w:val="008962FD"/>
    <w:rsid w:val="008963BD"/>
    <w:rsid w:val="00896955"/>
    <w:rsid w:val="00897016"/>
    <w:rsid w:val="00897253"/>
    <w:rsid w:val="008972D3"/>
    <w:rsid w:val="008A023B"/>
    <w:rsid w:val="008A084B"/>
    <w:rsid w:val="008A0CC7"/>
    <w:rsid w:val="008A1443"/>
    <w:rsid w:val="008A161D"/>
    <w:rsid w:val="008A1B95"/>
    <w:rsid w:val="008A2407"/>
    <w:rsid w:val="008A3112"/>
    <w:rsid w:val="008A31B8"/>
    <w:rsid w:val="008A3494"/>
    <w:rsid w:val="008A3974"/>
    <w:rsid w:val="008A3A87"/>
    <w:rsid w:val="008A3B7C"/>
    <w:rsid w:val="008A3EEF"/>
    <w:rsid w:val="008A42AA"/>
    <w:rsid w:val="008A42D4"/>
    <w:rsid w:val="008A4376"/>
    <w:rsid w:val="008A4536"/>
    <w:rsid w:val="008A4EF4"/>
    <w:rsid w:val="008A58E2"/>
    <w:rsid w:val="008A590B"/>
    <w:rsid w:val="008A5C2F"/>
    <w:rsid w:val="008A66F1"/>
    <w:rsid w:val="008A6736"/>
    <w:rsid w:val="008A6E35"/>
    <w:rsid w:val="008A783F"/>
    <w:rsid w:val="008A7E4E"/>
    <w:rsid w:val="008B03E2"/>
    <w:rsid w:val="008B084A"/>
    <w:rsid w:val="008B13D9"/>
    <w:rsid w:val="008B1803"/>
    <w:rsid w:val="008B18DA"/>
    <w:rsid w:val="008B1A67"/>
    <w:rsid w:val="008B25A9"/>
    <w:rsid w:val="008B2747"/>
    <w:rsid w:val="008B2F4F"/>
    <w:rsid w:val="008B302F"/>
    <w:rsid w:val="008B37A6"/>
    <w:rsid w:val="008B3AA5"/>
    <w:rsid w:val="008B3D95"/>
    <w:rsid w:val="008B402B"/>
    <w:rsid w:val="008B4616"/>
    <w:rsid w:val="008B4689"/>
    <w:rsid w:val="008B52BD"/>
    <w:rsid w:val="008B553D"/>
    <w:rsid w:val="008B5548"/>
    <w:rsid w:val="008B5B2E"/>
    <w:rsid w:val="008B70D8"/>
    <w:rsid w:val="008B7629"/>
    <w:rsid w:val="008B78F7"/>
    <w:rsid w:val="008B7B5D"/>
    <w:rsid w:val="008B7CA0"/>
    <w:rsid w:val="008B7FA9"/>
    <w:rsid w:val="008C08F1"/>
    <w:rsid w:val="008C09CA"/>
    <w:rsid w:val="008C0F54"/>
    <w:rsid w:val="008C105B"/>
    <w:rsid w:val="008C12EA"/>
    <w:rsid w:val="008C14A8"/>
    <w:rsid w:val="008C155B"/>
    <w:rsid w:val="008C16B2"/>
    <w:rsid w:val="008C1DA3"/>
    <w:rsid w:val="008C233F"/>
    <w:rsid w:val="008C26F5"/>
    <w:rsid w:val="008C332B"/>
    <w:rsid w:val="008C33DF"/>
    <w:rsid w:val="008C3808"/>
    <w:rsid w:val="008C3CC7"/>
    <w:rsid w:val="008C3D17"/>
    <w:rsid w:val="008C4084"/>
    <w:rsid w:val="008C4275"/>
    <w:rsid w:val="008C438A"/>
    <w:rsid w:val="008C4737"/>
    <w:rsid w:val="008C4B10"/>
    <w:rsid w:val="008C4EDF"/>
    <w:rsid w:val="008C4EFD"/>
    <w:rsid w:val="008C554E"/>
    <w:rsid w:val="008C5748"/>
    <w:rsid w:val="008C5787"/>
    <w:rsid w:val="008C57D3"/>
    <w:rsid w:val="008C5FA9"/>
    <w:rsid w:val="008C6AF6"/>
    <w:rsid w:val="008C6B2B"/>
    <w:rsid w:val="008C71D8"/>
    <w:rsid w:val="008C75E1"/>
    <w:rsid w:val="008C7656"/>
    <w:rsid w:val="008C765C"/>
    <w:rsid w:val="008C7EA2"/>
    <w:rsid w:val="008D01E6"/>
    <w:rsid w:val="008D04ED"/>
    <w:rsid w:val="008D0538"/>
    <w:rsid w:val="008D0979"/>
    <w:rsid w:val="008D0A63"/>
    <w:rsid w:val="008D0D9A"/>
    <w:rsid w:val="008D123E"/>
    <w:rsid w:val="008D16FD"/>
    <w:rsid w:val="008D223C"/>
    <w:rsid w:val="008D261D"/>
    <w:rsid w:val="008D26FE"/>
    <w:rsid w:val="008D2791"/>
    <w:rsid w:val="008D2D78"/>
    <w:rsid w:val="008D341C"/>
    <w:rsid w:val="008D3657"/>
    <w:rsid w:val="008D3BD4"/>
    <w:rsid w:val="008D3D28"/>
    <w:rsid w:val="008D405B"/>
    <w:rsid w:val="008D4094"/>
    <w:rsid w:val="008D4272"/>
    <w:rsid w:val="008D490B"/>
    <w:rsid w:val="008D4CC5"/>
    <w:rsid w:val="008D4D6F"/>
    <w:rsid w:val="008D52FD"/>
    <w:rsid w:val="008D531B"/>
    <w:rsid w:val="008D5637"/>
    <w:rsid w:val="008D59D7"/>
    <w:rsid w:val="008D5E08"/>
    <w:rsid w:val="008D6457"/>
    <w:rsid w:val="008D654E"/>
    <w:rsid w:val="008D655F"/>
    <w:rsid w:val="008D6817"/>
    <w:rsid w:val="008D7141"/>
    <w:rsid w:val="008D73E8"/>
    <w:rsid w:val="008D75B9"/>
    <w:rsid w:val="008D765B"/>
    <w:rsid w:val="008D7930"/>
    <w:rsid w:val="008E00AE"/>
    <w:rsid w:val="008E0392"/>
    <w:rsid w:val="008E07DE"/>
    <w:rsid w:val="008E094D"/>
    <w:rsid w:val="008E0E1E"/>
    <w:rsid w:val="008E0FEC"/>
    <w:rsid w:val="008E1043"/>
    <w:rsid w:val="008E14B6"/>
    <w:rsid w:val="008E14D3"/>
    <w:rsid w:val="008E1883"/>
    <w:rsid w:val="008E1E8A"/>
    <w:rsid w:val="008E2049"/>
    <w:rsid w:val="008E23B3"/>
    <w:rsid w:val="008E27C1"/>
    <w:rsid w:val="008E2DA2"/>
    <w:rsid w:val="008E2DF5"/>
    <w:rsid w:val="008E31E9"/>
    <w:rsid w:val="008E38B4"/>
    <w:rsid w:val="008E3F62"/>
    <w:rsid w:val="008E401B"/>
    <w:rsid w:val="008E452E"/>
    <w:rsid w:val="008E4FFA"/>
    <w:rsid w:val="008E52DA"/>
    <w:rsid w:val="008E544B"/>
    <w:rsid w:val="008E5628"/>
    <w:rsid w:val="008E5639"/>
    <w:rsid w:val="008E5ACA"/>
    <w:rsid w:val="008E6196"/>
    <w:rsid w:val="008E61D5"/>
    <w:rsid w:val="008E6D38"/>
    <w:rsid w:val="008F07CE"/>
    <w:rsid w:val="008F0CA1"/>
    <w:rsid w:val="008F0EDD"/>
    <w:rsid w:val="008F1A2A"/>
    <w:rsid w:val="008F1B6F"/>
    <w:rsid w:val="008F2C71"/>
    <w:rsid w:val="008F3123"/>
    <w:rsid w:val="008F3562"/>
    <w:rsid w:val="008F3746"/>
    <w:rsid w:val="008F380D"/>
    <w:rsid w:val="008F3DA1"/>
    <w:rsid w:val="008F4306"/>
    <w:rsid w:val="008F46AB"/>
    <w:rsid w:val="008F5479"/>
    <w:rsid w:val="008F553A"/>
    <w:rsid w:val="008F5726"/>
    <w:rsid w:val="008F5C50"/>
    <w:rsid w:val="008F5F32"/>
    <w:rsid w:val="008F5FED"/>
    <w:rsid w:val="008F634E"/>
    <w:rsid w:val="008F6D09"/>
    <w:rsid w:val="008F71FA"/>
    <w:rsid w:val="008F7E4A"/>
    <w:rsid w:val="00900452"/>
    <w:rsid w:val="0090069C"/>
    <w:rsid w:val="00900CFE"/>
    <w:rsid w:val="009013C1"/>
    <w:rsid w:val="009015A8"/>
    <w:rsid w:val="009017F1"/>
    <w:rsid w:val="00901D4A"/>
    <w:rsid w:val="009028DF"/>
    <w:rsid w:val="00902ECD"/>
    <w:rsid w:val="0090397E"/>
    <w:rsid w:val="00903EE1"/>
    <w:rsid w:val="00903F82"/>
    <w:rsid w:val="00903F86"/>
    <w:rsid w:val="00904155"/>
    <w:rsid w:val="009043DD"/>
    <w:rsid w:val="00904516"/>
    <w:rsid w:val="0090466A"/>
    <w:rsid w:val="00904A94"/>
    <w:rsid w:val="00905A82"/>
    <w:rsid w:val="00906E63"/>
    <w:rsid w:val="0090750A"/>
    <w:rsid w:val="00907F69"/>
    <w:rsid w:val="009106C9"/>
    <w:rsid w:val="00911145"/>
    <w:rsid w:val="009113D7"/>
    <w:rsid w:val="00911AB8"/>
    <w:rsid w:val="00911E29"/>
    <w:rsid w:val="00911F55"/>
    <w:rsid w:val="009121FB"/>
    <w:rsid w:val="009122B7"/>
    <w:rsid w:val="0091348C"/>
    <w:rsid w:val="00913A1E"/>
    <w:rsid w:val="00913B82"/>
    <w:rsid w:val="0091417A"/>
    <w:rsid w:val="00914886"/>
    <w:rsid w:val="00914C48"/>
    <w:rsid w:val="00915490"/>
    <w:rsid w:val="00915AAC"/>
    <w:rsid w:val="00915B36"/>
    <w:rsid w:val="00915C43"/>
    <w:rsid w:val="00915EBC"/>
    <w:rsid w:val="00916FBA"/>
    <w:rsid w:val="00917259"/>
    <w:rsid w:val="009172BF"/>
    <w:rsid w:val="009175FD"/>
    <w:rsid w:val="009177D1"/>
    <w:rsid w:val="00917B92"/>
    <w:rsid w:val="00917C9B"/>
    <w:rsid w:val="00917EC7"/>
    <w:rsid w:val="009206D0"/>
    <w:rsid w:val="00920AFF"/>
    <w:rsid w:val="00921483"/>
    <w:rsid w:val="00921621"/>
    <w:rsid w:val="0092188E"/>
    <w:rsid w:val="00921BFF"/>
    <w:rsid w:val="0092256F"/>
    <w:rsid w:val="0092310D"/>
    <w:rsid w:val="00925163"/>
    <w:rsid w:val="009252A6"/>
    <w:rsid w:val="00925366"/>
    <w:rsid w:val="009255C2"/>
    <w:rsid w:val="00925DFD"/>
    <w:rsid w:val="009263ED"/>
    <w:rsid w:val="0092728D"/>
    <w:rsid w:val="009273A1"/>
    <w:rsid w:val="00930931"/>
    <w:rsid w:val="00930C11"/>
    <w:rsid w:val="00930E99"/>
    <w:rsid w:val="009313BC"/>
    <w:rsid w:val="0093198D"/>
    <w:rsid w:val="00931A2A"/>
    <w:rsid w:val="00931A83"/>
    <w:rsid w:val="00931B1F"/>
    <w:rsid w:val="0093240B"/>
    <w:rsid w:val="0093269F"/>
    <w:rsid w:val="009328BE"/>
    <w:rsid w:val="00933034"/>
    <w:rsid w:val="00933400"/>
    <w:rsid w:val="00934047"/>
    <w:rsid w:val="00934B98"/>
    <w:rsid w:val="00934CA1"/>
    <w:rsid w:val="009354A7"/>
    <w:rsid w:val="00935958"/>
    <w:rsid w:val="00935BFD"/>
    <w:rsid w:val="00936760"/>
    <w:rsid w:val="0093701B"/>
    <w:rsid w:val="009374FF"/>
    <w:rsid w:val="0093759D"/>
    <w:rsid w:val="00940332"/>
    <w:rsid w:val="0094046A"/>
    <w:rsid w:val="009409A1"/>
    <w:rsid w:val="00940EA7"/>
    <w:rsid w:val="0094159D"/>
    <w:rsid w:val="009416C7"/>
    <w:rsid w:val="009417D6"/>
    <w:rsid w:val="00941EFE"/>
    <w:rsid w:val="00941F9B"/>
    <w:rsid w:val="0094298F"/>
    <w:rsid w:val="00942F68"/>
    <w:rsid w:val="00943558"/>
    <w:rsid w:val="00943FD3"/>
    <w:rsid w:val="0094438F"/>
    <w:rsid w:val="00944C26"/>
    <w:rsid w:val="00944FD9"/>
    <w:rsid w:val="00945145"/>
    <w:rsid w:val="00945341"/>
    <w:rsid w:val="00945449"/>
    <w:rsid w:val="009454FB"/>
    <w:rsid w:val="00945E65"/>
    <w:rsid w:val="00946AC6"/>
    <w:rsid w:val="00946B02"/>
    <w:rsid w:val="009477BA"/>
    <w:rsid w:val="009479AD"/>
    <w:rsid w:val="00947AA3"/>
    <w:rsid w:val="00947C4D"/>
    <w:rsid w:val="009501C0"/>
    <w:rsid w:val="0095043D"/>
    <w:rsid w:val="00950C1F"/>
    <w:rsid w:val="00951171"/>
    <w:rsid w:val="00951400"/>
    <w:rsid w:val="00951532"/>
    <w:rsid w:val="00951862"/>
    <w:rsid w:val="00951906"/>
    <w:rsid w:val="0095255B"/>
    <w:rsid w:val="0095293E"/>
    <w:rsid w:val="00952ADB"/>
    <w:rsid w:val="00952B47"/>
    <w:rsid w:val="00952CBE"/>
    <w:rsid w:val="00952CDD"/>
    <w:rsid w:val="00952E08"/>
    <w:rsid w:val="00952F31"/>
    <w:rsid w:val="00953021"/>
    <w:rsid w:val="00953027"/>
    <w:rsid w:val="00953AB7"/>
    <w:rsid w:val="00953CA7"/>
    <w:rsid w:val="00954069"/>
    <w:rsid w:val="0095423F"/>
    <w:rsid w:val="009543DE"/>
    <w:rsid w:val="0095488F"/>
    <w:rsid w:val="00954EE0"/>
    <w:rsid w:val="009559C3"/>
    <w:rsid w:val="00955AA7"/>
    <w:rsid w:val="00955E0F"/>
    <w:rsid w:val="009563C3"/>
    <w:rsid w:val="00956982"/>
    <w:rsid w:val="00956C46"/>
    <w:rsid w:val="009575B5"/>
    <w:rsid w:val="009575BF"/>
    <w:rsid w:val="00957EC1"/>
    <w:rsid w:val="009602FF"/>
    <w:rsid w:val="00960374"/>
    <w:rsid w:val="00960732"/>
    <w:rsid w:val="00960886"/>
    <w:rsid w:val="00960BBC"/>
    <w:rsid w:val="00961097"/>
    <w:rsid w:val="009612C3"/>
    <w:rsid w:val="009616F7"/>
    <w:rsid w:val="00961756"/>
    <w:rsid w:val="009617B5"/>
    <w:rsid w:val="00961868"/>
    <w:rsid w:val="00961ACB"/>
    <w:rsid w:val="00961BCA"/>
    <w:rsid w:val="00961BDE"/>
    <w:rsid w:val="00961C08"/>
    <w:rsid w:val="00962551"/>
    <w:rsid w:val="00962714"/>
    <w:rsid w:val="00962EB7"/>
    <w:rsid w:val="00962F1A"/>
    <w:rsid w:val="00962F8C"/>
    <w:rsid w:val="00962FA7"/>
    <w:rsid w:val="00963BB8"/>
    <w:rsid w:val="00964085"/>
    <w:rsid w:val="009640D6"/>
    <w:rsid w:val="00964280"/>
    <w:rsid w:val="00964EE8"/>
    <w:rsid w:val="00964EEB"/>
    <w:rsid w:val="0096500F"/>
    <w:rsid w:val="009659A2"/>
    <w:rsid w:val="009659A9"/>
    <w:rsid w:val="00965F0C"/>
    <w:rsid w:val="00966279"/>
    <w:rsid w:val="0096627B"/>
    <w:rsid w:val="00966743"/>
    <w:rsid w:val="00966A47"/>
    <w:rsid w:val="009679BB"/>
    <w:rsid w:val="00967C91"/>
    <w:rsid w:val="009708FC"/>
    <w:rsid w:val="00970E4C"/>
    <w:rsid w:val="00971200"/>
    <w:rsid w:val="009724EC"/>
    <w:rsid w:val="0097271D"/>
    <w:rsid w:val="00972A0A"/>
    <w:rsid w:val="00972A1D"/>
    <w:rsid w:val="0097387D"/>
    <w:rsid w:val="00973902"/>
    <w:rsid w:val="00973E1F"/>
    <w:rsid w:val="00973E55"/>
    <w:rsid w:val="00974134"/>
    <w:rsid w:val="009744A6"/>
    <w:rsid w:val="0097491E"/>
    <w:rsid w:val="009752F9"/>
    <w:rsid w:val="009759D8"/>
    <w:rsid w:val="00975A89"/>
    <w:rsid w:val="00975A9A"/>
    <w:rsid w:val="00975D68"/>
    <w:rsid w:val="0097602C"/>
    <w:rsid w:val="00976509"/>
    <w:rsid w:val="00976940"/>
    <w:rsid w:val="0097749C"/>
    <w:rsid w:val="009775E6"/>
    <w:rsid w:val="00977A7A"/>
    <w:rsid w:val="00977BB3"/>
    <w:rsid w:val="00981084"/>
    <w:rsid w:val="009815C2"/>
    <w:rsid w:val="0098165E"/>
    <w:rsid w:val="00981A9C"/>
    <w:rsid w:val="00982029"/>
    <w:rsid w:val="0098259D"/>
    <w:rsid w:val="00982A07"/>
    <w:rsid w:val="00982F3E"/>
    <w:rsid w:val="00982F67"/>
    <w:rsid w:val="009832D7"/>
    <w:rsid w:val="009836B4"/>
    <w:rsid w:val="0098381F"/>
    <w:rsid w:val="00983CEC"/>
    <w:rsid w:val="00983F10"/>
    <w:rsid w:val="009846B3"/>
    <w:rsid w:val="00984ACA"/>
    <w:rsid w:val="00984CE0"/>
    <w:rsid w:val="009859CF"/>
    <w:rsid w:val="00985BA9"/>
    <w:rsid w:val="00985EE9"/>
    <w:rsid w:val="0098600C"/>
    <w:rsid w:val="0098655E"/>
    <w:rsid w:val="009868C6"/>
    <w:rsid w:val="00987049"/>
    <w:rsid w:val="00987352"/>
    <w:rsid w:val="00987764"/>
    <w:rsid w:val="00987DF3"/>
    <w:rsid w:val="00990970"/>
    <w:rsid w:val="00990DC8"/>
    <w:rsid w:val="009912B5"/>
    <w:rsid w:val="0099132B"/>
    <w:rsid w:val="00991541"/>
    <w:rsid w:val="0099162F"/>
    <w:rsid w:val="00991741"/>
    <w:rsid w:val="00991F66"/>
    <w:rsid w:val="0099241E"/>
    <w:rsid w:val="00992AB6"/>
    <w:rsid w:val="00992B33"/>
    <w:rsid w:val="00992BF0"/>
    <w:rsid w:val="00992C6C"/>
    <w:rsid w:val="00992D91"/>
    <w:rsid w:val="00993306"/>
    <w:rsid w:val="00993BB9"/>
    <w:rsid w:val="00993CC5"/>
    <w:rsid w:val="00994439"/>
    <w:rsid w:val="009945EF"/>
    <w:rsid w:val="009945F6"/>
    <w:rsid w:val="00994A24"/>
    <w:rsid w:val="00994AF2"/>
    <w:rsid w:val="00994C79"/>
    <w:rsid w:val="00994E60"/>
    <w:rsid w:val="009950AE"/>
    <w:rsid w:val="0099554C"/>
    <w:rsid w:val="0099597F"/>
    <w:rsid w:val="0099670B"/>
    <w:rsid w:val="00997131"/>
    <w:rsid w:val="009975CB"/>
    <w:rsid w:val="00997E4B"/>
    <w:rsid w:val="009A03C9"/>
    <w:rsid w:val="009A0705"/>
    <w:rsid w:val="009A0CE0"/>
    <w:rsid w:val="009A1783"/>
    <w:rsid w:val="009A17E2"/>
    <w:rsid w:val="009A1925"/>
    <w:rsid w:val="009A19EC"/>
    <w:rsid w:val="009A1AB9"/>
    <w:rsid w:val="009A21D7"/>
    <w:rsid w:val="009A22DC"/>
    <w:rsid w:val="009A2D84"/>
    <w:rsid w:val="009A346E"/>
    <w:rsid w:val="009A37F8"/>
    <w:rsid w:val="009A3B7D"/>
    <w:rsid w:val="009A44F1"/>
    <w:rsid w:val="009A4A47"/>
    <w:rsid w:val="009A5247"/>
    <w:rsid w:val="009A54D6"/>
    <w:rsid w:val="009A59C1"/>
    <w:rsid w:val="009A5CB5"/>
    <w:rsid w:val="009A6516"/>
    <w:rsid w:val="009A6B20"/>
    <w:rsid w:val="009A75B3"/>
    <w:rsid w:val="009A76B1"/>
    <w:rsid w:val="009A77B9"/>
    <w:rsid w:val="009A7BF5"/>
    <w:rsid w:val="009B0055"/>
    <w:rsid w:val="009B021F"/>
    <w:rsid w:val="009B0B00"/>
    <w:rsid w:val="009B0B16"/>
    <w:rsid w:val="009B0C54"/>
    <w:rsid w:val="009B0E09"/>
    <w:rsid w:val="009B0F2B"/>
    <w:rsid w:val="009B117F"/>
    <w:rsid w:val="009B1AF2"/>
    <w:rsid w:val="009B2637"/>
    <w:rsid w:val="009B3134"/>
    <w:rsid w:val="009B3457"/>
    <w:rsid w:val="009B3801"/>
    <w:rsid w:val="009B5073"/>
    <w:rsid w:val="009B630A"/>
    <w:rsid w:val="009B72A6"/>
    <w:rsid w:val="009B7B41"/>
    <w:rsid w:val="009B7C8B"/>
    <w:rsid w:val="009B7F16"/>
    <w:rsid w:val="009C02D3"/>
    <w:rsid w:val="009C084D"/>
    <w:rsid w:val="009C088B"/>
    <w:rsid w:val="009C0BFE"/>
    <w:rsid w:val="009C0C19"/>
    <w:rsid w:val="009C1039"/>
    <w:rsid w:val="009C17BE"/>
    <w:rsid w:val="009C1D92"/>
    <w:rsid w:val="009C2D8D"/>
    <w:rsid w:val="009C3264"/>
    <w:rsid w:val="009C333B"/>
    <w:rsid w:val="009C36B4"/>
    <w:rsid w:val="009C3CA9"/>
    <w:rsid w:val="009C488E"/>
    <w:rsid w:val="009C4D6C"/>
    <w:rsid w:val="009C4DF6"/>
    <w:rsid w:val="009C4F54"/>
    <w:rsid w:val="009C4FD0"/>
    <w:rsid w:val="009C5108"/>
    <w:rsid w:val="009C5217"/>
    <w:rsid w:val="009C5347"/>
    <w:rsid w:val="009C556A"/>
    <w:rsid w:val="009C5640"/>
    <w:rsid w:val="009C6251"/>
    <w:rsid w:val="009C62BF"/>
    <w:rsid w:val="009C6EB1"/>
    <w:rsid w:val="009C714B"/>
    <w:rsid w:val="009C7260"/>
    <w:rsid w:val="009C74B0"/>
    <w:rsid w:val="009C7630"/>
    <w:rsid w:val="009C76A6"/>
    <w:rsid w:val="009D0331"/>
    <w:rsid w:val="009D0619"/>
    <w:rsid w:val="009D0E74"/>
    <w:rsid w:val="009D11A4"/>
    <w:rsid w:val="009D1A8B"/>
    <w:rsid w:val="009D252D"/>
    <w:rsid w:val="009D25C7"/>
    <w:rsid w:val="009D2713"/>
    <w:rsid w:val="009D2A5E"/>
    <w:rsid w:val="009D2A97"/>
    <w:rsid w:val="009D2F6A"/>
    <w:rsid w:val="009D30EF"/>
    <w:rsid w:val="009D35E8"/>
    <w:rsid w:val="009D3631"/>
    <w:rsid w:val="009D3C61"/>
    <w:rsid w:val="009D3F35"/>
    <w:rsid w:val="009D3FCE"/>
    <w:rsid w:val="009D46B2"/>
    <w:rsid w:val="009D50FF"/>
    <w:rsid w:val="009D5403"/>
    <w:rsid w:val="009D5CE8"/>
    <w:rsid w:val="009D5E05"/>
    <w:rsid w:val="009D5F32"/>
    <w:rsid w:val="009D5F6E"/>
    <w:rsid w:val="009D60C5"/>
    <w:rsid w:val="009D6EBE"/>
    <w:rsid w:val="009D7207"/>
    <w:rsid w:val="009D7491"/>
    <w:rsid w:val="009E13D0"/>
    <w:rsid w:val="009E2C79"/>
    <w:rsid w:val="009E2CBE"/>
    <w:rsid w:val="009E2D8D"/>
    <w:rsid w:val="009E2F40"/>
    <w:rsid w:val="009E33E9"/>
    <w:rsid w:val="009E3756"/>
    <w:rsid w:val="009E37E8"/>
    <w:rsid w:val="009E3862"/>
    <w:rsid w:val="009E3A9E"/>
    <w:rsid w:val="009E3C9D"/>
    <w:rsid w:val="009E3CBF"/>
    <w:rsid w:val="009E4E0F"/>
    <w:rsid w:val="009E4E6F"/>
    <w:rsid w:val="009E572B"/>
    <w:rsid w:val="009E5C15"/>
    <w:rsid w:val="009E6409"/>
    <w:rsid w:val="009E6A98"/>
    <w:rsid w:val="009E6E6A"/>
    <w:rsid w:val="009E6ECA"/>
    <w:rsid w:val="009E71DE"/>
    <w:rsid w:val="009E72B0"/>
    <w:rsid w:val="009E78CE"/>
    <w:rsid w:val="009E7B57"/>
    <w:rsid w:val="009E7D4E"/>
    <w:rsid w:val="009F001C"/>
    <w:rsid w:val="009F00AE"/>
    <w:rsid w:val="009F0CF7"/>
    <w:rsid w:val="009F1511"/>
    <w:rsid w:val="009F174B"/>
    <w:rsid w:val="009F18DF"/>
    <w:rsid w:val="009F1C71"/>
    <w:rsid w:val="009F1C84"/>
    <w:rsid w:val="009F25CA"/>
    <w:rsid w:val="009F2814"/>
    <w:rsid w:val="009F2AD8"/>
    <w:rsid w:val="009F2D65"/>
    <w:rsid w:val="009F3147"/>
    <w:rsid w:val="009F3BD8"/>
    <w:rsid w:val="009F4A99"/>
    <w:rsid w:val="009F4C6E"/>
    <w:rsid w:val="009F5064"/>
    <w:rsid w:val="009F5448"/>
    <w:rsid w:val="009F55BB"/>
    <w:rsid w:val="009F59E4"/>
    <w:rsid w:val="009F5D62"/>
    <w:rsid w:val="009F64AA"/>
    <w:rsid w:val="009F68AE"/>
    <w:rsid w:val="009F7060"/>
    <w:rsid w:val="009F7507"/>
    <w:rsid w:val="009F7667"/>
    <w:rsid w:val="009F7CEA"/>
    <w:rsid w:val="00A0015B"/>
    <w:rsid w:val="00A0041B"/>
    <w:rsid w:val="00A00FAC"/>
    <w:rsid w:val="00A010BA"/>
    <w:rsid w:val="00A0125B"/>
    <w:rsid w:val="00A01317"/>
    <w:rsid w:val="00A01957"/>
    <w:rsid w:val="00A021DA"/>
    <w:rsid w:val="00A02210"/>
    <w:rsid w:val="00A02509"/>
    <w:rsid w:val="00A02937"/>
    <w:rsid w:val="00A02D8D"/>
    <w:rsid w:val="00A03004"/>
    <w:rsid w:val="00A03328"/>
    <w:rsid w:val="00A039DD"/>
    <w:rsid w:val="00A03ABD"/>
    <w:rsid w:val="00A044CA"/>
    <w:rsid w:val="00A04632"/>
    <w:rsid w:val="00A047B1"/>
    <w:rsid w:val="00A04874"/>
    <w:rsid w:val="00A0503A"/>
    <w:rsid w:val="00A05157"/>
    <w:rsid w:val="00A05C63"/>
    <w:rsid w:val="00A05CE0"/>
    <w:rsid w:val="00A05D00"/>
    <w:rsid w:val="00A061C8"/>
    <w:rsid w:val="00A0667A"/>
    <w:rsid w:val="00A06C33"/>
    <w:rsid w:val="00A06E47"/>
    <w:rsid w:val="00A07B58"/>
    <w:rsid w:val="00A100BB"/>
    <w:rsid w:val="00A103E7"/>
    <w:rsid w:val="00A107C1"/>
    <w:rsid w:val="00A108A6"/>
    <w:rsid w:val="00A10A9F"/>
    <w:rsid w:val="00A10CF2"/>
    <w:rsid w:val="00A11F39"/>
    <w:rsid w:val="00A120B2"/>
    <w:rsid w:val="00A1237C"/>
    <w:rsid w:val="00A125BF"/>
    <w:rsid w:val="00A1267A"/>
    <w:rsid w:val="00A127C5"/>
    <w:rsid w:val="00A12B55"/>
    <w:rsid w:val="00A12FFC"/>
    <w:rsid w:val="00A1300D"/>
    <w:rsid w:val="00A131DC"/>
    <w:rsid w:val="00A133DC"/>
    <w:rsid w:val="00A13FD6"/>
    <w:rsid w:val="00A14805"/>
    <w:rsid w:val="00A14BA4"/>
    <w:rsid w:val="00A154DF"/>
    <w:rsid w:val="00A155FA"/>
    <w:rsid w:val="00A15690"/>
    <w:rsid w:val="00A1588E"/>
    <w:rsid w:val="00A15EE3"/>
    <w:rsid w:val="00A1664A"/>
    <w:rsid w:val="00A1677D"/>
    <w:rsid w:val="00A169A5"/>
    <w:rsid w:val="00A1705C"/>
    <w:rsid w:val="00A17D11"/>
    <w:rsid w:val="00A201DF"/>
    <w:rsid w:val="00A20344"/>
    <w:rsid w:val="00A20569"/>
    <w:rsid w:val="00A205EA"/>
    <w:rsid w:val="00A20D94"/>
    <w:rsid w:val="00A20FF0"/>
    <w:rsid w:val="00A21148"/>
    <w:rsid w:val="00A214FF"/>
    <w:rsid w:val="00A21535"/>
    <w:rsid w:val="00A21A42"/>
    <w:rsid w:val="00A21DB7"/>
    <w:rsid w:val="00A21F8D"/>
    <w:rsid w:val="00A22361"/>
    <w:rsid w:val="00A2246C"/>
    <w:rsid w:val="00A227C2"/>
    <w:rsid w:val="00A22950"/>
    <w:rsid w:val="00A23377"/>
    <w:rsid w:val="00A23B2A"/>
    <w:rsid w:val="00A24295"/>
    <w:rsid w:val="00A2434A"/>
    <w:rsid w:val="00A247D4"/>
    <w:rsid w:val="00A24C7B"/>
    <w:rsid w:val="00A2532A"/>
    <w:rsid w:val="00A25908"/>
    <w:rsid w:val="00A25A50"/>
    <w:rsid w:val="00A25E7F"/>
    <w:rsid w:val="00A26429"/>
    <w:rsid w:val="00A2679A"/>
    <w:rsid w:val="00A26EFF"/>
    <w:rsid w:val="00A27185"/>
    <w:rsid w:val="00A27319"/>
    <w:rsid w:val="00A27AF8"/>
    <w:rsid w:val="00A303CE"/>
    <w:rsid w:val="00A303D8"/>
    <w:rsid w:val="00A3049F"/>
    <w:rsid w:val="00A30DB3"/>
    <w:rsid w:val="00A31191"/>
    <w:rsid w:val="00A3218E"/>
    <w:rsid w:val="00A324C7"/>
    <w:rsid w:val="00A32E5C"/>
    <w:rsid w:val="00A33730"/>
    <w:rsid w:val="00A33BA2"/>
    <w:rsid w:val="00A33BC1"/>
    <w:rsid w:val="00A34CEC"/>
    <w:rsid w:val="00A34F95"/>
    <w:rsid w:val="00A354BD"/>
    <w:rsid w:val="00A35D86"/>
    <w:rsid w:val="00A36018"/>
    <w:rsid w:val="00A360A3"/>
    <w:rsid w:val="00A3614F"/>
    <w:rsid w:val="00A36829"/>
    <w:rsid w:val="00A368ED"/>
    <w:rsid w:val="00A36A8B"/>
    <w:rsid w:val="00A36C52"/>
    <w:rsid w:val="00A36C63"/>
    <w:rsid w:val="00A36DBB"/>
    <w:rsid w:val="00A37263"/>
    <w:rsid w:val="00A37284"/>
    <w:rsid w:val="00A372C3"/>
    <w:rsid w:val="00A37C18"/>
    <w:rsid w:val="00A37F12"/>
    <w:rsid w:val="00A40504"/>
    <w:rsid w:val="00A40765"/>
    <w:rsid w:val="00A4081E"/>
    <w:rsid w:val="00A40825"/>
    <w:rsid w:val="00A4082C"/>
    <w:rsid w:val="00A40A37"/>
    <w:rsid w:val="00A40B7E"/>
    <w:rsid w:val="00A41436"/>
    <w:rsid w:val="00A41906"/>
    <w:rsid w:val="00A41FFF"/>
    <w:rsid w:val="00A42BAB"/>
    <w:rsid w:val="00A43607"/>
    <w:rsid w:val="00A43FC0"/>
    <w:rsid w:val="00A444F9"/>
    <w:rsid w:val="00A44E2C"/>
    <w:rsid w:val="00A451EA"/>
    <w:rsid w:val="00A45499"/>
    <w:rsid w:val="00A45532"/>
    <w:rsid w:val="00A458C0"/>
    <w:rsid w:val="00A458CD"/>
    <w:rsid w:val="00A460BB"/>
    <w:rsid w:val="00A46590"/>
    <w:rsid w:val="00A46683"/>
    <w:rsid w:val="00A476C3"/>
    <w:rsid w:val="00A47F87"/>
    <w:rsid w:val="00A50174"/>
    <w:rsid w:val="00A5053E"/>
    <w:rsid w:val="00A508F1"/>
    <w:rsid w:val="00A50B7C"/>
    <w:rsid w:val="00A50EF7"/>
    <w:rsid w:val="00A51ADF"/>
    <w:rsid w:val="00A52051"/>
    <w:rsid w:val="00A52198"/>
    <w:rsid w:val="00A52D90"/>
    <w:rsid w:val="00A52E0D"/>
    <w:rsid w:val="00A530D3"/>
    <w:rsid w:val="00A530FD"/>
    <w:rsid w:val="00A53470"/>
    <w:rsid w:val="00A53686"/>
    <w:rsid w:val="00A53764"/>
    <w:rsid w:val="00A54242"/>
    <w:rsid w:val="00A544DE"/>
    <w:rsid w:val="00A548A1"/>
    <w:rsid w:val="00A56035"/>
    <w:rsid w:val="00A56092"/>
    <w:rsid w:val="00A5649D"/>
    <w:rsid w:val="00A564DB"/>
    <w:rsid w:val="00A566A6"/>
    <w:rsid w:val="00A56A0E"/>
    <w:rsid w:val="00A56F80"/>
    <w:rsid w:val="00A570FD"/>
    <w:rsid w:val="00A5729F"/>
    <w:rsid w:val="00A5743D"/>
    <w:rsid w:val="00A57DF3"/>
    <w:rsid w:val="00A60262"/>
    <w:rsid w:val="00A603A4"/>
    <w:rsid w:val="00A60AB8"/>
    <w:rsid w:val="00A60E2E"/>
    <w:rsid w:val="00A61625"/>
    <w:rsid w:val="00A617D0"/>
    <w:rsid w:val="00A61CCF"/>
    <w:rsid w:val="00A6245E"/>
    <w:rsid w:val="00A624BE"/>
    <w:rsid w:val="00A624FE"/>
    <w:rsid w:val="00A627D7"/>
    <w:rsid w:val="00A62980"/>
    <w:rsid w:val="00A62A78"/>
    <w:rsid w:val="00A62CC5"/>
    <w:rsid w:val="00A6331E"/>
    <w:rsid w:val="00A63445"/>
    <w:rsid w:val="00A63673"/>
    <w:rsid w:val="00A6385E"/>
    <w:rsid w:val="00A64D4B"/>
    <w:rsid w:val="00A65332"/>
    <w:rsid w:val="00A6592C"/>
    <w:rsid w:val="00A65939"/>
    <w:rsid w:val="00A65F37"/>
    <w:rsid w:val="00A66193"/>
    <w:rsid w:val="00A66C82"/>
    <w:rsid w:val="00A6725A"/>
    <w:rsid w:val="00A67371"/>
    <w:rsid w:val="00A678E7"/>
    <w:rsid w:val="00A67D47"/>
    <w:rsid w:val="00A67D69"/>
    <w:rsid w:val="00A67EE0"/>
    <w:rsid w:val="00A704B7"/>
    <w:rsid w:val="00A70CD2"/>
    <w:rsid w:val="00A714EC"/>
    <w:rsid w:val="00A715ED"/>
    <w:rsid w:val="00A7190C"/>
    <w:rsid w:val="00A719C6"/>
    <w:rsid w:val="00A71C2B"/>
    <w:rsid w:val="00A72376"/>
    <w:rsid w:val="00A723C3"/>
    <w:rsid w:val="00A727C1"/>
    <w:rsid w:val="00A72898"/>
    <w:rsid w:val="00A72F39"/>
    <w:rsid w:val="00A7371F"/>
    <w:rsid w:val="00A7410D"/>
    <w:rsid w:val="00A746F0"/>
    <w:rsid w:val="00A74855"/>
    <w:rsid w:val="00A748EA"/>
    <w:rsid w:val="00A74C04"/>
    <w:rsid w:val="00A75154"/>
    <w:rsid w:val="00A75C63"/>
    <w:rsid w:val="00A7605C"/>
    <w:rsid w:val="00A7639B"/>
    <w:rsid w:val="00A76700"/>
    <w:rsid w:val="00A77B82"/>
    <w:rsid w:val="00A80F9D"/>
    <w:rsid w:val="00A8150B"/>
    <w:rsid w:val="00A81E4F"/>
    <w:rsid w:val="00A820AD"/>
    <w:rsid w:val="00A8231A"/>
    <w:rsid w:val="00A82717"/>
    <w:rsid w:val="00A83D7C"/>
    <w:rsid w:val="00A84E88"/>
    <w:rsid w:val="00A85030"/>
    <w:rsid w:val="00A851EE"/>
    <w:rsid w:val="00A85227"/>
    <w:rsid w:val="00A859A5"/>
    <w:rsid w:val="00A85B58"/>
    <w:rsid w:val="00A85C44"/>
    <w:rsid w:val="00A86E9F"/>
    <w:rsid w:val="00A874C5"/>
    <w:rsid w:val="00A874FE"/>
    <w:rsid w:val="00A87784"/>
    <w:rsid w:val="00A878C6"/>
    <w:rsid w:val="00A9069E"/>
    <w:rsid w:val="00A9075B"/>
    <w:rsid w:val="00A90A0F"/>
    <w:rsid w:val="00A90A9C"/>
    <w:rsid w:val="00A9194C"/>
    <w:rsid w:val="00A92039"/>
    <w:rsid w:val="00A92258"/>
    <w:rsid w:val="00A9283F"/>
    <w:rsid w:val="00A92F55"/>
    <w:rsid w:val="00A94796"/>
    <w:rsid w:val="00A949A2"/>
    <w:rsid w:val="00A952DA"/>
    <w:rsid w:val="00A957FB"/>
    <w:rsid w:val="00A95D4E"/>
    <w:rsid w:val="00A95DCA"/>
    <w:rsid w:val="00A95DF1"/>
    <w:rsid w:val="00A96711"/>
    <w:rsid w:val="00A9689B"/>
    <w:rsid w:val="00A96DD1"/>
    <w:rsid w:val="00A97565"/>
    <w:rsid w:val="00A97DD9"/>
    <w:rsid w:val="00A97F32"/>
    <w:rsid w:val="00AA0512"/>
    <w:rsid w:val="00AA0C01"/>
    <w:rsid w:val="00AA0C51"/>
    <w:rsid w:val="00AA1241"/>
    <w:rsid w:val="00AA1289"/>
    <w:rsid w:val="00AA1C1D"/>
    <w:rsid w:val="00AA2253"/>
    <w:rsid w:val="00AA2457"/>
    <w:rsid w:val="00AA2B85"/>
    <w:rsid w:val="00AA30B6"/>
    <w:rsid w:val="00AA32CE"/>
    <w:rsid w:val="00AA4C2B"/>
    <w:rsid w:val="00AA4D99"/>
    <w:rsid w:val="00AA4F0D"/>
    <w:rsid w:val="00AA5F1A"/>
    <w:rsid w:val="00AA6567"/>
    <w:rsid w:val="00AA6BF7"/>
    <w:rsid w:val="00AA6CD3"/>
    <w:rsid w:val="00AA7268"/>
    <w:rsid w:val="00AA7BEA"/>
    <w:rsid w:val="00AA7CF9"/>
    <w:rsid w:val="00AA7F08"/>
    <w:rsid w:val="00AA7F27"/>
    <w:rsid w:val="00AB015E"/>
    <w:rsid w:val="00AB01D1"/>
    <w:rsid w:val="00AB0707"/>
    <w:rsid w:val="00AB0F11"/>
    <w:rsid w:val="00AB1114"/>
    <w:rsid w:val="00AB112C"/>
    <w:rsid w:val="00AB17C8"/>
    <w:rsid w:val="00AB2361"/>
    <w:rsid w:val="00AB23B1"/>
    <w:rsid w:val="00AB2563"/>
    <w:rsid w:val="00AB2921"/>
    <w:rsid w:val="00AB2A52"/>
    <w:rsid w:val="00AB2B4A"/>
    <w:rsid w:val="00AB2CD8"/>
    <w:rsid w:val="00AB2D47"/>
    <w:rsid w:val="00AB2DF6"/>
    <w:rsid w:val="00AB36CF"/>
    <w:rsid w:val="00AB3D77"/>
    <w:rsid w:val="00AB3F61"/>
    <w:rsid w:val="00AB477B"/>
    <w:rsid w:val="00AB5CB5"/>
    <w:rsid w:val="00AB612D"/>
    <w:rsid w:val="00AB6137"/>
    <w:rsid w:val="00AB638C"/>
    <w:rsid w:val="00AB6520"/>
    <w:rsid w:val="00AB6576"/>
    <w:rsid w:val="00AB66C4"/>
    <w:rsid w:val="00AB6B20"/>
    <w:rsid w:val="00AB732F"/>
    <w:rsid w:val="00AB77EB"/>
    <w:rsid w:val="00AB787F"/>
    <w:rsid w:val="00AB7C94"/>
    <w:rsid w:val="00AB7D4E"/>
    <w:rsid w:val="00AC01B3"/>
    <w:rsid w:val="00AC055A"/>
    <w:rsid w:val="00AC0562"/>
    <w:rsid w:val="00AC0935"/>
    <w:rsid w:val="00AC0AAC"/>
    <w:rsid w:val="00AC0AB2"/>
    <w:rsid w:val="00AC0D21"/>
    <w:rsid w:val="00AC178C"/>
    <w:rsid w:val="00AC1E83"/>
    <w:rsid w:val="00AC1F51"/>
    <w:rsid w:val="00AC1F77"/>
    <w:rsid w:val="00AC23B0"/>
    <w:rsid w:val="00AC2767"/>
    <w:rsid w:val="00AC2D54"/>
    <w:rsid w:val="00AC2DC9"/>
    <w:rsid w:val="00AC35C1"/>
    <w:rsid w:val="00AC3A2D"/>
    <w:rsid w:val="00AC59E0"/>
    <w:rsid w:val="00AC5A3B"/>
    <w:rsid w:val="00AC5C9F"/>
    <w:rsid w:val="00AC6174"/>
    <w:rsid w:val="00AC643E"/>
    <w:rsid w:val="00AC6469"/>
    <w:rsid w:val="00AC6825"/>
    <w:rsid w:val="00AC6AFC"/>
    <w:rsid w:val="00AC6D1D"/>
    <w:rsid w:val="00AC6F5D"/>
    <w:rsid w:val="00AC7CEB"/>
    <w:rsid w:val="00AC7FF9"/>
    <w:rsid w:val="00AD09A9"/>
    <w:rsid w:val="00AD0CE1"/>
    <w:rsid w:val="00AD1DC6"/>
    <w:rsid w:val="00AD227C"/>
    <w:rsid w:val="00AD22D4"/>
    <w:rsid w:val="00AD3559"/>
    <w:rsid w:val="00AD3844"/>
    <w:rsid w:val="00AD41B8"/>
    <w:rsid w:val="00AD492F"/>
    <w:rsid w:val="00AD4AB6"/>
    <w:rsid w:val="00AD4BF0"/>
    <w:rsid w:val="00AD4CB4"/>
    <w:rsid w:val="00AD4FA6"/>
    <w:rsid w:val="00AD51BC"/>
    <w:rsid w:val="00AD5447"/>
    <w:rsid w:val="00AD5E27"/>
    <w:rsid w:val="00AD60FF"/>
    <w:rsid w:val="00AD6F65"/>
    <w:rsid w:val="00AD7743"/>
    <w:rsid w:val="00AD7B3A"/>
    <w:rsid w:val="00AD7EA6"/>
    <w:rsid w:val="00AE0007"/>
    <w:rsid w:val="00AE004B"/>
    <w:rsid w:val="00AE06A7"/>
    <w:rsid w:val="00AE09D1"/>
    <w:rsid w:val="00AE0EAA"/>
    <w:rsid w:val="00AE10C8"/>
    <w:rsid w:val="00AE1301"/>
    <w:rsid w:val="00AE1FD7"/>
    <w:rsid w:val="00AE2204"/>
    <w:rsid w:val="00AE3102"/>
    <w:rsid w:val="00AE337F"/>
    <w:rsid w:val="00AE35C3"/>
    <w:rsid w:val="00AE36BE"/>
    <w:rsid w:val="00AE3A6A"/>
    <w:rsid w:val="00AE3A98"/>
    <w:rsid w:val="00AE3B34"/>
    <w:rsid w:val="00AE451A"/>
    <w:rsid w:val="00AE5157"/>
    <w:rsid w:val="00AE52F0"/>
    <w:rsid w:val="00AE58A0"/>
    <w:rsid w:val="00AE61DE"/>
    <w:rsid w:val="00AE63E2"/>
    <w:rsid w:val="00AE6496"/>
    <w:rsid w:val="00AE65B5"/>
    <w:rsid w:val="00AE7620"/>
    <w:rsid w:val="00AE7964"/>
    <w:rsid w:val="00AE79DD"/>
    <w:rsid w:val="00AE7FBB"/>
    <w:rsid w:val="00AF0275"/>
    <w:rsid w:val="00AF0843"/>
    <w:rsid w:val="00AF10F1"/>
    <w:rsid w:val="00AF11EF"/>
    <w:rsid w:val="00AF1335"/>
    <w:rsid w:val="00AF177F"/>
    <w:rsid w:val="00AF1BF6"/>
    <w:rsid w:val="00AF1EE5"/>
    <w:rsid w:val="00AF20A2"/>
    <w:rsid w:val="00AF21CC"/>
    <w:rsid w:val="00AF2473"/>
    <w:rsid w:val="00AF2A6F"/>
    <w:rsid w:val="00AF2BE4"/>
    <w:rsid w:val="00AF2F38"/>
    <w:rsid w:val="00AF2FF3"/>
    <w:rsid w:val="00AF31FF"/>
    <w:rsid w:val="00AF389D"/>
    <w:rsid w:val="00AF3A60"/>
    <w:rsid w:val="00AF4131"/>
    <w:rsid w:val="00AF459B"/>
    <w:rsid w:val="00AF467F"/>
    <w:rsid w:val="00AF4B11"/>
    <w:rsid w:val="00AF4C1D"/>
    <w:rsid w:val="00AF584B"/>
    <w:rsid w:val="00AF5852"/>
    <w:rsid w:val="00AF6007"/>
    <w:rsid w:val="00AF6340"/>
    <w:rsid w:val="00AF6E8A"/>
    <w:rsid w:val="00AF73AF"/>
    <w:rsid w:val="00AF759F"/>
    <w:rsid w:val="00AF7983"/>
    <w:rsid w:val="00B00985"/>
    <w:rsid w:val="00B009F5"/>
    <w:rsid w:val="00B01017"/>
    <w:rsid w:val="00B022C5"/>
    <w:rsid w:val="00B02890"/>
    <w:rsid w:val="00B0292E"/>
    <w:rsid w:val="00B03CF7"/>
    <w:rsid w:val="00B03FC3"/>
    <w:rsid w:val="00B0402C"/>
    <w:rsid w:val="00B043A0"/>
    <w:rsid w:val="00B045DE"/>
    <w:rsid w:val="00B0475B"/>
    <w:rsid w:val="00B05736"/>
    <w:rsid w:val="00B0595C"/>
    <w:rsid w:val="00B06325"/>
    <w:rsid w:val="00B0643E"/>
    <w:rsid w:val="00B06498"/>
    <w:rsid w:val="00B06BD7"/>
    <w:rsid w:val="00B07028"/>
    <w:rsid w:val="00B073B5"/>
    <w:rsid w:val="00B07591"/>
    <w:rsid w:val="00B076F2"/>
    <w:rsid w:val="00B1013E"/>
    <w:rsid w:val="00B102D2"/>
    <w:rsid w:val="00B10608"/>
    <w:rsid w:val="00B10A82"/>
    <w:rsid w:val="00B113A3"/>
    <w:rsid w:val="00B118D2"/>
    <w:rsid w:val="00B11F65"/>
    <w:rsid w:val="00B1247A"/>
    <w:rsid w:val="00B1269A"/>
    <w:rsid w:val="00B12CFD"/>
    <w:rsid w:val="00B12D81"/>
    <w:rsid w:val="00B13530"/>
    <w:rsid w:val="00B13537"/>
    <w:rsid w:val="00B136C5"/>
    <w:rsid w:val="00B13A31"/>
    <w:rsid w:val="00B148F6"/>
    <w:rsid w:val="00B14A83"/>
    <w:rsid w:val="00B15302"/>
    <w:rsid w:val="00B1587E"/>
    <w:rsid w:val="00B16365"/>
    <w:rsid w:val="00B17C20"/>
    <w:rsid w:val="00B17CD8"/>
    <w:rsid w:val="00B20524"/>
    <w:rsid w:val="00B21412"/>
    <w:rsid w:val="00B2154C"/>
    <w:rsid w:val="00B217AB"/>
    <w:rsid w:val="00B21989"/>
    <w:rsid w:val="00B219A7"/>
    <w:rsid w:val="00B2283D"/>
    <w:rsid w:val="00B22901"/>
    <w:rsid w:val="00B22AEA"/>
    <w:rsid w:val="00B231FF"/>
    <w:rsid w:val="00B2322A"/>
    <w:rsid w:val="00B23A44"/>
    <w:rsid w:val="00B245A8"/>
    <w:rsid w:val="00B248EA"/>
    <w:rsid w:val="00B24D5A"/>
    <w:rsid w:val="00B24D8F"/>
    <w:rsid w:val="00B251AF"/>
    <w:rsid w:val="00B2557B"/>
    <w:rsid w:val="00B258F8"/>
    <w:rsid w:val="00B25952"/>
    <w:rsid w:val="00B26062"/>
    <w:rsid w:val="00B26302"/>
    <w:rsid w:val="00B2669B"/>
    <w:rsid w:val="00B26FC0"/>
    <w:rsid w:val="00B27216"/>
    <w:rsid w:val="00B27323"/>
    <w:rsid w:val="00B2785F"/>
    <w:rsid w:val="00B27FDD"/>
    <w:rsid w:val="00B3023C"/>
    <w:rsid w:val="00B30DC8"/>
    <w:rsid w:val="00B3161A"/>
    <w:rsid w:val="00B31803"/>
    <w:rsid w:val="00B31830"/>
    <w:rsid w:val="00B31A49"/>
    <w:rsid w:val="00B327F2"/>
    <w:rsid w:val="00B32B9D"/>
    <w:rsid w:val="00B330EE"/>
    <w:rsid w:val="00B333C8"/>
    <w:rsid w:val="00B334D5"/>
    <w:rsid w:val="00B33C15"/>
    <w:rsid w:val="00B341D3"/>
    <w:rsid w:val="00B3428D"/>
    <w:rsid w:val="00B34779"/>
    <w:rsid w:val="00B34C28"/>
    <w:rsid w:val="00B34C2A"/>
    <w:rsid w:val="00B35460"/>
    <w:rsid w:val="00B3546A"/>
    <w:rsid w:val="00B354B8"/>
    <w:rsid w:val="00B35F1F"/>
    <w:rsid w:val="00B35FA3"/>
    <w:rsid w:val="00B36BAB"/>
    <w:rsid w:val="00B36F3D"/>
    <w:rsid w:val="00B37414"/>
    <w:rsid w:val="00B3753A"/>
    <w:rsid w:val="00B37885"/>
    <w:rsid w:val="00B37AED"/>
    <w:rsid w:val="00B37B2B"/>
    <w:rsid w:val="00B402EE"/>
    <w:rsid w:val="00B40D91"/>
    <w:rsid w:val="00B40E05"/>
    <w:rsid w:val="00B41541"/>
    <w:rsid w:val="00B41681"/>
    <w:rsid w:val="00B41A88"/>
    <w:rsid w:val="00B41A97"/>
    <w:rsid w:val="00B42186"/>
    <w:rsid w:val="00B42848"/>
    <w:rsid w:val="00B43A86"/>
    <w:rsid w:val="00B442B7"/>
    <w:rsid w:val="00B4477A"/>
    <w:rsid w:val="00B44D5B"/>
    <w:rsid w:val="00B450D9"/>
    <w:rsid w:val="00B45139"/>
    <w:rsid w:val="00B45332"/>
    <w:rsid w:val="00B453DD"/>
    <w:rsid w:val="00B4633D"/>
    <w:rsid w:val="00B465D3"/>
    <w:rsid w:val="00B46CEE"/>
    <w:rsid w:val="00B47FE3"/>
    <w:rsid w:val="00B50325"/>
    <w:rsid w:val="00B503E8"/>
    <w:rsid w:val="00B50DDE"/>
    <w:rsid w:val="00B51569"/>
    <w:rsid w:val="00B51796"/>
    <w:rsid w:val="00B51A45"/>
    <w:rsid w:val="00B51B40"/>
    <w:rsid w:val="00B51B8A"/>
    <w:rsid w:val="00B52BD0"/>
    <w:rsid w:val="00B52CB7"/>
    <w:rsid w:val="00B538C0"/>
    <w:rsid w:val="00B5403A"/>
    <w:rsid w:val="00B5438D"/>
    <w:rsid w:val="00B543E0"/>
    <w:rsid w:val="00B543E7"/>
    <w:rsid w:val="00B54801"/>
    <w:rsid w:val="00B54D27"/>
    <w:rsid w:val="00B54F93"/>
    <w:rsid w:val="00B55520"/>
    <w:rsid w:val="00B556BA"/>
    <w:rsid w:val="00B557FD"/>
    <w:rsid w:val="00B56768"/>
    <w:rsid w:val="00B567B2"/>
    <w:rsid w:val="00B56CA7"/>
    <w:rsid w:val="00B56E3C"/>
    <w:rsid w:val="00B5730B"/>
    <w:rsid w:val="00B573DD"/>
    <w:rsid w:val="00B578B2"/>
    <w:rsid w:val="00B5790B"/>
    <w:rsid w:val="00B57943"/>
    <w:rsid w:val="00B57FD4"/>
    <w:rsid w:val="00B6015F"/>
    <w:rsid w:val="00B60579"/>
    <w:rsid w:val="00B6079C"/>
    <w:rsid w:val="00B609E7"/>
    <w:rsid w:val="00B610B3"/>
    <w:rsid w:val="00B61297"/>
    <w:rsid w:val="00B61462"/>
    <w:rsid w:val="00B617AA"/>
    <w:rsid w:val="00B617BD"/>
    <w:rsid w:val="00B6212F"/>
    <w:rsid w:val="00B627C0"/>
    <w:rsid w:val="00B628B9"/>
    <w:rsid w:val="00B62903"/>
    <w:rsid w:val="00B62AC9"/>
    <w:rsid w:val="00B62DEC"/>
    <w:rsid w:val="00B632F9"/>
    <w:rsid w:val="00B6449F"/>
    <w:rsid w:val="00B64928"/>
    <w:rsid w:val="00B64AAA"/>
    <w:rsid w:val="00B656F4"/>
    <w:rsid w:val="00B6619E"/>
    <w:rsid w:val="00B665E7"/>
    <w:rsid w:val="00B666AB"/>
    <w:rsid w:val="00B67B81"/>
    <w:rsid w:val="00B67CCF"/>
    <w:rsid w:val="00B702C1"/>
    <w:rsid w:val="00B7144A"/>
    <w:rsid w:val="00B71592"/>
    <w:rsid w:val="00B71D01"/>
    <w:rsid w:val="00B71FB0"/>
    <w:rsid w:val="00B723EE"/>
    <w:rsid w:val="00B742AB"/>
    <w:rsid w:val="00B745A3"/>
    <w:rsid w:val="00B74ACF"/>
    <w:rsid w:val="00B74DC7"/>
    <w:rsid w:val="00B75376"/>
    <w:rsid w:val="00B7619F"/>
    <w:rsid w:val="00B76567"/>
    <w:rsid w:val="00B7691F"/>
    <w:rsid w:val="00B770D0"/>
    <w:rsid w:val="00B774BE"/>
    <w:rsid w:val="00B77510"/>
    <w:rsid w:val="00B77995"/>
    <w:rsid w:val="00B77E72"/>
    <w:rsid w:val="00B77ED9"/>
    <w:rsid w:val="00B80051"/>
    <w:rsid w:val="00B80407"/>
    <w:rsid w:val="00B8080B"/>
    <w:rsid w:val="00B80BC6"/>
    <w:rsid w:val="00B80E6A"/>
    <w:rsid w:val="00B8181A"/>
    <w:rsid w:val="00B819F5"/>
    <w:rsid w:val="00B81FFA"/>
    <w:rsid w:val="00B82067"/>
    <w:rsid w:val="00B8373F"/>
    <w:rsid w:val="00B8389A"/>
    <w:rsid w:val="00B839BA"/>
    <w:rsid w:val="00B83A82"/>
    <w:rsid w:val="00B83BA2"/>
    <w:rsid w:val="00B84035"/>
    <w:rsid w:val="00B84047"/>
    <w:rsid w:val="00B84450"/>
    <w:rsid w:val="00B849FE"/>
    <w:rsid w:val="00B852EE"/>
    <w:rsid w:val="00B85979"/>
    <w:rsid w:val="00B85BAD"/>
    <w:rsid w:val="00B85D81"/>
    <w:rsid w:val="00B8600D"/>
    <w:rsid w:val="00B860F5"/>
    <w:rsid w:val="00B862DD"/>
    <w:rsid w:val="00B866DA"/>
    <w:rsid w:val="00B86A59"/>
    <w:rsid w:val="00B86E9A"/>
    <w:rsid w:val="00B8720C"/>
    <w:rsid w:val="00B87908"/>
    <w:rsid w:val="00B901EF"/>
    <w:rsid w:val="00B903F0"/>
    <w:rsid w:val="00B90B5B"/>
    <w:rsid w:val="00B90DC4"/>
    <w:rsid w:val="00B91509"/>
    <w:rsid w:val="00B91CF6"/>
    <w:rsid w:val="00B924F0"/>
    <w:rsid w:val="00B92722"/>
    <w:rsid w:val="00B92963"/>
    <w:rsid w:val="00B92A8E"/>
    <w:rsid w:val="00B92E57"/>
    <w:rsid w:val="00B930E6"/>
    <w:rsid w:val="00B93287"/>
    <w:rsid w:val="00B9339A"/>
    <w:rsid w:val="00B933DE"/>
    <w:rsid w:val="00B93932"/>
    <w:rsid w:val="00B93A69"/>
    <w:rsid w:val="00B93E0B"/>
    <w:rsid w:val="00B940E3"/>
    <w:rsid w:val="00B9485A"/>
    <w:rsid w:val="00B94B34"/>
    <w:rsid w:val="00B95344"/>
    <w:rsid w:val="00B95D81"/>
    <w:rsid w:val="00B96A29"/>
    <w:rsid w:val="00B96E3A"/>
    <w:rsid w:val="00B97169"/>
    <w:rsid w:val="00B9791A"/>
    <w:rsid w:val="00B979E1"/>
    <w:rsid w:val="00BA02E1"/>
    <w:rsid w:val="00BA06BD"/>
    <w:rsid w:val="00BA0AAC"/>
    <w:rsid w:val="00BA0E00"/>
    <w:rsid w:val="00BA0FC0"/>
    <w:rsid w:val="00BA1371"/>
    <w:rsid w:val="00BA1407"/>
    <w:rsid w:val="00BA16B8"/>
    <w:rsid w:val="00BA18BA"/>
    <w:rsid w:val="00BA1C01"/>
    <w:rsid w:val="00BA227F"/>
    <w:rsid w:val="00BA2C5A"/>
    <w:rsid w:val="00BA30AE"/>
    <w:rsid w:val="00BA3398"/>
    <w:rsid w:val="00BA33BD"/>
    <w:rsid w:val="00BA3931"/>
    <w:rsid w:val="00BA3A3C"/>
    <w:rsid w:val="00BA3E60"/>
    <w:rsid w:val="00BA4160"/>
    <w:rsid w:val="00BA4586"/>
    <w:rsid w:val="00BA4970"/>
    <w:rsid w:val="00BA4D99"/>
    <w:rsid w:val="00BA50E9"/>
    <w:rsid w:val="00BA55C9"/>
    <w:rsid w:val="00BA55DE"/>
    <w:rsid w:val="00BA6197"/>
    <w:rsid w:val="00BA6871"/>
    <w:rsid w:val="00BA73FF"/>
    <w:rsid w:val="00BA76C0"/>
    <w:rsid w:val="00BA76D9"/>
    <w:rsid w:val="00BA7954"/>
    <w:rsid w:val="00BA7A03"/>
    <w:rsid w:val="00BA7DD5"/>
    <w:rsid w:val="00BB0507"/>
    <w:rsid w:val="00BB09D1"/>
    <w:rsid w:val="00BB0B46"/>
    <w:rsid w:val="00BB0C65"/>
    <w:rsid w:val="00BB0C80"/>
    <w:rsid w:val="00BB1EF4"/>
    <w:rsid w:val="00BB264C"/>
    <w:rsid w:val="00BB29BE"/>
    <w:rsid w:val="00BB2A19"/>
    <w:rsid w:val="00BB2C36"/>
    <w:rsid w:val="00BB3042"/>
    <w:rsid w:val="00BB3623"/>
    <w:rsid w:val="00BB3902"/>
    <w:rsid w:val="00BB3FF4"/>
    <w:rsid w:val="00BB41F2"/>
    <w:rsid w:val="00BB4549"/>
    <w:rsid w:val="00BB54D3"/>
    <w:rsid w:val="00BB5B3C"/>
    <w:rsid w:val="00BB64EE"/>
    <w:rsid w:val="00BB6591"/>
    <w:rsid w:val="00BB663E"/>
    <w:rsid w:val="00BB6B8B"/>
    <w:rsid w:val="00BB751F"/>
    <w:rsid w:val="00BB76E2"/>
    <w:rsid w:val="00BB7D0E"/>
    <w:rsid w:val="00BC0551"/>
    <w:rsid w:val="00BC0F6D"/>
    <w:rsid w:val="00BC184D"/>
    <w:rsid w:val="00BC1A86"/>
    <w:rsid w:val="00BC1CDC"/>
    <w:rsid w:val="00BC1EAC"/>
    <w:rsid w:val="00BC243E"/>
    <w:rsid w:val="00BC2855"/>
    <w:rsid w:val="00BC2950"/>
    <w:rsid w:val="00BC346F"/>
    <w:rsid w:val="00BC3AF2"/>
    <w:rsid w:val="00BC3BD6"/>
    <w:rsid w:val="00BC3D98"/>
    <w:rsid w:val="00BC4DF0"/>
    <w:rsid w:val="00BC4E27"/>
    <w:rsid w:val="00BC5192"/>
    <w:rsid w:val="00BC5498"/>
    <w:rsid w:val="00BC579F"/>
    <w:rsid w:val="00BC5E51"/>
    <w:rsid w:val="00BC604E"/>
    <w:rsid w:val="00BC611A"/>
    <w:rsid w:val="00BC629E"/>
    <w:rsid w:val="00BC63D3"/>
    <w:rsid w:val="00BC653A"/>
    <w:rsid w:val="00BC65FA"/>
    <w:rsid w:val="00BC6BE0"/>
    <w:rsid w:val="00BC760B"/>
    <w:rsid w:val="00BC76F9"/>
    <w:rsid w:val="00BC7D8C"/>
    <w:rsid w:val="00BD0201"/>
    <w:rsid w:val="00BD07F0"/>
    <w:rsid w:val="00BD0903"/>
    <w:rsid w:val="00BD10C3"/>
    <w:rsid w:val="00BD1237"/>
    <w:rsid w:val="00BD14F9"/>
    <w:rsid w:val="00BD1A51"/>
    <w:rsid w:val="00BD1C2E"/>
    <w:rsid w:val="00BD2096"/>
    <w:rsid w:val="00BD21BC"/>
    <w:rsid w:val="00BD2661"/>
    <w:rsid w:val="00BD274D"/>
    <w:rsid w:val="00BD2765"/>
    <w:rsid w:val="00BD2DD2"/>
    <w:rsid w:val="00BD368C"/>
    <w:rsid w:val="00BD40B2"/>
    <w:rsid w:val="00BD45E7"/>
    <w:rsid w:val="00BD4890"/>
    <w:rsid w:val="00BD51EE"/>
    <w:rsid w:val="00BD54A3"/>
    <w:rsid w:val="00BD59D9"/>
    <w:rsid w:val="00BD5B73"/>
    <w:rsid w:val="00BD5D16"/>
    <w:rsid w:val="00BD6128"/>
    <w:rsid w:val="00BD6449"/>
    <w:rsid w:val="00BD656E"/>
    <w:rsid w:val="00BD6745"/>
    <w:rsid w:val="00BD679A"/>
    <w:rsid w:val="00BD68DA"/>
    <w:rsid w:val="00BD6FCB"/>
    <w:rsid w:val="00BD73FB"/>
    <w:rsid w:val="00BD752B"/>
    <w:rsid w:val="00BE0906"/>
    <w:rsid w:val="00BE0B61"/>
    <w:rsid w:val="00BE0F36"/>
    <w:rsid w:val="00BE12C0"/>
    <w:rsid w:val="00BE1ED1"/>
    <w:rsid w:val="00BE2255"/>
    <w:rsid w:val="00BE297B"/>
    <w:rsid w:val="00BE2FE1"/>
    <w:rsid w:val="00BE3AE6"/>
    <w:rsid w:val="00BE445A"/>
    <w:rsid w:val="00BE446C"/>
    <w:rsid w:val="00BE47A8"/>
    <w:rsid w:val="00BE4D2D"/>
    <w:rsid w:val="00BE501F"/>
    <w:rsid w:val="00BE50D4"/>
    <w:rsid w:val="00BE6696"/>
    <w:rsid w:val="00BE676C"/>
    <w:rsid w:val="00BE685F"/>
    <w:rsid w:val="00BE6B28"/>
    <w:rsid w:val="00BE6BA7"/>
    <w:rsid w:val="00BE6FE9"/>
    <w:rsid w:val="00BE7016"/>
    <w:rsid w:val="00BE769B"/>
    <w:rsid w:val="00BE7AC8"/>
    <w:rsid w:val="00BE7D4C"/>
    <w:rsid w:val="00BF053E"/>
    <w:rsid w:val="00BF0833"/>
    <w:rsid w:val="00BF0BA8"/>
    <w:rsid w:val="00BF0C64"/>
    <w:rsid w:val="00BF0D3E"/>
    <w:rsid w:val="00BF16A4"/>
    <w:rsid w:val="00BF1CEB"/>
    <w:rsid w:val="00BF2A65"/>
    <w:rsid w:val="00BF2E71"/>
    <w:rsid w:val="00BF2FCC"/>
    <w:rsid w:val="00BF3506"/>
    <w:rsid w:val="00BF3C79"/>
    <w:rsid w:val="00BF415A"/>
    <w:rsid w:val="00BF4900"/>
    <w:rsid w:val="00BF4F72"/>
    <w:rsid w:val="00BF53AC"/>
    <w:rsid w:val="00BF543D"/>
    <w:rsid w:val="00BF5822"/>
    <w:rsid w:val="00BF5945"/>
    <w:rsid w:val="00BF5AE9"/>
    <w:rsid w:val="00BF5B42"/>
    <w:rsid w:val="00BF5F2B"/>
    <w:rsid w:val="00BF5FA8"/>
    <w:rsid w:val="00BF5FFE"/>
    <w:rsid w:val="00BF6294"/>
    <w:rsid w:val="00BF6933"/>
    <w:rsid w:val="00BF7127"/>
    <w:rsid w:val="00BF71A7"/>
    <w:rsid w:val="00BF74B4"/>
    <w:rsid w:val="00BF78F0"/>
    <w:rsid w:val="00BF799F"/>
    <w:rsid w:val="00BF7B8F"/>
    <w:rsid w:val="00C00054"/>
    <w:rsid w:val="00C003DD"/>
    <w:rsid w:val="00C00C09"/>
    <w:rsid w:val="00C00DA4"/>
    <w:rsid w:val="00C010F2"/>
    <w:rsid w:val="00C011A1"/>
    <w:rsid w:val="00C01293"/>
    <w:rsid w:val="00C01652"/>
    <w:rsid w:val="00C019B3"/>
    <w:rsid w:val="00C01BD9"/>
    <w:rsid w:val="00C01DDC"/>
    <w:rsid w:val="00C0226D"/>
    <w:rsid w:val="00C0279F"/>
    <w:rsid w:val="00C02DEF"/>
    <w:rsid w:val="00C02E3E"/>
    <w:rsid w:val="00C032A8"/>
    <w:rsid w:val="00C03469"/>
    <w:rsid w:val="00C0357E"/>
    <w:rsid w:val="00C0381E"/>
    <w:rsid w:val="00C03CC7"/>
    <w:rsid w:val="00C04E91"/>
    <w:rsid w:val="00C04EC6"/>
    <w:rsid w:val="00C0502A"/>
    <w:rsid w:val="00C0510D"/>
    <w:rsid w:val="00C05D00"/>
    <w:rsid w:val="00C061F2"/>
    <w:rsid w:val="00C064AD"/>
    <w:rsid w:val="00C0684A"/>
    <w:rsid w:val="00C07915"/>
    <w:rsid w:val="00C079FE"/>
    <w:rsid w:val="00C1003B"/>
    <w:rsid w:val="00C10A03"/>
    <w:rsid w:val="00C10ADA"/>
    <w:rsid w:val="00C11C93"/>
    <w:rsid w:val="00C1288C"/>
    <w:rsid w:val="00C12F0E"/>
    <w:rsid w:val="00C1300C"/>
    <w:rsid w:val="00C13071"/>
    <w:rsid w:val="00C139C8"/>
    <w:rsid w:val="00C14EAE"/>
    <w:rsid w:val="00C14FAB"/>
    <w:rsid w:val="00C15012"/>
    <w:rsid w:val="00C15367"/>
    <w:rsid w:val="00C16017"/>
    <w:rsid w:val="00C165C6"/>
    <w:rsid w:val="00C17110"/>
    <w:rsid w:val="00C207EF"/>
    <w:rsid w:val="00C20C5D"/>
    <w:rsid w:val="00C20EAC"/>
    <w:rsid w:val="00C210C5"/>
    <w:rsid w:val="00C2110E"/>
    <w:rsid w:val="00C2194D"/>
    <w:rsid w:val="00C21A28"/>
    <w:rsid w:val="00C21BC1"/>
    <w:rsid w:val="00C2222A"/>
    <w:rsid w:val="00C22B28"/>
    <w:rsid w:val="00C22B54"/>
    <w:rsid w:val="00C22C78"/>
    <w:rsid w:val="00C22D17"/>
    <w:rsid w:val="00C2305E"/>
    <w:rsid w:val="00C23210"/>
    <w:rsid w:val="00C236CA"/>
    <w:rsid w:val="00C23716"/>
    <w:rsid w:val="00C23880"/>
    <w:rsid w:val="00C23E0E"/>
    <w:rsid w:val="00C23F59"/>
    <w:rsid w:val="00C240AE"/>
    <w:rsid w:val="00C240B5"/>
    <w:rsid w:val="00C24B20"/>
    <w:rsid w:val="00C24DE1"/>
    <w:rsid w:val="00C25AD1"/>
    <w:rsid w:val="00C2697F"/>
    <w:rsid w:val="00C2756C"/>
    <w:rsid w:val="00C27CF8"/>
    <w:rsid w:val="00C300CB"/>
    <w:rsid w:val="00C30C8B"/>
    <w:rsid w:val="00C30D03"/>
    <w:rsid w:val="00C31311"/>
    <w:rsid w:val="00C313A4"/>
    <w:rsid w:val="00C3168E"/>
    <w:rsid w:val="00C318C4"/>
    <w:rsid w:val="00C31C99"/>
    <w:rsid w:val="00C31CD5"/>
    <w:rsid w:val="00C321B8"/>
    <w:rsid w:val="00C32A1B"/>
    <w:rsid w:val="00C32A8D"/>
    <w:rsid w:val="00C330AD"/>
    <w:rsid w:val="00C33294"/>
    <w:rsid w:val="00C335D1"/>
    <w:rsid w:val="00C33783"/>
    <w:rsid w:val="00C338C2"/>
    <w:rsid w:val="00C3398F"/>
    <w:rsid w:val="00C33A18"/>
    <w:rsid w:val="00C34CFB"/>
    <w:rsid w:val="00C34E01"/>
    <w:rsid w:val="00C3584A"/>
    <w:rsid w:val="00C35879"/>
    <w:rsid w:val="00C358A7"/>
    <w:rsid w:val="00C35907"/>
    <w:rsid w:val="00C35EA6"/>
    <w:rsid w:val="00C3606F"/>
    <w:rsid w:val="00C36CFD"/>
    <w:rsid w:val="00C375CB"/>
    <w:rsid w:val="00C376D0"/>
    <w:rsid w:val="00C37990"/>
    <w:rsid w:val="00C37E38"/>
    <w:rsid w:val="00C4001D"/>
    <w:rsid w:val="00C41425"/>
    <w:rsid w:val="00C41441"/>
    <w:rsid w:val="00C41867"/>
    <w:rsid w:val="00C41BE4"/>
    <w:rsid w:val="00C41E9A"/>
    <w:rsid w:val="00C4254F"/>
    <w:rsid w:val="00C42788"/>
    <w:rsid w:val="00C43048"/>
    <w:rsid w:val="00C43132"/>
    <w:rsid w:val="00C43335"/>
    <w:rsid w:val="00C44BE9"/>
    <w:rsid w:val="00C44EBF"/>
    <w:rsid w:val="00C45015"/>
    <w:rsid w:val="00C4512F"/>
    <w:rsid w:val="00C459D8"/>
    <w:rsid w:val="00C45D76"/>
    <w:rsid w:val="00C45F18"/>
    <w:rsid w:val="00C46CE5"/>
    <w:rsid w:val="00C46E25"/>
    <w:rsid w:val="00C47075"/>
    <w:rsid w:val="00C47316"/>
    <w:rsid w:val="00C477AE"/>
    <w:rsid w:val="00C47CE0"/>
    <w:rsid w:val="00C47F61"/>
    <w:rsid w:val="00C502CC"/>
    <w:rsid w:val="00C506C7"/>
    <w:rsid w:val="00C50C79"/>
    <w:rsid w:val="00C51228"/>
    <w:rsid w:val="00C5184A"/>
    <w:rsid w:val="00C51A7D"/>
    <w:rsid w:val="00C52365"/>
    <w:rsid w:val="00C523B4"/>
    <w:rsid w:val="00C5287C"/>
    <w:rsid w:val="00C52C6D"/>
    <w:rsid w:val="00C5399F"/>
    <w:rsid w:val="00C550CC"/>
    <w:rsid w:val="00C55A74"/>
    <w:rsid w:val="00C56183"/>
    <w:rsid w:val="00C567A6"/>
    <w:rsid w:val="00C56874"/>
    <w:rsid w:val="00C56FB9"/>
    <w:rsid w:val="00C5736D"/>
    <w:rsid w:val="00C57C43"/>
    <w:rsid w:val="00C57C74"/>
    <w:rsid w:val="00C57DC2"/>
    <w:rsid w:val="00C600A7"/>
    <w:rsid w:val="00C602E7"/>
    <w:rsid w:val="00C605EA"/>
    <w:rsid w:val="00C60809"/>
    <w:rsid w:val="00C60816"/>
    <w:rsid w:val="00C60B04"/>
    <w:rsid w:val="00C61046"/>
    <w:rsid w:val="00C611E0"/>
    <w:rsid w:val="00C61223"/>
    <w:rsid w:val="00C61265"/>
    <w:rsid w:val="00C61861"/>
    <w:rsid w:val="00C61AD7"/>
    <w:rsid w:val="00C61FEC"/>
    <w:rsid w:val="00C623E2"/>
    <w:rsid w:val="00C6252E"/>
    <w:rsid w:val="00C62A43"/>
    <w:rsid w:val="00C62F62"/>
    <w:rsid w:val="00C6313F"/>
    <w:rsid w:val="00C63BB7"/>
    <w:rsid w:val="00C642B2"/>
    <w:rsid w:val="00C64511"/>
    <w:rsid w:val="00C64A78"/>
    <w:rsid w:val="00C64DC5"/>
    <w:rsid w:val="00C65CB7"/>
    <w:rsid w:val="00C66763"/>
    <w:rsid w:val="00C6678D"/>
    <w:rsid w:val="00C66A1F"/>
    <w:rsid w:val="00C66E88"/>
    <w:rsid w:val="00C6733A"/>
    <w:rsid w:val="00C673C1"/>
    <w:rsid w:val="00C67660"/>
    <w:rsid w:val="00C701DF"/>
    <w:rsid w:val="00C7084A"/>
    <w:rsid w:val="00C70DCE"/>
    <w:rsid w:val="00C70F33"/>
    <w:rsid w:val="00C71161"/>
    <w:rsid w:val="00C71646"/>
    <w:rsid w:val="00C71E6B"/>
    <w:rsid w:val="00C72EB4"/>
    <w:rsid w:val="00C73392"/>
    <w:rsid w:val="00C73500"/>
    <w:rsid w:val="00C73832"/>
    <w:rsid w:val="00C7384A"/>
    <w:rsid w:val="00C739C6"/>
    <w:rsid w:val="00C74007"/>
    <w:rsid w:val="00C741A4"/>
    <w:rsid w:val="00C741E3"/>
    <w:rsid w:val="00C7468F"/>
    <w:rsid w:val="00C746DC"/>
    <w:rsid w:val="00C74986"/>
    <w:rsid w:val="00C74DF7"/>
    <w:rsid w:val="00C751DD"/>
    <w:rsid w:val="00C7525D"/>
    <w:rsid w:val="00C755CD"/>
    <w:rsid w:val="00C758D9"/>
    <w:rsid w:val="00C758E5"/>
    <w:rsid w:val="00C75CBC"/>
    <w:rsid w:val="00C75EF8"/>
    <w:rsid w:val="00C75F12"/>
    <w:rsid w:val="00C760B2"/>
    <w:rsid w:val="00C7612C"/>
    <w:rsid w:val="00C76549"/>
    <w:rsid w:val="00C76BA4"/>
    <w:rsid w:val="00C77098"/>
    <w:rsid w:val="00C77A99"/>
    <w:rsid w:val="00C77BFF"/>
    <w:rsid w:val="00C80847"/>
    <w:rsid w:val="00C80956"/>
    <w:rsid w:val="00C80F7D"/>
    <w:rsid w:val="00C81D2E"/>
    <w:rsid w:val="00C82C63"/>
    <w:rsid w:val="00C83369"/>
    <w:rsid w:val="00C83500"/>
    <w:rsid w:val="00C83612"/>
    <w:rsid w:val="00C83B4A"/>
    <w:rsid w:val="00C83E43"/>
    <w:rsid w:val="00C84013"/>
    <w:rsid w:val="00C84571"/>
    <w:rsid w:val="00C84872"/>
    <w:rsid w:val="00C84FA3"/>
    <w:rsid w:val="00C853C7"/>
    <w:rsid w:val="00C85450"/>
    <w:rsid w:val="00C864BA"/>
    <w:rsid w:val="00C86748"/>
    <w:rsid w:val="00C867B0"/>
    <w:rsid w:val="00C86B5F"/>
    <w:rsid w:val="00C870C2"/>
    <w:rsid w:val="00C87D9C"/>
    <w:rsid w:val="00C90199"/>
    <w:rsid w:val="00C90790"/>
    <w:rsid w:val="00C908DE"/>
    <w:rsid w:val="00C90DC6"/>
    <w:rsid w:val="00C91034"/>
    <w:rsid w:val="00C9121A"/>
    <w:rsid w:val="00C91374"/>
    <w:rsid w:val="00C914A9"/>
    <w:rsid w:val="00C91830"/>
    <w:rsid w:val="00C91AE8"/>
    <w:rsid w:val="00C91BD3"/>
    <w:rsid w:val="00C92347"/>
    <w:rsid w:val="00C92EF1"/>
    <w:rsid w:val="00C92F72"/>
    <w:rsid w:val="00C93108"/>
    <w:rsid w:val="00C93255"/>
    <w:rsid w:val="00C934E5"/>
    <w:rsid w:val="00C93982"/>
    <w:rsid w:val="00C939A3"/>
    <w:rsid w:val="00C944EC"/>
    <w:rsid w:val="00C9461E"/>
    <w:rsid w:val="00C948B9"/>
    <w:rsid w:val="00C94BC1"/>
    <w:rsid w:val="00C94D70"/>
    <w:rsid w:val="00C9558A"/>
    <w:rsid w:val="00C95A36"/>
    <w:rsid w:val="00C95A95"/>
    <w:rsid w:val="00C95D23"/>
    <w:rsid w:val="00C962EA"/>
    <w:rsid w:val="00C96417"/>
    <w:rsid w:val="00C9646A"/>
    <w:rsid w:val="00C96673"/>
    <w:rsid w:val="00C96BFE"/>
    <w:rsid w:val="00C975CB"/>
    <w:rsid w:val="00C978DA"/>
    <w:rsid w:val="00CA0106"/>
    <w:rsid w:val="00CA09D6"/>
    <w:rsid w:val="00CA1269"/>
    <w:rsid w:val="00CA1599"/>
    <w:rsid w:val="00CA16A7"/>
    <w:rsid w:val="00CA1D1C"/>
    <w:rsid w:val="00CA1D68"/>
    <w:rsid w:val="00CA2152"/>
    <w:rsid w:val="00CA2519"/>
    <w:rsid w:val="00CA2587"/>
    <w:rsid w:val="00CA28E5"/>
    <w:rsid w:val="00CA28FB"/>
    <w:rsid w:val="00CA2D02"/>
    <w:rsid w:val="00CA2DDB"/>
    <w:rsid w:val="00CA2E7E"/>
    <w:rsid w:val="00CA2F35"/>
    <w:rsid w:val="00CA4A67"/>
    <w:rsid w:val="00CA4FCA"/>
    <w:rsid w:val="00CA50BA"/>
    <w:rsid w:val="00CA5188"/>
    <w:rsid w:val="00CA51EC"/>
    <w:rsid w:val="00CA5228"/>
    <w:rsid w:val="00CA5272"/>
    <w:rsid w:val="00CA5C4F"/>
    <w:rsid w:val="00CA5FC2"/>
    <w:rsid w:val="00CA5FE5"/>
    <w:rsid w:val="00CA63FC"/>
    <w:rsid w:val="00CA647E"/>
    <w:rsid w:val="00CA6480"/>
    <w:rsid w:val="00CA6BB9"/>
    <w:rsid w:val="00CA6BBD"/>
    <w:rsid w:val="00CA72B7"/>
    <w:rsid w:val="00CA752C"/>
    <w:rsid w:val="00CB0573"/>
    <w:rsid w:val="00CB0901"/>
    <w:rsid w:val="00CB0C6B"/>
    <w:rsid w:val="00CB1076"/>
    <w:rsid w:val="00CB1082"/>
    <w:rsid w:val="00CB174F"/>
    <w:rsid w:val="00CB18FE"/>
    <w:rsid w:val="00CB1986"/>
    <w:rsid w:val="00CB2B3D"/>
    <w:rsid w:val="00CB3222"/>
    <w:rsid w:val="00CB364F"/>
    <w:rsid w:val="00CB3B8B"/>
    <w:rsid w:val="00CB3EDC"/>
    <w:rsid w:val="00CB3F8A"/>
    <w:rsid w:val="00CB4034"/>
    <w:rsid w:val="00CB4C4C"/>
    <w:rsid w:val="00CB514C"/>
    <w:rsid w:val="00CB56CC"/>
    <w:rsid w:val="00CB5857"/>
    <w:rsid w:val="00CB58B3"/>
    <w:rsid w:val="00CB5AE9"/>
    <w:rsid w:val="00CB614F"/>
    <w:rsid w:val="00CB6C43"/>
    <w:rsid w:val="00CB6E99"/>
    <w:rsid w:val="00CB78D5"/>
    <w:rsid w:val="00CB79B7"/>
    <w:rsid w:val="00CC008B"/>
    <w:rsid w:val="00CC036D"/>
    <w:rsid w:val="00CC0B6B"/>
    <w:rsid w:val="00CC1EF2"/>
    <w:rsid w:val="00CC26D5"/>
    <w:rsid w:val="00CC2D25"/>
    <w:rsid w:val="00CC3710"/>
    <w:rsid w:val="00CC3E50"/>
    <w:rsid w:val="00CC465A"/>
    <w:rsid w:val="00CC4978"/>
    <w:rsid w:val="00CC51A7"/>
    <w:rsid w:val="00CC51DD"/>
    <w:rsid w:val="00CC53FB"/>
    <w:rsid w:val="00CC5E7C"/>
    <w:rsid w:val="00CC63E8"/>
    <w:rsid w:val="00CC648A"/>
    <w:rsid w:val="00CC6BF6"/>
    <w:rsid w:val="00CC763A"/>
    <w:rsid w:val="00CC765B"/>
    <w:rsid w:val="00CC7944"/>
    <w:rsid w:val="00CC7B96"/>
    <w:rsid w:val="00CC7CDF"/>
    <w:rsid w:val="00CD02DC"/>
    <w:rsid w:val="00CD0709"/>
    <w:rsid w:val="00CD0A92"/>
    <w:rsid w:val="00CD0EAF"/>
    <w:rsid w:val="00CD12F6"/>
    <w:rsid w:val="00CD16BA"/>
    <w:rsid w:val="00CD1B24"/>
    <w:rsid w:val="00CD1FB4"/>
    <w:rsid w:val="00CD24C1"/>
    <w:rsid w:val="00CD2A15"/>
    <w:rsid w:val="00CD2D51"/>
    <w:rsid w:val="00CD326A"/>
    <w:rsid w:val="00CD37AE"/>
    <w:rsid w:val="00CD4A1E"/>
    <w:rsid w:val="00CD4A4E"/>
    <w:rsid w:val="00CD4CC9"/>
    <w:rsid w:val="00CD4D57"/>
    <w:rsid w:val="00CD549B"/>
    <w:rsid w:val="00CD56FF"/>
    <w:rsid w:val="00CD5D6A"/>
    <w:rsid w:val="00CD5E84"/>
    <w:rsid w:val="00CD6282"/>
    <w:rsid w:val="00CD7048"/>
    <w:rsid w:val="00CD73D7"/>
    <w:rsid w:val="00CD7459"/>
    <w:rsid w:val="00CD7566"/>
    <w:rsid w:val="00CD78C3"/>
    <w:rsid w:val="00CE043C"/>
    <w:rsid w:val="00CE08D6"/>
    <w:rsid w:val="00CE1657"/>
    <w:rsid w:val="00CE1927"/>
    <w:rsid w:val="00CE1A38"/>
    <w:rsid w:val="00CE1ACF"/>
    <w:rsid w:val="00CE1FB5"/>
    <w:rsid w:val="00CE20D7"/>
    <w:rsid w:val="00CE294A"/>
    <w:rsid w:val="00CE3013"/>
    <w:rsid w:val="00CE38B5"/>
    <w:rsid w:val="00CE3C5B"/>
    <w:rsid w:val="00CE4357"/>
    <w:rsid w:val="00CE4EBF"/>
    <w:rsid w:val="00CE526B"/>
    <w:rsid w:val="00CE5532"/>
    <w:rsid w:val="00CE5789"/>
    <w:rsid w:val="00CE5A90"/>
    <w:rsid w:val="00CE5DBB"/>
    <w:rsid w:val="00CE5DD4"/>
    <w:rsid w:val="00CE69DC"/>
    <w:rsid w:val="00CE6D01"/>
    <w:rsid w:val="00CE754C"/>
    <w:rsid w:val="00CE76A4"/>
    <w:rsid w:val="00CE7914"/>
    <w:rsid w:val="00CF094D"/>
    <w:rsid w:val="00CF0C3F"/>
    <w:rsid w:val="00CF16C4"/>
    <w:rsid w:val="00CF19C5"/>
    <w:rsid w:val="00CF2428"/>
    <w:rsid w:val="00CF2C1E"/>
    <w:rsid w:val="00CF2EBE"/>
    <w:rsid w:val="00CF3203"/>
    <w:rsid w:val="00CF37C8"/>
    <w:rsid w:val="00CF53EF"/>
    <w:rsid w:val="00CF5927"/>
    <w:rsid w:val="00CF5AA6"/>
    <w:rsid w:val="00CF65F6"/>
    <w:rsid w:val="00CF70CA"/>
    <w:rsid w:val="00CF7354"/>
    <w:rsid w:val="00D00788"/>
    <w:rsid w:val="00D00827"/>
    <w:rsid w:val="00D00A98"/>
    <w:rsid w:val="00D00AD0"/>
    <w:rsid w:val="00D01102"/>
    <w:rsid w:val="00D015CC"/>
    <w:rsid w:val="00D01912"/>
    <w:rsid w:val="00D01D9C"/>
    <w:rsid w:val="00D01F26"/>
    <w:rsid w:val="00D0212D"/>
    <w:rsid w:val="00D02474"/>
    <w:rsid w:val="00D025B0"/>
    <w:rsid w:val="00D02724"/>
    <w:rsid w:val="00D0292A"/>
    <w:rsid w:val="00D029D8"/>
    <w:rsid w:val="00D03695"/>
    <w:rsid w:val="00D03EB2"/>
    <w:rsid w:val="00D03FCE"/>
    <w:rsid w:val="00D042C3"/>
    <w:rsid w:val="00D0448F"/>
    <w:rsid w:val="00D05618"/>
    <w:rsid w:val="00D05A08"/>
    <w:rsid w:val="00D05AB1"/>
    <w:rsid w:val="00D05ABD"/>
    <w:rsid w:val="00D05AF4"/>
    <w:rsid w:val="00D06020"/>
    <w:rsid w:val="00D06C73"/>
    <w:rsid w:val="00D07365"/>
    <w:rsid w:val="00D073E7"/>
    <w:rsid w:val="00D07923"/>
    <w:rsid w:val="00D07DA6"/>
    <w:rsid w:val="00D07DAE"/>
    <w:rsid w:val="00D11057"/>
    <w:rsid w:val="00D11680"/>
    <w:rsid w:val="00D11A50"/>
    <w:rsid w:val="00D11DAE"/>
    <w:rsid w:val="00D1248D"/>
    <w:rsid w:val="00D12540"/>
    <w:rsid w:val="00D1292A"/>
    <w:rsid w:val="00D129CE"/>
    <w:rsid w:val="00D1311C"/>
    <w:rsid w:val="00D135CF"/>
    <w:rsid w:val="00D13A22"/>
    <w:rsid w:val="00D141A2"/>
    <w:rsid w:val="00D144CD"/>
    <w:rsid w:val="00D1485A"/>
    <w:rsid w:val="00D14EEA"/>
    <w:rsid w:val="00D1511B"/>
    <w:rsid w:val="00D15718"/>
    <w:rsid w:val="00D15915"/>
    <w:rsid w:val="00D1592C"/>
    <w:rsid w:val="00D15DA0"/>
    <w:rsid w:val="00D15E77"/>
    <w:rsid w:val="00D1608B"/>
    <w:rsid w:val="00D160AC"/>
    <w:rsid w:val="00D1634B"/>
    <w:rsid w:val="00D16533"/>
    <w:rsid w:val="00D16822"/>
    <w:rsid w:val="00D16AD1"/>
    <w:rsid w:val="00D16F69"/>
    <w:rsid w:val="00D16FF4"/>
    <w:rsid w:val="00D171F4"/>
    <w:rsid w:val="00D174A1"/>
    <w:rsid w:val="00D17797"/>
    <w:rsid w:val="00D203E6"/>
    <w:rsid w:val="00D20580"/>
    <w:rsid w:val="00D20776"/>
    <w:rsid w:val="00D20A3B"/>
    <w:rsid w:val="00D20E55"/>
    <w:rsid w:val="00D2142B"/>
    <w:rsid w:val="00D2156B"/>
    <w:rsid w:val="00D217B2"/>
    <w:rsid w:val="00D2192B"/>
    <w:rsid w:val="00D21F27"/>
    <w:rsid w:val="00D223CF"/>
    <w:rsid w:val="00D226A9"/>
    <w:rsid w:val="00D22846"/>
    <w:rsid w:val="00D22A65"/>
    <w:rsid w:val="00D231EB"/>
    <w:rsid w:val="00D23368"/>
    <w:rsid w:val="00D243D4"/>
    <w:rsid w:val="00D246A2"/>
    <w:rsid w:val="00D24719"/>
    <w:rsid w:val="00D24A01"/>
    <w:rsid w:val="00D24FDC"/>
    <w:rsid w:val="00D25868"/>
    <w:rsid w:val="00D25954"/>
    <w:rsid w:val="00D25E29"/>
    <w:rsid w:val="00D2609F"/>
    <w:rsid w:val="00D26327"/>
    <w:rsid w:val="00D273CF"/>
    <w:rsid w:val="00D27790"/>
    <w:rsid w:val="00D27A40"/>
    <w:rsid w:val="00D27B7B"/>
    <w:rsid w:val="00D30140"/>
    <w:rsid w:val="00D30433"/>
    <w:rsid w:val="00D308E8"/>
    <w:rsid w:val="00D30B95"/>
    <w:rsid w:val="00D30E05"/>
    <w:rsid w:val="00D30FC3"/>
    <w:rsid w:val="00D31050"/>
    <w:rsid w:val="00D31307"/>
    <w:rsid w:val="00D313D8"/>
    <w:rsid w:val="00D314A8"/>
    <w:rsid w:val="00D315AA"/>
    <w:rsid w:val="00D31963"/>
    <w:rsid w:val="00D322AA"/>
    <w:rsid w:val="00D326E8"/>
    <w:rsid w:val="00D33079"/>
    <w:rsid w:val="00D33496"/>
    <w:rsid w:val="00D3355B"/>
    <w:rsid w:val="00D33C2D"/>
    <w:rsid w:val="00D34315"/>
    <w:rsid w:val="00D35402"/>
    <w:rsid w:val="00D35474"/>
    <w:rsid w:val="00D3547D"/>
    <w:rsid w:val="00D35696"/>
    <w:rsid w:val="00D35826"/>
    <w:rsid w:val="00D35CAD"/>
    <w:rsid w:val="00D360C4"/>
    <w:rsid w:val="00D36CC8"/>
    <w:rsid w:val="00D36DA4"/>
    <w:rsid w:val="00D36F73"/>
    <w:rsid w:val="00D37A94"/>
    <w:rsid w:val="00D37DE9"/>
    <w:rsid w:val="00D4016B"/>
    <w:rsid w:val="00D40587"/>
    <w:rsid w:val="00D4142A"/>
    <w:rsid w:val="00D4195E"/>
    <w:rsid w:val="00D41C23"/>
    <w:rsid w:val="00D41F9D"/>
    <w:rsid w:val="00D422E9"/>
    <w:rsid w:val="00D42568"/>
    <w:rsid w:val="00D426F7"/>
    <w:rsid w:val="00D429CF"/>
    <w:rsid w:val="00D42EA4"/>
    <w:rsid w:val="00D448FF"/>
    <w:rsid w:val="00D44DA4"/>
    <w:rsid w:val="00D4587C"/>
    <w:rsid w:val="00D45A51"/>
    <w:rsid w:val="00D45CF2"/>
    <w:rsid w:val="00D45E96"/>
    <w:rsid w:val="00D4672C"/>
    <w:rsid w:val="00D467F3"/>
    <w:rsid w:val="00D46B7C"/>
    <w:rsid w:val="00D4706A"/>
    <w:rsid w:val="00D5017A"/>
    <w:rsid w:val="00D502D5"/>
    <w:rsid w:val="00D50972"/>
    <w:rsid w:val="00D51329"/>
    <w:rsid w:val="00D518B8"/>
    <w:rsid w:val="00D51907"/>
    <w:rsid w:val="00D5195E"/>
    <w:rsid w:val="00D51ACC"/>
    <w:rsid w:val="00D51B27"/>
    <w:rsid w:val="00D51F0F"/>
    <w:rsid w:val="00D52196"/>
    <w:rsid w:val="00D5264F"/>
    <w:rsid w:val="00D52A01"/>
    <w:rsid w:val="00D52B52"/>
    <w:rsid w:val="00D5387E"/>
    <w:rsid w:val="00D53BDF"/>
    <w:rsid w:val="00D53FBA"/>
    <w:rsid w:val="00D543F0"/>
    <w:rsid w:val="00D54834"/>
    <w:rsid w:val="00D54C24"/>
    <w:rsid w:val="00D54D81"/>
    <w:rsid w:val="00D55017"/>
    <w:rsid w:val="00D5574B"/>
    <w:rsid w:val="00D55B2E"/>
    <w:rsid w:val="00D560FB"/>
    <w:rsid w:val="00D56588"/>
    <w:rsid w:val="00D5660B"/>
    <w:rsid w:val="00D56F4C"/>
    <w:rsid w:val="00D575BF"/>
    <w:rsid w:val="00D60500"/>
    <w:rsid w:val="00D6196D"/>
    <w:rsid w:val="00D61EA0"/>
    <w:rsid w:val="00D61F9B"/>
    <w:rsid w:val="00D620F6"/>
    <w:rsid w:val="00D62A0A"/>
    <w:rsid w:val="00D62C84"/>
    <w:rsid w:val="00D62DFE"/>
    <w:rsid w:val="00D63729"/>
    <w:rsid w:val="00D639D0"/>
    <w:rsid w:val="00D63BE9"/>
    <w:rsid w:val="00D63C42"/>
    <w:rsid w:val="00D63E86"/>
    <w:rsid w:val="00D640B2"/>
    <w:rsid w:val="00D6466F"/>
    <w:rsid w:val="00D6494C"/>
    <w:rsid w:val="00D64F6D"/>
    <w:rsid w:val="00D65466"/>
    <w:rsid w:val="00D66108"/>
    <w:rsid w:val="00D66638"/>
    <w:rsid w:val="00D66FB9"/>
    <w:rsid w:val="00D67321"/>
    <w:rsid w:val="00D673F7"/>
    <w:rsid w:val="00D674AA"/>
    <w:rsid w:val="00D67B28"/>
    <w:rsid w:val="00D67ED7"/>
    <w:rsid w:val="00D72BBA"/>
    <w:rsid w:val="00D72D5C"/>
    <w:rsid w:val="00D72E49"/>
    <w:rsid w:val="00D73790"/>
    <w:rsid w:val="00D7391C"/>
    <w:rsid w:val="00D73B0A"/>
    <w:rsid w:val="00D73F2C"/>
    <w:rsid w:val="00D74587"/>
    <w:rsid w:val="00D74C7A"/>
    <w:rsid w:val="00D74F79"/>
    <w:rsid w:val="00D756FC"/>
    <w:rsid w:val="00D75E17"/>
    <w:rsid w:val="00D75EC5"/>
    <w:rsid w:val="00D75F66"/>
    <w:rsid w:val="00D7606A"/>
    <w:rsid w:val="00D760DA"/>
    <w:rsid w:val="00D76261"/>
    <w:rsid w:val="00D76370"/>
    <w:rsid w:val="00D7639F"/>
    <w:rsid w:val="00D76A6A"/>
    <w:rsid w:val="00D76C89"/>
    <w:rsid w:val="00D77033"/>
    <w:rsid w:val="00D771DD"/>
    <w:rsid w:val="00D77C80"/>
    <w:rsid w:val="00D80422"/>
    <w:rsid w:val="00D80608"/>
    <w:rsid w:val="00D80622"/>
    <w:rsid w:val="00D80CE4"/>
    <w:rsid w:val="00D80CEE"/>
    <w:rsid w:val="00D816A9"/>
    <w:rsid w:val="00D81A55"/>
    <w:rsid w:val="00D81AF6"/>
    <w:rsid w:val="00D81DDF"/>
    <w:rsid w:val="00D81E58"/>
    <w:rsid w:val="00D81F5D"/>
    <w:rsid w:val="00D8259D"/>
    <w:rsid w:val="00D82DBF"/>
    <w:rsid w:val="00D83835"/>
    <w:rsid w:val="00D83B6B"/>
    <w:rsid w:val="00D83BF1"/>
    <w:rsid w:val="00D83D63"/>
    <w:rsid w:val="00D84069"/>
    <w:rsid w:val="00D8558E"/>
    <w:rsid w:val="00D858CA"/>
    <w:rsid w:val="00D85930"/>
    <w:rsid w:val="00D8594F"/>
    <w:rsid w:val="00D85976"/>
    <w:rsid w:val="00D85E1A"/>
    <w:rsid w:val="00D86380"/>
    <w:rsid w:val="00D86921"/>
    <w:rsid w:val="00D86AF0"/>
    <w:rsid w:val="00D876BB"/>
    <w:rsid w:val="00D877D4"/>
    <w:rsid w:val="00D908CB"/>
    <w:rsid w:val="00D91ECD"/>
    <w:rsid w:val="00D92672"/>
    <w:rsid w:val="00D92BE9"/>
    <w:rsid w:val="00D92DAA"/>
    <w:rsid w:val="00D93513"/>
    <w:rsid w:val="00D9363F"/>
    <w:rsid w:val="00D93AF3"/>
    <w:rsid w:val="00D93C99"/>
    <w:rsid w:val="00D93F89"/>
    <w:rsid w:val="00D9434D"/>
    <w:rsid w:val="00D944FE"/>
    <w:rsid w:val="00D94981"/>
    <w:rsid w:val="00D9499A"/>
    <w:rsid w:val="00D94A3A"/>
    <w:rsid w:val="00D94C72"/>
    <w:rsid w:val="00D9508F"/>
    <w:rsid w:val="00D95348"/>
    <w:rsid w:val="00D957AD"/>
    <w:rsid w:val="00D95E2A"/>
    <w:rsid w:val="00D96633"/>
    <w:rsid w:val="00D97695"/>
    <w:rsid w:val="00D97907"/>
    <w:rsid w:val="00D97A30"/>
    <w:rsid w:val="00D97BFA"/>
    <w:rsid w:val="00D97CE5"/>
    <w:rsid w:val="00D97D5E"/>
    <w:rsid w:val="00DA00FB"/>
    <w:rsid w:val="00DA0EE9"/>
    <w:rsid w:val="00DA1387"/>
    <w:rsid w:val="00DA165E"/>
    <w:rsid w:val="00DA183E"/>
    <w:rsid w:val="00DA23A4"/>
    <w:rsid w:val="00DA23B7"/>
    <w:rsid w:val="00DA2A37"/>
    <w:rsid w:val="00DA2C62"/>
    <w:rsid w:val="00DA2CC8"/>
    <w:rsid w:val="00DA30D2"/>
    <w:rsid w:val="00DA35F2"/>
    <w:rsid w:val="00DA3BCB"/>
    <w:rsid w:val="00DA4766"/>
    <w:rsid w:val="00DA5715"/>
    <w:rsid w:val="00DA584F"/>
    <w:rsid w:val="00DA5AB8"/>
    <w:rsid w:val="00DA5C3D"/>
    <w:rsid w:val="00DA5F6E"/>
    <w:rsid w:val="00DA6522"/>
    <w:rsid w:val="00DA687C"/>
    <w:rsid w:val="00DA6E41"/>
    <w:rsid w:val="00DA6E50"/>
    <w:rsid w:val="00DA7393"/>
    <w:rsid w:val="00DA7D10"/>
    <w:rsid w:val="00DB03FC"/>
    <w:rsid w:val="00DB0653"/>
    <w:rsid w:val="00DB066F"/>
    <w:rsid w:val="00DB0864"/>
    <w:rsid w:val="00DB09C0"/>
    <w:rsid w:val="00DB0A05"/>
    <w:rsid w:val="00DB0BCB"/>
    <w:rsid w:val="00DB0C73"/>
    <w:rsid w:val="00DB0C7F"/>
    <w:rsid w:val="00DB1229"/>
    <w:rsid w:val="00DB12B8"/>
    <w:rsid w:val="00DB1618"/>
    <w:rsid w:val="00DB20C9"/>
    <w:rsid w:val="00DB2437"/>
    <w:rsid w:val="00DB2522"/>
    <w:rsid w:val="00DB2CF6"/>
    <w:rsid w:val="00DB2F10"/>
    <w:rsid w:val="00DB33FE"/>
    <w:rsid w:val="00DB3BAE"/>
    <w:rsid w:val="00DB3F9C"/>
    <w:rsid w:val="00DB4CF9"/>
    <w:rsid w:val="00DB54A4"/>
    <w:rsid w:val="00DB56E1"/>
    <w:rsid w:val="00DB61E1"/>
    <w:rsid w:val="00DB6643"/>
    <w:rsid w:val="00DB6D01"/>
    <w:rsid w:val="00DB6E4F"/>
    <w:rsid w:val="00DB6F51"/>
    <w:rsid w:val="00DB7DBD"/>
    <w:rsid w:val="00DB7F98"/>
    <w:rsid w:val="00DC02D7"/>
    <w:rsid w:val="00DC0329"/>
    <w:rsid w:val="00DC0C3D"/>
    <w:rsid w:val="00DC138C"/>
    <w:rsid w:val="00DC18FC"/>
    <w:rsid w:val="00DC25D5"/>
    <w:rsid w:val="00DC274E"/>
    <w:rsid w:val="00DC2CC6"/>
    <w:rsid w:val="00DC2F48"/>
    <w:rsid w:val="00DC42CC"/>
    <w:rsid w:val="00DC4501"/>
    <w:rsid w:val="00DC5D2B"/>
    <w:rsid w:val="00DC6203"/>
    <w:rsid w:val="00DC6BF2"/>
    <w:rsid w:val="00DC6CAC"/>
    <w:rsid w:val="00DC6D5D"/>
    <w:rsid w:val="00DC6E38"/>
    <w:rsid w:val="00DC71C5"/>
    <w:rsid w:val="00DC72F2"/>
    <w:rsid w:val="00DC74F8"/>
    <w:rsid w:val="00DC75E7"/>
    <w:rsid w:val="00DC7752"/>
    <w:rsid w:val="00DC79DA"/>
    <w:rsid w:val="00DD0DFE"/>
    <w:rsid w:val="00DD15D0"/>
    <w:rsid w:val="00DD1F7B"/>
    <w:rsid w:val="00DD2EC8"/>
    <w:rsid w:val="00DD3A79"/>
    <w:rsid w:val="00DD3D2E"/>
    <w:rsid w:val="00DD3FAE"/>
    <w:rsid w:val="00DD4BA7"/>
    <w:rsid w:val="00DD4BB2"/>
    <w:rsid w:val="00DD4BDD"/>
    <w:rsid w:val="00DD50DD"/>
    <w:rsid w:val="00DD51FE"/>
    <w:rsid w:val="00DD5AD4"/>
    <w:rsid w:val="00DD5B0D"/>
    <w:rsid w:val="00DD6240"/>
    <w:rsid w:val="00DD69B2"/>
    <w:rsid w:val="00DD6DC8"/>
    <w:rsid w:val="00DD739C"/>
    <w:rsid w:val="00DD746D"/>
    <w:rsid w:val="00DD7523"/>
    <w:rsid w:val="00DD770B"/>
    <w:rsid w:val="00DD7B18"/>
    <w:rsid w:val="00DE0136"/>
    <w:rsid w:val="00DE0305"/>
    <w:rsid w:val="00DE06A5"/>
    <w:rsid w:val="00DE0B2F"/>
    <w:rsid w:val="00DE0D46"/>
    <w:rsid w:val="00DE0D73"/>
    <w:rsid w:val="00DE18E5"/>
    <w:rsid w:val="00DE2155"/>
    <w:rsid w:val="00DE21D0"/>
    <w:rsid w:val="00DE23D0"/>
    <w:rsid w:val="00DE2460"/>
    <w:rsid w:val="00DE2FA6"/>
    <w:rsid w:val="00DE2FB2"/>
    <w:rsid w:val="00DE2FC8"/>
    <w:rsid w:val="00DE364B"/>
    <w:rsid w:val="00DE3B1F"/>
    <w:rsid w:val="00DE3DD4"/>
    <w:rsid w:val="00DE41CA"/>
    <w:rsid w:val="00DE4843"/>
    <w:rsid w:val="00DE4A3E"/>
    <w:rsid w:val="00DE4C09"/>
    <w:rsid w:val="00DE512B"/>
    <w:rsid w:val="00DE5266"/>
    <w:rsid w:val="00DE5C94"/>
    <w:rsid w:val="00DE6910"/>
    <w:rsid w:val="00DE6931"/>
    <w:rsid w:val="00DE6935"/>
    <w:rsid w:val="00DE6B18"/>
    <w:rsid w:val="00DE6FDA"/>
    <w:rsid w:val="00DE7510"/>
    <w:rsid w:val="00DE7570"/>
    <w:rsid w:val="00DE777D"/>
    <w:rsid w:val="00DE7C8E"/>
    <w:rsid w:val="00DF03B1"/>
    <w:rsid w:val="00DF0640"/>
    <w:rsid w:val="00DF0CF0"/>
    <w:rsid w:val="00DF1812"/>
    <w:rsid w:val="00DF1BF4"/>
    <w:rsid w:val="00DF208F"/>
    <w:rsid w:val="00DF20F8"/>
    <w:rsid w:val="00DF3CAB"/>
    <w:rsid w:val="00DF3E84"/>
    <w:rsid w:val="00DF414E"/>
    <w:rsid w:val="00DF4A70"/>
    <w:rsid w:val="00DF4E50"/>
    <w:rsid w:val="00DF57A6"/>
    <w:rsid w:val="00DF5B3D"/>
    <w:rsid w:val="00DF5B50"/>
    <w:rsid w:val="00DF5D9C"/>
    <w:rsid w:val="00DF6229"/>
    <w:rsid w:val="00DF64B8"/>
    <w:rsid w:val="00DF6787"/>
    <w:rsid w:val="00DF68C6"/>
    <w:rsid w:val="00DF6A81"/>
    <w:rsid w:val="00DF6AB2"/>
    <w:rsid w:val="00DF6DF9"/>
    <w:rsid w:val="00DF703C"/>
    <w:rsid w:val="00DF7D07"/>
    <w:rsid w:val="00DF7E69"/>
    <w:rsid w:val="00E00235"/>
    <w:rsid w:val="00E002F5"/>
    <w:rsid w:val="00E00319"/>
    <w:rsid w:val="00E00E4D"/>
    <w:rsid w:val="00E01A65"/>
    <w:rsid w:val="00E01EDA"/>
    <w:rsid w:val="00E03A59"/>
    <w:rsid w:val="00E03C3D"/>
    <w:rsid w:val="00E03E5B"/>
    <w:rsid w:val="00E04267"/>
    <w:rsid w:val="00E042E6"/>
    <w:rsid w:val="00E04416"/>
    <w:rsid w:val="00E055C6"/>
    <w:rsid w:val="00E056DC"/>
    <w:rsid w:val="00E06134"/>
    <w:rsid w:val="00E06346"/>
    <w:rsid w:val="00E0649F"/>
    <w:rsid w:val="00E0657F"/>
    <w:rsid w:val="00E0688F"/>
    <w:rsid w:val="00E0691D"/>
    <w:rsid w:val="00E07655"/>
    <w:rsid w:val="00E076D2"/>
    <w:rsid w:val="00E104D2"/>
    <w:rsid w:val="00E1057E"/>
    <w:rsid w:val="00E105C6"/>
    <w:rsid w:val="00E117C4"/>
    <w:rsid w:val="00E11DF6"/>
    <w:rsid w:val="00E12240"/>
    <w:rsid w:val="00E1250A"/>
    <w:rsid w:val="00E12B4B"/>
    <w:rsid w:val="00E12CB7"/>
    <w:rsid w:val="00E12E4A"/>
    <w:rsid w:val="00E13425"/>
    <w:rsid w:val="00E13597"/>
    <w:rsid w:val="00E13728"/>
    <w:rsid w:val="00E13CCE"/>
    <w:rsid w:val="00E1426A"/>
    <w:rsid w:val="00E14E45"/>
    <w:rsid w:val="00E14EAA"/>
    <w:rsid w:val="00E150A1"/>
    <w:rsid w:val="00E1512A"/>
    <w:rsid w:val="00E15289"/>
    <w:rsid w:val="00E15C1F"/>
    <w:rsid w:val="00E15EC5"/>
    <w:rsid w:val="00E16268"/>
    <w:rsid w:val="00E1698F"/>
    <w:rsid w:val="00E16ADF"/>
    <w:rsid w:val="00E170DE"/>
    <w:rsid w:val="00E174A4"/>
    <w:rsid w:val="00E17566"/>
    <w:rsid w:val="00E1776C"/>
    <w:rsid w:val="00E201B9"/>
    <w:rsid w:val="00E202D2"/>
    <w:rsid w:val="00E210AD"/>
    <w:rsid w:val="00E21BCB"/>
    <w:rsid w:val="00E21E38"/>
    <w:rsid w:val="00E21F24"/>
    <w:rsid w:val="00E21F67"/>
    <w:rsid w:val="00E21FE2"/>
    <w:rsid w:val="00E22253"/>
    <w:rsid w:val="00E22481"/>
    <w:rsid w:val="00E22E12"/>
    <w:rsid w:val="00E22EDE"/>
    <w:rsid w:val="00E23466"/>
    <w:rsid w:val="00E23578"/>
    <w:rsid w:val="00E23A75"/>
    <w:rsid w:val="00E23D82"/>
    <w:rsid w:val="00E241D7"/>
    <w:rsid w:val="00E24A5B"/>
    <w:rsid w:val="00E24D9D"/>
    <w:rsid w:val="00E24F2E"/>
    <w:rsid w:val="00E250DC"/>
    <w:rsid w:val="00E252F8"/>
    <w:rsid w:val="00E25368"/>
    <w:rsid w:val="00E258D8"/>
    <w:rsid w:val="00E25AA2"/>
    <w:rsid w:val="00E25CD1"/>
    <w:rsid w:val="00E25F8C"/>
    <w:rsid w:val="00E26422"/>
    <w:rsid w:val="00E2653D"/>
    <w:rsid w:val="00E26CE0"/>
    <w:rsid w:val="00E27341"/>
    <w:rsid w:val="00E278F1"/>
    <w:rsid w:val="00E27D62"/>
    <w:rsid w:val="00E30077"/>
    <w:rsid w:val="00E304F7"/>
    <w:rsid w:val="00E30685"/>
    <w:rsid w:val="00E31038"/>
    <w:rsid w:val="00E31353"/>
    <w:rsid w:val="00E31517"/>
    <w:rsid w:val="00E31B82"/>
    <w:rsid w:val="00E32074"/>
    <w:rsid w:val="00E327AC"/>
    <w:rsid w:val="00E327F8"/>
    <w:rsid w:val="00E32A07"/>
    <w:rsid w:val="00E32A21"/>
    <w:rsid w:val="00E32DF5"/>
    <w:rsid w:val="00E330C0"/>
    <w:rsid w:val="00E33146"/>
    <w:rsid w:val="00E33B04"/>
    <w:rsid w:val="00E3402A"/>
    <w:rsid w:val="00E340B8"/>
    <w:rsid w:val="00E34744"/>
    <w:rsid w:val="00E347B7"/>
    <w:rsid w:val="00E34909"/>
    <w:rsid w:val="00E34AAC"/>
    <w:rsid w:val="00E34B52"/>
    <w:rsid w:val="00E350C4"/>
    <w:rsid w:val="00E352A5"/>
    <w:rsid w:val="00E356EE"/>
    <w:rsid w:val="00E35D9E"/>
    <w:rsid w:val="00E36A6B"/>
    <w:rsid w:val="00E36B4C"/>
    <w:rsid w:val="00E36CD9"/>
    <w:rsid w:val="00E36DB6"/>
    <w:rsid w:val="00E36E16"/>
    <w:rsid w:val="00E3757E"/>
    <w:rsid w:val="00E377D5"/>
    <w:rsid w:val="00E406F0"/>
    <w:rsid w:val="00E40FD9"/>
    <w:rsid w:val="00E42131"/>
    <w:rsid w:val="00E42C9D"/>
    <w:rsid w:val="00E438A2"/>
    <w:rsid w:val="00E43B31"/>
    <w:rsid w:val="00E43BF3"/>
    <w:rsid w:val="00E447E1"/>
    <w:rsid w:val="00E44D36"/>
    <w:rsid w:val="00E451E6"/>
    <w:rsid w:val="00E45C11"/>
    <w:rsid w:val="00E45DEA"/>
    <w:rsid w:val="00E467F3"/>
    <w:rsid w:val="00E46A45"/>
    <w:rsid w:val="00E504F6"/>
    <w:rsid w:val="00E505D7"/>
    <w:rsid w:val="00E506D3"/>
    <w:rsid w:val="00E50883"/>
    <w:rsid w:val="00E51E3C"/>
    <w:rsid w:val="00E51E5D"/>
    <w:rsid w:val="00E524D1"/>
    <w:rsid w:val="00E5255C"/>
    <w:rsid w:val="00E53726"/>
    <w:rsid w:val="00E54CB0"/>
    <w:rsid w:val="00E54F8F"/>
    <w:rsid w:val="00E5513F"/>
    <w:rsid w:val="00E552F7"/>
    <w:rsid w:val="00E553CB"/>
    <w:rsid w:val="00E55644"/>
    <w:rsid w:val="00E55B7E"/>
    <w:rsid w:val="00E565A1"/>
    <w:rsid w:val="00E56B45"/>
    <w:rsid w:val="00E56DDF"/>
    <w:rsid w:val="00E56E83"/>
    <w:rsid w:val="00E57A81"/>
    <w:rsid w:val="00E606BC"/>
    <w:rsid w:val="00E612FA"/>
    <w:rsid w:val="00E61B03"/>
    <w:rsid w:val="00E6245C"/>
    <w:rsid w:val="00E62AAB"/>
    <w:rsid w:val="00E62C88"/>
    <w:rsid w:val="00E639EA"/>
    <w:rsid w:val="00E63B51"/>
    <w:rsid w:val="00E63C50"/>
    <w:rsid w:val="00E63E5F"/>
    <w:rsid w:val="00E63EF3"/>
    <w:rsid w:val="00E64A45"/>
    <w:rsid w:val="00E64C77"/>
    <w:rsid w:val="00E64CB4"/>
    <w:rsid w:val="00E64CC6"/>
    <w:rsid w:val="00E64F3D"/>
    <w:rsid w:val="00E65303"/>
    <w:rsid w:val="00E6536F"/>
    <w:rsid w:val="00E6555F"/>
    <w:rsid w:val="00E656B0"/>
    <w:rsid w:val="00E6584D"/>
    <w:rsid w:val="00E65B95"/>
    <w:rsid w:val="00E65FA9"/>
    <w:rsid w:val="00E668F0"/>
    <w:rsid w:val="00E66953"/>
    <w:rsid w:val="00E677F5"/>
    <w:rsid w:val="00E678A4"/>
    <w:rsid w:val="00E67E5D"/>
    <w:rsid w:val="00E70A99"/>
    <w:rsid w:val="00E710AA"/>
    <w:rsid w:val="00E71387"/>
    <w:rsid w:val="00E716B3"/>
    <w:rsid w:val="00E717E5"/>
    <w:rsid w:val="00E71A6C"/>
    <w:rsid w:val="00E71EC6"/>
    <w:rsid w:val="00E71FF2"/>
    <w:rsid w:val="00E724E3"/>
    <w:rsid w:val="00E726EF"/>
    <w:rsid w:val="00E72A9A"/>
    <w:rsid w:val="00E72DB2"/>
    <w:rsid w:val="00E743CE"/>
    <w:rsid w:val="00E747BF"/>
    <w:rsid w:val="00E748E8"/>
    <w:rsid w:val="00E75268"/>
    <w:rsid w:val="00E759DE"/>
    <w:rsid w:val="00E765FF"/>
    <w:rsid w:val="00E76B8A"/>
    <w:rsid w:val="00E76BA3"/>
    <w:rsid w:val="00E76BF3"/>
    <w:rsid w:val="00E7734D"/>
    <w:rsid w:val="00E8016E"/>
    <w:rsid w:val="00E8073D"/>
    <w:rsid w:val="00E808B3"/>
    <w:rsid w:val="00E80AF9"/>
    <w:rsid w:val="00E81179"/>
    <w:rsid w:val="00E81CB9"/>
    <w:rsid w:val="00E8241C"/>
    <w:rsid w:val="00E824E2"/>
    <w:rsid w:val="00E827C3"/>
    <w:rsid w:val="00E828E6"/>
    <w:rsid w:val="00E82E33"/>
    <w:rsid w:val="00E83873"/>
    <w:rsid w:val="00E840B5"/>
    <w:rsid w:val="00E84132"/>
    <w:rsid w:val="00E8427B"/>
    <w:rsid w:val="00E8442F"/>
    <w:rsid w:val="00E84438"/>
    <w:rsid w:val="00E8542D"/>
    <w:rsid w:val="00E859B5"/>
    <w:rsid w:val="00E85D91"/>
    <w:rsid w:val="00E85EBC"/>
    <w:rsid w:val="00E86703"/>
    <w:rsid w:val="00E86788"/>
    <w:rsid w:val="00E867F9"/>
    <w:rsid w:val="00E8690A"/>
    <w:rsid w:val="00E8699B"/>
    <w:rsid w:val="00E86A07"/>
    <w:rsid w:val="00E86AE9"/>
    <w:rsid w:val="00E870DB"/>
    <w:rsid w:val="00E904A0"/>
    <w:rsid w:val="00E90729"/>
    <w:rsid w:val="00E90780"/>
    <w:rsid w:val="00E90CBC"/>
    <w:rsid w:val="00E91083"/>
    <w:rsid w:val="00E91FBE"/>
    <w:rsid w:val="00E92759"/>
    <w:rsid w:val="00E929FE"/>
    <w:rsid w:val="00E92B35"/>
    <w:rsid w:val="00E92C10"/>
    <w:rsid w:val="00E92D3B"/>
    <w:rsid w:val="00E93525"/>
    <w:rsid w:val="00E9491D"/>
    <w:rsid w:val="00E94AF5"/>
    <w:rsid w:val="00E94F18"/>
    <w:rsid w:val="00E95501"/>
    <w:rsid w:val="00E95717"/>
    <w:rsid w:val="00E95F2F"/>
    <w:rsid w:val="00E962D4"/>
    <w:rsid w:val="00E970C8"/>
    <w:rsid w:val="00E976EE"/>
    <w:rsid w:val="00E97DBB"/>
    <w:rsid w:val="00EA0088"/>
    <w:rsid w:val="00EA0211"/>
    <w:rsid w:val="00EA1365"/>
    <w:rsid w:val="00EA20C1"/>
    <w:rsid w:val="00EA2E25"/>
    <w:rsid w:val="00EA31A2"/>
    <w:rsid w:val="00EA380A"/>
    <w:rsid w:val="00EA397C"/>
    <w:rsid w:val="00EA3B04"/>
    <w:rsid w:val="00EA3D24"/>
    <w:rsid w:val="00EA3FDE"/>
    <w:rsid w:val="00EA40DC"/>
    <w:rsid w:val="00EA4424"/>
    <w:rsid w:val="00EA461E"/>
    <w:rsid w:val="00EA4A9B"/>
    <w:rsid w:val="00EA4FD1"/>
    <w:rsid w:val="00EA55E7"/>
    <w:rsid w:val="00EA57D3"/>
    <w:rsid w:val="00EA6434"/>
    <w:rsid w:val="00EA6CA0"/>
    <w:rsid w:val="00EA70AB"/>
    <w:rsid w:val="00EA7EF1"/>
    <w:rsid w:val="00EB0205"/>
    <w:rsid w:val="00EB117E"/>
    <w:rsid w:val="00EB1E08"/>
    <w:rsid w:val="00EB2507"/>
    <w:rsid w:val="00EB2743"/>
    <w:rsid w:val="00EB3234"/>
    <w:rsid w:val="00EB359F"/>
    <w:rsid w:val="00EB3BB3"/>
    <w:rsid w:val="00EB3D2B"/>
    <w:rsid w:val="00EB3FBD"/>
    <w:rsid w:val="00EB424B"/>
    <w:rsid w:val="00EB43F2"/>
    <w:rsid w:val="00EB4DE3"/>
    <w:rsid w:val="00EB5DDE"/>
    <w:rsid w:val="00EB61AD"/>
    <w:rsid w:val="00EB6355"/>
    <w:rsid w:val="00EB685C"/>
    <w:rsid w:val="00EB68BB"/>
    <w:rsid w:val="00EB69AB"/>
    <w:rsid w:val="00EB727C"/>
    <w:rsid w:val="00EC067A"/>
    <w:rsid w:val="00EC0AEB"/>
    <w:rsid w:val="00EC0D6E"/>
    <w:rsid w:val="00EC0FF2"/>
    <w:rsid w:val="00EC1426"/>
    <w:rsid w:val="00EC1835"/>
    <w:rsid w:val="00EC1854"/>
    <w:rsid w:val="00EC1A31"/>
    <w:rsid w:val="00EC1E25"/>
    <w:rsid w:val="00EC20FC"/>
    <w:rsid w:val="00EC225B"/>
    <w:rsid w:val="00EC2395"/>
    <w:rsid w:val="00EC25DF"/>
    <w:rsid w:val="00EC29C6"/>
    <w:rsid w:val="00EC2D50"/>
    <w:rsid w:val="00EC36C2"/>
    <w:rsid w:val="00EC3BAE"/>
    <w:rsid w:val="00EC3E0F"/>
    <w:rsid w:val="00EC4764"/>
    <w:rsid w:val="00EC4ABB"/>
    <w:rsid w:val="00EC4B8E"/>
    <w:rsid w:val="00EC4CBC"/>
    <w:rsid w:val="00EC4FED"/>
    <w:rsid w:val="00EC521C"/>
    <w:rsid w:val="00EC5275"/>
    <w:rsid w:val="00EC55DC"/>
    <w:rsid w:val="00EC5A95"/>
    <w:rsid w:val="00EC5CFC"/>
    <w:rsid w:val="00EC6008"/>
    <w:rsid w:val="00EC661F"/>
    <w:rsid w:val="00EC6813"/>
    <w:rsid w:val="00EC68FD"/>
    <w:rsid w:val="00EC79DF"/>
    <w:rsid w:val="00EC7E78"/>
    <w:rsid w:val="00ED0743"/>
    <w:rsid w:val="00ED09A6"/>
    <w:rsid w:val="00ED0A96"/>
    <w:rsid w:val="00ED0BAD"/>
    <w:rsid w:val="00ED0C89"/>
    <w:rsid w:val="00ED2197"/>
    <w:rsid w:val="00ED2A13"/>
    <w:rsid w:val="00ED2F0C"/>
    <w:rsid w:val="00ED36CD"/>
    <w:rsid w:val="00ED3A5C"/>
    <w:rsid w:val="00ED3E1A"/>
    <w:rsid w:val="00ED4088"/>
    <w:rsid w:val="00ED4BC8"/>
    <w:rsid w:val="00ED53E7"/>
    <w:rsid w:val="00ED55E2"/>
    <w:rsid w:val="00ED5D39"/>
    <w:rsid w:val="00ED5E10"/>
    <w:rsid w:val="00ED64BA"/>
    <w:rsid w:val="00ED66BE"/>
    <w:rsid w:val="00ED6E7C"/>
    <w:rsid w:val="00ED73FE"/>
    <w:rsid w:val="00ED7867"/>
    <w:rsid w:val="00EE0391"/>
    <w:rsid w:val="00EE03E8"/>
    <w:rsid w:val="00EE047B"/>
    <w:rsid w:val="00EE06EB"/>
    <w:rsid w:val="00EE09B9"/>
    <w:rsid w:val="00EE0BEA"/>
    <w:rsid w:val="00EE13F0"/>
    <w:rsid w:val="00EE17CD"/>
    <w:rsid w:val="00EE18D6"/>
    <w:rsid w:val="00EE1B78"/>
    <w:rsid w:val="00EE1CE4"/>
    <w:rsid w:val="00EE218A"/>
    <w:rsid w:val="00EE2217"/>
    <w:rsid w:val="00EE28F7"/>
    <w:rsid w:val="00EE2999"/>
    <w:rsid w:val="00EE29F4"/>
    <w:rsid w:val="00EE2A6D"/>
    <w:rsid w:val="00EE31BC"/>
    <w:rsid w:val="00EE31D3"/>
    <w:rsid w:val="00EE32F6"/>
    <w:rsid w:val="00EE3DF6"/>
    <w:rsid w:val="00EE4383"/>
    <w:rsid w:val="00EE443E"/>
    <w:rsid w:val="00EE4D86"/>
    <w:rsid w:val="00EE5481"/>
    <w:rsid w:val="00EE561F"/>
    <w:rsid w:val="00EE569F"/>
    <w:rsid w:val="00EE5AAF"/>
    <w:rsid w:val="00EE5AF7"/>
    <w:rsid w:val="00EE6599"/>
    <w:rsid w:val="00EE77FB"/>
    <w:rsid w:val="00EE7951"/>
    <w:rsid w:val="00EE7C89"/>
    <w:rsid w:val="00EE7F47"/>
    <w:rsid w:val="00EF005F"/>
    <w:rsid w:val="00EF088B"/>
    <w:rsid w:val="00EF0D55"/>
    <w:rsid w:val="00EF0E1D"/>
    <w:rsid w:val="00EF0E7C"/>
    <w:rsid w:val="00EF0F37"/>
    <w:rsid w:val="00EF1194"/>
    <w:rsid w:val="00EF143C"/>
    <w:rsid w:val="00EF1D4A"/>
    <w:rsid w:val="00EF1E5E"/>
    <w:rsid w:val="00EF24FD"/>
    <w:rsid w:val="00EF2589"/>
    <w:rsid w:val="00EF2C8A"/>
    <w:rsid w:val="00EF2F7E"/>
    <w:rsid w:val="00EF31D2"/>
    <w:rsid w:val="00EF3945"/>
    <w:rsid w:val="00EF39B6"/>
    <w:rsid w:val="00EF3F05"/>
    <w:rsid w:val="00EF4561"/>
    <w:rsid w:val="00EF4991"/>
    <w:rsid w:val="00EF4F7F"/>
    <w:rsid w:val="00EF51BD"/>
    <w:rsid w:val="00EF538E"/>
    <w:rsid w:val="00EF54AA"/>
    <w:rsid w:val="00EF5550"/>
    <w:rsid w:val="00EF5A6B"/>
    <w:rsid w:val="00EF5DEB"/>
    <w:rsid w:val="00EF6693"/>
    <w:rsid w:val="00EF6733"/>
    <w:rsid w:val="00EF69B3"/>
    <w:rsid w:val="00EF6B25"/>
    <w:rsid w:val="00EF74E7"/>
    <w:rsid w:val="00EF7502"/>
    <w:rsid w:val="00F004FC"/>
    <w:rsid w:val="00F0088A"/>
    <w:rsid w:val="00F00DDC"/>
    <w:rsid w:val="00F01023"/>
    <w:rsid w:val="00F010C5"/>
    <w:rsid w:val="00F01771"/>
    <w:rsid w:val="00F01AB7"/>
    <w:rsid w:val="00F01E80"/>
    <w:rsid w:val="00F023C2"/>
    <w:rsid w:val="00F0248E"/>
    <w:rsid w:val="00F02593"/>
    <w:rsid w:val="00F02626"/>
    <w:rsid w:val="00F02764"/>
    <w:rsid w:val="00F02867"/>
    <w:rsid w:val="00F02D6B"/>
    <w:rsid w:val="00F03063"/>
    <w:rsid w:val="00F030E7"/>
    <w:rsid w:val="00F0360B"/>
    <w:rsid w:val="00F0386C"/>
    <w:rsid w:val="00F04103"/>
    <w:rsid w:val="00F04A7F"/>
    <w:rsid w:val="00F04BC4"/>
    <w:rsid w:val="00F04DD7"/>
    <w:rsid w:val="00F053D8"/>
    <w:rsid w:val="00F056E5"/>
    <w:rsid w:val="00F058A8"/>
    <w:rsid w:val="00F05E3A"/>
    <w:rsid w:val="00F06AEB"/>
    <w:rsid w:val="00F071AE"/>
    <w:rsid w:val="00F07273"/>
    <w:rsid w:val="00F07469"/>
    <w:rsid w:val="00F0749A"/>
    <w:rsid w:val="00F076F1"/>
    <w:rsid w:val="00F079BE"/>
    <w:rsid w:val="00F10156"/>
    <w:rsid w:val="00F10385"/>
    <w:rsid w:val="00F1065C"/>
    <w:rsid w:val="00F10EF7"/>
    <w:rsid w:val="00F11339"/>
    <w:rsid w:val="00F114D3"/>
    <w:rsid w:val="00F11B97"/>
    <w:rsid w:val="00F11C2E"/>
    <w:rsid w:val="00F11E71"/>
    <w:rsid w:val="00F11F4E"/>
    <w:rsid w:val="00F12497"/>
    <w:rsid w:val="00F12627"/>
    <w:rsid w:val="00F12B2A"/>
    <w:rsid w:val="00F13052"/>
    <w:rsid w:val="00F138BC"/>
    <w:rsid w:val="00F139AB"/>
    <w:rsid w:val="00F14955"/>
    <w:rsid w:val="00F15600"/>
    <w:rsid w:val="00F15659"/>
    <w:rsid w:val="00F16466"/>
    <w:rsid w:val="00F16AF7"/>
    <w:rsid w:val="00F17299"/>
    <w:rsid w:val="00F1730B"/>
    <w:rsid w:val="00F208D7"/>
    <w:rsid w:val="00F20914"/>
    <w:rsid w:val="00F20CDF"/>
    <w:rsid w:val="00F21181"/>
    <w:rsid w:val="00F21499"/>
    <w:rsid w:val="00F2157E"/>
    <w:rsid w:val="00F21601"/>
    <w:rsid w:val="00F21AFC"/>
    <w:rsid w:val="00F21EE8"/>
    <w:rsid w:val="00F227AC"/>
    <w:rsid w:val="00F22B11"/>
    <w:rsid w:val="00F22CBC"/>
    <w:rsid w:val="00F23409"/>
    <w:rsid w:val="00F234E8"/>
    <w:rsid w:val="00F240A2"/>
    <w:rsid w:val="00F24657"/>
    <w:rsid w:val="00F247FC"/>
    <w:rsid w:val="00F249EE"/>
    <w:rsid w:val="00F25115"/>
    <w:rsid w:val="00F25233"/>
    <w:rsid w:val="00F25978"/>
    <w:rsid w:val="00F25E65"/>
    <w:rsid w:val="00F26A09"/>
    <w:rsid w:val="00F272F9"/>
    <w:rsid w:val="00F30458"/>
    <w:rsid w:val="00F304A0"/>
    <w:rsid w:val="00F3066A"/>
    <w:rsid w:val="00F30892"/>
    <w:rsid w:val="00F30910"/>
    <w:rsid w:val="00F30913"/>
    <w:rsid w:val="00F30AD1"/>
    <w:rsid w:val="00F30AE2"/>
    <w:rsid w:val="00F30B05"/>
    <w:rsid w:val="00F3104F"/>
    <w:rsid w:val="00F312E5"/>
    <w:rsid w:val="00F31398"/>
    <w:rsid w:val="00F31B00"/>
    <w:rsid w:val="00F31D0F"/>
    <w:rsid w:val="00F3257C"/>
    <w:rsid w:val="00F32E6D"/>
    <w:rsid w:val="00F33C7A"/>
    <w:rsid w:val="00F34707"/>
    <w:rsid w:val="00F34A13"/>
    <w:rsid w:val="00F34EDF"/>
    <w:rsid w:val="00F352FB"/>
    <w:rsid w:val="00F353B8"/>
    <w:rsid w:val="00F35489"/>
    <w:rsid w:val="00F3551E"/>
    <w:rsid w:val="00F35838"/>
    <w:rsid w:val="00F35B46"/>
    <w:rsid w:val="00F35C03"/>
    <w:rsid w:val="00F35FAA"/>
    <w:rsid w:val="00F364E5"/>
    <w:rsid w:val="00F367C8"/>
    <w:rsid w:val="00F36ACB"/>
    <w:rsid w:val="00F36C3A"/>
    <w:rsid w:val="00F36E63"/>
    <w:rsid w:val="00F3718D"/>
    <w:rsid w:val="00F37398"/>
    <w:rsid w:val="00F3798C"/>
    <w:rsid w:val="00F37D87"/>
    <w:rsid w:val="00F406FB"/>
    <w:rsid w:val="00F40AD9"/>
    <w:rsid w:val="00F40F74"/>
    <w:rsid w:val="00F4100E"/>
    <w:rsid w:val="00F4128D"/>
    <w:rsid w:val="00F4140E"/>
    <w:rsid w:val="00F41488"/>
    <w:rsid w:val="00F414E7"/>
    <w:rsid w:val="00F41BDD"/>
    <w:rsid w:val="00F41C80"/>
    <w:rsid w:val="00F42035"/>
    <w:rsid w:val="00F426AD"/>
    <w:rsid w:val="00F4285A"/>
    <w:rsid w:val="00F42924"/>
    <w:rsid w:val="00F42A95"/>
    <w:rsid w:val="00F42BB8"/>
    <w:rsid w:val="00F42C8A"/>
    <w:rsid w:val="00F42E65"/>
    <w:rsid w:val="00F42FE8"/>
    <w:rsid w:val="00F432C6"/>
    <w:rsid w:val="00F43301"/>
    <w:rsid w:val="00F443B3"/>
    <w:rsid w:val="00F44B63"/>
    <w:rsid w:val="00F44EAD"/>
    <w:rsid w:val="00F44FA3"/>
    <w:rsid w:val="00F44FC7"/>
    <w:rsid w:val="00F4540D"/>
    <w:rsid w:val="00F45B61"/>
    <w:rsid w:val="00F45DA2"/>
    <w:rsid w:val="00F46638"/>
    <w:rsid w:val="00F46979"/>
    <w:rsid w:val="00F46B01"/>
    <w:rsid w:val="00F46EC0"/>
    <w:rsid w:val="00F46FC7"/>
    <w:rsid w:val="00F47B8E"/>
    <w:rsid w:val="00F47EC5"/>
    <w:rsid w:val="00F47ED7"/>
    <w:rsid w:val="00F50334"/>
    <w:rsid w:val="00F5040F"/>
    <w:rsid w:val="00F506F5"/>
    <w:rsid w:val="00F520E4"/>
    <w:rsid w:val="00F52412"/>
    <w:rsid w:val="00F52522"/>
    <w:rsid w:val="00F5298A"/>
    <w:rsid w:val="00F53091"/>
    <w:rsid w:val="00F53627"/>
    <w:rsid w:val="00F536B7"/>
    <w:rsid w:val="00F53794"/>
    <w:rsid w:val="00F53BD4"/>
    <w:rsid w:val="00F53C47"/>
    <w:rsid w:val="00F53D51"/>
    <w:rsid w:val="00F54086"/>
    <w:rsid w:val="00F54DE5"/>
    <w:rsid w:val="00F553DB"/>
    <w:rsid w:val="00F5572F"/>
    <w:rsid w:val="00F55A87"/>
    <w:rsid w:val="00F55F93"/>
    <w:rsid w:val="00F56289"/>
    <w:rsid w:val="00F56419"/>
    <w:rsid w:val="00F56928"/>
    <w:rsid w:val="00F56FCB"/>
    <w:rsid w:val="00F57280"/>
    <w:rsid w:val="00F57594"/>
    <w:rsid w:val="00F575B1"/>
    <w:rsid w:val="00F57652"/>
    <w:rsid w:val="00F579D8"/>
    <w:rsid w:val="00F60A09"/>
    <w:rsid w:val="00F611A6"/>
    <w:rsid w:val="00F612E9"/>
    <w:rsid w:val="00F613DA"/>
    <w:rsid w:val="00F61AAD"/>
    <w:rsid w:val="00F61BD4"/>
    <w:rsid w:val="00F61F85"/>
    <w:rsid w:val="00F620F9"/>
    <w:rsid w:val="00F623AB"/>
    <w:rsid w:val="00F62A6B"/>
    <w:rsid w:val="00F62AE4"/>
    <w:rsid w:val="00F62EA1"/>
    <w:rsid w:val="00F6302F"/>
    <w:rsid w:val="00F63959"/>
    <w:rsid w:val="00F63FDC"/>
    <w:rsid w:val="00F640E3"/>
    <w:rsid w:val="00F64490"/>
    <w:rsid w:val="00F64815"/>
    <w:rsid w:val="00F64F02"/>
    <w:rsid w:val="00F65296"/>
    <w:rsid w:val="00F65462"/>
    <w:rsid w:val="00F654CF"/>
    <w:rsid w:val="00F65697"/>
    <w:rsid w:val="00F65BB6"/>
    <w:rsid w:val="00F663C5"/>
    <w:rsid w:val="00F6646E"/>
    <w:rsid w:val="00F6662A"/>
    <w:rsid w:val="00F66690"/>
    <w:rsid w:val="00F666CE"/>
    <w:rsid w:val="00F668B2"/>
    <w:rsid w:val="00F66A79"/>
    <w:rsid w:val="00F6789D"/>
    <w:rsid w:val="00F7015C"/>
    <w:rsid w:val="00F705BD"/>
    <w:rsid w:val="00F708EF"/>
    <w:rsid w:val="00F71528"/>
    <w:rsid w:val="00F71555"/>
    <w:rsid w:val="00F71BDB"/>
    <w:rsid w:val="00F71EE0"/>
    <w:rsid w:val="00F72030"/>
    <w:rsid w:val="00F7240D"/>
    <w:rsid w:val="00F72462"/>
    <w:rsid w:val="00F7291B"/>
    <w:rsid w:val="00F72F5F"/>
    <w:rsid w:val="00F730EC"/>
    <w:rsid w:val="00F7379C"/>
    <w:rsid w:val="00F73870"/>
    <w:rsid w:val="00F738AC"/>
    <w:rsid w:val="00F73981"/>
    <w:rsid w:val="00F73BB4"/>
    <w:rsid w:val="00F74654"/>
    <w:rsid w:val="00F747A0"/>
    <w:rsid w:val="00F74D67"/>
    <w:rsid w:val="00F756A0"/>
    <w:rsid w:val="00F75869"/>
    <w:rsid w:val="00F75D4C"/>
    <w:rsid w:val="00F75FD6"/>
    <w:rsid w:val="00F76547"/>
    <w:rsid w:val="00F7659B"/>
    <w:rsid w:val="00F7672F"/>
    <w:rsid w:val="00F76851"/>
    <w:rsid w:val="00F77094"/>
    <w:rsid w:val="00F77681"/>
    <w:rsid w:val="00F77F0A"/>
    <w:rsid w:val="00F80A01"/>
    <w:rsid w:val="00F80AC8"/>
    <w:rsid w:val="00F80BE6"/>
    <w:rsid w:val="00F8106C"/>
    <w:rsid w:val="00F81710"/>
    <w:rsid w:val="00F8177E"/>
    <w:rsid w:val="00F81FD1"/>
    <w:rsid w:val="00F823EC"/>
    <w:rsid w:val="00F82ED8"/>
    <w:rsid w:val="00F83121"/>
    <w:rsid w:val="00F844B9"/>
    <w:rsid w:val="00F848C9"/>
    <w:rsid w:val="00F859D3"/>
    <w:rsid w:val="00F85F88"/>
    <w:rsid w:val="00F86273"/>
    <w:rsid w:val="00F862FE"/>
    <w:rsid w:val="00F86CB9"/>
    <w:rsid w:val="00F86F0C"/>
    <w:rsid w:val="00F87789"/>
    <w:rsid w:val="00F87A0E"/>
    <w:rsid w:val="00F901BA"/>
    <w:rsid w:val="00F901F8"/>
    <w:rsid w:val="00F90231"/>
    <w:rsid w:val="00F904E1"/>
    <w:rsid w:val="00F906DE"/>
    <w:rsid w:val="00F9082E"/>
    <w:rsid w:val="00F90920"/>
    <w:rsid w:val="00F91493"/>
    <w:rsid w:val="00F9169B"/>
    <w:rsid w:val="00F919E8"/>
    <w:rsid w:val="00F920BB"/>
    <w:rsid w:val="00F92E2B"/>
    <w:rsid w:val="00F932BF"/>
    <w:rsid w:val="00F93642"/>
    <w:rsid w:val="00F9365D"/>
    <w:rsid w:val="00F93715"/>
    <w:rsid w:val="00F93871"/>
    <w:rsid w:val="00F93E65"/>
    <w:rsid w:val="00F93F76"/>
    <w:rsid w:val="00F946BE"/>
    <w:rsid w:val="00F94CAA"/>
    <w:rsid w:val="00F94E3C"/>
    <w:rsid w:val="00F94E47"/>
    <w:rsid w:val="00F94EEA"/>
    <w:rsid w:val="00F951A4"/>
    <w:rsid w:val="00F959A2"/>
    <w:rsid w:val="00F95E9B"/>
    <w:rsid w:val="00F96805"/>
    <w:rsid w:val="00F96809"/>
    <w:rsid w:val="00F96CBA"/>
    <w:rsid w:val="00F9753F"/>
    <w:rsid w:val="00F97AFD"/>
    <w:rsid w:val="00FA0426"/>
    <w:rsid w:val="00FA05E8"/>
    <w:rsid w:val="00FA0BD8"/>
    <w:rsid w:val="00FA0C51"/>
    <w:rsid w:val="00FA0C95"/>
    <w:rsid w:val="00FA1832"/>
    <w:rsid w:val="00FA209C"/>
    <w:rsid w:val="00FA20D7"/>
    <w:rsid w:val="00FA2C41"/>
    <w:rsid w:val="00FA2F65"/>
    <w:rsid w:val="00FA2F98"/>
    <w:rsid w:val="00FA3468"/>
    <w:rsid w:val="00FA3856"/>
    <w:rsid w:val="00FA38B1"/>
    <w:rsid w:val="00FA3ED3"/>
    <w:rsid w:val="00FA406C"/>
    <w:rsid w:val="00FA414E"/>
    <w:rsid w:val="00FA43D9"/>
    <w:rsid w:val="00FA4484"/>
    <w:rsid w:val="00FA493B"/>
    <w:rsid w:val="00FA4A59"/>
    <w:rsid w:val="00FA50C5"/>
    <w:rsid w:val="00FA5816"/>
    <w:rsid w:val="00FA60B0"/>
    <w:rsid w:val="00FA64CD"/>
    <w:rsid w:val="00FA6714"/>
    <w:rsid w:val="00FA702E"/>
    <w:rsid w:val="00FA723C"/>
    <w:rsid w:val="00FA7A14"/>
    <w:rsid w:val="00FA7A36"/>
    <w:rsid w:val="00FB03F0"/>
    <w:rsid w:val="00FB0703"/>
    <w:rsid w:val="00FB0BB6"/>
    <w:rsid w:val="00FB1164"/>
    <w:rsid w:val="00FB1330"/>
    <w:rsid w:val="00FB1432"/>
    <w:rsid w:val="00FB21B4"/>
    <w:rsid w:val="00FB2F12"/>
    <w:rsid w:val="00FB375D"/>
    <w:rsid w:val="00FB38D6"/>
    <w:rsid w:val="00FB3D80"/>
    <w:rsid w:val="00FB3DD3"/>
    <w:rsid w:val="00FB47A2"/>
    <w:rsid w:val="00FB53EE"/>
    <w:rsid w:val="00FB5708"/>
    <w:rsid w:val="00FB57EE"/>
    <w:rsid w:val="00FB5E84"/>
    <w:rsid w:val="00FB5F01"/>
    <w:rsid w:val="00FB60B2"/>
    <w:rsid w:val="00FB646D"/>
    <w:rsid w:val="00FB67CF"/>
    <w:rsid w:val="00FB6BDC"/>
    <w:rsid w:val="00FB6CCC"/>
    <w:rsid w:val="00FB6D67"/>
    <w:rsid w:val="00FB7131"/>
    <w:rsid w:val="00FB7374"/>
    <w:rsid w:val="00FB7607"/>
    <w:rsid w:val="00FC02C6"/>
    <w:rsid w:val="00FC057B"/>
    <w:rsid w:val="00FC0BB3"/>
    <w:rsid w:val="00FC17F0"/>
    <w:rsid w:val="00FC2E2D"/>
    <w:rsid w:val="00FC3B72"/>
    <w:rsid w:val="00FC3BFC"/>
    <w:rsid w:val="00FC3C76"/>
    <w:rsid w:val="00FC40B1"/>
    <w:rsid w:val="00FC4501"/>
    <w:rsid w:val="00FC47AC"/>
    <w:rsid w:val="00FC49D1"/>
    <w:rsid w:val="00FC5876"/>
    <w:rsid w:val="00FC593B"/>
    <w:rsid w:val="00FC623E"/>
    <w:rsid w:val="00FC668E"/>
    <w:rsid w:val="00FC674E"/>
    <w:rsid w:val="00FC6998"/>
    <w:rsid w:val="00FC6B9B"/>
    <w:rsid w:val="00FC6C6D"/>
    <w:rsid w:val="00FC6FD4"/>
    <w:rsid w:val="00FC7333"/>
    <w:rsid w:val="00FC7706"/>
    <w:rsid w:val="00FC7995"/>
    <w:rsid w:val="00FC7ABA"/>
    <w:rsid w:val="00FD017B"/>
    <w:rsid w:val="00FD05A2"/>
    <w:rsid w:val="00FD0BA0"/>
    <w:rsid w:val="00FD1566"/>
    <w:rsid w:val="00FD1670"/>
    <w:rsid w:val="00FD1786"/>
    <w:rsid w:val="00FD1856"/>
    <w:rsid w:val="00FD214B"/>
    <w:rsid w:val="00FD272C"/>
    <w:rsid w:val="00FD2F4C"/>
    <w:rsid w:val="00FD331D"/>
    <w:rsid w:val="00FD3719"/>
    <w:rsid w:val="00FD3E91"/>
    <w:rsid w:val="00FD432B"/>
    <w:rsid w:val="00FD4539"/>
    <w:rsid w:val="00FD47C7"/>
    <w:rsid w:val="00FD492E"/>
    <w:rsid w:val="00FD53DF"/>
    <w:rsid w:val="00FD54FD"/>
    <w:rsid w:val="00FD6305"/>
    <w:rsid w:val="00FD6938"/>
    <w:rsid w:val="00FD6B1B"/>
    <w:rsid w:val="00FD6C6F"/>
    <w:rsid w:val="00FD6FB8"/>
    <w:rsid w:val="00FD725A"/>
    <w:rsid w:val="00FD75ED"/>
    <w:rsid w:val="00FD774F"/>
    <w:rsid w:val="00FE0E8A"/>
    <w:rsid w:val="00FE0F7F"/>
    <w:rsid w:val="00FE1AD3"/>
    <w:rsid w:val="00FE208F"/>
    <w:rsid w:val="00FE22CC"/>
    <w:rsid w:val="00FE2331"/>
    <w:rsid w:val="00FE23B1"/>
    <w:rsid w:val="00FE3A3E"/>
    <w:rsid w:val="00FE3AC4"/>
    <w:rsid w:val="00FE44A1"/>
    <w:rsid w:val="00FE47AF"/>
    <w:rsid w:val="00FE4841"/>
    <w:rsid w:val="00FE4B6D"/>
    <w:rsid w:val="00FE5247"/>
    <w:rsid w:val="00FE55F1"/>
    <w:rsid w:val="00FE5D23"/>
    <w:rsid w:val="00FE680B"/>
    <w:rsid w:val="00FE68D6"/>
    <w:rsid w:val="00FE6AD3"/>
    <w:rsid w:val="00FE6B9E"/>
    <w:rsid w:val="00FE6EC0"/>
    <w:rsid w:val="00FE71FC"/>
    <w:rsid w:val="00FE7D38"/>
    <w:rsid w:val="00FF0356"/>
    <w:rsid w:val="00FF0538"/>
    <w:rsid w:val="00FF09EF"/>
    <w:rsid w:val="00FF0C5B"/>
    <w:rsid w:val="00FF0EE0"/>
    <w:rsid w:val="00FF24CB"/>
    <w:rsid w:val="00FF2649"/>
    <w:rsid w:val="00FF26C4"/>
    <w:rsid w:val="00FF2849"/>
    <w:rsid w:val="00FF31A8"/>
    <w:rsid w:val="00FF32A8"/>
    <w:rsid w:val="00FF36C4"/>
    <w:rsid w:val="00FF4313"/>
    <w:rsid w:val="00FF4331"/>
    <w:rsid w:val="00FF43A7"/>
    <w:rsid w:val="00FF4879"/>
    <w:rsid w:val="00FF509C"/>
    <w:rsid w:val="00FF5777"/>
    <w:rsid w:val="00FF6447"/>
    <w:rsid w:val="00FF6991"/>
    <w:rsid w:val="00FF6C25"/>
    <w:rsid w:val="00FF6C87"/>
    <w:rsid w:val="00FF729E"/>
    <w:rsid w:val="00FF79D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69A79A7-C4E9-496E-9741-4DF926335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Cs w:val="22"/>
        <w:lang w:val="pt-BR"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B5730B"/>
    <w:pPr>
      <w:spacing w:after="0" w:line="240" w:lineRule="auto"/>
    </w:pPr>
  </w:style>
  <w:style w:type="paragraph" w:styleId="Ttulo1">
    <w:name w:val="heading 1"/>
    <w:basedOn w:val="Normal"/>
    <w:next w:val="Normal"/>
    <w:link w:val="Ttulo1Char"/>
    <w:uiPriority w:val="9"/>
    <w:qFormat/>
    <w:rsid w:val="00867F54"/>
    <w:pPr>
      <w:keepNext/>
      <w:outlineLvl w:val="0"/>
    </w:pPr>
    <w:rPr>
      <w:b/>
      <w:bCs/>
      <w:color w:val="0000FF"/>
      <w:szCs w:val="20"/>
    </w:rPr>
  </w:style>
  <w:style w:type="paragraph" w:styleId="Ttulo2">
    <w:name w:val="heading 2"/>
    <w:basedOn w:val="Normal"/>
    <w:next w:val="Normal"/>
    <w:link w:val="Ttulo2Char"/>
    <w:autoRedefine/>
    <w:qFormat/>
    <w:rsid w:val="00867F54"/>
    <w:pPr>
      <w:keepNext/>
      <w:widowControl w:val="0"/>
      <w:tabs>
        <w:tab w:val="num" w:pos="576"/>
      </w:tabs>
      <w:autoSpaceDE w:val="0"/>
      <w:autoSpaceDN w:val="0"/>
      <w:adjustRightInd w:val="0"/>
      <w:outlineLvl w:val="1"/>
    </w:pPr>
    <w:rPr>
      <w:rFonts w:cs="Arial"/>
      <w:b/>
      <w:bCs/>
      <w:iCs/>
      <w:color w:val="0000CC"/>
      <w:szCs w:val="28"/>
    </w:rPr>
  </w:style>
  <w:style w:type="paragraph" w:styleId="Ttulo3">
    <w:name w:val="heading 3"/>
    <w:basedOn w:val="Normal"/>
    <w:next w:val="Normal"/>
    <w:link w:val="Ttulo3Char"/>
    <w:qFormat/>
    <w:rsid w:val="00867F54"/>
    <w:pPr>
      <w:keepNext/>
      <w:outlineLvl w:val="2"/>
    </w:pPr>
    <w:rPr>
      <w:rFonts w:cs="Arial"/>
      <w:b/>
      <w:bCs/>
      <w:color w:val="0000CC"/>
      <w:szCs w:val="20"/>
    </w:rPr>
  </w:style>
  <w:style w:type="paragraph" w:styleId="Ttulo4">
    <w:name w:val="heading 4"/>
    <w:basedOn w:val="Normal"/>
    <w:next w:val="Normal"/>
    <w:link w:val="Ttulo4Char"/>
    <w:qFormat/>
    <w:rsid w:val="00867F54"/>
    <w:pPr>
      <w:keepNext/>
      <w:widowControl w:val="0"/>
      <w:tabs>
        <w:tab w:val="num" w:pos="864"/>
      </w:tabs>
      <w:autoSpaceDE w:val="0"/>
      <w:autoSpaceDN w:val="0"/>
      <w:adjustRightInd w:val="0"/>
      <w:outlineLvl w:val="3"/>
    </w:pPr>
    <w:rPr>
      <w:b/>
      <w:bCs/>
      <w:color w:val="0000CC"/>
      <w:szCs w:val="28"/>
    </w:rPr>
  </w:style>
  <w:style w:type="paragraph" w:styleId="Ttulo5">
    <w:name w:val="heading 5"/>
    <w:basedOn w:val="Normal"/>
    <w:next w:val="Corpodetexto"/>
    <w:link w:val="Ttulo5Char"/>
    <w:qFormat/>
    <w:rsid w:val="007001C2"/>
    <w:pPr>
      <w:numPr>
        <w:ilvl w:val="4"/>
        <w:numId w:val="1"/>
      </w:numPr>
      <w:suppressAutoHyphens/>
      <w:spacing w:before="280" w:after="280"/>
      <w:outlineLvl w:val="4"/>
    </w:pPr>
    <w:rPr>
      <w:rFonts w:ascii="Arial Unicode MS" w:eastAsia="Arial Unicode MS" w:hAnsi="Arial Unicode MS" w:cs="Arial Unicode MS"/>
      <w:b/>
      <w:bCs/>
      <w:szCs w:val="20"/>
      <w:lang w:eastAsia="ar-SA"/>
    </w:rPr>
  </w:style>
  <w:style w:type="paragraph" w:styleId="Ttulo6">
    <w:name w:val="heading 6"/>
    <w:basedOn w:val="Normal"/>
    <w:next w:val="Normal"/>
    <w:link w:val="Ttulo6Char"/>
    <w:qFormat/>
    <w:rsid w:val="0005364A"/>
    <w:pPr>
      <w:keepNext/>
      <w:widowControl w:val="0"/>
      <w:tabs>
        <w:tab w:val="num" w:pos="1152"/>
      </w:tabs>
      <w:autoSpaceDE w:val="0"/>
      <w:autoSpaceDN w:val="0"/>
      <w:adjustRightInd w:val="0"/>
      <w:spacing w:before="60" w:after="60"/>
      <w:ind w:left="1152" w:right="-113" w:hanging="1152"/>
      <w:jc w:val="center"/>
      <w:outlineLvl w:val="5"/>
    </w:pPr>
    <w:rPr>
      <w:rFonts w:ascii="Arial" w:hAnsi="Arial"/>
      <w:b/>
      <w:bCs/>
      <w:color w:val="000000"/>
      <w:sz w:val="32"/>
      <w:szCs w:val="20"/>
    </w:rPr>
  </w:style>
  <w:style w:type="paragraph" w:styleId="Ttulo7">
    <w:name w:val="heading 7"/>
    <w:basedOn w:val="Normal"/>
    <w:next w:val="Normal"/>
    <w:link w:val="Ttulo7Char"/>
    <w:qFormat/>
    <w:rsid w:val="0005364A"/>
    <w:pPr>
      <w:keepNext/>
      <w:widowControl w:val="0"/>
      <w:tabs>
        <w:tab w:val="num" w:pos="1296"/>
      </w:tabs>
      <w:autoSpaceDE w:val="0"/>
      <w:autoSpaceDN w:val="0"/>
      <w:adjustRightInd w:val="0"/>
      <w:spacing w:before="60" w:after="60"/>
      <w:ind w:left="1296" w:hanging="1296"/>
      <w:jc w:val="both"/>
      <w:outlineLvl w:val="6"/>
    </w:pPr>
    <w:rPr>
      <w:rFonts w:ascii="Arial" w:hAnsi="Arial"/>
      <w:b/>
      <w:bCs/>
      <w:color w:val="000000"/>
      <w:sz w:val="32"/>
      <w:szCs w:val="20"/>
    </w:rPr>
  </w:style>
  <w:style w:type="paragraph" w:styleId="Ttulo8">
    <w:name w:val="heading 8"/>
    <w:basedOn w:val="Normal"/>
    <w:next w:val="Normal"/>
    <w:link w:val="Ttulo8Char"/>
    <w:qFormat/>
    <w:rsid w:val="0005364A"/>
    <w:pPr>
      <w:keepNext/>
      <w:widowControl w:val="0"/>
      <w:tabs>
        <w:tab w:val="num" w:pos="1440"/>
      </w:tabs>
      <w:autoSpaceDE w:val="0"/>
      <w:autoSpaceDN w:val="0"/>
      <w:adjustRightInd w:val="0"/>
      <w:spacing w:before="60" w:after="60"/>
      <w:ind w:left="1440" w:hanging="1440"/>
      <w:jc w:val="both"/>
      <w:outlineLvl w:val="7"/>
    </w:pPr>
    <w:rPr>
      <w:rFonts w:ascii="Arial" w:hAnsi="Arial"/>
      <w:color w:val="000000"/>
      <w:sz w:val="32"/>
      <w:szCs w:val="20"/>
    </w:rPr>
  </w:style>
  <w:style w:type="paragraph" w:styleId="Ttulo9">
    <w:name w:val="heading 9"/>
    <w:basedOn w:val="Normal"/>
    <w:next w:val="Normal"/>
    <w:link w:val="Ttulo9Char"/>
    <w:qFormat/>
    <w:rsid w:val="0005364A"/>
    <w:pPr>
      <w:keepNext/>
      <w:widowControl w:val="0"/>
      <w:tabs>
        <w:tab w:val="num" w:pos="1584"/>
      </w:tabs>
      <w:autoSpaceDE w:val="0"/>
      <w:autoSpaceDN w:val="0"/>
      <w:adjustRightInd w:val="0"/>
      <w:spacing w:before="60" w:after="60"/>
      <w:ind w:left="1584" w:hanging="1584"/>
      <w:jc w:val="center"/>
      <w:outlineLvl w:val="8"/>
    </w:pPr>
    <w:rPr>
      <w:rFonts w:ascii="Arial" w:hAnsi="Arial"/>
      <w:color w:val="000000"/>
      <w:sz w:val="32"/>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867F54"/>
    <w:rPr>
      <w:b/>
      <w:bCs/>
      <w:color w:val="0000FF"/>
      <w:szCs w:val="20"/>
    </w:rPr>
  </w:style>
  <w:style w:type="character" w:customStyle="1" w:styleId="Ttulo2Char">
    <w:name w:val="Título 2 Char"/>
    <w:basedOn w:val="Fontepargpadro"/>
    <w:link w:val="Ttulo2"/>
    <w:rsid w:val="00867F54"/>
    <w:rPr>
      <w:rFonts w:cs="Arial"/>
      <w:b/>
      <w:bCs/>
      <w:iCs/>
      <w:color w:val="0000CC"/>
      <w:szCs w:val="28"/>
    </w:rPr>
  </w:style>
  <w:style w:type="character" w:customStyle="1" w:styleId="Ttulo3Char">
    <w:name w:val="Título 3 Char"/>
    <w:basedOn w:val="Fontepargpadro"/>
    <w:link w:val="Ttulo3"/>
    <w:rsid w:val="00867F54"/>
    <w:rPr>
      <w:rFonts w:cs="Arial"/>
      <w:b/>
      <w:bCs/>
      <w:color w:val="0000CC"/>
      <w:szCs w:val="20"/>
    </w:rPr>
  </w:style>
  <w:style w:type="character" w:customStyle="1" w:styleId="Ttulo4Char">
    <w:name w:val="Título 4 Char"/>
    <w:basedOn w:val="Fontepargpadro"/>
    <w:link w:val="Ttulo4"/>
    <w:rsid w:val="00867F54"/>
    <w:rPr>
      <w:b/>
      <w:bCs/>
      <w:color w:val="0000CC"/>
      <w:szCs w:val="28"/>
    </w:rPr>
  </w:style>
  <w:style w:type="paragraph" w:styleId="Corpodetexto">
    <w:name w:val="Body Text"/>
    <w:basedOn w:val="Normal"/>
    <w:link w:val="CorpodetextoChar"/>
    <w:uiPriority w:val="99"/>
    <w:rsid w:val="007001C2"/>
    <w:pPr>
      <w:suppressAutoHyphens/>
      <w:autoSpaceDE w:val="0"/>
      <w:spacing w:line="240" w:lineRule="atLeast"/>
      <w:jc w:val="both"/>
    </w:pPr>
    <w:rPr>
      <w:rFonts w:ascii="Verdana" w:hAnsi="Verdana"/>
      <w:color w:val="000000"/>
      <w:lang w:eastAsia="ar-SA"/>
    </w:rPr>
  </w:style>
  <w:style w:type="character" w:customStyle="1" w:styleId="CorpodetextoChar">
    <w:name w:val="Corpo de texto Char"/>
    <w:basedOn w:val="Fontepargpadro"/>
    <w:link w:val="Corpodetexto"/>
    <w:uiPriority w:val="99"/>
    <w:rsid w:val="007001C2"/>
    <w:rPr>
      <w:rFonts w:ascii="Verdana" w:eastAsia="Times New Roman" w:hAnsi="Verdana" w:cs="Times New Roman"/>
      <w:color w:val="000000"/>
      <w:sz w:val="24"/>
      <w:szCs w:val="24"/>
      <w:lang w:eastAsia="ar-SA"/>
    </w:rPr>
  </w:style>
  <w:style w:type="character" w:customStyle="1" w:styleId="Ttulo5Char">
    <w:name w:val="Título 5 Char"/>
    <w:basedOn w:val="Fontepargpadro"/>
    <w:link w:val="Ttulo5"/>
    <w:rsid w:val="007001C2"/>
    <w:rPr>
      <w:rFonts w:ascii="Arial Unicode MS" w:eastAsia="Arial Unicode MS" w:hAnsi="Arial Unicode MS" w:cs="Arial Unicode MS"/>
      <w:b/>
      <w:bCs/>
      <w:szCs w:val="20"/>
      <w:lang w:eastAsia="ar-SA"/>
    </w:rPr>
  </w:style>
  <w:style w:type="character" w:customStyle="1" w:styleId="Ttulo6Char">
    <w:name w:val="Título 6 Char"/>
    <w:basedOn w:val="Fontepargpadro"/>
    <w:link w:val="Ttulo6"/>
    <w:rsid w:val="0005364A"/>
    <w:rPr>
      <w:rFonts w:ascii="Arial" w:eastAsia="Times New Roman" w:hAnsi="Arial" w:cs="Times New Roman"/>
      <w:b/>
      <w:bCs/>
      <w:color w:val="000000"/>
      <w:sz w:val="32"/>
      <w:szCs w:val="20"/>
      <w:lang w:eastAsia="pt-BR"/>
    </w:rPr>
  </w:style>
  <w:style w:type="character" w:customStyle="1" w:styleId="Ttulo7Char">
    <w:name w:val="Título 7 Char"/>
    <w:basedOn w:val="Fontepargpadro"/>
    <w:link w:val="Ttulo7"/>
    <w:rsid w:val="0005364A"/>
    <w:rPr>
      <w:rFonts w:ascii="Arial" w:eastAsia="Times New Roman" w:hAnsi="Arial" w:cs="Times New Roman"/>
      <w:b/>
      <w:bCs/>
      <w:color w:val="000000"/>
      <w:sz w:val="32"/>
      <w:szCs w:val="20"/>
      <w:lang w:eastAsia="pt-BR"/>
    </w:rPr>
  </w:style>
  <w:style w:type="character" w:customStyle="1" w:styleId="Ttulo8Char">
    <w:name w:val="Título 8 Char"/>
    <w:basedOn w:val="Fontepargpadro"/>
    <w:link w:val="Ttulo8"/>
    <w:rsid w:val="0005364A"/>
    <w:rPr>
      <w:rFonts w:ascii="Arial" w:eastAsia="Times New Roman" w:hAnsi="Arial" w:cs="Times New Roman"/>
      <w:color w:val="000000"/>
      <w:sz w:val="32"/>
      <w:szCs w:val="20"/>
      <w:lang w:eastAsia="pt-BR"/>
    </w:rPr>
  </w:style>
  <w:style w:type="character" w:customStyle="1" w:styleId="Ttulo9Char">
    <w:name w:val="Título 9 Char"/>
    <w:basedOn w:val="Fontepargpadro"/>
    <w:link w:val="Ttulo9"/>
    <w:rsid w:val="0005364A"/>
    <w:rPr>
      <w:rFonts w:ascii="Arial" w:eastAsia="Times New Roman" w:hAnsi="Arial" w:cs="Times New Roman"/>
      <w:color w:val="000000"/>
      <w:sz w:val="32"/>
      <w:szCs w:val="20"/>
      <w:lang w:eastAsia="pt-BR"/>
    </w:rPr>
  </w:style>
  <w:style w:type="character" w:customStyle="1" w:styleId="apple-converted-space">
    <w:name w:val="apple-converted-space"/>
    <w:basedOn w:val="Fontepargpadro"/>
    <w:uiPriority w:val="99"/>
    <w:rsid w:val="00A1300D"/>
  </w:style>
  <w:style w:type="character" w:styleId="Hyperlink">
    <w:name w:val="Hyperlink"/>
    <w:basedOn w:val="Fontepargpadro"/>
    <w:uiPriority w:val="99"/>
    <w:rsid w:val="007001C2"/>
    <w:rPr>
      <w:strike w:val="0"/>
      <w:dstrike w:val="0"/>
      <w:color w:val="0000FF"/>
      <w:u w:val="none"/>
    </w:rPr>
  </w:style>
  <w:style w:type="paragraph" w:styleId="Recuodecorpodetexto">
    <w:name w:val="Body Text Indent"/>
    <w:basedOn w:val="Normal"/>
    <w:link w:val="RecuodecorpodetextoChar"/>
    <w:rsid w:val="007001C2"/>
    <w:pPr>
      <w:suppressAutoHyphens/>
      <w:autoSpaceDE w:val="0"/>
      <w:spacing w:before="240" w:line="240" w:lineRule="atLeast"/>
      <w:ind w:left="720"/>
      <w:jc w:val="both"/>
    </w:pPr>
    <w:rPr>
      <w:rFonts w:ascii="Verdana" w:hAnsi="Verdana"/>
      <w:color w:val="000000"/>
      <w:lang w:eastAsia="ar-SA"/>
    </w:rPr>
  </w:style>
  <w:style w:type="character" w:customStyle="1" w:styleId="RecuodecorpodetextoChar">
    <w:name w:val="Recuo de corpo de texto Char"/>
    <w:basedOn w:val="Fontepargpadro"/>
    <w:link w:val="Recuodecorpodetexto"/>
    <w:rsid w:val="007001C2"/>
    <w:rPr>
      <w:rFonts w:ascii="Verdana" w:eastAsia="Times New Roman" w:hAnsi="Verdana" w:cs="Times New Roman"/>
      <w:color w:val="000000"/>
      <w:sz w:val="24"/>
      <w:szCs w:val="24"/>
      <w:lang w:eastAsia="ar-SA"/>
    </w:rPr>
  </w:style>
  <w:style w:type="paragraph" w:styleId="NormalWeb">
    <w:name w:val="Normal (Web)"/>
    <w:basedOn w:val="Normal"/>
    <w:uiPriority w:val="99"/>
    <w:rsid w:val="007001C2"/>
    <w:pPr>
      <w:suppressAutoHyphens/>
      <w:spacing w:before="280" w:after="280"/>
    </w:pPr>
    <w:rPr>
      <w:rFonts w:ascii="Arial Unicode MS" w:eastAsia="Arial Unicode MS" w:hAnsi="Arial Unicode MS" w:cs="Arial Unicode MS"/>
      <w:lang w:eastAsia="ar-SA"/>
    </w:rPr>
  </w:style>
  <w:style w:type="paragraph" w:customStyle="1" w:styleId="pergunta-1">
    <w:name w:val="pergunta-1"/>
    <w:basedOn w:val="Normal"/>
    <w:rsid w:val="007001C2"/>
    <w:pPr>
      <w:suppressAutoHyphens/>
      <w:spacing w:before="280" w:after="280"/>
    </w:pPr>
    <w:rPr>
      <w:rFonts w:ascii="Arial Unicode MS" w:eastAsia="Arial Unicode MS" w:hAnsi="Arial Unicode MS" w:cs="Arial Unicode MS"/>
      <w:lang w:eastAsia="ar-SA"/>
    </w:rPr>
  </w:style>
  <w:style w:type="paragraph" w:customStyle="1" w:styleId="pergunta-2">
    <w:name w:val="pergunta-2"/>
    <w:basedOn w:val="Normal"/>
    <w:rsid w:val="007001C2"/>
    <w:pPr>
      <w:suppressAutoHyphens/>
      <w:spacing w:before="280" w:after="280"/>
    </w:pPr>
    <w:rPr>
      <w:rFonts w:ascii="Arial Unicode MS" w:eastAsia="Arial Unicode MS" w:hAnsi="Arial Unicode MS" w:cs="Arial Unicode MS"/>
      <w:lang w:eastAsia="ar-SA"/>
    </w:rPr>
  </w:style>
  <w:style w:type="paragraph" w:customStyle="1" w:styleId="pergunta-3">
    <w:name w:val="pergunta-3"/>
    <w:basedOn w:val="Normal"/>
    <w:rsid w:val="007001C2"/>
    <w:pPr>
      <w:suppressAutoHyphens/>
      <w:spacing w:before="280" w:after="280"/>
    </w:pPr>
    <w:rPr>
      <w:rFonts w:ascii="Arial Unicode MS" w:eastAsia="Arial Unicode MS" w:hAnsi="Arial Unicode MS" w:cs="Arial Unicode MS"/>
      <w:lang w:eastAsia="ar-SA"/>
    </w:rPr>
  </w:style>
  <w:style w:type="paragraph" w:customStyle="1" w:styleId="pergunta-4">
    <w:name w:val="pergunta-4"/>
    <w:basedOn w:val="Normal"/>
    <w:rsid w:val="007001C2"/>
    <w:pPr>
      <w:suppressAutoHyphens/>
      <w:spacing w:before="280" w:after="280"/>
    </w:pPr>
    <w:rPr>
      <w:rFonts w:ascii="Arial Unicode MS" w:eastAsia="Arial Unicode MS" w:hAnsi="Arial Unicode MS" w:cs="Arial Unicode MS"/>
      <w:lang w:eastAsia="ar-SA"/>
    </w:rPr>
  </w:style>
  <w:style w:type="paragraph" w:customStyle="1" w:styleId="pergunta-5">
    <w:name w:val="pergunta-5"/>
    <w:basedOn w:val="Normal"/>
    <w:rsid w:val="007001C2"/>
    <w:pPr>
      <w:suppressAutoHyphens/>
      <w:spacing w:before="280" w:after="280"/>
    </w:pPr>
    <w:rPr>
      <w:rFonts w:ascii="Arial Unicode MS" w:eastAsia="Arial Unicode MS" w:hAnsi="Arial Unicode MS" w:cs="Arial Unicode MS"/>
      <w:lang w:eastAsia="ar-SA"/>
    </w:rPr>
  </w:style>
  <w:style w:type="paragraph" w:customStyle="1" w:styleId="pergunta-6">
    <w:name w:val="pergunta-6"/>
    <w:basedOn w:val="Normal"/>
    <w:rsid w:val="007001C2"/>
    <w:pPr>
      <w:suppressAutoHyphens/>
      <w:spacing w:before="280" w:after="280"/>
    </w:pPr>
    <w:rPr>
      <w:rFonts w:ascii="Arial Unicode MS" w:eastAsia="Arial Unicode MS" w:hAnsi="Arial Unicode MS" w:cs="Arial Unicode MS"/>
      <w:lang w:eastAsia="ar-SA"/>
    </w:rPr>
  </w:style>
  <w:style w:type="paragraph" w:customStyle="1" w:styleId="pergunta-7">
    <w:name w:val="pergunta-7"/>
    <w:basedOn w:val="Normal"/>
    <w:rsid w:val="007001C2"/>
    <w:pPr>
      <w:suppressAutoHyphens/>
      <w:spacing w:before="280" w:after="280"/>
    </w:pPr>
    <w:rPr>
      <w:rFonts w:ascii="Arial Unicode MS" w:eastAsia="Arial Unicode MS" w:hAnsi="Arial Unicode MS" w:cs="Arial Unicode MS"/>
      <w:lang w:eastAsia="ar-SA"/>
    </w:rPr>
  </w:style>
  <w:style w:type="paragraph" w:customStyle="1" w:styleId="pergunta-8">
    <w:name w:val="pergunta-8"/>
    <w:basedOn w:val="Normal"/>
    <w:rsid w:val="007001C2"/>
    <w:pPr>
      <w:suppressAutoHyphens/>
      <w:spacing w:before="280" w:after="280"/>
    </w:pPr>
    <w:rPr>
      <w:rFonts w:ascii="Arial Unicode MS" w:eastAsia="Arial Unicode MS" w:hAnsi="Arial Unicode MS" w:cs="Arial Unicode MS"/>
      <w:lang w:eastAsia="ar-SA"/>
    </w:rPr>
  </w:style>
  <w:style w:type="paragraph" w:customStyle="1" w:styleId="pergunta-9">
    <w:name w:val="pergunta-9"/>
    <w:basedOn w:val="Normal"/>
    <w:rsid w:val="007001C2"/>
    <w:pPr>
      <w:suppressAutoHyphens/>
      <w:spacing w:before="280" w:after="280"/>
    </w:pPr>
    <w:rPr>
      <w:rFonts w:ascii="Arial Unicode MS" w:eastAsia="Arial Unicode MS" w:hAnsi="Arial Unicode MS" w:cs="Arial Unicode MS"/>
      <w:lang w:eastAsia="ar-SA"/>
    </w:rPr>
  </w:style>
  <w:style w:type="paragraph" w:customStyle="1" w:styleId="pergunta-10">
    <w:name w:val="pergunta-10"/>
    <w:basedOn w:val="Normal"/>
    <w:rsid w:val="007001C2"/>
    <w:pPr>
      <w:suppressAutoHyphens/>
      <w:spacing w:before="280" w:after="280"/>
    </w:pPr>
    <w:rPr>
      <w:rFonts w:ascii="Arial Unicode MS" w:eastAsia="Arial Unicode MS" w:hAnsi="Arial Unicode MS" w:cs="Arial Unicode MS"/>
      <w:lang w:eastAsia="ar-SA"/>
    </w:rPr>
  </w:style>
  <w:style w:type="paragraph" w:customStyle="1" w:styleId="pergunta-11">
    <w:name w:val="pergunta-11"/>
    <w:basedOn w:val="Normal"/>
    <w:rsid w:val="007001C2"/>
    <w:pPr>
      <w:suppressAutoHyphens/>
      <w:spacing w:before="280" w:after="280"/>
    </w:pPr>
    <w:rPr>
      <w:rFonts w:ascii="Arial Unicode MS" w:eastAsia="Arial Unicode MS" w:hAnsi="Arial Unicode MS" w:cs="Arial Unicode MS"/>
      <w:lang w:eastAsia="ar-SA"/>
    </w:rPr>
  </w:style>
  <w:style w:type="paragraph" w:customStyle="1" w:styleId="pergunta-12">
    <w:name w:val="pergunta-12"/>
    <w:basedOn w:val="Normal"/>
    <w:rsid w:val="007001C2"/>
    <w:pPr>
      <w:suppressAutoHyphens/>
      <w:spacing w:before="280" w:after="280"/>
    </w:pPr>
    <w:rPr>
      <w:rFonts w:ascii="Arial Unicode MS" w:eastAsia="Arial Unicode MS" w:hAnsi="Arial Unicode MS" w:cs="Arial Unicode MS"/>
      <w:lang w:eastAsia="ar-SA"/>
    </w:rPr>
  </w:style>
  <w:style w:type="paragraph" w:customStyle="1" w:styleId="pergunta-13">
    <w:name w:val="pergunta-13"/>
    <w:basedOn w:val="Normal"/>
    <w:rsid w:val="007001C2"/>
    <w:pPr>
      <w:suppressAutoHyphens/>
      <w:spacing w:before="280" w:after="280"/>
    </w:pPr>
    <w:rPr>
      <w:rFonts w:ascii="Arial Unicode MS" w:eastAsia="Arial Unicode MS" w:hAnsi="Arial Unicode MS" w:cs="Arial Unicode MS"/>
      <w:lang w:eastAsia="ar-SA"/>
    </w:rPr>
  </w:style>
  <w:style w:type="paragraph" w:customStyle="1" w:styleId="pergunta-14">
    <w:name w:val="pergunta-14"/>
    <w:basedOn w:val="Normal"/>
    <w:rsid w:val="007001C2"/>
    <w:pPr>
      <w:suppressAutoHyphens/>
      <w:spacing w:before="280" w:after="280"/>
    </w:pPr>
    <w:rPr>
      <w:rFonts w:ascii="Arial Unicode MS" w:eastAsia="Arial Unicode MS" w:hAnsi="Arial Unicode MS" w:cs="Arial Unicode MS"/>
      <w:lang w:eastAsia="ar-SA"/>
    </w:rPr>
  </w:style>
  <w:style w:type="paragraph" w:customStyle="1" w:styleId="pergunta-15">
    <w:name w:val="pergunta-15"/>
    <w:basedOn w:val="Normal"/>
    <w:rsid w:val="007001C2"/>
    <w:pPr>
      <w:suppressAutoHyphens/>
      <w:spacing w:before="280" w:after="280"/>
    </w:pPr>
    <w:rPr>
      <w:rFonts w:ascii="Arial Unicode MS" w:eastAsia="Arial Unicode MS" w:hAnsi="Arial Unicode MS" w:cs="Arial Unicode MS"/>
      <w:lang w:eastAsia="ar-SA"/>
    </w:rPr>
  </w:style>
  <w:style w:type="paragraph" w:customStyle="1" w:styleId="pergunta-16">
    <w:name w:val="pergunta-16"/>
    <w:basedOn w:val="Normal"/>
    <w:rsid w:val="007001C2"/>
    <w:pPr>
      <w:suppressAutoHyphens/>
      <w:spacing w:before="280" w:after="280"/>
    </w:pPr>
    <w:rPr>
      <w:rFonts w:ascii="Arial Unicode MS" w:eastAsia="Arial Unicode MS" w:hAnsi="Arial Unicode MS" w:cs="Arial Unicode MS"/>
      <w:lang w:eastAsia="ar-SA"/>
    </w:rPr>
  </w:style>
  <w:style w:type="paragraph" w:customStyle="1" w:styleId="pergunta-17">
    <w:name w:val="pergunta-17"/>
    <w:basedOn w:val="Normal"/>
    <w:rsid w:val="007001C2"/>
    <w:pPr>
      <w:suppressAutoHyphens/>
      <w:spacing w:before="280" w:after="280"/>
    </w:pPr>
    <w:rPr>
      <w:rFonts w:ascii="Arial Unicode MS" w:eastAsia="Arial Unicode MS" w:hAnsi="Arial Unicode MS" w:cs="Arial Unicode MS"/>
      <w:lang w:eastAsia="ar-SA"/>
    </w:rPr>
  </w:style>
  <w:style w:type="paragraph" w:customStyle="1" w:styleId="pergunta-18">
    <w:name w:val="pergunta-18"/>
    <w:basedOn w:val="Normal"/>
    <w:rsid w:val="007001C2"/>
    <w:pPr>
      <w:suppressAutoHyphens/>
      <w:spacing w:before="280" w:after="280"/>
    </w:pPr>
    <w:rPr>
      <w:rFonts w:ascii="Arial Unicode MS" w:eastAsia="Arial Unicode MS" w:hAnsi="Arial Unicode MS" w:cs="Arial Unicode MS"/>
      <w:lang w:eastAsia="ar-SA"/>
    </w:rPr>
  </w:style>
  <w:style w:type="paragraph" w:customStyle="1" w:styleId="pergunta-19">
    <w:name w:val="pergunta-19"/>
    <w:basedOn w:val="Normal"/>
    <w:rsid w:val="007001C2"/>
    <w:pPr>
      <w:suppressAutoHyphens/>
      <w:spacing w:before="280" w:after="280"/>
    </w:pPr>
    <w:rPr>
      <w:rFonts w:ascii="Arial Unicode MS" w:eastAsia="Arial Unicode MS" w:hAnsi="Arial Unicode MS" w:cs="Arial Unicode MS"/>
      <w:lang w:eastAsia="ar-SA"/>
    </w:rPr>
  </w:style>
  <w:style w:type="paragraph" w:customStyle="1" w:styleId="pergunta-20">
    <w:name w:val="pergunta-20"/>
    <w:basedOn w:val="Normal"/>
    <w:rsid w:val="007001C2"/>
    <w:pPr>
      <w:suppressAutoHyphens/>
      <w:spacing w:before="280" w:after="280"/>
    </w:pPr>
    <w:rPr>
      <w:rFonts w:ascii="Arial Unicode MS" w:eastAsia="Arial Unicode MS" w:hAnsi="Arial Unicode MS" w:cs="Arial Unicode MS"/>
      <w:lang w:eastAsia="ar-SA"/>
    </w:rPr>
  </w:style>
  <w:style w:type="paragraph" w:customStyle="1" w:styleId="pergunta-21">
    <w:name w:val="pergunta-21"/>
    <w:basedOn w:val="Normal"/>
    <w:rsid w:val="007001C2"/>
    <w:pPr>
      <w:suppressAutoHyphens/>
      <w:spacing w:before="280" w:after="280"/>
    </w:pPr>
    <w:rPr>
      <w:rFonts w:ascii="Arial Unicode MS" w:eastAsia="Arial Unicode MS" w:hAnsi="Arial Unicode MS" w:cs="Arial Unicode MS"/>
      <w:lang w:eastAsia="ar-SA"/>
    </w:rPr>
  </w:style>
  <w:style w:type="paragraph" w:customStyle="1" w:styleId="pergunta-23">
    <w:name w:val="pergunta-23"/>
    <w:basedOn w:val="Normal"/>
    <w:rsid w:val="007001C2"/>
    <w:pPr>
      <w:suppressAutoHyphens/>
      <w:spacing w:before="280" w:after="280"/>
    </w:pPr>
    <w:rPr>
      <w:rFonts w:ascii="Arial Unicode MS" w:eastAsia="Arial Unicode MS" w:hAnsi="Arial Unicode MS" w:cs="Arial Unicode MS"/>
      <w:lang w:eastAsia="ar-SA"/>
    </w:rPr>
  </w:style>
  <w:style w:type="paragraph" w:customStyle="1" w:styleId="pergunta-24">
    <w:name w:val="pergunta-24"/>
    <w:basedOn w:val="Normal"/>
    <w:rsid w:val="007001C2"/>
    <w:pPr>
      <w:suppressAutoHyphens/>
      <w:spacing w:before="280" w:after="280"/>
    </w:pPr>
    <w:rPr>
      <w:rFonts w:ascii="Arial Unicode MS" w:eastAsia="Arial Unicode MS" w:hAnsi="Arial Unicode MS" w:cs="Arial Unicode MS"/>
      <w:lang w:eastAsia="ar-SA"/>
    </w:rPr>
  </w:style>
  <w:style w:type="paragraph" w:customStyle="1" w:styleId="pergunta-25">
    <w:name w:val="pergunta-25"/>
    <w:basedOn w:val="Normal"/>
    <w:rsid w:val="007001C2"/>
    <w:pPr>
      <w:suppressAutoHyphens/>
      <w:spacing w:before="280" w:after="280"/>
    </w:pPr>
    <w:rPr>
      <w:rFonts w:ascii="Arial Unicode MS" w:eastAsia="Arial Unicode MS" w:hAnsi="Arial Unicode MS" w:cs="Arial Unicode MS"/>
      <w:lang w:eastAsia="ar-SA"/>
    </w:rPr>
  </w:style>
  <w:style w:type="paragraph" w:customStyle="1" w:styleId="pergunta-27">
    <w:name w:val="pergunta-27"/>
    <w:basedOn w:val="Normal"/>
    <w:rsid w:val="007001C2"/>
    <w:pPr>
      <w:suppressAutoHyphens/>
      <w:spacing w:before="280" w:after="280"/>
    </w:pPr>
    <w:rPr>
      <w:rFonts w:ascii="Arial Unicode MS" w:eastAsia="Arial Unicode MS" w:hAnsi="Arial Unicode MS" w:cs="Arial Unicode MS"/>
      <w:lang w:eastAsia="ar-SA"/>
    </w:rPr>
  </w:style>
  <w:style w:type="paragraph" w:customStyle="1" w:styleId="pergunta-28">
    <w:name w:val="pergunta-28"/>
    <w:basedOn w:val="Normal"/>
    <w:rsid w:val="007001C2"/>
    <w:pPr>
      <w:suppressAutoHyphens/>
      <w:spacing w:before="280" w:after="280"/>
    </w:pPr>
    <w:rPr>
      <w:rFonts w:ascii="Arial Unicode MS" w:eastAsia="Arial Unicode MS" w:hAnsi="Arial Unicode MS" w:cs="Arial Unicode MS"/>
      <w:lang w:eastAsia="ar-SA"/>
    </w:rPr>
  </w:style>
  <w:style w:type="paragraph" w:styleId="PargrafodaLista">
    <w:name w:val="List Paragraph"/>
    <w:basedOn w:val="Normal"/>
    <w:uiPriority w:val="34"/>
    <w:qFormat/>
    <w:rsid w:val="007001C2"/>
    <w:pPr>
      <w:suppressAutoHyphens/>
      <w:ind w:left="708"/>
    </w:pPr>
    <w:rPr>
      <w:rFonts w:ascii="Verdana" w:hAnsi="Verdana" w:cs="Arial"/>
      <w:szCs w:val="20"/>
      <w:lang w:eastAsia="ar-SA"/>
    </w:rPr>
  </w:style>
  <w:style w:type="paragraph" w:styleId="Corpodetexto2">
    <w:name w:val="Body Text 2"/>
    <w:basedOn w:val="Normal"/>
    <w:link w:val="Corpodetexto2Char"/>
    <w:semiHidden/>
    <w:rsid w:val="007001C2"/>
    <w:pPr>
      <w:jc w:val="both"/>
    </w:pPr>
    <w:rPr>
      <w:szCs w:val="20"/>
    </w:rPr>
  </w:style>
  <w:style w:type="character" w:customStyle="1" w:styleId="Corpodetexto2Char">
    <w:name w:val="Corpo de texto 2 Char"/>
    <w:basedOn w:val="Fontepargpadro"/>
    <w:link w:val="Corpodetexto2"/>
    <w:semiHidden/>
    <w:rsid w:val="007001C2"/>
    <w:rPr>
      <w:rFonts w:ascii="Times New Roman" w:eastAsia="Times New Roman" w:hAnsi="Times New Roman" w:cs="Times New Roman"/>
      <w:sz w:val="24"/>
      <w:szCs w:val="20"/>
      <w:lang w:eastAsia="pt-BR"/>
    </w:rPr>
  </w:style>
  <w:style w:type="paragraph" w:styleId="Cabealho">
    <w:name w:val="header"/>
    <w:basedOn w:val="Normal"/>
    <w:link w:val="CabealhoChar"/>
    <w:unhideWhenUsed/>
    <w:rsid w:val="003E3CC6"/>
    <w:pPr>
      <w:tabs>
        <w:tab w:val="center" w:pos="4252"/>
        <w:tab w:val="right" w:pos="8504"/>
      </w:tabs>
    </w:pPr>
    <w:rPr>
      <w:rFonts w:asciiTheme="minorHAnsi" w:hAnsiTheme="minorHAnsi"/>
      <w:sz w:val="22"/>
    </w:rPr>
  </w:style>
  <w:style w:type="character" w:customStyle="1" w:styleId="CabealhoChar">
    <w:name w:val="Cabeçalho Char"/>
    <w:basedOn w:val="Fontepargpadro"/>
    <w:link w:val="Cabealho"/>
    <w:rsid w:val="003E3CC6"/>
  </w:style>
  <w:style w:type="paragraph" w:styleId="Rodap">
    <w:name w:val="footer"/>
    <w:basedOn w:val="Normal"/>
    <w:link w:val="RodapChar"/>
    <w:uiPriority w:val="99"/>
    <w:unhideWhenUsed/>
    <w:rsid w:val="003E3CC6"/>
    <w:pPr>
      <w:tabs>
        <w:tab w:val="center" w:pos="4252"/>
        <w:tab w:val="right" w:pos="8504"/>
      </w:tabs>
    </w:pPr>
    <w:rPr>
      <w:rFonts w:asciiTheme="minorHAnsi" w:hAnsiTheme="minorHAnsi"/>
      <w:sz w:val="22"/>
    </w:rPr>
  </w:style>
  <w:style w:type="character" w:customStyle="1" w:styleId="RodapChar">
    <w:name w:val="Rodapé Char"/>
    <w:basedOn w:val="Fontepargpadro"/>
    <w:link w:val="Rodap"/>
    <w:uiPriority w:val="99"/>
    <w:rsid w:val="003E3CC6"/>
  </w:style>
  <w:style w:type="paragraph" w:customStyle="1" w:styleId="Recuodecorpodetexto21">
    <w:name w:val="Recuo de corpo de texto 21"/>
    <w:basedOn w:val="Normal"/>
    <w:rsid w:val="003E3CC6"/>
    <w:pPr>
      <w:suppressAutoHyphens/>
      <w:autoSpaceDE w:val="0"/>
      <w:ind w:firstLine="708"/>
      <w:jc w:val="both"/>
    </w:pPr>
    <w:rPr>
      <w:sz w:val="26"/>
      <w:szCs w:val="20"/>
      <w:lang w:eastAsia="ar-SA"/>
    </w:rPr>
  </w:style>
  <w:style w:type="paragraph" w:styleId="Sumrio1">
    <w:name w:val="toc 1"/>
    <w:basedOn w:val="Normal"/>
    <w:next w:val="Normal"/>
    <w:autoRedefine/>
    <w:uiPriority w:val="39"/>
    <w:unhideWhenUsed/>
    <w:rsid w:val="00D944FE"/>
    <w:pPr>
      <w:tabs>
        <w:tab w:val="right" w:leader="dot" w:pos="16260"/>
      </w:tabs>
      <w:spacing w:before="120"/>
    </w:pPr>
    <w:rPr>
      <w:bCs/>
      <w:noProof/>
      <w:szCs w:val="20"/>
    </w:rPr>
  </w:style>
  <w:style w:type="paragraph" w:styleId="Sumrio3">
    <w:name w:val="toc 3"/>
    <w:basedOn w:val="Normal"/>
    <w:next w:val="Normal"/>
    <w:autoRedefine/>
    <w:uiPriority w:val="39"/>
    <w:unhideWhenUsed/>
    <w:rsid w:val="00D944FE"/>
    <w:pPr>
      <w:spacing w:before="60"/>
      <w:ind w:left="680"/>
    </w:pPr>
    <w:rPr>
      <w:iCs/>
      <w:szCs w:val="20"/>
    </w:rPr>
  </w:style>
  <w:style w:type="paragraph" w:styleId="Textodebalo">
    <w:name w:val="Balloon Text"/>
    <w:basedOn w:val="Normal"/>
    <w:link w:val="TextodebaloChar"/>
    <w:unhideWhenUsed/>
    <w:rsid w:val="003E3CC6"/>
    <w:rPr>
      <w:rFonts w:ascii="Tahoma" w:hAnsi="Tahoma" w:cs="Tahoma"/>
      <w:sz w:val="16"/>
      <w:szCs w:val="16"/>
    </w:rPr>
  </w:style>
  <w:style w:type="character" w:customStyle="1" w:styleId="TextodebaloChar">
    <w:name w:val="Texto de balão Char"/>
    <w:basedOn w:val="Fontepargpadro"/>
    <w:link w:val="Textodebalo"/>
    <w:rsid w:val="003E3CC6"/>
    <w:rPr>
      <w:rFonts w:ascii="Tahoma" w:hAnsi="Tahoma" w:cs="Tahoma"/>
      <w:sz w:val="16"/>
      <w:szCs w:val="16"/>
    </w:rPr>
  </w:style>
  <w:style w:type="table" w:styleId="Tabelacomgrade">
    <w:name w:val="Table Grid"/>
    <w:basedOn w:val="Tabelanormal"/>
    <w:uiPriority w:val="39"/>
    <w:rsid w:val="00E747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2">
    <w:name w:val="xl22"/>
    <w:basedOn w:val="Normal"/>
    <w:rsid w:val="0005364A"/>
    <w:pPr>
      <w:spacing w:before="100" w:beforeAutospacing="1" w:after="100" w:afterAutospacing="1"/>
      <w:jc w:val="both"/>
    </w:pPr>
    <w:rPr>
      <w:rFonts w:ascii="Arial" w:hAnsi="Arial"/>
    </w:rPr>
  </w:style>
  <w:style w:type="paragraph" w:customStyle="1" w:styleId="Registro">
    <w:name w:val="Registro"/>
    <w:basedOn w:val="Ttulo2"/>
    <w:autoRedefine/>
    <w:rsid w:val="0005364A"/>
    <w:pPr>
      <w:keepNext w:val="0"/>
      <w:widowControl/>
      <w:numPr>
        <w:ilvl w:val="1"/>
      </w:numPr>
      <w:tabs>
        <w:tab w:val="num" w:pos="576"/>
      </w:tabs>
      <w:autoSpaceDE/>
      <w:autoSpaceDN/>
      <w:adjustRightInd/>
      <w:spacing w:before="180"/>
      <w:ind w:left="142" w:hanging="576"/>
    </w:pPr>
    <w:rPr>
      <w:rFonts w:cs="Times New Roman"/>
      <w:b w:val="0"/>
      <w:i/>
      <w:iCs w:val="0"/>
      <w:color w:val="000000"/>
      <w:sz w:val="32"/>
      <w:szCs w:val="20"/>
    </w:rPr>
  </w:style>
  <w:style w:type="paragraph" w:customStyle="1" w:styleId="Recuodecorpodetexto1">
    <w:name w:val="Recuo de corpo de texto1"/>
    <w:basedOn w:val="Normal"/>
    <w:rsid w:val="0005364A"/>
    <w:pPr>
      <w:widowControl w:val="0"/>
      <w:autoSpaceDE w:val="0"/>
      <w:autoSpaceDN w:val="0"/>
      <w:adjustRightInd w:val="0"/>
      <w:spacing w:before="60" w:after="60"/>
      <w:ind w:left="360"/>
      <w:jc w:val="both"/>
    </w:pPr>
    <w:rPr>
      <w:rFonts w:ascii="Arial" w:hAnsi="Arial" w:cs="Arial"/>
      <w:color w:val="FF0000"/>
      <w:szCs w:val="20"/>
    </w:rPr>
  </w:style>
  <w:style w:type="character" w:styleId="HiperlinkVisitado">
    <w:name w:val="FollowedHyperlink"/>
    <w:basedOn w:val="Fontepargpadro"/>
    <w:uiPriority w:val="99"/>
    <w:semiHidden/>
    <w:rsid w:val="0005364A"/>
    <w:rPr>
      <w:color w:val="800080"/>
      <w:u w:val="single"/>
    </w:rPr>
  </w:style>
  <w:style w:type="paragraph" w:customStyle="1" w:styleId="xl23">
    <w:name w:val="xl23"/>
    <w:basedOn w:val="Normal"/>
    <w:rsid w:val="0005364A"/>
    <w:pPr>
      <w:spacing w:before="100" w:beforeAutospacing="1" w:after="100" w:afterAutospacing="1"/>
      <w:jc w:val="both"/>
    </w:pPr>
    <w:rPr>
      <w:rFonts w:ascii="Arial" w:hAnsi="Arial" w:cs="Arial"/>
      <w:b/>
      <w:bCs/>
    </w:rPr>
  </w:style>
  <w:style w:type="paragraph" w:customStyle="1" w:styleId="xl24">
    <w:name w:val="xl24"/>
    <w:basedOn w:val="Normal"/>
    <w:rsid w:val="0005364A"/>
    <w:pPr>
      <w:shd w:val="clear" w:color="auto" w:fill="FFFF00"/>
      <w:spacing w:before="100" w:beforeAutospacing="1" w:after="100" w:afterAutospacing="1"/>
      <w:jc w:val="both"/>
    </w:pPr>
    <w:rPr>
      <w:rFonts w:ascii="Arial" w:hAnsi="Arial"/>
    </w:rPr>
  </w:style>
  <w:style w:type="paragraph" w:styleId="Corpodetexto3">
    <w:name w:val="Body Text 3"/>
    <w:basedOn w:val="Normal"/>
    <w:link w:val="Corpodetexto3Char"/>
    <w:semiHidden/>
    <w:rsid w:val="0005364A"/>
    <w:pPr>
      <w:widowControl w:val="0"/>
      <w:autoSpaceDE w:val="0"/>
      <w:autoSpaceDN w:val="0"/>
      <w:adjustRightInd w:val="0"/>
      <w:jc w:val="both"/>
    </w:pPr>
    <w:rPr>
      <w:rFonts w:ascii="Arial" w:hAnsi="Arial"/>
      <w:smallCaps/>
    </w:rPr>
  </w:style>
  <w:style w:type="character" w:customStyle="1" w:styleId="Corpodetexto3Char">
    <w:name w:val="Corpo de texto 3 Char"/>
    <w:basedOn w:val="Fontepargpadro"/>
    <w:link w:val="Corpodetexto3"/>
    <w:semiHidden/>
    <w:rsid w:val="0005364A"/>
    <w:rPr>
      <w:rFonts w:ascii="Arial" w:eastAsia="Times New Roman" w:hAnsi="Arial" w:cs="Times New Roman"/>
      <w:smallCaps/>
      <w:sz w:val="20"/>
      <w:szCs w:val="24"/>
      <w:lang w:eastAsia="pt-BR"/>
    </w:rPr>
  </w:style>
  <w:style w:type="paragraph" w:customStyle="1" w:styleId="Seo">
    <w:name w:val="Seção"/>
    <w:basedOn w:val="Ttulo2"/>
    <w:autoRedefine/>
    <w:rsid w:val="0005364A"/>
    <w:pPr>
      <w:keepNext w:val="0"/>
      <w:numPr>
        <w:ilvl w:val="1"/>
      </w:numPr>
      <w:tabs>
        <w:tab w:val="num" w:pos="576"/>
      </w:tabs>
      <w:autoSpaceDE/>
      <w:autoSpaceDN/>
      <w:adjustRightInd/>
      <w:spacing w:before="600"/>
      <w:ind w:left="576" w:hanging="576"/>
      <w:outlineLvl w:val="0"/>
    </w:pPr>
    <w:rPr>
      <w:rFonts w:cs="Times New Roman"/>
      <w:bCs w:val="0"/>
      <w:i/>
      <w:iCs w:val="0"/>
      <w:caps/>
      <w:color w:val="000000"/>
      <w:szCs w:val="20"/>
    </w:rPr>
  </w:style>
  <w:style w:type="paragraph" w:styleId="Sumrio2">
    <w:name w:val="toc 2"/>
    <w:basedOn w:val="Normal"/>
    <w:next w:val="Normal"/>
    <w:autoRedefine/>
    <w:uiPriority w:val="39"/>
    <w:rsid w:val="00D944FE"/>
    <w:pPr>
      <w:spacing w:before="120"/>
      <w:ind w:left="340"/>
    </w:pPr>
    <w:rPr>
      <w:szCs w:val="20"/>
    </w:rPr>
  </w:style>
  <w:style w:type="paragraph" w:styleId="Recuodecorpodetexto2">
    <w:name w:val="Body Text Indent 2"/>
    <w:basedOn w:val="Normal"/>
    <w:link w:val="Recuodecorpodetexto2Char"/>
    <w:semiHidden/>
    <w:rsid w:val="0005364A"/>
    <w:pPr>
      <w:widowControl w:val="0"/>
      <w:autoSpaceDE w:val="0"/>
      <w:autoSpaceDN w:val="0"/>
      <w:adjustRightInd w:val="0"/>
      <w:spacing w:before="60" w:after="60"/>
      <w:ind w:left="360"/>
      <w:jc w:val="both"/>
    </w:pPr>
    <w:rPr>
      <w:rFonts w:ascii="Arial" w:hAnsi="Arial"/>
      <w:color w:val="FF0000"/>
      <w:sz w:val="32"/>
      <w:szCs w:val="20"/>
    </w:rPr>
  </w:style>
  <w:style w:type="character" w:customStyle="1" w:styleId="Recuodecorpodetexto2Char">
    <w:name w:val="Recuo de corpo de texto 2 Char"/>
    <w:basedOn w:val="Fontepargpadro"/>
    <w:link w:val="Recuodecorpodetexto2"/>
    <w:semiHidden/>
    <w:rsid w:val="0005364A"/>
    <w:rPr>
      <w:rFonts w:ascii="Arial" w:eastAsia="Times New Roman" w:hAnsi="Arial" w:cs="Times New Roman"/>
      <w:color w:val="FF0000"/>
      <w:sz w:val="32"/>
      <w:szCs w:val="20"/>
      <w:lang w:eastAsia="pt-BR"/>
    </w:rPr>
  </w:style>
  <w:style w:type="paragraph" w:styleId="Recuodecorpodetexto3">
    <w:name w:val="Body Text Indent 3"/>
    <w:basedOn w:val="Normal"/>
    <w:link w:val="Recuodecorpodetexto3Char"/>
    <w:semiHidden/>
    <w:rsid w:val="0005364A"/>
    <w:pPr>
      <w:widowControl w:val="0"/>
      <w:autoSpaceDE w:val="0"/>
      <w:autoSpaceDN w:val="0"/>
      <w:adjustRightInd w:val="0"/>
      <w:spacing w:before="60" w:after="60"/>
      <w:ind w:left="315" w:hanging="315"/>
      <w:jc w:val="both"/>
    </w:pPr>
    <w:rPr>
      <w:rFonts w:ascii="Arial" w:hAnsi="Arial" w:cs="Arial"/>
    </w:rPr>
  </w:style>
  <w:style w:type="character" w:customStyle="1" w:styleId="Recuodecorpodetexto3Char">
    <w:name w:val="Recuo de corpo de texto 3 Char"/>
    <w:basedOn w:val="Fontepargpadro"/>
    <w:link w:val="Recuodecorpodetexto3"/>
    <w:semiHidden/>
    <w:rsid w:val="0005364A"/>
    <w:rPr>
      <w:rFonts w:ascii="Arial" w:eastAsia="Times New Roman" w:hAnsi="Arial" w:cs="Arial"/>
      <w:sz w:val="20"/>
      <w:szCs w:val="24"/>
      <w:lang w:eastAsia="pt-BR"/>
    </w:rPr>
  </w:style>
  <w:style w:type="paragraph" w:styleId="MapadoDocumento">
    <w:name w:val="Document Map"/>
    <w:basedOn w:val="Normal"/>
    <w:link w:val="MapadoDocumentoChar"/>
    <w:semiHidden/>
    <w:rsid w:val="0005364A"/>
    <w:pPr>
      <w:widowControl w:val="0"/>
      <w:shd w:val="clear" w:color="auto" w:fill="000080"/>
      <w:autoSpaceDE w:val="0"/>
      <w:autoSpaceDN w:val="0"/>
      <w:adjustRightInd w:val="0"/>
      <w:spacing w:before="60" w:after="60"/>
      <w:jc w:val="both"/>
    </w:pPr>
    <w:rPr>
      <w:rFonts w:ascii="Tahoma" w:hAnsi="Tahoma" w:cs="Tahoma"/>
    </w:rPr>
  </w:style>
  <w:style w:type="character" w:customStyle="1" w:styleId="MapadoDocumentoChar">
    <w:name w:val="Mapa do Documento Char"/>
    <w:basedOn w:val="Fontepargpadro"/>
    <w:link w:val="MapadoDocumento"/>
    <w:semiHidden/>
    <w:rsid w:val="0005364A"/>
    <w:rPr>
      <w:rFonts w:ascii="Tahoma" w:eastAsia="Times New Roman" w:hAnsi="Tahoma" w:cs="Tahoma"/>
      <w:sz w:val="20"/>
      <w:szCs w:val="24"/>
      <w:shd w:val="clear" w:color="auto" w:fill="000080"/>
      <w:lang w:eastAsia="pt-BR"/>
    </w:rPr>
  </w:style>
  <w:style w:type="character" w:styleId="Nmerodepgina">
    <w:name w:val="page number"/>
    <w:basedOn w:val="Fontepargpadro"/>
    <w:semiHidden/>
    <w:rsid w:val="0005364A"/>
  </w:style>
  <w:style w:type="paragraph" w:customStyle="1" w:styleId="seespsemantes">
    <w:name w:val="seespsemantes"/>
    <w:basedOn w:val="Normal"/>
    <w:rsid w:val="00A544DE"/>
    <w:pPr>
      <w:spacing w:before="100" w:beforeAutospacing="1" w:after="100" w:afterAutospacing="1"/>
    </w:pPr>
  </w:style>
  <w:style w:type="paragraph" w:customStyle="1" w:styleId="psds-corpodetexto">
    <w:name w:val="psds-corpodetexto"/>
    <w:basedOn w:val="Normal"/>
    <w:rsid w:val="00A544DE"/>
    <w:pPr>
      <w:spacing w:before="100" w:beforeAutospacing="1" w:after="100" w:afterAutospacing="1"/>
    </w:pPr>
  </w:style>
  <w:style w:type="paragraph" w:customStyle="1" w:styleId="alnea">
    <w:name w:val="alnea"/>
    <w:basedOn w:val="Normal"/>
    <w:rsid w:val="00A544DE"/>
    <w:pPr>
      <w:spacing w:before="100" w:beforeAutospacing="1" w:after="100" w:afterAutospacing="1"/>
    </w:pPr>
  </w:style>
  <w:style w:type="paragraph" w:customStyle="1" w:styleId="psds-marcadoresnivel20">
    <w:name w:val="psds-marcadoresnivel2"/>
    <w:basedOn w:val="Normal"/>
    <w:rsid w:val="00A544DE"/>
    <w:pPr>
      <w:spacing w:before="100" w:beforeAutospacing="1" w:after="100" w:afterAutospacing="1"/>
    </w:pPr>
  </w:style>
  <w:style w:type="paragraph" w:customStyle="1" w:styleId="PSDS-CorpodeTexto0">
    <w:name w:val="PSDS - Corpo de Texto"/>
    <w:basedOn w:val="Normal"/>
    <w:uiPriority w:val="99"/>
    <w:rsid w:val="00955AA7"/>
    <w:pPr>
      <w:suppressAutoHyphens/>
    </w:pPr>
    <w:rPr>
      <w:rFonts w:ascii="Arial" w:hAnsi="Arial"/>
      <w:szCs w:val="20"/>
      <w:lang w:eastAsia="ar-SA"/>
    </w:rPr>
  </w:style>
  <w:style w:type="paragraph" w:customStyle="1" w:styleId="titulo3">
    <w:name w:val="titulo3"/>
    <w:basedOn w:val="Normal"/>
    <w:rsid w:val="008D654E"/>
    <w:pPr>
      <w:suppressAutoHyphens/>
      <w:ind w:firstLine="567"/>
    </w:pPr>
    <w:rPr>
      <w:sz w:val="16"/>
      <w:szCs w:val="16"/>
      <w:lang w:eastAsia="ar-SA"/>
    </w:rPr>
  </w:style>
  <w:style w:type="paragraph" w:customStyle="1" w:styleId="titulo2">
    <w:name w:val="titulo2"/>
    <w:basedOn w:val="Normal"/>
    <w:rsid w:val="008D654E"/>
    <w:pPr>
      <w:suppressAutoHyphens/>
      <w:ind w:firstLine="567"/>
      <w:jc w:val="both"/>
    </w:pPr>
    <w:rPr>
      <w:bCs/>
      <w:szCs w:val="20"/>
      <w:lang w:eastAsia="ar-SA"/>
    </w:rPr>
  </w:style>
  <w:style w:type="paragraph" w:styleId="Pr-formataoHTML">
    <w:name w:val="HTML Preformatted"/>
    <w:basedOn w:val="Normal"/>
    <w:link w:val="Pr-formataoHTMLChar"/>
    <w:uiPriority w:val="99"/>
    <w:unhideWhenUsed/>
    <w:rsid w:val="000A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rPr>
  </w:style>
  <w:style w:type="character" w:customStyle="1" w:styleId="Pr-formataoHTMLChar">
    <w:name w:val="Pré-formatação HTML Char"/>
    <w:basedOn w:val="Fontepargpadro"/>
    <w:link w:val="Pr-formataoHTML"/>
    <w:uiPriority w:val="99"/>
    <w:rsid w:val="000A19B0"/>
    <w:rPr>
      <w:rFonts w:ascii="Courier New" w:eastAsia="Times New Roman" w:hAnsi="Courier New" w:cs="Courier New"/>
      <w:sz w:val="20"/>
      <w:szCs w:val="20"/>
      <w:lang w:eastAsia="pt-BR"/>
    </w:rPr>
  </w:style>
  <w:style w:type="paragraph" w:styleId="Sumrio4">
    <w:name w:val="toc 4"/>
    <w:basedOn w:val="Normal"/>
    <w:next w:val="Normal"/>
    <w:autoRedefine/>
    <w:uiPriority w:val="39"/>
    <w:unhideWhenUsed/>
    <w:rsid w:val="00D944FE"/>
    <w:pPr>
      <w:spacing w:before="60"/>
      <w:ind w:left="1021"/>
    </w:pPr>
    <w:rPr>
      <w:szCs w:val="18"/>
    </w:rPr>
  </w:style>
  <w:style w:type="paragraph" w:styleId="Sumrio5">
    <w:name w:val="toc 5"/>
    <w:basedOn w:val="Normal"/>
    <w:next w:val="Normal"/>
    <w:autoRedefine/>
    <w:uiPriority w:val="39"/>
    <w:unhideWhenUsed/>
    <w:rsid w:val="00870F2D"/>
    <w:pPr>
      <w:ind w:left="800"/>
    </w:pPr>
    <w:rPr>
      <w:rFonts w:asciiTheme="minorHAnsi" w:hAnsiTheme="minorHAnsi"/>
      <w:sz w:val="18"/>
      <w:szCs w:val="18"/>
    </w:rPr>
  </w:style>
  <w:style w:type="paragraph" w:styleId="Sumrio6">
    <w:name w:val="toc 6"/>
    <w:basedOn w:val="Normal"/>
    <w:next w:val="Normal"/>
    <w:autoRedefine/>
    <w:uiPriority w:val="39"/>
    <w:unhideWhenUsed/>
    <w:rsid w:val="00870F2D"/>
    <w:pPr>
      <w:ind w:left="1000"/>
    </w:pPr>
    <w:rPr>
      <w:rFonts w:asciiTheme="minorHAnsi" w:hAnsiTheme="minorHAnsi"/>
      <w:sz w:val="18"/>
      <w:szCs w:val="18"/>
    </w:rPr>
  </w:style>
  <w:style w:type="paragraph" w:styleId="Sumrio7">
    <w:name w:val="toc 7"/>
    <w:basedOn w:val="Normal"/>
    <w:next w:val="Normal"/>
    <w:autoRedefine/>
    <w:uiPriority w:val="39"/>
    <w:unhideWhenUsed/>
    <w:rsid w:val="00870F2D"/>
    <w:pPr>
      <w:ind w:left="1200"/>
    </w:pPr>
    <w:rPr>
      <w:rFonts w:asciiTheme="minorHAnsi" w:hAnsiTheme="minorHAnsi"/>
      <w:sz w:val="18"/>
      <w:szCs w:val="18"/>
    </w:rPr>
  </w:style>
  <w:style w:type="paragraph" w:styleId="Sumrio8">
    <w:name w:val="toc 8"/>
    <w:basedOn w:val="Normal"/>
    <w:next w:val="Normal"/>
    <w:autoRedefine/>
    <w:uiPriority w:val="39"/>
    <w:unhideWhenUsed/>
    <w:rsid w:val="00870F2D"/>
    <w:pPr>
      <w:ind w:left="1400"/>
    </w:pPr>
    <w:rPr>
      <w:rFonts w:asciiTheme="minorHAnsi" w:hAnsiTheme="minorHAnsi"/>
      <w:sz w:val="18"/>
      <w:szCs w:val="18"/>
    </w:rPr>
  </w:style>
  <w:style w:type="paragraph" w:styleId="Sumrio9">
    <w:name w:val="toc 9"/>
    <w:basedOn w:val="Normal"/>
    <w:next w:val="Normal"/>
    <w:autoRedefine/>
    <w:uiPriority w:val="39"/>
    <w:unhideWhenUsed/>
    <w:rsid w:val="00870F2D"/>
    <w:pPr>
      <w:ind w:left="1600"/>
    </w:pPr>
    <w:rPr>
      <w:rFonts w:asciiTheme="minorHAnsi" w:hAnsiTheme="minorHAnsi"/>
      <w:sz w:val="18"/>
      <w:szCs w:val="18"/>
    </w:rPr>
  </w:style>
  <w:style w:type="paragraph" w:customStyle="1" w:styleId="PSDS-MarcadoresNivel1">
    <w:name w:val="PSDS - Marcadores Nivel 1"/>
    <w:basedOn w:val="Normal"/>
    <w:rsid w:val="00462C28"/>
    <w:pPr>
      <w:numPr>
        <w:numId w:val="4"/>
      </w:numPr>
      <w:spacing w:before="40" w:after="40"/>
    </w:pPr>
    <w:rPr>
      <w:rFonts w:ascii="Arial" w:hAnsi="Arial"/>
      <w:b/>
      <w:szCs w:val="20"/>
    </w:rPr>
  </w:style>
  <w:style w:type="paragraph" w:customStyle="1" w:styleId="PSDS-MarcadoresNivel2">
    <w:name w:val="PSDS - Marcadores Nivel 2"/>
    <w:basedOn w:val="Normal"/>
    <w:uiPriority w:val="99"/>
    <w:rsid w:val="00462C28"/>
    <w:pPr>
      <w:numPr>
        <w:ilvl w:val="1"/>
        <w:numId w:val="4"/>
      </w:numPr>
      <w:spacing w:before="40" w:after="40"/>
    </w:pPr>
    <w:rPr>
      <w:rFonts w:ascii="Arial" w:hAnsi="Arial"/>
      <w:b/>
      <w:szCs w:val="20"/>
    </w:rPr>
  </w:style>
  <w:style w:type="paragraph" w:customStyle="1" w:styleId="PSDS-MarcadoresNivel5">
    <w:name w:val="PSDS - Marcadores Nivel 5"/>
    <w:basedOn w:val="Normal"/>
    <w:rsid w:val="00462C28"/>
    <w:pPr>
      <w:numPr>
        <w:ilvl w:val="4"/>
        <w:numId w:val="4"/>
      </w:numPr>
      <w:spacing w:before="40" w:after="40"/>
    </w:pPr>
    <w:rPr>
      <w:rFonts w:ascii="Arial" w:hAnsi="Arial" w:cs="Arial"/>
      <w:b/>
      <w:szCs w:val="20"/>
    </w:rPr>
  </w:style>
  <w:style w:type="paragraph" w:customStyle="1" w:styleId="04ParteNormativa">
    <w:name w:val="04 Parte Normativa"/>
    <w:basedOn w:val="Normal"/>
    <w:autoRedefine/>
    <w:uiPriority w:val="99"/>
    <w:qFormat/>
    <w:rsid w:val="0081506D"/>
    <w:pPr>
      <w:spacing w:after="120"/>
      <w:ind w:firstLine="1418"/>
      <w:jc w:val="both"/>
    </w:pPr>
    <w:rPr>
      <w:iCs/>
      <w:szCs w:val="20"/>
    </w:rPr>
  </w:style>
  <w:style w:type="paragraph" w:customStyle="1" w:styleId="Recuodecorpodetexto20">
    <w:name w:val="Recuo de corpo de texto2"/>
    <w:basedOn w:val="Normal"/>
    <w:rsid w:val="0069532A"/>
    <w:pPr>
      <w:widowControl w:val="0"/>
      <w:autoSpaceDE w:val="0"/>
      <w:autoSpaceDN w:val="0"/>
      <w:adjustRightInd w:val="0"/>
      <w:ind w:left="360"/>
    </w:pPr>
    <w:rPr>
      <w:rFonts w:ascii="Arial" w:hAnsi="Arial" w:cs="Arial"/>
      <w:color w:val="FF0000"/>
      <w:szCs w:val="20"/>
    </w:rPr>
  </w:style>
  <w:style w:type="paragraph" w:customStyle="1" w:styleId="alnea0">
    <w:name w:val="alínea"/>
    <w:basedOn w:val="Normal"/>
    <w:autoRedefine/>
    <w:rsid w:val="00282C6F"/>
    <w:pPr>
      <w:widowControl w:val="0"/>
      <w:autoSpaceDE w:val="0"/>
      <w:autoSpaceDN w:val="0"/>
      <w:adjustRightInd w:val="0"/>
      <w:jc w:val="center"/>
    </w:pPr>
    <w:rPr>
      <w:bCs/>
      <w:szCs w:val="20"/>
      <w:lang w:val="pt-PT"/>
    </w:rPr>
  </w:style>
  <w:style w:type="paragraph" w:customStyle="1" w:styleId="PSDS-MarcadoresNivel3">
    <w:name w:val="PSDS - Marcadores Nivel 3"/>
    <w:basedOn w:val="Normal"/>
    <w:rsid w:val="0069532A"/>
    <w:pPr>
      <w:tabs>
        <w:tab w:val="num" w:pos="1440"/>
      </w:tabs>
      <w:spacing w:before="40" w:after="40"/>
      <w:ind w:left="1224" w:hanging="504"/>
    </w:pPr>
    <w:rPr>
      <w:rFonts w:ascii="Arial" w:hAnsi="Arial" w:cs="Arial"/>
      <w:b/>
      <w:bCs/>
    </w:rPr>
  </w:style>
  <w:style w:type="paragraph" w:customStyle="1" w:styleId="PSDS-MarcadoresNivel4">
    <w:name w:val="PSDS - Marcadores Nivel 4"/>
    <w:basedOn w:val="PSDS-MarcadoresNivel3"/>
    <w:rsid w:val="0069532A"/>
    <w:pPr>
      <w:tabs>
        <w:tab w:val="clear" w:pos="1440"/>
        <w:tab w:val="num" w:pos="2271"/>
      </w:tabs>
      <w:ind w:left="1728" w:hanging="537"/>
    </w:pPr>
  </w:style>
  <w:style w:type="character" w:styleId="MquinadeescreverHTML">
    <w:name w:val="HTML Typewriter"/>
    <w:semiHidden/>
    <w:rsid w:val="0069532A"/>
    <w:rPr>
      <w:rFonts w:ascii="Arial Unicode MS" w:eastAsia="Arial Unicode MS" w:hAnsi="Arial Unicode MS"/>
      <w:sz w:val="20"/>
      <w:szCs w:val="20"/>
    </w:rPr>
  </w:style>
  <w:style w:type="paragraph" w:customStyle="1" w:styleId="PSDS-FluxoAlternativo">
    <w:name w:val="PSDS - Fluxo Alternativo"/>
    <w:rsid w:val="0069532A"/>
    <w:pPr>
      <w:numPr>
        <w:numId w:val="3"/>
      </w:numPr>
      <w:spacing w:after="0" w:line="240" w:lineRule="auto"/>
    </w:pPr>
    <w:rPr>
      <w:rFonts w:ascii="Arial" w:eastAsia="Times New Roman" w:hAnsi="Arial" w:cs="Arial"/>
      <w:b/>
      <w:bCs/>
      <w:szCs w:val="20"/>
      <w:lang w:val="en-US"/>
    </w:rPr>
  </w:style>
  <w:style w:type="paragraph" w:customStyle="1" w:styleId="PSDS-FluxoAlternativo-Subfluxo">
    <w:name w:val="PSDS - Fluxo Alternativo - Subfluxo"/>
    <w:rsid w:val="0069532A"/>
    <w:pPr>
      <w:numPr>
        <w:ilvl w:val="1"/>
        <w:numId w:val="3"/>
      </w:numPr>
      <w:spacing w:after="0" w:line="240" w:lineRule="auto"/>
      <w:ind w:left="1022" w:firstLine="8"/>
    </w:pPr>
    <w:rPr>
      <w:rFonts w:ascii="Arial (W1)" w:eastAsia="Times New Roman" w:hAnsi="Arial (W1)" w:cs="Times New Roman"/>
      <w:szCs w:val="20"/>
    </w:rPr>
  </w:style>
  <w:style w:type="paragraph" w:customStyle="1" w:styleId="PSDS-FluxoPrincipal">
    <w:name w:val="PSDS - Fluxo Principal"/>
    <w:rsid w:val="0069532A"/>
    <w:pPr>
      <w:spacing w:after="0" w:line="240" w:lineRule="auto"/>
    </w:pPr>
    <w:rPr>
      <w:rFonts w:ascii="Arial" w:eastAsia="Times New Roman" w:hAnsi="Arial" w:cs="Arial"/>
      <w:b/>
      <w:bCs/>
      <w:szCs w:val="20"/>
      <w:lang w:val="en-US"/>
    </w:rPr>
  </w:style>
  <w:style w:type="paragraph" w:styleId="Textoembloco">
    <w:name w:val="Block Text"/>
    <w:basedOn w:val="Normal"/>
    <w:semiHidden/>
    <w:rsid w:val="0069532A"/>
    <w:pPr>
      <w:ind w:left="57" w:right="57"/>
    </w:pPr>
    <w:rPr>
      <w:rFonts w:ascii="Arial" w:hAnsi="Arial" w:cs="Arial"/>
      <w:color w:val="000000"/>
      <w:szCs w:val="20"/>
    </w:rPr>
  </w:style>
  <w:style w:type="paragraph" w:customStyle="1" w:styleId="Artigo">
    <w:name w:val="Artigo"/>
    <w:basedOn w:val="Normal"/>
    <w:autoRedefine/>
    <w:rsid w:val="0069532A"/>
    <w:pPr>
      <w:widowControl w:val="0"/>
      <w:spacing w:before="60"/>
      <w:ind w:left="364" w:firstLine="284"/>
      <w:jc w:val="both"/>
    </w:pPr>
    <w:rPr>
      <w:rFonts w:ascii="Arial" w:hAnsi="Arial" w:cs="Arial"/>
      <w:color w:val="000000"/>
      <w:szCs w:val="20"/>
    </w:rPr>
  </w:style>
  <w:style w:type="paragraph" w:customStyle="1" w:styleId="PSDS-Titulo">
    <w:name w:val="PSDS - Titulo"/>
    <w:basedOn w:val="Ttulo1"/>
    <w:rsid w:val="0069532A"/>
    <w:pPr>
      <w:widowControl w:val="0"/>
      <w:suppressAutoHyphens/>
      <w:spacing w:before="240" w:after="240"/>
    </w:pPr>
    <w:rPr>
      <w:rFonts w:ascii="Spranq eco sans" w:hAnsi="Spranq eco sans"/>
      <w:kern w:val="1"/>
      <w:sz w:val="44"/>
      <w:szCs w:val="44"/>
    </w:rPr>
  </w:style>
  <w:style w:type="paragraph" w:customStyle="1" w:styleId="PSDS-Titulodetabela">
    <w:name w:val="PSDS - Titulo de tabela"/>
    <w:basedOn w:val="Normal"/>
    <w:next w:val="Normal"/>
    <w:rsid w:val="0069532A"/>
    <w:pPr>
      <w:widowControl w:val="0"/>
      <w:suppressLineNumbers/>
      <w:suppressAutoHyphens/>
      <w:jc w:val="center"/>
    </w:pPr>
    <w:rPr>
      <w:rFonts w:ascii="Spranq eco sans" w:hAnsi="Spranq eco sans"/>
      <w:b/>
      <w:bCs/>
      <w:kern w:val="1"/>
      <w:szCs w:val="20"/>
    </w:rPr>
  </w:style>
  <w:style w:type="character" w:customStyle="1" w:styleId="WW8Num31z1">
    <w:name w:val="WW8Num31z1"/>
    <w:rsid w:val="0069532A"/>
    <w:rPr>
      <w:rFonts w:ascii="Courier New" w:hAnsi="Courier New" w:cs="Courier New"/>
      <w:sz w:val="20"/>
      <w:szCs w:val="20"/>
    </w:rPr>
  </w:style>
  <w:style w:type="paragraph" w:customStyle="1" w:styleId="PSDS-Cabecalho">
    <w:name w:val="PSDS - Cabecalho"/>
    <w:basedOn w:val="Normal"/>
    <w:rsid w:val="0069532A"/>
    <w:pPr>
      <w:widowControl w:val="0"/>
      <w:suppressLineNumbers/>
      <w:tabs>
        <w:tab w:val="right" w:pos="10206"/>
      </w:tabs>
      <w:suppressAutoHyphens/>
      <w:spacing w:line="238" w:lineRule="atLeast"/>
    </w:pPr>
    <w:rPr>
      <w:rFonts w:ascii="Spranq eco sans" w:hAnsi="Spranq eco sans"/>
      <w:b/>
      <w:bCs/>
      <w:kern w:val="1"/>
      <w:szCs w:val="20"/>
    </w:rPr>
  </w:style>
  <w:style w:type="paragraph" w:customStyle="1" w:styleId="PSDS-Rodape">
    <w:name w:val="PSDS - Rodape"/>
    <w:basedOn w:val="Normal"/>
    <w:rsid w:val="0069532A"/>
    <w:pPr>
      <w:widowControl w:val="0"/>
      <w:suppressLineNumbers/>
      <w:pBdr>
        <w:top w:val="single" w:sz="4" w:space="10" w:color="000000"/>
      </w:pBdr>
      <w:tabs>
        <w:tab w:val="center" w:pos="5046"/>
        <w:tab w:val="right" w:pos="10206"/>
      </w:tabs>
      <w:suppressAutoHyphens/>
      <w:spacing w:before="170"/>
    </w:pPr>
    <w:rPr>
      <w:rFonts w:ascii="Spranq eco sans" w:hAnsi="Spranq eco sans"/>
      <w:kern w:val="1"/>
      <w:sz w:val="16"/>
      <w:szCs w:val="16"/>
    </w:rPr>
  </w:style>
  <w:style w:type="paragraph" w:customStyle="1" w:styleId="PSDS-FluxoPrincipal-Titulo">
    <w:name w:val="PSDS - Fluxo Principal - Titulo"/>
    <w:basedOn w:val="Normal"/>
    <w:uiPriority w:val="99"/>
    <w:rsid w:val="0069532A"/>
    <w:pPr>
      <w:numPr>
        <w:numId w:val="2"/>
      </w:numPr>
      <w:suppressAutoHyphens/>
      <w:spacing w:before="28" w:after="28"/>
      <w:jc w:val="both"/>
    </w:pPr>
    <w:rPr>
      <w:rFonts w:ascii="Spranq eco sans" w:hAnsi="Spranq eco sans"/>
      <w:b/>
      <w:bCs/>
      <w:noProof/>
      <w:kern w:val="1"/>
      <w:szCs w:val="20"/>
      <w:lang w:val="en-US"/>
    </w:rPr>
  </w:style>
  <w:style w:type="paragraph" w:customStyle="1" w:styleId="western">
    <w:name w:val="western"/>
    <w:basedOn w:val="Normal"/>
    <w:uiPriority w:val="99"/>
    <w:rsid w:val="0069532A"/>
    <w:pPr>
      <w:spacing w:before="100" w:beforeAutospacing="1" w:after="119"/>
    </w:pPr>
    <w:rPr>
      <w:rFonts w:ascii="Arial Unicode MS" w:eastAsia="Arial Unicode MS" w:hAnsi="Arial Unicode MS"/>
    </w:rPr>
  </w:style>
  <w:style w:type="paragraph" w:styleId="Legenda">
    <w:name w:val="caption"/>
    <w:basedOn w:val="Normal"/>
    <w:qFormat/>
    <w:rsid w:val="0069532A"/>
    <w:pPr>
      <w:widowControl w:val="0"/>
      <w:suppressLineNumbers/>
      <w:suppressAutoHyphens/>
      <w:spacing w:before="120" w:after="120"/>
    </w:pPr>
    <w:rPr>
      <w:rFonts w:ascii="Arial" w:hAnsi="Arial"/>
      <w:i/>
      <w:iCs/>
      <w:kern w:val="1"/>
    </w:rPr>
  </w:style>
  <w:style w:type="paragraph" w:customStyle="1" w:styleId="Capa">
    <w:name w:val="Capa"/>
    <w:rsid w:val="0069532A"/>
    <w:pPr>
      <w:spacing w:after="0" w:line="240" w:lineRule="auto"/>
    </w:pPr>
    <w:rPr>
      <w:rFonts w:ascii="Arial Black" w:eastAsia="Times New Roman" w:hAnsi="Arial Black" w:cs="Times New Roman"/>
      <w:noProof/>
      <w:sz w:val="52"/>
      <w:szCs w:val="52"/>
      <w:lang w:eastAsia="pt-BR"/>
    </w:rPr>
  </w:style>
  <w:style w:type="paragraph" w:customStyle="1" w:styleId="SeEspSemAntes0">
    <w:name w:val="SeEspSemAntes"/>
    <w:basedOn w:val="Normal"/>
    <w:next w:val="Normal"/>
    <w:rsid w:val="0069532A"/>
    <w:pPr>
      <w:keepNext/>
      <w:keepLines/>
      <w:tabs>
        <w:tab w:val="left" w:pos="284"/>
        <w:tab w:val="left" w:pos="567"/>
        <w:tab w:val="left" w:pos="851"/>
        <w:tab w:val="left" w:pos="1134"/>
        <w:tab w:val="left" w:pos="1418"/>
        <w:tab w:val="left" w:pos="1701"/>
        <w:tab w:val="left" w:pos="1985"/>
        <w:tab w:val="left" w:pos="2268"/>
        <w:tab w:val="left" w:pos="2552"/>
        <w:tab w:val="left" w:pos="2835"/>
      </w:tabs>
      <w:jc w:val="both"/>
    </w:pPr>
    <w:rPr>
      <w:szCs w:val="20"/>
    </w:rPr>
  </w:style>
  <w:style w:type="paragraph" w:customStyle="1" w:styleId="PSDS-Marcadores">
    <w:name w:val="PSDS - Marcadores"/>
    <w:basedOn w:val="PSDS-CorpodeTexto0"/>
    <w:rsid w:val="0069532A"/>
    <w:pPr>
      <w:tabs>
        <w:tab w:val="num" w:pos="360"/>
      </w:tabs>
      <w:suppressAutoHyphens w:val="0"/>
      <w:spacing w:before="40" w:after="40"/>
      <w:ind w:left="360" w:hanging="360"/>
    </w:pPr>
    <w:rPr>
      <w:b/>
      <w:sz w:val="24"/>
      <w:lang w:eastAsia="pt-BR"/>
    </w:rPr>
  </w:style>
  <w:style w:type="paragraph" w:customStyle="1" w:styleId="Tabela">
    <w:name w:val="Tabela"/>
    <w:basedOn w:val="Normal"/>
    <w:rsid w:val="0069532A"/>
    <w:pPr>
      <w:spacing w:before="100" w:beforeAutospacing="1" w:after="100" w:afterAutospacing="1"/>
    </w:pPr>
    <w:rPr>
      <w:lang w:val="en-US"/>
    </w:rPr>
  </w:style>
  <w:style w:type="paragraph" w:customStyle="1" w:styleId="PSDS-FluxoPrincipal-Subfluxo">
    <w:name w:val="PSDS - Fluxo Principal - Subfluxo"/>
    <w:rsid w:val="0069532A"/>
    <w:pPr>
      <w:spacing w:after="0" w:line="240" w:lineRule="auto"/>
    </w:pPr>
    <w:rPr>
      <w:rFonts w:ascii="Arial" w:eastAsia="Times New Roman" w:hAnsi="Arial" w:cs="Times New Roman"/>
      <w:szCs w:val="20"/>
    </w:rPr>
  </w:style>
  <w:style w:type="character" w:customStyle="1" w:styleId="apple-style-span">
    <w:name w:val="apple-style-span"/>
    <w:basedOn w:val="Fontepargpadro"/>
    <w:rsid w:val="0069532A"/>
  </w:style>
  <w:style w:type="paragraph" w:styleId="Commarcadores">
    <w:name w:val="List Bullet"/>
    <w:basedOn w:val="Normal"/>
    <w:semiHidden/>
    <w:unhideWhenUsed/>
    <w:rsid w:val="0069532A"/>
    <w:pPr>
      <w:widowControl w:val="0"/>
      <w:numPr>
        <w:numId w:val="5"/>
      </w:numPr>
      <w:autoSpaceDE w:val="0"/>
      <w:autoSpaceDN w:val="0"/>
      <w:adjustRightInd w:val="0"/>
      <w:contextualSpacing/>
    </w:pPr>
  </w:style>
  <w:style w:type="character" w:customStyle="1" w:styleId="WW8Num25z1">
    <w:name w:val="WW8Num25z1"/>
    <w:rsid w:val="0069532A"/>
    <w:rPr>
      <w:rFonts w:ascii="Courier New" w:hAnsi="Courier New" w:cs="Courier New"/>
    </w:rPr>
  </w:style>
  <w:style w:type="character" w:styleId="nfase">
    <w:name w:val="Emphasis"/>
    <w:uiPriority w:val="20"/>
    <w:qFormat/>
    <w:rsid w:val="0069532A"/>
    <w:rPr>
      <w:i/>
      <w:iCs/>
    </w:rPr>
  </w:style>
  <w:style w:type="character" w:customStyle="1" w:styleId="MquinadeescreverHTML1">
    <w:name w:val="Máquina de escrever HTML1"/>
    <w:rsid w:val="0069532A"/>
    <w:rPr>
      <w:rFonts w:ascii="Arial Unicode MS" w:eastAsia="Arial Unicode MS" w:hAnsi="Arial Unicode MS" w:cs="Arial Unicode MS"/>
      <w:sz w:val="20"/>
      <w:szCs w:val="20"/>
    </w:rPr>
  </w:style>
  <w:style w:type="paragraph" w:customStyle="1" w:styleId="PSDS-CorpodeItem">
    <w:name w:val="PSDS - Corpo de Item"/>
    <w:basedOn w:val="PSDS-CorpodeTexto0"/>
    <w:rsid w:val="0069532A"/>
    <w:pPr>
      <w:ind w:left="709"/>
      <w:jc w:val="both"/>
    </w:pPr>
    <w:rPr>
      <w:rFonts w:ascii="Spranq eco sans" w:eastAsia="DejaVu Sans" w:hAnsi="Spranq eco sans"/>
      <w:kern w:val="1"/>
      <w:szCs w:val="24"/>
    </w:rPr>
  </w:style>
  <w:style w:type="character" w:styleId="Refdecomentrio">
    <w:name w:val="annotation reference"/>
    <w:basedOn w:val="Fontepargpadro"/>
    <w:uiPriority w:val="99"/>
    <w:unhideWhenUsed/>
    <w:rsid w:val="005755A4"/>
    <w:rPr>
      <w:sz w:val="16"/>
      <w:szCs w:val="16"/>
    </w:rPr>
  </w:style>
  <w:style w:type="paragraph" w:styleId="Textodecomentrio">
    <w:name w:val="annotation text"/>
    <w:basedOn w:val="Normal"/>
    <w:link w:val="TextodecomentrioChar"/>
    <w:uiPriority w:val="99"/>
    <w:semiHidden/>
    <w:unhideWhenUsed/>
    <w:rsid w:val="005755A4"/>
    <w:pPr>
      <w:spacing w:after="200"/>
    </w:pPr>
    <w:rPr>
      <w:rFonts w:asciiTheme="minorHAnsi" w:hAnsiTheme="minorHAnsi"/>
      <w:szCs w:val="20"/>
    </w:rPr>
  </w:style>
  <w:style w:type="character" w:customStyle="1" w:styleId="TextodecomentrioChar">
    <w:name w:val="Texto de comentário Char"/>
    <w:basedOn w:val="Fontepargpadro"/>
    <w:link w:val="Textodecomentrio"/>
    <w:uiPriority w:val="99"/>
    <w:semiHidden/>
    <w:rsid w:val="005755A4"/>
    <w:rPr>
      <w:sz w:val="20"/>
      <w:szCs w:val="20"/>
    </w:rPr>
  </w:style>
  <w:style w:type="paragraph" w:styleId="Assuntodocomentrio">
    <w:name w:val="annotation subject"/>
    <w:basedOn w:val="Textodecomentrio"/>
    <w:next w:val="Textodecomentrio"/>
    <w:link w:val="AssuntodocomentrioChar"/>
    <w:uiPriority w:val="99"/>
    <w:semiHidden/>
    <w:unhideWhenUsed/>
    <w:rsid w:val="005755A4"/>
    <w:rPr>
      <w:b/>
      <w:bCs/>
    </w:rPr>
  </w:style>
  <w:style w:type="character" w:customStyle="1" w:styleId="AssuntodocomentrioChar">
    <w:name w:val="Assunto do comentário Char"/>
    <w:basedOn w:val="TextodecomentrioChar"/>
    <w:link w:val="Assuntodocomentrio"/>
    <w:uiPriority w:val="99"/>
    <w:semiHidden/>
    <w:rsid w:val="005755A4"/>
    <w:rPr>
      <w:b/>
      <w:bCs/>
      <w:sz w:val="20"/>
      <w:szCs w:val="20"/>
    </w:rPr>
  </w:style>
  <w:style w:type="character" w:styleId="TextodoEspaoReservado">
    <w:name w:val="Placeholder Text"/>
    <w:basedOn w:val="Fontepargpadro"/>
    <w:uiPriority w:val="99"/>
    <w:semiHidden/>
    <w:rsid w:val="005755A4"/>
    <w:rPr>
      <w:color w:val="808080"/>
    </w:rPr>
  </w:style>
  <w:style w:type="paragraph" w:customStyle="1" w:styleId="InfoMSG">
    <w:name w:val="InfoMSG"/>
    <w:basedOn w:val="Normal"/>
    <w:next w:val="Normal"/>
    <w:rsid w:val="004A4FFF"/>
    <w:pPr>
      <w:keepLines/>
      <w:widowControl w:val="0"/>
      <w:tabs>
        <w:tab w:val="left" w:pos="4615"/>
      </w:tabs>
      <w:autoSpaceDE w:val="0"/>
      <w:autoSpaceDN w:val="0"/>
      <w:spacing w:before="120" w:after="120"/>
      <w:ind w:left="1134" w:hanging="567"/>
      <w:jc w:val="both"/>
    </w:pPr>
    <w:rPr>
      <w:rFonts w:ascii="Arial" w:hAnsi="Arial" w:cs="Arial"/>
      <w:b/>
      <w:bCs/>
      <w:szCs w:val="20"/>
    </w:rPr>
  </w:style>
  <w:style w:type="paragraph" w:customStyle="1" w:styleId="western1">
    <w:name w:val="western1"/>
    <w:basedOn w:val="Normal"/>
    <w:rsid w:val="00516422"/>
    <w:pPr>
      <w:spacing w:before="100" w:beforeAutospacing="1" w:line="238" w:lineRule="atLeast"/>
      <w:ind w:left="720"/>
    </w:pPr>
    <w:rPr>
      <w:rFonts w:ascii="Arial Unicode MS" w:eastAsia="Arial Unicode MS" w:hAnsi="Arial Unicode MS" w:cs="Arial Unicode MS"/>
    </w:rPr>
  </w:style>
  <w:style w:type="paragraph" w:customStyle="1" w:styleId="xl65">
    <w:name w:val="xl65"/>
    <w:basedOn w:val="Normal"/>
    <w:rsid w:val="00271294"/>
    <w:pPr>
      <w:spacing w:before="100" w:beforeAutospacing="1" w:after="100" w:afterAutospacing="1"/>
    </w:pPr>
    <w:rPr>
      <w:rFonts w:ascii="Calibri" w:hAnsi="Calibri"/>
      <w:sz w:val="22"/>
    </w:rPr>
  </w:style>
  <w:style w:type="paragraph" w:customStyle="1" w:styleId="xl66">
    <w:name w:val="xl66"/>
    <w:basedOn w:val="Normal"/>
    <w:rsid w:val="00271294"/>
    <w:pPr>
      <w:pBdr>
        <w:top w:val="single" w:sz="4" w:space="0" w:color="538DD5"/>
        <w:left w:val="single" w:sz="4" w:space="0" w:color="538DD5"/>
        <w:bottom w:val="single" w:sz="4" w:space="0" w:color="538DD5"/>
        <w:right w:val="single" w:sz="4" w:space="0" w:color="538DD5"/>
      </w:pBdr>
      <w:shd w:val="clear" w:color="000000" w:fill="366092"/>
      <w:spacing w:before="100" w:beforeAutospacing="1" w:after="100" w:afterAutospacing="1"/>
      <w:jc w:val="center"/>
      <w:textAlignment w:val="center"/>
    </w:pPr>
    <w:rPr>
      <w:rFonts w:ascii="Calibri" w:hAnsi="Calibri"/>
      <w:b/>
      <w:bCs/>
      <w:color w:val="FFFF00"/>
      <w:sz w:val="22"/>
    </w:rPr>
  </w:style>
  <w:style w:type="paragraph" w:customStyle="1" w:styleId="xl67">
    <w:name w:val="xl67"/>
    <w:basedOn w:val="Normal"/>
    <w:rsid w:val="00271294"/>
    <w:pPr>
      <w:pBdr>
        <w:top w:val="single" w:sz="4" w:space="0" w:color="538DD5"/>
        <w:left w:val="single" w:sz="4" w:space="0" w:color="538DD5"/>
        <w:bottom w:val="single" w:sz="4" w:space="0" w:color="538DD5"/>
        <w:right w:val="single" w:sz="4" w:space="0" w:color="538DD5"/>
      </w:pBdr>
      <w:shd w:val="clear" w:color="000000" w:fill="366092"/>
      <w:spacing w:before="100" w:beforeAutospacing="1" w:after="100" w:afterAutospacing="1"/>
      <w:textAlignment w:val="center"/>
    </w:pPr>
    <w:rPr>
      <w:rFonts w:ascii="Calibri" w:hAnsi="Calibri"/>
      <w:b/>
      <w:bCs/>
      <w:color w:val="FFFF00"/>
      <w:sz w:val="22"/>
    </w:rPr>
  </w:style>
  <w:style w:type="paragraph" w:customStyle="1" w:styleId="xl68">
    <w:name w:val="xl68"/>
    <w:basedOn w:val="Normal"/>
    <w:rsid w:val="00271294"/>
    <w:pPr>
      <w:pBdr>
        <w:top w:val="single" w:sz="4" w:space="0" w:color="538DD5"/>
        <w:left w:val="single" w:sz="4" w:space="0" w:color="538DD5"/>
        <w:bottom w:val="single" w:sz="4" w:space="0" w:color="538DD5"/>
        <w:right w:val="single" w:sz="4" w:space="0" w:color="538DD5"/>
      </w:pBdr>
      <w:shd w:val="clear" w:color="000000" w:fill="366092"/>
      <w:spacing w:before="100" w:beforeAutospacing="1" w:after="100" w:afterAutospacing="1"/>
      <w:textAlignment w:val="center"/>
    </w:pPr>
    <w:rPr>
      <w:rFonts w:ascii="Calibri" w:hAnsi="Calibri"/>
      <w:b/>
      <w:bCs/>
      <w:color w:val="FFFF00"/>
      <w:sz w:val="22"/>
    </w:rPr>
  </w:style>
  <w:style w:type="paragraph" w:customStyle="1" w:styleId="xl69">
    <w:name w:val="xl69"/>
    <w:basedOn w:val="Normal"/>
    <w:rsid w:val="00271294"/>
    <w:pPr>
      <w:pBdr>
        <w:top w:val="single" w:sz="4" w:space="0" w:color="538DD5"/>
        <w:left w:val="single" w:sz="4" w:space="0" w:color="538DD5"/>
        <w:bottom w:val="single" w:sz="4" w:space="0" w:color="538DD5"/>
        <w:right w:val="single" w:sz="4" w:space="0" w:color="538DD5"/>
      </w:pBdr>
      <w:shd w:val="clear" w:color="000000" w:fill="366092"/>
      <w:spacing w:before="100" w:beforeAutospacing="1" w:after="100" w:afterAutospacing="1"/>
      <w:jc w:val="center"/>
      <w:textAlignment w:val="center"/>
    </w:pPr>
    <w:rPr>
      <w:rFonts w:ascii="Calibri" w:hAnsi="Calibri"/>
      <w:b/>
      <w:bCs/>
      <w:color w:val="FFFF00"/>
      <w:sz w:val="22"/>
    </w:rPr>
  </w:style>
  <w:style w:type="paragraph" w:customStyle="1" w:styleId="xl70">
    <w:name w:val="xl70"/>
    <w:basedOn w:val="Normal"/>
    <w:rsid w:val="00271294"/>
    <w:pPr>
      <w:pBdr>
        <w:top w:val="single" w:sz="4" w:space="0" w:color="538DD5"/>
        <w:left w:val="single" w:sz="4" w:space="0" w:color="538DD5"/>
        <w:bottom w:val="single" w:sz="4" w:space="0" w:color="538DD5"/>
        <w:right w:val="single" w:sz="4" w:space="0" w:color="538DD5"/>
      </w:pBdr>
      <w:shd w:val="clear" w:color="000000" w:fill="538DD5"/>
      <w:spacing w:before="100" w:beforeAutospacing="1" w:after="100" w:afterAutospacing="1"/>
      <w:jc w:val="center"/>
      <w:textAlignment w:val="center"/>
    </w:pPr>
    <w:rPr>
      <w:rFonts w:ascii="Calibri" w:hAnsi="Calibri"/>
      <w:b/>
      <w:bCs/>
      <w:color w:val="FFFF00"/>
      <w:sz w:val="22"/>
    </w:rPr>
  </w:style>
  <w:style w:type="paragraph" w:customStyle="1" w:styleId="xl71">
    <w:name w:val="xl71"/>
    <w:basedOn w:val="Normal"/>
    <w:rsid w:val="00271294"/>
    <w:pPr>
      <w:pBdr>
        <w:top w:val="single" w:sz="4" w:space="0" w:color="538DD5"/>
        <w:left w:val="single" w:sz="4" w:space="0" w:color="538DD5"/>
        <w:bottom w:val="single" w:sz="4" w:space="0" w:color="538DD5"/>
        <w:right w:val="single" w:sz="4" w:space="0" w:color="538DD5"/>
      </w:pBdr>
      <w:shd w:val="clear" w:color="000000" w:fill="538DD5"/>
      <w:spacing w:before="100" w:beforeAutospacing="1" w:after="100" w:afterAutospacing="1"/>
      <w:textAlignment w:val="center"/>
    </w:pPr>
    <w:rPr>
      <w:rFonts w:ascii="Calibri" w:hAnsi="Calibri"/>
      <w:b/>
      <w:bCs/>
      <w:color w:val="FFFF00"/>
      <w:sz w:val="22"/>
    </w:rPr>
  </w:style>
  <w:style w:type="paragraph" w:customStyle="1" w:styleId="xl72">
    <w:name w:val="xl72"/>
    <w:basedOn w:val="Normal"/>
    <w:rsid w:val="00271294"/>
    <w:pPr>
      <w:pBdr>
        <w:top w:val="single" w:sz="4" w:space="0" w:color="538DD5"/>
        <w:left w:val="single" w:sz="4" w:space="0" w:color="538DD5"/>
        <w:bottom w:val="single" w:sz="4" w:space="0" w:color="538DD5"/>
        <w:right w:val="single" w:sz="4" w:space="0" w:color="538DD5"/>
      </w:pBdr>
      <w:shd w:val="clear" w:color="000000" w:fill="538DD5"/>
      <w:spacing w:before="100" w:beforeAutospacing="1" w:after="100" w:afterAutospacing="1"/>
      <w:textAlignment w:val="center"/>
    </w:pPr>
    <w:rPr>
      <w:rFonts w:ascii="Calibri" w:hAnsi="Calibri"/>
      <w:b/>
      <w:bCs/>
      <w:color w:val="FFFF00"/>
      <w:sz w:val="22"/>
    </w:rPr>
  </w:style>
  <w:style w:type="paragraph" w:customStyle="1" w:styleId="xl73">
    <w:name w:val="xl73"/>
    <w:basedOn w:val="Normal"/>
    <w:rsid w:val="00271294"/>
    <w:pPr>
      <w:pBdr>
        <w:top w:val="single" w:sz="4" w:space="0" w:color="538DD5"/>
        <w:left w:val="single" w:sz="4" w:space="0" w:color="538DD5"/>
        <w:bottom w:val="single" w:sz="4" w:space="0" w:color="538DD5"/>
        <w:right w:val="single" w:sz="4" w:space="0" w:color="538DD5"/>
      </w:pBdr>
      <w:shd w:val="clear" w:color="000000" w:fill="538DD5"/>
      <w:spacing w:before="100" w:beforeAutospacing="1" w:after="100" w:afterAutospacing="1"/>
      <w:jc w:val="center"/>
      <w:textAlignment w:val="center"/>
    </w:pPr>
    <w:rPr>
      <w:rFonts w:ascii="Calibri" w:hAnsi="Calibri"/>
      <w:b/>
      <w:bCs/>
      <w:color w:val="FFFF00"/>
      <w:sz w:val="22"/>
    </w:rPr>
  </w:style>
  <w:style w:type="paragraph" w:customStyle="1" w:styleId="xl74">
    <w:name w:val="xl74"/>
    <w:basedOn w:val="Normal"/>
    <w:rsid w:val="00271294"/>
    <w:pPr>
      <w:pBdr>
        <w:top w:val="single" w:sz="4" w:space="0" w:color="538DD5"/>
        <w:left w:val="single" w:sz="4" w:space="0" w:color="538DD5"/>
        <w:bottom w:val="single" w:sz="4" w:space="0" w:color="538DD5"/>
        <w:right w:val="single" w:sz="4" w:space="0" w:color="538DD5"/>
      </w:pBdr>
      <w:shd w:val="clear" w:color="000000" w:fill="B8CCE4"/>
      <w:spacing w:before="100" w:beforeAutospacing="1" w:after="100" w:afterAutospacing="1"/>
      <w:jc w:val="center"/>
      <w:textAlignment w:val="center"/>
    </w:pPr>
    <w:rPr>
      <w:rFonts w:ascii="Calibri" w:hAnsi="Calibri"/>
      <w:b/>
      <w:bCs/>
      <w:color w:val="000000"/>
      <w:sz w:val="22"/>
    </w:rPr>
  </w:style>
  <w:style w:type="paragraph" w:customStyle="1" w:styleId="xl75">
    <w:name w:val="xl75"/>
    <w:basedOn w:val="Normal"/>
    <w:rsid w:val="00271294"/>
    <w:pPr>
      <w:pBdr>
        <w:top w:val="single" w:sz="4" w:space="0" w:color="538DD5"/>
        <w:left w:val="single" w:sz="4" w:space="0" w:color="538DD5"/>
        <w:bottom w:val="single" w:sz="4" w:space="0" w:color="538DD5"/>
        <w:right w:val="single" w:sz="4" w:space="0" w:color="538DD5"/>
      </w:pBdr>
      <w:shd w:val="clear" w:color="000000" w:fill="B8CCE4"/>
      <w:spacing w:before="100" w:beforeAutospacing="1" w:after="100" w:afterAutospacing="1"/>
      <w:textAlignment w:val="center"/>
    </w:pPr>
    <w:rPr>
      <w:rFonts w:ascii="Calibri" w:hAnsi="Calibri"/>
      <w:b/>
      <w:bCs/>
      <w:color w:val="000000"/>
      <w:sz w:val="22"/>
    </w:rPr>
  </w:style>
  <w:style w:type="paragraph" w:customStyle="1" w:styleId="xl76">
    <w:name w:val="xl76"/>
    <w:basedOn w:val="Normal"/>
    <w:rsid w:val="00271294"/>
    <w:pPr>
      <w:pBdr>
        <w:top w:val="single" w:sz="4" w:space="0" w:color="538DD5"/>
        <w:left w:val="single" w:sz="4" w:space="0" w:color="538DD5"/>
        <w:bottom w:val="single" w:sz="4" w:space="0" w:color="538DD5"/>
        <w:right w:val="single" w:sz="4" w:space="0" w:color="538DD5"/>
      </w:pBdr>
      <w:shd w:val="clear" w:color="000000" w:fill="B8CCE4"/>
      <w:spacing w:before="100" w:beforeAutospacing="1" w:after="100" w:afterAutospacing="1"/>
      <w:textAlignment w:val="center"/>
    </w:pPr>
    <w:rPr>
      <w:rFonts w:ascii="Calibri" w:hAnsi="Calibri"/>
      <w:b/>
      <w:bCs/>
      <w:color w:val="000000"/>
      <w:sz w:val="22"/>
    </w:rPr>
  </w:style>
  <w:style w:type="paragraph" w:customStyle="1" w:styleId="xl77">
    <w:name w:val="xl77"/>
    <w:basedOn w:val="Normal"/>
    <w:rsid w:val="00271294"/>
    <w:pPr>
      <w:pBdr>
        <w:top w:val="single" w:sz="4" w:space="0" w:color="538DD5"/>
        <w:left w:val="single" w:sz="4" w:space="0" w:color="538DD5"/>
        <w:bottom w:val="single" w:sz="4" w:space="0" w:color="538DD5"/>
        <w:right w:val="single" w:sz="4" w:space="0" w:color="538DD5"/>
      </w:pBdr>
      <w:shd w:val="clear" w:color="000000" w:fill="B8CCE4"/>
      <w:spacing w:before="100" w:beforeAutospacing="1" w:after="100" w:afterAutospacing="1"/>
      <w:jc w:val="center"/>
      <w:textAlignment w:val="center"/>
    </w:pPr>
    <w:rPr>
      <w:rFonts w:ascii="Calibri" w:hAnsi="Calibri"/>
      <w:b/>
      <w:bCs/>
      <w:color w:val="000000"/>
      <w:sz w:val="22"/>
    </w:rPr>
  </w:style>
  <w:style w:type="paragraph" w:customStyle="1" w:styleId="xl78">
    <w:name w:val="xl78"/>
    <w:basedOn w:val="Normal"/>
    <w:rsid w:val="00271294"/>
    <w:pPr>
      <w:pBdr>
        <w:top w:val="single" w:sz="4" w:space="0" w:color="538DD5"/>
        <w:left w:val="single" w:sz="4" w:space="0" w:color="538DD5"/>
        <w:bottom w:val="single" w:sz="4" w:space="0" w:color="538DD5"/>
        <w:right w:val="single" w:sz="4" w:space="0" w:color="538DD5"/>
      </w:pBdr>
      <w:shd w:val="clear" w:color="000000" w:fill="CCFFCC"/>
      <w:spacing w:before="100" w:beforeAutospacing="1" w:after="100" w:afterAutospacing="1"/>
      <w:jc w:val="center"/>
      <w:textAlignment w:val="center"/>
    </w:pPr>
    <w:rPr>
      <w:rFonts w:ascii="Calibri" w:hAnsi="Calibri"/>
      <w:b/>
      <w:bCs/>
      <w:color w:val="000000"/>
      <w:sz w:val="22"/>
    </w:rPr>
  </w:style>
  <w:style w:type="paragraph" w:customStyle="1" w:styleId="xl79">
    <w:name w:val="xl79"/>
    <w:basedOn w:val="Normal"/>
    <w:rsid w:val="00271294"/>
    <w:pPr>
      <w:pBdr>
        <w:top w:val="single" w:sz="4" w:space="0" w:color="538DD5"/>
        <w:left w:val="single" w:sz="4" w:space="0" w:color="538DD5"/>
        <w:bottom w:val="single" w:sz="4" w:space="0" w:color="538DD5"/>
        <w:right w:val="single" w:sz="4" w:space="0" w:color="538DD5"/>
      </w:pBdr>
      <w:shd w:val="clear" w:color="000000" w:fill="CCFFCC"/>
      <w:spacing w:before="100" w:beforeAutospacing="1" w:after="100" w:afterAutospacing="1"/>
      <w:textAlignment w:val="center"/>
    </w:pPr>
    <w:rPr>
      <w:rFonts w:ascii="Calibri" w:hAnsi="Calibri"/>
      <w:b/>
      <w:bCs/>
      <w:color w:val="000000"/>
      <w:sz w:val="22"/>
    </w:rPr>
  </w:style>
  <w:style w:type="paragraph" w:customStyle="1" w:styleId="xl80">
    <w:name w:val="xl80"/>
    <w:basedOn w:val="Normal"/>
    <w:rsid w:val="00271294"/>
    <w:pPr>
      <w:pBdr>
        <w:top w:val="single" w:sz="4" w:space="0" w:color="538DD5"/>
        <w:left w:val="single" w:sz="4" w:space="0" w:color="538DD5"/>
        <w:bottom w:val="single" w:sz="4" w:space="0" w:color="538DD5"/>
        <w:right w:val="single" w:sz="4" w:space="0" w:color="538DD5"/>
      </w:pBdr>
      <w:shd w:val="clear" w:color="000000" w:fill="CCFFCC"/>
      <w:spacing w:before="100" w:beforeAutospacing="1" w:after="100" w:afterAutospacing="1"/>
      <w:textAlignment w:val="center"/>
    </w:pPr>
    <w:rPr>
      <w:rFonts w:ascii="Calibri" w:hAnsi="Calibri"/>
      <w:b/>
      <w:bCs/>
      <w:color w:val="000000"/>
      <w:sz w:val="22"/>
    </w:rPr>
  </w:style>
  <w:style w:type="paragraph" w:customStyle="1" w:styleId="xl81">
    <w:name w:val="xl81"/>
    <w:basedOn w:val="Normal"/>
    <w:rsid w:val="00271294"/>
    <w:pPr>
      <w:pBdr>
        <w:top w:val="single" w:sz="4" w:space="0" w:color="538DD5"/>
        <w:left w:val="single" w:sz="4" w:space="0" w:color="538DD5"/>
        <w:bottom w:val="single" w:sz="4" w:space="0" w:color="538DD5"/>
        <w:right w:val="single" w:sz="4" w:space="0" w:color="538DD5"/>
      </w:pBdr>
      <w:shd w:val="clear" w:color="000000" w:fill="CCFFCC"/>
      <w:spacing w:before="100" w:beforeAutospacing="1" w:after="100" w:afterAutospacing="1"/>
      <w:jc w:val="center"/>
      <w:textAlignment w:val="center"/>
    </w:pPr>
    <w:rPr>
      <w:rFonts w:ascii="Calibri" w:hAnsi="Calibri"/>
      <w:b/>
      <w:bCs/>
      <w:color w:val="000000"/>
      <w:sz w:val="22"/>
    </w:rPr>
  </w:style>
  <w:style w:type="paragraph" w:customStyle="1" w:styleId="xl82">
    <w:name w:val="xl82"/>
    <w:basedOn w:val="Normal"/>
    <w:rsid w:val="00271294"/>
    <w:pPr>
      <w:pBdr>
        <w:top w:val="single" w:sz="4" w:space="0" w:color="538DD5"/>
        <w:left w:val="single" w:sz="4" w:space="0" w:color="538DD5"/>
        <w:bottom w:val="single" w:sz="4" w:space="0" w:color="538DD5"/>
        <w:right w:val="single" w:sz="4" w:space="0" w:color="538DD5"/>
      </w:pBdr>
      <w:spacing w:before="100" w:beforeAutospacing="1" w:after="100" w:afterAutospacing="1"/>
      <w:jc w:val="center"/>
      <w:textAlignment w:val="center"/>
    </w:pPr>
    <w:rPr>
      <w:rFonts w:ascii="Calibri" w:hAnsi="Calibri"/>
      <w:b/>
      <w:bCs/>
      <w:color w:val="000000"/>
      <w:sz w:val="22"/>
    </w:rPr>
  </w:style>
  <w:style w:type="paragraph" w:customStyle="1" w:styleId="xl83">
    <w:name w:val="xl83"/>
    <w:basedOn w:val="Normal"/>
    <w:rsid w:val="00271294"/>
    <w:pPr>
      <w:pBdr>
        <w:top w:val="single" w:sz="4" w:space="0" w:color="538DD5"/>
        <w:left w:val="single" w:sz="4" w:space="0" w:color="538DD5"/>
        <w:bottom w:val="single" w:sz="4" w:space="0" w:color="538DD5"/>
        <w:right w:val="single" w:sz="4" w:space="0" w:color="538DD5"/>
      </w:pBdr>
      <w:spacing w:before="100" w:beforeAutospacing="1" w:after="100" w:afterAutospacing="1"/>
      <w:textAlignment w:val="center"/>
    </w:pPr>
    <w:rPr>
      <w:rFonts w:ascii="Calibri" w:hAnsi="Calibri"/>
      <w:b/>
      <w:bCs/>
      <w:color w:val="000000"/>
      <w:sz w:val="22"/>
    </w:rPr>
  </w:style>
  <w:style w:type="paragraph" w:customStyle="1" w:styleId="xl84">
    <w:name w:val="xl84"/>
    <w:basedOn w:val="Normal"/>
    <w:rsid w:val="00271294"/>
    <w:pPr>
      <w:pBdr>
        <w:top w:val="single" w:sz="4" w:space="0" w:color="538DD5"/>
        <w:left w:val="single" w:sz="4" w:space="0" w:color="538DD5"/>
        <w:bottom w:val="single" w:sz="4" w:space="0" w:color="538DD5"/>
        <w:right w:val="single" w:sz="4" w:space="0" w:color="538DD5"/>
      </w:pBdr>
      <w:spacing w:before="100" w:beforeAutospacing="1" w:after="100" w:afterAutospacing="1"/>
      <w:textAlignment w:val="center"/>
    </w:pPr>
    <w:rPr>
      <w:rFonts w:ascii="Calibri" w:hAnsi="Calibri"/>
      <w:b/>
      <w:bCs/>
      <w:color w:val="000000"/>
      <w:sz w:val="22"/>
    </w:rPr>
  </w:style>
  <w:style w:type="paragraph" w:customStyle="1" w:styleId="xl85">
    <w:name w:val="xl85"/>
    <w:basedOn w:val="Normal"/>
    <w:rsid w:val="00271294"/>
    <w:pPr>
      <w:pBdr>
        <w:top w:val="single" w:sz="4" w:space="0" w:color="538DD5"/>
        <w:left w:val="single" w:sz="4" w:space="0" w:color="538DD5"/>
        <w:bottom w:val="single" w:sz="4" w:space="0" w:color="538DD5"/>
        <w:right w:val="single" w:sz="4" w:space="0" w:color="538DD5"/>
      </w:pBdr>
      <w:spacing w:before="100" w:beforeAutospacing="1" w:after="100" w:afterAutospacing="1"/>
      <w:jc w:val="center"/>
      <w:textAlignment w:val="center"/>
    </w:pPr>
    <w:rPr>
      <w:rFonts w:ascii="Calibri" w:hAnsi="Calibri"/>
      <w:b/>
      <w:bCs/>
      <w:color w:val="000000"/>
      <w:sz w:val="22"/>
    </w:rPr>
  </w:style>
  <w:style w:type="paragraph" w:customStyle="1" w:styleId="xl86">
    <w:name w:val="xl86"/>
    <w:basedOn w:val="Normal"/>
    <w:rsid w:val="00271294"/>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Calibri" w:hAnsi="Calibri"/>
      <w:b/>
      <w:bCs/>
      <w:sz w:val="22"/>
    </w:rPr>
  </w:style>
  <w:style w:type="paragraph" w:customStyle="1" w:styleId="xl87">
    <w:name w:val="xl87"/>
    <w:basedOn w:val="Normal"/>
    <w:rsid w:val="00271294"/>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Calibri" w:hAnsi="Calibri"/>
      <w:b/>
      <w:bCs/>
      <w:sz w:val="22"/>
    </w:rPr>
  </w:style>
  <w:style w:type="paragraph" w:customStyle="1" w:styleId="Contedodetabela">
    <w:name w:val="Conteúdo de tabela"/>
    <w:basedOn w:val="Normal"/>
    <w:rsid w:val="00EF005F"/>
    <w:pPr>
      <w:widowControl w:val="0"/>
      <w:suppressLineNumbers/>
      <w:suppressAutoHyphens/>
    </w:pPr>
    <w:rPr>
      <w:rFonts w:eastAsia="WenQuanYi Micro Hei"/>
      <w:kern w:val="1"/>
      <w:lang w:eastAsia="hi-IN"/>
    </w:rPr>
  </w:style>
  <w:style w:type="paragraph" w:customStyle="1" w:styleId="MsgBoto">
    <w:name w:val="MsgBotão"/>
    <w:basedOn w:val="Normal"/>
    <w:rsid w:val="00267B45"/>
    <w:pPr>
      <w:keepNext/>
      <w:keepLines/>
      <w:tabs>
        <w:tab w:val="left" w:pos="284"/>
        <w:tab w:val="left" w:pos="567"/>
        <w:tab w:val="left" w:pos="851"/>
        <w:tab w:val="left" w:pos="1134"/>
        <w:tab w:val="left" w:pos="1418"/>
        <w:tab w:val="left" w:pos="1701"/>
        <w:tab w:val="left" w:pos="1985"/>
        <w:tab w:val="left" w:pos="2268"/>
        <w:tab w:val="left" w:pos="2552"/>
        <w:tab w:val="left" w:pos="2835"/>
      </w:tabs>
      <w:autoSpaceDE w:val="0"/>
      <w:autoSpaceDN w:val="0"/>
      <w:ind w:left="567"/>
      <w:jc w:val="both"/>
    </w:pPr>
    <w:rPr>
      <w:rFonts w:ascii="Arial" w:hAnsi="Arial" w:cs="Arial"/>
      <w:szCs w:val="20"/>
    </w:rPr>
  </w:style>
  <w:style w:type="paragraph" w:customStyle="1" w:styleId="xl88">
    <w:name w:val="xl88"/>
    <w:basedOn w:val="Normal"/>
    <w:rsid w:val="007F7C5F"/>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Calibri" w:hAnsi="Calibri"/>
      <w:b/>
      <w:bCs/>
      <w:sz w:val="22"/>
    </w:rPr>
  </w:style>
  <w:style w:type="paragraph" w:customStyle="1" w:styleId="xl89">
    <w:name w:val="xl89"/>
    <w:basedOn w:val="Normal"/>
    <w:rsid w:val="007F7C5F"/>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Calibri" w:hAnsi="Calibri"/>
      <w:b/>
      <w:bCs/>
      <w:sz w:val="22"/>
    </w:rPr>
  </w:style>
  <w:style w:type="paragraph" w:customStyle="1" w:styleId="xl90">
    <w:name w:val="xl90"/>
    <w:basedOn w:val="Normal"/>
    <w:rsid w:val="007F7C5F"/>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Calibri" w:hAnsi="Calibri"/>
      <w:b/>
      <w:bCs/>
      <w:sz w:val="22"/>
    </w:rPr>
  </w:style>
  <w:style w:type="paragraph" w:customStyle="1" w:styleId="xl91">
    <w:name w:val="xl91"/>
    <w:basedOn w:val="Normal"/>
    <w:rsid w:val="007F7C5F"/>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Calibri" w:hAnsi="Calibri"/>
      <w:b/>
      <w:bCs/>
      <w:sz w:val="22"/>
    </w:rPr>
  </w:style>
  <w:style w:type="paragraph" w:customStyle="1" w:styleId="xl92">
    <w:name w:val="xl92"/>
    <w:basedOn w:val="Normal"/>
    <w:rsid w:val="007F7C5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b/>
      <w:bCs/>
      <w:sz w:val="22"/>
    </w:rPr>
  </w:style>
  <w:style w:type="paragraph" w:customStyle="1" w:styleId="xl93">
    <w:name w:val="xl93"/>
    <w:basedOn w:val="Normal"/>
    <w:rsid w:val="007F7C5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b/>
      <w:bCs/>
      <w:sz w:val="22"/>
    </w:rPr>
  </w:style>
  <w:style w:type="paragraph" w:customStyle="1" w:styleId="xl94">
    <w:name w:val="xl94"/>
    <w:basedOn w:val="Normal"/>
    <w:rsid w:val="007F7C5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b/>
      <w:bCs/>
      <w:sz w:val="22"/>
    </w:rPr>
  </w:style>
  <w:style w:type="paragraph" w:customStyle="1" w:styleId="xl95">
    <w:name w:val="xl95"/>
    <w:basedOn w:val="Normal"/>
    <w:rsid w:val="007F7C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b/>
      <w:bCs/>
      <w:sz w:val="22"/>
    </w:rPr>
  </w:style>
  <w:style w:type="paragraph" w:customStyle="1" w:styleId="xl96">
    <w:name w:val="xl96"/>
    <w:basedOn w:val="Normal"/>
    <w:rsid w:val="007F7C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2"/>
    </w:rPr>
  </w:style>
  <w:style w:type="paragraph" w:customStyle="1" w:styleId="xl97">
    <w:name w:val="xl97"/>
    <w:basedOn w:val="Normal"/>
    <w:rsid w:val="007F7C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2"/>
    </w:rPr>
  </w:style>
  <w:style w:type="paragraph" w:customStyle="1" w:styleId="xl98">
    <w:name w:val="xl98"/>
    <w:basedOn w:val="Normal"/>
    <w:rsid w:val="007F7C5F"/>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textAlignment w:val="center"/>
    </w:pPr>
    <w:rPr>
      <w:rFonts w:ascii="Calibri" w:hAnsi="Calibri"/>
      <w:b/>
      <w:bCs/>
      <w:sz w:val="22"/>
    </w:rPr>
  </w:style>
  <w:style w:type="paragraph" w:customStyle="1" w:styleId="xl99">
    <w:name w:val="xl99"/>
    <w:basedOn w:val="Normal"/>
    <w:rsid w:val="007F7C5F"/>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textAlignment w:val="center"/>
    </w:pPr>
    <w:rPr>
      <w:rFonts w:ascii="Calibri" w:hAnsi="Calibri"/>
      <w:b/>
      <w:bCs/>
      <w:sz w:val="22"/>
    </w:rPr>
  </w:style>
  <w:style w:type="paragraph" w:customStyle="1" w:styleId="xl100">
    <w:name w:val="xl100"/>
    <w:basedOn w:val="Normal"/>
    <w:rsid w:val="007F7C5F"/>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rFonts w:ascii="Calibri" w:hAnsi="Calibri"/>
      <w:b/>
      <w:bCs/>
      <w:sz w:val="22"/>
    </w:rPr>
  </w:style>
  <w:style w:type="paragraph" w:customStyle="1" w:styleId="xl101">
    <w:name w:val="xl101"/>
    <w:basedOn w:val="Normal"/>
    <w:rsid w:val="007F7C5F"/>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rFonts w:ascii="Calibri" w:hAnsi="Calibri"/>
      <w:b/>
      <w:bCs/>
      <w:sz w:val="22"/>
    </w:rPr>
  </w:style>
  <w:style w:type="paragraph" w:customStyle="1" w:styleId="xl102">
    <w:name w:val="xl102"/>
    <w:basedOn w:val="Normal"/>
    <w:rsid w:val="007F7C5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103">
    <w:name w:val="xl103"/>
    <w:basedOn w:val="Normal"/>
    <w:rsid w:val="007F7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textAlignment w:val="center"/>
    </w:pPr>
    <w:rPr>
      <w:rFonts w:ascii="Calibri" w:hAnsi="Calibri"/>
      <w:b/>
      <w:bCs/>
      <w:color w:val="FFFF00"/>
      <w:sz w:val="22"/>
    </w:rPr>
  </w:style>
  <w:style w:type="paragraph" w:customStyle="1" w:styleId="xl104">
    <w:name w:val="xl104"/>
    <w:basedOn w:val="Normal"/>
    <w:rsid w:val="007F7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textAlignment w:val="center"/>
    </w:pPr>
    <w:rPr>
      <w:rFonts w:ascii="Calibri" w:hAnsi="Calibri"/>
      <w:b/>
      <w:bCs/>
      <w:color w:val="FFFF00"/>
      <w:sz w:val="22"/>
    </w:rPr>
  </w:style>
  <w:style w:type="paragraph" w:customStyle="1" w:styleId="xl105">
    <w:name w:val="xl105"/>
    <w:basedOn w:val="Normal"/>
    <w:rsid w:val="007F7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rFonts w:ascii="Calibri" w:hAnsi="Calibri"/>
      <w:b/>
      <w:bCs/>
      <w:color w:val="FFFF00"/>
      <w:sz w:val="22"/>
    </w:rPr>
  </w:style>
  <w:style w:type="paragraph" w:customStyle="1" w:styleId="xl106">
    <w:name w:val="xl106"/>
    <w:basedOn w:val="Normal"/>
    <w:rsid w:val="007F7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rFonts w:ascii="Calibri" w:hAnsi="Calibri"/>
      <w:b/>
      <w:bCs/>
      <w:color w:val="FFFF00"/>
      <w:sz w:val="22"/>
    </w:rPr>
  </w:style>
  <w:style w:type="paragraph" w:customStyle="1" w:styleId="xl107">
    <w:name w:val="xl107"/>
    <w:basedOn w:val="Normal"/>
    <w:rsid w:val="007F7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b/>
      <w:bCs/>
      <w:sz w:val="22"/>
    </w:rPr>
  </w:style>
  <w:style w:type="paragraph" w:customStyle="1" w:styleId="xl108">
    <w:name w:val="xl108"/>
    <w:basedOn w:val="Normal"/>
    <w:rsid w:val="007F7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b/>
      <w:bCs/>
      <w:sz w:val="22"/>
    </w:rPr>
  </w:style>
  <w:style w:type="paragraph" w:customStyle="1" w:styleId="xl109">
    <w:name w:val="xl109"/>
    <w:basedOn w:val="Normal"/>
    <w:rsid w:val="007F7C5F"/>
    <w:pPr>
      <w:spacing w:before="100" w:beforeAutospacing="1" w:after="100" w:afterAutospacing="1"/>
    </w:pPr>
    <w:rPr>
      <w:rFonts w:ascii="MS Sans Serif" w:hAnsi="MS Sans Serif"/>
      <w:b/>
      <w:bCs/>
    </w:rPr>
  </w:style>
  <w:style w:type="paragraph" w:customStyle="1" w:styleId="xl110">
    <w:name w:val="xl110"/>
    <w:basedOn w:val="Normal"/>
    <w:rsid w:val="007F7C5F"/>
    <w:pPr>
      <w:spacing w:before="100" w:beforeAutospacing="1" w:after="100" w:afterAutospacing="1"/>
      <w:textAlignment w:val="center"/>
    </w:pPr>
    <w:rPr>
      <w:rFonts w:ascii="MS Sans Serif" w:hAnsi="MS Sans Serif"/>
      <w:b/>
      <w:bCs/>
    </w:rPr>
  </w:style>
  <w:style w:type="paragraph" w:customStyle="1" w:styleId="xl111">
    <w:name w:val="xl111"/>
    <w:basedOn w:val="Normal"/>
    <w:rsid w:val="007F7C5F"/>
    <w:pPr>
      <w:spacing w:before="100" w:beforeAutospacing="1" w:after="100" w:afterAutospacing="1"/>
    </w:pPr>
    <w:rPr>
      <w:rFonts w:ascii="Calibri" w:hAnsi="Calibri"/>
      <w:b/>
      <w:bCs/>
      <w:color w:val="FF0000"/>
      <w:sz w:val="22"/>
    </w:rPr>
  </w:style>
  <w:style w:type="paragraph" w:customStyle="1" w:styleId="xl112">
    <w:name w:val="xl112"/>
    <w:basedOn w:val="Normal"/>
    <w:rsid w:val="007F7C5F"/>
    <w:pPr>
      <w:spacing w:before="100" w:beforeAutospacing="1" w:after="100" w:afterAutospacing="1"/>
    </w:pPr>
    <w:rPr>
      <w:rFonts w:ascii="Calibri" w:hAnsi="Calibri"/>
      <w:b/>
      <w:bCs/>
      <w:color w:val="800080"/>
      <w:sz w:val="22"/>
    </w:rPr>
  </w:style>
  <w:style w:type="paragraph" w:customStyle="1" w:styleId="xl113">
    <w:name w:val="xl113"/>
    <w:basedOn w:val="Normal"/>
    <w:rsid w:val="007F7C5F"/>
    <w:pPr>
      <w:spacing w:before="100" w:beforeAutospacing="1" w:after="100" w:afterAutospacing="1"/>
      <w:jc w:val="center"/>
    </w:pPr>
    <w:rPr>
      <w:rFonts w:ascii="MS Sans Serif" w:hAnsi="MS Sans Serif"/>
      <w:b/>
      <w:bCs/>
    </w:rPr>
  </w:style>
  <w:style w:type="paragraph" w:customStyle="1" w:styleId="xl114">
    <w:name w:val="xl114"/>
    <w:basedOn w:val="Normal"/>
    <w:rsid w:val="007F7C5F"/>
    <w:pPr>
      <w:spacing w:before="100" w:beforeAutospacing="1" w:after="100" w:afterAutospacing="1"/>
    </w:pPr>
    <w:rPr>
      <w:rFonts w:ascii="MS Sans Serif" w:hAnsi="MS Sans Serif"/>
      <w:b/>
      <w:bCs/>
    </w:rPr>
  </w:style>
  <w:style w:type="paragraph" w:customStyle="1" w:styleId="xl115">
    <w:name w:val="xl115"/>
    <w:basedOn w:val="Normal"/>
    <w:rsid w:val="007F7C5F"/>
    <w:pPr>
      <w:spacing w:before="100" w:beforeAutospacing="1" w:after="100" w:afterAutospacing="1"/>
    </w:pPr>
    <w:rPr>
      <w:rFonts w:ascii="MS Sans Serif" w:hAnsi="MS Sans Serif"/>
      <w:b/>
      <w:bCs/>
    </w:rPr>
  </w:style>
  <w:style w:type="paragraph" w:customStyle="1" w:styleId="xl116">
    <w:name w:val="xl116"/>
    <w:basedOn w:val="Normal"/>
    <w:rsid w:val="007F7C5F"/>
    <w:pPr>
      <w:spacing w:before="100" w:beforeAutospacing="1" w:after="100" w:afterAutospacing="1"/>
      <w:jc w:val="center"/>
    </w:pPr>
    <w:rPr>
      <w:rFonts w:ascii="MS Sans Serif" w:hAnsi="MS Sans Serif"/>
      <w:b/>
      <w:bCs/>
    </w:rPr>
  </w:style>
  <w:style w:type="paragraph" w:customStyle="1" w:styleId="xl117">
    <w:name w:val="xl117"/>
    <w:basedOn w:val="Normal"/>
    <w:rsid w:val="007F7C5F"/>
    <w:pPr>
      <w:spacing w:before="100" w:beforeAutospacing="1" w:after="100" w:afterAutospacing="1"/>
      <w:jc w:val="center"/>
      <w:textAlignment w:val="center"/>
    </w:pPr>
    <w:rPr>
      <w:rFonts w:ascii="MS Sans Serif" w:hAnsi="MS Sans Serif"/>
      <w:b/>
      <w:bCs/>
    </w:rPr>
  </w:style>
  <w:style w:type="paragraph" w:customStyle="1" w:styleId="xl118">
    <w:name w:val="xl118"/>
    <w:basedOn w:val="Normal"/>
    <w:rsid w:val="007F7C5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b/>
      <w:bCs/>
      <w:sz w:val="22"/>
    </w:rPr>
  </w:style>
  <w:style w:type="paragraph" w:customStyle="1" w:styleId="xl119">
    <w:name w:val="xl119"/>
    <w:basedOn w:val="Normal"/>
    <w:rsid w:val="007F7C5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b/>
      <w:bCs/>
      <w:sz w:val="22"/>
    </w:rPr>
  </w:style>
  <w:style w:type="paragraph" w:customStyle="1" w:styleId="xl120">
    <w:name w:val="xl120"/>
    <w:basedOn w:val="Normal"/>
    <w:rsid w:val="007F7C5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b/>
      <w:bCs/>
      <w:sz w:val="22"/>
    </w:rPr>
  </w:style>
  <w:style w:type="paragraph" w:customStyle="1" w:styleId="xl121">
    <w:name w:val="xl121"/>
    <w:basedOn w:val="Normal"/>
    <w:rsid w:val="007F7C5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b/>
      <w:bCs/>
      <w:sz w:val="22"/>
    </w:rPr>
  </w:style>
  <w:style w:type="paragraph" w:customStyle="1" w:styleId="xl122">
    <w:name w:val="xl122"/>
    <w:basedOn w:val="Normal"/>
    <w:rsid w:val="007F7C5F"/>
    <w:pPr>
      <w:spacing w:before="100" w:beforeAutospacing="1" w:after="100" w:afterAutospacing="1"/>
    </w:pPr>
    <w:rPr>
      <w:rFonts w:ascii="Calibri" w:hAnsi="Calibri"/>
      <w:b/>
      <w:bCs/>
      <w:sz w:val="22"/>
    </w:rPr>
  </w:style>
  <w:style w:type="paragraph" w:customStyle="1" w:styleId="xl123">
    <w:name w:val="xl123"/>
    <w:basedOn w:val="Normal"/>
    <w:rsid w:val="007F7C5F"/>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Calibri" w:hAnsi="Calibri"/>
      <w:b/>
      <w:bCs/>
      <w:sz w:val="22"/>
    </w:rPr>
  </w:style>
  <w:style w:type="paragraph" w:customStyle="1" w:styleId="xl124">
    <w:name w:val="xl124"/>
    <w:basedOn w:val="Normal"/>
    <w:rsid w:val="007F7C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2"/>
    </w:rPr>
  </w:style>
  <w:style w:type="paragraph" w:customStyle="1" w:styleId="xl125">
    <w:name w:val="xl125"/>
    <w:basedOn w:val="Normal"/>
    <w:rsid w:val="007F7C5F"/>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rFonts w:ascii="Calibri" w:hAnsi="Calibri"/>
      <w:b/>
      <w:bCs/>
      <w:sz w:val="22"/>
    </w:rPr>
  </w:style>
  <w:style w:type="paragraph" w:customStyle="1" w:styleId="xl126">
    <w:name w:val="xl126"/>
    <w:basedOn w:val="Normal"/>
    <w:rsid w:val="007F7C5F"/>
    <w:pPr>
      <w:spacing w:before="100" w:beforeAutospacing="1" w:after="100" w:afterAutospacing="1"/>
      <w:jc w:val="center"/>
    </w:pPr>
    <w:rPr>
      <w:rFonts w:ascii="Calibri" w:hAnsi="Calibri"/>
      <w:b/>
      <w:bCs/>
      <w:sz w:val="22"/>
    </w:rPr>
  </w:style>
  <w:style w:type="paragraph" w:customStyle="1" w:styleId="xl127">
    <w:name w:val="xl127"/>
    <w:basedOn w:val="Normal"/>
    <w:rsid w:val="007F7C5F"/>
    <w:pPr>
      <w:pBdr>
        <w:top w:val="single" w:sz="4" w:space="0" w:color="auto"/>
        <w:left w:val="single" w:sz="4" w:space="0" w:color="auto"/>
        <w:bottom w:val="single" w:sz="4" w:space="0" w:color="auto"/>
        <w:right w:val="single" w:sz="4" w:space="0" w:color="auto"/>
      </w:pBdr>
      <w:shd w:val="clear" w:color="000000" w:fill="366092"/>
      <w:spacing w:before="100" w:beforeAutospacing="1" w:after="100" w:afterAutospacing="1"/>
      <w:jc w:val="center"/>
      <w:textAlignment w:val="center"/>
    </w:pPr>
    <w:rPr>
      <w:rFonts w:ascii="Calibri" w:hAnsi="Calibri"/>
      <w:b/>
      <w:bCs/>
      <w:sz w:val="22"/>
    </w:rPr>
  </w:style>
  <w:style w:type="paragraph" w:customStyle="1" w:styleId="xl128">
    <w:name w:val="xl128"/>
    <w:basedOn w:val="Normal"/>
    <w:rsid w:val="007F7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rFonts w:ascii="Calibri" w:hAnsi="Calibri"/>
      <w:b/>
      <w:bCs/>
      <w:sz w:val="22"/>
    </w:rPr>
  </w:style>
  <w:style w:type="paragraph" w:customStyle="1" w:styleId="xl129">
    <w:name w:val="xl129"/>
    <w:basedOn w:val="Normal"/>
    <w:rsid w:val="007F7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rFonts w:ascii="Calibri" w:hAnsi="Calibri"/>
      <w:b/>
      <w:bCs/>
      <w:sz w:val="22"/>
    </w:rPr>
  </w:style>
  <w:style w:type="paragraph" w:customStyle="1" w:styleId="xl130">
    <w:name w:val="xl130"/>
    <w:basedOn w:val="Normal"/>
    <w:rsid w:val="00B2630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rFonts w:ascii="Calibri" w:hAnsi="Calibri"/>
      <w:b/>
      <w:bCs/>
      <w:sz w:val="22"/>
    </w:rPr>
  </w:style>
  <w:style w:type="paragraph" w:customStyle="1" w:styleId="xl131">
    <w:name w:val="xl131"/>
    <w:basedOn w:val="Normal"/>
    <w:rsid w:val="00B2630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rFonts w:ascii="Calibri" w:hAnsi="Calibri"/>
      <w:b/>
      <w:bCs/>
      <w:sz w:val="22"/>
    </w:rPr>
  </w:style>
  <w:style w:type="paragraph" w:customStyle="1" w:styleId="xl132">
    <w:name w:val="xl132"/>
    <w:basedOn w:val="Normal"/>
    <w:rsid w:val="00B2630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Calibri" w:hAnsi="Calibri"/>
      <w:b/>
      <w:bCs/>
      <w:sz w:val="22"/>
    </w:rPr>
  </w:style>
  <w:style w:type="paragraph" w:customStyle="1" w:styleId="xl133">
    <w:name w:val="xl133"/>
    <w:basedOn w:val="Normal"/>
    <w:rsid w:val="00B2630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rFonts w:ascii="Calibri" w:hAnsi="Calibri"/>
      <w:b/>
      <w:bCs/>
      <w:sz w:val="22"/>
    </w:rPr>
  </w:style>
  <w:style w:type="paragraph" w:customStyle="1" w:styleId="xl134">
    <w:name w:val="xl134"/>
    <w:basedOn w:val="Normal"/>
    <w:rsid w:val="00B2630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pPr>
    <w:rPr>
      <w:rFonts w:ascii="Calibri" w:hAnsi="Calibri"/>
      <w:b/>
      <w:bCs/>
      <w:sz w:val="22"/>
    </w:rPr>
  </w:style>
  <w:style w:type="paragraph" w:customStyle="1" w:styleId="xl135">
    <w:name w:val="xl135"/>
    <w:basedOn w:val="Normal"/>
    <w:rsid w:val="00B2630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pPr>
    <w:rPr>
      <w:rFonts w:ascii="Calibri" w:hAnsi="Calibri"/>
      <w:b/>
      <w:bCs/>
      <w:sz w:val="22"/>
    </w:rPr>
  </w:style>
  <w:style w:type="paragraph" w:customStyle="1" w:styleId="xl136">
    <w:name w:val="xl136"/>
    <w:basedOn w:val="Normal"/>
    <w:rsid w:val="00B2630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rPr>
      <w:rFonts w:ascii="Calibri" w:hAnsi="Calibri"/>
      <w:b/>
      <w:bCs/>
      <w:sz w:val="22"/>
    </w:rPr>
  </w:style>
  <w:style w:type="paragraph" w:customStyle="1" w:styleId="xl137">
    <w:name w:val="xl137"/>
    <w:basedOn w:val="Normal"/>
    <w:rsid w:val="00B2630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Calibri" w:hAnsi="Calibri"/>
      <w:b/>
      <w:bCs/>
      <w:sz w:val="22"/>
    </w:rPr>
  </w:style>
  <w:style w:type="paragraph" w:customStyle="1" w:styleId="xl138">
    <w:name w:val="xl138"/>
    <w:basedOn w:val="Normal"/>
    <w:rsid w:val="00B2630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Calibri" w:hAnsi="Calibri"/>
      <w:b/>
      <w:bCs/>
      <w:sz w:val="22"/>
    </w:rPr>
  </w:style>
  <w:style w:type="paragraph" w:customStyle="1" w:styleId="xl139">
    <w:name w:val="xl139"/>
    <w:basedOn w:val="Normal"/>
    <w:rsid w:val="00B2630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rPr>
      <w:rFonts w:ascii="Calibri" w:hAnsi="Calibri"/>
      <w:b/>
      <w:bCs/>
      <w:sz w:val="22"/>
    </w:rPr>
  </w:style>
  <w:style w:type="paragraph" w:customStyle="1" w:styleId="xl140">
    <w:name w:val="xl140"/>
    <w:basedOn w:val="Normal"/>
    <w:rsid w:val="00B2630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rFonts w:ascii="Calibri" w:hAnsi="Calibri"/>
      <w:b/>
      <w:bCs/>
      <w:sz w:val="22"/>
    </w:rPr>
  </w:style>
  <w:style w:type="paragraph" w:customStyle="1" w:styleId="xl141">
    <w:name w:val="xl141"/>
    <w:basedOn w:val="Normal"/>
    <w:rsid w:val="00B2630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Calibri" w:hAnsi="Calibri"/>
      <w:b/>
      <w:bCs/>
      <w:sz w:val="22"/>
    </w:rPr>
  </w:style>
  <w:style w:type="paragraph" w:customStyle="1" w:styleId="xl142">
    <w:name w:val="xl142"/>
    <w:basedOn w:val="Normal"/>
    <w:rsid w:val="00B2630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rFonts w:ascii="Calibri" w:hAnsi="Calibri"/>
      <w:b/>
      <w:bCs/>
      <w:sz w:val="22"/>
    </w:rPr>
  </w:style>
  <w:style w:type="paragraph" w:customStyle="1" w:styleId="font5">
    <w:name w:val="font5"/>
    <w:basedOn w:val="Normal"/>
    <w:rsid w:val="00F6646E"/>
    <w:pPr>
      <w:spacing w:before="100" w:beforeAutospacing="1" w:after="100" w:afterAutospacing="1"/>
    </w:pPr>
    <w:rPr>
      <w:b/>
      <w:bCs/>
      <w:szCs w:val="20"/>
    </w:rPr>
  </w:style>
  <w:style w:type="paragraph" w:customStyle="1" w:styleId="font6">
    <w:name w:val="font6"/>
    <w:basedOn w:val="Normal"/>
    <w:rsid w:val="00F6646E"/>
    <w:pPr>
      <w:spacing w:before="100" w:beforeAutospacing="1" w:after="100" w:afterAutospacing="1"/>
    </w:pPr>
    <w:rPr>
      <w:b/>
      <w:bCs/>
      <w:i/>
      <w:iCs/>
      <w:szCs w:val="20"/>
    </w:rPr>
  </w:style>
  <w:style w:type="paragraph" w:customStyle="1" w:styleId="font7">
    <w:name w:val="font7"/>
    <w:basedOn w:val="Normal"/>
    <w:rsid w:val="00DC74F8"/>
    <w:pPr>
      <w:spacing w:before="100" w:beforeAutospacing="1" w:after="100" w:afterAutospacing="1"/>
    </w:pPr>
    <w:rPr>
      <w:b/>
      <w:bCs/>
      <w:i/>
      <w:iCs/>
      <w:color w:val="000000"/>
      <w:szCs w:val="20"/>
    </w:rPr>
  </w:style>
  <w:style w:type="character" w:styleId="Forte">
    <w:name w:val="Strong"/>
    <w:basedOn w:val="Fontepargpadro"/>
    <w:uiPriority w:val="22"/>
    <w:qFormat/>
    <w:rsid w:val="0021370A"/>
    <w:rPr>
      <w:b/>
      <w:bCs/>
    </w:rPr>
  </w:style>
  <w:style w:type="paragraph" w:customStyle="1" w:styleId="H4">
    <w:name w:val="H4"/>
    <w:basedOn w:val="Normal"/>
    <w:next w:val="Normal"/>
    <w:rsid w:val="00F21181"/>
    <w:pPr>
      <w:keepNext/>
      <w:autoSpaceDE w:val="0"/>
      <w:autoSpaceDN w:val="0"/>
      <w:spacing w:before="100" w:after="100"/>
      <w:outlineLvl w:val="4"/>
    </w:pPr>
    <w:rPr>
      <w:rFonts w:ascii="Arial" w:hAnsi="Arial" w:cs="Arial"/>
      <w:b/>
      <w:bCs/>
      <w:szCs w:val="20"/>
    </w:rPr>
  </w:style>
  <w:style w:type="character" w:customStyle="1" w:styleId="Fontepargpadro1">
    <w:name w:val="Fonte parág. padrão1"/>
    <w:rsid w:val="00AA32CE"/>
  </w:style>
  <w:style w:type="paragraph" w:customStyle="1" w:styleId="LO-Normal">
    <w:name w:val="LO-Normal"/>
    <w:uiPriority w:val="99"/>
    <w:rsid w:val="00AA32CE"/>
    <w:pPr>
      <w:suppressAutoHyphens/>
      <w:spacing w:after="160" w:line="256" w:lineRule="auto"/>
    </w:pPr>
    <w:rPr>
      <w:rFonts w:ascii="Calibri" w:eastAsia="Calibri" w:hAnsi="Calibri" w:cs="Times New Roman"/>
    </w:rPr>
  </w:style>
  <w:style w:type="paragraph" w:customStyle="1" w:styleId="Fundamentos">
    <w:name w:val="Fundamentos"/>
    <w:basedOn w:val="Normal"/>
    <w:rsid w:val="00CD73D7"/>
    <w:pPr>
      <w:spacing w:before="120" w:after="120"/>
      <w:ind w:firstLine="1418"/>
      <w:jc w:val="both"/>
    </w:pPr>
    <w:rPr>
      <w:szCs w:val="20"/>
    </w:rPr>
  </w:style>
  <w:style w:type="paragraph" w:customStyle="1" w:styleId="texto1">
    <w:name w:val="texto1"/>
    <w:basedOn w:val="Normal"/>
    <w:rsid w:val="00CD73D7"/>
    <w:pPr>
      <w:spacing w:before="100" w:beforeAutospacing="1" w:after="100" w:afterAutospacing="1"/>
    </w:pPr>
    <w:rPr>
      <w:rFonts w:ascii="Arial Unicode MS" w:eastAsia="Arial Unicode MS" w:hAnsi="Arial Unicode MS" w:cs="Arial Unicode MS"/>
    </w:rPr>
  </w:style>
  <w:style w:type="character" w:customStyle="1" w:styleId="DEL">
    <w:name w:val="DEL"/>
    <w:basedOn w:val="Fontepargpadro"/>
    <w:rsid w:val="00BF78F0"/>
  </w:style>
  <w:style w:type="character" w:customStyle="1" w:styleId="WW8Num185z3">
    <w:name w:val="WW8Num185z3"/>
    <w:rsid w:val="002070F8"/>
    <w:rPr>
      <w:rFonts w:ascii="Symbol" w:hAnsi="Symbol" w:cs="Times New Roman"/>
    </w:rPr>
  </w:style>
  <w:style w:type="character" w:customStyle="1" w:styleId="WW8Num5z1">
    <w:name w:val="WW8Num5z1"/>
    <w:rsid w:val="00652594"/>
    <w:rPr>
      <w:rFonts w:ascii="OpenSymbol" w:hAnsi="OpenSymbol" w:cs="Times New Roman"/>
    </w:rPr>
  </w:style>
  <w:style w:type="character" w:customStyle="1" w:styleId="msoins0">
    <w:name w:val="msoins"/>
    <w:basedOn w:val="Fontepargpadro"/>
    <w:rsid w:val="0002374F"/>
    <w:rPr>
      <w:u w:val="single"/>
    </w:rPr>
  </w:style>
  <w:style w:type="character" w:customStyle="1" w:styleId="msodel0">
    <w:name w:val="msodel"/>
    <w:basedOn w:val="Fontepargpadro"/>
    <w:rsid w:val="0002374F"/>
    <w:rPr>
      <w:strike/>
    </w:rPr>
  </w:style>
  <w:style w:type="paragraph" w:customStyle="1" w:styleId="texto2">
    <w:name w:val="texto2"/>
    <w:basedOn w:val="Normal"/>
    <w:rsid w:val="004C3768"/>
    <w:pPr>
      <w:spacing w:before="100" w:beforeAutospacing="1" w:after="100" w:afterAutospacing="1"/>
    </w:pPr>
  </w:style>
  <w:style w:type="paragraph" w:customStyle="1" w:styleId="Standard">
    <w:name w:val="Standard"/>
    <w:rsid w:val="007C554F"/>
    <w:pPr>
      <w:spacing w:after="0" w:line="240" w:lineRule="auto"/>
      <w:ind w:left="357"/>
      <w:jc w:val="both"/>
    </w:pPr>
    <w:rPr>
      <w:rFonts w:eastAsia="SimSun" w:cs="Mangal"/>
      <w:kern w:val="3"/>
      <w:sz w:val="24"/>
      <w:szCs w:val="24"/>
      <w:lang w:eastAsia="zh-CN" w:bidi="hi-IN"/>
    </w:rPr>
  </w:style>
  <w:style w:type="paragraph" w:customStyle="1" w:styleId="msonormal0">
    <w:name w:val="msonormal"/>
    <w:basedOn w:val="Normal"/>
    <w:rsid w:val="00E042E6"/>
    <w:pPr>
      <w:spacing w:before="100" w:beforeAutospacing="1" w:after="100" w:afterAutospacing="1"/>
    </w:pPr>
  </w:style>
  <w:style w:type="paragraph" w:customStyle="1" w:styleId="m-9105575877668705275western">
    <w:name w:val="m_-9105575877668705275western"/>
    <w:basedOn w:val="Normal"/>
    <w:rsid w:val="00DC6BF2"/>
    <w:pPr>
      <w:spacing w:before="100" w:beforeAutospacing="1" w:after="100" w:afterAutospacing="1"/>
    </w:pPr>
    <w:rPr>
      <w:rFonts w:eastAsia="Times New Roman" w:cs="Times New Roman"/>
      <w:sz w:val="24"/>
      <w:szCs w:val="24"/>
      <w:lang w:eastAsia="pt-BR"/>
    </w:rPr>
  </w:style>
  <w:style w:type="character" w:customStyle="1" w:styleId="m-9105575877668705275apple-converted-space">
    <w:name w:val="m_-9105575877668705275apple-converted-space"/>
    <w:basedOn w:val="Fontepargpadro"/>
    <w:rsid w:val="00DC6BF2"/>
  </w:style>
  <w:style w:type="paragraph" w:styleId="Textodenotaderodap">
    <w:name w:val="footnote text"/>
    <w:basedOn w:val="Normal"/>
    <w:link w:val="TextodenotaderodapChar"/>
    <w:uiPriority w:val="99"/>
    <w:unhideWhenUsed/>
    <w:rsid w:val="007967D6"/>
    <w:rPr>
      <w:rFonts w:eastAsia="Times New Roman" w:cs="Times New Roman"/>
      <w:szCs w:val="20"/>
      <w:lang w:eastAsia="pt-BR"/>
    </w:rPr>
  </w:style>
  <w:style w:type="character" w:customStyle="1" w:styleId="TextodenotaderodapChar">
    <w:name w:val="Texto de nota de rodapé Char"/>
    <w:basedOn w:val="Fontepargpadro"/>
    <w:link w:val="Textodenotaderodap"/>
    <w:uiPriority w:val="99"/>
    <w:rsid w:val="007967D6"/>
    <w:rPr>
      <w:rFonts w:eastAsia="Times New Roman" w:cs="Times New Roman"/>
      <w:szCs w:val="20"/>
      <w:lang w:eastAsia="pt-BR"/>
    </w:rPr>
  </w:style>
  <w:style w:type="paragraph" w:styleId="Subttulo">
    <w:name w:val="Subtitle"/>
    <w:basedOn w:val="Normal"/>
    <w:link w:val="SubttuloChar"/>
    <w:uiPriority w:val="99"/>
    <w:qFormat/>
    <w:rsid w:val="007967D6"/>
    <w:rPr>
      <w:rFonts w:eastAsia="Times New Roman" w:cs="Times New Roman"/>
      <w:b/>
      <w:bCs/>
      <w:sz w:val="24"/>
      <w:szCs w:val="24"/>
      <w:lang w:eastAsia="pt-BR"/>
    </w:rPr>
  </w:style>
  <w:style w:type="character" w:customStyle="1" w:styleId="SubttuloChar">
    <w:name w:val="Subtítulo Char"/>
    <w:basedOn w:val="Fontepargpadro"/>
    <w:link w:val="Subttulo"/>
    <w:uiPriority w:val="99"/>
    <w:rsid w:val="007967D6"/>
    <w:rPr>
      <w:rFonts w:eastAsia="Times New Roman" w:cs="Times New Roman"/>
      <w:b/>
      <w:bCs/>
      <w:sz w:val="24"/>
      <w:szCs w:val="24"/>
      <w:lang w:eastAsia="pt-BR"/>
    </w:rPr>
  </w:style>
  <w:style w:type="character" w:styleId="Refdenotaderodap">
    <w:name w:val="footnote reference"/>
    <w:basedOn w:val="Fontepargpadro"/>
    <w:uiPriority w:val="99"/>
    <w:unhideWhenUsed/>
    <w:rsid w:val="007967D6"/>
    <w:rPr>
      <w:vertAlign w:val="superscript"/>
    </w:rPr>
  </w:style>
  <w:style w:type="paragraph" w:customStyle="1" w:styleId="artigo0">
    <w:name w:val="artigo"/>
    <w:basedOn w:val="Normal"/>
    <w:rsid w:val="007B05BB"/>
    <w:pPr>
      <w:spacing w:before="100" w:beforeAutospacing="1" w:after="100" w:afterAutospacing="1"/>
    </w:pPr>
    <w:rPr>
      <w:rFonts w:eastAsia="Times New Roman" w:cs="Times New Roman"/>
      <w:sz w:val="24"/>
      <w:szCs w:val="24"/>
      <w:lang w:eastAsia="pt-BR"/>
    </w:rPr>
  </w:style>
  <w:style w:type="character" w:customStyle="1" w:styleId="Meno1">
    <w:name w:val="Menção1"/>
    <w:basedOn w:val="Fontepargpadro"/>
    <w:uiPriority w:val="99"/>
    <w:semiHidden/>
    <w:unhideWhenUsed/>
    <w:rsid w:val="001B58FE"/>
    <w:rPr>
      <w:color w:val="2B579A"/>
      <w:shd w:val="clear" w:color="auto" w:fill="E6E6E6"/>
    </w:rPr>
  </w:style>
  <w:style w:type="paragraph" w:customStyle="1" w:styleId="m3461607895768717241p14">
    <w:name w:val="m_3461607895768717241p14"/>
    <w:basedOn w:val="Normal"/>
    <w:rsid w:val="00DC0C3D"/>
    <w:pPr>
      <w:spacing w:before="100" w:beforeAutospacing="1" w:after="100" w:afterAutospacing="1"/>
    </w:pPr>
    <w:rPr>
      <w:rFonts w:eastAsia="Times New Roman" w:cs="Times New Roman"/>
      <w:sz w:val="24"/>
      <w:szCs w:val="24"/>
      <w:lang w:eastAsia="pt-BR"/>
    </w:rPr>
  </w:style>
  <w:style w:type="character" w:customStyle="1" w:styleId="m3461607895768717241apple-converted-space">
    <w:name w:val="m_3461607895768717241apple-converted-space"/>
    <w:basedOn w:val="Fontepargpadro"/>
    <w:rsid w:val="00DC0C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51548">
      <w:bodyDiv w:val="1"/>
      <w:marLeft w:val="0"/>
      <w:marRight w:val="0"/>
      <w:marTop w:val="0"/>
      <w:marBottom w:val="0"/>
      <w:divBdr>
        <w:top w:val="none" w:sz="0" w:space="0" w:color="auto"/>
        <w:left w:val="none" w:sz="0" w:space="0" w:color="auto"/>
        <w:bottom w:val="none" w:sz="0" w:space="0" w:color="auto"/>
        <w:right w:val="none" w:sz="0" w:space="0" w:color="auto"/>
      </w:divBdr>
    </w:div>
    <w:div w:id="17853691">
      <w:bodyDiv w:val="1"/>
      <w:marLeft w:val="0"/>
      <w:marRight w:val="0"/>
      <w:marTop w:val="0"/>
      <w:marBottom w:val="0"/>
      <w:divBdr>
        <w:top w:val="none" w:sz="0" w:space="0" w:color="auto"/>
        <w:left w:val="none" w:sz="0" w:space="0" w:color="auto"/>
        <w:bottom w:val="none" w:sz="0" w:space="0" w:color="auto"/>
        <w:right w:val="none" w:sz="0" w:space="0" w:color="auto"/>
      </w:divBdr>
    </w:div>
    <w:div w:id="22177244">
      <w:bodyDiv w:val="1"/>
      <w:marLeft w:val="0"/>
      <w:marRight w:val="0"/>
      <w:marTop w:val="0"/>
      <w:marBottom w:val="0"/>
      <w:divBdr>
        <w:top w:val="none" w:sz="0" w:space="0" w:color="auto"/>
        <w:left w:val="none" w:sz="0" w:space="0" w:color="auto"/>
        <w:bottom w:val="none" w:sz="0" w:space="0" w:color="auto"/>
        <w:right w:val="none" w:sz="0" w:space="0" w:color="auto"/>
      </w:divBdr>
    </w:div>
    <w:div w:id="24840926">
      <w:bodyDiv w:val="1"/>
      <w:marLeft w:val="0"/>
      <w:marRight w:val="0"/>
      <w:marTop w:val="0"/>
      <w:marBottom w:val="0"/>
      <w:divBdr>
        <w:top w:val="none" w:sz="0" w:space="0" w:color="auto"/>
        <w:left w:val="none" w:sz="0" w:space="0" w:color="auto"/>
        <w:bottom w:val="none" w:sz="0" w:space="0" w:color="auto"/>
        <w:right w:val="none" w:sz="0" w:space="0" w:color="auto"/>
      </w:divBdr>
    </w:div>
    <w:div w:id="25105576">
      <w:bodyDiv w:val="1"/>
      <w:marLeft w:val="0"/>
      <w:marRight w:val="0"/>
      <w:marTop w:val="0"/>
      <w:marBottom w:val="0"/>
      <w:divBdr>
        <w:top w:val="none" w:sz="0" w:space="0" w:color="auto"/>
        <w:left w:val="none" w:sz="0" w:space="0" w:color="auto"/>
        <w:bottom w:val="none" w:sz="0" w:space="0" w:color="auto"/>
        <w:right w:val="none" w:sz="0" w:space="0" w:color="auto"/>
      </w:divBdr>
    </w:div>
    <w:div w:id="26611768">
      <w:bodyDiv w:val="1"/>
      <w:marLeft w:val="0"/>
      <w:marRight w:val="0"/>
      <w:marTop w:val="0"/>
      <w:marBottom w:val="0"/>
      <w:divBdr>
        <w:top w:val="none" w:sz="0" w:space="0" w:color="auto"/>
        <w:left w:val="none" w:sz="0" w:space="0" w:color="auto"/>
        <w:bottom w:val="none" w:sz="0" w:space="0" w:color="auto"/>
        <w:right w:val="none" w:sz="0" w:space="0" w:color="auto"/>
      </w:divBdr>
    </w:div>
    <w:div w:id="33821179">
      <w:bodyDiv w:val="1"/>
      <w:marLeft w:val="0"/>
      <w:marRight w:val="0"/>
      <w:marTop w:val="0"/>
      <w:marBottom w:val="0"/>
      <w:divBdr>
        <w:top w:val="none" w:sz="0" w:space="0" w:color="auto"/>
        <w:left w:val="none" w:sz="0" w:space="0" w:color="auto"/>
        <w:bottom w:val="none" w:sz="0" w:space="0" w:color="auto"/>
        <w:right w:val="none" w:sz="0" w:space="0" w:color="auto"/>
      </w:divBdr>
    </w:div>
    <w:div w:id="37050252">
      <w:bodyDiv w:val="1"/>
      <w:marLeft w:val="0"/>
      <w:marRight w:val="0"/>
      <w:marTop w:val="0"/>
      <w:marBottom w:val="0"/>
      <w:divBdr>
        <w:top w:val="none" w:sz="0" w:space="0" w:color="auto"/>
        <w:left w:val="none" w:sz="0" w:space="0" w:color="auto"/>
        <w:bottom w:val="none" w:sz="0" w:space="0" w:color="auto"/>
        <w:right w:val="none" w:sz="0" w:space="0" w:color="auto"/>
      </w:divBdr>
    </w:div>
    <w:div w:id="50424078">
      <w:bodyDiv w:val="1"/>
      <w:marLeft w:val="0"/>
      <w:marRight w:val="0"/>
      <w:marTop w:val="0"/>
      <w:marBottom w:val="0"/>
      <w:divBdr>
        <w:top w:val="none" w:sz="0" w:space="0" w:color="auto"/>
        <w:left w:val="none" w:sz="0" w:space="0" w:color="auto"/>
        <w:bottom w:val="none" w:sz="0" w:space="0" w:color="auto"/>
        <w:right w:val="none" w:sz="0" w:space="0" w:color="auto"/>
      </w:divBdr>
    </w:div>
    <w:div w:id="64881941">
      <w:bodyDiv w:val="1"/>
      <w:marLeft w:val="0"/>
      <w:marRight w:val="0"/>
      <w:marTop w:val="0"/>
      <w:marBottom w:val="0"/>
      <w:divBdr>
        <w:top w:val="none" w:sz="0" w:space="0" w:color="auto"/>
        <w:left w:val="none" w:sz="0" w:space="0" w:color="auto"/>
        <w:bottom w:val="none" w:sz="0" w:space="0" w:color="auto"/>
        <w:right w:val="none" w:sz="0" w:space="0" w:color="auto"/>
      </w:divBdr>
    </w:div>
    <w:div w:id="66615542">
      <w:bodyDiv w:val="1"/>
      <w:marLeft w:val="0"/>
      <w:marRight w:val="0"/>
      <w:marTop w:val="0"/>
      <w:marBottom w:val="0"/>
      <w:divBdr>
        <w:top w:val="none" w:sz="0" w:space="0" w:color="auto"/>
        <w:left w:val="none" w:sz="0" w:space="0" w:color="auto"/>
        <w:bottom w:val="none" w:sz="0" w:space="0" w:color="auto"/>
        <w:right w:val="none" w:sz="0" w:space="0" w:color="auto"/>
      </w:divBdr>
    </w:div>
    <w:div w:id="67044937">
      <w:bodyDiv w:val="1"/>
      <w:marLeft w:val="0"/>
      <w:marRight w:val="0"/>
      <w:marTop w:val="0"/>
      <w:marBottom w:val="0"/>
      <w:divBdr>
        <w:top w:val="none" w:sz="0" w:space="0" w:color="auto"/>
        <w:left w:val="none" w:sz="0" w:space="0" w:color="auto"/>
        <w:bottom w:val="none" w:sz="0" w:space="0" w:color="auto"/>
        <w:right w:val="none" w:sz="0" w:space="0" w:color="auto"/>
      </w:divBdr>
    </w:div>
    <w:div w:id="70976262">
      <w:bodyDiv w:val="1"/>
      <w:marLeft w:val="0"/>
      <w:marRight w:val="0"/>
      <w:marTop w:val="0"/>
      <w:marBottom w:val="0"/>
      <w:divBdr>
        <w:top w:val="none" w:sz="0" w:space="0" w:color="auto"/>
        <w:left w:val="none" w:sz="0" w:space="0" w:color="auto"/>
        <w:bottom w:val="none" w:sz="0" w:space="0" w:color="auto"/>
        <w:right w:val="none" w:sz="0" w:space="0" w:color="auto"/>
      </w:divBdr>
    </w:div>
    <w:div w:id="72096318">
      <w:bodyDiv w:val="1"/>
      <w:marLeft w:val="0"/>
      <w:marRight w:val="0"/>
      <w:marTop w:val="0"/>
      <w:marBottom w:val="0"/>
      <w:divBdr>
        <w:top w:val="none" w:sz="0" w:space="0" w:color="auto"/>
        <w:left w:val="none" w:sz="0" w:space="0" w:color="auto"/>
        <w:bottom w:val="none" w:sz="0" w:space="0" w:color="auto"/>
        <w:right w:val="none" w:sz="0" w:space="0" w:color="auto"/>
      </w:divBdr>
    </w:div>
    <w:div w:id="75784833">
      <w:bodyDiv w:val="1"/>
      <w:marLeft w:val="0"/>
      <w:marRight w:val="0"/>
      <w:marTop w:val="0"/>
      <w:marBottom w:val="0"/>
      <w:divBdr>
        <w:top w:val="none" w:sz="0" w:space="0" w:color="auto"/>
        <w:left w:val="none" w:sz="0" w:space="0" w:color="auto"/>
        <w:bottom w:val="none" w:sz="0" w:space="0" w:color="auto"/>
        <w:right w:val="none" w:sz="0" w:space="0" w:color="auto"/>
      </w:divBdr>
    </w:div>
    <w:div w:id="75909224">
      <w:bodyDiv w:val="1"/>
      <w:marLeft w:val="0"/>
      <w:marRight w:val="0"/>
      <w:marTop w:val="0"/>
      <w:marBottom w:val="0"/>
      <w:divBdr>
        <w:top w:val="none" w:sz="0" w:space="0" w:color="auto"/>
        <w:left w:val="none" w:sz="0" w:space="0" w:color="auto"/>
        <w:bottom w:val="none" w:sz="0" w:space="0" w:color="auto"/>
        <w:right w:val="none" w:sz="0" w:space="0" w:color="auto"/>
      </w:divBdr>
    </w:div>
    <w:div w:id="76096731">
      <w:bodyDiv w:val="1"/>
      <w:marLeft w:val="0"/>
      <w:marRight w:val="0"/>
      <w:marTop w:val="0"/>
      <w:marBottom w:val="0"/>
      <w:divBdr>
        <w:top w:val="none" w:sz="0" w:space="0" w:color="auto"/>
        <w:left w:val="none" w:sz="0" w:space="0" w:color="auto"/>
        <w:bottom w:val="none" w:sz="0" w:space="0" w:color="auto"/>
        <w:right w:val="none" w:sz="0" w:space="0" w:color="auto"/>
      </w:divBdr>
    </w:div>
    <w:div w:id="82459782">
      <w:bodyDiv w:val="1"/>
      <w:marLeft w:val="0"/>
      <w:marRight w:val="0"/>
      <w:marTop w:val="0"/>
      <w:marBottom w:val="0"/>
      <w:divBdr>
        <w:top w:val="none" w:sz="0" w:space="0" w:color="auto"/>
        <w:left w:val="none" w:sz="0" w:space="0" w:color="auto"/>
        <w:bottom w:val="none" w:sz="0" w:space="0" w:color="auto"/>
        <w:right w:val="none" w:sz="0" w:space="0" w:color="auto"/>
      </w:divBdr>
    </w:div>
    <w:div w:id="83260225">
      <w:bodyDiv w:val="1"/>
      <w:marLeft w:val="0"/>
      <w:marRight w:val="0"/>
      <w:marTop w:val="0"/>
      <w:marBottom w:val="0"/>
      <w:divBdr>
        <w:top w:val="none" w:sz="0" w:space="0" w:color="auto"/>
        <w:left w:val="none" w:sz="0" w:space="0" w:color="auto"/>
        <w:bottom w:val="none" w:sz="0" w:space="0" w:color="auto"/>
        <w:right w:val="none" w:sz="0" w:space="0" w:color="auto"/>
      </w:divBdr>
    </w:div>
    <w:div w:id="90778872">
      <w:bodyDiv w:val="1"/>
      <w:marLeft w:val="0"/>
      <w:marRight w:val="0"/>
      <w:marTop w:val="0"/>
      <w:marBottom w:val="0"/>
      <w:divBdr>
        <w:top w:val="none" w:sz="0" w:space="0" w:color="auto"/>
        <w:left w:val="none" w:sz="0" w:space="0" w:color="auto"/>
        <w:bottom w:val="none" w:sz="0" w:space="0" w:color="auto"/>
        <w:right w:val="none" w:sz="0" w:space="0" w:color="auto"/>
      </w:divBdr>
    </w:div>
    <w:div w:id="91897920">
      <w:bodyDiv w:val="1"/>
      <w:marLeft w:val="0"/>
      <w:marRight w:val="0"/>
      <w:marTop w:val="0"/>
      <w:marBottom w:val="0"/>
      <w:divBdr>
        <w:top w:val="none" w:sz="0" w:space="0" w:color="auto"/>
        <w:left w:val="none" w:sz="0" w:space="0" w:color="auto"/>
        <w:bottom w:val="none" w:sz="0" w:space="0" w:color="auto"/>
        <w:right w:val="none" w:sz="0" w:space="0" w:color="auto"/>
      </w:divBdr>
    </w:div>
    <w:div w:id="97719012">
      <w:bodyDiv w:val="1"/>
      <w:marLeft w:val="0"/>
      <w:marRight w:val="0"/>
      <w:marTop w:val="0"/>
      <w:marBottom w:val="0"/>
      <w:divBdr>
        <w:top w:val="none" w:sz="0" w:space="0" w:color="auto"/>
        <w:left w:val="none" w:sz="0" w:space="0" w:color="auto"/>
        <w:bottom w:val="none" w:sz="0" w:space="0" w:color="auto"/>
        <w:right w:val="none" w:sz="0" w:space="0" w:color="auto"/>
      </w:divBdr>
    </w:div>
    <w:div w:id="103616244">
      <w:bodyDiv w:val="1"/>
      <w:marLeft w:val="0"/>
      <w:marRight w:val="0"/>
      <w:marTop w:val="0"/>
      <w:marBottom w:val="0"/>
      <w:divBdr>
        <w:top w:val="none" w:sz="0" w:space="0" w:color="auto"/>
        <w:left w:val="none" w:sz="0" w:space="0" w:color="auto"/>
        <w:bottom w:val="none" w:sz="0" w:space="0" w:color="auto"/>
        <w:right w:val="none" w:sz="0" w:space="0" w:color="auto"/>
      </w:divBdr>
    </w:div>
    <w:div w:id="103690847">
      <w:bodyDiv w:val="1"/>
      <w:marLeft w:val="0"/>
      <w:marRight w:val="0"/>
      <w:marTop w:val="0"/>
      <w:marBottom w:val="0"/>
      <w:divBdr>
        <w:top w:val="none" w:sz="0" w:space="0" w:color="auto"/>
        <w:left w:val="none" w:sz="0" w:space="0" w:color="auto"/>
        <w:bottom w:val="none" w:sz="0" w:space="0" w:color="auto"/>
        <w:right w:val="none" w:sz="0" w:space="0" w:color="auto"/>
      </w:divBdr>
    </w:div>
    <w:div w:id="104232799">
      <w:bodyDiv w:val="1"/>
      <w:marLeft w:val="0"/>
      <w:marRight w:val="0"/>
      <w:marTop w:val="0"/>
      <w:marBottom w:val="0"/>
      <w:divBdr>
        <w:top w:val="none" w:sz="0" w:space="0" w:color="auto"/>
        <w:left w:val="none" w:sz="0" w:space="0" w:color="auto"/>
        <w:bottom w:val="none" w:sz="0" w:space="0" w:color="auto"/>
        <w:right w:val="none" w:sz="0" w:space="0" w:color="auto"/>
      </w:divBdr>
    </w:div>
    <w:div w:id="107701722">
      <w:bodyDiv w:val="1"/>
      <w:marLeft w:val="0"/>
      <w:marRight w:val="0"/>
      <w:marTop w:val="0"/>
      <w:marBottom w:val="0"/>
      <w:divBdr>
        <w:top w:val="none" w:sz="0" w:space="0" w:color="auto"/>
        <w:left w:val="none" w:sz="0" w:space="0" w:color="auto"/>
        <w:bottom w:val="none" w:sz="0" w:space="0" w:color="auto"/>
        <w:right w:val="none" w:sz="0" w:space="0" w:color="auto"/>
      </w:divBdr>
    </w:div>
    <w:div w:id="119419286">
      <w:bodyDiv w:val="1"/>
      <w:marLeft w:val="0"/>
      <w:marRight w:val="0"/>
      <w:marTop w:val="0"/>
      <w:marBottom w:val="0"/>
      <w:divBdr>
        <w:top w:val="none" w:sz="0" w:space="0" w:color="auto"/>
        <w:left w:val="none" w:sz="0" w:space="0" w:color="auto"/>
        <w:bottom w:val="none" w:sz="0" w:space="0" w:color="auto"/>
        <w:right w:val="none" w:sz="0" w:space="0" w:color="auto"/>
      </w:divBdr>
    </w:div>
    <w:div w:id="126972605">
      <w:bodyDiv w:val="1"/>
      <w:marLeft w:val="0"/>
      <w:marRight w:val="0"/>
      <w:marTop w:val="0"/>
      <w:marBottom w:val="0"/>
      <w:divBdr>
        <w:top w:val="none" w:sz="0" w:space="0" w:color="auto"/>
        <w:left w:val="none" w:sz="0" w:space="0" w:color="auto"/>
        <w:bottom w:val="none" w:sz="0" w:space="0" w:color="auto"/>
        <w:right w:val="none" w:sz="0" w:space="0" w:color="auto"/>
      </w:divBdr>
    </w:div>
    <w:div w:id="130679686">
      <w:bodyDiv w:val="1"/>
      <w:marLeft w:val="0"/>
      <w:marRight w:val="0"/>
      <w:marTop w:val="0"/>
      <w:marBottom w:val="0"/>
      <w:divBdr>
        <w:top w:val="none" w:sz="0" w:space="0" w:color="auto"/>
        <w:left w:val="none" w:sz="0" w:space="0" w:color="auto"/>
        <w:bottom w:val="none" w:sz="0" w:space="0" w:color="auto"/>
        <w:right w:val="none" w:sz="0" w:space="0" w:color="auto"/>
      </w:divBdr>
    </w:div>
    <w:div w:id="139005878">
      <w:bodyDiv w:val="1"/>
      <w:marLeft w:val="0"/>
      <w:marRight w:val="0"/>
      <w:marTop w:val="0"/>
      <w:marBottom w:val="0"/>
      <w:divBdr>
        <w:top w:val="none" w:sz="0" w:space="0" w:color="auto"/>
        <w:left w:val="none" w:sz="0" w:space="0" w:color="auto"/>
        <w:bottom w:val="none" w:sz="0" w:space="0" w:color="auto"/>
        <w:right w:val="none" w:sz="0" w:space="0" w:color="auto"/>
      </w:divBdr>
    </w:div>
    <w:div w:id="141119354">
      <w:bodyDiv w:val="1"/>
      <w:marLeft w:val="0"/>
      <w:marRight w:val="0"/>
      <w:marTop w:val="0"/>
      <w:marBottom w:val="0"/>
      <w:divBdr>
        <w:top w:val="none" w:sz="0" w:space="0" w:color="auto"/>
        <w:left w:val="none" w:sz="0" w:space="0" w:color="auto"/>
        <w:bottom w:val="none" w:sz="0" w:space="0" w:color="auto"/>
        <w:right w:val="none" w:sz="0" w:space="0" w:color="auto"/>
      </w:divBdr>
    </w:div>
    <w:div w:id="145436801">
      <w:bodyDiv w:val="1"/>
      <w:marLeft w:val="0"/>
      <w:marRight w:val="0"/>
      <w:marTop w:val="0"/>
      <w:marBottom w:val="0"/>
      <w:divBdr>
        <w:top w:val="none" w:sz="0" w:space="0" w:color="auto"/>
        <w:left w:val="none" w:sz="0" w:space="0" w:color="auto"/>
        <w:bottom w:val="none" w:sz="0" w:space="0" w:color="auto"/>
        <w:right w:val="none" w:sz="0" w:space="0" w:color="auto"/>
      </w:divBdr>
    </w:div>
    <w:div w:id="150214597">
      <w:bodyDiv w:val="1"/>
      <w:marLeft w:val="0"/>
      <w:marRight w:val="0"/>
      <w:marTop w:val="0"/>
      <w:marBottom w:val="0"/>
      <w:divBdr>
        <w:top w:val="none" w:sz="0" w:space="0" w:color="auto"/>
        <w:left w:val="none" w:sz="0" w:space="0" w:color="auto"/>
        <w:bottom w:val="none" w:sz="0" w:space="0" w:color="auto"/>
        <w:right w:val="none" w:sz="0" w:space="0" w:color="auto"/>
      </w:divBdr>
    </w:div>
    <w:div w:id="156264773">
      <w:bodyDiv w:val="1"/>
      <w:marLeft w:val="0"/>
      <w:marRight w:val="0"/>
      <w:marTop w:val="0"/>
      <w:marBottom w:val="0"/>
      <w:divBdr>
        <w:top w:val="none" w:sz="0" w:space="0" w:color="auto"/>
        <w:left w:val="none" w:sz="0" w:space="0" w:color="auto"/>
        <w:bottom w:val="none" w:sz="0" w:space="0" w:color="auto"/>
        <w:right w:val="none" w:sz="0" w:space="0" w:color="auto"/>
      </w:divBdr>
    </w:div>
    <w:div w:id="158280468">
      <w:bodyDiv w:val="1"/>
      <w:marLeft w:val="0"/>
      <w:marRight w:val="0"/>
      <w:marTop w:val="0"/>
      <w:marBottom w:val="0"/>
      <w:divBdr>
        <w:top w:val="none" w:sz="0" w:space="0" w:color="auto"/>
        <w:left w:val="none" w:sz="0" w:space="0" w:color="auto"/>
        <w:bottom w:val="none" w:sz="0" w:space="0" w:color="auto"/>
        <w:right w:val="none" w:sz="0" w:space="0" w:color="auto"/>
      </w:divBdr>
    </w:div>
    <w:div w:id="160969287">
      <w:bodyDiv w:val="1"/>
      <w:marLeft w:val="0"/>
      <w:marRight w:val="0"/>
      <w:marTop w:val="0"/>
      <w:marBottom w:val="0"/>
      <w:divBdr>
        <w:top w:val="none" w:sz="0" w:space="0" w:color="auto"/>
        <w:left w:val="none" w:sz="0" w:space="0" w:color="auto"/>
        <w:bottom w:val="none" w:sz="0" w:space="0" w:color="auto"/>
        <w:right w:val="none" w:sz="0" w:space="0" w:color="auto"/>
      </w:divBdr>
    </w:div>
    <w:div w:id="161816111">
      <w:bodyDiv w:val="1"/>
      <w:marLeft w:val="0"/>
      <w:marRight w:val="0"/>
      <w:marTop w:val="0"/>
      <w:marBottom w:val="0"/>
      <w:divBdr>
        <w:top w:val="none" w:sz="0" w:space="0" w:color="auto"/>
        <w:left w:val="none" w:sz="0" w:space="0" w:color="auto"/>
        <w:bottom w:val="none" w:sz="0" w:space="0" w:color="auto"/>
        <w:right w:val="none" w:sz="0" w:space="0" w:color="auto"/>
      </w:divBdr>
    </w:div>
    <w:div w:id="165362109">
      <w:bodyDiv w:val="1"/>
      <w:marLeft w:val="0"/>
      <w:marRight w:val="0"/>
      <w:marTop w:val="0"/>
      <w:marBottom w:val="0"/>
      <w:divBdr>
        <w:top w:val="none" w:sz="0" w:space="0" w:color="auto"/>
        <w:left w:val="none" w:sz="0" w:space="0" w:color="auto"/>
        <w:bottom w:val="none" w:sz="0" w:space="0" w:color="auto"/>
        <w:right w:val="none" w:sz="0" w:space="0" w:color="auto"/>
      </w:divBdr>
    </w:div>
    <w:div w:id="165437449">
      <w:bodyDiv w:val="1"/>
      <w:marLeft w:val="0"/>
      <w:marRight w:val="0"/>
      <w:marTop w:val="0"/>
      <w:marBottom w:val="0"/>
      <w:divBdr>
        <w:top w:val="none" w:sz="0" w:space="0" w:color="auto"/>
        <w:left w:val="none" w:sz="0" w:space="0" w:color="auto"/>
        <w:bottom w:val="none" w:sz="0" w:space="0" w:color="auto"/>
        <w:right w:val="none" w:sz="0" w:space="0" w:color="auto"/>
      </w:divBdr>
    </w:div>
    <w:div w:id="168958023">
      <w:bodyDiv w:val="1"/>
      <w:marLeft w:val="0"/>
      <w:marRight w:val="0"/>
      <w:marTop w:val="0"/>
      <w:marBottom w:val="0"/>
      <w:divBdr>
        <w:top w:val="none" w:sz="0" w:space="0" w:color="auto"/>
        <w:left w:val="none" w:sz="0" w:space="0" w:color="auto"/>
        <w:bottom w:val="none" w:sz="0" w:space="0" w:color="auto"/>
        <w:right w:val="none" w:sz="0" w:space="0" w:color="auto"/>
      </w:divBdr>
      <w:divsChild>
        <w:div w:id="9920219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6993240">
              <w:marLeft w:val="0"/>
              <w:marRight w:val="0"/>
              <w:marTop w:val="0"/>
              <w:marBottom w:val="0"/>
              <w:divBdr>
                <w:top w:val="none" w:sz="0" w:space="0" w:color="auto"/>
                <w:left w:val="none" w:sz="0" w:space="0" w:color="auto"/>
                <w:bottom w:val="none" w:sz="0" w:space="0" w:color="auto"/>
                <w:right w:val="none" w:sz="0" w:space="0" w:color="auto"/>
              </w:divBdr>
              <w:divsChild>
                <w:div w:id="797531199">
                  <w:blockQuote w:val="1"/>
                  <w:marLeft w:val="720"/>
                  <w:marRight w:val="720"/>
                  <w:marTop w:val="100"/>
                  <w:marBottom w:val="100"/>
                  <w:divBdr>
                    <w:top w:val="none" w:sz="0" w:space="0" w:color="auto"/>
                    <w:left w:val="none" w:sz="0" w:space="0" w:color="auto"/>
                    <w:bottom w:val="none" w:sz="0" w:space="0" w:color="auto"/>
                    <w:right w:val="none" w:sz="0" w:space="0" w:color="auto"/>
                  </w:divBdr>
                </w:div>
                <w:div w:id="300236247">
                  <w:blockQuote w:val="1"/>
                  <w:marLeft w:val="720"/>
                  <w:marRight w:val="720"/>
                  <w:marTop w:val="100"/>
                  <w:marBottom w:val="100"/>
                  <w:divBdr>
                    <w:top w:val="none" w:sz="0" w:space="0" w:color="auto"/>
                    <w:left w:val="none" w:sz="0" w:space="0" w:color="auto"/>
                    <w:bottom w:val="none" w:sz="0" w:space="0" w:color="auto"/>
                    <w:right w:val="none" w:sz="0" w:space="0" w:color="auto"/>
                  </w:divBdr>
                </w:div>
                <w:div w:id="20684131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72229900">
      <w:bodyDiv w:val="1"/>
      <w:marLeft w:val="0"/>
      <w:marRight w:val="0"/>
      <w:marTop w:val="0"/>
      <w:marBottom w:val="0"/>
      <w:divBdr>
        <w:top w:val="none" w:sz="0" w:space="0" w:color="auto"/>
        <w:left w:val="none" w:sz="0" w:space="0" w:color="auto"/>
        <w:bottom w:val="none" w:sz="0" w:space="0" w:color="auto"/>
        <w:right w:val="none" w:sz="0" w:space="0" w:color="auto"/>
      </w:divBdr>
    </w:div>
    <w:div w:id="172887209">
      <w:bodyDiv w:val="1"/>
      <w:marLeft w:val="0"/>
      <w:marRight w:val="0"/>
      <w:marTop w:val="0"/>
      <w:marBottom w:val="0"/>
      <w:divBdr>
        <w:top w:val="none" w:sz="0" w:space="0" w:color="auto"/>
        <w:left w:val="none" w:sz="0" w:space="0" w:color="auto"/>
        <w:bottom w:val="none" w:sz="0" w:space="0" w:color="auto"/>
        <w:right w:val="none" w:sz="0" w:space="0" w:color="auto"/>
      </w:divBdr>
    </w:div>
    <w:div w:id="174462142">
      <w:bodyDiv w:val="1"/>
      <w:marLeft w:val="0"/>
      <w:marRight w:val="0"/>
      <w:marTop w:val="0"/>
      <w:marBottom w:val="0"/>
      <w:divBdr>
        <w:top w:val="none" w:sz="0" w:space="0" w:color="auto"/>
        <w:left w:val="none" w:sz="0" w:space="0" w:color="auto"/>
        <w:bottom w:val="none" w:sz="0" w:space="0" w:color="auto"/>
        <w:right w:val="none" w:sz="0" w:space="0" w:color="auto"/>
      </w:divBdr>
    </w:div>
    <w:div w:id="185758344">
      <w:bodyDiv w:val="1"/>
      <w:marLeft w:val="0"/>
      <w:marRight w:val="0"/>
      <w:marTop w:val="0"/>
      <w:marBottom w:val="0"/>
      <w:divBdr>
        <w:top w:val="none" w:sz="0" w:space="0" w:color="auto"/>
        <w:left w:val="none" w:sz="0" w:space="0" w:color="auto"/>
        <w:bottom w:val="none" w:sz="0" w:space="0" w:color="auto"/>
        <w:right w:val="none" w:sz="0" w:space="0" w:color="auto"/>
      </w:divBdr>
    </w:div>
    <w:div w:id="187135759">
      <w:bodyDiv w:val="1"/>
      <w:marLeft w:val="0"/>
      <w:marRight w:val="0"/>
      <w:marTop w:val="0"/>
      <w:marBottom w:val="0"/>
      <w:divBdr>
        <w:top w:val="none" w:sz="0" w:space="0" w:color="auto"/>
        <w:left w:val="none" w:sz="0" w:space="0" w:color="auto"/>
        <w:bottom w:val="none" w:sz="0" w:space="0" w:color="auto"/>
        <w:right w:val="none" w:sz="0" w:space="0" w:color="auto"/>
      </w:divBdr>
    </w:div>
    <w:div w:id="190186788">
      <w:bodyDiv w:val="1"/>
      <w:marLeft w:val="0"/>
      <w:marRight w:val="0"/>
      <w:marTop w:val="0"/>
      <w:marBottom w:val="0"/>
      <w:divBdr>
        <w:top w:val="none" w:sz="0" w:space="0" w:color="auto"/>
        <w:left w:val="none" w:sz="0" w:space="0" w:color="auto"/>
        <w:bottom w:val="none" w:sz="0" w:space="0" w:color="auto"/>
        <w:right w:val="none" w:sz="0" w:space="0" w:color="auto"/>
      </w:divBdr>
    </w:div>
    <w:div w:id="202518669">
      <w:bodyDiv w:val="1"/>
      <w:marLeft w:val="0"/>
      <w:marRight w:val="0"/>
      <w:marTop w:val="0"/>
      <w:marBottom w:val="0"/>
      <w:divBdr>
        <w:top w:val="none" w:sz="0" w:space="0" w:color="auto"/>
        <w:left w:val="none" w:sz="0" w:space="0" w:color="auto"/>
        <w:bottom w:val="none" w:sz="0" w:space="0" w:color="auto"/>
        <w:right w:val="none" w:sz="0" w:space="0" w:color="auto"/>
      </w:divBdr>
    </w:div>
    <w:div w:id="213392426">
      <w:bodyDiv w:val="1"/>
      <w:marLeft w:val="0"/>
      <w:marRight w:val="0"/>
      <w:marTop w:val="0"/>
      <w:marBottom w:val="0"/>
      <w:divBdr>
        <w:top w:val="none" w:sz="0" w:space="0" w:color="auto"/>
        <w:left w:val="none" w:sz="0" w:space="0" w:color="auto"/>
        <w:bottom w:val="none" w:sz="0" w:space="0" w:color="auto"/>
        <w:right w:val="none" w:sz="0" w:space="0" w:color="auto"/>
      </w:divBdr>
    </w:div>
    <w:div w:id="213589463">
      <w:bodyDiv w:val="1"/>
      <w:marLeft w:val="0"/>
      <w:marRight w:val="0"/>
      <w:marTop w:val="0"/>
      <w:marBottom w:val="0"/>
      <w:divBdr>
        <w:top w:val="none" w:sz="0" w:space="0" w:color="auto"/>
        <w:left w:val="none" w:sz="0" w:space="0" w:color="auto"/>
        <w:bottom w:val="none" w:sz="0" w:space="0" w:color="auto"/>
        <w:right w:val="none" w:sz="0" w:space="0" w:color="auto"/>
      </w:divBdr>
    </w:div>
    <w:div w:id="217976367">
      <w:bodyDiv w:val="1"/>
      <w:marLeft w:val="0"/>
      <w:marRight w:val="0"/>
      <w:marTop w:val="0"/>
      <w:marBottom w:val="0"/>
      <w:divBdr>
        <w:top w:val="none" w:sz="0" w:space="0" w:color="auto"/>
        <w:left w:val="none" w:sz="0" w:space="0" w:color="auto"/>
        <w:bottom w:val="none" w:sz="0" w:space="0" w:color="auto"/>
        <w:right w:val="none" w:sz="0" w:space="0" w:color="auto"/>
      </w:divBdr>
    </w:div>
    <w:div w:id="218171134">
      <w:bodyDiv w:val="1"/>
      <w:marLeft w:val="0"/>
      <w:marRight w:val="0"/>
      <w:marTop w:val="0"/>
      <w:marBottom w:val="0"/>
      <w:divBdr>
        <w:top w:val="none" w:sz="0" w:space="0" w:color="auto"/>
        <w:left w:val="none" w:sz="0" w:space="0" w:color="auto"/>
        <w:bottom w:val="none" w:sz="0" w:space="0" w:color="auto"/>
        <w:right w:val="none" w:sz="0" w:space="0" w:color="auto"/>
      </w:divBdr>
    </w:div>
    <w:div w:id="219294092">
      <w:bodyDiv w:val="1"/>
      <w:marLeft w:val="0"/>
      <w:marRight w:val="0"/>
      <w:marTop w:val="0"/>
      <w:marBottom w:val="0"/>
      <w:divBdr>
        <w:top w:val="none" w:sz="0" w:space="0" w:color="auto"/>
        <w:left w:val="none" w:sz="0" w:space="0" w:color="auto"/>
        <w:bottom w:val="none" w:sz="0" w:space="0" w:color="auto"/>
        <w:right w:val="none" w:sz="0" w:space="0" w:color="auto"/>
      </w:divBdr>
      <w:divsChild>
        <w:div w:id="14793460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0968142">
              <w:marLeft w:val="0"/>
              <w:marRight w:val="0"/>
              <w:marTop w:val="0"/>
              <w:marBottom w:val="0"/>
              <w:divBdr>
                <w:top w:val="none" w:sz="0" w:space="0" w:color="auto"/>
                <w:left w:val="none" w:sz="0" w:space="0" w:color="auto"/>
                <w:bottom w:val="none" w:sz="0" w:space="0" w:color="auto"/>
                <w:right w:val="none" w:sz="0" w:space="0" w:color="auto"/>
              </w:divBdr>
              <w:divsChild>
                <w:div w:id="1616329479">
                  <w:blockQuote w:val="1"/>
                  <w:marLeft w:val="720"/>
                  <w:marRight w:val="720"/>
                  <w:marTop w:val="100"/>
                  <w:marBottom w:val="100"/>
                  <w:divBdr>
                    <w:top w:val="none" w:sz="0" w:space="0" w:color="auto"/>
                    <w:left w:val="none" w:sz="0" w:space="0" w:color="auto"/>
                    <w:bottom w:val="none" w:sz="0" w:space="0" w:color="auto"/>
                    <w:right w:val="none" w:sz="0" w:space="0" w:color="auto"/>
                  </w:divBdr>
                </w:div>
                <w:div w:id="3075192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21404008">
      <w:bodyDiv w:val="1"/>
      <w:marLeft w:val="0"/>
      <w:marRight w:val="0"/>
      <w:marTop w:val="0"/>
      <w:marBottom w:val="0"/>
      <w:divBdr>
        <w:top w:val="none" w:sz="0" w:space="0" w:color="auto"/>
        <w:left w:val="none" w:sz="0" w:space="0" w:color="auto"/>
        <w:bottom w:val="none" w:sz="0" w:space="0" w:color="auto"/>
        <w:right w:val="none" w:sz="0" w:space="0" w:color="auto"/>
      </w:divBdr>
    </w:div>
    <w:div w:id="222717305">
      <w:bodyDiv w:val="1"/>
      <w:marLeft w:val="0"/>
      <w:marRight w:val="0"/>
      <w:marTop w:val="0"/>
      <w:marBottom w:val="0"/>
      <w:divBdr>
        <w:top w:val="none" w:sz="0" w:space="0" w:color="auto"/>
        <w:left w:val="none" w:sz="0" w:space="0" w:color="auto"/>
        <w:bottom w:val="none" w:sz="0" w:space="0" w:color="auto"/>
        <w:right w:val="none" w:sz="0" w:space="0" w:color="auto"/>
      </w:divBdr>
    </w:div>
    <w:div w:id="223611373">
      <w:bodyDiv w:val="1"/>
      <w:marLeft w:val="0"/>
      <w:marRight w:val="0"/>
      <w:marTop w:val="0"/>
      <w:marBottom w:val="0"/>
      <w:divBdr>
        <w:top w:val="none" w:sz="0" w:space="0" w:color="auto"/>
        <w:left w:val="none" w:sz="0" w:space="0" w:color="auto"/>
        <w:bottom w:val="none" w:sz="0" w:space="0" w:color="auto"/>
        <w:right w:val="none" w:sz="0" w:space="0" w:color="auto"/>
      </w:divBdr>
    </w:div>
    <w:div w:id="229198083">
      <w:bodyDiv w:val="1"/>
      <w:marLeft w:val="0"/>
      <w:marRight w:val="0"/>
      <w:marTop w:val="0"/>
      <w:marBottom w:val="0"/>
      <w:divBdr>
        <w:top w:val="none" w:sz="0" w:space="0" w:color="auto"/>
        <w:left w:val="none" w:sz="0" w:space="0" w:color="auto"/>
        <w:bottom w:val="none" w:sz="0" w:space="0" w:color="auto"/>
        <w:right w:val="none" w:sz="0" w:space="0" w:color="auto"/>
      </w:divBdr>
    </w:div>
    <w:div w:id="231619803">
      <w:bodyDiv w:val="1"/>
      <w:marLeft w:val="0"/>
      <w:marRight w:val="0"/>
      <w:marTop w:val="0"/>
      <w:marBottom w:val="0"/>
      <w:divBdr>
        <w:top w:val="none" w:sz="0" w:space="0" w:color="auto"/>
        <w:left w:val="none" w:sz="0" w:space="0" w:color="auto"/>
        <w:bottom w:val="none" w:sz="0" w:space="0" w:color="auto"/>
        <w:right w:val="none" w:sz="0" w:space="0" w:color="auto"/>
      </w:divBdr>
    </w:div>
    <w:div w:id="233930006">
      <w:bodyDiv w:val="1"/>
      <w:marLeft w:val="0"/>
      <w:marRight w:val="0"/>
      <w:marTop w:val="0"/>
      <w:marBottom w:val="0"/>
      <w:divBdr>
        <w:top w:val="none" w:sz="0" w:space="0" w:color="auto"/>
        <w:left w:val="none" w:sz="0" w:space="0" w:color="auto"/>
        <w:bottom w:val="none" w:sz="0" w:space="0" w:color="auto"/>
        <w:right w:val="none" w:sz="0" w:space="0" w:color="auto"/>
      </w:divBdr>
    </w:div>
    <w:div w:id="236943517">
      <w:bodyDiv w:val="1"/>
      <w:marLeft w:val="0"/>
      <w:marRight w:val="0"/>
      <w:marTop w:val="0"/>
      <w:marBottom w:val="0"/>
      <w:divBdr>
        <w:top w:val="none" w:sz="0" w:space="0" w:color="auto"/>
        <w:left w:val="none" w:sz="0" w:space="0" w:color="auto"/>
        <w:bottom w:val="none" w:sz="0" w:space="0" w:color="auto"/>
        <w:right w:val="none" w:sz="0" w:space="0" w:color="auto"/>
      </w:divBdr>
    </w:div>
    <w:div w:id="237330115">
      <w:bodyDiv w:val="1"/>
      <w:marLeft w:val="0"/>
      <w:marRight w:val="0"/>
      <w:marTop w:val="0"/>
      <w:marBottom w:val="0"/>
      <w:divBdr>
        <w:top w:val="none" w:sz="0" w:space="0" w:color="auto"/>
        <w:left w:val="none" w:sz="0" w:space="0" w:color="auto"/>
        <w:bottom w:val="none" w:sz="0" w:space="0" w:color="auto"/>
        <w:right w:val="none" w:sz="0" w:space="0" w:color="auto"/>
      </w:divBdr>
    </w:div>
    <w:div w:id="241574668">
      <w:bodyDiv w:val="1"/>
      <w:marLeft w:val="0"/>
      <w:marRight w:val="0"/>
      <w:marTop w:val="0"/>
      <w:marBottom w:val="0"/>
      <w:divBdr>
        <w:top w:val="none" w:sz="0" w:space="0" w:color="auto"/>
        <w:left w:val="none" w:sz="0" w:space="0" w:color="auto"/>
        <w:bottom w:val="none" w:sz="0" w:space="0" w:color="auto"/>
        <w:right w:val="none" w:sz="0" w:space="0" w:color="auto"/>
      </w:divBdr>
    </w:div>
    <w:div w:id="244460629">
      <w:bodyDiv w:val="1"/>
      <w:marLeft w:val="0"/>
      <w:marRight w:val="0"/>
      <w:marTop w:val="0"/>
      <w:marBottom w:val="0"/>
      <w:divBdr>
        <w:top w:val="none" w:sz="0" w:space="0" w:color="auto"/>
        <w:left w:val="none" w:sz="0" w:space="0" w:color="auto"/>
        <w:bottom w:val="none" w:sz="0" w:space="0" w:color="auto"/>
        <w:right w:val="none" w:sz="0" w:space="0" w:color="auto"/>
      </w:divBdr>
    </w:div>
    <w:div w:id="253904024">
      <w:bodyDiv w:val="1"/>
      <w:marLeft w:val="0"/>
      <w:marRight w:val="0"/>
      <w:marTop w:val="0"/>
      <w:marBottom w:val="0"/>
      <w:divBdr>
        <w:top w:val="none" w:sz="0" w:space="0" w:color="auto"/>
        <w:left w:val="none" w:sz="0" w:space="0" w:color="auto"/>
        <w:bottom w:val="none" w:sz="0" w:space="0" w:color="auto"/>
        <w:right w:val="none" w:sz="0" w:space="0" w:color="auto"/>
      </w:divBdr>
    </w:div>
    <w:div w:id="255483650">
      <w:bodyDiv w:val="1"/>
      <w:marLeft w:val="0"/>
      <w:marRight w:val="0"/>
      <w:marTop w:val="0"/>
      <w:marBottom w:val="0"/>
      <w:divBdr>
        <w:top w:val="none" w:sz="0" w:space="0" w:color="auto"/>
        <w:left w:val="none" w:sz="0" w:space="0" w:color="auto"/>
        <w:bottom w:val="none" w:sz="0" w:space="0" w:color="auto"/>
        <w:right w:val="none" w:sz="0" w:space="0" w:color="auto"/>
      </w:divBdr>
    </w:div>
    <w:div w:id="260921419">
      <w:bodyDiv w:val="1"/>
      <w:marLeft w:val="0"/>
      <w:marRight w:val="0"/>
      <w:marTop w:val="0"/>
      <w:marBottom w:val="0"/>
      <w:divBdr>
        <w:top w:val="none" w:sz="0" w:space="0" w:color="auto"/>
        <w:left w:val="none" w:sz="0" w:space="0" w:color="auto"/>
        <w:bottom w:val="none" w:sz="0" w:space="0" w:color="auto"/>
        <w:right w:val="none" w:sz="0" w:space="0" w:color="auto"/>
      </w:divBdr>
    </w:div>
    <w:div w:id="261305900">
      <w:bodyDiv w:val="1"/>
      <w:marLeft w:val="0"/>
      <w:marRight w:val="0"/>
      <w:marTop w:val="0"/>
      <w:marBottom w:val="0"/>
      <w:divBdr>
        <w:top w:val="none" w:sz="0" w:space="0" w:color="auto"/>
        <w:left w:val="none" w:sz="0" w:space="0" w:color="auto"/>
        <w:bottom w:val="none" w:sz="0" w:space="0" w:color="auto"/>
        <w:right w:val="none" w:sz="0" w:space="0" w:color="auto"/>
      </w:divBdr>
    </w:div>
    <w:div w:id="267782083">
      <w:bodyDiv w:val="1"/>
      <w:marLeft w:val="0"/>
      <w:marRight w:val="0"/>
      <w:marTop w:val="0"/>
      <w:marBottom w:val="0"/>
      <w:divBdr>
        <w:top w:val="none" w:sz="0" w:space="0" w:color="auto"/>
        <w:left w:val="none" w:sz="0" w:space="0" w:color="auto"/>
        <w:bottom w:val="none" w:sz="0" w:space="0" w:color="auto"/>
        <w:right w:val="none" w:sz="0" w:space="0" w:color="auto"/>
      </w:divBdr>
    </w:div>
    <w:div w:id="271477816">
      <w:bodyDiv w:val="1"/>
      <w:marLeft w:val="0"/>
      <w:marRight w:val="0"/>
      <w:marTop w:val="0"/>
      <w:marBottom w:val="0"/>
      <w:divBdr>
        <w:top w:val="none" w:sz="0" w:space="0" w:color="auto"/>
        <w:left w:val="none" w:sz="0" w:space="0" w:color="auto"/>
        <w:bottom w:val="none" w:sz="0" w:space="0" w:color="auto"/>
        <w:right w:val="none" w:sz="0" w:space="0" w:color="auto"/>
      </w:divBdr>
    </w:div>
    <w:div w:id="271713931">
      <w:bodyDiv w:val="1"/>
      <w:marLeft w:val="0"/>
      <w:marRight w:val="0"/>
      <w:marTop w:val="0"/>
      <w:marBottom w:val="0"/>
      <w:divBdr>
        <w:top w:val="none" w:sz="0" w:space="0" w:color="auto"/>
        <w:left w:val="none" w:sz="0" w:space="0" w:color="auto"/>
        <w:bottom w:val="none" w:sz="0" w:space="0" w:color="auto"/>
        <w:right w:val="none" w:sz="0" w:space="0" w:color="auto"/>
      </w:divBdr>
    </w:div>
    <w:div w:id="272782649">
      <w:bodyDiv w:val="1"/>
      <w:marLeft w:val="0"/>
      <w:marRight w:val="0"/>
      <w:marTop w:val="0"/>
      <w:marBottom w:val="0"/>
      <w:divBdr>
        <w:top w:val="none" w:sz="0" w:space="0" w:color="auto"/>
        <w:left w:val="none" w:sz="0" w:space="0" w:color="auto"/>
        <w:bottom w:val="none" w:sz="0" w:space="0" w:color="auto"/>
        <w:right w:val="none" w:sz="0" w:space="0" w:color="auto"/>
      </w:divBdr>
    </w:div>
    <w:div w:id="274294037">
      <w:bodyDiv w:val="1"/>
      <w:marLeft w:val="0"/>
      <w:marRight w:val="0"/>
      <w:marTop w:val="0"/>
      <w:marBottom w:val="0"/>
      <w:divBdr>
        <w:top w:val="none" w:sz="0" w:space="0" w:color="auto"/>
        <w:left w:val="none" w:sz="0" w:space="0" w:color="auto"/>
        <w:bottom w:val="none" w:sz="0" w:space="0" w:color="auto"/>
        <w:right w:val="none" w:sz="0" w:space="0" w:color="auto"/>
      </w:divBdr>
    </w:div>
    <w:div w:id="280260964">
      <w:bodyDiv w:val="1"/>
      <w:marLeft w:val="0"/>
      <w:marRight w:val="0"/>
      <w:marTop w:val="0"/>
      <w:marBottom w:val="0"/>
      <w:divBdr>
        <w:top w:val="none" w:sz="0" w:space="0" w:color="auto"/>
        <w:left w:val="none" w:sz="0" w:space="0" w:color="auto"/>
        <w:bottom w:val="none" w:sz="0" w:space="0" w:color="auto"/>
        <w:right w:val="none" w:sz="0" w:space="0" w:color="auto"/>
      </w:divBdr>
    </w:div>
    <w:div w:id="281301591">
      <w:bodyDiv w:val="1"/>
      <w:marLeft w:val="0"/>
      <w:marRight w:val="0"/>
      <w:marTop w:val="0"/>
      <w:marBottom w:val="0"/>
      <w:divBdr>
        <w:top w:val="none" w:sz="0" w:space="0" w:color="auto"/>
        <w:left w:val="none" w:sz="0" w:space="0" w:color="auto"/>
        <w:bottom w:val="none" w:sz="0" w:space="0" w:color="auto"/>
        <w:right w:val="none" w:sz="0" w:space="0" w:color="auto"/>
      </w:divBdr>
    </w:div>
    <w:div w:id="282424538">
      <w:bodyDiv w:val="1"/>
      <w:marLeft w:val="0"/>
      <w:marRight w:val="0"/>
      <w:marTop w:val="0"/>
      <w:marBottom w:val="0"/>
      <w:divBdr>
        <w:top w:val="none" w:sz="0" w:space="0" w:color="auto"/>
        <w:left w:val="none" w:sz="0" w:space="0" w:color="auto"/>
        <w:bottom w:val="none" w:sz="0" w:space="0" w:color="auto"/>
        <w:right w:val="none" w:sz="0" w:space="0" w:color="auto"/>
      </w:divBdr>
    </w:div>
    <w:div w:id="305361891">
      <w:bodyDiv w:val="1"/>
      <w:marLeft w:val="0"/>
      <w:marRight w:val="0"/>
      <w:marTop w:val="0"/>
      <w:marBottom w:val="0"/>
      <w:divBdr>
        <w:top w:val="none" w:sz="0" w:space="0" w:color="auto"/>
        <w:left w:val="none" w:sz="0" w:space="0" w:color="auto"/>
        <w:bottom w:val="none" w:sz="0" w:space="0" w:color="auto"/>
        <w:right w:val="none" w:sz="0" w:space="0" w:color="auto"/>
      </w:divBdr>
    </w:div>
    <w:div w:id="315962907">
      <w:bodyDiv w:val="1"/>
      <w:marLeft w:val="0"/>
      <w:marRight w:val="0"/>
      <w:marTop w:val="0"/>
      <w:marBottom w:val="0"/>
      <w:divBdr>
        <w:top w:val="none" w:sz="0" w:space="0" w:color="auto"/>
        <w:left w:val="none" w:sz="0" w:space="0" w:color="auto"/>
        <w:bottom w:val="none" w:sz="0" w:space="0" w:color="auto"/>
        <w:right w:val="none" w:sz="0" w:space="0" w:color="auto"/>
      </w:divBdr>
    </w:div>
    <w:div w:id="320042101">
      <w:bodyDiv w:val="1"/>
      <w:marLeft w:val="0"/>
      <w:marRight w:val="0"/>
      <w:marTop w:val="0"/>
      <w:marBottom w:val="0"/>
      <w:divBdr>
        <w:top w:val="none" w:sz="0" w:space="0" w:color="auto"/>
        <w:left w:val="none" w:sz="0" w:space="0" w:color="auto"/>
        <w:bottom w:val="none" w:sz="0" w:space="0" w:color="auto"/>
        <w:right w:val="none" w:sz="0" w:space="0" w:color="auto"/>
      </w:divBdr>
    </w:div>
    <w:div w:id="323435146">
      <w:bodyDiv w:val="1"/>
      <w:marLeft w:val="0"/>
      <w:marRight w:val="0"/>
      <w:marTop w:val="0"/>
      <w:marBottom w:val="0"/>
      <w:divBdr>
        <w:top w:val="none" w:sz="0" w:space="0" w:color="auto"/>
        <w:left w:val="none" w:sz="0" w:space="0" w:color="auto"/>
        <w:bottom w:val="none" w:sz="0" w:space="0" w:color="auto"/>
        <w:right w:val="none" w:sz="0" w:space="0" w:color="auto"/>
      </w:divBdr>
    </w:div>
    <w:div w:id="325667592">
      <w:bodyDiv w:val="1"/>
      <w:marLeft w:val="0"/>
      <w:marRight w:val="0"/>
      <w:marTop w:val="0"/>
      <w:marBottom w:val="0"/>
      <w:divBdr>
        <w:top w:val="none" w:sz="0" w:space="0" w:color="auto"/>
        <w:left w:val="none" w:sz="0" w:space="0" w:color="auto"/>
        <w:bottom w:val="none" w:sz="0" w:space="0" w:color="auto"/>
        <w:right w:val="none" w:sz="0" w:space="0" w:color="auto"/>
      </w:divBdr>
    </w:div>
    <w:div w:id="327442326">
      <w:bodyDiv w:val="1"/>
      <w:marLeft w:val="0"/>
      <w:marRight w:val="0"/>
      <w:marTop w:val="0"/>
      <w:marBottom w:val="0"/>
      <w:divBdr>
        <w:top w:val="none" w:sz="0" w:space="0" w:color="auto"/>
        <w:left w:val="none" w:sz="0" w:space="0" w:color="auto"/>
        <w:bottom w:val="none" w:sz="0" w:space="0" w:color="auto"/>
        <w:right w:val="none" w:sz="0" w:space="0" w:color="auto"/>
      </w:divBdr>
    </w:div>
    <w:div w:id="331374051">
      <w:bodyDiv w:val="1"/>
      <w:marLeft w:val="0"/>
      <w:marRight w:val="0"/>
      <w:marTop w:val="0"/>
      <w:marBottom w:val="0"/>
      <w:divBdr>
        <w:top w:val="none" w:sz="0" w:space="0" w:color="auto"/>
        <w:left w:val="none" w:sz="0" w:space="0" w:color="auto"/>
        <w:bottom w:val="none" w:sz="0" w:space="0" w:color="auto"/>
        <w:right w:val="none" w:sz="0" w:space="0" w:color="auto"/>
      </w:divBdr>
    </w:div>
    <w:div w:id="337195507">
      <w:bodyDiv w:val="1"/>
      <w:marLeft w:val="0"/>
      <w:marRight w:val="0"/>
      <w:marTop w:val="0"/>
      <w:marBottom w:val="0"/>
      <w:divBdr>
        <w:top w:val="none" w:sz="0" w:space="0" w:color="auto"/>
        <w:left w:val="none" w:sz="0" w:space="0" w:color="auto"/>
        <w:bottom w:val="none" w:sz="0" w:space="0" w:color="auto"/>
        <w:right w:val="none" w:sz="0" w:space="0" w:color="auto"/>
      </w:divBdr>
    </w:div>
    <w:div w:id="341012450">
      <w:bodyDiv w:val="1"/>
      <w:marLeft w:val="0"/>
      <w:marRight w:val="0"/>
      <w:marTop w:val="0"/>
      <w:marBottom w:val="0"/>
      <w:divBdr>
        <w:top w:val="none" w:sz="0" w:space="0" w:color="auto"/>
        <w:left w:val="none" w:sz="0" w:space="0" w:color="auto"/>
        <w:bottom w:val="none" w:sz="0" w:space="0" w:color="auto"/>
        <w:right w:val="none" w:sz="0" w:space="0" w:color="auto"/>
      </w:divBdr>
    </w:div>
    <w:div w:id="344862185">
      <w:bodyDiv w:val="1"/>
      <w:marLeft w:val="0"/>
      <w:marRight w:val="0"/>
      <w:marTop w:val="0"/>
      <w:marBottom w:val="0"/>
      <w:divBdr>
        <w:top w:val="none" w:sz="0" w:space="0" w:color="auto"/>
        <w:left w:val="none" w:sz="0" w:space="0" w:color="auto"/>
        <w:bottom w:val="none" w:sz="0" w:space="0" w:color="auto"/>
        <w:right w:val="none" w:sz="0" w:space="0" w:color="auto"/>
      </w:divBdr>
      <w:divsChild>
        <w:div w:id="348526541">
          <w:marLeft w:val="547"/>
          <w:marRight w:val="0"/>
          <w:marTop w:val="288"/>
          <w:marBottom w:val="0"/>
          <w:divBdr>
            <w:top w:val="none" w:sz="0" w:space="0" w:color="auto"/>
            <w:left w:val="none" w:sz="0" w:space="0" w:color="auto"/>
            <w:bottom w:val="none" w:sz="0" w:space="0" w:color="auto"/>
            <w:right w:val="none" w:sz="0" w:space="0" w:color="auto"/>
          </w:divBdr>
        </w:div>
        <w:div w:id="625937619">
          <w:marLeft w:val="547"/>
          <w:marRight w:val="0"/>
          <w:marTop w:val="288"/>
          <w:marBottom w:val="0"/>
          <w:divBdr>
            <w:top w:val="none" w:sz="0" w:space="0" w:color="auto"/>
            <w:left w:val="none" w:sz="0" w:space="0" w:color="auto"/>
            <w:bottom w:val="none" w:sz="0" w:space="0" w:color="auto"/>
            <w:right w:val="none" w:sz="0" w:space="0" w:color="auto"/>
          </w:divBdr>
        </w:div>
      </w:divsChild>
    </w:div>
    <w:div w:id="345132810">
      <w:bodyDiv w:val="1"/>
      <w:marLeft w:val="0"/>
      <w:marRight w:val="0"/>
      <w:marTop w:val="0"/>
      <w:marBottom w:val="0"/>
      <w:divBdr>
        <w:top w:val="none" w:sz="0" w:space="0" w:color="auto"/>
        <w:left w:val="none" w:sz="0" w:space="0" w:color="auto"/>
        <w:bottom w:val="none" w:sz="0" w:space="0" w:color="auto"/>
        <w:right w:val="none" w:sz="0" w:space="0" w:color="auto"/>
      </w:divBdr>
    </w:div>
    <w:div w:id="348871500">
      <w:bodyDiv w:val="1"/>
      <w:marLeft w:val="0"/>
      <w:marRight w:val="0"/>
      <w:marTop w:val="0"/>
      <w:marBottom w:val="0"/>
      <w:divBdr>
        <w:top w:val="none" w:sz="0" w:space="0" w:color="auto"/>
        <w:left w:val="none" w:sz="0" w:space="0" w:color="auto"/>
        <w:bottom w:val="none" w:sz="0" w:space="0" w:color="auto"/>
        <w:right w:val="none" w:sz="0" w:space="0" w:color="auto"/>
      </w:divBdr>
    </w:div>
    <w:div w:id="349918645">
      <w:bodyDiv w:val="1"/>
      <w:marLeft w:val="0"/>
      <w:marRight w:val="0"/>
      <w:marTop w:val="0"/>
      <w:marBottom w:val="0"/>
      <w:divBdr>
        <w:top w:val="none" w:sz="0" w:space="0" w:color="auto"/>
        <w:left w:val="none" w:sz="0" w:space="0" w:color="auto"/>
        <w:bottom w:val="none" w:sz="0" w:space="0" w:color="auto"/>
        <w:right w:val="none" w:sz="0" w:space="0" w:color="auto"/>
      </w:divBdr>
    </w:div>
    <w:div w:id="362364604">
      <w:bodyDiv w:val="1"/>
      <w:marLeft w:val="0"/>
      <w:marRight w:val="0"/>
      <w:marTop w:val="0"/>
      <w:marBottom w:val="0"/>
      <w:divBdr>
        <w:top w:val="none" w:sz="0" w:space="0" w:color="auto"/>
        <w:left w:val="none" w:sz="0" w:space="0" w:color="auto"/>
        <w:bottom w:val="none" w:sz="0" w:space="0" w:color="auto"/>
        <w:right w:val="none" w:sz="0" w:space="0" w:color="auto"/>
      </w:divBdr>
    </w:div>
    <w:div w:id="367293908">
      <w:bodyDiv w:val="1"/>
      <w:marLeft w:val="0"/>
      <w:marRight w:val="0"/>
      <w:marTop w:val="0"/>
      <w:marBottom w:val="0"/>
      <w:divBdr>
        <w:top w:val="none" w:sz="0" w:space="0" w:color="auto"/>
        <w:left w:val="none" w:sz="0" w:space="0" w:color="auto"/>
        <w:bottom w:val="none" w:sz="0" w:space="0" w:color="auto"/>
        <w:right w:val="none" w:sz="0" w:space="0" w:color="auto"/>
      </w:divBdr>
    </w:div>
    <w:div w:id="367532470">
      <w:bodyDiv w:val="1"/>
      <w:marLeft w:val="0"/>
      <w:marRight w:val="0"/>
      <w:marTop w:val="0"/>
      <w:marBottom w:val="0"/>
      <w:divBdr>
        <w:top w:val="none" w:sz="0" w:space="0" w:color="auto"/>
        <w:left w:val="none" w:sz="0" w:space="0" w:color="auto"/>
        <w:bottom w:val="none" w:sz="0" w:space="0" w:color="auto"/>
        <w:right w:val="none" w:sz="0" w:space="0" w:color="auto"/>
      </w:divBdr>
    </w:div>
    <w:div w:id="370956633">
      <w:bodyDiv w:val="1"/>
      <w:marLeft w:val="0"/>
      <w:marRight w:val="0"/>
      <w:marTop w:val="0"/>
      <w:marBottom w:val="0"/>
      <w:divBdr>
        <w:top w:val="none" w:sz="0" w:space="0" w:color="auto"/>
        <w:left w:val="none" w:sz="0" w:space="0" w:color="auto"/>
        <w:bottom w:val="none" w:sz="0" w:space="0" w:color="auto"/>
        <w:right w:val="none" w:sz="0" w:space="0" w:color="auto"/>
      </w:divBdr>
    </w:div>
    <w:div w:id="375857785">
      <w:bodyDiv w:val="1"/>
      <w:marLeft w:val="0"/>
      <w:marRight w:val="0"/>
      <w:marTop w:val="0"/>
      <w:marBottom w:val="0"/>
      <w:divBdr>
        <w:top w:val="none" w:sz="0" w:space="0" w:color="auto"/>
        <w:left w:val="none" w:sz="0" w:space="0" w:color="auto"/>
        <w:bottom w:val="none" w:sz="0" w:space="0" w:color="auto"/>
        <w:right w:val="none" w:sz="0" w:space="0" w:color="auto"/>
      </w:divBdr>
    </w:div>
    <w:div w:id="379060844">
      <w:bodyDiv w:val="1"/>
      <w:marLeft w:val="0"/>
      <w:marRight w:val="0"/>
      <w:marTop w:val="0"/>
      <w:marBottom w:val="0"/>
      <w:divBdr>
        <w:top w:val="none" w:sz="0" w:space="0" w:color="auto"/>
        <w:left w:val="none" w:sz="0" w:space="0" w:color="auto"/>
        <w:bottom w:val="none" w:sz="0" w:space="0" w:color="auto"/>
        <w:right w:val="none" w:sz="0" w:space="0" w:color="auto"/>
      </w:divBdr>
    </w:div>
    <w:div w:id="382489131">
      <w:bodyDiv w:val="1"/>
      <w:marLeft w:val="0"/>
      <w:marRight w:val="0"/>
      <w:marTop w:val="0"/>
      <w:marBottom w:val="0"/>
      <w:divBdr>
        <w:top w:val="none" w:sz="0" w:space="0" w:color="auto"/>
        <w:left w:val="none" w:sz="0" w:space="0" w:color="auto"/>
        <w:bottom w:val="none" w:sz="0" w:space="0" w:color="auto"/>
        <w:right w:val="none" w:sz="0" w:space="0" w:color="auto"/>
      </w:divBdr>
    </w:div>
    <w:div w:id="382870185">
      <w:bodyDiv w:val="1"/>
      <w:marLeft w:val="0"/>
      <w:marRight w:val="0"/>
      <w:marTop w:val="0"/>
      <w:marBottom w:val="0"/>
      <w:divBdr>
        <w:top w:val="none" w:sz="0" w:space="0" w:color="auto"/>
        <w:left w:val="none" w:sz="0" w:space="0" w:color="auto"/>
        <w:bottom w:val="none" w:sz="0" w:space="0" w:color="auto"/>
        <w:right w:val="none" w:sz="0" w:space="0" w:color="auto"/>
      </w:divBdr>
    </w:div>
    <w:div w:id="385759481">
      <w:bodyDiv w:val="1"/>
      <w:marLeft w:val="0"/>
      <w:marRight w:val="0"/>
      <w:marTop w:val="0"/>
      <w:marBottom w:val="0"/>
      <w:divBdr>
        <w:top w:val="none" w:sz="0" w:space="0" w:color="auto"/>
        <w:left w:val="none" w:sz="0" w:space="0" w:color="auto"/>
        <w:bottom w:val="none" w:sz="0" w:space="0" w:color="auto"/>
        <w:right w:val="none" w:sz="0" w:space="0" w:color="auto"/>
      </w:divBdr>
    </w:div>
    <w:div w:id="387538374">
      <w:bodyDiv w:val="1"/>
      <w:marLeft w:val="0"/>
      <w:marRight w:val="0"/>
      <w:marTop w:val="0"/>
      <w:marBottom w:val="0"/>
      <w:divBdr>
        <w:top w:val="none" w:sz="0" w:space="0" w:color="auto"/>
        <w:left w:val="none" w:sz="0" w:space="0" w:color="auto"/>
        <w:bottom w:val="none" w:sz="0" w:space="0" w:color="auto"/>
        <w:right w:val="none" w:sz="0" w:space="0" w:color="auto"/>
      </w:divBdr>
    </w:div>
    <w:div w:id="394545401">
      <w:bodyDiv w:val="1"/>
      <w:marLeft w:val="0"/>
      <w:marRight w:val="0"/>
      <w:marTop w:val="0"/>
      <w:marBottom w:val="0"/>
      <w:divBdr>
        <w:top w:val="none" w:sz="0" w:space="0" w:color="auto"/>
        <w:left w:val="none" w:sz="0" w:space="0" w:color="auto"/>
        <w:bottom w:val="none" w:sz="0" w:space="0" w:color="auto"/>
        <w:right w:val="none" w:sz="0" w:space="0" w:color="auto"/>
      </w:divBdr>
    </w:div>
    <w:div w:id="395934836">
      <w:bodyDiv w:val="1"/>
      <w:marLeft w:val="0"/>
      <w:marRight w:val="0"/>
      <w:marTop w:val="0"/>
      <w:marBottom w:val="0"/>
      <w:divBdr>
        <w:top w:val="none" w:sz="0" w:space="0" w:color="auto"/>
        <w:left w:val="none" w:sz="0" w:space="0" w:color="auto"/>
        <w:bottom w:val="none" w:sz="0" w:space="0" w:color="auto"/>
        <w:right w:val="none" w:sz="0" w:space="0" w:color="auto"/>
      </w:divBdr>
    </w:div>
    <w:div w:id="400831929">
      <w:bodyDiv w:val="1"/>
      <w:marLeft w:val="0"/>
      <w:marRight w:val="0"/>
      <w:marTop w:val="0"/>
      <w:marBottom w:val="0"/>
      <w:divBdr>
        <w:top w:val="none" w:sz="0" w:space="0" w:color="auto"/>
        <w:left w:val="none" w:sz="0" w:space="0" w:color="auto"/>
        <w:bottom w:val="none" w:sz="0" w:space="0" w:color="auto"/>
        <w:right w:val="none" w:sz="0" w:space="0" w:color="auto"/>
      </w:divBdr>
    </w:div>
    <w:div w:id="401483911">
      <w:bodyDiv w:val="1"/>
      <w:marLeft w:val="0"/>
      <w:marRight w:val="0"/>
      <w:marTop w:val="0"/>
      <w:marBottom w:val="0"/>
      <w:divBdr>
        <w:top w:val="none" w:sz="0" w:space="0" w:color="auto"/>
        <w:left w:val="none" w:sz="0" w:space="0" w:color="auto"/>
        <w:bottom w:val="none" w:sz="0" w:space="0" w:color="auto"/>
        <w:right w:val="none" w:sz="0" w:space="0" w:color="auto"/>
      </w:divBdr>
    </w:div>
    <w:div w:id="406879184">
      <w:bodyDiv w:val="1"/>
      <w:marLeft w:val="0"/>
      <w:marRight w:val="0"/>
      <w:marTop w:val="0"/>
      <w:marBottom w:val="0"/>
      <w:divBdr>
        <w:top w:val="none" w:sz="0" w:space="0" w:color="auto"/>
        <w:left w:val="none" w:sz="0" w:space="0" w:color="auto"/>
        <w:bottom w:val="none" w:sz="0" w:space="0" w:color="auto"/>
        <w:right w:val="none" w:sz="0" w:space="0" w:color="auto"/>
      </w:divBdr>
    </w:div>
    <w:div w:id="407388269">
      <w:bodyDiv w:val="1"/>
      <w:marLeft w:val="0"/>
      <w:marRight w:val="0"/>
      <w:marTop w:val="0"/>
      <w:marBottom w:val="0"/>
      <w:divBdr>
        <w:top w:val="none" w:sz="0" w:space="0" w:color="auto"/>
        <w:left w:val="none" w:sz="0" w:space="0" w:color="auto"/>
        <w:bottom w:val="none" w:sz="0" w:space="0" w:color="auto"/>
        <w:right w:val="none" w:sz="0" w:space="0" w:color="auto"/>
      </w:divBdr>
    </w:div>
    <w:div w:id="425811666">
      <w:bodyDiv w:val="1"/>
      <w:marLeft w:val="0"/>
      <w:marRight w:val="0"/>
      <w:marTop w:val="0"/>
      <w:marBottom w:val="0"/>
      <w:divBdr>
        <w:top w:val="none" w:sz="0" w:space="0" w:color="auto"/>
        <w:left w:val="none" w:sz="0" w:space="0" w:color="auto"/>
        <w:bottom w:val="none" w:sz="0" w:space="0" w:color="auto"/>
        <w:right w:val="none" w:sz="0" w:space="0" w:color="auto"/>
      </w:divBdr>
    </w:div>
    <w:div w:id="428351856">
      <w:bodyDiv w:val="1"/>
      <w:marLeft w:val="0"/>
      <w:marRight w:val="0"/>
      <w:marTop w:val="0"/>
      <w:marBottom w:val="0"/>
      <w:divBdr>
        <w:top w:val="none" w:sz="0" w:space="0" w:color="auto"/>
        <w:left w:val="none" w:sz="0" w:space="0" w:color="auto"/>
        <w:bottom w:val="none" w:sz="0" w:space="0" w:color="auto"/>
        <w:right w:val="none" w:sz="0" w:space="0" w:color="auto"/>
      </w:divBdr>
    </w:div>
    <w:div w:id="436676450">
      <w:bodyDiv w:val="1"/>
      <w:marLeft w:val="0"/>
      <w:marRight w:val="0"/>
      <w:marTop w:val="0"/>
      <w:marBottom w:val="0"/>
      <w:divBdr>
        <w:top w:val="none" w:sz="0" w:space="0" w:color="auto"/>
        <w:left w:val="none" w:sz="0" w:space="0" w:color="auto"/>
        <w:bottom w:val="none" w:sz="0" w:space="0" w:color="auto"/>
        <w:right w:val="none" w:sz="0" w:space="0" w:color="auto"/>
      </w:divBdr>
    </w:div>
    <w:div w:id="441269542">
      <w:bodyDiv w:val="1"/>
      <w:marLeft w:val="0"/>
      <w:marRight w:val="0"/>
      <w:marTop w:val="0"/>
      <w:marBottom w:val="0"/>
      <w:divBdr>
        <w:top w:val="none" w:sz="0" w:space="0" w:color="auto"/>
        <w:left w:val="none" w:sz="0" w:space="0" w:color="auto"/>
        <w:bottom w:val="none" w:sz="0" w:space="0" w:color="auto"/>
        <w:right w:val="none" w:sz="0" w:space="0" w:color="auto"/>
      </w:divBdr>
    </w:div>
    <w:div w:id="456068604">
      <w:bodyDiv w:val="1"/>
      <w:marLeft w:val="0"/>
      <w:marRight w:val="0"/>
      <w:marTop w:val="0"/>
      <w:marBottom w:val="0"/>
      <w:divBdr>
        <w:top w:val="none" w:sz="0" w:space="0" w:color="auto"/>
        <w:left w:val="none" w:sz="0" w:space="0" w:color="auto"/>
        <w:bottom w:val="none" w:sz="0" w:space="0" w:color="auto"/>
        <w:right w:val="none" w:sz="0" w:space="0" w:color="auto"/>
      </w:divBdr>
    </w:div>
    <w:div w:id="464469797">
      <w:bodyDiv w:val="1"/>
      <w:marLeft w:val="0"/>
      <w:marRight w:val="0"/>
      <w:marTop w:val="0"/>
      <w:marBottom w:val="0"/>
      <w:divBdr>
        <w:top w:val="none" w:sz="0" w:space="0" w:color="auto"/>
        <w:left w:val="none" w:sz="0" w:space="0" w:color="auto"/>
        <w:bottom w:val="none" w:sz="0" w:space="0" w:color="auto"/>
        <w:right w:val="none" w:sz="0" w:space="0" w:color="auto"/>
      </w:divBdr>
    </w:div>
    <w:div w:id="469591375">
      <w:bodyDiv w:val="1"/>
      <w:marLeft w:val="0"/>
      <w:marRight w:val="0"/>
      <w:marTop w:val="0"/>
      <w:marBottom w:val="0"/>
      <w:divBdr>
        <w:top w:val="none" w:sz="0" w:space="0" w:color="auto"/>
        <w:left w:val="none" w:sz="0" w:space="0" w:color="auto"/>
        <w:bottom w:val="none" w:sz="0" w:space="0" w:color="auto"/>
        <w:right w:val="none" w:sz="0" w:space="0" w:color="auto"/>
      </w:divBdr>
    </w:div>
    <w:div w:id="476920358">
      <w:bodyDiv w:val="1"/>
      <w:marLeft w:val="0"/>
      <w:marRight w:val="0"/>
      <w:marTop w:val="0"/>
      <w:marBottom w:val="0"/>
      <w:divBdr>
        <w:top w:val="none" w:sz="0" w:space="0" w:color="auto"/>
        <w:left w:val="none" w:sz="0" w:space="0" w:color="auto"/>
        <w:bottom w:val="none" w:sz="0" w:space="0" w:color="auto"/>
        <w:right w:val="none" w:sz="0" w:space="0" w:color="auto"/>
      </w:divBdr>
    </w:div>
    <w:div w:id="479227549">
      <w:bodyDiv w:val="1"/>
      <w:marLeft w:val="0"/>
      <w:marRight w:val="0"/>
      <w:marTop w:val="0"/>
      <w:marBottom w:val="0"/>
      <w:divBdr>
        <w:top w:val="none" w:sz="0" w:space="0" w:color="auto"/>
        <w:left w:val="none" w:sz="0" w:space="0" w:color="auto"/>
        <w:bottom w:val="none" w:sz="0" w:space="0" w:color="auto"/>
        <w:right w:val="none" w:sz="0" w:space="0" w:color="auto"/>
      </w:divBdr>
    </w:div>
    <w:div w:id="479462996">
      <w:bodyDiv w:val="1"/>
      <w:marLeft w:val="0"/>
      <w:marRight w:val="0"/>
      <w:marTop w:val="0"/>
      <w:marBottom w:val="0"/>
      <w:divBdr>
        <w:top w:val="none" w:sz="0" w:space="0" w:color="auto"/>
        <w:left w:val="none" w:sz="0" w:space="0" w:color="auto"/>
        <w:bottom w:val="none" w:sz="0" w:space="0" w:color="auto"/>
        <w:right w:val="none" w:sz="0" w:space="0" w:color="auto"/>
      </w:divBdr>
    </w:div>
    <w:div w:id="482158440">
      <w:bodyDiv w:val="1"/>
      <w:marLeft w:val="0"/>
      <w:marRight w:val="0"/>
      <w:marTop w:val="0"/>
      <w:marBottom w:val="0"/>
      <w:divBdr>
        <w:top w:val="none" w:sz="0" w:space="0" w:color="auto"/>
        <w:left w:val="none" w:sz="0" w:space="0" w:color="auto"/>
        <w:bottom w:val="none" w:sz="0" w:space="0" w:color="auto"/>
        <w:right w:val="none" w:sz="0" w:space="0" w:color="auto"/>
      </w:divBdr>
    </w:div>
    <w:div w:id="485240887">
      <w:bodyDiv w:val="1"/>
      <w:marLeft w:val="0"/>
      <w:marRight w:val="0"/>
      <w:marTop w:val="0"/>
      <w:marBottom w:val="0"/>
      <w:divBdr>
        <w:top w:val="none" w:sz="0" w:space="0" w:color="auto"/>
        <w:left w:val="none" w:sz="0" w:space="0" w:color="auto"/>
        <w:bottom w:val="none" w:sz="0" w:space="0" w:color="auto"/>
        <w:right w:val="none" w:sz="0" w:space="0" w:color="auto"/>
      </w:divBdr>
    </w:div>
    <w:div w:id="493834999">
      <w:bodyDiv w:val="1"/>
      <w:marLeft w:val="0"/>
      <w:marRight w:val="0"/>
      <w:marTop w:val="0"/>
      <w:marBottom w:val="0"/>
      <w:divBdr>
        <w:top w:val="none" w:sz="0" w:space="0" w:color="auto"/>
        <w:left w:val="none" w:sz="0" w:space="0" w:color="auto"/>
        <w:bottom w:val="none" w:sz="0" w:space="0" w:color="auto"/>
        <w:right w:val="none" w:sz="0" w:space="0" w:color="auto"/>
      </w:divBdr>
    </w:div>
    <w:div w:id="496113264">
      <w:bodyDiv w:val="1"/>
      <w:marLeft w:val="0"/>
      <w:marRight w:val="0"/>
      <w:marTop w:val="0"/>
      <w:marBottom w:val="0"/>
      <w:divBdr>
        <w:top w:val="none" w:sz="0" w:space="0" w:color="auto"/>
        <w:left w:val="none" w:sz="0" w:space="0" w:color="auto"/>
        <w:bottom w:val="none" w:sz="0" w:space="0" w:color="auto"/>
        <w:right w:val="none" w:sz="0" w:space="0" w:color="auto"/>
      </w:divBdr>
    </w:div>
    <w:div w:id="499396577">
      <w:bodyDiv w:val="1"/>
      <w:marLeft w:val="0"/>
      <w:marRight w:val="0"/>
      <w:marTop w:val="0"/>
      <w:marBottom w:val="0"/>
      <w:divBdr>
        <w:top w:val="none" w:sz="0" w:space="0" w:color="auto"/>
        <w:left w:val="none" w:sz="0" w:space="0" w:color="auto"/>
        <w:bottom w:val="none" w:sz="0" w:space="0" w:color="auto"/>
        <w:right w:val="none" w:sz="0" w:space="0" w:color="auto"/>
      </w:divBdr>
    </w:div>
    <w:div w:id="515776215">
      <w:bodyDiv w:val="1"/>
      <w:marLeft w:val="0"/>
      <w:marRight w:val="0"/>
      <w:marTop w:val="0"/>
      <w:marBottom w:val="0"/>
      <w:divBdr>
        <w:top w:val="none" w:sz="0" w:space="0" w:color="auto"/>
        <w:left w:val="none" w:sz="0" w:space="0" w:color="auto"/>
        <w:bottom w:val="none" w:sz="0" w:space="0" w:color="auto"/>
        <w:right w:val="none" w:sz="0" w:space="0" w:color="auto"/>
      </w:divBdr>
    </w:div>
    <w:div w:id="518128177">
      <w:bodyDiv w:val="1"/>
      <w:marLeft w:val="0"/>
      <w:marRight w:val="0"/>
      <w:marTop w:val="0"/>
      <w:marBottom w:val="0"/>
      <w:divBdr>
        <w:top w:val="none" w:sz="0" w:space="0" w:color="auto"/>
        <w:left w:val="none" w:sz="0" w:space="0" w:color="auto"/>
        <w:bottom w:val="none" w:sz="0" w:space="0" w:color="auto"/>
        <w:right w:val="none" w:sz="0" w:space="0" w:color="auto"/>
      </w:divBdr>
    </w:div>
    <w:div w:id="519512964">
      <w:bodyDiv w:val="1"/>
      <w:marLeft w:val="0"/>
      <w:marRight w:val="0"/>
      <w:marTop w:val="0"/>
      <w:marBottom w:val="0"/>
      <w:divBdr>
        <w:top w:val="none" w:sz="0" w:space="0" w:color="auto"/>
        <w:left w:val="none" w:sz="0" w:space="0" w:color="auto"/>
        <w:bottom w:val="none" w:sz="0" w:space="0" w:color="auto"/>
        <w:right w:val="none" w:sz="0" w:space="0" w:color="auto"/>
      </w:divBdr>
    </w:div>
    <w:div w:id="520709110">
      <w:bodyDiv w:val="1"/>
      <w:marLeft w:val="0"/>
      <w:marRight w:val="0"/>
      <w:marTop w:val="0"/>
      <w:marBottom w:val="0"/>
      <w:divBdr>
        <w:top w:val="none" w:sz="0" w:space="0" w:color="auto"/>
        <w:left w:val="none" w:sz="0" w:space="0" w:color="auto"/>
        <w:bottom w:val="none" w:sz="0" w:space="0" w:color="auto"/>
        <w:right w:val="none" w:sz="0" w:space="0" w:color="auto"/>
      </w:divBdr>
    </w:div>
    <w:div w:id="520777878">
      <w:bodyDiv w:val="1"/>
      <w:marLeft w:val="0"/>
      <w:marRight w:val="0"/>
      <w:marTop w:val="0"/>
      <w:marBottom w:val="0"/>
      <w:divBdr>
        <w:top w:val="none" w:sz="0" w:space="0" w:color="auto"/>
        <w:left w:val="none" w:sz="0" w:space="0" w:color="auto"/>
        <w:bottom w:val="none" w:sz="0" w:space="0" w:color="auto"/>
        <w:right w:val="none" w:sz="0" w:space="0" w:color="auto"/>
      </w:divBdr>
    </w:div>
    <w:div w:id="534654333">
      <w:bodyDiv w:val="1"/>
      <w:marLeft w:val="0"/>
      <w:marRight w:val="0"/>
      <w:marTop w:val="0"/>
      <w:marBottom w:val="0"/>
      <w:divBdr>
        <w:top w:val="none" w:sz="0" w:space="0" w:color="auto"/>
        <w:left w:val="none" w:sz="0" w:space="0" w:color="auto"/>
        <w:bottom w:val="none" w:sz="0" w:space="0" w:color="auto"/>
        <w:right w:val="none" w:sz="0" w:space="0" w:color="auto"/>
      </w:divBdr>
    </w:div>
    <w:div w:id="535889729">
      <w:bodyDiv w:val="1"/>
      <w:marLeft w:val="0"/>
      <w:marRight w:val="0"/>
      <w:marTop w:val="0"/>
      <w:marBottom w:val="0"/>
      <w:divBdr>
        <w:top w:val="none" w:sz="0" w:space="0" w:color="auto"/>
        <w:left w:val="none" w:sz="0" w:space="0" w:color="auto"/>
        <w:bottom w:val="none" w:sz="0" w:space="0" w:color="auto"/>
        <w:right w:val="none" w:sz="0" w:space="0" w:color="auto"/>
      </w:divBdr>
    </w:div>
    <w:div w:id="549270039">
      <w:bodyDiv w:val="1"/>
      <w:marLeft w:val="0"/>
      <w:marRight w:val="0"/>
      <w:marTop w:val="0"/>
      <w:marBottom w:val="0"/>
      <w:divBdr>
        <w:top w:val="none" w:sz="0" w:space="0" w:color="auto"/>
        <w:left w:val="none" w:sz="0" w:space="0" w:color="auto"/>
        <w:bottom w:val="none" w:sz="0" w:space="0" w:color="auto"/>
        <w:right w:val="none" w:sz="0" w:space="0" w:color="auto"/>
      </w:divBdr>
    </w:div>
    <w:div w:id="550457217">
      <w:bodyDiv w:val="1"/>
      <w:marLeft w:val="0"/>
      <w:marRight w:val="0"/>
      <w:marTop w:val="0"/>
      <w:marBottom w:val="0"/>
      <w:divBdr>
        <w:top w:val="none" w:sz="0" w:space="0" w:color="auto"/>
        <w:left w:val="none" w:sz="0" w:space="0" w:color="auto"/>
        <w:bottom w:val="none" w:sz="0" w:space="0" w:color="auto"/>
        <w:right w:val="none" w:sz="0" w:space="0" w:color="auto"/>
      </w:divBdr>
    </w:div>
    <w:div w:id="550699827">
      <w:bodyDiv w:val="1"/>
      <w:marLeft w:val="0"/>
      <w:marRight w:val="0"/>
      <w:marTop w:val="0"/>
      <w:marBottom w:val="0"/>
      <w:divBdr>
        <w:top w:val="none" w:sz="0" w:space="0" w:color="auto"/>
        <w:left w:val="none" w:sz="0" w:space="0" w:color="auto"/>
        <w:bottom w:val="none" w:sz="0" w:space="0" w:color="auto"/>
        <w:right w:val="none" w:sz="0" w:space="0" w:color="auto"/>
      </w:divBdr>
    </w:div>
    <w:div w:id="558130133">
      <w:bodyDiv w:val="1"/>
      <w:marLeft w:val="0"/>
      <w:marRight w:val="0"/>
      <w:marTop w:val="0"/>
      <w:marBottom w:val="0"/>
      <w:divBdr>
        <w:top w:val="none" w:sz="0" w:space="0" w:color="auto"/>
        <w:left w:val="none" w:sz="0" w:space="0" w:color="auto"/>
        <w:bottom w:val="none" w:sz="0" w:space="0" w:color="auto"/>
        <w:right w:val="none" w:sz="0" w:space="0" w:color="auto"/>
      </w:divBdr>
    </w:div>
    <w:div w:id="558134257">
      <w:bodyDiv w:val="1"/>
      <w:marLeft w:val="0"/>
      <w:marRight w:val="0"/>
      <w:marTop w:val="0"/>
      <w:marBottom w:val="0"/>
      <w:divBdr>
        <w:top w:val="none" w:sz="0" w:space="0" w:color="auto"/>
        <w:left w:val="none" w:sz="0" w:space="0" w:color="auto"/>
        <w:bottom w:val="none" w:sz="0" w:space="0" w:color="auto"/>
        <w:right w:val="none" w:sz="0" w:space="0" w:color="auto"/>
      </w:divBdr>
    </w:div>
    <w:div w:id="577328860">
      <w:bodyDiv w:val="1"/>
      <w:marLeft w:val="0"/>
      <w:marRight w:val="0"/>
      <w:marTop w:val="0"/>
      <w:marBottom w:val="0"/>
      <w:divBdr>
        <w:top w:val="none" w:sz="0" w:space="0" w:color="auto"/>
        <w:left w:val="none" w:sz="0" w:space="0" w:color="auto"/>
        <w:bottom w:val="none" w:sz="0" w:space="0" w:color="auto"/>
        <w:right w:val="none" w:sz="0" w:space="0" w:color="auto"/>
      </w:divBdr>
    </w:div>
    <w:div w:id="580256782">
      <w:bodyDiv w:val="1"/>
      <w:marLeft w:val="0"/>
      <w:marRight w:val="0"/>
      <w:marTop w:val="0"/>
      <w:marBottom w:val="0"/>
      <w:divBdr>
        <w:top w:val="none" w:sz="0" w:space="0" w:color="auto"/>
        <w:left w:val="none" w:sz="0" w:space="0" w:color="auto"/>
        <w:bottom w:val="none" w:sz="0" w:space="0" w:color="auto"/>
        <w:right w:val="none" w:sz="0" w:space="0" w:color="auto"/>
      </w:divBdr>
    </w:div>
    <w:div w:id="584386809">
      <w:bodyDiv w:val="1"/>
      <w:marLeft w:val="0"/>
      <w:marRight w:val="0"/>
      <w:marTop w:val="0"/>
      <w:marBottom w:val="0"/>
      <w:divBdr>
        <w:top w:val="none" w:sz="0" w:space="0" w:color="auto"/>
        <w:left w:val="none" w:sz="0" w:space="0" w:color="auto"/>
        <w:bottom w:val="none" w:sz="0" w:space="0" w:color="auto"/>
        <w:right w:val="none" w:sz="0" w:space="0" w:color="auto"/>
      </w:divBdr>
    </w:div>
    <w:div w:id="587468268">
      <w:bodyDiv w:val="1"/>
      <w:marLeft w:val="0"/>
      <w:marRight w:val="0"/>
      <w:marTop w:val="0"/>
      <w:marBottom w:val="0"/>
      <w:divBdr>
        <w:top w:val="none" w:sz="0" w:space="0" w:color="auto"/>
        <w:left w:val="none" w:sz="0" w:space="0" w:color="auto"/>
        <w:bottom w:val="none" w:sz="0" w:space="0" w:color="auto"/>
        <w:right w:val="none" w:sz="0" w:space="0" w:color="auto"/>
      </w:divBdr>
    </w:div>
    <w:div w:id="595526801">
      <w:bodyDiv w:val="1"/>
      <w:marLeft w:val="0"/>
      <w:marRight w:val="0"/>
      <w:marTop w:val="0"/>
      <w:marBottom w:val="0"/>
      <w:divBdr>
        <w:top w:val="none" w:sz="0" w:space="0" w:color="auto"/>
        <w:left w:val="none" w:sz="0" w:space="0" w:color="auto"/>
        <w:bottom w:val="none" w:sz="0" w:space="0" w:color="auto"/>
        <w:right w:val="none" w:sz="0" w:space="0" w:color="auto"/>
      </w:divBdr>
    </w:div>
    <w:div w:id="596061692">
      <w:bodyDiv w:val="1"/>
      <w:marLeft w:val="0"/>
      <w:marRight w:val="0"/>
      <w:marTop w:val="0"/>
      <w:marBottom w:val="0"/>
      <w:divBdr>
        <w:top w:val="none" w:sz="0" w:space="0" w:color="auto"/>
        <w:left w:val="none" w:sz="0" w:space="0" w:color="auto"/>
        <w:bottom w:val="none" w:sz="0" w:space="0" w:color="auto"/>
        <w:right w:val="none" w:sz="0" w:space="0" w:color="auto"/>
      </w:divBdr>
    </w:div>
    <w:div w:id="596865496">
      <w:bodyDiv w:val="1"/>
      <w:marLeft w:val="0"/>
      <w:marRight w:val="0"/>
      <w:marTop w:val="0"/>
      <w:marBottom w:val="0"/>
      <w:divBdr>
        <w:top w:val="none" w:sz="0" w:space="0" w:color="auto"/>
        <w:left w:val="none" w:sz="0" w:space="0" w:color="auto"/>
        <w:bottom w:val="none" w:sz="0" w:space="0" w:color="auto"/>
        <w:right w:val="none" w:sz="0" w:space="0" w:color="auto"/>
      </w:divBdr>
    </w:div>
    <w:div w:id="604993962">
      <w:bodyDiv w:val="1"/>
      <w:marLeft w:val="0"/>
      <w:marRight w:val="0"/>
      <w:marTop w:val="0"/>
      <w:marBottom w:val="0"/>
      <w:divBdr>
        <w:top w:val="none" w:sz="0" w:space="0" w:color="auto"/>
        <w:left w:val="none" w:sz="0" w:space="0" w:color="auto"/>
        <w:bottom w:val="none" w:sz="0" w:space="0" w:color="auto"/>
        <w:right w:val="none" w:sz="0" w:space="0" w:color="auto"/>
      </w:divBdr>
    </w:div>
    <w:div w:id="610357402">
      <w:bodyDiv w:val="1"/>
      <w:marLeft w:val="0"/>
      <w:marRight w:val="0"/>
      <w:marTop w:val="0"/>
      <w:marBottom w:val="0"/>
      <w:divBdr>
        <w:top w:val="none" w:sz="0" w:space="0" w:color="auto"/>
        <w:left w:val="none" w:sz="0" w:space="0" w:color="auto"/>
        <w:bottom w:val="none" w:sz="0" w:space="0" w:color="auto"/>
        <w:right w:val="none" w:sz="0" w:space="0" w:color="auto"/>
      </w:divBdr>
    </w:div>
    <w:div w:id="611784699">
      <w:bodyDiv w:val="1"/>
      <w:marLeft w:val="0"/>
      <w:marRight w:val="0"/>
      <w:marTop w:val="0"/>
      <w:marBottom w:val="0"/>
      <w:divBdr>
        <w:top w:val="none" w:sz="0" w:space="0" w:color="auto"/>
        <w:left w:val="none" w:sz="0" w:space="0" w:color="auto"/>
        <w:bottom w:val="none" w:sz="0" w:space="0" w:color="auto"/>
        <w:right w:val="none" w:sz="0" w:space="0" w:color="auto"/>
      </w:divBdr>
    </w:div>
    <w:div w:id="621156702">
      <w:bodyDiv w:val="1"/>
      <w:marLeft w:val="0"/>
      <w:marRight w:val="0"/>
      <w:marTop w:val="0"/>
      <w:marBottom w:val="0"/>
      <w:divBdr>
        <w:top w:val="none" w:sz="0" w:space="0" w:color="auto"/>
        <w:left w:val="none" w:sz="0" w:space="0" w:color="auto"/>
        <w:bottom w:val="none" w:sz="0" w:space="0" w:color="auto"/>
        <w:right w:val="none" w:sz="0" w:space="0" w:color="auto"/>
      </w:divBdr>
    </w:div>
    <w:div w:id="624821993">
      <w:bodyDiv w:val="1"/>
      <w:marLeft w:val="0"/>
      <w:marRight w:val="0"/>
      <w:marTop w:val="0"/>
      <w:marBottom w:val="0"/>
      <w:divBdr>
        <w:top w:val="none" w:sz="0" w:space="0" w:color="auto"/>
        <w:left w:val="none" w:sz="0" w:space="0" w:color="auto"/>
        <w:bottom w:val="none" w:sz="0" w:space="0" w:color="auto"/>
        <w:right w:val="none" w:sz="0" w:space="0" w:color="auto"/>
      </w:divBdr>
    </w:div>
    <w:div w:id="624971795">
      <w:bodyDiv w:val="1"/>
      <w:marLeft w:val="0"/>
      <w:marRight w:val="0"/>
      <w:marTop w:val="0"/>
      <w:marBottom w:val="0"/>
      <w:divBdr>
        <w:top w:val="none" w:sz="0" w:space="0" w:color="auto"/>
        <w:left w:val="none" w:sz="0" w:space="0" w:color="auto"/>
        <w:bottom w:val="none" w:sz="0" w:space="0" w:color="auto"/>
        <w:right w:val="none" w:sz="0" w:space="0" w:color="auto"/>
      </w:divBdr>
    </w:div>
    <w:div w:id="643386191">
      <w:bodyDiv w:val="1"/>
      <w:marLeft w:val="0"/>
      <w:marRight w:val="0"/>
      <w:marTop w:val="0"/>
      <w:marBottom w:val="0"/>
      <w:divBdr>
        <w:top w:val="none" w:sz="0" w:space="0" w:color="auto"/>
        <w:left w:val="none" w:sz="0" w:space="0" w:color="auto"/>
        <w:bottom w:val="none" w:sz="0" w:space="0" w:color="auto"/>
        <w:right w:val="none" w:sz="0" w:space="0" w:color="auto"/>
      </w:divBdr>
    </w:div>
    <w:div w:id="643658199">
      <w:bodyDiv w:val="1"/>
      <w:marLeft w:val="0"/>
      <w:marRight w:val="0"/>
      <w:marTop w:val="0"/>
      <w:marBottom w:val="0"/>
      <w:divBdr>
        <w:top w:val="none" w:sz="0" w:space="0" w:color="auto"/>
        <w:left w:val="none" w:sz="0" w:space="0" w:color="auto"/>
        <w:bottom w:val="none" w:sz="0" w:space="0" w:color="auto"/>
        <w:right w:val="none" w:sz="0" w:space="0" w:color="auto"/>
      </w:divBdr>
      <w:divsChild>
        <w:div w:id="1195265637">
          <w:blockQuote w:val="1"/>
          <w:marLeft w:val="600"/>
          <w:marRight w:val="600"/>
          <w:marTop w:val="240"/>
          <w:marBottom w:val="240"/>
          <w:divBdr>
            <w:top w:val="none" w:sz="0" w:space="0" w:color="auto"/>
            <w:left w:val="none" w:sz="0" w:space="0" w:color="auto"/>
            <w:bottom w:val="none" w:sz="0" w:space="0" w:color="auto"/>
            <w:right w:val="none" w:sz="0" w:space="0" w:color="auto"/>
          </w:divBdr>
          <w:divsChild>
            <w:div w:id="46152526">
              <w:blockQuote w:val="1"/>
              <w:marLeft w:val="600"/>
              <w:marRight w:val="600"/>
              <w:marTop w:val="240"/>
              <w:marBottom w:val="240"/>
              <w:divBdr>
                <w:top w:val="none" w:sz="0" w:space="0" w:color="auto"/>
                <w:left w:val="none" w:sz="0" w:space="0" w:color="auto"/>
                <w:bottom w:val="none" w:sz="0" w:space="0" w:color="auto"/>
                <w:right w:val="none" w:sz="0" w:space="0" w:color="auto"/>
              </w:divBdr>
            </w:div>
          </w:divsChild>
        </w:div>
      </w:divsChild>
    </w:div>
    <w:div w:id="648561422">
      <w:bodyDiv w:val="1"/>
      <w:marLeft w:val="0"/>
      <w:marRight w:val="0"/>
      <w:marTop w:val="0"/>
      <w:marBottom w:val="0"/>
      <w:divBdr>
        <w:top w:val="none" w:sz="0" w:space="0" w:color="auto"/>
        <w:left w:val="none" w:sz="0" w:space="0" w:color="auto"/>
        <w:bottom w:val="none" w:sz="0" w:space="0" w:color="auto"/>
        <w:right w:val="none" w:sz="0" w:space="0" w:color="auto"/>
      </w:divBdr>
    </w:div>
    <w:div w:id="649603507">
      <w:bodyDiv w:val="1"/>
      <w:marLeft w:val="0"/>
      <w:marRight w:val="0"/>
      <w:marTop w:val="0"/>
      <w:marBottom w:val="0"/>
      <w:divBdr>
        <w:top w:val="none" w:sz="0" w:space="0" w:color="auto"/>
        <w:left w:val="none" w:sz="0" w:space="0" w:color="auto"/>
        <w:bottom w:val="none" w:sz="0" w:space="0" w:color="auto"/>
        <w:right w:val="none" w:sz="0" w:space="0" w:color="auto"/>
      </w:divBdr>
    </w:div>
    <w:div w:id="649938913">
      <w:bodyDiv w:val="1"/>
      <w:marLeft w:val="0"/>
      <w:marRight w:val="0"/>
      <w:marTop w:val="0"/>
      <w:marBottom w:val="0"/>
      <w:divBdr>
        <w:top w:val="none" w:sz="0" w:space="0" w:color="auto"/>
        <w:left w:val="none" w:sz="0" w:space="0" w:color="auto"/>
        <w:bottom w:val="none" w:sz="0" w:space="0" w:color="auto"/>
        <w:right w:val="none" w:sz="0" w:space="0" w:color="auto"/>
      </w:divBdr>
    </w:div>
    <w:div w:id="651712458">
      <w:bodyDiv w:val="1"/>
      <w:marLeft w:val="0"/>
      <w:marRight w:val="0"/>
      <w:marTop w:val="0"/>
      <w:marBottom w:val="0"/>
      <w:divBdr>
        <w:top w:val="none" w:sz="0" w:space="0" w:color="auto"/>
        <w:left w:val="none" w:sz="0" w:space="0" w:color="auto"/>
        <w:bottom w:val="none" w:sz="0" w:space="0" w:color="auto"/>
        <w:right w:val="none" w:sz="0" w:space="0" w:color="auto"/>
      </w:divBdr>
    </w:div>
    <w:div w:id="652563712">
      <w:bodyDiv w:val="1"/>
      <w:marLeft w:val="0"/>
      <w:marRight w:val="0"/>
      <w:marTop w:val="0"/>
      <w:marBottom w:val="0"/>
      <w:divBdr>
        <w:top w:val="none" w:sz="0" w:space="0" w:color="auto"/>
        <w:left w:val="none" w:sz="0" w:space="0" w:color="auto"/>
        <w:bottom w:val="none" w:sz="0" w:space="0" w:color="auto"/>
        <w:right w:val="none" w:sz="0" w:space="0" w:color="auto"/>
      </w:divBdr>
    </w:div>
    <w:div w:id="655912263">
      <w:bodyDiv w:val="1"/>
      <w:marLeft w:val="0"/>
      <w:marRight w:val="0"/>
      <w:marTop w:val="0"/>
      <w:marBottom w:val="0"/>
      <w:divBdr>
        <w:top w:val="none" w:sz="0" w:space="0" w:color="auto"/>
        <w:left w:val="none" w:sz="0" w:space="0" w:color="auto"/>
        <w:bottom w:val="none" w:sz="0" w:space="0" w:color="auto"/>
        <w:right w:val="none" w:sz="0" w:space="0" w:color="auto"/>
      </w:divBdr>
    </w:div>
    <w:div w:id="659650903">
      <w:bodyDiv w:val="1"/>
      <w:marLeft w:val="0"/>
      <w:marRight w:val="0"/>
      <w:marTop w:val="0"/>
      <w:marBottom w:val="0"/>
      <w:divBdr>
        <w:top w:val="none" w:sz="0" w:space="0" w:color="auto"/>
        <w:left w:val="none" w:sz="0" w:space="0" w:color="auto"/>
        <w:bottom w:val="none" w:sz="0" w:space="0" w:color="auto"/>
        <w:right w:val="none" w:sz="0" w:space="0" w:color="auto"/>
      </w:divBdr>
    </w:div>
    <w:div w:id="659692511">
      <w:bodyDiv w:val="1"/>
      <w:marLeft w:val="0"/>
      <w:marRight w:val="0"/>
      <w:marTop w:val="0"/>
      <w:marBottom w:val="0"/>
      <w:divBdr>
        <w:top w:val="none" w:sz="0" w:space="0" w:color="auto"/>
        <w:left w:val="none" w:sz="0" w:space="0" w:color="auto"/>
        <w:bottom w:val="none" w:sz="0" w:space="0" w:color="auto"/>
        <w:right w:val="none" w:sz="0" w:space="0" w:color="auto"/>
      </w:divBdr>
    </w:div>
    <w:div w:id="660082561">
      <w:bodyDiv w:val="1"/>
      <w:marLeft w:val="0"/>
      <w:marRight w:val="0"/>
      <w:marTop w:val="0"/>
      <w:marBottom w:val="0"/>
      <w:divBdr>
        <w:top w:val="none" w:sz="0" w:space="0" w:color="auto"/>
        <w:left w:val="none" w:sz="0" w:space="0" w:color="auto"/>
        <w:bottom w:val="none" w:sz="0" w:space="0" w:color="auto"/>
        <w:right w:val="none" w:sz="0" w:space="0" w:color="auto"/>
      </w:divBdr>
    </w:div>
    <w:div w:id="660232227">
      <w:bodyDiv w:val="1"/>
      <w:marLeft w:val="0"/>
      <w:marRight w:val="0"/>
      <w:marTop w:val="0"/>
      <w:marBottom w:val="0"/>
      <w:divBdr>
        <w:top w:val="none" w:sz="0" w:space="0" w:color="auto"/>
        <w:left w:val="none" w:sz="0" w:space="0" w:color="auto"/>
        <w:bottom w:val="none" w:sz="0" w:space="0" w:color="auto"/>
        <w:right w:val="none" w:sz="0" w:space="0" w:color="auto"/>
      </w:divBdr>
    </w:div>
    <w:div w:id="664824682">
      <w:bodyDiv w:val="1"/>
      <w:marLeft w:val="0"/>
      <w:marRight w:val="0"/>
      <w:marTop w:val="0"/>
      <w:marBottom w:val="0"/>
      <w:divBdr>
        <w:top w:val="none" w:sz="0" w:space="0" w:color="auto"/>
        <w:left w:val="none" w:sz="0" w:space="0" w:color="auto"/>
        <w:bottom w:val="none" w:sz="0" w:space="0" w:color="auto"/>
        <w:right w:val="none" w:sz="0" w:space="0" w:color="auto"/>
      </w:divBdr>
    </w:div>
    <w:div w:id="669212385">
      <w:bodyDiv w:val="1"/>
      <w:marLeft w:val="0"/>
      <w:marRight w:val="0"/>
      <w:marTop w:val="0"/>
      <w:marBottom w:val="0"/>
      <w:divBdr>
        <w:top w:val="none" w:sz="0" w:space="0" w:color="auto"/>
        <w:left w:val="none" w:sz="0" w:space="0" w:color="auto"/>
        <w:bottom w:val="none" w:sz="0" w:space="0" w:color="auto"/>
        <w:right w:val="none" w:sz="0" w:space="0" w:color="auto"/>
      </w:divBdr>
    </w:div>
    <w:div w:id="669261595">
      <w:bodyDiv w:val="1"/>
      <w:marLeft w:val="0"/>
      <w:marRight w:val="0"/>
      <w:marTop w:val="0"/>
      <w:marBottom w:val="0"/>
      <w:divBdr>
        <w:top w:val="none" w:sz="0" w:space="0" w:color="auto"/>
        <w:left w:val="none" w:sz="0" w:space="0" w:color="auto"/>
        <w:bottom w:val="none" w:sz="0" w:space="0" w:color="auto"/>
        <w:right w:val="none" w:sz="0" w:space="0" w:color="auto"/>
      </w:divBdr>
    </w:div>
    <w:div w:id="675426877">
      <w:bodyDiv w:val="1"/>
      <w:marLeft w:val="0"/>
      <w:marRight w:val="0"/>
      <w:marTop w:val="0"/>
      <w:marBottom w:val="0"/>
      <w:divBdr>
        <w:top w:val="none" w:sz="0" w:space="0" w:color="auto"/>
        <w:left w:val="none" w:sz="0" w:space="0" w:color="auto"/>
        <w:bottom w:val="none" w:sz="0" w:space="0" w:color="auto"/>
        <w:right w:val="none" w:sz="0" w:space="0" w:color="auto"/>
      </w:divBdr>
    </w:div>
    <w:div w:id="680858782">
      <w:bodyDiv w:val="1"/>
      <w:marLeft w:val="0"/>
      <w:marRight w:val="0"/>
      <w:marTop w:val="0"/>
      <w:marBottom w:val="0"/>
      <w:divBdr>
        <w:top w:val="none" w:sz="0" w:space="0" w:color="auto"/>
        <w:left w:val="none" w:sz="0" w:space="0" w:color="auto"/>
        <w:bottom w:val="none" w:sz="0" w:space="0" w:color="auto"/>
        <w:right w:val="none" w:sz="0" w:space="0" w:color="auto"/>
      </w:divBdr>
    </w:div>
    <w:div w:id="684553866">
      <w:bodyDiv w:val="1"/>
      <w:marLeft w:val="0"/>
      <w:marRight w:val="0"/>
      <w:marTop w:val="0"/>
      <w:marBottom w:val="0"/>
      <w:divBdr>
        <w:top w:val="none" w:sz="0" w:space="0" w:color="auto"/>
        <w:left w:val="none" w:sz="0" w:space="0" w:color="auto"/>
        <w:bottom w:val="none" w:sz="0" w:space="0" w:color="auto"/>
        <w:right w:val="none" w:sz="0" w:space="0" w:color="auto"/>
      </w:divBdr>
    </w:div>
    <w:div w:id="696345067">
      <w:bodyDiv w:val="1"/>
      <w:marLeft w:val="0"/>
      <w:marRight w:val="0"/>
      <w:marTop w:val="0"/>
      <w:marBottom w:val="0"/>
      <w:divBdr>
        <w:top w:val="none" w:sz="0" w:space="0" w:color="auto"/>
        <w:left w:val="none" w:sz="0" w:space="0" w:color="auto"/>
        <w:bottom w:val="none" w:sz="0" w:space="0" w:color="auto"/>
        <w:right w:val="none" w:sz="0" w:space="0" w:color="auto"/>
      </w:divBdr>
    </w:div>
    <w:div w:id="698508138">
      <w:bodyDiv w:val="1"/>
      <w:marLeft w:val="0"/>
      <w:marRight w:val="0"/>
      <w:marTop w:val="0"/>
      <w:marBottom w:val="0"/>
      <w:divBdr>
        <w:top w:val="none" w:sz="0" w:space="0" w:color="auto"/>
        <w:left w:val="none" w:sz="0" w:space="0" w:color="auto"/>
        <w:bottom w:val="none" w:sz="0" w:space="0" w:color="auto"/>
        <w:right w:val="none" w:sz="0" w:space="0" w:color="auto"/>
      </w:divBdr>
    </w:div>
    <w:div w:id="702167688">
      <w:bodyDiv w:val="1"/>
      <w:marLeft w:val="0"/>
      <w:marRight w:val="0"/>
      <w:marTop w:val="0"/>
      <w:marBottom w:val="0"/>
      <w:divBdr>
        <w:top w:val="none" w:sz="0" w:space="0" w:color="auto"/>
        <w:left w:val="none" w:sz="0" w:space="0" w:color="auto"/>
        <w:bottom w:val="none" w:sz="0" w:space="0" w:color="auto"/>
        <w:right w:val="none" w:sz="0" w:space="0" w:color="auto"/>
      </w:divBdr>
    </w:div>
    <w:div w:id="708143085">
      <w:bodyDiv w:val="1"/>
      <w:marLeft w:val="0"/>
      <w:marRight w:val="0"/>
      <w:marTop w:val="0"/>
      <w:marBottom w:val="0"/>
      <w:divBdr>
        <w:top w:val="none" w:sz="0" w:space="0" w:color="auto"/>
        <w:left w:val="none" w:sz="0" w:space="0" w:color="auto"/>
        <w:bottom w:val="none" w:sz="0" w:space="0" w:color="auto"/>
        <w:right w:val="none" w:sz="0" w:space="0" w:color="auto"/>
      </w:divBdr>
    </w:div>
    <w:div w:id="711613359">
      <w:bodyDiv w:val="1"/>
      <w:marLeft w:val="0"/>
      <w:marRight w:val="0"/>
      <w:marTop w:val="0"/>
      <w:marBottom w:val="0"/>
      <w:divBdr>
        <w:top w:val="none" w:sz="0" w:space="0" w:color="auto"/>
        <w:left w:val="none" w:sz="0" w:space="0" w:color="auto"/>
        <w:bottom w:val="none" w:sz="0" w:space="0" w:color="auto"/>
        <w:right w:val="none" w:sz="0" w:space="0" w:color="auto"/>
      </w:divBdr>
    </w:div>
    <w:div w:id="712389114">
      <w:bodyDiv w:val="1"/>
      <w:marLeft w:val="0"/>
      <w:marRight w:val="0"/>
      <w:marTop w:val="0"/>
      <w:marBottom w:val="0"/>
      <w:divBdr>
        <w:top w:val="none" w:sz="0" w:space="0" w:color="auto"/>
        <w:left w:val="none" w:sz="0" w:space="0" w:color="auto"/>
        <w:bottom w:val="none" w:sz="0" w:space="0" w:color="auto"/>
        <w:right w:val="none" w:sz="0" w:space="0" w:color="auto"/>
      </w:divBdr>
    </w:div>
    <w:div w:id="718936478">
      <w:bodyDiv w:val="1"/>
      <w:marLeft w:val="0"/>
      <w:marRight w:val="0"/>
      <w:marTop w:val="0"/>
      <w:marBottom w:val="0"/>
      <w:divBdr>
        <w:top w:val="none" w:sz="0" w:space="0" w:color="auto"/>
        <w:left w:val="none" w:sz="0" w:space="0" w:color="auto"/>
        <w:bottom w:val="none" w:sz="0" w:space="0" w:color="auto"/>
        <w:right w:val="none" w:sz="0" w:space="0" w:color="auto"/>
      </w:divBdr>
    </w:div>
    <w:div w:id="719478896">
      <w:bodyDiv w:val="1"/>
      <w:marLeft w:val="0"/>
      <w:marRight w:val="0"/>
      <w:marTop w:val="0"/>
      <w:marBottom w:val="0"/>
      <w:divBdr>
        <w:top w:val="none" w:sz="0" w:space="0" w:color="auto"/>
        <w:left w:val="none" w:sz="0" w:space="0" w:color="auto"/>
        <w:bottom w:val="none" w:sz="0" w:space="0" w:color="auto"/>
        <w:right w:val="none" w:sz="0" w:space="0" w:color="auto"/>
      </w:divBdr>
    </w:div>
    <w:div w:id="725908209">
      <w:bodyDiv w:val="1"/>
      <w:marLeft w:val="0"/>
      <w:marRight w:val="0"/>
      <w:marTop w:val="0"/>
      <w:marBottom w:val="0"/>
      <w:divBdr>
        <w:top w:val="none" w:sz="0" w:space="0" w:color="auto"/>
        <w:left w:val="none" w:sz="0" w:space="0" w:color="auto"/>
        <w:bottom w:val="none" w:sz="0" w:space="0" w:color="auto"/>
        <w:right w:val="none" w:sz="0" w:space="0" w:color="auto"/>
      </w:divBdr>
    </w:div>
    <w:div w:id="734818455">
      <w:bodyDiv w:val="1"/>
      <w:marLeft w:val="0"/>
      <w:marRight w:val="0"/>
      <w:marTop w:val="0"/>
      <w:marBottom w:val="0"/>
      <w:divBdr>
        <w:top w:val="none" w:sz="0" w:space="0" w:color="auto"/>
        <w:left w:val="none" w:sz="0" w:space="0" w:color="auto"/>
        <w:bottom w:val="none" w:sz="0" w:space="0" w:color="auto"/>
        <w:right w:val="none" w:sz="0" w:space="0" w:color="auto"/>
      </w:divBdr>
    </w:div>
    <w:div w:id="743720603">
      <w:bodyDiv w:val="1"/>
      <w:marLeft w:val="0"/>
      <w:marRight w:val="0"/>
      <w:marTop w:val="0"/>
      <w:marBottom w:val="0"/>
      <w:divBdr>
        <w:top w:val="none" w:sz="0" w:space="0" w:color="auto"/>
        <w:left w:val="none" w:sz="0" w:space="0" w:color="auto"/>
        <w:bottom w:val="none" w:sz="0" w:space="0" w:color="auto"/>
        <w:right w:val="none" w:sz="0" w:space="0" w:color="auto"/>
      </w:divBdr>
    </w:div>
    <w:div w:id="761224885">
      <w:bodyDiv w:val="1"/>
      <w:marLeft w:val="0"/>
      <w:marRight w:val="0"/>
      <w:marTop w:val="0"/>
      <w:marBottom w:val="0"/>
      <w:divBdr>
        <w:top w:val="none" w:sz="0" w:space="0" w:color="auto"/>
        <w:left w:val="none" w:sz="0" w:space="0" w:color="auto"/>
        <w:bottom w:val="none" w:sz="0" w:space="0" w:color="auto"/>
        <w:right w:val="none" w:sz="0" w:space="0" w:color="auto"/>
      </w:divBdr>
    </w:div>
    <w:div w:id="766729779">
      <w:bodyDiv w:val="1"/>
      <w:marLeft w:val="0"/>
      <w:marRight w:val="0"/>
      <w:marTop w:val="0"/>
      <w:marBottom w:val="0"/>
      <w:divBdr>
        <w:top w:val="none" w:sz="0" w:space="0" w:color="auto"/>
        <w:left w:val="none" w:sz="0" w:space="0" w:color="auto"/>
        <w:bottom w:val="none" w:sz="0" w:space="0" w:color="auto"/>
        <w:right w:val="none" w:sz="0" w:space="0" w:color="auto"/>
      </w:divBdr>
    </w:div>
    <w:div w:id="769155256">
      <w:bodyDiv w:val="1"/>
      <w:marLeft w:val="0"/>
      <w:marRight w:val="0"/>
      <w:marTop w:val="0"/>
      <w:marBottom w:val="0"/>
      <w:divBdr>
        <w:top w:val="none" w:sz="0" w:space="0" w:color="auto"/>
        <w:left w:val="none" w:sz="0" w:space="0" w:color="auto"/>
        <w:bottom w:val="none" w:sz="0" w:space="0" w:color="auto"/>
        <w:right w:val="none" w:sz="0" w:space="0" w:color="auto"/>
      </w:divBdr>
    </w:div>
    <w:div w:id="770048421">
      <w:bodyDiv w:val="1"/>
      <w:marLeft w:val="0"/>
      <w:marRight w:val="0"/>
      <w:marTop w:val="0"/>
      <w:marBottom w:val="0"/>
      <w:divBdr>
        <w:top w:val="none" w:sz="0" w:space="0" w:color="auto"/>
        <w:left w:val="none" w:sz="0" w:space="0" w:color="auto"/>
        <w:bottom w:val="none" w:sz="0" w:space="0" w:color="auto"/>
        <w:right w:val="none" w:sz="0" w:space="0" w:color="auto"/>
      </w:divBdr>
    </w:div>
    <w:div w:id="770901483">
      <w:bodyDiv w:val="1"/>
      <w:marLeft w:val="0"/>
      <w:marRight w:val="0"/>
      <w:marTop w:val="0"/>
      <w:marBottom w:val="0"/>
      <w:divBdr>
        <w:top w:val="none" w:sz="0" w:space="0" w:color="auto"/>
        <w:left w:val="none" w:sz="0" w:space="0" w:color="auto"/>
        <w:bottom w:val="none" w:sz="0" w:space="0" w:color="auto"/>
        <w:right w:val="none" w:sz="0" w:space="0" w:color="auto"/>
      </w:divBdr>
    </w:div>
    <w:div w:id="772212320">
      <w:bodyDiv w:val="1"/>
      <w:marLeft w:val="0"/>
      <w:marRight w:val="0"/>
      <w:marTop w:val="0"/>
      <w:marBottom w:val="0"/>
      <w:divBdr>
        <w:top w:val="none" w:sz="0" w:space="0" w:color="auto"/>
        <w:left w:val="none" w:sz="0" w:space="0" w:color="auto"/>
        <w:bottom w:val="none" w:sz="0" w:space="0" w:color="auto"/>
        <w:right w:val="none" w:sz="0" w:space="0" w:color="auto"/>
      </w:divBdr>
    </w:div>
    <w:div w:id="778910574">
      <w:bodyDiv w:val="1"/>
      <w:marLeft w:val="0"/>
      <w:marRight w:val="0"/>
      <w:marTop w:val="0"/>
      <w:marBottom w:val="0"/>
      <w:divBdr>
        <w:top w:val="none" w:sz="0" w:space="0" w:color="auto"/>
        <w:left w:val="none" w:sz="0" w:space="0" w:color="auto"/>
        <w:bottom w:val="none" w:sz="0" w:space="0" w:color="auto"/>
        <w:right w:val="none" w:sz="0" w:space="0" w:color="auto"/>
      </w:divBdr>
    </w:div>
    <w:div w:id="779380412">
      <w:bodyDiv w:val="1"/>
      <w:marLeft w:val="0"/>
      <w:marRight w:val="0"/>
      <w:marTop w:val="0"/>
      <w:marBottom w:val="0"/>
      <w:divBdr>
        <w:top w:val="none" w:sz="0" w:space="0" w:color="auto"/>
        <w:left w:val="none" w:sz="0" w:space="0" w:color="auto"/>
        <w:bottom w:val="none" w:sz="0" w:space="0" w:color="auto"/>
        <w:right w:val="none" w:sz="0" w:space="0" w:color="auto"/>
      </w:divBdr>
    </w:div>
    <w:div w:id="786508729">
      <w:bodyDiv w:val="1"/>
      <w:marLeft w:val="0"/>
      <w:marRight w:val="0"/>
      <w:marTop w:val="0"/>
      <w:marBottom w:val="0"/>
      <w:divBdr>
        <w:top w:val="none" w:sz="0" w:space="0" w:color="auto"/>
        <w:left w:val="none" w:sz="0" w:space="0" w:color="auto"/>
        <w:bottom w:val="none" w:sz="0" w:space="0" w:color="auto"/>
        <w:right w:val="none" w:sz="0" w:space="0" w:color="auto"/>
      </w:divBdr>
    </w:div>
    <w:div w:id="786654855">
      <w:bodyDiv w:val="1"/>
      <w:marLeft w:val="0"/>
      <w:marRight w:val="0"/>
      <w:marTop w:val="0"/>
      <w:marBottom w:val="0"/>
      <w:divBdr>
        <w:top w:val="none" w:sz="0" w:space="0" w:color="auto"/>
        <w:left w:val="none" w:sz="0" w:space="0" w:color="auto"/>
        <w:bottom w:val="none" w:sz="0" w:space="0" w:color="auto"/>
        <w:right w:val="none" w:sz="0" w:space="0" w:color="auto"/>
      </w:divBdr>
    </w:div>
    <w:div w:id="790167695">
      <w:bodyDiv w:val="1"/>
      <w:marLeft w:val="0"/>
      <w:marRight w:val="0"/>
      <w:marTop w:val="0"/>
      <w:marBottom w:val="0"/>
      <w:divBdr>
        <w:top w:val="none" w:sz="0" w:space="0" w:color="auto"/>
        <w:left w:val="none" w:sz="0" w:space="0" w:color="auto"/>
        <w:bottom w:val="none" w:sz="0" w:space="0" w:color="auto"/>
        <w:right w:val="none" w:sz="0" w:space="0" w:color="auto"/>
      </w:divBdr>
    </w:div>
    <w:div w:id="795175914">
      <w:bodyDiv w:val="1"/>
      <w:marLeft w:val="0"/>
      <w:marRight w:val="0"/>
      <w:marTop w:val="0"/>
      <w:marBottom w:val="0"/>
      <w:divBdr>
        <w:top w:val="none" w:sz="0" w:space="0" w:color="auto"/>
        <w:left w:val="none" w:sz="0" w:space="0" w:color="auto"/>
        <w:bottom w:val="none" w:sz="0" w:space="0" w:color="auto"/>
        <w:right w:val="none" w:sz="0" w:space="0" w:color="auto"/>
      </w:divBdr>
    </w:div>
    <w:div w:id="797914081">
      <w:bodyDiv w:val="1"/>
      <w:marLeft w:val="0"/>
      <w:marRight w:val="0"/>
      <w:marTop w:val="0"/>
      <w:marBottom w:val="0"/>
      <w:divBdr>
        <w:top w:val="none" w:sz="0" w:space="0" w:color="auto"/>
        <w:left w:val="none" w:sz="0" w:space="0" w:color="auto"/>
        <w:bottom w:val="none" w:sz="0" w:space="0" w:color="auto"/>
        <w:right w:val="none" w:sz="0" w:space="0" w:color="auto"/>
      </w:divBdr>
    </w:div>
    <w:div w:id="798035898">
      <w:bodyDiv w:val="1"/>
      <w:marLeft w:val="0"/>
      <w:marRight w:val="0"/>
      <w:marTop w:val="0"/>
      <w:marBottom w:val="0"/>
      <w:divBdr>
        <w:top w:val="none" w:sz="0" w:space="0" w:color="auto"/>
        <w:left w:val="none" w:sz="0" w:space="0" w:color="auto"/>
        <w:bottom w:val="none" w:sz="0" w:space="0" w:color="auto"/>
        <w:right w:val="none" w:sz="0" w:space="0" w:color="auto"/>
      </w:divBdr>
    </w:div>
    <w:div w:id="802043718">
      <w:bodyDiv w:val="1"/>
      <w:marLeft w:val="0"/>
      <w:marRight w:val="0"/>
      <w:marTop w:val="0"/>
      <w:marBottom w:val="0"/>
      <w:divBdr>
        <w:top w:val="none" w:sz="0" w:space="0" w:color="auto"/>
        <w:left w:val="none" w:sz="0" w:space="0" w:color="auto"/>
        <w:bottom w:val="none" w:sz="0" w:space="0" w:color="auto"/>
        <w:right w:val="none" w:sz="0" w:space="0" w:color="auto"/>
      </w:divBdr>
    </w:div>
    <w:div w:id="804812918">
      <w:bodyDiv w:val="1"/>
      <w:marLeft w:val="0"/>
      <w:marRight w:val="0"/>
      <w:marTop w:val="0"/>
      <w:marBottom w:val="0"/>
      <w:divBdr>
        <w:top w:val="none" w:sz="0" w:space="0" w:color="auto"/>
        <w:left w:val="none" w:sz="0" w:space="0" w:color="auto"/>
        <w:bottom w:val="none" w:sz="0" w:space="0" w:color="auto"/>
        <w:right w:val="none" w:sz="0" w:space="0" w:color="auto"/>
      </w:divBdr>
    </w:div>
    <w:div w:id="807017413">
      <w:bodyDiv w:val="1"/>
      <w:marLeft w:val="0"/>
      <w:marRight w:val="0"/>
      <w:marTop w:val="0"/>
      <w:marBottom w:val="0"/>
      <w:divBdr>
        <w:top w:val="none" w:sz="0" w:space="0" w:color="auto"/>
        <w:left w:val="none" w:sz="0" w:space="0" w:color="auto"/>
        <w:bottom w:val="none" w:sz="0" w:space="0" w:color="auto"/>
        <w:right w:val="none" w:sz="0" w:space="0" w:color="auto"/>
      </w:divBdr>
    </w:div>
    <w:div w:id="808015834">
      <w:bodyDiv w:val="1"/>
      <w:marLeft w:val="0"/>
      <w:marRight w:val="0"/>
      <w:marTop w:val="0"/>
      <w:marBottom w:val="0"/>
      <w:divBdr>
        <w:top w:val="none" w:sz="0" w:space="0" w:color="auto"/>
        <w:left w:val="none" w:sz="0" w:space="0" w:color="auto"/>
        <w:bottom w:val="none" w:sz="0" w:space="0" w:color="auto"/>
        <w:right w:val="none" w:sz="0" w:space="0" w:color="auto"/>
      </w:divBdr>
    </w:div>
    <w:div w:id="820119591">
      <w:bodyDiv w:val="1"/>
      <w:marLeft w:val="0"/>
      <w:marRight w:val="0"/>
      <w:marTop w:val="0"/>
      <w:marBottom w:val="0"/>
      <w:divBdr>
        <w:top w:val="none" w:sz="0" w:space="0" w:color="auto"/>
        <w:left w:val="none" w:sz="0" w:space="0" w:color="auto"/>
        <w:bottom w:val="none" w:sz="0" w:space="0" w:color="auto"/>
        <w:right w:val="none" w:sz="0" w:space="0" w:color="auto"/>
      </w:divBdr>
    </w:div>
    <w:div w:id="828441232">
      <w:bodyDiv w:val="1"/>
      <w:marLeft w:val="0"/>
      <w:marRight w:val="0"/>
      <w:marTop w:val="0"/>
      <w:marBottom w:val="0"/>
      <w:divBdr>
        <w:top w:val="none" w:sz="0" w:space="0" w:color="auto"/>
        <w:left w:val="none" w:sz="0" w:space="0" w:color="auto"/>
        <w:bottom w:val="none" w:sz="0" w:space="0" w:color="auto"/>
        <w:right w:val="none" w:sz="0" w:space="0" w:color="auto"/>
      </w:divBdr>
    </w:div>
    <w:div w:id="828911613">
      <w:bodyDiv w:val="1"/>
      <w:marLeft w:val="0"/>
      <w:marRight w:val="0"/>
      <w:marTop w:val="0"/>
      <w:marBottom w:val="0"/>
      <w:divBdr>
        <w:top w:val="none" w:sz="0" w:space="0" w:color="auto"/>
        <w:left w:val="none" w:sz="0" w:space="0" w:color="auto"/>
        <w:bottom w:val="none" w:sz="0" w:space="0" w:color="auto"/>
        <w:right w:val="none" w:sz="0" w:space="0" w:color="auto"/>
      </w:divBdr>
    </w:div>
    <w:div w:id="831339036">
      <w:bodyDiv w:val="1"/>
      <w:marLeft w:val="0"/>
      <w:marRight w:val="0"/>
      <w:marTop w:val="0"/>
      <w:marBottom w:val="0"/>
      <w:divBdr>
        <w:top w:val="none" w:sz="0" w:space="0" w:color="auto"/>
        <w:left w:val="none" w:sz="0" w:space="0" w:color="auto"/>
        <w:bottom w:val="none" w:sz="0" w:space="0" w:color="auto"/>
        <w:right w:val="none" w:sz="0" w:space="0" w:color="auto"/>
      </w:divBdr>
    </w:div>
    <w:div w:id="833179307">
      <w:bodyDiv w:val="1"/>
      <w:marLeft w:val="0"/>
      <w:marRight w:val="0"/>
      <w:marTop w:val="0"/>
      <w:marBottom w:val="0"/>
      <w:divBdr>
        <w:top w:val="none" w:sz="0" w:space="0" w:color="auto"/>
        <w:left w:val="none" w:sz="0" w:space="0" w:color="auto"/>
        <w:bottom w:val="none" w:sz="0" w:space="0" w:color="auto"/>
        <w:right w:val="none" w:sz="0" w:space="0" w:color="auto"/>
      </w:divBdr>
    </w:div>
    <w:div w:id="834145989">
      <w:bodyDiv w:val="1"/>
      <w:marLeft w:val="0"/>
      <w:marRight w:val="0"/>
      <w:marTop w:val="0"/>
      <w:marBottom w:val="0"/>
      <w:divBdr>
        <w:top w:val="none" w:sz="0" w:space="0" w:color="auto"/>
        <w:left w:val="none" w:sz="0" w:space="0" w:color="auto"/>
        <w:bottom w:val="none" w:sz="0" w:space="0" w:color="auto"/>
        <w:right w:val="none" w:sz="0" w:space="0" w:color="auto"/>
      </w:divBdr>
    </w:div>
    <w:div w:id="834805230">
      <w:bodyDiv w:val="1"/>
      <w:marLeft w:val="0"/>
      <w:marRight w:val="0"/>
      <w:marTop w:val="0"/>
      <w:marBottom w:val="0"/>
      <w:divBdr>
        <w:top w:val="none" w:sz="0" w:space="0" w:color="auto"/>
        <w:left w:val="none" w:sz="0" w:space="0" w:color="auto"/>
        <w:bottom w:val="none" w:sz="0" w:space="0" w:color="auto"/>
        <w:right w:val="none" w:sz="0" w:space="0" w:color="auto"/>
      </w:divBdr>
      <w:divsChild>
        <w:div w:id="1523474944">
          <w:marLeft w:val="547"/>
          <w:marRight w:val="0"/>
          <w:marTop w:val="288"/>
          <w:marBottom w:val="0"/>
          <w:divBdr>
            <w:top w:val="none" w:sz="0" w:space="0" w:color="auto"/>
            <w:left w:val="none" w:sz="0" w:space="0" w:color="auto"/>
            <w:bottom w:val="none" w:sz="0" w:space="0" w:color="auto"/>
            <w:right w:val="none" w:sz="0" w:space="0" w:color="auto"/>
          </w:divBdr>
        </w:div>
      </w:divsChild>
    </w:div>
    <w:div w:id="838888126">
      <w:bodyDiv w:val="1"/>
      <w:marLeft w:val="0"/>
      <w:marRight w:val="0"/>
      <w:marTop w:val="0"/>
      <w:marBottom w:val="0"/>
      <w:divBdr>
        <w:top w:val="none" w:sz="0" w:space="0" w:color="auto"/>
        <w:left w:val="none" w:sz="0" w:space="0" w:color="auto"/>
        <w:bottom w:val="none" w:sz="0" w:space="0" w:color="auto"/>
        <w:right w:val="none" w:sz="0" w:space="0" w:color="auto"/>
      </w:divBdr>
    </w:div>
    <w:div w:id="843711045">
      <w:bodyDiv w:val="1"/>
      <w:marLeft w:val="0"/>
      <w:marRight w:val="0"/>
      <w:marTop w:val="0"/>
      <w:marBottom w:val="0"/>
      <w:divBdr>
        <w:top w:val="none" w:sz="0" w:space="0" w:color="auto"/>
        <w:left w:val="none" w:sz="0" w:space="0" w:color="auto"/>
        <w:bottom w:val="none" w:sz="0" w:space="0" w:color="auto"/>
        <w:right w:val="none" w:sz="0" w:space="0" w:color="auto"/>
      </w:divBdr>
    </w:div>
    <w:div w:id="853032420">
      <w:bodyDiv w:val="1"/>
      <w:marLeft w:val="0"/>
      <w:marRight w:val="0"/>
      <w:marTop w:val="0"/>
      <w:marBottom w:val="0"/>
      <w:divBdr>
        <w:top w:val="none" w:sz="0" w:space="0" w:color="auto"/>
        <w:left w:val="none" w:sz="0" w:space="0" w:color="auto"/>
        <w:bottom w:val="none" w:sz="0" w:space="0" w:color="auto"/>
        <w:right w:val="none" w:sz="0" w:space="0" w:color="auto"/>
      </w:divBdr>
    </w:div>
    <w:div w:id="864826883">
      <w:bodyDiv w:val="1"/>
      <w:marLeft w:val="0"/>
      <w:marRight w:val="0"/>
      <w:marTop w:val="0"/>
      <w:marBottom w:val="0"/>
      <w:divBdr>
        <w:top w:val="none" w:sz="0" w:space="0" w:color="auto"/>
        <w:left w:val="none" w:sz="0" w:space="0" w:color="auto"/>
        <w:bottom w:val="none" w:sz="0" w:space="0" w:color="auto"/>
        <w:right w:val="none" w:sz="0" w:space="0" w:color="auto"/>
      </w:divBdr>
    </w:div>
    <w:div w:id="867836719">
      <w:bodyDiv w:val="1"/>
      <w:marLeft w:val="0"/>
      <w:marRight w:val="0"/>
      <w:marTop w:val="0"/>
      <w:marBottom w:val="0"/>
      <w:divBdr>
        <w:top w:val="none" w:sz="0" w:space="0" w:color="auto"/>
        <w:left w:val="none" w:sz="0" w:space="0" w:color="auto"/>
        <w:bottom w:val="none" w:sz="0" w:space="0" w:color="auto"/>
        <w:right w:val="none" w:sz="0" w:space="0" w:color="auto"/>
      </w:divBdr>
    </w:div>
    <w:div w:id="869532878">
      <w:bodyDiv w:val="1"/>
      <w:marLeft w:val="0"/>
      <w:marRight w:val="0"/>
      <w:marTop w:val="0"/>
      <w:marBottom w:val="0"/>
      <w:divBdr>
        <w:top w:val="none" w:sz="0" w:space="0" w:color="auto"/>
        <w:left w:val="none" w:sz="0" w:space="0" w:color="auto"/>
        <w:bottom w:val="none" w:sz="0" w:space="0" w:color="auto"/>
        <w:right w:val="none" w:sz="0" w:space="0" w:color="auto"/>
      </w:divBdr>
    </w:div>
    <w:div w:id="871646561">
      <w:bodyDiv w:val="1"/>
      <w:marLeft w:val="0"/>
      <w:marRight w:val="0"/>
      <w:marTop w:val="0"/>
      <w:marBottom w:val="0"/>
      <w:divBdr>
        <w:top w:val="none" w:sz="0" w:space="0" w:color="auto"/>
        <w:left w:val="none" w:sz="0" w:space="0" w:color="auto"/>
        <w:bottom w:val="none" w:sz="0" w:space="0" w:color="auto"/>
        <w:right w:val="none" w:sz="0" w:space="0" w:color="auto"/>
      </w:divBdr>
    </w:div>
    <w:div w:id="874580670">
      <w:bodyDiv w:val="1"/>
      <w:marLeft w:val="0"/>
      <w:marRight w:val="0"/>
      <w:marTop w:val="0"/>
      <w:marBottom w:val="0"/>
      <w:divBdr>
        <w:top w:val="none" w:sz="0" w:space="0" w:color="auto"/>
        <w:left w:val="none" w:sz="0" w:space="0" w:color="auto"/>
        <w:bottom w:val="none" w:sz="0" w:space="0" w:color="auto"/>
        <w:right w:val="none" w:sz="0" w:space="0" w:color="auto"/>
      </w:divBdr>
    </w:div>
    <w:div w:id="878400733">
      <w:bodyDiv w:val="1"/>
      <w:marLeft w:val="0"/>
      <w:marRight w:val="0"/>
      <w:marTop w:val="0"/>
      <w:marBottom w:val="0"/>
      <w:divBdr>
        <w:top w:val="none" w:sz="0" w:space="0" w:color="auto"/>
        <w:left w:val="none" w:sz="0" w:space="0" w:color="auto"/>
        <w:bottom w:val="none" w:sz="0" w:space="0" w:color="auto"/>
        <w:right w:val="none" w:sz="0" w:space="0" w:color="auto"/>
      </w:divBdr>
    </w:div>
    <w:div w:id="879129345">
      <w:bodyDiv w:val="1"/>
      <w:marLeft w:val="0"/>
      <w:marRight w:val="0"/>
      <w:marTop w:val="0"/>
      <w:marBottom w:val="0"/>
      <w:divBdr>
        <w:top w:val="none" w:sz="0" w:space="0" w:color="auto"/>
        <w:left w:val="none" w:sz="0" w:space="0" w:color="auto"/>
        <w:bottom w:val="none" w:sz="0" w:space="0" w:color="auto"/>
        <w:right w:val="none" w:sz="0" w:space="0" w:color="auto"/>
      </w:divBdr>
    </w:div>
    <w:div w:id="879899340">
      <w:bodyDiv w:val="1"/>
      <w:marLeft w:val="0"/>
      <w:marRight w:val="0"/>
      <w:marTop w:val="0"/>
      <w:marBottom w:val="0"/>
      <w:divBdr>
        <w:top w:val="none" w:sz="0" w:space="0" w:color="auto"/>
        <w:left w:val="none" w:sz="0" w:space="0" w:color="auto"/>
        <w:bottom w:val="none" w:sz="0" w:space="0" w:color="auto"/>
        <w:right w:val="none" w:sz="0" w:space="0" w:color="auto"/>
      </w:divBdr>
    </w:div>
    <w:div w:id="881867679">
      <w:bodyDiv w:val="1"/>
      <w:marLeft w:val="0"/>
      <w:marRight w:val="0"/>
      <w:marTop w:val="0"/>
      <w:marBottom w:val="0"/>
      <w:divBdr>
        <w:top w:val="none" w:sz="0" w:space="0" w:color="auto"/>
        <w:left w:val="none" w:sz="0" w:space="0" w:color="auto"/>
        <w:bottom w:val="none" w:sz="0" w:space="0" w:color="auto"/>
        <w:right w:val="none" w:sz="0" w:space="0" w:color="auto"/>
      </w:divBdr>
    </w:div>
    <w:div w:id="885916708">
      <w:bodyDiv w:val="1"/>
      <w:marLeft w:val="0"/>
      <w:marRight w:val="0"/>
      <w:marTop w:val="0"/>
      <w:marBottom w:val="0"/>
      <w:divBdr>
        <w:top w:val="none" w:sz="0" w:space="0" w:color="auto"/>
        <w:left w:val="none" w:sz="0" w:space="0" w:color="auto"/>
        <w:bottom w:val="none" w:sz="0" w:space="0" w:color="auto"/>
        <w:right w:val="none" w:sz="0" w:space="0" w:color="auto"/>
      </w:divBdr>
    </w:div>
    <w:div w:id="896933905">
      <w:bodyDiv w:val="1"/>
      <w:marLeft w:val="0"/>
      <w:marRight w:val="0"/>
      <w:marTop w:val="0"/>
      <w:marBottom w:val="0"/>
      <w:divBdr>
        <w:top w:val="none" w:sz="0" w:space="0" w:color="auto"/>
        <w:left w:val="none" w:sz="0" w:space="0" w:color="auto"/>
        <w:bottom w:val="none" w:sz="0" w:space="0" w:color="auto"/>
        <w:right w:val="none" w:sz="0" w:space="0" w:color="auto"/>
      </w:divBdr>
    </w:div>
    <w:div w:id="898438059">
      <w:bodyDiv w:val="1"/>
      <w:marLeft w:val="0"/>
      <w:marRight w:val="0"/>
      <w:marTop w:val="0"/>
      <w:marBottom w:val="0"/>
      <w:divBdr>
        <w:top w:val="none" w:sz="0" w:space="0" w:color="auto"/>
        <w:left w:val="none" w:sz="0" w:space="0" w:color="auto"/>
        <w:bottom w:val="none" w:sz="0" w:space="0" w:color="auto"/>
        <w:right w:val="none" w:sz="0" w:space="0" w:color="auto"/>
      </w:divBdr>
    </w:div>
    <w:div w:id="899440657">
      <w:bodyDiv w:val="1"/>
      <w:marLeft w:val="0"/>
      <w:marRight w:val="0"/>
      <w:marTop w:val="0"/>
      <w:marBottom w:val="0"/>
      <w:divBdr>
        <w:top w:val="none" w:sz="0" w:space="0" w:color="auto"/>
        <w:left w:val="none" w:sz="0" w:space="0" w:color="auto"/>
        <w:bottom w:val="none" w:sz="0" w:space="0" w:color="auto"/>
        <w:right w:val="none" w:sz="0" w:space="0" w:color="auto"/>
      </w:divBdr>
    </w:div>
    <w:div w:id="904292461">
      <w:bodyDiv w:val="1"/>
      <w:marLeft w:val="0"/>
      <w:marRight w:val="0"/>
      <w:marTop w:val="0"/>
      <w:marBottom w:val="0"/>
      <w:divBdr>
        <w:top w:val="none" w:sz="0" w:space="0" w:color="auto"/>
        <w:left w:val="none" w:sz="0" w:space="0" w:color="auto"/>
        <w:bottom w:val="none" w:sz="0" w:space="0" w:color="auto"/>
        <w:right w:val="none" w:sz="0" w:space="0" w:color="auto"/>
      </w:divBdr>
    </w:div>
    <w:div w:id="911817149">
      <w:bodyDiv w:val="1"/>
      <w:marLeft w:val="0"/>
      <w:marRight w:val="0"/>
      <w:marTop w:val="0"/>
      <w:marBottom w:val="0"/>
      <w:divBdr>
        <w:top w:val="none" w:sz="0" w:space="0" w:color="auto"/>
        <w:left w:val="none" w:sz="0" w:space="0" w:color="auto"/>
        <w:bottom w:val="none" w:sz="0" w:space="0" w:color="auto"/>
        <w:right w:val="none" w:sz="0" w:space="0" w:color="auto"/>
      </w:divBdr>
    </w:div>
    <w:div w:id="914821813">
      <w:bodyDiv w:val="1"/>
      <w:marLeft w:val="0"/>
      <w:marRight w:val="0"/>
      <w:marTop w:val="0"/>
      <w:marBottom w:val="0"/>
      <w:divBdr>
        <w:top w:val="none" w:sz="0" w:space="0" w:color="auto"/>
        <w:left w:val="none" w:sz="0" w:space="0" w:color="auto"/>
        <w:bottom w:val="none" w:sz="0" w:space="0" w:color="auto"/>
        <w:right w:val="none" w:sz="0" w:space="0" w:color="auto"/>
      </w:divBdr>
    </w:div>
    <w:div w:id="921455658">
      <w:bodyDiv w:val="1"/>
      <w:marLeft w:val="0"/>
      <w:marRight w:val="0"/>
      <w:marTop w:val="0"/>
      <w:marBottom w:val="0"/>
      <w:divBdr>
        <w:top w:val="none" w:sz="0" w:space="0" w:color="auto"/>
        <w:left w:val="none" w:sz="0" w:space="0" w:color="auto"/>
        <w:bottom w:val="none" w:sz="0" w:space="0" w:color="auto"/>
        <w:right w:val="none" w:sz="0" w:space="0" w:color="auto"/>
      </w:divBdr>
    </w:div>
    <w:div w:id="925385129">
      <w:bodyDiv w:val="1"/>
      <w:marLeft w:val="0"/>
      <w:marRight w:val="0"/>
      <w:marTop w:val="0"/>
      <w:marBottom w:val="0"/>
      <w:divBdr>
        <w:top w:val="none" w:sz="0" w:space="0" w:color="auto"/>
        <w:left w:val="none" w:sz="0" w:space="0" w:color="auto"/>
        <w:bottom w:val="none" w:sz="0" w:space="0" w:color="auto"/>
        <w:right w:val="none" w:sz="0" w:space="0" w:color="auto"/>
      </w:divBdr>
    </w:div>
    <w:div w:id="925500081">
      <w:bodyDiv w:val="1"/>
      <w:marLeft w:val="0"/>
      <w:marRight w:val="0"/>
      <w:marTop w:val="0"/>
      <w:marBottom w:val="0"/>
      <w:divBdr>
        <w:top w:val="none" w:sz="0" w:space="0" w:color="auto"/>
        <w:left w:val="none" w:sz="0" w:space="0" w:color="auto"/>
        <w:bottom w:val="none" w:sz="0" w:space="0" w:color="auto"/>
        <w:right w:val="none" w:sz="0" w:space="0" w:color="auto"/>
      </w:divBdr>
    </w:div>
    <w:div w:id="927812236">
      <w:bodyDiv w:val="1"/>
      <w:marLeft w:val="0"/>
      <w:marRight w:val="0"/>
      <w:marTop w:val="0"/>
      <w:marBottom w:val="0"/>
      <w:divBdr>
        <w:top w:val="none" w:sz="0" w:space="0" w:color="auto"/>
        <w:left w:val="none" w:sz="0" w:space="0" w:color="auto"/>
        <w:bottom w:val="none" w:sz="0" w:space="0" w:color="auto"/>
        <w:right w:val="none" w:sz="0" w:space="0" w:color="auto"/>
      </w:divBdr>
      <w:divsChild>
        <w:div w:id="1303732843">
          <w:marLeft w:val="0"/>
          <w:marRight w:val="0"/>
          <w:marTop w:val="0"/>
          <w:marBottom w:val="0"/>
          <w:divBdr>
            <w:top w:val="none" w:sz="0" w:space="0" w:color="auto"/>
            <w:left w:val="none" w:sz="0" w:space="0" w:color="auto"/>
            <w:bottom w:val="none" w:sz="0" w:space="0" w:color="auto"/>
            <w:right w:val="none" w:sz="0" w:space="0" w:color="auto"/>
          </w:divBdr>
        </w:div>
      </w:divsChild>
    </w:div>
    <w:div w:id="935207083">
      <w:bodyDiv w:val="1"/>
      <w:marLeft w:val="0"/>
      <w:marRight w:val="0"/>
      <w:marTop w:val="0"/>
      <w:marBottom w:val="0"/>
      <w:divBdr>
        <w:top w:val="none" w:sz="0" w:space="0" w:color="auto"/>
        <w:left w:val="none" w:sz="0" w:space="0" w:color="auto"/>
        <w:bottom w:val="none" w:sz="0" w:space="0" w:color="auto"/>
        <w:right w:val="none" w:sz="0" w:space="0" w:color="auto"/>
      </w:divBdr>
    </w:div>
    <w:div w:id="936131765">
      <w:bodyDiv w:val="1"/>
      <w:marLeft w:val="0"/>
      <w:marRight w:val="0"/>
      <w:marTop w:val="0"/>
      <w:marBottom w:val="0"/>
      <w:divBdr>
        <w:top w:val="none" w:sz="0" w:space="0" w:color="auto"/>
        <w:left w:val="none" w:sz="0" w:space="0" w:color="auto"/>
        <w:bottom w:val="none" w:sz="0" w:space="0" w:color="auto"/>
        <w:right w:val="none" w:sz="0" w:space="0" w:color="auto"/>
      </w:divBdr>
    </w:div>
    <w:div w:id="936519651">
      <w:bodyDiv w:val="1"/>
      <w:marLeft w:val="0"/>
      <w:marRight w:val="0"/>
      <w:marTop w:val="0"/>
      <w:marBottom w:val="0"/>
      <w:divBdr>
        <w:top w:val="none" w:sz="0" w:space="0" w:color="auto"/>
        <w:left w:val="none" w:sz="0" w:space="0" w:color="auto"/>
        <w:bottom w:val="none" w:sz="0" w:space="0" w:color="auto"/>
        <w:right w:val="none" w:sz="0" w:space="0" w:color="auto"/>
      </w:divBdr>
    </w:div>
    <w:div w:id="937905722">
      <w:bodyDiv w:val="1"/>
      <w:marLeft w:val="0"/>
      <w:marRight w:val="0"/>
      <w:marTop w:val="0"/>
      <w:marBottom w:val="0"/>
      <w:divBdr>
        <w:top w:val="none" w:sz="0" w:space="0" w:color="auto"/>
        <w:left w:val="none" w:sz="0" w:space="0" w:color="auto"/>
        <w:bottom w:val="none" w:sz="0" w:space="0" w:color="auto"/>
        <w:right w:val="none" w:sz="0" w:space="0" w:color="auto"/>
      </w:divBdr>
    </w:div>
    <w:div w:id="937954101">
      <w:bodyDiv w:val="1"/>
      <w:marLeft w:val="0"/>
      <w:marRight w:val="0"/>
      <w:marTop w:val="0"/>
      <w:marBottom w:val="0"/>
      <w:divBdr>
        <w:top w:val="none" w:sz="0" w:space="0" w:color="auto"/>
        <w:left w:val="none" w:sz="0" w:space="0" w:color="auto"/>
        <w:bottom w:val="none" w:sz="0" w:space="0" w:color="auto"/>
        <w:right w:val="none" w:sz="0" w:space="0" w:color="auto"/>
      </w:divBdr>
    </w:div>
    <w:div w:id="941954483">
      <w:bodyDiv w:val="1"/>
      <w:marLeft w:val="0"/>
      <w:marRight w:val="0"/>
      <w:marTop w:val="0"/>
      <w:marBottom w:val="0"/>
      <w:divBdr>
        <w:top w:val="none" w:sz="0" w:space="0" w:color="auto"/>
        <w:left w:val="none" w:sz="0" w:space="0" w:color="auto"/>
        <w:bottom w:val="none" w:sz="0" w:space="0" w:color="auto"/>
        <w:right w:val="none" w:sz="0" w:space="0" w:color="auto"/>
      </w:divBdr>
    </w:div>
    <w:div w:id="949816425">
      <w:bodyDiv w:val="1"/>
      <w:marLeft w:val="0"/>
      <w:marRight w:val="0"/>
      <w:marTop w:val="0"/>
      <w:marBottom w:val="0"/>
      <w:divBdr>
        <w:top w:val="none" w:sz="0" w:space="0" w:color="auto"/>
        <w:left w:val="none" w:sz="0" w:space="0" w:color="auto"/>
        <w:bottom w:val="none" w:sz="0" w:space="0" w:color="auto"/>
        <w:right w:val="none" w:sz="0" w:space="0" w:color="auto"/>
      </w:divBdr>
    </w:div>
    <w:div w:id="951013145">
      <w:bodyDiv w:val="1"/>
      <w:marLeft w:val="0"/>
      <w:marRight w:val="0"/>
      <w:marTop w:val="0"/>
      <w:marBottom w:val="0"/>
      <w:divBdr>
        <w:top w:val="none" w:sz="0" w:space="0" w:color="auto"/>
        <w:left w:val="none" w:sz="0" w:space="0" w:color="auto"/>
        <w:bottom w:val="none" w:sz="0" w:space="0" w:color="auto"/>
        <w:right w:val="none" w:sz="0" w:space="0" w:color="auto"/>
      </w:divBdr>
    </w:div>
    <w:div w:id="955023242">
      <w:bodyDiv w:val="1"/>
      <w:marLeft w:val="0"/>
      <w:marRight w:val="0"/>
      <w:marTop w:val="0"/>
      <w:marBottom w:val="0"/>
      <w:divBdr>
        <w:top w:val="none" w:sz="0" w:space="0" w:color="auto"/>
        <w:left w:val="none" w:sz="0" w:space="0" w:color="auto"/>
        <w:bottom w:val="none" w:sz="0" w:space="0" w:color="auto"/>
        <w:right w:val="none" w:sz="0" w:space="0" w:color="auto"/>
      </w:divBdr>
    </w:div>
    <w:div w:id="957953091">
      <w:bodyDiv w:val="1"/>
      <w:marLeft w:val="0"/>
      <w:marRight w:val="0"/>
      <w:marTop w:val="0"/>
      <w:marBottom w:val="0"/>
      <w:divBdr>
        <w:top w:val="none" w:sz="0" w:space="0" w:color="auto"/>
        <w:left w:val="none" w:sz="0" w:space="0" w:color="auto"/>
        <w:bottom w:val="none" w:sz="0" w:space="0" w:color="auto"/>
        <w:right w:val="none" w:sz="0" w:space="0" w:color="auto"/>
      </w:divBdr>
      <w:divsChild>
        <w:div w:id="5248332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1372324">
              <w:marLeft w:val="0"/>
              <w:marRight w:val="0"/>
              <w:marTop w:val="0"/>
              <w:marBottom w:val="0"/>
              <w:divBdr>
                <w:top w:val="none" w:sz="0" w:space="0" w:color="auto"/>
                <w:left w:val="none" w:sz="0" w:space="0" w:color="auto"/>
                <w:bottom w:val="none" w:sz="0" w:space="0" w:color="auto"/>
                <w:right w:val="none" w:sz="0" w:space="0" w:color="auto"/>
              </w:divBdr>
              <w:divsChild>
                <w:div w:id="12984138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965158408">
      <w:bodyDiv w:val="1"/>
      <w:marLeft w:val="0"/>
      <w:marRight w:val="0"/>
      <w:marTop w:val="0"/>
      <w:marBottom w:val="0"/>
      <w:divBdr>
        <w:top w:val="none" w:sz="0" w:space="0" w:color="auto"/>
        <w:left w:val="none" w:sz="0" w:space="0" w:color="auto"/>
        <w:bottom w:val="none" w:sz="0" w:space="0" w:color="auto"/>
        <w:right w:val="none" w:sz="0" w:space="0" w:color="auto"/>
      </w:divBdr>
    </w:div>
    <w:div w:id="970591630">
      <w:bodyDiv w:val="1"/>
      <w:marLeft w:val="0"/>
      <w:marRight w:val="0"/>
      <w:marTop w:val="0"/>
      <w:marBottom w:val="0"/>
      <w:divBdr>
        <w:top w:val="none" w:sz="0" w:space="0" w:color="auto"/>
        <w:left w:val="none" w:sz="0" w:space="0" w:color="auto"/>
        <w:bottom w:val="none" w:sz="0" w:space="0" w:color="auto"/>
        <w:right w:val="none" w:sz="0" w:space="0" w:color="auto"/>
      </w:divBdr>
    </w:div>
    <w:div w:id="971328969">
      <w:bodyDiv w:val="1"/>
      <w:marLeft w:val="0"/>
      <w:marRight w:val="0"/>
      <w:marTop w:val="0"/>
      <w:marBottom w:val="0"/>
      <w:divBdr>
        <w:top w:val="none" w:sz="0" w:space="0" w:color="auto"/>
        <w:left w:val="none" w:sz="0" w:space="0" w:color="auto"/>
        <w:bottom w:val="none" w:sz="0" w:space="0" w:color="auto"/>
        <w:right w:val="none" w:sz="0" w:space="0" w:color="auto"/>
      </w:divBdr>
    </w:div>
    <w:div w:id="976758918">
      <w:bodyDiv w:val="1"/>
      <w:marLeft w:val="0"/>
      <w:marRight w:val="0"/>
      <w:marTop w:val="0"/>
      <w:marBottom w:val="0"/>
      <w:divBdr>
        <w:top w:val="none" w:sz="0" w:space="0" w:color="auto"/>
        <w:left w:val="none" w:sz="0" w:space="0" w:color="auto"/>
        <w:bottom w:val="none" w:sz="0" w:space="0" w:color="auto"/>
        <w:right w:val="none" w:sz="0" w:space="0" w:color="auto"/>
      </w:divBdr>
    </w:div>
    <w:div w:id="983658994">
      <w:bodyDiv w:val="1"/>
      <w:marLeft w:val="0"/>
      <w:marRight w:val="0"/>
      <w:marTop w:val="0"/>
      <w:marBottom w:val="0"/>
      <w:divBdr>
        <w:top w:val="none" w:sz="0" w:space="0" w:color="auto"/>
        <w:left w:val="none" w:sz="0" w:space="0" w:color="auto"/>
        <w:bottom w:val="none" w:sz="0" w:space="0" w:color="auto"/>
        <w:right w:val="none" w:sz="0" w:space="0" w:color="auto"/>
      </w:divBdr>
    </w:div>
    <w:div w:id="984355390">
      <w:bodyDiv w:val="1"/>
      <w:marLeft w:val="0"/>
      <w:marRight w:val="0"/>
      <w:marTop w:val="0"/>
      <w:marBottom w:val="0"/>
      <w:divBdr>
        <w:top w:val="none" w:sz="0" w:space="0" w:color="auto"/>
        <w:left w:val="none" w:sz="0" w:space="0" w:color="auto"/>
        <w:bottom w:val="none" w:sz="0" w:space="0" w:color="auto"/>
        <w:right w:val="none" w:sz="0" w:space="0" w:color="auto"/>
      </w:divBdr>
    </w:div>
    <w:div w:id="984747410">
      <w:bodyDiv w:val="1"/>
      <w:marLeft w:val="0"/>
      <w:marRight w:val="0"/>
      <w:marTop w:val="0"/>
      <w:marBottom w:val="0"/>
      <w:divBdr>
        <w:top w:val="none" w:sz="0" w:space="0" w:color="auto"/>
        <w:left w:val="none" w:sz="0" w:space="0" w:color="auto"/>
        <w:bottom w:val="none" w:sz="0" w:space="0" w:color="auto"/>
        <w:right w:val="none" w:sz="0" w:space="0" w:color="auto"/>
      </w:divBdr>
    </w:div>
    <w:div w:id="987635604">
      <w:bodyDiv w:val="1"/>
      <w:marLeft w:val="0"/>
      <w:marRight w:val="0"/>
      <w:marTop w:val="0"/>
      <w:marBottom w:val="0"/>
      <w:divBdr>
        <w:top w:val="none" w:sz="0" w:space="0" w:color="auto"/>
        <w:left w:val="none" w:sz="0" w:space="0" w:color="auto"/>
        <w:bottom w:val="none" w:sz="0" w:space="0" w:color="auto"/>
        <w:right w:val="none" w:sz="0" w:space="0" w:color="auto"/>
      </w:divBdr>
    </w:div>
    <w:div w:id="990017198">
      <w:bodyDiv w:val="1"/>
      <w:marLeft w:val="0"/>
      <w:marRight w:val="0"/>
      <w:marTop w:val="0"/>
      <w:marBottom w:val="0"/>
      <w:divBdr>
        <w:top w:val="none" w:sz="0" w:space="0" w:color="auto"/>
        <w:left w:val="none" w:sz="0" w:space="0" w:color="auto"/>
        <w:bottom w:val="none" w:sz="0" w:space="0" w:color="auto"/>
        <w:right w:val="none" w:sz="0" w:space="0" w:color="auto"/>
      </w:divBdr>
    </w:div>
    <w:div w:id="994332299">
      <w:bodyDiv w:val="1"/>
      <w:marLeft w:val="0"/>
      <w:marRight w:val="0"/>
      <w:marTop w:val="0"/>
      <w:marBottom w:val="0"/>
      <w:divBdr>
        <w:top w:val="none" w:sz="0" w:space="0" w:color="auto"/>
        <w:left w:val="none" w:sz="0" w:space="0" w:color="auto"/>
        <w:bottom w:val="none" w:sz="0" w:space="0" w:color="auto"/>
        <w:right w:val="none" w:sz="0" w:space="0" w:color="auto"/>
      </w:divBdr>
    </w:div>
    <w:div w:id="995261715">
      <w:bodyDiv w:val="1"/>
      <w:marLeft w:val="0"/>
      <w:marRight w:val="0"/>
      <w:marTop w:val="0"/>
      <w:marBottom w:val="0"/>
      <w:divBdr>
        <w:top w:val="none" w:sz="0" w:space="0" w:color="auto"/>
        <w:left w:val="none" w:sz="0" w:space="0" w:color="auto"/>
        <w:bottom w:val="none" w:sz="0" w:space="0" w:color="auto"/>
        <w:right w:val="none" w:sz="0" w:space="0" w:color="auto"/>
      </w:divBdr>
    </w:div>
    <w:div w:id="1000082941">
      <w:bodyDiv w:val="1"/>
      <w:marLeft w:val="0"/>
      <w:marRight w:val="0"/>
      <w:marTop w:val="0"/>
      <w:marBottom w:val="0"/>
      <w:divBdr>
        <w:top w:val="none" w:sz="0" w:space="0" w:color="auto"/>
        <w:left w:val="none" w:sz="0" w:space="0" w:color="auto"/>
        <w:bottom w:val="none" w:sz="0" w:space="0" w:color="auto"/>
        <w:right w:val="none" w:sz="0" w:space="0" w:color="auto"/>
      </w:divBdr>
    </w:div>
    <w:div w:id="1001199031">
      <w:bodyDiv w:val="1"/>
      <w:marLeft w:val="0"/>
      <w:marRight w:val="0"/>
      <w:marTop w:val="0"/>
      <w:marBottom w:val="0"/>
      <w:divBdr>
        <w:top w:val="none" w:sz="0" w:space="0" w:color="auto"/>
        <w:left w:val="none" w:sz="0" w:space="0" w:color="auto"/>
        <w:bottom w:val="none" w:sz="0" w:space="0" w:color="auto"/>
        <w:right w:val="none" w:sz="0" w:space="0" w:color="auto"/>
      </w:divBdr>
    </w:div>
    <w:div w:id="1002246419">
      <w:bodyDiv w:val="1"/>
      <w:marLeft w:val="0"/>
      <w:marRight w:val="0"/>
      <w:marTop w:val="0"/>
      <w:marBottom w:val="0"/>
      <w:divBdr>
        <w:top w:val="none" w:sz="0" w:space="0" w:color="auto"/>
        <w:left w:val="none" w:sz="0" w:space="0" w:color="auto"/>
        <w:bottom w:val="none" w:sz="0" w:space="0" w:color="auto"/>
        <w:right w:val="none" w:sz="0" w:space="0" w:color="auto"/>
      </w:divBdr>
    </w:div>
    <w:div w:id="1004087439">
      <w:bodyDiv w:val="1"/>
      <w:marLeft w:val="0"/>
      <w:marRight w:val="0"/>
      <w:marTop w:val="0"/>
      <w:marBottom w:val="0"/>
      <w:divBdr>
        <w:top w:val="none" w:sz="0" w:space="0" w:color="auto"/>
        <w:left w:val="none" w:sz="0" w:space="0" w:color="auto"/>
        <w:bottom w:val="none" w:sz="0" w:space="0" w:color="auto"/>
        <w:right w:val="none" w:sz="0" w:space="0" w:color="auto"/>
      </w:divBdr>
    </w:div>
    <w:div w:id="1005131848">
      <w:bodyDiv w:val="1"/>
      <w:marLeft w:val="0"/>
      <w:marRight w:val="0"/>
      <w:marTop w:val="0"/>
      <w:marBottom w:val="0"/>
      <w:divBdr>
        <w:top w:val="none" w:sz="0" w:space="0" w:color="auto"/>
        <w:left w:val="none" w:sz="0" w:space="0" w:color="auto"/>
        <w:bottom w:val="none" w:sz="0" w:space="0" w:color="auto"/>
        <w:right w:val="none" w:sz="0" w:space="0" w:color="auto"/>
      </w:divBdr>
    </w:div>
    <w:div w:id="1016689934">
      <w:bodyDiv w:val="1"/>
      <w:marLeft w:val="0"/>
      <w:marRight w:val="0"/>
      <w:marTop w:val="0"/>
      <w:marBottom w:val="0"/>
      <w:divBdr>
        <w:top w:val="none" w:sz="0" w:space="0" w:color="auto"/>
        <w:left w:val="none" w:sz="0" w:space="0" w:color="auto"/>
        <w:bottom w:val="none" w:sz="0" w:space="0" w:color="auto"/>
        <w:right w:val="none" w:sz="0" w:space="0" w:color="auto"/>
      </w:divBdr>
    </w:div>
    <w:div w:id="1017266711">
      <w:bodyDiv w:val="1"/>
      <w:marLeft w:val="0"/>
      <w:marRight w:val="0"/>
      <w:marTop w:val="0"/>
      <w:marBottom w:val="0"/>
      <w:divBdr>
        <w:top w:val="none" w:sz="0" w:space="0" w:color="auto"/>
        <w:left w:val="none" w:sz="0" w:space="0" w:color="auto"/>
        <w:bottom w:val="none" w:sz="0" w:space="0" w:color="auto"/>
        <w:right w:val="none" w:sz="0" w:space="0" w:color="auto"/>
      </w:divBdr>
    </w:div>
    <w:div w:id="1018197126">
      <w:bodyDiv w:val="1"/>
      <w:marLeft w:val="0"/>
      <w:marRight w:val="0"/>
      <w:marTop w:val="0"/>
      <w:marBottom w:val="0"/>
      <w:divBdr>
        <w:top w:val="none" w:sz="0" w:space="0" w:color="auto"/>
        <w:left w:val="none" w:sz="0" w:space="0" w:color="auto"/>
        <w:bottom w:val="none" w:sz="0" w:space="0" w:color="auto"/>
        <w:right w:val="none" w:sz="0" w:space="0" w:color="auto"/>
      </w:divBdr>
    </w:div>
    <w:div w:id="1018388382">
      <w:bodyDiv w:val="1"/>
      <w:marLeft w:val="0"/>
      <w:marRight w:val="0"/>
      <w:marTop w:val="0"/>
      <w:marBottom w:val="0"/>
      <w:divBdr>
        <w:top w:val="none" w:sz="0" w:space="0" w:color="auto"/>
        <w:left w:val="none" w:sz="0" w:space="0" w:color="auto"/>
        <w:bottom w:val="none" w:sz="0" w:space="0" w:color="auto"/>
        <w:right w:val="none" w:sz="0" w:space="0" w:color="auto"/>
      </w:divBdr>
    </w:div>
    <w:div w:id="1020201887">
      <w:bodyDiv w:val="1"/>
      <w:marLeft w:val="0"/>
      <w:marRight w:val="0"/>
      <w:marTop w:val="0"/>
      <w:marBottom w:val="0"/>
      <w:divBdr>
        <w:top w:val="none" w:sz="0" w:space="0" w:color="auto"/>
        <w:left w:val="none" w:sz="0" w:space="0" w:color="auto"/>
        <w:bottom w:val="none" w:sz="0" w:space="0" w:color="auto"/>
        <w:right w:val="none" w:sz="0" w:space="0" w:color="auto"/>
      </w:divBdr>
    </w:div>
    <w:div w:id="1022245105">
      <w:bodyDiv w:val="1"/>
      <w:marLeft w:val="0"/>
      <w:marRight w:val="0"/>
      <w:marTop w:val="0"/>
      <w:marBottom w:val="0"/>
      <w:divBdr>
        <w:top w:val="none" w:sz="0" w:space="0" w:color="auto"/>
        <w:left w:val="none" w:sz="0" w:space="0" w:color="auto"/>
        <w:bottom w:val="none" w:sz="0" w:space="0" w:color="auto"/>
        <w:right w:val="none" w:sz="0" w:space="0" w:color="auto"/>
      </w:divBdr>
    </w:div>
    <w:div w:id="1022513742">
      <w:bodyDiv w:val="1"/>
      <w:marLeft w:val="0"/>
      <w:marRight w:val="0"/>
      <w:marTop w:val="0"/>
      <w:marBottom w:val="0"/>
      <w:divBdr>
        <w:top w:val="none" w:sz="0" w:space="0" w:color="auto"/>
        <w:left w:val="none" w:sz="0" w:space="0" w:color="auto"/>
        <w:bottom w:val="none" w:sz="0" w:space="0" w:color="auto"/>
        <w:right w:val="none" w:sz="0" w:space="0" w:color="auto"/>
      </w:divBdr>
    </w:div>
    <w:div w:id="1029067329">
      <w:bodyDiv w:val="1"/>
      <w:marLeft w:val="0"/>
      <w:marRight w:val="0"/>
      <w:marTop w:val="0"/>
      <w:marBottom w:val="0"/>
      <w:divBdr>
        <w:top w:val="none" w:sz="0" w:space="0" w:color="auto"/>
        <w:left w:val="none" w:sz="0" w:space="0" w:color="auto"/>
        <w:bottom w:val="none" w:sz="0" w:space="0" w:color="auto"/>
        <w:right w:val="none" w:sz="0" w:space="0" w:color="auto"/>
      </w:divBdr>
    </w:div>
    <w:div w:id="1030689791">
      <w:bodyDiv w:val="1"/>
      <w:marLeft w:val="0"/>
      <w:marRight w:val="0"/>
      <w:marTop w:val="0"/>
      <w:marBottom w:val="0"/>
      <w:divBdr>
        <w:top w:val="none" w:sz="0" w:space="0" w:color="auto"/>
        <w:left w:val="none" w:sz="0" w:space="0" w:color="auto"/>
        <w:bottom w:val="none" w:sz="0" w:space="0" w:color="auto"/>
        <w:right w:val="none" w:sz="0" w:space="0" w:color="auto"/>
      </w:divBdr>
    </w:div>
    <w:div w:id="1034189802">
      <w:bodyDiv w:val="1"/>
      <w:marLeft w:val="0"/>
      <w:marRight w:val="0"/>
      <w:marTop w:val="0"/>
      <w:marBottom w:val="0"/>
      <w:divBdr>
        <w:top w:val="none" w:sz="0" w:space="0" w:color="auto"/>
        <w:left w:val="none" w:sz="0" w:space="0" w:color="auto"/>
        <w:bottom w:val="none" w:sz="0" w:space="0" w:color="auto"/>
        <w:right w:val="none" w:sz="0" w:space="0" w:color="auto"/>
      </w:divBdr>
    </w:div>
    <w:div w:id="1042484019">
      <w:bodyDiv w:val="1"/>
      <w:marLeft w:val="0"/>
      <w:marRight w:val="0"/>
      <w:marTop w:val="0"/>
      <w:marBottom w:val="0"/>
      <w:divBdr>
        <w:top w:val="none" w:sz="0" w:space="0" w:color="auto"/>
        <w:left w:val="none" w:sz="0" w:space="0" w:color="auto"/>
        <w:bottom w:val="none" w:sz="0" w:space="0" w:color="auto"/>
        <w:right w:val="none" w:sz="0" w:space="0" w:color="auto"/>
      </w:divBdr>
    </w:div>
    <w:div w:id="1045301622">
      <w:bodyDiv w:val="1"/>
      <w:marLeft w:val="0"/>
      <w:marRight w:val="0"/>
      <w:marTop w:val="0"/>
      <w:marBottom w:val="0"/>
      <w:divBdr>
        <w:top w:val="none" w:sz="0" w:space="0" w:color="auto"/>
        <w:left w:val="none" w:sz="0" w:space="0" w:color="auto"/>
        <w:bottom w:val="none" w:sz="0" w:space="0" w:color="auto"/>
        <w:right w:val="none" w:sz="0" w:space="0" w:color="auto"/>
      </w:divBdr>
    </w:div>
    <w:div w:id="1048728242">
      <w:bodyDiv w:val="1"/>
      <w:marLeft w:val="0"/>
      <w:marRight w:val="0"/>
      <w:marTop w:val="0"/>
      <w:marBottom w:val="0"/>
      <w:divBdr>
        <w:top w:val="none" w:sz="0" w:space="0" w:color="auto"/>
        <w:left w:val="none" w:sz="0" w:space="0" w:color="auto"/>
        <w:bottom w:val="none" w:sz="0" w:space="0" w:color="auto"/>
        <w:right w:val="none" w:sz="0" w:space="0" w:color="auto"/>
      </w:divBdr>
    </w:div>
    <w:div w:id="1053114632">
      <w:bodyDiv w:val="1"/>
      <w:marLeft w:val="0"/>
      <w:marRight w:val="0"/>
      <w:marTop w:val="0"/>
      <w:marBottom w:val="0"/>
      <w:divBdr>
        <w:top w:val="none" w:sz="0" w:space="0" w:color="auto"/>
        <w:left w:val="none" w:sz="0" w:space="0" w:color="auto"/>
        <w:bottom w:val="none" w:sz="0" w:space="0" w:color="auto"/>
        <w:right w:val="none" w:sz="0" w:space="0" w:color="auto"/>
      </w:divBdr>
    </w:div>
    <w:div w:id="1059087981">
      <w:bodyDiv w:val="1"/>
      <w:marLeft w:val="0"/>
      <w:marRight w:val="0"/>
      <w:marTop w:val="0"/>
      <w:marBottom w:val="0"/>
      <w:divBdr>
        <w:top w:val="none" w:sz="0" w:space="0" w:color="auto"/>
        <w:left w:val="none" w:sz="0" w:space="0" w:color="auto"/>
        <w:bottom w:val="none" w:sz="0" w:space="0" w:color="auto"/>
        <w:right w:val="none" w:sz="0" w:space="0" w:color="auto"/>
      </w:divBdr>
    </w:div>
    <w:div w:id="1062407417">
      <w:bodyDiv w:val="1"/>
      <w:marLeft w:val="0"/>
      <w:marRight w:val="0"/>
      <w:marTop w:val="0"/>
      <w:marBottom w:val="0"/>
      <w:divBdr>
        <w:top w:val="none" w:sz="0" w:space="0" w:color="auto"/>
        <w:left w:val="none" w:sz="0" w:space="0" w:color="auto"/>
        <w:bottom w:val="none" w:sz="0" w:space="0" w:color="auto"/>
        <w:right w:val="none" w:sz="0" w:space="0" w:color="auto"/>
      </w:divBdr>
    </w:div>
    <w:div w:id="1063337056">
      <w:bodyDiv w:val="1"/>
      <w:marLeft w:val="0"/>
      <w:marRight w:val="0"/>
      <w:marTop w:val="0"/>
      <w:marBottom w:val="0"/>
      <w:divBdr>
        <w:top w:val="none" w:sz="0" w:space="0" w:color="auto"/>
        <w:left w:val="none" w:sz="0" w:space="0" w:color="auto"/>
        <w:bottom w:val="none" w:sz="0" w:space="0" w:color="auto"/>
        <w:right w:val="none" w:sz="0" w:space="0" w:color="auto"/>
      </w:divBdr>
    </w:div>
    <w:div w:id="1064331546">
      <w:bodyDiv w:val="1"/>
      <w:marLeft w:val="0"/>
      <w:marRight w:val="0"/>
      <w:marTop w:val="0"/>
      <w:marBottom w:val="0"/>
      <w:divBdr>
        <w:top w:val="none" w:sz="0" w:space="0" w:color="auto"/>
        <w:left w:val="none" w:sz="0" w:space="0" w:color="auto"/>
        <w:bottom w:val="none" w:sz="0" w:space="0" w:color="auto"/>
        <w:right w:val="none" w:sz="0" w:space="0" w:color="auto"/>
      </w:divBdr>
    </w:div>
    <w:div w:id="1066418467">
      <w:bodyDiv w:val="1"/>
      <w:marLeft w:val="0"/>
      <w:marRight w:val="0"/>
      <w:marTop w:val="0"/>
      <w:marBottom w:val="0"/>
      <w:divBdr>
        <w:top w:val="none" w:sz="0" w:space="0" w:color="auto"/>
        <w:left w:val="none" w:sz="0" w:space="0" w:color="auto"/>
        <w:bottom w:val="none" w:sz="0" w:space="0" w:color="auto"/>
        <w:right w:val="none" w:sz="0" w:space="0" w:color="auto"/>
      </w:divBdr>
    </w:div>
    <w:div w:id="1076706435">
      <w:bodyDiv w:val="1"/>
      <w:marLeft w:val="0"/>
      <w:marRight w:val="0"/>
      <w:marTop w:val="0"/>
      <w:marBottom w:val="0"/>
      <w:divBdr>
        <w:top w:val="none" w:sz="0" w:space="0" w:color="auto"/>
        <w:left w:val="none" w:sz="0" w:space="0" w:color="auto"/>
        <w:bottom w:val="none" w:sz="0" w:space="0" w:color="auto"/>
        <w:right w:val="none" w:sz="0" w:space="0" w:color="auto"/>
      </w:divBdr>
    </w:div>
    <w:div w:id="1079256409">
      <w:bodyDiv w:val="1"/>
      <w:marLeft w:val="0"/>
      <w:marRight w:val="0"/>
      <w:marTop w:val="0"/>
      <w:marBottom w:val="0"/>
      <w:divBdr>
        <w:top w:val="none" w:sz="0" w:space="0" w:color="auto"/>
        <w:left w:val="none" w:sz="0" w:space="0" w:color="auto"/>
        <w:bottom w:val="none" w:sz="0" w:space="0" w:color="auto"/>
        <w:right w:val="none" w:sz="0" w:space="0" w:color="auto"/>
      </w:divBdr>
    </w:div>
    <w:div w:id="1087116496">
      <w:bodyDiv w:val="1"/>
      <w:marLeft w:val="0"/>
      <w:marRight w:val="0"/>
      <w:marTop w:val="0"/>
      <w:marBottom w:val="0"/>
      <w:divBdr>
        <w:top w:val="none" w:sz="0" w:space="0" w:color="auto"/>
        <w:left w:val="none" w:sz="0" w:space="0" w:color="auto"/>
        <w:bottom w:val="none" w:sz="0" w:space="0" w:color="auto"/>
        <w:right w:val="none" w:sz="0" w:space="0" w:color="auto"/>
      </w:divBdr>
    </w:div>
    <w:div w:id="1090849887">
      <w:bodyDiv w:val="1"/>
      <w:marLeft w:val="0"/>
      <w:marRight w:val="0"/>
      <w:marTop w:val="0"/>
      <w:marBottom w:val="0"/>
      <w:divBdr>
        <w:top w:val="none" w:sz="0" w:space="0" w:color="auto"/>
        <w:left w:val="none" w:sz="0" w:space="0" w:color="auto"/>
        <w:bottom w:val="none" w:sz="0" w:space="0" w:color="auto"/>
        <w:right w:val="none" w:sz="0" w:space="0" w:color="auto"/>
      </w:divBdr>
    </w:div>
    <w:div w:id="1099448248">
      <w:bodyDiv w:val="1"/>
      <w:marLeft w:val="0"/>
      <w:marRight w:val="0"/>
      <w:marTop w:val="0"/>
      <w:marBottom w:val="0"/>
      <w:divBdr>
        <w:top w:val="none" w:sz="0" w:space="0" w:color="auto"/>
        <w:left w:val="none" w:sz="0" w:space="0" w:color="auto"/>
        <w:bottom w:val="none" w:sz="0" w:space="0" w:color="auto"/>
        <w:right w:val="none" w:sz="0" w:space="0" w:color="auto"/>
      </w:divBdr>
    </w:div>
    <w:div w:id="1102725792">
      <w:bodyDiv w:val="1"/>
      <w:marLeft w:val="0"/>
      <w:marRight w:val="0"/>
      <w:marTop w:val="0"/>
      <w:marBottom w:val="0"/>
      <w:divBdr>
        <w:top w:val="none" w:sz="0" w:space="0" w:color="auto"/>
        <w:left w:val="none" w:sz="0" w:space="0" w:color="auto"/>
        <w:bottom w:val="none" w:sz="0" w:space="0" w:color="auto"/>
        <w:right w:val="none" w:sz="0" w:space="0" w:color="auto"/>
      </w:divBdr>
    </w:div>
    <w:div w:id="1108626939">
      <w:bodyDiv w:val="1"/>
      <w:marLeft w:val="0"/>
      <w:marRight w:val="0"/>
      <w:marTop w:val="0"/>
      <w:marBottom w:val="0"/>
      <w:divBdr>
        <w:top w:val="none" w:sz="0" w:space="0" w:color="auto"/>
        <w:left w:val="none" w:sz="0" w:space="0" w:color="auto"/>
        <w:bottom w:val="none" w:sz="0" w:space="0" w:color="auto"/>
        <w:right w:val="none" w:sz="0" w:space="0" w:color="auto"/>
      </w:divBdr>
    </w:div>
    <w:div w:id="1114976847">
      <w:bodyDiv w:val="1"/>
      <w:marLeft w:val="0"/>
      <w:marRight w:val="0"/>
      <w:marTop w:val="0"/>
      <w:marBottom w:val="0"/>
      <w:divBdr>
        <w:top w:val="none" w:sz="0" w:space="0" w:color="auto"/>
        <w:left w:val="none" w:sz="0" w:space="0" w:color="auto"/>
        <w:bottom w:val="none" w:sz="0" w:space="0" w:color="auto"/>
        <w:right w:val="none" w:sz="0" w:space="0" w:color="auto"/>
      </w:divBdr>
    </w:div>
    <w:div w:id="1116220276">
      <w:bodyDiv w:val="1"/>
      <w:marLeft w:val="0"/>
      <w:marRight w:val="0"/>
      <w:marTop w:val="0"/>
      <w:marBottom w:val="0"/>
      <w:divBdr>
        <w:top w:val="none" w:sz="0" w:space="0" w:color="auto"/>
        <w:left w:val="none" w:sz="0" w:space="0" w:color="auto"/>
        <w:bottom w:val="none" w:sz="0" w:space="0" w:color="auto"/>
        <w:right w:val="none" w:sz="0" w:space="0" w:color="auto"/>
      </w:divBdr>
    </w:div>
    <w:div w:id="1118338156">
      <w:bodyDiv w:val="1"/>
      <w:marLeft w:val="0"/>
      <w:marRight w:val="0"/>
      <w:marTop w:val="0"/>
      <w:marBottom w:val="0"/>
      <w:divBdr>
        <w:top w:val="none" w:sz="0" w:space="0" w:color="auto"/>
        <w:left w:val="none" w:sz="0" w:space="0" w:color="auto"/>
        <w:bottom w:val="none" w:sz="0" w:space="0" w:color="auto"/>
        <w:right w:val="none" w:sz="0" w:space="0" w:color="auto"/>
      </w:divBdr>
    </w:div>
    <w:div w:id="1126000079">
      <w:bodyDiv w:val="1"/>
      <w:marLeft w:val="0"/>
      <w:marRight w:val="0"/>
      <w:marTop w:val="0"/>
      <w:marBottom w:val="0"/>
      <w:divBdr>
        <w:top w:val="none" w:sz="0" w:space="0" w:color="auto"/>
        <w:left w:val="none" w:sz="0" w:space="0" w:color="auto"/>
        <w:bottom w:val="none" w:sz="0" w:space="0" w:color="auto"/>
        <w:right w:val="none" w:sz="0" w:space="0" w:color="auto"/>
      </w:divBdr>
    </w:div>
    <w:div w:id="1128596307">
      <w:bodyDiv w:val="1"/>
      <w:marLeft w:val="0"/>
      <w:marRight w:val="0"/>
      <w:marTop w:val="0"/>
      <w:marBottom w:val="0"/>
      <w:divBdr>
        <w:top w:val="none" w:sz="0" w:space="0" w:color="auto"/>
        <w:left w:val="none" w:sz="0" w:space="0" w:color="auto"/>
        <w:bottom w:val="none" w:sz="0" w:space="0" w:color="auto"/>
        <w:right w:val="none" w:sz="0" w:space="0" w:color="auto"/>
      </w:divBdr>
    </w:div>
    <w:div w:id="1130248259">
      <w:bodyDiv w:val="1"/>
      <w:marLeft w:val="0"/>
      <w:marRight w:val="0"/>
      <w:marTop w:val="0"/>
      <w:marBottom w:val="0"/>
      <w:divBdr>
        <w:top w:val="none" w:sz="0" w:space="0" w:color="auto"/>
        <w:left w:val="none" w:sz="0" w:space="0" w:color="auto"/>
        <w:bottom w:val="none" w:sz="0" w:space="0" w:color="auto"/>
        <w:right w:val="none" w:sz="0" w:space="0" w:color="auto"/>
      </w:divBdr>
    </w:div>
    <w:div w:id="1131509081">
      <w:bodyDiv w:val="1"/>
      <w:marLeft w:val="0"/>
      <w:marRight w:val="0"/>
      <w:marTop w:val="0"/>
      <w:marBottom w:val="0"/>
      <w:divBdr>
        <w:top w:val="none" w:sz="0" w:space="0" w:color="auto"/>
        <w:left w:val="none" w:sz="0" w:space="0" w:color="auto"/>
        <w:bottom w:val="none" w:sz="0" w:space="0" w:color="auto"/>
        <w:right w:val="none" w:sz="0" w:space="0" w:color="auto"/>
      </w:divBdr>
    </w:div>
    <w:div w:id="1133982580">
      <w:bodyDiv w:val="1"/>
      <w:marLeft w:val="0"/>
      <w:marRight w:val="0"/>
      <w:marTop w:val="0"/>
      <w:marBottom w:val="0"/>
      <w:divBdr>
        <w:top w:val="none" w:sz="0" w:space="0" w:color="auto"/>
        <w:left w:val="none" w:sz="0" w:space="0" w:color="auto"/>
        <w:bottom w:val="none" w:sz="0" w:space="0" w:color="auto"/>
        <w:right w:val="none" w:sz="0" w:space="0" w:color="auto"/>
      </w:divBdr>
    </w:div>
    <w:div w:id="1139957236">
      <w:bodyDiv w:val="1"/>
      <w:marLeft w:val="0"/>
      <w:marRight w:val="0"/>
      <w:marTop w:val="0"/>
      <w:marBottom w:val="0"/>
      <w:divBdr>
        <w:top w:val="none" w:sz="0" w:space="0" w:color="auto"/>
        <w:left w:val="none" w:sz="0" w:space="0" w:color="auto"/>
        <w:bottom w:val="none" w:sz="0" w:space="0" w:color="auto"/>
        <w:right w:val="none" w:sz="0" w:space="0" w:color="auto"/>
      </w:divBdr>
    </w:div>
    <w:div w:id="1143890541">
      <w:bodyDiv w:val="1"/>
      <w:marLeft w:val="0"/>
      <w:marRight w:val="0"/>
      <w:marTop w:val="0"/>
      <w:marBottom w:val="0"/>
      <w:divBdr>
        <w:top w:val="none" w:sz="0" w:space="0" w:color="auto"/>
        <w:left w:val="none" w:sz="0" w:space="0" w:color="auto"/>
        <w:bottom w:val="none" w:sz="0" w:space="0" w:color="auto"/>
        <w:right w:val="none" w:sz="0" w:space="0" w:color="auto"/>
      </w:divBdr>
    </w:div>
    <w:div w:id="1153792085">
      <w:bodyDiv w:val="1"/>
      <w:marLeft w:val="0"/>
      <w:marRight w:val="0"/>
      <w:marTop w:val="0"/>
      <w:marBottom w:val="0"/>
      <w:divBdr>
        <w:top w:val="none" w:sz="0" w:space="0" w:color="auto"/>
        <w:left w:val="none" w:sz="0" w:space="0" w:color="auto"/>
        <w:bottom w:val="none" w:sz="0" w:space="0" w:color="auto"/>
        <w:right w:val="none" w:sz="0" w:space="0" w:color="auto"/>
      </w:divBdr>
    </w:div>
    <w:div w:id="1154948324">
      <w:bodyDiv w:val="1"/>
      <w:marLeft w:val="0"/>
      <w:marRight w:val="0"/>
      <w:marTop w:val="0"/>
      <w:marBottom w:val="0"/>
      <w:divBdr>
        <w:top w:val="none" w:sz="0" w:space="0" w:color="auto"/>
        <w:left w:val="none" w:sz="0" w:space="0" w:color="auto"/>
        <w:bottom w:val="none" w:sz="0" w:space="0" w:color="auto"/>
        <w:right w:val="none" w:sz="0" w:space="0" w:color="auto"/>
      </w:divBdr>
    </w:div>
    <w:div w:id="1156264981">
      <w:bodyDiv w:val="1"/>
      <w:marLeft w:val="0"/>
      <w:marRight w:val="0"/>
      <w:marTop w:val="0"/>
      <w:marBottom w:val="0"/>
      <w:divBdr>
        <w:top w:val="none" w:sz="0" w:space="0" w:color="auto"/>
        <w:left w:val="none" w:sz="0" w:space="0" w:color="auto"/>
        <w:bottom w:val="none" w:sz="0" w:space="0" w:color="auto"/>
        <w:right w:val="none" w:sz="0" w:space="0" w:color="auto"/>
      </w:divBdr>
    </w:div>
    <w:div w:id="1156452932">
      <w:bodyDiv w:val="1"/>
      <w:marLeft w:val="0"/>
      <w:marRight w:val="0"/>
      <w:marTop w:val="0"/>
      <w:marBottom w:val="0"/>
      <w:divBdr>
        <w:top w:val="none" w:sz="0" w:space="0" w:color="auto"/>
        <w:left w:val="none" w:sz="0" w:space="0" w:color="auto"/>
        <w:bottom w:val="none" w:sz="0" w:space="0" w:color="auto"/>
        <w:right w:val="none" w:sz="0" w:space="0" w:color="auto"/>
      </w:divBdr>
    </w:div>
    <w:div w:id="1156914359">
      <w:bodyDiv w:val="1"/>
      <w:marLeft w:val="0"/>
      <w:marRight w:val="0"/>
      <w:marTop w:val="0"/>
      <w:marBottom w:val="0"/>
      <w:divBdr>
        <w:top w:val="none" w:sz="0" w:space="0" w:color="auto"/>
        <w:left w:val="none" w:sz="0" w:space="0" w:color="auto"/>
        <w:bottom w:val="none" w:sz="0" w:space="0" w:color="auto"/>
        <w:right w:val="none" w:sz="0" w:space="0" w:color="auto"/>
      </w:divBdr>
    </w:div>
    <w:div w:id="1162504197">
      <w:bodyDiv w:val="1"/>
      <w:marLeft w:val="0"/>
      <w:marRight w:val="0"/>
      <w:marTop w:val="0"/>
      <w:marBottom w:val="0"/>
      <w:divBdr>
        <w:top w:val="none" w:sz="0" w:space="0" w:color="auto"/>
        <w:left w:val="none" w:sz="0" w:space="0" w:color="auto"/>
        <w:bottom w:val="none" w:sz="0" w:space="0" w:color="auto"/>
        <w:right w:val="none" w:sz="0" w:space="0" w:color="auto"/>
      </w:divBdr>
    </w:div>
    <w:div w:id="1173569585">
      <w:bodyDiv w:val="1"/>
      <w:marLeft w:val="0"/>
      <w:marRight w:val="0"/>
      <w:marTop w:val="0"/>
      <w:marBottom w:val="0"/>
      <w:divBdr>
        <w:top w:val="none" w:sz="0" w:space="0" w:color="auto"/>
        <w:left w:val="none" w:sz="0" w:space="0" w:color="auto"/>
        <w:bottom w:val="none" w:sz="0" w:space="0" w:color="auto"/>
        <w:right w:val="none" w:sz="0" w:space="0" w:color="auto"/>
      </w:divBdr>
    </w:div>
    <w:div w:id="1182939119">
      <w:bodyDiv w:val="1"/>
      <w:marLeft w:val="0"/>
      <w:marRight w:val="0"/>
      <w:marTop w:val="0"/>
      <w:marBottom w:val="0"/>
      <w:divBdr>
        <w:top w:val="none" w:sz="0" w:space="0" w:color="auto"/>
        <w:left w:val="none" w:sz="0" w:space="0" w:color="auto"/>
        <w:bottom w:val="none" w:sz="0" w:space="0" w:color="auto"/>
        <w:right w:val="none" w:sz="0" w:space="0" w:color="auto"/>
      </w:divBdr>
    </w:div>
    <w:div w:id="1184633952">
      <w:bodyDiv w:val="1"/>
      <w:marLeft w:val="0"/>
      <w:marRight w:val="0"/>
      <w:marTop w:val="0"/>
      <w:marBottom w:val="0"/>
      <w:divBdr>
        <w:top w:val="none" w:sz="0" w:space="0" w:color="auto"/>
        <w:left w:val="none" w:sz="0" w:space="0" w:color="auto"/>
        <w:bottom w:val="none" w:sz="0" w:space="0" w:color="auto"/>
        <w:right w:val="none" w:sz="0" w:space="0" w:color="auto"/>
      </w:divBdr>
    </w:div>
    <w:div w:id="1192383134">
      <w:bodyDiv w:val="1"/>
      <w:marLeft w:val="0"/>
      <w:marRight w:val="0"/>
      <w:marTop w:val="0"/>
      <w:marBottom w:val="0"/>
      <w:divBdr>
        <w:top w:val="none" w:sz="0" w:space="0" w:color="auto"/>
        <w:left w:val="none" w:sz="0" w:space="0" w:color="auto"/>
        <w:bottom w:val="none" w:sz="0" w:space="0" w:color="auto"/>
        <w:right w:val="none" w:sz="0" w:space="0" w:color="auto"/>
      </w:divBdr>
    </w:div>
    <w:div w:id="1192651574">
      <w:bodyDiv w:val="1"/>
      <w:marLeft w:val="0"/>
      <w:marRight w:val="0"/>
      <w:marTop w:val="0"/>
      <w:marBottom w:val="0"/>
      <w:divBdr>
        <w:top w:val="none" w:sz="0" w:space="0" w:color="auto"/>
        <w:left w:val="none" w:sz="0" w:space="0" w:color="auto"/>
        <w:bottom w:val="none" w:sz="0" w:space="0" w:color="auto"/>
        <w:right w:val="none" w:sz="0" w:space="0" w:color="auto"/>
      </w:divBdr>
    </w:div>
    <w:div w:id="1193104421">
      <w:bodyDiv w:val="1"/>
      <w:marLeft w:val="0"/>
      <w:marRight w:val="0"/>
      <w:marTop w:val="0"/>
      <w:marBottom w:val="0"/>
      <w:divBdr>
        <w:top w:val="none" w:sz="0" w:space="0" w:color="auto"/>
        <w:left w:val="none" w:sz="0" w:space="0" w:color="auto"/>
        <w:bottom w:val="none" w:sz="0" w:space="0" w:color="auto"/>
        <w:right w:val="none" w:sz="0" w:space="0" w:color="auto"/>
      </w:divBdr>
    </w:div>
    <w:div w:id="1193956240">
      <w:bodyDiv w:val="1"/>
      <w:marLeft w:val="0"/>
      <w:marRight w:val="0"/>
      <w:marTop w:val="0"/>
      <w:marBottom w:val="0"/>
      <w:divBdr>
        <w:top w:val="none" w:sz="0" w:space="0" w:color="auto"/>
        <w:left w:val="none" w:sz="0" w:space="0" w:color="auto"/>
        <w:bottom w:val="none" w:sz="0" w:space="0" w:color="auto"/>
        <w:right w:val="none" w:sz="0" w:space="0" w:color="auto"/>
      </w:divBdr>
    </w:div>
    <w:div w:id="1200044215">
      <w:bodyDiv w:val="1"/>
      <w:marLeft w:val="0"/>
      <w:marRight w:val="0"/>
      <w:marTop w:val="0"/>
      <w:marBottom w:val="0"/>
      <w:divBdr>
        <w:top w:val="none" w:sz="0" w:space="0" w:color="auto"/>
        <w:left w:val="none" w:sz="0" w:space="0" w:color="auto"/>
        <w:bottom w:val="none" w:sz="0" w:space="0" w:color="auto"/>
        <w:right w:val="none" w:sz="0" w:space="0" w:color="auto"/>
      </w:divBdr>
    </w:div>
    <w:div w:id="1202283157">
      <w:bodyDiv w:val="1"/>
      <w:marLeft w:val="0"/>
      <w:marRight w:val="0"/>
      <w:marTop w:val="0"/>
      <w:marBottom w:val="0"/>
      <w:divBdr>
        <w:top w:val="none" w:sz="0" w:space="0" w:color="auto"/>
        <w:left w:val="none" w:sz="0" w:space="0" w:color="auto"/>
        <w:bottom w:val="none" w:sz="0" w:space="0" w:color="auto"/>
        <w:right w:val="none" w:sz="0" w:space="0" w:color="auto"/>
      </w:divBdr>
    </w:div>
    <w:div w:id="1204752084">
      <w:bodyDiv w:val="1"/>
      <w:marLeft w:val="0"/>
      <w:marRight w:val="0"/>
      <w:marTop w:val="0"/>
      <w:marBottom w:val="0"/>
      <w:divBdr>
        <w:top w:val="none" w:sz="0" w:space="0" w:color="auto"/>
        <w:left w:val="none" w:sz="0" w:space="0" w:color="auto"/>
        <w:bottom w:val="none" w:sz="0" w:space="0" w:color="auto"/>
        <w:right w:val="none" w:sz="0" w:space="0" w:color="auto"/>
      </w:divBdr>
    </w:div>
    <w:div w:id="1212302643">
      <w:bodyDiv w:val="1"/>
      <w:marLeft w:val="0"/>
      <w:marRight w:val="0"/>
      <w:marTop w:val="0"/>
      <w:marBottom w:val="0"/>
      <w:divBdr>
        <w:top w:val="none" w:sz="0" w:space="0" w:color="auto"/>
        <w:left w:val="none" w:sz="0" w:space="0" w:color="auto"/>
        <w:bottom w:val="none" w:sz="0" w:space="0" w:color="auto"/>
        <w:right w:val="none" w:sz="0" w:space="0" w:color="auto"/>
      </w:divBdr>
    </w:div>
    <w:div w:id="1215311038">
      <w:bodyDiv w:val="1"/>
      <w:marLeft w:val="0"/>
      <w:marRight w:val="0"/>
      <w:marTop w:val="0"/>
      <w:marBottom w:val="0"/>
      <w:divBdr>
        <w:top w:val="none" w:sz="0" w:space="0" w:color="auto"/>
        <w:left w:val="none" w:sz="0" w:space="0" w:color="auto"/>
        <w:bottom w:val="none" w:sz="0" w:space="0" w:color="auto"/>
        <w:right w:val="none" w:sz="0" w:space="0" w:color="auto"/>
      </w:divBdr>
    </w:div>
    <w:div w:id="1216116554">
      <w:bodyDiv w:val="1"/>
      <w:marLeft w:val="0"/>
      <w:marRight w:val="0"/>
      <w:marTop w:val="0"/>
      <w:marBottom w:val="0"/>
      <w:divBdr>
        <w:top w:val="none" w:sz="0" w:space="0" w:color="auto"/>
        <w:left w:val="none" w:sz="0" w:space="0" w:color="auto"/>
        <w:bottom w:val="none" w:sz="0" w:space="0" w:color="auto"/>
        <w:right w:val="none" w:sz="0" w:space="0" w:color="auto"/>
      </w:divBdr>
    </w:div>
    <w:div w:id="1217549023">
      <w:bodyDiv w:val="1"/>
      <w:marLeft w:val="0"/>
      <w:marRight w:val="0"/>
      <w:marTop w:val="0"/>
      <w:marBottom w:val="0"/>
      <w:divBdr>
        <w:top w:val="none" w:sz="0" w:space="0" w:color="auto"/>
        <w:left w:val="none" w:sz="0" w:space="0" w:color="auto"/>
        <w:bottom w:val="none" w:sz="0" w:space="0" w:color="auto"/>
        <w:right w:val="none" w:sz="0" w:space="0" w:color="auto"/>
      </w:divBdr>
    </w:div>
    <w:div w:id="1218130049">
      <w:bodyDiv w:val="1"/>
      <w:marLeft w:val="0"/>
      <w:marRight w:val="0"/>
      <w:marTop w:val="0"/>
      <w:marBottom w:val="0"/>
      <w:divBdr>
        <w:top w:val="none" w:sz="0" w:space="0" w:color="auto"/>
        <w:left w:val="none" w:sz="0" w:space="0" w:color="auto"/>
        <w:bottom w:val="none" w:sz="0" w:space="0" w:color="auto"/>
        <w:right w:val="none" w:sz="0" w:space="0" w:color="auto"/>
      </w:divBdr>
    </w:div>
    <w:div w:id="1218660569">
      <w:bodyDiv w:val="1"/>
      <w:marLeft w:val="0"/>
      <w:marRight w:val="0"/>
      <w:marTop w:val="0"/>
      <w:marBottom w:val="0"/>
      <w:divBdr>
        <w:top w:val="none" w:sz="0" w:space="0" w:color="auto"/>
        <w:left w:val="none" w:sz="0" w:space="0" w:color="auto"/>
        <w:bottom w:val="none" w:sz="0" w:space="0" w:color="auto"/>
        <w:right w:val="none" w:sz="0" w:space="0" w:color="auto"/>
      </w:divBdr>
    </w:div>
    <w:div w:id="1218858090">
      <w:bodyDiv w:val="1"/>
      <w:marLeft w:val="0"/>
      <w:marRight w:val="0"/>
      <w:marTop w:val="0"/>
      <w:marBottom w:val="0"/>
      <w:divBdr>
        <w:top w:val="none" w:sz="0" w:space="0" w:color="auto"/>
        <w:left w:val="none" w:sz="0" w:space="0" w:color="auto"/>
        <w:bottom w:val="none" w:sz="0" w:space="0" w:color="auto"/>
        <w:right w:val="none" w:sz="0" w:space="0" w:color="auto"/>
      </w:divBdr>
      <w:divsChild>
        <w:div w:id="1615205863">
          <w:marLeft w:val="0"/>
          <w:marRight w:val="0"/>
          <w:marTop w:val="0"/>
          <w:marBottom w:val="0"/>
          <w:divBdr>
            <w:top w:val="none" w:sz="0" w:space="0" w:color="auto"/>
            <w:left w:val="none" w:sz="0" w:space="0" w:color="auto"/>
            <w:bottom w:val="none" w:sz="0" w:space="0" w:color="auto"/>
            <w:right w:val="none" w:sz="0" w:space="0" w:color="auto"/>
          </w:divBdr>
        </w:div>
        <w:div w:id="1763378769">
          <w:marLeft w:val="0"/>
          <w:marRight w:val="0"/>
          <w:marTop w:val="0"/>
          <w:marBottom w:val="0"/>
          <w:divBdr>
            <w:top w:val="none" w:sz="0" w:space="0" w:color="auto"/>
            <w:left w:val="none" w:sz="0" w:space="0" w:color="auto"/>
            <w:bottom w:val="none" w:sz="0" w:space="0" w:color="auto"/>
            <w:right w:val="none" w:sz="0" w:space="0" w:color="auto"/>
          </w:divBdr>
        </w:div>
      </w:divsChild>
    </w:div>
    <w:div w:id="1219825367">
      <w:bodyDiv w:val="1"/>
      <w:marLeft w:val="0"/>
      <w:marRight w:val="0"/>
      <w:marTop w:val="0"/>
      <w:marBottom w:val="0"/>
      <w:divBdr>
        <w:top w:val="none" w:sz="0" w:space="0" w:color="auto"/>
        <w:left w:val="none" w:sz="0" w:space="0" w:color="auto"/>
        <w:bottom w:val="none" w:sz="0" w:space="0" w:color="auto"/>
        <w:right w:val="none" w:sz="0" w:space="0" w:color="auto"/>
      </w:divBdr>
    </w:div>
    <w:div w:id="1226335120">
      <w:bodyDiv w:val="1"/>
      <w:marLeft w:val="0"/>
      <w:marRight w:val="0"/>
      <w:marTop w:val="0"/>
      <w:marBottom w:val="0"/>
      <w:divBdr>
        <w:top w:val="none" w:sz="0" w:space="0" w:color="auto"/>
        <w:left w:val="none" w:sz="0" w:space="0" w:color="auto"/>
        <w:bottom w:val="none" w:sz="0" w:space="0" w:color="auto"/>
        <w:right w:val="none" w:sz="0" w:space="0" w:color="auto"/>
      </w:divBdr>
    </w:div>
    <w:div w:id="1233273562">
      <w:bodyDiv w:val="1"/>
      <w:marLeft w:val="0"/>
      <w:marRight w:val="0"/>
      <w:marTop w:val="0"/>
      <w:marBottom w:val="0"/>
      <w:divBdr>
        <w:top w:val="none" w:sz="0" w:space="0" w:color="auto"/>
        <w:left w:val="none" w:sz="0" w:space="0" w:color="auto"/>
        <w:bottom w:val="none" w:sz="0" w:space="0" w:color="auto"/>
        <w:right w:val="none" w:sz="0" w:space="0" w:color="auto"/>
      </w:divBdr>
    </w:div>
    <w:div w:id="1234662159">
      <w:bodyDiv w:val="1"/>
      <w:marLeft w:val="0"/>
      <w:marRight w:val="0"/>
      <w:marTop w:val="0"/>
      <w:marBottom w:val="0"/>
      <w:divBdr>
        <w:top w:val="none" w:sz="0" w:space="0" w:color="auto"/>
        <w:left w:val="none" w:sz="0" w:space="0" w:color="auto"/>
        <w:bottom w:val="none" w:sz="0" w:space="0" w:color="auto"/>
        <w:right w:val="none" w:sz="0" w:space="0" w:color="auto"/>
      </w:divBdr>
    </w:div>
    <w:div w:id="1243680123">
      <w:bodyDiv w:val="1"/>
      <w:marLeft w:val="0"/>
      <w:marRight w:val="0"/>
      <w:marTop w:val="0"/>
      <w:marBottom w:val="0"/>
      <w:divBdr>
        <w:top w:val="none" w:sz="0" w:space="0" w:color="auto"/>
        <w:left w:val="none" w:sz="0" w:space="0" w:color="auto"/>
        <w:bottom w:val="none" w:sz="0" w:space="0" w:color="auto"/>
        <w:right w:val="none" w:sz="0" w:space="0" w:color="auto"/>
      </w:divBdr>
    </w:div>
    <w:div w:id="1244484929">
      <w:bodyDiv w:val="1"/>
      <w:marLeft w:val="0"/>
      <w:marRight w:val="0"/>
      <w:marTop w:val="0"/>
      <w:marBottom w:val="0"/>
      <w:divBdr>
        <w:top w:val="none" w:sz="0" w:space="0" w:color="auto"/>
        <w:left w:val="none" w:sz="0" w:space="0" w:color="auto"/>
        <w:bottom w:val="none" w:sz="0" w:space="0" w:color="auto"/>
        <w:right w:val="none" w:sz="0" w:space="0" w:color="auto"/>
      </w:divBdr>
    </w:div>
    <w:div w:id="1251429971">
      <w:bodyDiv w:val="1"/>
      <w:marLeft w:val="0"/>
      <w:marRight w:val="0"/>
      <w:marTop w:val="0"/>
      <w:marBottom w:val="0"/>
      <w:divBdr>
        <w:top w:val="none" w:sz="0" w:space="0" w:color="auto"/>
        <w:left w:val="none" w:sz="0" w:space="0" w:color="auto"/>
        <w:bottom w:val="none" w:sz="0" w:space="0" w:color="auto"/>
        <w:right w:val="none" w:sz="0" w:space="0" w:color="auto"/>
      </w:divBdr>
    </w:div>
    <w:div w:id="1254633492">
      <w:bodyDiv w:val="1"/>
      <w:marLeft w:val="0"/>
      <w:marRight w:val="0"/>
      <w:marTop w:val="0"/>
      <w:marBottom w:val="0"/>
      <w:divBdr>
        <w:top w:val="none" w:sz="0" w:space="0" w:color="auto"/>
        <w:left w:val="none" w:sz="0" w:space="0" w:color="auto"/>
        <w:bottom w:val="none" w:sz="0" w:space="0" w:color="auto"/>
        <w:right w:val="none" w:sz="0" w:space="0" w:color="auto"/>
      </w:divBdr>
    </w:div>
    <w:div w:id="1259295350">
      <w:bodyDiv w:val="1"/>
      <w:marLeft w:val="0"/>
      <w:marRight w:val="0"/>
      <w:marTop w:val="0"/>
      <w:marBottom w:val="0"/>
      <w:divBdr>
        <w:top w:val="none" w:sz="0" w:space="0" w:color="auto"/>
        <w:left w:val="none" w:sz="0" w:space="0" w:color="auto"/>
        <w:bottom w:val="none" w:sz="0" w:space="0" w:color="auto"/>
        <w:right w:val="none" w:sz="0" w:space="0" w:color="auto"/>
      </w:divBdr>
    </w:div>
    <w:div w:id="1259407557">
      <w:bodyDiv w:val="1"/>
      <w:marLeft w:val="0"/>
      <w:marRight w:val="0"/>
      <w:marTop w:val="0"/>
      <w:marBottom w:val="0"/>
      <w:divBdr>
        <w:top w:val="none" w:sz="0" w:space="0" w:color="auto"/>
        <w:left w:val="none" w:sz="0" w:space="0" w:color="auto"/>
        <w:bottom w:val="none" w:sz="0" w:space="0" w:color="auto"/>
        <w:right w:val="none" w:sz="0" w:space="0" w:color="auto"/>
      </w:divBdr>
    </w:div>
    <w:div w:id="1265072600">
      <w:bodyDiv w:val="1"/>
      <w:marLeft w:val="0"/>
      <w:marRight w:val="0"/>
      <w:marTop w:val="0"/>
      <w:marBottom w:val="0"/>
      <w:divBdr>
        <w:top w:val="none" w:sz="0" w:space="0" w:color="auto"/>
        <w:left w:val="none" w:sz="0" w:space="0" w:color="auto"/>
        <w:bottom w:val="none" w:sz="0" w:space="0" w:color="auto"/>
        <w:right w:val="none" w:sz="0" w:space="0" w:color="auto"/>
      </w:divBdr>
    </w:div>
    <w:div w:id="1273902528">
      <w:bodyDiv w:val="1"/>
      <w:marLeft w:val="0"/>
      <w:marRight w:val="0"/>
      <w:marTop w:val="0"/>
      <w:marBottom w:val="0"/>
      <w:divBdr>
        <w:top w:val="none" w:sz="0" w:space="0" w:color="auto"/>
        <w:left w:val="none" w:sz="0" w:space="0" w:color="auto"/>
        <w:bottom w:val="none" w:sz="0" w:space="0" w:color="auto"/>
        <w:right w:val="none" w:sz="0" w:space="0" w:color="auto"/>
      </w:divBdr>
      <w:divsChild>
        <w:div w:id="4437720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1201545">
              <w:marLeft w:val="0"/>
              <w:marRight w:val="0"/>
              <w:marTop w:val="0"/>
              <w:marBottom w:val="0"/>
              <w:divBdr>
                <w:top w:val="none" w:sz="0" w:space="0" w:color="auto"/>
                <w:left w:val="none" w:sz="0" w:space="0" w:color="auto"/>
                <w:bottom w:val="none" w:sz="0" w:space="0" w:color="auto"/>
                <w:right w:val="none" w:sz="0" w:space="0" w:color="auto"/>
              </w:divBdr>
              <w:divsChild>
                <w:div w:id="17410996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275164905">
      <w:bodyDiv w:val="1"/>
      <w:marLeft w:val="0"/>
      <w:marRight w:val="0"/>
      <w:marTop w:val="0"/>
      <w:marBottom w:val="0"/>
      <w:divBdr>
        <w:top w:val="none" w:sz="0" w:space="0" w:color="auto"/>
        <w:left w:val="none" w:sz="0" w:space="0" w:color="auto"/>
        <w:bottom w:val="none" w:sz="0" w:space="0" w:color="auto"/>
        <w:right w:val="none" w:sz="0" w:space="0" w:color="auto"/>
      </w:divBdr>
    </w:div>
    <w:div w:id="1276524028">
      <w:bodyDiv w:val="1"/>
      <w:marLeft w:val="0"/>
      <w:marRight w:val="0"/>
      <w:marTop w:val="0"/>
      <w:marBottom w:val="0"/>
      <w:divBdr>
        <w:top w:val="none" w:sz="0" w:space="0" w:color="auto"/>
        <w:left w:val="none" w:sz="0" w:space="0" w:color="auto"/>
        <w:bottom w:val="none" w:sz="0" w:space="0" w:color="auto"/>
        <w:right w:val="none" w:sz="0" w:space="0" w:color="auto"/>
      </w:divBdr>
    </w:div>
    <w:div w:id="1277719097">
      <w:bodyDiv w:val="1"/>
      <w:marLeft w:val="0"/>
      <w:marRight w:val="0"/>
      <w:marTop w:val="0"/>
      <w:marBottom w:val="0"/>
      <w:divBdr>
        <w:top w:val="none" w:sz="0" w:space="0" w:color="auto"/>
        <w:left w:val="none" w:sz="0" w:space="0" w:color="auto"/>
        <w:bottom w:val="none" w:sz="0" w:space="0" w:color="auto"/>
        <w:right w:val="none" w:sz="0" w:space="0" w:color="auto"/>
      </w:divBdr>
    </w:div>
    <w:div w:id="1280867959">
      <w:bodyDiv w:val="1"/>
      <w:marLeft w:val="0"/>
      <w:marRight w:val="0"/>
      <w:marTop w:val="0"/>
      <w:marBottom w:val="0"/>
      <w:divBdr>
        <w:top w:val="none" w:sz="0" w:space="0" w:color="auto"/>
        <w:left w:val="none" w:sz="0" w:space="0" w:color="auto"/>
        <w:bottom w:val="none" w:sz="0" w:space="0" w:color="auto"/>
        <w:right w:val="none" w:sz="0" w:space="0" w:color="auto"/>
      </w:divBdr>
    </w:div>
    <w:div w:id="1281764626">
      <w:bodyDiv w:val="1"/>
      <w:marLeft w:val="0"/>
      <w:marRight w:val="0"/>
      <w:marTop w:val="0"/>
      <w:marBottom w:val="0"/>
      <w:divBdr>
        <w:top w:val="none" w:sz="0" w:space="0" w:color="auto"/>
        <w:left w:val="none" w:sz="0" w:space="0" w:color="auto"/>
        <w:bottom w:val="none" w:sz="0" w:space="0" w:color="auto"/>
        <w:right w:val="none" w:sz="0" w:space="0" w:color="auto"/>
      </w:divBdr>
    </w:div>
    <w:div w:id="1282612879">
      <w:bodyDiv w:val="1"/>
      <w:marLeft w:val="0"/>
      <w:marRight w:val="0"/>
      <w:marTop w:val="0"/>
      <w:marBottom w:val="0"/>
      <w:divBdr>
        <w:top w:val="none" w:sz="0" w:space="0" w:color="auto"/>
        <w:left w:val="none" w:sz="0" w:space="0" w:color="auto"/>
        <w:bottom w:val="none" w:sz="0" w:space="0" w:color="auto"/>
        <w:right w:val="none" w:sz="0" w:space="0" w:color="auto"/>
      </w:divBdr>
      <w:divsChild>
        <w:div w:id="10989120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9312092">
              <w:marLeft w:val="0"/>
              <w:marRight w:val="0"/>
              <w:marTop w:val="0"/>
              <w:marBottom w:val="0"/>
              <w:divBdr>
                <w:top w:val="none" w:sz="0" w:space="0" w:color="auto"/>
                <w:left w:val="none" w:sz="0" w:space="0" w:color="auto"/>
                <w:bottom w:val="none" w:sz="0" w:space="0" w:color="auto"/>
                <w:right w:val="none" w:sz="0" w:space="0" w:color="auto"/>
              </w:divBdr>
              <w:divsChild>
                <w:div w:id="8507252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288076288">
      <w:bodyDiv w:val="1"/>
      <w:marLeft w:val="0"/>
      <w:marRight w:val="0"/>
      <w:marTop w:val="0"/>
      <w:marBottom w:val="0"/>
      <w:divBdr>
        <w:top w:val="none" w:sz="0" w:space="0" w:color="auto"/>
        <w:left w:val="none" w:sz="0" w:space="0" w:color="auto"/>
        <w:bottom w:val="none" w:sz="0" w:space="0" w:color="auto"/>
        <w:right w:val="none" w:sz="0" w:space="0" w:color="auto"/>
      </w:divBdr>
    </w:div>
    <w:div w:id="1291940657">
      <w:bodyDiv w:val="1"/>
      <w:marLeft w:val="0"/>
      <w:marRight w:val="0"/>
      <w:marTop w:val="0"/>
      <w:marBottom w:val="0"/>
      <w:divBdr>
        <w:top w:val="none" w:sz="0" w:space="0" w:color="auto"/>
        <w:left w:val="none" w:sz="0" w:space="0" w:color="auto"/>
        <w:bottom w:val="none" w:sz="0" w:space="0" w:color="auto"/>
        <w:right w:val="none" w:sz="0" w:space="0" w:color="auto"/>
      </w:divBdr>
    </w:div>
    <w:div w:id="1297250109">
      <w:bodyDiv w:val="1"/>
      <w:marLeft w:val="0"/>
      <w:marRight w:val="0"/>
      <w:marTop w:val="0"/>
      <w:marBottom w:val="0"/>
      <w:divBdr>
        <w:top w:val="none" w:sz="0" w:space="0" w:color="auto"/>
        <w:left w:val="none" w:sz="0" w:space="0" w:color="auto"/>
        <w:bottom w:val="none" w:sz="0" w:space="0" w:color="auto"/>
        <w:right w:val="none" w:sz="0" w:space="0" w:color="auto"/>
      </w:divBdr>
      <w:divsChild>
        <w:div w:id="91896024">
          <w:marLeft w:val="0"/>
          <w:marRight w:val="0"/>
          <w:marTop w:val="0"/>
          <w:marBottom w:val="0"/>
          <w:divBdr>
            <w:top w:val="none" w:sz="0" w:space="0" w:color="auto"/>
            <w:left w:val="none" w:sz="0" w:space="0" w:color="auto"/>
            <w:bottom w:val="none" w:sz="0" w:space="0" w:color="auto"/>
            <w:right w:val="none" w:sz="0" w:space="0" w:color="auto"/>
          </w:divBdr>
        </w:div>
        <w:div w:id="141121502">
          <w:marLeft w:val="0"/>
          <w:marRight w:val="0"/>
          <w:marTop w:val="0"/>
          <w:marBottom w:val="0"/>
          <w:divBdr>
            <w:top w:val="none" w:sz="0" w:space="0" w:color="auto"/>
            <w:left w:val="none" w:sz="0" w:space="0" w:color="auto"/>
            <w:bottom w:val="none" w:sz="0" w:space="0" w:color="auto"/>
            <w:right w:val="none" w:sz="0" w:space="0" w:color="auto"/>
          </w:divBdr>
        </w:div>
        <w:div w:id="176043028">
          <w:marLeft w:val="0"/>
          <w:marRight w:val="0"/>
          <w:marTop w:val="0"/>
          <w:marBottom w:val="0"/>
          <w:divBdr>
            <w:top w:val="none" w:sz="0" w:space="0" w:color="auto"/>
            <w:left w:val="none" w:sz="0" w:space="0" w:color="auto"/>
            <w:bottom w:val="none" w:sz="0" w:space="0" w:color="auto"/>
            <w:right w:val="none" w:sz="0" w:space="0" w:color="auto"/>
          </w:divBdr>
        </w:div>
        <w:div w:id="732316032">
          <w:marLeft w:val="0"/>
          <w:marRight w:val="0"/>
          <w:marTop w:val="0"/>
          <w:marBottom w:val="0"/>
          <w:divBdr>
            <w:top w:val="none" w:sz="0" w:space="0" w:color="auto"/>
            <w:left w:val="none" w:sz="0" w:space="0" w:color="auto"/>
            <w:bottom w:val="none" w:sz="0" w:space="0" w:color="auto"/>
            <w:right w:val="none" w:sz="0" w:space="0" w:color="auto"/>
          </w:divBdr>
        </w:div>
        <w:div w:id="1548950917">
          <w:marLeft w:val="0"/>
          <w:marRight w:val="0"/>
          <w:marTop w:val="0"/>
          <w:marBottom w:val="0"/>
          <w:divBdr>
            <w:top w:val="none" w:sz="0" w:space="0" w:color="auto"/>
            <w:left w:val="none" w:sz="0" w:space="0" w:color="auto"/>
            <w:bottom w:val="none" w:sz="0" w:space="0" w:color="auto"/>
            <w:right w:val="none" w:sz="0" w:space="0" w:color="auto"/>
          </w:divBdr>
        </w:div>
        <w:div w:id="1942955459">
          <w:marLeft w:val="0"/>
          <w:marRight w:val="0"/>
          <w:marTop w:val="0"/>
          <w:marBottom w:val="0"/>
          <w:divBdr>
            <w:top w:val="none" w:sz="0" w:space="0" w:color="auto"/>
            <w:left w:val="none" w:sz="0" w:space="0" w:color="auto"/>
            <w:bottom w:val="none" w:sz="0" w:space="0" w:color="auto"/>
            <w:right w:val="none" w:sz="0" w:space="0" w:color="auto"/>
          </w:divBdr>
        </w:div>
      </w:divsChild>
    </w:div>
    <w:div w:id="1299645978">
      <w:bodyDiv w:val="1"/>
      <w:marLeft w:val="0"/>
      <w:marRight w:val="0"/>
      <w:marTop w:val="0"/>
      <w:marBottom w:val="0"/>
      <w:divBdr>
        <w:top w:val="none" w:sz="0" w:space="0" w:color="auto"/>
        <w:left w:val="none" w:sz="0" w:space="0" w:color="auto"/>
        <w:bottom w:val="none" w:sz="0" w:space="0" w:color="auto"/>
        <w:right w:val="none" w:sz="0" w:space="0" w:color="auto"/>
      </w:divBdr>
    </w:div>
    <w:div w:id="1300266159">
      <w:bodyDiv w:val="1"/>
      <w:marLeft w:val="0"/>
      <w:marRight w:val="0"/>
      <w:marTop w:val="0"/>
      <w:marBottom w:val="0"/>
      <w:divBdr>
        <w:top w:val="none" w:sz="0" w:space="0" w:color="auto"/>
        <w:left w:val="none" w:sz="0" w:space="0" w:color="auto"/>
        <w:bottom w:val="none" w:sz="0" w:space="0" w:color="auto"/>
        <w:right w:val="none" w:sz="0" w:space="0" w:color="auto"/>
      </w:divBdr>
    </w:div>
    <w:div w:id="1305816468">
      <w:bodyDiv w:val="1"/>
      <w:marLeft w:val="0"/>
      <w:marRight w:val="0"/>
      <w:marTop w:val="0"/>
      <w:marBottom w:val="0"/>
      <w:divBdr>
        <w:top w:val="none" w:sz="0" w:space="0" w:color="auto"/>
        <w:left w:val="none" w:sz="0" w:space="0" w:color="auto"/>
        <w:bottom w:val="none" w:sz="0" w:space="0" w:color="auto"/>
        <w:right w:val="none" w:sz="0" w:space="0" w:color="auto"/>
      </w:divBdr>
    </w:div>
    <w:div w:id="1310357800">
      <w:bodyDiv w:val="1"/>
      <w:marLeft w:val="0"/>
      <w:marRight w:val="0"/>
      <w:marTop w:val="0"/>
      <w:marBottom w:val="0"/>
      <w:divBdr>
        <w:top w:val="none" w:sz="0" w:space="0" w:color="auto"/>
        <w:left w:val="none" w:sz="0" w:space="0" w:color="auto"/>
        <w:bottom w:val="none" w:sz="0" w:space="0" w:color="auto"/>
        <w:right w:val="none" w:sz="0" w:space="0" w:color="auto"/>
      </w:divBdr>
    </w:div>
    <w:div w:id="1314991094">
      <w:bodyDiv w:val="1"/>
      <w:marLeft w:val="0"/>
      <w:marRight w:val="0"/>
      <w:marTop w:val="0"/>
      <w:marBottom w:val="0"/>
      <w:divBdr>
        <w:top w:val="none" w:sz="0" w:space="0" w:color="auto"/>
        <w:left w:val="none" w:sz="0" w:space="0" w:color="auto"/>
        <w:bottom w:val="none" w:sz="0" w:space="0" w:color="auto"/>
        <w:right w:val="none" w:sz="0" w:space="0" w:color="auto"/>
      </w:divBdr>
    </w:div>
    <w:div w:id="1321353141">
      <w:bodyDiv w:val="1"/>
      <w:marLeft w:val="0"/>
      <w:marRight w:val="0"/>
      <w:marTop w:val="0"/>
      <w:marBottom w:val="0"/>
      <w:divBdr>
        <w:top w:val="none" w:sz="0" w:space="0" w:color="auto"/>
        <w:left w:val="none" w:sz="0" w:space="0" w:color="auto"/>
        <w:bottom w:val="none" w:sz="0" w:space="0" w:color="auto"/>
        <w:right w:val="none" w:sz="0" w:space="0" w:color="auto"/>
      </w:divBdr>
    </w:div>
    <w:div w:id="1326788974">
      <w:bodyDiv w:val="1"/>
      <w:marLeft w:val="0"/>
      <w:marRight w:val="0"/>
      <w:marTop w:val="0"/>
      <w:marBottom w:val="0"/>
      <w:divBdr>
        <w:top w:val="none" w:sz="0" w:space="0" w:color="auto"/>
        <w:left w:val="none" w:sz="0" w:space="0" w:color="auto"/>
        <w:bottom w:val="none" w:sz="0" w:space="0" w:color="auto"/>
        <w:right w:val="none" w:sz="0" w:space="0" w:color="auto"/>
      </w:divBdr>
    </w:div>
    <w:div w:id="1329484771">
      <w:bodyDiv w:val="1"/>
      <w:marLeft w:val="0"/>
      <w:marRight w:val="0"/>
      <w:marTop w:val="0"/>
      <w:marBottom w:val="0"/>
      <w:divBdr>
        <w:top w:val="none" w:sz="0" w:space="0" w:color="auto"/>
        <w:left w:val="none" w:sz="0" w:space="0" w:color="auto"/>
        <w:bottom w:val="none" w:sz="0" w:space="0" w:color="auto"/>
        <w:right w:val="none" w:sz="0" w:space="0" w:color="auto"/>
      </w:divBdr>
    </w:div>
    <w:div w:id="1331710825">
      <w:bodyDiv w:val="1"/>
      <w:marLeft w:val="0"/>
      <w:marRight w:val="0"/>
      <w:marTop w:val="0"/>
      <w:marBottom w:val="0"/>
      <w:divBdr>
        <w:top w:val="none" w:sz="0" w:space="0" w:color="auto"/>
        <w:left w:val="none" w:sz="0" w:space="0" w:color="auto"/>
        <w:bottom w:val="none" w:sz="0" w:space="0" w:color="auto"/>
        <w:right w:val="none" w:sz="0" w:space="0" w:color="auto"/>
      </w:divBdr>
    </w:div>
    <w:div w:id="1332833474">
      <w:bodyDiv w:val="1"/>
      <w:marLeft w:val="0"/>
      <w:marRight w:val="0"/>
      <w:marTop w:val="0"/>
      <w:marBottom w:val="0"/>
      <w:divBdr>
        <w:top w:val="none" w:sz="0" w:space="0" w:color="auto"/>
        <w:left w:val="none" w:sz="0" w:space="0" w:color="auto"/>
        <w:bottom w:val="none" w:sz="0" w:space="0" w:color="auto"/>
        <w:right w:val="none" w:sz="0" w:space="0" w:color="auto"/>
      </w:divBdr>
    </w:div>
    <w:div w:id="1344938237">
      <w:bodyDiv w:val="1"/>
      <w:marLeft w:val="0"/>
      <w:marRight w:val="0"/>
      <w:marTop w:val="0"/>
      <w:marBottom w:val="0"/>
      <w:divBdr>
        <w:top w:val="none" w:sz="0" w:space="0" w:color="auto"/>
        <w:left w:val="none" w:sz="0" w:space="0" w:color="auto"/>
        <w:bottom w:val="none" w:sz="0" w:space="0" w:color="auto"/>
        <w:right w:val="none" w:sz="0" w:space="0" w:color="auto"/>
      </w:divBdr>
      <w:divsChild>
        <w:div w:id="17232856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383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064840">
      <w:bodyDiv w:val="1"/>
      <w:marLeft w:val="0"/>
      <w:marRight w:val="0"/>
      <w:marTop w:val="0"/>
      <w:marBottom w:val="0"/>
      <w:divBdr>
        <w:top w:val="none" w:sz="0" w:space="0" w:color="auto"/>
        <w:left w:val="none" w:sz="0" w:space="0" w:color="auto"/>
        <w:bottom w:val="none" w:sz="0" w:space="0" w:color="auto"/>
        <w:right w:val="none" w:sz="0" w:space="0" w:color="auto"/>
      </w:divBdr>
    </w:div>
    <w:div w:id="1350138589">
      <w:bodyDiv w:val="1"/>
      <w:marLeft w:val="0"/>
      <w:marRight w:val="0"/>
      <w:marTop w:val="0"/>
      <w:marBottom w:val="0"/>
      <w:divBdr>
        <w:top w:val="none" w:sz="0" w:space="0" w:color="auto"/>
        <w:left w:val="none" w:sz="0" w:space="0" w:color="auto"/>
        <w:bottom w:val="none" w:sz="0" w:space="0" w:color="auto"/>
        <w:right w:val="none" w:sz="0" w:space="0" w:color="auto"/>
      </w:divBdr>
    </w:div>
    <w:div w:id="1350527518">
      <w:bodyDiv w:val="1"/>
      <w:marLeft w:val="0"/>
      <w:marRight w:val="0"/>
      <w:marTop w:val="0"/>
      <w:marBottom w:val="0"/>
      <w:divBdr>
        <w:top w:val="none" w:sz="0" w:space="0" w:color="auto"/>
        <w:left w:val="none" w:sz="0" w:space="0" w:color="auto"/>
        <w:bottom w:val="none" w:sz="0" w:space="0" w:color="auto"/>
        <w:right w:val="none" w:sz="0" w:space="0" w:color="auto"/>
      </w:divBdr>
    </w:div>
    <w:div w:id="1361903818">
      <w:bodyDiv w:val="1"/>
      <w:marLeft w:val="0"/>
      <w:marRight w:val="0"/>
      <w:marTop w:val="0"/>
      <w:marBottom w:val="0"/>
      <w:divBdr>
        <w:top w:val="none" w:sz="0" w:space="0" w:color="auto"/>
        <w:left w:val="none" w:sz="0" w:space="0" w:color="auto"/>
        <w:bottom w:val="none" w:sz="0" w:space="0" w:color="auto"/>
        <w:right w:val="none" w:sz="0" w:space="0" w:color="auto"/>
      </w:divBdr>
    </w:div>
    <w:div w:id="1363480919">
      <w:bodyDiv w:val="1"/>
      <w:marLeft w:val="0"/>
      <w:marRight w:val="0"/>
      <w:marTop w:val="0"/>
      <w:marBottom w:val="0"/>
      <w:divBdr>
        <w:top w:val="none" w:sz="0" w:space="0" w:color="auto"/>
        <w:left w:val="none" w:sz="0" w:space="0" w:color="auto"/>
        <w:bottom w:val="none" w:sz="0" w:space="0" w:color="auto"/>
        <w:right w:val="none" w:sz="0" w:space="0" w:color="auto"/>
      </w:divBdr>
    </w:div>
    <w:div w:id="1367103113">
      <w:bodyDiv w:val="1"/>
      <w:marLeft w:val="0"/>
      <w:marRight w:val="0"/>
      <w:marTop w:val="0"/>
      <w:marBottom w:val="0"/>
      <w:divBdr>
        <w:top w:val="none" w:sz="0" w:space="0" w:color="auto"/>
        <w:left w:val="none" w:sz="0" w:space="0" w:color="auto"/>
        <w:bottom w:val="none" w:sz="0" w:space="0" w:color="auto"/>
        <w:right w:val="none" w:sz="0" w:space="0" w:color="auto"/>
      </w:divBdr>
    </w:div>
    <w:div w:id="1368948378">
      <w:bodyDiv w:val="1"/>
      <w:marLeft w:val="0"/>
      <w:marRight w:val="0"/>
      <w:marTop w:val="0"/>
      <w:marBottom w:val="0"/>
      <w:divBdr>
        <w:top w:val="none" w:sz="0" w:space="0" w:color="auto"/>
        <w:left w:val="none" w:sz="0" w:space="0" w:color="auto"/>
        <w:bottom w:val="none" w:sz="0" w:space="0" w:color="auto"/>
        <w:right w:val="none" w:sz="0" w:space="0" w:color="auto"/>
      </w:divBdr>
    </w:div>
    <w:div w:id="1369181882">
      <w:bodyDiv w:val="1"/>
      <w:marLeft w:val="0"/>
      <w:marRight w:val="0"/>
      <w:marTop w:val="0"/>
      <w:marBottom w:val="0"/>
      <w:divBdr>
        <w:top w:val="none" w:sz="0" w:space="0" w:color="auto"/>
        <w:left w:val="none" w:sz="0" w:space="0" w:color="auto"/>
        <w:bottom w:val="none" w:sz="0" w:space="0" w:color="auto"/>
        <w:right w:val="none" w:sz="0" w:space="0" w:color="auto"/>
      </w:divBdr>
    </w:div>
    <w:div w:id="1378970577">
      <w:bodyDiv w:val="1"/>
      <w:marLeft w:val="0"/>
      <w:marRight w:val="0"/>
      <w:marTop w:val="0"/>
      <w:marBottom w:val="0"/>
      <w:divBdr>
        <w:top w:val="none" w:sz="0" w:space="0" w:color="auto"/>
        <w:left w:val="none" w:sz="0" w:space="0" w:color="auto"/>
        <w:bottom w:val="none" w:sz="0" w:space="0" w:color="auto"/>
        <w:right w:val="none" w:sz="0" w:space="0" w:color="auto"/>
      </w:divBdr>
    </w:div>
    <w:div w:id="1381709803">
      <w:bodyDiv w:val="1"/>
      <w:marLeft w:val="0"/>
      <w:marRight w:val="0"/>
      <w:marTop w:val="0"/>
      <w:marBottom w:val="0"/>
      <w:divBdr>
        <w:top w:val="none" w:sz="0" w:space="0" w:color="auto"/>
        <w:left w:val="none" w:sz="0" w:space="0" w:color="auto"/>
        <w:bottom w:val="none" w:sz="0" w:space="0" w:color="auto"/>
        <w:right w:val="none" w:sz="0" w:space="0" w:color="auto"/>
      </w:divBdr>
    </w:div>
    <w:div w:id="1382636248">
      <w:bodyDiv w:val="1"/>
      <w:marLeft w:val="0"/>
      <w:marRight w:val="0"/>
      <w:marTop w:val="0"/>
      <w:marBottom w:val="0"/>
      <w:divBdr>
        <w:top w:val="none" w:sz="0" w:space="0" w:color="auto"/>
        <w:left w:val="none" w:sz="0" w:space="0" w:color="auto"/>
        <w:bottom w:val="none" w:sz="0" w:space="0" w:color="auto"/>
        <w:right w:val="none" w:sz="0" w:space="0" w:color="auto"/>
      </w:divBdr>
      <w:divsChild>
        <w:div w:id="526450987">
          <w:marLeft w:val="720"/>
          <w:marRight w:val="0"/>
          <w:marTop w:val="0"/>
          <w:marBottom w:val="0"/>
          <w:divBdr>
            <w:top w:val="none" w:sz="0" w:space="0" w:color="auto"/>
            <w:left w:val="none" w:sz="0" w:space="0" w:color="auto"/>
            <w:bottom w:val="none" w:sz="0" w:space="0" w:color="auto"/>
            <w:right w:val="none" w:sz="0" w:space="0" w:color="auto"/>
          </w:divBdr>
        </w:div>
        <w:div w:id="1547764016">
          <w:marLeft w:val="720"/>
          <w:marRight w:val="0"/>
          <w:marTop w:val="0"/>
          <w:marBottom w:val="0"/>
          <w:divBdr>
            <w:top w:val="none" w:sz="0" w:space="0" w:color="auto"/>
            <w:left w:val="none" w:sz="0" w:space="0" w:color="auto"/>
            <w:bottom w:val="none" w:sz="0" w:space="0" w:color="auto"/>
            <w:right w:val="none" w:sz="0" w:space="0" w:color="auto"/>
          </w:divBdr>
        </w:div>
      </w:divsChild>
    </w:div>
    <w:div w:id="1382707871">
      <w:bodyDiv w:val="1"/>
      <w:marLeft w:val="0"/>
      <w:marRight w:val="0"/>
      <w:marTop w:val="0"/>
      <w:marBottom w:val="0"/>
      <w:divBdr>
        <w:top w:val="none" w:sz="0" w:space="0" w:color="auto"/>
        <w:left w:val="none" w:sz="0" w:space="0" w:color="auto"/>
        <w:bottom w:val="none" w:sz="0" w:space="0" w:color="auto"/>
        <w:right w:val="none" w:sz="0" w:space="0" w:color="auto"/>
      </w:divBdr>
    </w:div>
    <w:div w:id="1384283077">
      <w:bodyDiv w:val="1"/>
      <w:marLeft w:val="0"/>
      <w:marRight w:val="0"/>
      <w:marTop w:val="0"/>
      <w:marBottom w:val="0"/>
      <w:divBdr>
        <w:top w:val="none" w:sz="0" w:space="0" w:color="auto"/>
        <w:left w:val="none" w:sz="0" w:space="0" w:color="auto"/>
        <w:bottom w:val="none" w:sz="0" w:space="0" w:color="auto"/>
        <w:right w:val="none" w:sz="0" w:space="0" w:color="auto"/>
      </w:divBdr>
    </w:div>
    <w:div w:id="1391415340">
      <w:bodyDiv w:val="1"/>
      <w:marLeft w:val="0"/>
      <w:marRight w:val="0"/>
      <w:marTop w:val="0"/>
      <w:marBottom w:val="0"/>
      <w:divBdr>
        <w:top w:val="none" w:sz="0" w:space="0" w:color="auto"/>
        <w:left w:val="none" w:sz="0" w:space="0" w:color="auto"/>
        <w:bottom w:val="none" w:sz="0" w:space="0" w:color="auto"/>
        <w:right w:val="none" w:sz="0" w:space="0" w:color="auto"/>
      </w:divBdr>
    </w:div>
    <w:div w:id="1391884633">
      <w:bodyDiv w:val="1"/>
      <w:marLeft w:val="0"/>
      <w:marRight w:val="0"/>
      <w:marTop w:val="0"/>
      <w:marBottom w:val="0"/>
      <w:divBdr>
        <w:top w:val="none" w:sz="0" w:space="0" w:color="auto"/>
        <w:left w:val="none" w:sz="0" w:space="0" w:color="auto"/>
        <w:bottom w:val="none" w:sz="0" w:space="0" w:color="auto"/>
        <w:right w:val="none" w:sz="0" w:space="0" w:color="auto"/>
      </w:divBdr>
    </w:div>
    <w:div w:id="1395809403">
      <w:bodyDiv w:val="1"/>
      <w:marLeft w:val="0"/>
      <w:marRight w:val="0"/>
      <w:marTop w:val="0"/>
      <w:marBottom w:val="0"/>
      <w:divBdr>
        <w:top w:val="none" w:sz="0" w:space="0" w:color="auto"/>
        <w:left w:val="none" w:sz="0" w:space="0" w:color="auto"/>
        <w:bottom w:val="none" w:sz="0" w:space="0" w:color="auto"/>
        <w:right w:val="none" w:sz="0" w:space="0" w:color="auto"/>
      </w:divBdr>
    </w:div>
    <w:div w:id="1401517224">
      <w:bodyDiv w:val="1"/>
      <w:marLeft w:val="0"/>
      <w:marRight w:val="0"/>
      <w:marTop w:val="0"/>
      <w:marBottom w:val="0"/>
      <w:divBdr>
        <w:top w:val="none" w:sz="0" w:space="0" w:color="auto"/>
        <w:left w:val="none" w:sz="0" w:space="0" w:color="auto"/>
        <w:bottom w:val="none" w:sz="0" w:space="0" w:color="auto"/>
        <w:right w:val="none" w:sz="0" w:space="0" w:color="auto"/>
      </w:divBdr>
    </w:div>
    <w:div w:id="1404335909">
      <w:bodyDiv w:val="1"/>
      <w:marLeft w:val="0"/>
      <w:marRight w:val="0"/>
      <w:marTop w:val="0"/>
      <w:marBottom w:val="0"/>
      <w:divBdr>
        <w:top w:val="none" w:sz="0" w:space="0" w:color="auto"/>
        <w:left w:val="none" w:sz="0" w:space="0" w:color="auto"/>
        <w:bottom w:val="none" w:sz="0" w:space="0" w:color="auto"/>
        <w:right w:val="none" w:sz="0" w:space="0" w:color="auto"/>
      </w:divBdr>
    </w:div>
    <w:div w:id="1411270689">
      <w:bodyDiv w:val="1"/>
      <w:marLeft w:val="0"/>
      <w:marRight w:val="0"/>
      <w:marTop w:val="0"/>
      <w:marBottom w:val="0"/>
      <w:divBdr>
        <w:top w:val="none" w:sz="0" w:space="0" w:color="auto"/>
        <w:left w:val="none" w:sz="0" w:space="0" w:color="auto"/>
        <w:bottom w:val="none" w:sz="0" w:space="0" w:color="auto"/>
        <w:right w:val="none" w:sz="0" w:space="0" w:color="auto"/>
      </w:divBdr>
    </w:div>
    <w:div w:id="1415778005">
      <w:bodyDiv w:val="1"/>
      <w:marLeft w:val="0"/>
      <w:marRight w:val="0"/>
      <w:marTop w:val="0"/>
      <w:marBottom w:val="0"/>
      <w:divBdr>
        <w:top w:val="none" w:sz="0" w:space="0" w:color="auto"/>
        <w:left w:val="none" w:sz="0" w:space="0" w:color="auto"/>
        <w:bottom w:val="none" w:sz="0" w:space="0" w:color="auto"/>
        <w:right w:val="none" w:sz="0" w:space="0" w:color="auto"/>
      </w:divBdr>
      <w:divsChild>
        <w:div w:id="50660921">
          <w:marLeft w:val="0"/>
          <w:marRight w:val="0"/>
          <w:marTop w:val="0"/>
          <w:marBottom w:val="0"/>
          <w:divBdr>
            <w:top w:val="none" w:sz="0" w:space="0" w:color="auto"/>
            <w:left w:val="none" w:sz="0" w:space="0" w:color="auto"/>
            <w:bottom w:val="none" w:sz="0" w:space="0" w:color="auto"/>
            <w:right w:val="none" w:sz="0" w:space="0" w:color="auto"/>
          </w:divBdr>
        </w:div>
        <w:div w:id="112293400">
          <w:marLeft w:val="0"/>
          <w:marRight w:val="0"/>
          <w:marTop w:val="0"/>
          <w:marBottom w:val="0"/>
          <w:divBdr>
            <w:top w:val="none" w:sz="0" w:space="0" w:color="auto"/>
            <w:left w:val="none" w:sz="0" w:space="0" w:color="auto"/>
            <w:bottom w:val="none" w:sz="0" w:space="0" w:color="auto"/>
            <w:right w:val="none" w:sz="0" w:space="0" w:color="auto"/>
          </w:divBdr>
        </w:div>
        <w:div w:id="661932145">
          <w:marLeft w:val="0"/>
          <w:marRight w:val="0"/>
          <w:marTop w:val="0"/>
          <w:marBottom w:val="0"/>
          <w:divBdr>
            <w:top w:val="none" w:sz="0" w:space="0" w:color="auto"/>
            <w:left w:val="none" w:sz="0" w:space="0" w:color="auto"/>
            <w:bottom w:val="none" w:sz="0" w:space="0" w:color="auto"/>
            <w:right w:val="none" w:sz="0" w:space="0" w:color="auto"/>
          </w:divBdr>
        </w:div>
        <w:div w:id="784008424">
          <w:marLeft w:val="0"/>
          <w:marRight w:val="0"/>
          <w:marTop w:val="0"/>
          <w:marBottom w:val="0"/>
          <w:divBdr>
            <w:top w:val="none" w:sz="0" w:space="0" w:color="auto"/>
            <w:left w:val="none" w:sz="0" w:space="0" w:color="auto"/>
            <w:bottom w:val="none" w:sz="0" w:space="0" w:color="auto"/>
            <w:right w:val="none" w:sz="0" w:space="0" w:color="auto"/>
          </w:divBdr>
        </w:div>
        <w:div w:id="1369600250">
          <w:marLeft w:val="0"/>
          <w:marRight w:val="0"/>
          <w:marTop w:val="0"/>
          <w:marBottom w:val="0"/>
          <w:divBdr>
            <w:top w:val="none" w:sz="0" w:space="0" w:color="auto"/>
            <w:left w:val="none" w:sz="0" w:space="0" w:color="auto"/>
            <w:bottom w:val="none" w:sz="0" w:space="0" w:color="auto"/>
            <w:right w:val="none" w:sz="0" w:space="0" w:color="auto"/>
          </w:divBdr>
        </w:div>
        <w:div w:id="1435058688">
          <w:marLeft w:val="0"/>
          <w:marRight w:val="0"/>
          <w:marTop w:val="0"/>
          <w:marBottom w:val="0"/>
          <w:divBdr>
            <w:top w:val="none" w:sz="0" w:space="0" w:color="auto"/>
            <w:left w:val="none" w:sz="0" w:space="0" w:color="auto"/>
            <w:bottom w:val="none" w:sz="0" w:space="0" w:color="auto"/>
            <w:right w:val="none" w:sz="0" w:space="0" w:color="auto"/>
          </w:divBdr>
        </w:div>
        <w:div w:id="2031107473">
          <w:marLeft w:val="0"/>
          <w:marRight w:val="0"/>
          <w:marTop w:val="0"/>
          <w:marBottom w:val="0"/>
          <w:divBdr>
            <w:top w:val="none" w:sz="0" w:space="0" w:color="auto"/>
            <w:left w:val="none" w:sz="0" w:space="0" w:color="auto"/>
            <w:bottom w:val="none" w:sz="0" w:space="0" w:color="auto"/>
            <w:right w:val="none" w:sz="0" w:space="0" w:color="auto"/>
          </w:divBdr>
        </w:div>
      </w:divsChild>
    </w:div>
    <w:div w:id="1417746001">
      <w:bodyDiv w:val="1"/>
      <w:marLeft w:val="0"/>
      <w:marRight w:val="0"/>
      <w:marTop w:val="0"/>
      <w:marBottom w:val="0"/>
      <w:divBdr>
        <w:top w:val="none" w:sz="0" w:space="0" w:color="auto"/>
        <w:left w:val="none" w:sz="0" w:space="0" w:color="auto"/>
        <w:bottom w:val="none" w:sz="0" w:space="0" w:color="auto"/>
        <w:right w:val="none" w:sz="0" w:space="0" w:color="auto"/>
      </w:divBdr>
    </w:div>
    <w:div w:id="1423919113">
      <w:bodyDiv w:val="1"/>
      <w:marLeft w:val="0"/>
      <w:marRight w:val="0"/>
      <w:marTop w:val="0"/>
      <w:marBottom w:val="0"/>
      <w:divBdr>
        <w:top w:val="none" w:sz="0" w:space="0" w:color="auto"/>
        <w:left w:val="none" w:sz="0" w:space="0" w:color="auto"/>
        <w:bottom w:val="none" w:sz="0" w:space="0" w:color="auto"/>
        <w:right w:val="none" w:sz="0" w:space="0" w:color="auto"/>
      </w:divBdr>
    </w:div>
    <w:div w:id="1428966358">
      <w:bodyDiv w:val="1"/>
      <w:marLeft w:val="0"/>
      <w:marRight w:val="0"/>
      <w:marTop w:val="0"/>
      <w:marBottom w:val="0"/>
      <w:divBdr>
        <w:top w:val="none" w:sz="0" w:space="0" w:color="auto"/>
        <w:left w:val="none" w:sz="0" w:space="0" w:color="auto"/>
        <w:bottom w:val="none" w:sz="0" w:space="0" w:color="auto"/>
        <w:right w:val="none" w:sz="0" w:space="0" w:color="auto"/>
      </w:divBdr>
    </w:div>
    <w:div w:id="1439716120">
      <w:bodyDiv w:val="1"/>
      <w:marLeft w:val="0"/>
      <w:marRight w:val="0"/>
      <w:marTop w:val="0"/>
      <w:marBottom w:val="0"/>
      <w:divBdr>
        <w:top w:val="none" w:sz="0" w:space="0" w:color="auto"/>
        <w:left w:val="none" w:sz="0" w:space="0" w:color="auto"/>
        <w:bottom w:val="none" w:sz="0" w:space="0" w:color="auto"/>
        <w:right w:val="none" w:sz="0" w:space="0" w:color="auto"/>
      </w:divBdr>
    </w:div>
    <w:div w:id="1440643682">
      <w:bodyDiv w:val="1"/>
      <w:marLeft w:val="0"/>
      <w:marRight w:val="0"/>
      <w:marTop w:val="0"/>
      <w:marBottom w:val="0"/>
      <w:divBdr>
        <w:top w:val="none" w:sz="0" w:space="0" w:color="auto"/>
        <w:left w:val="none" w:sz="0" w:space="0" w:color="auto"/>
        <w:bottom w:val="none" w:sz="0" w:space="0" w:color="auto"/>
        <w:right w:val="none" w:sz="0" w:space="0" w:color="auto"/>
      </w:divBdr>
    </w:div>
    <w:div w:id="1440956109">
      <w:bodyDiv w:val="1"/>
      <w:marLeft w:val="0"/>
      <w:marRight w:val="0"/>
      <w:marTop w:val="0"/>
      <w:marBottom w:val="0"/>
      <w:divBdr>
        <w:top w:val="none" w:sz="0" w:space="0" w:color="auto"/>
        <w:left w:val="none" w:sz="0" w:space="0" w:color="auto"/>
        <w:bottom w:val="none" w:sz="0" w:space="0" w:color="auto"/>
        <w:right w:val="none" w:sz="0" w:space="0" w:color="auto"/>
      </w:divBdr>
    </w:div>
    <w:div w:id="1444687318">
      <w:bodyDiv w:val="1"/>
      <w:marLeft w:val="0"/>
      <w:marRight w:val="0"/>
      <w:marTop w:val="0"/>
      <w:marBottom w:val="0"/>
      <w:divBdr>
        <w:top w:val="none" w:sz="0" w:space="0" w:color="auto"/>
        <w:left w:val="none" w:sz="0" w:space="0" w:color="auto"/>
        <w:bottom w:val="none" w:sz="0" w:space="0" w:color="auto"/>
        <w:right w:val="none" w:sz="0" w:space="0" w:color="auto"/>
      </w:divBdr>
    </w:div>
    <w:div w:id="1447770125">
      <w:bodyDiv w:val="1"/>
      <w:marLeft w:val="0"/>
      <w:marRight w:val="0"/>
      <w:marTop w:val="0"/>
      <w:marBottom w:val="0"/>
      <w:divBdr>
        <w:top w:val="none" w:sz="0" w:space="0" w:color="auto"/>
        <w:left w:val="none" w:sz="0" w:space="0" w:color="auto"/>
        <w:bottom w:val="none" w:sz="0" w:space="0" w:color="auto"/>
        <w:right w:val="none" w:sz="0" w:space="0" w:color="auto"/>
      </w:divBdr>
    </w:div>
    <w:div w:id="1450667028">
      <w:bodyDiv w:val="1"/>
      <w:marLeft w:val="0"/>
      <w:marRight w:val="0"/>
      <w:marTop w:val="0"/>
      <w:marBottom w:val="0"/>
      <w:divBdr>
        <w:top w:val="none" w:sz="0" w:space="0" w:color="auto"/>
        <w:left w:val="none" w:sz="0" w:space="0" w:color="auto"/>
        <w:bottom w:val="none" w:sz="0" w:space="0" w:color="auto"/>
        <w:right w:val="none" w:sz="0" w:space="0" w:color="auto"/>
      </w:divBdr>
    </w:div>
    <w:div w:id="1459494348">
      <w:bodyDiv w:val="1"/>
      <w:marLeft w:val="0"/>
      <w:marRight w:val="0"/>
      <w:marTop w:val="0"/>
      <w:marBottom w:val="0"/>
      <w:divBdr>
        <w:top w:val="none" w:sz="0" w:space="0" w:color="auto"/>
        <w:left w:val="none" w:sz="0" w:space="0" w:color="auto"/>
        <w:bottom w:val="none" w:sz="0" w:space="0" w:color="auto"/>
        <w:right w:val="none" w:sz="0" w:space="0" w:color="auto"/>
      </w:divBdr>
    </w:div>
    <w:div w:id="1464620474">
      <w:bodyDiv w:val="1"/>
      <w:marLeft w:val="0"/>
      <w:marRight w:val="0"/>
      <w:marTop w:val="0"/>
      <w:marBottom w:val="0"/>
      <w:divBdr>
        <w:top w:val="none" w:sz="0" w:space="0" w:color="auto"/>
        <w:left w:val="none" w:sz="0" w:space="0" w:color="auto"/>
        <w:bottom w:val="none" w:sz="0" w:space="0" w:color="auto"/>
        <w:right w:val="none" w:sz="0" w:space="0" w:color="auto"/>
      </w:divBdr>
    </w:div>
    <w:div w:id="1466894750">
      <w:bodyDiv w:val="1"/>
      <w:marLeft w:val="0"/>
      <w:marRight w:val="0"/>
      <w:marTop w:val="0"/>
      <w:marBottom w:val="0"/>
      <w:divBdr>
        <w:top w:val="none" w:sz="0" w:space="0" w:color="auto"/>
        <w:left w:val="none" w:sz="0" w:space="0" w:color="auto"/>
        <w:bottom w:val="none" w:sz="0" w:space="0" w:color="auto"/>
        <w:right w:val="none" w:sz="0" w:space="0" w:color="auto"/>
      </w:divBdr>
    </w:div>
    <w:div w:id="1467746247">
      <w:bodyDiv w:val="1"/>
      <w:marLeft w:val="0"/>
      <w:marRight w:val="0"/>
      <w:marTop w:val="0"/>
      <w:marBottom w:val="0"/>
      <w:divBdr>
        <w:top w:val="none" w:sz="0" w:space="0" w:color="auto"/>
        <w:left w:val="none" w:sz="0" w:space="0" w:color="auto"/>
        <w:bottom w:val="none" w:sz="0" w:space="0" w:color="auto"/>
        <w:right w:val="none" w:sz="0" w:space="0" w:color="auto"/>
      </w:divBdr>
    </w:div>
    <w:div w:id="1468357050">
      <w:bodyDiv w:val="1"/>
      <w:marLeft w:val="0"/>
      <w:marRight w:val="0"/>
      <w:marTop w:val="0"/>
      <w:marBottom w:val="0"/>
      <w:divBdr>
        <w:top w:val="none" w:sz="0" w:space="0" w:color="auto"/>
        <w:left w:val="none" w:sz="0" w:space="0" w:color="auto"/>
        <w:bottom w:val="none" w:sz="0" w:space="0" w:color="auto"/>
        <w:right w:val="none" w:sz="0" w:space="0" w:color="auto"/>
      </w:divBdr>
    </w:div>
    <w:div w:id="1471436994">
      <w:bodyDiv w:val="1"/>
      <w:marLeft w:val="0"/>
      <w:marRight w:val="0"/>
      <w:marTop w:val="0"/>
      <w:marBottom w:val="0"/>
      <w:divBdr>
        <w:top w:val="none" w:sz="0" w:space="0" w:color="auto"/>
        <w:left w:val="none" w:sz="0" w:space="0" w:color="auto"/>
        <w:bottom w:val="none" w:sz="0" w:space="0" w:color="auto"/>
        <w:right w:val="none" w:sz="0" w:space="0" w:color="auto"/>
      </w:divBdr>
    </w:div>
    <w:div w:id="1472626220">
      <w:bodyDiv w:val="1"/>
      <w:marLeft w:val="0"/>
      <w:marRight w:val="0"/>
      <w:marTop w:val="0"/>
      <w:marBottom w:val="0"/>
      <w:divBdr>
        <w:top w:val="none" w:sz="0" w:space="0" w:color="auto"/>
        <w:left w:val="none" w:sz="0" w:space="0" w:color="auto"/>
        <w:bottom w:val="none" w:sz="0" w:space="0" w:color="auto"/>
        <w:right w:val="none" w:sz="0" w:space="0" w:color="auto"/>
      </w:divBdr>
    </w:div>
    <w:div w:id="1473013865">
      <w:bodyDiv w:val="1"/>
      <w:marLeft w:val="0"/>
      <w:marRight w:val="0"/>
      <w:marTop w:val="0"/>
      <w:marBottom w:val="0"/>
      <w:divBdr>
        <w:top w:val="none" w:sz="0" w:space="0" w:color="auto"/>
        <w:left w:val="none" w:sz="0" w:space="0" w:color="auto"/>
        <w:bottom w:val="none" w:sz="0" w:space="0" w:color="auto"/>
        <w:right w:val="none" w:sz="0" w:space="0" w:color="auto"/>
      </w:divBdr>
    </w:div>
    <w:div w:id="1473520327">
      <w:bodyDiv w:val="1"/>
      <w:marLeft w:val="0"/>
      <w:marRight w:val="0"/>
      <w:marTop w:val="0"/>
      <w:marBottom w:val="0"/>
      <w:divBdr>
        <w:top w:val="none" w:sz="0" w:space="0" w:color="auto"/>
        <w:left w:val="none" w:sz="0" w:space="0" w:color="auto"/>
        <w:bottom w:val="none" w:sz="0" w:space="0" w:color="auto"/>
        <w:right w:val="none" w:sz="0" w:space="0" w:color="auto"/>
      </w:divBdr>
      <w:divsChild>
        <w:div w:id="12819099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568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188817">
      <w:bodyDiv w:val="1"/>
      <w:marLeft w:val="0"/>
      <w:marRight w:val="0"/>
      <w:marTop w:val="0"/>
      <w:marBottom w:val="0"/>
      <w:divBdr>
        <w:top w:val="none" w:sz="0" w:space="0" w:color="auto"/>
        <w:left w:val="none" w:sz="0" w:space="0" w:color="auto"/>
        <w:bottom w:val="none" w:sz="0" w:space="0" w:color="auto"/>
        <w:right w:val="none" w:sz="0" w:space="0" w:color="auto"/>
      </w:divBdr>
    </w:div>
    <w:div w:id="1481193160">
      <w:bodyDiv w:val="1"/>
      <w:marLeft w:val="0"/>
      <w:marRight w:val="0"/>
      <w:marTop w:val="0"/>
      <w:marBottom w:val="0"/>
      <w:divBdr>
        <w:top w:val="none" w:sz="0" w:space="0" w:color="auto"/>
        <w:left w:val="none" w:sz="0" w:space="0" w:color="auto"/>
        <w:bottom w:val="none" w:sz="0" w:space="0" w:color="auto"/>
        <w:right w:val="none" w:sz="0" w:space="0" w:color="auto"/>
      </w:divBdr>
    </w:div>
    <w:div w:id="1484076710">
      <w:bodyDiv w:val="1"/>
      <w:marLeft w:val="0"/>
      <w:marRight w:val="0"/>
      <w:marTop w:val="0"/>
      <w:marBottom w:val="0"/>
      <w:divBdr>
        <w:top w:val="none" w:sz="0" w:space="0" w:color="auto"/>
        <w:left w:val="none" w:sz="0" w:space="0" w:color="auto"/>
        <w:bottom w:val="none" w:sz="0" w:space="0" w:color="auto"/>
        <w:right w:val="none" w:sz="0" w:space="0" w:color="auto"/>
      </w:divBdr>
    </w:div>
    <w:div w:id="1484350888">
      <w:bodyDiv w:val="1"/>
      <w:marLeft w:val="0"/>
      <w:marRight w:val="0"/>
      <w:marTop w:val="0"/>
      <w:marBottom w:val="0"/>
      <w:divBdr>
        <w:top w:val="none" w:sz="0" w:space="0" w:color="auto"/>
        <w:left w:val="none" w:sz="0" w:space="0" w:color="auto"/>
        <w:bottom w:val="none" w:sz="0" w:space="0" w:color="auto"/>
        <w:right w:val="none" w:sz="0" w:space="0" w:color="auto"/>
      </w:divBdr>
    </w:div>
    <w:div w:id="1486776891">
      <w:bodyDiv w:val="1"/>
      <w:marLeft w:val="0"/>
      <w:marRight w:val="0"/>
      <w:marTop w:val="0"/>
      <w:marBottom w:val="0"/>
      <w:divBdr>
        <w:top w:val="none" w:sz="0" w:space="0" w:color="auto"/>
        <w:left w:val="none" w:sz="0" w:space="0" w:color="auto"/>
        <w:bottom w:val="none" w:sz="0" w:space="0" w:color="auto"/>
        <w:right w:val="none" w:sz="0" w:space="0" w:color="auto"/>
      </w:divBdr>
    </w:div>
    <w:div w:id="1487428630">
      <w:bodyDiv w:val="1"/>
      <w:marLeft w:val="0"/>
      <w:marRight w:val="0"/>
      <w:marTop w:val="0"/>
      <w:marBottom w:val="0"/>
      <w:divBdr>
        <w:top w:val="none" w:sz="0" w:space="0" w:color="auto"/>
        <w:left w:val="none" w:sz="0" w:space="0" w:color="auto"/>
        <w:bottom w:val="none" w:sz="0" w:space="0" w:color="auto"/>
        <w:right w:val="none" w:sz="0" w:space="0" w:color="auto"/>
      </w:divBdr>
    </w:div>
    <w:div w:id="1496654016">
      <w:bodyDiv w:val="1"/>
      <w:marLeft w:val="0"/>
      <w:marRight w:val="0"/>
      <w:marTop w:val="0"/>
      <w:marBottom w:val="0"/>
      <w:divBdr>
        <w:top w:val="none" w:sz="0" w:space="0" w:color="auto"/>
        <w:left w:val="none" w:sz="0" w:space="0" w:color="auto"/>
        <w:bottom w:val="none" w:sz="0" w:space="0" w:color="auto"/>
        <w:right w:val="none" w:sz="0" w:space="0" w:color="auto"/>
      </w:divBdr>
    </w:div>
    <w:div w:id="1499270629">
      <w:bodyDiv w:val="1"/>
      <w:marLeft w:val="0"/>
      <w:marRight w:val="0"/>
      <w:marTop w:val="0"/>
      <w:marBottom w:val="0"/>
      <w:divBdr>
        <w:top w:val="none" w:sz="0" w:space="0" w:color="auto"/>
        <w:left w:val="none" w:sz="0" w:space="0" w:color="auto"/>
        <w:bottom w:val="none" w:sz="0" w:space="0" w:color="auto"/>
        <w:right w:val="none" w:sz="0" w:space="0" w:color="auto"/>
      </w:divBdr>
    </w:div>
    <w:div w:id="1503861768">
      <w:bodyDiv w:val="1"/>
      <w:marLeft w:val="0"/>
      <w:marRight w:val="0"/>
      <w:marTop w:val="0"/>
      <w:marBottom w:val="0"/>
      <w:divBdr>
        <w:top w:val="none" w:sz="0" w:space="0" w:color="auto"/>
        <w:left w:val="none" w:sz="0" w:space="0" w:color="auto"/>
        <w:bottom w:val="none" w:sz="0" w:space="0" w:color="auto"/>
        <w:right w:val="none" w:sz="0" w:space="0" w:color="auto"/>
      </w:divBdr>
    </w:div>
    <w:div w:id="1519812108">
      <w:bodyDiv w:val="1"/>
      <w:marLeft w:val="0"/>
      <w:marRight w:val="0"/>
      <w:marTop w:val="0"/>
      <w:marBottom w:val="0"/>
      <w:divBdr>
        <w:top w:val="none" w:sz="0" w:space="0" w:color="auto"/>
        <w:left w:val="none" w:sz="0" w:space="0" w:color="auto"/>
        <w:bottom w:val="none" w:sz="0" w:space="0" w:color="auto"/>
        <w:right w:val="none" w:sz="0" w:space="0" w:color="auto"/>
      </w:divBdr>
    </w:div>
    <w:div w:id="1523664319">
      <w:bodyDiv w:val="1"/>
      <w:marLeft w:val="0"/>
      <w:marRight w:val="0"/>
      <w:marTop w:val="0"/>
      <w:marBottom w:val="0"/>
      <w:divBdr>
        <w:top w:val="none" w:sz="0" w:space="0" w:color="auto"/>
        <w:left w:val="none" w:sz="0" w:space="0" w:color="auto"/>
        <w:bottom w:val="none" w:sz="0" w:space="0" w:color="auto"/>
        <w:right w:val="none" w:sz="0" w:space="0" w:color="auto"/>
      </w:divBdr>
    </w:div>
    <w:div w:id="1529175611">
      <w:bodyDiv w:val="1"/>
      <w:marLeft w:val="0"/>
      <w:marRight w:val="0"/>
      <w:marTop w:val="0"/>
      <w:marBottom w:val="0"/>
      <w:divBdr>
        <w:top w:val="none" w:sz="0" w:space="0" w:color="auto"/>
        <w:left w:val="none" w:sz="0" w:space="0" w:color="auto"/>
        <w:bottom w:val="none" w:sz="0" w:space="0" w:color="auto"/>
        <w:right w:val="none" w:sz="0" w:space="0" w:color="auto"/>
      </w:divBdr>
    </w:div>
    <w:div w:id="1529294917">
      <w:bodyDiv w:val="1"/>
      <w:marLeft w:val="0"/>
      <w:marRight w:val="0"/>
      <w:marTop w:val="0"/>
      <w:marBottom w:val="0"/>
      <w:divBdr>
        <w:top w:val="none" w:sz="0" w:space="0" w:color="auto"/>
        <w:left w:val="none" w:sz="0" w:space="0" w:color="auto"/>
        <w:bottom w:val="none" w:sz="0" w:space="0" w:color="auto"/>
        <w:right w:val="none" w:sz="0" w:space="0" w:color="auto"/>
      </w:divBdr>
    </w:div>
    <w:div w:id="1535266924">
      <w:bodyDiv w:val="1"/>
      <w:marLeft w:val="0"/>
      <w:marRight w:val="0"/>
      <w:marTop w:val="0"/>
      <w:marBottom w:val="0"/>
      <w:divBdr>
        <w:top w:val="none" w:sz="0" w:space="0" w:color="auto"/>
        <w:left w:val="none" w:sz="0" w:space="0" w:color="auto"/>
        <w:bottom w:val="none" w:sz="0" w:space="0" w:color="auto"/>
        <w:right w:val="none" w:sz="0" w:space="0" w:color="auto"/>
      </w:divBdr>
    </w:div>
    <w:div w:id="1540315132">
      <w:bodyDiv w:val="1"/>
      <w:marLeft w:val="0"/>
      <w:marRight w:val="0"/>
      <w:marTop w:val="0"/>
      <w:marBottom w:val="0"/>
      <w:divBdr>
        <w:top w:val="none" w:sz="0" w:space="0" w:color="auto"/>
        <w:left w:val="none" w:sz="0" w:space="0" w:color="auto"/>
        <w:bottom w:val="none" w:sz="0" w:space="0" w:color="auto"/>
        <w:right w:val="none" w:sz="0" w:space="0" w:color="auto"/>
      </w:divBdr>
    </w:div>
    <w:div w:id="1544363402">
      <w:bodyDiv w:val="1"/>
      <w:marLeft w:val="0"/>
      <w:marRight w:val="0"/>
      <w:marTop w:val="0"/>
      <w:marBottom w:val="0"/>
      <w:divBdr>
        <w:top w:val="none" w:sz="0" w:space="0" w:color="auto"/>
        <w:left w:val="none" w:sz="0" w:space="0" w:color="auto"/>
        <w:bottom w:val="none" w:sz="0" w:space="0" w:color="auto"/>
        <w:right w:val="none" w:sz="0" w:space="0" w:color="auto"/>
      </w:divBdr>
    </w:div>
    <w:div w:id="1548180138">
      <w:bodyDiv w:val="1"/>
      <w:marLeft w:val="0"/>
      <w:marRight w:val="0"/>
      <w:marTop w:val="0"/>
      <w:marBottom w:val="0"/>
      <w:divBdr>
        <w:top w:val="none" w:sz="0" w:space="0" w:color="auto"/>
        <w:left w:val="none" w:sz="0" w:space="0" w:color="auto"/>
        <w:bottom w:val="none" w:sz="0" w:space="0" w:color="auto"/>
        <w:right w:val="none" w:sz="0" w:space="0" w:color="auto"/>
      </w:divBdr>
    </w:div>
    <w:div w:id="1548951970">
      <w:bodyDiv w:val="1"/>
      <w:marLeft w:val="0"/>
      <w:marRight w:val="0"/>
      <w:marTop w:val="0"/>
      <w:marBottom w:val="0"/>
      <w:divBdr>
        <w:top w:val="none" w:sz="0" w:space="0" w:color="auto"/>
        <w:left w:val="none" w:sz="0" w:space="0" w:color="auto"/>
        <w:bottom w:val="none" w:sz="0" w:space="0" w:color="auto"/>
        <w:right w:val="none" w:sz="0" w:space="0" w:color="auto"/>
      </w:divBdr>
    </w:div>
    <w:div w:id="1549029462">
      <w:bodyDiv w:val="1"/>
      <w:marLeft w:val="0"/>
      <w:marRight w:val="0"/>
      <w:marTop w:val="0"/>
      <w:marBottom w:val="0"/>
      <w:divBdr>
        <w:top w:val="none" w:sz="0" w:space="0" w:color="auto"/>
        <w:left w:val="none" w:sz="0" w:space="0" w:color="auto"/>
        <w:bottom w:val="none" w:sz="0" w:space="0" w:color="auto"/>
        <w:right w:val="none" w:sz="0" w:space="0" w:color="auto"/>
      </w:divBdr>
    </w:div>
    <w:div w:id="1560895135">
      <w:bodyDiv w:val="1"/>
      <w:marLeft w:val="0"/>
      <w:marRight w:val="0"/>
      <w:marTop w:val="0"/>
      <w:marBottom w:val="0"/>
      <w:divBdr>
        <w:top w:val="none" w:sz="0" w:space="0" w:color="auto"/>
        <w:left w:val="none" w:sz="0" w:space="0" w:color="auto"/>
        <w:bottom w:val="none" w:sz="0" w:space="0" w:color="auto"/>
        <w:right w:val="none" w:sz="0" w:space="0" w:color="auto"/>
      </w:divBdr>
    </w:div>
    <w:div w:id="1561096701">
      <w:bodyDiv w:val="1"/>
      <w:marLeft w:val="0"/>
      <w:marRight w:val="0"/>
      <w:marTop w:val="0"/>
      <w:marBottom w:val="0"/>
      <w:divBdr>
        <w:top w:val="none" w:sz="0" w:space="0" w:color="auto"/>
        <w:left w:val="none" w:sz="0" w:space="0" w:color="auto"/>
        <w:bottom w:val="none" w:sz="0" w:space="0" w:color="auto"/>
        <w:right w:val="none" w:sz="0" w:space="0" w:color="auto"/>
      </w:divBdr>
    </w:div>
    <w:div w:id="1567841118">
      <w:bodyDiv w:val="1"/>
      <w:marLeft w:val="0"/>
      <w:marRight w:val="0"/>
      <w:marTop w:val="0"/>
      <w:marBottom w:val="0"/>
      <w:divBdr>
        <w:top w:val="none" w:sz="0" w:space="0" w:color="auto"/>
        <w:left w:val="none" w:sz="0" w:space="0" w:color="auto"/>
        <w:bottom w:val="none" w:sz="0" w:space="0" w:color="auto"/>
        <w:right w:val="none" w:sz="0" w:space="0" w:color="auto"/>
      </w:divBdr>
    </w:div>
    <w:div w:id="1576207889">
      <w:bodyDiv w:val="1"/>
      <w:marLeft w:val="0"/>
      <w:marRight w:val="0"/>
      <w:marTop w:val="0"/>
      <w:marBottom w:val="0"/>
      <w:divBdr>
        <w:top w:val="none" w:sz="0" w:space="0" w:color="auto"/>
        <w:left w:val="none" w:sz="0" w:space="0" w:color="auto"/>
        <w:bottom w:val="none" w:sz="0" w:space="0" w:color="auto"/>
        <w:right w:val="none" w:sz="0" w:space="0" w:color="auto"/>
      </w:divBdr>
    </w:div>
    <w:div w:id="1577934742">
      <w:bodyDiv w:val="1"/>
      <w:marLeft w:val="0"/>
      <w:marRight w:val="0"/>
      <w:marTop w:val="0"/>
      <w:marBottom w:val="0"/>
      <w:divBdr>
        <w:top w:val="none" w:sz="0" w:space="0" w:color="auto"/>
        <w:left w:val="none" w:sz="0" w:space="0" w:color="auto"/>
        <w:bottom w:val="none" w:sz="0" w:space="0" w:color="auto"/>
        <w:right w:val="none" w:sz="0" w:space="0" w:color="auto"/>
      </w:divBdr>
    </w:div>
    <w:div w:id="1579053440">
      <w:bodyDiv w:val="1"/>
      <w:marLeft w:val="0"/>
      <w:marRight w:val="0"/>
      <w:marTop w:val="0"/>
      <w:marBottom w:val="0"/>
      <w:divBdr>
        <w:top w:val="none" w:sz="0" w:space="0" w:color="auto"/>
        <w:left w:val="none" w:sz="0" w:space="0" w:color="auto"/>
        <w:bottom w:val="none" w:sz="0" w:space="0" w:color="auto"/>
        <w:right w:val="none" w:sz="0" w:space="0" w:color="auto"/>
      </w:divBdr>
    </w:div>
    <w:div w:id="1580211991">
      <w:bodyDiv w:val="1"/>
      <w:marLeft w:val="0"/>
      <w:marRight w:val="0"/>
      <w:marTop w:val="0"/>
      <w:marBottom w:val="0"/>
      <w:divBdr>
        <w:top w:val="none" w:sz="0" w:space="0" w:color="auto"/>
        <w:left w:val="none" w:sz="0" w:space="0" w:color="auto"/>
        <w:bottom w:val="none" w:sz="0" w:space="0" w:color="auto"/>
        <w:right w:val="none" w:sz="0" w:space="0" w:color="auto"/>
      </w:divBdr>
    </w:div>
    <w:div w:id="1580821790">
      <w:bodyDiv w:val="1"/>
      <w:marLeft w:val="0"/>
      <w:marRight w:val="0"/>
      <w:marTop w:val="0"/>
      <w:marBottom w:val="0"/>
      <w:divBdr>
        <w:top w:val="none" w:sz="0" w:space="0" w:color="auto"/>
        <w:left w:val="none" w:sz="0" w:space="0" w:color="auto"/>
        <w:bottom w:val="none" w:sz="0" w:space="0" w:color="auto"/>
        <w:right w:val="none" w:sz="0" w:space="0" w:color="auto"/>
      </w:divBdr>
    </w:div>
    <w:div w:id="1580825564">
      <w:bodyDiv w:val="1"/>
      <w:marLeft w:val="0"/>
      <w:marRight w:val="0"/>
      <w:marTop w:val="0"/>
      <w:marBottom w:val="0"/>
      <w:divBdr>
        <w:top w:val="none" w:sz="0" w:space="0" w:color="auto"/>
        <w:left w:val="none" w:sz="0" w:space="0" w:color="auto"/>
        <w:bottom w:val="none" w:sz="0" w:space="0" w:color="auto"/>
        <w:right w:val="none" w:sz="0" w:space="0" w:color="auto"/>
      </w:divBdr>
    </w:div>
    <w:div w:id="1585333380">
      <w:bodyDiv w:val="1"/>
      <w:marLeft w:val="0"/>
      <w:marRight w:val="0"/>
      <w:marTop w:val="0"/>
      <w:marBottom w:val="0"/>
      <w:divBdr>
        <w:top w:val="none" w:sz="0" w:space="0" w:color="auto"/>
        <w:left w:val="none" w:sz="0" w:space="0" w:color="auto"/>
        <w:bottom w:val="none" w:sz="0" w:space="0" w:color="auto"/>
        <w:right w:val="none" w:sz="0" w:space="0" w:color="auto"/>
      </w:divBdr>
    </w:div>
    <w:div w:id="1589077895">
      <w:bodyDiv w:val="1"/>
      <w:marLeft w:val="0"/>
      <w:marRight w:val="0"/>
      <w:marTop w:val="0"/>
      <w:marBottom w:val="0"/>
      <w:divBdr>
        <w:top w:val="none" w:sz="0" w:space="0" w:color="auto"/>
        <w:left w:val="none" w:sz="0" w:space="0" w:color="auto"/>
        <w:bottom w:val="none" w:sz="0" w:space="0" w:color="auto"/>
        <w:right w:val="none" w:sz="0" w:space="0" w:color="auto"/>
      </w:divBdr>
    </w:div>
    <w:div w:id="1595355044">
      <w:bodyDiv w:val="1"/>
      <w:marLeft w:val="0"/>
      <w:marRight w:val="0"/>
      <w:marTop w:val="0"/>
      <w:marBottom w:val="0"/>
      <w:divBdr>
        <w:top w:val="none" w:sz="0" w:space="0" w:color="auto"/>
        <w:left w:val="none" w:sz="0" w:space="0" w:color="auto"/>
        <w:bottom w:val="none" w:sz="0" w:space="0" w:color="auto"/>
        <w:right w:val="none" w:sz="0" w:space="0" w:color="auto"/>
      </w:divBdr>
    </w:div>
    <w:div w:id="1598825235">
      <w:bodyDiv w:val="1"/>
      <w:marLeft w:val="0"/>
      <w:marRight w:val="0"/>
      <w:marTop w:val="0"/>
      <w:marBottom w:val="0"/>
      <w:divBdr>
        <w:top w:val="none" w:sz="0" w:space="0" w:color="auto"/>
        <w:left w:val="none" w:sz="0" w:space="0" w:color="auto"/>
        <w:bottom w:val="none" w:sz="0" w:space="0" w:color="auto"/>
        <w:right w:val="none" w:sz="0" w:space="0" w:color="auto"/>
      </w:divBdr>
    </w:div>
    <w:div w:id="1600945907">
      <w:bodyDiv w:val="1"/>
      <w:marLeft w:val="0"/>
      <w:marRight w:val="0"/>
      <w:marTop w:val="0"/>
      <w:marBottom w:val="0"/>
      <w:divBdr>
        <w:top w:val="none" w:sz="0" w:space="0" w:color="auto"/>
        <w:left w:val="none" w:sz="0" w:space="0" w:color="auto"/>
        <w:bottom w:val="none" w:sz="0" w:space="0" w:color="auto"/>
        <w:right w:val="none" w:sz="0" w:space="0" w:color="auto"/>
      </w:divBdr>
    </w:div>
    <w:div w:id="1601908570">
      <w:bodyDiv w:val="1"/>
      <w:marLeft w:val="0"/>
      <w:marRight w:val="0"/>
      <w:marTop w:val="0"/>
      <w:marBottom w:val="0"/>
      <w:divBdr>
        <w:top w:val="none" w:sz="0" w:space="0" w:color="auto"/>
        <w:left w:val="none" w:sz="0" w:space="0" w:color="auto"/>
        <w:bottom w:val="none" w:sz="0" w:space="0" w:color="auto"/>
        <w:right w:val="none" w:sz="0" w:space="0" w:color="auto"/>
      </w:divBdr>
    </w:div>
    <w:div w:id="1605964179">
      <w:bodyDiv w:val="1"/>
      <w:marLeft w:val="0"/>
      <w:marRight w:val="0"/>
      <w:marTop w:val="0"/>
      <w:marBottom w:val="0"/>
      <w:divBdr>
        <w:top w:val="none" w:sz="0" w:space="0" w:color="auto"/>
        <w:left w:val="none" w:sz="0" w:space="0" w:color="auto"/>
        <w:bottom w:val="none" w:sz="0" w:space="0" w:color="auto"/>
        <w:right w:val="none" w:sz="0" w:space="0" w:color="auto"/>
      </w:divBdr>
    </w:div>
    <w:div w:id="1608078047">
      <w:bodyDiv w:val="1"/>
      <w:marLeft w:val="0"/>
      <w:marRight w:val="0"/>
      <w:marTop w:val="0"/>
      <w:marBottom w:val="0"/>
      <w:divBdr>
        <w:top w:val="none" w:sz="0" w:space="0" w:color="auto"/>
        <w:left w:val="none" w:sz="0" w:space="0" w:color="auto"/>
        <w:bottom w:val="none" w:sz="0" w:space="0" w:color="auto"/>
        <w:right w:val="none" w:sz="0" w:space="0" w:color="auto"/>
      </w:divBdr>
    </w:div>
    <w:div w:id="1610352891">
      <w:bodyDiv w:val="1"/>
      <w:marLeft w:val="0"/>
      <w:marRight w:val="0"/>
      <w:marTop w:val="0"/>
      <w:marBottom w:val="0"/>
      <w:divBdr>
        <w:top w:val="none" w:sz="0" w:space="0" w:color="auto"/>
        <w:left w:val="none" w:sz="0" w:space="0" w:color="auto"/>
        <w:bottom w:val="none" w:sz="0" w:space="0" w:color="auto"/>
        <w:right w:val="none" w:sz="0" w:space="0" w:color="auto"/>
      </w:divBdr>
    </w:div>
    <w:div w:id="1615745314">
      <w:bodyDiv w:val="1"/>
      <w:marLeft w:val="0"/>
      <w:marRight w:val="0"/>
      <w:marTop w:val="0"/>
      <w:marBottom w:val="0"/>
      <w:divBdr>
        <w:top w:val="none" w:sz="0" w:space="0" w:color="auto"/>
        <w:left w:val="none" w:sz="0" w:space="0" w:color="auto"/>
        <w:bottom w:val="none" w:sz="0" w:space="0" w:color="auto"/>
        <w:right w:val="none" w:sz="0" w:space="0" w:color="auto"/>
      </w:divBdr>
    </w:div>
    <w:div w:id="1617711695">
      <w:bodyDiv w:val="1"/>
      <w:marLeft w:val="0"/>
      <w:marRight w:val="0"/>
      <w:marTop w:val="0"/>
      <w:marBottom w:val="0"/>
      <w:divBdr>
        <w:top w:val="none" w:sz="0" w:space="0" w:color="auto"/>
        <w:left w:val="none" w:sz="0" w:space="0" w:color="auto"/>
        <w:bottom w:val="none" w:sz="0" w:space="0" w:color="auto"/>
        <w:right w:val="none" w:sz="0" w:space="0" w:color="auto"/>
      </w:divBdr>
    </w:div>
    <w:div w:id="1619214043">
      <w:bodyDiv w:val="1"/>
      <w:marLeft w:val="0"/>
      <w:marRight w:val="0"/>
      <w:marTop w:val="0"/>
      <w:marBottom w:val="0"/>
      <w:divBdr>
        <w:top w:val="none" w:sz="0" w:space="0" w:color="auto"/>
        <w:left w:val="none" w:sz="0" w:space="0" w:color="auto"/>
        <w:bottom w:val="none" w:sz="0" w:space="0" w:color="auto"/>
        <w:right w:val="none" w:sz="0" w:space="0" w:color="auto"/>
      </w:divBdr>
    </w:div>
    <w:div w:id="1624655963">
      <w:bodyDiv w:val="1"/>
      <w:marLeft w:val="0"/>
      <w:marRight w:val="0"/>
      <w:marTop w:val="0"/>
      <w:marBottom w:val="0"/>
      <w:divBdr>
        <w:top w:val="none" w:sz="0" w:space="0" w:color="auto"/>
        <w:left w:val="none" w:sz="0" w:space="0" w:color="auto"/>
        <w:bottom w:val="none" w:sz="0" w:space="0" w:color="auto"/>
        <w:right w:val="none" w:sz="0" w:space="0" w:color="auto"/>
      </w:divBdr>
    </w:div>
    <w:div w:id="1625383780">
      <w:bodyDiv w:val="1"/>
      <w:marLeft w:val="0"/>
      <w:marRight w:val="0"/>
      <w:marTop w:val="0"/>
      <w:marBottom w:val="0"/>
      <w:divBdr>
        <w:top w:val="none" w:sz="0" w:space="0" w:color="auto"/>
        <w:left w:val="none" w:sz="0" w:space="0" w:color="auto"/>
        <w:bottom w:val="none" w:sz="0" w:space="0" w:color="auto"/>
        <w:right w:val="none" w:sz="0" w:space="0" w:color="auto"/>
      </w:divBdr>
    </w:div>
    <w:div w:id="1628469352">
      <w:bodyDiv w:val="1"/>
      <w:marLeft w:val="0"/>
      <w:marRight w:val="0"/>
      <w:marTop w:val="0"/>
      <w:marBottom w:val="0"/>
      <w:divBdr>
        <w:top w:val="none" w:sz="0" w:space="0" w:color="auto"/>
        <w:left w:val="none" w:sz="0" w:space="0" w:color="auto"/>
        <w:bottom w:val="none" w:sz="0" w:space="0" w:color="auto"/>
        <w:right w:val="none" w:sz="0" w:space="0" w:color="auto"/>
      </w:divBdr>
      <w:divsChild>
        <w:div w:id="485828727">
          <w:marLeft w:val="0"/>
          <w:marRight w:val="0"/>
          <w:marTop w:val="0"/>
          <w:marBottom w:val="0"/>
          <w:divBdr>
            <w:top w:val="none" w:sz="0" w:space="0" w:color="auto"/>
            <w:left w:val="none" w:sz="0" w:space="0" w:color="auto"/>
            <w:bottom w:val="none" w:sz="0" w:space="0" w:color="auto"/>
            <w:right w:val="none" w:sz="0" w:space="0" w:color="auto"/>
          </w:divBdr>
        </w:div>
      </w:divsChild>
    </w:div>
    <w:div w:id="1628510388">
      <w:bodyDiv w:val="1"/>
      <w:marLeft w:val="0"/>
      <w:marRight w:val="0"/>
      <w:marTop w:val="0"/>
      <w:marBottom w:val="0"/>
      <w:divBdr>
        <w:top w:val="none" w:sz="0" w:space="0" w:color="auto"/>
        <w:left w:val="none" w:sz="0" w:space="0" w:color="auto"/>
        <w:bottom w:val="none" w:sz="0" w:space="0" w:color="auto"/>
        <w:right w:val="none" w:sz="0" w:space="0" w:color="auto"/>
      </w:divBdr>
    </w:div>
    <w:div w:id="1636253905">
      <w:bodyDiv w:val="1"/>
      <w:marLeft w:val="0"/>
      <w:marRight w:val="0"/>
      <w:marTop w:val="0"/>
      <w:marBottom w:val="0"/>
      <w:divBdr>
        <w:top w:val="none" w:sz="0" w:space="0" w:color="auto"/>
        <w:left w:val="none" w:sz="0" w:space="0" w:color="auto"/>
        <w:bottom w:val="none" w:sz="0" w:space="0" w:color="auto"/>
        <w:right w:val="none" w:sz="0" w:space="0" w:color="auto"/>
      </w:divBdr>
    </w:div>
    <w:div w:id="1638952819">
      <w:bodyDiv w:val="1"/>
      <w:marLeft w:val="0"/>
      <w:marRight w:val="0"/>
      <w:marTop w:val="0"/>
      <w:marBottom w:val="0"/>
      <w:divBdr>
        <w:top w:val="none" w:sz="0" w:space="0" w:color="auto"/>
        <w:left w:val="none" w:sz="0" w:space="0" w:color="auto"/>
        <w:bottom w:val="none" w:sz="0" w:space="0" w:color="auto"/>
        <w:right w:val="none" w:sz="0" w:space="0" w:color="auto"/>
      </w:divBdr>
    </w:div>
    <w:div w:id="1641232644">
      <w:bodyDiv w:val="1"/>
      <w:marLeft w:val="0"/>
      <w:marRight w:val="0"/>
      <w:marTop w:val="0"/>
      <w:marBottom w:val="0"/>
      <w:divBdr>
        <w:top w:val="none" w:sz="0" w:space="0" w:color="auto"/>
        <w:left w:val="none" w:sz="0" w:space="0" w:color="auto"/>
        <w:bottom w:val="none" w:sz="0" w:space="0" w:color="auto"/>
        <w:right w:val="none" w:sz="0" w:space="0" w:color="auto"/>
      </w:divBdr>
    </w:div>
    <w:div w:id="1641303003">
      <w:bodyDiv w:val="1"/>
      <w:marLeft w:val="0"/>
      <w:marRight w:val="0"/>
      <w:marTop w:val="0"/>
      <w:marBottom w:val="0"/>
      <w:divBdr>
        <w:top w:val="none" w:sz="0" w:space="0" w:color="auto"/>
        <w:left w:val="none" w:sz="0" w:space="0" w:color="auto"/>
        <w:bottom w:val="none" w:sz="0" w:space="0" w:color="auto"/>
        <w:right w:val="none" w:sz="0" w:space="0" w:color="auto"/>
      </w:divBdr>
    </w:div>
    <w:div w:id="1648393536">
      <w:bodyDiv w:val="1"/>
      <w:marLeft w:val="0"/>
      <w:marRight w:val="0"/>
      <w:marTop w:val="0"/>
      <w:marBottom w:val="0"/>
      <w:divBdr>
        <w:top w:val="none" w:sz="0" w:space="0" w:color="auto"/>
        <w:left w:val="none" w:sz="0" w:space="0" w:color="auto"/>
        <w:bottom w:val="none" w:sz="0" w:space="0" w:color="auto"/>
        <w:right w:val="none" w:sz="0" w:space="0" w:color="auto"/>
      </w:divBdr>
    </w:div>
    <w:div w:id="1659067327">
      <w:bodyDiv w:val="1"/>
      <w:marLeft w:val="0"/>
      <w:marRight w:val="0"/>
      <w:marTop w:val="0"/>
      <w:marBottom w:val="0"/>
      <w:divBdr>
        <w:top w:val="none" w:sz="0" w:space="0" w:color="auto"/>
        <w:left w:val="none" w:sz="0" w:space="0" w:color="auto"/>
        <w:bottom w:val="none" w:sz="0" w:space="0" w:color="auto"/>
        <w:right w:val="none" w:sz="0" w:space="0" w:color="auto"/>
      </w:divBdr>
    </w:div>
    <w:div w:id="1660452772">
      <w:bodyDiv w:val="1"/>
      <w:marLeft w:val="0"/>
      <w:marRight w:val="0"/>
      <w:marTop w:val="0"/>
      <w:marBottom w:val="0"/>
      <w:divBdr>
        <w:top w:val="none" w:sz="0" w:space="0" w:color="auto"/>
        <w:left w:val="none" w:sz="0" w:space="0" w:color="auto"/>
        <w:bottom w:val="none" w:sz="0" w:space="0" w:color="auto"/>
        <w:right w:val="none" w:sz="0" w:space="0" w:color="auto"/>
      </w:divBdr>
    </w:div>
    <w:div w:id="1666665059">
      <w:bodyDiv w:val="1"/>
      <w:marLeft w:val="0"/>
      <w:marRight w:val="0"/>
      <w:marTop w:val="0"/>
      <w:marBottom w:val="0"/>
      <w:divBdr>
        <w:top w:val="none" w:sz="0" w:space="0" w:color="auto"/>
        <w:left w:val="none" w:sz="0" w:space="0" w:color="auto"/>
        <w:bottom w:val="none" w:sz="0" w:space="0" w:color="auto"/>
        <w:right w:val="none" w:sz="0" w:space="0" w:color="auto"/>
      </w:divBdr>
    </w:div>
    <w:div w:id="1669937260">
      <w:bodyDiv w:val="1"/>
      <w:marLeft w:val="0"/>
      <w:marRight w:val="0"/>
      <w:marTop w:val="0"/>
      <w:marBottom w:val="0"/>
      <w:divBdr>
        <w:top w:val="none" w:sz="0" w:space="0" w:color="auto"/>
        <w:left w:val="none" w:sz="0" w:space="0" w:color="auto"/>
        <w:bottom w:val="none" w:sz="0" w:space="0" w:color="auto"/>
        <w:right w:val="none" w:sz="0" w:space="0" w:color="auto"/>
      </w:divBdr>
    </w:div>
    <w:div w:id="1673484186">
      <w:bodyDiv w:val="1"/>
      <w:marLeft w:val="0"/>
      <w:marRight w:val="0"/>
      <w:marTop w:val="0"/>
      <w:marBottom w:val="0"/>
      <w:divBdr>
        <w:top w:val="none" w:sz="0" w:space="0" w:color="auto"/>
        <w:left w:val="none" w:sz="0" w:space="0" w:color="auto"/>
        <w:bottom w:val="none" w:sz="0" w:space="0" w:color="auto"/>
        <w:right w:val="none" w:sz="0" w:space="0" w:color="auto"/>
      </w:divBdr>
    </w:div>
    <w:div w:id="1678341617">
      <w:bodyDiv w:val="1"/>
      <w:marLeft w:val="0"/>
      <w:marRight w:val="0"/>
      <w:marTop w:val="0"/>
      <w:marBottom w:val="0"/>
      <w:divBdr>
        <w:top w:val="none" w:sz="0" w:space="0" w:color="auto"/>
        <w:left w:val="none" w:sz="0" w:space="0" w:color="auto"/>
        <w:bottom w:val="none" w:sz="0" w:space="0" w:color="auto"/>
        <w:right w:val="none" w:sz="0" w:space="0" w:color="auto"/>
      </w:divBdr>
    </w:div>
    <w:div w:id="1678851973">
      <w:bodyDiv w:val="1"/>
      <w:marLeft w:val="0"/>
      <w:marRight w:val="0"/>
      <w:marTop w:val="0"/>
      <w:marBottom w:val="0"/>
      <w:divBdr>
        <w:top w:val="none" w:sz="0" w:space="0" w:color="auto"/>
        <w:left w:val="none" w:sz="0" w:space="0" w:color="auto"/>
        <w:bottom w:val="none" w:sz="0" w:space="0" w:color="auto"/>
        <w:right w:val="none" w:sz="0" w:space="0" w:color="auto"/>
      </w:divBdr>
    </w:div>
    <w:div w:id="1682198982">
      <w:bodyDiv w:val="1"/>
      <w:marLeft w:val="0"/>
      <w:marRight w:val="0"/>
      <w:marTop w:val="0"/>
      <w:marBottom w:val="0"/>
      <w:divBdr>
        <w:top w:val="none" w:sz="0" w:space="0" w:color="auto"/>
        <w:left w:val="none" w:sz="0" w:space="0" w:color="auto"/>
        <w:bottom w:val="none" w:sz="0" w:space="0" w:color="auto"/>
        <w:right w:val="none" w:sz="0" w:space="0" w:color="auto"/>
      </w:divBdr>
    </w:div>
    <w:div w:id="1686980050">
      <w:bodyDiv w:val="1"/>
      <w:marLeft w:val="0"/>
      <w:marRight w:val="0"/>
      <w:marTop w:val="0"/>
      <w:marBottom w:val="0"/>
      <w:divBdr>
        <w:top w:val="none" w:sz="0" w:space="0" w:color="auto"/>
        <w:left w:val="none" w:sz="0" w:space="0" w:color="auto"/>
        <w:bottom w:val="none" w:sz="0" w:space="0" w:color="auto"/>
        <w:right w:val="none" w:sz="0" w:space="0" w:color="auto"/>
      </w:divBdr>
    </w:div>
    <w:div w:id="1689212591">
      <w:bodyDiv w:val="1"/>
      <w:marLeft w:val="0"/>
      <w:marRight w:val="0"/>
      <w:marTop w:val="0"/>
      <w:marBottom w:val="0"/>
      <w:divBdr>
        <w:top w:val="none" w:sz="0" w:space="0" w:color="auto"/>
        <w:left w:val="none" w:sz="0" w:space="0" w:color="auto"/>
        <w:bottom w:val="none" w:sz="0" w:space="0" w:color="auto"/>
        <w:right w:val="none" w:sz="0" w:space="0" w:color="auto"/>
      </w:divBdr>
    </w:div>
    <w:div w:id="1695618555">
      <w:bodyDiv w:val="1"/>
      <w:marLeft w:val="0"/>
      <w:marRight w:val="0"/>
      <w:marTop w:val="0"/>
      <w:marBottom w:val="0"/>
      <w:divBdr>
        <w:top w:val="none" w:sz="0" w:space="0" w:color="auto"/>
        <w:left w:val="none" w:sz="0" w:space="0" w:color="auto"/>
        <w:bottom w:val="none" w:sz="0" w:space="0" w:color="auto"/>
        <w:right w:val="none" w:sz="0" w:space="0" w:color="auto"/>
      </w:divBdr>
    </w:div>
    <w:div w:id="1698190099">
      <w:bodyDiv w:val="1"/>
      <w:marLeft w:val="0"/>
      <w:marRight w:val="0"/>
      <w:marTop w:val="0"/>
      <w:marBottom w:val="0"/>
      <w:divBdr>
        <w:top w:val="none" w:sz="0" w:space="0" w:color="auto"/>
        <w:left w:val="none" w:sz="0" w:space="0" w:color="auto"/>
        <w:bottom w:val="none" w:sz="0" w:space="0" w:color="auto"/>
        <w:right w:val="none" w:sz="0" w:space="0" w:color="auto"/>
      </w:divBdr>
    </w:div>
    <w:div w:id="1704403160">
      <w:bodyDiv w:val="1"/>
      <w:marLeft w:val="0"/>
      <w:marRight w:val="0"/>
      <w:marTop w:val="0"/>
      <w:marBottom w:val="0"/>
      <w:divBdr>
        <w:top w:val="none" w:sz="0" w:space="0" w:color="auto"/>
        <w:left w:val="none" w:sz="0" w:space="0" w:color="auto"/>
        <w:bottom w:val="none" w:sz="0" w:space="0" w:color="auto"/>
        <w:right w:val="none" w:sz="0" w:space="0" w:color="auto"/>
      </w:divBdr>
    </w:div>
    <w:div w:id="1705255633">
      <w:bodyDiv w:val="1"/>
      <w:marLeft w:val="0"/>
      <w:marRight w:val="0"/>
      <w:marTop w:val="0"/>
      <w:marBottom w:val="0"/>
      <w:divBdr>
        <w:top w:val="none" w:sz="0" w:space="0" w:color="auto"/>
        <w:left w:val="none" w:sz="0" w:space="0" w:color="auto"/>
        <w:bottom w:val="none" w:sz="0" w:space="0" w:color="auto"/>
        <w:right w:val="none" w:sz="0" w:space="0" w:color="auto"/>
      </w:divBdr>
    </w:div>
    <w:div w:id="1705516248">
      <w:bodyDiv w:val="1"/>
      <w:marLeft w:val="0"/>
      <w:marRight w:val="0"/>
      <w:marTop w:val="0"/>
      <w:marBottom w:val="0"/>
      <w:divBdr>
        <w:top w:val="none" w:sz="0" w:space="0" w:color="auto"/>
        <w:left w:val="none" w:sz="0" w:space="0" w:color="auto"/>
        <w:bottom w:val="none" w:sz="0" w:space="0" w:color="auto"/>
        <w:right w:val="none" w:sz="0" w:space="0" w:color="auto"/>
      </w:divBdr>
    </w:div>
    <w:div w:id="1708678107">
      <w:bodyDiv w:val="1"/>
      <w:marLeft w:val="0"/>
      <w:marRight w:val="0"/>
      <w:marTop w:val="0"/>
      <w:marBottom w:val="0"/>
      <w:divBdr>
        <w:top w:val="none" w:sz="0" w:space="0" w:color="auto"/>
        <w:left w:val="none" w:sz="0" w:space="0" w:color="auto"/>
        <w:bottom w:val="none" w:sz="0" w:space="0" w:color="auto"/>
        <w:right w:val="none" w:sz="0" w:space="0" w:color="auto"/>
      </w:divBdr>
    </w:div>
    <w:div w:id="1709450248">
      <w:bodyDiv w:val="1"/>
      <w:marLeft w:val="0"/>
      <w:marRight w:val="0"/>
      <w:marTop w:val="0"/>
      <w:marBottom w:val="0"/>
      <w:divBdr>
        <w:top w:val="none" w:sz="0" w:space="0" w:color="auto"/>
        <w:left w:val="none" w:sz="0" w:space="0" w:color="auto"/>
        <w:bottom w:val="none" w:sz="0" w:space="0" w:color="auto"/>
        <w:right w:val="none" w:sz="0" w:space="0" w:color="auto"/>
      </w:divBdr>
    </w:div>
    <w:div w:id="1710643355">
      <w:bodyDiv w:val="1"/>
      <w:marLeft w:val="0"/>
      <w:marRight w:val="0"/>
      <w:marTop w:val="0"/>
      <w:marBottom w:val="0"/>
      <w:divBdr>
        <w:top w:val="none" w:sz="0" w:space="0" w:color="auto"/>
        <w:left w:val="none" w:sz="0" w:space="0" w:color="auto"/>
        <w:bottom w:val="none" w:sz="0" w:space="0" w:color="auto"/>
        <w:right w:val="none" w:sz="0" w:space="0" w:color="auto"/>
      </w:divBdr>
    </w:div>
    <w:div w:id="1710838641">
      <w:bodyDiv w:val="1"/>
      <w:marLeft w:val="0"/>
      <w:marRight w:val="0"/>
      <w:marTop w:val="0"/>
      <w:marBottom w:val="0"/>
      <w:divBdr>
        <w:top w:val="none" w:sz="0" w:space="0" w:color="auto"/>
        <w:left w:val="none" w:sz="0" w:space="0" w:color="auto"/>
        <w:bottom w:val="none" w:sz="0" w:space="0" w:color="auto"/>
        <w:right w:val="none" w:sz="0" w:space="0" w:color="auto"/>
      </w:divBdr>
    </w:div>
    <w:div w:id="1711612630">
      <w:bodyDiv w:val="1"/>
      <w:marLeft w:val="0"/>
      <w:marRight w:val="0"/>
      <w:marTop w:val="0"/>
      <w:marBottom w:val="0"/>
      <w:divBdr>
        <w:top w:val="none" w:sz="0" w:space="0" w:color="auto"/>
        <w:left w:val="none" w:sz="0" w:space="0" w:color="auto"/>
        <w:bottom w:val="none" w:sz="0" w:space="0" w:color="auto"/>
        <w:right w:val="none" w:sz="0" w:space="0" w:color="auto"/>
      </w:divBdr>
    </w:div>
    <w:div w:id="1713261639">
      <w:bodyDiv w:val="1"/>
      <w:marLeft w:val="0"/>
      <w:marRight w:val="0"/>
      <w:marTop w:val="0"/>
      <w:marBottom w:val="0"/>
      <w:divBdr>
        <w:top w:val="none" w:sz="0" w:space="0" w:color="auto"/>
        <w:left w:val="none" w:sz="0" w:space="0" w:color="auto"/>
        <w:bottom w:val="none" w:sz="0" w:space="0" w:color="auto"/>
        <w:right w:val="none" w:sz="0" w:space="0" w:color="auto"/>
      </w:divBdr>
    </w:div>
    <w:div w:id="1723359785">
      <w:bodyDiv w:val="1"/>
      <w:marLeft w:val="0"/>
      <w:marRight w:val="0"/>
      <w:marTop w:val="0"/>
      <w:marBottom w:val="0"/>
      <w:divBdr>
        <w:top w:val="none" w:sz="0" w:space="0" w:color="auto"/>
        <w:left w:val="none" w:sz="0" w:space="0" w:color="auto"/>
        <w:bottom w:val="none" w:sz="0" w:space="0" w:color="auto"/>
        <w:right w:val="none" w:sz="0" w:space="0" w:color="auto"/>
      </w:divBdr>
    </w:div>
    <w:div w:id="1723868384">
      <w:bodyDiv w:val="1"/>
      <w:marLeft w:val="0"/>
      <w:marRight w:val="0"/>
      <w:marTop w:val="0"/>
      <w:marBottom w:val="0"/>
      <w:divBdr>
        <w:top w:val="none" w:sz="0" w:space="0" w:color="auto"/>
        <w:left w:val="none" w:sz="0" w:space="0" w:color="auto"/>
        <w:bottom w:val="none" w:sz="0" w:space="0" w:color="auto"/>
        <w:right w:val="none" w:sz="0" w:space="0" w:color="auto"/>
      </w:divBdr>
    </w:div>
    <w:div w:id="1724672756">
      <w:bodyDiv w:val="1"/>
      <w:marLeft w:val="0"/>
      <w:marRight w:val="0"/>
      <w:marTop w:val="0"/>
      <w:marBottom w:val="0"/>
      <w:divBdr>
        <w:top w:val="none" w:sz="0" w:space="0" w:color="auto"/>
        <w:left w:val="none" w:sz="0" w:space="0" w:color="auto"/>
        <w:bottom w:val="none" w:sz="0" w:space="0" w:color="auto"/>
        <w:right w:val="none" w:sz="0" w:space="0" w:color="auto"/>
      </w:divBdr>
    </w:div>
    <w:div w:id="1734811915">
      <w:bodyDiv w:val="1"/>
      <w:marLeft w:val="0"/>
      <w:marRight w:val="0"/>
      <w:marTop w:val="0"/>
      <w:marBottom w:val="0"/>
      <w:divBdr>
        <w:top w:val="none" w:sz="0" w:space="0" w:color="auto"/>
        <w:left w:val="none" w:sz="0" w:space="0" w:color="auto"/>
        <w:bottom w:val="none" w:sz="0" w:space="0" w:color="auto"/>
        <w:right w:val="none" w:sz="0" w:space="0" w:color="auto"/>
      </w:divBdr>
    </w:div>
    <w:div w:id="1735742419">
      <w:bodyDiv w:val="1"/>
      <w:marLeft w:val="0"/>
      <w:marRight w:val="0"/>
      <w:marTop w:val="0"/>
      <w:marBottom w:val="0"/>
      <w:divBdr>
        <w:top w:val="none" w:sz="0" w:space="0" w:color="auto"/>
        <w:left w:val="none" w:sz="0" w:space="0" w:color="auto"/>
        <w:bottom w:val="none" w:sz="0" w:space="0" w:color="auto"/>
        <w:right w:val="none" w:sz="0" w:space="0" w:color="auto"/>
      </w:divBdr>
    </w:div>
    <w:div w:id="1738237769">
      <w:bodyDiv w:val="1"/>
      <w:marLeft w:val="0"/>
      <w:marRight w:val="0"/>
      <w:marTop w:val="0"/>
      <w:marBottom w:val="0"/>
      <w:divBdr>
        <w:top w:val="none" w:sz="0" w:space="0" w:color="auto"/>
        <w:left w:val="none" w:sz="0" w:space="0" w:color="auto"/>
        <w:bottom w:val="none" w:sz="0" w:space="0" w:color="auto"/>
        <w:right w:val="none" w:sz="0" w:space="0" w:color="auto"/>
      </w:divBdr>
      <w:divsChild>
        <w:div w:id="4151717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55659635">
      <w:bodyDiv w:val="1"/>
      <w:marLeft w:val="0"/>
      <w:marRight w:val="0"/>
      <w:marTop w:val="0"/>
      <w:marBottom w:val="0"/>
      <w:divBdr>
        <w:top w:val="none" w:sz="0" w:space="0" w:color="auto"/>
        <w:left w:val="none" w:sz="0" w:space="0" w:color="auto"/>
        <w:bottom w:val="none" w:sz="0" w:space="0" w:color="auto"/>
        <w:right w:val="none" w:sz="0" w:space="0" w:color="auto"/>
      </w:divBdr>
      <w:divsChild>
        <w:div w:id="1587690012">
          <w:marLeft w:val="0"/>
          <w:marRight w:val="0"/>
          <w:marTop w:val="30"/>
          <w:marBottom w:val="0"/>
          <w:divBdr>
            <w:top w:val="none" w:sz="0" w:space="0" w:color="auto"/>
            <w:left w:val="none" w:sz="0" w:space="0" w:color="auto"/>
            <w:bottom w:val="none" w:sz="0" w:space="0" w:color="auto"/>
            <w:right w:val="none" w:sz="0" w:space="0" w:color="auto"/>
          </w:divBdr>
          <w:divsChild>
            <w:div w:id="8342914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756583462">
      <w:bodyDiv w:val="1"/>
      <w:marLeft w:val="0"/>
      <w:marRight w:val="0"/>
      <w:marTop w:val="0"/>
      <w:marBottom w:val="0"/>
      <w:divBdr>
        <w:top w:val="none" w:sz="0" w:space="0" w:color="auto"/>
        <w:left w:val="none" w:sz="0" w:space="0" w:color="auto"/>
        <w:bottom w:val="none" w:sz="0" w:space="0" w:color="auto"/>
        <w:right w:val="none" w:sz="0" w:space="0" w:color="auto"/>
      </w:divBdr>
    </w:div>
    <w:div w:id="1767075869">
      <w:bodyDiv w:val="1"/>
      <w:marLeft w:val="0"/>
      <w:marRight w:val="0"/>
      <w:marTop w:val="0"/>
      <w:marBottom w:val="0"/>
      <w:divBdr>
        <w:top w:val="none" w:sz="0" w:space="0" w:color="auto"/>
        <w:left w:val="none" w:sz="0" w:space="0" w:color="auto"/>
        <w:bottom w:val="none" w:sz="0" w:space="0" w:color="auto"/>
        <w:right w:val="none" w:sz="0" w:space="0" w:color="auto"/>
      </w:divBdr>
    </w:div>
    <w:div w:id="1767191231">
      <w:bodyDiv w:val="1"/>
      <w:marLeft w:val="0"/>
      <w:marRight w:val="0"/>
      <w:marTop w:val="0"/>
      <w:marBottom w:val="0"/>
      <w:divBdr>
        <w:top w:val="none" w:sz="0" w:space="0" w:color="auto"/>
        <w:left w:val="none" w:sz="0" w:space="0" w:color="auto"/>
        <w:bottom w:val="none" w:sz="0" w:space="0" w:color="auto"/>
        <w:right w:val="none" w:sz="0" w:space="0" w:color="auto"/>
      </w:divBdr>
    </w:div>
    <w:div w:id="1768306660">
      <w:bodyDiv w:val="1"/>
      <w:marLeft w:val="0"/>
      <w:marRight w:val="0"/>
      <w:marTop w:val="0"/>
      <w:marBottom w:val="0"/>
      <w:divBdr>
        <w:top w:val="none" w:sz="0" w:space="0" w:color="auto"/>
        <w:left w:val="none" w:sz="0" w:space="0" w:color="auto"/>
        <w:bottom w:val="none" w:sz="0" w:space="0" w:color="auto"/>
        <w:right w:val="none" w:sz="0" w:space="0" w:color="auto"/>
      </w:divBdr>
    </w:div>
    <w:div w:id="1770466316">
      <w:bodyDiv w:val="1"/>
      <w:marLeft w:val="0"/>
      <w:marRight w:val="0"/>
      <w:marTop w:val="0"/>
      <w:marBottom w:val="0"/>
      <w:divBdr>
        <w:top w:val="none" w:sz="0" w:space="0" w:color="auto"/>
        <w:left w:val="none" w:sz="0" w:space="0" w:color="auto"/>
        <w:bottom w:val="none" w:sz="0" w:space="0" w:color="auto"/>
        <w:right w:val="none" w:sz="0" w:space="0" w:color="auto"/>
      </w:divBdr>
    </w:div>
    <w:div w:id="1773436407">
      <w:bodyDiv w:val="1"/>
      <w:marLeft w:val="0"/>
      <w:marRight w:val="0"/>
      <w:marTop w:val="0"/>
      <w:marBottom w:val="0"/>
      <w:divBdr>
        <w:top w:val="none" w:sz="0" w:space="0" w:color="auto"/>
        <w:left w:val="none" w:sz="0" w:space="0" w:color="auto"/>
        <w:bottom w:val="none" w:sz="0" w:space="0" w:color="auto"/>
        <w:right w:val="none" w:sz="0" w:space="0" w:color="auto"/>
      </w:divBdr>
    </w:div>
    <w:div w:id="1775244226">
      <w:bodyDiv w:val="1"/>
      <w:marLeft w:val="0"/>
      <w:marRight w:val="0"/>
      <w:marTop w:val="0"/>
      <w:marBottom w:val="0"/>
      <w:divBdr>
        <w:top w:val="none" w:sz="0" w:space="0" w:color="auto"/>
        <w:left w:val="none" w:sz="0" w:space="0" w:color="auto"/>
        <w:bottom w:val="none" w:sz="0" w:space="0" w:color="auto"/>
        <w:right w:val="none" w:sz="0" w:space="0" w:color="auto"/>
      </w:divBdr>
    </w:div>
    <w:div w:id="1779790656">
      <w:bodyDiv w:val="1"/>
      <w:marLeft w:val="0"/>
      <w:marRight w:val="0"/>
      <w:marTop w:val="0"/>
      <w:marBottom w:val="0"/>
      <w:divBdr>
        <w:top w:val="none" w:sz="0" w:space="0" w:color="auto"/>
        <w:left w:val="none" w:sz="0" w:space="0" w:color="auto"/>
        <w:bottom w:val="none" w:sz="0" w:space="0" w:color="auto"/>
        <w:right w:val="none" w:sz="0" w:space="0" w:color="auto"/>
      </w:divBdr>
    </w:div>
    <w:div w:id="1780180222">
      <w:bodyDiv w:val="1"/>
      <w:marLeft w:val="0"/>
      <w:marRight w:val="0"/>
      <w:marTop w:val="0"/>
      <w:marBottom w:val="0"/>
      <w:divBdr>
        <w:top w:val="none" w:sz="0" w:space="0" w:color="auto"/>
        <w:left w:val="none" w:sz="0" w:space="0" w:color="auto"/>
        <w:bottom w:val="none" w:sz="0" w:space="0" w:color="auto"/>
        <w:right w:val="none" w:sz="0" w:space="0" w:color="auto"/>
      </w:divBdr>
    </w:div>
    <w:div w:id="1781216575">
      <w:bodyDiv w:val="1"/>
      <w:marLeft w:val="0"/>
      <w:marRight w:val="0"/>
      <w:marTop w:val="0"/>
      <w:marBottom w:val="0"/>
      <w:divBdr>
        <w:top w:val="none" w:sz="0" w:space="0" w:color="auto"/>
        <w:left w:val="none" w:sz="0" w:space="0" w:color="auto"/>
        <w:bottom w:val="none" w:sz="0" w:space="0" w:color="auto"/>
        <w:right w:val="none" w:sz="0" w:space="0" w:color="auto"/>
      </w:divBdr>
    </w:div>
    <w:div w:id="1782214659">
      <w:bodyDiv w:val="1"/>
      <w:marLeft w:val="0"/>
      <w:marRight w:val="0"/>
      <w:marTop w:val="0"/>
      <w:marBottom w:val="0"/>
      <w:divBdr>
        <w:top w:val="none" w:sz="0" w:space="0" w:color="auto"/>
        <w:left w:val="none" w:sz="0" w:space="0" w:color="auto"/>
        <w:bottom w:val="none" w:sz="0" w:space="0" w:color="auto"/>
        <w:right w:val="none" w:sz="0" w:space="0" w:color="auto"/>
      </w:divBdr>
    </w:div>
    <w:div w:id="1785152575">
      <w:bodyDiv w:val="1"/>
      <w:marLeft w:val="0"/>
      <w:marRight w:val="0"/>
      <w:marTop w:val="0"/>
      <w:marBottom w:val="0"/>
      <w:divBdr>
        <w:top w:val="none" w:sz="0" w:space="0" w:color="auto"/>
        <w:left w:val="none" w:sz="0" w:space="0" w:color="auto"/>
        <w:bottom w:val="none" w:sz="0" w:space="0" w:color="auto"/>
        <w:right w:val="none" w:sz="0" w:space="0" w:color="auto"/>
      </w:divBdr>
    </w:div>
    <w:div w:id="1786460635">
      <w:bodyDiv w:val="1"/>
      <w:marLeft w:val="0"/>
      <w:marRight w:val="0"/>
      <w:marTop w:val="0"/>
      <w:marBottom w:val="0"/>
      <w:divBdr>
        <w:top w:val="none" w:sz="0" w:space="0" w:color="auto"/>
        <w:left w:val="none" w:sz="0" w:space="0" w:color="auto"/>
        <w:bottom w:val="none" w:sz="0" w:space="0" w:color="auto"/>
        <w:right w:val="none" w:sz="0" w:space="0" w:color="auto"/>
      </w:divBdr>
    </w:div>
    <w:div w:id="1786995806">
      <w:bodyDiv w:val="1"/>
      <w:marLeft w:val="0"/>
      <w:marRight w:val="0"/>
      <w:marTop w:val="0"/>
      <w:marBottom w:val="0"/>
      <w:divBdr>
        <w:top w:val="none" w:sz="0" w:space="0" w:color="auto"/>
        <w:left w:val="none" w:sz="0" w:space="0" w:color="auto"/>
        <w:bottom w:val="none" w:sz="0" w:space="0" w:color="auto"/>
        <w:right w:val="none" w:sz="0" w:space="0" w:color="auto"/>
      </w:divBdr>
    </w:div>
    <w:div w:id="1788349413">
      <w:bodyDiv w:val="1"/>
      <w:marLeft w:val="0"/>
      <w:marRight w:val="0"/>
      <w:marTop w:val="0"/>
      <w:marBottom w:val="0"/>
      <w:divBdr>
        <w:top w:val="none" w:sz="0" w:space="0" w:color="auto"/>
        <w:left w:val="none" w:sz="0" w:space="0" w:color="auto"/>
        <w:bottom w:val="none" w:sz="0" w:space="0" w:color="auto"/>
        <w:right w:val="none" w:sz="0" w:space="0" w:color="auto"/>
      </w:divBdr>
      <w:divsChild>
        <w:div w:id="261762541">
          <w:marLeft w:val="547"/>
          <w:marRight w:val="0"/>
          <w:marTop w:val="288"/>
          <w:marBottom w:val="0"/>
          <w:divBdr>
            <w:top w:val="none" w:sz="0" w:space="0" w:color="auto"/>
            <w:left w:val="none" w:sz="0" w:space="0" w:color="auto"/>
            <w:bottom w:val="none" w:sz="0" w:space="0" w:color="auto"/>
            <w:right w:val="none" w:sz="0" w:space="0" w:color="auto"/>
          </w:divBdr>
        </w:div>
        <w:div w:id="1476994758">
          <w:marLeft w:val="547"/>
          <w:marRight w:val="0"/>
          <w:marTop w:val="288"/>
          <w:marBottom w:val="0"/>
          <w:divBdr>
            <w:top w:val="none" w:sz="0" w:space="0" w:color="auto"/>
            <w:left w:val="none" w:sz="0" w:space="0" w:color="auto"/>
            <w:bottom w:val="none" w:sz="0" w:space="0" w:color="auto"/>
            <w:right w:val="none" w:sz="0" w:space="0" w:color="auto"/>
          </w:divBdr>
        </w:div>
        <w:div w:id="1700858386">
          <w:marLeft w:val="547"/>
          <w:marRight w:val="0"/>
          <w:marTop w:val="288"/>
          <w:marBottom w:val="0"/>
          <w:divBdr>
            <w:top w:val="none" w:sz="0" w:space="0" w:color="auto"/>
            <w:left w:val="none" w:sz="0" w:space="0" w:color="auto"/>
            <w:bottom w:val="none" w:sz="0" w:space="0" w:color="auto"/>
            <w:right w:val="none" w:sz="0" w:space="0" w:color="auto"/>
          </w:divBdr>
        </w:div>
      </w:divsChild>
    </w:div>
    <w:div w:id="1791969238">
      <w:bodyDiv w:val="1"/>
      <w:marLeft w:val="0"/>
      <w:marRight w:val="0"/>
      <w:marTop w:val="0"/>
      <w:marBottom w:val="0"/>
      <w:divBdr>
        <w:top w:val="none" w:sz="0" w:space="0" w:color="auto"/>
        <w:left w:val="none" w:sz="0" w:space="0" w:color="auto"/>
        <w:bottom w:val="none" w:sz="0" w:space="0" w:color="auto"/>
        <w:right w:val="none" w:sz="0" w:space="0" w:color="auto"/>
      </w:divBdr>
    </w:div>
    <w:div w:id="1793478325">
      <w:bodyDiv w:val="1"/>
      <w:marLeft w:val="0"/>
      <w:marRight w:val="0"/>
      <w:marTop w:val="0"/>
      <w:marBottom w:val="0"/>
      <w:divBdr>
        <w:top w:val="none" w:sz="0" w:space="0" w:color="auto"/>
        <w:left w:val="none" w:sz="0" w:space="0" w:color="auto"/>
        <w:bottom w:val="none" w:sz="0" w:space="0" w:color="auto"/>
        <w:right w:val="none" w:sz="0" w:space="0" w:color="auto"/>
      </w:divBdr>
      <w:divsChild>
        <w:div w:id="2862032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241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848739">
      <w:bodyDiv w:val="1"/>
      <w:marLeft w:val="0"/>
      <w:marRight w:val="0"/>
      <w:marTop w:val="0"/>
      <w:marBottom w:val="0"/>
      <w:divBdr>
        <w:top w:val="none" w:sz="0" w:space="0" w:color="auto"/>
        <w:left w:val="none" w:sz="0" w:space="0" w:color="auto"/>
        <w:bottom w:val="none" w:sz="0" w:space="0" w:color="auto"/>
        <w:right w:val="none" w:sz="0" w:space="0" w:color="auto"/>
      </w:divBdr>
    </w:div>
    <w:div w:id="1802652460">
      <w:bodyDiv w:val="1"/>
      <w:marLeft w:val="0"/>
      <w:marRight w:val="0"/>
      <w:marTop w:val="0"/>
      <w:marBottom w:val="0"/>
      <w:divBdr>
        <w:top w:val="none" w:sz="0" w:space="0" w:color="auto"/>
        <w:left w:val="none" w:sz="0" w:space="0" w:color="auto"/>
        <w:bottom w:val="none" w:sz="0" w:space="0" w:color="auto"/>
        <w:right w:val="none" w:sz="0" w:space="0" w:color="auto"/>
      </w:divBdr>
    </w:div>
    <w:div w:id="1802839977">
      <w:bodyDiv w:val="1"/>
      <w:marLeft w:val="0"/>
      <w:marRight w:val="0"/>
      <w:marTop w:val="0"/>
      <w:marBottom w:val="0"/>
      <w:divBdr>
        <w:top w:val="none" w:sz="0" w:space="0" w:color="auto"/>
        <w:left w:val="none" w:sz="0" w:space="0" w:color="auto"/>
        <w:bottom w:val="none" w:sz="0" w:space="0" w:color="auto"/>
        <w:right w:val="none" w:sz="0" w:space="0" w:color="auto"/>
      </w:divBdr>
      <w:divsChild>
        <w:div w:id="3671454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3806468">
              <w:marLeft w:val="0"/>
              <w:marRight w:val="0"/>
              <w:marTop w:val="0"/>
              <w:marBottom w:val="0"/>
              <w:divBdr>
                <w:top w:val="none" w:sz="0" w:space="0" w:color="auto"/>
                <w:left w:val="none" w:sz="0" w:space="0" w:color="auto"/>
                <w:bottom w:val="none" w:sz="0" w:space="0" w:color="auto"/>
                <w:right w:val="none" w:sz="0" w:space="0" w:color="auto"/>
              </w:divBdr>
              <w:divsChild>
                <w:div w:id="1556557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813018893">
      <w:bodyDiv w:val="1"/>
      <w:marLeft w:val="0"/>
      <w:marRight w:val="0"/>
      <w:marTop w:val="0"/>
      <w:marBottom w:val="0"/>
      <w:divBdr>
        <w:top w:val="none" w:sz="0" w:space="0" w:color="auto"/>
        <w:left w:val="none" w:sz="0" w:space="0" w:color="auto"/>
        <w:bottom w:val="none" w:sz="0" w:space="0" w:color="auto"/>
        <w:right w:val="none" w:sz="0" w:space="0" w:color="auto"/>
      </w:divBdr>
      <w:divsChild>
        <w:div w:id="5296103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35516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13980823">
      <w:bodyDiv w:val="1"/>
      <w:marLeft w:val="0"/>
      <w:marRight w:val="0"/>
      <w:marTop w:val="0"/>
      <w:marBottom w:val="0"/>
      <w:divBdr>
        <w:top w:val="none" w:sz="0" w:space="0" w:color="auto"/>
        <w:left w:val="none" w:sz="0" w:space="0" w:color="auto"/>
        <w:bottom w:val="none" w:sz="0" w:space="0" w:color="auto"/>
        <w:right w:val="none" w:sz="0" w:space="0" w:color="auto"/>
      </w:divBdr>
    </w:div>
    <w:div w:id="1821653693">
      <w:bodyDiv w:val="1"/>
      <w:marLeft w:val="0"/>
      <w:marRight w:val="0"/>
      <w:marTop w:val="0"/>
      <w:marBottom w:val="0"/>
      <w:divBdr>
        <w:top w:val="none" w:sz="0" w:space="0" w:color="auto"/>
        <w:left w:val="none" w:sz="0" w:space="0" w:color="auto"/>
        <w:bottom w:val="none" w:sz="0" w:space="0" w:color="auto"/>
        <w:right w:val="none" w:sz="0" w:space="0" w:color="auto"/>
      </w:divBdr>
    </w:div>
    <w:div w:id="1825390343">
      <w:bodyDiv w:val="1"/>
      <w:marLeft w:val="0"/>
      <w:marRight w:val="0"/>
      <w:marTop w:val="0"/>
      <w:marBottom w:val="0"/>
      <w:divBdr>
        <w:top w:val="none" w:sz="0" w:space="0" w:color="auto"/>
        <w:left w:val="none" w:sz="0" w:space="0" w:color="auto"/>
        <w:bottom w:val="none" w:sz="0" w:space="0" w:color="auto"/>
        <w:right w:val="none" w:sz="0" w:space="0" w:color="auto"/>
      </w:divBdr>
    </w:div>
    <w:div w:id="1827355088">
      <w:bodyDiv w:val="1"/>
      <w:marLeft w:val="0"/>
      <w:marRight w:val="0"/>
      <w:marTop w:val="0"/>
      <w:marBottom w:val="0"/>
      <w:divBdr>
        <w:top w:val="none" w:sz="0" w:space="0" w:color="auto"/>
        <w:left w:val="none" w:sz="0" w:space="0" w:color="auto"/>
        <w:bottom w:val="none" w:sz="0" w:space="0" w:color="auto"/>
        <w:right w:val="none" w:sz="0" w:space="0" w:color="auto"/>
      </w:divBdr>
    </w:div>
    <w:div w:id="1834562839">
      <w:bodyDiv w:val="1"/>
      <w:marLeft w:val="0"/>
      <w:marRight w:val="0"/>
      <w:marTop w:val="0"/>
      <w:marBottom w:val="0"/>
      <w:divBdr>
        <w:top w:val="none" w:sz="0" w:space="0" w:color="auto"/>
        <w:left w:val="none" w:sz="0" w:space="0" w:color="auto"/>
        <w:bottom w:val="none" w:sz="0" w:space="0" w:color="auto"/>
        <w:right w:val="none" w:sz="0" w:space="0" w:color="auto"/>
      </w:divBdr>
    </w:div>
    <w:div w:id="1839228446">
      <w:bodyDiv w:val="1"/>
      <w:marLeft w:val="0"/>
      <w:marRight w:val="0"/>
      <w:marTop w:val="0"/>
      <w:marBottom w:val="0"/>
      <w:divBdr>
        <w:top w:val="none" w:sz="0" w:space="0" w:color="auto"/>
        <w:left w:val="none" w:sz="0" w:space="0" w:color="auto"/>
        <w:bottom w:val="none" w:sz="0" w:space="0" w:color="auto"/>
        <w:right w:val="none" w:sz="0" w:space="0" w:color="auto"/>
      </w:divBdr>
    </w:div>
    <w:div w:id="1839540407">
      <w:bodyDiv w:val="1"/>
      <w:marLeft w:val="0"/>
      <w:marRight w:val="0"/>
      <w:marTop w:val="0"/>
      <w:marBottom w:val="0"/>
      <w:divBdr>
        <w:top w:val="none" w:sz="0" w:space="0" w:color="auto"/>
        <w:left w:val="none" w:sz="0" w:space="0" w:color="auto"/>
        <w:bottom w:val="none" w:sz="0" w:space="0" w:color="auto"/>
        <w:right w:val="none" w:sz="0" w:space="0" w:color="auto"/>
      </w:divBdr>
    </w:div>
    <w:div w:id="1844662698">
      <w:bodyDiv w:val="1"/>
      <w:marLeft w:val="0"/>
      <w:marRight w:val="0"/>
      <w:marTop w:val="0"/>
      <w:marBottom w:val="0"/>
      <w:divBdr>
        <w:top w:val="none" w:sz="0" w:space="0" w:color="auto"/>
        <w:left w:val="none" w:sz="0" w:space="0" w:color="auto"/>
        <w:bottom w:val="none" w:sz="0" w:space="0" w:color="auto"/>
        <w:right w:val="none" w:sz="0" w:space="0" w:color="auto"/>
      </w:divBdr>
    </w:div>
    <w:div w:id="1844855713">
      <w:bodyDiv w:val="1"/>
      <w:marLeft w:val="0"/>
      <w:marRight w:val="0"/>
      <w:marTop w:val="0"/>
      <w:marBottom w:val="0"/>
      <w:divBdr>
        <w:top w:val="none" w:sz="0" w:space="0" w:color="auto"/>
        <w:left w:val="none" w:sz="0" w:space="0" w:color="auto"/>
        <w:bottom w:val="none" w:sz="0" w:space="0" w:color="auto"/>
        <w:right w:val="none" w:sz="0" w:space="0" w:color="auto"/>
      </w:divBdr>
    </w:div>
    <w:div w:id="1853640119">
      <w:bodyDiv w:val="1"/>
      <w:marLeft w:val="0"/>
      <w:marRight w:val="0"/>
      <w:marTop w:val="0"/>
      <w:marBottom w:val="0"/>
      <w:divBdr>
        <w:top w:val="none" w:sz="0" w:space="0" w:color="auto"/>
        <w:left w:val="none" w:sz="0" w:space="0" w:color="auto"/>
        <w:bottom w:val="none" w:sz="0" w:space="0" w:color="auto"/>
        <w:right w:val="none" w:sz="0" w:space="0" w:color="auto"/>
      </w:divBdr>
    </w:div>
    <w:div w:id="1860505854">
      <w:bodyDiv w:val="1"/>
      <w:marLeft w:val="0"/>
      <w:marRight w:val="0"/>
      <w:marTop w:val="0"/>
      <w:marBottom w:val="0"/>
      <w:divBdr>
        <w:top w:val="none" w:sz="0" w:space="0" w:color="auto"/>
        <w:left w:val="none" w:sz="0" w:space="0" w:color="auto"/>
        <w:bottom w:val="none" w:sz="0" w:space="0" w:color="auto"/>
        <w:right w:val="none" w:sz="0" w:space="0" w:color="auto"/>
      </w:divBdr>
    </w:div>
    <w:div w:id="1866672938">
      <w:bodyDiv w:val="1"/>
      <w:marLeft w:val="0"/>
      <w:marRight w:val="0"/>
      <w:marTop w:val="0"/>
      <w:marBottom w:val="0"/>
      <w:divBdr>
        <w:top w:val="none" w:sz="0" w:space="0" w:color="auto"/>
        <w:left w:val="none" w:sz="0" w:space="0" w:color="auto"/>
        <w:bottom w:val="none" w:sz="0" w:space="0" w:color="auto"/>
        <w:right w:val="none" w:sz="0" w:space="0" w:color="auto"/>
      </w:divBdr>
    </w:div>
    <w:div w:id="1868517726">
      <w:bodyDiv w:val="1"/>
      <w:marLeft w:val="0"/>
      <w:marRight w:val="0"/>
      <w:marTop w:val="0"/>
      <w:marBottom w:val="0"/>
      <w:divBdr>
        <w:top w:val="none" w:sz="0" w:space="0" w:color="auto"/>
        <w:left w:val="none" w:sz="0" w:space="0" w:color="auto"/>
        <w:bottom w:val="none" w:sz="0" w:space="0" w:color="auto"/>
        <w:right w:val="none" w:sz="0" w:space="0" w:color="auto"/>
      </w:divBdr>
    </w:div>
    <w:div w:id="1872375607">
      <w:bodyDiv w:val="1"/>
      <w:marLeft w:val="0"/>
      <w:marRight w:val="0"/>
      <w:marTop w:val="0"/>
      <w:marBottom w:val="0"/>
      <w:divBdr>
        <w:top w:val="none" w:sz="0" w:space="0" w:color="auto"/>
        <w:left w:val="none" w:sz="0" w:space="0" w:color="auto"/>
        <w:bottom w:val="none" w:sz="0" w:space="0" w:color="auto"/>
        <w:right w:val="none" w:sz="0" w:space="0" w:color="auto"/>
      </w:divBdr>
    </w:div>
    <w:div w:id="1873836491">
      <w:bodyDiv w:val="1"/>
      <w:marLeft w:val="0"/>
      <w:marRight w:val="0"/>
      <w:marTop w:val="0"/>
      <w:marBottom w:val="0"/>
      <w:divBdr>
        <w:top w:val="none" w:sz="0" w:space="0" w:color="auto"/>
        <w:left w:val="none" w:sz="0" w:space="0" w:color="auto"/>
        <w:bottom w:val="none" w:sz="0" w:space="0" w:color="auto"/>
        <w:right w:val="none" w:sz="0" w:space="0" w:color="auto"/>
      </w:divBdr>
    </w:div>
    <w:div w:id="1882553536">
      <w:bodyDiv w:val="1"/>
      <w:marLeft w:val="0"/>
      <w:marRight w:val="0"/>
      <w:marTop w:val="0"/>
      <w:marBottom w:val="0"/>
      <w:divBdr>
        <w:top w:val="none" w:sz="0" w:space="0" w:color="auto"/>
        <w:left w:val="none" w:sz="0" w:space="0" w:color="auto"/>
        <w:bottom w:val="none" w:sz="0" w:space="0" w:color="auto"/>
        <w:right w:val="none" w:sz="0" w:space="0" w:color="auto"/>
      </w:divBdr>
    </w:div>
    <w:div w:id="1895697061">
      <w:bodyDiv w:val="1"/>
      <w:marLeft w:val="0"/>
      <w:marRight w:val="0"/>
      <w:marTop w:val="0"/>
      <w:marBottom w:val="0"/>
      <w:divBdr>
        <w:top w:val="none" w:sz="0" w:space="0" w:color="auto"/>
        <w:left w:val="none" w:sz="0" w:space="0" w:color="auto"/>
        <w:bottom w:val="none" w:sz="0" w:space="0" w:color="auto"/>
        <w:right w:val="none" w:sz="0" w:space="0" w:color="auto"/>
      </w:divBdr>
    </w:div>
    <w:div w:id="1898204320">
      <w:bodyDiv w:val="1"/>
      <w:marLeft w:val="0"/>
      <w:marRight w:val="0"/>
      <w:marTop w:val="0"/>
      <w:marBottom w:val="0"/>
      <w:divBdr>
        <w:top w:val="none" w:sz="0" w:space="0" w:color="auto"/>
        <w:left w:val="none" w:sz="0" w:space="0" w:color="auto"/>
        <w:bottom w:val="none" w:sz="0" w:space="0" w:color="auto"/>
        <w:right w:val="none" w:sz="0" w:space="0" w:color="auto"/>
      </w:divBdr>
    </w:div>
    <w:div w:id="1900632638">
      <w:bodyDiv w:val="1"/>
      <w:marLeft w:val="0"/>
      <w:marRight w:val="0"/>
      <w:marTop w:val="0"/>
      <w:marBottom w:val="0"/>
      <w:divBdr>
        <w:top w:val="none" w:sz="0" w:space="0" w:color="auto"/>
        <w:left w:val="none" w:sz="0" w:space="0" w:color="auto"/>
        <w:bottom w:val="none" w:sz="0" w:space="0" w:color="auto"/>
        <w:right w:val="none" w:sz="0" w:space="0" w:color="auto"/>
      </w:divBdr>
      <w:divsChild>
        <w:div w:id="1167477274">
          <w:marLeft w:val="0"/>
          <w:marRight w:val="0"/>
          <w:marTop w:val="0"/>
          <w:marBottom w:val="0"/>
          <w:divBdr>
            <w:top w:val="none" w:sz="0" w:space="0" w:color="auto"/>
            <w:left w:val="none" w:sz="0" w:space="0" w:color="auto"/>
            <w:bottom w:val="none" w:sz="0" w:space="0" w:color="auto"/>
            <w:right w:val="none" w:sz="0" w:space="0" w:color="auto"/>
          </w:divBdr>
        </w:div>
      </w:divsChild>
    </w:div>
    <w:div w:id="1905985113">
      <w:bodyDiv w:val="1"/>
      <w:marLeft w:val="0"/>
      <w:marRight w:val="0"/>
      <w:marTop w:val="0"/>
      <w:marBottom w:val="0"/>
      <w:divBdr>
        <w:top w:val="none" w:sz="0" w:space="0" w:color="auto"/>
        <w:left w:val="none" w:sz="0" w:space="0" w:color="auto"/>
        <w:bottom w:val="none" w:sz="0" w:space="0" w:color="auto"/>
        <w:right w:val="none" w:sz="0" w:space="0" w:color="auto"/>
      </w:divBdr>
    </w:div>
    <w:div w:id="1909880203">
      <w:bodyDiv w:val="1"/>
      <w:marLeft w:val="0"/>
      <w:marRight w:val="0"/>
      <w:marTop w:val="0"/>
      <w:marBottom w:val="0"/>
      <w:divBdr>
        <w:top w:val="none" w:sz="0" w:space="0" w:color="auto"/>
        <w:left w:val="none" w:sz="0" w:space="0" w:color="auto"/>
        <w:bottom w:val="none" w:sz="0" w:space="0" w:color="auto"/>
        <w:right w:val="none" w:sz="0" w:space="0" w:color="auto"/>
      </w:divBdr>
    </w:div>
    <w:div w:id="1914312662">
      <w:bodyDiv w:val="1"/>
      <w:marLeft w:val="0"/>
      <w:marRight w:val="0"/>
      <w:marTop w:val="0"/>
      <w:marBottom w:val="0"/>
      <w:divBdr>
        <w:top w:val="none" w:sz="0" w:space="0" w:color="auto"/>
        <w:left w:val="none" w:sz="0" w:space="0" w:color="auto"/>
        <w:bottom w:val="none" w:sz="0" w:space="0" w:color="auto"/>
        <w:right w:val="none" w:sz="0" w:space="0" w:color="auto"/>
      </w:divBdr>
    </w:div>
    <w:div w:id="1917932531">
      <w:bodyDiv w:val="1"/>
      <w:marLeft w:val="0"/>
      <w:marRight w:val="0"/>
      <w:marTop w:val="0"/>
      <w:marBottom w:val="0"/>
      <w:divBdr>
        <w:top w:val="none" w:sz="0" w:space="0" w:color="auto"/>
        <w:left w:val="none" w:sz="0" w:space="0" w:color="auto"/>
        <w:bottom w:val="none" w:sz="0" w:space="0" w:color="auto"/>
        <w:right w:val="none" w:sz="0" w:space="0" w:color="auto"/>
      </w:divBdr>
    </w:div>
    <w:div w:id="1922986105">
      <w:bodyDiv w:val="1"/>
      <w:marLeft w:val="0"/>
      <w:marRight w:val="0"/>
      <w:marTop w:val="0"/>
      <w:marBottom w:val="0"/>
      <w:divBdr>
        <w:top w:val="none" w:sz="0" w:space="0" w:color="auto"/>
        <w:left w:val="none" w:sz="0" w:space="0" w:color="auto"/>
        <w:bottom w:val="none" w:sz="0" w:space="0" w:color="auto"/>
        <w:right w:val="none" w:sz="0" w:space="0" w:color="auto"/>
      </w:divBdr>
    </w:div>
    <w:div w:id="1925841009">
      <w:bodyDiv w:val="1"/>
      <w:marLeft w:val="0"/>
      <w:marRight w:val="0"/>
      <w:marTop w:val="0"/>
      <w:marBottom w:val="0"/>
      <w:divBdr>
        <w:top w:val="none" w:sz="0" w:space="0" w:color="auto"/>
        <w:left w:val="none" w:sz="0" w:space="0" w:color="auto"/>
        <w:bottom w:val="none" w:sz="0" w:space="0" w:color="auto"/>
        <w:right w:val="none" w:sz="0" w:space="0" w:color="auto"/>
      </w:divBdr>
    </w:div>
    <w:div w:id="1929919003">
      <w:bodyDiv w:val="1"/>
      <w:marLeft w:val="0"/>
      <w:marRight w:val="0"/>
      <w:marTop w:val="0"/>
      <w:marBottom w:val="0"/>
      <w:divBdr>
        <w:top w:val="none" w:sz="0" w:space="0" w:color="auto"/>
        <w:left w:val="none" w:sz="0" w:space="0" w:color="auto"/>
        <w:bottom w:val="none" w:sz="0" w:space="0" w:color="auto"/>
        <w:right w:val="none" w:sz="0" w:space="0" w:color="auto"/>
      </w:divBdr>
    </w:div>
    <w:div w:id="1929999586">
      <w:bodyDiv w:val="1"/>
      <w:marLeft w:val="0"/>
      <w:marRight w:val="0"/>
      <w:marTop w:val="0"/>
      <w:marBottom w:val="0"/>
      <w:divBdr>
        <w:top w:val="none" w:sz="0" w:space="0" w:color="auto"/>
        <w:left w:val="none" w:sz="0" w:space="0" w:color="auto"/>
        <w:bottom w:val="none" w:sz="0" w:space="0" w:color="auto"/>
        <w:right w:val="none" w:sz="0" w:space="0" w:color="auto"/>
      </w:divBdr>
    </w:div>
    <w:div w:id="1941328240">
      <w:bodyDiv w:val="1"/>
      <w:marLeft w:val="0"/>
      <w:marRight w:val="0"/>
      <w:marTop w:val="0"/>
      <w:marBottom w:val="0"/>
      <w:divBdr>
        <w:top w:val="none" w:sz="0" w:space="0" w:color="auto"/>
        <w:left w:val="none" w:sz="0" w:space="0" w:color="auto"/>
        <w:bottom w:val="none" w:sz="0" w:space="0" w:color="auto"/>
        <w:right w:val="none" w:sz="0" w:space="0" w:color="auto"/>
      </w:divBdr>
    </w:div>
    <w:div w:id="1944730080">
      <w:bodyDiv w:val="1"/>
      <w:marLeft w:val="0"/>
      <w:marRight w:val="0"/>
      <w:marTop w:val="0"/>
      <w:marBottom w:val="0"/>
      <w:divBdr>
        <w:top w:val="none" w:sz="0" w:space="0" w:color="auto"/>
        <w:left w:val="none" w:sz="0" w:space="0" w:color="auto"/>
        <w:bottom w:val="none" w:sz="0" w:space="0" w:color="auto"/>
        <w:right w:val="none" w:sz="0" w:space="0" w:color="auto"/>
      </w:divBdr>
    </w:div>
    <w:div w:id="1945839119">
      <w:bodyDiv w:val="1"/>
      <w:marLeft w:val="0"/>
      <w:marRight w:val="0"/>
      <w:marTop w:val="0"/>
      <w:marBottom w:val="0"/>
      <w:divBdr>
        <w:top w:val="none" w:sz="0" w:space="0" w:color="auto"/>
        <w:left w:val="none" w:sz="0" w:space="0" w:color="auto"/>
        <w:bottom w:val="none" w:sz="0" w:space="0" w:color="auto"/>
        <w:right w:val="none" w:sz="0" w:space="0" w:color="auto"/>
      </w:divBdr>
    </w:div>
    <w:div w:id="1952928886">
      <w:bodyDiv w:val="1"/>
      <w:marLeft w:val="0"/>
      <w:marRight w:val="0"/>
      <w:marTop w:val="0"/>
      <w:marBottom w:val="0"/>
      <w:divBdr>
        <w:top w:val="none" w:sz="0" w:space="0" w:color="auto"/>
        <w:left w:val="none" w:sz="0" w:space="0" w:color="auto"/>
        <w:bottom w:val="none" w:sz="0" w:space="0" w:color="auto"/>
        <w:right w:val="none" w:sz="0" w:space="0" w:color="auto"/>
      </w:divBdr>
    </w:div>
    <w:div w:id="1956330837">
      <w:bodyDiv w:val="1"/>
      <w:marLeft w:val="0"/>
      <w:marRight w:val="0"/>
      <w:marTop w:val="0"/>
      <w:marBottom w:val="0"/>
      <w:divBdr>
        <w:top w:val="none" w:sz="0" w:space="0" w:color="auto"/>
        <w:left w:val="none" w:sz="0" w:space="0" w:color="auto"/>
        <w:bottom w:val="none" w:sz="0" w:space="0" w:color="auto"/>
        <w:right w:val="none" w:sz="0" w:space="0" w:color="auto"/>
      </w:divBdr>
    </w:div>
    <w:div w:id="1966504988">
      <w:bodyDiv w:val="1"/>
      <w:marLeft w:val="0"/>
      <w:marRight w:val="0"/>
      <w:marTop w:val="0"/>
      <w:marBottom w:val="0"/>
      <w:divBdr>
        <w:top w:val="none" w:sz="0" w:space="0" w:color="auto"/>
        <w:left w:val="none" w:sz="0" w:space="0" w:color="auto"/>
        <w:bottom w:val="none" w:sz="0" w:space="0" w:color="auto"/>
        <w:right w:val="none" w:sz="0" w:space="0" w:color="auto"/>
      </w:divBdr>
    </w:div>
    <w:div w:id="1967730913">
      <w:bodyDiv w:val="1"/>
      <w:marLeft w:val="0"/>
      <w:marRight w:val="0"/>
      <w:marTop w:val="0"/>
      <w:marBottom w:val="0"/>
      <w:divBdr>
        <w:top w:val="none" w:sz="0" w:space="0" w:color="auto"/>
        <w:left w:val="none" w:sz="0" w:space="0" w:color="auto"/>
        <w:bottom w:val="none" w:sz="0" w:space="0" w:color="auto"/>
        <w:right w:val="none" w:sz="0" w:space="0" w:color="auto"/>
      </w:divBdr>
    </w:div>
    <w:div w:id="1970818970">
      <w:bodyDiv w:val="1"/>
      <w:marLeft w:val="0"/>
      <w:marRight w:val="0"/>
      <w:marTop w:val="0"/>
      <w:marBottom w:val="0"/>
      <w:divBdr>
        <w:top w:val="none" w:sz="0" w:space="0" w:color="auto"/>
        <w:left w:val="none" w:sz="0" w:space="0" w:color="auto"/>
        <w:bottom w:val="none" w:sz="0" w:space="0" w:color="auto"/>
        <w:right w:val="none" w:sz="0" w:space="0" w:color="auto"/>
      </w:divBdr>
    </w:div>
    <w:div w:id="1973635840">
      <w:bodyDiv w:val="1"/>
      <w:marLeft w:val="0"/>
      <w:marRight w:val="0"/>
      <w:marTop w:val="0"/>
      <w:marBottom w:val="0"/>
      <w:divBdr>
        <w:top w:val="none" w:sz="0" w:space="0" w:color="auto"/>
        <w:left w:val="none" w:sz="0" w:space="0" w:color="auto"/>
        <w:bottom w:val="none" w:sz="0" w:space="0" w:color="auto"/>
        <w:right w:val="none" w:sz="0" w:space="0" w:color="auto"/>
      </w:divBdr>
    </w:div>
    <w:div w:id="1973946615">
      <w:bodyDiv w:val="1"/>
      <w:marLeft w:val="0"/>
      <w:marRight w:val="0"/>
      <w:marTop w:val="0"/>
      <w:marBottom w:val="0"/>
      <w:divBdr>
        <w:top w:val="none" w:sz="0" w:space="0" w:color="auto"/>
        <w:left w:val="none" w:sz="0" w:space="0" w:color="auto"/>
        <w:bottom w:val="none" w:sz="0" w:space="0" w:color="auto"/>
        <w:right w:val="none" w:sz="0" w:space="0" w:color="auto"/>
      </w:divBdr>
    </w:div>
    <w:div w:id="1975064055">
      <w:bodyDiv w:val="1"/>
      <w:marLeft w:val="0"/>
      <w:marRight w:val="0"/>
      <w:marTop w:val="0"/>
      <w:marBottom w:val="0"/>
      <w:divBdr>
        <w:top w:val="none" w:sz="0" w:space="0" w:color="auto"/>
        <w:left w:val="none" w:sz="0" w:space="0" w:color="auto"/>
        <w:bottom w:val="none" w:sz="0" w:space="0" w:color="auto"/>
        <w:right w:val="none" w:sz="0" w:space="0" w:color="auto"/>
      </w:divBdr>
    </w:div>
    <w:div w:id="1981416066">
      <w:bodyDiv w:val="1"/>
      <w:marLeft w:val="0"/>
      <w:marRight w:val="0"/>
      <w:marTop w:val="0"/>
      <w:marBottom w:val="0"/>
      <w:divBdr>
        <w:top w:val="none" w:sz="0" w:space="0" w:color="auto"/>
        <w:left w:val="none" w:sz="0" w:space="0" w:color="auto"/>
        <w:bottom w:val="none" w:sz="0" w:space="0" w:color="auto"/>
        <w:right w:val="none" w:sz="0" w:space="0" w:color="auto"/>
      </w:divBdr>
    </w:div>
    <w:div w:id="1982733468">
      <w:bodyDiv w:val="1"/>
      <w:marLeft w:val="0"/>
      <w:marRight w:val="0"/>
      <w:marTop w:val="0"/>
      <w:marBottom w:val="0"/>
      <w:divBdr>
        <w:top w:val="none" w:sz="0" w:space="0" w:color="auto"/>
        <w:left w:val="none" w:sz="0" w:space="0" w:color="auto"/>
        <w:bottom w:val="none" w:sz="0" w:space="0" w:color="auto"/>
        <w:right w:val="none" w:sz="0" w:space="0" w:color="auto"/>
      </w:divBdr>
    </w:div>
    <w:div w:id="1983998742">
      <w:bodyDiv w:val="1"/>
      <w:marLeft w:val="0"/>
      <w:marRight w:val="0"/>
      <w:marTop w:val="0"/>
      <w:marBottom w:val="0"/>
      <w:divBdr>
        <w:top w:val="none" w:sz="0" w:space="0" w:color="auto"/>
        <w:left w:val="none" w:sz="0" w:space="0" w:color="auto"/>
        <w:bottom w:val="none" w:sz="0" w:space="0" w:color="auto"/>
        <w:right w:val="none" w:sz="0" w:space="0" w:color="auto"/>
      </w:divBdr>
    </w:div>
    <w:div w:id="1984654205">
      <w:bodyDiv w:val="1"/>
      <w:marLeft w:val="0"/>
      <w:marRight w:val="0"/>
      <w:marTop w:val="0"/>
      <w:marBottom w:val="0"/>
      <w:divBdr>
        <w:top w:val="none" w:sz="0" w:space="0" w:color="auto"/>
        <w:left w:val="none" w:sz="0" w:space="0" w:color="auto"/>
        <w:bottom w:val="none" w:sz="0" w:space="0" w:color="auto"/>
        <w:right w:val="none" w:sz="0" w:space="0" w:color="auto"/>
      </w:divBdr>
    </w:div>
    <w:div w:id="1994096623">
      <w:bodyDiv w:val="1"/>
      <w:marLeft w:val="0"/>
      <w:marRight w:val="0"/>
      <w:marTop w:val="0"/>
      <w:marBottom w:val="0"/>
      <w:divBdr>
        <w:top w:val="none" w:sz="0" w:space="0" w:color="auto"/>
        <w:left w:val="none" w:sz="0" w:space="0" w:color="auto"/>
        <w:bottom w:val="none" w:sz="0" w:space="0" w:color="auto"/>
        <w:right w:val="none" w:sz="0" w:space="0" w:color="auto"/>
      </w:divBdr>
    </w:div>
    <w:div w:id="1996109874">
      <w:bodyDiv w:val="1"/>
      <w:marLeft w:val="0"/>
      <w:marRight w:val="0"/>
      <w:marTop w:val="0"/>
      <w:marBottom w:val="0"/>
      <w:divBdr>
        <w:top w:val="none" w:sz="0" w:space="0" w:color="auto"/>
        <w:left w:val="none" w:sz="0" w:space="0" w:color="auto"/>
        <w:bottom w:val="none" w:sz="0" w:space="0" w:color="auto"/>
        <w:right w:val="none" w:sz="0" w:space="0" w:color="auto"/>
      </w:divBdr>
    </w:div>
    <w:div w:id="2007634365">
      <w:bodyDiv w:val="1"/>
      <w:marLeft w:val="0"/>
      <w:marRight w:val="0"/>
      <w:marTop w:val="0"/>
      <w:marBottom w:val="0"/>
      <w:divBdr>
        <w:top w:val="none" w:sz="0" w:space="0" w:color="auto"/>
        <w:left w:val="none" w:sz="0" w:space="0" w:color="auto"/>
        <w:bottom w:val="none" w:sz="0" w:space="0" w:color="auto"/>
        <w:right w:val="none" w:sz="0" w:space="0" w:color="auto"/>
      </w:divBdr>
    </w:div>
    <w:div w:id="2009937632">
      <w:bodyDiv w:val="1"/>
      <w:marLeft w:val="0"/>
      <w:marRight w:val="0"/>
      <w:marTop w:val="0"/>
      <w:marBottom w:val="0"/>
      <w:divBdr>
        <w:top w:val="none" w:sz="0" w:space="0" w:color="auto"/>
        <w:left w:val="none" w:sz="0" w:space="0" w:color="auto"/>
        <w:bottom w:val="none" w:sz="0" w:space="0" w:color="auto"/>
        <w:right w:val="none" w:sz="0" w:space="0" w:color="auto"/>
      </w:divBdr>
    </w:div>
    <w:div w:id="2013295378">
      <w:bodyDiv w:val="1"/>
      <w:marLeft w:val="0"/>
      <w:marRight w:val="0"/>
      <w:marTop w:val="0"/>
      <w:marBottom w:val="0"/>
      <w:divBdr>
        <w:top w:val="none" w:sz="0" w:space="0" w:color="auto"/>
        <w:left w:val="none" w:sz="0" w:space="0" w:color="auto"/>
        <w:bottom w:val="none" w:sz="0" w:space="0" w:color="auto"/>
        <w:right w:val="none" w:sz="0" w:space="0" w:color="auto"/>
      </w:divBdr>
    </w:div>
    <w:div w:id="2020310180">
      <w:bodyDiv w:val="1"/>
      <w:marLeft w:val="0"/>
      <w:marRight w:val="0"/>
      <w:marTop w:val="0"/>
      <w:marBottom w:val="0"/>
      <w:divBdr>
        <w:top w:val="none" w:sz="0" w:space="0" w:color="auto"/>
        <w:left w:val="none" w:sz="0" w:space="0" w:color="auto"/>
        <w:bottom w:val="none" w:sz="0" w:space="0" w:color="auto"/>
        <w:right w:val="none" w:sz="0" w:space="0" w:color="auto"/>
      </w:divBdr>
      <w:divsChild>
        <w:div w:id="1305115235">
          <w:marLeft w:val="547"/>
          <w:marRight w:val="0"/>
          <w:marTop w:val="288"/>
          <w:marBottom w:val="0"/>
          <w:divBdr>
            <w:top w:val="none" w:sz="0" w:space="0" w:color="auto"/>
            <w:left w:val="none" w:sz="0" w:space="0" w:color="auto"/>
            <w:bottom w:val="none" w:sz="0" w:space="0" w:color="auto"/>
            <w:right w:val="none" w:sz="0" w:space="0" w:color="auto"/>
          </w:divBdr>
        </w:div>
        <w:div w:id="1634216993">
          <w:marLeft w:val="1267"/>
          <w:marRight w:val="0"/>
          <w:marTop w:val="288"/>
          <w:marBottom w:val="0"/>
          <w:divBdr>
            <w:top w:val="none" w:sz="0" w:space="0" w:color="auto"/>
            <w:left w:val="none" w:sz="0" w:space="0" w:color="auto"/>
            <w:bottom w:val="none" w:sz="0" w:space="0" w:color="auto"/>
            <w:right w:val="none" w:sz="0" w:space="0" w:color="auto"/>
          </w:divBdr>
        </w:div>
      </w:divsChild>
    </w:div>
    <w:div w:id="2023358875">
      <w:bodyDiv w:val="1"/>
      <w:marLeft w:val="0"/>
      <w:marRight w:val="0"/>
      <w:marTop w:val="0"/>
      <w:marBottom w:val="0"/>
      <w:divBdr>
        <w:top w:val="none" w:sz="0" w:space="0" w:color="auto"/>
        <w:left w:val="none" w:sz="0" w:space="0" w:color="auto"/>
        <w:bottom w:val="none" w:sz="0" w:space="0" w:color="auto"/>
        <w:right w:val="none" w:sz="0" w:space="0" w:color="auto"/>
      </w:divBdr>
    </w:div>
    <w:div w:id="2029721671">
      <w:bodyDiv w:val="1"/>
      <w:marLeft w:val="0"/>
      <w:marRight w:val="0"/>
      <w:marTop w:val="0"/>
      <w:marBottom w:val="0"/>
      <w:divBdr>
        <w:top w:val="none" w:sz="0" w:space="0" w:color="auto"/>
        <w:left w:val="none" w:sz="0" w:space="0" w:color="auto"/>
        <w:bottom w:val="none" w:sz="0" w:space="0" w:color="auto"/>
        <w:right w:val="none" w:sz="0" w:space="0" w:color="auto"/>
      </w:divBdr>
    </w:div>
    <w:div w:id="2033141554">
      <w:bodyDiv w:val="1"/>
      <w:marLeft w:val="0"/>
      <w:marRight w:val="0"/>
      <w:marTop w:val="0"/>
      <w:marBottom w:val="0"/>
      <w:divBdr>
        <w:top w:val="none" w:sz="0" w:space="0" w:color="auto"/>
        <w:left w:val="none" w:sz="0" w:space="0" w:color="auto"/>
        <w:bottom w:val="none" w:sz="0" w:space="0" w:color="auto"/>
        <w:right w:val="none" w:sz="0" w:space="0" w:color="auto"/>
      </w:divBdr>
    </w:div>
    <w:div w:id="2037264662">
      <w:bodyDiv w:val="1"/>
      <w:marLeft w:val="0"/>
      <w:marRight w:val="0"/>
      <w:marTop w:val="0"/>
      <w:marBottom w:val="0"/>
      <w:divBdr>
        <w:top w:val="none" w:sz="0" w:space="0" w:color="auto"/>
        <w:left w:val="none" w:sz="0" w:space="0" w:color="auto"/>
        <w:bottom w:val="none" w:sz="0" w:space="0" w:color="auto"/>
        <w:right w:val="none" w:sz="0" w:space="0" w:color="auto"/>
      </w:divBdr>
    </w:div>
    <w:div w:id="2037660810">
      <w:bodyDiv w:val="1"/>
      <w:marLeft w:val="0"/>
      <w:marRight w:val="0"/>
      <w:marTop w:val="0"/>
      <w:marBottom w:val="0"/>
      <w:divBdr>
        <w:top w:val="none" w:sz="0" w:space="0" w:color="auto"/>
        <w:left w:val="none" w:sz="0" w:space="0" w:color="auto"/>
        <w:bottom w:val="none" w:sz="0" w:space="0" w:color="auto"/>
        <w:right w:val="none" w:sz="0" w:space="0" w:color="auto"/>
      </w:divBdr>
      <w:divsChild>
        <w:div w:id="10949802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1089646">
              <w:marLeft w:val="0"/>
              <w:marRight w:val="0"/>
              <w:marTop w:val="0"/>
              <w:marBottom w:val="0"/>
              <w:divBdr>
                <w:top w:val="none" w:sz="0" w:space="0" w:color="auto"/>
                <w:left w:val="none" w:sz="0" w:space="0" w:color="auto"/>
                <w:bottom w:val="none" w:sz="0" w:space="0" w:color="auto"/>
                <w:right w:val="none" w:sz="0" w:space="0" w:color="auto"/>
              </w:divBdr>
              <w:divsChild>
                <w:div w:id="3885784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037922653">
      <w:bodyDiv w:val="1"/>
      <w:marLeft w:val="0"/>
      <w:marRight w:val="0"/>
      <w:marTop w:val="0"/>
      <w:marBottom w:val="0"/>
      <w:divBdr>
        <w:top w:val="none" w:sz="0" w:space="0" w:color="auto"/>
        <w:left w:val="none" w:sz="0" w:space="0" w:color="auto"/>
        <w:bottom w:val="none" w:sz="0" w:space="0" w:color="auto"/>
        <w:right w:val="none" w:sz="0" w:space="0" w:color="auto"/>
      </w:divBdr>
    </w:div>
    <w:div w:id="2043437678">
      <w:bodyDiv w:val="1"/>
      <w:marLeft w:val="0"/>
      <w:marRight w:val="0"/>
      <w:marTop w:val="0"/>
      <w:marBottom w:val="0"/>
      <w:divBdr>
        <w:top w:val="none" w:sz="0" w:space="0" w:color="auto"/>
        <w:left w:val="none" w:sz="0" w:space="0" w:color="auto"/>
        <w:bottom w:val="none" w:sz="0" w:space="0" w:color="auto"/>
        <w:right w:val="none" w:sz="0" w:space="0" w:color="auto"/>
      </w:divBdr>
    </w:div>
    <w:div w:id="2052411283">
      <w:bodyDiv w:val="1"/>
      <w:marLeft w:val="0"/>
      <w:marRight w:val="0"/>
      <w:marTop w:val="0"/>
      <w:marBottom w:val="0"/>
      <w:divBdr>
        <w:top w:val="none" w:sz="0" w:space="0" w:color="auto"/>
        <w:left w:val="none" w:sz="0" w:space="0" w:color="auto"/>
        <w:bottom w:val="none" w:sz="0" w:space="0" w:color="auto"/>
        <w:right w:val="none" w:sz="0" w:space="0" w:color="auto"/>
      </w:divBdr>
    </w:div>
    <w:div w:id="2059284036">
      <w:bodyDiv w:val="1"/>
      <w:marLeft w:val="0"/>
      <w:marRight w:val="0"/>
      <w:marTop w:val="0"/>
      <w:marBottom w:val="0"/>
      <w:divBdr>
        <w:top w:val="none" w:sz="0" w:space="0" w:color="auto"/>
        <w:left w:val="none" w:sz="0" w:space="0" w:color="auto"/>
        <w:bottom w:val="none" w:sz="0" w:space="0" w:color="auto"/>
        <w:right w:val="none" w:sz="0" w:space="0" w:color="auto"/>
      </w:divBdr>
    </w:div>
    <w:div w:id="2063476844">
      <w:bodyDiv w:val="1"/>
      <w:marLeft w:val="0"/>
      <w:marRight w:val="0"/>
      <w:marTop w:val="0"/>
      <w:marBottom w:val="0"/>
      <w:divBdr>
        <w:top w:val="none" w:sz="0" w:space="0" w:color="auto"/>
        <w:left w:val="none" w:sz="0" w:space="0" w:color="auto"/>
        <w:bottom w:val="none" w:sz="0" w:space="0" w:color="auto"/>
        <w:right w:val="none" w:sz="0" w:space="0" w:color="auto"/>
      </w:divBdr>
    </w:div>
    <w:div w:id="2064408639">
      <w:bodyDiv w:val="1"/>
      <w:marLeft w:val="0"/>
      <w:marRight w:val="0"/>
      <w:marTop w:val="0"/>
      <w:marBottom w:val="0"/>
      <w:divBdr>
        <w:top w:val="none" w:sz="0" w:space="0" w:color="auto"/>
        <w:left w:val="none" w:sz="0" w:space="0" w:color="auto"/>
        <w:bottom w:val="none" w:sz="0" w:space="0" w:color="auto"/>
        <w:right w:val="none" w:sz="0" w:space="0" w:color="auto"/>
      </w:divBdr>
    </w:div>
    <w:div w:id="2066489479">
      <w:bodyDiv w:val="1"/>
      <w:marLeft w:val="0"/>
      <w:marRight w:val="0"/>
      <w:marTop w:val="0"/>
      <w:marBottom w:val="0"/>
      <w:divBdr>
        <w:top w:val="none" w:sz="0" w:space="0" w:color="auto"/>
        <w:left w:val="none" w:sz="0" w:space="0" w:color="auto"/>
        <w:bottom w:val="none" w:sz="0" w:space="0" w:color="auto"/>
        <w:right w:val="none" w:sz="0" w:space="0" w:color="auto"/>
      </w:divBdr>
    </w:div>
    <w:div w:id="2078622754">
      <w:bodyDiv w:val="1"/>
      <w:marLeft w:val="0"/>
      <w:marRight w:val="0"/>
      <w:marTop w:val="0"/>
      <w:marBottom w:val="0"/>
      <w:divBdr>
        <w:top w:val="none" w:sz="0" w:space="0" w:color="auto"/>
        <w:left w:val="none" w:sz="0" w:space="0" w:color="auto"/>
        <w:bottom w:val="none" w:sz="0" w:space="0" w:color="auto"/>
        <w:right w:val="none" w:sz="0" w:space="0" w:color="auto"/>
      </w:divBdr>
    </w:div>
    <w:div w:id="2083523763">
      <w:bodyDiv w:val="1"/>
      <w:marLeft w:val="0"/>
      <w:marRight w:val="0"/>
      <w:marTop w:val="0"/>
      <w:marBottom w:val="0"/>
      <w:divBdr>
        <w:top w:val="none" w:sz="0" w:space="0" w:color="auto"/>
        <w:left w:val="none" w:sz="0" w:space="0" w:color="auto"/>
        <w:bottom w:val="none" w:sz="0" w:space="0" w:color="auto"/>
        <w:right w:val="none" w:sz="0" w:space="0" w:color="auto"/>
      </w:divBdr>
    </w:div>
    <w:div w:id="2089308757">
      <w:bodyDiv w:val="1"/>
      <w:marLeft w:val="0"/>
      <w:marRight w:val="0"/>
      <w:marTop w:val="0"/>
      <w:marBottom w:val="0"/>
      <w:divBdr>
        <w:top w:val="none" w:sz="0" w:space="0" w:color="auto"/>
        <w:left w:val="none" w:sz="0" w:space="0" w:color="auto"/>
        <w:bottom w:val="none" w:sz="0" w:space="0" w:color="auto"/>
        <w:right w:val="none" w:sz="0" w:space="0" w:color="auto"/>
      </w:divBdr>
    </w:div>
    <w:div w:id="2089618225">
      <w:bodyDiv w:val="1"/>
      <w:marLeft w:val="0"/>
      <w:marRight w:val="0"/>
      <w:marTop w:val="0"/>
      <w:marBottom w:val="0"/>
      <w:divBdr>
        <w:top w:val="none" w:sz="0" w:space="0" w:color="auto"/>
        <w:left w:val="none" w:sz="0" w:space="0" w:color="auto"/>
        <w:bottom w:val="none" w:sz="0" w:space="0" w:color="auto"/>
        <w:right w:val="none" w:sz="0" w:space="0" w:color="auto"/>
      </w:divBdr>
    </w:div>
    <w:div w:id="2091927818">
      <w:bodyDiv w:val="1"/>
      <w:marLeft w:val="0"/>
      <w:marRight w:val="0"/>
      <w:marTop w:val="0"/>
      <w:marBottom w:val="0"/>
      <w:divBdr>
        <w:top w:val="none" w:sz="0" w:space="0" w:color="auto"/>
        <w:left w:val="none" w:sz="0" w:space="0" w:color="auto"/>
        <w:bottom w:val="none" w:sz="0" w:space="0" w:color="auto"/>
        <w:right w:val="none" w:sz="0" w:space="0" w:color="auto"/>
      </w:divBdr>
    </w:div>
    <w:div w:id="2094471276">
      <w:bodyDiv w:val="1"/>
      <w:marLeft w:val="0"/>
      <w:marRight w:val="0"/>
      <w:marTop w:val="0"/>
      <w:marBottom w:val="0"/>
      <w:divBdr>
        <w:top w:val="none" w:sz="0" w:space="0" w:color="auto"/>
        <w:left w:val="none" w:sz="0" w:space="0" w:color="auto"/>
        <w:bottom w:val="none" w:sz="0" w:space="0" w:color="auto"/>
        <w:right w:val="none" w:sz="0" w:space="0" w:color="auto"/>
      </w:divBdr>
    </w:div>
    <w:div w:id="2094622539">
      <w:bodyDiv w:val="1"/>
      <w:marLeft w:val="0"/>
      <w:marRight w:val="0"/>
      <w:marTop w:val="0"/>
      <w:marBottom w:val="0"/>
      <w:divBdr>
        <w:top w:val="none" w:sz="0" w:space="0" w:color="auto"/>
        <w:left w:val="none" w:sz="0" w:space="0" w:color="auto"/>
        <w:bottom w:val="none" w:sz="0" w:space="0" w:color="auto"/>
        <w:right w:val="none" w:sz="0" w:space="0" w:color="auto"/>
      </w:divBdr>
    </w:div>
    <w:div w:id="2103989664">
      <w:bodyDiv w:val="1"/>
      <w:marLeft w:val="0"/>
      <w:marRight w:val="0"/>
      <w:marTop w:val="0"/>
      <w:marBottom w:val="0"/>
      <w:divBdr>
        <w:top w:val="none" w:sz="0" w:space="0" w:color="auto"/>
        <w:left w:val="none" w:sz="0" w:space="0" w:color="auto"/>
        <w:bottom w:val="none" w:sz="0" w:space="0" w:color="auto"/>
        <w:right w:val="none" w:sz="0" w:space="0" w:color="auto"/>
      </w:divBdr>
    </w:div>
    <w:div w:id="2104108348">
      <w:bodyDiv w:val="1"/>
      <w:marLeft w:val="0"/>
      <w:marRight w:val="0"/>
      <w:marTop w:val="0"/>
      <w:marBottom w:val="0"/>
      <w:divBdr>
        <w:top w:val="none" w:sz="0" w:space="0" w:color="auto"/>
        <w:left w:val="none" w:sz="0" w:space="0" w:color="auto"/>
        <w:bottom w:val="none" w:sz="0" w:space="0" w:color="auto"/>
        <w:right w:val="none" w:sz="0" w:space="0" w:color="auto"/>
      </w:divBdr>
    </w:div>
    <w:div w:id="2108232251">
      <w:bodyDiv w:val="1"/>
      <w:marLeft w:val="0"/>
      <w:marRight w:val="0"/>
      <w:marTop w:val="0"/>
      <w:marBottom w:val="0"/>
      <w:divBdr>
        <w:top w:val="none" w:sz="0" w:space="0" w:color="auto"/>
        <w:left w:val="none" w:sz="0" w:space="0" w:color="auto"/>
        <w:bottom w:val="none" w:sz="0" w:space="0" w:color="auto"/>
        <w:right w:val="none" w:sz="0" w:space="0" w:color="auto"/>
      </w:divBdr>
    </w:div>
    <w:div w:id="2113668515">
      <w:bodyDiv w:val="1"/>
      <w:marLeft w:val="0"/>
      <w:marRight w:val="0"/>
      <w:marTop w:val="0"/>
      <w:marBottom w:val="0"/>
      <w:divBdr>
        <w:top w:val="none" w:sz="0" w:space="0" w:color="auto"/>
        <w:left w:val="none" w:sz="0" w:space="0" w:color="auto"/>
        <w:bottom w:val="none" w:sz="0" w:space="0" w:color="auto"/>
        <w:right w:val="none" w:sz="0" w:space="0" w:color="auto"/>
      </w:divBdr>
    </w:div>
    <w:div w:id="2114202733">
      <w:bodyDiv w:val="1"/>
      <w:marLeft w:val="0"/>
      <w:marRight w:val="0"/>
      <w:marTop w:val="0"/>
      <w:marBottom w:val="0"/>
      <w:divBdr>
        <w:top w:val="none" w:sz="0" w:space="0" w:color="auto"/>
        <w:left w:val="none" w:sz="0" w:space="0" w:color="auto"/>
        <w:bottom w:val="none" w:sz="0" w:space="0" w:color="auto"/>
        <w:right w:val="none" w:sz="0" w:space="0" w:color="auto"/>
      </w:divBdr>
    </w:div>
    <w:div w:id="2120946079">
      <w:bodyDiv w:val="1"/>
      <w:marLeft w:val="0"/>
      <w:marRight w:val="0"/>
      <w:marTop w:val="0"/>
      <w:marBottom w:val="0"/>
      <w:divBdr>
        <w:top w:val="none" w:sz="0" w:space="0" w:color="auto"/>
        <w:left w:val="none" w:sz="0" w:space="0" w:color="auto"/>
        <w:bottom w:val="none" w:sz="0" w:space="0" w:color="auto"/>
        <w:right w:val="none" w:sz="0" w:space="0" w:color="auto"/>
      </w:divBdr>
    </w:div>
    <w:div w:id="2121954118">
      <w:bodyDiv w:val="1"/>
      <w:marLeft w:val="0"/>
      <w:marRight w:val="0"/>
      <w:marTop w:val="0"/>
      <w:marBottom w:val="0"/>
      <w:divBdr>
        <w:top w:val="none" w:sz="0" w:space="0" w:color="auto"/>
        <w:left w:val="none" w:sz="0" w:space="0" w:color="auto"/>
        <w:bottom w:val="none" w:sz="0" w:space="0" w:color="auto"/>
        <w:right w:val="none" w:sz="0" w:space="0" w:color="auto"/>
      </w:divBdr>
    </w:div>
    <w:div w:id="2123568550">
      <w:bodyDiv w:val="1"/>
      <w:marLeft w:val="0"/>
      <w:marRight w:val="0"/>
      <w:marTop w:val="0"/>
      <w:marBottom w:val="0"/>
      <w:divBdr>
        <w:top w:val="none" w:sz="0" w:space="0" w:color="auto"/>
        <w:left w:val="none" w:sz="0" w:space="0" w:color="auto"/>
        <w:bottom w:val="none" w:sz="0" w:space="0" w:color="auto"/>
        <w:right w:val="none" w:sz="0" w:space="0" w:color="auto"/>
      </w:divBdr>
    </w:div>
    <w:div w:id="2125344280">
      <w:bodyDiv w:val="1"/>
      <w:marLeft w:val="0"/>
      <w:marRight w:val="0"/>
      <w:marTop w:val="0"/>
      <w:marBottom w:val="0"/>
      <w:divBdr>
        <w:top w:val="none" w:sz="0" w:space="0" w:color="auto"/>
        <w:left w:val="none" w:sz="0" w:space="0" w:color="auto"/>
        <w:bottom w:val="none" w:sz="0" w:space="0" w:color="auto"/>
        <w:right w:val="none" w:sz="0" w:space="0" w:color="auto"/>
      </w:divBdr>
    </w:div>
    <w:div w:id="2125809572">
      <w:bodyDiv w:val="1"/>
      <w:marLeft w:val="0"/>
      <w:marRight w:val="0"/>
      <w:marTop w:val="0"/>
      <w:marBottom w:val="0"/>
      <w:divBdr>
        <w:top w:val="none" w:sz="0" w:space="0" w:color="auto"/>
        <w:left w:val="none" w:sz="0" w:space="0" w:color="auto"/>
        <w:bottom w:val="none" w:sz="0" w:space="0" w:color="auto"/>
        <w:right w:val="none" w:sz="0" w:space="0" w:color="auto"/>
      </w:divBdr>
    </w:div>
    <w:div w:id="2126996096">
      <w:bodyDiv w:val="1"/>
      <w:marLeft w:val="0"/>
      <w:marRight w:val="0"/>
      <w:marTop w:val="0"/>
      <w:marBottom w:val="0"/>
      <w:divBdr>
        <w:top w:val="none" w:sz="0" w:space="0" w:color="auto"/>
        <w:left w:val="none" w:sz="0" w:space="0" w:color="auto"/>
        <w:bottom w:val="none" w:sz="0" w:space="0" w:color="auto"/>
        <w:right w:val="none" w:sz="0" w:space="0" w:color="auto"/>
      </w:divBdr>
    </w:div>
    <w:div w:id="2130004556">
      <w:bodyDiv w:val="1"/>
      <w:marLeft w:val="0"/>
      <w:marRight w:val="0"/>
      <w:marTop w:val="0"/>
      <w:marBottom w:val="0"/>
      <w:divBdr>
        <w:top w:val="none" w:sz="0" w:space="0" w:color="auto"/>
        <w:left w:val="none" w:sz="0" w:space="0" w:color="auto"/>
        <w:bottom w:val="none" w:sz="0" w:space="0" w:color="auto"/>
        <w:right w:val="none" w:sz="0" w:space="0" w:color="auto"/>
      </w:divBdr>
    </w:div>
    <w:div w:id="2133815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file:///C:\Junior\Didig_2016\ECF\Registros_ECF_Leiaute_3_AC2016_SIT_ESP_2017.xlsx!0021!L13C1:L20C8" TargetMode="External"/><Relationship Id="rId671" Type="http://schemas.openxmlformats.org/officeDocument/2006/relationships/hyperlink" Target="file:///C:\Users\JJMORAESJR\AppData\Program%20Files%20(x86)\Programas_SPED\Contabil22\Ajuda\espRegrasNegocio.htm" TargetMode="External"/><Relationship Id="rId769" Type="http://schemas.openxmlformats.org/officeDocument/2006/relationships/image" Target="media/image295.emf"/><Relationship Id="rId21" Type="http://schemas.openxmlformats.org/officeDocument/2006/relationships/image" Target="media/image7.emf"/><Relationship Id="rId324" Type="http://schemas.openxmlformats.org/officeDocument/2006/relationships/image" Target="media/image132.emf"/><Relationship Id="rId531" Type="http://schemas.openxmlformats.org/officeDocument/2006/relationships/hyperlink" Target="file:///C:\Users\JJMORAESJR\AppData\Program%20Files%20(x86)\Programas_SPED\Contabil22\Ajuda\espRegrasNegocio.htm" TargetMode="External"/><Relationship Id="rId629" Type="http://schemas.openxmlformats.org/officeDocument/2006/relationships/image" Target="media/image232.emf"/><Relationship Id="rId170" Type="http://schemas.openxmlformats.org/officeDocument/2006/relationships/oleObject" Target="file:///C:\Junior\Didig_2016\ECF\Registros_ECF_Leiaute_3_AC2016_SIT_ESP_2017.xlsx!E155!L1C1:L14C8" TargetMode="External"/><Relationship Id="rId836" Type="http://schemas.openxmlformats.org/officeDocument/2006/relationships/image" Target="media/image319.emf"/><Relationship Id="rId268" Type="http://schemas.openxmlformats.org/officeDocument/2006/relationships/image" Target="media/image109.emf"/><Relationship Id="rId475" Type="http://schemas.openxmlformats.org/officeDocument/2006/relationships/oleObject" Target="file:///C:\Junior\Didig_2016\ECF\Tabelas_Dinamicas_ECF_Leiaute_3_AC2016_SIT_ESP_2017.xlsx!P300!L1:L1048576" TargetMode="External"/><Relationship Id="rId682" Type="http://schemas.openxmlformats.org/officeDocument/2006/relationships/oleObject" Target="file:///C:\Junior\Didig_2016\ECF\Registros_ECF_Leiaute_3_AC2016_SIT_ESP_2017.xlsx!X300!L18C1:L20C8" TargetMode="External"/><Relationship Id="rId903" Type="http://schemas.openxmlformats.org/officeDocument/2006/relationships/image" Target="media/image351.emf"/><Relationship Id="rId32" Type="http://schemas.openxmlformats.org/officeDocument/2006/relationships/oleObject" Target="file:///C:\Junior\Didig_2016\ECF\Registros_ECF_Leiaute_3_AC2016_SIT_ESP_2017.xlsx!Obrigatoriedade_Registros!L50C1:L53C6" TargetMode="External"/><Relationship Id="rId128" Type="http://schemas.openxmlformats.org/officeDocument/2006/relationships/hyperlink" Target="mailto:|fulanobeltrano@email.com|" TargetMode="External"/><Relationship Id="rId335" Type="http://schemas.openxmlformats.org/officeDocument/2006/relationships/oleObject" Target="file:///C:\Junior\Didig_2016\ECF\Registros_ECF_Leiaute_3_AC2016_SIT_ESP_2017.xlsx!M500!L13C1:L16C8" TargetMode="External"/><Relationship Id="rId542" Type="http://schemas.openxmlformats.org/officeDocument/2006/relationships/image" Target="media/image198.emf"/><Relationship Id="rId181" Type="http://schemas.openxmlformats.org/officeDocument/2006/relationships/hyperlink" Target="file:///C:\Users\JJMORAESJR\AppData\Program%20Files%20(x86)\Programas_SPED\Contabil22\Ajuda\espRegrasNegocio.htm" TargetMode="External"/><Relationship Id="rId402" Type="http://schemas.openxmlformats.org/officeDocument/2006/relationships/hyperlink" Target="file:///C:\Users\JJMORAESJR\AppData\Program%20Files%20(x86)\Programas_SPED\Contabil22\Ajuda\espRegrasNegocio.htm" TargetMode="External"/><Relationship Id="rId847" Type="http://schemas.openxmlformats.org/officeDocument/2006/relationships/oleObject" Target="file:///C:\Junior\Didig_2016\ECF\Registros_ECF_Leiaute_3_AC2016_SIT_ESP_2017.xlsx!Y570!L12C1:L13C8" TargetMode="External"/><Relationship Id="rId279" Type="http://schemas.openxmlformats.org/officeDocument/2006/relationships/image" Target="media/image114.emf"/><Relationship Id="rId486" Type="http://schemas.openxmlformats.org/officeDocument/2006/relationships/hyperlink" Target="file:///C:\Users\JJMORAESJR\AppData\Program%20Files%20(x86)\Programas_SPED\Contabil22\Ajuda\espRegrasNegocio.htm" TargetMode="External"/><Relationship Id="rId693" Type="http://schemas.openxmlformats.org/officeDocument/2006/relationships/image" Target="media/image260.emf"/><Relationship Id="rId707" Type="http://schemas.openxmlformats.org/officeDocument/2006/relationships/image" Target="media/image267.emf"/><Relationship Id="rId914" Type="http://schemas.openxmlformats.org/officeDocument/2006/relationships/image" Target="media/image356.emf"/><Relationship Id="rId43" Type="http://schemas.openxmlformats.org/officeDocument/2006/relationships/image" Target="media/image18.emf"/><Relationship Id="rId139" Type="http://schemas.openxmlformats.org/officeDocument/2006/relationships/oleObject" Target="file:///C:\Junior\Didig_2016\ECF\Registros_ECF_Leiaute_3_AC2016_SIT_ESP_2017.xlsx!C051!L1C1:L9C8" TargetMode="External"/><Relationship Id="rId346" Type="http://schemas.openxmlformats.org/officeDocument/2006/relationships/hyperlink" Target="file:///C:\Users\JJMORAESJR\AppData\Program%20Files%20(x86)\Programas_SPED\Contabil22\Ajuda\espRegrasNegocio.htm" TargetMode="External"/><Relationship Id="rId553" Type="http://schemas.openxmlformats.org/officeDocument/2006/relationships/hyperlink" Target="file:///C:\Users\JJMORAESJR\AppData\Program%20Files%20(x86)\Programas_SPED\Contabil22\Ajuda\espRegrasNegocio.htm" TargetMode="External"/><Relationship Id="rId760" Type="http://schemas.openxmlformats.org/officeDocument/2006/relationships/oleObject" Target="file:///C:\Junior\Didig_2016\ECF\Registros_ECF_Leiaute_3_AC2016_SIT_ESP_2017.xlsx!X420!L13C1:L15C8" TargetMode="External"/><Relationship Id="rId192" Type="http://schemas.openxmlformats.org/officeDocument/2006/relationships/image" Target="media/image86.emf"/><Relationship Id="rId206" Type="http://schemas.openxmlformats.org/officeDocument/2006/relationships/image" Target="media/image91.emf"/><Relationship Id="rId413" Type="http://schemas.openxmlformats.org/officeDocument/2006/relationships/oleObject" Target="file:///C:\Junior\Didig_2016\ECF\Registros_ECF_Leiaute_3_AC2016_SIT_ESP_2017.xlsx!N990!L1C1:L7C8" TargetMode="External"/><Relationship Id="rId858" Type="http://schemas.openxmlformats.org/officeDocument/2006/relationships/image" Target="media/image330.emf"/><Relationship Id="rId497" Type="http://schemas.openxmlformats.org/officeDocument/2006/relationships/image" Target="media/image187.emf"/><Relationship Id="rId620" Type="http://schemas.openxmlformats.org/officeDocument/2006/relationships/oleObject" Target="file:///C:\Junior\Didig_2016\ECF\Registros_ECF_Leiaute_3_AC2016_SIT_ESP_2017.xlsx!W200!L14C1:L16C8" TargetMode="External"/><Relationship Id="rId718" Type="http://schemas.openxmlformats.org/officeDocument/2006/relationships/oleObject" Target="file:///C:\Junior\Didig_2016\ECF\Registros_ECF_Leiaute_3_AC2016_SIT_ESP_2017.xlsx!X351!L1C1:L9C8" TargetMode="External"/><Relationship Id="rId925" Type="http://schemas.openxmlformats.org/officeDocument/2006/relationships/footer" Target="footer1.xml"/><Relationship Id="rId357" Type="http://schemas.openxmlformats.org/officeDocument/2006/relationships/hyperlink" Target="file:///C:\Users\JJMORAESJR\AppData\Program%20Files%20(x86)\Programas_SPED\Contabil22\Ajuda\espRegrasNegocio.htm" TargetMode="External"/><Relationship Id="rId54" Type="http://schemas.openxmlformats.org/officeDocument/2006/relationships/oleObject" Target="file:///C:\Junior\Didig_2016\ECF\Registros_ECF_Leiaute_3_AC2016_SIT_ESP_2017.xlsx!Obrigatoriedade_Registros!L127C1:L134C6" TargetMode="External"/><Relationship Id="rId217" Type="http://schemas.openxmlformats.org/officeDocument/2006/relationships/hyperlink" Target="http://www.planalto.gov.br/ccivil_03/LEIS/L3470.htm" TargetMode="External"/><Relationship Id="rId564" Type="http://schemas.openxmlformats.org/officeDocument/2006/relationships/oleObject" Target="file:///C:\Junior\Didig_2016\ECF\Tabelas_Dinamicas_ECF_Leiaute_3_AC2016_SIT_ESP_2017.xlsx!U100A!L1:L1048576" TargetMode="External"/><Relationship Id="rId771" Type="http://schemas.openxmlformats.org/officeDocument/2006/relationships/image" Target="media/image296.emf"/><Relationship Id="rId869" Type="http://schemas.openxmlformats.org/officeDocument/2006/relationships/oleObject" Target="file:///C:\Junior\Didig_2016\ECF\Registros_ECF_Leiaute_3_AC2016_SIT_ESP_2017.xlsx!Y630!L1C1:L10C8" TargetMode="External"/><Relationship Id="rId424" Type="http://schemas.openxmlformats.org/officeDocument/2006/relationships/image" Target="media/image165.emf"/><Relationship Id="rId631" Type="http://schemas.openxmlformats.org/officeDocument/2006/relationships/image" Target="media/image233.emf"/><Relationship Id="rId729" Type="http://schemas.openxmlformats.org/officeDocument/2006/relationships/image" Target="media/image278.emf"/><Relationship Id="rId270" Type="http://schemas.openxmlformats.org/officeDocument/2006/relationships/image" Target="media/image110.emf"/><Relationship Id="rId65" Type="http://schemas.openxmlformats.org/officeDocument/2006/relationships/hyperlink" Target="http://www.ibge.gov.br" TargetMode="External"/><Relationship Id="rId130" Type="http://schemas.openxmlformats.org/officeDocument/2006/relationships/oleObject" Target="file:///C:\Junior\Didig_2016\ECF\Registros_ECF_Leiaute_3_AC2016_SIT_ESP_2017.xlsx!0990!L1C1:L7C8" TargetMode="External"/><Relationship Id="rId368" Type="http://schemas.openxmlformats.org/officeDocument/2006/relationships/oleObject" Target="file:///C:\Junior\Didig_2016\ECF\Tabelas_Dinamicas_ECF_Leiaute_3_AC2016_SIT_ESP_2017.xlsx!N610!L1:L1048576" TargetMode="External"/><Relationship Id="rId575" Type="http://schemas.openxmlformats.org/officeDocument/2006/relationships/hyperlink" Target="file:///C:\Users\JJMORAESJR\AppData\Program%20Files%20(x86)\Programas_SPED\Contabil22\Ajuda\espRegrasNegocio.htm" TargetMode="External"/><Relationship Id="rId782" Type="http://schemas.openxmlformats.org/officeDocument/2006/relationships/oleObject" Target="file:///C:\Junior\Didig_2016\ECF\Registros_ECF_Leiaute_3_AC2016_SIT_ESP_2017.xlsx!X450!L11C1:L11C8" TargetMode="External"/><Relationship Id="rId228" Type="http://schemas.openxmlformats.org/officeDocument/2006/relationships/image" Target="media/image95.emf"/><Relationship Id="rId435" Type="http://schemas.openxmlformats.org/officeDocument/2006/relationships/hyperlink" Target="mk:@MSITStore:C:\ARQUIVOS%20DE%20PROGRAMAS%20RFB\DIPJ2014\DIPJ2014.chm::/INST_PREENCHIMENTO/Manual_DIPJ2014_5_15_0_IRPJ.html" TargetMode="External"/><Relationship Id="rId642" Type="http://schemas.openxmlformats.org/officeDocument/2006/relationships/image" Target="media/image238.emf"/><Relationship Id="rId281" Type="http://schemas.openxmlformats.org/officeDocument/2006/relationships/hyperlink" Target="file:///C:\Users\JJMORAESJR\AppData\Program%20Files%20(x86)\Programas_SPED\Contabil22\Ajuda\espRegrasNegocio.htm" TargetMode="External"/><Relationship Id="rId502" Type="http://schemas.openxmlformats.org/officeDocument/2006/relationships/hyperlink" Target="mk:@MSITStore:C:\ARQUIVOS%20DE%20PROGRAMAS%20RFB\DIPJ2014\DIPJ2014.chm::/INST_PREENCHIMENTO/Manual_DIPJ2014_5_15_0_IRPJ.html" TargetMode="External"/><Relationship Id="rId76" Type="http://schemas.openxmlformats.org/officeDocument/2006/relationships/oleObject" Target="file:///C:\Junior\Didig_2016\ECF\Registros_ECF_Leiaute_3_AC2016_SIT_ESP_2017.xlsx!0001!L1C1:L7C8" TargetMode="External"/><Relationship Id="rId141" Type="http://schemas.openxmlformats.org/officeDocument/2006/relationships/oleObject" Target="file:///C:\Junior\Didig_2016\ECF\Registros_ECF_Leiaute_3_AC2016_SIT_ESP_2017.xlsx!C053!L1C1:L9C8" TargetMode="External"/><Relationship Id="rId379" Type="http://schemas.openxmlformats.org/officeDocument/2006/relationships/oleObject" Target="file:///C:\Junior\Didig_2016\ECF\Tabelas_Dinamicas_ECF_Leiaute_3_AC2016_SIT_ESP_2017.xlsx!N620!L1:L1048576" TargetMode="External"/><Relationship Id="rId586" Type="http://schemas.openxmlformats.org/officeDocument/2006/relationships/image" Target="media/image214.emf"/><Relationship Id="rId793" Type="http://schemas.openxmlformats.org/officeDocument/2006/relationships/oleObject" Target="file:///C:\Junior\Didig_2016\ECF\Tabelas_Dinamicas_ECF_Leiaute_3_AC2016_SIT_ESP_2017.xlsx!X460!L1:L1048576" TargetMode="External"/><Relationship Id="rId807" Type="http://schemas.openxmlformats.org/officeDocument/2006/relationships/oleObject" Target="file:///C:\Junior\Didig_2016\ECF\Tabelas_Dinamicas_ECF_Leiaute_3_AC2016_SIT_ESP_2017.xlsx!X480!L1:L1048576" TargetMode="External"/><Relationship Id="rId7" Type="http://schemas.openxmlformats.org/officeDocument/2006/relationships/endnotes" Target="endnotes.xml"/><Relationship Id="rId239" Type="http://schemas.openxmlformats.org/officeDocument/2006/relationships/hyperlink" Target="file:///C:\Users\JJMORAESJR\AppData\Program%20Files%20(x86)\Programas_SPED\Contabil22\Ajuda\espRegrasNegocio.htm" TargetMode="External"/><Relationship Id="rId446" Type="http://schemas.openxmlformats.org/officeDocument/2006/relationships/image" Target="media/image171.emf"/><Relationship Id="rId653" Type="http://schemas.openxmlformats.org/officeDocument/2006/relationships/image" Target="media/image243.emf"/><Relationship Id="rId292" Type="http://schemas.openxmlformats.org/officeDocument/2006/relationships/oleObject" Target="file:///C:\Junior\Didig_2016\ECF\Tabelas_Dinamicas_ECF_Leiaute_3_AC2016_SIT_ESP_2017.xlsx!M300A!L1:L1048576" TargetMode="External"/><Relationship Id="rId306" Type="http://schemas.openxmlformats.org/officeDocument/2006/relationships/oleObject" Target="file:///C:\Junior\Didig_2016\ECF\Registros_ECF_Leiaute_3_AC2016_SIT_ESP_2017.xlsx!M350!L1C1:L10C8" TargetMode="External"/><Relationship Id="rId860" Type="http://schemas.openxmlformats.org/officeDocument/2006/relationships/image" Target="media/image331.emf"/><Relationship Id="rId87" Type="http://schemas.openxmlformats.org/officeDocument/2006/relationships/oleObject" Target="file:///C:\Junior\Didig_2016\ECF\Registros_ECF_Leiaute_3_AC2016_SIT_ESP_2017.xlsx!0010!L16C1:L17C8" TargetMode="External"/><Relationship Id="rId513" Type="http://schemas.openxmlformats.org/officeDocument/2006/relationships/hyperlink" Target="file:///C:\Users\JJMORAESJR\AppData\Program%20Files%20(x86)\Programas_SPED\Contabil22\Ajuda\espRegrasNegocio.htm" TargetMode="External"/><Relationship Id="rId597" Type="http://schemas.openxmlformats.org/officeDocument/2006/relationships/hyperlink" Target="file:///C:\Users\JJMORAESJR\AppData\Program%20Files%20(x86)\Programas_SPED\Contabil22\Ajuda\espRegrasNegocio.htm" TargetMode="External"/><Relationship Id="rId720" Type="http://schemas.openxmlformats.org/officeDocument/2006/relationships/oleObject" Target="file:///C:\Junior\Didig_2016\ECF\Registros_ECF_Leiaute_3_AC2016_SIT_ESP_2017.xlsx!X351!L10C1:L17C8" TargetMode="External"/><Relationship Id="rId818" Type="http://schemas.openxmlformats.org/officeDocument/2006/relationships/hyperlink" Target="file:///C:\Users\JJMORAESJR\AppData\Program%20Files%20(x86)\Programas_SPED\Contabil22\Ajuda\espRegrasNegocio.htm" TargetMode="External"/><Relationship Id="rId152" Type="http://schemas.openxmlformats.org/officeDocument/2006/relationships/image" Target="media/image68.emf"/><Relationship Id="rId457" Type="http://schemas.openxmlformats.org/officeDocument/2006/relationships/hyperlink" Target="file:///C:\Users\JJMORAESJR\AppData\Program%20Files%20(x86)\Programas_SPED\Contabil22\Ajuda\espRegrasNegocio.htm" TargetMode="External"/><Relationship Id="rId664" Type="http://schemas.openxmlformats.org/officeDocument/2006/relationships/hyperlink" Target="file:///C:\Users\JJMORAESJR\AppData\Program%20Files%20(x86)\Programas_SPED\Contabil22\Ajuda\espRegrasNegocio.htm" TargetMode="External"/><Relationship Id="rId871" Type="http://schemas.openxmlformats.org/officeDocument/2006/relationships/oleObject" Target="file:///C:\Junior\Didig_2016\ECF\Registros_ECF_Leiaute_3_AC2016_SIT_ESP_2017.xlsx!Y630!L11C1:L12C8" TargetMode="External"/><Relationship Id="rId14" Type="http://schemas.openxmlformats.org/officeDocument/2006/relationships/oleObject" Target="file:///C:\Junior\Didig_2016\ECF\Registros_ECF_Leiaute_3_AC2016_SIT_ESP_2017.xlsx!Blocos!L1C1:L6C3" TargetMode="External"/><Relationship Id="rId317" Type="http://schemas.openxmlformats.org/officeDocument/2006/relationships/oleObject" Target="file:///C:\Junior\Didig_2016\ECF\Tabelas_Dinamicas_ECF_Leiaute_3_AC2016_SIT_ESP_2017.xlsx!M350C!L1:L1048576" TargetMode="External"/><Relationship Id="rId524" Type="http://schemas.openxmlformats.org/officeDocument/2006/relationships/hyperlink" Target="file:///C:\Users\JJMORAESJR\AppData\Program%20Files%20(x86)\Programas_SPED\Contabil22\Ajuda\espRegrasNegocio.htm" TargetMode="External"/><Relationship Id="rId731" Type="http://schemas.openxmlformats.org/officeDocument/2006/relationships/image" Target="media/image279.emf"/><Relationship Id="rId98" Type="http://schemas.openxmlformats.org/officeDocument/2006/relationships/image" Target="media/image43.emf"/><Relationship Id="rId163" Type="http://schemas.openxmlformats.org/officeDocument/2006/relationships/image" Target="media/image73.emf"/><Relationship Id="rId370" Type="http://schemas.openxmlformats.org/officeDocument/2006/relationships/oleObject" Target="file:///C:\Junior\Didig_2016\ECF\Registros_ECF_Leiaute_3_AC2016_SIT_ESP_2017.xlsx!N615!L1C1:L7C8" TargetMode="External"/><Relationship Id="rId829" Type="http://schemas.openxmlformats.org/officeDocument/2006/relationships/image" Target="media/image316.emf"/><Relationship Id="rId230" Type="http://schemas.openxmlformats.org/officeDocument/2006/relationships/image" Target="media/image96.emf"/><Relationship Id="rId468" Type="http://schemas.openxmlformats.org/officeDocument/2006/relationships/oleObject" Target="file:///C:\Junior\Didig_2016\ECF\Tabelas_Dinamicas_ECF_Leiaute_3_AC2016_SIT_ESP_2017.xlsx!P230!L1:L1048576" TargetMode="External"/><Relationship Id="rId675" Type="http://schemas.openxmlformats.org/officeDocument/2006/relationships/image" Target="media/image251.emf"/><Relationship Id="rId882" Type="http://schemas.openxmlformats.org/officeDocument/2006/relationships/image" Target="media/image342.emf"/><Relationship Id="rId25" Type="http://schemas.openxmlformats.org/officeDocument/2006/relationships/image" Target="media/image9.emf"/><Relationship Id="rId328" Type="http://schemas.openxmlformats.org/officeDocument/2006/relationships/image" Target="media/image134.emf"/><Relationship Id="rId535" Type="http://schemas.openxmlformats.org/officeDocument/2006/relationships/image" Target="media/image196.emf"/><Relationship Id="rId742" Type="http://schemas.openxmlformats.org/officeDocument/2006/relationships/hyperlink" Target="file:///C:\Users\JJMORAESJR\AppData\Program%20Files%20(x86)\Programas_SPED\Contabil22\Ajuda\espRegrasNegocio.htm" TargetMode="External"/><Relationship Id="rId132" Type="http://schemas.openxmlformats.org/officeDocument/2006/relationships/oleObject" Target="file:///C:\Junior\Didig_2016\ECF\Registros_ECF_Leiaute_3_AC2016_SIT_ESP_2017.xlsx!C001!L1C1:L7C8" TargetMode="External"/><Relationship Id="rId174" Type="http://schemas.openxmlformats.org/officeDocument/2006/relationships/oleObject" Target="file:///C:\Junior\Didig_2016\ECF\Registros_ECF_Leiaute_3_AC2016_SIT_ESP_2017.xlsx!E990!L1C1:L7C8" TargetMode="External"/><Relationship Id="rId381" Type="http://schemas.openxmlformats.org/officeDocument/2006/relationships/oleObject" Target="file:///C:\Junior\Didig_2016\ECF\Registros_ECF_Leiaute_3_AC2016_SIT_ESP_2017.xlsx!N630!L1C1:L9C8" TargetMode="External"/><Relationship Id="rId602" Type="http://schemas.openxmlformats.org/officeDocument/2006/relationships/image" Target="media/image219.emf"/><Relationship Id="rId784" Type="http://schemas.openxmlformats.org/officeDocument/2006/relationships/oleObject" Target="file:///C:\Junior\Didig_2016\ECF\Registros_ECF_Leiaute_3_AC2016_SIT_ESP_2017.xlsx!X450!L12C1:L13C8" TargetMode="External"/><Relationship Id="rId241" Type="http://schemas.openxmlformats.org/officeDocument/2006/relationships/hyperlink" Target="file:///C:\Users\JJMORAESJR\AppData\Program%20Files%20(x86)\Programas_SPED\Contabil22\Ajuda\espRegrasNegocio.htm" TargetMode="External"/><Relationship Id="rId437" Type="http://schemas.openxmlformats.org/officeDocument/2006/relationships/hyperlink" Target="mk:@MSITStore:C:\ARQUIVOS%20DE%20PROGRAMAS%20RFB\DIPJ2014\DIPJ2014.chm::/INST_PREENCHIMENTO/Manual_DIPJ2014_5_15_0_IRPJ.html" TargetMode="External"/><Relationship Id="rId479" Type="http://schemas.openxmlformats.org/officeDocument/2006/relationships/hyperlink" Target="file:///C:\Users\JJMORAESJR\AppData\Program%20Files%20(x86)\Programas_SPED\Contabil22\Ajuda\espRegrasNegocio.htm" TargetMode="External"/><Relationship Id="rId644" Type="http://schemas.openxmlformats.org/officeDocument/2006/relationships/hyperlink" Target="file:///C:\Users\JJMORAESJR\AppData\Program%20Files%20(x86)\Programas_SPED\Contabil22\Ajuda\espRegrasNegocio.htm" TargetMode="External"/><Relationship Id="rId686" Type="http://schemas.openxmlformats.org/officeDocument/2006/relationships/oleObject" Target="file:///C:\Junior\Didig_2016\ECF\Registros_ECF_Leiaute_3_AC2016_SIT_ESP_2017.xlsx!X310!L1C1:L10C8" TargetMode="External"/><Relationship Id="rId851" Type="http://schemas.openxmlformats.org/officeDocument/2006/relationships/oleObject" Target="file:///C:\Junior\Didig_2016\ECF\Registros_ECF_Leiaute_3_AC2016_SIT_ESP_2017.xlsx!Y590!L1C1:L9C8" TargetMode="External"/><Relationship Id="rId893" Type="http://schemas.openxmlformats.org/officeDocument/2006/relationships/oleObject" Target="file:///C:\Junior\Didig_2016\ECF\Registros_ECF_Leiaute_3_AC2016_SIT_ESP_2017.xlsx!Y681!L1C1:L9C8" TargetMode="External"/><Relationship Id="rId907" Type="http://schemas.openxmlformats.org/officeDocument/2006/relationships/image" Target="media/image353.emf"/><Relationship Id="rId36" Type="http://schemas.openxmlformats.org/officeDocument/2006/relationships/oleObject" Target="file:///C:\Junior\Didig_2016\ECF\Registros_ECF_Leiaute_3_AC2016_SIT_ESP_2017.xlsx!Obrigatoriedade_Registros!L60C1:L66C6" TargetMode="External"/><Relationship Id="rId283" Type="http://schemas.openxmlformats.org/officeDocument/2006/relationships/hyperlink" Target="file:///C:\Users\JJMORAESJR\AppData\Program%20Files%20(x86)\Programas_SPED\Contabil22\Ajuda\espRegrasNegocio.htm" TargetMode="External"/><Relationship Id="rId339" Type="http://schemas.openxmlformats.org/officeDocument/2006/relationships/oleObject" Target="file:///C:\Junior\Didig_2016\ECF\Registros_ECF_Leiaute_3_AC2016_SIT_ESP_2017.xlsx!N001!L1C1:L7C8" TargetMode="External"/><Relationship Id="rId490" Type="http://schemas.openxmlformats.org/officeDocument/2006/relationships/image" Target="media/image184.emf"/><Relationship Id="rId504" Type="http://schemas.openxmlformats.org/officeDocument/2006/relationships/hyperlink" Target="mk:@MSITStore:C:\ARQUIVOS%20DE%20PROGRAMAS%20RFB\DIPJ2014\DIPJ2014.chm::/INST_PREENCHIMENTO/Manual_DIPJ2014_5_15_0_IRPJ.html" TargetMode="External"/><Relationship Id="rId546" Type="http://schemas.openxmlformats.org/officeDocument/2006/relationships/image" Target="media/image199.emf"/><Relationship Id="rId711" Type="http://schemas.openxmlformats.org/officeDocument/2006/relationships/image" Target="media/image269.emf"/><Relationship Id="rId753" Type="http://schemas.openxmlformats.org/officeDocument/2006/relationships/image" Target="media/image287.emf"/><Relationship Id="rId78" Type="http://schemas.openxmlformats.org/officeDocument/2006/relationships/image" Target="media/image33.emf"/><Relationship Id="rId101" Type="http://schemas.openxmlformats.org/officeDocument/2006/relationships/oleObject" Target="file:///C:\Junior\Didig_2016\ECF\Registros_ECF_Leiaute_3_AC2016_SIT_ESP_2017.xlsx!0020!L23C1:L25C8" TargetMode="External"/><Relationship Id="rId143" Type="http://schemas.openxmlformats.org/officeDocument/2006/relationships/oleObject" Target="file:///C:\Junior\Didig_2016\ECF\Registros_ECF_Leiaute_3_AC2016_SIT_ESP_2017.xlsx!C100!L1C1:L9C8" TargetMode="External"/><Relationship Id="rId185" Type="http://schemas.openxmlformats.org/officeDocument/2006/relationships/oleObject" Target="file:///C:\Junior\Didig_2016\ECF\Registros_ECF_Leiaute_3_AC2016_SIT_ESP_2017.xlsx!J051!L1C1:L8C8" TargetMode="External"/><Relationship Id="rId350" Type="http://schemas.openxmlformats.org/officeDocument/2006/relationships/hyperlink" Target="file:///C:\Users\JJMORAESJR\AppData\Program%20Files%20(x86)\Programas_SPED\Contabil22\Ajuda\espRegrasNegocio.htm" TargetMode="External"/><Relationship Id="rId406" Type="http://schemas.openxmlformats.org/officeDocument/2006/relationships/oleObject" Target="file:///C:\Junior\Didig_2016\ECF\Registros_ECF_Leiaute_3_AC2016_SIT_ESP_2017.xlsx!N670!L1C1:L9C8" TargetMode="External"/><Relationship Id="rId588" Type="http://schemas.openxmlformats.org/officeDocument/2006/relationships/image" Target="media/image215.emf"/><Relationship Id="rId795" Type="http://schemas.openxmlformats.org/officeDocument/2006/relationships/oleObject" Target="file:///C:\Junior\Didig_2016\ECF\Registros_ECF_Leiaute_3_AC2016_SIT_ESP_2017.xlsx!X470!L1C1:L9C8" TargetMode="External"/><Relationship Id="rId809" Type="http://schemas.openxmlformats.org/officeDocument/2006/relationships/oleObject" Target="file:///C:\Junior\Didig_2016\ECF\Registros_ECF_Leiaute_3_AC2016_SIT_ESP_2017.xlsx!X490!L1C1:L9C8" TargetMode="External"/><Relationship Id="rId9" Type="http://schemas.openxmlformats.org/officeDocument/2006/relationships/oleObject" Target="embeddings/oleObject1.bin"/><Relationship Id="rId210" Type="http://schemas.openxmlformats.org/officeDocument/2006/relationships/image" Target="media/image93.emf"/><Relationship Id="rId392" Type="http://schemas.openxmlformats.org/officeDocument/2006/relationships/oleObject" Target="file:///C:\Junior\Didig_2016\ECF\Registros_ECF_Leiaute_3_AC2016_SIT_ESP_2017.xlsx!N650!L1C1:L9C8" TargetMode="External"/><Relationship Id="rId448" Type="http://schemas.openxmlformats.org/officeDocument/2006/relationships/hyperlink" Target="file:///C:\Users\JJMORAESJR\AppData\Program%20Files%20(x86)\Programas_SPED\Contabil22\Ajuda\espRegrasNegocio.htm" TargetMode="External"/><Relationship Id="rId613" Type="http://schemas.openxmlformats.org/officeDocument/2006/relationships/image" Target="media/image224.emf"/><Relationship Id="rId655" Type="http://schemas.openxmlformats.org/officeDocument/2006/relationships/image" Target="media/image244.emf"/><Relationship Id="rId697" Type="http://schemas.openxmlformats.org/officeDocument/2006/relationships/image" Target="media/image262.emf"/><Relationship Id="rId820" Type="http://schemas.openxmlformats.org/officeDocument/2006/relationships/image" Target="media/image313.emf"/><Relationship Id="rId862" Type="http://schemas.openxmlformats.org/officeDocument/2006/relationships/image" Target="media/image332.emf"/><Relationship Id="rId918" Type="http://schemas.openxmlformats.org/officeDocument/2006/relationships/image" Target="media/image358.emf"/><Relationship Id="rId252" Type="http://schemas.openxmlformats.org/officeDocument/2006/relationships/hyperlink" Target="file:///C:\Users\JJMORAESJR\AppData\Program%20Files%20(x86)\Programas_SPED\Contabil22\Ajuda\espRegrasNegocio.htm" TargetMode="External"/><Relationship Id="rId294" Type="http://schemas.openxmlformats.org/officeDocument/2006/relationships/oleObject" Target="file:///C:\Junior\Didig_2016\ECF\Tabelas_Dinamicas_ECF_Leiaute_3_AC2016_SIT_ESP_2017.xlsx!M300B!L1:L1048576" TargetMode="External"/><Relationship Id="rId308" Type="http://schemas.openxmlformats.org/officeDocument/2006/relationships/oleObject" Target="file:///C:\Junior\Didig_2016\ECF\Registros_ECF_Leiaute_3_AC2016_SIT_ESP_2017.xlsx!M350!L11C1:L12C8" TargetMode="External"/><Relationship Id="rId515" Type="http://schemas.openxmlformats.org/officeDocument/2006/relationships/oleObject" Target="file:///C:\Junior\Didig_2016\ECF\Registros_ECF_Leiaute_3_AC2016_SIT_ESP_2017.xlsx!T120!L1C1:L9C8" TargetMode="External"/><Relationship Id="rId722" Type="http://schemas.openxmlformats.org/officeDocument/2006/relationships/oleObject" Target="file:///C:\Junior\Didig_2016\ECF\Registros_ECF_Leiaute_3_AC2016_SIT_ESP_2017.xlsx!X351!L18C1:L20C8" TargetMode="External"/><Relationship Id="rId47" Type="http://schemas.openxmlformats.org/officeDocument/2006/relationships/image" Target="media/image20.emf"/><Relationship Id="rId89" Type="http://schemas.openxmlformats.org/officeDocument/2006/relationships/oleObject" Target="file:///C:\Junior\Didig_2016\ECF\Registros_ECF_Leiaute_3_AC2016_SIT_ESP_2017.xlsx!0010!L18C1:L19C8" TargetMode="External"/><Relationship Id="rId112" Type="http://schemas.openxmlformats.org/officeDocument/2006/relationships/image" Target="media/image50.emf"/><Relationship Id="rId154" Type="http://schemas.openxmlformats.org/officeDocument/2006/relationships/image" Target="media/image69.emf"/><Relationship Id="rId361" Type="http://schemas.openxmlformats.org/officeDocument/2006/relationships/oleObject" Target="file:///C:\Junior\Didig_2016\ECF\Tabelas_Dinamicas_ECF_Leiaute_3_AC2016_SIT_ESP_2017.xlsx!N600!L1:L1048576" TargetMode="External"/><Relationship Id="rId557" Type="http://schemas.openxmlformats.org/officeDocument/2006/relationships/oleObject" Target="file:///C:\Junior\Didig_2016\ECF\Registros_ECF_Leiaute_3_AC2016_SIT_ESP_2017.xlsx!U100!L1C1:L12C8" TargetMode="External"/><Relationship Id="rId599" Type="http://schemas.openxmlformats.org/officeDocument/2006/relationships/hyperlink" Target="file:///C:\Users\JJMORAESJR\AppData\Program%20Files%20(x86)\Programas_SPED\Contabil22\Ajuda\espRegrasNegocio.htm" TargetMode="External"/><Relationship Id="rId764" Type="http://schemas.openxmlformats.org/officeDocument/2006/relationships/oleObject" Target="file:///C:\Junior\Didig_2016\ECF\Registros_ECF_Leiaute_3_AC2016_SIT_ESP_2017.xlsx!X430!L9C1:L9C8" TargetMode="External"/><Relationship Id="rId196" Type="http://schemas.openxmlformats.org/officeDocument/2006/relationships/oleObject" Target="file:///C:\Junior\Didig_2016\ECF\Registros_ECF_Leiaute_3_AC2016_SIT_ESP_2017.xlsx!K030!L1C1:L8C8" TargetMode="External"/><Relationship Id="rId417" Type="http://schemas.openxmlformats.org/officeDocument/2006/relationships/oleObject" Target="file:///C:\Junior\Didig_2016\ECF\Registros_ECF_Leiaute_3_AC2016_SIT_ESP_2017.xlsx!P001!L1C1:L7C8" TargetMode="External"/><Relationship Id="rId459" Type="http://schemas.openxmlformats.org/officeDocument/2006/relationships/hyperlink" Target="file:///C:\Users\JJMORAESJR\AppData\Program%20Files%20(x86)\Programas_SPED\Contabil22\Ajuda\espRegrasNegocio.htm" TargetMode="External"/><Relationship Id="rId624" Type="http://schemas.openxmlformats.org/officeDocument/2006/relationships/oleObject" Target="file:///C:\Junior\Didig_2016\ECF\Registros_ECF_Leiaute_3_AC2016_SIT_ESP_2017.xlsx!W200!L20C1:L23C8" TargetMode="External"/><Relationship Id="rId666" Type="http://schemas.openxmlformats.org/officeDocument/2006/relationships/image" Target="media/image248.emf"/><Relationship Id="rId831" Type="http://schemas.openxmlformats.org/officeDocument/2006/relationships/image" Target="media/image317.emf"/><Relationship Id="rId873" Type="http://schemas.openxmlformats.org/officeDocument/2006/relationships/oleObject" Target="file:///C:\Junior\Didig_2016\ECF\Registros_ECF_Leiaute_3_AC2016_SIT_ESP_2017.xlsx!Y640!L1C1:L11C8" TargetMode="External"/><Relationship Id="rId16" Type="http://schemas.openxmlformats.org/officeDocument/2006/relationships/oleObject" Target="file:///C:\Junior\Didig_2016\ECF\Registros_ECF_Leiaute_3_AC2016_SIT_ESP_2017.xlsx!Blocos!L7C1:L18C3" TargetMode="External"/><Relationship Id="rId221" Type="http://schemas.openxmlformats.org/officeDocument/2006/relationships/hyperlink" Target="mk:@MSITStore:C:\ARQUIVOS%20DE%20PROGRAMAS%20RFB\DIPJ2014\DIPJ2014.chm::/INST_PREENCHIMENTO/Manual_DIPJ2014_5_16_00_CSLL.html" TargetMode="External"/><Relationship Id="rId263" Type="http://schemas.openxmlformats.org/officeDocument/2006/relationships/oleObject" Target="file:///C:\Junior\Didig_2016\ECF\Tabelas_Dinamicas_ECF_Leiaute_3_AC2016_SIT_ESP_2017.xlsx!L300A!L1:L1048576" TargetMode="External"/><Relationship Id="rId319" Type="http://schemas.openxmlformats.org/officeDocument/2006/relationships/oleObject" Target="file:///C:\Junior\Didig_2016\ECF\Registros_ECF_Leiaute_3_AC2016_SIT_ESP_2017.xlsx!M355!L1C1:L9C8" TargetMode="External"/><Relationship Id="rId470" Type="http://schemas.openxmlformats.org/officeDocument/2006/relationships/oleObject" Target="file:///C:\Junior\Didig_2016\ECF\Registros_ECF_Leiaute_3_AC2016_SIT_ESP_2017.xlsx!P300!L1C1:L9C8" TargetMode="External"/><Relationship Id="rId526" Type="http://schemas.openxmlformats.org/officeDocument/2006/relationships/image" Target="media/image193.emf"/><Relationship Id="rId58" Type="http://schemas.openxmlformats.org/officeDocument/2006/relationships/oleObject" Target="file:///C:\Junior\Didig_2016\ECF\Registros_ECF_Leiaute_3_AC2016_SIT_ESP_2017.xlsx!Obrigatoriedade_Registros!L142C1:L148C6" TargetMode="External"/><Relationship Id="rId123" Type="http://schemas.openxmlformats.org/officeDocument/2006/relationships/image" Target="media/image55.emf"/><Relationship Id="rId330" Type="http://schemas.openxmlformats.org/officeDocument/2006/relationships/image" Target="media/image135.emf"/><Relationship Id="rId568" Type="http://schemas.openxmlformats.org/officeDocument/2006/relationships/oleObject" Target="file:///C:\Junior\Didig_2016\ECF\Tabelas_Dinamicas_ECF_Leiaute_3_AC2016_SIT_ESP_2017.xlsx!U100C!L1:L1048576" TargetMode="External"/><Relationship Id="rId733" Type="http://schemas.openxmlformats.org/officeDocument/2006/relationships/image" Target="media/image280.emf"/><Relationship Id="rId775" Type="http://schemas.openxmlformats.org/officeDocument/2006/relationships/image" Target="media/image298.emf"/><Relationship Id="rId165" Type="http://schemas.openxmlformats.org/officeDocument/2006/relationships/image" Target="media/image74.emf"/><Relationship Id="rId372" Type="http://schemas.openxmlformats.org/officeDocument/2006/relationships/oleObject" Target="file:///C:\Junior\Didig_2016\ECF\Registros_ECF_Leiaute_3_AC2016_SIT_ESP_2017.xlsx!N615!L8C1:L13C8" TargetMode="External"/><Relationship Id="rId428" Type="http://schemas.openxmlformats.org/officeDocument/2006/relationships/hyperlink" Target="file:///C:\Users\JJMORAESJR\AppData\Program%20Files%20(x86)\Programas_SPED\Contabil22\Ajuda\espRegrasNegocio.htm" TargetMode="External"/><Relationship Id="rId635" Type="http://schemas.openxmlformats.org/officeDocument/2006/relationships/hyperlink" Target="mailto:|EMAIL@EMAIL.COM|" TargetMode="External"/><Relationship Id="rId677" Type="http://schemas.openxmlformats.org/officeDocument/2006/relationships/image" Target="media/image252.emf"/><Relationship Id="rId800" Type="http://schemas.openxmlformats.org/officeDocument/2006/relationships/oleObject" Target="file:///C:\Junior\Didig_2016\ECF\Tabelas_Dinamicas_ECF_Leiaute_3_AC2016_SIT_ESP_2017.xlsx!X470!L1:L1048576" TargetMode="External"/><Relationship Id="rId842" Type="http://schemas.openxmlformats.org/officeDocument/2006/relationships/image" Target="media/image322.emf"/><Relationship Id="rId232" Type="http://schemas.openxmlformats.org/officeDocument/2006/relationships/hyperlink" Target="file:///C:\Users\JJMORAESJR\AppData\Program%20Files%20(x86)\Programas_SPED\Contabil22\Ajuda\espRegrasNegocio.htm" TargetMode="External"/><Relationship Id="rId274" Type="http://schemas.openxmlformats.org/officeDocument/2006/relationships/oleObject" Target="file:///C:\Junior\Didig_2016\ECF\Registros_ECF_Leiaute_3_AC2016_SIT_ESP_2017.xlsx!M010!L1C1:L14C8" TargetMode="External"/><Relationship Id="rId481" Type="http://schemas.openxmlformats.org/officeDocument/2006/relationships/image" Target="media/image181.emf"/><Relationship Id="rId702" Type="http://schemas.openxmlformats.org/officeDocument/2006/relationships/oleObject" Target="file:///C:\Junior\Didig_2016\ECF\Registros_ECF_Leiaute_3_AC2016_SIT_ESP_2017.xlsx!X320!L19C1:L22C8" TargetMode="External"/><Relationship Id="rId884" Type="http://schemas.openxmlformats.org/officeDocument/2006/relationships/image" Target="media/image343.emf"/><Relationship Id="rId27" Type="http://schemas.openxmlformats.org/officeDocument/2006/relationships/image" Target="media/image10.emf"/><Relationship Id="rId69" Type="http://schemas.openxmlformats.org/officeDocument/2006/relationships/image" Target="media/image29.emf"/><Relationship Id="rId134" Type="http://schemas.openxmlformats.org/officeDocument/2006/relationships/image" Target="media/image59.emf"/><Relationship Id="rId537" Type="http://schemas.openxmlformats.org/officeDocument/2006/relationships/hyperlink" Target="file:///C:\Users\JJMORAESJR\AppData\Program%20Files%20(x86)\Programas_SPED\Contabil22\Ajuda\espRegrasNegocio.htm" TargetMode="External"/><Relationship Id="rId579" Type="http://schemas.openxmlformats.org/officeDocument/2006/relationships/oleObject" Target="file:///C:\Junior\Didig_2016\ECF\Tabelas_Dinamicas_ECF_Leiaute_3_AC2016_SIT_ESP_2017.xlsx!U150A!L1:L1048576" TargetMode="External"/><Relationship Id="rId744" Type="http://schemas.openxmlformats.org/officeDocument/2006/relationships/hyperlink" Target="file:///C:\Users\JJMORAESJR\AppData\Program%20Files%20(x86)\Programas_SPED\Contabil22\Ajuda\espRegrasNegocio.htm" TargetMode="External"/><Relationship Id="rId786" Type="http://schemas.openxmlformats.org/officeDocument/2006/relationships/oleObject" Target="file:///C:\Junior\Didig_2016\ECF\Registros_ECF_Leiaute_3_AC2016_SIT_ESP_2017.xlsx!X450!L14C1:L17C8" TargetMode="External"/><Relationship Id="rId80" Type="http://schemas.openxmlformats.org/officeDocument/2006/relationships/image" Target="media/image34.emf"/><Relationship Id="rId176" Type="http://schemas.openxmlformats.org/officeDocument/2006/relationships/oleObject" Target="file:///C:\Junior\Didig_2016\ECF\Registros_ECF_Leiaute_3_AC2016_SIT_ESP_2017.xlsx!J001!L1C1:L7C8" TargetMode="External"/><Relationship Id="rId341" Type="http://schemas.openxmlformats.org/officeDocument/2006/relationships/image" Target="media/image140.emf"/><Relationship Id="rId383" Type="http://schemas.openxmlformats.org/officeDocument/2006/relationships/hyperlink" Target="file:///C:\Users\JJMORAESJR\AppData\Program%20Files%20(x86)\Programas_SPED\Contabil22\Ajuda\espRegrasNegocio.htm" TargetMode="External"/><Relationship Id="rId439" Type="http://schemas.openxmlformats.org/officeDocument/2006/relationships/image" Target="media/image169.emf"/><Relationship Id="rId590" Type="http://schemas.openxmlformats.org/officeDocument/2006/relationships/hyperlink" Target="file:///C:\Users\JJMORAESJR\AppData\Program%20Files%20(x86)\Programas_SPED\Contabil22\Ajuda\espRegrasNegocio.htm" TargetMode="External"/><Relationship Id="rId604" Type="http://schemas.openxmlformats.org/officeDocument/2006/relationships/image" Target="media/image220.emf"/><Relationship Id="rId646" Type="http://schemas.openxmlformats.org/officeDocument/2006/relationships/oleObject" Target="file:///C:\Junior\Didig_2016\ECF\Registros_ECF_Leiaute_3_AC2016_SIT_ESP_2017.xlsx!X280!L1C1:L6C8" TargetMode="External"/><Relationship Id="rId811" Type="http://schemas.openxmlformats.org/officeDocument/2006/relationships/hyperlink" Target="file:///C:\Users\JJMORAESJR\AppData\Program%20Files%20(x86)\Programas_SPED\Contabil22\Ajuda\espRegrasNegocio.htm" TargetMode="External"/><Relationship Id="rId201" Type="http://schemas.openxmlformats.org/officeDocument/2006/relationships/hyperlink" Target="file:///C:\Users\JJMORAESJR\AppData\Program%20Files%20(x86)\Programas_SPED\Contabil22\Ajuda\espRegrasNegocio.htm" TargetMode="External"/><Relationship Id="rId243" Type="http://schemas.openxmlformats.org/officeDocument/2006/relationships/oleObject" Target="file:///C:\Junior\Didig_2016\ECF\Tabelas_Dinamicas_ECF_Leiaute_3_AC2016_SIT_ESP_2017.xlsx!L100A!L1:L1048576" TargetMode="External"/><Relationship Id="rId285" Type="http://schemas.openxmlformats.org/officeDocument/2006/relationships/oleObject" Target="file:///C:\Junior\Didig_2016\ECF\Registros_ECF_Leiaute_3_AC2016_SIT_ESP_2017.xlsx!M300!L1C1:L10C8" TargetMode="External"/><Relationship Id="rId450" Type="http://schemas.openxmlformats.org/officeDocument/2006/relationships/hyperlink" Target="file:///C:\Users\JJMORAESJR\AppData\Program%20Files%20(x86)\Programas_SPED\Contabil22\Ajuda\espRegrasNegocio.htm" TargetMode="External"/><Relationship Id="rId506" Type="http://schemas.openxmlformats.org/officeDocument/2006/relationships/image" Target="media/image188.emf"/><Relationship Id="rId688" Type="http://schemas.openxmlformats.org/officeDocument/2006/relationships/oleObject" Target="file:///C:\Junior\Didig_2016\ECF\Registros_ECF_Leiaute_3_AC2016_SIT_ESP_2017.xlsx!X320!L1C1:L9C8" TargetMode="External"/><Relationship Id="rId853" Type="http://schemas.openxmlformats.org/officeDocument/2006/relationships/oleObject" Target="file:///C:\Junior\Didig_2016\ECF\Registros_ECF_Leiaute_3_AC2016_SIT_ESP_2017.xlsx!Y590!L10C1:L11C8" TargetMode="External"/><Relationship Id="rId895" Type="http://schemas.openxmlformats.org/officeDocument/2006/relationships/hyperlink" Target="file:///C:\Users\JJMORAESJR\AppData\Program%20Files%20(x86)\Programas_SPED\Contabil22\Ajuda\espRegrasNegocio.htm" TargetMode="External"/><Relationship Id="rId909" Type="http://schemas.openxmlformats.org/officeDocument/2006/relationships/image" Target="media/image354.emf"/><Relationship Id="rId38" Type="http://schemas.openxmlformats.org/officeDocument/2006/relationships/oleObject" Target="file:///C:\Junior\Didig_2016\ECF\Registros_ECF_Leiaute_3_AC2016_SIT_ESP_2017.xlsx!Obrigatoriedade_Registros!L67C1:L74C6" TargetMode="External"/><Relationship Id="rId103" Type="http://schemas.openxmlformats.org/officeDocument/2006/relationships/oleObject" Target="file:///C:\Junior\Didig_2016\ECF\Registros_ECF_Leiaute_3_AC2016_SIT_ESP_2017.xlsx!0020!L26C1:L28C8" TargetMode="External"/><Relationship Id="rId310" Type="http://schemas.openxmlformats.org/officeDocument/2006/relationships/hyperlink" Target="file:///C:\Users\JJMORAESJR\AppData\Program%20Files%20(x86)\Programas_SPED\Contabil22\Ajuda\espRegrasNegocio.htm" TargetMode="External"/><Relationship Id="rId492" Type="http://schemas.openxmlformats.org/officeDocument/2006/relationships/image" Target="media/image185.emf"/><Relationship Id="rId548" Type="http://schemas.openxmlformats.org/officeDocument/2006/relationships/hyperlink" Target="file:///C:\Users\JJMORAESJR\AppData\Program%20Files%20(x86)\Programas_SPED\Contabil22\Ajuda\espRegrasNegocio.htm" TargetMode="External"/><Relationship Id="rId713" Type="http://schemas.openxmlformats.org/officeDocument/2006/relationships/image" Target="media/image270.emf"/><Relationship Id="rId755" Type="http://schemas.openxmlformats.org/officeDocument/2006/relationships/image" Target="media/image288.emf"/><Relationship Id="rId797" Type="http://schemas.openxmlformats.org/officeDocument/2006/relationships/hyperlink" Target="file:///C:\Users\JJMORAESJR\AppData\Program%20Files%20(x86)\Programas_SPED\Contabil22\Ajuda\espRegrasNegocio.htm" TargetMode="External"/><Relationship Id="rId920" Type="http://schemas.openxmlformats.org/officeDocument/2006/relationships/image" Target="media/image359.emf"/><Relationship Id="rId91" Type="http://schemas.openxmlformats.org/officeDocument/2006/relationships/oleObject" Target="file:///C:\Junior\Didig_2016\ECF\Registros_ECF_Leiaute_3_AC2016_SIT_ESP_2017.xlsx!0020!L1C1:L7C8" TargetMode="External"/><Relationship Id="rId145" Type="http://schemas.openxmlformats.org/officeDocument/2006/relationships/oleObject" Target="file:///C:\Junior\Didig_2016\ECF\Registros_ECF_Leiaute_3_AC2016_SIT_ESP_2017.xlsx!C150!L1C1:L8C8" TargetMode="External"/><Relationship Id="rId187" Type="http://schemas.openxmlformats.org/officeDocument/2006/relationships/oleObject" Target="file:///C:\Junior\Didig_2016\ECF\Registros_ECF_Leiaute_3_AC2016_SIT_ESP_2017.xlsx!J053!L1C1:L9C8" TargetMode="External"/><Relationship Id="rId352" Type="http://schemas.openxmlformats.org/officeDocument/2006/relationships/hyperlink" Target="file:///C:\Users\JJMORAESJR\AppData\Program%20Files%20(x86)\Programas_SPED\Contabil22\Ajuda\espRegrasNegocio.htm" TargetMode="External"/><Relationship Id="rId394" Type="http://schemas.openxmlformats.org/officeDocument/2006/relationships/hyperlink" Target="file:///C:\Users\JJMORAESJR\AppData\Program%20Files%20(x86)\Programas_SPED\Contabil22\Ajuda\espRegrasNegocio.htm" TargetMode="External"/><Relationship Id="rId408" Type="http://schemas.openxmlformats.org/officeDocument/2006/relationships/hyperlink" Target="file:///C:\Users\JJMORAESJR\AppData\Program%20Files%20(x86)\Programas_SPED\Contabil22\Ajuda\espRegrasNegocio.htm" TargetMode="External"/><Relationship Id="rId615" Type="http://schemas.openxmlformats.org/officeDocument/2006/relationships/image" Target="media/image225.emf"/><Relationship Id="rId822" Type="http://schemas.openxmlformats.org/officeDocument/2006/relationships/image" Target="media/image314.emf"/><Relationship Id="rId212" Type="http://schemas.openxmlformats.org/officeDocument/2006/relationships/hyperlink" Target="mk:@MSITStore:C:\ARQUIVOS%20DE%20PROGRAMAS%20RFB\DIPJ2014\DIPJ2014.chm::/INST_PREENCHIMENTO/Manual_DIPJ2014_5_15_0_IRPJ.html" TargetMode="External"/><Relationship Id="rId254" Type="http://schemas.openxmlformats.org/officeDocument/2006/relationships/hyperlink" Target="file:///C:\Users\JJMORAESJR\AppData\Program%20Files%20(x86)\Programas_SPED\Contabil22\Ajuda\espRegrasNegocio.htm" TargetMode="External"/><Relationship Id="rId657" Type="http://schemas.openxmlformats.org/officeDocument/2006/relationships/image" Target="media/image245.emf"/><Relationship Id="rId699" Type="http://schemas.openxmlformats.org/officeDocument/2006/relationships/image" Target="media/image263.emf"/><Relationship Id="rId864" Type="http://schemas.openxmlformats.org/officeDocument/2006/relationships/image" Target="media/image333.emf"/><Relationship Id="rId49" Type="http://schemas.openxmlformats.org/officeDocument/2006/relationships/image" Target="media/image21.emf"/><Relationship Id="rId114" Type="http://schemas.openxmlformats.org/officeDocument/2006/relationships/image" Target="media/image51.emf"/><Relationship Id="rId296" Type="http://schemas.openxmlformats.org/officeDocument/2006/relationships/oleObject" Target="file:///C:\Junior\Didig_2016\ECF\Tabelas_Dinamicas_ECF_Leiaute_3_AC2016_SIT_ESP_2017.xlsx!M300C!L1:L1048576" TargetMode="External"/><Relationship Id="rId461" Type="http://schemas.openxmlformats.org/officeDocument/2006/relationships/oleObject" Target="file:///C:\Junior\Didig_2016\ECF\Tabelas_Dinamicas_ECF_Leiaute_3_AC2016_SIT_ESP_2017.xlsx!P200!L1:L1048576" TargetMode="External"/><Relationship Id="rId517" Type="http://schemas.openxmlformats.org/officeDocument/2006/relationships/hyperlink" Target="file:///C:\Users\JJMORAESJR\AppData\Program%20Files%20(x86)\Programas_SPED\Contabil22\Ajuda\espRegrasNegocio.htm" TargetMode="External"/><Relationship Id="rId559" Type="http://schemas.openxmlformats.org/officeDocument/2006/relationships/oleObject" Target="file:///C:\Junior\Didig_2016\ECF\Registros_ECF_Leiaute_3_AC2016_SIT_ESP_2017.xlsx!U100!L13C1:L16C8" TargetMode="External"/><Relationship Id="rId724" Type="http://schemas.openxmlformats.org/officeDocument/2006/relationships/oleObject" Target="file:///C:\Junior\Didig_2016\ECF\Registros_ECF_Leiaute_3_AC2016_SIT_ESP_2017.xlsx!X352!L1C1:L10C8" TargetMode="External"/><Relationship Id="rId766" Type="http://schemas.openxmlformats.org/officeDocument/2006/relationships/oleObject" Target="file:///C:\Junior\Didig_2016\ECF\Registros_ECF_Leiaute_3_AC2016_SIT_ESP_2017.xlsx!X430!L10C1:L10C8" TargetMode="External"/><Relationship Id="rId60" Type="http://schemas.openxmlformats.org/officeDocument/2006/relationships/oleObject" Target="file:///C:\Junior\Didig_2016\ECF\Registros_ECF_Leiaute_3_AC2016_SIT_ESP_2017.xlsx!Obrigatoriedade_Registros!L149C1:L155C6" TargetMode="External"/><Relationship Id="rId156" Type="http://schemas.openxmlformats.org/officeDocument/2006/relationships/image" Target="media/image70.emf"/><Relationship Id="rId198" Type="http://schemas.openxmlformats.org/officeDocument/2006/relationships/oleObject" Target="file:///C:\Junior\Didig_2016\ECF\Registros_ECF_Leiaute_3_AC2016_SIT_ESP_2017.xlsx!K030!L9C1:L9C8" TargetMode="External"/><Relationship Id="rId321" Type="http://schemas.openxmlformats.org/officeDocument/2006/relationships/oleObject" Target="file:///C:\Junior\Didig_2016\ECF\Registros_ECF_Leiaute_3_AC2016_SIT_ESP_2017.xlsx!M360!L1C1:L10C8" TargetMode="External"/><Relationship Id="rId363" Type="http://schemas.openxmlformats.org/officeDocument/2006/relationships/oleObject" Target="file:///C:\Junior\Didig_2016\ECF\Registros_ECF_Leiaute_3_AC2016_SIT_ESP_2017.xlsx!N610!L1C1:L9C8" TargetMode="External"/><Relationship Id="rId419" Type="http://schemas.openxmlformats.org/officeDocument/2006/relationships/image" Target="media/image164.emf"/><Relationship Id="rId570" Type="http://schemas.openxmlformats.org/officeDocument/2006/relationships/oleObject" Target="file:///C:\Junior\Didig_2016\ECF\Tabelas_Dinamicas_ECF_Leiaute_3_AC2016_SIT_ESP_2017.xlsx!U100D!L1:L1048576" TargetMode="External"/><Relationship Id="rId626" Type="http://schemas.openxmlformats.org/officeDocument/2006/relationships/oleObject" Target="file:///C:\Junior\Didig_2016\ECF\Registros_ECF_Leiaute_3_AC2016_SIT_ESP_2017.xlsx!W200!L24C1:L26C8" TargetMode="External"/><Relationship Id="rId223" Type="http://schemas.openxmlformats.org/officeDocument/2006/relationships/hyperlink" Target="mk:@MSITStore:C:\ARQUIVOS%20DE%20PROGRAMAS%20RFB\DIPJ2014\DIPJ2014.chm::/INST_PREENCHIMENTO/Manual_DIPJ2014_5_16_00_CSLL.html" TargetMode="External"/><Relationship Id="rId430" Type="http://schemas.openxmlformats.org/officeDocument/2006/relationships/hyperlink" Target="file:///C:\Users\JJMORAESJR\AppData\Program%20Files%20(x86)\Programas_SPED\Contabil22\Ajuda\espRegrasNegocio.htm" TargetMode="External"/><Relationship Id="rId668" Type="http://schemas.openxmlformats.org/officeDocument/2006/relationships/image" Target="media/image249.emf"/><Relationship Id="rId833" Type="http://schemas.openxmlformats.org/officeDocument/2006/relationships/hyperlink" Target="file:///C:\Users\JJMORAESJR\AppData\Program%20Files%20(x86)\Programas_SPED\Contabil22\Ajuda\espRegrasNegocio.htm" TargetMode="External"/><Relationship Id="rId875" Type="http://schemas.openxmlformats.org/officeDocument/2006/relationships/oleObject" Target="file:///C:\Junior\Didig_2016\ECF\Registros_ECF_Leiaute_3_AC2016_SIT_ESP_2017.xlsx!Y650!L1C1:L8C8" TargetMode="External"/><Relationship Id="rId18" Type="http://schemas.openxmlformats.org/officeDocument/2006/relationships/oleObject" Target="file:///C:\Junior\Didig_2016\ECF\Registros_ECF_Leiaute_3_AC2016_SIT_ESP_2017.xlsx!Obrigatoriedade_Registros!L1C1:L13C6" TargetMode="External"/><Relationship Id="rId265" Type="http://schemas.openxmlformats.org/officeDocument/2006/relationships/oleObject" Target="file:///C:\Junior\Didig_2016\ECF\Tabelas_Dinamicas_ECF_Leiaute_3_AC2016_SIT_ESP_2017.xlsx!L300B!L1:L1048576" TargetMode="External"/><Relationship Id="rId472" Type="http://schemas.openxmlformats.org/officeDocument/2006/relationships/hyperlink" Target="file:///C:\Users\JJMORAESJR\AppData\Program%20Files%20(x86)\Programas_SPED\Contabil22\Ajuda\espRegrasNegocio.htm" TargetMode="External"/><Relationship Id="rId528" Type="http://schemas.openxmlformats.org/officeDocument/2006/relationships/image" Target="media/image194.emf"/><Relationship Id="rId735" Type="http://schemas.openxmlformats.org/officeDocument/2006/relationships/hyperlink" Target="file:///C:\Users\JJMORAESJR\AppData\Program%20Files%20(x86)\Programas_SPED\Contabil22\Ajuda\espRegrasNegocio.htm" TargetMode="External"/><Relationship Id="rId900" Type="http://schemas.openxmlformats.org/officeDocument/2006/relationships/oleObject" Target="file:///C:\Junior\Didig_2016\ECF\Registros_ECF_Leiaute_3_AC2016_SIT_ESP_2017.xlsx!Y682!L1C1:L8C8" TargetMode="External"/><Relationship Id="rId125" Type="http://schemas.openxmlformats.org/officeDocument/2006/relationships/image" Target="media/image56.emf"/><Relationship Id="rId167" Type="http://schemas.openxmlformats.org/officeDocument/2006/relationships/image" Target="media/image75.emf"/><Relationship Id="rId332" Type="http://schemas.openxmlformats.org/officeDocument/2006/relationships/image" Target="media/image136.emf"/><Relationship Id="rId374" Type="http://schemas.openxmlformats.org/officeDocument/2006/relationships/oleObject" Target="file:///C:\Junior\Didig_2016\ECF\Registros_ECF_Leiaute_3_AC2016_SIT_ESP_2017.xlsx!N620!L1C1:L9C8" TargetMode="External"/><Relationship Id="rId581" Type="http://schemas.openxmlformats.org/officeDocument/2006/relationships/oleObject" Target="file:///C:\Junior\Didig_2016\ECF\Tabelas_Dinamicas_ECF_Leiaute_3_AC2016_SIT_ESP_2017.xlsx!U150B!L1:L1048576" TargetMode="External"/><Relationship Id="rId777" Type="http://schemas.openxmlformats.org/officeDocument/2006/relationships/image" Target="media/image299.emf"/><Relationship Id="rId71" Type="http://schemas.openxmlformats.org/officeDocument/2006/relationships/image" Target="media/image30.emf"/><Relationship Id="rId234" Type="http://schemas.openxmlformats.org/officeDocument/2006/relationships/hyperlink" Target="file:///C:\Users\JJMORAESJR\AppData\Program%20Files%20(x86)\Programas_SPED\Contabil22\Ajuda\espRegrasNegocio.htm" TargetMode="External"/><Relationship Id="rId637" Type="http://schemas.openxmlformats.org/officeDocument/2006/relationships/oleObject" Target="file:///C:\Junior\Didig_2016\ECF\Registros_ECF_Leiaute_3_AC2016_SIT_ESP_2017.xlsx!W300!L1C1:L10C8" TargetMode="External"/><Relationship Id="rId679" Type="http://schemas.openxmlformats.org/officeDocument/2006/relationships/image" Target="media/image253.emf"/><Relationship Id="rId802" Type="http://schemas.openxmlformats.org/officeDocument/2006/relationships/oleObject" Target="file:///C:\Junior\Didig_2016\ECF\Registros_ECF_Leiaute_3_AC2016_SIT_ESP_2017.xlsx!X480!L1C1:L9C8" TargetMode="External"/><Relationship Id="rId844" Type="http://schemas.openxmlformats.org/officeDocument/2006/relationships/image" Target="media/image323.emf"/><Relationship Id="rId886" Type="http://schemas.openxmlformats.org/officeDocument/2006/relationships/image" Target="media/image344.emf"/><Relationship Id="rId2" Type="http://schemas.openxmlformats.org/officeDocument/2006/relationships/numbering" Target="numbering.xml"/><Relationship Id="rId29" Type="http://schemas.openxmlformats.org/officeDocument/2006/relationships/image" Target="media/image11.emf"/><Relationship Id="rId276" Type="http://schemas.openxmlformats.org/officeDocument/2006/relationships/oleObject" Target="file:///C:\Junior\Didig_2016\ECF\Registros_ECF_Leiaute_3_AC2016_SIT_ESP_2017.xlsx!M010!L15C1:L16C8" TargetMode="External"/><Relationship Id="rId441" Type="http://schemas.openxmlformats.org/officeDocument/2006/relationships/hyperlink" Target="file:///C:\Users\JJMORAESJR\AppData\Program%20Files%20(x86)\Programas_SPED\Contabil22\Ajuda\espRegrasNegocio.htm" TargetMode="External"/><Relationship Id="rId483" Type="http://schemas.openxmlformats.org/officeDocument/2006/relationships/image" Target="media/image182.emf"/><Relationship Id="rId539" Type="http://schemas.openxmlformats.org/officeDocument/2006/relationships/hyperlink" Target="file:///C:\Users\JJMORAESJR\AppData\Program%20Files%20(x86)\Programas_SPED\Contabil22\Ajuda\espRegrasNegocio.htm" TargetMode="External"/><Relationship Id="rId690" Type="http://schemas.openxmlformats.org/officeDocument/2006/relationships/oleObject" Target="file:///C:\Junior\Didig_2016\ECF\Registros_ECF_Leiaute_3_AC2016_SIT_ESP_2017.xlsx!X320!L10C1:L12C8" TargetMode="External"/><Relationship Id="rId704" Type="http://schemas.openxmlformats.org/officeDocument/2006/relationships/oleObject" Target="file:///C:\Junior\Didig_2016\ECF\Registros_ECF_Leiaute_3_AC2016_SIT_ESP_2017.xlsx!X320!L23C1:L23C8" TargetMode="External"/><Relationship Id="rId746" Type="http://schemas.openxmlformats.org/officeDocument/2006/relationships/oleObject" Target="file:///C:\Junior\Didig_2016\ECF\Tabelas_Dinamicas_ECF_Leiaute_3_AC2016_SIT_ESP_2017.xlsx!X400!L1:L1048576" TargetMode="External"/><Relationship Id="rId911" Type="http://schemas.openxmlformats.org/officeDocument/2006/relationships/hyperlink" Target="file:///C:\Users\JJMORAESJR\AppData\Program%20Files%20(x86)\Programas_SPED\Contabil22\Ajuda\espRegrasNegocio.htm" TargetMode="External"/><Relationship Id="rId40" Type="http://schemas.openxmlformats.org/officeDocument/2006/relationships/oleObject" Target="file:///C:\Junior\Didig_2016\ECF\Registros_ECF_Leiaute_3_AC2016_SIT_ESP_2017.xlsx!Obrigatoriedade_Registros!L75C1:L78C6" TargetMode="External"/><Relationship Id="rId136" Type="http://schemas.openxmlformats.org/officeDocument/2006/relationships/image" Target="media/image60.emf"/><Relationship Id="rId178" Type="http://schemas.openxmlformats.org/officeDocument/2006/relationships/image" Target="media/image80.emf"/><Relationship Id="rId301" Type="http://schemas.openxmlformats.org/officeDocument/2006/relationships/image" Target="media/image122.emf"/><Relationship Id="rId343" Type="http://schemas.openxmlformats.org/officeDocument/2006/relationships/image" Target="media/image141.emf"/><Relationship Id="rId550" Type="http://schemas.openxmlformats.org/officeDocument/2006/relationships/oleObject" Target="file:///C:\Junior\Didig_2016\ECF\Registros_ECF_Leiaute_3_AC2016_SIT_ESP_2017.xlsx!U030!L1C1:L8C8" TargetMode="External"/><Relationship Id="rId788" Type="http://schemas.openxmlformats.org/officeDocument/2006/relationships/oleObject" Target="file:///C:\Junior\Didig_2016\ECF\Registros_ECF_Leiaute_3_AC2016_SIT_ESP_2017.xlsx!X460!L1C1:L9C8" TargetMode="External"/><Relationship Id="rId82" Type="http://schemas.openxmlformats.org/officeDocument/2006/relationships/image" Target="media/image35.emf"/><Relationship Id="rId203" Type="http://schemas.openxmlformats.org/officeDocument/2006/relationships/oleObject" Target="file:///C:\Junior\Didig_2016\ECF\Registros_ECF_Leiaute_3_AC2016_SIT_ESP_2017.xlsx!K155!L1C1:L14C8" TargetMode="External"/><Relationship Id="rId385" Type="http://schemas.openxmlformats.org/officeDocument/2006/relationships/image" Target="media/image153.emf"/><Relationship Id="rId592" Type="http://schemas.openxmlformats.org/officeDocument/2006/relationships/hyperlink" Target="file:///C:\Users\JJMORAESJR\AppData\Program%20Files%20(x86)\Programas_SPED\Contabil22\Ajuda\espRegrasNegocio.htm" TargetMode="External"/><Relationship Id="rId606" Type="http://schemas.openxmlformats.org/officeDocument/2006/relationships/hyperlink" Target="file:///C:\Users\JJMORAESJR\AppData\Program%20Files%20(x86)\Programas_SPED\Contabil22\Ajuda\espRegrasNegocio.htm" TargetMode="External"/><Relationship Id="rId648" Type="http://schemas.openxmlformats.org/officeDocument/2006/relationships/oleObject" Target="file:///C:\Junior\Didig_2016\ECF\Registros_ECF_Leiaute_3_AC2016_SIT_ESP_2017.xlsx!X280!L7C1:L7C8" TargetMode="External"/><Relationship Id="rId813" Type="http://schemas.openxmlformats.org/officeDocument/2006/relationships/image" Target="media/image311.emf"/><Relationship Id="rId855" Type="http://schemas.openxmlformats.org/officeDocument/2006/relationships/oleObject" Target="file:///C:\Junior\Didig_2016\ECF\Registros_ECF_Leiaute_3_AC2016_SIT_ESP_2017.xlsx!Y600!L1C1:L12C8" TargetMode="External"/><Relationship Id="rId245" Type="http://schemas.openxmlformats.org/officeDocument/2006/relationships/oleObject" Target="file:///C:\Junior\Didig_2016\ECF\Tabelas_Dinamicas_ECF_Leiaute_3_AC2016_SIT_ESP_2017.xlsx!L100B!L1:L1048576" TargetMode="External"/><Relationship Id="rId287" Type="http://schemas.openxmlformats.org/officeDocument/2006/relationships/oleObject" Target="file:///C:\Junior\Didig_2016\ECF\Registros_ECF_Leiaute_3_AC2016_SIT_ESP_2017.xlsx!M300!L11C1:L12C8" TargetMode="External"/><Relationship Id="rId410" Type="http://schemas.openxmlformats.org/officeDocument/2006/relationships/image" Target="media/image161.emf"/><Relationship Id="rId452" Type="http://schemas.openxmlformats.org/officeDocument/2006/relationships/oleObject" Target="file:///C:\Junior\Didig_2016\ECF\Tabelas_Dinamicas_ECF_Leiaute_3_AC2016_SIT_ESP_2017.xlsx!P150A!L1:L1048576" TargetMode="External"/><Relationship Id="rId494" Type="http://schemas.openxmlformats.org/officeDocument/2006/relationships/hyperlink" Target="file:///C:\Users\JJMORAESJR\AppData\Program%20Files%20(x86)\Programas_SPED\Contabil22\Ajuda\espRegrasNegocio.htm" TargetMode="External"/><Relationship Id="rId508" Type="http://schemas.openxmlformats.org/officeDocument/2006/relationships/hyperlink" Target="file:///C:\Users\JJMORAESJR\AppData\Program%20Files%20(x86)\Programas_SPED\Contabil22\Ajuda\espRegrasNegocio.htm" TargetMode="External"/><Relationship Id="rId715" Type="http://schemas.openxmlformats.org/officeDocument/2006/relationships/image" Target="media/image271.emf"/><Relationship Id="rId897" Type="http://schemas.openxmlformats.org/officeDocument/2006/relationships/image" Target="media/image348.emf"/><Relationship Id="rId922" Type="http://schemas.openxmlformats.org/officeDocument/2006/relationships/image" Target="media/image360.emf"/><Relationship Id="rId105" Type="http://schemas.openxmlformats.org/officeDocument/2006/relationships/oleObject" Target="file:///C:\Junior\Didig_2016\ECF\Registros_ECF_Leiaute_3_AC2016_SIT_ESP_2017.xlsx!0020!L29C1:L30C8" TargetMode="External"/><Relationship Id="rId147" Type="http://schemas.openxmlformats.org/officeDocument/2006/relationships/oleObject" Target="file:///C:\Junior\Didig_2016\ECF\Registros_ECF_Leiaute_3_AC2016_SIT_ESP_2017.xlsx!C155!L1C1:L15C8" TargetMode="External"/><Relationship Id="rId312" Type="http://schemas.openxmlformats.org/officeDocument/2006/relationships/image" Target="media/image126.emf"/><Relationship Id="rId354" Type="http://schemas.openxmlformats.org/officeDocument/2006/relationships/oleObject" Target="file:///C:\Junior\Didig_2016\ECF\Tabelas_Dinamicas_ECF_Leiaute_3_AC2016_SIT_ESP_2017.xlsx!N500!L1:L1048576" TargetMode="External"/><Relationship Id="rId757" Type="http://schemas.openxmlformats.org/officeDocument/2006/relationships/image" Target="media/image289.emf"/><Relationship Id="rId799" Type="http://schemas.openxmlformats.org/officeDocument/2006/relationships/image" Target="media/image307.emf"/><Relationship Id="rId51" Type="http://schemas.openxmlformats.org/officeDocument/2006/relationships/image" Target="media/image22.emf"/><Relationship Id="rId93" Type="http://schemas.openxmlformats.org/officeDocument/2006/relationships/oleObject" Target="file:///C:\Junior\Didig_2016\ECF\Registros_ECF_Leiaute_3_AC2016_SIT_ESP_2017.xlsx!0020!L8C1:L11C8" TargetMode="External"/><Relationship Id="rId189" Type="http://schemas.openxmlformats.org/officeDocument/2006/relationships/oleObject" Target="file:///C:\Junior\Didig_2016\ECF\Registros_ECF_Leiaute_3_AC2016_SIT_ESP_2017.xlsx!J100!L1C1:L9C8" TargetMode="External"/><Relationship Id="rId396" Type="http://schemas.openxmlformats.org/officeDocument/2006/relationships/image" Target="media/image157.emf"/><Relationship Id="rId561" Type="http://schemas.openxmlformats.org/officeDocument/2006/relationships/hyperlink" Target="file:///C:\Users\JJMORAESJR\AppData\Program%20Files%20(x86)\Programas_SPED\Contabil22\Ajuda\espRegrasNegocio.htm" TargetMode="External"/><Relationship Id="rId617" Type="http://schemas.openxmlformats.org/officeDocument/2006/relationships/image" Target="media/image226.emf"/><Relationship Id="rId659" Type="http://schemas.openxmlformats.org/officeDocument/2006/relationships/image" Target="media/image246.emf"/><Relationship Id="rId824" Type="http://schemas.openxmlformats.org/officeDocument/2006/relationships/hyperlink" Target="file:///C:\Users\JJMORAESJR\AppData\Program%20Files%20(x86)\Programas_SPED\Contabil22\Ajuda\espRegrasNegocio.htm" TargetMode="External"/><Relationship Id="rId866" Type="http://schemas.openxmlformats.org/officeDocument/2006/relationships/image" Target="media/image334.emf"/><Relationship Id="rId214" Type="http://schemas.openxmlformats.org/officeDocument/2006/relationships/hyperlink" Target="http://www.planalto.gov.br/ccivil_03/_Ato2004-2006/2004/Lei/L10.973.htm" TargetMode="External"/><Relationship Id="rId256" Type="http://schemas.openxmlformats.org/officeDocument/2006/relationships/oleObject" Target="file:///C:\Junior\Didig_2016\ECF\Tabelas_Dinamicas_ECF_Leiaute_3_AC2016_SIT_ESP_2017.xlsx!L210!L1:L1048576" TargetMode="External"/><Relationship Id="rId298" Type="http://schemas.openxmlformats.org/officeDocument/2006/relationships/oleObject" Target="file:///C:\Junior\Didig_2016\ECF\Registros_ECF_Leiaute_3_AC2016_SIT_ESP_2017.xlsx!M305!L1C1:L9C8" TargetMode="External"/><Relationship Id="rId421" Type="http://schemas.openxmlformats.org/officeDocument/2006/relationships/hyperlink" Target="file:///C:\Users\JJMORAESJR\AppData\Program%20Files%20(x86)\Programas_SPED\Contabil22\Ajuda\espRegrasNegocio.htm" TargetMode="External"/><Relationship Id="rId463" Type="http://schemas.openxmlformats.org/officeDocument/2006/relationships/oleObject" Target="file:///C:\Junior\Didig_2016\ECF\Registros_ECF_Leiaute_3_AC2016_SIT_ESP_2017.xlsx!P230!L1C1:L9C8" TargetMode="External"/><Relationship Id="rId519" Type="http://schemas.openxmlformats.org/officeDocument/2006/relationships/image" Target="media/image191.emf"/><Relationship Id="rId670" Type="http://schemas.openxmlformats.org/officeDocument/2006/relationships/hyperlink" Target="file:///C:\Users\JJMORAESJR\AppData\Program%20Files%20(x86)\Programas_SPED\Contabil22\Ajuda\espRegrasNegocio.htm" TargetMode="External"/><Relationship Id="rId116" Type="http://schemas.openxmlformats.org/officeDocument/2006/relationships/image" Target="media/image52.emf"/><Relationship Id="rId158" Type="http://schemas.openxmlformats.org/officeDocument/2006/relationships/hyperlink" Target="file:///C:\Users\JJMORAESJR\AppData\Program%20Files%20(x86)\Programas_SPED\Contabil22\Ajuda\espRegrasNegocio.htm" TargetMode="External"/><Relationship Id="rId323" Type="http://schemas.openxmlformats.org/officeDocument/2006/relationships/oleObject" Target="file:///C:\Junior\Didig_2016\ECF\Registros_ECF_Leiaute_3_AC2016_SIT_ESP_2017.xlsx!M362!L1C1:L7C8" TargetMode="External"/><Relationship Id="rId530" Type="http://schemas.openxmlformats.org/officeDocument/2006/relationships/hyperlink" Target="file:///C:\Users\JJMORAESJR\AppData\Program%20Files%20(x86)\Programas_SPED\Contabil22\Ajuda\espRegrasNegocio.htm" TargetMode="External"/><Relationship Id="rId726" Type="http://schemas.openxmlformats.org/officeDocument/2006/relationships/oleObject" Target="file:///C:\Junior\Didig_2016\ECF\Registros_ECF_Leiaute_3_AC2016_SIT_ESP_2017.xlsx!X353!L1C1:L10C8" TargetMode="External"/><Relationship Id="rId768" Type="http://schemas.openxmlformats.org/officeDocument/2006/relationships/oleObject" Target="file:///C:\Junior\Didig_2016\ECF\Registros_ECF_Leiaute_3_AC2016_SIT_ESP_2017.xlsx!X430!L11C1:L11C8" TargetMode="External"/><Relationship Id="rId20" Type="http://schemas.openxmlformats.org/officeDocument/2006/relationships/oleObject" Target="file:///C:\Junior\Didig_2016\ECF\Registros_ECF_Leiaute_3_AC2016_SIT_ESP_2017.xlsx!Obrigatoriedade_Registros!L14C1:L19C6" TargetMode="External"/><Relationship Id="rId62" Type="http://schemas.openxmlformats.org/officeDocument/2006/relationships/oleObject" Target="file:///C:\Junior\Didig_2016\ECF\Registros_ECF_Leiaute_3_AC2016_SIT_ESP_2017.xlsx!Obrigatoriedade_Registros!L156C1:L162C6" TargetMode="External"/><Relationship Id="rId365" Type="http://schemas.openxmlformats.org/officeDocument/2006/relationships/hyperlink" Target="file:///C:\Users\JJMORAESJR\AppData\Program%20Files%20(x86)\Programas_SPED\Contabil22\Ajuda\espRegrasNegocio.htm" TargetMode="External"/><Relationship Id="rId572" Type="http://schemas.openxmlformats.org/officeDocument/2006/relationships/oleObject" Target="file:///C:\Junior\Didig_2016\ECF\Tabelas_Dinamicas_ECF_Leiaute_3_AC2016_SIT_ESP_2017.xlsx!U100E!L1:L1048576" TargetMode="External"/><Relationship Id="rId628" Type="http://schemas.openxmlformats.org/officeDocument/2006/relationships/oleObject" Target="file:///C:\Junior\Didig_2016\ECF\Registros_ECF_Leiaute_3_AC2016_SIT_ESP_2017.xlsx!W250!L1C1:L8C8" TargetMode="External"/><Relationship Id="rId835" Type="http://schemas.openxmlformats.org/officeDocument/2006/relationships/oleObject" Target="file:///C:\Junior\Didig_2016\ECF\Registros_ECF_Leiaute_3_AC2016_SIT_ESP_2017.xlsx!Y520!L1C1:L8C8" TargetMode="External"/><Relationship Id="rId225" Type="http://schemas.openxmlformats.org/officeDocument/2006/relationships/image" Target="media/image94.emf"/><Relationship Id="rId267" Type="http://schemas.openxmlformats.org/officeDocument/2006/relationships/oleObject" Target="file:///C:\Junior\Didig_2016\ECF\Tabelas_Dinamicas_ECF_Leiaute_3_AC2016_SIT_ESP_2017.xlsx!L300C!L1:L1048576" TargetMode="External"/><Relationship Id="rId432" Type="http://schemas.openxmlformats.org/officeDocument/2006/relationships/oleObject" Target="file:///C:\Junior\Didig_2016\ECF\Tabelas_Dinamicas_ECF_Leiaute_3_AC2016_SIT_ESP_2017.xlsx!P100A!L1:L1048576" TargetMode="External"/><Relationship Id="rId474" Type="http://schemas.openxmlformats.org/officeDocument/2006/relationships/image" Target="media/image179.emf"/><Relationship Id="rId877" Type="http://schemas.openxmlformats.org/officeDocument/2006/relationships/oleObject" Target="file:///C:\Junior\Didig_2016\ECF\Registros_ECF_Leiaute_3_AC2016_SIT_ESP_2017.xlsx!Y660!L1C1:L9C8" TargetMode="External"/><Relationship Id="rId127" Type="http://schemas.openxmlformats.org/officeDocument/2006/relationships/hyperlink" Target="file:///C:\Users\JJMORAESJR\AppData\Program%20Files%20(x86)\Programas_SPED\Contabil22\Ajuda\espRegrasNegocio.htm" TargetMode="External"/><Relationship Id="rId681" Type="http://schemas.openxmlformats.org/officeDocument/2006/relationships/image" Target="media/image254.emf"/><Relationship Id="rId737" Type="http://schemas.openxmlformats.org/officeDocument/2006/relationships/hyperlink" Target="file:///C:\Users\JJMORAESJR\AppData\Program%20Files%20(x86)\Programas_SPED\Contabil22\Ajuda\espRegrasNegocio.htm" TargetMode="External"/><Relationship Id="rId779" Type="http://schemas.openxmlformats.org/officeDocument/2006/relationships/image" Target="media/image300.emf"/><Relationship Id="rId902" Type="http://schemas.openxmlformats.org/officeDocument/2006/relationships/oleObject" Target="file:///C:\Junior\Didig_2016\ECF\Registros_ECF_Leiaute_3_AC2016_SIT_ESP_2017.xlsx!Y690!L1C1:L8C8" TargetMode="External"/><Relationship Id="rId31" Type="http://schemas.openxmlformats.org/officeDocument/2006/relationships/image" Target="media/image12.emf"/><Relationship Id="rId73" Type="http://schemas.openxmlformats.org/officeDocument/2006/relationships/image" Target="media/image31.emf"/><Relationship Id="rId169" Type="http://schemas.openxmlformats.org/officeDocument/2006/relationships/image" Target="media/image76.emf"/><Relationship Id="rId334" Type="http://schemas.openxmlformats.org/officeDocument/2006/relationships/image" Target="media/image137.emf"/><Relationship Id="rId376" Type="http://schemas.openxmlformats.org/officeDocument/2006/relationships/hyperlink" Target="file:///C:\Users\JJMORAESJR\AppData\Program%20Files%20(x86)\Programas_SPED\Contabil22\Ajuda\espRegrasNegocio.htm" TargetMode="External"/><Relationship Id="rId541" Type="http://schemas.openxmlformats.org/officeDocument/2006/relationships/oleObject" Target="file:///C:\Junior\Didig_2016\ECF\Tabelas_Dinamicas_ECF_Leiaute_3_AC2016_SIT_ESP_2017.xlsx!T181!L1:L1048576" TargetMode="External"/><Relationship Id="rId583" Type="http://schemas.openxmlformats.org/officeDocument/2006/relationships/oleObject" Target="file:///C:\Junior\Didig_2016\ECF\Tabelas_Dinamicas_ECF_Leiaute_3_AC2016_SIT_ESP_2017.xlsx!U150C!L1:L1048576" TargetMode="External"/><Relationship Id="rId639" Type="http://schemas.openxmlformats.org/officeDocument/2006/relationships/oleObject" Target="file:///C:\Junior\Didig_2016\ECF\Registros_ECF_Leiaute_3_AC2016_SIT_ESP_2017.xlsx!W300!L11C1:L19C8" TargetMode="External"/><Relationship Id="rId790" Type="http://schemas.openxmlformats.org/officeDocument/2006/relationships/hyperlink" Target="file:///C:\Users\JJMORAESJR\AppData\Program%20Files%20(x86)\Programas_SPED\Contabil22\Ajuda\espRegrasNegocio.htm" TargetMode="External"/><Relationship Id="rId804" Type="http://schemas.openxmlformats.org/officeDocument/2006/relationships/hyperlink" Target="file:///C:\Users\JJMORAESJR\AppData\Program%20Files%20(x86)\Programas_SPED\Contabil22\Ajuda\espRegrasNegocio.htm" TargetMode="External"/><Relationship Id="rId4" Type="http://schemas.openxmlformats.org/officeDocument/2006/relationships/settings" Target="settings.xml"/><Relationship Id="rId180" Type="http://schemas.openxmlformats.org/officeDocument/2006/relationships/hyperlink" Target="file:///C:\Users\JJMORAESJR\AppData\Program%20Files%20(x86)\Programas_SPED\Contabil22\Ajuda\espRegrasNegocio.htm" TargetMode="External"/><Relationship Id="rId236" Type="http://schemas.openxmlformats.org/officeDocument/2006/relationships/oleObject" Target="file:///C:\Junior\Didig_2016\ECF\Registros_ECF_Leiaute_3_AC2016_SIT_ESP_2017.xlsx!L100!L1C1:L13C8" TargetMode="External"/><Relationship Id="rId278" Type="http://schemas.openxmlformats.org/officeDocument/2006/relationships/oleObject" Target="file:///C:\Junior\Didig_2016\ECF\Registros_ECF_Leiaute_3_AC2016_SIT_ESP_2017.xlsx!M030!L1C1:L8C8" TargetMode="External"/><Relationship Id="rId401" Type="http://schemas.openxmlformats.org/officeDocument/2006/relationships/hyperlink" Target="file:///C:\Users\JJMORAESJR\AppData\Program%20Files%20(x86)\Programas_SPED\Contabil22\Ajuda\espRegrasNegocio.htm" TargetMode="External"/><Relationship Id="rId443" Type="http://schemas.openxmlformats.org/officeDocument/2006/relationships/hyperlink" Target="file:///C:\Users\JJMORAESJR\AppData\Program%20Files%20(x86)\Programas_SPED\Contabil22\Ajuda\espRegrasNegocio.htm" TargetMode="External"/><Relationship Id="rId650" Type="http://schemas.openxmlformats.org/officeDocument/2006/relationships/oleObject" Target="file:///C:\Junior\Didig_2016\ECF\Registros_ECF_Leiaute_3_AC2016_SIT_ESP_2017.xlsx!X280!L8C1:L8C8" TargetMode="External"/><Relationship Id="rId846" Type="http://schemas.openxmlformats.org/officeDocument/2006/relationships/image" Target="media/image324.emf"/><Relationship Id="rId888" Type="http://schemas.openxmlformats.org/officeDocument/2006/relationships/image" Target="media/image345.emf"/><Relationship Id="rId303" Type="http://schemas.openxmlformats.org/officeDocument/2006/relationships/image" Target="media/image123.emf"/><Relationship Id="rId485" Type="http://schemas.openxmlformats.org/officeDocument/2006/relationships/hyperlink" Target="file:///C:\Users\JJMORAESJR\AppData\Program%20Files%20(x86)\Programas_SPED\Contabil22\Ajuda\espRegrasNegocio.htm" TargetMode="External"/><Relationship Id="rId692" Type="http://schemas.openxmlformats.org/officeDocument/2006/relationships/oleObject" Target="file:///C:\Junior\Didig_2016\ECF\Registros_ECF_Leiaute_3_AC2016_SIT_ESP_2017.xlsx!X320!L13C1:L13C8" TargetMode="External"/><Relationship Id="rId706" Type="http://schemas.openxmlformats.org/officeDocument/2006/relationships/oleObject" Target="file:///C:\Junior\Didig_2016\ECF\Registros_ECF_Leiaute_3_AC2016_SIT_ESP_2017.xlsx!X330!L1C1:L10C8" TargetMode="External"/><Relationship Id="rId748" Type="http://schemas.openxmlformats.org/officeDocument/2006/relationships/oleObject" Target="file:///C:\Junior\Didig_2016\ECF\Registros_ECF_Leiaute_3_AC2016_SIT_ESP_2017.xlsx!X410!L1C1:L8C8" TargetMode="External"/><Relationship Id="rId913" Type="http://schemas.openxmlformats.org/officeDocument/2006/relationships/package" Target="embeddings/Microsoft_Excel_Worksheet1.xlsx"/><Relationship Id="rId42" Type="http://schemas.openxmlformats.org/officeDocument/2006/relationships/oleObject" Target="file:///C:\Junior\Didig_2016\ECF\Registros_ECF_Leiaute_3_AC2016_SIT_ESP_2017.xlsx!Obrigatoriedade_Registros!L79C1:L86C6" TargetMode="External"/><Relationship Id="rId84" Type="http://schemas.openxmlformats.org/officeDocument/2006/relationships/image" Target="media/image36.emf"/><Relationship Id="rId138" Type="http://schemas.openxmlformats.org/officeDocument/2006/relationships/image" Target="media/image61.emf"/><Relationship Id="rId345" Type="http://schemas.openxmlformats.org/officeDocument/2006/relationships/hyperlink" Target="file:///C:\Users\JJMORAESJR\AppData\Program%20Files%20(x86)\Programas_SPED\Contabil22\Ajuda\espRegrasNegocio.htm" TargetMode="External"/><Relationship Id="rId387" Type="http://schemas.openxmlformats.org/officeDocument/2006/relationships/image" Target="media/image154.emf"/><Relationship Id="rId510" Type="http://schemas.openxmlformats.org/officeDocument/2006/relationships/oleObject" Target="file:///C:\Junior\Didig_2016\ECF\Registros_ECF_Leiaute_3_AC2016_SIT_ESP_2017.xlsx!T030!L1C1:L9C8" TargetMode="External"/><Relationship Id="rId552" Type="http://schemas.openxmlformats.org/officeDocument/2006/relationships/oleObject" Target="file:///C:\Junior\Didig_2016\ECF\Registros_ECF_Leiaute_3_AC2016_SIT_ESP_2017.xlsx!U030!L9C1:L9C8" TargetMode="External"/><Relationship Id="rId594" Type="http://schemas.openxmlformats.org/officeDocument/2006/relationships/oleObject" Target="file:///C:\Junior\Didig_2016\ECF\Tabelas_Dinamicas_ECF_Leiaute_3_AC2016_SIT_ESP_2017.xlsx!U180!L1:L1048576" TargetMode="External"/><Relationship Id="rId608" Type="http://schemas.openxmlformats.org/officeDocument/2006/relationships/oleObject" Target="file:///C:\Junior\Didig_2016\ECF\Registros_ECF_Leiaute_3_AC2016_SIT_ESP_2017.xlsx!W100!L1C1:L11C8" TargetMode="External"/><Relationship Id="rId815" Type="http://schemas.openxmlformats.org/officeDocument/2006/relationships/image" Target="media/image312.emf"/><Relationship Id="rId191" Type="http://schemas.openxmlformats.org/officeDocument/2006/relationships/oleObject" Target="file:///C:\Junior\Didig_2016\ECF\Registros_ECF_Leiaute_3_AC2016_SIT_ESP_2017.xlsx!J990!L1C1:L7C8" TargetMode="External"/><Relationship Id="rId205" Type="http://schemas.openxmlformats.org/officeDocument/2006/relationships/oleObject" Target="file:///C:\Junior\Didig_2016\ECF\Registros_ECF_Leiaute_3_AC2016_SIT_ESP_2017.xlsx!K156!L1C1:L9C8" TargetMode="External"/><Relationship Id="rId247" Type="http://schemas.openxmlformats.org/officeDocument/2006/relationships/oleObject" Target="file:///C:\Junior\Didig_2016\ECF\Tabelas_Dinamicas_ECF_Leiaute_3_AC2016_SIT_ESP_2017.xlsx!L100C!L1:L1048576" TargetMode="External"/><Relationship Id="rId412" Type="http://schemas.openxmlformats.org/officeDocument/2006/relationships/image" Target="media/image162.emf"/><Relationship Id="rId857" Type="http://schemas.openxmlformats.org/officeDocument/2006/relationships/oleObject" Target="file:///C:\Junior\Didig_2016\ECF\Registros_ECF_Leiaute_3_AC2016_SIT_ESP_2017.xlsx!Y600!L13C1:L15C8" TargetMode="External"/><Relationship Id="rId899" Type="http://schemas.openxmlformats.org/officeDocument/2006/relationships/image" Target="media/image349.emf"/><Relationship Id="rId107" Type="http://schemas.openxmlformats.org/officeDocument/2006/relationships/oleObject" Target="file:///C:\Junior\Didig_2016\ECF\Registros_ECF_Leiaute_3_AC2016_SIT_ESP_2017.xlsx!0020!L31C1:L32C8" TargetMode="External"/><Relationship Id="rId289" Type="http://schemas.openxmlformats.org/officeDocument/2006/relationships/hyperlink" Target="file:///C:\Users\JJMORAESJR\AppData\Program%20Files%20(x86)\Programas_SPED\Contabil22\Ajuda\espRegrasNegocio.htm" TargetMode="External"/><Relationship Id="rId454" Type="http://schemas.openxmlformats.org/officeDocument/2006/relationships/oleObject" Target="file:///C:\Junior\Didig_2016\ECF\Tabelas_Dinamicas_ECF_Leiaute_3_AC2016_SIT_ESP_2017.xlsx!P150B!L1:L1048576" TargetMode="External"/><Relationship Id="rId496" Type="http://schemas.openxmlformats.org/officeDocument/2006/relationships/oleObject" Target="file:///C:\Junior\Didig_2016\ECF\Registros_ECF_Leiaute_3_AC2016_SIT_ESP_2017.xlsx!Q100!L1C1:L12C8" TargetMode="External"/><Relationship Id="rId661" Type="http://schemas.openxmlformats.org/officeDocument/2006/relationships/image" Target="media/image247.emf"/><Relationship Id="rId717" Type="http://schemas.openxmlformats.org/officeDocument/2006/relationships/image" Target="media/image272.emf"/><Relationship Id="rId759" Type="http://schemas.openxmlformats.org/officeDocument/2006/relationships/image" Target="media/image290.emf"/><Relationship Id="rId924" Type="http://schemas.openxmlformats.org/officeDocument/2006/relationships/header" Target="header1.xml"/><Relationship Id="rId11" Type="http://schemas.openxmlformats.org/officeDocument/2006/relationships/oleObject" Target="embeddings/oleObject3.bin"/><Relationship Id="rId53" Type="http://schemas.openxmlformats.org/officeDocument/2006/relationships/image" Target="media/image23.emf"/><Relationship Id="rId149" Type="http://schemas.openxmlformats.org/officeDocument/2006/relationships/oleObject" Target="file:///C:\Junior\Didig_2016\ECF\Registros_ECF_Leiaute_3_AC2016_SIT_ESP_2017.xlsx!C157!L1C1:L11C8" TargetMode="External"/><Relationship Id="rId314" Type="http://schemas.openxmlformats.org/officeDocument/2006/relationships/image" Target="media/image127.emf"/><Relationship Id="rId356" Type="http://schemas.openxmlformats.org/officeDocument/2006/relationships/oleObject" Target="file:///C:\Junior\Didig_2016\ECF\Registros_ECF_Leiaute_3_AC2016_SIT_ESP_2017.xlsx!N600!L1C1:L9C8" TargetMode="External"/><Relationship Id="rId398" Type="http://schemas.openxmlformats.org/officeDocument/2006/relationships/image" Target="media/image158.emf"/><Relationship Id="rId521" Type="http://schemas.openxmlformats.org/officeDocument/2006/relationships/image" Target="media/image192.emf"/><Relationship Id="rId563" Type="http://schemas.openxmlformats.org/officeDocument/2006/relationships/image" Target="media/image204.emf"/><Relationship Id="rId619" Type="http://schemas.openxmlformats.org/officeDocument/2006/relationships/image" Target="media/image227.emf"/><Relationship Id="rId770" Type="http://schemas.openxmlformats.org/officeDocument/2006/relationships/oleObject" Target="file:///C:\Junior\Didig_2016\ECF\Registros_ECF_Leiaute_3_AC2016_SIT_ESP_2017.xlsx!X430!L12C1:L13C8" TargetMode="External"/><Relationship Id="rId95" Type="http://schemas.openxmlformats.org/officeDocument/2006/relationships/oleObject" Target="file:///C:\Junior\Didig_2016\ECF\Registros_ECF_Leiaute_3_AC2016_SIT_ESP_2017.xlsx!0020!L12C1:L15C8" TargetMode="External"/><Relationship Id="rId160" Type="http://schemas.openxmlformats.org/officeDocument/2006/relationships/oleObject" Target="file:///C:\Junior\Didig_2016\ECF\Registros_ECF_Leiaute_3_AC2016_SIT_ESP_2017.xlsx!E010!L1C1:L11C8" TargetMode="External"/><Relationship Id="rId216" Type="http://schemas.openxmlformats.org/officeDocument/2006/relationships/hyperlink" Target="http://www.planalto.gov.br/ccivil_03/LEIS/L3470.htm" TargetMode="External"/><Relationship Id="rId423" Type="http://schemas.openxmlformats.org/officeDocument/2006/relationships/hyperlink" Target="file:///C:\Users\JJMORAESJR\AppData\Program%20Files%20(x86)\Programas_SPED\Contabil22\Ajuda\espRegrasNegocio.htm" TargetMode="External"/><Relationship Id="rId826" Type="http://schemas.openxmlformats.org/officeDocument/2006/relationships/hyperlink" Target="file:///C:\Users\JJMORAESJR\AppData\Program%20Files%20(x86)\Programas_SPED\Contabil22\Ajuda\espRegrasNegocio.htm" TargetMode="External"/><Relationship Id="rId868" Type="http://schemas.openxmlformats.org/officeDocument/2006/relationships/image" Target="media/image335.emf"/><Relationship Id="rId258" Type="http://schemas.openxmlformats.org/officeDocument/2006/relationships/oleObject" Target="file:///C:\Junior\Didig_2016\ECF\Registros_ECF_Leiaute_3_AC2016_SIT_ESP_2017.xlsx!L300!L1C1:L14C8" TargetMode="External"/><Relationship Id="rId465" Type="http://schemas.openxmlformats.org/officeDocument/2006/relationships/hyperlink" Target="file:///C:\Users\JJMORAESJR\AppData\Program%20Files%20(x86)\Programas_SPED\Contabil22\Ajuda\espRegrasNegocio.htm" TargetMode="External"/><Relationship Id="rId630" Type="http://schemas.openxmlformats.org/officeDocument/2006/relationships/oleObject" Target="file:///C:\Junior\Didig_2016\ECF\Registros_ECF_Leiaute_3_AC2016_SIT_ESP_2017.xlsx!W250!L9C1:L17C8" TargetMode="External"/><Relationship Id="rId672" Type="http://schemas.openxmlformats.org/officeDocument/2006/relationships/hyperlink" Target="file:///C:\Users\JJMORAESJR\AppData\Program%20Files%20(x86)\Programas_SPED\Contabil22\Ajuda\espRegrasNegocio.htm" TargetMode="External"/><Relationship Id="rId728" Type="http://schemas.openxmlformats.org/officeDocument/2006/relationships/oleObject" Target="file:///C:\Junior\Didig_2016\ECF\Registros_ECF_Leiaute_3_AC2016_SIT_ESP_2017.xlsx!X354!L1C1:L9C8" TargetMode="External"/><Relationship Id="rId22" Type="http://schemas.openxmlformats.org/officeDocument/2006/relationships/oleObject" Target="file:///C:\Junior\Didig_2016\ECF\Registros_ECF_Leiaute_3_AC2016_SIT_ESP_2017.xlsx!Obrigatoriedade_Registros!L20C1:L25C6" TargetMode="External"/><Relationship Id="rId64" Type="http://schemas.openxmlformats.org/officeDocument/2006/relationships/oleObject" Target="file:///C:\Junior\Didig_2016\ECF\Registros_ECF_Leiaute_3_AC2016_SIT_ESP_2017.xlsx!Obrigatoriedade_Registros!L163C1:L174C6" TargetMode="External"/><Relationship Id="rId118" Type="http://schemas.openxmlformats.org/officeDocument/2006/relationships/image" Target="media/image53.emf"/><Relationship Id="rId325" Type="http://schemas.openxmlformats.org/officeDocument/2006/relationships/oleObject" Target="file:///C:\Junior\Didig_2016\ECF\Registros_ECF_Leiaute_3_AC2016_SIT_ESP_2017.xlsx!M365!L1C1:L8C8" TargetMode="External"/><Relationship Id="rId367" Type="http://schemas.openxmlformats.org/officeDocument/2006/relationships/image" Target="media/image147.emf"/><Relationship Id="rId532" Type="http://schemas.openxmlformats.org/officeDocument/2006/relationships/hyperlink" Target="file:///C:\Users\JJMORAESJR\AppData\Program%20Files%20(x86)\Programas_SPED\Contabil22\Ajuda\espRegrasNegocio.htm" TargetMode="External"/><Relationship Id="rId574" Type="http://schemas.openxmlformats.org/officeDocument/2006/relationships/oleObject" Target="file:///C:\Junior\Didig_2016\ECF\Registros_ECF_Leiaute_3_AC2016_SIT_ESP_2017.xlsx!U150!L1C1:L14C8" TargetMode="External"/><Relationship Id="rId171" Type="http://schemas.openxmlformats.org/officeDocument/2006/relationships/image" Target="media/image77.emf"/><Relationship Id="rId227" Type="http://schemas.openxmlformats.org/officeDocument/2006/relationships/hyperlink" Target="file:///C:\Users\JJMORAESJR\AppData\Program%20Files%20(x86)\Programas_SPED\Contabil22\Ajuda\espRegrasNegocio.htm" TargetMode="External"/><Relationship Id="rId781" Type="http://schemas.openxmlformats.org/officeDocument/2006/relationships/image" Target="media/image301.emf"/><Relationship Id="rId837" Type="http://schemas.openxmlformats.org/officeDocument/2006/relationships/oleObject" Target="file:///C:\Junior\Didig_2016\ECF\Registros_ECF_Leiaute_3_AC2016_SIT_ESP_2017.xlsx!Y520!L9C1:L11C8" TargetMode="External"/><Relationship Id="rId879" Type="http://schemas.openxmlformats.org/officeDocument/2006/relationships/oleObject" Target="file:///C:\Junior\Didig_2016\ECF\Registros_ECF_Leiaute_3_AC2016_SIT_ESP_2017.xlsx!Y671!L1C1:L11C8" TargetMode="External"/><Relationship Id="rId269" Type="http://schemas.openxmlformats.org/officeDocument/2006/relationships/oleObject" Target="file:///C:\Junior\Didig_2016\ECF\Registros_ECF_Leiaute_3_AC2016_SIT_ESP_2017.xlsx!L990!L1C1:L7C8" TargetMode="External"/><Relationship Id="rId434" Type="http://schemas.openxmlformats.org/officeDocument/2006/relationships/oleObject" Target="file:///C:\Junior\Didig_2016\ECF\Tabelas_Dinamicas_ECF_Leiaute_3_AC2016_SIT_ESP_2017.xlsx!P100B!L1:L1048576" TargetMode="External"/><Relationship Id="rId476" Type="http://schemas.openxmlformats.org/officeDocument/2006/relationships/image" Target="media/image180.emf"/><Relationship Id="rId641" Type="http://schemas.openxmlformats.org/officeDocument/2006/relationships/oleObject" Target="file:///C:\Junior\Didig_2016\ECF\Registros_ECF_Leiaute_3_AC2016_SIT_ESP_2017.xlsx!W990!L1C1:L7C8" TargetMode="External"/><Relationship Id="rId683" Type="http://schemas.openxmlformats.org/officeDocument/2006/relationships/image" Target="media/image255.emf"/><Relationship Id="rId739" Type="http://schemas.openxmlformats.org/officeDocument/2006/relationships/oleObject" Target="file:///C:\Junior\Didig_2016\ECF\Tabelas_Dinamicas_ECF_Leiaute_3_AC2016_SIT_ESP_2017.xlsx!X390!L1:L1048576" TargetMode="External"/><Relationship Id="rId890" Type="http://schemas.openxmlformats.org/officeDocument/2006/relationships/image" Target="media/image346.emf"/><Relationship Id="rId904" Type="http://schemas.openxmlformats.org/officeDocument/2006/relationships/oleObject" Target="file:///C:\Junior\Didig_2016\ECF\Registros_ECF_Leiaute_3_AC2016_SIT_ESP_2017.xlsx!Y720!L1C1:L9C8" TargetMode="External"/><Relationship Id="rId33" Type="http://schemas.openxmlformats.org/officeDocument/2006/relationships/image" Target="media/image13.emf"/><Relationship Id="rId129" Type="http://schemas.openxmlformats.org/officeDocument/2006/relationships/image" Target="media/image57.emf"/><Relationship Id="rId280" Type="http://schemas.openxmlformats.org/officeDocument/2006/relationships/oleObject" Target="file:///C:\Junior\Didig_2016\ECF\Registros_ECF_Leiaute_3_AC2016_SIT_ESP_2017.xlsx!M030!L9C1:L9C8" TargetMode="External"/><Relationship Id="rId336" Type="http://schemas.openxmlformats.org/officeDocument/2006/relationships/image" Target="media/image138.emf"/><Relationship Id="rId501" Type="http://schemas.openxmlformats.org/officeDocument/2006/relationships/hyperlink" Target="mk:@MSITStore:C:\ARQUIVOS%20DE%20PROGRAMAS%20RFB\DIPJ2014\DIPJ2014.chm::/INST_PREENCHIMENTO/Manual_DIPJ2014_5_15_0_IRPJ.html" TargetMode="External"/><Relationship Id="rId543" Type="http://schemas.openxmlformats.org/officeDocument/2006/relationships/oleObject" Target="file:///C:\Junior\Didig_2016\ECF\Registros_ECF_Leiaute_3_AC2016_SIT_ESP_2017.xlsx!T990!L1C1:L7C8" TargetMode="External"/><Relationship Id="rId75" Type="http://schemas.openxmlformats.org/officeDocument/2006/relationships/image" Target="media/image32.emf"/><Relationship Id="rId140" Type="http://schemas.openxmlformats.org/officeDocument/2006/relationships/image" Target="media/image62.emf"/><Relationship Id="rId182" Type="http://schemas.openxmlformats.org/officeDocument/2006/relationships/hyperlink" Target="file:///C:\Users\JJMORAESJR\AppData\Program%20Files%20(x86)\Programas_SPED\Contabil22\Ajuda\espRegrasNegocio.htm" TargetMode="External"/><Relationship Id="rId378" Type="http://schemas.openxmlformats.org/officeDocument/2006/relationships/image" Target="media/image151.emf"/><Relationship Id="rId403" Type="http://schemas.openxmlformats.org/officeDocument/2006/relationships/image" Target="media/image159.emf"/><Relationship Id="rId585" Type="http://schemas.openxmlformats.org/officeDocument/2006/relationships/oleObject" Target="file:///C:\Junior\Didig_2016\ECF\Tabelas_Dinamicas_ECF_Leiaute_3_AC2016_SIT_ESP_2017.xlsx!U150D!L1:L1048576" TargetMode="External"/><Relationship Id="rId750" Type="http://schemas.openxmlformats.org/officeDocument/2006/relationships/oleObject" Target="file:///C:\Junior\Didig_2016\ECF\Registros_ECF_Leiaute_3_AC2016_SIT_ESP_2017.xlsx!X410!L9C1:L9C8" TargetMode="External"/><Relationship Id="rId792" Type="http://schemas.openxmlformats.org/officeDocument/2006/relationships/image" Target="media/image305.emf"/><Relationship Id="rId806" Type="http://schemas.openxmlformats.org/officeDocument/2006/relationships/image" Target="media/image309.emf"/><Relationship Id="rId848" Type="http://schemas.openxmlformats.org/officeDocument/2006/relationships/image" Target="media/image325.emf"/><Relationship Id="rId6" Type="http://schemas.openxmlformats.org/officeDocument/2006/relationships/footnotes" Target="footnotes.xml"/><Relationship Id="rId238" Type="http://schemas.openxmlformats.org/officeDocument/2006/relationships/oleObject" Target="file:///C:\Junior\Didig_2016\ECF\Registros_ECF_Leiaute_3_AC2016_SIT_ESP_2017.xlsx!L100!L14C1:L16C8" TargetMode="External"/><Relationship Id="rId445" Type="http://schemas.openxmlformats.org/officeDocument/2006/relationships/oleObject" Target="file:///C:\Junior\Didig_2016\ECF\Tabelas_Dinamicas_ECF_Leiaute_3_AC2016_SIT_ESP_2017.xlsx!P130!L1:L1048576" TargetMode="External"/><Relationship Id="rId487" Type="http://schemas.openxmlformats.org/officeDocument/2006/relationships/hyperlink" Target="file:///C:\Users\JJMORAESJR\AppData\Program%20Files%20(x86)\Programas_SPED\Contabil22\Ajuda\espRegrasNegocio.htm" TargetMode="External"/><Relationship Id="rId610" Type="http://schemas.openxmlformats.org/officeDocument/2006/relationships/oleObject" Target="file:///C:\Junior\Didig_2016\ECF\Registros_ECF_Leiaute_3_AC2016_SIT_ESP_2017.xlsx!W100!L12C1:L14C8" TargetMode="External"/><Relationship Id="rId652" Type="http://schemas.openxmlformats.org/officeDocument/2006/relationships/oleObject" Target="file:///C:\Junior\Didig_2016\ECF\Registros_ECF_Leiaute_3_AC2016_SIT_ESP_2017.xlsx!X280!L9C1:L9C8" TargetMode="External"/><Relationship Id="rId694" Type="http://schemas.openxmlformats.org/officeDocument/2006/relationships/oleObject" Target="file:///C:\Junior\Didig_2016\ECF\Registros_ECF_Leiaute_3_AC2016_SIT_ESP_2017.xlsx!X320!L14C1:L14C8" TargetMode="External"/><Relationship Id="rId708" Type="http://schemas.openxmlformats.org/officeDocument/2006/relationships/oleObject" Target="file:///C:\Junior\Didig_2016\ECF\Registros_ECF_Leiaute_3_AC2016_SIT_ESP_2017.xlsx!X340!L1C1:L9C8" TargetMode="External"/><Relationship Id="rId915" Type="http://schemas.openxmlformats.org/officeDocument/2006/relationships/oleObject" Target="file:///C:\Junior\Didig_2016\ECF\Registros_ECF_Leiaute_3_AC2016_SIT_ESP_2017.xlsx!9900!L1C1:L10C8" TargetMode="External"/><Relationship Id="rId291" Type="http://schemas.openxmlformats.org/officeDocument/2006/relationships/image" Target="media/image117.emf"/><Relationship Id="rId305" Type="http://schemas.openxmlformats.org/officeDocument/2006/relationships/image" Target="media/image124.emf"/><Relationship Id="rId347" Type="http://schemas.openxmlformats.org/officeDocument/2006/relationships/hyperlink" Target="file:///C:\Users\JJMORAESJR\AppData\Program%20Files%20(x86)\Programas_SPED\Contabil22\Ajuda\espRegrasNegocio.htm" TargetMode="External"/><Relationship Id="rId512" Type="http://schemas.openxmlformats.org/officeDocument/2006/relationships/hyperlink" Target="file:///C:\Users\JJMORAESJR\AppData\Program%20Files%20(x86)\Programas_SPED\Contabil22\Ajuda\espRegrasNegocio.htm" TargetMode="External"/><Relationship Id="rId44" Type="http://schemas.openxmlformats.org/officeDocument/2006/relationships/oleObject" Target="file:///C:\Junior\Didig_2016\ECF\Registros_ECF_Leiaute_3_AC2016_SIT_ESP_2017.xlsx!Obrigatoriedade_Registros!L87C1:L99C6" TargetMode="External"/><Relationship Id="rId86" Type="http://schemas.openxmlformats.org/officeDocument/2006/relationships/image" Target="media/image37.emf"/><Relationship Id="rId151" Type="http://schemas.openxmlformats.org/officeDocument/2006/relationships/oleObject" Target="file:///C:\Junior\Didig_2016\ECF\Registros_ECF_Leiaute_3_AC2016_SIT_ESP_2017.xlsx!C350!L1C1:L7C8" TargetMode="External"/><Relationship Id="rId389" Type="http://schemas.openxmlformats.org/officeDocument/2006/relationships/image" Target="media/image155.emf"/><Relationship Id="rId554" Type="http://schemas.openxmlformats.org/officeDocument/2006/relationships/hyperlink" Target="file:///C:\Users\JJMORAESJR\AppData\Program%20Files%20(x86)\Programas_SPED\Contabil22\Ajuda\espRegrasNegocio.htm" TargetMode="External"/><Relationship Id="rId596" Type="http://schemas.openxmlformats.org/officeDocument/2006/relationships/oleObject" Target="file:///C:\Junior\Didig_2016\ECF\Registros_ECF_Leiaute_3_AC2016_SIT_ESP_2017.xlsx!U182!L1C1:L9C8" TargetMode="External"/><Relationship Id="rId761" Type="http://schemas.openxmlformats.org/officeDocument/2006/relationships/image" Target="media/image291.emf"/><Relationship Id="rId817" Type="http://schemas.openxmlformats.org/officeDocument/2006/relationships/hyperlink" Target="file:///C:\Users\JJMORAESJR\AppData\Program%20Files%20(x86)\Programas_SPED\Contabil22\Ajuda\espRegrasNegocio.htm" TargetMode="External"/><Relationship Id="rId859" Type="http://schemas.openxmlformats.org/officeDocument/2006/relationships/oleObject" Target="file:///C:\Junior\Didig_2016\ECF\Registros_ECF_Leiaute_3_AC2016_SIT_ESP_2017.xlsx!Y600!L16C1:L22C8" TargetMode="External"/><Relationship Id="rId193" Type="http://schemas.openxmlformats.org/officeDocument/2006/relationships/oleObject" Target="file:///C:\Junior\Didig_2016\ECF\Registros_ECF_Leiaute_3_AC2016_SIT_ESP_2017.xlsx!K001!L1C1:L7C8" TargetMode="External"/><Relationship Id="rId207" Type="http://schemas.openxmlformats.org/officeDocument/2006/relationships/oleObject" Target="file:///C:\Junior\Didig_2016\ECF\Registros_ECF_Leiaute_3_AC2016_SIT_ESP_2017.xlsx!K355!L1C1:L10C8" TargetMode="External"/><Relationship Id="rId249" Type="http://schemas.openxmlformats.org/officeDocument/2006/relationships/oleObject" Target="file:///C:\Junior\Didig_2016\ECF\Registros_ECF_Leiaute_3_AC2016_SIT_ESP_2017.xlsx!L200!L1C1:L7C8" TargetMode="External"/><Relationship Id="rId414" Type="http://schemas.openxmlformats.org/officeDocument/2006/relationships/hyperlink" Target="mk:@MSITStore:C:\ARQUIVOS%20DE%20PROGRAMAS%20RFB\DIPJ2014\DIPJ2014.chm::/INST_PREENCHIMENTO/Manual_DIPJ2014_5_15_0_IRPJ.html" TargetMode="External"/><Relationship Id="rId456" Type="http://schemas.openxmlformats.org/officeDocument/2006/relationships/oleObject" Target="file:///C:\Junior\Didig_2016\ECF\Registros_ECF_Leiaute_3_AC2016_SIT_ESP_2017.xlsx!P200!L1C1:L9C8" TargetMode="External"/><Relationship Id="rId498" Type="http://schemas.openxmlformats.org/officeDocument/2006/relationships/oleObject" Target="file:///C:\Junior\Didig_2016\ECF\Registros_ECF_Leiaute_3_AC2016_SIT_ESP_2017.xlsx!Q990!L1C1:L7C8" TargetMode="External"/><Relationship Id="rId621" Type="http://schemas.openxmlformats.org/officeDocument/2006/relationships/image" Target="media/image228.emf"/><Relationship Id="rId663" Type="http://schemas.openxmlformats.org/officeDocument/2006/relationships/hyperlink" Target="file:///C:\Users\JJMORAESJR\AppData\Program%20Files%20(x86)\Programas_SPED\Contabil22\Ajuda\espRegrasNegocio.htm" TargetMode="External"/><Relationship Id="rId870" Type="http://schemas.openxmlformats.org/officeDocument/2006/relationships/image" Target="media/image336.emf"/><Relationship Id="rId13" Type="http://schemas.openxmlformats.org/officeDocument/2006/relationships/image" Target="media/image3.emf"/><Relationship Id="rId109" Type="http://schemas.openxmlformats.org/officeDocument/2006/relationships/oleObject" Target="file:///C:\Junior\Didig_2016\ECF\Registros_ECF_Leiaute_3_AC2016_SIT_ESP_2017.xlsx!0020!L33C1:L33C8" TargetMode="External"/><Relationship Id="rId260" Type="http://schemas.openxmlformats.org/officeDocument/2006/relationships/hyperlink" Target="file:///C:\Users\JJMORAESJR\AppData\Program%20Files%20(x86)\Programas_SPED\Contabil22\Ajuda\espRegrasNegocio.htm" TargetMode="External"/><Relationship Id="rId316" Type="http://schemas.openxmlformats.org/officeDocument/2006/relationships/image" Target="media/image128.emf"/><Relationship Id="rId523" Type="http://schemas.openxmlformats.org/officeDocument/2006/relationships/hyperlink" Target="file:///C:\Users\JJMORAESJR\AppData\Program%20Files%20(x86)\Programas_SPED\Contabil22\Ajuda\espRegrasNegocio.htm" TargetMode="External"/><Relationship Id="rId719" Type="http://schemas.openxmlformats.org/officeDocument/2006/relationships/image" Target="media/image273.emf"/><Relationship Id="rId926" Type="http://schemas.openxmlformats.org/officeDocument/2006/relationships/fontTable" Target="fontTable.xml"/><Relationship Id="rId55" Type="http://schemas.openxmlformats.org/officeDocument/2006/relationships/image" Target="media/image24.emf"/><Relationship Id="rId97" Type="http://schemas.openxmlformats.org/officeDocument/2006/relationships/oleObject" Target="file:///C:\Junior\Didig_2016\ECF\Registros_ECF_Leiaute_3_AC2016_SIT_ESP_2017.xlsx!0020!L16C1:L19C8" TargetMode="External"/><Relationship Id="rId120" Type="http://schemas.openxmlformats.org/officeDocument/2006/relationships/image" Target="media/image54.emf"/><Relationship Id="rId358" Type="http://schemas.openxmlformats.org/officeDocument/2006/relationships/hyperlink" Target="file:///C:\Users\JJMORAESJR\AppData\Program%20Files%20(x86)\Programas_SPED\Contabil22\Ajuda\espRegrasNegocio.htm" TargetMode="External"/><Relationship Id="rId565" Type="http://schemas.openxmlformats.org/officeDocument/2006/relationships/image" Target="media/image205.emf"/><Relationship Id="rId730" Type="http://schemas.openxmlformats.org/officeDocument/2006/relationships/oleObject" Target="file:///C:\Junior\Didig_2016\ECF\Registros_ECF_Leiaute_3_AC2016_SIT_ESP_2017.xlsx!X355!L1C1:L13C8" TargetMode="External"/><Relationship Id="rId772" Type="http://schemas.openxmlformats.org/officeDocument/2006/relationships/oleObject" Target="file:///C:\Junior\Didig_2016\ECF\Registros_ECF_Leiaute_3_AC2016_SIT_ESP_2017.xlsx!X430!L14C1:L15C8" TargetMode="External"/><Relationship Id="rId828" Type="http://schemas.openxmlformats.org/officeDocument/2006/relationships/oleObject" Target="file:///C:\Junior\Didig_2016\ECF\Tabelas_Dinamicas_ECF_Leiaute_3_AC2016_SIT_ESP_2017.xlsx!X510!L1:L1048576" TargetMode="External"/><Relationship Id="rId162" Type="http://schemas.openxmlformats.org/officeDocument/2006/relationships/oleObject" Target="file:///C:\Junior\Didig_2016\ECF\Registros_ECF_Leiaute_3_AC2016_SIT_ESP_2017.xlsx!E015!L1C1:L11C8" TargetMode="External"/><Relationship Id="rId218" Type="http://schemas.openxmlformats.org/officeDocument/2006/relationships/hyperlink" Target="mk:@MSITStore:C:\ARQUIVOS%20DE%20PROGRAMAS%20RFB\DIPJ2014\DIPJ2014.chm::/INST_PREENCHIMENTO/Manual_DIPJ2014_5_15_0_IRPJ.html" TargetMode="External"/><Relationship Id="rId425" Type="http://schemas.openxmlformats.org/officeDocument/2006/relationships/oleObject" Target="file:///C:\Junior\Didig_2016\ECF\Registros_ECF_Leiaute_3_AC2016_SIT_ESP_2017.xlsx!P100!L1C1:L12C8" TargetMode="External"/><Relationship Id="rId467" Type="http://schemas.openxmlformats.org/officeDocument/2006/relationships/image" Target="media/image177.emf"/><Relationship Id="rId632" Type="http://schemas.openxmlformats.org/officeDocument/2006/relationships/oleObject" Target="file:///C:\Junior\Didig_2016\ECF\Registros_ECF_Leiaute_3_AC2016_SIT_ESP_2017.xlsx!W250!L18C1:L29C8" TargetMode="External"/><Relationship Id="rId271" Type="http://schemas.openxmlformats.org/officeDocument/2006/relationships/oleObject" Target="file:///C:\Junior\Didig_2016\ECF\Registros_ECF_Leiaute_3_AC2016_SIT_ESP_2017.xlsx!M001!L1C1:L7C8" TargetMode="External"/><Relationship Id="rId674" Type="http://schemas.openxmlformats.org/officeDocument/2006/relationships/oleObject" Target="file:///C:\Junior\Didig_2016\ECF\Tabelas_Dinamicas_ECF_Leiaute_3_AC2016_SIT_ESP_2017.xlsx!X292!L1:L1048576" TargetMode="External"/><Relationship Id="rId881" Type="http://schemas.openxmlformats.org/officeDocument/2006/relationships/oleObject" Target="file:///C:\Junior\Didig_2016\ECF\Registros_ECF_Leiaute_3_AC2016_SIT_ESP_2017.xlsx!Y671!L12C1:L15C8" TargetMode="External"/><Relationship Id="rId24" Type="http://schemas.openxmlformats.org/officeDocument/2006/relationships/oleObject" Target="file:///C:\Junior\Didig_2016\ECF\Registros_ECF_Leiaute_3_AC2016_SIT_ESP_2017.xlsx!Obrigatoriedade_Registros!L26C1:L31C6" TargetMode="External"/><Relationship Id="rId66" Type="http://schemas.openxmlformats.org/officeDocument/2006/relationships/hyperlink" Target="http://www.receita.fazenda.gov.br" TargetMode="External"/><Relationship Id="rId131" Type="http://schemas.openxmlformats.org/officeDocument/2006/relationships/image" Target="media/image58.emf"/><Relationship Id="rId327" Type="http://schemas.openxmlformats.org/officeDocument/2006/relationships/oleObject" Target="file:///C:\Junior\Didig_2016\ECF\Registros_ECF_Leiaute_3_AC2016_SIT_ESP_2017.xlsx!M410!L1C1:L11C8" TargetMode="External"/><Relationship Id="rId369" Type="http://schemas.openxmlformats.org/officeDocument/2006/relationships/image" Target="media/image148.emf"/><Relationship Id="rId534" Type="http://schemas.openxmlformats.org/officeDocument/2006/relationships/oleObject" Target="file:///C:\Junior\Didig_2016\ECF\Tabelas_Dinamicas_ECF_Leiaute_3_AC2016_SIT_ESP_2017.xlsx!T170!L1:L1048576" TargetMode="External"/><Relationship Id="rId576" Type="http://schemas.openxmlformats.org/officeDocument/2006/relationships/hyperlink" Target="file:///C:\Users\JJMORAESJR\AppData\Program%20Files%20(x86)\Programas_SPED\Contabil22\Ajuda\espRegrasNegocio.htm" TargetMode="External"/><Relationship Id="rId741" Type="http://schemas.openxmlformats.org/officeDocument/2006/relationships/oleObject" Target="file:///C:\Junior\Didig_2016\ECF\Registros_ECF_Leiaute_3_AC2016_SIT_ESP_2017.xlsx!X400!L1C1:L9C8" TargetMode="External"/><Relationship Id="rId783" Type="http://schemas.openxmlformats.org/officeDocument/2006/relationships/image" Target="media/image302.emf"/><Relationship Id="rId839" Type="http://schemas.openxmlformats.org/officeDocument/2006/relationships/oleObject" Target="file:///C:\Junior\Didig_2016\ECF\Registros_ECF_Leiaute_3_AC2016_SIT_ESP_2017.xlsx!Y540!L1C1:L9C8" TargetMode="External"/><Relationship Id="rId173" Type="http://schemas.openxmlformats.org/officeDocument/2006/relationships/image" Target="media/image78.emf"/><Relationship Id="rId229" Type="http://schemas.openxmlformats.org/officeDocument/2006/relationships/oleObject" Target="file:///C:\Junior\Didig_2016\ECF\Registros_ECF_Leiaute_3_AC2016_SIT_ESP_2017.xlsx!L030!L1C1:L8C8" TargetMode="External"/><Relationship Id="rId380" Type="http://schemas.openxmlformats.org/officeDocument/2006/relationships/image" Target="media/image152.emf"/><Relationship Id="rId436" Type="http://schemas.openxmlformats.org/officeDocument/2006/relationships/hyperlink" Target="mk:@MSITStore:C:\ARQUIVOS%20DE%20PROGRAMAS%20RFB\DIPJ2014\DIPJ2014.chm::/INST_PREENCHIMENTO/Manual_DIPJ2014_5_15_0_IRPJ.html" TargetMode="External"/><Relationship Id="rId601" Type="http://schemas.openxmlformats.org/officeDocument/2006/relationships/oleObject" Target="file:///C:\Junior\Didig_2016\ECF\Tabelas_Dinamicas_ECF_Leiaute_3_AC2016_SIT_ESP_2017.xlsx!U182!L1:L1048576" TargetMode="External"/><Relationship Id="rId643" Type="http://schemas.openxmlformats.org/officeDocument/2006/relationships/oleObject" Target="file:///C:\Junior\Didig_2016\ECF\Registros_ECF_Leiaute_3_AC2016_SIT_ESP_2017.xlsx!X001!L1C1:L7C8" TargetMode="External"/><Relationship Id="rId240" Type="http://schemas.openxmlformats.org/officeDocument/2006/relationships/hyperlink" Target="file:///C:\Users\JJMORAESJR\AppData\Program%20Files%20(x86)\Programas_SPED\Contabil22\Ajuda\espRegrasNegocio.htm" TargetMode="External"/><Relationship Id="rId478" Type="http://schemas.openxmlformats.org/officeDocument/2006/relationships/hyperlink" Target="file:///C:\Users\JJMORAESJR\AppData\Program%20Files%20(x86)\Programas_SPED\Contabil22\Ajuda\espRegrasNegocio.htm" TargetMode="External"/><Relationship Id="rId685" Type="http://schemas.openxmlformats.org/officeDocument/2006/relationships/image" Target="media/image256.emf"/><Relationship Id="rId850" Type="http://schemas.openxmlformats.org/officeDocument/2006/relationships/image" Target="media/image326.emf"/><Relationship Id="rId892" Type="http://schemas.openxmlformats.org/officeDocument/2006/relationships/image" Target="media/image347.emf"/><Relationship Id="rId906" Type="http://schemas.openxmlformats.org/officeDocument/2006/relationships/oleObject" Target="file:///C:\Junior\Didig_2016\ECF\Registros_ECF_Leiaute_3_AC2016_SIT_ESP_2017.xlsx!Y800!L1C1:L11C8" TargetMode="External"/><Relationship Id="rId35" Type="http://schemas.openxmlformats.org/officeDocument/2006/relationships/image" Target="media/image14.emf"/><Relationship Id="rId77" Type="http://schemas.openxmlformats.org/officeDocument/2006/relationships/hyperlink" Target="file:///C:\Users\JJMORAESJR\AppData\Program%20Files%20(x86)\Programas_SPED\Contabil22\Ajuda\espRegrasNegocio.htm" TargetMode="External"/><Relationship Id="rId100" Type="http://schemas.openxmlformats.org/officeDocument/2006/relationships/image" Target="media/image44.emf"/><Relationship Id="rId282" Type="http://schemas.openxmlformats.org/officeDocument/2006/relationships/hyperlink" Target="file:///C:\Users\JJMORAESJR\AppData\Program%20Files%20(x86)\Programas_SPED\Contabil22\Ajuda\espRegrasNegocio.htm" TargetMode="External"/><Relationship Id="rId338" Type="http://schemas.openxmlformats.org/officeDocument/2006/relationships/image" Target="media/image139.emf"/><Relationship Id="rId503" Type="http://schemas.openxmlformats.org/officeDocument/2006/relationships/hyperlink" Target="mk:@MSITStore:C:\ARQUIVOS%20DE%20PROGRAMAS%20RFB\DIPJ2014\DIPJ2014.chm::/INST_PREENCHIMENTO/Manual_DIPJ2014_5_15_0_IRPJ.html" TargetMode="External"/><Relationship Id="rId545" Type="http://schemas.openxmlformats.org/officeDocument/2006/relationships/hyperlink" Target="mk:@MSITStore:C:\ARQUIVOS%20DE%20PROGRAMAS%20RFB\DIPJ2014\DIPJ2014.chm::/INST_PREENCHIMENTO/Manual_DIPJ2014_5_17_01_PJIMUNE.html" TargetMode="External"/><Relationship Id="rId587" Type="http://schemas.openxmlformats.org/officeDocument/2006/relationships/oleObject" Target="file:///C:\Junior\Didig_2016\ECF\Tabelas_Dinamicas_ECF_Leiaute_3_AC2016_SIT_ESP_2017.xlsx!U150E!L1:L1048576" TargetMode="External"/><Relationship Id="rId710" Type="http://schemas.openxmlformats.org/officeDocument/2006/relationships/oleObject" Target="file:///C:\Junior\Didig_2016\ECF\Registros_ECF_Leiaute_3_AC2016_SIT_ESP_2017.xlsx!X340!L10C1:L14C8" TargetMode="External"/><Relationship Id="rId752" Type="http://schemas.openxmlformats.org/officeDocument/2006/relationships/oleObject" Target="file:///C:\Junior\Didig_2016\ECF\Registros_ECF_Leiaute_3_AC2016_SIT_ESP_2017.xlsx!X420!L1C1:L7C8" TargetMode="External"/><Relationship Id="rId808" Type="http://schemas.openxmlformats.org/officeDocument/2006/relationships/image" Target="media/image310.emf"/><Relationship Id="rId8" Type="http://schemas.openxmlformats.org/officeDocument/2006/relationships/image" Target="media/image1.wmf"/><Relationship Id="rId142" Type="http://schemas.openxmlformats.org/officeDocument/2006/relationships/image" Target="media/image63.emf"/><Relationship Id="rId184" Type="http://schemas.openxmlformats.org/officeDocument/2006/relationships/image" Target="media/image82.emf"/><Relationship Id="rId391" Type="http://schemas.openxmlformats.org/officeDocument/2006/relationships/image" Target="media/image156.emf"/><Relationship Id="rId405" Type="http://schemas.openxmlformats.org/officeDocument/2006/relationships/image" Target="media/image160.emf"/><Relationship Id="rId447" Type="http://schemas.openxmlformats.org/officeDocument/2006/relationships/oleObject" Target="file:///C:\Junior\Didig_2016\ECF\Registros_ECF_Leiaute_3_AC2016_SIT_ESP_2017.xlsx!P150!L1C1:L14C8" TargetMode="External"/><Relationship Id="rId612" Type="http://schemas.openxmlformats.org/officeDocument/2006/relationships/oleObject" Target="file:///C:\Junior\Didig_2016\ECF\Registros_ECF_Leiaute_3_AC2016_SIT_ESP_2017.xlsx!W100!L15C1:L17C8" TargetMode="External"/><Relationship Id="rId794" Type="http://schemas.openxmlformats.org/officeDocument/2006/relationships/image" Target="media/image306.emf"/><Relationship Id="rId251" Type="http://schemas.openxmlformats.org/officeDocument/2006/relationships/oleObject" Target="file:///C:\Junior\Didig_2016\ECF\Registros_ECF_Leiaute_3_AC2016_SIT_ESP_2017.xlsx!L210!L1C1:L9C8" TargetMode="External"/><Relationship Id="rId489" Type="http://schemas.openxmlformats.org/officeDocument/2006/relationships/oleObject" Target="file:///C:\Junior\Didig_2016\ECF\Tabelas_Dinamicas_ECF_Leiaute_3_AC2016_SIT_ESP_2017.xlsx!P500!L1:L1048576" TargetMode="External"/><Relationship Id="rId654" Type="http://schemas.openxmlformats.org/officeDocument/2006/relationships/oleObject" Target="file:///C:\Junior\Didig_2016\ECF\Registros_ECF_Leiaute_3_AC2016_SIT_ESP_2017.xlsx!X280!L10C1:L10C8" TargetMode="External"/><Relationship Id="rId696" Type="http://schemas.openxmlformats.org/officeDocument/2006/relationships/oleObject" Target="file:///C:\Junior\Didig_2016\ECF\Registros_ECF_Leiaute_3_AC2016_SIT_ESP_2017.xlsx!X320!L15C1:L16C8" TargetMode="External"/><Relationship Id="rId861" Type="http://schemas.openxmlformats.org/officeDocument/2006/relationships/oleObject" Target="file:///C:\Junior\Didig_2016\ECF\Registros_ECF_Leiaute_3_AC2016_SIT_ESP_2017.xlsx!Y612!L1C1:L10C8" TargetMode="External"/><Relationship Id="rId917" Type="http://schemas.openxmlformats.org/officeDocument/2006/relationships/oleObject" Target="file:///C:\Junior\Didig_2016\ECF\Registros_ECF_Leiaute_3_AC2016_SIT_ESP_2017.xlsx!9990!L1C1:L7C8" TargetMode="External"/><Relationship Id="rId46" Type="http://schemas.openxmlformats.org/officeDocument/2006/relationships/oleObject" Target="file:///C:\Junior\Didig_2016\ECF\Registros_ECF_Leiaute_3_AC2016_SIT_ESP_2017.xlsx!Obrigatoriedade_Registros!L100C1:L106C6" TargetMode="External"/><Relationship Id="rId293" Type="http://schemas.openxmlformats.org/officeDocument/2006/relationships/image" Target="media/image118.emf"/><Relationship Id="rId307" Type="http://schemas.openxmlformats.org/officeDocument/2006/relationships/image" Target="media/image125.emf"/><Relationship Id="rId349" Type="http://schemas.openxmlformats.org/officeDocument/2006/relationships/oleObject" Target="file:///C:\Junior\Didig_2016\ECF\Registros_ECF_Leiaute_3_AC2016_SIT_ESP_2017.xlsx!N500!L1C1:L9C8" TargetMode="External"/><Relationship Id="rId514" Type="http://schemas.openxmlformats.org/officeDocument/2006/relationships/image" Target="media/image190.emf"/><Relationship Id="rId556" Type="http://schemas.openxmlformats.org/officeDocument/2006/relationships/image" Target="media/image202.emf"/><Relationship Id="rId721" Type="http://schemas.openxmlformats.org/officeDocument/2006/relationships/image" Target="media/image274.emf"/><Relationship Id="rId763" Type="http://schemas.openxmlformats.org/officeDocument/2006/relationships/image" Target="media/image292.emf"/><Relationship Id="rId88" Type="http://schemas.openxmlformats.org/officeDocument/2006/relationships/image" Target="media/image38.emf"/><Relationship Id="rId111" Type="http://schemas.openxmlformats.org/officeDocument/2006/relationships/oleObject" Target="file:///C:\Junior\Didig_2016\ECF\Registros_ECF_Leiaute_3_AC2016_SIT_ESP_2017.xlsx!0020!L34C1:L34C8" TargetMode="External"/><Relationship Id="rId153" Type="http://schemas.openxmlformats.org/officeDocument/2006/relationships/oleObject" Target="file:///C:\Junior\Didig_2016\ECF\Registros_ECF_Leiaute_3_AC2016_SIT_ESP_2017.xlsx!C355!L1C1:L11C8" TargetMode="External"/><Relationship Id="rId195" Type="http://schemas.openxmlformats.org/officeDocument/2006/relationships/image" Target="media/image87.emf"/><Relationship Id="rId209" Type="http://schemas.openxmlformats.org/officeDocument/2006/relationships/oleObject" Target="file:///C:\Junior\Didig_2016\ECF\Registros_ECF_Leiaute_3_AC2016_SIT_ESP_2017.xlsx!K356!L1C1:L9C8" TargetMode="External"/><Relationship Id="rId360" Type="http://schemas.openxmlformats.org/officeDocument/2006/relationships/image" Target="media/image145.emf"/><Relationship Id="rId416" Type="http://schemas.openxmlformats.org/officeDocument/2006/relationships/image" Target="media/image163.emf"/><Relationship Id="rId598" Type="http://schemas.openxmlformats.org/officeDocument/2006/relationships/hyperlink" Target="file:///C:\Users\JJMORAESJR\AppData\Program%20Files%20(x86)\Programas_SPED\Contabil22\Ajuda\espRegrasNegocio.htm" TargetMode="External"/><Relationship Id="rId819" Type="http://schemas.openxmlformats.org/officeDocument/2006/relationships/hyperlink" Target="file:///C:\Users\JJMORAESJR\AppData\Program%20Files%20(x86)\Programas_SPED\Contabil22\Ajuda\espRegrasNegocio.htm" TargetMode="External"/><Relationship Id="rId220" Type="http://schemas.openxmlformats.org/officeDocument/2006/relationships/hyperlink" Target="mk:@MSITStore:C:\ARQUIVOS%20DE%20PROGRAMAS%20RFB\DIPJ2014\DIPJ2014.chm::/INST_PREENCHIMENTO/Manual_DIPJ2014_5_16_00_CSLL.html" TargetMode="External"/><Relationship Id="rId458" Type="http://schemas.openxmlformats.org/officeDocument/2006/relationships/hyperlink" Target="file:///C:\Users\JJMORAESJR\AppData\Program%20Files%20(x86)\Programas_SPED\Contabil22\Ajuda\espRegrasNegocio.htm" TargetMode="External"/><Relationship Id="rId623" Type="http://schemas.openxmlformats.org/officeDocument/2006/relationships/image" Target="media/image229.emf"/><Relationship Id="rId665" Type="http://schemas.openxmlformats.org/officeDocument/2006/relationships/hyperlink" Target="file:///C:\Users\JJMORAESJR\AppData\Program%20Files%20(x86)\Programas_SPED\Contabil22\Ajuda\espRegrasNegocio.htm" TargetMode="External"/><Relationship Id="rId830" Type="http://schemas.openxmlformats.org/officeDocument/2006/relationships/oleObject" Target="file:///C:\Junior\Didig_2016\ECF\Registros_ECF_Leiaute_3_AC2016_SIT_ESP_2017.xlsx!X990!L1C1:L7C8" TargetMode="External"/><Relationship Id="rId872" Type="http://schemas.openxmlformats.org/officeDocument/2006/relationships/image" Target="media/image337.emf"/><Relationship Id="rId15" Type="http://schemas.openxmlformats.org/officeDocument/2006/relationships/image" Target="media/image4.emf"/><Relationship Id="rId57" Type="http://schemas.openxmlformats.org/officeDocument/2006/relationships/image" Target="media/image25.emf"/><Relationship Id="rId262" Type="http://schemas.openxmlformats.org/officeDocument/2006/relationships/image" Target="media/image106.emf"/><Relationship Id="rId318" Type="http://schemas.openxmlformats.org/officeDocument/2006/relationships/image" Target="media/image129.emf"/><Relationship Id="rId525" Type="http://schemas.openxmlformats.org/officeDocument/2006/relationships/hyperlink" Target="file:///C:\Users\JJMORAESJR\AppData\Program%20Files%20(x86)\Programas_SPED\Contabil22\Ajuda\espRegrasNegocio.htm" TargetMode="External"/><Relationship Id="rId567" Type="http://schemas.openxmlformats.org/officeDocument/2006/relationships/image" Target="media/image206.emf"/><Relationship Id="rId732" Type="http://schemas.openxmlformats.org/officeDocument/2006/relationships/oleObject" Target="file:///C:\Junior\Didig_2016\ECF\Registros_ECF_Leiaute_3_AC2016_SIT_ESP_2017.xlsx!X356!L1C1:L9C8" TargetMode="External"/><Relationship Id="rId99" Type="http://schemas.openxmlformats.org/officeDocument/2006/relationships/oleObject" Target="file:///C:\Junior\Didig_2016\ECF\Registros_ECF_Leiaute_3_AC2016_SIT_ESP_2017.xlsx!0020!L20C1:L22C8" TargetMode="External"/><Relationship Id="rId122" Type="http://schemas.openxmlformats.org/officeDocument/2006/relationships/hyperlink" Target="mailto:|testeecf@ecf.gov.br|" TargetMode="External"/><Relationship Id="rId164" Type="http://schemas.openxmlformats.org/officeDocument/2006/relationships/oleObject" Target="file:///C:\Junior\Didig_2016\ECF\Registros_ECF_Leiaute_3_AC2016_SIT_ESP_2017.xlsx!E020!L1C1:L15C8" TargetMode="External"/><Relationship Id="rId371" Type="http://schemas.openxmlformats.org/officeDocument/2006/relationships/image" Target="media/image149.emf"/><Relationship Id="rId774" Type="http://schemas.openxmlformats.org/officeDocument/2006/relationships/package" Target="embeddings/Microsoft_Excel_Worksheet.xlsx"/><Relationship Id="rId427" Type="http://schemas.openxmlformats.org/officeDocument/2006/relationships/oleObject" Target="file:///C:\Junior\Didig_2016\ECF\Registros_ECF_Leiaute_3_AC2016_SIT_ESP_2017.xlsx!P100!L13C1:L16C8" TargetMode="External"/><Relationship Id="rId469" Type="http://schemas.openxmlformats.org/officeDocument/2006/relationships/image" Target="media/image178.emf"/><Relationship Id="rId634" Type="http://schemas.openxmlformats.org/officeDocument/2006/relationships/oleObject" Target="file:///C:\Junior\Didig_2016\ECF\Registros_ECF_Leiaute_3_AC2016_SIT_ESP_2017.xlsx!W250!L30C1:L32C8" TargetMode="External"/><Relationship Id="rId676" Type="http://schemas.openxmlformats.org/officeDocument/2006/relationships/oleObject" Target="file:///C:\Junior\Didig_2016\ECF\Registros_ECF_Leiaute_3_AC2016_SIT_ESP_2017.xlsx!X300!L1C1:L10C8" TargetMode="External"/><Relationship Id="rId841" Type="http://schemas.openxmlformats.org/officeDocument/2006/relationships/oleObject" Target="file:///C:\Junior\Didig_2016\ECF\Registros_ECF_Leiaute_3_AC2016_SIT_ESP_2017.xlsx!Y550!L1C1:L9C8" TargetMode="External"/><Relationship Id="rId883" Type="http://schemas.openxmlformats.org/officeDocument/2006/relationships/oleObject" Target="file:///C:\Junior\Didig_2016\ECF\Registros_ECF_Leiaute_3_AC2016_SIT_ESP_2017.xlsx!Y671!L16C1:L19C8" TargetMode="External"/><Relationship Id="rId26" Type="http://schemas.openxmlformats.org/officeDocument/2006/relationships/oleObject" Target="file:///C:\Junior\Didig_2016\ECF\Registros_ECF_Leiaute_3_AC2016_SIT_ESP_2017.xlsx!Obrigatoriedade_Registros!L32C1:L37C6" TargetMode="External"/><Relationship Id="rId231" Type="http://schemas.openxmlformats.org/officeDocument/2006/relationships/oleObject" Target="file:///C:\Junior\Didig_2016\ECF\Registros_ECF_Leiaute_3_AC2016_SIT_ESP_2017.xlsx!L030!L9C1:L9C8" TargetMode="External"/><Relationship Id="rId273" Type="http://schemas.openxmlformats.org/officeDocument/2006/relationships/image" Target="media/image111.emf"/><Relationship Id="rId329" Type="http://schemas.openxmlformats.org/officeDocument/2006/relationships/oleObject" Target="file:///C:\Junior\Didig_2016\ECF\Registros_ECF_Leiaute_3_AC2016_SIT_ESP_2017.xlsx!M410!L12C1:L13C8" TargetMode="External"/><Relationship Id="rId480" Type="http://schemas.openxmlformats.org/officeDocument/2006/relationships/hyperlink" Target="file:///C:\Users\JJMORAESJR\AppData\Program%20Files%20(x86)\Programas_SPED\Contabil22\Ajuda\espRegrasNegocio.htm" TargetMode="External"/><Relationship Id="rId536" Type="http://schemas.openxmlformats.org/officeDocument/2006/relationships/oleObject" Target="file:///C:\Junior\Didig_2016\ECF\Registros_ECF_Leiaute_3_AC2016_SIT_ESP_2017.xlsx!T181!L1C1:L9C8" TargetMode="External"/><Relationship Id="rId701" Type="http://schemas.openxmlformats.org/officeDocument/2006/relationships/image" Target="media/image264.emf"/><Relationship Id="rId68" Type="http://schemas.openxmlformats.org/officeDocument/2006/relationships/hyperlink" Target="http://www.drei.smpe.gov.br" TargetMode="External"/><Relationship Id="rId133" Type="http://schemas.openxmlformats.org/officeDocument/2006/relationships/hyperlink" Target="file:///C:\Users\JJMORAESJR\AppData\Program%20Files%20(x86)\Programas_SPED\Contabil22\Ajuda\espRegrasNegocio.htm" TargetMode="External"/><Relationship Id="rId175" Type="http://schemas.openxmlformats.org/officeDocument/2006/relationships/image" Target="media/image79.emf"/><Relationship Id="rId340" Type="http://schemas.openxmlformats.org/officeDocument/2006/relationships/hyperlink" Target="file:///C:\Users\JJMORAESJR\AppData\Program%20Files%20(x86)\Programas_SPED\Contabil22\Ajuda\espRegrasNegocio.htm" TargetMode="External"/><Relationship Id="rId578" Type="http://schemas.openxmlformats.org/officeDocument/2006/relationships/image" Target="media/image210.emf"/><Relationship Id="rId743" Type="http://schemas.openxmlformats.org/officeDocument/2006/relationships/hyperlink" Target="file:///C:\Users\JJMORAESJR\AppData\Program%20Files%20(x86)\Programas_SPED\Contabil22\Ajuda\espRegrasNegocio.htm" TargetMode="External"/><Relationship Id="rId785" Type="http://schemas.openxmlformats.org/officeDocument/2006/relationships/image" Target="media/image303.emf"/><Relationship Id="rId200" Type="http://schemas.openxmlformats.org/officeDocument/2006/relationships/hyperlink" Target="file:///C:\Users\JJMORAESJR\AppData\Program%20Files%20(x86)\Programas_SPED\Contabil22\Ajuda\espRegrasNegocio.htm" TargetMode="External"/><Relationship Id="rId382" Type="http://schemas.openxmlformats.org/officeDocument/2006/relationships/hyperlink" Target="file:///C:\Users\JJMORAESJR\AppData\Program%20Files%20(x86)\Programas_SPED\Contabil22\Ajuda\espRegrasNegocio.htm" TargetMode="External"/><Relationship Id="rId438" Type="http://schemas.openxmlformats.org/officeDocument/2006/relationships/hyperlink" Target="mk:@MSITStore:C:\ARQUIVOS%20DE%20PROGRAMAS%20RFB\DIPJ2014\DIPJ2014.chm::/INST_PREENCHIMENTO/Manual_DIPJ2014_5_15_0_IRPJ.html" TargetMode="External"/><Relationship Id="rId603" Type="http://schemas.openxmlformats.org/officeDocument/2006/relationships/oleObject" Target="file:///C:\Junior\Didig_2016\ECF\Registros_ECF_Leiaute_3_AC2016_SIT_ESP_2017.xlsx!U990!L1C1:L7C8" TargetMode="External"/><Relationship Id="rId645" Type="http://schemas.openxmlformats.org/officeDocument/2006/relationships/image" Target="media/image239.emf"/><Relationship Id="rId687" Type="http://schemas.openxmlformats.org/officeDocument/2006/relationships/image" Target="media/image257.emf"/><Relationship Id="rId810" Type="http://schemas.openxmlformats.org/officeDocument/2006/relationships/hyperlink" Target="file:///C:\Users\JJMORAESJR\AppData\Program%20Files%20(x86)\Programas_SPED\Contabil22\Ajuda\espRegrasNegocio.htm" TargetMode="External"/><Relationship Id="rId852" Type="http://schemas.openxmlformats.org/officeDocument/2006/relationships/image" Target="media/image327.emf"/><Relationship Id="rId908" Type="http://schemas.openxmlformats.org/officeDocument/2006/relationships/oleObject" Target="file:///C:\Junior\Didig_2016\ECF\Registros_ECF_Leiaute_3_AC2016_SIT_ESP_2017.xlsx!Y990!L1C1:L8C8" TargetMode="External"/><Relationship Id="rId242" Type="http://schemas.openxmlformats.org/officeDocument/2006/relationships/image" Target="media/image99.emf"/><Relationship Id="rId284" Type="http://schemas.openxmlformats.org/officeDocument/2006/relationships/image" Target="media/image115.emf"/><Relationship Id="rId491" Type="http://schemas.openxmlformats.org/officeDocument/2006/relationships/oleObject" Target="file:///C:\Junior\Didig_2016\ECF\Registros_ECF_Leiaute_3_AC2016_SIT_ESP_2017.xlsx!P990!L1C1:L7C8" TargetMode="External"/><Relationship Id="rId505" Type="http://schemas.openxmlformats.org/officeDocument/2006/relationships/hyperlink" Target="mk:@MSITStore:C:\ARQUIVOS%20DE%20PROGRAMAS%20RFB\DIPJ2014\DIPJ2014.chm::/INST_PREENCHIMENTO/Manual_DIPJ2014_5_15_03_lucro_arbit.html" TargetMode="External"/><Relationship Id="rId712" Type="http://schemas.openxmlformats.org/officeDocument/2006/relationships/oleObject" Target="file:///C:\Junior\Didig_2016\ECF\Registros_ECF_Leiaute_3_AC2016_SIT_ESP_2017.xlsx!X340!L15C1:L15C8" TargetMode="External"/><Relationship Id="rId894" Type="http://schemas.openxmlformats.org/officeDocument/2006/relationships/hyperlink" Target="file:///C:\Users\JJMORAESJR\AppData\Program%20Files%20(x86)\Programas_SPED\Contabil22\Ajuda\espRegrasNegocio.htm" TargetMode="External"/><Relationship Id="rId37" Type="http://schemas.openxmlformats.org/officeDocument/2006/relationships/image" Target="media/image15.emf"/><Relationship Id="rId79" Type="http://schemas.openxmlformats.org/officeDocument/2006/relationships/oleObject" Target="file:///C:\Junior\Didig_2016\ECF\Registros_ECF_Leiaute_3_AC2016_SIT_ESP_2017.xlsx!0010!L1C1:L8C8" TargetMode="External"/><Relationship Id="rId102" Type="http://schemas.openxmlformats.org/officeDocument/2006/relationships/image" Target="media/image45.emf"/><Relationship Id="rId144" Type="http://schemas.openxmlformats.org/officeDocument/2006/relationships/image" Target="media/image64.emf"/><Relationship Id="rId547" Type="http://schemas.openxmlformats.org/officeDocument/2006/relationships/oleObject" Target="file:///C:\Junior\Didig_2016\ECF\Registros_ECF_Leiaute_3_AC2016_SIT_ESP_2017.xlsx!U001!L1C1:L7C8" TargetMode="External"/><Relationship Id="rId589" Type="http://schemas.openxmlformats.org/officeDocument/2006/relationships/oleObject" Target="file:///C:\Junior\Didig_2016\ECF\Registros_ECF_Leiaute_3_AC2016_SIT_ESP_2017.xlsx!U180!L1C1:L9C8" TargetMode="External"/><Relationship Id="rId754" Type="http://schemas.openxmlformats.org/officeDocument/2006/relationships/oleObject" Target="file:///C:\Junior\Didig_2016\ECF\Registros_ECF_Leiaute_3_AC2016_SIT_ESP_2017.xlsx!X420!L8C1:L9C8" TargetMode="External"/><Relationship Id="rId796" Type="http://schemas.openxmlformats.org/officeDocument/2006/relationships/hyperlink" Target="file:///C:\Users\JJMORAESJR\AppData\Program%20Files%20(x86)\Programas_SPED\Contabil22\Ajuda\espRegrasNegocio.htm" TargetMode="External"/><Relationship Id="rId90" Type="http://schemas.openxmlformats.org/officeDocument/2006/relationships/image" Target="media/image39.emf"/><Relationship Id="rId186" Type="http://schemas.openxmlformats.org/officeDocument/2006/relationships/image" Target="media/image83.emf"/><Relationship Id="rId351" Type="http://schemas.openxmlformats.org/officeDocument/2006/relationships/hyperlink" Target="file:///C:\Users\JJMORAESJR\AppData\Program%20Files%20(x86)\Programas_SPED\Contabil22\Ajuda\espRegrasNegocio.htm" TargetMode="External"/><Relationship Id="rId393" Type="http://schemas.openxmlformats.org/officeDocument/2006/relationships/hyperlink" Target="file:///C:\Users\JJMORAESJR\AppData\Program%20Files%20(x86)\Programas_SPED\Contabil22\Ajuda\espRegrasNegocio.htm" TargetMode="External"/><Relationship Id="rId407" Type="http://schemas.openxmlformats.org/officeDocument/2006/relationships/hyperlink" Target="file:///C:\Users\JJMORAESJR\AppData\Program%20Files%20(x86)\Programas_SPED\Contabil22\Ajuda\espRegrasNegocio.htm" TargetMode="External"/><Relationship Id="rId449" Type="http://schemas.openxmlformats.org/officeDocument/2006/relationships/hyperlink" Target="file:///C:\Users\JJMORAESJR\AppData\Program%20Files%20(x86)\Programas_SPED\Contabil22\Ajuda\espRegrasNegocio.htm" TargetMode="External"/><Relationship Id="rId614" Type="http://schemas.openxmlformats.org/officeDocument/2006/relationships/oleObject" Target="file:///C:\Junior\Didig_2016\ECF\Registros_ECF_Leiaute_3_AC2016_SIT_ESP_2017.xlsx!W100!L18C1:L20C8" TargetMode="External"/><Relationship Id="rId656" Type="http://schemas.openxmlformats.org/officeDocument/2006/relationships/oleObject" Target="file:///C:\Junior\Didig_2016\ECF\Registros_ECF_Leiaute_3_AC2016_SIT_ESP_2017.xlsx!X280!L11C1:L11C8" TargetMode="External"/><Relationship Id="rId821" Type="http://schemas.openxmlformats.org/officeDocument/2006/relationships/oleObject" Target="file:///C:\Junior\Didig_2016\ECF\Tabelas_Dinamicas_ECF_Leiaute_3_AC2016_SIT_ESP_2017.xlsx!X500!L1:L1048576" TargetMode="External"/><Relationship Id="rId863" Type="http://schemas.openxmlformats.org/officeDocument/2006/relationships/oleObject" Target="file:///C:\Junior\Didig_2016\ECF\Registros_ECF_Leiaute_3_AC2016_SIT_ESP_2017.xlsx!Y612!L11C1:L12C8" TargetMode="External"/><Relationship Id="rId211" Type="http://schemas.openxmlformats.org/officeDocument/2006/relationships/oleObject" Target="file:///C:\Junior\Didig_2016\ECF\Registros_ECF_Leiaute_3_AC2016_SIT_ESP_2017.xlsx!K990!L1C1:L7C8" TargetMode="External"/><Relationship Id="rId253" Type="http://schemas.openxmlformats.org/officeDocument/2006/relationships/hyperlink" Target="file:///C:\Users\JJMORAESJR\AppData\Program%20Files%20(x86)\Programas_SPED\Contabil22\Ajuda\espRegrasNegocio.htm" TargetMode="External"/><Relationship Id="rId295" Type="http://schemas.openxmlformats.org/officeDocument/2006/relationships/image" Target="media/image119.emf"/><Relationship Id="rId309" Type="http://schemas.openxmlformats.org/officeDocument/2006/relationships/hyperlink" Target="file:///C:\Users\JJMORAESJR\AppData\Program%20Files%20(x86)\Programas_SPED\Contabil22\Ajuda\espRegrasNegocio.htm" TargetMode="External"/><Relationship Id="rId460" Type="http://schemas.openxmlformats.org/officeDocument/2006/relationships/image" Target="media/image175.emf"/><Relationship Id="rId516" Type="http://schemas.openxmlformats.org/officeDocument/2006/relationships/hyperlink" Target="file:///C:\Users\JJMORAESJR\AppData\Program%20Files%20(x86)\Programas_SPED\Contabil22\Ajuda\espRegrasNegocio.htm" TargetMode="External"/><Relationship Id="rId698" Type="http://schemas.openxmlformats.org/officeDocument/2006/relationships/oleObject" Target="file:///C:\Junior\Didig_2016\ECF\Registros_ECF_Leiaute_3_AC2016_SIT_ESP_2017.xlsx!X320!L17C1:L17C8" TargetMode="External"/><Relationship Id="rId919" Type="http://schemas.openxmlformats.org/officeDocument/2006/relationships/oleObject" Target="file:///C:\Junior\Didig_2016\ECF\Registros_ECF_Leiaute_3_AC2016_SIT_ESP_2017.xlsx!9999!L1C1:L7C8" TargetMode="External"/><Relationship Id="rId48" Type="http://schemas.openxmlformats.org/officeDocument/2006/relationships/oleObject" Target="file:///C:\Junior\Didig_2016\ECF\Registros_ECF_Leiaute_3_AC2016_SIT_ESP_2017.xlsx!Obrigatoriedade_Registros!L107C1:L110C6" TargetMode="External"/><Relationship Id="rId113" Type="http://schemas.openxmlformats.org/officeDocument/2006/relationships/oleObject" Target="file:///C:\Junior\Didig_2016\ECF\Registros_ECF_Leiaute_3_AC2016_SIT_ESP_2017.xlsx!0020!L35C1:L38C8" TargetMode="External"/><Relationship Id="rId320" Type="http://schemas.openxmlformats.org/officeDocument/2006/relationships/image" Target="media/image130.emf"/><Relationship Id="rId558" Type="http://schemas.openxmlformats.org/officeDocument/2006/relationships/image" Target="media/image203.emf"/><Relationship Id="rId723" Type="http://schemas.openxmlformats.org/officeDocument/2006/relationships/image" Target="media/image275.emf"/><Relationship Id="rId765" Type="http://schemas.openxmlformats.org/officeDocument/2006/relationships/image" Target="media/image293.emf"/><Relationship Id="rId155" Type="http://schemas.openxmlformats.org/officeDocument/2006/relationships/oleObject" Target="file:///C:\Junior\Didig_2016\ECF\Registros_ECF_Leiaute_3_AC2016_SIT_ESP_2017.xlsx!C990!L1C1:L7C8" TargetMode="External"/><Relationship Id="rId197" Type="http://schemas.openxmlformats.org/officeDocument/2006/relationships/image" Target="media/image88.emf"/><Relationship Id="rId362" Type="http://schemas.openxmlformats.org/officeDocument/2006/relationships/image" Target="media/image146.emf"/><Relationship Id="rId418" Type="http://schemas.openxmlformats.org/officeDocument/2006/relationships/hyperlink" Target="file:///C:\Users\JJMORAESJR\AppData\Program%20Files%20(x86)\Programas_SPED\Contabil22\Ajuda\espRegrasNegocio.htm" TargetMode="External"/><Relationship Id="rId625" Type="http://schemas.openxmlformats.org/officeDocument/2006/relationships/image" Target="media/image230.emf"/><Relationship Id="rId832" Type="http://schemas.openxmlformats.org/officeDocument/2006/relationships/oleObject" Target="file:///C:\Junior\Didig_2016\ECF\Registros_ECF_Leiaute_3_AC2016_SIT_ESP_2017.xlsx!Y001!L1C1:L7C8" TargetMode="External"/><Relationship Id="rId222" Type="http://schemas.openxmlformats.org/officeDocument/2006/relationships/hyperlink" Target="mk:@MSITStore:C:\ARQUIVOS%20DE%20PROGRAMAS%20RFB\DIPJ2014\DIPJ2014.chm::/INST_PREENCHIMENTO/Manual_DIPJ2014_5_16_00_CSLL.html" TargetMode="External"/><Relationship Id="rId264" Type="http://schemas.openxmlformats.org/officeDocument/2006/relationships/image" Target="media/image107.emf"/><Relationship Id="rId471" Type="http://schemas.openxmlformats.org/officeDocument/2006/relationships/hyperlink" Target="file:///C:\Users\JJMORAESJR\AppData\Program%20Files%20(x86)\Programas_SPED\Contabil22\Ajuda\espRegrasNegocio.htm" TargetMode="External"/><Relationship Id="rId667" Type="http://schemas.openxmlformats.org/officeDocument/2006/relationships/oleObject" Target="file:///C:\Junior\Didig_2016\ECF\Tabelas_Dinamicas_ECF_Leiaute_3_AC2016_SIT_ESP_2017.xlsx!X291!L1:L1048576" TargetMode="External"/><Relationship Id="rId874" Type="http://schemas.openxmlformats.org/officeDocument/2006/relationships/image" Target="media/image338.emf"/><Relationship Id="rId17" Type="http://schemas.openxmlformats.org/officeDocument/2006/relationships/image" Target="media/image5.emf"/><Relationship Id="rId59" Type="http://schemas.openxmlformats.org/officeDocument/2006/relationships/image" Target="media/image26.emf"/><Relationship Id="rId124" Type="http://schemas.openxmlformats.org/officeDocument/2006/relationships/oleObject" Target="file:///C:\Junior\Didig_2016\ECF\Registros_ECF_Leiaute_3_AC2016_SIT_ESP_2017.xlsx!0035!L1C1:L8C8" TargetMode="External"/><Relationship Id="rId527" Type="http://schemas.openxmlformats.org/officeDocument/2006/relationships/oleObject" Target="file:///C:\Junior\Didig_2016\ECF\Tabelas_Dinamicas_ECF_Leiaute_3_AC2016_SIT_ESP_2017.xlsx!T150!L1:L1048576" TargetMode="External"/><Relationship Id="rId569" Type="http://schemas.openxmlformats.org/officeDocument/2006/relationships/image" Target="media/image207.emf"/><Relationship Id="rId734" Type="http://schemas.openxmlformats.org/officeDocument/2006/relationships/oleObject" Target="file:///C:\Junior\Didig_2016\ECF\Registros_ECF_Leiaute_3_AC2016_SIT_ESP_2017.xlsx!X390!L1C1:L9C8" TargetMode="External"/><Relationship Id="rId776" Type="http://schemas.openxmlformats.org/officeDocument/2006/relationships/oleObject" Target="file:///C:\Junior\Didig_2016\ECF\Registros_ECF_Leiaute_3_AC2016_SIT_ESP_2017.xlsx!X450!L8C1:L8C8" TargetMode="External"/><Relationship Id="rId70" Type="http://schemas.openxmlformats.org/officeDocument/2006/relationships/oleObject" Target="file:///C:\Junior\Didig_2016\ECF\Registros_ECF_Leiaute_3_AC2016_SIT_ESP_2017.xlsx!0000!L1C1:L11C8" TargetMode="External"/><Relationship Id="rId166" Type="http://schemas.openxmlformats.org/officeDocument/2006/relationships/oleObject" Target="file:///C:\Junior\Didig_2016\ECF\Registros_ECF_Leiaute_3_AC2016_SIT_ESP_2017.xlsx!E030!L1C1:L8C8" TargetMode="External"/><Relationship Id="rId331" Type="http://schemas.openxmlformats.org/officeDocument/2006/relationships/oleObject" Target="file:///C:\Junior\Didig_2016\ECF\Registros_ECF_Leiaute_3_AC2016_SIT_ESP_2017.xlsx!M415!L1C1:L8C8" TargetMode="External"/><Relationship Id="rId373" Type="http://schemas.openxmlformats.org/officeDocument/2006/relationships/image" Target="media/image150.emf"/><Relationship Id="rId429" Type="http://schemas.openxmlformats.org/officeDocument/2006/relationships/hyperlink" Target="file:///C:\Users\JJMORAESJR\AppData\Program%20Files%20(x86)\Programas_SPED\Contabil22\Ajuda\espRegrasNegocio.htm" TargetMode="External"/><Relationship Id="rId580" Type="http://schemas.openxmlformats.org/officeDocument/2006/relationships/image" Target="media/image211.emf"/><Relationship Id="rId636" Type="http://schemas.openxmlformats.org/officeDocument/2006/relationships/image" Target="media/image235.emf"/><Relationship Id="rId801" Type="http://schemas.openxmlformats.org/officeDocument/2006/relationships/image" Target="media/image308.emf"/><Relationship Id="rId1" Type="http://schemas.openxmlformats.org/officeDocument/2006/relationships/customXml" Target="../customXml/item1.xml"/><Relationship Id="rId233" Type="http://schemas.openxmlformats.org/officeDocument/2006/relationships/hyperlink" Target="file:///C:\Users\JJMORAESJR\AppData\Program%20Files%20(x86)\Programas_SPED\Contabil22\Ajuda\espRegrasNegocio.htm" TargetMode="External"/><Relationship Id="rId440" Type="http://schemas.openxmlformats.org/officeDocument/2006/relationships/oleObject" Target="file:///C:\Junior\Didig_2016\ECF\Registros_ECF_Leiaute_3_AC2016_SIT_ESP_2017.xlsx!P130!L1C1:L9C8" TargetMode="External"/><Relationship Id="rId678" Type="http://schemas.openxmlformats.org/officeDocument/2006/relationships/oleObject" Target="file:///C:\Junior\Didig_2016\ECF\Registros_ECF_Leiaute_3_AC2016_SIT_ESP_2017.xlsx!X300!L11C1:L14C8" TargetMode="External"/><Relationship Id="rId843" Type="http://schemas.openxmlformats.org/officeDocument/2006/relationships/oleObject" Target="file:///C:\Junior\Didig_2016\ECF\Registros_ECF_Leiaute_3_AC2016_SIT_ESP_2017.xlsx!Y560!L1C1:L10C8" TargetMode="External"/><Relationship Id="rId885" Type="http://schemas.openxmlformats.org/officeDocument/2006/relationships/oleObject" Target="file:///C:\Junior\Didig_2016\ECF\Registros_ECF_Leiaute_3_AC2016_SIT_ESP_2017.xlsx!Y672!L1C1:L16C8" TargetMode="External"/><Relationship Id="rId28" Type="http://schemas.openxmlformats.org/officeDocument/2006/relationships/oleObject" Target="file:///C:\Junior\Didig_2016\ECF\Registros_ECF_Leiaute_3_AC2016_SIT_ESP_2017.xlsx!Obrigatoriedade_Registros!L38C1:L43C6" TargetMode="External"/><Relationship Id="rId275" Type="http://schemas.openxmlformats.org/officeDocument/2006/relationships/image" Target="media/image112.emf"/><Relationship Id="rId300" Type="http://schemas.openxmlformats.org/officeDocument/2006/relationships/oleObject" Target="file:///C:\Junior\Didig_2016\ECF\Registros_ECF_Leiaute_3_AC2016_SIT_ESP_2017.xlsx!M310!L1C1:L10C8" TargetMode="External"/><Relationship Id="rId482" Type="http://schemas.openxmlformats.org/officeDocument/2006/relationships/oleObject" Target="file:///C:\Junior\Didig_2016\ECF\Tabelas_Dinamicas_ECF_Leiaute_3_AC2016_SIT_ESP_2017.xlsx!P400!L1:L1048576" TargetMode="External"/><Relationship Id="rId538" Type="http://schemas.openxmlformats.org/officeDocument/2006/relationships/hyperlink" Target="file:///C:\Users\JJMORAESJR\AppData\Program%20Files%20(x86)\Programas_SPED\Contabil22\Ajuda\espRegrasNegocio.htm" TargetMode="External"/><Relationship Id="rId703" Type="http://schemas.openxmlformats.org/officeDocument/2006/relationships/image" Target="media/image265.emf"/><Relationship Id="rId745" Type="http://schemas.openxmlformats.org/officeDocument/2006/relationships/image" Target="media/image283.emf"/><Relationship Id="rId910" Type="http://schemas.openxmlformats.org/officeDocument/2006/relationships/oleObject" Target="file:///C:\Junior\Didig_2016\ECF\Registros_ECF_Leiaute_3_AC2016_SIT_ESP_2017.xlsx!9001!L1C1:L7C8" TargetMode="External"/><Relationship Id="rId81" Type="http://schemas.openxmlformats.org/officeDocument/2006/relationships/oleObject" Target="file:///C:\Junior\Didig_2016\ECF\Registros_ECF_Leiaute_3_AC2016_SIT_ESP_2017.xlsx!0010!L9C1:L10C8" TargetMode="External"/><Relationship Id="rId135" Type="http://schemas.openxmlformats.org/officeDocument/2006/relationships/oleObject" Target="file:///C:\Junior\Didig_2016\ECF\Registros_ECF_Leiaute_3_AC2016_SIT_ESP_2017.xlsx!C040!L1C1:L16C8" TargetMode="External"/><Relationship Id="rId177" Type="http://schemas.openxmlformats.org/officeDocument/2006/relationships/hyperlink" Target="file:///C:\Users\JJMORAESJR\AppData\Program%20Files%20(x86)\Programas_SPED\Contabil22\Ajuda\espRegrasNegocio.htm" TargetMode="External"/><Relationship Id="rId342" Type="http://schemas.openxmlformats.org/officeDocument/2006/relationships/oleObject" Target="file:///C:\Junior\Didig_2016\ECF\Registros_ECF_Leiaute_3_AC2016_SIT_ESP_2017.xlsx!N030!L1C1:L8C8" TargetMode="External"/><Relationship Id="rId384" Type="http://schemas.openxmlformats.org/officeDocument/2006/relationships/hyperlink" Target="file:///C:\Users\JJMORAESJR\AppData\Program%20Files%20(x86)\Programas_SPED\Contabil22\Ajuda\espRegrasNegocio.htm" TargetMode="External"/><Relationship Id="rId591" Type="http://schemas.openxmlformats.org/officeDocument/2006/relationships/hyperlink" Target="file:///C:\Users\JJMORAESJR\AppData\Program%20Files%20(x86)\Programas_SPED\Contabil22\Ajuda\espRegrasNegocio.htm" TargetMode="External"/><Relationship Id="rId605" Type="http://schemas.openxmlformats.org/officeDocument/2006/relationships/oleObject" Target="file:///C:\Junior\Didig_2016\ECF\Registros_ECF_Leiaute_3_AC2016_SIT_ESP_2017.xlsx!W001!L1C1:L7C8" TargetMode="External"/><Relationship Id="rId787" Type="http://schemas.openxmlformats.org/officeDocument/2006/relationships/image" Target="media/image304.emf"/><Relationship Id="rId812" Type="http://schemas.openxmlformats.org/officeDocument/2006/relationships/hyperlink" Target="file:///C:\Users\JJMORAESJR\AppData\Program%20Files%20(x86)\Programas_SPED\Contabil22\Ajuda\espRegrasNegocio.htm" TargetMode="External"/><Relationship Id="rId202" Type="http://schemas.openxmlformats.org/officeDocument/2006/relationships/image" Target="media/image89.emf"/><Relationship Id="rId244" Type="http://schemas.openxmlformats.org/officeDocument/2006/relationships/image" Target="media/image100.emf"/><Relationship Id="rId647" Type="http://schemas.openxmlformats.org/officeDocument/2006/relationships/image" Target="media/image240.emf"/><Relationship Id="rId689" Type="http://schemas.openxmlformats.org/officeDocument/2006/relationships/image" Target="media/image258.emf"/><Relationship Id="rId854" Type="http://schemas.openxmlformats.org/officeDocument/2006/relationships/image" Target="media/image328.emf"/><Relationship Id="rId896" Type="http://schemas.openxmlformats.org/officeDocument/2006/relationships/hyperlink" Target="file:///C:\Users\JJMORAESJR\AppData\Program%20Files%20(x86)\Programas_SPED\Contabil22\Ajuda\espRegrasNegocio.htm" TargetMode="External"/><Relationship Id="rId39" Type="http://schemas.openxmlformats.org/officeDocument/2006/relationships/image" Target="media/image16.emf"/><Relationship Id="rId286" Type="http://schemas.openxmlformats.org/officeDocument/2006/relationships/image" Target="media/image116.emf"/><Relationship Id="rId451" Type="http://schemas.openxmlformats.org/officeDocument/2006/relationships/image" Target="media/image172.emf"/><Relationship Id="rId493" Type="http://schemas.openxmlformats.org/officeDocument/2006/relationships/oleObject" Target="file:///C:\Junior\Didig_2016\ECF\Registros_ECF_Leiaute_3_AC2016_SIT_ESP_2017.xlsx!Q001!L1C1:L7C8" TargetMode="External"/><Relationship Id="rId507" Type="http://schemas.openxmlformats.org/officeDocument/2006/relationships/oleObject" Target="file:///C:\Junior\Didig_2016\ECF\Registros_ECF_Leiaute_3_AC2016_SIT_ESP_2017.xlsx!T001!L1C1:L7C8" TargetMode="External"/><Relationship Id="rId549" Type="http://schemas.openxmlformats.org/officeDocument/2006/relationships/image" Target="media/image200.emf"/><Relationship Id="rId714" Type="http://schemas.openxmlformats.org/officeDocument/2006/relationships/oleObject" Target="file:///C:\Junior\Didig_2016\ECF\Registros_ECF_Leiaute_3_AC2016_SIT_ESP_2017.xlsx!X350!L1C1:L12C8" TargetMode="External"/><Relationship Id="rId756" Type="http://schemas.openxmlformats.org/officeDocument/2006/relationships/oleObject" Target="file:///C:\Junior\Didig_2016\ECF\Registros_ECF_Leiaute_3_AC2016_SIT_ESP_2017.xlsx!X420!L10C1:L10C8" TargetMode="External"/><Relationship Id="rId921" Type="http://schemas.openxmlformats.org/officeDocument/2006/relationships/oleObject" Target="file:///C:\Junior\Didig_2016\ECF\Registros_ECF_Leiaute_3_AC2016_SIT_ESP_2017.xlsx!X320!L23C1:L23C8" TargetMode="External"/><Relationship Id="rId50" Type="http://schemas.openxmlformats.org/officeDocument/2006/relationships/oleObject" Target="file:///C:\Junior\Didig_2016\ECF\Registros_ECF_Leiaute_3_AC2016_SIT_ESP_2017.xlsx!Obrigatoriedade_Registros!L111C1:L119C6" TargetMode="External"/><Relationship Id="rId104" Type="http://schemas.openxmlformats.org/officeDocument/2006/relationships/image" Target="media/image46.emf"/><Relationship Id="rId146" Type="http://schemas.openxmlformats.org/officeDocument/2006/relationships/image" Target="media/image65.emf"/><Relationship Id="rId188" Type="http://schemas.openxmlformats.org/officeDocument/2006/relationships/image" Target="media/image84.emf"/><Relationship Id="rId311" Type="http://schemas.openxmlformats.org/officeDocument/2006/relationships/hyperlink" Target="file:///C:\Users\JJMORAESJR\AppData\Program%20Files%20(x86)\Programas_SPED\Contabil22\Ajuda\espRegrasNegocio.htm" TargetMode="External"/><Relationship Id="rId353" Type="http://schemas.openxmlformats.org/officeDocument/2006/relationships/image" Target="media/image143.emf"/><Relationship Id="rId395" Type="http://schemas.openxmlformats.org/officeDocument/2006/relationships/hyperlink" Target="file:///C:\Users\JJMORAESJR\AppData\Program%20Files%20(x86)\Programas_SPED\Contabil22\Ajuda\espRegrasNegocio.htm" TargetMode="External"/><Relationship Id="rId409" Type="http://schemas.openxmlformats.org/officeDocument/2006/relationships/hyperlink" Target="file:///C:\Users\JJMORAESJR\AppData\Program%20Files%20(x86)\Programas_SPED\Contabil22\Ajuda\espRegrasNegocio.htm" TargetMode="External"/><Relationship Id="rId560" Type="http://schemas.openxmlformats.org/officeDocument/2006/relationships/hyperlink" Target="file:///C:\Users\JJMORAESJR\AppData\Program%20Files%20(x86)\Programas_SPED\Contabil22\Ajuda\espRegrasNegocio.htm" TargetMode="External"/><Relationship Id="rId798" Type="http://schemas.openxmlformats.org/officeDocument/2006/relationships/hyperlink" Target="file:///C:\Users\JJMORAESJR\AppData\Program%20Files%20(x86)\Programas_SPED\Contabil22\Ajuda\espRegrasNegocio.htm" TargetMode="External"/><Relationship Id="rId92" Type="http://schemas.openxmlformats.org/officeDocument/2006/relationships/image" Target="media/image40.emf"/><Relationship Id="rId213" Type="http://schemas.openxmlformats.org/officeDocument/2006/relationships/hyperlink" Target="http://www.planalto.gov.br/ccivil_03/_Ato2004-2006/2004/Lei/L10.973.htm" TargetMode="External"/><Relationship Id="rId420" Type="http://schemas.openxmlformats.org/officeDocument/2006/relationships/oleObject" Target="file:///C:\Junior\Didig_2016\ECF\Registros_ECF_Leiaute_3_AC2016_SIT_ESP_2017.xlsx!P030!L1C1:L9C8" TargetMode="External"/><Relationship Id="rId616" Type="http://schemas.openxmlformats.org/officeDocument/2006/relationships/oleObject" Target="file:///C:\Junior\Didig_2016\ECF\Registros_ECF_Leiaute_3_AC2016_SIT_ESP_2017.xlsx!W200!L1C1:L7C8" TargetMode="External"/><Relationship Id="rId658" Type="http://schemas.openxmlformats.org/officeDocument/2006/relationships/oleObject" Target="file:///C:\Junior\Didig_2016\ECF\Registros_ECF_Leiaute_3_AC2016_SIT_ESP_2017.xlsx!X280!L12C1:L12C8" TargetMode="External"/><Relationship Id="rId823" Type="http://schemas.openxmlformats.org/officeDocument/2006/relationships/oleObject" Target="file:///C:\Junior\Didig_2016\ECF\Registros_ECF_Leiaute_3_AC2016_SIT_ESP_2017.xlsx!X510!L1C1:L9C8" TargetMode="External"/><Relationship Id="rId865" Type="http://schemas.openxmlformats.org/officeDocument/2006/relationships/oleObject" Target="file:///C:\Junior\Didig_2016\ECF\Registros_ECF_Leiaute_3_AC2016_SIT_ESP_2017.xlsx!Y620!L1C1:L16C8" TargetMode="External"/><Relationship Id="rId255" Type="http://schemas.openxmlformats.org/officeDocument/2006/relationships/image" Target="media/image104.emf"/><Relationship Id="rId297" Type="http://schemas.openxmlformats.org/officeDocument/2006/relationships/image" Target="media/image120.emf"/><Relationship Id="rId462" Type="http://schemas.openxmlformats.org/officeDocument/2006/relationships/image" Target="media/image176.emf"/><Relationship Id="rId518" Type="http://schemas.openxmlformats.org/officeDocument/2006/relationships/hyperlink" Target="file:///C:\Users\JJMORAESJR\AppData\Program%20Files%20(x86)\Programas_SPED\Contabil22\Ajuda\espRegrasNegocio.htm" TargetMode="External"/><Relationship Id="rId725" Type="http://schemas.openxmlformats.org/officeDocument/2006/relationships/image" Target="media/image276.emf"/><Relationship Id="rId115" Type="http://schemas.openxmlformats.org/officeDocument/2006/relationships/oleObject" Target="file:///C:\Junior\Didig_2016\ECF\Registros_ECF_Leiaute_3_AC2016_SIT_ESP_2017.xlsx!0021!L1C1:L12C8" TargetMode="External"/><Relationship Id="rId157" Type="http://schemas.openxmlformats.org/officeDocument/2006/relationships/oleObject" Target="file:///C:\Junior\Didig_2016\ECF\Registros_ECF_Leiaute_3_AC2016_SIT_ESP_2017.xlsx!E001!L1C1:L7C8" TargetMode="External"/><Relationship Id="rId322" Type="http://schemas.openxmlformats.org/officeDocument/2006/relationships/image" Target="media/image131.emf"/><Relationship Id="rId364" Type="http://schemas.openxmlformats.org/officeDocument/2006/relationships/hyperlink" Target="file:///C:\Users\JJMORAESJR\AppData\Program%20Files%20(x86)\Programas_SPED\Contabil22\Ajuda\espRegrasNegocio.htm" TargetMode="External"/><Relationship Id="rId767" Type="http://schemas.openxmlformats.org/officeDocument/2006/relationships/image" Target="media/image294.emf"/><Relationship Id="rId61" Type="http://schemas.openxmlformats.org/officeDocument/2006/relationships/image" Target="media/image27.emf"/><Relationship Id="rId199" Type="http://schemas.openxmlformats.org/officeDocument/2006/relationships/hyperlink" Target="file:///C:\Users\JJMORAESJR\AppData\Program%20Files%20(x86)\Programas_SPED\Contabil22\Ajuda\espRegrasNegocio.htm" TargetMode="External"/><Relationship Id="rId571" Type="http://schemas.openxmlformats.org/officeDocument/2006/relationships/image" Target="media/image208.emf"/><Relationship Id="rId627" Type="http://schemas.openxmlformats.org/officeDocument/2006/relationships/image" Target="media/image231.emf"/><Relationship Id="rId669" Type="http://schemas.openxmlformats.org/officeDocument/2006/relationships/oleObject" Target="file:///C:\Junior\Didig_2016\ECF\Registros_ECF_Leiaute_3_AC2016_SIT_ESP_2017.xlsx!X292!L1C1:L9C8" TargetMode="External"/><Relationship Id="rId834" Type="http://schemas.openxmlformats.org/officeDocument/2006/relationships/image" Target="media/image318.emf"/><Relationship Id="rId876" Type="http://schemas.openxmlformats.org/officeDocument/2006/relationships/image" Target="media/image339.emf"/><Relationship Id="rId19" Type="http://schemas.openxmlformats.org/officeDocument/2006/relationships/image" Target="media/image6.emf"/><Relationship Id="rId224" Type="http://schemas.openxmlformats.org/officeDocument/2006/relationships/hyperlink" Target="mk:@MSITStore:C:\ARQUIVOS%20DE%20PROGRAMAS%20RFB\DIPJ2014\DIPJ2014.chm::/INST_PREENCHIMENTO/Manual_DIPJ2014_5_16_00_CSLL.html" TargetMode="External"/><Relationship Id="rId266" Type="http://schemas.openxmlformats.org/officeDocument/2006/relationships/image" Target="media/image108.emf"/><Relationship Id="rId431" Type="http://schemas.openxmlformats.org/officeDocument/2006/relationships/image" Target="media/image167.emf"/><Relationship Id="rId473" Type="http://schemas.openxmlformats.org/officeDocument/2006/relationships/hyperlink" Target="file:///C:\Users\JJMORAESJR\AppData\Program%20Files%20(x86)\Programas_SPED\Contabil22\Ajuda\espRegrasNegocio.htm" TargetMode="External"/><Relationship Id="rId529" Type="http://schemas.openxmlformats.org/officeDocument/2006/relationships/oleObject" Target="file:///C:\Junior\Didig_2016\ECF\Registros_ECF_Leiaute_3_AC2016_SIT_ESP_2017.xlsx!T170!L1C1:L9C8" TargetMode="External"/><Relationship Id="rId680" Type="http://schemas.openxmlformats.org/officeDocument/2006/relationships/oleObject" Target="file:///C:\Junior\Didig_2016\ECF\Registros_ECF_Leiaute_3_AC2016_SIT_ESP_2017.xlsx!X300!L15C1:L17C8" TargetMode="External"/><Relationship Id="rId736" Type="http://schemas.openxmlformats.org/officeDocument/2006/relationships/hyperlink" Target="file:///C:\Users\JJMORAESJR\AppData\Program%20Files%20(x86)\Programas_SPED\Contabil22\Ajuda\espRegrasNegocio.htm" TargetMode="External"/><Relationship Id="rId901" Type="http://schemas.openxmlformats.org/officeDocument/2006/relationships/image" Target="media/image350.emf"/><Relationship Id="rId30" Type="http://schemas.openxmlformats.org/officeDocument/2006/relationships/oleObject" Target="file:///C:\Junior\Didig_2016\ECF\Registros_ECF_Leiaute_3_AC2016_SIT_ESP_2017.xlsx!Obrigatoriedade_Registros!L44C1:L49C6" TargetMode="External"/><Relationship Id="rId126" Type="http://schemas.openxmlformats.org/officeDocument/2006/relationships/oleObject" Target="file:///C:\Junior\Didig_2016\ECF\Registros_ECF_Leiaute_3_AC2016_SIT_ESP_2017.xlsx!0930!L1C1:L12C8" TargetMode="External"/><Relationship Id="rId168" Type="http://schemas.openxmlformats.org/officeDocument/2006/relationships/oleObject" Target="file:///C:\Junior\Didig_2016\ECF\Registros_ECF_Leiaute_3_AC2016_SIT_ESP_2017.xlsx!E030!L9C1:L9C8" TargetMode="External"/><Relationship Id="rId333" Type="http://schemas.openxmlformats.org/officeDocument/2006/relationships/oleObject" Target="file:///C:\Junior\Didig_2016\ECF\Registros_ECF_Leiaute_3_AC2016_SIT_ESP_2017.xlsx!M500!L1C1:L12C8" TargetMode="External"/><Relationship Id="rId540" Type="http://schemas.openxmlformats.org/officeDocument/2006/relationships/image" Target="media/image197.emf"/><Relationship Id="rId778" Type="http://schemas.openxmlformats.org/officeDocument/2006/relationships/oleObject" Target="file:///C:\Junior\Didig_2016\ECF\Registros_ECF_Leiaute_3_AC2016_SIT_ESP_2017.xlsx!X450!L9C1:L9C8" TargetMode="External"/><Relationship Id="rId72" Type="http://schemas.openxmlformats.org/officeDocument/2006/relationships/oleObject" Target="file:///C:\Junior\Didig_2016\ECF\Registros_ECF_Leiaute_3_AC2016_SIT_ESP_2017.xlsx!0000!L12C1:L16C8" TargetMode="External"/><Relationship Id="rId375" Type="http://schemas.openxmlformats.org/officeDocument/2006/relationships/hyperlink" Target="file:///C:\Users\JJMORAESJR\AppData\Program%20Files%20(x86)\Programas_SPED\Contabil22\Ajuda\espRegrasNegocio.htm" TargetMode="External"/><Relationship Id="rId582" Type="http://schemas.openxmlformats.org/officeDocument/2006/relationships/image" Target="media/image212.emf"/><Relationship Id="rId638" Type="http://schemas.openxmlformats.org/officeDocument/2006/relationships/image" Target="media/image236.emf"/><Relationship Id="rId803" Type="http://schemas.openxmlformats.org/officeDocument/2006/relationships/hyperlink" Target="file:///C:\Users\JJMORAESJR\AppData\Program%20Files%20(x86)\Programas_SPED\Contabil22\Ajuda\espRegrasNegocio.htm" TargetMode="External"/><Relationship Id="rId845" Type="http://schemas.openxmlformats.org/officeDocument/2006/relationships/oleObject" Target="file:///C:\Junior\Didig_2016\ECF\Registros_ECF_Leiaute_3_AC2016_SIT_ESP_2017.xlsx!Y570!L1C1:L11C8" TargetMode="External"/><Relationship Id="rId3" Type="http://schemas.openxmlformats.org/officeDocument/2006/relationships/styles" Target="styles.xml"/><Relationship Id="rId235" Type="http://schemas.openxmlformats.org/officeDocument/2006/relationships/image" Target="media/image97.emf"/><Relationship Id="rId277" Type="http://schemas.openxmlformats.org/officeDocument/2006/relationships/image" Target="media/image113.emf"/><Relationship Id="rId400" Type="http://schemas.openxmlformats.org/officeDocument/2006/relationships/hyperlink" Target="file:///C:\Users\JJMORAESJR\AppData\Program%20Files%20(x86)\Programas_SPED\Contabil22\Ajuda\espRegrasNegocio.htm" TargetMode="External"/><Relationship Id="rId442" Type="http://schemas.openxmlformats.org/officeDocument/2006/relationships/hyperlink" Target="file:///C:\Users\JJMORAESJR\AppData\Program%20Files%20(x86)\Programas_SPED\Contabil22\Ajuda\espRegrasNegocio.htm" TargetMode="External"/><Relationship Id="rId484" Type="http://schemas.openxmlformats.org/officeDocument/2006/relationships/oleObject" Target="file:///C:\Junior\Didig_2016\ECF\Registros_ECF_Leiaute_3_AC2016_SIT_ESP_2017.xlsx!P500!L1C1:L9C8" TargetMode="External"/><Relationship Id="rId705" Type="http://schemas.openxmlformats.org/officeDocument/2006/relationships/image" Target="media/image266.emf"/><Relationship Id="rId887" Type="http://schemas.openxmlformats.org/officeDocument/2006/relationships/oleObject" Target="file:///C:\Junior\Didig_2016\ECF\Registros_ECF_Leiaute_3_AC2016_SIT_ESP_2017.xlsx!Y672!L17C1:L21C8" TargetMode="External"/><Relationship Id="rId137" Type="http://schemas.openxmlformats.org/officeDocument/2006/relationships/oleObject" Target="file:///C:\Junior\Didig_2016\ECF\Registros_ECF_Leiaute_3_AC2016_SIT_ESP_2017.xlsx!C050!L1C1:L13C8" TargetMode="External"/><Relationship Id="rId302" Type="http://schemas.openxmlformats.org/officeDocument/2006/relationships/oleObject" Target="file:///C:\Junior\Didig_2016\ECF\Registros_ECF_Leiaute_3_AC2016_SIT_ESP_2017.xlsx!M312!L1C1:L7C8" TargetMode="External"/><Relationship Id="rId344" Type="http://schemas.openxmlformats.org/officeDocument/2006/relationships/oleObject" Target="file:///C:\Junior\Didig_2016\ECF\Registros_ECF_Leiaute_3_AC2016_SIT_ESP_2017.xlsx!N030!L9C1:L9C8" TargetMode="External"/><Relationship Id="rId691" Type="http://schemas.openxmlformats.org/officeDocument/2006/relationships/image" Target="media/image259.emf"/><Relationship Id="rId747" Type="http://schemas.openxmlformats.org/officeDocument/2006/relationships/image" Target="media/image284.emf"/><Relationship Id="rId789" Type="http://schemas.openxmlformats.org/officeDocument/2006/relationships/hyperlink" Target="file:///C:\Users\JJMORAESJR\AppData\Program%20Files%20(x86)\Programas_SPED\Contabil22\Ajuda\espRegrasNegocio.htm" TargetMode="External"/><Relationship Id="rId912" Type="http://schemas.openxmlformats.org/officeDocument/2006/relationships/image" Target="media/image355.emf"/><Relationship Id="rId41" Type="http://schemas.openxmlformats.org/officeDocument/2006/relationships/image" Target="media/image17.emf"/><Relationship Id="rId83" Type="http://schemas.openxmlformats.org/officeDocument/2006/relationships/oleObject" Target="file:///C:\Junior\Didig_2016\ECF\Registros_ECF_Leiaute_3_AC2016_SIT_ESP_2017.xlsx!0010!L11C1:L13C8" TargetMode="External"/><Relationship Id="rId179" Type="http://schemas.openxmlformats.org/officeDocument/2006/relationships/oleObject" Target="file:///C:\Junior\Didig_2016\ECF\Registros_ECF_Leiaute_3_AC2016_SIT_ESP_2017.xlsx!J050!L1C1:L13C8" TargetMode="External"/><Relationship Id="rId386" Type="http://schemas.openxmlformats.org/officeDocument/2006/relationships/oleObject" Target="file:///C:\Junior\Didig_2016\ECF\Tabelas_Dinamicas_ECF_Leiaute_3_AC2016_SIT_ESP_2017.xlsx!N630A!L1:L1048576" TargetMode="External"/><Relationship Id="rId551" Type="http://schemas.openxmlformats.org/officeDocument/2006/relationships/image" Target="media/image201.emf"/><Relationship Id="rId593" Type="http://schemas.openxmlformats.org/officeDocument/2006/relationships/image" Target="media/image216.emf"/><Relationship Id="rId607" Type="http://schemas.openxmlformats.org/officeDocument/2006/relationships/image" Target="media/image221.emf"/><Relationship Id="rId649" Type="http://schemas.openxmlformats.org/officeDocument/2006/relationships/image" Target="media/image241.emf"/><Relationship Id="rId814" Type="http://schemas.openxmlformats.org/officeDocument/2006/relationships/oleObject" Target="file:///C:\Junior\Didig_2016\ECF\Tabelas_Dinamicas_ECF_Leiaute_3_AC2016_SIT_ESP_2017.xlsx!X490!L1:L1048576" TargetMode="External"/><Relationship Id="rId856" Type="http://schemas.openxmlformats.org/officeDocument/2006/relationships/image" Target="media/image329.emf"/><Relationship Id="rId190" Type="http://schemas.openxmlformats.org/officeDocument/2006/relationships/image" Target="media/image85.emf"/><Relationship Id="rId204" Type="http://schemas.openxmlformats.org/officeDocument/2006/relationships/image" Target="media/image90.emf"/><Relationship Id="rId246" Type="http://schemas.openxmlformats.org/officeDocument/2006/relationships/image" Target="media/image101.emf"/><Relationship Id="rId288" Type="http://schemas.openxmlformats.org/officeDocument/2006/relationships/hyperlink" Target="file:///C:\Users\JJMORAESJR\AppData\Program%20Files%20(x86)\Programas_SPED\Contabil22\Ajuda\espRegrasNegocio.htm" TargetMode="External"/><Relationship Id="rId411" Type="http://schemas.openxmlformats.org/officeDocument/2006/relationships/oleObject" Target="file:///C:\Junior\Didig_2016\ECF\Tabelas_Dinamicas_ECF_Leiaute_3_AC2016_SIT_ESP_2017.xlsx!N670!L1:L1048576" TargetMode="External"/><Relationship Id="rId453" Type="http://schemas.openxmlformats.org/officeDocument/2006/relationships/image" Target="media/image173.emf"/><Relationship Id="rId509" Type="http://schemas.openxmlformats.org/officeDocument/2006/relationships/image" Target="media/image189.emf"/><Relationship Id="rId660" Type="http://schemas.openxmlformats.org/officeDocument/2006/relationships/oleObject" Target="file:///C:\Junior\Didig_2016\ECF\Registros_ECF_Leiaute_3_AC2016_SIT_ESP_2017.xlsx!X280!L13C1:L16C8" TargetMode="External"/><Relationship Id="rId898" Type="http://schemas.openxmlformats.org/officeDocument/2006/relationships/oleObject" Target="file:///C:\Junior\Didig_2016\ECF\Tabelas_Dinamicas_ECF_Leiaute_3_AC2016_SIT_ESP_2017.xlsx!Y681!L1:L1048576" TargetMode="External"/><Relationship Id="rId106" Type="http://schemas.openxmlformats.org/officeDocument/2006/relationships/image" Target="media/image47.emf"/><Relationship Id="rId313" Type="http://schemas.openxmlformats.org/officeDocument/2006/relationships/oleObject" Target="file:///C:\Junior\Didig_2016\ECF\Tabelas_Dinamicas_ECF_Leiaute_3_AC2016_SIT_ESP_2017.xlsx!M350A!L1:L1048576" TargetMode="External"/><Relationship Id="rId495" Type="http://schemas.openxmlformats.org/officeDocument/2006/relationships/image" Target="media/image186.emf"/><Relationship Id="rId716" Type="http://schemas.openxmlformats.org/officeDocument/2006/relationships/oleObject" Target="file:///C:\Junior\Didig_2016\ECF\Registros_ECF_Leiaute_3_AC2016_SIT_ESP_2017.xlsx!X350!L13C1:L20C8" TargetMode="External"/><Relationship Id="rId758" Type="http://schemas.openxmlformats.org/officeDocument/2006/relationships/oleObject" Target="file:///C:\Junior\Didig_2016\ECF\Registros_ECF_Leiaute_3_AC2016_SIT_ESP_2017.xlsx!X420!L11C1:L12C8" TargetMode="External"/><Relationship Id="rId923" Type="http://schemas.openxmlformats.org/officeDocument/2006/relationships/oleObject" Target="file:///C:\Junior\Didig_2016\ECF\Registros_ECF_Leiaute_3_AC2016_SIT_ESP_2017.xlsx!X340!L15C1:L15C8" TargetMode="External"/><Relationship Id="rId10" Type="http://schemas.openxmlformats.org/officeDocument/2006/relationships/oleObject" Target="embeddings/oleObject2.bin"/><Relationship Id="rId52" Type="http://schemas.openxmlformats.org/officeDocument/2006/relationships/oleObject" Target="file:///C:\Junior\Didig_2016\ECF\Registros_ECF_Leiaute_3_AC2016_SIT_ESP_2017.xlsx!Obrigatoriedade_Registros!L120C1:L126C6" TargetMode="External"/><Relationship Id="rId94" Type="http://schemas.openxmlformats.org/officeDocument/2006/relationships/image" Target="media/image41.emf"/><Relationship Id="rId148" Type="http://schemas.openxmlformats.org/officeDocument/2006/relationships/image" Target="media/image66.emf"/><Relationship Id="rId355" Type="http://schemas.openxmlformats.org/officeDocument/2006/relationships/image" Target="media/image144.emf"/><Relationship Id="rId397" Type="http://schemas.openxmlformats.org/officeDocument/2006/relationships/oleObject" Target="file:///C:\Junior\Didig_2016\ECF\Tabelas_Dinamicas_ECF_Leiaute_3_AC2016_SIT_ESP_2017.xlsx!N650!L1:L1048576" TargetMode="External"/><Relationship Id="rId520" Type="http://schemas.openxmlformats.org/officeDocument/2006/relationships/oleObject" Target="file:///C:\Junior\Didig_2016\ECF\Tabelas_Dinamicas_ECF_Leiaute_3_AC2016_SIT_ESP_2017.xlsx!T120!L1:L1048576" TargetMode="External"/><Relationship Id="rId562" Type="http://schemas.openxmlformats.org/officeDocument/2006/relationships/hyperlink" Target="file:///C:\Users\JJMORAESJR\AppData\Program%20Files%20(x86)\Programas_SPED\Contabil22\Ajuda\espRegrasNegocio.htm" TargetMode="External"/><Relationship Id="rId618" Type="http://schemas.openxmlformats.org/officeDocument/2006/relationships/oleObject" Target="file:///C:\Junior\Didig_2016\ECF\Registros_ECF_Leiaute_3_AC2016_SIT_ESP_2017.xlsx!W200!L8C1:L13C8" TargetMode="External"/><Relationship Id="rId825" Type="http://schemas.openxmlformats.org/officeDocument/2006/relationships/hyperlink" Target="file:///C:\Users\JJMORAESJR\AppData\Program%20Files%20(x86)\Programas_SPED\Contabil22\Ajuda\espRegrasNegocio.htm" TargetMode="External"/><Relationship Id="rId215" Type="http://schemas.openxmlformats.org/officeDocument/2006/relationships/hyperlink" Target="mk:@MSITStore:C:\ARQUIVOS%20DE%20PROGRAMAS%20RFB\DIPJ2014\DIPJ2014.chm::/INST_PREENCHIMENTO/Manual_DIPJ2014_5_15_0_IRPJ.html" TargetMode="External"/><Relationship Id="rId257" Type="http://schemas.openxmlformats.org/officeDocument/2006/relationships/image" Target="media/image105.emf"/><Relationship Id="rId422" Type="http://schemas.openxmlformats.org/officeDocument/2006/relationships/hyperlink" Target="file:///C:\Users\JJMORAESJR\AppData\Program%20Files%20(x86)\Programas_SPED\Contabil22\Ajuda\espRegrasNegocio.htm" TargetMode="External"/><Relationship Id="rId464" Type="http://schemas.openxmlformats.org/officeDocument/2006/relationships/hyperlink" Target="file:///C:\Users\JJMORAESJR\AppData\Program%20Files%20(x86)\Programas_SPED\Contabil22\Ajuda\espRegrasNegocio.htm" TargetMode="External"/><Relationship Id="rId867" Type="http://schemas.openxmlformats.org/officeDocument/2006/relationships/oleObject" Target="file:///C:\Junior\Didig_2016\ECF\Registros_ECF_Leiaute_3_AC2016_SIT_ESP_2017.xlsx!Y620!L17C1:L22C8" TargetMode="External"/><Relationship Id="rId299" Type="http://schemas.openxmlformats.org/officeDocument/2006/relationships/image" Target="media/image121.emf"/><Relationship Id="rId727" Type="http://schemas.openxmlformats.org/officeDocument/2006/relationships/image" Target="media/image277.emf"/><Relationship Id="rId63" Type="http://schemas.openxmlformats.org/officeDocument/2006/relationships/image" Target="media/image28.emf"/><Relationship Id="rId159" Type="http://schemas.openxmlformats.org/officeDocument/2006/relationships/image" Target="media/image71.emf"/><Relationship Id="rId366" Type="http://schemas.openxmlformats.org/officeDocument/2006/relationships/hyperlink" Target="file:///C:\Users\JJMORAESJR\AppData\Program%20Files%20(x86)\Programas_SPED\Contabil22\Ajuda\espRegrasNegocio.htm" TargetMode="External"/><Relationship Id="rId573" Type="http://schemas.openxmlformats.org/officeDocument/2006/relationships/image" Target="media/image209.emf"/><Relationship Id="rId780" Type="http://schemas.openxmlformats.org/officeDocument/2006/relationships/oleObject" Target="file:///C:\Junior\Didig_2016\ECF\Registros_ECF_Leiaute_3_AC2016_SIT_ESP_2017.xlsx!X450!L10C1:L10C8" TargetMode="External"/><Relationship Id="rId226" Type="http://schemas.openxmlformats.org/officeDocument/2006/relationships/oleObject" Target="file:///C:\Junior\Didig_2016\ECF\Registros_ECF_Leiaute_3_AC2016_SIT_ESP_2017.xlsx!L001!L1C1:L7C8" TargetMode="External"/><Relationship Id="rId433" Type="http://schemas.openxmlformats.org/officeDocument/2006/relationships/image" Target="media/image168.emf"/><Relationship Id="rId878" Type="http://schemas.openxmlformats.org/officeDocument/2006/relationships/image" Target="media/image340.emf"/><Relationship Id="rId640" Type="http://schemas.openxmlformats.org/officeDocument/2006/relationships/image" Target="media/image237.emf"/><Relationship Id="rId738" Type="http://schemas.openxmlformats.org/officeDocument/2006/relationships/image" Target="media/image281.emf"/><Relationship Id="rId74" Type="http://schemas.openxmlformats.org/officeDocument/2006/relationships/oleObject" Target="file:///C:\Junior\Didig_2016\ECF\Registros_ECF_Leiaute_3_AC2016_SIT_ESP_2017.xlsx!0000!L17C1:L20C8" TargetMode="External"/><Relationship Id="rId377" Type="http://schemas.openxmlformats.org/officeDocument/2006/relationships/hyperlink" Target="file:///C:\Users\JJMORAESJR\AppData\Program%20Files%20(x86)\Programas_SPED\Contabil22\Ajuda\espRegrasNegocio.htm" TargetMode="External"/><Relationship Id="rId500" Type="http://schemas.openxmlformats.org/officeDocument/2006/relationships/hyperlink" Target="mk:@MSITStore:C:\ARQUIVOS%20DE%20PROGRAMAS%20RFB\DIPJ2014\DIPJ2014.chm::/INST_PREENCHIMENTO/Manual_DIPJ2014_5_15_03_lucro_arbit.html" TargetMode="External"/><Relationship Id="rId584" Type="http://schemas.openxmlformats.org/officeDocument/2006/relationships/image" Target="media/image213.emf"/><Relationship Id="rId805" Type="http://schemas.openxmlformats.org/officeDocument/2006/relationships/hyperlink" Target="file:///C:\Users\JJMORAESJR\AppData\Program%20Files%20(x86)\Programas_SPED\Contabil22\Ajuda\espRegrasNegocio.htm" TargetMode="External"/><Relationship Id="rId5" Type="http://schemas.openxmlformats.org/officeDocument/2006/relationships/webSettings" Target="webSettings.xml"/><Relationship Id="rId237" Type="http://schemas.openxmlformats.org/officeDocument/2006/relationships/image" Target="media/image98.emf"/><Relationship Id="rId791" Type="http://schemas.openxmlformats.org/officeDocument/2006/relationships/hyperlink" Target="file:///C:\Users\JJMORAESJR\AppData\Program%20Files%20(x86)\Programas_SPED\Contabil22\Ajuda\espRegrasNegocio.htm" TargetMode="External"/><Relationship Id="rId889" Type="http://schemas.openxmlformats.org/officeDocument/2006/relationships/oleObject" Target="file:///C:\Junior\Didig_2016\ECF\Registros_ECF_Leiaute_3_AC2016_SIT_ESP_2017.xlsx!Y672!L22C1:L25C8" TargetMode="External"/><Relationship Id="rId444" Type="http://schemas.openxmlformats.org/officeDocument/2006/relationships/image" Target="media/image170.emf"/><Relationship Id="rId651" Type="http://schemas.openxmlformats.org/officeDocument/2006/relationships/image" Target="media/image242.emf"/><Relationship Id="rId749" Type="http://schemas.openxmlformats.org/officeDocument/2006/relationships/image" Target="media/image285.emf"/><Relationship Id="rId290" Type="http://schemas.openxmlformats.org/officeDocument/2006/relationships/hyperlink" Target="file:///C:\Users\JJMORAESJR\AppData\Program%20Files%20(x86)\Programas_SPED\Contabil22\Ajuda\espRegrasNegocio.htm" TargetMode="External"/><Relationship Id="rId304" Type="http://schemas.openxmlformats.org/officeDocument/2006/relationships/oleObject" Target="file:///C:\Junior\Didig_2016\ECF\Registros_ECF_Leiaute_3_AC2016_SIT_ESP_2017.xlsx!M315!L1C1:L8C8" TargetMode="External"/><Relationship Id="rId388" Type="http://schemas.openxmlformats.org/officeDocument/2006/relationships/oleObject" Target="file:///C:\Junior\Didig_2016\ECF\Tabelas_Dinamicas_ECF_Leiaute_3_AC2016_SIT_ESP_2017.xlsx!N630B!L1:L1048576" TargetMode="External"/><Relationship Id="rId511" Type="http://schemas.openxmlformats.org/officeDocument/2006/relationships/hyperlink" Target="file:///C:\Users\JJMORAESJR\AppData\Program%20Files%20(x86)\Programas_SPED\Contabil22\Ajuda\espRegrasNegocio.htm" TargetMode="External"/><Relationship Id="rId609" Type="http://schemas.openxmlformats.org/officeDocument/2006/relationships/image" Target="media/image222.emf"/><Relationship Id="rId85" Type="http://schemas.openxmlformats.org/officeDocument/2006/relationships/oleObject" Target="file:///C:\Junior\Didig_2016\ECF\Registros_ECF_Leiaute_3_AC2016_SIT_ESP_2017.xlsx!0010!L14C1:L15C8" TargetMode="External"/><Relationship Id="rId150" Type="http://schemas.openxmlformats.org/officeDocument/2006/relationships/image" Target="media/image67.emf"/><Relationship Id="rId595" Type="http://schemas.openxmlformats.org/officeDocument/2006/relationships/image" Target="media/image217.emf"/><Relationship Id="rId816" Type="http://schemas.openxmlformats.org/officeDocument/2006/relationships/oleObject" Target="file:///C:\Junior\Didig_2016\ECF\Registros_ECF_Leiaute_3_AC2016_SIT_ESP_2017.xlsx!X500!L1C1:L9C8" TargetMode="External"/><Relationship Id="rId248" Type="http://schemas.openxmlformats.org/officeDocument/2006/relationships/image" Target="media/image102.emf"/><Relationship Id="rId455" Type="http://schemas.openxmlformats.org/officeDocument/2006/relationships/image" Target="media/image174.emf"/><Relationship Id="rId662" Type="http://schemas.openxmlformats.org/officeDocument/2006/relationships/oleObject" Target="file:///C:\Junior\Didig_2016\ECF\Registros_ECF_Leiaute_3_AC2016_SIT_ESP_2017.xlsx!X291!L1C1:L9C8" TargetMode="External"/><Relationship Id="rId12" Type="http://schemas.openxmlformats.org/officeDocument/2006/relationships/image" Target="media/image2.png"/><Relationship Id="rId108" Type="http://schemas.openxmlformats.org/officeDocument/2006/relationships/image" Target="media/image48.emf"/><Relationship Id="rId315" Type="http://schemas.openxmlformats.org/officeDocument/2006/relationships/oleObject" Target="file:///C:\Junior\Didig_2016\ECF\Tabelas_Dinamicas_ECF_Leiaute_3_AC2016_SIT_ESP_2017.xlsx!M350B!L1:L1048576" TargetMode="External"/><Relationship Id="rId522" Type="http://schemas.openxmlformats.org/officeDocument/2006/relationships/oleObject" Target="file:///C:\Junior\Didig_2016\ECF\Registros_ECF_Leiaute_3_AC2016_SIT_ESP_2017.xlsx!T150!L1C1:L9C8" TargetMode="External"/><Relationship Id="rId96" Type="http://schemas.openxmlformats.org/officeDocument/2006/relationships/image" Target="media/image42.emf"/><Relationship Id="rId161" Type="http://schemas.openxmlformats.org/officeDocument/2006/relationships/image" Target="media/image72.emf"/><Relationship Id="rId399" Type="http://schemas.openxmlformats.org/officeDocument/2006/relationships/oleObject" Target="file:///C:\Junior\Didig_2016\ECF\Registros_ECF_Leiaute_3_AC2016_SIT_ESP_2017.xlsx!N660!L1C1:L9C8" TargetMode="External"/><Relationship Id="rId827" Type="http://schemas.openxmlformats.org/officeDocument/2006/relationships/image" Target="media/image315.emf"/><Relationship Id="rId259" Type="http://schemas.openxmlformats.org/officeDocument/2006/relationships/hyperlink" Target="file:///C:\Users\JJMORAESJR\AppData\Program%20Files%20(x86)\Programas_SPED\Contabil22\Ajuda\espRegrasNegocio.htm" TargetMode="External"/><Relationship Id="rId466" Type="http://schemas.openxmlformats.org/officeDocument/2006/relationships/hyperlink" Target="file:///C:\Users\JJMORAESJR\AppData\Program%20Files%20(x86)\Programas_SPED\Contabil22\Ajuda\espRegrasNegocio.htm" TargetMode="External"/><Relationship Id="rId673" Type="http://schemas.openxmlformats.org/officeDocument/2006/relationships/image" Target="media/image250.emf"/><Relationship Id="rId880" Type="http://schemas.openxmlformats.org/officeDocument/2006/relationships/image" Target="media/image341.emf"/><Relationship Id="rId23" Type="http://schemas.openxmlformats.org/officeDocument/2006/relationships/image" Target="media/image8.emf"/><Relationship Id="rId119" Type="http://schemas.openxmlformats.org/officeDocument/2006/relationships/oleObject" Target="file:///C:\Junior\Didig_2016\ECF\Registros_ECF_Leiaute_3_AC2016_SIT_ESP_2017.xlsx!0021!L21C1:L22C8" TargetMode="External"/><Relationship Id="rId326" Type="http://schemas.openxmlformats.org/officeDocument/2006/relationships/image" Target="media/image133.emf"/><Relationship Id="rId533" Type="http://schemas.openxmlformats.org/officeDocument/2006/relationships/image" Target="media/image195.emf"/><Relationship Id="rId740" Type="http://schemas.openxmlformats.org/officeDocument/2006/relationships/image" Target="media/image282.emf"/><Relationship Id="rId838" Type="http://schemas.openxmlformats.org/officeDocument/2006/relationships/image" Target="media/image320.emf"/><Relationship Id="rId172" Type="http://schemas.openxmlformats.org/officeDocument/2006/relationships/oleObject" Target="file:///C:\Junior\Didig_2016\ECF\Registros_ECF_Leiaute_3_AC2016_SIT_ESP_2017.xlsx!E355!L1C1:L10C8" TargetMode="External"/><Relationship Id="rId477" Type="http://schemas.openxmlformats.org/officeDocument/2006/relationships/oleObject" Target="file:///C:\Junior\Didig_2016\ECF\Registros_ECF_Leiaute_3_AC2016_SIT_ESP_2017.xlsx!P400!L1C1:L9C8" TargetMode="External"/><Relationship Id="rId600" Type="http://schemas.openxmlformats.org/officeDocument/2006/relationships/image" Target="media/image218.emf"/><Relationship Id="rId684" Type="http://schemas.openxmlformats.org/officeDocument/2006/relationships/oleObject" Target="file:///C:\Junior\Didig_2016\ECF\Registros_ECF_Leiaute_3_AC2016_SIT_ESP_2017.xlsx!X300!L21C1:L23C8" TargetMode="External"/><Relationship Id="rId337" Type="http://schemas.openxmlformats.org/officeDocument/2006/relationships/oleObject" Target="file:///C:\Junior\Didig_2016\ECF\Registros_ECF_Leiaute_3_AC2016_SIT_ESP_2017.xlsx!M990!L1C1:L7C8" TargetMode="External"/><Relationship Id="rId891" Type="http://schemas.openxmlformats.org/officeDocument/2006/relationships/oleObject" Target="file:///C:\Junior\Didig_2016\ECF\Registros_ECF_Leiaute_3_AC2016_SIT_ESP_2017.xlsx!Y680!L1C1:L7C8" TargetMode="External"/><Relationship Id="rId905" Type="http://schemas.openxmlformats.org/officeDocument/2006/relationships/image" Target="media/image352.emf"/><Relationship Id="rId34" Type="http://schemas.openxmlformats.org/officeDocument/2006/relationships/oleObject" Target="file:///C:\Junior\Didig_2016\ECF\Registros_ECF_Leiaute_3_AC2016_SIT_ESP_2017.xlsx!Obrigatoriedade_Registros!L54C1:L59C6" TargetMode="External"/><Relationship Id="rId544" Type="http://schemas.openxmlformats.org/officeDocument/2006/relationships/hyperlink" Target="http://www.planalto.gov.br/ccivil_03/LEIS/LCP/Lcp123.htm" TargetMode="External"/><Relationship Id="rId751" Type="http://schemas.openxmlformats.org/officeDocument/2006/relationships/image" Target="media/image286.emf"/><Relationship Id="rId849" Type="http://schemas.openxmlformats.org/officeDocument/2006/relationships/oleObject" Target="file:///C:\Junior\Didig_2016\ECF\Registros_ECF_Leiaute_3_AC2016_SIT_ESP_2017.xlsx!Y580!L1C1:L10C8" TargetMode="External"/><Relationship Id="rId183" Type="http://schemas.openxmlformats.org/officeDocument/2006/relationships/image" Target="media/image81.gif"/><Relationship Id="rId390" Type="http://schemas.openxmlformats.org/officeDocument/2006/relationships/oleObject" Target="file:///C:\Junior\Didig_2016\ECF\Tabelas_Dinamicas_ECF_Leiaute_3_AC2016_SIT_ESP_2017.xlsx!N630C!L1:L1048576" TargetMode="External"/><Relationship Id="rId404" Type="http://schemas.openxmlformats.org/officeDocument/2006/relationships/oleObject" Target="file:///C:\Junior\Didig_2016\ECF\Tabelas_Dinamicas_ECF_Leiaute_3_AC2016_SIT_ESP_2017.xlsx!N660!L1:L1048576" TargetMode="External"/><Relationship Id="rId611" Type="http://schemas.openxmlformats.org/officeDocument/2006/relationships/image" Target="media/image223.emf"/><Relationship Id="rId250" Type="http://schemas.openxmlformats.org/officeDocument/2006/relationships/image" Target="media/image103.emf"/><Relationship Id="rId488" Type="http://schemas.openxmlformats.org/officeDocument/2006/relationships/image" Target="media/image183.emf"/><Relationship Id="rId695" Type="http://schemas.openxmlformats.org/officeDocument/2006/relationships/image" Target="media/image261.emf"/><Relationship Id="rId709" Type="http://schemas.openxmlformats.org/officeDocument/2006/relationships/image" Target="media/image268.emf"/><Relationship Id="rId916" Type="http://schemas.openxmlformats.org/officeDocument/2006/relationships/image" Target="media/image357.emf"/><Relationship Id="rId45" Type="http://schemas.openxmlformats.org/officeDocument/2006/relationships/image" Target="media/image19.emf"/><Relationship Id="rId110" Type="http://schemas.openxmlformats.org/officeDocument/2006/relationships/image" Target="media/image49.emf"/><Relationship Id="rId348" Type="http://schemas.openxmlformats.org/officeDocument/2006/relationships/image" Target="media/image142.emf"/><Relationship Id="rId555" Type="http://schemas.openxmlformats.org/officeDocument/2006/relationships/hyperlink" Target="file:///C:\Users\JJMORAESJR\AppData\Program%20Files%20(x86)\Programas_SPED\Contabil22\Ajuda\espRegrasNegocio.htm" TargetMode="External"/><Relationship Id="rId762" Type="http://schemas.openxmlformats.org/officeDocument/2006/relationships/oleObject" Target="file:///C:\Junior\Didig_2016\ECF\Registros_ECF_Leiaute_3_AC2016_SIT_ESP_2017.xlsx!X430!L1C1:L8C8" TargetMode="External"/><Relationship Id="rId194" Type="http://schemas.openxmlformats.org/officeDocument/2006/relationships/hyperlink" Target="file:///C:\Users\JJMORAESJR\AppData\Program%20Files%20(x86)\Programas_SPED\Contabil22\Ajuda\espRegrasNegocio.htm" TargetMode="External"/><Relationship Id="rId208" Type="http://schemas.openxmlformats.org/officeDocument/2006/relationships/image" Target="media/image92.emf"/><Relationship Id="rId415" Type="http://schemas.openxmlformats.org/officeDocument/2006/relationships/hyperlink" Target="mk:@MSITStore:C:\ARQUIVOS%20DE%20PROGRAMAS%20RFB\DIPJ2014\DIPJ2014.chm::/INST_PREENCHIMENTO/Manual_DIPJ2014_5_15_0_IRPJ.html" TargetMode="External"/><Relationship Id="rId622" Type="http://schemas.openxmlformats.org/officeDocument/2006/relationships/oleObject" Target="file:///C:\Junior\Didig_2016\ECF\Registros_ECF_Leiaute_3_AC2016_SIT_ESP_2017.xlsx!W200!L17C1:L19C8" TargetMode="External"/><Relationship Id="rId261" Type="http://schemas.openxmlformats.org/officeDocument/2006/relationships/hyperlink" Target="file:///C:\Users\JJMORAESJR\AppData\Program%20Files%20(x86)\Programas_SPED\Contabil22\Ajuda\espRegrasNegocio.htm" TargetMode="External"/><Relationship Id="rId499" Type="http://schemas.openxmlformats.org/officeDocument/2006/relationships/hyperlink" Target="mk:@MSITStore:C:\ARQUIVOS%20DE%20PROGRAMAS%20RFB\DIPJ2014\DIPJ2014.chm::/INST_PREENCHIMENTO/Manual_DIPJ2014_5_15_03_lucro_arbit.html" TargetMode="External"/><Relationship Id="rId927" Type="http://schemas.openxmlformats.org/officeDocument/2006/relationships/theme" Target="theme/theme1.xml"/><Relationship Id="rId56" Type="http://schemas.openxmlformats.org/officeDocument/2006/relationships/oleObject" Target="file:///C:\Junior\Didig_2016\ECF\Registros_ECF_Leiaute_3_AC2016_SIT_ESP_2017.xlsx!Obrigatoriedade_Registros!L135C1:L141C6" TargetMode="External"/><Relationship Id="rId359" Type="http://schemas.openxmlformats.org/officeDocument/2006/relationships/hyperlink" Target="file:///C:\Users\JJMORAESJR\AppData\Program%20Files%20(x86)\Programas_SPED\Contabil22\Ajuda\espRegrasNegocio.htm" TargetMode="External"/><Relationship Id="rId566" Type="http://schemas.openxmlformats.org/officeDocument/2006/relationships/oleObject" Target="file:///C:\Junior\Didig_2016\ECF\Tabelas_Dinamicas_ECF_Leiaute_3_AC2016_SIT_ESP_2017.xlsx!U100B!L1:L1048576" TargetMode="External"/><Relationship Id="rId773" Type="http://schemas.openxmlformats.org/officeDocument/2006/relationships/image" Target="media/image297.emf"/><Relationship Id="rId121" Type="http://schemas.openxmlformats.org/officeDocument/2006/relationships/oleObject" Target="file:///C:\Junior\Didig_2016\ECF\Registros_ECF_Leiaute_3_AC2016_SIT_ESP_2017.xlsx!0030!L1C1:L17C8" TargetMode="External"/><Relationship Id="rId219" Type="http://schemas.openxmlformats.org/officeDocument/2006/relationships/hyperlink" Target="mk:@MSITStore:C:\ARQUIVOS%20DE%20PROGRAMAS%20RFB\DIPJ2014\DIPJ2014.chm::/INST_PREENCHIMENTO/Manual_DIPJ2014_5_16_00_CSLL.html" TargetMode="External"/><Relationship Id="rId426" Type="http://schemas.openxmlformats.org/officeDocument/2006/relationships/image" Target="media/image166.emf"/><Relationship Id="rId633" Type="http://schemas.openxmlformats.org/officeDocument/2006/relationships/image" Target="media/image234.emf"/><Relationship Id="rId840" Type="http://schemas.openxmlformats.org/officeDocument/2006/relationships/image" Target="media/image321.emf"/><Relationship Id="rId67" Type="http://schemas.openxmlformats.org/officeDocument/2006/relationships/hyperlink" Target="file:///C:\Users\JJMORAESJR\AppData\Users\Junior\Desktop\Didig_2012\Perguntas_Frequentes\www.correios.com.br" TargetMode="External"/><Relationship Id="rId272" Type="http://schemas.openxmlformats.org/officeDocument/2006/relationships/hyperlink" Target="file:///C:\Users\JJMORAESJR\AppData\Program%20Files%20(x86)\Programas_SPED\Contabil22\Ajuda\espRegrasNegocio.htm" TargetMode="External"/><Relationship Id="rId577" Type="http://schemas.openxmlformats.org/officeDocument/2006/relationships/hyperlink" Target="file:///C:\Users\JJMORAESJR\AppData\Program%20Files%20(x86)\Programas_SPED\Contabil22\Ajuda\espRegrasNegocio.htm" TargetMode="External"/><Relationship Id="rId700" Type="http://schemas.openxmlformats.org/officeDocument/2006/relationships/oleObject" Target="file:///C:\Junior\Didig_2016\ECF\Registros_ECF_Leiaute_3_AC2016_SIT_ESP_2017.xlsx!X320!L18C1:L18C8"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oecd.org/ctp/beps-2015-final-reports.htm" TargetMode="External"/><Relationship Id="rId2" Type="http://schemas.openxmlformats.org/officeDocument/2006/relationships/hyperlink" Target="http://www.oecd.org/tax/beps/" TargetMode="External"/><Relationship Id="rId1" Type="http://schemas.openxmlformats.org/officeDocument/2006/relationships/hyperlink" Target="http://www.oecd.org/tax/transfer-pricing-documentation-and-country-by-country-reporting-action-13-2015-final-report-9789264241480-en.htm"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0E43151-71AF-4ADD-8335-AF98F3E751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350</TotalTime>
  <Pages>1</Pages>
  <Words>129140</Words>
  <Characters>697362</Characters>
  <Application>Microsoft Office Word</Application>
  <DocSecurity>0</DocSecurity>
  <Lines>5811</Lines>
  <Paragraphs>1649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824853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Junior</dc:creator>
  <cp:keywords/>
  <dc:description/>
  <cp:lastModifiedBy>J J Moraes Junior</cp:lastModifiedBy>
  <cp:revision>28</cp:revision>
  <cp:lastPrinted>2017-05-18T22:11:00Z</cp:lastPrinted>
  <dcterms:created xsi:type="dcterms:W3CDTF">2017-05-03T19:46:00Z</dcterms:created>
  <dcterms:modified xsi:type="dcterms:W3CDTF">2017-05-18T22:12:00Z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